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xml" ContentType="application/xml"/>
  <Default Extension="jpeg" ContentType="image/jpeg"/>
  <Default Extension="jpg" ContentType="image/jpeg"/>
  <Default Extension="gif" ContentType="image/gif"/>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02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02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index_split_003_html">
        <w:r>
          <w:rPr>
            <w:color w:val="0000FF" w:themeColor="hyperlink"/>
            <w:u w:val="single"/>
          </w:rPr>
          <w:t>In this documentation</w:t>
        </w:r>
      </w:hyperlink>
    </w:p>
    <w:p>
      <w:pPr>
        <w:pStyle w:val="Normal"/>
        <w:ind w:left="0" w:firstLineChars="0" w:firstLine="0" w:leftChars="200"/>
      </w:pPr>
      <w:hyperlink w:anchor="Top_of_index_split_003_html">
        <w:r>
          <w:rPr>
            <w:color w:val="0000FF" w:themeColor="hyperlink"/>
            <w:u w:val="single"/>
          </w:rPr>
          <w:t>Getting started</w:t>
        </w:r>
      </w:hyperlink>
    </w:p>
    <w:p>
      <w:pPr>
        <w:pStyle w:val="Normal"/>
        <w:ind w:left="0" w:firstLineChars="0" w:firstLine="0" w:leftChars="200"/>
      </w:pPr>
      <w:hyperlink w:anchor="Top_of_index_split_003_html">
        <w:r>
          <w:rPr>
            <w:color w:val="0000FF" w:themeColor="hyperlink"/>
            <w:u w:val="single"/>
          </w:rPr>
          <w:t>Networking</w:t>
        </w:r>
      </w:hyperlink>
    </w:p>
    <w:p>
      <w:pPr>
        <w:pStyle w:val="Normal"/>
        <w:ind w:left="0" w:firstLineChars="0" w:firstLine="0" w:leftChars="200"/>
      </w:pPr>
      <w:hyperlink w:anchor="Top_of_index_split_003_html">
        <w:r>
          <w:rPr>
            <w:color w:val="0000FF" w:themeColor="hyperlink"/>
            <w:u w:val="single"/>
          </w:rPr>
          <w:t>Security</w:t>
        </w:r>
      </w:hyperlink>
    </w:p>
    <w:p>
      <w:pPr>
        <w:pStyle w:val="Normal"/>
        <w:ind w:left="0" w:firstLineChars="0" w:firstLine="0" w:leftChars="200"/>
      </w:pPr>
      <w:hyperlink w:anchor="page_5">
        <w:r>
          <w:rPr>
            <w:color w:val="0000FF" w:themeColor="hyperlink"/>
            <w:u w:val="single"/>
          </w:rPr>
          <w:t>Managing your system</w:t>
        </w:r>
      </w:hyperlink>
    </w:p>
    <w:p>
      <w:pPr>
        <w:pStyle w:val="Normal"/>
        <w:ind w:left="0" w:firstLineChars="0" w:firstLine="0" w:leftChars="200"/>
      </w:pPr>
      <w:hyperlink w:anchor="page_5">
        <w:r>
          <w:rPr>
            <w:color w:val="0000FF" w:themeColor="hyperlink"/>
            <w:u w:val="single"/>
          </w:rPr>
          <w:t>Data and storage</w:t>
        </w:r>
      </w:hyperlink>
    </w:p>
    <w:p>
      <w:pPr>
        <w:pStyle w:val="Normal"/>
        <w:ind w:left="0" w:firstLineChars="0" w:firstLine="0" w:leftChars="200"/>
      </w:pPr>
      <w:hyperlink w:anchor="page_5">
        <w:r>
          <w:rPr>
            <w:color w:val="0000FF" w:themeColor="hyperlink"/>
            <w:u w:val="single"/>
          </w:rPr>
          <w:t>Web and mail services</w:t>
        </w:r>
      </w:hyperlink>
    </w:p>
    <w:p>
      <w:pPr>
        <w:pStyle w:val="Normal"/>
        <w:ind w:left="0" w:firstLineChars="0" w:firstLine="0" w:leftChars="200"/>
      </w:pPr>
      <w:hyperlink w:anchor="page_5">
        <w:r>
          <w:rPr>
            <w:color w:val="0000FF" w:themeColor="hyperlink"/>
            <w:u w:val="single"/>
          </w:rPr>
          <w:t>Virtualisation and containers</w:t>
        </w:r>
      </w:hyperlink>
    </w:p>
    <w:p>
      <w:pPr>
        <w:pStyle w:val="Normal"/>
        <w:ind w:left="0" w:firstLineChars="0" w:firstLine="0" w:leftChars="200"/>
      </w:pPr>
      <w:hyperlink w:anchor="page_6">
        <w:r>
          <w:rPr>
            <w:color w:val="0000FF" w:themeColor="hyperlink"/>
            <w:u w:val="single"/>
          </w:rPr>
          <w:t>Performance</w:t>
        </w:r>
      </w:hyperlink>
    </w:p>
    <w:p>
      <w:pPr>
        <w:pStyle w:val="Normal"/>
        <w:ind w:left="0" w:firstLineChars="0" w:firstLine="0" w:leftChars="0"/>
      </w:pPr>
      <w:hyperlink w:anchor="Top_of_index_split_004_html">
        <w:r>
          <w:rPr>
            <w:color w:val="0000FF" w:themeColor="hyperlink"/>
            <w:u w:val="single"/>
          </w:rPr>
          <w:t>How this documentation is organized</w:t>
        </w:r>
      </w:hyperlink>
    </w:p>
    <w:p>
      <w:pPr>
        <w:pStyle w:val="Normal"/>
        <w:ind w:left="0" w:firstLineChars="0" w:firstLine="0" w:leftChars="0"/>
      </w:pPr>
      <w:hyperlink w:anchor="page_8">
        <w:r>
          <w:rPr>
            <w:color w:val="0000FF" w:themeColor="hyperlink"/>
            <w:u w:val="single"/>
          </w:rPr>
          <w:t>Project and community</w:t>
        </w:r>
      </w:hyperlink>
    </w:p>
    <w:p>
      <w:pPr>
        <w:pStyle w:val="Normal"/>
        <w:ind w:left="0" w:firstLineChars="0" w:firstLine="0" w:leftChars="200"/>
      </w:pPr>
      <w:hyperlink w:anchor="page_8">
        <w:r>
          <w:rPr>
            <w:color w:val="0000FF" w:themeColor="hyperlink"/>
            <w:u w:val="single"/>
          </w:rPr>
          <w:t>Ubuntu Server tutorial</w:t>
        </w:r>
      </w:hyperlink>
    </w:p>
    <w:p>
      <w:pPr>
        <w:pStyle w:val="Normal"/>
        <w:ind w:left="0" w:firstLineChars="0" w:firstLine="0" w:leftChars="400"/>
      </w:pPr>
      <w:hyperlink w:anchor="Top_of_index_split_005_html">
        <w:r>
          <w:rPr>
            <w:color w:val="0000FF" w:themeColor="hyperlink"/>
            <w:u w:val="single"/>
          </w:rPr>
          <w:t>Getting started</w:t>
        </w:r>
      </w:hyperlink>
    </w:p>
    <w:p>
      <w:pPr>
        <w:pStyle w:val="Normal"/>
        <w:ind w:left="0" w:firstLineChars="0" w:firstLine="0" w:leftChars="400"/>
      </w:pPr>
      <w:hyperlink w:anchor="Top_of_index_split_005_html">
        <w:r>
          <w:rPr>
            <w:color w:val="0000FF" w:themeColor="hyperlink"/>
            <w:u w:val="single"/>
          </w:rPr>
          <w:t>Next steps</w:t>
        </w:r>
      </w:hyperlink>
    </w:p>
    <w:p>
      <w:pPr>
        <w:pStyle w:val="Normal"/>
        <w:ind w:left="0" w:firstLineChars="0" w:firstLine="0" w:leftChars="600"/>
      </w:pPr>
      <w:hyperlink w:anchor="Top_of_index_split_005_html">
        <w:r>
          <w:rPr>
            <w:color w:val="0000FF" w:themeColor="hyperlink"/>
            <w:u w:val="single"/>
          </w:rPr>
          <w:t>Basic installation</w:t>
        </w:r>
      </w:hyperlink>
    </w:p>
    <w:p>
      <w:pPr>
        <w:pStyle w:val="Normal"/>
        <w:ind w:left="0" w:firstLineChars="0" w:firstLine="0" w:leftChars="800"/>
      </w:pPr>
      <w:hyperlink w:anchor="Top_of_index_split_006_html">
        <w:r>
          <w:rPr>
            <w:color w:val="0000FF" w:themeColor="hyperlink"/>
            <w:u w:val="single"/>
          </w:rPr>
          <w:t>Preparing to install</w:t>
        </w:r>
      </w:hyperlink>
    </w:p>
    <w:p>
      <w:pPr>
        <w:pStyle w:val="Normal"/>
        <w:ind w:left="0" w:firstLineChars="0" w:firstLine="0" w:leftChars="800"/>
      </w:pPr>
      <w:hyperlink w:anchor="Top_of_index_split_006_html">
        <w:r>
          <w:rPr>
            <w:color w:val="0000FF" w:themeColor="hyperlink"/>
            <w:u w:val="single"/>
          </w:rPr>
          <w:t>System requirements</w:t>
        </w:r>
      </w:hyperlink>
    </w:p>
    <w:p>
      <w:pPr>
        <w:pStyle w:val="Normal"/>
        <w:ind w:left="0" w:firstLineChars="0" w:firstLine="0" w:leftChars="800"/>
      </w:pPr>
      <w:hyperlink w:anchor="Top_of_index_split_006_html">
        <w:r>
          <w:rPr>
            <w:color w:val="0000FF" w:themeColor="hyperlink"/>
            <w:u w:val="single"/>
          </w:rPr>
          <w:t>Perform a system backup</w:t>
        </w:r>
      </w:hyperlink>
    </w:p>
    <w:p>
      <w:pPr>
        <w:pStyle w:val="Normal"/>
        <w:ind w:left="0" w:firstLineChars="0" w:firstLine="0" w:leftChars="800"/>
      </w:pPr>
      <w:hyperlink w:anchor="Top_of_index_split_006_html">
        <w:r>
          <w:rPr>
            <w:color w:val="0000FF" w:themeColor="hyperlink"/>
            <w:u w:val="single"/>
          </w:rPr>
          <w:t>Download the server ISO</w:t>
        </w:r>
      </w:hyperlink>
    </w:p>
    <w:p>
      <w:pPr>
        <w:pStyle w:val="Normal"/>
        <w:ind w:left="0" w:firstLineChars="0" w:firstLine="0" w:leftChars="800"/>
      </w:pPr>
      <w:hyperlink w:anchor="page_11">
        <w:r>
          <w:rPr>
            <w:color w:val="0000FF" w:themeColor="hyperlink"/>
            <w:u w:val="single"/>
          </w:rPr>
          <w:t>Create a bootable USB</w:t>
        </w:r>
      </w:hyperlink>
    </w:p>
    <w:p>
      <w:pPr>
        <w:pStyle w:val="Normal"/>
        <w:ind w:left="0" w:firstLineChars="0" w:firstLine="0" w:leftChars="800"/>
      </w:pPr>
      <w:hyperlink w:anchor="page_11">
        <w:r>
          <w:rPr>
            <w:color w:val="0000FF" w:themeColor="hyperlink"/>
            <w:u w:val="single"/>
          </w:rPr>
          <w:t>Boot the installer</w:t>
        </w:r>
      </w:hyperlink>
    </w:p>
    <w:p>
      <w:pPr>
        <w:pStyle w:val="Normal"/>
        <w:ind w:left="0" w:firstLineChars="0" w:firstLine="0" w:leftChars="800"/>
      </w:pPr>
      <w:hyperlink w:anchor="Top_of_index_split_007_html">
        <w:r>
          <w:rPr>
            <w:color w:val="0000FF" w:themeColor="hyperlink"/>
            <w:u w:val="single"/>
          </w:rPr>
          <w:t>Using the installer</w:t>
        </w:r>
      </w:hyperlink>
    </w:p>
    <w:p>
      <w:pPr>
        <w:pStyle w:val="Normal"/>
        <w:ind w:left="0" w:firstLineChars="0" w:firstLine="0" w:leftChars="600"/>
      </w:pPr>
      <w:hyperlink w:anchor="page_13">
        <w:r>
          <w:rPr>
            <w:color w:val="0000FF" w:themeColor="hyperlink"/>
            <w:u w:val="single"/>
          </w:rPr>
          <w:t>Managing your software</w:t>
        </w:r>
      </w:hyperlink>
    </w:p>
    <w:p>
      <w:pPr>
        <w:pStyle w:val="Normal"/>
        <w:ind w:left="0" w:firstLineChars="0" w:firstLine="0" w:leftChars="800"/>
      </w:pPr>
      <w:hyperlink w:anchor="page_13">
        <w:r>
          <w:rPr>
            <w:color w:val="0000FF" w:themeColor="hyperlink"/>
            <w:u w:val="single"/>
          </w:rPr>
          <w:t>Prerequisites</w:t>
        </w:r>
      </w:hyperlink>
    </w:p>
    <w:p>
      <w:pPr>
        <w:pStyle w:val="Normal"/>
        <w:ind w:left="0" w:firstLineChars="0" w:firstLine="0" w:leftChars="800"/>
      </w:pPr>
      <w:hyperlink w:anchor="Top_of_index_split_008_html">
        <w:r>
          <w:rPr>
            <w:color w:val="0000FF" w:themeColor="hyperlink"/>
            <w:u w:val="single"/>
          </w:rPr>
          <w:t>Create the virtual machine</w:t>
        </w:r>
      </w:hyperlink>
    </w:p>
    <w:p>
      <w:pPr>
        <w:pStyle w:val="Normal"/>
        <w:ind w:left="0" w:firstLineChars="0" w:firstLine="0" w:leftChars="800"/>
      </w:pPr>
      <w:hyperlink w:anchor="Top_of_index_split_008_html">
        <w:r>
          <w:rPr>
            <w:color w:val="0000FF" w:themeColor="hyperlink"/>
            <w:u w:val="single"/>
          </w:rPr>
          <w:t>Updating the system with APT</w:t>
        </w:r>
      </w:hyperlink>
    </w:p>
    <w:p>
      <w:pPr>
        <w:pStyle w:val="Normal"/>
        <w:ind w:left="0" w:firstLineChars="0" w:firstLine="0" w:leftChars="1000"/>
      </w:pPr>
      <w:hyperlink w:anchor="Top_of_index_split_009_html">
        <w:r>
          <w:rPr>
            <w:color w:val="0000FF" w:themeColor="hyperlink"/>
            <w:u w:val="single"/>
          </w:rPr>
          <w:t>apt update</w:t>
        </w:r>
      </w:hyperlink>
    </w:p>
    <w:p>
      <w:pPr>
        <w:pStyle w:val="Normal"/>
        <w:ind w:left="0" w:firstLineChars="0" w:firstLine="0" w:leftChars="1000"/>
      </w:pPr>
      <w:hyperlink w:anchor="Top_of_index_split_010_html">
        <w:r>
          <w:rPr>
            <w:color w:val="0000FF" w:themeColor="hyperlink"/>
            <w:u w:val="single"/>
          </w:rPr>
          <w:t>apt upgrade</w:t>
        </w:r>
      </w:hyperlink>
    </w:p>
    <w:p>
      <w:pPr>
        <w:pStyle w:val="Normal"/>
        <w:ind w:left="0" w:firstLineChars="0" w:firstLine="0" w:leftChars="1000"/>
      </w:pPr>
      <w:hyperlink w:anchor="page_17">
        <w:r>
          <w:rPr>
            <w:color w:val="0000FF" w:themeColor="hyperlink"/>
            <w:u w:val="single"/>
          </w:rPr>
          <w:t>Searching with APT</w:t>
        </w:r>
      </w:hyperlink>
    </w:p>
    <w:p>
      <w:pPr>
        <w:pStyle w:val="Normal"/>
        <w:ind w:left="0" w:firstLineChars="0" w:firstLine="0" w:leftChars="800"/>
      </w:pPr>
      <w:hyperlink w:anchor="page_18">
        <w:r>
          <w:rPr>
            <w:color w:val="0000FF" w:themeColor="hyperlink"/>
            <w:u w:val="single"/>
          </w:rPr>
          <w:t>Installing deb packages</w:t>
        </w:r>
      </w:hyperlink>
    </w:p>
    <w:p>
      <w:pPr>
        <w:pStyle w:val="Normal"/>
        <w:ind w:left="0" w:firstLineChars="0" w:firstLine="0" w:leftChars="1000"/>
      </w:pPr>
      <w:hyperlink w:anchor="page_18">
        <w:r>
          <w:rPr>
            <w:color w:val="0000FF" w:themeColor="hyperlink"/>
            <w:u w:val="single"/>
          </w:rPr>
          <w:t>About sudo</w:t>
        </w:r>
      </w:hyperlink>
    </w:p>
    <w:p>
      <w:pPr>
        <w:pStyle w:val="Normal"/>
        <w:ind w:left="0" w:firstLineChars="0" w:firstLine="0" w:leftChars="1000"/>
      </w:pPr>
      <w:hyperlink w:anchor="page_18">
        <w:r>
          <w:rPr>
            <w:color w:val="0000FF" w:themeColor="hyperlink"/>
            <w:u w:val="single"/>
          </w:rPr>
          <w:t>About dependencies</w:t>
        </w:r>
      </w:hyperlink>
    </w:p>
    <w:p>
      <w:pPr>
        <w:pStyle w:val="Normal"/>
        <w:ind w:left="0" w:firstLineChars="0" w:firstLine="0" w:leftChars="1000"/>
      </w:pPr>
      <w:hyperlink w:anchor="page_19">
        <w:r>
          <w:rPr>
            <w:color w:val="0000FF" w:themeColor="hyperlink"/>
            <w:u w:val="single"/>
          </w:rPr>
          <w:t>Types of dependencies</w:t>
        </w:r>
      </w:hyperlink>
    </w:p>
    <w:p>
      <w:pPr>
        <w:pStyle w:val="Normal"/>
        <w:ind w:left="0" w:firstLineChars="0" w:firstLine="0" w:leftChars="1000"/>
      </w:pPr>
      <w:hyperlink w:anchor="page_21">
        <w:r>
          <w:rPr>
            <w:color w:val="0000FF" w:themeColor="hyperlink"/>
            <w:u w:val="single"/>
          </w:rPr>
          <w:t>What if we remove a dependency?</w:t>
        </w:r>
      </w:hyperlink>
    </w:p>
    <w:p>
      <w:pPr>
        <w:pStyle w:val="Normal"/>
        <w:ind w:left="0" w:firstLineChars="0" w:firstLine="0" w:leftChars="1000"/>
      </w:pPr>
      <w:hyperlink w:anchor="page_22">
        <w:r>
          <w:rPr>
            <w:color w:val="0000FF" w:themeColor="hyperlink"/>
            <w:u w:val="single"/>
          </w:rPr>
          <w:t>Auto-remove dependencies</w:t>
        </w:r>
      </w:hyperlink>
    </w:p>
    <w:p>
      <w:pPr>
        <w:pStyle w:val="Normal"/>
        <w:ind w:left="0" w:firstLineChars="0" w:firstLine="0" w:leftChars="800"/>
      </w:pPr>
      <w:hyperlink w:anchor="page_23">
        <w:r>
          <w:rPr>
            <w:color w:val="0000FF" w:themeColor="hyperlink"/>
            <w:u w:val="single"/>
          </w:rPr>
          <w:t>Customize configuration</w:t>
        </w:r>
      </w:hyperlink>
    </w:p>
    <w:p>
      <w:pPr>
        <w:pStyle w:val="Normal"/>
        <w:ind w:left="0" w:firstLineChars="0" w:firstLine="0" w:leftChars="1000"/>
      </w:pPr>
      <w:hyperlink w:anchor="page_24">
        <w:r>
          <w:rPr>
            <w:color w:val="0000FF" w:themeColor="hyperlink"/>
            <w:u w:val="single"/>
          </w:rPr>
          <w:t>Conffiles</w:t>
        </w:r>
      </w:hyperlink>
    </w:p>
    <w:p>
      <w:pPr>
        <w:pStyle w:val="Normal"/>
        <w:ind w:left="0" w:firstLineChars="0" w:firstLine="0" w:leftChars="1000"/>
      </w:pPr>
      <w:hyperlink w:anchor="Top_of_index_split_011_html">
        <w:r>
          <w:rPr>
            <w:color w:val="0000FF" w:themeColor="hyperlink"/>
            <w:u w:val="single"/>
          </w:rPr>
          <w:t>How upgrades are handled</w:t>
        </w:r>
      </w:hyperlink>
    </w:p>
    <w:p>
      <w:pPr>
        <w:pStyle w:val="Normal"/>
        <w:ind w:left="0" w:firstLineChars="0" w:firstLine="0" w:leftChars="1000"/>
      </w:pPr>
      <w:hyperlink w:anchor="Top_of_index_split_011_html">
        <w:r>
          <w:rPr>
            <w:color w:val="0000FF" w:themeColor="hyperlink"/>
            <w:u w:val="single"/>
          </w:rPr>
          <w:t>Identifying conffiles</w:t>
        </w:r>
      </w:hyperlink>
    </w:p>
    <w:p>
      <w:pPr>
        <w:pStyle w:val="Normal"/>
        <w:ind w:left="0" w:firstLineChars="0" w:firstLine="0" w:leftChars="1000"/>
      </w:pPr>
      <w:hyperlink w:anchor="page_26">
        <w:r>
          <w:rPr>
            <w:color w:val="0000FF" w:themeColor="hyperlink"/>
            <w:u w:val="single"/>
          </w:rPr>
          <w:t>Verifying checksums</w:t>
        </w:r>
      </w:hyperlink>
    </w:p>
    <w:p>
      <w:pPr>
        <w:pStyle w:val="Normal"/>
        <w:ind w:left="0" w:firstLineChars="0" w:firstLine="0" w:leftChars="800"/>
      </w:pPr>
      <w:hyperlink w:anchor="page_27">
        <w:r>
          <w:rPr>
            <w:color w:val="0000FF" w:themeColor="hyperlink"/>
            <w:u w:val="single"/>
          </w:rPr>
          <w:t>Removing packages</w:t>
        </w:r>
      </w:hyperlink>
    </w:p>
    <w:p>
      <w:pPr>
        <w:pStyle w:val="Normal"/>
        <w:ind w:left="0" w:firstLineChars="0" w:firstLine="0" w:leftChars="1000"/>
      </w:pPr>
      <w:hyperlink w:anchor="page_28">
        <w:r>
          <w:rPr>
            <w:color w:val="0000FF" w:themeColor="hyperlink"/>
            <w:u w:val="single"/>
          </w:rPr>
          <w:t>Also removing configuration</w:t>
        </w:r>
      </w:hyperlink>
    </w:p>
    <w:p>
      <w:pPr>
        <w:pStyle w:val="Normal"/>
        <w:ind w:left="0" w:firstLineChars="0" w:firstLine="0" w:leftChars="1000"/>
      </w:pPr>
      <w:hyperlink w:anchor="page_29">
        <w:r>
          <w:rPr>
            <w:color w:val="0000FF" w:themeColor="hyperlink"/>
            <w:u w:val="single"/>
          </w:rPr>
          <w:t>Removing and purging</w:t>
        </w:r>
      </w:hyperlink>
    </w:p>
    <w:p>
      <w:pPr>
        <w:pStyle w:val="Normal"/>
        <w:ind w:left="0" w:firstLineChars="0" w:firstLine="0" w:leftChars="800"/>
      </w:pPr>
      <w:hyperlink w:anchor="Top_of_index_split_012_html">
        <w:r>
          <w:rPr>
            <w:color w:val="0000FF" w:themeColor="hyperlink"/>
            <w:u w:val="single"/>
          </w:rPr>
          <w:t>What else is on our system?</w:t>
        </w:r>
      </w:hyperlink>
    </w:p>
    <w:p>
      <w:pPr>
        <w:pStyle w:val="Normal"/>
        <w:ind w:left="0" w:firstLineChars="0" w:firstLine="0" w:leftChars="1000"/>
      </w:pPr>
      <w:hyperlink w:anchor="Top_of_index_split_013_html">
        <w:r>
          <w:rPr>
            <w:color w:val="0000FF" w:themeColor="hyperlink"/>
            <w:u w:val="single"/>
          </w:rPr>
          <w:t>Installing older package versions</w:t>
        </w:r>
      </w:hyperlink>
    </w:p>
    <w:p>
      <w:pPr>
        <w:pStyle w:val="Normal"/>
        <w:ind w:left="0" w:firstLineChars="0" w:firstLine="0" w:leftChars="1000"/>
      </w:pPr>
      <w:hyperlink w:anchor="page_32">
        <w:r>
          <w:rPr>
            <w:color w:val="0000FF" w:themeColor="hyperlink"/>
            <w:u w:val="single"/>
          </w:rPr>
          <w:t>Where do packages come from?</w:t>
        </w:r>
      </w:hyperlink>
    </w:p>
    <w:p>
      <w:pPr>
        <w:pStyle w:val="Normal"/>
        <w:ind w:left="0" w:firstLineChars="0" w:firstLine="0" w:leftChars="1000"/>
      </w:pPr>
      <w:hyperlink w:anchor="page_32">
        <w:r>
          <w:rPr>
            <w:color w:val="0000FF" w:themeColor="hyperlink"/>
            <w:u w:val="single"/>
          </w:rPr>
          <w:t>Series</w:t>
        </w:r>
      </w:hyperlink>
    </w:p>
    <w:p>
      <w:pPr>
        <w:pStyle w:val="Normal"/>
        <w:ind w:left="0" w:firstLineChars="0" w:firstLine="0" w:leftChars="1000"/>
      </w:pPr>
      <w:hyperlink w:anchor="page_32">
        <w:r>
          <w:rPr>
            <w:color w:val="0000FF" w:themeColor="hyperlink"/>
            <w:u w:val="single"/>
          </w:rPr>
          <w:t>Pockets</w:t>
        </w:r>
      </w:hyperlink>
    </w:p>
    <w:p>
      <w:pPr>
        <w:pStyle w:val="Normal"/>
        <w:ind w:left="0" w:firstLineChars="0" w:firstLine="0" w:leftChars="1000"/>
      </w:pPr>
      <w:hyperlink w:anchor="page_33">
        <w:r>
          <w:rPr>
            <w:color w:val="0000FF" w:themeColor="hyperlink"/>
            <w:u w:val="single"/>
          </w:rPr>
          <w:t>Components</w:t>
        </w:r>
      </w:hyperlink>
    </w:p>
    <w:p>
      <w:pPr>
        <w:pStyle w:val="Normal"/>
        <w:ind w:left="0" w:firstLineChars="0" w:firstLine="0" w:leftChars="800"/>
      </w:pPr>
      <w:hyperlink w:anchor="page_33">
        <w:r>
          <w:rPr>
            <w:color w:val="0000FF" w:themeColor="hyperlink"/>
            <w:u w:val="single"/>
          </w:rPr>
          <w:t>Installing a .deb file</w:t>
        </w:r>
      </w:hyperlink>
    </w:p>
    <w:p>
      <w:pPr>
        <w:pStyle w:val="Normal"/>
        <w:ind w:left="0" w:firstLineChars="0" w:firstLine="0" w:leftChars="800"/>
      </w:pPr>
      <w:hyperlink w:anchor="page_34">
        <w:r>
          <w:rPr>
            <w:color w:val="0000FF" w:themeColor="hyperlink"/>
            <w:u w:val="single"/>
          </w:rPr>
          <w:t>Snaps</w:t>
        </w:r>
      </w:hyperlink>
    </w:p>
    <w:p>
      <w:pPr>
        <w:pStyle w:val="Normal"/>
        <w:ind w:left="0" w:firstLineChars="0" w:firstLine="0" w:leftChars="800"/>
      </w:pPr>
      <w:hyperlink w:anchor="page_34">
        <w:r>
          <w:rPr>
            <w:color w:val="0000FF" w:themeColor="hyperlink"/>
            <w:u w:val="single"/>
          </w:rPr>
          <w:t>Completion!</w:t>
        </w:r>
      </w:hyperlink>
    </w:p>
    <w:p>
      <w:pPr>
        <w:pStyle w:val="Normal"/>
        <w:ind w:left="0" w:firstLineChars="0" w:firstLine="0" w:leftChars="800"/>
      </w:pPr>
      <w:hyperlink w:anchor="page_35">
        <w:r>
          <w:rPr>
            <w:color w:val="0000FF" w:themeColor="hyperlink"/>
            <w:u w:val="single"/>
          </w:rPr>
          <w:t>Summary</w:t>
        </w:r>
      </w:hyperlink>
    </w:p>
    <w:p>
      <w:pPr>
        <w:pStyle w:val="Normal"/>
        <w:ind w:left="0" w:firstLineChars="0" w:firstLine="0" w:leftChars="600"/>
      </w:pPr>
      <w:hyperlink w:anchor="page_36">
        <w:r>
          <w:rPr>
            <w:color w:val="0000FF" w:themeColor="hyperlink"/>
            <w:u w:val="single"/>
          </w:rPr>
          <w:t>Attach your Ubuntu Pro subscription</w:t>
        </w:r>
      </w:hyperlink>
    </w:p>
    <w:p>
      <w:pPr>
        <w:pStyle w:val="Normal"/>
        <w:ind w:left="0" w:firstLineChars="0" w:firstLine="0" w:leftChars="800"/>
      </w:pPr>
      <w:hyperlink w:anchor="page_36">
        <w:r>
          <w:rPr>
            <w:color w:val="0000FF" w:themeColor="hyperlink"/>
            <w:u w:val="single"/>
          </w:rPr>
          <w:t>Step 1: Install the Ubuntu Pro Client</w:t>
        </w:r>
      </w:hyperlink>
    </w:p>
    <w:p>
      <w:pPr>
        <w:pStyle w:val="Normal"/>
        <w:ind w:left="0" w:firstLineChars="0" w:firstLine="0" w:leftChars="800"/>
      </w:pPr>
      <w:hyperlink w:anchor="page_36">
        <w:r>
          <w:rPr>
            <w:color w:val="0000FF" w:themeColor="hyperlink"/>
            <w:u w:val="single"/>
          </w:rPr>
          <w:t>Step 2: Attach your subscription</w:t>
        </w:r>
      </w:hyperlink>
    </w:p>
    <w:p>
      <w:pPr>
        <w:pStyle w:val="Normal"/>
        <w:ind w:left="0" w:firstLineChars="0" w:firstLine="0" w:leftChars="800"/>
      </w:pPr>
      <w:hyperlink w:anchor="Top_of_index_split_015_html">
        <w:r>
          <w:rPr>
            <w:color w:val="0000FF" w:themeColor="hyperlink"/>
            <w:u w:val="single"/>
          </w:rPr>
          <w:t>Next steps</w:t>
        </w:r>
      </w:hyperlink>
    </w:p>
    <w:p>
      <w:pPr>
        <w:pStyle w:val="Normal"/>
        <w:ind w:left="0" w:firstLineChars="0" w:firstLine="0" w:leftChars="200"/>
      </w:pPr>
      <w:hyperlink w:anchor="Top_of_index_split_015_html">
        <w:r>
          <w:rPr>
            <w:color w:val="0000FF" w:themeColor="hyperlink"/>
            <w:u w:val="single"/>
          </w:rPr>
          <w:t>Ubuntu Server how-to guides</w:t>
        </w:r>
      </w:hyperlink>
    </w:p>
    <w:p>
      <w:pPr>
        <w:pStyle w:val="Normal"/>
        <w:ind w:left="0" w:firstLineChars="0" w:firstLine="0" w:leftChars="400"/>
      </w:pPr>
      <w:hyperlink w:anchor="Top_of_index_split_015_html">
        <w:r>
          <w:rPr>
            <w:color w:val="0000FF" w:themeColor="hyperlink"/>
            <w:u w:val="single"/>
          </w:rPr>
          <w:t>Server installation</w:t>
        </w:r>
      </w:hyperlink>
    </w:p>
    <w:p>
      <w:pPr>
        <w:pStyle w:val="Normal"/>
        <w:ind w:left="0" w:firstLineChars="0" w:firstLine="0" w:leftChars="600"/>
      </w:pPr>
      <w:hyperlink w:anchor="Top_of_index_split_015_html">
        <w:r>
          <w:rPr>
            <w:color w:val="0000FF" w:themeColor="hyperlink"/>
            <w:u w:val="single"/>
          </w:rPr>
          <w:t>Server installation</w:t>
        </w:r>
      </w:hyperlink>
    </w:p>
    <w:p>
      <w:pPr>
        <w:pStyle w:val="Normal"/>
        <w:ind w:left="0" w:firstLineChars="0" w:firstLine="0" w:leftChars="800"/>
      </w:pPr>
      <w:hyperlink w:anchor="Top_of_index_split_015_html">
        <w:r>
          <w:rPr>
            <w:color w:val="0000FF" w:themeColor="hyperlink"/>
            <w:u w:val="single"/>
          </w:rPr>
          <w:t>Automatic install</w:t>
        </w:r>
      </w:hyperlink>
    </w:p>
    <w:p>
      <w:pPr>
        <w:pStyle w:val="Normal"/>
        <w:ind w:left="0" w:firstLineChars="0" w:firstLine="0" w:leftChars="800"/>
      </w:pPr>
      <w:hyperlink w:anchor="Top_of_index_split_016_html">
        <w:r>
          <w:rPr>
            <w:color w:val="0000FF" w:themeColor="hyperlink"/>
            <w:u w:val="single"/>
          </w:rPr>
          <w:t>Advanced install</w:t>
        </w:r>
      </w:hyperlink>
    </w:p>
    <w:p>
      <w:pPr>
        <w:pStyle w:val="Normal"/>
        <w:ind w:left="0" w:firstLineChars="0" w:firstLine="0" w:leftChars="800"/>
      </w:pPr>
      <w:hyperlink w:anchor="Top_of_index_split_016_html">
        <w:r>
          <w:rPr>
            <w:color w:val="0000FF" w:themeColor="hyperlink"/>
            <w:u w:val="single"/>
          </w:rPr>
          <w:t>See also</w:t>
        </w:r>
      </w:hyperlink>
    </w:p>
    <w:p>
      <w:pPr>
        <w:pStyle w:val="Normal"/>
        <w:ind w:left="0" w:firstLineChars="0" w:firstLine="0" w:leftChars="1000"/>
      </w:pPr>
      <w:hyperlink w:anchor="Top_of_index_split_016_html">
        <w:r>
          <w:rPr>
            <w:color w:val="0000FF" w:themeColor="hyperlink"/>
            <w:u w:val="single"/>
          </w:rPr>
          <w:t>How to netboot the server installer on amd64</w:t>
        </w:r>
      </w:hyperlink>
    </w:p>
    <w:p>
      <w:pPr>
        <w:pStyle w:val="Normal"/>
        <w:ind w:left="0" w:firstLineChars="0" w:firstLine="0" w:leftChars="1000"/>
      </w:pPr>
      <w:hyperlink w:anchor="Top_of_index_split_017_html">
        <w:r>
          <w:rPr>
            <w:color w:val="0000FF" w:themeColor="hyperlink"/>
            <w:u w:val="single"/>
          </w:rPr>
          <w:t>Steps needed</w:t>
        </w:r>
      </w:hyperlink>
    </w:p>
    <w:p>
      <w:pPr>
        <w:pStyle w:val="Normal"/>
        <w:ind w:left="0" w:firstLineChars="0" w:firstLine="0" w:leftChars="1000"/>
      </w:pPr>
      <w:hyperlink w:anchor="Top_of_index_split_017_html">
        <w:r>
          <w:rPr>
            <w:color w:val="0000FF" w:themeColor="hyperlink"/>
            <w:u w:val="single"/>
          </w:rPr>
          <w:t>Configure DHCP/BOOTP and TFTP</w:t>
        </w:r>
      </w:hyperlink>
    </w:p>
    <w:p>
      <w:pPr>
        <w:pStyle w:val="Normal"/>
        <w:ind w:left="0" w:firstLineChars="0" w:firstLine="0" w:leftChars="1000"/>
      </w:pPr>
      <w:hyperlink w:anchor="page_41">
        <w:r>
          <w:rPr>
            <w:color w:val="0000FF" w:themeColor="hyperlink"/>
            <w:u w:val="single"/>
          </w:rPr>
          <w:t>Mode-independent set up</w:t>
        </w:r>
      </w:hyperlink>
    </w:p>
    <w:p>
      <w:pPr>
        <w:pStyle w:val="Normal"/>
        <w:ind w:left="0" w:firstLineChars="0" w:firstLine="0" w:leftChars="1000"/>
      </w:pPr>
      <w:hyperlink w:anchor="page_41">
        <w:r>
          <w:rPr>
            <w:color w:val="0000FF" w:themeColor="hyperlink"/>
            <w:u w:val="single"/>
          </w:rPr>
          <w:t>Set up the files for UEFI booting</w:t>
        </w:r>
      </w:hyperlink>
    </w:p>
    <w:p>
      <w:pPr>
        <w:pStyle w:val="Normal"/>
        <w:ind w:left="0" w:firstLineChars="0" w:firstLine="0" w:leftChars="1000"/>
      </w:pPr>
      <w:hyperlink w:anchor="page_42">
        <w:r>
          <w:rPr>
            <w:color w:val="0000FF" w:themeColor="hyperlink"/>
            <w:u w:val="single"/>
          </w:rPr>
          <w:t>Set up the files for legacy boot</w:t>
        </w:r>
      </w:hyperlink>
    </w:p>
    <w:p>
      <w:pPr>
        <w:pStyle w:val="Normal"/>
        <w:ind w:left="0" w:firstLineChars="0" w:firstLine="0" w:leftChars="1000"/>
      </w:pPr>
      <w:hyperlink w:anchor="page_43">
        <w:r>
          <w:rPr>
            <w:color w:val="0000FF" w:themeColor="hyperlink"/>
            <w:u w:val="single"/>
          </w:rPr>
          <w:t>Netboot the server installer via UEFI PXE on ARM (aarch64, arm64) and x86_64 (amd64)</w:t>
        </w:r>
      </w:hyperlink>
    </w:p>
    <w:p>
      <w:pPr>
        <w:pStyle w:val="Normal"/>
        <w:ind w:left="0" w:firstLineChars="0" w:firstLine="0" w:leftChars="1000"/>
      </w:pPr>
      <w:hyperlink w:anchor="page_43">
        <w:r>
          <w:rPr>
            <w:color w:val="0000FF" w:themeColor="hyperlink"/>
            <w:u w:val="single"/>
          </w:rPr>
          <w:t>Configure TFTP</w:t>
        </w:r>
      </w:hyperlink>
    </w:p>
    <w:p>
      <w:pPr>
        <w:pStyle w:val="Normal"/>
        <w:ind w:left="0" w:firstLineChars="0" w:firstLine="0" w:leftChars="1000"/>
      </w:pPr>
      <w:hyperlink w:anchor="Top_of_index_split_018_html">
        <w:r>
          <w:rPr>
            <w:color w:val="0000FF" w:themeColor="hyperlink"/>
            <w:u w:val="single"/>
          </w:rPr>
          <w:t>How to serve files</w:t>
        </w:r>
      </w:hyperlink>
    </w:p>
    <w:p>
      <w:pPr>
        <w:pStyle w:val="Normal"/>
        <w:ind w:left="0" w:firstLineChars="0" w:firstLine="0" w:leftChars="1000"/>
      </w:pPr>
      <w:hyperlink w:anchor="Top_of_index_split_018_html">
        <w:r>
          <w:rPr>
            <w:color w:val="0000FF" w:themeColor="hyperlink"/>
            <w:u w:val="single"/>
          </w:rPr>
          <w:t>Necessary files</w:t>
        </w:r>
      </w:hyperlink>
    </w:p>
    <w:p>
      <w:pPr>
        <w:pStyle w:val="Normal"/>
        <w:ind w:left="0" w:firstLineChars="0" w:firstLine="0" w:leftChars="1000"/>
      </w:pPr>
      <w:hyperlink w:anchor="Top_of_index_split_018_html">
        <w:r>
          <w:rPr>
            <w:color w:val="0000FF" w:themeColor="hyperlink"/>
            <w:u w:val="single"/>
          </w:rPr>
          <w:t>Examples</w:t>
        </w:r>
      </w:hyperlink>
    </w:p>
    <w:p>
      <w:pPr>
        <w:pStyle w:val="Normal"/>
        <w:ind w:left="0" w:firstLineChars="0" w:firstLine="0" w:leftChars="1000"/>
      </w:pPr>
      <w:hyperlink w:anchor="page_45">
        <w:r>
          <w:rPr>
            <w:color w:val="0000FF" w:themeColor="hyperlink"/>
            <w:u w:val="single"/>
          </w:rPr>
          <w:t>Download and serve the GRUB EFI binary</w:t>
        </w:r>
      </w:hyperlink>
    </w:p>
    <w:p>
      <w:pPr>
        <w:pStyle w:val="Normal"/>
        <w:ind w:left="0" w:firstLineChars="0" w:firstLine="0" w:leftChars="1000"/>
      </w:pPr>
      <w:hyperlink w:anchor="page_45">
        <w:r>
          <w:rPr>
            <w:color w:val="0000FF" w:themeColor="hyperlink"/>
            <w:u w:val="single"/>
          </w:rPr>
          <w:t>Download and serve more files</w:t>
        </w:r>
      </w:hyperlink>
    </w:p>
    <w:p>
      <w:pPr>
        <w:pStyle w:val="Normal"/>
        <w:ind w:left="0" w:firstLineChars="0" w:firstLine="0" w:leftChars="1000"/>
      </w:pPr>
      <w:hyperlink w:anchor="page_46">
        <w:r>
          <w:rPr>
            <w:color w:val="0000FF" w:themeColor="hyperlink"/>
            <w:u w:val="single"/>
          </w:rPr>
          <w:t>Appendix</w:t>
        </w:r>
      </w:hyperlink>
    </w:p>
    <w:p>
      <w:pPr>
        <w:pStyle w:val="Normal"/>
        <w:ind w:left="0" w:firstLineChars="0" w:firstLine="0" w:leftChars="1000"/>
      </w:pPr>
      <w:hyperlink w:anchor="page_46">
        <w:r>
          <w:rPr>
            <w:color w:val="0000FF" w:themeColor="hyperlink"/>
            <w:u w:val="single"/>
          </w:rPr>
          <w:t>Check the serving file names</w:t>
        </w:r>
      </w:hyperlink>
    </w:p>
    <w:p>
      <w:pPr>
        <w:pStyle w:val="Normal"/>
        <w:ind w:left="0" w:firstLineChars="0" w:firstLine="0" w:leftChars="1000"/>
      </w:pPr>
      <w:hyperlink w:anchor="page_46">
        <w:r>
          <w:rPr>
            <w:color w:val="0000FF" w:themeColor="hyperlink"/>
            <w:u w:val="single"/>
          </w:rPr>
          <w:t>Booting screenshots</w:t>
        </w:r>
      </w:hyperlink>
    </w:p>
    <w:p>
      <w:pPr>
        <w:pStyle w:val="Normal"/>
        <w:ind w:left="0" w:firstLineChars="0" w:firstLine="0" w:leftChars="1000"/>
      </w:pPr>
      <w:hyperlink w:anchor="Top_of_index_split_019_html">
        <w:r>
          <w:rPr>
            <w:color w:val="0000FF" w:themeColor="hyperlink"/>
            <w:u w:val="single"/>
          </w:rPr>
          <w:t>Choose between the arm64 and arm64+largemem installer options</w:t>
        </w:r>
      </w:hyperlink>
    </w:p>
    <w:p>
      <w:pPr>
        <w:pStyle w:val="Normal"/>
        <w:ind w:left="0" w:firstLineChars="0" w:firstLine="0" w:leftChars="1000"/>
      </w:pPr>
      <w:hyperlink w:anchor="Top_of_index_split_019_html">
        <w:r>
          <w:rPr>
            <w:color w:val="0000FF" w:themeColor="hyperlink"/>
            <w:u w:val="single"/>
          </w:rPr>
          <w:t>The default arm64 (4k) option</w:t>
        </w:r>
      </w:hyperlink>
    </w:p>
    <w:p>
      <w:pPr>
        <w:pStyle w:val="Normal"/>
        <w:ind w:left="0" w:firstLineChars="0" w:firstLine="0" w:leftChars="1000"/>
      </w:pPr>
      <w:hyperlink w:anchor="Top_of_index_split_020_html">
        <w:r>
          <w:rPr>
            <w:color w:val="0000FF" w:themeColor="hyperlink"/>
            <w:u w:val="single"/>
          </w:rPr>
          <w:t>The arm64+largemem (64k) option</w:t>
        </w:r>
      </w:hyperlink>
    </w:p>
    <w:p>
      <w:pPr>
        <w:pStyle w:val="Normal"/>
        <w:ind w:left="0" w:firstLineChars="0" w:firstLine="0" w:leftChars="1000"/>
      </w:pPr>
      <w:hyperlink w:anchor="Top_of_index_split_020_html">
        <w:r>
          <w:rPr>
            <w:color w:val="0000FF" w:themeColor="hyperlink"/>
            <w:u w:val="single"/>
          </w:rPr>
          <w:t>Switching kernels post-installation</w:t>
        </w:r>
      </w:hyperlink>
    </w:p>
    <w:p>
      <w:pPr>
        <w:pStyle w:val="Normal"/>
        <w:ind w:left="0" w:firstLineChars="0" w:firstLine="0" w:leftChars="1000"/>
      </w:pPr>
      <w:hyperlink w:anchor="page_49">
        <w:r>
          <w:rPr>
            <w:color w:val="0000FF" w:themeColor="hyperlink"/>
            <w:u w:val="single"/>
          </w:rPr>
          <w:t>Netboot the live server installer on IBM Power (ppc64el) with Petitboot</w:t>
        </w:r>
      </w:hyperlink>
    </w:p>
    <w:p>
      <w:pPr>
        <w:pStyle w:val="Normal"/>
        <w:ind w:left="0" w:firstLineChars="0" w:firstLine="0" w:leftChars="1000"/>
      </w:pPr>
      <w:hyperlink w:anchor="page_49">
        <w:r>
          <w:rPr>
            <w:color w:val="0000FF" w:themeColor="hyperlink"/>
            <w:u w:val="single"/>
          </w:rPr>
          <w:t>Activate serial-over-LAN</w:t>
        </w:r>
      </w:hyperlink>
    </w:p>
    <w:p>
      <w:pPr>
        <w:pStyle w:val="Normal"/>
        <w:ind w:left="0" w:firstLineChars="0" w:firstLine="0" w:leftChars="1000"/>
      </w:pPr>
      <w:hyperlink w:anchor="page_51">
        <w:r>
          <w:rPr>
            <w:color w:val="0000FF" w:themeColor="hyperlink"/>
            <w:u w:val="single"/>
          </w:rPr>
          <w:t>Download the ISO</w:t>
        </w:r>
      </w:hyperlink>
    </w:p>
    <w:p>
      <w:pPr>
        <w:pStyle w:val="Normal"/>
        <w:ind w:left="0" w:firstLineChars="0" w:firstLine="0" w:leftChars="1000"/>
      </w:pPr>
      <w:hyperlink w:anchor="Top_of_index_split_021_html">
        <w:r>
          <w:rPr>
            <w:color w:val="0000FF" w:themeColor="hyperlink"/>
            <w:u w:val="single"/>
          </w:rPr>
          <w:t>How to start a live server installation on IBM Power (ppc64el) with a virtual CD-ROM and Petitboot</w:t>
        </w:r>
      </w:hyperlink>
    </w:p>
    <w:p>
      <w:pPr>
        <w:pStyle w:val="Normal"/>
        <w:ind w:left="0" w:firstLineChars="0" w:firstLine="0" w:leftChars="1000"/>
      </w:pPr>
      <w:hyperlink w:anchor="Top_of_index_split_021_html">
        <w:r>
          <w:rPr>
            <w:color w:val="0000FF" w:themeColor="hyperlink"/>
            <w:u w:val="single"/>
          </w:rPr>
          <w:t>Install ipmitool and Samba</w:t>
        </w:r>
      </w:hyperlink>
    </w:p>
    <w:p>
      <w:pPr>
        <w:pStyle w:val="Normal"/>
        <w:ind w:left="0" w:firstLineChars="0" w:firstLine="0" w:leftChars="1000"/>
      </w:pPr>
      <w:hyperlink w:anchor="Top_of_index_split_021_html">
        <w:r>
          <w:rPr>
            <w:color w:val="0000FF" w:themeColor="hyperlink"/>
            <w:u w:val="single"/>
          </w:rPr>
          <w:t>Configure Samba</w:t>
        </w:r>
      </w:hyperlink>
    </w:p>
    <w:p>
      <w:pPr>
        <w:pStyle w:val="Normal"/>
        <w:ind w:left="0" w:firstLineChars="0" w:firstLine="0" w:leftChars="1000"/>
      </w:pPr>
      <w:hyperlink w:anchor="page_55">
        <w:r>
          <w:rPr>
            <w:color w:val="0000FF" w:themeColor="hyperlink"/>
            <w:u w:val="single"/>
          </w:rPr>
          <w:t>Download the ISO image</w:t>
        </w:r>
      </w:hyperlink>
    </w:p>
    <w:p>
      <w:pPr>
        <w:pStyle w:val="Normal"/>
        <w:ind w:left="0" w:firstLineChars="0" w:firstLine="0" w:leftChars="1000"/>
      </w:pPr>
      <w:hyperlink w:anchor="page_55">
        <w:r>
          <w:rPr>
            <w:color w:val="0000FF" w:themeColor="hyperlink"/>
            <w:u w:val="single"/>
          </w:rPr>
          <w:t>Restart and check Samba</w:t>
        </w:r>
      </w:hyperlink>
    </w:p>
    <w:p>
      <w:pPr>
        <w:pStyle w:val="Normal"/>
        <w:ind w:left="0" w:firstLineChars="0" w:firstLine="0" w:leftChars="1000"/>
      </w:pPr>
      <w:hyperlink w:anchor="page_57">
        <w:r>
          <w:rPr>
            <w:color w:val="0000FF" w:themeColor="hyperlink"/>
            <w:u w:val="single"/>
          </w:rPr>
          <w:t>Boot into the Petitboot loader</w:t>
        </w:r>
      </w:hyperlink>
    </w:p>
    <w:p>
      <w:pPr>
        <w:pStyle w:val="Normal"/>
        <w:ind w:left="0" w:firstLineChars="0" w:firstLine="0" w:leftChars="1000"/>
      </w:pPr>
      <w:hyperlink w:anchor="page_60">
        <w:r>
          <w:rPr>
            <w:color w:val="0000FF" w:themeColor="hyperlink"/>
            <w:u w:val="single"/>
          </w:rPr>
          <w:t>Interactive live server installation on IBM z/VM (s390x)</w:t>
        </w:r>
      </w:hyperlink>
    </w:p>
    <w:p>
      <w:pPr>
        <w:pStyle w:val="Normal"/>
        <w:ind w:left="0" w:firstLineChars="0" w:firstLine="0" w:leftChars="1000"/>
      </w:pPr>
      <w:hyperlink w:anchor="page_76">
        <w:r>
          <w:rPr>
            <w:color w:val="0000FF" w:themeColor="hyperlink"/>
            <w:u w:val="single"/>
          </w:rPr>
          <w:t>Non-interactive IBM z/VM autoinstall (s390x)</w:t>
        </w:r>
      </w:hyperlink>
    </w:p>
    <w:p>
      <w:pPr>
        <w:pStyle w:val="Normal"/>
        <w:ind w:left="0" w:firstLineChars="0" w:firstLine="0" w:leftChars="1000"/>
      </w:pPr>
      <w:hyperlink w:anchor="page_84">
        <w:r>
          <w:rPr>
            <w:color w:val="0000FF" w:themeColor="hyperlink"/>
            <w:u w:val="single"/>
          </w:rPr>
          <w:t>Some closing notes</w:t>
        </w:r>
      </w:hyperlink>
    </w:p>
    <w:p>
      <w:pPr>
        <w:pStyle w:val="Normal"/>
        <w:ind w:left="0" w:firstLineChars="0" w:firstLine="0" w:leftChars="1000"/>
      </w:pPr>
      <w:hyperlink w:anchor="page_84">
        <w:r>
          <w:rPr>
            <w:color w:val="0000FF" w:themeColor="hyperlink"/>
            <w:u w:val="single"/>
          </w:rPr>
          <w:t>Interactive live server installation on IBM Z LPAR (s390x)</w:t>
        </w:r>
      </w:hyperlink>
    </w:p>
    <w:p>
      <w:pPr>
        <w:pStyle w:val="Normal"/>
        <w:ind w:left="0" w:firstLineChars="0" w:firstLine="0" w:leftChars="1000"/>
      </w:pPr>
      <w:hyperlink w:anchor="Top_of_index_split_022_html">
        <w:r>
          <w:rPr>
            <w:color w:val="0000FF" w:themeColor="hyperlink"/>
            <w:u w:val="single"/>
          </w:rPr>
          <w:t>Download and mount the ISO</w:t>
        </w:r>
      </w:hyperlink>
    </w:p>
    <w:p>
      <w:pPr>
        <w:pStyle w:val="Normal"/>
        <w:ind w:left="0" w:firstLineChars="0" w:firstLine="0" w:leftChars="1000"/>
      </w:pPr>
      <w:hyperlink w:anchor="Top_of_index_split_022_html">
        <w:r>
          <w:rPr>
            <w:color w:val="0000FF" w:themeColor="hyperlink"/>
            <w:u w:val="single"/>
          </w:rPr>
          <w:t>Make the files available via your FTP server.</w:t>
        </w:r>
      </w:hyperlink>
    </w:p>
    <w:p>
      <w:pPr>
        <w:pStyle w:val="Normal"/>
        <w:ind w:left="0" w:firstLineChars="0" w:firstLine="0" w:leftChars="1000"/>
      </w:pPr>
      <w:hyperlink w:anchor="page_103">
        <w:r>
          <w:rPr>
            <w:color w:val="0000FF" w:themeColor="hyperlink"/>
            <w:u w:val="single"/>
          </w:rPr>
          <w:t>Non-interactive IBM Z LPAR autoinstall (s390x)</w:t>
        </w:r>
      </w:hyperlink>
    </w:p>
    <w:p>
      <w:pPr>
        <w:pStyle w:val="Normal"/>
        <w:ind w:left="0" w:firstLineChars="0" w:firstLine="0" w:leftChars="1000"/>
      </w:pPr>
      <w:hyperlink w:anchor="page_112">
        <w:r>
          <w:rPr>
            <w:color w:val="0000FF" w:themeColor="hyperlink"/>
            <w:u w:val="single"/>
          </w:rPr>
          <w:t>Some closing notes</w:t>
        </w:r>
      </w:hyperlink>
    </w:p>
    <w:p>
      <w:pPr>
        <w:pStyle w:val="Normal"/>
        <w:ind w:left="0" w:firstLineChars="0" w:firstLine="0" w:leftChars="400"/>
      </w:pPr>
      <w:hyperlink w:anchor="page_112">
        <w:r>
          <w:rPr>
            <w:color w:val="0000FF" w:themeColor="hyperlink"/>
            <w:u w:val="single"/>
          </w:rPr>
          <w:t>Security</w:t>
        </w:r>
      </w:hyperlink>
    </w:p>
    <w:p>
      <w:pPr>
        <w:pStyle w:val="Normal"/>
        <w:ind w:left="0" w:firstLineChars="0" w:firstLine="0" w:leftChars="600"/>
      </w:pPr>
      <w:hyperlink w:anchor="page_112">
        <w:r>
          <w:rPr>
            <w:color w:val="0000FF" w:themeColor="hyperlink"/>
            <w:u w:val="single"/>
          </w:rPr>
          <w:t>Security</w:t>
        </w:r>
      </w:hyperlink>
    </w:p>
    <w:p>
      <w:pPr>
        <w:pStyle w:val="Normal"/>
        <w:ind w:left="0" w:firstLineChars="0" w:firstLine="0" w:leftChars="800"/>
      </w:pPr>
      <w:hyperlink w:anchor="page_113">
        <w:r>
          <w:rPr>
            <w:color w:val="0000FF" w:themeColor="hyperlink"/>
            <w:u w:val="single"/>
          </w:rPr>
          <w:t>General configuration</w:t>
        </w:r>
      </w:hyperlink>
    </w:p>
    <w:p>
      <w:pPr>
        <w:pStyle w:val="Normal"/>
        <w:ind w:left="0" w:firstLineChars="0" w:firstLine="0" w:leftChars="1000"/>
      </w:pPr>
      <w:hyperlink w:anchor="page_113">
        <w:r>
          <w:rPr>
            <w:color w:val="0000FF" w:themeColor="hyperlink"/>
            <w:u w:val="single"/>
          </w:rPr>
          <w:t>User management</w:t>
        </w:r>
      </w:hyperlink>
    </w:p>
    <w:p>
      <w:pPr>
        <w:pStyle w:val="Normal"/>
        <w:ind w:left="0" w:firstLineChars="0" w:firstLine="0" w:leftChars="1000"/>
      </w:pPr>
      <w:hyperlink w:anchor="page_113">
        <w:r>
          <w:rPr>
            <w:color w:val="0000FF" w:themeColor="hyperlink"/>
            <w:u w:val="single"/>
          </w:rPr>
          <w:t>Where is root?</w:t>
        </w:r>
      </w:hyperlink>
    </w:p>
    <w:p>
      <w:pPr>
        <w:pStyle w:val="Normal"/>
        <w:ind w:left="0" w:firstLineChars="0" w:firstLine="0" w:leftChars="1000"/>
      </w:pPr>
      <w:hyperlink w:anchor="page_113">
        <w:r>
          <w:rPr>
            <w:color w:val="0000FF" w:themeColor="hyperlink"/>
            <w:u w:val="single"/>
          </w:rPr>
          <w:t>sudo-rs</w:t>
        </w:r>
      </w:hyperlink>
    </w:p>
    <w:p>
      <w:pPr>
        <w:pStyle w:val="Normal"/>
        <w:ind w:left="0" w:firstLineChars="0" w:firstLine="0" w:leftChars="1000"/>
      </w:pPr>
      <w:hyperlink w:anchor="page_114">
        <w:r>
          <w:rPr>
            <w:color w:val="0000FF" w:themeColor="hyperlink"/>
            <w:u w:val="single"/>
          </w:rPr>
          <w:t>Enabling the root account</w:t>
        </w:r>
      </w:hyperlink>
    </w:p>
    <w:p>
      <w:pPr>
        <w:pStyle w:val="Normal"/>
        <w:ind w:left="0" w:firstLineChars="0" w:firstLine="0" w:leftChars="1000"/>
      </w:pPr>
      <w:hyperlink w:anchor="page_114">
        <w:r>
          <w:rPr>
            <w:color w:val="0000FF" w:themeColor="hyperlink"/>
            <w:u w:val="single"/>
          </w:rPr>
          <w:t>Disabling the root account password</w:t>
        </w:r>
      </w:hyperlink>
    </w:p>
    <w:p>
      <w:pPr>
        <w:pStyle w:val="Normal"/>
        <w:ind w:left="0" w:firstLineChars="0" w:firstLine="0" w:leftChars="1000"/>
      </w:pPr>
      <w:hyperlink w:anchor="page_114">
        <w:r>
          <w:rPr>
            <w:color w:val="0000FF" w:themeColor="hyperlink"/>
            <w:u w:val="single"/>
          </w:rPr>
          <w:t>Listing, adding, and deleting local users</w:t>
        </w:r>
      </w:hyperlink>
    </w:p>
    <w:p>
      <w:pPr>
        <w:pStyle w:val="Normal"/>
        <w:ind w:left="0" w:firstLineChars="0" w:firstLine="0" w:leftChars="1000"/>
      </w:pPr>
      <w:hyperlink w:anchor="page_115">
        <w:r>
          <w:rPr>
            <w:color w:val="0000FF" w:themeColor="hyperlink"/>
            <w:u w:val="single"/>
          </w:rPr>
          <w:t>Listing local users</w:t>
        </w:r>
      </w:hyperlink>
    </w:p>
    <w:p>
      <w:pPr>
        <w:pStyle w:val="Normal"/>
        <w:ind w:left="0" w:firstLineChars="0" w:firstLine="0" w:leftChars="1000"/>
      </w:pPr>
      <w:hyperlink w:anchor="page_116">
        <w:r>
          <w:rPr>
            <w:color w:val="0000FF" w:themeColor="hyperlink"/>
            <w:u w:val="single"/>
          </w:rPr>
          <w:t>A note about remote users</w:t>
        </w:r>
      </w:hyperlink>
    </w:p>
    <w:p>
      <w:pPr>
        <w:pStyle w:val="Normal"/>
        <w:ind w:left="0" w:firstLineChars="0" w:firstLine="0" w:leftChars="1000"/>
      </w:pPr>
      <w:hyperlink w:anchor="page_116">
        <w:r>
          <w:rPr>
            <w:color w:val="0000FF" w:themeColor="hyperlink"/>
            <w:u w:val="single"/>
          </w:rPr>
          <w:t>Add a user</w:t>
        </w:r>
      </w:hyperlink>
    </w:p>
    <w:p>
      <w:pPr>
        <w:pStyle w:val="Normal"/>
        <w:ind w:left="0" w:firstLineChars="0" w:firstLine="0" w:leftChars="1000"/>
      </w:pPr>
      <w:hyperlink w:anchor="Top_of_index_split_023_html">
        <w:r>
          <w:rPr>
            <w:color w:val="0000FF" w:themeColor="hyperlink"/>
            <w:u w:val="single"/>
          </w:rPr>
          <w:t>Delete a user</w:t>
        </w:r>
      </w:hyperlink>
    </w:p>
    <w:p>
      <w:pPr>
        <w:pStyle w:val="Normal"/>
        <w:ind w:left="0" w:firstLineChars="0" w:firstLine="0" w:leftChars="1000"/>
      </w:pPr>
      <w:hyperlink w:anchor="Top_of_index_split_023_html">
        <w:r>
          <w:rPr>
            <w:color w:val="0000FF" w:themeColor="hyperlink"/>
            <w:u w:val="single"/>
          </w:rPr>
          <w:t>Lock or unlock a password</w:t>
        </w:r>
      </w:hyperlink>
    </w:p>
    <w:p>
      <w:pPr>
        <w:pStyle w:val="Normal"/>
        <w:ind w:left="0" w:firstLineChars="0" w:firstLine="0" w:leftChars="1000"/>
      </w:pPr>
      <w:hyperlink w:anchor="Top_of_index_split_023_html">
        <w:r>
          <w:rPr>
            <w:color w:val="0000FF" w:themeColor="hyperlink"/>
            <w:u w:val="single"/>
          </w:rPr>
          <w:t>Add or delete a group</w:t>
        </w:r>
      </w:hyperlink>
    </w:p>
    <w:p>
      <w:pPr>
        <w:pStyle w:val="Normal"/>
        <w:ind w:left="0" w:firstLineChars="0" w:firstLine="0" w:leftChars="1000"/>
      </w:pPr>
      <w:hyperlink w:anchor="Top_of_index_split_023_html">
        <w:r>
          <w:rPr>
            <w:color w:val="0000FF" w:themeColor="hyperlink"/>
            <w:u w:val="single"/>
          </w:rPr>
          <w:t>Add a user to a group</w:t>
        </w:r>
      </w:hyperlink>
    </w:p>
    <w:p>
      <w:pPr>
        <w:pStyle w:val="Normal"/>
        <w:ind w:left="0" w:firstLineChars="0" w:firstLine="0" w:leftChars="1000"/>
      </w:pPr>
      <w:hyperlink w:anchor="Top_of_index_split_024_html">
        <w:r>
          <w:rPr>
            <w:color w:val="0000FF" w:themeColor="hyperlink"/>
            <w:u w:val="single"/>
          </w:rPr>
          <w:t>User profile security</w:t>
        </w:r>
      </w:hyperlink>
    </w:p>
    <w:p>
      <w:pPr>
        <w:pStyle w:val="Normal"/>
        <w:ind w:left="0" w:firstLineChars="0" w:firstLine="0" w:leftChars="1000"/>
      </w:pPr>
      <w:hyperlink w:anchor="page_119">
        <w:r>
          <w:rPr>
            <w:color w:val="0000FF" w:themeColor="hyperlink"/>
            <w:u w:val="single"/>
          </w:rPr>
          <w:t>Password policy</w:t>
        </w:r>
      </w:hyperlink>
    </w:p>
    <w:p>
      <w:pPr>
        <w:pStyle w:val="Normal"/>
        <w:ind w:left="0" w:firstLineChars="0" w:firstLine="0" w:leftChars="1000"/>
      </w:pPr>
      <w:hyperlink w:anchor="page_119">
        <w:r>
          <w:rPr>
            <w:color w:val="0000FF" w:themeColor="hyperlink"/>
            <w:u w:val="single"/>
          </w:rPr>
          <w:t>Minimum password length</w:t>
        </w:r>
      </w:hyperlink>
    </w:p>
    <w:p>
      <w:pPr>
        <w:pStyle w:val="Normal"/>
        <w:ind w:left="0" w:firstLineChars="0" w:firstLine="0" w:leftChars="1000"/>
      </w:pPr>
      <w:hyperlink w:anchor="page_119">
        <w:r>
          <w:rPr>
            <w:color w:val="0000FF" w:themeColor="hyperlink"/>
            <w:u w:val="single"/>
          </w:rPr>
          <w:t>Password expiration</w:t>
        </w:r>
      </w:hyperlink>
    </w:p>
    <w:p>
      <w:pPr>
        <w:pStyle w:val="Normal"/>
        <w:ind w:left="0" w:firstLineChars="0" w:firstLine="0" w:leftChars="1000"/>
      </w:pPr>
      <w:hyperlink w:anchor="page_120">
        <w:r>
          <w:rPr>
            <w:color w:val="0000FF" w:themeColor="hyperlink"/>
            <w:u w:val="single"/>
          </w:rPr>
          <w:t>Other security considerations</w:t>
        </w:r>
      </w:hyperlink>
    </w:p>
    <w:p>
      <w:pPr>
        <w:pStyle w:val="Normal"/>
        <w:ind w:left="0" w:firstLineChars="0" w:firstLine="0" w:leftChars="1000"/>
      </w:pPr>
      <w:hyperlink w:anchor="page_120">
        <w:r>
          <w:rPr>
            <w:color w:val="0000FF" w:themeColor="hyperlink"/>
            <w:u w:val="single"/>
          </w:rPr>
          <w:t>SSH access by disabled passwords</w:t>
        </w:r>
      </w:hyperlink>
    </w:p>
    <w:p>
      <w:pPr>
        <w:pStyle w:val="Normal"/>
        <w:ind w:left="0" w:firstLineChars="0" w:firstLine="0" w:leftChars="1000"/>
      </w:pPr>
      <w:hyperlink w:anchor="page_121">
        <w:r>
          <w:rPr>
            <w:color w:val="0000FF" w:themeColor="hyperlink"/>
            <w:u w:val="single"/>
          </w:rPr>
          <w:t>External user database authentication</w:t>
        </w:r>
      </w:hyperlink>
    </w:p>
    <w:p>
      <w:pPr>
        <w:pStyle w:val="Normal"/>
        <w:ind w:left="0" w:firstLineChars="0" w:firstLine="0" w:leftChars="1000"/>
      </w:pPr>
      <w:hyperlink w:anchor="page_121">
        <w:r>
          <w:rPr>
            <w:color w:val="0000FF" w:themeColor="hyperlink"/>
            <w:u w:val="single"/>
          </w:rPr>
          <w:t>Firewall</w:t>
        </w:r>
      </w:hyperlink>
    </w:p>
    <w:p>
      <w:pPr>
        <w:pStyle w:val="Normal"/>
        <w:ind w:left="0" w:firstLineChars="0" w:firstLine="0" w:leftChars="1000"/>
      </w:pPr>
      <w:hyperlink w:anchor="page_121">
        <w:r>
          <w:rPr>
            <w:color w:val="0000FF" w:themeColor="hyperlink"/>
            <w:u w:val="single"/>
          </w:rPr>
          <w:t>ufw - Uncomplicated Firewall</w:t>
        </w:r>
      </w:hyperlink>
    </w:p>
    <w:p>
      <w:pPr>
        <w:pStyle w:val="Normal"/>
        <w:ind w:left="0" w:firstLineChars="0" w:firstLine="0" w:leftChars="1000"/>
      </w:pPr>
      <w:hyperlink w:anchor="page_122">
        <w:r>
          <w:rPr>
            <w:color w:val="0000FF" w:themeColor="hyperlink"/>
            <w:u w:val="single"/>
          </w:rPr>
          <w:t>Enable or disable ufw</w:t>
        </w:r>
      </w:hyperlink>
    </w:p>
    <w:p>
      <w:pPr>
        <w:pStyle w:val="Normal"/>
        <w:ind w:left="0" w:firstLineChars="0" w:firstLine="0" w:leftChars="1000"/>
      </w:pPr>
      <w:hyperlink w:anchor="page_122">
        <w:r>
          <w:rPr>
            <w:color w:val="0000FF" w:themeColor="hyperlink"/>
            <w:u w:val="single"/>
          </w:rPr>
          <w:t>Open or close a port</w:t>
        </w:r>
      </w:hyperlink>
    </w:p>
    <w:p>
      <w:pPr>
        <w:pStyle w:val="Normal"/>
        <w:ind w:left="0" w:firstLineChars="0" w:firstLine="0" w:leftChars="1000"/>
      </w:pPr>
      <w:hyperlink w:anchor="page_122">
        <w:r>
          <w:rPr>
            <w:color w:val="0000FF" w:themeColor="hyperlink"/>
            <w:u w:val="single"/>
          </w:rPr>
          <w:t>Add or remove a rule</w:t>
        </w:r>
      </w:hyperlink>
    </w:p>
    <w:p>
      <w:pPr>
        <w:pStyle w:val="Normal"/>
        <w:ind w:left="0" w:firstLineChars="0" w:firstLine="0" w:leftChars="1000"/>
      </w:pPr>
      <w:hyperlink w:anchor="page_122">
        <w:r>
          <w:rPr>
            <w:color w:val="0000FF" w:themeColor="hyperlink"/>
            <w:u w:val="single"/>
          </w:rPr>
          <w:t>Allow access from specific hosts</w:t>
        </w:r>
      </w:hyperlink>
    </w:p>
    <w:p>
      <w:pPr>
        <w:pStyle w:val="Normal"/>
        <w:ind w:left="0" w:firstLineChars="0" w:firstLine="0" w:leftChars="1000"/>
      </w:pPr>
      <w:hyperlink w:anchor="Top_of_index_split_025_html">
        <w:r>
          <w:rPr>
            <w:color w:val="0000FF" w:themeColor="hyperlink"/>
            <w:u w:val="single"/>
          </w:rPr>
          <w:t>The --dry-run option</w:t>
        </w:r>
      </w:hyperlink>
    </w:p>
    <w:p>
      <w:pPr>
        <w:pStyle w:val="Normal"/>
        <w:ind w:left="0" w:firstLineChars="0" w:firstLine="0" w:leftChars="1000"/>
      </w:pPr>
      <w:hyperlink w:anchor="Top_of_index_split_025_html">
        <w:r>
          <w:rPr>
            <w:color w:val="0000FF" w:themeColor="hyperlink"/>
            <w:u w:val="single"/>
          </w:rPr>
          <w:t>Check the status</w:t>
        </w:r>
      </w:hyperlink>
    </w:p>
    <w:p>
      <w:pPr>
        <w:pStyle w:val="Normal"/>
        <w:ind w:left="0" w:firstLineChars="0" w:firstLine="0" w:leftChars="1000"/>
      </w:pPr>
      <w:hyperlink w:anchor="Top_of_index_split_026_html">
        <w:r>
          <w:rPr>
            <w:color w:val="0000FF" w:themeColor="hyperlink"/>
            <w:u w:val="single"/>
          </w:rPr>
          <w:t>ufw application integration</w:t>
        </w:r>
      </w:hyperlink>
    </w:p>
    <w:p>
      <w:pPr>
        <w:pStyle w:val="Normal"/>
        <w:ind w:left="0" w:firstLineChars="0" w:firstLine="0" w:leftChars="1000"/>
      </w:pPr>
      <w:hyperlink w:anchor="Top_of_index_split_026_html">
        <w:r>
          <w:rPr>
            <w:color w:val="0000FF" w:themeColor="hyperlink"/>
            <w:u w:val="single"/>
          </w:rPr>
          <w:t>IP masquerading</w:t>
        </w:r>
      </w:hyperlink>
    </w:p>
    <w:p>
      <w:pPr>
        <w:pStyle w:val="Normal"/>
        <w:ind w:left="0" w:firstLineChars="0" w:firstLine="0" w:leftChars="1000"/>
      </w:pPr>
      <w:hyperlink w:anchor="page_125">
        <w:r>
          <w:rPr>
            <w:color w:val="0000FF" w:themeColor="hyperlink"/>
            <w:u w:val="single"/>
          </w:rPr>
          <w:t>IP masquerading with ufw</w:t>
        </w:r>
      </w:hyperlink>
    </w:p>
    <w:p>
      <w:pPr>
        <w:pStyle w:val="Normal"/>
        <w:ind w:left="0" w:firstLineChars="0" w:firstLine="0" w:leftChars="1000"/>
      </w:pPr>
      <w:hyperlink w:anchor="page_125">
        <w:r>
          <w:rPr>
            <w:color w:val="0000FF" w:themeColor="hyperlink"/>
            <w:u w:val="single"/>
          </w:rPr>
          <w:t>Enable packet forwarding</w:t>
        </w:r>
      </w:hyperlink>
    </w:p>
    <w:p>
      <w:pPr>
        <w:pStyle w:val="Normal"/>
        <w:ind w:left="0" w:firstLineChars="0" w:firstLine="0" w:leftChars="1000"/>
      </w:pPr>
      <w:hyperlink w:anchor="page_125">
        <w:r>
          <w:rPr>
            <w:color w:val="0000FF" w:themeColor="hyperlink"/>
            <w:u w:val="single"/>
          </w:rPr>
          <w:t>Add the configuration</w:t>
        </w:r>
      </w:hyperlink>
    </w:p>
    <w:p>
      <w:pPr>
        <w:pStyle w:val="Normal"/>
        <w:ind w:left="0" w:firstLineChars="0" w:firstLine="0" w:leftChars="1000"/>
      </w:pPr>
      <w:hyperlink w:anchor="page_126">
        <w:r>
          <w:rPr>
            <w:color w:val="0000FF" w:themeColor="hyperlink"/>
            <w:u w:val="single"/>
          </w:rPr>
          <w:t>Restart ufw</w:t>
        </w:r>
      </w:hyperlink>
    </w:p>
    <w:p>
      <w:pPr>
        <w:pStyle w:val="Normal"/>
        <w:ind w:left="0" w:firstLineChars="0" w:firstLine="0" w:leftChars="1000"/>
      </w:pPr>
      <w:hyperlink w:anchor="page_126">
        <w:r>
          <w:rPr>
            <w:color w:val="0000FF" w:themeColor="hyperlink"/>
            <w:u w:val="single"/>
          </w:rPr>
          <w:t>IP masquerading with iptables</w:t>
        </w:r>
      </w:hyperlink>
    </w:p>
    <w:p>
      <w:pPr>
        <w:pStyle w:val="Normal"/>
        <w:ind w:left="0" w:firstLineChars="0" w:firstLine="0" w:leftChars="1000"/>
      </w:pPr>
      <w:hyperlink w:anchor="page_127">
        <w:r>
          <w:rPr>
            <w:color w:val="0000FF" w:themeColor="hyperlink"/>
            <w:u w:val="single"/>
          </w:rPr>
          <w:t>Logs</w:t>
        </w:r>
      </w:hyperlink>
    </w:p>
    <w:p>
      <w:pPr>
        <w:pStyle w:val="Normal"/>
        <w:ind w:left="0" w:firstLineChars="0" w:firstLine="0" w:leftChars="1000"/>
      </w:pPr>
      <w:hyperlink w:anchor="page_128">
        <w:r>
          <w:rPr>
            <w:color w:val="0000FF" w:themeColor="hyperlink"/>
            <w:u w:val="single"/>
          </w:rPr>
          <w:t>Other tools</w:t>
        </w:r>
      </w:hyperlink>
    </w:p>
    <w:p>
      <w:pPr>
        <w:pStyle w:val="Normal"/>
        <w:ind w:left="0" w:firstLineChars="0" w:firstLine="0" w:leftChars="1000"/>
      </w:pPr>
      <w:hyperlink w:anchor="page_128">
        <w:r>
          <w:rPr>
            <w:color w:val="0000FF" w:themeColor="hyperlink"/>
            <w:u w:val="single"/>
          </w:rPr>
          <w:t>Further reading</w:t>
        </w:r>
      </w:hyperlink>
    </w:p>
    <w:p>
      <w:pPr>
        <w:pStyle w:val="Normal"/>
        <w:ind w:left="0" w:firstLineChars="0" w:firstLine="0" w:leftChars="1000"/>
      </w:pPr>
      <w:hyperlink w:anchor="page_128">
        <w:r>
          <w:rPr>
            <w:color w:val="0000FF" w:themeColor="hyperlink"/>
            <w:u w:val="single"/>
          </w:rPr>
          <w:t>AppArmor</w:t>
        </w:r>
      </w:hyperlink>
    </w:p>
    <w:p>
      <w:pPr>
        <w:pStyle w:val="Normal"/>
        <w:ind w:left="0" w:firstLineChars="0" w:firstLine="0" w:leftChars="1000"/>
      </w:pPr>
      <w:hyperlink w:anchor="page_128">
        <w:r>
          <w:rPr>
            <w:color w:val="0000FF" w:themeColor="hyperlink"/>
            <w:u w:val="single"/>
          </w:rPr>
          <w:t>Install AppArmor Profiles</w:t>
        </w:r>
      </w:hyperlink>
    </w:p>
    <w:p>
      <w:pPr>
        <w:pStyle w:val="Normal"/>
        <w:ind w:left="0" w:firstLineChars="0" w:firstLine="0" w:leftChars="1000"/>
      </w:pPr>
      <w:hyperlink w:anchor="page_129">
        <w:r>
          <w:rPr>
            <w:color w:val="0000FF" w:themeColor="hyperlink"/>
            <w:u w:val="single"/>
          </w:rPr>
          <w:t>Using AppArmor</w:t>
        </w:r>
      </w:hyperlink>
    </w:p>
    <w:p>
      <w:pPr>
        <w:pStyle w:val="Normal"/>
        <w:ind w:left="0" w:firstLineChars="0" w:firstLine="0" w:leftChars="1000"/>
      </w:pPr>
      <w:hyperlink w:anchor="page_129">
        <w:r>
          <w:rPr>
            <w:color w:val="0000FF" w:themeColor="hyperlink"/>
            <w:u w:val="single"/>
          </w:rPr>
          <w:t>Common commands</w:t>
        </w:r>
      </w:hyperlink>
    </w:p>
    <w:p>
      <w:pPr>
        <w:pStyle w:val="Normal"/>
        <w:ind w:left="0" w:firstLineChars="0" w:firstLine="0" w:leftChars="1000"/>
      </w:pPr>
      <w:hyperlink w:anchor="page_129">
        <w:r>
          <w:rPr>
            <w:color w:val="0000FF" w:themeColor="hyperlink"/>
            <w:u w:val="single"/>
          </w:rPr>
          <w:t>Disabling or re-enabling a profile</w:t>
        </w:r>
      </w:hyperlink>
    </w:p>
    <w:p>
      <w:pPr>
        <w:pStyle w:val="Normal"/>
        <w:ind w:left="0" w:firstLineChars="0" w:firstLine="0" w:leftChars="1000"/>
      </w:pPr>
      <w:hyperlink w:anchor="page_130">
        <w:r>
          <w:rPr>
            <w:color w:val="0000FF" w:themeColor="hyperlink"/>
            <w:u w:val="single"/>
          </w:rPr>
          <w:t>Profiles</w:t>
        </w:r>
      </w:hyperlink>
    </w:p>
    <w:p>
      <w:pPr>
        <w:pStyle w:val="Normal"/>
        <w:ind w:left="0" w:firstLineChars="0" w:firstLine="0" w:leftChars="1000"/>
      </w:pPr>
      <w:hyperlink w:anchor="Top_of_index_split_027_html">
        <w:r>
          <w:rPr>
            <w:color w:val="0000FF" w:themeColor="hyperlink"/>
            <w:u w:val="single"/>
          </w:rPr>
          <w:t>Create a Profile</w:t>
        </w:r>
      </w:hyperlink>
    </w:p>
    <w:p>
      <w:pPr>
        <w:pStyle w:val="Normal"/>
        <w:ind w:left="0" w:firstLineChars="0" w:firstLine="0" w:leftChars="1000"/>
      </w:pPr>
      <w:hyperlink w:anchor="Top_of_index_split_027_html">
        <w:r>
          <w:rPr>
            <w:color w:val="0000FF" w:themeColor="hyperlink"/>
            <w:u w:val="single"/>
          </w:rPr>
          <w:t>Updating profiles</w:t>
        </w:r>
      </w:hyperlink>
    </w:p>
    <w:p>
      <w:pPr>
        <w:pStyle w:val="Normal"/>
        <w:ind w:left="0" w:firstLineChars="0" w:firstLine="0" w:leftChars="1000"/>
      </w:pPr>
      <w:hyperlink w:anchor="Top_of_index_split_027_html">
        <w:r>
          <w:rPr>
            <w:color w:val="0000FF" w:themeColor="hyperlink"/>
            <w:u w:val="single"/>
          </w:rPr>
          <w:t>Further pre-existing profiles</w:t>
        </w:r>
      </w:hyperlink>
    </w:p>
    <w:p>
      <w:pPr>
        <w:pStyle w:val="Normal"/>
        <w:ind w:left="0" w:firstLineChars="0" w:firstLine="0" w:leftChars="1000"/>
      </w:pPr>
      <w:hyperlink w:anchor="page_132">
        <w:r>
          <w:rPr>
            <w:color w:val="0000FF" w:themeColor="hyperlink"/>
            <w:u w:val="single"/>
          </w:rPr>
          <w:t>Checking and debugging denies</w:t>
        </w:r>
      </w:hyperlink>
    </w:p>
    <w:p>
      <w:pPr>
        <w:pStyle w:val="Normal"/>
        <w:ind w:left="0" w:firstLineChars="0" w:firstLine="0" w:leftChars="1000"/>
      </w:pPr>
      <w:hyperlink w:anchor="page_132">
        <w:r>
          <w:rPr>
            <w:color w:val="0000FF" w:themeColor="hyperlink"/>
            <w:u w:val="single"/>
          </w:rPr>
          <w:t>Profile customization</w:t>
        </w:r>
      </w:hyperlink>
    </w:p>
    <w:p>
      <w:pPr>
        <w:pStyle w:val="Normal"/>
        <w:ind w:left="0" w:firstLineChars="0" w:firstLine="0" w:leftChars="1000"/>
      </w:pPr>
      <w:hyperlink w:anchor="page_133">
        <w:r>
          <w:rPr>
            <w:color w:val="0000FF" w:themeColor="hyperlink"/>
            <w:u w:val="single"/>
          </w:rPr>
          <w:t>Disabling or Re-enabling AppArmor</w:t>
        </w:r>
      </w:hyperlink>
    </w:p>
    <w:p>
      <w:pPr>
        <w:pStyle w:val="Normal"/>
        <w:ind w:left="0" w:firstLineChars="0" w:firstLine="0" w:leftChars="1000"/>
      </w:pPr>
      <w:hyperlink w:anchor="page_133">
        <w:r>
          <w:rPr>
            <w:color w:val="0000FF" w:themeColor="hyperlink"/>
            <w:u w:val="single"/>
          </w:rPr>
          <w:t>Disable AppArmor</w:t>
        </w:r>
      </w:hyperlink>
    </w:p>
    <w:p>
      <w:pPr>
        <w:pStyle w:val="Normal"/>
        <w:ind w:left="0" w:firstLineChars="0" w:firstLine="0" w:leftChars="1000"/>
      </w:pPr>
      <w:hyperlink w:anchor="page_134">
        <w:r>
          <w:rPr>
            <w:color w:val="0000FF" w:themeColor="hyperlink"/>
            <w:u w:val="single"/>
          </w:rPr>
          <w:t>Re-enable AppArmor</w:t>
        </w:r>
      </w:hyperlink>
    </w:p>
    <w:p>
      <w:pPr>
        <w:pStyle w:val="Normal"/>
        <w:ind w:left="0" w:firstLineChars="0" w:firstLine="0" w:leftChars="1000"/>
      </w:pPr>
      <w:hyperlink w:anchor="page_134">
        <w:r>
          <w:rPr>
            <w:color w:val="0000FF" w:themeColor="hyperlink"/>
            <w:u w:val="single"/>
          </w:rPr>
          <w:t>Further reading</w:t>
        </w:r>
      </w:hyperlink>
    </w:p>
    <w:p>
      <w:pPr>
        <w:pStyle w:val="Normal"/>
        <w:ind w:left="0" w:firstLineChars="0" w:firstLine="0" w:leftChars="1000"/>
      </w:pPr>
      <w:hyperlink w:anchor="Top_of_index_split_028_html">
        <w:r>
          <w:rPr>
            <w:color w:val="0000FF" w:themeColor="hyperlink"/>
            <w:u w:val="single"/>
          </w:rPr>
          <w:t>Console security</w:t>
        </w:r>
      </w:hyperlink>
    </w:p>
    <w:p>
      <w:pPr>
        <w:pStyle w:val="Normal"/>
        <w:ind w:left="0" w:firstLineChars="0" w:firstLine="0" w:leftChars="1000"/>
      </w:pPr>
      <w:hyperlink w:anchor="Top_of_index_split_028_html">
        <w:r>
          <w:rPr>
            <w:color w:val="0000FF" w:themeColor="hyperlink"/>
            <w:u w:val="single"/>
          </w:rPr>
          <w:t>Disable Ctrl+Alt+Delete</w:t>
        </w:r>
      </w:hyperlink>
    </w:p>
    <w:p>
      <w:pPr>
        <w:pStyle w:val="Normal"/>
        <w:ind w:left="0" w:firstLineChars="0" w:firstLine="0" w:leftChars="1000"/>
      </w:pPr>
      <w:hyperlink w:anchor="Top_of_index_split_028_html">
        <w:r>
          <w:rPr>
            <w:color w:val="0000FF" w:themeColor="hyperlink"/>
            <w:u w:val="single"/>
          </w:rPr>
          <w:t>TPM-based LUKS decryption with Clevis</w:t>
        </w:r>
      </w:hyperlink>
    </w:p>
    <w:p>
      <w:pPr>
        <w:pStyle w:val="Normal"/>
        <w:ind w:left="0" w:firstLineChars="0" w:firstLine="0" w:leftChars="1000"/>
      </w:pPr>
      <w:hyperlink w:anchor="page_136">
        <w:r>
          <w:rPr>
            <w:color w:val="0000FF" w:themeColor="hyperlink"/>
            <w:u w:val="single"/>
          </w:rPr>
          <w:t>Prerequisites</w:t>
        </w:r>
      </w:hyperlink>
    </w:p>
    <w:p>
      <w:pPr>
        <w:pStyle w:val="Normal"/>
        <w:ind w:left="0" w:firstLineChars="0" w:firstLine="0" w:leftChars="1000"/>
      </w:pPr>
      <w:hyperlink w:anchor="page_136">
        <w:r>
          <w:rPr>
            <w:color w:val="0000FF" w:themeColor="hyperlink"/>
            <w:u w:val="single"/>
          </w:rPr>
          <w:t>Install Clevis and Dracut integration</w:t>
        </w:r>
      </w:hyperlink>
    </w:p>
    <w:p>
      <w:pPr>
        <w:pStyle w:val="Normal"/>
        <w:ind w:left="0" w:firstLineChars="0" w:firstLine="0" w:leftChars="1000"/>
      </w:pPr>
      <w:hyperlink w:anchor="page_136">
        <w:r>
          <w:rPr>
            <w:color w:val="0000FF" w:themeColor="hyperlink"/>
            <w:u w:val="single"/>
          </w:rPr>
          <w:t>Binding a LUKS volume</w:t>
        </w:r>
      </w:hyperlink>
    </w:p>
    <w:p>
      <w:pPr>
        <w:pStyle w:val="Normal"/>
        <w:ind w:left="0" w:firstLineChars="0" w:firstLine="0" w:leftChars="1000"/>
      </w:pPr>
      <w:hyperlink w:anchor="page_136">
        <w:r>
          <w:rPr>
            <w:color w:val="0000FF" w:themeColor="hyperlink"/>
            <w:u w:val="single"/>
          </w:rPr>
          <w:t>Updating the initial ramdisk</w:t>
        </w:r>
      </w:hyperlink>
    </w:p>
    <w:p>
      <w:pPr>
        <w:pStyle w:val="Normal"/>
        <w:ind w:left="0" w:firstLineChars="0" w:firstLine="0" w:leftChars="1000"/>
      </w:pPr>
      <w:hyperlink w:anchor="page_137">
        <w:r>
          <w:rPr>
            <w:color w:val="0000FF" w:themeColor="hyperlink"/>
            <w:u w:val="single"/>
          </w:rPr>
          <w:t>Unlocking secondary disks</w:t>
        </w:r>
      </w:hyperlink>
    </w:p>
    <w:p>
      <w:pPr>
        <w:pStyle w:val="Normal"/>
        <w:ind w:left="0" w:firstLineChars="0" w:firstLine="0" w:leftChars="1000"/>
      </w:pPr>
      <w:hyperlink w:anchor="page_138">
        <w:r>
          <w:rPr>
            <w:color w:val="0000FF" w:themeColor="hyperlink"/>
            <w:u w:val="single"/>
          </w:rPr>
          <w:t>Removing a TPM binding</w:t>
        </w:r>
      </w:hyperlink>
    </w:p>
    <w:p>
      <w:pPr>
        <w:pStyle w:val="Normal"/>
        <w:ind w:left="0" w:firstLineChars="0" w:firstLine="0" w:leftChars="800"/>
      </w:pPr>
      <w:hyperlink w:anchor="page_138">
        <w:r>
          <w:rPr>
            <w:color w:val="0000FF" w:themeColor="hyperlink"/>
            <w:u w:val="single"/>
          </w:rPr>
          <w:t>Authentication</w:t>
        </w:r>
      </w:hyperlink>
    </w:p>
    <w:p>
      <w:pPr>
        <w:pStyle w:val="Normal"/>
        <w:ind w:left="0" w:firstLineChars="0" w:firstLine="0" w:leftChars="1000"/>
      </w:pPr>
      <w:hyperlink w:anchor="page_138">
        <w:r>
          <w:rPr>
            <w:color w:val="0000FF" w:themeColor="hyperlink"/>
            <w:u w:val="single"/>
          </w:rPr>
          <w:t>Kerberos</w:t>
        </w:r>
      </w:hyperlink>
    </w:p>
    <w:p>
      <w:pPr>
        <w:pStyle w:val="Normal"/>
        <w:ind w:left="0" w:firstLineChars="0" w:firstLine="0" w:leftChars="1000"/>
      </w:pPr>
      <w:hyperlink w:anchor="page_138">
        <w:r>
          <w:rPr>
            <w:color w:val="0000FF" w:themeColor="hyperlink"/>
            <w:u w:val="single"/>
          </w:rPr>
          <w:t>How to install a Kerberos server</w:t>
        </w:r>
      </w:hyperlink>
    </w:p>
    <w:p>
      <w:pPr>
        <w:pStyle w:val="Normal"/>
        <w:ind w:left="0" w:firstLineChars="0" w:firstLine="0" w:leftChars="1000"/>
      </w:pPr>
      <w:hyperlink w:anchor="page_139">
        <w:r>
          <w:rPr>
            <w:color w:val="0000FF" w:themeColor="hyperlink"/>
            <w:u w:val="single"/>
          </w:rPr>
          <w:t>Prerequisites</w:t>
        </w:r>
      </w:hyperlink>
    </w:p>
    <w:p>
      <w:pPr>
        <w:pStyle w:val="Normal"/>
        <w:ind w:left="0" w:firstLineChars="0" w:firstLine="0" w:leftChars="1000"/>
      </w:pPr>
      <w:hyperlink w:anchor="page_139">
        <w:r>
          <w:rPr>
            <w:color w:val="0000FF" w:themeColor="hyperlink"/>
            <w:u w:val="single"/>
          </w:rPr>
          <w:t>Install the Kerberos packages</w:t>
        </w:r>
      </w:hyperlink>
    </w:p>
    <w:p>
      <w:pPr>
        <w:pStyle w:val="Normal"/>
        <w:ind w:left="0" w:firstLineChars="0" w:firstLine="0" w:leftChars="1000"/>
      </w:pPr>
      <w:hyperlink w:anchor="page_139">
        <w:r>
          <w:rPr>
            <w:color w:val="0000FF" w:themeColor="hyperlink"/>
            <w:u w:val="single"/>
          </w:rPr>
          <w:t>Configure the Kerberos server</w:t>
        </w:r>
      </w:hyperlink>
    </w:p>
    <w:p>
      <w:pPr>
        <w:pStyle w:val="Normal"/>
        <w:ind w:left="0" w:firstLineChars="0" w:firstLine="0" w:leftChars="1000"/>
      </w:pPr>
      <w:hyperlink w:anchor="page_141">
        <w:r>
          <w:rPr>
            <w:color w:val="0000FF" w:themeColor="hyperlink"/>
            <w:u w:val="single"/>
          </w:rPr>
          <w:t>How to configure Kerberos service principals</w:t>
        </w:r>
      </w:hyperlink>
    </w:p>
    <w:p>
      <w:pPr>
        <w:pStyle w:val="Normal"/>
        <w:ind w:left="0" w:firstLineChars="0" w:firstLine="0" w:leftChars="1000"/>
      </w:pPr>
      <w:hyperlink w:anchor="page_143">
        <w:r>
          <w:rPr>
            <w:color w:val="0000FF" w:themeColor="hyperlink"/>
            <w:u w:val="single"/>
          </w:rPr>
          <w:t>Kerberos encryption types</w:t>
        </w:r>
      </w:hyperlink>
    </w:p>
    <w:p>
      <w:pPr>
        <w:pStyle w:val="Normal"/>
        <w:ind w:left="0" w:firstLineChars="0" w:firstLine="0" w:leftChars="1000"/>
      </w:pPr>
      <w:hyperlink w:anchor="page_143">
        <w:r>
          <w:rPr>
            <w:color w:val="0000FF" w:themeColor="hyperlink"/>
            <w:u w:val="single"/>
          </w:rPr>
          <w:t>Server-side configuration</w:t>
        </w:r>
      </w:hyperlink>
    </w:p>
    <w:p>
      <w:pPr>
        <w:pStyle w:val="Normal"/>
        <w:ind w:left="0" w:firstLineChars="0" w:firstLine="0" w:leftChars="1000"/>
      </w:pPr>
      <w:hyperlink w:anchor="page_145">
        <w:r>
          <w:rPr>
            <w:color w:val="0000FF" w:themeColor="hyperlink"/>
            <w:u w:val="single"/>
          </w:rPr>
          <w:t>Client-side configuration</w:t>
        </w:r>
      </w:hyperlink>
    </w:p>
    <w:p>
      <w:pPr>
        <w:pStyle w:val="Normal"/>
        <w:ind w:left="0" w:firstLineChars="0" w:firstLine="0" w:leftChars="1000"/>
      </w:pPr>
      <w:hyperlink w:anchor="page_145">
        <w:r>
          <w:rPr>
            <w:color w:val="0000FF" w:themeColor="hyperlink"/>
            <w:u w:val="single"/>
          </w:rPr>
          <w:t>Putting it all together</w:t>
        </w:r>
      </w:hyperlink>
    </w:p>
    <w:p>
      <w:pPr>
        <w:pStyle w:val="Normal"/>
        <w:ind w:left="0" w:firstLineChars="0" w:firstLine="0" w:leftChars="1000"/>
      </w:pPr>
      <w:hyperlink w:anchor="page_146">
        <w:r>
          <w:rPr>
            <w:color w:val="0000FF" w:themeColor="hyperlink"/>
            <w:u w:val="single"/>
          </w:rPr>
          <w:t>Changing encryption types</w:t>
        </w:r>
      </w:hyperlink>
    </w:p>
    <w:p>
      <w:pPr>
        <w:pStyle w:val="Normal"/>
        <w:ind w:left="0" w:firstLineChars="0" w:firstLine="0" w:leftChars="1000"/>
      </w:pPr>
      <w:hyperlink w:anchor="page_146">
        <w:r>
          <w:rPr>
            <w:color w:val="0000FF" w:themeColor="hyperlink"/>
            <w:u w:val="single"/>
          </w:rPr>
          <w:t>References</w:t>
        </w:r>
      </w:hyperlink>
    </w:p>
    <w:p>
      <w:pPr>
        <w:pStyle w:val="Normal"/>
        <w:ind w:left="0" w:firstLineChars="0" w:firstLine="0" w:leftChars="1000"/>
      </w:pPr>
      <w:hyperlink w:anchor="page_147">
        <w:r>
          <w:rPr>
            <w:color w:val="0000FF" w:themeColor="hyperlink"/>
            <w:u w:val="single"/>
          </w:rPr>
          <w:t>How to set up secondary KDC</w:t>
        </w:r>
      </w:hyperlink>
    </w:p>
    <w:p>
      <w:pPr>
        <w:pStyle w:val="Normal"/>
        <w:ind w:left="0" w:firstLineChars="0" w:firstLine="0" w:leftChars="1000"/>
      </w:pPr>
      <w:hyperlink w:anchor="page_147">
        <w:r>
          <w:rPr>
            <w:color w:val="0000FF" w:themeColor="hyperlink"/>
            <w:u w:val="single"/>
          </w:rPr>
          <w:t>Install the required packages</w:t>
        </w:r>
      </w:hyperlink>
    </w:p>
    <w:p>
      <w:pPr>
        <w:pStyle w:val="Normal"/>
        <w:ind w:left="0" w:firstLineChars="0" w:firstLine="0" w:leftChars="1000"/>
      </w:pPr>
      <w:hyperlink w:anchor="page_149">
        <w:r>
          <w:rPr>
            <w:color w:val="0000FF" w:themeColor="hyperlink"/>
            <w:u w:val="single"/>
          </w:rPr>
          <w:t>How to set up basic workstation authentication</w:t>
        </w:r>
      </w:hyperlink>
    </w:p>
    <w:p>
      <w:pPr>
        <w:pStyle w:val="Normal"/>
        <w:ind w:left="0" w:firstLineChars="0" w:firstLine="0" w:leftChars="1000"/>
      </w:pPr>
      <w:hyperlink w:anchor="page_149">
        <w:r>
          <w:rPr>
            <w:color w:val="0000FF" w:themeColor="hyperlink"/>
            <w:u w:val="single"/>
          </w:rPr>
          <w:t>Set up a Linux system as a Kerberos client</w:t>
        </w:r>
      </w:hyperlink>
    </w:p>
    <w:p>
      <w:pPr>
        <w:pStyle w:val="Normal"/>
        <w:ind w:left="0" w:firstLineChars="0" w:firstLine="0" w:leftChars="1000"/>
      </w:pPr>
      <w:hyperlink w:anchor="page_149">
        <w:r>
          <w:rPr>
            <w:color w:val="0000FF" w:themeColor="hyperlink"/>
            <w:u w:val="single"/>
          </w:rPr>
          <w:t>Install the required packages</w:t>
        </w:r>
      </w:hyperlink>
    </w:p>
    <w:p>
      <w:pPr>
        <w:pStyle w:val="Normal"/>
        <w:ind w:left="0" w:firstLineChars="0" w:firstLine="0" w:leftChars="1000"/>
      </w:pPr>
      <w:hyperlink w:anchor="page_150">
        <w:r>
          <w:rPr>
            <w:color w:val="0000FF" w:themeColor="hyperlink"/>
            <w:u w:val="single"/>
          </w:rPr>
          <w:t>Configure Kerberos</w:t>
        </w:r>
      </w:hyperlink>
    </w:p>
    <w:p>
      <w:pPr>
        <w:pStyle w:val="Normal"/>
        <w:ind w:left="0" w:firstLineChars="0" w:firstLine="0" w:leftChars="1000"/>
      </w:pPr>
      <w:hyperlink w:anchor="page_150">
        <w:r>
          <w:rPr>
            <w:color w:val="0000FF" w:themeColor="hyperlink"/>
            <w:u w:val="single"/>
          </w:rPr>
          <w:t>Configure sssd</w:t>
        </w:r>
      </w:hyperlink>
    </w:p>
    <w:p>
      <w:pPr>
        <w:pStyle w:val="Normal"/>
        <w:ind w:left="0" w:firstLineChars="0" w:firstLine="0" w:leftChars="1000"/>
      </w:pPr>
      <w:hyperlink w:anchor="page_151">
        <w:r>
          <w:rPr>
            <w:color w:val="0000FF" w:themeColor="hyperlink"/>
            <w:u w:val="single"/>
          </w:rPr>
          <w:t>How to set up Kerberos with OpenLDAP backend</w:t>
        </w:r>
      </w:hyperlink>
    </w:p>
    <w:p>
      <w:pPr>
        <w:pStyle w:val="Normal"/>
        <w:ind w:left="0" w:firstLineChars="0" w:firstLine="0" w:leftChars="1000"/>
      </w:pPr>
      <w:hyperlink w:anchor="page_151">
        <w:r>
          <w:rPr>
            <w:color w:val="0000FF" w:themeColor="hyperlink"/>
            <w:u w:val="single"/>
          </w:rPr>
          <w:t>Why use LDAP?</w:t>
        </w:r>
      </w:hyperlink>
    </w:p>
    <w:p>
      <w:pPr>
        <w:pStyle w:val="Normal"/>
        <w:ind w:left="0" w:firstLineChars="0" w:firstLine="0" w:leftChars="1000"/>
      </w:pPr>
      <w:hyperlink w:anchor="page_152">
        <w:r>
          <w:rPr>
            <w:color w:val="0000FF" w:themeColor="hyperlink"/>
            <w:u w:val="single"/>
          </w:rPr>
          <w:t>In this guide</w:t>
        </w:r>
      </w:hyperlink>
    </w:p>
    <w:p>
      <w:pPr>
        <w:pStyle w:val="Normal"/>
        <w:ind w:left="0" w:firstLineChars="0" w:firstLine="0" w:leftChars="1000"/>
      </w:pPr>
      <w:hyperlink w:anchor="page_152">
        <w:r>
          <w:rPr>
            <w:color w:val="0000FF" w:themeColor="hyperlink"/>
            <w:u w:val="single"/>
          </w:rPr>
          <w:t>Configure OpenLDAP</w:t>
        </w:r>
      </w:hyperlink>
    </w:p>
    <w:p>
      <w:pPr>
        <w:pStyle w:val="Normal"/>
        <w:ind w:left="0" w:firstLineChars="0" w:firstLine="0" w:leftChars="1000"/>
      </w:pPr>
      <w:hyperlink w:anchor="page_155">
        <w:r>
          <w:rPr>
            <w:color w:val="0000FF" w:themeColor="hyperlink"/>
            <w:u w:val="single"/>
          </w:rPr>
          <w:t>Primary KDC configuration (LDAP)</w:t>
        </w:r>
      </w:hyperlink>
    </w:p>
    <w:p>
      <w:pPr>
        <w:pStyle w:val="Normal"/>
        <w:ind w:left="0" w:firstLineChars="0" w:firstLine="0" w:leftChars="1000"/>
      </w:pPr>
      <w:hyperlink w:anchor="page_158">
        <w:r>
          <w:rPr>
            <w:color w:val="0000FF" w:themeColor="hyperlink"/>
            <w:u w:val="single"/>
          </w:rPr>
          <w:t>Secondary KDC configuration (LDAP)</w:t>
        </w:r>
      </w:hyperlink>
    </w:p>
    <w:p>
      <w:pPr>
        <w:pStyle w:val="Normal"/>
        <w:ind w:left="0" w:firstLineChars="0" w:firstLine="0" w:leftChars="1000"/>
      </w:pPr>
      <w:hyperlink w:anchor="page_158">
        <w:r>
          <w:rPr>
            <w:color w:val="0000FF" w:themeColor="hyperlink"/>
            <w:u w:val="single"/>
          </w:rPr>
          <w:t>Resources</w:t>
        </w:r>
      </w:hyperlink>
    </w:p>
    <w:p>
      <w:pPr>
        <w:pStyle w:val="Normal"/>
        <w:ind w:left="0" w:firstLineChars="0" w:firstLine="0" w:leftChars="1000"/>
      </w:pPr>
      <w:hyperlink w:anchor="page_158">
        <w:r>
          <w:rPr>
            <w:color w:val="0000FF" w:themeColor="hyperlink"/>
            <w:u w:val="single"/>
          </w:rPr>
          <w:t>See also</w:t>
        </w:r>
      </w:hyperlink>
    </w:p>
    <w:p>
      <w:pPr>
        <w:pStyle w:val="Normal"/>
        <w:ind w:left="0" w:firstLineChars="0" w:firstLine="0" w:leftChars="1000"/>
      </w:pPr>
      <w:hyperlink w:anchor="page_158">
        <w:r>
          <w:rPr>
            <w:color w:val="0000FF" w:themeColor="hyperlink"/>
            <w:u w:val="single"/>
          </w:rPr>
          <w:t>Network user authentication with SSSD</w:t>
        </w:r>
      </w:hyperlink>
    </w:p>
    <w:p>
      <w:pPr>
        <w:pStyle w:val="Normal"/>
        <w:ind w:left="0" w:firstLineChars="0" w:firstLine="0" w:leftChars="1000"/>
      </w:pPr>
      <w:hyperlink w:anchor="Top_of_index_split_029_html">
        <w:r>
          <w:rPr>
            <w:color w:val="0000FF" w:themeColor="hyperlink"/>
            <w:u w:val="single"/>
          </w:rPr>
          <w:t>How to set up SSSD with Active Directory</w:t>
        </w:r>
      </w:hyperlink>
    </w:p>
    <w:p>
      <w:pPr>
        <w:pStyle w:val="Normal"/>
        <w:ind w:left="0" w:firstLineChars="0" w:firstLine="0" w:leftChars="1000"/>
      </w:pPr>
      <w:hyperlink w:anchor="Top_of_index_split_029_html">
        <w:r>
          <w:rPr>
            <w:color w:val="0000FF" w:themeColor="hyperlink"/>
            <w:u w:val="single"/>
          </w:rPr>
          <w:t>Group Policies for Ubuntu</w:t>
        </w:r>
      </w:hyperlink>
    </w:p>
    <w:p>
      <w:pPr>
        <w:pStyle w:val="Normal"/>
        <w:ind w:left="0" w:firstLineChars="0" w:firstLine="0" w:leftChars="1000"/>
      </w:pPr>
      <w:hyperlink w:anchor="Top_of_index_split_029_html">
        <w:r>
          <w:rPr>
            <w:color w:val="0000FF" w:themeColor="hyperlink"/>
            <w:u w:val="single"/>
          </w:rPr>
          <w:t>Prerequisites and assumptions</w:t>
        </w:r>
      </w:hyperlink>
    </w:p>
    <w:p>
      <w:pPr>
        <w:pStyle w:val="Normal"/>
        <w:ind w:left="0" w:firstLineChars="0" w:firstLine="0" w:leftChars="1000"/>
      </w:pPr>
      <w:hyperlink w:anchor="Top_of_index_split_029_html">
        <w:r>
          <w:rPr>
            <w:color w:val="0000FF" w:themeColor="hyperlink"/>
            <w:u w:val="single"/>
          </w:rPr>
          <w:t>Install necessary software</w:t>
        </w:r>
      </w:hyperlink>
    </w:p>
    <w:p>
      <w:pPr>
        <w:pStyle w:val="Normal"/>
        <w:ind w:left="0" w:firstLineChars="0" w:firstLine="0" w:leftChars="1000"/>
      </w:pPr>
      <w:hyperlink w:anchor="Top_of_index_split_029_html">
        <w:r>
          <w:rPr>
            <w:color w:val="0000FF" w:themeColor="hyperlink"/>
            <w:u w:val="single"/>
          </w:rPr>
          <w:t>Join the domain</w:t>
        </w:r>
      </w:hyperlink>
    </w:p>
    <w:p>
      <w:pPr>
        <w:pStyle w:val="Normal"/>
        <w:ind w:left="0" w:firstLineChars="0" w:firstLine="0" w:leftChars="1000"/>
      </w:pPr>
      <w:hyperlink w:anchor="page_161">
        <w:r>
          <w:rPr>
            <w:color w:val="0000FF" w:themeColor="hyperlink"/>
            <w:u w:val="single"/>
          </w:rPr>
          <w:t>SSSD configuration</w:t>
        </w:r>
      </w:hyperlink>
    </w:p>
    <w:p>
      <w:pPr>
        <w:pStyle w:val="Normal"/>
        <w:ind w:left="0" w:firstLineChars="0" w:firstLine="0" w:leftChars="1000"/>
      </w:pPr>
      <w:hyperlink w:anchor="page_162">
        <w:r>
          <w:rPr>
            <w:color w:val="0000FF" w:themeColor="hyperlink"/>
            <w:u w:val="single"/>
          </w:rPr>
          <w:t>Automatic home directory creation</w:t>
        </w:r>
      </w:hyperlink>
    </w:p>
    <w:p>
      <w:pPr>
        <w:pStyle w:val="Normal"/>
        <w:ind w:left="0" w:firstLineChars="0" w:firstLine="0" w:leftChars="1000"/>
      </w:pPr>
      <w:hyperlink w:anchor="page_162">
        <w:r>
          <w:rPr>
            <w:color w:val="0000FF" w:themeColor="hyperlink"/>
            <w:u w:val="single"/>
          </w:rPr>
          <w:t>Testing our setup</w:t>
        </w:r>
      </w:hyperlink>
    </w:p>
    <w:p>
      <w:pPr>
        <w:pStyle w:val="Normal"/>
        <w:ind w:left="0" w:firstLineChars="0" w:firstLine="0" w:leftChars="1000"/>
      </w:pPr>
      <w:hyperlink w:anchor="page_163">
        <w:r>
          <w:rPr>
            <w:color w:val="0000FF" w:themeColor="hyperlink"/>
            <w:u w:val="single"/>
          </w:rPr>
          <w:t>Kerberos tickets</w:t>
        </w:r>
      </w:hyperlink>
    </w:p>
    <w:p>
      <w:pPr>
        <w:pStyle w:val="Normal"/>
        <w:ind w:left="0" w:firstLineChars="0" w:firstLine="0" w:leftChars="1000"/>
      </w:pPr>
      <w:hyperlink w:anchor="page_164">
        <w:r>
          <w:rPr>
            <w:color w:val="0000FF" w:themeColor="hyperlink"/>
            <w:u w:val="single"/>
          </w:rPr>
          <w:t>Ubuntu Desktop authentication</w:t>
        </w:r>
      </w:hyperlink>
    </w:p>
    <w:p>
      <w:pPr>
        <w:pStyle w:val="Normal"/>
        <w:ind w:left="0" w:firstLineChars="0" w:firstLine="0" w:leftChars="1000"/>
      </w:pPr>
      <w:hyperlink w:anchor="Top_of_index_split_030_html">
        <w:r>
          <w:rPr>
            <w:color w:val="0000FF" w:themeColor="hyperlink"/>
            <w:u w:val="single"/>
          </w:rPr>
          <w:t>Known issues</w:t>
        </w:r>
      </w:hyperlink>
    </w:p>
    <w:p>
      <w:pPr>
        <w:pStyle w:val="Normal"/>
        <w:ind w:left="0" w:firstLineChars="0" w:firstLine="0" w:leftChars="1000"/>
      </w:pPr>
      <w:hyperlink w:anchor="Top_of_index_split_030_html">
        <w:r>
          <w:rPr>
            <w:color w:val="0000FF" w:themeColor="hyperlink"/>
            <w:u w:val="single"/>
          </w:rPr>
          <w:t>Further reading</w:t>
        </w:r>
      </w:hyperlink>
    </w:p>
    <w:p>
      <w:pPr>
        <w:pStyle w:val="Normal"/>
        <w:ind w:left="0" w:firstLineChars="0" w:firstLine="0" w:leftChars="1000"/>
      </w:pPr>
      <w:hyperlink w:anchor="Top_of_index_split_031_html">
        <w:r>
          <w:rPr>
            <w:color w:val="0000FF" w:themeColor="hyperlink"/>
            <w:u w:val="single"/>
          </w:rPr>
          <w:t>How to set up SSSD with LDAP</w:t>
        </w:r>
      </w:hyperlink>
    </w:p>
    <w:p>
      <w:pPr>
        <w:pStyle w:val="Normal"/>
        <w:ind w:left="0" w:firstLineChars="0" w:firstLine="0" w:leftChars="1000"/>
      </w:pPr>
      <w:hyperlink w:anchor="Top_of_index_split_031_html">
        <w:r>
          <w:rPr>
            <w:color w:val="0000FF" w:themeColor="hyperlink"/>
            <w:u w:val="single"/>
          </w:rPr>
          <w:t>Prerequisites and assumptions</w:t>
        </w:r>
      </w:hyperlink>
    </w:p>
    <w:p>
      <w:pPr>
        <w:pStyle w:val="Normal"/>
        <w:ind w:left="0" w:firstLineChars="0" w:firstLine="0" w:leftChars="1000"/>
      </w:pPr>
      <w:hyperlink w:anchor="Top_of_index_split_031_html">
        <w:r>
          <w:rPr>
            <w:color w:val="0000FF" w:themeColor="hyperlink"/>
            <w:u w:val="single"/>
          </w:rPr>
          <w:t>Install necessary software</w:t>
        </w:r>
      </w:hyperlink>
    </w:p>
    <w:p>
      <w:pPr>
        <w:pStyle w:val="Normal"/>
        <w:ind w:left="0" w:firstLineChars="0" w:firstLine="0" w:leftChars="1000"/>
      </w:pPr>
      <w:hyperlink w:anchor="Top_of_index_split_031_html">
        <w:r>
          <w:rPr>
            <w:color w:val="0000FF" w:themeColor="hyperlink"/>
            <w:u w:val="single"/>
          </w:rPr>
          <w:t>Configure SSSD</w:t>
        </w:r>
      </w:hyperlink>
    </w:p>
    <w:p>
      <w:pPr>
        <w:pStyle w:val="Normal"/>
        <w:ind w:left="0" w:firstLineChars="0" w:firstLine="0" w:leftChars="1000"/>
      </w:pPr>
      <w:hyperlink w:anchor="page_168">
        <w:r>
          <w:rPr>
            <w:color w:val="0000FF" w:themeColor="hyperlink"/>
            <w:u w:val="single"/>
          </w:rPr>
          <w:t>Automatic home directory creation</w:t>
        </w:r>
      </w:hyperlink>
    </w:p>
    <w:p>
      <w:pPr>
        <w:pStyle w:val="Normal"/>
        <w:ind w:left="0" w:firstLineChars="0" w:firstLine="0" w:leftChars="1000"/>
      </w:pPr>
      <w:hyperlink w:anchor="page_168">
        <w:r>
          <w:rPr>
            <w:color w:val="0000FF" w:themeColor="hyperlink"/>
            <w:u w:val="single"/>
          </w:rPr>
          <w:t>Check SSL setup on the client</w:t>
        </w:r>
      </w:hyperlink>
    </w:p>
    <w:p>
      <w:pPr>
        <w:pStyle w:val="Normal"/>
        <w:ind w:left="0" w:firstLineChars="0" w:firstLine="0" w:leftChars="1000"/>
      </w:pPr>
      <w:hyperlink w:anchor="page_169">
        <w:r>
          <w:rPr>
            <w:color w:val="0000FF" w:themeColor="hyperlink"/>
            <w:u w:val="single"/>
          </w:rPr>
          <w:t>Final verification</w:t>
        </w:r>
      </w:hyperlink>
    </w:p>
    <w:p>
      <w:pPr>
        <w:pStyle w:val="Normal"/>
        <w:ind w:left="0" w:firstLineChars="0" w:firstLine="0" w:leftChars="1000"/>
      </w:pPr>
      <w:hyperlink w:anchor="Top_of_index_split_032_html">
        <w:r>
          <w:rPr>
            <w:color w:val="0000FF" w:themeColor="hyperlink"/>
            <w:u w:val="single"/>
          </w:rPr>
          <w:t>How to set up SSSD with LDAP and Kerberos</w:t>
        </w:r>
      </w:hyperlink>
    </w:p>
    <w:p>
      <w:pPr>
        <w:pStyle w:val="Normal"/>
        <w:ind w:left="0" w:firstLineChars="0" w:firstLine="0" w:leftChars="1000"/>
      </w:pPr>
      <w:hyperlink w:anchor="Top_of_index_split_032_html">
        <w:r>
          <w:rPr>
            <w:color w:val="0000FF" w:themeColor="hyperlink"/>
            <w:u w:val="single"/>
          </w:rPr>
          <w:t>Prerequisites and assumptions</w:t>
        </w:r>
      </w:hyperlink>
    </w:p>
    <w:p>
      <w:pPr>
        <w:pStyle w:val="Normal"/>
        <w:ind w:left="0" w:firstLineChars="0" w:firstLine="0" w:leftChars="1000"/>
      </w:pPr>
      <w:hyperlink w:anchor="Top_of_index_split_032_html">
        <w:r>
          <w:rPr>
            <w:color w:val="0000FF" w:themeColor="hyperlink"/>
            <w:u w:val="single"/>
          </w:rPr>
          <w:t>Install necessary software</w:t>
        </w:r>
      </w:hyperlink>
    </w:p>
    <w:p>
      <w:pPr>
        <w:pStyle w:val="Normal"/>
        <w:ind w:left="0" w:firstLineChars="0" w:firstLine="0" w:leftChars="1000"/>
      </w:pPr>
      <w:hyperlink w:anchor="Top_of_index_split_032_html">
        <w:r>
          <w:rPr>
            <w:color w:val="0000FF" w:themeColor="hyperlink"/>
            <w:u w:val="single"/>
          </w:rPr>
          <w:t>Configure SSSD</w:t>
        </w:r>
      </w:hyperlink>
    </w:p>
    <w:p>
      <w:pPr>
        <w:pStyle w:val="Normal"/>
        <w:ind w:left="0" w:firstLineChars="0" w:firstLine="0" w:leftChars="1000"/>
      </w:pPr>
      <w:hyperlink w:anchor="page_171">
        <w:r>
          <w:rPr>
            <w:color w:val="0000FF" w:themeColor="hyperlink"/>
            <w:u w:val="single"/>
          </w:rPr>
          <w:t>Automatic home directory creation</w:t>
        </w:r>
      </w:hyperlink>
    </w:p>
    <w:p>
      <w:pPr>
        <w:pStyle w:val="Normal"/>
        <w:ind w:left="0" w:firstLineChars="0" w:firstLine="0" w:leftChars="1000"/>
      </w:pPr>
      <w:hyperlink w:anchor="page_171">
        <w:r>
          <w:rPr>
            <w:color w:val="0000FF" w:themeColor="hyperlink"/>
            <w:u w:val="single"/>
          </w:rPr>
          <w:t>Final verification</w:t>
        </w:r>
      </w:hyperlink>
    </w:p>
    <w:p>
      <w:pPr>
        <w:pStyle w:val="Normal"/>
        <w:ind w:left="0" w:firstLineChars="0" w:firstLine="0" w:leftChars="1000"/>
      </w:pPr>
      <w:hyperlink w:anchor="page_172">
        <w:r>
          <w:rPr>
            <w:color w:val="0000FF" w:themeColor="hyperlink"/>
            <w:u w:val="single"/>
          </w:rPr>
          <w:t>SSSD and KDC spoofing</w:t>
        </w:r>
      </w:hyperlink>
    </w:p>
    <w:p>
      <w:pPr>
        <w:pStyle w:val="Normal"/>
        <w:ind w:left="0" w:firstLineChars="0" w:firstLine="0" w:leftChars="1000"/>
      </w:pPr>
      <w:hyperlink w:anchor="page_174">
        <w:r>
          <w:rPr>
            <w:color w:val="0000FF" w:themeColor="hyperlink"/>
            <w:u w:val="single"/>
          </w:rPr>
          <w:t>Troubleshooting SSSD</w:t>
        </w:r>
      </w:hyperlink>
    </w:p>
    <w:p>
      <w:pPr>
        <w:pStyle w:val="Normal"/>
        <w:ind w:left="0" w:firstLineChars="0" w:firstLine="0" w:leftChars="1000"/>
      </w:pPr>
      <w:hyperlink w:anchor="page_174">
        <w:r>
          <w:rPr>
            <w:color w:val="0000FF" w:themeColor="hyperlink"/>
            <w:u w:val="single"/>
          </w:rPr>
          <w:t>debug_level</w:t>
        </w:r>
      </w:hyperlink>
    </w:p>
    <w:p>
      <w:pPr>
        <w:pStyle w:val="Normal"/>
        <w:ind w:left="0" w:firstLineChars="0" w:firstLine="0" w:leftChars="1000"/>
      </w:pPr>
      <w:hyperlink w:anchor="page_174">
        <w:r>
          <w:rPr>
            <w:color w:val="0000FF" w:themeColor="hyperlink"/>
            <w:u w:val="single"/>
          </w:rPr>
          <w:t>Caching</w:t>
        </w:r>
      </w:hyperlink>
    </w:p>
    <w:p>
      <w:pPr>
        <w:pStyle w:val="Normal"/>
        <w:ind w:left="0" w:firstLineChars="0" w:firstLine="0" w:leftChars="1000"/>
      </w:pPr>
      <w:hyperlink w:anchor="Top_of_index_split_033_html">
        <w:r>
          <w:rPr>
            <w:color w:val="0000FF" w:themeColor="hyperlink"/>
            <w:u w:val="single"/>
          </w:rPr>
          <w:t>DNS</w:t>
        </w:r>
      </w:hyperlink>
    </w:p>
    <w:p>
      <w:pPr>
        <w:pStyle w:val="Normal"/>
        <w:ind w:left="0" w:firstLineChars="0" w:firstLine="0" w:leftChars="1000"/>
      </w:pPr>
      <w:hyperlink w:anchor="Top_of_index_split_033_html">
        <w:r>
          <w:rPr>
            <w:color w:val="0000FF" w:themeColor="hyperlink"/>
            <w:u w:val="single"/>
          </w:rPr>
          <w:t>FQDN hostname</w:t>
        </w:r>
      </w:hyperlink>
    </w:p>
    <w:p>
      <w:pPr>
        <w:pStyle w:val="Normal"/>
        <w:ind w:left="0" w:firstLineChars="0" w:firstLine="0" w:leftChars="1000"/>
      </w:pPr>
      <w:hyperlink w:anchor="Top_of_index_split_033_html">
        <w:r>
          <w:rPr>
            <w:color w:val="0000FF" w:themeColor="hyperlink"/>
            <w:u w:val="single"/>
          </w:rPr>
          <w:t>Reverse name lookup</w:t>
        </w:r>
      </w:hyperlink>
    </w:p>
    <w:p>
      <w:pPr>
        <w:pStyle w:val="Normal"/>
        <w:ind w:left="0" w:firstLineChars="0" w:firstLine="0" w:leftChars="1000"/>
      </w:pPr>
      <w:hyperlink w:anchor="Top_of_index_split_033_html">
        <w:r>
          <w:rPr>
            <w:color w:val="0000FF" w:themeColor="hyperlink"/>
            <w:u w:val="single"/>
          </w:rPr>
          <w:t>See also</w:t>
        </w:r>
      </w:hyperlink>
    </w:p>
    <w:p>
      <w:pPr>
        <w:pStyle w:val="Normal"/>
        <w:ind w:left="0" w:firstLineChars="0" w:firstLine="0" w:leftChars="1000"/>
      </w:pPr>
      <w:hyperlink w:anchor="Top_of_index_split_033_html">
        <w:r>
          <w:rPr>
            <w:color w:val="0000FF" w:themeColor="hyperlink"/>
            <w:u w:val="single"/>
          </w:rPr>
          <w:t>Smart card authentication</w:t>
        </w:r>
      </w:hyperlink>
    </w:p>
    <w:p>
      <w:pPr>
        <w:pStyle w:val="Normal"/>
        <w:ind w:left="0" w:firstLineChars="0" w:firstLine="0" w:leftChars="1000"/>
      </w:pPr>
      <w:hyperlink w:anchor="Top_of_index_split_033_html">
        <w:r>
          <w:rPr>
            <w:color w:val="0000FF" w:themeColor="hyperlink"/>
            <w:u w:val="single"/>
          </w:rPr>
          <w:t>Software requirements</w:t>
        </w:r>
      </w:hyperlink>
    </w:p>
    <w:p>
      <w:pPr>
        <w:pStyle w:val="Normal"/>
        <w:ind w:left="0" w:firstLineChars="0" w:firstLine="0" w:leftChars="1000"/>
      </w:pPr>
      <w:hyperlink w:anchor="page_176">
        <w:r>
          <w:rPr>
            <w:color w:val="0000FF" w:themeColor="hyperlink"/>
            <w:u w:val="single"/>
          </w:rPr>
          <w:t>Hardware requirements</w:t>
        </w:r>
      </w:hyperlink>
    </w:p>
    <w:p>
      <w:pPr>
        <w:pStyle w:val="Normal"/>
        <w:ind w:left="0" w:firstLineChars="0" w:firstLine="0" w:leftChars="1000"/>
      </w:pPr>
      <w:hyperlink w:anchor="page_176">
        <w:r>
          <w:rPr>
            <w:color w:val="0000FF" w:themeColor="hyperlink"/>
            <w:u w:val="single"/>
          </w:rPr>
          <w:t>Smart card PKCS#11 modules</w:t>
        </w:r>
      </w:hyperlink>
    </w:p>
    <w:p>
      <w:pPr>
        <w:pStyle w:val="Normal"/>
        <w:ind w:left="0" w:firstLineChars="0" w:firstLine="0" w:leftChars="1000"/>
      </w:pPr>
      <w:hyperlink w:anchor="page_177">
        <w:r>
          <w:rPr>
            <w:color w:val="0000FF" w:themeColor="hyperlink"/>
            <w:u w:val="single"/>
          </w:rPr>
          <w:t>X.509 smart card certificates</w:t>
        </w:r>
      </w:hyperlink>
    </w:p>
    <w:p>
      <w:pPr>
        <w:pStyle w:val="Normal"/>
        <w:ind w:left="0" w:firstLineChars="0" w:firstLine="0" w:leftChars="1000"/>
      </w:pPr>
      <w:hyperlink w:anchor="page_177">
        <w:r>
          <w:rPr>
            <w:color w:val="0000FF" w:themeColor="hyperlink"/>
            <w:u w:val="single"/>
          </w:rPr>
          <w:t>Using p11tool</w:t>
        </w:r>
      </w:hyperlink>
    </w:p>
    <w:p>
      <w:pPr>
        <w:pStyle w:val="Normal"/>
        <w:ind w:left="0" w:firstLineChars="0" w:firstLine="0" w:leftChars="1000"/>
      </w:pPr>
      <w:hyperlink w:anchor="page_178">
        <w:r>
          <w:rPr>
            <w:color w:val="0000FF" w:themeColor="hyperlink"/>
            <w:u w:val="single"/>
          </w:rPr>
          <w:t>Using opensc</w:t>
        </w:r>
      </w:hyperlink>
    </w:p>
    <w:p>
      <w:pPr>
        <w:pStyle w:val="Normal"/>
        <w:ind w:left="0" w:firstLineChars="0" w:firstLine="0" w:leftChars="1000"/>
      </w:pPr>
      <w:hyperlink w:anchor="page_178">
        <w:r>
          <w:rPr>
            <w:color w:val="0000FF" w:themeColor="hyperlink"/>
            <w:u w:val="single"/>
          </w:rPr>
          <w:t>Troubleshooting</w:t>
        </w:r>
      </w:hyperlink>
    </w:p>
    <w:p>
      <w:pPr>
        <w:pStyle w:val="Normal"/>
        <w:ind w:left="0" w:firstLineChars="0" w:firstLine="0" w:leftChars="1000"/>
      </w:pPr>
      <w:hyperlink w:anchor="page_179">
        <w:r>
          <w:rPr>
            <w:color w:val="0000FF" w:themeColor="hyperlink"/>
            <w:u w:val="single"/>
          </w:rPr>
          <w:t>PAM configuration</w:t>
        </w:r>
      </w:hyperlink>
    </w:p>
    <w:p>
      <w:pPr>
        <w:pStyle w:val="Normal"/>
        <w:ind w:left="0" w:firstLineChars="0" w:firstLine="0" w:leftChars="1000"/>
      </w:pPr>
      <w:hyperlink w:anchor="page_179">
        <w:r>
          <w:rPr>
            <w:color w:val="0000FF" w:themeColor="hyperlink"/>
            <w:u w:val="single"/>
          </w:rPr>
          <w:t>Setup guide</w:t>
        </w:r>
      </w:hyperlink>
    </w:p>
    <w:p>
      <w:pPr>
        <w:pStyle w:val="Normal"/>
        <w:ind w:left="0" w:firstLineChars="0" w:firstLine="0" w:leftChars="1000"/>
      </w:pPr>
      <w:hyperlink w:anchor="page_179">
        <w:r>
          <w:rPr>
            <w:color w:val="0000FF" w:themeColor="hyperlink"/>
            <w:u w:val="single"/>
          </w:rPr>
          <w:t>Enable SSSD PAM service</w:t>
        </w:r>
      </w:hyperlink>
    </w:p>
    <w:p>
      <w:pPr>
        <w:pStyle w:val="Normal"/>
        <w:ind w:left="0" w:firstLineChars="0" w:firstLine="0" w:leftChars="1000"/>
      </w:pPr>
      <w:hyperlink w:anchor="Top_of_index_split_035_html">
        <w:r>
          <w:rPr>
            <w:color w:val="0000FF" w:themeColor="hyperlink"/>
            <w:u w:val="single"/>
          </w:rPr>
          <w:t>Configure SSSD Certificate Authorities database</w:t>
        </w:r>
      </w:hyperlink>
    </w:p>
    <w:p>
      <w:pPr>
        <w:pStyle w:val="Normal"/>
        <w:ind w:left="0" w:firstLineChars="0" w:firstLine="0" w:leftChars="1000"/>
      </w:pPr>
      <w:hyperlink w:anchor="Top_of_index_split_035_html">
        <w:r>
          <w:rPr>
            <w:color w:val="0000FF" w:themeColor="hyperlink"/>
            <w:u w:val="single"/>
          </w:rPr>
          <w:t>Troubleshooting</w:t>
        </w:r>
      </w:hyperlink>
    </w:p>
    <w:p>
      <w:pPr>
        <w:pStyle w:val="Normal"/>
        <w:ind w:left="0" w:firstLineChars="0" w:firstLine="0" w:leftChars="1000"/>
      </w:pPr>
      <w:hyperlink w:anchor="page_181">
        <w:r>
          <w:rPr>
            <w:color w:val="0000FF" w:themeColor="hyperlink"/>
            <w:u w:val="single"/>
          </w:rPr>
          <w:t>Map certificates to user names</w:t>
        </w:r>
      </w:hyperlink>
    </w:p>
    <w:p>
      <w:pPr>
        <w:pStyle w:val="Normal"/>
        <w:ind w:left="0" w:firstLineChars="0" w:firstLine="0" w:leftChars="1000"/>
      </w:pPr>
      <w:hyperlink w:anchor="page_181">
        <w:r>
          <w:rPr>
            <w:color w:val="0000FF" w:themeColor="hyperlink"/>
            <w:u w:val="single"/>
          </w:rPr>
          <w:t>Local users mapping</w:t>
        </w:r>
      </w:hyperlink>
    </w:p>
    <w:p>
      <w:pPr>
        <w:pStyle w:val="Normal"/>
        <w:ind w:left="0" w:firstLineChars="0" w:firstLine="0" w:leftChars="1000"/>
      </w:pPr>
      <w:hyperlink w:anchor="page_181">
        <w:r>
          <w:rPr>
            <w:color w:val="0000FF" w:themeColor="hyperlink"/>
            <w:u w:val="single"/>
          </w:rPr>
          <w:t>Troubleshooting</w:t>
        </w:r>
      </w:hyperlink>
    </w:p>
    <w:p>
      <w:pPr>
        <w:pStyle w:val="Normal"/>
        <w:ind w:left="0" w:firstLineChars="0" w:firstLine="0" w:leftChars="1000"/>
      </w:pPr>
      <w:hyperlink w:anchor="page_182">
        <w:r>
          <w:rPr>
            <w:color w:val="0000FF" w:themeColor="hyperlink"/>
            <w:u w:val="single"/>
          </w:rPr>
          <w:t>Basic SSSD configuration</w:t>
        </w:r>
      </w:hyperlink>
    </w:p>
    <w:p>
      <w:pPr>
        <w:pStyle w:val="Normal"/>
        <w:ind w:left="0" w:firstLineChars="0" w:firstLine="0" w:leftChars="1000"/>
      </w:pPr>
      <w:hyperlink w:anchor="Top_of_index_split_036_html">
        <w:r>
          <w:rPr>
            <w:color w:val="0000FF" w:themeColor="hyperlink"/>
            <w:u w:val="single"/>
          </w:rPr>
          <w:t>Add pam_sss to PAM</w:t>
        </w:r>
      </w:hyperlink>
    </w:p>
    <w:p>
      <w:pPr>
        <w:pStyle w:val="Normal"/>
        <w:ind w:left="0" w:firstLineChars="0" w:firstLine="0" w:leftChars="1000"/>
      </w:pPr>
      <w:hyperlink w:anchor="Top_of_index_split_036_html">
        <w:r>
          <w:rPr>
            <w:color w:val="0000FF" w:themeColor="hyperlink"/>
            <w:u w:val="single"/>
          </w:rPr>
          <w:t>For Ubuntu later than 23.10</w:t>
        </w:r>
      </w:hyperlink>
    </w:p>
    <w:p>
      <w:pPr>
        <w:pStyle w:val="Normal"/>
        <w:ind w:left="0" w:firstLineChars="0" w:firstLine="0" w:leftChars="1000"/>
      </w:pPr>
      <w:hyperlink w:anchor="Top_of_index_split_036_html">
        <w:r>
          <w:rPr>
            <w:color w:val="0000FF" w:themeColor="hyperlink"/>
            <w:u w:val="single"/>
          </w:rPr>
          <w:t>For Ubuntu 23.10 and lower</w:t>
        </w:r>
      </w:hyperlink>
    </w:p>
    <w:p>
      <w:pPr>
        <w:pStyle w:val="Normal"/>
        <w:ind w:left="0" w:firstLineChars="0" w:firstLine="0" w:leftChars="1000"/>
      </w:pPr>
      <w:hyperlink w:anchor="page_184">
        <w:r>
          <w:rPr>
            <w:color w:val="0000FF" w:themeColor="hyperlink"/>
            <w:u w:val="single"/>
          </w:rPr>
          <w:t>Troubleshooting</w:t>
        </w:r>
      </w:hyperlink>
    </w:p>
    <w:p>
      <w:pPr>
        <w:pStyle w:val="Normal"/>
        <w:ind w:left="0" w:firstLineChars="0" w:firstLine="0" w:leftChars="1000"/>
      </w:pPr>
      <w:hyperlink w:anchor="page_184">
        <w:r>
          <w:rPr>
            <w:color w:val="0000FF" w:themeColor="hyperlink"/>
            <w:u w:val="single"/>
          </w:rPr>
          <w:t>Smart card authentication with SSH</w:t>
        </w:r>
      </w:hyperlink>
    </w:p>
    <w:p>
      <w:pPr>
        <w:pStyle w:val="Normal"/>
        <w:ind w:left="0" w:firstLineChars="0" w:firstLine="0" w:leftChars="1000"/>
      </w:pPr>
      <w:hyperlink w:anchor="Top_of_index_split_037_html">
        <w:r>
          <w:rPr>
            <w:color w:val="0000FF" w:themeColor="hyperlink"/>
            <w:u w:val="single"/>
          </w:rPr>
          <w:t>Server configuration</w:t>
        </w:r>
      </w:hyperlink>
    </w:p>
    <w:p>
      <w:pPr>
        <w:pStyle w:val="Normal"/>
        <w:ind w:left="0" w:firstLineChars="0" w:firstLine="0" w:leftChars="1000"/>
      </w:pPr>
      <w:hyperlink w:anchor="Top_of_index_split_037_html">
        <w:r>
          <w:rPr>
            <w:color w:val="0000FF" w:themeColor="hyperlink"/>
            <w:u w:val="single"/>
          </w:rPr>
          <w:t>Configure the SSH server</w:t>
        </w:r>
      </w:hyperlink>
    </w:p>
    <w:p>
      <w:pPr>
        <w:pStyle w:val="Normal"/>
        <w:ind w:left="0" w:firstLineChars="0" w:firstLine="0" w:leftChars="1000"/>
      </w:pPr>
      <w:hyperlink w:anchor="Top_of_index_split_037_html">
        <w:r>
          <w:rPr>
            <w:color w:val="0000FF" w:themeColor="hyperlink"/>
            <w:u w:val="single"/>
          </w:rPr>
          <w:t>Restart the SSH server</w:t>
        </w:r>
      </w:hyperlink>
    </w:p>
    <w:p>
      <w:pPr>
        <w:pStyle w:val="Normal"/>
        <w:ind w:left="0" w:firstLineChars="0" w:firstLine="0" w:leftChars="1000"/>
      </w:pPr>
      <w:hyperlink w:anchor="Top_of_index_split_037_html">
        <w:r>
          <w:rPr>
            <w:color w:val="0000FF" w:themeColor="hyperlink"/>
            <w:u w:val="single"/>
          </w:rPr>
          <w:t>Set the public key on the server</w:t>
        </w:r>
      </w:hyperlink>
    </w:p>
    <w:p>
      <w:pPr>
        <w:pStyle w:val="Normal"/>
        <w:ind w:left="0" w:firstLineChars="0" w:firstLine="0" w:leftChars="1000"/>
      </w:pPr>
      <w:hyperlink w:anchor="Top_of_index_split_037_html">
        <w:r>
          <w:rPr>
            <w:color w:val="0000FF" w:themeColor="hyperlink"/>
            <w:u w:val="single"/>
          </w:rPr>
          <w:t>Client configuration</w:t>
        </w:r>
      </w:hyperlink>
    </w:p>
    <w:p>
      <w:pPr>
        <w:pStyle w:val="Normal"/>
        <w:ind w:left="0" w:firstLineChars="0" w:firstLine="0" w:leftChars="1000"/>
      </w:pPr>
      <w:hyperlink w:anchor="page_186">
        <w:r>
          <w:rPr>
            <w:color w:val="0000FF" w:themeColor="hyperlink"/>
            <w:u w:val="single"/>
          </w:rPr>
          <w:t>SSH authentication</w:t>
        </w:r>
      </w:hyperlink>
    </w:p>
    <w:p>
      <w:pPr>
        <w:pStyle w:val="Normal"/>
        <w:ind w:left="0" w:firstLineChars="0" w:firstLine="0" w:leftChars="800"/>
      </w:pPr>
      <w:hyperlink w:anchor="page_186">
        <w:r>
          <w:rPr>
            <w:color w:val="0000FF" w:themeColor="hyperlink"/>
            <w:u w:val="single"/>
          </w:rPr>
          <w:t>Cryptography</w:t>
        </w:r>
      </w:hyperlink>
    </w:p>
    <w:p>
      <w:pPr>
        <w:pStyle w:val="Normal"/>
        <w:ind w:left="0" w:firstLineChars="0" w:firstLine="0" w:leftChars="1000"/>
      </w:pPr>
      <w:hyperlink w:anchor="page_186">
        <w:r>
          <w:rPr>
            <w:color w:val="0000FF" w:themeColor="hyperlink"/>
            <w:u w:val="single"/>
          </w:rPr>
          <w:t>OpenSSH server</w:t>
        </w:r>
      </w:hyperlink>
    </w:p>
    <w:p>
      <w:pPr>
        <w:pStyle w:val="Normal"/>
        <w:ind w:left="0" w:firstLineChars="0" w:firstLine="0" w:leftChars="1000"/>
      </w:pPr>
      <w:hyperlink w:anchor="page_186">
        <w:r>
          <w:rPr>
            <w:color w:val="0000FF" w:themeColor="hyperlink"/>
            <w:u w:val="single"/>
          </w:rPr>
          <w:t>Install OpenSSH</w:t>
        </w:r>
      </w:hyperlink>
    </w:p>
    <w:p>
      <w:pPr>
        <w:pStyle w:val="Normal"/>
        <w:ind w:left="0" w:firstLineChars="0" w:firstLine="0" w:leftChars="1000"/>
      </w:pPr>
      <w:hyperlink w:anchor="Top_of_index_split_038_html">
        <w:r>
          <w:rPr>
            <w:color w:val="0000FF" w:themeColor="hyperlink"/>
            <w:u w:val="single"/>
          </w:rPr>
          <w:t>Configure OpenSSH</w:t>
        </w:r>
      </w:hyperlink>
    </w:p>
    <w:p>
      <w:pPr>
        <w:pStyle w:val="Normal"/>
        <w:ind w:left="0" w:firstLineChars="0" w:firstLine="0" w:leftChars="1000"/>
      </w:pPr>
      <w:hyperlink w:anchor="Top_of_index_split_038_html">
        <w:r>
          <w:rPr>
            <w:color w:val="0000FF" w:themeColor="hyperlink"/>
            <w:u w:val="single"/>
          </w:rPr>
          <w:t>Example configuration directive</w:t>
        </w:r>
      </w:hyperlink>
    </w:p>
    <w:p>
      <w:pPr>
        <w:pStyle w:val="Normal"/>
        <w:ind w:left="0" w:firstLineChars="0" w:firstLine="0" w:leftChars="1000"/>
      </w:pPr>
      <w:hyperlink w:anchor="Top_of_index_split_038_html">
        <w:r>
          <w:rPr>
            <w:color w:val="0000FF" w:themeColor="hyperlink"/>
            <w:u w:val="single"/>
          </w:rPr>
          <w:t>Disable OS information disclosure through service banner</w:t>
        </w:r>
      </w:hyperlink>
    </w:p>
    <w:p>
      <w:pPr>
        <w:pStyle w:val="Normal"/>
        <w:ind w:left="0" w:firstLineChars="0" w:firstLine="0" w:leftChars="1000"/>
      </w:pPr>
      <w:hyperlink w:anchor="page_188">
        <w:r>
          <w:rPr>
            <w:color w:val="0000FF" w:themeColor="hyperlink"/>
            <w:u w:val="single"/>
          </w:rPr>
          <w:t>SSH keys</w:t>
        </w:r>
      </w:hyperlink>
    </w:p>
    <w:p>
      <w:pPr>
        <w:pStyle w:val="Normal"/>
        <w:ind w:left="0" w:firstLineChars="0" w:firstLine="0" w:leftChars="1000"/>
      </w:pPr>
      <w:hyperlink w:anchor="page_189">
        <w:r>
          <w:rPr>
            <w:color w:val="0000FF" w:themeColor="hyperlink"/>
            <w:u w:val="single"/>
          </w:rPr>
          <w:t>Connection multiplexing</w:t>
        </w:r>
      </w:hyperlink>
    </w:p>
    <w:p>
      <w:pPr>
        <w:pStyle w:val="Normal"/>
        <w:ind w:left="0" w:firstLineChars="0" w:firstLine="0" w:leftChars="1000"/>
      </w:pPr>
      <w:hyperlink w:anchor="page_189">
        <w:r>
          <w:rPr>
            <w:color w:val="0000FF" w:themeColor="hyperlink"/>
            <w:u w:val="single"/>
          </w:rPr>
          <w:t>Import keys from public keyservers</w:t>
        </w:r>
      </w:hyperlink>
    </w:p>
    <w:p>
      <w:pPr>
        <w:pStyle w:val="Normal"/>
        <w:ind w:left="0" w:firstLineChars="0" w:firstLine="0" w:leftChars="1000"/>
      </w:pPr>
      <w:hyperlink w:anchor="Top_of_index_split_039_html">
        <w:r>
          <w:rPr>
            <w:color w:val="0000FF" w:themeColor="hyperlink"/>
            <w:u w:val="single"/>
          </w:rPr>
          <w:t>Two factor authentication</w:t>
        </w:r>
      </w:hyperlink>
    </w:p>
    <w:p>
      <w:pPr>
        <w:pStyle w:val="Normal"/>
        <w:ind w:left="0" w:firstLineChars="0" w:firstLine="0" w:leftChars="1000"/>
      </w:pPr>
      <w:hyperlink w:anchor="Top_of_index_split_039_html">
        <w:r>
          <w:rPr>
            <w:color w:val="0000FF" w:themeColor="hyperlink"/>
            <w:u w:val="single"/>
          </w:rPr>
          <w:t>Handling unstable connections</w:t>
        </w:r>
      </w:hyperlink>
    </w:p>
    <w:p>
      <w:pPr>
        <w:pStyle w:val="Normal"/>
        <w:ind w:left="0" w:firstLineChars="0" w:firstLine="0" w:leftChars="1000"/>
      </w:pPr>
      <w:hyperlink w:anchor="Top_of_index_split_039_html">
        <w:r>
          <w:rPr>
            <w:color w:val="0000FF" w:themeColor="hyperlink"/>
            <w:u w:val="single"/>
          </w:rPr>
          <w:t>Further reading</w:t>
        </w:r>
      </w:hyperlink>
    </w:p>
    <w:p>
      <w:pPr>
        <w:pStyle w:val="Normal"/>
        <w:ind w:left="0" w:firstLineChars="0" w:firstLine="0" w:leftChars="1000"/>
      </w:pPr>
      <w:hyperlink w:anchor="Top_of_index_split_039_html">
        <w:r>
          <w:rPr>
            <w:color w:val="0000FF" w:themeColor="hyperlink"/>
            <w:u w:val="single"/>
          </w:rPr>
          <w:t>Two factor authentication with TOTP/HOTP</w:t>
        </w:r>
      </w:hyperlink>
    </w:p>
    <w:p>
      <w:pPr>
        <w:pStyle w:val="Normal"/>
        <w:ind w:left="0" w:firstLineChars="0" w:firstLine="0" w:leftChars="1000"/>
      </w:pPr>
      <w:hyperlink w:anchor="Top_of_index_split_039_html">
        <w:r>
          <w:rPr>
            <w:color w:val="0000FF" w:themeColor="hyperlink"/>
            <w:u w:val="single"/>
          </w:rPr>
          <w:t>Background</w:t>
        </w:r>
      </w:hyperlink>
    </w:p>
    <w:p>
      <w:pPr>
        <w:pStyle w:val="Normal"/>
        <w:ind w:left="0" w:firstLineChars="0" w:firstLine="0" w:leftChars="1000"/>
      </w:pPr>
      <w:hyperlink w:anchor="page_191">
        <w:r>
          <w:rPr>
            <w:color w:val="0000FF" w:themeColor="hyperlink"/>
            <w:u w:val="single"/>
          </w:rPr>
          <w:t>Install required software</w:t>
        </w:r>
      </w:hyperlink>
    </w:p>
    <w:p>
      <w:pPr>
        <w:pStyle w:val="Normal"/>
        <w:ind w:left="0" w:firstLineChars="0" w:firstLine="0" w:leftChars="1000"/>
      </w:pPr>
      <w:hyperlink w:anchor="Top_of_index_split_040_html">
        <w:r>
          <w:rPr>
            <w:color w:val="0000FF" w:themeColor="hyperlink"/>
            <w:u w:val="single"/>
          </w:rPr>
          <w:t>Configure users</w:t>
        </w:r>
      </w:hyperlink>
    </w:p>
    <w:p>
      <w:pPr>
        <w:pStyle w:val="Normal"/>
        <w:ind w:left="0" w:firstLineChars="0" w:firstLine="0" w:leftChars="1000"/>
      </w:pPr>
      <w:hyperlink w:anchor="Top_of_index_split_040_html">
        <w:r>
          <w:rPr>
            <w:color w:val="0000FF" w:themeColor="hyperlink"/>
            <w:u w:val="single"/>
          </w:rPr>
          <w:t>Configure users’ key-based authentication</w:t>
        </w:r>
      </w:hyperlink>
    </w:p>
    <w:p>
      <w:pPr>
        <w:pStyle w:val="Normal"/>
        <w:ind w:left="0" w:firstLineChars="0" w:firstLine="0" w:leftChars="1000"/>
      </w:pPr>
      <w:hyperlink w:anchor="Top_of_index_split_040_html">
        <w:r>
          <w:rPr>
            <w:color w:val="0000FF" w:themeColor="hyperlink"/>
            <w:u w:val="single"/>
          </w:rPr>
          <w:t>Configure users’ TOTP/HOTP 2FA secrets</w:t>
        </w:r>
      </w:hyperlink>
    </w:p>
    <w:p>
      <w:pPr>
        <w:pStyle w:val="Normal"/>
        <w:ind w:left="0" w:firstLineChars="0" w:firstLine="0" w:leftChars="1000"/>
      </w:pPr>
      <w:hyperlink w:anchor="Top_of_index_split_041_html">
        <w:r>
          <w:rPr>
            <w:color w:val="0000FF" w:themeColor="hyperlink"/>
            <w:u w:val="single"/>
          </w:rPr>
          <w:t>Configure the SSH server</w:t>
        </w:r>
      </w:hyperlink>
    </w:p>
    <w:p>
      <w:pPr>
        <w:pStyle w:val="Normal"/>
        <w:ind w:left="0" w:firstLineChars="0" w:firstLine="0" w:leftChars="1000"/>
      </w:pPr>
      <w:hyperlink w:anchor="Top_of_index_split_041_html">
        <w:r>
          <w:rPr>
            <w:color w:val="0000FF" w:themeColor="hyperlink"/>
            <w:u w:val="single"/>
          </w:rPr>
          <w:t>Log in using 2FA</w:t>
        </w:r>
      </w:hyperlink>
    </w:p>
    <w:p>
      <w:pPr>
        <w:pStyle w:val="Normal"/>
        <w:ind w:left="0" w:firstLineChars="0" w:firstLine="0" w:leftChars="1000"/>
      </w:pPr>
      <w:hyperlink w:anchor="Top_of_index_split_042_html">
        <w:r>
          <w:rPr>
            <w:color w:val="0000FF" w:themeColor="hyperlink"/>
            <w:u w:val="single"/>
          </w:rPr>
          <w:t>Special cases</w:t>
        </w:r>
      </w:hyperlink>
    </w:p>
    <w:p>
      <w:pPr>
        <w:pStyle w:val="Normal"/>
        <w:ind w:left="0" w:firstLineChars="0" w:firstLine="0" w:leftChars="1000"/>
      </w:pPr>
      <w:hyperlink w:anchor="Top_of_index_split_042_html">
        <w:r>
          <w:rPr>
            <w:color w:val="0000FF" w:themeColor="hyperlink"/>
            <w:u w:val="single"/>
          </w:rPr>
          <w:t>Further reading</w:t>
        </w:r>
      </w:hyperlink>
    </w:p>
    <w:p>
      <w:pPr>
        <w:pStyle w:val="Normal"/>
        <w:ind w:left="0" w:firstLineChars="0" w:firstLine="0" w:leftChars="1000"/>
      </w:pPr>
      <w:hyperlink w:anchor="Top_of_index_split_042_html">
        <w:r>
          <w:rPr>
            <w:color w:val="0000FF" w:themeColor="hyperlink"/>
            <w:u w:val="single"/>
          </w:rPr>
          <w:t>Two factor authentication with U2F/FIDO</w:t>
        </w:r>
      </w:hyperlink>
    </w:p>
    <w:p>
      <w:pPr>
        <w:pStyle w:val="Normal"/>
        <w:ind w:left="0" w:firstLineChars="0" w:firstLine="0" w:leftChars="1000"/>
      </w:pPr>
      <w:hyperlink w:anchor="Top_of_index_split_042_html">
        <w:r>
          <w:rPr>
            <w:color w:val="0000FF" w:themeColor="hyperlink"/>
            <w:u w:val="single"/>
          </w:rPr>
          <w:t>Example with U2F</w:t>
        </w:r>
      </w:hyperlink>
    </w:p>
    <w:p>
      <w:pPr>
        <w:pStyle w:val="Normal"/>
        <w:ind w:left="0" w:firstLineChars="0" w:firstLine="0" w:leftChars="1000"/>
      </w:pPr>
      <w:hyperlink w:anchor="page_195">
        <w:r>
          <w:rPr>
            <w:color w:val="0000FF" w:themeColor="hyperlink"/>
            <w:u w:val="single"/>
          </w:rPr>
          <w:t>FIDO2 resident keys</w:t>
        </w:r>
      </w:hyperlink>
    </w:p>
    <w:p>
      <w:pPr>
        <w:pStyle w:val="Normal"/>
        <w:ind w:left="0" w:firstLineChars="0" w:firstLine="0" w:leftChars="1000"/>
      </w:pPr>
      <w:hyperlink w:anchor="page_196">
        <w:r>
          <w:rPr>
            <w:color w:val="0000FF" w:themeColor="hyperlink"/>
            <w:u w:val="single"/>
          </w:rPr>
          <w:t>Further reading</w:t>
        </w:r>
      </w:hyperlink>
    </w:p>
    <w:p>
      <w:pPr>
        <w:pStyle w:val="Normal"/>
        <w:ind w:left="0" w:firstLineChars="0" w:firstLine="0" w:leftChars="1000"/>
      </w:pPr>
      <w:hyperlink w:anchor="page_196">
        <w:r>
          <w:rPr>
            <w:color w:val="0000FF" w:themeColor="hyperlink"/>
            <w:u w:val="single"/>
          </w:rPr>
          <w:t>Install a root CA certificate in the trust store</w:t>
        </w:r>
      </w:hyperlink>
    </w:p>
    <w:p>
      <w:pPr>
        <w:pStyle w:val="Normal"/>
        <w:ind w:left="0" w:firstLineChars="0" w:firstLine="0" w:leftChars="1000"/>
      </w:pPr>
      <w:hyperlink w:anchor="Top_of_index_split_043_html">
        <w:r>
          <w:rPr>
            <w:color w:val="0000FF" w:themeColor="hyperlink"/>
            <w:u w:val="single"/>
          </w:rPr>
          <w:t>Certificate formats</w:t>
        </w:r>
      </w:hyperlink>
    </w:p>
    <w:p>
      <w:pPr>
        <w:pStyle w:val="Normal"/>
        <w:ind w:left="0" w:firstLineChars="0" w:firstLine="0" w:leftChars="1000"/>
      </w:pPr>
      <w:hyperlink w:anchor="Top_of_index_split_043_html">
        <w:r>
          <w:rPr>
            <w:color w:val="0000FF" w:themeColor="hyperlink"/>
            <w:u w:val="single"/>
          </w:rPr>
          <w:t>Install a PEM-format certificate</w:t>
        </w:r>
      </w:hyperlink>
    </w:p>
    <w:p>
      <w:pPr>
        <w:pStyle w:val="Normal"/>
        <w:ind w:left="0" w:firstLineChars="0" w:firstLine="0" w:leftChars="1000"/>
      </w:pPr>
      <w:hyperlink w:anchor="page_198">
        <w:r>
          <w:rPr>
            <w:color w:val="0000FF" w:themeColor="hyperlink"/>
            <w:u w:val="single"/>
          </w:rPr>
          <w:t>Uninstall a PEM-format certificate</w:t>
        </w:r>
      </w:hyperlink>
    </w:p>
    <w:p>
      <w:pPr>
        <w:pStyle w:val="Normal"/>
        <w:ind w:left="0" w:firstLineChars="0" w:firstLine="0" w:leftChars="1000"/>
      </w:pPr>
      <w:hyperlink w:anchor="Top_of_index_split_044_html">
        <w:r>
          <w:rPr>
            <w:color w:val="0000FF" w:themeColor="hyperlink"/>
            <w:u w:val="single"/>
          </w:rPr>
          <w:t>Convert from DER to PEM format</w:t>
        </w:r>
      </w:hyperlink>
    </w:p>
    <w:p>
      <w:pPr>
        <w:pStyle w:val="Normal"/>
        <w:ind w:left="0" w:firstLineChars="0" w:firstLine="0" w:leftChars="1000"/>
      </w:pPr>
      <w:hyperlink w:anchor="Top_of_index_split_044_html">
        <w:r>
          <w:rPr>
            <w:color w:val="0000FF" w:themeColor="hyperlink"/>
            <w:u w:val="single"/>
          </w:rPr>
          <w:t>The CA trust store location</w:t>
        </w:r>
      </w:hyperlink>
    </w:p>
    <w:p>
      <w:pPr>
        <w:pStyle w:val="Normal"/>
        <w:ind w:left="0" w:firstLineChars="0" w:firstLine="0" w:leftChars="800"/>
      </w:pPr>
      <w:hyperlink w:anchor="Top_of_index_split_044_html">
        <w:r>
          <w:rPr>
            <w:color w:val="0000FF" w:themeColor="hyperlink"/>
            <w:u w:val="single"/>
          </w:rPr>
          <w:t>Virtual Private Network (VPN)</w:t>
        </w:r>
      </w:hyperlink>
    </w:p>
    <w:p>
      <w:pPr>
        <w:pStyle w:val="Normal"/>
        <w:ind w:left="0" w:firstLineChars="0" w:firstLine="0" w:leftChars="1000"/>
      </w:pPr>
      <w:hyperlink w:anchor="Top_of_index_split_044_html">
        <w:r>
          <w:rPr>
            <w:color w:val="0000FF" w:themeColor="hyperlink"/>
            <w:u w:val="single"/>
          </w:rPr>
          <w:t>How to install and use OpenVPN</w:t>
        </w:r>
      </w:hyperlink>
    </w:p>
    <w:p>
      <w:pPr>
        <w:pStyle w:val="Normal"/>
        <w:ind w:left="0" w:firstLineChars="0" w:firstLine="0" w:leftChars="1000"/>
      </w:pPr>
      <w:hyperlink w:anchor="Top_of_index_split_044_html">
        <w:r>
          <w:rPr>
            <w:color w:val="0000FF" w:themeColor="hyperlink"/>
            <w:u w:val="single"/>
          </w:rPr>
          <w:t>Install the server</w:t>
        </w:r>
      </w:hyperlink>
    </w:p>
    <w:p>
      <w:pPr>
        <w:pStyle w:val="Normal"/>
        <w:ind w:left="0" w:firstLineChars="0" w:firstLine="0" w:leftChars="1000"/>
      </w:pPr>
      <w:hyperlink w:anchor="Top_of_index_split_044_html">
        <w:r>
          <w:rPr>
            <w:color w:val="0000FF" w:themeColor="hyperlink"/>
            <w:u w:val="single"/>
          </w:rPr>
          <w:t>Set up the Public Key Infrastructure (PKI)</w:t>
        </w:r>
      </w:hyperlink>
    </w:p>
    <w:p>
      <w:pPr>
        <w:pStyle w:val="Normal"/>
        <w:ind w:left="0" w:firstLineChars="0" w:firstLine="0" w:leftChars="1000"/>
      </w:pPr>
      <w:hyperlink w:anchor="page_200">
        <w:r>
          <w:rPr>
            <w:color w:val="0000FF" w:themeColor="hyperlink"/>
            <w:u w:val="single"/>
          </w:rPr>
          <w:t>Set up the Certificate Authority</w:t>
        </w:r>
      </w:hyperlink>
    </w:p>
    <w:p>
      <w:pPr>
        <w:pStyle w:val="Normal"/>
        <w:ind w:left="0" w:firstLineChars="0" w:firstLine="0" w:leftChars="1000"/>
      </w:pPr>
      <w:hyperlink w:anchor="page_200">
        <w:r>
          <w:rPr>
            <w:color w:val="0000FF" w:themeColor="hyperlink"/>
            <w:u w:val="single"/>
          </w:rPr>
          <w:t>Create server keys and certificates</w:t>
        </w:r>
      </w:hyperlink>
    </w:p>
    <w:p>
      <w:pPr>
        <w:pStyle w:val="Normal"/>
        <w:ind w:left="0" w:firstLineChars="0" w:firstLine="0" w:leftChars="1000"/>
      </w:pPr>
      <w:hyperlink w:anchor="page_201">
        <w:r>
          <w:rPr>
            <w:color w:val="0000FF" w:themeColor="hyperlink"/>
            <w:u w:val="single"/>
          </w:rPr>
          <w:t>Simple server configuration</w:t>
        </w:r>
      </w:hyperlink>
    </w:p>
    <w:p>
      <w:pPr>
        <w:pStyle w:val="Normal"/>
        <w:ind w:left="0" w:firstLineChars="0" w:firstLine="0" w:leftChars="1000"/>
      </w:pPr>
      <w:hyperlink w:anchor="page_203">
        <w:r>
          <w:rPr>
            <w:color w:val="0000FF" w:themeColor="hyperlink"/>
            <w:u w:val="single"/>
          </w:rPr>
          <w:t>Create client certificates</w:t>
        </w:r>
      </w:hyperlink>
    </w:p>
    <w:p>
      <w:pPr>
        <w:pStyle w:val="Normal"/>
        <w:ind w:left="0" w:firstLineChars="0" w:firstLine="0" w:leftChars="1000"/>
      </w:pPr>
      <w:hyperlink w:anchor="page_204">
        <w:r>
          <w:rPr>
            <w:color w:val="0000FF" w:themeColor="hyperlink"/>
            <w:u w:val="single"/>
          </w:rPr>
          <w:t>Simple client configuration</w:t>
        </w:r>
      </w:hyperlink>
    </w:p>
    <w:p>
      <w:pPr>
        <w:pStyle w:val="Normal"/>
        <w:ind w:left="0" w:firstLineChars="0" w:firstLine="0" w:leftChars="1000"/>
      </w:pPr>
      <w:hyperlink w:anchor="page_207">
        <w:r>
          <w:rPr>
            <w:color w:val="0000FF" w:themeColor="hyperlink"/>
            <w:u w:val="single"/>
          </w:rPr>
          <w:t>First troubleshooting</w:t>
        </w:r>
      </w:hyperlink>
    </w:p>
    <w:p>
      <w:pPr>
        <w:pStyle w:val="Normal"/>
        <w:ind w:left="0" w:firstLineChars="0" w:firstLine="0" w:leftChars="1000"/>
      </w:pPr>
      <w:hyperlink w:anchor="page_208">
        <w:r>
          <w:rPr>
            <w:color w:val="0000FF" w:themeColor="hyperlink"/>
            <w:u w:val="single"/>
          </w:rPr>
          <w:t>Advanced configuration</w:t>
        </w:r>
      </w:hyperlink>
    </w:p>
    <w:p>
      <w:pPr>
        <w:pStyle w:val="Normal"/>
        <w:ind w:left="0" w:firstLineChars="0" w:firstLine="0" w:leftChars="1000"/>
      </w:pPr>
      <w:hyperlink w:anchor="page_208">
        <w:r>
          <w:rPr>
            <w:color w:val="0000FF" w:themeColor="hyperlink"/>
            <w:u w:val="single"/>
          </w:rPr>
          <w:t>Advanced routed VPN configuration on server</w:t>
        </w:r>
      </w:hyperlink>
    </w:p>
    <w:p>
      <w:pPr>
        <w:pStyle w:val="Normal"/>
        <w:ind w:left="0" w:firstLineChars="0" w:firstLine="0" w:leftChars="1000"/>
      </w:pPr>
      <w:hyperlink w:anchor="page_208">
        <w:r>
          <w:rPr>
            <w:color w:val="0000FF" w:themeColor="hyperlink"/>
            <w:u w:val="single"/>
          </w:rPr>
          <w:t>Advanced bridged VPN configuration on server</w:t>
        </w:r>
      </w:hyperlink>
    </w:p>
    <w:p>
      <w:pPr>
        <w:pStyle w:val="Normal"/>
        <w:ind w:left="0" w:firstLineChars="0" w:firstLine="0" w:leftChars="1000"/>
      </w:pPr>
      <w:hyperlink w:anchor="page_208">
        <w:r>
          <w:rPr>
            <w:color w:val="0000FF" w:themeColor="hyperlink"/>
            <w:u w:val="single"/>
          </w:rPr>
          <w:t>Prepare interface config for bridging on server</w:t>
        </w:r>
      </w:hyperlink>
    </w:p>
    <w:p>
      <w:pPr>
        <w:pStyle w:val="Normal"/>
        <w:ind w:left="0" w:firstLineChars="0" w:firstLine="0" w:leftChars="1000"/>
      </w:pPr>
      <w:hyperlink w:anchor="page_209">
        <w:r>
          <w:rPr>
            <w:color w:val="0000FF" w:themeColor="hyperlink"/>
            <w:u w:val="single"/>
          </w:rPr>
          <w:t>Prepare server config for bridging</w:t>
        </w:r>
      </w:hyperlink>
    </w:p>
    <w:p>
      <w:pPr>
        <w:pStyle w:val="Normal"/>
        <w:ind w:left="0" w:firstLineChars="0" w:firstLine="0" w:leftChars="1000"/>
      </w:pPr>
      <w:hyperlink w:anchor="Top_of_index_split_045_html">
        <w:r>
          <w:rPr>
            <w:color w:val="0000FF" w:themeColor="hyperlink"/>
            <w:u w:val="single"/>
          </w:rPr>
          <w:t>Prepare client config for bridging</w:t>
        </w:r>
      </w:hyperlink>
    </w:p>
    <w:p>
      <w:pPr>
        <w:pStyle w:val="Normal"/>
        <w:ind w:left="0" w:firstLineChars="0" w:firstLine="0" w:leftChars="1000"/>
      </w:pPr>
      <w:hyperlink w:anchor="Top_of_index_split_045_html">
        <w:r>
          <w:rPr>
            <w:color w:val="0000FF" w:themeColor="hyperlink"/>
            <w:u w:val="single"/>
          </w:rPr>
          <w:t>Using OpenSSL providers</w:t>
        </w:r>
      </w:hyperlink>
    </w:p>
    <w:p>
      <w:pPr>
        <w:pStyle w:val="Normal"/>
        <w:ind w:left="0" w:firstLineChars="0" w:firstLine="0" w:leftChars="1000"/>
      </w:pPr>
      <w:hyperlink w:anchor="Top_of_index_split_045_html">
        <w:r>
          <w:rPr>
            <w:color w:val="0000FF" w:themeColor="hyperlink"/>
            <w:u w:val="single"/>
          </w:rPr>
          <w:t>Legacy provider</w:t>
        </w:r>
      </w:hyperlink>
    </w:p>
    <w:p>
      <w:pPr>
        <w:pStyle w:val="Normal"/>
        <w:ind w:left="0" w:firstLineChars="0" w:firstLine="0" w:leftChars="1000"/>
      </w:pPr>
      <w:hyperlink w:anchor="Top_of_index_split_045_html">
        <w:r>
          <w:rPr>
            <w:color w:val="0000FF" w:themeColor="hyperlink"/>
            <w:u w:val="single"/>
          </w:rPr>
          <w:t>TPM 2.0</w:t>
        </w:r>
      </w:hyperlink>
    </w:p>
    <w:p>
      <w:pPr>
        <w:pStyle w:val="Normal"/>
        <w:ind w:left="0" w:firstLineChars="0" w:firstLine="0" w:leftChars="1000"/>
      </w:pPr>
      <w:hyperlink w:anchor="page_211">
        <w:r>
          <w:rPr>
            <w:color w:val="0000FF" w:themeColor="hyperlink"/>
            <w:u w:val="single"/>
          </w:rPr>
          <w:t>Further reading</w:t>
        </w:r>
      </w:hyperlink>
    </w:p>
    <w:p>
      <w:pPr>
        <w:pStyle w:val="Normal"/>
        <w:ind w:left="0" w:firstLineChars="0" w:firstLine="0" w:leftChars="1000"/>
      </w:pPr>
      <w:hyperlink w:anchor="page_211">
        <w:r>
          <w:rPr>
            <w:color w:val="0000FF" w:themeColor="hyperlink"/>
            <w:u w:val="single"/>
          </w:rPr>
          <w:t>WireGuard VPN</w:t>
        </w:r>
      </w:hyperlink>
    </w:p>
    <w:p>
      <w:pPr>
        <w:pStyle w:val="Normal"/>
        <w:ind w:left="0" w:firstLineChars="0" w:firstLine="0" w:leftChars="1000"/>
      </w:pPr>
      <w:hyperlink w:anchor="page_211">
        <w:r>
          <w:rPr>
            <w:color w:val="0000FF" w:themeColor="hyperlink"/>
            <w:u w:val="single"/>
          </w:rPr>
          <w:t>WireGuard VPN peer-to-site</w:t>
        </w:r>
      </w:hyperlink>
    </w:p>
    <w:p>
      <w:pPr>
        <w:pStyle w:val="Normal"/>
        <w:ind w:left="0" w:firstLineChars="0" w:firstLine="0" w:leftChars="1000"/>
      </w:pPr>
      <w:hyperlink w:anchor="page_212">
        <w:r>
          <w:rPr>
            <w:color w:val="0000FF" w:themeColor="hyperlink"/>
            <w:u w:val="single"/>
          </w:rPr>
          <w:t>WireGuard VPN peer-to-site (on router)</w:t>
        </w:r>
      </w:hyperlink>
    </w:p>
    <w:p>
      <w:pPr>
        <w:pStyle w:val="Normal"/>
        <w:ind w:left="0" w:firstLineChars="0" w:firstLine="0" w:leftChars="1000"/>
      </w:pPr>
      <w:hyperlink w:anchor="page_213">
        <w:r>
          <w:rPr>
            <w:color w:val="0000FF" w:themeColor="hyperlink"/>
            <w:u w:val="single"/>
          </w:rPr>
          <w:t>Configuration</w:t>
        </w:r>
      </w:hyperlink>
    </w:p>
    <w:p>
      <w:pPr>
        <w:pStyle w:val="Normal"/>
        <w:ind w:left="0" w:firstLineChars="0" w:firstLine="0" w:leftChars="1000"/>
      </w:pPr>
      <w:hyperlink w:anchor="page_215">
        <w:r>
          <w:rPr>
            <w:color w:val="0000FF" w:themeColor="hyperlink"/>
            <w:u w:val="single"/>
          </w:rPr>
          <w:t>Testing</w:t>
        </w:r>
      </w:hyperlink>
    </w:p>
    <w:p>
      <w:pPr>
        <w:pStyle w:val="Normal"/>
        <w:ind w:left="0" w:firstLineChars="0" w:firstLine="0" w:leftChars="1000"/>
      </w:pPr>
      <w:hyperlink w:anchor="page_216">
        <w:r>
          <w:rPr>
            <w:color w:val="0000FF" w:themeColor="hyperlink"/>
            <w:u w:val="single"/>
          </w:rPr>
          <w:t>WireGuard on an internal system (peer-to-site)</w:t>
        </w:r>
      </w:hyperlink>
    </w:p>
    <w:p>
      <w:pPr>
        <w:pStyle w:val="Normal"/>
        <w:ind w:left="0" w:firstLineChars="0" w:firstLine="0" w:leftChars="1000"/>
      </w:pPr>
      <w:hyperlink w:anchor="page_217">
        <w:r>
          <w:rPr>
            <w:color w:val="0000FF" w:themeColor="hyperlink"/>
            <w:u w:val="single"/>
          </w:rPr>
          <w:t>Router changes</w:t>
        </w:r>
      </w:hyperlink>
    </w:p>
    <w:p>
      <w:pPr>
        <w:pStyle w:val="Normal"/>
        <w:ind w:left="0" w:firstLineChars="0" w:firstLine="0" w:leftChars="1000"/>
      </w:pPr>
      <w:hyperlink w:anchor="page_217">
        <w:r>
          <w:rPr>
            <w:color w:val="0000FF" w:themeColor="hyperlink"/>
            <w:u w:val="single"/>
          </w:rPr>
          <w:t>Configure the internal WireGuard endpoint</w:t>
        </w:r>
      </w:hyperlink>
    </w:p>
    <w:p>
      <w:pPr>
        <w:pStyle w:val="Normal"/>
        <w:ind w:left="0" w:firstLineChars="0" w:firstLine="0" w:leftChars="1000"/>
      </w:pPr>
      <w:hyperlink w:anchor="page_218">
        <w:r>
          <w:rPr>
            <w:color w:val="0000FF" w:themeColor="hyperlink"/>
            <w:u w:val="single"/>
          </w:rPr>
          <w:t>Configuring the peer</w:t>
        </w:r>
      </w:hyperlink>
    </w:p>
    <w:p>
      <w:pPr>
        <w:pStyle w:val="Normal"/>
        <w:ind w:left="0" w:firstLineChars="0" w:firstLine="0" w:leftChars="1000"/>
      </w:pPr>
      <w:hyperlink w:anchor="page_219">
        <w:r>
          <w:rPr>
            <w:color w:val="0000FF" w:themeColor="hyperlink"/>
            <w:u w:val="single"/>
          </w:rPr>
          <w:t>Testing</w:t>
        </w:r>
      </w:hyperlink>
    </w:p>
    <w:p>
      <w:pPr>
        <w:pStyle w:val="Normal"/>
        <w:ind w:left="0" w:firstLineChars="0" w:firstLine="0" w:leftChars="1000"/>
      </w:pPr>
      <w:hyperlink w:anchor="page_219">
        <w:r>
          <w:rPr>
            <w:color w:val="0000FF" w:themeColor="hyperlink"/>
            <w:u w:val="single"/>
          </w:rPr>
          <w:t>WireGuard VPN site-to-site</w:t>
        </w:r>
      </w:hyperlink>
    </w:p>
    <w:p>
      <w:pPr>
        <w:pStyle w:val="Normal"/>
        <w:ind w:left="0" w:firstLineChars="0" w:firstLine="0" w:leftChars="1000"/>
      </w:pPr>
      <w:hyperlink w:anchor="page_220">
        <w:r>
          <w:rPr>
            <w:color w:val="0000FF" w:themeColor="hyperlink"/>
            <w:u w:val="single"/>
          </w:rPr>
          <w:t>Configure WireGuard</w:t>
        </w:r>
      </w:hyperlink>
    </w:p>
    <w:p>
      <w:pPr>
        <w:pStyle w:val="Normal"/>
        <w:ind w:left="0" w:firstLineChars="0" w:firstLine="0" w:leftChars="1000"/>
      </w:pPr>
      <w:hyperlink w:anchor="page_221">
        <w:r>
          <w:rPr>
            <w:color w:val="0000FF" w:themeColor="hyperlink"/>
            <w:u w:val="single"/>
          </w:rPr>
          <w:t>Bring the interfaces up</w:t>
        </w:r>
      </w:hyperlink>
    </w:p>
    <w:p>
      <w:pPr>
        <w:pStyle w:val="Normal"/>
        <w:ind w:left="0" w:firstLineChars="0" w:firstLine="0" w:leftChars="1000"/>
      </w:pPr>
      <w:hyperlink w:anchor="page_221">
        <w:r>
          <w:rPr>
            <w:color w:val="0000FF" w:themeColor="hyperlink"/>
            <w:u w:val="single"/>
          </w:rPr>
          <w:t>Firewall and routing</w:t>
        </w:r>
      </w:hyperlink>
    </w:p>
    <w:p>
      <w:pPr>
        <w:pStyle w:val="Normal"/>
        <w:ind w:left="0" w:firstLineChars="0" w:firstLine="0" w:leftChars="1000"/>
      </w:pPr>
      <w:hyperlink w:anchor="page_222">
        <w:r>
          <w:rPr>
            <w:color w:val="0000FF" w:themeColor="hyperlink"/>
            <w:u w:val="single"/>
          </w:rPr>
          <w:t>Using the VPN as the default gateway</w:t>
        </w:r>
      </w:hyperlink>
    </w:p>
    <w:p>
      <w:pPr>
        <w:pStyle w:val="Normal"/>
        <w:ind w:left="0" w:firstLineChars="0" w:firstLine="0" w:leftChars="1000"/>
      </w:pPr>
      <w:hyperlink w:anchor="page_222">
        <w:r>
          <w:rPr>
            <w:color w:val="0000FF" w:themeColor="hyperlink"/>
            <w:u w:val="single"/>
          </w:rPr>
          <w:t>Install and configure WireGuard</w:t>
        </w:r>
      </w:hyperlink>
    </w:p>
    <w:p>
      <w:pPr>
        <w:pStyle w:val="Normal"/>
        <w:ind w:left="0" w:firstLineChars="0" w:firstLine="0" w:leftChars="1000"/>
      </w:pPr>
      <w:hyperlink w:anchor="page_223">
        <w:r>
          <w:rPr>
            <w:color w:val="0000FF" w:themeColor="hyperlink"/>
            <w:u w:val="single"/>
          </w:rPr>
          <w:t>Routing and masquerading</w:t>
        </w:r>
      </w:hyperlink>
    </w:p>
    <w:p>
      <w:pPr>
        <w:pStyle w:val="Normal"/>
        <w:ind w:left="0" w:firstLineChars="0" w:firstLine="0" w:leftChars="1000"/>
      </w:pPr>
      <w:hyperlink w:anchor="page_224">
        <w:r>
          <w:rPr>
            <w:color w:val="0000FF" w:themeColor="hyperlink"/>
            <w:u w:val="single"/>
          </w:rPr>
          <w:t>Testing</w:t>
        </w:r>
      </w:hyperlink>
    </w:p>
    <w:p>
      <w:pPr>
        <w:pStyle w:val="Normal"/>
        <w:ind w:left="0" w:firstLineChars="0" w:firstLine="0" w:leftChars="1000"/>
      </w:pPr>
      <w:hyperlink w:anchor="page_225">
        <w:r>
          <w:rPr>
            <w:color w:val="0000FF" w:themeColor="hyperlink"/>
            <w:u w:val="single"/>
          </w:rPr>
          <w:t>DNS leaks</w:t>
        </w:r>
      </w:hyperlink>
    </w:p>
    <w:p>
      <w:pPr>
        <w:pStyle w:val="Normal"/>
        <w:ind w:left="0" w:firstLineChars="0" w:firstLine="0" w:leftChars="1000"/>
      </w:pPr>
      <w:hyperlink w:anchor="page_225">
        <w:r>
          <w:rPr>
            <w:color w:val="0000FF" w:themeColor="hyperlink"/>
            <w:u w:val="single"/>
          </w:rPr>
          <w:t>Selecting a DNS server</w:t>
        </w:r>
      </w:hyperlink>
    </w:p>
    <w:p>
      <w:pPr>
        <w:pStyle w:val="Normal"/>
        <w:ind w:left="0" w:firstLineChars="0" w:firstLine="0" w:leftChars="1000"/>
      </w:pPr>
      <w:hyperlink w:anchor="page_226">
        <w:r>
          <w:rPr>
            <w:color w:val="0000FF" w:themeColor="hyperlink"/>
            <w:u w:val="single"/>
          </w:rPr>
          <w:t>Installing your own DNS server</w:t>
        </w:r>
      </w:hyperlink>
    </w:p>
    <w:p>
      <w:pPr>
        <w:pStyle w:val="Normal"/>
        <w:ind w:left="0" w:firstLineChars="0" w:firstLine="0" w:leftChars="1000"/>
      </w:pPr>
      <w:hyperlink w:anchor="page_227">
        <w:r>
          <w:rPr>
            <w:color w:val="0000FF" w:themeColor="hyperlink"/>
            <w:u w:val="single"/>
          </w:rPr>
          <w:t>Common tasks in WireGuard VPN</w:t>
        </w:r>
      </w:hyperlink>
    </w:p>
    <w:p>
      <w:pPr>
        <w:pStyle w:val="Normal"/>
        <w:ind w:left="0" w:firstLineChars="0" w:firstLine="0" w:leftChars="1000"/>
      </w:pPr>
      <w:hyperlink w:anchor="page_227">
        <w:r>
          <w:rPr>
            <w:color w:val="0000FF" w:themeColor="hyperlink"/>
            <w:u w:val="single"/>
          </w:rPr>
          <w:t>Controlling the WireGuard interface with systemd</w:t>
        </w:r>
      </w:hyperlink>
    </w:p>
    <w:p>
      <w:pPr>
        <w:pStyle w:val="Normal"/>
        <w:ind w:left="0" w:firstLineChars="0" w:firstLine="0" w:leftChars="1000"/>
      </w:pPr>
      <w:hyperlink w:anchor="Top_of_index_split_046_html">
        <w:r>
          <w:rPr>
            <w:color w:val="0000FF" w:themeColor="hyperlink"/>
            <w:u w:val="single"/>
          </w:rPr>
          <w:t>DNS resolving</w:t>
        </w:r>
      </w:hyperlink>
    </w:p>
    <w:p>
      <w:pPr>
        <w:pStyle w:val="Normal"/>
        <w:ind w:left="0" w:firstLineChars="0" w:firstLine="0" w:leftChars="1000"/>
      </w:pPr>
      <w:hyperlink w:anchor="page_229">
        <w:r>
          <w:rPr>
            <w:color w:val="0000FF" w:themeColor="hyperlink"/>
            <w:u w:val="single"/>
          </w:rPr>
          <w:t>Adding another peer</w:t>
        </w:r>
      </w:hyperlink>
    </w:p>
    <w:p>
      <w:pPr>
        <w:pStyle w:val="Normal"/>
        <w:ind w:left="0" w:firstLineChars="0" w:firstLine="0" w:leftChars="1000"/>
      </w:pPr>
      <w:hyperlink w:anchor="page_230">
        <w:r>
          <w:rPr>
            <w:color w:val="0000FF" w:themeColor="hyperlink"/>
            <w:u w:val="single"/>
          </w:rPr>
          <w:t>Adding a smartphone peer</w:t>
        </w:r>
      </w:hyperlink>
    </w:p>
    <w:p>
      <w:pPr>
        <w:pStyle w:val="Normal"/>
        <w:ind w:left="0" w:firstLineChars="0" w:firstLine="0" w:leftChars="1000"/>
      </w:pPr>
      <w:hyperlink w:anchor="page_231">
        <w:r>
          <w:rPr>
            <w:color w:val="0000FF" w:themeColor="hyperlink"/>
            <w:u w:val="single"/>
          </w:rPr>
          <w:t>Security tips for WireGuard VPN</w:t>
        </w:r>
      </w:hyperlink>
    </w:p>
    <w:p>
      <w:pPr>
        <w:pStyle w:val="Normal"/>
        <w:ind w:left="0" w:firstLineChars="0" w:firstLine="0" w:leftChars="1000"/>
      </w:pPr>
      <w:hyperlink w:anchor="page_231">
        <w:r>
          <w:rPr>
            <w:color w:val="0000FF" w:themeColor="hyperlink"/>
            <w:u w:val="single"/>
          </w:rPr>
          <w:t>Traffic goes both ways</w:t>
        </w:r>
      </w:hyperlink>
    </w:p>
    <w:p>
      <w:pPr>
        <w:pStyle w:val="Normal"/>
        <w:ind w:left="0" w:firstLineChars="0" w:firstLine="0" w:leftChars="1000"/>
      </w:pPr>
      <w:hyperlink w:anchor="page_231">
        <w:r>
          <w:rPr>
            <w:color w:val="0000FF" w:themeColor="hyperlink"/>
            <w:u w:val="single"/>
          </w:rPr>
          <w:t>Using PreSharedKey</w:t>
        </w:r>
      </w:hyperlink>
    </w:p>
    <w:p>
      <w:pPr>
        <w:pStyle w:val="Normal"/>
        <w:ind w:left="0" w:firstLineChars="0" w:firstLine="0" w:leftChars="1000"/>
      </w:pPr>
      <w:hyperlink w:anchor="Top_of_index_split_047_html">
        <w:r>
          <w:rPr>
            <w:color w:val="0000FF" w:themeColor="hyperlink"/>
            <w:u w:val="single"/>
          </w:rPr>
          <w:t>Preventing accidental leakage of private keys</w:t>
        </w:r>
      </w:hyperlink>
    </w:p>
    <w:p>
      <w:pPr>
        <w:pStyle w:val="Normal"/>
        <w:ind w:left="0" w:firstLineChars="0" w:firstLine="0" w:leftChars="1000"/>
      </w:pPr>
      <w:hyperlink w:anchor="Top_of_index_split_047_html">
        <w:r>
          <w:rPr>
            <w:color w:val="0000FF" w:themeColor="hyperlink"/>
            <w:u w:val="single"/>
          </w:rPr>
          <w:t>Troubleshooting WireGuard VPN</w:t>
        </w:r>
      </w:hyperlink>
    </w:p>
    <w:p>
      <w:pPr>
        <w:pStyle w:val="Normal"/>
        <w:ind w:left="0" w:firstLineChars="0" w:firstLine="0" w:leftChars="1000"/>
      </w:pPr>
      <w:hyperlink w:anchor="page_233">
        <w:r>
          <w:rPr>
            <w:color w:val="0000FF" w:themeColor="hyperlink"/>
            <w:u w:val="single"/>
          </w:rPr>
          <w:t>The watch wg command</w:t>
        </w:r>
      </w:hyperlink>
    </w:p>
    <w:p>
      <w:pPr>
        <w:pStyle w:val="Normal"/>
        <w:ind w:left="0" w:firstLineChars="0" w:firstLine="0" w:leftChars="1000"/>
      </w:pPr>
      <w:hyperlink w:anchor="page_233">
        <w:r>
          <w:rPr>
            <w:color w:val="0000FF" w:themeColor="hyperlink"/>
            <w:u w:val="single"/>
          </w:rPr>
          <w:t>Kernel debug messages</w:t>
        </w:r>
      </w:hyperlink>
    </w:p>
    <w:p>
      <w:pPr>
        <w:pStyle w:val="Normal"/>
        <w:ind w:left="0" w:firstLineChars="0" w:firstLine="0" w:leftChars="1000"/>
      </w:pPr>
      <w:hyperlink w:anchor="Top_of_index_split_048_html">
        <w:r>
          <w:rPr>
            <w:color w:val="0000FF" w:themeColor="hyperlink"/>
            <w:u w:val="single"/>
          </w:rPr>
          <w:t>Destination address required</w:t>
        </w:r>
      </w:hyperlink>
    </w:p>
    <w:p>
      <w:pPr>
        <w:pStyle w:val="Normal"/>
        <w:ind w:left="0" w:firstLineChars="0" w:firstLine="0" w:leftChars="1000"/>
      </w:pPr>
      <w:hyperlink w:anchor="page_235">
        <w:r>
          <w:rPr>
            <w:color w:val="0000FF" w:themeColor="hyperlink"/>
            <w:u w:val="single"/>
          </w:rPr>
          <w:t>Required key not available</w:t>
        </w:r>
      </w:hyperlink>
    </w:p>
    <w:p>
      <w:pPr>
        <w:pStyle w:val="Normal"/>
        <w:ind w:left="0" w:firstLineChars="0" w:firstLine="0" w:leftChars="1000"/>
      </w:pPr>
      <w:hyperlink w:anchor="page_235">
        <w:r>
          <w:rPr>
            <w:color w:val="0000FF" w:themeColor="hyperlink"/>
            <w:u w:val="single"/>
          </w:rPr>
          <w:t>See also</w:t>
        </w:r>
      </w:hyperlink>
    </w:p>
    <w:p>
      <w:pPr>
        <w:pStyle w:val="Normal"/>
        <w:ind w:left="0" w:firstLineChars="0" w:firstLine="0" w:leftChars="800"/>
      </w:pPr>
      <w:hyperlink w:anchor="page_235">
        <w:r>
          <w:rPr>
            <w:color w:val="0000FF" w:themeColor="hyperlink"/>
            <w:u w:val="single"/>
          </w:rPr>
          <w:t>See also</w:t>
        </w:r>
      </w:hyperlink>
    </w:p>
    <w:p>
      <w:pPr>
        <w:pStyle w:val="Normal"/>
        <w:ind w:left="0" w:firstLineChars="0" w:firstLine="0" w:leftChars="400"/>
      </w:pPr>
      <w:hyperlink w:anchor="Top_of_index_split_049_html">
        <w:r>
          <w:rPr>
            <w:color w:val="0000FF" w:themeColor="hyperlink"/>
            <w:u w:val="single"/>
          </w:rPr>
          <w:t>Networking</w:t>
        </w:r>
      </w:hyperlink>
    </w:p>
    <w:p>
      <w:pPr>
        <w:pStyle w:val="Normal"/>
        <w:ind w:left="0" w:firstLineChars="0" w:firstLine="0" w:leftChars="600"/>
      </w:pPr>
      <w:hyperlink w:anchor="Top_of_index_split_049_html">
        <w:r>
          <w:rPr>
            <w:color w:val="0000FF" w:themeColor="hyperlink"/>
            <w:u w:val="single"/>
          </w:rPr>
          <w:t>Networking</w:t>
        </w:r>
      </w:hyperlink>
    </w:p>
    <w:p>
      <w:pPr>
        <w:pStyle w:val="Normal"/>
        <w:ind w:left="0" w:firstLineChars="0" w:firstLine="0" w:leftChars="800"/>
      </w:pPr>
      <w:hyperlink w:anchor="Top_of_index_split_049_html">
        <w:r>
          <w:rPr>
            <w:color w:val="0000FF" w:themeColor="hyperlink"/>
            <w:u w:val="single"/>
          </w:rPr>
          <w:t>Configuration</w:t>
        </w:r>
      </w:hyperlink>
    </w:p>
    <w:p>
      <w:pPr>
        <w:pStyle w:val="Normal"/>
        <w:ind w:left="0" w:firstLineChars="0" w:firstLine="0" w:leftChars="800"/>
      </w:pPr>
      <w:hyperlink w:anchor="Top_of_index_split_049_html">
        <w:r>
          <w:rPr>
            <w:color w:val="0000FF" w:themeColor="hyperlink"/>
            <w:u w:val="single"/>
          </w:rPr>
          <w:t>Network tools</w:t>
        </w:r>
      </w:hyperlink>
    </w:p>
    <w:p>
      <w:pPr>
        <w:pStyle w:val="Normal"/>
        <w:ind w:left="0" w:firstLineChars="0" w:firstLine="0" w:leftChars="1000"/>
      </w:pPr>
      <w:hyperlink w:anchor="Top_of_index_split_049_html">
        <w:r>
          <w:rPr>
            <w:color w:val="0000FF" w:themeColor="hyperlink"/>
            <w:u w:val="single"/>
          </w:rPr>
          <w:t>Set up an FTP server</w:t>
        </w:r>
      </w:hyperlink>
    </w:p>
    <w:p>
      <w:pPr>
        <w:pStyle w:val="Normal"/>
        <w:ind w:left="0" w:firstLineChars="0" w:firstLine="0" w:leftChars="1000"/>
      </w:pPr>
      <w:hyperlink w:anchor="page_237">
        <w:r>
          <w:rPr>
            <w:color w:val="0000FF" w:themeColor="hyperlink"/>
            <w:u w:val="single"/>
          </w:rPr>
          <w:t>vsftpd – FTP server installation</w:t>
        </w:r>
      </w:hyperlink>
    </w:p>
    <w:p>
      <w:pPr>
        <w:pStyle w:val="Normal"/>
        <w:ind w:left="0" w:firstLineChars="0" w:firstLine="0" w:leftChars="1000"/>
      </w:pPr>
      <w:hyperlink w:anchor="page_237">
        <w:r>
          <w:rPr>
            <w:color w:val="0000FF" w:themeColor="hyperlink"/>
            <w:u w:val="single"/>
          </w:rPr>
          <w:t>Anonymous FTP configuration</w:t>
        </w:r>
      </w:hyperlink>
    </w:p>
    <w:p>
      <w:pPr>
        <w:pStyle w:val="Normal"/>
        <w:ind w:left="0" w:firstLineChars="0" w:firstLine="0" w:leftChars="1000"/>
      </w:pPr>
      <w:hyperlink w:anchor="page_237">
        <w:r>
          <w:rPr>
            <w:color w:val="0000FF" w:themeColor="hyperlink"/>
            <w:u w:val="single"/>
          </w:rPr>
          <w:t>FTP files location</w:t>
        </w:r>
      </w:hyperlink>
    </w:p>
    <w:p>
      <w:pPr>
        <w:pStyle w:val="Normal"/>
        <w:ind w:left="0" w:firstLineChars="0" w:firstLine="0" w:leftChars="1000"/>
      </w:pPr>
      <w:hyperlink w:anchor="Top_of_index_split_050_html">
        <w:r>
          <w:rPr>
            <w:color w:val="0000FF" w:themeColor="hyperlink"/>
            <w:u w:val="single"/>
          </w:rPr>
          <w:t>User authenticated FTP configuration</w:t>
        </w:r>
      </w:hyperlink>
    </w:p>
    <w:p>
      <w:pPr>
        <w:pStyle w:val="Normal"/>
        <w:ind w:left="0" w:firstLineChars="0" w:firstLine="0" w:leftChars="1000"/>
      </w:pPr>
      <w:hyperlink w:anchor="Top_of_index_split_050_html">
        <w:r>
          <w:rPr>
            <w:color w:val="0000FF" w:themeColor="hyperlink"/>
            <w:u w:val="single"/>
          </w:rPr>
          <w:t>Securing FTP</w:t>
        </w:r>
      </w:hyperlink>
    </w:p>
    <w:p>
      <w:pPr>
        <w:pStyle w:val="Normal"/>
        <w:ind w:left="0" w:firstLineChars="0" w:firstLine="0" w:leftChars="1000"/>
      </w:pPr>
      <w:hyperlink w:anchor="page_240">
        <w:r>
          <w:rPr>
            <w:color w:val="0000FF" w:themeColor="hyperlink"/>
            <w:u w:val="single"/>
          </w:rPr>
          <w:t>Further reading</w:t>
        </w:r>
      </w:hyperlink>
    </w:p>
    <w:p>
      <w:pPr>
        <w:pStyle w:val="Normal"/>
        <w:ind w:left="0" w:firstLineChars="0" w:firstLine="0" w:leftChars="1000"/>
      </w:pPr>
      <w:hyperlink w:anchor="page_240">
        <w:r>
          <w:rPr>
            <w:color w:val="0000FF" w:themeColor="hyperlink"/>
            <w:u w:val="single"/>
          </w:rPr>
          <w:t>Domain Name Service (DNS)</w:t>
        </w:r>
      </w:hyperlink>
    </w:p>
    <w:p>
      <w:pPr>
        <w:pStyle w:val="Normal"/>
        <w:ind w:left="0" w:firstLineChars="0" w:firstLine="0" w:leftChars="1000"/>
      </w:pPr>
      <w:hyperlink w:anchor="page_240">
        <w:r>
          <w:rPr>
            <w:color w:val="0000FF" w:themeColor="hyperlink"/>
            <w:u w:val="single"/>
          </w:rPr>
          <w:t>Install DNS</w:t>
        </w:r>
      </w:hyperlink>
    </w:p>
    <w:p>
      <w:pPr>
        <w:pStyle w:val="Normal"/>
        <w:ind w:left="0" w:firstLineChars="0" w:firstLine="0" w:leftChars="1000"/>
      </w:pPr>
      <w:hyperlink w:anchor="page_240">
        <w:r>
          <w:rPr>
            <w:color w:val="0000FF" w:themeColor="hyperlink"/>
            <w:u w:val="single"/>
          </w:rPr>
          <w:t>DNS configuration overview</w:t>
        </w:r>
      </w:hyperlink>
    </w:p>
    <w:p>
      <w:pPr>
        <w:pStyle w:val="Normal"/>
        <w:ind w:left="0" w:firstLineChars="0" w:firstLine="0" w:leftChars="1000"/>
      </w:pPr>
      <w:hyperlink w:anchor="Top_of_index_split_051_html">
        <w:r>
          <w:rPr>
            <w:color w:val="0000FF" w:themeColor="hyperlink"/>
            <w:u w:val="single"/>
          </w:rPr>
          <w:t>Configuration files</w:t>
        </w:r>
      </w:hyperlink>
    </w:p>
    <w:p>
      <w:pPr>
        <w:pStyle w:val="Normal"/>
        <w:ind w:left="0" w:firstLineChars="0" w:firstLine="0" w:leftChars="1000"/>
      </w:pPr>
      <w:hyperlink w:anchor="Top_of_index_split_051_html">
        <w:r>
          <w:rPr>
            <w:color w:val="0000FF" w:themeColor="hyperlink"/>
            <w:u w:val="single"/>
          </w:rPr>
          <w:t>Set up a caching nameserver</w:t>
        </w:r>
      </w:hyperlink>
    </w:p>
    <w:p>
      <w:pPr>
        <w:pStyle w:val="Normal"/>
        <w:ind w:left="0" w:firstLineChars="0" w:firstLine="0" w:leftChars="1000"/>
      </w:pPr>
      <w:hyperlink w:anchor="Top_of_index_split_052_html">
        <w:r>
          <w:rPr>
            <w:color w:val="0000FF" w:themeColor="hyperlink"/>
            <w:u w:val="single"/>
          </w:rPr>
          <w:t>Set up a primary server</w:t>
        </w:r>
      </w:hyperlink>
    </w:p>
    <w:p>
      <w:pPr>
        <w:pStyle w:val="Normal"/>
        <w:ind w:left="0" w:firstLineChars="0" w:firstLine="0" w:leftChars="1000"/>
      </w:pPr>
      <w:hyperlink w:anchor="Top_of_index_split_052_html">
        <w:r>
          <w:rPr>
            <w:color w:val="0000FF" w:themeColor="hyperlink"/>
            <w:u w:val="single"/>
          </w:rPr>
          <w:t>Forward zone file</w:t>
        </w:r>
      </w:hyperlink>
    </w:p>
    <w:p>
      <w:pPr>
        <w:pStyle w:val="Normal"/>
        <w:ind w:left="0" w:firstLineChars="0" w:firstLine="0" w:leftChars="1000"/>
      </w:pPr>
      <w:hyperlink w:anchor="page_243">
        <w:r>
          <w:rPr>
            <w:color w:val="0000FF" w:themeColor="hyperlink"/>
            <w:u w:val="single"/>
          </w:rPr>
          <w:t>Reverse zone file</w:t>
        </w:r>
      </w:hyperlink>
    </w:p>
    <w:p>
      <w:pPr>
        <w:pStyle w:val="Normal"/>
        <w:ind w:left="0" w:firstLineChars="0" w:firstLine="0" w:leftChars="1000"/>
      </w:pPr>
      <w:hyperlink w:anchor="page_244">
        <w:r>
          <w:rPr>
            <w:color w:val="0000FF" w:themeColor="hyperlink"/>
            <w:u w:val="single"/>
          </w:rPr>
          <w:t>Set up a secondary server</w:t>
        </w:r>
      </w:hyperlink>
    </w:p>
    <w:p>
      <w:pPr>
        <w:pStyle w:val="Normal"/>
        <w:ind w:left="0" w:firstLineChars="0" w:firstLine="0" w:leftChars="1000"/>
      </w:pPr>
      <w:hyperlink w:anchor="Top_of_index_split_053_html">
        <w:r>
          <w:rPr>
            <w:color w:val="0000FF" w:themeColor="hyperlink"/>
            <w:u w:val="single"/>
          </w:rPr>
          <w:t>Testing your setup</w:t>
        </w:r>
      </w:hyperlink>
    </w:p>
    <w:p>
      <w:pPr>
        <w:pStyle w:val="Normal"/>
        <w:ind w:left="0" w:firstLineChars="0" w:firstLine="0" w:leftChars="1000"/>
      </w:pPr>
      <w:hyperlink w:anchor="Top_of_index_split_053_html">
        <w:r>
          <w:rPr>
            <w:color w:val="0000FF" w:themeColor="hyperlink"/>
            <w:u w:val="single"/>
          </w:rPr>
          <w:t>resolv.conf</w:t>
        </w:r>
      </w:hyperlink>
    </w:p>
    <w:p>
      <w:pPr>
        <w:pStyle w:val="Normal"/>
        <w:ind w:left="0" w:firstLineChars="0" w:firstLine="0" w:leftChars="1000"/>
      </w:pPr>
      <w:hyperlink w:anchor="Top_of_index_split_053_html">
        <w:r>
          <w:rPr>
            <w:color w:val="0000FF" w:themeColor="hyperlink"/>
            <w:u w:val="single"/>
          </w:rPr>
          <w:t>dig</w:t>
        </w:r>
      </w:hyperlink>
    </w:p>
    <w:p>
      <w:pPr>
        <w:pStyle w:val="Normal"/>
        <w:ind w:left="0" w:firstLineChars="0" w:firstLine="0" w:leftChars="1000"/>
      </w:pPr>
      <w:hyperlink w:anchor="page_247">
        <w:r>
          <w:rPr>
            <w:color w:val="0000FF" w:themeColor="hyperlink"/>
            <w:u w:val="single"/>
          </w:rPr>
          <w:t>ping</w:t>
        </w:r>
      </w:hyperlink>
    </w:p>
    <w:p>
      <w:pPr>
        <w:pStyle w:val="Normal"/>
        <w:ind w:left="0" w:firstLineChars="0" w:firstLine="0" w:leftChars="1000"/>
      </w:pPr>
      <w:hyperlink w:anchor="page_247">
        <w:r>
          <w:rPr>
            <w:color w:val="0000FF" w:themeColor="hyperlink"/>
            <w:u w:val="single"/>
          </w:rPr>
          <w:t>named-checkzone</w:t>
        </w:r>
      </w:hyperlink>
    </w:p>
    <w:p>
      <w:pPr>
        <w:pStyle w:val="Normal"/>
        <w:ind w:left="0" w:firstLineChars="0" w:firstLine="0" w:leftChars="1000"/>
      </w:pPr>
      <w:hyperlink w:anchor="page_247">
        <w:r>
          <w:rPr>
            <w:color w:val="0000FF" w:themeColor="hyperlink"/>
            <w:u w:val="single"/>
          </w:rPr>
          <w:t>Quick temporary query logging</w:t>
        </w:r>
      </w:hyperlink>
    </w:p>
    <w:p>
      <w:pPr>
        <w:pStyle w:val="Normal"/>
        <w:ind w:left="0" w:firstLineChars="0" w:firstLine="0" w:leftChars="1000"/>
      </w:pPr>
      <w:hyperlink w:anchor="page_248">
        <w:r>
          <w:rPr>
            <w:color w:val="0000FF" w:themeColor="hyperlink"/>
            <w:u w:val="single"/>
          </w:rPr>
          <w:t>Logging</w:t>
        </w:r>
      </w:hyperlink>
    </w:p>
    <w:p>
      <w:pPr>
        <w:pStyle w:val="Normal"/>
        <w:ind w:left="0" w:firstLineChars="0" w:firstLine="0" w:leftChars="1000"/>
      </w:pPr>
      <w:hyperlink w:anchor="page_249">
        <w:r>
          <w:rPr>
            <w:color w:val="0000FF" w:themeColor="hyperlink"/>
            <w:u w:val="single"/>
          </w:rPr>
          <w:t>Common record types</w:t>
        </w:r>
      </w:hyperlink>
    </w:p>
    <w:p>
      <w:pPr>
        <w:pStyle w:val="Normal"/>
        <w:ind w:left="0" w:firstLineChars="0" w:firstLine="0" w:leftChars="1000"/>
      </w:pPr>
      <w:hyperlink w:anchor="page_249">
        <w:r>
          <w:rPr>
            <w:color w:val="0000FF" w:themeColor="hyperlink"/>
            <w:u w:val="single"/>
          </w:rPr>
          <w:t>Further reading</w:t>
        </w:r>
      </w:hyperlink>
    </w:p>
    <w:p>
      <w:pPr>
        <w:pStyle w:val="Normal"/>
        <w:ind w:left="0" w:firstLineChars="0" w:firstLine="0" w:leftChars="1000"/>
      </w:pPr>
      <w:hyperlink w:anchor="page_250">
        <w:r>
          <w:rPr>
            <w:color w:val="0000FF" w:themeColor="hyperlink"/>
            <w:u w:val="single"/>
          </w:rPr>
          <w:t>Installing DNS Security Extensions (DNSSEC)</w:t>
        </w:r>
      </w:hyperlink>
    </w:p>
    <w:p>
      <w:pPr>
        <w:pStyle w:val="Normal"/>
        <w:ind w:left="0" w:firstLineChars="0" w:firstLine="0" w:leftChars="1000"/>
      </w:pPr>
      <w:hyperlink w:anchor="page_250">
        <w:r>
          <w:rPr>
            <w:color w:val="0000FF" w:themeColor="hyperlink"/>
            <w:u w:val="single"/>
          </w:rPr>
          <w:t>Starting point</w:t>
        </w:r>
      </w:hyperlink>
    </w:p>
    <w:p>
      <w:pPr>
        <w:pStyle w:val="Normal"/>
        <w:ind w:left="0" w:firstLineChars="0" w:firstLine="0" w:leftChars="1000"/>
      </w:pPr>
      <w:hyperlink w:anchor="page_251">
        <w:r>
          <w:rPr>
            <w:color w:val="0000FF" w:themeColor="hyperlink"/>
            <w:u w:val="single"/>
          </w:rPr>
          <w:t>Enabling DNSSEC</w:t>
        </w:r>
      </w:hyperlink>
    </w:p>
    <w:p>
      <w:pPr>
        <w:pStyle w:val="Normal"/>
        <w:ind w:left="0" w:firstLineChars="0" w:firstLine="0" w:leftChars="1000"/>
      </w:pPr>
      <w:hyperlink w:anchor="page_252">
        <w:r>
          <w:rPr>
            <w:color w:val="0000FF" w:themeColor="hyperlink"/>
            <w:u w:val="single"/>
          </w:rPr>
          <w:t>Verification</w:t>
        </w:r>
      </w:hyperlink>
    </w:p>
    <w:p>
      <w:pPr>
        <w:pStyle w:val="Normal"/>
        <w:ind w:left="0" w:firstLineChars="0" w:firstLine="0" w:leftChars="1000"/>
      </w:pPr>
      <w:hyperlink w:anchor="page_253">
        <w:r>
          <w:rPr>
            <w:color w:val="0000FF" w:themeColor="hyperlink"/>
            <w:u w:val="single"/>
          </w:rPr>
          <w:t>Connecting the dots: the parent zone</w:t>
        </w:r>
      </w:hyperlink>
    </w:p>
    <w:p>
      <w:pPr>
        <w:pStyle w:val="Normal"/>
        <w:ind w:left="0" w:firstLineChars="0" w:firstLine="0" w:leftChars="1000"/>
      </w:pPr>
      <w:hyperlink w:anchor="page_253">
        <w:r>
          <w:rPr>
            <w:color w:val="0000FF" w:themeColor="hyperlink"/>
            <w:u w:val="single"/>
          </w:rPr>
          <w:t>DS record format</w:t>
        </w:r>
      </w:hyperlink>
    </w:p>
    <w:p>
      <w:pPr>
        <w:pStyle w:val="Normal"/>
        <w:ind w:left="0" w:firstLineChars="0" w:firstLine="0" w:leftChars="1000"/>
      </w:pPr>
      <w:hyperlink w:anchor="Top_of_index_split_054_html">
        <w:r>
          <w:rPr>
            <w:color w:val="0000FF" w:themeColor="hyperlink"/>
            <w:u w:val="single"/>
          </w:rPr>
          <w:t>DNSKEY record format</w:t>
        </w:r>
      </w:hyperlink>
    </w:p>
    <w:p>
      <w:pPr>
        <w:pStyle w:val="Normal"/>
        <w:ind w:left="0" w:firstLineChars="0" w:firstLine="0" w:leftChars="1000"/>
      </w:pPr>
      <w:hyperlink w:anchor="Top_of_index_split_054_html">
        <w:r>
          <w:rPr>
            <w:color w:val="0000FF" w:themeColor="hyperlink"/>
            <w:u w:val="single"/>
          </w:rPr>
          <w:t>Further reading</w:t>
        </w:r>
      </w:hyperlink>
    </w:p>
    <w:p>
      <w:pPr>
        <w:pStyle w:val="Normal"/>
        <w:ind w:left="0" w:firstLineChars="0" w:firstLine="0" w:leftChars="1000"/>
      </w:pPr>
      <w:hyperlink w:anchor="Top_of_index_split_054_html">
        <w:r>
          <w:rPr>
            <w:color w:val="0000FF" w:themeColor="hyperlink"/>
            <w:u w:val="single"/>
          </w:rPr>
          <w:t>Basic DNSSEC troubleshooting</w:t>
        </w:r>
      </w:hyperlink>
    </w:p>
    <w:p>
      <w:pPr>
        <w:pStyle w:val="Normal"/>
        <w:ind w:left="0" w:firstLineChars="0" w:firstLine="0" w:leftChars="1000"/>
      </w:pPr>
      <w:hyperlink w:anchor="Top_of_index_split_055_html">
        <w:r>
          <w:rPr>
            <w:color w:val="0000FF" w:themeColor="hyperlink"/>
            <w:u w:val="single"/>
          </w:rPr>
          <w:t>Handy “bad” and “good” DNSSEC domains</w:t>
        </w:r>
      </w:hyperlink>
    </w:p>
    <w:p>
      <w:pPr>
        <w:pStyle w:val="Normal"/>
        <w:ind w:left="0" w:firstLineChars="0" w:firstLine="0" w:leftChars="1000"/>
      </w:pPr>
      <w:hyperlink w:anchor="Top_of_index_split_055_html">
        <w:r>
          <w:rPr>
            <w:color w:val="0000FF" w:themeColor="hyperlink"/>
            <w:u w:val="single"/>
          </w:rPr>
          <w:t>Logs</w:t>
        </w:r>
      </w:hyperlink>
    </w:p>
    <w:p>
      <w:pPr>
        <w:pStyle w:val="Normal"/>
        <w:ind w:left="0" w:firstLineChars="0" w:firstLine="0" w:leftChars="1000"/>
      </w:pPr>
      <w:hyperlink w:anchor="page_256">
        <w:r>
          <w:rPr>
            <w:color w:val="0000FF" w:themeColor="hyperlink"/>
            <w:u w:val="single"/>
          </w:rPr>
          <w:t>Client-side tooling: dig</w:t>
        </w:r>
      </w:hyperlink>
    </w:p>
    <w:p>
      <w:pPr>
        <w:pStyle w:val="Normal"/>
        <w:ind w:left="0" w:firstLineChars="0" w:firstLine="0" w:leftChars="1000"/>
      </w:pPr>
      <w:hyperlink w:anchor="page_259">
        <w:r>
          <w:rPr>
            <w:color w:val="0000FF" w:themeColor="hyperlink"/>
            <w:u w:val="single"/>
          </w:rPr>
          <w:t>Digging a bit deeper: delv</w:t>
        </w:r>
      </w:hyperlink>
    </w:p>
    <w:p>
      <w:pPr>
        <w:pStyle w:val="Normal"/>
        <w:ind w:left="0" w:firstLineChars="0" w:firstLine="0" w:leftChars="1000"/>
      </w:pPr>
      <w:hyperlink w:anchor="Top_of_index_split_056_html">
        <w:r>
          <w:rPr>
            <w:color w:val="0000FF" w:themeColor="hyperlink"/>
            <w:u w:val="single"/>
          </w:rPr>
          <w:t>Client-side tooling: resolvectl</w:t>
        </w:r>
      </w:hyperlink>
    </w:p>
    <w:p>
      <w:pPr>
        <w:pStyle w:val="Normal"/>
        <w:ind w:left="0" w:firstLineChars="0" w:firstLine="0" w:leftChars="1000"/>
      </w:pPr>
      <w:hyperlink w:anchor="Top_of_index_split_056_html">
        <w:r>
          <w:rPr>
            <w:color w:val="0000FF" w:themeColor="hyperlink"/>
            <w:u w:val="single"/>
          </w:rPr>
          <w:t>Incorrect time</w:t>
        </w:r>
      </w:hyperlink>
    </w:p>
    <w:p>
      <w:pPr>
        <w:pStyle w:val="Normal"/>
        <w:ind w:left="0" w:firstLineChars="0" w:firstLine="0" w:leftChars="1000"/>
      </w:pPr>
      <w:hyperlink w:anchor="page_261">
        <w:r>
          <w:rPr>
            <w:color w:val="0000FF" w:themeColor="hyperlink"/>
            <w:u w:val="single"/>
          </w:rPr>
          <w:t>Third-party Web-based diagnostics</w:t>
        </w:r>
      </w:hyperlink>
    </w:p>
    <w:p>
      <w:pPr>
        <w:pStyle w:val="Normal"/>
        <w:ind w:left="0" w:firstLineChars="0" w:firstLine="0" w:leftChars="1000"/>
      </w:pPr>
      <w:hyperlink w:anchor="page_261">
        <w:r>
          <w:rPr>
            <w:color w:val="0000FF" w:themeColor="hyperlink"/>
            <w:u w:val="single"/>
          </w:rPr>
          <w:t>Further reading</w:t>
        </w:r>
      </w:hyperlink>
    </w:p>
    <w:p>
      <w:pPr>
        <w:pStyle w:val="Normal"/>
        <w:ind w:left="0" w:firstLineChars="0" w:firstLine="0" w:leftChars="1000"/>
      </w:pPr>
      <w:hyperlink w:anchor="page_262">
        <w:r>
          <w:rPr>
            <w:color w:val="0000FF" w:themeColor="hyperlink"/>
            <w:u w:val="single"/>
          </w:rPr>
          <w:t>How to use Open vSwitch with DPDK</w:t>
        </w:r>
      </w:hyperlink>
    </w:p>
    <w:p>
      <w:pPr>
        <w:pStyle w:val="Normal"/>
        <w:ind w:left="0" w:firstLineChars="0" w:firstLine="0" w:leftChars="1000"/>
      </w:pPr>
      <w:hyperlink w:anchor="page_262">
        <w:r>
          <w:rPr>
            <w:color w:val="0000FF" w:themeColor="hyperlink"/>
            <w:u w:val="single"/>
          </w:rPr>
          <w:t>Attach DPDK ports to Open vSwitch</w:t>
        </w:r>
      </w:hyperlink>
    </w:p>
    <w:p>
      <w:pPr>
        <w:pStyle w:val="Normal"/>
        <w:ind w:left="0" w:firstLineChars="0" w:firstLine="0" w:leftChars="1000"/>
      </w:pPr>
      <w:hyperlink w:anchor="page_263">
        <w:r>
          <w:rPr>
            <w:color w:val="0000FF" w:themeColor="hyperlink"/>
            <w:u w:val="single"/>
          </w:rPr>
          <w:t>Open vSwitch DPDK to KVM guests</w:t>
        </w:r>
      </w:hyperlink>
    </w:p>
    <w:p>
      <w:pPr>
        <w:pStyle w:val="Normal"/>
        <w:ind w:left="0" w:firstLineChars="0" w:firstLine="0" w:leftChars="1000"/>
      </w:pPr>
      <w:hyperlink w:anchor="page_263">
        <w:r>
          <w:rPr>
            <w:color w:val="0000FF" w:themeColor="hyperlink"/>
            <w:u w:val="single"/>
          </w:rPr>
          <w:t>Tuning Open vSwitch-DPDK</w:t>
        </w:r>
      </w:hyperlink>
    </w:p>
    <w:p>
      <w:pPr>
        <w:pStyle w:val="Normal"/>
        <w:ind w:left="0" w:firstLineChars="0" w:firstLine="0" w:leftChars="1000"/>
      </w:pPr>
      <w:hyperlink w:anchor="page_264">
        <w:r>
          <w:rPr>
            <w:color w:val="0000FF" w:themeColor="hyperlink"/>
            <w:u w:val="single"/>
          </w:rPr>
          <w:t>Support and troubleshooting</w:t>
        </w:r>
      </w:hyperlink>
    </w:p>
    <w:p>
      <w:pPr>
        <w:pStyle w:val="Normal"/>
        <w:ind w:left="0" w:firstLineChars="0" w:firstLine="0" w:leftChars="1000"/>
      </w:pPr>
      <w:hyperlink w:anchor="page_268">
        <w:r>
          <w:rPr>
            <w:color w:val="0000FF" w:themeColor="hyperlink"/>
            <w:u w:val="single"/>
          </w:rPr>
          <w:t>Resources</w:t>
        </w:r>
      </w:hyperlink>
    </w:p>
    <w:p>
      <w:pPr>
        <w:pStyle w:val="Normal"/>
        <w:ind w:left="0" w:firstLineChars="0" w:firstLine="0" w:leftChars="800"/>
      </w:pPr>
      <w:hyperlink w:anchor="page_268">
        <w:r>
          <w:rPr>
            <w:color w:val="0000FF" w:themeColor="hyperlink"/>
            <w:u w:val="single"/>
          </w:rPr>
          <w:t>DHCP</w:t>
        </w:r>
      </w:hyperlink>
    </w:p>
    <w:p>
      <w:pPr>
        <w:pStyle w:val="Normal"/>
        <w:ind w:left="0" w:firstLineChars="0" w:firstLine="0" w:leftChars="1000"/>
      </w:pPr>
      <w:hyperlink w:anchor="page_268">
        <w:r>
          <w:rPr>
            <w:color w:val="0000FF" w:themeColor="hyperlink"/>
            <w:u w:val="single"/>
          </w:rPr>
          <w:t>How to install and configure isc-kea</w:t>
        </w:r>
      </w:hyperlink>
    </w:p>
    <w:p>
      <w:pPr>
        <w:pStyle w:val="Normal"/>
        <w:ind w:left="0" w:firstLineChars="0" w:firstLine="0" w:leftChars="1000"/>
      </w:pPr>
      <w:hyperlink w:anchor="page_268">
        <w:r>
          <w:rPr>
            <w:color w:val="0000FF" w:themeColor="hyperlink"/>
            <w:u w:val="single"/>
          </w:rPr>
          <w:t>Install isc-kea</w:t>
        </w:r>
      </w:hyperlink>
    </w:p>
    <w:p>
      <w:pPr>
        <w:pStyle w:val="Normal"/>
        <w:ind w:left="0" w:firstLineChars="0" w:firstLine="0" w:leftChars="1000"/>
      </w:pPr>
      <w:hyperlink w:anchor="page_269">
        <w:r>
          <w:rPr>
            <w:color w:val="0000FF" w:themeColor="hyperlink"/>
            <w:u w:val="single"/>
          </w:rPr>
          <w:t>Configure kea-dhcp4</w:t>
        </w:r>
      </w:hyperlink>
    </w:p>
    <w:p>
      <w:pPr>
        <w:pStyle w:val="Normal"/>
        <w:ind w:left="0" w:firstLineChars="0" w:firstLine="0" w:leftChars="1000"/>
      </w:pPr>
      <w:hyperlink w:anchor="Top_of_index_split_057_html">
        <w:r>
          <w:rPr>
            <w:color w:val="0000FF" w:themeColor="hyperlink"/>
            <w:u w:val="single"/>
          </w:rPr>
          <w:t>Further reading</w:t>
        </w:r>
      </w:hyperlink>
    </w:p>
    <w:p>
      <w:pPr>
        <w:pStyle w:val="Normal"/>
        <w:ind w:left="0" w:firstLineChars="0" w:firstLine="0" w:leftChars="1000"/>
      </w:pPr>
      <w:hyperlink w:anchor="Top_of_index_split_057_html">
        <w:r>
          <w:rPr>
            <w:color w:val="0000FF" w:themeColor="hyperlink"/>
            <w:u w:val="single"/>
          </w:rPr>
          <w:t>How to install and configure isc-dhcp-server</w:t>
        </w:r>
      </w:hyperlink>
    </w:p>
    <w:p>
      <w:pPr>
        <w:pStyle w:val="Normal"/>
        <w:ind w:left="0" w:firstLineChars="0" w:firstLine="0" w:leftChars="1000"/>
      </w:pPr>
      <w:hyperlink w:anchor="Top_of_index_split_057_html">
        <w:r>
          <w:rPr>
            <w:color w:val="0000FF" w:themeColor="hyperlink"/>
            <w:u w:val="single"/>
          </w:rPr>
          <w:t>Install isc-dhcp-server</w:t>
        </w:r>
      </w:hyperlink>
    </w:p>
    <w:p>
      <w:pPr>
        <w:pStyle w:val="Normal"/>
        <w:ind w:left="0" w:firstLineChars="0" w:firstLine="0" w:leftChars="1000"/>
      </w:pPr>
      <w:hyperlink w:anchor="Top_of_index_split_057_html">
        <w:r>
          <w:rPr>
            <w:color w:val="0000FF" w:themeColor="hyperlink"/>
            <w:u w:val="single"/>
          </w:rPr>
          <w:t>Configure isc-dhcp-server</w:t>
        </w:r>
      </w:hyperlink>
    </w:p>
    <w:p>
      <w:pPr>
        <w:pStyle w:val="Normal"/>
        <w:ind w:left="0" w:firstLineChars="0" w:firstLine="0" w:leftChars="1000"/>
      </w:pPr>
      <w:hyperlink w:anchor="page_272">
        <w:r>
          <w:rPr>
            <w:color w:val="0000FF" w:themeColor="hyperlink"/>
            <w:u w:val="single"/>
          </w:rPr>
          <w:t>Further reading</w:t>
        </w:r>
      </w:hyperlink>
    </w:p>
    <w:p>
      <w:pPr>
        <w:pStyle w:val="Normal"/>
        <w:ind w:left="0" w:firstLineChars="0" w:firstLine="0" w:leftChars="800"/>
      </w:pPr>
      <w:hyperlink w:anchor="page_272">
        <w:r>
          <w:rPr>
            <w:color w:val="0000FF" w:themeColor="hyperlink"/>
            <w:u w:val="single"/>
          </w:rPr>
          <w:t>Time synchronization</w:t>
        </w:r>
      </w:hyperlink>
    </w:p>
    <w:p>
      <w:pPr>
        <w:pStyle w:val="Normal"/>
        <w:ind w:left="0" w:firstLineChars="0" w:firstLine="0" w:leftChars="1000"/>
      </w:pPr>
      <w:hyperlink w:anchor="page_272">
        <w:r>
          <w:rPr>
            <w:color w:val="0000FF" w:themeColor="hyperlink"/>
            <w:u w:val="single"/>
          </w:rPr>
          <w:t>Synchronize time using chrony</w:t>
        </w:r>
      </w:hyperlink>
    </w:p>
    <w:p>
      <w:pPr>
        <w:pStyle w:val="Normal"/>
        <w:ind w:left="0" w:firstLineChars="0" w:firstLine="0" w:leftChars="1000"/>
      </w:pPr>
      <w:hyperlink w:anchor="page_272">
        <w:r>
          <w:rPr>
            <w:color w:val="0000FF" w:themeColor="hyperlink"/>
            <w:u w:val="single"/>
          </w:rPr>
          <w:t>Check status of chrony client</w:t>
        </w:r>
      </w:hyperlink>
    </w:p>
    <w:p>
      <w:pPr>
        <w:pStyle w:val="Normal"/>
        <w:ind w:left="0" w:firstLineChars="0" w:firstLine="0" w:leftChars="1000"/>
      </w:pPr>
      <w:hyperlink w:anchor="page_273">
        <w:r>
          <w:rPr>
            <w:color w:val="0000FF" w:themeColor="hyperlink"/>
            <w:u w:val="single"/>
          </w:rPr>
          <w:t>Network Time Security (NTS)</w:t>
        </w:r>
      </w:hyperlink>
    </w:p>
    <w:p>
      <w:pPr>
        <w:pStyle w:val="Normal"/>
        <w:ind w:left="0" w:firstLineChars="0" w:firstLine="0" w:leftChars="1000"/>
      </w:pPr>
      <w:hyperlink w:anchor="page_273">
        <w:r>
          <w:rPr>
            <w:color w:val="0000FF" w:themeColor="hyperlink"/>
            <w:u w:val="single"/>
          </w:rPr>
          <w:t>NTS related constraints</w:t>
        </w:r>
      </w:hyperlink>
    </w:p>
    <w:p>
      <w:pPr>
        <w:pStyle w:val="Normal"/>
        <w:ind w:left="0" w:firstLineChars="0" w:firstLine="0" w:leftChars="1000"/>
      </w:pPr>
      <w:hyperlink w:anchor="Top_of_index_split_058_html">
        <w:r>
          <w:rPr>
            <w:color w:val="0000FF" w:themeColor="hyperlink"/>
            <w:u w:val="single"/>
          </w:rPr>
          <w:t>Configure chrony</w:t>
        </w:r>
      </w:hyperlink>
    </w:p>
    <w:p>
      <w:pPr>
        <w:pStyle w:val="Normal"/>
        <w:ind w:left="0" w:firstLineChars="0" w:firstLine="0" w:leftChars="1000"/>
      </w:pPr>
      <w:hyperlink w:anchor="Top_of_index_split_059_html">
        <w:r>
          <w:rPr>
            <w:color w:val="0000FF" w:themeColor="hyperlink"/>
            <w:u w:val="single"/>
          </w:rPr>
          <w:t>Time sources provided by DHCP (option 42)</w:t>
        </w:r>
      </w:hyperlink>
    </w:p>
    <w:p>
      <w:pPr>
        <w:pStyle w:val="Normal"/>
        <w:ind w:left="0" w:firstLineChars="0" w:firstLine="0" w:leftChars="1000"/>
      </w:pPr>
      <w:hyperlink w:anchor="Top_of_index_split_059_html">
        <w:r>
          <w:rPr>
            <w:color w:val="0000FF" w:themeColor="hyperlink"/>
            <w:u w:val="single"/>
          </w:rPr>
          <w:t>Chrony time-daemon</w:t>
        </w:r>
      </w:hyperlink>
    </w:p>
    <w:p>
      <w:pPr>
        <w:pStyle w:val="Normal"/>
        <w:ind w:left="0" w:firstLineChars="0" w:firstLine="0" w:leftChars="1000"/>
      </w:pPr>
      <w:hyperlink w:anchor="page_276">
        <w:r>
          <w:rPr>
            <w:color w:val="0000FF" w:themeColor="hyperlink"/>
            <w:u w:val="single"/>
          </w:rPr>
          <w:t>Next steps</w:t>
        </w:r>
      </w:hyperlink>
    </w:p>
    <w:p>
      <w:pPr>
        <w:pStyle w:val="Normal"/>
        <w:ind w:left="0" w:firstLineChars="0" w:firstLine="0" w:leftChars="1000"/>
      </w:pPr>
      <w:hyperlink w:anchor="page_276">
        <w:r>
          <w:rPr>
            <w:color w:val="0000FF" w:themeColor="hyperlink"/>
            <w:u w:val="single"/>
          </w:rPr>
          <w:t>References</w:t>
        </w:r>
      </w:hyperlink>
    </w:p>
    <w:p>
      <w:pPr>
        <w:pStyle w:val="Normal"/>
        <w:ind w:left="0" w:firstLineChars="0" w:firstLine="0" w:leftChars="1000"/>
      </w:pPr>
      <w:hyperlink w:anchor="page_276">
        <w:r>
          <w:rPr>
            <w:color w:val="0000FF" w:themeColor="hyperlink"/>
            <w:u w:val="single"/>
          </w:rPr>
          <w:t>Synchronize time using timedatectl and timesyncd</w:t>
        </w:r>
      </w:hyperlink>
    </w:p>
    <w:p>
      <w:pPr>
        <w:pStyle w:val="Normal"/>
        <w:ind w:left="0" w:firstLineChars="0" w:firstLine="0" w:leftChars="1000"/>
      </w:pPr>
      <w:hyperlink w:anchor="page_276">
        <w:r>
          <w:rPr>
            <w:color w:val="0000FF" w:themeColor="hyperlink"/>
            <w:u w:val="single"/>
          </w:rPr>
          <w:t>Check status of timedatectl</w:t>
        </w:r>
      </w:hyperlink>
    </w:p>
    <w:p>
      <w:pPr>
        <w:pStyle w:val="Normal"/>
        <w:ind w:left="0" w:firstLineChars="0" w:firstLine="0" w:leftChars="1000"/>
      </w:pPr>
      <w:hyperlink w:anchor="page_277">
        <w:r>
          <w:rPr>
            <w:color w:val="0000FF" w:themeColor="hyperlink"/>
            <w:u w:val="single"/>
          </w:rPr>
          <w:t>Configure timedatectl</w:t>
        </w:r>
      </w:hyperlink>
    </w:p>
    <w:p>
      <w:pPr>
        <w:pStyle w:val="Normal"/>
        <w:ind w:left="0" w:firstLineChars="0" w:firstLine="0" w:leftChars="1000"/>
      </w:pPr>
      <w:hyperlink w:anchor="page_277">
        <w:r>
          <w:rPr>
            <w:color w:val="0000FF" w:themeColor="hyperlink"/>
            <w:u w:val="single"/>
          </w:rPr>
          <w:t>Check status of timesyncd</w:t>
        </w:r>
      </w:hyperlink>
    </w:p>
    <w:p>
      <w:pPr>
        <w:pStyle w:val="Normal"/>
        <w:ind w:left="0" w:firstLineChars="0" w:firstLine="0" w:leftChars="1000"/>
      </w:pPr>
      <w:hyperlink w:anchor="page_277">
        <w:r>
          <w:rPr>
            <w:color w:val="0000FF" w:themeColor="hyperlink"/>
            <w:u w:val="single"/>
          </w:rPr>
          <w:t>Configure timesyncd</w:t>
        </w:r>
      </w:hyperlink>
    </w:p>
    <w:p>
      <w:pPr>
        <w:pStyle w:val="Normal"/>
        <w:ind w:left="0" w:firstLineChars="0" w:firstLine="0" w:leftChars="1000"/>
      </w:pPr>
      <w:hyperlink w:anchor="page_277">
        <w:r>
          <w:rPr>
            <w:color w:val="0000FF" w:themeColor="hyperlink"/>
            <w:u w:val="single"/>
          </w:rPr>
          <w:t>Next steps</w:t>
        </w:r>
      </w:hyperlink>
    </w:p>
    <w:p>
      <w:pPr>
        <w:pStyle w:val="Normal"/>
        <w:ind w:left="0" w:firstLineChars="0" w:firstLine="0" w:leftChars="1000"/>
      </w:pPr>
      <w:hyperlink w:anchor="Top_of_index_split_060_html">
        <w:r>
          <w:rPr>
            <w:color w:val="0000FF" w:themeColor="hyperlink"/>
            <w:u w:val="single"/>
          </w:rPr>
          <w:t>References</w:t>
        </w:r>
      </w:hyperlink>
    </w:p>
    <w:p>
      <w:pPr>
        <w:pStyle w:val="Normal"/>
        <w:ind w:left="0" w:firstLineChars="0" w:firstLine="0" w:leftChars="1000"/>
      </w:pPr>
      <w:hyperlink w:anchor="Top_of_index_split_060_html">
        <w:r>
          <w:rPr>
            <w:color w:val="0000FF" w:themeColor="hyperlink"/>
            <w:u w:val="single"/>
          </w:rPr>
          <w:t>How to serve the Network Time Protocol with Chrony</w:t>
        </w:r>
      </w:hyperlink>
    </w:p>
    <w:p>
      <w:pPr>
        <w:pStyle w:val="Normal"/>
        <w:ind w:left="0" w:firstLineChars="0" w:firstLine="0" w:leftChars="1000"/>
      </w:pPr>
      <w:hyperlink w:anchor="Top_of_index_split_060_html">
        <w:r>
          <w:rPr>
            <w:color w:val="0000FF" w:themeColor="hyperlink"/>
            <w:u w:val="single"/>
          </w:rPr>
          <w:t>Install chronyd</w:t>
        </w:r>
      </w:hyperlink>
    </w:p>
    <w:p>
      <w:pPr>
        <w:pStyle w:val="Normal"/>
        <w:ind w:left="0" w:firstLineChars="0" w:firstLine="0" w:leftChars="1000"/>
      </w:pPr>
      <w:hyperlink w:anchor="Top_of_index_split_060_html">
        <w:r>
          <w:rPr>
            <w:color w:val="0000FF" w:themeColor="hyperlink"/>
            <w:u w:val="single"/>
          </w:rPr>
          <w:t>Enable serving the Network Time Protocol</w:t>
        </w:r>
      </w:hyperlink>
    </w:p>
    <w:p>
      <w:pPr>
        <w:pStyle w:val="Normal"/>
        <w:ind w:left="0" w:firstLineChars="0" w:firstLine="0" w:leftChars="1000"/>
      </w:pPr>
      <w:hyperlink w:anchor="page_279">
        <w:r>
          <w:rPr>
            <w:color w:val="0000FF" w:themeColor="hyperlink"/>
            <w:u w:val="single"/>
          </w:rPr>
          <w:t>View chrony status</w:t>
        </w:r>
      </w:hyperlink>
    </w:p>
    <w:p>
      <w:pPr>
        <w:pStyle w:val="Normal"/>
        <w:ind w:left="0" w:firstLineChars="0" w:firstLine="0" w:leftChars="1000"/>
      </w:pPr>
      <w:hyperlink w:anchor="page_280">
        <w:r>
          <w:rPr>
            <w:color w:val="0000FF" w:themeColor="hyperlink"/>
            <w:u w:val="single"/>
          </w:rPr>
          <w:t>Pulse-Per-Second (PPS) support</w:t>
        </w:r>
      </w:hyperlink>
    </w:p>
    <w:p>
      <w:pPr>
        <w:pStyle w:val="Normal"/>
        <w:ind w:left="0" w:firstLineChars="0" w:firstLine="0" w:leftChars="1000"/>
      </w:pPr>
      <w:hyperlink w:anchor="page_280">
        <w:r>
          <w:rPr>
            <w:color w:val="0000FF" w:themeColor="hyperlink"/>
            <w:u w:val="single"/>
          </w:rPr>
          <w:t>Example configuration for GPSD to feed chrony</w:t>
        </w:r>
      </w:hyperlink>
    </w:p>
    <w:p>
      <w:pPr>
        <w:pStyle w:val="Normal"/>
        <w:ind w:left="0" w:firstLineChars="0" w:firstLine="0" w:leftChars="1000"/>
      </w:pPr>
      <w:hyperlink w:anchor="page_283">
        <w:r>
          <w:rPr>
            <w:color w:val="0000FF" w:themeColor="hyperlink"/>
            <w:u w:val="single"/>
          </w:rPr>
          <w:t>NTS Support</w:t>
        </w:r>
      </w:hyperlink>
    </w:p>
    <w:p>
      <w:pPr>
        <w:pStyle w:val="Normal"/>
        <w:ind w:left="0" w:firstLineChars="0" w:firstLine="0" w:leftChars="1000"/>
      </w:pPr>
      <w:hyperlink w:anchor="page_283">
        <w:r>
          <w:rPr>
            <w:color w:val="0000FF" w:themeColor="hyperlink"/>
            <w:u w:val="single"/>
          </w:rPr>
          <w:t>NTS server</w:t>
        </w:r>
      </w:hyperlink>
    </w:p>
    <w:p>
      <w:pPr>
        <w:pStyle w:val="Normal"/>
        <w:ind w:left="0" w:firstLineChars="0" w:firstLine="0" w:leftChars="1000"/>
      </w:pPr>
      <w:hyperlink w:anchor="page_284">
        <w:r>
          <w:rPr>
            <w:color w:val="0000FF" w:themeColor="hyperlink"/>
            <w:u w:val="single"/>
          </w:rPr>
          <w:t>References</w:t>
        </w:r>
      </w:hyperlink>
    </w:p>
    <w:p>
      <w:pPr>
        <w:pStyle w:val="Normal"/>
        <w:ind w:left="0" w:firstLineChars="0" w:firstLine="0" w:leftChars="800"/>
      </w:pPr>
      <w:hyperlink w:anchor="page_285">
        <w:r>
          <w:rPr>
            <w:color w:val="0000FF" w:themeColor="hyperlink"/>
            <w:u w:val="single"/>
          </w:rPr>
          <w:t>Network shares</w:t>
        </w:r>
      </w:hyperlink>
    </w:p>
    <w:p>
      <w:pPr>
        <w:pStyle w:val="Normal"/>
        <w:ind w:left="0" w:firstLineChars="0" w:firstLine="0" w:leftChars="1000"/>
      </w:pPr>
      <w:hyperlink w:anchor="page_285">
        <w:r>
          <w:rPr>
            <w:color w:val="0000FF" w:themeColor="hyperlink"/>
            <w:u w:val="single"/>
          </w:rPr>
          <w:t>Network File System (NFS)</w:t>
        </w:r>
      </w:hyperlink>
    </w:p>
    <w:p>
      <w:pPr>
        <w:pStyle w:val="Normal"/>
        <w:ind w:left="0" w:firstLineChars="0" w:firstLine="0" w:leftChars="1000"/>
      </w:pPr>
      <w:hyperlink w:anchor="page_285">
        <w:r>
          <w:rPr>
            <w:color w:val="0000FF" w:themeColor="hyperlink"/>
            <w:u w:val="single"/>
          </w:rPr>
          <w:t>Installation</w:t>
        </w:r>
      </w:hyperlink>
    </w:p>
    <w:p>
      <w:pPr>
        <w:pStyle w:val="Normal"/>
        <w:ind w:left="0" w:firstLineChars="0" w:firstLine="0" w:leftChars="1000"/>
      </w:pPr>
      <w:hyperlink w:anchor="Top_of_index_split_061_html">
        <w:r>
          <w:rPr>
            <w:color w:val="0000FF" w:themeColor="hyperlink"/>
            <w:u w:val="single"/>
          </w:rPr>
          <w:t>Configuration</w:t>
        </w:r>
      </w:hyperlink>
    </w:p>
    <w:p>
      <w:pPr>
        <w:pStyle w:val="Normal"/>
        <w:ind w:left="0" w:firstLineChars="0" w:firstLine="0" w:leftChars="1000"/>
      </w:pPr>
      <w:hyperlink w:anchor="Top_of_index_split_062_html">
        <w:r>
          <w:rPr>
            <w:color w:val="0000FF" w:themeColor="hyperlink"/>
            <w:u w:val="single"/>
          </w:rPr>
          <w:t>NFS Client Configuration</w:t>
        </w:r>
      </w:hyperlink>
    </w:p>
    <w:p>
      <w:pPr>
        <w:pStyle w:val="Normal"/>
        <w:ind w:left="0" w:firstLineChars="0" w:firstLine="0" w:leftChars="1000"/>
      </w:pPr>
      <w:hyperlink w:anchor="Top_of_index_split_063_html">
        <w:r>
          <w:rPr>
            <w:color w:val="0000FF" w:themeColor="hyperlink"/>
            <w:u w:val="single"/>
          </w:rPr>
          <w:t>Advanced configuration</w:t>
        </w:r>
      </w:hyperlink>
    </w:p>
    <w:p>
      <w:pPr>
        <w:pStyle w:val="Normal"/>
        <w:ind w:left="0" w:firstLineChars="0" w:firstLine="0" w:leftChars="1000"/>
      </w:pPr>
      <w:hyperlink w:anchor="Top_of_index_split_063_html">
        <w:r>
          <w:rPr>
            <w:color w:val="0000FF" w:themeColor="hyperlink"/>
            <w:u w:val="single"/>
          </w:rPr>
          <w:t>Restarting NFS services</w:t>
        </w:r>
      </w:hyperlink>
    </w:p>
    <w:p>
      <w:pPr>
        <w:pStyle w:val="Normal"/>
        <w:ind w:left="0" w:firstLineChars="0" w:firstLine="0" w:leftChars="1000"/>
      </w:pPr>
      <w:hyperlink w:anchor="page_289">
        <w:r>
          <w:rPr>
            <w:color w:val="0000FF" w:themeColor="hyperlink"/>
            <w:u w:val="single"/>
          </w:rPr>
          <w:t>NFS with Kerberos</w:t>
        </w:r>
      </w:hyperlink>
    </w:p>
    <w:p>
      <w:pPr>
        <w:pStyle w:val="Normal"/>
        <w:ind w:left="0" w:firstLineChars="0" w:firstLine="0" w:leftChars="1000"/>
      </w:pPr>
      <w:hyperlink w:anchor="page_289">
        <w:r>
          <w:rPr>
            <w:color w:val="0000FF" w:themeColor="hyperlink"/>
            <w:u w:val="single"/>
          </w:rPr>
          <w:t>NFS server (using Kerberos)</w:t>
        </w:r>
      </w:hyperlink>
    </w:p>
    <w:p>
      <w:pPr>
        <w:pStyle w:val="Normal"/>
        <w:ind w:left="0" w:firstLineChars="0" w:firstLine="0" w:leftChars="1000"/>
      </w:pPr>
      <w:hyperlink w:anchor="page_290">
        <w:r>
          <w:rPr>
            <w:color w:val="0000FF" w:themeColor="hyperlink"/>
            <w:u w:val="single"/>
          </w:rPr>
          <w:t>NFS client (using Kerberos)</w:t>
        </w:r>
      </w:hyperlink>
    </w:p>
    <w:p>
      <w:pPr>
        <w:pStyle w:val="Normal"/>
        <w:ind w:left="0" w:firstLineChars="0" w:firstLine="0" w:leftChars="1000"/>
      </w:pPr>
      <w:hyperlink w:anchor="page_292">
        <w:r>
          <w:rPr>
            <w:color w:val="0000FF" w:themeColor="hyperlink"/>
            <w:u w:val="single"/>
          </w:rPr>
          <w:t>Upgrading from Ubuntu 20.04 (“Focal”) and earlier</w:t>
        </w:r>
      </w:hyperlink>
    </w:p>
    <w:p>
      <w:pPr>
        <w:pStyle w:val="Normal"/>
        <w:ind w:left="0" w:firstLineChars="0" w:firstLine="0" w:leftChars="1000"/>
      </w:pPr>
      <w:hyperlink w:anchor="page_293">
        <w:r>
          <w:rPr>
            <w:color w:val="0000FF" w:themeColor="hyperlink"/>
            <w:u w:val="single"/>
          </w:rPr>
          <w:t>Samba</w:t>
        </w:r>
      </w:hyperlink>
    </w:p>
    <w:p>
      <w:pPr>
        <w:pStyle w:val="Normal"/>
        <w:ind w:left="0" w:firstLineChars="0" w:firstLine="0" w:leftChars="1000"/>
      </w:pPr>
      <w:hyperlink w:anchor="page_293">
        <w:r>
          <w:rPr>
            <w:color w:val="0000FF" w:themeColor="hyperlink"/>
            <w:u w:val="single"/>
          </w:rPr>
          <w:t>Provisioning a Samba Active Directory Domain Controller</w:t>
        </w:r>
      </w:hyperlink>
    </w:p>
    <w:p>
      <w:pPr>
        <w:pStyle w:val="Normal"/>
        <w:ind w:left="0" w:firstLineChars="0" w:firstLine="0" w:leftChars="1000"/>
      </w:pPr>
      <w:hyperlink w:anchor="page_293">
        <w:r>
          <w:rPr>
            <w:color w:val="0000FF" w:themeColor="hyperlink"/>
            <w:u w:val="single"/>
          </w:rPr>
          <w:t>Installation</w:t>
        </w:r>
      </w:hyperlink>
    </w:p>
    <w:p>
      <w:pPr>
        <w:pStyle w:val="Normal"/>
        <w:ind w:left="0" w:firstLineChars="0" w:firstLine="0" w:leftChars="1000"/>
      </w:pPr>
      <w:hyperlink w:anchor="page_294">
        <w:r>
          <w:rPr>
            <w:color w:val="0000FF" w:themeColor="hyperlink"/>
            <w:u w:val="single"/>
          </w:rPr>
          <w:t>Provisioning</w:t>
        </w:r>
      </w:hyperlink>
    </w:p>
    <w:p>
      <w:pPr>
        <w:pStyle w:val="Normal"/>
        <w:ind w:left="0" w:firstLineChars="0" w:firstLine="0" w:leftChars="1000"/>
      </w:pPr>
      <w:hyperlink w:anchor="page_295">
        <w:r>
          <w:rPr>
            <w:color w:val="0000FF" w:themeColor="hyperlink"/>
            <w:u w:val="single"/>
          </w:rPr>
          <w:t>Post-installation steps</w:t>
        </w:r>
      </w:hyperlink>
    </w:p>
    <w:p>
      <w:pPr>
        <w:pStyle w:val="Normal"/>
        <w:ind w:left="0" w:firstLineChars="0" w:firstLine="0" w:leftChars="1000"/>
      </w:pPr>
      <w:hyperlink w:anchor="page_296">
        <w:r>
          <w:rPr>
            <w:color w:val="0000FF" w:themeColor="hyperlink"/>
            <w:u w:val="single"/>
          </w:rPr>
          <w:t>Verification</w:t>
        </w:r>
      </w:hyperlink>
    </w:p>
    <w:p>
      <w:pPr>
        <w:pStyle w:val="Normal"/>
        <w:ind w:left="0" w:firstLineChars="0" w:firstLine="0" w:leftChars="1000"/>
      </w:pPr>
      <w:hyperlink w:anchor="page_296">
        <w:r>
          <w:rPr>
            <w:color w:val="0000FF" w:themeColor="hyperlink"/>
            <w:u w:val="single"/>
          </w:rPr>
          <w:t>Kerberos authentication</w:t>
        </w:r>
      </w:hyperlink>
    </w:p>
    <w:p>
      <w:pPr>
        <w:pStyle w:val="Normal"/>
        <w:ind w:left="0" w:firstLineChars="0" w:firstLine="0" w:leftChars="1000"/>
      </w:pPr>
      <w:hyperlink w:anchor="page_297">
        <w:r>
          <w:rPr>
            <w:color w:val="0000FF" w:themeColor="hyperlink"/>
            <w:u w:val="single"/>
          </w:rPr>
          <w:t>DNS tests</w:t>
        </w:r>
      </w:hyperlink>
    </w:p>
    <w:p>
      <w:pPr>
        <w:pStyle w:val="Normal"/>
        <w:ind w:left="0" w:firstLineChars="0" w:firstLine="0" w:leftChars="1000"/>
      </w:pPr>
      <w:hyperlink w:anchor="page_297">
        <w:r>
          <w:rPr>
            <w:color w:val="0000FF" w:themeColor="hyperlink"/>
            <w:u w:val="single"/>
          </w:rPr>
          <w:t>Server Information</w:t>
        </w:r>
      </w:hyperlink>
    </w:p>
    <w:p>
      <w:pPr>
        <w:pStyle w:val="Normal"/>
        <w:ind w:left="0" w:firstLineChars="0" w:firstLine="0" w:leftChars="1000"/>
      </w:pPr>
      <w:hyperlink w:anchor="page_298">
        <w:r>
          <w:rPr>
            <w:color w:val="0000FF" w:themeColor="hyperlink"/>
            <w:u w:val="single"/>
          </w:rPr>
          <w:t>DNS records</w:t>
        </w:r>
      </w:hyperlink>
    </w:p>
    <w:p>
      <w:pPr>
        <w:pStyle w:val="Normal"/>
        <w:ind w:left="0" w:firstLineChars="0" w:firstLine="0" w:leftChars="1000"/>
      </w:pPr>
      <w:hyperlink w:anchor="page_298">
        <w:r>
          <w:rPr>
            <w:color w:val="0000FF" w:themeColor="hyperlink"/>
            <w:u w:val="single"/>
          </w:rPr>
          <w:t>User creation test</w:t>
        </w:r>
      </w:hyperlink>
    </w:p>
    <w:p>
      <w:pPr>
        <w:pStyle w:val="Normal"/>
        <w:ind w:left="0" w:firstLineChars="0" w:firstLine="0" w:leftChars="1000"/>
      </w:pPr>
      <w:hyperlink w:anchor="page_299">
        <w:r>
          <w:rPr>
            <w:color w:val="0000FF" w:themeColor="hyperlink"/>
            <w:u w:val="single"/>
          </w:rPr>
          <w:t>Next steps</w:t>
        </w:r>
      </w:hyperlink>
    </w:p>
    <w:p>
      <w:pPr>
        <w:pStyle w:val="Normal"/>
        <w:ind w:left="0" w:firstLineChars="0" w:firstLine="0" w:leftChars="1000"/>
      </w:pPr>
      <w:hyperlink w:anchor="page_299">
        <w:r>
          <w:rPr>
            <w:color w:val="0000FF" w:themeColor="hyperlink"/>
            <w:u w:val="single"/>
          </w:rPr>
          <w:t>References</w:t>
        </w:r>
      </w:hyperlink>
    </w:p>
    <w:p>
      <w:pPr>
        <w:pStyle w:val="Normal"/>
        <w:ind w:left="0" w:firstLineChars="0" w:firstLine="0" w:leftChars="1000"/>
      </w:pPr>
      <w:hyperlink w:anchor="page_300">
        <w:r>
          <w:rPr>
            <w:color w:val="0000FF" w:themeColor="hyperlink"/>
            <w:u w:val="single"/>
          </w:rPr>
          <w:t>Member server in an Active Directory domain</w:t>
        </w:r>
      </w:hyperlink>
    </w:p>
    <w:p>
      <w:pPr>
        <w:pStyle w:val="Normal"/>
        <w:ind w:left="0" w:firstLineChars="0" w:firstLine="0" w:leftChars="1000"/>
      </w:pPr>
      <w:hyperlink w:anchor="page_300">
        <w:r>
          <w:rPr>
            <w:color w:val="0000FF" w:themeColor="hyperlink"/>
            <w:u w:val="single"/>
          </w:rPr>
          <w:t>Use realmd to join the Active Directory domain</w:t>
        </w:r>
      </w:hyperlink>
    </w:p>
    <w:p>
      <w:pPr>
        <w:pStyle w:val="Normal"/>
        <w:ind w:left="0" w:firstLineChars="0" w:firstLine="0" w:leftChars="1000"/>
      </w:pPr>
      <w:hyperlink w:anchor="page_300">
        <w:r>
          <w:rPr>
            <w:color w:val="0000FF" w:themeColor="hyperlink"/>
            <w:u w:val="single"/>
          </w:rPr>
          <w:t>Install realmd</w:t>
        </w:r>
      </w:hyperlink>
    </w:p>
    <w:p>
      <w:pPr>
        <w:pStyle w:val="Normal"/>
        <w:ind w:left="0" w:firstLineChars="0" w:firstLine="0" w:leftChars="1000"/>
      </w:pPr>
      <w:hyperlink w:anchor="Top_of_index_split_064_html">
        <w:r>
          <w:rPr>
            <w:color w:val="0000FF" w:themeColor="hyperlink"/>
            <w:u w:val="single"/>
          </w:rPr>
          <w:t>Verify the AD server</w:t>
        </w:r>
      </w:hyperlink>
    </w:p>
    <w:p>
      <w:pPr>
        <w:pStyle w:val="Normal"/>
        <w:ind w:left="0" w:firstLineChars="0" w:firstLine="0" w:leftChars="1000"/>
      </w:pPr>
      <w:hyperlink w:anchor="Top_of_index_split_064_html">
        <w:r>
          <w:rPr>
            <w:color w:val="0000FF" w:themeColor="hyperlink"/>
            <w:u w:val="single"/>
          </w:rPr>
          <w:t>Join the AD domain</w:t>
        </w:r>
      </w:hyperlink>
    </w:p>
    <w:p>
      <w:pPr>
        <w:pStyle w:val="Normal"/>
        <w:ind w:left="0" w:firstLineChars="0" w:firstLine="0" w:leftChars="1000"/>
      </w:pPr>
      <w:hyperlink w:anchor="page_302">
        <w:r>
          <w:rPr>
            <w:color w:val="0000FF" w:themeColor="hyperlink"/>
            <w:u w:val="single"/>
          </w:rPr>
          <w:t>Common installation options</w:t>
        </w:r>
      </w:hyperlink>
    </w:p>
    <w:p>
      <w:pPr>
        <w:pStyle w:val="Normal"/>
        <w:ind w:left="0" w:firstLineChars="0" w:firstLine="0" w:leftChars="1000"/>
      </w:pPr>
      <w:hyperlink w:anchor="page_303">
        <w:r>
          <w:rPr>
            <w:color w:val="0000FF" w:themeColor="hyperlink"/>
            <w:u w:val="single"/>
          </w:rPr>
          <w:t>Export shares</w:t>
        </w:r>
      </w:hyperlink>
    </w:p>
    <w:p>
      <w:pPr>
        <w:pStyle w:val="Normal"/>
        <w:ind w:left="0" w:firstLineChars="0" w:firstLine="0" w:leftChars="1000"/>
      </w:pPr>
      <w:hyperlink w:anchor="page_304">
        <w:r>
          <w:rPr>
            <w:color w:val="0000FF" w:themeColor="hyperlink"/>
            <w:u w:val="single"/>
          </w:rPr>
          <w:t>Choose an idmap backend</w:t>
        </w:r>
      </w:hyperlink>
    </w:p>
    <w:p>
      <w:pPr>
        <w:pStyle w:val="Normal"/>
        <w:ind w:left="0" w:firstLineChars="0" w:firstLine="0" w:leftChars="1000"/>
      </w:pPr>
      <w:hyperlink w:anchor="page_305">
        <w:r>
          <w:rPr>
            <w:color w:val="0000FF" w:themeColor="hyperlink"/>
            <w:u w:val="single"/>
          </w:rPr>
          <w:t>Further reading</w:t>
        </w:r>
      </w:hyperlink>
    </w:p>
    <w:p>
      <w:pPr>
        <w:pStyle w:val="Normal"/>
        <w:ind w:left="0" w:firstLineChars="0" w:firstLine="0" w:leftChars="1000"/>
      </w:pPr>
      <w:hyperlink w:anchor="page_305">
        <w:r>
          <w:rPr>
            <w:color w:val="0000FF" w:themeColor="hyperlink"/>
            <w:u w:val="single"/>
          </w:rPr>
          <w:t>Set up sharing services</w:t>
        </w:r>
      </w:hyperlink>
    </w:p>
    <w:p>
      <w:pPr>
        <w:pStyle w:val="Normal"/>
        <w:ind w:left="0" w:firstLineChars="0" w:firstLine="0" w:leftChars="1000"/>
      </w:pPr>
      <w:hyperlink w:anchor="page_305">
        <w:r>
          <w:rPr>
            <w:color w:val="0000FF" w:themeColor="hyperlink"/>
            <w:u w:val="single"/>
          </w:rPr>
          <w:t>Set up Samba as a file server</w:t>
        </w:r>
      </w:hyperlink>
    </w:p>
    <w:p>
      <w:pPr>
        <w:pStyle w:val="Normal"/>
        <w:ind w:left="0" w:firstLineChars="0" w:firstLine="0" w:leftChars="1000"/>
      </w:pPr>
      <w:hyperlink w:anchor="page_306">
        <w:r>
          <w:rPr>
            <w:color w:val="0000FF" w:themeColor="hyperlink"/>
            <w:u w:val="single"/>
          </w:rPr>
          <w:t>Install Samba</w:t>
        </w:r>
      </w:hyperlink>
    </w:p>
    <w:p>
      <w:pPr>
        <w:pStyle w:val="Normal"/>
        <w:ind w:left="0" w:firstLineChars="0" w:firstLine="0" w:leftChars="1000"/>
      </w:pPr>
      <w:hyperlink w:anchor="page_306">
        <w:r>
          <w:rPr>
            <w:color w:val="0000FF" w:themeColor="hyperlink"/>
            <w:u w:val="single"/>
          </w:rPr>
          <w:t>Configure Samba as a file server</w:t>
        </w:r>
      </w:hyperlink>
    </w:p>
    <w:p>
      <w:pPr>
        <w:pStyle w:val="Normal"/>
        <w:ind w:left="0" w:firstLineChars="0" w:firstLine="0" w:leftChars="1000"/>
      </w:pPr>
      <w:hyperlink w:anchor="page_307">
        <w:r>
          <w:rPr>
            <w:color w:val="0000FF" w:themeColor="hyperlink"/>
            <w:u w:val="single"/>
          </w:rPr>
          <w:t>Create the directory</w:t>
        </w:r>
      </w:hyperlink>
    </w:p>
    <w:p>
      <w:pPr>
        <w:pStyle w:val="Normal"/>
        <w:ind w:left="0" w:firstLineChars="0" w:firstLine="0" w:leftChars="1000"/>
      </w:pPr>
      <w:hyperlink w:anchor="page_307">
        <w:r>
          <w:rPr>
            <w:color w:val="0000FF" w:themeColor="hyperlink"/>
            <w:u w:val="single"/>
          </w:rPr>
          <w:t>Enable the new configuration</w:t>
        </w:r>
      </w:hyperlink>
    </w:p>
    <w:p>
      <w:pPr>
        <w:pStyle w:val="Normal"/>
        <w:ind w:left="0" w:firstLineChars="0" w:firstLine="0" w:leftChars="1000"/>
      </w:pPr>
      <w:hyperlink w:anchor="Top_of_index_split_065_html">
        <w:r>
          <w:rPr>
            <w:color w:val="0000FF" w:themeColor="hyperlink"/>
            <w:u w:val="single"/>
          </w:rPr>
          <w:t>Further reading</w:t>
        </w:r>
      </w:hyperlink>
    </w:p>
    <w:p>
      <w:pPr>
        <w:pStyle w:val="Normal"/>
        <w:ind w:left="0" w:firstLineChars="0" w:firstLine="0" w:leftChars="1000"/>
      </w:pPr>
      <w:hyperlink w:anchor="Top_of_index_split_065_html">
        <w:r>
          <w:rPr>
            <w:color w:val="0000FF" w:themeColor="hyperlink"/>
            <w:u w:val="single"/>
          </w:rPr>
          <w:t>Set up Samba as a print server</w:t>
        </w:r>
      </w:hyperlink>
    </w:p>
    <w:p>
      <w:pPr>
        <w:pStyle w:val="Normal"/>
        <w:ind w:left="0" w:firstLineChars="0" w:firstLine="0" w:leftChars="1000"/>
      </w:pPr>
      <w:hyperlink w:anchor="Top_of_index_split_065_html">
        <w:r>
          <w:rPr>
            <w:color w:val="0000FF" w:themeColor="hyperlink"/>
            <w:u w:val="single"/>
          </w:rPr>
          <w:t>Install and configure CUPS</w:t>
        </w:r>
      </w:hyperlink>
    </w:p>
    <w:p>
      <w:pPr>
        <w:pStyle w:val="Normal"/>
        <w:ind w:left="0" w:firstLineChars="0" w:firstLine="0" w:leftChars="1000"/>
      </w:pPr>
      <w:hyperlink w:anchor="Top_of_index_split_065_html">
        <w:r>
          <w:rPr>
            <w:color w:val="0000FF" w:themeColor="hyperlink"/>
            <w:u w:val="single"/>
          </w:rPr>
          <w:t>Install Samba</w:t>
        </w:r>
      </w:hyperlink>
    </w:p>
    <w:p>
      <w:pPr>
        <w:pStyle w:val="Normal"/>
        <w:ind w:left="0" w:firstLineChars="0" w:firstLine="0" w:leftChars="1000"/>
      </w:pPr>
      <w:hyperlink w:anchor="Top_of_index_split_065_html">
        <w:r>
          <w:rPr>
            <w:color w:val="0000FF" w:themeColor="hyperlink"/>
            <w:u w:val="single"/>
          </w:rPr>
          <w:t>Configure Samba</w:t>
        </w:r>
      </w:hyperlink>
    </w:p>
    <w:p>
      <w:pPr>
        <w:pStyle w:val="Normal"/>
        <w:ind w:left="0" w:firstLineChars="0" w:firstLine="0" w:leftChars="1000"/>
      </w:pPr>
      <w:hyperlink w:anchor="page_309">
        <w:r>
          <w:rPr>
            <w:color w:val="0000FF" w:themeColor="hyperlink"/>
            <w:u w:val="single"/>
          </w:rPr>
          <w:t>Further reading</w:t>
        </w:r>
      </w:hyperlink>
    </w:p>
    <w:p>
      <w:pPr>
        <w:pStyle w:val="Normal"/>
        <w:ind w:left="0" w:firstLineChars="0" w:firstLine="0" w:leftChars="1000"/>
      </w:pPr>
      <w:hyperlink w:anchor="page_309">
        <w:r>
          <w:rPr>
            <w:color w:val="0000FF" w:themeColor="hyperlink"/>
            <w:u w:val="single"/>
          </w:rPr>
          <w:t>Access controls</w:t>
        </w:r>
      </w:hyperlink>
    </w:p>
    <w:p>
      <w:pPr>
        <w:pStyle w:val="Normal"/>
        <w:ind w:left="0" w:firstLineChars="0" w:firstLine="0" w:leftChars="1000"/>
      </w:pPr>
      <w:hyperlink w:anchor="page_309">
        <w:r>
          <w:rPr>
            <w:color w:val="0000FF" w:themeColor="hyperlink"/>
            <w:u w:val="single"/>
          </w:rPr>
          <w:t>Share access controls</w:t>
        </w:r>
      </w:hyperlink>
    </w:p>
    <w:p>
      <w:pPr>
        <w:pStyle w:val="Normal"/>
        <w:ind w:left="0" w:firstLineChars="0" w:firstLine="0" w:leftChars="1000"/>
      </w:pPr>
      <w:hyperlink w:anchor="page_309">
        <w:r>
          <w:rPr>
            <w:color w:val="0000FF" w:themeColor="hyperlink"/>
            <w:u w:val="single"/>
          </w:rPr>
          <w:t>Authenticating Samba users</w:t>
        </w:r>
      </w:hyperlink>
    </w:p>
    <w:p>
      <w:pPr>
        <w:pStyle w:val="Normal"/>
        <w:ind w:left="0" w:firstLineChars="0" w:firstLine="0" w:leftChars="1000"/>
      </w:pPr>
      <w:hyperlink w:anchor="page_310">
        <w:r>
          <w:rPr>
            <w:color w:val="0000FF" w:themeColor="hyperlink"/>
            <w:u w:val="single"/>
          </w:rPr>
          <w:t>Groups</w:t>
        </w:r>
      </w:hyperlink>
    </w:p>
    <w:p>
      <w:pPr>
        <w:pStyle w:val="Normal"/>
        <w:ind w:left="0" w:firstLineChars="0" w:firstLine="0" w:leftChars="1000"/>
      </w:pPr>
      <w:hyperlink w:anchor="page_310">
        <w:r>
          <w:rPr>
            <w:color w:val="0000FF" w:themeColor="hyperlink"/>
            <w:u w:val="single"/>
          </w:rPr>
          <w:t>Read and write permissions</w:t>
        </w:r>
      </w:hyperlink>
    </w:p>
    <w:p>
      <w:pPr>
        <w:pStyle w:val="Normal"/>
        <w:ind w:left="0" w:firstLineChars="0" w:firstLine="0" w:leftChars="1000"/>
      </w:pPr>
      <w:hyperlink w:anchor="page_311">
        <w:r>
          <w:rPr>
            <w:color w:val="0000FF" w:themeColor="hyperlink"/>
            <w:u w:val="single"/>
          </w:rPr>
          <w:t>Filesystem permissions</w:t>
        </w:r>
      </w:hyperlink>
    </w:p>
    <w:p>
      <w:pPr>
        <w:pStyle w:val="Normal"/>
        <w:ind w:left="0" w:firstLineChars="0" w:firstLine="0" w:leftChars="1000"/>
      </w:pPr>
      <w:hyperlink w:anchor="page_312">
        <w:r>
          <w:rPr>
            <w:color w:val="0000FF" w:themeColor="hyperlink"/>
            <w:u w:val="single"/>
          </w:rPr>
          <w:t>Further reading</w:t>
        </w:r>
      </w:hyperlink>
    </w:p>
    <w:p>
      <w:pPr>
        <w:pStyle w:val="Normal"/>
        <w:ind w:left="0" w:firstLineChars="0" w:firstLine="0" w:leftChars="1000"/>
      </w:pPr>
      <w:hyperlink w:anchor="page_312">
        <w:r>
          <w:rPr>
            <w:color w:val="0000FF" w:themeColor="hyperlink"/>
            <w:u w:val="single"/>
          </w:rPr>
          <w:t>Create a Samba AppArmor profile</w:t>
        </w:r>
      </w:hyperlink>
    </w:p>
    <w:p>
      <w:pPr>
        <w:pStyle w:val="Normal"/>
        <w:ind w:left="0" w:firstLineChars="0" w:firstLine="0" w:leftChars="1000"/>
      </w:pPr>
      <w:hyperlink w:anchor="Top_of_index_split_066_html">
        <w:r>
          <w:rPr>
            <w:color w:val="0000FF" w:themeColor="hyperlink"/>
            <w:u w:val="single"/>
          </w:rPr>
          <w:t>Install apparmor-profiles</w:t>
        </w:r>
      </w:hyperlink>
    </w:p>
    <w:p>
      <w:pPr>
        <w:pStyle w:val="Normal"/>
        <w:ind w:left="0" w:firstLineChars="0" w:firstLine="0" w:leftChars="1000"/>
      </w:pPr>
      <w:hyperlink w:anchor="Top_of_index_split_066_html">
        <w:r>
          <w:rPr>
            <w:color w:val="0000FF" w:themeColor="hyperlink"/>
            <w:u w:val="single"/>
          </w:rPr>
          <w:t>AppArmor profile modes</w:t>
        </w:r>
      </w:hyperlink>
    </w:p>
    <w:p>
      <w:pPr>
        <w:pStyle w:val="Normal"/>
        <w:ind w:left="0" w:firstLineChars="0" w:firstLine="0" w:leftChars="1000"/>
      </w:pPr>
      <w:hyperlink w:anchor="Top_of_index_split_066_html">
        <w:r>
          <w:rPr>
            <w:color w:val="0000FF" w:themeColor="hyperlink"/>
            <w:u w:val="single"/>
          </w:rPr>
          <w:t>Further reading</w:t>
        </w:r>
      </w:hyperlink>
    </w:p>
    <w:p>
      <w:pPr>
        <w:pStyle w:val="Normal"/>
        <w:ind w:left="0" w:firstLineChars="0" w:firstLine="0" w:leftChars="1000"/>
      </w:pPr>
      <w:hyperlink w:anchor="Top_of_index_split_067_html">
        <w:r>
          <w:rPr>
            <w:color w:val="0000FF" w:themeColor="hyperlink"/>
            <w:u w:val="single"/>
          </w:rPr>
          <w:t>How to mount CIFS shares permanently</w:t>
        </w:r>
      </w:hyperlink>
    </w:p>
    <w:p>
      <w:pPr>
        <w:pStyle w:val="Normal"/>
        <w:ind w:left="0" w:firstLineChars="0" w:firstLine="0" w:leftChars="1000"/>
      </w:pPr>
      <w:hyperlink w:anchor="Top_of_index_split_067_html">
        <w:r>
          <w:rPr>
            <w:color w:val="0000FF" w:themeColor="hyperlink"/>
            <w:u w:val="single"/>
          </w:rPr>
          <w:t>Prerequisites</w:t>
        </w:r>
      </w:hyperlink>
    </w:p>
    <w:p>
      <w:pPr>
        <w:pStyle w:val="Normal"/>
        <w:ind w:left="0" w:firstLineChars="0" w:firstLine="0" w:leftChars="1000"/>
      </w:pPr>
      <w:hyperlink w:anchor="Top_of_index_split_067_html">
        <w:r>
          <w:rPr>
            <w:color w:val="0000FF" w:themeColor="hyperlink"/>
            <w:u w:val="single"/>
          </w:rPr>
          <w:t>Install CIFS</w:t>
        </w:r>
      </w:hyperlink>
    </w:p>
    <w:p>
      <w:pPr>
        <w:pStyle w:val="Normal"/>
        <w:ind w:left="0" w:firstLineChars="0" w:firstLine="0" w:leftChars="1000"/>
      </w:pPr>
      <w:hyperlink w:anchor="Top_of_index_split_067_html">
        <w:r>
          <w:rPr>
            <w:color w:val="0000FF" w:themeColor="hyperlink"/>
            <w:u w:val="single"/>
          </w:rPr>
          <w:t>Mount unprotected (guest) network folders</w:t>
        </w:r>
      </w:hyperlink>
    </w:p>
    <w:p>
      <w:pPr>
        <w:pStyle w:val="Normal"/>
        <w:ind w:left="0" w:firstLineChars="0" w:firstLine="0" w:leftChars="1000"/>
      </w:pPr>
      <w:hyperlink w:anchor="page_315">
        <w:r>
          <w:rPr>
            <w:color w:val="0000FF" w:themeColor="hyperlink"/>
            <w:u w:val="single"/>
          </w:rPr>
          <w:t>Mount password-protected network folders</w:t>
        </w:r>
      </w:hyperlink>
    </w:p>
    <w:p>
      <w:pPr>
        <w:pStyle w:val="Normal"/>
        <w:ind w:left="0" w:firstLineChars="0" w:firstLine="0" w:leftChars="1000"/>
      </w:pPr>
      <w:hyperlink w:anchor="page_315">
        <w:r>
          <w:rPr>
            <w:color w:val="0000FF" w:themeColor="hyperlink"/>
            <w:u w:val="single"/>
          </w:rPr>
          <w:t>Create a credentials file</w:t>
        </w:r>
      </w:hyperlink>
    </w:p>
    <w:p>
      <w:pPr>
        <w:pStyle w:val="Normal"/>
        <w:ind w:left="0" w:firstLineChars="0" w:firstLine="0" w:leftChars="1000"/>
      </w:pPr>
      <w:hyperlink w:anchor="page_316">
        <w:r>
          <w:rPr>
            <w:color w:val="0000FF" w:themeColor="hyperlink"/>
            <w:u w:val="single"/>
          </w:rPr>
          <w:t>Changing the share ownership</w:t>
        </w:r>
      </w:hyperlink>
    </w:p>
    <w:p>
      <w:pPr>
        <w:pStyle w:val="Normal"/>
        <w:ind w:left="0" w:firstLineChars="0" w:firstLine="0" w:leftChars="1000"/>
      </w:pPr>
      <w:hyperlink w:anchor="page_316">
        <w:r>
          <w:rPr>
            <w:color w:val="0000FF" w:themeColor="hyperlink"/>
            <w:u w:val="single"/>
          </w:rPr>
          <w:t>Mount network folders with authd</w:t>
        </w:r>
      </w:hyperlink>
    </w:p>
    <w:p>
      <w:pPr>
        <w:pStyle w:val="Normal"/>
        <w:ind w:left="0" w:firstLineChars="0" w:firstLine="0" w:leftChars="1000"/>
      </w:pPr>
      <w:hyperlink w:anchor="page_316">
        <w:r>
          <w:rPr>
            <w:color w:val="0000FF" w:themeColor="hyperlink"/>
            <w:u w:val="single"/>
          </w:rPr>
          <w:t>Mount password-protected shares using libpam-mount</w:t>
        </w:r>
      </w:hyperlink>
    </w:p>
    <w:p>
      <w:pPr>
        <w:pStyle w:val="Normal"/>
        <w:ind w:left="0" w:firstLineChars="0" w:firstLine="0" w:leftChars="1000"/>
      </w:pPr>
      <w:hyperlink w:anchor="page_316">
        <w:r>
          <w:rPr>
            <w:color w:val="0000FF" w:themeColor="hyperlink"/>
            <w:u w:val="single"/>
          </w:rPr>
          <w:t>Install libpam-mount</w:t>
        </w:r>
      </w:hyperlink>
    </w:p>
    <w:p>
      <w:pPr>
        <w:pStyle w:val="Normal"/>
        <w:ind w:left="0" w:firstLineChars="0" w:firstLine="0" w:leftChars="1000"/>
      </w:pPr>
      <w:hyperlink w:anchor="page_317">
        <w:r>
          <w:rPr>
            <w:color w:val="0000FF" w:themeColor="hyperlink"/>
            <w:u w:val="single"/>
          </w:rPr>
          <w:t>Troubleshooting</w:t>
        </w:r>
      </w:hyperlink>
    </w:p>
    <w:p>
      <w:pPr>
        <w:pStyle w:val="Normal"/>
        <w:ind w:left="0" w:firstLineChars="0" w:firstLine="0" w:leftChars="1000"/>
      </w:pPr>
      <w:hyperlink w:anchor="page_317">
        <w:r>
          <w:rPr>
            <w:color w:val="0000FF" w:themeColor="hyperlink"/>
            <w:u w:val="single"/>
          </w:rPr>
          <w:t>Login errors</w:t>
        </w:r>
      </w:hyperlink>
    </w:p>
    <w:p>
      <w:pPr>
        <w:pStyle w:val="Normal"/>
        <w:ind w:left="0" w:firstLineChars="0" w:firstLine="0" w:leftChars="1000"/>
      </w:pPr>
      <w:hyperlink w:anchor="page_317">
        <w:r>
          <w:rPr>
            <w:color w:val="0000FF" w:themeColor="hyperlink"/>
            <w:u w:val="single"/>
          </w:rPr>
          <w:t>Mount after login instead of boot</w:t>
        </w:r>
      </w:hyperlink>
    </w:p>
    <w:p>
      <w:pPr>
        <w:pStyle w:val="Normal"/>
        <w:ind w:left="0" w:firstLineChars="0" w:firstLine="0" w:leftChars="1000"/>
      </w:pPr>
      <w:hyperlink w:anchor="Top_of_index_split_068_html">
        <w:r>
          <w:rPr>
            <w:color w:val="0000FF" w:themeColor="hyperlink"/>
            <w:u w:val="single"/>
          </w:rPr>
          <w:t>Legacy options</w:t>
        </w:r>
      </w:hyperlink>
    </w:p>
    <w:p>
      <w:pPr>
        <w:pStyle w:val="Normal"/>
        <w:ind w:left="0" w:firstLineChars="0" w:firstLine="0" w:leftChars="1000"/>
      </w:pPr>
      <w:hyperlink w:anchor="Top_of_index_split_068_html">
        <w:r>
          <w:rPr>
            <w:color w:val="0000FF" w:themeColor="hyperlink"/>
            <w:u w:val="single"/>
          </w:rPr>
          <w:t>NT4 domain controller (legacy)</w:t>
        </w:r>
      </w:hyperlink>
    </w:p>
    <w:p>
      <w:pPr>
        <w:pStyle w:val="Normal"/>
        <w:ind w:left="0" w:firstLineChars="0" w:firstLine="0" w:leftChars="1000"/>
      </w:pPr>
      <w:hyperlink w:anchor="Top_of_index_split_068_html">
        <w:r>
          <w:rPr>
            <w:color w:val="0000FF" w:themeColor="hyperlink"/>
            <w:u w:val="single"/>
          </w:rPr>
          <w:t>Primary domain controller</w:t>
        </w:r>
      </w:hyperlink>
    </w:p>
    <w:p>
      <w:pPr>
        <w:pStyle w:val="Normal"/>
        <w:ind w:left="0" w:firstLineChars="0" w:firstLine="0" w:leftChars="1000"/>
      </w:pPr>
      <w:hyperlink w:anchor="Top_of_index_split_068_html">
        <w:r>
          <w:rPr>
            <w:color w:val="0000FF" w:themeColor="hyperlink"/>
            <w:u w:val="single"/>
          </w:rPr>
          <w:t>Install Samba</w:t>
        </w:r>
      </w:hyperlink>
    </w:p>
    <w:p>
      <w:pPr>
        <w:pStyle w:val="Normal"/>
        <w:ind w:left="0" w:firstLineChars="0" w:firstLine="0" w:leftChars="1000"/>
      </w:pPr>
      <w:hyperlink w:anchor="Top_of_index_split_068_html">
        <w:r>
          <w:rPr>
            <w:color w:val="0000FF" w:themeColor="hyperlink"/>
            <w:u w:val="single"/>
          </w:rPr>
          <w:t>Configure Samba</w:t>
        </w:r>
      </w:hyperlink>
    </w:p>
    <w:p>
      <w:pPr>
        <w:pStyle w:val="Normal"/>
        <w:ind w:left="0" w:firstLineChars="0" w:firstLine="0" w:leftChars="1000"/>
      </w:pPr>
      <w:hyperlink w:anchor="page_319">
        <w:r>
          <w:rPr>
            <w:color w:val="0000FF" w:themeColor="hyperlink"/>
            <w:u w:val="single"/>
          </w:rPr>
          <w:t>Mapping shares</w:t>
        </w:r>
      </w:hyperlink>
    </w:p>
    <w:p>
      <w:pPr>
        <w:pStyle w:val="Normal"/>
        <w:ind w:left="0" w:firstLineChars="0" w:firstLine="0" w:leftChars="1000"/>
      </w:pPr>
      <w:hyperlink w:anchor="page_320">
        <w:r>
          <w:rPr>
            <w:color w:val="0000FF" w:themeColor="hyperlink"/>
            <w:u w:val="single"/>
          </w:rPr>
          <w:t>Final setup tasks</w:t>
        </w:r>
      </w:hyperlink>
    </w:p>
    <w:p>
      <w:pPr>
        <w:pStyle w:val="Normal"/>
        <w:ind w:left="0" w:firstLineChars="0" w:firstLine="0" w:leftChars="1000"/>
      </w:pPr>
      <w:hyperlink w:anchor="page_320">
        <w:r>
          <w:rPr>
            <w:color w:val="0000FF" w:themeColor="hyperlink"/>
            <w:u w:val="single"/>
          </w:rPr>
          <w:t>Backup domain controller</w:t>
        </w:r>
      </w:hyperlink>
    </w:p>
    <w:p>
      <w:pPr>
        <w:pStyle w:val="Normal"/>
        <w:ind w:left="0" w:firstLineChars="0" w:firstLine="0" w:leftChars="1000"/>
      </w:pPr>
      <w:hyperlink w:anchor="page_321">
        <w:r>
          <w:rPr>
            <w:color w:val="0000FF" w:themeColor="hyperlink"/>
            <w:u w:val="single"/>
          </w:rPr>
          <w:t>Further reading</w:t>
        </w:r>
      </w:hyperlink>
    </w:p>
    <w:p>
      <w:pPr>
        <w:pStyle w:val="Normal"/>
        <w:ind w:left="0" w:firstLineChars="0" w:firstLine="0" w:leftChars="1000"/>
      </w:pPr>
      <w:hyperlink w:anchor="page_322">
        <w:r>
          <w:rPr>
            <w:color w:val="0000FF" w:themeColor="hyperlink"/>
            <w:u w:val="single"/>
          </w:rPr>
          <w:t>OpenLDAP backend (legacy)</w:t>
        </w:r>
      </w:hyperlink>
    </w:p>
    <w:p>
      <w:pPr>
        <w:pStyle w:val="Normal"/>
        <w:ind w:left="0" w:firstLineChars="0" w:firstLine="0" w:leftChars="1000"/>
      </w:pPr>
      <w:hyperlink w:anchor="page_322">
        <w:r>
          <w:rPr>
            <w:color w:val="0000FF" w:themeColor="hyperlink"/>
            <w:u w:val="single"/>
          </w:rPr>
          <w:t>Install the software</w:t>
        </w:r>
      </w:hyperlink>
    </w:p>
    <w:p>
      <w:pPr>
        <w:pStyle w:val="Normal"/>
        <w:ind w:left="0" w:firstLineChars="0" w:firstLine="0" w:leftChars="1000"/>
      </w:pPr>
      <w:hyperlink w:anchor="page_322">
        <w:r>
          <w:rPr>
            <w:color w:val="0000FF" w:themeColor="hyperlink"/>
            <w:u w:val="single"/>
          </w:rPr>
          <w:t>Configure LDAP</w:t>
        </w:r>
      </w:hyperlink>
    </w:p>
    <w:p>
      <w:pPr>
        <w:pStyle w:val="Normal"/>
        <w:ind w:left="0" w:firstLineChars="0" w:firstLine="0" w:leftChars="1000"/>
      </w:pPr>
      <w:hyperlink w:anchor="page_323">
        <w:r>
          <w:rPr>
            <w:color w:val="0000FF" w:themeColor="hyperlink"/>
            <w:u w:val="single"/>
          </w:rPr>
          <w:t>Samba schema</w:t>
        </w:r>
      </w:hyperlink>
    </w:p>
    <w:p>
      <w:pPr>
        <w:pStyle w:val="Normal"/>
        <w:ind w:left="0" w:firstLineChars="0" w:firstLine="0" w:leftChars="1000"/>
      </w:pPr>
      <w:hyperlink w:anchor="page_323">
        <w:r>
          <w:rPr>
            <w:color w:val="0000FF" w:themeColor="hyperlink"/>
            <w:u w:val="single"/>
          </w:rPr>
          <w:t>Samba indices</w:t>
        </w:r>
      </w:hyperlink>
    </w:p>
    <w:p>
      <w:pPr>
        <w:pStyle w:val="Normal"/>
        <w:ind w:left="0" w:firstLineChars="0" w:firstLine="0" w:leftChars="1000"/>
      </w:pPr>
      <w:hyperlink w:anchor="Top_of_index_split_069_html">
        <w:r>
          <w:rPr>
            <w:color w:val="0000FF" w:themeColor="hyperlink"/>
            <w:u w:val="single"/>
          </w:rPr>
          <w:t>Adding Samba LDAP objects</w:t>
        </w:r>
      </w:hyperlink>
    </w:p>
    <w:p>
      <w:pPr>
        <w:pStyle w:val="Normal"/>
        <w:ind w:left="0" w:firstLineChars="0" w:firstLine="0" w:leftChars="1000"/>
      </w:pPr>
      <w:hyperlink w:anchor="Top_of_index_split_070_html">
        <w:r>
          <w:rPr>
            <w:color w:val="0000FF" w:themeColor="hyperlink"/>
            <w:u w:val="single"/>
          </w:rPr>
          <w:t>Samba configuration</w:t>
        </w:r>
      </w:hyperlink>
    </w:p>
    <w:p>
      <w:pPr>
        <w:pStyle w:val="Normal"/>
        <w:ind w:left="0" w:firstLineChars="0" w:firstLine="0" w:leftChars="1000"/>
      </w:pPr>
      <w:hyperlink w:anchor="page_327">
        <w:r>
          <w:rPr>
            <w:color w:val="0000FF" w:themeColor="hyperlink"/>
            <w:u w:val="single"/>
          </w:rPr>
          <w:t>Further reading</w:t>
        </w:r>
      </w:hyperlink>
    </w:p>
    <w:p>
      <w:pPr>
        <w:pStyle w:val="Normal"/>
        <w:ind w:left="0" w:firstLineChars="0" w:firstLine="0" w:leftChars="1000"/>
      </w:pPr>
      <w:hyperlink w:anchor="page_327">
        <w:r>
          <w:rPr>
            <w:color w:val="0000FF" w:themeColor="hyperlink"/>
            <w:u w:val="single"/>
          </w:rPr>
          <w:t>See also</w:t>
        </w:r>
      </w:hyperlink>
    </w:p>
    <w:p>
      <w:pPr>
        <w:pStyle w:val="Normal"/>
        <w:ind w:left="0" w:firstLineChars="0" w:firstLine="0" w:leftChars="1000"/>
      </w:pPr>
      <w:hyperlink w:anchor="page_327">
        <w:r>
          <w:rPr>
            <w:color w:val="0000FF" w:themeColor="hyperlink"/>
            <w:u w:val="single"/>
          </w:rPr>
          <w:t>Active Directory integration</w:t>
        </w:r>
      </w:hyperlink>
    </w:p>
    <w:p>
      <w:pPr>
        <w:pStyle w:val="Normal"/>
        <w:ind w:left="0" w:firstLineChars="0" w:firstLine="0" w:leftChars="1000"/>
      </w:pPr>
      <w:hyperlink w:anchor="page_327">
        <w:r>
          <w:rPr>
            <w:color w:val="0000FF" w:themeColor="hyperlink"/>
            <w:u w:val="single"/>
          </w:rPr>
          <w:t>Join a domain with winbind: preparation</w:t>
        </w:r>
      </w:hyperlink>
    </w:p>
    <w:p>
      <w:pPr>
        <w:pStyle w:val="Normal"/>
        <w:ind w:left="0" w:firstLineChars="0" w:firstLine="0" w:leftChars="1000"/>
      </w:pPr>
      <w:hyperlink w:anchor="page_329">
        <w:r>
          <w:rPr>
            <w:color w:val="0000FF" w:themeColor="hyperlink"/>
            <w:u w:val="single"/>
          </w:rPr>
          <w:t>Join a simple domain with the rid backend</w:t>
        </w:r>
      </w:hyperlink>
    </w:p>
    <w:p>
      <w:pPr>
        <w:pStyle w:val="Normal"/>
        <w:ind w:left="0" w:firstLineChars="0" w:firstLine="0" w:leftChars="1000"/>
      </w:pPr>
      <w:hyperlink w:anchor="page_330">
        <w:r>
          <w:rPr>
            <w:color w:val="0000FF" w:themeColor="hyperlink"/>
            <w:u w:val="single"/>
          </w:rPr>
          <w:t>Verifying the join</w:t>
        </w:r>
      </w:hyperlink>
    </w:p>
    <w:p>
      <w:pPr>
        <w:pStyle w:val="Normal"/>
        <w:ind w:left="0" w:firstLineChars="0" w:firstLine="0" w:leftChars="1000"/>
      </w:pPr>
      <w:hyperlink w:anchor="page_331">
        <w:r>
          <w:rPr>
            <w:color w:val="0000FF" w:themeColor="hyperlink"/>
            <w:u w:val="single"/>
          </w:rPr>
          <w:t>Join a forest with the rid backend</w:t>
        </w:r>
      </w:hyperlink>
    </w:p>
    <w:p>
      <w:pPr>
        <w:pStyle w:val="Normal"/>
        <w:ind w:left="0" w:firstLineChars="0" w:firstLine="0" w:leftChars="1000"/>
      </w:pPr>
      <w:hyperlink w:anchor="page_334">
        <w:r>
          <w:rPr>
            <w:color w:val="0000FF" w:themeColor="hyperlink"/>
            <w:u w:val="single"/>
          </w:rPr>
          <w:t>Join a forest with the autorid backend</w:t>
        </w:r>
      </w:hyperlink>
    </w:p>
    <w:p>
      <w:pPr>
        <w:pStyle w:val="Normal"/>
        <w:ind w:left="0" w:firstLineChars="0" w:firstLine="0" w:leftChars="1000"/>
      </w:pPr>
      <w:hyperlink w:anchor="page_335">
        <w:r>
          <w:rPr>
            <w:color w:val="0000FF" w:themeColor="hyperlink"/>
            <w:u w:val="single"/>
          </w:rPr>
          <w:t>Verifying the join</w:t>
        </w:r>
      </w:hyperlink>
    </w:p>
    <w:p>
      <w:pPr>
        <w:pStyle w:val="Normal"/>
        <w:ind w:left="0" w:firstLineChars="0" w:firstLine="0" w:leftChars="1000"/>
      </w:pPr>
      <w:hyperlink w:anchor="Top_of_index_split_071_html">
        <w:r>
          <w:rPr>
            <w:color w:val="0000FF" w:themeColor="hyperlink"/>
            <w:u w:val="single"/>
          </w:rPr>
          <w:t>See also</w:t>
        </w:r>
      </w:hyperlink>
    </w:p>
    <w:p>
      <w:pPr>
        <w:pStyle w:val="Normal"/>
        <w:ind w:left="0" w:firstLineChars="0" w:firstLine="0" w:leftChars="800"/>
      </w:pPr>
      <w:hyperlink w:anchor="Top_of_index_split_071_html">
        <w:r>
          <w:rPr>
            <w:color w:val="0000FF" w:themeColor="hyperlink"/>
            <w:u w:val="single"/>
          </w:rPr>
          <w:t>Printing</w:t>
        </w:r>
      </w:hyperlink>
    </w:p>
    <w:p>
      <w:pPr>
        <w:pStyle w:val="Normal"/>
        <w:ind w:left="0" w:firstLineChars="0" w:firstLine="0" w:leftChars="1000"/>
      </w:pPr>
      <w:hyperlink w:anchor="Top_of_index_split_071_html">
        <w:r>
          <w:rPr>
            <w:color w:val="0000FF" w:themeColor="hyperlink"/>
            <w:u w:val="single"/>
          </w:rPr>
          <w:t>Install and configure a CUPS print server</w:t>
        </w:r>
      </w:hyperlink>
    </w:p>
    <w:p>
      <w:pPr>
        <w:pStyle w:val="Normal"/>
        <w:ind w:left="0" w:firstLineChars="0" w:firstLine="0" w:leftChars="1000"/>
      </w:pPr>
      <w:hyperlink w:anchor="Top_of_index_split_071_html">
        <w:r>
          <w:rPr>
            <w:color w:val="0000FF" w:themeColor="hyperlink"/>
            <w:u w:val="single"/>
          </w:rPr>
          <w:t>Install CUPS</w:t>
        </w:r>
      </w:hyperlink>
    </w:p>
    <w:p>
      <w:pPr>
        <w:pStyle w:val="Normal"/>
        <w:ind w:left="0" w:firstLineChars="0" w:firstLine="0" w:leftChars="1000"/>
      </w:pPr>
      <w:hyperlink w:anchor="Top_of_index_split_071_html">
        <w:r>
          <w:rPr>
            <w:color w:val="0000FF" w:themeColor="hyperlink"/>
            <w:u w:val="single"/>
          </w:rPr>
          <w:t>Configure the CUPS server</w:t>
        </w:r>
      </w:hyperlink>
    </w:p>
    <w:p>
      <w:pPr>
        <w:pStyle w:val="Normal"/>
        <w:ind w:left="0" w:firstLineChars="0" w:firstLine="0" w:leftChars="1000"/>
      </w:pPr>
      <w:hyperlink w:anchor="Top_of_index_split_072_html">
        <w:r>
          <w:rPr>
            <w:color w:val="0000FF" w:themeColor="hyperlink"/>
            <w:u w:val="single"/>
          </w:rPr>
          <w:t>Make a copy of the configuration file</w:t>
        </w:r>
      </w:hyperlink>
    </w:p>
    <w:p>
      <w:pPr>
        <w:pStyle w:val="Normal"/>
        <w:ind w:left="0" w:firstLineChars="0" w:firstLine="0" w:leftChars="1000"/>
      </w:pPr>
      <w:hyperlink w:anchor="Top_of_index_split_072_html">
        <w:r>
          <w:rPr>
            <w:color w:val="0000FF" w:themeColor="hyperlink"/>
            <w:u w:val="single"/>
          </w:rPr>
          <w:t>Configure Server administrator</w:t>
        </w:r>
      </w:hyperlink>
    </w:p>
    <w:p>
      <w:pPr>
        <w:pStyle w:val="Normal"/>
        <w:ind w:left="0" w:firstLineChars="0" w:firstLine="0" w:leftChars="1000"/>
      </w:pPr>
      <w:hyperlink w:anchor="Top_of_index_split_072_html">
        <w:r>
          <w:rPr>
            <w:color w:val="0000FF" w:themeColor="hyperlink"/>
            <w:u w:val="single"/>
          </w:rPr>
          <w:t>Configure Listen</w:t>
        </w:r>
      </w:hyperlink>
    </w:p>
    <w:p>
      <w:pPr>
        <w:pStyle w:val="Normal"/>
        <w:ind w:left="0" w:firstLineChars="0" w:firstLine="0" w:leftChars="1000"/>
      </w:pPr>
      <w:hyperlink w:anchor="page_339">
        <w:r>
          <w:rPr>
            <w:color w:val="0000FF" w:themeColor="hyperlink"/>
            <w:u w:val="single"/>
          </w:rPr>
          <w:t>Configure network access</w:t>
        </w:r>
      </w:hyperlink>
    </w:p>
    <w:p>
      <w:pPr>
        <w:pStyle w:val="Normal"/>
        <w:ind w:left="0" w:firstLineChars="0" w:firstLine="0" w:leftChars="1000"/>
      </w:pPr>
      <w:hyperlink w:anchor="page_339">
        <w:r>
          <w:rPr>
            <w:color w:val="0000FF" w:themeColor="hyperlink"/>
            <w:u w:val="single"/>
          </w:rPr>
          <w:t>Post-configuration restart</w:t>
        </w:r>
      </w:hyperlink>
    </w:p>
    <w:p>
      <w:pPr>
        <w:pStyle w:val="Normal"/>
        <w:ind w:left="0" w:firstLineChars="0" w:firstLine="0" w:leftChars="1000"/>
      </w:pPr>
      <w:hyperlink w:anchor="page_340">
        <w:r>
          <w:rPr>
            <w:color w:val="0000FF" w:themeColor="hyperlink"/>
            <w:u w:val="single"/>
          </w:rPr>
          <w:t>Web Interface</w:t>
        </w:r>
      </w:hyperlink>
    </w:p>
    <w:p>
      <w:pPr>
        <w:pStyle w:val="Normal"/>
        <w:ind w:left="0" w:firstLineChars="0" w:firstLine="0" w:leftChars="1000"/>
      </w:pPr>
      <w:hyperlink w:anchor="page_340">
        <w:r>
          <w:rPr>
            <w:color w:val="0000FF" w:themeColor="hyperlink"/>
            <w:u w:val="single"/>
          </w:rPr>
          <w:t>Error logs</w:t>
        </w:r>
      </w:hyperlink>
    </w:p>
    <w:p>
      <w:pPr>
        <w:pStyle w:val="Normal"/>
        <w:ind w:left="0" w:firstLineChars="0" w:firstLine="0" w:leftChars="1000"/>
      </w:pPr>
      <w:hyperlink w:anchor="page_340">
        <w:r>
          <w:rPr>
            <w:color w:val="0000FF" w:themeColor="hyperlink"/>
            <w:u w:val="single"/>
          </w:rPr>
          <w:t>References</w:t>
        </w:r>
      </w:hyperlink>
    </w:p>
    <w:p>
      <w:pPr>
        <w:pStyle w:val="Normal"/>
        <w:ind w:left="0" w:firstLineChars="0" w:firstLine="0" w:leftChars="800"/>
      </w:pPr>
      <w:hyperlink w:anchor="page_340">
        <w:r>
          <w:rPr>
            <w:color w:val="0000FF" w:themeColor="hyperlink"/>
            <w:u w:val="single"/>
          </w:rPr>
          <w:t>See also</w:t>
        </w:r>
      </w:hyperlink>
    </w:p>
    <w:p>
      <w:pPr>
        <w:pStyle w:val="Normal"/>
        <w:ind w:left="0" w:firstLineChars="0" w:firstLine="0" w:leftChars="400"/>
      </w:pPr>
      <w:hyperlink w:anchor="page_340">
        <w:r>
          <w:rPr>
            <w:color w:val="0000FF" w:themeColor="hyperlink"/>
            <w:u w:val="single"/>
          </w:rPr>
          <w:t>Managing software</w:t>
        </w:r>
      </w:hyperlink>
    </w:p>
    <w:p>
      <w:pPr>
        <w:pStyle w:val="Normal"/>
        <w:ind w:left="0" w:firstLineChars="0" w:firstLine="0" w:leftChars="600"/>
      </w:pPr>
      <w:hyperlink w:anchor="page_341">
        <w:r>
          <w:rPr>
            <w:color w:val="0000FF" w:themeColor="hyperlink"/>
            <w:u w:val="single"/>
          </w:rPr>
          <w:t>Managing software</w:t>
        </w:r>
      </w:hyperlink>
    </w:p>
    <w:p>
      <w:pPr>
        <w:pStyle w:val="Normal"/>
        <w:ind w:left="0" w:firstLineChars="0" w:firstLine="0" w:leftChars="800"/>
      </w:pPr>
      <w:hyperlink w:anchor="page_341">
        <w:r>
          <w:rPr>
            <w:color w:val="0000FF" w:themeColor="hyperlink"/>
            <w:u w:val="single"/>
          </w:rPr>
          <w:t>Install and manage packages</w:t>
        </w:r>
      </w:hyperlink>
    </w:p>
    <w:p>
      <w:pPr>
        <w:pStyle w:val="Normal"/>
        <w:ind w:left="0" w:firstLineChars="0" w:firstLine="0" w:leftChars="1000"/>
      </w:pPr>
      <w:hyperlink w:anchor="page_341">
        <w:r>
          <w:rPr>
            <w:color w:val="0000FF" w:themeColor="hyperlink"/>
            <w:u w:val="single"/>
          </w:rPr>
          <w:t>Update the package index</w:t>
        </w:r>
      </w:hyperlink>
    </w:p>
    <w:p>
      <w:pPr>
        <w:pStyle w:val="Normal"/>
        <w:ind w:left="0" w:firstLineChars="0" w:firstLine="0" w:leftChars="1000"/>
      </w:pPr>
      <w:hyperlink w:anchor="page_341">
        <w:r>
          <w:rPr>
            <w:color w:val="0000FF" w:themeColor="hyperlink"/>
            <w:u w:val="single"/>
          </w:rPr>
          <w:t>Install a package</w:t>
        </w:r>
      </w:hyperlink>
    </w:p>
    <w:p>
      <w:pPr>
        <w:pStyle w:val="Normal"/>
        <w:ind w:left="0" w:firstLineChars="0" w:firstLine="0" w:leftChars="1000"/>
      </w:pPr>
      <w:hyperlink w:anchor="page_341">
        <w:r>
          <w:rPr>
            <w:color w:val="0000FF" w:themeColor="hyperlink"/>
            <w:u w:val="single"/>
          </w:rPr>
          <w:t>Remove a package</w:t>
        </w:r>
      </w:hyperlink>
    </w:p>
    <w:p>
      <w:pPr>
        <w:pStyle w:val="Normal"/>
        <w:ind w:left="0" w:firstLineChars="0" w:firstLine="0" w:leftChars="1000"/>
      </w:pPr>
      <w:hyperlink w:anchor="page_342">
        <w:r>
          <w:rPr>
            <w:color w:val="0000FF" w:themeColor="hyperlink"/>
            <w:u w:val="single"/>
          </w:rPr>
          <w:t>Upgrading packages</w:t>
        </w:r>
      </w:hyperlink>
    </w:p>
    <w:p>
      <w:pPr>
        <w:pStyle w:val="Normal"/>
        <w:ind w:left="0" w:firstLineChars="0" w:firstLine="0" w:leftChars="1000"/>
      </w:pPr>
      <w:hyperlink w:anchor="page_342">
        <w:r>
          <w:rPr>
            <w:color w:val="0000FF" w:themeColor="hyperlink"/>
            <w:u w:val="single"/>
          </w:rPr>
          <w:t>Aptitude</w:t>
        </w:r>
      </w:hyperlink>
    </w:p>
    <w:p>
      <w:pPr>
        <w:pStyle w:val="Normal"/>
        <w:ind w:left="0" w:firstLineChars="0" w:firstLine="0" w:leftChars="1000"/>
      </w:pPr>
      <w:hyperlink w:anchor="page_343">
        <w:r>
          <w:rPr>
            <w:color w:val="0000FF" w:themeColor="hyperlink"/>
            <w:u w:val="single"/>
          </w:rPr>
          <w:t>Installing packages</w:t>
        </w:r>
      </w:hyperlink>
    </w:p>
    <w:p>
      <w:pPr>
        <w:pStyle w:val="Normal"/>
        <w:ind w:left="0" w:firstLineChars="0" w:firstLine="0" w:leftChars="1000"/>
      </w:pPr>
      <w:hyperlink w:anchor="page_343">
        <w:r>
          <w:rPr>
            <w:color w:val="0000FF" w:themeColor="hyperlink"/>
            <w:u w:val="single"/>
          </w:rPr>
          <w:t>Remove Packages</w:t>
        </w:r>
      </w:hyperlink>
    </w:p>
    <w:p>
      <w:pPr>
        <w:pStyle w:val="Normal"/>
        <w:ind w:left="0" w:firstLineChars="0" w:firstLine="0" w:leftChars="1000"/>
      </w:pPr>
      <w:hyperlink w:anchor="page_343">
        <w:r>
          <w:rPr>
            <w:color w:val="0000FF" w:themeColor="hyperlink"/>
            <w:u w:val="single"/>
          </w:rPr>
          <w:t>Updating the package index</w:t>
        </w:r>
      </w:hyperlink>
    </w:p>
    <w:p>
      <w:pPr>
        <w:pStyle w:val="Normal"/>
        <w:ind w:left="0" w:firstLineChars="0" w:firstLine="0" w:leftChars="1000"/>
      </w:pPr>
      <w:hyperlink w:anchor="page_343">
        <w:r>
          <w:rPr>
            <w:color w:val="0000FF" w:themeColor="hyperlink"/>
            <w:u w:val="single"/>
          </w:rPr>
          <w:t>Upgrade packages</w:t>
        </w:r>
      </w:hyperlink>
    </w:p>
    <w:p>
      <w:pPr>
        <w:pStyle w:val="Normal"/>
        <w:ind w:left="0" w:firstLineChars="0" w:firstLine="0" w:leftChars="1000"/>
      </w:pPr>
      <w:hyperlink w:anchor="page_344">
        <w:r>
          <w:rPr>
            <w:color w:val="0000FF" w:themeColor="hyperlink"/>
            <w:u w:val="single"/>
          </w:rPr>
          <w:t>Command-line Aptitude</w:t>
        </w:r>
      </w:hyperlink>
    </w:p>
    <w:p>
      <w:pPr>
        <w:pStyle w:val="Normal"/>
        <w:ind w:left="0" w:firstLineChars="0" w:firstLine="0" w:leftChars="1000"/>
      </w:pPr>
      <w:hyperlink w:anchor="page_344">
        <w:r>
          <w:rPr>
            <w:color w:val="0000FF" w:themeColor="hyperlink"/>
            <w:u w:val="single"/>
          </w:rPr>
          <w:t>dpkg</w:t>
        </w:r>
      </w:hyperlink>
    </w:p>
    <w:p>
      <w:pPr>
        <w:pStyle w:val="Normal"/>
        <w:ind w:left="0" w:firstLineChars="0" w:firstLine="0" w:leftChars="1000"/>
      </w:pPr>
      <w:hyperlink w:anchor="page_344">
        <w:r>
          <w:rPr>
            <w:color w:val="0000FF" w:themeColor="hyperlink"/>
            <w:u w:val="single"/>
          </w:rPr>
          <w:t>List packages</w:t>
        </w:r>
      </w:hyperlink>
    </w:p>
    <w:p>
      <w:pPr>
        <w:pStyle w:val="Normal"/>
        <w:ind w:left="0" w:firstLineChars="0" w:firstLine="0" w:leftChars="1000"/>
      </w:pPr>
      <w:hyperlink w:anchor="page_344">
        <w:r>
          <w:rPr>
            <w:color w:val="0000FF" w:themeColor="hyperlink"/>
            <w:u w:val="single"/>
          </w:rPr>
          <w:t>List files</w:t>
        </w:r>
      </w:hyperlink>
    </w:p>
    <w:p>
      <w:pPr>
        <w:pStyle w:val="Normal"/>
        <w:ind w:left="0" w:firstLineChars="0" w:firstLine="0" w:leftChars="1000"/>
      </w:pPr>
      <w:hyperlink w:anchor="page_345">
        <w:r>
          <w:rPr>
            <w:color w:val="0000FF" w:themeColor="hyperlink"/>
            <w:u w:val="single"/>
          </w:rPr>
          <w:t>Installing a deb file</w:t>
        </w:r>
      </w:hyperlink>
    </w:p>
    <w:p>
      <w:pPr>
        <w:pStyle w:val="Normal"/>
        <w:ind w:left="0" w:firstLineChars="0" w:firstLine="0" w:leftChars="1000"/>
      </w:pPr>
      <w:hyperlink w:anchor="page_345">
        <w:r>
          <w:rPr>
            <w:color w:val="0000FF" w:themeColor="hyperlink"/>
            <w:u w:val="single"/>
          </w:rPr>
          <w:t>Uninstalling packages</w:t>
        </w:r>
      </w:hyperlink>
    </w:p>
    <w:p>
      <w:pPr>
        <w:pStyle w:val="Normal"/>
        <w:ind w:left="0" w:firstLineChars="0" w:firstLine="0" w:leftChars="1000"/>
      </w:pPr>
      <w:hyperlink w:anchor="page_345">
        <w:r>
          <w:rPr>
            <w:color w:val="0000FF" w:themeColor="hyperlink"/>
            <w:u w:val="single"/>
          </w:rPr>
          <w:t>APT configuration</w:t>
        </w:r>
      </w:hyperlink>
    </w:p>
    <w:p>
      <w:pPr>
        <w:pStyle w:val="Normal"/>
        <w:ind w:left="0" w:firstLineChars="0" w:firstLine="0" w:leftChars="1000"/>
      </w:pPr>
      <w:hyperlink w:anchor="page_345">
        <w:r>
          <w:rPr>
            <w:color w:val="0000FF" w:themeColor="hyperlink"/>
            <w:u w:val="single"/>
          </w:rPr>
          <w:t>Automatic updates</w:t>
        </w:r>
      </w:hyperlink>
    </w:p>
    <w:p>
      <w:pPr>
        <w:pStyle w:val="Normal"/>
        <w:ind w:left="0" w:firstLineChars="0" w:firstLine="0" w:leftChars="1000"/>
      </w:pPr>
      <w:hyperlink w:anchor="page_346">
        <w:r>
          <w:rPr>
            <w:color w:val="0000FF" w:themeColor="hyperlink"/>
            <w:u w:val="single"/>
          </w:rPr>
          <w:t>Extra repositories</w:t>
        </w:r>
      </w:hyperlink>
    </w:p>
    <w:p>
      <w:pPr>
        <w:pStyle w:val="Normal"/>
        <w:ind w:left="0" w:firstLineChars="0" w:firstLine="0" w:leftChars="1000"/>
      </w:pPr>
      <w:hyperlink w:anchor="Top_of_index_split_073_html">
        <w:r>
          <w:rPr>
            <w:color w:val="0000FF" w:themeColor="hyperlink"/>
            <w:u w:val="single"/>
          </w:rPr>
          <w:t>Logging</w:t>
        </w:r>
      </w:hyperlink>
    </w:p>
    <w:p>
      <w:pPr>
        <w:pStyle w:val="Normal"/>
        <w:ind w:left="0" w:firstLineChars="0" w:firstLine="0" w:leftChars="1000"/>
      </w:pPr>
      <w:hyperlink w:anchor="Top_of_index_split_073_html">
        <w:r>
          <w:rPr>
            <w:color w:val="0000FF" w:themeColor="hyperlink"/>
            <w:u w:val="single"/>
          </w:rPr>
          <w:t>Further reading</w:t>
        </w:r>
      </w:hyperlink>
    </w:p>
    <w:p>
      <w:pPr>
        <w:pStyle w:val="Normal"/>
        <w:ind w:left="0" w:firstLineChars="0" w:firstLine="0" w:leftChars="800"/>
      </w:pPr>
      <w:hyperlink w:anchor="Top_of_index_split_073_html">
        <w:r>
          <w:rPr>
            <w:color w:val="0000FF" w:themeColor="hyperlink"/>
            <w:u w:val="single"/>
          </w:rPr>
          <w:t>Updates</w:t>
        </w:r>
      </w:hyperlink>
    </w:p>
    <w:p>
      <w:pPr>
        <w:pStyle w:val="Normal"/>
        <w:ind w:left="0" w:firstLineChars="0" w:firstLine="0" w:leftChars="1000"/>
      </w:pPr>
      <w:hyperlink w:anchor="Top_of_index_split_073_html">
        <w:r>
          <w:rPr>
            <w:color w:val="0000FF" w:themeColor="hyperlink"/>
            <w:u w:val="single"/>
          </w:rPr>
          <w:t>Automatic updates</w:t>
        </w:r>
      </w:hyperlink>
    </w:p>
    <w:p>
      <w:pPr>
        <w:pStyle w:val="Normal"/>
        <w:ind w:left="0" w:firstLineChars="0" w:firstLine="0" w:leftChars="1000"/>
      </w:pPr>
      <w:hyperlink w:anchor="page_348">
        <w:r>
          <w:rPr>
            <w:color w:val="0000FF" w:themeColor="hyperlink"/>
            <w:u w:val="single"/>
          </w:rPr>
          <w:t>Configuration layout</w:t>
        </w:r>
      </w:hyperlink>
    </w:p>
    <w:p>
      <w:pPr>
        <w:pStyle w:val="Normal"/>
        <w:ind w:left="0" w:firstLineChars="0" w:firstLine="0" w:leftChars="1000"/>
      </w:pPr>
      <w:hyperlink w:anchor="page_348">
        <w:r>
          <w:rPr>
            <w:color w:val="0000FF" w:themeColor="hyperlink"/>
            <w:u w:val="single"/>
          </w:rPr>
          <w:t>Enabling and disabling unattended upgrades</w:t>
        </w:r>
      </w:hyperlink>
    </w:p>
    <w:p>
      <w:pPr>
        <w:pStyle w:val="Normal"/>
        <w:ind w:left="0" w:firstLineChars="0" w:firstLine="0" w:leftChars="1000"/>
      </w:pPr>
      <w:hyperlink w:anchor="page_349">
        <w:r>
          <w:rPr>
            <w:color w:val="0000FF" w:themeColor="hyperlink"/>
            <w:u w:val="single"/>
          </w:rPr>
          <w:t>Where to pick updates from</w:t>
        </w:r>
      </w:hyperlink>
    </w:p>
    <w:p>
      <w:pPr>
        <w:pStyle w:val="Normal"/>
        <w:ind w:left="0" w:firstLineChars="0" w:firstLine="0" w:leftChars="1000"/>
      </w:pPr>
      <w:hyperlink w:anchor="page_350">
        <w:r>
          <w:rPr>
            <w:color w:val="0000FF" w:themeColor="hyperlink"/>
            <w:u w:val="single"/>
          </w:rPr>
          <w:t>Automatic upgrades from a PPA</w:t>
        </w:r>
      </w:hyperlink>
    </w:p>
    <w:p>
      <w:pPr>
        <w:pStyle w:val="Normal"/>
        <w:ind w:left="0" w:firstLineChars="0" w:firstLine="0" w:leftChars="1000"/>
      </w:pPr>
      <w:hyperlink w:anchor="page_351">
        <w:r>
          <w:rPr>
            <w:color w:val="0000FF" w:themeColor="hyperlink"/>
            <w:u w:val="single"/>
          </w:rPr>
          <w:t>How to block certain packages</w:t>
        </w:r>
      </w:hyperlink>
    </w:p>
    <w:p>
      <w:pPr>
        <w:pStyle w:val="Normal"/>
        <w:ind w:left="0" w:firstLineChars="0" w:firstLine="0" w:leftChars="1000"/>
      </w:pPr>
      <w:hyperlink w:anchor="page_352">
        <w:r>
          <w:rPr>
            <w:color w:val="0000FF" w:themeColor="hyperlink"/>
            <w:u w:val="single"/>
          </w:rPr>
          <w:t>Notifications</w:t>
        </w:r>
      </w:hyperlink>
    </w:p>
    <w:p>
      <w:pPr>
        <w:pStyle w:val="Normal"/>
        <w:ind w:left="0" w:firstLineChars="0" w:firstLine="0" w:leftChars="1000"/>
      </w:pPr>
      <w:hyperlink w:anchor="page_353">
        <w:r>
          <w:rPr>
            <w:color w:val="0000FF" w:themeColor="hyperlink"/>
            <w:u w:val="single"/>
          </w:rPr>
          <w:t>Notification examples</w:t>
        </w:r>
      </w:hyperlink>
    </w:p>
    <w:p>
      <w:pPr>
        <w:pStyle w:val="Normal"/>
        <w:ind w:left="0" w:firstLineChars="0" w:firstLine="0" w:leftChars="1000"/>
      </w:pPr>
      <w:hyperlink w:anchor="page_353">
        <w:r>
          <w:rPr>
            <w:color w:val="0000FF" w:themeColor="hyperlink"/>
            <w:u w:val="single"/>
          </w:rPr>
          <w:t>No changes applied, no errors</w:t>
        </w:r>
      </w:hyperlink>
    </w:p>
    <w:p>
      <w:pPr>
        <w:pStyle w:val="Normal"/>
        <w:ind w:left="0" w:firstLineChars="0" w:firstLine="0" w:leftChars="1000"/>
      </w:pPr>
      <w:hyperlink w:anchor="page_353">
        <w:r>
          <w:rPr>
            <w:color w:val="0000FF" w:themeColor="hyperlink"/>
            <w:u w:val="single"/>
          </w:rPr>
          <w:t>Upgrades applied, no errors</w:t>
        </w:r>
      </w:hyperlink>
    </w:p>
    <w:p>
      <w:pPr>
        <w:pStyle w:val="Normal"/>
        <w:ind w:left="0" w:firstLineChars="0" w:firstLine="0" w:leftChars="1000"/>
      </w:pPr>
      <w:hyperlink w:anchor="page_354">
        <w:r>
          <w:rPr>
            <w:color w:val="0000FF" w:themeColor="hyperlink"/>
            <w:u w:val="single"/>
          </w:rPr>
          <w:t>Reboots</w:t>
        </w:r>
      </w:hyperlink>
    </w:p>
    <w:p>
      <w:pPr>
        <w:pStyle w:val="Normal"/>
        <w:ind w:left="0" w:firstLineChars="0" w:firstLine="0" w:leftChars="1000"/>
      </w:pPr>
      <w:hyperlink w:anchor="page_355">
        <w:r>
          <w:rPr>
            <w:color w:val="0000FF" w:themeColor="hyperlink"/>
            <w:u w:val="single"/>
          </w:rPr>
          <w:t>When to consider disabling automatic updates</w:t>
        </w:r>
      </w:hyperlink>
    </w:p>
    <w:p>
      <w:pPr>
        <w:pStyle w:val="Normal"/>
        <w:ind w:left="0" w:firstLineChars="0" w:firstLine="0" w:leftChars="1000"/>
      </w:pPr>
      <w:hyperlink w:anchor="page_355">
        <w:r>
          <w:rPr>
            <w:color w:val="0000FF" w:themeColor="hyperlink"/>
            <w:u w:val="single"/>
          </w:rPr>
          <w:t>Systems which just get recreated</w:t>
        </w:r>
      </w:hyperlink>
    </w:p>
    <w:p>
      <w:pPr>
        <w:pStyle w:val="Normal"/>
        <w:ind w:left="0" w:firstLineChars="0" w:firstLine="0" w:leftChars="1000"/>
      </w:pPr>
      <w:hyperlink w:anchor="page_355">
        <w:r>
          <w:rPr>
            <w:color w:val="0000FF" w:themeColor="hyperlink"/>
            <w:u w:val="single"/>
          </w:rPr>
          <w:t>Manual steps required</w:t>
        </w:r>
      </w:hyperlink>
    </w:p>
    <w:p>
      <w:pPr>
        <w:pStyle w:val="Normal"/>
        <w:ind w:left="0" w:firstLineChars="0" w:firstLine="0" w:leftChars="1000"/>
      </w:pPr>
      <w:hyperlink w:anchor="Top_of_index_split_074_html">
        <w:r>
          <w:rPr>
            <w:color w:val="0000FF" w:themeColor="hyperlink"/>
            <w:u w:val="single"/>
          </w:rPr>
          <w:t>Too much of a risk</w:t>
        </w:r>
      </w:hyperlink>
    </w:p>
    <w:p>
      <w:pPr>
        <w:pStyle w:val="Normal"/>
        <w:ind w:left="0" w:firstLineChars="0" w:firstLine="0" w:leftChars="1000"/>
      </w:pPr>
      <w:hyperlink w:anchor="Top_of_index_split_074_html">
        <w:r>
          <w:rPr>
            <w:color w:val="0000FF" w:themeColor="hyperlink"/>
            <w:u w:val="single"/>
          </w:rPr>
          <w:t>Fleet management</w:t>
        </w:r>
      </w:hyperlink>
    </w:p>
    <w:p>
      <w:pPr>
        <w:pStyle w:val="Normal"/>
        <w:ind w:left="0" w:firstLineChars="0" w:firstLine="0" w:leftChars="1000"/>
      </w:pPr>
      <w:hyperlink w:anchor="Top_of_index_split_074_html">
        <w:r>
          <w:rPr>
            <w:color w:val="0000FF" w:themeColor="hyperlink"/>
            <w:u w:val="single"/>
          </w:rPr>
          <w:t>Postponable updates</w:t>
        </w:r>
      </w:hyperlink>
    </w:p>
    <w:p>
      <w:pPr>
        <w:pStyle w:val="Normal"/>
        <w:ind w:left="0" w:firstLineChars="0" w:firstLine="0" w:leftChars="1000"/>
      </w:pPr>
      <w:hyperlink w:anchor="page_357">
        <w:r>
          <w:rPr>
            <w:color w:val="0000FF" w:themeColor="hyperlink"/>
            <w:u w:val="single"/>
          </w:rPr>
          <w:t>Prompt duration</w:t>
        </w:r>
      </w:hyperlink>
    </w:p>
    <w:p>
      <w:pPr>
        <w:pStyle w:val="Normal"/>
        <w:ind w:left="0" w:firstLineChars="0" w:firstLine="0" w:leftChars="1000"/>
      </w:pPr>
      <w:hyperlink w:anchor="page_357">
        <w:r>
          <w:rPr>
            <w:color w:val="0000FF" w:themeColor="hyperlink"/>
            <w:u w:val="single"/>
          </w:rPr>
          <w:t>Who can postpone</w:t>
        </w:r>
      </w:hyperlink>
    </w:p>
    <w:p>
      <w:pPr>
        <w:pStyle w:val="Normal"/>
        <w:ind w:left="0" w:firstLineChars="0" w:firstLine="0" w:leftChars="1000"/>
      </w:pPr>
      <w:hyperlink w:anchor="page_357">
        <w:r>
          <w:rPr>
            <w:color w:val="0000FF" w:themeColor="hyperlink"/>
            <w:u w:val="single"/>
          </w:rPr>
          <w:t>Notifications in different environments</w:t>
        </w:r>
      </w:hyperlink>
    </w:p>
    <w:p>
      <w:pPr>
        <w:pStyle w:val="Normal"/>
        <w:ind w:left="0" w:firstLineChars="0" w:firstLine="0" w:leftChars="1000"/>
      </w:pPr>
      <w:hyperlink w:anchor="page_357">
        <w:r>
          <w:rPr>
            <w:color w:val="0000FF" w:themeColor="hyperlink"/>
            <w:u w:val="single"/>
          </w:rPr>
          <w:t>Testing and troubleshooting</w:t>
        </w:r>
      </w:hyperlink>
    </w:p>
    <w:p>
      <w:pPr>
        <w:pStyle w:val="Normal"/>
        <w:ind w:left="0" w:firstLineChars="0" w:firstLine="0" w:leftChars="1000"/>
      </w:pPr>
      <w:hyperlink w:anchor="Top_of_index_split_075_html">
        <w:r>
          <w:rPr>
            <w:color w:val="0000FF" w:themeColor="hyperlink"/>
            <w:u w:val="single"/>
          </w:rPr>
          <w:t>How to upgrade your Ubuntu release</w:t>
        </w:r>
      </w:hyperlink>
    </w:p>
    <w:p>
      <w:pPr>
        <w:pStyle w:val="Normal"/>
        <w:ind w:left="0" w:firstLineChars="0" w:firstLine="0" w:leftChars="1000"/>
      </w:pPr>
      <w:hyperlink w:anchor="Top_of_index_split_075_html">
        <w:r>
          <w:rPr>
            <w:color w:val="0000FF" w:themeColor="hyperlink"/>
            <w:u w:val="single"/>
          </w:rPr>
          <w:t>Understanding Upgrade Paths</w:t>
        </w:r>
      </w:hyperlink>
    </w:p>
    <w:p>
      <w:pPr>
        <w:pStyle w:val="Normal"/>
        <w:ind w:left="0" w:firstLineChars="0" w:firstLine="0" w:leftChars="1000"/>
      </w:pPr>
      <w:hyperlink w:anchor="Top_of_index_split_075_html">
        <w:r>
          <w:rPr>
            <w:color w:val="0000FF" w:themeColor="hyperlink"/>
            <w:u w:val="single"/>
          </w:rPr>
          <w:t>Pre-upgrade checklist</w:t>
        </w:r>
      </w:hyperlink>
    </w:p>
    <w:p>
      <w:pPr>
        <w:pStyle w:val="Normal"/>
        <w:ind w:left="0" w:firstLineChars="0" w:firstLine="0" w:leftChars="1000"/>
      </w:pPr>
      <w:hyperlink w:anchor="page_360">
        <w:r>
          <w:rPr>
            <w:color w:val="0000FF" w:themeColor="hyperlink"/>
            <w:u w:val="single"/>
          </w:rPr>
          <w:t>Upgrade the system</w:t>
        </w:r>
      </w:hyperlink>
    </w:p>
    <w:p>
      <w:pPr>
        <w:pStyle w:val="Normal"/>
        <w:ind w:left="0" w:firstLineChars="0" w:firstLine="0" w:leftChars="1000"/>
      </w:pPr>
      <w:hyperlink w:anchor="page_360">
        <w:r>
          <w:rPr>
            <w:color w:val="0000FF" w:themeColor="hyperlink"/>
            <w:u w:val="single"/>
          </w:rPr>
          <w:t>Pre-upgrade summary</w:t>
        </w:r>
      </w:hyperlink>
    </w:p>
    <w:p>
      <w:pPr>
        <w:pStyle w:val="Normal"/>
        <w:ind w:left="0" w:firstLineChars="0" w:firstLine="0" w:leftChars="1000"/>
      </w:pPr>
      <w:hyperlink w:anchor="page_361">
        <w:r>
          <w:rPr>
            <w:color w:val="0000FF" w:themeColor="hyperlink"/>
            <w:u w:val="single"/>
          </w:rPr>
          <w:t>Configuration changes</w:t>
        </w:r>
      </w:hyperlink>
    </w:p>
    <w:p>
      <w:pPr>
        <w:pStyle w:val="Normal"/>
        <w:ind w:left="0" w:firstLineChars="0" w:firstLine="0" w:leftChars="1000"/>
      </w:pPr>
      <w:hyperlink w:anchor="page_361">
        <w:r>
          <w:rPr>
            <w:color w:val="0000FF" w:themeColor="hyperlink"/>
            <w:u w:val="single"/>
          </w:rPr>
          <w:t>Removing Obsolete Packages</w:t>
        </w:r>
      </w:hyperlink>
    </w:p>
    <w:p>
      <w:pPr>
        <w:pStyle w:val="Normal"/>
        <w:ind w:left="0" w:firstLineChars="0" w:firstLine="0" w:leftChars="1000"/>
      </w:pPr>
      <w:hyperlink w:anchor="Top_of_index_split_076_html">
        <w:r>
          <w:rPr>
            <w:color w:val="0000FF" w:themeColor="hyperlink"/>
            <w:u w:val="single"/>
          </w:rPr>
          <w:t>Reboot</w:t>
        </w:r>
      </w:hyperlink>
    </w:p>
    <w:p>
      <w:pPr>
        <w:pStyle w:val="Normal"/>
        <w:ind w:left="0" w:firstLineChars="0" w:firstLine="0" w:leftChars="1000"/>
      </w:pPr>
      <w:hyperlink w:anchor="Top_of_index_split_076_html">
        <w:r>
          <w:rPr>
            <w:color w:val="0000FF" w:themeColor="hyperlink"/>
            <w:u w:val="single"/>
          </w:rPr>
          <w:t>Further reading</w:t>
        </w:r>
      </w:hyperlink>
    </w:p>
    <w:p>
      <w:pPr>
        <w:pStyle w:val="Normal"/>
        <w:ind w:left="0" w:firstLineChars="0" w:firstLine="0" w:leftChars="1000"/>
      </w:pPr>
      <w:hyperlink w:anchor="Top_of_index_split_076_html">
        <w:r>
          <w:rPr>
            <w:color w:val="0000FF" w:themeColor="hyperlink"/>
            <w:u w:val="single"/>
          </w:rPr>
          <w:t>How to use the Ubuntu snapshot service</w:t>
        </w:r>
      </w:hyperlink>
    </w:p>
    <w:p>
      <w:pPr>
        <w:pStyle w:val="Normal"/>
        <w:ind w:left="0" w:firstLineChars="0" w:firstLine="0" w:leftChars="1000"/>
      </w:pPr>
      <w:hyperlink w:anchor="Top_of_index_split_076_html">
        <w:r>
          <w:rPr>
            <w:color w:val="0000FF" w:themeColor="hyperlink"/>
            <w:u w:val="single"/>
          </w:rPr>
          <w:t>Prerequisites</w:t>
        </w:r>
      </w:hyperlink>
    </w:p>
    <w:p>
      <w:pPr>
        <w:pStyle w:val="Normal"/>
        <w:ind w:left="0" w:firstLineChars="0" w:firstLine="0" w:leftChars="1000"/>
      </w:pPr>
      <w:hyperlink w:anchor="page_363">
        <w:r>
          <w:rPr>
            <w:color w:val="0000FF" w:themeColor="hyperlink"/>
            <w:u w:val="single"/>
          </w:rPr>
          <w:t>Quick start</w:t>
        </w:r>
      </w:hyperlink>
    </w:p>
    <w:p>
      <w:pPr>
        <w:pStyle w:val="Normal"/>
        <w:ind w:left="0" w:firstLineChars="0" w:firstLine="0" w:leftChars="1000"/>
      </w:pPr>
      <w:hyperlink w:anchor="Top_of_index_split_077_html">
        <w:r>
          <w:rPr>
            <w:color w:val="0000FF" w:themeColor="hyperlink"/>
            <w:u w:val="single"/>
          </w:rPr>
          <w:t>Using the snapshot service</w:t>
        </w:r>
      </w:hyperlink>
    </w:p>
    <w:p>
      <w:pPr>
        <w:pStyle w:val="Normal"/>
        <w:ind w:left="0" w:firstLineChars="0" w:firstLine="0" w:leftChars="1000"/>
      </w:pPr>
      <w:hyperlink w:anchor="Top_of_index_split_077_html">
        <w:r>
          <w:rPr>
            <w:color w:val="0000FF" w:themeColor="hyperlink"/>
            <w:u w:val="single"/>
          </w:rPr>
          <w:t>The --snapshot CLI option</w:t>
        </w:r>
      </w:hyperlink>
    </w:p>
    <w:p>
      <w:pPr>
        <w:pStyle w:val="Normal"/>
        <w:ind w:left="0" w:firstLineChars="0" w:firstLine="0" w:leftChars="1000"/>
      </w:pPr>
      <w:hyperlink w:anchor="page_365">
        <w:r>
          <w:rPr>
            <w:color w:val="0000FF" w:themeColor="hyperlink"/>
            <w:u w:val="single"/>
          </w:rPr>
          <w:t>Configuring the snapshot service for specific repositories</w:t>
        </w:r>
      </w:hyperlink>
    </w:p>
    <w:p>
      <w:pPr>
        <w:pStyle w:val="Normal"/>
        <w:ind w:left="0" w:firstLineChars="0" w:firstLine="0" w:leftChars="1000"/>
      </w:pPr>
      <w:hyperlink w:anchor="Top_of_index_split_078_html">
        <w:r>
          <w:rPr>
            <w:color w:val="0000FF" w:themeColor="hyperlink"/>
            <w:u w:val="single"/>
          </w:rPr>
          <w:t>Configuring the snapshot service globally</w:t>
        </w:r>
      </w:hyperlink>
    </w:p>
    <w:p>
      <w:pPr>
        <w:pStyle w:val="Normal"/>
        <w:ind w:left="0" w:firstLineChars="0" w:firstLine="0" w:leftChars="1000"/>
      </w:pPr>
      <w:hyperlink w:anchor="Top_of_index_split_078_html">
        <w:r>
          <w:rPr>
            <w:color w:val="0000FF" w:themeColor="hyperlink"/>
            <w:u w:val="single"/>
          </w:rPr>
          <w:t>Further reading</w:t>
        </w:r>
      </w:hyperlink>
    </w:p>
    <w:p>
      <w:pPr>
        <w:pStyle w:val="Normal"/>
        <w:ind w:left="0" w:firstLineChars="0" w:firstLine="0" w:leftChars="800"/>
      </w:pPr>
      <w:hyperlink w:anchor="page_368">
        <w:r>
          <w:rPr>
            <w:color w:val="0000FF" w:themeColor="hyperlink"/>
            <w:u w:val="single"/>
          </w:rPr>
          <w:t>Troubleshooting</w:t>
        </w:r>
      </w:hyperlink>
    </w:p>
    <w:p>
      <w:pPr>
        <w:pStyle w:val="Normal"/>
        <w:ind w:left="0" w:firstLineChars="0" w:firstLine="0" w:leftChars="1000"/>
      </w:pPr>
      <w:hyperlink w:anchor="page_368">
        <w:r>
          <w:rPr>
            <w:color w:val="0000FF" w:themeColor="hyperlink"/>
            <w:u w:val="single"/>
          </w:rPr>
          <w:t>How to report a bug in Ubuntu Server</w:t>
        </w:r>
      </w:hyperlink>
    </w:p>
    <w:p>
      <w:pPr>
        <w:pStyle w:val="Normal"/>
        <w:ind w:left="0" w:firstLineChars="0" w:firstLine="0" w:leftChars="1000"/>
      </w:pPr>
      <w:hyperlink w:anchor="page_368">
        <w:r>
          <w:rPr>
            <w:color w:val="0000FF" w:themeColor="hyperlink"/>
            <w:u w:val="single"/>
          </w:rPr>
          <w:t>Report bugs with apport-cli</w:t>
        </w:r>
      </w:hyperlink>
    </w:p>
    <w:p>
      <w:pPr>
        <w:pStyle w:val="Normal"/>
        <w:ind w:left="0" w:firstLineChars="0" w:firstLine="0" w:leftChars="1000"/>
      </w:pPr>
      <w:hyperlink w:anchor="page_369">
        <w:r>
          <w:rPr>
            <w:color w:val="0000FF" w:themeColor="hyperlink"/>
            <w:u w:val="single"/>
          </w:rPr>
          <w:t>S: Send report</w:t>
        </w:r>
      </w:hyperlink>
    </w:p>
    <w:p>
      <w:pPr>
        <w:pStyle w:val="Normal"/>
        <w:ind w:left="0" w:firstLineChars="0" w:firstLine="0" w:leftChars="1000"/>
      </w:pPr>
      <w:hyperlink w:anchor="page_369">
        <w:r>
          <w:rPr>
            <w:color w:val="0000FF" w:themeColor="hyperlink"/>
            <w:u w:val="single"/>
          </w:rPr>
          <w:t>V: View</w:t>
        </w:r>
      </w:hyperlink>
    </w:p>
    <w:p>
      <w:pPr>
        <w:pStyle w:val="Normal"/>
        <w:ind w:left="0" w:firstLineChars="0" w:firstLine="0" w:leftChars="1000"/>
      </w:pPr>
      <w:hyperlink w:anchor="Top_of_index_split_079_html">
        <w:r>
          <w:rPr>
            <w:color w:val="0000FF" w:themeColor="hyperlink"/>
            <w:u w:val="single"/>
          </w:rPr>
          <w:t>K: Keep</w:t>
        </w:r>
      </w:hyperlink>
    </w:p>
    <w:p>
      <w:pPr>
        <w:pStyle w:val="Normal"/>
        <w:ind w:left="0" w:firstLineChars="0" w:firstLine="0" w:leftChars="1000"/>
      </w:pPr>
      <w:hyperlink w:anchor="Top_of_index_split_079_html">
        <w:r>
          <w:rPr>
            <w:color w:val="0000FF" w:themeColor="hyperlink"/>
            <w:u w:val="single"/>
          </w:rPr>
          <w:t>Reporting application crashes</w:t>
        </w:r>
      </w:hyperlink>
    </w:p>
    <w:p>
      <w:pPr>
        <w:pStyle w:val="Normal"/>
        <w:ind w:left="0" w:firstLineChars="0" w:firstLine="0" w:leftChars="1000"/>
      </w:pPr>
      <w:hyperlink w:anchor="page_371">
        <w:r>
          <w:rPr>
            <w:color w:val="0000FF" w:themeColor="hyperlink"/>
            <w:u w:val="single"/>
          </w:rPr>
          <w:t>Further reading</w:t>
        </w:r>
      </w:hyperlink>
    </w:p>
    <w:p>
      <w:pPr>
        <w:pStyle w:val="Normal"/>
        <w:ind w:left="0" w:firstLineChars="0" w:firstLine="0" w:leftChars="800"/>
      </w:pPr>
      <w:hyperlink w:anchor="page_371">
        <w:r>
          <w:rPr>
            <w:color w:val="0000FF" w:themeColor="hyperlink"/>
            <w:u w:val="single"/>
          </w:rPr>
          <w:t>See also</w:t>
        </w:r>
      </w:hyperlink>
    </w:p>
    <w:p>
      <w:pPr>
        <w:pStyle w:val="Normal"/>
        <w:ind w:left="0" w:firstLineChars="0" w:firstLine="0" w:leftChars="400"/>
      </w:pPr>
      <w:hyperlink w:anchor="page_371">
        <w:r>
          <w:rPr>
            <w:color w:val="0000FF" w:themeColor="hyperlink"/>
            <w:u w:val="single"/>
          </w:rPr>
          <w:t>Data and storage</w:t>
        </w:r>
      </w:hyperlink>
    </w:p>
    <w:p>
      <w:pPr>
        <w:pStyle w:val="Normal"/>
        <w:ind w:left="0" w:firstLineChars="0" w:firstLine="0" w:leftChars="600"/>
      </w:pPr>
      <w:hyperlink w:anchor="Top_of_index_split_080_html">
        <w:r>
          <w:rPr>
            <w:color w:val="0000FF" w:themeColor="hyperlink"/>
            <w:u w:val="single"/>
          </w:rPr>
          <w:t>Data and storage</w:t>
        </w:r>
      </w:hyperlink>
    </w:p>
    <w:p>
      <w:pPr>
        <w:pStyle w:val="Normal"/>
        <w:ind w:left="0" w:firstLineChars="0" w:firstLine="0" w:leftChars="800"/>
      </w:pPr>
      <w:hyperlink w:anchor="Top_of_index_split_080_html">
        <w:r>
          <w:rPr>
            <w:color w:val="0000FF" w:themeColor="hyperlink"/>
            <w:u w:val="single"/>
          </w:rPr>
          <w:t>Data management</w:t>
        </w:r>
      </w:hyperlink>
    </w:p>
    <w:p>
      <w:pPr>
        <w:pStyle w:val="Normal"/>
        <w:ind w:left="0" w:firstLineChars="0" w:firstLine="0" w:leftChars="1000"/>
      </w:pPr>
      <w:hyperlink w:anchor="Top_of_index_split_080_html">
        <w:r>
          <w:rPr>
            <w:color w:val="0000FF" w:themeColor="hyperlink"/>
            <w:u w:val="single"/>
          </w:rPr>
          <w:t>OpenLDAP</w:t>
        </w:r>
      </w:hyperlink>
    </w:p>
    <w:p>
      <w:pPr>
        <w:pStyle w:val="Normal"/>
        <w:ind w:left="0" w:firstLineChars="0" w:firstLine="0" w:leftChars="1000"/>
      </w:pPr>
      <w:hyperlink w:anchor="Top_of_index_split_080_html">
        <w:r>
          <w:rPr>
            <w:color w:val="0000FF" w:themeColor="hyperlink"/>
            <w:u w:val="single"/>
          </w:rPr>
          <w:t>Install and configure LDAP</w:t>
        </w:r>
      </w:hyperlink>
    </w:p>
    <w:p>
      <w:pPr>
        <w:pStyle w:val="Normal"/>
        <w:ind w:left="0" w:firstLineChars="0" w:firstLine="0" w:leftChars="1000"/>
      </w:pPr>
      <w:hyperlink w:anchor="Top_of_index_split_081_html">
        <w:r>
          <w:rPr>
            <w:color w:val="0000FF" w:themeColor="hyperlink"/>
            <w:u w:val="single"/>
          </w:rPr>
          <w:t>Install slapd</w:t>
        </w:r>
      </w:hyperlink>
    </w:p>
    <w:p>
      <w:pPr>
        <w:pStyle w:val="Normal"/>
        <w:ind w:left="0" w:firstLineChars="0" w:firstLine="0" w:leftChars="1000"/>
      </w:pPr>
      <w:hyperlink w:anchor="Top_of_index_split_081_html">
        <w:r>
          <w:rPr>
            <w:color w:val="0000FF" w:themeColor="hyperlink"/>
            <w:u w:val="single"/>
          </w:rPr>
          <w:t>Change the instance suffix (optional)</w:t>
        </w:r>
      </w:hyperlink>
    </w:p>
    <w:p>
      <w:pPr>
        <w:pStyle w:val="Normal"/>
        <w:ind w:left="0" w:firstLineChars="0" w:firstLine="0" w:leftChars="1000"/>
      </w:pPr>
      <w:hyperlink w:anchor="Top_of_index_split_081_html">
        <w:r>
          <w:rPr>
            <w:color w:val="0000FF" w:themeColor="hyperlink"/>
            <w:u w:val="single"/>
          </w:rPr>
          <w:t>Default tree contents</w:t>
        </w:r>
      </w:hyperlink>
    </w:p>
    <w:p>
      <w:pPr>
        <w:pStyle w:val="Normal"/>
        <w:ind w:left="0" w:firstLineChars="0" w:firstLine="0" w:leftChars="1000"/>
      </w:pPr>
      <w:hyperlink w:anchor="page_374">
        <w:r>
          <w:rPr>
            <w:color w:val="0000FF" w:themeColor="hyperlink"/>
            <w:u w:val="single"/>
          </w:rPr>
          <w:t>Default configuration tree</w:t>
        </w:r>
      </w:hyperlink>
    </w:p>
    <w:p>
      <w:pPr>
        <w:pStyle w:val="Normal"/>
        <w:ind w:left="0" w:firstLineChars="0" w:firstLine="0" w:leftChars="1000"/>
      </w:pPr>
      <w:hyperlink w:anchor="page_375">
        <w:r>
          <w:rPr>
            <w:color w:val="0000FF" w:themeColor="hyperlink"/>
            <w:u w:val="single"/>
          </w:rPr>
          <w:t>Default “data” tree</w:t>
        </w:r>
      </w:hyperlink>
    </w:p>
    <w:p>
      <w:pPr>
        <w:pStyle w:val="Normal"/>
        <w:ind w:left="0" w:firstLineChars="0" w:firstLine="0" w:leftChars="1000"/>
      </w:pPr>
      <w:hyperlink w:anchor="page_375">
        <w:r>
          <w:rPr>
            <w:color w:val="0000FF" w:themeColor="hyperlink"/>
            <w:u w:val="single"/>
          </w:rPr>
          <w:t>Who am I?</w:t>
        </w:r>
      </w:hyperlink>
    </w:p>
    <w:p>
      <w:pPr>
        <w:pStyle w:val="Normal"/>
        <w:ind w:left="0" w:firstLineChars="0" w:firstLine="0" w:leftChars="1000"/>
      </w:pPr>
      <w:hyperlink w:anchor="page_376">
        <w:r>
          <w:rPr>
            <w:color w:val="0000FF" w:themeColor="hyperlink"/>
            <w:u w:val="single"/>
          </w:rPr>
          <w:t>Populate the directory</w:t>
        </w:r>
      </w:hyperlink>
    </w:p>
    <w:p>
      <w:pPr>
        <w:pStyle w:val="Normal"/>
        <w:ind w:left="0" w:firstLineChars="0" w:firstLine="0" w:leftChars="1000"/>
      </w:pPr>
      <w:hyperlink w:anchor="page_379">
        <w:r>
          <w:rPr>
            <w:color w:val="0000FF" w:themeColor="hyperlink"/>
            <w:u w:val="single"/>
          </w:rPr>
          <w:t>Change the configuration</w:t>
        </w:r>
      </w:hyperlink>
    </w:p>
    <w:p>
      <w:pPr>
        <w:pStyle w:val="Normal"/>
        <w:ind w:left="0" w:firstLineChars="0" w:firstLine="0" w:leftChars="1000"/>
      </w:pPr>
      <w:hyperlink w:anchor="page_379">
        <w:r>
          <w:rPr>
            <w:color w:val="0000FF" w:themeColor="hyperlink"/>
            <w:u w:val="single"/>
          </w:rPr>
          <w:t>Which “admin” DN to use?</w:t>
        </w:r>
      </w:hyperlink>
    </w:p>
    <w:p>
      <w:pPr>
        <w:pStyle w:val="Normal"/>
        <w:ind w:left="0" w:firstLineChars="0" w:firstLine="0" w:leftChars="1000"/>
      </w:pPr>
      <w:hyperlink w:anchor="page_379">
        <w:r>
          <w:rPr>
            <w:color w:val="0000FF" w:themeColor="hyperlink"/>
            <w:u w:val="single"/>
          </w:rPr>
          <w:t>Change the “admin” password</w:t>
        </w:r>
      </w:hyperlink>
    </w:p>
    <w:p>
      <w:pPr>
        <w:pStyle w:val="Normal"/>
        <w:ind w:left="0" w:firstLineChars="0" w:firstLine="0" w:leftChars="1000"/>
      </w:pPr>
      <w:hyperlink w:anchor="page_380">
        <w:r>
          <w:rPr>
            <w:color w:val="0000FF" w:themeColor="hyperlink"/>
            <w:u w:val="single"/>
          </w:rPr>
          <w:t>Add an index</w:t>
        </w:r>
      </w:hyperlink>
    </w:p>
    <w:p>
      <w:pPr>
        <w:pStyle w:val="Normal"/>
        <w:ind w:left="0" w:firstLineChars="0" w:firstLine="0" w:leftChars="1000"/>
      </w:pPr>
      <w:hyperlink w:anchor="page_381">
        <w:r>
          <w:rPr>
            <w:color w:val="0000FF" w:themeColor="hyperlink"/>
            <w:u w:val="single"/>
          </w:rPr>
          <w:t>Add a schema</w:t>
        </w:r>
      </w:hyperlink>
    </w:p>
    <w:p>
      <w:pPr>
        <w:pStyle w:val="Normal"/>
        <w:ind w:left="0" w:firstLineChars="0" w:firstLine="0" w:leftChars="1000"/>
      </w:pPr>
      <w:hyperlink w:anchor="Top_of_index_split_082_html">
        <w:r>
          <w:rPr>
            <w:color w:val="0000FF" w:themeColor="hyperlink"/>
            <w:u w:val="single"/>
          </w:rPr>
          <w:t>Logging</w:t>
        </w:r>
      </w:hyperlink>
    </w:p>
    <w:p>
      <w:pPr>
        <w:pStyle w:val="Normal"/>
        <w:ind w:left="0" w:firstLineChars="0" w:firstLine="0" w:leftChars="1000"/>
      </w:pPr>
      <w:hyperlink w:anchor="Top_of_index_split_082_html">
        <w:r>
          <w:rPr>
            <w:color w:val="0000FF" w:themeColor="hyperlink"/>
            <w:u w:val="single"/>
          </w:rPr>
          <w:t>Example logging with the stats level</w:t>
        </w:r>
      </w:hyperlink>
    </w:p>
    <w:p>
      <w:pPr>
        <w:pStyle w:val="Normal"/>
        <w:ind w:left="0" w:firstLineChars="0" w:firstLine="0" w:leftChars="1000"/>
      </w:pPr>
      <w:hyperlink w:anchor="Top_of_index_split_083_html">
        <w:r>
          <w:rPr>
            <w:color w:val="0000FF" w:themeColor="hyperlink"/>
            <w:u w:val="single"/>
          </w:rPr>
          <w:t>Next steps</w:t>
        </w:r>
      </w:hyperlink>
    </w:p>
    <w:p>
      <w:pPr>
        <w:pStyle w:val="Normal"/>
        <w:ind w:left="0" w:firstLineChars="0" w:firstLine="0" w:leftChars="1000"/>
      </w:pPr>
      <w:hyperlink w:anchor="Top_of_index_split_083_html">
        <w:r>
          <w:rPr>
            <w:color w:val="0000FF" w:themeColor="hyperlink"/>
            <w:u w:val="single"/>
          </w:rPr>
          <w:t>Set up LDAP access control</w:t>
        </w:r>
      </w:hyperlink>
    </w:p>
    <w:p>
      <w:pPr>
        <w:pStyle w:val="Normal"/>
        <w:ind w:left="0" w:firstLineChars="0" w:firstLine="0" w:leftChars="1000"/>
      </w:pPr>
      <w:hyperlink w:anchor="Top_of_index_split_083_html">
        <w:r>
          <w:rPr>
            <w:color w:val="0000FF" w:themeColor="hyperlink"/>
            <w:u w:val="single"/>
          </w:rPr>
          <w:t>Getting the ACLs</w:t>
        </w:r>
      </w:hyperlink>
    </w:p>
    <w:p>
      <w:pPr>
        <w:pStyle w:val="Normal"/>
        <w:ind w:left="0" w:firstLineChars="0" w:firstLine="0" w:leftChars="1000"/>
      </w:pPr>
      <w:hyperlink w:anchor="Top_of_index_split_084_html">
        <w:r>
          <w:rPr>
            <w:color w:val="0000FF" w:themeColor="hyperlink"/>
            <w:u w:val="single"/>
          </w:rPr>
          <w:t>Interpreting the results</w:t>
        </w:r>
      </w:hyperlink>
    </w:p>
    <w:p>
      <w:pPr>
        <w:pStyle w:val="Normal"/>
        <w:ind w:left="0" w:firstLineChars="0" w:firstLine="0" w:leftChars="1000"/>
      </w:pPr>
      <w:hyperlink w:anchor="Top_of_index_split_085_html">
        <w:r>
          <w:rPr>
            <w:color w:val="0000FF" w:themeColor="hyperlink"/>
            <w:u w:val="single"/>
          </w:rPr>
          <w:t>SASL identity</w:t>
        </w:r>
      </w:hyperlink>
    </w:p>
    <w:p>
      <w:pPr>
        <w:pStyle w:val="Normal"/>
        <w:ind w:left="0" w:firstLineChars="0" w:firstLine="0" w:leftChars="1000"/>
      </w:pPr>
      <w:hyperlink w:anchor="Top_of_index_split_085_html">
        <w:r>
          <w:rPr>
            <w:color w:val="0000FF" w:themeColor="hyperlink"/>
            <w:u w:val="single"/>
          </w:rPr>
          <w:t>Next steps</w:t>
        </w:r>
      </w:hyperlink>
    </w:p>
    <w:p>
      <w:pPr>
        <w:pStyle w:val="Normal"/>
        <w:ind w:left="0" w:firstLineChars="0" w:firstLine="0" w:leftChars="1000"/>
      </w:pPr>
      <w:hyperlink w:anchor="Top_of_index_split_085_html">
        <w:r>
          <w:rPr>
            <w:color w:val="0000FF" w:themeColor="hyperlink"/>
            <w:u w:val="single"/>
          </w:rPr>
          <w:t>Further reading</w:t>
        </w:r>
      </w:hyperlink>
    </w:p>
    <w:p>
      <w:pPr>
        <w:pStyle w:val="Normal"/>
        <w:ind w:left="0" w:firstLineChars="0" w:firstLine="0" w:leftChars="1000"/>
      </w:pPr>
      <w:hyperlink w:anchor="Top_of_index_split_086_html">
        <w:r>
          <w:rPr>
            <w:color w:val="0000FF" w:themeColor="hyperlink"/>
            <w:u w:val="single"/>
          </w:rPr>
          <w:t>OpenLDAP replication</w:t>
        </w:r>
      </w:hyperlink>
    </w:p>
    <w:p>
      <w:pPr>
        <w:pStyle w:val="Normal"/>
        <w:ind w:left="0" w:firstLineChars="0" w:firstLine="0" w:leftChars="1000"/>
      </w:pPr>
      <w:hyperlink w:anchor="Top_of_index_split_086_html">
        <w:r>
          <w:rPr>
            <w:color w:val="0000FF" w:themeColor="hyperlink"/>
            <w:u w:val="single"/>
          </w:rPr>
          <w:t>Provider configuration - replication user</w:t>
        </w:r>
      </w:hyperlink>
    </w:p>
    <w:p>
      <w:pPr>
        <w:pStyle w:val="Normal"/>
        <w:ind w:left="0" w:firstLineChars="0" w:firstLine="0" w:leftChars="1000"/>
      </w:pPr>
      <w:hyperlink w:anchor="Top_of_index_split_087_html">
        <w:r>
          <w:rPr>
            <w:color w:val="0000FF" w:themeColor="hyperlink"/>
            <w:u w:val="single"/>
          </w:rPr>
          <w:t>Provider configuration - standard replication</w:t>
        </w:r>
      </w:hyperlink>
    </w:p>
    <w:p>
      <w:pPr>
        <w:pStyle w:val="Normal"/>
        <w:ind w:left="0" w:firstLineChars="0" w:firstLine="0" w:leftChars="1000"/>
      </w:pPr>
      <w:hyperlink w:anchor="Top_of_index_split_088_html">
        <w:r>
          <w:rPr>
            <w:color w:val="0000FF" w:themeColor="hyperlink"/>
            <w:u w:val="single"/>
          </w:rPr>
          <w:t>Consumer configuration - standard replication</w:t>
        </w:r>
      </w:hyperlink>
    </w:p>
    <w:p>
      <w:pPr>
        <w:pStyle w:val="Normal"/>
        <w:ind w:left="0" w:firstLineChars="0" w:firstLine="0" w:leftChars="1000"/>
      </w:pPr>
      <w:hyperlink w:anchor="page_390">
        <w:r>
          <w:rPr>
            <w:color w:val="0000FF" w:themeColor="hyperlink"/>
            <w:u w:val="single"/>
          </w:rPr>
          <w:t>Provider configuration - delta replication</w:t>
        </w:r>
      </w:hyperlink>
    </w:p>
    <w:p>
      <w:pPr>
        <w:pStyle w:val="Normal"/>
        <w:ind w:left="0" w:firstLineChars="0" w:firstLine="0" w:leftChars="1000"/>
      </w:pPr>
      <w:hyperlink w:anchor="page_390">
        <w:r>
          <w:rPr>
            <w:color w:val="0000FF" w:themeColor="hyperlink"/>
            <w:u w:val="single"/>
          </w:rPr>
          <w:t>Add syncprov and accesslog overlays and DBs</w:t>
        </w:r>
      </w:hyperlink>
    </w:p>
    <w:p>
      <w:pPr>
        <w:pStyle w:val="Normal"/>
        <w:ind w:left="0" w:firstLineChars="0" w:firstLine="0" w:leftChars="1000"/>
      </w:pPr>
      <w:hyperlink w:anchor="page_391">
        <w:r>
          <w:rPr>
            <w:color w:val="0000FF" w:themeColor="hyperlink"/>
            <w:u w:val="single"/>
          </w:rPr>
          <w:t>Consumer configuration</w:t>
        </w:r>
      </w:hyperlink>
    </w:p>
    <w:p>
      <w:pPr>
        <w:pStyle w:val="Normal"/>
        <w:ind w:left="0" w:firstLineChars="0" w:firstLine="0" w:leftChars="1000"/>
      </w:pPr>
      <w:hyperlink w:anchor="page_393">
        <w:r>
          <w:rPr>
            <w:color w:val="0000FF" w:themeColor="hyperlink"/>
            <w:u w:val="single"/>
          </w:rPr>
          <w:t>Testing</w:t>
        </w:r>
      </w:hyperlink>
    </w:p>
    <w:p>
      <w:pPr>
        <w:pStyle w:val="Normal"/>
        <w:ind w:left="0" w:firstLineChars="0" w:firstLine="0" w:leftChars="1000"/>
      </w:pPr>
      <w:hyperlink w:anchor="page_393">
        <w:r>
          <w:rPr>
            <w:color w:val="0000FF" w:themeColor="hyperlink"/>
            <w:u w:val="single"/>
          </w:rPr>
          <w:t>References</w:t>
        </w:r>
      </w:hyperlink>
    </w:p>
    <w:p>
      <w:pPr>
        <w:pStyle w:val="Normal"/>
        <w:ind w:left="0" w:firstLineChars="0" w:firstLine="0" w:leftChars="1000"/>
      </w:pPr>
      <w:hyperlink w:anchor="page_393">
        <w:r>
          <w:rPr>
            <w:color w:val="0000FF" w:themeColor="hyperlink"/>
            <w:u w:val="single"/>
          </w:rPr>
          <w:t>How to set up LDAP users and groups</w:t>
        </w:r>
      </w:hyperlink>
    </w:p>
    <w:p>
      <w:pPr>
        <w:pStyle w:val="Normal"/>
        <w:ind w:left="0" w:firstLineChars="0" w:firstLine="0" w:leftChars="1000"/>
      </w:pPr>
      <w:hyperlink w:anchor="page_394">
        <w:r>
          <w:rPr>
            <w:color w:val="0000FF" w:themeColor="hyperlink"/>
            <w:u w:val="single"/>
          </w:rPr>
          <w:t>User and group management - ldapscripts</w:t>
        </w:r>
      </w:hyperlink>
    </w:p>
    <w:p>
      <w:pPr>
        <w:pStyle w:val="Normal"/>
        <w:ind w:left="0" w:firstLineChars="0" w:firstLine="0" w:leftChars="1000"/>
      </w:pPr>
      <w:hyperlink w:anchor="page_394">
        <w:r>
          <w:rPr>
            <w:color w:val="0000FF" w:themeColor="hyperlink"/>
            <w:u w:val="single"/>
          </w:rPr>
          <w:t>Install ldapscripts</w:t>
        </w:r>
      </w:hyperlink>
    </w:p>
    <w:p>
      <w:pPr>
        <w:pStyle w:val="Normal"/>
        <w:ind w:left="0" w:firstLineChars="0" w:firstLine="0" w:leftChars="1000"/>
      </w:pPr>
      <w:hyperlink w:anchor="Top_of_index_split_089_html">
        <w:r>
          <w:rPr>
            <w:color w:val="0000FF" w:themeColor="hyperlink"/>
            <w:u w:val="single"/>
          </w:rPr>
          <w:t>Manage users and groups with ldapscripts</w:t>
        </w:r>
      </w:hyperlink>
    </w:p>
    <w:p>
      <w:pPr>
        <w:pStyle w:val="Normal"/>
        <w:ind w:left="0" w:firstLineChars="0" w:firstLine="0" w:leftChars="1000"/>
      </w:pPr>
      <w:hyperlink w:anchor="Top_of_index_split_089_html">
        <w:r>
          <w:rPr>
            <w:color w:val="0000FF" w:themeColor="hyperlink"/>
            <w:u w:val="single"/>
          </w:rPr>
          <w:t>Create a new user</w:t>
        </w:r>
      </w:hyperlink>
    </w:p>
    <w:p>
      <w:pPr>
        <w:pStyle w:val="Normal"/>
        <w:ind w:left="0" w:firstLineChars="0" w:firstLine="0" w:leftChars="1000"/>
      </w:pPr>
      <w:hyperlink w:anchor="Top_of_index_split_089_html">
        <w:r>
          <w:rPr>
            <w:color w:val="0000FF" w:themeColor="hyperlink"/>
            <w:u w:val="single"/>
          </w:rPr>
          <w:t>Change a user’s password</w:t>
        </w:r>
      </w:hyperlink>
    </w:p>
    <w:p>
      <w:pPr>
        <w:pStyle w:val="Normal"/>
        <w:ind w:left="0" w:firstLineChars="0" w:firstLine="0" w:leftChars="1000"/>
      </w:pPr>
      <w:hyperlink w:anchor="Top_of_index_split_089_html">
        <w:r>
          <w:rPr>
            <w:color w:val="0000FF" w:themeColor="hyperlink"/>
            <w:u w:val="single"/>
          </w:rPr>
          <w:t>Delete a user</w:t>
        </w:r>
      </w:hyperlink>
    </w:p>
    <w:p>
      <w:pPr>
        <w:pStyle w:val="Normal"/>
        <w:ind w:left="0" w:firstLineChars="0" w:firstLine="0" w:leftChars="1000"/>
      </w:pPr>
      <w:hyperlink w:anchor="Top_of_index_split_089_html">
        <w:r>
          <w:rPr>
            <w:color w:val="0000FF" w:themeColor="hyperlink"/>
            <w:u w:val="single"/>
          </w:rPr>
          <w:t>Add a group</w:t>
        </w:r>
      </w:hyperlink>
    </w:p>
    <w:p>
      <w:pPr>
        <w:pStyle w:val="Normal"/>
        <w:ind w:left="0" w:firstLineChars="0" w:firstLine="0" w:leftChars="1000"/>
      </w:pPr>
      <w:hyperlink w:anchor="Top_of_index_split_089_html">
        <w:r>
          <w:rPr>
            <w:color w:val="0000FF" w:themeColor="hyperlink"/>
            <w:u w:val="single"/>
          </w:rPr>
          <w:t>Delete a group</w:t>
        </w:r>
      </w:hyperlink>
    </w:p>
    <w:p>
      <w:pPr>
        <w:pStyle w:val="Normal"/>
        <w:ind w:left="0" w:firstLineChars="0" w:firstLine="0" w:leftChars="1000"/>
      </w:pPr>
      <w:hyperlink w:anchor="Top_of_index_split_090_html">
        <w:r>
          <w:rPr>
            <w:color w:val="0000FF" w:themeColor="hyperlink"/>
            <w:u w:val="single"/>
          </w:rPr>
          <w:t>Add a user to a group</w:t>
        </w:r>
      </w:hyperlink>
    </w:p>
    <w:p>
      <w:pPr>
        <w:pStyle w:val="Normal"/>
        <w:ind w:left="0" w:firstLineChars="0" w:firstLine="0" w:leftChars="1000"/>
      </w:pPr>
      <w:hyperlink w:anchor="Top_of_index_split_090_html">
        <w:r>
          <w:rPr>
            <w:color w:val="0000FF" w:themeColor="hyperlink"/>
            <w:u w:val="single"/>
          </w:rPr>
          <w:t>Remove a user from a group</w:t>
        </w:r>
      </w:hyperlink>
    </w:p>
    <w:p>
      <w:pPr>
        <w:pStyle w:val="Normal"/>
        <w:ind w:left="0" w:firstLineChars="0" w:firstLine="0" w:leftChars="1000"/>
      </w:pPr>
      <w:hyperlink w:anchor="Top_of_index_split_090_html">
        <w:r>
          <w:rPr>
            <w:color w:val="0000FF" w:themeColor="hyperlink"/>
            <w:u w:val="single"/>
          </w:rPr>
          <w:t>Manage user attributes with ldapmodifyuser</w:t>
        </w:r>
      </w:hyperlink>
    </w:p>
    <w:p>
      <w:pPr>
        <w:pStyle w:val="Normal"/>
        <w:ind w:left="0" w:firstLineChars="0" w:firstLine="0" w:leftChars="1000"/>
      </w:pPr>
      <w:hyperlink w:anchor="Top_of_index_split_090_html">
        <w:r>
          <w:rPr>
            <w:color w:val="0000FF" w:themeColor="hyperlink"/>
            <w:u w:val="single"/>
          </w:rPr>
          <w:t>ldapscripts templates</w:t>
        </w:r>
      </w:hyperlink>
    </w:p>
    <w:p>
      <w:pPr>
        <w:pStyle w:val="Normal"/>
        <w:ind w:left="0" w:firstLineChars="0" w:firstLine="0" w:leftChars="1000"/>
      </w:pPr>
      <w:hyperlink w:anchor="page_397">
        <w:r>
          <w:rPr>
            <w:color w:val="0000FF" w:themeColor="hyperlink"/>
            <w:u w:val="single"/>
          </w:rPr>
          <w:t>Next steps</w:t>
        </w:r>
      </w:hyperlink>
    </w:p>
    <w:p>
      <w:pPr>
        <w:pStyle w:val="Normal"/>
        <w:ind w:left="0" w:firstLineChars="0" w:firstLine="0" w:leftChars="1000"/>
      </w:pPr>
      <w:hyperlink w:anchor="page_397">
        <w:r>
          <w:rPr>
            <w:color w:val="0000FF" w:themeColor="hyperlink"/>
            <w:u w:val="single"/>
          </w:rPr>
          <w:t>LDAP and Transport Layer Security (TLS)</w:t>
        </w:r>
      </w:hyperlink>
    </w:p>
    <w:p>
      <w:pPr>
        <w:pStyle w:val="Normal"/>
        <w:ind w:left="0" w:firstLineChars="0" w:firstLine="0" w:leftChars="1000"/>
      </w:pPr>
      <w:hyperlink w:anchor="page_401">
        <w:r>
          <w:rPr>
            <w:color w:val="0000FF" w:themeColor="hyperlink"/>
            <w:u w:val="single"/>
          </w:rPr>
          <w:t>Backup and restore OpenLDAP</w:t>
        </w:r>
      </w:hyperlink>
    </w:p>
    <w:p>
      <w:pPr>
        <w:pStyle w:val="Normal"/>
        <w:ind w:left="0" w:firstLineChars="0" w:firstLine="0" w:leftChars="1000"/>
      </w:pPr>
      <w:hyperlink w:anchor="page_402">
        <w:r>
          <w:rPr>
            <w:color w:val="0000FF" w:themeColor="hyperlink"/>
            <w:u w:val="single"/>
          </w:rPr>
          <w:t>How to configure OpenLDAP with passthrough authentication</w:t>
        </w:r>
      </w:hyperlink>
    </w:p>
    <w:p>
      <w:pPr>
        <w:pStyle w:val="Normal"/>
        <w:ind w:left="0" w:firstLineChars="0" w:firstLine="0" w:leftChars="1000"/>
      </w:pPr>
      <w:hyperlink w:anchor="page_402">
        <w:r>
          <w:rPr>
            <w:color w:val="0000FF" w:themeColor="hyperlink"/>
            <w:u w:val="single"/>
          </w:rPr>
          <w:t>Background</w:t>
        </w:r>
      </w:hyperlink>
    </w:p>
    <w:p>
      <w:pPr>
        <w:pStyle w:val="Normal"/>
        <w:ind w:left="0" w:firstLineChars="0" w:firstLine="0" w:leftChars="1000"/>
      </w:pPr>
      <w:hyperlink w:anchor="page_403">
        <w:r>
          <w:rPr>
            <w:color w:val="0000FF" w:themeColor="hyperlink"/>
            <w:u w:val="single"/>
          </w:rPr>
          <w:t>What is passthrough authentication</w:t>
        </w:r>
      </w:hyperlink>
    </w:p>
    <w:p>
      <w:pPr>
        <w:pStyle w:val="Normal"/>
        <w:ind w:left="0" w:firstLineChars="0" w:firstLine="0" w:leftChars="1000"/>
      </w:pPr>
      <w:hyperlink w:anchor="Top_of_index_split_091_html">
        <w:r>
          <w:rPr>
            <w:color w:val="0000FF" w:themeColor="hyperlink"/>
            <w:u w:val="single"/>
          </w:rPr>
          <w:t>Saslauthd authentication providers</w:t>
        </w:r>
      </w:hyperlink>
    </w:p>
    <w:p>
      <w:pPr>
        <w:pStyle w:val="Normal"/>
        <w:ind w:left="0" w:firstLineChars="0" w:firstLine="0" w:leftChars="1000"/>
      </w:pPr>
      <w:hyperlink w:anchor="Top_of_index_split_091_html">
        <w:r>
          <w:rPr>
            <w:color w:val="0000FF" w:themeColor="hyperlink"/>
            <w:u w:val="single"/>
          </w:rPr>
          <w:t>Further reading</w:t>
        </w:r>
      </w:hyperlink>
    </w:p>
    <w:p>
      <w:pPr>
        <w:pStyle w:val="Normal"/>
        <w:ind w:left="0" w:firstLineChars="0" w:firstLine="0" w:leftChars="1000"/>
      </w:pPr>
      <w:hyperlink w:anchor="Top_of_index_split_091_html">
        <w:r>
          <w:rPr>
            <w:color w:val="0000FF" w:themeColor="hyperlink"/>
            <w:u w:val="single"/>
          </w:rPr>
          <w:t>How to configure OpenLDAP with passthrough SASL authentication using Kerberos</w:t>
        </w:r>
      </w:hyperlink>
    </w:p>
    <w:p>
      <w:pPr>
        <w:pStyle w:val="Normal"/>
        <w:ind w:left="0" w:firstLineChars="0" w:firstLine="0" w:leftChars="1000"/>
      </w:pPr>
      <w:hyperlink w:anchor="Top_of_index_split_091_html">
        <w:r>
          <w:rPr>
            <w:color w:val="0000FF" w:themeColor="hyperlink"/>
            <w:u w:val="single"/>
          </w:rPr>
          <w:t>Before you begin</w:t>
        </w:r>
      </w:hyperlink>
    </w:p>
    <w:p>
      <w:pPr>
        <w:pStyle w:val="Normal"/>
        <w:ind w:left="0" w:firstLineChars="0" w:firstLine="0" w:leftChars="1000"/>
      </w:pPr>
      <w:hyperlink w:anchor="Top_of_index_split_092_html">
        <w:r>
          <w:rPr>
            <w:color w:val="0000FF" w:themeColor="hyperlink"/>
            <w:u w:val="single"/>
          </w:rPr>
          <w:t>How the passthrough authentication will work</w:t>
        </w:r>
      </w:hyperlink>
    </w:p>
    <w:p>
      <w:pPr>
        <w:pStyle w:val="Normal"/>
        <w:ind w:left="0" w:firstLineChars="0" w:firstLine="0" w:leftChars="1000"/>
      </w:pPr>
      <w:hyperlink w:anchor="page_406">
        <w:r>
          <w:rPr>
            <w:color w:val="0000FF" w:themeColor="hyperlink"/>
            <w:u w:val="single"/>
          </w:rPr>
          <w:t>Package installation</w:t>
        </w:r>
      </w:hyperlink>
    </w:p>
    <w:p>
      <w:pPr>
        <w:pStyle w:val="Normal"/>
        <w:ind w:left="0" w:firstLineChars="0" w:firstLine="0" w:leftChars="1000"/>
      </w:pPr>
      <w:hyperlink w:anchor="page_406">
        <w:r>
          <w:rPr>
            <w:color w:val="0000FF" w:themeColor="hyperlink"/>
            <w:u w:val="single"/>
          </w:rPr>
          <w:t>Check the hostname</w:t>
        </w:r>
      </w:hyperlink>
    </w:p>
    <w:p>
      <w:pPr>
        <w:pStyle w:val="Normal"/>
        <w:ind w:left="0" w:firstLineChars="0" w:firstLine="0" w:leftChars="1000"/>
      </w:pPr>
      <w:hyperlink w:anchor="page_406">
        <w:r>
          <w:rPr>
            <w:color w:val="0000FF" w:themeColor="hyperlink"/>
            <w:u w:val="single"/>
          </w:rPr>
          <w:t>Create the saslauthd principal</w:t>
        </w:r>
      </w:hyperlink>
    </w:p>
    <w:p>
      <w:pPr>
        <w:pStyle w:val="Normal"/>
        <w:ind w:left="0" w:firstLineChars="0" w:firstLine="0" w:leftChars="1000"/>
      </w:pPr>
      <w:hyperlink w:anchor="page_407">
        <w:r>
          <w:rPr>
            <w:color w:val="0000FF" w:themeColor="hyperlink"/>
            <w:u w:val="single"/>
          </w:rPr>
          <w:t>Configure saslauthd</w:t>
        </w:r>
      </w:hyperlink>
    </w:p>
    <w:p>
      <w:pPr>
        <w:pStyle w:val="Normal"/>
        <w:ind w:left="0" w:firstLineChars="0" w:firstLine="0" w:leftChars="1000"/>
      </w:pPr>
      <w:hyperlink w:anchor="page_408">
        <w:r>
          <w:rPr>
            <w:color w:val="0000FF" w:themeColor="hyperlink"/>
            <w:u w:val="single"/>
          </w:rPr>
          <w:t>Enable and start saslauthd</w:t>
        </w:r>
      </w:hyperlink>
    </w:p>
    <w:p>
      <w:pPr>
        <w:pStyle w:val="Normal"/>
        <w:ind w:left="0" w:firstLineChars="0" w:firstLine="0" w:leftChars="1000"/>
      </w:pPr>
      <w:hyperlink w:anchor="page_408">
        <w:r>
          <w:rPr>
            <w:color w:val="0000FF" w:themeColor="hyperlink"/>
            <w:u w:val="single"/>
          </w:rPr>
          <w:t>Test saslauthd configuration</w:t>
        </w:r>
      </w:hyperlink>
    </w:p>
    <w:p>
      <w:pPr>
        <w:pStyle w:val="Normal"/>
        <w:ind w:left="0" w:firstLineChars="0" w:firstLine="0" w:leftChars="1000"/>
      </w:pPr>
      <w:hyperlink w:anchor="page_409">
        <w:r>
          <w:rPr>
            <w:color w:val="0000FF" w:themeColor="hyperlink"/>
            <w:u w:val="single"/>
          </w:rPr>
          <w:t>Configure OpenLDAP</w:t>
        </w:r>
      </w:hyperlink>
    </w:p>
    <w:p>
      <w:pPr>
        <w:pStyle w:val="Normal"/>
        <w:ind w:left="0" w:firstLineChars="0" w:firstLine="0" w:leftChars="1000"/>
      </w:pPr>
      <w:hyperlink w:anchor="page_409">
        <w:r>
          <w:rPr>
            <w:color w:val="0000FF" w:themeColor="hyperlink"/>
            <w:u w:val="single"/>
          </w:rPr>
          <w:t>Change the userPassword attribute</w:t>
        </w:r>
      </w:hyperlink>
    </w:p>
    <w:p>
      <w:pPr>
        <w:pStyle w:val="Normal"/>
        <w:ind w:left="0" w:firstLineChars="0" w:firstLine="0" w:leftChars="1000"/>
      </w:pPr>
      <w:hyperlink w:anchor="Top_of_index_split_093_html">
        <w:r>
          <w:rPr>
            <w:color w:val="0000FF" w:themeColor="hyperlink"/>
            <w:u w:val="single"/>
          </w:rPr>
          <w:t>Test the authentication</w:t>
        </w:r>
      </w:hyperlink>
    </w:p>
    <w:p>
      <w:pPr>
        <w:pStyle w:val="Normal"/>
        <w:ind w:left="0" w:firstLineChars="0" w:firstLine="0" w:leftChars="1000"/>
      </w:pPr>
      <w:hyperlink w:anchor="Top_of_index_split_094_html">
        <w:r>
          <w:rPr>
            <w:color w:val="0000FF" w:themeColor="hyperlink"/>
            <w:u w:val="single"/>
          </w:rPr>
          <w:t>Troubleshooting</w:t>
        </w:r>
      </w:hyperlink>
    </w:p>
    <w:p>
      <w:pPr>
        <w:pStyle w:val="Normal"/>
        <w:ind w:left="0" w:firstLineChars="0" w:firstLine="0" w:leftChars="1000"/>
      </w:pPr>
      <w:hyperlink w:anchor="Top_of_index_split_094_html">
        <w:r>
          <w:rPr>
            <w:color w:val="0000FF" w:themeColor="hyperlink"/>
            <w:u w:val="single"/>
          </w:rPr>
          <w:t>Advanced options</w:t>
        </w:r>
      </w:hyperlink>
    </w:p>
    <w:p>
      <w:pPr>
        <w:pStyle w:val="Normal"/>
        <w:ind w:left="0" w:firstLineChars="0" w:firstLine="0" w:leftChars="1000"/>
      </w:pPr>
      <w:hyperlink w:anchor="Top_of_index_split_094_html">
        <w:r>
          <w:rPr>
            <w:color w:val="0000FF" w:themeColor="hyperlink"/>
            <w:u w:val="single"/>
          </w:rPr>
          <w:t>Further reading</w:t>
        </w:r>
      </w:hyperlink>
    </w:p>
    <w:p>
      <w:pPr>
        <w:pStyle w:val="Normal"/>
        <w:ind w:left="0" w:firstLineChars="0" w:firstLine="0" w:leftChars="1000"/>
      </w:pPr>
      <w:hyperlink w:anchor="Top_of_index_split_095_html">
        <w:r>
          <w:rPr>
            <w:color w:val="0000FF" w:themeColor="hyperlink"/>
            <w:u w:val="single"/>
          </w:rPr>
          <w:t>See also</w:t>
        </w:r>
      </w:hyperlink>
    </w:p>
    <w:p>
      <w:pPr>
        <w:pStyle w:val="Normal"/>
        <w:ind w:left="0" w:firstLineChars="0" w:firstLine="0" w:leftChars="1000"/>
      </w:pPr>
      <w:hyperlink w:anchor="Top_of_index_split_095_html">
        <w:r>
          <w:rPr>
            <w:color w:val="0000FF" w:themeColor="hyperlink"/>
            <w:u w:val="single"/>
          </w:rPr>
          <w:t>Databases</w:t>
        </w:r>
      </w:hyperlink>
    </w:p>
    <w:p>
      <w:pPr>
        <w:pStyle w:val="Normal"/>
        <w:ind w:left="0" w:firstLineChars="0" w:firstLine="0" w:leftChars="1000"/>
      </w:pPr>
      <w:hyperlink w:anchor="Top_of_index_split_095_html">
        <w:r>
          <w:rPr>
            <w:color w:val="0000FF" w:themeColor="hyperlink"/>
            <w:u w:val="single"/>
          </w:rPr>
          <w:t>Install and configure a MySQL server</w:t>
        </w:r>
      </w:hyperlink>
    </w:p>
    <w:p>
      <w:pPr>
        <w:pStyle w:val="Normal"/>
        <w:ind w:left="0" w:firstLineChars="0" w:firstLine="0" w:leftChars="1000"/>
      </w:pPr>
      <w:hyperlink w:anchor="Top_of_index_split_095_html">
        <w:r>
          <w:rPr>
            <w:color w:val="0000FF" w:themeColor="hyperlink"/>
            <w:u w:val="single"/>
          </w:rPr>
          <w:t>Install MySQL</w:t>
        </w:r>
      </w:hyperlink>
    </w:p>
    <w:p>
      <w:pPr>
        <w:pStyle w:val="Normal"/>
        <w:ind w:left="0" w:firstLineChars="0" w:firstLine="0" w:leftChars="1000"/>
      </w:pPr>
      <w:hyperlink w:anchor="page_413">
        <w:r>
          <w:rPr>
            <w:color w:val="0000FF" w:themeColor="hyperlink"/>
            <w:u w:val="single"/>
          </w:rPr>
          <w:t>Configure MySQL</w:t>
        </w:r>
      </w:hyperlink>
    </w:p>
    <w:p>
      <w:pPr>
        <w:pStyle w:val="Normal"/>
        <w:ind w:left="0" w:firstLineChars="0" w:firstLine="0" w:leftChars="1000"/>
      </w:pPr>
      <w:hyperlink w:anchor="page_413">
        <w:r>
          <w:rPr>
            <w:color w:val="0000FF" w:themeColor="hyperlink"/>
            <w:u w:val="single"/>
          </w:rPr>
          <w:t>User setup</w:t>
        </w:r>
      </w:hyperlink>
    </w:p>
    <w:p>
      <w:pPr>
        <w:pStyle w:val="Normal"/>
        <w:ind w:left="0" w:firstLineChars="0" w:firstLine="0" w:leftChars="1000"/>
      </w:pPr>
      <w:hyperlink w:anchor="Top_of_index_split_096_html">
        <w:r>
          <w:rPr>
            <w:color w:val="0000FF" w:themeColor="hyperlink"/>
            <w:u w:val="single"/>
          </w:rPr>
          <w:t>Create a new user</w:t>
        </w:r>
      </w:hyperlink>
    </w:p>
    <w:p>
      <w:pPr>
        <w:pStyle w:val="Normal"/>
        <w:ind w:left="0" w:firstLineChars="0" w:firstLine="0" w:leftChars="1000"/>
      </w:pPr>
      <w:hyperlink w:anchor="Top_of_index_split_096_html">
        <w:r>
          <w:rPr>
            <w:color w:val="0000FF" w:themeColor="hyperlink"/>
            <w:u w:val="single"/>
          </w:rPr>
          <w:t>Adding user permissions</w:t>
        </w:r>
      </w:hyperlink>
    </w:p>
    <w:p>
      <w:pPr>
        <w:pStyle w:val="Normal"/>
        <w:ind w:left="0" w:firstLineChars="0" w:firstLine="0" w:leftChars="1000"/>
      </w:pPr>
      <w:hyperlink w:anchor="Top_of_index_split_096_html">
        <w:r>
          <w:rPr>
            <w:color w:val="0000FF" w:themeColor="hyperlink"/>
            <w:u w:val="single"/>
          </w:rPr>
          <w:t>Database engines</w:t>
        </w:r>
      </w:hyperlink>
    </w:p>
    <w:p>
      <w:pPr>
        <w:pStyle w:val="Normal"/>
        <w:ind w:left="0" w:firstLineChars="0" w:firstLine="0" w:leftChars="1000"/>
      </w:pPr>
      <w:hyperlink w:anchor="page_415">
        <w:r>
          <w:rPr>
            <w:color w:val="0000FF" w:themeColor="hyperlink"/>
            <w:u w:val="single"/>
          </w:rPr>
          <w:t>InnoDB</w:t>
        </w:r>
      </w:hyperlink>
    </w:p>
    <w:p>
      <w:pPr>
        <w:pStyle w:val="Normal"/>
        <w:ind w:left="0" w:firstLineChars="0" w:firstLine="0" w:leftChars="1000"/>
      </w:pPr>
      <w:hyperlink w:anchor="page_415">
        <w:r>
          <w:rPr>
            <w:color w:val="0000FF" w:themeColor="hyperlink"/>
            <w:u w:val="single"/>
          </w:rPr>
          <w:t>MyISAM</w:t>
        </w:r>
      </w:hyperlink>
    </w:p>
    <w:p>
      <w:pPr>
        <w:pStyle w:val="Normal"/>
        <w:ind w:left="0" w:firstLineChars="0" w:firstLine="0" w:leftChars="1000"/>
      </w:pPr>
      <w:hyperlink w:anchor="page_415">
        <w:r>
          <w:rPr>
            <w:color w:val="0000FF" w:themeColor="hyperlink"/>
            <w:u w:val="single"/>
          </w:rPr>
          <w:t>Backups</w:t>
        </w:r>
      </w:hyperlink>
    </w:p>
    <w:p>
      <w:pPr>
        <w:pStyle w:val="Normal"/>
        <w:ind w:left="0" w:firstLineChars="0" w:firstLine="0" w:leftChars="1000"/>
      </w:pPr>
      <w:hyperlink w:anchor="page_416">
        <w:r>
          <w:rPr>
            <w:color w:val="0000FF" w:themeColor="hyperlink"/>
            <w:u w:val="single"/>
          </w:rPr>
          <w:t>mysqldump</w:t>
        </w:r>
      </w:hyperlink>
    </w:p>
    <w:p>
      <w:pPr>
        <w:pStyle w:val="Normal"/>
        <w:ind w:left="0" w:firstLineChars="0" w:firstLine="0" w:leftChars="1000"/>
      </w:pPr>
      <w:hyperlink w:anchor="page_416">
        <w:r>
          <w:rPr>
            <w:color w:val="0000FF" w:themeColor="hyperlink"/>
            <w:u w:val="single"/>
          </w:rPr>
          <w:t>MySQL Shell Dump Utility</w:t>
        </w:r>
      </w:hyperlink>
    </w:p>
    <w:p>
      <w:pPr>
        <w:pStyle w:val="Normal"/>
        <w:ind w:left="0" w:firstLineChars="0" w:firstLine="0" w:leftChars="1000"/>
      </w:pPr>
      <w:hyperlink w:anchor="page_417">
        <w:r>
          <w:rPr>
            <w:color w:val="0000FF" w:themeColor="hyperlink"/>
            <w:u w:val="single"/>
          </w:rPr>
          <w:t>Percona Xtrabackup</w:t>
        </w:r>
      </w:hyperlink>
    </w:p>
    <w:p>
      <w:pPr>
        <w:pStyle w:val="Normal"/>
        <w:ind w:left="0" w:firstLineChars="0" w:firstLine="0" w:leftChars="1000"/>
      </w:pPr>
      <w:hyperlink w:anchor="page_417">
        <w:r>
          <w:rPr>
            <w:color w:val="0000FF" w:themeColor="hyperlink"/>
            <w:u w:val="single"/>
          </w:rPr>
          <w:t>Advanced configuration</w:t>
        </w:r>
      </w:hyperlink>
    </w:p>
    <w:p>
      <w:pPr>
        <w:pStyle w:val="Normal"/>
        <w:ind w:left="0" w:firstLineChars="0" w:firstLine="0" w:leftChars="1000"/>
      </w:pPr>
      <w:hyperlink w:anchor="page_417">
        <w:r>
          <w:rPr>
            <w:color w:val="0000FF" w:themeColor="hyperlink"/>
            <w:u w:val="single"/>
          </w:rPr>
          <w:t>Creating a tuned configuration</w:t>
        </w:r>
      </w:hyperlink>
    </w:p>
    <w:p>
      <w:pPr>
        <w:pStyle w:val="Normal"/>
        <w:ind w:left="0" w:firstLineChars="0" w:firstLine="0" w:leftChars="1000"/>
      </w:pPr>
      <w:hyperlink w:anchor="page_418">
        <w:r>
          <w:rPr>
            <w:color w:val="0000FF" w:themeColor="hyperlink"/>
            <w:u w:val="single"/>
          </w:rPr>
          <w:t>MySQL Tuner</w:t>
        </w:r>
      </w:hyperlink>
    </w:p>
    <w:p>
      <w:pPr>
        <w:pStyle w:val="Normal"/>
        <w:ind w:left="0" w:firstLineChars="0" w:firstLine="0" w:leftChars="1000"/>
      </w:pPr>
      <w:hyperlink w:anchor="page_419">
        <w:r>
          <w:rPr>
            <w:color w:val="0000FF" w:themeColor="hyperlink"/>
            <w:u w:val="single"/>
          </w:rPr>
          <w:t>Further reading</w:t>
        </w:r>
      </w:hyperlink>
    </w:p>
    <w:p>
      <w:pPr>
        <w:pStyle w:val="Normal"/>
        <w:ind w:left="0" w:firstLineChars="0" w:firstLine="0" w:leftChars="1000"/>
      </w:pPr>
      <w:hyperlink w:anchor="Top_of_index_split_097_html">
        <w:r>
          <w:rPr>
            <w:color w:val="0000FF" w:themeColor="hyperlink"/>
            <w:u w:val="single"/>
          </w:rPr>
          <w:t>Install and configure PostgreSQL</w:t>
        </w:r>
      </w:hyperlink>
    </w:p>
    <w:p>
      <w:pPr>
        <w:pStyle w:val="Normal"/>
        <w:ind w:left="0" w:firstLineChars="0" w:firstLine="0" w:leftChars="1000"/>
      </w:pPr>
      <w:hyperlink w:anchor="Top_of_index_split_097_html">
        <w:r>
          <w:rPr>
            <w:color w:val="0000FF" w:themeColor="hyperlink"/>
            <w:u w:val="single"/>
          </w:rPr>
          <w:t>Install PostgreSQL</w:t>
        </w:r>
      </w:hyperlink>
    </w:p>
    <w:p>
      <w:pPr>
        <w:pStyle w:val="Normal"/>
        <w:ind w:left="0" w:firstLineChars="0" w:firstLine="0" w:leftChars="1000"/>
      </w:pPr>
      <w:hyperlink w:anchor="Top_of_index_split_097_html">
        <w:r>
          <w:rPr>
            <w:color w:val="0000FF" w:themeColor="hyperlink"/>
            <w:u w:val="single"/>
          </w:rPr>
          <w:t>Configure PostgreSQL</w:t>
        </w:r>
      </w:hyperlink>
    </w:p>
    <w:p>
      <w:pPr>
        <w:pStyle w:val="Normal"/>
        <w:ind w:left="0" w:firstLineChars="0" w:firstLine="0" w:leftChars="1000"/>
      </w:pPr>
      <w:hyperlink w:anchor="Top_of_index_split_098_html">
        <w:r>
          <w:rPr>
            <w:color w:val="0000FF" w:themeColor="hyperlink"/>
            <w:u w:val="single"/>
          </w:rPr>
          <w:t>Streaming replication</w:t>
        </w:r>
      </w:hyperlink>
    </w:p>
    <w:p>
      <w:pPr>
        <w:pStyle w:val="Normal"/>
        <w:ind w:left="0" w:firstLineChars="0" w:firstLine="0" w:leftChars="1000"/>
      </w:pPr>
      <w:hyperlink w:anchor="page_423">
        <w:r>
          <w:rPr>
            <w:color w:val="0000FF" w:themeColor="hyperlink"/>
            <w:u w:val="single"/>
          </w:rPr>
          <w:t>Backups</w:t>
        </w:r>
      </w:hyperlink>
    </w:p>
    <w:p>
      <w:pPr>
        <w:pStyle w:val="Normal"/>
        <w:ind w:left="0" w:firstLineChars="0" w:firstLine="0" w:leftChars="1000"/>
      </w:pPr>
      <w:hyperlink w:anchor="page_423">
        <w:r>
          <w:rPr>
            <w:color w:val="0000FF" w:themeColor="hyperlink"/>
            <w:u w:val="single"/>
          </w:rPr>
          <w:t>Further reading</w:t>
        </w:r>
      </w:hyperlink>
    </w:p>
    <w:p>
      <w:pPr>
        <w:pStyle w:val="Normal"/>
        <w:ind w:left="0" w:firstLineChars="0" w:firstLine="0" w:leftChars="1000"/>
      </w:pPr>
      <w:hyperlink w:anchor="page_424">
        <w:r>
          <w:rPr>
            <w:color w:val="0000FF" w:themeColor="hyperlink"/>
            <w:u w:val="single"/>
          </w:rPr>
          <w:t>See also</w:t>
        </w:r>
      </w:hyperlink>
    </w:p>
    <w:p>
      <w:pPr>
        <w:pStyle w:val="Normal"/>
        <w:ind w:left="0" w:firstLineChars="0" w:firstLine="0" w:leftChars="800"/>
      </w:pPr>
      <w:hyperlink w:anchor="page_424">
        <w:r>
          <w:rPr>
            <w:color w:val="0000FF" w:themeColor="hyperlink"/>
            <w:u w:val="single"/>
          </w:rPr>
          <w:t>Storage and backups</w:t>
        </w:r>
      </w:hyperlink>
    </w:p>
    <w:p>
      <w:pPr>
        <w:pStyle w:val="Normal"/>
        <w:ind w:left="0" w:firstLineChars="0" w:firstLine="0" w:leftChars="1000"/>
      </w:pPr>
      <w:hyperlink w:anchor="page_424">
        <w:r>
          <w:rPr>
            <w:color w:val="0000FF" w:themeColor="hyperlink"/>
            <w:u w:val="single"/>
          </w:rPr>
          <w:t>Storage</w:t>
        </w:r>
      </w:hyperlink>
    </w:p>
    <w:p>
      <w:pPr>
        <w:pStyle w:val="Normal"/>
        <w:ind w:left="0" w:firstLineChars="0" w:firstLine="0" w:leftChars="1000"/>
      </w:pPr>
      <w:hyperlink w:anchor="page_424">
        <w:r>
          <w:rPr>
            <w:color w:val="0000FF" w:themeColor="hyperlink"/>
            <w:u w:val="single"/>
          </w:rPr>
          <w:t>How to manage logical volumes</w:t>
        </w:r>
      </w:hyperlink>
    </w:p>
    <w:p>
      <w:pPr>
        <w:pStyle w:val="Normal"/>
        <w:ind w:left="0" w:firstLineChars="0" w:firstLine="0" w:leftChars="1000"/>
      </w:pPr>
      <w:hyperlink w:anchor="page_424">
        <w:r>
          <w:rPr>
            <w:color w:val="0000FF" w:themeColor="hyperlink"/>
            <w:u w:val="single"/>
          </w:rPr>
          <w:t>Create the physical volume</w:t>
        </w:r>
      </w:hyperlink>
    </w:p>
    <w:p>
      <w:pPr>
        <w:pStyle w:val="Normal"/>
        <w:ind w:left="0" w:firstLineChars="0" w:firstLine="0" w:leftChars="1000"/>
      </w:pPr>
      <w:hyperlink w:anchor="Top_of_index_split_099_html">
        <w:r>
          <w:rPr>
            <w:color w:val="0000FF" w:themeColor="hyperlink"/>
            <w:u w:val="single"/>
          </w:rPr>
          <w:t>Create the volume group</w:t>
        </w:r>
      </w:hyperlink>
    </w:p>
    <w:p>
      <w:pPr>
        <w:pStyle w:val="Normal"/>
        <w:ind w:left="0" w:firstLineChars="0" w:firstLine="0" w:leftChars="1000"/>
      </w:pPr>
      <w:hyperlink w:anchor="Top_of_index_split_099_html">
        <w:r>
          <w:rPr>
            <w:color w:val="0000FF" w:themeColor="hyperlink"/>
            <w:u w:val="single"/>
          </w:rPr>
          <w:t>Create a logical volume</w:t>
        </w:r>
      </w:hyperlink>
    </w:p>
    <w:p>
      <w:pPr>
        <w:pStyle w:val="Normal"/>
        <w:ind w:left="0" w:firstLineChars="0" w:firstLine="0" w:leftChars="1000"/>
      </w:pPr>
      <w:hyperlink w:anchor="Top_of_index_split_099_html">
        <w:r>
          <w:rPr>
            <w:color w:val="0000FF" w:themeColor="hyperlink"/>
            <w:u w:val="single"/>
          </w:rPr>
          <w:t>Resize a partition</w:t>
        </w:r>
      </w:hyperlink>
    </w:p>
    <w:p>
      <w:pPr>
        <w:pStyle w:val="Normal"/>
        <w:ind w:left="0" w:firstLineChars="0" w:firstLine="0" w:leftChars="1000"/>
      </w:pPr>
      <w:hyperlink w:anchor="Top_of_index_split_099_html">
        <w:r>
          <w:rPr>
            <w:color w:val="0000FF" w:themeColor="hyperlink"/>
            <w:u w:val="single"/>
          </w:rPr>
          <w:t>Move a partition</w:t>
        </w:r>
      </w:hyperlink>
    </w:p>
    <w:p>
      <w:pPr>
        <w:pStyle w:val="Normal"/>
        <w:ind w:left="0" w:firstLineChars="0" w:firstLine="0" w:leftChars="1000"/>
      </w:pPr>
      <w:hyperlink w:anchor="page_426">
        <w:r>
          <w:rPr>
            <w:color w:val="0000FF" w:themeColor="hyperlink"/>
            <w:u w:val="single"/>
          </w:rPr>
          <w:t>Create a snapshot</w:t>
        </w:r>
      </w:hyperlink>
    </w:p>
    <w:p>
      <w:pPr>
        <w:pStyle w:val="Normal"/>
        <w:ind w:left="0" w:firstLineChars="0" w:firstLine="0" w:leftChars="1000"/>
      </w:pPr>
      <w:hyperlink w:anchor="Top_of_index_split_100_html">
        <w:r>
          <w:rPr>
            <w:color w:val="0000FF" w:themeColor="hyperlink"/>
            <w:u w:val="single"/>
          </w:rPr>
          <w:t>iSCSI initiator (or client)</w:t>
        </w:r>
      </w:hyperlink>
    </w:p>
    <w:p>
      <w:pPr>
        <w:pStyle w:val="Normal"/>
        <w:ind w:left="0" w:firstLineChars="0" w:firstLine="0" w:leftChars="1000"/>
      </w:pPr>
      <w:hyperlink w:anchor="Top_of_index_split_101_html">
        <w:r>
          <w:rPr>
            <w:color w:val="0000FF" w:themeColor="hyperlink"/>
            <w:u w:val="single"/>
          </w:rPr>
          <w:t>Network Interfaces Configuration</w:t>
        </w:r>
      </w:hyperlink>
    </w:p>
    <w:p>
      <w:pPr>
        <w:pStyle w:val="Normal"/>
        <w:ind w:left="0" w:firstLineChars="0" w:firstLine="0" w:leftChars="1000"/>
      </w:pPr>
      <w:hyperlink w:anchor="page_429">
        <w:r>
          <w:rPr>
            <w:color w:val="0000FF" w:themeColor="hyperlink"/>
            <w:u w:val="single"/>
          </w:rPr>
          <w:t>iSCSI Initiator Install</w:t>
        </w:r>
      </w:hyperlink>
    </w:p>
    <w:p>
      <w:pPr>
        <w:pStyle w:val="Normal"/>
        <w:ind w:left="0" w:firstLineChars="0" w:firstLine="0" w:leftChars="1000"/>
      </w:pPr>
      <w:hyperlink w:anchor="page_429">
        <w:r>
          <w:rPr>
            <w:color w:val="0000FF" w:themeColor="hyperlink"/>
            <w:u w:val="single"/>
          </w:rPr>
          <w:t>iSCSI Initiator Configuration</w:t>
        </w:r>
      </w:hyperlink>
    </w:p>
    <w:p>
      <w:pPr>
        <w:pStyle w:val="Normal"/>
        <w:ind w:left="0" w:firstLineChars="0" w:firstLine="0" w:leftChars="1000"/>
      </w:pPr>
      <w:hyperlink w:anchor="page_430">
        <w:r>
          <w:rPr>
            <w:color w:val="0000FF" w:themeColor="hyperlink"/>
            <w:u w:val="single"/>
          </w:rPr>
          <w:t>iSCSI Network Configuration</w:t>
        </w:r>
      </w:hyperlink>
    </w:p>
    <w:p>
      <w:pPr>
        <w:pStyle w:val="Normal"/>
        <w:ind w:left="0" w:firstLineChars="0" w:firstLine="0" w:leftChars="1000"/>
      </w:pPr>
      <w:hyperlink w:anchor="page_432">
        <w:r>
          <w:rPr>
            <w:color w:val="0000FF" w:themeColor="hyperlink"/>
            <w:u w:val="single"/>
          </w:rPr>
          <w:t>Accessing the Logical Units (or LUNs)</w:t>
        </w:r>
      </w:hyperlink>
    </w:p>
    <w:p>
      <w:pPr>
        <w:pStyle w:val="Normal"/>
        <w:ind w:left="0" w:firstLineChars="0" w:firstLine="0" w:leftChars="1000"/>
      </w:pPr>
      <w:hyperlink w:anchor="page_436">
        <w:r>
          <w:rPr>
            <w:color w:val="0000FF" w:themeColor="hyperlink"/>
            <w:u w:val="single"/>
          </w:rPr>
          <w:t>Further reading</w:t>
        </w:r>
      </w:hyperlink>
    </w:p>
    <w:p>
      <w:pPr>
        <w:pStyle w:val="Normal"/>
        <w:ind w:left="0" w:firstLineChars="0" w:firstLine="0" w:leftChars="1000"/>
      </w:pPr>
      <w:hyperlink w:anchor="page_436">
        <w:r>
          <w:rPr>
            <w:color w:val="0000FF" w:themeColor="hyperlink"/>
            <w:u w:val="single"/>
          </w:rPr>
          <w:t>See also</w:t>
        </w:r>
      </w:hyperlink>
    </w:p>
    <w:p>
      <w:pPr>
        <w:pStyle w:val="Normal"/>
        <w:ind w:left="0" w:firstLineChars="0" w:firstLine="0" w:leftChars="1000"/>
      </w:pPr>
      <w:hyperlink w:anchor="Top_of_index_split_102_html">
        <w:r>
          <w:rPr>
            <w:color w:val="0000FF" w:themeColor="hyperlink"/>
            <w:u w:val="single"/>
          </w:rPr>
          <w:t>Backups and version control</w:t>
        </w:r>
      </w:hyperlink>
    </w:p>
    <w:p>
      <w:pPr>
        <w:pStyle w:val="Normal"/>
        <w:ind w:left="0" w:firstLineChars="0" w:firstLine="0" w:leftChars="1000"/>
      </w:pPr>
      <w:hyperlink w:anchor="Top_of_index_split_102_html">
        <w:r>
          <w:rPr>
            <w:color w:val="0000FF" w:themeColor="hyperlink"/>
            <w:u w:val="single"/>
          </w:rPr>
          <w:t>Backup utilities</w:t>
        </w:r>
      </w:hyperlink>
    </w:p>
    <w:p>
      <w:pPr>
        <w:pStyle w:val="Normal"/>
        <w:ind w:left="0" w:firstLineChars="0" w:firstLine="0" w:leftChars="1000"/>
      </w:pPr>
      <w:hyperlink w:anchor="Top_of_index_split_103_html">
        <w:r>
          <w:rPr>
            <w:color w:val="0000FF" w:themeColor="hyperlink"/>
            <w:u w:val="single"/>
          </w:rPr>
          <w:t>How to install and configure Bacula</w:t>
        </w:r>
      </w:hyperlink>
    </w:p>
    <w:p>
      <w:pPr>
        <w:pStyle w:val="Normal"/>
        <w:ind w:left="0" w:firstLineChars="0" w:firstLine="0" w:leftChars="1000"/>
      </w:pPr>
      <w:hyperlink w:anchor="Top_of_index_split_103_html">
        <w:r>
          <w:rPr>
            <w:color w:val="0000FF" w:themeColor="hyperlink"/>
            <w:u w:val="single"/>
          </w:rPr>
          <w:t>Bacula components</w:t>
        </w:r>
      </w:hyperlink>
    </w:p>
    <w:p>
      <w:pPr>
        <w:pStyle w:val="Normal"/>
        <w:ind w:left="0" w:firstLineChars="0" w:firstLine="0" w:leftChars="1000"/>
      </w:pPr>
      <w:hyperlink w:anchor="Top_of_index_split_103_html">
        <w:r>
          <w:rPr>
            <w:color w:val="0000FF" w:themeColor="hyperlink"/>
            <w:u w:val="single"/>
          </w:rPr>
          <w:t>Installing the Server Components</w:t>
        </w:r>
      </w:hyperlink>
    </w:p>
    <w:p>
      <w:pPr>
        <w:pStyle w:val="Normal"/>
        <w:ind w:left="0" w:firstLineChars="0" w:firstLine="0" w:leftChars="1000"/>
      </w:pPr>
      <w:hyperlink w:anchor="page_439">
        <w:r>
          <w:rPr>
            <w:color w:val="0000FF" w:themeColor="hyperlink"/>
            <w:u w:val="single"/>
          </w:rPr>
          <w:t>Configuring the Server</w:t>
        </w:r>
      </w:hyperlink>
    </w:p>
    <w:p>
      <w:pPr>
        <w:pStyle w:val="Normal"/>
        <w:ind w:left="0" w:firstLineChars="0" w:firstLine="0" w:leftChars="1000"/>
      </w:pPr>
      <w:hyperlink w:anchor="page_439">
        <w:r>
          <w:rPr>
            <w:color w:val="0000FF" w:themeColor="hyperlink"/>
            <w:u w:val="single"/>
          </w:rPr>
          <w:t>Director</w:t>
        </w:r>
      </w:hyperlink>
    </w:p>
    <w:p>
      <w:pPr>
        <w:pStyle w:val="Normal"/>
        <w:ind w:left="0" w:firstLineChars="0" w:firstLine="0" w:leftChars="1000"/>
      </w:pPr>
      <w:hyperlink w:anchor="page_440">
        <w:r>
          <w:rPr>
            <w:color w:val="0000FF" w:themeColor="hyperlink"/>
            <w:u w:val="single"/>
          </w:rPr>
          <w:t>The Director resource</w:t>
        </w:r>
      </w:hyperlink>
    </w:p>
    <w:p>
      <w:pPr>
        <w:pStyle w:val="Normal"/>
        <w:ind w:left="0" w:firstLineChars="0" w:firstLine="0" w:leftChars="1000"/>
      </w:pPr>
      <w:hyperlink w:anchor="Top_of_index_split_104_html">
        <w:r>
          <w:rPr>
            <w:color w:val="0000FF" w:themeColor="hyperlink"/>
            <w:u w:val="single"/>
          </w:rPr>
          <w:t>The FileSet resource</w:t>
        </w:r>
      </w:hyperlink>
    </w:p>
    <w:p>
      <w:pPr>
        <w:pStyle w:val="Normal"/>
        <w:ind w:left="0" w:firstLineChars="0" w:firstLine="0" w:leftChars="1000"/>
      </w:pPr>
      <w:hyperlink w:anchor="Top_of_index_split_105_html">
        <w:r>
          <w:rPr>
            <w:color w:val="0000FF" w:themeColor="hyperlink"/>
            <w:u w:val="single"/>
          </w:rPr>
          <w:t>The Client resource</w:t>
        </w:r>
      </w:hyperlink>
    </w:p>
    <w:p>
      <w:pPr>
        <w:pStyle w:val="Normal"/>
        <w:ind w:left="0" w:firstLineChars="0" w:firstLine="0" w:leftChars="1000"/>
      </w:pPr>
      <w:hyperlink w:anchor="Top_of_index_split_106_html">
        <w:r>
          <w:rPr>
            <w:color w:val="0000FF" w:themeColor="hyperlink"/>
            <w:u w:val="single"/>
          </w:rPr>
          <w:t>The Pool resource</w:t>
        </w:r>
      </w:hyperlink>
    </w:p>
    <w:p>
      <w:pPr>
        <w:pStyle w:val="Normal"/>
        <w:ind w:left="0" w:firstLineChars="0" w:firstLine="0" w:leftChars="1000"/>
      </w:pPr>
      <w:hyperlink w:anchor="Top_of_index_split_106_html">
        <w:r>
          <w:rPr>
            <w:color w:val="0000FF" w:themeColor="hyperlink"/>
            <w:u w:val="single"/>
          </w:rPr>
          <w:t>The Storage resource</w:t>
        </w:r>
      </w:hyperlink>
    </w:p>
    <w:p>
      <w:pPr>
        <w:pStyle w:val="Normal"/>
        <w:ind w:left="0" w:firstLineChars="0" w:firstLine="0" w:leftChars="1000"/>
      </w:pPr>
      <w:hyperlink w:anchor="page_446">
        <w:r>
          <w:rPr>
            <w:color w:val="0000FF" w:themeColor="hyperlink"/>
            <w:u w:val="single"/>
          </w:rPr>
          <w:t>The Job resource</w:t>
        </w:r>
      </w:hyperlink>
    </w:p>
    <w:p>
      <w:pPr>
        <w:pStyle w:val="Normal"/>
        <w:ind w:left="0" w:firstLineChars="0" w:firstLine="0" w:leftChars="1000"/>
      </w:pPr>
      <w:hyperlink w:anchor="page_448">
        <w:r>
          <w:rPr>
            <w:color w:val="0000FF" w:themeColor="hyperlink"/>
            <w:u w:val="single"/>
          </w:rPr>
          <w:t>Storage daemon</w:t>
        </w:r>
      </w:hyperlink>
    </w:p>
    <w:p>
      <w:pPr>
        <w:pStyle w:val="Normal"/>
        <w:ind w:left="0" w:firstLineChars="0" w:firstLine="0" w:leftChars="1000"/>
      </w:pPr>
      <w:hyperlink w:anchor="page_448">
        <w:r>
          <w:rPr>
            <w:color w:val="0000FF" w:themeColor="hyperlink"/>
            <w:u w:val="single"/>
          </w:rPr>
          <w:t>File daemon</w:t>
        </w:r>
      </w:hyperlink>
    </w:p>
    <w:p>
      <w:pPr>
        <w:pStyle w:val="Normal"/>
        <w:ind w:left="0" w:firstLineChars="0" w:firstLine="0" w:leftChars="1000"/>
      </w:pPr>
      <w:hyperlink w:anchor="page_449">
        <w:r>
          <w:rPr>
            <w:color w:val="0000FF" w:themeColor="hyperlink"/>
            <w:u w:val="single"/>
          </w:rPr>
          <w:t>Console</w:t>
        </w:r>
      </w:hyperlink>
    </w:p>
    <w:p>
      <w:pPr>
        <w:pStyle w:val="Normal"/>
        <w:ind w:left="0" w:firstLineChars="0" w:firstLine="0" w:leftChars="1000"/>
      </w:pPr>
      <w:hyperlink w:anchor="page_449">
        <w:r>
          <w:rPr>
            <w:color w:val="0000FF" w:themeColor="hyperlink"/>
            <w:u w:val="single"/>
          </w:rPr>
          <w:t>Cleaning up</w:t>
        </w:r>
      </w:hyperlink>
    </w:p>
    <w:p>
      <w:pPr>
        <w:pStyle w:val="Normal"/>
        <w:ind w:left="0" w:firstLineChars="0" w:firstLine="0" w:leftChars="1000"/>
      </w:pPr>
      <w:hyperlink w:anchor="Top_of_index_split_107_html">
        <w:r>
          <w:rPr>
            <w:color w:val="0000FF" w:themeColor="hyperlink"/>
            <w:u w:val="single"/>
          </w:rPr>
          <w:t>Running a backup job</w:t>
        </w:r>
      </w:hyperlink>
    </w:p>
    <w:p>
      <w:pPr>
        <w:pStyle w:val="Normal"/>
        <w:ind w:left="0" w:firstLineChars="0" w:firstLine="0" w:leftChars="1000"/>
      </w:pPr>
      <w:hyperlink w:anchor="page_452">
        <w:r>
          <w:rPr>
            <w:color w:val="0000FF" w:themeColor="hyperlink"/>
            <w:u w:val="single"/>
          </w:rPr>
          <w:t>Restoring a backup</w:t>
        </w:r>
      </w:hyperlink>
    </w:p>
    <w:p>
      <w:pPr>
        <w:pStyle w:val="Normal"/>
        <w:ind w:left="0" w:firstLineChars="0" w:firstLine="0" w:leftChars="1000"/>
      </w:pPr>
      <w:hyperlink w:anchor="page_455">
        <w:r>
          <w:rPr>
            <w:color w:val="0000FF" w:themeColor="hyperlink"/>
            <w:u w:val="single"/>
          </w:rPr>
          <w:t>Adding a client</w:t>
        </w:r>
      </w:hyperlink>
    </w:p>
    <w:p>
      <w:pPr>
        <w:pStyle w:val="Normal"/>
        <w:ind w:left="0" w:firstLineChars="0" w:firstLine="0" w:leftChars="1000"/>
      </w:pPr>
      <w:hyperlink w:anchor="Top_of_index_split_108_html">
        <w:r>
          <w:rPr>
            <w:color w:val="0000FF" w:themeColor="hyperlink"/>
            <w:u w:val="single"/>
          </w:rPr>
          <w:t>Further reading</w:t>
        </w:r>
      </w:hyperlink>
    </w:p>
    <w:p>
      <w:pPr>
        <w:pStyle w:val="Normal"/>
        <w:ind w:left="0" w:firstLineChars="0" w:firstLine="0" w:leftChars="1000"/>
      </w:pPr>
      <w:hyperlink w:anchor="Top_of_index_split_108_html">
        <w:r>
          <w:rPr>
            <w:color w:val="0000FF" w:themeColor="hyperlink"/>
            <w:u w:val="single"/>
          </w:rPr>
          <w:t>How to install and configure rsnapshot</w:t>
        </w:r>
      </w:hyperlink>
    </w:p>
    <w:p>
      <w:pPr>
        <w:pStyle w:val="Normal"/>
        <w:ind w:left="0" w:firstLineChars="0" w:firstLine="0" w:leftChars="1000"/>
      </w:pPr>
      <w:hyperlink w:anchor="Top_of_index_split_108_html">
        <w:r>
          <w:rPr>
            <w:color w:val="0000FF" w:themeColor="hyperlink"/>
            <w:u w:val="single"/>
          </w:rPr>
          <w:t>Install rsnapshot</w:t>
        </w:r>
      </w:hyperlink>
    </w:p>
    <w:p>
      <w:pPr>
        <w:pStyle w:val="Normal"/>
        <w:ind w:left="0" w:firstLineChars="0" w:firstLine="0" w:leftChars="1000"/>
      </w:pPr>
      <w:hyperlink w:anchor="Top_of_index_split_108_html">
        <w:r>
          <w:rPr>
            <w:color w:val="0000FF" w:themeColor="hyperlink"/>
            <w:u w:val="single"/>
          </w:rPr>
          <w:t>Configure rsnapshot</w:t>
        </w:r>
      </w:hyperlink>
    </w:p>
    <w:p>
      <w:pPr>
        <w:pStyle w:val="Normal"/>
        <w:ind w:left="0" w:firstLineChars="0" w:firstLine="0" w:leftChars="1000"/>
      </w:pPr>
      <w:hyperlink w:anchor="Top_of_index_split_108_html">
        <w:r>
          <w:rPr>
            <w:color w:val="0000FF" w:themeColor="hyperlink"/>
            <w:u w:val="single"/>
          </w:rPr>
          <w:t>Number of backups to keep</w:t>
        </w:r>
      </w:hyperlink>
    </w:p>
    <w:p>
      <w:pPr>
        <w:pStyle w:val="Normal"/>
        <w:ind w:left="0" w:firstLineChars="0" w:firstLine="0" w:leftChars="1000"/>
      </w:pPr>
      <w:hyperlink w:anchor="page_459">
        <w:r>
          <w:rPr>
            <w:color w:val="0000FF" w:themeColor="hyperlink"/>
            <w:u w:val="single"/>
          </w:rPr>
          <w:t>Remote machine access</w:t>
        </w:r>
      </w:hyperlink>
    </w:p>
    <w:p>
      <w:pPr>
        <w:pStyle w:val="Normal"/>
        <w:ind w:left="0" w:firstLineChars="0" w:firstLine="0" w:leftChars="1000"/>
      </w:pPr>
      <w:hyperlink w:anchor="page_459">
        <w:r>
          <w:rPr>
            <w:color w:val="0000FF" w:themeColor="hyperlink"/>
            <w:u w:val="single"/>
          </w:rPr>
          <w:t>What to backup</w:t>
        </w:r>
      </w:hyperlink>
    </w:p>
    <w:p>
      <w:pPr>
        <w:pStyle w:val="Normal"/>
        <w:ind w:left="0" w:firstLineChars="0" w:firstLine="0" w:leftChars="1000"/>
      </w:pPr>
      <w:hyperlink w:anchor="page_459">
        <w:r>
          <w:rPr>
            <w:color w:val="0000FF" w:themeColor="hyperlink"/>
            <w:u w:val="single"/>
          </w:rPr>
          <w:t>Test configuration</w:t>
        </w:r>
      </w:hyperlink>
    </w:p>
    <w:p>
      <w:pPr>
        <w:pStyle w:val="Normal"/>
        <w:ind w:left="0" w:firstLineChars="0" w:firstLine="0" w:leftChars="1000"/>
      </w:pPr>
      <w:hyperlink w:anchor="Top_of_index_split_109_html">
        <w:r>
          <w:rPr>
            <w:color w:val="0000FF" w:themeColor="hyperlink"/>
            <w:u w:val="single"/>
          </w:rPr>
          <w:t>Scheduling backups</w:t>
        </w:r>
      </w:hyperlink>
    </w:p>
    <w:p>
      <w:pPr>
        <w:pStyle w:val="Normal"/>
        <w:ind w:left="0" w:firstLineChars="0" w:firstLine="0" w:leftChars="1000"/>
      </w:pPr>
      <w:hyperlink w:anchor="Top_of_index_split_109_html">
        <w:r>
          <w:rPr>
            <w:color w:val="0000FF" w:themeColor="hyperlink"/>
            <w:u w:val="single"/>
          </w:rPr>
          <w:t>Further reading</w:t>
        </w:r>
      </w:hyperlink>
    </w:p>
    <w:p>
      <w:pPr>
        <w:pStyle w:val="Normal"/>
        <w:ind w:left="0" w:firstLineChars="0" w:firstLine="0" w:leftChars="1000"/>
      </w:pPr>
      <w:hyperlink w:anchor="Top_of_index_split_109_html">
        <w:r>
          <w:rPr>
            <w:color w:val="0000FF" w:themeColor="hyperlink"/>
            <w:u w:val="single"/>
          </w:rPr>
          <w:t>Shell scripts</w:t>
        </w:r>
      </w:hyperlink>
    </w:p>
    <w:p>
      <w:pPr>
        <w:pStyle w:val="Normal"/>
        <w:ind w:left="0" w:firstLineChars="0" w:firstLine="0" w:leftChars="1000"/>
      </w:pPr>
      <w:hyperlink w:anchor="Top_of_index_split_110_html">
        <w:r>
          <w:rPr>
            <w:color w:val="0000FF" w:themeColor="hyperlink"/>
            <w:u w:val="single"/>
          </w:rPr>
          <w:t>How to back up using shell scripts</w:t>
        </w:r>
      </w:hyperlink>
    </w:p>
    <w:p>
      <w:pPr>
        <w:pStyle w:val="Normal"/>
        <w:ind w:left="0" w:firstLineChars="0" w:firstLine="0" w:leftChars="1000"/>
      </w:pPr>
      <w:hyperlink w:anchor="Top_of_index_split_110_html">
        <w:r>
          <w:rPr>
            <w:color w:val="0000FF" w:themeColor="hyperlink"/>
            <w:u w:val="single"/>
          </w:rPr>
          <w:t>The shell script</w:t>
        </w:r>
      </w:hyperlink>
    </w:p>
    <w:p>
      <w:pPr>
        <w:pStyle w:val="Normal"/>
        <w:ind w:left="0" w:firstLineChars="0" w:firstLine="0" w:leftChars="1000"/>
      </w:pPr>
      <w:hyperlink w:anchor="page_462">
        <w:r>
          <w:rPr>
            <w:color w:val="0000FF" w:themeColor="hyperlink"/>
            <w:u w:val="single"/>
          </w:rPr>
          <w:t>Running the script</w:t>
        </w:r>
      </w:hyperlink>
    </w:p>
    <w:p>
      <w:pPr>
        <w:pStyle w:val="Normal"/>
        <w:ind w:left="0" w:firstLineChars="0" w:firstLine="0" w:leftChars="1000"/>
      </w:pPr>
      <w:hyperlink w:anchor="page_462">
        <w:r>
          <w:rPr>
            <w:color w:val="0000FF" w:themeColor="hyperlink"/>
            <w:u w:val="single"/>
          </w:rPr>
          <w:t>Run from a terminal</w:t>
        </w:r>
      </w:hyperlink>
    </w:p>
    <w:p>
      <w:pPr>
        <w:pStyle w:val="Normal"/>
        <w:ind w:left="0" w:firstLineChars="0" w:firstLine="0" w:leftChars="1000"/>
      </w:pPr>
      <w:hyperlink w:anchor="Top_of_index_split_111_html">
        <w:r>
          <w:rPr>
            <w:color w:val="0000FF" w:themeColor="hyperlink"/>
            <w:u w:val="single"/>
          </w:rPr>
          <w:t>Run with cron</w:t>
        </w:r>
      </w:hyperlink>
    </w:p>
    <w:p>
      <w:pPr>
        <w:pStyle w:val="Normal"/>
        <w:ind w:left="0" w:firstLineChars="0" w:firstLine="0" w:leftChars="1000"/>
      </w:pPr>
      <w:hyperlink w:anchor="Top_of_index_split_112_html">
        <w:r>
          <w:rPr>
            <w:color w:val="0000FF" w:themeColor="hyperlink"/>
            <w:u w:val="single"/>
          </w:rPr>
          <w:t>Restoring from the archive</w:t>
        </w:r>
      </w:hyperlink>
    </w:p>
    <w:p>
      <w:pPr>
        <w:pStyle w:val="Normal"/>
        <w:ind w:left="0" w:firstLineChars="0" w:firstLine="0" w:leftChars="1000"/>
      </w:pPr>
      <w:hyperlink w:anchor="Top_of_index_split_112_html">
        <w:r>
          <w:rPr>
            <w:color w:val="0000FF" w:themeColor="hyperlink"/>
            <w:u w:val="single"/>
          </w:rPr>
          <w:t>Archive rotation shell script</w:t>
        </w:r>
      </w:hyperlink>
    </w:p>
    <w:p>
      <w:pPr>
        <w:pStyle w:val="Normal"/>
        <w:ind w:left="0" w:firstLineChars="0" w:firstLine="0" w:leftChars="1000"/>
      </w:pPr>
      <w:hyperlink w:anchor="Top_of_index_split_112_html">
        <w:r>
          <w:rPr>
            <w:color w:val="0000FF" w:themeColor="hyperlink"/>
            <w:u w:val="single"/>
          </w:rPr>
          <w:t>Rotating NFS archives</w:t>
        </w:r>
      </w:hyperlink>
    </w:p>
    <w:p>
      <w:pPr>
        <w:pStyle w:val="Normal"/>
        <w:ind w:left="0" w:firstLineChars="0" w:firstLine="0" w:leftChars="1000"/>
      </w:pPr>
      <w:hyperlink w:anchor="page_466">
        <w:r>
          <w:rPr>
            <w:color w:val="0000FF" w:themeColor="hyperlink"/>
            <w:u w:val="single"/>
          </w:rPr>
          <w:t>Backing up to tape drives</w:t>
        </w:r>
      </w:hyperlink>
    </w:p>
    <w:p>
      <w:pPr>
        <w:pStyle w:val="Normal"/>
        <w:ind w:left="0" w:firstLineChars="0" w:firstLine="0" w:leftChars="1000"/>
      </w:pPr>
      <w:hyperlink w:anchor="page_467">
        <w:r>
          <w:rPr>
            <w:color w:val="0000FF" w:themeColor="hyperlink"/>
            <w:u w:val="single"/>
          </w:rPr>
          <w:t>Further reading</w:t>
        </w:r>
      </w:hyperlink>
    </w:p>
    <w:p>
      <w:pPr>
        <w:pStyle w:val="Normal"/>
        <w:ind w:left="0" w:firstLineChars="0" w:firstLine="0" w:leftChars="1000"/>
      </w:pPr>
      <w:hyperlink w:anchor="page_467">
        <w:r>
          <w:rPr>
            <w:color w:val="0000FF" w:themeColor="hyperlink"/>
            <w:u w:val="single"/>
          </w:rPr>
          <w:t>Version control</w:t>
        </w:r>
      </w:hyperlink>
    </w:p>
    <w:p>
      <w:pPr>
        <w:pStyle w:val="Normal"/>
        <w:ind w:left="0" w:firstLineChars="0" w:firstLine="0" w:leftChars="1000"/>
      </w:pPr>
      <w:hyperlink w:anchor="page_468">
        <w:r>
          <w:rPr>
            <w:color w:val="0000FF" w:themeColor="hyperlink"/>
            <w:u w:val="single"/>
          </w:rPr>
          <w:t>etckeeper</w:t>
        </w:r>
      </w:hyperlink>
    </w:p>
    <w:p>
      <w:pPr>
        <w:pStyle w:val="Normal"/>
        <w:ind w:left="0" w:firstLineChars="0" w:firstLine="0" w:leftChars="1000"/>
      </w:pPr>
      <w:hyperlink w:anchor="page_468">
        <w:r>
          <w:rPr>
            <w:color w:val="0000FF" w:themeColor="hyperlink"/>
            <w:u w:val="single"/>
          </w:rPr>
          <w:t>Install etckeeper</w:t>
        </w:r>
      </w:hyperlink>
    </w:p>
    <w:p>
      <w:pPr>
        <w:pStyle w:val="Normal"/>
        <w:ind w:left="0" w:firstLineChars="0" w:firstLine="0" w:leftChars="1000"/>
      </w:pPr>
      <w:hyperlink w:anchor="page_468">
        <w:r>
          <w:rPr>
            <w:color w:val="0000FF" w:themeColor="hyperlink"/>
            <w:u w:val="single"/>
          </w:rPr>
          <w:t>Initialize etckeeper</w:t>
        </w:r>
      </w:hyperlink>
    </w:p>
    <w:p>
      <w:pPr>
        <w:pStyle w:val="Normal"/>
        <w:ind w:left="0" w:firstLineChars="0" w:firstLine="0" w:leftChars="1000"/>
      </w:pPr>
      <w:hyperlink w:anchor="page_468">
        <w:r>
          <w:rPr>
            <w:color w:val="0000FF" w:themeColor="hyperlink"/>
            <w:u w:val="single"/>
          </w:rPr>
          <w:t>Configure autocommit frequency</w:t>
        </w:r>
      </w:hyperlink>
    </w:p>
    <w:p>
      <w:pPr>
        <w:pStyle w:val="Normal"/>
        <w:ind w:left="0" w:firstLineChars="0" w:firstLine="0" w:leftChars="1000"/>
      </w:pPr>
      <w:hyperlink w:anchor="Top_of_index_split_113_html">
        <w:r>
          <w:rPr>
            <w:color w:val="0000FF" w:themeColor="hyperlink"/>
            <w:u w:val="single"/>
          </w:rPr>
          <w:t>Resources</w:t>
        </w:r>
      </w:hyperlink>
    </w:p>
    <w:p>
      <w:pPr>
        <w:pStyle w:val="Normal"/>
        <w:ind w:left="0" w:firstLineChars="0" w:firstLine="0" w:leftChars="1000"/>
      </w:pPr>
      <w:hyperlink w:anchor="Top_of_index_split_113_html">
        <w:r>
          <w:rPr>
            <w:color w:val="0000FF" w:themeColor="hyperlink"/>
            <w:u w:val="single"/>
          </w:rPr>
          <w:t>How to set up Gitolite</w:t>
        </w:r>
      </w:hyperlink>
    </w:p>
    <w:p>
      <w:pPr>
        <w:pStyle w:val="Normal"/>
        <w:ind w:left="0" w:firstLineChars="0" w:firstLine="0" w:leftChars="1000"/>
      </w:pPr>
      <w:hyperlink w:anchor="Top_of_index_split_113_html">
        <w:r>
          <w:rPr>
            <w:color w:val="0000FF" w:themeColor="hyperlink"/>
            <w:u w:val="single"/>
          </w:rPr>
          <w:t>Install a Gitolite server</w:t>
        </w:r>
      </w:hyperlink>
    </w:p>
    <w:p>
      <w:pPr>
        <w:pStyle w:val="Normal"/>
        <w:ind w:left="0" w:firstLineChars="0" w:firstLine="0" w:leftChars="1000"/>
      </w:pPr>
      <w:hyperlink w:anchor="Top_of_index_split_113_html">
        <w:r>
          <w:rPr>
            <w:color w:val="0000FF" w:themeColor="hyperlink"/>
            <w:u w:val="single"/>
          </w:rPr>
          <w:t>Configure Gitolite</w:t>
        </w:r>
      </w:hyperlink>
    </w:p>
    <w:p>
      <w:pPr>
        <w:pStyle w:val="Normal"/>
        <w:ind w:left="0" w:firstLineChars="0" w:firstLine="0" w:leftChars="1000"/>
      </w:pPr>
      <w:hyperlink w:anchor="page_471">
        <w:r>
          <w:rPr>
            <w:color w:val="0000FF" w:themeColor="hyperlink"/>
            <w:u w:val="single"/>
          </w:rPr>
          <w:t>Managing Gitolite users and repositories</w:t>
        </w:r>
      </w:hyperlink>
    </w:p>
    <w:p>
      <w:pPr>
        <w:pStyle w:val="Normal"/>
        <w:ind w:left="0" w:firstLineChars="0" w:firstLine="0" w:leftChars="1000"/>
      </w:pPr>
      <w:hyperlink w:anchor="page_472">
        <w:r>
          <w:rPr>
            <w:color w:val="0000FF" w:themeColor="hyperlink"/>
            <w:u w:val="single"/>
          </w:rPr>
          <w:t>Adding a Gitolite user</w:t>
        </w:r>
      </w:hyperlink>
    </w:p>
    <w:p>
      <w:pPr>
        <w:pStyle w:val="Normal"/>
        <w:ind w:left="0" w:firstLineChars="0" w:firstLine="0" w:leftChars="1000"/>
      </w:pPr>
      <w:hyperlink w:anchor="page_472">
        <w:r>
          <w:rPr>
            <w:color w:val="0000FF" w:themeColor="hyperlink"/>
            <w:u w:val="single"/>
          </w:rPr>
          <w:t>Deleting a Gitolite user</w:t>
        </w:r>
      </w:hyperlink>
    </w:p>
    <w:p>
      <w:pPr>
        <w:pStyle w:val="Normal"/>
        <w:ind w:left="0" w:firstLineChars="0" w:firstLine="0" w:leftChars="1000"/>
      </w:pPr>
      <w:hyperlink w:anchor="page_472">
        <w:r>
          <w:rPr>
            <w:color w:val="0000FF" w:themeColor="hyperlink"/>
            <w:u w:val="single"/>
          </w:rPr>
          <w:t>Managing repositories</w:t>
        </w:r>
      </w:hyperlink>
    </w:p>
    <w:p>
      <w:pPr>
        <w:pStyle w:val="Normal"/>
        <w:ind w:left="0" w:firstLineChars="0" w:firstLine="0" w:leftChars="1000"/>
      </w:pPr>
      <w:hyperlink w:anchor="page_472">
        <w:r>
          <w:rPr>
            <w:color w:val="0000FF" w:themeColor="hyperlink"/>
            <w:u w:val="single"/>
          </w:rPr>
          <w:t>Example configuration</w:t>
        </w:r>
      </w:hyperlink>
    </w:p>
    <w:p>
      <w:pPr>
        <w:pStyle w:val="Normal"/>
        <w:ind w:left="0" w:firstLineChars="0" w:firstLine="0" w:leftChars="1000"/>
      </w:pPr>
      <w:hyperlink w:anchor="page_473">
        <w:r>
          <w:rPr>
            <w:color w:val="0000FF" w:themeColor="hyperlink"/>
            <w:u w:val="single"/>
          </w:rPr>
          <w:t>Using your server</w:t>
        </w:r>
      </w:hyperlink>
    </w:p>
    <w:p>
      <w:pPr>
        <w:pStyle w:val="Normal"/>
        <w:ind w:left="0" w:firstLineChars="0" w:firstLine="0" w:leftChars="1000"/>
      </w:pPr>
      <w:hyperlink w:anchor="page_473">
        <w:r>
          <w:rPr>
            <w:color w:val="0000FF" w:themeColor="hyperlink"/>
            <w:u w:val="single"/>
          </w:rPr>
          <w:t>Further reading</w:t>
        </w:r>
      </w:hyperlink>
    </w:p>
    <w:p>
      <w:pPr>
        <w:pStyle w:val="Normal"/>
        <w:ind w:left="0" w:firstLineChars="0" w:firstLine="0" w:leftChars="1000"/>
      </w:pPr>
      <w:hyperlink w:anchor="page_473">
        <w:r>
          <w:rPr>
            <w:color w:val="0000FF" w:themeColor="hyperlink"/>
            <w:u w:val="single"/>
          </w:rPr>
          <w:t>See also</w:t>
        </w:r>
      </w:hyperlink>
    </w:p>
    <w:p>
      <w:pPr>
        <w:pStyle w:val="Normal"/>
        <w:ind w:left="0" w:firstLineChars="0" w:firstLine="0" w:leftChars="800"/>
      </w:pPr>
      <w:hyperlink w:anchor="page_473">
        <w:r>
          <w:rPr>
            <w:color w:val="0000FF" w:themeColor="hyperlink"/>
            <w:u w:val="single"/>
          </w:rPr>
          <w:t>See also</w:t>
        </w:r>
      </w:hyperlink>
    </w:p>
    <w:p>
      <w:pPr>
        <w:pStyle w:val="Normal"/>
        <w:ind w:left="0" w:firstLineChars="0" w:firstLine="0" w:leftChars="400"/>
      </w:pPr>
      <w:hyperlink w:anchor="Top_of_index_split_114_html">
        <w:r>
          <w:rPr>
            <w:color w:val="0000FF" w:themeColor="hyperlink"/>
            <w:u w:val="single"/>
          </w:rPr>
          <w:t>Mail services</w:t>
        </w:r>
      </w:hyperlink>
    </w:p>
    <w:p>
      <w:pPr>
        <w:pStyle w:val="Normal"/>
        <w:ind w:left="0" w:firstLineChars="0" w:firstLine="0" w:leftChars="600"/>
      </w:pPr>
      <w:hyperlink w:anchor="Top_of_index_split_114_html">
        <w:r>
          <w:rPr>
            <w:color w:val="0000FF" w:themeColor="hyperlink"/>
            <w:u w:val="single"/>
          </w:rPr>
          <w:t>Mail services</w:t>
        </w:r>
      </w:hyperlink>
    </w:p>
    <w:p>
      <w:pPr>
        <w:pStyle w:val="Normal"/>
        <w:ind w:left="0" w:firstLineChars="0" w:firstLine="0" w:leftChars="800"/>
      </w:pPr>
      <w:hyperlink w:anchor="Top_of_index_split_114_html">
        <w:r>
          <w:rPr>
            <w:color w:val="0000FF" w:themeColor="hyperlink"/>
            <w:u w:val="single"/>
          </w:rPr>
          <w:t>Mail User Agent</w:t>
        </w:r>
      </w:hyperlink>
    </w:p>
    <w:p>
      <w:pPr>
        <w:pStyle w:val="Normal"/>
        <w:ind w:left="0" w:firstLineChars="0" w:firstLine="0" w:leftChars="800"/>
      </w:pPr>
      <w:hyperlink w:anchor="Top_of_index_split_114_html">
        <w:r>
          <w:rPr>
            <w:color w:val="0000FF" w:themeColor="hyperlink"/>
            <w:u w:val="single"/>
          </w:rPr>
          <w:t>Mail Transfer Agent</w:t>
        </w:r>
      </w:hyperlink>
    </w:p>
    <w:p>
      <w:pPr>
        <w:pStyle w:val="Normal"/>
        <w:ind w:left="0" w:firstLineChars="0" w:firstLine="0" w:leftChars="1000"/>
      </w:pPr>
      <w:hyperlink w:anchor="Top_of_index_split_115_html">
        <w:r>
          <w:rPr>
            <w:color w:val="0000FF" w:themeColor="hyperlink"/>
            <w:u w:val="single"/>
          </w:rPr>
          <w:t>Install and configure Postfix</w:t>
        </w:r>
      </w:hyperlink>
    </w:p>
    <w:p>
      <w:pPr>
        <w:pStyle w:val="Normal"/>
        <w:ind w:left="0" w:firstLineChars="0" w:firstLine="0" w:leftChars="1000"/>
      </w:pPr>
      <w:hyperlink w:anchor="Top_of_index_split_115_html">
        <w:r>
          <w:rPr>
            <w:color w:val="0000FF" w:themeColor="hyperlink"/>
            <w:u w:val="single"/>
          </w:rPr>
          <w:t>Install Postfix</w:t>
        </w:r>
      </w:hyperlink>
    </w:p>
    <w:p>
      <w:pPr>
        <w:pStyle w:val="Normal"/>
        <w:ind w:left="0" w:firstLineChars="0" w:firstLine="0" w:leftChars="1000"/>
      </w:pPr>
      <w:hyperlink w:anchor="Top_of_index_split_115_html">
        <w:r>
          <w:rPr>
            <w:color w:val="0000FF" w:themeColor="hyperlink"/>
            <w:u w:val="single"/>
          </w:rPr>
          <w:t>Configure Postfix</w:t>
        </w:r>
      </w:hyperlink>
    </w:p>
    <w:p>
      <w:pPr>
        <w:pStyle w:val="Normal"/>
        <w:ind w:left="0" w:firstLineChars="0" w:firstLine="0" w:leftChars="1000"/>
      </w:pPr>
      <w:hyperlink w:anchor="page_476">
        <w:r>
          <w:rPr>
            <w:color w:val="0000FF" w:themeColor="hyperlink"/>
            <w:u w:val="single"/>
          </w:rPr>
          <w:t>Configure mailbox format</w:t>
        </w:r>
      </w:hyperlink>
    </w:p>
    <w:p>
      <w:pPr>
        <w:pStyle w:val="Normal"/>
        <w:ind w:left="0" w:firstLineChars="0" w:firstLine="0" w:leftChars="1000"/>
      </w:pPr>
      <w:hyperlink w:anchor="page_476">
        <w:r>
          <w:rPr>
            <w:color w:val="0000FF" w:themeColor="hyperlink"/>
            <w:u w:val="single"/>
          </w:rPr>
          <w:t>SMTP authentication</w:t>
        </w:r>
      </w:hyperlink>
    </w:p>
    <w:p>
      <w:pPr>
        <w:pStyle w:val="Normal"/>
        <w:ind w:left="0" w:firstLineChars="0" w:firstLine="0" w:leftChars="1000"/>
      </w:pPr>
      <w:hyperlink w:anchor="page_476">
        <w:r>
          <w:rPr>
            <w:color w:val="0000FF" w:themeColor="hyperlink"/>
            <w:u w:val="single"/>
          </w:rPr>
          <w:t>Configure SMTP authentication</w:t>
        </w:r>
      </w:hyperlink>
    </w:p>
    <w:p>
      <w:pPr>
        <w:pStyle w:val="Normal"/>
        <w:ind w:left="0" w:firstLineChars="0" w:firstLine="0" w:leftChars="1000"/>
      </w:pPr>
      <w:hyperlink w:anchor="page_477">
        <w:r>
          <w:rPr>
            <w:color w:val="0000FF" w:themeColor="hyperlink"/>
            <w:u w:val="single"/>
          </w:rPr>
          <w:t>Configure TLS</w:t>
        </w:r>
      </w:hyperlink>
    </w:p>
    <w:p>
      <w:pPr>
        <w:pStyle w:val="Normal"/>
        <w:ind w:left="0" w:firstLineChars="0" w:firstLine="0" w:leftChars="1000"/>
      </w:pPr>
      <w:hyperlink w:anchor="page_477">
        <w:r>
          <w:rPr>
            <w:color w:val="0000FF" w:themeColor="hyperlink"/>
            <w:u w:val="single"/>
          </w:rPr>
          <w:t>Outcome of initial configuration</w:t>
        </w:r>
      </w:hyperlink>
    </w:p>
    <w:p>
      <w:pPr>
        <w:pStyle w:val="Normal"/>
        <w:ind w:left="0" w:firstLineChars="0" w:firstLine="0" w:leftChars="1000"/>
      </w:pPr>
      <w:hyperlink w:anchor="page_478">
        <w:r>
          <w:rPr>
            <w:color w:val="0000FF" w:themeColor="hyperlink"/>
            <w:u w:val="single"/>
          </w:rPr>
          <w:t>SASL</w:t>
        </w:r>
      </w:hyperlink>
    </w:p>
    <w:p>
      <w:pPr>
        <w:pStyle w:val="Normal"/>
        <w:ind w:left="0" w:firstLineChars="0" w:firstLine="0" w:leftChars="1000"/>
      </w:pPr>
      <w:hyperlink w:anchor="page_478">
        <w:r>
          <w:rPr>
            <w:color w:val="0000FF" w:themeColor="hyperlink"/>
            <w:u w:val="single"/>
          </w:rPr>
          <w:t>Configure SASL</w:t>
        </w:r>
      </w:hyperlink>
    </w:p>
    <w:p>
      <w:pPr>
        <w:pStyle w:val="Normal"/>
        <w:ind w:left="0" w:firstLineChars="0" w:firstLine="0" w:leftChars="1000"/>
      </w:pPr>
      <w:hyperlink w:anchor="page_479">
        <w:r>
          <w:rPr>
            <w:color w:val="0000FF" w:themeColor="hyperlink"/>
            <w:u w:val="single"/>
          </w:rPr>
          <w:t>Test your setup</w:t>
        </w:r>
      </w:hyperlink>
    </w:p>
    <w:p>
      <w:pPr>
        <w:pStyle w:val="Normal"/>
        <w:ind w:left="0" w:firstLineChars="0" w:firstLine="0" w:leftChars="1000"/>
      </w:pPr>
      <w:hyperlink w:anchor="page_480">
        <w:r>
          <w:rPr>
            <w:color w:val="0000FF" w:themeColor="hyperlink"/>
            <w:u w:val="single"/>
          </w:rPr>
          <w:t>Troubleshooting</w:t>
        </w:r>
      </w:hyperlink>
    </w:p>
    <w:p>
      <w:pPr>
        <w:pStyle w:val="Normal"/>
        <w:ind w:left="0" w:firstLineChars="0" w:firstLine="0" w:leftChars="1000"/>
      </w:pPr>
      <w:hyperlink w:anchor="page_480">
        <w:r>
          <w:rPr>
            <w:color w:val="0000FF" w:themeColor="hyperlink"/>
            <w:u w:val="single"/>
          </w:rPr>
          <w:t>Escaping chroot</w:t>
        </w:r>
      </w:hyperlink>
    </w:p>
    <w:p>
      <w:pPr>
        <w:pStyle w:val="Normal"/>
        <w:ind w:left="0" w:firstLineChars="0" w:firstLine="0" w:leftChars="1000"/>
      </w:pPr>
      <w:hyperlink w:anchor="page_480">
        <w:r>
          <w:rPr>
            <w:color w:val="0000FF" w:themeColor="hyperlink"/>
            <w:u w:val="single"/>
          </w:rPr>
          <w:t>SMTPS</w:t>
        </w:r>
      </w:hyperlink>
    </w:p>
    <w:p>
      <w:pPr>
        <w:pStyle w:val="Normal"/>
        <w:ind w:left="0" w:firstLineChars="0" w:firstLine="0" w:leftChars="1000"/>
      </w:pPr>
      <w:hyperlink w:anchor="page_480">
        <w:r>
          <w:rPr>
            <w:color w:val="0000FF" w:themeColor="hyperlink"/>
            <w:u w:val="single"/>
          </w:rPr>
          <w:t>Log viewing</w:t>
        </w:r>
      </w:hyperlink>
    </w:p>
    <w:p>
      <w:pPr>
        <w:pStyle w:val="Normal"/>
        <w:ind w:left="0" w:firstLineChars="0" w:firstLine="0" w:leftChars="1000"/>
      </w:pPr>
      <w:hyperlink w:anchor="Top_of_index_split_116_html">
        <w:r>
          <w:rPr>
            <w:color w:val="0000FF" w:themeColor="hyperlink"/>
            <w:u w:val="single"/>
          </w:rPr>
          <w:t>Increase logging detail</w:t>
        </w:r>
      </w:hyperlink>
    </w:p>
    <w:p>
      <w:pPr>
        <w:pStyle w:val="Normal"/>
        <w:ind w:left="0" w:firstLineChars="0" w:firstLine="0" w:leftChars="1000"/>
      </w:pPr>
      <w:hyperlink w:anchor="Top_of_index_split_116_html">
        <w:r>
          <w:rPr>
            <w:color w:val="0000FF" w:themeColor="hyperlink"/>
            <w:u w:val="single"/>
          </w:rPr>
          <w:t>Logging mail delivery</w:t>
        </w:r>
      </w:hyperlink>
    </w:p>
    <w:p>
      <w:pPr>
        <w:pStyle w:val="Normal"/>
        <w:ind w:left="0" w:firstLineChars="0" w:firstLine="0" w:leftChars="1000"/>
      </w:pPr>
      <w:hyperlink w:anchor="Top_of_index_split_116_html">
        <w:r>
          <w:rPr>
            <w:color w:val="0000FF" w:themeColor="hyperlink"/>
            <w:u w:val="single"/>
          </w:rPr>
          <w:t>Increase daemon verbosity</w:t>
        </w:r>
      </w:hyperlink>
    </w:p>
    <w:p>
      <w:pPr>
        <w:pStyle w:val="Normal"/>
        <w:ind w:left="0" w:firstLineChars="0" w:firstLine="0" w:leftChars="1000"/>
      </w:pPr>
      <w:hyperlink w:anchor="Top_of_index_split_116_html">
        <w:r>
          <w:rPr>
            <w:color w:val="0000FF" w:themeColor="hyperlink"/>
            <w:u w:val="single"/>
          </w:rPr>
          <w:t>Log SASL debug info</w:t>
        </w:r>
      </w:hyperlink>
    </w:p>
    <w:p>
      <w:pPr>
        <w:pStyle w:val="Normal"/>
        <w:ind w:left="0" w:firstLineChars="0" w:firstLine="0" w:leftChars="1000"/>
      </w:pPr>
      <w:hyperlink w:anchor="page_482">
        <w:r>
          <w:rPr>
            <w:color w:val="0000FF" w:themeColor="hyperlink"/>
            <w:u w:val="single"/>
          </w:rPr>
          <w:t>Further reading</w:t>
        </w:r>
      </w:hyperlink>
    </w:p>
    <w:p>
      <w:pPr>
        <w:pStyle w:val="Normal"/>
        <w:ind w:left="0" w:firstLineChars="0" w:firstLine="0" w:leftChars="1000"/>
      </w:pPr>
      <w:hyperlink w:anchor="page_482">
        <w:r>
          <w:rPr>
            <w:color w:val="0000FF" w:themeColor="hyperlink"/>
            <w:u w:val="single"/>
          </w:rPr>
          <w:t>Install and configure Exim4</w:t>
        </w:r>
      </w:hyperlink>
    </w:p>
    <w:p>
      <w:pPr>
        <w:pStyle w:val="Normal"/>
        <w:ind w:left="0" w:firstLineChars="0" w:firstLine="0" w:leftChars="1000"/>
      </w:pPr>
      <w:hyperlink w:anchor="page_482">
        <w:r>
          <w:rPr>
            <w:color w:val="0000FF" w:themeColor="hyperlink"/>
            <w:u w:val="single"/>
          </w:rPr>
          <w:t>Install Exim4</w:t>
        </w:r>
      </w:hyperlink>
    </w:p>
    <w:p>
      <w:pPr>
        <w:pStyle w:val="Normal"/>
        <w:ind w:left="0" w:firstLineChars="0" w:firstLine="0" w:leftChars="1000"/>
      </w:pPr>
      <w:hyperlink w:anchor="page_482">
        <w:r>
          <w:rPr>
            <w:color w:val="0000FF" w:themeColor="hyperlink"/>
            <w:u w:val="single"/>
          </w:rPr>
          <w:t>Configure Exim4</w:t>
        </w:r>
      </w:hyperlink>
    </w:p>
    <w:p>
      <w:pPr>
        <w:pStyle w:val="Normal"/>
        <w:ind w:left="0" w:firstLineChars="0" w:firstLine="0" w:leftChars="1000"/>
      </w:pPr>
      <w:hyperlink w:anchor="page_483">
        <w:r>
          <w:rPr>
            <w:color w:val="0000FF" w:themeColor="hyperlink"/>
            <w:u w:val="single"/>
          </w:rPr>
          <w:t>Start the Exim4 daemon</w:t>
        </w:r>
      </w:hyperlink>
    </w:p>
    <w:p>
      <w:pPr>
        <w:pStyle w:val="Normal"/>
        <w:ind w:left="0" w:firstLineChars="0" w:firstLine="0" w:leftChars="1000"/>
      </w:pPr>
      <w:hyperlink w:anchor="page_483">
        <w:r>
          <w:rPr>
            <w:color w:val="0000FF" w:themeColor="hyperlink"/>
            <w:u w:val="single"/>
          </w:rPr>
          <w:t>SMTP authentication</w:t>
        </w:r>
      </w:hyperlink>
    </w:p>
    <w:p>
      <w:pPr>
        <w:pStyle w:val="Normal"/>
        <w:ind w:left="0" w:firstLineChars="0" w:firstLine="0" w:leftChars="1000"/>
      </w:pPr>
      <w:hyperlink w:anchor="page_484">
        <w:r>
          <w:rPr>
            <w:color w:val="0000FF" w:themeColor="hyperlink"/>
            <w:u w:val="single"/>
          </w:rPr>
          <w:t>Enabling TLS</w:t>
        </w:r>
      </w:hyperlink>
    </w:p>
    <w:p>
      <w:pPr>
        <w:pStyle w:val="Normal"/>
        <w:ind w:left="0" w:firstLineChars="0" w:firstLine="0" w:leftChars="1000"/>
      </w:pPr>
      <w:hyperlink w:anchor="page_484">
        <w:r>
          <w:rPr>
            <w:color w:val="0000FF" w:themeColor="hyperlink"/>
            <w:u w:val="single"/>
          </w:rPr>
          <w:t>Authenticating existing Linux users</w:t>
        </w:r>
      </w:hyperlink>
    </w:p>
    <w:p>
      <w:pPr>
        <w:pStyle w:val="Normal"/>
        <w:ind w:left="0" w:firstLineChars="0" w:firstLine="0" w:leftChars="1000"/>
      </w:pPr>
      <w:hyperlink w:anchor="page_486">
        <w:r>
          <w:rPr>
            <w:color w:val="0000FF" w:themeColor="hyperlink"/>
            <w:u w:val="single"/>
          </w:rPr>
          <w:t>Authenticating arbitrary users</w:t>
        </w:r>
      </w:hyperlink>
    </w:p>
    <w:p>
      <w:pPr>
        <w:pStyle w:val="Normal"/>
        <w:ind w:left="0" w:firstLineChars="0" w:firstLine="0" w:leftChars="1000"/>
      </w:pPr>
      <w:hyperlink w:anchor="page_487">
        <w:r>
          <w:rPr>
            <w:color w:val="0000FF" w:themeColor="hyperlink"/>
            <w:u w:val="single"/>
          </w:rPr>
          <w:t>Troubleshooting</w:t>
        </w:r>
      </w:hyperlink>
    </w:p>
    <w:p>
      <w:pPr>
        <w:pStyle w:val="Normal"/>
        <w:ind w:left="0" w:firstLineChars="0" w:firstLine="0" w:leftChars="1000"/>
      </w:pPr>
      <w:hyperlink w:anchor="page_490">
        <w:r>
          <w:rPr>
            <w:color w:val="0000FF" w:themeColor="hyperlink"/>
            <w:u w:val="single"/>
          </w:rPr>
          <w:t>Troubleshooting tips</w:t>
        </w:r>
      </w:hyperlink>
    </w:p>
    <w:p>
      <w:pPr>
        <w:pStyle w:val="Normal"/>
        <w:ind w:left="0" w:firstLineChars="0" w:firstLine="0" w:leftChars="1000"/>
      </w:pPr>
      <w:hyperlink w:anchor="page_490">
        <w:r>
          <w:rPr>
            <w:color w:val="0000FF" w:themeColor="hyperlink"/>
            <w:u w:val="single"/>
          </w:rPr>
          <w:t>Permissions</w:t>
        </w:r>
      </w:hyperlink>
    </w:p>
    <w:p>
      <w:pPr>
        <w:pStyle w:val="Normal"/>
        <w:ind w:left="0" w:firstLineChars="0" w:firstLine="0" w:leftChars="1000"/>
      </w:pPr>
      <w:hyperlink w:anchor="page_490">
        <w:r>
          <w:rPr>
            <w:color w:val="0000FF" w:themeColor="hyperlink"/>
            <w:u w:val="single"/>
          </w:rPr>
          <w:t>Config</w:t>
        </w:r>
      </w:hyperlink>
    </w:p>
    <w:p>
      <w:pPr>
        <w:pStyle w:val="Normal"/>
        <w:ind w:left="0" w:firstLineChars="0" w:firstLine="0" w:leftChars="1000"/>
      </w:pPr>
      <w:hyperlink w:anchor="page_490">
        <w:r>
          <w:rPr>
            <w:color w:val="0000FF" w:themeColor="hyperlink"/>
            <w:u w:val="single"/>
          </w:rPr>
          <w:t>Further reading</w:t>
        </w:r>
      </w:hyperlink>
    </w:p>
    <w:p>
      <w:pPr>
        <w:pStyle w:val="Normal"/>
        <w:ind w:left="0" w:firstLineChars="0" w:firstLine="0" w:leftChars="800"/>
      </w:pPr>
      <w:hyperlink w:anchor="Top_of_index_split_117_html">
        <w:r>
          <w:rPr>
            <w:color w:val="0000FF" w:themeColor="hyperlink"/>
            <w:u w:val="single"/>
          </w:rPr>
          <w:t>Mail Delivery Agent</w:t>
        </w:r>
      </w:hyperlink>
    </w:p>
    <w:p>
      <w:pPr>
        <w:pStyle w:val="Normal"/>
        <w:ind w:left="0" w:firstLineChars="0" w:firstLine="0" w:leftChars="1000"/>
      </w:pPr>
      <w:hyperlink w:anchor="Top_of_index_split_117_html">
        <w:r>
          <w:rPr>
            <w:color w:val="0000FF" w:themeColor="hyperlink"/>
            <w:u w:val="single"/>
          </w:rPr>
          <w:t>Install and configure Dovecot</w:t>
        </w:r>
      </w:hyperlink>
    </w:p>
    <w:p>
      <w:pPr>
        <w:pStyle w:val="Normal"/>
        <w:ind w:left="0" w:firstLineChars="0" w:firstLine="0" w:leftChars="1000"/>
      </w:pPr>
      <w:hyperlink w:anchor="Top_of_index_split_117_html">
        <w:r>
          <w:rPr>
            <w:color w:val="0000FF" w:themeColor="hyperlink"/>
            <w:u w:val="single"/>
          </w:rPr>
          <w:t>Install Dovecot</w:t>
        </w:r>
      </w:hyperlink>
    </w:p>
    <w:p>
      <w:pPr>
        <w:pStyle w:val="Normal"/>
        <w:ind w:left="0" w:firstLineChars="0" w:firstLine="0" w:leftChars="1000"/>
      </w:pPr>
      <w:hyperlink w:anchor="Top_of_index_split_117_html">
        <w:r>
          <w:rPr>
            <w:color w:val="0000FF" w:themeColor="hyperlink"/>
            <w:u w:val="single"/>
          </w:rPr>
          <w:t>Configure Dovecot</w:t>
        </w:r>
      </w:hyperlink>
    </w:p>
    <w:p>
      <w:pPr>
        <w:pStyle w:val="Normal"/>
        <w:ind w:left="0" w:firstLineChars="0" w:firstLine="0" w:leftChars="1000"/>
      </w:pPr>
      <w:hyperlink w:anchor="Top_of_index_split_118_html">
        <w:r>
          <w:rPr>
            <w:color w:val="0000FF" w:themeColor="hyperlink"/>
            <w:u w:val="single"/>
          </w:rPr>
          <w:t>Restart the Dovecot daemon</w:t>
        </w:r>
      </w:hyperlink>
    </w:p>
    <w:p>
      <w:pPr>
        <w:pStyle w:val="Normal"/>
        <w:ind w:left="0" w:firstLineChars="0" w:firstLine="0" w:leftChars="1000"/>
      </w:pPr>
      <w:hyperlink w:anchor="Top_of_index_split_118_html">
        <w:r>
          <w:rPr>
            <w:color w:val="0000FF" w:themeColor="hyperlink"/>
            <w:u w:val="single"/>
          </w:rPr>
          <w:t>Dovecot SSL configuration</w:t>
        </w:r>
      </w:hyperlink>
    </w:p>
    <w:p>
      <w:pPr>
        <w:pStyle w:val="Normal"/>
        <w:ind w:left="0" w:firstLineChars="0" w:firstLine="0" w:leftChars="1000"/>
      </w:pPr>
      <w:hyperlink w:anchor="Top_of_index_split_119_html">
        <w:r>
          <w:rPr>
            <w:color w:val="0000FF" w:themeColor="hyperlink"/>
            <w:u w:val="single"/>
          </w:rPr>
          <w:t>Configure a firewall for an email server</w:t>
        </w:r>
      </w:hyperlink>
    </w:p>
    <w:p>
      <w:pPr>
        <w:pStyle w:val="Normal"/>
        <w:ind w:left="0" w:firstLineChars="0" w:firstLine="0" w:leftChars="1000"/>
      </w:pPr>
      <w:hyperlink w:anchor="Top_of_index_split_119_html">
        <w:r>
          <w:rPr>
            <w:color w:val="0000FF" w:themeColor="hyperlink"/>
            <w:u w:val="single"/>
          </w:rPr>
          <w:t>Further reading</w:t>
        </w:r>
      </w:hyperlink>
    </w:p>
    <w:p>
      <w:pPr>
        <w:pStyle w:val="Normal"/>
        <w:ind w:left="0" w:firstLineChars="0" w:firstLine="0" w:leftChars="400"/>
      </w:pPr>
      <w:hyperlink w:anchor="Top_of_index_split_119_html">
        <w:r>
          <w:rPr>
            <w:color w:val="0000FF" w:themeColor="hyperlink"/>
            <w:u w:val="single"/>
          </w:rPr>
          <w:t>Web services</w:t>
        </w:r>
      </w:hyperlink>
    </w:p>
    <w:p>
      <w:pPr>
        <w:pStyle w:val="Normal"/>
        <w:ind w:left="0" w:firstLineChars="0" w:firstLine="0" w:leftChars="600"/>
      </w:pPr>
      <w:hyperlink w:anchor="Top_of_index_split_119_html">
        <w:r>
          <w:rPr>
            <w:color w:val="0000FF" w:themeColor="hyperlink"/>
            <w:u w:val="single"/>
          </w:rPr>
          <w:t>Web services</w:t>
        </w:r>
      </w:hyperlink>
    </w:p>
    <w:p>
      <w:pPr>
        <w:pStyle w:val="Normal"/>
        <w:ind w:left="0" w:firstLineChars="0" w:firstLine="0" w:leftChars="800"/>
      </w:pPr>
      <w:hyperlink w:anchor="Top_of_index_split_119_html">
        <w:r>
          <w:rPr>
            <w:color w:val="0000FF" w:themeColor="hyperlink"/>
            <w:u w:val="single"/>
          </w:rPr>
          <w:t>Proxy servers</w:t>
        </w:r>
      </w:hyperlink>
    </w:p>
    <w:p>
      <w:pPr>
        <w:pStyle w:val="Normal"/>
        <w:ind w:left="0" w:firstLineChars="0" w:firstLine="0" w:leftChars="1000"/>
      </w:pPr>
      <w:hyperlink w:anchor="Top_of_index_split_120_html">
        <w:r>
          <w:rPr>
            <w:color w:val="0000FF" w:themeColor="hyperlink"/>
            <w:u w:val="single"/>
          </w:rPr>
          <w:t>How to install a Squid server</w:t>
        </w:r>
      </w:hyperlink>
    </w:p>
    <w:p>
      <w:pPr>
        <w:pStyle w:val="Normal"/>
        <w:ind w:left="0" w:firstLineChars="0" w:firstLine="0" w:leftChars="1000"/>
      </w:pPr>
      <w:hyperlink w:anchor="Top_of_index_split_120_html">
        <w:r>
          <w:rPr>
            <w:color w:val="0000FF" w:themeColor="hyperlink"/>
            <w:u w:val="single"/>
          </w:rPr>
          <w:t>Install Squid</w:t>
        </w:r>
      </w:hyperlink>
    </w:p>
    <w:p>
      <w:pPr>
        <w:pStyle w:val="Normal"/>
        <w:ind w:left="0" w:firstLineChars="0" w:firstLine="0" w:leftChars="1000"/>
      </w:pPr>
      <w:hyperlink w:anchor="Top_of_index_split_120_html">
        <w:r>
          <w:rPr>
            <w:color w:val="0000FF" w:themeColor="hyperlink"/>
            <w:u w:val="single"/>
          </w:rPr>
          <w:t>Configure Squid</w:t>
        </w:r>
      </w:hyperlink>
    </w:p>
    <w:p>
      <w:pPr>
        <w:pStyle w:val="Normal"/>
        <w:ind w:left="0" w:firstLineChars="0" w:firstLine="0" w:leftChars="1000"/>
      </w:pPr>
      <w:hyperlink w:anchor="Top_of_index_split_120_html">
        <w:r>
          <w:rPr>
            <w:color w:val="0000FF" w:themeColor="hyperlink"/>
            <w:u w:val="single"/>
          </w:rPr>
          <w:t>Protect the original config file</w:t>
        </w:r>
      </w:hyperlink>
    </w:p>
    <w:p>
      <w:pPr>
        <w:pStyle w:val="Normal"/>
        <w:ind w:left="0" w:firstLineChars="0" w:firstLine="0" w:leftChars="1000"/>
      </w:pPr>
      <w:hyperlink w:anchor="Top_of_index_split_120_html">
        <w:r>
          <w:rPr>
            <w:color w:val="0000FF" w:themeColor="hyperlink"/>
            <w:u w:val="single"/>
          </w:rPr>
          <w:t>Change TCP port</w:t>
        </w:r>
      </w:hyperlink>
    </w:p>
    <w:p>
      <w:pPr>
        <w:pStyle w:val="Normal"/>
        <w:ind w:left="0" w:firstLineChars="0" w:firstLine="0" w:leftChars="1000"/>
      </w:pPr>
      <w:hyperlink w:anchor="Top_of_index_split_120_html">
        <w:r>
          <w:rPr>
            <w:color w:val="0000FF" w:themeColor="hyperlink"/>
            <w:u w:val="single"/>
          </w:rPr>
          <w:t>Set the hostname</w:t>
        </w:r>
      </w:hyperlink>
    </w:p>
    <w:p>
      <w:pPr>
        <w:pStyle w:val="Normal"/>
        <w:ind w:left="0" w:firstLineChars="0" w:firstLine="0" w:leftChars="1000"/>
      </w:pPr>
      <w:hyperlink w:anchor="page_495">
        <w:r>
          <w:rPr>
            <w:color w:val="0000FF" w:themeColor="hyperlink"/>
            <w:u w:val="single"/>
          </w:rPr>
          <w:t>Configure the memory cache</w:t>
        </w:r>
      </w:hyperlink>
    </w:p>
    <w:p>
      <w:pPr>
        <w:pStyle w:val="Normal"/>
        <w:ind w:left="0" w:firstLineChars="0" w:firstLine="0" w:leftChars="1000"/>
      </w:pPr>
      <w:hyperlink w:anchor="page_495">
        <w:r>
          <w:rPr>
            <w:color w:val="0000FF" w:themeColor="hyperlink"/>
            <w:u w:val="single"/>
          </w:rPr>
          <w:t>Configure on-disk cache</w:t>
        </w:r>
      </w:hyperlink>
    </w:p>
    <w:p>
      <w:pPr>
        <w:pStyle w:val="Normal"/>
        <w:ind w:left="0" w:firstLineChars="0" w:firstLine="0" w:leftChars="1000"/>
      </w:pPr>
      <w:hyperlink w:anchor="page_495">
        <w:r>
          <w:rPr>
            <w:color w:val="0000FF" w:themeColor="hyperlink"/>
            <w:u w:val="single"/>
          </w:rPr>
          <w:t>Configure cached objects size limits</w:t>
        </w:r>
      </w:hyperlink>
    </w:p>
    <w:p>
      <w:pPr>
        <w:pStyle w:val="Normal"/>
        <w:ind w:left="0" w:firstLineChars="0" w:firstLine="0" w:leftChars="1000"/>
      </w:pPr>
      <w:hyperlink w:anchor="Top_of_index_split_121_html">
        <w:r>
          <w:rPr>
            <w:color w:val="0000FF" w:themeColor="hyperlink"/>
            <w:u w:val="single"/>
          </w:rPr>
          <w:t>Configure cached objects lifetime</w:t>
        </w:r>
      </w:hyperlink>
    </w:p>
    <w:p>
      <w:pPr>
        <w:pStyle w:val="Normal"/>
        <w:ind w:left="0" w:firstLineChars="0" w:firstLine="0" w:leftChars="1000"/>
      </w:pPr>
      <w:hyperlink w:anchor="Top_of_index_split_121_html">
        <w:r>
          <w:rPr>
            <w:color w:val="0000FF" w:themeColor="hyperlink"/>
            <w:u w:val="single"/>
          </w:rPr>
          <w:t>Caching HTTPS content</w:t>
        </w:r>
      </w:hyperlink>
    </w:p>
    <w:p>
      <w:pPr>
        <w:pStyle w:val="Normal"/>
        <w:ind w:left="0" w:firstLineChars="0" w:firstLine="0" w:leftChars="1000"/>
      </w:pPr>
      <w:hyperlink w:anchor="Top_of_index_split_121_html">
        <w:r>
          <w:rPr>
            <w:color w:val="0000FF" w:themeColor="hyperlink"/>
            <w:u w:val="single"/>
          </w:rPr>
          <w:t>Other caching configuration options</w:t>
        </w:r>
      </w:hyperlink>
    </w:p>
    <w:p>
      <w:pPr>
        <w:pStyle w:val="Normal"/>
        <w:ind w:left="0" w:firstLineChars="0" w:firstLine="0" w:leftChars="1000"/>
      </w:pPr>
      <w:hyperlink w:anchor="Top_of_index_split_121_html">
        <w:r>
          <w:rPr>
            <w:color w:val="0000FF" w:themeColor="hyperlink"/>
            <w:u w:val="single"/>
          </w:rPr>
          <w:t>Access control</w:t>
        </w:r>
      </w:hyperlink>
    </w:p>
    <w:p>
      <w:pPr>
        <w:pStyle w:val="Normal"/>
        <w:ind w:left="0" w:firstLineChars="0" w:firstLine="0" w:leftChars="1000"/>
      </w:pPr>
      <w:hyperlink w:anchor="page_497">
        <w:r>
          <w:rPr>
            <w:color w:val="0000FF" w:themeColor="hyperlink"/>
            <w:u w:val="single"/>
          </w:rPr>
          <w:t>Restart the Squid server</w:t>
        </w:r>
      </w:hyperlink>
    </w:p>
    <w:p>
      <w:pPr>
        <w:pStyle w:val="Normal"/>
        <w:ind w:left="0" w:firstLineChars="0" w:firstLine="0" w:leftChars="1000"/>
      </w:pPr>
      <w:hyperlink w:anchor="page_497">
        <w:r>
          <w:rPr>
            <w:color w:val="0000FF" w:themeColor="hyperlink"/>
            <w:u w:val="single"/>
          </w:rPr>
          <w:t>Troubleshooting</w:t>
        </w:r>
      </w:hyperlink>
    </w:p>
    <w:p>
      <w:pPr>
        <w:pStyle w:val="Normal"/>
        <w:ind w:left="0" w:firstLineChars="0" w:firstLine="0" w:leftChars="1000"/>
      </w:pPr>
      <w:hyperlink w:anchor="page_498">
        <w:r>
          <w:rPr>
            <w:color w:val="0000FF" w:themeColor="hyperlink"/>
            <w:u w:val="single"/>
          </w:rPr>
          <w:t>Further reading</w:t>
        </w:r>
      </w:hyperlink>
    </w:p>
    <w:p>
      <w:pPr>
        <w:pStyle w:val="Normal"/>
        <w:ind w:left="0" w:firstLineChars="0" w:firstLine="0" w:leftChars="800"/>
      </w:pPr>
      <w:hyperlink w:anchor="page_498">
        <w:r>
          <w:rPr>
            <w:color w:val="0000FF" w:themeColor="hyperlink"/>
            <w:u w:val="single"/>
          </w:rPr>
          <w:t>Web servers</w:t>
        </w:r>
      </w:hyperlink>
    </w:p>
    <w:p>
      <w:pPr>
        <w:pStyle w:val="Normal"/>
        <w:ind w:left="0" w:firstLineChars="0" w:firstLine="0" w:leftChars="1000"/>
      </w:pPr>
      <w:hyperlink w:anchor="page_498">
        <w:r>
          <w:rPr>
            <w:color w:val="0000FF" w:themeColor="hyperlink"/>
            <w:u w:val="single"/>
          </w:rPr>
          <w:t>Apache2</w:t>
        </w:r>
      </w:hyperlink>
    </w:p>
    <w:p>
      <w:pPr>
        <w:pStyle w:val="Normal"/>
        <w:ind w:left="0" w:firstLineChars="0" w:firstLine="0" w:leftChars="1000"/>
      </w:pPr>
      <w:hyperlink w:anchor="page_498">
        <w:r>
          <w:rPr>
            <w:color w:val="0000FF" w:themeColor="hyperlink"/>
            <w:u w:val="single"/>
          </w:rPr>
          <w:t>How to install Apache2</w:t>
        </w:r>
      </w:hyperlink>
    </w:p>
    <w:p>
      <w:pPr>
        <w:pStyle w:val="Normal"/>
        <w:ind w:left="0" w:firstLineChars="0" w:firstLine="0" w:leftChars="1000"/>
      </w:pPr>
      <w:hyperlink w:anchor="Top_of_index_split_122_html">
        <w:r>
          <w:rPr>
            <w:color w:val="0000FF" w:themeColor="hyperlink"/>
            <w:u w:val="single"/>
          </w:rPr>
          <w:t>Install apache2</w:t>
        </w:r>
      </w:hyperlink>
    </w:p>
    <w:p>
      <w:pPr>
        <w:pStyle w:val="Normal"/>
        <w:ind w:left="0" w:firstLineChars="0" w:firstLine="0" w:leftChars="1000"/>
      </w:pPr>
      <w:hyperlink w:anchor="Top_of_index_split_122_html">
        <w:r>
          <w:rPr>
            <w:color w:val="0000FF" w:themeColor="hyperlink"/>
            <w:u w:val="single"/>
          </w:rPr>
          <w:t>Configure apache2</w:t>
        </w:r>
      </w:hyperlink>
    </w:p>
    <w:p>
      <w:pPr>
        <w:pStyle w:val="Normal"/>
        <w:ind w:left="0" w:firstLineChars="0" w:firstLine="0" w:leftChars="1000"/>
      </w:pPr>
      <w:hyperlink w:anchor="Top_of_index_split_122_html">
        <w:r>
          <w:rPr>
            <w:color w:val="0000FF" w:themeColor="hyperlink"/>
            <w:u w:val="single"/>
          </w:rPr>
          <w:t>Files</w:t>
        </w:r>
      </w:hyperlink>
    </w:p>
    <w:p>
      <w:pPr>
        <w:pStyle w:val="Normal"/>
        <w:ind w:left="0" w:firstLineChars="0" w:firstLine="0" w:leftChars="1000"/>
      </w:pPr>
      <w:hyperlink w:anchor="Top_of_index_split_122_html">
        <w:r>
          <w:rPr>
            <w:color w:val="0000FF" w:themeColor="hyperlink"/>
            <w:u w:val="single"/>
          </w:rPr>
          <w:t>Directories</w:t>
        </w:r>
      </w:hyperlink>
    </w:p>
    <w:p>
      <w:pPr>
        <w:pStyle w:val="Normal"/>
        <w:ind w:left="0" w:firstLineChars="0" w:firstLine="0" w:leftChars="1000"/>
      </w:pPr>
      <w:hyperlink w:anchor="page_500">
        <w:r>
          <w:rPr>
            <w:color w:val="0000FF" w:themeColor="hyperlink"/>
            <w:u w:val="single"/>
          </w:rPr>
          <w:t>Detailed configuration</w:t>
        </w:r>
      </w:hyperlink>
    </w:p>
    <w:p>
      <w:pPr>
        <w:pStyle w:val="Normal"/>
        <w:ind w:left="0" w:firstLineChars="0" w:firstLine="0" w:leftChars="1000"/>
      </w:pPr>
      <w:hyperlink w:anchor="page_500">
        <w:r>
          <w:rPr>
            <w:color w:val="0000FF" w:themeColor="hyperlink"/>
            <w:u w:val="single"/>
          </w:rPr>
          <w:t>Further reading</w:t>
        </w:r>
      </w:hyperlink>
    </w:p>
    <w:p>
      <w:pPr>
        <w:pStyle w:val="Normal"/>
        <w:ind w:left="0" w:firstLineChars="0" w:firstLine="0" w:leftChars="1000"/>
      </w:pPr>
      <w:hyperlink w:anchor="page_500">
        <w:r>
          <w:rPr>
            <w:color w:val="0000FF" w:themeColor="hyperlink"/>
            <w:u w:val="single"/>
          </w:rPr>
          <w:t>How to configure Apache2 settings</w:t>
        </w:r>
      </w:hyperlink>
    </w:p>
    <w:p>
      <w:pPr>
        <w:pStyle w:val="Normal"/>
        <w:ind w:left="0" w:firstLineChars="0" w:firstLine="0" w:leftChars="1000"/>
      </w:pPr>
      <w:hyperlink w:anchor="page_500">
        <w:r>
          <w:rPr>
            <w:color w:val="0000FF" w:themeColor="hyperlink"/>
            <w:u w:val="single"/>
          </w:rPr>
          <w:t>Basic directives</w:t>
        </w:r>
      </w:hyperlink>
    </w:p>
    <w:p>
      <w:pPr>
        <w:pStyle w:val="Normal"/>
        <w:ind w:left="0" w:firstLineChars="0" w:firstLine="0" w:leftChars="1000"/>
      </w:pPr>
      <w:hyperlink w:anchor="page_501">
        <w:r>
          <w:rPr>
            <w:color w:val="0000FF" w:themeColor="hyperlink"/>
            <w:u w:val="single"/>
          </w:rPr>
          <w:t>The ServerAdmin directive</w:t>
        </w:r>
      </w:hyperlink>
    </w:p>
    <w:p>
      <w:pPr>
        <w:pStyle w:val="Normal"/>
        <w:ind w:left="0" w:firstLineChars="0" w:firstLine="0" w:leftChars="1000"/>
      </w:pPr>
      <w:hyperlink w:anchor="page_501">
        <w:r>
          <w:rPr>
            <w:color w:val="0000FF" w:themeColor="hyperlink"/>
            <w:u w:val="single"/>
          </w:rPr>
          <w:t>The Listen directive</w:t>
        </w:r>
      </w:hyperlink>
    </w:p>
    <w:p>
      <w:pPr>
        <w:pStyle w:val="Normal"/>
        <w:ind w:left="0" w:firstLineChars="0" w:firstLine="0" w:leftChars="1000"/>
      </w:pPr>
      <w:hyperlink w:anchor="page_501">
        <w:r>
          <w:rPr>
            <w:color w:val="0000FF" w:themeColor="hyperlink"/>
            <w:u w:val="single"/>
          </w:rPr>
          <w:t>The ServerName directive (optional)</w:t>
        </w:r>
      </w:hyperlink>
    </w:p>
    <w:p>
      <w:pPr>
        <w:pStyle w:val="Normal"/>
        <w:ind w:left="0" w:firstLineChars="0" w:firstLine="0" w:leftChars="1000"/>
      </w:pPr>
      <w:hyperlink w:anchor="page_502">
        <w:r>
          <w:rPr>
            <w:color w:val="0000FF" w:themeColor="hyperlink"/>
            <w:u w:val="single"/>
          </w:rPr>
          <w:t>The ServerAlias directive</w:t>
        </w:r>
      </w:hyperlink>
    </w:p>
    <w:p>
      <w:pPr>
        <w:pStyle w:val="Normal"/>
        <w:ind w:left="0" w:firstLineChars="0" w:firstLine="0" w:leftChars="1000"/>
      </w:pPr>
      <w:hyperlink w:anchor="page_502">
        <w:r>
          <w:rPr>
            <w:color w:val="0000FF" w:themeColor="hyperlink"/>
            <w:u w:val="single"/>
          </w:rPr>
          <w:t>The DocumentRoot directive</w:t>
        </w:r>
      </w:hyperlink>
    </w:p>
    <w:p>
      <w:pPr>
        <w:pStyle w:val="Normal"/>
        <w:ind w:left="0" w:firstLineChars="0" w:firstLine="0" w:leftChars="1000"/>
      </w:pPr>
      <w:hyperlink w:anchor="Top_of_index_split_123_html">
        <w:r>
          <w:rPr>
            <w:color w:val="0000FF" w:themeColor="hyperlink"/>
            <w:u w:val="single"/>
          </w:rPr>
          <w:t>Apache2 server default settings</w:t>
        </w:r>
      </w:hyperlink>
    </w:p>
    <w:p>
      <w:pPr>
        <w:pStyle w:val="Normal"/>
        <w:ind w:left="0" w:firstLineChars="0" w:firstLine="0" w:leftChars="1000"/>
      </w:pPr>
      <w:hyperlink w:anchor="Top_of_index_split_123_html">
        <w:r>
          <w:rPr>
            <w:color w:val="0000FF" w:themeColor="hyperlink"/>
            <w:u w:val="single"/>
          </w:rPr>
          <w:t>The DirectoryIndex</w:t>
        </w:r>
      </w:hyperlink>
    </w:p>
    <w:p>
      <w:pPr>
        <w:pStyle w:val="Normal"/>
        <w:ind w:left="0" w:firstLineChars="0" w:firstLine="0" w:leftChars="1000"/>
      </w:pPr>
      <w:hyperlink w:anchor="Top_of_index_split_123_html">
        <w:r>
          <w:rPr>
            <w:color w:val="0000FF" w:themeColor="hyperlink"/>
            <w:u w:val="single"/>
          </w:rPr>
          <w:t>The ErrorDocument</w:t>
        </w:r>
      </w:hyperlink>
    </w:p>
    <w:p>
      <w:pPr>
        <w:pStyle w:val="Normal"/>
        <w:ind w:left="0" w:firstLineChars="0" w:firstLine="0" w:leftChars="1000"/>
      </w:pPr>
      <w:hyperlink w:anchor="Top_of_index_split_123_html">
        <w:r>
          <w:rPr>
            <w:color w:val="0000FF" w:themeColor="hyperlink"/>
            <w:u w:val="single"/>
          </w:rPr>
          <w:t>CustomLog and ErrorLog</w:t>
        </w:r>
      </w:hyperlink>
    </w:p>
    <w:p>
      <w:pPr>
        <w:pStyle w:val="Normal"/>
        <w:ind w:left="0" w:firstLineChars="0" w:firstLine="0" w:leftChars="1000"/>
      </w:pPr>
      <w:hyperlink w:anchor="Top_of_index_split_124_html">
        <w:r>
          <w:rPr>
            <w:color w:val="0000FF" w:themeColor="hyperlink"/>
            <w:u w:val="single"/>
          </w:rPr>
          <w:t>The Options directive</w:t>
        </w:r>
      </w:hyperlink>
    </w:p>
    <w:p>
      <w:pPr>
        <w:pStyle w:val="Normal"/>
        <w:ind w:left="0" w:firstLineChars="0" w:firstLine="0" w:leftChars="1000"/>
      </w:pPr>
      <w:hyperlink w:anchor="Top_of_index_split_125_html">
        <w:r>
          <w:rPr>
            <w:color w:val="0000FF" w:themeColor="hyperlink"/>
            <w:u w:val="single"/>
          </w:rPr>
          <w:t>Apache2 daemon settings</w:t>
        </w:r>
      </w:hyperlink>
    </w:p>
    <w:p>
      <w:pPr>
        <w:pStyle w:val="Normal"/>
        <w:ind w:left="0" w:firstLineChars="0" w:firstLine="0" w:leftChars="1000"/>
      </w:pPr>
      <w:hyperlink w:anchor="Top_of_index_split_125_html">
        <w:r>
          <w:rPr>
            <w:color w:val="0000FF" w:themeColor="hyperlink"/>
            <w:u w:val="single"/>
          </w:rPr>
          <w:t>Extending Apache2</w:t>
        </w:r>
      </w:hyperlink>
    </w:p>
    <w:p>
      <w:pPr>
        <w:pStyle w:val="Normal"/>
        <w:ind w:left="0" w:firstLineChars="0" w:firstLine="0" w:leftChars="1000"/>
      </w:pPr>
      <w:hyperlink w:anchor="Top_of_index_split_125_html">
        <w:r>
          <w:rPr>
            <w:color w:val="0000FF" w:themeColor="hyperlink"/>
            <w:u w:val="single"/>
          </w:rPr>
          <w:t>Further reading</w:t>
        </w:r>
      </w:hyperlink>
    </w:p>
    <w:p>
      <w:pPr>
        <w:pStyle w:val="Normal"/>
        <w:ind w:left="0" w:firstLineChars="0" w:firstLine="0" w:leftChars="1000"/>
      </w:pPr>
      <w:hyperlink w:anchor="Top_of_index_split_126_html">
        <w:r>
          <w:rPr>
            <w:color w:val="0000FF" w:themeColor="hyperlink"/>
            <w:u w:val="single"/>
          </w:rPr>
          <w:t>How to use Apache2 modules</w:t>
        </w:r>
      </w:hyperlink>
    </w:p>
    <w:p>
      <w:pPr>
        <w:pStyle w:val="Normal"/>
        <w:ind w:left="0" w:firstLineChars="0" w:firstLine="0" w:leftChars="1000"/>
      </w:pPr>
      <w:hyperlink w:anchor="Top_of_index_split_126_html">
        <w:r>
          <w:rPr>
            <w:color w:val="0000FF" w:themeColor="hyperlink"/>
            <w:u w:val="single"/>
          </w:rPr>
          <w:t>Installing and handling modules</w:t>
        </w:r>
      </w:hyperlink>
    </w:p>
    <w:p>
      <w:pPr>
        <w:pStyle w:val="Normal"/>
        <w:ind w:left="0" w:firstLineChars="0" w:firstLine="0" w:leftChars="1000"/>
      </w:pPr>
      <w:hyperlink w:anchor="Top_of_index_split_126_html">
        <w:r>
          <w:rPr>
            <w:color w:val="0000FF" w:themeColor="hyperlink"/>
            <w:u w:val="single"/>
          </w:rPr>
          <w:t>Configure Apache2 for HTTPS</w:t>
        </w:r>
      </w:hyperlink>
    </w:p>
    <w:p>
      <w:pPr>
        <w:pStyle w:val="Normal"/>
        <w:ind w:left="0" w:firstLineChars="0" w:firstLine="0" w:leftChars="1000"/>
      </w:pPr>
      <w:hyperlink w:anchor="page_507">
        <w:r>
          <w:rPr>
            <w:color w:val="0000FF" w:themeColor="hyperlink"/>
            <w:u w:val="single"/>
          </w:rPr>
          <w:t>Sharing write permission</w:t>
        </w:r>
      </w:hyperlink>
    </w:p>
    <w:p>
      <w:pPr>
        <w:pStyle w:val="Normal"/>
        <w:ind w:left="0" w:firstLineChars="0" w:firstLine="0" w:leftChars="1000"/>
      </w:pPr>
      <w:hyperlink w:anchor="Top_of_index_split_127_html">
        <w:r>
          <w:rPr>
            <w:color w:val="0000FF" w:themeColor="hyperlink"/>
            <w:u w:val="single"/>
          </w:rPr>
          <w:t>Further reading</w:t>
        </w:r>
      </w:hyperlink>
    </w:p>
    <w:p>
      <w:pPr>
        <w:pStyle w:val="Normal"/>
        <w:ind w:left="0" w:firstLineChars="0" w:firstLine="0" w:leftChars="1000"/>
      </w:pPr>
      <w:hyperlink w:anchor="Top_of_index_split_127_html">
        <w:r>
          <w:rPr>
            <w:color w:val="0000FF" w:themeColor="hyperlink"/>
            <w:u w:val="single"/>
          </w:rPr>
          <w:t>Nginx</w:t>
        </w:r>
      </w:hyperlink>
    </w:p>
    <w:p>
      <w:pPr>
        <w:pStyle w:val="Normal"/>
        <w:ind w:left="0" w:firstLineChars="0" w:firstLine="0" w:leftChars="1000"/>
      </w:pPr>
      <w:hyperlink w:anchor="Top_of_index_split_127_html">
        <w:r>
          <w:rPr>
            <w:color w:val="0000FF" w:themeColor="hyperlink"/>
            <w:u w:val="single"/>
          </w:rPr>
          <w:t>How to install nginx</w:t>
        </w:r>
      </w:hyperlink>
    </w:p>
    <w:p>
      <w:pPr>
        <w:pStyle w:val="Normal"/>
        <w:ind w:left="0" w:firstLineChars="0" w:firstLine="0" w:leftChars="1000"/>
      </w:pPr>
      <w:hyperlink w:anchor="Top_of_index_split_127_html">
        <w:r>
          <w:rPr>
            <w:color w:val="0000FF" w:themeColor="hyperlink"/>
            <w:u w:val="single"/>
          </w:rPr>
          <w:t>Install nginx</w:t>
        </w:r>
      </w:hyperlink>
    </w:p>
    <w:p>
      <w:pPr>
        <w:pStyle w:val="Normal"/>
        <w:ind w:left="0" w:firstLineChars="0" w:firstLine="0" w:leftChars="1000"/>
      </w:pPr>
      <w:hyperlink w:anchor="Top_of_index_split_127_html">
        <w:r>
          <w:rPr>
            <w:color w:val="0000FF" w:themeColor="hyperlink"/>
            <w:u w:val="single"/>
          </w:rPr>
          <w:t>Verify nginx is running</w:t>
        </w:r>
      </w:hyperlink>
    </w:p>
    <w:p>
      <w:pPr>
        <w:pStyle w:val="Normal"/>
        <w:ind w:left="0" w:firstLineChars="0" w:firstLine="0" w:leftChars="1000"/>
      </w:pPr>
      <w:hyperlink w:anchor="page_509">
        <w:r>
          <w:rPr>
            <w:color w:val="0000FF" w:themeColor="hyperlink"/>
            <w:u w:val="single"/>
          </w:rPr>
          <w:t>Restarting nginx</w:t>
        </w:r>
      </w:hyperlink>
    </w:p>
    <w:p>
      <w:pPr>
        <w:pStyle w:val="Normal"/>
        <w:ind w:left="0" w:firstLineChars="0" w:firstLine="0" w:leftChars="1000"/>
      </w:pPr>
      <w:hyperlink w:anchor="page_509">
        <w:r>
          <w:rPr>
            <w:color w:val="0000FF" w:themeColor="hyperlink"/>
            <w:u w:val="single"/>
          </w:rPr>
          <w:t>Enable/disable nginx manually</w:t>
        </w:r>
      </w:hyperlink>
    </w:p>
    <w:p>
      <w:pPr>
        <w:pStyle w:val="Normal"/>
        <w:ind w:left="0" w:firstLineChars="0" w:firstLine="0" w:leftChars="1000"/>
      </w:pPr>
      <w:hyperlink w:anchor="page_509">
        <w:r>
          <w:rPr>
            <w:color w:val="0000FF" w:themeColor="hyperlink"/>
            <w:u w:val="single"/>
          </w:rPr>
          <w:t>The default nginx homepage</w:t>
        </w:r>
      </w:hyperlink>
    </w:p>
    <w:p>
      <w:pPr>
        <w:pStyle w:val="Normal"/>
        <w:ind w:left="0" w:firstLineChars="0" w:firstLine="0" w:leftChars="1000"/>
      </w:pPr>
      <w:hyperlink w:anchor="page_510">
        <w:r>
          <w:rPr>
            <w:color w:val="0000FF" w:themeColor="hyperlink"/>
            <w:u w:val="single"/>
          </w:rPr>
          <w:t>Setting up nginx</w:t>
        </w:r>
      </w:hyperlink>
    </w:p>
    <w:p>
      <w:pPr>
        <w:pStyle w:val="Normal"/>
        <w:ind w:left="0" w:firstLineChars="0" w:firstLine="0" w:leftChars="1000"/>
      </w:pPr>
      <w:hyperlink w:anchor="page_510">
        <w:r>
          <w:rPr>
            <w:color w:val="0000FF" w:themeColor="hyperlink"/>
            <w:u w:val="single"/>
          </w:rPr>
          <w:t>Further reading</w:t>
        </w:r>
      </w:hyperlink>
    </w:p>
    <w:p>
      <w:pPr>
        <w:pStyle w:val="Normal"/>
        <w:ind w:left="0" w:firstLineChars="0" w:firstLine="0" w:leftChars="1000"/>
      </w:pPr>
      <w:hyperlink w:anchor="page_510">
        <w:r>
          <w:rPr>
            <w:color w:val="0000FF" w:themeColor="hyperlink"/>
            <w:u w:val="single"/>
          </w:rPr>
          <w:t>How to configure nginx</w:t>
        </w:r>
      </w:hyperlink>
    </w:p>
    <w:p>
      <w:pPr>
        <w:pStyle w:val="Normal"/>
        <w:ind w:left="0" w:firstLineChars="0" w:firstLine="0" w:leftChars="1000"/>
      </w:pPr>
      <w:hyperlink w:anchor="page_510">
        <w:r>
          <w:rPr>
            <w:color w:val="0000FF" w:themeColor="hyperlink"/>
            <w:u w:val="single"/>
          </w:rPr>
          <w:t>Server blocks</w:t>
        </w:r>
      </w:hyperlink>
    </w:p>
    <w:p>
      <w:pPr>
        <w:pStyle w:val="Normal"/>
        <w:ind w:left="0" w:firstLineChars="0" w:firstLine="0" w:leftChars="1000"/>
      </w:pPr>
      <w:hyperlink w:anchor="page_511">
        <w:r>
          <w:rPr>
            <w:color w:val="0000FF" w:themeColor="hyperlink"/>
            <w:u w:val="single"/>
          </w:rPr>
          <w:t>Multi-site hosting</w:t>
        </w:r>
      </w:hyperlink>
    </w:p>
    <w:p>
      <w:pPr>
        <w:pStyle w:val="Normal"/>
        <w:ind w:left="0" w:firstLineChars="0" w:firstLine="0" w:leftChars="1000"/>
      </w:pPr>
      <w:hyperlink w:anchor="Top_of_index_split_128_html">
        <w:r>
          <w:rPr>
            <w:color w:val="0000FF" w:themeColor="hyperlink"/>
            <w:u w:val="single"/>
          </w:rPr>
          <w:t>SSL and HTTPS</w:t>
        </w:r>
      </w:hyperlink>
    </w:p>
    <w:p>
      <w:pPr>
        <w:pStyle w:val="Normal"/>
        <w:ind w:left="0" w:firstLineChars="0" w:firstLine="0" w:leftChars="1000"/>
      </w:pPr>
      <w:hyperlink w:anchor="page_513">
        <w:r>
          <w:rPr>
            <w:color w:val="0000FF" w:themeColor="hyperlink"/>
            <w:u w:val="single"/>
          </w:rPr>
          <w:t>Setting up nginx</w:t>
        </w:r>
      </w:hyperlink>
    </w:p>
    <w:p>
      <w:pPr>
        <w:pStyle w:val="Normal"/>
        <w:ind w:left="0" w:firstLineChars="0" w:firstLine="0" w:leftChars="1000"/>
      </w:pPr>
      <w:hyperlink w:anchor="page_513">
        <w:r>
          <w:rPr>
            <w:color w:val="0000FF" w:themeColor="hyperlink"/>
            <w:u w:val="single"/>
          </w:rPr>
          <w:t>Further reading</w:t>
        </w:r>
      </w:hyperlink>
    </w:p>
    <w:p>
      <w:pPr>
        <w:pStyle w:val="Normal"/>
        <w:ind w:left="0" w:firstLineChars="0" w:firstLine="0" w:leftChars="1000"/>
      </w:pPr>
      <w:hyperlink w:anchor="page_513">
        <w:r>
          <w:rPr>
            <w:color w:val="0000FF" w:themeColor="hyperlink"/>
            <w:u w:val="single"/>
          </w:rPr>
          <w:t>How to use nginx modules</w:t>
        </w:r>
      </w:hyperlink>
    </w:p>
    <w:p>
      <w:pPr>
        <w:pStyle w:val="Normal"/>
        <w:ind w:left="0" w:firstLineChars="0" w:firstLine="0" w:leftChars="1000"/>
      </w:pPr>
      <w:hyperlink w:anchor="page_513">
        <w:r>
          <w:rPr>
            <w:color w:val="0000FF" w:themeColor="hyperlink"/>
            <w:u w:val="single"/>
          </w:rPr>
          <w:t>Available modules</w:t>
        </w:r>
      </w:hyperlink>
    </w:p>
    <w:p>
      <w:pPr>
        <w:pStyle w:val="Normal"/>
        <w:ind w:left="0" w:firstLineChars="0" w:firstLine="0" w:leftChars="1000"/>
      </w:pPr>
      <w:hyperlink w:anchor="page_514">
        <w:r>
          <w:rPr>
            <w:color w:val="0000FF" w:themeColor="hyperlink"/>
            <w:u w:val="single"/>
          </w:rPr>
          <w:t>Enabling and disabling dynamic modules</w:t>
        </w:r>
      </w:hyperlink>
    </w:p>
    <w:p>
      <w:pPr>
        <w:pStyle w:val="Normal"/>
        <w:ind w:left="0" w:firstLineChars="0" w:firstLine="0" w:leftChars="1000"/>
      </w:pPr>
      <w:hyperlink w:anchor="page_515">
        <w:r>
          <w:rPr>
            <w:color w:val="0000FF" w:themeColor="hyperlink"/>
            <w:u w:val="single"/>
          </w:rPr>
          <w:t>Configuring modules</w:t>
        </w:r>
      </w:hyperlink>
    </w:p>
    <w:p>
      <w:pPr>
        <w:pStyle w:val="Normal"/>
        <w:ind w:left="0" w:firstLineChars="0" w:firstLine="0" w:leftChars="1000"/>
      </w:pPr>
      <w:hyperlink w:anchor="page_515">
        <w:r>
          <w:rPr>
            <w:color w:val="0000FF" w:themeColor="hyperlink"/>
            <w:u w:val="single"/>
          </w:rPr>
          <w:t>Further reading</w:t>
        </w:r>
      </w:hyperlink>
    </w:p>
    <w:p>
      <w:pPr>
        <w:pStyle w:val="Normal"/>
        <w:ind w:left="0" w:firstLineChars="0" w:firstLine="0" w:leftChars="800"/>
      </w:pPr>
      <w:hyperlink w:anchor="page_515">
        <w:r>
          <w:rPr>
            <w:color w:val="0000FF" w:themeColor="hyperlink"/>
            <w:u w:val="single"/>
          </w:rPr>
          <w:t>Web programming</w:t>
        </w:r>
      </w:hyperlink>
    </w:p>
    <w:p>
      <w:pPr>
        <w:pStyle w:val="Normal"/>
        <w:ind w:left="0" w:firstLineChars="0" w:firstLine="0" w:leftChars="1000"/>
      </w:pPr>
      <w:hyperlink w:anchor="Top_of_index_split_129_html">
        <w:r>
          <w:rPr>
            <w:color w:val="0000FF" w:themeColor="hyperlink"/>
            <w:u w:val="single"/>
          </w:rPr>
          <w:t>How to install and configure PHP</w:t>
        </w:r>
      </w:hyperlink>
    </w:p>
    <w:p>
      <w:pPr>
        <w:pStyle w:val="Normal"/>
        <w:ind w:left="0" w:firstLineChars="0" w:firstLine="0" w:leftChars="1000"/>
      </w:pPr>
      <w:hyperlink w:anchor="Top_of_index_split_129_html">
        <w:r>
          <w:rPr>
            <w:color w:val="0000FF" w:themeColor="hyperlink"/>
            <w:u w:val="single"/>
          </w:rPr>
          <w:t>Prerequisites</w:t>
        </w:r>
      </w:hyperlink>
    </w:p>
    <w:p>
      <w:pPr>
        <w:pStyle w:val="Normal"/>
        <w:ind w:left="0" w:firstLineChars="0" w:firstLine="0" w:leftChars="1000"/>
      </w:pPr>
      <w:hyperlink w:anchor="Top_of_index_split_129_html">
        <w:r>
          <w:rPr>
            <w:color w:val="0000FF" w:themeColor="hyperlink"/>
            <w:u w:val="single"/>
          </w:rPr>
          <w:t>Install PHP</w:t>
        </w:r>
      </w:hyperlink>
    </w:p>
    <w:p>
      <w:pPr>
        <w:pStyle w:val="Normal"/>
        <w:ind w:left="0" w:firstLineChars="0" w:firstLine="0" w:leftChars="1000"/>
      </w:pPr>
      <w:hyperlink w:anchor="Top_of_index_split_129_html">
        <w:r>
          <w:rPr>
            <w:color w:val="0000FF" w:themeColor="hyperlink"/>
            <w:u w:val="single"/>
          </w:rPr>
          <w:t>Install optional packages</w:t>
        </w:r>
      </w:hyperlink>
    </w:p>
    <w:p>
      <w:pPr>
        <w:pStyle w:val="Normal"/>
        <w:ind w:left="0" w:firstLineChars="0" w:firstLine="0" w:leftChars="1000"/>
      </w:pPr>
      <w:hyperlink w:anchor="page_517">
        <w:r>
          <w:rPr>
            <w:color w:val="0000FF" w:themeColor="hyperlink"/>
            <w:u w:val="single"/>
          </w:rPr>
          <w:t>Configure PHP</w:t>
        </w:r>
      </w:hyperlink>
    </w:p>
    <w:p>
      <w:pPr>
        <w:pStyle w:val="Normal"/>
        <w:ind w:left="0" w:firstLineChars="0" w:firstLine="0" w:leftChars="1000"/>
      </w:pPr>
      <w:hyperlink w:anchor="page_517">
        <w:r>
          <w:rPr>
            <w:color w:val="0000FF" w:themeColor="hyperlink"/>
            <w:u w:val="single"/>
          </w:rPr>
          <w:t>Test your setup</w:t>
        </w:r>
      </w:hyperlink>
    </w:p>
    <w:p>
      <w:pPr>
        <w:pStyle w:val="Normal"/>
        <w:ind w:left="0" w:firstLineChars="0" w:firstLine="0" w:leftChars="1000"/>
      </w:pPr>
      <w:hyperlink w:anchor="page_517">
        <w:r>
          <w:rPr>
            <w:color w:val="0000FF" w:themeColor="hyperlink"/>
            <w:u w:val="single"/>
          </w:rPr>
          <w:t>Further reading</w:t>
        </w:r>
      </w:hyperlink>
    </w:p>
    <w:p>
      <w:pPr>
        <w:pStyle w:val="Normal"/>
        <w:ind w:left="0" w:firstLineChars="0" w:firstLine="0" w:leftChars="1000"/>
      </w:pPr>
      <w:hyperlink w:anchor="page_517">
        <w:r>
          <w:rPr>
            <w:color w:val="0000FF" w:themeColor="hyperlink"/>
            <w:u w:val="single"/>
          </w:rPr>
          <w:t>How to install and configure Ruby on Rails</w:t>
        </w:r>
      </w:hyperlink>
    </w:p>
    <w:p>
      <w:pPr>
        <w:pStyle w:val="Normal"/>
        <w:ind w:left="0" w:firstLineChars="0" w:firstLine="0" w:leftChars="1000"/>
      </w:pPr>
      <w:hyperlink w:anchor="page_518">
        <w:r>
          <w:rPr>
            <w:color w:val="0000FF" w:themeColor="hyperlink"/>
            <w:u w:val="single"/>
          </w:rPr>
          <w:t>Prerequisites</w:t>
        </w:r>
      </w:hyperlink>
    </w:p>
    <w:p>
      <w:pPr>
        <w:pStyle w:val="Normal"/>
        <w:ind w:left="0" w:firstLineChars="0" w:firstLine="0" w:leftChars="1000"/>
      </w:pPr>
      <w:hyperlink w:anchor="page_518">
        <w:r>
          <w:rPr>
            <w:color w:val="0000FF" w:themeColor="hyperlink"/>
            <w:u w:val="single"/>
          </w:rPr>
          <w:t>Install rails</w:t>
        </w:r>
      </w:hyperlink>
    </w:p>
    <w:p>
      <w:pPr>
        <w:pStyle w:val="Normal"/>
        <w:ind w:left="0" w:firstLineChars="0" w:firstLine="0" w:leftChars="1000"/>
      </w:pPr>
      <w:hyperlink w:anchor="page_518">
        <w:r>
          <w:rPr>
            <w:color w:val="0000FF" w:themeColor="hyperlink"/>
            <w:u w:val="single"/>
          </w:rPr>
          <w:t>Configure the web server</w:t>
        </w:r>
      </w:hyperlink>
    </w:p>
    <w:p>
      <w:pPr>
        <w:pStyle w:val="Normal"/>
        <w:ind w:left="0" w:firstLineChars="0" w:firstLine="0" w:leftChars="1000"/>
      </w:pPr>
      <w:hyperlink w:anchor="page_519">
        <w:r>
          <w:rPr>
            <w:color w:val="0000FF" w:themeColor="hyperlink"/>
            <w:u w:val="single"/>
          </w:rPr>
          <w:t>Configure the database</w:t>
        </w:r>
      </w:hyperlink>
    </w:p>
    <w:p>
      <w:pPr>
        <w:pStyle w:val="Normal"/>
        <w:ind w:left="0" w:firstLineChars="0" w:firstLine="0" w:leftChars="1000"/>
      </w:pPr>
      <w:hyperlink w:anchor="page_519">
        <w:r>
          <w:rPr>
            <w:color w:val="0000FF" w:themeColor="hyperlink"/>
            <w:u w:val="single"/>
          </w:rPr>
          <w:t>Further reading</w:t>
        </w:r>
      </w:hyperlink>
    </w:p>
    <w:p>
      <w:pPr>
        <w:pStyle w:val="Normal"/>
        <w:ind w:left="0" w:firstLineChars="0" w:firstLine="0" w:leftChars="800"/>
      </w:pPr>
      <w:hyperlink w:anchor="page_519">
        <w:r>
          <w:rPr>
            <w:color w:val="0000FF" w:themeColor="hyperlink"/>
            <w:u w:val="single"/>
          </w:rPr>
          <w:t>See also</w:t>
        </w:r>
      </w:hyperlink>
    </w:p>
    <w:p>
      <w:pPr>
        <w:pStyle w:val="Normal"/>
        <w:ind w:left="0" w:firstLineChars="0" w:firstLine="0" w:leftChars="400"/>
      </w:pPr>
      <w:hyperlink w:anchor="Top_of_index_split_130_html">
        <w:r>
          <w:rPr>
            <w:color w:val="0000FF" w:themeColor="hyperlink"/>
            <w:u w:val="single"/>
          </w:rPr>
          <w:t>Graphics</w:t>
        </w:r>
      </w:hyperlink>
    </w:p>
    <w:p>
      <w:pPr>
        <w:pStyle w:val="Normal"/>
        <w:ind w:left="0" w:firstLineChars="0" w:firstLine="0" w:leftChars="600"/>
      </w:pPr>
      <w:hyperlink w:anchor="Top_of_index_split_130_html">
        <w:r>
          <w:rPr>
            <w:color w:val="0000FF" w:themeColor="hyperlink"/>
            <w:u w:val="single"/>
          </w:rPr>
          <w:t>Graphics</w:t>
        </w:r>
      </w:hyperlink>
    </w:p>
    <w:p>
      <w:pPr>
        <w:pStyle w:val="Normal"/>
        <w:ind w:left="0" w:firstLineChars="0" w:firstLine="0" w:leftChars="800"/>
      </w:pPr>
      <w:hyperlink w:anchor="Top_of_index_split_130_html">
        <w:r>
          <w:rPr>
            <w:color w:val="0000FF" w:themeColor="hyperlink"/>
            <w:u w:val="single"/>
          </w:rPr>
          <w:t>On-system GPU</w:t>
        </w:r>
      </w:hyperlink>
    </w:p>
    <w:p>
      <w:pPr>
        <w:pStyle w:val="Normal"/>
        <w:ind w:left="0" w:firstLineChars="0" w:firstLine="0" w:leftChars="1000"/>
      </w:pPr>
      <w:hyperlink w:anchor="Top_of_index_split_130_html">
        <w:r>
          <w:rPr>
            <w:color w:val="0000FF" w:themeColor="hyperlink"/>
            <w:u w:val="single"/>
          </w:rPr>
          <w:t>NVIDIA drivers installation</w:t>
        </w:r>
      </w:hyperlink>
    </w:p>
    <w:p>
      <w:pPr>
        <w:pStyle w:val="Normal"/>
        <w:ind w:left="0" w:firstLineChars="0" w:firstLine="0" w:leftChars="1000"/>
      </w:pPr>
      <w:hyperlink w:anchor="Top_of_index_split_130_html">
        <w:r>
          <w:rPr>
            <w:color w:val="0000FF" w:themeColor="hyperlink"/>
            <w:u w:val="single"/>
          </w:rPr>
          <w:t>NVIDIA drivers releases</w:t>
        </w:r>
      </w:hyperlink>
    </w:p>
    <w:p>
      <w:pPr>
        <w:pStyle w:val="Normal"/>
        <w:ind w:left="0" w:firstLineChars="0" w:firstLine="0" w:leftChars="1000"/>
      </w:pPr>
      <w:hyperlink w:anchor="Top_of_index_split_130_html">
        <w:r>
          <w:rPr>
            <w:color w:val="0000FF" w:themeColor="hyperlink"/>
            <w:u w:val="single"/>
          </w:rPr>
          <w:t>Check driver versions</w:t>
        </w:r>
      </w:hyperlink>
    </w:p>
    <w:p>
      <w:pPr>
        <w:pStyle w:val="Normal"/>
        <w:ind w:left="0" w:firstLineChars="0" w:firstLine="0" w:leftChars="1000"/>
      </w:pPr>
      <w:hyperlink w:anchor="Top_of_index_split_131_html">
        <w:r>
          <w:rPr>
            <w:color w:val="0000FF" w:themeColor="hyperlink"/>
            <w:u w:val="single"/>
          </w:rPr>
          <w:t>The recommended way (ubuntu-drivers tool)</w:t>
        </w:r>
      </w:hyperlink>
    </w:p>
    <w:p>
      <w:pPr>
        <w:pStyle w:val="Normal"/>
        <w:ind w:left="0" w:firstLineChars="0" w:firstLine="0" w:leftChars="1000"/>
      </w:pPr>
      <w:hyperlink w:anchor="Top_of_index_split_131_html">
        <w:r>
          <w:rPr>
            <w:color w:val="0000FF" w:themeColor="hyperlink"/>
            <w:u w:val="single"/>
          </w:rPr>
          <w:t>Ensure your system and kernel is up-to-date</w:t>
        </w:r>
      </w:hyperlink>
    </w:p>
    <w:p>
      <w:pPr>
        <w:pStyle w:val="Normal"/>
        <w:ind w:left="0" w:firstLineChars="0" w:firstLine="0" w:leftChars="1000"/>
      </w:pPr>
      <w:hyperlink w:anchor="Top_of_index_split_131_html">
        <w:r>
          <w:rPr>
            <w:color w:val="0000FF" w:themeColor="hyperlink"/>
            <w:u w:val="single"/>
          </w:rPr>
          <w:t>Check the available drivers for your hardware</w:t>
        </w:r>
      </w:hyperlink>
    </w:p>
    <w:p>
      <w:pPr>
        <w:pStyle w:val="Normal"/>
        <w:ind w:left="0" w:firstLineChars="0" w:firstLine="0" w:leftChars="1000"/>
      </w:pPr>
      <w:hyperlink w:anchor="Top_of_index_split_132_html">
        <w:r>
          <w:rPr>
            <w:color w:val="0000FF" w:themeColor="hyperlink"/>
            <w:u w:val="single"/>
          </w:rPr>
          <w:t>Installing the drivers for generic use (e.g. desktop and gaming)</w:t>
        </w:r>
      </w:hyperlink>
    </w:p>
    <w:p>
      <w:pPr>
        <w:pStyle w:val="Normal"/>
        <w:ind w:left="0" w:firstLineChars="0" w:firstLine="0" w:leftChars="1000"/>
      </w:pPr>
      <w:hyperlink w:anchor="Top_of_index_split_132_html">
        <w:r>
          <w:rPr>
            <w:color w:val="0000FF" w:themeColor="hyperlink"/>
            <w:u w:val="single"/>
          </w:rPr>
          <w:t>Installing the drivers on servers and/or for computing purposes</w:t>
        </w:r>
      </w:hyperlink>
    </w:p>
    <w:p>
      <w:pPr>
        <w:pStyle w:val="Normal"/>
        <w:ind w:left="0" w:firstLineChars="0" w:firstLine="0" w:leftChars="1000"/>
      </w:pPr>
      <w:hyperlink w:anchor="Top_of_index_split_132_html">
        <w:r>
          <w:rPr>
            <w:color w:val="0000FF" w:themeColor="hyperlink"/>
            <w:u w:val="single"/>
          </w:rPr>
          <w:t>Optional step</w:t>
        </w:r>
      </w:hyperlink>
    </w:p>
    <w:p>
      <w:pPr>
        <w:pStyle w:val="Normal"/>
        <w:ind w:left="0" w:firstLineChars="0" w:firstLine="0" w:leftChars="1000"/>
      </w:pPr>
      <w:hyperlink w:anchor="page_523">
        <w:r>
          <w:rPr>
            <w:color w:val="0000FF" w:themeColor="hyperlink"/>
            <w:u w:val="single"/>
          </w:rPr>
          <w:t>Manual driver installation (using APT)</w:t>
        </w:r>
      </w:hyperlink>
    </w:p>
    <w:p>
      <w:pPr>
        <w:pStyle w:val="Normal"/>
        <w:ind w:left="0" w:firstLineChars="0" w:firstLine="0" w:leftChars="1000"/>
      </w:pPr>
      <w:hyperlink w:anchor="page_523">
        <w:r>
          <w:rPr>
            <w:color w:val="0000FF" w:themeColor="hyperlink"/>
            <w:u w:val="single"/>
          </w:rPr>
          <w:t>Installing the kernel modules</w:t>
        </w:r>
      </w:hyperlink>
    </w:p>
    <w:p>
      <w:pPr>
        <w:pStyle w:val="Normal"/>
        <w:ind w:left="0" w:firstLineChars="0" w:firstLine="0" w:leftChars="1000"/>
      </w:pPr>
      <w:hyperlink w:anchor="page_523">
        <w:r>
          <w:rPr>
            <w:color w:val="0000FF" w:themeColor="hyperlink"/>
            <w:u w:val="single"/>
          </w:rPr>
          <w:t>Installing the pre-compiled NVIDIA modules for your kernel</w:t>
        </w:r>
      </w:hyperlink>
    </w:p>
    <w:p>
      <w:pPr>
        <w:pStyle w:val="Normal"/>
        <w:ind w:left="0" w:firstLineChars="0" w:firstLine="0" w:leftChars="1000"/>
      </w:pPr>
      <w:hyperlink w:anchor="page_523">
        <w:r>
          <w:rPr>
            <w:color w:val="0000FF" w:themeColor="hyperlink"/>
            <w:u w:val="single"/>
          </w:rPr>
          <w:t>Building your own kernel modules using the NVIDIA DKMS package</w:t>
        </w:r>
      </w:hyperlink>
    </w:p>
    <w:p>
      <w:pPr>
        <w:pStyle w:val="Normal"/>
        <w:ind w:left="0" w:firstLineChars="0" w:firstLine="0" w:leftChars="1000"/>
      </w:pPr>
      <w:hyperlink w:anchor="page_524">
        <w:r>
          <w:rPr>
            <w:color w:val="0000FF" w:themeColor="hyperlink"/>
            <w:u w:val="single"/>
          </w:rPr>
          <w:t>Installing the user-space drivers and the driver libraries</w:t>
        </w:r>
      </w:hyperlink>
    </w:p>
    <w:p>
      <w:pPr>
        <w:pStyle w:val="Normal"/>
        <w:ind w:left="0" w:firstLineChars="0" w:firstLine="0" w:leftChars="1000"/>
      </w:pPr>
      <w:hyperlink w:anchor="page_524">
        <w:r>
          <w:rPr>
            <w:color w:val="0000FF" w:themeColor="hyperlink"/>
            <w:u w:val="single"/>
          </w:rPr>
          <w:t>(Optional) Installing Fabric Manager and the NSCQ library</w:t>
        </w:r>
      </w:hyperlink>
    </w:p>
    <w:p>
      <w:pPr>
        <w:pStyle w:val="Normal"/>
        <w:ind w:left="0" w:firstLineChars="0" w:firstLine="0" w:leftChars="1000"/>
      </w:pPr>
      <w:hyperlink w:anchor="page_524">
        <w:r>
          <w:rPr>
            <w:color w:val="0000FF" w:themeColor="hyperlink"/>
            <w:u w:val="single"/>
          </w:rPr>
          <w:t>Switching between pre-compiled and DKMS modules</w:t>
        </w:r>
      </w:hyperlink>
    </w:p>
    <w:p>
      <w:pPr>
        <w:pStyle w:val="Normal"/>
        <w:ind w:left="0" w:firstLineChars="0" w:firstLine="0" w:leftChars="1000"/>
      </w:pPr>
      <w:hyperlink w:anchor="Top_of_index_split_133_html">
        <w:r>
          <w:rPr>
            <w:color w:val="0000FF" w:themeColor="hyperlink"/>
            <w:u w:val="single"/>
          </w:rPr>
          <w:t>Uninstalling the NVIDIA drivers</w:t>
        </w:r>
      </w:hyperlink>
    </w:p>
    <w:p>
      <w:pPr>
        <w:pStyle w:val="Normal"/>
        <w:ind w:left="0" w:firstLineChars="0" w:firstLine="0" w:leftChars="1000"/>
      </w:pPr>
      <w:hyperlink w:anchor="Top_of_index_split_133_html">
        <w:r>
          <w:rPr>
            <w:color w:val="0000FF" w:themeColor="hyperlink"/>
            <w:u w:val="single"/>
          </w:rPr>
          <w:t>Transitional packages to new driver branches</w:t>
        </w:r>
      </w:hyperlink>
    </w:p>
    <w:p>
      <w:pPr>
        <w:pStyle w:val="Normal"/>
        <w:ind w:left="0" w:firstLineChars="0" w:firstLine="0" w:leftChars="1000"/>
      </w:pPr>
      <w:hyperlink w:anchor="Top_of_index_split_133_html">
        <w:r>
          <w:rPr>
            <w:color w:val="0000FF" w:themeColor="hyperlink"/>
            <w:u w:val="single"/>
          </w:rPr>
          <w:t>Troubleshooting</w:t>
        </w:r>
      </w:hyperlink>
    </w:p>
    <w:p>
      <w:pPr>
        <w:pStyle w:val="Normal"/>
        <w:ind w:left="0" w:firstLineChars="0" w:firstLine="0" w:leftChars="1000"/>
      </w:pPr>
      <w:hyperlink w:anchor="Top_of_index_split_133_html">
        <w:r>
          <w:rPr>
            <w:color w:val="0000FF" w:themeColor="hyperlink"/>
            <w:u w:val="single"/>
          </w:rPr>
          <w:t>Driver/library version mismatch error</w:t>
        </w:r>
      </w:hyperlink>
    </w:p>
    <w:p>
      <w:pPr>
        <w:pStyle w:val="Normal"/>
        <w:ind w:left="0" w:firstLineChars="0" w:firstLine="0" w:leftChars="1000"/>
      </w:pPr>
      <w:hyperlink w:anchor="page_526">
        <w:r>
          <w:rPr>
            <w:color w:val="0000FF" w:themeColor="hyperlink"/>
            <w:u w:val="single"/>
          </w:rPr>
          <w:t>No devices were found error</w:t>
        </w:r>
      </w:hyperlink>
    </w:p>
    <w:p>
      <w:pPr>
        <w:pStyle w:val="Normal"/>
        <w:ind w:left="0" w:firstLineChars="0" w:firstLine="0" w:leftChars="800"/>
      </w:pPr>
      <w:hyperlink w:anchor="page_526">
        <w:r>
          <w:rPr>
            <w:color w:val="0000FF" w:themeColor="hyperlink"/>
            <w:u w:val="single"/>
          </w:rPr>
          <w:t>Virtual GPU</w:t>
        </w:r>
      </w:hyperlink>
    </w:p>
    <w:p>
      <w:pPr>
        <w:pStyle w:val="Normal"/>
        <w:ind w:left="0" w:firstLineChars="0" w:firstLine="0" w:leftChars="1000"/>
      </w:pPr>
      <w:hyperlink w:anchor="page_526">
        <w:r>
          <w:rPr>
            <w:color w:val="0000FF" w:themeColor="hyperlink"/>
            <w:u w:val="single"/>
          </w:rPr>
          <w:t>GPU virtualisation with QEMU/KVM</w:t>
        </w:r>
      </w:hyperlink>
    </w:p>
    <w:p>
      <w:pPr>
        <w:pStyle w:val="Normal"/>
        <w:ind w:left="0" w:firstLineChars="0" w:firstLine="0" w:leftChars="1000"/>
      </w:pPr>
      <w:hyperlink w:anchor="page_526">
        <w:r>
          <w:rPr>
            <w:color w:val="0000FF" w:themeColor="hyperlink"/>
            <w:u w:val="single"/>
          </w:rPr>
          <w:t>Graphics</w:t>
        </w:r>
      </w:hyperlink>
    </w:p>
    <w:p>
      <w:pPr>
        <w:pStyle w:val="Normal"/>
        <w:ind w:left="0" w:firstLineChars="0" w:firstLine="0" w:leftChars="1000"/>
      </w:pPr>
      <w:hyperlink w:anchor="Top_of_index_split_134_html">
        <w:r>
          <w:rPr>
            <w:color w:val="0000FF" w:themeColor="hyperlink"/>
            <w:u w:val="single"/>
          </w:rPr>
          <w:t>Preparing the input-output memory management unit (IOMMU)</w:t>
        </w:r>
      </w:hyperlink>
    </w:p>
    <w:p>
      <w:pPr>
        <w:pStyle w:val="Normal"/>
        <w:ind w:left="0" w:firstLineChars="0" w:firstLine="0" w:leftChars="1000"/>
      </w:pPr>
      <w:hyperlink w:anchor="page_529">
        <w:r>
          <w:rPr>
            <w:color w:val="0000FF" w:themeColor="hyperlink"/>
            <w:u w:val="single"/>
          </w:rPr>
          <w:t>Preparations for PCI and mediated devices pass-through – block host drivers</w:t>
        </w:r>
      </w:hyperlink>
    </w:p>
    <w:p>
      <w:pPr>
        <w:pStyle w:val="Normal"/>
        <w:ind w:left="0" w:firstLineChars="0" w:firstLine="0" w:leftChars="1000"/>
      </w:pPr>
      <w:hyperlink w:anchor="page_529">
        <w:r>
          <w:rPr>
            <w:color w:val="0000FF" w:themeColor="hyperlink"/>
            <w:u w:val="single"/>
          </w:rPr>
          <w:t>Preparations for mediated devices pass-through - driver</w:t>
        </w:r>
      </w:hyperlink>
    </w:p>
    <w:p>
      <w:pPr>
        <w:pStyle w:val="Normal"/>
        <w:ind w:left="0" w:firstLineChars="0" w:firstLine="0" w:leftChars="1000"/>
      </w:pPr>
      <w:hyperlink w:anchor="page_532">
        <w:r>
          <w:rPr>
            <w:color w:val="0000FF" w:themeColor="hyperlink"/>
            <w:u w:val="single"/>
          </w:rPr>
          <w:t>Passing through PCI or mediated devices</w:t>
        </w:r>
      </w:hyperlink>
    </w:p>
    <w:p>
      <w:pPr>
        <w:pStyle w:val="Normal"/>
        <w:ind w:left="0" w:firstLineChars="0" w:firstLine="0" w:leftChars="400"/>
      </w:pPr>
      <w:hyperlink w:anchor="page_533">
        <w:r>
          <w:rPr>
            <w:color w:val="0000FF" w:themeColor="hyperlink"/>
            <w:u w:val="single"/>
          </w:rPr>
          <w:t>Virtualisation</w:t>
        </w:r>
      </w:hyperlink>
    </w:p>
    <w:p>
      <w:pPr>
        <w:pStyle w:val="Normal"/>
        <w:ind w:left="0" w:firstLineChars="0" w:firstLine="0" w:leftChars="600"/>
      </w:pPr>
      <w:hyperlink w:anchor="page_533">
        <w:r>
          <w:rPr>
            <w:color w:val="0000FF" w:themeColor="hyperlink"/>
            <w:u w:val="single"/>
          </w:rPr>
          <w:t>Virtualisation</w:t>
        </w:r>
      </w:hyperlink>
    </w:p>
    <w:p>
      <w:pPr>
        <w:pStyle w:val="Normal"/>
        <w:ind w:left="0" w:firstLineChars="0" w:firstLine="0" w:leftChars="800"/>
      </w:pPr>
      <w:hyperlink w:anchor="page_533">
        <w:r>
          <w:rPr>
            <w:color w:val="0000FF" w:themeColor="hyperlink"/>
            <w:u w:val="single"/>
          </w:rPr>
          <w:t>Virtual machines</w:t>
        </w:r>
      </w:hyperlink>
    </w:p>
    <w:p>
      <w:pPr>
        <w:pStyle w:val="Normal"/>
        <w:ind w:left="0" w:firstLineChars="0" w:firstLine="0" w:leftChars="1000"/>
      </w:pPr>
      <w:hyperlink w:anchor="page_533">
        <w:r>
          <w:rPr>
            <w:color w:val="0000FF" w:themeColor="hyperlink"/>
            <w:u w:val="single"/>
          </w:rPr>
          <w:t>LXD containers and virtual machines</w:t>
        </w:r>
      </w:hyperlink>
    </w:p>
    <w:p>
      <w:pPr>
        <w:pStyle w:val="Normal"/>
        <w:ind w:left="0" w:firstLineChars="0" w:firstLine="0" w:leftChars="1000"/>
      </w:pPr>
      <w:hyperlink w:anchor="page_533">
        <w:r>
          <w:rPr>
            <w:color w:val="0000FF" w:themeColor="hyperlink"/>
            <w:u w:val="single"/>
          </w:rPr>
          <w:t>Online resources</w:t>
        </w:r>
      </w:hyperlink>
    </w:p>
    <w:p>
      <w:pPr>
        <w:pStyle w:val="Normal"/>
        <w:ind w:left="0" w:firstLineChars="0" w:firstLine="0" w:leftChars="1000"/>
      </w:pPr>
      <w:hyperlink w:anchor="Top_of_index_split_135_html">
        <w:r>
          <w:rPr>
            <w:color w:val="0000FF" w:themeColor="hyperlink"/>
            <w:u w:val="single"/>
          </w:rPr>
          <w:t>Installation</w:t>
        </w:r>
      </w:hyperlink>
    </w:p>
    <w:p>
      <w:pPr>
        <w:pStyle w:val="Normal"/>
        <w:ind w:left="0" w:firstLineChars="0" w:firstLine="0" w:leftChars="1000"/>
      </w:pPr>
      <w:hyperlink w:anchor="Top_of_index_split_135_html">
        <w:r>
          <w:rPr>
            <w:color w:val="0000FF" w:themeColor="hyperlink"/>
            <w:u w:val="single"/>
          </w:rPr>
          <w:t>Configuration</w:t>
        </w:r>
      </w:hyperlink>
    </w:p>
    <w:p>
      <w:pPr>
        <w:pStyle w:val="Normal"/>
        <w:ind w:left="0" w:firstLineChars="0" w:firstLine="0" w:leftChars="1000"/>
      </w:pPr>
      <w:hyperlink w:anchor="Top_of_index_split_135_html">
        <w:r>
          <w:rPr>
            <w:color w:val="0000FF" w:themeColor="hyperlink"/>
            <w:u w:val="single"/>
          </w:rPr>
          <w:t>Creating your first container</w:t>
        </w:r>
      </w:hyperlink>
    </w:p>
    <w:p>
      <w:pPr>
        <w:pStyle w:val="Normal"/>
        <w:ind w:left="0" w:firstLineChars="0" w:firstLine="0" w:leftChars="1000"/>
      </w:pPr>
      <w:hyperlink w:anchor="Top_of_index_split_136_html">
        <w:r>
          <w:rPr>
            <w:color w:val="0000FF" w:themeColor="hyperlink"/>
            <w:u w:val="single"/>
          </w:rPr>
          <w:t>Creating a container</w:t>
        </w:r>
      </w:hyperlink>
    </w:p>
    <w:p>
      <w:pPr>
        <w:pStyle w:val="Normal"/>
        <w:ind w:left="0" w:firstLineChars="0" w:firstLine="0" w:leftChars="1000"/>
      </w:pPr>
      <w:hyperlink w:anchor="page_536">
        <w:r>
          <w:rPr>
            <w:color w:val="0000FF" w:themeColor="hyperlink"/>
            <w:u w:val="single"/>
          </w:rPr>
          <w:t>LXD server configuration</w:t>
        </w:r>
      </w:hyperlink>
    </w:p>
    <w:p>
      <w:pPr>
        <w:pStyle w:val="Normal"/>
        <w:ind w:left="0" w:firstLineChars="0" w:firstLine="0" w:leftChars="1000"/>
      </w:pPr>
      <w:hyperlink w:anchor="page_536">
        <w:r>
          <w:rPr>
            <w:color w:val="0000FF" w:themeColor="hyperlink"/>
            <w:u w:val="single"/>
          </w:rPr>
          <w:t>Authentication</w:t>
        </w:r>
      </w:hyperlink>
    </w:p>
    <w:p>
      <w:pPr>
        <w:pStyle w:val="Normal"/>
        <w:ind w:left="0" w:firstLineChars="0" w:firstLine="0" w:leftChars="1000"/>
      </w:pPr>
      <w:hyperlink w:anchor="Top_of_index_split_137_html">
        <w:r>
          <w:rPr>
            <w:color w:val="0000FF" w:themeColor="hyperlink"/>
            <w:u w:val="single"/>
          </w:rPr>
          <w:t>Backing store</w:t>
        </w:r>
      </w:hyperlink>
    </w:p>
    <w:p>
      <w:pPr>
        <w:pStyle w:val="Normal"/>
        <w:ind w:left="0" w:firstLineChars="0" w:firstLine="0" w:leftChars="1000"/>
      </w:pPr>
      <w:hyperlink w:anchor="Top_of_index_split_137_html">
        <w:r>
          <w:rPr>
            <w:color w:val="0000FF" w:themeColor="hyperlink"/>
            <w:u w:val="single"/>
          </w:rPr>
          <w:t>Container configuration</w:t>
        </w:r>
      </w:hyperlink>
    </w:p>
    <w:p>
      <w:pPr>
        <w:pStyle w:val="Normal"/>
        <w:ind w:left="0" w:firstLineChars="0" w:firstLine="0" w:leftChars="1000"/>
      </w:pPr>
      <w:hyperlink w:anchor="Top_of_index_split_137_html">
        <w:r>
          <w:rPr>
            <w:color w:val="0000FF" w:themeColor="hyperlink"/>
            <w:u w:val="single"/>
          </w:rPr>
          <w:t>Profiles</w:t>
        </w:r>
      </w:hyperlink>
    </w:p>
    <w:p>
      <w:pPr>
        <w:pStyle w:val="Normal"/>
        <w:ind w:left="0" w:firstLineChars="0" w:firstLine="0" w:leftChars="1000"/>
      </w:pPr>
      <w:hyperlink w:anchor="page_538">
        <w:r>
          <w:rPr>
            <w:color w:val="0000FF" w:themeColor="hyperlink"/>
            <w:u w:val="single"/>
          </w:rPr>
          <w:t>Nesting</w:t>
        </w:r>
      </w:hyperlink>
    </w:p>
    <w:p>
      <w:pPr>
        <w:pStyle w:val="Normal"/>
        <w:ind w:left="0" w:firstLineChars="0" w:firstLine="0" w:leftChars="1000"/>
      </w:pPr>
      <w:hyperlink w:anchor="page_538">
        <w:r>
          <w:rPr>
            <w:color w:val="0000FF" w:themeColor="hyperlink"/>
            <w:u w:val="single"/>
          </w:rPr>
          <w:t>Limits</w:t>
        </w:r>
      </w:hyperlink>
    </w:p>
    <w:p>
      <w:pPr>
        <w:pStyle w:val="Normal"/>
        <w:ind w:left="0" w:firstLineChars="0" w:firstLine="0" w:leftChars="1000"/>
      </w:pPr>
      <w:hyperlink w:anchor="page_538">
        <w:r>
          <w:rPr>
            <w:color w:val="0000FF" w:themeColor="hyperlink"/>
            <w:u w:val="single"/>
          </w:rPr>
          <w:t>UID mappings and privileged containers</w:t>
        </w:r>
      </w:hyperlink>
    </w:p>
    <w:p>
      <w:pPr>
        <w:pStyle w:val="Normal"/>
        <w:ind w:left="0" w:firstLineChars="0" w:firstLine="0" w:leftChars="1000"/>
      </w:pPr>
      <w:hyperlink w:anchor="page_539">
        <w:r>
          <w:rPr>
            <w:color w:val="0000FF" w:themeColor="hyperlink"/>
            <w:u w:val="single"/>
          </w:rPr>
          <w:t>AppArmor</w:t>
        </w:r>
      </w:hyperlink>
    </w:p>
    <w:p>
      <w:pPr>
        <w:pStyle w:val="Normal"/>
        <w:ind w:left="0" w:firstLineChars="0" w:firstLine="0" w:leftChars="1000"/>
      </w:pPr>
      <w:hyperlink w:anchor="page_539">
        <w:r>
          <w:rPr>
            <w:color w:val="0000FF" w:themeColor="hyperlink"/>
            <w:u w:val="single"/>
          </w:rPr>
          <w:t>Seccomp</w:t>
        </w:r>
      </w:hyperlink>
    </w:p>
    <w:p>
      <w:pPr>
        <w:pStyle w:val="Normal"/>
        <w:ind w:left="0" w:firstLineChars="0" w:firstLine="0" w:leftChars="1000"/>
      </w:pPr>
      <w:hyperlink w:anchor="page_539">
        <w:r>
          <w:rPr>
            <w:color w:val="0000FF" w:themeColor="hyperlink"/>
            <w:u w:val="single"/>
          </w:rPr>
          <w:t>Raw LXC configuration</w:t>
        </w:r>
      </w:hyperlink>
    </w:p>
    <w:p>
      <w:pPr>
        <w:pStyle w:val="Normal"/>
        <w:ind w:left="0" w:firstLineChars="0" w:firstLine="0" w:leftChars="1000"/>
      </w:pPr>
      <w:hyperlink w:anchor="page_539">
        <w:r>
          <w:rPr>
            <w:color w:val="0000FF" w:themeColor="hyperlink"/>
            <w:u w:val="single"/>
          </w:rPr>
          <w:t>Snapshots</w:t>
        </w:r>
      </w:hyperlink>
    </w:p>
    <w:p>
      <w:pPr>
        <w:pStyle w:val="Normal"/>
        <w:ind w:left="0" w:firstLineChars="0" w:firstLine="0" w:leftChars="1000"/>
      </w:pPr>
      <w:hyperlink w:anchor="page_540">
        <w:r>
          <w:rPr>
            <w:color w:val="0000FF" w:themeColor="hyperlink"/>
            <w:u w:val="single"/>
          </w:rPr>
          <w:t>Publishing images</w:t>
        </w:r>
      </w:hyperlink>
    </w:p>
    <w:p>
      <w:pPr>
        <w:pStyle w:val="Normal"/>
        <w:ind w:left="0" w:firstLineChars="0" w:firstLine="0" w:leftChars="1000"/>
      </w:pPr>
      <w:hyperlink w:anchor="page_540">
        <w:r>
          <w:rPr>
            <w:color w:val="0000FF" w:themeColor="hyperlink"/>
            <w:u w:val="single"/>
          </w:rPr>
          <w:t>Image export and import</w:t>
        </w:r>
      </w:hyperlink>
    </w:p>
    <w:p>
      <w:pPr>
        <w:pStyle w:val="Normal"/>
        <w:ind w:left="0" w:firstLineChars="0" w:firstLine="0" w:leftChars="1000"/>
      </w:pPr>
      <w:hyperlink w:anchor="page_540">
        <w:r>
          <w:rPr>
            <w:color w:val="0000FF" w:themeColor="hyperlink"/>
            <w:u w:val="single"/>
          </w:rPr>
          <w:t>Troubleshooting</w:t>
        </w:r>
      </w:hyperlink>
    </w:p>
    <w:p>
      <w:pPr>
        <w:pStyle w:val="Normal"/>
        <w:ind w:left="0" w:firstLineChars="0" w:firstLine="0" w:leftChars="1000"/>
      </w:pPr>
      <w:hyperlink w:anchor="Top_of_index_split_138_html">
        <w:r>
          <w:rPr>
            <w:color w:val="0000FF" w:themeColor="hyperlink"/>
            <w:u w:val="single"/>
          </w:rPr>
          <w:t>How to create a VM with Multipass</w:t>
        </w:r>
      </w:hyperlink>
    </w:p>
    <w:p>
      <w:pPr>
        <w:pStyle w:val="Normal"/>
        <w:ind w:left="0" w:firstLineChars="0" w:firstLine="0" w:leftChars="1000"/>
      </w:pPr>
      <w:hyperlink w:anchor="Top_of_index_split_138_html">
        <w:r>
          <w:rPr>
            <w:color w:val="0000FF" w:themeColor="hyperlink"/>
            <w:u w:val="single"/>
          </w:rPr>
          <w:t>Find available images</w:t>
        </w:r>
      </w:hyperlink>
    </w:p>
    <w:p>
      <w:pPr>
        <w:pStyle w:val="Normal"/>
        <w:ind w:left="0" w:firstLineChars="0" w:firstLine="0" w:leftChars="1000"/>
      </w:pPr>
      <w:hyperlink w:anchor="page_542">
        <w:r>
          <w:rPr>
            <w:color w:val="0000FF" w:themeColor="hyperlink"/>
            <w:u w:val="single"/>
          </w:rPr>
          <w:t>Launch a fresh instance of the Ubuntu Jammy (22.04) LTS</w:t>
        </w:r>
      </w:hyperlink>
    </w:p>
    <w:p>
      <w:pPr>
        <w:pStyle w:val="Normal"/>
        <w:ind w:left="0" w:firstLineChars="0" w:firstLine="0" w:leftChars="1000"/>
      </w:pPr>
      <w:hyperlink w:anchor="page_542">
        <w:r>
          <w:rPr>
            <w:color w:val="0000FF" w:themeColor="hyperlink"/>
            <w:u w:val="single"/>
          </w:rPr>
          <w:t>Check out the running instances</w:t>
        </w:r>
      </w:hyperlink>
    </w:p>
    <w:p>
      <w:pPr>
        <w:pStyle w:val="Normal"/>
        <w:ind w:left="0" w:firstLineChars="0" w:firstLine="0" w:leftChars="1000"/>
      </w:pPr>
      <w:hyperlink w:anchor="page_542">
        <w:r>
          <w:rPr>
            <w:color w:val="0000FF" w:themeColor="hyperlink"/>
            <w:u w:val="single"/>
          </w:rPr>
          <w:t>Learn more about the VM instance you just launched</w:t>
        </w:r>
      </w:hyperlink>
    </w:p>
    <w:p>
      <w:pPr>
        <w:pStyle w:val="Normal"/>
        <w:ind w:left="0" w:firstLineChars="0" w:firstLine="0" w:leftChars="1000"/>
      </w:pPr>
      <w:hyperlink w:anchor="Top_of_index_split_139_html">
        <w:r>
          <w:rPr>
            <w:color w:val="0000FF" w:themeColor="hyperlink"/>
            <w:u w:val="single"/>
          </w:rPr>
          <w:t>Connect to a running instance</w:t>
        </w:r>
      </w:hyperlink>
    </w:p>
    <w:p>
      <w:pPr>
        <w:pStyle w:val="Normal"/>
        <w:ind w:left="0" w:firstLineChars="0" w:firstLine="0" w:leftChars="1000"/>
      </w:pPr>
      <w:hyperlink w:anchor="Top_of_index_split_139_html">
        <w:r>
          <w:rPr>
            <w:color w:val="0000FF" w:themeColor="hyperlink"/>
            <w:u w:val="single"/>
          </w:rPr>
          <w:t>Disconnect from the instance</w:t>
        </w:r>
      </w:hyperlink>
    </w:p>
    <w:p>
      <w:pPr>
        <w:pStyle w:val="Normal"/>
        <w:ind w:left="0" w:firstLineChars="0" w:firstLine="0" w:leftChars="1000"/>
      </w:pPr>
      <w:hyperlink w:anchor="Top_of_index_split_139_html">
        <w:r>
          <w:rPr>
            <w:color w:val="0000FF" w:themeColor="hyperlink"/>
            <w:u w:val="single"/>
          </w:rPr>
          <w:t>Run commands inside an instance from outside</w:t>
        </w:r>
      </w:hyperlink>
    </w:p>
    <w:p>
      <w:pPr>
        <w:pStyle w:val="Normal"/>
        <w:ind w:left="0" w:firstLineChars="0" w:firstLine="0" w:leftChars="1000"/>
      </w:pPr>
      <w:hyperlink w:anchor="Top_of_index_split_139_html">
        <w:r>
          <w:rPr>
            <w:color w:val="0000FF" w:themeColor="hyperlink"/>
            <w:u w:val="single"/>
          </w:rPr>
          <w:t>Stop or start an instance</w:t>
        </w:r>
      </w:hyperlink>
    </w:p>
    <w:p>
      <w:pPr>
        <w:pStyle w:val="Normal"/>
        <w:ind w:left="0" w:firstLineChars="0" w:firstLine="0" w:leftChars="1000"/>
      </w:pPr>
      <w:hyperlink w:anchor="Top_of_index_split_139_html">
        <w:r>
          <w:rPr>
            <w:color w:val="0000FF" w:themeColor="hyperlink"/>
            <w:u w:val="single"/>
          </w:rPr>
          <w:t>Delete the instance</w:t>
        </w:r>
      </w:hyperlink>
    </w:p>
    <w:p>
      <w:pPr>
        <w:pStyle w:val="Normal"/>
        <w:ind w:left="0" w:firstLineChars="0" w:firstLine="0" w:leftChars="1000"/>
      </w:pPr>
      <w:hyperlink w:anchor="page_544">
        <w:r>
          <w:rPr>
            <w:color w:val="0000FF" w:themeColor="hyperlink"/>
            <w:u w:val="single"/>
          </w:rPr>
          <w:t>Integrate with the rest of your virtualisation</w:t>
        </w:r>
      </w:hyperlink>
    </w:p>
    <w:p>
      <w:pPr>
        <w:pStyle w:val="Normal"/>
        <w:ind w:left="0" w:firstLineChars="0" w:firstLine="0" w:leftChars="1000"/>
      </w:pPr>
      <w:hyperlink w:anchor="page_545">
        <w:r>
          <w:rPr>
            <w:color w:val="0000FF" w:themeColor="hyperlink"/>
            <w:u w:val="single"/>
          </w:rPr>
          <w:t>Get help</w:t>
        </w:r>
      </w:hyperlink>
    </w:p>
    <w:p>
      <w:pPr>
        <w:pStyle w:val="Normal"/>
        <w:ind w:left="0" w:firstLineChars="0" w:firstLine="0" w:leftChars="1000"/>
      </w:pPr>
      <w:hyperlink w:anchor="page_545">
        <w:r>
          <w:rPr>
            <w:color w:val="0000FF" w:themeColor="hyperlink"/>
            <w:u w:val="single"/>
          </w:rPr>
          <w:t>Create cloud image VMs with UVtool</w:t>
        </w:r>
      </w:hyperlink>
    </w:p>
    <w:p>
      <w:pPr>
        <w:pStyle w:val="Normal"/>
        <w:ind w:left="0" w:firstLineChars="0" w:firstLine="0" w:leftChars="1000"/>
      </w:pPr>
      <w:hyperlink w:anchor="page_545">
        <w:r>
          <w:rPr>
            <w:color w:val="0000FF" w:themeColor="hyperlink"/>
            <w:u w:val="single"/>
          </w:rPr>
          <w:t>Creating virtual machines using uvtool</w:t>
        </w:r>
      </w:hyperlink>
    </w:p>
    <w:p>
      <w:pPr>
        <w:pStyle w:val="Normal"/>
        <w:ind w:left="0" w:firstLineChars="0" w:firstLine="0" w:leftChars="1000"/>
      </w:pPr>
      <w:hyperlink w:anchor="page_545">
        <w:r>
          <w:rPr>
            <w:color w:val="0000FF" w:themeColor="hyperlink"/>
            <w:u w:val="single"/>
          </w:rPr>
          <w:t>Install uvtool packages</w:t>
        </w:r>
      </w:hyperlink>
    </w:p>
    <w:p>
      <w:pPr>
        <w:pStyle w:val="Normal"/>
        <w:ind w:left="0" w:firstLineChars="0" w:firstLine="0" w:leftChars="1000"/>
      </w:pPr>
      <w:hyperlink w:anchor="Top_of_index_split_140_html">
        <w:r>
          <w:rPr>
            <w:color w:val="0000FF" w:themeColor="hyperlink"/>
            <w:u w:val="single"/>
          </w:rPr>
          <w:t>Get the Ubuntu cloud image with uvt-simplestreams-libvirt</w:t>
        </w:r>
      </w:hyperlink>
    </w:p>
    <w:p>
      <w:pPr>
        <w:pStyle w:val="Normal"/>
        <w:ind w:left="0" w:firstLineChars="0" w:firstLine="0" w:leftChars="1000"/>
      </w:pPr>
      <w:hyperlink w:anchor="Top_of_index_split_140_html">
        <w:r>
          <w:rPr>
            <w:color w:val="0000FF" w:themeColor="hyperlink"/>
            <w:u w:val="single"/>
          </w:rPr>
          <w:t>Create a valid SSH key</w:t>
        </w:r>
      </w:hyperlink>
    </w:p>
    <w:p>
      <w:pPr>
        <w:pStyle w:val="Normal"/>
        <w:ind w:left="0" w:firstLineChars="0" w:firstLine="0" w:leftChars="1000"/>
      </w:pPr>
      <w:hyperlink w:anchor="page_547">
        <w:r>
          <w:rPr>
            <w:color w:val="0000FF" w:themeColor="hyperlink"/>
            <w:u w:val="single"/>
          </w:rPr>
          <w:t>Create the VM using uvt-kvm</w:t>
        </w:r>
      </w:hyperlink>
    </w:p>
    <w:p>
      <w:pPr>
        <w:pStyle w:val="Normal"/>
        <w:ind w:left="0" w:firstLineChars="0" w:firstLine="0" w:leftChars="1000"/>
      </w:pPr>
      <w:hyperlink w:anchor="page_547">
        <w:r>
          <w:rPr>
            <w:color w:val="0000FF" w:themeColor="hyperlink"/>
            <w:u w:val="single"/>
          </w:rPr>
          <w:t>Connect to the running VM</w:t>
        </w:r>
      </w:hyperlink>
    </w:p>
    <w:p>
      <w:pPr>
        <w:pStyle w:val="Normal"/>
        <w:ind w:left="0" w:firstLineChars="0" w:firstLine="0" w:leftChars="1000"/>
      </w:pPr>
      <w:hyperlink w:anchor="page_547">
        <w:r>
          <w:rPr>
            <w:color w:val="0000FF" w:themeColor="hyperlink"/>
            <w:u w:val="single"/>
          </w:rPr>
          <w:t>Get the list of running VMs</w:t>
        </w:r>
      </w:hyperlink>
    </w:p>
    <w:p>
      <w:pPr>
        <w:pStyle w:val="Normal"/>
        <w:ind w:left="0" w:firstLineChars="0" w:firstLine="0" w:leftChars="1000"/>
      </w:pPr>
      <w:hyperlink w:anchor="Top_of_index_split_141_html">
        <w:r>
          <w:rPr>
            <w:color w:val="0000FF" w:themeColor="hyperlink"/>
            <w:u w:val="single"/>
          </w:rPr>
          <w:t>Destroy your VM</w:t>
        </w:r>
      </w:hyperlink>
    </w:p>
    <w:p>
      <w:pPr>
        <w:pStyle w:val="Normal"/>
        <w:ind w:left="0" w:firstLineChars="0" w:firstLine="0" w:leftChars="1000"/>
      </w:pPr>
      <w:hyperlink w:anchor="Top_of_index_split_141_html">
        <w:r>
          <w:rPr>
            <w:color w:val="0000FF" w:themeColor="hyperlink"/>
            <w:u w:val="single"/>
          </w:rPr>
          <w:t>More uvt-kvm options</w:t>
        </w:r>
      </w:hyperlink>
    </w:p>
    <w:p>
      <w:pPr>
        <w:pStyle w:val="Normal"/>
        <w:ind w:left="0" w:firstLineChars="0" w:firstLine="0" w:leftChars="1000"/>
      </w:pPr>
      <w:hyperlink w:anchor="Top_of_index_split_141_html">
        <w:r>
          <w:rPr>
            <w:color w:val="0000FF" w:themeColor="hyperlink"/>
            <w:u w:val="single"/>
          </w:rPr>
          <w:t>Resources</w:t>
        </w:r>
      </w:hyperlink>
    </w:p>
    <w:p>
      <w:pPr>
        <w:pStyle w:val="Normal"/>
        <w:ind w:left="0" w:firstLineChars="0" w:firstLine="0" w:leftChars="1000"/>
      </w:pPr>
      <w:hyperlink w:anchor="Top_of_index_split_142_html">
        <w:r>
          <w:rPr>
            <w:color w:val="0000FF" w:themeColor="hyperlink"/>
            <w:u w:val="single"/>
          </w:rPr>
          <w:t>QEMU</w:t>
        </w:r>
      </w:hyperlink>
    </w:p>
    <w:p>
      <w:pPr>
        <w:pStyle w:val="Normal"/>
        <w:ind w:left="0" w:firstLineChars="0" w:firstLine="0" w:leftChars="1000"/>
      </w:pPr>
      <w:hyperlink w:anchor="Top_of_index_split_142_html">
        <w:r>
          <w:rPr>
            <w:color w:val="0000FF" w:themeColor="hyperlink"/>
            <w:u w:val="single"/>
          </w:rPr>
          <w:t>Virtualisation with QEMU</w:t>
        </w:r>
      </w:hyperlink>
    </w:p>
    <w:p>
      <w:pPr>
        <w:pStyle w:val="Normal"/>
        <w:ind w:left="0" w:firstLineChars="0" w:firstLine="0" w:leftChars="1000"/>
      </w:pPr>
      <w:hyperlink w:anchor="Top_of_index_split_142_html">
        <w:r>
          <w:rPr>
            <w:color w:val="0000FF" w:themeColor="hyperlink"/>
            <w:u w:val="single"/>
          </w:rPr>
          <w:t>Install QEMU/KVM</w:t>
        </w:r>
      </w:hyperlink>
    </w:p>
    <w:p>
      <w:pPr>
        <w:pStyle w:val="Normal"/>
        <w:ind w:left="0" w:firstLineChars="0" w:firstLine="0" w:leftChars="1000"/>
      </w:pPr>
      <w:hyperlink w:anchor="Top_of_index_split_144_html">
        <w:r>
          <w:rPr>
            <w:color w:val="0000FF" w:themeColor="hyperlink"/>
            <w:u w:val="single"/>
          </w:rPr>
          <w:t>Boot a VM</w:t>
        </w:r>
      </w:hyperlink>
    </w:p>
    <w:p>
      <w:pPr>
        <w:pStyle w:val="Normal"/>
        <w:ind w:left="0" w:firstLineChars="0" w:firstLine="0" w:leftChars="1000"/>
      </w:pPr>
      <w:hyperlink w:anchor="Top_of_index_split_144_html">
        <w:r>
          <w:rPr>
            <w:color w:val="0000FF" w:themeColor="hyperlink"/>
            <w:u w:val="single"/>
          </w:rPr>
          <w:t>Create a virtual disk</w:t>
        </w:r>
      </w:hyperlink>
    </w:p>
    <w:p>
      <w:pPr>
        <w:pStyle w:val="Normal"/>
        <w:ind w:left="0" w:firstLineChars="0" w:firstLine="0" w:leftChars="1000"/>
      </w:pPr>
      <w:hyperlink w:anchor="Top_of_index_split_145_html">
        <w:r>
          <w:rPr>
            <w:color w:val="0000FF" w:themeColor="hyperlink"/>
            <w:u w:val="single"/>
          </w:rPr>
          <w:t>Create QEMU VMs with up to 1024 vCPUs</w:t>
        </w:r>
      </w:hyperlink>
    </w:p>
    <w:p>
      <w:pPr>
        <w:pStyle w:val="Normal"/>
        <w:ind w:left="0" w:firstLineChars="0" w:firstLine="0" w:leftChars="1000"/>
      </w:pPr>
      <w:hyperlink w:anchor="Top_of_index_split_145_html">
        <w:r>
          <w:rPr>
            <w:color w:val="0000FF" w:themeColor="hyperlink"/>
            <w:u w:val="single"/>
          </w:rPr>
          <w:t>Requirement</w:t>
        </w:r>
      </w:hyperlink>
    </w:p>
    <w:p>
      <w:pPr>
        <w:pStyle w:val="Normal"/>
        <w:ind w:left="0" w:firstLineChars="0" w:firstLine="0" w:leftChars="1000"/>
      </w:pPr>
      <w:hyperlink w:anchor="Top_of_index_split_145_html">
        <w:r>
          <w:rPr>
            <w:color w:val="0000FF" w:themeColor="hyperlink"/>
            <w:u w:val="single"/>
          </w:rPr>
          <w:t>Configuration by Ubuntu release</w:t>
        </w:r>
      </w:hyperlink>
    </w:p>
    <w:p>
      <w:pPr>
        <w:pStyle w:val="Normal"/>
        <w:ind w:left="0" w:firstLineChars="0" w:firstLine="0" w:leftChars="1000"/>
      </w:pPr>
      <w:hyperlink w:anchor="Top_of_index_split_146_html">
        <w:r>
          <w:rPr>
            <w:color w:val="0000FF" w:themeColor="hyperlink"/>
            <w:u w:val="single"/>
          </w:rPr>
          <w:t>Boot ARM64 virtual machines on QEMU</w:t>
        </w:r>
      </w:hyperlink>
    </w:p>
    <w:p>
      <w:pPr>
        <w:pStyle w:val="Normal"/>
        <w:ind w:left="0" w:firstLineChars="0" w:firstLine="0" w:leftChars="1000"/>
      </w:pPr>
      <w:hyperlink w:anchor="page_553">
        <w:r>
          <w:rPr>
            <w:color w:val="0000FF" w:themeColor="hyperlink"/>
            <w:u w:val="single"/>
          </w:rPr>
          <w:t>Install QEMU to run ARM64 virtual machines</w:t>
        </w:r>
      </w:hyperlink>
    </w:p>
    <w:p>
      <w:pPr>
        <w:pStyle w:val="Normal"/>
        <w:ind w:left="0" w:firstLineChars="0" w:firstLine="0" w:leftChars="1000"/>
      </w:pPr>
      <w:hyperlink w:anchor="page_553">
        <w:r>
          <w:rPr>
            <w:color w:val="0000FF" w:themeColor="hyperlink"/>
            <w:u w:val="single"/>
          </w:rPr>
          <w:t>Create necessary support files</w:t>
        </w:r>
      </w:hyperlink>
    </w:p>
    <w:p>
      <w:pPr>
        <w:pStyle w:val="Normal"/>
        <w:ind w:left="0" w:firstLineChars="0" w:firstLine="0" w:leftChars="1000"/>
      </w:pPr>
      <w:hyperlink w:anchor="page_553">
        <w:r>
          <w:rPr>
            <w:color w:val="0000FF" w:themeColor="hyperlink"/>
            <w:u w:val="single"/>
          </w:rPr>
          <w:t>Fetch the Ubuntu cloud image</w:t>
        </w:r>
      </w:hyperlink>
    </w:p>
    <w:p>
      <w:pPr>
        <w:pStyle w:val="Normal"/>
        <w:ind w:left="0" w:firstLineChars="0" w:firstLine="0" w:leftChars="1000"/>
      </w:pPr>
      <w:hyperlink w:anchor="page_553">
        <w:r>
          <w:rPr>
            <w:color w:val="0000FF" w:themeColor="hyperlink"/>
            <w:u w:val="single"/>
          </w:rPr>
          <w:t>Run QEMU natively on an ARM64 host</w:t>
        </w:r>
      </w:hyperlink>
    </w:p>
    <w:p>
      <w:pPr>
        <w:pStyle w:val="Normal"/>
        <w:ind w:left="0" w:firstLineChars="0" w:firstLine="0" w:leftChars="1000"/>
      </w:pPr>
      <w:hyperlink w:anchor="page_554">
        <w:r>
          <w:rPr>
            <w:color w:val="0000FF" w:themeColor="hyperlink"/>
            <w:u w:val="single"/>
          </w:rPr>
          <w:t>Run an emulated ARM64 VM on x86</w:t>
        </w:r>
      </w:hyperlink>
    </w:p>
    <w:p>
      <w:pPr>
        <w:pStyle w:val="Normal"/>
        <w:ind w:left="0" w:firstLineChars="0" w:firstLine="0" w:leftChars="1000"/>
      </w:pPr>
      <w:hyperlink w:anchor="page_554">
        <w:r>
          <w:rPr>
            <w:color w:val="0000FF" w:themeColor="hyperlink"/>
            <w:u w:val="single"/>
          </w:rPr>
          <w:t>Troubleshooting</w:t>
        </w:r>
      </w:hyperlink>
    </w:p>
    <w:p>
      <w:pPr>
        <w:pStyle w:val="Normal"/>
        <w:ind w:left="0" w:firstLineChars="0" w:firstLine="0" w:leftChars="1000"/>
      </w:pPr>
      <w:hyperlink w:anchor="page_554">
        <w:r>
          <w:rPr>
            <w:color w:val="0000FF" w:themeColor="hyperlink"/>
            <w:u w:val="single"/>
          </w:rPr>
          <w:t>No output and no response</w:t>
        </w:r>
      </w:hyperlink>
    </w:p>
    <w:p>
      <w:pPr>
        <w:pStyle w:val="Normal"/>
        <w:ind w:left="0" w:firstLineChars="0" w:firstLine="0" w:leftChars="1000"/>
      </w:pPr>
      <w:hyperlink w:anchor="page_554">
        <w:r>
          <w:rPr>
            <w:color w:val="0000FF" w:themeColor="hyperlink"/>
            <w:u w:val="single"/>
          </w:rPr>
          <w:t>Further reading</w:t>
        </w:r>
      </w:hyperlink>
    </w:p>
    <w:p>
      <w:pPr>
        <w:pStyle w:val="Normal"/>
        <w:ind w:left="0" w:firstLineChars="0" w:firstLine="0" w:leftChars="1000"/>
      </w:pPr>
      <w:hyperlink w:anchor="page_554">
        <w:r>
          <w:rPr>
            <w:color w:val="0000FF" w:themeColor="hyperlink"/>
            <w:u w:val="single"/>
          </w:rPr>
          <w:t>Confidential Computing with AMD</w:t>
        </w:r>
      </w:hyperlink>
    </w:p>
    <w:p>
      <w:pPr>
        <w:pStyle w:val="Normal"/>
        <w:ind w:left="0" w:firstLineChars="0" w:firstLine="0" w:leftChars="1000"/>
      </w:pPr>
      <w:hyperlink w:anchor="page_555">
        <w:r>
          <w:rPr>
            <w:color w:val="0000FF" w:themeColor="hyperlink"/>
            <w:u w:val="single"/>
          </w:rPr>
          <w:t>Host configuration</w:t>
        </w:r>
      </w:hyperlink>
    </w:p>
    <w:p>
      <w:pPr>
        <w:pStyle w:val="Normal"/>
        <w:ind w:left="0" w:firstLineChars="0" w:firstLine="0" w:leftChars="1000"/>
      </w:pPr>
      <w:hyperlink w:anchor="page_556">
        <w:r>
          <w:rPr>
            <w:color w:val="0000FF" w:themeColor="hyperlink"/>
            <w:u w:val="single"/>
          </w:rPr>
          <w:t>Guest configuration</w:t>
        </w:r>
      </w:hyperlink>
    </w:p>
    <w:p>
      <w:pPr>
        <w:pStyle w:val="Normal"/>
        <w:ind w:left="0" w:firstLineChars="0" w:firstLine="0" w:leftChars="1000"/>
      </w:pPr>
      <w:hyperlink w:anchor="page_557">
        <w:r>
          <w:rPr>
            <w:color w:val="0000FF" w:themeColor="hyperlink"/>
            <w:u w:val="single"/>
          </w:rPr>
          <w:t>Confidential Computing with Intel Trust Domain Extensions (TDX)</w:t>
        </w:r>
      </w:hyperlink>
    </w:p>
    <w:p>
      <w:pPr>
        <w:pStyle w:val="Normal"/>
        <w:ind w:left="0" w:firstLineChars="0" w:firstLine="0" w:leftChars="1000"/>
      </w:pPr>
      <w:hyperlink w:anchor="page_557">
        <w:r>
          <w:rPr>
            <w:color w:val="0000FF" w:themeColor="hyperlink"/>
            <w:u w:val="single"/>
          </w:rPr>
          <w:t>Supported hardware</w:t>
        </w:r>
      </w:hyperlink>
    </w:p>
    <w:p>
      <w:pPr>
        <w:pStyle w:val="Normal"/>
        <w:ind w:left="0" w:firstLineChars="0" w:firstLine="0" w:leftChars="1000"/>
      </w:pPr>
      <w:hyperlink w:anchor="page_557">
        <w:r>
          <w:rPr>
            <w:color w:val="0000FF" w:themeColor="hyperlink"/>
            <w:u w:val="single"/>
          </w:rPr>
          <w:t>Configure host</w:t>
        </w:r>
      </w:hyperlink>
    </w:p>
    <w:p>
      <w:pPr>
        <w:pStyle w:val="Normal"/>
        <w:ind w:left="0" w:firstLineChars="0" w:firstLine="0" w:leftChars="1000"/>
      </w:pPr>
      <w:hyperlink w:anchor="page_558">
        <w:r>
          <w:rPr>
            <w:color w:val="0000FF" w:themeColor="hyperlink"/>
            <w:u w:val="single"/>
          </w:rPr>
          <w:t>Install virtualization stack</w:t>
        </w:r>
      </w:hyperlink>
    </w:p>
    <w:p>
      <w:pPr>
        <w:pStyle w:val="Normal"/>
        <w:ind w:left="0" w:firstLineChars="0" w:firstLine="0" w:leftChars="1000"/>
      </w:pPr>
      <w:hyperlink w:anchor="page_559">
        <w:r>
          <w:rPr>
            <w:color w:val="0000FF" w:themeColor="hyperlink"/>
            <w:u w:val="single"/>
          </w:rPr>
          <w:t>Create a guest image</w:t>
        </w:r>
      </w:hyperlink>
    </w:p>
    <w:p>
      <w:pPr>
        <w:pStyle w:val="Normal"/>
        <w:ind w:left="0" w:firstLineChars="0" w:firstLine="0" w:leftChars="1000"/>
      </w:pPr>
      <w:hyperlink w:anchor="page_559">
        <w:r>
          <w:rPr>
            <w:color w:val="0000FF" w:themeColor="hyperlink"/>
            <w:u w:val="single"/>
          </w:rPr>
          <w:t>Launch a TD guest using QEMU</w:t>
        </w:r>
      </w:hyperlink>
    </w:p>
    <w:p>
      <w:pPr>
        <w:pStyle w:val="Normal"/>
        <w:ind w:left="0" w:firstLineChars="0" w:firstLine="0" w:leftChars="1000"/>
      </w:pPr>
      <w:hyperlink w:anchor="page_560">
        <w:r>
          <w:rPr>
            <w:color w:val="0000FF" w:themeColor="hyperlink"/>
            <w:u w:val="single"/>
          </w:rPr>
          <w:t>Verify Intel TDX enablement in the guest</w:t>
        </w:r>
      </w:hyperlink>
    </w:p>
    <w:p>
      <w:pPr>
        <w:pStyle w:val="Normal"/>
        <w:ind w:left="0" w:firstLineChars="0" w:firstLine="0" w:leftChars="1000"/>
      </w:pPr>
      <w:hyperlink w:anchor="page_561">
        <w:r>
          <w:rPr>
            <w:color w:val="0000FF" w:themeColor="hyperlink"/>
            <w:u w:val="single"/>
          </w:rPr>
          <w:t>Launch a TDX VM with libvirt</w:t>
        </w:r>
      </w:hyperlink>
    </w:p>
    <w:p>
      <w:pPr>
        <w:pStyle w:val="Normal"/>
        <w:ind w:left="0" w:firstLineChars="0" w:firstLine="0" w:leftChars="1000"/>
      </w:pPr>
      <w:hyperlink w:anchor="page_562">
        <w:r>
          <w:rPr>
            <w:color w:val="0000FF" w:themeColor="hyperlink"/>
            <w:u w:val="single"/>
          </w:rPr>
          <w:t>Manage the VM</w:t>
        </w:r>
      </w:hyperlink>
    </w:p>
    <w:p>
      <w:pPr>
        <w:pStyle w:val="Normal"/>
        <w:ind w:left="0" w:firstLineChars="0" w:firstLine="0" w:leftChars="1000"/>
      </w:pPr>
      <w:hyperlink w:anchor="page_562">
        <w:r>
          <w:rPr>
            <w:color w:val="0000FF" w:themeColor="hyperlink"/>
            <w:u w:val="single"/>
          </w:rPr>
          <w:t>Troubleshooting Intel TDX</w:t>
        </w:r>
      </w:hyperlink>
    </w:p>
    <w:p>
      <w:pPr>
        <w:pStyle w:val="Normal"/>
        <w:ind w:left="0" w:firstLineChars="0" w:firstLine="0" w:leftChars="800"/>
      </w:pPr>
      <w:hyperlink w:anchor="page_564">
        <w:r>
          <w:rPr>
            <w:color w:val="0000FF" w:themeColor="hyperlink"/>
            <w:u w:val="single"/>
          </w:rPr>
          <w:t>VM tooling</w:t>
        </w:r>
      </w:hyperlink>
    </w:p>
    <w:p>
      <w:pPr>
        <w:pStyle w:val="Normal"/>
        <w:ind w:left="0" w:firstLineChars="0" w:firstLine="0" w:leftChars="1000"/>
      </w:pPr>
      <w:hyperlink w:anchor="page_564">
        <w:r>
          <w:rPr>
            <w:color w:val="0000FF" w:themeColor="hyperlink"/>
            <w:u w:val="single"/>
          </w:rPr>
          <w:t>Libvirt</w:t>
        </w:r>
      </w:hyperlink>
    </w:p>
    <w:p>
      <w:pPr>
        <w:pStyle w:val="Normal"/>
        <w:ind w:left="0" w:firstLineChars="0" w:firstLine="0" w:leftChars="1000"/>
      </w:pPr>
      <w:hyperlink w:anchor="page_564">
        <w:r>
          <w:rPr>
            <w:color w:val="0000FF" w:themeColor="hyperlink"/>
            <w:u w:val="single"/>
          </w:rPr>
          <w:t>Virtual networking</w:t>
        </w:r>
      </w:hyperlink>
    </w:p>
    <w:p>
      <w:pPr>
        <w:pStyle w:val="Normal"/>
        <w:ind w:left="0" w:firstLineChars="0" w:firstLine="0" w:leftChars="1000"/>
      </w:pPr>
      <w:hyperlink w:anchor="page_565">
        <w:r>
          <w:rPr>
            <w:color w:val="0000FF" w:themeColor="hyperlink"/>
            <w:u w:val="single"/>
          </w:rPr>
          <w:t>Install libvirt</w:t>
        </w:r>
      </w:hyperlink>
    </w:p>
    <w:p>
      <w:pPr>
        <w:pStyle w:val="Normal"/>
        <w:ind w:left="0" w:firstLineChars="0" w:firstLine="0" w:leftChars="1000"/>
      </w:pPr>
      <w:hyperlink w:anchor="page_565">
        <w:r>
          <w:rPr>
            <w:color w:val="0000FF" w:themeColor="hyperlink"/>
            <w:u w:val="single"/>
          </w:rPr>
          <w:t>Virtual machine management</w:t>
        </w:r>
      </w:hyperlink>
    </w:p>
    <w:p>
      <w:pPr>
        <w:pStyle w:val="Normal"/>
        <w:ind w:left="0" w:firstLineChars="0" w:firstLine="0" w:leftChars="1000"/>
      </w:pPr>
      <w:hyperlink w:anchor="page_566">
        <w:r>
          <w:rPr>
            <w:color w:val="0000FF" w:themeColor="hyperlink"/>
            <w:u w:val="single"/>
          </w:rPr>
          <w:t>Manage VMs with virsh</w:t>
        </w:r>
      </w:hyperlink>
    </w:p>
    <w:p>
      <w:pPr>
        <w:pStyle w:val="Normal"/>
        <w:ind w:left="0" w:firstLineChars="0" w:firstLine="0" w:leftChars="1000"/>
      </w:pPr>
      <w:hyperlink w:anchor="page_567">
        <w:r>
          <w:rPr>
            <w:color w:val="0000FF" w:themeColor="hyperlink"/>
            <w:u w:val="single"/>
          </w:rPr>
          <w:t>system and session scope</w:t>
        </w:r>
      </w:hyperlink>
    </w:p>
    <w:p>
      <w:pPr>
        <w:pStyle w:val="Normal"/>
        <w:ind w:left="0" w:firstLineChars="0" w:firstLine="0" w:leftChars="1000"/>
      </w:pPr>
      <w:hyperlink w:anchor="page_568">
        <w:r>
          <w:rPr>
            <w:color w:val="0000FF" w:themeColor="hyperlink"/>
            <w:u w:val="single"/>
          </w:rPr>
          <w:t>Migration</w:t>
        </w:r>
      </w:hyperlink>
    </w:p>
    <w:p>
      <w:pPr>
        <w:pStyle w:val="Normal"/>
        <w:ind w:left="0" w:firstLineChars="0" w:firstLine="0" w:leftChars="1000"/>
      </w:pPr>
      <w:hyperlink w:anchor="page_568">
        <w:r>
          <w:rPr>
            <w:color w:val="0000FF" w:themeColor="hyperlink"/>
            <w:u w:val="single"/>
          </w:rPr>
          <w:t>CPU model and topology</w:t>
        </w:r>
      </w:hyperlink>
    </w:p>
    <w:p>
      <w:pPr>
        <w:pStyle w:val="Normal"/>
        <w:ind w:left="0" w:firstLineChars="0" w:firstLine="0" w:leftChars="1000"/>
      </w:pPr>
      <w:hyperlink w:anchor="page_569">
        <w:r>
          <w:rPr>
            <w:color w:val="0000FF" w:themeColor="hyperlink"/>
            <w:u w:val="single"/>
          </w:rPr>
          <w:t>Host CPU capabilities</w:t>
        </w:r>
      </w:hyperlink>
    </w:p>
    <w:p>
      <w:pPr>
        <w:pStyle w:val="Normal"/>
        <w:ind w:left="0" w:firstLineChars="0" w:firstLine="0" w:leftChars="1000"/>
      </w:pPr>
      <w:hyperlink w:anchor="page_569">
        <w:r>
          <w:rPr>
            <w:color w:val="0000FF" w:themeColor="hyperlink"/>
            <w:u w:val="single"/>
          </w:rPr>
          <w:t>Device passthrough/hotplug</w:t>
        </w:r>
      </w:hyperlink>
    </w:p>
    <w:p>
      <w:pPr>
        <w:pStyle w:val="Normal"/>
        <w:ind w:left="0" w:firstLineChars="0" w:firstLine="0" w:leftChars="1000"/>
      </w:pPr>
      <w:hyperlink w:anchor="page_570">
        <w:r>
          <w:rPr>
            <w:color w:val="0000FF" w:themeColor="hyperlink"/>
            <w:u w:val="single"/>
          </w:rPr>
          <w:t>Access QEMU Monitor via libvirt</w:t>
        </w:r>
      </w:hyperlink>
    </w:p>
    <w:p>
      <w:pPr>
        <w:pStyle w:val="Normal"/>
        <w:ind w:left="0" w:firstLineChars="0" w:firstLine="0" w:leftChars="1000"/>
      </w:pPr>
      <w:hyperlink w:anchor="page_571">
        <w:r>
          <w:rPr>
            <w:color w:val="0000FF" w:themeColor="hyperlink"/>
            <w:u w:val="single"/>
          </w:rPr>
          <w:t>Huge pages</w:t>
        </w:r>
      </w:hyperlink>
    </w:p>
    <w:p>
      <w:pPr>
        <w:pStyle w:val="Normal"/>
        <w:ind w:left="0" w:firstLineChars="0" w:firstLine="0" w:leftChars="1000"/>
      </w:pPr>
      <w:hyperlink w:anchor="page_572">
        <w:r>
          <w:rPr>
            <w:color w:val="0000FF" w:themeColor="hyperlink"/>
            <w:u w:val="single"/>
          </w:rPr>
          <w:t>Huge page allocation</w:t>
        </w:r>
      </w:hyperlink>
    </w:p>
    <w:p>
      <w:pPr>
        <w:pStyle w:val="Normal"/>
        <w:ind w:left="0" w:firstLineChars="0" w:firstLine="0" w:leftChars="1000"/>
      </w:pPr>
      <w:hyperlink w:anchor="page_573">
        <w:r>
          <w:rPr>
            <w:color w:val="0000FF" w:themeColor="hyperlink"/>
            <w:u w:val="single"/>
          </w:rPr>
          <w:t>Huge page usage in libvirt</w:t>
        </w:r>
      </w:hyperlink>
    </w:p>
    <w:p>
      <w:pPr>
        <w:pStyle w:val="Normal"/>
        <w:ind w:left="0" w:firstLineChars="0" w:firstLine="0" w:leftChars="1000"/>
      </w:pPr>
      <w:hyperlink w:anchor="page_573">
        <w:r>
          <w:rPr>
            <w:color w:val="0000FF" w:themeColor="hyperlink"/>
            <w:u w:val="single"/>
          </w:rPr>
          <w:t>Controlling addressing bits</w:t>
        </w:r>
      </w:hyperlink>
    </w:p>
    <w:p>
      <w:pPr>
        <w:pStyle w:val="Normal"/>
        <w:ind w:left="0" w:firstLineChars="0" w:firstLine="0" w:leftChars="1000"/>
      </w:pPr>
      <w:hyperlink w:anchor="page_573">
        <w:r>
          <w:rPr>
            <w:color w:val="0000FF" w:themeColor="hyperlink"/>
            <w:u w:val="single"/>
          </w:rPr>
          <w:t>-hpb machine types</w:t>
        </w:r>
      </w:hyperlink>
    </w:p>
    <w:p>
      <w:pPr>
        <w:pStyle w:val="Normal"/>
        <w:ind w:left="0" w:firstLineChars="0" w:firstLine="0" w:leftChars="1000"/>
      </w:pPr>
      <w:hyperlink w:anchor="page_574">
        <w:r>
          <w:rPr>
            <w:color w:val="0000FF" w:themeColor="hyperlink"/>
            <w:u w:val="single"/>
          </w:rPr>
          <w:t>maxphysaddr guest configuration</w:t>
        </w:r>
      </w:hyperlink>
    </w:p>
    <w:p>
      <w:pPr>
        <w:pStyle w:val="Normal"/>
        <w:ind w:left="0" w:firstLineChars="0" w:firstLine="0" w:leftChars="1000"/>
      </w:pPr>
      <w:hyperlink w:anchor="page_574">
        <w:r>
          <w:rPr>
            <w:color w:val="0000FF" w:themeColor="hyperlink"/>
            <w:u w:val="single"/>
          </w:rPr>
          <w:t>AppArmor isolation</w:t>
        </w:r>
      </w:hyperlink>
    </w:p>
    <w:p>
      <w:pPr>
        <w:pStyle w:val="Normal"/>
        <w:ind w:left="0" w:firstLineChars="0" w:firstLine="0" w:leftChars="1000"/>
      </w:pPr>
      <w:hyperlink w:anchor="page_575">
        <w:r>
          <w:rPr>
            <w:color w:val="0000FF" w:themeColor="hyperlink"/>
            <w:u w:val="single"/>
          </w:rPr>
          <w:t>Sharing files between Host&lt;-&gt;Guest</w:t>
        </w:r>
      </w:hyperlink>
    </w:p>
    <w:p>
      <w:pPr>
        <w:pStyle w:val="Normal"/>
        <w:ind w:left="0" w:firstLineChars="0" w:firstLine="0" w:leftChars="1000"/>
      </w:pPr>
      <w:hyperlink w:anchor="page_576">
        <w:r>
          <w:rPr>
            <w:color w:val="0000FF" w:themeColor="hyperlink"/>
            <w:u w:val="single"/>
          </w:rPr>
          <w:t>Resources</w:t>
        </w:r>
      </w:hyperlink>
    </w:p>
    <w:p>
      <w:pPr>
        <w:pStyle w:val="Normal"/>
        <w:ind w:left="0" w:firstLineChars="0" w:firstLine="0" w:leftChars="1000"/>
      </w:pPr>
      <w:hyperlink w:anchor="page_576">
        <w:r>
          <w:rPr>
            <w:color w:val="0000FF" w:themeColor="hyperlink"/>
            <w:u w:val="single"/>
          </w:rPr>
          <w:t>Virtual Machine Manager</w:t>
        </w:r>
      </w:hyperlink>
    </w:p>
    <w:p>
      <w:pPr>
        <w:pStyle w:val="Normal"/>
        <w:ind w:left="0" w:firstLineChars="0" w:firstLine="0" w:leftChars="1000"/>
      </w:pPr>
      <w:hyperlink w:anchor="Top_of_index_split_147_html">
        <w:r>
          <w:rPr>
            <w:color w:val="0000FF" w:themeColor="hyperlink"/>
            <w:u w:val="single"/>
          </w:rPr>
          <w:t>Install virt-manager</w:t>
        </w:r>
      </w:hyperlink>
    </w:p>
    <w:p>
      <w:pPr>
        <w:pStyle w:val="Normal"/>
        <w:ind w:left="0" w:firstLineChars="0" w:firstLine="0" w:leftChars="1000"/>
      </w:pPr>
      <w:hyperlink w:anchor="Top_of_index_split_147_html">
        <w:r>
          <w:rPr>
            <w:color w:val="0000FF" w:themeColor="hyperlink"/>
            <w:u w:val="single"/>
          </w:rPr>
          <w:t>Use virt-manager to manage guests</w:t>
        </w:r>
      </w:hyperlink>
    </w:p>
    <w:p>
      <w:pPr>
        <w:pStyle w:val="Normal"/>
        <w:ind w:left="0" w:firstLineChars="0" w:firstLine="0" w:leftChars="1000"/>
      </w:pPr>
      <w:hyperlink w:anchor="Top_of_index_split_147_html">
        <w:r>
          <w:rPr>
            <w:color w:val="0000FF" w:themeColor="hyperlink"/>
            <w:u w:val="single"/>
          </w:rPr>
          <w:t>Guest lifecycle</w:t>
        </w:r>
      </w:hyperlink>
    </w:p>
    <w:p>
      <w:pPr>
        <w:pStyle w:val="Normal"/>
        <w:ind w:left="0" w:firstLineChars="0" w:firstLine="0" w:leftChars="1000"/>
      </w:pPr>
      <w:hyperlink w:anchor="Top_of_index_split_149_html">
        <w:r>
          <w:rPr>
            <w:color w:val="0000FF" w:themeColor="hyperlink"/>
            <w:u w:val="single"/>
          </w:rPr>
          <w:t>Guest modification</w:t>
        </w:r>
      </w:hyperlink>
    </w:p>
    <w:p>
      <w:pPr>
        <w:pStyle w:val="Normal"/>
        <w:ind w:left="0" w:firstLineChars="0" w:firstLine="0" w:leftChars="1000"/>
      </w:pPr>
      <w:hyperlink w:anchor="page_580">
        <w:r>
          <w:rPr>
            <w:color w:val="0000FF" w:themeColor="hyperlink"/>
            <w:u w:val="single"/>
          </w:rPr>
          <w:t>Virtual Machine Viewer (virt-viewer)</w:t>
        </w:r>
      </w:hyperlink>
    </w:p>
    <w:p>
      <w:pPr>
        <w:pStyle w:val="Normal"/>
        <w:ind w:left="0" w:firstLineChars="0" w:firstLine="0" w:leftChars="1000"/>
      </w:pPr>
      <w:hyperlink w:anchor="page_580">
        <w:r>
          <w:rPr>
            <w:color w:val="0000FF" w:themeColor="hyperlink"/>
            <w:u w:val="single"/>
          </w:rPr>
          <w:t>Install virt-viewer</w:t>
        </w:r>
      </w:hyperlink>
    </w:p>
    <w:p>
      <w:pPr>
        <w:pStyle w:val="Normal"/>
        <w:ind w:left="0" w:firstLineChars="0" w:firstLine="0" w:leftChars="1000"/>
      </w:pPr>
      <w:hyperlink w:anchor="Top_of_index_split_151_html">
        <w:r>
          <w:rPr>
            <w:color w:val="0000FF" w:themeColor="hyperlink"/>
            <w:u w:val="single"/>
          </w:rPr>
          <w:t>virt-install</w:t>
        </w:r>
      </w:hyperlink>
    </w:p>
    <w:p>
      <w:pPr>
        <w:pStyle w:val="Normal"/>
        <w:ind w:left="0" w:firstLineChars="0" w:firstLine="0" w:leftChars="1000"/>
      </w:pPr>
      <w:hyperlink w:anchor="Top_of_index_split_151_html">
        <w:r>
          <w:rPr>
            <w:color w:val="0000FF" w:themeColor="hyperlink"/>
            <w:u w:val="single"/>
          </w:rPr>
          <w:t>Install virt-install</w:t>
        </w:r>
      </w:hyperlink>
    </w:p>
    <w:p>
      <w:pPr>
        <w:pStyle w:val="Normal"/>
        <w:ind w:left="0" w:firstLineChars="0" w:firstLine="0" w:leftChars="1000"/>
      </w:pPr>
      <w:hyperlink w:anchor="page_583">
        <w:r>
          <w:rPr>
            <w:color w:val="0000FF" w:themeColor="hyperlink"/>
            <w:u w:val="single"/>
          </w:rPr>
          <w:t>virt-clone</w:t>
        </w:r>
      </w:hyperlink>
    </w:p>
    <w:p>
      <w:pPr>
        <w:pStyle w:val="Normal"/>
        <w:ind w:left="0" w:firstLineChars="0" w:firstLine="0" w:leftChars="1000"/>
      </w:pPr>
      <w:hyperlink w:anchor="page_583">
        <w:r>
          <w:rPr>
            <w:color w:val="0000FF" w:themeColor="hyperlink"/>
            <w:u w:val="single"/>
          </w:rPr>
          <w:t>Resources</w:t>
        </w:r>
      </w:hyperlink>
    </w:p>
    <w:p>
      <w:pPr>
        <w:pStyle w:val="Normal"/>
        <w:ind w:left="0" w:firstLineChars="0" w:firstLine="0" w:leftChars="1000"/>
      </w:pPr>
      <w:hyperlink w:anchor="page_583">
        <w:r>
          <w:rPr>
            <w:color w:val="0000FF" w:themeColor="hyperlink"/>
            <w:u w:val="single"/>
          </w:rPr>
          <w:t>How to enable nested virtualization</w:t>
        </w:r>
      </w:hyperlink>
    </w:p>
    <w:p>
      <w:pPr>
        <w:pStyle w:val="Normal"/>
        <w:ind w:left="0" w:firstLineChars="0" w:firstLine="0" w:leftChars="1000"/>
      </w:pPr>
      <w:hyperlink w:anchor="page_584">
        <w:r>
          <w:rPr>
            <w:color w:val="0000FF" w:themeColor="hyperlink"/>
            <w:u w:val="single"/>
          </w:rPr>
          <w:t>Check if nested virtualization is enabled</w:t>
        </w:r>
      </w:hyperlink>
    </w:p>
    <w:p>
      <w:pPr>
        <w:pStyle w:val="Normal"/>
        <w:ind w:left="0" w:firstLineChars="0" w:firstLine="0" w:leftChars="1000"/>
      </w:pPr>
      <w:hyperlink w:anchor="page_584">
        <w:r>
          <w:rPr>
            <w:color w:val="0000FF" w:themeColor="hyperlink"/>
            <w:u w:val="single"/>
          </w:rPr>
          <w:t>If the module is loaded</w:t>
        </w:r>
      </w:hyperlink>
    </w:p>
    <w:p>
      <w:pPr>
        <w:pStyle w:val="Normal"/>
        <w:ind w:left="0" w:firstLineChars="0" w:firstLine="0" w:leftChars="1000"/>
      </w:pPr>
      <w:hyperlink w:anchor="page_584">
        <w:r>
          <w:rPr>
            <w:color w:val="0000FF" w:themeColor="hyperlink"/>
            <w:u w:val="single"/>
          </w:rPr>
          <w:t>If the module is not loaded</w:t>
        </w:r>
      </w:hyperlink>
    </w:p>
    <w:p>
      <w:pPr>
        <w:pStyle w:val="Normal"/>
        <w:ind w:left="0" w:firstLineChars="0" w:firstLine="0" w:leftChars="1000"/>
      </w:pPr>
      <w:hyperlink w:anchor="page_584">
        <w:r>
          <w:rPr>
            <w:color w:val="0000FF" w:themeColor="hyperlink"/>
            <w:u w:val="single"/>
          </w:rPr>
          <w:t>Enable nested virtualization</w:t>
        </w:r>
      </w:hyperlink>
    </w:p>
    <w:p>
      <w:pPr>
        <w:pStyle w:val="Normal"/>
        <w:ind w:left="0" w:firstLineChars="0" w:firstLine="0" w:leftChars="1000"/>
      </w:pPr>
      <w:hyperlink w:anchor="page_585">
        <w:r>
          <w:rPr>
            <w:color w:val="0000FF" w:themeColor="hyperlink"/>
            <w:u w:val="single"/>
          </w:rPr>
          <w:t>Check and enable nested virtualization inside a VM</w:t>
        </w:r>
      </w:hyperlink>
    </w:p>
    <w:p>
      <w:pPr>
        <w:pStyle w:val="Normal"/>
        <w:ind w:left="0" w:firstLineChars="0" w:firstLine="0" w:leftChars="1000"/>
      </w:pPr>
      <w:hyperlink w:anchor="page_585">
        <w:r>
          <w:rPr>
            <w:color w:val="0000FF" w:themeColor="hyperlink"/>
            <w:u w:val="single"/>
          </w:rPr>
          <w:t>Limitations of nested virtualization</w:t>
        </w:r>
      </w:hyperlink>
    </w:p>
    <w:p>
      <w:pPr>
        <w:pStyle w:val="Normal"/>
        <w:ind w:left="0" w:firstLineChars="0" w:firstLine="0" w:leftChars="800"/>
      </w:pPr>
      <w:hyperlink w:anchor="page_586">
        <w:r>
          <w:rPr>
            <w:color w:val="0000FF" w:themeColor="hyperlink"/>
            <w:u w:val="single"/>
          </w:rPr>
          <w:t>Ubuntu in other virtual environments</w:t>
        </w:r>
      </w:hyperlink>
    </w:p>
    <w:p>
      <w:pPr>
        <w:pStyle w:val="Normal"/>
        <w:ind w:left="0" w:firstLineChars="0" w:firstLine="0" w:leftChars="1000"/>
      </w:pPr>
      <w:hyperlink w:anchor="page_586">
        <w:r>
          <w:rPr>
            <w:color w:val="0000FF" w:themeColor="hyperlink"/>
            <w:u w:val="single"/>
          </w:rPr>
          <w:t>How to set up Ubuntu on Hyper-V</w:t>
        </w:r>
      </w:hyperlink>
    </w:p>
    <w:p>
      <w:pPr>
        <w:pStyle w:val="Normal"/>
        <w:ind w:left="0" w:firstLineChars="0" w:firstLine="0" w:leftChars="1000"/>
      </w:pPr>
      <w:hyperlink w:anchor="page_586">
        <w:r>
          <w:rPr>
            <w:color w:val="0000FF" w:themeColor="hyperlink"/>
            <w:u w:val="single"/>
          </w:rPr>
          <w:t>Hyper-V system requirements</w:t>
        </w:r>
      </w:hyperlink>
    </w:p>
    <w:p>
      <w:pPr>
        <w:pStyle w:val="Normal"/>
        <w:ind w:left="0" w:firstLineChars="0" w:firstLine="0" w:leftChars="1000"/>
      </w:pPr>
      <w:hyperlink w:anchor="page_586">
        <w:r>
          <w:rPr>
            <w:color w:val="0000FF" w:themeColor="hyperlink"/>
            <w:u w:val="single"/>
          </w:rPr>
          <w:t>Install Hyper-V</w:t>
        </w:r>
      </w:hyperlink>
    </w:p>
    <w:p>
      <w:pPr>
        <w:pStyle w:val="Normal"/>
        <w:ind w:left="0" w:firstLineChars="0" w:firstLine="0" w:leftChars="1000"/>
      </w:pPr>
      <w:hyperlink w:anchor="Top_of_index_split_152_html">
        <w:r>
          <w:rPr>
            <w:color w:val="0000FF" w:themeColor="hyperlink"/>
            <w:u w:val="single"/>
          </w:rPr>
          <w:t>Install Hyper-V graphically</w:t>
        </w:r>
      </w:hyperlink>
    </w:p>
    <w:p>
      <w:pPr>
        <w:pStyle w:val="Normal"/>
        <w:ind w:left="0" w:firstLineChars="0" w:firstLine="0" w:leftChars="1000"/>
      </w:pPr>
      <w:hyperlink w:anchor="Top_of_index_split_152_html">
        <w:r>
          <w:rPr>
            <w:color w:val="0000FF" w:themeColor="hyperlink"/>
            <w:u w:val="single"/>
          </w:rPr>
          <w:t>Install Hyper-V using PowerShell</w:t>
        </w:r>
      </w:hyperlink>
    </w:p>
    <w:p>
      <w:pPr>
        <w:pStyle w:val="Normal"/>
        <w:ind w:left="0" w:firstLineChars="0" w:firstLine="0" w:leftChars="1000"/>
      </w:pPr>
      <w:hyperlink w:anchor="Top_of_index_split_152_html">
        <w:r>
          <w:rPr>
            <w:color w:val="0000FF" w:themeColor="hyperlink"/>
            <w:u w:val="single"/>
          </w:rPr>
          <w:t>Install Ubuntu on Hyper-V</w:t>
        </w:r>
      </w:hyperlink>
    </w:p>
    <w:p>
      <w:pPr>
        <w:pStyle w:val="Normal"/>
        <w:ind w:left="0" w:firstLineChars="0" w:firstLine="0" w:leftChars="1000"/>
      </w:pPr>
      <w:hyperlink w:anchor="Top_of_index_split_152_html">
        <w:r>
          <w:rPr>
            <w:color w:val="0000FF" w:themeColor="hyperlink"/>
            <w:u w:val="single"/>
          </w:rPr>
          <w:t>Using Quick Create</w:t>
        </w:r>
      </w:hyperlink>
    </w:p>
    <w:p>
      <w:pPr>
        <w:pStyle w:val="Normal"/>
        <w:ind w:left="0" w:firstLineChars="0" w:firstLine="0" w:leftChars="1000"/>
      </w:pPr>
      <w:hyperlink w:anchor="page_588">
        <w:r>
          <w:rPr>
            <w:color w:val="0000FF" w:themeColor="hyperlink"/>
            <w:u w:val="single"/>
          </w:rPr>
          <w:t>Using an Ubuntu CD image</w:t>
        </w:r>
      </w:hyperlink>
    </w:p>
    <w:p>
      <w:pPr>
        <w:pStyle w:val="Normal"/>
        <w:ind w:left="0" w:firstLineChars="0" w:firstLine="0" w:leftChars="800"/>
      </w:pPr>
      <w:hyperlink w:anchor="page_589">
        <w:r>
          <w:rPr>
            <w:color w:val="0000FF" w:themeColor="hyperlink"/>
            <w:u w:val="single"/>
          </w:rPr>
          <w:t>See also</w:t>
        </w:r>
      </w:hyperlink>
    </w:p>
    <w:p>
      <w:pPr>
        <w:pStyle w:val="Normal"/>
        <w:ind w:left="0" w:firstLineChars="0" w:firstLine="0" w:leftChars="400"/>
      </w:pPr>
      <w:hyperlink w:anchor="page_589">
        <w:r>
          <w:rPr>
            <w:color w:val="0000FF" w:themeColor="hyperlink"/>
            <w:u w:val="single"/>
          </w:rPr>
          <w:t>Containers</w:t>
        </w:r>
      </w:hyperlink>
    </w:p>
    <w:p>
      <w:pPr>
        <w:pStyle w:val="Normal"/>
        <w:ind w:left="0" w:firstLineChars="0" w:firstLine="0" w:leftChars="600"/>
      </w:pPr>
      <w:hyperlink w:anchor="page_589">
        <w:r>
          <w:rPr>
            <w:color w:val="0000FF" w:themeColor="hyperlink"/>
            <w:u w:val="single"/>
          </w:rPr>
          <w:t>Containers</w:t>
        </w:r>
      </w:hyperlink>
    </w:p>
    <w:p>
      <w:pPr>
        <w:pStyle w:val="Normal"/>
        <w:ind w:left="0" w:firstLineChars="0" w:firstLine="0" w:leftChars="800"/>
      </w:pPr>
      <w:hyperlink w:anchor="page_589">
        <w:r>
          <w:rPr>
            <w:color w:val="0000FF" w:themeColor="hyperlink"/>
            <w:u w:val="single"/>
          </w:rPr>
          <w:t>Docker for system admins</w:t>
        </w:r>
      </w:hyperlink>
    </w:p>
    <w:p>
      <w:pPr>
        <w:pStyle w:val="Normal"/>
        <w:ind w:left="0" w:firstLineChars="0" w:firstLine="0" w:leftChars="1000"/>
      </w:pPr>
      <w:hyperlink w:anchor="page_589">
        <w:r>
          <w:rPr>
            <w:color w:val="0000FF" w:themeColor="hyperlink"/>
            <w:u w:val="single"/>
          </w:rPr>
          <w:t>Installation</w:t>
        </w:r>
      </w:hyperlink>
    </w:p>
    <w:p>
      <w:pPr>
        <w:pStyle w:val="Normal"/>
        <w:ind w:left="0" w:firstLineChars="0" w:firstLine="0" w:leftChars="1000"/>
      </w:pPr>
      <w:hyperlink w:anchor="Top_of_index_split_153_html">
        <w:r>
          <w:rPr>
            <w:color w:val="0000FF" w:themeColor="hyperlink"/>
            <w:u w:val="single"/>
          </w:rPr>
          <w:t>Configuring storage</w:t>
        </w:r>
      </w:hyperlink>
    </w:p>
    <w:p>
      <w:pPr>
        <w:pStyle w:val="Normal"/>
        <w:ind w:left="0" w:firstLineChars="0" w:firstLine="0" w:leftChars="1000"/>
      </w:pPr>
      <w:hyperlink w:anchor="Top_of_index_split_153_html">
        <w:r>
          <w:rPr>
            <w:color w:val="0000FF" w:themeColor="hyperlink"/>
            <w:u w:val="single"/>
          </w:rPr>
          <w:t>How to configure volumes</w:t>
        </w:r>
      </w:hyperlink>
    </w:p>
    <w:p>
      <w:pPr>
        <w:pStyle w:val="Normal"/>
        <w:ind w:left="0" w:firstLineChars="0" w:firstLine="0" w:leftChars="1000"/>
      </w:pPr>
      <w:hyperlink w:anchor="page_591">
        <w:r>
          <w:rPr>
            <w:color w:val="0000FF" w:themeColor="hyperlink"/>
            <w:u w:val="single"/>
          </w:rPr>
          <w:t>How to configure bind mounts</w:t>
        </w:r>
      </w:hyperlink>
    </w:p>
    <w:p>
      <w:pPr>
        <w:pStyle w:val="Normal"/>
        <w:ind w:left="0" w:firstLineChars="0" w:firstLine="0" w:leftChars="1000"/>
      </w:pPr>
      <w:hyperlink w:anchor="page_591">
        <w:r>
          <w:rPr>
            <w:color w:val="0000FF" w:themeColor="hyperlink"/>
            <w:u w:val="single"/>
          </w:rPr>
          <w:t>How to configure Tmpfs</w:t>
        </w:r>
      </w:hyperlink>
    </w:p>
    <w:p>
      <w:pPr>
        <w:pStyle w:val="Normal"/>
        <w:ind w:left="0" w:firstLineChars="0" w:firstLine="0" w:leftChars="1000"/>
      </w:pPr>
      <w:hyperlink w:anchor="page_592">
        <w:r>
          <w:rPr>
            <w:color w:val="0000FF" w:themeColor="hyperlink"/>
            <w:u w:val="single"/>
          </w:rPr>
          <w:t>Choosing the right storage drivers</w:t>
        </w:r>
      </w:hyperlink>
    </w:p>
    <w:p>
      <w:pPr>
        <w:pStyle w:val="Normal"/>
        <w:ind w:left="0" w:firstLineChars="0" w:firstLine="0" w:leftChars="1000"/>
      </w:pPr>
      <w:hyperlink w:anchor="page_593">
        <w:r>
          <w:rPr>
            <w:color w:val="0000FF" w:themeColor="hyperlink"/>
            <w:u w:val="single"/>
          </w:rPr>
          <w:t>Configuring networking</w:t>
        </w:r>
      </w:hyperlink>
    </w:p>
    <w:p>
      <w:pPr>
        <w:pStyle w:val="Normal"/>
        <w:ind w:left="0" w:firstLineChars="0" w:firstLine="0" w:leftChars="1000"/>
      </w:pPr>
      <w:hyperlink w:anchor="page_594">
        <w:r>
          <w:rPr>
            <w:color w:val="0000FF" w:themeColor="hyperlink"/>
            <w:u w:val="single"/>
          </w:rPr>
          <w:t>Connecting a new container to an existing network</w:t>
        </w:r>
      </w:hyperlink>
    </w:p>
    <w:p>
      <w:pPr>
        <w:pStyle w:val="Normal"/>
        <w:ind w:left="0" w:firstLineChars="0" w:firstLine="0" w:leftChars="1000"/>
      </w:pPr>
      <w:hyperlink w:anchor="page_595">
        <w:r>
          <w:rPr>
            <w:color w:val="0000FF" w:themeColor="hyperlink"/>
            <w:u w:val="single"/>
          </w:rPr>
          <w:t>Connecting a running container to an existing network</w:t>
        </w:r>
      </w:hyperlink>
    </w:p>
    <w:p>
      <w:pPr>
        <w:pStyle w:val="Normal"/>
        <w:ind w:left="0" w:firstLineChars="0" w:firstLine="0" w:leftChars="1000"/>
      </w:pPr>
      <w:hyperlink w:anchor="page_596">
        <w:r>
          <w:rPr>
            <w:color w:val="0000FF" w:themeColor="hyperlink"/>
            <w:u w:val="single"/>
          </w:rPr>
          <w:t>Modifying the default network “bridge”</w:t>
        </w:r>
      </w:hyperlink>
    </w:p>
    <w:p>
      <w:pPr>
        <w:pStyle w:val="Normal"/>
        <w:ind w:left="0" w:firstLineChars="0" w:firstLine="0" w:leftChars="1000"/>
      </w:pPr>
      <w:hyperlink w:anchor="page_597">
        <w:r>
          <w:rPr>
            <w:color w:val="0000FF" w:themeColor="hyperlink"/>
            <w:u w:val="single"/>
          </w:rPr>
          <w:t>Exposing a container port to the host</w:t>
        </w:r>
      </w:hyperlink>
    </w:p>
    <w:p>
      <w:pPr>
        <w:pStyle w:val="Normal"/>
        <w:ind w:left="0" w:firstLineChars="0" w:firstLine="0" w:leftChars="1000"/>
      </w:pPr>
      <w:hyperlink w:anchor="page_598">
        <w:r>
          <w:rPr>
            <w:color w:val="0000FF" w:themeColor="hyperlink"/>
            <w:u w:val="single"/>
          </w:rPr>
          <w:t>Managing logs</w:t>
        </w:r>
      </w:hyperlink>
    </w:p>
    <w:p>
      <w:pPr>
        <w:pStyle w:val="Normal"/>
        <w:ind w:left="0" w:firstLineChars="0" w:firstLine="0" w:leftChars="1000"/>
      </w:pPr>
      <w:hyperlink w:anchor="page_598">
        <w:r>
          <w:rPr>
            <w:color w:val="0000FF" w:themeColor="hyperlink"/>
            <w:u w:val="single"/>
          </w:rPr>
          <w:t>Modifying the logging driver via the docker daemon file</w:t>
        </w:r>
      </w:hyperlink>
    </w:p>
    <w:p>
      <w:pPr>
        <w:pStyle w:val="Normal"/>
        <w:ind w:left="0" w:firstLineChars="0" w:firstLine="0" w:leftChars="1000"/>
      </w:pPr>
      <w:hyperlink w:anchor="Top_of_index_split_154_html">
        <w:r>
          <w:rPr>
            <w:color w:val="0000FF" w:themeColor="hyperlink"/>
            <w:u w:val="single"/>
          </w:rPr>
          <w:t>Modifying the logging driver when creating a container</w:t>
        </w:r>
      </w:hyperlink>
    </w:p>
    <w:p>
      <w:pPr>
        <w:pStyle w:val="Normal"/>
        <w:ind w:left="0" w:firstLineChars="0" w:firstLine="0" w:leftChars="1000"/>
      </w:pPr>
      <w:hyperlink w:anchor="page_600">
        <w:r>
          <w:rPr>
            <w:color w:val="0000FF" w:themeColor="hyperlink"/>
            <w:u w:val="single"/>
          </w:rPr>
          <w:t>Resources</w:t>
        </w:r>
      </w:hyperlink>
    </w:p>
    <w:p>
      <w:pPr>
        <w:pStyle w:val="Normal"/>
        <w:ind w:left="0" w:firstLineChars="0" w:firstLine="0" w:leftChars="800"/>
      </w:pPr>
      <w:hyperlink w:anchor="page_600">
        <w:r>
          <w:rPr>
            <w:color w:val="0000FF" w:themeColor="hyperlink"/>
            <w:u w:val="single"/>
          </w:rPr>
          <w:t>How to run rocks on your server</w:t>
        </w:r>
      </w:hyperlink>
    </w:p>
    <w:p>
      <w:pPr>
        <w:pStyle w:val="Normal"/>
        <w:ind w:left="0" w:firstLineChars="0" w:firstLine="0" w:leftChars="1000"/>
      </w:pPr>
      <w:hyperlink w:anchor="page_600">
        <w:r>
          <w:rPr>
            <w:color w:val="0000FF" w:themeColor="hyperlink"/>
            <w:u w:val="single"/>
          </w:rPr>
          <w:t>Deploying rocks with Docker</w:t>
        </w:r>
      </w:hyperlink>
    </w:p>
    <w:p>
      <w:pPr>
        <w:pStyle w:val="Normal"/>
        <w:ind w:left="0" w:firstLineChars="0" w:firstLine="0" w:leftChars="1000"/>
      </w:pPr>
      <w:hyperlink w:anchor="page_602">
        <w:r>
          <w:rPr>
            <w:color w:val="0000FF" w:themeColor="hyperlink"/>
            <w:u w:val="single"/>
          </w:rPr>
          <w:t>Multi-container deployment</w:t>
        </w:r>
      </w:hyperlink>
    </w:p>
    <w:p>
      <w:pPr>
        <w:pStyle w:val="Normal"/>
        <w:ind w:left="0" w:firstLineChars="0" w:firstLine="0" w:leftChars="1000"/>
      </w:pPr>
      <w:hyperlink w:anchor="Top_of_index_split_156_html">
        <w:r>
          <w:rPr>
            <w:color w:val="0000FF" w:themeColor="hyperlink"/>
            <w:u w:val="single"/>
          </w:rPr>
          <w:t>Next Steps</w:t>
        </w:r>
      </w:hyperlink>
    </w:p>
    <w:p>
      <w:pPr>
        <w:pStyle w:val="Normal"/>
        <w:ind w:left="0" w:firstLineChars="0" w:firstLine="0" w:leftChars="800"/>
      </w:pPr>
      <w:hyperlink w:anchor="Top_of_index_split_156_html">
        <w:r>
          <w:rPr>
            <w:color w:val="0000FF" w:themeColor="hyperlink"/>
            <w:u w:val="single"/>
          </w:rPr>
          <w:t>See also</w:t>
        </w:r>
      </w:hyperlink>
    </w:p>
    <w:p>
      <w:pPr>
        <w:pStyle w:val="Normal"/>
        <w:ind w:left="0" w:firstLineChars="0" w:firstLine="0" w:leftChars="400"/>
      </w:pPr>
      <w:hyperlink w:anchor="Top_of_index_split_156_html">
        <w:r>
          <w:rPr>
            <w:color w:val="0000FF" w:themeColor="hyperlink"/>
            <w:u w:val="single"/>
          </w:rPr>
          <w:t>High Availability</w:t>
        </w:r>
      </w:hyperlink>
    </w:p>
    <w:p>
      <w:pPr>
        <w:pStyle w:val="Normal"/>
        <w:ind w:left="0" w:firstLineChars="0" w:firstLine="0" w:leftChars="600"/>
      </w:pPr>
      <w:hyperlink w:anchor="Top_of_index_split_157_html">
        <w:r>
          <w:rPr>
            <w:color w:val="0000FF" w:themeColor="hyperlink"/>
            <w:u w:val="single"/>
          </w:rPr>
          <w:t>High availability</w:t>
        </w:r>
      </w:hyperlink>
    </w:p>
    <w:p>
      <w:pPr>
        <w:pStyle w:val="Normal"/>
        <w:ind w:left="0" w:firstLineChars="0" w:firstLine="0" w:leftChars="800"/>
      </w:pPr>
      <w:hyperlink w:anchor="Top_of_index_split_157_html">
        <w:r>
          <w:rPr>
            <w:color w:val="0000FF" w:themeColor="hyperlink"/>
            <w:u w:val="single"/>
          </w:rPr>
          <w:t>Distributed Replicated Block Device (DRBD)</w:t>
        </w:r>
      </w:hyperlink>
    </w:p>
    <w:p>
      <w:pPr>
        <w:pStyle w:val="Normal"/>
        <w:ind w:left="0" w:firstLineChars="0" w:firstLine="0" w:leftChars="1000"/>
      </w:pPr>
      <w:hyperlink w:anchor="Top_of_index_split_157_html">
        <w:r>
          <w:rPr>
            <w:color w:val="0000FF" w:themeColor="hyperlink"/>
            <w:u w:val="single"/>
          </w:rPr>
          <w:t>Install DRBD</w:t>
        </w:r>
      </w:hyperlink>
    </w:p>
    <w:p>
      <w:pPr>
        <w:pStyle w:val="Normal"/>
        <w:ind w:left="0" w:firstLineChars="0" w:firstLine="0" w:leftChars="1000"/>
      </w:pPr>
      <w:hyperlink w:anchor="Top_of_index_split_157_html">
        <w:r>
          <w:rPr>
            <w:color w:val="0000FF" w:themeColor="hyperlink"/>
            <w:u w:val="single"/>
          </w:rPr>
          <w:t>Configure DRBD</w:t>
        </w:r>
      </w:hyperlink>
    </w:p>
    <w:p>
      <w:pPr>
        <w:pStyle w:val="Normal"/>
        <w:ind w:left="0" w:firstLineChars="0" w:firstLine="0" w:leftChars="1000"/>
      </w:pPr>
      <w:hyperlink w:anchor="page_610">
        <w:r>
          <w:rPr>
            <w:color w:val="0000FF" w:themeColor="hyperlink"/>
            <w:u w:val="single"/>
          </w:rPr>
          <w:t>Testing</w:t>
        </w:r>
      </w:hyperlink>
    </w:p>
    <w:p>
      <w:pPr>
        <w:pStyle w:val="Normal"/>
        <w:ind w:left="0" w:firstLineChars="0" w:firstLine="0" w:leftChars="1000"/>
      </w:pPr>
      <w:hyperlink w:anchor="page_610">
        <w:r>
          <w:rPr>
            <w:color w:val="0000FF" w:themeColor="hyperlink"/>
            <w:u w:val="single"/>
          </w:rPr>
          <w:t>Further reading</w:t>
        </w:r>
      </w:hyperlink>
    </w:p>
    <w:p>
      <w:pPr>
        <w:pStyle w:val="Normal"/>
        <w:ind w:left="0" w:firstLineChars="0" w:firstLine="0" w:leftChars="800"/>
      </w:pPr>
      <w:hyperlink w:anchor="page_610">
        <w:r>
          <w:rPr>
            <w:color w:val="0000FF" w:themeColor="hyperlink"/>
            <w:u w:val="single"/>
          </w:rPr>
          <w:t>See also</w:t>
        </w:r>
      </w:hyperlink>
    </w:p>
    <w:p>
      <w:pPr>
        <w:pStyle w:val="Normal"/>
        <w:ind w:left="0" w:firstLineChars="0" w:firstLine="0" w:leftChars="400"/>
      </w:pPr>
      <w:hyperlink w:anchor="page_610">
        <w:r>
          <w:rPr>
            <w:color w:val="0000FF" w:themeColor="hyperlink"/>
            <w:u w:val="single"/>
          </w:rPr>
          <w:t>Observability</w:t>
        </w:r>
      </w:hyperlink>
    </w:p>
    <w:p>
      <w:pPr>
        <w:pStyle w:val="Normal"/>
        <w:ind w:left="0" w:firstLineChars="0" w:firstLine="0" w:leftChars="600"/>
      </w:pPr>
      <w:hyperlink w:anchor="page_611">
        <w:r>
          <w:rPr>
            <w:color w:val="0000FF" w:themeColor="hyperlink"/>
            <w:u w:val="single"/>
          </w:rPr>
          <w:t>Observability</w:t>
        </w:r>
      </w:hyperlink>
    </w:p>
    <w:p>
      <w:pPr>
        <w:pStyle w:val="Normal"/>
        <w:ind w:left="0" w:firstLineChars="0" w:firstLine="0" w:leftChars="800"/>
      </w:pPr>
      <w:hyperlink w:anchor="page_611">
        <w:r>
          <w:rPr>
            <w:color w:val="0000FF" w:themeColor="hyperlink"/>
            <w:u w:val="single"/>
          </w:rPr>
          <w:t>Classical options</w:t>
        </w:r>
      </w:hyperlink>
    </w:p>
    <w:p>
      <w:pPr>
        <w:pStyle w:val="Normal"/>
        <w:ind w:left="0" w:firstLineChars="0" w:firstLine="0" w:leftChars="1000"/>
      </w:pPr>
      <w:hyperlink w:anchor="page_611">
        <w:r>
          <w:rPr>
            <w:color w:val="0000FF" w:themeColor="hyperlink"/>
            <w:u w:val="single"/>
          </w:rPr>
          <w:t>Set up your LMA stack</w:t>
        </w:r>
      </w:hyperlink>
    </w:p>
    <w:p>
      <w:pPr>
        <w:pStyle w:val="Normal"/>
        <w:ind w:left="0" w:firstLineChars="0" w:firstLine="0" w:leftChars="1000"/>
      </w:pPr>
      <w:hyperlink w:anchor="page_611">
        <w:r>
          <w:rPr>
            <w:color w:val="0000FF" w:themeColor="hyperlink"/>
            <w:u w:val="single"/>
          </w:rPr>
          <w:t>Architectural overview</w:t>
        </w:r>
      </w:hyperlink>
    </w:p>
    <w:p>
      <w:pPr>
        <w:pStyle w:val="Normal"/>
        <w:ind w:left="0" w:firstLineChars="0" w:firstLine="0" w:leftChars="1000"/>
      </w:pPr>
      <w:hyperlink w:anchor="page_612">
        <w:r>
          <w:rPr>
            <w:color w:val="0000FF" w:themeColor="hyperlink"/>
            <w:u w:val="single"/>
          </w:rPr>
          <w:t>Getting started</w:t>
        </w:r>
      </w:hyperlink>
    </w:p>
    <w:p>
      <w:pPr>
        <w:pStyle w:val="Normal"/>
        <w:ind w:left="0" w:firstLineChars="0" w:firstLine="0" w:leftChars="1000"/>
      </w:pPr>
      <w:hyperlink w:anchor="page_612">
        <w:r>
          <w:rPr>
            <w:color w:val="0000FF" w:themeColor="hyperlink"/>
            <w:u w:val="single"/>
          </w:rPr>
          <w:t>Ports</w:t>
        </w:r>
      </w:hyperlink>
    </w:p>
    <w:p>
      <w:pPr>
        <w:pStyle w:val="Normal"/>
        <w:ind w:left="0" w:firstLineChars="0" w:firstLine="0" w:leftChars="1000"/>
      </w:pPr>
      <w:hyperlink w:anchor="Top_of_index_split_158_html">
        <w:r>
          <w:rPr>
            <w:color w:val="0000FF" w:themeColor="hyperlink"/>
            <w:u w:val="single"/>
          </w:rPr>
          <w:t>Set up the Workload node</w:t>
        </w:r>
      </w:hyperlink>
    </w:p>
    <w:p>
      <w:pPr>
        <w:pStyle w:val="Normal"/>
        <w:ind w:left="0" w:firstLineChars="0" w:firstLine="0" w:leftChars="1000"/>
      </w:pPr>
      <w:hyperlink w:anchor="page_614">
        <w:r>
          <w:rPr>
            <w:color w:val="0000FF" w:themeColor="hyperlink"/>
            <w:u w:val="single"/>
          </w:rPr>
          <w:t>Set up the Monitor node</w:t>
        </w:r>
      </w:hyperlink>
    </w:p>
    <w:p>
      <w:pPr>
        <w:pStyle w:val="Normal"/>
        <w:ind w:left="0" w:firstLineChars="0" w:firstLine="0" w:leftChars="1000"/>
      </w:pPr>
      <w:hyperlink w:anchor="page_615">
        <w:r>
          <w:rPr>
            <w:color w:val="0000FF" w:themeColor="hyperlink"/>
            <w:u w:val="single"/>
          </w:rPr>
          <w:t>Install Prometheus</w:t>
        </w:r>
      </w:hyperlink>
    </w:p>
    <w:p>
      <w:pPr>
        <w:pStyle w:val="Normal"/>
        <w:ind w:left="0" w:firstLineChars="0" w:firstLine="0" w:leftChars="1000"/>
      </w:pPr>
      <w:hyperlink w:anchor="page_618">
        <w:r>
          <w:rPr>
            <w:color w:val="0000FF" w:themeColor="hyperlink"/>
            <w:u w:val="single"/>
          </w:rPr>
          <w:t>Configure Alertmanager</w:t>
        </w:r>
      </w:hyperlink>
    </w:p>
    <w:p>
      <w:pPr>
        <w:pStyle w:val="Normal"/>
        <w:ind w:left="0" w:firstLineChars="0" w:firstLine="0" w:leftChars="1000"/>
      </w:pPr>
      <w:hyperlink w:anchor="page_620">
        <w:r>
          <w:rPr>
            <w:color w:val="0000FF" w:themeColor="hyperlink"/>
            <w:u w:val="single"/>
          </w:rPr>
          <w:t>Install Grafana</w:t>
        </w:r>
      </w:hyperlink>
    </w:p>
    <w:p>
      <w:pPr>
        <w:pStyle w:val="Normal"/>
        <w:ind w:left="0" w:firstLineChars="0" w:firstLine="0" w:leftChars="1000"/>
      </w:pPr>
      <w:hyperlink w:anchor="Top_of_index_split_165_html">
        <w:r>
          <w:rPr>
            <w:color w:val="0000FF" w:themeColor="hyperlink"/>
            <w:u w:val="single"/>
          </w:rPr>
          <w:t>How to install and configure Logwatch</w:t>
        </w:r>
      </w:hyperlink>
    </w:p>
    <w:p>
      <w:pPr>
        <w:pStyle w:val="Normal"/>
        <w:ind w:left="0" w:firstLineChars="0" w:firstLine="0" w:leftChars="1000"/>
      </w:pPr>
      <w:hyperlink w:anchor="Top_of_index_split_165_html">
        <w:r>
          <w:rPr>
            <w:color w:val="0000FF" w:themeColor="hyperlink"/>
            <w:u w:val="single"/>
          </w:rPr>
          <w:t>Install Logwatch</w:t>
        </w:r>
      </w:hyperlink>
    </w:p>
    <w:p>
      <w:pPr>
        <w:pStyle w:val="Normal"/>
        <w:ind w:left="0" w:firstLineChars="0" w:firstLine="0" w:leftChars="1000"/>
      </w:pPr>
      <w:hyperlink w:anchor="Top_of_index_split_166_html">
        <w:r>
          <w:rPr>
            <w:color w:val="0000FF" w:themeColor="hyperlink"/>
            <w:u w:val="single"/>
          </w:rPr>
          <w:t>Configure Logwatch</w:t>
        </w:r>
      </w:hyperlink>
    </w:p>
    <w:p>
      <w:pPr>
        <w:pStyle w:val="Normal"/>
        <w:ind w:left="0" w:firstLineChars="0" w:firstLine="0" w:leftChars="1000"/>
      </w:pPr>
      <w:hyperlink w:anchor="page_633">
        <w:r>
          <w:rPr>
            <w:color w:val="0000FF" w:themeColor="hyperlink"/>
            <w:u w:val="single"/>
          </w:rPr>
          <w:t>Further reading</w:t>
        </w:r>
      </w:hyperlink>
    </w:p>
    <w:p>
      <w:pPr>
        <w:pStyle w:val="Normal"/>
        <w:ind w:left="0" w:firstLineChars="0" w:firstLine="0" w:leftChars="1000"/>
      </w:pPr>
      <w:hyperlink w:anchor="page_633">
        <w:r>
          <w:rPr>
            <w:color w:val="0000FF" w:themeColor="hyperlink"/>
            <w:u w:val="single"/>
          </w:rPr>
          <w:t>How to install and configure Munin</w:t>
        </w:r>
      </w:hyperlink>
    </w:p>
    <w:p>
      <w:pPr>
        <w:pStyle w:val="Normal"/>
        <w:ind w:left="0" w:firstLineChars="0" w:firstLine="0" w:leftChars="1000"/>
      </w:pPr>
      <w:hyperlink w:anchor="page_633">
        <w:r>
          <w:rPr>
            <w:color w:val="0000FF" w:themeColor="hyperlink"/>
            <w:u w:val="single"/>
          </w:rPr>
          <w:t>Prerequisites</w:t>
        </w:r>
      </w:hyperlink>
    </w:p>
    <w:p>
      <w:pPr>
        <w:pStyle w:val="Normal"/>
        <w:ind w:left="0" w:firstLineChars="0" w:firstLine="0" w:leftChars="1000"/>
      </w:pPr>
      <w:hyperlink w:anchor="page_633">
        <w:r>
          <w:rPr>
            <w:color w:val="0000FF" w:themeColor="hyperlink"/>
            <w:u w:val="single"/>
          </w:rPr>
          <w:t>Install munin and munin-node</w:t>
        </w:r>
      </w:hyperlink>
    </w:p>
    <w:p>
      <w:pPr>
        <w:pStyle w:val="Normal"/>
        <w:ind w:left="0" w:firstLineChars="0" w:firstLine="0" w:leftChars="1000"/>
      </w:pPr>
      <w:hyperlink w:anchor="Top_of_index_split_167_html">
        <w:r>
          <w:rPr>
            <w:color w:val="0000FF" w:themeColor="hyperlink"/>
            <w:u w:val="single"/>
          </w:rPr>
          <w:t>Configure munin</w:t>
        </w:r>
      </w:hyperlink>
    </w:p>
    <w:p>
      <w:pPr>
        <w:pStyle w:val="Normal"/>
        <w:ind w:left="0" w:firstLineChars="0" w:firstLine="0" w:leftChars="1000"/>
      </w:pPr>
      <w:hyperlink w:anchor="Top_of_index_split_167_html">
        <w:r>
          <w:rPr>
            <w:color w:val="0000FF" w:themeColor="hyperlink"/>
            <w:u w:val="single"/>
          </w:rPr>
          <w:t>Configure munin-node</w:t>
        </w:r>
      </w:hyperlink>
    </w:p>
    <w:p>
      <w:pPr>
        <w:pStyle w:val="Normal"/>
        <w:ind w:left="0" w:firstLineChars="0" w:firstLine="0" w:leftChars="1000"/>
      </w:pPr>
      <w:hyperlink w:anchor="Top_of_index_split_167_html">
        <w:r>
          <w:rPr>
            <w:color w:val="0000FF" w:themeColor="hyperlink"/>
            <w:u w:val="single"/>
          </w:rPr>
          <w:t>Test the setup</w:t>
        </w:r>
      </w:hyperlink>
    </w:p>
    <w:p>
      <w:pPr>
        <w:pStyle w:val="Normal"/>
        <w:ind w:left="0" w:firstLineChars="0" w:firstLine="0" w:leftChars="1000"/>
      </w:pPr>
      <w:hyperlink w:anchor="page_635">
        <w:r>
          <w:rPr>
            <w:color w:val="0000FF" w:themeColor="hyperlink"/>
            <w:u w:val="single"/>
          </w:rPr>
          <w:t>Additional Plugins</w:t>
        </w:r>
      </w:hyperlink>
    </w:p>
    <w:p>
      <w:pPr>
        <w:pStyle w:val="Normal"/>
        <w:ind w:left="0" w:firstLineChars="0" w:firstLine="0" w:leftChars="1000"/>
      </w:pPr>
      <w:hyperlink w:anchor="page_635">
        <w:r>
          <w:rPr>
            <w:color w:val="0000FF" w:themeColor="hyperlink"/>
            <w:u w:val="single"/>
          </w:rPr>
          <w:t>References</w:t>
        </w:r>
      </w:hyperlink>
    </w:p>
    <w:p>
      <w:pPr>
        <w:pStyle w:val="Normal"/>
        <w:ind w:left="0" w:firstLineChars="0" w:firstLine="0" w:leftChars="1000"/>
      </w:pPr>
      <w:hyperlink w:anchor="page_635">
        <w:r>
          <w:rPr>
            <w:color w:val="0000FF" w:themeColor="hyperlink"/>
            <w:u w:val="single"/>
          </w:rPr>
          <w:t>How to install and configure Nagios Core 3</w:t>
        </w:r>
      </w:hyperlink>
    </w:p>
    <w:p>
      <w:pPr>
        <w:pStyle w:val="Normal"/>
        <w:ind w:left="0" w:firstLineChars="0" w:firstLine="0" w:leftChars="1000"/>
      </w:pPr>
      <w:hyperlink w:anchor="Top_of_index_split_168_html">
        <w:r>
          <w:rPr>
            <w:color w:val="0000FF" w:themeColor="hyperlink"/>
            <w:u w:val="single"/>
          </w:rPr>
          <w:t>Install nagios3 on server01</w:t>
        </w:r>
      </w:hyperlink>
    </w:p>
    <w:p>
      <w:pPr>
        <w:pStyle w:val="Normal"/>
        <w:ind w:left="0" w:firstLineChars="0" w:firstLine="0" w:leftChars="1000"/>
      </w:pPr>
      <w:hyperlink w:anchor="Top_of_index_split_168_html">
        <w:r>
          <w:rPr>
            <w:color w:val="0000FF" w:themeColor="hyperlink"/>
            <w:u w:val="single"/>
          </w:rPr>
          <w:t>Install nagios-nrpe-server on server02</w:t>
        </w:r>
      </w:hyperlink>
    </w:p>
    <w:p>
      <w:pPr>
        <w:pStyle w:val="Normal"/>
        <w:ind w:left="0" w:firstLineChars="0" w:firstLine="0" w:leftChars="1000"/>
      </w:pPr>
      <w:hyperlink w:anchor="Top_of_index_split_168_html">
        <w:r>
          <w:rPr>
            <w:color w:val="0000FF" w:themeColor="hyperlink"/>
            <w:u w:val="single"/>
          </w:rPr>
          <w:t>Configuration overview</w:t>
        </w:r>
      </w:hyperlink>
    </w:p>
    <w:p>
      <w:pPr>
        <w:pStyle w:val="Normal"/>
        <w:ind w:left="0" w:firstLineChars="0" w:firstLine="0" w:leftChars="1000"/>
      </w:pPr>
      <w:hyperlink w:anchor="page_637">
        <w:r>
          <w:rPr>
            <w:color w:val="0000FF" w:themeColor="hyperlink"/>
            <w:u w:val="single"/>
          </w:rPr>
          <w:t>Configure Nagios</w:t>
        </w:r>
      </w:hyperlink>
    </w:p>
    <w:p>
      <w:pPr>
        <w:pStyle w:val="Normal"/>
        <w:ind w:left="0" w:firstLineChars="0" w:firstLine="0" w:leftChars="1000"/>
      </w:pPr>
      <w:hyperlink w:anchor="page_637">
        <w:r>
          <w:rPr>
            <w:color w:val="0000FF" w:themeColor="hyperlink"/>
            <w:u w:val="single"/>
          </w:rPr>
          <w:t>Create host config file for server02</w:t>
        </w:r>
      </w:hyperlink>
    </w:p>
    <w:p>
      <w:pPr>
        <w:pStyle w:val="Normal"/>
        <w:ind w:left="0" w:firstLineChars="0" w:firstLine="0" w:leftChars="1000"/>
      </w:pPr>
      <w:hyperlink w:anchor="page_637">
        <w:r>
          <w:rPr>
            <w:color w:val="0000FF" w:themeColor="hyperlink"/>
            <w:u w:val="single"/>
          </w:rPr>
          <w:t>Edit the host config file</w:t>
        </w:r>
      </w:hyperlink>
    </w:p>
    <w:p>
      <w:pPr>
        <w:pStyle w:val="Normal"/>
        <w:ind w:left="0" w:firstLineChars="0" w:firstLine="0" w:leftChars="1000"/>
      </w:pPr>
      <w:hyperlink w:anchor="page_638">
        <w:r>
          <w:rPr>
            <w:color w:val="0000FF" w:themeColor="hyperlink"/>
            <w:u w:val="single"/>
          </w:rPr>
          <w:t>Add service definition</w:t>
        </w:r>
      </w:hyperlink>
    </w:p>
    <w:p>
      <w:pPr>
        <w:pStyle w:val="Normal"/>
        <w:ind w:left="0" w:firstLineChars="0" w:firstLine="0" w:leftChars="1000"/>
      </w:pPr>
      <w:hyperlink w:anchor="page_639">
        <w:r>
          <w:rPr>
            <w:color w:val="0000FF" w:themeColor="hyperlink"/>
            <w:u w:val="single"/>
          </w:rPr>
          <w:t>Configure NRPE</w:t>
        </w:r>
      </w:hyperlink>
    </w:p>
    <w:p>
      <w:pPr>
        <w:pStyle w:val="Normal"/>
        <w:ind w:left="0" w:firstLineChars="0" w:firstLine="0" w:leftChars="1000"/>
      </w:pPr>
      <w:hyperlink w:anchor="page_639">
        <w:r>
          <w:rPr>
            <w:color w:val="0000FF" w:themeColor="hyperlink"/>
            <w:u w:val="single"/>
          </w:rPr>
          <w:t>Further reading</w:t>
        </w:r>
      </w:hyperlink>
    </w:p>
    <w:p>
      <w:pPr>
        <w:pStyle w:val="Normal"/>
        <w:ind w:left="0" w:firstLineChars="0" w:firstLine="0" w:leftChars="1000"/>
      </w:pPr>
      <w:hyperlink w:anchor="page_640">
        <w:r>
          <w:rPr>
            <w:color w:val="0000FF" w:themeColor="hyperlink"/>
            <w:u w:val="single"/>
          </w:rPr>
          <w:t>How to use Nagios with Munin</w:t>
        </w:r>
      </w:hyperlink>
    </w:p>
    <w:p>
      <w:pPr>
        <w:pStyle w:val="Normal"/>
        <w:ind w:left="0" w:firstLineChars="0" w:firstLine="0" w:leftChars="1000"/>
      </w:pPr>
      <w:hyperlink w:anchor="page_640">
        <w:r>
          <w:rPr>
            <w:color w:val="0000FF" w:themeColor="hyperlink"/>
            <w:u w:val="single"/>
          </w:rPr>
          <w:t>Install Nagios 3</w:t>
        </w:r>
      </w:hyperlink>
    </w:p>
    <w:p>
      <w:pPr>
        <w:pStyle w:val="Normal"/>
        <w:ind w:left="0" w:firstLineChars="0" w:firstLine="0" w:leftChars="1000"/>
      </w:pPr>
      <w:hyperlink w:anchor="page_640">
        <w:r>
          <w:rPr>
            <w:color w:val="0000FF" w:themeColor="hyperlink"/>
            <w:u w:val="single"/>
          </w:rPr>
          <w:t>On server01</w:t>
        </w:r>
      </w:hyperlink>
    </w:p>
    <w:p>
      <w:pPr>
        <w:pStyle w:val="Normal"/>
        <w:ind w:left="0" w:firstLineChars="0" w:firstLine="0" w:leftChars="1000"/>
      </w:pPr>
      <w:hyperlink w:anchor="page_640">
        <w:r>
          <w:rPr>
            <w:color w:val="0000FF" w:themeColor="hyperlink"/>
            <w:u w:val="single"/>
          </w:rPr>
          <w:t>On server02</w:t>
        </w:r>
      </w:hyperlink>
    </w:p>
    <w:p>
      <w:pPr>
        <w:pStyle w:val="Normal"/>
        <w:ind w:left="0" w:firstLineChars="0" w:firstLine="0" w:leftChars="1000"/>
      </w:pPr>
      <w:hyperlink w:anchor="page_641">
        <w:r>
          <w:rPr>
            <w:color w:val="0000FF" w:themeColor="hyperlink"/>
            <w:u w:val="single"/>
          </w:rPr>
          <w:t>Configuration overview</w:t>
        </w:r>
      </w:hyperlink>
    </w:p>
    <w:p>
      <w:pPr>
        <w:pStyle w:val="Normal"/>
        <w:ind w:left="0" w:firstLineChars="0" w:firstLine="0" w:leftChars="1000"/>
      </w:pPr>
      <w:hyperlink w:anchor="Top_of_index_split_169_html">
        <w:r>
          <w:rPr>
            <w:color w:val="0000FF" w:themeColor="hyperlink"/>
            <w:u w:val="single"/>
          </w:rPr>
          <w:t>Configure Nagios</w:t>
        </w:r>
      </w:hyperlink>
    </w:p>
    <w:p>
      <w:pPr>
        <w:pStyle w:val="Normal"/>
        <w:ind w:left="0" w:firstLineChars="0" w:firstLine="0" w:leftChars="1000"/>
      </w:pPr>
      <w:hyperlink w:anchor="page_643">
        <w:r>
          <w:rPr>
            <w:color w:val="0000FF" w:themeColor="hyperlink"/>
            <w:u w:val="single"/>
          </w:rPr>
          <w:t>Install Munin</w:t>
        </w:r>
      </w:hyperlink>
    </w:p>
    <w:p>
      <w:pPr>
        <w:pStyle w:val="Normal"/>
        <w:ind w:left="0" w:firstLineChars="0" w:firstLine="0" w:leftChars="1000"/>
      </w:pPr>
      <w:hyperlink w:anchor="Top_of_index_split_170_html">
        <w:r>
          <w:rPr>
            <w:color w:val="0000FF" w:themeColor="hyperlink"/>
            <w:u w:val="single"/>
          </w:rPr>
          <w:t>On server01</w:t>
        </w:r>
      </w:hyperlink>
    </w:p>
    <w:p>
      <w:pPr>
        <w:pStyle w:val="Normal"/>
        <w:ind w:left="0" w:firstLineChars="0" w:firstLine="0" w:leftChars="1000"/>
      </w:pPr>
      <w:hyperlink w:anchor="Top_of_index_split_170_html">
        <w:r>
          <w:rPr>
            <w:color w:val="0000FF" w:themeColor="hyperlink"/>
            <w:u w:val="single"/>
          </w:rPr>
          <w:t>On server02</w:t>
        </w:r>
      </w:hyperlink>
    </w:p>
    <w:p>
      <w:pPr>
        <w:pStyle w:val="Normal"/>
        <w:ind w:left="0" w:firstLineChars="0" w:firstLine="0" w:leftChars="1000"/>
      </w:pPr>
      <w:hyperlink w:anchor="Top_of_index_split_170_html">
        <w:r>
          <w:rPr>
            <w:color w:val="0000FF" w:themeColor="hyperlink"/>
            <w:u w:val="single"/>
          </w:rPr>
          <w:t>Configure Munin on server01</w:t>
        </w:r>
      </w:hyperlink>
    </w:p>
    <w:p>
      <w:pPr>
        <w:pStyle w:val="Normal"/>
        <w:ind w:left="0" w:firstLineChars="0" w:firstLine="0" w:leftChars="1000"/>
      </w:pPr>
      <w:hyperlink w:anchor="Top_of_index_split_170_html">
        <w:r>
          <w:rPr>
            <w:color w:val="0000FF" w:themeColor="hyperlink"/>
            <w:u w:val="single"/>
          </w:rPr>
          <w:t>Configure munin-node on server02</w:t>
        </w:r>
      </w:hyperlink>
    </w:p>
    <w:p>
      <w:pPr>
        <w:pStyle w:val="Normal"/>
        <w:ind w:left="0" w:firstLineChars="0" w:firstLine="0" w:leftChars="1000"/>
      </w:pPr>
      <w:hyperlink w:anchor="page_645">
        <w:r>
          <w:rPr>
            <w:color w:val="0000FF" w:themeColor="hyperlink"/>
            <w:u w:val="single"/>
          </w:rPr>
          <w:t>Additional plugins</w:t>
        </w:r>
      </w:hyperlink>
    </w:p>
    <w:p>
      <w:pPr>
        <w:pStyle w:val="Normal"/>
        <w:ind w:left="0" w:firstLineChars="0" w:firstLine="0" w:leftChars="1000"/>
      </w:pPr>
      <w:hyperlink w:anchor="page_645">
        <w:r>
          <w:rPr>
            <w:color w:val="0000FF" w:themeColor="hyperlink"/>
            <w:u w:val="single"/>
          </w:rPr>
          <w:t>Further reading</w:t>
        </w:r>
      </w:hyperlink>
    </w:p>
    <w:p>
      <w:pPr>
        <w:pStyle w:val="Normal"/>
        <w:ind w:left="0" w:firstLineChars="0" w:firstLine="0" w:leftChars="400"/>
      </w:pPr>
      <w:hyperlink w:anchor="page_645">
        <w:r>
          <w:rPr>
            <w:color w:val="0000FF" w:themeColor="hyperlink"/>
            <w:u w:val="single"/>
          </w:rPr>
          <w:t>Debugging</w:t>
        </w:r>
      </w:hyperlink>
    </w:p>
    <w:p>
      <w:pPr>
        <w:pStyle w:val="Normal"/>
        <w:ind w:left="0" w:firstLineChars="0" w:firstLine="0" w:leftChars="600"/>
      </w:pPr>
      <w:hyperlink w:anchor="page_645">
        <w:r>
          <w:rPr>
            <w:color w:val="0000FF" w:themeColor="hyperlink"/>
            <w:u w:val="single"/>
          </w:rPr>
          <w:t>Debugging</w:t>
        </w:r>
      </w:hyperlink>
    </w:p>
    <w:p>
      <w:pPr>
        <w:pStyle w:val="Normal"/>
        <w:ind w:left="0" w:firstLineChars="0" w:firstLine="0" w:leftChars="800"/>
      </w:pPr>
      <w:hyperlink w:anchor="Top_of_index_split_171_html">
        <w:r>
          <w:rPr>
            <w:color w:val="0000FF" w:themeColor="hyperlink"/>
            <w:u w:val="single"/>
          </w:rPr>
          <w:t>About debuginfod</w:t>
        </w:r>
      </w:hyperlink>
    </w:p>
    <w:p>
      <w:pPr>
        <w:pStyle w:val="Normal"/>
        <w:ind w:left="0" w:firstLineChars="0" w:firstLine="0" w:leftChars="1000"/>
      </w:pPr>
      <w:hyperlink w:anchor="Top_of_index_split_171_html">
        <w:r>
          <w:rPr>
            <w:color w:val="0000FF" w:themeColor="hyperlink"/>
            <w:u w:val="single"/>
          </w:rPr>
          <w:t>Using the service</w:t>
        </w:r>
      </w:hyperlink>
    </w:p>
    <w:p>
      <w:pPr>
        <w:pStyle w:val="Normal"/>
        <w:ind w:left="0" w:firstLineChars="0" w:firstLine="0" w:leftChars="1000"/>
      </w:pPr>
      <w:hyperlink w:anchor="Top_of_index_split_172_html">
        <w:r>
          <w:rPr>
            <w:color w:val="0000FF" w:themeColor="hyperlink"/>
            <w:u w:val="single"/>
          </w:rPr>
          <w:t>Example session with GDB</w:t>
        </w:r>
      </w:hyperlink>
    </w:p>
    <w:p>
      <w:pPr>
        <w:pStyle w:val="Normal"/>
        <w:ind w:left="0" w:firstLineChars="0" w:firstLine="0" w:leftChars="1000"/>
      </w:pPr>
      <w:hyperlink w:anchor="Top_of_index_split_172_html">
        <w:r>
          <w:rPr>
            <w:color w:val="0000FF" w:themeColor="hyperlink"/>
            <w:u w:val="single"/>
          </w:rPr>
          <w:t>Opting out of the service</w:t>
        </w:r>
      </w:hyperlink>
    </w:p>
    <w:p>
      <w:pPr>
        <w:pStyle w:val="Normal"/>
        <w:ind w:left="0" w:firstLineChars="0" w:firstLine="0" w:leftChars="1000"/>
      </w:pPr>
      <w:hyperlink w:anchor="Top_of_index_split_172_html">
        <w:r>
          <w:rPr>
            <w:color w:val="0000FF" w:themeColor="hyperlink"/>
            <w:u w:val="single"/>
          </w:rPr>
          <w:t>How does debuginfod find the debug symbols for the binary I am debugging?</w:t>
        </w:r>
      </w:hyperlink>
    </w:p>
    <w:p>
      <w:pPr>
        <w:pStyle w:val="Normal"/>
        <w:ind w:left="0" w:firstLineChars="0" w:firstLine="0" w:leftChars="1000"/>
      </w:pPr>
      <w:hyperlink w:anchor="page_648">
        <w:r>
          <w:rPr>
            <w:color w:val="0000FF" w:themeColor="hyperlink"/>
            <w:u w:val="single"/>
          </w:rPr>
          <w:t>Can ddeb packages co-exist with debuginfod?</w:t>
        </w:r>
      </w:hyperlink>
    </w:p>
    <w:p>
      <w:pPr>
        <w:pStyle w:val="Normal"/>
        <w:ind w:left="0" w:firstLineChars="0" w:firstLine="0" w:leftChars="1000"/>
      </w:pPr>
      <w:hyperlink w:anchor="page_648">
        <w:r>
          <w:rPr>
            <w:color w:val="0000FF" w:themeColor="hyperlink"/>
            <w:u w:val="single"/>
          </w:rPr>
          <w:t>Can I use debuginfod with my own binary that links against system libraries?</w:t>
        </w:r>
      </w:hyperlink>
    </w:p>
    <w:p>
      <w:pPr>
        <w:pStyle w:val="Normal"/>
        <w:ind w:left="0" w:firstLineChars="0" w:firstLine="0" w:leftChars="800"/>
      </w:pPr>
      <w:hyperlink w:anchor="page_648">
        <w:r>
          <w:rPr>
            <w:color w:val="0000FF" w:themeColor="hyperlink"/>
            <w:u w:val="single"/>
          </w:rPr>
          <w:t>Debug symbol packages</w:t>
        </w:r>
      </w:hyperlink>
    </w:p>
    <w:p>
      <w:pPr>
        <w:pStyle w:val="Normal"/>
        <w:ind w:left="0" w:firstLineChars="0" w:firstLine="0" w:leftChars="1000"/>
      </w:pPr>
      <w:hyperlink w:anchor="page_648">
        <w:r>
          <w:rPr>
            <w:color w:val="0000FF" w:themeColor="hyperlink"/>
            <w:u w:val="single"/>
          </w:rPr>
          <w:t>Debuginfod</w:t>
        </w:r>
      </w:hyperlink>
    </w:p>
    <w:p>
      <w:pPr>
        <w:pStyle w:val="Normal"/>
        <w:ind w:left="0" w:firstLineChars="0" w:firstLine="0" w:leftChars="1000"/>
      </w:pPr>
      <w:hyperlink w:anchor="page_649">
        <w:r>
          <w:rPr>
            <w:color w:val="0000FF" w:themeColor="hyperlink"/>
            <w:u w:val="single"/>
          </w:rPr>
          <w:t>Getting -dbgsym.ddeb packages</w:t>
        </w:r>
      </w:hyperlink>
    </w:p>
    <w:p>
      <w:pPr>
        <w:pStyle w:val="Normal"/>
        <w:ind w:left="0" w:firstLineChars="0" w:firstLine="0" w:leftChars="1000"/>
      </w:pPr>
      <w:hyperlink w:anchor="page_649">
        <w:r>
          <w:rPr>
            <w:color w:val="0000FF" w:themeColor="hyperlink"/>
            <w:u w:val="single"/>
          </w:rPr>
          <w:t>Import the signing key</w:t>
        </w:r>
      </w:hyperlink>
    </w:p>
    <w:p>
      <w:pPr>
        <w:pStyle w:val="Normal"/>
        <w:ind w:left="0" w:firstLineChars="0" w:firstLine="0" w:leftChars="1000"/>
      </w:pPr>
      <w:hyperlink w:anchor="page_649">
        <w:r>
          <w:rPr>
            <w:color w:val="0000FF" w:themeColor="hyperlink"/>
            <w:u w:val="single"/>
          </w:rPr>
          <w:t>Create a ddebs.list file</w:t>
        </w:r>
      </w:hyperlink>
    </w:p>
    <w:p>
      <w:pPr>
        <w:pStyle w:val="Normal"/>
        <w:ind w:left="0" w:firstLineChars="0" w:firstLine="0" w:leftChars="1000"/>
      </w:pPr>
      <w:hyperlink w:anchor="Top_of_index_split_173_html">
        <w:r>
          <w:rPr>
            <w:color w:val="0000FF" w:themeColor="hyperlink"/>
            <w:u w:val="single"/>
          </w:rPr>
          <w:t>Update package list</w:t>
        </w:r>
      </w:hyperlink>
    </w:p>
    <w:p>
      <w:pPr>
        <w:pStyle w:val="Normal"/>
        <w:ind w:left="0" w:firstLineChars="0" w:firstLine="0" w:leftChars="1000"/>
      </w:pPr>
      <w:hyperlink w:anchor="Top_of_index_split_173_html">
        <w:r>
          <w:rPr>
            <w:color w:val="0000FF" w:themeColor="hyperlink"/>
            <w:u w:val="single"/>
          </w:rPr>
          <w:t>Manual install of debug packages</w:t>
        </w:r>
      </w:hyperlink>
    </w:p>
    <w:p>
      <w:pPr>
        <w:pStyle w:val="Normal"/>
        <w:ind w:left="0" w:firstLineChars="0" w:firstLine="0" w:leftChars="1000"/>
      </w:pPr>
      <w:hyperlink w:anchor="Top_of_index_split_173_html">
        <w:r>
          <w:rPr>
            <w:color w:val="0000FF" w:themeColor="hyperlink"/>
            <w:u w:val="single"/>
          </w:rPr>
          <w:t>The debian-goodies tool</w:t>
        </w:r>
      </w:hyperlink>
    </w:p>
    <w:p>
      <w:pPr>
        <w:pStyle w:val="Normal"/>
        <w:ind w:left="0" w:firstLineChars="0" w:firstLine="0" w:leftChars="1000"/>
      </w:pPr>
      <w:hyperlink w:anchor="Top_of_index_split_174_html">
        <w:r>
          <w:rPr>
            <w:color w:val="0000FF" w:themeColor="hyperlink"/>
            <w:u w:val="single"/>
          </w:rPr>
          <w:t>“debs” versus “ddebs”</w:t>
        </w:r>
      </w:hyperlink>
    </w:p>
    <w:p>
      <w:pPr>
        <w:pStyle w:val="Normal"/>
        <w:ind w:left="0" w:firstLineChars="0" w:firstLine="0" w:leftChars="800"/>
      </w:pPr>
      <w:hyperlink w:anchor="Top_of_index_split_174_html">
        <w:r>
          <w:rPr>
            <w:color w:val="0000FF" w:themeColor="hyperlink"/>
            <w:u w:val="single"/>
          </w:rPr>
          <w:t>Kernel crash dump</w:t>
        </w:r>
      </w:hyperlink>
    </w:p>
    <w:p>
      <w:pPr>
        <w:pStyle w:val="Normal"/>
        <w:ind w:left="0" w:firstLineChars="0" w:firstLine="0" w:leftChars="1000"/>
      </w:pPr>
      <w:hyperlink w:anchor="Top_of_index_split_174_html">
        <w:r>
          <w:rPr>
            <w:color w:val="0000FF" w:themeColor="hyperlink"/>
            <w:u w:val="single"/>
          </w:rPr>
          <w:t>Kernel crash dump mechanism</w:t>
        </w:r>
      </w:hyperlink>
    </w:p>
    <w:p>
      <w:pPr>
        <w:pStyle w:val="Normal"/>
        <w:ind w:left="0" w:firstLineChars="0" w:firstLine="0" w:leftChars="1000"/>
      </w:pPr>
      <w:hyperlink w:anchor="Top_of_index_split_175_html">
        <w:r>
          <w:rPr>
            <w:color w:val="0000FF" w:themeColor="hyperlink"/>
            <w:u w:val="single"/>
          </w:rPr>
          <w:t>Installation</w:t>
        </w:r>
      </w:hyperlink>
    </w:p>
    <w:p>
      <w:pPr>
        <w:pStyle w:val="Normal"/>
        <w:ind w:left="0" w:firstLineChars="0" w:firstLine="0" w:leftChars="1000"/>
      </w:pPr>
      <w:hyperlink w:anchor="Top_of_index_split_175_html">
        <w:r>
          <w:rPr>
            <w:color w:val="0000FF" w:themeColor="hyperlink"/>
            <w:u w:val="single"/>
          </w:rPr>
          <w:t>kdump is enabled by default where applicable</w:t>
        </w:r>
      </w:hyperlink>
    </w:p>
    <w:p>
      <w:pPr>
        <w:pStyle w:val="Normal"/>
        <w:ind w:left="0" w:firstLineChars="0" w:firstLine="0" w:leftChars="1000"/>
      </w:pPr>
      <w:hyperlink w:anchor="page_653">
        <w:r>
          <w:rPr>
            <w:color w:val="0000FF" w:themeColor="hyperlink"/>
            <w:u w:val="single"/>
          </w:rPr>
          <w:t>Disabling kdump</w:t>
        </w:r>
      </w:hyperlink>
    </w:p>
    <w:p>
      <w:pPr>
        <w:pStyle w:val="Normal"/>
        <w:ind w:left="0" w:firstLineChars="0" w:firstLine="0" w:leftChars="1000"/>
      </w:pPr>
      <w:hyperlink w:anchor="page_653">
        <w:r>
          <w:rPr>
            <w:color w:val="0000FF" w:themeColor="hyperlink"/>
            <w:u w:val="single"/>
          </w:rPr>
          <w:t>Activating config changes</w:t>
        </w:r>
      </w:hyperlink>
    </w:p>
    <w:p>
      <w:pPr>
        <w:pStyle w:val="Normal"/>
        <w:ind w:left="0" w:firstLineChars="0" w:firstLine="0" w:leftChars="1000"/>
      </w:pPr>
      <w:hyperlink w:anchor="page_653">
        <w:r>
          <w:rPr>
            <w:color w:val="0000FF" w:themeColor="hyperlink"/>
            <w:u w:val="single"/>
          </w:rPr>
          <w:t>Verify if kdump is ready</w:t>
        </w:r>
      </w:hyperlink>
    </w:p>
    <w:p>
      <w:pPr>
        <w:pStyle w:val="Normal"/>
        <w:ind w:left="0" w:firstLineChars="0" w:firstLine="0" w:leftChars="1000"/>
      </w:pPr>
      <w:hyperlink w:anchor="Top_of_index_split_176_html">
        <w:r>
          <w:rPr>
            <w:color w:val="0000FF" w:themeColor="hyperlink"/>
            <w:u w:val="single"/>
          </w:rPr>
          <w:t>Reserving Memory</w:t>
        </w:r>
      </w:hyperlink>
    </w:p>
    <w:p>
      <w:pPr>
        <w:pStyle w:val="Normal"/>
        <w:ind w:left="0" w:firstLineChars="0" w:firstLine="0" w:leftChars="1000"/>
      </w:pPr>
      <w:hyperlink w:anchor="page_655">
        <w:r>
          <w:rPr>
            <w:color w:val="0000FF" w:themeColor="hyperlink"/>
            <w:u w:val="single"/>
          </w:rPr>
          <w:t>Configuration</w:t>
        </w:r>
      </w:hyperlink>
    </w:p>
    <w:p>
      <w:pPr>
        <w:pStyle w:val="Normal"/>
        <w:ind w:left="0" w:firstLineChars="0" w:firstLine="0" w:leftChars="1000"/>
      </w:pPr>
      <w:hyperlink w:anchor="page_655">
        <w:r>
          <w:rPr>
            <w:color w:val="0000FF" w:themeColor="hyperlink"/>
            <w:u w:val="single"/>
          </w:rPr>
          <w:t>Local kernel crash dumps</w:t>
        </w:r>
      </w:hyperlink>
    </w:p>
    <w:p>
      <w:pPr>
        <w:pStyle w:val="Normal"/>
        <w:ind w:left="0" w:firstLineChars="0" w:firstLine="0" w:leftChars="1000"/>
      </w:pPr>
      <w:hyperlink w:anchor="page_655">
        <w:r>
          <w:rPr>
            <w:color w:val="0000FF" w:themeColor="hyperlink"/>
            <w:u w:val="single"/>
          </w:rPr>
          <w:t>Remote kernel crash dumps using the SSH protocol</w:t>
        </w:r>
      </w:hyperlink>
    </w:p>
    <w:p>
      <w:pPr>
        <w:pStyle w:val="Normal"/>
        <w:ind w:left="0" w:firstLineChars="0" w:firstLine="0" w:leftChars="1000"/>
      </w:pPr>
      <w:hyperlink w:anchor="page_656">
        <w:r>
          <w:rPr>
            <w:color w:val="0000FF" w:themeColor="hyperlink"/>
            <w:u w:val="single"/>
          </w:rPr>
          <w:t>Remote kernel crash dumps using the NFS protocol</w:t>
        </w:r>
      </w:hyperlink>
    </w:p>
    <w:p>
      <w:pPr>
        <w:pStyle w:val="Normal"/>
        <w:ind w:left="0" w:firstLineChars="0" w:firstLine="0" w:leftChars="1000"/>
      </w:pPr>
      <w:hyperlink w:anchor="page_657">
        <w:r>
          <w:rPr>
            <w:color w:val="0000FF" w:themeColor="hyperlink"/>
            <w:u w:val="single"/>
          </w:rPr>
          <w:t>Troubleshooting</w:t>
        </w:r>
      </w:hyperlink>
    </w:p>
    <w:p>
      <w:pPr>
        <w:pStyle w:val="Normal"/>
        <w:ind w:left="0" w:firstLineChars="0" w:firstLine="0" w:leftChars="1000"/>
      </w:pPr>
      <w:hyperlink w:anchor="Top_of_index_split_177_html">
        <w:r>
          <w:rPr>
            <w:color w:val="0000FF" w:themeColor="hyperlink"/>
            <w:u w:val="single"/>
          </w:rPr>
          <w:t>Testing the crash dump mechanism</w:t>
        </w:r>
      </w:hyperlink>
    </w:p>
    <w:p>
      <w:pPr>
        <w:pStyle w:val="Normal"/>
        <w:ind w:left="0" w:firstLineChars="0" w:firstLine="0" w:leftChars="1000"/>
      </w:pPr>
      <w:hyperlink w:anchor="page_659">
        <w:r>
          <w:rPr>
            <w:color w:val="0000FF" w:themeColor="hyperlink"/>
            <w:u w:val="single"/>
          </w:rPr>
          <w:t>Analyzing a crash dump</w:t>
        </w:r>
      </w:hyperlink>
    </w:p>
    <w:p>
      <w:pPr>
        <w:pStyle w:val="Normal"/>
        <w:ind w:left="0" w:firstLineChars="0" w:firstLine="0" w:leftChars="1000"/>
      </w:pPr>
      <w:hyperlink w:anchor="page_660">
        <w:r>
          <w:rPr>
            <w:color w:val="0000FF" w:themeColor="hyperlink"/>
            <w:u w:val="single"/>
          </w:rPr>
          <w:t>Resources</w:t>
        </w:r>
      </w:hyperlink>
    </w:p>
    <w:p>
      <w:pPr>
        <w:pStyle w:val="Normal"/>
        <w:ind w:left="0" w:firstLineChars="0" w:firstLine="0" w:leftChars="800"/>
      </w:pPr>
      <w:hyperlink w:anchor="Top_of_index_split_178_html">
        <w:r>
          <w:rPr>
            <w:color w:val="0000FF" w:themeColor="hyperlink"/>
            <w:u w:val="single"/>
          </w:rPr>
          <w:t>Introduction to eBPF</w:t>
        </w:r>
      </w:hyperlink>
    </w:p>
    <w:p>
      <w:pPr>
        <w:pStyle w:val="Normal"/>
        <w:ind w:left="0" w:firstLineChars="0" w:firstLine="0" w:leftChars="1000"/>
      </w:pPr>
      <w:hyperlink w:anchor="Top_of_index_split_178_html">
        <w:r>
          <w:rPr>
            <w:color w:val="0000FF" w:themeColor="hyperlink"/>
            <w:u w:val="single"/>
          </w:rPr>
          <w:t>How eBPF works</w:t>
        </w:r>
      </w:hyperlink>
    </w:p>
    <w:p>
      <w:pPr>
        <w:pStyle w:val="Normal"/>
        <w:ind w:left="0" w:firstLineChars="0" w:firstLine="0" w:leftChars="1000"/>
      </w:pPr>
      <w:hyperlink w:anchor="Top_of_index_split_178_html">
        <w:r>
          <w:rPr>
            <w:color w:val="0000FF" w:themeColor="hyperlink"/>
            <w:u w:val="single"/>
          </w:rPr>
          <w:t>eBPF in Ubuntu Server</w:t>
        </w:r>
      </w:hyperlink>
    </w:p>
    <w:p>
      <w:pPr>
        <w:pStyle w:val="Normal"/>
        <w:ind w:left="0" w:firstLineChars="0" w:firstLine="0" w:leftChars="1000"/>
      </w:pPr>
      <w:hyperlink w:anchor="page_662">
        <w:r>
          <w:rPr>
            <w:color w:val="0000FF" w:themeColor="hyperlink"/>
            <w:u w:val="single"/>
          </w:rPr>
          <w:t>Example - Determine what commands are executed</w:t>
        </w:r>
      </w:hyperlink>
    </w:p>
    <w:p>
      <w:pPr>
        <w:pStyle w:val="Normal"/>
        <w:ind w:left="0" w:firstLineChars="0" w:firstLine="0" w:leftChars="1000"/>
      </w:pPr>
      <w:hyperlink w:anchor="page_663">
        <w:r>
          <w:rPr>
            <w:color w:val="0000FF" w:themeColor="hyperlink"/>
            <w:u w:val="single"/>
          </w:rPr>
          <w:t>eBPF can be modified to your needs</w:t>
        </w:r>
      </w:hyperlink>
    </w:p>
    <w:p>
      <w:pPr>
        <w:pStyle w:val="Normal"/>
        <w:ind w:left="0" w:firstLineChars="0" w:firstLine="0" w:leftChars="1000"/>
      </w:pPr>
      <w:hyperlink w:anchor="page_663">
        <w:r>
          <w:rPr>
            <w:color w:val="0000FF" w:themeColor="hyperlink"/>
            <w:u w:val="single"/>
          </w:rPr>
          <w:t>Example - Find out which files QEMU is loading</w:t>
        </w:r>
      </w:hyperlink>
    </w:p>
    <w:p>
      <w:pPr>
        <w:pStyle w:val="Normal"/>
        <w:ind w:left="0" w:firstLineChars="0" w:firstLine="0" w:leftChars="1000"/>
      </w:pPr>
      <w:hyperlink w:anchor="page_664">
        <w:r>
          <w:rPr>
            <w:color w:val="0000FF" w:themeColor="hyperlink"/>
            <w:u w:val="single"/>
          </w:rPr>
          <w:t>Focusing on a specific file type</w:t>
        </w:r>
      </w:hyperlink>
    </w:p>
    <w:p>
      <w:pPr>
        <w:pStyle w:val="Normal"/>
        <w:ind w:left="0" w:firstLineChars="0" w:firstLine="0" w:leftChars="1000"/>
      </w:pPr>
      <w:hyperlink w:anchor="Top_of_index_split_179_html">
        <w:r>
          <w:rPr>
            <w:color w:val="0000FF" w:themeColor="hyperlink"/>
            <w:u w:val="single"/>
          </w:rPr>
          <w:t>Use for other purposes, the limit is your imagination</w:t>
        </w:r>
      </w:hyperlink>
    </w:p>
    <w:p>
      <w:pPr>
        <w:pStyle w:val="Normal"/>
        <w:ind w:left="0" w:firstLineChars="0" w:firstLine="0" w:leftChars="1000"/>
      </w:pPr>
      <w:hyperlink w:anchor="Top_of_index_split_179_html">
        <w:r>
          <w:rPr>
            <w:color w:val="0000FF" w:themeColor="hyperlink"/>
            <w:u w:val="single"/>
          </w:rPr>
          <w:t>eBPF’s limitations</w:t>
        </w:r>
      </w:hyperlink>
    </w:p>
    <w:p>
      <w:pPr>
        <w:pStyle w:val="Normal"/>
        <w:ind w:left="0" w:firstLineChars="0" w:firstLine="0" w:leftChars="1000"/>
      </w:pPr>
      <w:hyperlink w:anchor="Top_of_index_split_179_html">
        <w:r>
          <w:rPr>
            <w:color w:val="0000FF" w:themeColor="hyperlink"/>
            <w:u w:val="single"/>
          </w:rPr>
          <w:t>Conclusion</w:t>
        </w:r>
      </w:hyperlink>
    </w:p>
    <w:p>
      <w:pPr>
        <w:pStyle w:val="Normal"/>
        <w:ind w:left="0" w:firstLineChars="0" w:firstLine="0" w:leftChars="1000"/>
      </w:pPr>
      <w:hyperlink w:anchor="Top_of_index_split_180_html">
        <w:r>
          <w:rPr>
            <w:color w:val="0000FF" w:themeColor="hyperlink"/>
            <w:u w:val="single"/>
          </w:rPr>
          <w:t>References</w:t>
        </w:r>
      </w:hyperlink>
    </w:p>
    <w:p>
      <w:pPr>
        <w:pStyle w:val="Normal"/>
        <w:ind w:left="0" w:firstLineChars="0" w:firstLine="0" w:leftChars="800"/>
      </w:pPr>
      <w:hyperlink w:anchor="Top_of_index_split_180_html">
        <w:r>
          <w:rPr>
            <w:color w:val="0000FF" w:themeColor="hyperlink"/>
            <w:u w:val="single"/>
          </w:rPr>
          <w:t>Further reading</w:t>
        </w:r>
      </w:hyperlink>
    </w:p>
    <w:p>
      <w:pPr>
        <w:pStyle w:val="Normal"/>
        <w:ind w:left="0" w:firstLineChars="0" w:firstLine="0" w:leftChars="200"/>
      </w:pPr>
      <w:hyperlink w:anchor="Top_of_index_split_180_html">
        <w:r>
          <w:rPr>
            <w:color w:val="0000FF" w:themeColor="hyperlink"/>
            <w:u w:val="single"/>
          </w:rPr>
          <w:t>Ubuntu Server reference</w:t>
        </w:r>
      </w:hyperlink>
    </w:p>
    <w:p>
      <w:pPr>
        <w:pStyle w:val="Normal"/>
        <w:ind w:left="0" w:firstLineChars="0" w:firstLine="0" w:leftChars="400"/>
      </w:pPr>
      <w:hyperlink w:anchor="Top_of_index_split_180_html">
        <w:r>
          <w:rPr>
            <w:color w:val="0000FF" w:themeColor="hyperlink"/>
            <w:u w:val="single"/>
          </w:rPr>
          <w:t>Glossary</w:t>
        </w:r>
      </w:hyperlink>
    </w:p>
    <w:p>
      <w:pPr>
        <w:pStyle w:val="Normal"/>
        <w:ind w:left="0" w:firstLineChars="0" w:firstLine="0" w:leftChars="600"/>
      </w:pPr>
      <w:hyperlink w:anchor="Top_of_index_split_181_html">
        <w:r>
          <w:rPr>
            <w:color w:val="0000FF" w:themeColor="hyperlink"/>
            <w:u w:val="single"/>
          </w:rPr>
          <w:t>A</w:t>
        </w:r>
      </w:hyperlink>
    </w:p>
    <w:p>
      <w:pPr>
        <w:pStyle w:val="Normal"/>
        <w:ind w:left="0" w:firstLineChars="0" w:firstLine="0" w:leftChars="600"/>
      </w:pPr>
      <w:hyperlink w:anchor="page_674">
        <w:r>
          <w:rPr>
            <w:color w:val="0000FF" w:themeColor="hyperlink"/>
            <w:u w:val="single"/>
          </w:rPr>
          <w:t>B</w:t>
        </w:r>
      </w:hyperlink>
    </w:p>
    <w:p>
      <w:pPr>
        <w:pStyle w:val="Normal"/>
        <w:ind w:left="0" w:firstLineChars="0" w:firstLine="0" w:leftChars="600"/>
      </w:pPr>
      <w:hyperlink w:anchor="Top_of_index_split_183_html">
        <w:r>
          <w:rPr>
            <w:color w:val="0000FF" w:themeColor="hyperlink"/>
            <w:u w:val="single"/>
          </w:rPr>
          <w:t>C</w:t>
        </w:r>
      </w:hyperlink>
    </w:p>
    <w:p>
      <w:pPr>
        <w:pStyle w:val="Normal"/>
        <w:ind w:left="0" w:firstLineChars="0" w:firstLine="0" w:leftChars="600"/>
      </w:pPr>
      <w:hyperlink w:anchor="page_676">
        <w:r>
          <w:rPr>
            <w:color w:val="0000FF" w:themeColor="hyperlink"/>
            <w:u w:val="single"/>
          </w:rPr>
          <w:t>D</w:t>
        </w:r>
      </w:hyperlink>
    </w:p>
    <w:p>
      <w:pPr>
        <w:pStyle w:val="Normal"/>
        <w:ind w:left="0" w:firstLineChars="0" w:firstLine="0" w:leftChars="600"/>
      </w:pPr>
      <w:hyperlink w:anchor="Top_of_index_split_187_html">
        <w:r>
          <w:rPr>
            <w:color w:val="0000FF" w:themeColor="hyperlink"/>
            <w:u w:val="single"/>
          </w:rPr>
          <w:t>E</w:t>
        </w:r>
      </w:hyperlink>
    </w:p>
    <w:p>
      <w:pPr>
        <w:pStyle w:val="Normal"/>
        <w:ind w:left="0" w:firstLineChars="0" w:firstLine="0" w:leftChars="600"/>
      </w:pPr>
      <w:hyperlink w:anchor="Top_of_index_split_189_html">
        <w:r>
          <w:rPr>
            <w:color w:val="0000FF" w:themeColor="hyperlink"/>
            <w:u w:val="single"/>
          </w:rPr>
          <w:t>F</w:t>
        </w:r>
      </w:hyperlink>
    </w:p>
    <w:p>
      <w:pPr>
        <w:pStyle w:val="Normal"/>
        <w:ind w:left="0" w:firstLineChars="0" w:firstLine="0" w:leftChars="600"/>
      </w:pPr>
      <w:hyperlink w:anchor="page_684">
        <w:r>
          <w:rPr>
            <w:color w:val="0000FF" w:themeColor="hyperlink"/>
            <w:u w:val="single"/>
          </w:rPr>
          <w:t>G</w:t>
        </w:r>
      </w:hyperlink>
    </w:p>
    <w:p>
      <w:pPr>
        <w:pStyle w:val="Normal"/>
        <w:ind w:left="0" w:firstLineChars="0" w:firstLine="0" w:leftChars="600"/>
      </w:pPr>
      <w:hyperlink w:anchor="Top_of_index_split_191_html">
        <w:r>
          <w:rPr>
            <w:color w:val="0000FF" w:themeColor="hyperlink"/>
            <w:u w:val="single"/>
          </w:rPr>
          <w:t>H</w:t>
        </w:r>
      </w:hyperlink>
    </w:p>
    <w:p>
      <w:pPr>
        <w:pStyle w:val="Normal"/>
        <w:ind w:left="0" w:firstLineChars="0" w:firstLine="0" w:leftChars="600"/>
      </w:pPr>
      <w:hyperlink w:anchor="page_689">
        <w:r>
          <w:rPr>
            <w:color w:val="0000FF" w:themeColor="hyperlink"/>
            <w:u w:val="single"/>
          </w:rPr>
          <w:t>I</w:t>
        </w:r>
      </w:hyperlink>
    </w:p>
    <w:p>
      <w:pPr>
        <w:pStyle w:val="Normal"/>
        <w:ind w:left="0" w:firstLineChars="0" w:firstLine="0" w:leftChars="600"/>
      </w:pPr>
      <w:hyperlink w:anchor="page_691">
        <w:r>
          <w:rPr>
            <w:color w:val="0000FF" w:themeColor="hyperlink"/>
            <w:u w:val="single"/>
          </w:rPr>
          <w:t>J</w:t>
        </w:r>
      </w:hyperlink>
    </w:p>
    <w:p>
      <w:pPr>
        <w:pStyle w:val="Normal"/>
        <w:ind w:left="0" w:firstLineChars="0" w:firstLine="0" w:leftChars="600"/>
      </w:pPr>
      <w:hyperlink w:anchor="page_692">
        <w:r>
          <w:rPr>
            <w:color w:val="0000FF" w:themeColor="hyperlink"/>
            <w:u w:val="single"/>
          </w:rPr>
          <w:t>K</w:t>
        </w:r>
      </w:hyperlink>
    </w:p>
    <w:p>
      <w:pPr>
        <w:pStyle w:val="Normal"/>
        <w:ind w:left="0" w:firstLineChars="0" w:firstLine="0" w:leftChars="600"/>
      </w:pPr>
      <w:hyperlink w:anchor="Top_of_index_split_194_html">
        <w:r>
          <w:rPr>
            <w:color w:val="0000FF" w:themeColor="hyperlink"/>
            <w:u w:val="single"/>
          </w:rPr>
          <w:t>L</w:t>
        </w:r>
      </w:hyperlink>
    </w:p>
    <w:p>
      <w:pPr>
        <w:pStyle w:val="Normal"/>
        <w:ind w:left="0" w:firstLineChars="0" w:firstLine="0" w:leftChars="600"/>
      </w:pPr>
      <w:hyperlink w:anchor="page_694">
        <w:r>
          <w:rPr>
            <w:color w:val="0000FF" w:themeColor="hyperlink"/>
            <w:u w:val="single"/>
          </w:rPr>
          <w:t>M</w:t>
        </w:r>
      </w:hyperlink>
    </w:p>
    <w:p>
      <w:pPr>
        <w:pStyle w:val="Normal"/>
        <w:ind w:left="0" w:firstLineChars="0" w:firstLine="0" w:leftChars="600"/>
      </w:pPr>
      <w:hyperlink w:anchor="Top_of_index_split_197_html">
        <w:r>
          <w:rPr>
            <w:color w:val="0000FF" w:themeColor="hyperlink"/>
            <w:u w:val="single"/>
          </w:rPr>
          <w:t>N</w:t>
        </w:r>
      </w:hyperlink>
    </w:p>
    <w:p>
      <w:pPr>
        <w:pStyle w:val="Normal"/>
        <w:ind w:left="0" w:firstLineChars="0" w:firstLine="0" w:leftChars="600"/>
      </w:pPr>
      <w:hyperlink w:anchor="page_697">
        <w:r>
          <w:rPr>
            <w:color w:val="0000FF" w:themeColor="hyperlink"/>
            <w:u w:val="single"/>
          </w:rPr>
          <w:t>O</w:t>
        </w:r>
      </w:hyperlink>
    </w:p>
    <w:p>
      <w:pPr>
        <w:pStyle w:val="Normal"/>
        <w:ind w:left="0" w:firstLineChars="0" w:firstLine="0" w:leftChars="600"/>
      </w:pPr>
      <w:hyperlink w:anchor="page_699">
        <w:r>
          <w:rPr>
            <w:color w:val="0000FF" w:themeColor="hyperlink"/>
            <w:u w:val="single"/>
          </w:rPr>
          <w:t>P</w:t>
        </w:r>
      </w:hyperlink>
    </w:p>
    <w:p>
      <w:pPr>
        <w:pStyle w:val="Normal"/>
        <w:ind w:left="0" w:firstLineChars="0" w:firstLine="0" w:leftChars="600"/>
      </w:pPr>
      <w:hyperlink w:anchor="page_701">
        <w:r>
          <w:rPr>
            <w:color w:val="0000FF" w:themeColor="hyperlink"/>
            <w:u w:val="single"/>
          </w:rPr>
          <w:t>Q</w:t>
        </w:r>
      </w:hyperlink>
    </w:p>
    <w:p>
      <w:pPr>
        <w:pStyle w:val="Normal"/>
        <w:ind w:left="0" w:firstLineChars="0" w:firstLine="0" w:leftChars="600"/>
      </w:pPr>
      <w:hyperlink w:anchor="page_702">
        <w:r>
          <w:rPr>
            <w:color w:val="0000FF" w:themeColor="hyperlink"/>
            <w:u w:val="single"/>
          </w:rPr>
          <w:t>R</w:t>
        </w:r>
      </w:hyperlink>
    </w:p>
    <w:p>
      <w:pPr>
        <w:pStyle w:val="Normal"/>
        <w:ind w:left="0" w:firstLineChars="0" w:firstLine="0" w:leftChars="600"/>
      </w:pPr>
      <w:hyperlink w:anchor="page_703">
        <w:r>
          <w:rPr>
            <w:color w:val="0000FF" w:themeColor="hyperlink"/>
            <w:u w:val="single"/>
          </w:rPr>
          <w:t>S</w:t>
        </w:r>
      </w:hyperlink>
    </w:p>
    <w:p>
      <w:pPr>
        <w:pStyle w:val="Normal"/>
        <w:ind w:left="0" w:firstLineChars="0" w:firstLine="0" w:leftChars="600"/>
      </w:pPr>
      <w:hyperlink w:anchor="page_709">
        <w:r>
          <w:rPr>
            <w:color w:val="0000FF" w:themeColor="hyperlink"/>
            <w:u w:val="single"/>
          </w:rPr>
          <w:t>T</w:t>
        </w:r>
      </w:hyperlink>
    </w:p>
    <w:p>
      <w:pPr>
        <w:pStyle w:val="Normal"/>
        <w:ind w:left="0" w:firstLineChars="0" w:firstLine="0" w:leftChars="600"/>
      </w:pPr>
      <w:hyperlink w:anchor="page_711">
        <w:r>
          <w:rPr>
            <w:color w:val="0000FF" w:themeColor="hyperlink"/>
            <w:u w:val="single"/>
          </w:rPr>
          <w:t>U</w:t>
        </w:r>
      </w:hyperlink>
    </w:p>
    <w:p>
      <w:pPr>
        <w:pStyle w:val="Normal"/>
        <w:ind w:left="0" w:firstLineChars="0" w:firstLine="0" w:leftChars="600"/>
      </w:pPr>
      <w:hyperlink w:anchor="page_713">
        <w:r>
          <w:rPr>
            <w:color w:val="0000FF" w:themeColor="hyperlink"/>
            <w:u w:val="single"/>
          </w:rPr>
          <w:t>V</w:t>
        </w:r>
      </w:hyperlink>
    </w:p>
    <w:p>
      <w:pPr>
        <w:pStyle w:val="Normal"/>
        <w:ind w:left="0" w:firstLineChars="0" w:firstLine="0" w:leftChars="600"/>
      </w:pPr>
      <w:hyperlink w:anchor="page_715">
        <w:r>
          <w:rPr>
            <w:color w:val="0000FF" w:themeColor="hyperlink"/>
            <w:u w:val="single"/>
          </w:rPr>
          <w:t>W</w:t>
        </w:r>
      </w:hyperlink>
    </w:p>
    <w:p>
      <w:pPr>
        <w:pStyle w:val="Normal"/>
        <w:ind w:left="0" w:firstLineChars="0" w:firstLine="0" w:leftChars="600"/>
      </w:pPr>
      <w:hyperlink w:anchor="page_716">
        <w:r>
          <w:rPr>
            <w:color w:val="0000FF" w:themeColor="hyperlink"/>
            <w:u w:val="single"/>
          </w:rPr>
          <w:t>X</w:t>
        </w:r>
      </w:hyperlink>
    </w:p>
    <w:p>
      <w:pPr>
        <w:pStyle w:val="Normal"/>
        <w:ind w:left="0" w:firstLineChars="0" w:firstLine="0" w:leftChars="600"/>
      </w:pPr>
      <w:hyperlink w:anchor="page_716">
        <w:r>
          <w:rPr>
            <w:color w:val="0000FF" w:themeColor="hyperlink"/>
            <w:u w:val="single"/>
          </w:rPr>
          <w:t>Y</w:t>
        </w:r>
      </w:hyperlink>
    </w:p>
    <w:p>
      <w:pPr>
        <w:pStyle w:val="Normal"/>
        <w:ind w:left="0" w:firstLineChars="0" w:firstLine="0" w:leftChars="600"/>
      </w:pPr>
      <w:hyperlink w:anchor="page_716">
        <w:r>
          <w:rPr>
            <w:color w:val="0000FF" w:themeColor="hyperlink"/>
            <w:u w:val="single"/>
          </w:rPr>
          <w:t>Z</w:t>
        </w:r>
      </w:hyperlink>
    </w:p>
    <w:p>
      <w:pPr>
        <w:pStyle w:val="Normal"/>
        <w:ind w:left="0" w:firstLineChars="0" w:firstLine="0" w:leftChars="400"/>
      </w:pPr>
      <w:hyperlink w:anchor="page_717">
        <w:r>
          <w:rPr>
            <w:color w:val="0000FF" w:themeColor="hyperlink"/>
            <w:u w:val="single"/>
          </w:rPr>
          <w:t>Command-line cheat sheet</w:t>
        </w:r>
      </w:hyperlink>
    </w:p>
    <w:p>
      <w:pPr>
        <w:pStyle w:val="Normal"/>
        <w:ind w:left="0" w:firstLineChars="0" w:firstLine="0" w:leftChars="600"/>
      </w:pPr>
      <w:hyperlink w:anchor="page_717">
        <w:r>
          <w:rPr>
            <w:color w:val="0000FF" w:themeColor="hyperlink"/>
            <w:u w:val="single"/>
          </w:rPr>
          <w:t>Navigation</w:t>
        </w:r>
      </w:hyperlink>
    </w:p>
    <w:p>
      <w:pPr>
        <w:pStyle w:val="Normal"/>
        <w:ind w:left="0" w:firstLineChars="0" w:firstLine="0" w:leftChars="600"/>
      </w:pPr>
      <w:hyperlink w:anchor="page_717">
        <w:r>
          <w:rPr>
            <w:color w:val="0000FF" w:themeColor="hyperlink"/>
            <w:u w:val="single"/>
          </w:rPr>
          <w:t>Working with the filesystem</w:t>
        </w:r>
      </w:hyperlink>
    </w:p>
    <w:p>
      <w:pPr>
        <w:pStyle w:val="Normal"/>
        <w:ind w:left="0" w:firstLineChars="0" w:firstLine="0" w:leftChars="600"/>
      </w:pPr>
      <w:hyperlink w:anchor="page_718">
        <w:r>
          <w:rPr>
            <w:color w:val="0000FF" w:themeColor="hyperlink"/>
            <w:u w:val="single"/>
          </w:rPr>
          <w:t>Working with files</w:t>
        </w:r>
      </w:hyperlink>
    </w:p>
    <w:p>
      <w:pPr>
        <w:pStyle w:val="Normal"/>
        <w:ind w:left="0" w:firstLineChars="0" w:firstLine="0" w:leftChars="600"/>
      </w:pPr>
      <w:hyperlink w:anchor="page_718">
        <w:r>
          <w:rPr>
            <w:color w:val="0000FF" w:themeColor="hyperlink"/>
            <w:u w:val="single"/>
          </w:rPr>
          <w:t>Users, groups, and permissions</w:t>
        </w:r>
      </w:hyperlink>
    </w:p>
    <w:p>
      <w:pPr>
        <w:pStyle w:val="Normal"/>
        <w:ind w:left="0" w:firstLineChars="0" w:firstLine="0" w:leftChars="600"/>
      </w:pPr>
      <w:hyperlink w:anchor="page_718">
        <w:r>
          <w:rPr>
            <w:color w:val="0000FF" w:themeColor="hyperlink"/>
            <w:u w:val="single"/>
          </w:rPr>
          <w:t>Searching</w:t>
        </w:r>
      </w:hyperlink>
    </w:p>
    <w:p>
      <w:pPr>
        <w:pStyle w:val="Normal"/>
        <w:ind w:left="0" w:firstLineChars="0" w:firstLine="0" w:leftChars="600"/>
      </w:pPr>
      <w:hyperlink w:anchor="page_719">
        <w:r>
          <w:rPr>
            <w:color w:val="0000FF" w:themeColor="hyperlink"/>
            <w:u w:val="single"/>
          </w:rPr>
          <w:t>Getting help</w:t>
        </w:r>
      </w:hyperlink>
    </w:p>
    <w:p>
      <w:pPr>
        <w:pStyle w:val="Normal"/>
        <w:ind w:left="0" w:firstLineChars="0" w:firstLine="0" w:leftChars="400"/>
      </w:pPr>
      <w:hyperlink w:anchor="page_719">
        <w:r>
          <w:rPr>
            <w:color w:val="0000FF" w:themeColor="hyperlink"/>
            <w:u w:val="single"/>
          </w:rPr>
          <w:t>Server installation</w:t>
        </w:r>
      </w:hyperlink>
    </w:p>
    <w:p>
      <w:pPr>
        <w:pStyle w:val="Normal"/>
        <w:ind w:left="0" w:firstLineChars="0" w:firstLine="0" w:leftChars="600"/>
      </w:pPr>
      <w:hyperlink w:anchor="page_719">
        <w:r>
          <w:rPr>
            <w:color w:val="0000FF" w:themeColor="hyperlink"/>
            <w:u w:val="single"/>
          </w:rPr>
          <w:t>System requirements</w:t>
        </w:r>
      </w:hyperlink>
    </w:p>
    <w:p>
      <w:pPr>
        <w:pStyle w:val="Normal"/>
        <w:ind w:left="0" w:firstLineChars="0" w:firstLine="0" w:leftChars="800"/>
      </w:pPr>
      <w:hyperlink w:anchor="page_719">
        <w:r>
          <w:rPr>
            <w:color w:val="0000FF" w:themeColor="hyperlink"/>
            <w:u w:val="single"/>
          </w:rPr>
          <w:t>Architecture</w:t>
        </w:r>
      </w:hyperlink>
    </w:p>
    <w:p>
      <w:pPr>
        <w:pStyle w:val="Normal"/>
        <w:ind w:left="0" w:firstLineChars="0" w:firstLine="0" w:leftChars="800"/>
      </w:pPr>
      <w:hyperlink w:anchor="Top_of_index_split_209_html">
        <w:r>
          <w:rPr>
            <w:color w:val="0000FF" w:themeColor="hyperlink"/>
            <w:u w:val="single"/>
          </w:rPr>
          <w:t>Memory</w:t>
        </w:r>
      </w:hyperlink>
    </w:p>
    <w:p>
      <w:pPr>
        <w:pStyle w:val="Normal"/>
        <w:ind w:left="0" w:firstLineChars="0" w:firstLine="0" w:leftChars="800"/>
      </w:pPr>
      <w:hyperlink w:anchor="Top_of_index_split_209_html">
        <w:r>
          <w:rPr>
            <w:color w:val="0000FF" w:themeColor="hyperlink"/>
            <w:u w:val="single"/>
          </w:rPr>
          <w:t>Storage</w:t>
        </w:r>
      </w:hyperlink>
    </w:p>
    <w:p>
      <w:pPr>
        <w:pStyle w:val="Normal"/>
        <w:ind w:left="0" w:firstLineChars="0" w:firstLine="0" w:leftChars="400"/>
      </w:pPr>
      <w:hyperlink w:anchor="Top_of_index_split_209_html">
        <w:r>
          <w:rPr>
            <w:color w:val="0000FF" w:themeColor="hyperlink"/>
            <w:u w:val="single"/>
          </w:rPr>
          <w:t>High Availability</w:t>
        </w:r>
      </w:hyperlink>
    </w:p>
    <w:p>
      <w:pPr>
        <w:pStyle w:val="Normal"/>
        <w:ind w:left="0" w:firstLineChars="0" w:firstLine="0" w:leftChars="600"/>
      </w:pPr>
      <w:hyperlink w:anchor="Top_of_index_split_209_html">
        <w:r>
          <w:rPr>
            <w:color w:val="0000FF" w:themeColor="hyperlink"/>
            <w:u w:val="single"/>
          </w:rPr>
          <w:t>High availability</w:t>
        </w:r>
      </w:hyperlink>
    </w:p>
    <w:p>
      <w:pPr>
        <w:pStyle w:val="Normal"/>
        <w:ind w:left="0" w:firstLineChars="0" w:firstLine="0" w:leftChars="800"/>
      </w:pPr>
      <w:hyperlink w:anchor="Top_of_index_split_209_html">
        <w:r>
          <w:rPr>
            <w:color w:val="0000FF" w:themeColor="hyperlink"/>
            <w:u w:val="single"/>
          </w:rPr>
          <w:t>Migrate from crmsh to pcs</w:t>
        </w:r>
      </w:hyperlink>
    </w:p>
    <w:p>
      <w:pPr>
        <w:pStyle w:val="Normal"/>
        <w:ind w:left="0" w:firstLineChars="0" w:firstLine="0" w:leftChars="800"/>
      </w:pPr>
      <w:hyperlink w:anchor="page_722">
        <w:r>
          <w:rPr>
            <w:color w:val="0000FF" w:themeColor="hyperlink"/>
            <w:u w:val="single"/>
          </w:rPr>
          <w:t>See also</w:t>
        </w:r>
      </w:hyperlink>
    </w:p>
    <w:p>
      <w:pPr>
        <w:pStyle w:val="Normal"/>
        <w:ind w:left="0" w:firstLineChars="0" w:firstLine="0" w:leftChars="400"/>
      </w:pPr>
      <w:hyperlink w:anchor="page_722">
        <w:r>
          <w:rPr>
            <w:color w:val="0000FF" w:themeColor="hyperlink"/>
            <w:u w:val="single"/>
          </w:rPr>
          <w:t>Other tools</w:t>
        </w:r>
      </w:hyperlink>
    </w:p>
    <w:p>
      <w:pPr>
        <w:pStyle w:val="Normal"/>
        <w:ind w:left="0" w:firstLineChars="0" w:firstLine="0" w:leftChars="600"/>
      </w:pPr>
      <w:hyperlink w:anchor="page_722">
        <w:r>
          <w:rPr>
            <w:color w:val="0000FF" w:themeColor="hyperlink"/>
            <w:u w:val="single"/>
          </w:rPr>
          <w:t>Other tools</w:t>
        </w:r>
      </w:hyperlink>
    </w:p>
    <w:p>
      <w:pPr>
        <w:pStyle w:val="Normal"/>
        <w:ind w:left="0" w:firstLineChars="0" w:firstLine="0" w:leftChars="800"/>
      </w:pPr>
      <w:hyperlink w:anchor="page_722">
        <w:r>
          <w:rPr>
            <w:color w:val="0000FF" w:themeColor="hyperlink"/>
            <w:u w:val="single"/>
          </w:rPr>
          <w:t>Terminal multiplexers</w:t>
        </w:r>
      </w:hyperlink>
    </w:p>
    <w:p>
      <w:pPr>
        <w:pStyle w:val="Normal"/>
        <w:ind w:left="0" w:firstLineChars="0" w:firstLine="0" w:leftChars="1000"/>
      </w:pPr>
      <w:hyperlink w:anchor="Top_of_index_split_210_html">
        <w:r>
          <w:rPr>
            <w:color w:val="0000FF" w:themeColor="hyperlink"/>
            <w:u w:val="single"/>
          </w:rPr>
          <w:t>tmux</w:t>
        </w:r>
      </w:hyperlink>
    </w:p>
    <w:p>
      <w:pPr>
        <w:pStyle w:val="Normal"/>
        <w:ind w:left="0" w:firstLineChars="0" w:firstLine="0" w:leftChars="1000"/>
      </w:pPr>
      <w:hyperlink w:anchor="Top_of_index_split_210_html">
        <w:r>
          <w:rPr>
            <w:color w:val="0000FF" w:themeColor="hyperlink"/>
            <w:u w:val="single"/>
          </w:rPr>
          <w:t>Control key and keybindings</w:t>
        </w:r>
      </w:hyperlink>
    </w:p>
    <w:p>
      <w:pPr>
        <w:pStyle w:val="Normal"/>
        <w:ind w:left="0" w:firstLineChars="0" w:firstLine="0" w:leftChars="1000"/>
      </w:pPr>
      <w:hyperlink w:anchor="Top_of_index_split_210_html">
        <w:r>
          <w:rPr>
            <w:color w:val="0000FF" w:themeColor="hyperlink"/>
            <w:u w:val="single"/>
          </w:rPr>
          <w:t>Session management</w:t>
        </w:r>
      </w:hyperlink>
    </w:p>
    <w:p>
      <w:pPr>
        <w:pStyle w:val="Normal"/>
        <w:ind w:left="0" w:firstLineChars="0" w:firstLine="0" w:leftChars="1000"/>
      </w:pPr>
      <w:hyperlink w:anchor="page_724">
        <w:r>
          <w:rPr>
            <w:color w:val="0000FF" w:themeColor="hyperlink"/>
            <w:u w:val="single"/>
          </w:rPr>
          <w:t>Window management</w:t>
        </w:r>
      </w:hyperlink>
    </w:p>
    <w:p>
      <w:pPr>
        <w:pStyle w:val="Normal"/>
        <w:ind w:left="0" w:firstLineChars="0" w:firstLine="0" w:leftChars="1000"/>
      </w:pPr>
      <w:hyperlink w:anchor="page_724">
        <w:r>
          <w:rPr>
            <w:color w:val="0000FF" w:themeColor="hyperlink"/>
            <w:u w:val="single"/>
          </w:rPr>
          <w:t>Pane management</w:t>
        </w:r>
      </w:hyperlink>
    </w:p>
    <w:p>
      <w:pPr>
        <w:pStyle w:val="Normal"/>
        <w:ind w:left="0" w:firstLineChars="0" w:firstLine="0" w:leftChars="1000"/>
      </w:pPr>
      <w:hyperlink w:anchor="page_725">
        <w:r>
          <w:rPr>
            <w:color w:val="0000FF" w:themeColor="hyperlink"/>
            <w:u w:val="single"/>
          </w:rPr>
          <w:t>Console-based screen sharing</w:t>
        </w:r>
      </w:hyperlink>
    </w:p>
    <w:p>
      <w:pPr>
        <w:pStyle w:val="Normal"/>
        <w:ind w:left="0" w:firstLineChars="0" w:firstLine="0" w:leftChars="1000"/>
      </w:pPr>
      <w:hyperlink w:anchor="page_726">
        <w:r>
          <w:rPr>
            <w:color w:val="0000FF" w:themeColor="hyperlink"/>
            <w:u w:val="single"/>
          </w:rPr>
          <w:t>Configuration</w:t>
        </w:r>
      </w:hyperlink>
    </w:p>
    <w:p>
      <w:pPr>
        <w:pStyle w:val="Normal"/>
        <w:ind w:left="0" w:firstLineChars="0" w:firstLine="0" w:leftChars="1000"/>
      </w:pPr>
      <w:hyperlink w:anchor="page_726">
        <w:r>
          <w:rPr>
            <w:color w:val="0000FF" w:themeColor="hyperlink"/>
            <w:u w:val="single"/>
          </w:rPr>
          <w:t>Scripting and automation</w:t>
        </w:r>
      </w:hyperlink>
    </w:p>
    <w:p>
      <w:pPr>
        <w:pStyle w:val="Normal"/>
        <w:ind w:left="0" w:firstLineChars="0" w:firstLine="0" w:leftChars="1000"/>
      </w:pPr>
      <w:hyperlink w:anchor="page_727">
        <w:r>
          <w:rPr>
            <w:color w:val="0000FF" w:themeColor="hyperlink"/>
            <w:u w:val="single"/>
          </w:rPr>
          <w:t>tmux plugins</w:t>
        </w:r>
      </w:hyperlink>
    </w:p>
    <w:p>
      <w:pPr>
        <w:pStyle w:val="Normal"/>
        <w:ind w:left="0" w:firstLineChars="0" w:firstLine="0" w:leftChars="1000"/>
      </w:pPr>
      <w:hyperlink w:anchor="page_727">
        <w:r>
          <w:rPr>
            <w:color w:val="0000FF" w:themeColor="hyperlink"/>
            <w:u w:val="single"/>
          </w:rPr>
          <w:t>Other options</w:t>
        </w:r>
      </w:hyperlink>
    </w:p>
    <w:p>
      <w:pPr>
        <w:pStyle w:val="Normal"/>
        <w:ind w:left="0" w:firstLineChars="0" w:firstLine="0" w:leftChars="1000"/>
      </w:pPr>
      <w:hyperlink w:anchor="page_727">
        <w:r>
          <w:rPr>
            <w:color w:val="0000FF" w:themeColor="hyperlink"/>
            <w:u w:val="single"/>
          </w:rPr>
          <w:t>Mosh (mobile shell)</w:t>
        </w:r>
      </w:hyperlink>
    </w:p>
    <w:p>
      <w:pPr>
        <w:pStyle w:val="Normal"/>
        <w:ind w:left="0" w:firstLineChars="0" w:firstLine="0" w:leftChars="1000"/>
      </w:pPr>
      <w:hyperlink w:anchor="Top_of_index_split_211_html">
        <w:r>
          <w:rPr>
            <w:color w:val="0000FF" w:themeColor="hyperlink"/>
            <w:u w:val="single"/>
          </w:rPr>
          <w:t>GNU Screen</w:t>
        </w:r>
      </w:hyperlink>
    </w:p>
    <w:p>
      <w:pPr>
        <w:pStyle w:val="Normal"/>
        <w:ind w:left="0" w:firstLineChars="0" w:firstLine="0" w:leftChars="1000"/>
      </w:pPr>
      <w:hyperlink w:anchor="Top_of_index_split_211_html">
        <w:r>
          <w:rPr>
            <w:color w:val="0000FF" w:themeColor="hyperlink"/>
            <w:u w:val="single"/>
          </w:rPr>
          <w:t>Byobu</w:t>
        </w:r>
      </w:hyperlink>
    </w:p>
    <w:p>
      <w:pPr>
        <w:pStyle w:val="Normal"/>
        <w:ind w:left="0" w:firstLineChars="0" w:firstLine="0" w:leftChars="800"/>
      </w:pPr>
      <w:hyperlink w:anchor="page_729">
        <w:r>
          <w:rPr>
            <w:color w:val="0000FF" w:themeColor="hyperlink"/>
            <w:u w:val="single"/>
          </w:rPr>
          <w:t>pam_motd</w:t>
        </w:r>
      </w:hyperlink>
    </w:p>
    <w:p>
      <w:pPr>
        <w:pStyle w:val="Normal"/>
        <w:ind w:left="0" w:firstLineChars="0" w:firstLine="0" w:leftChars="1000"/>
      </w:pPr>
      <w:hyperlink w:anchor="page_729">
        <w:r>
          <w:rPr>
            <w:color w:val="0000FF" w:themeColor="hyperlink"/>
            <w:u w:val="single"/>
          </w:rPr>
          <w:t>Packages adding to MOTD</w:t>
        </w:r>
      </w:hyperlink>
    </w:p>
    <w:p>
      <w:pPr>
        <w:pStyle w:val="Normal"/>
        <w:ind w:left="0" w:firstLineChars="0" w:firstLine="0" w:leftChars="1000"/>
      </w:pPr>
      <w:hyperlink w:anchor="page_729">
        <w:r>
          <w:rPr>
            <w:color w:val="0000FF" w:themeColor="hyperlink"/>
            <w:u w:val="single"/>
          </w:rPr>
          <w:t>Landscape-sysinfo</w:t>
        </w:r>
      </w:hyperlink>
    </w:p>
    <w:p>
      <w:pPr>
        <w:pStyle w:val="Normal"/>
        <w:ind w:left="0" w:firstLineChars="0" w:firstLine="0" w:leftChars="1000"/>
      </w:pPr>
      <w:hyperlink w:anchor="page_730">
        <w:r>
          <w:rPr>
            <w:color w:val="0000FF" w:themeColor="hyperlink"/>
            <w:u w:val="single"/>
          </w:rPr>
          <w:t>Other default MOTD entries</w:t>
        </w:r>
      </w:hyperlink>
    </w:p>
    <w:p>
      <w:pPr>
        <w:pStyle w:val="Normal"/>
        <w:ind w:left="0" w:firstLineChars="0" w:firstLine="0" w:leftChars="1000"/>
      </w:pPr>
      <w:hyperlink w:anchor="page_730">
        <w:r>
          <w:rPr>
            <w:color w:val="0000FF" w:themeColor="hyperlink"/>
            <w:u w:val="single"/>
          </w:rPr>
          <w:t>Customization</w:t>
        </w:r>
      </w:hyperlink>
    </w:p>
    <w:p>
      <w:pPr>
        <w:pStyle w:val="Normal"/>
        <w:ind w:left="0" w:firstLineChars="0" w:firstLine="0" w:leftChars="1000"/>
      </w:pPr>
      <w:hyperlink w:anchor="Top_of_index_split_212_html">
        <w:r>
          <w:rPr>
            <w:color w:val="0000FF" w:themeColor="hyperlink"/>
            <w:u w:val="single"/>
          </w:rPr>
          <w:t>Resources</w:t>
        </w:r>
      </w:hyperlink>
    </w:p>
    <w:p>
      <w:pPr>
        <w:pStyle w:val="Normal"/>
        <w:ind w:left="0" w:firstLineChars="0" w:firstLine="0" w:leftChars="800"/>
      </w:pPr>
      <w:hyperlink w:anchor="Top_of_index_split_212_html">
        <w:r>
          <w:rPr>
            <w:color w:val="0000FF" w:themeColor="hyperlink"/>
            <w:u w:val="single"/>
          </w:rPr>
          <w:t>sudo-rs</w:t>
        </w:r>
      </w:hyperlink>
    </w:p>
    <w:p>
      <w:pPr>
        <w:pStyle w:val="Normal"/>
        <w:ind w:left="0" w:firstLineChars="0" w:firstLine="0" w:leftChars="1000"/>
      </w:pPr>
      <w:hyperlink w:anchor="Top_of_index_split_212_html">
        <w:r>
          <w:rPr>
            <w:color w:val="0000FF" w:themeColor="hyperlink"/>
            <w:u w:val="single"/>
          </w:rPr>
          <w:t>Differences</w:t>
        </w:r>
      </w:hyperlink>
    </w:p>
    <w:p>
      <w:pPr>
        <w:pStyle w:val="Normal"/>
        <w:ind w:left="0" w:firstLineChars="0" w:firstLine="0" w:leftChars="200"/>
      </w:pPr>
      <w:hyperlink w:anchor="page_733">
        <w:r>
          <w:rPr>
            <w:color w:val="0000FF" w:themeColor="hyperlink"/>
            <w:u w:val="single"/>
          </w:rPr>
          <w:t>Ubuntu Server explanation guides</w:t>
        </w:r>
      </w:hyperlink>
    </w:p>
    <w:p>
      <w:pPr>
        <w:pStyle w:val="Normal"/>
        <w:ind w:left="0" w:firstLineChars="0" w:firstLine="0" w:leftChars="400"/>
      </w:pPr>
      <w:hyperlink w:anchor="page_733">
        <w:r>
          <w:rPr>
            <w:color w:val="0000FF" w:themeColor="hyperlink"/>
            <w:u w:val="single"/>
          </w:rPr>
          <w:t>Security</w:t>
        </w:r>
      </w:hyperlink>
    </w:p>
    <w:p>
      <w:pPr>
        <w:pStyle w:val="Normal"/>
        <w:ind w:left="0" w:firstLineChars="0" w:firstLine="0" w:leftChars="600"/>
      </w:pPr>
      <w:hyperlink w:anchor="page_733">
        <w:r>
          <w:rPr>
            <w:color w:val="0000FF" w:themeColor="hyperlink"/>
            <w:u w:val="single"/>
          </w:rPr>
          <w:t>Security</w:t>
        </w:r>
      </w:hyperlink>
    </w:p>
    <w:p>
      <w:pPr>
        <w:pStyle w:val="Normal"/>
        <w:ind w:left="0" w:firstLineChars="0" w:firstLine="0" w:leftChars="800"/>
      </w:pPr>
      <w:hyperlink w:anchor="page_733">
        <w:r>
          <w:rPr>
            <w:color w:val="0000FF" w:themeColor="hyperlink"/>
            <w:u w:val="single"/>
          </w:rPr>
          <w:t>General configuration</w:t>
        </w:r>
      </w:hyperlink>
    </w:p>
    <w:p>
      <w:pPr>
        <w:pStyle w:val="Normal"/>
        <w:ind w:left="0" w:firstLineChars="0" w:firstLine="0" w:leftChars="1000"/>
      </w:pPr>
      <w:hyperlink w:anchor="page_733">
        <w:r>
          <w:rPr>
            <w:color w:val="0000FF" w:themeColor="hyperlink"/>
            <w:u w:val="single"/>
          </w:rPr>
          <w:t>Introduction to security</w:t>
        </w:r>
      </w:hyperlink>
    </w:p>
    <w:p>
      <w:pPr>
        <w:pStyle w:val="Normal"/>
        <w:ind w:left="0" w:firstLineChars="0" w:firstLine="0" w:leftChars="1000"/>
      </w:pPr>
      <w:hyperlink w:anchor="Top_of_index_split_213_html">
        <w:r>
          <w:rPr>
            <w:color w:val="0000FF" w:themeColor="hyperlink"/>
            <w:u w:val="single"/>
          </w:rPr>
          <w:t>Server security guidance</w:t>
        </w:r>
      </w:hyperlink>
    </w:p>
    <w:p>
      <w:pPr>
        <w:pStyle w:val="Normal"/>
        <w:ind w:left="0" w:firstLineChars="0" w:firstLine="0" w:leftChars="1000"/>
      </w:pPr>
      <w:hyperlink w:anchor="Top_of_index_split_213_html">
        <w:r>
          <w:rPr>
            <w:color w:val="0000FF" w:themeColor="hyperlink"/>
            <w:u w:val="single"/>
          </w:rPr>
          <w:t>Ubuntu Pro</w:t>
        </w:r>
      </w:hyperlink>
    </w:p>
    <w:p>
      <w:pPr>
        <w:pStyle w:val="Normal"/>
        <w:ind w:left="0" w:firstLineChars="0" w:firstLine="0" w:leftChars="1000"/>
      </w:pPr>
      <w:hyperlink w:anchor="Top_of_index_split_213_html">
        <w:r>
          <w:rPr>
            <w:color w:val="0000FF" w:themeColor="hyperlink"/>
            <w:u w:val="single"/>
          </w:rPr>
          <w:t>Vulnerability management</w:t>
        </w:r>
      </w:hyperlink>
    </w:p>
    <w:p>
      <w:pPr>
        <w:pStyle w:val="Normal"/>
        <w:ind w:left="0" w:firstLineChars="0" w:firstLine="0" w:leftChars="1000"/>
      </w:pPr>
      <w:hyperlink w:anchor="Top_of_index_split_214_html">
        <w:r>
          <w:rPr>
            <w:color w:val="0000FF" w:themeColor="hyperlink"/>
            <w:u w:val="single"/>
          </w:rPr>
          <w:t>Kernel application hardening</w:t>
        </w:r>
      </w:hyperlink>
    </w:p>
    <w:p>
      <w:pPr>
        <w:pStyle w:val="Normal"/>
        <w:ind w:left="0" w:firstLineChars="0" w:firstLine="0" w:leftChars="1000"/>
      </w:pPr>
      <w:hyperlink w:anchor="Top_of_index_split_214_html">
        <w:r>
          <w:rPr>
            <w:color w:val="0000FF" w:themeColor="hyperlink"/>
            <w:u w:val="single"/>
          </w:rPr>
          <w:t>Security Compliance and Certification</w:t>
        </w:r>
      </w:hyperlink>
    </w:p>
    <w:p>
      <w:pPr>
        <w:pStyle w:val="Normal"/>
        <w:ind w:left="0" w:firstLineChars="0" w:firstLine="0" w:leftChars="1000"/>
      </w:pPr>
      <w:hyperlink w:anchor="Top_of_index_split_214_html">
        <w:r>
          <w:rPr>
            <w:color w:val="0000FF" w:themeColor="hyperlink"/>
            <w:u w:val="single"/>
          </w:rPr>
          <w:t>Reporting vulnerabilities</w:t>
        </w:r>
      </w:hyperlink>
    </w:p>
    <w:p>
      <w:pPr>
        <w:pStyle w:val="Normal"/>
        <w:ind w:left="0" w:firstLineChars="0" w:firstLine="0" w:leftChars="1000"/>
      </w:pPr>
      <w:hyperlink w:anchor="Top_of_index_split_214_html">
        <w:r>
          <w:rPr>
            <w:color w:val="0000FF" w:themeColor="hyperlink"/>
            <w:u w:val="single"/>
          </w:rPr>
          <w:t>Security suggestions</w:t>
        </w:r>
      </w:hyperlink>
    </w:p>
    <w:p>
      <w:pPr>
        <w:pStyle w:val="Normal"/>
        <w:ind w:left="0" w:firstLineChars="0" w:firstLine="0" w:leftChars="1000"/>
      </w:pPr>
      <w:hyperlink w:anchor="Top_of_index_split_214_html">
        <w:r>
          <w:rPr>
            <w:color w:val="0000FF" w:themeColor="hyperlink"/>
            <w:u w:val="single"/>
          </w:rPr>
          <w:t>For any Ubuntu system</w:t>
        </w:r>
      </w:hyperlink>
    </w:p>
    <w:p>
      <w:pPr>
        <w:pStyle w:val="Normal"/>
        <w:ind w:left="0" w:firstLineChars="0" w:firstLine="0" w:leftChars="1000"/>
      </w:pPr>
      <w:hyperlink w:anchor="Top_of_index_split_214_html">
        <w:r>
          <w:rPr>
            <w:color w:val="0000FF" w:themeColor="hyperlink"/>
            <w:u w:val="single"/>
          </w:rPr>
          <w:t>Keep your system up-to-date</w:t>
        </w:r>
      </w:hyperlink>
    </w:p>
    <w:p>
      <w:pPr>
        <w:pStyle w:val="Normal"/>
        <w:ind w:left="0" w:firstLineChars="0" w:firstLine="0" w:leftChars="1000"/>
      </w:pPr>
      <w:hyperlink w:anchor="page_736">
        <w:r>
          <w:rPr>
            <w:color w:val="0000FF" w:themeColor="hyperlink"/>
            <w:u w:val="single"/>
          </w:rPr>
          <w:t>Access Control</w:t>
        </w:r>
      </w:hyperlink>
    </w:p>
    <w:p>
      <w:pPr>
        <w:pStyle w:val="Normal"/>
        <w:ind w:left="0" w:firstLineChars="0" w:firstLine="0" w:leftChars="1000"/>
      </w:pPr>
      <w:hyperlink w:anchor="page_736">
        <w:r>
          <w:rPr>
            <w:color w:val="0000FF" w:themeColor="hyperlink"/>
            <w:u w:val="single"/>
          </w:rPr>
          <w:t>Network security</w:t>
        </w:r>
      </w:hyperlink>
    </w:p>
    <w:p>
      <w:pPr>
        <w:pStyle w:val="Normal"/>
        <w:ind w:left="0" w:firstLineChars="0" w:firstLine="0" w:leftChars="1000"/>
      </w:pPr>
      <w:hyperlink w:anchor="page_737">
        <w:r>
          <w:rPr>
            <w:color w:val="0000FF" w:themeColor="hyperlink"/>
            <w:u w:val="single"/>
          </w:rPr>
          <w:t>Physical security</w:t>
        </w:r>
      </w:hyperlink>
    </w:p>
    <w:p>
      <w:pPr>
        <w:pStyle w:val="Normal"/>
        <w:ind w:left="0" w:firstLineChars="0" w:firstLine="0" w:leftChars="1000"/>
      </w:pPr>
      <w:hyperlink w:anchor="page_737">
        <w:r>
          <w:rPr>
            <w:color w:val="0000FF" w:themeColor="hyperlink"/>
            <w:u w:val="single"/>
          </w:rPr>
          <w:t>Suggestions for complex setups</w:t>
        </w:r>
      </w:hyperlink>
    </w:p>
    <w:p>
      <w:pPr>
        <w:pStyle w:val="Normal"/>
        <w:ind w:left="0" w:firstLineChars="0" w:firstLine="0" w:leftChars="1000"/>
      </w:pPr>
      <w:hyperlink w:anchor="page_737">
        <w:r>
          <w:rPr>
            <w:color w:val="0000FF" w:themeColor="hyperlink"/>
            <w:u w:val="single"/>
          </w:rPr>
          <w:t>Advanced Access Control</w:t>
        </w:r>
      </w:hyperlink>
    </w:p>
    <w:p>
      <w:pPr>
        <w:pStyle w:val="Normal"/>
        <w:ind w:left="0" w:firstLineChars="0" w:firstLine="0" w:leftChars="1000"/>
      </w:pPr>
      <w:hyperlink w:anchor="page_738">
        <w:r>
          <w:rPr>
            <w:color w:val="0000FF" w:themeColor="hyperlink"/>
            <w:u w:val="single"/>
          </w:rPr>
          <w:t>Security of communications</w:t>
        </w:r>
      </w:hyperlink>
    </w:p>
    <w:p>
      <w:pPr>
        <w:pStyle w:val="Normal"/>
        <w:ind w:left="0" w:firstLineChars="0" w:firstLine="0" w:leftChars="1000"/>
      </w:pPr>
      <w:hyperlink w:anchor="page_738">
        <w:r>
          <w:rPr>
            <w:color w:val="0000FF" w:themeColor="hyperlink"/>
            <w:u w:val="single"/>
          </w:rPr>
          <w:t>Cryptography</w:t>
        </w:r>
      </w:hyperlink>
    </w:p>
    <w:p>
      <w:pPr>
        <w:pStyle w:val="Normal"/>
        <w:ind w:left="0" w:firstLineChars="0" w:firstLine="0" w:leftChars="1000"/>
      </w:pPr>
      <w:hyperlink w:anchor="Top_of_index_split_215_html">
        <w:r>
          <w:rPr>
            <w:color w:val="0000FF" w:themeColor="hyperlink"/>
            <w:u w:val="single"/>
          </w:rPr>
          <w:t>Compliance and auditing</w:t>
        </w:r>
      </w:hyperlink>
    </w:p>
    <w:p>
      <w:pPr>
        <w:pStyle w:val="Normal"/>
        <w:ind w:left="0" w:firstLineChars="0" w:firstLine="0" w:leftChars="800"/>
      </w:pPr>
      <w:hyperlink w:anchor="Top_of_index_split_215_html">
        <w:r>
          <w:rPr>
            <w:color w:val="0000FF" w:themeColor="hyperlink"/>
            <w:u w:val="single"/>
          </w:rPr>
          <w:t>Authentication</w:t>
        </w:r>
      </w:hyperlink>
    </w:p>
    <w:p>
      <w:pPr>
        <w:pStyle w:val="Normal"/>
        <w:ind w:left="0" w:firstLineChars="0" w:firstLine="0" w:leftChars="1000"/>
      </w:pPr>
      <w:hyperlink w:anchor="Top_of_index_split_215_html">
        <w:r>
          <w:rPr>
            <w:color w:val="0000FF" w:themeColor="hyperlink"/>
            <w:u w:val="single"/>
          </w:rPr>
          <w:t>Introduction to Kerberos</w:t>
        </w:r>
      </w:hyperlink>
    </w:p>
    <w:p>
      <w:pPr>
        <w:pStyle w:val="Normal"/>
        <w:ind w:left="0" w:firstLineChars="0" w:firstLine="0" w:leftChars="1000"/>
      </w:pPr>
      <w:hyperlink w:anchor="Top_of_index_split_215_html">
        <w:r>
          <w:rPr>
            <w:color w:val="0000FF" w:themeColor="hyperlink"/>
            <w:u w:val="single"/>
          </w:rPr>
          <w:t>Overview</w:t>
        </w:r>
      </w:hyperlink>
    </w:p>
    <w:p>
      <w:pPr>
        <w:pStyle w:val="Normal"/>
        <w:ind w:left="0" w:firstLineChars="0" w:firstLine="0" w:leftChars="1000"/>
      </w:pPr>
      <w:hyperlink w:anchor="page_740">
        <w:r>
          <w:rPr>
            <w:color w:val="0000FF" w:themeColor="hyperlink"/>
            <w:u w:val="single"/>
          </w:rPr>
          <w:t>Resources</w:t>
        </w:r>
      </w:hyperlink>
    </w:p>
    <w:p>
      <w:pPr>
        <w:pStyle w:val="Normal"/>
        <w:ind w:left="0" w:firstLineChars="0" w:firstLine="0" w:leftChars="1000"/>
      </w:pPr>
      <w:hyperlink w:anchor="page_740">
        <w:r>
          <w:rPr>
            <w:color w:val="0000FF" w:themeColor="hyperlink"/>
            <w:u w:val="single"/>
          </w:rPr>
          <w:t>Introduction to network user authentication with SSSD</w:t>
        </w:r>
      </w:hyperlink>
    </w:p>
    <w:p>
      <w:pPr>
        <w:pStyle w:val="Normal"/>
        <w:ind w:left="0" w:firstLineChars="0" w:firstLine="0" w:leftChars="1000"/>
      </w:pPr>
      <w:hyperlink w:anchor="page_740">
        <w:r>
          <w:rPr>
            <w:color w:val="0000FF" w:themeColor="hyperlink"/>
            <w:u w:val="single"/>
          </w:rPr>
          <w:t>Common deployment scenarios</w:t>
        </w:r>
      </w:hyperlink>
    </w:p>
    <w:p>
      <w:pPr>
        <w:pStyle w:val="Normal"/>
        <w:ind w:left="0" w:firstLineChars="0" w:firstLine="0" w:leftChars="1000"/>
      </w:pPr>
      <w:hyperlink w:anchor="page_741">
        <w:r>
          <w:rPr>
            <w:color w:val="0000FF" w:themeColor="hyperlink"/>
            <w:u w:val="single"/>
          </w:rPr>
          <w:t>Integration with PAM and NSS</w:t>
        </w:r>
      </w:hyperlink>
    </w:p>
    <w:p>
      <w:pPr>
        <w:pStyle w:val="Normal"/>
        <w:ind w:left="0" w:firstLineChars="0" w:firstLine="0" w:leftChars="1000"/>
      </w:pPr>
      <w:hyperlink w:anchor="page_741">
        <w:r>
          <w:rPr>
            <w:color w:val="0000FF" w:themeColor="hyperlink"/>
            <w:u w:val="single"/>
          </w:rPr>
          <w:t>Troubleshooting</w:t>
        </w:r>
      </w:hyperlink>
    </w:p>
    <w:p>
      <w:pPr>
        <w:pStyle w:val="Normal"/>
        <w:ind w:left="0" w:firstLineChars="0" w:firstLine="0" w:leftChars="1000"/>
      </w:pPr>
      <w:hyperlink w:anchor="page_741">
        <w:r>
          <w:rPr>
            <w:color w:val="0000FF" w:themeColor="hyperlink"/>
            <w:u w:val="single"/>
          </w:rPr>
          <w:t>DNS Security Extensions (DNSSEC)</w:t>
        </w:r>
      </w:hyperlink>
    </w:p>
    <w:p>
      <w:pPr>
        <w:pStyle w:val="Normal"/>
        <w:ind w:left="0" w:firstLineChars="0" w:firstLine="0" w:leftChars="1000"/>
      </w:pPr>
      <w:hyperlink w:anchor="Top_of_index_split_216_html">
        <w:r>
          <w:rPr>
            <w:color w:val="0000FF" w:themeColor="hyperlink"/>
            <w:u w:val="single"/>
          </w:rPr>
          <w:t>What is it?</w:t>
        </w:r>
      </w:hyperlink>
    </w:p>
    <w:p>
      <w:pPr>
        <w:pStyle w:val="Normal"/>
        <w:ind w:left="0" w:firstLineChars="0" w:firstLine="0" w:leftChars="1000"/>
      </w:pPr>
      <w:hyperlink w:anchor="Top_of_index_split_216_html">
        <w:r>
          <w:rPr>
            <w:color w:val="0000FF" w:themeColor="hyperlink"/>
            <w:u w:val="single"/>
          </w:rPr>
          <w:t>DNS daemons</w:t>
        </w:r>
      </w:hyperlink>
    </w:p>
    <w:p>
      <w:pPr>
        <w:pStyle w:val="Normal"/>
        <w:ind w:left="0" w:firstLineChars="0" w:firstLine="0" w:leftChars="1000"/>
      </w:pPr>
      <w:hyperlink w:anchor="page_744">
        <w:r>
          <w:rPr>
            <w:color w:val="0000FF" w:themeColor="hyperlink"/>
            <w:u w:val="single"/>
          </w:rPr>
          <w:t>New Resource Records (RRs)</w:t>
        </w:r>
      </w:hyperlink>
    </w:p>
    <w:p>
      <w:pPr>
        <w:pStyle w:val="Normal"/>
        <w:ind w:left="0" w:firstLineChars="0" w:firstLine="0" w:leftChars="1000"/>
      </w:pPr>
      <w:hyperlink w:anchor="page_745">
        <w:r>
          <w:rPr>
            <w:color w:val="0000FF" w:themeColor="hyperlink"/>
            <w:u w:val="single"/>
          </w:rPr>
          <w:t>Other uses</w:t>
        </w:r>
      </w:hyperlink>
    </w:p>
    <w:p>
      <w:pPr>
        <w:pStyle w:val="Normal"/>
        <w:ind w:left="0" w:firstLineChars="0" w:firstLine="0" w:leftChars="1000"/>
      </w:pPr>
      <w:hyperlink w:anchor="page_745">
        <w:r>
          <w:rPr>
            <w:color w:val="0000FF" w:themeColor="hyperlink"/>
            <w:u w:val="single"/>
          </w:rPr>
          <w:t>Where does the DNSSEC validation happen?</w:t>
        </w:r>
      </w:hyperlink>
    </w:p>
    <w:p>
      <w:pPr>
        <w:pStyle w:val="Normal"/>
        <w:ind w:left="0" w:firstLineChars="0" w:firstLine="0" w:leftChars="1000"/>
      </w:pPr>
      <w:hyperlink w:anchor="page_747">
        <w:r>
          <w:rPr>
            <w:color w:val="0000FF" w:themeColor="hyperlink"/>
            <w:u w:val="single"/>
          </w:rPr>
          <w:t>Validating Resolver</w:t>
        </w:r>
      </w:hyperlink>
    </w:p>
    <w:p>
      <w:pPr>
        <w:pStyle w:val="Normal"/>
        <w:ind w:left="0" w:firstLineChars="0" w:firstLine="0" w:leftChars="1000"/>
      </w:pPr>
      <w:hyperlink w:anchor="page_748">
        <w:r>
          <w:rPr>
            <w:color w:val="0000FF" w:themeColor="hyperlink"/>
            <w:u w:val="single"/>
          </w:rPr>
          <w:t>Local DNSSEC validation</w:t>
        </w:r>
      </w:hyperlink>
    </w:p>
    <w:p>
      <w:pPr>
        <w:pStyle w:val="Normal"/>
        <w:ind w:left="0" w:firstLineChars="0" w:firstLine="0" w:leftChars="1000"/>
      </w:pPr>
      <w:hyperlink w:anchor="page_749">
        <w:r>
          <w:rPr>
            <w:color w:val="0000FF" w:themeColor="hyperlink"/>
            <w:u w:val="single"/>
          </w:rPr>
          <w:t>What happens when DNSSEC validation fails</w:t>
        </w:r>
      </w:hyperlink>
    </w:p>
    <w:p>
      <w:pPr>
        <w:pStyle w:val="Normal"/>
        <w:ind w:left="0" w:firstLineChars="0" w:firstLine="0" w:leftChars="1000"/>
      </w:pPr>
      <w:hyperlink w:anchor="page_750">
        <w:r>
          <w:rPr>
            <w:color w:val="0000FF" w:themeColor="hyperlink"/>
            <w:u w:val="single"/>
          </w:rPr>
          <w:t>Further reading</w:t>
        </w:r>
      </w:hyperlink>
    </w:p>
    <w:p>
      <w:pPr>
        <w:pStyle w:val="Normal"/>
        <w:ind w:left="0" w:firstLineChars="0" w:firstLine="0" w:leftChars="800"/>
      </w:pPr>
      <w:hyperlink w:anchor="page_750">
        <w:r>
          <w:rPr>
            <w:color w:val="0000FF" w:themeColor="hyperlink"/>
            <w:u w:val="single"/>
          </w:rPr>
          <w:t>Cryptography</w:t>
        </w:r>
      </w:hyperlink>
    </w:p>
    <w:p>
      <w:pPr>
        <w:pStyle w:val="Normal"/>
        <w:ind w:left="0" w:firstLineChars="0" w:firstLine="0" w:leftChars="1000"/>
      </w:pPr>
      <w:hyperlink w:anchor="page_750">
        <w:r>
          <w:rPr>
            <w:color w:val="0000FF" w:themeColor="hyperlink"/>
            <w:u w:val="single"/>
          </w:rPr>
          <w:t>Cryptography</w:t>
        </w:r>
      </w:hyperlink>
    </w:p>
    <w:p>
      <w:pPr>
        <w:pStyle w:val="Normal"/>
        <w:ind w:left="0" w:firstLineChars="0" w:firstLine="0" w:leftChars="1000"/>
      </w:pPr>
      <w:hyperlink w:anchor="page_750">
        <w:r>
          <w:rPr>
            <w:color w:val="0000FF" w:themeColor="hyperlink"/>
            <w:u w:val="single"/>
          </w:rPr>
          <w:t>Introduction to cryptographic libraries</w:t>
        </w:r>
      </w:hyperlink>
    </w:p>
    <w:p>
      <w:pPr>
        <w:pStyle w:val="Normal"/>
        <w:ind w:left="0" w:firstLineChars="0" w:firstLine="0" w:leftChars="1000"/>
      </w:pPr>
      <w:hyperlink w:anchor="page_751">
        <w:r>
          <w:rPr>
            <w:color w:val="0000FF" w:themeColor="hyperlink"/>
            <w:u w:val="single"/>
          </w:rPr>
          <w:t>Determining which libraries are being used by an application</w:t>
        </w:r>
      </w:hyperlink>
    </w:p>
    <w:p>
      <w:pPr>
        <w:pStyle w:val="Normal"/>
        <w:ind w:left="0" w:firstLineChars="0" w:firstLine="0" w:leftChars="1000"/>
      </w:pPr>
      <w:hyperlink w:anchor="Top_of_index_split_218_html">
        <w:r>
          <w:rPr>
            <w:color w:val="0000FF" w:themeColor="hyperlink"/>
            <w:u w:val="single"/>
          </w:rPr>
          <w:t>Follow dynamic links</w:t>
        </w:r>
      </w:hyperlink>
    </w:p>
    <w:p>
      <w:pPr>
        <w:pStyle w:val="Normal"/>
        <w:ind w:left="0" w:firstLineChars="0" w:firstLine="0" w:leftChars="1000"/>
      </w:pPr>
      <w:hyperlink w:anchor="Top_of_index_split_218_html">
        <w:r>
          <w:rPr>
            <w:color w:val="0000FF" w:themeColor="hyperlink"/>
            <w:u w:val="single"/>
          </w:rPr>
          <w:t>Check static linking</w:t>
        </w:r>
      </w:hyperlink>
    </w:p>
    <w:p>
      <w:pPr>
        <w:pStyle w:val="Normal"/>
        <w:ind w:left="0" w:firstLineChars="0" w:firstLine="0" w:leftChars="1000"/>
      </w:pPr>
      <w:hyperlink w:anchor="Top_of_index_split_218_html">
        <w:r>
          <w:rPr>
            <w:color w:val="0000FF" w:themeColor="hyperlink"/>
            <w:u w:val="single"/>
          </w:rPr>
          <w:t>Look at the plugins</w:t>
        </w:r>
      </w:hyperlink>
    </w:p>
    <w:p>
      <w:pPr>
        <w:pStyle w:val="Normal"/>
        <w:ind w:left="0" w:firstLineChars="0" w:firstLine="0" w:leftChars="1000"/>
      </w:pPr>
      <w:hyperlink w:anchor="Top_of_index_split_218_html">
        <w:r>
          <w:rPr>
            <w:color w:val="0000FF" w:themeColor="hyperlink"/>
            <w:u w:val="single"/>
          </w:rPr>
          <w:t>Examine the execution of external binaries</w:t>
        </w:r>
      </w:hyperlink>
    </w:p>
    <w:p>
      <w:pPr>
        <w:pStyle w:val="Normal"/>
        <w:ind w:left="0" w:firstLineChars="0" w:firstLine="0" w:leftChars="1000"/>
      </w:pPr>
      <w:hyperlink w:anchor="Top_of_index_split_218_html">
        <w:r>
          <w:rPr>
            <w:color w:val="0000FF" w:themeColor="hyperlink"/>
            <w:u w:val="single"/>
          </w:rPr>
          <w:t>Indirect use of libraries or executables</w:t>
        </w:r>
      </w:hyperlink>
    </w:p>
    <w:p>
      <w:pPr>
        <w:pStyle w:val="Normal"/>
        <w:ind w:left="0" w:firstLineChars="0" w:firstLine="0" w:leftChars="1000"/>
      </w:pPr>
      <w:hyperlink w:anchor="Top_of_index_split_218_html">
        <w:r>
          <w:rPr>
            <w:color w:val="0000FF" w:themeColor="hyperlink"/>
            <w:u w:val="single"/>
          </w:rPr>
          <w:t>Check documentation more carefully</w:t>
        </w:r>
      </w:hyperlink>
    </w:p>
    <w:p>
      <w:pPr>
        <w:pStyle w:val="Normal"/>
        <w:ind w:left="0" w:firstLineChars="0" w:firstLine="0" w:leftChars="1000"/>
      </w:pPr>
      <w:hyperlink w:anchor="Top_of_index_split_219_html">
        <w:r>
          <w:rPr>
            <w:color w:val="0000FF" w:themeColor="hyperlink"/>
            <w:u w:val="single"/>
          </w:rPr>
          <w:t>Detailed examples of how to locate crypto libraries</w:t>
        </w:r>
      </w:hyperlink>
    </w:p>
    <w:p>
      <w:pPr>
        <w:pStyle w:val="Normal"/>
        <w:ind w:left="0" w:firstLineChars="0" w:firstLine="0" w:leftChars="1000"/>
      </w:pPr>
      <w:hyperlink w:anchor="Top_of_index_split_219_html">
        <w:r>
          <w:rPr>
            <w:color w:val="0000FF" w:themeColor="hyperlink"/>
            <w:u w:val="single"/>
          </w:rPr>
          <w:t>Use dpkg to check package dependencies</w:t>
        </w:r>
      </w:hyperlink>
    </w:p>
    <w:p>
      <w:pPr>
        <w:pStyle w:val="Normal"/>
        <w:ind w:left="0" w:firstLineChars="0" w:firstLine="0" w:leftChars="1000"/>
      </w:pPr>
      <w:hyperlink w:anchor="Top_of_index_split_219_html">
        <w:r>
          <w:rPr>
            <w:color w:val="0000FF" w:themeColor="hyperlink"/>
            <w:u w:val="single"/>
          </w:rPr>
          <w:t>Using ldd to list dynamic libraries</w:t>
        </w:r>
      </w:hyperlink>
    </w:p>
    <w:p>
      <w:pPr>
        <w:pStyle w:val="Normal"/>
        <w:ind w:left="0" w:firstLineChars="0" w:firstLine="0" w:leftChars="1000"/>
      </w:pPr>
      <w:hyperlink w:anchor="page_754">
        <w:r>
          <w:rPr>
            <w:color w:val="0000FF" w:themeColor="hyperlink"/>
            <w:u w:val="single"/>
          </w:rPr>
          <w:t>Check package headers for static linking</w:t>
        </w:r>
      </w:hyperlink>
    </w:p>
    <w:p>
      <w:pPr>
        <w:pStyle w:val="Normal"/>
        <w:ind w:left="0" w:firstLineChars="0" w:firstLine="0" w:leftChars="1000"/>
      </w:pPr>
      <w:hyperlink w:anchor="page_755">
        <w:r>
          <w:rPr>
            <w:color w:val="0000FF" w:themeColor="hyperlink"/>
            <w:u w:val="single"/>
          </w:rPr>
          <w:t>What’s next?</w:t>
        </w:r>
      </w:hyperlink>
    </w:p>
    <w:p>
      <w:pPr>
        <w:pStyle w:val="Normal"/>
        <w:ind w:left="0" w:firstLineChars="0" w:firstLine="0" w:leftChars="1000"/>
      </w:pPr>
      <w:hyperlink w:anchor="page_755">
        <w:r>
          <w:rPr>
            <w:color w:val="0000FF" w:themeColor="hyperlink"/>
            <w:u w:val="single"/>
          </w:rPr>
          <w:t>Common crypto libraries</w:t>
        </w:r>
      </w:hyperlink>
    </w:p>
    <w:p>
      <w:pPr>
        <w:pStyle w:val="Normal"/>
        <w:ind w:left="0" w:firstLineChars="0" w:firstLine="0" w:leftChars="1000"/>
      </w:pPr>
      <w:hyperlink w:anchor="Top_of_index_split_220_html">
        <w:r>
          <w:rPr>
            <w:color w:val="0000FF" w:themeColor="hyperlink"/>
            <w:u w:val="single"/>
          </w:rPr>
          <w:t>OpenSSL</w:t>
        </w:r>
      </w:hyperlink>
    </w:p>
    <w:p>
      <w:pPr>
        <w:pStyle w:val="Normal"/>
        <w:ind w:left="0" w:firstLineChars="0" w:firstLine="0" w:leftChars="1000"/>
      </w:pPr>
      <w:hyperlink w:anchor="Top_of_index_split_220_html">
        <w:r>
          <w:rPr>
            <w:color w:val="0000FF" w:themeColor="hyperlink"/>
            <w:u w:val="single"/>
          </w:rPr>
          <w:t>Structure of the config file</w:t>
        </w:r>
      </w:hyperlink>
    </w:p>
    <w:p>
      <w:pPr>
        <w:pStyle w:val="Normal"/>
        <w:ind w:left="0" w:firstLineChars="0" w:firstLine="0" w:leftChars="1000"/>
      </w:pPr>
      <w:hyperlink w:anchor="page_757">
        <w:r>
          <w:rPr>
            <w:color w:val="0000FF" w:themeColor="hyperlink"/>
            <w:u w:val="single"/>
          </w:rPr>
          <w:t>Cipher strings, cipher suites, cipher lists</w:t>
        </w:r>
      </w:hyperlink>
    </w:p>
    <w:p>
      <w:pPr>
        <w:pStyle w:val="Normal"/>
        <w:ind w:left="0" w:firstLineChars="0" w:firstLine="0" w:leftChars="1000"/>
      </w:pPr>
      <w:hyperlink w:anchor="page_758">
        <w:r>
          <w:rPr>
            <w:color w:val="0000FF" w:themeColor="hyperlink"/>
            <w:u w:val="single"/>
          </w:rPr>
          <w:t>openssl ciphers examples</w:t>
        </w:r>
      </w:hyperlink>
    </w:p>
    <w:p>
      <w:pPr>
        <w:pStyle w:val="Normal"/>
        <w:ind w:left="0" w:firstLineChars="0" w:firstLine="0" w:leftChars="1000"/>
      </w:pPr>
      <w:hyperlink w:anchor="Top_of_index_split_221_html">
        <w:r>
          <w:rPr>
            <w:color w:val="0000FF" w:themeColor="hyperlink"/>
            <w:u w:val="single"/>
          </w:rPr>
          <w:t>Config file examples</w:t>
        </w:r>
      </w:hyperlink>
    </w:p>
    <w:p>
      <w:pPr>
        <w:pStyle w:val="Normal"/>
        <w:ind w:left="0" w:firstLineChars="0" w:firstLine="0" w:leftChars="1000"/>
      </w:pPr>
      <w:hyperlink w:anchor="Top_of_index_split_221_html">
        <w:r>
          <w:rPr>
            <w:color w:val="0000FF" w:themeColor="hyperlink"/>
            <w:u w:val="single"/>
          </w:rPr>
          <w:t>Only use TLSv1.3</w:t>
        </w:r>
      </w:hyperlink>
    </w:p>
    <w:p>
      <w:pPr>
        <w:pStyle w:val="Normal"/>
        <w:ind w:left="0" w:firstLineChars="0" w:firstLine="0" w:leftChars="1000"/>
      </w:pPr>
      <w:hyperlink w:anchor="Top_of_index_split_221_html">
        <w:r>
          <w:rPr>
            <w:color w:val="0000FF" w:themeColor="hyperlink"/>
            <w:u w:val="single"/>
          </w:rPr>
          <w:t>Use only AES256 with TLSv1.3</w:t>
        </w:r>
      </w:hyperlink>
    </w:p>
    <w:p>
      <w:pPr>
        <w:pStyle w:val="Normal"/>
        <w:ind w:left="0" w:firstLineChars="0" w:firstLine="0" w:leftChars="1000"/>
      </w:pPr>
      <w:hyperlink w:anchor="page_762">
        <w:r>
          <w:rPr>
            <w:color w:val="0000FF" w:themeColor="hyperlink"/>
            <w:u w:val="single"/>
          </w:rPr>
          <w:t>Drop AES128 entirely</w:t>
        </w:r>
      </w:hyperlink>
    </w:p>
    <w:p>
      <w:pPr>
        <w:pStyle w:val="Normal"/>
        <w:ind w:left="0" w:firstLineChars="0" w:firstLine="0" w:leftChars="1000"/>
      </w:pPr>
      <w:hyperlink w:anchor="page_763">
        <w:r>
          <w:rPr>
            <w:color w:val="0000FF" w:themeColor="hyperlink"/>
            <w:u w:val="single"/>
          </w:rPr>
          <w:t>References</w:t>
        </w:r>
      </w:hyperlink>
    </w:p>
    <w:p>
      <w:pPr>
        <w:pStyle w:val="Normal"/>
        <w:ind w:left="0" w:firstLineChars="0" w:firstLine="0" w:leftChars="1000"/>
      </w:pPr>
      <w:hyperlink w:anchor="page_763">
        <w:r>
          <w:rPr>
            <w:color w:val="0000FF" w:themeColor="hyperlink"/>
            <w:u w:val="single"/>
          </w:rPr>
          <w:t>GnuTLS</w:t>
        </w:r>
      </w:hyperlink>
    </w:p>
    <w:p>
      <w:pPr>
        <w:pStyle w:val="Normal"/>
        <w:ind w:left="0" w:firstLineChars="0" w:firstLine="0" w:leftChars="1000"/>
      </w:pPr>
      <w:hyperlink w:anchor="page_764">
        <w:r>
          <w:rPr>
            <w:color w:val="0000FF" w:themeColor="hyperlink"/>
            <w:u w:val="single"/>
          </w:rPr>
          <w:t>Structure of the config file</w:t>
        </w:r>
      </w:hyperlink>
    </w:p>
    <w:p>
      <w:pPr>
        <w:pStyle w:val="Normal"/>
        <w:ind w:left="0" w:firstLineChars="0" w:firstLine="0" w:leftChars="1000"/>
      </w:pPr>
      <w:hyperlink w:anchor="page_764">
        <w:r>
          <w:rPr>
            <w:color w:val="0000FF" w:themeColor="hyperlink"/>
            <w:u w:val="single"/>
          </w:rPr>
          <w:t>The global section</w:t>
        </w:r>
      </w:hyperlink>
    </w:p>
    <w:p>
      <w:pPr>
        <w:pStyle w:val="Normal"/>
        <w:ind w:left="0" w:firstLineChars="0" w:firstLine="0" w:leftChars="1000"/>
      </w:pPr>
      <w:hyperlink w:anchor="page_765">
        <w:r>
          <w:rPr>
            <w:color w:val="0000FF" w:themeColor="hyperlink"/>
            <w:u w:val="single"/>
          </w:rPr>
          <w:t>Priority strings</w:t>
        </w:r>
      </w:hyperlink>
    </w:p>
    <w:p>
      <w:pPr>
        <w:pStyle w:val="Normal"/>
        <w:ind w:left="0" w:firstLineChars="0" w:firstLine="0" w:leftChars="1000"/>
      </w:pPr>
      <w:hyperlink w:anchor="page_766">
        <w:r>
          <w:rPr>
            <w:color w:val="0000FF" w:themeColor="hyperlink"/>
            <w:u w:val="single"/>
          </w:rPr>
          <w:t>Verification profile (overrides)</w:t>
        </w:r>
      </w:hyperlink>
    </w:p>
    <w:p>
      <w:pPr>
        <w:pStyle w:val="Normal"/>
        <w:ind w:left="0" w:firstLineChars="0" w:firstLine="0" w:leftChars="1000"/>
      </w:pPr>
      <w:hyperlink w:anchor="Top_of_index_split_222_html">
        <w:r>
          <w:rPr>
            <w:color w:val="0000FF" w:themeColor="hyperlink"/>
            <w:u w:val="single"/>
          </w:rPr>
          <w:t>Practical examples</w:t>
        </w:r>
      </w:hyperlink>
    </w:p>
    <w:p>
      <w:pPr>
        <w:pStyle w:val="Normal"/>
        <w:ind w:left="0" w:firstLineChars="0" w:firstLine="0" w:leftChars="1000"/>
      </w:pPr>
      <w:hyperlink w:anchor="Top_of_index_split_222_html">
        <w:r>
          <w:rPr>
            <w:color w:val="0000FF" w:themeColor="hyperlink"/>
            <w:u w:val="single"/>
          </w:rPr>
          <w:t>Only use TLSv1.3</w:t>
        </w:r>
      </w:hyperlink>
    </w:p>
    <w:p>
      <w:pPr>
        <w:pStyle w:val="Normal"/>
        <w:ind w:left="0" w:firstLineChars="0" w:firstLine="0" w:leftChars="1000"/>
      </w:pPr>
      <w:hyperlink w:anchor="page_768">
        <w:r>
          <w:rPr>
            <w:color w:val="0000FF" w:themeColor="hyperlink"/>
            <w:u w:val="single"/>
          </w:rPr>
          <w:t>Use only AES256 with TLSv1.3</w:t>
        </w:r>
      </w:hyperlink>
    </w:p>
    <w:p>
      <w:pPr>
        <w:pStyle w:val="Normal"/>
        <w:ind w:left="0" w:firstLineChars="0" w:firstLine="0" w:leftChars="1000"/>
      </w:pPr>
      <w:hyperlink w:anchor="Top_of_index_split_223_html">
        <w:r>
          <w:rPr>
            <w:color w:val="0000FF" w:themeColor="hyperlink"/>
            <w:u w:val="single"/>
          </w:rPr>
          <w:t>References</w:t>
        </w:r>
      </w:hyperlink>
    </w:p>
    <w:p>
      <w:pPr>
        <w:pStyle w:val="Normal"/>
        <w:ind w:left="0" w:firstLineChars="0" w:firstLine="0" w:leftChars="1000"/>
      </w:pPr>
      <w:hyperlink w:anchor="Top_of_index_split_223_html">
        <w:r>
          <w:rPr>
            <w:color w:val="0000FF" w:themeColor="hyperlink"/>
            <w:u w:val="single"/>
          </w:rPr>
          <w:t>Network Security Services (NSS)</w:t>
        </w:r>
      </w:hyperlink>
    </w:p>
    <w:p>
      <w:pPr>
        <w:pStyle w:val="Normal"/>
        <w:ind w:left="0" w:firstLineChars="0" w:firstLine="0" w:leftChars="1000"/>
      </w:pPr>
      <w:hyperlink w:anchor="Top_of_index_split_223_html">
        <w:r>
          <w:rPr>
            <w:color w:val="0000FF" w:themeColor="hyperlink"/>
            <w:u w:val="single"/>
          </w:rPr>
          <w:t>Config file</w:t>
        </w:r>
      </w:hyperlink>
    </w:p>
    <w:p>
      <w:pPr>
        <w:pStyle w:val="Normal"/>
        <w:ind w:left="0" w:firstLineChars="0" w:firstLine="0" w:leftChars="1000"/>
      </w:pPr>
      <w:hyperlink w:anchor="page_770">
        <w:r>
          <w:rPr>
            <w:color w:val="0000FF" w:themeColor="hyperlink"/>
            <w:u w:val="single"/>
          </w:rPr>
          <w:t>Configuring the NSS policy module</w:t>
        </w:r>
      </w:hyperlink>
    </w:p>
    <w:p>
      <w:pPr>
        <w:pStyle w:val="Normal"/>
        <w:ind w:left="0" w:firstLineChars="0" w:firstLine="0" w:leftChars="1000"/>
      </w:pPr>
      <w:hyperlink w:anchor="page_771">
        <w:r>
          <w:rPr>
            <w:color w:val="0000FF" w:themeColor="hyperlink"/>
            <w:u w:val="single"/>
          </w:rPr>
          <w:t>Practical examples</w:t>
        </w:r>
      </w:hyperlink>
    </w:p>
    <w:p>
      <w:pPr>
        <w:pStyle w:val="Normal"/>
        <w:ind w:left="0" w:firstLineChars="0" w:firstLine="0" w:leftChars="1000"/>
      </w:pPr>
      <w:hyperlink w:anchor="page_771">
        <w:r>
          <w:rPr>
            <w:color w:val="0000FF" w:themeColor="hyperlink"/>
            <w:u w:val="single"/>
          </w:rPr>
          <w:t>Bootstrapping the NSS database</w:t>
        </w:r>
      </w:hyperlink>
    </w:p>
    <w:p>
      <w:pPr>
        <w:pStyle w:val="Normal"/>
        <w:ind w:left="0" w:firstLineChars="0" w:firstLine="0" w:leftChars="1000"/>
      </w:pPr>
      <w:hyperlink w:anchor="page_772">
        <w:r>
          <w:rPr>
            <w:color w:val="0000FF" w:themeColor="hyperlink"/>
            <w:u w:val="single"/>
          </w:rPr>
          <w:t>Test setup</w:t>
        </w:r>
      </w:hyperlink>
    </w:p>
    <w:p>
      <w:pPr>
        <w:pStyle w:val="Normal"/>
        <w:ind w:left="0" w:firstLineChars="0" w:firstLine="0" w:leftChars="1000"/>
      </w:pPr>
      <w:hyperlink w:anchor="page_773">
        <w:r>
          <w:rPr>
            <w:color w:val="0000FF" w:themeColor="hyperlink"/>
            <w:u w:val="single"/>
          </w:rPr>
          <w:t>The tstclnt tool</w:t>
        </w:r>
      </w:hyperlink>
    </w:p>
    <w:p>
      <w:pPr>
        <w:pStyle w:val="Normal"/>
        <w:ind w:left="0" w:firstLineChars="0" w:firstLine="0" w:leftChars="1000"/>
      </w:pPr>
      <w:hyperlink w:anchor="page_773">
        <w:r>
          <w:rPr>
            <w:color w:val="0000FF" w:themeColor="hyperlink"/>
            <w:u w:val="single"/>
          </w:rPr>
          <w:t>Only use TLSv1.3</w:t>
        </w:r>
      </w:hyperlink>
    </w:p>
    <w:p>
      <w:pPr>
        <w:pStyle w:val="Normal"/>
        <w:ind w:left="0" w:firstLineChars="0" w:firstLine="0" w:leftChars="1000"/>
      </w:pPr>
      <w:hyperlink w:anchor="page_774">
        <w:r>
          <w:rPr>
            <w:color w:val="0000FF" w:themeColor="hyperlink"/>
            <w:u w:val="single"/>
          </w:rPr>
          <w:t>Use only AES256 with TLSv1.3</w:t>
        </w:r>
      </w:hyperlink>
    </w:p>
    <w:p>
      <w:pPr>
        <w:pStyle w:val="Normal"/>
        <w:ind w:left="0" w:firstLineChars="0" w:firstLine="0" w:leftChars="1000"/>
      </w:pPr>
      <w:hyperlink w:anchor="Top_of_index_split_224_html">
        <w:r>
          <w:rPr>
            <w:color w:val="0000FF" w:themeColor="hyperlink"/>
            <w:u w:val="single"/>
          </w:rPr>
          <w:t>References</w:t>
        </w:r>
      </w:hyperlink>
    </w:p>
    <w:p>
      <w:pPr>
        <w:pStyle w:val="Normal"/>
        <w:ind w:left="0" w:firstLineChars="0" w:firstLine="0" w:leftChars="1000"/>
      </w:pPr>
      <w:hyperlink w:anchor="Top_of_index_split_224_html">
        <w:r>
          <w:rPr>
            <w:color w:val="0000FF" w:themeColor="hyperlink"/>
            <w:u w:val="single"/>
          </w:rPr>
          <w:t>Java cryptography configuration</w:t>
        </w:r>
      </w:hyperlink>
    </w:p>
    <w:p>
      <w:pPr>
        <w:pStyle w:val="Normal"/>
        <w:ind w:left="0" w:firstLineChars="0" w:firstLine="0" w:leftChars="1000"/>
      </w:pPr>
      <w:hyperlink w:anchor="Top_of_index_split_224_html">
        <w:r>
          <w:rPr>
            <w:color w:val="0000FF" w:themeColor="hyperlink"/>
            <w:u w:val="single"/>
          </w:rPr>
          <w:t>Config file</w:t>
        </w:r>
      </w:hyperlink>
    </w:p>
    <w:p>
      <w:pPr>
        <w:pStyle w:val="Normal"/>
        <w:ind w:left="0" w:firstLineChars="0" w:firstLine="0" w:leftChars="1000"/>
      </w:pPr>
      <w:hyperlink w:anchor="page_776">
        <w:r>
          <w:rPr>
            <w:color w:val="0000FF" w:themeColor="hyperlink"/>
            <w:u w:val="single"/>
          </w:rPr>
          <w:t>Practical examples</w:t>
        </w:r>
      </w:hyperlink>
    </w:p>
    <w:p>
      <w:pPr>
        <w:pStyle w:val="Normal"/>
        <w:ind w:left="0" w:firstLineChars="0" w:firstLine="0" w:leftChars="1000"/>
      </w:pPr>
      <w:hyperlink w:anchor="page_776">
        <w:r>
          <w:rPr>
            <w:color w:val="0000FF" w:themeColor="hyperlink"/>
            <w:u w:val="single"/>
          </w:rPr>
          <w:t>Test setup</w:t>
        </w:r>
      </w:hyperlink>
    </w:p>
    <w:p>
      <w:pPr>
        <w:pStyle w:val="Normal"/>
        <w:ind w:left="0" w:firstLineChars="0" w:firstLine="0" w:leftChars="1000"/>
      </w:pPr>
      <w:hyperlink w:anchor="page_777">
        <w:r>
          <w:rPr>
            <w:color w:val="0000FF" w:themeColor="hyperlink"/>
            <w:u w:val="single"/>
          </w:rPr>
          <w:t>Only use TLSv1.3</w:t>
        </w:r>
      </w:hyperlink>
    </w:p>
    <w:p>
      <w:pPr>
        <w:pStyle w:val="Normal"/>
        <w:ind w:left="0" w:firstLineChars="0" w:firstLine="0" w:leftChars="1000"/>
      </w:pPr>
      <w:hyperlink w:anchor="Top_of_index_split_225_html">
        <w:r>
          <w:rPr>
            <w:color w:val="0000FF" w:themeColor="hyperlink"/>
            <w:u w:val="single"/>
          </w:rPr>
          <w:t>Prevent a specific cipher</w:t>
        </w:r>
      </w:hyperlink>
    </w:p>
    <w:p>
      <w:pPr>
        <w:pStyle w:val="Normal"/>
        <w:ind w:left="0" w:firstLineChars="0" w:firstLine="0" w:leftChars="1000"/>
      </w:pPr>
      <w:hyperlink w:anchor="Top_of_index_split_225_html">
        <w:r>
          <w:rPr>
            <w:color w:val="0000FF" w:themeColor="hyperlink"/>
            <w:u w:val="single"/>
          </w:rPr>
          <w:t>Blocking cipher “elements”</w:t>
        </w:r>
      </w:hyperlink>
    </w:p>
    <w:p>
      <w:pPr>
        <w:pStyle w:val="Normal"/>
        <w:ind w:left="0" w:firstLineChars="0" w:firstLine="0" w:leftChars="1000"/>
      </w:pPr>
      <w:hyperlink w:anchor="page_780">
        <w:r>
          <w:rPr>
            <w:color w:val="0000FF" w:themeColor="hyperlink"/>
            <w:u w:val="single"/>
          </w:rPr>
          <w:t>References</w:t>
        </w:r>
      </w:hyperlink>
    </w:p>
    <w:p>
      <w:pPr>
        <w:pStyle w:val="Normal"/>
        <w:ind w:left="0" w:firstLineChars="0" w:firstLine="0" w:leftChars="1000"/>
      </w:pPr>
      <w:hyperlink w:anchor="page_780">
        <w:r>
          <w:rPr>
            <w:color w:val="0000FF" w:themeColor="hyperlink"/>
            <w:u w:val="single"/>
          </w:rPr>
          <w:t>BIND 9 DNSSEC cryptography selection</w:t>
        </w:r>
      </w:hyperlink>
    </w:p>
    <w:p>
      <w:pPr>
        <w:pStyle w:val="Normal"/>
        <w:ind w:left="0" w:firstLineChars="0" w:firstLine="0" w:leftChars="1000"/>
      </w:pPr>
      <w:hyperlink w:anchor="page_780">
        <w:r>
          <w:rPr>
            <w:color w:val="0000FF" w:themeColor="hyperlink"/>
            <w:u w:val="single"/>
          </w:rPr>
          <w:t>DNSSEC validation</w:t>
        </w:r>
      </w:hyperlink>
    </w:p>
    <w:p>
      <w:pPr>
        <w:pStyle w:val="Normal"/>
        <w:ind w:left="0" w:firstLineChars="0" w:firstLine="0" w:leftChars="1000"/>
      </w:pPr>
      <w:hyperlink w:anchor="page_782">
        <w:r>
          <w:rPr>
            <w:color w:val="0000FF" w:themeColor="hyperlink"/>
            <w:u w:val="single"/>
          </w:rPr>
          <w:t>Restricting DNSSEC algorithms</w:t>
        </w:r>
      </w:hyperlink>
    </w:p>
    <w:p>
      <w:pPr>
        <w:pStyle w:val="Normal"/>
        <w:ind w:left="0" w:firstLineChars="0" w:firstLine="0" w:leftChars="1000"/>
      </w:pPr>
      <w:hyperlink w:anchor="page_784">
        <w:r>
          <w:rPr>
            <w:color w:val="0000FF" w:themeColor="hyperlink"/>
            <w:u w:val="single"/>
          </w:rPr>
          <w:t>References</w:t>
        </w:r>
      </w:hyperlink>
    </w:p>
    <w:p>
      <w:pPr>
        <w:pStyle w:val="Normal"/>
        <w:ind w:left="0" w:firstLineChars="0" w:firstLine="0" w:leftChars="1000"/>
      </w:pPr>
      <w:hyperlink w:anchor="page_784">
        <w:r>
          <w:rPr>
            <w:color w:val="0000FF" w:themeColor="hyperlink"/>
            <w:u w:val="single"/>
          </w:rPr>
          <w:t>OpenSSH crypto configuration</w:t>
        </w:r>
      </w:hyperlink>
    </w:p>
    <w:p>
      <w:pPr>
        <w:pStyle w:val="Normal"/>
        <w:ind w:left="0" w:firstLineChars="0" w:firstLine="0" w:leftChars="1000"/>
      </w:pPr>
      <w:hyperlink w:anchor="page_785">
        <w:r>
          <w:rPr>
            <w:color w:val="0000FF" w:themeColor="hyperlink"/>
            <w:u w:val="single"/>
          </w:rPr>
          <w:t>Algorithm configuration general rules</w:t>
        </w:r>
      </w:hyperlink>
    </w:p>
    <w:p>
      <w:pPr>
        <w:pStyle w:val="Normal"/>
        <w:ind w:left="0" w:firstLineChars="0" w:firstLine="0" w:leftChars="1000"/>
      </w:pPr>
      <w:hyperlink w:anchor="Top_of_index_split_226_html">
        <w:r>
          <w:rPr>
            <w:color w:val="0000FF" w:themeColor="hyperlink"/>
            <w:u w:val="single"/>
          </w:rPr>
          <w:t>Configuration settings</w:t>
        </w:r>
      </w:hyperlink>
    </w:p>
    <w:p>
      <w:pPr>
        <w:pStyle w:val="Normal"/>
        <w:ind w:left="0" w:firstLineChars="0" w:firstLine="0" w:leftChars="1000"/>
      </w:pPr>
      <w:hyperlink w:anchor="Top_of_index_split_227_html">
        <w:r>
          <w:rPr>
            <w:color w:val="0000FF" w:themeColor="hyperlink"/>
            <w:u w:val="single"/>
          </w:rPr>
          <w:t>OpenSSH examples</w:t>
        </w:r>
      </w:hyperlink>
    </w:p>
    <w:p>
      <w:pPr>
        <w:pStyle w:val="Normal"/>
        <w:ind w:left="0" w:firstLineChars="0" w:firstLine="0" w:leftChars="1000"/>
      </w:pPr>
      <w:hyperlink w:anchor="Top_of_index_split_227_html">
        <w:r>
          <w:rPr>
            <w:color w:val="0000FF" w:themeColor="hyperlink"/>
            <w:u w:val="single"/>
          </w:rPr>
          <w:t>Which cipher was used?</w:t>
        </w:r>
      </w:hyperlink>
    </w:p>
    <w:p>
      <w:pPr>
        <w:pStyle w:val="Normal"/>
        <w:ind w:left="0" w:firstLineChars="0" w:firstLine="0" w:leftChars="1000"/>
      </w:pPr>
      <w:hyperlink w:anchor="Top_of_index_split_227_html">
        <w:r>
          <w:rPr>
            <w:color w:val="0000FF" w:themeColor="hyperlink"/>
            <w:u w:val="single"/>
          </w:rPr>
          <w:t>Remove AES 128 from server</w:t>
        </w:r>
      </w:hyperlink>
    </w:p>
    <w:p>
      <w:pPr>
        <w:pStyle w:val="Normal"/>
        <w:ind w:left="0" w:firstLineChars="0" w:firstLine="0" w:leftChars="1000"/>
      </w:pPr>
      <w:hyperlink w:anchor="page_788">
        <w:r>
          <w:rPr>
            <w:color w:val="0000FF" w:themeColor="hyperlink"/>
            <w:u w:val="single"/>
          </w:rPr>
          <w:t>Prioritize AES 256 on the client</w:t>
        </w:r>
      </w:hyperlink>
    </w:p>
    <w:p>
      <w:pPr>
        <w:pStyle w:val="Normal"/>
        <w:ind w:left="0" w:firstLineChars="0" w:firstLine="0" w:leftChars="1000"/>
      </w:pPr>
      <w:hyperlink w:anchor="page_788">
        <w:r>
          <w:rPr>
            <w:color w:val="0000FF" w:themeColor="hyperlink"/>
            <w:u w:val="single"/>
          </w:rPr>
          <w:t>References</w:t>
        </w:r>
      </w:hyperlink>
    </w:p>
    <w:p>
      <w:pPr>
        <w:pStyle w:val="Normal"/>
        <w:ind w:left="0" w:firstLineChars="0" w:firstLine="0" w:leftChars="1000"/>
      </w:pPr>
      <w:hyperlink w:anchor="Top_of_index_split_228_html">
        <w:r>
          <w:rPr>
            <w:color w:val="0000FF" w:themeColor="hyperlink"/>
            <w:u w:val="single"/>
          </w:rPr>
          <w:t>Troubleshooting TLS/SSL</w:t>
        </w:r>
      </w:hyperlink>
    </w:p>
    <w:p>
      <w:pPr>
        <w:pStyle w:val="Normal"/>
        <w:ind w:left="0" w:firstLineChars="0" w:firstLine="0" w:leftChars="1000"/>
      </w:pPr>
      <w:hyperlink w:anchor="Top_of_index_split_228_html">
        <w:r>
          <w:rPr>
            <w:color w:val="0000FF" w:themeColor="hyperlink"/>
            <w:u w:val="single"/>
          </w:rPr>
          <w:t>Separate the client and server</w:t>
        </w:r>
      </w:hyperlink>
    </w:p>
    <w:p>
      <w:pPr>
        <w:pStyle w:val="Normal"/>
        <w:ind w:left="0" w:firstLineChars="0" w:firstLine="0" w:leftChars="1000"/>
      </w:pPr>
      <w:hyperlink w:anchor="Top_of_index_split_228_html">
        <w:r>
          <w:rPr>
            <w:color w:val="0000FF" w:themeColor="hyperlink"/>
            <w:u w:val="single"/>
          </w:rPr>
          <w:t>Tools</w:t>
        </w:r>
      </w:hyperlink>
    </w:p>
    <w:p>
      <w:pPr>
        <w:pStyle w:val="Normal"/>
        <w:ind w:left="0" w:firstLineChars="0" w:firstLine="0" w:leftChars="1000"/>
      </w:pPr>
      <w:hyperlink w:anchor="Top_of_index_split_228_html">
        <w:r>
          <w:rPr>
            <w:color w:val="0000FF" w:themeColor="hyperlink"/>
            <w:u w:val="single"/>
          </w:rPr>
          <w:t>OpenSSL server and client apps</w:t>
        </w:r>
      </w:hyperlink>
    </w:p>
    <w:p>
      <w:pPr>
        <w:pStyle w:val="Normal"/>
        <w:ind w:left="0" w:firstLineChars="0" w:firstLine="0" w:leftChars="1000"/>
      </w:pPr>
      <w:hyperlink w:anchor="page_790">
        <w:r>
          <w:rPr>
            <w:color w:val="0000FF" w:themeColor="hyperlink"/>
            <w:u w:val="single"/>
          </w:rPr>
          <w:t>The sslscan tool</w:t>
        </w:r>
      </w:hyperlink>
    </w:p>
    <w:p>
      <w:pPr>
        <w:pStyle w:val="Normal"/>
        <w:ind w:left="0" w:firstLineChars="0" w:firstLine="0" w:leftChars="1000"/>
      </w:pPr>
      <w:hyperlink w:anchor="page_790">
        <w:r>
          <w:rPr>
            <w:color w:val="0000FF" w:themeColor="hyperlink"/>
            <w:u w:val="single"/>
          </w:rPr>
          <w:t>References</w:t>
        </w:r>
      </w:hyperlink>
    </w:p>
    <w:p>
      <w:pPr>
        <w:pStyle w:val="Normal"/>
        <w:ind w:left="0" w:firstLineChars="0" w:firstLine="0" w:leftChars="1000"/>
      </w:pPr>
      <w:hyperlink w:anchor="Top_of_index_split_229_html">
        <w:r>
          <w:rPr>
            <w:color w:val="0000FF" w:themeColor="hyperlink"/>
            <w:u w:val="single"/>
          </w:rPr>
          <w:t>About certificates</w:t>
        </w:r>
      </w:hyperlink>
    </w:p>
    <w:p>
      <w:pPr>
        <w:pStyle w:val="Normal"/>
        <w:ind w:left="0" w:firstLineChars="0" w:firstLine="0" w:leftChars="1000"/>
      </w:pPr>
      <w:hyperlink w:anchor="Top_of_index_split_229_html">
        <w:r>
          <w:rPr>
            <w:color w:val="0000FF" w:themeColor="hyperlink"/>
            <w:u w:val="single"/>
          </w:rPr>
          <w:t>Types of certificates</w:t>
        </w:r>
      </w:hyperlink>
    </w:p>
    <w:p>
      <w:pPr>
        <w:pStyle w:val="Normal"/>
        <w:ind w:left="0" w:firstLineChars="0" w:firstLine="0" w:leftChars="1000"/>
      </w:pPr>
      <w:hyperlink w:anchor="page_792">
        <w:r>
          <w:rPr>
            <w:color w:val="0000FF" w:themeColor="hyperlink"/>
            <w:u w:val="single"/>
          </w:rPr>
          <w:t>Generate a Certificate Signing Request (CSR)</w:t>
        </w:r>
      </w:hyperlink>
    </w:p>
    <w:p>
      <w:pPr>
        <w:pStyle w:val="Normal"/>
        <w:ind w:left="0" w:firstLineChars="0" w:firstLine="0" w:leftChars="1000"/>
      </w:pPr>
      <w:hyperlink w:anchor="page_793">
        <w:r>
          <w:rPr>
            <w:color w:val="0000FF" w:themeColor="hyperlink"/>
            <w:u w:val="single"/>
          </w:rPr>
          <w:t>Creating a self-signed certificate</w:t>
        </w:r>
      </w:hyperlink>
    </w:p>
    <w:p>
      <w:pPr>
        <w:pStyle w:val="Normal"/>
        <w:ind w:left="0" w:firstLineChars="0" w:firstLine="0" w:leftChars="1000"/>
      </w:pPr>
      <w:hyperlink w:anchor="page_793">
        <w:r>
          <w:rPr>
            <w:color w:val="0000FF" w:themeColor="hyperlink"/>
            <w:u w:val="single"/>
          </w:rPr>
          <w:t>Install the certificate</w:t>
        </w:r>
      </w:hyperlink>
    </w:p>
    <w:p>
      <w:pPr>
        <w:pStyle w:val="Normal"/>
        <w:ind w:left="0" w:firstLineChars="0" w:firstLine="0" w:leftChars="1000"/>
      </w:pPr>
      <w:hyperlink w:anchor="page_793">
        <w:r>
          <w:rPr>
            <w:color w:val="0000FF" w:themeColor="hyperlink"/>
            <w:u w:val="single"/>
          </w:rPr>
          <w:t>Certification Authority</w:t>
        </w:r>
      </w:hyperlink>
    </w:p>
    <w:p>
      <w:pPr>
        <w:pStyle w:val="Normal"/>
        <w:ind w:left="0" w:firstLineChars="0" w:firstLine="0" w:leftChars="1000"/>
      </w:pPr>
      <w:hyperlink w:anchor="page_795">
        <w:r>
          <w:rPr>
            <w:color w:val="0000FF" w:themeColor="hyperlink"/>
            <w:u w:val="single"/>
          </w:rPr>
          <w:t>Further reading</w:t>
        </w:r>
      </w:hyperlink>
    </w:p>
    <w:p>
      <w:pPr>
        <w:pStyle w:val="Normal"/>
        <w:ind w:left="0" w:firstLineChars="0" w:firstLine="0" w:leftChars="800"/>
      </w:pPr>
      <w:hyperlink w:anchor="page_795">
        <w:r>
          <w:rPr>
            <w:color w:val="0000FF" w:themeColor="hyperlink"/>
            <w:u w:val="single"/>
          </w:rPr>
          <w:t>Virtual Private Network (VPN)</w:t>
        </w:r>
      </w:hyperlink>
    </w:p>
    <w:p>
      <w:pPr>
        <w:pStyle w:val="Normal"/>
        <w:ind w:left="0" w:firstLineChars="0" w:firstLine="0" w:leftChars="1000"/>
      </w:pPr>
      <w:hyperlink w:anchor="page_795">
        <w:r>
          <w:rPr>
            <w:color w:val="0000FF" w:themeColor="hyperlink"/>
            <w:u w:val="single"/>
          </w:rPr>
          <w:t>Introduction to WireGuard VPN</w:t>
        </w:r>
      </w:hyperlink>
    </w:p>
    <w:p>
      <w:pPr>
        <w:pStyle w:val="Normal"/>
        <w:ind w:left="0" w:firstLineChars="0" w:firstLine="0" w:leftChars="1000"/>
      </w:pPr>
      <w:hyperlink w:anchor="page_795">
        <w:r>
          <w:rPr>
            <w:color w:val="0000FF" w:themeColor="hyperlink"/>
            <w:u w:val="single"/>
          </w:rPr>
          <w:t>WireGuard concepts</w:t>
        </w:r>
      </w:hyperlink>
    </w:p>
    <w:p>
      <w:pPr>
        <w:pStyle w:val="Normal"/>
        <w:ind w:left="0" w:firstLineChars="0" w:firstLine="0" w:leftChars="1000"/>
      </w:pPr>
      <w:hyperlink w:anchor="page_798">
        <w:r>
          <w:rPr>
            <w:color w:val="0000FF" w:themeColor="hyperlink"/>
            <w:u w:val="single"/>
          </w:rPr>
          <w:t>Peers</w:t>
        </w:r>
      </w:hyperlink>
    </w:p>
    <w:p>
      <w:pPr>
        <w:pStyle w:val="Normal"/>
        <w:ind w:left="0" w:firstLineChars="0" w:firstLine="0" w:leftChars="1000"/>
      </w:pPr>
      <w:hyperlink w:anchor="page_799">
        <w:r>
          <w:rPr>
            <w:color w:val="0000FF" w:themeColor="hyperlink"/>
            <w:u w:val="single"/>
          </w:rPr>
          <w:t>Putting it all together</w:t>
        </w:r>
      </w:hyperlink>
    </w:p>
    <w:p>
      <w:pPr>
        <w:pStyle w:val="Normal"/>
        <w:ind w:left="0" w:firstLineChars="0" w:firstLine="0" w:leftChars="1000"/>
      </w:pPr>
      <w:hyperlink w:anchor="page_799">
        <w:r>
          <w:rPr>
            <w:color w:val="0000FF" w:themeColor="hyperlink"/>
            <w:u w:val="single"/>
          </w:rPr>
          <w:t>Peer-to-site</w:t>
        </w:r>
      </w:hyperlink>
    </w:p>
    <w:p>
      <w:pPr>
        <w:pStyle w:val="Normal"/>
        <w:ind w:left="0" w:firstLineChars="0" w:firstLine="0" w:leftChars="1000"/>
      </w:pPr>
      <w:hyperlink w:anchor="page_799">
        <w:r>
          <w:rPr>
            <w:color w:val="0000FF" w:themeColor="hyperlink"/>
            <w:u w:val="single"/>
          </w:rPr>
          <w:t>Site-to-site</w:t>
        </w:r>
      </w:hyperlink>
    </w:p>
    <w:p>
      <w:pPr>
        <w:pStyle w:val="Normal"/>
        <w:ind w:left="0" w:firstLineChars="0" w:firstLine="0" w:leftChars="1000"/>
      </w:pPr>
      <w:hyperlink w:anchor="page_799">
        <w:r>
          <w:rPr>
            <w:color w:val="0000FF" w:themeColor="hyperlink"/>
            <w:u w:val="single"/>
          </w:rPr>
          <w:t>Default gateway</w:t>
        </w:r>
      </w:hyperlink>
    </w:p>
    <w:p>
      <w:pPr>
        <w:pStyle w:val="Normal"/>
        <w:ind w:left="0" w:firstLineChars="0" w:firstLine="0" w:leftChars="1000"/>
      </w:pPr>
      <w:hyperlink w:anchor="page_799">
        <w:r>
          <w:rPr>
            <w:color w:val="0000FF" w:themeColor="hyperlink"/>
            <w:u w:val="single"/>
          </w:rPr>
          <w:t>Other common tasks, hints and tips</w:t>
        </w:r>
      </w:hyperlink>
    </w:p>
    <w:p>
      <w:pPr>
        <w:pStyle w:val="Normal"/>
        <w:ind w:left="0" w:firstLineChars="0" w:firstLine="0" w:leftChars="1000"/>
      </w:pPr>
      <w:hyperlink w:anchor="page_800">
        <w:r>
          <w:rPr>
            <w:color w:val="0000FF" w:themeColor="hyperlink"/>
            <w:u w:val="single"/>
          </w:rPr>
          <w:t>Further reading</w:t>
        </w:r>
      </w:hyperlink>
    </w:p>
    <w:p>
      <w:pPr>
        <w:pStyle w:val="Normal"/>
        <w:ind w:left="0" w:firstLineChars="0" w:firstLine="0" w:leftChars="1000"/>
      </w:pPr>
      <w:hyperlink w:anchor="page_800">
        <w:r>
          <w:rPr>
            <w:color w:val="0000FF" w:themeColor="hyperlink"/>
            <w:u w:val="single"/>
          </w:rPr>
          <w:t>OpenVPN client implementations</w:t>
        </w:r>
      </w:hyperlink>
    </w:p>
    <w:p>
      <w:pPr>
        <w:pStyle w:val="Normal"/>
        <w:ind w:left="0" w:firstLineChars="0" w:firstLine="0" w:leftChars="1000"/>
      </w:pPr>
      <w:hyperlink w:anchor="page_800">
        <w:r>
          <w:rPr>
            <w:color w:val="0000FF" w:themeColor="hyperlink"/>
            <w:u w:val="single"/>
          </w:rPr>
          <w:t>Linux Network-Manager GUI for OpenVPN</w:t>
        </w:r>
      </w:hyperlink>
    </w:p>
    <w:p>
      <w:pPr>
        <w:pStyle w:val="Normal"/>
        <w:ind w:left="0" w:firstLineChars="0" w:firstLine="0" w:leftChars="1000"/>
      </w:pPr>
      <w:hyperlink w:anchor="page_800">
        <w:r>
          <w:rPr>
            <w:color w:val="0000FF" w:themeColor="hyperlink"/>
            <w:u w:val="single"/>
          </w:rPr>
          <w:t>OpenVPN with GUI for Mac OS X</w:t>
        </w:r>
      </w:hyperlink>
    </w:p>
    <w:p>
      <w:pPr>
        <w:pStyle w:val="Normal"/>
        <w:ind w:left="0" w:firstLineChars="0" w:firstLine="0" w:leftChars="1000"/>
      </w:pPr>
      <w:hyperlink w:anchor="page_801">
        <w:r>
          <w:rPr>
            <w:color w:val="0000FF" w:themeColor="hyperlink"/>
            <w:u w:val="single"/>
          </w:rPr>
          <w:t>OpenVPN with GUI for Win</w:t>
        </w:r>
      </w:hyperlink>
    </w:p>
    <w:p>
      <w:pPr>
        <w:pStyle w:val="Normal"/>
        <w:ind w:left="0" w:firstLineChars="0" w:firstLine="0" w:leftChars="1000"/>
      </w:pPr>
      <w:hyperlink w:anchor="page_801">
        <w:r>
          <w:rPr>
            <w:color w:val="0000FF" w:themeColor="hyperlink"/>
            <w:u w:val="single"/>
          </w:rPr>
          <w:t>Further reading</w:t>
        </w:r>
      </w:hyperlink>
    </w:p>
    <w:p>
      <w:pPr>
        <w:pStyle w:val="Normal"/>
        <w:ind w:left="0" w:firstLineChars="0" w:firstLine="0" w:leftChars="800"/>
      </w:pPr>
      <w:hyperlink w:anchor="page_801">
        <w:r>
          <w:rPr>
            <w:color w:val="0000FF" w:themeColor="hyperlink"/>
            <w:u w:val="single"/>
          </w:rPr>
          <w:t>See also</w:t>
        </w:r>
      </w:hyperlink>
    </w:p>
    <w:p>
      <w:pPr>
        <w:pStyle w:val="Normal"/>
        <w:ind w:left="0" w:firstLineChars="0" w:firstLine="0" w:leftChars="400"/>
      </w:pPr>
      <w:hyperlink w:anchor="page_801">
        <w:r>
          <w:rPr>
            <w:color w:val="0000FF" w:themeColor="hyperlink"/>
            <w:u w:val="single"/>
          </w:rPr>
          <w:t>Networking</w:t>
        </w:r>
      </w:hyperlink>
    </w:p>
    <w:p>
      <w:pPr>
        <w:pStyle w:val="Normal"/>
        <w:ind w:left="0" w:firstLineChars="0" w:firstLine="0" w:leftChars="600"/>
      </w:pPr>
      <w:hyperlink w:anchor="Top_of_index_split_230_html">
        <w:r>
          <w:rPr>
            <w:color w:val="0000FF" w:themeColor="hyperlink"/>
            <w:u w:val="single"/>
          </w:rPr>
          <w:t>Networking</w:t>
        </w:r>
      </w:hyperlink>
    </w:p>
    <w:p>
      <w:pPr>
        <w:pStyle w:val="Normal"/>
        <w:ind w:left="0" w:firstLineChars="0" w:firstLine="0" w:leftChars="800"/>
      </w:pPr>
      <w:hyperlink w:anchor="Top_of_index_split_230_html">
        <w:r>
          <w:rPr>
            <w:color w:val="0000FF" w:themeColor="hyperlink"/>
            <w:u w:val="single"/>
          </w:rPr>
          <w:t>Introduction</w:t>
        </w:r>
      </w:hyperlink>
    </w:p>
    <w:p>
      <w:pPr>
        <w:pStyle w:val="Normal"/>
        <w:ind w:left="0" w:firstLineChars="0" w:firstLine="0" w:leftChars="1000"/>
      </w:pPr>
      <w:hyperlink w:anchor="Top_of_index_split_230_html">
        <w:r>
          <w:rPr>
            <w:color w:val="0000FF" w:themeColor="hyperlink"/>
            <w:u w:val="single"/>
          </w:rPr>
          <w:t>Introduction to networking</w:t>
        </w:r>
      </w:hyperlink>
    </w:p>
    <w:p>
      <w:pPr>
        <w:pStyle w:val="Normal"/>
        <w:ind w:left="0" w:firstLineChars="0" w:firstLine="0" w:leftChars="1000"/>
      </w:pPr>
      <w:hyperlink w:anchor="Top_of_index_split_230_html">
        <w:r>
          <w:rPr>
            <w:color w:val="0000FF" w:themeColor="hyperlink"/>
            <w:u w:val="single"/>
          </w:rPr>
          <w:t>Networking key concepts</w:t>
        </w:r>
      </w:hyperlink>
    </w:p>
    <w:p>
      <w:pPr>
        <w:pStyle w:val="Normal"/>
        <w:ind w:left="0" w:firstLineChars="0" w:firstLine="0" w:leftChars="1000"/>
      </w:pPr>
      <w:hyperlink w:anchor="Top_of_index_split_230_html">
        <w:r>
          <w:rPr>
            <w:color w:val="0000FF" w:themeColor="hyperlink"/>
            <w:u w:val="single"/>
          </w:rPr>
          <w:t>Network configuration with Netplan</w:t>
        </w:r>
      </w:hyperlink>
    </w:p>
    <w:p>
      <w:pPr>
        <w:pStyle w:val="Normal"/>
        <w:ind w:left="0" w:firstLineChars="0" w:firstLine="0" w:leftChars="1000"/>
      </w:pPr>
      <w:hyperlink w:anchor="Top_of_index_split_230_html">
        <w:r>
          <w:rPr>
            <w:color w:val="0000FF" w:themeColor="hyperlink"/>
            <w:u w:val="single"/>
          </w:rPr>
          <w:t>Network tools and services</w:t>
        </w:r>
      </w:hyperlink>
    </w:p>
    <w:p>
      <w:pPr>
        <w:pStyle w:val="Normal"/>
        <w:ind w:left="0" w:firstLineChars="0" w:firstLine="0" w:leftChars="1000"/>
      </w:pPr>
      <w:hyperlink w:anchor="Top_of_index_split_230_html">
        <w:r>
          <w:rPr>
            <w:color w:val="0000FF" w:themeColor="hyperlink"/>
            <w:u w:val="single"/>
          </w:rPr>
          <w:t>DHCP</w:t>
        </w:r>
      </w:hyperlink>
    </w:p>
    <w:p>
      <w:pPr>
        <w:pStyle w:val="Normal"/>
        <w:ind w:left="0" w:firstLineChars="0" w:firstLine="0" w:leftChars="1000"/>
      </w:pPr>
      <w:hyperlink w:anchor="page_803">
        <w:r>
          <w:rPr>
            <w:color w:val="0000FF" w:themeColor="hyperlink"/>
            <w:u w:val="single"/>
          </w:rPr>
          <w:t>Time synchronization</w:t>
        </w:r>
      </w:hyperlink>
    </w:p>
    <w:p>
      <w:pPr>
        <w:pStyle w:val="Normal"/>
        <w:ind w:left="0" w:firstLineChars="0" w:firstLine="0" w:leftChars="1000"/>
      </w:pPr>
      <w:hyperlink w:anchor="page_803">
        <w:r>
          <w:rPr>
            <w:color w:val="0000FF" w:themeColor="hyperlink"/>
            <w:u w:val="single"/>
          </w:rPr>
          <w:t>The DPDK library</w:t>
        </w:r>
      </w:hyperlink>
    </w:p>
    <w:p>
      <w:pPr>
        <w:pStyle w:val="Normal"/>
        <w:ind w:left="0" w:firstLineChars="0" w:firstLine="0" w:leftChars="1000"/>
      </w:pPr>
      <w:hyperlink w:anchor="page_803">
        <w:r>
          <w:rPr>
            <w:color w:val="0000FF" w:themeColor="hyperlink"/>
            <w:u w:val="single"/>
          </w:rPr>
          <w:t>Other networking functionality</w:t>
        </w:r>
      </w:hyperlink>
    </w:p>
    <w:p>
      <w:pPr>
        <w:pStyle w:val="Normal"/>
        <w:ind w:left="0" w:firstLineChars="0" w:firstLine="0" w:leftChars="1000"/>
      </w:pPr>
      <w:hyperlink w:anchor="page_803">
        <w:r>
          <w:rPr>
            <w:color w:val="0000FF" w:themeColor="hyperlink"/>
            <w:u w:val="single"/>
          </w:rPr>
          <w:t>Samba</w:t>
        </w:r>
      </w:hyperlink>
    </w:p>
    <w:p>
      <w:pPr>
        <w:pStyle w:val="Normal"/>
        <w:ind w:left="0" w:firstLineChars="0" w:firstLine="0" w:leftChars="1000"/>
      </w:pPr>
      <w:hyperlink w:anchor="page_803">
        <w:r>
          <w:rPr>
            <w:color w:val="0000FF" w:themeColor="hyperlink"/>
            <w:u w:val="single"/>
          </w:rPr>
          <w:t>Networking key concepts</w:t>
        </w:r>
      </w:hyperlink>
    </w:p>
    <w:p>
      <w:pPr>
        <w:pStyle w:val="Normal"/>
        <w:ind w:left="0" w:firstLineChars="0" w:firstLine="0" w:leftChars="1000"/>
      </w:pPr>
      <w:hyperlink w:anchor="page_803">
        <w:r>
          <w:rPr>
            <w:color w:val="0000FF" w:themeColor="hyperlink"/>
            <w:u w:val="single"/>
          </w:rPr>
          <w:t>The Transmission Control Protocol and Internet Protocol (TCP/IP)</w:t>
        </w:r>
      </w:hyperlink>
    </w:p>
    <w:p>
      <w:pPr>
        <w:pStyle w:val="Normal"/>
        <w:ind w:left="0" w:firstLineChars="0" w:firstLine="0" w:leftChars="1000"/>
      </w:pPr>
      <w:hyperlink w:anchor="page_804">
        <w:r>
          <w:rPr>
            <w:color w:val="0000FF" w:themeColor="hyperlink"/>
            <w:u w:val="single"/>
          </w:rPr>
          <w:t>TCP/IP overview</w:t>
        </w:r>
      </w:hyperlink>
    </w:p>
    <w:p>
      <w:pPr>
        <w:pStyle w:val="Normal"/>
        <w:ind w:left="0" w:firstLineChars="0" w:firstLine="0" w:leftChars="1000"/>
      </w:pPr>
      <w:hyperlink w:anchor="page_804">
        <w:r>
          <w:rPr>
            <w:color w:val="0000FF" w:themeColor="hyperlink"/>
            <w:u w:val="single"/>
          </w:rPr>
          <w:t>TCP/IP configuration</w:t>
        </w:r>
      </w:hyperlink>
    </w:p>
    <w:p>
      <w:pPr>
        <w:pStyle w:val="Normal"/>
        <w:ind w:left="0" w:firstLineChars="0" w:firstLine="0" w:leftChars="1000"/>
      </w:pPr>
      <w:hyperlink w:anchor="page_805">
        <w:r>
          <w:rPr>
            <w:color w:val="0000FF" w:themeColor="hyperlink"/>
            <w:u w:val="single"/>
          </w:rPr>
          <w:t>IP routing</w:t>
        </w:r>
      </w:hyperlink>
    </w:p>
    <w:p>
      <w:pPr>
        <w:pStyle w:val="Normal"/>
        <w:ind w:left="0" w:firstLineChars="0" w:firstLine="0" w:leftChars="1000"/>
      </w:pPr>
      <w:hyperlink w:anchor="page_806">
        <w:r>
          <w:rPr>
            <w:color w:val="0000FF" w:themeColor="hyperlink"/>
            <w:u w:val="single"/>
          </w:rPr>
          <w:t>About TCP and UDP</w:t>
        </w:r>
      </w:hyperlink>
    </w:p>
    <w:p>
      <w:pPr>
        <w:pStyle w:val="Normal"/>
        <w:ind w:left="0" w:firstLineChars="0" w:firstLine="0" w:leftChars="1000"/>
      </w:pPr>
      <w:hyperlink w:anchor="page_806">
        <w:r>
          <w:rPr>
            <w:color w:val="0000FF" w:themeColor="hyperlink"/>
            <w:u w:val="single"/>
          </w:rPr>
          <w:t>Internet Control Messaging Protocol (ICMP)</w:t>
        </w:r>
      </w:hyperlink>
    </w:p>
    <w:p>
      <w:pPr>
        <w:pStyle w:val="Normal"/>
        <w:ind w:left="0" w:firstLineChars="0" w:firstLine="0" w:leftChars="1000"/>
      </w:pPr>
      <w:hyperlink w:anchor="page_806">
        <w:r>
          <w:rPr>
            <w:color w:val="0000FF" w:themeColor="hyperlink"/>
            <w:u w:val="single"/>
          </w:rPr>
          <w:t>About daemons</w:t>
        </w:r>
      </w:hyperlink>
    </w:p>
    <w:p>
      <w:pPr>
        <w:pStyle w:val="Normal"/>
        <w:ind w:left="0" w:firstLineChars="0" w:firstLine="0" w:leftChars="1000"/>
      </w:pPr>
      <w:hyperlink w:anchor="Top_of_index_split_231_html">
        <w:r>
          <w:rPr>
            <w:color w:val="0000FF" w:themeColor="hyperlink"/>
            <w:u w:val="single"/>
          </w:rPr>
          <w:t>Further reading</w:t>
        </w:r>
      </w:hyperlink>
    </w:p>
    <w:p>
      <w:pPr>
        <w:pStyle w:val="Normal"/>
        <w:ind w:left="0" w:firstLineChars="0" w:firstLine="0" w:leftChars="800"/>
      </w:pPr>
      <w:hyperlink w:anchor="Top_of_index_split_231_html">
        <w:r>
          <w:rPr>
            <w:color w:val="0000FF" w:themeColor="hyperlink"/>
            <w:u w:val="single"/>
          </w:rPr>
          <w:t>Configuration</w:t>
        </w:r>
      </w:hyperlink>
    </w:p>
    <w:p>
      <w:pPr>
        <w:pStyle w:val="Normal"/>
        <w:ind w:left="0" w:firstLineChars="0" w:firstLine="0" w:leftChars="1000"/>
      </w:pPr>
      <w:hyperlink w:anchor="Top_of_index_split_231_html">
        <w:r>
          <w:rPr>
            <w:color w:val="0000FF" w:themeColor="hyperlink"/>
            <w:u w:val="single"/>
          </w:rPr>
          <w:t>About Netplan</w:t>
        </w:r>
      </w:hyperlink>
    </w:p>
    <w:p>
      <w:pPr>
        <w:pStyle w:val="Normal"/>
        <w:ind w:left="0" w:firstLineChars="0" w:firstLine="0" w:leftChars="1000"/>
      </w:pPr>
      <w:hyperlink w:anchor="Top_of_index_split_232_html">
        <w:r>
          <w:rPr>
            <w:color w:val="0000FF" w:themeColor="hyperlink"/>
            <w:u w:val="single"/>
          </w:rPr>
          <w:t>Configuring networks</w:t>
        </w:r>
      </w:hyperlink>
    </w:p>
    <w:p>
      <w:pPr>
        <w:pStyle w:val="Normal"/>
        <w:ind w:left="0" w:firstLineChars="0" w:firstLine="0" w:leftChars="1000"/>
      </w:pPr>
      <w:hyperlink w:anchor="Top_of_index_split_232_html">
        <w:r>
          <w:rPr>
            <w:color w:val="0000FF" w:themeColor="hyperlink"/>
            <w:u w:val="single"/>
          </w:rPr>
          <w:t>Ethernet interfaces</w:t>
        </w:r>
      </w:hyperlink>
    </w:p>
    <w:p>
      <w:pPr>
        <w:pStyle w:val="Normal"/>
        <w:ind w:left="0" w:firstLineChars="0" w:firstLine="0" w:leftChars="1000"/>
      </w:pPr>
      <w:hyperlink w:anchor="Top_of_index_split_232_html">
        <w:r>
          <w:rPr>
            <w:color w:val="0000FF" w:themeColor="hyperlink"/>
            <w:u w:val="single"/>
          </w:rPr>
          <w:t>Identify Ethernet interfaces</w:t>
        </w:r>
      </w:hyperlink>
    </w:p>
    <w:p>
      <w:pPr>
        <w:pStyle w:val="Normal"/>
        <w:ind w:left="0" w:firstLineChars="0" w:firstLine="0" w:leftChars="1000"/>
      </w:pPr>
      <w:hyperlink w:anchor="page_809">
        <w:r>
          <w:rPr>
            <w:color w:val="0000FF" w:themeColor="hyperlink"/>
            <w:u w:val="single"/>
          </w:rPr>
          <w:t>Ethernet Interface logical names</w:t>
        </w:r>
      </w:hyperlink>
    </w:p>
    <w:p>
      <w:pPr>
        <w:pStyle w:val="Normal"/>
        <w:ind w:left="0" w:firstLineChars="0" w:firstLine="0" w:leftChars="1000"/>
      </w:pPr>
      <w:hyperlink w:anchor="page_810">
        <w:r>
          <w:rPr>
            <w:color w:val="0000FF" w:themeColor="hyperlink"/>
            <w:u w:val="single"/>
          </w:rPr>
          <w:t>Ethernet Interface settings</w:t>
        </w:r>
      </w:hyperlink>
    </w:p>
    <w:p>
      <w:pPr>
        <w:pStyle w:val="Normal"/>
        <w:ind w:left="0" w:firstLineChars="0" w:firstLine="0" w:leftChars="1000"/>
      </w:pPr>
      <w:hyperlink w:anchor="page_810">
        <w:r>
          <w:rPr>
            <w:color w:val="0000FF" w:themeColor="hyperlink"/>
            <w:u w:val="single"/>
          </w:rPr>
          <w:t>IP addressing</w:t>
        </w:r>
      </w:hyperlink>
    </w:p>
    <w:p>
      <w:pPr>
        <w:pStyle w:val="Normal"/>
        <w:ind w:left="0" w:firstLineChars="0" w:firstLine="0" w:leftChars="1000"/>
      </w:pPr>
      <w:hyperlink w:anchor="page_810">
        <w:r>
          <w:rPr>
            <w:color w:val="0000FF" w:themeColor="hyperlink"/>
            <w:u w:val="single"/>
          </w:rPr>
          <w:t>Temporary IP address assignment</w:t>
        </w:r>
      </w:hyperlink>
    </w:p>
    <w:p>
      <w:pPr>
        <w:pStyle w:val="Normal"/>
        <w:ind w:left="0" w:firstLineChars="0" w:firstLine="0" w:leftChars="1000"/>
      </w:pPr>
      <w:hyperlink w:anchor="page_812">
        <w:r>
          <w:rPr>
            <w:color w:val="0000FF" w:themeColor="hyperlink"/>
            <w:u w:val="single"/>
          </w:rPr>
          <w:t>Dynamic IP address assignment (DHCP client)</w:t>
        </w:r>
      </w:hyperlink>
    </w:p>
    <w:p>
      <w:pPr>
        <w:pStyle w:val="Normal"/>
        <w:ind w:left="0" w:firstLineChars="0" w:firstLine="0" w:leftChars="1000"/>
      </w:pPr>
      <w:hyperlink w:anchor="page_812">
        <w:r>
          <w:rPr>
            <w:color w:val="0000FF" w:themeColor="hyperlink"/>
            <w:u w:val="single"/>
          </w:rPr>
          <w:t>Static IP address assignment</w:t>
        </w:r>
      </w:hyperlink>
    </w:p>
    <w:p>
      <w:pPr>
        <w:pStyle w:val="Normal"/>
        <w:ind w:left="0" w:firstLineChars="0" w:firstLine="0" w:leftChars="1000"/>
      </w:pPr>
      <w:hyperlink w:anchor="page_813">
        <w:r>
          <w:rPr>
            <w:color w:val="0000FF" w:themeColor="hyperlink"/>
            <w:u w:val="single"/>
          </w:rPr>
          <w:t>Adding a multiple IP addresses to one interface</w:t>
        </w:r>
      </w:hyperlink>
    </w:p>
    <w:p>
      <w:pPr>
        <w:pStyle w:val="Normal"/>
        <w:ind w:left="0" w:firstLineChars="0" w:firstLine="0" w:leftChars="1000"/>
      </w:pPr>
      <w:hyperlink w:anchor="page_813">
        <w:r>
          <w:rPr>
            <w:color w:val="0000FF" w:themeColor="hyperlink"/>
            <w:u w:val="single"/>
          </w:rPr>
          <w:t>Multiple static IP addresses</w:t>
        </w:r>
      </w:hyperlink>
    </w:p>
    <w:p>
      <w:pPr>
        <w:pStyle w:val="Normal"/>
        <w:ind w:left="0" w:firstLineChars="0" w:firstLine="0" w:leftChars="1000"/>
      </w:pPr>
      <w:hyperlink w:anchor="page_813">
        <w:r>
          <w:rPr>
            <w:color w:val="0000FF" w:themeColor="hyperlink"/>
            <w:u w:val="single"/>
          </w:rPr>
          <w:t>Dynamic IP addresses</w:t>
        </w:r>
      </w:hyperlink>
    </w:p>
    <w:p>
      <w:pPr>
        <w:pStyle w:val="Normal"/>
        <w:ind w:left="0" w:firstLineChars="0" w:firstLine="0" w:leftChars="1000"/>
      </w:pPr>
      <w:hyperlink w:anchor="page_814">
        <w:r>
          <w:rPr>
            <w:color w:val="0000FF" w:themeColor="hyperlink"/>
            <w:u w:val="single"/>
          </w:rPr>
          <w:t>Apply and verify the IP addresses</w:t>
        </w:r>
      </w:hyperlink>
    </w:p>
    <w:p>
      <w:pPr>
        <w:pStyle w:val="Normal"/>
        <w:ind w:left="0" w:firstLineChars="0" w:firstLine="0" w:leftChars="1000"/>
      </w:pPr>
      <w:hyperlink w:anchor="page_814">
        <w:r>
          <w:rPr>
            <w:color w:val="0000FF" w:themeColor="hyperlink"/>
            <w:u w:val="single"/>
          </w:rPr>
          <w:t>Name resolution</w:t>
        </w:r>
      </w:hyperlink>
    </w:p>
    <w:p>
      <w:pPr>
        <w:pStyle w:val="Normal"/>
        <w:ind w:left="0" w:firstLineChars="0" w:firstLine="0" w:leftChars="1000"/>
      </w:pPr>
      <w:hyperlink w:anchor="Top_of_index_split_233_html">
        <w:r>
          <w:rPr>
            <w:color w:val="0000FF" w:themeColor="hyperlink"/>
            <w:u w:val="single"/>
          </w:rPr>
          <w:t>DNS client configuration</w:t>
        </w:r>
      </w:hyperlink>
    </w:p>
    <w:p>
      <w:pPr>
        <w:pStyle w:val="Normal"/>
        <w:ind w:left="0" w:firstLineChars="0" w:firstLine="0" w:leftChars="1000"/>
      </w:pPr>
      <w:hyperlink w:anchor="page_816">
        <w:r>
          <w:rPr>
            <w:color w:val="0000FF" w:themeColor="hyperlink"/>
            <w:u w:val="single"/>
          </w:rPr>
          <w:t>Static hostnames</w:t>
        </w:r>
      </w:hyperlink>
    </w:p>
    <w:p>
      <w:pPr>
        <w:pStyle w:val="Normal"/>
        <w:ind w:left="0" w:firstLineChars="0" w:firstLine="0" w:leftChars="1000"/>
      </w:pPr>
      <w:hyperlink w:anchor="page_816">
        <w:r>
          <w:rPr>
            <w:color w:val="0000FF" w:themeColor="hyperlink"/>
            <w:u w:val="single"/>
          </w:rPr>
          <w:t>Name Service Switch (NSS) configuration</w:t>
        </w:r>
      </w:hyperlink>
    </w:p>
    <w:p>
      <w:pPr>
        <w:pStyle w:val="Normal"/>
        <w:ind w:left="0" w:firstLineChars="0" w:firstLine="0" w:leftChars="1000"/>
      </w:pPr>
      <w:hyperlink w:anchor="page_817">
        <w:r>
          <w:rPr>
            <w:color w:val="0000FF" w:themeColor="hyperlink"/>
            <w:u w:val="single"/>
          </w:rPr>
          <w:t>Bridging multiple interfaces</w:t>
        </w:r>
      </w:hyperlink>
    </w:p>
    <w:p>
      <w:pPr>
        <w:pStyle w:val="Normal"/>
        <w:ind w:left="0" w:firstLineChars="0" w:firstLine="0" w:leftChars="1000"/>
      </w:pPr>
      <w:hyperlink w:anchor="page_817">
        <w:r>
          <w:rPr>
            <w:color w:val="0000FF" w:themeColor="hyperlink"/>
            <w:u w:val="single"/>
          </w:rPr>
          <w:t>networkd-dispatcher for hook scripts</w:t>
        </w:r>
      </w:hyperlink>
    </w:p>
    <w:p>
      <w:pPr>
        <w:pStyle w:val="Normal"/>
        <w:ind w:left="0" w:firstLineChars="0" w:firstLine="0" w:leftChars="1000"/>
      </w:pPr>
      <w:hyperlink w:anchor="page_818">
        <w:r>
          <w:rPr>
            <w:color w:val="0000FF" w:themeColor="hyperlink"/>
            <w:u w:val="single"/>
          </w:rPr>
          <w:t>Resources</w:t>
        </w:r>
      </w:hyperlink>
    </w:p>
    <w:p>
      <w:pPr>
        <w:pStyle w:val="Normal"/>
        <w:ind w:left="0" w:firstLineChars="0" w:firstLine="0" w:leftChars="800"/>
      </w:pPr>
      <w:hyperlink w:anchor="page_818">
        <w:r>
          <w:rPr>
            <w:color w:val="0000FF" w:themeColor="hyperlink"/>
            <w:u w:val="single"/>
          </w:rPr>
          <w:t>Network tools</w:t>
        </w:r>
      </w:hyperlink>
    </w:p>
    <w:p>
      <w:pPr>
        <w:pStyle w:val="Normal"/>
        <w:ind w:left="0" w:firstLineChars="0" w:firstLine="0" w:leftChars="1000"/>
      </w:pPr>
      <w:hyperlink w:anchor="Top_of_index_split_234_html">
        <w:r>
          <w:rPr>
            <w:color w:val="0000FF" w:themeColor="hyperlink"/>
            <w:u w:val="single"/>
          </w:rPr>
          <w:t>About DPDK</w:t>
        </w:r>
      </w:hyperlink>
    </w:p>
    <w:p>
      <w:pPr>
        <w:pStyle w:val="Normal"/>
        <w:ind w:left="0" w:firstLineChars="0" w:firstLine="0" w:leftChars="1000"/>
      </w:pPr>
      <w:hyperlink w:anchor="Top_of_index_split_234_html">
        <w:r>
          <w:rPr>
            <w:color w:val="0000FF" w:themeColor="hyperlink"/>
            <w:u w:val="single"/>
          </w:rPr>
          <w:t>Prerequisites</w:t>
        </w:r>
      </w:hyperlink>
    </w:p>
    <w:p>
      <w:pPr>
        <w:pStyle w:val="Normal"/>
        <w:ind w:left="0" w:firstLineChars="0" w:firstLine="0" w:leftChars="1000"/>
      </w:pPr>
      <w:hyperlink w:anchor="Top_of_index_split_234_html">
        <w:r>
          <w:rPr>
            <w:color w:val="0000FF" w:themeColor="hyperlink"/>
            <w:u w:val="single"/>
          </w:rPr>
          <w:t>Unassign the default kernel drivers</w:t>
        </w:r>
      </w:hyperlink>
    </w:p>
    <w:p>
      <w:pPr>
        <w:pStyle w:val="Normal"/>
        <w:ind w:left="0" w:firstLineChars="0" w:firstLine="0" w:leftChars="1000"/>
      </w:pPr>
      <w:hyperlink w:anchor="page_820">
        <w:r>
          <w:rPr>
            <w:color w:val="0000FF" w:themeColor="hyperlink"/>
            <w:u w:val="single"/>
          </w:rPr>
          <w:t>Usage</w:t>
        </w:r>
      </w:hyperlink>
    </w:p>
    <w:p>
      <w:pPr>
        <w:pStyle w:val="Normal"/>
        <w:ind w:left="0" w:firstLineChars="0" w:firstLine="0" w:leftChars="1000"/>
      </w:pPr>
      <w:hyperlink w:anchor="page_821">
        <w:r>
          <w:rPr>
            <w:color w:val="0000FF" w:themeColor="hyperlink"/>
            <w:u w:val="single"/>
          </w:rPr>
          <w:t>DPDK device configuration</w:t>
        </w:r>
      </w:hyperlink>
    </w:p>
    <w:p>
      <w:pPr>
        <w:pStyle w:val="Normal"/>
        <w:ind w:left="0" w:firstLineChars="0" w:firstLine="0" w:leftChars="1000"/>
      </w:pPr>
      <w:hyperlink w:anchor="page_822">
        <w:r>
          <w:rPr>
            <w:color w:val="0000FF" w:themeColor="hyperlink"/>
            <w:u w:val="single"/>
          </w:rPr>
          <w:t>DPDK hugepage configuration</w:t>
        </w:r>
      </w:hyperlink>
    </w:p>
    <w:p>
      <w:pPr>
        <w:pStyle w:val="Normal"/>
        <w:ind w:left="0" w:firstLineChars="0" w:firstLine="0" w:leftChars="1000"/>
      </w:pPr>
      <w:hyperlink w:anchor="Top_of_index_split_235_html">
        <w:r>
          <w:rPr>
            <w:color w:val="0000FF" w:themeColor="hyperlink"/>
            <w:u w:val="single"/>
          </w:rPr>
          <w:t>Compile DPDK applications</w:t>
        </w:r>
      </w:hyperlink>
    </w:p>
    <w:p>
      <w:pPr>
        <w:pStyle w:val="Normal"/>
        <w:ind w:left="0" w:firstLineChars="0" w:firstLine="0" w:leftChars="1000"/>
      </w:pPr>
      <w:hyperlink w:anchor="Top_of_index_split_235_html">
        <w:r>
          <w:rPr>
            <w:color w:val="0000FF" w:themeColor="hyperlink"/>
            <w:u w:val="single"/>
          </w:rPr>
          <w:t>DPDK in KVM guests</w:t>
        </w:r>
      </w:hyperlink>
    </w:p>
    <w:p>
      <w:pPr>
        <w:pStyle w:val="Normal"/>
        <w:ind w:left="0" w:firstLineChars="0" w:firstLine="0" w:leftChars="1000"/>
      </w:pPr>
      <w:hyperlink w:anchor="Top_of_index_split_236_html">
        <w:r>
          <w:rPr>
            <w:color w:val="0000FF" w:themeColor="hyperlink"/>
            <w:u w:val="single"/>
          </w:rPr>
          <w:t>Use DPDK</w:t>
        </w:r>
      </w:hyperlink>
    </w:p>
    <w:p>
      <w:pPr>
        <w:pStyle w:val="Normal"/>
        <w:ind w:left="0" w:firstLineChars="0" w:firstLine="0" w:leftChars="1000"/>
      </w:pPr>
      <w:hyperlink w:anchor="Top_of_index_split_236_html">
        <w:r>
          <w:rPr>
            <w:color w:val="0000FF" w:themeColor="hyperlink"/>
            <w:u w:val="single"/>
          </w:rPr>
          <w:t>Resources</w:t>
        </w:r>
      </w:hyperlink>
    </w:p>
    <w:p>
      <w:pPr>
        <w:pStyle w:val="Normal"/>
        <w:ind w:left="0" w:firstLineChars="0" w:firstLine="0" w:leftChars="800"/>
      </w:pPr>
      <w:hyperlink w:anchor="Top_of_index_split_236_html">
        <w:r>
          <w:rPr>
            <w:color w:val="0000FF" w:themeColor="hyperlink"/>
            <w:u w:val="single"/>
          </w:rPr>
          <w:t>DHCP</w:t>
        </w:r>
      </w:hyperlink>
    </w:p>
    <w:p>
      <w:pPr>
        <w:pStyle w:val="Normal"/>
        <w:ind w:left="0" w:firstLineChars="0" w:firstLine="0" w:leftChars="1000"/>
      </w:pPr>
      <w:hyperlink w:anchor="Top_of_index_split_236_html">
        <w:r>
          <w:rPr>
            <w:color w:val="0000FF" w:themeColor="hyperlink"/>
            <w:u w:val="single"/>
          </w:rPr>
          <w:t>About DHCP</w:t>
        </w:r>
      </w:hyperlink>
    </w:p>
    <w:p>
      <w:pPr>
        <w:pStyle w:val="Normal"/>
        <w:ind w:left="0" w:firstLineChars="0" w:firstLine="0" w:leftChars="1000"/>
      </w:pPr>
      <w:hyperlink w:anchor="page_825">
        <w:r>
          <w:rPr>
            <w:color w:val="0000FF" w:themeColor="hyperlink"/>
            <w:u w:val="single"/>
          </w:rPr>
          <w:t>DHCP configuration</w:t>
        </w:r>
      </w:hyperlink>
    </w:p>
    <w:p>
      <w:pPr>
        <w:pStyle w:val="Normal"/>
        <w:ind w:left="0" w:firstLineChars="0" w:firstLine="0" w:leftChars="1000"/>
      </w:pPr>
      <w:hyperlink w:anchor="page_825">
        <w:r>
          <w:rPr>
            <w:color w:val="0000FF" w:themeColor="hyperlink"/>
            <w:u w:val="single"/>
          </w:rPr>
          <w:t>Manual allocation (MAC address)</w:t>
        </w:r>
      </w:hyperlink>
    </w:p>
    <w:p>
      <w:pPr>
        <w:pStyle w:val="Normal"/>
        <w:ind w:left="0" w:firstLineChars="0" w:firstLine="0" w:leftChars="1000"/>
      </w:pPr>
      <w:hyperlink w:anchor="page_825">
        <w:r>
          <w:rPr>
            <w:color w:val="0000FF" w:themeColor="hyperlink"/>
            <w:u w:val="single"/>
          </w:rPr>
          <w:t>Dynamic allocation (address pool)</w:t>
        </w:r>
      </w:hyperlink>
    </w:p>
    <w:p>
      <w:pPr>
        <w:pStyle w:val="Normal"/>
        <w:ind w:left="0" w:firstLineChars="0" w:firstLine="0" w:leftChars="1000"/>
      </w:pPr>
      <w:hyperlink w:anchor="page_825">
        <w:r>
          <w:rPr>
            <w:color w:val="0000FF" w:themeColor="hyperlink"/>
            <w:u w:val="single"/>
          </w:rPr>
          <w:t>Automatic allocation</w:t>
        </w:r>
      </w:hyperlink>
    </w:p>
    <w:p>
      <w:pPr>
        <w:pStyle w:val="Normal"/>
        <w:ind w:left="0" w:firstLineChars="0" w:firstLine="0" w:leftChars="1000"/>
      </w:pPr>
      <w:hyperlink w:anchor="Top_of_index_split_237_html">
        <w:r>
          <w:rPr>
            <w:color w:val="0000FF" w:themeColor="hyperlink"/>
            <w:u w:val="single"/>
          </w:rPr>
          <w:t>Available servers</w:t>
        </w:r>
      </w:hyperlink>
    </w:p>
    <w:p>
      <w:pPr>
        <w:pStyle w:val="Normal"/>
        <w:ind w:left="0" w:firstLineChars="0" w:firstLine="0" w:leftChars="1000"/>
      </w:pPr>
      <w:hyperlink w:anchor="Top_of_index_split_237_html">
        <w:r>
          <w:rPr>
            <w:color w:val="0000FF" w:themeColor="hyperlink"/>
            <w:u w:val="single"/>
          </w:rPr>
          <w:t>References</w:t>
        </w:r>
      </w:hyperlink>
    </w:p>
    <w:p>
      <w:pPr>
        <w:pStyle w:val="Normal"/>
        <w:ind w:left="0" w:firstLineChars="0" w:firstLine="0" w:leftChars="800"/>
      </w:pPr>
      <w:hyperlink w:anchor="Top_of_index_split_237_html">
        <w:r>
          <w:rPr>
            <w:color w:val="0000FF" w:themeColor="hyperlink"/>
            <w:u w:val="single"/>
          </w:rPr>
          <w:t>Time synchronisation</w:t>
        </w:r>
      </w:hyperlink>
    </w:p>
    <w:p>
      <w:pPr>
        <w:pStyle w:val="Normal"/>
        <w:ind w:left="0" w:firstLineChars="0" w:firstLine="0" w:leftChars="1000"/>
      </w:pPr>
      <w:hyperlink w:anchor="Top_of_index_split_237_html">
        <w:r>
          <w:rPr>
            <w:color w:val="0000FF" w:themeColor="hyperlink"/>
            <w:u w:val="single"/>
          </w:rPr>
          <w:t>About time synchronisation</w:t>
        </w:r>
      </w:hyperlink>
    </w:p>
    <w:p>
      <w:pPr>
        <w:pStyle w:val="Normal"/>
        <w:ind w:left="0" w:firstLineChars="0" w:firstLine="0" w:leftChars="1000"/>
      </w:pPr>
      <w:hyperlink w:anchor="page_827">
        <w:r>
          <w:rPr>
            <w:color w:val="0000FF" w:themeColor="hyperlink"/>
            <w:u w:val="single"/>
          </w:rPr>
          <w:t>How time synchronization works</w:t>
        </w:r>
      </w:hyperlink>
    </w:p>
    <w:p>
      <w:pPr>
        <w:pStyle w:val="Normal"/>
        <w:ind w:left="0" w:firstLineChars="0" w:firstLine="0" w:leftChars="1000"/>
      </w:pPr>
      <w:hyperlink w:anchor="page_827">
        <w:r>
          <w:rPr>
            <w:color w:val="0000FF" w:themeColor="hyperlink"/>
            <w:u w:val="single"/>
          </w:rPr>
          <w:t>About chrony</w:t>
        </w:r>
      </w:hyperlink>
    </w:p>
    <w:p>
      <w:pPr>
        <w:pStyle w:val="Normal"/>
        <w:ind w:left="0" w:firstLineChars="0" w:firstLine="0" w:leftChars="1000"/>
      </w:pPr>
      <w:hyperlink w:anchor="page_827">
        <w:r>
          <w:rPr>
            <w:color w:val="0000FF" w:themeColor="hyperlink"/>
            <w:u w:val="single"/>
          </w:rPr>
          <w:t>About timedatectl</w:t>
        </w:r>
      </w:hyperlink>
    </w:p>
    <w:p>
      <w:pPr>
        <w:pStyle w:val="Normal"/>
        <w:ind w:left="0" w:firstLineChars="0" w:firstLine="0" w:leftChars="1000"/>
      </w:pPr>
      <w:hyperlink w:anchor="Top_of_index_split_238_html">
        <w:r>
          <w:rPr>
            <w:color w:val="0000FF" w:themeColor="hyperlink"/>
            <w:u w:val="single"/>
          </w:rPr>
          <w:t>Further reading</w:t>
        </w:r>
      </w:hyperlink>
    </w:p>
    <w:p>
      <w:pPr>
        <w:pStyle w:val="Normal"/>
        <w:ind w:left="0" w:firstLineChars="0" w:firstLine="0" w:leftChars="800"/>
      </w:pPr>
      <w:hyperlink w:anchor="Top_of_index_split_238_html">
        <w:r>
          <w:rPr>
            <w:color w:val="0000FF" w:themeColor="hyperlink"/>
            <w:u w:val="single"/>
          </w:rPr>
          <w:t>Network shares</w:t>
        </w:r>
      </w:hyperlink>
    </w:p>
    <w:p>
      <w:pPr>
        <w:pStyle w:val="Normal"/>
        <w:ind w:left="0" w:firstLineChars="0" w:firstLine="0" w:leftChars="1000"/>
      </w:pPr>
      <w:hyperlink w:anchor="Top_of_index_split_238_html">
        <w:r>
          <w:rPr>
            <w:color w:val="0000FF" w:themeColor="hyperlink"/>
            <w:u w:val="single"/>
          </w:rPr>
          <w:t>Introduction to Samba</w:t>
        </w:r>
      </w:hyperlink>
    </w:p>
    <w:p>
      <w:pPr>
        <w:pStyle w:val="Normal"/>
        <w:ind w:left="0" w:firstLineChars="0" w:firstLine="0" w:leftChars="1000"/>
      </w:pPr>
      <w:hyperlink w:anchor="Top_of_index_split_239_html">
        <w:r>
          <w:rPr>
            <w:color w:val="0000FF" w:themeColor="hyperlink"/>
            <w:u w:val="single"/>
          </w:rPr>
          <w:t>Samba functionality</w:t>
        </w:r>
      </w:hyperlink>
    </w:p>
    <w:p>
      <w:pPr>
        <w:pStyle w:val="Normal"/>
        <w:ind w:left="0" w:firstLineChars="0" w:firstLine="0" w:leftChars="1000"/>
      </w:pPr>
      <w:hyperlink w:anchor="Top_of_index_split_239_html">
        <w:r>
          <w:rPr>
            <w:color w:val="0000FF" w:themeColor="hyperlink"/>
            <w:u w:val="single"/>
          </w:rPr>
          <w:t>File and printer sharing services</w:t>
        </w:r>
      </w:hyperlink>
    </w:p>
    <w:p>
      <w:pPr>
        <w:pStyle w:val="Normal"/>
        <w:ind w:left="0" w:firstLineChars="0" w:firstLine="0" w:leftChars="1000"/>
      </w:pPr>
      <w:hyperlink w:anchor="Top_of_index_split_239_html">
        <w:r>
          <w:rPr>
            <w:color w:val="0000FF" w:themeColor="hyperlink"/>
            <w:u w:val="single"/>
          </w:rPr>
          <w:t>Directory services</w:t>
        </w:r>
      </w:hyperlink>
    </w:p>
    <w:p>
      <w:pPr>
        <w:pStyle w:val="Normal"/>
        <w:ind w:left="0" w:firstLineChars="0" w:firstLine="0" w:leftChars="1000"/>
      </w:pPr>
      <w:hyperlink w:anchor="Top_of_index_split_239_html">
        <w:r>
          <w:rPr>
            <w:color w:val="0000FF" w:themeColor="hyperlink"/>
            <w:u w:val="single"/>
          </w:rPr>
          <w:t>Authentication and access</w:t>
        </w:r>
      </w:hyperlink>
    </w:p>
    <w:p>
      <w:pPr>
        <w:pStyle w:val="Normal"/>
        <w:ind w:left="0" w:firstLineChars="0" w:firstLine="0" w:leftChars="1000"/>
      </w:pPr>
      <w:hyperlink w:anchor="page_830">
        <w:r>
          <w:rPr>
            <w:color w:val="0000FF" w:themeColor="hyperlink"/>
            <w:u w:val="single"/>
          </w:rPr>
          <w:t>Active Directory integration</w:t>
        </w:r>
      </w:hyperlink>
    </w:p>
    <w:p>
      <w:pPr>
        <w:pStyle w:val="Normal"/>
        <w:ind w:left="0" w:firstLineChars="0" w:firstLine="0" w:leftChars="1000"/>
      </w:pPr>
      <w:hyperlink w:anchor="page_830">
        <w:r>
          <w:rPr>
            <w:color w:val="0000FF" w:themeColor="hyperlink"/>
            <w:u w:val="single"/>
          </w:rPr>
          <w:t>Introduction</w:t>
        </w:r>
      </w:hyperlink>
    </w:p>
    <w:p>
      <w:pPr>
        <w:pStyle w:val="Normal"/>
        <w:ind w:left="0" w:firstLineChars="0" w:firstLine="0" w:leftChars="1000"/>
      </w:pPr>
      <w:hyperlink w:anchor="page_830">
        <w:r>
          <w:rPr>
            <w:color w:val="0000FF" w:themeColor="hyperlink"/>
            <w:u w:val="single"/>
          </w:rPr>
          <w:t>Introduction to Active Directory integration</w:t>
        </w:r>
      </w:hyperlink>
    </w:p>
    <w:p>
      <w:pPr>
        <w:pStyle w:val="Normal"/>
        <w:ind w:left="0" w:firstLineChars="0" w:firstLine="0" w:leftChars="1000"/>
      </w:pPr>
      <w:hyperlink w:anchor="page_831">
        <w:r>
          <w:rPr>
            <w:color w:val="0000FF" w:themeColor="hyperlink"/>
            <w:u w:val="single"/>
          </w:rPr>
          <w:t>References</w:t>
        </w:r>
      </w:hyperlink>
    </w:p>
    <w:p>
      <w:pPr>
        <w:pStyle w:val="Normal"/>
        <w:ind w:left="0" w:firstLineChars="0" w:firstLine="0" w:leftChars="1000"/>
      </w:pPr>
      <w:hyperlink w:anchor="page_831">
        <w:r>
          <w:rPr>
            <w:color w:val="0000FF" w:themeColor="hyperlink"/>
            <w:u w:val="single"/>
          </w:rPr>
          <w:t>Configuration</w:t>
        </w:r>
      </w:hyperlink>
    </w:p>
    <w:p>
      <w:pPr>
        <w:pStyle w:val="Normal"/>
        <w:ind w:left="0" w:firstLineChars="0" w:firstLine="0" w:leftChars="1000"/>
      </w:pPr>
      <w:hyperlink w:anchor="Top_of_index_split_240_html">
        <w:r>
          <w:rPr>
            <w:color w:val="0000FF" w:themeColor="hyperlink"/>
            <w:u w:val="single"/>
          </w:rPr>
          <w:t>Choosing an integration method</w:t>
        </w:r>
      </w:hyperlink>
    </w:p>
    <w:p>
      <w:pPr>
        <w:pStyle w:val="Normal"/>
        <w:ind w:left="0" w:firstLineChars="0" w:firstLine="0" w:leftChars="1000"/>
      </w:pPr>
      <w:hyperlink w:anchor="Top_of_index_split_241_html">
        <w:r>
          <w:rPr>
            <w:color w:val="0000FF" w:themeColor="hyperlink"/>
            <w:u w:val="single"/>
          </w:rPr>
          <w:t>Security identifiers (SIDs)</w:t>
        </w:r>
      </w:hyperlink>
    </w:p>
    <w:p>
      <w:pPr>
        <w:pStyle w:val="Normal"/>
        <w:ind w:left="0" w:firstLineChars="0" w:firstLine="0" w:leftChars="1000"/>
      </w:pPr>
      <w:hyperlink w:anchor="page_834">
        <w:r>
          <w:rPr>
            <w:color w:val="0000FF" w:themeColor="hyperlink"/>
            <w:u w:val="single"/>
          </w:rPr>
          <w:t>Identity Mapping (idmap) backends</w:t>
        </w:r>
      </w:hyperlink>
    </w:p>
    <w:p>
      <w:pPr>
        <w:pStyle w:val="Normal"/>
        <w:ind w:left="0" w:firstLineChars="0" w:firstLine="0" w:leftChars="1000"/>
      </w:pPr>
      <w:hyperlink w:anchor="page_835">
        <w:r>
          <w:rPr>
            <w:color w:val="0000FF" w:themeColor="hyperlink"/>
            <w:u w:val="single"/>
          </w:rPr>
          <w:t>The RID IDMap backend</w:t>
        </w:r>
      </w:hyperlink>
    </w:p>
    <w:p>
      <w:pPr>
        <w:pStyle w:val="Normal"/>
        <w:ind w:left="0" w:firstLineChars="0" w:firstLine="0" w:leftChars="1000"/>
      </w:pPr>
      <w:hyperlink w:anchor="page_836">
        <w:r>
          <w:rPr>
            <w:color w:val="0000FF" w:themeColor="hyperlink"/>
            <w:u w:val="single"/>
          </w:rPr>
          <w:t>Pros and cons of the RID backend</w:t>
        </w:r>
      </w:hyperlink>
    </w:p>
    <w:p>
      <w:pPr>
        <w:pStyle w:val="Normal"/>
        <w:ind w:left="0" w:firstLineChars="0" w:firstLine="0" w:leftChars="1000"/>
      </w:pPr>
      <w:hyperlink w:anchor="page_837">
        <w:r>
          <w:rPr>
            <w:color w:val="0000FF" w:themeColor="hyperlink"/>
            <w:u w:val="single"/>
          </w:rPr>
          <w:t>The AutoRID IDMap backend</w:t>
        </w:r>
      </w:hyperlink>
    </w:p>
    <w:p>
      <w:pPr>
        <w:pStyle w:val="Normal"/>
        <w:ind w:left="0" w:firstLineChars="0" w:firstLine="0" w:leftChars="1000"/>
      </w:pPr>
      <w:hyperlink w:anchor="page_838">
        <w:r>
          <w:rPr>
            <w:color w:val="0000FF" w:themeColor="hyperlink"/>
            <w:u w:val="single"/>
          </w:rPr>
          <w:t>Pros and cons of the AutoRID backend</w:t>
        </w:r>
      </w:hyperlink>
    </w:p>
    <w:p>
      <w:pPr>
        <w:pStyle w:val="Normal"/>
        <w:ind w:left="0" w:firstLineChars="0" w:firstLine="0" w:leftChars="1000"/>
      </w:pPr>
      <w:hyperlink w:anchor="Top_of_index_split_242_html">
        <w:r>
          <w:rPr>
            <w:color w:val="0000FF" w:themeColor="hyperlink"/>
            <w:u w:val="single"/>
          </w:rPr>
          <w:t>See also</w:t>
        </w:r>
      </w:hyperlink>
    </w:p>
    <w:p>
      <w:pPr>
        <w:pStyle w:val="Normal"/>
        <w:ind w:left="0" w:firstLineChars="0" w:firstLine="0" w:leftChars="800"/>
      </w:pPr>
      <w:hyperlink w:anchor="Top_of_index_split_242_html">
        <w:r>
          <w:rPr>
            <w:color w:val="0000FF" w:themeColor="hyperlink"/>
            <w:u w:val="single"/>
          </w:rPr>
          <w:t>See also</w:t>
        </w:r>
      </w:hyperlink>
    </w:p>
    <w:p>
      <w:pPr>
        <w:pStyle w:val="Normal"/>
        <w:ind w:left="0" w:firstLineChars="0" w:firstLine="0" w:leftChars="400"/>
      </w:pPr>
      <w:hyperlink w:anchor="Top_of_index_split_242_html">
        <w:r>
          <w:rPr>
            <w:color w:val="0000FF" w:themeColor="hyperlink"/>
            <w:u w:val="single"/>
          </w:rPr>
          <w:t>Managing software</w:t>
        </w:r>
      </w:hyperlink>
    </w:p>
    <w:p>
      <w:pPr>
        <w:pStyle w:val="Normal"/>
        <w:ind w:left="0" w:firstLineChars="0" w:firstLine="0" w:leftChars="600"/>
      </w:pPr>
      <w:hyperlink w:anchor="Top_of_index_split_242_html">
        <w:r>
          <w:rPr>
            <w:color w:val="0000FF" w:themeColor="hyperlink"/>
            <w:u w:val="single"/>
          </w:rPr>
          <w:t>Managing software</w:t>
        </w:r>
      </w:hyperlink>
    </w:p>
    <w:p>
      <w:pPr>
        <w:pStyle w:val="Normal"/>
        <w:ind w:left="0" w:firstLineChars="0" w:firstLine="0" w:leftChars="800"/>
      </w:pPr>
      <w:hyperlink w:anchor="Top_of_index_split_242_html">
        <w:r>
          <w:rPr>
            <w:color w:val="0000FF" w:themeColor="hyperlink"/>
            <w:u w:val="single"/>
          </w:rPr>
          <w:t>Package sources</w:t>
        </w:r>
      </w:hyperlink>
    </w:p>
    <w:p>
      <w:pPr>
        <w:pStyle w:val="Normal"/>
        <w:ind w:left="0" w:firstLineChars="0" w:firstLine="0" w:leftChars="1000"/>
      </w:pPr>
      <w:hyperlink w:anchor="Top_of_index_split_242_html">
        <w:r>
          <w:rPr>
            <w:color w:val="0000FF" w:themeColor="hyperlink"/>
            <w:u w:val="single"/>
          </w:rPr>
          <w:t>Third party repository usage</w:t>
        </w:r>
      </w:hyperlink>
    </w:p>
    <w:p>
      <w:pPr>
        <w:pStyle w:val="Normal"/>
        <w:ind w:left="0" w:firstLineChars="0" w:firstLine="0" w:leftChars="1000"/>
      </w:pPr>
      <w:hyperlink w:anchor="Top_of_index_split_242_html">
        <w:r>
          <w:rPr>
            <w:color w:val="0000FF" w:themeColor="hyperlink"/>
            <w:u w:val="single"/>
          </w:rPr>
          <w:t>Why not use third party software?</w:t>
        </w:r>
      </w:hyperlink>
    </w:p>
    <w:p>
      <w:pPr>
        <w:pStyle w:val="Normal"/>
        <w:ind w:left="0" w:firstLineChars="0" w:firstLine="0" w:leftChars="1000"/>
      </w:pPr>
      <w:hyperlink w:anchor="page_840">
        <w:r>
          <w:rPr>
            <w:color w:val="0000FF" w:themeColor="hyperlink"/>
            <w:u w:val="single"/>
          </w:rPr>
          <w:t>Security risk</w:t>
        </w:r>
      </w:hyperlink>
    </w:p>
    <w:p>
      <w:pPr>
        <w:pStyle w:val="Normal"/>
        <w:ind w:left="0" w:firstLineChars="0" w:firstLine="0" w:leftChars="1000"/>
      </w:pPr>
      <w:hyperlink w:anchor="page_840">
        <w:r>
          <w:rPr>
            <w:color w:val="0000FF" w:themeColor="hyperlink"/>
            <w:u w:val="single"/>
          </w:rPr>
          <w:t>System integrity</w:t>
        </w:r>
      </w:hyperlink>
    </w:p>
    <w:p>
      <w:pPr>
        <w:pStyle w:val="Normal"/>
        <w:ind w:left="0" w:firstLineChars="0" w:firstLine="0" w:leftChars="1000"/>
      </w:pPr>
      <w:hyperlink w:anchor="Top_of_index_split_243_html">
        <w:r>
          <w:rPr>
            <w:color w:val="0000FF" w:themeColor="hyperlink"/>
            <w:u w:val="single"/>
          </w:rPr>
          <w:t>Lack of official Ubuntu support</w:t>
        </w:r>
      </w:hyperlink>
    </w:p>
    <w:p>
      <w:pPr>
        <w:pStyle w:val="Normal"/>
        <w:ind w:left="0" w:firstLineChars="0" w:firstLine="0" w:leftChars="1000"/>
      </w:pPr>
      <w:hyperlink w:anchor="Top_of_index_split_243_html">
        <w:r>
          <w:rPr>
            <w:color w:val="0000FF" w:themeColor="hyperlink"/>
            <w:u w:val="single"/>
          </w:rPr>
          <w:t>A better solution to third party APT repositories: snaps</w:t>
        </w:r>
      </w:hyperlink>
    </w:p>
    <w:p>
      <w:pPr>
        <w:pStyle w:val="Normal"/>
        <w:ind w:left="0" w:firstLineChars="0" w:firstLine="0" w:leftChars="1000"/>
      </w:pPr>
      <w:hyperlink w:anchor="Top_of_index_split_243_html">
        <w:r>
          <w:rPr>
            <w:color w:val="0000FF" w:themeColor="hyperlink"/>
            <w:u w:val="single"/>
          </w:rPr>
          <w:t>Mitigating the risks</w:t>
        </w:r>
      </w:hyperlink>
    </w:p>
    <w:p>
      <w:pPr>
        <w:pStyle w:val="Normal"/>
        <w:ind w:left="0" w:firstLineChars="0" w:firstLine="0" w:leftChars="1000"/>
      </w:pPr>
      <w:hyperlink w:anchor="Top_of_index_split_243_html">
        <w:r>
          <w:rPr>
            <w:color w:val="0000FF" w:themeColor="hyperlink"/>
            <w:u w:val="single"/>
          </w:rPr>
          <w:t>Security risk mitigation</w:t>
        </w:r>
      </w:hyperlink>
    </w:p>
    <w:p>
      <w:pPr>
        <w:pStyle w:val="Normal"/>
        <w:ind w:left="0" w:firstLineChars="0" w:firstLine="0" w:leftChars="1000"/>
      </w:pPr>
      <w:hyperlink w:anchor="page_842">
        <w:r>
          <w:rPr>
            <w:color w:val="0000FF" w:themeColor="hyperlink"/>
            <w:u w:val="single"/>
          </w:rPr>
          <w:t>System integrity mitigation</w:t>
        </w:r>
      </w:hyperlink>
    </w:p>
    <w:p>
      <w:pPr>
        <w:pStyle w:val="Normal"/>
        <w:ind w:left="0" w:firstLineChars="0" w:firstLine="0" w:leftChars="1000"/>
      </w:pPr>
      <w:hyperlink w:anchor="page_842">
        <w:r>
          <w:rPr>
            <w:color w:val="0000FF" w:themeColor="hyperlink"/>
            <w:u w:val="single"/>
          </w:rPr>
          <w:t>Dealing with third party APT repositories in Ubuntu</w:t>
        </w:r>
      </w:hyperlink>
    </w:p>
    <w:p>
      <w:pPr>
        <w:pStyle w:val="Normal"/>
        <w:ind w:left="0" w:firstLineChars="0" w:firstLine="0" w:leftChars="1000"/>
      </w:pPr>
      <w:hyperlink w:anchor="page_842">
        <w:r>
          <w:rPr>
            <w:color w:val="0000FF" w:themeColor="hyperlink"/>
            <w:u w:val="single"/>
          </w:rPr>
          <w:t>Add the repository</w:t>
        </w:r>
      </w:hyperlink>
    </w:p>
    <w:p>
      <w:pPr>
        <w:pStyle w:val="Normal"/>
        <w:ind w:left="0" w:firstLineChars="0" w:firstLine="0" w:leftChars="1000"/>
      </w:pPr>
      <w:hyperlink w:anchor="page_842">
        <w:r>
          <w:rPr>
            <w:color w:val="0000FF" w:themeColor="hyperlink"/>
            <w:u w:val="single"/>
          </w:rPr>
          <w:t>Fetch the GPG key</w:t>
        </w:r>
      </w:hyperlink>
    </w:p>
    <w:p>
      <w:pPr>
        <w:pStyle w:val="Normal"/>
        <w:ind w:left="0" w:firstLineChars="0" w:firstLine="0" w:leftChars="1000"/>
      </w:pPr>
      <w:hyperlink w:anchor="page_843">
        <w:r>
          <w:rPr>
            <w:color w:val="0000FF" w:themeColor="hyperlink"/>
            <w:u w:val="single"/>
          </w:rPr>
          <w:t>Sources.list entry</w:t>
        </w:r>
      </w:hyperlink>
    </w:p>
    <w:p>
      <w:pPr>
        <w:pStyle w:val="Normal"/>
        <w:ind w:left="0" w:firstLineChars="0" w:firstLine="0" w:leftChars="1000"/>
      </w:pPr>
      <w:hyperlink w:anchor="page_843">
        <w:r>
          <w:rPr>
            <w:color w:val="0000FF" w:themeColor="hyperlink"/>
            <w:u w:val="single"/>
          </w:rPr>
          <w:t>Configure pinning for the repository</w:t>
        </w:r>
      </w:hyperlink>
    </w:p>
    <w:p>
      <w:pPr>
        <w:pStyle w:val="Normal"/>
        <w:ind w:left="0" w:firstLineChars="0" w:firstLine="0" w:leftChars="1000"/>
      </w:pPr>
      <w:hyperlink w:anchor="page_844">
        <w:r>
          <w:rPr>
            <w:color w:val="0000FF" w:themeColor="hyperlink"/>
            <w:u w:val="single"/>
          </w:rPr>
          <w:t>How to remove a repository</w:t>
        </w:r>
      </w:hyperlink>
    </w:p>
    <w:p>
      <w:pPr>
        <w:pStyle w:val="Normal"/>
        <w:ind w:left="0" w:firstLineChars="0" w:firstLine="0" w:leftChars="1000"/>
      </w:pPr>
      <w:hyperlink w:anchor="page_844">
        <w:r>
          <w:rPr>
            <w:color w:val="0000FF" w:themeColor="hyperlink"/>
            <w:u w:val="single"/>
          </w:rPr>
          <w:t>A special case: Ubuntu PPAs</w:t>
        </w:r>
      </w:hyperlink>
    </w:p>
    <w:p>
      <w:pPr>
        <w:pStyle w:val="Normal"/>
        <w:ind w:left="0" w:firstLineChars="0" w:firstLine="0" w:leftChars="800"/>
      </w:pPr>
      <w:hyperlink w:anchor="page_845">
        <w:r>
          <w:rPr>
            <w:color w:val="0000FF" w:themeColor="hyperlink"/>
            <w:u w:val="single"/>
          </w:rPr>
          <w:t>Configuration</w:t>
        </w:r>
      </w:hyperlink>
    </w:p>
    <w:p>
      <w:pPr>
        <w:pStyle w:val="Normal"/>
        <w:ind w:left="0" w:firstLineChars="0" w:firstLine="0" w:leftChars="1000"/>
      </w:pPr>
      <w:hyperlink w:anchor="page_845">
        <w:r>
          <w:rPr>
            <w:color w:val="0000FF" w:themeColor="hyperlink"/>
            <w:u w:val="single"/>
          </w:rPr>
          <w:t>Changing package files</w:t>
        </w:r>
      </w:hyperlink>
    </w:p>
    <w:p>
      <w:pPr>
        <w:pStyle w:val="Normal"/>
        <w:ind w:left="0" w:firstLineChars="0" w:firstLine="0" w:leftChars="1000"/>
      </w:pPr>
      <w:hyperlink w:anchor="page_845">
        <w:r>
          <w:rPr>
            <w:color w:val="0000FF" w:themeColor="hyperlink"/>
            <w:u w:val="single"/>
          </w:rPr>
          <w:t>Configuration files</w:t>
        </w:r>
      </w:hyperlink>
    </w:p>
    <w:p>
      <w:pPr>
        <w:pStyle w:val="Normal"/>
        <w:ind w:left="0" w:firstLineChars="0" w:firstLine="0" w:leftChars="1000"/>
      </w:pPr>
      <w:hyperlink w:anchor="page_846">
        <w:r>
          <w:rPr>
            <w:color w:val="0000FF" w:themeColor="hyperlink"/>
            <w:u w:val="single"/>
          </w:rPr>
          <w:t>Systemd files</w:t>
        </w:r>
      </w:hyperlink>
    </w:p>
    <w:p>
      <w:pPr>
        <w:pStyle w:val="Normal"/>
        <w:ind w:left="0" w:firstLineChars="0" w:firstLine="0" w:leftChars="1000"/>
      </w:pPr>
      <w:hyperlink w:anchor="page_847">
        <w:r>
          <w:rPr>
            <w:color w:val="0000FF" w:themeColor="hyperlink"/>
            <w:u w:val="single"/>
          </w:rPr>
          <w:t>AppArmor</w:t>
        </w:r>
      </w:hyperlink>
    </w:p>
    <w:p>
      <w:pPr>
        <w:pStyle w:val="Normal"/>
        <w:ind w:left="0" w:firstLineChars="0" w:firstLine="0" w:leftChars="1000"/>
      </w:pPr>
      <w:hyperlink w:anchor="page_848">
        <w:r>
          <w:rPr>
            <w:color w:val="0000FF" w:themeColor="hyperlink"/>
            <w:u w:val="single"/>
          </w:rPr>
          <w:t>Restoring configuration files</w:t>
        </w:r>
      </w:hyperlink>
    </w:p>
    <w:p>
      <w:pPr>
        <w:pStyle w:val="Normal"/>
        <w:ind w:left="0" w:firstLineChars="0" w:firstLine="0" w:leftChars="1000"/>
      </w:pPr>
      <w:hyperlink w:anchor="page_850">
        <w:r>
          <w:rPr>
            <w:color w:val="0000FF" w:themeColor="hyperlink"/>
            <w:u w:val="single"/>
          </w:rPr>
          <w:t>Configuration managers</w:t>
        </w:r>
      </w:hyperlink>
    </w:p>
    <w:p>
      <w:pPr>
        <w:pStyle w:val="Normal"/>
        <w:ind w:left="0" w:firstLineChars="0" w:firstLine="0" w:leftChars="1000"/>
      </w:pPr>
      <w:hyperlink w:anchor="Top_of_index_split_244_html">
        <w:r>
          <w:rPr>
            <w:color w:val="0000FF" w:themeColor="hyperlink"/>
            <w:u w:val="single"/>
          </w:rPr>
          <w:t>Ansible</w:t>
        </w:r>
      </w:hyperlink>
    </w:p>
    <w:p>
      <w:pPr>
        <w:pStyle w:val="Normal"/>
        <w:ind w:left="0" w:firstLineChars="0" w:firstLine="0" w:leftChars="1000"/>
      </w:pPr>
      <w:hyperlink w:anchor="Top_of_index_split_244_html">
        <w:r>
          <w:rPr>
            <w:color w:val="0000FF" w:themeColor="hyperlink"/>
            <w:u w:val="single"/>
          </w:rPr>
          <w:t>Puppet</w:t>
        </w:r>
      </w:hyperlink>
    </w:p>
    <w:p>
      <w:pPr>
        <w:pStyle w:val="Normal"/>
        <w:ind w:left="0" w:firstLineChars="0" w:firstLine="0" w:leftChars="1000"/>
      </w:pPr>
      <w:hyperlink w:anchor="Top_of_index_split_244_html">
        <w:r>
          <w:rPr>
            <w:color w:val="0000FF" w:themeColor="hyperlink"/>
            <w:u w:val="single"/>
          </w:rPr>
          <w:t>Further reading</w:t>
        </w:r>
      </w:hyperlink>
    </w:p>
    <w:p>
      <w:pPr>
        <w:pStyle w:val="Normal"/>
        <w:ind w:left="0" w:firstLineChars="0" w:firstLine="0" w:leftChars="800"/>
      </w:pPr>
      <w:hyperlink w:anchor="Top_of_index_split_244_html">
        <w:r>
          <w:rPr>
            <w:color w:val="0000FF" w:themeColor="hyperlink"/>
            <w:u w:val="single"/>
          </w:rPr>
          <w:t>Updates</w:t>
        </w:r>
      </w:hyperlink>
    </w:p>
    <w:p>
      <w:pPr>
        <w:pStyle w:val="Normal"/>
        <w:ind w:left="0" w:firstLineChars="0" w:firstLine="0" w:leftChars="1000"/>
      </w:pPr>
      <w:hyperlink w:anchor="Top_of_index_split_244_html">
        <w:r>
          <w:rPr>
            <w:color w:val="0000FF" w:themeColor="hyperlink"/>
            <w:u w:val="single"/>
          </w:rPr>
          <w:t>About apt upgrade and phased updates</w:t>
        </w:r>
      </w:hyperlink>
    </w:p>
    <w:p>
      <w:pPr>
        <w:pStyle w:val="Normal"/>
        <w:ind w:left="0" w:firstLineChars="0" w:firstLine="0" w:leftChars="1000"/>
      </w:pPr>
      <w:hyperlink w:anchor="page_852">
        <w:r>
          <w:rPr>
            <w:color w:val="0000FF" w:themeColor="hyperlink"/>
            <w:u w:val="single"/>
          </w:rPr>
          <w:t>What are phased updates?</w:t>
        </w:r>
      </w:hyperlink>
    </w:p>
    <w:p>
      <w:pPr>
        <w:pStyle w:val="Normal"/>
        <w:ind w:left="0" w:firstLineChars="0" w:firstLine="0" w:leftChars="1000"/>
      </w:pPr>
      <w:hyperlink w:anchor="page_852">
        <w:r>
          <w:rPr>
            <w:color w:val="0000FF" w:themeColor="hyperlink"/>
            <w:u w:val="single"/>
          </w:rPr>
          <w:t>Why is Ubuntu doing this?</w:t>
        </w:r>
      </w:hyperlink>
    </w:p>
    <w:p>
      <w:pPr>
        <w:pStyle w:val="Normal"/>
        <w:ind w:left="0" w:firstLineChars="0" w:firstLine="0" w:leftChars="1000"/>
      </w:pPr>
      <w:hyperlink w:anchor="page_852">
        <w:r>
          <w:rPr>
            <w:color w:val="0000FF" w:themeColor="hyperlink"/>
            <w:u w:val="single"/>
          </w:rPr>
          <w:t>Can I turn off phased updates?</w:t>
        </w:r>
      </w:hyperlink>
    </w:p>
    <w:p>
      <w:pPr>
        <w:pStyle w:val="Normal"/>
        <w:ind w:left="0" w:firstLineChars="0" w:firstLine="0" w:leftChars="1000"/>
      </w:pPr>
      <w:hyperlink w:anchor="page_853">
        <w:r>
          <w:rPr>
            <w:color w:val="0000FF" w:themeColor="hyperlink"/>
            <w:u w:val="single"/>
          </w:rPr>
          <w:t>Can I apt upgrade the individual packages? (and should I?)</w:t>
        </w:r>
      </w:hyperlink>
    </w:p>
    <w:p>
      <w:pPr>
        <w:pStyle w:val="Normal"/>
        <w:ind w:left="0" w:firstLineChars="0" w:firstLine="0" w:leftChars="1000"/>
      </w:pPr>
      <w:hyperlink w:anchor="page_853">
        <w:r>
          <w:rPr>
            <w:color w:val="0000FF" w:themeColor="hyperlink"/>
            <w:u w:val="single"/>
          </w:rPr>
          <w:t>How do I turn off phased updates?</w:t>
        </w:r>
      </w:hyperlink>
    </w:p>
    <w:p>
      <w:pPr>
        <w:pStyle w:val="Normal"/>
        <w:ind w:left="0" w:firstLineChars="0" w:firstLine="0" w:leftChars="1000"/>
      </w:pPr>
      <w:hyperlink w:anchor="page_853">
        <w:r>
          <w:rPr>
            <w:color w:val="0000FF" w:themeColor="hyperlink"/>
            <w:u w:val="single"/>
          </w:rPr>
          <w:t>Why is this suddenly happening now?</w:t>
        </w:r>
      </w:hyperlink>
    </w:p>
    <w:p>
      <w:pPr>
        <w:pStyle w:val="Normal"/>
        <w:ind w:left="0" w:firstLineChars="0" w:firstLine="0" w:leftChars="1000"/>
      </w:pPr>
      <w:hyperlink w:anchor="page_853">
        <w:r>
          <w:rPr>
            <w:color w:val="0000FF" w:themeColor="hyperlink"/>
            <w:u w:val="single"/>
          </w:rPr>
          <w:t>How does it actually work?</w:t>
        </w:r>
      </w:hyperlink>
    </w:p>
    <w:p>
      <w:pPr>
        <w:pStyle w:val="Normal"/>
        <w:ind w:left="0" w:firstLineChars="0" w:firstLine="0" w:leftChars="1000"/>
      </w:pPr>
      <w:hyperlink w:anchor="page_854">
        <w:r>
          <w:rPr>
            <w:color w:val="0000FF" w:themeColor="hyperlink"/>
            <w:u w:val="single"/>
          </w:rPr>
          <w:t>How can I find out more information about currently phased packages?</w:t>
        </w:r>
      </w:hyperlink>
    </w:p>
    <w:p>
      <w:pPr>
        <w:pStyle w:val="Normal"/>
        <w:ind w:left="0" w:firstLineChars="0" w:firstLine="0" w:leftChars="1000"/>
      </w:pPr>
      <w:hyperlink w:anchor="page_854">
        <w:r>
          <w:rPr>
            <w:color w:val="0000FF" w:themeColor="hyperlink"/>
            <w:u w:val="single"/>
          </w:rPr>
          <w:t>Further reading</w:t>
        </w:r>
      </w:hyperlink>
    </w:p>
    <w:p>
      <w:pPr>
        <w:pStyle w:val="Normal"/>
        <w:ind w:left="0" w:firstLineChars="0" w:firstLine="0" w:leftChars="1000"/>
      </w:pPr>
      <w:hyperlink w:anchor="page_854">
        <w:r>
          <w:rPr>
            <w:color w:val="0000FF" w:themeColor="hyperlink"/>
            <w:u w:val="single"/>
          </w:rPr>
          <w:t>Advance testing of updates in best-practice server deployments</w:t>
        </w:r>
      </w:hyperlink>
    </w:p>
    <w:p>
      <w:pPr>
        <w:pStyle w:val="Normal"/>
        <w:ind w:left="0" w:firstLineChars="0" w:firstLine="0" w:leftChars="1000"/>
      </w:pPr>
      <w:hyperlink w:anchor="page_855">
        <w:r>
          <w:rPr>
            <w:color w:val="0000FF" w:themeColor="hyperlink"/>
            <w:u w:val="single"/>
          </w:rPr>
          <w:t>Information about proposed updates</w:t>
        </w:r>
      </w:hyperlink>
    </w:p>
    <w:p>
      <w:pPr>
        <w:pStyle w:val="Normal"/>
        <w:ind w:left="0" w:firstLineChars="0" w:firstLine="0" w:leftChars="1000"/>
      </w:pPr>
      <w:hyperlink w:anchor="page_855">
        <w:r>
          <w:rPr>
            <w:color w:val="0000FF" w:themeColor="hyperlink"/>
            <w:u w:val="single"/>
          </w:rPr>
          <w:t>Testing a single proposed update</w:t>
        </w:r>
      </w:hyperlink>
    </w:p>
    <w:p>
      <w:pPr>
        <w:pStyle w:val="Normal"/>
        <w:ind w:left="0" w:firstLineChars="0" w:firstLine="0" w:leftChars="1000"/>
      </w:pPr>
      <w:hyperlink w:anchor="page_855">
        <w:r>
          <w:rPr>
            <w:color w:val="0000FF" w:themeColor="hyperlink"/>
            <w:u w:val="single"/>
          </w:rPr>
          <w:t>Test all proposed updates together</w:t>
        </w:r>
      </w:hyperlink>
    </w:p>
    <w:p>
      <w:pPr>
        <w:pStyle w:val="Normal"/>
        <w:ind w:left="0" w:firstLineChars="0" w:firstLine="0" w:leftChars="1000"/>
      </w:pPr>
      <w:hyperlink w:anchor="page_856">
        <w:r>
          <w:rPr>
            <w:color w:val="0000FF" w:themeColor="hyperlink"/>
            <w:u w:val="single"/>
          </w:rPr>
          <w:t>How to report a regression</w:t>
        </w:r>
      </w:hyperlink>
    </w:p>
    <w:p>
      <w:pPr>
        <w:pStyle w:val="Normal"/>
        <w:ind w:left="0" w:firstLineChars="0" w:firstLine="0" w:leftChars="800"/>
      </w:pPr>
      <w:hyperlink w:anchor="page_856">
        <w:r>
          <w:rPr>
            <w:color w:val="0000FF" w:themeColor="hyperlink"/>
            <w:u w:val="single"/>
          </w:rPr>
          <w:t>See also</w:t>
        </w:r>
      </w:hyperlink>
    </w:p>
    <w:p>
      <w:pPr>
        <w:pStyle w:val="Normal"/>
        <w:ind w:left="0" w:firstLineChars="0" w:firstLine="0" w:leftChars="400"/>
      </w:pPr>
      <w:hyperlink w:anchor="page_856">
        <w:r>
          <w:rPr>
            <w:color w:val="0000FF" w:themeColor="hyperlink"/>
            <w:u w:val="single"/>
          </w:rPr>
          <w:t>Storage</w:t>
        </w:r>
      </w:hyperlink>
    </w:p>
    <w:p>
      <w:pPr>
        <w:pStyle w:val="Normal"/>
        <w:ind w:left="0" w:firstLineChars="0" w:firstLine="0" w:leftChars="600"/>
      </w:pPr>
      <w:hyperlink w:anchor="Top_of_index_split_245_html">
        <w:r>
          <w:rPr>
            <w:color w:val="0000FF" w:themeColor="hyperlink"/>
            <w:u w:val="single"/>
          </w:rPr>
          <w:t>Data and storage</w:t>
        </w:r>
      </w:hyperlink>
    </w:p>
    <w:p>
      <w:pPr>
        <w:pStyle w:val="Normal"/>
        <w:ind w:left="0" w:firstLineChars="0" w:firstLine="0" w:leftChars="800"/>
      </w:pPr>
      <w:hyperlink w:anchor="Top_of_index_split_245_html">
        <w:r>
          <w:rPr>
            <w:color w:val="0000FF" w:themeColor="hyperlink"/>
            <w:u w:val="single"/>
          </w:rPr>
          <w:t>Data management</w:t>
        </w:r>
      </w:hyperlink>
    </w:p>
    <w:p>
      <w:pPr>
        <w:pStyle w:val="Normal"/>
        <w:ind w:left="0" w:firstLineChars="0" w:firstLine="0" w:leftChars="1000"/>
      </w:pPr>
      <w:hyperlink w:anchor="Top_of_index_split_245_html">
        <w:r>
          <w:rPr>
            <w:color w:val="0000FF" w:themeColor="hyperlink"/>
            <w:u w:val="single"/>
          </w:rPr>
          <w:t>Introduction to OpenLDAP</w:t>
        </w:r>
      </w:hyperlink>
    </w:p>
    <w:p>
      <w:pPr>
        <w:pStyle w:val="Normal"/>
        <w:ind w:left="0" w:firstLineChars="0" w:firstLine="0" w:leftChars="1000"/>
      </w:pPr>
      <w:hyperlink w:anchor="Top_of_index_split_245_html">
        <w:r>
          <w:rPr>
            <w:color w:val="0000FF" w:themeColor="hyperlink"/>
            <w:u w:val="single"/>
          </w:rPr>
          <w:t>Key concepts and terms</w:t>
        </w:r>
      </w:hyperlink>
    </w:p>
    <w:p>
      <w:pPr>
        <w:pStyle w:val="Normal"/>
        <w:ind w:left="0" w:firstLineChars="0" w:firstLine="0" w:leftChars="1000"/>
      </w:pPr>
      <w:hyperlink w:anchor="page_858">
        <w:r>
          <w:rPr>
            <w:color w:val="0000FF" w:themeColor="hyperlink"/>
            <w:u w:val="single"/>
          </w:rPr>
          <w:t>Our OpenLDAP guide</w:t>
        </w:r>
      </w:hyperlink>
    </w:p>
    <w:p>
      <w:pPr>
        <w:pStyle w:val="Normal"/>
        <w:ind w:left="0" w:firstLineChars="0" w:firstLine="0" w:leftChars="1000"/>
      </w:pPr>
      <w:hyperlink w:anchor="page_859">
        <w:r>
          <w:rPr>
            <w:color w:val="0000FF" w:themeColor="hyperlink"/>
            <w:u w:val="single"/>
          </w:rPr>
          <w:t>References</w:t>
        </w:r>
      </w:hyperlink>
    </w:p>
    <w:p>
      <w:pPr>
        <w:pStyle w:val="Normal"/>
        <w:ind w:left="0" w:firstLineChars="0" w:firstLine="0" w:leftChars="1000"/>
      </w:pPr>
      <w:hyperlink w:anchor="page_859">
        <w:r>
          <w:rPr>
            <w:color w:val="0000FF" w:themeColor="hyperlink"/>
            <w:u w:val="single"/>
          </w:rPr>
          <w:t>Introduction to databases</w:t>
        </w:r>
      </w:hyperlink>
    </w:p>
    <w:p>
      <w:pPr>
        <w:pStyle w:val="Normal"/>
        <w:ind w:left="0" w:firstLineChars="0" w:firstLine="0" w:leftChars="800"/>
      </w:pPr>
      <w:hyperlink w:anchor="page_859">
        <w:r>
          <w:rPr>
            <w:color w:val="0000FF" w:themeColor="hyperlink"/>
            <w:u w:val="single"/>
          </w:rPr>
          <w:t>Storage</w:t>
        </w:r>
      </w:hyperlink>
    </w:p>
    <w:p>
      <w:pPr>
        <w:pStyle w:val="Normal"/>
        <w:ind w:left="0" w:firstLineChars="0" w:firstLine="0" w:leftChars="1000"/>
      </w:pPr>
      <w:hyperlink w:anchor="Top_of_index_split_246_html">
        <w:r>
          <w:rPr>
            <w:color w:val="0000FF" w:themeColor="hyperlink"/>
            <w:u w:val="single"/>
          </w:rPr>
          <w:t>Storage</w:t>
        </w:r>
      </w:hyperlink>
    </w:p>
    <w:p>
      <w:pPr>
        <w:pStyle w:val="Normal"/>
        <w:ind w:left="0" w:firstLineChars="0" w:firstLine="0" w:leftChars="1000"/>
      </w:pPr>
      <w:hyperlink w:anchor="Top_of_index_split_246_html">
        <w:r>
          <w:rPr>
            <w:color w:val="0000FF" w:themeColor="hyperlink"/>
            <w:u w:val="single"/>
          </w:rPr>
          <w:t>About Logical Volume Management (LVM)</w:t>
        </w:r>
      </w:hyperlink>
    </w:p>
    <w:p>
      <w:pPr>
        <w:pStyle w:val="Normal"/>
        <w:ind w:left="0" w:firstLineChars="0" w:firstLine="0" w:leftChars="1000"/>
      </w:pPr>
      <w:hyperlink w:anchor="Top_of_index_split_246_html">
        <w:r>
          <w:rPr>
            <w:color w:val="0000FF" w:themeColor="hyperlink"/>
            <w:u w:val="single"/>
          </w:rPr>
          <w:t>Key concepts</w:t>
        </w:r>
      </w:hyperlink>
    </w:p>
    <w:p>
      <w:pPr>
        <w:pStyle w:val="Normal"/>
        <w:ind w:left="0" w:firstLineChars="0" w:firstLine="0" w:leftChars="1000"/>
      </w:pPr>
      <w:hyperlink w:anchor="Top_of_index_split_246_html">
        <w:r>
          <w:rPr>
            <w:color w:val="0000FF" w:themeColor="hyperlink"/>
            <w:u w:val="single"/>
          </w:rPr>
          <w:t>Resizing partitions</w:t>
        </w:r>
      </w:hyperlink>
    </w:p>
    <w:p>
      <w:pPr>
        <w:pStyle w:val="Normal"/>
        <w:ind w:left="0" w:firstLineChars="0" w:firstLine="0" w:leftChars="1000"/>
      </w:pPr>
      <w:hyperlink w:anchor="Top_of_index_split_246_html">
        <w:r>
          <w:rPr>
            <w:color w:val="0000FF" w:themeColor="hyperlink"/>
            <w:u w:val="single"/>
          </w:rPr>
          <w:t>Moving Partitions</w:t>
        </w:r>
      </w:hyperlink>
    </w:p>
    <w:p>
      <w:pPr>
        <w:pStyle w:val="Normal"/>
        <w:ind w:left="0" w:firstLineChars="0" w:firstLine="0" w:leftChars="1000"/>
      </w:pPr>
      <w:hyperlink w:anchor="page_861">
        <w:r>
          <w:rPr>
            <w:color w:val="0000FF" w:themeColor="hyperlink"/>
            <w:u w:val="single"/>
          </w:rPr>
          <w:t>Snapshots</w:t>
        </w:r>
      </w:hyperlink>
    </w:p>
    <w:p>
      <w:pPr>
        <w:pStyle w:val="Normal"/>
        <w:ind w:left="0" w:firstLineChars="0" w:firstLine="0" w:leftChars="1000"/>
      </w:pPr>
      <w:hyperlink w:anchor="page_861">
        <w:r>
          <w:rPr>
            <w:color w:val="0000FF" w:themeColor="hyperlink"/>
            <w:u w:val="single"/>
          </w:rPr>
          <w:t>See also</w:t>
        </w:r>
      </w:hyperlink>
    </w:p>
    <w:p>
      <w:pPr>
        <w:pStyle w:val="Normal"/>
        <w:ind w:left="0" w:firstLineChars="0" w:firstLine="0" w:leftChars="1000"/>
      </w:pPr>
      <w:hyperlink w:anchor="page_861">
        <w:r>
          <w:rPr>
            <w:color w:val="0000FF" w:themeColor="hyperlink"/>
            <w:u w:val="single"/>
          </w:rPr>
          <w:t>Multipath</w:t>
        </w:r>
      </w:hyperlink>
    </w:p>
    <w:p>
      <w:pPr>
        <w:pStyle w:val="Normal"/>
        <w:ind w:left="0" w:firstLineChars="0" w:firstLine="0" w:leftChars="1000"/>
      </w:pPr>
      <w:hyperlink w:anchor="page_861">
        <w:r>
          <w:rPr>
            <w:color w:val="0000FF" w:themeColor="hyperlink"/>
            <w:u w:val="single"/>
          </w:rPr>
          <w:t>Introduction</w:t>
        </w:r>
      </w:hyperlink>
    </w:p>
    <w:p>
      <w:pPr>
        <w:pStyle w:val="Normal"/>
        <w:ind w:left="0" w:firstLineChars="0" w:firstLine="0" w:leftChars="1000"/>
      </w:pPr>
      <w:hyperlink w:anchor="page_861">
        <w:r>
          <w:rPr>
            <w:color w:val="0000FF" w:themeColor="hyperlink"/>
            <w:u w:val="single"/>
          </w:rPr>
          <w:t>Configuration</w:t>
        </w:r>
      </w:hyperlink>
    </w:p>
    <w:p>
      <w:pPr>
        <w:pStyle w:val="Normal"/>
        <w:ind w:left="0" w:firstLineChars="0" w:firstLine="0" w:leftChars="1000"/>
      </w:pPr>
      <w:hyperlink w:anchor="page_861">
        <w:r>
          <w:rPr>
            <w:color w:val="0000FF" w:themeColor="hyperlink"/>
            <w:u w:val="single"/>
          </w:rPr>
          <w:t>Introduction to device mapper multipathing (“multipath”)</w:t>
        </w:r>
      </w:hyperlink>
    </w:p>
    <w:p>
      <w:pPr>
        <w:pStyle w:val="Normal"/>
        <w:ind w:left="0" w:firstLineChars="0" w:firstLine="0" w:leftChars="1000"/>
      </w:pPr>
      <w:hyperlink w:anchor="Top_of_index_split_247_html">
        <w:r>
          <w:rPr>
            <w:color w:val="0000FF" w:themeColor="hyperlink"/>
            <w:u w:val="single"/>
          </w:rPr>
          <w:t>How a multipath device works in practice</w:t>
        </w:r>
      </w:hyperlink>
    </w:p>
    <w:p>
      <w:pPr>
        <w:pStyle w:val="Normal"/>
        <w:ind w:left="0" w:firstLineChars="0" w:firstLine="0" w:leftChars="1000"/>
      </w:pPr>
      <w:hyperlink w:anchor="Top_of_index_split_247_html">
        <w:r>
          <w:rPr>
            <w:color w:val="0000FF" w:themeColor="hyperlink"/>
            <w:u w:val="single"/>
          </w:rPr>
          <w:t>What identifier does a multipath device use?</w:t>
        </w:r>
      </w:hyperlink>
    </w:p>
    <w:p>
      <w:pPr>
        <w:pStyle w:val="Normal"/>
        <w:ind w:left="0" w:firstLineChars="0" w:firstLine="0" w:leftChars="1000"/>
      </w:pPr>
      <w:hyperlink w:anchor="Top_of_index_split_247_html">
        <w:r>
          <w:rPr>
            <w:color w:val="0000FF" w:themeColor="hyperlink"/>
            <w:u w:val="single"/>
          </w:rPr>
          <w:t>What does multipath provide?</w:t>
        </w:r>
      </w:hyperlink>
    </w:p>
    <w:p>
      <w:pPr>
        <w:pStyle w:val="Normal"/>
        <w:ind w:left="0" w:firstLineChars="0" w:firstLine="0" w:leftChars="1000"/>
      </w:pPr>
      <w:hyperlink w:anchor="Top_of_index_split_247_html">
        <w:r>
          <w:rPr>
            <w:color w:val="0000FF" w:themeColor="hyperlink"/>
            <w:u w:val="single"/>
          </w:rPr>
          <w:t>Configuring multipath for a storage system</w:t>
        </w:r>
      </w:hyperlink>
    </w:p>
    <w:p>
      <w:pPr>
        <w:pStyle w:val="Normal"/>
        <w:ind w:left="0" w:firstLineChars="0" w:firstLine="0" w:leftChars="1000"/>
      </w:pPr>
      <w:hyperlink w:anchor="Top_of_index_split_248_html">
        <w:r>
          <w:rPr>
            <w:color w:val="0000FF" w:themeColor="hyperlink"/>
            <w:u w:val="single"/>
          </w:rPr>
          <w:t>Multipath components</w:t>
        </w:r>
      </w:hyperlink>
    </w:p>
    <w:p>
      <w:pPr>
        <w:pStyle w:val="Normal"/>
        <w:ind w:left="0" w:firstLineChars="0" w:firstLine="0" w:leftChars="1000"/>
      </w:pPr>
      <w:hyperlink w:anchor="Top_of_index_split_248_html">
        <w:r>
          <w:rPr>
            <w:color w:val="0000FF" w:themeColor="hyperlink"/>
            <w:u w:val="single"/>
          </w:rPr>
          <w:t>Multipath setup overview</w:t>
        </w:r>
      </w:hyperlink>
    </w:p>
    <w:p>
      <w:pPr>
        <w:pStyle w:val="Normal"/>
        <w:ind w:left="0" w:firstLineChars="0" w:firstLine="0" w:leftChars="1000"/>
      </w:pPr>
      <w:hyperlink w:anchor="Top_of_index_split_248_html">
        <w:r>
          <w:rPr>
            <w:color w:val="0000FF" w:themeColor="hyperlink"/>
            <w:u w:val="single"/>
          </w:rPr>
          <w:t>Example of a multipath device in use</w:t>
        </w:r>
      </w:hyperlink>
    </w:p>
    <w:p>
      <w:pPr>
        <w:pStyle w:val="Normal"/>
        <w:ind w:left="0" w:firstLineChars="0" w:firstLine="0" w:leftChars="1000"/>
      </w:pPr>
      <w:hyperlink w:anchor="page_864">
        <w:r>
          <w:rPr>
            <w:color w:val="0000FF" w:themeColor="hyperlink"/>
            <w:u w:val="single"/>
          </w:rPr>
          <w:t>Consistent multipath device names in a cluster</w:t>
        </w:r>
      </w:hyperlink>
    </w:p>
    <w:p>
      <w:pPr>
        <w:pStyle w:val="Normal"/>
        <w:ind w:left="0" w:firstLineChars="0" w:firstLine="0" w:leftChars="1000"/>
      </w:pPr>
      <w:hyperlink w:anchor="page_865">
        <w:r>
          <w:rPr>
            <w:color w:val="0000FF" w:themeColor="hyperlink"/>
            <w:u w:val="single"/>
          </w:rPr>
          <w:t>Multipath device attributes</w:t>
        </w:r>
      </w:hyperlink>
    </w:p>
    <w:p>
      <w:pPr>
        <w:pStyle w:val="Normal"/>
        <w:ind w:left="0" w:firstLineChars="0" w:firstLine="0" w:leftChars="1000"/>
      </w:pPr>
      <w:hyperlink w:anchor="page_865">
        <w:r>
          <w:rPr>
            <w:color w:val="0000FF" w:themeColor="hyperlink"/>
            <w:u w:val="single"/>
          </w:rPr>
          <w:t>Multipath devices in logical volumes</w:t>
        </w:r>
      </w:hyperlink>
    </w:p>
    <w:p>
      <w:pPr>
        <w:pStyle w:val="Normal"/>
        <w:ind w:left="0" w:firstLineChars="0" w:firstLine="0" w:leftChars="1000"/>
      </w:pPr>
      <w:hyperlink w:anchor="page_866">
        <w:r>
          <w:rPr>
            <w:color w:val="0000FF" w:themeColor="hyperlink"/>
            <w:u w:val="single"/>
          </w:rPr>
          <w:t>Multipath configuration options and overview</w:t>
        </w:r>
      </w:hyperlink>
    </w:p>
    <w:p>
      <w:pPr>
        <w:pStyle w:val="Normal"/>
        <w:ind w:left="0" w:firstLineChars="0" w:firstLine="0" w:leftChars="1000"/>
      </w:pPr>
      <w:hyperlink w:anchor="page_866">
        <w:r>
          <w:rPr>
            <w:color w:val="0000FF" w:themeColor="hyperlink"/>
            <w:u w:val="single"/>
          </w:rPr>
          <w:t>Configuration file overview</w:t>
        </w:r>
      </w:hyperlink>
    </w:p>
    <w:p>
      <w:pPr>
        <w:pStyle w:val="Normal"/>
        <w:ind w:left="0" w:firstLineChars="0" w:firstLine="0" w:leftChars="1000"/>
      </w:pPr>
      <w:hyperlink w:anchor="Top_of_index_split_249_html">
        <w:r>
          <w:rPr>
            <w:color w:val="0000FF" w:themeColor="hyperlink"/>
            <w:u w:val="single"/>
          </w:rPr>
          <w:t>Configuration file defaults</w:t>
        </w:r>
      </w:hyperlink>
    </w:p>
    <w:p>
      <w:pPr>
        <w:pStyle w:val="Normal"/>
        <w:ind w:left="0" w:firstLineChars="0" w:firstLine="0" w:leftChars="1000"/>
      </w:pPr>
      <w:hyperlink w:anchor="page_869">
        <w:r>
          <w:rPr>
            <w:color w:val="0000FF" w:themeColor="hyperlink"/>
            <w:u w:val="single"/>
          </w:rPr>
          <w:t>Configuration file blocklist and exceptions</w:t>
        </w:r>
      </w:hyperlink>
    </w:p>
    <w:p>
      <w:pPr>
        <w:pStyle w:val="Normal"/>
        <w:ind w:left="0" w:firstLineChars="0" w:firstLine="0" w:leftChars="1000"/>
      </w:pPr>
      <w:hyperlink w:anchor="page_869">
        <w:r>
          <w:rPr>
            <w:color w:val="0000FF" w:themeColor="hyperlink"/>
            <w:u w:val="single"/>
          </w:rPr>
          <w:t>By devnode</w:t>
        </w:r>
      </w:hyperlink>
    </w:p>
    <w:p>
      <w:pPr>
        <w:pStyle w:val="Normal"/>
        <w:ind w:left="0" w:firstLineChars="0" w:firstLine="0" w:leftChars="1000"/>
      </w:pPr>
      <w:hyperlink w:anchor="page_869">
        <w:r>
          <w:rPr>
            <w:color w:val="0000FF" w:themeColor="hyperlink"/>
            <w:u w:val="single"/>
          </w:rPr>
          <w:t>By wwid</w:t>
        </w:r>
      </w:hyperlink>
    </w:p>
    <w:p>
      <w:pPr>
        <w:pStyle w:val="Normal"/>
        <w:ind w:left="0" w:firstLineChars="0" w:firstLine="0" w:leftChars="1000"/>
      </w:pPr>
      <w:hyperlink w:anchor="page_869">
        <w:r>
          <w:rPr>
            <w:color w:val="0000FF" w:themeColor="hyperlink"/>
            <w:u w:val="single"/>
          </w:rPr>
          <w:t>By device</w:t>
        </w:r>
      </w:hyperlink>
    </w:p>
    <w:p>
      <w:pPr>
        <w:pStyle w:val="Normal"/>
        <w:ind w:left="0" w:firstLineChars="0" w:firstLine="0" w:leftChars="1000"/>
      </w:pPr>
      <w:hyperlink w:anchor="page_870">
        <w:r>
          <w:rPr>
            <w:color w:val="0000FF" w:themeColor="hyperlink"/>
            <w:u w:val="single"/>
          </w:rPr>
          <w:t>By property</w:t>
        </w:r>
      </w:hyperlink>
    </w:p>
    <w:p>
      <w:pPr>
        <w:pStyle w:val="Normal"/>
        <w:ind w:left="0" w:firstLineChars="0" w:firstLine="0" w:leftChars="1000"/>
      </w:pPr>
      <w:hyperlink w:anchor="page_870">
        <w:r>
          <w:rPr>
            <w:color w:val="0000FF" w:themeColor="hyperlink"/>
            <w:u w:val="single"/>
          </w:rPr>
          <w:t>Blocklist by protocol</w:t>
        </w:r>
      </w:hyperlink>
    </w:p>
    <w:p>
      <w:pPr>
        <w:pStyle w:val="Normal"/>
        <w:ind w:left="0" w:firstLineChars="0" w:firstLine="0" w:leftChars="1000"/>
      </w:pPr>
      <w:hyperlink w:anchor="page_870">
        <w:r>
          <w:rPr>
            <w:color w:val="0000FF" w:themeColor="hyperlink"/>
            <w:u w:val="single"/>
          </w:rPr>
          <w:t>Blocklist exceptions</w:t>
        </w:r>
      </w:hyperlink>
    </w:p>
    <w:p>
      <w:pPr>
        <w:pStyle w:val="Normal"/>
        <w:ind w:left="0" w:firstLineChars="0" w:firstLine="0" w:leftChars="1000"/>
      </w:pPr>
      <w:hyperlink w:anchor="page_870">
        <w:r>
          <w:rPr>
            <w:color w:val="0000FF" w:themeColor="hyperlink"/>
            <w:u w:val="single"/>
          </w:rPr>
          <w:t>Configuration file multipath section</w:t>
        </w:r>
      </w:hyperlink>
    </w:p>
    <w:p>
      <w:pPr>
        <w:pStyle w:val="Normal"/>
        <w:ind w:left="0" w:firstLineChars="0" w:firstLine="0" w:leftChars="1000"/>
      </w:pPr>
      <w:hyperlink w:anchor="page_871">
        <w:r>
          <w:rPr>
            <w:color w:val="0000FF" w:themeColor="hyperlink"/>
            <w:u w:val="single"/>
          </w:rPr>
          <w:t>Optional attributes</w:t>
        </w:r>
      </w:hyperlink>
    </w:p>
    <w:p>
      <w:pPr>
        <w:pStyle w:val="Normal"/>
        <w:ind w:left="0" w:firstLineChars="0" w:firstLine="0" w:leftChars="1000"/>
      </w:pPr>
      <w:hyperlink w:anchor="Top_of_index_split_250_html">
        <w:r>
          <w:rPr>
            <w:color w:val="0000FF" w:themeColor="hyperlink"/>
            <w:u w:val="single"/>
          </w:rPr>
          <w:t>Example</w:t>
        </w:r>
      </w:hyperlink>
    </w:p>
    <w:p>
      <w:pPr>
        <w:pStyle w:val="Normal"/>
        <w:ind w:left="0" w:firstLineChars="0" w:firstLine="0" w:leftChars="1000"/>
      </w:pPr>
      <w:hyperlink w:anchor="Top_of_index_split_250_html">
        <w:r>
          <w:rPr>
            <w:color w:val="0000FF" w:themeColor="hyperlink"/>
            <w:u w:val="single"/>
          </w:rPr>
          <w:t>Configuration file devices section</w:t>
        </w:r>
      </w:hyperlink>
    </w:p>
    <w:p>
      <w:pPr>
        <w:pStyle w:val="Normal"/>
        <w:ind w:left="0" w:firstLineChars="0" w:firstLine="0" w:leftChars="1000"/>
      </w:pPr>
      <w:hyperlink w:anchor="page_873">
        <w:r>
          <w:rPr>
            <w:color w:val="0000FF" w:themeColor="hyperlink"/>
            <w:u w:val="single"/>
          </w:rPr>
          <w:t>Optional attributes</w:t>
        </w:r>
      </w:hyperlink>
    </w:p>
    <w:p>
      <w:pPr>
        <w:pStyle w:val="Normal"/>
        <w:ind w:left="0" w:firstLineChars="0" w:firstLine="0" w:leftChars="1000"/>
      </w:pPr>
      <w:hyperlink w:anchor="page_874">
        <w:r>
          <w:rPr>
            <w:color w:val="0000FF" w:themeColor="hyperlink"/>
            <w:u w:val="single"/>
          </w:rPr>
          <w:t>Example</w:t>
        </w:r>
      </w:hyperlink>
    </w:p>
    <w:p>
      <w:pPr>
        <w:pStyle w:val="Normal"/>
        <w:ind w:left="0" w:firstLineChars="0" w:firstLine="0" w:leftChars="1000"/>
      </w:pPr>
      <w:hyperlink w:anchor="page_874">
        <w:r>
          <w:rPr>
            <w:color w:val="0000FF" w:themeColor="hyperlink"/>
            <w:u w:val="single"/>
          </w:rPr>
          <w:t>Multipath configuration examples</w:t>
        </w:r>
      </w:hyperlink>
    </w:p>
    <w:p>
      <w:pPr>
        <w:pStyle w:val="Normal"/>
        <w:ind w:left="0" w:firstLineChars="0" w:firstLine="0" w:leftChars="1000"/>
      </w:pPr>
      <w:hyperlink w:anchor="Top_of_index_split_251_html">
        <w:r>
          <w:rPr>
            <w:color w:val="0000FF" w:themeColor="hyperlink"/>
            <w:u w:val="single"/>
          </w:rPr>
          <w:t>Basic setup</w:t>
        </w:r>
      </w:hyperlink>
    </w:p>
    <w:p>
      <w:pPr>
        <w:pStyle w:val="Normal"/>
        <w:ind w:left="0" w:firstLineChars="0" w:firstLine="0" w:leftChars="1000"/>
      </w:pPr>
      <w:hyperlink w:anchor="Top_of_index_split_251_html">
        <w:r>
          <w:rPr>
            <w:color w:val="0000FF" w:themeColor="hyperlink"/>
            <w:u w:val="single"/>
          </w:rPr>
          <w:t>Example of a defaults section</w:t>
        </w:r>
      </w:hyperlink>
    </w:p>
    <w:p>
      <w:pPr>
        <w:pStyle w:val="Normal"/>
        <w:ind w:left="0" w:firstLineChars="0" w:firstLine="0" w:leftChars="1000"/>
      </w:pPr>
      <w:hyperlink w:anchor="page_881">
        <w:r>
          <w:rPr>
            <w:color w:val="0000FF" w:themeColor="hyperlink"/>
            <w:u w:val="single"/>
          </w:rPr>
          <w:t>Example of a multipaths section</w:t>
        </w:r>
      </w:hyperlink>
    </w:p>
    <w:p>
      <w:pPr>
        <w:pStyle w:val="Normal"/>
        <w:ind w:left="0" w:firstLineChars="0" w:firstLine="0" w:leftChars="1000"/>
      </w:pPr>
      <w:hyperlink w:anchor="page_882">
        <w:r>
          <w:rPr>
            <w:color w:val="0000FF" w:themeColor="hyperlink"/>
            <w:u w:val="single"/>
          </w:rPr>
          <w:t>Example of a devices section</w:t>
        </w:r>
      </w:hyperlink>
    </w:p>
    <w:p>
      <w:pPr>
        <w:pStyle w:val="Normal"/>
        <w:ind w:left="0" w:firstLineChars="0" w:firstLine="0" w:leftChars="1000"/>
      </w:pPr>
      <w:hyperlink w:anchor="page_882">
        <w:r>
          <w:rPr>
            <w:color w:val="0000FF" w:themeColor="hyperlink"/>
            <w:u w:val="single"/>
          </w:rPr>
          <w:t>Example of a blocklist section</w:t>
        </w:r>
      </w:hyperlink>
    </w:p>
    <w:p>
      <w:pPr>
        <w:pStyle w:val="Normal"/>
        <w:ind w:left="0" w:firstLineChars="0" w:firstLine="0" w:leftChars="1000"/>
      </w:pPr>
      <w:hyperlink w:anchor="page_882">
        <w:r>
          <w:rPr>
            <w:color w:val="0000FF" w:themeColor="hyperlink"/>
            <w:u w:val="single"/>
          </w:rPr>
          <w:t>Example of a blocklist exception section</w:t>
        </w:r>
      </w:hyperlink>
    </w:p>
    <w:p>
      <w:pPr>
        <w:pStyle w:val="Normal"/>
        <w:ind w:left="0" w:firstLineChars="0" w:firstLine="0" w:leftChars="1000"/>
      </w:pPr>
      <w:hyperlink w:anchor="page_883">
        <w:r>
          <w:rPr>
            <w:color w:val="0000FF" w:themeColor="hyperlink"/>
            <w:u w:val="single"/>
          </w:rPr>
          <w:t>Common tasks and procedures</w:t>
        </w:r>
      </w:hyperlink>
    </w:p>
    <w:p>
      <w:pPr>
        <w:pStyle w:val="Normal"/>
        <w:ind w:left="0" w:firstLineChars="0" w:firstLine="0" w:leftChars="1000"/>
      </w:pPr>
      <w:hyperlink w:anchor="page_883">
        <w:r>
          <w:rPr>
            <w:color w:val="0000FF" w:themeColor="hyperlink"/>
            <w:u w:val="single"/>
          </w:rPr>
          <w:t>Resizing online multipath devices</w:t>
        </w:r>
      </w:hyperlink>
    </w:p>
    <w:p>
      <w:pPr>
        <w:pStyle w:val="Normal"/>
        <w:ind w:left="0" w:firstLineChars="0" w:firstLine="0" w:leftChars="1000"/>
      </w:pPr>
      <w:hyperlink w:anchor="page_884">
        <w:r>
          <w:rPr>
            <w:color w:val="0000FF" w:themeColor="hyperlink"/>
            <w:u w:val="single"/>
          </w:rPr>
          <w:t>Move root file system from a single path device to a multipath device</w:t>
        </w:r>
      </w:hyperlink>
    </w:p>
    <w:p>
      <w:pPr>
        <w:pStyle w:val="Normal"/>
        <w:ind w:left="0" w:firstLineChars="0" w:firstLine="0" w:leftChars="1000"/>
      </w:pPr>
      <w:hyperlink w:anchor="page_885">
        <w:r>
          <w:rPr>
            <w:color w:val="0000FF" w:themeColor="hyperlink"/>
            <w:u w:val="single"/>
          </w:rPr>
          <w:t>The multipathd daemon</w:t>
        </w:r>
      </w:hyperlink>
    </w:p>
    <w:p>
      <w:pPr>
        <w:pStyle w:val="Normal"/>
        <w:ind w:left="0" w:firstLineChars="0" w:firstLine="0" w:leftChars="1000"/>
      </w:pPr>
      <w:hyperlink w:anchor="page_885">
        <w:r>
          <w:rPr>
            <w:color w:val="0000FF" w:themeColor="hyperlink"/>
            <w:u w:val="single"/>
          </w:rPr>
          <w:t>Multipath command output</w:t>
        </w:r>
      </w:hyperlink>
    </w:p>
    <w:p>
      <w:pPr>
        <w:pStyle w:val="Normal"/>
        <w:ind w:left="0" w:firstLineChars="0" w:firstLine="0" w:leftChars="1000"/>
      </w:pPr>
      <w:hyperlink w:anchor="Top_of_index_split_252_html">
        <w:r>
          <w:rPr>
            <w:color w:val="0000FF" w:themeColor="hyperlink"/>
            <w:u w:val="single"/>
          </w:rPr>
          <w:t>Multipath queries with the multipath command</w:t>
        </w:r>
      </w:hyperlink>
    </w:p>
    <w:p>
      <w:pPr>
        <w:pStyle w:val="Normal"/>
        <w:ind w:left="0" w:firstLineChars="0" w:firstLine="0" w:leftChars="1000"/>
      </w:pPr>
      <w:hyperlink w:anchor="Top_of_index_split_252_html">
        <w:r>
          <w:rPr>
            <w:color w:val="0000FF" w:themeColor="hyperlink"/>
            <w:u w:val="single"/>
          </w:rPr>
          <w:t>Determining device mapper entries with dmsetup</w:t>
        </w:r>
      </w:hyperlink>
    </w:p>
    <w:p>
      <w:pPr>
        <w:pStyle w:val="Normal"/>
        <w:ind w:left="0" w:firstLineChars="0" w:firstLine="0" w:leftChars="1000"/>
      </w:pPr>
      <w:hyperlink w:anchor="page_887">
        <w:r>
          <w:rPr>
            <w:color w:val="0000FF" w:themeColor="hyperlink"/>
            <w:u w:val="single"/>
          </w:rPr>
          <w:t>Troubleshooting with the multipathd interactive console</w:t>
        </w:r>
      </w:hyperlink>
    </w:p>
    <w:p>
      <w:pPr>
        <w:pStyle w:val="Normal"/>
        <w:ind w:left="0" w:firstLineChars="0" w:firstLine="0" w:leftChars="800"/>
      </w:pPr>
      <w:hyperlink w:anchor="page_887">
        <w:r>
          <w:rPr>
            <w:color w:val="0000FF" w:themeColor="hyperlink"/>
            <w:u w:val="single"/>
          </w:rPr>
          <w:t>See also</w:t>
        </w:r>
      </w:hyperlink>
    </w:p>
    <w:p>
      <w:pPr>
        <w:pStyle w:val="Normal"/>
        <w:ind w:left="0" w:firstLineChars="0" w:firstLine="0" w:leftChars="400"/>
      </w:pPr>
      <w:hyperlink w:anchor="page_887">
        <w:r>
          <w:rPr>
            <w:color w:val="0000FF" w:themeColor="hyperlink"/>
            <w:u w:val="single"/>
          </w:rPr>
          <w:t>Web services</w:t>
        </w:r>
      </w:hyperlink>
    </w:p>
    <w:p>
      <w:pPr>
        <w:pStyle w:val="Normal"/>
        <w:ind w:left="0" w:firstLineChars="0" w:firstLine="0" w:leftChars="600"/>
      </w:pPr>
      <w:hyperlink w:anchor="page_887">
        <w:r>
          <w:rPr>
            <w:color w:val="0000FF" w:themeColor="hyperlink"/>
            <w:u w:val="single"/>
          </w:rPr>
          <w:t>Web services</w:t>
        </w:r>
      </w:hyperlink>
    </w:p>
    <w:p>
      <w:pPr>
        <w:pStyle w:val="Normal"/>
        <w:ind w:left="0" w:firstLineChars="0" w:firstLine="0" w:leftChars="800"/>
      </w:pPr>
      <w:hyperlink w:anchor="Top_of_index_split_253_html">
        <w:r>
          <w:rPr>
            <w:color w:val="0000FF" w:themeColor="hyperlink"/>
            <w:u w:val="single"/>
          </w:rPr>
          <w:t>Introduction</w:t>
        </w:r>
      </w:hyperlink>
    </w:p>
    <w:p>
      <w:pPr>
        <w:pStyle w:val="Normal"/>
        <w:ind w:left="0" w:firstLineChars="0" w:firstLine="0" w:leftChars="1000"/>
      </w:pPr>
      <w:hyperlink w:anchor="Top_of_index_split_253_html">
        <w:r>
          <w:rPr>
            <w:color w:val="0000FF" w:themeColor="hyperlink"/>
            <w:u w:val="single"/>
          </w:rPr>
          <w:t>Introduction to web services</w:t>
        </w:r>
      </w:hyperlink>
    </w:p>
    <w:p>
      <w:pPr>
        <w:pStyle w:val="Normal"/>
        <w:ind w:left="0" w:firstLineChars="0" w:firstLine="0" w:leftChars="1000"/>
      </w:pPr>
      <w:hyperlink w:anchor="Top_of_index_split_253_html">
        <w:r>
          <w:rPr>
            <w:color w:val="0000FF" w:themeColor="hyperlink"/>
            <w:u w:val="single"/>
          </w:rPr>
          <w:t>Squid proxy server</w:t>
        </w:r>
      </w:hyperlink>
    </w:p>
    <w:p>
      <w:pPr>
        <w:pStyle w:val="Normal"/>
        <w:ind w:left="0" w:firstLineChars="0" w:firstLine="0" w:leftChars="1000"/>
      </w:pPr>
      <w:hyperlink w:anchor="Top_of_index_split_253_html">
        <w:r>
          <w:rPr>
            <w:color w:val="0000FF" w:themeColor="hyperlink"/>
            <w:u w:val="single"/>
          </w:rPr>
          <w:t>Web servers</w:t>
        </w:r>
      </w:hyperlink>
    </w:p>
    <w:p>
      <w:pPr>
        <w:pStyle w:val="Normal"/>
        <w:ind w:left="0" w:firstLineChars="0" w:firstLine="0" w:leftChars="1000"/>
      </w:pPr>
      <w:hyperlink w:anchor="Top_of_index_split_253_html">
        <w:r>
          <w:rPr>
            <w:color w:val="0000FF" w:themeColor="hyperlink"/>
            <w:u w:val="single"/>
          </w:rPr>
          <w:t>Database server</w:t>
        </w:r>
      </w:hyperlink>
    </w:p>
    <w:p>
      <w:pPr>
        <w:pStyle w:val="Normal"/>
        <w:ind w:left="0" w:firstLineChars="0" w:firstLine="0" w:leftChars="1000"/>
      </w:pPr>
      <w:hyperlink w:anchor="Top_of_index_split_254_html">
        <w:r>
          <w:rPr>
            <w:color w:val="0000FF" w:themeColor="hyperlink"/>
            <w:u w:val="single"/>
          </w:rPr>
          <w:t>Scripting languages</w:t>
        </w:r>
      </w:hyperlink>
    </w:p>
    <w:p>
      <w:pPr>
        <w:pStyle w:val="Normal"/>
        <w:ind w:left="0" w:firstLineChars="0" w:firstLine="0" w:leftChars="800"/>
      </w:pPr>
      <w:hyperlink w:anchor="Top_of_index_split_254_html">
        <w:r>
          <w:rPr>
            <w:color w:val="0000FF" w:themeColor="hyperlink"/>
            <w:u w:val="single"/>
          </w:rPr>
          <w:t>Key concepts</w:t>
        </w:r>
      </w:hyperlink>
    </w:p>
    <w:p>
      <w:pPr>
        <w:pStyle w:val="Normal"/>
        <w:ind w:left="0" w:firstLineChars="0" w:firstLine="0" w:leftChars="1000"/>
      </w:pPr>
      <w:hyperlink w:anchor="Top_of_index_split_254_html">
        <w:r>
          <w:rPr>
            <w:color w:val="0000FF" w:themeColor="hyperlink"/>
            <w:u w:val="single"/>
          </w:rPr>
          <w:t>About web servers</w:t>
        </w:r>
      </w:hyperlink>
    </w:p>
    <w:p>
      <w:pPr>
        <w:pStyle w:val="Normal"/>
        <w:ind w:left="0" w:firstLineChars="0" w:firstLine="0" w:leftChars="1000"/>
      </w:pPr>
      <w:hyperlink w:anchor="Top_of_index_split_254_html">
        <w:r>
          <w:rPr>
            <w:color w:val="0000FF" w:themeColor="hyperlink"/>
            <w:u w:val="single"/>
          </w:rPr>
          <w:t>URLs</w:t>
        </w:r>
      </w:hyperlink>
    </w:p>
    <w:p>
      <w:pPr>
        <w:pStyle w:val="Normal"/>
        <w:ind w:left="0" w:firstLineChars="0" w:firstLine="0" w:leftChars="1000"/>
      </w:pPr>
      <w:hyperlink w:anchor="Top_of_index_split_254_html">
        <w:r>
          <w:rPr>
            <w:color w:val="0000FF" w:themeColor="hyperlink"/>
            <w:u w:val="single"/>
          </w:rPr>
          <w:t>Transfer protocols</w:t>
        </w:r>
      </w:hyperlink>
    </w:p>
    <w:p>
      <w:pPr>
        <w:pStyle w:val="Normal"/>
        <w:ind w:left="0" w:firstLineChars="0" w:firstLine="0" w:leftChars="1000"/>
      </w:pPr>
      <w:hyperlink w:anchor="Top_of_index_split_255_html">
        <w:r>
          <w:rPr>
            <w:color w:val="0000FF" w:themeColor="hyperlink"/>
            <w:u w:val="single"/>
          </w:rPr>
          <w:t>HTTP status codes</w:t>
        </w:r>
      </w:hyperlink>
    </w:p>
    <w:p>
      <w:pPr>
        <w:pStyle w:val="Normal"/>
        <w:ind w:left="0" w:firstLineChars="0" w:firstLine="0" w:leftChars="1000"/>
      </w:pPr>
      <w:hyperlink w:anchor="Top_of_index_split_255_html">
        <w:r>
          <w:rPr>
            <w:color w:val="0000FF" w:themeColor="hyperlink"/>
            <w:u w:val="single"/>
          </w:rPr>
          <w:t>Implementation</w:t>
        </w:r>
      </w:hyperlink>
    </w:p>
    <w:p>
      <w:pPr>
        <w:pStyle w:val="Normal"/>
        <w:ind w:left="0" w:firstLineChars="0" w:firstLine="0" w:leftChars="1000"/>
      </w:pPr>
      <w:hyperlink w:anchor="Top_of_index_split_255_html">
        <w:r>
          <w:rPr>
            <w:color w:val="0000FF" w:themeColor="hyperlink"/>
            <w:u w:val="single"/>
          </w:rPr>
          <w:t>About Squid proxy servers</w:t>
        </w:r>
      </w:hyperlink>
    </w:p>
    <w:p>
      <w:pPr>
        <w:pStyle w:val="Normal"/>
        <w:ind w:left="0" w:firstLineChars="0" w:firstLine="0" w:leftChars="1000"/>
      </w:pPr>
      <w:hyperlink w:anchor="Top_of_index_split_256_html">
        <w:r>
          <w:rPr>
            <w:color w:val="0000FF" w:themeColor="hyperlink"/>
            <w:u w:val="single"/>
          </w:rPr>
          <w:t>Caching</w:t>
        </w:r>
      </w:hyperlink>
    </w:p>
    <w:p>
      <w:pPr>
        <w:pStyle w:val="Normal"/>
        <w:ind w:left="0" w:firstLineChars="0" w:firstLine="0" w:leftChars="1000"/>
      </w:pPr>
      <w:hyperlink w:anchor="Top_of_index_split_256_html">
        <w:r>
          <w:rPr>
            <w:color w:val="0000FF" w:themeColor="hyperlink"/>
            <w:u w:val="single"/>
          </w:rPr>
          <w:t>Filtering</w:t>
        </w:r>
      </w:hyperlink>
    </w:p>
    <w:p>
      <w:pPr>
        <w:pStyle w:val="Normal"/>
        <w:ind w:left="0" w:firstLineChars="0" w:firstLine="0" w:leftChars="1000"/>
      </w:pPr>
      <w:hyperlink w:anchor="Top_of_index_split_256_html">
        <w:r>
          <w:rPr>
            <w:color w:val="0000FF" w:themeColor="hyperlink"/>
            <w:u w:val="single"/>
          </w:rPr>
          <w:t>Installing and configuring</w:t>
        </w:r>
      </w:hyperlink>
    </w:p>
    <w:p>
      <w:pPr>
        <w:pStyle w:val="Normal"/>
        <w:ind w:left="0" w:firstLineChars="0" w:firstLine="0" w:leftChars="1000"/>
      </w:pPr>
      <w:hyperlink w:anchor="Top_of_index_split_256_html">
        <w:r>
          <w:rPr>
            <w:color w:val="0000FF" w:themeColor="hyperlink"/>
            <w:u w:val="single"/>
          </w:rPr>
          <w:t>Further reading</w:t>
        </w:r>
      </w:hyperlink>
    </w:p>
    <w:p>
      <w:pPr>
        <w:pStyle w:val="Normal"/>
        <w:ind w:left="0" w:firstLineChars="0" w:firstLine="0" w:leftChars="800"/>
      </w:pPr>
      <w:hyperlink w:anchor="Top_of_index_split_257_html">
        <w:r>
          <w:rPr>
            <w:color w:val="0000FF" w:themeColor="hyperlink"/>
            <w:u w:val="single"/>
          </w:rPr>
          <w:t>See also</w:t>
        </w:r>
      </w:hyperlink>
    </w:p>
    <w:p>
      <w:pPr>
        <w:pStyle w:val="Normal"/>
        <w:ind w:left="0" w:firstLineChars="0" w:firstLine="0" w:leftChars="400"/>
      </w:pPr>
      <w:hyperlink w:anchor="Top_of_index_split_257_html">
        <w:r>
          <w:rPr>
            <w:color w:val="0000FF" w:themeColor="hyperlink"/>
            <w:u w:val="single"/>
          </w:rPr>
          <w:t>Virtualisation and containers</w:t>
        </w:r>
      </w:hyperlink>
    </w:p>
    <w:p>
      <w:pPr>
        <w:pStyle w:val="Normal"/>
        <w:ind w:left="0" w:firstLineChars="0" w:firstLine="0" w:leftChars="600"/>
      </w:pPr>
      <w:hyperlink w:anchor="Top_of_index_split_257_html">
        <w:r>
          <w:rPr>
            <w:color w:val="0000FF" w:themeColor="hyperlink"/>
            <w:u w:val="single"/>
          </w:rPr>
          <w:t>Virtualisation and containers</w:t>
        </w:r>
      </w:hyperlink>
    </w:p>
    <w:p>
      <w:pPr>
        <w:pStyle w:val="Normal"/>
        <w:ind w:left="0" w:firstLineChars="0" w:firstLine="0" w:leftChars="800"/>
      </w:pPr>
      <w:hyperlink w:anchor="Top_of_index_split_257_html">
        <w:r>
          <w:rPr>
            <w:color w:val="0000FF" w:themeColor="hyperlink"/>
            <w:u w:val="single"/>
          </w:rPr>
          <w:t>Introduction to virtualization</w:t>
        </w:r>
      </w:hyperlink>
    </w:p>
    <w:p>
      <w:pPr>
        <w:pStyle w:val="Normal"/>
        <w:ind w:left="0" w:firstLineChars="0" w:firstLine="0" w:leftChars="1000"/>
      </w:pPr>
      <w:hyperlink w:anchor="Top_of_index_split_257_html">
        <w:r>
          <w:rPr>
            <w:color w:val="0000FF" w:themeColor="hyperlink"/>
            <w:u w:val="single"/>
          </w:rPr>
          <w:t>Virtual machines</w:t>
        </w:r>
      </w:hyperlink>
    </w:p>
    <w:p>
      <w:pPr>
        <w:pStyle w:val="Normal"/>
        <w:ind w:left="0" w:firstLineChars="0" w:firstLine="0" w:leftChars="1000"/>
      </w:pPr>
      <w:hyperlink w:anchor="Top_of_index_split_257_html">
        <w:r>
          <w:rPr>
            <w:color w:val="0000FF" w:themeColor="hyperlink"/>
            <w:u w:val="single"/>
          </w:rPr>
          <w:t>Containers</w:t>
        </w:r>
      </w:hyperlink>
    </w:p>
    <w:p>
      <w:pPr>
        <w:pStyle w:val="Normal"/>
        <w:ind w:left="0" w:firstLineChars="0" w:firstLine="0" w:leftChars="1000"/>
      </w:pPr>
      <w:hyperlink w:anchor="page_893">
        <w:r>
          <w:rPr>
            <w:color w:val="0000FF" w:themeColor="hyperlink"/>
            <w:u w:val="single"/>
          </w:rPr>
          <w:t>System containers</w:t>
        </w:r>
      </w:hyperlink>
    </w:p>
    <w:p>
      <w:pPr>
        <w:pStyle w:val="Normal"/>
        <w:ind w:left="0" w:firstLineChars="0" w:firstLine="0" w:leftChars="1000"/>
      </w:pPr>
      <w:hyperlink w:anchor="page_893">
        <w:r>
          <w:rPr>
            <w:color w:val="0000FF" w:themeColor="hyperlink"/>
            <w:u w:val="single"/>
          </w:rPr>
          <w:t>Application containers</w:t>
        </w:r>
      </w:hyperlink>
    </w:p>
    <w:p>
      <w:pPr>
        <w:pStyle w:val="Normal"/>
        <w:ind w:left="0" w:firstLineChars="0" w:firstLine="0" w:leftChars="800"/>
      </w:pPr>
      <w:hyperlink w:anchor="page_893">
        <w:r>
          <w:rPr>
            <w:color w:val="0000FF" w:themeColor="hyperlink"/>
            <w:u w:val="single"/>
          </w:rPr>
          <w:t>Virtualization</w:t>
        </w:r>
      </w:hyperlink>
    </w:p>
    <w:p>
      <w:pPr>
        <w:pStyle w:val="Normal"/>
        <w:ind w:left="0" w:firstLineChars="0" w:firstLine="0" w:leftChars="1000"/>
      </w:pPr>
      <w:hyperlink w:anchor="page_893">
        <w:r>
          <w:rPr>
            <w:color w:val="0000FF" w:themeColor="hyperlink"/>
            <w:u w:val="single"/>
          </w:rPr>
          <w:t>VM tools in the Ubuntu space</w:t>
        </w:r>
      </w:hyperlink>
    </w:p>
    <w:p>
      <w:pPr>
        <w:pStyle w:val="Normal"/>
        <w:ind w:left="0" w:firstLineChars="0" w:firstLine="0" w:leftChars="1000"/>
      </w:pPr>
      <w:hyperlink w:anchor="page_893">
        <w:r>
          <w:rPr>
            <w:color w:val="0000FF" w:themeColor="hyperlink"/>
            <w:u w:val="single"/>
          </w:rPr>
          <w:t>KVM</w:t>
        </w:r>
      </w:hyperlink>
    </w:p>
    <w:p>
      <w:pPr>
        <w:pStyle w:val="Normal"/>
        <w:ind w:left="0" w:firstLineChars="0" w:firstLine="0" w:leftChars="1000"/>
      </w:pPr>
      <w:hyperlink w:anchor="Top_of_index_split_258_html">
        <w:r>
          <w:rPr>
            <w:color w:val="0000FF" w:themeColor="hyperlink"/>
            <w:u w:val="single"/>
          </w:rPr>
          <w:t>QEMU</w:t>
        </w:r>
      </w:hyperlink>
    </w:p>
    <w:p>
      <w:pPr>
        <w:pStyle w:val="Normal"/>
        <w:ind w:left="0" w:firstLineChars="0" w:firstLine="0" w:leftChars="1000"/>
      </w:pPr>
      <w:hyperlink w:anchor="Top_of_index_split_258_html">
        <w:r>
          <w:rPr>
            <w:color w:val="0000FF" w:themeColor="hyperlink"/>
            <w:u w:val="single"/>
          </w:rPr>
          <w:t>libvirt</w:t>
        </w:r>
      </w:hyperlink>
    </w:p>
    <w:p>
      <w:pPr>
        <w:pStyle w:val="Normal"/>
        <w:ind w:left="0" w:firstLineChars="0" w:firstLine="0" w:leftChars="1000"/>
      </w:pPr>
      <w:hyperlink w:anchor="Top_of_index_split_258_html">
        <w:r>
          <w:rPr>
            <w:color w:val="0000FF" w:themeColor="hyperlink"/>
            <w:u w:val="single"/>
          </w:rPr>
          <w:t>Multipass and UVtool</w:t>
        </w:r>
      </w:hyperlink>
    </w:p>
    <w:p>
      <w:pPr>
        <w:pStyle w:val="Normal"/>
        <w:ind w:left="0" w:firstLineChars="0" w:firstLine="0" w:leftChars="1000"/>
      </w:pPr>
      <w:hyperlink w:anchor="page_895">
        <w:r>
          <w:rPr>
            <w:color w:val="0000FF" w:themeColor="hyperlink"/>
            <w:u w:val="single"/>
          </w:rPr>
          <w:t>virt-manager</w:t>
        </w:r>
      </w:hyperlink>
    </w:p>
    <w:p>
      <w:pPr>
        <w:pStyle w:val="Normal"/>
        <w:ind w:left="0" w:firstLineChars="0" w:firstLine="0" w:leftChars="1000"/>
      </w:pPr>
      <w:hyperlink w:anchor="page_895">
        <w:r>
          <w:rPr>
            <w:color w:val="0000FF" w:themeColor="hyperlink"/>
            <w:u w:val="single"/>
          </w:rPr>
          <w:t>QEMU microvm</w:t>
        </w:r>
      </w:hyperlink>
    </w:p>
    <w:p>
      <w:pPr>
        <w:pStyle w:val="Normal"/>
        <w:ind w:left="0" w:firstLineChars="0" w:firstLine="0" w:leftChars="1000"/>
      </w:pPr>
      <w:hyperlink w:anchor="page_895">
        <w:r>
          <w:rPr>
            <w:color w:val="0000FF" w:themeColor="hyperlink"/>
            <w:u w:val="single"/>
          </w:rPr>
          <w:t>Why a special workload?</w:t>
        </w:r>
      </w:hyperlink>
    </w:p>
    <w:p>
      <w:pPr>
        <w:pStyle w:val="Normal"/>
        <w:ind w:left="0" w:firstLineChars="0" w:firstLine="0" w:leftChars="1000"/>
      </w:pPr>
      <w:hyperlink w:anchor="page_896">
        <w:r>
          <w:rPr>
            <w:color w:val="0000FF" w:themeColor="hyperlink"/>
            <w:u w:val="single"/>
          </w:rPr>
          <w:t>Create the example workload artifact</w:t>
        </w:r>
      </w:hyperlink>
    </w:p>
    <w:p>
      <w:pPr>
        <w:pStyle w:val="Normal"/>
        <w:ind w:left="0" w:firstLineChars="0" w:firstLine="0" w:leftChars="1000"/>
      </w:pPr>
      <w:hyperlink w:anchor="page_897">
        <w:r>
          <w:rPr>
            <w:color w:val="0000FF" w:themeColor="hyperlink"/>
            <w:u w:val="single"/>
          </w:rPr>
          <w:t>Run the stripped workload in QEMU</w:t>
        </w:r>
      </w:hyperlink>
    </w:p>
    <w:p>
      <w:pPr>
        <w:pStyle w:val="Normal"/>
        <w:ind w:left="0" w:firstLineChars="0" w:firstLine="0" w:leftChars="1000"/>
      </w:pPr>
      <w:hyperlink w:anchor="page_899">
        <w:r>
          <w:rPr>
            <w:color w:val="0000FF" w:themeColor="hyperlink"/>
            <w:u w:val="single"/>
          </w:rPr>
          <w:t>Using qboot and microvm</w:t>
        </w:r>
      </w:hyperlink>
    </w:p>
    <w:p>
      <w:pPr>
        <w:pStyle w:val="Normal"/>
        <w:ind w:left="0" w:firstLineChars="0" w:firstLine="0" w:leftChars="1000"/>
      </w:pPr>
      <w:hyperlink w:anchor="Top_of_index_split_262_html">
        <w:r>
          <w:rPr>
            <w:color w:val="0000FF" w:themeColor="hyperlink"/>
            <w:u w:val="single"/>
          </w:rPr>
          <w:t>Alternative - using virtiofs</w:t>
        </w:r>
      </w:hyperlink>
    </w:p>
    <w:p>
      <w:pPr>
        <w:pStyle w:val="Normal"/>
        <w:ind w:left="0" w:firstLineChars="0" w:firstLine="0" w:leftChars="1000"/>
      </w:pPr>
      <w:hyperlink w:anchor="Top_of_index_split_262_html">
        <w:r>
          <w:rPr>
            <w:color w:val="0000FF" w:themeColor="hyperlink"/>
            <w:u w:val="single"/>
          </w:rPr>
          <w:t>Upgrading the machine type of your VM</w:t>
        </w:r>
      </w:hyperlink>
    </w:p>
    <w:p>
      <w:pPr>
        <w:pStyle w:val="Normal"/>
        <w:ind w:left="0" w:firstLineChars="0" w:firstLine="0" w:leftChars="1000"/>
      </w:pPr>
      <w:hyperlink w:anchor="Top_of_index_split_262_html">
        <w:r>
          <w:rPr>
            <w:color w:val="0000FF" w:themeColor="hyperlink"/>
            <w:u w:val="single"/>
          </w:rPr>
          <w:t>Why should you do this for a VM?</w:t>
        </w:r>
      </w:hyperlink>
    </w:p>
    <w:p>
      <w:pPr>
        <w:pStyle w:val="Normal"/>
        <w:ind w:left="0" w:firstLineChars="0" w:firstLine="0" w:leftChars="1000"/>
      </w:pPr>
      <w:hyperlink w:anchor="page_902">
        <w:r>
          <w:rPr>
            <w:color w:val="0000FF" w:themeColor="hyperlink"/>
            <w:u w:val="single"/>
          </w:rPr>
          <w:t>How does this work?</w:t>
        </w:r>
      </w:hyperlink>
    </w:p>
    <w:p>
      <w:pPr>
        <w:pStyle w:val="Normal"/>
        <w:ind w:left="0" w:firstLineChars="0" w:firstLine="0" w:leftChars="1000"/>
      </w:pPr>
      <w:hyperlink w:anchor="page_902">
        <w:r>
          <w:rPr>
            <w:color w:val="0000FF" w:themeColor="hyperlink"/>
            <w:u w:val="single"/>
          </w:rPr>
          <w:t>Backing up guest definitions</w:t>
        </w:r>
      </w:hyperlink>
    </w:p>
    <w:p>
      <w:pPr>
        <w:pStyle w:val="Normal"/>
        <w:ind w:left="0" w:firstLineChars="0" w:firstLine="0" w:leftChars="1000"/>
      </w:pPr>
      <w:hyperlink w:anchor="page_902">
        <w:r>
          <w:rPr>
            <w:color w:val="0000FF" w:themeColor="hyperlink"/>
            <w:u w:val="single"/>
          </w:rPr>
          <w:t>Upgrade the machine type</w:t>
        </w:r>
      </w:hyperlink>
    </w:p>
    <w:p>
      <w:pPr>
        <w:pStyle w:val="Normal"/>
        <w:ind w:left="0" w:firstLineChars="0" w:firstLine="0" w:leftChars="1000"/>
      </w:pPr>
      <w:hyperlink w:anchor="page_902">
        <w:r>
          <w:rPr>
            <w:color w:val="0000FF" w:themeColor="hyperlink"/>
            <w:u w:val="single"/>
          </w:rPr>
          <w:t>Shut down the VM</w:t>
        </w:r>
      </w:hyperlink>
    </w:p>
    <w:p>
      <w:pPr>
        <w:pStyle w:val="Normal"/>
        <w:ind w:left="0" w:firstLineChars="0" w:firstLine="0" w:leftChars="1000"/>
      </w:pPr>
      <w:hyperlink w:anchor="page_902">
        <w:r>
          <w:rPr>
            <w:color w:val="0000FF" w:themeColor="hyperlink"/>
            <w:u w:val="single"/>
          </w:rPr>
          <w:t>Edit the guest definition</w:t>
        </w:r>
      </w:hyperlink>
    </w:p>
    <w:p>
      <w:pPr>
        <w:pStyle w:val="Normal"/>
        <w:ind w:left="0" w:firstLineChars="0" w:firstLine="0" w:leftChars="1000"/>
      </w:pPr>
      <w:hyperlink w:anchor="page_903">
        <w:r>
          <w:rPr>
            <w:color w:val="0000FF" w:themeColor="hyperlink"/>
            <w:u w:val="single"/>
          </w:rPr>
          <w:t>Restart the guest</w:t>
        </w:r>
      </w:hyperlink>
    </w:p>
    <w:p>
      <w:pPr>
        <w:pStyle w:val="Normal"/>
        <w:ind w:left="0" w:firstLineChars="0" w:firstLine="0" w:leftChars="1000"/>
      </w:pPr>
      <w:hyperlink w:anchor="page_903">
        <w:r>
          <w:rPr>
            <w:color w:val="0000FF" w:themeColor="hyperlink"/>
            <w:u w:val="single"/>
          </w:rPr>
          <w:t>Further reading</w:t>
        </w:r>
      </w:hyperlink>
    </w:p>
    <w:p>
      <w:pPr>
        <w:pStyle w:val="Normal"/>
        <w:ind w:left="0" w:firstLineChars="0" w:firstLine="0" w:leftChars="800"/>
      </w:pPr>
      <w:hyperlink w:anchor="page_903">
        <w:r>
          <w:rPr>
            <w:color w:val="0000FF" w:themeColor="hyperlink"/>
            <w:u w:val="single"/>
          </w:rPr>
          <w:t>Containers</w:t>
        </w:r>
      </w:hyperlink>
    </w:p>
    <w:p>
      <w:pPr>
        <w:pStyle w:val="Normal"/>
        <w:ind w:left="0" w:firstLineChars="0" w:firstLine="0" w:leftChars="1000"/>
      </w:pPr>
      <w:hyperlink w:anchor="page_904">
        <w:r>
          <w:rPr>
            <w:color w:val="0000FF" w:themeColor="hyperlink"/>
            <w:u w:val="single"/>
          </w:rPr>
          <w:t>Container tools in the Ubuntu space</w:t>
        </w:r>
      </w:hyperlink>
    </w:p>
    <w:p>
      <w:pPr>
        <w:pStyle w:val="Normal"/>
        <w:ind w:left="0" w:firstLineChars="0" w:firstLine="0" w:leftChars="1000"/>
      </w:pPr>
      <w:hyperlink w:anchor="page_904">
        <w:r>
          <w:rPr>
            <w:color w:val="0000FF" w:themeColor="hyperlink"/>
            <w:u w:val="single"/>
          </w:rPr>
          <w:t>LXC</w:t>
        </w:r>
      </w:hyperlink>
    </w:p>
    <w:p>
      <w:pPr>
        <w:pStyle w:val="Normal"/>
        <w:ind w:left="0" w:firstLineChars="0" w:firstLine="0" w:leftChars="1000"/>
      </w:pPr>
      <w:hyperlink w:anchor="page_904">
        <w:r>
          <w:rPr>
            <w:color w:val="0000FF" w:themeColor="hyperlink"/>
            <w:u w:val="single"/>
          </w:rPr>
          <w:t>LXD</w:t>
        </w:r>
      </w:hyperlink>
    </w:p>
    <w:p>
      <w:pPr>
        <w:pStyle w:val="Normal"/>
        <w:ind w:left="0" w:firstLineChars="0" w:firstLine="0" w:leftChars="1000"/>
      </w:pPr>
      <w:hyperlink w:anchor="Top_of_index_split_263_html">
        <w:r>
          <w:rPr>
            <w:color w:val="0000FF" w:themeColor="hyperlink"/>
            <w:u w:val="single"/>
          </w:rPr>
          <w:t>Docker</w:t>
        </w:r>
      </w:hyperlink>
    </w:p>
    <w:p>
      <w:pPr>
        <w:pStyle w:val="Normal"/>
        <w:ind w:left="0" w:firstLineChars="0" w:firstLine="0" w:leftChars="1000"/>
      </w:pPr>
      <w:hyperlink w:anchor="Top_of_index_split_263_html">
        <w:r>
          <w:rPr>
            <w:color w:val="0000FF" w:themeColor="hyperlink"/>
            <w:u w:val="single"/>
          </w:rPr>
          <w:t>About rock images</w:t>
        </w:r>
      </w:hyperlink>
    </w:p>
    <w:p>
      <w:pPr>
        <w:pStyle w:val="Normal"/>
        <w:ind w:left="0" w:firstLineChars="0" w:firstLine="0" w:leftChars="1000"/>
      </w:pPr>
      <w:hyperlink w:anchor="Top_of_index_split_263_html">
        <w:r>
          <w:rPr>
            <w:color w:val="0000FF" w:themeColor="hyperlink"/>
            <w:u w:val="single"/>
          </w:rPr>
          <w:t>Docker storage, networking, and logging</w:t>
        </w:r>
      </w:hyperlink>
    </w:p>
    <w:p>
      <w:pPr>
        <w:pStyle w:val="Normal"/>
        <w:ind w:left="0" w:firstLineChars="0" w:firstLine="0" w:leftChars="1000"/>
      </w:pPr>
      <w:hyperlink w:anchor="page_906">
        <w:r>
          <w:rPr>
            <w:color w:val="0000FF" w:themeColor="hyperlink"/>
            <w:u w:val="single"/>
          </w:rPr>
          <w:t>Storage</w:t>
        </w:r>
      </w:hyperlink>
    </w:p>
    <w:p>
      <w:pPr>
        <w:pStyle w:val="Normal"/>
        <w:ind w:left="0" w:firstLineChars="0" w:firstLine="0" w:leftChars="1000"/>
      </w:pPr>
      <w:hyperlink w:anchor="page_906">
        <w:r>
          <w:rPr>
            <w:color w:val="0000FF" w:themeColor="hyperlink"/>
            <w:u w:val="single"/>
          </w:rPr>
          <w:t>Volumes</w:t>
        </w:r>
      </w:hyperlink>
    </w:p>
    <w:p>
      <w:pPr>
        <w:pStyle w:val="Normal"/>
        <w:ind w:left="0" w:firstLineChars="0" w:firstLine="0" w:leftChars="1000"/>
      </w:pPr>
      <w:hyperlink w:anchor="page_907">
        <w:r>
          <w:rPr>
            <w:color w:val="0000FF" w:themeColor="hyperlink"/>
            <w:u w:val="single"/>
          </w:rPr>
          <w:t>Bind mounts</w:t>
        </w:r>
      </w:hyperlink>
    </w:p>
    <w:p>
      <w:pPr>
        <w:pStyle w:val="Normal"/>
        <w:ind w:left="0" w:firstLineChars="0" w:firstLine="0" w:leftChars="1000"/>
      </w:pPr>
      <w:hyperlink w:anchor="page_908">
        <w:r>
          <w:rPr>
            <w:color w:val="0000FF" w:themeColor="hyperlink"/>
            <w:u w:val="single"/>
          </w:rPr>
          <w:t>Tmpfs</w:t>
        </w:r>
      </w:hyperlink>
    </w:p>
    <w:p>
      <w:pPr>
        <w:pStyle w:val="Normal"/>
        <w:ind w:left="0" w:firstLineChars="0" w:firstLine="0" w:leftChars="1000"/>
      </w:pPr>
      <w:hyperlink w:anchor="page_908">
        <w:r>
          <w:rPr>
            <w:color w:val="0000FF" w:themeColor="hyperlink"/>
            <w:u w:val="single"/>
          </w:rPr>
          <w:t>Storage drivers</w:t>
        </w:r>
      </w:hyperlink>
    </w:p>
    <w:p>
      <w:pPr>
        <w:pStyle w:val="Normal"/>
        <w:ind w:left="0" w:firstLineChars="0" w:firstLine="0" w:leftChars="1000"/>
      </w:pPr>
      <w:hyperlink w:anchor="page_909">
        <w:r>
          <w:rPr>
            <w:color w:val="0000FF" w:themeColor="hyperlink"/>
            <w:u w:val="single"/>
          </w:rPr>
          <w:t>Networking</w:t>
        </w:r>
      </w:hyperlink>
    </w:p>
    <w:p>
      <w:pPr>
        <w:pStyle w:val="Normal"/>
        <w:ind w:left="0" w:firstLineChars="0" w:firstLine="0" w:leftChars="1000"/>
      </w:pPr>
      <w:hyperlink w:anchor="page_909">
        <w:r>
          <w:rPr>
            <w:color w:val="0000FF" w:themeColor="hyperlink"/>
            <w:u w:val="single"/>
          </w:rPr>
          <w:t>Logging</w:t>
        </w:r>
      </w:hyperlink>
    </w:p>
    <w:p>
      <w:pPr>
        <w:pStyle w:val="Normal"/>
        <w:ind w:left="0" w:firstLineChars="0" w:firstLine="0" w:leftChars="1000"/>
      </w:pPr>
      <w:hyperlink w:anchor="page_910">
        <w:r>
          <w:rPr>
            <w:color w:val="0000FF" w:themeColor="hyperlink"/>
            <w:u w:val="single"/>
          </w:rPr>
          <w:t>Resources</w:t>
        </w:r>
      </w:hyperlink>
    </w:p>
    <w:p>
      <w:pPr>
        <w:pStyle w:val="Normal"/>
        <w:ind w:left="0" w:firstLineChars="0" w:firstLine="0" w:leftChars="800"/>
      </w:pPr>
      <w:hyperlink w:anchor="page_910">
        <w:r>
          <w:rPr>
            <w:color w:val="0000FF" w:themeColor="hyperlink"/>
            <w:u w:val="single"/>
          </w:rPr>
          <w:t>Other virtualisation tools</w:t>
        </w:r>
      </w:hyperlink>
    </w:p>
    <w:p>
      <w:pPr>
        <w:pStyle w:val="Normal"/>
        <w:ind w:left="0" w:firstLineChars="0" w:firstLine="0" w:leftChars="1000"/>
      </w:pPr>
      <w:hyperlink w:anchor="page_910">
        <w:r>
          <w:rPr>
            <w:color w:val="0000FF" w:themeColor="hyperlink"/>
            <w:u w:val="single"/>
          </w:rPr>
          <w:t>About OpenStack</w:t>
        </w:r>
      </w:hyperlink>
    </w:p>
    <w:p>
      <w:pPr>
        <w:pStyle w:val="Normal"/>
        <w:ind w:left="0" w:firstLineChars="0" w:firstLine="0" w:leftChars="1000"/>
      </w:pPr>
      <w:hyperlink w:anchor="page_911">
        <w:r>
          <w:rPr>
            <w:color w:val="0000FF" w:themeColor="hyperlink"/>
            <w:u w:val="single"/>
          </w:rPr>
          <w:t>OpenStack installation</w:t>
        </w:r>
      </w:hyperlink>
    </w:p>
    <w:p>
      <w:pPr>
        <w:pStyle w:val="Normal"/>
        <w:ind w:left="0" w:firstLineChars="0" w:firstLine="0" w:leftChars="800"/>
      </w:pPr>
      <w:hyperlink w:anchor="page_911">
        <w:r>
          <w:rPr>
            <w:color w:val="0000FF" w:themeColor="hyperlink"/>
            <w:u w:val="single"/>
          </w:rPr>
          <w:t>See also</w:t>
        </w:r>
      </w:hyperlink>
    </w:p>
    <w:p>
      <w:pPr>
        <w:pStyle w:val="Normal"/>
        <w:ind w:left="0" w:firstLineChars="0" w:firstLine="0" w:leftChars="400"/>
      </w:pPr>
      <w:hyperlink w:anchor="page_911">
        <w:r>
          <w:rPr>
            <w:color w:val="0000FF" w:themeColor="hyperlink"/>
            <w:u w:val="single"/>
          </w:rPr>
          <w:t>Clouds</w:t>
        </w:r>
      </w:hyperlink>
    </w:p>
    <w:p>
      <w:pPr>
        <w:pStyle w:val="Normal"/>
        <w:ind w:left="0" w:firstLineChars="0" w:firstLine="0" w:leftChars="600"/>
      </w:pPr>
      <w:hyperlink w:anchor="Top_of_index_split_264_html">
        <w:r>
          <w:rPr>
            <w:color w:val="0000FF" w:themeColor="hyperlink"/>
            <w:u w:val="single"/>
          </w:rPr>
          <w:t>Clouds</w:t>
        </w:r>
      </w:hyperlink>
    </w:p>
    <w:p>
      <w:pPr>
        <w:pStyle w:val="Normal"/>
        <w:ind w:left="0" w:firstLineChars="0" w:firstLine="0" w:leftChars="800"/>
      </w:pPr>
      <w:hyperlink w:anchor="Top_of_index_split_264_html">
        <w:r>
          <w:rPr>
            <w:color w:val="0000FF" w:themeColor="hyperlink"/>
            <w:u w:val="single"/>
          </w:rPr>
          <w:t>Cloud-init</w:t>
        </w:r>
      </w:hyperlink>
    </w:p>
    <w:p>
      <w:pPr>
        <w:pStyle w:val="Normal"/>
        <w:ind w:left="0" w:firstLineChars="0" w:firstLine="0" w:leftChars="1000"/>
      </w:pPr>
      <w:hyperlink w:anchor="Top_of_index_split_264_html">
        <w:r>
          <w:rPr>
            <w:color w:val="0000FF" w:themeColor="hyperlink"/>
            <w:u w:val="single"/>
          </w:rPr>
          <w:t>Introduction to cloud-init</w:t>
        </w:r>
      </w:hyperlink>
    </w:p>
    <w:p>
      <w:pPr>
        <w:pStyle w:val="Normal"/>
        <w:ind w:left="0" w:firstLineChars="0" w:firstLine="0" w:leftChars="1000"/>
      </w:pPr>
      <w:hyperlink w:anchor="Top_of_index_split_264_html">
        <w:r>
          <w:rPr>
            <w:color w:val="0000FF" w:themeColor="hyperlink"/>
            <w:u w:val="single"/>
          </w:rPr>
          <w:t>How does it work?</w:t>
        </w:r>
      </w:hyperlink>
    </w:p>
    <w:p>
      <w:pPr>
        <w:pStyle w:val="Normal"/>
        <w:ind w:left="0" w:firstLineChars="0" w:firstLine="0" w:leftChars="1000"/>
      </w:pPr>
      <w:hyperlink w:anchor="Top_of_index_split_264_html">
        <w:r>
          <w:rPr>
            <w:color w:val="0000FF" w:themeColor="hyperlink"/>
            <w:u w:val="single"/>
          </w:rPr>
          <w:t>Related products</w:t>
        </w:r>
      </w:hyperlink>
    </w:p>
    <w:p>
      <w:pPr>
        <w:pStyle w:val="Normal"/>
        <w:ind w:left="0" w:firstLineChars="0" w:firstLine="0" w:leftChars="800"/>
      </w:pPr>
      <w:hyperlink w:anchor="page_913">
        <w:r>
          <w:rPr>
            <w:color w:val="0000FF" w:themeColor="hyperlink"/>
            <w:u w:val="single"/>
          </w:rPr>
          <w:t>Cloud images</w:t>
        </w:r>
      </w:hyperlink>
    </w:p>
    <w:p>
      <w:pPr>
        <w:pStyle w:val="Normal"/>
        <w:ind w:left="0" w:firstLineChars="0" w:firstLine="0" w:leftChars="1000"/>
      </w:pPr>
      <w:hyperlink w:anchor="page_913">
        <w:r>
          <w:rPr>
            <w:color w:val="0000FF" w:themeColor="hyperlink"/>
            <w:u w:val="single"/>
          </w:rPr>
          <w:t>Cloud images</w:t>
        </w:r>
      </w:hyperlink>
    </w:p>
    <w:p>
      <w:pPr>
        <w:pStyle w:val="Normal"/>
        <w:ind w:left="0" w:firstLineChars="0" w:firstLine="0" w:leftChars="1000"/>
      </w:pPr>
      <w:hyperlink w:anchor="page_913">
        <w:r>
          <w:rPr>
            <w:color w:val="0000FF" w:themeColor="hyperlink"/>
            <w:u w:val="single"/>
          </w:rPr>
          <w:t>Public clouds</w:t>
        </w:r>
      </w:hyperlink>
    </w:p>
    <w:p>
      <w:pPr>
        <w:pStyle w:val="Normal"/>
        <w:ind w:left="0" w:firstLineChars="0" w:firstLine="0" w:leftChars="1000"/>
      </w:pPr>
      <w:hyperlink w:anchor="page_913">
        <w:r>
          <w:rPr>
            <w:color w:val="0000FF" w:themeColor="hyperlink"/>
            <w:u w:val="single"/>
          </w:rPr>
          <w:t>Compute offerings</w:t>
        </w:r>
      </w:hyperlink>
    </w:p>
    <w:p>
      <w:pPr>
        <w:pStyle w:val="Normal"/>
        <w:ind w:left="0" w:firstLineChars="0" w:firstLine="0" w:leftChars="1000"/>
      </w:pPr>
      <w:hyperlink w:anchor="page_914">
        <w:r>
          <w:rPr>
            <w:color w:val="0000FF" w:themeColor="hyperlink"/>
            <w:u w:val="single"/>
          </w:rPr>
          <w:t>Container offerings</w:t>
        </w:r>
      </w:hyperlink>
    </w:p>
    <w:p>
      <w:pPr>
        <w:pStyle w:val="Normal"/>
        <w:ind w:left="0" w:firstLineChars="0" w:firstLine="0" w:leftChars="1000"/>
      </w:pPr>
      <w:hyperlink w:anchor="page_914">
        <w:r>
          <w:rPr>
            <w:color w:val="0000FF" w:themeColor="hyperlink"/>
            <w:u w:val="single"/>
          </w:rPr>
          <w:t>Private clouds</w:t>
        </w:r>
      </w:hyperlink>
    </w:p>
    <w:p>
      <w:pPr>
        <w:pStyle w:val="Normal"/>
        <w:ind w:left="0" w:firstLineChars="0" w:firstLine="0" w:leftChars="1000"/>
      </w:pPr>
      <w:hyperlink w:anchor="page_914">
        <w:r>
          <w:rPr>
            <w:color w:val="0000FF" w:themeColor="hyperlink"/>
            <w:u w:val="single"/>
          </w:rPr>
          <w:t>Release support</w:t>
        </w:r>
      </w:hyperlink>
    </w:p>
    <w:p>
      <w:pPr>
        <w:pStyle w:val="Normal"/>
        <w:ind w:left="0" w:firstLineChars="0" w:firstLine="0" w:leftChars="400"/>
      </w:pPr>
      <w:hyperlink w:anchor="page_914">
        <w:r>
          <w:rPr>
            <w:color w:val="0000FF" w:themeColor="hyperlink"/>
            <w:u w:val="single"/>
          </w:rPr>
          <w:t>High Availability</w:t>
        </w:r>
      </w:hyperlink>
    </w:p>
    <w:p>
      <w:pPr>
        <w:pStyle w:val="Normal"/>
        <w:ind w:left="0" w:firstLineChars="0" w:firstLine="0" w:leftChars="600"/>
      </w:pPr>
      <w:hyperlink w:anchor="page_915">
        <w:r>
          <w:rPr>
            <w:color w:val="0000FF" w:themeColor="hyperlink"/>
            <w:u w:val="single"/>
          </w:rPr>
          <w:t>High Availability</w:t>
        </w:r>
      </w:hyperlink>
    </w:p>
    <w:p>
      <w:pPr>
        <w:pStyle w:val="Normal"/>
        <w:ind w:left="0" w:firstLineChars="0" w:firstLine="0" w:leftChars="800"/>
      </w:pPr>
      <w:hyperlink w:anchor="page_915">
        <w:r>
          <w:rPr>
            <w:color w:val="0000FF" w:themeColor="hyperlink"/>
            <w:u w:val="single"/>
          </w:rPr>
          <w:t>Introduction</w:t>
        </w:r>
      </w:hyperlink>
    </w:p>
    <w:p>
      <w:pPr>
        <w:pStyle w:val="Normal"/>
        <w:ind w:left="0" w:firstLineChars="0" w:firstLine="0" w:leftChars="800"/>
      </w:pPr>
      <w:hyperlink w:anchor="page_915">
        <w:r>
          <w:rPr>
            <w:color w:val="0000FF" w:themeColor="hyperlink"/>
            <w:u w:val="single"/>
          </w:rPr>
          <w:t>Key concepts</w:t>
        </w:r>
      </w:hyperlink>
    </w:p>
    <w:p>
      <w:pPr>
        <w:pStyle w:val="Normal"/>
        <w:ind w:left="0" w:firstLineChars="0" w:firstLine="0" w:leftChars="1000"/>
      </w:pPr>
      <w:hyperlink w:anchor="page_915">
        <w:r>
          <w:rPr>
            <w:color w:val="0000FF" w:themeColor="hyperlink"/>
            <w:u w:val="single"/>
          </w:rPr>
          <w:t>Introduction to High Availability</w:t>
        </w:r>
      </w:hyperlink>
    </w:p>
    <w:p>
      <w:pPr>
        <w:pStyle w:val="Normal"/>
        <w:ind w:left="0" w:firstLineChars="0" w:firstLine="0" w:leftChars="1000"/>
      </w:pPr>
      <w:hyperlink w:anchor="page_915">
        <w:r>
          <w:rPr>
            <w:color w:val="0000FF" w:themeColor="hyperlink"/>
            <w:u w:val="single"/>
          </w:rPr>
          <w:t>High Availability clusters</w:t>
        </w:r>
      </w:hyperlink>
    </w:p>
    <w:p>
      <w:pPr>
        <w:pStyle w:val="Normal"/>
        <w:ind w:left="0" w:firstLineChars="0" w:firstLine="0" w:leftChars="1000"/>
      </w:pPr>
      <w:hyperlink w:anchor="Top_of_index_split_265_html">
        <w:r>
          <w:rPr>
            <w:color w:val="0000FF" w:themeColor="hyperlink"/>
            <w:u w:val="single"/>
          </w:rPr>
          <w:t>High Availability cluster heartbeat</w:t>
        </w:r>
      </w:hyperlink>
    </w:p>
    <w:p>
      <w:pPr>
        <w:pStyle w:val="Normal"/>
        <w:ind w:left="0" w:firstLineChars="0" w:firstLine="0" w:leftChars="1000"/>
      </w:pPr>
      <w:hyperlink w:anchor="page_917">
        <w:r>
          <w:rPr>
            <w:color w:val="0000FF" w:themeColor="hyperlink"/>
            <w:u w:val="single"/>
          </w:rPr>
          <w:t>High Availability cluster quorum</w:t>
        </w:r>
      </w:hyperlink>
    </w:p>
    <w:p>
      <w:pPr>
        <w:pStyle w:val="Normal"/>
        <w:ind w:left="0" w:firstLineChars="0" w:firstLine="0" w:leftChars="1000"/>
      </w:pPr>
      <w:hyperlink w:anchor="page_917">
        <w:r>
          <w:rPr>
            <w:color w:val="0000FF" w:themeColor="hyperlink"/>
            <w:u w:val="single"/>
          </w:rPr>
          <w:t>Example of HA cluster quorum</w:t>
        </w:r>
      </w:hyperlink>
    </w:p>
    <w:p>
      <w:pPr>
        <w:pStyle w:val="Normal"/>
        <w:ind w:left="0" w:firstLineChars="0" w:firstLine="0" w:leftChars="1000"/>
      </w:pPr>
      <w:hyperlink w:anchor="Top_of_index_split_267_html">
        <w:r>
          <w:rPr>
            <w:color w:val="0000FF" w:themeColor="hyperlink"/>
            <w:u w:val="single"/>
          </w:rPr>
          <w:t>Fencing</w:t>
        </w:r>
      </w:hyperlink>
    </w:p>
    <w:p>
      <w:pPr>
        <w:pStyle w:val="Normal"/>
        <w:ind w:left="0" w:firstLineChars="0" w:firstLine="0" w:leftChars="1000"/>
      </w:pPr>
      <w:hyperlink w:anchor="Top_of_index_split_267_html">
        <w:r>
          <w:rPr>
            <w:color w:val="0000FF" w:themeColor="hyperlink"/>
            <w:u w:val="single"/>
          </w:rPr>
          <w:t>Linux High Availability projects</w:t>
        </w:r>
      </w:hyperlink>
    </w:p>
    <w:p>
      <w:pPr>
        <w:pStyle w:val="Normal"/>
        <w:ind w:left="0" w:firstLineChars="0" w:firstLine="0" w:leftChars="1000"/>
      </w:pPr>
      <w:hyperlink w:anchor="Top_of_index_split_267_html">
        <w:r>
          <w:rPr>
            <w:color w:val="0000FF" w:themeColor="hyperlink"/>
            <w:u w:val="single"/>
          </w:rPr>
          <w:t>Main Ubuntu HA packages</w:t>
        </w:r>
      </w:hyperlink>
    </w:p>
    <w:p>
      <w:pPr>
        <w:pStyle w:val="Normal"/>
        <w:ind w:left="0" w:firstLineChars="0" w:firstLine="0" w:leftChars="1000"/>
      </w:pPr>
      <w:hyperlink w:anchor="page_922">
        <w:r>
          <w:rPr>
            <w:color w:val="0000FF" w:themeColor="hyperlink"/>
            <w:u w:val="single"/>
          </w:rPr>
          <w:t>Ubuntu HA community packages</w:t>
        </w:r>
      </w:hyperlink>
    </w:p>
    <w:p>
      <w:pPr>
        <w:pStyle w:val="Normal"/>
        <w:ind w:left="0" w:firstLineChars="0" w:firstLine="0" w:leftChars="1000"/>
      </w:pPr>
      <w:hyperlink w:anchor="Top_of_index_split_269_html">
        <w:r>
          <w:rPr>
            <w:color w:val="0000FF" w:themeColor="hyperlink"/>
            <w:u w:val="single"/>
          </w:rPr>
          <w:t>Ubuntu HA deprecated packages</w:t>
        </w:r>
      </w:hyperlink>
    </w:p>
    <w:p>
      <w:pPr>
        <w:pStyle w:val="Normal"/>
        <w:ind w:left="0" w:firstLineChars="0" w:firstLine="0" w:leftChars="1000"/>
      </w:pPr>
      <w:hyperlink w:anchor="Top_of_index_split_269_html">
        <w:r>
          <w:rPr>
            <w:color w:val="0000FF" w:themeColor="hyperlink"/>
            <w:u w:val="single"/>
          </w:rPr>
          <w:t>Ubuntu HA related packages</w:t>
        </w:r>
      </w:hyperlink>
    </w:p>
    <w:p>
      <w:pPr>
        <w:pStyle w:val="Normal"/>
        <w:ind w:left="0" w:firstLineChars="0" w:firstLine="0" w:leftChars="1000"/>
      </w:pPr>
      <w:hyperlink w:anchor="page_924">
        <w:r>
          <w:rPr>
            <w:color w:val="0000FF" w:themeColor="hyperlink"/>
            <w:u w:val="single"/>
          </w:rPr>
          <w:t>Upstream documentation</w:t>
        </w:r>
      </w:hyperlink>
    </w:p>
    <w:p>
      <w:pPr>
        <w:pStyle w:val="Normal"/>
        <w:ind w:left="0" w:firstLineChars="0" w:firstLine="0" w:leftChars="1000"/>
      </w:pPr>
      <w:hyperlink w:anchor="page_924">
        <w:r>
          <w:rPr>
            <w:color w:val="0000FF" w:themeColor="hyperlink"/>
            <w:u w:val="single"/>
          </w:rPr>
          <w:t>Pacemaker resource agents</w:t>
        </w:r>
      </w:hyperlink>
    </w:p>
    <w:p>
      <w:pPr>
        <w:pStyle w:val="Normal"/>
        <w:ind w:left="0" w:firstLineChars="0" w:firstLine="0" w:leftChars="1000"/>
      </w:pPr>
      <w:hyperlink w:anchor="page_925">
        <w:r>
          <w:rPr>
            <w:color w:val="0000FF" w:themeColor="hyperlink"/>
            <w:u w:val="single"/>
          </w:rPr>
          <w:t>IPaddr2</w:t>
        </w:r>
      </w:hyperlink>
    </w:p>
    <w:p>
      <w:pPr>
        <w:pStyle w:val="Normal"/>
        <w:ind w:left="0" w:firstLineChars="0" w:firstLine="0" w:leftChars="1000"/>
      </w:pPr>
      <w:hyperlink w:anchor="page_926">
        <w:r>
          <w:rPr>
            <w:color w:val="0000FF" w:themeColor="hyperlink"/>
            <w:u w:val="single"/>
          </w:rPr>
          <w:t>iscsi</w:t>
        </w:r>
      </w:hyperlink>
    </w:p>
    <w:p>
      <w:pPr>
        <w:pStyle w:val="Normal"/>
        <w:ind w:left="0" w:firstLineChars="0" w:firstLine="0" w:leftChars="1000"/>
      </w:pPr>
      <w:hyperlink w:anchor="page_926">
        <w:r>
          <w:rPr>
            <w:color w:val="0000FF" w:themeColor="hyperlink"/>
            <w:u w:val="single"/>
          </w:rPr>
          <w:t>iSCSILogicalUnit</w:t>
        </w:r>
      </w:hyperlink>
    </w:p>
    <w:p>
      <w:pPr>
        <w:pStyle w:val="Normal"/>
        <w:ind w:left="0" w:firstLineChars="0" w:firstLine="0" w:leftChars="1000"/>
      </w:pPr>
      <w:hyperlink w:anchor="page_927">
        <w:r>
          <w:rPr>
            <w:color w:val="0000FF" w:themeColor="hyperlink"/>
            <w:u w:val="single"/>
          </w:rPr>
          <w:t>iSCSITarget</w:t>
        </w:r>
      </w:hyperlink>
    </w:p>
    <w:p>
      <w:pPr>
        <w:pStyle w:val="Normal"/>
        <w:ind w:left="0" w:firstLineChars="0" w:firstLine="0" w:leftChars="1000"/>
      </w:pPr>
      <w:hyperlink w:anchor="Top_of_index_split_270_html">
        <w:r>
          <w:rPr>
            <w:color w:val="0000FF" w:themeColor="hyperlink"/>
            <w:u w:val="single"/>
          </w:rPr>
          <w:t>LVM-activate</w:t>
        </w:r>
      </w:hyperlink>
    </w:p>
    <w:p>
      <w:pPr>
        <w:pStyle w:val="Normal"/>
        <w:ind w:left="0" w:firstLineChars="0" w:firstLine="0" w:leftChars="1000"/>
      </w:pPr>
      <w:hyperlink w:anchor="Top_of_index_split_270_html">
        <w:r>
          <w:rPr>
            <w:color w:val="0000FF" w:themeColor="hyperlink"/>
            <w:u w:val="single"/>
          </w:rPr>
          <w:t>Systemd</w:t>
        </w:r>
      </w:hyperlink>
    </w:p>
    <w:p>
      <w:pPr>
        <w:pStyle w:val="Normal"/>
        <w:ind w:left="0" w:firstLineChars="0" w:firstLine="0" w:leftChars="1000"/>
      </w:pPr>
      <w:hyperlink w:anchor="Top_of_index_split_270_html">
        <w:r>
          <w:rPr>
            <w:color w:val="0000FF" w:themeColor="hyperlink"/>
            <w:u w:val="single"/>
          </w:rPr>
          <w:t>Further reading</w:t>
        </w:r>
      </w:hyperlink>
    </w:p>
    <w:p>
      <w:pPr>
        <w:pStyle w:val="Normal"/>
        <w:ind w:left="0" w:firstLineChars="0" w:firstLine="0" w:leftChars="1000"/>
      </w:pPr>
      <w:hyperlink w:anchor="Top_of_index_split_271_html">
        <w:r>
          <w:rPr>
            <w:color w:val="0000FF" w:themeColor="hyperlink"/>
            <w:u w:val="single"/>
          </w:rPr>
          <w:t>Pacemaker fence agents</w:t>
        </w:r>
      </w:hyperlink>
    </w:p>
    <w:p>
      <w:pPr>
        <w:pStyle w:val="Normal"/>
        <w:ind w:left="0" w:firstLineChars="0" w:firstLine="0" w:leftChars="1000"/>
      </w:pPr>
      <w:hyperlink w:anchor="page_930">
        <w:r>
          <w:rPr>
            <w:color w:val="0000FF" w:themeColor="hyperlink"/>
            <w:u w:val="single"/>
          </w:rPr>
          <w:t>fence_ipmilan</w:t>
        </w:r>
      </w:hyperlink>
    </w:p>
    <w:p>
      <w:pPr>
        <w:pStyle w:val="Normal"/>
        <w:ind w:left="0" w:firstLineChars="0" w:firstLine="0" w:leftChars="1000"/>
      </w:pPr>
      <w:hyperlink w:anchor="page_930">
        <w:r>
          <w:rPr>
            <w:color w:val="0000FF" w:themeColor="hyperlink"/>
            <w:u w:val="single"/>
          </w:rPr>
          <w:t>fence_mpath</w:t>
        </w:r>
      </w:hyperlink>
    </w:p>
    <w:p>
      <w:pPr>
        <w:pStyle w:val="Normal"/>
        <w:ind w:left="0" w:firstLineChars="0" w:firstLine="0" w:leftChars="1000"/>
      </w:pPr>
      <w:hyperlink w:anchor="Top_of_index_split_272_html">
        <w:r>
          <w:rPr>
            <w:color w:val="0000FF" w:themeColor="hyperlink"/>
            <w:u w:val="single"/>
          </w:rPr>
          <w:t>fence_sbd</w:t>
        </w:r>
      </w:hyperlink>
    </w:p>
    <w:p>
      <w:pPr>
        <w:pStyle w:val="Normal"/>
        <w:ind w:left="0" w:firstLineChars="0" w:firstLine="0" w:leftChars="1000"/>
      </w:pPr>
      <w:hyperlink w:anchor="page_932">
        <w:r>
          <w:rPr>
            <w:color w:val="0000FF" w:themeColor="hyperlink"/>
            <w:u w:val="single"/>
          </w:rPr>
          <w:t>fence_scsi</w:t>
        </w:r>
      </w:hyperlink>
    </w:p>
    <w:p>
      <w:pPr>
        <w:pStyle w:val="Normal"/>
        <w:ind w:left="0" w:firstLineChars="0" w:firstLine="0" w:leftChars="1000"/>
      </w:pPr>
      <w:hyperlink w:anchor="Top_of_index_split_273_html">
        <w:r>
          <w:rPr>
            <w:color w:val="0000FF" w:themeColor="hyperlink"/>
            <w:u w:val="single"/>
          </w:rPr>
          <w:t>fence_virsh</w:t>
        </w:r>
      </w:hyperlink>
    </w:p>
    <w:p>
      <w:pPr>
        <w:pStyle w:val="Normal"/>
        <w:ind w:left="0" w:firstLineChars="0" w:firstLine="0" w:leftChars="1000"/>
      </w:pPr>
      <w:hyperlink w:anchor="Top_of_index_split_273_html">
        <w:r>
          <w:rPr>
            <w:color w:val="0000FF" w:themeColor="hyperlink"/>
            <w:u w:val="single"/>
          </w:rPr>
          <w:t>Further reading</w:t>
        </w:r>
      </w:hyperlink>
    </w:p>
    <w:p>
      <w:pPr>
        <w:pStyle w:val="Normal"/>
        <w:ind w:left="0" w:firstLineChars="0" w:firstLine="0" w:leftChars="800"/>
      </w:pPr>
      <w:hyperlink w:anchor="Top_of_index_split_274_html">
        <w:r>
          <w:rPr>
            <w:color w:val="0000FF" w:themeColor="hyperlink"/>
            <w:u w:val="single"/>
          </w:rPr>
          <w:t>See also</w:t>
        </w:r>
      </w:hyperlink>
    </w:p>
    <w:p>
      <w:pPr>
        <w:pStyle w:val="Normal"/>
        <w:ind w:left="0" w:firstLineChars="0" w:firstLine="0" w:leftChars="400"/>
      </w:pPr>
      <w:hyperlink w:anchor="Top_of_index_split_274_html">
        <w:r>
          <w:rPr>
            <w:color w:val="0000FF" w:themeColor="hyperlink"/>
            <w:u w:val="single"/>
          </w:rPr>
          <w:t>System tuning</w:t>
        </w:r>
      </w:hyperlink>
    </w:p>
    <w:p>
      <w:pPr>
        <w:pStyle w:val="Normal"/>
        <w:ind w:left="0" w:firstLineChars="0" w:firstLine="0" w:leftChars="600"/>
      </w:pPr>
      <w:hyperlink w:anchor="Top_of_index_split_274_html">
        <w:r>
          <w:rPr>
            <w:color w:val="0000FF" w:themeColor="hyperlink"/>
            <w:u w:val="single"/>
          </w:rPr>
          <w:t>Performance</w:t>
        </w:r>
      </w:hyperlink>
    </w:p>
    <w:p>
      <w:pPr>
        <w:pStyle w:val="Normal"/>
        <w:ind w:left="0" w:firstLineChars="0" w:firstLine="0" w:leftChars="800"/>
      </w:pPr>
      <w:hyperlink w:anchor="page_935">
        <w:r>
          <w:rPr>
            <w:color w:val="0000FF" w:themeColor="hyperlink"/>
            <w:u w:val="single"/>
          </w:rPr>
          <w:t>Profile-Guided Optimization</w:t>
        </w:r>
      </w:hyperlink>
    </w:p>
    <w:p>
      <w:pPr>
        <w:pStyle w:val="Normal"/>
        <w:ind w:left="0" w:firstLineChars="0" w:firstLine="0" w:leftChars="1000"/>
      </w:pPr>
      <w:hyperlink w:anchor="page_935">
        <w:r>
          <w:rPr>
            <w:color w:val="0000FF" w:themeColor="hyperlink"/>
            <w:u w:val="single"/>
          </w:rPr>
          <w:t>Caveats</w:t>
        </w:r>
      </w:hyperlink>
    </w:p>
    <w:p>
      <w:pPr>
        <w:pStyle w:val="Normal"/>
        <w:ind w:left="0" w:firstLineChars="0" w:firstLine="0" w:leftChars="1000"/>
      </w:pPr>
      <w:hyperlink w:anchor="page_935">
        <w:r>
          <w:rPr>
            <w:color w:val="0000FF" w:themeColor="hyperlink"/>
            <w:u w:val="single"/>
          </w:rPr>
          <w:t>perf and AutoFDO</w:t>
        </w:r>
      </w:hyperlink>
    </w:p>
    <w:p>
      <w:pPr>
        <w:pStyle w:val="Normal"/>
        <w:ind w:left="0" w:firstLineChars="0" w:firstLine="0" w:leftChars="1000"/>
      </w:pPr>
      <w:hyperlink w:anchor="page_936">
        <w:r>
          <w:rPr>
            <w:color w:val="0000FF" w:themeColor="hyperlink"/>
            <w:u w:val="single"/>
          </w:rPr>
          <w:t>A simple PGO scenario: openssl speed</w:t>
        </w:r>
      </w:hyperlink>
    </w:p>
    <w:p>
      <w:pPr>
        <w:pStyle w:val="Normal"/>
        <w:ind w:left="0" w:firstLineChars="0" w:firstLine="0" w:leftChars="1000"/>
      </w:pPr>
      <w:hyperlink w:anchor="page_936">
        <w:r>
          <w:rPr>
            <w:color w:val="0000FF" w:themeColor="hyperlink"/>
            <w:u w:val="single"/>
          </w:rPr>
          <w:t>Running OpenSSL tests</w:t>
        </w:r>
      </w:hyperlink>
    </w:p>
    <w:p>
      <w:pPr>
        <w:pStyle w:val="Normal"/>
        <w:ind w:left="0" w:firstLineChars="0" w:firstLine="0" w:leftChars="1000"/>
      </w:pPr>
      <w:hyperlink w:anchor="page_937">
        <w:r>
          <w:rPr>
            <w:color w:val="0000FF" w:themeColor="hyperlink"/>
            <w:u w:val="single"/>
          </w:rPr>
          <w:t>Building OpenSSL for profiling</w:t>
        </w:r>
      </w:hyperlink>
    </w:p>
    <w:p>
      <w:pPr>
        <w:pStyle w:val="Normal"/>
        <w:ind w:left="0" w:firstLineChars="0" w:firstLine="0" w:leftChars="1000"/>
      </w:pPr>
      <w:hyperlink w:anchor="page_938">
        <w:r>
          <w:rPr>
            <w:color w:val="0000FF" w:themeColor="hyperlink"/>
            <w:u w:val="single"/>
          </w:rPr>
          <w:t>Using perf to obtain profile data</w:t>
        </w:r>
      </w:hyperlink>
    </w:p>
    <w:p>
      <w:pPr>
        <w:pStyle w:val="Normal"/>
        <w:ind w:left="0" w:firstLineChars="0" w:firstLine="0" w:leftChars="1000"/>
      </w:pPr>
      <w:hyperlink w:anchor="page_938">
        <w:r>
          <w:rPr>
            <w:color w:val="0000FF" w:themeColor="hyperlink"/>
            <w:u w:val="single"/>
          </w:rPr>
          <w:t>Converting perfdata to gcov with autofdo</w:t>
        </w:r>
      </w:hyperlink>
    </w:p>
    <w:p>
      <w:pPr>
        <w:pStyle w:val="Normal"/>
        <w:ind w:left="0" w:firstLineChars="0" w:firstLine="0" w:leftChars="1000"/>
      </w:pPr>
      <w:hyperlink w:anchor="page_939">
        <w:r>
          <w:rPr>
            <w:color w:val="0000FF" w:themeColor="hyperlink"/>
            <w:u w:val="single"/>
          </w:rPr>
          <w:t>Rebuilding OpenSSL with PGO</w:t>
        </w:r>
      </w:hyperlink>
    </w:p>
    <w:p>
      <w:pPr>
        <w:pStyle w:val="Normal"/>
        <w:ind w:left="0" w:firstLineChars="0" w:firstLine="0" w:leftChars="1000"/>
      </w:pPr>
      <w:hyperlink w:anchor="page_940">
        <w:r>
          <w:rPr>
            <w:color w:val="0000FF" w:themeColor="hyperlink"/>
            <w:u w:val="single"/>
          </w:rPr>
          <w:t>Our results</w:t>
        </w:r>
      </w:hyperlink>
    </w:p>
    <w:p>
      <w:pPr>
        <w:pStyle w:val="Normal"/>
        <w:ind w:left="0" w:firstLineChars="0" w:firstLine="0" w:leftChars="1000"/>
      </w:pPr>
      <w:hyperlink w:anchor="page_940">
        <w:r>
          <w:rPr>
            <w:color w:val="0000FF" w:themeColor="hyperlink"/>
            <w:u w:val="single"/>
          </w:rPr>
          <w:t>Alternative scenario: profiling the program using other approaches</w:t>
        </w:r>
      </w:hyperlink>
    </w:p>
    <w:p>
      <w:pPr>
        <w:pStyle w:val="Normal"/>
        <w:ind w:left="0" w:firstLineChars="0" w:firstLine="0" w:leftChars="1000"/>
      </w:pPr>
      <w:hyperlink w:anchor="page_941">
        <w:r>
          <w:rPr>
            <w:color w:val="0000FF" w:themeColor="hyperlink"/>
            <w:u w:val="single"/>
          </w:rPr>
          <w:t>Conclusion</w:t>
        </w:r>
      </w:hyperlink>
    </w:p>
    <w:p>
      <w:pPr>
        <w:pStyle w:val="Normal"/>
        <w:ind w:left="0" w:firstLineChars="0" w:firstLine="0" w:leftChars="800"/>
      </w:pPr>
      <w:hyperlink w:anchor="page_941">
        <w:r>
          <w:rPr>
            <w:color w:val="0000FF" w:themeColor="hyperlink"/>
            <w:u w:val="single"/>
          </w:rPr>
          <w:t>hwloc</w:t>
        </w:r>
      </w:hyperlink>
    </w:p>
    <w:p>
      <w:pPr>
        <w:pStyle w:val="Normal"/>
        <w:ind w:left="0" w:firstLineChars="0" w:firstLine="0" w:leftChars="1000"/>
      </w:pPr>
      <w:hyperlink w:anchor="Top_of_index_split_275_html">
        <w:r>
          <w:rPr>
            <w:color w:val="0000FF" w:themeColor="hyperlink"/>
            <w:u w:val="single"/>
          </w:rPr>
          <w:t>hwloc-info - hierarchy and details</w:t>
        </w:r>
      </w:hyperlink>
    </w:p>
    <w:p>
      <w:pPr>
        <w:pStyle w:val="Normal"/>
        <w:ind w:left="0" w:firstLineChars="0" w:firstLine="0" w:leftChars="1000"/>
      </w:pPr>
      <w:hyperlink w:anchor="page_943">
        <w:r>
          <w:rPr>
            <w:color w:val="0000FF" w:themeColor="hyperlink"/>
            <w:u w:val="single"/>
          </w:rPr>
          <w:t>hwloc-ls - system topology in CLI</w:t>
        </w:r>
      </w:hyperlink>
    </w:p>
    <w:p>
      <w:pPr>
        <w:pStyle w:val="Normal"/>
        <w:ind w:left="0" w:firstLineChars="0" w:firstLine="0" w:leftChars="1000"/>
      </w:pPr>
      <w:hyperlink w:anchor="page_944">
        <w:r>
          <w:rPr>
            <w:color w:val="0000FF" w:themeColor="hyperlink"/>
            <w:u w:val="single"/>
          </w:rPr>
          <w:t>hwloc-ls - system topology in GUI</w:t>
        </w:r>
      </w:hyperlink>
    </w:p>
    <w:p>
      <w:pPr>
        <w:pStyle w:val="Normal"/>
        <w:ind w:left="0" w:firstLineChars="0" w:firstLine="0" w:leftChars="1000"/>
      </w:pPr>
      <w:hyperlink w:anchor="page_945">
        <w:r>
          <w:rPr>
            <w:color w:val="0000FF" w:themeColor="hyperlink"/>
            <w:u w:val="single"/>
          </w:rPr>
          <w:t>Further reading</w:t>
        </w:r>
      </w:hyperlink>
    </w:p>
    <w:p>
      <w:pPr>
        <w:pStyle w:val="Normal"/>
        <w:ind w:left="0" w:firstLineChars="0" w:firstLine="0" w:leftChars="800"/>
      </w:pPr>
      <w:hyperlink w:anchor="page_945">
        <w:r>
          <w:rPr>
            <w:color w:val="0000FF" w:themeColor="hyperlink"/>
            <w:u w:val="single"/>
          </w:rPr>
          <w:t>CPU Power states</w:t>
        </w:r>
      </w:hyperlink>
    </w:p>
    <w:p>
      <w:pPr>
        <w:pStyle w:val="Normal"/>
        <w:ind w:left="0" w:firstLineChars="0" w:firstLine="0" w:leftChars="1000"/>
      </w:pPr>
      <w:hyperlink w:anchor="page_946">
        <w:r>
          <w:rPr>
            <w:color w:val="0000FF" w:themeColor="hyperlink"/>
            <w:u w:val="single"/>
          </w:rPr>
          <w:t>CPU governors</w:t>
        </w:r>
      </w:hyperlink>
    </w:p>
    <w:p>
      <w:pPr>
        <w:pStyle w:val="Normal"/>
        <w:ind w:left="0" w:firstLineChars="0" w:firstLine="0" w:leftChars="1000"/>
      </w:pPr>
      <w:hyperlink w:anchor="Top_of_index_split_276_html">
        <w:r>
          <w:rPr>
            <w:color w:val="0000FF" w:themeColor="hyperlink"/>
            <w:u w:val="single"/>
          </w:rPr>
          <w:t>Setting CPU Governors</w:t>
        </w:r>
      </w:hyperlink>
    </w:p>
    <w:p>
      <w:pPr>
        <w:pStyle w:val="Normal"/>
        <w:ind w:left="0" w:firstLineChars="0" w:firstLine="0" w:leftChars="1000"/>
      </w:pPr>
      <w:hyperlink w:anchor="Top_of_index_split_276_html">
        <w:r>
          <w:rPr>
            <w:color w:val="0000FF" w:themeColor="hyperlink"/>
            <w:u w:val="single"/>
          </w:rPr>
          <w:t>Energy Performance Preference</w:t>
        </w:r>
      </w:hyperlink>
    </w:p>
    <w:p>
      <w:pPr>
        <w:pStyle w:val="Normal"/>
        <w:ind w:left="0" w:firstLineChars="0" w:firstLine="0" w:leftChars="1000"/>
      </w:pPr>
      <w:hyperlink w:anchor="Top_of_index_split_276_html">
        <w:r>
          <w:rPr>
            <w:color w:val="0000FF" w:themeColor="hyperlink"/>
            <w:u w:val="single"/>
          </w:rPr>
          <w:t>Caveats</w:t>
        </w:r>
      </w:hyperlink>
    </w:p>
    <w:p>
      <w:pPr>
        <w:pStyle w:val="Normal"/>
        <w:ind w:left="0" w:firstLineChars="0" w:firstLine="0" w:leftChars="1000"/>
      </w:pPr>
      <w:hyperlink w:anchor="Top_of_index_split_277_html">
        <w:r>
          <w:rPr>
            <w:color w:val="0000FF" w:themeColor="hyperlink"/>
            <w:u w:val="single"/>
          </w:rPr>
          <w:t>EPP values on Ubuntu</w:t>
        </w:r>
      </w:hyperlink>
    </w:p>
    <w:p>
      <w:pPr>
        <w:pStyle w:val="Normal"/>
        <w:ind w:left="0" w:firstLineChars="0" w:firstLine="0" w:leftChars="1000"/>
      </w:pPr>
      <w:hyperlink w:anchor="Top_of_index_split_277_html">
        <w:r>
          <w:rPr>
            <w:color w:val="0000FF" w:themeColor="hyperlink"/>
            <w:u w:val="single"/>
          </w:rPr>
          <w:t>Setting EPP values</w:t>
        </w:r>
      </w:hyperlink>
    </w:p>
    <w:p>
      <w:pPr>
        <w:pStyle w:val="Normal"/>
        <w:ind w:left="0" w:firstLineChars="0" w:firstLine="0" w:leftChars="800"/>
      </w:pPr>
      <w:hyperlink w:anchor="page_949">
        <w:r>
          <w:rPr>
            <w:color w:val="0000FF" w:themeColor="hyperlink"/>
            <w:u w:val="single"/>
          </w:rPr>
          <w:t>The cpupower tool</w:t>
        </w:r>
      </w:hyperlink>
    </w:p>
    <w:p>
      <w:pPr>
        <w:pStyle w:val="Normal"/>
        <w:ind w:left="0" w:firstLineChars="0" w:firstLine="0" w:leftChars="1000"/>
      </w:pPr>
      <w:hyperlink w:anchor="page_949">
        <w:r>
          <w:rPr>
            <w:color w:val="0000FF" w:themeColor="hyperlink"/>
            <w:u w:val="single"/>
          </w:rPr>
          <w:t>Monitor CPU frequency</w:t>
        </w:r>
      </w:hyperlink>
    </w:p>
    <w:p>
      <w:pPr>
        <w:pStyle w:val="Normal"/>
        <w:ind w:left="0" w:firstLineChars="0" w:firstLine="0" w:leftChars="1000"/>
      </w:pPr>
      <w:hyperlink w:anchor="page_950">
        <w:r>
          <w:rPr>
            <w:color w:val="0000FF" w:themeColor="hyperlink"/>
            <w:u w:val="single"/>
          </w:rPr>
          <w:t>Get details about the boundaries for the CPU frequency</w:t>
        </w:r>
      </w:hyperlink>
    </w:p>
    <w:p>
      <w:pPr>
        <w:pStyle w:val="Normal"/>
        <w:ind w:left="0" w:firstLineChars="0" w:firstLine="0" w:leftChars="1000"/>
      </w:pPr>
      <w:hyperlink w:anchor="page_951">
        <w:r>
          <w:rPr>
            <w:color w:val="0000FF" w:themeColor="hyperlink"/>
            <w:u w:val="single"/>
          </w:rPr>
          <w:t>Get details about the idle states</w:t>
        </w:r>
      </w:hyperlink>
    </w:p>
    <w:p>
      <w:pPr>
        <w:pStyle w:val="Normal"/>
        <w:ind w:left="0" w:firstLineChars="0" w:firstLine="0" w:leftChars="1000"/>
      </w:pPr>
      <w:hyperlink w:anchor="page_953">
        <w:r>
          <w:rPr>
            <w:color w:val="0000FF" w:themeColor="hyperlink"/>
            <w:u w:val="single"/>
          </w:rPr>
          <w:t>What should I do with all of this?</w:t>
        </w:r>
      </w:hyperlink>
    </w:p>
    <w:p>
      <w:pPr>
        <w:pStyle w:val="Normal"/>
        <w:ind w:left="0" w:firstLineChars="0" w:firstLine="0" w:leftChars="1000"/>
      </w:pPr>
      <w:hyperlink w:anchor="page_953">
        <w:r>
          <w:rPr>
            <w:color w:val="0000FF" w:themeColor="hyperlink"/>
            <w:u w:val="single"/>
          </w:rPr>
          <w:t>Does it match what you expect?</w:t>
        </w:r>
      </w:hyperlink>
    </w:p>
    <w:p>
      <w:pPr>
        <w:pStyle w:val="Normal"/>
        <w:ind w:left="0" w:firstLineChars="0" w:firstLine="0" w:leftChars="1000"/>
      </w:pPr>
      <w:hyperlink w:anchor="page_953">
        <w:r>
          <w:rPr>
            <w:color w:val="0000FF" w:themeColor="hyperlink"/>
            <w:u w:val="single"/>
          </w:rPr>
          <w:t>Control the CPU governors and CPU frequency</w:t>
        </w:r>
      </w:hyperlink>
    </w:p>
    <w:p>
      <w:pPr>
        <w:pStyle w:val="Normal"/>
        <w:ind w:left="0" w:firstLineChars="0" w:firstLine="0" w:leftChars="1000"/>
      </w:pPr>
      <w:hyperlink w:anchor="Top_of_index_split_278_html">
        <w:r>
          <w:rPr>
            <w:color w:val="0000FF" w:themeColor="hyperlink"/>
            <w:u w:val="single"/>
          </w:rPr>
          <w:t>Powertop</w:t>
        </w:r>
      </w:hyperlink>
    </w:p>
    <w:p>
      <w:pPr>
        <w:pStyle w:val="Normal"/>
        <w:ind w:left="0" w:firstLineChars="0" w:firstLine="0" w:leftChars="1000"/>
      </w:pPr>
      <w:hyperlink w:anchor="Top_of_index_split_278_html">
        <w:r>
          <w:rPr>
            <w:color w:val="0000FF" w:themeColor="hyperlink"/>
            <w:u w:val="single"/>
          </w:rPr>
          <w:t>Further reading</w:t>
        </w:r>
      </w:hyperlink>
    </w:p>
    <w:p>
      <w:pPr>
        <w:pStyle w:val="Normal"/>
        <w:ind w:left="0" w:firstLineChars="0" w:firstLine="0" w:leftChars="800"/>
      </w:pPr>
      <w:hyperlink w:anchor="Top_of_index_split_278_html">
        <w:r>
          <w:rPr>
            <w:color w:val="0000FF" w:themeColor="hyperlink"/>
            <w:u w:val="single"/>
          </w:rPr>
          <w:t>TuneD</w:t>
        </w:r>
      </w:hyperlink>
    </w:p>
    <w:p>
      <w:pPr>
        <w:pStyle w:val="Normal"/>
        <w:ind w:left="0" w:firstLineChars="0" w:firstLine="0" w:leftChars="1000"/>
      </w:pPr>
      <w:hyperlink w:anchor="page_955">
        <w:r>
          <w:rPr>
            <w:color w:val="0000FF" w:themeColor="hyperlink"/>
            <w:u w:val="single"/>
          </w:rPr>
          <w:t>Static vs. dynamic tuning</w:t>
        </w:r>
      </w:hyperlink>
    </w:p>
    <w:p>
      <w:pPr>
        <w:pStyle w:val="Normal"/>
        <w:ind w:left="0" w:firstLineChars="0" w:firstLine="0" w:leftChars="1000"/>
      </w:pPr>
      <w:hyperlink w:anchor="page_955">
        <w:r>
          <w:rPr>
            <w:color w:val="0000FF" w:themeColor="hyperlink"/>
            <w:u w:val="single"/>
          </w:rPr>
          <w:t>Profiles</w:t>
        </w:r>
      </w:hyperlink>
    </w:p>
    <w:p>
      <w:pPr>
        <w:pStyle w:val="Normal"/>
        <w:ind w:left="0" w:firstLineChars="0" w:firstLine="0" w:leftChars="1000"/>
      </w:pPr>
      <w:hyperlink w:anchor="Top_of_index_split_279_html">
        <w:r>
          <w:rPr>
            <w:color w:val="0000FF" w:themeColor="hyperlink"/>
            <w:u w:val="single"/>
          </w:rPr>
          <w:t>Anatomy of a profile</w:t>
        </w:r>
      </w:hyperlink>
    </w:p>
    <w:p>
      <w:pPr>
        <w:pStyle w:val="Normal"/>
        <w:ind w:left="0" w:firstLineChars="0" w:firstLine="0" w:leftChars="1000"/>
      </w:pPr>
      <w:hyperlink w:anchor="page_957">
        <w:r>
          <w:rPr>
            <w:color w:val="0000FF" w:themeColor="hyperlink"/>
            <w:u w:val="single"/>
          </w:rPr>
          <w:t>Available profiles and plugins</w:t>
        </w:r>
      </w:hyperlink>
    </w:p>
    <w:p>
      <w:pPr>
        <w:pStyle w:val="Normal"/>
        <w:ind w:left="0" w:firstLineChars="0" w:firstLine="0" w:leftChars="1000"/>
      </w:pPr>
      <w:hyperlink w:anchor="page_958">
        <w:r>
          <w:rPr>
            <w:color w:val="0000FF" w:themeColor="hyperlink"/>
            <w:u w:val="single"/>
          </w:rPr>
          <w:t>Customizing a profile</w:t>
        </w:r>
      </w:hyperlink>
    </w:p>
    <w:p>
      <w:pPr>
        <w:pStyle w:val="Normal"/>
        <w:ind w:left="0" w:firstLineChars="0" w:firstLine="0" w:leftChars="1000"/>
      </w:pPr>
      <w:hyperlink w:anchor="Top_of_index_split_280_html">
        <w:r>
          <w:rPr>
            <w:color w:val="0000FF" w:themeColor="hyperlink"/>
            <w:u w:val="single"/>
          </w:rPr>
          <w:t>Merging profiles</w:t>
        </w:r>
      </w:hyperlink>
    </w:p>
    <w:p>
      <w:pPr>
        <w:pStyle w:val="Normal"/>
        <w:ind w:left="0" w:firstLineChars="0" w:firstLine="0" w:leftChars="1000"/>
      </w:pPr>
      <w:hyperlink w:anchor="Top_of_index_split_280_html">
        <w:r>
          <w:rPr>
            <w:color w:val="0000FF" w:themeColor="hyperlink"/>
            <w:u w:val="single"/>
          </w:rPr>
          <w:t>An example profile: hpc-compute</w:t>
        </w:r>
      </w:hyperlink>
    </w:p>
    <w:p>
      <w:pPr>
        <w:pStyle w:val="Normal"/>
        <w:ind w:left="0" w:firstLineChars="0" w:firstLine="0" w:leftChars="1000"/>
      </w:pPr>
      <w:hyperlink w:anchor="Top_of_index_split_281_html">
        <w:r>
          <w:rPr>
            <w:color w:val="0000FF" w:themeColor="hyperlink"/>
            <w:u w:val="single"/>
          </w:rPr>
          <w:t>Further reading</w:t>
        </w:r>
      </w:hyperlink>
    </w:p>
    <w:p>
      <w:pPr>
        <w:pStyle w:val="Normal"/>
        <w:ind w:left="0" w:firstLineChars="0" w:firstLine="0" w:leftChars="200"/>
      </w:pPr>
      <w:hyperlink w:anchor="Top_of_index_split_281_html">
        <w:r>
          <w:rPr>
            <w:color w:val="0000FF" w:themeColor="hyperlink"/>
            <w:u w:val="single"/>
          </w:rPr>
          <w:t>Contribute to this documentation</w:t>
        </w:r>
      </w:hyperlink>
    </w:p>
    <w:p>
      <w:pPr>
        <w:pStyle w:val="Normal"/>
        <w:ind w:left="0" w:firstLineChars="0" w:firstLine="0" w:leftChars="400"/>
      </w:pPr>
      <w:hyperlink w:anchor="Top_of_index_split_281_html">
        <w:r>
          <w:rPr>
            <w:color w:val="0000FF" w:themeColor="hyperlink"/>
            <w:u w:val="single"/>
          </w:rPr>
          <w:t>The Open Documentation Academy</w:t>
        </w:r>
      </w:hyperlink>
    </w:p>
    <w:p>
      <w:pPr>
        <w:pStyle w:val="Normal"/>
        <w:ind w:left="0" w:firstLineChars="0" w:firstLine="0" w:leftChars="400"/>
      </w:pPr>
      <w:hyperlink w:anchor="Top_of_index_split_281_html">
        <w:r>
          <w:rPr>
            <w:color w:val="0000FF" w:themeColor="hyperlink"/>
            <w:u w:val="single"/>
          </w:rPr>
          <w:t>Contributions we accept</w:t>
        </w:r>
      </w:hyperlink>
    </w:p>
    <w:p>
      <w:pPr>
        <w:pStyle w:val="Normal"/>
        <w:ind w:left="0" w:firstLineChars="0" w:firstLine="0" w:leftChars="400"/>
      </w:pPr>
      <w:hyperlink w:anchor="page_962">
        <w:r>
          <w:rPr>
            <w:color w:val="0000FF" w:themeColor="hyperlink"/>
            <w:u w:val="single"/>
          </w:rPr>
          <w:t>Contributions we don’t accept</w:t>
        </w:r>
      </w:hyperlink>
    </w:p>
    <w:p>
      <w:pPr>
        <w:pStyle w:val="Normal"/>
        <w:ind w:left="0" w:firstLineChars="0" w:firstLine="0" w:leftChars="400"/>
      </w:pPr>
      <w:hyperlink w:anchor="page_962">
        <w:r>
          <w:rPr>
            <w:color w:val="0000FF" w:themeColor="hyperlink"/>
            <w:u w:val="single"/>
          </w:rPr>
          <w:t>AI policy</w:t>
        </w:r>
      </w:hyperlink>
    </w:p>
    <w:p>
      <w:pPr>
        <w:pStyle w:val="Normal"/>
        <w:ind w:left="0" w:firstLineChars="0" w:firstLine="0" w:leftChars="600"/>
      </w:pPr>
      <w:hyperlink w:anchor="page_963">
        <w:r>
          <w:rPr>
            <w:color w:val="0000FF" w:themeColor="hyperlink"/>
            <w:u w:val="single"/>
          </w:rPr>
          <w:t>Acceptable use of AI</w:t>
        </w:r>
      </w:hyperlink>
    </w:p>
    <w:p>
      <w:pPr>
        <w:pStyle w:val="Normal"/>
        <w:ind w:left="0" w:firstLineChars="0" w:firstLine="0" w:leftChars="400"/>
      </w:pPr>
      <w:hyperlink w:anchor="page_963">
        <w:r>
          <w:rPr>
            <w:color w:val="0000FF" w:themeColor="hyperlink"/>
            <w:u w:val="single"/>
          </w:rPr>
          <w:t>Thank you!</w:t>
        </w:r>
      </w:hyperlink>
    </w:p>
    <w:p>
      <w:pPr>
        <w:pStyle w:val="Normal"/>
        <w:ind w:left="0" w:firstLineChars="0" w:firstLine="0" w:leftChars="600"/>
      </w:pPr>
      <w:hyperlink w:anchor="page_963">
        <w:r>
          <w:rPr>
            <w:color w:val="0000FF" w:themeColor="hyperlink"/>
            <w:u w:val="single"/>
          </w:rPr>
          <w:t>Types of contributions</w:t>
        </w:r>
      </w:hyperlink>
    </w:p>
    <w:p>
      <w:pPr>
        <w:pStyle w:val="Normal"/>
        <w:ind w:left="0" w:firstLineChars="0" w:firstLine="0" w:leftChars="800"/>
      </w:pPr>
      <w:hyperlink w:anchor="Top_of_index_split_282_html">
        <w:r>
          <w:rPr>
            <w:color w:val="0000FF" w:themeColor="hyperlink"/>
            <w:u w:val="single"/>
          </w:rPr>
          <w:t>Technical</w:t>
        </w:r>
      </w:hyperlink>
    </w:p>
    <w:p>
      <w:pPr>
        <w:pStyle w:val="Normal"/>
        <w:ind w:left="0" w:firstLineChars="0" w:firstLine="0" w:leftChars="800"/>
      </w:pPr>
      <w:hyperlink w:anchor="Top_of_index_split_282_html">
        <w:r>
          <w:rPr>
            <w:color w:val="0000FF" w:themeColor="hyperlink"/>
            <w:u w:val="single"/>
          </w:rPr>
          <w:t>Coding options</w:t>
        </w:r>
      </w:hyperlink>
    </w:p>
    <w:p>
      <w:pPr>
        <w:pStyle w:val="Normal"/>
        <w:ind w:left="0" w:firstLineChars="0" w:firstLine="0" w:leftChars="800"/>
      </w:pPr>
      <w:hyperlink w:anchor="Top_of_index_split_282_html">
        <w:r>
          <w:rPr>
            <w:color w:val="0000FF" w:themeColor="hyperlink"/>
            <w:u w:val="single"/>
          </w:rPr>
          <w:t>Low-code options</w:t>
        </w:r>
      </w:hyperlink>
    </w:p>
    <w:p>
      <w:pPr>
        <w:pStyle w:val="Normal"/>
        <w:ind w:left="0" w:firstLineChars="0" w:firstLine="0" w:leftChars="800"/>
      </w:pPr>
      <w:hyperlink w:anchor="page_965">
        <w:r>
          <w:rPr>
            <w:color w:val="0000FF" w:themeColor="hyperlink"/>
            <w:u w:val="single"/>
          </w:rPr>
          <w:t>No-code options</w:t>
        </w:r>
      </w:hyperlink>
    </w:p>
    <w:p>
      <w:pPr>
        <w:pStyle w:val="Normal"/>
        <w:ind w:left="0" w:firstLineChars="0" w:firstLine="0" w:leftChars="1000"/>
      </w:pPr>
      <w:hyperlink w:anchor="page_965">
        <w:r>
          <w:rPr>
            <w:color w:val="0000FF" w:themeColor="hyperlink"/>
            <w:u w:val="single"/>
          </w:rPr>
          <w:t>Creating issues</w:t>
        </w:r>
      </w:hyperlink>
    </w:p>
    <w:p>
      <w:pPr>
        <w:pStyle w:val="Normal"/>
        <w:ind w:left="0" w:firstLineChars="0" w:firstLine="0" w:leftChars="1000"/>
      </w:pPr>
      <w:hyperlink w:anchor="page_965">
        <w:r>
          <w:rPr>
            <w:color w:val="0000FF" w:themeColor="hyperlink"/>
            <w:u w:val="single"/>
          </w:rPr>
          <w:t>User-experience testing</w:t>
        </w:r>
      </w:hyperlink>
    </w:p>
    <w:p>
      <w:pPr>
        <w:pStyle w:val="Normal"/>
        <w:ind w:left="0" w:firstLineChars="0" w:firstLine="0" w:leftChars="600"/>
      </w:pPr>
      <w:hyperlink w:anchor="page_965">
        <w:r>
          <w:rPr>
            <w:color w:val="0000FF" w:themeColor="hyperlink"/>
            <w:u w:val="single"/>
          </w:rPr>
          <w:t>Local development</w:t>
        </w:r>
      </w:hyperlink>
    </w:p>
    <w:p>
      <w:pPr>
        <w:pStyle w:val="Normal"/>
        <w:ind w:left="0" w:firstLineChars="0" w:firstLine="0" w:leftChars="800"/>
      </w:pPr>
      <w:hyperlink w:anchor="page_965">
        <w:r>
          <w:rPr>
            <w:color w:val="0000FF" w:themeColor="hyperlink"/>
            <w:u w:val="single"/>
          </w:rPr>
          <w:t>Prerequisites</w:t>
        </w:r>
      </w:hyperlink>
    </w:p>
    <w:p>
      <w:pPr>
        <w:pStyle w:val="Normal"/>
        <w:ind w:left="0" w:firstLineChars="0" w:firstLine="0" w:leftChars="800"/>
      </w:pPr>
      <w:hyperlink w:anchor="page_966">
        <w:r>
          <w:rPr>
            <w:color w:val="0000FF" w:themeColor="hyperlink"/>
            <w:u w:val="single"/>
          </w:rPr>
          <w:t>Workflow overview</w:t>
        </w:r>
      </w:hyperlink>
    </w:p>
    <w:p>
      <w:pPr>
        <w:pStyle w:val="Normal"/>
        <w:ind w:left="0" w:firstLineChars="0" w:firstLine="0" w:leftChars="800"/>
      </w:pPr>
      <w:hyperlink w:anchor="page_966">
        <w:r>
          <w:rPr>
            <w:color w:val="0000FF" w:themeColor="hyperlink"/>
            <w:u w:val="single"/>
          </w:rPr>
          <w:t>Find issues to work on</w:t>
        </w:r>
      </w:hyperlink>
    </w:p>
    <w:p>
      <w:pPr>
        <w:pStyle w:val="Normal"/>
        <w:ind w:left="0" w:firstLineChars="0" w:firstLine="0" w:leftChars="1000"/>
      </w:pPr>
      <w:hyperlink w:anchor="page_966">
        <w:r>
          <w:rPr>
            <w:color w:val="0000FF" w:themeColor="hyperlink"/>
            <w:u w:val="single"/>
          </w:rPr>
          <w:t>Claim an issue</w:t>
        </w:r>
      </w:hyperlink>
    </w:p>
    <w:p>
      <w:pPr>
        <w:pStyle w:val="Normal"/>
        <w:ind w:left="0" w:firstLineChars="0" w:firstLine="0" w:leftChars="1000"/>
      </w:pPr>
      <w:hyperlink w:anchor="page_966">
        <w:r>
          <w:rPr>
            <w:color w:val="0000FF" w:themeColor="hyperlink"/>
            <w:u w:val="single"/>
          </w:rPr>
          <w:t>Create a new issue</w:t>
        </w:r>
      </w:hyperlink>
    </w:p>
    <w:p>
      <w:pPr>
        <w:pStyle w:val="Normal"/>
        <w:ind w:left="0" w:firstLineChars="0" w:firstLine="0" w:leftChars="800"/>
      </w:pPr>
      <w:hyperlink w:anchor="page_967">
        <w:r>
          <w:rPr>
            <w:color w:val="0000FF" w:themeColor="hyperlink"/>
            <w:u w:val="single"/>
          </w:rPr>
          <w:t>Choose your workflow</w:t>
        </w:r>
      </w:hyperlink>
    </w:p>
    <w:p>
      <w:pPr>
        <w:pStyle w:val="Normal"/>
        <w:ind w:left="0" w:firstLineChars="0" w:firstLine="0" w:leftChars="1000"/>
      </w:pPr>
      <w:hyperlink w:anchor="page_967">
        <w:r>
          <w:rPr>
            <w:color w:val="0000FF" w:themeColor="hyperlink"/>
            <w:u w:val="single"/>
          </w:rPr>
          <w:t>Small changes directly in GitHub</w:t>
        </w:r>
      </w:hyperlink>
    </w:p>
    <w:p>
      <w:pPr>
        <w:pStyle w:val="Normal"/>
        <w:ind w:left="0" w:firstLineChars="0" w:firstLine="0" w:leftChars="800"/>
      </w:pPr>
      <w:hyperlink w:anchor="page_967">
        <w:r>
          <w:rPr>
            <w:color w:val="0000FF" w:themeColor="hyperlink"/>
            <w:u w:val="single"/>
          </w:rPr>
          <w:t>Local setup</w:t>
        </w:r>
      </w:hyperlink>
    </w:p>
    <w:p>
      <w:pPr>
        <w:pStyle w:val="Normal"/>
        <w:ind w:left="0" w:firstLineChars="0" w:firstLine="0" w:leftChars="1000"/>
      </w:pPr>
      <w:hyperlink w:anchor="page_967">
        <w:r>
          <w:rPr>
            <w:color w:val="0000FF" w:themeColor="hyperlink"/>
            <w:u w:val="single"/>
          </w:rPr>
          <w:t>Create a fork</w:t>
        </w:r>
      </w:hyperlink>
    </w:p>
    <w:p>
      <w:pPr>
        <w:pStyle w:val="Normal"/>
        <w:ind w:left="0" w:firstLineChars="0" w:firstLine="0" w:leftChars="1000"/>
      </w:pPr>
      <w:hyperlink w:anchor="page_968">
        <w:r>
          <w:rPr>
            <w:color w:val="0000FF" w:themeColor="hyperlink"/>
            <w:u w:val="single"/>
          </w:rPr>
          <w:t>Get the documentation</w:t>
        </w:r>
      </w:hyperlink>
    </w:p>
    <w:p>
      <w:pPr>
        <w:pStyle w:val="Normal"/>
        <w:ind w:left="0" w:firstLineChars="0" w:firstLine="0" w:leftChars="1000"/>
      </w:pPr>
      <w:hyperlink w:anchor="page_968">
        <w:r>
          <w:rPr>
            <w:color w:val="0000FF" w:themeColor="hyperlink"/>
            <w:u w:val="single"/>
          </w:rPr>
          <w:t>Create a new branch</w:t>
        </w:r>
      </w:hyperlink>
    </w:p>
    <w:p>
      <w:pPr>
        <w:pStyle w:val="Normal"/>
        <w:ind w:left="0" w:firstLineChars="0" w:firstLine="0" w:leftChars="800"/>
      </w:pPr>
      <w:hyperlink w:anchor="page_968">
        <w:r>
          <w:rPr>
            <w:color w:val="0000FF" w:themeColor="hyperlink"/>
            <w:u w:val="single"/>
          </w:rPr>
          <w:t>Build and preview</w:t>
        </w:r>
      </w:hyperlink>
    </w:p>
    <w:p>
      <w:pPr>
        <w:pStyle w:val="Normal"/>
        <w:ind w:left="0" w:firstLineChars="0" w:firstLine="0" w:leftChars="1000"/>
      </w:pPr>
      <w:hyperlink w:anchor="page_969">
        <w:r>
          <w:rPr>
            <w:color w:val="0000FF" w:themeColor="hyperlink"/>
            <w:u w:val="single"/>
          </w:rPr>
          <w:t>Other build commands</w:t>
        </w:r>
      </w:hyperlink>
    </w:p>
    <w:p>
      <w:pPr>
        <w:pStyle w:val="Normal"/>
        <w:ind w:left="0" w:firstLineChars="0" w:firstLine="0" w:leftChars="1000"/>
      </w:pPr>
      <w:hyperlink w:anchor="page_969">
        <w:r>
          <w:rPr>
            <w:color w:val="0000FF" w:themeColor="hyperlink"/>
            <w:u w:val="single"/>
          </w:rPr>
          <w:t>Writing guidance</w:t>
        </w:r>
      </w:hyperlink>
    </w:p>
    <w:p>
      <w:pPr>
        <w:pStyle w:val="Normal"/>
        <w:ind w:left="0" w:firstLineChars="0" w:firstLine="0" w:leftChars="800"/>
      </w:pPr>
      <w:hyperlink w:anchor="page_969">
        <w:r>
          <w:rPr>
            <w:color w:val="0000FF" w:themeColor="hyperlink"/>
            <w:u w:val="single"/>
          </w:rPr>
          <w:t>Test your changes</w:t>
        </w:r>
      </w:hyperlink>
    </w:p>
    <w:p>
      <w:pPr>
        <w:pStyle w:val="Normal"/>
        <w:ind w:left="0" w:firstLineChars="0" w:firstLine="0" w:leftChars="1000"/>
      </w:pPr>
      <w:hyperlink w:anchor="page_969">
        <w:r>
          <w:rPr>
            <w:color w:val="0000FF" w:themeColor="hyperlink"/>
            <w:u w:val="single"/>
          </w:rPr>
          <w:t>Automatic testing</w:t>
        </w:r>
      </w:hyperlink>
    </w:p>
    <w:p>
      <w:pPr>
        <w:pStyle w:val="Normal"/>
        <w:ind w:left="0" w:firstLineChars="0" w:firstLine="0" w:leftChars="1000"/>
      </w:pPr>
      <w:hyperlink w:anchor="page_970">
        <w:r>
          <w:rPr>
            <w:color w:val="0000FF" w:themeColor="hyperlink"/>
            <w:u w:val="single"/>
          </w:rPr>
          <w:t>Manual testing</w:t>
        </w:r>
      </w:hyperlink>
    </w:p>
    <w:p>
      <w:pPr>
        <w:pStyle w:val="Normal"/>
        <w:ind w:left="0" w:firstLineChars="0" w:firstLine="0" w:leftChars="800"/>
      </w:pPr>
      <w:hyperlink w:anchor="page_970">
        <w:r>
          <w:rPr>
            <w:color w:val="0000FF" w:themeColor="hyperlink"/>
            <w:u w:val="single"/>
          </w:rPr>
          <w:t>Creating redirects</w:t>
        </w:r>
      </w:hyperlink>
    </w:p>
    <w:p>
      <w:pPr>
        <w:pStyle w:val="Normal"/>
        <w:ind w:left="0" w:firstLineChars="0" w:firstLine="0" w:leftChars="1000"/>
      </w:pPr>
      <w:hyperlink w:anchor="page_970">
        <w:r>
          <w:rPr>
            <w:color w:val="0000FF" w:themeColor="hyperlink"/>
            <w:u w:val="single"/>
          </w:rPr>
          <w:t>Internal redirects</w:t>
        </w:r>
      </w:hyperlink>
    </w:p>
    <w:p>
      <w:pPr>
        <w:pStyle w:val="Normal"/>
        <w:ind w:left="0" w:firstLineChars="0" w:firstLine="0" w:leftChars="1000"/>
      </w:pPr>
      <w:hyperlink w:anchor="page_970">
        <w:r>
          <w:rPr>
            <w:color w:val="0000FF" w:themeColor="hyperlink"/>
            <w:u w:val="single"/>
          </w:rPr>
          <w:t>External redirects</w:t>
        </w:r>
      </w:hyperlink>
    </w:p>
    <w:p>
      <w:pPr>
        <w:pStyle w:val="Normal"/>
        <w:ind w:left="0" w:firstLineChars="0" w:firstLine="0" w:leftChars="800"/>
      </w:pPr>
      <w:hyperlink w:anchor="Top_of_index_split_283_html">
        <w:r>
          <w:rPr>
            <w:color w:val="0000FF" w:themeColor="hyperlink"/>
            <w:u w:val="single"/>
          </w:rPr>
          <w:t>Submitting your pull request</w:t>
        </w:r>
      </w:hyperlink>
    </w:p>
    <w:p>
      <w:pPr>
        <w:pStyle w:val="Normal"/>
        <w:ind w:left="0" w:firstLineChars="0" w:firstLine="0" w:leftChars="1000"/>
      </w:pPr>
      <w:hyperlink w:anchor="Top_of_index_split_283_html">
        <w:r>
          <w:rPr>
            <w:color w:val="0000FF" w:themeColor="hyperlink"/>
            <w:u w:val="single"/>
          </w:rPr>
          <w:t>Commit your changes</w:t>
        </w:r>
      </w:hyperlink>
    </w:p>
    <w:p>
      <w:pPr>
        <w:pStyle w:val="Normal"/>
        <w:ind w:left="0" w:firstLineChars="0" w:firstLine="0" w:leftChars="1000"/>
      </w:pPr>
      <w:hyperlink w:anchor="Top_of_index_split_283_html">
        <w:r>
          <w:rPr>
            <w:color w:val="0000FF" w:themeColor="hyperlink"/>
            <w:u w:val="single"/>
          </w:rPr>
          <w:t>Push and create a pull request</w:t>
        </w:r>
      </w:hyperlink>
    </w:p>
    <w:p>
      <w:pPr>
        <w:pStyle w:val="Normal"/>
        <w:ind w:left="0" w:firstLineChars="0" w:firstLine="0" w:leftChars="1000"/>
      </w:pPr>
      <w:hyperlink w:anchor="Top_of_index_split_283_html">
        <w:r>
          <w:rPr>
            <w:color w:val="0000FF" w:themeColor="hyperlink"/>
            <w:u w:val="single"/>
          </w:rPr>
          <w:t>Read the Docs preview</w:t>
        </w:r>
      </w:hyperlink>
    </w:p>
    <w:p>
      <w:pPr>
        <w:pStyle w:val="Normal"/>
        <w:ind w:left="0" w:firstLineChars="0" w:firstLine="0" w:leftChars="800"/>
      </w:pPr>
      <w:hyperlink w:anchor="Top_of_index_split_284_html">
        <w:r>
          <w:rPr>
            <w:color w:val="0000FF" w:themeColor="hyperlink"/>
            <w:u w:val="single"/>
          </w:rPr>
          <w:t>Reviews</w:t>
        </w:r>
      </w:hyperlink>
    </w:p>
    <w:p>
      <w:pPr>
        <w:pStyle w:val="Normal"/>
        <w:ind w:left="0" w:firstLineChars="0" w:firstLine="0" w:leftChars="600"/>
      </w:pPr>
      <w:hyperlink w:anchor="Top_of_index_split_284_html">
        <w:r>
          <w:rPr>
            <w:color w:val="0000FF" w:themeColor="hyperlink"/>
            <w:u w:val="single"/>
          </w:rPr>
          <w:t>Guidance for writing</w:t>
        </w:r>
      </w:hyperlink>
    </w:p>
    <w:p>
      <w:pPr>
        <w:pStyle w:val="Normal"/>
        <w:ind w:left="0" w:firstLineChars="0" w:firstLine="0" w:leftChars="800"/>
      </w:pPr>
      <w:hyperlink w:anchor="Top_of_index_split_284_html">
        <w:r>
          <w:rPr>
            <w:color w:val="0000FF" w:themeColor="hyperlink"/>
            <w:u w:val="single"/>
          </w:rPr>
          <w:t>Files and structure</w:t>
        </w:r>
      </w:hyperlink>
    </w:p>
    <w:p>
      <w:pPr>
        <w:pStyle w:val="Normal"/>
        <w:ind w:left="0" w:firstLineChars="0" w:firstLine="0" w:leftChars="800"/>
      </w:pPr>
      <w:hyperlink w:anchor="page_973">
        <w:r>
          <w:rPr>
            <w:color w:val="0000FF" w:themeColor="hyperlink"/>
            <w:u w:val="single"/>
          </w:rPr>
          <w:t>Versioning policy</w:t>
        </w:r>
      </w:hyperlink>
    </w:p>
    <w:p>
      <w:pPr>
        <w:pStyle w:val="Normal"/>
        <w:ind w:left="0" w:firstLineChars="0" w:firstLine="0" w:leftChars="1000"/>
      </w:pPr>
      <w:hyperlink w:anchor="page_973">
        <w:r>
          <w:rPr>
            <w:color w:val="0000FF" w:themeColor="hyperlink"/>
            <w:u w:val="single"/>
          </w:rPr>
          <w:t>Versioning by admonition</w:t>
        </w:r>
      </w:hyperlink>
    </w:p>
    <w:p>
      <w:pPr>
        <w:pStyle w:val="Normal"/>
        <w:ind w:left="0" w:firstLineChars="0" w:firstLine="0" w:leftChars="1000"/>
      </w:pPr>
      <w:hyperlink w:anchor="page_973">
        <w:r>
          <w:rPr>
            <w:color w:val="0000FF" w:themeColor="hyperlink"/>
            <w:u w:val="single"/>
          </w:rPr>
          <w:t>Versioning by tabs</w:t>
        </w:r>
      </w:hyperlink>
    </w:p>
    <w:p>
      <w:pPr>
        <w:pStyle w:val="Normal"/>
        <w:ind w:left="0" w:firstLineChars="0" w:firstLine="0" w:leftChars="800"/>
      </w:pPr>
      <w:hyperlink w:anchor="page_973">
        <w:r>
          <w:rPr>
            <w:color w:val="0000FF" w:themeColor="hyperlink"/>
            <w:u w:val="single"/>
          </w:rPr>
          <w:t>Style guide</w:t>
        </w:r>
      </w:hyperlink>
    </w:p>
    <w:p>
      <w:pPr>
        <w:pStyle w:val="Normal"/>
        <w:ind w:left="0" w:firstLineChars="0" w:firstLine="0" w:leftChars="1000"/>
      </w:pPr>
      <w:hyperlink w:anchor="Top_of_index_split_285_html">
        <w:r>
          <w:rPr>
            <w:color w:val="0000FF" w:themeColor="hyperlink"/>
            <w:u w:val="single"/>
          </w:rPr>
          <w:t>Language</w:t>
        </w:r>
      </w:hyperlink>
    </w:p>
    <w:p>
      <w:pPr>
        <w:pStyle w:val="Normal"/>
        <w:ind w:left="0" w:firstLineChars="0" w:firstLine="0" w:leftChars="1000"/>
      </w:pPr>
      <w:hyperlink w:anchor="Top_of_index_split_285_html">
        <w:r>
          <w:rPr>
            <w:color w:val="0000FF" w:themeColor="hyperlink"/>
            <w:u w:val="single"/>
          </w:rPr>
          <w:t>Acronyms</w:t>
        </w:r>
      </w:hyperlink>
    </w:p>
    <w:p>
      <w:pPr>
        <w:pStyle w:val="Normal"/>
        <w:ind w:left="0" w:firstLineChars="0" w:firstLine="0" w:leftChars="1000"/>
      </w:pPr>
      <w:hyperlink w:anchor="Top_of_index_split_285_html">
        <w:r>
          <w:rPr>
            <w:color w:val="0000FF" w:themeColor="hyperlink"/>
            <w:u w:val="single"/>
          </w:rPr>
          <w:t>Links</w:t>
        </w:r>
      </w:hyperlink>
    </w:p>
    <w:p>
      <w:pPr>
        <w:pStyle w:val="Normal"/>
        <w:ind w:left="0" w:firstLineChars="0" w:firstLine="0" w:leftChars="1000"/>
      </w:pPr>
      <w:hyperlink w:anchor="Top_of_index_split_285_html">
        <w:r>
          <w:rPr>
            <w:color w:val="0000FF" w:themeColor="hyperlink"/>
            <w:u w:val="single"/>
          </w:rPr>
          <w:t>Writing style</w:t>
        </w:r>
      </w:hyperlink>
    </w:p>
    <w:p>
      <w:pPr>
        <w:pStyle w:val="Normal"/>
        <w:ind w:left="0" w:firstLineChars="0" w:firstLine="0" w:leftChars="800"/>
      </w:pPr>
      <w:hyperlink w:anchor="page_975">
        <w:r>
          <w:rPr>
            <w:color w:val="0000FF" w:themeColor="hyperlink"/>
            <w:u w:val="single"/>
          </w:rPr>
          <w:t>Markdown elements</w:t>
        </w:r>
      </w:hyperlink>
    </w:p>
    <w:p>
      <w:pPr>
        <w:pStyle w:val="Normal"/>
        <w:ind w:left="0" w:firstLineChars="0" w:firstLine="0" w:leftChars="1000"/>
      </w:pPr>
      <w:hyperlink w:anchor="page_975">
        <w:r>
          <w:rPr>
            <w:color w:val="0000FF" w:themeColor="hyperlink"/>
            <w:u w:val="single"/>
          </w:rPr>
          <w:t>Sections and headings</w:t>
        </w:r>
      </w:hyperlink>
    </w:p>
    <w:p>
      <w:pPr>
        <w:pStyle w:val="Normal"/>
        <w:ind w:left="0" w:firstLineChars="0" w:firstLine="0" w:leftChars="1000"/>
      </w:pPr>
      <w:hyperlink w:anchor="page_975">
        <w:r>
          <w:rPr>
            <w:color w:val="0000FF" w:themeColor="hyperlink"/>
            <w:u w:val="single"/>
          </w:rPr>
          <w:t>Semantic markup</w:t>
        </w:r>
      </w:hyperlink>
    </w:p>
    <w:p>
      <w:pPr>
        <w:pStyle w:val="Normal"/>
        <w:ind w:left="0" w:firstLineChars="0" w:firstLine="0" w:leftChars="1000"/>
      </w:pPr>
      <w:hyperlink w:anchor="page_976">
        <w:r>
          <w:rPr>
            <w:color w:val="0000FF" w:themeColor="hyperlink"/>
            <w:u w:val="single"/>
          </w:rPr>
          <w:t>Lists</w:t>
        </w:r>
      </w:hyperlink>
    </w:p>
    <w:p>
      <w:pPr>
        <w:pStyle w:val="Normal"/>
        <w:ind w:left="0" w:firstLineChars="0" w:firstLine="0" w:leftChars="1000"/>
      </w:pPr>
      <w:hyperlink w:anchor="page_976">
        <w:r>
          <w:rPr>
            <w:color w:val="0000FF" w:themeColor="hyperlink"/>
            <w:u w:val="single"/>
          </w:rPr>
          <w:t>Code blocks</w:t>
        </w:r>
      </w:hyperlink>
    </w:p>
    <w:p>
      <w:pPr>
        <w:pStyle w:val="Normal"/>
        <w:ind w:left="0" w:firstLineChars="0" w:firstLine="0" w:leftChars="600"/>
      </w:pPr>
      <w:hyperlink w:anchor="page_976">
        <w:r>
          <w:rPr>
            <w:color w:val="0000FF" w:themeColor="hyperlink"/>
            <w:u w:val="single"/>
          </w:rPr>
          <w:t>Getting help</w:t>
        </w:r>
      </w:hyperlink>
    </w:p>
    <w:p>
      <w:pPr>
        <w:pStyle w:val="Normal"/>
        <w:ind w:left="0" w:firstLineChars="0" w:firstLine="0" w:leftChars="800"/>
      </w:pPr>
      <w:hyperlink w:anchor="Top_of_index_split_286_html">
        <w:r>
          <w:rPr>
            <w:color w:val="0000FF" w:themeColor="hyperlink"/>
            <w:u w:val="single"/>
          </w:rPr>
          <w:t>Directly on GitHub issues</w:t>
        </w:r>
      </w:hyperlink>
    </w:p>
    <w:p>
      <w:pPr>
        <w:pStyle w:val="Normal"/>
        <w:ind w:left="0" w:firstLineChars="0" w:firstLine="0" w:leftChars="800"/>
      </w:pPr>
      <w:hyperlink w:anchor="Top_of_index_split_286_html">
        <w:r>
          <w:rPr>
            <w:color w:val="0000FF" w:themeColor="hyperlink"/>
            <w:u w:val="single"/>
          </w:rPr>
          <w:t>Help with your submission</w:t>
        </w:r>
      </w:hyperlink>
    </w:p>
    <w:p>
      <w:pPr>
        <w:pStyle w:val="Normal"/>
        <w:ind w:left="0" w:firstLineChars="0" w:firstLine="0" w:leftChars="800"/>
      </w:pPr>
      <w:hyperlink w:anchor="Top_of_index_split_286_html">
        <w:r>
          <w:rPr>
            <w:color w:val="0000FF" w:themeColor="hyperlink"/>
            <w:u w:val="single"/>
          </w:rPr>
          <w:t>Community forums</w:t>
        </w:r>
      </w:hyperlink>
    </w:p>
    <w:p>
      <w:pPr>
        <w:pStyle w:val="Normal"/>
        <w:ind w:left="0" w:firstLineChars="0" w:firstLine="0" w:leftChars="800"/>
      </w:pPr>
      <w:hyperlink w:anchor="Top_of_index_split_286_html">
        <w:r>
          <w:rPr>
            <w:color w:val="0000FF" w:themeColor="hyperlink"/>
            <w:u w:val="single"/>
          </w:rPr>
          <w:t>Chat to us</w:t>
        </w:r>
      </w:hyperlink>
    </w:p>
    <w:p>
      <w:pPr>
        <w:pStyle w:val="Normal"/>
        <w:ind w:left="0" w:firstLineChars="0" w:firstLine="0" w:leftChars="600"/>
      </w:pPr>
      <w:hyperlink w:anchor="Top_of_index_split_286_html">
        <w:r>
          <w:rPr>
            <w:color w:val="0000FF" w:themeColor="hyperlink"/>
            <w:u w:val="single"/>
          </w:rPr>
          <w:t>Our contributors</w:t>
        </w:r>
      </w:hyperlink>
    </w:p>
    <w:p>
      <w:pPr>
        <w:pStyle w:val="Normal"/>
        <w:ind w:left="0" w:firstLineChars="0" w:firstLine="0" w:leftChars="800"/>
      </w:pPr>
      <w:hyperlink w:anchor="page_978">
        <w:r>
          <w:rPr>
            <w:color w:val="0000FF" w:themeColor="hyperlink"/>
            <w:u w:val="single"/>
          </w:rPr>
          <w:t>Content updates</w:t>
        </w:r>
      </w:hyperlink>
    </w:p>
    <w:p>
      <w:pPr>
        <w:pStyle w:val="Normal"/>
        <w:ind w:left="0" w:firstLineChars="0" w:firstLine="0" w:leftChars="800"/>
      </w:pPr>
      <w:hyperlink w:anchor="Top_of_index_split_287_html">
        <w:r>
          <w:rPr>
            <w:color w:val="0000FF" w:themeColor="hyperlink"/>
            <w:u w:val="single"/>
          </w:rPr>
          <w:t>Copyediting and proofreading</w:t>
        </w:r>
      </w:hyperlink>
    </w:p>
    <w:p>
      <w:pPr>
        <w:pStyle w:val="Normal"/>
        <w:ind w:left="0" w:firstLineChars="0" w:firstLine="0" w:leftChars="800"/>
      </w:pPr>
      <w:hyperlink w:anchor="page_980">
        <w:r>
          <w:rPr>
            <w:color w:val="0000FF" w:themeColor="hyperlink"/>
            <w:u w:val="single"/>
          </w:rPr>
          <w:t>Error fixes</w:t>
        </w:r>
      </w:hyperlink>
    </w:p>
    <w:p>
      <w:pPr>
        <w:pStyle w:val="Normal"/>
        <w:ind w:left="0" w:firstLineChars="0" w:firstLine="0" w:leftChars="800"/>
      </w:pPr>
      <w:hyperlink w:anchor="page_980">
        <w:r>
          <w:rPr>
            <w:color w:val="0000FF" w:themeColor="hyperlink"/>
            <w:u w:val="single"/>
          </w:rPr>
          <w:t>Functionality and enhancements</w:t>
        </w:r>
      </w:hyperlink>
    </w:p>
    <w:p>
      <w:pPr>
        <w:pStyle w:val="Normal"/>
        <w:ind w:left="0" w:firstLineChars="0" w:firstLine="0" w:leftChars="800"/>
      </w:pPr>
      <w:hyperlink w:anchor="page_981">
        <w:r>
          <w:rPr>
            <w:color w:val="0000FF" w:themeColor="hyperlink"/>
            <w:u w:val="single"/>
          </w:rPr>
          <w:t>Glossary</w:t>
        </w:r>
      </w:hyperlink>
    </w:p>
    <w:p>
      <w:pPr>
        <w:pStyle w:val="Normal"/>
        <w:ind w:left="0" w:firstLineChars="0" w:firstLine="0" w:leftChars="800"/>
      </w:pPr>
      <w:hyperlink w:anchor="Top_of_index_split_288_html">
        <w:r>
          <w:rPr>
            <w:color w:val="0000FF" w:themeColor="hyperlink"/>
            <w:u w:val="single"/>
          </w:rPr>
          <w:t>PDF improvements</w:t>
        </w:r>
      </w:hyperlink>
      <w:r>
        <w:fldChar w:fldCharType="end"/>
      </w:r>
    </w:p>
    <w:p>
      <w:bookmarkStart w:id="1" w:name="Ubuntu_Server"/>
      <w:pPr>
        <w:pStyle w:val="Para 58"/>
        <w:pageBreakBefore w:val="on"/>
      </w:pPr>
      <w:r>
        <w:t>Ubuntu Server</w:t>
      </w:r>
      <w:bookmarkEnd w:id="1"/>
    </w:p>
    <w:p>
      <w:pPr>
        <w:pStyle w:val="Para 17"/>
      </w:pPr>
      <w:r>
        <w:t/>
      </w:r>
    </w:p>
    <w:p>
      <w:pPr>
        <w:pStyle w:val="Para 47"/>
      </w:pPr>
      <w:r>
        <w:t>© 2026 Canonical Ltd.</w:t>
      </w:r>
    </w:p>
    <w:p>
      <w:pPr>
        <w:pStyle w:val="Para 47"/>
      </w:pPr>
      <w:r>
        <w:t>All rights reserved.</w:t>
      </w:r>
    </w:p>
    <w:p>
      <w:bookmarkStart w:id="2" w:name="page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 name="index-2_1.png" descr="index-2_1.png"/>
            <wp:cNvGraphicFramePr>
              <a:graphicFrameLocks noChangeAspect="1"/>
            </wp:cNvGraphicFramePr>
            <a:graphic>
              <a:graphicData uri="http://schemas.openxmlformats.org/drawingml/2006/picture">
                <pic:pic>
                  <pic:nvPicPr>
                    <pic:cNvPr id="0" name="index-2_1.png" descr="index-2_1.png"/>
                    <pic:cNvPicPr/>
                  </pic:nvPicPr>
                  <pic:blipFill>
                    <a:blip r:embed="rId5"/>
                    <a:stretch>
                      <a:fillRect/>
                    </a:stretch>
                  </pic:blipFill>
                  <pic:spPr>
                    <a:xfrm>
                      <a:off x="0" y="0"/>
                      <a:ext cx="914400" cy="266700"/>
                    </a:xfrm>
                    <a:prstGeom prst="rect">
                      <a:avLst/>
                    </a:prstGeom>
                  </pic:spPr>
                </pic:pic>
              </a:graphicData>
            </a:graphic>
          </wp:anchor>
        </w:drawing>
      </w:r>
      <w:bookmarkEnd w:id="2"/>
    </w:p>
    <w:p>
      <w:bookmarkStart w:id="3" w:name="Contents"/>
      <w:bookmarkStart w:id="4" w:name="Top_of_index_split_001_html"/>
      <w:pPr>
        <w:pStyle w:val="Para 59"/>
        <w:pageBreakBefore w:val="on"/>
      </w:pPr>
      <w:r>
        <w:t>Contents</w:t>
      </w:r>
      <w:bookmarkEnd w:id="3"/>
      <w:bookmarkEnd w:id="4"/>
    </w:p>
    <w:p>
      <w:pPr>
        <w:pStyle w:val="Para 17"/>
      </w:pPr>
      <w:r>
        <w:t/>
      </w:r>
    </w:p>
    <w:p>
      <w:pPr>
        <w:pStyle w:val="Para 48"/>
      </w:pPr>
      <w:hyperlink w:anchor="page_4">
        <w:r>
          <w:t>1 In this documentation</w:t>
        </w:r>
      </w:hyperlink>
      <w:r>
        <w:rPr>
          <w:rStyle w:val="Text18"/>
        </w:rPr>
        <w:t xml:space="preserve"> </w:t>
      </w:r>
      <w:r>
        <w:rPr>
          <w:rStyle w:val="Text7"/>
        </w:rPr>
        <w:t>3</w:t>
      </w:r>
    </w:p>
    <w:p>
      <w:pPr>
        <w:pStyle w:val="Para 04"/>
      </w:pPr>
      <w:hyperlink w:anchor="page_4">
        <w:r>
          <w:rPr>
            <w:rStyle w:val="Text1"/>
          </w:rPr>
          <w:t>1.1 Getting started</w:t>
        </w:r>
      </w:hyperlink>
      <w:r>
        <w:t xml:space="preserve"> . . . . . . . . . . . . . . . . . . . . . . . . . . . . . . . . . . . . . . 3</w:t>
      </w:r>
    </w:p>
    <w:p>
      <w:pPr>
        <w:pStyle w:val="Para 04"/>
      </w:pPr>
      <w:hyperlink w:anchor="page_4">
        <w:r>
          <w:rPr>
            <w:rStyle w:val="Text1"/>
          </w:rPr>
          <w:t>1.2 Networking</w:t>
        </w:r>
      </w:hyperlink>
      <w:r>
        <w:t xml:space="preserve"> . . . . . . . . . . . . . . . . . . . . . . . . . . . . . . . . . . . . . . . . 3</w:t>
      </w:r>
    </w:p>
    <w:p>
      <w:pPr>
        <w:pStyle w:val="Para 04"/>
      </w:pPr>
      <w:hyperlink w:anchor="page_4">
        <w:r>
          <w:rPr>
            <w:rStyle w:val="Text1"/>
          </w:rPr>
          <w:t>1.3 Security</w:t>
        </w:r>
      </w:hyperlink>
      <w:r>
        <w:t xml:space="preserve"> . . . . . . . . . . . . . . . . . . . . . . . . . . . . . . . . . . . . . . . . . . 3</w:t>
      </w:r>
    </w:p>
    <w:p>
      <w:pPr>
        <w:pStyle w:val="Para 04"/>
      </w:pPr>
      <w:hyperlink w:anchor="page_5">
        <w:r>
          <w:rPr>
            <w:rStyle w:val="Text1"/>
          </w:rPr>
          <w:t>1.4 Managing your system</w:t>
        </w:r>
      </w:hyperlink>
      <w:r>
        <w:t xml:space="preserve"> . . . . . . . . . . . . . . . . . . . . . . . . . . . . . . . . . 4</w:t>
      </w:r>
    </w:p>
    <w:p>
      <w:pPr>
        <w:pStyle w:val="Para 04"/>
      </w:pPr>
      <w:hyperlink w:anchor="page_5">
        <w:r>
          <w:rPr>
            <w:rStyle w:val="Text1"/>
          </w:rPr>
          <w:t>1.5 Data and storage</w:t>
        </w:r>
      </w:hyperlink>
      <w:r>
        <w:t xml:space="preserve"> . . . . . . . . . . . . . . . . . . . . . . . . . . . . . . . . . . . . . 4</w:t>
      </w:r>
    </w:p>
    <w:p>
      <w:pPr>
        <w:pStyle w:val="Para 04"/>
      </w:pPr>
      <w:hyperlink w:anchor="page_5">
        <w:r>
          <w:rPr>
            <w:rStyle w:val="Text1"/>
          </w:rPr>
          <w:t>1.6 Web and mail services</w:t>
        </w:r>
      </w:hyperlink>
      <w:r>
        <w:t xml:space="preserve"> . . . . . . . . . . . . . . . . . . . . . . . . . . . . . . . . . . 4</w:t>
      </w:r>
    </w:p>
    <w:p>
      <w:pPr>
        <w:pStyle w:val="Para 04"/>
      </w:pPr>
      <w:hyperlink w:anchor="page_5">
        <w:r>
          <w:rPr>
            <w:rStyle w:val="Text1"/>
          </w:rPr>
          <w:t>1.7 Virtualisation and containers</w:t>
        </w:r>
      </w:hyperlink>
      <w:r>
        <w:t xml:space="preserve"> . . . . . . . . . . . . . . . . . . . . . . . . . . . . . . 4</w:t>
      </w:r>
    </w:p>
    <w:p>
      <w:pPr>
        <w:pStyle w:val="Para 04"/>
      </w:pPr>
      <w:hyperlink w:anchor="page_6">
        <w:r>
          <w:rPr>
            <w:rStyle w:val="Text1"/>
          </w:rPr>
          <w:t>1.8 Performance</w:t>
        </w:r>
      </w:hyperlink>
      <w:r>
        <w:t xml:space="preserve"> . . . . . . . . . . . . . . . . . . . . . . . . . . . . . . . . . . . . . . . 5</w:t>
      </w:r>
    </w:p>
    <w:p>
      <w:pPr>
        <w:pStyle w:val="Para 48"/>
      </w:pPr>
      <w:hyperlink w:anchor="page_7">
        <w:r>
          <w:t>2 How this documentation is organized</w:t>
        </w:r>
      </w:hyperlink>
      <w:r>
        <w:rPr>
          <w:rStyle w:val="Text18"/>
        </w:rPr>
        <w:t xml:space="preserve"> </w:t>
      </w:r>
      <w:r>
        <w:rPr>
          <w:rStyle w:val="Text7"/>
        </w:rPr>
        <w:t>6</w:t>
      </w:r>
    </w:p>
    <w:p>
      <w:pPr>
        <w:pStyle w:val="Para 48"/>
      </w:pPr>
      <w:hyperlink w:anchor="page_8">
        <w:r>
          <w:t>3 Project and community</w:t>
        </w:r>
      </w:hyperlink>
      <w:r>
        <w:rPr>
          <w:rStyle w:val="Text18"/>
        </w:rPr>
        <w:t xml:space="preserve"> </w:t>
      </w:r>
      <w:r>
        <w:rPr>
          <w:rStyle w:val="Text7"/>
        </w:rPr>
        <w:t>7</w:t>
      </w:r>
    </w:p>
    <w:p>
      <w:pPr>
        <w:pStyle w:val="Para 04"/>
      </w:pPr>
      <w:hyperlink w:anchor="page_8">
        <w:r>
          <w:rPr>
            <w:rStyle w:val="Text1"/>
          </w:rPr>
          <w:t>3.1 Ubuntu Server tutorial</w:t>
        </w:r>
      </w:hyperlink>
      <w:r>
        <w:t xml:space="preserve"> . . . . . . . . . . . . . . . . . . . . . . . . . . . . . . . . . 7</w:t>
      </w:r>
    </w:p>
    <w:p>
      <w:pPr>
        <w:pStyle w:val="Para 04"/>
      </w:pPr>
      <w:hyperlink w:anchor="page_38">
        <w:r>
          <w:rPr>
            <w:rStyle w:val="Text1"/>
          </w:rPr>
          <w:t>3.2 Ubuntu Server how-to guides</w:t>
        </w:r>
      </w:hyperlink>
      <w:r>
        <w:t xml:space="preserve"> . . . . . . . . . . . . . . . . . . . . . . . . . . . . . 37</w:t>
      </w:r>
    </w:p>
    <w:p>
      <w:pPr>
        <w:pStyle w:val="Para 04"/>
      </w:pPr>
      <w:hyperlink w:anchor="page_667">
        <w:r>
          <w:rPr>
            <w:rStyle w:val="Text1"/>
          </w:rPr>
          <w:t>3.3 Ubuntu Server reference</w:t>
        </w:r>
      </w:hyperlink>
      <w:r>
        <w:t xml:space="preserve"> . . . . . . . . . . . . . . . . . . . . . . . . . . . . . . . . 666</w:t>
      </w:r>
    </w:p>
    <w:p>
      <w:pPr>
        <w:pStyle w:val="Para 04"/>
      </w:pPr>
      <w:hyperlink w:anchor="page_733">
        <w:r>
          <w:rPr>
            <w:rStyle w:val="Text1"/>
          </w:rPr>
          <w:t>3.4 Ubuntu Server explanation guides</w:t>
        </w:r>
      </w:hyperlink>
      <w:r>
        <w:t xml:space="preserve"> . . . . . . . . . . . . . . . . . . . . . . . . . . 732</w:t>
      </w:r>
    </w:p>
    <w:p>
      <w:pPr>
        <w:pStyle w:val="Para 04"/>
      </w:pPr>
      <w:hyperlink w:anchor="page_961">
        <w:r>
          <w:rPr>
            <w:rStyle w:val="Text1"/>
          </w:rPr>
          <w:t>3.5 Contribute to this documentation</w:t>
        </w:r>
      </w:hyperlink>
      <w:r>
        <w:t xml:space="preserve"> . . . . . . . . . . . . . . . . . . . . . . . . . . . 960</w:t>
      </w:r>
    </w:p>
    <w:p>
      <w:bookmarkStart w:id="5" w:name="calibre_pb_1"/>
      <w:pPr>
        <w:pStyle w:val="0 Block"/>
      </w:pPr>
      <w:bookmarkEnd w:id="5"/>
    </w:p>
    <w:p>
      <w:bookmarkStart w:id="6" w:name="page_3"/>
      <w:bookmarkStart w:id="7" w:name="Top_of_index_split_00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 name="index-3_1.png" descr="index-3_1.png"/>
            <wp:cNvGraphicFramePr>
              <a:graphicFrameLocks noChangeAspect="1"/>
            </wp:cNvGraphicFramePr>
            <a:graphic>
              <a:graphicData uri="http://schemas.openxmlformats.org/drawingml/2006/picture">
                <pic:pic>
                  <pic:nvPicPr>
                    <pic:cNvPr id="0" name="index-3_1.png" descr="index-3_1.png"/>
                    <pic:cNvPicPr/>
                  </pic:nvPicPr>
                  <pic:blipFill>
                    <a:blip r:embed="rId6"/>
                    <a:stretch>
                      <a:fillRect/>
                    </a:stretch>
                  </pic:blipFill>
                  <pic:spPr>
                    <a:xfrm>
                      <a:off x="0" y="0"/>
                      <a:ext cx="914400" cy="266700"/>
                    </a:xfrm>
                    <a:prstGeom prst="rect">
                      <a:avLst/>
                    </a:prstGeom>
                  </pic:spPr>
                </pic:pic>
              </a:graphicData>
            </a:graphic>
          </wp:anchor>
        </w:drawing>
      </w:r>
      <w:bookmarkEnd w:id="6"/>
      <w:bookmarkEnd w:id="7"/>
    </w:p>
    <w:p>
      <w:pPr>
        <w:pStyle w:val="Normal"/>
      </w:pPr>
      <w:r>
        <w:rPr>
          <w:rStyle w:val="Text0"/>
        </w:rPr>
        <w:t>Ubuntu Server</w:t>
      </w:r>
      <w:r>
        <w:t xml:space="preserve"> is a version of the Ubuntu operating system designed and engineered as a backbone for the internet.</w:t>
      </w:r>
    </w:p>
    <w:p>
      <w:pPr>
        <w:pStyle w:val="Normal"/>
      </w:pPr>
      <w:r>
        <w:t>Ubuntu Server brings economic and technical scalability to your data center, public or private. Whether you want to deploy an OpenStack cloud, a Kubernetes cluster or a 50,000-node ren-der farm, Ubuntu Server delivers the best value scale-out performance available.</w:t>
      </w:r>
    </w:p>
    <w:p>
      <w:pPr>
        <w:pStyle w:val="Normal"/>
      </w:pPr>
      <w:r>
        <w:t>This documentation always targets the latest LTS version of Ubuntu. When there are differ-ences towards older LTS releases, they are noted in the guide.</w:t>
      </w:r>
    </w:p>
    <w:p>
      <w:bookmarkStart w:id="8" w:name="calibre_pb_2"/>
      <w:pPr>
        <w:pStyle w:val="0 Block"/>
      </w:pPr>
      <w:bookmarkEnd w:id="8"/>
    </w:p>
    <w:p>
      <w:bookmarkStart w:id="9" w:name="page_4"/>
      <w:bookmarkStart w:id="10" w:name="Top_of_index_split_00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 name="index-4_1.png" descr="index-4_1.png"/>
            <wp:cNvGraphicFramePr>
              <a:graphicFrameLocks noChangeAspect="1"/>
            </wp:cNvGraphicFramePr>
            <a:graphic>
              <a:graphicData uri="http://schemas.openxmlformats.org/drawingml/2006/picture">
                <pic:pic>
                  <pic:nvPicPr>
                    <pic:cNvPr id="0" name="index-4_1.png" descr="index-4_1.png"/>
                    <pic:cNvPicPr/>
                  </pic:nvPicPr>
                  <pic:blipFill>
                    <a:blip r:embed="rId7"/>
                    <a:stretch>
                      <a:fillRect/>
                    </a:stretch>
                  </pic:blipFill>
                  <pic:spPr>
                    <a:xfrm>
                      <a:off x="0" y="0"/>
                      <a:ext cx="914400" cy="266700"/>
                    </a:xfrm>
                    <a:prstGeom prst="rect">
                      <a:avLst/>
                    </a:prstGeom>
                  </pic:spPr>
                </pic:pic>
              </a:graphicData>
            </a:graphic>
          </wp:anchor>
        </w:drawing>
      </w:r>
      <w:bookmarkEnd w:id="9"/>
      <w:bookmarkEnd w:id="10"/>
    </w:p>
    <w:p>
      <w:pPr>
        <w:pStyle w:val="Para 37"/>
      </w:pPr>
      <w:r>
        <w:t>1. In this documentation</w:t>
      </w:r>
    </w:p>
    <w:p>
      <w:pPr>
        <w:pStyle w:val="Para 17"/>
      </w:pPr>
      <w:r>
        <w:t/>
      </w:r>
    </w:p>
    <w:p>
      <w:pPr>
        <w:pStyle w:val="Para 37"/>
      </w:pPr>
      <w:r>
        <w:t>1.1. Getting started</w:t>
      </w:r>
    </w:p>
    <w:p>
      <w:pPr>
        <w:pStyle w:val="Normal"/>
      </w:pPr>
      <w:r>
        <w:t>The tutorial walks you through a fresh installation and the first steps of operating an Ubuntu Server.</w:t>
      </w:r>
    </w:p>
    <w:p>
      <w:pPr>
        <w:pStyle w:val="Para 14"/>
      </w:pPr>
      <w:r>
        <w:rPr>
          <w:rStyle w:val="Text4"/>
        </w:rPr>
        <w:t xml:space="preserve">• </w:t>
      </w:r>
      <w:r>
        <w:rPr>
          <w:rStyle w:val="Text12"/>
        </w:rPr>
        <w:t>Installation</w:t>
      </w:r>
      <w:r>
        <w:rPr>
          <w:rStyle w:val="Text4"/>
        </w:rPr>
        <w:t xml:space="preserve">: </w:t>
      </w:r>
      <w:hyperlink w:anchor="page_719">
        <w:r>
          <w:t>System requirements</w:t>
        </w:r>
      </w:hyperlink>
      <w:r>
        <w:rPr>
          <w:rStyle w:val="Text4"/>
        </w:rPr>
        <w:t xml:space="preserve"> (page 718) • </w:t>
      </w:r>
      <w:hyperlink w:anchor="page_9">
        <w:r>
          <w:t>Basic installation</w:t>
        </w:r>
      </w:hyperlink>
      <w:r>
        <w:rPr>
          <w:rStyle w:val="Text4"/>
        </w:rPr>
        <w:t xml:space="preserve"> (page 8) • </w:t>
      </w:r>
      <w:hyperlink w:anchor="page_36">
        <w:r>
          <w:t>Ubuntu Pro</w:t>
        </w:r>
      </w:hyperlink>
    </w:p>
    <w:p>
      <w:pPr>
        <w:pStyle w:val="Para 31"/>
      </w:pPr>
      <w:hyperlink w:anchor="page_36">
        <w:r>
          <w:t>subscription</w:t>
        </w:r>
      </w:hyperlink>
      <w:r>
        <w:rPr>
          <w:rStyle w:val="Text4"/>
        </w:rPr>
        <w:t xml:space="preserve"> (page 35)</w:t>
      </w:r>
    </w:p>
    <w:p>
      <w:pPr>
        <w:pStyle w:val="Para 14"/>
      </w:pPr>
      <w:r>
        <w:rPr>
          <w:rStyle w:val="Text4"/>
        </w:rPr>
        <w:t xml:space="preserve">• </w:t>
      </w:r>
      <w:r>
        <w:rPr>
          <w:rStyle w:val="Text12"/>
        </w:rPr>
        <w:t>System basics</w:t>
      </w:r>
      <w:r>
        <w:rPr>
          <w:rStyle w:val="Text4"/>
        </w:rPr>
        <w:t xml:space="preserve">: </w:t>
      </w:r>
      <w:hyperlink w:anchor="page_13">
        <w:r>
          <w:t>Managing software</w:t>
        </w:r>
      </w:hyperlink>
      <w:r>
        <w:rPr>
          <w:rStyle w:val="Text4"/>
        </w:rPr>
        <w:t xml:space="preserve"> (page 12) • </w:t>
      </w:r>
      <w:hyperlink w:anchor="page_845">
        <w:r>
          <w:t>Customizing package files</w:t>
        </w:r>
      </w:hyperlink>
      <w:r>
        <w:rPr>
          <w:rStyle w:val="Text4"/>
        </w:rPr>
        <w:t xml:space="preserve"> (page 844) •</w:t>
      </w:r>
    </w:p>
    <w:p>
      <w:pPr>
        <w:pStyle w:val="Para 31"/>
      </w:pPr>
      <w:hyperlink w:anchor="page_839">
        <w:r>
          <w:t>Third party repository usage</w:t>
        </w:r>
      </w:hyperlink>
      <w:r>
        <w:rPr>
          <w:rStyle w:val="Text4"/>
        </w:rPr>
        <w:t xml:space="preserve"> (page 838)</w:t>
      </w:r>
    </w:p>
    <w:p>
      <w:pPr>
        <w:pStyle w:val="Para 17"/>
      </w:pPr>
      <w:r>
        <w:t/>
      </w:r>
    </w:p>
    <w:p>
      <w:pPr>
        <w:pStyle w:val="Para 37"/>
      </w:pPr>
      <w:r>
        <w:t>1.2. Networking</w:t>
      </w:r>
    </w:p>
    <w:p>
      <w:pPr>
        <w:pStyle w:val="Normal"/>
      </w:pPr>
      <w:r>
        <w:t>Configure network interfaces, provide name and address services, share resources, and syn-chronize time.</w:t>
      </w:r>
    </w:p>
    <w:p>
      <w:pPr>
        <w:pStyle w:val="Para 04"/>
      </w:pPr>
      <w:r>
        <w:t xml:space="preserve">• </w:t>
      </w:r>
      <w:r>
        <w:rPr>
          <w:rStyle w:val="Text0"/>
        </w:rPr>
        <w:t>Understanding networks</w:t>
      </w:r>
      <w:r>
        <w:t xml:space="preserve">: </w:t>
      </w:r>
      <w:hyperlink w:anchor="page_803">
        <w:r>
          <w:rPr>
            <w:rStyle w:val="Text2"/>
          </w:rPr>
          <w:t>Key concepts</w:t>
        </w:r>
      </w:hyperlink>
      <w:r>
        <w:t xml:space="preserve"> (page 802) • </w:t>
      </w:r>
      <w:hyperlink w:anchor="page_807">
        <w:r>
          <w:rPr>
            <w:rStyle w:val="Text2"/>
          </w:rPr>
          <w:t>About Netplan</w:t>
        </w:r>
      </w:hyperlink>
      <w:r>
        <w:t xml:space="preserve"> (page 806) • </w:t>
      </w:r>
      <w:hyperlink w:anchor="page_826">
        <w:r>
          <w:rPr>
            <w:rStyle w:val="Text2"/>
          </w:rPr>
          <w:t>Time</w:t>
        </w:r>
      </w:hyperlink>
    </w:p>
    <w:p>
      <w:pPr>
        <w:pStyle w:val="Para 31"/>
      </w:pPr>
      <w:hyperlink w:anchor="page_826">
        <w:r>
          <w:t>synchronization</w:t>
        </w:r>
      </w:hyperlink>
      <w:r>
        <w:rPr>
          <w:rStyle w:val="Text4"/>
        </w:rPr>
        <w:t xml:space="preserve"> (page 825)</w:t>
      </w:r>
    </w:p>
    <w:p>
      <w:pPr>
        <w:pStyle w:val="Para 14"/>
      </w:pPr>
      <w:r>
        <w:rPr>
          <w:rStyle w:val="Text4"/>
        </w:rPr>
        <w:t xml:space="preserve">• </w:t>
      </w:r>
      <w:r>
        <w:rPr>
          <w:rStyle w:val="Text12"/>
        </w:rPr>
        <w:t>Configuration</w:t>
      </w:r>
      <w:r>
        <w:rPr>
          <w:rStyle w:val="Text4"/>
        </w:rPr>
        <w:t xml:space="preserve">: </w:t>
      </w:r>
      <w:hyperlink w:anchor="page_808">
        <w:r>
          <w:t>Using Netplan</w:t>
        </w:r>
      </w:hyperlink>
      <w:r>
        <w:rPr>
          <w:rStyle w:val="Text4"/>
        </w:rPr>
        <w:t xml:space="preserve"> (page 807) • </w:t>
      </w:r>
      <w:hyperlink w:anchor="page_240">
        <w:r>
          <w:t>Domain Name System (DNS)</w:t>
        </w:r>
      </w:hyperlink>
      <w:r>
        <w:rPr>
          <w:rStyle w:val="Text4"/>
        </w:rPr>
        <w:t xml:space="preserve"> (page 239) • </w:t>
      </w:r>
      <w:hyperlink w:anchor="page_268">
        <w:r>
          <w:t>Dy-</w:t>
        </w:r>
      </w:hyperlink>
    </w:p>
    <w:p>
      <w:pPr>
        <w:pStyle w:val="Para 31"/>
      </w:pPr>
      <w:hyperlink w:anchor="page_268">
        <w:r>
          <w:t>namic Host Configuration Protocol (DHCP)</w:t>
        </w:r>
      </w:hyperlink>
      <w:r>
        <w:rPr>
          <w:rStyle w:val="Text4"/>
        </w:rPr>
        <w:t xml:space="preserve"> (page 267)</w:t>
      </w:r>
    </w:p>
    <w:p>
      <w:pPr>
        <w:pStyle w:val="Para 14"/>
      </w:pPr>
      <w:r>
        <w:rPr>
          <w:rStyle w:val="Text4"/>
        </w:rPr>
        <w:t xml:space="preserve">• </w:t>
      </w:r>
      <w:r>
        <w:rPr>
          <w:rStyle w:val="Text12"/>
        </w:rPr>
        <w:t>Securing your network</w:t>
      </w:r>
      <w:r>
        <w:rPr>
          <w:rStyle w:val="Text4"/>
        </w:rPr>
        <w:t xml:space="preserve">: </w:t>
      </w:r>
      <w:hyperlink w:anchor="page_186">
        <w:r>
          <w:t>Install OpenSSH</w:t>
        </w:r>
      </w:hyperlink>
      <w:r>
        <w:rPr>
          <w:rStyle w:val="Text4"/>
        </w:rPr>
        <w:t xml:space="preserve"> (page 185) • </w:t>
      </w:r>
      <w:hyperlink w:anchor="page_121">
        <w:r>
          <w:t>Firewalls</w:t>
        </w:r>
      </w:hyperlink>
      <w:r>
        <w:rPr>
          <w:rStyle w:val="Text4"/>
        </w:rPr>
        <w:t xml:space="preserve"> (page 120) • </w:t>
      </w:r>
      <w:hyperlink w:anchor="page_741">
        <w:r>
          <w:t>DNS Secu-</w:t>
        </w:r>
      </w:hyperlink>
    </w:p>
    <w:p>
      <w:pPr>
        <w:pStyle w:val="Para 31"/>
      </w:pPr>
      <w:hyperlink w:anchor="page_741">
        <w:r>
          <w:t>rity Extensions (DNSSEC)</w:t>
        </w:r>
      </w:hyperlink>
      <w:r>
        <w:rPr>
          <w:rStyle w:val="Text4"/>
        </w:rPr>
        <w:t xml:space="preserve"> (page 740)</w:t>
      </w:r>
    </w:p>
    <w:p>
      <w:pPr>
        <w:pStyle w:val="Para 14"/>
      </w:pPr>
      <w:r>
        <w:rPr>
          <w:rStyle w:val="Text4"/>
        </w:rPr>
        <w:t xml:space="preserve">• </w:t>
      </w:r>
      <w:r>
        <w:rPr>
          <w:rStyle w:val="Text12"/>
        </w:rPr>
        <w:t>High throughput</w:t>
      </w:r>
      <w:r>
        <w:rPr>
          <w:rStyle w:val="Text4"/>
        </w:rPr>
        <w:t xml:space="preserve">: </w:t>
      </w:r>
      <w:hyperlink w:anchor="page_262">
        <w:r>
          <w:t>Open vSwitch with DPDK</w:t>
        </w:r>
      </w:hyperlink>
      <w:r>
        <w:rPr>
          <w:rStyle w:val="Text4"/>
        </w:rPr>
        <w:t xml:space="preserve"> (page 261) • </w:t>
      </w:r>
      <w:hyperlink w:anchor="page_819">
        <w:r>
          <w:t>About DPDK</w:t>
        </w:r>
      </w:hyperlink>
      <w:r>
        <w:rPr>
          <w:rStyle w:val="Text4"/>
        </w:rPr>
        <w:t xml:space="preserve"> (page 818)</w:t>
      </w:r>
    </w:p>
    <w:p>
      <w:pPr>
        <w:pStyle w:val="Para 14"/>
      </w:pPr>
      <w:r>
        <w:rPr>
          <w:rStyle w:val="Text4"/>
        </w:rPr>
        <w:t xml:space="preserve">• </w:t>
      </w:r>
      <w:r>
        <w:rPr>
          <w:rStyle w:val="Text12"/>
        </w:rPr>
        <w:t>Sharing</w:t>
      </w:r>
      <w:r>
        <w:rPr>
          <w:rStyle w:val="Text4"/>
        </w:rPr>
        <w:t xml:space="preserve">: </w:t>
      </w:r>
      <w:hyperlink w:anchor="page_285">
        <w:r>
          <w:t>Files with NFS</w:t>
        </w:r>
      </w:hyperlink>
      <w:r>
        <w:rPr>
          <w:rStyle w:val="Text4"/>
        </w:rPr>
        <w:t xml:space="preserve"> (page 284) • </w:t>
      </w:r>
      <w:hyperlink w:anchor="page_337">
        <w:r>
          <w:t>Printers with CUPS</w:t>
        </w:r>
      </w:hyperlink>
      <w:r>
        <w:rPr>
          <w:rStyle w:val="Text4"/>
        </w:rPr>
        <w:t xml:space="preserve"> (page 336)</w:t>
      </w:r>
    </w:p>
    <w:p>
      <w:pPr>
        <w:pStyle w:val="Para 04"/>
      </w:pPr>
      <w:r>
        <w:t xml:space="preserve">• </w:t>
      </w:r>
      <w:r>
        <w:rPr>
          <w:rStyle w:val="Text0"/>
        </w:rPr>
        <w:t>With Windows systems</w:t>
      </w:r>
      <w:r>
        <w:t xml:space="preserve">: </w:t>
      </w:r>
      <w:hyperlink w:anchor="page_293">
        <w:r>
          <w:rPr>
            <w:rStyle w:val="Text2"/>
          </w:rPr>
          <w:t>Samba</w:t>
        </w:r>
      </w:hyperlink>
      <w:r>
        <w:t xml:space="preserve"> (page 292) • </w:t>
      </w:r>
      <w:hyperlink w:anchor="page_327">
        <w:r>
          <w:rPr>
            <w:rStyle w:val="Text2"/>
          </w:rPr>
          <w:t>Windows Active Directory</w:t>
        </w:r>
      </w:hyperlink>
      <w:r>
        <w:t xml:space="preserve"> (page 326)</w:t>
      </w:r>
    </w:p>
    <w:p>
      <w:pPr>
        <w:pStyle w:val="Para 17"/>
      </w:pPr>
      <w:r>
        <w:t/>
      </w:r>
    </w:p>
    <w:p>
      <w:pPr>
        <w:pStyle w:val="Para 37"/>
      </w:pPr>
      <w:r>
        <w:t>1.3. Security</w:t>
      </w:r>
    </w:p>
    <w:p>
      <w:pPr>
        <w:pStyle w:val="Normal"/>
      </w:pPr>
      <w:r>
        <w:t>Protect your system with access controls, firewalls, encrypted communications, and network authentication. For more general information about security in Ubuntu, refer also to the</w:t>
      </w:r>
    </w:p>
    <w:p>
      <w:pPr>
        <w:pStyle w:val="Para 18"/>
      </w:pPr>
      <w:hyperlink r:id="rId1029">
        <w:r>
          <w:t>Ubuntu Security documentation</w:t>
        </w:r>
      </w:hyperlink>
      <w:hyperlink w:anchor="page_4">
        <w:r>
          <w:rPr>
            <w:rStyle w:val="Text10"/>
          </w:rPr>
          <w:t>1</w:t>
        </w:r>
      </w:hyperlink>
      <w:r>
        <w:rPr>
          <w:rStyle w:val="Text7"/>
        </w:rPr>
        <w:t>.</w:t>
      </w:r>
    </w:p>
    <w:p>
      <w:pPr>
        <w:pStyle w:val="Para 14"/>
      </w:pPr>
      <w:r>
        <w:rPr>
          <w:rStyle w:val="Text4"/>
        </w:rPr>
        <w:t xml:space="preserve">• </w:t>
      </w:r>
      <w:r>
        <w:rPr>
          <w:rStyle w:val="Text12"/>
        </w:rPr>
        <w:t>Understanding security</w:t>
      </w:r>
      <w:r>
        <w:rPr>
          <w:rStyle w:val="Text4"/>
        </w:rPr>
        <w:t xml:space="preserve">: </w:t>
      </w:r>
      <w:hyperlink w:anchor="page_733">
        <w:r>
          <w:t>Introduction</w:t>
        </w:r>
      </w:hyperlink>
      <w:r>
        <w:rPr>
          <w:rStyle w:val="Text4"/>
        </w:rPr>
        <w:t xml:space="preserve"> (page 732) • </w:t>
      </w:r>
      <w:hyperlink w:anchor="page_735">
        <w:r>
          <w:t>Security suggestions</w:t>
        </w:r>
      </w:hyperlink>
      <w:r>
        <w:rPr>
          <w:rStyle w:val="Text4"/>
        </w:rPr>
        <w:t xml:space="preserve"> (page 734)</w:t>
      </w:r>
    </w:p>
    <w:p>
      <w:pPr>
        <w:pStyle w:val="Para 04"/>
      </w:pPr>
      <w:r>
        <w:t xml:space="preserve">• </w:t>
      </w:r>
      <w:r>
        <w:rPr>
          <w:rStyle w:val="Text0"/>
        </w:rPr>
        <w:t>Basic security</w:t>
      </w:r>
      <w:r>
        <w:t xml:space="preserve">: </w:t>
      </w:r>
      <w:hyperlink w:anchor="page_113">
        <w:r>
          <w:rPr>
            <w:rStyle w:val="Text2"/>
          </w:rPr>
          <w:t>User management</w:t>
        </w:r>
      </w:hyperlink>
      <w:r>
        <w:t xml:space="preserve"> (page 112) • </w:t>
      </w:r>
      <w:hyperlink w:anchor="page_128">
        <w:r>
          <w:rPr>
            <w:rStyle w:val="Text2"/>
          </w:rPr>
          <w:t>AppArmor</w:t>
        </w:r>
      </w:hyperlink>
      <w:r>
        <w:t xml:space="preserve"> (page 127)</w:t>
      </w:r>
    </w:p>
    <w:p>
      <w:pPr>
        <w:pStyle w:val="Para 14"/>
      </w:pPr>
      <w:r>
        <w:rPr>
          <w:rStyle w:val="Text4"/>
        </w:rPr>
        <w:t xml:space="preserve">• </w:t>
      </w:r>
      <w:r>
        <w:rPr>
          <w:rStyle w:val="Text12"/>
        </w:rPr>
        <w:t>Authentication</w:t>
      </w:r>
      <w:r>
        <w:rPr>
          <w:rStyle w:val="Text4"/>
        </w:rPr>
        <w:t xml:space="preserve">: </w:t>
      </w:r>
      <w:hyperlink w:anchor="page_138">
        <w:r>
          <w:t>Install Kerberos</w:t>
        </w:r>
      </w:hyperlink>
      <w:r>
        <w:rPr>
          <w:rStyle w:val="Text4"/>
        </w:rPr>
        <w:t xml:space="preserve"> (page 137) • </w:t>
      </w:r>
      <w:hyperlink w:anchor="page_167">
        <w:r>
          <w:t>Set up SSSD with LDAP</w:t>
        </w:r>
      </w:hyperlink>
      <w:r>
        <w:rPr>
          <w:rStyle w:val="Text4"/>
        </w:rPr>
        <w:t xml:space="preserve"> (page 166) • </w:t>
      </w:r>
      <w:hyperlink w:anchor="page_175">
        <w:r>
          <w:t>Smart</w:t>
        </w:r>
      </w:hyperlink>
    </w:p>
    <w:p>
      <w:pPr>
        <w:pStyle w:val="Para 02"/>
      </w:pPr>
      <w:hyperlink w:anchor="page_175">
        <w:r>
          <w:rPr>
            <w:rStyle w:val="Text2"/>
          </w:rPr>
          <w:t>cards</w:t>
        </w:r>
      </w:hyperlink>
      <w:r>
        <w:t xml:space="preserve"> (page 174)</w:t>
      </w:r>
    </w:p>
    <w:p>
      <w:pPr>
        <w:pStyle w:val="Para 14"/>
      </w:pPr>
      <w:r>
        <w:rPr>
          <w:rStyle w:val="Text4"/>
        </w:rPr>
        <w:t xml:space="preserve">• </w:t>
      </w:r>
      <w:r>
        <w:rPr>
          <w:rStyle w:val="Text12"/>
        </w:rPr>
        <w:t>Cryptography</w:t>
      </w:r>
      <w:r>
        <w:rPr>
          <w:rStyle w:val="Text4"/>
        </w:rPr>
        <w:t xml:space="preserve">: </w:t>
      </w:r>
      <w:hyperlink w:anchor="page_750">
        <w:r>
          <w:t>Cryptographic libraries</w:t>
        </w:r>
      </w:hyperlink>
      <w:r>
        <w:rPr>
          <w:rStyle w:val="Text4"/>
        </w:rPr>
        <w:t xml:space="preserve"> (page 749) • </w:t>
      </w:r>
      <w:hyperlink w:anchor="page_791">
        <w:r>
          <w:t>About certificates</w:t>
        </w:r>
      </w:hyperlink>
      <w:r>
        <w:rPr>
          <w:rStyle w:val="Text4"/>
        </w:rPr>
        <w:t xml:space="preserve"> (page 790) •</w:t>
      </w:r>
    </w:p>
    <w:p>
      <w:pPr>
        <w:pStyle w:val="Para 02"/>
      </w:pPr>
      <w:hyperlink w:anchor="page_756">
        <w:r>
          <w:rPr>
            <w:rStyle w:val="Text2"/>
          </w:rPr>
          <w:t>OpenSSL</w:t>
        </w:r>
      </w:hyperlink>
      <w:r>
        <w:t xml:space="preserve"> (page 755)</w:t>
      </w:r>
    </w:p>
    <w:p>
      <w:pPr>
        <w:pStyle w:val="Para 04"/>
      </w:pPr>
      <w:r>
        <w:t xml:space="preserve">• </w:t>
      </w:r>
      <w:r>
        <w:rPr>
          <w:rStyle w:val="Text0"/>
        </w:rPr>
        <w:t>VPNs</w:t>
      </w:r>
      <w:r>
        <w:t xml:space="preserve">: </w:t>
      </w:r>
      <w:hyperlink w:anchor="page_199">
        <w:r>
          <w:rPr>
            <w:rStyle w:val="Text2"/>
          </w:rPr>
          <w:t>OpenVPN</w:t>
        </w:r>
      </w:hyperlink>
      <w:r>
        <w:t xml:space="preserve"> (page 198) • </w:t>
      </w:r>
      <w:hyperlink w:anchor="page_216">
        <w:r>
          <w:rPr>
            <w:rStyle w:val="Text2"/>
          </w:rPr>
          <w:t>WireGuard VPN</w:t>
        </w:r>
      </w:hyperlink>
      <w:r>
        <w:t xml:space="preserve"> (page 215)</w:t>
      </w:r>
    </w:p>
    <w:p>
      <w:pPr>
        <w:pStyle w:val="Para 05"/>
      </w:pPr>
      <w:r>
        <w:rPr>
          <w:rStyle w:val="Text5"/>
        </w:rPr>
        <w:t>1</w:t>
      </w:r>
      <w:r>
        <w:rPr>
          <w:rStyle w:val="Text8"/>
        </w:rPr>
        <w:t xml:space="preserve"> </w:t>
      </w:r>
      <w:r>
        <w:t>https://documentation.ubuntu.com/security/</w:t>
      </w:r>
    </w:p>
    <w:p>
      <w:bookmarkStart w:id="11" w:name="page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 name="index-5_1.png" descr="index-5_1.png"/>
            <wp:cNvGraphicFramePr>
              <a:graphicFrameLocks noChangeAspect="1"/>
            </wp:cNvGraphicFramePr>
            <a:graphic>
              <a:graphicData uri="http://schemas.openxmlformats.org/drawingml/2006/picture">
                <pic:pic>
                  <pic:nvPicPr>
                    <pic:cNvPr id="0" name="index-5_1.png" descr="index-5_1.png"/>
                    <pic:cNvPicPr/>
                  </pic:nvPicPr>
                  <pic:blipFill>
                    <a:blip r:embed="rId8"/>
                    <a:stretch>
                      <a:fillRect/>
                    </a:stretch>
                  </pic:blipFill>
                  <pic:spPr>
                    <a:xfrm>
                      <a:off x="0" y="0"/>
                      <a:ext cx="914400" cy="266700"/>
                    </a:xfrm>
                    <a:prstGeom prst="rect">
                      <a:avLst/>
                    </a:prstGeom>
                  </pic:spPr>
                </pic:pic>
              </a:graphicData>
            </a:graphic>
          </wp:anchor>
        </w:drawing>
      </w:r>
      <w:bookmarkEnd w:id="11"/>
    </w:p>
    <w:p>
      <w:pPr>
        <w:pStyle w:val="Para 37"/>
      </w:pPr>
      <w:r>
        <w:t>1.4. Managing your system</w:t>
      </w:r>
    </w:p>
    <w:p>
      <w:pPr>
        <w:pStyle w:val="Normal"/>
      </w:pPr>
      <w:r>
        <w:t>Install, update, upgrade, and troubleshoot the software packages running on your system.</w:t>
      </w:r>
    </w:p>
    <w:p>
      <w:pPr>
        <w:pStyle w:val="Para 04"/>
      </w:pPr>
      <w:r>
        <w:t xml:space="preserve">• </w:t>
      </w:r>
      <w:r>
        <w:rPr>
          <w:rStyle w:val="Text0"/>
        </w:rPr>
        <w:t>Managing software</w:t>
      </w:r>
      <w:r>
        <w:t xml:space="preserve">: </w:t>
      </w:r>
      <w:hyperlink w:anchor="page_341">
        <w:r>
          <w:rPr>
            <w:rStyle w:val="Text2"/>
          </w:rPr>
          <w:t>Package management</w:t>
        </w:r>
      </w:hyperlink>
      <w:r>
        <w:t xml:space="preserve"> (page 340) • </w:t>
      </w:r>
      <w:hyperlink w:anchor="page_468">
        <w:r>
          <w:rPr>
            <w:rStyle w:val="Text2"/>
          </w:rPr>
          <w:t>etckeeper</w:t>
        </w:r>
      </w:hyperlink>
      <w:r>
        <w:t xml:space="preserve"> (page 467) • </w:t>
      </w:r>
      <w:hyperlink w:anchor="page_362">
        <w:r>
          <w:rPr>
            <w:rStyle w:val="Text2"/>
          </w:rPr>
          <w:t>Get</w:t>
        </w:r>
      </w:hyperlink>
    </w:p>
    <w:p>
      <w:pPr>
        <w:pStyle w:val="Para 31"/>
      </w:pPr>
      <w:hyperlink w:anchor="page_362">
        <w:r>
          <w:t>older package versions using snapshots</w:t>
        </w:r>
      </w:hyperlink>
      <w:r>
        <w:rPr>
          <w:rStyle w:val="Text4"/>
        </w:rPr>
        <w:t xml:space="preserve"> (page 361)</w:t>
      </w:r>
    </w:p>
    <w:p>
      <w:pPr>
        <w:pStyle w:val="Para 04"/>
      </w:pPr>
      <w:r>
        <w:t xml:space="preserve">• </w:t>
      </w:r>
      <w:r>
        <w:rPr>
          <w:rStyle w:val="Text0"/>
        </w:rPr>
        <w:t>Update considerations</w:t>
      </w:r>
      <w:r>
        <w:t xml:space="preserve">: </w:t>
      </w:r>
      <w:hyperlink w:anchor="page_347">
        <w:r>
          <w:rPr>
            <w:rStyle w:val="Text2"/>
          </w:rPr>
          <w:t>Automatic updates</w:t>
        </w:r>
      </w:hyperlink>
      <w:r>
        <w:t xml:space="preserve"> (page 346) • </w:t>
      </w:r>
      <w:hyperlink w:anchor="page_851">
        <w:r>
          <w:rPr>
            <w:rStyle w:val="Text2"/>
          </w:rPr>
          <w:t>Phased updates</w:t>
        </w:r>
      </w:hyperlink>
      <w:r>
        <w:t xml:space="preserve"> (page 850) •</w:t>
      </w:r>
    </w:p>
    <w:p>
      <w:pPr>
        <w:pStyle w:val="Para 31"/>
      </w:pPr>
      <w:hyperlink w:anchor="page_854">
        <w:r>
          <w:t>Testing updates in advance</w:t>
        </w:r>
      </w:hyperlink>
      <w:r>
        <w:rPr>
          <w:rStyle w:val="Text4"/>
        </w:rPr>
        <w:t xml:space="preserve"> (page 853)</w:t>
      </w:r>
    </w:p>
    <w:p>
      <w:pPr>
        <w:pStyle w:val="Para 14"/>
      </w:pPr>
      <w:r>
        <w:rPr>
          <w:rStyle w:val="Text4"/>
        </w:rPr>
        <w:t xml:space="preserve">• </w:t>
      </w:r>
      <w:r>
        <w:rPr>
          <w:rStyle w:val="Text12"/>
        </w:rPr>
        <w:t>Upgrade Ubuntu version</w:t>
      </w:r>
      <w:r>
        <w:rPr>
          <w:rStyle w:val="Text4"/>
        </w:rPr>
        <w:t xml:space="preserve">: </w:t>
      </w:r>
      <w:hyperlink w:anchor="page_359">
        <w:r>
          <w:t>Release upgrades</w:t>
        </w:r>
      </w:hyperlink>
      <w:r>
        <w:rPr>
          <w:rStyle w:val="Text4"/>
        </w:rPr>
        <w:t xml:space="preserve"> (page 358) • </w:t>
      </w:r>
      <w:hyperlink w:anchor="page_901">
        <w:r>
          <w:t>Upgrade a virtual machine</w:t>
        </w:r>
      </w:hyperlink>
    </w:p>
    <w:p>
      <w:pPr>
        <w:pStyle w:val="Para 02"/>
      </w:pPr>
      <w:r>
        <w:t>(page 900)</w:t>
      </w:r>
    </w:p>
    <w:p>
      <w:pPr>
        <w:pStyle w:val="Para 14"/>
      </w:pPr>
      <w:r>
        <w:rPr>
          <w:rStyle w:val="Text4"/>
        </w:rPr>
        <w:t xml:space="preserve">• </w:t>
      </w:r>
      <w:r>
        <w:rPr>
          <w:rStyle w:val="Text12"/>
        </w:rPr>
        <w:t>Troubleshooting</w:t>
      </w:r>
      <w:r>
        <w:rPr>
          <w:rStyle w:val="Text4"/>
        </w:rPr>
        <w:t xml:space="preserve">: </w:t>
      </w:r>
      <w:hyperlink w:anchor="page_368">
        <w:r>
          <w:t>Report a bug</w:t>
        </w:r>
      </w:hyperlink>
      <w:r>
        <w:rPr>
          <w:rStyle w:val="Text4"/>
        </w:rPr>
        <w:t xml:space="preserve"> (page 367) • </w:t>
      </w:r>
      <w:hyperlink w:anchor="page_646">
        <w:r>
          <w:t>Debugging with debuginfod</w:t>
        </w:r>
      </w:hyperlink>
      <w:r>
        <w:rPr>
          <w:rStyle w:val="Text4"/>
        </w:rPr>
        <w:t xml:space="preserve"> (page 645) •</w:t>
      </w:r>
    </w:p>
    <w:p>
      <w:pPr>
        <w:pStyle w:val="Para 31"/>
      </w:pPr>
      <w:hyperlink w:anchor="page_651">
        <w:r>
          <w:t>Kernel crash dump</w:t>
        </w:r>
      </w:hyperlink>
      <w:r>
        <w:rPr>
          <w:rStyle w:val="Text4"/>
        </w:rPr>
        <w:t xml:space="preserve"> (page 650)</w:t>
      </w:r>
    </w:p>
    <w:p>
      <w:pPr>
        <w:pStyle w:val="Para 17"/>
      </w:pPr>
      <w:r>
        <w:t/>
      </w:r>
    </w:p>
    <w:p>
      <w:pPr>
        <w:pStyle w:val="Para 37"/>
      </w:pPr>
      <w:r>
        <w:t>1.5. Data and storage</w:t>
      </w:r>
    </w:p>
    <w:p>
      <w:pPr>
        <w:pStyle w:val="Normal"/>
      </w:pPr>
      <w:r>
        <w:t>Store and manage data using directory services, databases, logical volumes, and backup tools.</w:t>
      </w:r>
    </w:p>
    <w:p>
      <w:pPr>
        <w:pStyle w:val="Para 04"/>
      </w:pPr>
      <w:r>
        <w:t xml:space="preserve">• </w:t>
      </w:r>
      <w:r>
        <w:rPr>
          <w:rStyle w:val="Text0"/>
        </w:rPr>
        <w:t>Databases</w:t>
      </w:r>
      <w:r>
        <w:t xml:space="preserve">: </w:t>
      </w:r>
      <w:hyperlink w:anchor="page_412">
        <w:r>
          <w:rPr>
            <w:rStyle w:val="Text2"/>
          </w:rPr>
          <w:t>MySQL</w:t>
        </w:r>
      </w:hyperlink>
      <w:r>
        <w:t xml:space="preserve"> (page 411) • </w:t>
      </w:r>
      <w:hyperlink w:anchor="page_420">
        <w:r>
          <w:rPr>
            <w:rStyle w:val="Text2"/>
          </w:rPr>
          <w:t>PostgreSQL</w:t>
        </w:r>
      </w:hyperlink>
      <w:r>
        <w:t xml:space="preserve"> (page 419)</w:t>
      </w:r>
    </w:p>
    <w:p>
      <w:pPr>
        <w:pStyle w:val="Para 14"/>
      </w:pPr>
      <w:r>
        <w:rPr>
          <w:rStyle w:val="Text4"/>
        </w:rPr>
        <w:t xml:space="preserve">• </w:t>
      </w:r>
      <w:r>
        <w:rPr>
          <w:rStyle w:val="Text12"/>
        </w:rPr>
        <w:t>Directory services</w:t>
      </w:r>
      <w:r>
        <w:rPr>
          <w:rStyle w:val="Text4"/>
        </w:rPr>
        <w:t xml:space="preserve">: </w:t>
      </w:r>
      <w:hyperlink w:anchor="page_857">
        <w:r>
          <w:t>Introduction to OpenLDAP</w:t>
        </w:r>
      </w:hyperlink>
      <w:r>
        <w:rPr>
          <w:rStyle w:val="Text4"/>
        </w:rPr>
        <w:t xml:space="preserve"> (page 856) • </w:t>
      </w:r>
      <w:hyperlink w:anchor="page_372">
        <w:r>
          <w:t>Install OpenLDAP</w:t>
        </w:r>
      </w:hyperlink>
      <w:r>
        <w:rPr>
          <w:rStyle w:val="Text4"/>
        </w:rPr>
        <w:t xml:space="preserve"> (page 371)</w:t>
      </w:r>
    </w:p>
    <w:p>
      <w:pPr>
        <w:pStyle w:val="Para 31"/>
      </w:pPr>
      <w:r>
        <w:rPr>
          <w:rStyle w:val="Text4"/>
        </w:rPr>
        <w:t xml:space="preserve">• </w:t>
      </w:r>
      <w:hyperlink w:anchor="page_386">
        <w:r>
          <w:t>OpenLDAP replication</w:t>
        </w:r>
      </w:hyperlink>
      <w:r>
        <w:rPr>
          <w:rStyle w:val="Text4"/>
        </w:rPr>
        <w:t xml:space="preserve"> (page 385)</w:t>
      </w:r>
    </w:p>
    <w:p>
      <w:pPr>
        <w:pStyle w:val="Para 14"/>
      </w:pPr>
      <w:r>
        <w:rPr>
          <w:rStyle w:val="Text4"/>
        </w:rPr>
        <w:t xml:space="preserve">• </w:t>
      </w:r>
      <w:r>
        <w:rPr>
          <w:rStyle w:val="Text12"/>
        </w:rPr>
        <w:t>Device mapper multipathing</w:t>
      </w:r>
      <w:r>
        <w:rPr>
          <w:rStyle w:val="Text4"/>
        </w:rPr>
        <w:t xml:space="preserve">: </w:t>
      </w:r>
      <w:hyperlink w:anchor="page_861">
        <w:r>
          <w:t>Intro to multipathing</w:t>
        </w:r>
      </w:hyperlink>
      <w:r>
        <w:rPr>
          <w:rStyle w:val="Text4"/>
        </w:rPr>
        <w:t xml:space="preserve"> (page 860) • </w:t>
      </w:r>
      <w:hyperlink w:anchor="page_866">
        <w:r>
          <w:t>Multipath configura-</w:t>
        </w:r>
      </w:hyperlink>
    </w:p>
    <w:p>
      <w:pPr>
        <w:pStyle w:val="Para 31"/>
      </w:pPr>
      <w:hyperlink w:anchor="page_866">
        <w:r>
          <w:t>tion options and overview</w:t>
        </w:r>
      </w:hyperlink>
      <w:r>
        <w:rPr>
          <w:rStyle w:val="Text4"/>
        </w:rPr>
        <w:t xml:space="preserve"> (page 865)</w:t>
      </w:r>
    </w:p>
    <w:p>
      <w:pPr>
        <w:pStyle w:val="Para 14"/>
      </w:pPr>
      <w:r>
        <w:rPr>
          <w:rStyle w:val="Text4"/>
        </w:rPr>
        <w:t xml:space="preserve">• </w:t>
      </w:r>
      <w:r>
        <w:rPr>
          <w:rStyle w:val="Text12"/>
        </w:rPr>
        <w:t>Storage</w:t>
      </w:r>
      <w:r>
        <w:rPr>
          <w:rStyle w:val="Text4"/>
        </w:rPr>
        <w:t xml:space="preserve">: </w:t>
      </w:r>
      <w:hyperlink w:anchor="page_860">
        <w:r>
          <w:t>About LVM</w:t>
        </w:r>
      </w:hyperlink>
      <w:r>
        <w:rPr>
          <w:rStyle w:val="Text4"/>
        </w:rPr>
        <w:t xml:space="preserve"> (page 859) • </w:t>
      </w:r>
      <w:hyperlink w:anchor="page_424">
        <w:r>
          <w:t>Manage logical volumes</w:t>
        </w:r>
      </w:hyperlink>
      <w:r>
        <w:rPr>
          <w:rStyle w:val="Text4"/>
        </w:rPr>
        <w:t xml:space="preserve"> (page 423) • </w:t>
      </w:r>
      <w:hyperlink w:anchor="page_427">
        <w:r>
          <w:t>Sharing data stor-</w:t>
        </w:r>
      </w:hyperlink>
    </w:p>
    <w:p>
      <w:pPr>
        <w:pStyle w:val="Para 31"/>
      </w:pPr>
      <w:hyperlink w:anchor="page_427">
        <w:r>
          <w:t>age with iSCSI</w:t>
        </w:r>
      </w:hyperlink>
      <w:r>
        <w:rPr>
          <w:rStyle w:val="Text4"/>
        </w:rPr>
        <w:t xml:space="preserve"> (page 426)</w:t>
      </w:r>
    </w:p>
    <w:p>
      <w:pPr>
        <w:pStyle w:val="Para 04"/>
      </w:pPr>
      <w:r>
        <w:t xml:space="preserve">• </w:t>
      </w:r>
      <w:r>
        <w:rPr>
          <w:rStyle w:val="Text0"/>
        </w:rPr>
        <w:t>Version control</w:t>
      </w:r>
      <w:r>
        <w:t xml:space="preserve">: </w:t>
      </w:r>
      <w:hyperlink w:anchor="page_470">
        <w:r>
          <w:rPr>
            <w:rStyle w:val="Text2"/>
          </w:rPr>
          <w:t>gitolite</w:t>
        </w:r>
      </w:hyperlink>
      <w:r>
        <w:t xml:space="preserve"> (page 469)</w:t>
      </w:r>
    </w:p>
    <w:p>
      <w:pPr>
        <w:pStyle w:val="Para 17"/>
      </w:pPr>
      <w:r>
        <w:t/>
      </w:r>
    </w:p>
    <w:p>
      <w:pPr>
        <w:pStyle w:val="Para 37"/>
      </w:pPr>
      <w:r>
        <w:t>1.6. Web and mail services</w:t>
      </w:r>
    </w:p>
    <w:p>
      <w:pPr>
        <w:pStyle w:val="Normal"/>
      </w:pPr>
      <w:r>
        <w:t>Serve web content, proxy traffic, write server-side applications, and handle email.</w:t>
      </w:r>
    </w:p>
    <w:p>
      <w:pPr>
        <w:pStyle w:val="Para 04"/>
      </w:pPr>
      <w:r>
        <w:t xml:space="preserve">• </w:t>
      </w:r>
      <w:r>
        <w:rPr>
          <w:rStyle w:val="Text0"/>
        </w:rPr>
        <w:t>Web servers</w:t>
      </w:r>
      <w:r>
        <w:t xml:space="preserve">: </w:t>
      </w:r>
      <w:hyperlink w:anchor="page_889">
        <w:r>
          <w:rPr>
            <w:rStyle w:val="Text2"/>
          </w:rPr>
          <w:t>About web servers</w:t>
        </w:r>
      </w:hyperlink>
      <w:r>
        <w:t xml:space="preserve"> (page 888) • </w:t>
      </w:r>
      <w:hyperlink w:anchor="page_498">
        <w:r>
          <w:rPr>
            <w:rStyle w:val="Text2"/>
          </w:rPr>
          <w:t>Apache2</w:t>
        </w:r>
      </w:hyperlink>
      <w:r>
        <w:t xml:space="preserve"> (page 497) • </w:t>
      </w:r>
      <w:hyperlink w:anchor="page_508">
        <w:r>
          <w:rPr>
            <w:rStyle w:val="Text2"/>
          </w:rPr>
          <w:t>nginx</w:t>
        </w:r>
      </w:hyperlink>
      <w:r>
        <w:t xml:space="preserve"> (page 507)</w:t>
      </w:r>
    </w:p>
    <w:p>
      <w:pPr>
        <w:pStyle w:val="Para 14"/>
      </w:pPr>
      <w:r>
        <w:rPr>
          <w:rStyle w:val="Text4"/>
        </w:rPr>
        <w:t xml:space="preserve">• </w:t>
      </w:r>
      <w:r>
        <w:rPr>
          <w:rStyle w:val="Text12"/>
        </w:rPr>
        <w:t>Squid proxy server</w:t>
      </w:r>
      <w:r>
        <w:rPr>
          <w:rStyle w:val="Text4"/>
        </w:rPr>
        <w:t xml:space="preserve">: </w:t>
      </w:r>
      <w:hyperlink w:anchor="page_890">
        <w:r>
          <w:t>About Squid proxy</w:t>
        </w:r>
      </w:hyperlink>
      <w:r>
        <w:rPr>
          <w:rStyle w:val="Text4"/>
        </w:rPr>
        <w:t xml:space="preserve"> (page 889) • </w:t>
      </w:r>
      <w:hyperlink w:anchor="page_494">
        <w:r>
          <w:t>Install a Squid proxy server</w:t>
        </w:r>
      </w:hyperlink>
    </w:p>
    <w:p>
      <w:pPr>
        <w:pStyle w:val="Para 02"/>
      </w:pPr>
      <w:r>
        <w:t>(page 493)</w:t>
      </w:r>
    </w:p>
    <w:p>
      <w:pPr>
        <w:pStyle w:val="Para 04"/>
      </w:pPr>
      <w:r>
        <w:t xml:space="preserve">• </w:t>
      </w:r>
      <w:r>
        <w:rPr>
          <w:rStyle w:val="Text0"/>
        </w:rPr>
        <w:t>Mail services</w:t>
      </w:r>
      <w:r>
        <w:t xml:space="preserve">: </w:t>
      </w:r>
      <w:hyperlink w:anchor="page_475">
        <w:r>
          <w:rPr>
            <w:rStyle w:val="Text2"/>
          </w:rPr>
          <w:t>Postfix</w:t>
        </w:r>
      </w:hyperlink>
      <w:r>
        <w:t xml:space="preserve"> (page 474) • </w:t>
      </w:r>
      <w:hyperlink w:anchor="page_482">
        <w:r>
          <w:rPr>
            <w:rStyle w:val="Text2"/>
          </w:rPr>
          <w:t>Exim4</w:t>
        </w:r>
      </w:hyperlink>
      <w:r>
        <w:t xml:space="preserve"> (page 481) • </w:t>
      </w:r>
      <w:hyperlink w:anchor="page_491">
        <w:r>
          <w:rPr>
            <w:rStyle w:val="Text2"/>
          </w:rPr>
          <w:t>Dovecot</w:t>
        </w:r>
      </w:hyperlink>
      <w:r>
        <w:t xml:space="preserve"> (page 490)</w:t>
      </w:r>
    </w:p>
    <w:p>
      <w:pPr>
        <w:pStyle w:val="Para 17"/>
      </w:pPr>
      <w:r>
        <w:t/>
      </w:r>
    </w:p>
    <w:p>
      <w:pPr>
        <w:pStyle w:val="Para 37"/>
      </w:pPr>
      <w:r>
        <w:t>1.7. Virtualisation and containers</w:t>
      </w:r>
    </w:p>
    <w:p>
      <w:pPr>
        <w:pStyle w:val="Normal"/>
      </w:pPr>
      <w:r>
        <w:t>Run workloads in virtual machines and containers using lightweight and full-virtualisation tooling.</w:t>
      </w:r>
    </w:p>
    <w:p>
      <w:pPr>
        <w:pStyle w:val="Para 28"/>
      </w:pPr>
      <w:r>
        <w:rPr>
          <w:rStyle w:val="Text0"/>
        </w:rPr>
        <w:t xml:space="preserve">• </w:t>
      </w:r>
      <w:r>
        <w:t>Understand virtualization</w:t>
      </w:r>
      <w:r>
        <w:rPr>
          <w:rStyle w:val="Text0"/>
        </w:rPr>
        <w:t xml:space="preserve">: </w:t>
      </w:r>
      <w:hyperlink w:anchor="page_892">
        <w:r>
          <w:rPr>
            <w:rStyle w:val="Text16"/>
          </w:rPr>
          <w:t>Intro to virtualisation</w:t>
        </w:r>
      </w:hyperlink>
      <w:r>
        <w:rPr>
          <w:rStyle w:val="Text0"/>
        </w:rPr>
        <w:t xml:space="preserve"> (page 891)</w:t>
      </w:r>
    </w:p>
    <w:p>
      <w:pPr>
        <w:pStyle w:val="Para 04"/>
      </w:pPr>
      <w:r>
        <w:t xml:space="preserve">• </w:t>
      </w:r>
      <w:r>
        <w:rPr>
          <w:rStyle w:val="Text0"/>
        </w:rPr>
        <w:t>Virtual machines</w:t>
      </w:r>
      <w:r>
        <w:t xml:space="preserve">: </w:t>
      </w:r>
      <w:hyperlink w:anchor="page_541">
        <w:r>
          <w:rPr>
            <w:rStyle w:val="Text2"/>
          </w:rPr>
          <w:t>Multipass</w:t>
        </w:r>
      </w:hyperlink>
      <w:r>
        <w:t xml:space="preserve"> (page 540) • </w:t>
      </w:r>
      <w:hyperlink w:anchor="page_549">
        <w:r>
          <w:rPr>
            <w:rStyle w:val="Text2"/>
          </w:rPr>
          <w:t>QEMU</w:t>
        </w:r>
      </w:hyperlink>
      <w:r>
        <w:t xml:space="preserve"> (page 548) • </w:t>
      </w:r>
      <w:hyperlink w:anchor="page_895">
        <w:r>
          <w:rPr>
            <w:rStyle w:val="Text2"/>
          </w:rPr>
          <w:t>QEMU microvm</w:t>
        </w:r>
      </w:hyperlink>
      <w:r>
        <w:t xml:space="preserve"> (page 894)</w:t>
      </w:r>
    </w:p>
    <w:p>
      <w:pPr>
        <w:pStyle w:val="Para 14"/>
      </w:pPr>
      <w:r>
        <w:rPr>
          <w:rStyle w:val="Text4"/>
        </w:rPr>
        <w:t xml:space="preserve">• </w:t>
      </w:r>
      <w:r>
        <w:rPr>
          <w:rStyle w:val="Text12"/>
        </w:rPr>
        <w:t>VM tooling</w:t>
      </w:r>
      <w:r>
        <w:rPr>
          <w:rStyle w:val="Text4"/>
        </w:rPr>
        <w:t xml:space="preserve">: </w:t>
      </w:r>
      <w:hyperlink w:anchor="page_564">
        <w:r>
          <w:t>libvirt and virsh</w:t>
        </w:r>
      </w:hyperlink>
      <w:r>
        <w:rPr>
          <w:rStyle w:val="Text4"/>
        </w:rPr>
        <w:t xml:space="preserve"> (page 563) • </w:t>
      </w:r>
      <w:hyperlink w:anchor="page_576">
        <w:r>
          <w:t>virt-manager</w:t>
        </w:r>
      </w:hyperlink>
      <w:r>
        <w:rPr>
          <w:rStyle w:val="Text4"/>
        </w:rPr>
        <w:t xml:space="preserve"> (page 575) • </w:t>
      </w:r>
      <w:hyperlink w:anchor="page_583">
        <w:r>
          <w:t>Nested virtualization</w:t>
        </w:r>
      </w:hyperlink>
    </w:p>
    <w:p>
      <w:pPr>
        <w:pStyle w:val="Para 02"/>
      </w:pPr>
      <w:r>
        <w:t>(page 582)</w:t>
      </w:r>
    </w:p>
    <w:p>
      <w:pPr>
        <w:pStyle w:val="Para 14"/>
      </w:pPr>
      <w:r>
        <w:rPr>
          <w:rStyle w:val="Text4"/>
        </w:rPr>
        <w:t xml:space="preserve">• </w:t>
      </w:r>
      <w:r>
        <w:rPr>
          <w:rStyle w:val="Text12"/>
        </w:rPr>
        <w:t>Containers</w:t>
      </w:r>
      <w:r>
        <w:rPr>
          <w:rStyle w:val="Text4"/>
        </w:rPr>
        <w:t xml:space="preserve">: </w:t>
      </w:r>
      <w:hyperlink w:anchor="page_589">
        <w:r>
          <w:t>Docker for system admins</w:t>
        </w:r>
      </w:hyperlink>
      <w:r>
        <w:rPr>
          <w:rStyle w:val="Text4"/>
        </w:rPr>
        <w:t xml:space="preserve"> (page 588) • </w:t>
      </w:r>
      <w:hyperlink w:anchor="page_905">
        <w:r>
          <w:t>Docker storage, networking, and log-</w:t>
        </w:r>
      </w:hyperlink>
    </w:p>
    <w:p>
      <w:pPr>
        <w:pStyle w:val="Para 31"/>
      </w:pPr>
      <w:hyperlink w:anchor="page_905">
        <w:r>
          <w:t>ging</w:t>
        </w:r>
      </w:hyperlink>
      <w:r>
        <w:rPr>
          <w:rStyle w:val="Text4"/>
        </w:rPr>
        <w:t xml:space="preserve"> (page 904) • </w:t>
      </w:r>
      <w:hyperlink w:anchor="page_600">
        <w:r>
          <w:t>Run rocks on your server</w:t>
        </w:r>
      </w:hyperlink>
      <w:r>
        <w:rPr>
          <w:rStyle w:val="Text4"/>
        </w:rPr>
        <w:t xml:space="preserve"> (page 599)</w:t>
      </w:r>
    </w:p>
    <w:p>
      <w:bookmarkStart w:id="12" w:name="page_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 name="index-6_1.png" descr="index-6_1.png"/>
            <wp:cNvGraphicFramePr>
              <a:graphicFrameLocks noChangeAspect="1"/>
            </wp:cNvGraphicFramePr>
            <a:graphic>
              <a:graphicData uri="http://schemas.openxmlformats.org/drawingml/2006/picture">
                <pic:pic>
                  <pic:nvPicPr>
                    <pic:cNvPr id="0" name="index-6_1.png" descr="index-6_1.png"/>
                    <pic:cNvPicPr/>
                  </pic:nvPicPr>
                  <pic:blipFill>
                    <a:blip r:embed="rId9"/>
                    <a:stretch>
                      <a:fillRect/>
                    </a:stretch>
                  </pic:blipFill>
                  <pic:spPr>
                    <a:xfrm>
                      <a:off x="0" y="0"/>
                      <a:ext cx="914400" cy="266700"/>
                    </a:xfrm>
                    <a:prstGeom prst="rect">
                      <a:avLst/>
                    </a:prstGeom>
                  </pic:spPr>
                </pic:pic>
              </a:graphicData>
            </a:graphic>
          </wp:anchor>
        </w:drawing>
      </w:r>
      <w:bookmarkEnd w:id="12"/>
    </w:p>
    <w:p>
      <w:pPr>
        <w:pStyle w:val="Para 14"/>
      </w:pPr>
      <w:r>
        <w:rPr>
          <w:rStyle w:val="Text4"/>
        </w:rPr>
        <w:t xml:space="preserve">• </w:t>
      </w:r>
      <w:r>
        <w:rPr>
          <w:rStyle w:val="Text12"/>
        </w:rPr>
        <w:t>Deployment</w:t>
      </w:r>
      <w:r>
        <w:rPr>
          <w:rStyle w:val="Text4"/>
        </w:rPr>
        <w:t xml:space="preserve">: </w:t>
      </w:r>
      <w:hyperlink w:anchor="page_913">
        <w:r>
          <w:t>Find cloud images</w:t>
        </w:r>
      </w:hyperlink>
      <w:r>
        <w:rPr>
          <w:rStyle w:val="Text4"/>
        </w:rPr>
        <w:t xml:space="preserve"> (page 912) • </w:t>
      </w:r>
      <w:hyperlink w:anchor="page_912">
        <w:r>
          <w:t>About cloud-init</w:t>
        </w:r>
      </w:hyperlink>
      <w:r>
        <w:rPr>
          <w:rStyle w:val="Text4"/>
        </w:rPr>
        <w:t xml:space="preserve"> (page 911) • </w:t>
      </w:r>
      <w:hyperlink w:anchor="page_533">
        <w:r>
          <w:t>LXD</w:t>
        </w:r>
      </w:hyperlink>
    </w:p>
    <w:p>
      <w:pPr>
        <w:pStyle w:val="Para 02"/>
      </w:pPr>
      <w:r>
        <w:t>(page 532)</w:t>
      </w:r>
    </w:p>
    <w:p>
      <w:pPr>
        <w:pStyle w:val="Para 04"/>
      </w:pPr>
      <w:r>
        <w:t xml:space="preserve">• </w:t>
      </w:r>
      <w:r>
        <w:rPr>
          <w:rStyle w:val="Text0"/>
        </w:rPr>
        <w:t>Confidential computing</w:t>
      </w:r>
      <w:r>
        <w:t xml:space="preserve">: </w:t>
      </w:r>
      <w:hyperlink w:anchor="page_554">
        <w:r>
          <w:rPr>
            <w:rStyle w:val="Text2"/>
          </w:rPr>
          <w:t>AMD SEV</w:t>
        </w:r>
      </w:hyperlink>
      <w:r>
        <w:t xml:space="preserve"> (page 553) • </w:t>
      </w:r>
      <w:hyperlink w:anchor="page_557">
        <w:r>
          <w:rPr>
            <w:rStyle w:val="Text2"/>
          </w:rPr>
          <w:t>Intel TDX</w:t>
        </w:r>
      </w:hyperlink>
      <w:r>
        <w:t xml:space="preserve"> (page 556)</w:t>
      </w:r>
    </w:p>
    <w:p>
      <w:pPr>
        <w:pStyle w:val="Para 17"/>
      </w:pPr>
      <w:r>
        <w:t/>
      </w:r>
    </w:p>
    <w:p>
      <w:pPr>
        <w:pStyle w:val="Para 37"/>
      </w:pPr>
      <w:r>
        <w:t>1.8. Performance</w:t>
      </w:r>
    </w:p>
    <w:p>
      <w:pPr>
        <w:pStyle w:val="Normal"/>
      </w:pPr>
      <w:r>
        <w:t>Set up GPU resources and optimize system performance.</w:t>
      </w:r>
    </w:p>
    <w:p>
      <w:pPr>
        <w:pStyle w:val="Para 14"/>
      </w:pPr>
      <w:r>
        <w:rPr>
          <w:rStyle w:val="Text4"/>
        </w:rPr>
        <w:t xml:space="preserve">• </w:t>
      </w:r>
      <w:r>
        <w:rPr>
          <w:rStyle w:val="Text12"/>
        </w:rPr>
        <w:t>GPU resources</w:t>
      </w:r>
      <w:r>
        <w:rPr>
          <w:rStyle w:val="Text4"/>
        </w:rPr>
        <w:t xml:space="preserve">: </w:t>
      </w:r>
      <w:hyperlink w:anchor="page_520">
        <w:r>
          <w:t>Install Nvidia drivers</w:t>
        </w:r>
      </w:hyperlink>
      <w:r>
        <w:rPr>
          <w:rStyle w:val="Text4"/>
        </w:rPr>
        <w:t xml:space="preserve"> (page 519) • </w:t>
      </w:r>
      <w:hyperlink w:anchor="page_526">
        <w:r>
          <w:t>GPU virtualization</w:t>
        </w:r>
      </w:hyperlink>
      <w:r>
        <w:rPr>
          <w:rStyle w:val="Text4"/>
        </w:rPr>
        <w:t xml:space="preserve"> (page 525)</w:t>
      </w:r>
    </w:p>
    <w:p>
      <w:pPr>
        <w:pStyle w:val="Para 04"/>
      </w:pPr>
      <w:r>
        <w:t xml:space="preserve">• </w:t>
      </w:r>
      <w:r>
        <w:rPr>
          <w:rStyle w:val="Text0"/>
        </w:rPr>
        <w:t>Performance</w:t>
      </w:r>
      <w:r>
        <w:t xml:space="preserve">: • </w:t>
      </w:r>
      <w:hyperlink w:anchor="page_945">
        <w:r>
          <w:rPr>
            <w:rStyle w:val="Text2"/>
          </w:rPr>
          <w:t>CPU P-states</w:t>
        </w:r>
      </w:hyperlink>
      <w:r>
        <w:t xml:space="preserve"> (page 944) • </w:t>
      </w:r>
      <w:hyperlink w:anchor="page_941">
        <w:r>
          <w:rPr>
            <w:rStyle w:val="Text2"/>
          </w:rPr>
          <w:t>hwloc</w:t>
        </w:r>
      </w:hyperlink>
      <w:r>
        <w:t xml:space="preserve"> (page 940)</w:t>
      </w:r>
    </w:p>
    <w:p>
      <w:pPr>
        <w:pStyle w:val="Para 14"/>
      </w:pPr>
      <w:r>
        <w:rPr>
          <w:rStyle w:val="Text4"/>
        </w:rPr>
        <w:t xml:space="preserve">• </w:t>
      </w:r>
      <w:r>
        <w:rPr>
          <w:rStyle w:val="Text12"/>
        </w:rPr>
        <w:t>Optimization</w:t>
      </w:r>
      <w:r>
        <w:rPr>
          <w:rStyle w:val="Text4"/>
        </w:rPr>
        <w:t xml:space="preserve">: </w:t>
      </w:r>
      <w:hyperlink w:anchor="page_949">
        <w:r>
          <w:t>CPU power management</w:t>
        </w:r>
      </w:hyperlink>
      <w:r>
        <w:rPr>
          <w:rStyle w:val="Text4"/>
        </w:rPr>
        <w:t xml:space="preserve"> (page 948) • </w:t>
      </w:r>
      <w:hyperlink w:anchor="page_954">
        <w:r>
          <w:t>TuneD</w:t>
        </w:r>
      </w:hyperlink>
      <w:r>
        <w:rPr>
          <w:rStyle w:val="Text4"/>
        </w:rPr>
        <w:t xml:space="preserve"> (page 953) • </w:t>
      </w:r>
      <w:hyperlink w:anchor="page_935">
        <w:r>
          <w:t>Profile-Guided</w:t>
        </w:r>
      </w:hyperlink>
    </w:p>
    <w:p>
      <w:pPr>
        <w:pStyle w:val="Para 31"/>
      </w:pPr>
      <w:hyperlink w:anchor="page_935">
        <w:r>
          <w:t>Optimization</w:t>
        </w:r>
      </w:hyperlink>
      <w:r>
        <w:rPr>
          <w:rStyle w:val="Text4"/>
        </w:rPr>
        <w:t xml:space="preserve"> (page 934)</w:t>
      </w:r>
    </w:p>
    <w:p>
      <w:pPr>
        <w:pStyle w:val="Para 14"/>
      </w:pPr>
      <w:r>
        <w:rPr>
          <w:rStyle w:val="Text4"/>
        </w:rPr>
        <w:t xml:space="preserve">• </w:t>
      </w:r>
      <w:r>
        <w:rPr>
          <w:rStyle w:val="Text12"/>
        </w:rPr>
        <w:t>High availability</w:t>
      </w:r>
      <w:r>
        <w:rPr>
          <w:rStyle w:val="Text4"/>
        </w:rPr>
        <w:t xml:space="preserve">: </w:t>
      </w:r>
      <w:hyperlink w:anchor="page_915">
        <w:r>
          <w:t>Introduction to High Availability</w:t>
        </w:r>
      </w:hyperlink>
      <w:r>
        <w:rPr>
          <w:rStyle w:val="Text4"/>
        </w:rPr>
        <w:t xml:space="preserve"> (page 914) • </w:t>
      </w:r>
      <w:hyperlink w:anchor="page_608">
        <w:r>
          <w:t>Set up DRBD</w:t>
        </w:r>
      </w:hyperlink>
      <w:r>
        <w:rPr>
          <w:rStyle w:val="Text4"/>
        </w:rPr>
        <w:t xml:space="preserve"> (page 607)</w:t>
      </w:r>
    </w:p>
    <w:p>
      <w:pPr>
        <w:pStyle w:val="Para 31"/>
      </w:pPr>
      <w:r>
        <w:rPr>
          <w:rStyle w:val="Text4"/>
        </w:rPr>
        <w:t xml:space="preserve">• </w:t>
      </w:r>
      <w:hyperlink w:anchor="page_720">
        <w:r>
          <w:t>Migrate from crmsh to pcs</w:t>
        </w:r>
      </w:hyperlink>
      <w:r>
        <w:rPr>
          <w:rStyle w:val="Text4"/>
        </w:rPr>
        <w:t xml:space="preserve"> (page 719)</w:t>
      </w:r>
    </w:p>
    <w:p>
      <w:bookmarkStart w:id="13" w:name="calibre_pb_3"/>
      <w:pPr>
        <w:pStyle w:val="0 Block"/>
      </w:pPr>
      <w:bookmarkEnd w:id="13"/>
    </w:p>
    <w:p>
      <w:bookmarkStart w:id="14" w:name="page_7"/>
      <w:bookmarkStart w:id="15" w:name="Top_of_index_split_00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 name="index-7_1.png" descr="index-7_1.png"/>
            <wp:cNvGraphicFramePr>
              <a:graphicFrameLocks noChangeAspect="1"/>
            </wp:cNvGraphicFramePr>
            <a:graphic>
              <a:graphicData uri="http://schemas.openxmlformats.org/drawingml/2006/picture">
                <pic:pic>
                  <pic:nvPicPr>
                    <pic:cNvPr id="0" name="index-7_1.png" descr="index-7_1.png"/>
                    <pic:cNvPicPr/>
                  </pic:nvPicPr>
                  <pic:blipFill>
                    <a:blip r:embed="rId10"/>
                    <a:stretch>
                      <a:fillRect/>
                    </a:stretch>
                  </pic:blipFill>
                  <pic:spPr>
                    <a:xfrm>
                      <a:off x="0" y="0"/>
                      <a:ext cx="914400" cy="266700"/>
                    </a:xfrm>
                    <a:prstGeom prst="rect">
                      <a:avLst/>
                    </a:prstGeom>
                  </pic:spPr>
                </pic:pic>
              </a:graphicData>
            </a:graphic>
          </wp:anchor>
        </w:drawing>
      </w:r>
      <w:bookmarkEnd w:id="14"/>
      <w:bookmarkEnd w:id="15"/>
    </w:p>
    <w:p>
      <w:pPr>
        <w:pStyle w:val="Para 37"/>
      </w:pPr>
      <w:r>
        <w:t>2. How this documentation is</w:t>
      </w:r>
    </w:p>
    <w:p>
      <w:pPr>
        <w:pStyle w:val="Para 17"/>
      </w:pPr>
      <w:r>
        <w:t/>
      </w:r>
    </w:p>
    <w:p>
      <w:pPr>
        <w:pStyle w:val="Para 17"/>
      </w:pPr>
      <w:r>
        <w:t/>
      </w:r>
    </w:p>
    <w:p>
      <w:pPr>
        <w:pStyle w:val="Para 37"/>
      </w:pPr>
      <w:r>
        <w:t>organized</w:t>
      </w:r>
    </w:p>
    <w:p>
      <w:pPr>
        <w:pStyle w:val="Para 18"/>
      </w:pPr>
      <w:r>
        <w:rPr>
          <w:rStyle w:val="Text7"/>
        </w:rPr>
        <w:t xml:space="preserve">This documentation uses the </w:t>
      </w:r>
      <w:hyperlink w:anchor="page_7">
        <w:r>
          <w:rPr>
            <w:rStyle w:val="Text10"/>
          </w:rPr>
          <w:t>2</w:t>
        </w:r>
      </w:hyperlink>
      <w:r>
        <w:rPr>
          <w:rStyle w:val="Text7"/>
        </w:rPr>
        <w:t xml:space="preserve"> </w:t>
      </w:r>
      <w:hyperlink r:id="rId1030">
        <w:r>
          <w:t>Diátaxis documentation structure</w:t>
        </w:r>
      </w:hyperlink>
      <w:r>
        <w:rPr>
          <w:rStyle w:val="Text7"/>
        </w:rPr>
        <w:t>.</w:t>
      </w:r>
    </w:p>
    <w:p>
      <w:pPr>
        <w:pStyle w:val="Para 04"/>
      </w:pPr>
      <w:r>
        <w:t xml:space="preserve">• The </w:t>
      </w:r>
      <w:hyperlink w:anchor="page_8">
        <w:r>
          <w:rPr>
            <w:rStyle w:val="Text2"/>
          </w:rPr>
          <w:t>Tutorial</w:t>
        </w:r>
      </w:hyperlink>
      <w:r>
        <w:t xml:space="preserve"> (page 7) takes you step-by-step through installing and setting up your first</w:t>
      </w:r>
    </w:p>
    <w:p>
      <w:pPr>
        <w:pStyle w:val="Para 02"/>
      </w:pPr>
      <w:r>
        <w:t>Ubuntu Server system.</w:t>
      </w:r>
    </w:p>
    <w:p>
      <w:pPr>
        <w:pStyle w:val="Para 04"/>
      </w:pPr>
      <w:r>
        <w:t xml:space="preserve">• </w:t>
      </w:r>
      <w:hyperlink w:anchor="page_38">
        <w:r>
          <w:rPr>
            <w:rStyle w:val="Text2"/>
          </w:rPr>
          <w:t>How-to guides</w:t>
        </w:r>
      </w:hyperlink>
      <w:r>
        <w:t xml:space="preserve"> (page 37) assume basic familiarity with Ubuntu Server and walk you</w:t>
      </w:r>
    </w:p>
    <w:p>
      <w:pPr>
        <w:pStyle w:val="Para 02"/>
      </w:pPr>
      <w:r>
        <w:t>through specific tasks.</w:t>
      </w:r>
    </w:p>
    <w:p>
      <w:pPr>
        <w:pStyle w:val="Para 04"/>
      </w:pPr>
      <w:r>
        <w:t xml:space="preserve">• </w:t>
      </w:r>
      <w:hyperlink w:anchor="page_667">
        <w:r>
          <w:rPr>
            <w:rStyle w:val="Text2"/>
          </w:rPr>
          <w:t>Reference</w:t>
        </w:r>
      </w:hyperlink>
      <w:r>
        <w:t xml:space="preserve"> (page 666) provides system requirements, a glossary, and other technical</w:t>
      </w:r>
    </w:p>
    <w:p>
      <w:pPr>
        <w:pStyle w:val="Para 02"/>
      </w:pPr>
      <w:r>
        <w:t>specifications.</w:t>
      </w:r>
    </w:p>
    <w:p>
      <w:pPr>
        <w:pStyle w:val="Para 04"/>
      </w:pPr>
      <w:r>
        <w:t xml:space="preserve">• </w:t>
      </w:r>
      <w:hyperlink w:anchor="page_733">
        <w:r>
          <w:rPr>
            <w:rStyle w:val="Text2"/>
          </w:rPr>
          <w:t>Explanation</w:t>
        </w:r>
      </w:hyperlink>
      <w:r>
        <w:t xml:space="preserve"> (page 732) includes topic overviews, background and context, and detailed</w:t>
      </w:r>
    </w:p>
    <w:p>
      <w:pPr>
        <w:pStyle w:val="Para 02"/>
      </w:pPr>
      <w:r>
        <w:t>discussion of key concepts.</w:t>
      </w:r>
    </w:p>
    <w:p>
      <w:pPr>
        <w:pStyle w:val="Para 17"/>
      </w:pPr>
      <w:r>
        <w:t/>
      </w:r>
    </w:p>
    <w:p>
      <w:pPr>
        <w:pStyle w:val="Para 05"/>
      </w:pPr>
      <w:r>
        <w:rPr>
          <w:rStyle w:val="Text5"/>
        </w:rPr>
        <w:t>2</w:t>
      </w:r>
      <w:r>
        <w:rPr>
          <w:rStyle w:val="Text8"/>
        </w:rPr>
        <w:t xml:space="preserve"> </w:t>
      </w:r>
      <w:r>
        <w:t>https://diataxis.fr/</w:t>
      </w:r>
    </w:p>
    <w:p>
      <w:bookmarkStart w:id="16" w:name="page_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 name="index-8_1.png" descr="index-8_1.png"/>
            <wp:cNvGraphicFramePr>
              <a:graphicFrameLocks noChangeAspect="1"/>
            </wp:cNvGraphicFramePr>
            <a:graphic>
              <a:graphicData uri="http://schemas.openxmlformats.org/drawingml/2006/picture">
                <pic:pic>
                  <pic:nvPicPr>
                    <pic:cNvPr id="0" name="index-8_1.png" descr="index-8_1.png"/>
                    <pic:cNvPicPr/>
                  </pic:nvPicPr>
                  <pic:blipFill>
                    <a:blip r:embed="rId11"/>
                    <a:stretch>
                      <a:fillRect/>
                    </a:stretch>
                  </pic:blipFill>
                  <pic:spPr>
                    <a:xfrm>
                      <a:off x="0" y="0"/>
                      <a:ext cx="914400" cy="266700"/>
                    </a:xfrm>
                    <a:prstGeom prst="rect">
                      <a:avLst/>
                    </a:prstGeom>
                  </pic:spPr>
                </pic:pic>
              </a:graphicData>
            </a:graphic>
          </wp:anchor>
        </w:drawing>
      </w:r>
      <w:bookmarkEnd w:id="16"/>
    </w:p>
    <w:p>
      <w:pPr>
        <w:pStyle w:val="Para 37"/>
      </w:pPr>
      <w:r>
        <w:t>3. Project and community</w:t>
      </w:r>
    </w:p>
    <w:p>
      <w:pPr>
        <w:pStyle w:val="Normal"/>
      </w:pPr>
      <w:r>
        <w:t>Ubuntu Server is a member of the Ubuntu family. It’s an open source project that welcomes community projects, contributions, suggestions, fixes and constructive feedback.</w:t>
      </w:r>
    </w:p>
    <w:p>
      <w:pPr>
        <w:pStyle w:val="Para 13"/>
      </w:pPr>
      <w:r>
        <w:rPr>
          <w:rStyle w:val="Text7"/>
        </w:rPr>
        <w:t xml:space="preserve">• </w:t>
      </w:r>
      <w:hyperlink w:anchor="page_8">
        <w:r>
          <w:rPr>
            <w:rStyle w:val="Text10"/>
          </w:rPr>
          <w:t>3</w:t>
        </w:r>
      </w:hyperlink>
      <w:r>
        <w:rPr>
          <w:rStyle w:val="Text7"/>
        </w:rPr>
        <w:t xml:space="preserve"> </w:t>
      </w:r>
      <w:hyperlink r:id="rId1031">
        <w:r>
          <w:t>Read our Code of Conduct</w:t>
        </w:r>
      </w:hyperlink>
    </w:p>
    <w:p>
      <w:pPr>
        <w:pStyle w:val="Para 13"/>
      </w:pPr>
      <w:r>
        <w:rPr>
          <w:rStyle w:val="Text7"/>
        </w:rPr>
        <w:t xml:space="preserve">• </w:t>
      </w:r>
      <w:hyperlink r:id="rId1032">
        <w:r>
          <w:rPr>
            <w:rStyle w:val="Text10"/>
          </w:rPr>
          <w:t>4</w:t>
        </w:r>
      </w:hyperlink>
      <w:hyperlink r:id="rId1032">
        <w:r>
          <w:t xml:space="preserve"> Get community support</w:t>
        </w:r>
      </w:hyperlink>
    </w:p>
    <w:p>
      <w:pPr>
        <w:pStyle w:val="Para 13"/>
      </w:pPr>
      <w:r>
        <w:rPr>
          <w:rStyle w:val="Text7"/>
        </w:rPr>
        <w:t xml:space="preserve">• </w:t>
      </w:r>
      <w:hyperlink r:id="rId1033">
        <w:r>
          <w:rPr>
            <w:rStyle w:val="Text10"/>
          </w:rPr>
          <w:t>5</w:t>
        </w:r>
      </w:hyperlink>
      <w:hyperlink r:id="rId1033">
        <w:r>
          <w:t xml:space="preserve"> Join the Discourse forum</w:t>
        </w:r>
      </w:hyperlink>
    </w:p>
    <w:p>
      <w:pPr>
        <w:pStyle w:val="Para 13"/>
      </w:pPr>
      <w:r>
        <w:rPr>
          <w:rStyle w:val="Text7"/>
        </w:rPr>
        <w:t xml:space="preserve">• </w:t>
      </w:r>
      <w:hyperlink r:id="rId1034">
        <w:r>
          <w:rPr>
            <w:rStyle w:val="Text10"/>
          </w:rPr>
          <w:t>6</w:t>
        </w:r>
      </w:hyperlink>
      <w:hyperlink r:id="rId1034">
        <w:r>
          <w:t xml:space="preserve"> Chat to us on Matrix</w:t>
        </w:r>
      </w:hyperlink>
    </w:p>
    <w:p>
      <w:pPr>
        <w:pStyle w:val="Para 14"/>
      </w:pPr>
      <w:r>
        <w:rPr>
          <w:rStyle w:val="Text4"/>
        </w:rPr>
        <w:t xml:space="preserve">• </w:t>
      </w:r>
      <w:hyperlink w:anchor="page_961">
        <w:r>
          <w:t>Contribute to this documentation</w:t>
        </w:r>
      </w:hyperlink>
      <w:r>
        <w:rPr>
          <w:rStyle w:val="Text4"/>
        </w:rPr>
        <w:t xml:space="preserve"> (page 960)</w:t>
      </w:r>
    </w:p>
    <w:p>
      <w:pPr>
        <w:pStyle w:val="Normal"/>
      </w:pPr>
      <w:r>
        <w:t>If you find any errors or have suggestions for improvements, please use the “Give feedback” button at the top of every page. This will take you to GitHub where you can share your com-ments or let us know about bugs with any page.</w:t>
      </w:r>
    </w:p>
    <w:p>
      <w:pPr>
        <w:pStyle w:val="Para 01"/>
      </w:pPr>
      <w:r>
        <w:t>Releases</w:t>
      </w:r>
    </w:p>
    <w:p>
      <w:pPr>
        <w:pStyle w:val="Para 32"/>
      </w:pPr>
      <w:hyperlink r:id="rId1035">
        <w:r>
          <w:t>Download Ubuntu Server</w:t>
        </w:r>
      </w:hyperlink>
      <w:hyperlink r:id="rId1035">
        <w:r>
          <w:rPr>
            <w:rStyle w:val="Text10"/>
          </w:rPr>
          <w:t>7</w:t>
        </w:r>
      </w:hyperlink>
    </w:p>
    <w:p>
      <w:pPr>
        <w:pStyle w:val="Para 32"/>
      </w:pPr>
      <w:hyperlink r:id="rId1036">
        <w:r>
          <w:t>Ubuntu Release Notes</w:t>
        </w:r>
      </w:hyperlink>
      <w:hyperlink r:id="rId1036">
        <w:r>
          <w:rPr>
            <w:rStyle w:val="Text10"/>
          </w:rPr>
          <w:t>8</w:t>
        </w:r>
      </w:hyperlink>
    </w:p>
    <w:p>
      <w:pPr>
        <w:pStyle w:val="Para 01"/>
      </w:pPr>
      <w:r>
        <w:t>PDF versions of this documentation</w:t>
      </w:r>
    </w:p>
    <w:p>
      <w:pPr>
        <w:pStyle w:val="Para 02"/>
      </w:pPr>
      <w:hyperlink r:id="rId1037">
        <w:r>
          <w:rPr>
            <w:rStyle w:val="Text1"/>
          </w:rPr>
          <w:t>Current PDF</w:t>
        </w:r>
      </w:hyperlink>
      <w:hyperlink w:anchor="page_8">
        <w:r>
          <w:rPr>
            <w:rStyle w:val="Text9"/>
          </w:rPr>
          <w:t>9</w:t>
        </w:r>
      </w:hyperlink>
      <w:r>
        <w:t xml:space="preserve"> (for Ubuntu 20.04 LTS onward)</w:t>
      </w:r>
    </w:p>
    <w:p>
      <w:pPr>
        <w:pStyle w:val="Para 32"/>
      </w:pPr>
      <w:hyperlink r:id="rId1038">
        <w:r>
          <w:t>Ubuntu 18.04 LTS PDF</w:t>
        </w:r>
      </w:hyperlink>
      <w:hyperlink r:id="rId1038">
        <w:r>
          <w:rPr>
            <w:rStyle w:val="Text10"/>
          </w:rPr>
          <w:t>10</w:t>
        </w:r>
      </w:hyperlink>
      <w:r>
        <w:rPr>
          <w:rStyle w:val="Text7"/>
        </w:rPr>
        <w:t xml:space="preserve"> (and earlier)</w:t>
      </w:r>
    </w:p>
    <w:p>
      <w:pPr>
        <w:pStyle w:val="Para 01"/>
      </w:pPr>
      <w:r>
        <w:t>Commercial support</w:t>
      </w:r>
    </w:p>
    <w:p>
      <w:pPr>
        <w:pStyle w:val="Para 02"/>
      </w:pPr>
      <w:r>
        <w:t xml:space="preserve">Thinking about using Ubuntu Server for your next project? </w:t>
      </w:r>
      <w:hyperlink r:id="rId1039">
        <w:r>
          <w:rPr>
            <w:rStyle w:val="Text9"/>
          </w:rPr>
          <w:t>11</w:t>
        </w:r>
      </w:hyperlink>
      <w:hyperlink r:id="rId1039">
        <w:r>
          <w:rPr>
            <w:rStyle w:val="Text1"/>
          </w:rPr>
          <w:t xml:space="preserve"> Get in touch!</w:t>
        </w:r>
      </w:hyperlink>
    </w:p>
    <w:p>
      <w:pPr>
        <w:pStyle w:val="Para 17"/>
      </w:pPr>
      <w:r>
        <w:t/>
      </w:r>
    </w:p>
    <w:p>
      <w:pPr>
        <w:pStyle w:val="Para 37"/>
      </w:pPr>
      <w:r>
        <w:t>3.1. Ubuntu Server tutorial</w:t>
      </w:r>
    </w:p>
    <w:p>
      <w:pPr>
        <w:pStyle w:val="Normal"/>
      </w:pPr>
      <w:r>
        <w:t>This tutorial should be a good place to start learning about Ubuntu Server in general, how it works, and what it’s capable of.</w:t>
      </w:r>
    </w:p>
    <w:p>
      <w:pPr>
        <w:pStyle w:val="Normal"/>
      </w:pPr>
      <w:r>
        <w:t>In our “Getting started” tutorial you will learn how to set up an Ubuntu Server; from installing using a bootable USB device, to navigating the Server installer menu.</w:t>
      </w:r>
    </w:p>
    <w:p>
      <w:pPr>
        <w:pStyle w:val="Para 05"/>
      </w:pPr>
      <w:r>
        <w:rPr>
          <w:rStyle w:val="Text5"/>
        </w:rPr>
        <w:t>3</w:t>
      </w:r>
      <w:r>
        <w:rPr>
          <w:rStyle w:val="Text8"/>
        </w:rPr>
        <w:t xml:space="preserve"> </w:t>
      </w:r>
      <w:r>
        <w:t>https://ubuntu.com/community/docs/ethos/code-of-conduct</w:t>
      </w:r>
    </w:p>
    <w:p>
      <w:pPr>
        <w:pStyle w:val="Para 05"/>
      </w:pPr>
      <w:r>
        <w:rPr>
          <w:rStyle w:val="Text5"/>
        </w:rPr>
        <w:t>4</w:t>
      </w:r>
      <w:r>
        <w:rPr>
          <w:rStyle w:val="Text8"/>
        </w:rPr>
        <w:t xml:space="preserve"> </w:t>
      </w:r>
      <w:r>
        <w:t>https://ubuntu.com/support/community-support</w:t>
      </w:r>
    </w:p>
    <w:p>
      <w:pPr>
        <w:pStyle w:val="Para 05"/>
      </w:pPr>
      <w:r>
        <w:rPr>
          <w:rStyle w:val="Text5"/>
        </w:rPr>
        <w:t>5</w:t>
      </w:r>
      <w:r>
        <w:rPr>
          <w:rStyle w:val="Text8"/>
        </w:rPr>
        <w:t xml:space="preserve"> </w:t>
      </w:r>
      <w:r>
        <w:t>https://discourse.ubuntu.com/c/project/server/17</w:t>
      </w:r>
    </w:p>
    <w:p>
      <w:pPr>
        <w:pStyle w:val="Para 05"/>
      </w:pPr>
      <w:r>
        <w:rPr>
          <w:rStyle w:val="Text5"/>
        </w:rPr>
        <w:t>6</w:t>
      </w:r>
      <w:r>
        <w:rPr>
          <w:rStyle w:val="Text8"/>
        </w:rPr>
        <w:t xml:space="preserve"> </w:t>
      </w:r>
      <w:r>
        <w:t>https://matrix.to/#/#server:ubuntu.com</w:t>
      </w:r>
    </w:p>
    <w:p>
      <w:pPr>
        <w:pStyle w:val="Para 05"/>
      </w:pPr>
      <w:r>
        <w:rPr>
          <w:rStyle w:val="Text5"/>
        </w:rPr>
        <w:t>7</w:t>
      </w:r>
      <w:r>
        <w:rPr>
          <w:rStyle w:val="Text8"/>
        </w:rPr>
        <w:t xml:space="preserve"> </w:t>
      </w:r>
      <w:r>
        <w:t>https://ubuntu.com/download/server</w:t>
      </w:r>
    </w:p>
    <w:p>
      <w:pPr>
        <w:pStyle w:val="Para 05"/>
      </w:pPr>
      <w:r>
        <w:rPr>
          <w:rStyle w:val="Text5"/>
        </w:rPr>
        <w:t>8</w:t>
      </w:r>
      <w:r>
        <w:rPr>
          <w:rStyle w:val="Text8"/>
        </w:rPr>
        <w:t xml:space="preserve"> </w:t>
      </w:r>
      <w:r>
        <w:t>https://documentation.ubuntu.com/release-notes/</w:t>
      </w:r>
    </w:p>
    <w:p>
      <w:pPr>
        <w:pStyle w:val="Para 05"/>
      </w:pPr>
      <w:r>
        <w:rPr>
          <w:rStyle w:val="Text5"/>
        </w:rPr>
        <w:t>9</w:t>
      </w:r>
      <w:r>
        <w:rPr>
          <w:rStyle w:val="Text8"/>
        </w:rPr>
        <w:t xml:space="preserve"> </w:t>
      </w:r>
      <w:r>
        <w:t>https://ubuntu.com/server/docs/_/downloads/en/latest/pdf/</w:t>
      </w:r>
    </w:p>
    <w:p>
      <w:pPr>
        <w:pStyle w:val="Para 05"/>
      </w:pPr>
      <w:r>
        <w:rPr>
          <w:rStyle w:val="Text5"/>
        </w:rPr>
        <w:t>10</w:t>
      </w:r>
      <w:r>
        <w:rPr>
          <w:rStyle w:val="Text8"/>
        </w:rPr>
        <w:t xml:space="preserve"> </w:t>
      </w:r>
      <w:r>
        <w:t>https://assets.ubuntu.com/v1/8f8ea0cf-18-04-serverguide.pdf</w:t>
      </w:r>
    </w:p>
    <w:p>
      <w:pPr>
        <w:pStyle w:val="Para 05"/>
      </w:pPr>
      <w:r>
        <w:rPr>
          <w:rStyle w:val="Text5"/>
        </w:rPr>
        <w:t>11</w:t>
      </w:r>
      <w:r>
        <w:rPr>
          <w:rStyle w:val="Text8"/>
        </w:rPr>
        <w:t xml:space="preserve"> </w:t>
      </w:r>
      <w:r>
        <w:t>https://ubuntu.com/server/contact-us?product=server</w:t>
      </w:r>
    </w:p>
    <w:p>
      <w:bookmarkStart w:id="17" w:name="calibre_pb_4"/>
      <w:pPr>
        <w:pStyle w:val="0 Block"/>
      </w:pPr>
      <w:bookmarkEnd w:id="17"/>
    </w:p>
    <w:p>
      <w:bookmarkStart w:id="18" w:name="page_9"/>
      <w:bookmarkStart w:id="19" w:name="Top_of_index_split_00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 name="index-9_1.png" descr="index-9_1.png"/>
            <wp:cNvGraphicFramePr>
              <a:graphicFrameLocks noChangeAspect="1"/>
            </wp:cNvGraphicFramePr>
            <a:graphic>
              <a:graphicData uri="http://schemas.openxmlformats.org/drawingml/2006/picture">
                <pic:pic>
                  <pic:nvPicPr>
                    <pic:cNvPr id="0" name="index-9_1.png" descr="index-9_1.png"/>
                    <pic:cNvPicPr/>
                  </pic:nvPicPr>
                  <pic:blipFill>
                    <a:blip r:embed="rId12"/>
                    <a:stretch>
                      <a:fillRect/>
                    </a:stretch>
                  </pic:blipFill>
                  <pic:spPr>
                    <a:xfrm>
                      <a:off x="0" y="0"/>
                      <a:ext cx="914400" cy="266700"/>
                    </a:xfrm>
                    <a:prstGeom prst="rect">
                      <a:avLst/>
                    </a:prstGeom>
                  </pic:spPr>
                </pic:pic>
              </a:graphicData>
            </a:graphic>
          </wp:anchor>
        </w:drawing>
      </w:r>
      <w:bookmarkEnd w:id="18"/>
      <w:bookmarkEnd w:id="19"/>
    </w:p>
    <w:p>
      <w:pPr>
        <w:pStyle w:val="Para 24"/>
      </w:pPr>
      <w:r>
        <w:t>3.1.1. Getting started</w:t>
      </w:r>
    </w:p>
    <w:p>
      <w:pPr>
        <w:pStyle w:val="Para 14"/>
      </w:pPr>
      <w:r>
        <w:rPr>
          <w:rStyle w:val="Text4"/>
        </w:rPr>
        <w:t xml:space="preserve">• </w:t>
      </w:r>
      <w:hyperlink w:anchor="page_9">
        <w:r>
          <w:t>Basic installation</w:t>
        </w:r>
      </w:hyperlink>
      <w:r>
        <w:rPr>
          <w:rStyle w:val="Text4"/>
        </w:rPr>
        <w:t xml:space="preserve"> (page 8)</w:t>
      </w:r>
    </w:p>
    <w:p>
      <w:pPr>
        <w:pStyle w:val="Para 01"/>
      </w:pPr>
      <w:r>
        <w:t>The Server installer</w:t>
      </w:r>
    </w:p>
    <w:p>
      <w:pPr>
        <w:pStyle w:val="Normal"/>
      </w:pPr>
      <w:r>
        <w:t>The Ubuntu installer has its own documentation. For more guidance on installing Ubuntu Server with the installer, you can also see these guides in the Ubuntu installer documentation (note: these pages will redirect you).</w:t>
      </w:r>
    </w:p>
    <w:p>
      <w:pPr>
        <w:pStyle w:val="Para 13"/>
      </w:pPr>
      <w:r>
        <w:rPr>
          <w:rStyle w:val="Text7"/>
        </w:rPr>
        <w:t xml:space="preserve">• </w:t>
      </w:r>
      <w:hyperlink r:id="rId1040">
        <w:r>
          <w:rPr>
            <w:rStyle w:val="Text10"/>
          </w:rPr>
          <w:t>12</w:t>
        </w:r>
      </w:hyperlink>
      <w:hyperlink r:id="rId1040">
        <w:r>
          <w:t xml:space="preserve"> Operating the Server installer</w:t>
        </w:r>
      </w:hyperlink>
    </w:p>
    <w:p>
      <w:pPr>
        <w:pStyle w:val="Para 13"/>
      </w:pPr>
      <w:r>
        <w:rPr>
          <w:rStyle w:val="Text7"/>
        </w:rPr>
        <w:t xml:space="preserve">• </w:t>
      </w:r>
      <w:hyperlink w:anchor="page_9">
        <w:r>
          <w:rPr>
            <w:rStyle w:val="Text10"/>
          </w:rPr>
          <w:t>13</w:t>
        </w:r>
      </w:hyperlink>
      <w:r>
        <w:rPr>
          <w:rStyle w:val="Text7"/>
        </w:rPr>
        <w:t xml:space="preserve"> </w:t>
      </w:r>
      <w:hyperlink r:id="rId1041">
        <w:r>
          <w:t>Screen-by-screen installer guide</w:t>
        </w:r>
      </w:hyperlink>
    </w:p>
    <w:p>
      <w:pPr>
        <w:pStyle w:val="Para 13"/>
      </w:pPr>
      <w:r>
        <w:rPr>
          <w:rStyle w:val="Text7"/>
        </w:rPr>
        <w:t xml:space="preserve">• </w:t>
      </w:r>
      <w:hyperlink w:anchor="page_9">
        <w:r>
          <w:rPr>
            <w:rStyle w:val="Text10"/>
          </w:rPr>
          <w:t>14</w:t>
        </w:r>
      </w:hyperlink>
      <w:r>
        <w:rPr>
          <w:rStyle w:val="Text7"/>
        </w:rPr>
        <w:t xml:space="preserve"> </w:t>
      </w:r>
      <w:hyperlink r:id="rId1042">
        <w:r>
          <w:t>Configuring storage</w:t>
        </w:r>
      </w:hyperlink>
    </w:p>
    <w:p>
      <w:pPr>
        <w:pStyle w:val="Para 13"/>
      </w:pPr>
      <w:r>
        <w:rPr>
          <w:rStyle w:val="Text7"/>
        </w:rPr>
        <w:t xml:space="preserve">• </w:t>
      </w:r>
      <w:hyperlink r:id="rId1043">
        <w:r>
          <w:rPr>
            <w:rStyle w:val="Text10"/>
          </w:rPr>
          <w:t>15</w:t>
        </w:r>
      </w:hyperlink>
      <w:hyperlink r:id="rId1043">
        <w:r>
          <w:t xml:space="preserve"> Troubleshooting the installer</w:t>
        </w:r>
      </w:hyperlink>
    </w:p>
    <w:p>
      <w:pPr>
        <w:pStyle w:val="Para 24"/>
      </w:pPr>
      <w:r>
        <w:t>3.1.2. Next steps</w:t>
      </w:r>
    </w:p>
    <w:p>
      <w:pPr>
        <w:pStyle w:val="Normal"/>
      </w:pPr>
      <w:r>
        <w:t>Once your Ubuntu Server is up and running, you may be interested in this collection of related tutorials and topics that will help you learn more about how it works and what’s available to you. These tutorials can be viewed in any order.</w:t>
      </w:r>
    </w:p>
    <w:p>
      <w:pPr>
        <w:pStyle w:val="Para 14"/>
      </w:pPr>
      <w:r>
        <w:rPr>
          <w:rStyle w:val="Text4"/>
        </w:rPr>
        <w:t xml:space="preserve">• </w:t>
      </w:r>
      <w:hyperlink w:anchor="page_13">
        <w:r>
          <w:t>Managing software in Ubuntu Server</w:t>
        </w:r>
      </w:hyperlink>
      <w:r>
        <w:rPr>
          <w:rStyle w:val="Text4"/>
        </w:rPr>
        <w:t xml:space="preserve"> (page 12)</w:t>
      </w:r>
    </w:p>
    <w:p>
      <w:pPr>
        <w:pStyle w:val="Para 14"/>
      </w:pPr>
      <w:r>
        <w:rPr>
          <w:rStyle w:val="Text4"/>
        </w:rPr>
        <w:t xml:space="preserve">• </w:t>
      </w:r>
      <w:hyperlink w:anchor="page_36">
        <w:r>
          <w:t>Attach your Ubuntu Pro subscription</w:t>
        </w:r>
      </w:hyperlink>
      <w:r>
        <w:rPr>
          <w:rStyle w:val="Text4"/>
        </w:rPr>
        <w:t xml:space="preserve"> (page 35)</w:t>
      </w:r>
    </w:p>
    <w:p>
      <w:pPr>
        <w:pStyle w:val="Normal"/>
      </w:pPr>
      <w:r>
        <w:t>If you have a specific goal, and are already familiar with Ubuntu Server, take a look at our</w:t>
      </w:r>
    </w:p>
    <w:p>
      <w:pPr>
        <w:pStyle w:val="Normal"/>
      </w:pPr>
      <w:hyperlink w:anchor="page_38">
        <w:r>
          <w:rPr>
            <w:rStyle w:val="Text2"/>
          </w:rPr>
          <w:t>How-to guides</w:t>
        </w:r>
      </w:hyperlink>
      <w:r>
        <w:t xml:space="preserve"> (page 37). These have more in-depth detail and can be applied to a broader set of applications.</w:t>
      </w:r>
    </w:p>
    <w:p>
      <w:pPr>
        <w:pStyle w:val="Normal"/>
      </w:pPr>
      <w:r>
        <w:t xml:space="preserve">Take a look at our </w:t>
      </w:r>
      <w:hyperlink w:anchor="page_667">
        <w:r>
          <w:rPr>
            <w:rStyle w:val="Text2"/>
          </w:rPr>
          <w:t>Reference section</w:t>
        </w:r>
      </w:hyperlink>
      <w:r>
        <w:t xml:space="preserve"> (page 666) when you need to determine what commands are available, and how to interact with various tools.</w:t>
      </w:r>
    </w:p>
    <w:p>
      <w:pPr>
        <w:pStyle w:val="Normal"/>
      </w:pPr>
      <w:r>
        <w:t>Finally, for a better understanding of how Ubuntu Server works and how it can be used and</w:t>
      </w:r>
    </w:p>
    <w:p>
      <w:pPr>
        <w:pStyle w:val="Normal"/>
      </w:pPr>
      <w:r>
        <w:t xml:space="preserve">configured, our </w:t>
      </w:r>
      <w:hyperlink w:anchor="page_733">
        <w:r>
          <w:rPr>
            <w:rStyle w:val="Text2"/>
          </w:rPr>
          <w:t>Explanation section</w:t>
        </w:r>
      </w:hyperlink>
      <w:r>
        <w:t xml:space="preserve"> (page 732) enables you to expand your knowledge of the operating system and additional software.</w:t>
      </w:r>
    </w:p>
    <w:p>
      <w:pPr>
        <w:pStyle w:val="Para 17"/>
      </w:pPr>
      <w:r>
        <w:t/>
      </w:r>
    </w:p>
    <w:p>
      <w:pPr>
        <w:pStyle w:val="Para 01"/>
      </w:pPr>
      <w:r>
        <w:t>Basic installation</w:t>
      </w:r>
    </w:p>
    <w:p>
      <w:pPr>
        <w:pStyle w:val="Para 17"/>
      </w:pPr>
      <w:r>
        <w:t/>
      </w:r>
    </w:p>
    <w:p>
      <w:pPr>
        <w:pStyle w:val="Normal"/>
      </w:pPr>
      <w:r>
        <w:t>This chapter provides an overview of how to install Ubuntu Server Edition. You can also refer</w:t>
      </w:r>
    </w:p>
    <w:p>
      <w:pPr>
        <w:pStyle w:val="Normal"/>
      </w:pPr>
      <w:r>
        <w:t xml:space="preserve">to this guide on </w:t>
      </w:r>
      <w:hyperlink r:id="rId1040">
        <w:r>
          <w:rPr>
            <w:rStyle w:val="Text9"/>
          </w:rPr>
          <w:t>16</w:t>
        </w:r>
      </w:hyperlink>
      <w:hyperlink r:id="rId1040">
        <w:r>
          <w:rPr>
            <w:rStyle w:val="Text1"/>
          </w:rPr>
          <w:t xml:space="preserve"> how to operate the installer</w:t>
        </w:r>
      </w:hyperlink>
      <w:r>
        <w:t xml:space="preserve"> for more information on using the installer, and</w:t>
      </w:r>
    </w:p>
    <w:p>
      <w:pPr>
        <w:pStyle w:val="Normal"/>
      </w:pPr>
      <w:r>
        <w:t xml:space="preserve">to this </w:t>
      </w:r>
      <w:hyperlink r:id="rId1041">
        <w:r>
          <w:rPr>
            <w:rStyle w:val="Text9"/>
          </w:rPr>
          <w:t>17</w:t>
        </w:r>
      </w:hyperlink>
      <w:hyperlink r:id="rId1041">
        <w:r>
          <w:rPr>
            <w:rStyle w:val="Text1"/>
          </w:rPr>
          <w:t xml:space="preserve"> screen-by-screen reference guide</w:t>
        </w:r>
      </w:hyperlink>
      <w:r>
        <w:t xml:space="preserve"> for more information about each of the installer screens.</w:t>
      </w:r>
    </w:p>
    <w:p>
      <w:pPr>
        <w:pStyle w:val="Para 05"/>
      </w:pPr>
      <w:r>
        <w:rPr>
          <w:rStyle w:val="Text5"/>
        </w:rPr>
        <w:t>12</w:t>
      </w:r>
      <w:r>
        <w:rPr>
          <w:rStyle w:val="Text8"/>
        </w:rPr>
        <w:t xml:space="preserve"> </w:t>
      </w:r>
      <w:r>
        <w:t>https://canonical-subiquity.readthedocs-hosted.com/en/latest/tutorial/operate-server-installer.html</w:t>
      </w:r>
    </w:p>
    <w:p>
      <w:pPr>
        <w:pStyle w:val="Para 05"/>
      </w:pPr>
      <w:r>
        <w:rPr>
          <w:rStyle w:val="Text5"/>
        </w:rPr>
        <w:t>13</w:t>
      </w:r>
      <w:r>
        <w:rPr>
          <w:rStyle w:val="Text8"/>
        </w:rPr>
        <w:t xml:space="preserve"> </w:t>
      </w:r>
      <w:r>
        <w:t>https://canonical-subiquity.readthedocs-hosted.com/en/latest/tutorial/screen-by-screen.html</w:t>
      </w:r>
    </w:p>
    <w:p>
      <w:pPr>
        <w:pStyle w:val="Para 05"/>
      </w:pPr>
      <w:r>
        <w:rPr>
          <w:rStyle w:val="Text5"/>
        </w:rPr>
        <w:t>14</w:t>
      </w:r>
      <w:r>
        <w:rPr>
          <w:rStyle w:val="Text8"/>
        </w:rPr>
        <w:t xml:space="preserve"> </w:t>
      </w:r>
      <w:r>
        <w:t>https://canonical-subiquity.readthedocs-hosted.com/en/latest/howto/configure-storage.html</w:t>
      </w:r>
    </w:p>
    <w:p>
      <w:pPr>
        <w:pStyle w:val="Para 05"/>
      </w:pPr>
      <w:r>
        <w:rPr>
          <w:rStyle w:val="Text5"/>
        </w:rPr>
        <w:t>15</w:t>
      </w:r>
      <w:r>
        <w:rPr>
          <w:rStyle w:val="Text8"/>
        </w:rPr>
        <w:t xml:space="preserve"> </w:t>
      </w:r>
      <w:r>
        <w:t>https://canonical-subiquity.readthedocs-hosted.com/en/latest/howto/report-bugs.html</w:t>
      </w:r>
    </w:p>
    <w:p>
      <w:pPr>
        <w:pStyle w:val="Para 05"/>
      </w:pPr>
      <w:r>
        <w:rPr>
          <w:rStyle w:val="Text5"/>
        </w:rPr>
        <w:t>16</w:t>
      </w:r>
      <w:r>
        <w:rPr>
          <w:rStyle w:val="Text8"/>
        </w:rPr>
        <w:t xml:space="preserve"> </w:t>
      </w:r>
      <w:r>
        <w:t>https://canonical-subiquity.readthedocs-hosted.com/en/latest/tutorial/operate-server-installer.html</w:t>
      </w:r>
    </w:p>
    <w:p>
      <w:pPr>
        <w:pStyle w:val="Para 05"/>
      </w:pPr>
      <w:r>
        <w:rPr>
          <w:rStyle w:val="Text5"/>
        </w:rPr>
        <w:t>17</w:t>
      </w:r>
      <w:r>
        <w:rPr>
          <w:rStyle w:val="Text8"/>
        </w:rPr>
        <w:t xml:space="preserve"> </w:t>
      </w:r>
      <w:r>
        <w:t>https://canonical-subiquity.readthedocs-hosted.com/en/latest/tutorial/screen-by-screen.html</w:t>
      </w:r>
    </w:p>
    <w:p>
      <w:bookmarkStart w:id="20" w:name="calibre_pb_5"/>
      <w:pPr>
        <w:pStyle w:val="0 Block"/>
      </w:pPr>
      <w:bookmarkEnd w:id="20"/>
    </w:p>
    <w:p>
      <w:bookmarkStart w:id="21" w:name="Top_of_index_split_006_html"/>
      <w:bookmarkStart w:id="22" w:name="page_1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 name="index-10_1.png" descr="index-10_1.png"/>
            <wp:cNvGraphicFramePr>
              <a:graphicFrameLocks noChangeAspect="1"/>
            </wp:cNvGraphicFramePr>
            <a:graphic>
              <a:graphicData uri="http://schemas.openxmlformats.org/drawingml/2006/picture">
                <pic:pic>
                  <pic:nvPicPr>
                    <pic:cNvPr id="0" name="index-10_1.png" descr="index-10_1.png"/>
                    <pic:cNvPicPr/>
                  </pic:nvPicPr>
                  <pic:blipFill>
                    <a:blip r:embed="rId13"/>
                    <a:stretch>
                      <a:fillRect/>
                    </a:stretch>
                  </pic:blipFill>
                  <pic:spPr>
                    <a:xfrm>
                      <a:off x="0" y="0"/>
                      <a:ext cx="914400" cy="266700"/>
                    </a:xfrm>
                    <a:prstGeom prst="rect">
                      <a:avLst/>
                    </a:prstGeom>
                  </pic:spPr>
                </pic:pic>
              </a:graphicData>
            </a:graphic>
          </wp:anchor>
        </w:drawing>
      </w:r>
      <w:bookmarkEnd w:id="21"/>
      <w:bookmarkEnd w:id="22"/>
    </w:p>
    <w:p>
      <w:pPr>
        <w:pStyle w:val="Para 01"/>
      </w:pPr>
      <w:r>
        <w:t>Preparing to install</w:t>
      </w:r>
    </w:p>
    <w:p>
      <w:pPr>
        <w:pStyle w:val="Para 17"/>
      </w:pPr>
      <w:r>
        <w:t/>
      </w:r>
    </w:p>
    <w:p>
      <w:pPr>
        <w:pStyle w:val="Normal"/>
      </w:pPr>
      <w:r>
        <w:t>This section explains various aspects to consider before starting the installation.</w:t>
      </w:r>
    </w:p>
    <w:p>
      <w:pPr>
        <w:pStyle w:val="Para 17"/>
      </w:pPr>
      <w:r>
        <w:t/>
      </w:r>
    </w:p>
    <w:p>
      <w:pPr>
        <w:pStyle w:val="Para 01"/>
      </w:pPr>
      <w:r>
        <w:t>System requirements</w:t>
      </w:r>
    </w:p>
    <w:p>
      <w:pPr>
        <w:pStyle w:val="Para 17"/>
      </w:pPr>
      <w:r>
        <w:t/>
      </w:r>
    </w:p>
    <w:p>
      <w:pPr>
        <w:pStyle w:val="Normal"/>
      </w:pPr>
      <w:r>
        <w:t>Ubuntu Server Edition provides a common, minimalist base for a variety of server applica-tions, such as file/print services, web hosting, email hosting, etc. This version supports four 64-bit architectures:</w:t>
      </w:r>
    </w:p>
    <w:p>
      <w:pPr>
        <w:pStyle w:val="Para 04"/>
      </w:pPr>
      <w:r>
        <w:t>• amd64 (Intel/</w:t>
      </w:r>
      <w:hyperlink w:anchor="page_669">
        <w:r>
          <w:rPr>
            <w:rStyle w:val="Text2"/>
          </w:rPr>
          <w:t>AMD</w:t>
        </w:r>
      </w:hyperlink>
      <w:r>
        <w:t xml:space="preserve"> 64-bit)</w:t>
      </w:r>
    </w:p>
    <w:p>
      <w:pPr>
        <w:pStyle w:val="Para 04"/>
      </w:pPr>
      <w:r>
        <w:t>• arm64 (64-bit ARM)</w:t>
      </w:r>
    </w:p>
    <w:p>
      <w:pPr>
        <w:pStyle w:val="Para 04"/>
      </w:pPr>
      <w:r>
        <w:t>• ppc64el (POWER8 and POWER9)</w:t>
      </w:r>
    </w:p>
    <w:p>
      <w:pPr>
        <w:pStyle w:val="Para 04"/>
      </w:pPr>
      <w:r>
        <w:t>• s390x (IBM Z and LinuxONE)</w:t>
      </w:r>
    </w:p>
    <w:p>
      <w:pPr>
        <w:pStyle w:val="Normal"/>
      </w:pPr>
      <w:r>
        <w:t>The recommended minimal system requirements for this tutorial are:</w:t>
      </w:r>
    </w:p>
    <w:p>
      <w:pPr>
        <w:pStyle w:val="Para 04"/>
      </w:pPr>
      <w:r>
        <w:t xml:space="preserve">• RAM: 2 </w:t>
      </w:r>
      <w:hyperlink w:anchor="page_685">
        <w:r>
          <w:rPr>
            <w:rStyle w:val="Text2"/>
          </w:rPr>
          <w:t>GB</w:t>
        </w:r>
      </w:hyperlink>
      <w:r>
        <w:t xml:space="preserve"> or more</w:t>
      </w:r>
    </w:p>
    <w:p>
      <w:pPr>
        <w:pStyle w:val="Para 04"/>
      </w:pPr>
      <w:r>
        <w:t>• Disk: 5 GB or more</w:t>
      </w:r>
    </w:p>
    <w:p>
      <w:pPr>
        <w:pStyle w:val="Normal"/>
      </w:pPr>
      <w:r>
        <w:t xml:space="preserve">If you are looking for more general system requirements, </w:t>
      </w:r>
      <w:hyperlink w:anchor="page_719">
        <w:r>
          <w:rPr>
            <w:rStyle w:val="Text2"/>
          </w:rPr>
          <w:t>refer to this page</w:t>
        </w:r>
      </w:hyperlink>
      <w:r>
        <w:t xml:space="preserve"> (page 718).</w:t>
      </w:r>
    </w:p>
    <w:p>
      <w:pPr>
        <w:pStyle w:val="Para 17"/>
      </w:pPr>
      <w:r>
        <w:t/>
      </w:r>
    </w:p>
    <w:p>
      <w:pPr>
        <w:pStyle w:val="Para 01"/>
      </w:pPr>
      <w:r>
        <w:t>Perform a system backup</w:t>
      </w:r>
    </w:p>
    <w:p>
      <w:pPr>
        <w:pStyle w:val="Para 17"/>
      </w:pPr>
      <w:r>
        <w:t/>
      </w:r>
    </w:p>
    <w:p>
      <w:pPr>
        <w:pStyle w:val="Normal"/>
      </w:pPr>
      <w:r>
        <w:t>Before installing Ubuntu Server Edition you should make sure all data on the system is backed up.</w:t>
      </w:r>
    </w:p>
    <w:p>
      <w:pPr>
        <w:pStyle w:val="Normal"/>
      </w:pPr>
      <w:r>
        <w:t>If this is not the first time an operating system has been installed on your computer, it is likely you will need to re-partition your disk to make room for Ubuntu.</w:t>
      </w:r>
    </w:p>
    <w:p>
      <w:pPr>
        <w:pStyle w:val="Normal"/>
      </w:pPr>
      <w:r>
        <w:t>Any time you partition your disk, you should be prepared to lose all data on the disk should you make a mistake or something goes wrong during partitioning. The programs used in installation are quite reliable, most have seen years of use, but they also perform destructive actions.</w:t>
      </w:r>
    </w:p>
    <w:p>
      <w:pPr>
        <w:pStyle w:val="Para 17"/>
      </w:pPr>
      <w:r>
        <w:t/>
      </w:r>
    </w:p>
    <w:p>
      <w:pPr>
        <w:pStyle w:val="Para 01"/>
      </w:pPr>
      <w:r>
        <w:t>Download the server ISO</w:t>
      </w:r>
    </w:p>
    <w:p>
      <w:pPr>
        <w:pStyle w:val="Para 17"/>
      </w:pPr>
      <w:r>
        <w:t/>
      </w:r>
    </w:p>
    <w:p>
      <w:pPr>
        <w:pStyle w:val="Normal"/>
      </w:pPr>
      <w:r>
        <w:t xml:space="preserve">You can obtain the amd64 server download from </w:t>
      </w:r>
      <w:hyperlink r:id="rId1044">
        <w:r>
          <w:rPr>
            <w:rStyle w:val="Text1"/>
          </w:rPr>
          <w:t>https://releases.ubuntu.com/</w:t>
        </w:r>
      </w:hyperlink>
      <w:r>
        <w:t>. Select the version you wish to install and select the “server install image” download. Note that the server download includes the installer.</w:t>
      </w:r>
    </w:p>
    <w:p>
      <w:pPr>
        <w:pStyle w:val="Normal"/>
      </w:pPr>
      <w:r>
        <w:t>There are platform specific how-to guides for installations on:</w:t>
      </w:r>
    </w:p>
    <w:p>
      <w:pPr>
        <w:pStyle w:val="Para 04"/>
      </w:pPr>
      <w:r>
        <w:t xml:space="preserve">• </w:t>
      </w:r>
      <w:hyperlink w:anchor="page_84">
        <w:r>
          <w:rPr>
            <w:rStyle w:val="Text2"/>
          </w:rPr>
          <w:t>s390x LPAR</w:t>
        </w:r>
      </w:hyperlink>
      <w:r>
        <w:t xml:space="preserve"> (page 83)</w:t>
      </w:r>
    </w:p>
    <w:p>
      <w:pPr>
        <w:pStyle w:val="Para 04"/>
      </w:pPr>
      <w:r>
        <w:t xml:space="preserve">• </w:t>
      </w:r>
      <w:hyperlink w:anchor="page_60">
        <w:r>
          <w:rPr>
            <w:rStyle w:val="Text2"/>
          </w:rPr>
          <w:t>z/VM</w:t>
        </w:r>
      </w:hyperlink>
      <w:r>
        <w:t xml:space="preserve"> (page 59)</w:t>
      </w:r>
    </w:p>
    <w:p>
      <w:pPr>
        <w:pStyle w:val="Para 04"/>
      </w:pPr>
      <w:r>
        <w:t xml:space="preserve">• </w:t>
      </w:r>
      <w:hyperlink w:anchor="page_54">
        <w:r>
          <w:rPr>
            <w:rStyle w:val="Text2"/>
          </w:rPr>
          <w:t>ppc64el</w:t>
        </w:r>
      </w:hyperlink>
      <w:r>
        <w:t xml:space="preserve"> (page 53)</w:t>
      </w:r>
    </w:p>
    <w:p>
      <w:bookmarkStart w:id="23" w:name="page_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 name="index-11_1.png" descr="index-11_1.png"/>
            <wp:cNvGraphicFramePr>
              <a:graphicFrameLocks noChangeAspect="1"/>
            </wp:cNvGraphicFramePr>
            <a:graphic>
              <a:graphicData uri="http://schemas.openxmlformats.org/drawingml/2006/picture">
                <pic:pic>
                  <pic:nvPicPr>
                    <pic:cNvPr id="0" name="index-11_1.png" descr="index-11_1.png"/>
                    <pic:cNvPicPr/>
                  </pic:nvPicPr>
                  <pic:blipFill>
                    <a:blip r:embed="rId14"/>
                    <a:stretch>
                      <a:fillRect/>
                    </a:stretch>
                  </pic:blipFill>
                  <pic:spPr>
                    <a:xfrm>
                      <a:off x="0" y="0"/>
                      <a:ext cx="914400" cy="266700"/>
                    </a:xfrm>
                    <a:prstGeom prst="rect">
                      <a:avLst/>
                    </a:prstGeom>
                  </pic:spPr>
                </pic:pic>
              </a:graphicData>
            </a:graphic>
          </wp:anchor>
        </w:drawing>
      </w:r>
      <w:bookmarkEnd w:id="23"/>
    </w:p>
    <w:p>
      <w:pPr>
        <w:pStyle w:val="Para 01"/>
      </w:pPr>
      <w:r>
        <w:t>Create a bootable USB</w:t>
      </w:r>
    </w:p>
    <w:p>
      <w:pPr>
        <w:pStyle w:val="Para 17"/>
      </w:pPr>
      <w:r>
        <w:t/>
      </w:r>
    </w:p>
    <w:p>
      <w:pPr>
        <w:pStyle w:val="Normal"/>
      </w:pPr>
      <w:r>
        <w:t xml:space="preserve">There are many ways to boot the installer but the simplest and most common way is to </w:t>
      </w:r>
      <w:hyperlink r:id="rId1045">
        <w:r>
          <w:rPr>
            <w:rStyle w:val="Text1"/>
          </w:rPr>
          <w:t>create</w:t>
        </w:r>
      </w:hyperlink>
    </w:p>
    <w:p>
      <w:pPr>
        <w:pStyle w:val="Para 18"/>
      </w:pPr>
      <w:hyperlink r:id="rId1045">
        <w:r>
          <w:t>a bootable USB stick</w:t>
        </w:r>
      </w:hyperlink>
      <w:hyperlink w:anchor="page_11">
        <w:r>
          <w:rPr>
            <w:rStyle w:val="Text10"/>
          </w:rPr>
          <w:t>18</w:t>
        </w:r>
      </w:hyperlink>
      <w:r>
        <w:rPr>
          <w:rStyle w:val="Text7"/>
        </w:rPr>
        <w:t xml:space="preserve"> </w:t>
      </w:r>
      <w:hyperlink r:id="rId1046">
        <w:r>
          <w:rPr>
            <w:rStyle w:val="Text10"/>
          </w:rPr>
          <w:t>19</w:t>
        </w:r>
      </w:hyperlink>
      <w:r>
        <w:rPr>
          <w:rStyle w:val="Text7"/>
        </w:rPr>
        <w:t xml:space="preserve"> to boot from ( </w:t>
      </w:r>
      <w:hyperlink r:id="rId1046">
        <w:r>
          <w:t>tutorials for other operating systems</w:t>
        </w:r>
      </w:hyperlink>
      <w:r>
        <w:rPr>
          <w:rStyle w:val="Text7"/>
        </w:rPr>
        <w:t xml:space="preserve"> are also avail-able).</w:t>
      </w:r>
    </w:p>
    <w:p>
      <w:pPr>
        <w:pStyle w:val="Para 17"/>
      </w:pPr>
      <w:r>
        <w:t/>
      </w:r>
    </w:p>
    <w:p>
      <w:pPr>
        <w:pStyle w:val="Para 01"/>
      </w:pPr>
      <w:r>
        <w:t>Boot the installer</w:t>
      </w:r>
    </w:p>
    <w:p>
      <w:pPr>
        <w:pStyle w:val="Para 17"/>
      </w:pPr>
      <w:r>
        <w:t/>
      </w:r>
    </w:p>
    <w:p>
      <w:pPr>
        <w:pStyle w:val="Normal"/>
      </w:pPr>
      <w:r>
        <w:t>Plug the USB stick into the system to be installed and start it.</w:t>
      </w:r>
    </w:p>
    <w:p>
      <w:pPr>
        <w:pStyle w:val="Normal"/>
      </w:pPr>
      <w:r>
        <w:t>Most computers will automatically boot from USB or DVD, though in some cases manufac-turers disable this feature to improve boot times. If you don’t see the boot message and the “Welcome” screen which should appear after it, you will need to set your computer to boot from the install media.</w:t>
      </w:r>
    </w:p>
    <w:p>
      <w:pPr>
        <w:pStyle w:val="Normal"/>
      </w:pPr>
      <w:r>
        <w:t>There should be an on-screen message when the computer starts telling you what key to press for settings or a boot menu. Depending on the manufacturer, this could be Escape, F2, F10 or F12. Simply restart your computer and hold down this key until the boot menu appears, then select the drive with the Ubuntu install media.</w:t>
      </w:r>
    </w:p>
    <w:p>
      <w:pPr>
        <w:pStyle w:val="Normal"/>
      </w:pPr>
      <w:r>
        <w:t xml:space="preserve">If you are still having problems, check out the </w:t>
      </w:r>
      <w:hyperlink r:id="rId1047">
        <w:r>
          <w:rPr>
            <w:rStyle w:val="Text1"/>
          </w:rPr>
          <w:t>Ubuntu Community documentation on booting</w:t>
        </w:r>
      </w:hyperlink>
    </w:p>
    <w:p>
      <w:pPr>
        <w:pStyle w:val="Para 18"/>
      </w:pPr>
      <w:hyperlink r:id="rId1047">
        <w:r>
          <w:t>from CD/DVD</w:t>
        </w:r>
      </w:hyperlink>
      <w:hyperlink w:anchor="page_11">
        <w:r>
          <w:rPr>
            <w:rStyle w:val="Text10"/>
          </w:rPr>
          <w:t>20</w:t>
        </w:r>
      </w:hyperlink>
      <w:r>
        <w:rPr>
          <w:rStyle w:val="Text7"/>
        </w:rPr>
        <w:t xml:space="preserve"> .</w:t>
      </w:r>
    </w:p>
    <w:p>
      <w:pPr>
        <w:pStyle w:val="Normal"/>
      </w:pPr>
      <w:r>
        <w:t>After a few moments, the installer will start in its language selection screen.</w:t>
      </w:r>
    </w:p>
    <w:p>
      <w:pPr>
        <w:pStyle w:val="Para 05"/>
      </w:pPr>
      <w:r>
        <w:rPr>
          <w:rStyle w:val="Text5"/>
        </w:rPr>
        <w:t>18</w:t>
      </w:r>
      <w:r>
        <w:rPr>
          <w:rStyle w:val="Text8"/>
        </w:rPr>
        <w:t xml:space="preserve"> </w:t>
      </w:r>
      <w:r>
        <w:t>https://documentation.ubuntu.com/desktop/en/latest/how-to/create-a-bootable-usb-stick/</w:t>
      </w:r>
    </w:p>
    <w:p>
      <w:pPr>
        <w:pStyle w:val="Para 05"/>
      </w:pPr>
      <w:r>
        <w:rPr>
          <w:rStyle w:val="Text5"/>
        </w:rPr>
        <w:t>19</w:t>
      </w:r>
      <w:r>
        <w:rPr>
          <w:rStyle w:val="Text8"/>
        </w:rPr>
        <w:t xml:space="preserve"> </w:t>
      </w:r>
      <w:r>
        <w:t>https://ubuntu.com/search?q=%22create+a+bootable+USB+stick%22</w:t>
      </w:r>
    </w:p>
    <w:p>
      <w:pPr>
        <w:pStyle w:val="Para 05"/>
      </w:pPr>
      <w:r>
        <w:rPr>
          <w:rStyle w:val="Text5"/>
        </w:rPr>
        <w:t>20</w:t>
      </w:r>
      <w:r>
        <w:rPr>
          <w:rStyle w:val="Text8"/>
        </w:rPr>
        <w:t xml:space="preserve"> </w:t>
      </w:r>
      <w:r>
        <w:t>https://help.ubuntu.com/community/BootFromCD</w:t>
      </w:r>
    </w:p>
    <w:p>
      <w:bookmarkStart w:id="24" w:name="calibre_pb_6"/>
      <w:pPr>
        <w:pStyle w:val="0 Block"/>
      </w:pPr>
      <w:bookmarkEnd w:id="24"/>
    </w:p>
    <w:p>
      <w:bookmarkStart w:id="25" w:name="Top_of_index_split_007_html"/>
      <w:bookmarkStart w:id="26" w:name="page_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 name="index-12_1.png" descr="index-12_1.png"/>
            <wp:cNvGraphicFramePr>
              <a:graphicFrameLocks noChangeAspect="1"/>
            </wp:cNvGraphicFramePr>
            <a:graphic>
              <a:graphicData uri="http://schemas.openxmlformats.org/drawingml/2006/picture">
                <pic:pic>
                  <pic:nvPicPr>
                    <pic:cNvPr id="0" name="index-12_1.png" descr="index-12_1.png"/>
                    <pic:cNvPicPr/>
                  </pic:nvPicPr>
                  <pic:blipFill>
                    <a:blip r:embed="rId15"/>
                    <a:stretch>
                      <a:fillRect/>
                    </a:stretch>
                  </pic:blipFill>
                  <pic:spPr>
                    <a:xfrm>
                      <a:off x="0" y="0"/>
                      <a:ext cx="914400" cy="266700"/>
                    </a:xfrm>
                    <a:prstGeom prst="rect">
                      <a:avLst/>
                    </a:prstGeom>
                  </pic:spPr>
                </pic:pic>
              </a:graphicData>
            </a:graphic>
          </wp:anchor>
        </w:drawing>
      </w:r>
      <w:bookmarkEnd w:id="25"/>
      <w:bookmarkEnd w:id="26"/>
    </w:p>
    <w:p>
      <w:pPr>
        <w:pStyle w:val="Para 01"/>
      </w:pPr>
      <w:r>
        <w:t>Using the installer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755900"/>
            <wp:effectExtent l="0" r="0" t="0" b="0"/>
            <wp:wrapTopAndBottom/>
            <wp:docPr id="12" name="index-12_2.png" descr="index-12_2.png"/>
            <wp:cNvGraphicFramePr>
              <a:graphicFrameLocks noChangeAspect="1"/>
            </wp:cNvGraphicFramePr>
            <a:graphic>
              <a:graphicData uri="http://schemas.openxmlformats.org/drawingml/2006/picture">
                <pic:pic>
                  <pic:nvPicPr>
                    <pic:cNvPr id="0" name="index-12_2.png" descr="index-12_2.png"/>
                    <pic:cNvPicPr/>
                  </pic:nvPicPr>
                  <pic:blipFill>
                    <a:blip r:embed="rId16"/>
                    <a:stretch>
                      <a:fillRect/>
                    </a:stretch>
                  </pic:blipFill>
                  <pic:spPr>
                    <a:xfrm>
                      <a:off x="0" y="0"/>
                      <a:ext cx="3670300" cy="2755900"/>
                    </a:xfrm>
                    <a:prstGeom prst="rect">
                      <a:avLst/>
                    </a:prstGeom>
                  </pic:spPr>
                </pic:pic>
              </a:graphicData>
            </a:graphic>
          </wp:anchor>
        </w:drawing>
      </w:r>
    </w:p>
    <w:p>
      <w:pPr>
        <w:pStyle w:val="Para 17"/>
      </w:pPr>
      <w:r>
        <w:t/>
      </w:r>
    </w:p>
    <w:p>
      <w:pPr>
        <w:pStyle w:val="Normal"/>
      </w:pPr>
      <w:r>
        <w:t>The installer is designed to be easy to use and have sensible defaults so for a first install you can mostly just accept the defaults for the most straightforward install:</w:t>
      </w:r>
    </w:p>
    <w:p>
      <w:pPr>
        <w:pStyle w:val="Para 04"/>
      </w:pPr>
      <w:r>
        <w:t>• Choose your language</w:t>
      </w:r>
    </w:p>
    <w:p>
      <w:pPr>
        <w:pStyle w:val="Para 04"/>
      </w:pPr>
      <w:r>
        <w:t>• Update the installer (if offered)</w:t>
      </w:r>
    </w:p>
    <w:p>
      <w:pPr>
        <w:pStyle w:val="Para 04"/>
      </w:pPr>
      <w:r>
        <w:t>• Select your keyboard layout</w:t>
      </w:r>
    </w:p>
    <w:p>
      <w:pPr>
        <w:pStyle w:val="Para 04"/>
      </w:pPr>
      <w:r>
        <w:t>• Do not configure networking (the installer attempts to configure wired network inter-</w:t>
      </w:r>
    </w:p>
    <w:p>
      <w:pPr>
        <w:pStyle w:val="Para 02"/>
      </w:pPr>
      <w:r>
        <w:t xml:space="preserve">faces via </w:t>
      </w:r>
      <w:hyperlink w:anchor="page_678">
        <w:r>
          <w:rPr>
            <w:rStyle w:val="Text2"/>
          </w:rPr>
          <w:t>DHCP</w:t>
        </w:r>
      </w:hyperlink>
      <w:r>
        <w:t>, but you can continue without networking if this fails)</w:t>
      </w:r>
    </w:p>
    <w:p>
      <w:pPr>
        <w:pStyle w:val="Para 04"/>
      </w:pPr>
      <w:r>
        <w:t>• Do not configure a proxy or custom mirror unless you have to in your network</w:t>
      </w:r>
    </w:p>
    <w:p>
      <w:pPr>
        <w:pStyle w:val="Para 04"/>
      </w:pPr>
      <w:r>
        <w:t>• For storage, leave “use an entire disk” checked, and choose a disk to install to, then</w:t>
      </w:r>
    </w:p>
    <w:p>
      <w:pPr>
        <w:pStyle w:val="Para 02"/>
      </w:pPr>
      <w:r>
        <w:t>select “Done” on the configuration screen and confirm the install</w:t>
      </w:r>
    </w:p>
    <w:p>
      <w:pPr>
        <w:pStyle w:val="Para 04"/>
      </w:pPr>
      <w:r>
        <w:t>• Enter a username, hostname and password</w:t>
      </w:r>
    </w:p>
    <w:p>
      <w:pPr>
        <w:pStyle w:val="Para 04"/>
      </w:pPr>
      <w:r>
        <w:t>• On the SSH and snap screens, select “Done”</w:t>
      </w:r>
    </w:p>
    <w:p>
      <w:pPr>
        <w:pStyle w:val="Para 04"/>
      </w:pPr>
      <w:r>
        <w:t>• You will now see log messages as the install is completed</w:t>
      </w:r>
    </w:p>
    <w:p>
      <w:pPr>
        <w:pStyle w:val="Para 04"/>
      </w:pPr>
      <w:r>
        <w:t>• Select restart when this is complete, and log in using the username and password pro-</w:t>
      </w:r>
    </w:p>
    <w:p>
      <w:pPr>
        <w:pStyle w:val="Para 02"/>
      </w:pPr>
      <w:r>
        <w:t>vided</w:t>
      </w:r>
    </w:p>
    <w:p>
      <w:bookmarkStart w:id="27" w:name="page_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 name="index-13_1.png" descr="index-13_1.png"/>
            <wp:cNvGraphicFramePr>
              <a:graphicFrameLocks noChangeAspect="1"/>
            </wp:cNvGraphicFramePr>
            <a:graphic>
              <a:graphicData uri="http://schemas.openxmlformats.org/drawingml/2006/picture">
                <pic:pic>
                  <pic:nvPicPr>
                    <pic:cNvPr id="0" name="index-13_1.png" descr="index-13_1.png"/>
                    <pic:cNvPicPr/>
                  </pic:nvPicPr>
                  <pic:blipFill>
                    <a:blip r:embed="rId17"/>
                    <a:stretch>
                      <a:fillRect/>
                    </a:stretch>
                  </pic:blipFill>
                  <pic:spPr>
                    <a:xfrm>
                      <a:off x="0" y="0"/>
                      <a:ext cx="914400" cy="266700"/>
                    </a:xfrm>
                    <a:prstGeom prst="rect">
                      <a:avLst/>
                    </a:prstGeom>
                  </pic:spPr>
                </pic:pic>
              </a:graphicData>
            </a:graphic>
          </wp:anchor>
        </w:drawing>
      </w:r>
      <w:bookmarkEnd w:id="27"/>
    </w:p>
    <w:p>
      <w:pPr>
        <w:pStyle w:val="Normal"/>
      </w:pPr>
      <w:r>
        <w:t xml:space="preserve">If you need more details, however, the Ubuntu installer has </w:t>
      </w:r>
      <w:hyperlink r:id="rId1048">
        <w:r>
          <w:rPr>
            <w:rStyle w:val="Text9"/>
          </w:rPr>
          <w:t>21</w:t>
        </w:r>
      </w:hyperlink>
      <w:hyperlink r:id="rId1048">
        <w:r>
          <w:rPr>
            <w:rStyle w:val="Text1"/>
          </w:rPr>
          <w:t xml:space="preserve"> its own documentation</w:t>
        </w:r>
      </w:hyperlink>
      <w:r>
        <w:t>, includ-</w:t>
      </w:r>
    </w:p>
    <w:p>
      <w:pPr>
        <w:pStyle w:val="Para 18"/>
      </w:pPr>
      <w:r>
        <w:rPr>
          <w:rStyle w:val="Text7"/>
        </w:rPr>
        <w:t xml:space="preserve">ing a </w:t>
      </w:r>
      <w:hyperlink r:id="rId1041">
        <w:r>
          <w:rPr>
            <w:rStyle w:val="Text10"/>
          </w:rPr>
          <w:t>22</w:t>
        </w:r>
      </w:hyperlink>
      <w:hyperlink r:id="rId1041">
        <w:r>
          <w:t xml:space="preserve"> screen-by-screen guide</w:t>
        </w:r>
      </w:hyperlink>
      <w:r>
        <w:rPr>
          <w:rStyle w:val="Text7"/>
        </w:rPr>
        <w:t>.</w:t>
      </w:r>
    </w:p>
    <w:p>
      <w:pPr>
        <w:pStyle w:val="Para 17"/>
      </w:pPr>
      <w:r>
        <w:t/>
      </w:r>
    </w:p>
    <w:p>
      <w:pPr>
        <w:pStyle w:val="Para 01"/>
      </w:pPr>
      <w:r>
        <w:t>Managing your software</w:t>
      </w:r>
    </w:p>
    <w:p>
      <w:pPr>
        <w:pStyle w:val="Para 17"/>
      </w:pPr>
      <w:r>
        <w:t/>
      </w:r>
    </w:p>
    <w:p>
      <w:pPr>
        <w:pStyle w:val="Normal"/>
      </w:pPr>
      <w:r>
        <w:t xml:space="preserve">If you are new to Ubuntu, you may be wondering what to do after installation. After all, Ubuntu is endlessly customizable according to your needs. There are two types of software found in Ubuntu: </w:t>
      </w:r>
      <w:r>
        <w:rPr>
          <w:rStyle w:val="Text0"/>
        </w:rPr>
        <w:t>Debian packages</w:t>
      </w:r>
      <w:r>
        <w:t xml:space="preserve"> and </w:t>
      </w:r>
      <w:r>
        <w:rPr>
          <w:rStyle w:val="Text0"/>
        </w:rPr>
        <w:t>snaps</w:t>
      </w:r>
      <w:r>
        <w:t xml:space="preserve"> – we will learn about both!</w:t>
      </w:r>
    </w:p>
    <w:p>
      <w:pPr>
        <w:pStyle w:val="Normal"/>
      </w:pPr>
      <w:r>
        <w:t>To help you get the most from your Ubuntu experience, this tutorial will walk you through managing the software on your Ubuntu machine. This tutorial can be completed using either Ubuntu Server or Ubuntu Desktop.</w:t>
      </w:r>
    </w:p>
    <w:p>
      <w:pPr>
        <w:pStyle w:val="Normal"/>
      </w:pPr>
      <w:r>
        <w:t>To avoid making changes to your computer we will set up a virtual machine (VM), which will provide us with a safe environment to run the commands in. Multipass is great for quickly creating Ubuntu virtual machines, so we will use that.</w:t>
      </w:r>
    </w:p>
    <w:p>
      <w:pPr>
        <w:pStyle w:val="Para 17"/>
      </w:pPr>
      <w:r>
        <w:t/>
      </w:r>
    </w:p>
    <w:p>
      <w:pPr>
        <w:pStyle w:val="Para 01"/>
      </w:pPr>
      <w:r>
        <w:t>Prerequisites</w:t>
      </w:r>
    </w:p>
    <w:p>
      <w:pPr>
        <w:pStyle w:val="Para 17"/>
      </w:pPr>
      <w:r>
        <w:t/>
      </w:r>
    </w:p>
    <w:p>
      <w:pPr>
        <w:pStyle w:val="Para 28"/>
      </w:pPr>
      <w:r>
        <w:rPr>
          <w:rStyle w:val="Text0"/>
        </w:rPr>
        <w:t xml:space="preserve">• </w:t>
      </w:r>
      <w:r>
        <w:t>Knowledge:</w:t>
      </w:r>
    </w:p>
    <w:p>
      <w:pPr>
        <w:pStyle w:val="Para 02"/>
      </w:pPr>
      <w:r>
        <w:t>None! You don’t even need to use an Ubuntu machine – Multipass will give us an Ubuntu environment to play with.</w:t>
      </w:r>
    </w:p>
    <w:p>
      <w:pPr>
        <w:pStyle w:val="Para 28"/>
      </w:pPr>
      <w:r>
        <w:rPr>
          <w:rStyle w:val="Text0"/>
        </w:rPr>
        <w:t xml:space="preserve">• </w:t>
      </w:r>
      <w:r>
        <w:t>Hardware:</w:t>
      </w:r>
    </w:p>
    <w:p>
      <w:pPr>
        <w:pStyle w:val="Para 17"/>
      </w:pPr>
      <w:r>
        <w:t xml:space="preserve">The default Multipass VM will need </w:t>
      </w:r>
      <w:r>
        <w:rPr>
          <w:rStyle w:val="Text0"/>
        </w:rPr>
        <w:t>5</w:t>
      </w:r>
      <w:r>
        <w:t xml:space="preserve"> </w:t>
      </w:r>
      <w:hyperlink w:anchor="page_685">
        <w:r>
          <w:rPr>
            <w:rStyle w:val="Text2"/>
          </w:rPr>
          <w:t>GB</w:t>
        </w:r>
      </w:hyperlink>
      <w:r>
        <w:t xml:space="preserve"> </w:t>
      </w:r>
      <w:r>
        <w:rPr>
          <w:rStyle w:val="Text0"/>
        </w:rPr>
        <w:t>of disk space</w:t>
      </w:r>
      <w:r>
        <w:t xml:space="preserve">, and </w:t>
      </w:r>
      <w:r>
        <w:rPr>
          <w:rStyle w:val="Text0"/>
        </w:rPr>
        <w:t>1 GiB of memory</w:t>
      </w:r>
      <w:r>
        <w:t>.</w:t>
      </w:r>
    </w:p>
    <w:p>
      <w:pPr>
        <w:pStyle w:val="Para 28"/>
      </w:pPr>
      <w:r>
        <w:rPr>
          <w:rStyle w:val="Text0"/>
        </w:rPr>
        <w:t xml:space="preserve">• </w:t>
      </w:r>
      <w:r>
        <w:t>Software: – Multipass</w:t>
      </w:r>
    </w:p>
    <w:p>
      <w:pPr>
        <w:pStyle w:val="Para 06"/>
      </w:pPr>
      <w:r>
        <w:rPr>
          <w:rStyle w:val="Text0"/>
        </w:rPr>
        <w:t>–</w:t>
      </w:r>
      <w:r>
        <w:t xml:space="preserve"> On Ubuntu, you can install Multipass by running the following command in your</w:t>
      </w:r>
    </w:p>
    <w:p>
      <w:pPr>
        <w:pStyle w:val="Para 11"/>
      </w:pPr>
      <w:r>
        <w:t>terminal (you can open a terminal window by pressing Ctrl + Alt + T together):</w:t>
      </w:r>
    </w:p>
    <w:p>
      <w:pPr>
        <w:pStyle w:val="Para 11"/>
      </w:pPr>
      <w:r>
        <w:t>sudo snap install multipass</w:t>
      </w:r>
    </w:p>
    <w:p>
      <w:pPr>
        <w:pStyle w:val="Para 17"/>
      </w:pPr>
      <w:r>
        <w:t/>
      </w:r>
    </w:p>
    <w:p>
      <w:pPr>
        <w:pStyle w:val="Para 11"/>
      </w:pPr>
      <w:r>
        <w:t xml:space="preserve">Or you can install it directly from </w:t>
      </w:r>
      <w:hyperlink r:id="rId1049">
        <w:r>
          <w:rPr>
            <w:rStyle w:val="Text9"/>
          </w:rPr>
          <w:t>23</w:t>
        </w:r>
      </w:hyperlink>
      <w:hyperlink r:id="rId1049">
        <w:r>
          <w:rPr>
            <w:rStyle w:val="Text1"/>
          </w:rPr>
          <w:t xml:space="preserve"> the Multipass page</w:t>
        </w:r>
      </w:hyperlink>
      <w:r>
        <w:t xml:space="preserve"> in the online snap store (make sure to select the “latest/stable” version from the dropdown menu next to the install button).</w:t>
      </w:r>
    </w:p>
    <w:p>
      <w:pPr>
        <w:pStyle w:val="Para 06"/>
      </w:pPr>
      <w:r>
        <w:rPr>
          <w:rStyle w:val="Text0"/>
        </w:rPr>
        <w:t>–</w:t>
      </w:r>
      <w:r>
        <w:t xml:space="preserve"> Multipass can be installed on Windows, Mac and other Linux distributions </w:t>
      </w:r>
      <w:hyperlink r:id="rId1050">
        <w:r>
          <w:rPr>
            <w:rStyle w:val="Text1"/>
          </w:rPr>
          <w:t>using</w:t>
        </w:r>
      </w:hyperlink>
    </w:p>
    <w:p>
      <w:pPr>
        <w:pStyle w:val="Para 49"/>
      </w:pPr>
      <w:hyperlink r:id="rId1050">
        <w:r>
          <w:t>these instructions</w:t>
        </w:r>
      </w:hyperlink>
      <w:hyperlink r:id="rId1050">
        <w:r>
          <w:rPr>
            <w:rStyle w:val="Text10"/>
          </w:rPr>
          <w:t>24</w:t>
        </w:r>
      </w:hyperlink>
      <w:r>
        <w:rPr>
          <w:rStyle w:val="Text7"/>
        </w:rPr>
        <w:t>.</w:t>
      </w:r>
    </w:p>
    <w:p>
      <w:pPr>
        <w:pStyle w:val="Para 05"/>
      </w:pPr>
      <w:r>
        <w:rPr>
          <w:rStyle w:val="Text5"/>
        </w:rPr>
        <w:t>21</w:t>
      </w:r>
      <w:r>
        <w:rPr>
          <w:rStyle w:val="Text8"/>
        </w:rPr>
        <w:t xml:space="preserve"> </w:t>
      </w:r>
      <w:r>
        <w:t>https://canonical-subiquity.readthedocs-hosted.com/en/latest/index.html</w:t>
      </w:r>
    </w:p>
    <w:p>
      <w:pPr>
        <w:pStyle w:val="Para 05"/>
      </w:pPr>
      <w:r>
        <w:rPr>
          <w:rStyle w:val="Text5"/>
        </w:rPr>
        <w:t>22</w:t>
      </w:r>
      <w:r>
        <w:rPr>
          <w:rStyle w:val="Text8"/>
        </w:rPr>
        <w:t xml:space="preserve"> </w:t>
      </w:r>
      <w:r>
        <w:t>https://canonical-subiquity.readthedocs-hosted.com/en/latest/tutorial/screen-by-screen.html</w:t>
      </w:r>
    </w:p>
    <w:p>
      <w:pPr>
        <w:pStyle w:val="Para 05"/>
      </w:pPr>
      <w:r>
        <w:rPr>
          <w:rStyle w:val="Text5"/>
        </w:rPr>
        <w:t>23</w:t>
      </w:r>
      <w:r>
        <w:rPr>
          <w:rStyle w:val="Text8"/>
        </w:rPr>
        <w:t xml:space="preserve"> </w:t>
      </w:r>
      <w:r>
        <w:t>https://snapcraft.io/multipass</w:t>
      </w:r>
    </w:p>
    <w:p>
      <w:pPr>
        <w:pStyle w:val="Para 05"/>
      </w:pPr>
      <w:r>
        <w:rPr>
          <w:rStyle w:val="Text5"/>
        </w:rPr>
        <w:t>24</w:t>
      </w:r>
      <w:r>
        <w:rPr>
          <w:rStyle w:val="Text8"/>
        </w:rPr>
        <w:t xml:space="preserve"> </w:t>
      </w:r>
      <w:r>
        <w:t>https://documentation.ubuntu.com/multipass/stable/how-to-guides/install-multipass/</w:t>
      </w:r>
    </w:p>
    <w:p>
      <w:bookmarkStart w:id="28" w:name="calibre_pb_7"/>
      <w:pPr>
        <w:pStyle w:val="0 Block"/>
      </w:pPr>
      <w:bookmarkEnd w:id="28"/>
    </w:p>
    <w:p>
      <w:bookmarkStart w:id="29" w:name="Top_of_index_split_008_html"/>
      <w:bookmarkStart w:id="30" w:name="page_1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 name="index-14_1.png" descr="index-14_1.png"/>
            <wp:cNvGraphicFramePr>
              <a:graphicFrameLocks noChangeAspect="1"/>
            </wp:cNvGraphicFramePr>
            <a:graphic>
              <a:graphicData uri="http://schemas.openxmlformats.org/drawingml/2006/picture">
                <pic:pic>
                  <pic:nvPicPr>
                    <pic:cNvPr id="0" name="index-14_1.png" descr="index-14_1.png"/>
                    <pic:cNvPicPr/>
                  </pic:nvPicPr>
                  <pic:blipFill>
                    <a:blip r:embed="rId18"/>
                    <a:stretch>
                      <a:fillRect/>
                    </a:stretch>
                  </pic:blipFill>
                  <pic:spPr>
                    <a:xfrm>
                      <a:off x="0" y="0"/>
                      <a:ext cx="914400" cy="266700"/>
                    </a:xfrm>
                    <a:prstGeom prst="rect">
                      <a:avLst/>
                    </a:prstGeom>
                  </pic:spPr>
                </pic:pic>
              </a:graphicData>
            </a:graphic>
          </wp:anchor>
        </w:drawing>
      </w:r>
      <w:bookmarkEnd w:id="29"/>
      <w:bookmarkEnd w:id="30"/>
    </w:p>
    <w:p>
      <w:pPr>
        <w:pStyle w:val="Para 01"/>
      </w:pPr>
      <w:r>
        <w:t>Create the virtual machine</w:t>
      </w:r>
    </w:p>
    <w:p>
      <w:pPr>
        <w:pStyle w:val="Para 17"/>
      </w:pPr>
      <w:r>
        <w:t/>
      </w:r>
    </w:p>
    <w:p>
      <w:pPr>
        <w:pStyle w:val="Normal"/>
      </w:pPr>
      <w:r>
        <w:t>Once you have installed and run Multipass, it is straightforward to launch a new VM. Let us launch a VM using the Ubuntu 24.04 LTS release (codename noble), and let’s give our VM the name tutorial using the following command in our terminal window:</w:t>
      </w:r>
    </w:p>
    <w:p>
      <w:pPr>
        <w:pStyle w:val="Normal"/>
      </w:pPr>
      <w:r>
        <w:t>multipass launch noble --name tutorial</w:t>
      </w:r>
    </w:p>
    <w:p>
      <w:pPr>
        <w:pStyle w:val="Para 17"/>
      </w:pPr>
      <w:r>
        <w:t/>
      </w:r>
    </w:p>
    <w:p>
      <w:pPr>
        <w:pStyle w:val="Normal"/>
      </w:pPr>
      <w:r>
        <w:t xml:space="preserve">Multipass will download the most recent daily </w:t>
      </w:r>
      <w:r>
        <w:rPr>
          <w:rStyle w:val="Text0"/>
        </w:rPr>
        <w:t>image</w:t>
      </w:r>
      <w:r>
        <w:t xml:space="preserve"> and create the VM for us. It may take a little time, depending on the speed of your internet connection.</w:t>
      </w:r>
    </w:p>
    <w:p>
      <w:pPr>
        <w:pStyle w:val="Normal"/>
      </w:pPr>
      <w:r>
        <w:t xml:space="preserve">An Ubuntu </w:t>
      </w:r>
      <w:r>
        <w:rPr>
          <w:rStyle w:val="Text0"/>
        </w:rPr>
        <w:t>image</w:t>
      </w:r>
      <w:r>
        <w:t xml:space="preserve"> is a collection of files we need to install and run Ubuntu. We don’t need to specify “server” or “desktop” anywhere in our command, because the image is the same for both. The only difference between Ubuntu Server and Ubuntu Desktop is the subset of software packages we use from the Ubuntu Archive - we will see this later!</w:t>
      </w:r>
    </w:p>
    <w:p>
      <w:pPr>
        <w:pStyle w:val="Normal"/>
      </w:pPr>
      <w:r>
        <w:t>Now we can access the VM by running:</w:t>
      </w:r>
    </w:p>
    <w:p>
      <w:pPr>
        <w:pStyle w:val="Normal"/>
      </w:pPr>
      <w:r>
        <w:t>multipass shell tutorial</w:t>
      </w:r>
    </w:p>
    <w:p>
      <w:pPr>
        <w:pStyle w:val="Para 17"/>
      </w:pPr>
      <w:r>
        <w:t/>
      </w:r>
    </w:p>
    <w:p>
      <w:pPr>
        <w:pStyle w:val="Normal"/>
      </w:pPr>
      <w:r>
        <w:t>We will get a “Welcome to Ubuntu” message. Notice that when we run this command, the</w:t>
      </w:r>
    </w:p>
    <w:p>
      <w:pPr>
        <w:pStyle w:val="Normal"/>
      </w:pPr>
      <w:r>
        <w:t xml:space="preserve">terminal username changes to ubuntu and the </w:t>
      </w:r>
      <w:hyperlink w:anchor="page_688">
        <w:r>
          <w:rPr>
            <w:rStyle w:val="Text2"/>
          </w:rPr>
          <w:t>hostname</w:t>
        </w:r>
      </w:hyperlink>
      <w:r>
        <w:t xml:space="preserve"> changes to tutorial:</w:t>
      </w:r>
    </w:p>
    <w:p>
      <w:pPr>
        <w:pStyle w:val="Normal"/>
      </w:pPr>
      <w:r>
        <w:t>ubuntu@tutorial</w:t>
      </w:r>
    </w:p>
    <w:p>
      <w:pPr>
        <w:pStyle w:val="Para 17"/>
      </w:pPr>
      <w:r>
        <w:t/>
      </w:r>
    </w:p>
    <w:p>
      <w:pPr>
        <w:pStyle w:val="Normal"/>
      </w:pPr>
      <w:r>
        <w:t>This shows that we are inside the VM, and this is where we will run all our commands.</w:t>
      </w:r>
    </w:p>
    <w:p>
      <w:pPr>
        <w:pStyle w:val="Para 17"/>
      </w:pPr>
      <w:r>
        <w:t/>
      </w:r>
    </w:p>
    <w:p>
      <w:pPr>
        <w:pStyle w:val="Para 01"/>
      </w:pPr>
      <w:r>
        <w:t>Updating the system with APT</w:t>
      </w:r>
    </w:p>
    <w:p>
      <w:pPr>
        <w:pStyle w:val="Para 17"/>
      </w:pPr>
      <w:r>
        <w:t/>
      </w:r>
    </w:p>
    <w:p>
      <w:pPr>
        <w:pStyle w:val="Normal"/>
      </w:pPr>
      <w:r>
        <w:t>The first thing we always want to do with a new system (whether a VM, container, bare metal, or cloud instance) is to make sure we have the latest versions of all the pre-installed software.</w:t>
      </w:r>
    </w:p>
    <w:p>
      <w:pPr>
        <w:pStyle w:val="Normal"/>
      </w:pPr>
      <w:r>
        <w:t xml:space="preserve">Debian packages, commonly referred to as </w:t>
      </w:r>
      <w:r>
        <w:rPr>
          <w:rStyle w:val="Text0"/>
        </w:rPr>
        <w:t>debs</w:t>
      </w:r>
      <w:r>
        <w:t>, are the standard software package format in Ubuntu. They can be identified by the .deb file extension.</w:t>
      </w:r>
    </w:p>
    <w:p>
      <w:pPr>
        <w:pStyle w:val="Normal"/>
      </w:pPr>
      <w:r>
        <w:t xml:space="preserve">Every Linux distribution has their own preferred </w:t>
      </w:r>
      <w:r>
        <w:rPr>
          <w:rStyle w:val="Text0"/>
        </w:rPr>
        <w:t>package manager</w:t>
      </w:r>
      <w:r>
        <w:t xml:space="preserve"> for installing, updating</w:t>
      </w:r>
    </w:p>
    <w:p>
      <w:pPr>
        <w:pStyle w:val="Normal"/>
      </w:pPr>
      <w:r>
        <w:t xml:space="preserve">and removing packages. In Ubuntu, the default package manager is </w:t>
      </w:r>
      <w:hyperlink r:id="rId1051">
        <w:r>
          <w:rPr>
            <w:rStyle w:val="Text1"/>
          </w:rPr>
          <w:t>Advanced Packaging</w:t>
        </w:r>
      </w:hyperlink>
    </w:p>
    <w:p>
      <w:pPr>
        <w:pStyle w:val="Normal"/>
      </w:pPr>
      <w:hyperlink r:id="rId1051">
        <w:r>
          <w:rPr>
            <w:rStyle w:val="Text1"/>
          </w:rPr>
          <w:t>Tool</w:t>
        </w:r>
      </w:hyperlink>
      <w:hyperlink w:anchor="page_14">
        <w:r>
          <w:rPr>
            <w:rStyle w:val="Text9"/>
          </w:rPr>
          <w:t>25</w:t>
        </w:r>
      </w:hyperlink>
      <w:r>
        <w:t xml:space="preserve"> (or APT, for short).</w:t>
      </w:r>
    </w:p>
    <w:p>
      <w:pPr>
        <w:pStyle w:val="Normal"/>
      </w:pPr>
      <w:r>
        <w:t xml:space="preserve">APT handles all of your system software (and other deb packages). It provides an interface to the Ubuntu Archive </w:t>
      </w:r>
      <w:r>
        <w:rPr>
          <w:rStyle w:val="Text3"/>
        </w:rPr>
        <w:t>repository</w:t>
      </w:r>
      <w:r>
        <w:t xml:space="preserve">, so it can access both the </w:t>
      </w:r>
      <w:r>
        <w:rPr>
          <w:rStyle w:val="Text0"/>
        </w:rPr>
        <w:t>database</w:t>
      </w:r>
      <w:r>
        <w:t xml:space="preserve"> of all the packages available in Ubuntu, and the means to handle the </w:t>
      </w:r>
      <w:r>
        <w:rPr>
          <w:rStyle w:val="Text0"/>
        </w:rPr>
        <w:t>packages</w:t>
      </w:r>
      <w:r>
        <w:t xml:space="preserve"> themselves.</w:t>
      </w:r>
    </w:p>
    <w:p>
      <w:pPr>
        <w:pStyle w:val="Normal"/>
      </w:pPr>
      <w:r>
        <w:t>There are two APT commands we need to update our system: update and upgrade, which we will always run in that order.</w:t>
      </w:r>
    </w:p>
    <w:p>
      <w:pPr>
        <w:pStyle w:val="Para 05"/>
      </w:pPr>
      <w:r>
        <w:rPr>
          <w:rStyle w:val="Text5"/>
        </w:rPr>
        <w:t>25</w:t>
      </w:r>
      <w:r>
        <w:rPr>
          <w:rStyle w:val="Text8"/>
        </w:rPr>
        <w:t xml:space="preserve"> </w:t>
      </w:r>
      <w:r>
        <w:t>https://wiki.debian.org/AptCLI</w:t>
      </w:r>
    </w:p>
    <w:p>
      <w:bookmarkStart w:id="31" w:name="calibre_pb_8"/>
      <w:pPr>
        <w:pStyle w:val="0 Block"/>
      </w:pPr>
      <w:bookmarkEnd w:id="31"/>
    </w:p>
    <w:p>
      <w:bookmarkStart w:id="32" w:name="page_15"/>
      <w:bookmarkStart w:id="33" w:name="Top_of_index_split_00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 name="index-15_1.png" descr="index-15_1.png"/>
            <wp:cNvGraphicFramePr>
              <a:graphicFrameLocks noChangeAspect="1"/>
            </wp:cNvGraphicFramePr>
            <a:graphic>
              <a:graphicData uri="http://schemas.openxmlformats.org/drawingml/2006/picture">
                <pic:pic>
                  <pic:nvPicPr>
                    <pic:cNvPr id="0" name="index-15_1.png" descr="index-15_1.png"/>
                    <pic:cNvPicPr/>
                  </pic:nvPicPr>
                  <pic:blipFill>
                    <a:blip r:embed="rId19"/>
                    <a:stretch>
                      <a:fillRect/>
                    </a:stretch>
                  </pic:blipFill>
                  <pic:spPr>
                    <a:xfrm>
                      <a:off x="0" y="0"/>
                      <a:ext cx="914400" cy="266700"/>
                    </a:xfrm>
                    <a:prstGeom prst="rect">
                      <a:avLst/>
                    </a:prstGeom>
                  </pic:spPr>
                </pic:pic>
              </a:graphicData>
            </a:graphic>
          </wp:anchor>
        </w:drawing>
      </w:r>
      <w:bookmarkEnd w:id="32"/>
      <w:bookmarkEnd w:id="33"/>
    </w:p>
    <w:p>
      <w:pPr>
        <w:pStyle w:val="Para 01"/>
      </w:pPr>
      <w:r>
        <w:t>apt update</w:t>
      </w:r>
    </w:p>
    <w:p>
      <w:pPr>
        <w:pStyle w:val="Para 17"/>
      </w:pPr>
      <w:r>
        <w:t/>
      </w:r>
    </w:p>
    <w:p>
      <w:pPr>
        <w:pStyle w:val="Normal"/>
      </w:pPr>
      <w:r>
        <w:t xml:space="preserve">The apt update command is about the </w:t>
      </w:r>
      <w:r>
        <w:rPr>
          <w:rStyle w:val="Text0"/>
        </w:rPr>
        <w:t>database</w:t>
      </w:r>
      <w:r>
        <w:t xml:space="preserve">. Any bug fixes in a package (or new versions since your last update) will be stored in the metadata about that package in the database (the </w:t>
      </w:r>
      <w:r>
        <w:rPr>
          <w:rStyle w:val="Text0"/>
        </w:rPr>
        <w:t>package index</w:t>
      </w:r>
      <w:r>
        <w:t>).</w:t>
      </w:r>
    </w:p>
    <w:p>
      <w:pPr>
        <w:pStyle w:val="Normal"/>
      </w:pPr>
      <w:r>
        <w:t>When we run the update command it updates the APT database on our machine, fetching the newest available metadata from the package index:</w:t>
      </w:r>
    </w:p>
    <w:p>
      <w:pPr>
        <w:pStyle w:val="Normal"/>
      </w:pPr>
      <w:r>
        <w:t>sudo apt update</w:t>
      </w:r>
    </w:p>
    <w:p>
      <w:pPr>
        <w:pStyle w:val="Para 17"/>
      </w:pPr>
      <w:r>
        <w:t/>
      </w:r>
    </w:p>
    <w:p>
      <w:pPr>
        <w:pStyle w:val="Normal"/>
      </w:pPr>
      <w:r>
        <w:t>We will see an output like this:</w:t>
      </w:r>
    </w:p>
    <w:p>
      <w:pPr>
        <w:pStyle w:val="Normal"/>
      </w:pPr>
      <w:r>
        <w:t>Hit:1 http://security.ubuntu.com/ubuntu noble-security InRelease</w:t>
        <w:t xml:space="preserve"> </w:t>
        <w:t>Hit:2 http://archive.ubuntu.com/ubuntu noble InRelease</w:t>
        <w:t xml:space="preserve"> </w:t>
        <w:t>Hit:3 http://archive.ubuntu.com/ubuntu noble-updates InRelease</w:t>
        <w:t xml:space="preserve"> </w:t>
        <w:t>Hit:4 http://archive.ubuntu.com/ubuntu noble-backports InRelease</w:t>
        <w:t xml:space="preserve"> </w:t>
        <w:t>Reading package lists... Done</w:t>
      </w:r>
    </w:p>
    <w:p>
      <w:pPr>
        <w:pStyle w:val="Normal"/>
      </w:pPr>
      <w:r>
        <w:t>Building dependency tree... Done</w:t>
      </w:r>
    </w:p>
    <w:p>
      <w:pPr>
        <w:pStyle w:val="Normal"/>
      </w:pPr>
      <w:r>
        <w:t>Reading state information... Done</w:t>
      </w:r>
    </w:p>
    <w:p>
      <w:pPr>
        <w:pStyle w:val="Normal"/>
      </w:pPr>
      <w:r>
        <w:t>88 packages can be upgraded. Run 'apt list --upgradable' to see them.</w:t>
      </w:r>
    </w:p>
    <w:p>
      <w:pPr>
        <w:pStyle w:val="Para 17"/>
      </w:pPr>
      <w:r>
        <w:t/>
      </w:r>
    </w:p>
    <w:p>
      <w:pPr>
        <w:pStyle w:val="Normal"/>
      </w:pPr>
      <w:r>
        <w:t>As we can see, it checks (“hits”) the various archives (</w:t>
      </w:r>
      <w:r>
        <w:rPr>
          <w:rStyle w:val="Text0"/>
        </w:rPr>
        <w:t>pockets</w:t>
      </w:r>
      <w:r>
        <w:t>) that updates can come from for the 24.04 LTS release (noble-security, noble, noble-updates and noble-backports – re-member these, as we’ll come back to them later). It has found some packages that can be upgraded to newer versions. If we want to see which packages those are, we can run the command hinted in the output:</w:t>
      </w:r>
    </w:p>
    <w:p>
      <w:pPr>
        <w:pStyle w:val="Normal"/>
      </w:pPr>
      <w:r>
        <w:t>apt list --upgradable</w:t>
      </w:r>
    </w:p>
    <w:p>
      <w:pPr>
        <w:pStyle w:val="Para 17"/>
      </w:pPr>
      <w:r>
        <w:t/>
      </w:r>
    </w:p>
    <w:p>
      <w:pPr>
        <w:pStyle w:val="Normal"/>
      </w:pPr>
      <w:r>
        <w:t>The output tells us:</w:t>
      </w:r>
    </w:p>
    <w:p>
      <w:pPr>
        <w:pStyle w:val="Para 04"/>
      </w:pPr>
      <w:r>
        <w:t>• the package name and where the update will come from (e.g. base-files/noble-</w:t>
      </w:r>
    </w:p>
    <w:p>
      <w:pPr>
        <w:pStyle w:val="Para 02"/>
      </w:pPr>
      <w:r>
        <w:t>updates),</w:t>
      </w:r>
    </w:p>
    <w:p>
      <w:pPr>
        <w:pStyle w:val="Para 04"/>
      </w:pPr>
      <w:r>
        <w:t>• the most up-to-date package version available (e.g. 13ubuntu10.1)</w:t>
      </w:r>
    </w:p>
    <w:p>
      <w:pPr>
        <w:pStyle w:val="Para 04"/>
      </w:pPr>
      <w:r>
        <w:t>• the hardware version the update is for (e.g. amd64), and</w:t>
      </w:r>
    </w:p>
    <w:p>
      <w:pPr>
        <w:pStyle w:val="Para 04"/>
      </w:pPr>
      <w:r>
        <w:t>• what package version is currently installed (e.g. 13ubuntu10)</w:t>
      </w:r>
    </w:p>
    <w:p>
      <w:pPr>
        <w:pStyle w:val="Normal"/>
      </w:pPr>
      <w:r>
        <w:t>The specific packages included in this list changes over time, so the exact packages shown will be different, but the output will be structured like this:</w:t>
      </w:r>
    </w:p>
    <w:p>
      <w:pPr>
        <w:pStyle w:val="Normal"/>
      </w:pPr>
      <w:r>
        <w:t>Listing... Done</w:t>
      </w:r>
    </w:p>
    <w:p>
      <w:pPr>
        <w:pStyle w:val="Normal"/>
      </w:pPr>
      <w:r>
        <w:t>base-files/noble-updates 13ubuntu10.1 amd64 [upgradable from: 13ubuntu10]</w:t>
        <w:t xml:space="preserve"> </w:t>
        <w:t>bsdextrautils/noble-updates 2.39.3-9ubuntu6.1 amd64 [upgradable from: 2.39.3-9ubuntu6]</w:t>
        <w:t xml:space="preserve"> </w:t>
        <w:t>bsdutils/noble-updates 1:2.39.3-9ubuntu6.1 amd64 [upgradable from: 1:2.39.3-9ubuntu6]</w:t>
        <w:t xml:space="preserve"> </w:t>
        <w:t>cloud-init/noble-updates 24.2-0ubuntu1~24.04.2 all [upgradable from: 24.1.3-0ubuntu3.3]</w:t>
        <w:t xml:space="preserve"> </w:t>
        <w:t>[...]</w:t>
      </w:r>
    </w:p>
    <w:p>
      <w:bookmarkStart w:id="34" w:name="calibre_pb_9"/>
      <w:pPr>
        <w:pStyle w:val="0 Block"/>
      </w:pPr>
      <w:bookmarkEnd w:id="34"/>
    </w:p>
    <w:p>
      <w:bookmarkStart w:id="35" w:name="page_16"/>
      <w:bookmarkStart w:id="36" w:name="Top_of_index_split_01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 name="index-16_1.png" descr="index-16_1.png"/>
            <wp:cNvGraphicFramePr>
              <a:graphicFrameLocks noChangeAspect="1"/>
            </wp:cNvGraphicFramePr>
            <a:graphic>
              <a:graphicData uri="http://schemas.openxmlformats.org/drawingml/2006/picture">
                <pic:pic>
                  <pic:nvPicPr>
                    <pic:cNvPr id="0" name="index-16_1.png" descr="index-16_1.png"/>
                    <pic:cNvPicPr/>
                  </pic:nvPicPr>
                  <pic:blipFill>
                    <a:blip r:embed="rId20"/>
                    <a:stretch>
                      <a:fillRect/>
                    </a:stretch>
                  </pic:blipFill>
                  <pic:spPr>
                    <a:xfrm>
                      <a:off x="0" y="0"/>
                      <a:ext cx="914400" cy="266700"/>
                    </a:xfrm>
                    <a:prstGeom prst="rect">
                      <a:avLst/>
                    </a:prstGeom>
                  </pic:spPr>
                </pic:pic>
              </a:graphicData>
            </a:graphic>
          </wp:anchor>
        </w:drawing>
      </w:r>
      <w:bookmarkEnd w:id="35"/>
      <w:bookmarkEnd w:id="36"/>
    </w:p>
    <w:p>
      <w:pPr>
        <w:pStyle w:val="Para 01"/>
      </w:pPr>
      <w:r>
        <w:t>apt upgrade</w:t>
      </w:r>
    </w:p>
    <w:p>
      <w:pPr>
        <w:pStyle w:val="Para 17"/>
      </w:pPr>
      <w:r>
        <w:t/>
      </w:r>
    </w:p>
    <w:p>
      <w:pPr>
        <w:pStyle w:val="Normal"/>
      </w:pPr>
      <w:r>
        <w:t xml:space="preserve">The apt upgrade command is about the </w:t>
      </w:r>
      <w:r>
        <w:rPr>
          <w:rStyle w:val="Text0"/>
        </w:rPr>
        <w:t>packages</w:t>
      </w:r>
      <w:r>
        <w:t xml:space="preserve"> on your system. It looks at the metadata in the package index we just updated, finds the packages with available upgrades, and lists them for us. Once we’ve checked the proposed upgrade and are happy to proceed, it will then install the newer versions for us.</w:t>
      </w:r>
    </w:p>
    <w:p>
      <w:pPr>
        <w:pStyle w:val="Normal"/>
      </w:pPr>
      <w:r>
        <w:t>After we have updated the database (which we did by running apt update) we can then up-grade the packages to their newest versions by running:</w:t>
      </w:r>
    </w:p>
    <w:p>
      <w:pPr>
        <w:pStyle w:val="Normal"/>
      </w:pPr>
      <w:r>
        <w:t>sudo apt upgrade</w:t>
      </w:r>
    </w:p>
    <w:p>
      <w:pPr>
        <w:pStyle w:val="Para 17"/>
      </w:pPr>
      <w:r>
        <w:t/>
      </w:r>
    </w:p>
    <w:p>
      <w:pPr>
        <w:pStyle w:val="Normal"/>
      </w:pPr>
      <w:r>
        <w:t>When we run this command, it will ask us to confirm if the summary of proposed changes that will be made to our system is what we want.</w:t>
      </w:r>
    </w:p>
    <w:p>
      <w:pPr>
        <w:pStyle w:val="Normal"/>
      </w:pPr>
      <w:r>
        <w:t>Let’s type Y, then press Enter to confirm that yes, we do want that, and then the upgrade will proceed. This may take a few minutes.</w:t>
      </w:r>
    </w:p>
    <w:p>
      <w:pPr>
        <w:pStyle w:val="Para 17"/>
      </w:pPr>
      <w:r>
        <w:t/>
      </w:r>
    </w:p>
    <w:p>
      <w:pPr>
        <w:pStyle w:val="Para 08"/>
      </w:pPr>
      <w:r>
        <w:t>Tip:</w:t>
      </w:r>
    </w:p>
    <w:p>
      <w:pPr>
        <w:pStyle w:val="Para 17"/>
      </w:pPr>
      <w:r>
        <w:t/>
      </w:r>
    </w:p>
    <w:p>
      <w:pPr>
        <w:pStyle w:val="Para 03"/>
      </w:pPr>
      <w:r>
        <w:t>You can use the-y flag, which is a shorthand for--assume-yes. If we ran the command</w:t>
      </w:r>
    </w:p>
    <w:p>
      <w:pPr>
        <w:pStyle w:val="Para 03"/>
      </w:pPr>
      <w:r>
        <w:t>sudo apt upgrade -y it would proceed with the upgrade without asking us to confirm.</w:t>
      </w:r>
    </w:p>
    <w:p>
      <w:pPr>
        <w:pStyle w:val="Para 03"/>
      </w:pPr>
      <w:r>
        <w:t>Shorthand versions of flags are common – for most packages, you can check which flags</w:t>
      </w:r>
    </w:p>
    <w:p>
      <w:pPr>
        <w:pStyle w:val="Para 03"/>
      </w:pPr>
      <w:r>
        <w:t xml:space="preserve">are equivalent using </w:t>
      </w:r>
      <w:hyperlink w:anchor="page_16">
        <w:r>
          <w:rPr>
            <w:rStyle w:val="Text9"/>
          </w:rPr>
          <w:t>26</w:t>
        </w:r>
      </w:hyperlink>
      <w:r>
        <w:t xml:space="preserve"> </w:t>
      </w:r>
      <w:hyperlink r:id="rId1052">
        <w:r>
          <w:rPr>
            <w:rStyle w:val="Text1"/>
          </w:rPr>
          <w:t>the manual pages</w:t>
        </w:r>
      </w:hyperlink>
      <w:r>
        <w:t xml:space="preserve"> or using the man command, as we’ll see later.</w:t>
      </w:r>
    </w:p>
    <w:p>
      <w:pPr>
        <w:pStyle w:val="Para 50"/>
      </w:pPr>
      <w:r>
        <w:rPr>
          <w:rStyle w:val="Text5"/>
        </w:rPr>
        <w:t>26</w:t>
      </w:r>
      <w:r>
        <w:rPr>
          <w:rStyle w:val="Text8"/>
        </w:rPr>
        <w:t xml:space="preserve"> </w:t>
      </w:r>
      <w:r>
        <w:t>https://manpages.ubuntu.com/</w:t>
      </w:r>
    </w:p>
    <w:p>
      <w:pPr>
        <w:pStyle w:val="Para 17"/>
      </w:pPr>
      <w:r>
        <w:t/>
      </w:r>
    </w:p>
    <w:p>
      <w:pPr>
        <w:pStyle w:val="Normal"/>
      </w:pPr>
      <w:r>
        <w:t>In the output, we’ll see where apt upgrade is fetching the upgrade from for each package. For example:</w:t>
      </w:r>
    </w:p>
    <w:p>
      <w:pPr>
        <w:pStyle w:val="Normal"/>
      </w:pPr>
      <w:r>
        <w:t>Get:1 http://archive.ubuntu.com/ubuntu noble-updates/main amd64 libopeniscsiusr amd64 2.1.</w:t>
        <w:t xml:space="preserve"> </w:t>
        <w:t>9-3ubuntu5.1 [49.1 kB]</w:t>
      </w:r>
    </w:p>
    <w:p>
      <w:pPr>
        <w:pStyle w:val="Para 17"/>
      </w:pPr>
      <w:r>
        <w:t/>
      </w:r>
    </w:p>
    <w:p>
      <w:pPr>
        <w:pStyle w:val="Normal"/>
      </w:pPr>
      <w:r>
        <w:t>APT combines the various elements; the package name (libopeniscsiusr), version (2.1.9-3ubuntu5.1), source (noble-updates/main), etc into a single URL that it can use for the down-load. The package is then unpacked, and the upgrade applied to the system.</w:t>
      </w:r>
    </w:p>
    <w:p>
      <w:pPr>
        <w:pStyle w:val="Para 08"/>
      </w:pPr>
      <w:r>
        <w:t>Note:</w:t>
      </w:r>
    </w:p>
    <w:p>
      <w:pPr>
        <w:pStyle w:val="Para 03"/>
      </w:pPr>
      <w:r>
        <w:t>These commands only upgrade the packages for the release of Ubuntu that we are using</w:t>
      </w:r>
    </w:p>
    <w:p>
      <w:pPr>
        <w:pStyle w:val="Para 03"/>
      </w:pPr>
      <w:r>
        <w:t>(24.04 LTS). If we wanted to upgrade the entire system to the next release of Ubuntu (e.g.</w:t>
      </w:r>
    </w:p>
    <w:p>
      <w:pPr>
        <w:pStyle w:val="Para 03"/>
      </w:pPr>
      <w:r>
        <w:t>from 22.04 LTS to 24.04 LTS), we would use the do-release-upgrade command. See this</w:t>
      </w:r>
    </w:p>
    <w:p>
      <w:pPr>
        <w:pStyle w:val="Para 03"/>
      </w:pPr>
      <w:r>
        <w:t xml:space="preserve">guide on </w:t>
      </w:r>
      <w:hyperlink w:anchor="page_359">
        <w:r>
          <w:rPr>
            <w:rStyle w:val="Text2"/>
          </w:rPr>
          <w:t>how to upgrade your release</w:t>
        </w:r>
      </w:hyperlink>
      <w:r>
        <w:t xml:space="preserve"> (page 358) for more information.</w:t>
      </w:r>
    </w:p>
    <w:p>
      <w:pPr>
        <w:pStyle w:val="Para 17"/>
      </w:pPr>
      <w:r>
        <w:t/>
      </w:r>
    </w:p>
    <w:p>
      <w:pPr>
        <w:pStyle w:val="Normal"/>
      </w:pPr>
      <w:r>
        <w:t xml:space="preserve">It’s important to know that apt upgrade will only handle packages that can be straightfor-wardly upgraded. If the package has </w:t>
      </w:r>
      <w:r>
        <w:rPr>
          <w:rStyle w:val="Text0"/>
        </w:rPr>
        <w:t>dependency</w:t>
      </w:r>
      <w:r>
        <w:t xml:space="preserve"> issues (i.e., the version you have “depends” on other packages that also need to be added, upgraded or removed), you would need to use sudo apt dist-upgrade instead. The dist-upgrade command is able to resolve conflicts between package versions, but it </w:t>
      </w:r>
      <w:r>
        <w:rPr>
          <w:rStyle w:val="Text3"/>
        </w:rPr>
        <w:t>could</w:t>
      </w:r>
      <w:r>
        <w:t xml:space="preserve"> end up removing some packages – so although apt upgrade is safe to use unattended (in a script, for example), you should only use dist-upgrade when you can pay attention to it.</w:t>
      </w:r>
    </w:p>
    <w:p>
      <w:bookmarkStart w:id="37" w:name="page_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 name="index-17_1.png" descr="index-17_1.png"/>
            <wp:cNvGraphicFramePr>
              <a:graphicFrameLocks noChangeAspect="1"/>
            </wp:cNvGraphicFramePr>
            <a:graphic>
              <a:graphicData uri="http://schemas.openxmlformats.org/drawingml/2006/picture">
                <pic:pic>
                  <pic:nvPicPr>
                    <pic:cNvPr id="0" name="index-17_1.png" descr="index-17_1.png"/>
                    <pic:cNvPicPr/>
                  </pic:nvPicPr>
                  <pic:blipFill>
                    <a:blip r:embed="rId21"/>
                    <a:stretch>
                      <a:fillRect/>
                    </a:stretch>
                  </pic:blipFill>
                  <pic:spPr>
                    <a:xfrm>
                      <a:off x="0" y="0"/>
                      <a:ext cx="914400" cy="266700"/>
                    </a:xfrm>
                    <a:prstGeom prst="rect">
                      <a:avLst/>
                    </a:prstGeom>
                  </pic:spPr>
                </pic:pic>
              </a:graphicData>
            </a:graphic>
          </wp:anchor>
        </w:drawing>
      </w:r>
      <w:bookmarkEnd w:id="37"/>
    </w:p>
    <w:p>
      <w:pPr>
        <w:pStyle w:val="Para 01"/>
      </w:pPr>
      <w:r>
        <w:t>Searching with APT</w:t>
      </w:r>
    </w:p>
    <w:p>
      <w:pPr>
        <w:pStyle w:val="Para 17"/>
      </w:pPr>
      <w:r>
        <w:t/>
      </w:r>
    </w:p>
    <w:p>
      <w:pPr>
        <w:pStyle w:val="Normal"/>
      </w:pPr>
      <w:r>
        <w:t>Now we’re up-to-date, we can start exploring! As with any other database, we can search the list of available packages using APT in order to find software. Let’s say that we want to find a web server, for example. We can run the following command:</w:t>
      </w:r>
    </w:p>
    <w:p>
      <w:pPr>
        <w:pStyle w:val="Normal"/>
      </w:pPr>
      <w:r>
        <w:t>apt search webserver</w:t>
      </w:r>
    </w:p>
    <w:p>
      <w:pPr>
        <w:pStyle w:val="Para 17"/>
      </w:pPr>
      <w:r>
        <w:t/>
      </w:r>
    </w:p>
    <w:p>
      <w:pPr>
        <w:pStyle w:val="Normal"/>
      </w:pPr>
      <w:r>
        <w:t>This will return us a long list of all “webserver” packages it can find. But some of the descrip-tions don’t actually contain the text “webserver” – like in this section of the list:</w:t>
      </w:r>
    </w:p>
    <w:p>
      <w:pPr>
        <w:pStyle w:val="Normal"/>
      </w:pPr>
      <w:r>
        <w:t>inotify-tools/noble 3.22.6.0-4 amd64</w:t>
      </w:r>
    </w:p>
    <w:p>
      <w:pPr>
        <w:pStyle w:val="Para 03"/>
      </w:pPr>
      <w:r>
        <w:t>command-line programs providing a simple interface to inotify</w:t>
      </w:r>
    </w:p>
    <w:p>
      <w:pPr>
        <w:pStyle w:val="Normal"/>
      </w:pPr>
      <w:r>
        <w:t>ipcalc/noble 0.51-1 all</w:t>
      </w:r>
    </w:p>
    <w:p>
      <w:pPr>
        <w:pStyle w:val="Para 03"/>
      </w:pPr>
      <w:r>
        <w:t>parameter calculator for IPv4 addresses</w:t>
      </w:r>
    </w:p>
    <w:p>
      <w:pPr>
        <w:pStyle w:val="Normal"/>
      </w:pPr>
      <w:r>
        <w:t>iwatch/noble 0.2.2-10 all</w:t>
      </w:r>
    </w:p>
    <w:p>
      <w:pPr>
        <w:pStyle w:val="Para 03"/>
      </w:pPr>
      <w:r>
        <w:t>realtime filesystem monitoring program using inotify</w:t>
      </w:r>
    </w:p>
    <w:p>
      <w:pPr>
        <w:pStyle w:val="Para 17"/>
      </w:pPr>
      <w:r>
        <w:t/>
      </w:r>
    </w:p>
    <w:p>
      <w:pPr>
        <w:pStyle w:val="Normal"/>
      </w:pPr>
      <w:r>
        <w:t>We can use apt show to inspect the description and summary details of any package, so let’s take a closer look at ipcalc from our list:</w:t>
      </w:r>
    </w:p>
    <w:p>
      <w:pPr>
        <w:pStyle w:val="Normal"/>
      </w:pPr>
      <w:r>
        <w:t>apt show ipcalc</w:t>
      </w:r>
    </w:p>
    <w:p>
      <w:pPr>
        <w:pStyle w:val="Para 17"/>
      </w:pPr>
      <w:r>
        <w:t/>
      </w:r>
    </w:p>
    <w:p>
      <w:pPr>
        <w:pStyle w:val="Normal"/>
      </w:pPr>
      <w:r>
        <w:t>The summary has been replaced with [...] for brevity, but we can see that the text “webserver” is in the long description of the “Description” field.</w:t>
      </w:r>
    </w:p>
    <w:p>
      <w:pPr>
        <w:pStyle w:val="Normal"/>
      </w:pPr>
      <w:r>
        <w:t>Package: ipcalc</w:t>
      </w:r>
    </w:p>
    <w:p>
      <w:pPr>
        <w:pStyle w:val="Normal"/>
      </w:pPr>
      <w:r>
        <w:t>Version: 0.51-1</w:t>
      </w:r>
    </w:p>
    <w:p>
      <w:pPr>
        <w:pStyle w:val="Normal"/>
      </w:pPr>
      <w:r>
        <w:t>[...]</w:t>
      </w:r>
    </w:p>
    <w:p>
      <w:pPr>
        <w:pStyle w:val="Normal"/>
      </w:pPr>
      <w:r>
        <w:t>APT-Sources: http://archive.ubuntu.com/ubuntu noble/universe amd64 Packages</w:t>
        <w:t xml:space="preserve"> </w:t>
        <w:t>Description: parameter calculator for IPv4 addresses</w:t>
      </w:r>
    </w:p>
    <w:p>
      <w:pPr>
        <w:pStyle w:val="Normal"/>
      </w:pPr>
      <w:r>
        <w:t>ipcalc takes an IPv4 address and netmask and calculates the resulting</w:t>
        <w:t xml:space="preserve"> </w:t>
        <w:t>broadcast, network, Cisco wildcard mask, and host range. By giving a</w:t>
        <w:t xml:space="preserve"> </w:t>
        <w:t>second netmask, you can design sub- and supernetworks. It is also</w:t>
        <w:t xml:space="preserve"> </w:t>
        <w:t>intended to be a teaching tool and presents the results as</w:t>
        <w:t xml:space="preserve"> </w:t>
        <w:t>easy-to-understand binary values.</w:t>
      </w:r>
    </w:p>
    <w:p>
      <w:pPr>
        <w:pStyle w:val="Normal"/>
      </w:pPr>
      <w:r>
        <w:t>.</w:t>
      </w:r>
    </w:p>
    <w:p>
      <w:pPr>
        <w:pStyle w:val="Normal"/>
      </w:pPr>
      <w:r>
        <w:t>Originally, ipcalc was intended for use from the shell prompt, but a</w:t>
        <w:t xml:space="preserve"> </w:t>
        <w:t>CGI wrapper is provided to enable colorful HTML display through a</w:t>
        <w:t xml:space="preserve"> </w:t>
        <w:t>webserver.</w:t>
      </w:r>
    </w:p>
    <w:p>
      <w:pPr>
        <w:pStyle w:val="Normal"/>
      </w:pPr>
      <w:r>
        <w:t>You can find it in /usr/share/doc/ipcalc/examples directory.</w:t>
      </w:r>
    </w:p>
    <w:p>
      <w:pPr>
        <w:pStyle w:val="Para 17"/>
      </w:pPr>
      <w:r>
        <w:t/>
      </w:r>
    </w:p>
    <w:p>
      <w:pPr>
        <w:pStyle w:val="Normal"/>
      </w:pPr>
      <w:r>
        <w:t xml:space="preserve">In many places, you will see reference to apt-get and apt-cache instead of apt. Historically, the </w:t>
      </w:r>
      <w:r>
        <w:rPr>
          <w:rStyle w:val="Text3"/>
        </w:rPr>
        <w:t>database</w:t>
      </w:r>
      <w:r>
        <w:t xml:space="preserve"> part of APT was accessed using apt-cache (e.g. apt-cache show ipcalc), and the </w:t>
      </w:r>
      <w:r>
        <w:rPr>
          <w:rStyle w:val="Text3"/>
        </w:rPr>
        <w:t>packages</w:t>
      </w:r>
      <w:r>
        <w:t xml:space="preserve"> part of APT used apt-get (e.g. apt-get install ipcalc).</w:t>
      </w:r>
    </w:p>
    <w:p>
      <w:pPr>
        <w:pStyle w:val="Normal"/>
      </w:pPr>
      <w:r>
        <w:t>APT has recently been streamlined, so although it uses apt-get and apt-cache “behind the scenes” (and these commands do still work), we don’t need to worry about remembering which command to use – we can use the more convenient apt directly. To find out more about these packages and how to use them (or indeed, any package in Ubuntu!) we can refer to the manual pages.</w:t>
      </w:r>
    </w:p>
    <w:p>
      <w:pPr>
        <w:pStyle w:val="Normal"/>
      </w:pPr>
      <w:r>
        <w:t>Run man apt, man apt-get or man apt-cache in the terminal to access the manuals for these</w:t>
      </w:r>
    </w:p>
    <w:p>
      <w:bookmarkStart w:id="38" w:name="page_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 name="index-18_1.png" descr="index-18_1.png"/>
            <wp:cNvGraphicFramePr>
              <a:graphicFrameLocks noChangeAspect="1"/>
            </wp:cNvGraphicFramePr>
            <a:graphic>
              <a:graphicData uri="http://schemas.openxmlformats.org/drawingml/2006/picture">
                <pic:pic>
                  <pic:nvPicPr>
                    <pic:cNvPr id="0" name="index-18_1.png" descr="index-18_1.png"/>
                    <pic:cNvPicPr/>
                  </pic:nvPicPr>
                  <pic:blipFill>
                    <a:blip r:embed="rId22"/>
                    <a:stretch>
                      <a:fillRect/>
                    </a:stretch>
                  </pic:blipFill>
                  <pic:spPr>
                    <a:xfrm>
                      <a:off x="0" y="0"/>
                      <a:ext cx="914400" cy="266700"/>
                    </a:xfrm>
                    <a:prstGeom prst="rect">
                      <a:avLst/>
                    </a:prstGeom>
                  </pic:spPr>
                </pic:pic>
              </a:graphicData>
            </a:graphic>
          </wp:anchor>
        </w:drawing>
      </w:r>
      <w:bookmarkEnd w:id="38"/>
    </w:p>
    <w:p>
      <w:pPr>
        <w:pStyle w:val="Normal"/>
      </w:pPr>
      <w:r>
        <w:t xml:space="preserve">packages on the command line, or view the same content in the </w:t>
      </w:r>
      <w:hyperlink w:anchor="page_18">
        <w:r>
          <w:rPr>
            <w:rStyle w:val="Text9"/>
          </w:rPr>
          <w:t>27</w:t>
        </w:r>
      </w:hyperlink>
      <w:r>
        <w:t xml:space="preserve"> </w:t>
      </w:r>
      <w:hyperlink r:id="rId1053">
        <w:r>
          <w:rPr>
            <w:rStyle w:val="Text1"/>
          </w:rPr>
          <w:t>online manual pages</w:t>
        </w:r>
      </w:hyperlink>
      <w:r>
        <w:t xml:space="preserve"> .</w:t>
      </w:r>
    </w:p>
    <w:p>
      <w:pPr>
        <w:pStyle w:val="Para 17"/>
      </w:pPr>
      <w:r>
        <w:t/>
      </w:r>
    </w:p>
    <w:p>
      <w:pPr>
        <w:pStyle w:val="Para 01"/>
      </w:pPr>
      <w:r>
        <w:t>Installing deb packages</w:t>
      </w:r>
    </w:p>
    <w:p>
      <w:pPr>
        <w:pStyle w:val="Para 17"/>
      </w:pPr>
      <w:r>
        <w:t/>
      </w:r>
    </w:p>
    <w:p>
      <w:pPr>
        <w:pStyle w:val="Normal"/>
      </w:pPr>
      <w:r>
        <w:t>For the examples for this section, we’re going to use the popular web server package,</w:t>
      </w:r>
    </w:p>
    <w:p>
      <w:pPr>
        <w:pStyle w:val="Para 18"/>
      </w:pPr>
      <w:hyperlink r:id="rId1054">
        <w:r>
          <w:t>Apache2</w:t>
        </w:r>
      </w:hyperlink>
      <w:hyperlink w:anchor="page_18">
        <w:r>
          <w:rPr>
            <w:rStyle w:val="Text10"/>
          </w:rPr>
          <w:t>28</w:t>
        </w:r>
      </w:hyperlink>
      <w:r>
        <w:rPr>
          <w:rStyle w:val="Text7"/>
        </w:rPr>
        <w:t xml:space="preserve"> .</w:t>
      </w:r>
    </w:p>
    <w:p>
      <w:pPr>
        <w:pStyle w:val="Normal"/>
      </w:pPr>
      <w:r>
        <w:t xml:space="preserve">APT gives us a lot of details about what will be included in the installation, and it’s always important to understand the implications of a command </w:t>
      </w:r>
      <w:r>
        <w:rPr>
          <w:rStyle w:val="Text3"/>
        </w:rPr>
        <w:t>before</w:t>
      </w:r>
      <w:r>
        <w:t xml:space="preserve"> we run it. We’ll be taking a close look at the details APT gives us, so we need to be careful in this section.</w:t>
      </w:r>
    </w:p>
    <w:p>
      <w:pPr>
        <w:pStyle w:val="Normal"/>
      </w:pPr>
      <w:r>
        <w:t>When we run a command that asks us “Do you want to continue? [Y/n]”, make sure to type N for “no” and then press Enter unless instructed otherwise – this will let us see the output of the commands without making changes that then need to be undone.</w:t>
      </w:r>
    </w:p>
    <w:p>
      <w:pPr>
        <w:pStyle w:val="Normal"/>
      </w:pPr>
      <w:r>
        <w:t>Installing deb packages using APT is done using the apt install command. We can install either a single package, or a list of packages at once, by including their names in a space-separated list after the install command, in this format:</w:t>
      </w:r>
    </w:p>
    <w:p>
      <w:pPr>
        <w:pStyle w:val="Normal"/>
      </w:pPr>
      <w:r>
        <w:t>sudo apt install &lt;package 1&gt; &lt;package 2&gt; &lt;package 3&gt;</w:t>
      </w:r>
    </w:p>
    <w:p>
      <w:pPr>
        <w:pStyle w:val="Para 17"/>
      </w:pPr>
      <w:r>
        <w:t/>
      </w:r>
    </w:p>
    <w:p>
      <w:pPr>
        <w:pStyle w:val="Para 01"/>
      </w:pPr>
      <w:r>
        <w:t>About sudo</w:t>
      </w:r>
    </w:p>
    <w:p>
      <w:pPr>
        <w:pStyle w:val="Para 17"/>
      </w:pPr>
      <w:r>
        <w:t/>
      </w:r>
    </w:p>
    <w:p>
      <w:pPr>
        <w:pStyle w:val="Normal"/>
      </w:pPr>
      <w:r>
        <w:t>We’ve seen the sudo prefix in a couple of commands already, and you may be wondering what that’s about. In Linux, system tasks (like installing software) need elevated administrator permissions. These permissions are often called “root access”, and a user with root access is called a “root user”.</w:t>
      </w:r>
    </w:p>
    <w:p>
      <w:pPr>
        <w:pStyle w:val="Normal"/>
      </w:pPr>
      <w:r>
        <w:t>However, it can be dangerous to operate your machine as a root user – since root access gives you full system control the whole time, it allows you to change or delete important system files. It’s very easy to accidentally break your system in root mode!</w:t>
      </w:r>
    </w:p>
    <w:p>
      <w:pPr>
        <w:pStyle w:val="Normal"/>
      </w:pPr>
      <w:r>
        <w:t xml:space="preserve">Instead, we use sudo (which is short for superuser do). This command is a safety feature that grants regular users </w:t>
      </w:r>
      <w:r>
        <w:rPr>
          <w:rStyle w:val="Text3"/>
        </w:rPr>
        <w:t>temporary</w:t>
      </w:r>
      <w:r>
        <w:t xml:space="preserve"> (per command) admin privileges to make system changes. It’s still important for us to always understand what a command does before we run it, but using sudo means we purposefully limit any potential mistakes to a single command.</w:t>
      </w:r>
    </w:p>
    <w:p>
      <w:pPr>
        <w:pStyle w:val="Para 17"/>
      </w:pPr>
      <w:r>
        <w:t/>
      </w:r>
    </w:p>
    <w:p>
      <w:pPr>
        <w:pStyle w:val="Para 01"/>
      </w:pPr>
      <w:r>
        <w:t>About dependencies</w:t>
      </w:r>
    </w:p>
    <w:p>
      <w:pPr>
        <w:pStyle w:val="Para 17"/>
      </w:pPr>
      <w:r>
        <w:t/>
      </w:r>
    </w:p>
    <w:p>
      <w:pPr>
        <w:pStyle w:val="Normal"/>
      </w:pPr>
      <w:r>
        <w:t xml:space="preserve">As we hinted earlier, packages often come with </w:t>
      </w:r>
      <w:r>
        <w:rPr>
          <w:rStyle w:val="Text0"/>
        </w:rPr>
        <w:t>dependencies</w:t>
      </w:r>
      <w:r>
        <w:t xml:space="preserve"> – other packages that </w:t>
      </w:r>
      <w:r>
        <w:rPr>
          <w:rStyle w:val="Text3"/>
        </w:rPr>
        <w:t>your</w:t>
      </w:r>
      <w:r>
        <w:t xml:space="preserve"> package needs so it can function. Sometimes, a package might depend on a specific version of another package. If a package has dependencies, then installing a package via apt will also install any dependencies, which ensures the software can function properly.</w:t>
      </w:r>
    </w:p>
    <w:p>
      <w:pPr>
        <w:pStyle w:val="Normal"/>
      </w:pPr>
      <w:r>
        <w:t xml:space="preserve">APT tells us how it will resolve any dependency conflicts or issues when we run the install command. Let’s try this for ourselves, but remember, we </w:t>
      </w:r>
      <w:r>
        <w:rPr>
          <w:rStyle w:val="Text0"/>
        </w:rPr>
        <w:t>don’t</w:t>
      </w:r>
      <w:r>
        <w:t xml:space="preserve"> want to proceed with the install yet, so let’s type N when it asks us if we want to continue:</w:t>
      </w:r>
    </w:p>
    <w:p>
      <w:pPr>
        <w:pStyle w:val="Para 05"/>
      </w:pPr>
      <w:r>
        <w:rPr>
          <w:rStyle w:val="Text5"/>
        </w:rPr>
        <w:t>27</w:t>
      </w:r>
      <w:r>
        <w:rPr>
          <w:rStyle w:val="Text8"/>
        </w:rPr>
        <w:t xml:space="preserve"> </w:t>
      </w:r>
      <w:r>
        <w:t>https://manpages.ubuntu.com</w:t>
      </w:r>
    </w:p>
    <w:p>
      <w:pPr>
        <w:pStyle w:val="Para 05"/>
      </w:pPr>
      <w:r>
        <w:rPr>
          <w:rStyle w:val="Text5"/>
        </w:rPr>
        <w:t>28</w:t>
      </w:r>
      <w:r>
        <w:rPr>
          <w:rStyle w:val="Text8"/>
        </w:rPr>
        <w:t xml:space="preserve"> </w:t>
      </w:r>
      <w:r>
        <w:t>https://httpd.apache.org/</w:t>
      </w:r>
    </w:p>
    <w:p>
      <w:bookmarkStart w:id="39" w:name="page_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23"/>
                    <a:stretch>
                      <a:fillRect/>
                    </a:stretch>
                  </pic:blipFill>
                  <pic:spPr>
                    <a:xfrm>
                      <a:off x="0" y="0"/>
                      <a:ext cx="914400" cy="266700"/>
                    </a:xfrm>
                    <a:prstGeom prst="rect">
                      <a:avLst/>
                    </a:prstGeom>
                  </pic:spPr>
                </pic:pic>
              </a:graphicData>
            </a:graphic>
          </wp:anchor>
        </w:drawing>
      </w:r>
      <w:bookmarkEnd w:id="39"/>
    </w:p>
    <w:p>
      <w:pPr>
        <w:pStyle w:val="Normal"/>
      </w:pPr>
      <w:r>
        <w:t>sudo apt install apache2</w:t>
      </w:r>
    </w:p>
    <w:p>
      <w:pPr>
        <w:pStyle w:val="Para 17"/>
      </w:pPr>
      <w:r>
        <w:t/>
      </w:r>
    </w:p>
    <w:p>
      <w:pPr>
        <w:pStyle w:val="Normal"/>
      </w:pPr>
      <w:r>
        <w:t>The output should be similar to the below. It tells us:</w:t>
      </w:r>
    </w:p>
    <w:p>
      <w:pPr>
        <w:pStyle w:val="Para 04"/>
      </w:pPr>
      <w:r>
        <w:t>• which packages we have but don’t need (we’ll talk about that in the “auto-remove” sec-</w:t>
      </w:r>
    </w:p>
    <w:p>
      <w:pPr>
        <w:pStyle w:val="Para 02"/>
      </w:pPr>
      <w:r>
        <w:t>tion),</w:t>
      </w:r>
    </w:p>
    <w:p>
      <w:pPr>
        <w:pStyle w:val="Para 04"/>
      </w:pPr>
      <w:r>
        <w:t>• additional packages that will be installed (these are our dependencies),</w:t>
      </w:r>
    </w:p>
    <w:p>
      <w:pPr>
        <w:pStyle w:val="Para 04"/>
      </w:pPr>
      <w:r>
        <w:t>• suggested packages (which we’ll discuss in the next section), and</w:t>
      </w:r>
    </w:p>
    <w:p>
      <w:pPr>
        <w:pStyle w:val="Para 04"/>
      </w:pPr>
      <w:r>
        <w:t xml:space="preserve">• a summary of which </w:t>
      </w:r>
      <w:r>
        <w:rPr>
          <w:rStyle w:val="Text3"/>
        </w:rPr>
        <w:t>new</w:t>
      </w:r>
      <w:r>
        <w:t xml:space="preserve"> packages will be present on the system after the install is done</w:t>
      </w:r>
    </w:p>
    <w:p>
      <w:pPr>
        <w:pStyle w:val="Para 02"/>
      </w:pPr>
      <w:r>
        <w:t>(which in this case is apache2 itself, and all its dependencies).</w:t>
      </w:r>
    </w:p>
    <w:p>
      <w:pPr>
        <w:pStyle w:val="Normal"/>
      </w:pPr>
      <w:r>
        <w:t>Reading package lists... Done</w:t>
      </w:r>
    </w:p>
    <w:p>
      <w:pPr>
        <w:pStyle w:val="Normal"/>
      </w:pPr>
      <w:r>
        <w:t>Building dependency tree... Done</w:t>
      </w:r>
    </w:p>
    <w:p>
      <w:pPr>
        <w:pStyle w:val="Normal"/>
      </w:pPr>
      <w:r>
        <w:t>Reading state information... Done</w:t>
      </w:r>
    </w:p>
    <w:p>
      <w:pPr>
        <w:pStyle w:val="Normal"/>
      </w:pPr>
      <w:r>
        <w:t>The following additional packages will be installed:</w:t>
      </w:r>
    </w:p>
    <w:p>
      <w:pPr>
        <w:pStyle w:val="Para 17"/>
      </w:pPr>
      <w:r>
        <w:t>apache2-bin apache2-data apache2-utils libapr1t64 libaprutil1-dbd-sqlite3 libaprutil1-</w:t>
      </w:r>
    </w:p>
    <w:p>
      <w:pPr>
        <w:pStyle w:val="Normal"/>
      </w:pPr>
      <w:r>
        <w:t>ldap libaprutil1t64 liblua5.4-0 ssl-cert</w:t>
      </w:r>
    </w:p>
    <w:p>
      <w:pPr>
        <w:pStyle w:val="Normal"/>
      </w:pPr>
      <w:r>
        <w:t>Suggested packages:</w:t>
      </w:r>
    </w:p>
    <w:p>
      <w:pPr>
        <w:pStyle w:val="Para 03"/>
      </w:pPr>
      <w:r>
        <w:t>apache2-doc apache2-suexec-pristine | apache2-suexec-custom www-browser</w:t>
      </w:r>
    </w:p>
    <w:p>
      <w:pPr>
        <w:pStyle w:val="Normal"/>
      </w:pPr>
      <w:r>
        <w:t>The following NEW packages will be installed:</w:t>
      </w:r>
    </w:p>
    <w:p>
      <w:pPr>
        <w:pStyle w:val="Para 03"/>
      </w:pPr>
      <w:r>
        <w:t>apache2 apache2-bin apache2-data apache2-utils libapr1t64 libaprutil1-dbd-sqlite3</w:t>
      </w:r>
    </w:p>
    <w:p>
      <w:pPr>
        <w:pStyle w:val="Normal"/>
      </w:pPr>
      <w:r>
        <w:t>libaprutil1-ldap libaprutil1t64 liblua5.4-0 ssl-cert</w:t>
      </w:r>
    </w:p>
    <w:p>
      <w:pPr>
        <w:pStyle w:val="Normal"/>
      </w:pPr>
      <w:r>
        <w:t>0 upgraded, 10 newly installed, 0 to remove and 2 not upgraded.</w:t>
        <w:t xml:space="preserve"> </w:t>
        <w:t>Need to get 2084 kB of archives.</w:t>
      </w:r>
    </w:p>
    <w:p>
      <w:pPr>
        <w:pStyle w:val="Normal"/>
      </w:pPr>
      <w:r>
        <w:t>After this operation, 8094 kB of additional disk space will be used.</w:t>
        <w:t xml:space="preserve"> </w:t>
        <w:t>Do you want to continue? [Y/n]</w:t>
      </w:r>
    </w:p>
    <w:p>
      <w:pPr>
        <w:pStyle w:val="Para 17"/>
      </w:pPr>
      <w:r>
        <w:t/>
      </w:r>
    </w:p>
    <w:p>
      <w:pPr>
        <w:pStyle w:val="Normal"/>
      </w:pPr>
      <w:r>
        <w:t>Let’s try and make sense of this output.</w:t>
      </w:r>
    </w:p>
    <w:p>
      <w:pPr>
        <w:pStyle w:val="Para 17"/>
      </w:pPr>
      <w:r>
        <w:t/>
      </w:r>
    </w:p>
    <w:p>
      <w:pPr>
        <w:pStyle w:val="Para 01"/>
      </w:pPr>
      <w:r>
        <w:t>Types of dependencies</w:t>
      </w:r>
    </w:p>
    <w:p>
      <w:pPr>
        <w:pStyle w:val="Para 17"/>
      </w:pPr>
      <w:r>
        <w:t/>
      </w:r>
    </w:p>
    <w:p>
      <w:pPr>
        <w:pStyle w:val="Normal"/>
      </w:pPr>
      <w:r>
        <w:t xml:space="preserve">The relationship between a package and any other packages follows the </w:t>
      </w:r>
      <w:hyperlink r:id="rId1055">
        <w:r>
          <w:rPr>
            <w:rStyle w:val="Text1"/>
          </w:rPr>
          <w:t>Debian policy on</w:t>
        </w:r>
      </w:hyperlink>
    </w:p>
    <w:p>
      <w:pPr>
        <w:pStyle w:val="Normal"/>
      </w:pPr>
      <w:hyperlink r:id="rId1055">
        <w:r>
          <w:rPr>
            <w:rStyle w:val="Text1"/>
          </w:rPr>
          <w:t>binary dependencies</w:t>
        </w:r>
      </w:hyperlink>
      <w:hyperlink w:anchor="page_19">
        <w:r>
          <w:rPr>
            <w:rStyle w:val="Text9"/>
          </w:rPr>
          <w:t>29</w:t>
        </w:r>
      </w:hyperlink>
      <w:r>
        <w:t xml:space="preserve"> , which we’ll briefly look at here. The most common ones you might come across are: depends, recommends, and suggests (although there are others!), so we’ll take a look at these three.</w:t>
      </w:r>
    </w:p>
    <w:p>
      <w:pPr>
        <w:pStyle w:val="Para 04"/>
      </w:pPr>
      <w:r>
        <w:t xml:space="preserve">• </w:t>
      </w:r>
      <w:r>
        <w:rPr>
          <w:rStyle w:val="Text0"/>
        </w:rPr>
        <w:t>depends</w:t>
      </w:r>
      <w:r>
        <w:t>: Absolutely required, the package won’t work without it. If we try to remove</w:t>
      </w:r>
    </w:p>
    <w:p>
      <w:pPr>
        <w:pStyle w:val="Para 02"/>
      </w:pPr>
      <w:r>
        <w:t>a package that is depended on by another, both will be removed!</w:t>
      </w:r>
    </w:p>
    <w:p>
      <w:pPr>
        <w:pStyle w:val="Para 04"/>
      </w:pPr>
      <w:r>
        <w:t xml:space="preserve">• </w:t>
      </w:r>
      <w:r>
        <w:rPr>
          <w:rStyle w:val="Text0"/>
        </w:rPr>
        <w:t>recommends</w:t>
      </w:r>
      <w:r>
        <w:t>: Strongly dependent, but not absolutely necessary (which means the</w:t>
      </w:r>
    </w:p>
    <w:p>
      <w:pPr>
        <w:pStyle w:val="Para 02"/>
      </w:pPr>
      <w:r>
        <w:t>package will work better with it, but can still function without it)</w:t>
      </w:r>
    </w:p>
    <w:p>
      <w:pPr>
        <w:pStyle w:val="Para 04"/>
      </w:pPr>
      <w:r>
        <w:t xml:space="preserve">• </w:t>
      </w:r>
      <w:r>
        <w:rPr>
          <w:rStyle w:val="Text0"/>
        </w:rPr>
        <w:t>suggests</w:t>
      </w:r>
      <w:r>
        <w:t>: Not needed, but may enhance the usefulness of the package in some way.</w:t>
      </w:r>
    </w:p>
    <w:p>
      <w:pPr>
        <w:pStyle w:val="Normal"/>
      </w:pPr>
      <w:r>
        <w:t>We can see, using apt show, exactly which packages fall into each of these categories. Let’s use Apache2 as our example again:</w:t>
      </w:r>
    </w:p>
    <w:p>
      <w:pPr>
        <w:pStyle w:val="Normal"/>
      </w:pPr>
      <w:r>
        <w:t>apt show apache2</w:t>
      </w:r>
    </w:p>
    <w:p>
      <w:pPr>
        <w:pStyle w:val="Para 17"/>
      </w:pPr>
      <w:r>
        <w:t/>
      </w:r>
    </w:p>
    <w:p>
      <w:pPr>
        <w:pStyle w:val="Normal"/>
      </w:pPr>
      <w:r>
        <w:t>If we look only at the sections on dependencies, we can see that ssl-cert is a recommended package:</w:t>
      </w:r>
    </w:p>
    <w:p>
      <w:pPr>
        <w:pStyle w:val="Para 05"/>
      </w:pPr>
      <w:r>
        <w:rPr>
          <w:rStyle w:val="Text5"/>
        </w:rPr>
        <w:t>29</w:t>
      </w:r>
      <w:r>
        <w:rPr>
          <w:rStyle w:val="Text8"/>
        </w:rPr>
        <w:t xml:space="preserve"> </w:t>
      </w:r>
      <w:r>
        <w:t>https://www.debian.org/doc/debian-policy/ch-relationships.html#binary-dependencies-depends-recommends-suggests-enhances-pre-depends</w:t>
      </w:r>
      <w:r>
        <w:rPr>
          <w:rStyle w:val="Text8"/>
        </w:rPr>
        <w:t xml:space="preserve"> </w:t>
        <w:t>[...]</w:t>
      </w:r>
    </w:p>
    <w:p>
      <w:bookmarkStart w:id="40" w:name="page_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 name="index-20_1.png" descr="index-20_1.png"/>
            <wp:cNvGraphicFramePr>
              <a:graphicFrameLocks noChangeAspect="1"/>
            </wp:cNvGraphicFramePr>
            <a:graphic>
              <a:graphicData uri="http://schemas.openxmlformats.org/drawingml/2006/picture">
                <pic:pic>
                  <pic:nvPicPr>
                    <pic:cNvPr id="0" name="index-20_1.png" descr="index-20_1.png"/>
                    <pic:cNvPicPr/>
                  </pic:nvPicPr>
                  <pic:blipFill>
                    <a:blip r:embed="rId24"/>
                    <a:stretch>
                      <a:fillRect/>
                    </a:stretch>
                  </pic:blipFill>
                  <pic:spPr>
                    <a:xfrm>
                      <a:off x="0" y="0"/>
                      <a:ext cx="914400" cy="266700"/>
                    </a:xfrm>
                    <a:prstGeom prst="rect">
                      <a:avLst/>
                    </a:prstGeom>
                  </pic:spPr>
                </pic:pic>
              </a:graphicData>
            </a:graphic>
          </wp:anchor>
        </w:drawing>
      </w:r>
      <w:bookmarkEnd w:id="40"/>
    </w:p>
    <w:p>
      <w:pPr>
        <w:pStyle w:val="Normal"/>
      </w:pPr>
      <w:r>
        <w:t>Provides: httpd, httpd-cgi</w:t>
      </w:r>
    </w:p>
    <w:p>
      <w:pPr>
        <w:pStyle w:val="Normal"/>
      </w:pPr>
      <w:r>
        <w:t>Pre-Depends: init-system-helpers (&gt;= 1.54~)</w:t>
      </w:r>
    </w:p>
    <w:p>
      <w:pPr>
        <w:pStyle w:val="Normal"/>
      </w:pPr>
      <w:r>
        <w:t>Depends: apache2-bin (= 2.4.58-1ubuntu8.4), apache2-data (= 2.4.58-1ubuntu8.4), apache2-</w:t>
        <w:t>utils (= 2.4.58-1ubuntu8.4), media-types, perl:any, procps</w:t>
        <w:t xml:space="preserve"> </w:t>
        <w:t>Recommends: ssl-cert</w:t>
      </w:r>
    </w:p>
    <w:p>
      <w:pPr>
        <w:pStyle w:val="Normal"/>
      </w:pPr>
      <w:r>
        <w:t>Suggests: apache2-doc, apache2-suexec-pristine | apache2-suexec-custom, www-browser, ufw</w:t>
        <w:t xml:space="preserve"> </w:t>
        <w:t>[...]</w:t>
      </w:r>
    </w:p>
    <w:p>
      <w:pPr>
        <w:pStyle w:val="Para 17"/>
      </w:pPr>
      <w:r>
        <w:t/>
      </w:r>
    </w:p>
    <w:p>
      <w:pPr>
        <w:pStyle w:val="Normal"/>
      </w:pPr>
      <w:r>
        <w:t>In Ubuntu, the default configuration of apt install is set to install recommended packages alongside depends, so when we ran the apt install apache2 command, ssl-cert was included in the proposed packages to be installed (even though it’s only recommended, not strictly needed).</w:t>
      </w:r>
    </w:p>
    <w:p>
      <w:pPr>
        <w:pStyle w:val="Normal"/>
      </w:pPr>
      <w:r>
        <w:t>We can override this behavior by passing the--no-install-recommends flag to our command, like this:</w:t>
      </w:r>
    </w:p>
    <w:p>
      <w:pPr>
        <w:pStyle w:val="Normal"/>
      </w:pPr>
      <w:r>
        <w:t>sudo apt install apache2 --no-install-recommends</w:t>
      </w:r>
    </w:p>
    <w:p>
      <w:pPr>
        <w:pStyle w:val="Para 17"/>
      </w:pPr>
      <w:r>
        <w:t/>
      </w:r>
    </w:p>
    <w:p>
      <w:pPr>
        <w:pStyle w:val="Normal"/>
      </w:pPr>
      <w:r>
        <w:t>Then the output becomes the following (type N at the prompt again to avoid installing for now):</w:t>
      </w:r>
    </w:p>
    <w:p>
      <w:pPr>
        <w:pStyle w:val="Normal"/>
      </w:pPr>
      <w:r>
        <w:t>[...]</w:t>
      </w:r>
    </w:p>
    <w:p>
      <w:pPr>
        <w:pStyle w:val="Normal"/>
      </w:pPr>
      <w:r>
        <w:t>The following additional packages will be installed:</w:t>
      </w:r>
    </w:p>
    <w:p>
      <w:pPr>
        <w:pStyle w:val="Para 17"/>
      </w:pPr>
      <w:r>
        <w:t>apache2-bin apache2-data apache2-utils libapr1t64 libaprutil1-dbd-sqlite3 libaprutil1-</w:t>
      </w:r>
    </w:p>
    <w:p>
      <w:pPr>
        <w:pStyle w:val="Normal"/>
      </w:pPr>
      <w:r>
        <w:t>ldap libaprutil1t64 liblua5.4-0</w:t>
      </w:r>
    </w:p>
    <w:p>
      <w:pPr>
        <w:pStyle w:val="Normal"/>
      </w:pPr>
      <w:r>
        <w:t>Suggested packages:</w:t>
      </w:r>
    </w:p>
    <w:p>
      <w:pPr>
        <w:pStyle w:val="Para 03"/>
      </w:pPr>
      <w:r>
        <w:t>apache2-doc apache2-suexec-pristine | apache2-suexec-custom www-browser</w:t>
      </w:r>
    </w:p>
    <w:p>
      <w:pPr>
        <w:pStyle w:val="Normal"/>
      </w:pPr>
      <w:r>
        <w:t>Recommended packages:</w:t>
      </w:r>
    </w:p>
    <w:p>
      <w:pPr>
        <w:pStyle w:val="Para 03"/>
      </w:pPr>
      <w:r>
        <w:t>ssl-cert</w:t>
      </w:r>
    </w:p>
    <w:p>
      <w:pPr>
        <w:pStyle w:val="Normal"/>
      </w:pPr>
      <w:r>
        <w:t>The following NEW packages will be installed:</w:t>
      </w:r>
    </w:p>
    <w:p>
      <w:pPr>
        <w:pStyle w:val="Para 03"/>
      </w:pPr>
      <w:r>
        <w:t>apache2 apache2-bin apache2-data apache2-utils libapr1t64 libaprutil1-dbd-sqlite3</w:t>
      </w:r>
    </w:p>
    <w:p>
      <w:pPr>
        <w:pStyle w:val="Normal"/>
      </w:pPr>
      <w:r>
        <w:t>libaprutil1-ldap libaprutil1t64 liblua5.4-0</w:t>
      </w:r>
    </w:p>
    <w:p>
      <w:pPr>
        <w:pStyle w:val="Normal"/>
      </w:pPr>
      <w:r>
        <w:t>0 upgraded, 9 newly installed, 0 to remove and 25 not upgraded.</w:t>
        <w:t xml:space="preserve"> </w:t>
        <w:t>[...]</w:t>
      </w:r>
    </w:p>
    <w:p>
      <w:pPr>
        <w:pStyle w:val="Para 17"/>
      </w:pPr>
      <w:r>
        <w:t/>
      </w:r>
    </w:p>
    <w:p>
      <w:pPr>
        <w:pStyle w:val="Normal"/>
      </w:pPr>
      <w:r>
        <w:t>Now, we see that ssl-cert is only mentioned as a recommended package, but is excluded from the list of packages to be installed.</w:t>
      </w:r>
    </w:p>
    <w:p>
      <w:pPr>
        <w:pStyle w:val="Normal"/>
      </w:pPr>
      <w:r>
        <w:t xml:space="preserve">There is a second flag we could pass – the--install-suggests flag. This will not only install the strict dependencies and recommended packages, but </w:t>
      </w:r>
      <w:r>
        <w:rPr>
          <w:rStyle w:val="Text3"/>
        </w:rPr>
        <w:t>also</w:t>
      </w:r>
      <w:r>
        <w:t xml:space="preserve"> the suggested packages. From our previous output, it doesn’t look like too much, right? It’s only four additional packages.</w:t>
      </w:r>
    </w:p>
    <w:p>
      <w:pPr>
        <w:pStyle w:val="Normal"/>
      </w:pPr>
      <w:r>
        <w:t>But actually, if we run this command:</w:t>
      </w:r>
    </w:p>
    <w:p>
      <w:pPr>
        <w:pStyle w:val="Normal"/>
      </w:pPr>
      <w:r>
        <w:t>sudo apt install apache2 --install-suggests</w:t>
      </w:r>
    </w:p>
    <w:p>
      <w:pPr>
        <w:pStyle w:val="Para 17"/>
      </w:pPr>
      <w:r>
        <w:t/>
      </w:r>
    </w:p>
    <w:p>
      <w:pPr>
        <w:pStyle w:val="Normal"/>
      </w:pPr>
      <w:r>
        <w:t>There is now an extremely long list of suggested packages (which I will not output here, but you can try it for yourself!). In fact, the number of suggested packages is so long that there is not enough space in this VM to install them all, so it won’t even give us the option to proceed:</w:t>
      </w:r>
    </w:p>
    <w:p>
      <w:pPr>
        <w:pStyle w:val="Normal"/>
      </w:pPr>
      <w:r>
        <w:t>[...]</w:t>
      </w:r>
    </w:p>
    <w:p>
      <w:pPr>
        <w:pStyle w:val="Normal"/>
      </w:pPr>
      <w:r>
        <w:t>0 upgraded, 4598 newly installed, 2 to remove and 0 not upgraded.</w:t>
        <w:t xml:space="preserve"> </w:t>
        <w:t>Need to get 7415 MB of archives.</w:t>
      </w:r>
    </w:p>
    <w:p>
      <w:pPr>
        <w:pStyle w:val="Normal"/>
      </w:pPr>
      <w:r>
        <w:t>After this operation, 19.6 GB of additional disk space will be used.</w:t>
        <w:t xml:space="preserve"> </w:t>
        <w:t>E: You don't have enough free space in /var/cache/apt/archives/.</w:t>
      </w:r>
    </w:p>
    <w:p>
      <w:bookmarkStart w:id="41" w:name="page_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25"/>
                    <a:stretch>
                      <a:fillRect/>
                    </a:stretch>
                  </pic:blipFill>
                  <pic:spPr>
                    <a:xfrm>
                      <a:off x="0" y="0"/>
                      <a:ext cx="914400" cy="266700"/>
                    </a:xfrm>
                    <a:prstGeom prst="rect">
                      <a:avLst/>
                    </a:prstGeom>
                  </pic:spPr>
                </pic:pic>
              </a:graphicData>
            </a:graphic>
          </wp:anchor>
        </w:drawing>
      </w:r>
      <w:bookmarkEnd w:id="41"/>
    </w:p>
    <w:p>
      <w:pPr>
        <w:pStyle w:val="Normal"/>
      </w:pPr>
      <w:r>
        <w:t xml:space="preserve">This is because each of these suggested packages also comes with their own lists of depen-dencies, including suggested packages, all of which would </w:t>
      </w:r>
      <w:r>
        <w:rPr>
          <w:rStyle w:val="Text3"/>
        </w:rPr>
        <w:t>also</w:t>
      </w:r>
      <w:r>
        <w:t xml:space="preserve"> be installed. It’s perhaps clear to see why this is not the default setting!</w:t>
      </w:r>
    </w:p>
    <w:p>
      <w:pPr>
        <w:pStyle w:val="Para 17"/>
      </w:pPr>
      <w:r>
        <w:t/>
      </w:r>
    </w:p>
    <w:p>
      <w:pPr>
        <w:pStyle w:val="Para 01"/>
      </w:pPr>
      <w:r>
        <w:t>What if we remove a dependency?</w:t>
      </w:r>
    </w:p>
    <w:p>
      <w:pPr>
        <w:pStyle w:val="Para 17"/>
      </w:pPr>
      <w:r>
        <w:t/>
      </w:r>
    </w:p>
    <w:p>
      <w:pPr>
        <w:pStyle w:val="Normal"/>
      </w:pPr>
      <w:r>
        <w:t xml:space="preserve">We’ll go into more detail about removing packages later, but for now, let’s see what happens if we remove a required </w:t>
      </w:r>
      <w:r>
        <w:rPr>
          <w:rStyle w:val="Text3"/>
        </w:rPr>
        <w:t>dependency</w:t>
      </w:r>
      <w:r>
        <w:t>. First, we should (finally!) install the apache2 package. Let’s run the following command again, but this time when we are asked whether we want to continue, let’s press Y and then Enter to confirm, and APT will install the package:</w:t>
      </w:r>
    </w:p>
    <w:p>
      <w:pPr>
        <w:pStyle w:val="Normal"/>
      </w:pPr>
      <w:r>
        <w:t>sudo apt install apache2</w:t>
      </w:r>
    </w:p>
    <w:p>
      <w:pPr>
        <w:pStyle w:val="Para 17"/>
      </w:pPr>
      <w:r>
        <w:t/>
      </w:r>
    </w:p>
    <w:p>
      <w:pPr>
        <w:pStyle w:val="Normal"/>
      </w:pPr>
      <w:r>
        <w:t>One of the required dependencies is the apache2-data package. Let’s try to remove it using apt remove:</w:t>
      </w:r>
    </w:p>
    <w:p>
      <w:pPr>
        <w:pStyle w:val="Normal"/>
      </w:pPr>
      <w:r>
        <w:t>sudo apt remove apache2-data</w:t>
      </w:r>
    </w:p>
    <w:p>
      <w:pPr>
        <w:pStyle w:val="Para 17"/>
      </w:pPr>
      <w:r>
        <w:t/>
      </w:r>
    </w:p>
    <w:p>
      <w:pPr>
        <w:pStyle w:val="Normal"/>
      </w:pPr>
      <w:r>
        <w:t>Once again, apt won’t proceed without confirmation, so we get the following output – let’s take a look before choose anything:</w:t>
      </w:r>
    </w:p>
    <w:p>
      <w:pPr>
        <w:pStyle w:val="Normal"/>
      </w:pPr>
      <w:r>
        <w:t>[...]</w:t>
      </w:r>
    </w:p>
    <w:p>
      <w:pPr>
        <w:pStyle w:val="Normal"/>
      </w:pPr>
      <w:r>
        <w:t>The following packages were automatically installed and are no longer required:</w:t>
      </w:r>
    </w:p>
    <w:p>
      <w:pPr>
        <w:pStyle w:val="Para 03"/>
      </w:pPr>
      <w:r>
        <w:t>apache2-bin apache2-utils libapr1t64 libaprutil1-dbd-sqlite3 libaprutil1-ldap</w:t>
      </w:r>
    </w:p>
    <w:p>
      <w:pPr>
        <w:pStyle w:val="Normal"/>
      </w:pPr>
      <w:r>
        <w:t>libaprutil1t64 liblua5.4-0 ssl-cert</w:t>
      </w:r>
    </w:p>
    <w:p>
      <w:pPr>
        <w:pStyle w:val="Normal"/>
      </w:pPr>
      <w:r>
        <w:t>Use 'sudo apt autoremove' to remove them.</w:t>
      </w:r>
    </w:p>
    <w:p>
      <w:pPr>
        <w:pStyle w:val="Normal"/>
      </w:pPr>
      <w:r>
        <w:t>The following packages will be REMOVED:</w:t>
      </w:r>
    </w:p>
    <w:p>
      <w:pPr>
        <w:pStyle w:val="Para 03"/>
      </w:pPr>
      <w:r>
        <w:t>apache2 apache2-data</w:t>
      </w:r>
    </w:p>
    <w:p>
      <w:pPr>
        <w:pStyle w:val="Normal"/>
      </w:pPr>
      <w:r>
        <w:t>0 upgraded, 0 newly installed, 2 to remove and 2 not upgraded.</w:t>
        <w:t xml:space="preserve"> </w:t>
        <w:t>After this operation, 1342 kB disk space will be freed.</w:t>
        <w:t xml:space="preserve"> </w:t>
        <w:t>Do you want to continue? [Y/n]</w:t>
      </w:r>
    </w:p>
    <w:p>
      <w:pPr>
        <w:pStyle w:val="Para 17"/>
      </w:pPr>
      <w:r>
        <w:t/>
      </w:r>
    </w:p>
    <w:p>
      <w:pPr>
        <w:pStyle w:val="Normal"/>
      </w:pPr>
      <w:r>
        <w:t>Let’s break this down a little bit, because there are some subtle differences here that we want to understand before we proceed.</w:t>
      </w:r>
    </w:p>
    <w:p>
      <w:pPr>
        <w:pStyle w:val="Para 04"/>
      </w:pPr>
      <w:r>
        <w:t>• “The following packages were automatically installed and are no longer required”</w:t>
      </w:r>
    </w:p>
    <w:p>
      <w:pPr>
        <w:pStyle w:val="Para 02"/>
      </w:pPr>
      <w:r>
        <w:t>These were other dependencies that apache2 needed, but none of them depend upon apache2-data, so even if we remove apache2 and apache2-data they would still be func-tional – they just aren’t used by any other installed packages…and so have no reason to be there anymore. They won’t be removed, APT is helpfully telling us so we’re aware of them.</w:t>
      </w:r>
    </w:p>
    <w:p>
      <w:pPr>
        <w:pStyle w:val="Para 04"/>
      </w:pPr>
      <w:r>
        <w:t>• “The following packages will be REMOVED”</w:t>
      </w:r>
    </w:p>
    <w:p>
      <w:pPr>
        <w:pStyle w:val="Para 02"/>
      </w:pPr>
      <w:r>
        <w:t xml:space="preserve">These are the packages that will be removed directly - we’ve told APT we want to re-move apache2-data, so we expect that to be included, but it will also remove apache2 itself! This is because apache2-data is a required dependency, and apache2 won’t func-tion </w:t>
      </w:r>
      <w:r>
        <w:rPr>
          <w:rStyle w:val="Text3"/>
        </w:rPr>
        <w:t>at all</w:t>
      </w:r>
      <w:r>
        <w:t xml:space="preserve"> without it.</w:t>
      </w:r>
    </w:p>
    <w:p>
      <w:pPr>
        <w:pStyle w:val="Normal"/>
      </w:pPr>
      <w:r>
        <w:t>Let’s now choose Y to confirm we want to remove this dependency.</w:t>
      </w:r>
    </w:p>
    <w:p>
      <w:bookmarkStart w:id="42" w:name="page_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26"/>
                    <a:stretch>
                      <a:fillRect/>
                    </a:stretch>
                  </pic:blipFill>
                  <pic:spPr>
                    <a:xfrm>
                      <a:off x="0" y="0"/>
                      <a:ext cx="914400" cy="266700"/>
                    </a:xfrm>
                    <a:prstGeom prst="rect">
                      <a:avLst/>
                    </a:prstGeom>
                  </pic:spPr>
                </pic:pic>
              </a:graphicData>
            </a:graphic>
          </wp:anchor>
        </w:drawing>
      </w:r>
      <w:bookmarkEnd w:id="42"/>
    </w:p>
    <w:p>
      <w:pPr>
        <w:pStyle w:val="Para 08"/>
      </w:pPr>
      <w:r>
        <w:t>Warning:</w:t>
      </w:r>
    </w:p>
    <w:p>
      <w:pPr>
        <w:pStyle w:val="Para 17"/>
      </w:pPr>
      <w:r>
        <w:t/>
      </w:r>
    </w:p>
    <w:p>
      <w:pPr>
        <w:pStyle w:val="Para 03"/>
      </w:pPr>
      <w:r>
        <w:t>Removing dependencies can, at worst, cause a system to become unusable – you should</w:t>
      </w:r>
    </w:p>
    <w:p>
      <w:pPr>
        <w:pStyle w:val="Para 03"/>
      </w:pPr>
      <w:r>
        <w:t>always be careful when doing so. If you remove a dependency that is part of a chain, the</w:t>
      </w:r>
    </w:p>
    <w:p>
      <w:pPr>
        <w:pStyle w:val="Para 03"/>
      </w:pPr>
      <w:r>
        <w:t>removals will cascade up the chain as each dependency and the package that depends on</w:t>
      </w:r>
    </w:p>
    <w:p>
      <w:pPr>
        <w:pStyle w:val="Para 03"/>
      </w:pPr>
      <w:r>
        <w:t>it are removed. You can end up removing more than you originally anticipated!</w:t>
      </w:r>
    </w:p>
    <w:p>
      <w:pPr>
        <w:pStyle w:val="Para 17"/>
      </w:pPr>
      <w:r>
        <w:t/>
      </w:r>
    </w:p>
    <w:p>
      <w:pPr>
        <w:pStyle w:val="Para 01"/>
      </w:pPr>
      <w:r>
        <w:t>Auto-remove dependencies</w:t>
      </w:r>
    </w:p>
    <w:p>
      <w:pPr>
        <w:pStyle w:val="Para 17"/>
      </w:pPr>
      <w:r>
        <w:t/>
      </w:r>
    </w:p>
    <w:p>
      <w:pPr>
        <w:pStyle w:val="Normal"/>
      </w:pPr>
      <w:r>
        <w:t>So, we have removed the apache2 and apache2-data packages, but the other dependencies that were installed alongside apache2 are still there. The output of our remove command gave us the hint about how to deal with these redundant packages – the autoremove command:</w:t>
      </w:r>
    </w:p>
    <w:p>
      <w:pPr>
        <w:pStyle w:val="Normal"/>
      </w:pPr>
      <w:r>
        <w:t>sudo apt autoremove</w:t>
      </w:r>
    </w:p>
    <w:p>
      <w:pPr>
        <w:pStyle w:val="Para 17"/>
      </w:pPr>
      <w:r>
        <w:t/>
      </w:r>
    </w:p>
    <w:p>
      <w:pPr>
        <w:pStyle w:val="Normal"/>
      </w:pPr>
      <w:r>
        <w:t>When we run this command, apt once again gives us a summary of the operation we re-quested, but let’s choose N for now when it asks if we want to continue:</w:t>
      </w:r>
    </w:p>
    <w:p>
      <w:pPr>
        <w:pStyle w:val="Normal"/>
      </w:pPr>
      <w:r>
        <w:t>[...]</w:t>
      </w:r>
    </w:p>
    <w:p>
      <w:pPr>
        <w:pStyle w:val="Normal"/>
      </w:pPr>
      <w:r>
        <w:t>The following packages will be REMOVED:</w:t>
      </w:r>
    </w:p>
    <w:p>
      <w:pPr>
        <w:pStyle w:val="Para 03"/>
      </w:pPr>
      <w:r>
        <w:t>apache2-bin apache2-utils libapr1t64 libaprutil1-dbd-sqlite3 libaprutil1-ldap</w:t>
      </w:r>
    </w:p>
    <w:p>
      <w:pPr>
        <w:pStyle w:val="Normal"/>
      </w:pPr>
      <w:r>
        <w:t>libaprutil1t64 liblua5.4-0 ssl-cert</w:t>
      </w:r>
    </w:p>
    <w:p>
      <w:pPr>
        <w:pStyle w:val="Normal"/>
      </w:pPr>
      <w:r>
        <w:t>0 upgraded, 0 newly installed, 8 to remove and 2 not upgraded.</w:t>
        <w:t xml:space="preserve"> </w:t>
        <w:t>After this operation, 6751 kB disk space will be freed.</w:t>
        <w:t xml:space="preserve"> </w:t>
        <w:t>Do you want to continue? [Y/n]</w:t>
      </w:r>
    </w:p>
    <w:p>
      <w:pPr>
        <w:pStyle w:val="Para 17"/>
      </w:pPr>
      <w:r>
        <w:t/>
      </w:r>
    </w:p>
    <w:p>
      <w:pPr>
        <w:pStyle w:val="Normal"/>
      </w:pPr>
      <w:r>
        <w:t>You may be wondering why we don’t need to specify any packages when we call the autore-move command – after all, we’ve just been dealing with packages related to apache2. This is because apt will check all the packages on your system. It examines the dependency tree, and if the original reason for the package to be installed no longer exists (i.e., it isn’t needed by anything), it will be flagged for auto-removal.</w:t>
      </w:r>
    </w:p>
    <w:p>
      <w:pPr>
        <w:pStyle w:val="Normal"/>
      </w:pPr>
      <w:r>
        <w:t>But!</w:t>
      </w:r>
    </w:p>
    <w:p>
      <w:pPr>
        <w:pStyle w:val="Normal"/>
      </w:pPr>
      <w:r>
        <w:t>We might, in the future, uninstall Apache2 without uninstalling the redundant packages at the time. We might have found another use for ssl-cert, perhaps in a script that makes use of SSL certificates. So how can we keep the ssl-cert package, even though it’s flagged for auto-removal?</w:t>
      </w:r>
    </w:p>
    <w:p>
      <w:pPr>
        <w:pStyle w:val="Normal"/>
      </w:pPr>
      <w:r>
        <w:t xml:space="preserve">We can solve this problem, and un-flag the ssl-cert package for removal, by </w:t>
      </w:r>
      <w:r>
        <w:rPr>
          <w:rStyle w:val="Text3"/>
        </w:rPr>
        <w:t>manually</w:t>
      </w:r>
      <w:r>
        <w:t xml:space="preserve"> in-stalling it:</w:t>
      </w:r>
    </w:p>
    <w:p>
      <w:pPr>
        <w:pStyle w:val="Normal"/>
      </w:pPr>
      <w:r>
        <w:t>sudo apt install ssl-cert</w:t>
      </w:r>
    </w:p>
    <w:p>
      <w:pPr>
        <w:pStyle w:val="Para 17"/>
      </w:pPr>
      <w:r>
        <w:t/>
      </w:r>
    </w:p>
    <w:p>
      <w:pPr>
        <w:pStyle w:val="Normal"/>
      </w:pPr>
      <w:r>
        <w:t xml:space="preserve">This sets ssl-cert to </w:t>
      </w:r>
      <w:r>
        <w:rPr>
          <w:rStyle w:val="Text0"/>
        </w:rPr>
        <w:t>manually installed</w:t>
      </w:r>
      <w:r>
        <w:t>. We might well wonder “why didn’t APT didn’t ask us to confirm anything this time?”. In this case, it’s because ssl-cert is already present on the system so APT doesn’t need to install anything new.</w:t>
      </w:r>
    </w:p>
    <w:p>
      <w:pPr>
        <w:pStyle w:val="Normal"/>
      </w:pPr>
      <w:r>
        <w:t>[...]</w:t>
      </w:r>
    </w:p>
    <w:p>
      <w:pPr>
        <w:pStyle w:val="Normal"/>
      </w:pPr>
      <w:r>
        <w:t>ssl-cert is already the newest version (1.1.2ubuntu1).</w:t>
        <w:t xml:space="preserve"> </w:t>
        <w:t>ssl-cert set to manually installed.</w:t>
      </w:r>
    </w:p>
    <w:p>
      <w:pPr>
        <w:pStyle w:val="Normal"/>
      </w:pPr>
      <w:r>
        <w:t>The following packages were automatically installed and are no longer required:</w:t>
      </w:r>
    </w:p>
    <w:p>
      <w:pPr>
        <w:pStyle w:val="Para 03"/>
      </w:pPr>
      <w:r>
        <w:t>apache2-bin apache2-utils libapr1t64 libaprutil1-dbd-sqlite3 libaprutil1-ldap</w:t>
      </w:r>
    </w:p>
    <w:p>
      <w:pPr>
        <w:pStyle w:val="Para 09"/>
      </w:pPr>
      <w:r>
        <w:t>(continues on next page)</w:t>
      </w:r>
    </w:p>
    <w:p>
      <w:bookmarkStart w:id="43" w:name="page_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 name="index-23_1.png" descr="index-23_1.png"/>
            <wp:cNvGraphicFramePr>
              <a:graphicFrameLocks noChangeAspect="1"/>
            </wp:cNvGraphicFramePr>
            <a:graphic>
              <a:graphicData uri="http://schemas.openxmlformats.org/drawingml/2006/picture">
                <pic:pic>
                  <pic:nvPicPr>
                    <pic:cNvPr id="0" name="index-23_1.png" descr="index-23_1.png"/>
                    <pic:cNvPicPr/>
                  </pic:nvPicPr>
                  <pic:blipFill>
                    <a:blip r:embed="rId27"/>
                    <a:stretch>
                      <a:fillRect/>
                    </a:stretch>
                  </pic:blipFill>
                  <pic:spPr>
                    <a:xfrm>
                      <a:off x="0" y="0"/>
                      <a:ext cx="914400" cy="266700"/>
                    </a:xfrm>
                    <a:prstGeom prst="rect">
                      <a:avLst/>
                    </a:prstGeom>
                  </pic:spPr>
                </pic:pic>
              </a:graphicData>
            </a:graphic>
          </wp:anchor>
        </w:drawing>
      </w:r>
      <w:bookmarkEnd w:id="43"/>
    </w:p>
    <w:p>
      <w:pPr>
        <w:pStyle w:val="Para 09"/>
      </w:pPr>
      <w:r>
        <w:t>(continued from previous page)</w:t>
      </w:r>
    </w:p>
    <w:p>
      <w:pPr>
        <w:pStyle w:val="Normal"/>
      </w:pPr>
      <w:r>
        <w:t>libaprutil1t64 liblua5.4-0</w:t>
      </w:r>
    </w:p>
    <w:p>
      <w:pPr>
        <w:pStyle w:val="Normal"/>
      </w:pPr>
      <w:r>
        <w:t>Use 'sudo apt autoremove' to remove them.</w:t>
      </w:r>
    </w:p>
    <w:p>
      <w:pPr>
        <w:pStyle w:val="Normal"/>
      </w:pPr>
      <w:r>
        <w:t>0 upgraded, 0 newly installed, 0 to remove and 2 not upgraded.</w:t>
      </w:r>
    </w:p>
    <w:p>
      <w:pPr>
        <w:pStyle w:val="Para 17"/>
      </w:pPr>
      <w:r>
        <w:t/>
      </w:r>
    </w:p>
    <w:p>
      <w:pPr>
        <w:pStyle w:val="Normal"/>
      </w:pPr>
      <w:r>
        <w:t>If the ssl-cert package is manually installed on our system, by us, then apt knows the pack-age is wanted, and we can see that it has been removed from the auto-remove list so our next autoremove will not uninstall it. Let’s test this, just to make sure!</w:t>
      </w:r>
    </w:p>
    <w:p>
      <w:pPr>
        <w:pStyle w:val="Normal"/>
      </w:pPr>
      <w:r>
        <w:t>sudo apt autoremove</w:t>
      </w:r>
    </w:p>
    <w:p>
      <w:pPr>
        <w:pStyle w:val="Para 17"/>
      </w:pPr>
      <w:r>
        <w:t/>
      </w:r>
    </w:p>
    <w:p>
      <w:pPr>
        <w:pStyle w:val="Normal"/>
      </w:pPr>
      <w:r>
        <w:t>This time we’ll select Y when prompted, and then we can run apt list ssl-cert to quickly see if our ssl-cert package is still on the system:</w:t>
      </w:r>
    </w:p>
    <w:p>
      <w:pPr>
        <w:pStyle w:val="Normal"/>
      </w:pPr>
      <w:r>
        <w:t>apt list ssl-cert</w:t>
      </w:r>
    </w:p>
    <w:p>
      <w:pPr>
        <w:pStyle w:val="Para 17"/>
      </w:pPr>
      <w:r>
        <w:t/>
      </w:r>
    </w:p>
    <w:p>
      <w:pPr>
        <w:pStyle w:val="Normal"/>
      </w:pPr>
      <w:r>
        <w:t>Which gives us this output, confirming that ssl-cert is currently installed:</w:t>
      </w:r>
    </w:p>
    <w:p>
      <w:pPr>
        <w:pStyle w:val="Normal"/>
      </w:pPr>
      <w:r>
        <w:t>Listing... Done</w:t>
      </w:r>
    </w:p>
    <w:p>
      <w:pPr>
        <w:pStyle w:val="Normal"/>
      </w:pPr>
      <w:r>
        <w:t>ssl-cert/noble,now 1.1.2ubuntu1 all [installed]</w:t>
      </w:r>
    </w:p>
    <w:p>
      <w:pPr>
        <w:pStyle w:val="Para 17"/>
      </w:pPr>
      <w:r>
        <w:t/>
      </w:r>
    </w:p>
    <w:p>
      <w:pPr>
        <w:pStyle w:val="Normal"/>
      </w:pPr>
      <w:r>
        <w:t>If you’re curious, you can also run apt list apache2 to see how the output differs for a package that was once installed and then removed!</w:t>
      </w:r>
    </w:p>
    <w:p>
      <w:pPr>
        <w:pStyle w:val="Normal"/>
      </w:pPr>
      <w:r>
        <w:t>Anyway, we’re not quite finished with the Apache2 package, so let’s reinstall it:</w:t>
      </w:r>
    </w:p>
    <w:p>
      <w:pPr>
        <w:pStyle w:val="Normal"/>
      </w:pPr>
      <w:r>
        <w:t>sudo apt install apache2</w:t>
      </w:r>
    </w:p>
    <w:p>
      <w:pPr>
        <w:pStyle w:val="Para 17"/>
      </w:pPr>
      <w:r>
        <w:t/>
      </w:r>
    </w:p>
    <w:p>
      <w:pPr>
        <w:pStyle w:val="Normal"/>
      </w:pPr>
      <w:r>
        <w:t>And this time select Y to confirm when it asks.</w:t>
      </w:r>
    </w:p>
    <w:p>
      <w:pPr>
        <w:pStyle w:val="Para 17"/>
      </w:pPr>
      <w:r>
        <w:t/>
      </w:r>
    </w:p>
    <w:p>
      <w:pPr>
        <w:pStyle w:val="Para 01"/>
      </w:pPr>
      <w:r>
        <w:t>Customize configuration</w:t>
      </w:r>
    </w:p>
    <w:p>
      <w:pPr>
        <w:pStyle w:val="Para 17"/>
      </w:pPr>
      <w:r>
        <w:t/>
      </w:r>
    </w:p>
    <w:p>
      <w:pPr>
        <w:pStyle w:val="Normal"/>
      </w:pPr>
      <w:r>
        <w:t>In general, the default package configuration should just work well, and work “out of the box” when it’s installed. But it’s almost inevitable that, sooner or later, we’ll want to customize the package so that it better fits our own purposes.</w:t>
      </w:r>
    </w:p>
    <w:p>
      <w:pPr>
        <w:pStyle w:val="Normal"/>
      </w:pPr>
      <w:r>
        <w:t>Before we try to customize the package, we should probably look at what files are included</w:t>
      </w:r>
    </w:p>
    <w:p>
      <w:pPr>
        <w:pStyle w:val="Normal"/>
      </w:pPr>
      <w:r>
        <w:t xml:space="preserve">in it. We can check this using </w:t>
      </w:r>
      <w:hyperlink r:id="rId1056">
        <w:r>
          <w:rPr>
            <w:rStyle w:val="Text9"/>
          </w:rPr>
          <w:t>30</w:t>
        </w:r>
      </w:hyperlink>
      <w:hyperlink r:id="rId1056">
        <w:r>
          <w:rPr>
            <w:rStyle w:val="Text1"/>
          </w:rPr>
          <w:t xml:space="preserve"> </w:t>
        </w:r>
      </w:hyperlink>
      <w:hyperlink r:id="rId1056">
        <w:r>
          <w:rPr>
            <w:rStyle w:val="Text2"/>
          </w:rPr>
          <w:t>dpkg(1)</w:t>
        </w:r>
      </w:hyperlink>
      <w:r>
        <w:t>, which is the Debian package manager. Although APT is now more commonly used for basic package handling, dpkg retains some really helpful commands for examining files and finding out package information. It’s installed by default on Ubuntu systems so we can use it directly:</w:t>
      </w:r>
    </w:p>
    <w:p>
      <w:pPr>
        <w:pStyle w:val="Normal"/>
      </w:pPr>
      <w:r>
        <w:t>dpkg --listfiles ssl-cert</w:t>
      </w:r>
    </w:p>
    <w:p>
      <w:pPr>
        <w:pStyle w:val="Para 17"/>
      </w:pPr>
      <w:r>
        <w:t/>
      </w:r>
    </w:p>
    <w:p>
      <w:pPr>
        <w:pStyle w:val="Normal"/>
      </w:pPr>
      <w:r>
        <w:t>This gives us the following list of files and their directory structure (the end of the list is truncated for brevity):</w:t>
      </w:r>
    </w:p>
    <w:p>
      <w:pPr>
        <w:pStyle w:val="Normal"/>
      </w:pPr>
      <w:r>
        <w:t>/.</w:t>
      </w:r>
    </w:p>
    <w:p>
      <w:pPr>
        <w:pStyle w:val="Normal"/>
      </w:pPr>
      <w:r>
        <w:t>/etc</w:t>
      </w:r>
    </w:p>
    <w:p>
      <w:pPr>
        <w:pStyle w:val="Normal"/>
      </w:pPr>
      <w:r>
        <w:t>/etc/ssl</w:t>
      </w:r>
    </w:p>
    <w:p>
      <w:pPr>
        <w:pStyle w:val="Normal"/>
      </w:pPr>
      <w:r>
        <w:t>/etc/ssl/certs</w:t>
      </w:r>
    </w:p>
    <w:p>
      <w:pPr>
        <w:pStyle w:val="Normal"/>
      </w:pPr>
      <w:r>
        <w:t>/etc/ssl/private</w:t>
      </w:r>
    </w:p>
    <w:p>
      <w:pPr>
        <w:pStyle w:val="Para 09"/>
      </w:pPr>
      <w:r>
        <w:t>(continues on next page)</w:t>
      </w:r>
    </w:p>
    <w:p>
      <w:pPr>
        <w:pStyle w:val="Para 05"/>
      </w:pPr>
      <w:r>
        <w:rPr>
          <w:rStyle w:val="Text5"/>
        </w:rPr>
        <w:t>30</w:t>
      </w:r>
      <w:r>
        <w:rPr>
          <w:rStyle w:val="Text8"/>
        </w:rPr>
        <w:t xml:space="preserve"> </w:t>
      </w:r>
      <w:r>
        <w:t>https://manpages.ubuntu.com/manpages/resolute/man1/dpkg.1.html</w:t>
      </w:r>
    </w:p>
    <w:p>
      <w:bookmarkStart w:id="44" w:name="page_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28"/>
                    <a:stretch>
                      <a:fillRect/>
                    </a:stretch>
                  </pic:blipFill>
                  <pic:spPr>
                    <a:xfrm>
                      <a:off x="0" y="0"/>
                      <a:ext cx="914400" cy="266700"/>
                    </a:xfrm>
                    <a:prstGeom prst="rect">
                      <a:avLst/>
                    </a:prstGeom>
                  </pic:spPr>
                </pic:pic>
              </a:graphicData>
            </a:graphic>
          </wp:anchor>
        </w:drawing>
      </w:r>
      <w:bookmarkEnd w:id="44"/>
    </w:p>
    <w:p>
      <w:pPr>
        <w:pStyle w:val="Para 09"/>
      </w:pPr>
      <w:r>
        <w:t>(continued from previous page)</w:t>
      </w:r>
    </w:p>
    <w:p>
      <w:pPr>
        <w:pStyle w:val="Normal"/>
      </w:pPr>
      <w:r>
        <w:t>/lib</w:t>
      </w:r>
    </w:p>
    <w:p>
      <w:pPr>
        <w:pStyle w:val="Normal"/>
      </w:pPr>
      <w:r>
        <w:t>diverted by base-files to: /lib.usr-is-merged</w:t>
      </w:r>
    </w:p>
    <w:p>
      <w:pPr>
        <w:pStyle w:val="Normal"/>
      </w:pPr>
      <w:r>
        <w:t>/lib/systemd</w:t>
      </w:r>
    </w:p>
    <w:p>
      <w:pPr>
        <w:pStyle w:val="Normal"/>
      </w:pPr>
      <w:r>
        <w:t>/lib/systemd/system</w:t>
      </w:r>
    </w:p>
    <w:p>
      <w:pPr>
        <w:pStyle w:val="Normal"/>
      </w:pPr>
      <w:r>
        <w:t>/lib/systemd/system/ssl-cert.service</w:t>
      </w:r>
    </w:p>
    <w:p>
      <w:pPr>
        <w:pStyle w:val="Normal"/>
      </w:pPr>
      <w:r>
        <w:t>/usr</w:t>
      </w:r>
    </w:p>
    <w:p>
      <w:pPr>
        <w:pStyle w:val="Normal"/>
      </w:pPr>
      <w:r>
        <w:t>/usr/sbin</w:t>
      </w:r>
    </w:p>
    <w:p>
      <w:pPr>
        <w:pStyle w:val="Normal"/>
      </w:pPr>
      <w:r>
        <w:t>/usr/sbin/make-ssl-cert</w:t>
      </w:r>
    </w:p>
    <w:p>
      <w:pPr>
        <w:pStyle w:val="Normal"/>
      </w:pPr>
      <w:r>
        <w:t>/usr/share</w:t>
      </w:r>
    </w:p>
    <w:p>
      <w:pPr>
        <w:pStyle w:val="Normal"/>
      </w:pPr>
      <w:r>
        <w:t>/usr/share/doc</w:t>
      </w:r>
    </w:p>
    <w:p>
      <w:pPr>
        <w:pStyle w:val="Normal"/>
      </w:pPr>
      <w:r>
        <w:t>/usr/share/doc/ssl-cert</w:t>
      </w:r>
    </w:p>
    <w:p>
      <w:pPr>
        <w:pStyle w:val="Normal"/>
      </w:pPr>
      <w:r>
        <w:t>/usr/share/doc/ssl-cert/README</w:t>
      </w:r>
    </w:p>
    <w:p>
      <w:pPr>
        <w:pStyle w:val="Normal"/>
      </w:pPr>
      <w:r>
        <w:t>[...]</w:t>
      </w:r>
    </w:p>
    <w:p>
      <w:pPr>
        <w:pStyle w:val="Para 17"/>
      </w:pPr>
      <w:r>
        <w:t/>
      </w:r>
    </w:p>
    <w:p>
      <w:pPr>
        <w:pStyle w:val="Normal"/>
      </w:pPr>
      <w:r>
        <w:t>If we find a file but we’re not sure what package it comes from, dpkg can help us there too! Let’s use the example of one of the files from the previous output: /usr/share/ssl-cert/ ssleay.cnf and do a search for it using dpkg:</w:t>
      </w:r>
    </w:p>
    <w:p>
      <w:pPr>
        <w:pStyle w:val="Normal"/>
      </w:pPr>
      <w:r>
        <w:t>dpkg --search /usr/share/ssl-cert/ssleay.cnf</w:t>
      </w:r>
    </w:p>
    <w:p>
      <w:pPr>
        <w:pStyle w:val="Para 17"/>
      </w:pPr>
      <w:r>
        <w:t/>
      </w:r>
    </w:p>
    <w:p>
      <w:pPr>
        <w:pStyle w:val="Normal"/>
      </w:pPr>
      <w:r>
        <w:t>This will provide us with the package name for the given file:</w:t>
      </w:r>
    </w:p>
    <w:p>
      <w:pPr>
        <w:pStyle w:val="Normal"/>
      </w:pPr>
      <w:r>
        <w:t>ssl-cert: /usr/share/ssl-cert/ssleay.cnf</w:t>
      </w:r>
    </w:p>
    <w:p>
      <w:pPr>
        <w:pStyle w:val="Para 17"/>
      </w:pPr>
      <w:r>
        <w:t/>
      </w:r>
    </w:p>
    <w:p>
      <w:pPr>
        <w:pStyle w:val="Normal"/>
      </w:pPr>
      <w:r>
        <w:t>Although this seems obvious to us, because we already know the source of this file, the dpkg search function is really useful for tracking down the sources of files we don’t know about!</w:t>
      </w:r>
    </w:p>
    <w:p>
      <w:pPr>
        <w:pStyle w:val="Para 17"/>
      </w:pPr>
      <w:r>
        <w:t/>
      </w:r>
    </w:p>
    <w:p>
      <w:pPr>
        <w:pStyle w:val="Para 01"/>
      </w:pPr>
      <w:r>
        <w:t>Conffiles</w:t>
      </w:r>
    </w:p>
    <w:p>
      <w:pPr>
        <w:pStyle w:val="Para 17"/>
      </w:pPr>
      <w:r>
        <w:t/>
      </w:r>
    </w:p>
    <w:p>
      <w:pPr>
        <w:pStyle w:val="Normal"/>
      </w:pPr>
      <w:r>
        <w:t xml:space="preserve">Most of a package’s configuration is handled through </w:t>
      </w:r>
      <w:hyperlink w:anchor="page_24">
        <w:r>
          <w:rPr>
            <w:rStyle w:val="Text9"/>
          </w:rPr>
          <w:t>31</w:t>
        </w:r>
      </w:hyperlink>
      <w:r>
        <w:t xml:space="preserve"> </w:t>
      </w:r>
      <w:hyperlink r:id="rId1057">
        <w:r>
          <w:rPr>
            <w:rStyle w:val="Text1"/>
          </w:rPr>
          <w:t>configuration files</w:t>
        </w:r>
      </w:hyperlink>
      <w:r>
        <w:t xml:space="preserve"> (often known as </w:t>
      </w:r>
      <w:r>
        <w:rPr>
          <w:rStyle w:val="Text0"/>
        </w:rPr>
        <w:t>conffiles</w:t>
      </w:r>
      <w:r>
        <w:t>). Conffiles often contain things like file paths, logs and debugging configuration, kernel parameters (which can be changed to optimize system performance), access control, and other configuration settings. The actual parameters available will vary from one package to another.</w:t>
      </w:r>
    </w:p>
    <w:p>
      <w:pPr>
        <w:pStyle w:val="Normal"/>
      </w:pPr>
      <w:r>
        <w:t xml:space="preserve">Package conffiles are different from all other files delivered in a package. A package may have any number of conffiles (including none!). Conffiles are explicitly marked by the package maintainer during development to protect local configuration from being overwritten during upgrades so that your changes are saved. This is not the case for any other types of files – changes you make to regular files in that package </w:t>
      </w:r>
      <w:r>
        <w:rPr>
          <w:rStyle w:val="Text3"/>
        </w:rPr>
        <w:t>will be overwritten</w:t>
      </w:r>
      <w:r>
        <w:t xml:space="preserve"> during an upgrade.</w:t>
      </w:r>
    </w:p>
    <w:p>
      <w:pPr>
        <w:pStyle w:val="Para 05"/>
      </w:pPr>
      <w:r>
        <w:rPr>
          <w:rStyle w:val="Text5"/>
        </w:rPr>
        <w:t>31</w:t>
      </w:r>
      <w:r>
        <w:rPr>
          <w:rStyle w:val="Text8"/>
        </w:rPr>
        <w:t xml:space="preserve"> </w:t>
      </w:r>
      <w:r>
        <w:t>https://www.debian.org/doc/debian-policy/ap-pkg-conffiles.html#automatic-handling-of-configuration-files-by-dpkg</w:t>
      </w:r>
    </w:p>
    <w:p>
      <w:bookmarkStart w:id="45" w:name="calibre_pb_10"/>
      <w:pPr>
        <w:pStyle w:val="0 Block"/>
      </w:pPr>
      <w:bookmarkEnd w:id="45"/>
    </w:p>
    <w:p>
      <w:bookmarkStart w:id="46" w:name="Top_of_index_split_011_html"/>
      <w:bookmarkStart w:id="47" w:name="page_2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29"/>
                    <a:stretch>
                      <a:fillRect/>
                    </a:stretch>
                  </pic:blipFill>
                  <pic:spPr>
                    <a:xfrm>
                      <a:off x="0" y="0"/>
                      <a:ext cx="914400" cy="266700"/>
                    </a:xfrm>
                    <a:prstGeom prst="rect">
                      <a:avLst/>
                    </a:prstGeom>
                  </pic:spPr>
                </pic:pic>
              </a:graphicData>
            </a:graphic>
          </wp:anchor>
        </w:drawing>
      </w:r>
      <w:bookmarkEnd w:id="46"/>
      <w:bookmarkEnd w:id="47"/>
    </w:p>
    <w:p>
      <w:pPr>
        <w:pStyle w:val="Para 01"/>
      </w:pPr>
      <w:r>
        <w:t>How upgrades are handled</w:t>
      </w:r>
    </w:p>
    <w:p>
      <w:pPr>
        <w:pStyle w:val="Para 17"/>
      </w:pPr>
      <w:r>
        <w:t/>
      </w:r>
    </w:p>
    <w:p>
      <w:pPr>
        <w:pStyle w:val="Normal"/>
      </w:pPr>
      <w:r>
        <w:t>Since a conffile can be changed by us, we might end up with conflicts when the package main-tainer changes those same files. Therefore, it’s important to understand how such conflicts are handled.</w:t>
      </w:r>
    </w:p>
    <w:p>
      <w:pPr>
        <w:pStyle w:val="Normal"/>
      </w:pPr>
      <w:r>
        <w:t>We can show the four possible upgrade scenarios using the following table. What happens during an upgrade depends on whether the conffile on our system has been changed by us (“changed/not changed by user”), and whether the version’s default content has been changed by the package maintainer (“changed/not changed by maintainer”):</w:t>
      </w:r>
    </w:p>
    <w:p>
      <w:pPr>
        <w:pStyle w:val="Para 17"/>
      </w:pPr>
      <w:r>
        <w:t/>
      </w:r>
    </w:p>
    <w:p>
      <w:pPr>
        <w:pStyle w:val="Para 28"/>
      </w:pPr>
      <w:r>
        <w:rPr>
          <w:rStyle w:val="Text0"/>
        </w:rPr>
        <w:t xml:space="preserve">The conffile is… </w:t>
      </w:r>
      <w:r>
        <w:t>not changed by maintainer</w:t>
      </w:r>
      <w:r>
        <w:rPr>
          <w:rStyle w:val="Text0"/>
        </w:rPr>
        <w:t xml:space="preserve"> </w:t>
      </w:r>
      <w:r>
        <w:t>changed by maintainer</w:t>
      </w:r>
    </w:p>
    <w:p>
      <w:pPr>
        <w:pStyle w:val="Para 04"/>
      </w:pPr>
      <w:r>
        <w:rPr>
          <w:rStyle w:val="Text0"/>
        </w:rPr>
        <w:t>…changed by user</w:t>
      </w:r>
      <w:r>
        <w:t xml:space="preserve"> Keep user’s changes Ask user</w:t>
      </w:r>
    </w:p>
    <w:p>
      <w:pPr>
        <w:pStyle w:val="Para 04"/>
      </w:pPr>
      <w:r>
        <w:rPr>
          <w:rStyle w:val="Text0"/>
        </w:rPr>
        <w:t>…not changed by user</w:t>
      </w:r>
      <w:r>
        <w:t xml:space="preserve"> No changes to make Apply changes from update</w:t>
      </w:r>
    </w:p>
    <w:p>
      <w:pPr>
        <w:pStyle w:val="Para 17"/>
      </w:pPr>
      <w:r>
        <w:t/>
      </w:r>
    </w:p>
    <w:p>
      <w:pPr>
        <w:pStyle w:val="Normal"/>
      </w:pPr>
      <w:r>
        <w:t>So we can see that if we do make changes to a conffile, APT will never overwrite our changes without asking us first.</w:t>
      </w:r>
    </w:p>
    <w:p>
      <w:pPr>
        <w:pStyle w:val="Para 17"/>
      </w:pPr>
      <w:r>
        <w:t/>
      </w:r>
    </w:p>
    <w:p>
      <w:pPr>
        <w:pStyle w:val="Para 01"/>
      </w:pPr>
      <w:r>
        <w:t>Identifying conffiles</w:t>
      </w:r>
    </w:p>
    <w:p>
      <w:pPr>
        <w:pStyle w:val="Para 17"/>
      </w:pPr>
      <w:r>
        <w:t/>
      </w:r>
    </w:p>
    <w:p>
      <w:pPr>
        <w:pStyle w:val="Normal"/>
      </w:pPr>
      <w:r>
        <w:t>Out of the list of files in a package, how do we know which ones are the conffiles?</w:t>
      </w:r>
    </w:p>
    <w:p>
      <w:pPr>
        <w:pStyle w:val="Normal"/>
      </w:pPr>
      <w:r>
        <w:t xml:space="preserve">After all, they are not marked by any particular file extension, and although they are often found in the /etc/ directory, they don’t </w:t>
      </w:r>
      <w:r>
        <w:rPr>
          <w:rStyle w:val="Text3"/>
        </w:rPr>
        <w:t>have</w:t>
      </w:r>
      <w:r>
        <w:t xml:space="preserve"> to be there. As we saw before, the only thing conffiles have in common is that the package maintainer decided to mark them as such.</w:t>
      </w:r>
    </w:p>
    <w:p>
      <w:pPr>
        <w:pStyle w:val="Normal"/>
      </w:pPr>
      <w:r>
        <w:t>But that’s our clue! So once more, dpkg can come to our rescue. The following command will show us (--show) the subset of files in the apache2 package that have been marked as “Conffiles” (-f='${Conffiles}\n') by the maintainer and shows each on a new line (\n) in the output:</w:t>
      </w:r>
    </w:p>
    <w:p>
      <w:pPr>
        <w:pStyle w:val="Normal"/>
      </w:pPr>
      <w:r>
        <w:t>dpkg-query --show -f</w:t>
        <w:t>=</w:t>
        <w:t>'${Conffiles}\n'</w:t>
        <w:t xml:space="preserve"> </w:t>
        <w:t>apache2</w:t>
      </w:r>
    </w:p>
    <w:p>
      <w:pPr>
        <w:pStyle w:val="Para 17"/>
      </w:pPr>
      <w:r>
        <w:t/>
      </w:r>
    </w:p>
    <w:p>
      <w:pPr>
        <w:pStyle w:val="Normal"/>
      </w:pPr>
      <w:r>
        <w:t>If you want to understand more about what this command does, you can refer to the manual page by typing man dpkg-query --show, and it will talk you through all the options.</w:t>
      </w:r>
    </w:p>
    <w:p>
      <w:pPr>
        <w:pStyle w:val="Normal"/>
      </w:pPr>
      <w:r>
        <w:t xml:space="preserve">Unlike dpkg --listfiles, dpkg-query </w:t>
      </w:r>
      <w:r>
        <w:rPr>
          <w:rStyle w:val="Text3"/>
        </w:rPr>
        <w:t>also</w:t>
      </w:r>
      <w:r>
        <w:t xml:space="preserve"> gives us a string of letters and numbers. This string is known as the </w:t>
      </w:r>
      <w:r>
        <w:rPr>
          <w:rStyle w:val="Text0"/>
        </w:rPr>
        <w:t>“MD5 checksum”</w:t>
      </w:r>
      <w:r>
        <w:t xml:space="preserve"> or </w:t>
      </w:r>
      <w:r>
        <w:rPr>
          <w:rStyle w:val="Text0"/>
        </w:rPr>
        <w:t>“MD5 hash”</w:t>
      </w:r>
      <w:r>
        <w:t>.</w:t>
      </w:r>
    </w:p>
    <w:p>
      <w:pPr>
        <w:pStyle w:val="Normal"/>
      </w:pPr>
      <w:r>
        <w:t>/etc/apache2/apache2.conf 354c9e6d2b88a0a3e0548f853840674c</w:t>
        <w:t xml:space="preserve"> </w:t>
        <w:t>/etc/apache2/conf-available/charset.conf e6fbb8adf631932851d6cc522c1e48d7</w:t>
        <w:t xml:space="preserve"> </w:t>
        <w:t>/etc/apache2/conf-available/security.conf 332668933023a463046fa90d9b057193</w:t>
        <w:t xml:space="preserve"> </w:t>
        <w:t>/etc/apache2/envvars e4431a53c868ae0dfcde68564f3ce6a7</w:t>
      </w:r>
    </w:p>
    <w:p>
      <w:pPr>
        <w:pStyle w:val="Normal"/>
      </w:pPr>
      <w:r>
        <w:t>/etc/apache2/magic a6d370833a02f53db6a0a30800704994</w:t>
      </w:r>
    </w:p>
    <w:p>
      <w:pPr>
        <w:pStyle w:val="Normal"/>
      </w:pPr>
      <w:r>
        <w:t>[...]</w:t>
      </w:r>
    </w:p>
    <w:p>
      <w:pPr>
        <w:pStyle w:val="Para 17"/>
      </w:pPr>
      <w:r>
        <w:t/>
      </w:r>
    </w:p>
    <w:p>
      <w:pPr>
        <w:pStyle w:val="Normal"/>
      </w:pPr>
      <w:r>
        <w:t>We can see the checksum of a specific file by running this command:</w:t>
      </w:r>
    </w:p>
    <w:p>
      <w:pPr>
        <w:pStyle w:val="Normal"/>
      </w:pPr>
      <w:r>
        <w:t>md5sum /etc/apache2/apache2.conf</w:t>
      </w:r>
    </w:p>
    <w:p>
      <w:pPr>
        <w:pStyle w:val="Para 17"/>
      </w:pPr>
      <w:r>
        <w:t/>
      </w:r>
    </w:p>
    <w:p>
      <w:pPr>
        <w:pStyle w:val="Normal"/>
      </w:pPr>
      <w:r>
        <w:t xml:space="preserve">Which returns us the checksum followed by the file and its location: </w:t>
        <w:t>354c9e6d2b88a0a3e0548f853840674c</w:t>
        <w:t xml:space="preserve"> </w:t>
        <w:t>/etc/apache2/apache2.conf</w:t>
      </w:r>
    </w:p>
    <w:p>
      <w:bookmarkStart w:id="48" w:name="page_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30"/>
                    <a:stretch>
                      <a:fillRect/>
                    </a:stretch>
                  </pic:blipFill>
                  <pic:spPr>
                    <a:xfrm>
                      <a:off x="0" y="0"/>
                      <a:ext cx="914400" cy="266700"/>
                    </a:xfrm>
                    <a:prstGeom prst="rect">
                      <a:avLst/>
                    </a:prstGeom>
                  </pic:spPr>
                </pic:pic>
              </a:graphicData>
            </a:graphic>
          </wp:anchor>
        </w:drawing>
      </w:r>
      <w:bookmarkEnd w:id="48"/>
    </w:p>
    <w:p>
      <w:pPr>
        <w:pStyle w:val="Para 17"/>
      </w:pPr>
      <w:r>
        <w:t/>
      </w:r>
    </w:p>
    <w:p>
      <w:pPr>
        <w:pStyle w:val="Normal"/>
      </w:pPr>
      <w:r>
        <w:t>You might well be wondering “why do we care about that?” since they match (in this example).</w:t>
      </w:r>
    </w:p>
    <w:p>
      <w:pPr>
        <w:pStyle w:val="Normal"/>
      </w:pPr>
      <w:r>
        <w:t xml:space="preserve">The checksum is like a fingerprint - it’s unique for every </w:t>
      </w:r>
      <w:r>
        <w:rPr>
          <w:rStyle w:val="Text3"/>
        </w:rPr>
        <w:t>version</w:t>
      </w:r>
      <w:r>
        <w:t xml:space="preserve"> of a file, so any time the file is changed it will get a new checksum – which allows us to see </w:t>
      </w:r>
      <w:r>
        <w:rPr>
          <w:rStyle w:val="Text0"/>
        </w:rPr>
        <w:t>if a file has been changed</w:t>
      </w:r>
      <w:r>
        <w:t xml:space="preserve"> from the default.</w:t>
      </w:r>
    </w:p>
    <w:p>
      <w:pPr>
        <w:pStyle w:val="Para 17"/>
      </w:pPr>
      <w:r>
        <w:t/>
      </w:r>
    </w:p>
    <w:p>
      <w:pPr>
        <w:pStyle w:val="Para 01"/>
      </w:pPr>
      <w:r>
        <w:t>Verifying checksums</w:t>
      </w:r>
    </w:p>
    <w:p>
      <w:pPr>
        <w:pStyle w:val="Para 17"/>
      </w:pPr>
      <w:r>
        <w:t/>
      </w:r>
    </w:p>
    <w:p>
      <w:pPr>
        <w:pStyle w:val="Normal"/>
      </w:pPr>
      <w:r>
        <w:t>Let’s set up a situation so we can poke a bit at this idea. We can start by making some changes to a conffile. In Apache2, the main conffile is /etc/apache2/apache2.conf, so let’s use that. In a situation where we are setting up a new web server, we might reasonably want to in-crease the LogLevel from “warn” to “debug” to get more debugging messages, so let’s run this command and use sed to make that change in the conffile:</w:t>
      </w:r>
    </w:p>
    <w:p>
      <w:pPr>
        <w:pStyle w:val="Normal"/>
      </w:pPr>
      <w:r>
        <w:t>sudo sed -e</w:t>
        <w:t xml:space="preserve"> </w:t>
        <w:t>'s/LogLevel warn/LogLevel debug/'</w:t>
        <w:t>-i /etc/apache2/apache2.conf</w:t>
      </w:r>
    </w:p>
    <w:p>
      <w:pPr>
        <w:pStyle w:val="Para 17"/>
      </w:pPr>
      <w:r>
        <w:t/>
      </w:r>
    </w:p>
    <w:p>
      <w:pPr>
        <w:pStyle w:val="Normal"/>
      </w:pPr>
      <w:r>
        <w:t>We won’t be prompted to confirm if we want to make these changes – but we do need root access so we use sudo in our command. As we hinted in the section about sudo, the fact that we can make these changes without needing to confirm is why it can be so easy to break your system when you’re operating as root! Try running the command without the sudo, and you will get a “permission denied” error.</w:t>
      </w:r>
    </w:p>
    <w:p>
      <w:pPr>
        <w:pStyle w:val="Normal"/>
      </w:pPr>
      <w:r>
        <w:t>Next, we’ll restart our Apache2 server so that we can activate our configuration changes:</w:t>
      </w:r>
    </w:p>
    <w:p>
      <w:pPr>
        <w:pStyle w:val="Normal"/>
      </w:pPr>
      <w:r>
        <w:t>sudo systemctl restart apache2</w:t>
      </w:r>
    </w:p>
    <w:p>
      <w:pPr>
        <w:pStyle w:val="Para 17"/>
      </w:pPr>
      <w:r>
        <w:t/>
      </w:r>
    </w:p>
    <w:p>
      <w:pPr>
        <w:pStyle w:val="Normal"/>
      </w:pPr>
      <w:r>
        <w:t>Now if we run the md5sum command again, we can see the hash changed:</w:t>
      </w:r>
    </w:p>
    <w:p>
      <w:pPr>
        <w:pStyle w:val="Normal"/>
      </w:pPr>
      <w:r>
        <w:t>ubuntu@tutorial:~$ md5sum /etc/apache2/apache2.conf</w:t>
      </w:r>
    </w:p>
    <w:p>
      <w:pPr>
        <w:pStyle w:val="Normal"/>
      </w:pPr>
      <w:r>
        <w:t>1109a77001754a836fb4a1378f740702</w:t>
        <w:t xml:space="preserve"> </w:t>
        <w:t>/etc/apache2/apache2.conf</w:t>
      </w:r>
    </w:p>
    <w:p>
      <w:pPr>
        <w:pStyle w:val="Para 17"/>
      </w:pPr>
      <w:r>
        <w:t/>
      </w:r>
    </w:p>
    <w:p>
      <w:pPr>
        <w:pStyle w:val="Normal"/>
      </w:pPr>
      <w:r>
        <w:t xml:space="preserve">This works great if we know that there’s a file </w:t>
      </w:r>
      <w:r>
        <w:rPr>
          <w:rStyle w:val="Text3"/>
        </w:rPr>
        <w:t>we</w:t>
      </w:r>
      <w:r>
        <w:t xml:space="preserve"> changed, but what about if someone else tampered with a file, and we don’t know which one? In that case, we can use:</w:t>
      </w:r>
    </w:p>
    <w:p>
      <w:pPr>
        <w:pStyle w:val="Normal"/>
      </w:pPr>
      <w:r>
        <w:t>dpkg --verify apache2</w:t>
      </w:r>
    </w:p>
    <w:p>
      <w:pPr>
        <w:pStyle w:val="Para 17"/>
      </w:pPr>
      <w:r>
        <w:t/>
      </w:r>
    </w:p>
    <w:p>
      <w:pPr>
        <w:pStyle w:val="Normal"/>
      </w:pPr>
      <w:r>
        <w:t>This will verify the checksums of the files on our system against those held in the package index for apache2, and return a rather strange looking result if (or when) it finds a mismatch:</w:t>
      </w:r>
    </w:p>
    <w:p>
      <w:pPr>
        <w:pStyle w:val="Normal"/>
      </w:pPr>
      <w:r>
        <w:t>??5?????? c /etc/apache2/apache2.conf</w:t>
      </w:r>
    </w:p>
    <w:p>
      <w:pPr>
        <w:pStyle w:val="Para 17"/>
      </w:pPr>
      <w:r>
        <w:t/>
      </w:r>
    </w:p>
    <w:p>
      <w:pPr>
        <w:pStyle w:val="Normal"/>
      </w:pPr>
      <w:r>
        <w:t>Which is exactly what we were expecting to see, since we know we changed this file.</w:t>
      </w:r>
    </w:p>
    <w:p>
      <w:pPr>
        <w:pStyle w:val="Normal"/>
      </w:pPr>
      <w:r>
        <w:t>But what if something else was messed with…something that shouldn’t be, and something not changed by us? Let’s make a “silly” change to a different file to test this – in this case, changing all instances of the word “warning” to “silly” in a random package file:</w:t>
      </w:r>
    </w:p>
    <w:p>
      <w:pPr>
        <w:pStyle w:val="Normal"/>
      </w:pPr>
      <w:r>
        <w:t>sudo sed -e</w:t>
        <w:t xml:space="preserve"> </w:t>
        <w:t>'s/warning/silly/'</w:t>
        <w:t>-i /usr/sbin/a2enmod</w:t>
      </w:r>
    </w:p>
    <w:p>
      <w:pPr>
        <w:pStyle w:val="Para 17"/>
      </w:pPr>
      <w:r>
        <w:t/>
      </w:r>
    </w:p>
    <w:p>
      <w:pPr>
        <w:pStyle w:val="Normal"/>
      </w:pPr>
      <w:r>
        <w:t>And then run the verification again with:</w:t>
      </w:r>
    </w:p>
    <w:p>
      <w:bookmarkStart w:id="49" w:name="page_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31"/>
                    <a:stretch>
                      <a:fillRect/>
                    </a:stretch>
                  </pic:blipFill>
                  <pic:spPr>
                    <a:xfrm>
                      <a:off x="0" y="0"/>
                      <a:ext cx="914400" cy="266700"/>
                    </a:xfrm>
                    <a:prstGeom prst="rect">
                      <a:avLst/>
                    </a:prstGeom>
                  </pic:spPr>
                </pic:pic>
              </a:graphicData>
            </a:graphic>
          </wp:anchor>
        </w:drawing>
      </w:r>
      <w:bookmarkEnd w:id="49"/>
    </w:p>
    <w:p>
      <w:pPr>
        <w:pStyle w:val="Normal"/>
      </w:pPr>
      <w:r>
        <w:t>dpkg --verify apache2</w:t>
      </w:r>
    </w:p>
    <w:p>
      <w:pPr>
        <w:pStyle w:val="Para 17"/>
      </w:pPr>
      <w:r>
        <w:t/>
      </w:r>
    </w:p>
    <w:p>
      <w:pPr>
        <w:pStyle w:val="Normal"/>
      </w:pPr>
      <w:r>
        <w:t>We now see something that looks like this:</w:t>
      </w:r>
    </w:p>
    <w:p>
      <w:pPr>
        <w:pStyle w:val="Normal"/>
      </w:pPr>
      <w:r>
        <w:t>??5?????? c /etc/apache2/apache2.conf</w:t>
      </w:r>
    </w:p>
    <w:p>
      <w:pPr>
        <w:pStyle w:val="Normal"/>
      </w:pPr>
      <w:r>
        <w:t>??5??????</w:t>
        <w:t xml:space="preserve"> </w:t>
        <w:t>/usr/sbin/a2enmod</w:t>
      </w:r>
    </w:p>
    <w:p>
      <w:pPr>
        <w:pStyle w:val="Para 17"/>
      </w:pPr>
      <w:r>
        <w:t/>
      </w:r>
    </w:p>
    <w:p>
      <w:pPr>
        <w:pStyle w:val="Para 08"/>
      </w:pPr>
      <w:r>
        <w:t>Note:</w:t>
      </w:r>
    </w:p>
    <w:p>
      <w:pPr>
        <w:pStyle w:val="Para 03"/>
      </w:pPr>
      <w:r>
        <w:t>You might have noticed there’s a “c” next to the top line but not the bottom – the “c” shows</w:t>
      </w:r>
    </w:p>
    <w:p>
      <w:pPr>
        <w:pStyle w:val="Para 03"/>
      </w:pPr>
      <w:r>
        <w:t>the file is a conffile.</w:t>
      </w:r>
    </w:p>
    <w:p>
      <w:pPr>
        <w:pStyle w:val="Normal"/>
      </w:pPr>
      <w:r>
        <w:t xml:space="preserve">dpkg can tell that the file has been changed, but won’t tell us what the change was. However, since the file in question is not a conffile, we know that the change </w:t>
      </w:r>
      <w:r>
        <w:rPr>
          <w:rStyle w:val="Text3"/>
        </w:rPr>
        <w:t>won’t be preserved</w:t>
      </w:r>
      <w:r>
        <w:t xml:space="preserve"> if we upgrade the package. This means that we can overwrite the changes and restore the default package content by “reinstalling” Apache2:</w:t>
      </w:r>
    </w:p>
    <w:p>
      <w:pPr>
        <w:pStyle w:val="Normal"/>
      </w:pPr>
      <w:r>
        <w:t>sudo apt install --reinstall apache2</w:t>
      </w:r>
    </w:p>
    <w:p>
      <w:pPr>
        <w:pStyle w:val="Para 17"/>
      </w:pPr>
      <w:r>
        <w:t/>
      </w:r>
    </w:p>
    <w:p>
      <w:pPr>
        <w:pStyle w:val="Normal"/>
      </w:pPr>
      <w:r>
        <w:t>By using the--reinstall flag, we can force apt to re-unpack all of the default content. If we then verify once more…</w:t>
      </w:r>
    </w:p>
    <w:p>
      <w:pPr>
        <w:pStyle w:val="Normal"/>
      </w:pPr>
      <w:r>
        <w:t>dpkg --verify apache2</w:t>
      </w:r>
    </w:p>
    <w:p>
      <w:pPr>
        <w:pStyle w:val="Para 17"/>
      </w:pPr>
      <w:r>
        <w:t/>
      </w:r>
    </w:p>
    <w:p>
      <w:pPr>
        <w:pStyle w:val="Normal"/>
      </w:pPr>
      <w:r>
        <w:t>Then we’ll get this output:</w:t>
      </w:r>
    </w:p>
    <w:p>
      <w:pPr>
        <w:pStyle w:val="Normal"/>
      </w:pPr>
      <w:r>
        <w:t>??5?????? c /etc/apache2/apache2.conf</w:t>
      </w:r>
    </w:p>
    <w:p>
      <w:pPr>
        <w:pStyle w:val="Para 17"/>
      </w:pPr>
      <w:r>
        <w:t/>
      </w:r>
    </w:p>
    <w:p>
      <w:pPr>
        <w:pStyle w:val="Normal"/>
      </w:pPr>
      <w:r>
        <w:t>…so we can see that our change to the conffile has been preserved because the checksums are different, but the a2enmod file isn’t listed anymore because it has been restored to the default. Phew!</w:t>
      </w:r>
    </w:p>
    <w:p>
      <w:pPr>
        <w:pStyle w:val="Para 08"/>
      </w:pPr>
      <w:r>
        <w:t>Note:</w:t>
      </w:r>
    </w:p>
    <w:p>
      <w:pPr>
        <w:pStyle w:val="Para 03"/>
      </w:pPr>
      <w:r>
        <w:t>We can use sudo apt install &lt;package&gt; to upgrade an installed package, but this will</w:t>
      </w:r>
    </w:p>
    <w:p>
      <w:pPr>
        <w:pStyle w:val="Para 03"/>
      </w:pPr>
      <w:r>
        <w:t>only upgrade to the latest version. In our case, we were already on the latest version of</w:t>
      </w:r>
    </w:p>
    <w:p>
      <w:pPr>
        <w:pStyle w:val="Para 03"/>
      </w:pPr>
      <w:r>
        <w:t>Apache2, so we needed to force APT to re-unpack the content to overwrite our “silly”</w:t>
      </w:r>
    </w:p>
    <w:p>
      <w:pPr>
        <w:pStyle w:val="Para 03"/>
      </w:pPr>
      <w:r>
        <w:t>changes.</w:t>
      </w:r>
    </w:p>
    <w:p>
      <w:pPr>
        <w:pStyle w:val="Para 17"/>
      </w:pPr>
      <w:r>
        <w:t/>
      </w:r>
    </w:p>
    <w:p>
      <w:pPr>
        <w:pStyle w:val="Para 01"/>
      </w:pPr>
      <w:r>
        <w:t>Removing packages</w:t>
      </w:r>
    </w:p>
    <w:p>
      <w:pPr>
        <w:pStyle w:val="Para 17"/>
      </w:pPr>
      <w:r>
        <w:t/>
      </w:r>
    </w:p>
    <w:p>
      <w:pPr>
        <w:pStyle w:val="Normal"/>
      </w:pPr>
      <w:r>
        <w:t>Since we have just reinstalled the Apache2 package, we know it is in good shape. But what if we decide we’re done with it and just want to remove it? Then we can run:</w:t>
      </w:r>
    </w:p>
    <w:p>
      <w:pPr>
        <w:pStyle w:val="Normal"/>
      </w:pPr>
      <w:r>
        <w:t>sudo apt remove apache2</w:t>
      </w:r>
    </w:p>
    <w:p>
      <w:pPr>
        <w:pStyle w:val="Para 17"/>
      </w:pPr>
      <w:r>
        <w:t/>
      </w:r>
    </w:p>
    <w:p>
      <w:pPr>
        <w:pStyle w:val="Normal"/>
      </w:pPr>
      <w:r>
        <w:t>Which will give us an output like this:</w:t>
      </w:r>
    </w:p>
    <w:p>
      <w:pPr>
        <w:pStyle w:val="Normal"/>
      </w:pPr>
      <w:r>
        <w:t>Reading package lists... Done</w:t>
      </w:r>
    </w:p>
    <w:p>
      <w:pPr>
        <w:pStyle w:val="Normal"/>
      </w:pPr>
      <w:r>
        <w:t>Building dependency tree... Done</w:t>
      </w:r>
    </w:p>
    <w:p>
      <w:pPr>
        <w:pStyle w:val="Normal"/>
      </w:pPr>
      <w:r>
        <w:t>Reading state information... Done</w:t>
      </w:r>
    </w:p>
    <w:p>
      <w:pPr>
        <w:pStyle w:val="Para 09"/>
      </w:pPr>
      <w:r>
        <w:t>(continues on next page)</w:t>
      </w:r>
    </w:p>
    <w:p>
      <w:bookmarkStart w:id="50" w:name="page_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 name="index-28_1.png" descr="index-28_1.png"/>
            <wp:cNvGraphicFramePr>
              <a:graphicFrameLocks noChangeAspect="1"/>
            </wp:cNvGraphicFramePr>
            <a:graphic>
              <a:graphicData uri="http://schemas.openxmlformats.org/drawingml/2006/picture">
                <pic:pic>
                  <pic:nvPicPr>
                    <pic:cNvPr id="0" name="index-28_1.png" descr="index-28_1.png"/>
                    <pic:cNvPicPr/>
                  </pic:nvPicPr>
                  <pic:blipFill>
                    <a:blip r:embed="rId32"/>
                    <a:stretch>
                      <a:fillRect/>
                    </a:stretch>
                  </pic:blipFill>
                  <pic:spPr>
                    <a:xfrm>
                      <a:off x="0" y="0"/>
                      <a:ext cx="914400" cy="266700"/>
                    </a:xfrm>
                    <a:prstGeom prst="rect">
                      <a:avLst/>
                    </a:prstGeom>
                  </pic:spPr>
                </pic:pic>
              </a:graphicData>
            </a:graphic>
          </wp:anchor>
        </w:drawing>
      </w:r>
      <w:bookmarkEnd w:id="50"/>
    </w:p>
    <w:p>
      <w:pPr>
        <w:pStyle w:val="Para 09"/>
      </w:pPr>
      <w:r>
        <w:t>(continued from previous page)</w:t>
      </w:r>
    </w:p>
    <w:p>
      <w:pPr>
        <w:pStyle w:val="Normal"/>
      </w:pPr>
      <w:r>
        <w:t>The following packages were automatically installed and are no longer required:</w:t>
      </w:r>
    </w:p>
    <w:p>
      <w:pPr>
        <w:pStyle w:val="Para 03"/>
      </w:pPr>
      <w:r>
        <w:t>apache2-bin apache2-data apache2-utils libapr1t64 libaprutil1-dbd-sqlite3</w:t>
      </w:r>
    </w:p>
    <w:p>
      <w:pPr>
        <w:pStyle w:val="Para 03"/>
      </w:pPr>
      <w:r>
        <w:t>libaprutil1-ldap libaprutil1t64 liblua5.4-0</w:t>
      </w:r>
    </w:p>
    <w:p>
      <w:pPr>
        <w:pStyle w:val="Normal"/>
      </w:pPr>
      <w:r>
        <w:t>Use 'sudo apt autoremove' to remove them.</w:t>
      </w:r>
    </w:p>
    <w:p>
      <w:pPr>
        <w:pStyle w:val="Normal"/>
      </w:pPr>
      <w:r>
        <w:t>The following packages will be REMOVED:</w:t>
      </w:r>
    </w:p>
    <w:p>
      <w:pPr>
        <w:pStyle w:val="Para 03"/>
      </w:pPr>
      <w:r>
        <w:t>apache2</w:t>
      </w:r>
    </w:p>
    <w:p>
      <w:pPr>
        <w:pStyle w:val="Normal"/>
      </w:pPr>
      <w:r>
        <w:t>0 upgraded, 0 newly installed, 1 to remove and 44 not upgraded.</w:t>
        <w:t xml:space="preserve"> </w:t>
        <w:t>After this operation, 465 kB disk space will be freed.</w:t>
        <w:t xml:space="preserve"> </w:t>
        <w:t>Do you want to continue? [Y/n]</w:t>
      </w:r>
    </w:p>
    <w:p>
      <w:pPr>
        <w:pStyle w:val="Para 17"/>
      </w:pPr>
      <w:r>
        <w:t/>
      </w:r>
    </w:p>
    <w:p>
      <w:pPr>
        <w:pStyle w:val="Normal"/>
      </w:pPr>
      <w:r>
        <w:t>Let’s type Y to proceed.</w:t>
      </w:r>
    </w:p>
    <w:p>
      <w:pPr>
        <w:pStyle w:val="Normal"/>
      </w:pPr>
      <w:r>
        <w:t>As before, we see that the dependencies will still be there even when apache2 has been re-moved. Let’s check with dpkg…</w:t>
      </w:r>
    </w:p>
    <w:p>
      <w:pPr>
        <w:pStyle w:val="Normal"/>
      </w:pPr>
      <w:r>
        <w:t>dpkg --listfiles apache2</w:t>
      </w:r>
    </w:p>
    <w:p>
      <w:pPr>
        <w:pStyle w:val="Para 17"/>
      </w:pPr>
      <w:r>
        <w:t/>
      </w:r>
    </w:p>
    <w:p>
      <w:pPr>
        <w:pStyle w:val="Normal"/>
      </w:pPr>
      <w:r>
        <w:t>…and see what else might be left behind…</w:t>
      </w:r>
    </w:p>
    <w:p>
      <w:pPr>
        <w:pStyle w:val="Normal"/>
      </w:pPr>
      <w:r>
        <w:t>/etc</w:t>
      </w:r>
    </w:p>
    <w:p>
      <w:pPr>
        <w:pStyle w:val="Normal"/>
      </w:pPr>
      <w:r>
        <w:t>/etc/apache2</w:t>
      </w:r>
    </w:p>
    <w:p>
      <w:pPr>
        <w:pStyle w:val="Normal"/>
      </w:pPr>
      <w:r>
        <w:t>/etc/apache2/apache2.conf</w:t>
      </w:r>
    </w:p>
    <w:p>
      <w:pPr>
        <w:pStyle w:val="Normal"/>
      </w:pPr>
      <w:r>
        <w:t>/etc/apache2/conf-available</w:t>
      </w:r>
    </w:p>
    <w:p>
      <w:pPr>
        <w:pStyle w:val="Normal"/>
      </w:pPr>
      <w:r>
        <w:t>/etc/apache2/conf-available/charset.conf</w:t>
      </w:r>
    </w:p>
    <w:p>
      <w:pPr>
        <w:pStyle w:val="Normal"/>
      </w:pPr>
      <w:r>
        <w:t>/etc/apache2/conf-available/localized-error-pages.conf</w:t>
        <w:t xml:space="preserve"> </w:t>
        <w:t>/etc/apache2/conf-available/other-vhosts-access-log.conf</w:t>
        <w:t xml:space="preserve"> </w:t>
        <w:t>/etc/apache2/conf-available/security.conf</w:t>
      </w:r>
    </w:p>
    <w:p>
      <w:pPr>
        <w:pStyle w:val="Normal"/>
      </w:pPr>
      <w:r>
        <w:t>/etc/apache2/conf-available/serve-cgi-bin.conf</w:t>
      </w:r>
    </w:p>
    <w:p>
      <w:pPr>
        <w:pStyle w:val="Normal"/>
      </w:pPr>
      <w:r>
        <w:t>/etc/apache2/conf-enabled</w:t>
      </w:r>
    </w:p>
    <w:p>
      <w:pPr>
        <w:pStyle w:val="Normal"/>
      </w:pPr>
      <w:r>
        <w:t>/etc/apache2/envvars</w:t>
      </w:r>
    </w:p>
    <w:p>
      <w:pPr>
        <w:pStyle w:val="Normal"/>
      </w:pPr>
      <w:r>
        <w:t>/etc/apache2/magic</w:t>
      </w:r>
    </w:p>
    <w:p>
      <w:pPr>
        <w:pStyle w:val="Normal"/>
      </w:pPr>
      <w:r>
        <w:t>/etc/apache2/mods-available</w:t>
      </w:r>
    </w:p>
    <w:p>
      <w:pPr>
        <w:pStyle w:val="Normal"/>
      </w:pPr>
      <w:r>
        <w:t>/etc/apache2/mods-available/access_compat.load</w:t>
      </w:r>
    </w:p>
    <w:p>
      <w:pPr>
        <w:pStyle w:val="Normal"/>
      </w:pPr>
      <w:r>
        <w:t>/etc/apache2/mods-available/actions.conf</w:t>
      </w:r>
    </w:p>
    <w:p>
      <w:pPr>
        <w:pStyle w:val="Normal"/>
      </w:pPr>
      <w:r>
        <w:t>[</w:t>
        <w:t>...</w:t>
        <w:t>]</w:t>
      </w:r>
    </w:p>
    <w:p>
      <w:pPr>
        <w:pStyle w:val="Para 17"/>
      </w:pPr>
      <w:r>
        <w:t/>
      </w:r>
    </w:p>
    <w:p>
      <w:pPr>
        <w:pStyle w:val="Normal"/>
      </w:pPr>
      <w:r>
        <w:t>This looks suspiciously like the list of conffiles we saw earlier, right?</w:t>
      </w:r>
    </w:p>
    <w:p>
      <w:pPr>
        <w:pStyle w:val="Para 17"/>
      </w:pPr>
      <w:r>
        <w:t/>
      </w:r>
    </w:p>
    <w:p>
      <w:pPr>
        <w:pStyle w:val="Para 01"/>
      </w:pPr>
      <w:r>
        <w:t>Also removing configuration</w:t>
      </w:r>
    </w:p>
    <w:p>
      <w:pPr>
        <w:pStyle w:val="Para 17"/>
      </w:pPr>
      <w:r>
        <w:t/>
      </w:r>
    </w:p>
    <w:p>
      <w:pPr>
        <w:pStyle w:val="Normal"/>
      </w:pPr>
      <w:r>
        <w:t>As it turns out, removing a package doesn’t automatically remove the conffiles. But – this is intentional, for our convenience.</w:t>
      </w:r>
    </w:p>
    <w:p>
      <w:pPr>
        <w:pStyle w:val="Normal"/>
      </w:pPr>
      <w:r>
        <w:t>By leaving the conffiles in place, if we decide to reinstall apache2 again in the future, we don’t need to spend time setting up all our configuration again.</w:t>
      </w:r>
    </w:p>
    <w:p>
      <w:pPr>
        <w:pStyle w:val="Normal"/>
      </w:pPr>
      <w:r>
        <w:t>Let’s see the difference in installing apache2 after it has been installed (and removed) com-pared to the first time we installed it:</w:t>
      </w:r>
    </w:p>
    <w:p>
      <w:pPr>
        <w:pStyle w:val="Normal"/>
      </w:pPr>
      <w:r>
        <w:t>sudo apt install apache2</w:t>
      </w:r>
    </w:p>
    <w:p>
      <w:pPr>
        <w:pStyle w:val="Para 17"/>
      </w:pPr>
      <w:r>
        <w:t/>
      </w:r>
    </w:p>
    <w:p>
      <w:pPr>
        <w:pStyle w:val="Normal"/>
      </w:pPr>
      <w:r>
        <w:t xml:space="preserve">Notice that it did not ask us to confirm if we wanted to proceed this time. Why not? As we saw earlier, the “Y/n” confirmation is shown when there are dependencies, and we know that Apache2 </w:t>
      </w:r>
      <w:r>
        <w:rPr>
          <w:rStyle w:val="Text3"/>
        </w:rPr>
        <w:t>has</w:t>
      </w:r>
      <w:r>
        <w:t xml:space="preserve"> dependencies.</w:t>
      </w:r>
    </w:p>
    <w:p>
      <w:bookmarkStart w:id="51" w:name="page_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33"/>
                    <a:stretch>
                      <a:fillRect/>
                    </a:stretch>
                  </pic:blipFill>
                  <pic:spPr>
                    <a:xfrm>
                      <a:off x="0" y="0"/>
                      <a:ext cx="914400" cy="266700"/>
                    </a:xfrm>
                    <a:prstGeom prst="rect">
                      <a:avLst/>
                    </a:prstGeom>
                  </pic:spPr>
                </pic:pic>
              </a:graphicData>
            </a:graphic>
          </wp:anchor>
        </w:drawing>
      </w:r>
      <w:bookmarkEnd w:id="51"/>
    </w:p>
    <w:p>
      <w:pPr>
        <w:pStyle w:val="Normal"/>
      </w:pPr>
      <w:r>
        <w:t xml:space="preserve">…Ah! But this time, we didn’t run autoremove when we uninstalled Apache2, so the depen-dencies are still installed on our system. This means that when we ask apt to install apache2 now, there is nothing missing and we are getting </w:t>
      </w:r>
      <w:r>
        <w:rPr>
          <w:rStyle w:val="Text3"/>
        </w:rPr>
        <w:t>exactly</w:t>
      </w:r>
      <w:r>
        <w:t xml:space="preserve"> what we are asking for.</w:t>
      </w:r>
    </w:p>
    <w:p>
      <w:pPr>
        <w:pStyle w:val="Normal"/>
      </w:pPr>
      <w:r>
        <w:t>Since the dependencies and conffiles are still there, we can use our former config immedi-ately. It even retains the changes we made before, which we can verify by looking at the checksum again:</w:t>
      </w:r>
    </w:p>
    <w:p>
      <w:pPr>
        <w:pStyle w:val="Normal"/>
      </w:pPr>
      <w:r>
        <w:t>md5sum /etc/apache2/apache2.conf</w:t>
      </w:r>
    </w:p>
    <w:p>
      <w:pPr>
        <w:pStyle w:val="Para 17"/>
      </w:pPr>
      <w:r>
        <w:t/>
      </w:r>
    </w:p>
    <w:p>
      <w:pPr>
        <w:pStyle w:val="Para 01"/>
      </w:pPr>
      <w:r>
        <w:t>Removing and purging</w:t>
      </w:r>
    </w:p>
    <w:p>
      <w:pPr>
        <w:pStyle w:val="Para 17"/>
      </w:pPr>
      <w:r>
        <w:t/>
      </w:r>
    </w:p>
    <w:p>
      <w:pPr>
        <w:pStyle w:val="Normal"/>
      </w:pPr>
      <w:r>
        <w:t>What if we decide that we don’t want the changed conffiles? Perhaps we want to go back to the default installation, or we know we won’t want to use the package ever again – how can we ensure that all the conffiles are removed at the same time as we remove the package?</w:t>
      </w:r>
    </w:p>
    <w:p>
      <w:pPr>
        <w:pStyle w:val="Normal"/>
      </w:pPr>
      <w:r>
        <w:t>In that case, we can use the--purge option of the remove command:</w:t>
      </w:r>
    </w:p>
    <w:p>
      <w:pPr>
        <w:pStyle w:val="Normal"/>
      </w:pPr>
      <w:r>
        <w:t>sudo apt remove --purge apache2</w:t>
      </w:r>
    </w:p>
    <w:p>
      <w:pPr>
        <w:pStyle w:val="Para 17"/>
      </w:pPr>
      <w:r>
        <w:t/>
      </w:r>
    </w:p>
    <w:p>
      <w:pPr>
        <w:pStyle w:val="Normal"/>
      </w:pPr>
      <w:r>
        <w:t>Which will give us this output:</w:t>
      </w:r>
    </w:p>
    <w:p>
      <w:pPr>
        <w:pStyle w:val="Normal"/>
      </w:pPr>
      <w:r>
        <w:t>[</w:t>
        <w:t>...</w:t>
        <w:t>]</w:t>
      </w:r>
    </w:p>
    <w:p>
      <w:pPr>
        <w:pStyle w:val="Normal"/>
      </w:pPr>
      <w:r>
        <w:t>The following packages were automatically installed and are no longer required:</w:t>
      </w:r>
    </w:p>
    <w:p>
      <w:pPr>
        <w:pStyle w:val="Para 03"/>
      </w:pPr>
      <w:r>
        <w:t>apache2-bin apache2-data apache2-utils libapr1t64 libaprutil1-dbd-sqlite3</w:t>
      </w:r>
    </w:p>
    <w:p>
      <w:pPr>
        <w:pStyle w:val="Para 03"/>
      </w:pPr>
      <w:r>
        <w:t>libaprutil1-ldap libaprutil1t64 liblua5.4-0</w:t>
      </w:r>
    </w:p>
    <w:p>
      <w:pPr>
        <w:pStyle w:val="Normal"/>
      </w:pPr>
      <w:r>
        <w:t>Use</w:t>
        <w:t xml:space="preserve"> </w:t>
        <w:t>'sudo apt autoremove'</w:t>
        <w:t xml:space="preserve"> </w:t>
        <w:t>to remove them.</w:t>
        <w:t xml:space="preserve"> </w:t>
        <w:t>The following packages will be REMOVED:</w:t>
      </w:r>
    </w:p>
    <w:p>
      <w:pPr>
        <w:pStyle w:val="Para 03"/>
      </w:pPr>
      <w:r>
        <w:t>apache2*</w:t>
      </w:r>
    </w:p>
    <w:p>
      <w:pPr>
        <w:pStyle w:val="Normal"/>
      </w:pPr>
      <w:r>
        <w:t>0</w:t>
        <w:t xml:space="preserve"> </w:t>
        <w:t>upgraded,</w:t>
        <w:t xml:space="preserve"> </w:t>
        <w:t>0</w:t>
        <w:t xml:space="preserve"> </w:t>
        <w:t>newly installed,</w:t>
        <w:t xml:space="preserve"> </w:t>
        <w:t>1</w:t>
        <w:t xml:space="preserve"> </w:t>
        <w:t>to remove and</w:t>
        <w:t xml:space="preserve"> </w:t>
        <w:t>9</w:t>
        <w:t xml:space="preserve"> </w:t>
        <w:t>not upgraded.</w:t>
        <w:t xml:space="preserve"> </w:t>
        <w:t>After this operation,</w:t>
        <w:t xml:space="preserve"> </w:t>
        <w:t>465</w:t>
        <w:t xml:space="preserve"> </w:t>
        <w:t>kB disk space will be freed.</w:t>
        <w:t xml:space="preserve"> </w:t>
        <w:t>Do you want to</w:t>
        <w:t xml:space="preserve"> </w:t>
      </w:r>
      <w:r>
        <w:rPr>
          <w:rStyle w:val="Text0"/>
        </w:rPr>
        <w:t>continue</w:t>
      </w:r>
      <w:r>
        <w:t>?</w:t>
        <w:t xml:space="preserve"> </w:t>
        <w:t>[</w:t>
        <w:t>Y/n</w:t>
        <w:t>]</w:t>
      </w:r>
    </w:p>
    <w:p>
      <w:pPr>
        <w:pStyle w:val="Para 17"/>
      </w:pPr>
      <w:r>
        <w:t/>
      </w:r>
    </w:p>
    <w:p>
      <w:pPr>
        <w:pStyle w:val="Normal"/>
      </w:pPr>
      <w:r>
        <w:t>If we look very carefully, we see a little asterisk (*) in the output.</w:t>
      </w:r>
    </w:p>
    <w:p>
      <w:pPr>
        <w:pStyle w:val="Normal"/>
      </w:pPr>
      <w:r>
        <w:t>The following packages will be REMOVED:</w:t>
      </w:r>
    </w:p>
    <w:p>
      <w:pPr>
        <w:pStyle w:val="Para 03"/>
      </w:pPr>
      <w:r>
        <w:t>apache2*</w:t>
      </w:r>
    </w:p>
    <w:p>
      <w:pPr>
        <w:pStyle w:val="Para 17"/>
      </w:pPr>
      <w:r>
        <w:t/>
      </w:r>
    </w:p>
    <w:p>
      <w:pPr>
        <w:pStyle w:val="Normal"/>
      </w:pPr>
      <w:r>
        <w:t>This tiny indicator tells us that the package will be removed AND purged. However, it still does not remove the dependencies (or the conffiles of those dependencies).</w:t>
      </w:r>
    </w:p>
    <w:p>
      <w:pPr>
        <w:pStyle w:val="Normal"/>
      </w:pPr>
      <w:r>
        <w:t>Let’s type Y again to confirm we want to proceed. Then, once the removal is complete, we can check the list once more:</w:t>
      </w:r>
    </w:p>
    <w:p>
      <w:pPr>
        <w:pStyle w:val="Normal"/>
      </w:pPr>
      <w:r>
        <w:t>dpkg --listfiles apache2</w:t>
      </w:r>
    </w:p>
    <w:p>
      <w:pPr>
        <w:pStyle w:val="Para 17"/>
      </w:pPr>
      <w:r>
        <w:t/>
      </w:r>
    </w:p>
    <w:p>
      <w:pPr>
        <w:pStyle w:val="Normal"/>
      </w:pPr>
      <w:r>
        <w:t>And this time, the output is very different!</w:t>
      </w:r>
    </w:p>
    <w:p>
      <w:pPr>
        <w:pStyle w:val="Normal"/>
      </w:pPr>
      <w:r>
        <w:t>dpkg-query: package</w:t>
        <w:t xml:space="preserve"> </w:t>
        <w:t>'apache2'</w:t>
        <w:t xml:space="preserve"> </w:t>
        <w:t>is not installed</w:t>
        <w:t xml:space="preserve"> </w:t>
        <w:t>Use dpkg --contents</w:t>
        <w:t xml:space="preserve"> </w:t>
        <w:t>(=</w:t>
        <w:t xml:space="preserve"> </w:t>
        <w:t>dpkg-deb --contents</w:t>
        <w:t>)</w:t>
        <w:t xml:space="preserve"> </w:t>
        <w:t>to list archive files contents.</w:t>
      </w:r>
    </w:p>
    <w:p>
      <w:bookmarkStart w:id="52" w:name="calibre_pb_11"/>
      <w:pPr>
        <w:pStyle w:val="0 Block"/>
      </w:pPr>
      <w:bookmarkEnd w:id="52"/>
    </w:p>
    <w:p>
      <w:bookmarkStart w:id="53" w:name="page_30"/>
      <w:bookmarkStart w:id="54" w:name="Top_of_index_split_01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 name="index-30_1.png" descr="index-30_1.png"/>
            <wp:cNvGraphicFramePr>
              <a:graphicFrameLocks noChangeAspect="1"/>
            </wp:cNvGraphicFramePr>
            <a:graphic>
              <a:graphicData uri="http://schemas.openxmlformats.org/drawingml/2006/picture">
                <pic:pic>
                  <pic:nvPicPr>
                    <pic:cNvPr id="0" name="index-30_1.png" descr="index-30_1.png"/>
                    <pic:cNvPicPr/>
                  </pic:nvPicPr>
                  <pic:blipFill>
                    <a:blip r:embed="rId34"/>
                    <a:stretch>
                      <a:fillRect/>
                    </a:stretch>
                  </pic:blipFill>
                  <pic:spPr>
                    <a:xfrm>
                      <a:off x="0" y="0"/>
                      <a:ext cx="914400" cy="266700"/>
                    </a:xfrm>
                    <a:prstGeom prst="rect">
                      <a:avLst/>
                    </a:prstGeom>
                  </pic:spPr>
                </pic:pic>
              </a:graphicData>
            </a:graphic>
          </wp:anchor>
        </w:drawing>
      </w:r>
      <w:bookmarkEnd w:id="53"/>
      <w:bookmarkEnd w:id="54"/>
    </w:p>
    <w:p>
      <w:pPr>
        <w:pStyle w:val="Para 08"/>
      </w:pPr>
      <w:r>
        <w:t>Note:</w:t>
      </w:r>
    </w:p>
    <w:p>
      <w:pPr>
        <w:pStyle w:val="Para 03"/>
      </w:pPr>
      <w:r>
        <w:t>We could also use the dpkg-query --show -f='${Conffiles}\n' apache2 command from</w:t>
      </w:r>
    </w:p>
    <w:p>
      <w:pPr>
        <w:pStyle w:val="Para 03"/>
      </w:pPr>
      <w:r>
        <w:t>earlier, and dpkg-query will find no packages matching apache2.</w:t>
      </w:r>
    </w:p>
    <w:p>
      <w:pPr>
        <w:pStyle w:val="Para 17"/>
      </w:pPr>
      <w:r>
        <w:t/>
      </w:r>
    </w:p>
    <w:p>
      <w:pPr>
        <w:pStyle w:val="Normal"/>
      </w:pPr>
      <w:r>
        <w:t>There are other ways to change package files. If you would like to read more, check out our</w:t>
      </w:r>
    </w:p>
    <w:p>
      <w:pPr>
        <w:pStyle w:val="Para 20"/>
      </w:pPr>
      <w:hyperlink w:anchor="page_845">
        <w:r>
          <w:t>guide to changing package files</w:t>
        </w:r>
      </w:hyperlink>
      <w:r>
        <w:rPr>
          <w:rStyle w:val="Text4"/>
        </w:rPr>
        <w:t xml:space="preserve"> (page 844).</w:t>
      </w:r>
    </w:p>
    <w:p>
      <w:pPr>
        <w:pStyle w:val="Para 17"/>
      </w:pPr>
      <w:r>
        <w:t/>
      </w:r>
    </w:p>
    <w:p>
      <w:pPr>
        <w:pStyle w:val="Para 01"/>
      </w:pPr>
      <w:r>
        <w:t>What else is on our system?</w:t>
      </w:r>
    </w:p>
    <w:p>
      <w:pPr>
        <w:pStyle w:val="Para 17"/>
      </w:pPr>
      <w:r>
        <w:t/>
      </w:r>
    </w:p>
    <w:p>
      <w:pPr>
        <w:pStyle w:val="Normal"/>
      </w:pPr>
      <w:r>
        <w:t>As we saw earlier, we can search the APT package database for keywords using apt search &lt;keyword&gt; to find software we might want to install. We can also see all the packages we already have using apt list, although it can be easier to navigate and more informative if we use dpkg -l instead – then we can use the up and down arrow keys on our keyboard to scroll (or press Q to return to our terminal prompt).</w:t>
      </w:r>
    </w:p>
    <w:p>
      <w:pPr>
        <w:pStyle w:val="Normal"/>
      </w:pPr>
      <w:r>
        <w:t>For every package, we can see what versions of it exist in the database:</w:t>
      </w:r>
    </w:p>
    <w:p>
      <w:pPr>
        <w:pStyle w:val="Normal"/>
      </w:pPr>
      <w:r>
        <w:t>apt policy apache2</w:t>
      </w:r>
    </w:p>
    <w:p>
      <w:pPr>
        <w:pStyle w:val="Para 17"/>
      </w:pPr>
      <w:r>
        <w:t/>
      </w:r>
    </w:p>
    <w:p>
      <w:pPr>
        <w:pStyle w:val="Normal"/>
      </w:pPr>
      <w:r>
        <w:t>This will return a summary of all the versions that exist on our particular Ubuntu release, ordered by “most recent” first:</w:t>
      </w:r>
    </w:p>
    <w:p>
      <w:pPr>
        <w:pStyle w:val="Normal"/>
      </w:pPr>
      <w:r>
        <w:t>apache2:</w:t>
      </w:r>
    </w:p>
    <w:p>
      <w:pPr>
        <w:pStyle w:val="Para 03"/>
      </w:pPr>
      <w:r>
        <w:t>Installed: (none)</w:t>
      </w:r>
    </w:p>
    <w:p>
      <w:pPr>
        <w:pStyle w:val="Para 03"/>
      </w:pPr>
      <w:r>
        <w:t>Candidate: 2.4.58-1ubuntu8.4</w:t>
      </w:r>
    </w:p>
    <w:p>
      <w:pPr>
        <w:pStyle w:val="Para 03"/>
      </w:pPr>
      <w:r>
        <w:t>Version table:</w:t>
      </w:r>
    </w:p>
    <w:p>
      <w:pPr>
        <w:pStyle w:val="Para 02"/>
      </w:pPr>
      <w:r>
        <w:t>2.4.58-1ubuntu8.4 500</w:t>
      </w:r>
    </w:p>
    <w:p>
      <w:pPr>
        <w:pStyle w:val="Para 06"/>
      </w:pPr>
      <w:r>
        <w:t>500 http://archive.ubuntu.com/ubuntu noble-updates/main amd64 Packages</w:t>
        <w:t xml:space="preserve"> </w:t>
        <w:t>500 http://security.ubuntu.com/ubuntu noble-security/main amd64 Packages</w:t>
        <w:t xml:space="preserve"> </w:t>
        <w:t>100 /var/lib/dpkg/status</w:t>
      </w:r>
    </w:p>
    <w:p>
      <w:pPr>
        <w:pStyle w:val="Para 02"/>
      </w:pPr>
      <w:r>
        <w:t>2.4.58-1ubuntu8 500</w:t>
      </w:r>
    </w:p>
    <w:p>
      <w:pPr>
        <w:pStyle w:val="Para 06"/>
      </w:pPr>
      <w:r>
        <w:t>500 http://archive.ubuntu.com/ubuntu noble/main amd64 Packages</w:t>
      </w:r>
    </w:p>
    <w:p>
      <w:pPr>
        <w:pStyle w:val="Para 17"/>
      </w:pPr>
      <w:r>
        <w:t/>
      </w:r>
    </w:p>
    <w:p>
      <w:pPr>
        <w:pStyle w:val="Normal"/>
      </w:pPr>
      <w:r>
        <w:t>We know that Apache2 isn’t installed right now, because we removed and purged it, which is why the installed version shows as “none”:</w:t>
      </w:r>
    </w:p>
    <w:p>
      <w:pPr>
        <w:pStyle w:val="Normal"/>
      </w:pPr>
      <w:r>
        <w:t>Installed: (none)</w:t>
      </w:r>
    </w:p>
    <w:p>
      <w:pPr>
        <w:pStyle w:val="Para 17"/>
      </w:pPr>
      <w:r>
        <w:t/>
      </w:r>
    </w:p>
    <w:p>
      <w:pPr>
        <w:pStyle w:val="Normal"/>
      </w:pPr>
      <w:r>
        <w:t>If we were to install the default package, we would get this one:</w:t>
      </w:r>
    </w:p>
    <w:p>
      <w:pPr>
        <w:pStyle w:val="Normal"/>
      </w:pPr>
      <w:r>
        <w:t>Candidate: 2.4.58-1ubuntu8.4</w:t>
      </w:r>
    </w:p>
    <w:p>
      <w:pPr>
        <w:pStyle w:val="Para 17"/>
      </w:pPr>
      <w:r>
        <w:t/>
      </w:r>
    </w:p>
    <w:p>
      <w:pPr>
        <w:pStyle w:val="Normal"/>
      </w:pPr>
      <w:r>
        <w:t xml:space="preserve">Under each version we are also shown the </w:t>
      </w:r>
      <w:r>
        <w:rPr>
          <w:rStyle w:val="Text0"/>
        </w:rPr>
        <w:t>source</w:t>
      </w:r>
      <w:r>
        <w:t xml:space="preserve">. The newest version (2.4.58-1ubuntu8.4) comes from noble-updates (main) and noble-security (main). The </w:t>
      </w:r>
      <w:r>
        <w:rPr>
          <w:rStyle w:val="Text3"/>
        </w:rPr>
        <w:t>original</w:t>
      </w:r>
      <w:r>
        <w:t xml:space="preserve"> version (2.4.58-1ubuntu8) comes from noble (main). This tells us that this was the version released with the with 24.04 LTS (Noble Numbat).</w:t>
      </w:r>
    </w:p>
    <w:p>
      <w:bookmarkStart w:id="55" w:name="calibre_pb_12"/>
      <w:pPr>
        <w:pStyle w:val="0 Block"/>
      </w:pPr>
      <w:bookmarkEnd w:id="55"/>
    </w:p>
    <w:p>
      <w:bookmarkStart w:id="56" w:name="page_31"/>
      <w:bookmarkStart w:id="57" w:name="Top_of_index_split_01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35"/>
                    <a:stretch>
                      <a:fillRect/>
                    </a:stretch>
                  </pic:blipFill>
                  <pic:spPr>
                    <a:xfrm>
                      <a:off x="0" y="0"/>
                      <a:ext cx="914400" cy="266700"/>
                    </a:xfrm>
                    <a:prstGeom prst="rect">
                      <a:avLst/>
                    </a:prstGeom>
                  </pic:spPr>
                </pic:pic>
              </a:graphicData>
            </a:graphic>
          </wp:anchor>
        </w:drawing>
      </w:r>
      <w:bookmarkEnd w:id="56"/>
      <w:bookmarkEnd w:id="57"/>
    </w:p>
    <w:p>
      <w:pPr>
        <w:pStyle w:val="Para 01"/>
      </w:pPr>
      <w:r>
        <w:t>Installing older package versions</w:t>
      </w:r>
    </w:p>
    <w:p>
      <w:pPr>
        <w:pStyle w:val="Para 17"/>
      </w:pPr>
      <w:r>
        <w:t/>
      </w:r>
    </w:p>
    <w:p>
      <w:pPr>
        <w:pStyle w:val="Normal"/>
      </w:pPr>
      <w:r>
        <w:t>We can install specific older versions if we want to, for example, to satisfy dependency re-quirements of another package. We can do that by specifying the package name and version:</w:t>
      </w:r>
    </w:p>
    <w:p>
      <w:pPr>
        <w:pStyle w:val="Normal"/>
      </w:pPr>
      <w:r>
        <w:t>sudo apt install &lt;</w:t>
        <w:t>package</w:t>
        <w:t>=</w:t>
        <w:t>version&gt;</w:t>
      </w:r>
    </w:p>
    <w:p>
      <w:pPr>
        <w:pStyle w:val="Para 17"/>
      </w:pPr>
      <w:r>
        <w:t/>
      </w:r>
    </w:p>
    <w:p>
      <w:pPr>
        <w:pStyle w:val="Normal"/>
      </w:pPr>
      <w:r>
        <w:t>However, this can be tricky and often leads to conflicts in dependency versions as APT always wants to install the most recent version. We can see an example of this if we run the following command:</w:t>
      </w:r>
    </w:p>
    <w:p>
      <w:pPr>
        <w:pStyle w:val="Normal"/>
      </w:pPr>
      <w:r>
        <w:t>sudo apt install</w:t>
        <w:t xml:space="preserve"> </w:t>
        <w:t>apache2</w:t>
        <w:t>=</w:t>
        <w:t>2</w:t>
        <w:t>.4.58-1ubuntu8</w:t>
      </w:r>
    </w:p>
    <w:p>
      <w:pPr>
        <w:pStyle w:val="Para 17"/>
      </w:pPr>
      <w:r>
        <w:t/>
      </w:r>
    </w:p>
    <w:p>
      <w:pPr>
        <w:pStyle w:val="Normal"/>
      </w:pPr>
      <w:r>
        <w:t>APT warns us that the version of apache2 we want to install depends on earlier versions of the dependencies, but it helpfully tells us which dependency versions we need to successfully install the package we want.</w:t>
      </w:r>
    </w:p>
    <w:p>
      <w:pPr>
        <w:pStyle w:val="Normal"/>
      </w:pPr>
      <w:r>
        <w:t>[...]</w:t>
      </w:r>
    </w:p>
    <w:p>
      <w:pPr>
        <w:pStyle w:val="Normal"/>
      </w:pPr>
      <w:r>
        <w:t>Some packages could not be installed. This may mean that you have</w:t>
        <w:t xml:space="preserve"> </w:t>
        <w:t>requested an impossible situation or if you are using the unstable</w:t>
        <w:t xml:space="preserve"> </w:t>
        <w:t>distribution that some required packages have not yet been created</w:t>
        <w:t xml:space="preserve"> </w:t>
        <w:t>or been moved out of Incoming.</w:t>
      </w:r>
    </w:p>
    <w:p>
      <w:pPr>
        <w:pStyle w:val="Normal"/>
      </w:pPr>
      <w:r>
        <w:t>The following information may help to resolve the situation:</w:t>
      </w:r>
    </w:p>
    <w:p>
      <w:pPr>
        <w:pStyle w:val="Normal"/>
      </w:pPr>
      <w:r>
        <w:t>The following packages have unmet dependencies:</w:t>
      </w:r>
    </w:p>
    <w:p>
      <w:pPr>
        <w:pStyle w:val="Normal"/>
      </w:pPr>
      <w:r>
        <w:t>apache2 : Depends: apache2-bin (= 2.4.58-1ubuntu8) but 2.4.58-1ubuntu8.4 is to be</w:t>
      </w:r>
    </w:p>
    <w:p>
      <w:pPr>
        <w:pStyle w:val="Normal"/>
      </w:pPr>
      <w:r>
        <w:t>installed</w:t>
      </w:r>
    </w:p>
    <w:p>
      <w:pPr>
        <w:pStyle w:val="Para 11"/>
      </w:pPr>
      <w:r>
        <w:t>Depends: apache2-data (= 2.4.58-1ubuntu8) but 2.4.58-1ubuntu8.4 is to be</w:t>
      </w:r>
    </w:p>
    <w:p>
      <w:pPr>
        <w:pStyle w:val="Normal"/>
      </w:pPr>
      <w:r>
        <w:t>installed</w:t>
      </w:r>
    </w:p>
    <w:p>
      <w:pPr>
        <w:pStyle w:val="Para 11"/>
      </w:pPr>
      <w:r>
        <w:t>Depends: apache2-utils (= 2.4.58-1ubuntu8) but 2.4.58-1ubuntu8.4 is to be</w:t>
      </w:r>
    </w:p>
    <w:p>
      <w:pPr>
        <w:pStyle w:val="Normal"/>
      </w:pPr>
      <w:r>
        <w:t>installed</w:t>
      </w:r>
    </w:p>
    <w:p>
      <w:pPr>
        <w:pStyle w:val="Normal"/>
      </w:pPr>
      <w:r>
        <w:t>E: Unable to correct problems, you have held broken packages.</w:t>
      </w:r>
    </w:p>
    <w:p>
      <w:pPr>
        <w:pStyle w:val="Para 17"/>
      </w:pPr>
      <w:r>
        <w:t/>
      </w:r>
    </w:p>
    <w:p>
      <w:pPr>
        <w:pStyle w:val="Normal"/>
      </w:pPr>
      <w:r>
        <w:t>So, all we need to do is first install the dependencies, and then run the install command again. Remember that we can install multiple packages at once by separating them with spaces:</w:t>
      </w:r>
    </w:p>
    <w:p>
      <w:pPr>
        <w:pStyle w:val="Normal"/>
      </w:pPr>
      <w:r>
        <w:t>sudo apt install apache2-bin</w:t>
        <w:t>=</w:t>
        <w:t>2</w:t>
        <w:t>.4.58-1ubuntu8</w:t>
        <w:t xml:space="preserve"> </w:t>
      </w:r>
      <w:r>
        <w:rPr>
          <w:rStyle w:val="Text0"/>
        </w:rPr>
        <w:t>\</w:t>
      </w:r>
    </w:p>
    <w:p>
      <w:pPr>
        <w:pStyle w:val="Para 03"/>
      </w:pPr>
      <w:r>
        <w:t>apache2-data</w:t>
        <w:t>=</w:t>
        <w:t>2</w:t>
        <w:t>.4.58-1ubuntu8</w:t>
        <w:t xml:space="preserve"> </w:t>
      </w:r>
      <w:r>
        <w:rPr>
          <w:rStyle w:val="Text0"/>
        </w:rPr>
        <w:t>\</w:t>
      </w:r>
    </w:p>
    <w:p>
      <w:pPr>
        <w:pStyle w:val="Para 03"/>
      </w:pPr>
      <w:r>
        <w:t>apache2-utils</w:t>
        <w:t>=</w:t>
        <w:t>2</w:t>
        <w:t>.4.58-1ubuntu8</w:t>
        <w:t xml:space="preserve"> </w:t>
      </w:r>
      <w:r>
        <w:rPr>
          <w:rStyle w:val="Text0"/>
        </w:rPr>
        <w:t>\</w:t>
      </w:r>
    </w:p>
    <w:p>
      <w:pPr>
        <w:pStyle w:val="Para 03"/>
      </w:pPr>
      <w:r>
        <w:t>apache2</w:t>
        <w:t>=</w:t>
        <w:t>2</w:t>
        <w:t>.4.58-1ubuntu8</w:t>
      </w:r>
    </w:p>
    <w:p>
      <w:pPr>
        <w:pStyle w:val="Para 17"/>
      </w:pPr>
      <w:r>
        <w:t/>
      </w:r>
    </w:p>
    <w:p>
      <w:pPr>
        <w:pStyle w:val="Normal"/>
      </w:pPr>
      <w:r>
        <w:t>In this case we’re also breaking the command over multiple lines using backslashes (\) to make it easier to read, but it will still be run as a single command.</w:t>
      </w:r>
    </w:p>
    <w:p>
      <w:pPr>
        <w:pStyle w:val="Normal"/>
      </w:pPr>
      <w:r>
        <w:t>APT will warn us that we are downgrading the package, but let us press Y to confirm (when prompted), and it will go ahead and downgrade us anyway. Let’s run the following command again:</w:t>
      </w:r>
    </w:p>
    <w:p>
      <w:pPr>
        <w:pStyle w:val="Normal"/>
      </w:pPr>
      <w:r>
        <w:t>apt policy apache2</w:t>
      </w:r>
    </w:p>
    <w:p>
      <w:pPr>
        <w:pStyle w:val="Para 17"/>
      </w:pPr>
      <w:r>
        <w:t/>
      </w:r>
    </w:p>
    <w:p>
      <w:pPr>
        <w:pStyle w:val="Normal"/>
      </w:pPr>
      <w:r>
        <w:t>And we’ll get confirmation that we’re running on an older version:</w:t>
      </w:r>
    </w:p>
    <w:p>
      <w:pPr>
        <w:pStyle w:val="Normal"/>
      </w:pPr>
      <w:r>
        <w:t>apache2:</w:t>
      </w:r>
    </w:p>
    <w:p>
      <w:pPr>
        <w:pStyle w:val="Para 03"/>
      </w:pPr>
      <w:r>
        <w:t>Installed: 2.4.58-1ubuntu8</w:t>
      </w:r>
    </w:p>
    <w:p>
      <w:pPr>
        <w:pStyle w:val="Para 03"/>
      </w:pPr>
      <w:r>
        <w:t>Candidate: 2.4.58-1ubuntu8.4</w:t>
      </w:r>
    </w:p>
    <w:p>
      <w:pPr>
        <w:pStyle w:val="Para 09"/>
      </w:pPr>
      <w:r>
        <w:t>(continues on next page)</w:t>
      </w:r>
    </w:p>
    <w:p>
      <w:bookmarkStart w:id="58" w:name="page_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36"/>
                    <a:stretch>
                      <a:fillRect/>
                    </a:stretch>
                  </pic:blipFill>
                  <pic:spPr>
                    <a:xfrm>
                      <a:off x="0" y="0"/>
                      <a:ext cx="914400" cy="266700"/>
                    </a:xfrm>
                    <a:prstGeom prst="rect">
                      <a:avLst/>
                    </a:prstGeom>
                  </pic:spPr>
                </pic:pic>
              </a:graphicData>
            </a:graphic>
          </wp:anchor>
        </w:drawing>
      </w:r>
      <w:bookmarkEnd w:id="58"/>
    </w:p>
    <w:p>
      <w:pPr>
        <w:pStyle w:val="Para 09"/>
      </w:pPr>
      <w:r>
        <w:t>(continued from previous page)</w:t>
      </w:r>
    </w:p>
    <w:p>
      <w:pPr>
        <w:pStyle w:val="Para 03"/>
      </w:pPr>
      <w:r>
        <w:t>Version table:</w:t>
      </w:r>
    </w:p>
    <w:p>
      <w:pPr>
        <w:pStyle w:val="Para 02"/>
      </w:pPr>
      <w:r>
        <w:t>2.4.58-1ubuntu8.4 500</w:t>
      </w:r>
    </w:p>
    <w:p>
      <w:pPr>
        <w:pStyle w:val="Para 17"/>
      </w:pPr>
      <w:r>
        <w:t>500 http://archive.ubuntu.com/ubuntu noble-updates/main amd64 Packages</w:t>
        <w:t xml:space="preserve"> </w:t>
        <w:t>500 http://security.ubuntu.com/ubuntu noble-security/main amd64 Packages</w:t>
      </w:r>
    </w:p>
    <w:p>
      <w:pPr>
        <w:pStyle w:val="Normal"/>
      </w:pPr>
      <w:r>
        <w:t>*** 2.4.58-1ubuntu8 500</w:t>
      </w:r>
    </w:p>
    <w:p>
      <w:pPr>
        <w:pStyle w:val="Para 06"/>
      </w:pPr>
      <w:r>
        <w:t>500 http://archive.ubuntu.com/ubuntu noble/main amd64 Packages</w:t>
        <w:t xml:space="preserve"> </w:t>
        <w:t>100 /var/lib/dpkg/status</w:t>
      </w:r>
    </w:p>
    <w:p>
      <w:pPr>
        <w:pStyle w:val="Para 17"/>
      </w:pPr>
      <w:r>
        <w:t/>
      </w:r>
    </w:p>
    <w:p>
      <w:pPr>
        <w:pStyle w:val="Para 01"/>
      </w:pPr>
      <w:r>
        <w:t>Where do packages come from?</w:t>
      </w:r>
    </w:p>
    <w:p>
      <w:pPr>
        <w:pStyle w:val="Para 17"/>
      </w:pPr>
      <w:r>
        <w:t/>
      </w:r>
    </w:p>
    <w:p>
      <w:pPr>
        <w:pStyle w:val="Normal"/>
      </w:pPr>
      <w:r>
        <w:t>You may be wondering by now “where exactly do all these packages come from?”. We’ve spotted a few sources very briefly throughout this tutorial, but haven’t paid direct attention to them yet. Let’s take a little time now to define what we mean by all these different sources that APT can pull packages from.</w:t>
      </w:r>
    </w:p>
    <w:p>
      <w:pPr>
        <w:pStyle w:val="Normal"/>
      </w:pPr>
      <w:r>
        <w:t xml:space="preserve">The source behind APT is the </w:t>
      </w:r>
      <w:r>
        <w:rPr>
          <w:rStyle w:val="Text0"/>
        </w:rPr>
        <w:t>Ubuntu Package Archive</w:t>
      </w:r>
      <w:r>
        <w:t>. This Archive splits into many layers, each with its own terminology. The different terminology is quite confusing at first, but we’ve seen a few of the terms already. So if we take a look, layer-by-layer, we’ll see not just what all the terms mean, but how they all fit together.</w:t>
      </w:r>
    </w:p>
    <w:p>
      <w:pPr>
        <w:pStyle w:val="Normal"/>
      </w:pPr>
      <w:r>
        <w:t xml:space="preserve">Let’s have a quick overview with this diagram. The general flow is that the Archive splits into </w:t>
      </w:r>
      <w:r>
        <w:rPr>
          <w:rStyle w:val="Text0"/>
        </w:rPr>
        <w:t>Ubuntu series</w:t>
      </w:r>
      <w:r>
        <w:t xml:space="preserve">. Each series is split up into </w:t>
      </w:r>
      <w:r>
        <w:rPr>
          <w:rStyle w:val="Text0"/>
        </w:rPr>
        <w:t>pockets</w:t>
      </w:r>
      <w:r>
        <w:t xml:space="preserve">, and then each pocket contains four </w:t>
      </w:r>
      <w:r>
        <w:rPr>
          <w:rStyle w:val="Text0"/>
        </w:rPr>
        <w:t>components</w:t>
      </w:r>
      <w:r>
        <w:t>. If we tried to show all of this on one diagram, it would be quite extensive, so let’s take a look through a single path.</w:t>
      </w:r>
    </w:p>
    <w:p>
      <w:pPr>
        <w:pStyle w:val="Para 17"/>
      </w:pPr>
      <w:r>
        <w:t/>
      </w:r>
    </w:p>
    <w:p>
      <w:pPr>
        <w:pStyle w:val="Para 01"/>
      </w:pPr>
      <w:r>
        <w:t>Series</w:t>
      </w:r>
    </w:p>
    <w:p>
      <w:pPr>
        <w:pStyle w:val="Para 17"/>
      </w:pPr>
      <w:r>
        <w:t/>
      </w:r>
    </w:p>
    <w:p>
      <w:pPr>
        <w:pStyle w:val="Normal"/>
      </w:pPr>
      <w:r>
        <w:t xml:space="preserve">The </w:t>
      </w:r>
      <w:r>
        <w:rPr>
          <w:rStyle w:val="Text0"/>
        </w:rPr>
        <w:t>series</w:t>
      </w:r>
      <w:r>
        <w:t xml:space="preserve"> is a set of packages that are released with a specific version of Ubuntu – they’re usually referred to by their codename (e.g., mantic, noble and oracular in our diagram). Each version of Ubuntu may have multiple releases (for example, an LTS will have an initial release when it launches (e.g. 24.04 LTS), and then “subsequent point releases” (e.g. 24.04.1 LTS) – these are all part of the same series (noble).</w:t>
      </w:r>
    </w:p>
    <w:p>
      <w:pPr>
        <w:pStyle w:val="Normal"/>
      </w:pPr>
      <w:r>
        <w:t>In practice, people often use the term “Ubuntu release” and “Ubuntu series” interchangeably.</w:t>
      </w:r>
    </w:p>
    <w:p>
      <w:pPr>
        <w:pStyle w:val="Para 17"/>
      </w:pPr>
      <w:r>
        <w:t/>
      </w:r>
    </w:p>
    <w:p>
      <w:pPr>
        <w:pStyle w:val="Para 01"/>
      </w:pPr>
      <w:r>
        <w:t>Pockets</w:t>
      </w:r>
    </w:p>
    <w:p>
      <w:pPr>
        <w:pStyle w:val="Para 17"/>
      </w:pPr>
      <w:r>
        <w:t/>
      </w:r>
    </w:p>
    <w:p>
      <w:pPr>
        <w:pStyle w:val="Normal"/>
      </w:pPr>
      <w:r>
        <w:t xml:space="preserve">Every Ubuntu series (noble, jammy, etc) is split into </w:t>
      </w:r>
      <w:r>
        <w:rPr>
          <w:rStyle w:val="Text0"/>
        </w:rPr>
        <w:t>pockets</w:t>
      </w:r>
      <w:r>
        <w:t>, which are related to the software development/release lifecycle:</w:t>
      </w:r>
    </w:p>
    <w:p>
      <w:pPr>
        <w:pStyle w:val="Para 04"/>
      </w:pPr>
      <w:r>
        <w:t>•</w:t>
      </w:r>
      <w:r>
        <w:rPr>
          <w:rStyle w:val="Text0"/>
        </w:rPr>
        <w:t>-release</w:t>
      </w:r>
      <w:r>
        <w:t xml:space="preserve"> contains the packages as they are at release time.</w:t>
      </w:r>
    </w:p>
    <w:p>
      <w:pPr>
        <w:pStyle w:val="Para 04"/>
      </w:pPr>
      <w:r>
        <w:t>•</w:t>
      </w:r>
      <w:r>
        <w:rPr>
          <w:rStyle w:val="Text0"/>
        </w:rPr>
        <w:t>-proposed</w:t>
      </w:r>
      <w:r>
        <w:t xml:space="preserve"> contains package updates while they are being tested.</w:t>
      </w:r>
    </w:p>
    <w:p>
      <w:pPr>
        <w:pStyle w:val="Para 04"/>
      </w:pPr>
      <w:r>
        <w:t>• Once an update is released, they come from either</w:t>
      </w:r>
      <w:r>
        <w:rPr>
          <w:rStyle w:val="Text0"/>
        </w:rPr>
        <w:t>-security</w:t>
      </w:r>
      <w:r>
        <w:t xml:space="preserve"> or</w:t>
      </w:r>
      <w:r>
        <w:rPr>
          <w:rStyle w:val="Text0"/>
        </w:rPr>
        <w:t>-updates</w:t>
      </w:r>
      <w:r>
        <w:t xml:space="preserve"> depending on</w:t>
      </w:r>
    </w:p>
    <w:p>
      <w:pPr>
        <w:pStyle w:val="Para 02"/>
      </w:pPr>
      <w:r>
        <w:t>whether they are a security-related update or not.</w:t>
      </w:r>
    </w:p>
    <w:p>
      <w:pPr>
        <w:pStyle w:val="Para 04"/>
      </w:pPr>
      <w:r>
        <w:t>• And</w:t>
      </w:r>
      <w:r>
        <w:rPr>
          <w:rStyle w:val="Text0"/>
        </w:rPr>
        <w:t>-backports</w:t>
      </w:r>
      <w:r>
        <w:t>, which contains packages that were not available at release time.</w:t>
      </w:r>
    </w:p>
    <w:p>
      <w:pPr>
        <w:pStyle w:val="Normal"/>
      </w:pPr>
      <w:r>
        <w:t>This is why earlier, we saw that some updates came from noble-updates or noble-security. These refer to updates and security updates from the noble series (respectively). Pockets are usually appended to the end of the series, and it’s quite common to see the hyphen (-) included when referring to pockets.</w:t>
      </w:r>
    </w:p>
    <w:p>
      <w:bookmarkStart w:id="59" w:name="page_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37"/>
                    <a:stretch>
                      <a:fillRect/>
                    </a:stretch>
                  </pic:blipFill>
                  <pic:spPr>
                    <a:xfrm>
                      <a:off x="0" y="0"/>
                      <a:ext cx="914400" cy="266700"/>
                    </a:xfrm>
                    <a:prstGeom prst="rect">
                      <a:avLst/>
                    </a:prstGeom>
                  </pic:spPr>
                </pic:pic>
              </a:graphicData>
            </a:graphic>
          </wp:anchor>
        </w:drawing>
      </w:r>
      <w:bookmarkEnd w:id="59"/>
    </w:p>
    <w:p>
      <w:pPr>
        <w:pStyle w:val="Normal"/>
      </w:pPr>
      <w:r>
        <w:t>Remember – the original version of the apache2 package we saw came from noble. The-release pocket only includes the software that was part of the original LTS release, and so it takes the name of the Ubuntu series by default (i.e., the-release pocket is implied).</w:t>
      </w:r>
    </w:p>
    <w:p>
      <w:pPr>
        <w:pStyle w:val="Para 17"/>
      </w:pPr>
      <w:r>
        <w:t/>
      </w:r>
    </w:p>
    <w:p>
      <w:pPr>
        <w:pStyle w:val="Para 01"/>
      </w:pPr>
      <w:r>
        <w:t>Components</w:t>
      </w:r>
    </w:p>
    <w:p>
      <w:pPr>
        <w:pStyle w:val="Para 17"/>
      </w:pPr>
      <w:r>
        <w:t/>
      </w:r>
    </w:p>
    <w:p>
      <w:pPr>
        <w:pStyle w:val="Normal"/>
      </w:pPr>
      <w:r>
        <w:t xml:space="preserve">Each pocket is split into four </w:t>
      </w:r>
      <w:r>
        <w:rPr>
          <w:rStyle w:val="Text0"/>
        </w:rPr>
        <w:t>components</w:t>
      </w:r>
      <w:r>
        <w:t xml:space="preserve">, depending on whether the packages they contain are </w:t>
      </w:r>
      <w:r>
        <w:rPr>
          <w:rStyle w:val="Text3"/>
        </w:rPr>
        <w:t>open source</w:t>
      </w:r>
      <w:r>
        <w:t xml:space="preserve"> or </w:t>
      </w:r>
      <w:r>
        <w:rPr>
          <w:rStyle w:val="Text3"/>
        </w:rPr>
        <w:t>closed source</w:t>
      </w:r>
      <w:r>
        <w:t>, and whether they are officially supported by Canonical or are maintained by the Ubuntu Community:</w:t>
      </w:r>
    </w:p>
    <w:p>
      <w:pPr>
        <w:pStyle w:val="Para 17"/>
      </w:pPr>
      <w:r>
        <w:t/>
      </w:r>
    </w:p>
    <w:p>
      <w:pPr>
        <w:pStyle w:val="Para 60"/>
      </w:pPr>
      <w:r>
        <w:t>Open source Closed source</w:t>
      </w:r>
    </w:p>
    <w:p>
      <w:pPr>
        <w:pStyle w:val="Para 17"/>
      </w:pPr>
      <w:r>
        <w:t/>
      </w:r>
    </w:p>
    <w:p>
      <w:pPr>
        <w:pStyle w:val="Para 61"/>
      </w:pPr>
      <w:r>
        <w:t>Officially supported</w:t>
      </w:r>
      <w:r>
        <w:rPr>
          <w:rStyle w:val="Text0"/>
        </w:rPr>
        <w:t xml:space="preserve"> main restricted</w:t>
      </w:r>
    </w:p>
    <w:p>
      <w:pPr>
        <w:pStyle w:val="Para 25"/>
      </w:pPr>
      <w:r>
        <w:rPr>
          <w:rStyle w:val="Text0"/>
        </w:rPr>
        <w:t>Community supported</w:t>
      </w:r>
      <w:r>
        <w:t xml:space="preserve"> universe multiverse</w:t>
      </w:r>
    </w:p>
    <w:p>
      <w:pPr>
        <w:pStyle w:val="Para 17"/>
      </w:pPr>
      <w:r>
        <w:t/>
      </w:r>
    </w:p>
    <w:p>
      <w:pPr>
        <w:pStyle w:val="Para 04"/>
      </w:pPr>
      <w:r>
        <w:t xml:space="preserve">• </w:t>
      </w:r>
      <w:r>
        <w:rPr>
          <w:rStyle w:val="Text0"/>
        </w:rPr>
        <w:t>main</w:t>
      </w:r>
      <w:r>
        <w:t xml:space="preserve"> contains the open-source packages that are officially supported by Canonical.</w:t>
      </w:r>
    </w:p>
    <w:p>
      <w:pPr>
        <w:pStyle w:val="Para 02"/>
      </w:pPr>
      <w:r>
        <w:t>These packages are either installed on every Ubuntu machine, or are very widely used for various types of systems and use-cases.</w:t>
      </w:r>
    </w:p>
    <w:p>
      <w:pPr>
        <w:pStyle w:val="Para 04"/>
      </w:pPr>
      <w:r>
        <w:t xml:space="preserve">• </w:t>
      </w:r>
      <w:r>
        <w:rPr>
          <w:rStyle w:val="Text0"/>
        </w:rPr>
        <w:t>universe</w:t>
      </w:r>
      <w:r>
        <w:t xml:space="preserve"> holds all other open-source packages in Ubuntu, which are typically main-</w:t>
      </w:r>
    </w:p>
    <w:p>
      <w:pPr>
        <w:pStyle w:val="Para 02"/>
      </w:pPr>
      <w:r>
        <w:t>tained by the Debian and Ubuntu communities, but may also include additional security</w:t>
      </w:r>
    </w:p>
    <w:p>
      <w:pPr>
        <w:pStyle w:val="Para 02"/>
      </w:pPr>
      <w:r>
        <w:t xml:space="preserve">coverage from Canonical under </w:t>
      </w:r>
      <w:hyperlink w:anchor="page_33">
        <w:r>
          <w:rPr>
            <w:rStyle w:val="Text9"/>
          </w:rPr>
          <w:t>32</w:t>
        </w:r>
      </w:hyperlink>
      <w:r>
        <w:t xml:space="preserve"> </w:t>
      </w:r>
      <w:hyperlink r:id="rId1058">
        <w:r>
          <w:rPr>
            <w:rStyle w:val="Text1"/>
          </w:rPr>
          <w:t>Ubuntu Pro</w:t>
        </w:r>
      </w:hyperlink>
      <w:r>
        <w:t>, which is available free for personal use on up to five machines.</w:t>
      </w:r>
    </w:p>
    <w:p>
      <w:pPr>
        <w:pStyle w:val="Para 04"/>
      </w:pPr>
      <w:r>
        <w:t xml:space="preserve">• </w:t>
      </w:r>
      <w:r>
        <w:rPr>
          <w:rStyle w:val="Text0"/>
        </w:rPr>
        <w:t>restricted</w:t>
      </w:r>
      <w:r>
        <w:t xml:space="preserve"> contains the packages that are officially supported by Canonical but are not</w:t>
      </w:r>
    </w:p>
    <w:p>
      <w:pPr>
        <w:pStyle w:val="Para 02"/>
      </w:pPr>
      <w:r>
        <w:t>available under a completely free license.</w:t>
      </w:r>
    </w:p>
    <w:p>
      <w:pPr>
        <w:pStyle w:val="Para 04"/>
      </w:pPr>
      <w:r>
        <w:t xml:space="preserve">• </w:t>
      </w:r>
      <w:r>
        <w:rPr>
          <w:rStyle w:val="Text0"/>
        </w:rPr>
        <w:t>multiverse</w:t>
      </w:r>
      <w:r>
        <w:t xml:space="preserve"> contains community-maintained proprietary software – these packages are</w:t>
      </w:r>
    </w:p>
    <w:p>
      <w:pPr>
        <w:pStyle w:val="Para 02"/>
      </w:pPr>
      <w:r>
        <w:t>completely unsupported by Canonical.</w:t>
      </w:r>
    </w:p>
    <w:p>
      <w:pPr>
        <w:pStyle w:val="Normal"/>
      </w:pPr>
      <w:r>
        <w:t>If you would like more information about the Ubuntu release process, how packages are pro-duced, or to learn more about the sort of terminology you might come across, you may be</w:t>
      </w:r>
    </w:p>
    <w:p>
      <w:pPr>
        <w:pStyle w:val="Normal"/>
      </w:pPr>
      <w:r>
        <w:t xml:space="preserve">interested in the </w:t>
      </w:r>
      <w:hyperlink r:id="rId1059">
        <w:r>
          <w:rPr>
            <w:rStyle w:val="Text9"/>
          </w:rPr>
          <w:t>33</w:t>
        </w:r>
      </w:hyperlink>
      <w:hyperlink r:id="rId1059">
        <w:r>
          <w:rPr>
            <w:rStyle w:val="Text1"/>
          </w:rPr>
          <w:t xml:space="preserve"> Ubuntu Project documentation</w:t>
        </w:r>
      </w:hyperlink>
      <w:r>
        <w:t>, which is a great resource containing all this information (and much more!).</w:t>
      </w:r>
    </w:p>
    <w:p>
      <w:pPr>
        <w:pStyle w:val="Para 17"/>
      </w:pPr>
      <w:r>
        <w:t/>
      </w:r>
    </w:p>
    <w:p>
      <w:pPr>
        <w:pStyle w:val="Para 01"/>
      </w:pPr>
      <w:r>
        <w:t>Installing a .deb file</w:t>
      </w:r>
    </w:p>
    <w:p>
      <w:pPr>
        <w:pStyle w:val="Para 17"/>
      </w:pPr>
      <w:r>
        <w:t/>
      </w:r>
    </w:p>
    <w:p>
      <w:pPr>
        <w:pStyle w:val="Normal"/>
      </w:pPr>
      <w:r>
        <w:t>Although APT is the preferred way to install packages on your system, due to its ability to handle dependencies and keep software up-to-date, not every package is available in the APT repository – especially if they are so old they are no longer maintained, or conversely, are the newest version still in development!</w:t>
      </w:r>
    </w:p>
    <w:p>
      <w:pPr>
        <w:pStyle w:val="Normal"/>
      </w:pPr>
      <w:r>
        <w:t>We can install .deb files that aren’t in the APT repository using dpkg – all we need is to down-load the .deb file, and we can run a command like this to install it:</w:t>
      </w:r>
    </w:p>
    <w:p>
      <w:pPr>
        <w:pStyle w:val="Para 05"/>
      </w:pPr>
      <w:r>
        <w:rPr>
          <w:rStyle w:val="Text5"/>
        </w:rPr>
        <w:t>32</w:t>
      </w:r>
      <w:r>
        <w:rPr>
          <w:rStyle w:val="Text8"/>
        </w:rPr>
        <w:t xml:space="preserve"> </w:t>
      </w:r>
      <w:r>
        <w:t>https://ubuntu.com/pro</w:t>
      </w:r>
    </w:p>
    <w:p>
      <w:pPr>
        <w:pStyle w:val="Para 05"/>
      </w:pPr>
      <w:r>
        <w:rPr>
          <w:rStyle w:val="Text5"/>
        </w:rPr>
        <w:t>33</w:t>
      </w:r>
      <w:r>
        <w:rPr>
          <w:rStyle w:val="Text8"/>
        </w:rPr>
        <w:t xml:space="preserve"> </w:t>
      </w:r>
      <w:r>
        <w:t>https://documentation.ubuntu.com/project/</w:t>
      </w:r>
      <w:r>
        <w:rPr>
          <w:rStyle w:val="Text8"/>
        </w:rPr>
        <w:t xml:space="preserve"> </w:t>
        <w:t>sudo dpkg -i &lt;file-name.deb&gt;</w:t>
      </w:r>
    </w:p>
    <w:p>
      <w:bookmarkStart w:id="60" w:name="page_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38"/>
                    <a:stretch>
                      <a:fillRect/>
                    </a:stretch>
                  </pic:blipFill>
                  <pic:spPr>
                    <a:xfrm>
                      <a:off x="0" y="0"/>
                      <a:ext cx="914400" cy="266700"/>
                    </a:xfrm>
                    <a:prstGeom prst="rect">
                      <a:avLst/>
                    </a:prstGeom>
                  </pic:spPr>
                </pic:pic>
              </a:graphicData>
            </a:graphic>
          </wp:anchor>
        </w:drawing>
      </w:r>
      <w:bookmarkEnd w:id="60"/>
    </w:p>
    <w:p>
      <w:pPr>
        <w:pStyle w:val="Para 17"/>
      </w:pPr>
      <w:r>
        <w:t/>
      </w:r>
    </w:p>
    <w:p>
      <w:pPr>
        <w:pStyle w:val="Normal"/>
      </w:pPr>
      <w:r>
        <w:t>But – APT is helpful here too. Even if we get a .deb file that isn’t from the Ubuntu Archive, we can still install it with APT so that if there are dependencies that can be resolved automati-cally from the Archive – they will be!</w:t>
      </w:r>
    </w:p>
    <w:p>
      <w:pPr>
        <w:pStyle w:val="Normal"/>
      </w:pPr>
      <w:r>
        <w:t>sudo apt install ./file-name.deb</w:t>
      </w:r>
    </w:p>
    <w:p>
      <w:pPr>
        <w:pStyle w:val="Para 17"/>
      </w:pPr>
      <w:r>
        <w:t/>
      </w:r>
    </w:p>
    <w:p>
      <w:pPr>
        <w:pStyle w:val="Normal"/>
      </w:pPr>
      <w:r>
        <w:t xml:space="preserve">If we ever do want to install a .deb file, APT is definitely the most convenient way to do it. We may still need to handle </w:t>
      </w:r>
      <w:r>
        <w:rPr>
          <w:rStyle w:val="Text3"/>
        </w:rPr>
        <w:t>some</w:t>
      </w:r>
      <w:r>
        <w:t xml:space="preserve"> dependencies manually, but now we have the knowledge to be able to do that.</w:t>
      </w:r>
    </w:p>
    <w:p>
      <w:pPr>
        <w:pStyle w:val="Normal"/>
      </w:pPr>
      <w:r>
        <w:t xml:space="preserve">Luckily, most of the packages you will ever need are likely to be found through APT. If it’s not, it’s worth checking if the software is available as a </w:t>
      </w:r>
      <w:r>
        <w:rPr>
          <w:rStyle w:val="Text0"/>
        </w:rPr>
        <w:t>snap</w:t>
      </w:r>
      <w:r>
        <w:t xml:space="preserve"> instead.</w:t>
      </w:r>
    </w:p>
    <w:p>
      <w:pPr>
        <w:pStyle w:val="Para 17"/>
      </w:pPr>
      <w:r>
        <w:t/>
      </w:r>
    </w:p>
    <w:p>
      <w:pPr>
        <w:pStyle w:val="Para 01"/>
      </w:pPr>
      <w:r>
        <w:t>Snaps</w:t>
      </w:r>
    </w:p>
    <w:p>
      <w:pPr>
        <w:pStyle w:val="Para 17"/>
      </w:pPr>
      <w:r>
        <w:t/>
      </w:r>
    </w:p>
    <w:p>
      <w:pPr>
        <w:pStyle w:val="Normal"/>
      </w:pPr>
      <w:r>
        <w:t>Snaps are a newer, self-contained software format that were developed to be a more portable and easy-to-use alternative to debs. They come with all their dependencies pre-bundled so that there is no need for a package management tool to track dependencies, and they run inside sandboxed environments that limit their interactions with the rest of the sys-tem.</w:t>
      </w:r>
    </w:p>
    <w:p>
      <w:pPr>
        <w:pStyle w:val="Normal"/>
      </w:pPr>
      <w:r>
        <w:t xml:space="preserve">Instead of </w:t>
      </w:r>
      <w:hyperlink r:id="rId1060">
        <w:r>
          <w:rPr>
            <w:rStyle w:val="Text9"/>
          </w:rPr>
          <w:t>34</w:t>
        </w:r>
      </w:hyperlink>
      <w:r>
        <w:t xml:space="preserve"> </w:t>
      </w:r>
      <w:r>
        <w:rPr>
          <w:rStyle w:val="Text0"/>
        </w:rPr>
        <w:t>versions</w:t>
      </w:r>
      <w:r>
        <w:t xml:space="preserve"> as we have them in debs, snaps use the concept of </w:t>
      </w:r>
      <w:hyperlink r:id="rId1060">
        <w:r>
          <w:rPr>
            <w:rStyle w:val="Text1"/>
          </w:rPr>
          <w:t>channels</w:t>
        </w:r>
      </w:hyperlink>
      <w:r>
        <w:t xml:space="preserve"> to define which release of a snap is installed.</w:t>
      </w:r>
    </w:p>
    <w:p>
      <w:pPr>
        <w:pStyle w:val="Normal"/>
      </w:pPr>
      <w:r>
        <w:t>By default, snaps are kept automatically up-to-date, so we don’t need to remember to update and upgrade them. There are times on a live system, such as a server in a production envi-ronment, where we might not want to have updates automatically applied. In those cases,</w:t>
      </w:r>
    </w:p>
    <w:p>
      <w:pPr>
        <w:pStyle w:val="Normal"/>
      </w:pPr>
      <w:r>
        <w:t xml:space="preserve">we can </w:t>
      </w:r>
      <w:hyperlink w:anchor="page_34">
        <w:r>
          <w:rPr>
            <w:rStyle w:val="Text9"/>
          </w:rPr>
          <w:t>35</w:t>
        </w:r>
      </w:hyperlink>
      <w:r>
        <w:t xml:space="preserve"> </w:t>
      </w:r>
      <w:hyperlink r:id="rId1061">
        <w:r>
          <w:rPr>
            <w:rStyle w:val="Text1"/>
          </w:rPr>
          <w:t>turn off automatic updates</w:t>
        </w:r>
      </w:hyperlink>
      <w:r>
        <w:t xml:space="preserve"> and refresh the system snaps when it’s convenient (for example, during a maintenance window).</w:t>
      </w:r>
    </w:p>
    <w:p>
      <w:pPr>
        <w:pStyle w:val="Normal"/>
      </w:pPr>
      <w:r>
        <w:t xml:space="preserve">If you would like to try out snaps, we recommend the excellent </w:t>
      </w:r>
      <w:hyperlink w:anchor="page_34">
        <w:r>
          <w:rPr>
            <w:rStyle w:val="Text9"/>
          </w:rPr>
          <w:t>36</w:t>
        </w:r>
      </w:hyperlink>
      <w:r>
        <w:t xml:space="preserve"> </w:t>
      </w:r>
      <w:hyperlink r:id="rId1062">
        <w:r>
          <w:rPr>
            <w:rStyle w:val="Text1"/>
          </w:rPr>
          <w:t>quickstart tour</w:t>
        </w:r>
      </w:hyperlink>
      <w:r>
        <w:t xml:space="preserve"> tutorial in the snap documentation. Feel free to continue using the VM we’ve been using in this tutorial while exploring!</w:t>
      </w:r>
    </w:p>
    <w:p>
      <w:pPr>
        <w:pStyle w:val="Para 17"/>
      </w:pPr>
      <w:r>
        <w:t/>
      </w:r>
    </w:p>
    <w:p>
      <w:pPr>
        <w:pStyle w:val="Para 01"/>
      </w:pPr>
      <w:r>
        <w:t>Completion!</w:t>
      </w:r>
    </w:p>
    <w:p>
      <w:pPr>
        <w:pStyle w:val="Para 17"/>
      </w:pPr>
      <w:r>
        <w:t/>
      </w:r>
    </w:p>
    <w:p>
      <w:pPr>
        <w:pStyle w:val="Normal"/>
      </w:pPr>
      <w:r>
        <w:t>Once you are finished and want to leave the tutorial, you can run:</w:t>
      </w:r>
    </w:p>
    <w:p>
      <w:pPr>
        <w:pStyle w:val="Normal"/>
      </w:pPr>
      <w:r>
        <w:t>exit</w:t>
      </w:r>
    </w:p>
    <w:p>
      <w:pPr>
        <w:pStyle w:val="Para 17"/>
      </w:pPr>
      <w:r>
        <w:t/>
      </w:r>
    </w:p>
    <w:p>
      <w:pPr>
        <w:pStyle w:val="Normal"/>
      </w:pPr>
      <w:r>
        <w:t>This will take you out of the VM and back to your live machine. Then, you can run the following commands to delete the VM and remove it completely from your machine:</w:t>
      </w:r>
    </w:p>
    <w:p>
      <w:pPr>
        <w:pStyle w:val="Normal"/>
      </w:pPr>
      <w:r>
        <w:t>multipass delete tutorial</w:t>
      </w:r>
    </w:p>
    <w:p>
      <w:pPr>
        <w:pStyle w:val="Normal"/>
      </w:pPr>
      <w:r>
        <w:t>multipass purge</w:t>
      </w:r>
    </w:p>
    <w:p>
      <w:pPr>
        <w:pStyle w:val="Para 05"/>
      </w:pPr>
      <w:r>
        <w:rPr>
          <w:rStyle w:val="Text5"/>
        </w:rPr>
        <w:t>34</w:t>
      </w:r>
      <w:r>
        <w:rPr>
          <w:rStyle w:val="Text8"/>
        </w:rPr>
        <w:t xml:space="preserve"> </w:t>
      </w:r>
      <w:r>
        <w:t>https://snapcraft.io/docs/channels</w:t>
      </w:r>
    </w:p>
    <w:p>
      <w:pPr>
        <w:pStyle w:val="Para 05"/>
      </w:pPr>
      <w:r>
        <w:rPr>
          <w:rStyle w:val="Text5"/>
        </w:rPr>
        <w:t>35</w:t>
      </w:r>
      <w:r>
        <w:rPr>
          <w:rStyle w:val="Text8"/>
        </w:rPr>
        <w:t xml:space="preserve"> </w:t>
      </w:r>
      <w:r>
        <w:t>https://snapcraft.io/docs/managing-updates</w:t>
      </w:r>
    </w:p>
    <w:p>
      <w:pPr>
        <w:pStyle w:val="Para 05"/>
      </w:pPr>
      <w:r>
        <w:rPr>
          <w:rStyle w:val="Text5"/>
        </w:rPr>
        <w:t>36</w:t>
      </w:r>
      <w:r>
        <w:rPr>
          <w:rStyle w:val="Text8"/>
        </w:rPr>
        <w:t xml:space="preserve"> </w:t>
      </w:r>
      <w:r>
        <w:t>https://snapcraft.io/docs/get-started</w:t>
      </w:r>
    </w:p>
    <w:p>
      <w:bookmarkStart w:id="61" w:name="page_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39"/>
                    <a:stretch>
                      <a:fillRect/>
                    </a:stretch>
                  </pic:blipFill>
                  <pic:spPr>
                    <a:xfrm>
                      <a:off x="0" y="0"/>
                      <a:ext cx="914400" cy="266700"/>
                    </a:xfrm>
                    <a:prstGeom prst="rect">
                      <a:avLst/>
                    </a:prstGeom>
                  </pic:spPr>
                </pic:pic>
              </a:graphicData>
            </a:graphic>
          </wp:anchor>
        </w:drawing>
      </w:r>
      <w:bookmarkEnd w:id="61"/>
    </w:p>
    <w:p>
      <w:pPr>
        <w:pStyle w:val="Para 01"/>
      </w:pPr>
      <w:r>
        <w:t>Summary</w:t>
      </w:r>
    </w:p>
    <w:p>
      <w:pPr>
        <w:pStyle w:val="Para 17"/>
      </w:pPr>
      <w:r>
        <w:t/>
      </w:r>
    </w:p>
    <w:p>
      <w:pPr>
        <w:pStyle w:val="Normal"/>
      </w:pPr>
      <w:r>
        <w:t>Congratulations, we made it to the end! We’ve covered a lot of material in this tutorial, so let’s do a quick recap of what we’ve learned:</w:t>
      </w:r>
    </w:p>
    <w:p>
      <w:pPr>
        <w:pStyle w:val="Para 01"/>
      </w:pPr>
      <w:r>
        <w:t>Finding, installing and removing packages</w:t>
      </w:r>
    </w:p>
    <w:p>
      <w:pPr>
        <w:pStyle w:val="Para 04"/>
      </w:pPr>
      <w:r>
        <w:t>• How to update and upgrade all our system’s software with APT:</w:t>
      </w:r>
    </w:p>
    <w:p>
      <w:pPr>
        <w:pStyle w:val="Para 06"/>
      </w:pPr>
      <w:r>
        <w:rPr>
          <w:rStyle w:val="Text0"/>
        </w:rPr>
        <w:t>–</w:t>
      </w:r>
      <w:r>
        <w:t xml:space="preserve"> sudo apt update &amp;&amp; sudo apt upgrade</w:t>
      </w:r>
    </w:p>
    <w:p>
      <w:pPr>
        <w:pStyle w:val="Para 04"/>
      </w:pPr>
      <w:r>
        <w:t>• How to search for software using keywords or strings:</w:t>
      </w:r>
    </w:p>
    <w:p>
      <w:pPr>
        <w:pStyle w:val="Para 06"/>
      </w:pPr>
      <w:r>
        <w:rPr>
          <w:rStyle w:val="Text0"/>
        </w:rPr>
        <w:t>–</w:t>
      </w:r>
      <w:r>
        <w:t xml:space="preserve"> apt search &lt;keyword&gt; or apt search "some content string"</w:t>
      </w:r>
    </w:p>
    <w:p>
      <w:pPr>
        <w:pStyle w:val="Para 04"/>
      </w:pPr>
      <w:r>
        <w:t>• How to see the description of a package, including what dependencies it has:</w:t>
      </w:r>
    </w:p>
    <w:p>
      <w:pPr>
        <w:pStyle w:val="Para 06"/>
      </w:pPr>
      <w:r>
        <w:rPr>
          <w:rStyle w:val="Text0"/>
        </w:rPr>
        <w:t>–</w:t>
      </w:r>
      <w:r>
        <w:t xml:space="preserve"> apt show &lt;package name&gt;</w:t>
      </w:r>
    </w:p>
    <w:p>
      <w:pPr>
        <w:pStyle w:val="Para 02"/>
      </w:pPr>
      <w:r>
        <w:t>Or how to check what package versions are available:</w:t>
      </w:r>
    </w:p>
    <w:p>
      <w:pPr>
        <w:pStyle w:val="Para 06"/>
      </w:pPr>
      <w:r>
        <w:rPr>
          <w:rStyle w:val="Text0"/>
        </w:rPr>
        <w:t>–</w:t>
      </w:r>
      <w:r>
        <w:t xml:space="preserve"> apt policy &lt;package&gt;</w:t>
      </w:r>
    </w:p>
    <w:p>
      <w:pPr>
        <w:pStyle w:val="Para 04"/>
      </w:pPr>
      <w:r>
        <w:t>• How to install packages…</w:t>
      </w:r>
    </w:p>
    <w:p>
      <w:pPr>
        <w:pStyle w:val="Para 06"/>
      </w:pPr>
      <w:r>
        <w:rPr>
          <w:rStyle w:val="Text0"/>
        </w:rPr>
        <w:t>–</w:t>
      </w:r>
      <w:r>
        <w:t xml:space="preserve"> sudo apt install &lt;package1&gt; &lt;package2&gt;</w:t>
      </w:r>
    </w:p>
    <w:p>
      <w:pPr>
        <w:pStyle w:val="Para 04"/>
      </w:pPr>
      <w:r>
        <w:t>• How to see all the files a package contains</w:t>
      </w:r>
    </w:p>
    <w:p>
      <w:pPr>
        <w:pStyle w:val="Para 06"/>
      </w:pPr>
      <w:r>
        <w:rPr>
          <w:rStyle w:val="Text0"/>
        </w:rPr>
        <w:t>–</w:t>
      </w:r>
      <w:r>
        <w:t xml:space="preserve"> dpkg --listfiles &lt;package&gt;</w:t>
      </w:r>
    </w:p>
    <w:p>
      <w:pPr>
        <w:pStyle w:val="Para 04"/>
      </w:pPr>
      <w:r>
        <w:t>• How to find out what package a file belongs to:</w:t>
      </w:r>
    </w:p>
    <w:p>
      <w:pPr>
        <w:pStyle w:val="Para 06"/>
      </w:pPr>
      <w:r>
        <w:rPr>
          <w:rStyle w:val="Text0"/>
        </w:rPr>
        <w:t>–</w:t>
      </w:r>
      <w:r>
        <w:t xml:space="preserve"> dpkg --search &lt;path/to/file&gt;</w:t>
      </w:r>
    </w:p>
    <w:p>
      <w:pPr>
        <w:pStyle w:val="Para 04"/>
      </w:pPr>
      <w:r>
        <w:t>• …And how to remove packages again! As well as the difference between removing and</w:t>
      </w:r>
    </w:p>
    <w:p>
      <w:pPr>
        <w:pStyle w:val="Para 02"/>
      </w:pPr>
      <w:r>
        <w:t>purging.</w:t>
      </w:r>
    </w:p>
    <w:p>
      <w:pPr>
        <w:pStyle w:val="Para 06"/>
      </w:pPr>
      <w:r>
        <w:rPr>
          <w:rStyle w:val="Text0"/>
        </w:rPr>
        <w:t>–</w:t>
      </w:r>
      <w:r>
        <w:t xml:space="preserve"> sudo apt remove &lt;package&gt;</w:t>
      </w:r>
    </w:p>
    <w:p>
      <w:pPr>
        <w:pStyle w:val="Para 04"/>
      </w:pPr>
      <w:r>
        <w:t>• We even learned how to downgrade to older versions of APT packages, and all about</w:t>
      </w:r>
    </w:p>
    <w:p>
      <w:pPr>
        <w:pStyle w:val="Para 02"/>
      </w:pPr>
      <w:r>
        <w:t>APT sources.</w:t>
      </w:r>
    </w:p>
    <w:p>
      <w:pPr>
        <w:pStyle w:val="Para 01"/>
      </w:pPr>
      <w:r>
        <w:t>Customizing package configuration</w:t>
      </w:r>
    </w:p>
    <w:p>
      <w:pPr>
        <w:pStyle w:val="Para 04"/>
      </w:pPr>
      <w:r>
        <w:t>• How to find the conffiles in a package:</w:t>
      </w:r>
    </w:p>
    <w:p>
      <w:pPr>
        <w:pStyle w:val="Para 06"/>
      </w:pPr>
      <w:r>
        <w:rPr>
          <w:rStyle w:val="Text0"/>
        </w:rPr>
        <w:t>–</w:t>
      </w:r>
      <w:r>
        <w:t xml:space="preserve"> dpkg-query --show -f='${Conffiles}\n' &lt;package&gt;</w:t>
      </w:r>
    </w:p>
    <w:p>
      <w:pPr>
        <w:pStyle w:val="Para 04"/>
      </w:pPr>
      <w:r>
        <w:t>• How to see if package files have been changed:</w:t>
      </w:r>
    </w:p>
    <w:p>
      <w:pPr>
        <w:pStyle w:val="Para 06"/>
      </w:pPr>
      <w:r>
        <w:rPr>
          <w:rStyle w:val="Text0"/>
        </w:rPr>
        <w:t>–</w:t>
      </w:r>
      <w:r>
        <w:t xml:space="preserve"> dpkg --verify &lt;package&gt;</w:t>
      </w:r>
    </w:p>
    <w:p>
      <w:pPr>
        <w:pStyle w:val="Para 04"/>
      </w:pPr>
      <w:r>
        <w:t>• …And if a non-conffile has been changed by accident, we can fix it with:</w:t>
      </w:r>
    </w:p>
    <w:p>
      <w:pPr>
        <w:pStyle w:val="Para 06"/>
      </w:pPr>
      <w:r>
        <w:rPr>
          <w:rStyle w:val="Text0"/>
        </w:rPr>
        <w:t>–</w:t>
      </w:r>
      <w:r>
        <w:t xml:space="preserve"> sudo apt install --reinstall &lt;package&gt;</w:t>
      </w:r>
    </w:p>
    <w:p>
      <w:pPr>
        <w:pStyle w:val="Para 04"/>
      </w:pPr>
      <w:r>
        <w:t>• We know that our changes to conffiles are always safely preserved, while changes to</w:t>
      </w:r>
    </w:p>
    <w:p>
      <w:pPr>
        <w:pStyle w:val="Para 02"/>
      </w:pPr>
      <w:r>
        <w:t>non-conffiles are reverted at the next upgrade or security fix.</w:t>
      </w:r>
    </w:p>
    <w:p>
      <w:pPr>
        <w:pStyle w:val="Para 04"/>
      </w:pPr>
      <w:r>
        <w:t>• Importantly, we know how to verify checksums with md5sum or similar tools, which helps</w:t>
      </w:r>
    </w:p>
    <w:p>
      <w:pPr>
        <w:pStyle w:val="Para 02"/>
      </w:pPr>
      <w:r>
        <w:t>us to more safely build packages from source.</w:t>
      </w:r>
    </w:p>
    <w:p>
      <w:pPr>
        <w:pStyle w:val="Para 04"/>
      </w:pPr>
      <w:r>
        <w:t>• And finally, we learned about snaps!</w:t>
      </w:r>
    </w:p>
    <w:p>
      <w:bookmarkStart w:id="62" w:name="page_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 name="index-36_1.png" descr="index-36_1.png"/>
            <wp:cNvGraphicFramePr>
              <a:graphicFrameLocks noChangeAspect="1"/>
            </wp:cNvGraphicFramePr>
            <a:graphic>
              <a:graphicData uri="http://schemas.openxmlformats.org/drawingml/2006/picture">
                <pic:pic>
                  <pic:nvPicPr>
                    <pic:cNvPr id="0" name="index-36_1.png" descr="index-36_1.png"/>
                    <pic:cNvPicPr/>
                  </pic:nvPicPr>
                  <pic:blipFill>
                    <a:blip r:embed="rId40"/>
                    <a:stretch>
                      <a:fillRect/>
                    </a:stretch>
                  </pic:blipFill>
                  <pic:spPr>
                    <a:xfrm>
                      <a:off x="0" y="0"/>
                      <a:ext cx="914400" cy="266700"/>
                    </a:xfrm>
                    <a:prstGeom prst="rect">
                      <a:avLst/>
                    </a:prstGeom>
                  </pic:spPr>
                </pic:pic>
              </a:graphicData>
            </a:graphic>
          </wp:anchor>
        </w:drawing>
      </w:r>
      <w:bookmarkEnd w:id="62"/>
    </w:p>
    <w:p>
      <w:pPr>
        <w:pStyle w:val="Para 01"/>
      </w:pPr>
      <w:r>
        <w:t>Attach your Ubuntu Pro subscription</w:t>
      </w:r>
    </w:p>
    <w:p>
      <w:pPr>
        <w:pStyle w:val="Para 17"/>
      </w:pPr>
      <w:r>
        <w:t/>
      </w:r>
    </w:p>
    <w:p>
      <w:pPr>
        <w:pStyle w:val="Normal"/>
      </w:pPr>
      <w:r>
        <w:t xml:space="preserve">Attaching the </w:t>
      </w:r>
      <w:hyperlink r:id="rId1058">
        <w:r>
          <w:rPr>
            <w:rStyle w:val="Text9"/>
          </w:rPr>
          <w:t>37</w:t>
        </w:r>
      </w:hyperlink>
      <w:r>
        <w:t xml:space="preserve"> </w:t>
      </w:r>
      <w:hyperlink w:anchor="page_36">
        <w:r>
          <w:rPr>
            <w:rStyle w:val="Text9"/>
          </w:rPr>
          <w:t>38</w:t>
        </w:r>
      </w:hyperlink>
      <w:hyperlink w:anchor="page_36">
        <w:r>
          <w:rPr>
            <w:rStyle w:val="Text1"/>
          </w:rPr>
          <w:t xml:space="preserve"> Ubuntu Pro</w:t>
        </w:r>
      </w:hyperlink>
      <w:r>
        <w:t xml:space="preserve"> subscription to Ubuntu brings you the </w:t>
      </w:r>
      <w:hyperlink r:id="rId1063">
        <w:r>
          <w:rPr>
            <w:rStyle w:val="Text1"/>
          </w:rPr>
          <w:t>enterprise lifecycle</w:t>
        </w:r>
      </w:hyperlink>
      <w:r>
        <w:t>, in-</w:t>
      </w:r>
    </w:p>
    <w:p>
      <w:pPr>
        <w:pStyle w:val="Para 18"/>
      </w:pPr>
      <w:r>
        <w:rPr>
          <w:rStyle w:val="Text7"/>
        </w:rPr>
        <w:t xml:space="preserve">cluding </w:t>
      </w:r>
      <w:hyperlink r:id="rId1064">
        <w:r>
          <w:rPr>
            <w:rStyle w:val="Text10"/>
          </w:rPr>
          <w:t>39</w:t>
        </w:r>
      </w:hyperlink>
      <w:r>
        <w:rPr>
          <w:rStyle w:val="Text7"/>
        </w:rPr>
        <w:t xml:space="preserve"> </w:t>
      </w:r>
      <w:hyperlink r:id="rId1065">
        <w:r>
          <w:rPr>
            <w:rStyle w:val="Text10"/>
          </w:rPr>
          <w:t>40</w:t>
        </w:r>
      </w:hyperlink>
      <w:hyperlink r:id="rId1065">
        <w:r>
          <w:t xml:space="preserve"> Linux kernel livepatching</w:t>
        </w:r>
      </w:hyperlink>
      <w:r>
        <w:rPr>
          <w:rStyle w:val="Text7"/>
        </w:rPr>
        <w:t xml:space="preserve"> , access to </w:t>
      </w:r>
      <w:hyperlink r:id="rId1065">
        <w:r>
          <w:t>FIPS-validated packages</w:t>
        </w:r>
      </w:hyperlink>
      <w:r>
        <w:rPr>
          <w:rStyle w:val="Text7"/>
        </w:rPr>
        <w:t xml:space="preserve">, and </w:t>
      </w:r>
      <w:hyperlink r:id="rId1066">
        <w:r>
          <w:t>compliance with</w:t>
        </w:r>
      </w:hyperlink>
    </w:p>
    <w:p>
      <w:pPr>
        <w:pStyle w:val="Normal"/>
      </w:pPr>
      <w:hyperlink r:id="rId1066">
        <w:r>
          <w:rPr>
            <w:rStyle w:val="Text1"/>
          </w:rPr>
          <w:t>security profiles</w:t>
        </w:r>
      </w:hyperlink>
      <w:hyperlink w:anchor="page_36">
        <w:r>
          <w:rPr>
            <w:rStyle w:val="Text9"/>
          </w:rPr>
          <w:t>41</w:t>
        </w:r>
      </w:hyperlink>
      <w:r>
        <w:t xml:space="preserve"> such as CIS or DISA-STIG. This is not required for Ubuntu Pro instances</w:t>
      </w:r>
    </w:p>
    <w:p>
      <w:pPr>
        <w:pStyle w:val="Normal"/>
      </w:pPr>
      <w:hyperlink r:id="rId1067">
        <w:r>
          <w:rPr>
            <w:rStyle w:val="Text1"/>
          </w:rPr>
          <w:t>through public clouds</w:t>
        </w:r>
      </w:hyperlink>
      <w:hyperlink w:anchor="page_36">
        <w:r>
          <w:rPr>
            <w:rStyle w:val="Text9"/>
          </w:rPr>
          <w:t>42</w:t>
        </w:r>
      </w:hyperlink>
      <w:r>
        <w:t xml:space="preserve"> </w:t>
      </w:r>
      <w:hyperlink r:id="rId1068">
        <w:r>
          <w:rPr>
            <w:rStyle w:val="Text9"/>
          </w:rPr>
          <w:t>43</w:t>
        </w:r>
      </w:hyperlink>
      <w:hyperlink r:id="rId1068">
        <w:r>
          <w:rPr>
            <w:rStyle w:val="Text1"/>
          </w:rPr>
          <w:t xml:space="preserve"> </w:t>
        </w:r>
      </w:hyperlink>
      <w:hyperlink r:id="rId1068">
        <w:r>
          <w:rPr>
            <w:rStyle w:val="Text9"/>
          </w:rPr>
          <w:t>44</w:t>
        </w:r>
      </w:hyperlink>
      <w:hyperlink r:id="rId1068">
        <w:r>
          <w:rPr>
            <w:rStyle w:val="Text1"/>
          </w:rPr>
          <w:t xml:space="preserve"> </w:t>
        </w:r>
      </w:hyperlink>
      <w:hyperlink r:id="rId1068">
        <w:r>
          <w:rPr>
            <w:rStyle w:val="Text9"/>
          </w:rPr>
          <w:t>45</w:t>
        </w:r>
      </w:hyperlink>
      <w:r>
        <w:t xml:space="preserve"> such as </w:t>
      </w:r>
      <w:hyperlink r:id="rId1068">
        <w:r>
          <w:rPr>
            <w:rStyle w:val="Text1"/>
          </w:rPr>
          <w:t>AWS</w:t>
        </w:r>
      </w:hyperlink>
      <w:r>
        <w:t xml:space="preserve"> , </w:t>
      </w:r>
      <w:hyperlink r:id="rId1069">
        <w:r>
          <w:rPr>
            <w:rStyle w:val="Text1"/>
          </w:rPr>
          <w:t>Azure</w:t>
        </w:r>
      </w:hyperlink>
      <w:r>
        <w:t xml:space="preserve"> or </w:t>
      </w:r>
      <w:hyperlink r:id="rId1070">
        <w:r>
          <w:rPr>
            <w:rStyle w:val="Text1"/>
          </w:rPr>
          <w:t>GCP</w:t>
        </w:r>
      </w:hyperlink>
      <w:r>
        <w:t>, since these are automatically at-tached from launch.</w:t>
      </w:r>
    </w:p>
    <w:p>
      <w:pPr>
        <w:pStyle w:val="Para 17"/>
      </w:pPr>
      <w:r>
        <w:t/>
      </w:r>
    </w:p>
    <w:p>
      <w:pPr>
        <w:pStyle w:val="Para 08"/>
      </w:pPr>
      <w:r>
        <w:t>Note:</w:t>
      </w:r>
    </w:p>
    <w:p>
      <w:pPr>
        <w:pStyle w:val="Para 03"/>
      </w:pPr>
      <w:r>
        <w:t xml:space="preserve">Subscriptions are not just for enterprise customers. Anyone can get </w:t>
      </w:r>
      <w:hyperlink r:id="rId1058">
        <w:r>
          <w:rPr>
            <w:rStyle w:val="Text1"/>
          </w:rPr>
          <w:t>a personal subscrip-</w:t>
        </w:r>
      </w:hyperlink>
    </w:p>
    <w:p>
      <w:pPr>
        <w:pStyle w:val="Para 03"/>
      </w:pPr>
      <w:hyperlink r:id="rId1058">
        <w:r>
          <w:rPr>
            <w:rStyle w:val="Text1"/>
          </w:rPr>
          <w:t>tion</w:t>
        </w:r>
      </w:hyperlink>
      <w:r>
        <w:t xml:space="preserve"> </w:t>
      </w:r>
      <w:hyperlink w:anchor="page_36">
        <w:r>
          <w:rPr>
            <w:rStyle w:val="Text9"/>
          </w:rPr>
          <w:t>46</w:t>
        </w:r>
      </w:hyperlink>
      <w:r>
        <w:t xml:space="preserve"> for free on up to 5 machines, or 50 if you are an </w:t>
      </w:r>
      <w:hyperlink r:id="rId1071">
        <w:r>
          <w:rPr>
            <w:rStyle w:val="Text1"/>
          </w:rPr>
          <w:t>official Ubuntu Community mem-</w:t>
        </w:r>
      </w:hyperlink>
    </w:p>
    <w:p>
      <w:pPr>
        <w:pStyle w:val="Para 22"/>
      </w:pPr>
      <w:hyperlink r:id="rId1071">
        <w:r>
          <w:t>ber</w:t>
        </w:r>
      </w:hyperlink>
      <w:hyperlink r:id="rId1071">
        <w:r>
          <w:rPr>
            <w:rStyle w:val="Text10"/>
          </w:rPr>
          <w:t>47</w:t>
        </w:r>
      </w:hyperlink>
      <w:r>
        <w:rPr>
          <w:rStyle w:val="Text7"/>
        </w:rPr>
        <w:t>.</w:t>
      </w:r>
    </w:p>
    <w:p>
      <w:pPr>
        <w:pStyle w:val="Para 50"/>
      </w:pPr>
      <w:r>
        <w:rPr>
          <w:rStyle w:val="Text5"/>
        </w:rPr>
        <w:t>46</w:t>
      </w:r>
      <w:r>
        <w:rPr>
          <w:rStyle w:val="Text8"/>
        </w:rPr>
        <w:t xml:space="preserve"> </w:t>
      </w:r>
      <w:r>
        <w:t>https://ubuntu.com/pro</w:t>
      </w:r>
    </w:p>
    <w:p>
      <w:pPr>
        <w:pStyle w:val="Para 50"/>
      </w:pPr>
      <w:r>
        <w:rPr>
          <w:rStyle w:val="Text5"/>
        </w:rPr>
        <w:t>47</w:t>
      </w:r>
      <w:r>
        <w:rPr>
          <w:rStyle w:val="Text8"/>
        </w:rPr>
        <w:t xml:space="preserve"> </w:t>
      </w:r>
      <w:r>
        <w:t>https://wiki.ubuntu.com/Membership</w:t>
      </w:r>
    </w:p>
    <w:p>
      <w:pPr>
        <w:pStyle w:val="Para 17"/>
      </w:pPr>
      <w:r>
        <w:t/>
      </w:r>
    </w:p>
    <w:p>
      <w:pPr>
        <w:pStyle w:val="Normal"/>
      </w:pPr>
      <w:r>
        <w:t>The following instructions explain how to attach your subscription to your Ubuntu systems.</w:t>
      </w:r>
    </w:p>
    <w:p>
      <w:pPr>
        <w:pStyle w:val="Para 17"/>
      </w:pPr>
      <w:r>
        <w:t/>
      </w:r>
    </w:p>
    <w:p>
      <w:pPr>
        <w:pStyle w:val="Para 01"/>
      </w:pPr>
      <w:r>
        <w:t>Step 1: Install the Ubuntu Pro Client</w:t>
      </w:r>
    </w:p>
    <w:p>
      <w:pPr>
        <w:pStyle w:val="Para 17"/>
      </w:pPr>
      <w:r>
        <w:t/>
      </w:r>
    </w:p>
    <w:p>
      <w:pPr>
        <w:pStyle w:val="Normal"/>
      </w:pPr>
      <w:r>
        <w:t>This step is necessary for Ubuntu Pro users or holders of personal subscriptions. If you are an Ubuntu Pro user through a public cloud offering, your subscription is already attached and you can skip these instructions.</w:t>
      </w:r>
    </w:p>
    <w:p>
      <w:pPr>
        <w:pStyle w:val="Normal"/>
      </w:pPr>
      <w:r>
        <w:t>First, make sure that you have the latest version of the Ubuntu Pro Client running. The pack-age used to access the Pro Client (pro) is ubuntu-pro-client:</w:t>
      </w:r>
    </w:p>
    <w:p>
      <w:pPr>
        <w:pStyle w:val="Normal"/>
      </w:pPr>
      <w:r>
        <w:t>sudo apt update</w:t>
        <w:t xml:space="preserve"> </w:t>
        <w:t>&amp;&amp;</w:t>
        <w:t xml:space="preserve"> </w:t>
        <w:t>sudo apt install ubuntu-pro-client</w:t>
      </w:r>
    </w:p>
    <w:p>
      <w:pPr>
        <w:pStyle w:val="Para 17"/>
      </w:pPr>
      <w:r>
        <w:t/>
      </w:r>
    </w:p>
    <w:p>
      <w:pPr>
        <w:pStyle w:val="Normal"/>
      </w:pPr>
      <w:r>
        <w:t>Most systems will have ubuntu-pro-client installed by default. If that is the case, this install command will upgrade the package to the latest version.</w:t>
      </w:r>
    </w:p>
    <w:p>
      <w:pPr>
        <w:pStyle w:val="Para 17"/>
      </w:pPr>
      <w:r>
        <w:t/>
      </w:r>
    </w:p>
    <w:p>
      <w:pPr>
        <w:pStyle w:val="Para 01"/>
      </w:pPr>
      <w:r>
        <w:t>Step 2: Attach your subscription</w:t>
      </w:r>
    </w:p>
    <w:p>
      <w:pPr>
        <w:pStyle w:val="Para 17"/>
      </w:pPr>
      <w:r>
        <w:t/>
      </w:r>
    </w:p>
    <w:p>
      <w:pPr>
        <w:pStyle w:val="Normal"/>
      </w:pPr>
      <w:r>
        <w:t>To attach your machine to a subscription, run the following command in your terminal:</w:t>
      </w:r>
    </w:p>
    <w:p>
      <w:pPr>
        <w:pStyle w:val="Normal"/>
      </w:pPr>
      <w:r>
        <w:t>sudo pro attach</w:t>
      </w:r>
    </w:p>
    <w:p>
      <w:pPr>
        <w:pStyle w:val="Para 05"/>
      </w:pPr>
      <w:r>
        <w:rPr>
          <w:rStyle w:val="Text5"/>
        </w:rPr>
        <w:t>37</w:t>
      </w:r>
      <w:r>
        <w:rPr>
          <w:rStyle w:val="Text8"/>
        </w:rPr>
        <w:t xml:space="preserve"> </w:t>
      </w:r>
      <w:r>
        <w:t>https://ubuntu.com/pro</w:t>
      </w:r>
    </w:p>
    <w:p>
      <w:pPr>
        <w:pStyle w:val="Para 05"/>
      </w:pPr>
      <w:r>
        <w:rPr>
          <w:rStyle w:val="Text5"/>
        </w:rPr>
        <w:t>38</w:t>
      </w:r>
      <w:r>
        <w:rPr>
          <w:rStyle w:val="Text8"/>
        </w:rPr>
        <w:t xml:space="preserve"> </w:t>
      </w:r>
      <w:r>
        <w:t>https://ubuntu.com/about/release-cycle</w:t>
      </w:r>
    </w:p>
    <w:p>
      <w:pPr>
        <w:pStyle w:val="Para 05"/>
      </w:pPr>
      <w:r>
        <w:rPr>
          <w:rStyle w:val="Text5"/>
        </w:rPr>
        <w:t>39</w:t>
      </w:r>
      <w:r>
        <w:rPr>
          <w:rStyle w:val="Text8"/>
        </w:rPr>
        <w:t xml:space="preserve"> </w:t>
      </w:r>
      <w:r>
        <w:t>https://ubuntu.com/security/livepatch</w:t>
      </w:r>
    </w:p>
    <w:p>
      <w:pPr>
        <w:pStyle w:val="Para 05"/>
      </w:pPr>
      <w:r>
        <w:rPr>
          <w:rStyle w:val="Text5"/>
        </w:rPr>
        <w:t>40</w:t>
      </w:r>
      <w:r>
        <w:rPr>
          <w:rStyle w:val="Text8"/>
        </w:rPr>
        <w:t xml:space="preserve"> </w:t>
      </w:r>
      <w:r>
        <w:t>https://documentation.ubuntu.com/security/compliance/fips/</w:t>
      </w:r>
    </w:p>
    <w:p>
      <w:pPr>
        <w:pStyle w:val="Para 05"/>
      </w:pPr>
      <w:r>
        <w:rPr>
          <w:rStyle w:val="Text5"/>
        </w:rPr>
        <w:t>41</w:t>
      </w:r>
      <w:r>
        <w:rPr>
          <w:rStyle w:val="Text8"/>
        </w:rPr>
        <w:t xml:space="preserve"> </w:t>
      </w:r>
      <w:r>
        <w:t>https://ubuntu.com/security/security-standards</w:t>
      </w:r>
    </w:p>
    <w:p>
      <w:pPr>
        <w:pStyle w:val="Para 05"/>
      </w:pPr>
      <w:r>
        <w:rPr>
          <w:rStyle w:val="Text5"/>
        </w:rPr>
        <w:t>42</w:t>
      </w:r>
      <w:r>
        <w:rPr>
          <w:rStyle w:val="Text8"/>
        </w:rPr>
        <w:t xml:space="preserve"> </w:t>
      </w:r>
      <w:r>
        <w:t>https://ubuntu.com/cloud/public-cloud</w:t>
      </w:r>
    </w:p>
    <w:p>
      <w:pPr>
        <w:pStyle w:val="Para 05"/>
      </w:pPr>
      <w:r>
        <w:rPr>
          <w:rStyle w:val="Text5"/>
        </w:rPr>
        <w:t>43</w:t>
      </w:r>
      <w:r>
        <w:rPr>
          <w:rStyle w:val="Text8"/>
        </w:rPr>
        <w:t xml:space="preserve"> </w:t>
      </w:r>
      <w:r>
        <w:t>https://ubuntu.com/aws/pro</w:t>
      </w:r>
    </w:p>
    <w:p>
      <w:pPr>
        <w:pStyle w:val="Para 05"/>
      </w:pPr>
      <w:r>
        <w:rPr>
          <w:rStyle w:val="Text5"/>
        </w:rPr>
        <w:t>44</w:t>
      </w:r>
      <w:r>
        <w:rPr>
          <w:rStyle w:val="Text8"/>
        </w:rPr>
        <w:t xml:space="preserve"> </w:t>
      </w:r>
      <w:r>
        <w:t>https://ubuntu.com/azure/pro</w:t>
      </w:r>
    </w:p>
    <w:p>
      <w:pPr>
        <w:pStyle w:val="Para 05"/>
      </w:pPr>
      <w:r>
        <w:rPr>
          <w:rStyle w:val="Text5"/>
        </w:rPr>
        <w:t>45</w:t>
      </w:r>
      <w:r>
        <w:rPr>
          <w:rStyle w:val="Text8"/>
        </w:rPr>
        <w:t xml:space="preserve"> </w:t>
      </w:r>
      <w:r>
        <w:t>https://ubuntu.com/gcp/pro</w:t>
      </w:r>
    </w:p>
    <w:p>
      <w:bookmarkStart w:id="63" w:name="calibre_pb_13"/>
      <w:pPr>
        <w:pStyle w:val="0 Block"/>
      </w:pPr>
      <w:bookmarkEnd w:id="63"/>
    </w:p>
    <w:p>
      <w:bookmarkStart w:id="64" w:name="Top_of_index_split_014_html"/>
      <w:bookmarkStart w:id="65" w:name="page_3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 name="index-37_1.png" descr="index-37_1.png"/>
            <wp:cNvGraphicFramePr>
              <a:graphicFrameLocks noChangeAspect="1"/>
            </wp:cNvGraphicFramePr>
            <a:graphic>
              <a:graphicData uri="http://schemas.openxmlformats.org/drawingml/2006/picture">
                <pic:pic>
                  <pic:nvPicPr>
                    <pic:cNvPr id="0" name="index-37_1.png" descr="index-37_1.png"/>
                    <pic:cNvPicPr/>
                  </pic:nvPicPr>
                  <pic:blipFill>
                    <a:blip r:embed="rId41"/>
                    <a:stretch>
                      <a:fillRect/>
                    </a:stretch>
                  </pic:blipFill>
                  <pic:spPr>
                    <a:xfrm>
                      <a:off x="0" y="0"/>
                      <a:ext cx="914400" cy="266700"/>
                    </a:xfrm>
                    <a:prstGeom prst="rect">
                      <a:avLst/>
                    </a:prstGeom>
                  </pic:spPr>
                </pic:pic>
              </a:graphicData>
            </a:graphic>
          </wp:anchor>
        </w:drawing>
      </w:r>
      <w:bookmarkEnd w:id="64"/>
      <w:bookmarkEnd w:id="65"/>
    </w:p>
    <w:p>
      <w:pPr>
        <w:pStyle w:val="Para 08"/>
      </w:pPr>
      <w:r>
        <w:t>Note:</w:t>
      </w:r>
    </w:p>
    <w:p>
      <w:pPr>
        <w:pStyle w:val="Para 03"/>
      </w:pPr>
      <w:r>
        <w:t>For users who need to attach many systems or automate the process, as in many enterprise</w:t>
      </w:r>
    </w:p>
    <w:p>
      <w:pPr>
        <w:pStyle w:val="Para 03"/>
      </w:pPr>
      <w:r>
        <w:t>scenarios, there are parameters to the attach command to help you. Please check the</w:t>
      </w:r>
    </w:p>
    <w:p>
      <w:pPr>
        <w:pStyle w:val="Para 22"/>
      </w:pPr>
      <w:r>
        <w:rPr>
          <w:rStyle w:val="Text7"/>
        </w:rPr>
        <w:t xml:space="preserve">Ubuntu Pro documentation for </w:t>
      </w:r>
      <w:hyperlink w:anchor="page_37">
        <w:r>
          <w:rPr>
            <w:rStyle w:val="Text10"/>
          </w:rPr>
          <w:t>48</w:t>
        </w:r>
      </w:hyperlink>
      <w:r>
        <w:rPr>
          <w:rStyle w:val="Text7"/>
        </w:rPr>
        <w:t xml:space="preserve"> </w:t>
      </w:r>
      <w:hyperlink r:id="rId1072">
        <w:r>
          <w:t>attaching your system with a configuration file</w:t>
        </w:r>
      </w:hyperlink>
    </w:p>
    <w:p>
      <w:pPr>
        <w:pStyle w:val="Para 41"/>
      </w:pPr>
      <w:r>
        <w:rPr>
          <w:rStyle w:val="Text5"/>
        </w:rPr>
        <w:t>48</w:t>
      </w:r>
      <w:r>
        <w:rPr>
          <w:rStyle w:val="Text8"/>
        </w:rPr>
        <w:t xml:space="preserve"> </w:t>
      </w:r>
      <w:r>
        <w:t>https://documentation.ubuntu.com/pro-client/en/latest/howtoguides/how_to_attach_with_config_</w:t>
      </w:r>
    </w:p>
    <w:p>
      <w:pPr>
        <w:pStyle w:val="Para 05"/>
      </w:pPr>
      <w:r>
        <w:t>file/</w:t>
      </w:r>
    </w:p>
    <w:p>
      <w:pPr>
        <w:pStyle w:val="Para 17"/>
      </w:pPr>
      <w:r>
        <w:t/>
      </w:r>
    </w:p>
    <w:p>
      <w:pPr>
        <w:pStyle w:val="Normal"/>
      </w:pPr>
      <w:r>
        <w:t>After running the command, you should see output like this, giving you a link and a code:</w:t>
      </w:r>
    </w:p>
    <w:p>
      <w:pPr>
        <w:pStyle w:val="Normal"/>
      </w:pPr>
      <w:r>
        <w:t>ubuntu@test:~$ sudo pro attach</w:t>
      </w:r>
    </w:p>
    <w:p>
      <w:pPr>
        <w:pStyle w:val="Normal"/>
      </w:pPr>
      <w:r>
        <w:t>Initiating attach operation...</w:t>
      </w:r>
    </w:p>
    <w:p>
      <w:pPr>
        <w:pStyle w:val="Normal"/>
      </w:pPr>
      <w:r>
        <w:t>Please sign</w:t>
        <w:t xml:space="preserve"> </w:t>
      </w:r>
      <w:r>
        <w:rPr>
          <w:rStyle w:val="Text0"/>
        </w:rPr>
        <w:t>in</w:t>
      </w:r>
      <w:r>
        <w:t xml:space="preserve"> </w:t>
        <w:t>to your Ubuntu Pro account at this link:</w:t>
        <w:t xml:space="preserve"> </w:t>
        <w:t>https://ubuntu.com/pro/attach</w:t>
      </w:r>
    </w:p>
    <w:p>
      <w:pPr>
        <w:pStyle w:val="Normal"/>
      </w:pPr>
      <w:r>
        <w:t>And provide the following code: H31JIV</w:t>
      </w:r>
    </w:p>
    <w:p>
      <w:pPr>
        <w:pStyle w:val="Para 17"/>
      </w:pPr>
      <w:r>
        <w:t/>
      </w:r>
    </w:p>
    <w:p>
      <w:pPr>
        <w:pStyle w:val="Normal"/>
      </w:pPr>
      <w:r>
        <w:t>Open the link without closing your terminal window.</w:t>
      </w:r>
    </w:p>
    <w:p>
      <w:pPr>
        <w:pStyle w:val="Normal"/>
      </w:pPr>
      <w:r>
        <w:t>In the field that asks you to enter your code, copy and paste the code shown in the terminal. Then, choose which subscription you want to attach to. By default, the Free Personal Token will be selected.</w:t>
      </w:r>
    </w:p>
    <w:p>
      <w:pPr>
        <w:pStyle w:val="Normal"/>
      </w:pPr>
      <w:r>
        <w:t>If you have a paid subscription and want to attach to a different token, you may want to log in first so that your additional tokens will appear.</w:t>
      </w:r>
    </w:p>
    <w:p>
      <w:pPr>
        <w:pStyle w:val="Normal"/>
      </w:pPr>
      <w:r>
        <w:t>Once you have pasted your code and chosen the subscription you want to attach your ma-chine to, click on the “Submit” button.</w:t>
      </w:r>
    </w:p>
    <w:p>
      <w:pPr>
        <w:pStyle w:val="Normal"/>
      </w:pPr>
      <w:r>
        <w:t>The attach process will then continue in the terminal window, and you should eventually be presented with the following message:</w:t>
      </w:r>
    </w:p>
    <w:p>
      <w:pPr>
        <w:pStyle w:val="Normal"/>
      </w:pPr>
      <w:r>
        <w:t>Attaching the machine</w:t>
        <w:t>...</w:t>
      </w:r>
    </w:p>
    <w:p>
      <w:pPr>
        <w:pStyle w:val="Normal"/>
      </w:pPr>
      <w:r>
        <w:t>Enabling Ubuntu Pro: ESM Apps</w:t>
      </w:r>
    </w:p>
    <w:p>
      <w:pPr>
        <w:pStyle w:val="Normal"/>
      </w:pPr>
      <w:r>
        <w:t>Ubuntu Pro: ESM Apps enabled</w:t>
      </w:r>
    </w:p>
    <w:p>
      <w:pPr>
        <w:pStyle w:val="Normal"/>
      </w:pPr>
      <w:r>
        <w:t>Enabling Ubuntu Pro: ESM Infra</w:t>
      </w:r>
    </w:p>
    <w:p>
      <w:pPr>
        <w:pStyle w:val="Normal"/>
      </w:pPr>
      <w:r>
        <w:t>Ubuntu Pro: ESM Infra enabled</w:t>
      </w:r>
    </w:p>
    <w:p>
      <w:pPr>
        <w:pStyle w:val="Normal"/>
      </w:pPr>
      <w:r>
        <w:t>Enabling Livepatch</w:t>
      </w:r>
    </w:p>
    <w:p>
      <w:pPr>
        <w:pStyle w:val="Normal"/>
      </w:pPr>
      <w:r>
        <w:t>Livepatch enabled</w:t>
      </w:r>
    </w:p>
    <w:p>
      <w:pPr>
        <w:pStyle w:val="Normal"/>
      </w:pPr>
      <w:r>
        <w:t>This machine</w:t>
        <w:t xml:space="preserve"> </w:t>
      </w:r>
      <w:r>
        <w:rPr>
          <w:rStyle w:val="Text0"/>
        </w:rPr>
        <w:t>is</w:t>
      </w:r>
      <w:r>
        <w:t xml:space="preserve"> </w:t>
        <w:t>now attached to</w:t>
        <w:t xml:space="preserve"> </w:t>
        <w:t>'Ubuntu Pro - free personal subscription'</w:t>
      </w:r>
    </w:p>
    <w:p>
      <w:pPr>
        <w:pStyle w:val="Para 17"/>
      </w:pPr>
      <w:r>
        <w:t/>
      </w:r>
    </w:p>
    <w:p>
      <w:pPr>
        <w:pStyle w:val="Normal"/>
      </w:pPr>
      <w:r>
        <w:t>When the machine has successfully been attached, you will also see a summary of which ser-vices are enabled and information about your subscription.</w:t>
      </w:r>
    </w:p>
    <w:p>
      <w:pPr>
        <w:pStyle w:val="Normal"/>
      </w:pPr>
      <w:r>
        <w:t>Available services can be enabled or disabled on the command line with pro enable &lt;service name&gt; and pro disable &lt;service name&gt; after you have attached.</w:t>
      </w:r>
    </w:p>
    <w:p>
      <w:bookmarkStart w:id="66" w:name="calibre_pb_14"/>
      <w:pPr>
        <w:pStyle w:val="0 Block"/>
      </w:pPr>
      <w:bookmarkEnd w:id="66"/>
    </w:p>
    <w:p>
      <w:bookmarkStart w:id="67" w:name="Top_of_index_split_015_html"/>
      <w:bookmarkStart w:id="68" w:name="page_3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42"/>
                    <a:stretch>
                      <a:fillRect/>
                    </a:stretch>
                  </pic:blipFill>
                  <pic:spPr>
                    <a:xfrm>
                      <a:off x="0" y="0"/>
                      <a:ext cx="914400" cy="266700"/>
                    </a:xfrm>
                    <a:prstGeom prst="rect">
                      <a:avLst/>
                    </a:prstGeom>
                  </pic:spPr>
                </pic:pic>
              </a:graphicData>
            </a:graphic>
          </wp:anchor>
        </w:drawing>
      </w:r>
      <w:bookmarkEnd w:id="67"/>
      <w:bookmarkEnd w:id="68"/>
    </w:p>
    <w:p>
      <w:pPr>
        <w:pStyle w:val="Para 01"/>
      </w:pPr>
      <w:r>
        <w:t>Next steps</w:t>
      </w:r>
    </w:p>
    <w:p>
      <w:pPr>
        <w:pStyle w:val="Para 17"/>
      </w:pPr>
      <w:r>
        <w:t/>
      </w:r>
    </w:p>
    <w:p>
      <w:pPr>
        <w:pStyle w:val="Para 04"/>
      </w:pPr>
      <w:r>
        <w:t xml:space="preserve">• For more information about the Ubuntu Pro Client, you can </w:t>
      </w:r>
      <w:hyperlink r:id="rId1073">
        <w:r>
          <w:rPr>
            <w:rStyle w:val="Text9"/>
          </w:rPr>
          <w:t>49</w:t>
        </w:r>
      </w:hyperlink>
      <w:hyperlink r:id="rId1073">
        <w:r>
          <w:rPr>
            <w:rStyle w:val="Text1"/>
          </w:rPr>
          <w:t xml:space="preserve"> read our documentation</w:t>
        </w:r>
      </w:hyperlink>
      <w:r>
        <w:t>.</w:t>
      </w:r>
    </w:p>
    <w:p>
      <w:pPr>
        <w:pStyle w:val="Para 04"/>
      </w:pPr>
      <w:r>
        <w:t>• For a guided tour through the most commonly-used commands available through the</w:t>
      </w:r>
    </w:p>
    <w:p>
      <w:pPr>
        <w:pStyle w:val="Para 32"/>
      </w:pPr>
      <w:r>
        <w:rPr>
          <w:rStyle w:val="Text7"/>
        </w:rPr>
        <w:t xml:space="preserve">Ubuntu Pro Client, </w:t>
      </w:r>
      <w:hyperlink r:id="rId1074">
        <w:r>
          <w:rPr>
            <w:rStyle w:val="Text10"/>
          </w:rPr>
          <w:t>50</w:t>
        </w:r>
      </w:hyperlink>
      <w:hyperlink r:id="rId1074">
        <w:r>
          <w:t xml:space="preserve"> check out this tutorial</w:t>
        </w:r>
      </w:hyperlink>
      <w:r>
        <w:rPr>
          <w:rStyle w:val="Text7"/>
        </w:rPr>
        <w:t>.</w:t>
      </w:r>
    </w:p>
    <w:p>
      <w:pPr>
        <w:pStyle w:val="Para 17"/>
      </w:pPr>
      <w:r>
        <w:t/>
      </w:r>
    </w:p>
    <w:p>
      <w:pPr>
        <w:pStyle w:val="Para 37"/>
      </w:pPr>
      <w:r>
        <w:t>3.2. Ubuntu Server how-to guides</w:t>
      </w:r>
    </w:p>
    <w:p>
      <w:pPr>
        <w:pStyle w:val="Normal"/>
      </w:pPr>
      <w:r>
        <w:t>If you have a specific goal, but are already familiar with Ubuntu Server, our how-to guides have more in-depth detail than our tutorials and can be applied to a broader set of applications. They’ll help you achieve an end result but may require you to understand and adapt the steps to fit your specific requirements.</w:t>
      </w:r>
    </w:p>
    <w:p>
      <w:pPr>
        <w:pStyle w:val="Para 24"/>
      </w:pPr>
      <w:r>
        <w:t>3.2.1. Server installation</w:t>
      </w:r>
    </w:p>
    <w:p>
      <w:pPr>
        <w:pStyle w:val="Normal"/>
      </w:pPr>
      <w:r>
        <w:t xml:space="preserve">Our list of </w:t>
      </w:r>
      <w:hyperlink w:anchor="page_38">
        <w:r>
          <w:rPr>
            <w:rStyle w:val="Text2"/>
          </w:rPr>
          <w:t>installation guides</w:t>
        </w:r>
      </w:hyperlink>
      <w:r>
        <w:t xml:space="preserve"> (page 37) contains installation instructions for a variety of architecture-specific and advanced setups. For a general installation, or if you’re just get-</w:t>
      </w:r>
    </w:p>
    <w:p>
      <w:pPr>
        <w:pStyle w:val="Normal"/>
      </w:pPr>
      <w:r>
        <w:t xml:space="preserve">ting started with Ubuntu, you may prefer to use our </w:t>
      </w:r>
      <w:hyperlink w:anchor="page_9">
        <w:r>
          <w:rPr>
            <w:rStyle w:val="Text2"/>
          </w:rPr>
          <w:t>basic installation</w:t>
        </w:r>
      </w:hyperlink>
      <w:r>
        <w:t xml:space="preserve"> (page 8) tutorial.</w:t>
      </w:r>
    </w:p>
    <w:p>
      <w:pPr>
        <w:pStyle w:val="Para 17"/>
      </w:pPr>
      <w:r>
        <w:t/>
      </w:r>
    </w:p>
    <w:p>
      <w:pPr>
        <w:pStyle w:val="Para 01"/>
      </w:pPr>
      <w:r>
        <w:t>Server installation</w:t>
      </w:r>
    </w:p>
    <w:p>
      <w:pPr>
        <w:pStyle w:val="Para 17"/>
      </w:pPr>
      <w:r>
        <w:t/>
      </w:r>
    </w:p>
    <w:p>
      <w:pPr>
        <w:pStyle w:val="Normal"/>
      </w:pPr>
      <w:r>
        <w:t xml:space="preserve">If you are new to Ubuntu, we recommend our </w:t>
      </w:r>
      <w:hyperlink w:anchor="page_9">
        <w:r>
          <w:rPr>
            <w:rStyle w:val="Text2"/>
          </w:rPr>
          <w:t>basic installation</w:t>
        </w:r>
      </w:hyperlink>
      <w:r>
        <w:t xml:space="preserve"> (page 8) tutorial to get you started.</w:t>
      </w:r>
    </w:p>
    <w:p>
      <w:pPr>
        <w:pStyle w:val="Para 17"/>
      </w:pPr>
      <w:r>
        <w:t/>
      </w:r>
    </w:p>
    <w:p>
      <w:pPr>
        <w:pStyle w:val="Para 01"/>
      </w:pPr>
      <w:r>
        <w:t>Automatic install</w:t>
      </w:r>
    </w:p>
    <w:p>
      <w:pPr>
        <w:pStyle w:val="Para 17"/>
      </w:pPr>
      <w:r>
        <w:t/>
      </w:r>
    </w:p>
    <w:p>
      <w:pPr>
        <w:pStyle w:val="Normal"/>
      </w:pPr>
      <w:r>
        <w:t>The Ubuntu Installer has its own documentation for automatic (or “hands off”) installations. These guides from the Ubuntu Installer documentation are available for automatic installa-tions.</w:t>
      </w:r>
    </w:p>
    <w:p>
      <w:pPr>
        <w:pStyle w:val="Para 13"/>
      </w:pPr>
      <w:r>
        <w:rPr>
          <w:rStyle w:val="Text7"/>
        </w:rPr>
        <w:t xml:space="preserve">• </w:t>
      </w:r>
      <w:hyperlink r:id="rId1075">
        <w:r>
          <w:rPr>
            <w:rStyle w:val="Text10"/>
          </w:rPr>
          <w:t>51</w:t>
        </w:r>
      </w:hyperlink>
      <w:hyperlink r:id="rId1075">
        <w:r>
          <w:t xml:space="preserve"> Introduction to Automated Server installer</w:t>
        </w:r>
      </w:hyperlink>
    </w:p>
    <w:p>
      <w:pPr>
        <w:pStyle w:val="Para 13"/>
      </w:pPr>
      <w:r>
        <w:rPr>
          <w:rStyle w:val="Text7"/>
        </w:rPr>
        <w:t xml:space="preserve">• </w:t>
      </w:r>
      <w:hyperlink w:anchor="page_38">
        <w:r>
          <w:rPr>
            <w:rStyle w:val="Text10"/>
          </w:rPr>
          <w:t>52</w:t>
        </w:r>
      </w:hyperlink>
      <w:r>
        <w:rPr>
          <w:rStyle w:val="Text7"/>
        </w:rPr>
        <w:t xml:space="preserve"> </w:t>
      </w:r>
      <w:hyperlink r:id="rId1076">
        <w:r>
          <w:t>Autoinstall quickstart</w:t>
        </w:r>
      </w:hyperlink>
    </w:p>
    <w:p>
      <w:pPr>
        <w:pStyle w:val="Para 13"/>
      </w:pPr>
      <w:r>
        <w:rPr>
          <w:rStyle w:val="Text7"/>
        </w:rPr>
        <w:t xml:space="preserve">• </w:t>
      </w:r>
      <w:hyperlink w:anchor="page_38">
        <w:r>
          <w:rPr>
            <w:rStyle w:val="Text10"/>
          </w:rPr>
          <w:t>53</w:t>
        </w:r>
      </w:hyperlink>
      <w:r>
        <w:rPr>
          <w:rStyle w:val="Text7"/>
        </w:rPr>
        <w:t xml:space="preserve"> </w:t>
      </w:r>
      <w:hyperlink r:id="rId1077">
        <w:r>
          <w:t>Autoinstall quickstart on s390x</w:t>
        </w:r>
      </w:hyperlink>
    </w:p>
    <w:p>
      <w:pPr>
        <w:pStyle w:val="Para 05"/>
      </w:pPr>
      <w:r>
        <w:rPr>
          <w:rStyle w:val="Text5"/>
        </w:rPr>
        <w:t>49</w:t>
      </w:r>
      <w:r>
        <w:rPr>
          <w:rStyle w:val="Text8"/>
        </w:rPr>
        <w:t xml:space="preserve"> </w:t>
      </w:r>
      <w:r>
        <w:t>https://documentation.ubuntu.com/pro-client/en/latest/</w:t>
      </w:r>
    </w:p>
    <w:p>
      <w:pPr>
        <w:pStyle w:val="Para 05"/>
      </w:pPr>
      <w:r>
        <w:rPr>
          <w:rStyle w:val="Text5"/>
        </w:rPr>
        <w:t>50</w:t>
      </w:r>
      <w:r>
        <w:rPr>
          <w:rStyle w:val="Text8"/>
        </w:rPr>
        <w:t xml:space="preserve"> </w:t>
      </w:r>
      <w:r>
        <w:t>https://documentation.ubuntu.com/pro-client/en/latest/tutorials/basic_commands/</w:t>
      </w:r>
    </w:p>
    <w:p>
      <w:pPr>
        <w:pStyle w:val="Para 05"/>
      </w:pPr>
      <w:r>
        <w:rPr>
          <w:rStyle w:val="Text5"/>
        </w:rPr>
        <w:t>51</w:t>
      </w:r>
      <w:r>
        <w:rPr>
          <w:rStyle w:val="Text8"/>
        </w:rPr>
        <w:t xml:space="preserve"> </w:t>
      </w:r>
      <w:r>
        <w:t>https://canonical-subiquity.readthedocs-hosted.com/en/latest/intro-to-autoinstall.html</w:t>
      </w:r>
    </w:p>
    <w:p>
      <w:pPr>
        <w:pStyle w:val="Para 05"/>
      </w:pPr>
      <w:r>
        <w:rPr>
          <w:rStyle w:val="Text5"/>
        </w:rPr>
        <w:t>52</w:t>
      </w:r>
      <w:r>
        <w:rPr>
          <w:rStyle w:val="Text8"/>
        </w:rPr>
        <w:t xml:space="preserve"> </w:t>
      </w:r>
      <w:r>
        <w:t>https://canonical-subiquity.readthedocs-hosted.com/en/latest/howto/autoinstall-quickstart.html</w:t>
      </w:r>
    </w:p>
    <w:p>
      <w:pPr>
        <w:pStyle w:val="Para 05"/>
      </w:pPr>
      <w:r>
        <w:rPr>
          <w:rStyle w:val="Text5"/>
        </w:rPr>
        <w:t>53</w:t>
      </w:r>
      <w:r>
        <w:rPr>
          <w:rStyle w:val="Text8"/>
        </w:rPr>
        <w:t xml:space="preserve"> </w:t>
      </w:r>
      <w:r>
        <w:t>https://canonical-subiquity.readthedocs-hosted.com/en/latest/howto/autoinstall-quickstart-s390x.html</w:t>
      </w:r>
    </w:p>
    <w:p>
      <w:bookmarkStart w:id="69" w:name="calibre_pb_15"/>
      <w:pPr>
        <w:pStyle w:val="0 Block"/>
      </w:pPr>
      <w:bookmarkEnd w:id="69"/>
    </w:p>
    <w:p>
      <w:bookmarkStart w:id="70" w:name="Top_of_index_split_016_html"/>
      <w:bookmarkStart w:id="71" w:name="page_3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 name="index-39_1.png" descr="index-39_1.png"/>
            <wp:cNvGraphicFramePr>
              <a:graphicFrameLocks noChangeAspect="1"/>
            </wp:cNvGraphicFramePr>
            <a:graphic>
              <a:graphicData uri="http://schemas.openxmlformats.org/drawingml/2006/picture">
                <pic:pic>
                  <pic:nvPicPr>
                    <pic:cNvPr id="0" name="index-39_1.png" descr="index-39_1.png"/>
                    <pic:cNvPicPr/>
                  </pic:nvPicPr>
                  <pic:blipFill>
                    <a:blip r:embed="rId43"/>
                    <a:stretch>
                      <a:fillRect/>
                    </a:stretch>
                  </pic:blipFill>
                  <pic:spPr>
                    <a:xfrm>
                      <a:off x="0" y="0"/>
                      <a:ext cx="914400" cy="266700"/>
                    </a:xfrm>
                    <a:prstGeom prst="rect">
                      <a:avLst/>
                    </a:prstGeom>
                  </pic:spPr>
                </pic:pic>
              </a:graphicData>
            </a:graphic>
          </wp:anchor>
        </w:drawing>
      </w:r>
      <w:bookmarkEnd w:id="70"/>
      <w:bookmarkEnd w:id="71"/>
    </w:p>
    <w:p>
      <w:pPr>
        <w:pStyle w:val="Para 01"/>
      </w:pPr>
      <w:r>
        <w:t>Advanced install</w:t>
      </w:r>
    </w:p>
    <w:p>
      <w:pPr>
        <w:pStyle w:val="Para 17"/>
      </w:pPr>
      <w:r>
        <w:t/>
      </w:r>
    </w:p>
    <w:p>
      <w:pPr>
        <w:pStyle w:val="Normal"/>
      </w:pPr>
      <w:r>
        <w:t>This list of guides contains installation instructions for architecture-specific and more ad-vanced setups. Select your preferred architecture to see which guides are available.</w:t>
      </w:r>
    </w:p>
    <w:p>
      <w:pPr>
        <w:pStyle w:val="Para 17"/>
      </w:pPr>
      <w:r>
        <w:t/>
      </w:r>
    </w:p>
    <w:p>
      <w:pPr>
        <w:pStyle w:val="Para 01"/>
      </w:pPr>
      <w:r>
        <w:t>amd64</w:t>
      </w:r>
    </w:p>
    <w:p>
      <w:pPr>
        <w:pStyle w:val="Para 17"/>
      </w:pPr>
      <w:r>
        <w:t/>
      </w:r>
    </w:p>
    <w:p>
      <w:pPr>
        <w:pStyle w:val="Para 14"/>
      </w:pPr>
      <w:r>
        <w:rPr>
          <w:rStyle w:val="Text4"/>
        </w:rPr>
        <w:t xml:space="preserve">• </w:t>
      </w:r>
      <w:hyperlink w:anchor="page_39">
        <w:r>
          <w:t>Netboot install</w:t>
        </w:r>
      </w:hyperlink>
      <w:r>
        <w:rPr>
          <w:rStyle w:val="Text4"/>
        </w:rPr>
        <w:t xml:space="preserve"> (page 38)</w:t>
      </w:r>
    </w:p>
    <w:p>
      <w:pPr>
        <w:pStyle w:val="Para 17"/>
      </w:pPr>
      <w:r>
        <w:t/>
      </w:r>
    </w:p>
    <w:p>
      <w:pPr>
        <w:pStyle w:val="Para 01"/>
      </w:pPr>
      <w:r>
        <w:t>arm64</w:t>
      </w:r>
    </w:p>
    <w:p>
      <w:pPr>
        <w:pStyle w:val="Para 17"/>
      </w:pPr>
      <w:r>
        <w:t/>
      </w:r>
    </w:p>
    <w:p>
      <w:pPr>
        <w:pStyle w:val="Para 14"/>
      </w:pPr>
      <w:r>
        <w:rPr>
          <w:rStyle w:val="Text4"/>
        </w:rPr>
        <w:t xml:space="preserve">• </w:t>
      </w:r>
      <w:hyperlink w:anchor="page_43">
        <w:r>
          <w:t>Netboot install</w:t>
        </w:r>
      </w:hyperlink>
      <w:r>
        <w:rPr>
          <w:rStyle w:val="Text4"/>
        </w:rPr>
        <w:t xml:space="preserve"> (page 42)</w:t>
      </w:r>
    </w:p>
    <w:p>
      <w:pPr>
        <w:pStyle w:val="Para 14"/>
      </w:pPr>
      <w:r>
        <w:rPr>
          <w:rStyle w:val="Text4"/>
        </w:rPr>
        <w:t xml:space="preserve">• </w:t>
      </w:r>
      <w:hyperlink w:anchor="page_47">
        <w:r>
          <w:t>Choose between the arm64 and arm64+largemem installer options</w:t>
        </w:r>
      </w:hyperlink>
      <w:r>
        <w:rPr>
          <w:rStyle w:val="Text4"/>
        </w:rPr>
        <w:t xml:space="preserve"> (page 46)</w:t>
      </w:r>
    </w:p>
    <w:p>
      <w:pPr>
        <w:pStyle w:val="Para 17"/>
      </w:pPr>
      <w:r>
        <w:t/>
      </w:r>
    </w:p>
    <w:p>
      <w:pPr>
        <w:pStyle w:val="Para 01"/>
      </w:pPr>
      <w:r>
        <w:t>ppc64el</w:t>
      </w:r>
    </w:p>
    <w:p>
      <w:pPr>
        <w:pStyle w:val="Para 17"/>
      </w:pPr>
      <w:r>
        <w:t/>
      </w:r>
    </w:p>
    <w:p>
      <w:pPr>
        <w:pStyle w:val="Para 14"/>
      </w:pPr>
      <w:r>
        <w:rPr>
          <w:rStyle w:val="Text4"/>
        </w:rPr>
        <w:t xml:space="preserve">• </w:t>
      </w:r>
      <w:hyperlink w:anchor="page_49">
        <w:r>
          <w:t>Netboot install</w:t>
        </w:r>
      </w:hyperlink>
      <w:r>
        <w:rPr>
          <w:rStyle w:val="Text4"/>
        </w:rPr>
        <w:t xml:space="preserve"> (page 48)</w:t>
      </w:r>
    </w:p>
    <w:p>
      <w:pPr>
        <w:pStyle w:val="Para 14"/>
      </w:pPr>
      <w:r>
        <w:rPr>
          <w:rStyle w:val="Text4"/>
        </w:rPr>
        <w:t xml:space="preserve">• </w:t>
      </w:r>
      <w:hyperlink w:anchor="page_54">
        <w:r>
          <w:t>Virtual CD-ROM and Petitboot install</w:t>
        </w:r>
      </w:hyperlink>
      <w:r>
        <w:rPr>
          <w:rStyle w:val="Text4"/>
        </w:rPr>
        <w:t xml:space="preserve"> (page 53)</w:t>
      </w:r>
    </w:p>
    <w:p>
      <w:pPr>
        <w:pStyle w:val="Para 17"/>
      </w:pPr>
      <w:r>
        <w:t/>
      </w:r>
    </w:p>
    <w:p>
      <w:pPr>
        <w:pStyle w:val="Para 01"/>
      </w:pPr>
      <w:r>
        <w:t>s390x</w:t>
      </w:r>
    </w:p>
    <w:p>
      <w:pPr>
        <w:pStyle w:val="Para 17"/>
      </w:pPr>
      <w:r>
        <w:t/>
      </w:r>
    </w:p>
    <w:p>
      <w:pPr>
        <w:pStyle w:val="Para 14"/>
      </w:pPr>
      <w:r>
        <w:rPr>
          <w:rStyle w:val="Text4"/>
        </w:rPr>
        <w:t xml:space="preserve">• </w:t>
      </w:r>
      <w:hyperlink w:anchor="page_60">
        <w:r>
          <w:t>Install via z/VM</w:t>
        </w:r>
      </w:hyperlink>
      <w:r>
        <w:rPr>
          <w:rStyle w:val="Text4"/>
        </w:rPr>
        <w:t xml:space="preserve"> (page 59)</w:t>
      </w:r>
    </w:p>
    <w:p>
      <w:pPr>
        <w:pStyle w:val="Para 14"/>
      </w:pPr>
      <w:r>
        <w:rPr>
          <w:rStyle w:val="Text4"/>
        </w:rPr>
        <w:t xml:space="preserve">• </w:t>
      </w:r>
      <w:hyperlink w:anchor="page_76">
        <w:r>
          <w:t>Non-interactive IBM z/VM autoinstall</w:t>
        </w:r>
      </w:hyperlink>
      <w:r>
        <w:rPr>
          <w:rStyle w:val="Text4"/>
        </w:rPr>
        <w:t xml:space="preserve"> (page 75)</w:t>
      </w:r>
    </w:p>
    <w:p>
      <w:pPr>
        <w:pStyle w:val="Para 14"/>
      </w:pPr>
      <w:r>
        <w:rPr>
          <w:rStyle w:val="Text4"/>
        </w:rPr>
        <w:t xml:space="preserve">• </w:t>
      </w:r>
      <w:hyperlink w:anchor="page_84">
        <w:r>
          <w:t>Install via LPAR</w:t>
        </w:r>
      </w:hyperlink>
      <w:r>
        <w:rPr>
          <w:rStyle w:val="Text4"/>
        </w:rPr>
        <w:t xml:space="preserve"> (page 83)</w:t>
      </w:r>
    </w:p>
    <w:p>
      <w:pPr>
        <w:pStyle w:val="Para 14"/>
      </w:pPr>
      <w:r>
        <w:rPr>
          <w:rStyle w:val="Text4"/>
        </w:rPr>
        <w:t xml:space="preserve">• </w:t>
      </w:r>
      <w:hyperlink w:anchor="page_103">
        <w:r>
          <w:t>Non-interactive IBM Z LPAR autoinstall</w:t>
        </w:r>
      </w:hyperlink>
      <w:r>
        <w:rPr>
          <w:rStyle w:val="Text4"/>
        </w:rPr>
        <w:t xml:space="preserve"> (page 102)</w:t>
      </w:r>
    </w:p>
    <w:p>
      <w:pPr>
        <w:pStyle w:val="Para 17"/>
      </w:pPr>
      <w:r>
        <w:t/>
      </w:r>
    </w:p>
    <w:p>
      <w:pPr>
        <w:pStyle w:val="Para 01"/>
      </w:pPr>
      <w:r>
        <w:t>See also</w:t>
      </w:r>
    </w:p>
    <w:p>
      <w:pPr>
        <w:pStyle w:val="Para 17"/>
      </w:pPr>
      <w:r>
        <w:t/>
      </w:r>
    </w:p>
    <w:p>
      <w:pPr>
        <w:pStyle w:val="Para 04"/>
      </w:pPr>
      <w:r>
        <w:t xml:space="preserve">• Reference: </w:t>
      </w:r>
      <w:hyperlink w:anchor="page_719">
        <w:r>
          <w:rPr>
            <w:rStyle w:val="Text2"/>
          </w:rPr>
          <w:t>System requirements</w:t>
        </w:r>
      </w:hyperlink>
      <w:r>
        <w:t xml:space="preserve"> (page 718)</w:t>
      </w:r>
    </w:p>
    <w:p>
      <w:pPr>
        <w:pStyle w:val="Para 17"/>
      </w:pPr>
      <w:r>
        <w:t/>
      </w:r>
    </w:p>
    <w:p>
      <w:pPr>
        <w:pStyle w:val="Para 01"/>
      </w:pPr>
      <w:r>
        <w:t>How to netboot the server installer on amd64</w:t>
      </w:r>
    </w:p>
    <w:p>
      <w:pPr>
        <w:pStyle w:val="Para 17"/>
      </w:pPr>
      <w:r>
        <w:t/>
      </w:r>
    </w:p>
    <w:p>
      <w:pPr>
        <w:pStyle w:val="Normal"/>
      </w:pPr>
      <w:hyperlink w:anchor="page_669">
        <w:r>
          <w:rPr>
            <w:rStyle w:val="Text2"/>
          </w:rPr>
          <w:t>amd</w:t>
        </w:r>
      </w:hyperlink>
      <w:r>
        <w:t xml:space="preserve"> 64 systems boot in either UEFI or legacy (“BIOS”) mode, and many systems can be con-</w:t>
      </w:r>
    </w:p>
    <w:p>
      <w:pPr>
        <w:pStyle w:val="Normal"/>
      </w:pPr>
      <w:r>
        <w:t xml:space="preserve">figured to boot in either mode. The precise details depend on the system </w:t>
      </w:r>
      <w:hyperlink w:anchor="page_684">
        <w:r>
          <w:rPr>
            <w:rStyle w:val="Text2"/>
          </w:rPr>
          <w:t>firmware</w:t>
        </w:r>
      </w:hyperlink>
      <w:r>
        <w:t>, but both modes usually support the “Preboot eXecution Environment” (PXE) specification, which al-lows the provisioning of a bootloader over the network.</w:t>
      </w:r>
    </w:p>
    <w:p>
      <w:bookmarkStart w:id="72" w:name="calibre_pb_16"/>
      <w:pPr>
        <w:pStyle w:val="0 Block"/>
      </w:pPr>
      <w:bookmarkEnd w:id="72"/>
    </w:p>
    <w:p>
      <w:bookmarkStart w:id="73" w:name="page_40"/>
      <w:bookmarkStart w:id="74" w:name="Top_of_index_split_01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 name="index-40_1.png" descr="index-40_1.png"/>
            <wp:cNvGraphicFramePr>
              <a:graphicFrameLocks noChangeAspect="1"/>
            </wp:cNvGraphicFramePr>
            <a:graphic>
              <a:graphicData uri="http://schemas.openxmlformats.org/drawingml/2006/picture">
                <pic:pic>
                  <pic:nvPicPr>
                    <pic:cNvPr id="0" name="index-40_1.png" descr="index-40_1.png"/>
                    <pic:cNvPicPr/>
                  </pic:nvPicPr>
                  <pic:blipFill>
                    <a:blip r:embed="rId44"/>
                    <a:stretch>
                      <a:fillRect/>
                    </a:stretch>
                  </pic:blipFill>
                  <pic:spPr>
                    <a:xfrm>
                      <a:off x="0" y="0"/>
                      <a:ext cx="914400" cy="266700"/>
                    </a:xfrm>
                    <a:prstGeom prst="rect">
                      <a:avLst/>
                    </a:prstGeom>
                  </pic:spPr>
                </pic:pic>
              </a:graphicData>
            </a:graphic>
          </wp:anchor>
        </w:drawing>
      </w:r>
      <w:bookmarkEnd w:id="73"/>
      <w:bookmarkEnd w:id="74"/>
    </w:p>
    <w:p>
      <w:pPr>
        <w:pStyle w:val="Para 01"/>
      </w:pPr>
      <w:r>
        <w:t>Steps needed</w:t>
      </w:r>
    </w:p>
    <w:p>
      <w:pPr>
        <w:pStyle w:val="Para 17"/>
      </w:pPr>
      <w:r>
        <w:t/>
      </w:r>
    </w:p>
    <w:p>
      <w:pPr>
        <w:pStyle w:val="Normal"/>
      </w:pPr>
      <w:r>
        <w:t>The process for network booting the live server installer is similar for both modes and goes like this:</w:t>
      </w:r>
    </w:p>
    <w:p>
      <w:pPr>
        <w:pStyle w:val="Para 03"/>
      </w:pPr>
      <w:r>
        <w:t>1. The to-be-installed machine boots, and is directed to network boot.</w:t>
      </w:r>
    </w:p>
    <w:p>
      <w:pPr>
        <w:pStyle w:val="Para 03"/>
      </w:pPr>
      <w:r>
        <w:t xml:space="preserve">2. The </w:t>
      </w:r>
      <w:hyperlink w:anchor="page_678">
        <w:r>
          <w:rPr>
            <w:rStyle w:val="Text2"/>
          </w:rPr>
          <w:t>DHCP</w:t>
        </w:r>
      </w:hyperlink>
      <w:r>
        <w:t>/BOOTP server tells the machine its network configuration and where to get</w:t>
      </w:r>
    </w:p>
    <w:p>
      <w:pPr>
        <w:pStyle w:val="Para 02"/>
      </w:pPr>
      <w:r>
        <w:t>the bootloader.</w:t>
      </w:r>
    </w:p>
    <w:p>
      <w:pPr>
        <w:pStyle w:val="Para 03"/>
      </w:pPr>
      <w:r>
        <w:t>3. The machine’s firmware downloads the bootloader over TFTP and executes it.</w:t>
      </w:r>
    </w:p>
    <w:p>
      <w:pPr>
        <w:pStyle w:val="Para 03"/>
      </w:pPr>
      <w:r>
        <w:t>4. The bootloader downloads configuration, also over TFTP, telling it where to download</w:t>
      </w:r>
    </w:p>
    <w:p>
      <w:pPr>
        <w:pStyle w:val="Para 02"/>
      </w:pPr>
      <w:r>
        <w:t>the kernel, RAM Disk and kernel command line to use.</w:t>
      </w:r>
    </w:p>
    <w:p>
      <w:pPr>
        <w:pStyle w:val="Para 03"/>
      </w:pPr>
      <w:r>
        <w:t>5. The RAM Disk looks at the kernel command line to learn how to configure the network</w:t>
      </w:r>
    </w:p>
    <w:p>
      <w:pPr>
        <w:pStyle w:val="Para 02"/>
      </w:pPr>
      <w:r>
        <w:t>and where to download the server ISO from.</w:t>
      </w:r>
    </w:p>
    <w:p>
      <w:pPr>
        <w:pStyle w:val="Para 03"/>
      </w:pPr>
      <w:r>
        <w:t>6. The RAM Disk downloads the ISO and mounts it as a loop device.</w:t>
      </w:r>
    </w:p>
    <w:p>
      <w:pPr>
        <w:pStyle w:val="Para 03"/>
      </w:pPr>
      <w:r>
        <w:t>7. From this point on the install follows the same path as if the ISO were on a local block</w:t>
      </w:r>
    </w:p>
    <w:p>
      <w:pPr>
        <w:pStyle w:val="Para 02"/>
      </w:pPr>
      <w:r>
        <w:t>device.</w:t>
      </w:r>
    </w:p>
    <w:p>
      <w:pPr>
        <w:pStyle w:val="Normal"/>
      </w:pPr>
      <w:r>
        <w:t xml:space="preserve">The difference between UEFI and legacy modes is that in UEFI mode the bootloader is an </w:t>
      </w:r>
      <w:hyperlink w:anchor="page_681">
        <w:r>
          <w:rPr>
            <w:rStyle w:val="Text2"/>
          </w:rPr>
          <w:t>EFI</w:t>
        </w:r>
      </w:hyperlink>
    </w:p>
    <w:p>
      <w:pPr>
        <w:pStyle w:val="Normal"/>
      </w:pPr>
      <w:r>
        <w:t xml:space="preserve">executable, signed so that it is accepted by Secure Boot, and in legacy mode it is </w:t>
      </w:r>
      <w:hyperlink r:id="rId1078">
        <w:r>
          <w:rPr>
            <w:rStyle w:val="Text9"/>
          </w:rPr>
          <w:t>54</w:t>
        </w:r>
      </w:hyperlink>
      <w:hyperlink r:id="rId1078">
        <w:r>
          <w:rPr>
            <w:rStyle w:val="Text1"/>
          </w:rPr>
          <w:t xml:space="preserve"> PXELINUX</w:t>
        </w:r>
      </w:hyperlink>
      <w:r>
        <w:t>. Most DHCP/BOOTP servers can be configured to serve the right bootloader to a particular machine.</w:t>
      </w:r>
    </w:p>
    <w:p>
      <w:pPr>
        <w:pStyle w:val="Para 17"/>
      </w:pPr>
      <w:r>
        <w:t/>
      </w:r>
    </w:p>
    <w:p>
      <w:pPr>
        <w:pStyle w:val="Para 01"/>
      </w:pPr>
      <w:r>
        <w:t>Configure DHCP/BOOTP and TFTP</w:t>
      </w:r>
    </w:p>
    <w:p>
      <w:pPr>
        <w:pStyle w:val="Para 17"/>
      </w:pPr>
      <w:r>
        <w:t/>
      </w:r>
    </w:p>
    <w:p>
      <w:pPr>
        <w:pStyle w:val="Normal"/>
      </w:pPr>
      <w:r>
        <w:t>There are several implementations of the DHCP/BOOTP and TFTP protocols available. This</w:t>
      </w:r>
    </w:p>
    <w:p>
      <w:pPr>
        <w:pStyle w:val="Normal"/>
      </w:pPr>
      <w:r>
        <w:t xml:space="preserve">document describes how to configure </w:t>
      </w:r>
      <w:hyperlink w:anchor="page_679">
        <w:r>
          <w:rPr>
            <w:rStyle w:val="Text2"/>
          </w:rPr>
          <w:t>dnsmasq</w:t>
        </w:r>
      </w:hyperlink>
      <w:r>
        <w:t xml:space="preserve"> to perform both of these roles.</w:t>
      </w:r>
    </w:p>
    <w:p>
      <w:pPr>
        <w:pStyle w:val="Para 04"/>
      </w:pPr>
      <w:r>
        <w:t>• Install dnsmasq with:</w:t>
      </w:r>
    </w:p>
    <w:p>
      <w:pPr>
        <w:pStyle w:val="Para 02"/>
      </w:pPr>
      <w:r>
        <w:t>sudo apt install dnsmasq</w:t>
      </w:r>
    </w:p>
    <w:p>
      <w:pPr>
        <w:pStyle w:val="Para 17"/>
      </w:pPr>
      <w:r>
        <w:t/>
      </w:r>
    </w:p>
    <w:p>
      <w:pPr>
        <w:pStyle w:val="Para 04"/>
      </w:pPr>
      <w:r>
        <w:t>• Put something like this in /etc/dnsmasq.d/pxe.conf:</w:t>
      </w:r>
    </w:p>
    <w:p>
      <w:pPr>
        <w:pStyle w:val="Para 02"/>
      </w:pPr>
      <w:r>
        <w:t>interface</w:t>
        <w:t>=&lt;</w:t>
        <w:t>your interface</w:t>
        <w:t>&gt;</w:t>
        <w:t>,lo</w:t>
      </w:r>
    </w:p>
    <w:p>
      <w:pPr>
        <w:pStyle w:val="Para 02"/>
      </w:pPr>
      <w:r>
        <w:t>bind</w:t>
        <w:t>-</w:t>
        <w:t>interfaces</w:t>
      </w:r>
    </w:p>
    <w:p>
      <w:pPr>
        <w:pStyle w:val="Para 02"/>
      </w:pPr>
      <w:r>
        <w:t>dhcp</w:t>
        <w:t>-</w:t>
        <w:t>range</w:t>
        <w:t>=&lt;</w:t>
        <w:t>your interface</w:t>
        <w:t>&gt;</w:t>
        <w:t>,</w:t>
        <w:t>192.168.0.100</w:t>
        <w:t>,</w:t>
        <w:t>192.168.0.200</w:t>
        <w:t xml:space="preserve"> </w:t>
        <w:t>dhcp</w:t>
        <w:t>-</w:t>
        <w:t>boot</w:t>
        <w:t>=</w:t>
        <w:t>pxelinux</w:t>
        <w:t>.0</w:t>
      </w:r>
    </w:p>
    <w:p>
      <w:pPr>
        <w:pStyle w:val="Para 02"/>
      </w:pPr>
      <w:r>
        <w:t>dhcp</w:t>
        <w:t>-</w:t>
        <w:t>match</w:t>
        <w:t>=</w:t>
        <w:t>set</w:t>
        <w:t>:efi</w:t>
        <w:t>-</w:t>
        <w:t>x86_64,option:client</w:t>
        <w:t>-</w:t>
        <w:t>arch,</w:t>
        <w:t>7</w:t>
        <w:t xml:space="preserve"> </w:t>
        <w:t>dhcp</w:t>
        <w:t>-</w:t>
        <w:t>boot</w:t>
        <w:t>=</w:t>
        <w:t>tag:efi</w:t>
        <w:t>-</w:t>
        <w:t>x86_64,bootx64</w:t>
        <w:t>.</w:t>
        <w:t>efi</w:t>
        <w:t xml:space="preserve"> </w:t>
        <w:t>enable</w:t>
        <w:t>-</w:t>
        <w:t>tftp</w:t>
      </w:r>
    </w:p>
    <w:p>
      <w:pPr>
        <w:pStyle w:val="Para 02"/>
      </w:pPr>
      <w:r>
        <w:t>tftp</w:t>
        <w:t>-</w:t>
        <w:t>root</w:t>
        <w:t>=/</w:t>
        <w:t>srv</w:t>
        <w:t>/</w:t>
        <w:t>tftp</w:t>
      </w:r>
    </w:p>
    <w:p>
      <w:pPr>
        <w:pStyle w:val="Para 17"/>
      </w:pPr>
      <w:r>
        <w:t/>
      </w:r>
    </w:p>
    <w:p>
      <w:pPr>
        <w:pStyle w:val="Para 08"/>
      </w:pPr>
      <w:r>
        <w:t>Note:</w:t>
      </w:r>
    </w:p>
    <w:p>
      <w:pPr>
        <w:pStyle w:val="Para 03"/>
      </w:pPr>
      <w:r>
        <w:t>This assumes several things about your network; read man dnsmasq or the default /etc/</w:t>
      </w:r>
    </w:p>
    <w:p>
      <w:pPr>
        <w:pStyle w:val="Para 03"/>
      </w:pPr>
      <w:r>
        <w:t>dnsmasq.conf for many more options.</w:t>
      </w:r>
    </w:p>
    <w:p>
      <w:pPr>
        <w:pStyle w:val="Para 17"/>
      </w:pPr>
      <w:r>
        <w:t/>
      </w:r>
    </w:p>
    <w:p>
      <w:pPr>
        <w:pStyle w:val="Para 04"/>
      </w:pPr>
      <w:r>
        <w:t>• Restart dnsmasq with:</w:t>
      </w:r>
    </w:p>
    <w:p>
      <w:pPr>
        <w:pStyle w:val="Para 05"/>
      </w:pPr>
      <w:r>
        <w:rPr>
          <w:rStyle w:val="Text5"/>
        </w:rPr>
        <w:t>54</w:t>
      </w:r>
      <w:r>
        <w:rPr>
          <w:rStyle w:val="Text8"/>
        </w:rPr>
        <w:t xml:space="preserve"> </w:t>
      </w:r>
      <w:r>
        <w:t>https://wiki.syslinux.org/wiki/index.php?title=PXELINUX</w:t>
      </w:r>
    </w:p>
    <w:p>
      <w:bookmarkStart w:id="75" w:name="page_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 name="index-41_1.png" descr="index-41_1.png"/>
            <wp:cNvGraphicFramePr>
              <a:graphicFrameLocks noChangeAspect="1"/>
            </wp:cNvGraphicFramePr>
            <a:graphic>
              <a:graphicData uri="http://schemas.openxmlformats.org/drawingml/2006/picture">
                <pic:pic>
                  <pic:nvPicPr>
                    <pic:cNvPr id="0" name="index-41_1.png" descr="index-41_1.png"/>
                    <pic:cNvPicPr/>
                  </pic:nvPicPr>
                  <pic:blipFill>
                    <a:blip r:embed="rId45"/>
                    <a:stretch>
                      <a:fillRect/>
                    </a:stretch>
                  </pic:blipFill>
                  <pic:spPr>
                    <a:xfrm>
                      <a:off x="0" y="0"/>
                      <a:ext cx="914400" cy="266700"/>
                    </a:xfrm>
                    <a:prstGeom prst="rect">
                      <a:avLst/>
                    </a:prstGeom>
                  </pic:spPr>
                </pic:pic>
              </a:graphicData>
            </a:graphic>
          </wp:anchor>
        </w:drawing>
      </w:r>
      <w:bookmarkEnd w:id="75"/>
    </w:p>
    <w:p>
      <w:pPr>
        <w:pStyle w:val="Para 02"/>
      </w:pPr>
      <w:r>
        <w:t>sudo systemctl restart dnsmasq</w:t>
        <w:t>.</w:t>
        <w:t>service</w:t>
      </w:r>
    </w:p>
    <w:p>
      <w:pPr>
        <w:pStyle w:val="Para 17"/>
      </w:pPr>
      <w:r>
        <w:t/>
      </w:r>
    </w:p>
    <w:p>
      <w:pPr>
        <w:pStyle w:val="Para 04"/>
      </w:pPr>
      <w:r>
        <w:t>• Install TFTP</w:t>
      </w:r>
    </w:p>
    <w:p>
      <w:pPr>
        <w:pStyle w:val="Normal"/>
      </w:pPr>
      <w:r>
        <w:t>$ sudo apt install tftpd-hpa</w:t>
      </w:r>
    </w:p>
    <w:p>
      <w:pPr>
        <w:pStyle w:val="Para 17"/>
      </w:pPr>
      <w:r>
        <w:t/>
      </w:r>
    </w:p>
    <w:p>
      <w:pPr>
        <w:pStyle w:val="Normal"/>
      </w:pPr>
      <w:r>
        <w:t>If the installation is successful, check that the corresponding TFTP service is active using this command:</w:t>
      </w:r>
    </w:p>
    <w:p>
      <w:pPr>
        <w:pStyle w:val="Normal"/>
      </w:pPr>
      <w:r>
        <w:t>$ systemctl status tftpd-hpa.service</w:t>
      </w:r>
    </w:p>
    <w:p>
      <w:pPr>
        <w:pStyle w:val="Para 17"/>
      </w:pPr>
      <w:r>
        <w:t/>
      </w:r>
    </w:p>
    <w:p>
      <w:pPr>
        <w:pStyle w:val="Normal"/>
      </w:pPr>
      <w:r>
        <w:t xml:space="preserve">It is expected to show </w:t>
      </w:r>
      <w:r>
        <w:rPr>
          <w:rStyle w:val="Text0"/>
        </w:rPr>
        <w:t>active (running)</w:t>
      </w:r>
      <w:r>
        <w:t xml:space="preserve"> in the output messages. We will also assume your TFTP root path is /srv/tftp for the remainder of this guide.</w:t>
      </w:r>
    </w:p>
    <w:p>
      <w:pPr>
        <w:pStyle w:val="Para 17"/>
      </w:pPr>
      <w:r>
        <w:t/>
      </w:r>
    </w:p>
    <w:p>
      <w:pPr>
        <w:pStyle w:val="Para 01"/>
      </w:pPr>
      <w:r>
        <w:t>Mode-independent set up</w:t>
      </w:r>
    </w:p>
    <w:p>
      <w:pPr>
        <w:pStyle w:val="Para 17"/>
      </w:pPr>
      <w:r>
        <w:t/>
      </w:r>
    </w:p>
    <w:p>
      <w:pPr>
        <w:pStyle w:val="Para 04"/>
      </w:pPr>
      <w:r>
        <w:t>• Download the latest live server ISO for the release you want to install:</w:t>
      </w:r>
    </w:p>
    <w:p>
      <w:pPr>
        <w:pStyle w:val="Para 17"/>
      </w:pPr>
      <w:r>
        <w:t>wget http:</w:t>
        <w:t>//</w:t>
        <w:t>cdimage</w:t>
        <w:t>.</w:t>
        <w:t>ubuntu</w:t>
        <w:t>.</w:t>
        <w:t>com</w:t>
        <w:t>/</w:t>
        <w:t>ubuntu</w:t>
        <w:t>-</w:t>
        <w:t>server</w:t>
        <w:t>/</w:t>
        <w:t>noble</w:t>
        <w:t>/</w:t>
        <w:t>daily</w:t>
        <w:t>-</w:t>
        <w:t>live</w:t>
        <w:t>/</w:t>
        <w:t>current</w:t>
        <w:t>/</w:t>
        <w:t>noble</w:t>
        <w:t>-</w:t>
        <w:t>live</w:t>
        <w:t>-</w:t>
        <w:t>server</w:t>
        <w:t>-</w:t>
        <w:t>amd64</w:t>
        <w:t>.</w:t>
        <w:t>iso</w:t>
      </w:r>
    </w:p>
    <w:p>
      <w:pPr>
        <w:pStyle w:val="Para 17"/>
      </w:pPr>
      <w:r>
        <w:t/>
      </w:r>
    </w:p>
    <w:p>
      <w:pPr>
        <w:pStyle w:val="Para 04"/>
      </w:pPr>
      <w:r>
        <w:t>• Mount it:</w:t>
      </w:r>
    </w:p>
    <w:p>
      <w:pPr>
        <w:pStyle w:val="Para 02"/>
      </w:pPr>
      <w:r>
        <w:t>sudo mount noble</w:t>
        <w:t>-</w:t>
        <w:t>live</w:t>
        <w:t>-</w:t>
        <w:t>server</w:t>
        <w:t>-</w:t>
        <w:t>amd64</w:t>
        <w:t>.</w:t>
        <w:t>iso</w:t>
        <w:t xml:space="preserve"> </w:t>
        <w:t>/</w:t>
        <w:t>mnt</w:t>
      </w:r>
    </w:p>
    <w:p>
      <w:pPr>
        <w:pStyle w:val="Para 17"/>
      </w:pPr>
      <w:r>
        <w:t/>
      </w:r>
    </w:p>
    <w:p>
      <w:pPr>
        <w:pStyle w:val="Para 04"/>
      </w:pPr>
      <w:r>
        <w:t>• Copy the kernel and initrd from it to the TFTP directory served by dnsmasq:</w:t>
      </w:r>
    </w:p>
    <w:p>
      <w:pPr>
        <w:pStyle w:val="Para 02"/>
      </w:pPr>
      <w:r>
        <w:t>sudo cp</w:t>
        <w:t xml:space="preserve"> </w:t>
        <w:t>/</w:t>
        <w:t>mnt</w:t>
        <w:t>/</w:t>
        <w:t>casper</w:t>
        <w:t>/</w:t>
        <w:t>{vmlinuz,initrd}</w:t>
        <w:t xml:space="preserve"> </w:t>
        <w:t>/</w:t>
        <w:t>srv</w:t>
        <w:t>/</w:t>
        <w:t>tftp</w:t>
        <w:t>/</w:t>
      </w:r>
    </w:p>
    <w:p>
      <w:pPr>
        <w:pStyle w:val="Para 17"/>
      </w:pPr>
      <w:r>
        <w:t/>
      </w:r>
    </w:p>
    <w:p>
      <w:pPr>
        <w:pStyle w:val="Para 01"/>
      </w:pPr>
      <w:r>
        <w:t>Set up the files for UEFI booting</w:t>
      </w:r>
    </w:p>
    <w:p>
      <w:pPr>
        <w:pStyle w:val="Para 17"/>
      </w:pPr>
      <w:r>
        <w:t/>
      </w:r>
    </w:p>
    <w:p>
      <w:pPr>
        <w:pStyle w:val="Para 04"/>
      </w:pPr>
      <w:r>
        <w:t>• Copy the signed shim binary into place:</w:t>
      </w:r>
    </w:p>
    <w:p>
      <w:pPr>
        <w:pStyle w:val="Para 02"/>
      </w:pPr>
      <w:r>
        <w:t>apt download shim</w:t>
        <w:t>-</w:t>
        <w:t>signed</w:t>
      </w:r>
    </w:p>
    <w:p>
      <w:pPr>
        <w:pStyle w:val="Para 02"/>
      </w:pPr>
      <w:r>
        <w:t>dpkg</w:t>
        <w:t>-</w:t>
        <w:t>deb</w:t>
        <w:t>--</w:t>
        <w:t>fsys</w:t>
        <w:t>-</w:t>
        <w:t>tarfile shim</w:t>
        <w:t>-</w:t>
        <w:t>signed</w:t>
        <w:t>*</w:t>
        <w:t>deb</w:t>
        <w:t xml:space="preserve"> </w:t>
        <w:t>|</w:t>
        <w:t xml:space="preserve"> </w:t>
        <w:t>tar x</w:t>
        <w:t xml:space="preserve"> </w:t>
        <w:t>./</w:t>
        <w:t>usr</w:t>
        <w:t>/</w:t>
        <w:t>lib</w:t>
        <w:t>/</w:t>
        <w:t>shim</w:t>
        <w:t>/</w:t>
        <w:t>shimx64</w:t>
        <w:t>.</w:t>
        <w:t>efi</w:t>
        <w:t>.</w:t>
        <w:t>signed</w:t>
        <w:t>.</w:t>
        <w:t xml:space="preserve"> </w:t>
        <w:t>latest</w:t>
        <w:t>-</w:t>
        <w:t>O</w:t>
        <w:t xml:space="preserve"> </w:t>
        <w:t>|</w:t>
        <w:t xml:space="preserve"> </w:t>
        <w:t>sudo tee</w:t>
        <w:t xml:space="preserve"> </w:t>
        <w:t>/</w:t>
        <w:t>srv</w:t>
        <w:t>/</w:t>
        <w:t>tftp</w:t>
        <w:t>/</w:t>
        <w:t>bootx64</w:t>
        <w:t>.</w:t>
        <w:t>efi</w:t>
        <w:t xml:space="preserve"> </w:t>
        <w:t>&gt;/</w:t>
        <w:t>dev</w:t>
        <w:t>/</w:t>
        <w:t>null</w:t>
      </w:r>
    </w:p>
    <w:p>
      <w:pPr>
        <w:pStyle w:val="Para 17"/>
      </w:pPr>
      <w:r>
        <w:t/>
      </w:r>
    </w:p>
    <w:p>
      <w:pPr>
        <w:pStyle w:val="Para 04"/>
      </w:pPr>
      <w:r>
        <w:t>• Copy the signed GRUB binary into place:</w:t>
      </w:r>
    </w:p>
    <w:p>
      <w:pPr>
        <w:pStyle w:val="Para 02"/>
      </w:pPr>
      <w:r>
        <w:t>apt download grub</w:t>
        <w:t>-</w:t>
        <w:t>efi</w:t>
        <w:t>-</w:t>
        <w:t>amd64</w:t>
        <w:t>-</w:t>
        <w:t>signed</w:t>
        <w:t xml:space="preserve"> </w:t>
        <w:t>dpkg</w:t>
        <w:t>-</w:t>
        <w:t>deb</w:t>
        <w:t>--</w:t>
        <w:t>fsys</w:t>
        <w:t>-</w:t>
        <w:t>tarfile grub</w:t>
        <w:t>-</w:t>
        <w:t>efi</w:t>
        <w:t>-</w:t>
        <w:t>amd64</w:t>
        <w:t>-</w:t>
        <w:t>signed</w:t>
        <w:t>*</w:t>
        <w:t>deb</w:t>
        <w:t xml:space="preserve"> </w:t>
        <w:t>|</w:t>
        <w:t xml:space="preserve"> </w:t>
        <w:t>tar x</w:t>
        <w:t xml:space="preserve"> </w:t>
        <w:t>./</w:t>
        <w:t>usr</w:t>
        <w:t>/</w:t>
        <w:t>lib</w:t>
        <w:t>/</w:t>
        <w:t>grub</w:t>
        <w:t>/</w:t>
        <w:t>x86_64</w:t>
        <w:t>-</w:t>
        <w:t>efi</w:t>
        <w:t>-</w:t>
        <w:t>signed</w:t>
        <w:t>/</w:t>
        <w:t>grubnetx64</w:t>
        <w:t>.</w:t>
        <w:t>efi</w:t>
        <w:t>.</w:t>
        <w:t>signed</w:t>
        <w:t>-</w:t>
        <w:t>O</w:t>
        <w:t xml:space="preserve"> </w:t>
        <w:t>|</w:t>
        <w:t xml:space="preserve"> </w:t>
        <w:t>sudo tee</w:t>
        <w:t xml:space="preserve"> </w:t>
        <w:t>/</w:t>
        <w:t>srv</w:t>
        <w:t>/</w:t>
        <w:t>tftp</w:t>
        <w:t>/</w:t>
        <w:t>grubx64</w:t>
        <w:t>.</w:t>
        <w:t>efi</w:t>
        <w:t xml:space="preserve"> </w:t>
        <w:t>&gt;/</w:t>
        <w:t>dev</w:t>
        <w:t>/</w:t>
        <w:t>null</w:t>
      </w:r>
    </w:p>
    <w:p>
      <w:pPr>
        <w:pStyle w:val="Para 17"/>
      </w:pPr>
      <w:r>
        <w:t/>
      </w:r>
    </w:p>
    <w:p>
      <w:pPr>
        <w:pStyle w:val="Para 04"/>
      </w:pPr>
      <w:r>
        <w:t>• GRUB also needs a font to be available over TFTP:</w:t>
      </w:r>
    </w:p>
    <w:p>
      <w:pPr>
        <w:pStyle w:val="Para 02"/>
      </w:pPr>
      <w:r>
        <w:t>apt download grub</w:t>
        <w:t>-</w:t>
        <w:t>common</w:t>
      </w:r>
    </w:p>
    <w:p>
      <w:pPr>
        <w:pStyle w:val="Para 02"/>
      </w:pPr>
      <w:r>
        <w:t>dpkg</w:t>
        <w:t>-</w:t>
        <w:t>deb</w:t>
        <w:t>--</w:t>
        <w:t>fsys</w:t>
        <w:t>-</w:t>
        <w:t>tarfile grub</w:t>
        <w:t>-</w:t>
        <w:t>common</w:t>
        <w:t>*</w:t>
        <w:t>deb</w:t>
        <w:t xml:space="preserve"> </w:t>
        <w:t>|</w:t>
        <w:t xml:space="preserve"> </w:t>
        <w:t>tar x</w:t>
        <w:t xml:space="preserve"> </w:t>
        <w:t>./</w:t>
        <w:t>usr</w:t>
        <w:t>/</w:t>
        <w:t>share</w:t>
        <w:t>/</w:t>
        <w:t>grub</w:t>
        <w:t>/</w:t>
        <w:t>unicode</w:t>
        <w:t>.</w:t>
        <w:t>pf2</w:t>
        <w:t>-</w:t>
        <w:t>O</w:t>
        <w:t xml:space="preserve"> </w:t>
        <w:t>|</w:t>
        <w:t xml:space="preserve"> </w:t>
        <w:t>sudo tee</w:t>
        <w:t xml:space="preserve"> </w:t>
        <w:t>/</w:t>
        <w:t>srv</w:t>
        <w:t>/</w:t>
        <w:t>tftp</w:t>
        <w:t>/</w:t>
        <w:t>unicode</w:t>
        <w:t>.</w:t>
        <w:t>pf2</w:t>
        <w:t xml:space="preserve"> </w:t>
        <w:t>&gt;/</w:t>
        <w:t>dev</w:t>
        <w:t>/</w:t>
        <w:t>null</w:t>
      </w:r>
    </w:p>
    <w:p>
      <w:pPr>
        <w:pStyle w:val="Para 17"/>
      </w:pPr>
      <w:r>
        <w:t/>
      </w:r>
    </w:p>
    <w:p>
      <w:pPr>
        <w:pStyle w:val="Para 04"/>
      </w:pPr>
      <w:r>
        <w:t>• Create /srv/tftp/grub/grub.cfg that contains:</w:t>
      </w:r>
    </w:p>
    <w:p>
      <w:bookmarkStart w:id="76" w:name="page_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 name="index-42_1.png" descr="index-42_1.png"/>
            <wp:cNvGraphicFramePr>
              <a:graphicFrameLocks noChangeAspect="1"/>
            </wp:cNvGraphicFramePr>
            <a:graphic>
              <a:graphicData uri="http://schemas.openxmlformats.org/drawingml/2006/picture">
                <pic:pic>
                  <pic:nvPicPr>
                    <pic:cNvPr id="0" name="index-42_1.png" descr="index-42_1.png"/>
                    <pic:cNvPicPr/>
                  </pic:nvPicPr>
                  <pic:blipFill>
                    <a:blip r:embed="rId46"/>
                    <a:stretch>
                      <a:fillRect/>
                    </a:stretch>
                  </pic:blipFill>
                  <pic:spPr>
                    <a:xfrm>
                      <a:off x="0" y="0"/>
                      <a:ext cx="914400" cy="266700"/>
                    </a:xfrm>
                    <a:prstGeom prst="rect">
                      <a:avLst/>
                    </a:prstGeom>
                  </pic:spPr>
                </pic:pic>
              </a:graphicData>
            </a:graphic>
          </wp:anchor>
        </w:drawing>
      </w:r>
      <w:bookmarkEnd w:id="76"/>
    </w:p>
    <w:p>
      <w:pPr>
        <w:pStyle w:val="Para 02"/>
      </w:pPr>
      <w:r>
        <w:t>sudo mkdir -p /srv/tftp/grub/</w:t>
      </w:r>
    </w:p>
    <w:p>
      <w:pPr>
        <w:pStyle w:val="Para 02"/>
      </w:pPr>
      <w:r>
        <w:t>sudo tee /srv/tftp/grub/grub.cfg &gt;/dev/null &lt;&lt;EOF</w:t>
      </w:r>
    </w:p>
    <w:p>
      <w:pPr>
        <w:pStyle w:val="Para 02"/>
      </w:pPr>
      <w:r>
        <w:t>set default="0"</w:t>
      </w:r>
    </w:p>
    <w:p>
      <w:pPr>
        <w:pStyle w:val="Para 02"/>
      </w:pPr>
      <w:r>
        <w:t>set timeout=-1</w:t>
      </w:r>
    </w:p>
    <w:p>
      <w:pPr>
        <w:pStyle w:val="Para 02"/>
      </w:pPr>
      <w:r>
        <w:t>if loadfont unicode ; then</w:t>
      </w:r>
    </w:p>
    <w:p>
      <w:pPr>
        <w:pStyle w:val="Para 06"/>
      </w:pPr>
      <w:r>
        <w:t>set gfxmode=auto</w:t>
      </w:r>
    </w:p>
    <w:p>
      <w:pPr>
        <w:pStyle w:val="Para 06"/>
      </w:pPr>
      <w:r>
        <w:t>set locale_dir=$prefix/locale</w:t>
      </w:r>
    </w:p>
    <w:p>
      <w:pPr>
        <w:pStyle w:val="Para 06"/>
      </w:pPr>
      <w:r>
        <w:t>set lang=en_US</w:t>
      </w:r>
    </w:p>
    <w:p>
      <w:pPr>
        <w:pStyle w:val="Para 02"/>
      </w:pPr>
      <w:r>
        <w:t>fi</w:t>
      </w:r>
    </w:p>
    <w:p>
      <w:pPr>
        <w:pStyle w:val="Para 02"/>
      </w:pPr>
      <w:r>
        <w:t>terminal_output gfxterm</w:t>
      </w:r>
    </w:p>
    <w:p>
      <w:pPr>
        <w:pStyle w:val="Para 02"/>
      </w:pPr>
      <w:r>
        <w:t>set menu_color_normal=white/black</w:t>
      </w:r>
    </w:p>
    <w:p>
      <w:pPr>
        <w:pStyle w:val="Para 02"/>
      </w:pPr>
      <w:r>
        <w:t>set menu_color_highlight=black/light-gray</w:t>
      </w:r>
    </w:p>
    <w:p>
      <w:pPr>
        <w:pStyle w:val="Para 02"/>
      </w:pPr>
      <w:r>
        <w:t>if background_color 44,0,30; then</w:t>
      </w:r>
    </w:p>
    <w:p>
      <w:pPr>
        <w:pStyle w:val="Para 06"/>
      </w:pPr>
      <w:r>
        <w:t>clear</w:t>
      </w:r>
    </w:p>
    <w:p>
      <w:pPr>
        <w:pStyle w:val="Para 02"/>
      </w:pPr>
      <w:r>
        <w:t>fi</w:t>
      </w:r>
    </w:p>
    <w:p>
      <w:pPr>
        <w:pStyle w:val="Para 02"/>
      </w:pPr>
      <w:r>
        <w:t>function gfxmode {</w:t>
      </w:r>
    </w:p>
    <w:p>
      <w:pPr>
        <w:pStyle w:val="Para 06"/>
      </w:pPr>
      <w:r>
        <w:t>set gfxpayload="${1}"</w:t>
      </w:r>
    </w:p>
    <w:p>
      <w:pPr>
        <w:pStyle w:val="Para 06"/>
      </w:pPr>
      <w:r>
        <w:t>if [ "${1}" = "keep" ]; then</w:t>
      </w:r>
    </w:p>
    <w:p>
      <w:pPr>
        <w:pStyle w:val="Para 12"/>
      </w:pPr>
      <w:r>
        <w:t>set vt_handoff=vt.handoff=7</w:t>
      </w:r>
    </w:p>
    <w:p>
      <w:pPr>
        <w:pStyle w:val="Para 06"/>
      </w:pPr>
      <w:r>
        <w:t>else</w:t>
      </w:r>
    </w:p>
    <w:p>
      <w:pPr>
        <w:pStyle w:val="Para 12"/>
      </w:pPr>
      <w:r>
        <w:t>set vt_handoff=</w:t>
      </w:r>
    </w:p>
    <w:p>
      <w:pPr>
        <w:pStyle w:val="Para 06"/>
      </w:pPr>
      <w:r>
        <w:t>fi</w:t>
      </w:r>
    </w:p>
    <w:p>
      <w:pPr>
        <w:pStyle w:val="Para 02"/>
      </w:pPr>
      <w:r>
        <w:t>}</w:t>
      </w:r>
    </w:p>
    <w:p>
      <w:pPr>
        <w:pStyle w:val="Para 02"/>
      </w:pPr>
      <w:r>
        <w:t>set linux_gfx_mode=keep</w:t>
      </w:r>
    </w:p>
    <w:p>
      <w:pPr>
        <w:pStyle w:val="Para 02"/>
      </w:pPr>
      <w:r>
        <w:t>export linux_gfx_mode</w:t>
      </w:r>
    </w:p>
    <w:p>
      <w:pPr>
        <w:pStyle w:val="Para 02"/>
      </w:pPr>
      <w:r>
        <w:t>menuentry 'Ubuntu 24.04' {</w:t>
      </w:r>
    </w:p>
    <w:p>
      <w:pPr>
        <w:pStyle w:val="Para 06"/>
      </w:pPr>
      <w:r>
        <w:t>gfxmode $linux_gfx_mode</w:t>
      </w:r>
    </w:p>
    <w:p>
      <w:pPr>
        <w:pStyle w:val="Para 06"/>
      </w:pPr>
      <w:r>
        <w:t>linux /vmlinuz $vt_handoff quiet splash root=/dev/ram0 ramdisk_size=1500000 cloud-</w:t>
      </w:r>
    </w:p>
    <w:p>
      <w:pPr>
        <w:pStyle w:val="Para 02"/>
      </w:pPr>
      <w:r>
        <w:t>config-url=/dev/null ip=dhcp url=http://cdimage.ubuntu.com/ubuntu-server/noble/daily-</w:t>
        <w:t>live/current/noble-live-server-amd64.iso</w:t>
      </w:r>
    </w:p>
    <w:p>
      <w:pPr>
        <w:pStyle w:val="Para 06"/>
      </w:pPr>
      <w:r>
        <w:t>initrd /initrd</w:t>
      </w:r>
    </w:p>
    <w:p>
      <w:pPr>
        <w:pStyle w:val="Para 02"/>
      </w:pPr>
      <w:r>
        <w:t>}</w:t>
      </w:r>
    </w:p>
    <w:p>
      <w:pPr>
        <w:pStyle w:val="Para 02"/>
      </w:pPr>
      <w:r>
        <w:t>EOF</w:t>
      </w:r>
    </w:p>
    <w:p>
      <w:pPr>
        <w:pStyle w:val="Para 17"/>
      </w:pPr>
      <w:r>
        <w:t/>
      </w:r>
    </w:p>
    <w:p>
      <w:pPr>
        <w:pStyle w:val="Para 01"/>
      </w:pPr>
      <w:r>
        <w:t>Set up the files for legacy boot</w:t>
      </w:r>
    </w:p>
    <w:p>
      <w:pPr>
        <w:pStyle w:val="Para 17"/>
      </w:pPr>
      <w:r>
        <w:t/>
      </w:r>
    </w:p>
    <w:p>
      <w:pPr>
        <w:pStyle w:val="Para 04"/>
      </w:pPr>
      <w:r>
        <w:t>• Download pxelinux.0 and put it into place:</w:t>
      </w:r>
    </w:p>
    <w:p>
      <w:pPr>
        <w:pStyle w:val="Para 02"/>
      </w:pPr>
      <w:r>
        <w:t>wget http:</w:t>
        <w:t>//</w:t>
        <w:t>archive</w:t>
        <w:t>.</w:t>
        <w:t>ubuntu</w:t>
        <w:t>.</w:t>
        <w:t>com</w:t>
        <w:t>/</w:t>
        <w:t>ubuntu</w:t>
        <w:t>/</w:t>
        <w:t>dists</w:t>
        <w:t>/</w:t>
        <w:t>focal</w:t>
        <w:t>/</w:t>
        <w:t>main</w:t>
        <w:t>/</w:t>
        <w:t>installer</w:t>
        <w:t>-</w:t>
        <w:t>amd64</w:t>
        <w:t>/</w:t>
        <w:t>current</w:t>
        <w:t>/</w:t>
        <w:t xml:space="preserve"> </w:t>
        <w:t>legacy</w:t>
        <w:t>-</w:t>
        <w:t>images</w:t>
        <w:t>/</w:t>
        <w:t>netboot</w:t>
        <w:t>/</w:t>
        <w:t>pxelinux</w:t>
        <w:t>.0</w:t>
      </w:r>
    </w:p>
    <w:p>
      <w:pPr>
        <w:pStyle w:val="Para 02"/>
      </w:pPr>
      <w:r>
        <w:t>mkdir</w:t>
        <w:t>-</w:t>
        <w:t>p</w:t>
        <w:t xml:space="preserve"> </w:t>
        <w:t>/</w:t>
        <w:t>srv</w:t>
        <w:t>/</w:t>
        <w:t>tftp</w:t>
      </w:r>
    </w:p>
    <w:p>
      <w:pPr>
        <w:pStyle w:val="Para 02"/>
      </w:pPr>
      <w:r>
        <w:t>mv pxelinux</w:t>
        <w:t>.0</w:t>
        <w:t xml:space="preserve"> </w:t>
        <w:t>/</w:t>
        <w:t>srv</w:t>
        <w:t>/</w:t>
        <w:t>tftp</w:t>
        <w:t>/</w:t>
      </w:r>
    </w:p>
    <w:p>
      <w:pPr>
        <w:pStyle w:val="Para 17"/>
      </w:pPr>
      <w:r>
        <w:t/>
      </w:r>
    </w:p>
    <w:p>
      <w:pPr>
        <w:pStyle w:val="Para 04"/>
      </w:pPr>
      <w:r>
        <w:t>• Ensure the syslinux-common package is installed, then:</w:t>
      </w:r>
    </w:p>
    <w:p>
      <w:pPr>
        <w:pStyle w:val="Para 02"/>
      </w:pPr>
      <w:r>
        <w:t>cp</w:t>
        <w:t xml:space="preserve"> </w:t>
        <w:t>/</w:t>
        <w:t>usr</w:t>
        <w:t>/</w:t>
        <w:t>lib</w:t>
        <w:t>/</w:t>
        <w:t>syslinux</w:t>
        <w:t>/</w:t>
        <w:t>modules</w:t>
        <w:t>/</w:t>
        <w:t>bios</w:t>
        <w:t>/</w:t>
        <w:t>ldlinux</w:t>
        <w:t>.</w:t>
        <w:t>c32</w:t>
        <w:t xml:space="preserve"> </w:t>
        <w:t>/</w:t>
        <w:t>srv</w:t>
        <w:t>/</w:t>
        <w:t>tftp</w:t>
        <w:t>/</w:t>
      </w:r>
    </w:p>
    <w:p>
      <w:pPr>
        <w:pStyle w:val="Para 17"/>
      </w:pPr>
      <w:r>
        <w:t/>
      </w:r>
    </w:p>
    <w:p>
      <w:pPr>
        <w:pStyle w:val="Para 04"/>
      </w:pPr>
      <w:r>
        <w:t>• Create /srv/tftp/pxelinux.cfg/default containing:</w:t>
      </w:r>
    </w:p>
    <w:p>
      <w:bookmarkStart w:id="77" w:name="page_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 name="index-43_1.png" descr="index-43_1.png"/>
            <wp:cNvGraphicFramePr>
              <a:graphicFrameLocks noChangeAspect="1"/>
            </wp:cNvGraphicFramePr>
            <a:graphic>
              <a:graphicData uri="http://schemas.openxmlformats.org/drawingml/2006/picture">
                <pic:pic>
                  <pic:nvPicPr>
                    <pic:cNvPr id="0" name="index-43_1.png" descr="index-43_1.png"/>
                    <pic:cNvPicPr/>
                  </pic:nvPicPr>
                  <pic:blipFill>
                    <a:blip r:embed="rId47"/>
                    <a:stretch>
                      <a:fillRect/>
                    </a:stretch>
                  </pic:blipFill>
                  <pic:spPr>
                    <a:xfrm>
                      <a:off x="0" y="0"/>
                      <a:ext cx="914400" cy="266700"/>
                    </a:xfrm>
                    <a:prstGeom prst="rect">
                      <a:avLst/>
                    </a:prstGeom>
                  </pic:spPr>
                </pic:pic>
              </a:graphicData>
            </a:graphic>
          </wp:anchor>
        </w:drawing>
      </w:r>
      <w:bookmarkEnd w:id="77"/>
    </w:p>
    <w:p>
      <w:pPr>
        <w:pStyle w:val="Para 06"/>
      </w:pPr>
      <w:r>
        <w:t>DEFAULT install</w:t>
      </w:r>
    </w:p>
    <w:p>
      <w:pPr>
        <w:pStyle w:val="Para 06"/>
      </w:pPr>
      <w:r>
        <w:t>LABEL install</w:t>
      </w:r>
    </w:p>
    <w:p>
      <w:pPr>
        <w:pStyle w:val="Para 06"/>
      </w:pPr>
      <w:r>
        <w:t>KERNEL vmlinuz</w:t>
      </w:r>
    </w:p>
    <w:p>
      <w:pPr>
        <w:pStyle w:val="Para 06"/>
      </w:pPr>
      <w:r>
        <w:t>INITRD initrd</w:t>
      </w:r>
    </w:p>
    <w:p>
      <w:pPr>
        <w:pStyle w:val="Para 06"/>
      </w:pPr>
      <w:r>
        <w:t>APPEND root</w:t>
        <w:t>=/</w:t>
        <w:t>dev</w:t>
        <w:t>/</w:t>
        <w:t>ram0 ramdisk_size</w:t>
        <w:t>=</w:t>
        <w:t>1500000</w:t>
        <w:t xml:space="preserve"> </w:t>
        <w:t>cloud</w:t>
        <w:t>-</w:t>
        <w:t>config</w:t>
        <w:t>-</w:t>
        <w:t>url</w:t>
        <w:t>=/</w:t>
        <w:t>dev</w:t>
        <w:t>/</w:t>
        <w:t>null ip</w:t>
        <w:t>=</w:t>
        <w:t>dhcp</w:t>
      </w:r>
    </w:p>
    <w:p>
      <w:pPr>
        <w:pStyle w:val="Para 17"/>
      </w:pPr>
      <w:r>
        <w:t>url</w:t>
        <w:t>=</w:t>
        <w:t>http:</w:t>
        <w:t>//</w:t>
        <w:t>cdimage</w:t>
        <w:t>.</w:t>
        <w:t>ubuntu</w:t>
        <w:t>.</w:t>
        <w:t>com</w:t>
        <w:t>/</w:t>
        <w:t>ubuntu</w:t>
        <w:t>-</w:t>
        <w:t>server</w:t>
        <w:t>/</w:t>
        <w:t>noble</w:t>
        <w:t>/</w:t>
        <w:t>daily</w:t>
        <w:t>-</w:t>
        <w:t>live</w:t>
        <w:t>/</w:t>
        <w:t>current</w:t>
        <w:t>/</w:t>
        <w:t>noble</w:t>
        <w:t>-</w:t>
        <w:t>live</w:t>
        <w:t>-</w:t>
        <w:t>server</w:t>
        <w:t>-</w:t>
        <w:t>amd64</w:t>
        <w:t>.</w:t>
        <w:t>iso</w:t>
      </w:r>
    </w:p>
    <w:p>
      <w:pPr>
        <w:pStyle w:val="Para 17"/>
      </w:pPr>
      <w:r>
        <w:t/>
      </w:r>
    </w:p>
    <w:p>
      <w:pPr>
        <w:pStyle w:val="Para 08"/>
      </w:pPr>
      <w:r>
        <w:t>Note:</w:t>
      </w:r>
    </w:p>
    <w:p>
      <w:pPr>
        <w:pStyle w:val="Para 03"/>
      </w:pPr>
      <w:r>
        <w:t>Setting cloud-config-url=/dev/null on the kernel command line prevents cloud-init from</w:t>
      </w:r>
    </w:p>
    <w:p>
      <w:pPr>
        <w:pStyle w:val="Para 03"/>
      </w:pPr>
      <w:r>
        <w:t>downloading the ISO twice.</w:t>
      </w:r>
    </w:p>
    <w:p>
      <w:pPr>
        <w:pStyle w:val="Para 17"/>
      </w:pPr>
      <w:r>
        <w:t/>
      </w:r>
    </w:p>
    <w:p>
      <w:pPr>
        <w:pStyle w:val="Normal"/>
      </w:pPr>
      <w:r>
        <w:t>As you can see, this downloads the ISO from Ubuntu’s servers. You may want to host it some-where on your infrastructure and change the URL to match.</w:t>
      </w:r>
    </w:p>
    <w:p>
      <w:pPr>
        <w:pStyle w:val="Normal"/>
      </w:pPr>
      <w:r>
        <w:t xml:space="preserve">This configuration is very simple. PXELINUX has many, many options, and you can </w:t>
      </w:r>
      <w:hyperlink r:id="rId1078">
        <w:r>
          <w:rPr>
            <w:rStyle w:val="Text1"/>
          </w:rPr>
          <w:t>consult its</w:t>
        </w:r>
      </w:hyperlink>
    </w:p>
    <w:p>
      <w:pPr>
        <w:pStyle w:val="Para 18"/>
      </w:pPr>
      <w:hyperlink r:id="rId1078">
        <w:r>
          <w:t>documentation</w:t>
        </w:r>
      </w:hyperlink>
      <w:hyperlink r:id="rId1078">
        <w:r>
          <w:rPr>
            <w:rStyle w:val="Text10"/>
          </w:rPr>
          <w:t>55</w:t>
        </w:r>
      </w:hyperlink>
      <w:r>
        <w:rPr>
          <w:rStyle w:val="Text7"/>
        </w:rPr>
        <w:t xml:space="preserve"> for more.</w:t>
      </w:r>
    </w:p>
    <w:p>
      <w:pPr>
        <w:pStyle w:val="Para 17"/>
      </w:pPr>
      <w:r>
        <w:t/>
      </w:r>
    </w:p>
    <w:p>
      <w:pPr>
        <w:pStyle w:val="Para 01"/>
      </w:pPr>
      <w:r>
        <w:t>Netboot the server installer via UEFI PXE on ARM (aarch64, arm64) and x86_64 (amd64)</w:t>
      </w:r>
    </w:p>
    <w:p>
      <w:pPr>
        <w:pStyle w:val="Para 17"/>
      </w:pPr>
      <w:r>
        <w:t/>
      </w:r>
    </w:p>
    <w:p>
      <w:pPr>
        <w:pStyle w:val="Normal"/>
      </w:pPr>
      <w:r>
        <w:t>This document describes the steps to install a system via netbooting and the live server in-staller (Subiquity) in UEFI mode with Ubuntu 20.04 (or later).</w:t>
      </w:r>
    </w:p>
    <w:p>
      <w:pPr>
        <w:pStyle w:val="Normal"/>
      </w:pPr>
      <w:r>
        <w:t xml:space="preserve">This process applies to both arm64 and </w:t>
      </w:r>
      <w:hyperlink w:anchor="page_669">
        <w:r>
          <w:rPr>
            <w:rStyle w:val="Text2"/>
          </w:rPr>
          <w:t>amd</w:t>
        </w:r>
      </w:hyperlink>
      <w:r>
        <w:t xml:space="preserve"> 64 architectures and is based on </w:t>
      </w:r>
      <w:hyperlink r:id="rId1079">
        <w:r>
          <w:rPr>
            <w:rStyle w:val="Text1"/>
          </w:rPr>
          <w:t>this Ubuntu</w:t>
        </w:r>
      </w:hyperlink>
    </w:p>
    <w:p>
      <w:pPr>
        <w:pStyle w:val="Normal"/>
      </w:pPr>
      <w:hyperlink r:id="rId1079">
        <w:r>
          <w:rPr>
            <w:rStyle w:val="Text1"/>
          </w:rPr>
          <w:t>Discourse post for legacy mode netbooting</w:t>
        </w:r>
      </w:hyperlink>
      <w:hyperlink w:anchor="page_43">
        <w:r>
          <w:rPr>
            <w:rStyle w:val="Text9"/>
          </w:rPr>
          <w:t>56</w:t>
        </w:r>
      </w:hyperlink>
      <w:r>
        <w:t xml:space="preserve"> (UEFI’s predecessor). Focal (20.04, 20.04.5) and Groovy (20.10) have been tested with this method.</w:t>
      </w:r>
    </w:p>
    <w:p>
      <w:pPr>
        <w:pStyle w:val="Para 17"/>
      </w:pPr>
      <w:r>
        <w:t/>
      </w:r>
    </w:p>
    <w:p>
      <w:pPr>
        <w:pStyle w:val="Para 01"/>
      </w:pPr>
      <w:r>
        <w:t>Configure TFTP</w:t>
      </w:r>
    </w:p>
    <w:p>
      <w:pPr>
        <w:pStyle w:val="Para 17"/>
      </w:pPr>
      <w:r>
        <w:t/>
      </w:r>
    </w:p>
    <w:p>
      <w:pPr>
        <w:pStyle w:val="Normal"/>
      </w:pPr>
      <w:r>
        <w:t>This article assumes that you have set up your Trivial File Transfer Protocol (TFTP) (and/or</w:t>
      </w:r>
    </w:p>
    <w:p>
      <w:pPr>
        <w:pStyle w:val="Normal"/>
      </w:pPr>
      <w:hyperlink w:anchor="page_678">
        <w:r>
          <w:rPr>
            <w:rStyle w:val="Text2"/>
          </w:rPr>
          <w:t>DHCP</w:t>
        </w:r>
      </w:hyperlink>
      <w:r>
        <w:t xml:space="preserve">/bootp if necessary, depending on your LAN configuration) by following </w:t>
      </w:r>
      <w:hyperlink r:id="rId1079">
        <w:r>
          <w:rPr>
            <w:rStyle w:val="Text1"/>
          </w:rPr>
          <w:t>the netbooting</w:t>
        </w:r>
      </w:hyperlink>
    </w:p>
    <w:p>
      <w:pPr>
        <w:pStyle w:val="Normal"/>
      </w:pPr>
      <w:hyperlink r:id="rId1079">
        <w:r>
          <w:rPr>
            <w:rStyle w:val="Text1"/>
          </w:rPr>
          <w:t>method for legacy mode</w:t>
        </w:r>
      </w:hyperlink>
      <w:hyperlink w:anchor="page_43">
        <w:r>
          <w:rPr>
            <w:rStyle w:val="Text9"/>
          </w:rPr>
          <w:t>57</w:t>
        </w:r>
      </w:hyperlink>
      <w:r>
        <w:t>. Alternatively, you can set up your own TFTP server as follows if</w:t>
      </w:r>
    </w:p>
    <w:p>
      <w:pPr>
        <w:pStyle w:val="Normal"/>
      </w:pPr>
      <w:r>
        <w:t xml:space="preserve">your </w:t>
      </w:r>
      <w:hyperlink w:anchor="page_679">
        <w:r>
          <w:rPr>
            <w:rStyle w:val="Text2"/>
          </w:rPr>
          <w:t>DNS</w:t>
        </w:r>
      </w:hyperlink>
      <w:r>
        <w:t xml:space="preserve"> and DHCP are already configured:</w:t>
      </w:r>
    </w:p>
    <w:p>
      <w:pPr>
        <w:pStyle w:val="Normal"/>
      </w:pPr>
      <w:r>
        <w:t>$ sudo apt install tftpd-hpa</w:t>
      </w:r>
    </w:p>
    <w:p>
      <w:pPr>
        <w:pStyle w:val="Para 17"/>
      </w:pPr>
      <w:r>
        <w:t/>
      </w:r>
    </w:p>
    <w:p>
      <w:pPr>
        <w:pStyle w:val="Normal"/>
      </w:pPr>
      <w:r>
        <w:t>After installation, check that the TFTP service is active:</w:t>
      </w:r>
    </w:p>
    <w:p>
      <w:pPr>
        <w:pStyle w:val="Normal"/>
      </w:pPr>
      <w:r>
        <w:t>$ systemctl status tftpd-hpa.service</w:t>
      </w:r>
    </w:p>
    <w:p>
      <w:pPr>
        <w:pStyle w:val="Para 17"/>
      </w:pPr>
      <w:r>
        <w:t/>
      </w:r>
    </w:p>
    <w:p>
      <w:pPr>
        <w:pStyle w:val="Normal"/>
      </w:pPr>
      <w:r>
        <w:t xml:space="preserve">The output should show </w:t>
      </w:r>
      <w:r>
        <w:rPr>
          <w:rStyle w:val="Text0"/>
        </w:rPr>
        <w:t>active (running)</w:t>
      </w:r>
      <w:r>
        <w:t>. This article assumes your TFTP root path is /srv/ tftp.</w:t>
      </w:r>
    </w:p>
    <w:p>
      <w:pPr>
        <w:pStyle w:val="Para 05"/>
      </w:pPr>
      <w:r>
        <w:rPr>
          <w:rStyle w:val="Text5"/>
        </w:rPr>
        <w:t>55</w:t>
      </w:r>
      <w:r>
        <w:rPr>
          <w:rStyle w:val="Text8"/>
        </w:rPr>
        <w:t xml:space="preserve"> </w:t>
      </w:r>
      <w:r>
        <w:t>https://wiki.syslinux.org/wiki/index.php?title=PXELINUX</w:t>
      </w:r>
    </w:p>
    <w:p>
      <w:pPr>
        <w:pStyle w:val="Para 05"/>
      </w:pPr>
      <w:r>
        <w:rPr>
          <w:rStyle w:val="Text5"/>
        </w:rPr>
        <w:t>56</w:t>
      </w:r>
      <w:r>
        <w:rPr>
          <w:rStyle w:val="Text8"/>
        </w:rPr>
        <w:t xml:space="preserve"> </w:t>
      </w:r>
      <w:r>
        <w:t>https://discourse.ubuntu.com/t/netbooting-the-live-server-installer/14510</w:t>
      </w:r>
    </w:p>
    <w:p>
      <w:pPr>
        <w:pStyle w:val="Para 05"/>
      </w:pPr>
      <w:r>
        <w:rPr>
          <w:rStyle w:val="Text5"/>
        </w:rPr>
        <w:t>57</w:t>
      </w:r>
      <w:r>
        <w:rPr>
          <w:rStyle w:val="Text8"/>
        </w:rPr>
        <w:t xml:space="preserve"> </w:t>
      </w:r>
      <w:r>
        <w:t>https://discourse.ubuntu.com/t/netbooting-the-live-server-installer/14510</w:t>
      </w:r>
    </w:p>
    <w:p>
      <w:bookmarkStart w:id="78" w:name="calibre_pb_17"/>
      <w:pPr>
        <w:pStyle w:val="0 Block"/>
      </w:pPr>
      <w:bookmarkEnd w:id="78"/>
    </w:p>
    <w:p>
      <w:bookmarkStart w:id="79" w:name="page_44"/>
      <w:bookmarkStart w:id="80" w:name="Top_of_index_split_01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 name="index-44_1.png" descr="index-44_1.png"/>
            <wp:cNvGraphicFramePr>
              <a:graphicFrameLocks noChangeAspect="1"/>
            </wp:cNvGraphicFramePr>
            <a:graphic>
              <a:graphicData uri="http://schemas.openxmlformats.org/drawingml/2006/picture">
                <pic:pic>
                  <pic:nvPicPr>
                    <pic:cNvPr id="0" name="index-44_1.png" descr="index-44_1.png"/>
                    <pic:cNvPicPr/>
                  </pic:nvPicPr>
                  <pic:blipFill>
                    <a:blip r:embed="rId48"/>
                    <a:stretch>
                      <a:fillRect/>
                    </a:stretch>
                  </pic:blipFill>
                  <pic:spPr>
                    <a:xfrm>
                      <a:off x="0" y="0"/>
                      <a:ext cx="914400" cy="266700"/>
                    </a:xfrm>
                    <a:prstGeom prst="rect">
                      <a:avLst/>
                    </a:prstGeom>
                  </pic:spPr>
                </pic:pic>
              </a:graphicData>
            </a:graphic>
          </wp:anchor>
        </w:drawing>
      </w:r>
      <w:bookmarkEnd w:id="79"/>
      <w:bookmarkEnd w:id="80"/>
    </w:p>
    <w:p>
      <w:pPr>
        <w:pStyle w:val="Para 01"/>
      </w:pPr>
      <w:r>
        <w:t>How to serve files</w:t>
      </w:r>
    </w:p>
    <w:p>
      <w:pPr>
        <w:pStyle w:val="Para 17"/>
      </w:pPr>
      <w:r>
        <w:t/>
      </w:r>
    </w:p>
    <w:p>
      <w:pPr>
        <w:pStyle w:val="Normal"/>
      </w:pPr>
      <w:r>
        <w:t xml:space="preserve">You can </w:t>
      </w:r>
      <w:hyperlink r:id="rId1080">
        <w:r>
          <w:rPr>
            <w:rStyle w:val="Text9"/>
          </w:rPr>
          <w:t>58</w:t>
        </w:r>
      </w:hyperlink>
      <w:r>
        <w:t xml:space="preserve"> </w:t>
      </w:r>
      <w:r>
        <w:rPr>
          <w:rStyle w:val="Text0"/>
        </w:rPr>
        <w:t>skip this entire section</w:t>
      </w:r>
      <w:r>
        <w:t xml:space="preserve"> by using </w:t>
      </w:r>
      <w:hyperlink r:id="rId1080">
        <w:r>
          <w:rPr>
            <w:rStyle w:val="Text1"/>
          </w:rPr>
          <w:t>this non-official tool</w:t>
        </w:r>
      </w:hyperlink>
      <w:r>
        <w:t>. The tool will set up your TFTP server to serve the necessary files for netbooting.</w:t>
      </w:r>
    </w:p>
    <w:p>
      <w:pPr>
        <w:pStyle w:val="Para 17"/>
      </w:pPr>
      <w:r>
        <w:t/>
      </w:r>
    </w:p>
    <w:p>
      <w:pPr>
        <w:pStyle w:val="Para 01"/>
      </w:pPr>
      <w:r>
        <w:t>Necessary files</w:t>
      </w:r>
    </w:p>
    <w:p>
      <w:pPr>
        <w:pStyle w:val="Para 17"/>
      </w:pPr>
      <w:r>
        <w:t/>
      </w:r>
    </w:p>
    <w:p>
      <w:pPr>
        <w:pStyle w:val="Normal"/>
      </w:pPr>
      <w:r>
        <w:t>The following files are needed for this process:</w:t>
      </w:r>
    </w:p>
    <w:p>
      <w:pPr>
        <w:pStyle w:val="Para 04"/>
      </w:pPr>
      <w:r>
        <w:t>• Ubuntu live server image:</w:t>
      </w:r>
    </w:p>
    <w:p>
      <w:pPr>
        <w:pStyle w:val="Para 06"/>
      </w:pPr>
      <w:r>
        <w:rPr>
          <w:rStyle w:val="Text0"/>
        </w:rPr>
        <w:t>–</w:t>
      </w:r>
      <w:r>
        <w:t xml:space="preserve"> For arm64 architectures, the image name has the suffix-arm64. For example,</w:t>
      </w:r>
    </w:p>
    <w:p>
      <w:pPr>
        <w:pStyle w:val="Para 11"/>
      </w:pPr>
      <w:r>
        <w:t>ubuntu-20.04.5-live-server-arm64.iso .</w:t>
      </w:r>
    </w:p>
    <w:p>
      <w:pPr>
        <w:pStyle w:val="Para 06"/>
      </w:pPr>
      <w:r>
        <w:rPr>
          <w:rStyle w:val="Text0"/>
        </w:rPr>
        <w:t>–</w:t>
      </w:r>
      <w:r>
        <w:t xml:space="preserve"> For amd64 architectures, the image name has the suffix-amd64. For example,</w:t>
      </w:r>
    </w:p>
    <w:p>
      <w:pPr>
        <w:pStyle w:val="Para 11"/>
      </w:pPr>
      <w:r>
        <w:t>ubuntu-20.04.5-live-server-amd64.iso .</w:t>
      </w:r>
    </w:p>
    <w:p>
      <w:pPr>
        <w:pStyle w:val="Para 04"/>
      </w:pPr>
      <w:r>
        <w:t xml:space="preserve">• GRUB </w:t>
      </w:r>
      <w:hyperlink w:anchor="page_681">
        <w:r>
          <w:rPr>
            <w:rStyle w:val="Text2"/>
          </w:rPr>
          <w:t>EFI</w:t>
        </w:r>
      </w:hyperlink>
      <w:r>
        <w:t xml:space="preserve"> binary (and the corresponding grub.cfg text file):</w:t>
      </w:r>
    </w:p>
    <w:p>
      <w:pPr>
        <w:pStyle w:val="Para 06"/>
      </w:pPr>
      <w:r>
        <w:rPr>
          <w:rStyle w:val="Text0"/>
        </w:rPr>
        <w:t>–</w:t>
      </w:r>
      <w:r>
        <w:t xml:space="preserve"> For arm64 architectures, this is called grubnetaa64.efi.signed.</w:t>
      </w:r>
    </w:p>
    <w:p>
      <w:pPr>
        <w:pStyle w:val="Para 06"/>
      </w:pPr>
      <w:r>
        <w:rPr>
          <w:rStyle w:val="Text0"/>
        </w:rPr>
        <w:t>–</w:t>
      </w:r>
      <w:r>
        <w:t xml:space="preserve"> For amd64 architectures, this is called grubnetx64.efi.signed.</w:t>
      </w:r>
    </w:p>
    <w:p>
      <w:pPr>
        <w:pStyle w:val="Para 04"/>
      </w:pPr>
      <w:r>
        <w:t>• initrd extracted from your target Ubuntu live server image (use hwe-initrd instead if</w:t>
      </w:r>
    </w:p>
    <w:p>
      <w:pPr>
        <w:pStyle w:val="Para 02"/>
      </w:pPr>
      <w:r>
        <w:t>you want to boot with the HWE kernel).</w:t>
      </w:r>
    </w:p>
    <w:p>
      <w:pPr>
        <w:pStyle w:val="Para 04"/>
      </w:pPr>
      <w:r>
        <w:t>• vmlinuz extracted from your target Ubuntu live server image (use hwe-vmlinuz instead</w:t>
      </w:r>
    </w:p>
    <w:p>
      <w:pPr>
        <w:pStyle w:val="Para 02"/>
      </w:pPr>
      <w:r>
        <w:t>if you want to boot with the HWE kernel).</w:t>
      </w:r>
    </w:p>
    <w:p>
      <w:pPr>
        <w:pStyle w:val="Para 17"/>
      </w:pPr>
      <w:r>
        <w:t/>
      </w:r>
    </w:p>
    <w:p>
      <w:pPr>
        <w:pStyle w:val="Para 01"/>
      </w:pPr>
      <w:r>
        <w:t>Examples</w:t>
      </w:r>
    </w:p>
    <w:p>
      <w:pPr>
        <w:pStyle w:val="Para 17"/>
      </w:pPr>
      <w:r>
        <w:t/>
      </w:r>
    </w:p>
    <w:p>
      <w:pPr>
        <w:pStyle w:val="Normal"/>
      </w:pPr>
      <w:r>
        <w:t>In the following sections, we will use an arm64 image as an example. This means the following files are used:</w:t>
      </w:r>
    </w:p>
    <w:p>
      <w:pPr>
        <w:pStyle w:val="Para 04"/>
      </w:pPr>
      <w:r>
        <w:t xml:space="preserve">• Ubuntu 20.04.5 live server image </w:t>
      </w:r>
      <w:hyperlink w:anchor="page_44">
        <w:r>
          <w:rPr>
            <w:rStyle w:val="Text9"/>
          </w:rPr>
          <w:t>59</w:t>
        </w:r>
      </w:hyperlink>
      <w:r>
        <w:t xml:space="preserve"> </w:t>
      </w:r>
      <w:hyperlink r:id="rId1081">
        <w:r>
          <w:rPr>
            <w:rStyle w:val="Text1"/>
          </w:rPr>
          <w:t>ubuntu-20.04.5-live-server-arm64.iso</w:t>
        </w:r>
      </w:hyperlink>
    </w:p>
    <w:p>
      <w:pPr>
        <w:pStyle w:val="Para 13"/>
      </w:pPr>
      <w:r>
        <w:rPr>
          <w:rStyle w:val="Text7"/>
        </w:rPr>
        <w:t xml:space="preserve">• GRUB EFI binary </w:t>
      </w:r>
      <w:hyperlink r:id="rId1082">
        <w:r>
          <w:rPr>
            <w:rStyle w:val="Text10"/>
          </w:rPr>
          <w:t>60</w:t>
        </w:r>
      </w:hyperlink>
      <w:hyperlink r:id="rId1082">
        <w:r>
          <w:t xml:space="preserve"> grubnetaa64.efi.signed</w:t>
        </w:r>
      </w:hyperlink>
    </w:p>
    <w:p>
      <w:pPr>
        <w:pStyle w:val="Para 04"/>
      </w:pPr>
      <w:r>
        <w:t>• initrd extracted from ubuntu-20.04.5-live-server-arm64.iso</w:t>
      </w:r>
    </w:p>
    <w:p>
      <w:pPr>
        <w:pStyle w:val="Para 04"/>
      </w:pPr>
      <w:r>
        <w:t>• vmlinuz extracted from ubuntu-20.04.5-live-server-arm64.iso</w:t>
      </w:r>
    </w:p>
    <w:p>
      <w:pPr>
        <w:pStyle w:val="Normal"/>
      </w:pPr>
      <w:r>
        <w:t>Replace the corresponding files if you want to work on an amd64 image. For example, your files may be:</w:t>
      </w:r>
    </w:p>
    <w:p>
      <w:pPr>
        <w:pStyle w:val="Para 13"/>
      </w:pPr>
      <w:r>
        <w:rPr>
          <w:rStyle w:val="Text7"/>
        </w:rPr>
        <w:t xml:space="preserve">• Ubuntu 20.04.5 live server image </w:t>
      </w:r>
      <w:hyperlink r:id="rId1083">
        <w:r>
          <w:rPr>
            <w:rStyle w:val="Text10"/>
          </w:rPr>
          <w:t>61</w:t>
        </w:r>
      </w:hyperlink>
      <w:hyperlink r:id="rId1083">
        <w:r>
          <w:t xml:space="preserve"> ubuntu-20.04.5-live-server-amd64.iso</w:t>
        </w:r>
      </w:hyperlink>
    </w:p>
    <w:p>
      <w:pPr>
        <w:pStyle w:val="Para 13"/>
      </w:pPr>
      <w:r>
        <w:rPr>
          <w:rStyle w:val="Text7"/>
        </w:rPr>
        <w:t xml:space="preserve">• GRUB EFI binary </w:t>
      </w:r>
      <w:hyperlink w:anchor="page_44">
        <w:r>
          <w:rPr>
            <w:rStyle w:val="Text10"/>
          </w:rPr>
          <w:t>62</w:t>
        </w:r>
      </w:hyperlink>
      <w:r>
        <w:rPr>
          <w:rStyle w:val="Text7"/>
        </w:rPr>
        <w:t xml:space="preserve"> </w:t>
      </w:r>
      <w:hyperlink r:id="rId1084">
        <w:r>
          <w:t>grubnetx64.efi.signed</w:t>
        </w:r>
      </w:hyperlink>
    </w:p>
    <w:p>
      <w:pPr>
        <w:pStyle w:val="Para 04"/>
      </w:pPr>
      <w:r>
        <w:t>• initrd extracted from ubuntu-20.04.5-live-server-amd64.iso</w:t>
      </w:r>
    </w:p>
    <w:p>
      <w:pPr>
        <w:pStyle w:val="Para 04"/>
      </w:pPr>
      <w:r>
        <w:t>• vmlinuz extracted from ubuntu-20.04.5-live-server-amd64.iso</w:t>
      </w:r>
    </w:p>
    <w:p>
      <w:pPr>
        <w:pStyle w:val="Para 05"/>
      </w:pPr>
      <w:r>
        <w:rPr>
          <w:rStyle w:val="Text5"/>
        </w:rPr>
        <w:t>58</w:t>
      </w:r>
      <w:r>
        <w:rPr>
          <w:rStyle w:val="Text8"/>
        </w:rPr>
        <w:t xml:space="preserve"> </w:t>
      </w:r>
      <w:r>
        <w:t>https://github.com/dannf/ubuntu-server-netboot</w:t>
      </w:r>
    </w:p>
    <w:p>
      <w:pPr>
        <w:pStyle w:val="Para 05"/>
      </w:pPr>
      <w:r>
        <w:rPr>
          <w:rStyle w:val="Text5"/>
        </w:rPr>
        <w:t>59</w:t>
      </w:r>
      <w:r>
        <w:rPr>
          <w:rStyle w:val="Text8"/>
        </w:rPr>
        <w:t xml:space="preserve"> </w:t>
      </w:r>
      <w:r>
        <w:t>https://cdimage.ubuntu.com/ubuntu/releases/20.04.5/release/ubuntu-20.04.5-live-server-arm64.iso</w:t>
      </w:r>
    </w:p>
    <w:p>
      <w:pPr>
        <w:pStyle w:val="Para 05"/>
      </w:pPr>
      <w:r>
        <w:rPr>
          <w:rStyle w:val="Text5"/>
        </w:rPr>
        <w:t>60</w:t>
      </w:r>
      <w:r>
        <w:rPr>
          <w:rStyle w:val="Text8"/>
        </w:rPr>
        <w:t xml:space="preserve"> </w:t>
      </w:r>
      <w:r>
        <w:t>https://ports.ubuntu.com/ubuntu-ports/dists/focal/main/uefi/grub2-arm64/current/grubnetaa64.efi.</w:t>
      </w:r>
    </w:p>
    <w:p>
      <w:pPr>
        <w:pStyle w:val="Para 16"/>
      </w:pPr>
      <w:r>
        <w:t>signed</w:t>
      </w:r>
    </w:p>
    <w:p>
      <w:pPr>
        <w:pStyle w:val="Para 05"/>
      </w:pPr>
      <w:r>
        <w:rPr>
          <w:rStyle w:val="Text5"/>
        </w:rPr>
        <w:t>61</w:t>
      </w:r>
      <w:r>
        <w:rPr>
          <w:rStyle w:val="Text8"/>
        </w:rPr>
        <w:t xml:space="preserve"> </w:t>
      </w:r>
      <w:r>
        <w:t>https://old-releases.ubuntu.com/releases/20.04.5/ubuntu-20.04.5-live-server-amd64.iso</w:t>
      </w:r>
    </w:p>
    <w:p>
      <w:pPr>
        <w:pStyle w:val="Para 05"/>
      </w:pPr>
      <w:r>
        <w:rPr>
          <w:rStyle w:val="Text5"/>
        </w:rPr>
        <w:t>62</w:t>
      </w:r>
      <w:r>
        <w:rPr>
          <w:rStyle w:val="Text8"/>
        </w:rPr>
        <w:t xml:space="preserve"> </w:t>
      </w:r>
      <w:r>
        <w:t>http://archive.ubuntu.com/ubuntu/dists/focal/main/uefi/grub2-amd64/current/grubnetx64.efi.signed</w:t>
      </w:r>
      <w:r>
        <w:rPr>
          <w:rStyle w:val="Text8"/>
        </w:rPr>
        <w:t xml:space="preserve"> </w:t>
      </w:r>
      <w:r>
        <w:rPr>
          <w:rStyle w:val="Text11"/>
        </w:rPr>
        <w:t>Download and serve the GRUB EFI binary</w:t>
      </w:r>
    </w:p>
    <w:p>
      <w:bookmarkStart w:id="81" w:name="page_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 name="index-45_1.png" descr="index-45_1.png"/>
            <wp:cNvGraphicFramePr>
              <a:graphicFrameLocks noChangeAspect="1"/>
            </wp:cNvGraphicFramePr>
            <a:graphic>
              <a:graphicData uri="http://schemas.openxmlformats.org/drawingml/2006/picture">
                <pic:pic>
                  <pic:nvPicPr>
                    <pic:cNvPr id="0" name="index-45_1.png" descr="index-45_1.png"/>
                    <pic:cNvPicPr/>
                  </pic:nvPicPr>
                  <pic:blipFill>
                    <a:blip r:embed="rId49"/>
                    <a:stretch>
                      <a:fillRect/>
                    </a:stretch>
                  </pic:blipFill>
                  <pic:spPr>
                    <a:xfrm>
                      <a:off x="0" y="0"/>
                      <a:ext cx="914400" cy="266700"/>
                    </a:xfrm>
                    <a:prstGeom prst="rect">
                      <a:avLst/>
                    </a:prstGeom>
                  </pic:spPr>
                </pic:pic>
              </a:graphicData>
            </a:graphic>
          </wp:anchor>
        </w:drawing>
      </w:r>
      <w:bookmarkEnd w:id="81"/>
    </w:p>
    <w:p>
      <w:pPr>
        <w:pStyle w:val="Para 17"/>
      </w:pPr>
      <w:r>
        <w:t/>
      </w:r>
    </w:p>
    <w:p>
      <w:pPr>
        <w:pStyle w:val="Normal"/>
      </w:pPr>
      <w:r>
        <w:t>The GRUB binary redirects the download path to the target files via grub.cfg. For more in-formation about the Preboot Execution Environment (PXE) process and why this binary is</w:t>
      </w:r>
    </w:p>
    <w:p>
      <w:pPr>
        <w:pStyle w:val="Para 18"/>
      </w:pPr>
      <w:r>
        <w:rPr>
          <w:rStyle w:val="Text7"/>
        </w:rPr>
        <w:t xml:space="preserve">required, see </w:t>
      </w:r>
      <w:hyperlink r:id="rId1079">
        <w:r>
          <w:rPr>
            <w:rStyle w:val="Text10"/>
          </w:rPr>
          <w:t>63</w:t>
        </w:r>
      </w:hyperlink>
      <w:hyperlink r:id="rId1079">
        <w:r>
          <w:t xml:space="preserve"> the netbooting instructions for legacy mode</w:t>
        </w:r>
      </w:hyperlink>
      <w:r>
        <w:rPr>
          <w:rStyle w:val="Text7"/>
        </w:rPr>
        <w:t>.</w:t>
      </w:r>
    </w:p>
    <w:p>
      <w:pPr>
        <w:pStyle w:val="Normal"/>
      </w:pPr>
      <w:r>
        <w:t>$ sudo wget https://ports.ubuntu.com/ubuntu-ports/dists/focal/main/uefi/grub2-arm64/</w:t>
        <w:t xml:space="preserve"> </w:t>
        <w:t>current/grubnetaa64.efi.signed -O /srv/tftp/grubnetaa64.efi.signed</w:t>
      </w:r>
    </w:p>
    <w:p>
      <w:pPr>
        <w:pStyle w:val="Para 17"/>
      </w:pPr>
      <w:r>
        <w:t/>
      </w:r>
    </w:p>
    <w:p>
      <w:pPr>
        <w:pStyle w:val="Para 08"/>
      </w:pPr>
      <w:r>
        <w:t>Note:</w:t>
      </w:r>
    </w:p>
    <w:p>
      <w:pPr>
        <w:pStyle w:val="Para 03"/>
      </w:pPr>
      <w:r>
        <w:t xml:space="preserve">Change </w:t>
      </w:r>
      <w:r>
        <w:rPr>
          <w:rStyle w:val="Text0"/>
        </w:rPr>
        <w:t>the archive distribution’s name</w:t>
      </w:r>
      <w:r>
        <w:t xml:space="preserve"> from Focal to your target distribution name if</w:t>
      </w:r>
    </w:p>
    <w:p>
      <w:pPr>
        <w:pStyle w:val="Para 03"/>
      </w:pPr>
      <w:r>
        <w:t>needed.</w:t>
      </w:r>
    </w:p>
    <w:p>
      <w:pPr>
        <w:pStyle w:val="Para 17"/>
      </w:pPr>
      <w:r>
        <w:t/>
      </w:r>
    </w:p>
    <w:p>
      <w:pPr>
        <w:pStyle w:val="Para 01"/>
      </w:pPr>
      <w:r>
        <w:t>Download and serve more files</w:t>
      </w:r>
    </w:p>
    <w:p>
      <w:pPr>
        <w:pStyle w:val="Para 17"/>
      </w:pPr>
      <w:r>
        <w:t/>
      </w:r>
    </w:p>
    <w:p>
      <w:pPr>
        <w:pStyle w:val="Normal"/>
      </w:pPr>
      <w:r>
        <w:t xml:space="preserve">Download an Ubuntu ARM server ISO to fetch the installer, such as the </w:t>
      </w:r>
      <w:hyperlink r:id="rId1085">
        <w:r>
          <w:rPr>
            <w:rStyle w:val="Text1"/>
          </w:rPr>
          <w:t>20.04.5 live server</w:t>
        </w:r>
      </w:hyperlink>
    </w:p>
    <w:p>
      <w:pPr>
        <w:pStyle w:val="Normal"/>
      </w:pPr>
      <w:hyperlink r:id="rId1085">
        <w:r>
          <w:rPr>
            <w:rStyle w:val="Text1"/>
          </w:rPr>
          <w:t>arm64 ISO</w:t>
        </w:r>
      </w:hyperlink>
      <w:hyperlink r:id="rId1085">
        <w:r>
          <w:rPr>
            <w:rStyle w:val="Text9"/>
          </w:rPr>
          <w:t>64</w:t>
        </w:r>
      </w:hyperlink>
      <w:r>
        <w:t>. The “live” prefix is required because the files needed are only available in the live version.</w:t>
      </w:r>
    </w:p>
    <w:p>
      <w:pPr>
        <w:pStyle w:val="Normal"/>
      </w:pPr>
      <w:r>
        <w:t>Mount the ISO and copy the target files we need over to the TFTP folder:</w:t>
      </w:r>
    </w:p>
    <w:p>
      <w:pPr>
        <w:pStyle w:val="Normal"/>
      </w:pPr>
      <w:r>
        <w:t>$ sudo mount ./ubuntu-20.04.5-live-server-arm64.iso /mnt</w:t>
        <w:t xml:space="preserve"> </w:t>
        <w:t>$ sudo mkdir /srv/tftp/grub /srv/tftp/casper</w:t>
      </w:r>
    </w:p>
    <w:p>
      <w:pPr>
        <w:pStyle w:val="Normal"/>
      </w:pPr>
      <w:r>
        <w:t>$ sudo cp /mnt/boot/grub/grub.cfg /srv/tftp/grub/</w:t>
      </w:r>
    </w:p>
    <w:p>
      <w:pPr>
        <w:pStyle w:val="Normal"/>
      </w:pPr>
      <w:r>
        <w:t>$ sudo cp /mnt/casper/initrd /srv/tftp/casper/</w:t>
      </w:r>
    </w:p>
    <w:p>
      <w:pPr>
        <w:pStyle w:val="Normal"/>
      </w:pPr>
      <w:r>
        <w:t>$ sudo cp /mnt/casper/vmlinuz /srv/tftp/casper/</w:t>
      </w:r>
    </w:p>
    <w:p>
      <w:pPr>
        <w:pStyle w:val="Para 17"/>
      </w:pPr>
      <w:r>
        <w:t/>
      </w:r>
    </w:p>
    <w:p>
      <w:pPr>
        <w:pStyle w:val="Normal"/>
      </w:pPr>
      <w:r>
        <w:t>So, the TFTP root folder should look like this now:</w:t>
      </w:r>
    </w:p>
    <w:p>
      <w:pPr>
        <w:pStyle w:val="Normal"/>
      </w:pPr>
      <w:r>
        <w:t>$ find /srv/tftp/</w:t>
      </w:r>
    </w:p>
    <w:p>
      <w:pPr>
        <w:pStyle w:val="Normal"/>
      </w:pPr>
      <w:r>
        <w:t>/srv/tftp/</w:t>
      </w:r>
    </w:p>
    <w:p>
      <w:pPr>
        <w:pStyle w:val="Normal"/>
      </w:pPr>
      <w:r>
        <w:t>/srv/tftp/grub</w:t>
      </w:r>
    </w:p>
    <w:p>
      <w:pPr>
        <w:pStyle w:val="Normal"/>
      </w:pPr>
      <w:r>
        <w:t>/srv/tftp/grub/grub.cfg</w:t>
      </w:r>
    </w:p>
    <w:p>
      <w:pPr>
        <w:pStyle w:val="Normal"/>
      </w:pPr>
      <w:r>
        <w:t>/srv/tftp/grubnetaa64.efi.signed</w:t>
      </w:r>
    </w:p>
    <w:p>
      <w:pPr>
        <w:pStyle w:val="Normal"/>
      </w:pPr>
      <w:r>
        <w:t>/srv/tftp/casper</w:t>
      </w:r>
    </w:p>
    <w:p>
      <w:pPr>
        <w:pStyle w:val="Normal"/>
      </w:pPr>
      <w:r>
        <w:t>/srv/tftp/casper/initrd</w:t>
      </w:r>
    </w:p>
    <w:p>
      <w:pPr>
        <w:pStyle w:val="Normal"/>
      </w:pPr>
      <w:r>
        <w:t>/srv/tftp/casper/vmlinuz</w:t>
      </w:r>
    </w:p>
    <w:p>
      <w:pPr>
        <w:pStyle w:val="Para 17"/>
      </w:pPr>
      <w:r>
        <w:t/>
      </w:r>
    </w:p>
    <w:p>
      <w:pPr>
        <w:pStyle w:val="Normal"/>
      </w:pPr>
      <w:r>
        <w:t>Customize the GRUB menu to install the target image by fetching it directly over the internet:</w:t>
      </w:r>
    </w:p>
    <w:p>
      <w:pPr>
        <w:pStyle w:val="Normal"/>
      </w:pPr>
      <w:r>
        <w:t>$ sudo chmod +w /srv/tftp/grub/grub.cfg</w:t>
      </w:r>
    </w:p>
    <w:p>
      <w:pPr>
        <w:pStyle w:val="Normal"/>
      </w:pPr>
      <w:r>
        <w:t>$ sudo vi /srv/tftp/grub/grub.cfg</w:t>
      </w:r>
    </w:p>
    <w:p>
      <w:pPr>
        <w:pStyle w:val="Para 17"/>
      </w:pPr>
      <w:r>
        <w:t/>
      </w:r>
    </w:p>
    <w:p>
      <w:pPr>
        <w:pStyle w:val="Normal"/>
      </w:pPr>
      <w:r>
        <w:t>Add a new boot entry at the top-level menu (not in any submenu):</w:t>
      </w:r>
    </w:p>
    <w:p>
      <w:pPr>
        <w:pStyle w:val="Normal"/>
      </w:pPr>
      <w:r>
        <w:t>menuentry</w:t>
        <w:t xml:space="preserve"> </w:t>
        <w:t>"Install Ubuntu Server (Focal 20.04.5) (Pull the iso from web)"</w:t>
        <w:t xml:space="preserve"> </w:t>
        <w:t>{</w:t>
      </w:r>
    </w:p>
    <w:p>
      <w:pPr>
        <w:pStyle w:val="Para 06"/>
      </w:pPr>
      <w:r>
        <w:t>set</w:t>
        <w:t xml:space="preserve"> </w:t>
        <w:t>gfxpayload</w:t>
        <w:t>=</w:t>
        <w:t>keep</w:t>
      </w:r>
    </w:p>
    <w:p>
      <w:pPr>
        <w:pStyle w:val="Para 06"/>
      </w:pPr>
      <w:r>
        <w:t>linux</w:t>
        <w:t xml:space="preserve"> </w:t>
        <w:t>/</w:t>
        <w:t>casper</w:t>
        <w:t>/</w:t>
        <w:t>vmlinuz url</w:t>
        <w:t>=</w:t>
        <w:t>http:</w:t>
        <w:t>//</w:t>
        <w:t>cdimage</w:t>
        <w:t>.</w:t>
        <w:t>ubuntu</w:t>
        <w:t>.</w:t>
        <w:t>com</w:t>
        <w:t>/</w:t>
        <w:t>ubuntu</w:t>
        <w:t>/</w:t>
        <w:t>releases</w:t>
        <w:t>/</w:t>
        <w:t>20.04.5</w:t>
        <w:t>/</w:t>
      </w:r>
    </w:p>
    <w:p>
      <w:pPr>
        <w:pStyle w:val="Normal"/>
      </w:pPr>
      <w:r>
        <w:t>release</w:t>
        <w:t>/</w:t>
        <w:t>ubuntu</w:t>
        <w:t>-</w:t>
        <w:t>20.04.5</w:t>
        <w:t>-</w:t>
        <w:t>live</w:t>
        <w:t>-</w:t>
        <w:t>server</w:t>
        <w:t>-</w:t>
        <w:t>arm64</w:t>
        <w:t>.</w:t>
        <w:t>iso only</w:t>
        <w:t>-</w:t>
        <w:t>ubiquity ip</w:t>
        <w:t>=</w:t>
        <w:t>dhcp</w:t>
        <w:t>---</w:t>
      </w:r>
    </w:p>
    <w:p>
      <w:pPr>
        <w:pStyle w:val="Para 09"/>
      </w:pPr>
      <w:r>
        <w:t>(continues on next page)</w:t>
      </w:r>
    </w:p>
    <w:p>
      <w:pPr>
        <w:pStyle w:val="Para 05"/>
      </w:pPr>
      <w:r>
        <w:rPr>
          <w:rStyle w:val="Text5"/>
        </w:rPr>
        <w:t>63</w:t>
      </w:r>
      <w:r>
        <w:rPr>
          <w:rStyle w:val="Text8"/>
        </w:rPr>
        <w:t xml:space="preserve"> </w:t>
      </w:r>
      <w:r>
        <w:t>https://discourse.ubuntu.com/t/netbooting-the-live-server-installer/14510</w:t>
      </w:r>
    </w:p>
    <w:p>
      <w:pPr>
        <w:pStyle w:val="Para 05"/>
      </w:pPr>
      <w:r>
        <w:rPr>
          <w:rStyle w:val="Text5"/>
        </w:rPr>
        <w:t>64</w:t>
      </w:r>
      <w:r>
        <w:rPr>
          <w:rStyle w:val="Text8"/>
        </w:rPr>
        <w:t xml:space="preserve"> </w:t>
      </w:r>
      <w:r>
        <w:t>http://cdimage.ubuntu.com/ubuntu/releases/20.04.5/release/ubuntu-20.04.5-live-server-arm64.iso</w:t>
      </w:r>
    </w:p>
    <w:p>
      <w:bookmarkStart w:id="82" w:name="page_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50"/>
                    <a:stretch>
                      <a:fillRect/>
                    </a:stretch>
                  </pic:blipFill>
                  <pic:spPr>
                    <a:xfrm>
                      <a:off x="0" y="0"/>
                      <a:ext cx="914400" cy="266700"/>
                    </a:xfrm>
                    <a:prstGeom prst="rect">
                      <a:avLst/>
                    </a:prstGeom>
                  </pic:spPr>
                </pic:pic>
              </a:graphicData>
            </a:graphic>
          </wp:anchor>
        </w:drawing>
      </w:r>
      <w:bookmarkEnd w:id="82"/>
    </w:p>
    <w:p>
      <w:pPr>
        <w:pStyle w:val="Para 09"/>
      </w:pPr>
      <w:r>
        <w:t>(continued from previous page)</w:t>
      </w:r>
    </w:p>
    <w:p>
      <w:pPr>
        <w:pStyle w:val="Para 06"/>
      </w:pPr>
      <w:r>
        <w:t>initrd</w:t>
        <w:t xml:space="preserve"> </w:t>
        <w:t>/</w:t>
        <w:t>casper</w:t>
        <w:t>/</w:t>
        <w:t>initrd</w:t>
      </w:r>
    </w:p>
    <w:p>
      <w:pPr>
        <w:pStyle w:val="Normal"/>
      </w:pPr>
      <w:r>
        <w:t>}</w:t>
      </w:r>
    </w:p>
    <w:p>
      <w:pPr>
        <w:pStyle w:val="Para 17"/>
      </w:pPr>
      <w:r>
        <w:t/>
      </w:r>
    </w:p>
    <w:p>
      <w:pPr>
        <w:pStyle w:val="Normal"/>
      </w:pPr>
      <w:r>
        <w:t>In this configuration:</w:t>
      </w:r>
    </w:p>
    <w:p>
      <w:pPr>
        <w:pStyle w:val="Para 04"/>
      </w:pPr>
      <w:r>
        <w:t>• ip=dhcp configures DHCP management for the lab environment</w:t>
      </w:r>
    </w:p>
    <w:p>
      <w:pPr>
        <w:pStyle w:val="Para 04"/>
      </w:pPr>
      <w:r>
        <w:t>• url points to your target image download URL</w:t>
      </w:r>
    </w:p>
    <w:p>
      <w:pPr>
        <w:pStyle w:val="Normal"/>
      </w:pPr>
      <w:r>
        <w:t>Change these values according to your scenario.</w:t>
      </w:r>
    </w:p>
    <w:p>
      <w:pPr>
        <w:pStyle w:val="Normal"/>
      </w:pPr>
      <w:r>
        <w:t>When successful, you will enter the GRUB menu of the ephemeral live prompt. Select the entry you added to grub.cfg (Install Ubuntu Server (Focal 20.04.5) (Pull the ISO from web) in this example). After the ISO downloads, the Subiquity welcome message will appear.</w:t>
      </w:r>
    </w:p>
    <w:p>
      <w:pPr>
        <w:pStyle w:val="Para 17"/>
      </w:pPr>
      <w:r>
        <w:t/>
      </w:r>
    </w:p>
    <w:p>
      <w:pPr>
        <w:pStyle w:val="Para 01"/>
      </w:pPr>
      <w:r>
        <w:t>Appendix</w:t>
      </w:r>
    </w:p>
    <w:p>
      <w:pPr>
        <w:pStyle w:val="Para 17"/>
      </w:pPr>
      <w:r>
        <w:t/>
      </w:r>
    </w:p>
    <w:p>
      <w:pPr>
        <w:pStyle w:val="Para 01"/>
      </w:pPr>
      <w:r>
        <w:t>Check the serving file names</w:t>
      </w:r>
    </w:p>
    <w:p>
      <w:pPr>
        <w:pStyle w:val="Para 17"/>
      </w:pPr>
      <w:r>
        <w:t/>
      </w:r>
    </w:p>
    <w:p>
      <w:pPr>
        <w:pStyle w:val="Normal"/>
      </w:pPr>
      <w:r>
        <w:t>Verify that the target file name for linux and initrd is correct. The default initrd binary file name for 20.04.5 is initrd, while for 20.10 it is initrd.lz. Serving incorrect file names is a common troubleshooting issue.</w:t>
      </w:r>
    </w:p>
    <w:p>
      <w:pPr>
        <w:pStyle w:val="Para 17"/>
      </w:pPr>
      <w:r>
        <w:t/>
      </w:r>
    </w:p>
    <w:p>
      <w:pPr>
        <w:pStyle w:val="Para 01"/>
      </w:pPr>
      <w:r>
        <w:t>Booting screenshots</w:t>
      </w:r>
    </w:p>
    <w:p>
      <w:pPr>
        <w:pStyle w:val="Para 17"/>
      </w:pPr>
      <w:r>
        <w:t/>
      </w:r>
    </w:p>
    <w:p>
      <w:pPr>
        <w:pStyle w:val="Normal"/>
      </w:pPr>
      <w:r>
        <w:t>With a correct setup, grub.cfg redirects the process to an ephemeral environment where your target image is downloaded and assigned in the GRUB entry. When you access the con-sole or monitor of your target machine, you will see a screen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308100"/>
            <wp:effectExtent l="0" r="0" t="0" b="0"/>
            <wp:wrapTopAndBottom/>
            <wp:docPr id="47" name="index-46_2.png" descr="index-46_2.png"/>
            <wp:cNvGraphicFramePr>
              <a:graphicFrameLocks noChangeAspect="1"/>
            </wp:cNvGraphicFramePr>
            <a:graphic>
              <a:graphicData uri="http://schemas.openxmlformats.org/drawingml/2006/picture">
                <pic:pic>
                  <pic:nvPicPr>
                    <pic:cNvPr id="0" name="index-46_2.png" descr="index-46_2.png"/>
                    <pic:cNvPicPr/>
                  </pic:nvPicPr>
                  <pic:blipFill>
                    <a:blip r:embed="rId51"/>
                    <a:stretch>
                      <a:fillRect/>
                    </a:stretch>
                  </pic:blipFill>
                  <pic:spPr>
                    <a:xfrm>
                      <a:off x="0" y="0"/>
                      <a:ext cx="3670300" cy="1308100"/>
                    </a:xfrm>
                    <a:prstGeom prst="rect">
                      <a:avLst/>
                    </a:prstGeom>
                  </pic:spPr>
                </pic:pic>
              </a:graphicData>
            </a:graphic>
          </wp:anchor>
        </w:drawing>
      </w:r>
    </w:p>
    <w:p>
      <w:pPr>
        <w:pStyle w:val="Para 17"/>
      </w:pPr>
      <w:r>
        <w:t/>
      </w:r>
    </w:p>
    <w:p>
      <w:pPr>
        <w:pStyle w:val="Normal"/>
      </w:pPr>
      <w:r>
        <w:t>Wait for the download to complete. If you see this Subiquity welcome page, the installer successfully launched via your UEFI PXE setup. Congratulations!</w:t>
      </w:r>
    </w:p>
    <w:p>
      <w:bookmarkStart w:id="83" w:name="calibre_pb_18"/>
      <w:pPr>
        <w:pStyle w:val="0 Block"/>
      </w:pPr>
      <w:bookmarkEnd w:id="83"/>
    </w:p>
    <w:p>
      <w:bookmarkStart w:id="84" w:name="Top_of_index_split_019_html"/>
      <w:bookmarkStart w:id="85" w:name="page_4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52"/>
                    <a:stretch>
                      <a:fillRect/>
                    </a:stretch>
                  </pic:blipFill>
                  <pic:spPr>
                    <a:xfrm>
                      <a:off x="0" y="0"/>
                      <a:ext cx="914400" cy="266700"/>
                    </a:xfrm>
                    <a:prstGeom prst="rect">
                      <a:avLst/>
                    </a:prstGeom>
                  </pic:spPr>
                </pic:pic>
              </a:graphicData>
            </a:graphic>
          </wp:anchor>
        </w:drawing>
      </w:r>
      <w:bookmarkEnd w:id="84"/>
      <w:bookmarkEnd w:id="85"/>
    </w:p>
    <w:p>
      <w:pPr>
        <w:pStyle w:val="Para 01"/>
      </w:pPr>
      <w:r>
        <w:t>Choose between the arm64 and arm64+largemem installer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019300"/>
            <wp:effectExtent l="0" r="0" t="0" b="0"/>
            <wp:wrapTopAndBottom/>
            <wp:docPr id="49" name="index-47_2.png" descr="index-47_2.png"/>
            <wp:cNvGraphicFramePr>
              <a:graphicFrameLocks noChangeAspect="1"/>
            </wp:cNvGraphicFramePr>
            <a:graphic>
              <a:graphicData uri="http://schemas.openxmlformats.org/drawingml/2006/picture">
                <pic:pic>
                  <pic:nvPicPr>
                    <pic:cNvPr id="0" name="index-47_2.png" descr="index-47_2.png"/>
                    <pic:cNvPicPr/>
                  </pic:nvPicPr>
                  <pic:blipFill>
                    <a:blip r:embed="rId53"/>
                    <a:stretch>
                      <a:fillRect/>
                    </a:stretch>
                  </pic:blipFill>
                  <pic:spPr>
                    <a:xfrm>
                      <a:off x="0" y="0"/>
                      <a:ext cx="3670300" cy="2019300"/>
                    </a:xfrm>
                    <a:prstGeom prst="rect">
                      <a:avLst/>
                    </a:prstGeom>
                  </pic:spPr>
                </pic:pic>
              </a:graphicData>
            </a:graphic>
          </wp:anchor>
        </w:drawing>
      </w:r>
    </w:p>
    <w:p>
      <w:pPr>
        <w:pStyle w:val="Para 17"/>
      </w:pPr>
      <w:r>
        <w:t/>
      </w:r>
    </w:p>
    <w:p>
      <w:pPr>
        <w:pStyle w:val="Normal"/>
      </w:pPr>
      <w:r>
        <w:t>From 22.04.4 onward, Ubuntu will provide both 4k and 64k page size kernel ISOs for ARM servers.</w:t>
      </w:r>
    </w:p>
    <w:p>
      <w:pPr>
        <w:pStyle w:val="Normal"/>
      </w:pPr>
      <w:r>
        <w:t xml:space="preserve">The default </w:t>
      </w:r>
      <w:r>
        <w:rPr>
          <w:rStyle w:val="Text0"/>
        </w:rPr>
        <w:t>arm64</w:t>
      </w:r>
      <w:r>
        <w:t xml:space="preserve"> ISO will still use a 4k page size kernel, while the new 64k page size kernel ISO is named </w:t>
      </w:r>
      <w:r>
        <w:rPr>
          <w:rStyle w:val="Text0"/>
        </w:rPr>
        <w:t>arm64+largemem</w:t>
      </w:r>
      <w:r>
        <w:t>.</w:t>
      </w:r>
    </w:p>
    <w:p>
      <w:pPr>
        <w:pStyle w:val="Para 13"/>
      </w:pPr>
      <w:r>
        <w:rPr>
          <w:rStyle w:val="Text7"/>
        </w:rPr>
        <w:t xml:space="preserve">• </w:t>
      </w:r>
      <w:hyperlink r:id="rId1086">
        <w:r>
          <w:rPr>
            <w:rStyle w:val="Text10"/>
          </w:rPr>
          <w:t>65</w:t>
        </w:r>
      </w:hyperlink>
      <w:hyperlink r:id="rId1086">
        <w:r>
          <w:t xml:space="preserve"> arm64 4k ISO download</w:t>
        </w:r>
      </w:hyperlink>
    </w:p>
    <w:p>
      <w:pPr>
        <w:pStyle w:val="Para 13"/>
      </w:pPr>
      <w:r>
        <w:rPr>
          <w:rStyle w:val="Text7"/>
        </w:rPr>
        <w:t xml:space="preserve">• </w:t>
      </w:r>
      <w:hyperlink r:id="rId1087">
        <w:r>
          <w:rPr>
            <w:rStyle w:val="Text10"/>
          </w:rPr>
          <w:t>66</w:t>
        </w:r>
      </w:hyperlink>
      <w:hyperlink r:id="rId1087">
        <w:r>
          <w:t xml:space="preserve"> arm64+largemem ISO download</w:t>
        </w:r>
      </w:hyperlink>
    </w:p>
    <w:p>
      <w:pPr>
        <w:pStyle w:val="Para 17"/>
      </w:pPr>
      <w:r>
        <w:t/>
      </w:r>
    </w:p>
    <w:p>
      <w:pPr>
        <w:pStyle w:val="Para 01"/>
      </w:pPr>
      <w:r>
        <w:t>The default arm64 (4k) option</w:t>
      </w:r>
    </w:p>
    <w:p>
      <w:pPr>
        <w:pStyle w:val="Para 17"/>
      </w:pPr>
      <w:r>
        <w:t/>
      </w:r>
    </w:p>
    <w:p>
      <w:pPr>
        <w:pStyle w:val="Normal"/>
      </w:pPr>
      <w:r>
        <w:t>The 4k page size is the default in our arm64 ISO. It is suitable for workloads with many small processes, or environments with tight memory constraints. Typical use cases include (but are not limited to):</w:t>
      </w:r>
    </w:p>
    <w:p>
      <w:pPr>
        <w:pStyle w:val="Para 04"/>
      </w:pPr>
      <w:r>
        <w:t>• Web servers</w:t>
      </w:r>
    </w:p>
    <w:p>
      <w:pPr>
        <w:pStyle w:val="Para 04"/>
      </w:pPr>
      <w:r>
        <w:t>• Embedded devices</w:t>
      </w:r>
    </w:p>
    <w:p>
      <w:pPr>
        <w:pStyle w:val="Para 04"/>
      </w:pPr>
      <w:r>
        <w:t>• General purpose/build systems</w:t>
      </w:r>
    </w:p>
    <w:p>
      <w:pPr>
        <w:pStyle w:val="Para 05"/>
      </w:pPr>
      <w:r>
        <w:rPr>
          <w:rStyle w:val="Text5"/>
        </w:rPr>
        <w:t>65</w:t>
      </w:r>
      <w:r>
        <w:rPr>
          <w:rStyle w:val="Text8"/>
        </w:rPr>
        <w:t xml:space="preserve"> </w:t>
      </w:r>
      <w:r>
        <w:t>https://cdimage.ubuntu.com/releases/22.04/release/ubuntu-22.04.5-live-server-arm64.iso</w:t>
      </w:r>
    </w:p>
    <w:p>
      <w:pPr>
        <w:pStyle w:val="Para 05"/>
      </w:pPr>
      <w:r>
        <w:rPr>
          <w:rStyle w:val="Text5"/>
        </w:rPr>
        <w:t>66</w:t>
      </w:r>
      <w:r>
        <w:rPr>
          <w:rStyle w:val="Text8"/>
        </w:rPr>
        <w:t xml:space="preserve"> </w:t>
      </w:r>
      <w:r>
        <w:t>https://cdimage.ubuntu.com/releases/22.04/release/ubuntu-22.04.5-live-server-arm64+largemem.iso</w:t>
      </w:r>
    </w:p>
    <w:p>
      <w:bookmarkStart w:id="86" w:name="calibre_pb_19"/>
      <w:pPr>
        <w:pStyle w:val="0 Block"/>
      </w:pPr>
      <w:bookmarkEnd w:id="86"/>
    </w:p>
    <w:p>
      <w:bookmarkStart w:id="87" w:name="page_48"/>
      <w:bookmarkStart w:id="88" w:name="Top_of_index_split_02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54"/>
                    <a:stretch>
                      <a:fillRect/>
                    </a:stretch>
                  </pic:blipFill>
                  <pic:spPr>
                    <a:xfrm>
                      <a:off x="0" y="0"/>
                      <a:ext cx="914400" cy="266700"/>
                    </a:xfrm>
                    <a:prstGeom prst="rect">
                      <a:avLst/>
                    </a:prstGeom>
                  </pic:spPr>
                </pic:pic>
              </a:graphicData>
            </a:graphic>
          </wp:anchor>
        </w:drawing>
      </w:r>
      <w:bookmarkEnd w:id="87"/>
      <w:bookmarkEnd w:id="88"/>
    </w:p>
    <w:p>
      <w:pPr>
        <w:pStyle w:val="Para 01"/>
      </w:pPr>
      <w:r>
        <w:t>The arm64+largemem (64k) option</w:t>
      </w:r>
    </w:p>
    <w:p>
      <w:pPr>
        <w:pStyle w:val="Para 17"/>
      </w:pPr>
      <w:r>
        <w:t/>
      </w:r>
    </w:p>
    <w:p>
      <w:pPr>
        <w:pStyle w:val="Normal"/>
      </w:pPr>
      <w:r>
        <w:t xml:space="preserve">Our new </w:t>
      </w:r>
      <w:r>
        <w:rPr>
          <w:rStyle w:val="Text0"/>
        </w:rPr>
        <w:t>arm64+largemem</w:t>
      </w:r>
      <w:r>
        <w:t xml:space="preserve"> ISO includes a kernel with 64k page size. A larger page size can increase throughput, but comes at the cost of increased memory use, making this option more suitable for servers with plenty of memory. Typical use cases for this ISO include:</w:t>
      </w:r>
    </w:p>
    <w:p>
      <w:pPr>
        <w:pStyle w:val="Para 04"/>
      </w:pPr>
      <w:r>
        <w:t>• Machine learning</w:t>
      </w:r>
    </w:p>
    <w:p>
      <w:pPr>
        <w:pStyle w:val="Para 04"/>
      </w:pPr>
      <w:r>
        <w:t>• Databases with many large entries</w:t>
      </w:r>
    </w:p>
    <w:p>
      <w:pPr>
        <w:pStyle w:val="Para 14"/>
      </w:pPr>
      <w:r>
        <w:rPr>
          <w:rStyle w:val="Text4"/>
        </w:rPr>
        <w:t xml:space="preserve">• </w:t>
      </w:r>
      <w:hyperlink w:anchor="page_689">
        <w:r>
          <w:t>High performance computing</w:t>
        </w:r>
      </w:hyperlink>
    </w:p>
    <w:p>
      <w:pPr>
        <w:pStyle w:val="Para 04"/>
      </w:pPr>
      <w:r>
        <w:t>• etc.</w:t>
      </w:r>
    </w:p>
    <w:p>
      <w:pPr>
        <w:pStyle w:val="Para 17"/>
      </w:pPr>
      <w:r>
        <w:t/>
      </w:r>
    </w:p>
    <w:p>
      <w:pPr>
        <w:pStyle w:val="Para 08"/>
      </w:pPr>
      <w:r>
        <w:t>Note:</w:t>
      </w:r>
    </w:p>
    <w:p>
      <w:pPr>
        <w:pStyle w:val="Para 03"/>
      </w:pPr>
      <w:r>
        <w:t>It is possible to switch between these kernel options after installation by installing the</w:t>
      </w:r>
    </w:p>
    <w:p>
      <w:pPr>
        <w:pStyle w:val="Para 03"/>
      </w:pPr>
      <w:r>
        <w:t>other kernel alternative, rebooting, and selecting the new kernel from the GRUB menu.</w:t>
      </w:r>
    </w:p>
    <w:p>
      <w:pPr>
        <w:pStyle w:val="Para 17"/>
      </w:pPr>
      <w:r>
        <w:t/>
      </w:r>
    </w:p>
    <w:p>
      <w:pPr>
        <w:pStyle w:val="Para 01"/>
      </w:pPr>
      <w:r>
        <w:t>Switching kernels post-installation</w:t>
      </w:r>
    </w:p>
    <w:p>
      <w:pPr>
        <w:pStyle w:val="Para 17"/>
      </w:pPr>
      <w:r>
        <w:t/>
      </w:r>
    </w:p>
    <w:p>
      <w:pPr>
        <w:pStyle w:val="Normal"/>
      </w:pPr>
      <w:r>
        <w:t>To switch between the two kernels after the initial installation you can run the following commands, replacing &lt;desired-kernel&gt; with linux-generic-64k when swapping to 64k, or linux-generic when swapping to the default 4k kernel:</w:t>
      </w:r>
    </w:p>
    <w:p>
      <w:pPr>
        <w:pStyle w:val="Normal"/>
      </w:pPr>
      <w:r>
        <w:t>sudo apt update</w:t>
      </w:r>
    </w:p>
    <w:p>
      <w:pPr>
        <w:pStyle w:val="Normal"/>
      </w:pPr>
      <w:r>
        <w:t>sudo apt install &lt;desired-kernel&gt;</w:t>
      </w:r>
    </w:p>
    <w:p>
      <w:pPr>
        <w:pStyle w:val="Normal"/>
      </w:pPr>
      <w:r>
        <w:t>sudo reboot</w:t>
      </w:r>
    </w:p>
    <w:p>
      <w:pPr>
        <w:pStyle w:val="Para 17"/>
      </w:pPr>
      <w:r>
        <w:t/>
      </w:r>
    </w:p>
    <w:p>
      <w:pPr>
        <w:pStyle w:val="Normal"/>
      </w:pPr>
      <w:r>
        <w:t>Upon reboot you will be greeted with the GRUB menu (you may need to hold down the Shift key during the reboot for it to appear). Select “Advanced Options for Ubuntu”, then select your desired kernel to boot into Ubuntu.</w:t>
      </w:r>
    </w:p>
    <w:p>
      <w:pPr>
        <w:pStyle w:val="Normal"/>
      </w:pPr>
      <w:r>
        <w:t>To permanently change the default to your &lt;desired-flavour&gt;, replace &lt;desired-flavour&gt; with generic or generic-64k and then run the following command:</w:t>
      </w:r>
    </w:p>
    <w:p>
      <w:pPr>
        <w:pStyle w:val="Normal"/>
      </w:pPr>
      <w:r>
        <w:t>echo</w:t>
        <w:t xml:space="preserve"> </w:t>
        <w:t>"GRUB_FLAVOUR_ORDER=&lt;desired-flavour&gt;"</w:t>
        <w:t xml:space="preserve"> </w:t>
        <w:t>| sudo tee /etc/default/grub.d/local-order.cfg</w:t>
      </w:r>
    </w:p>
    <w:p>
      <w:pPr>
        <w:pStyle w:val="Para 17"/>
      </w:pPr>
      <w:r>
        <w:t/>
      </w:r>
    </w:p>
    <w:p>
      <w:pPr>
        <w:pStyle w:val="Normal"/>
      </w:pPr>
      <w:r>
        <w:t>To apply your change run:</w:t>
      </w:r>
    </w:p>
    <w:p>
      <w:pPr>
        <w:pStyle w:val="Normal"/>
      </w:pPr>
      <w:r>
        <w:t>sudo update-grub</w:t>
      </w:r>
    </w:p>
    <w:p>
      <w:pPr>
        <w:pStyle w:val="Para 17"/>
      </w:pPr>
      <w:r>
        <w:t/>
      </w:r>
    </w:p>
    <w:p>
      <w:pPr>
        <w:pStyle w:val="Normal"/>
      </w:pPr>
      <w:r>
        <w:t>Future boots will automatically use your new desired kernel flavour. You can verify this by rebooting using:</w:t>
      </w:r>
    </w:p>
    <w:p>
      <w:pPr>
        <w:pStyle w:val="Normal"/>
      </w:pPr>
      <w:r>
        <w:t>sudo reboot</w:t>
      </w:r>
    </w:p>
    <w:p>
      <w:pPr>
        <w:pStyle w:val="Para 17"/>
      </w:pPr>
      <w:r>
        <w:t/>
      </w:r>
    </w:p>
    <w:p>
      <w:pPr>
        <w:pStyle w:val="Normal"/>
      </w:pPr>
      <w:r>
        <w:t>And then running the following command to display the active kernel:</w:t>
      </w:r>
    </w:p>
    <w:p>
      <w:pPr>
        <w:pStyle w:val="Para 01"/>
      </w:pPr>
      <w:r>
        <w:rPr>
          <w:rStyle w:val="Text0"/>
        </w:rPr>
        <w:t>uname -r</w:t>
        <w:t xml:space="preserve"> </w:t>
      </w:r>
      <w:r>
        <w:t>Netboot the live server installer on IBM Power (ppc64el) with Petitboot</w:t>
      </w:r>
    </w:p>
    <w:p>
      <w:bookmarkStart w:id="89" w:name="page_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55"/>
                    <a:stretch>
                      <a:fillRect/>
                    </a:stretch>
                  </pic:blipFill>
                  <pic:spPr>
                    <a:xfrm>
                      <a:off x="0" y="0"/>
                      <a:ext cx="914400" cy="266700"/>
                    </a:xfrm>
                    <a:prstGeom prst="rect">
                      <a:avLst/>
                    </a:prstGeom>
                  </pic:spPr>
                </pic:pic>
              </a:graphicData>
            </a:graphic>
          </wp:anchor>
        </w:drawing>
      </w:r>
      <w:bookmarkEnd w:id="89"/>
    </w:p>
    <w:p>
      <w:pPr>
        <w:pStyle w:val="Para 17"/>
      </w:pPr>
      <w:r>
        <w:t/>
      </w:r>
    </w:p>
    <w:p>
      <w:pPr>
        <w:pStyle w:val="Normal"/>
      </w:pPr>
      <w:r>
        <w:t>Open a terminal window on your workstation and make sure the ipmitool package is in-stalled.</w:t>
      </w:r>
    </w:p>
    <w:p>
      <w:pPr>
        <w:pStyle w:val="Normal"/>
      </w:pPr>
      <w:r>
        <w:t>Verify if you can reach the BMC of the IBM Power system via ipmitool with a simple ipmitool call like:</w:t>
      </w:r>
    </w:p>
    <w:p>
      <w:pPr>
        <w:pStyle w:val="Normal"/>
      </w:pPr>
      <w:r>
        <w:t>$ ipmitool -I lanplus -H Power9Box -U &lt;user&gt; -P &lt;password&gt; power status</w:t>
        <w:t xml:space="preserve"> </w:t>
        <w:t>Chassis Power is off</w:t>
      </w:r>
    </w:p>
    <w:p>
      <w:pPr>
        <w:pStyle w:val="Para 17"/>
      </w:pPr>
      <w:r>
        <w:t/>
      </w:r>
    </w:p>
    <w:p>
      <w:pPr>
        <w:pStyle w:val="Normal"/>
      </w:pPr>
      <w:r>
        <w:t>or:</w:t>
      </w:r>
    </w:p>
    <w:p>
      <w:pPr>
        <w:pStyle w:val="Normal"/>
      </w:pPr>
      <w:r>
        <w:t>$ ipmitool -I lanplus -H Power9Box -U &lt;user&gt; -P &lt;password&gt; fru print 47</w:t>
      </w:r>
    </w:p>
    <w:p>
      <w:pPr>
        <w:pStyle w:val="Para 03"/>
      </w:pPr>
      <w:r>
        <w:t>Product Name</w:t>
        <w:t xml:space="preserve"> </w:t>
        <w:t>: OpenPOWER Firmware</w:t>
      </w:r>
    </w:p>
    <w:p>
      <w:pPr>
        <w:pStyle w:val="Para 03"/>
      </w:pPr>
      <w:r>
        <w:t>Product Version</w:t>
        <w:t xml:space="preserve"> </w:t>
        <w:t>: open-power-SUPERMICRO-P9DSU-V2.12-20190404-prod</w:t>
      </w:r>
    </w:p>
    <w:p>
      <w:pPr>
        <w:pStyle w:val="Para 03"/>
      </w:pPr>
      <w:r>
        <w:t>Product Extra</w:t>
        <w:t xml:space="preserve"> </w:t>
        <w:t>:</w:t>
        <w:t xml:space="preserve"> </w:t>
        <w:t>op-build-1b9269e</w:t>
      </w:r>
    </w:p>
    <w:p>
      <w:pPr>
        <w:pStyle w:val="Para 03"/>
      </w:pPr>
      <w:r>
        <w:t>Product Extra</w:t>
        <w:t xml:space="preserve"> </w:t>
        <w:t>:</w:t>
        <w:t xml:space="preserve"> </w:t>
        <w:t>buildroot-2018.11.3-12-g222837a</w:t>
      </w:r>
    </w:p>
    <w:p>
      <w:pPr>
        <w:pStyle w:val="Para 03"/>
      </w:pPr>
      <w:r>
        <w:t>Product Extra</w:t>
        <w:t xml:space="preserve"> </w:t>
        <w:t>:</w:t>
        <w:t xml:space="preserve"> </w:t>
        <w:t>skiboot-v6.0.19</w:t>
      </w:r>
    </w:p>
    <w:p>
      <w:pPr>
        <w:pStyle w:val="Para 03"/>
      </w:pPr>
      <w:r>
        <w:t>Product Extra</w:t>
        <w:t xml:space="preserve"> </w:t>
        <w:t>:</w:t>
        <w:t xml:space="preserve"> </w:t>
        <w:t>hostboot-c00d44a-pb1307d7</w:t>
      </w:r>
    </w:p>
    <w:p>
      <w:pPr>
        <w:pStyle w:val="Para 03"/>
      </w:pPr>
      <w:r>
        <w:t>Product Extra</w:t>
        <w:t xml:space="preserve"> </w:t>
        <w:t>:</w:t>
        <w:t xml:space="preserve"> </w:t>
        <w:t>occ-8fa3854</w:t>
      </w:r>
    </w:p>
    <w:p>
      <w:pPr>
        <w:pStyle w:val="Para 03"/>
      </w:pPr>
      <w:r>
        <w:t>Product Extra</w:t>
        <w:t xml:space="preserve"> </w:t>
        <w:t>:</w:t>
        <w:t xml:space="preserve"> </w:t>
        <w:t>linux-4.19.30-openpower1-p22d1df8</w:t>
      </w:r>
    </w:p>
    <w:p>
      <w:pPr>
        <w:pStyle w:val="Para 03"/>
      </w:pPr>
      <w:r>
        <w:t>Product Extra</w:t>
        <w:t xml:space="preserve"> </w:t>
        <w:t>:</w:t>
        <w:t xml:space="preserve"> </w:t>
        <w:t>petitboot-v1.7.5-p8f5fc86</w:t>
      </w:r>
    </w:p>
    <w:p>
      <w:pPr>
        <w:pStyle w:val="Para 17"/>
      </w:pPr>
      <w:r>
        <w:t/>
      </w:r>
    </w:p>
    <w:p>
      <w:pPr>
        <w:pStyle w:val="Normal"/>
      </w:pPr>
      <w:r>
        <w:t>or:</w:t>
      </w:r>
    </w:p>
    <w:p>
      <w:pPr>
        <w:pStyle w:val="Normal"/>
      </w:pPr>
      <w:r>
        <w:t>$ ipmitool -I lanplus -H Power9Box -U &lt;user&gt; -P &lt;password&gt; sol info</w:t>
      </w:r>
    </w:p>
    <w:p>
      <w:pPr>
        <w:pStyle w:val="Para 03"/>
      </w:pPr>
      <w:r>
        <w:t>Set in progress</w:t>
        <w:t xml:space="preserve"> </w:t>
        <w:t>: set-complete</w:t>
      </w:r>
    </w:p>
    <w:p>
      <w:pPr>
        <w:pStyle w:val="Para 03"/>
      </w:pPr>
      <w:r>
        <w:t>Enabled</w:t>
        <w:t xml:space="preserve"> </w:t>
        <w:t>: true</w:t>
      </w:r>
    </w:p>
    <w:p>
      <w:pPr>
        <w:pStyle w:val="Para 03"/>
      </w:pPr>
      <w:r>
        <w:t>Force Encryption</w:t>
        <w:t xml:space="preserve"> </w:t>
        <w:t>: false</w:t>
      </w:r>
    </w:p>
    <w:p>
      <w:pPr>
        <w:pStyle w:val="Para 03"/>
      </w:pPr>
      <w:r>
        <w:t>Force Authentication</w:t>
        <w:t xml:space="preserve"> </w:t>
        <w:t>: false</w:t>
      </w:r>
    </w:p>
    <w:p>
      <w:pPr>
        <w:pStyle w:val="Para 03"/>
      </w:pPr>
      <w:r>
        <w:t>Privilege Level</w:t>
        <w:t xml:space="preserve"> </w:t>
        <w:t>: OPERATOR</w:t>
      </w:r>
    </w:p>
    <w:p>
      <w:pPr>
        <w:pStyle w:val="Para 03"/>
      </w:pPr>
      <w:r>
        <w:t>Character Accumulate Level (ms) : 0</w:t>
      </w:r>
    </w:p>
    <w:p>
      <w:pPr>
        <w:pStyle w:val="Para 03"/>
      </w:pPr>
      <w:r>
        <w:t>Character Send Threshold</w:t>
        <w:t xml:space="preserve"> </w:t>
        <w:t>: 0</w:t>
      </w:r>
    </w:p>
    <w:p>
      <w:pPr>
        <w:pStyle w:val="Para 03"/>
      </w:pPr>
      <w:r>
        <w:t>Retry Count</w:t>
        <w:t xml:space="preserve"> </w:t>
        <w:t>: 0</w:t>
      </w:r>
    </w:p>
    <w:p>
      <w:pPr>
        <w:pStyle w:val="Para 03"/>
      </w:pPr>
      <w:r>
        <w:t>Retry Interval (ms)</w:t>
        <w:t xml:space="preserve"> </w:t>
        <w:t>: 0</w:t>
      </w:r>
    </w:p>
    <w:p>
      <w:pPr>
        <w:pStyle w:val="Para 03"/>
      </w:pPr>
      <w:r>
        <w:t>Volatile Bit Rate (kbps)</w:t>
        <w:t xml:space="preserve"> </w:t>
        <w:t>: 115.2</w:t>
      </w:r>
    </w:p>
    <w:p>
      <w:pPr>
        <w:pStyle w:val="Para 03"/>
      </w:pPr>
      <w:r>
        <w:t>Non-Volatile Bit Rate (kbps)</w:t>
        <w:t xml:space="preserve"> </w:t>
        <w:t>: 115.2</w:t>
      </w:r>
    </w:p>
    <w:p>
      <w:pPr>
        <w:pStyle w:val="Para 03"/>
      </w:pPr>
      <w:r>
        <w:t>Payload Channel</w:t>
        <w:t xml:space="preserve"> </w:t>
        <w:t>: 1 (0x01)</w:t>
      </w:r>
    </w:p>
    <w:p>
      <w:pPr>
        <w:pStyle w:val="Para 03"/>
      </w:pPr>
      <w:r>
        <w:t>Payload Port</w:t>
        <w:t xml:space="preserve"> </w:t>
        <w:t>: 623</w:t>
      </w:r>
    </w:p>
    <w:p>
      <w:pPr>
        <w:pStyle w:val="Para 17"/>
      </w:pPr>
      <w:r>
        <w:t/>
      </w:r>
    </w:p>
    <w:p>
      <w:pPr>
        <w:pStyle w:val="Para 01"/>
      </w:pPr>
      <w:r>
        <w:t>Activate serial-over-LAN</w:t>
      </w:r>
    </w:p>
    <w:p>
      <w:pPr>
        <w:pStyle w:val="Para 17"/>
      </w:pPr>
      <w:r>
        <w:t/>
      </w:r>
    </w:p>
    <w:p>
      <w:pPr>
        <w:pStyle w:val="Normal"/>
      </w:pPr>
      <w:r>
        <w:t>Open a second terminal and activate serial-over-LAN (SOL), so that you have two terminal windows open:</w:t>
      </w:r>
    </w:p>
    <w:p>
      <w:pPr>
        <w:pStyle w:val="Para 03"/>
      </w:pPr>
      <w:r>
        <w:t>1) to control the BMC via IPMI</w:t>
      </w:r>
    </w:p>
    <w:p>
      <w:pPr>
        <w:pStyle w:val="Para 03"/>
      </w:pPr>
      <w:r>
        <w:t>2) for the serial-over-LAN console</w:t>
      </w:r>
    </w:p>
    <w:p>
      <w:pPr>
        <w:pStyle w:val="Normal"/>
      </w:pPr>
      <w:r>
        <w:t>Activate serial-over-LAN:</w:t>
      </w:r>
    </w:p>
    <w:p>
      <w:pPr>
        <w:pStyle w:val="Normal"/>
      </w:pPr>
      <w:r>
        <w:t>$ ipmitool -I lanplus -H Power9Box -U &lt;user&gt; -P &lt;password&gt; sol activate</w:t>
        <w:t xml:space="preserve"> </w:t>
        <w:t>...</w:t>
      </w:r>
    </w:p>
    <w:p>
      <w:pPr>
        <w:pStyle w:val="Para 17"/>
      </w:pPr>
      <w:r>
        <w:t/>
      </w:r>
    </w:p>
    <w:p>
      <w:pPr>
        <w:pStyle w:val="Normal"/>
      </w:pPr>
      <w:r>
        <w:t>Power the system on in the ‘control terminal’ and watch the SOL console:</w:t>
      </w:r>
    </w:p>
    <w:p>
      <w:bookmarkStart w:id="90" w:name="page_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56"/>
                    <a:stretch>
                      <a:fillRect/>
                    </a:stretch>
                  </pic:blipFill>
                  <pic:spPr>
                    <a:xfrm>
                      <a:off x="0" y="0"/>
                      <a:ext cx="914400" cy="266700"/>
                    </a:xfrm>
                    <a:prstGeom prst="rect">
                      <a:avLst/>
                    </a:prstGeom>
                  </pic:spPr>
                </pic:pic>
              </a:graphicData>
            </a:graphic>
          </wp:anchor>
        </w:drawing>
      </w:r>
      <w:bookmarkEnd w:id="90"/>
    </w:p>
    <w:p>
      <w:pPr>
        <w:pStyle w:val="Normal"/>
      </w:pPr>
      <w:r>
        <w:t>$ ipmitool -I lanplus -H Power9Box -U &lt;user&gt; -P &lt;password&gt; power on</w:t>
        <w:t xml:space="preserve"> </w:t>
        <w:t>...</w:t>
      </w:r>
    </w:p>
    <w:p>
      <w:pPr>
        <w:pStyle w:val="Para 17"/>
      </w:pPr>
      <w:r>
        <w:t/>
      </w:r>
    </w:p>
    <w:p>
      <w:pPr>
        <w:pStyle w:val="Normal"/>
      </w:pPr>
      <w:r>
        <w:t>It takes some time to see the first lines in the SOL console:</w:t>
      </w:r>
    </w:p>
    <w:p>
      <w:pPr>
        <w:pStyle w:val="Normal"/>
      </w:pPr>
      <w:r>
        <w:t>[SOL Session operational.</w:t>
        <w:t xml:space="preserve"> </w:t>
        <w:t>Use ~? for help]</w:t>
        <w:t>--== Welcome to Hostboot</w:t>
        <w:t xml:space="preserve"> </w:t>
        <w:t>==--</w:t>
      </w:r>
    </w:p>
    <w:p>
      <w:pPr>
        <w:pStyle w:val="Para 03"/>
      </w:pPr>
      <w:r>
        <w:t>2.77131|secure|SecureROM valid - enabling functionality</w:t>
      </w:r>
    </w:p>
    <w:p>
      <w:pPr>
        <w:pStyle w:val="Para 03"/>
      </w:pPr>
      <w:r>
        <w:t>3.15860|secure|Booting in secure mode.</w:t>
      </w:r>
    </w:p>
    <w:p>
      <w:pPr>
        <w:pStyle w:val="Para 03"/>
      </w:pPr>
      <w:r>
        <w:t>5.59684|Booting from SBE side 0 on master proc=00050000</w:t>
      </w:r>
    </w:p>
    <w:p>
      <w:pPr>
        <w:pStyle w:val="Para 03"/>
      </w:pPr>
      <w:r>
        <w:t>5.60502|ISTEP</w:t>
        <w:t xml:space="preserve"> </w:t>
        <w:t>6. 5 - host_init_fsi</w:t>
      </w:r>
    </w:p>
    <w:p>
      <w:pPr>
        <w:pStyle w:val="Para 03"/>
      </w:pPr>
      <w:r>
        <w:t>5.87228|ISTEP</w:t>
        <w:t xml:space="preserve"> </w:t>
        <w:t>6. 6 - host_set_ipl_parms</w:t>
      </w:r>
    </w:p>
    <w:p>
      <w:pPr>
        <w:pStyle w:val="Para 03"/>
      </w:pPr>
      <w:r>
        <w:t>6.11032|ISTEP</w:t>
        <w:t xml:space="preserve"> </w:t>
        <w:t>6. 7 - host_discover_targets</w:t>
      </w:r>
    </w:p>
    <w:p>
      <w:pPr>
        <w:pStyle w:val="Para 03"/>
      </w:pPr>
      <w:r>
        <w:t>6.67868|HWAS|PRESENT&gt; DIMM[03]=A0A0000000000000</w:t>
      </w:r>
    </w:p>
    <w:p>
      <w:pPr>
        <w:pStyle w:val="Para 03"/>
      </w:pPr>
      <w:r>
        <w:t>6.67870|HWAS|PRESENT&gt; Proc[05]=8800000000000000</w:t>
      </w:r>
    </w:p>
    <w:p>
      <w:pPr>
        <w:pStyle w:val="Para 03"/>
      </w:pPr>
      <w:r>
        <w:t>6.67871|HWAS|PRESENT&gt; Core[07]=3FFF0C33FFC30000</w:t>
      </w:r>
    </w:p>
    <w:p>
      <w:pPr>
        <w:pStyle w:val="Para 03"/>
      </w:pPr>
      <w:r>
        <w:t>6.98988|ISTEP</w:t>
        <w:t xml:space="preserve"> </w:t>
        <w:t>6. 8 - host_update_master_tpm</w:t>
      </w:r>
    </w:p>
    <w:p>
      <w:pPr>
        <w:pStyle w:val="Para 03"/>
      </w:pPr>
      <w:r>
        <w:t>7.22711|SECURE|Security Access Bit&gt; 0xC000000000000000</w:t>
      </w:r>
    </w:p>
    <w:p>
      <w:pPr>
        <w:pStyle w:val="Para 03"/>
      </w:pPr>
      <w:r>
        <w:t>7.22711|SECURE|Secure Mode Disable (via Jumper)&gt; 0x0000000000000000</w:t>
      </w:r>
    </w:p>
    <w:p>
      <w:pPr>
        <w:pStyle w:val="Para 03"/>
      </w:pPr>
      <w:r>
        <w:t>7.22731|ISTEP</w:t>
        <w:t xml:space="preserve"> </w:t>
        <w:t>6. 9 - host_gard</w:t>
      </w:r>
    </w:p>
    <w:p>
      <w:pPr>
        <w:pStyle w:val="Para 03"/>
      </w:pPr>
      <w:r>
        <w:t>7.43353|HWAS|FUNCTIONAL&gt; DIMM[03]=A0A0000000000000</w:t>
      </w:r>
    </w:p>
    <w:p>
      <w:pPr>
        <w:pStyle w:val="Para 03"/>
      </w:pPr>
      <w:r>
        <w:t>7.43354|HWAS|FUNCTIONAL&gt; Proc[05]=8800000000000000</w:t>
      </w:r>
    </w:p>
    <w:p>
      <w:pPr>
        <w:pStyle w:val="Para 03"/>
      </w:pPr>
      <w:r>
        <w:t>7.43356|HWAS|FUNCTIONAL&gt; Core[07]=3FFF0C33FFC30000</w:t>
      </w:r>
    </w:p>
    <w:p>
      <w:pPr>
        <w:pStyle w:val="Para 03"/>
      </w:pPr>
      <w:r>
        <w:t>7.44509|ISTEP</w:t>
        <w:t xml:space="preserve"> </w:t>
        <w:t>6.10 - host_revert_sbe_mcs_setup</w:t>
      </w:r>
    </w:p>
    <w:p>
      <w:pPr>
        <w:pStyle w:val="Normal"/>
      </w:pPr>
      <w:r>
        <w:t>…</w:t>
      </w:r>
    </w:p>
    <w:p>
      <w:pPr>
        <w:pStyle w:val="Para 17"/>
      </w:pPr>
      <w:r>
        <w:t/>
      </w:r>
    </w:p>
    <w:p>
      <w:pPr>
        <w:pStyle w:val="Normal"/>
      </w:pPr>
      <w:r>
        <w:t>After a moment the system reaches the Petitboot screen:</w:t>
      </w:r>
    </w:p>
    <w:p>
      <w:pPr>
        <w:pStyle w:val="Normal"/>
      </w:pPr>
      <w:r>
        <w:t>Petitboot (v1.7.5-p8f5fc86)</w:t>
        <w:t xml:space="preserve"> </w:t>
        <w:t>9006-12P 1302NXA</w:t>
      </w:r>
    </w:p>
    <w:p>
      <w:pPr>
        <w:pStyle w:val="Para 03"/>
      </w:pPr>
      <w:r>
        <w:t>─────────────────────────────────────────────────</w:t>
      </w:r>
    </w:p>
    <w:p>
      <w:pPr>
        <w:pStyle w:val="Normal"/>
      </w:pPr>
      <w:r>
        <w:t>[Network: enP2p1s0f0 / 0c:c4:7a:87:04:d8]</w:t>
      </w:r>
    </w:p>
    <w:p>
      <w:pPr>
        <w:pStyle w:val="Para 04"/>
      </w:pPr>
      <w:r>
        <w:t>Execute</w:t>
      </w:r>
    </w:p>
    <w:p>
      <w:pPr>
        <w:pStyle w:val="Para 04"/>
      </w:pPr>
      <w:r>
        <w:t>netboot enP2p1s0f0 (pxelinux.0)</w:t>
      </w:r>
    </w:p>
    <w:p>
      <w:pPr>
        <w:pStyle w:val="Normal"/>
      </w:pPr>
      <w:r>
        <w:t>[CD/DVD: sr0 / 2019-10-17-13-35-12-00]</w:t>
      </w:r>
    </w:p>
    <w:p>
      <w:pPr>
        <w:pStyle w:val="Para 04"/>
      </w:pPr>
      <w:r>
        <w:t>Install Ubuntu Server</w:t>
      </w:r>
    </w:p>
    <w:p>
      <w:pPr>
        <w:pStyle w:val="Normal"/>
      </w:pPr>
      <w:r>
        <w:t>[Disk: sda2 / 295f571b-b731-4ebb-b752-60aadc80fc1b]</w:t>
      </w:r>
    </w:p>
    <w:p>
      <w:pPr>
        <w:pStyle w:val="Para 04"/>
      </w:pPr>
      <w:r>
        <w:t>Ubuntu, with Linux 5.4.0-14-generic (recovery mode)</w:t>
      </w:r>
    </w:p>
    <w:p>
      <w:pPr>
        <w:pStyle w:val="Para 04"/>
      </w:pPr>
      <w:r>
        <w:t>Ubuntu, with Linux 5.4.0-14-generic</w:t>
      </w:r>
    </w:p>
    <w:p>
      <w:pPr>
        <w:pStyle w:val="Para 04"/>
      </w:pPr>
      <w:r>
        <w:t>Ubuntu</w:t>
      </w:r>
    </w:p>
    <w:p>
      <w:pPr>
        <w:pStyle w:val="Normal"/>
      </w:pPr>
      <w:r>
        <w:t>System information</w:t>
      </w:r>
    </w:p>
    <w:p>
      <w:pPr>
        <w:pStyle w:val="Normal"/>
      </w:pPr>
      <w:r>
        <w:t>System configuration</w:t>
      </w:r>
    </w:p>
    <w:p>
      <w:pPr>
        <w:pStyle w:val="Normal"/>
      </w:pPr>
      <w:r>
        <w:t>System status log</w:t>
      </w:r>
    </w:p>
    <w:p>
      <w:pPr>
        <w:pStyle w:val="Normal"/>
      </w:pPr>
      <w:r>
        <w:t>Language</w:t>
      </w:r>
    </w:p>
    <w:p>
      <w:pPr>
        <w:pStyle w:val="Normal"/>
      </w:pPr>
      <w:r>
        <w:t>Rescan devices</w:t>
      </w:r>
    </w:p>
    <w:p>
      <w:pPr>
        <w:pStyle w:val="Normal"/>
      </w:pPr>
      <w:r>
        <w:t>Retrieve config from URL</w:t>
      </w:r>
    </w:p>
    <w:p>
      <w:pPr>
        <w:pStyle w:val="Normal"/>
      </w:pPr>
      <w:r>
        <w:t>Plugins (0)</w:t>
      </w:r>
    </w:p>
    <w:p>
      <w:pPr>
        <w:pStyle w:val="Para 04"/>
      </w:pPr>
      <w:r>
        <w:t>*Exit to shell</w:t>
      </w:r>
    </w:p>
    <w:p>
      <w:pPr>
        <w:pStyle w:val="Para 04"/>
      </w:pPr>
      <w:r>
        <w:t>─────────────────────────────────────────────────</w:t>
      </w:r>
    </w:p>
    <w:p>
      <w:pPr>
        <w:pStyle w:val="Normal"/>
      </w:pPr>
      <w:r>
        <w:t>Enter=accept, e=edit, n=new, x=exit, l=language, g=log, h=help</w:t>
      </w:r>
    </w:p>
    <w:p>
      <w:pPr>
        <w:pStyle w:val="Para 17"/>
      </w:pPr>
      <w:r>
        <w:t/>
      </w:r>
    </w:p>
    <w:p>
      <w:pPr>
        <w:pStyle w:val="Normal"/>
      </w:pPr>
      <w:r>
        <w:t>Select “*Exit to shell”.</w:t>
      </w:r>
    </w:p>
    <w:p>
      <w:bookmarkStart w:id="91" w:name="page_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 name="index-51_1.png" descr="index-51_1.png"/>
            <wp:cNvGraphicFramePr>
              <a:graphicFrameLocks noChangeAspect="1"/>
            </wp:cNvGraphicFramePr>
            <a:graphic>
              <a:graphicData uri="http://schemas.openxmlformats.org/drawingml/2006/picture">
                <pic:pic>
                  <pic:nvPicPr>
                    <pic:cNvPr id="0" name="index-51_1.png" descr="index-51_1.png"/>
                    <pic:cNvPicPr/>
                  </pic:nvPicPr>
                  <pic:blipFill>
                    <a:blip r:embed="rId57"/>
                    <a:stretch>
                      <a:fillRect/>
                    </a:stretch>
                  </pic:blipFill>
                  <pic:spPr>
                    <a:xfrm>
                      <a:off x="0" y="0"/>
                      <a:ext cx="914400" cy="266700"/>
                    </a:xfrm>
                    <a:prstGeom prst="rect">
                      <a:avLst/>
                    </a:prstGeom>
                  </pic:spPr>
                </pic:pic>
              </a:graphicData>
            </a:graphic>
          </wp:anchor>
        </w:drawing>
      </w:r>
      <w:bookmarkEnd w:id="91"/>
    </w:p>
    <w:p>
      <w:pPr>
        <w:pStyle w:val="Para 08"/>
      </w:pPr>
      <w:r>
        <w:t>Note:</w:t>
      </w:r>
    </w:p>
    <w:p>
      <w:pPr>
        <w:pStyle w:val="Para 03"/>
      </w:pPr>
      <w:r>
        <w:t>Make sure you really watch the SOL, since the Petitboot screen (above) has a time out</w:t>
      </w:r>
    </w:p>
    <w:p>
      <w:pPr>
        <w:pStyle w:val="Para 03"/>
      </w:pPr>
      <w:r>
        <w:t>(usually 10 or 30 seconds) and afterwards it automatically proceeds and tries to boot from</w:t>
      </w:r>
    </w:p>
    <w:p>
      <w:pPr>
        <w:pStyle w:val="Para 03"/>
      </w:pPr>
      <w:r>
        <w:t>the configured devices (usually disk). This can be prevented by just navigating in Petitboot.</w:t>
      </w:r>
    </w:p>
    <w:p>
      <w:pPr>
        <w:pStyle w:val="Para 03"/>
      </w:pPr>
      <w:r>
        <w:t>The petitboot shell is small Linux based OS:</w:t>
      </w:r>
    </w:p>
    <w:p>
      <w:pPr>
        <w:pStyle w:val="Para 03"/>
      </w:pPr>
      <w:r>
        <w:t>...</w:t>
      </w:r>
    </w:p>
    <w:p>
      <w:pPr>
        <w:pStyle w:val="Para 03"/>
      </w:pPr>
      <w:r>
        <w:t>Exiting petitboot</w:t>
        <w:t>.</w:t>
        <w:t xml:space="preserve"> </w:t>
        <w:t>Type</w:t>
        <w:t xml:space="preserve"> </w:t>
        <w:t>'exit'</w:t>
        <w:t xml:space="preserve"> </w:t>
        <w:t>to</w:t>
        <w:t xml:space="preserve"> </w:t>
      </w:r>
      <w:r>
        <w:rPr>
          <w:rStyle w:val="Text0"/>
        </w:rPr>
        <w:t>return</w:t>
      </w:r>
      <w:r>
        <w:t>.</w:t>
      </w:r>
    </w:p>
    <w:p>
      <w:pPr>
        <w:pStyle w:val="Para 03"/>
      </w:pPr>
      <w:r>
        <w:t>You may run</w:t>
        <w:t xml:space="preserve"> </w:t>
        <w:t>'pb-sos'</w:t>
        <w:t xml:space="preserve"> </w:t>
        <w:t>to gather diagnostic data</w:t>
      </w:r>
    </w:p>
    <w:p>
      <w:pPr>
        <w:pStyle w:val="Para 17"/>
      </w:pPr>
      <w:r>
        <w:t/>
      </w:r>
    </w:p>
    <w:p>
      <w:pPr>
        <w:pStyle w:val="Para 08"/>
      </w:pPr>
      <w:r>
        <w:t>Note:</w:t>
      </w:r>
    </w:p>
    <w:p>
      <w:pPr>
        <w:pStyle w:val="Para 03"/>
      </w:pPr>
      <w:r>
        <w:t>In case one needs to gather system details and diagnostic data for IBM support, this can</w:t>
      </w:r>
    </w:p>
    <w:p>
      <w:pPr>
        <w:pStyle w:val="Para 03"/>
      </w:pPr>
      <w:r>
        <w:t>be done here by running ‘pb-sos’ (see msg).</w:t>
      </w:r>
    </w:p>
    <w:p>
      <w:pPr>
        <w:pStyle w:val="Para 17"/>
      </w:pPr>
      <w:r>
        <w:t/>
      </w:r>
    </w:p>
    <w:p>
      <w:pPr>
        <w:pStyle w:val="Para 01"/>
      </w:pPr>
      <w:r>
        <w:t>Download the ISO</w:t>
      </w:r>
    </w:p>
    <w:p>
      <w:pPr>
        <w:pStyle w:val="Para 17"/>
      </w:pPr>
      <w:r>
        <w:t/>
      </w:r>
    </w:p>
    <w:p>
      <w:pPr>
        <w:pStyle w:val="Normal"/>
      </w:pPr>
      <w:r>
        <w:t>Now download the ‘live-server’ ISO image (notice that ‘focal-live-server-ppc64el.iso’ uses the liver server installer, Subiquity, while ‘focal-server-s390x.iso’ uses d-i).</w:t>
      </w:r>
    </w:p>
    <w:p>
      <w:pPr>
        <w:pStyle w:val="Normal"/>
      </w:pPr>
      <w:r>
        <w:t>Again, for certain web locations a proxy needs to be used:</w:t>
      </w:r>
    </w:p>
    <w:p>
      <w:pPr>
        <w:pStyle w:val="Para 10"/>
      </w:pPr>
      <w:r>
        <w:rPr>
          <w:rStyle w:val="Text3"/>
        </w:rPr>
        <w:t>/</w:t>
        <w:t xml:space="preserve"> </w:t>
      </w:r>
      <w:r>
        <w:t># export http_proxy=http://squid.proxy:3128</w:t>
      </w:r>
      <w:r>
        <w:rPr>
          <w:rStyle w:val="Text3"/>
        </w:rPr>
        <w:t xml:space="preserve"> </w:t>
      </w:r>
      <w:r>
        <w:t># in case a proxy is required</w:t>
      </w:r>
      <w:r>
        <w:rPr>
          <w:rStyle w:val="Text3"/>
        </w:rPr>
        <w:t xml:space="preserve"> </w:t>
        <w:t>/</w:t>
        <w:t xml:space="preserve"> </w:t>
      </w:r>
      <w:r>
        <w:t>#</w:t>
      </w:r>
    </w:p>
    <w:p>
      <w:pPr>
        <w:pStyle w:val="Para 10"/>
      </w:pPr>
      <w:r>
        <w:rPr>
          <w:rStyle w:val="Text3"/>
        </w:rPr>
        <w:t>/</w:t>
        <w:t xml:space="preserve"> </w:t>
      </w:r>
      <w:r>
        <w:t># wget http://cdimage.ubuntu.com/ubuntu-server/daily-live/current/focal-live-server-</w:t>
        <w:t>ppc64el.iso</w:t>
      </w:r>
    </w:p>
    <w:p>
      <w:pPr>
        <w:pStyle w:val="Normal"/>
      </w:pPr>
      <w:r>
        <w:t>Connecting to</w:t>
        <w:t xml:space="preserve"> </w:t>
        <w:t>&lt;</w:t>
        <w:t>proxy</w:t>
        <w:t>-</w:t>
        <w:t>ip</w:t>
        <w:t>&gt;</w:t>
        <w:t>:</w:t>
        <w:t>3128</w:t>
        <w:t xml:space="preserve"> </w:t>
        <w:t>(</w:t>
        <w:t>&lt;</w:t>
        <w:t>proxy</w:t>
        <w:t>-</w:t>
        <w:t>ip</w:t>
        <w:t>&gt;</w:t>
        <w:t>:</w:t>
        <w:t>3128</w:t>
        <w:t>)</w:t>
        <w:t xml:space="preserve"> </w:t>
        <w:t>focal</w:t>
        <w:t>-</w:t>
        <w:t>live</w:t>
        <w:t>-</w:t>
        <w:t>server</w:t>
        <w:t>-</w:t>
        <w:t>pp</w:t>
        <w:t xml:space="preserve"> </w:t>
        <w:t>100</w:t>
        <w:t>% |....................|</w:t>
        <w:t xml:space="preserve"> </w:t>
        <w:t>922</w:t>
        <w:t>M</w:t>
        <w:t xml:space="preserve"> </w:t>
        <w:t>0</w:t>
        <w:t>:</w:t>
        <w:t>00</w:t>
        <w:t>:</w:t>
        <w:t>00</w:t>
        <w:t xml:space="preserve"> </w:t>
        <w:t>ETA</w:t>
      </w:r>
    </w:p>
    <w:p>
      <w:pPr>
        <w:pStyle w:val="Para 17"/>
      </w:pPr>
      <w:r>
        <w:t/>
      </w:r>
    </w:p>
    <w:p>
      <w:pPr>
        <w:pStyle w:val="Normal"/>
      </w:pPr>
      <w:r>
        <w:t>Next we need to loop-back mount the ISO:</w:t>
      </w:r>
    </w:p>
    <w:p>
      <w:pPr>
        <w:pStyle w:val="Para 10"/>
      </w:pPr>
      <w:r>
        <w:rPr>
          <w:rStyle w:val="Text3"/>
        </w:rPr>
        <w:t>/</w:t>
        <w:t xml:space="preserve"> </w:t>
      </w:r>
      <w:r>
        <w:t># mkdir iso</w:t>
      </w:r>
    </w:p>
    <w:p>
      <w:pPr>
        <w:pStyle w:val="Para 10"/>
      </w:pPr>
      <w:r>
        <w:rPr>
          <w:rStyle w:val="Text3"/>
        </w:rPr>
        <w:t>/</w:t>
        <w:t xml:space="preserve"> </w:t>
      </w:r>
      <w:r>
        <w:t># mount -o loop focal-live-server-ppc64el.iso iso</w:t>
      </w:r>
    </w:p>
    <w:p>
      <w:pPr>
        <w:pStyle w:val="Para 17"/>
      </w:pPr>
      <w:r>
        <w:t/>
      </w:r>
    </w:p>
    <w:p>
      <w:pPr>
        <w:pStyle w:val="Normal"/>
      </w:pPr>
      <w:r>
        <w:t>Or, in case auto-detect of type iso9660 is not supported or not working, you should explicitly specify the ‘iso9660’ type:</w:t>
      </w:r>
    </w:p>
    <w:p>
      <w:pPr>
        <w:pStyle w:val="Para 10"/>
      </w:pPr>
      <w:r>
        <w:rPr>
          <w:rStyle w:val="Text3"/>
        </w:rPr>
        <w:t>/</w:t>
        <w:t xml:space="preserve"> </w:t>
      </w:r>
      <w:r>
        <w:t># mount -t iso9660 -o loop focal-live-server-ppc64el.iso iso</w:t>
      </w:r>
    </w:p>
    <w:p>
      <w:pPr>
        <w:pStyle w:val="Para 17"/>
      </w:pPr>
      <w:r>
        <w:t/>
      </w:r>
    </w:p>
    <w:p>
      <w:pPr>
        <w:pStyle w:val="Normal"/>
      </w:pPr>
      <w:r>
        <w:t>Now load kernel and initrd from the loop-back mount, specify any needed kernel parameters and get it going:</w:t>
      </w:r>
    </w:p>
    <w:p>
      <w:pPr>
        <w:pStyle w:val="Normal"/>
      </w:pPr>
      <w:r>
        <w:t>/ # kexec -l ./iso/casper/vmlinux --initrd=./iso/casper/initrd.gz --append="ip=dhcp</w:t>
        <w:t xml:space="preserve"> </w:t>
        <w:t>url=http://cdimage.ubuntu.com/ubuntu-server/daily-live/current/focal-live-server-ppc64el.</w:t>
        <w:t xml:space="preserve"> </w:t>
        <w:t>iso http_proxy=http://squid.proxy:3128 --- quiet"</w:t>
      </w:r>
    </w:p>
    <w:p>
      <w:pPr>
        <w:pStyle w:val="Normal"/>
      </w:pPr>
      <w:r>
        <w:t>/ # kexec -e</w:t>
      </w:r>
    </w:p>
    <w:p>
      <w:pPr>
        <w:pStyle w:val="Normal"/>
      </w:pPr>
      <w:r>
        <w:t>The system is going down NOW!</w:t>
      </w:r>
    </w:p>
    <w:p>
      <w:pPr>
        <w:pStyle w:val="Normal"/>
      </w:pPr>
      <w:r>
        <w:t>Sent SIGTERM to all processes</w:t>
      </w:r>
    </w:p>
    <w:p>
      <w:pPr>
        <w:pStyle w:val="Normal"/>
      </w:pPr>
      <w:r>
        <w:t>Sent SIGKILL to all processes</w:t>
      </w:r>
    </w:p>
    <w:p>
      <w:pPr>
        <w:pStyle w:val="Normal"/>
      </w:pPr>
      <w:r>
        <w:t>...</w:t>
      </w:r>
    </w:p>
    <w:p>
      <w:bookmarkStart w:id="92" w:name="page_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58"/>
                    <a:stretch>
                      <a:fillRect/>
                    </a:stretch>
                  </pic:blipFill>
                  <pic:spPr>
                    <a:xfrm>
                      <a:off x="0" y="0"/>
                      <a:ext cx="914400" cy="266700"/>
                    </a:xfrm>
                    <a:prstGeom prst="rect">
                      <a:avLst/>
                    </a:prstGeom>
                  </pic:spPr>
                </pic:pic>
              </a:graphicData>
            </a:graphic>
          </wp:anchor>
        </w:drawing>
      </w:r>
      <w:bookmarkEnd w:id="92"/>
    </w:p>
    <w:p>
      <w:pPr>
        <w:pStyle w:val="Para 08"/>
      </w:pPr>
      <w:r>
        <w:t>Note:</w:t>
      </w:r>
    </w:p>
    <w:p>
      <w:pPr>
        <w:pStyle w:val="Para 03"/>
      </w:pPr>
      <w:r>
        <w:t>In order to boot with and install the HWE kernel (if available), substitute vmlinux with</w:t>
      </w:r>
    </w:p>
    <w:p>
      <w:pPr>
        <w:pStyle w:val="Para 03"/>
      </w:pPr>
      <w:r>
        <w:t>vmlinux-hwe in the first kexec line.</w:t>
      </w:r>
    </w:p>
    <w:p>
      <w:pPr>
        <w:pStyle w:val="Normal"/>
      </w:pPr>
      <w:r>
        <w:t>The system now performs the initial boot of the installer:</w:t>
      </w:r>
    </w:p>
    <w:p>
      <w:pPr>
        <w:pStyle w:val="Normal"/>
      </w:pPr>
      <w:r>
        <w:t>[</w:t>
        <w:t xml:space="preserve"> </w:t>
        <w:t>1200.687004</w:t>
        <w:t>] kexec_core: Starting new kernel</w:t>
        <w:t xml:space="preserve"> </w:t>
        <w:t>[</w:t>
        <w:t xml:space="preserve"> </w:t>
        <w:t>1277.493883374</w:t>
        <w:t>,</w:t>
        <w:t>5</w:t>
        <w:t>] OPAL: Switch to big</w:t>
        <w:t>-</w:t>
        <w:t>endian OS</w:t>
        <w:t xml:space="preserve"> </w:t>
        <w:t>[</w:t>
        <w:t xml:space="preserve"> </w:t>
        <w:t>1280.465061219</w:t>
        <w:t>,</w:t>
        <w:t>5</w:t>
        <w:t>] OPAL: Switch to little</w:t>
        <w:t>-</w:t>
        <w:t>endian OS</w:t>
        <w:t xml:space="preserve"> </w:t>
        <w:t>ln:</w:t>
        <w:t xml:space="preserve"> </w:t>
        <w:t>/</w:t>
        <w:t>tmp</w:t>
        <w:t>/</w:t>
        <w:t>mountroot</w:t>
        <w:t>-</w:t>
        <w:t>fail</w:t>
        <w:t>-</w:t>
        <w:t>hooks</w:t>
        <w:t>.</w:t>
        <w:t>d</w:t>
        <w:t>//</w:t>
        <w:t>scripts</w:t>
        <w:t>/</w:t>
        <w:t>init</w:t>
        <w:t>-</w:t>
        <w:t>premount</w:t>
        <w:t>/</w:t>
        <w:t>lvm2: No such file</w:t>
        <w:t xml:space="preserve"> </w:t>
      </w:r>
      <w:r>
        <w:rPr>
          <w:rStyle w:val="Text0"/>
        </w:rPr>
        <w:t>or</w:t>
      </w:r>
      <w:r>
        <w:t xml:space="preserve"> </w:t>
        <w:t>directory</w:t>
        <w:t xml:space="preserve"> </w:t>
        <w:t>Internet Systems Consortium DHCP Client</w:t>
        <w:t xml:space="preserve"> </w:t>
        <w:t>4.4.1</w:t>
        <w:t xml:space="preserve"> </w:t>
        <w:t>Copyright</w:t>
        <w:t xml:space="preserve"> </w:t>
        <w:t>2004</w:t>
        <w:t>-</w:t>
        <w:t>2018</w:t>
        <w:t xml:space="preserve"> </w:t>
        <w:t>Internet Systems Consortium</w:t>
        <w:t>.</w:t>
        <w:t xml:space="preserve"> </w:t>
        <w:t>All rights reserved</w:t>
        <w:t>.</w:t>
      </w:r>
    </w:p>
    <w:p>
      <w:pPr>
        <w:pStyle w:val="Normal"/>
      </w:pPr>
      <w:r>
        <w:t>For info, please visit https:</w:t>
        <w:t>//</w:t>
        <w:t>www</w:t>
        <w:t>.</w:t>
        <w:t>isc</w:t>
        <w:t>.</w:t>
        <w:t>org</w:t>
        <w:t>/</w:t>
        <w:t>software</w:t>
        <w:t>/</w:t>
        <w:t>dhcp</w:t>
        <w:t>/</w:t>
        <w:t xml:space="preserve"> </w:t>
        <w:t>Listening on LPF</w:t>
        <w:t>/</w:t>
        <w:t>enP2p1s0f3</w:t>
        <w:t>/</w:t>
        <w:t>0</w:t>
        <w:t>c:c4:</w:t>
        <w:t>7</w:t>
        <w:t>a:</w:t>
        <w:t>87</w:t>
        <w:t>:</w:t>
        <w:t>04</w:t>
        <w:t>:db</w:t>
        <w:t xml:space="preserve"> </w:t>
        <w:t>Sending on</w:t>
        <w:t xml:space="preserve"> </w:t>
        <w:t>LPF</w:t>
        <w:t>/</w:t>
        <w:t>enP2p1s0f3</w:t>
        <w:t>/</w:t>
        <w:t>0</w:t>
        <w:t>c:c4:</w:t>
        <w:t>7</w:t>
        <w:t>a:</w:t>
        <w:t>87</w:t>
        <w:t>:</w:t>
        <w:t>04</w:t>
        <w:t>:db</w:t>
        <w:t xml:space="preserve"> </w:t>
        <w:t>Listening on LPF</w:t>
        <w:t>/</w:t>
        <w:t>enP2p1s0f2</w:t>
        <w:t>/</w:t>
        <w:t>0</w:t>
        <w:t>c:c4:</w:t>
        <w:t>7</w:t>
        <w:t>a:</w:t>
        <w:t>87</w:t>
        <w:t>:</w:t>
        <w:t>04</w:t>
        <w:t>:da</w:t>
        <w:t xml:space="preserve"> </w:t>
        <w:t>Sending on</w:t>
        <w:t xml:space="preserve"> </w:t>
        <w:t>LPF</w:t>
        <w:t>/</w:t>
        <w:t>enP2p1s0f2</w:t>
        <w:t>/</w:t>
        <w:t>0</w:t>
        <w:t>c:c4:</w:t>
        <w:t>7</w:t>
        <w:t>a:</w:t>
        <w:t>87</w:t>
        <w:t>:</w:t>
        <w:t>04</w:t>
        <w:t>:da</w:t>
        <w:t xml:space="preserve"> </w:t>
        <w:t>Listening on LPF</w:t>
        <w:t>/</w:t>
        <w:t>enP2p1s0f1</w:t>
        <w:t>/</w:t>
        <w:t>0</w:t>
        <w:t>c:c4:</w:t>
        <w:t>7</w:t>
        <w:t>a:</w:t>
        <w:t>87</w:t>
        <w:t>:</w:t>
        <w:t>04</w:t>
        <w:t>:d9</w:t>
        <w:t xml:space="preserve"> </w:t>
        <w:t>Sending on</w:t>
        <w:t xml:space="preserve"> </w:t>
        <w:t>LPF</w:t>
        <w:t>/</w:t>
        <w:t>enP2p1s0f1</w:t>
        <w:t>/</w:t>
        <w:t>0</w:t>
        <w:t>c:c4:</w:t>
        <w:t>7</w:t>
        <w:t>a:</w:t>
        <w:t>87</w:t>
        <w:t>:</w:t>
        <w:t>04</w:t>
        <w:t>:d9</w:t>
        <w:t xml:space="preserve"> </w:t>
        <w:t>Listening on LPF</w:t>
        <w:t>/</w:t>
        <w:t>enP2p1s0f0</w:t>
        <w:t>/</w:t>
        <w:t>0</w:t>
        <w:t>c:c4:</w:t>
        <w:t>7</w:t>
        <w:t>a:</w:t>
        <w:t>87</w:t>
        <w:t>:</w:t>
        <w:t>04</w:t>
        <w:t>:d8</w:t>
        <w:t xml:space="preserve"> </w:t>
        <w:t>Sending on</w:t>
        <w:t xml:space="preserve"> </w:t>
        <w:t>LPF</w:t>
        <w:t>/</w:t>
        <w:t>enP2p1s0f0</w:t>
        <w:t>/</w:t>
        <w:t>0</w:t>
        <w:t>c:c4:</w:t>
        <w:t>7</w:t>
        <w:t>a:</w:t>
        <w:t>87</w:t>
        <w:t>:</w:t>
        <w:t>04</w:t>
        <w:t>:d8</w:t>
        <w:t xml:space="preserve"> </w:t>
        <w:t>Sending on</w:t>
        <w:t xml:space="preserve"> </w:t>
        <w:t>Socket</w:t>
        <w:t>/</w:t>
        <w:t>fallback</w:t>
      </w:r>
    </w:p>
    <w:p>
      <w:pPr>
        <w:pStyle w:val="Normal"/>
      </w:pPr>
      <w:r>
        <w:t>DHCPDISCOVER on enP2p1s0f3 to</w:t>
        <w:t xml:space="preserve"> </w:t>
        <w:t>255.255.255.255</w:t>
        <w:t xml:space="preserve"> </w:t>
        <w:t>port</w:t>
        <w:t xml:space="preserve"> </w:t>
        <w:t>67</w:t>
        <w:t xml:space="preserve"> </w:t>
        <w:t>interval</w:t>
        <w:t xml:space="preserve"> </w:t>
        <w:t>3</w:t>
        <w:t xml:space="preserve"> </w:t>
        <w:t>(xid</w:t>
        <w:t>=</w:t>
        <w:t>0x8d5704c</w:t>
        <w:t>)</w:t>
      </w:r>
    </w:p>
    <w:p>
      <w:pPr>
        <w:pStyle w:val="Normal"/>
      </w:pPr>
      <w:r>
        <w:t>DHCPDISCOVER on enP2p1s0f2 to</w:t>
        <w:t xml:space="preserve"> </w:t>
        <w:t>255.255.255.255</w:t>
        <w:t xml:space="preserve"> </w:t>
        <w:t>port</w:t>
        <w:t xml:space="preserve"> </w:t>
        <w:t>67</w:t>
        <w:t xml:space="preserve"> </w:t>
        <w:t>interval</w:t>
        <w:t xml:space="preserve"> </w:t>
        <w:t>3</w:t>
        <w:t xml:space="preserve"> </w:t>
        <w:t>(xid</w:t>
        <w:t>=</w:t>
        <w:t>0x94b25b28</w:t>
        <w:t>)</w:t>
      </w:r>
    </w:p>
    <w:p>
      <w:pPr>
        <w:pStyle w:val="Normal"/>
      </w:pPr>
      <w:r>
        <w:t>DHCPDISCOVER on enP2p1s0f1 to</w:t>
        <w:t xml:space="preserve"> </w:t>
        <w:t>255.255.255.255</w:t>
        <w:t xml:space="preserve"> </w:t>
        <w:t>port</w:t>
        <w:t xml:space="preserve"> </w:t>
        <w:t>67</w:t>
        <w:t xml:space="preserve"> </w:t>
        <w:t>interval</w:t>
        <w:t xml:space="preserve"> </w:t>
        <w:t>3</w:t>
        <w:t xml:space="preserve"> </w:t>
        <w:t>(xid</w:t>
        <w:t>=</w:t>
        <w:t>0x4edd0558</w:t>
        <w:t>)</w:t>
      </w:r>
    </w:p>
    <w:p>
      <w:pPr>
        <w:pStyle w:val="Normal"/>
      </w:pPr>
      <w:r>
        <w:t>DHCPDISCOVER on enP2p1s0f0 to</w:t>
        <w:t xml:space="preserve"> </w:t>
        <w:t>255.255.255.255</w:t>
        <w:t xml:space="preserve"> </w:t>
        <w:t>port</w:t>
        <w:t xml:space="preserve"> </w:t>
        <w:t>67</w:t>
        <w:t xml:space="preserve"> </w:t>
        <w:t>interval</w:t>
        <w:t xml:space="preserve"> </w:t>
        <w:t>3</w:t>
        <w:t xml:space="preserve"> </w:t>
        <w:t>(xid</w:t>
        <w:t>=</w:t>
        <w:t>0x61c90d28</w:t>
        <w:t>)</w:t>
      </w:r>
    </w:p>
    <w:p>
      <w:pPr>
        <w:pStyle w:val="Normal"/>
      </w:pPr>
      <w:r>
        <w:t>DHCPOFFER of</w:t>
        <w:t xml:space="preserve"> </w:t>
        <w:t>10.245.71.102</w:t>
        <w:t xml:space="preserve"> </w:t>
      </w:r>
      <w:r>
        <w:rPr>
          <w:rStyle w:val="Text0"/>
        </w:rPr>
        <w:t>from</w:t>
      </w:r>
      <w:r>
        <w:t xml:space="preserve"> </w:t>
        <w:t>10.245.71.3</w:t>
        <w:t xml:space="preserve"> </w:t>
        <w:t>DHCPREQUEST</w:t>
        <w:t xml:space="preserve"> </w:t>
      </w:r>
      <w:r>
        <w:rPr>
          <w:rStyle w:val="Text0"/>
        </w:rPr>
        <w:t>for</w:t>
      </w:r>
      <w:r>
        <w:t xml:space="preserve"> </w:t>
        <w:t>10.245.71.102</w:t>
        <w:t xml:space="preserve"> </w:t>
        <w:t>on enP2p1s0f0 to</w:t>
        <w:t xml:space="preserve"> </w:t>
        <w:t>255.255.255.255</w:t>
        <w:t xml:space="preserve"> </w:t>
        <w:t>port</w:t>
        <w:t xml:space="preserve"> </w:t>
        <w:t>67</w:t>
        <w:t xml:space="preserve"> </w:t>
        <w:t>(xid</w:t>
        <w:t>=</w:t>
        <w:t>0x280dc961</w:t>
        <w:t>)</w:t>
      </w:r>
    </w:p>
    <w:p>
      <w:pPr>
        <w:pStyle w:val="Normal"/>
      </w:pPr>
      <w:r>
        <w:t>DHCPACK of</w:t>
        <w:t xml:space="preserve"> </w:t>
        <w:t>10.245.71.102</w:t>
        <w:t xml:space="preserve"> </w:t>
      </w:r>
      <w:r>
        <w:rPr>
          <w:rStyle w:val="Text0"/>
        </w:rPr>
        <w:t>from</w:t>
      </w:r>
      <w:r>
        <w:t xml:space="preserve"> </w:t>
        <w:t>10.245.71.3</w:t>
        <w:t xml:space="preserve"> </w:t>
        <w:t>(xid</w:t>
        <w:t>=</w:t>
        <w:t>0x61c90d28</w:t>
        <w:t>)</w:t>
        <w:t xml:space="preserve"> </w:t>
        <w:t>bound to</w:t>
        <w:t xml:space="preserve"> </w:t>
        <w:t>10.245.71.102</w:t>
        <w:t>--</w:t>
        <w:t>renewal</w:t>
        <w:t xml:space="preserve"> </w:t>
      </w:r>
      <w:r>
        <w:rPr>
          <w:rStyle w:val="Text0"/>
        </w:rPr>
        <w:t>in</w:t>
      </w:r>
      <w:r>
        <w:t xml:space="preserve"> </w:t>
        <w:t>236</w:t>
        <w:t xml:space="preserve"> </w:t>
        <w:t>seconds</w:t>
        <w:t>.</w:t>
        <w:t xml:space="preserve"> </w:t>
        <w:t>Connecting to</w:t>
        <w:t xml:space="preserve"> </w:t>
        <w:t>91.189.89.11</w:t>
        <w:t>:</w:t>
        <w:t>3128</w:t>
        <w:t xml:space="preserve"> </w:t>
        <w:t>(</w:t>
        <w:t>91.189.89.11</w:t>
        <w:t>:</w:t>
        <w:t>3128</w:t>
        <w:t>)</w:t>
        <w:t xml:space="preserve"> </w:t>
        <w:t>focal</w:t>
        <w:t>-</w:t>
        <w:t>live</w:t>
        <w:t>-</w:t>
        <w:t>server</w:t>
        <w:t>-</w:t>
        <w:t>pp</w:t>
        <w:t xml:space="preserve"> </w:t>
        <w:t>1</w:t>
        <w:t>% |</w:t>
        <w:t xml:space="preserve"> </w:t>
        <w:t>|</w:t>
        <w:t xml:space="preserve"> </w:t>
        <w:t>14.0</w:t>
        <w:t>M</w:t>
        <w:t xml:space="preserve"> </w:t>
        <w:t>0</w:t>
        <w:t>:</w:t>
        <w:t>01</w:t>
        <w:t>:</w:t>
        <w:t>04</w:t>
        <w:t xml:space="preserve"> </w:t>
        <w:t>ETA</w:t>
        <w:t xml:space="preserve"> </w:t>
        <w:t>focal</w:t>
        <w:t>-</w:t>
        <w:t>live</w:t>
        <w:t>-</w:t>
        <w:t>server</w:t>
        <w:t>-</w:t>
        <w:t>pp</w:t>
        <w:t xml:space="preserve"> </w:t>
        <w:t>4</w:t>
        <w:t>% |*</w:t>
        <w:t xml:space="preserve"> </w:t>
        <w:t>|</w:t>
        <w:t xml:space="preserve"> </w:t>
        <w:t>45.1</w:t>
        <w:t>M</w:t>
        <w:t xml:space="preserve"> </w:t>
        <w:t>0</w:t>
        <w:t>:</w:t>
        <w:t>00</w:t>
        <w:t>:</w:t>
        <w:t>38</w:t>
        <w:t xml:space="preserve"> </w:t>
        <w:t>ETA</w:t>
        <w:t xml:space="preserve"> </w:t>
        <w:t>focal</w:t>
        <w:t>-</w:t>
        <w:t>live</w:t>
        <w:t>-</w:t>
        <w:t>server</w:t>
        <w:t>-</w:t>
        <w:t>pp</w:t>
        <w:t xml:space="preserve"> </w:t>
        <w:t>8</w:t>
        <w:t>% |**</w:t>
        <w:t xml:space="preserve"> </w:t>
        <w:t>|</w:t>
        <w:t xml:space="preserve"> </w:t>
        <w:t>76.7</w:t>
        <w:t>M</w:t>
        <w:t xml:space="preserve"> </w:t>
        <w:t>0</w:t>
        <w:t>:</w:t>
        <w:t>00</w:t>
        <w:t>:</w:t>
        <w:t>33</w:t>
        <w:t xml:space="preserve"> </w:t>
        <w:t>ETA</w:t>
        <w:t xml:space="preserve"> </w:t>
        <w:t>focal</w:t>
        <w:t>-</w:t>
        <w:t>live</w:t>
        <w:t>-</w:t>
        <w:t>server</w:t>
        <w:t>-</w:t>
        <w:t>pp</w:t>
        <w:t xml:space="preserve"> </w:t>
        <w:t>11</w:t>
        <w:t>% |***</w:t>
        <w:t xml:space="preserve"> </w:t>
        <w:t>|</w:t>
        <w:t xml:space="preserve"> </w:t>
        <w:t>105</w:t>
        <w:t>M</w:t>
        <w:t xml:space="preserve"> </w:t>
        <w:t>0</w:t>
        <w:t>:</w:t>
        <w:t>00</w:t>
        <w:t>:</w:t>
        <w:t>31</w:t>
        <w:t xml:space="preserve"> </w:t>
        <w:t>ETA</w:t>
        <w:t xml:space="preserve"> </w:t>
        <w:t>focal</w:t>
        <w:t>-</w:t>
        <w:t>live</w:t>
        <w:t>-</w:t>
        <w:t>server</w:t>
        <w:t>-</w:t>
        <w:t>pp</w:t>
        <w:t xml:space="preserve"> </w:t>
        <w:t>14</w:t>
        <w:t>% |****</w:t>
        <w:t xml:space="preserve"> </w:t>
        <w:t>|</w:t>
        <w:t xml:space="preserve"> </w:t>
        <w:t>133</w:t>
        <w:t>M</w:t>
        <w:t xml:space="preserve"> </w:t>
        <w:t>0</w:t>
        <w:t>:</w:t>
        <w:t>00</w:t>
        <w:t>:</w:t>
        <w:t>29</w:t>
        <w:t xml:space="preserve"> </w:t>
        <w:t>ETA</w:t>
        <w:t xml:space="preserve"> </w:t>
        <w:t>focal</w:t>
        <w:t>-</w:t>
        <w:t>live</w:t>
        <w:t>-</w:t>
        <w:t>server</w:t>
        <w:t>-</w:t>
        <w:t>pp</w:t>
        <w:t xml:space="preserve"> </w:t>
        <w:t>17</w:t>
        <w:t>% |*****</w:t>
        <w:t xml:space="preserve"> </w:t>
        <w:t>|</w:t>
        <w:t xml:space="preserve"> </w:t>
        <w:t>163</w:t>
        <w:t>M</w:t>
        <w:t xml:space="preserve"> </w:t>
        <w:t>0</w:t>
        <w:t>:</w:t>
        <w:t>00</w:t>
        <w:t>:</w:t>
        <w:t>27</w:t>
        <w:t xml:space="preserve"> </w:t>
        <w:t>ETA</w:t>
        <w:t xml:space="preserve"> </w:t>
        <w:t>focal</w:t>
        <w:t>-</w:t>
        <w:t>live</w:t>
        <w:t>-</w:t>
        <w:t>server</w:t>
        <w:t>-</w:t>
        <w:t>pp</w:t>
        <w:t xml:space="preserve"> </w:t>
        <w:t>20</w:t>
        <w:t>% |******</w:t>
        <w:t xml:space="preserve"> </w:t>
        <w:t>|</w:t>
        <w:t xml:space="preserve"> </w:t>
        <w:t>190</w:t>
        <w:t>M</w:t>
        <w:t xml:space="preserve"> </w:t>
        <w:t>0</w:t>
        <w:t>:</w:t>
        <w:t>00</w:t>
        <w:t>:</w:t>
        <w:t>26</w:t>
        <w:t xml:space="preserve"> </w:t>
        <w:t>ETA</w:t>
        <w:t xml:space="preserve"> </w:t>
        <w:t>focal</w:t>
        <w:t>-</w:t>
        <w:t>live</w:t>
        <w:t>-</w:t>
        <w:t>server</w:t>
        <w:t>-</w:t>
        <w:t>pp</w:t>
        <w:t xml:space="preserve"> </w:t>
        <w:t>24</w:t>
        <w:t>% |*******</w:t>
        <w:t xml:space="preserve"> </w:t>
        <w:t>|</w:t>
        <w:t xml:space="preserve"> </w:t>
        <w:t>222</w:t>
        <w:t>M</w:t>
        <w:t xml:space="preserve"> </w:t>
        <w:t>0</w:t>
        <w:t>:</w:t>
        <w:t>00</w:t>
        <w:t>:</w:t>
        <w:t>25</w:t>
        <w:t xml:space="preserve"> </w:t>
        <w:t>ETA</w:t>
        <w:t xml:space="preserve"> </w:t>
        <w:t>focal</w:t>
        <w:t>-</w:t>
        <w:t>live</w:t>
        <w:t>-</w:t>
        <w:t>server</w:t>
        <w:t>-</w:t>
        <w:t>pp</w:t>
        <w:t xml:space="preserve"> </w:t>
        <w:t>27</w:t>
        <w:t>% |********</w:t>
        <w:t xml:space="preserve"> </w:t>
        <w:t>|</w:t>
        <w:t xml:space="preserve"> </w:t>
        <w:t>253</w:t>
        <w:t>M</w:t>
        <w:t xml:space="preserve"> </w:t>
        <w:t>0</w:t>
        <w:t>:</w:t>
        <w:t>00</w:t>
        <w:t>:</w:t>
        <w:t>23</w:t>
        <w:t xml:space="preserve"> </w:t>
        <w:t>ETA</w:t>
        <w:t xml:space="preserve"> </w:t>
        <w:t>focal</w:t>
        <w:t>-</w:t>
        <w:t>live</w:t>
        <w:t>-</w:t>
        <w:t>server</w:t>
        <w:t>-</w:t>
        <w:t>pp</w:t>
        <w:t xml:space="preserve"> </w:t>
        <w:t>30</w:t>
        <w:t>% |*********</w:t>
        <w:t xml:space="preserve"> </w:t>
        <w:t>|</w:t>
        <w:t xml:space="preserve"> </w:t>
        <w:t>283</w:t>
        <w:t>M</w:t>
        <w:t xml:space="preserve"> </w:t>
        <w:t>0</w:t>
        <w:t>:</w:t>
        <w:t>00</w:t>
        <w:t>:</w:t>
        <w:t>22</w:t>
        <w:t xml:space="preserve"> </w:t>
        <w:t>ETA</w:t>
        <w:t xml:space="preserve"> </w:t>
        <w:t>focal</w:t>
        <w:t>-</w:t>
        <w:t>live</w:t>
        <w:t>-</w:t>
        <w:t>server</w:t>
        <w:t>-</w:t>
        <w:t>pp</w:t>
        <w:t xml:space="preserve"> </w:t>
        <w:t>34</w:t>
        <w:t>% |**********</w:t>
        <w:t xml:space="preserve"> </w:t>
        <w:t>|</w:t>
        <w:t xml:space="preserve"> </w:t>
        <w:t>315</w:t>
        <w:t>M</w:t>
        <w:t xml:space="preserve"> </w:t>
        <w:t>0</w:t>
        <w:t>:</w:t>
        <w:t>00</w:t>
        <w:t>:</w:t>
        <w:t>21</w:t>
        <w:t xml:space="preserve"> </w:t>
        <w:t>ETA</w:t>
        <w:t xml:space="preserve"> </w:t>
        <w:t>focal</w:t>
        <w:t>-</w:t>
        <w:t>live</w:t>
        <w:t>-</w:t>
        <w:t>server</w:t>
        <w:t>-</w:t>
        <w:t>pp</w:t>
        <w:t xml:space="preserve"> </w:t>
        <w:t>37</w:t>
        <w:t>% |***********</w:t>
        <w:t xml:space="preserve"> </w:t>
        <w:t>|</w:t>
        <w:t xml:space="preserve"> </w:t>
        <w:t>343</w:t>
        <w:t>M</w:t>
        <w:t xml:space="preserve"> </w:t>
        <w:t>0</w:t>
        <w:t>:</w:t>
        <w:t>00</w:t>
        <w:t>:</w:t>
        <w:t>20</w:t>
        <w:t xml:space="preserve"> </w:t>
        <w:t>ETA</w:t>
        <w:t xml:space="preserve"> </w:t>
        <w:t>focal</w:t>
        <w:t>-</w:t>
        <w:t>live</w:t>
        <w:t>-</w:t>
        <w:t>server</w:t>
        <w:t>-</w:t>
        <w:t>pp</w:t>
        <w:t xml:space="preserve"> </w:t>
        <w:t>39</w:t>
        <w:t>% |************</w:t>
        <w:t xml:space="preserve"> </w:t>
        <w:t>|</w:t>
        <w:t xml:space="preserve"> </w:t>
        <w:t>367</w:t>
        <w:t>M</w:t>
        <w:t xml:space="preserve"> </w:t>
        <w:t>0</w:t>
        <w:t>:</w:t>
        <w:t>00</w:t>
        <w:t>:</w:t>
        <w:t>19</w:t>
        <w:t xml:space="preserve"> </w:t>
        <w:t>ETA</w:t>
        <w:t xml:space="preserve"> </w:t>
        <w:t>focal</w:t>
        <w:t>-</w:t>
        <w:t>live</w:t>
        <w:t>-</w:t>
        <w:t>server</w:t>
        <w:t>-</w:t>
        <w:t>pp</w:t>
        <w:t xml:space="preserve"> </w:t>
        <w:t>42</w:t>
        <w:t>% |*************</w:t>
        <w:t xml:space="preserve"> </w:t>
        <w:t>|</w:t>
        <w:t xml:space="preserve"> </w:t>
        <w:t>392</w:t>
        <w:t>M</w:t>
        <w:t xml:space="preserve"> </w:t>
        <w:t>0</w:t>
        <w:t>:</w:t>
        <w:t>00</w:t>
        <w:t>:</w:t>
        <w:t>18</w:t>
        <w:t xml:space="preserve"> </w:t>
        <w:t>ETA</w:t>
        <w:t xml:space="preserve"> </w:t>
        <w:t>focal</w:t>
        <w:t>-</w:t>
        <w:t>live</w:t>
        <w:t>-</w:t>
        <w:t>server</w:t>
        <w:t>-</w:t>
        <w:t>pp</w:t>
        <w:t xml:space="preserve"> </w:t>
        <w:t>45</w:t>
        <w:t>% |**************</w:t>
        <w:t xml:space="preserve"> </w:t>
        <w:t>|</w:t>
        <w:t xml:space="preserve"> </w:t>
        <w:t>420</w:t>
        <w:t>M</w:t>
        <w:t xml:space="preserve"> </w:t>
        <w:t>0</w:t>
        <w:t>:</w:t>
        <w:t>00</w:t>
        <w:t>:</w:t>
        <w:t>17</w:t>
        <w:t xml:space="preserve"> </w:t>
        <w:t>ETA</w:t>
        <w:t xml:space="preserve"> </w:t>
        <w:t>focal</w:t>
        <w:t>-</w:t>
        <w:t>live</w:t>
        <w:t>-</w:t>
        <w:t>server</w:t>
        <w:t>-</w:t>
        <w:t>pp</w:t>
        <w:t xml:space="preserve"> </w:t>
        <w:t>48</w:t>
        <w:t>% |***************</w:t>
        <w:t xml:space="preserve"> </w:t>
        <w:t>|</w:t>
        <w:t xml:space="preserve"> </w:t>
        <w:t>451</w:t>
        <w:t>M</w:t>
        <w:t xml:space="preserve"> </w:t>
        <w:t>0</w:t>
        <w:t>:</w:t>
        <w:t>00</w:t>
        <w:t>:</w:t>
        <w:t>16</w:t>
        <w:t xml:space="preserve"> </w:t>
        <w:t>ETA</w:t>
        <w:t xml:space="preserve"> </w:t>
        <w:t>focal</w:t>
        <w:t>-</w:t>
        <w:t>live</w:t>
        <w:t>-</w:t>
        <w:t>server</w:t>
        <w:t>-</w:t>
        <w:t>pp</w:t>
        <w:t xml:space="preserve"> </w:t>
        <w:t>52</w:t>
        <w:t>% |****************</w:t>
        <w:t xml:space="preserve"> </w:t>
        <w:t>|</w:t>
        <w:t xml:space="preserve"> </w:t>
        <w:t>482</w:t>
        <w:t>M</w:t>
        <w:t xml:space="preserve"> </w:t>
        <w:t>0</w:t>
        <w:t>:</w:t>
        <w:t>00</w:t>
        <w:t>:</w:t>
        <w:t>15</w:t>
        <w:t xml:space="preserve"> </w:t>
        <w:t>ETA</w:t>
        <w:t xml:space="preserve"> </w:t>
        <w:t>focal</w:t>
        <w:t>-</w:t>
        <w:t>live</w:t>
        <w:t>-</w:t>
        <w:t>server</w:t>
        <w:t>-</w:t>
        <w:t>pp</w:t>
        <w:t xml:space="preserve"> </w:t>
        <w:t>55</w:t>
        <w:t>% |*****************</w:t>
        <w:t xml:space="preserve"> </w:t>
        <w:t>|</w:t>
        <w:t xml:space="preserve"> </w:t>
        <w:t>514</w:t>
        <w:t>M</w:t>
        <w:t xml:space="preserve"> </w:t>
        <w:t>0</w:t>
        <w:t>:</w:t>
        <w:t>00</w:t>
        <w:t>:</w:t>
        <w:t>14</w:t>
        <w:t xml:space="preserve"> </w:t>
        <w:t>ETA</w:t>
      </w:r>
    </w:p>
    <w:p>
      <w:pPr>
        <w:pStyle w:val="Para 09"/>
      </w:pPr>
      <w:r>
        <w:t>(continues on next page)</w:t>
      </w:r>
    </w:p>
    <w:p>
      <w:bookmarkStart w:id="93" w:name="page_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 name="index-53_1.png" descr="index-53_1.png"/>
            <wp:cNvGraphicFramePr>
              <a:graphicFrameLocks noChangeAspect="1"/>
            </wp:cNvGraphicFramePr>
            <a:graphic>
              <a:graphicData uri="http://schemas.openxmlformats.org/drawingml/2006/picture">
                <pic:pic>
                  <pic:nvPicPr>
                    <pic:cNvPr id="0" name="index-53_1.png" descr="index-53_1.png"/>
                    <pic:cNvPicPr/>
                  </pic:nvPicPr>
                  <pic:blipFill>
                    <a:blip r:embed="rId59"/>
                    <a:stretch>
                      <a:fillRect/>
                    </a:stretch>
                  </pic:blipFill>
                  <pic:spPr>
                    <a:xfrm>
                      <a:off x="0" y="0"/>
                      <a:ext cx="914400" cy="266700"/>
                    </a:xfrm>
                    <a:prstGeom prst="rect">
                      <a:avLst/>
                    </a:prstGeom>
                  </pic:spPr>
                </pic:pic>
              </a:graphicData>
            </a:graphic>
          </wp:anchor>
        </w:drawing>
      </w:r>
      <w:bookmarkEnd w:id="93"/>
    </w:p>
    <w:p>
      <w:pPr>
        <w:pStyle w:val="Para 09"/>
      </w:pPr>
      <w:r>
        <w:t>(continued from previous page)</w:t>
      </w:r>
    </w:p>
    <w:p>
      <w:pPr>
        <w:pStyle w:val="Normal"/>
      </w:pPr>
      <w:r>
        <w:t>focal</w:t>
        <w:t>-</w:t>
        <w:t>live</w:t>
        <w:t>-</w:t>
        <w:t>server</w:t>
        <w:t>-</w:t>
        <w:t>pp</w:t>
        <w:t xml:space="preserve"> </w:t>
        <w:t>59</w:t>
        <w:t>% |******************</w:t>
        <w:t xml:space="preserve"> </w:t>
        <w:t>|</w:t>
        <w:t xml:space="preserve"> </w:t>
        <w:t>546</w:t>
        <w:t>M</w:t>
        <w:t xml:space="preserve"> </w:t>
        <w:t>0</w:t>
        <w:t>:</w:t>
        <w:t>00</w:t>
        <w:t>:</w:t>
        <w:t>13</w:t>
        <w:t xml:space="preserve"> </w:t>
        <w:t>ETA</w:t>
        <w:t xml:space="preserve"> </w:t>
        <w:t>focal</w:t>
        <w:t>-</w:t>
        <w:t>live</w:t>
        <w:t>-</w:t>
        <w:t>server</w:t>
        <w:t>-</w:t>
        <w:t>pp</w:t>
        <w:t xml:space="preserve"> </w:t>
        <w:t>62</w:t>
        <w:t>% |********************</w:t>
        <w:t xml:space="preserve"> </w:t>
        <w:t>|</w:t>
        <w:t xml:space="preserve"> </w:t>
        <w:t>578</w:t>
        <w:t>M</w:t>
        <w:t xml:space="preserve"> </w:t>
        <w:t>0</w:t>
        <w:t>:</w:t>
        <w:t>00</w:t>
        <w:t>:</w:t>
        <w:t>11</w:t>
        <w:t xml:space="preserve"> </w:t>
        <w:t>ETA</w:t>
        <w:t xml:space="preserve"> </w:t>
        <w:t>focal</w:t>
        <w:t>-</w:t>
        <w:t>live</w:t>
        <w:t>-</w:t>
        <w:t>server</w:t>
        <w:t>-</w:t>
        <w:t>pp</w:t>
        <w:t xml:space="preserve"> </w:t>
        <w:t>65</w:t>
        <w:t>% |*********************</w:t>
        <w:t xml:space="preserve"> </w:t>
        <w:t>|</w:t>
        <w:t xml:space="preserve"> </w:t>
        <w:t>607</w:t>
        <w:t>M</w:t>
        <w:t xml:space="preserve"> </w:t>
        <w:t>0</w:t>
        <w:t>:</w:t>
        <w:t>00</w:t>
        <w:t>:</w:t>
        <w:t>10</w:t>
        <w:t xml:space="preserve"> </w:t>
        <w:t>ETA</w:t>
        <w:t xml:space="preserve"> </w:t>
        <w:t>focal</w:t>
        <w:t>-</w:t>
        <w:t>live</w:t>
        <w:t>-</w:t>
        <w:t>server</w:t>
        <w:t>-</w:t>
        <w:t>pp</w:t>
        <w:t xml:space="preserve"> </w:t>
        <w:t>69</w:t>
        <w:t>% |**********************</w:t>
        <w:t xml:space="preserve"> </w:t>
        <w:t>|</w:t>
        <w:t xml:space="preserve"> </w:t>
        <w:t>637</w:t>
        <w:t>M</w:t>
        <w:t xml:space="preserve"> </w:t>
        <w:t>0</w:t>
        <w:t>:</w:t>
        <w:t>00</w:t>
        <w:t>:</w:t>
        <w:t>09</w:t>
        <w:t xml:space="preserve"> </w:t>
        <w:t>ETA</w:t>
        <w:t xml:space="preserve"> </w:t>
        <w:t>focal</w:t>
        <w:t>-</w:t>
        <w:t>live</w:t>
        <w:t>-</w:t>
        <w:t>server</w:t>
        <w:t>-</w:t>
        <w:t>pp</w:t>
        <w:t xml:space="preserve"> </w:t>
        <w:t>72</w:t>
        <w:t>% |***********************</w:t>
        <w:t xml:space="preserve"> </w:t>
        <w:t>|</w:t>
        <w:t xml:space="preserve"> </w:t>
        <w:t>669</w:t>
        <w:t>M</w:t>
        <w:t xml:space="preserve"> </w:t>
        <w:t>0</w:t>
        <w:t>:</w:t>
        <w:t>00</w:t>
        <w:t>:</w:t>
        <w:t>08</w:t>
        <w:t xml:space="preserve"> </w:t>
        <w:t>ETA</w:t>
        <w:t xml:space="preserve"> </w:t>
        <w:t>focal</w:t>
        <w:t>-</w:t>
        <w:t>live</w:t>
        <w:t>-</w:t>
        <w:t>server</w:t>
        <w:t>-</w:t>
        <w:t>pp</w:t>
        <w:t xml:space="preserve"> </w:t>
        <w:t>75</w:t>
        <w:t>% |************************</w:t>
        <w:t xml:space="preserve"> </w:t>
        <w:t>|</w:t>
        <w:t xml:space="preserve"> </w:t>
        <w:t>700</w:t>
        <w:t>M</w:t>
        <w:t xml:space="preserve"> </w:t>
        <w:t>0</w:t>
        <w:t>:</w:t>
        <w:t>00</w:t>
        <w:t>:</w:t>
        <w:t>07</w:t>
        <w:t xml:space="preserve"> </w:t>
        <w:t>ETA</w:t>
        <w:t xml:space="preserve"> </w:t>
        <w:t>focal</w:t>
        <w:t>-</w:t>
        <w:t>live</w:t>
        <w:t>-</w:t>
        <w:t>server</w:t>
        <w:t>-</w:t>
        <w:t>pp</w:t>
        <w:t xml:space="preserve"> </w:t>
        <w:t>79</w:t>
        <w:t>% |*************************</w:t>
        <w:t xml:space="preserve"> </w:t>
        <w:t>|</w:t>
        <w:t xml:space="preserve"> </w:t>
        <w:t>729</w:t>
        <w:t>M</w:t>
        <w:t xml:space="preserve"> </w:t>
        <w:t>0</w:t>
        <w:t>:</w:t>
        <w:t>00</w:t>
        <w:t>:</w:t>
        <w:t>06</w:t>
        <w:t xml:space="preserve"> </w:t>
        <w:t>ETA</w:t>
        <w:t xml:space="preserve"> </w:t>
        <w:t>focal</w:t>
        <w:t>-</w:t>
        <w:t>live</w:t>
        <w:t>-</w:t>
        <w:t>server</w:t>
        <w:t>-</w:t>
        <w:t>pp</w:t>
        <w:t xml:space="preserve"> </w:t>
        <w:t>82</w:t>
        <w:t>% |**************************</w:t>
        <w:t xml:space="preserve"> </w:t>
        <w:t>|</w:t>
        <w:t xml:space="preserve"> </w:t>
        <w:t>758</w:t>
        <w:t>M</w:t>
        <w:t xml:space="preserve"> </w:t>
        <w:t>0</w:t>
        <w:t>:</w:t>
        <w:t>00</w:t>
        <w:t>:</w:t>
        <w:t>05</w:t>
        <w:t xml:space="preserve"> </w:t>
        <w:t>ETA</w:t>
        <w:t xml:space="preserve"> </w:t>
        <w:t>focal</w:t>
        <w:t>-</w:t>
        <w:t>live</w:t>
        <w:t>-</w:t>
        <w:t>server</w:t>
        <w:t>-</w:t>
        <w:t>pp</w:t>
        <w:t xml:space="preserve"> </w:t>
        <w:t>85</w:t>
        <w:t>% |***************************</w:t>
        <w:t xml:space="preserve"> </w:t>
        <w:t>|</w:t>
        <w:t xml:space="preserve"> </w:t>
        <w:t>789</w:t>
        <w:t>M</w:t>
        <w:t xml:space="preserve"> </w:t>
        <w:t>0</w:t>
        <w:t>:</w:t>
        <w:t>00</w:t>
        <w:t>:</w:t>
        <w:t>04</w:t>
        <w:t xml:space="preserve"> </w:t>
        <w:t>ETA</w:t>
        <w:t xml:space="preserve"> </w:t>
        <w:t>focal</w:t>
        <w:t>-</w:t>
        <w:t>live</w:t>
        <w:t>-</w:t>
        <w:t>server</w:t>
        <w:t>-</w:t>
        <w:t>pp</w:t>
        <w:t xml:space="preserve"> </w:t>
        <w:t>88</w:t>
        <w:t>% |****************************</w:t>
        <w:t xml:space="preserve"> </w:t>
        <w:t>|</w:t>
        <w:t xml:space="preserve"> </w:t>
        <w:t>817</w:t>
        <w:t>M</w:t>
        <w:t xml:space="preserve"> </w:t>
        <w:t>0</w:t>
        <w:t>:</w:t>
        <w:t>00</w:t>
        <w:t>:</w:t>
        <w:t>03</w:t>
        <w:t xml:space="preserve"> </w:t>
        <w:t>ETA</w:t>
        <w:t xml:space="preserve"> </w:t>
        <w:t>focal</w:t>
        <w:t>-</w:t>
        <w:t>live</w:t>
        <w:t>-</w:t>
        <w:t>server</w:t>
        <w:t>-</w:t>
        <w:t>pp</w:t>
        <w:t xml:space="preserve"> </w:t>
        <w:t>91</w:t>
        <w:t>% |*****************************</w:t>
        <w:t xml:space="preserve"> </w:t>
        <w:t>|</w:t>
        <w:t xml:space="preserve"> </w:t>
        <w:t>842</w:t>
        <w:t>M</w:t>
        <w:t xml:space="preserve"> </w:t>
        <w:t>0</w:t>
        <w:t>:</w:t>
        <w:t>00</w:t>
        <w:t>:</w:t>
        <w:t>02</w:t>
        <w:t xml:space="preserve"> </w:t>
        <w:t>ETA</w:t>
        <w:t xml:space="preserve"> </w:t>
        <w:t>focal</w:t>
        <w:t>-</w:t>
        <w:t>live</w:t>
        <w:t>-</w:t>
        <w:t>server</w:t>
        <w:t>-</w:t>
        <w:t>pp</w:t>
        <w:t xml:space="preserve"> </w:t>
        <w:t>93</w:t>
        <w:t>% |******************************</w:t>
        <w:t xml:space="preserve"> </w:t>
        <w:t>|</w:t>
        <w:t xml:space="preserve"> </w:t>
        <w:t>867</w:t>
        <w:t>M</w:t>
        <w:t xml:space="preserve"> </w:t>
        <w:t>0</w:t>
        <w:t>:</w:t>
        <w:t>00</w:t>
        <w:t>:</w:t>
        <w:t>01</w:t>
        <w:t xml:space="preserve"> </w:t>
        <w:t>ETA</w:t>
        <w:t xml:space="preserve"> </w:t>
        <w:t>focal</w:t>
        <w:t>-</w:t>
        <w:t>live</w:t>
        <w:t>-</w:t>
        <w:t>server</w:t>
        <w:t>-</w:t>
        <w:t>pp</w:t>
        <w:t xml:space="preserve"> </w:t>
        <w:t>97</w:t>
        <w:t>% |******************************* |</w:t>
        <w:t xml:space="preserve"> </w:t>
        <w:t>897</w:t>
        <w:t>M</w:t>
        <w:t xml:space="preserve"> </w:t>
        <w:t>0</w:t>
        <w:t>:</w:t>
        <w:t>00</w:t>
        <w:t>:</w:t>
        <w:t>00</w:t>
        <w:t xml:space="preserve"> </w:t>
        <w:t>ETA</w:t>
        <w:t xml:space="preserve"> </w:t>
        <w:t>focal</w:t>
        <w:t>-</w:t>
        <w:t>live</w:t>
        <w:t>-</w:t>
        <w:t>server</w:t>
        <w:t>-</w:t>
        <w:t>pp</w:t>
        <w:t xml:space="preserve"> </w:t>
        <w:t>100</w:t>
        <w:t>% |********************************|</w:t>
        <w:t xml:space="preserve"> </w:t>
        <w:t>922</w:t>
        <w:t>M</w:t>
        <w:t xml:space="preserve"> </w:t>
        <w:t>0</w:t>
        <w:t>:</w:t>
        <w:t>00</w:t>
        <w:t>:</w:t>
        <w:t>00</w:t>
        <w:t xml:space="preserve"> </w:t>
        <w:t>ETA</w:t>
        <w:t xml:space="preserve"> </w:t>
        <w:t>mount: mounting</w:t>
        <w:t xml:space="preserve"> </w:t>
        <w:t>/</w:t>
        <w:t>cow on</w:t>
        <w:t xml:space="preserve"> </w:t>
        <w:t>/</w:t>
        <w:t>root</w:t>
        <w:t>/</w:t>
        <w:t>cow failed: No such file</w:t>
        <w:t xml:space="preserve"> </w:t>
      </w:r>
      <w:r>
        <w:rPr>
          <w:rStyle w:val="Text0"/>
        </w:rPr>
        <w:t>or</w:t>
      </w:r>
      <w:r>
        <w:t xml:space="preserve"> </w:t>
        <w:t>directory</w:t>
        <w:t xml:space="preserve"> </w:t>
        <w:t>Connecting to plymouth: Connection refused</w:t>
      </w:r>
    </w:p>
    <w:p>
      <w:pPr>
        <w:pStyle w:val="Normal"/>
      </w:pPr>
      <w:r>
        <w:t>passwd: password expiry information changed</w:t>
        <w:t>.</w:t>
        <w:t xml:space="preserve"> </w:t>
        <w:t>[</w:t>
        <w:t xml:space="preserve"> </w:t>
        <w:t>47.202736</w:t>
        <w:t>]</w:t>
        <w:t xml:space="preserve"> </w:t>
        <w:t>/</w:t>
        <w:t>dev</w:t>
        <w:t>/</w:t>
        <w:t>loop3: Can</w:t>
        <w:t>'t open blockdev</w:t>
        <w:t xml:space="preserve"> </w:t>
        <w:t>[</w:t>
        <w:t xml:space="preserve"> </w:t>
        <w:t>52.672550</w:t>
        <w:t>] cloud</w:t>
        <w:t>-</w:t>
        <w:t>init[</w:t>
        <w:t>3759</w:t>
        <w:t>]: Cloud</w:t>
        <w:t>-</w:t>
        <w:t>init v</w:t>
        <w:t>.</w:t>
        <w:t xml:space="preserve"> </w:t>
        <w:t>20.1</w:t>
        <w:t>-</w:t>
        <w:t>10</w:t>
        <w:t>-</w:t>
        <w:t>g71af48df</w:t>
        <w:t>-</w:t>
        <w:t>0</w:t>
        <w:t>ubuntu1 running</w:t>
      </w:r>
    </w:p>
    <w:p>
      <w:pPr>
        <w:pStyle w:val="Normal"/>
      </w:pPr>
      <w:r>
        <w:t>'init-local'</w:t>
        <w:t xml:space="preserve"> </w:t>
        <w:t>at Wed,</w:t>
        <w:t xml:space="preserve"> </w:t>
        <w:t>18</w:t>
        <w:t xml:space="preserve"> </w:t>
        <w:t>Mar</w:t>
        <w:t xml:space="preserve"> </w:t>
        <w:t>2020 15</w:t>
        <w:t>:</w:t>
        <w:t>18</w:t>
        <w:t>:</w:t>
        <w:t>07</w:t>
        <w:t xml:space="preserve"> </w:t>
        <w:t>+</w:t>
        <w:t>0000.</w:t>
        <w:t xml:space="preserve"> </w:t>
        <w:t>Up</w:t>
        <w:t xml:space="preserve"> </w:t>
        <w:t>51.87</w:t>
        <w:t xml:space="preserve"> </w:t>
        <w:t>seconds</w:t>
        <w:t>.</w:t>
      </w:r>
    </w:p>
    <w:p>
      <w:pPr>
        <w:pStyle w:val="Normal"/>
      </w:pPr>
      <w:r>
        <w:t>...</w:t>
      </w:r>
    </w:p>
    <w:p>
      <w:pPr>
        <w:pStyle w:val="Para 17"/>
      </w:pPr>
      <w:r>
        <w:t/>
      </w:r>
    </w:p>
    <w:p>
      <w:pPr>
        <w:pStyle w:val="Normal"/>
      </w:pPr>
      <w:r>
        <w:t>Once it has completed, you will reach the initial Subiquity installer screen:</w:t>
      </w:r>
    </w:p>
    <w:p>
      <w:pPr>
        <w:pStyle w:val="Normal"/>
      </w:pPr>
      <w:r>
        <w:t>��������������������������������������������������������������</w:t>
      </w:r>
    </w:p>
    <w:p>
      <w:pPr>
        <w:pStyle w:val="Para 02"/>
      </w:pPr>
      <w:r>
        <w:t>Willkommen! Bienvenue! Welcome! Добро пожаловать! Welkom</w:t>
      </w:r>
    </w:p>
    <w:p>
      <w:pPr>
        <w:pStyle w:val="Normal"/>
      </w:pPr>
      <w:r>
        <w:t>��������������������������������������������������������������</w:t>
      </w:r>
    </w:p>
    <w:p>
      <w:pPr>
        <w:pStyle w:val="Para 02"/>
      </w:pPr>
      <w:r>
        <w:t>Use UP, DOWN and ENTER keys to select your language.</w:t>
      </w:r>
    </w:p>
    <w:p>
      <w:pPr>
        <w:pStyle w:val="Para 25"/>
      </w:pPr>
      <w:r>
        <w:t>[ English</w:t>
        <w:t xml:space="preserve"> </w:t>
        <w:t>� ]</w:t>
        <w:t xml:space="preserve"> </w:t>
        <w:t>[ Asturianu</w:t>
        <w:t xml:space="preserve"> </w:t>
        <w:t>� ]</w:t>
        <w:t xml:space="preserve"> </w:t>
        <w:t>[ Català</w:t>
        <w:t xml:space="preserve"> </w:t>
        <w:t>� ]</w:t>
        <w:t xml:space="preserve"> </w:t>
        <w:t>[ Hrvatski</w:t>
        <w:t xml:space="preserve"> </w:t>
        <w:t>� ]</w:t>
        <w:t xml:space="preserve"> </w:t>
        <w:t>[ Nederlands</w:t>
        <w:t xml:space="preserve"> </w:t>
        <w:t>� ]</w:t>
        <w:t xml:space="preserve"> </w:t>
        <w:t>[ Suomi</w:t>
        <w:t xml:space="preserve"> </w:t>
        <w:t>� ]</w:t>
        <w:t xml:space="preserve"> </w:t>
        <w:t>[ Français</w:t>
        <w:t xml:space="preserve"> </w:t>
        <w:t>� ]</w:t>
        <w:t xml:space="preserve"> </w:t>
        <w:t>[ Deutsch</w:t>
        <w:t xml:space="preserve"> </w:t>
        <w:t>� ]</w:t>
        <w:t xml:space="preserve"> </w:t>
        <w:t>[ Ελληνικά</w:t>
        <w:t xml:space="preserve"> </w:t>
        <w:t>� ]</w:t>
        <w:t xml:space="preserve"> </w:t>
        <w:t>[ Magyar</w:t>
        <w:t xml:space="preserve"> </w:t>
        <w:t>� ]</w:t>
        <w:t xml:space="preserve"> </w:t>
        <w:t>[ Latviešu</w:t>
        <w:t xml:space="preserve"> </w:t>
        <w:t>� ]</w:t>
        <w:t xml:space="preserve"> </w:t>
        <w:t>[ Norsk bokmål</w:t>
        <w:t xml:space="preserve"> </w:t>
        <w:t>� ]</w:t>
        <w:t xml:space="preserve"> </w:t>
        <w:t>[ Polski</w:t>
        <w:t xml:space="preserve"> </w:t>
        <w:t>� ]</w:t>
        <w:t xml:space="preserve"> </w:t>
        <w:t>[ Русский</w:t>
        <w:t xml:space="preserve"> </w:t>
        <w:t>� ]</w:t>
        <w:t xml:space="preserve"> </w:t>
        <w:t>[ Español</w:t>
        <w:t xml:space="preserve"> </w:t>
        <w:t>� ]</w:t>
        <w:t xml:space="preserve"> </w:t>
        <w:t>[ Українська</w:t>
        <w:t xml:space="preserve"> </w:t>
        <w:t>� ]</w:t>
      </w:r>
    </w:p>
    <w:p>
      <w:pPr>
        <w:pStyle w:val="Para 17"/>
      </w:pPr>
      <w:r>
        <w:t/>
      </w:r>
    </w:p>
    <w:p>
      <w:pPr>
        <w:pStyle w:val="Normal"/>
      </w:pPr>
      <w:r>
        <w:t>From this point, you can follow the normal Subiquity installation. For more details, refer to</w:t>
      </w:r>
    </w:p>
    <w:p>
      <w:pPr>
        <w:pStyle w:val="Para 18"/>
      </w:pPr>
      <w:r>
        <w:rPr>
          <w:rStyle w:val="Text7"/>
        </w:rPr>
        <w:t xml:space="preserve">the </w:t>
      </w:r>
      <w:hyperlink w:anchor="page_53">
        <w:r>
          <w:rPr>
            <w:rStyle w:val="Text10"/>
          </w:rPr>
          <w:t>67</w:t>
        </w:r>
      </w:hyperlink>
      <w:r>
        <w:rPr>
          <w:rStyle w:val="Text7"/>
        </w:rPr>
        <w:t xml:space="preserve"> </w:t>
      </w:r>
      <w:hyperlink r:id="rId1048">
        <w:r>
          <w:t>Subiquity installer documentation</w:t>
        </w:r>
      </w:hyperlink>
      <w:r>
        <w:rPr>
          <w:rStyle w:val="Text7"/>
        </w:rPr>
        <w:t xml:space="preserve"> .</w:t>
      </w:r>
    </w:p>
    <w:p>
      <w:pPr>
        <w:pStyle w:val="Para 05"/>
      </w:pPr>
      <w:r>
        <w:rPr>
          <w:rStyle w:val="Text5"/>
        </w:rPr>
        <w:t>67</w:t>
      </w:r>
      <w:r>
        <w:rPr>
          <w:rStyle w:val="Text8"/>
        </w:rPr>
        <w:t xml:space="preserve"> </w:t>
      </w:r>
      <w:r>
        <w:t>https://canonical-subiquity.readthedocs-hosted.com/en/latest/index.html</w:t>
      </w:r>
    </w:p>
    <w:p>
      <w:bookmarkStart w:id="94" w:name="calibre_pb_20"/>
      <w:pPr>
        <w:pStyle w:val="0 Block"/>
      </w:pPr>
      <w:bookmarkEnd w:id="94"/>
    </w:p>
    <w:p>
      <w:bookmarkStart w:id="95" w:name="page_54"/>
      <w:bookmarkStart w:id="96" w:name="Top_of_index_split_02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 name="index-54_1.png" descr="index-54_1.png"/>
            <wp:cNvGraphicFramePr>
              <a:graphicFrameLocks noChangeAspect="1"/>
            </wp:cNvGraphicFramePr>
            <a:graphic>
              <a:graphicData uri="http://schemas.openxmlformats.org/drawingml/2006/picture">
                <pic:pic>
                  <pic:nvPicPr>
                    <pic:cNvPr id="0" name="index-54_1.png" descr="index-54_1.png"/>
                    <pic:cNvPicPr/>
                  </pic:nvPicPr>
                  <pic:blipFill>
                    <a:blip r:embed="rId60"/>
                    <a:stretch>
                      <a:fillRect/>
                    </a:stretch>
                  </pic:blipFill>
                  <pic:spPr>
                    <a:xfrm>
                      <a:off x="0" y="0"/>
                      <a:ext cx="914400" cy="266700"/>
                    </a:xfrm>
                    <a:prstGeom prst="rect">
                      <a:avLst/>
                    </a:prstGeom>
                  </pic:spPr>
                </pic:pic>
              </a:graphicData>
            </a:graphic>
          </wp:anchor>
        </w:drawing>
      </w:r>
      <w:bookmarkEnd w:id="95"/>
      <w:bookmarkEnd w:id="96"/>
    </w:p>
    <w:p>
      <w:pPr>
        <w:pStyle w:val="Para 01"/>
      </w:pPr>
      <w:r>
        <w:t>How to start a live server installation on IBM Power (ppc64el) with a virtual CD-ROM and Petitboot</w:t>
      </w:r>
    </w:p>
    <w:p>
      <w:pPr>
        <w:pStyle w:val="Para 17"/>
      </w:pPr>
      <w:r>
        <w:t/>
      </w:r>
    </w:p>
    <w:p>
      <w:pPr>
        <w:pStyle w:val="Para 08"/>
      </w:pPr>
      <w:r>
        <w:t>Note:</w:t>
      </w:r>
    </w:p>
    <w:p>
      <w:pPr>
        <w:pStyle w:val="Para 03"/>
      </w:pPr>
      <w:r>
        <w:t>Not all IBM Power machines come with the capability of installing via a virtual CD-ROM!</w:t>
      </w:r>
    </w:p>
    <w:p>
      <w:pPr>
        <w:pStyle w:val="Para 03"/>
      </w:pPr>
      <w:r>
        <w:t xml:space="preserve">However, it is also possible to </w:t>
      </w:r>
      <w:hyperlink w:anchor="page_49">
        <w:r>
          <w:rPr>
            <w:rStyle w:val="Text2"/>
          </w:rPr>
          <w:t>boot the installer over the network</w:t>
        </w:r>
      </w:hyperlink>
      <w:r>
        <w:t xml:space="preserve"> (page 48).</w:t>
      </w:r>
    </w:p>
    <w:p>
      <w:pPr>
        <w:pStyle w:val="Para 17"/>
      </w:pPr>
      <w:r>
        <w:t/>
      </w:r>
    </w:p>
    <w:p>
      <w:pPr>
        <w:pStyle w:val="Normal"/>
      </w:pPr>
      <w:r>
        <w:t>A separate system (ideally in the same network, because of ipmitool) is needed to host the ppc64el ISO image file, which is later used as the virtual CD-ROM.</w:t>
      </w:r>
    </w:p>
    <w:p>
      <w:pPr>
        <w:pStyle w:val="Para 17"/>
      </w:pPr>
      <w:r>
        <w:t/>
      </w:r>
    </w:p>
    <w:p>
      <w:pPr>
        <w:pStyle w:val="Para 01"/>
      </w:pPr>
      <w:r>
        <w:t>Install ipmitool and Samba</w:t>
      </w:r>
    </w:p>
    <w:p>
      <w:pPr>
        <w:pStyle w:val="Para 17"/>
      </w:pPr>
      <w:r>
        <w:t/>
      </w:r>
    </w:p>
    <w:p>
      <w:pPr>
        <w:pStyle w:val="Normal"/>
      </w:pPr>
      <w:r>
        <w:t>Log in to this separate host and make sure that the ipmitool package is installed:</w:t>
      </w:r>
    </w:p>
    <w:p>
      <w:pPr>
        <w:pStyle w:val="Normal"/>
      </w:pPr>
      <w:r>
        <w:t>$ sudo apt install ipmitool</w:t>
      </w:r>
    </w:p>
    <w:p>
      <w:pPr>
        <w:pStyle w:val="Para 17"/>
      </w:pPr>
      <w:r>
        <w:t/>
      </w:r>
    </w:p>
    <w:p>
      <w:pPr>
        <w:pStyle w:val="Normal"/>
      </w:pPr>
      <w:r>
        <w:t>as well as Samba:</w:t>
      </w:r>
    </w:p>
    <w:p>
      <w:pPr>
        <w:pStyle w:val="Normal"/>
      </w:pPr>
      <w:r>
        <w:t>$ sudo apt install samba</w:t>
      </w:r>
    </w:p>
    <w:p>
      <w:pPr>
        <w:pStyle w:val="Para 17"/>
      </w:pPr>
      <w:r>
        <w:t/>
      </w:r>
    </w:p>
    <w:p>
      <w:pPr>
        <w:pStyle w:val="Para 01"/>
      </w:pPr>
      <w:r>
        <w:t>Configure Samba</w:t>
      </w:r>
    </w:p>
    <w:p>
      <w:pPr>
        <w:pStyle w:val="Para 17"/>
      </w:pPr>
      <w:r>
        <w:t/>
      </w:r>
    </w:p>
    <w:p>
      <w:pPr>
        <w:pStyle w:val="Normal"/>
      </w:pPr>
      <w:r>
        <w:t>Next, set up and configure Samba:</w:t>
      </w:r>
    </w:p>
    <w:p>
      <w:pPr>
        <w:pStyle w:val="Normal"/>
      </w:pPr>
      <w:r>
        <w:t>$ sudo touch /etc/samba/smb.conf &amp;&amp; sudo tee -a /etc/samba/smb.conf &lt;&lt;EOF</w:t>
        <w:t xml:space="preserve"> </w:t>
        <w:t>[winshare]</w:t>
      </w:r>
    </w:p>
    <w:p>
      <w:pPr>
        <w:pStyle w:val="Para 03"/>
      </w:pPr>
      <w:r>
        <w:t>path=/var/winshare</w:t>
      </w:r>
    </w:p>
    <w:p>
      <w:pPr>
        <w:pStyle w:val="Para 03"/>
      </w:pPr>
      <w:r>
        <w:t>browseable = yes</w:t>
      </w:r>
    </w:p>
    <w:p>
      <w:pPr>
        <w:pStyle w:val="Para 03"/>
      </w:pPr>
      <w:r>
        <w:t>read only = no</w:t>
      </w:r>
    </w:p>
    <w:p>
      <w:pPr>
        <w:pStyle w:val="Para 03"/>
      </w:pPr>
      <w:r>
        <w:t>guest ok = yes</w:t>
      </w:r>
    </w:p>
    <w:p>
      <w:pPr>
        <w:pStyle w:val="Normal"/>
      </w:pPr>
      <w:r>
        <w:t>EOF</w:t>
      </w:r>
    </w:p>
    <w:p>
      <w:pPr>
        <w:pStyle w:val="Para 17"/>
      </w:pPr>
      <w:r>
        <w:t/>
      </w:r>
    </w:p>
    <w:p>
      <w:pPr>
        <w:pStyle w:val="Normal"/>
      </w:pPr>
      <w:r>
        <w:t>And do a quick verification that the required lines are present:</w:t>
      </w:r>
    </w:p>
    <w:p>
      <w:pPr>
        <w:pStyle w:val="Normal"/>
      </w:pPr>
      <w:r>
        <w:t>$ tail -n 5 /etc/samba/smb.conf</w:t>
      </w:r>
    </w:p>
    <w:p>
      <w:pPr>
        <w:pStyle w:val="Normal"/>
      </w:pPr>
      <w:r>
        <w:t>[winshare]</w:t>
      </w:r>
    </w:p>
    <w:p>
      <w:pPr>
        <w:pStyle w:val="Para 03"/>
      </w:pPr>
      <w:r>
        <w:t>path=/var/winshare</w:t>
      </w:r>
    </w:p>
    <w:p>
      <w:pPr>
        <w:pStyle w:val="Para 03"/>
      </w:pPr>
      <w:r>
        <w:t>browseable = yes</w:t>
      </w:r>
    </w:p>
    <w:p>
      <w:pPr>
        <w:pStyle w:val="Para 03"/>
      </w:pPr>
      <w:r>
        <w:t>read only = no</w:t>
      </w:r>
    </w:p>
    <w:p>
      <w:pPr>
        <w:pStyle w:val="Para 03"/>
      </w:pPr>
      <w:r>
        <w:t>guest ok = yes</w:t>
      </w:r>
    </w:p>
    <w:p>
      <w:pPr>
        <w:pStyle w:val="Para 17"/>
      </w:pPr>
      <w:r>
        <w:t/>
      </w:r>
    </w:p>
    <w:p>
      <w:pPr>
        <w:pStyle w:val="Para 03"/>
      </w:pPr>
      <w:r>
        <w:rPr>
          <w:rStyle w:val="Text0"/>
        </w:rPr>
        <w:t>Optional step</w:t>
      </w:r>
      <w:r>
        <w:t xml:space="preserve"> For downloading the image you may have to use a proxy server:</w:t>
      </w:r>
    </w:p>
    <w:p>
      <w:pPr>
        <w:pStyle w:val="Para 03"/>
      </w:pPr>
      <w:r>
        <w:t>$ sudo touch ~/.wgetrc &amp;&amp; sudo tee -a ~/.wgetrc &lt;&lt;EOF</w:t>
      </w:r>
    </w:p>
    <w:p>
      <w:pPr>
        <w:pStyle w:val="Para 03"/>
      </w:pPr>
      <w:r>
        <w:t>use_proxy=yes</w:t>
      </w:r>
    </w:p>
    <w:p>
      <w:pPr>
        <w:pStyle w:val="Para 03"/>
      </w:pPr>
      <w:r>
        <w:t>http_proxy=squid.proxy:3128</w:t>
      </w:r>
    </w:p>
    <w:p>
      <w:pPr>
        <w:pStyle w:val="Para 03"/>
      </w:pPr>
      <w:r>
        <w:t>https_proxy=squid.proxy:3128</w:t>
      </w:r>
    </w:p>
    <w:p>
      <w:pPr>
        <w:pStyle w:val="Para 03"/>
      </w:pPr>
      <w:r>
        <w:t>EOF</w:t>
      </w:r>
    </w:p>
    <w:p>
      <w:bookmarkStart w:id="97" w:name="page_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61"/>
                    <a:stretch>
                      <a:fillRect/>
                    </a:stretch>
                  </pic:blipFill>
                  <pic:spPr>
                    <a:xfrm>
                      <a:off x="0" y="0"/>
                      <a:ext cx="914400" cy="266700"/>
                    </a:xfrm>
                    <a:prstGeom prst="rect">
                      <a:avLst/>
                    </a:prstGeom>
                  </pic:spPr>
                </pic:pic>
              </a:graphicData>
            </a:graphic>
          </wp:anchor>
        </w:drawing>
      </w:r>
      <w:bookmarkEnd w:id="97"/>
    </w:p>
    <w:p>
      <w:pPr>
        <w:pStyle w:val="Para 01"/>
      </w:pPr>
      <w:r>
        <w:t>Download the ISO image</w:t>
      </w:r>
    </w:p>
    <w:p>
      <w:pPr>
        <w:pStyle w:val="Para 17"/>
      </w:pPr>
      <w:r>
        <w:t/>
      </w:r>
    </w:p>
    <w:p>
      <w:pPr>
        <w:pStyle w:val="Normal"/>
      </w:pPr>
      <w:r>
        <w:t>The ISO image needs to be downloaded now:</w:t>
      </w:r>
    </w:p>
    <w:p>
      <w:pPr>
        <w:pStyle w:val="Normal"/>
      </w:pPr>
      <w:r>
        <w:t>$ wget http://cdimage.ubuntu.com/ubuntu/releases/focal/release/ubuntu-20.04-live-server-</w:t>
        <w:t>ppc64el.iso --directory-prefix=/var/winshare</w:t>
      </w:r>
    </w:p>
    <w:p>
      <w:pPr>
        <w:pStyle w:val="Para 17"/>
      </w:pPr>
      <w:r>
        <w:t/>
      </w:r>
    </w:p>
    <w:p>
      <w:pPr>
        <w:pStyle w:val="Normal"/>
      </w:pPr>
      <w:r>
        <w:t>The proxy can also be passed over as a wget argument, like this:</w:t>
      </w:r>
    </w:p>
    <w:p>
      <w:pPr>
        <w:pStyle w:val="Normal"/>
      </w:pPr>
      <w:r>
        <w:t>$ wget -e use_proxy=yes -e http_proxy=squid.proxy:3128 http://cdimage.ubuntu.com/ubuntu/</w:t>
        <w:t xml:space="preserve"> </w:t>
        <w:t>releases/focal/release/ubuntu-20.04-live-server-ppc64el.iso --directory-prefix=/var/</w:t>
        <w:t xml:space="preserve"> </w:t>
        <w:t>winshare</w:t>
      </w:r>
    </w:p>
    <w:p>
      <w:pPr>
        <w:pStyle w:val="Para 17"/>
      </w:pPr>
      <w:r>
        <w:t/>
      </w:r>
    </w:p>
    <w:p>
      <w:pPr>
        <w:pStyle w:val="Normal"/>
      </w:pPr>
      <w:r>
        <w:t>Change the file mode of the ISO image file:</w:t>
      </w:r>
    </w:p>
    <w:p>
      <w:pPr>
        <w:pStyle w:val="Normal"/>
      </w:pPr>
      <w:r>
        <w:t>$ sudo chmod -R 755 /var/winshare/</w:t>
      </w:r>
    </w:p>
    <w:p>
      <w:pPr>
        <w:pStyle w:val="Normal"/>
      </w:pPr>
      <w:r>
        <w:t>$ ls -l /var/winshare/</w:t>
      </w:r>
    </w:p>
    <w:p>
      <w:pPr>
        <w:pStyle w:val="Normal"/>
      </w:pPr>
      <w:r>
        <w:t>-rwxr-xr-x 1 ubuntu ubuntu</w:t>
        <w:t xml:space="preserve"> </w:t>
        <w:t>972500992 Mar 23 08:02 focal-live-server-ppc64el.iso</w:t>
      </w:r>
    </w:p>
    <w:p>
      <w:pPr>
        <w:pStyle w:val="Para 17"/>
      </w:pPr>
      <w:r>
        <w:t/>
      </w:r>
    </w:p>
    <w:p>
      <w:pPr>
        <w:pStyle w:val="Para 01"/>
      </w:pPr>
      <w:r>
        <w:t>Restart and check Samba</w:t>
      </w:r>
    </w:p>
    <w:p>
      <w:pPr>
        <w:pStyle w:val="Para 17"/>
      </w:pPr>
      <w:r>
        <w:t/>
      </w:r>
    </w:p>
    <w:p>
      <w:pPr>
        <w:pStyle w:val="Normal"/>
      </w:pPr>
      <w:r>
        <w:t>Next we need to restart and check the Samba service:</w:t>
      </w:r>
    </w:p>
    <w:p>
      <w:pPr>
        <w:pStyle w:val="Normal"/>
      </w:pPr>
      <w:r>
        <w:t>$ sudo service smbd restart</w:t>
      </w:r>
    </w:p>
    <w:p>
      <w:pPr>
        <w:pStyle w:val="Normal"/>
      </w:pPr>
      <w:r>
        <w:t>$ sudo service smbd status</w:t>
      </w:r>
    </w:p>
    <w:p>
      <w:pPr>
        <w:pStyle w:val="Normal"/>
      </w:pPr>
      <w:r>
        <w:t>� smbd.service - Samba SMB Daemon</w:t>
      </w:r>
    </w:p>
    <w:p>
      <w:pPr>
        <w:pStyle w:val="Para 02"/>
      </w:pPr>
      <w:r>
        <w:t>Loaded: loaded (/lib/systemd/system/smbd.service; enabled; vendor</w:t>
      </w:r>
    </w:p>
    <w:p>
      <w:pPr>
        <w:pStyle w:val="Normal"/>
      </w:pPr>
      <w:r>
        <w:t>preset: ena</w:t>
      </w:r>
    </w:p>
    <w:p>
      <w:pPr>
        <w:pStyle w:val="Para 02"/>
      </w:pPr>
      <w:r>
        <w:t>Active: active (running) since Tue 2020-02-04 15:17:12 UTC; 4s ago</w:t>
      </w:r>
    </w:p>
    <w:p>
      <w:pPr>
        <w:pStyle w:val="Para 02"/>
      </w:pPr>
      <w:r>
        <w:t>Docs: man:smbd(8)</w:t>
      </w:r>
    </w:p>
    <w:p>
      <w:pPr>
        <w:pStyle w:val="Para 11"/>
      </w:pPr>
      <w:r>
        <w:t>man:samba(7)</w:t>
      </w:r>
    </w:p>
    <w:p>
      <w:pPr>
        <w:pStyle w:val="Para 11"/>
      </w:pPr>
      <w:r>
        <w:t>man:smb.conf(5)</w:t>
      </w:r>
    </w:p>
    <w:p>
      <w:pPr>
        <w:pStyle w:val="Normal"/>
      </w:pPr>
      <w:r>
        <w:t>Main PID: 6198 (smbd)</w:t>
      </w:r>
    </w:p>
    <w:p>
      <w:pPr>
        <w:pStyle w:val="Para 02"/>
      </w:pPr>
      <w:r>
        <w:t>Status: "smbd: ready to serve connections..."</w:t>
      </w:r>
    </w:p>
    <w:p>
      <w:pPr>
        <w:pStyle w:val="Para 02"/>
      </w:pPr>
      <w:r>
        <w:t>Tasks: 4 (limit: 19660)</w:t>
      </w:r>
    </w:p>
    <w:p>
      <w:pPr>
        <w:pStyle w:val="Para 02"/>
      </w:pPr>
      <w:r>
        <w:t>CGroup: /system.slice/smbd.service</w:t>
      </w:r>
    </w:p>
    <w:p>
      <w:pPr>
        <w:pStyle w:val="Para 11"/>
      </w:pPr>
      <w:r>
        <w:t>├─6198 /usr/sbin/smbd --foreground --no-process-group</w:t>
      </w:r>
    </w:p>
    <w:p>
      <w:pPr>
        <w:pStyle w:val="Para 11"/>
      </w:pPr>
      <w:r>
        <w:t>├─6214 /usr/sbin/smbd --foreground --no-process-group</w:t>
      </w:r>
    </w:p>
    <w:p>
      <w:pPr>
        <w:pStyle w:val="Para 11"/>
      </w:pPr>
      <w:r>
        <w:t>├─6215 /usr/sbin/smbd --foreground --no-process-group</w:t>
      </w:r>
    </w:p>
    <w:p>
      <w:pPr>
        <w:pStyle w:val="Para 11"/>
      </w:pPr>
      <w:r>
        <w:t>└─6220 /usr/sbin/smbd --foreground --no-process-group</w:t>
      </w:r>
    </w:p>
    <w:p>
      <w:pPr>
        <w:pStyle w:val="Normal"/>
      </w:pPr>
      <w:r>
        <w:t>Feb 04 15:17:12 host systemd[1]: Starting Samba SMB Daemon…</w:t>
        <w:t xml:space="preserve"> </w:t>
        <w:t>Feb 04 15:17:12 host systemd[1]: Started Samba SMB Daemon.</w:t>
      </w:r>
    </w:p>
    <w:p>
      <w:pPr>
        <w:pStyle w:val="Para 17"/>
      </w:pPr>
      <w:r>
        <w:t/>
      </w:r>
    </w:p>
    <w:p>
      <w:pPr>
        <w:pStyle w:val="Normal"/>
      </w:pPr>
      <w:r>
        <w:t>Test Samba share:</w:t>
      </w:r>
    </w:p>
    <w:p>
      <w:pPr>
        <w:pStyle w:val="Normal"/>
      </w:pPr>
      <w:r>
        <w:t>ubuntu@host:~$ smbclient -L localhost</w:t>
      </w:r>
    </w:p>
    <w:p>
      <w:pPr>
        <w:pStyle w:val="Normal"/>
      </w:pPr>
      <w:r>
        <w:t>WARNING: The "syslog" option is deprecated</w:t>
      </w:r>
    </w:p>
    <w:p>
      <w:pPr>
        <w:pStyle w:val="Normal"/>
      </w:pPr>
      <w:r>
        <w:t>Enter WORKGROUP\ubuntu's password:</w:t>
      </w:r>
    </w:p>
    <w:p>
      <w:pPr>
        <w:pStyle w:val="Para 06"/>
      </w:pPr>
      <w:r>
        <w:t>Sharename</w:t>
        <w:t xml:space="preserve"> </w:t>
        <w:t>Type</w:t>
        <w:t xml:space="preserve"> </w:t>
        <w:t>Comment</w:t>
        <w:t>---------</w:t>
        <w:t xml:space="preserve"> </w:t>
        <w:t>----</w:t>
        <w:t xml:space="preserve"> </w:t>
        <w:t>-------</w:t>
        <w:t>print$</w:t>
        <w:t xml:space="preserve"> </w:t>
        <w:t>Disk</w:t>
        <w:t xml:space="preserve"> </w:t>
        <w:t>Printer Drivers</w:t>
        <w:t xml:space="preserve"> </w:t>
        <w:t>winshare</w:t>
        <w:t xml:space="preserve"> </w:t>
        <w:t>Disk</w:t>
      </w:r>
    </w:p>
    <w:p>
      <w:pPr>
        <w:pStyle w:val="Para 06"/>
      </w:pPr>
      <w:r>
        <w:t>IPC$</w:t>
        <w:t xml:space="preserve"> </w:t>
        <w:t>IPC</w:t>
        <w:t xml:space="preserve"> </w:t>
        <w:t>IPC Service (host server (Samba, Ubuntu))</w:t>
        <w:t xml:space="preserve"> </w:t>
        <w:t>Reconnecting with SMB1 for workgroup listing.</w:t>
      </w:r>
    </w:p>
    <w:p>
      <w:pPr>
        <w:pStyle w:val="Para 09"/>
      </w:pPr>
      <w:r>
        <w:t>(continues on next page)</w:t>
      </w:r>
    </w:p>
    <w:p>
      <w:bookmarkStart w:id="98" w:name="page_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62"/>
                    <a:stretch>
                      <a:fillRect/>
                    </a:stretch>
                  </pic:blipFill>
                  <pic:spPr>
                    <a:xfrm>
                      <a:off x="0" y="0"/>
                      <a:ext cx="914400" cy="266700"/>
                    </a:xfrm>
                    <a:prstGeom prst="rect">
                      <a:avLst/>
                    </a:prstGeom>
                  </pic:spPr>
                </pic:pic>
              </a:graphicData>
            </a:graphic>
          </wp:anchor>
        </w:drawing>
      </w:r>
      <w:bookmarkEnd w:id="98"/>
    </w:p>
    <w:p>
      <w:pPr>
        <w:pStyle w:val="Para 09"/>
      </w:pPr>
      <w:r>
        <w:t>(continued from previous page)</w:t>
      </w:r>
    </w:p>
    <w:p>
      <w:pPr>
        <w:pStyle w:val="Para 06"/>
      </w:pPr>
      <w:r>
        <w:t>Server</w:t>
        <w:t xml:space="preserve"> </w:t>
        <w:t>Comment</w:t>
      </w:r>
    </w:p>
    <w:p>
      <w:pPr>
        <w:pStyle w:val="Para 06"/>
      </w:pPr>
      <w:r>
        <w:t>---------</w:t>
        <w:t xml:space="preserve"> </w:t>
        <w:t>-------</w:t>
      </w:r>
    </w:p>
    <w:p>
      <w:pPr>
        <w:pStyle w:val="Para 06"/>
      </w:pPr>
      <w:r>
        <w:t>Workgroup</w:t>
        <w:t xml:space="preserve"> </w:t>
        <w:t>Master</w:t>
      </w:r>
    </w:p>
    <w:p>
      <w:pPr>
        <w:pStyle w:val="Para 06"/>
      </w:pPr>
      <w:r>
        <w:t>---------</w:t>
        <w:t xml:space="preserve"> </w:t>
        <w:t>-------</w:t>
      </w:r>
    </w:p>
    <w:p>
      <w:pPr>
        <w:pStyle w:val="Para 06"/>
      </w:pPr>
      <w:r>
        <w:t>WORKGROUP</w:t>
        <w:t xml:space="preserve"> </w:t>
        <w:t>host</w:t>
      </w:r>
    </w:p>
    <w:p>
      <w:pPr>
        <w:pStyle w:val="Para 17"/>
      </w:pPr>
      <w:r>
        <w:t/>
      </w:r>
    </w:p>
    <w:p>
      <w:pPr>
        <w:pStyle w:val="Normal"/>
      </w:pPr>
      <w:r>
        <w:t>Get the IP address of the Samba host:</w:t>
      </w:r>
    </w:p>
    <w:p>
      <w:pPr>
        <w:pStyle w:val="Normal"/>
      </w:pPr>
      <w:r>
        <w:t>$ ip -4 -brief address show</w:t>
      </w:r>
    </w:p>
    <w:p>
      <w:pPr>
        <w:pStyle w:val="Normal"/>
      </w:pPr>
      <w:r>
        <w:t>lo</w:t>
        <w:t xml:space="preserve"> </w:t>
        <w:t>UNKNOWN</w:t>
        <w:t xml:space="preserve"> </w:t>
        <w:t>127.0.0.1/8</w:t>
        <w:t xml:space="preserve"> </w:t>
        <w:t>ibmveth2</w:t>
        <w:t xml:space="preserve"> </w:t>
        <w:t>UNKNOWN</w:t>
        <w:t xml:space="preserve"> </w:t>
        <w:t>10.245.246.42/24</w:t>
      </w:r>
    </w:p>
    <w:p>
      <w:pPr>
        <w:pStyle w:val="Para 17"/>
      </w:pPr>
      <w:r>
        <w:t/>
      </w:r>
    </w:p>
    <w:p>
      <w:pPr>
        <w:pStyle w:val="Para 03"/>
      </w:pPr>
      <w:r>
        <w:rPr>
          <w:rStyle w:val="Text0"/>
        </w:rPr>
        <w:t>Optional step</w:t>
      </w:r>
      <w:r>
        <w:t>: Additional testing to make certain the Samba share is accessible from re-</w:t>
      </w:r>
    </w:p>
    <w:p>
      <w:pPr>
        <w:pStyle w:val="Para 03"/>
      </w:pPr>
      <w:r>
        <w:t>mote:</w:t>
      </w:r>
    </w:p>
    <w:p>
      <w:pPr>
        <w:pStyle w:val="Para 03"/>
      </w:pPr>
      <w:r>
        <w:t>user@workstation:~$ mkdir -p /tmp/test</w:t>
      </w:r>
    </w:p>
    <w:p>
      <w:pPr>
        <w:pStyle w:val="Para 03"/>
      </w:pPr>
      <w:r>
        <w:t>user@workstation:~$ sudo mount -t cifs -o</w:t>
      </w:r>
    </w:p>
    <w:p>
      <w:pPr>
        <w:pStyle w:val="Para 03"/>
      </w:pPr>
      <w:r>
        <w:t>username=guest,password=guest //10.245.246.42/winshare /tmp/test/</w:t>
      </w:r>
    </w:p>
    <w:p>
      <w:pPr>
        <w:pStyle w:val="Para 03"/>
      </w:pPr>
      <w:r>
        <w:t>user@workstation:~$ ls -la /tmp/test/</w:t>
      </w:r>
    </w:p>
    <w:p>
      <w:pPr>
        <w:pStyle w:val="Para 03"/>
      </w:pPr>
      <w:r>
        <w:t>total 1014784</w:t>
      </w:r>
    </w:p>
    <w:p>
      <w:pPr>
        <w:pStyle w:val="Para 03"/>
      </w:pPr>
      <w:r>
        <w:t>drwxr-xr-x</w:t>
        <w:t xml:space="preserve"> </w:t>
        <w:t>2 root root</w:t>
        <w:t xml:space="preserve"> </w:t>
        <w:t>0 May</w:t>
        <w:t xml:space="preserve"> </w:t>
        <w:t>4 15:46 .</w:t>
      </w:r>
    </w:p>
    <w:p>
      <w:pPr>
        <w:pStyle w:val="Para 03"/>
      </w:pPr>
      <w:r>
        <w:t>drwxrwxrwt 18 root root</w:t>
        <w:t xml:space="preserve"> </w:t>
        <w:t>420 May</w:t>
        <w:t xml:space="preserve"> </w:t>
        <w:t>4 19:25 ..</w:t>
      </w:r>
    </w:p>
    <w:p>
      <w:pPr>
        <w:pStyle w:val="Para 03"/>
      </w:pPr>
      <w:r>
        <w:t>-rwxr-xr-x</w:t>
        <w:t xml:space="preserve"> </w:t>
        <w:t>1 root root 1038249984 May</w:t>
        <w:t xml:space="preserve"> </w:t>
        <w:t>3 19:37 ubuntu-20.04-live-server-ppc64el.iso</w:t>
      </w:r>
    </w:p>
    <w:p>
      <w:pPr>
        <w:pStyle w:val="Para 17"/>
      </w:pPr>
      <w:r>
        <w:t/>
      </w:r>
    </w:p>
    <w:p>
      <w:pPr>
        <w:pStyle w:val="Normal"/>
      </w:pPr>
      <w:r>
        <w:t>Now use a browser and navigate to the BMC of the Power system, which should be installed (let’s assume the BMC’s IP address is 10.245.246.247):</w:t>
      </w:r>
    </w:p>
    <w:p>
      <w:pPr>
        <w:pStyle w:val="Normal"/>
      </w:pPr>
      <w:r>
        <w:t>firefox http:</w:t>
        <w:t>//</w:t>
        <w:t>10.245.246.247</w:t>
        <w:t>/</w:t>
      </w:r>
    </w:p>
    <w:p>
      <w:pPr>
        <w:pStyle w:val="Para 17"/>
      </w:pPr>
      <w:r>
        <w:t/>
      </w:r>
    </w:p>
    <w:p>
      <w:pPr>
        <w:pStyle w:val="Normal"/>
      </w:pPr>
      <w:r>
        <w:t>Log into the BMC, then find and select:</w:t>
      </w:r>
    </w:p>
    <w:p>
      <w:pPr>
        <w:pStyle w:val="Para 17"/>
      </w:pPr>
      <w:r>
        <w:t/>
      </w:r>
    </w:p>
    <w:p>
      <w:pPr>
        <w:pStyle w:val="Para 03"/>
      </w:pPr>
      <w:r>
        <w:t>Virtual Media –&gt; CD-ROM</w:t>
      </w:r>
    </w:p>
    <w:p>
      <w:pPr>
        <w:pStyle w:val="Normal"/>
      </w:pPr>
      <w:r>
        <w:t>Enter the IP address of the Samba share:</w:t>
      </w:r>
    </w:p>
    <w:p>
      <w:pPr>
        <w:pStyle w:val="Para 17"/>
      </w:pPr>
      <w:r>
        <w:t/>
      </w:r>
    </w:p>
    <w:p>
      <w:pPr>
        <w:pStyle w:val="Para 03"/>
      </w:pPr>
      <w:r>
        <w:t>10.245.246.42</w:t>
      </w:r>
    </w:p>
    <w:p>
      <w:pPr>
        <w:pStyle w:val="Normal"/>
      </w:pPr>
      <w:r>
        <w:t>and the path to the Samba share:</w:t>
      </w:r>
    </w:p>
    <w:p>
      <w:pPr>
        <w:pStyle w:val="Normal"/>
      </w:pPr>
      <w:r>
        <w:t>\winshare\focal</w:t>
        <w:t>-</w:t>
        <w:t>live</w:t>
        <w:t>-</w:t>
        <w:t>server</w:t>
        <w:t>-</w:t>
        <w:t>ppc64el</w:t>
        <w:t>.</w:t>
        <w:t>iso</w:t>
      </w:r>
    </w:p>
    <w:p>
      <w:pPr>
        <w:pStyle w:val="Para 17"/>
      </w:pPr>
      <w:r>
        <w:t/>
      </w:r>
    </w:p>
    <w:p>
      <w:pPr>
        <w:pStyle w:val="Normal"/>
      </w:pPr>
      <w:r>
        <w:t>Click “Save and Mount”. Make sure that the virtual CD-ROM is really properly mounted!</w:t>
      </w:r>
    </w:p>
    <w:p>
      <w:pPr>
        <w:pStyle w:val="Normal"/>
      </w:pPr>
      <w:r>
        <w:t>CD</w:t>
        <w:t>-</w:t>
        <w:t>ROM Image:</w:t>
      </w:r>
    </w:p>
    <w:p>
      <w:pPr>
        <w:pStyle w:val="Normal"/>
      </w:pPr>
      <w:r>
        <w:t>This option allows you to share a CD</w:t>
        <w:t>-</w:t>
        <w:t>ROM image over a Windows Share</w:t>
        <w:t xml:space="preserve"> </w:t>
      </w:r>
      <w:r>
        <w:rPr>
          <w:rStyle w:val="Text0"/>
        </w:rPr>
        <w:t>with</w:t>
      </w:r>
      <w:r>
        <w:t xml:space="preserve"> </w:t>
        <w:t>a</w:t>
        <w:t xml:space="preserve"> </w:t>
        <w:t>maximum size of</w:t>
        <w:t xml:space="preserve"> </w:t>
        <w:t>4.7</w:t>
        <w:t>GB</w:t>
        <w:t>.</w:t>
        <w:t xml:space="preserve"> </w:t>
        <w:t>This image will be emulated to the host</w:t>
        <w:t xml:space="preserve"> </w:t>
      </w:r>
      <w:r>
        <w:rPr>
          <w:rStyle w:val="Text0"/>
        </w:rPr>
        <w:t>as</w:t>
      </w:r>
      <w:r>
        <w:t xml:space="preserve"> </w:t>
        <w:t>USB device</w:t>
        <w:t>.</w:t>
      </w:r>
    </w:p>
    <w:p>
      <w:pPr>
        <w:pStyle w:val="Normal"/>
      </w:pPr>
      <w:r>
        <w:t>Device</w:t>
        <w:t xml:space="preserve"> </w:t>
        <w:t>1</w:t>
        <w:t xml:space="preserve"> </w:t>
        <w:t>There</w:t>
        <w:t xml:space="preserve"> </w:t>
      </w:r>
      <w:r>
        <w:rPr>
          <w:rStyle w:val="Text0"/>
        </w:rPr>
        <w:t>is</w:t>
      </w:r>
      <w:r>
        <w:t xml:space="preserve"> </w:t>
        <w:t>an iso file mounted</w:t>
        <w:t>.</w:t>
        <w:t xml:space="preserve"> </w:t>
        <w:t>Device</w:t>
        <w:t xml:space="preserve"> </w:t>
        <w:t>2</w:t>
        <w:t xml:space="preserve"> </w:t>
        <w:t>No disk emulation</w:t>
        <w:t xml:space="preserve"> </w:t>
        <w:t>set</w:t>
        <w:t>.</w:t>
      </w:r>
    </w:p>
    <w:p>
      <w:pPr>
        <w:pStyle w:val="Normal"/>
      </w:pPr>
      <w:r>
        <w:t>Device</w:t>
        <w:t xml:space="preserve"> </w:t>
        <w:t>3</w:t>
        <w:t xml:space="preserve"> </w:t>
        <w:t>No disk emulation</w:t>
        <w:t xml:space="preserve"> </w:t>
        <w:t>set</w:t>
        <w:t>.</w:t>
      </w:r>
    </w:p>
    <w:p>
      <w:pPr>
        <w:pStyle w:val="Normal"/>
      </w:pPr>
      <w:r>
        <w:t>&lt;</w:t>
        <w:t>Refresh Status</w:t>
        <w:t>&gt;</w:t>
      </w:r>
    </w:p>
    <w:p>
      <w:bookmarkStart w:id="99" w:name="page_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63"/>
                    <a:stretch>
                      <a:fillRect/>
                    </a:stretch>
                  </pic:blipFill>
                  <pic:spPr>
                    <a:xfrm>
                      <a:off x="0" y="0"/>
                      <a:ext cx="914400" cy="266700"/>
                    </a:xfrm>
                    <a:prstGeom prst="rect">
                      <a:avLst/>
                    </a:prstGeom>
                  </pic:spPr>
                </pic:pic>
              </a:graphicData>
            </a:graphic>
          </wp:anchor>
        </w:drawing>
      </w:r>
      <w:bookmarkEnd w:id="99"/>
    </w:p>
    <w:p>
      <w:pPr>
        <w:pStyle w:val="Normal"/>
      </w:pPr>
      <w:r>
        <w:t>Share host:</w:t>
        <w:t xml:space="preserve"> </w:t>
        <w:t>10.245.246.42</w:t>
      </w:r>
    </w:p>
    <w:p>
      <w:pPr>
        <w:pStyle w:val="Normal"/>
      </w:pPr>
      <w:r>
        <w:t>Path to image: \winshare\focal</w:t>
        <w:t>-</w:t>
        <w:t>live</w:t>
        <w:t>-</w:t>
        <w:t>server</w:t>
        <w:t>-</w:t>
        <w:t>ppc64el</w:t>
        <w:t>.</w:t>
        <w:t>iso</w:t>
        <w:t xml:space="preserve"> </w:t>
        <w:t>User (optional):</w:t>
      </w:r>
    </w:p>
    <w:p>
      <w:pPr>
        <w:pStyle w:val="Normal"/>
      </w:pPr>
      <w:r>
        <w:t>Password (optional):</w:t>
      </w:r>
    </w:p>
    <w:p>
      <w:pPr>
        <w:pStyle w:val="Normal"/>
      </w:pPr>
      <w:r>
        <w:t>&lt;</w:t>
        <w:t>Save</w:t>
        <w:t>&gt; &lt;</w:t>
        <w:t>Mount</w:t>
        <w:t>&gt; &lt;</w:t>
        <w:t>Unmount</w:t>
        <w:t>&gt;</w:t>
      </w:r>
    </w:p>
    <w:p>
      <w:pPr>
        <w:pStyle w:val="Para 17"/>
      </w:pPr>
      <w:r>
        <w:t/>
      </w:r>
    </w:p>
    <w:p>
      <w:pPr>
        <w:pStyle w:val="Para 08"/>
      </w:pPr>
      <w:r>
        <w:t>Note:</w:t>
      </w:r>
    </w:p>
    <w:p>
      <w:pPr>
        <w:pStyle w:val="Para 03"/>
      </w:pPr>
      <w:r>
        <w:t>It’s important that you see a status like this:</w:t>
      </w:r>
    </w:p>
    <w:p>
      <w:pPr>
        <w:pStyle w:val="Para 03"/>
      </w:pPr>
      <w:r>
        <w:t>Device</w:t>
        <w:t xml:space="preserve"> </w:t>
        <w:t>1</w:t>
        <w:t xml:space="preserve"> </w:t>
        <w:t>There</w:t>
        <w:t xml:space="preserve"> </w:t>
      </w:r>
      <w:r>
        <w:rPr>
          <w:rStyle w:val="Text0"/>
        </w:rPr>
        <w:t>is</w:t>
      </w:r>
      <w:r>
        <w:t xml:space="preserve"> </w:t>
        <w:t>an iso file mounted</w:t>
      </w:r>
    </w:p>
    <w:p>
      <w:pPr>
        <w:pStyle w:val="Para 03"/>
      </w:pPr>
      <w:r>
        <w:t>Then the virtual CD-ROM is properly mounted and you will see the boot/install from CD-</w:t>
      </w:r>
    </w:p>
    <w:p>
      <w:pPr>
        <w:pStyle w:val="Para 03"/>
      </w:pPr>
      <w:r>
        <w:t>ROM entry in Petitboot:</w:t>
      </w:r>
    </w:p>
    <w:p>
      <w:pPr>
        <w:pStyle w:val="Para 03"/>
      </w:pPr>
      <w:r>
        <w:t>[CD</w:t>
        <w:t>/</w:t>
        <w:t>DVD: sr0</w:t>
        <w:t xml:space="preserve"> </w:t>
        <w:t>/</w:t>
        <w:t xml:space="preserve"> </w:t>
        <w:t>2020</w:t>
        <w:t>-</w:t>
        <w:t>03</w:t>
        <w:t>-</w:t>
        <w:t>23</w:t>
        <w:t>-</w:t>
        <w:t>08</w:t>
        <w:t>-</w:t>
        <w:t>02</w:t>
        <w:t>-</w:t>
        <w:t>42</w:t>
        <w:t>-</w:t>
        <w:t>00</w:t>
        <w:t>]</w:t>
      </w:r>
    </w:p>
    <w:p>
      <w:pPr>
        <w:pStyle w:val="Para 04"/>
      </w:pPr>
      <w:r>
        <w:t>Install Ubuntu Server</w:t>
      </w:r>
    </w:p>
    <w:p>
      <w:pPr>
        <w:pStyle w:val="Para 17"/>
      </w:pPr>
      <w:r>
        <w:t/>
      </w:r>
    </w:p>
    <w:p>
      <w:pPr>
        <w:pStyle w:val="Para 01"/>
      </w:pPr>
      <w:r>
        <w:t>Boot into the Petitboot loader</w:t>
      </w:r>
    </w:p>
    <w:p>
      <w:pPr>
        <w:pStyle w:val="Para 17"/>
      </w:pPr>
      <w:r>
        <w:t/>
      </w:r>
    </w:p>
    <w:p>
      <w:pPr>
        <w:pStyle w:val="Normal"/>
      </w:pPr>
      <w:r>
        <w:t>Now use ipmitool to boot the system into the Petitboot loader:</w:t>
      </w:r>
    </w:p>
    <w:p>
      <w:pPr>
        <w:pStyle w:val="Normal"/>
      </w:pPr>
      <w:r>
        <w:t>$ ipmitool -I lanplus -H 10.245.246.247 -U ADMIN -P &lt;password&gt; power status</w:t>
        <w:t xml:space="preserve"> </w:t>
        <w:t>$ ipmitool -I lanplus -H 10.245.246.247 -U ADMIN -P &lt;password&gt; sol activate</w:t>
        <w:t xml:space="preserve"> </w:t>
        <w:t>$ ipmitool -I lanplus -H 10.245.246.247 -U ADMIN -P &lt;password&gt; power on</w:t>
        <w:t xml:space="preserve"> </w:t>
        <w:t>Chassis Power Control: Up/On</w:t>
      </w:r>
    </w:p>
    <w:p>
      <w:pPr>
        <w:pStyle w:val="Para 17"/>
      </w:pPr>
      <w:r>
        <w:t/>
      </w:r>
    </w:p>
    <w:p>
      <w:pPr>
        <w:pStyle w:val="Normal"/>
      </w:pPr>
      <w:r>
        <w:t>And reach the Petitboot screen:</w:t>
      </w:r>
    </w:p>
    <w:p>
      <w:pPr>
        <w:pStyle w:val="Normal"/>
      </w:pPr>
      <w:r>
        <w:t>Petitboot (v1.7.5-p8f5fc86)</w:t>
        <w:t xml:space="preserve"> </w:t>
        <w:t>9006-12C BOS0026</w:t>
      </w:r>
    </w:p>
    <w:p>
      <w:pPr>
        <w:pStyle w:val="Normal"/>
      </w:pPr>
      <w:r>
        <w:t>─────────────────────────────────────────────</w:t>
      </w:r>
    </w:p>
    <w:p>
      <w:pPr>
        <w:pStyle w:val="Para 03"/>
      </w:pPr>
      <w:r>
        <w:t>[Network: enP2p1s0f0 / ac:1f:6b:09:c0:52]</w:t>
      </w:r>
    </w:p>
    <w:p>
      <w:pPr>
        <w:pStyle w:val="Para 02"/>
      </w:pPr>
      <w:r>
        <w:t>execute</w:t>
      </w:r>
    </w:p>
    <w:p>
      <w:pPr>
        <w:pStyle w:val="Para 02"/>
      </w:pPr>
      <w:r>
        <w:t>netboot enP2p1s0f0 (pxelinux.0)</w:t>
      </w:r>
    </w:p>
    <w:p>
      <w:pPr>
        <w:pStyle w:val="Para 03"/>
      </w:pPr>
      <w:r>
        <w:t>System information</w:t>
      </w:r>
    </w:p>
    <w:p>
      <w:pPr>
        <w:pStyle w:val="Para 03"/>
      </w:pPr>
      <w:r>
        <w:t>System configuration</w:t>
      </w:r>
    </w:p>
    <w:p>
      <w:pPr>
        <w:pStyle w:val="Para 03"/>
      </w:pPr>
      <w:r>
        <w:t>System status log</w:t>
      </w:r>
    </w:p>
    <w:p>
      <w:pPr>
        <w:pStyle w:val="Para 03"/>
      </w:pPr>
      <w:r>
        <w:t>Language</w:t>
      </w:r>
    </w:p>
    <w:p>
      <w:pPr>
        <w:pStyle w:val="Para 03"/>
      </w:pPr>
      <w:r>
        <w:t>Rescan devices</w:t>
      </w:r>
    </w:p>
    <w:p>
      <w:pPr>
        <w:pStyle w:val="Para 03"/>
      </w:pPr>
      <w:r>
        <w:t>Retrieve config from URL</w:t>
      </w:r>
    </w:p>
    <w:p>
      <w:pPr>
        <w:pStyle w:val="Normal"/>
      </w:pPr>
      <w:r>
        <w:t>*Plugins (0)</w:t>
      </w:r>
    </w:p>
    <w:p>
      <w:pPr>
        <w:pStyle w:val="Para 03"/>
      </w:pPr>
      <w:r>
        <w:t>Exit to shell</w:t>
      </w:r>
    </w:p>
    <w:p>
      <w:pPr>
        <w:pStyle w:val="Normal"/>
      </w:pPr>
      <w:r>
        <w:t>─────────────────────────────────────────────</w:t>
      </w:r>
    </w:p>
    <w:p>
      <w:pPr>
        <w:pStyle w:val="Normal"/>
      </w:pPr>
      <w:r>
        <w:t>Enter=accept, e=edit, n=new, x=exit, l=language, g=log, h=help</w:t>
        <w:t xml:space="preserve"> </w:t>
        <w:t>Default boot cancelled</w:t>
      </w:r>
    </w:p>
    <w:p>
      <w:pPr>
        <w:pStyle w:val="Para 17"/>
      </w:pPr>
      <w:r>
        <w:t/>
      </w:r>
    </w:p>
    <w:p>
      <w:pPr>
        <w:pStyle w:val="Normal"/>
      </w:pPr>
      <w:r>
        <w:t>Make sure that booting from CD-ROM is enabled:</w:t>
      </w:r>
    </w:p>
    <w:p>
      <w:pPr>
        <w:pStyle w:val="Normal"/>
      </w:pPr>
      <w:r>
        <w:t>Petitboot (v1.7.5-p8f5fc86)</w:t>
        <w:t xml:space="preserve"> </w:t>
        <w:t>9006-12C BOS0026</w:t>
        <w:t xml:space="preserve"> </w:t>
        <w:t>─────────────────────────────────────────────</w:t>
      </w:r>
    </w:p>
    <w:p>
      <w:pPr>
        <w:pStyle w:val="Para 03"/>
      </w:pPr>
      <w:r>
        <w:t>[Network: enP2p1s0f0 / ac:1f:6b:09:c0:52]</w:t>
      </w:r>
    </w:p>
    <w:p>
      <w:pPr>
        <w:pStyle w:val="Para 02"/>
      </w:pPr>
      <w:r>
        <w:t>Execute</w:t>
      </w:r>
    </w:p>
    <w:p>
      <w:pPr>
        <w:pStyle w:val="Para 02"/>
      </w:pPr>
      <w:r>
        <w:t>netboot enP2p1s0f0 (pxelinux.0)</w:t>
      </w:r>
    </w:p>
    <w:p>
      <w:pPr>
        <w:pStyle w:val="Para 09"/>
      </w:pPr>
      <w:r>
        <w:t>(continues on next page)</w:t>
      </w:r>
    </w:p>
    <w:p>
      <w:bookmarkStart w:id="100" w:name="page_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64"/>
                    <a:stretch>
                      <a:fillRect/>
                    </a:stretch>
                  </pic:blipFill>
                  <pic:spPr>
                    <a:xfrm>
                      <a:off x="0" y="0"/>
                      <a:ext cx="914400" cy="266700"/>
                    </a:xfrm>
                    <a:prstGeom prst="rect">
                      <a:avLst/>
                    </a:prstGeom>
                  </pic:spPr>
                </pic:pic>
              </a:graphicData>
            </a:graphic>
          </wp:anchor>
        </w:drawing>
      </w:r>
      <w:bookmarkEnd w:id="100"/>
    </w:p>
    <w:p>
      <w:pPr>
        <w:pStyle w:val="Para 09"/>
      </w:pPr>
      <w:r>
        <w:t>(continued from previous page)</w:t>
      </w:r>
    </w:p>
    <w:p>
      <w:pPr>
        <w:pStyle w:val="Para 03"/>
      </w:pPr>
      <w:r>
        <w:t>[Disk: sda2 / ebdb022b-96b2-4f4f-ae63-69300ded13f4]</w:t>
      </w:r>
    </w:p>
    <w:p>
      <w:pPr>
        <w:pStyle w:val="Para 02"/>
      </w:pPr>
      <w:r>
        <w:t>Ubuntu, with Linux 5.4.0-12-generic (recovery mode)</w:t>
      </w:r>
    </w:p>
    <w:p>
      <w:pPr>
        <w:pStyle w:val="Para 02"/>
      </w:pPr>
      <w:r>
        <w:t>Ubuntu, with Linux 5.4.0-12-generic</w:t>
      </w:r>
    </w:p>
    <w:p>
      <w:pPr>
        <w:pStyle w:val="Para 02"/>
      </w:pPr>
      <w:r>
        <w:t>Ubuntu</w:t>
      </w:r>
    </w:p>
    <w:p>
      <w:pPr>
        <w:pStyle w:val="Para 03"/>
      </w:pPr>
      <w:r>
        <w:t>System information</w:t>
      </w:r>
    </w:p>
    <w:p>
      <w:pPr>
        <w:pStyle w:val="Para 03"/>
      </w:pPr>
      <w:r>
        <w:t>System configuration</w:t>
      </w:r>
    </w:p>
    <w:p>
      <w:pPr>
        <w:pStyle w:val="Para 03"/>
      </w:pPr>
      <w:r>
        <w:t>System status log</w:t>
      </w:r>
    </w:p>
    <w:p>
      <w:pPr>
        <w:pStyle w:val="Para 03"/>
      </w:pPr>
      <w:r>
        <w:t>Language</w:t>
      </w:r>
    </w:p>
    <w:p>
      <w:pPr>
        <w:pStyle w:val="Para 03"/>
      </w:pPr>
      <w:r>
        <w:t>Rescan devices</w:t>
      </w:r>
    </w:p>
    <w:p>
      <w:pPr>
        <w:pStyle w:val="Para 03"/>
      </w:pPr>
      <w:r>
        <w:t>Retrieve config from URL</w:t>
      </w:r>
    </w:p>
    <w:p>
      <w:pPr>
        <w:pStyle w:val="Normal"/>
      </w:pPr>
      <w:r>
        <w:t>*Plugins (0)</w:t>
      </w:r>
    </w:p>
    <w:p>
      <w:pPr>
        <w:pStyle w:val="Para 03"/>
      </w:pPr>
      <w:r>
        <w:t>Exit to shell</w:t>
      </w:r>
    </w:p>
    <w:p>
      <w:pPr>
        <w:pStyle w:val="Normal"/>
      </w:pPr>
      <w:r>
        <w:t>─────────────────────────────────────────────</w:t>
      </w:r>
    </w:p>
    <w:p>
      <w:pPr>
        <w:pStyle w:val="Normal"/>
      </w:pPr>
      <w:r>
        <w:t>Enter=accept, e=edit, n=new, x=exit, l=language, g=log, h=help</w:t>
        <w:t xml:space="preserve"> </w:t>
        <w:t>[sda3] Processing new Disk device</w:t>
      </w:r>
    </w:p>
    <w:p>
      <w:pPr>
        <w:pStyle w:val="Para 17"/>
      </w:pPr>
      <w:r>
        <w:t/>
      </w:r>
    </w:p>
    <w:p>
      <w:pPr>
        <w:pStyle w:val="Normal"/>
      </w:pPr>
      <w:r>
        <w:t>Petitboot System Configuration</w:t>
      </w:r>
    </w:p>
    <w:p>
      <w:pPr>
        <w:pStyle w:val="Normal"/>
      </w:pPr>
      <w:r>
        <w:t>──────────────────────────────────────────────</w:t>
      </w:r>
    </w:p>
    <w:p>
      <w:pPr>
        <w:pStyle w:val="Para 03"/>
      </w:pPr>
      <w:r>
        <w:t>Autoboot:</w:t>
        <w:t xml:space="preserve"> </w:t>
        <w:t>( ) Disabled</w:t>
      </w:r>
    </w:p>
    <w:p>
      <w:pPr>
        <w:pStyle w:val="Para 15"/>
      </w:pPr>
      <w:r>
        <w:t>(*) Enabled</w:t>
      </w:r>
    </w:p>
    <w:p>
      <w:pPr>
        <w:pStyle w:val="Para 03"/>
      </w:pPr>
      <w:r>
        <w:t>Boot Order:</w:t>
        <w:t xml:space="preserve"> </w:t>
        <w:t>(0) Any CD/DVD device</w:t>
      </w:r>
    </w:p>
    <w:p>
      <w:pPr>
        <w:pStyle w:val="Para 15"/>
      </w:pPr>
      <w:r>
        <w:t>(1) disk: sda2 [uuid: ebdb022b-96b2-4f4f-ae63-69300ded13f4]</w:t>
        <w:t xml:space="preserve"> </w:t>
        <w:t>(2) net:</w:t>
        <w:t xml:space="preserve"> </w:t>
        <w:t>enP2p1s0f0 [mac: ac:1f:6b:09:c0:52]</w:t>
      </w:r>
    </w:p>
    <w:p>
      <w:pPr>
        <w:pStyle w:val="Para 15"/>
      </w:pPr>
      <w:r>
        <w:t>[</w:t>
        <w:t xml:space="preserve"> </w:t>
        <w:t>Add Device</w:t>
        <w:t xml:space="preserve"> </w:t>
        <w:t>]</w:t>
      </w:r>
    </w:p>
    <w:p>
      <w:pPr>
        <w:pStyle w:val="Para 15"/>
      </w:pPr>
      <w:r>
        <w:t>[</w:t>
        <w:t xml:space="preserve"> </w:t>
        <w:t>Clear &amp; Boot Any</w:t>
        <w:t xml:space="preserve"> </w:t>
        <w:t>]</w:t>
      </w:r>
    </w:p>
    <w:p>
      <w:pPr>
        <w:pStyle w:val="Para 15"/>
      </w:pPr>
      <w:r>
        <w:t>[</w:t>
        <w:t xml:space="preserve"> </w:t>
        <w:t>Clear</w:t>
        <w:t xml:space="preserve"> </w:t>
        <w:t>]</w:t>
      </w:r>
    </w:p>
    <w:p>
      <w:pPr>
        <w:pStyle w:val="Para 03"/>
      </w:pPr>
      <w:r>
        <w:t>Timeout:</w:t>
        <w:t xml:space="preserve"> </w:t>
        <w:t>30</w:t>
        <w:t xml:space="preserve"> </w:t>
        <w:t>seconds</w:t>
      </w:r>
    </w:p>
    <w:p>
      <w:pPr>
        <w:pStyle w:val="Para 17"/>
      </w:pPr>
      <w:r>
        <w:t/>
      </w:r>
    </w:p>
    <w:p>
      <w:pPr>
        <w:pStyle w:val="Para 03"/>
      </w:pPr>
      <w:r>
        <w:t>Network:</w:t>
        <w:t xml:space="preserve"> </w:t>
        <w:t>(*) DHCP on all active interfaces</w:t>
      </w:r>
    </w:p>
    <w:p>
      <w:pPr>
        <w:pStyle w:val="Para 15"/>
      </w:pPr>
      <w:r>
        <w:t>( ) DHCP on a specific interface</w:t>
      </w:r>
    </w:p>
    <w:p>
      <w:pPr>
        <w:pStyle w:val="Para 15"/>
      </w:pPr>
      <w:r>
        <w:t>( ) Static IP configuration</w:t>
      </w:r>
    </w:p>
    <w:p>
      <w:pPr>
        <w:pStyle w:val="Normal"/>
      </w:pPr>
      <w:r>
        <w:t>─────────────────────────────────────────────</w:t>
      </w:r>
    </w:p>
    <w:p>
      <w:pPr>
        <w:pStyle w:val="Normal"/>
      </w:pPr>
      <w:r>
        <w:t>tab=next, shift+tab=previous, x=exit, h=help</w:t>
      </w:r>
    </w:p>
    <w:p>
      <w:pPr>
        <w:pStyle w:val="Para 17"/>
      </w:pPr>
      <w:r>
        <w:t/>
      </w:r>
    </w:p>
    <w:p>
      <w:pPr>
        <w:pStyle w:val="Normal"/>
      </w:pPr>
      <w:r>
        <w:t>Petitboot System Configuration</w:t>
      </w:r>
    </w:p>
    <w:p>
      <w:pPr>
        <w:pStyle w:val="Normal"/>
      </w:pPr>
      <w:r>
        <w:t>─────────────────────────────────────────────</w:t>
      </w:r>
    </w:p>
    <w:p>
      <w:pPr>
        <w:pStyle w:val="Para 03"/>
      </w:pPr>
      <w:r>
        <w:t>Network:</w:t>
        <w:t xml:space="preserve"> </w:t>
        <w:t>(*) DHCP on all active interfaces</w:t>
      </w:r>
    </w:p>
    <w:p>
      <w:pPr>
        <w:pStyle w:val="Para 15"/>
      </w:pPr>
      <w:r>
        <w:t>( ) DHCP on a specific interface</w:t>
      </w:r>
    </w:p>
    <w:p>
      <w:pPr>
        <w:pStyle w:val="Para 15"/>
      </w:pPr>
      <w:r>
        <w:t>( ) Static IP configuration</w:t>
      </w:r>
    </w:p>
    <w:p>
      <w:pPr>
        <w:pStyle w:val="Para 03"/>
      </w:pPr>
      <w:r>
        <w:t>DNS Server(s):</w:t>
        <w:t xml:space="preserve"> </w:t>
        <w:t>(eg. 192.168.0.2)</w:t>
      </w:r>
    </w:p>
    <w:p>
      <w:pPr>
        <w:pStyle w:val="Para 15"/>
      </w:pPr>
      <w:r>
        <w:t>(if not provided by DHCP server)</w:t>
      </w:r>
    </w:p>
    <w:p>
      <w:pPr>
        <w:pStyle w:val="Para 03"/>
      </w:pPr>
      <w:r>
        <w:t>HTTP Proxy:</w:t>
      </w:r>
    </w:p>
    <w:p>
      <w:pPr>
        <w:pStyle w:val="Para 03"/>
      </w:pPr>
      <w:r>
        <w:t>HTTPS Proxy:</w:t>
      </w:r>
    </w:p>
    <w:p>
      <w:pPr>
        <w:pStyle w:val="Para 03"/>
      </w:pPr>
      <w:r>
        <w:t>Disk R/W:</w:t>
        <w:t xml:space="preserve"> </w:t>
        <w:t>( ) Prevent all writes to disk</w:t>
      </w:r>
    </w:p>
    <w:p>
      <w:pPr>
        <w:pStyle w:val="Para 09"/>
      </w:pPr>
      <w:r>
        <w:t>(continues on next page)</w:t>
      </w:r>
    </w:p>
    <w:p>
      <w:bookmarkStart w:id="101" w:name="page_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65"/>
                    <a:stretch>
                      <a:fillRect/>
                    </a:stretch>
                  </pic:blipFill>
                  <pic:spPr>
                    <a:xfrm>
                      <a:off x="0" y="0"/>
                      <a:ext cx="914400" cy="266700"/>
                    </a:xfrm>
                    <a:prstGeom prst="rect">
                      <a:avLst/>
                    </a:prstGeom>
                  </pic:spPr>
                </pic:pic>
              </a:graphicData>
            </a:graphic>
          </wp:anchor>
        </w:drawing>
      </w:r>
      <w:bookmarkEnd w:id="101"/>
    </w:p>
    <w:p>
      <w:pPr>
        <w:pStyle w:val="Para 09"/>
      </w:pPr>
      <w:r>
        <w:t>(continued from previous page)</w:t>
      </w:r>
    </w:p>
    <w:p>
      <w:pPr>
        <w:pStyle w:val="Para 15"/>
      </w:pPr>
      <w:r>
        <w:t>(*) Allow bootloader scripts to modify disks</w:t>
      </w:r>
    </w:p>
    <w:p>
      <w:pPr>
        <w:pStyle w:val="Para 03"/>
      </w:pPr>
      <w:r>
        <w:t>Boot console:</w:t>
        <w:t xml:space="preserve"> </w:t>
        <w:t>(*) /dev/hvc0 [IPMI / Serial]</w:t>
      </w:r>
    </w:p>
    <w:p>
      <w:pPr>
        <w:pStyle w:val="Para 15"/>
      </w:pPr>
      <w:r>
        <w:t>( ) /dev/tty1 [VGA]</w:t>
      </w:r>
    </w:p>
    <w:p>
      <w:pPr>
        <w:pStyle w:val="Para 15"/>
      </w:pPr>
      <w:r>
        <w:t>Current interface: /dev/hvc0</w:t>
      </w:r>
    </w:p>
    <w:p>
      <w:pPr>
        <w:pStyle w:val="Para 15"/>
      </w:pPr>
      <w:r>
        <w:t>[</w:t>
        <w:t xml:space="preserve"> </w:t>
        <w:t>OK</w:t>
        <w:t xml:space="preserve"> </w:t>
        <w:t>]</w:t>
        <w:t xml:space="preserve"> </w:t>
        <w:t>[</w:t>
        <w:t xml:space="preserve"> </w:t>
        <w:t>Help</w:t>
        <w:t xml:space="preserve"> </w:t>
        <w:t>]</w:t>
        <w:t xml:space="preserve"> </w:t>
        <w:t>[</w:t>
        <w:t xml:space="preserve"> </w:t>
        <w:t>Cancel</w:t>
        <w:t xml:space="preserve"> </w:t>
        <w:t>]</w:t>
      </w:r>
    </w:p>
    <w:p>
      <w:pPr>
        <w:pStyle w:val="Normal"/>
      </w:pPr>
      <w:r>
        <w:t>───────────────────────────────────────────</w:t>
      </w:r>
    </w:p>
    <w:p>
      <w:pPr>
        <w:pStyle w:val="Normal"/>
      </w:pPr>
      <w:r>
        <w:t>tab=next, shift+tab=previous, x=exit, h=help</w:t>
      </w:r>
    </w:p>
    <w:p>
      <w:pPr>
        <w:pStyle w:val="Para 17"/>
      </w:pPr>
      <w:r>
        <w:t/>
      </w:r>
    </w:p>
    <w:p>
      <w:pPr>
        <w:pStyle w:val="Normal"/>
      </w:pPr>
      <w:r>
        <w:t>Now select the ‘Install Ubuntu Server’ entry below the CD/DVD entry:</w:t>
      </w:r>
    </w:p>
    <w:p>
      <w:pPr>
        <w:pStyle w:val="Para 03"/>
      </w:pPr>
      <w:r>
        <w:t>[CD</w:t>
        <w:t>/</w:t>
        <w:t>DVD: sr0</w:t>
        <w:t xml:space="preserve"> </w:t>
        <w:t>/</w:t>
        <w:t xml:space="preserve"> </w:t>
        <w:t>2020</w:t>
        <w:t>-</w:t>
        <w:t>03</w:t>
        <w:t>-</w:t>
        <w:t>23</w:t>
        <w:t>-</w:t>
        <w:t>08</w:t>
        <w:t>-</w:t>
        <w:t>02</w:t>
        <w:t>-</w:t>
        <w:t>42</w:t>
        <w:t>-</w:t>
        <w:t>00</w:t>
        <w:t>]</w:t>
      </w:r>
    </w:p>
    <w:p>
      <w:pPr>
        <w:pStyle w:val="Para 03"/>
      </w:pPr>
      <w:r>
        <w:t>*</w:t>
        <w:t xml:space="preserve"> </w:t>
        <w:t>Install Ubuntu Server</w:t>
      </w:r>
    </w:p>
    <w:p>
      <w:pPr>
        <w:pStyle w:val="Para 17"/>
      </w:pPr>
      <w:r>
        <w:t/>
      </w:r>
    </w:p>
    <w:p>
      <w:pPr>
        <w:pStyle w:val="Normal"/>
      </w:pPr>
      <w:r>
        <w:t>And let Petitboot boot from the (virtual) CD-ROM image:</w:t>
      </w:r>
    </w:p>
    <w:p>
      <w:pPr>
        <w:pStyle w:val="Normal"/>
      </w:pPr>
      <w:r>
        <w:t>Sent SIGKILL to</w:t>
        <w:t xml:space="preserve"> </w:t>
        <w:t>all</w:t>
        <w:t xml:space="preserve"> </w:t>
        <w:t>processes</w:t>
      </w:r>
    </w:p>
    <w:p>
      <w:pPr>
        <w:pStyle w:val="Normal"/>
      </w:pPr>
      <w:r>
        <w:t>[</w:t>
        <w:t xml:space="preserve"> </w:t>
        <w:t>119.355371</w:t>
        <w:t>] kexec_core: Starting new kernel</w:t>
        <w:t xml:space="preserve"> </w:t>
        <w:t>[</w:t>
        <w:t xml:space="preserve"> </w:t>
        <w:t>194.483947394</w:t>
        <w:t>,</w:t>
        <w:t>5</w:t>
        <w:t>] OPAL: Switch to big</w:t>
        <w:t>-</w:t>
        <w:t>endian OS</w:t>
        <w:t xml:space="preserve"> </w:t>
        <w:t>[</w:t>
        <w:t xml:space="preserve"> </w:t>
        <w:t>197.454615202</w:t>
        <w:t>,</w:t>
        <w:t>5</w:t>
        <w:t>] OPAL: Switch to little</w:t>
        <w:t>-</w:t>
        <w:t>endian OS</w:t>
      </w:r>
    </w:p>
    <w:p>
      <w:pPr>
        <w:pStyle w:val="Para 17"/>
      </w:pPr>
      <w:r>
        <w:t/>
      </w:r>
    </w:p>
    <w:p>
      <w:pPr>
        <w:pStyle w:val="Normal"/>
      </w:pPr>
      <w:r>
        <w:t>The initial Subiquity installer screen will show up in the console:</w:t>
      </w:r>
    </w:p>
    <w:p>
      <w:pPr>
        <w:pStyle w:val="Normal"/>
      </w:pPr>
      <w:r>
        <w:t>�������������������������������������������</w:t>
      </w:r>
    </w:p>
    <w:p>
      <w:pPr>
        <w:pStyle w:val="Para 03"/>
      </w:pPr>
      <w:r>
        <w:t>Willkommen! Bienvenue! Welcome! Добро пожаловать! Welkom</w:t>
      </w:r>
    </w:p>
    <w:p>
      <w:pPr>
        <w:pStyle w:val="Normal"/>
      </w:pPr>
      <w:r>
        <w:t>�������������������������������������������</w:t>
      </w:r>
    </w:p>
    <w:p>
      <w:pPr>
        <w:pStyle w:val="Para 03"/>
      </w:pPr>
      <w:r>
        <w:t>Use UP, DOWN and ENTER keys to select your language.</w:t>
      </w:r>
    </w:p>
    <w:p>
      <w:pPr>
        <w:pStyle w:val="Para 15"/>
      </w:pPr>
      <w:r>
        <w:t>[ English</w:t>
        <w:t xml:space="preserve"> </w:t>
        <w:t>� ]</w:t>
        <w:t xml:space="preserve"> </w:t>
        <w:t>[ Asturianu</w:t>
        <w:t xml:space="preserve"> </w:t>
        <w:t>� ]</w:t>
        <w:t xml:space="preserve"> </w:t>
        <w:t>[ Català</w:t>
        <w:t xml:space="preserve"> </w:t>
        <w:t>� ]</w:t>
        <w:t xml:space="preserve"> </w:t>
        <w:t>[ Hrvatski</w:t>
        <w:t xml:space="preserve"> </w:t>
        <w:t>� ]</w:t>
        <w:t xml:space="preserve"> </w:t>
        <w:t>[ Nederlands</w:t>
        <w:t xml:space="preserve"> </w:t>
        <w:t>� ]</w:t>
        <w:t xml:space="preserve"> </w:t>
        <w:t>[ Suomi</w:t>
        <w:t xml:space="preserve"> </w:t>
        <w:t>� ]</w:t>
        <w:t xml:space="preserve"> </w:t>
        <w:t>[ Français</w:t>
        <w:t xml:space="preserve"> </w:t>
        <w:t>� ]</w:t>
        <w:t xml:space="preserve"> </w:t>
        <w:t>[ Deutsch</w:t>
        <w:t xml:space="preserve"> </w:t>
        <w:t>� ]</w:t>
        <w:t xml:space="preserve"> </w:t>
        <w:t>[ Ελληνικά</w:t>
        <w:t xml:space="preserve"> </w:t>
        <w:t>� ]</w:t>
        <w:t xml:space="preserve"> </w:t>
        <w:t>[ Magyar</w:t>
        <w:t xml:space="preserve"> </w:t>
        <w:t>� ]</w:t>
        <w:t xml:space="preserve"> </w:t>
        <w:t>[ Latviešu</w:t>
        <w:t xml:space="preserve"> </w:t>
        <w:t>� ]</w:t>
        <w:t xml:space="preserve"> </w:t>
        <w:t>[ Norsk bokmål</w:t>
        <w:t xml:space="preserve"> </w:t>
        <w:t>� ]</w:t>
        <w:t xml:space="preserve"> </w:t>
        <w:t>[ Polski</w:t>
        <w:t xml:space="preserve"> </w:t>
        <w:t>� ]</w:t>
        <w:t xml:space="preserve"> </w:t>
        <w:t>[ Русский</w:t>
        <w:t xml:space="preserve"> </w:t>
        <w:t>� ]</w:t>
        <w:t xml:space="preserve"> </w:t>
        <w:t>[ Español</w:t>
        <w:t xml:space="preserve"> </w:t>
        <w:t>� ]</w:t>
        <w:t xml:space="preserve"> </w:t>
        <w:t>[ Українська</w:t>
        <w:t xml:space="preserve"> </w:t>
        <w:t>� ]</w:t>
      </w:r>
    </w:p>
    <w:p>
      <w:pPr>
        <w:pStyle w:val="Para 17"/>
      </w:pPr>
      <w:r>
        <w:t/>
      </w:r>
    </w:p>
    <w:p>
      <w:pPr>
        <w:pStyle w:val="Normal"/>
      </w:pPr>
      <w:r>
        <w:t>From this point, you can follow the normal Subiquity installation. For more details, refer to</w:t>
      </w:r>
    </w:p>
    <w:p>
      <w:pPr>
        <w:pStyle w:val="Para 18"/>
      </w:pPr>
      <w:r>
        <w:rPr>
          <w:rStyle w:val="Text7"/>
        </w:rPr>
        <w:t xml:space="preserve">the </w:t>
      </w:r>
      <w:hyperlink w:anchor="page_59">
        <w:r>
          <w:rPr>
            <w:rStyle w:val="Text10"/>
          </w:rPr>
          <w:t>68</w:t>
        </w:r>
      </w:hyperlink>
      <w:r>
        <w:rPr>
          <w:rStyle w:val="Text7"/>
        </w:rPr>
        <w:t xml:space="preserve"> </w:t>
      </w:r>
      <w:hyperlink r:id="rId1048">
        <w:r>
          <w:t>Subiquity installer documentation</w:t>
        </w:r>
      </w:hyperlink>
      <w:r>
        <w:rPr>
          <w:rStyle w:val="Text7"/>
        </w:rPr>
        <w:t xml:space="preserve"> .</w:t>
      </w:r>
    </w:p>
    <w:p>
      <w:pPr>
        <w:pStyle w:val="Para 05"/>
      </w:pPr>
      <w:r>
        <w:rPr>
          <w:rStyle w:val="Text5"/>
        </w:rPr>
        <w:t>68</w:t>
      </w:r>
      <w:r>
        <w:rPr>
          <w:rStyle w:val="Text8"/>
        </w:rPr>
        <w:t xml:space="preserve"> </w:t>
      </w:r>
      <w:r>
        <w:t>https://canonical-subiquity.readthedocs-hosted.com/en/latest/index.html</w:t>
      </w:r>
      <w:r>
        <w:rPr>
          <w:rStyle w:val="Text8"/>
        </w:rPr>
        <w:t xml:space="preserve"> </w:t>
      </w:r>
      <w:r>
        <w:rPr>
          <w:rStyle w:val="Text11"/>
        </w:rPr>
        <w:t>Interactive live server installation on IBM z/VM (s390x)</w:t>
      </w:r>
    </w:p>
    <w:p>
      <w:bookmarkStart w:id="102" w:name="page_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66"/>
                    <a:stretch>
                      <a:fillRect/>
                    </a:stretch>
                  </pic:blipFill>
                  <pic:spPr>
                    <a:xfrm>
                      <a:off x="0" y="0"/>
                      <a:ext cx="914400" cy="266700"/>
                    </a:xfrm>
                    <a:prstGeom prst="rect">
                      <a:avLst/>
                    </a:prstGeom>
                  </pic:spPr>
                </pic:pic>
              </a:graphicData>
            </a:graphic>
          </wp:anchor>
        </w:drawing>
      </w:r>
      <w:bookmarkEnd w:id="102"/>
    </w:p>
    <w:p>
      <w:pPr>
        <w:pStyle w:val="Para 17"/>
      </w:pPr>
      <w:r>
        <w:t/>
      </w:r>
    </w:p>
    <w:p>
      <w:pPr>
        <w:pStyle w:val="Normal"/>
      </w:pPr>
      <w:r>
        <w:t>Doing an interactive (manual) live installation as described here - meaning without specifying a parmfile - has been supported in Ubuntu Server since LTS 20.04.5 (‘Focal’).</w:t>
      </w:r>
    </w:p>
    <w:p>
      <w:pPr>
        <w:pStyle w:val="Normal"/>
      </w:pPr>
      <w:r>
        <w:t>The following guide assumes that a z/VM guest has been defined, and that it is able to either reach the public cdimage.ubuntu.com server or an internal FTP or HTTP server that hosts an</w:t>
      </w:r>
    </w:p>
    <w:p>
      <w:pPr>
        <w:pStyle w:val="Normal"/>
      </w:pPr>
      <w:r>
        <w:t xml:space="preserve">Ubuntu Server 20.04 installer image, like this </w:t>
      </w:r>
      <w:hyperlink w:anchor="page_60">
        <w:r>
          <w:rPr>
            <w:rStyle w:val="Text9"/>
          </w:rPr>
          <w:t>69</w:t>
        </w:r>
      </w:hyperlink>
      <w:r>
        <w:t xml:space="preserve"> </w:t>
      </w:r>
      <w:hyperlink r:id="rId1088">
        <w:r>
          <w:rPr>
            <w:rStyle w:val="Text1"/>
          </w:rPr>
          <w:t>20.04 (a.k.a. Focal) daily live image</w:t>
        </w:r>
      </w:hyperlink>
    </w:p>
    <w:p>
      <w:pPr>
        <w:pStyle w:val="Normal"/>
      </w:pPr>
      <w:r>
        <w:t>Find a place to download the installer image:</w:t>
      </w:r>
    </w:p>
    <w:p>
      <w:pPr>
        <w:pStyle w:val="Normal"/>
      </w:pPr>
      <w:r>
        <w:t>user@workstation:~$ wget</w:t>
      </w:r>
    </w:p>
    <w:p>
      <w:pPr>
        <w:pStyle w:val="Normal"/>
      </w:pPr>
      <w:r>
        <w:t>http://cdimage.ubuntu.com/ubuntu/releases/20.04.5/release/ubuntu-20.04.5-live-server-</w:t>
        <w:t>s390x.iso</w:t>
      </w:r>
    </w:p>
    <w:p>
      <w:pPr>
        <w:pStyle w:val="Normal"/>
      </w:pPr>
      <w:r>
        <w:t>--2020-08-08</w:t>
        <w:t xml:space="preserve"> </w:t>
        <w:t>16</w:t>
        <w:t>:01:52--</w:t>
      </w:r>
    </w:p>
    <w:p>
      <w:pPr>
        <w:pStyle w:val="Normal"/>
      </w:pPr>
      <w:r>
        <w:t>http://cdimage.ubuntu.com/ubuntu/releases/20.04.5/release/ubuntu-20.04.5-live-server-</w:t>
        <w:t>s390x.iso</w:t>
      </w:r>
    </w:p>
    <w:p>
      <w:pPr>
        <w:pStyle w:val="Normal"/>
      </w:pPr>
      <w:r>
        <w:t>Resolving cdimage.ubuntu.com</w:t>
        <w:t xml:space="preserve"> </w:t>
        <w:t>(</w:t>
        <w:t>cdimage.ubuntu.com</w:t>
        <w:t>)</w:t>
        <w:t>...</w:t>
        <w:t xml:space="preserve"> </w:t>
        <w:t>2001</w:t>
        <w:t>:67c:1560:8001::1d,</w:t>
        <w:t xml:space="preserve"> </w:t>
        <w:t>2001</w:t>
        <w:t>:67c:1360:8001::27,</w:t>
        <w:t xml:space="preserve"> </w:t>
        <w:t>2001</w:t>
        <w:t>:67c:1360:8001::28, ...</w:t>
        <w:t xml:space="preserve"> </w:t>
        <w:t>Connecting to cdimage.ubuntu.com</w:t>
      </w:r>
    </w:p>
    <w:p>
      <w:pPr>
        <w:pStyle w:val="Normal"/>
      </w:pPr>
      <w:r>
        <w:t>(</w:t>
        <w:t>cdimage.ubuntu.com</w:t>
        <w:t>)</w:t>
        <w:t>|</w:t>
        <w:t>2001</w:t>
        <w:t>:67c:1560:8001::1d|:80... connected.</w:t>
        <w:t xml:space="preserve"> </w:t>
        <w:t>HTTP request sent, awaiting response...</w:t>
        <w:t xml:space="preserve"> </w:t>
        <w:t>200</w:t>
        <w:t xml:space="preserve"> </w:t>
        <w:t>OK</w:t>
        <w:t xml:space="preserve"> </w:t>
        <w:t>Length:</w:t>
        <w:t xml:space="preserve"> </w:t>
        <w:t>705628160</w:t>
        <w:t xml:space="preserve"> </w:t>
        <w:t>(</w:t>
        <w:t>673M</w:t>
        <w:t>) [</w:t>
        <w:t>application/x-iso9660-image</w:t>
        <w:t>]</w:t>
        <w:t xml:space="preserve"> </w:t>
        <w:t>Saving to: ‘ubuntu-20.04.5-live-server-s390x.iso’</w:t>
      </w:r>
    </w:p>
    <w:p>
      <w:pPr>
        <w:pStyle w:val="Normal"/>
      </w:pPr>
      <w:r>
        <w:t>ubuntu-20.04.5-live</w:t>
        <w:t xml:space="preserve"> </w:t>
        <w:t>100</w:t>
        <w:t>%</w:t>
        <w:t>[===================</w:t>
        <w:t>&gt;</w:t>
        <w:t>]</w:t>
        <w:t xml:space="preserve"> </w:t>
        <w:t>672</w:t>
        <w:t>.94M</w:t>
        <w:t xml:space="preserve"> </w:t>
        <w:t>37</w:t>
        <w:t>.1MB/s</w:t>
        <w:t xml:space="preserve"> </w:t>
      </w:r>
      <w:r>
        <w:rPr>
          <w:rStyle w:val="Text0"/>
        </w:rPr>
        <w:t>in</w:t>
      </w:r>
      <w:r>
        <w:t xml:space="preserve"> </w:t>
        <w:t>17s</w:t>
      </w:r>
    </w:p>
    <w:p>
      <w:pPr>
        <w:pStyle w:val="Normal"/>
      </w:pPr>
      <w:r>
        <w:t>2020</w:t>
        <w:t>-08-08</w:t>
        <w:t xml:space="preserve"> </w:t>
        <w:t>16</w:t>
        <w:t>:02:10</w:t>
        <w:t xml:space="preserve"> </w:t>
        <w:t>(</w:t>
        <w:t>38</w:t>
        <w:t>.8 MB/s</w:t>
        <w:t>)</w:t>
        <w:t>- ‘ubuntu-20.04.5-live-server-s390x.iso’ saved</w:t>
        <w:t xml:space="preserve"> </w:t>
        <w:t>[</w:t>
        <w:t>705628160</w:t>
        <w:t>/705628160</w:t>
        <w:t>]</w:t>
      </w:r>
    </w:p>
    <w:p>
      <w:pPr>
        <w:pStyle w:val="Para 17"/>
      </w:pPr>
      <w:r>
        <w:t/>
      </w:r>
    </w:p>
    <w:p>
      <w:pPr>
        <w:pStyle w:val="Normal"/>
      </w:pPr>
      <w:r>
        <w:t>Now loop-back mount the ISO to extract four files that are needed for a z/VM guest installa-tion:</w:t>
      </w:r>
    </w:p>
    <w:p>
      <w:pPr>
        <w:pStyle w:val="Normal"/>
      </w:pPr>
      <w:r>
        <w:t>user@workstation:~$ mkdir iso</w:t>
      </w:r>
    </w:p>
    <w:p>
      <w:pPr>
        <w:pStyle w:val="Normal"/>
      </w:pPr>
      <w:r>
        <w:t>user@workstation:~$ sudo mount -o loop ubuntu-20.04.5-live-server-s390x.iso iso</w:t>
        <w:t xml:space="preserve"> </w:t>
        <w:t>user@workstation:~$</w:t>
      </w:r>
    </w:p>
    <w:p>
      <w:pPr>
        <w:pStyle w:val="Normal"/>
      </w:pPr>
      <w:r>
        <w:t>user@workstation:~$ ls -1 ./iso/boot/</w:t>
        <w:t>{</w:t>
        <w:t>ubuntu.exec,parmfile.*,kernel.u*,initrd.u*</w:t>
        <w:t>}</w:t>
        <w:t xml:space="preserve"> </w:t>
        <w:t>./iso/boot/initrd.ubuntu</w:t>
      </w:r>
    </w:p>
    <w:p>
      <w:pPr>
        <w:pStyle w:val="Normal"/>
      </w:pPr>
      <w:r>
        <w:t>./iso/boot/kernel.ubuntu</w:t>
      </w:r>
    </w:p>
    <w:p>
      <w:pPr>
        <w:pStyle w:val="Normal"/>
      </w:pPr>
      <w:r>
        <w:t>./iso/boot/parmfile.ubuntu</w:t>
      </w:r>
    </w:p>
    <w:p>
      <w:pPr>
        <w:pStyle w:val="Normal"/>
      </w:pPr>
      <w:r>
        <w:t>./iso/boot/ubuntu.exec</w:t>
      </w:r>
    </w:p>
    <w:p>
      <w:pPr>
        <w:pStyle w:val="Para 17"/>
      </w:pPr>
      <w:r>
        <w:t/>
      </w:r>
    </w:p>
    <w:p>
      <w:pPr>
        <w:pStyle w:val="Normal"/>
      </w:pPr>
      <w:r>
        <w:t>Now transfer these four files to your z/VM guest (for example to its ‘A’ file mode), using either the 3270 terminal emulator or FTP.</w:t>
      </w:r>
    </w:p>
    <w:p>
      <w:pPr>
        <w:pStyle w:val="Normal"/>
      </w:pPr>
      <w:r>
        <w:t>Then log on to the z/VM guest that you want to use for the installation. In this example it will be guest ‘10.222.111.24’.</w:t>
      </w:r>
    </w:p>
    <w:p>
      <w:pPr>
        <w:pStyle w:val="Normal"/>
      </w:pPr>
      <w:r>
        <w:t>Execute the ubuntu REXX script to kick-off the installation:</w:t>
      </w:r>
    </w:p>
    <w:p>
      <w:pPr>
        <w:pStyle w:val="Normal"/>
      </w:pPr>
      <w:r>
        <w:t>ubuntu</w:t>
      </w:r>
    </w:p>
    <w:p>
      <w:pPr>
        <w:pStyle w:val="Normal"/>
      </w:pPr>
      <w:r>
        <w:t>00: 0000004 FILES PURGED</w:t>
      </w:r>
    </w:p>
    <w:p>
      <w:pPr>
        <w:pStyle w:val="Normal"/>
      </w:pPr>
      <w:r>
        <w:t>00: RDR FILE 0125 SENT FROM 10.222.111.24</w:t>
        <w:t xml:space="preserve"> </w:t>
        <w:t>PUN WAS 0125 RECS 101K CPY</w:t>
        <w:t xml:space="preserve"> </w:t>
        <w:t>001 A NOHOLD NO</w:t>
      </w:r>
    </w:p>
    <w:p>
      <w:pPr>
        <w:pStyle w:val="Para 09"/>
      </w:pPr>
      <w:r>
        <w:t>(continues on next page)</w:t>
      </w:r>
    </w:p>
    <w:p>
      <w:pPr>
        <w:pStyle w:val="Para 05"/>
      </w:pPr>
      <w:r>
        <w:rPr>
          <w:rStyle w:val="Text5"/>
        </w:rPr>
        <w:t>69</w:t>
      </w:r>
      <w:r>
        <w:rPr>
          <w:rStyle w:val="Text8"/>
        </w:rPr>
        <w:t xml:space="preserve"> </w:t>
      </w:r>
      <w:r>
        <w:t>http://cdimage.ubuntu.com/ubuntu/releases/20.04.5/release/ubuntu-20.04.5-live-server-s390x.iso</w:t>
      </w:r>
    </w:p>
    <w:p>
      <w:bookmarkStart w:id="103" w:name="page_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67"/>
                    <a:stretch>
                      <a:fillRect/>
                    </a:stretch>
                  </pic:blipFill>
                  <pic:spPr>
                    <a:xfrm>
                      <a:off x="0" y="0"/>
                      <a:ext cx="914400" cy="266700"/>
                    </a:xfrm>
                    <a:prstGeom prst="rect">
                      <a:avLst/>
                    </a:prstGeom>
                  </pic:spPr>
                </pic:pic>
              </a:graphicData>
            </a:graphic>
          </wp:anchor>
        </w:drawing>
      </w:r>
      <w:bookmarkEnd w:id="103"/>
    </w:p>
    <w:p>
      <w:pPr>
        <w:pStyle w:val="Para 09"/>
      </w:pPr>
      <w:r>
        <w:t>(continued from previous page)</w:t>
      </w:r>
    </w:p>
    <w:p>
      <w:pPr>
        <w:pStyle w:val="Normal"/>
      </w:pPr>
      <w:r>
        <w:t>KEEP</w:t>
      </w:r>
    </w:p>
    <w:p>
      <w:pPr>
        <w:pStyle w:val="Normal"/>
      </w:pPr>
      <w:r>
        <w:t>00: RDR FILE 0129 SENT FROM 10.222.111.24</w:t>
        <w:t xml:space="preserve"> </w:t>
        <w:t>PUN WAS 0129 RECS 0001 CPY</w:t>
        <w:t xml:space="preserve"> </w:t>
        <w:t>001 A NOHOLD NO</w:t>
        <w:t xml:space="preserve"> </w:t>
        <w:t>KEEP</w:t>
      </w:r>
    </w:p>
    <w:p>
      <w:pPr>
        <w:pStyle w:val="Normal"/>
      </w:pPr>
      <w:r>
        <w:t>00: RDR FILE 0133 SENT FROM 10.222.111.24</w:t>
        <w:t xml:space="preserve"> </w:t>
        <w:t>PUN WAS 0133 RECS 334K CPY</w:t>
        <w:t xml:space="preserve"> </w:t>
        <w:t>001 A NOHOLD NO</w:t>
        <w:t xml:space="preserve"> </w:t>
        <w:t>KEEP</w:t>
      </w:r>
    </w:p>
    <w:p>
      <w:pPr>
        <w:pStyle w:val="Normal"/>
      </w:pPr>
      <w:r>
        <w:t>00: 0000003 FILES CHANGED</w:t>
      </w:r>
    </w:p>
    <w:p>
      <w:pPr>
        <w:pStyle w:val="Normal"/>
      </w:pPr>
      <w:r>
        <w:t>00: 0000003 FILES CHANGED</w:t>
      </w:r>
    </w:p>
    <w:p>
      <w:pPr>
        <w:pStyle w:val="Normal"/>
      </w:pPr>
      <w:r>
        <w:t>01: HCPGSP2627I The virtual machine is placed in CP mode due to a SIGP initial CPU reset</w:t>
        <w:t xml:space="preserve"> </w:t>
        <w:t>from CPU 00.</w:t>
      </w:r>
    </w:p>
    <w:p>
      <w:pPr>
        <w:pStyle w:val="Normal"/>
      </w:pPr>
      <w:r>
        <w:t>02: HCPGSP2627I The virtual machine is placed in CP mode due to a SIGP initial CPU reset</w:t>
        <w:t xml:space="preserve"> </w:t>
        <w:t>from CPU 00.</w:t>
      </w:r>
    </w:p>
    <w:p>
      <w:pPr>
        <w:pStyle w:val="Normal"/>
      </w:pPr>
      <w:r>
        <w:t>03: HCPGSP2627I The virtual machine is placed in CP mode due to a SIGP initial CPU reset</w:t>
        <w:t xml:space="preserve"> </w:t>
        <w:t>from CPU 00.</w:t>
      </w:r>
    </w:p>
    <w:p>
      <w:pPr>
        <w:pStyle w:val="Normal"/>
      </w:pPr>
      <w:r>
        <w:t>¬</w:t>
        <w:t xml:space="preserve"> </w:t>
        <w:t>0.390935| Initramfs unpacking failed: Decoding failed</w:t>
        <w:t xml:space="preserve"> </w:t>
        <w:t>Unable to find a medium container a live file system</w:t>
      </w:r>
    </w:p>
    <w:p>
      <w:pPr>
        <w:pStyle w:val="Para 17"/>
      </w:pPr>
      <w:r>
        <w:t/>
      </w:r>
    </w:p>
    <w:p>
      <w:pPr>
        <w:pStyle w:val="Normal"/>
      </w:pPr>
      <w:r>
        <w:t>In the usual case that no parmfile was configured, the installation system now offers to in-teractively configure the basic network:</w:t>
      </w:r>
    </w:p>
    <w:p>
      <w:pPr>
        <w:pStyle w:val="Normal"/>
      </w:pPr>
      <w:r>
        <w:t>Attempt interactive netboot from a URL?</w:t>
      </w:r>
    </w:p>
    <w:p>
      <w:pPr>
        <w:pStyle w:val="Normal"/>
      </w:pPr>
      <w:r>
        <w:t>yes no (default yes): yes</w:t>
      </w:r>
    </w:p>
    <w:p>
      <w:pPr>
        <w:pStyle w:val="Normal"/>
      </w:pPr>
      <w:r>
        <w:t>Available qeth devices:</w:t>
      </w:r>
    </w:p>
    <w:p>
      <w:pPr>
        <w:pStyle w:val="Normal"/>
      </w:pPr>
      <w:r>
        <w:t>0.0.0600 0.0.0603</w:t>
      </w:r>
    </w:p>
    <w:p>
      <w:pPr>
        <w:pStyle w:val="Normal"/>
      </w:pPr>
      <w:r>
        <w:t>zdev to activate (comma separated, optional): 0600</w:t>
      </w:r>
    </w:p>
    <w:p>
      <w:pPr>
        <w:pStyle w:val="Normal"/>
      </w:pPr>
      <w:r>
        <w:t>QETH device 0.0.0600:0.0.0601:0.0.0602 configured</w:t>
      </w:r>
    </w:p>
    <w:p>
      <w:pPr>
        <w:pStyle w:val="Normal"/>
      </w:pPr>
      <w:r>
        <w:t>Two methods available for IP configuration:</w:t>
      </w:r>
    </w:p>
    <w:p>
      <w:pPr>
        <w:pStyle w:val="Para 03"/>
      </w:pPr>
      <w:r>
        <w:t>* static: for static IP configuration</w:t>
      </w:r>
    </w:p>
    <w:p>
      <w:pPr>
        <w:pStyle w:val="Para 03"/>
      </w:pPr>
      <w:r>
        <w:t>* dhcp: for automatic IP configuration</w:t>
      </w:r>
    </w:p>
    <w:p>
      <w:pPr>
        <w:pStyle w:val="Normal"/>
      </w:pPr>
      <w:r>
        <w:t>static dhcp (default 'dhcp'): static</w:t>
      </w:r>
    </w:p>
    <w:p>
      <w:pPr>
        <w:pStyle w:val="Normal"/>
      </w:pPr>
      <w:r>
        <w:t>ip: 10.222.111.24</w:t>
      </w:r>
    </w:p>
    <w:p>
      <w:pPr>
        <w:pStyle w:val="Normal"/>
      </w:pPr>
      <w:r>
        <w:t>gateway (default 10.222.111.1): .</w:t>
      </w:r>
    </w:p>
    <w:p>
      <w:pPr>
        <w:pStyle w:val="Normal"/>
      </w:pPr>
      <w:r>
        <w:t>dns (default .):</w:t>
      </w:r>
    </w:p>
    <w:p>
      <w:pPr>
        <w:pStyle w:val="Normal"/>
      </w:pPr>
      <w:r>
        <w:t>vlan id (optional):</w:t>
      </w:r>
    </w:p>
    <w:p>
      <w:pPr>
        <w:pStyle w:val="Normal"/>
      </w:pPr>
      <w:r>
        <w:t>http://cdimage.ubuntu.com/ubuntu/releases/20.04.5/release/ubuntu-20.04.5-live-server-</w:t>
      </w:r>
    </w:p>
    <w:p>
      <w:pPr>
        <w:pStyle w:val="Normal"/>
      </w:pPr>
      <w:r>
        <w:t>s390x.iso (default)</w:t>
      </w:r>
    </w:p>
    <w:p>
      <w:pPr>
        <w:pStyle w:val="Normal"/>
      </w:pPr>
      <w:r>
        <w:t>url: ftp://10.11.12.2:21/ubuntu-live-server-20.04.5/ubuntu-20.04.5-live-server-s390x.iso</w:t>
        <w:t xml:space="preserve"> </w:t>
        <w:t>http_proxy (optional):</w:t>
      </w:r>
    </w:p>
    <w:p>
      <w:pPr>
        <w:pStyle w:val="Para 17"/>
      </w:pPr>
      <w:r>
        <w:t/>
      </w:r>
    </w:p>
    <w:p>
      <w:pPr>
        <w:pStyle w:val="Normal"/>
      </w:pPr>
      <w:r>
        <w:t>Ensure that the same version of the ISO image that was used to extract the installer files – kernel and initrd – is referenced at the ‘url:’ setting. It can be at a different location, for example directly referencing the public cdimage.ubuntu.com server: http://cdimage.ubuntu. com/ubuntu/releases/20.04.5/release/ubuntu-20.04.5-live-server-s390x.iso</w:t>
      </w:r>
    </w:p>
    <w:p>
      <w:pPr>
        <w:pStyle w:val="Normal"/>
      </w:pPr>
      <w:r>
        <w:t>The boot-up of the live-server installation now completes:</w:t>
      </w:r>
    </w:p>
    <w:p>
      <w:pPr>
        <w:pStyle w:val="Normal"/>
      </w:pPr>
      <w:r>
        <w:t>Configuring networking...</w:t>
      </w:r>
    </w:p>
    <w:p>
      <w:pPr>
        <w:pStyle w:val="Normal"/>
      </w:pPr>
      <w:r>
        <w:t>QETH device 0.0.0600:0.0.0601:0.0.0602 already configured</w:t>
        <w:t xml:space="preserve"> </w:t>
        <w:t>IP-Config: enc600 hardware address 02:28:0a:00:00:39 mtu 1500</w:t>
        <w:t xml:space="preserve"> </w:t>
        <w:t>IP-Config: enc600 guessed broadcast address 10.222.111255</w:t>
        <w:t xml:space="preserve"> </w:t>
        <w:t>IP-Config: enc600 complete:</w:t>
      </w:r>
    </w:p>
    <w:p>
      <w:pPr>
        <w:pStyle w:val="Normal"/>
      </w:pPr>
      <w:r>
        <w:t>address: 10.222.111.24</w:t>
        <w:t xml:space="preserve"> </w:t>
        <w:t>broadcast: 10.222.111255</w:t>
        <w:t xml:space="preserve"> </w:t>
        <w:t>netmask: 255.255.255.0</w:t>
      </w:r>
    </w:p>
    <w:p>
      <w:pPr>
        <w:pStyle w:val="Normal"/>
      </w:pPr>
      <w:r>
        <w:t>gateway: 10.222.111.1</w:t>
        <w:t xml:space="preserve"> </w:t>
        <w:t>dns0</w:t>
        <w:t xml:space="preserve"> </w:t>
        <w:t>: 10.222.111.1</w:t>
        <w:t xml:space="preserve"> </w:t>
        <w:t>dns1</w:t>
        <w:t xml:space="preserve"> </w:t>
        <w:t>: 0.0.0.0</w:t>
      </w:r>
    </w:p>
    <w:p>
      <w:pPr>
        <w:pStyle w:val="Normal"/>
      </w:pPr>
      <w:r>
        <w:t>rootserver: 0.0.0.0 rootpath:</w:t>
      </w:r>
    </w:p>
    <w:p>
      <w:pPr>
        <w:pStyle w:val="Para 09"/>
      </w:pPr>
      <w:r>
        <w:t>(continues on next page)</w:t>
      </w:r>
    </w:p>
    <w:p>
      <w:bookmarkStart w:id="104" w:name="page_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68"/>
                    <a:stretch>
                      <a:fillRect/>
                    </a:stretch>
                  </pic:blipFill>
                  <pic:spPr>
                    <a:xfrm>
                      <a:off x="0" y="0"/>
                      <a:ext cx="914400" cy="266700"/>
                    </a:xfrm>
                    <a:prstGeom prst="rect">
                      <a:avLst/>
                    </a:prstGeom>
                  </pic:spPr>
                </pic:pic>
              </a:graphicData>
            </a:graphic>
          </wp:anchor>
        </w:drawing>
      </w:r>
      <w:bookmarkEnd w:id="104"/>
    </w:p>
    <w:p>
      <w:pPr>
        <w:pStyle w:val="Para 09"/>
      </w:pPr>
      <w:r>
        <w:t>(continued from previous page)</w:t>
      </w:r>
    </w:p>
    <w:p>
      <w:pPr>
        <w:pStyle w:val="Normal"/>
      </w:pPr>
      <w:r>
        <w:t>filename</w:t>
        <w:t xml:space="preserve"> </w:t>
        <w:t>:</w:t>
      </w:r>
    </w:p>
    <w:p>
      <w:pPr>
        <w:pStyle w:val="Normal"/>
      </w:pPr>
      <w:r>
        <w:t>Connecting to 10.11.12.2:21 (10.11.12.2:21)</w:t>
      </w:r>
    </w:p>
    <w:p>
      <w:pPr>
        <w:pStyle w:val="Normal"/>
      </w:pPr>
      <w:r>
        <w:t>focal-live-server-s</w:t>
        <w:t xml:space="preserve"> </w:t>
        <w:t>5% !*</w:t>
        <w:t xml:space="preserve"> </w:t>
        <w:t>! 35.9M</w:t>
        <w:t xml:space="preserve"> </w:t>
        <w:t>0:00:17 ETA</w:t>
        <w:t xml:space="preserve"> </w:t>
        <w:t>focal-live-server-s</w:t>
        <w:t xml:space="preserve"> </w:t>
        <w:t>19% !******</w:t>
        <w:t xml:space="preserve"> </w:t>
        <w:t>!</w:t>
        <w:t xml:space="preserve"> </w:t>
        <w:t>129M</w:t>
        <w:t xml:space="preserve"> </w:t>
        <w:t>0:00:08 ETA</w:t>
        <w:t xml:space="preserve"> </w:t>
        <w:t>focal-live-server-s</w:t>
        <w:t xml:space="preserve"> </w:t>
        <w:t>33% !**********</w:t>
        <w:t xml:space="preserve"> </w:t>
        <w:t>!</w:t>
        <w:t xml:space="preserve"> </w:t>
        <w:t>225M</w:t>
        <w:t xml:space="preserve"> </w:t>
        <w:t>0:00:05 ETA</w:t>
        <w:t xml:space="preserve"> </w:t>
        <w:t>focal-live-server-s</w:t>
        <w:t xml:space="preserve"> </w:t>
        <w:t>49% !***************</w:t>
        <w:t xml:space="preserve"> </w:t>
        <w:t>!</w:t>
        <w:t xml:space="preserve"> </w:t>
        <w:t>330M</w:t>
        <w:t xml:space="preserve"> </w:t>
        <w:t>0:00:04 ETA</w:t>
        <w:t xml:space="preserve"> </w:t>
        <w:t>focal-live-server-s</w:t>
        <w:t xml:space="preserve"> </w:t>
        <w:t>60% !*******************</w:t>
        <w:t xml:space="preserve"> </w:t>
        <w:t>!</w:t>
        <w:t xml:space="preserve"> </w:t>
        <w:t>403M</w:t>
        <w:t xml:space="preserve"> </w:t>
        <w:t>0:00:03 ETA</w:t>
        <w:t xml:space="preserve"> </w:t>
        <w:t>focal-live-server-s</w:t>
        <w:t xml:space="preserve"> </w:t>
        <w:t>76% !************************</w:t>
        <w:t xml:space="preserve"> </w:t>
        <w:t>!</w:t>
        <w:t xml:space="preserve"> </w:t>
        <w:t>506M</w:t>
        <w:t xml:space="preserve"> </w:t>
        <w:t>0:00:01 ETA</w:t>
        <w:t xml:space="preserve"> </w:t>
        <w:t>focal-live-server-s</w:t>
        <w:t xml:space="preserve"> </w:t>
        <w:t>89% !****************************</w:t>
        <w:t xml:space="preserve"> </w:t>
        <w:t>!</w:t>
        <w:t xml:space="preserve"> </w:t>
        <w:t>594M</w:t>
        <w:t xml:space="preserve"> </w:t>
        <w:t>0:00:00 ETA</w:t>
        <w:t xml:space="preserve"> </w:t>
        <w:t>focal-live-server-s 100% !********************************!</w:t>
        <w:t xml:space="preserve"> </w:t>
        <w:t>663M</w:t>
        <w:t xml:space="preserve"> </w:t>
        <w:t>0:00:00 ETA</w:t>
        <w:t xml:space="preserve"> </w:t>
        <w:t>passwd: password expiry information changed.</w:t>
      </w:r>
    </w:p>
    <w:p>
      <w:pPr>
        <w:pStyle w:val="Normal"/>
      </w:pPr>
      <w:r>
        <w:t>QETH device 0.0.0600:0.0.0601:0.0.0602 already configured</w:t>
        <w:t xml:space="preserve"> </w:t>
        <w:t>no search or nameservers found in /run/net-enc600.conf /run/net-*.conf /run/net6</w:t>
        <w:t>-*.conf</w:t>
      </w:r>
    </w:p>
    <w:p>
      <w:pPr>
        <w:pStyle w:val="Normal"/>
      </w:pPr>
      <w:r>
        <w:t>¬</w:t>
        <w:t xml:space="preserve"> </w:t>
        <w:t>594.766372| /dev/loop3: Can't open blockdev</w:t>
        <w:t xml:space="preserve"> </w:t>
        <w:t>¬</w:t>
        <w:t xml:space="preserve"> </w:t>
        <w:t>595.610434| systemd¬1|: multi-user.target: Job getty.target/start deleted to</w:t>
        <w:t xml:space="preserve"> </w:t>
        <w:t>break ordering cycle starting with multi-user.target/start</w:t>
        <w:t xml:space="preserve"> </w:t>
        <w:t>¬ ¬0;1;31m SKIP</w:t>
        <w:t xml:space="preserve"> </w:t>
        <w:t>¬0m| Ordering cycle found, skipping</w:t>
        <w:t xml:space="preserve"> </w:t>
        <w:t>¬0;1;39mLogin Prompts ¬0m</w:t>
        <w:t xml:space="preserve"> </w:t>
        <w:t>¬</w:t>
        <w:t xml:space="preserve"> </w:t>
        <w:t>595.623027| systemd¬1|: Failed unmounting /cdrom.</w:t>
        <w:t xml:space="preserve"> </w:t>
        <w:t>¬ ¬0;1;31mFAILED ¬0m| Failed unmounting</w:t>
        <w:t xml:space="preserve"> </w:t>
        <w:t>¬0;1;39m/cdrom ¬0m.</w:t>
      </w:r>
    </w:p>
    <w:p>
      <w:pPr>
        <w:pStyle w:val="Normal"/>
      </w:pPr>
      <w:r>
        <w:t>¬</w:t>
        <w:t xml:space="preserve"> </w:t>
        <w:t>598.973538| cloud-init¬1256|: Cloud-init v. 20.2-45-g5f7825e2-0ubuntu1 runnin</w:t>
        <w:t xml:space="preserve"> </w:t>
        <w:t>g 'init-local' at Thu, 04 Jun 2020 12:06:46 +0000. Up 598.72 seconds.</w:t>
        <w:t xml:space="preserve"> </w:t>
        <w:t>¬</w:t>
        <w:t xml:space="preserve"> </w:t>
        <w:t>599.829069| cloud-init¬1288|: Cloud-init v. 20.2-45-g5f7825e2-0ubuntu1 runnin</w:t>
        <w:t xml:space="preserve"> </w:t>
        <w:t>g 'init' at Thu, 04 Jun 2020 12:06:47 +0000. Up 599.64 seconds.</w:t>
        <w:t xml:space="preserve"> </w:t>
        <w:t>¬</w:t>
        <w:t xml:space="preserve"> </w:t>
        <w:t>599.829182| cloud-init¬1288|: ci-info: ++++++++++++++++++++++++++++++++++++Ne</w:t>
        <w:t xml:space="preserve"> </w:t>
        <w:t>t device info+++++++++++++++++++++++++++++++++++++</w:t>
      </w:r>
    </w:p>
    <w:p>
      <w:pPr>
        <w:pStyle w:val="Normal"/>
      </w:pPr>
      <w:r>
        <w:t>¬</w:t>
        <w:t xml:space="preserve"> </w:t>
        <w:t>599.829218| cloud-init¬1288|: ci-info: +--------+------+---------------------</w:t>
        <w:t>----+---------------+--------+-------------------+</w:t>
      </w:r>
    </w:p>
    <w:p>
      <w:pPr>
        <w:pStyle w:val="Normal"/>
      </w:pPr>
      <w:r>
        <w:t>¬</w:t>
        <w:t xml:space="preserve"> </w:t>
        <w:t>599.829255| cloud-init¬1288|: ci-info: ! Device !</w:t>
        <w:t xml:space="preserve"> </w:t>
        <w:t>Up</w:t>
        <w:t xml:space="preserve"> </w:t>
        <w:t>!</w:t>
        <w:t xml:space="preserve"> </w:t>
        <w:t>Address</w:t>
      </w:r>
    </w:p>
    <w:p>
      <w:pPr>
        <w:pStyle w:val="Para 02"/>
      </w:pPr>
      <w:r>
        <w:t>!</w:t>
        <w:t xml:space="preserve"> </w:t>
        <w:t>Mask</w:t>
        <w:t xml:space="preserve"> </w:t>
        <w:t>! Scope</w:t>
        <w:t xml:space="preserve"> </w:t>
        <w:t>!</w:t>
        <w:t xml:space="preserve"> </w:t>
        <w:t>Hw-Address</w:t>
        <w:t xml:space="preserve"> </w:t>
        <w:t>!</w:t>
      </w:r>
    </w:p>
    <w:p>
      <w:pPr>
        <w:pStyle w:val="Normal"/>
      </w:pPr>
      <w:r>
        <w:t>¬</w:t>
        <w:t xml:space="preserve"> </w:t>
        <w:t>599.829292| cloud-init¬1288|: ci-info: +--------+------+---------------------</w:t>
        <w:t>----+---------------+--------+-------------------+</w:t>
      </w:r>
    </w:p>
    <w:p>
      <w:pPr>
        <w:pStyle w:val="Normal"/>
      </w:pPr>
      <w:r>
        <w:t>¬</w:t>
        <w:t xml:space="preserve"> </w:t>
        <w:t>599.829333| cloud-init¬1288|: ci-info: ! enc600 ! True !</w:t>
        <w:t xml:space="preserve"> </w:t>
        <w:t>10.222.111.24</w:t>
      </w:r>
    </w:p>
    <w:p>
      <w:pPr>
        <w:pStyle w:val="Para 02"/>
      </w:pPr>
      <w:r>
        <w:t>! 255.255.255.0 ! global ! 02:28:0a:00:00:39 !</w:t>
      </w:r>
    </w:p>
    <w:p>
      <w:pPr>
        <w:pStyle w:val="Normal"/>
      </w:pPr>
      <w:r>
        <w:t>¬</w:t>
        <w:t xml:space="preserve"> </w:t>
        <w:t>599.829376| cloud-init¬1288|: ci-info: ! enc600 ! True ! fe80::28:aff:fe00:3</w:t>
        <w:t xml:space="preserve"> </w:t>
        <w:t>/64 !</w:t>
        <w:t xml:space="preserve"> </w:t>
        <w:t>.</w:t>
        <w:t xml:space="preserve"> </w:t>
        <w:t>!</w:t>
        <w:t xml:space="preserve"> </w:t>
        <w:t>link</w:t>
        <w:t xml:space="preserve"> </w:t>
        <w:t>! 02:28:0a:00:00:39 !</w:t>
        <w:t xml:space="preserve"> </w:t>
        <w:t>¬</w:t>
        <w:t xml:space="preserve"> </w:t>
        <w:t>599.829416| cloud-init¬1288|: ci-info: !</w:t>
        <w:t xml:space="preserve"> </w:t>
        <w:t>lo</w:t>
        <w:t xml:space="preserve"> </w:t>
        <w:t>! True !</w:t>
        <w:t xml:space="preserve"> </w:t>
        <w:t>127.0.0.1</w:t>
      </w:r>
    </w:p>
    <w:p>
      <w:pPr>
        <w:pStyle w:val="Para 02"/>
      </w:pPr>
      <w:r>
        <w:t>!</w:t>
        <w:t xml:space="preserve"> </w:t>
        <w:t>255.0.0.0</w:t>
        <w:t xml:space="preserve"> </w:t>
        <w:t>!</w:t>
        <w:t xml:space="preserve"> </w:t>
        <w:t>host</w:t>
        <w:t xml:space="preserve"> </w:t>
        <w:t>!</w:t>
        <w:t xml:space="preserve"> </w:t>
        <w:t>.</w:t>
        <w:t xml:space="preserve"> </w:t>
        <w:t>!</w:t>
      </w:r>
    </w:p>
    <w:p>
      <w:pPr>
        <w:pStyle w:val="Normal"/>
      </w:pPr>
      <w:r>
        <w:t>¬</w:t>
        <w:t xml:space="preserve"> </w:t>
        <w:t>599.829606| cloud-init¬1288|: ci-info: !</w:t>
        <w:t xml:space="preserve"> </w:t>
        <w:t>lo</w:t>
        <w:t xml:space="preserve"> </w:t>
        <w:t>! True !</w:t>
        <w:t xml:space="preserve"> </w:t>
        <w:t>::1/128</w:t>
      </w:r>
    </w:p>
    <w:p>
      <w:pPr>
        <w:pStyle w:val="Para 02"/>
      </w:pPr>
      <w:r>
        <w:t>!</w:t>
        <w:t xml:space="preserve"> </w:t>
        <w:t>.</w:t>
        <w:t xml:space="preserve"> </w:t>
        <w:t>!</w:t>
        <w:t xml:space="preserve"> </w:t>
        <w:t>host</w:t>
        <w:t xml:space="preserve"> </w:t>
        <w:t>!</w:t>
        <w:t xml:space="preserve"> </w:t>
        <w:t>.</w:t>
        <w:t xml:space="preserve"> </w:t>
        <w:t>!</w:t>
      </w:r>
    </w:p>
    <w:p>
      <w:pPr>
        <w:pStyle w:val="Normal"/>
      </w:pPr>
      <w:r>
        <w:t>¬</w:t>
        <w:t xml:space="preserve"> </w:t>
        <w:t>599.829684| cloud-init¬1288|: ci-info: +--------+------+---------------------</w:t>
        <w:t>----+---------------+--------+-------------------+</w:t>
      </w:r>
    </w:p>
    <w:p>
      <w:pPr>
        <w:pStyle w:val="Normal"/>
      </w:pPr>
      <w:r>
        <w:t>¬</w:t>
        <w:t xml:space="preserve"> </w:t>
        <w:t>599.829721| cloud-init¬1288|: ci-info: ++++++++++++++++++++++++++++++Route IP</w:t>
        <w:t xml:space="preserve"> </w:t>
        <w:t>v4 info++++++++++++++++++++++++++++++</w:t>
      </w:r>
    </w:p>
    <w:p>
      <w:pPr>
        <w:pStyle w:val="Normal"/>
      </w:pPr>
      <w:r>
        <w:t>¬</w:t>
        <w:t xml:space="preserve"> </w:t>
        <w:t>599.829754| cloud-init¬1288|: ci-info: +-------+--------------+--------------</w:t>
        <w:t>+---------------+-----------+-------+</w:t>
      </w:r>
    </w:p>
    <w:p>
      <w:pPr>
        <w:pStyle w:val="Normal"/>
      </w:pPr>
      <w:r>
        <w:t>¬</w:t>
        <w:t xml:space="preserve"> </w:t>
        <w:t>599.829789| cloud-init¬1288|: ci-info: ! Route ! Destination</w:t>
        <w:t xml:space="preserve"> </w:t>
        <w:t>!</w:t>
        <w:t xml:space="preserve"> </w:t>
        <w:t>Gateway</w:t>
        <w:t xml:space="preserve"> </w:t>
        <w:t>!</w:t>
        <w:t xml:space="preserve"> </w:t>
        <w:t>Genmask</w:t>
        <w:t xml:space="preserve"> </w:t>
        <w:t>! Interface ! Flags !</w:t>
      </w:r>
    </w:p>
    <w:p>
      <w:pPr>
        <w:pStyle w:val="Normal"/>
      </w:pPr>
      <w:r>
        <w:t>¬</w:t>
        <w:t xml:space="preserve"> </w:t>
        <w:t>599.829822| cloud-init¬1288|: ci-info: +-------+--------------+--------------</w:t>
        <w:t>+---------------+-----------+-------+</w:t>
      </w:r>
    </w:p>
    <w:p>
      <w:pPr>
        <w:pStyle w:val="Normal"/>
      </w:pPr>
      <w:r>
        <w:t>¬</w:t>
        <w:t xml:space="preserve"> </w:t>
        <w:t>599.829858| cloud-init¬1288|: ci-info: !</w:t>
        <w:t xml:space="preserve"> </w:t>
        <w:t>0</w:t>
        <w:t xml:space="preserve"> </w:t>
        <w:t>!</w:t>
        <w:t xml:space="preserve"> </w:t>
        <w:t>0.0.0.0</w:t>
        <w:t xml:space="preserve"> </w:t>
        <w:t>! 10.222.111.1</w:t>
        <w:t xml:space="preserve"> </w:t>
        <w:t>!</w:t>
        <w:t xml:space="preserve"> </w:t>
        <w:t>0.0.0.0</w:t>
        <w:t xml:space="preserve"> </w:t>
        <w:t>!</w:t>
        <w:t xml:space="preserve"> </w:t>
        <w:t>enc600</w:t>
        <w:t xml:space="preserve"> </w:t>
        <w:t>!</w:t>
        <w:t xml:space="preserve"> </w:t>
        <w:t>UG</w:t>
        <w:t xml:space="preserve"> </w:t>
        <w:t>!</w:t>
      </w:r>
    </w:p>
    <w:p>
      <w:pPr>
        <w:pStyle w:val="Normal"/>
      </w:pPr>
      <w:r>
        <w:t>¬</w:t>
        <w:t xml:space="preserve"> </w:t>
        <w:t>599.829896| cloud-init¬1288|: ci-info: !</w:t>
        <w:t xml:space="preserve"> </w:t>
        <w:t>1</w:t>
        <w:t xml:space="preserve"> </w:t>
        <w:t>! 10.222.1110 !</w:t>
        <w:t xml:space="preserve"> </w:t>
        <w:t>0.0.0.0</w:t>
        <w:t xml:space="preserve"> </w:t>
        <w:t>! 255.255.255.0 !</w:t>
        <w:t xml:space="preserve"> </w:t>
        <w:t>enc600</w:t>
        <w:t xml:space="preserve"> </w:t>
        <w:t>!</w:t>
        <w:t xml:space="preserve"> </w:t>
        <w:t>U</w:t>
        <w:t xml:space="preserve"> </w:t>
        <w:t>!</w:t>
      </w:r>
    </w:p>
    <w:p>
      <w:pPr>
        <w:pStyle w:val="Normal"/>
      </w:pPr>
      <w:r>
        <w:t>¬</w:t>
        <w:t xml:space="preserve"> </w:t>
        <w:t>599.829930| cloud-init¬1288|: ci-info: +-------+--------------+--------------</w:t>
      </w:r>
    </w:p>
    <w:p>
      <w:pPr>
        <w:pStyle w:val="Para 09"/>
      </w:pPr>
      <w:r>
        <w:t>(continues on next page)</w:t>
      </w:r>
    </w:p>
    <w:p>
      <w:bookmarkStart w:id="105" w:name="page_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 name="index-63_1.png" descr="index-63_1.png"/>
            <wp:cNvGraphicFramePr>
              <a:graphicFrameLocks noChangeAspect="1"/>
            </wp:cNvGraphicFramePr>
            <a:graphic>
              <a:graphicData uri="http://schemas.openxmlformats.org/drawingml/2006/picture">
                <pic:pic>
                  <pic:nvPicPr>
                    <pic:cNvPr id="0" name="index-63_1.png" descr="index-63_1.png"/>
                    <pic:cNvPicPr/>
                  </pic:nvPicPr>
                  <pic:blipFill>
                    <a:blip r:embed="rId69"/>
                    <a:stretch>
                      <a:fillRect/>
                    </a:stretch>
                  </pic:blipFill>
                  <pic:spPr>
                    <a:xfrm>
                      <a:off x="0" y="0"/>
                      <a:ext cx="914400" cy="266700"/>
                    </a:xfrm>
                    <a:prstGeom prst="rect">
                      <a:avLst/>
                    </a:prstGeom>
                  </pic:spPr>
                </pic:pic>
              </a:graphicData>
            </a:graphic>
          </wp:anchor>
        </w:drawing>
      </w:r>
      <w:bookmarkEnd w:id="105"/>
    </w:p>
    <w:p>
      <w:pPr>
        <w:pStyle w:val="Para 09"/>
      </w:pPr>
      <w:r>
        <w:t>(continued from previous page)</w:t>
      </w:r>
    </w:p>
    <w:p>
      <w:pPr>
        <w:pStyle w:val="Normal"/>
      </w:pPr>
      <w:r>
        <w:t>+---------------+-----------+-------+</w:t>
      </w:r>
    </w:p>
    <w:p>
      <w:pPr>
        <w:pStyle w:val="Normal"/>
      </w:pPr>
      <w:r>
        <w:t>¬</w:t>
        <w:t xml:space="preserve"> </w:t>
        <w:t>599.829962| cloud-init¬1288|: ci-info: +++++++++++++++++++Route IPv6 info++++</w:t>
        <w:t xml:space="preserve"> </w:t>
        <w:t>+++++++++++++++</w:t>
      </w:r>
    </w:p>
    <w:p>
      <w:pPr>
        <w:pStyle w:val="Normal"/>
      </w:pPr>
      <w:r>
        <w:t>¬</w:t>
        <w:t xml:space="preserve"> </w:t>
        <w:t>599.829998| cloud-init¬1288|: ci-info: +-------+-------------+---------+-----</w:t>
        <w:t>------+-------+</w:t>
      </w:r>
    </w:p>
    <w:p>
      <w:pPr>
        <w:pStyle w:val="Normal"/>
      </w:pPr>
      <w:r>
        <w:t>¬</w:t>
        <w:t xml:space="preserve"> </w:t>
        <w:t>599.830031| cloud-init¬1288|: ci-info: ! Route ! Destination ! Gateway ! Inte</w:t>
        <w:t xml:space="preserve"> </w:t>
        <w:t>rface ! Flags !</w:t>
      </w:r>
    </w:p>
    <w:p>
      <w:pPr>
        <w:pStyle w:val="Normal"/>
      </w:pPr>
      <w:r>
        <w:t>¬</w:t>
        <w:t xml:space="preserve"> </w:t>
        <w:t>599.830064| cloud-init¬1288|: ci-info: +-------+-------------+---------+-----</w:t>
        <w:t>------+-------+</w:t>
      </w:r>
    </w:p>
    <w:p>
      <w:pPr>
        <w:pStyle w:val="Normal"/>
      </w:pPr>
      <w:r>
        <w:t>¬</w:t>
        <w:t xml:space="preserve"> </w:t>
        <w:t>599.830096| cloud-init¬1288|: ci-info: !</w:t>
        <w:t xml:space="preserve"> </w:t>
        <w:t>1</w:t>
        <w:t xml:space="preserve"> </w:t>
        <w:t>!</w:t>
        <w:t xml:space="preserve"> </w:t>
        <w:t>fe80::/64</w:t>
        <w:t xml:space="preserve"> </w:t>
        <w:t>!</w:t>
        <w:t xml:space="preserve"> </w:t>
        <w:t>::</w:t>
        <w:t xml:space="preserve"> </w:t>
        <w:t>!</w:t>
        <w:t xml:space="preserve"> </w:t>
        <w:t>en</w:t>
        <w:t xml:space="preserve"> </w:t>
        <w:t>c600</w:t>
        <w:t xml:space="preserve"> </w:t>
        <w:t>!</w:t>
        <w:t xml:space="preserve"> </w:t>
        <w:t>U</w:t>
        <w:t xml:space="preserve"> </w:t>
        <w:t>!</w:t>
      </w:r>
    </w:p>
    <w:p>
      <w:pPr>
        <w:pStyle w:val="Normal"/>
      </w:pPr>
      <w:r>
        <w:t>¬</w:t>
        <w:t xml:space="preserve"> </w:t>
        <w:t>599.830131| cloud-init¬1288|: ci-info: !</w:t>
        <w:t xml:space="preserve"> </w:t>
        <w:t>3</w:t>
        <w:t xml:space="preserve"> </w:t>
        <w:t>!</w:t>
        <w:t xml:space="preserve"> </w:t>
        <w:t>local</w:t>
        <w:t xml:space="preserve"> </w:t>
        <w:t>!</w:t>
        <w:t xml:space="preserve"> </w:t>
        <w:t>::</w:t>
        <w:t xml:space="preserve"> </w:t>
        <w:t>!</w:t>
        <w:t xml:space="preserve"> </w:t>
        <w:t>en</w:t>
        <w:t xml:space="preserve"> </w:t>
        <w:t>c600</w:t>
        <w:t xml:space="preserve"> </w:t>
        <w:t>!</w:t>
        <w:t xml:space="preserve"> </w:t>
        <w:t>U</w:t>
        <w:t xml:space="preserve"> </w:t>
        <w:t>!</w:t>
      </w:r>
    </w:p>
    <w:p>
      <w:pPr>
        <w:pStyle w:val="Normal"/>
      </w:pPr>
      <w:r>
        <w:t>¬</w:t>
        <w:t xml:space="preserve"> </w:t>
        <w:t>599.830164| cloud-init¬1288|: ci-info: !</w:t>
        <w:t xml:space="preserve"> </w:t>
        <w:t>4</w:t>
        <w:t xml:space="preserve"> </w:t>
        <w:t>!</w:t>
        <w:t xml:space="preserve"> </w:t>
        <w:t>ff00::/8</w:t>
        <w:t xml:space="preserve"> </w:t>
        <w:t>!</w:t>
        <w:t xml:space="preserve"> </w:t>
        <w:t>::</w:t>
        <w:t xml:space="preserve"> </w:t>
        <w:t>!</w:t>
        <w:t xml:space="preserve"> </w:t>
        <w:t>en</w:t>
        <w:t xml:space="preserve"> </w:t>
        <w:t>c600</w:t>
        <w:t xml:space="preserve"> </w:t>
        <w:t>!</w:t>
        <w:t xml:space="preserve"> </w:t>
        <w:t>U</w:t>
        <w:t xml:space="preserve"> </w:t>
        <w:t>!</w:t>
      </w:r>
    </w:p>
    <w:p>
      <w:pPr>
        <w:pStyle w:val="Normal"/>
      </w:pPr>
      <w:r>
        <w:t>¬</w:t>
        <w:t xml:space="preserve"> </w:t>
        <w:t>599.830212| cloud-init¬1288|: ci-info: +-------+-------------+---------+-----</w:t>
        <w:t>------+-------+</w:t>
      </w:r>
    </w:p>
    <w:p>
      <w:pPr>
        <w:pStyle w:val="Normal"/>
      </w:pPr>
      <w:r>
        <w:t>¬</w:t>
        <w:t xml:space="preserve"> </w:t>
        <w:t>601.077953| cloud-init¬1288|: Generating public/private rsa key pair.</w:t>
        <w:t xml:space="preserve"> </w:t>
        <w:t>¬</w:t>
        <w:t xml:space="preserve"> </w:t>
        <w:t>601.078101| cloud-init¬1288|: Your identification has been saved in /etc/ssh/</w:t>
        <w:t xml:space="preserve"> </w:t>
        <w:t>ssh_host_rsa_key</w:t>
      </w:r>
    </w:p>
    <w:p>
      <w:pPr>
        <w:pStyle w:val="Normal"/>
      </w:pPr>
      <w:r>
        <w:t>¬</w:t>
        <w:t xml:space="preserve"> </w:t>
        <w:t>601.078136| cloud-init¬1288|: Your public key has been saved in /etc/ssh/ssh</w:t>
        <w:t xml:space="preserve"> </w:t>
        <w:t>host_rsa_key.pub</w:t>
      </w:r>
    </w:p>
    <w:p>
      <w:pPr>
        <w:pStyle w:val="Normal"/>
      </w:pPr>
      <w:r>
        <w:t>¬</w:t>
        <w:t xml:space="preserve"> </w:t>
        <w:t>601.078170| cloud-init¬1288|: The key fingerprint is:</w:t>
        <w:t xml:space="preserve"> </w:t>
        <w:t>¬</w:t>
        <w:t xml:space="preserve"> </w:t>
        <w:t>601.078203| cloud-init¬1288|: SHA256:kHtkABZwk8AE80fy0KPzTRcYpht4iXdZmJ37Cgi3</w:t>
        <w:t xml:space="preserve"> </w:t>
        <w:t>fJ0 root§ubuntu-server</w:t>
      </w:r>
    </w:p>
    <w:p>
      <w:pPr>
        <w:pStyle w:val="Normal"/>
      </w:pPr>
      <w:r>
        <w:t>¬</w:t>
        <w:t xml:space="preserve"> </w:t>
        <w:t>601.078236| cloud-init¬1288|: The key's randomart image is:</w:t>
        <w:t xml:space="preserve"> </w:t>
        <w:t>¬</w:t>
        <w:t xml:space="preserve"> </w:t>
        <w:t>601.078274| cloud-init¬1288|: +---¬RSA 3072|----+</w:t>
        <w:t xml:space="preserve"> </w:t>
        <w:t>¬</w:t>
        <w:t xml:space="preserve"> </w:t>
        <w:t>601.078307| cloud-init¬1288|: !o+*+B++*..</w:t>
        <w:t xml:space="preserve"> </w:t>
        <w:t>!</w:t>
        <w:t xml:space="preserve"> </w:t>
        <w:t>¬</w:t>
        <w:t xml:space="preserve"> </w:t>
        <w:t>601.078340| cloud-init¬1288|: ! o.X+=+=+</w:t>
        <w:t xml:space="preserve"> </w:t>
        <w:t>!</w:t>
        <w:t xml:space="preserve"> </w:t>
        <w:t>¬</w:t>
        <w:t xml:space="preserve"> </w:t>
        <w:t>601.078373| cloud-init¬1288|: !</w:t>
        <w:t xml:space="preserve"> </w:t>
        <w:t>+.O.= oo</w:t>
        <w:t xml:space="preserve"> </w:t>
        <w:t>!</w:t>
        <w:t xml:space="preserve"> </w:t>
        <w:t>¬</w:t>
        <w:t xml:space="preserve"> </w:t>
        <w:t>601.078406| cloud-init¬1288|: !</w:t>
        <w:t xml:space="preserve"> </w:t>
        <w:t>++.+.=o</w:t>
        <w:t xml:space="preserve"> </w:t>
        <w:t>!</w:t>
        <w:t xml:space="preserve"> </w:t>
        <w:t>¬</w:t>
        <w:t xml:space="preserve"> </w:t>
        <w:t>601.078439| cloud-init¬1288|: !</w:t>
        <w:t xml:space="preserve"> </w:t>
        <w:t>*.=.oSo</w:t>
        <w:t xml:space="preserve"> </w:t>
        <w:t>!</w:t>
        <w:t xml:space="preserve"> </w:t>
        <w:t>¬</w:t>
        <w:t xml:space="preserve"> </w:t>
        <w:t>601.078471| cloud-init¬1288|: !</w:t>
        <w:t xml:space="preserve"> </w:t>
        <w:t>= +.E .</w:t>
        <w:t xml:space="preserve"> </w:t>
        <w:t>!</w:t>
        <w:t xml:space="preserve"> </w:t>
        <w:t>¬</w:t>
        <w:t xml:space="preserve"> </w:t>
        <w:t>601.078503| cloud-init¬1288|: !</w:t>
        <w:t xml:space="preserve"> </w:t>
        <w:t>. . .</w:t>
        <w:t xml:space="preserve"> </w:t>
        <w:t>!</w:t>
        <w:t xml:space="preserve"> </w:t>
        <w:t>¬</w:t>
        <w:t xml:space="preserve"> </w:t>
        <w:t>601.078537| cloud-init¬1288|: !</w:t>
        <w:t xml:space="preserve"> </w:t>
        <w:t>.</w:t>
        <w:t xml:space="preserve"> </w:t>
        <w:t>!</w:t>
        <w:t xml:space="preserve"> </w:t>
        <w:t>¬</w:t>
        <w:t xml:space="preserve"> </w:t>
        <w:t>601.078570| cloud-init¬1288|: !</w:t>
        <w:t xml:space="preserve"> </w:t>
        <w:t>!</w:t>
        <w:t xml:space="preserve"> </w:t>
        <w:t>¬</w:t>
        <w:t xml:space="preserve"> </w:t>
        <w:t>601.078602| cloud-init¬1288|: +----¬SHA256|-----+</w:t>
        <w:t xml:space="preserve"> </w:t>
        <w:t>¬</w:t>
        <w:t xml:space="preserve"> </w:t>
        <w:t>601.078635| cloud-init¬1288|: Generating public/private dsa key pair.</w:t>
        <w:t xml:space="preserve"> </w:t>
        <w:t>¬</w:t>
        <w:t xml:space="preserve"> </w:t>
        <w:t>601.078671| cloud-init¬1288|: Your identification has been saved in /etc/ssh/</w:t>
        <w:t xml:space="preserve"> </w:t>
        <w:t>ssh_host_dsa_key</w:t>
      </w:r>
    </w:p>
    <w:p>
      <w:pPr>
        <w:pStyle w:val="Normal"/>
      </w:pPr>
      <w:r>
        <w:t>¬</w:t>
        <w:t xml:space="preserve"> </w:t>
        <w:t>601.078704| cloud-init¬1288|: Your public key has been saved in /etc/ssh/ssh_</w:t>
        <w:t xml:space="preserve"> </w:t>
        <w:t>host_dsa_key.pub</w:t>
      </w:r>
    </w:p>
    <w:p>
      <w:pPr>
        <w:pStyle w:val="Normal"/>
      </w:pPr>
      <w:r>
        <w:t>¬</w:t>
        <w:t xml:space="preserve"> </w:t>
        <w:t>601.078736| cloud-init¬1288|: The key fingerprint is:</w:t>
        <w:t xml:space="preserve"> </w:t>
        <w:t>¬</w:t>
        <w:t xml:space="preserve"> </w:t>
        <w:t>601.078767| cloud-init¬1288|: SHA256:ZBNyksVVYZVhKJeL+PWKpsdUcn21yiceX/DboXQd</w:t>
        <w:t xml:space="preserve"> </w:t>
        <w:t>Pq0 root§ubuntu-server</w:t>
      </w:r>
    </w:p>
    <w:p>
      <w:pPr>
        <w:pStyle w:val="Normal"/>
      </w:pPr>
      <w:r>
        <w:t>¬</w:t>
        <w:t xml:space="preserve"> </w:t>
        <w:t>601.078800| cloud-init¬1288|: The key's randomart image is:</w:t>
        <w:t xml:space="preserve"> </w:t>
        <w:t>¬</w:t>
        <w:t xml:space="preserve"> </w:t>
        <w:t>601.078835| cloud-init¬1288|: +---¬DSA 1024|----+</w:t>
        <w:t xml:space="preserve"> </w:t>
        <w:t>¬</w:t>
        <w:t xml:space="preserve"> </w:t>
        <w:t>601.078867| cloud-init¬1288|: !</w:t>
        <w:t xml:space="preserve"> </w:t>
        <w:t>o++...+=+o !</w:t>
        <w:t xml:space="preserve"> </w:t>
        <w:t>¬</w:t>
        <w:t xml:space="preserve"> </w:t>
        <w:t>601.078899| cloud-init¬1288|: !</w:t>
        <w:t xml:space="preserve"> </w:t>
        <w:t>.+....+.. .!</w:t>
        <w:t xml:space="preserve"> </w:t>
        <w:t>¬</w:t>
        <w:t xml:space="preserve"> </w:t>
        <w:t>601.078932| cloud-init¬1288|: !</w:t>
        <w:t xml:space="preserve"> </w:t>
        <w:t>+. + o</w:t>
        <w:t xml:space="preserve"> </w:t>
        <w:t>o!</w:t>
        <w:t xml:space="preserve"> </w:t>
        <w:t>¬</w:t>
        <w:t xml:space="preserve"> </w:t>
        <w:t>601.078964| cloud-init¬1288|: !</w:t>
        <w:t xml:space="preserve"> </w:t>
        <w:t>o..o = oo.!</w:t>
        <w:t xml:space="preserve"> </w:t>
        <w:t>¬</w:t>
        <w:t xml:space="preserve"> </w:t>
        <w:t>601.078996| cloud-init¬1288|: !</w:t>
        <w:t xml:space="preserve"> </w:t>
        <w:t>S. =..o++!</w:t>
        <w:t xml:space="preserve"> </w:t>
        <w:t>¬</w:t>
        <w:t xml:space="preserve"> </w:t>
        <w:t>601.079029| cloud-init¬1288|: !</w:t>
        <w:t xml:space="preserve"> </w:t>
        <w:t>o</w:t>
        <w:t xml:space="preserve"> </w:t>
        <w:t>*.*=!</w:t>
        <w:t xml:space="preserve"> </w:t>
        <w:t>¬</w:t>
        <w:t xml:space="preserve"> </w:t>
        <w:t>601.079061| cloud-init¬1288|: !</w:t>
        <w:t xml:space="preserve"> </w:t>
        <w:t>o .o.B.*!</w:t>
        <w:t xml:space="preserve"> </w:t>
        <w:t>¬</w:t>
        <w:t xml:space="preserve"> </w:t>
        <w:t>601.079094| cloud-init¬1288|: !</w:t>
        <w:t xml:space="preserve"> </w:t>
        <w:t>= .oEo.!</w:t>
        <w:t xml:space="preserve"> </w:t>
        <w:t>¬</w:t>
        <w:t xml:space="preserve"> </w:t>
        <w:t>601.079135| cloud-init¬1288|: !</w:t>
        <w:t xml:space="preserve"> </w:t>
        <w:t>.+</w:t>
        <w:t xml:space="preserve"> </w:t>
        <w:t>!</w:t>
      </w:r>
    </w:p>
    <w:p>
      <w:pPr>
        <w:pStyle w:val="Para 09"/>
      </w:pPr>
      <w:r>
        <w:t>(continues on next page)</w:t>
      </w:r>
    </w:p>
    <w:p>
      <w:bookmarkStart w:id="106" w:name="page_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70"/>
                    <a:stretch>
                      <a:fillRect/>
                    </a:stretch>
                  </pic:blipFill>
                  <pic:spPr>
                    <a:xfrm>
                      <a:off x="0" y="0"/>
                      <a:ext cx="914400" cy="266700"/>
                    </a:xfrm>
                    <a:prstGeom prst="rect">
                      <a:avLst/>
                    </a:prstGeom>
                  </pic:spPr>
                </pic:pic>
              </a:graphicData>
            </a:graphic>
          </wp:anchor>
        </w:drawing>
      </w:r>
      <w:bookmarkEnd w:id="106"/>
    </w:p>
    <w:p>
      <w:pPr>
        <w:pStyle w:val="Para 09"/>
      </w:pPr>
      <w:r>
        <w:t>(continued from previous page)</w:t>
      </w:r>
    </w:p>
    <w:p>
      <w:pPr>
        <w:pStyle w:val="Normal"/>
      </w:pPr>
      <w:r>
        <w:t>¬</w:t>
        <w:t xml:space="preserve"> </w:t>
        <w:t>601.079167| cloud-init¬1288|: +----¬SHA256|-----+</w:t>
        <w:t xml:space="preserve"> </w:t>
        <w:t>¬</w:t>
        <w:t xml:space="preserve"> </w:t>
        <w:t>601.079199| cloud-init¬1288|: Generating public/private ecdsa key pair.</w:t>
        <w:t xml:space="preserve"> </w:t>
        <w:t>¬</w:t>
        <w:t xml:space="preserve"> </w:t>
        <w:t>601.079231| cloud-init¬1288|: Your identification has been saved in /etc/ssh/</w:t>
        <w:t xml:space="preserve"> </w:t>
        <w:t>ssh_host_ecdsa_key</w:t>
      </w:r>
    </w:p>
    <w:p>
      <w:pPr>
        <w:pStyle w:val="Normal"/>
      </w:pPr>
      <w:r>
        <w:t>¬</w:t>
        <w:t xml:space="preserve"> </w:t>
        <w:t>601.079263| cloud-init¬1288|: Your public key has been saved in /etc/ssh/ssh_</w:t>
        <w:t xml:space="preserve"> </w:t>
        <w:t>host_ecdsa_key.pub</w:t>
      </w:r>
    </w:p>
    <w:p>
      <w:pPr>
        <w:pStyle w:val="Normal"/>
      </w:pPr>
      <w:r>
        <w:t>¬</w:t>
        <w:t xml:space="preserve"> </w:t>
        <w:t>601.079295| cloud-init¬1288|: The key fingerprint is:</w:t>
        <w:t xml:space="preserve"> </w:t>
        <w:t>¬</w:t>
        <w:t xml:space="preserve"> </w:t>
        <w:t>601.079327| cloud-init¬1288|: SHA256:Bitar9fVHUH2FnYVSJJnldprdAcM5Est0dmRWFTU</w:t>
        <w:t xml:space="preserve"> </w:t>
        <w:t>i8k root§ubuntu-server</w:t>
      </w:r>
    </w:p>
    <w:p>
      <w:pPr>
        <w:pStyle w:val="Normal"/>
      </w:pPr>
      <w:r>
        <w:t>¬</w:t>
        <w:t xml:space="preserve"> </w:t>
        <w:t>601.079362| cloud-init¬1288|: The key's randomart image is:</w:t>
        <w:t xml:space="preserve"> </w:t>
        <w:t>¬</w:t>
        <w:t xml:space="preserve"> </w:t>
        <w:t>601.079394| cloud-init¬1288|: +---¬ECDSA 256|---+</w:t>
        <w:t xml:space="preserve"> </w:t>
        <w:t>¬</w:t>
        <w:t xml:space="preserve"> </w:t>
        <w:t>601.079426| cloud-init¬1288|: !</w:t>
        <w:t xml:space="preserve"> </w:t>
        <w:t>o**O%&amp;!</w:t>
        <w:t xml:space="preserve"> </w:t>
        <w:t>¬</w:t>
        <w:t xml:space="preserve"> </w:t>
        <w:t>601.079458| cloud-init¬1288|: !</w:t>
        <w:t xml:space="preserve"> </w:t>
        <w:t>o.OB+=!</w:t>
        <w:t xml:space="preserve"> </w:t>
        <w:t>¬</w:t>
        <w:t xml:space="preserve"> </w:t>
        <w:t>601.079491| cloud-init¬1288|: !</w:t>
        <w:t xml:space="preserve"> </w:t>
        <w:t>.</w:t>
        <w:t xml:space="preserve"> </w:t>
        <w:t>B *o+!</w:t>
        <w:t xml:space="preserve"> </w:t>
        <w:t>¬</w:t>
        <w:t xml:space="preserve"> </w:t>
        <w:t>601.079525| cloud-init¬1288|: !</w:t>
        <w:t xml:space="preserve"> </w:t>
        <w:t>o</w:t>
        <w:t xml:space="preserve"> </w:t>
        <w:t>. E.=o!</w:t>
        <w:t xml:space="preserve"> </w:t>
        <w:t>¬</w:t>
        <w:t xml:space="preserve"> </w:t>
        <w:t>601.079557| cloud-init¬1288|: !</w:t>
        <w:t xml:space="preserve"> </w:t>
        <w:t>o . S</w:t>
        <w:t xml:space="preserve"> </w:t>
        <w:t>.....+!</w:t>
        <w:t xml:space="preserve"> </w:t>
        <w:t>¬</w:t>
        <w:t xml:space="preserve"> </w:t>
        <w:t>601.079589| cloud-init¬1288|: !</w:t>
        <w:t xml:space="preserve"> </w:t>
        <w:t>o o .</w:t>
        <w:t xml:space="preserve"> </w:t>
        <w:t>. . .o !</w:t>
        <w:t xml:space="preserve"> </w:t>
        <w:t>¬</w:t>
        <w:t xml:space="preserve"> </w:t>
        <w:t>601.079621| cloud-init¬1288|: !</w:t>
        <w:t xml:space="preserve"> </w:t>
        <w:t>.</w:t>
        <w:t xml:space="preserve"> </w:t>
        <w:t>.. .</w:t>
        <w:t xml:space="preserve"> </w:t>
        <w:t>.</w:t>
        <w:t xml:space="preserve"> </w:t>
        <w:t>!</w:t>
        <w:t xml:space="preserve"> </w:t>
        <w:t>¬</w:t>
        <w:t xml:space="preserve"> </w:t>
        <w:t>601.079653| cloud-init¬1288|: !</w:t>
        <w:t xml:space="preserve"> </w:t>
        <w:t>.. .</w:t>
        <w:t xml:space="preserve"> </w:t>
        <w:t>!</w:t>
        <w:t xml:space="preserve"> </w:t>
        <w:t>¬</w:t>
        <w:t xml:space="preserve"> </w:t>
        <w:t>601.079685| cloud-init¬1288|: !</w:t>
        <w:t xml:space="preserve"> </w:t>
        <w:t>..</w:t>
        <w:t xml:space="preserve"> </w:t>
        <w:t>!</w:t>
        <w:t xml:space="preserve"> </w:t>
        <w:t>¬</w:t>
        <w:t xml:space="preserve"> </w:t>
        <w:t>601.079717| cloud-init¬1288|: +----¬SHA256|-----+</w:t>
        <w:t xml:space="preserve"> </w:t>
        <w:t>¬</w:t>
        <w:t xml:space="preserve"> </w:t>
        <w:t>601.079748| cloud-init¬1288|: Generating public/private ed25519 key pair.</w:t>
        <w:t xml:space="preserve"> </w:t>
        <w:t>¬</w:t>
        <w:t xml:space="preserve"> </w:t>
        <w:t>601.079782| cloud-init¬1288|: Your identification has been saved in /etc/ssh/</w:t>
        <w:t xml:space="preserve"> </w:t>
        <w:t>ssh_host_ed25519_key</w:t>
      </w:r>
    </w:p>
    <w:p>
      <w:pPr>
        <w:pStyle w:val="Normal"/>
      </w:pPr>
      <w:r>
        <w:t>¬</w:t>
        <w:t xml:space="preserve"> </w:t>
        <w:t>601.079814| cloud-init¬1288|: Your public key has been saved in /etc/ssh/ssh_</w:t>
        <w:t xml:space="preserve"> </w:t>
        <w:t>host_ed25519_key.pub</w:t>
      </w:r>
    </w:p>
    <w:p>
      <w:pPr>
        <w:pStyle w:val="Normal"/>
      </w:pPr>
      <w:r>
        <w:t>¬</w:t>
        <w:t xml:space="preserve"> </w:t>
        <w:t>601.079847| cloud-init¬1288|: The key fingerprint is:</w:t>
        <w:t xml:space="preserve"> </w:t>
        <w:t>¬</w:t>
        <w:t xml:space="preserve"> </w:t>
        <w:t>601.079879| cloud-init¬1288|: SHA256:yWsZ/5+7u7D3SIcd7HYnyajXyeWnt5nQ+ZI3So3b</w:t>
        <w:t xml:space="preserve"> </w:t>
        <w:t>eN8 root§ubuntu-server</w:t>
      </w:r>
    </w:p>
    <w:p>
      <w:pPr>
        <w:pStyle w:val="Normal"/>
      </w:pPr>
      <w:r>
        <w:t>¬</w:t>
        <w:t xml:space="preserve"> </w:t>
        <w:t>601.079911| cloud-init¬1288|: The key's randomart image is:</w:t>
        <w:t xml:space="preserve"> </w:t>
        <w:t>¬</w:t>
        <w:t xml:space="preserve"> </w:t>
        <w:t>601.079942| cloud-init¬1288|: +--¬ED25519 256|--+</w:t>
        <w:t xml:space="preserve"> </w:t>
        <w:t>¬</w:t>
        <w:t xml:space="preserve"> </w:t>
        <w:t>601.079974| cloud-init¬1288|: !</w:t>
        <w:t xml:space="preserve"> </w:t>
        <w:t>!</w:t>
        <w:t xml:space="preserve"> </w:t>
        <w:t>¬</w:t>
        <w:t xml:space="preserve"> </w:t>
        <w:t>601.080010| cloud-init¬1288|: !</w:t>
        <w:t xml:space="preserve"> </w:t>
        <w:t>!</w:t>
        <w:t xml:space="preserve"> </w:t>
        <w:t>¬</w:t>
        <w:t xml:space="preserve"> </w:t>
        <w:t>601.080042| cloud-init¬1288|: !</w:t>
        <w:t xml:space="preserve"> </w:t>
        <w:t>!</w:t>
        <w:t xml:space="preserve"> </w:t>
        <w:t>¬</w:t>
        <w:t xml:space="preserve"> </w:t>
        <w:t>601.080076| cloud-init¬1288|: !</w:t>
        <w:t xml:space="preserve"> </w:t>
        <w:t>. .</w:t>
        <w:t xml:space="preserve"> </w:t>
        <w:t>.</w:t>
        <w:t xml:space="preserve"> </w:t>
        <w:t>!</w:t>
        <w:t xml:space="preserve"> </w:t>
        <w:t>¬</w:t>
        <w:t xml:space="preserve"> </w:t>
        <w:t>601.080107| cloud-init¬1288|: !</w:t>
        <w:t xml:space="preserve"> </w:t>
        <w:t>S</w:t>
        <w:t xml:space="preserve"> </w:t>
        <w:t>o !</w:t>
        <w:t xml:space="preserve"> </w:t>
        <w:t>¬</w:t>
        <w:t xml:space="preserve"> </w:t>
        <w:t>601.080139| cloud-init¬1288|: !</w:t>
        <w:t xml:space="preserve"> </w:t>
        <w:t>=</w:t>
        <w:t xml:space="preserve"> </w:t>
        <w:t>o=++!</w:t>
        <w:t xml:space="preserve"> </w:t>
        <w:t>¬</w:t>
        <w:t xml:space="preserve"> </w:t>
        <w:t>601.080179| cloud-init¬1288|: !</w:t>
        <w:t xml:space="preserve"> </w:t>
        <w:t>+ . o**§=!</w:t>
        <w:t xml:space="preserve"> </w:t>
        <w:t>¬</w:t>
        <w:t xml:space="preserve"> </w:t>
        <w:t>601.080210| cloud-init¬1288|: !</w:t>
        <w:t xml:space="preserve"> </w:t>
        <w:t>.</w:t>
        <w:t xml:space="preserve"> </w:t>
        <w:t>oo+&amp;B%!</w:t>
        <w:t xml:space="preserve"> </w:t>
        <w:t>¬</w:t>
        <w:t xml:space="preserve"> </w:t>
        <w:t>601.080244| cloud-init¬1288|: !</w:t>
        <w:t xml:space="preserve"> </w:t>
        <w:t>..o*%/E!</w:t>
        <w:t xml:space="preserve"> </w:t>
        <w:t>¬</w:t>
        <w:t xml:space="preserve"> </w:t>
        <w:t>601.080289| cloud-init¬1288|: +----¬SHA256|-----+</w:t>
        <w:t xml:space="preserve"> </w:t>
        <w:t>¬</w:t>
        <w:t xml:space="preserve"> </w:t>
        <w:t>612.293731| cloud-init¬2027|: Cloud-init v. 20.2-45-g5f7825e2-0ubuntu1 runnin</w:t>
        <w:t xml:space="preserve"> </w:t>
        <w:t>g 'modules:config' at Thu, 04 Jun 2020 12:06:59 +0000. Up 612.11 seconds.</w:t>
        <w:t xml:space="preserve"> </w:t>
        <w:t>¬</w:t>
        <w:t xml:space="preserve"> </w:t>
        <w:t>612.293866| cloud-init¬2027|: Set the following 'random' passwords</w:t>
        <w:t xml:space="preserve"> </w:t>
        <w:t>¬</w:t>
        <w:t xml:space="preserve"> </w:t>
        <w:t>612.293940| cloud-init¬2027|: installer:wgYsAPzYQbFYqU2X2hYm</w:t>
        <w:t xml:space="preserve"> </w:t>
        <w:t>ci-info: no authorized SSH keys fingerprints found for user installer.</w:t>
        <w:t xml:space="preserve"> </w:t>
        <w:t>&lt;14&gt;Jun</w:t>
        <w:t xml:space="preserve"> </w:t>
        <w:t>4 12:07:00 ec2:</w:t>
      </w:r>
    </w:p>
    <w:p>
      <w:pPr>
        <w:pStyle w:val="Normal"/>
      </w:pPr>
      <w:r>
        <w:t>&lt;14&gt;Jun</w:t>
        <w:t xml:space="preserve"> </w:t>
        <w:t>4 12:07:00 ec2: #######################################################</w:t>
        <w:t xml:space="preserve"> </w:t>
        <w:t>######</w:t>
      </w:r>
    </w:p>
    <w:p>
      <w:pPr>
        <w:pStyle w:val="Normal"/>
      </w:pPr>
      <w:r>
        <w:t>&lt;14&gt;Jun</w:t>
        <w:t xml:space="preserve"> </w:t>
        <w:t>4 12:07:00 ec2: -----BEGIN SSH HOST KEY FINGERPRINTS-----</w:t>
        <w:t>&lt;14&gt;Jun</w:t>
        <w:t xml:space="preserve"> </w:t>
        <w:t>4 12:07:00 ec2: 1024 SHA256:ZBNyksVVYZVhKJeL+PWKpsdUcn21yiceX/DboXQdPq0</w:t>
      </w:r>
    </w:p>
    <w:p>
      <w:pPr>
        <w:pStyle w:val="Normal"/>
      </w:pPr>
      <w:r>
        <w:t>root§ubuntu-server (DSA)</w:t>
      </w:r>
    </w:p>
    <w:p>
      <w:pPr>
        <w:pStyle w:val="Normal"/>
      </w:pPr>
      <w:r>
        <w:t>&lt;14&gt;Jun</w:t>
        <w:t xml:space="preserve"> </w:t>
        <w:t>4 12:07:00 ec2: 256 SHA256:Bitar9fVHUH2FnYVSJJnldprdAcM5Est0dmRWFTUi8k</w:t>
        <w:t xml:space="preserve"> </w:t>
        <w:t>root§ubuntu-server (ECDSA)</w:t>
      </w:r>
    </w:p>
    <w:p>
      <w:pPr>
        <w:pStyle w:val="Normal"/>
      </w:pPr>
      <w:r>
        <w:t>&lt;14&gt;Jun</w:t>
        <w:t xml:space="preserve"> </w:t>
        <w:t>4 12:07:00 ec2: 256 SHA256:yWsZ/5+7u7D3SIcd7HYnyajXyeWnt5nQ+ZI3So3beN8</w:t>
        <w:t xml:space="preserve"> </w:t>
        <w:t>root§ubuntu-server (ED25519)</w:t>
      </w:r>
    </w:p>
    <w:p>
      <w:pPr>
        <w:pStyle w:val="Para 09"/>
      </w:pPr>
      <w:r>
        <w:t>(continues on next page)</w:t>
      </w:r>
    </w:p>
    <w:p>
      <w:bookmarkStart w:id="107" w:name="page_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71"/>
                    <a:stretch>
                      <a:fillRect/>
                    </a:stretch>
                  </pic:blipFill>
                  <pic:spPr>
                    <a:xfrm>
                      <a:off x="0" y="0"/>
                      <a:ext cx="914400" cy="266700"/>
                    </a:xfrm>
                    <a:prstGeom prst="rect">
                      <a:avLst/>
                    </a:prstGeom>
                  </pic:spPr>
                </pic:pic>
              </a:graphicData>
            </a:graphic>
          </wp:anchor>
        </w:drawing>
      </w:r>
      <w:bookmarkEnd w:id="107"/>
    </w:p>
    <w:p>
      <w:pPr>
        <w:pStyle w:val="Para 09"/>
      </w:pPr>
      <w:r>
        <w:t>(continued from previous page)</w:t>
      </w:r>
    </w:p>
    <w:p>
      <w:pPr>
        <w:pStyle w:val="Normal"/>
      </w:pPr>
      <w:r>
        <w:t>&lt;14&gt;Jun</w:t>
        <w:t xml:space="preserve"> </w:t>
        <w:t>4 12:07:00 ec2: 3072 SHA256:kHtkABZwk8AE80fy0KPzTRcYpht4iXdZmJ37Cgi3fJ0</w:t>
      </w:r>
    </w:p>
    <w:p>
      <w:pPr>
        <w:pStyle w:val="Normal"/>
      </w:pPr>
      <w:r>
        <w:t>root§ubuntu-server (RSA)</w:t>
      </w:r>
    </w:p>
    <w:p>
      <w:pPr>
        <w:pStyle w:val="Normal"/>
      </w:pPr>
      <w:r>
        <w:t>&lt;14&gt;Jun</w:t>
        <w:t xml:space="preserve"> </w:t>
        <w:t>4 12:07:00 ec2: -----END SSH HOST KEY FINGERPRINTS-----</w:t>
        <w:t>&lt;14&gt;Jun</w:t>
        <w:t xml:space="preserve"> </w:t>
        <w:t>4 12:07:00 ec2: #######################################################</w:t>
        <w:t xml:space="preserve"> </w:t>
        <w:t>######</w:t>
      </w:r>
    </w:p>
    <w:p>
      <w:pPr>
        <w:pStyle w:val="Normal"/>
      </w:pPr>
      <w:r>
        <w:t>-----BEGIN SSH HOST KEY KEYS-----</w:t>
      </w:r>
    </w:p>
    <w:p>
      <w:pPr>
        <w:pStyle w:val="Normal"/>
      </w:pPr>
      <w:r>
        <w:t>ecdsa-sha2-nistp256 AAAAE2VjZHNhLXNoYTItbmlzdHAyNTYAAAAIbmlzdHAyNTYAAABBBIXM6t1/</w:t>
        <w:t xml:space="preserve"> </w:t>
        <w:t>35ot/aPI59ThIJBzg+qGJJ17+1ZVHfzMEDbsTwpM7e9pstPZUM7W1IHWqDvLQDBm/hGg4u8ZGEqmIMI=</w:t>
      </w:r>
    </w:p>
    <w:p>
      <w:pPr>
        <w:pStyle w:val="Normal"/>
      </w:pPr>
      <w:r>
        <w:t>root§ubuntu-server</w:t>
      </w:r>
    </w:p>
    <w:p>
      <w:pPr>
        <w:pStyle w:val="Normal"/>
      </w:pPr>
      <w:r>
        <w:t>ssh-ed25519 AAAAC3NzaC1lZDI1NTE5AAAAIN7QtU+en+RGruj2zuxWgkMqLmh+35/GR/OEOD16k4nA</w:t>
      </w:r>
    </w:p>
    <w:p>
      <w:pPr>
        <w:pStyle w:val="Normal"/>
      </w:pPr>
      <w:r>
        <w:t>root§ubuntu-server</w:t>
      </w:r>
    </w:p>
    <w:p>
      <w:pPr>
        <w:pStyle w:val="Normal"/>
      </w:pPr>
      <w:r>
        <w:t>ssh-rsa AAAAB3NzaC1yc2EAAAADAQABAAABgQDJdKT7iUAvSjkUqI1l3fHysE+Gj7ulwGgGjYh639px</w:t>
        <w:t xml:space="preserve"> </w:t>
        <w:t>kcHEbbS3V48eROY9BmDISEHfjYXGY2wEH0tGJjNRROGJhZJVNR+qAqJBioj9d/TwXEgwLP8eAy9aVtJB</w:t>
        <w:t xml:space="preserve"> </w:t>
        <w:t>K1rIylnMQltx/SIhgiymjHLCtKlVoIS4l0frT9FiF54Qi/JeJlwGJIW3W2XgcY9ODT0Q5g3PSmlZ8KTR</w:t>
        <w:t xml:space="preserve"> </w:t>
        <w:t>imTf9Fy7WJEPA08b3fimYWsz9enuS/gECEUGV3M1MvrzpAQju27NUEOpSMZHR62IMxGvIjYIu3dUkAzm</w:t>
        <w:t xml:space="preserve"> </w:t>
        <w:t>MBdwxHdLMQ8rI8PehyHDiFr6g2Ifxoy5QLmb3hISKlq/R6pLLeXbb748gN2i8WCvK0AEGfa/kJDW3RNU</w:t>
        <w:t xml:space="preserve"> </w:t>
        <w:t>VYd+ACBBzyhVbiw7W1CQW/ohik3wyosUyi9nJq2IqOA7kkGH+1XoYq/e4/MoqxhIK/oaiudYAkaCWmP1</w:t>
        <w:t xml:space="preserve"> </w:t>
        <w:t>r/fBa3hlf0f7mVHvxA3tWZc2wYUxFPTmePvpydP2PSctHMhgboaHrGIY2CdSqg8SUdPKrOE= root§ub</w:t>
        <w:t xml:space="preserve"> </w:t>
        <w:t>untu-server</w:t>
      </w:r>
    </w:p>
    <w:p>
      <w:pPr>
        <w:pStyle w:val="Normal"/>
      </w:pPr>
      <w:r>
        <w:t>-----END SSH HOST KEY KEYS-----</w:t>
      </w:r>
    </w:p>
    <w:p>
      <w:pPr>
        <w:pStyle w:val="Normal"/>
      </w:pPr>
      <w:r>
        <w:t>¬</w:t>
        <w:t xml:space="preserve"> </w:t>
        <w:t>612.877357| cloud-init¬2045|: Cloud-init v. 20.2-45-g5f7825e2-0ubuntu1 runnin</w:t>
        <w:t xml:space="preserve"> </w:t>
        <w:t>g 'modules:final' at Thu, 04 Jun 2020 12:07:00 +0000. Up 612.79 seconds.</w:t>
        <w:t xml:space="preserve"> </w:t>
        <w:t>¬</w:t>
        <w:t xml:space="preserve"> </w:t>
        <w:t>612.877426| cloud-init¬2045|: ci-info: no authorized SSH keys fingerprints fo</w:t>
        <w:t xml:space="preserve"> </w:t>
        <w:t>und for user installer.</w:t>
      </w:r>
    </w:p>
    <w:p>
      <w:pPr>
        <w:pStyle w:val="Normal"/>
      </w:pPr>
      <w:r>
        <w:t>¬</w:t>
        <w:t xml:space="preserve"> </w:t>
        <w:t>612.877468| cloud-init¬2045|: Cloud-init v. 20.2-45-g5f7825e2-0ubuntu1 finish</w:t>
        <w:t xml:space="preserve"> </w:t>
        <w:t>ed at Thu, 04 Jun 2020 12:07:00 +0000. Datasource DataSourceNoCloud ¬seed=/var/l</w:t>
        <w:t xml:space="preserve"> </w:t>
        <w:t>ib/cloud/seed/nocloud|¬dsmode=net|.</w:t>
        <w:t xml:space="preserve"> </w:t>
        <w:t>Up 612.87 seconds</w:t>
        <w:t xml:space="preserve"> </w:t>
        <w:t>¬</w:t>
        <w:t xml:space="preserve"> </w:t>
        <w:t>612.877509| cloud-init¬2045|: Welcome to Ubuntu Server InstallerÜ</w:t>
        <w:t xml:space="preserve"> </w:t>
        <w:t>¬</w:t>
        <w:t xml:space="preserve"> </w:t>
        <w:t>612.877551| cloud-init¬2045|: Above you will find SSH host keys and a random</w:t>
        <w:t xml:space="preserve"> </w:t>
        <w:t>password set for the `installer` user. You can use these credentials to ssh-in a</w:t>
        <w:t xml:space="preserve"> </w:t>
        <w:t>nd complete the installation. If you provided SSH keys in the cloud-init datasou</w:t>
        <w:t xml:space="preserve"> </w:t>
        <w:t>rce, they were also provisioned to the installer user.</w:t>
        <w:t xml:space="preserve"> </w:t>
        <w:t>¬</w:t>
        <w:t xml:space="preserve"> </w:t>
        <w:t>612.877634| cloud-init¬2045|: If you have access to the graphical console, li</w:t>
        <w:t xml:space="preserve"> </w:t>
        <w:t>ke TTY1 or HMC ASCII terminal you can complete the installation there too.</w:t>
      </w:r>
    </w:p>
    <w:p>
      <w:pPr>
        <w:pStyle w:val="Normal"/>
      </w:pPr>
      <w:r>
        <w:t>It is possible to connect to the installer over the network, which</w:t>
        <w:t xml:space="preserve"> </w:t>
        <w:t>might allow the use of a more capable terminal.</w:t>
      </w:r>
    </w:p>
    <w:p>
      <w:pPr>
        <w:pStyle w:val="Normal"/>
      </w:pPr>
      <w:r>
        <w:t>To connect, SSH to installer§10.222.111.24.</w:t>
      </w:r>
    </w:p>
    <w:p>
      <w:pPr>
        <w:pStyle w:val="Normal"/>
      </w:pPr>
      <w:r>
        <w:t>The password you should use is "KRuXtz5dURAyPkcjcUvA".</w:t>
      </w:r>
    </w:p>
    <w:p>
      <w:pPr>
        <w:pStyle w:val="Normal"/>
      </w:pPr>
      <w:r>
        <w:t>The host key fingerprints are:</w:t>
      </w:r>
    </w:p>
    <w:p>
      <w:pPr>
        <w:pStyle w:val="Para 02"/>
      </w:pPr>
      <w:r>
        <w:t>RSA</w:t>
        <w:t xml:space="preserve"> </w:t>
        <w:t>SHA256:3IvYMkU05lQSKBxOVZUJMzdtXpz3RJl3dEQsg3UWc54</w:t>
        <w:t xml:space="preserve"> </w:t>
        <w:t>ECDSA</w:t>
        <w:t xml:space="preserve"> </w:t>
        <w:t>SHA256:xd1xnkBpn49DUbuP8uWro2mu1GM4MtnqR2WEWg1fS3o</w:t>
        <w:t xml:space="preserve"> </w:t>
        <w:t>ED25519 SHA256:Hk3+/4+X7NJBHl6/e/6xFhNXsbHBsOvt6i8YEFUepko</w:t>
      </w:r>
    </w:p>
    <w:p>
      <w:pPr>
        <w:pStyle w:val="Normal"/>
      </w:pPr>
      <w:r>
        <w:t>Ubuntu Focal Fossa (development branch) ubuntu-server ttyS0</w:t>
      </w:r>
    </w:p>
    <w:p>
      <w:pPr>
        <w:pStyle w:val="Para 17"/>
      </w:pPr>
      <w:r>
        <w:t/>
      </w:r>
    </w:p>
    <w:p>
      <w:pPr>
        <w:pStyle w:val="Normal"/>
      </w:pPr>
      <w:r>
        <w:t>The next step is to remotely connect to the install system and to proceed with the Subiquity installer.</w:t>
      </w:r>
    </w:p>
    <w:p>
      <w:pPr>
        <w:pStyle w:val="Normal"/>
      </w:pPr>
      <w:r>
        <w:t xml:space="preserve">Notice that at the end of the installer boot-up process, all necessary data is provided to pro-ceed with running the installer in a remote SSH shell. The command to execute locally is: </w:t>
        <w:t>user@workstation:~$ ssh installer@10.222.111.24</w:t>
      </w:r>
    </w:p>
    <w:p>
      <w:bookmarkStart w:id="108" w:name="page_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72"/>
                    <a:stretch>
                      <a:fillRect/>
                    </a:stretch>
                  </pic:blipFill>
                  <pic:spPr>
                    <a:xfrm>
                      <a:off x="0" y="0"/>
                      <a:ext cx="914400" cy="266700"/>
                    </a:xfrm>
                    <a:prstGeom prst="rect">
                      <a:avLst/>
                    </a:prstGeom>
                  </pic:spPr>
                </pic:pic>
              </a:graphicData>
            </a:graphic>
          </wp:anchor>
        </w:drawing>
      </w:r>
      <w:bookmarkEnd w:id="108"/>
    </w:p>
    <w:p>
      <w:pPr>
        <w:pStyle w:val="Para 17"/>
      </w:pPr>
      <w:r>
        <w:t/>
      </w:r>
    </w:p>
    <w:p>
      <w:pPr>
        <w:pStyle w:val="Normal"/>
      </w:pPr>
      <w:r>
        <w:t>A temporary random password for the installation was created and shared as well, which should be used without the leading and trailing double quotes:</w:t>
      </w:r>
    </w:p>
    <w:p>
      <w:pPr>
        <w:pStyle w:val="Para 03"/>
      </w:pPr>
      <w:r>
        <w:t>"KRuXtz5dURAyPkcjcUvA"</w:t>
      </w:r>
    </w:p>
    <w:p>
      <w:pPr>
        <w:pStyle w:val="Para 17"/>
      </w:pPr>
      <w:r>
        <w:t/>
      </w:r>
    </w:p>
    <w:p>
      <w:pPr>
        <w:pStyle w:val="Normal"/>
      </w:pPr>
      <w:r>
        <w:t>user@workstation:~$ ssh installer@10.222.111.24</w:t>
      </w:r>
    </w:p>
    <w:p>
      <w:pPr>
        <w:pStyle w:val="Normal"/>
      </w:pPr>
      <w:r>
        <w:t>The authenticity of host '10.222.111.24 (10.222.111.24)' can't be established.</w:t>
        <w:t xml:space="preserve"> </w:t>
        <w:t>ECDSA key fingerprint is</w:t>
      </w:r>
    </w:p>
    <w:p>
      <w:pPr>
        <w:pStyle w:val="Normal"/>
      </w:pPr>
      <w:r>
        <w:t>SHA256:xd1xnkBpn49DUbuP8uWro2mu1GM4MtnqR2WEWg1fS3o.</w:t>
      </w:r>
    </w:p>
    <w:p>
      <w:pPr>
        <w:pStyle w:val="Normal"/>
      </w:pPr>
      <w:r>
        <w:t>Are you sure you want to continue connecting (yes/no/[fingerprint])? yes</w:t>
        <w:t xml:space="preserve"> </w:t>
        <w:t>Warning: Permanently added '10.222.111.24' (ECDSA) to the list of known hosts.</w:t>
        <w:t xml:space="preserve"> </w:t>
        <w:t>installer@10.222.111.24's password: KRuXtz5dURAyPkcjcUvA</w:t>
      </w:r>
    </w:p>
    <w:p>
      <w:pPr>
        <w:pStyle w:val="Para 17"/>
      </w:pPr>
      <w:r>
        <w:t/>
      </w:r>
    </w:p>
    <w:p>
      <w:pPr>
        <w:pStyle w:val="Normal"/>
      </w:pPr>
      <w:r>
        <w:t>You may now temporarily see some login messages like these:</w:t>
      </w:r>
    </w:p>
    <w:p>
      <w:pPr>
        <w:pStyle w:val="Normal"/>
      </w:pPr>
      <w:r>
        <w:t>Welcome to Ubuntu Focal Fossa (development branch) (GNU</w:t>
        <w:t>/</w:t>
        <w:t>Linux</w:t>
        <w:t xml:space="preserve"> </w:t>
        <w:t>5.4.0</w:t>
        <w:t>-</w:t>
        <w:t>42</w:t>
        <w:t>-</w:t>
        <w:t>generic s390x)</w:t>
      </w:r>
    </w:p>
    <w:p>
      <w:pPr>
        <w:pStyle w:val="Para 03"/>
      </w:pPr>
      <w:r>
        <w:t>*</w:t>
        <w:t xml:space="preserve"> </w:t>
        <w:t>Documentation:</w:t>
        <w:t xml:space="preserve"> </w:t>
        <w:t>https:</w:t>
        <w:t>//</w:t>
        <w:t>help</w:t>
        <w:t>.</w:t>
        <w:t>ubuntu</w:t>
        <w:t>.</w:t>
        <w:t>com</w:t>
      </w:r>
    </w:p>
    <w:p>
      <w:pPr>
        <w:pStyle w:val="Para 03"/>
      </w:pPr>
      <w:r>
        <w:t>*</w:t>
        <w:t xml:space="preserve"> </w:t>
        <w:t>Management:</w:t>
        <w:t xml:space="preserve"> </w:t>
        <w:t>https:</w:t>
        <w:t>//</w:t>
        <w:t>landscape</w:t>
        <w:t>.</w:t>
        <w:t>canonical</w:t>
        <w:t>.</w:t>
        <w:t>com</w:t>
      </w:r>
    </w:p>
    <w:p>
      <w:pPr>
        <w:pStyle w:val="Para 03"/>
      </w:pPr>
      <w:r>
        <w:t>*</w:t>
        <w:t xml:space="preserve"> </w:t>
        <w:t>Support:</w:t>
        <w:t xml:space="preserve"> </w:t>
        <w:t>https:</w:t>
        <w:t>//</w:t>
        <w:t>ubuntu</w:t>
        <w:t>.</w:t>
        <w:t>com</w:t>
        <w:t>/</w:t>
        <w:t>pro</w:t>
      </w:r>
    </w:p>
    <w:p>
      <w:pPr>
        <w:pStyle w:val="Para 03"/>
      </w:pPr>
      <w:r>
        <w:t>System information</w:t>
        <w:t xml:space="preserve"> </w:t>
      </w:r>
      <w:r>
        <w:rPr>
          <w:rStyle w:val="Text0"/>
        </w:rPr>
        <w:t>as</w:t>
      </w:r>
      <w:r>
        <w:t xml:space="preserve"> </w:t>
        <w:t>of Wed Jun</w:t>
        <w:t xml:space="preserve"> </w:t>
        <w:t>3 17</w:t>
        <w:t>:</w:t>
        <w:t>32</w:t>
        <w:t>:</w:t>
        <w:t>10</w:t>
        <w:t xml:space="preserve"> </w:t>
        <w:t>UTC</w:t>
        <w:t xml:space="preserve"> </w:t>
        <w:t>2020</w:t>
      </w:r>
    </w:p>
    <w:p>
      <w:pPr>
        <w:pStyle w:val="Para 03"/>
      </w:pPr>
      <w:r>
        <w:t>System load:</w:t>
        <w:t xml:space="preserve"> </w:t>
        <w:t>0.0</w:t>
        <w:t xml:space="preserve"> </w:t>
        <w:t>Memory usage:</w:t>
        <w:t xml:space="preserve"> </w:t>
        <w:t>2</w:t>
        <w:t>%</w:t>
        <w:t xml:space="preserve"> </w:t>
        <w:t>Processes:</w:t>
        <w:t xml:space="preserve"> </w:t>
        <w:t>146</w:t>
      </w:r>
    </w:p>
    <w:p>
      <w:pPr>
        <w:pStyle w:val="Para 03"/>
      </w:pPr>
      <w:r>
        <w:t>Usage of</w:t>
        <w:t xml:space="preserve"> </w:t>
        <w:t>/</w:t>
        <w:t>home: unknown</w:t>
        <w:t xml:space="preserve"> </w:t>
        <w:t>Swap usage:</w:t>
        <w:t xml:space="preserve"> </w:t>
        <w:t>0</w:t>
        <w:t>%</w:t>
        <w:t xml:space="preserve"> </w:t>
        <w:t>Users logged</w:t>
        <w:t xml:space="preserve"> </w:t>
      </w:r>
      <w:r>
        <w:rPr>
          <w:rStyle w:val="Text0"/>
        </w:rPr>
        <w:t>in</w:t>
      </w:r>
      <w:r>
        <w:t>:</w:t>
        <w:t xml:space="preserve"> </w:t>
        <w:t>0</w:t>
      </w:r>
    </w:p>
    <w:p>
      <w:pPr>
        <w:pStyle w:val="Normal"/>
      </w:pPr>
      <w:r>
        <w:t>0</w:t>
        <w:t xml:space="preserve"> </w:t>
        <w:t>updates can be installed immediately</w:t>
        <w:t>.</w:t>
      </w:r>
    </w:p>
    <w:p>
      <w:pPr>
        <w:pStyle w:val="Normal"/>
      </w:pPr>
      <w:r>
        <w:t>0</w:t>
        <w:t xml:space="preserve"> </w:t>
        <w:t>of these updates are security updates</w:t>
        <w:t>.</w:t>
      </w:r>
    </w:p>
    <w:p>
      <w:pPr>
        <w:pStyle w:val="Normal"/>
      </w:pPr>
      <w:r>
        <w:t>The programs included</w:t>
        <w:t xml:space="preserve"> </w:t>
      </w:r>
      <w:r>
        <w:rPr>
          <w:rStyle w:val="Text0"/>
        </w:rPr>
        <w:t>with</w:t>
      </w:r>
      <w:r>
        <w:t xml:space="preserve"> </w:t>
        <w:t>the Ubuntu system are free software;</w:t>
        <w:t xml:space="preserve"> </w:t>
        <w:t>the exact distribution terms</w:t>
        <w:t xml:space="preserve"> </w:t>
      </w:r>
      <w:r>
        <w:rPr>
          <w:rStyle w:val="Text0"/>
        </w:rPr>
        <w:t>for</w:t>
      </w:r>
      <w:r>
        <w:t xml:space="preserve"> </w:t>
        <w:t>each program are described</w:t>
        <w:t xml:space="preserve"> </w:t>
      </w:r>
      <w:r>
        <w:rPr>
          <w:rStyle w:val="Text0"/>
        </w:rPr>
        <w:t>in</w:t>
      </w:r>
      <w:r>
        <w:t xml:space="preserve"> </w:t>
        <w:t>the</w:t>
        <w:t xml:space="preserve"> </w:t>
        <w:t>individual files</w:t>
        <w:t xml:space="preserve"> </w:t>
      </w:r>
      <w:r>
        <w:rPr>
          <w:rStyle w:val="Text0"/>
        </w:rPr>
        <w:t>in</w:t>
      </w:r>
      <w:r>
        <w:t xml:space="preserve"> </w:t>
        <w:t>/</w:t>
        <w:t>usr</w:t>
        <w:t>/</w:t>
        <w:t>share</w:t>
        <w:t>/</w:t>
        <w:t>doc</w:t>
        <w:t>/*/</w:t>
        <w:t>copyright</w:t>
        <w:t>.</w:t>
      </w:r>
    </w:p>
    <w:p>
      <w:pPr>
        <w:pStyle w:val="Normal"/>
      </w:pPr>
      <w:r>
        <w:t>Ubuntu comes</w:t>
        <w:t xml:space="preserve"> </w:t>
      </w:r>
      <w:r>
        <w:rPr>
          <w:rStyle w:val="Text0"/>
        </w:rPr>
        <w:t>with</w:t>
      </w:r>
      <w:r>
        <w:t xml:space="preserve"> </w:t>
        <w:t>ABSOLUTELY NO WARRANTY, to the extent permitted by applicable law</w:t>
        <w:t>.</w:t>
      </w:r>
    </w:p>
    <w:p>
      <w:pPr>
        <w:pStyle w:val="Para 17"/>
      </w:pPr>
      <w:r>
        <w:t/>
      </w:r>
    </w:p>
    <w:p>
      <w:pPr>
        <w:pStyle w:val="Normal"/>
      </w:pPr>
      <w:r>
        <w:t>Eventually, the initial Subiquity installer screen appears:</w:t>
      </w:r>
    </w:p>
    <w:p>
      <w:pPr>
        <w:pStyle w:val="Normal"/>
      </w:pPr>
      <w:r>
        <w:t>====================================================================</w:t>
      </w:r>
    </w:p>
    <w:p>
      <w:pPr>
        <w:pStyle w:val="Para 03"/>
      </w:pPr>
      <w:r>
        <w:t>Willkommen! Bienvenue! Welcome! ????? ??????????! Welkom!</w:t>
      </w:r>
    </w:p>
    <w:p>
      <w:pPr>
        <w:pStyle w:val="Normal"/>
      </w:pPr>
      <w:r>
        <w:t>====================================================================</w:t>
      </w:r>
    </w:p>
    <w:p>
      <w:pPr>
        <w:pStyle w:val="Para 03"/>
      </w:pPr>
      <w:r>
        <w:t>Use UP, DOWN and ENTER keys to select your language.</w:t>
      </w:r>
    </w:p>
    <w:p>
      <w:pPr>
        <w:pStyle w:val="Para 15"/>
      </w:pPr>
      <w:r>
        <w:t>[ English</w:t>
        <w:t xml:space="preserve"> </w:t>
        <w:t>&gt; ]</w:t>
        <w:t xml:space="preserve"> </w:t>
        <w:t>[ Asturianu</w:t>
        <w:t xml:space="preserve"> </w:t>
        <w:t>&gt; ]</w:t>
        <w:t xml:space="preserve"> </w:t>
        <w:t>[ Cataln</w:t>
        <w:t xml:space="preserve"> </w:t>
        <w:t>&gt; ]</w:t>
        <w:t xml:space="preserve"> </w:t>
        <w:t>[ Hrvatski</w:t>
        <w:t xml:space="preserve"> </w:t>
        <w:t>&gt; ]</w:t>
        <w:t xml:space="preserve"> </w:t>
        <w:t>[ Nederlands</w:t>
        <w:t xml:space="preserve"> </w:t>
        <w:t>&gt; ]</w:t>
        <w:t xml:space="preserve"> </w:t>
        <w:t>[ Suomi</w:t>
        <w:t xml:space="preserve"> </w:t>
        <w:t>&gt; ]</w:t>
        <w:t xml:space="preserve"> </w:t>
        <w:t>[ Francais</w:t>
        <w:t xml:space="preserve"> </w:t>
        <w:t>&gt; ]</w:t>
        <w:t xml:space="preserve"> </w:t>
        <w:t>[ Deutsch</w:t>
        <w:t xml:space="preserve"> </w:t>
        <w:t>&gt; ]</w:t>
        <w:t xml:space="preserve"> </w:t>
        <w:t>[ Magyar</w:t>
        <w:t xml:space="preserve"> </w:t>
        <w:t>&gt; ]</w:t>
        <w:t xml:space="preserve"> </w:t>
        <w:t>[ Latvie?u</w:t>
        <w:t xml:space="preserve"> </w:t>
        <w:t>&gt; ]</w:t>
        <w:t xml:space="preserve"> </w:t>
        <w:t>[ Norsk bokm?l</w:t>
        <w:t xml:space="preserve"> </w:t>
        <w:t>&gt; ]</w:t>
        <w:t xml:space="preserve"> </w:t>
        <w:t>[ Polski</w:t>
        <w:t xml:space="preserve"> </w:t>
        <w:t>&gt; ]</w:t>
      </w:r>
    </w:p>
    <w:p>
      <w:pPr>
        <w:pStyle w:val="Para 09"/>
      </w:pPr>
      <w:r>
        <w:t>(continues on next page)</w:t>
      </w:r>
    </w:p>
    <w:p>
      <w:bookmarkStart w:id="109" w:name="page_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73"/>
                    <a:stretch>
                      <a:fillRect/>
                    </a:stretch>
                  </pic:blipFill>
                  <pic:spPr>
                    <a:xfrm>
                      <a:off x="0" y="0"/>
                      <a:ext cx="914400" cy="266700"/>
                    </a:xfrm>
                    <a:prstGeom prst="rect">
                      <a:avLst/>
                    </a:prstGeom>
                  </pic:spPr>
                </pic:pic>
              </a:graphicData>
            </a:graphic>
          </wp:anchor>
        </w:drawing>
      </w:r>
      <w:bookmarkEnd w:id="109"/>
    </w:p>
    <w:p>
      <w:pPr>
        <w:pStyle w:val="Para 09"/>
      </w:pPr>
      <w:r>
        <w:t>(continued from previous page)</w:t>
      </w:r>
    </w:p>
    <w:p>
      <w:pPr>
        <w:pStyle w:val="Para 15"/>
      </w:pPr>
      <w:r>
        <w:t>[ Espanol</w:t>
        <w:t xml:space="preserve"> </w:t>
        <w:t>&gt; ]</w:t>
      </w:r>
    </w:p>
    <w:p>
      <w:pPr>
        <w:pStyle w:val="Para 17"/>
      </w:pPr>
      <w:r>
        <w:t/>
      </w:r>
    </w:p>
    <w:p>
      <w:pPr>
        <w:pStyle w:val="Normal"/>
      </w:pPr>
      <w:r>
        <w:t>From this point, you can follow the normal Subiquity installation. For more details, refer to</w:t>
      </w:r>
    </w:p>
    <w:p>
      <w:pPr>
        <w:pStyle w:val="Para 18"/>
      </w:pPr>
      <w:r>
        <w:rPr>
          <w:rStyle w:val="Text7"/>
        </w:rPr>
        <w:t xml:space="preserve">the </w:t>
      </w:r>
      <w:hyperlink w:anchor="page_67">
        <w:r>
          <w:rPr>
            <w:rStyle w:val="Text10"/>
          </w:rPr>
          <w:t>70</w:t>
        </w:r>
      </w:hyperlink>
      <w:r>
        <w:rPr>
          <w:rStyle w:val="Text7"/>
        </w:rPr>
        <w:t xml:space="preserve"> </w:t>
      </w:r>
      <w:hyperlink r:id="rId1048">
        <w:r>
          <w:t>Subiquity installer documentation</w:t>
        </w:r>
      </w:hyperlink>
      <w:r>
        <w:rPr>
          <w:rStyle w:val="Text7"/>
        </w:rPr>
        <w:t xml:space="preserve"> .</w:t>
      </w:r>
    </w:p>
    <w:p>
      <w:pPr>
        <w:pStyle w:val="Normal"/>
      </w:pPr>
      <w:r>
        <w:t>====================================================================</w:t>
      </w:r>
    </w:p>
    <w:p>
      <w:pPr>
        <w:pStyle w:val="Para 03"/>
      </w:pPr>
      <w:r>
        <w:t>Keyboard configuration</w:t>
      </w:r>
    </w:p>
    <w:p>
      <w:pPr>
        <w:pStyle w:val="Normal"/>
      </w:pPr>
      <w:r>
        <w:t>====================================================================</w:t>
      </w:r>
    </w:p>
    <w:p>
      <w:pPr>
        <w:pStyle w:val="Para 03"/>
      </w:pPr>
      <w:r>
        <w:t>Please select your keyboard layout below, or select "Identify keyboard" to</w:t>
      </w:r>
    </w:p>
    <w:p>
      <w:pPr>
        <w:pStyle w:val="Para 03"/>
      </w:pPr>
      <w:r>
        <w:t>detect your layout automatically.</w:t>
      </w:r>
    </w:p>
    <w:p>
      <w:pPr>
        <w:pStyle w:val="Para 15"/>
      </w:pPr>
      <w:r>
        <w:t>Layout:</w:t>
        <w:t xml:space="preserve"> </w:t>
        <w:t>[ English (US)</w:t>
        <w:t xml:space="preserve"> </w:t>
        <w:t>v ]</w:t>
      </w:r>
    </w:p>
    <w:p>
      <w:pPr>
        <w:pStyle w:val="Para 17"/>
      </w:pPr>
      <w:r>
        <w:t/>
      </w:r>
    </w:p>
    <w:p>
      <w:pPr>
        <w:pStyle w:val="Para 15"/>
      </w:pPr>
      <w:r>
        <w:t>Variant:</w:t>
        <w:t xml:space="preserve"> </w:t>
        <w:t>[ English (US)</w:t>
        <w:t xml:space="preserve"> </w:t>
        <w:t>v ]</w:t>
      </w:r>
    </w:p>
    <w:p>
      <w:pPr>
        <w:pStyle w:val="Para 17"/>
      </w:pPr>
      <w:r>
        <w:t/>
      </w:r>
    </w:p>
    <w:p>
      <w:pPr>
        <w:pStyle w:val="Para 38"/>
      </w:pPr>
      <w:r>
        <w:t>[ Identify keyboard ]</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03"/>
      </w:pPr>
      <w:r>
        <w:t>ID</w:t>
        <w:t xml:space="preserve"> </w:t>
        <w:t>ONLINE</w:t>
        <w:t xml:space="preserve"> </w:t>
        <w:t>NAMES</w:t>
        <w:t xml:space="preserve"> </w:t>
        <w:t>^</w:t>
      </w:r>
    </w:p>
    <w:p>
      <w:pPr>
        <w:pStyle w:val="Para 21"/>
      </w:pPr>
      <w:r>
        <w:t>│</w:t>
      </w:r>
    </w:p>
    <w:p>
      <w:pPr>
        <w:pStyle w:val="Para 03"/>
      </w:pPr>
      <w:r>
        <w:t>generic-ccw</w:t>
        <w:t xml:space="preserve"> </w:t>
        <w:t>│</w:t>
      </w:r>
    </w:p>
    <w:p>
      <w:pPr>
        <w:pStyle w:val="Para 03"/>
      </w:pPr>
      <w:r>
        <w:t>0.0.0009</w:t>
        <w:t xml:space="preserve"> </w:t>
        <w:t>&gt;</w:t>
        <w:t xml:space="preserve"> </w:t>
        <w:t>│</w:t>
      </w:r>
    </w:p>
    <w:p>
      <w:pPr>
        <w:pStyle w:val="Para 03"/>
      </w:pPr>
      <w:r>
        <w:t>0.0.000c</w:t>
        <w:t xml:space="preserve"> </w:t>
        <w:t>&gt;</w:t>
        <w:t xml:space="preserve"> </w:t>
        <w:t>│</w:t>
      </w:r>
    </w:p>
    <w:p>
      <w:pPr>
        <w:pStyle w:val="Para 03"/>
      </w:pPr>
      <w:r>
        <w:t>0.0.000d</w:t>
        <w:t xml:space="preserve"> </w:t>
        <w:t>&gt;</w:t>
        <w:t xml:space="preserve"> </w:t>
        <w:t>│</w:t>
      </w:r>
    </w:p>
    <w:p>
      <w:pPr>
        <w:pStyle w:val="Para 03"/>
      </w:pPr>
      <w:r>
        <w:t>0.0.000e</w:t>
        <w:t xml:space="preserve"> </w:t>
        <w:t>&gt;</w:t>
        <w:t xml:space="preserve"> </w:t>
        <w:t>│</w:t>
      </w:r>
    </w:p>
    <w:p>
      <w:pPr>
        <w:pStyle w:val="Para 21"/>
      </w:pPr>
      <w:r>
        <w:t>│</w:t>
      </w:r>
    </w:p>
    <w:p>
      <w:pPr>
        <w:pStyle w:val="Para 03"/>
      </w:pPr>
      <w:r>
        <w:t>dasd-eckd</w:t>
        <w:t xml:space="preserve"> </w:t>
        <w:t>│</w:t>
      </w:r>
    </w:p>
    <w:p>
      <w:pPr>
        <w:pStyle w:val="Para 03"/>
      </w:pPr>
      <w:r>
        <w:t>0.0.0190</w:t>
        <w:t xml:space="preserve"> </w:t>
        <w:t>&gt;</w:t>
        <w:t xml:space="preserve"> </w:t>
        <w:t>│</w:t>
      </w:r>
    </w:p>
    <w:p>
      <w:pPr>
        <w:pStyle w:val="Para 03"/>
      </w:pPr>
      <w:r>
        <w:t>0.0.0191</w:t>
        <w:t xml:space="preserve"> </w:t>
        <w:t>&gt;</w:t>
        <w:t xml:space="preserve"> </w:t>
        <w:t>│</w:t>
      </w:r>
    </w:p>
    <w:p>
      <w:pPr>
        <w:pStyle w:val="Para 03"/>
      </w:pPr>
      <w:r>
        <w:t>0.0.019d</w:t>
        <w:t xml:space="preserve"> </w:t>
        <w:t>&gt;</w:t>
        <w:t xml:space="preserve"> </w:t>
        <w:t>│</w:t>
      </w:r>
    </w:p>
    <w:p>
      <w:pPr>
        <w:pStyle w:val="Para 03"/>
      </w:pPr>
      <w:r>
        <w:t>0.0.019e</w:t>
        <w:t xml:space="preserve"> </w:t>
        <w:t>&gt;</w:t>
      </w:r>
    </w:p>
    <w:p>
      <w:pPr>
        <w:pStyle w:val="Para 03"/>
      </w:pPr>
      <w:r>
        <w:t>0.0.0200</w:t>
        <w:t xml:space="preserve"> </w:t>
        <w:t>&gt;</w:t>
      </w:r>
    </w:p>
    <w:p>
      <w:pPr>
        <w:pStyle w:val="Para 03"/>
      </w:pPr>
      <w:r>
        <w:t>0.0.0300</w:t>
        <w:t xml:space="preserve"> </w:t>
        <w:t>&gt;</w:t>
      </w:r>
    </w:p>
    <w:p>
      <w:pPr>
        <w:pStyle w:val="Para 03"/>
      </w:pPr>
      <w:r>
        <w:t>0.0.0400</w:t>
        <w:t xml:space="preserve"> </w:t>
        <w:t>&gt;</w:t>
      </w:r>
    </w:p>
    <w:p>
      <w:pPr>
        <w:pStyle w:val="Para 03"/>
      </w:pPr>
      <w:r>
        <w:t>0.0.0592</w:t>
        <w:t xml:space="preserve"> </w:t>
        <w:t>&gt;</w:t>
        <w:t xml:space="preserve"> </w:t>
        <w:t>v</w:t>
      </w:r>
    </w:p>
    <w:p>
      <w:pPr>
        <w:pStyle w:val="Para 19"/>
      </w:pPr>
      <w:r>
        <w:t>[ Continue</w:t>
        <w:t xml:space="preserve"> </w:t>
        <w:t>]</w:t>
        <w:t xml:space="preserve"> </w:t>
        <w:t>[ Back</w:t>
        <w:t xml:space="preserve"> </w:t>
        <w:t>]</w:t>
      </w:r>
    </w:p>
    <w:p>
      <w:pPr>
        <w:pStyle w:val="Para 17"/>
      </w:pPr>
      <w:r>
        <w:t/>
      </w:r>
    </w:p>
    <w:p>
      <w:pPr>
        <w:pStyle w:val="Para 04"/>
      </w:pPr>
      <w:r>
        <w:t>• If the list is long, hit the End key that will automatically scroll you down to the bottom</w:t>
      </w:r>
    </w:p>
    <w:p>
      <w:pPr>
        <w:pStyle w:val="Para 05"/>
      </w:pPr>
      <w:r>
        <w:rPr>
          <w:rStyle w:val="Text5"/>
        </w:rPr>
        <w:t>70</w:t>
      </w:r>
      <w:r>
        <w:rPr>
          <w:rStyle w:val="Text8"/>
        </w:rPr>
        <w:t xml:space="preserve"> </w:t>
      </w:r>
      <w:r>
        <w:t>https://canonical-subiquity.readthedocs-hosted.com/en/latest/index.html</w:t>
      </w:r>
    </w:p>
    <w:p>
      <w:bookmarkStart w:id="110" w:name="page_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74"/>
                    <a:stretch>
                      <a:fillRect/>
                    </a:stretch>
                  </pic:blipFill>
                  <pic:spPr>
                    <a:xfrm>
                      <a:off x="0" y="0"/>
                      <a:ext cx="914400" cy="266700"/>
                    </a:xfrm>
                    <a:prstGeom prst="rect">
                      <a:avLst/>
                    </a:prstGeom>
                  </pic:spPr>
                </pic:pic>
              </a:graphicData>
            </a:graphic>
          </wp:anchor>
        </w:drawing>
      </w:r>
      <w:bookmarkEnd w:id="110"/>
    </w:p>
    <w:p>
      <w:pPr>
        <w:pStyle w:val="Para 02"/>
      </w:pPr>
      <w:r>
        <w:t>of the Z devices list and screen.</w:t>
      </w:r>
    </w:p>
    <w:p>
      <w:pPr>
        <w:pStyle w:val="Normal"/>
      </w:pPr>
      <w:r>
        <w:t>====================================================================</w:t>
      </w:r>
    </w:p>
    <w:p>
      <w:pPr>
        <w:pStyle w:val="Para 03"/>
      </w:pPr>
      <w:r>
        <w:t>Zdev setup</w:t>
      </w:r>
    </w:p>
    <w:p>
      <w:pPr>
        <w:pStyle w:val="Normal"/>
      </w:pPr>
      <w:r>
        <w:t>====================================================================</w:t>
      </w:r>
    </w:p>
    <w:p>
      <w:pPr>
        <w:pStyle w:val="Para 03"/>
      </w:pPr>
      <w:r>
        <w:t>ID</w:t>
        <w:t xml:space="preserve"> </w:t>
        <w:t>ONLINE</w:t>
        <w:t xml:space="preserve"> </w:t>
        <w:t>NAMES</w:t>
        <w:t xml:space="preserve"> </w:t>
        <w:t>^</w:t>
      </w:r>
    </w:p>
    <w:p>
      <w:pPr>
        <w:pStyle w:val="Para 21"/>
      </w:pPr>
      <w:r>
        <w:t>│</w:t>
      </w:r>
    </w:p>
    <w:p>
      <w:pPr>
        <w:pStyle w:val="Para 03"/>
      </w:pPr>
      <w:r>
        <w:t>generic-ccw</w:t>
        <w:t xml:space="preserve"> </w:t>
        <w:t>│</w:t>
      </w:r>
    </w:p>
    <w:p>
      <w:pPr>
        <w:pStyle w:val="Para 03"/>
      </w:pPr>
      <w:r>
        <w:t>0.0.0009</w:t>
        <w:t xml:space="preserve"> </w:t>
        <w:t>&gt;</w:t>
        <w:t xml:space="preserve"> </w:t>
        <w:t>│</w:t>
      </w:r>
    </w:p>
    <w:p>
      <w:pPr>
        <w:pStyle w:val="Para 03"/>
      </w:pPr>
      <w:r>
        <w:t>0.0.000c</w:t>
        <w:t xml:space="preserve"> </w:t>
        <w:t>&gt;</w:t>
        <w:t xml:space="preserve"> </w:t>
        <w:t>│</w:t>
      </w:r>
    </w:p>
    <w:p>
      <w:pPr>
        <w:pStyle w:val="Para 03"/>
      </w:pPr>
      <w:r>
        <w:t>0.0.000d</w:t>
        <w:t xml:space="preserve"> </w:t>
        <w:t>&gt;</w:t>
        <w:t xml:space="preserve"> </w:t>
        <w:t>│</w:t>
      </w:r>
    </w:p>
    <w:p>
      <w:pPr>
        <w:pStyle w:val="Para 03"/>
      </w:pPr>
      <w:r>
        <w:t>0.0.000e</w:t>
        <w:t xml:space="preserve"> </w:t>
        <w:t>&gt;</w:t>
        <w:t xml:space="preserve"> </w:t>
        <w:t>│</w:t>
      </w:r>
    </w:p>
    <w:p>
      <w:pPr>
        <w:pStyle w:val="Para 21"/>
      </w:pPr>
      <w:r>
        <w:t>│</w:t>
      </w:r>
    </w:p>
    <w:p>
      <w:pPr>
        <w:pStyle w:val="Para 03"/>
      </w:pPr>
      <w:r>
        <w:t>dasd-eckd</w:t>
        <w:t xml:space="preserve"> </w:t>
        <w:t>│</w:t>
      </w:r>
    </w:p>
    <w:p>
      <w:pPr>
        <w:pStyle w:val="Para 03"/>
      </w:pPr>
      <w:r>
        <w:t>0.0.0190</w:t>
        <w:t xml:space="preserve"> </w:t>
        <w:t>&gt;</w:t>
        <w:t xml:space="preserve"> </w:t>
        <w:t>│</w:t>
      </w:r>
    </w:p>
    <w:p>
      <w:pPr>
        <w:pStyle w:val="Para 03"/>
      </w:pPr>
      <w:r>
        <w:t>0.0.0191</w:t>
        <w:t xml:space="preserve"> </w:t>
        <w:t>&gt;</w:t>
        <w:t xml:space="preserve"> </w:t>
        <w:t>│</w:t>
      </w:r>
    </w:p>
    <w:p>
      <w:pPr>
        <w:pStyle w:val="Para 03"/>
      </w:pPr>
      <w:r>
        <w:t>0.0.019d</w:t>
        <w:t xml:space="preserve"> </w:t>
        <w:t>&gt;</w:t>
        <w:t xml:space="preserve"> </w:t>
        <w:t>│</w:t>
      </w:r>
    </w:p>
    <w:p>
      <w:pPr>
        <w:pStyle w:val="Para 03"/>
      </w:pPr>
      <w:r>
        <w:t>0.0.019e</w:t>
        <w:t xml:space="preserve"> </w:t>
        <w:t>&gt;┌────────────┐</w:t>
      </w:r>
    </w:p>
    <w:p>
      <w:pPr>
        <w:pStyle w:val="Para 03"/>
      </w:pPr>
      <w:r>
        <w:t>0.0.0200</w:t>
        <w:t xml:space="preserve"> </w:t>
        <w:t>&gt;│&lt; (close)</w:t>
        <w:t xml:space="preserve"> </w:t>
        <w:t>│</w:t>
      </w:r>
    </w:p>
    <w:p>
      <w:pPr>
        <w:pStyle w:val="Para 03"/>
      </w:pPr>
      <w:r>
        <w:t>0.0.0300</w:t>
        <w:t xml:space="preserve"> </w:t>
        <w:t>&gt;│</w:t>
        <w:t xml:space="preserve"> </w:t>
        <w:t>Enable</w:t>
        <w:t xml:space="preserve"> </w:t>
        <w:t>│</w:t>
      </w:r>
    </w:p>
    <w:p>
      <w:pPr>
        <w:pStyle w:val="Para 03"/>
      </w:pPr>
      <w:r>
        <w:t>0.0.0400</w:t>
        <w:t xml:space="preserve"> </w:t>
        <w:t>&gt;│</w:t>
        <w:t xml:space="preserve"> </w:t>
        <w:t>Disable</w:t>
        <w:t xml:space="preserve"> </w:t>
        <w:t>│</w:t>
      </w:r>
    </w:p>
    <w:p>
      <w:pPr>
        <w:pStyle w:val="Para 03"/>
      </w:pPr>
      <w:r>
        <w:t>0.0.0592</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03"/>
      </w:pPr>
      <w:r>
        <w:t>ID</w:t>
        <w:t xml:space="preserve"> </w:t>
        <w:t>ONLINE</w:t>
        <w:t xml:space="preserve"> </w:t>
        <w:t>NAMES</w:t>
        <w:t xml:space="preserve"> </w:t>
        <w:t>^</w:t>
      </w:r>
    </w:p>
    <w:p>
      <w:pPr>
        <w:pStyle w:val="Para 21"/>
      </w:pPr>
      <w:r>
        <w:t>│</w:t>
      </w:r>
    </w:p>
    <w:p>
      <w:pPr>
        <w:pStyle w:val="Para 03"/>
      </w:pPr>
      <w:r>
        <w:t>generic-ccw</w:t>
        <w:t xml:space="preserve"> </w:t>
        <w:t>│</w:t>
      </w:r>
    </w:p>
    <w:p>
      <w:pPr>
        <w:pStyle w:val="Para 03"/>
      </w:pPr>
      <w:r>
        <w:t>0.0.0009</w:t>
        <w:t xml:space="preserve"> </w:t>
        <w:t>&gt;</w:t>
        <w:t xml:space="preserve"> </w:t>
        <w:t>│</w:t>
      </w:r>
    </w:p>
    <w:p>
      <w:pPr>
        <w:pStyle w:val="Para 03"/>
      </w:pPr>
      <w:r>
        <w:t>0.0.000c</w:t>
        <w:t xml:space="preserve"> </w:t>
        <w:t>&gt;</w:t>
        <w:t xml:space="preserve"> </w:t>
        <w:t>│</w:t>
      </w:r>
    </w:p>
    <w:p>
      <w:pPr>
        <w:pStyle w:val="Para 03"/>
      </w:pPr>
      <w:r>
        <w:t>0.0.000d</w:t>
        <w:t xml:space="preserve"> </w:t>
        <w:t>&gt;</w:t>
        <w:t xml:space="preserve"> </w:t>
        <w:t>│</w:t>
      </w:r>
    </w:p>
    <w:p>
      <w:pPr>
        <w:pStyle w:val="Para 03"/>
      </w:pPr>
      <w:r>
        <w:t>0.0.000e</w:t>
        <w:t xml:space="preserve"> </w:t>
        <w:t>&gt;</w:t>
        <w:t xml:space="preserve"> </w:t>
        <w:t>│</w:t>
      </w:r>
    </w:p>
    <w:p>
      <w:pPr>
        <w:pStyle w:val="Para 21"/>
      </w:pPr>
      <w:r>
        <w:t>│</w:t>
      </w:r>
    </w:p>
    <w:p>
      <w:pPr>
        <w:pStyle w:val="Para 03"/>
      </w:pPr>
      <w:r>
        <w:t>dasd-eckd</w:t>
        <w:t xml:space="preserve"> </w:t>
        <w:t>│</w:t>
      </w:r>
    </w:p>
    <w:p>
      <w:pPr>
        <w:pStyle w:val="Para 03"/>
      </w:pPr>
      <w:r>
        <w:t>0.0.0190</w:t>
        <w:t xml:space="preserve"> </w:t>
        <w:t>&gt;</w:t>
        <w:t xml:space="preserve"> </w:t>
        <w:t>│</w:t>
      </w:r>
    </w:p>
    <w:p>
      <w:pPr>
        <w:pStyle w:val="Para 03"/>
      </w:pPr>
      <w:r>
        <w:t>0.0.0191</w:t>
        <w:t xml:space="preserve"> </w:t>
        <w:t>&gt;</w:t>
        <w:t xml:space="preserve"> </w:t>
        <w:t>│</w:t>
      </w:r>
    </w:p>
    <w:p>
      <w:pPr>
        <w:pStyle w:val="Para 03"/>
      </w:pPr>
      <w:r>
        <w:t>0.0.019d</w:t>
        <w:t xml:space="preserve"> </w:t>
        <w:t>&gt;</w:t>
        <w:t xml:space="preserve"> </w:t>
        <w:t>│</w:t>
      </w:r>
    </w:p>
    <w:p>
      <w:pPr>
        <w:pStyle w:val="Para 03"/>
      </w:pPr>
      <w:r>
        <w:t>0.0.019e</w:t>
        <w:t xml:space="preserve"> </w:t>
        <w:t>&gt;</w:t>
      </w:r>
    </w:p>
    <w:p>
      <w:pPr>
        <w:pStyle w:val="Para 03"/>
      </w:pPr>
      <w:r>
        <w:t>0.0.0200</w:t>
        <w:t xml:space="preserve"> </w:t>
        <w:t>online</w:t>
        <w:t xml:space="preserve"> </w:t>
        <w:t>dasda</w:t>
        <w:t xml:space="preserve"> </w:t>
        <w:t>&gt;</w:t>
      </w:r>
    </w:p>
    <w:p>
      <w:pPr>
        <w:pStyle w:val="Para 03"/>
      </w:pPr>
      <w:r>
        <w:t>0.0.0300</w:t>
        <w:t xml:space="preserve"> </w:t>
        <w:t>&gt;</w:t>
      </w:r>
    </w:p>
    <w:p>
      <w:pPr>
        <w:pStyle w:val="Para 03"/>
      </w:pPr>
      <w:r>
        <w:t>0.0.0400</w:t>
        <w:t xml:space="preserve"> </w:t>
        <w:t>&gt;</w:t>
      </w:r>
    </w:p>
    <w:p>
      <w:pPr>
        <w:pStyle w:val="Para 03"/>
      </w:pPr>
      <w:r>
        <w:t>0.0.0592</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21"/>
      </w:pPr>
      <w:r>
        <w:t>^</w:t>
      </w:r>
    </w:p>
    <w:p>
      <w:pPr>
        <w:pStyle w:val="Para 03"/>
      </w:pPr>
      <w:r>
        <w:t>dasd-eckd</w:t>
      </w:r>
    </w:p>
    <w:p>
      <w:pPr>
        <w:pStyle w:val="Para 03"/>
      </w:pPr>
      <w:r>
        <w:t>0.0.0190</w:t>
        <w:t xml:space="preserve"> </w:t>
        <w:t>&gt;</w:t>
      </w:r>
    </w:p>
    <w:p>
      <w:pPr>
        <w:pStyle w:val="Para 03"/>
      </w:pPr>
      <w:r>
        <w:t>0.0.0191</w:t>
        <w:t xml:space="preserve"> </w:t>
        <w:t>&gt;</w:t>
      </w:r>
    </w:p>
    <w:p>
      <w:pPr>
        <w:pStyle w:val="Para 09"/>
      </w:pPr>
      <w:r>
        <w:t>(continues on next page)</w:t>
      </w:r>
    </w:p>
    <w:p>
      <w:bookmarkStart w:id="111" w:name="page_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75"/>
                    <a:stretch>
                      <a:fillRect/>
                    </a:stretch>
                  </pic:blipFill>
                  <pic:spPr>
                    <a:xfrm>
                      <a:off x="0" y="0"/>
                      <a:ext cx="914400" cy="266700"/>
                    </a:xfrm>
                    <a:prstGeom prst="rect">
                      <a:avLst/>
                    </a:prstGeom>
                  </pic:spPr>
                </pic:pic>
              </a:graphicData>
            </a:graphic>
          </wp:anchor>
        </w:drawing>
      </w:r>
      <w:bookmarkEnd w:id="111"/>
    </w:p>
    <w:p>
      <w:pPr>
        <w:pStyle w:val="Para 09"/>
      </w:pPr>
      <w:r>
        <w:t>(continued from previous page)</w:t>
      </w:r>
    </w:p>
    <w:p>
      <w:pPr>
        <w:pStyle w:val="Para 03"/>
      </w:pPr>
      <w:r>
        <w:t>0.0.019d</w:t>
        <w:t xml:space="preserve"> </w:t>
        <w:t>&gt;</w:t>
      </w:r>
    </w:p>
    <w:p>
      <w:pPr>
        <w:pStyle w:val="Para 03"/>
      </w:pPr>
      <w:r>
        <w:t>0.0.019e</w:t>
        <w:t xml:space="preserve"> </w:t>
        <w:t>&gt;</w:t>
        <w:t xml:space="preserve"> </w:t>
        <w:t>│</w:t>
      </w:r>
    </w:p>
    <w:p>
      <w:pPr>
        <w:pStyle w:val="Para 03"/>
      </w:pPr>
      <w:r>
        <w:t>0.0.0200</w:t>
        <w:t xml:space="preserve"> </w:t>
        <w:t>online</w:t>
        <w:t xml:space="preserve"> </w:t>
        <w:t>dasda</w:t>
        <w:t xml:space="preserve"> </w:t>
        <w:t>&gt;</w:t>
        <w:t xml:space="preserve"> </w:t>
        <w:t>│</w:t>
      </w:r>
    </w:p>
    <w:p>
      <w:pPr>
        <w:pStyle w:val="Para 03"/>
      </w:pPr>
      <w:r>
        <w:t>0.0.0300</w:t>
        <w:t xml:space="preserve"> </w:t>
        <w:t>&gt;</w:t>
        <w:t xml:space="preserve"> </w:t>
        <w:t>│</w:t>
      </w:r>
    </w:p>
    <w:p>
      <w:pPr>
        <w:pStyle w:val="Para 03"/>
      </w:pPr>
      <w:r>
        <w:t>0.0.0400</w:t>
        <w:t xml:space="preserve"> </w:t>
        <w:t>&gt;</w:t>
        <w:t xml:space="preserve"> </w:t>
        <w:t>│</w:t>
      </w:r>
    </w:p>
    <w:p>
      <w:pPr>
        <w:pStyle w:val="Para 03"/>
      </w:pPr>
      <w:r>
        <w:t>0.0.0592</w:t>
        <w:t xml:space="preserve"> </w:t>
        <w:t>&gt;</w:t>
        <w:t xml:space="preserve"> </w:t>
        <w:t>│</w:t>
      </w:r>
    </w:p>
    <w:p>
      <w:pPr>
        <w:pStyle w:val="Para 21"/>
      </w:pPr>
      <w:r>
        <w:t>│</w:t>
      </w:r>
    </w:p>
    <w:p>
      <w:pPr>
        <w:pStyle w:val="Para 03"/>
      </w:pPr>
      <w:r>
        <w:t>qeth</w:t>
        <w:t xml:space="preserve"> </w:t>
        <w:t>│</w:t>
      </w:r>
    </w:p>
    <w:p>
      <w:pPr>
        <w:pStyle w:val="Para 03"/>
      </w:pPr>
      <w:r>
        <w:t>0.0.0600:0.0.0601:0.0.0602</w:t>
        <w:t xml:space="preserve"> </w:t>
        <w:t>enc600</w:t>
        <w:t xml:space="preserve"> </w:t>
        <w:t>&gt;</w:t>
        <w:t xml:space="preserve"> </w:t>
        <w:t>│</w:t>
      </w:r>
    </w:p>
    <w:p>
      <w:pPr>
        <w:pStyle w:val="Para 03"/>
      </w:pPr>
      <w:r>
        <w:t>0.0.0603:0.0.0604:0.0.0605</w:t>
        <w:t xml:space="preserve"> </w:t>
        <w:t>&gt;</w:t>
        <w:t xml:space="preserve"> </w:t>
        <w:t>│</w:t>
      </w:r>
    </w:p>
    <w:p>
      <w:pPr>
        <w:pStyle w:val="Para 21"/>
      </w:pPr>
      <w:r>
        <w:t>│</w:t>
      </w:r>
    </w:p>
    <w:p>
      <w:pPr>
        <w:pStyle w:val="Para 03"/>
      </w:pPr>
      <w:r>
        <w:t>dasd-eckd</w:t>
        <w:t xml:space="preserve"> </w:t>
        <w:t>│</w:t>
      </w:r>
    </w:p>
    <w:p>
      <w:pPr>
        <w:pStyle w:val="Para 03"/>
      </w:pPr>
      <w:r>
        <w:t>0.0.1607</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Network connections</w:t>
      </w:r>
    </w:p>
    <w:p>
      <w:pPr>
        <w:pStyle w:val="Normal"/>
      </w:pPr>
      <w:r>
        <w:t>====================================================================</w:t>
      </w:r>
    </w:p>
    <w:p>
      <w:pPr>
        <w:pStyle w:val="Para 03"/>
      </w:pPr>
      <w:r>
        <w:t>Configure at least one interface this server can use to talk to other</w:t>
      </w:r>
    </w:p>
    <w:p>
      <w:pPr>
        <w:pStyle w:val="Para 03"/>
      </w:pPr>
      <w:r>
        <w:t>machines, and which preferably provides sufficient access for updates.</w:t>
      </w:r>
    </w:p>
    <w:p>
      <w:pPr>
        <w:pStyle w:val="Para 02"/>
      </w:pPr>
      <w:r>
        <w:t>NAME</w:t>
        <w:t xml:space="preserve"> </w:t>
        <w:t>TYPE</w:t>
        <w:t xml:space="preserve"> </w:t>
        <w:t>NOTES</w:t>
      </w:r>
    </w:p>
    <w:p>
      <w:pPr>
        <w:pStyle w:val="Para 03"/>
      </w:pPr>
      <w:r>
        <w:t>[ enc600</w:t>
        <w:t xml:space="preserve"> </w:t>
        <w:t>eth</w:t>
        <w:t xml:space="preserve"> </w:t>
        <w:t>-</w:t>
        <w:t xml:space="preserve"> </w:t>
        <w:t>&gt; ]</w:t>
      </w:r>
    </w:p>
    <w:p>
      <w:pPr>
        <w:pStyle w:val="Para 02"/>
      </w:pPr>
      <w:r>
        <w:t>static</w:t>
        <w:t xml:space="preserve"> </w:t>
        <w:t>10.222.111.24/24</w:t>
      </w:r>
    </w:p>
    <w:p>
      <w:pPr>
        <w:pStyle w:val="Para 02"/>
      </w:pPr>
      <w:r>
        <w:t>02:28:0a:00:00:39 / Unknown Vendor / Unknown Model</w:t>
      </w:r>
    </w:p>
    <w:p>
      <w:pPr>
        <w:pStyle w:val="Para 03"/>
      </w:pPr>
      <w:r>
        <w:t>[ Create bond &gt; ]</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Configure proxy</w:t>
      </w:r>
    </w:p>
    <w:p>
      <w:pPr>
        <w:pStyle w:val="Normal"/>
      </w:pPr>
      <w:r>
        <w:t>====================================================================</w:t>
      </w:r>
    </w:p>
    <w:p>
      <w:pPr>
        <w:pStyle w:val="Para 03"/>
      </w:pPr>
      <w:r>
        <w:t>If this system requires a proxy to connect to the internet, enter its</w:t>
      </w:r>
    </w:p>
    <w:p>
      <w:pPr>
        <w:pStyle w:val="Para 03"/>
      </w:pPr>
      <w:r>
        <w:t>details here.</w:t>
      </w:r>
    </w:p>
    <w:p>
      <w:pPr>
        <w:pStyle w:val="Para 03"/>
      </w:pPr>
      <w:r>
        <w:t>Proxy address:</w:t>
      </w:r>
    </w:p>
    <w:p>
      <w:pPr>
        <w:pStyle w:val="Para 25"/>
      </w:pPr>
      <w:r>
        <w:t>If you need to use a HTTP proxy to access the outside world,</w:t>
        <w:t xml:space="preserve"> </w:t>
        <w:t>enter the proxy information here. Otherwise, leave this</w:t>
        <w:t xml:space="preserve"> </w:t>
        <w:t>blank.</w:t>
      </w:r>
    </w:p>
    <w:p>
      <w:pPr>
        <w:pStyle w:val="Para 25"/>
      </w:pPr>
      <w:r>
        <w:t>The proxy information should be given in the standard form</w:t>
        <w:t xml:space="preserve"> </w:t>
        <w:t>of "http://[[user][:pass]@]host[:port]/".</w:t>
      </w:r>
    </w:p>
    <w:p>
      <w:pPr>
        <w:pStyle w:val="Para 09"/>
      </w:pPr>
      <w:r>
        <w:t>(continues on next page)</w:t>
      </w:r>
    </w:p>
    <w:p>
      <w:bookmarkStart w:id="112" w:name="page_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76"/>
                    <a:stretch>
                      <a:fillRect/>
                    </a:stretch>
                  </pic:blipFill>
                  <pic:spPr>
                    <a:xfrm>
                      <a:off x="0" y="0"/>
                      <a:ext cx="914400" cy="266700"/>
                    </a:xfrm>
                    <a:prstGeom prst="rect">
                      <a:avLst/>
                    </a:prstGeom>
                  </pic:spPr>
                </pic:pic>
              </a:graphicData>
            </a:graphic>
          </wp:anchor>
        </w:drawing>
      </w:r>
      <w:bookmarkEnd w:id="112"/>
    </w:p>
    <w:p>
      <w:pPr>
        <w:pStyle w:val="Para 09"/>
      </w:pPr>
      <w:r>
        <w:t>(continued from previous page)</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Configure Ubuntu archive mirror</w:t>
      </w:r>
    </w:p>
    <w:p>
      <w:pPr>
        <w:pStyle w:val="Normal"/>
      </w:pPr>
      <w:r>
        <w:t>====================================================================</w:t>
      </w:r>
    </w:p>
    <w:p>
      <w:pPr>
        <w:pStyle w:val="Para 03"/>
      </w:pPr>
      <w:r>
        <w:t>If you use an alternative mirror for Ubuntu, enter its details here.</w:t>
      </w:r>
    </w:p>
    <w:p>
      <w:pPr>
        <w:pStyle w:val="Para 03"/>
      </w:pPr>
      <w:r>
        <w:t>Mirror address:</w:t>
        <w:t xml:space="preserve"> </w:t>
        <w:t>http://ports.ubuntu.com/ubuntu-ports</w:t>
      </w:r>
    </w:p>
    <w:p>
      <w:pPr>
        <w:pStyle w:val="Para 25"/>
      </w:pPr>
      <w:r>
        <w:t>You may provide an archive mirror that will be used instead</w:t>
        <w:t xml:space="preserve"> </w:t>
        <w:t>of the default.</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Guided storage configuration</w:t>
      </w:r>
    </w:p>
    <w:p>
      <w:pPr>
        <w:pStyle w:val="Normal"/>
      </w:pPr>
      <w:r>
        <w:t>====================================================================</w:t>
      </w:r>
    </w:p>
    <w:p>
      <w:pPr>
        <w:pStyle w:val="Para 03"/>
      </w:pPr>
      <w:r>
        <w:t>Configure a guided storage layout, or create a custom one:</w:t>
      </w:r>
    </w:p>
    <w:p>
      <w:pPr>
        <w:pStyle w:val="Para 03"/>
      </w:pPr>
      <w:r>
        <w:t>(X)</w:t>
        <w:t xml:space="preserve"> </w:t>
        <w:t>Use an entire disk</w:t>
      </w:r>
    </w:p>
    <w:p>
      <w:pPr>
        <w:pStyle w:val="Para 06"/>
      </w:pPr>
      <w:r>
        <w:t>[ 0X0200</w:t>
        <w:t xml:space="preserve"> </w:t>
        <w:t>local disk 6.876G</w:t>
        <w:t xml:space="preserve"> </w:t>
        <w:t>v ]</w:t>
      </w:r>
    </w:p>
    <w:p>
      <w:pPr>
        <w:pStyle w:val="Para 06"/>
      </w:pPr>
      <w:r>
        <w:t>[ ]</w:t>
        <w:t xml:space="preserve"> </w:t>
        <w:t>Set up this disk as an LVM group</w:t>
      </w:r>
    </w:p>
    <w:p>
      <w:pPr>
        <w:pStyle w:val="Para 12"/>
      </w:pPr>
      <w:r>
        <w:t>[ ]</w:t>
        <w:t xml:space="preserve"> </w:t>
        <w:t>Encrypt the LVM group with LUKS</w:t>
      </w:r>
    </w:p>
    <w:p>
      <w:pPr>
        <w:pStyle w:val="Para 33"/>
      </w:pPr>
      <w:r>
        <w:t>Passphrase:</w:t>
      </w:r>
    </w:p>
    <w:p>
      <w:pPr>
        <w:pStyle w:val="Para 17"/>
      </w:pPr>
      <w:r>
        <w:t/>
      </w:r>
    </w:p>
    <w:p>
      <w:pPr>
        <w:pStyle w:val="Para 15"/>
      </w:pPr>
      <w:r>
        <w:t>Confirm passphrase:</w:t>
      </w:r>
    </w:p>
    <w:p>
      <w:pPr>
        <w:pStyle w:val="Para 17"/>
      </w:pPr>
      <w:r>
        <w:t/>
      </w:r>
    </w:p>
    <w:p>
      <w:pPr>
        <w:pStyle w:val="Para 03"/>
      </w:pPr>
      <w:r>
        <w:t>( )</w:t>
        <w:t xml:space="preserve"> </w:t>
        <w:t>Custom storage layout</w:t>
      </w:r>
    </w:p>
    <w:p>
      <w:pPr>
        <w:pStyle w:val="Para 09"/>
      </w:pPr>
      <w:r>
        <w:t>(continues on next page)</w:t>
      </w:r>
    </w:p>
    <w:p>
      <w:bookmarkStart w:id="113" w:name="page_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77"/>
                    <a:stretch>
                      <a:fillRect/>
                    </a:stretch>
                  </pic:blipFill>
                  <pic:spPr>
                    <a:xfrm>
                      <a:off x="0" y="0"/>
                      <a:ext cx="914400" cy="266700"/>
                    </a:xfrm>
                    <a:prstGeom prst="rect">
                      <a:avLst/>
                    </a:prstGeom>
                  </pic:spPr>
                </pic:pic>
              </a:graphicData>
            </a:graphic>
          </wp:anchor>
        </w:drawing>
      </w:r>
      <w:bookmarkEnd w:id="113"/>
    </w:p>
    <w:p>
      <w:pPr>
        <w:pStyle w:val="Para 09"/>
      </w:pPr>
      <w:r>
        <w:t>(continued from previous page)</w:t>
      </w:r>
    </w:p>
    <w:p>
      <w:pPr>
        <w:pStyle w:val="Para 19"/>
      </w:pPr>
      <w:r>
        <w:t>[ Done</w:t>
        <w:t xml:space="preserve"> </w:t>
        <w:t>]</w:t>
        <w:t xml:space="preserve"> </w:t>
        <w:t>[ Back</w:t>
        <w:t xml:space="preserve"> </w:t>
        <w:t>]</w:t>
      </w:r>
    </w:p>
    <w:p>
      <w:pPr>
        <w:pStyle w:val="Para 17"/>
      </w:pPr>
      <w:r>
        <w:t/>
      </w:r>
    </w:p>
    <w:p>
      <w:pPr>
        <w:pStyle w:val="Normal"/>
      </w:pPr>
      <w:r>
        <w:t>====================================================================</w:t>
      </w:r>
    </w:p>
    <w:p>
      <w:pPr>
        <w:pStyle w:val="Para 03"/>
      </w:pPr>
      <w:r>
        <w:t>Storage configuration</w:t>
      </w:r>
    </w:p>
    <w:p>
      <w:pPr>
        <w:pStyle w:val="Normal"/>
      </w:pPr>
      <w:r>
        <w:t>====================================================================</w:t>
      </w:r>
    </w:p>
    <w:p>
      <w:pPr>
        <w:pStyle w:val="Para 03"/>
      </w:pPr>
      <w:r>
        <w:t>FILE SYSTEM SUMMARY</w:t>
        <w:t xml:space="preserve"> </w:t>
        <w:t>^</w:t>
      </w:r>
    </w:p>
    <w:p>
      <w:pPr>
        <w:pStyle w:val="Para 21"/>
      </w:pPr>
      <w:r>
        <w:t>│</w:t>
      </w:r>
    </w:p>
    <w:p>
      <w:pPr>
        <w:pStyle w:val="Para 02"/>
      </w:pPr>
      <w:r>
        <w:t>MOUNT POINT</w:t>
        <w:t xml:space="preserve"> </w:t>
        <w:t>SIZE</w:t>
        <w:t xml:space="preserve"> </w:t>
        <w:t>TYPE</w:t>
        <w:t xml:space="preserve"> </w:t>
        <w:t>DEVICE TYPE</w:t>
        <w:t xml:space="preserve"> </w:t>
        <w:t>│</w:t>
      </w:r>
    </w:p>
    <w:p>
      <w:pPr>
        <w:pStyle w:val="Para 03"/>
      </w:pPr>
      <w:r>
        <w:t>[ /</w:t>
        <w:t xml:space="preserve"> </w:t>
        <w:t>6.875G</w:t>
        <w:t xml:space="preserve"> </w:t>
        <w:t>new ext4</w:t>
        <w:t xml:space="preserve"> </w:t>
        <w:t>new partition of local disk &gt; ]</w:t>
        <w:t xml:space="preserve"> </w:t>
        <w:t>│</w:t>
      </w:r>
    </w:p>
    <w:p>
      <w:pPr>
        <w:pStyle w:val="Para 21"/>
      </w:pPr>
      <w:r>
        <w:t>│</w:t>
      </w:r>
    </w:p>
    <w:p>
      <w:pPr>
        <w:pStyle w:val="Para 21"/>
      </w:pPr>
      <w:r>
        <w:t>│</w:t>
      </w:r>
    </w:p>
    <w:p>
      <w:pPr>
        <w:pStyle w:val="Para 03"/>
      </w:pPr>
      <w:r>
        <w:t>AVAILABLE DEVICES</w:t>
        <w:t xml:space="preserve"> </w:t>
        <w:t>│</w:t>
      </w:r>
    </w:p>
    <w:p>
      <w:pPr>
        <w:pStyle w:val="Para 21"/>
      </w:pPr>
      <w:r>
        <w:t>│</w:t>
      </w:r>
    </w:p>
    <w:p>
      <w:pPr>
        <w:pStyle w:val="Para 02"/>
      </w:pPr>
      <w:r>
        <w:t>No available devices</w:t>
        <w:t xml:space="preserve"> </w:t>
        <w:t>│</w:t>
      </w:r>
    </w:p>
    <w:p>
      <w:pPr>
        <w:pStyle w:val="Para 21"/>
      </w:pPr>
      <w:r>
        <w:t>│</w:t>
      </w:r>
    </w:p>
    <w:p>
      <w:pPr>
        <w:pStyle w:val="Para 03"/>
      </w:pPr>
      <w:r>
        <w:t>[ Create software RAID (md) &gt; ]</w:t>
        <w:t xml:space="preserve"> </w:t>
        <w:t>│</w:t>
      </w:r>
    </w:p>
    <w:p>
      <w:pPr>
        <w:pStyle w:val="Para 03"/>
      </w:pPr>
      <w:r>
        <w:t>[ Create volume group (LVM) &gt; ]</w:t>
        <w:t xml:space="preserve"> </w:t>
        <w:t>│</w:t>
      </w:r>
    </w:p>
    <w:p>
      <w:pPr>
        <w:pStyle w:val="Para 17"/>
      </w:pPr>
      <w:r>
        <w:t/>
      </w:r>
    </w:p>
    <w:p>
      <w:pPr>
        <w:pStyle w:val="Para 03"/>
      </w:pPr>
      <w:r>
        <w:t>USED DEVICES</w:t>
      </w:r>
    </w:p>
    <w:p>
      <w:pPr>
        <w:pStyle w:val="Para 52"/>
      </w:pPr>
      <w:r>
        <w:t>v</w:t>
      </w:r>
    </w:p>
    <w:p>
      <w:pPr>
        <w:pStyle w:val="Para 19"/>
      </w:pPr>
      <w:r>
        <w:t>[ Done</w:t>
        <w:t xml:space="preserve"> </w:t>
        <w:t>]</w:t>
        <w:t xml:space="preserve"> </w:t>
        <w:t>[ Reset</w:t>
        <w:t xml:space="preserve"> </w:t>
        <w:t>]</w:t>
        <w:t xml:space="preserve"> </w:t>
        <w:t>[ Back</w:t>
        <w:t xml:space="preserve"> </w:t>
        <w:t>]</w:t>
      </w:r>
    </w:p>
    <w:p>
      <w:pPr>
        <w:pStyle w:val="Para 17"/>
      </w:pPr>
      <w:r>
        <w:t/>
      </w:r>
    </w:p>
    <w:p>
      <w:pPr>
        <w:pStyle w:val="Normal"/>
      </w:pPr>
      <w:r>
        <w:t>====================================================================</w:t>
      </w:r>
    </w:p>
    <w:p>
      <w:pPr>
        <w:pStyle w:val="Para 03"/>
      </w:pPr>
      <w:r>
        <w:t>Storage configuration</w:t>
      </w:r>
    </w:p>
    <w:p>
      <w:pPr>
        <w:pStyle w:val="Normal"/>
      </w:pPr>
      <w:r>
        <w:t>====================================================================</w:t>
      </w:r>
    </w:p>
    <w:p>
      <w:pPr>
        <w:pStyle w:val="Para 03"/>
      </w:pPr>
      <w:r>
        <w:t>FILE SYSTEM SUMMARY</w:t>
        <w:t xml:space="preserve"> </w:t>
        <w:t>^</w:t>
      </w:r>
    </w:p>
    <w:p>
      <w:pPr>
        <w:pStyle w:val="Para 21"/>
      </w:pPr>
      <w:r>
        <w:t>│</w:t>
      </w:r>
    </w:p>
    <w:p>
      <w:pPr>
        <w:pStyle w:val="Para 02"/>
      </w:pPr>
      <w:r>
        <w:t>┌────────────────────── Confirm destructive action ──────────────────────┐</w:t>
      </w:r>
    </w:p>
    <w:p>
      <w:pPr>
        <w:pStyle w:val="Para 02"/>
      </w:pPr>
      <w:r>
        <w:t>│</w:t>
        <w:t xml:space="preserve"> </w:t>
        <w:t>│</w:t>
      </w:r>
    </w:p>
    <w:p>
      <w:pPr>
        <w:pStyle w:val="Para 02"/>
      </w:pPr>
      <w:r>
        <w:t>│</w:t>
        <w:t xml:space="preserve"> </w:t>
        <w:t>Selecting Continue below will begin the installation process and</w:t>
        <w:t xml:space="preserve"> </w:t>
        <w:t>│</w:t>
      </w:r>
    </w:p>
    <w:p>
      <w:pPr>
        <w:pStyle w:val="Para 02"/>
      </w:pPr>
      <w:r>
        <w:t>│</w:t>
        <w:t xml:space="preserve"> </w:t>
        <w:t>result in the loss of data on the disks selected to be formatted.</w:t>
        <w:t xml:space="preserve"> </w:t>
        <w:t>│</w:t>
      </w:r>
    </w:p>
    <w:p>
      <w:pPr>
        <w:pStyle w:val="Para 02"/>
      </w:pPr>
      <w:r>
        <w:t>│</w:t>
        <w:t xml:space="preserve"> </w:t>
        <w:t>│</w:t>
      </w:r>
    </w:p>
    <w:p>
      <w:pPr>
        <w:pStyle w:val="Para 02"/>
      </w:pPr>
      <w:r>
        <w:t>│</w:t>
        <w:t xml:space="preserve"> </w:t>
        <w:t>You will not be able to return to this or a previous screen once the</w:t>
        <w:t xml:space="preserve"> </w:t>
        <w:t>│</w:t>
      </w:r>
    </w:p>
    <w:p>
      <w:pPr>
        <w:pStyle w:val="Para 02"/>
      </w:pPr>
      <w:r>
        <w:t>│</w:t>
        <w:t xml:space="preserve"> </w:t>
        <w:t>installation has started.</w:t>
        <w:t xml:space="preserve"> </w:t>
        <w:t>│</w:t>
      </w:r>
    </w:p>
    <w:p>
      <w:pPr>
        <w:pStyle w:val="Para 02"/>
      </w:pPr>
      <w:r>
        <w:t>│</w:t>
        <w:t xml:space="preserve"> </w:t>
        <w:t>│</w:t>
      </w:r>
    </w:p>
    <w:p>
      <w:pPr>
        <w:pStyle w:val="Para 02"/>
      </w:pPr>
      <w:r>
        <w:t>│</w:t>
        <w:t xml:space="preserve"> </w:t>
        <w:t>Are you sure you want to continue?</w:t>
        <w:t xml:space="preserve"> </w:t>
        <w:t>│</w:t>
      </w:r>
    </w:p>
    <w:p>
      <w:pPr>
        <w:pStyle w:val="Para 02"/>
      </w:pPr>
      <w:r>
        <w:t>│</w:t>
        <w:t xml:space="preserve"> </w:t>
        <w:t>│</w:t>
      </w:r>
    </w:p>
    <w:p>
      <w:pPr>
        <w:pStyle w:val="Para 02"/>
      </w:pPr>
      <w:r>
        <w:t>│</w:t>
        <w:t xml:space="preserve"> </w:t>
        <w:t>[ No</w:t>
        <w:t xml:space="preserve"> </w:t>
        <w:t>]</w:t>
        <w:t xml:space="preserve"> </w:t>
        <w:t>│</w:t>
      </w:r>
    </w:p>
    <w:p>
      <w:pPr>
        <w:pStyle w:val="Para 02"/>
      </w:pPr>
      <w:r>
        <w:t>│</w:t>
        <w:t xml:space="preserve"> </w:t>
        <w:t>[ Continue</w:t>
        <w:t xml:space="preserve"> </w:t>
        <w:t>]</w:t>
        <w:t xml:space="preserve"> </w:t>
        <w:t>│</w:t>
      </w:r>
    </w:p>
    <w:p>
      <w:pPr>
        <w:pStyle w:val="Para 02"/>
      </w:pPr>
      <w:r>
        <w:t>│</w:t>
        <w:t xml:space="preserve"> </w:t>
        <w:t>│</w:t>
      </w:r>
    </w:p>
    <w:p>
      <w:pPr>
        <w:pStyle w:val="Para 02"/>
      </w:pPr>
      <w:r>
        <w:t>└────────────────────────────────────────────────────────────────────────┘</w:t>
      </w:r>
    </w:p>
    <w:p>
      <w:pPr>
        <w:pStyle w:val="Para 19"/>
      </w:pPr>
      <w:r>
        <w:t>[ Reset</w:t>
        <w:t xml:space="preserve"> </w:t>
        <w:t>]</w:t>
        <w:t xml:space="preserve"> </w:t>
        <w:t>[ Back</w:t>
        <w:t xml:space="preserve"> </w:t>
        <w:t>]</w:t>
      </w:r>
    </w:p>
    <w:p>
      <w:pPr>
        <w:pStyle w:val="Para 17"/>
      </w:pPr>
      <w:r>
        <w:t/>
      </w:r>
    </w:p>
    <w:p>
      <w:pPr>
        <w:pStyle w:val="Normal"/>
      </w:pPr>
      <w:r>
        <w:t>====================================================================</w:t>
      </w:r>
    </w:p>
    <w:p>
      <w:pPr>
        <w:pStyle w:val="Para 03"/>
      </w:pPr>
      <w:r>
        <w:t>Profile setup</w:t>
      </w:r>
    </w:p>
    <w:p>
      <w:pPr>
        <w:pStyle w:val="Normal"/>
      </w:pPr>
      <w:r>
        <w:t>====================================================================</w:t>
      </w:r>
    </w:p>
    <w:p>
      <w:pPr>
        <w:pStyle w:val="Para 03"/>
      </w:pPr>
      <w:r>
        <w:t>Enter the username and password you will use to log in to the system. You</w:t>
      </w:r>
    </w:p>
    <w:p>
      <w:pPr>
        <w:pStyle w:val="Para 09"/>
      </w:pPr>
      <w:r>
        <w:t>(continues on next page)</w:t>
      </w:r>
    </w:p>
    <w:p>
      <w:bookmarkStart w:id="114" w:name="page_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78"/>
                    <a:stretch>
                      <a:fillRect/>
                    </a:stretch>
                  </pic:blipFill>
                  <pic:spPr>
                    <a:xfrm>
                      <a:off x="0" y="0"/>
                      <a:ext cx="914400" cy="266700"/>
                    </a:xfrm>
                    <a:prstGeom prst="rect">
                      <a:avLst/>
                    </a:prstGeom>
                  </pic:spPr>
                </pic:pic>
              </a:graphicData>
            </a:graphic>
          </wp:anchor>
        </w:drawing>
      </w:r>
      <w:bookmarkEnd w:id="114"/>
    </w:p>
    <w:p>
      <w:pPr>
        <w:pStyle w:val="Para 09"/>
      </w:pPr>
      <w:r>
        <w:t>(continued from previous page)</w:t>
      </w:r>
    </w:p>
    <w:p>
      <w:pPr>
        <w:pStyle w:val="Para 03"/>
      </w:pPr>
      <w:r>
        <w:t>can configure SSH access on the next screen but a password is still needed</w:t>
      </w:r>
    </w:p>
    <w:p>
      <w:pPr>
        <w:pStyle w:val="Para 03"/>
      </w:pPr>
      <w:r>
        <w:t>for sudo.</w:t>
      </w:r>
    </w:p>
    <w:p>
      <w:pPr>
        <w:pStyle w:val="Para 12"/>
      </w:pPr>
      <w:r>
        <w:t>Your name:</w:t>
        <w:t xml:space="preserve"> </w:t>
        <w:t>Ed Example</w:t>
      </w:r>
    </w:p>
    <w:p>
      <w:pPr>
        <w:pStyle w:val="Para 17"/>
      </w:pPr>
      <w:r>
        <w:t/>
      </w:r>
    </w:p>
    <w:p>
      <w:pPr>
        <w:pStyle w:val="Para 02"/>
      </w:pPr>
      <w:r>
        <w:t>Your server's name:</w:t>
        <w:t xml:space="preserve"> </w:t>
        <w:t>10.222.111.24</w:t>
      </w:r>
    </w:p>
    <w:p>
      <w:pPr>
        <w:pStyle w:val="Para 46"/>
      </w:pPr>
      <w:r>
        <w:t>The name it uses when it talks to other computers.</w:t>
      </w:r>
    </w:p>
    <w:p>
      <w:pPr>
        <w:pStyle w:val="Para 06"/>
      </w:pPr>
      <w:r>
        <w:t>Pick a username:</w:t>
        <w:t xml:space="preserve"> </w:t>
        <w:t>ubuntu</w:t>
      </w:r>
    </w:p>
    <w:p>
      <w:pPr>
        <w:pStyle w:val="Para 17"/>
      </w:pPr>
      <w:r>
        <w:t/>
      </w:r>
    </w:p>
    <w:p>
      <w:pPr>
        <w:pStyle w:val="Para 06"/>
      </w:pPr>
      <w:r>
        <w:t>Choose a password:</w:t>
        <w:t xml:space="preserve"> </w:t>
        <w:t>********</w:t>
      </w:r>
    </w:p>
    <w:p>
      <w:pPr>
        <w:pStyle w:val="Para 17"/>
      </w:pPr>
      <w:r>
        <w:t/>
      </w:r>
    </w:p>
    <w:p>
      <w:pPr>
        <w:pStyle w:val="Para 03"/>
      </w:pPr>
      <w:r>
        <w:t>Confirm your password:</w:t>
        <w:t xml:space="preserve"> </w:t>
        <w:t>********</w:t>
      </w:r>
    </w:p>
    <w:p>
      <w:pPr>
        <w:pStyle w:val="Para 17"/>
      </w:pPr>
      <w:r>
        <w:t/>
      </w:r>
    </w:p>
    <w:p>
      <w:pPr>
        <w:pStyle w:val="Para 19"/>
      </w:pPr>
      <w:r>
        <w:t>[ Done</w:t>
        <w:t xml:space="preserve"> </w:t>
        <w:t>]</w:t>
      </w:r>
    </w:p>
    <w:p>
      <w:pPr>
        <w:pStyle w:val="Para 17"/>
      </w:pPr>
      <w:r>
        <w:t/>
      </w:r>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r>
    </w:p>
    <w:p>
      <w:pPr>
        <w:pStyle w:val="Para 25"/>
      </w:pPr>
      <w:r>
        <w:t>[ ]</w:t>
        <w:t xml:space="preserve"> </w:t>
        <w:t>Install OpenSSH server</w:t>
      </w:r>
    </w:p>
    <w:p>
      <w:pPr>
        <w:pStyle w:val="Para 17"/>
      </w:pPr>
      <w:r>
        <w:t/>
      </w:r>
    </w:p>
    <w:p>
      <w:pPr>
        <w:pStyle w:val="Para 03"/>
      </w:pPr>
      <w:r>
        <w:t>Import SSH identity:</w:t>
        <w:t xml:space="preserve"> </w:t>
        <w:t>[ No</w:t>
        <w:t xml:space="preserve"> </w:t>
        <w:t>v ]</w:t>
      </w:r>
    </w:p>
    <w:p>
      <w:pPr>
        <w:pStyle w:val="Para 33"/>
      </w:pPr>
      <w:r>
        <w:t>You can import your SSH keys from Github or Launchpad.</w:t>
      </w:r>
    </w:p>
    <w:p>
      <w:pPr>
        <w:pStyle w:val="Para 06"/>
      </w:pPr>
      <w:r>
        <w:t>Import Username:</w:t>
      </w:r>
    </w:p>
    <w:p>
      <w:pPr>
        <w:pStyle w:val="Para 17"/>
      </w:pPr>
      <w:r>
        <w:t/>
      </w:r>
    </w:p>
    <w:p>
      <w:pPr>
        <w:pStyle w:val="Para 25"/>
      </w:pPr>
      <w:r>
        <w:t>[X]</w:t>
        <w:t xml:space="preserve"> </w:t>
        <w:t>Allow password authentication over SSH</w:t>
      </w:r>
    </w:p>
    <w:p>
      <w:pPr>
        <w:pStyle w:val="Para 17"/>
      </w:pPr>
      <w:r>
        <w:t/>
      </w:r>
    </w:p>
    <w:p>
      <w:pPr>
        <w:pStyle w:val="Para 19"/>
      </w:pPr>
      <w:r>
        <w:t>[ Done</w:t>
        <w:t xml:space="preserve"> </w:t>
        <w:t>]</w:t>
        <w:t xml:space="preserve"> </w:t>
        <w:t>[ Back</w:t>
        <w:t xml:space="preserve"> </w:t>
        <w:t>]</w:t>
      </w:r>
    </w:p>
    <w:p>
      <w:pPr>
        <w:pStyle w:val="Para 17"/>
      </w:pPr>
      <w:r>
        <w:t/>
      </w:r>
    </w:p>
    <w:p>
      <w:pPr>
        <w:pStyle w:val="Para 04"/>
      </w:pPr>
      <w:r>
        <w:t>• It’s a nice and convenient new feature to add the user’s SSH keys during the installation</w:t>
      </w:r>
    </w:p>
    <w:p>
      <w:pPr>
        <w:pStyle w:val="Para 17"/>
      </w:pPr>
      <w:r>
        <w:t>to the system, since that makes the system login password-less on the initial login!</w:t>
      </w:r>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r>
    </w:p>
    <w:p>
      <w:pPr>
        <w:pStyle w:val="Para 25"/>
      </w:pPr>
      <w:r>
        <w:t>[X]</w:t>
        <w:t xml:space="preserve"> </w:t>
        <w:t>Install OpenSSH server</w:t>
      </w:r>
    </w:p>
    <w:p>
      <w:pPr>
        <w:pStyle w:val="Para 09"/>
      </w:pPr>
      <w:r>
        <w:t>(continues on next page)</w:t>
      </w:r>
    </w:p>
    <w:p>
      <w:bookmarkStart w:id="115" w:name="page_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79"/>
                    <a:stretch>
                      <a:fillRect/>
                    </a:stretch>
                  </pic:blipFill>
                  <pic:spPr>
                    <a:xfrm>
                      <a:off x="0" y="0"/>
                      <a:ext cx="914400" cy="266700"/>
                    </a:xfrm>
                    <a:prstGeom prst="rect">
                      <a:avLst/>
                    </a:prstGeom>
                  </pic:spPr>
                </pic:pic>
              </a:graphicData>
            </a:graphic>
          </wp:anchor>
        </w:drawing>
      </w:r>
      <w:bookmarkEnd w:id="115"/>
    </w:p>
    <w:p>
      <w:pPr>
        <w:pStyle w:val="Para 09"/>
      </w:pPr>
      <w:r>
        <w:t>(continued from previous page)</w:t>
      </w:r>
    </w:p>
    <w:p>
      <w:pPr>
        <w:pStyle w:val="Para 03"/>
      </w:pPr>
      <w:r>
        <w:t>Import SSH identity:</w:t>
        <w:t xml:space="preserve"> </w:t>
        <w:t>[ from Launchpad v ]</w:t>
      </w:r>
    </w:p>
    <w:p>
      <w:pPr>
        <w:pStyle w:val="Para 33"/>
      </w:pPr>
      <w:r>
        <w:t>You can import your SSH keys from Github or Launchpad.</w:t>
      </w:r>
    </w:p>
    <w:p>
      <w:pPr>
        <w:pStyle w:val="Para 02"/>
      </w:pPr>
      <w:r>
        <w:t>Launchpad Username:</w:t>
        <w:t xml:space="preserve"> </w:t>
        <w:t>user</w:t>
      </w:r>
    </w:p>
    <w:p>
      <w:pPr>
        <w:pStyle w:val="Para 33"/>
      </w:pPr>
      <w:r>
        <w:t>Enter your Launchpad username.</w:t>
      </w:r>
    </w:p>
    <w:p>
      <w:pPr>
        <w:pStyle w:val="Para 25"/>
      </w:pPr>
      <w:r>
        <w:t>[X]</w:t>
        <w:t xml:space="preserve"> </w:t>
        <w:t>Allow password authentication over SSH</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r>
    </w:p>
    <w:p>
      <w:pPr>
        <w:pStyle w:val="Para 02"/>
      </w:pPr>
      <w:r>
        <w:t>┌─────────────────────────── Confirm SSH keys ───────────────────────────┐</w:t>
      </w:r>
    </w:p>
    <w:p>
      <w:pPr>
        <w:pStyle w:val="Para 02"/>
      </w:pPr>
      <w:r>
        <w:t>│</w:t>
        <w:t xml:space="preserve"> </w:t>
        <w:t>│</w:t>
      </w:r>
    </w:p>
    <w:p>
      <w:pPr>
        <w:pStyle w:val="Para 02"/>
      </w:pPr>
      <w:r>
        <w:t>│</w:t>
        <w:t xml:space="preserve"> </w:t>
        <w:t>Keys with the following fingerprints were fetched. Do you want to</w:t>
        <w:t xml:space="preserve"> </w:t>
        <w:t>│</w:t>
      </w:r>
    </w:p>
    <w:p>
      <w:pPr>
        <w:pStyle w:val="Para 02"/>
      </w:pPr>
      <w:r>
        <w:t>│</w:t>
        <w:t xml:space="preserve"> </w:t>
        <w:t>use them?</w:t>
        <w:t xml:space="preserve"> </w:t>
        <w:t>│</w:t>
      </w:r>
    </w:p>
    <w:p>
      <w:pPr>
        <w:pStyle w:val="Para 02"/>
      </w:pPr>
      <w:r>
        <w:t>│</w:t>
        <w:t xml:space="preserve"> </w:t>
        <w:t>│</w:t>
      </w:r>
    </w:p>
    <w:p>
      <w:pPr>
        <w:pStyle w:val="Para 02"/>
      </w:pPr>
      <w:r>
        <w:t>│</w:t>
        <w:t xml:space="preserve"> </w:t>
        <w:t>2048 SHA256:joGsdfW7NbJRkg17sRyXaegoR0iZEdDWdR9Hpbc2KIw user@W520</w:t>
        <w:t xml:space="preserve"> </w:t>
        <w:t>│</w:t>
      </w:r>
    </w:p>
    <w:p>
      <w:pPr>
        <w:pStyle w:val="Para 02"/>
      </w:pPr>
      <w:r>
        <w:t>│</w:t>
        <w:t xml:space="preserve"> </w:t>
        <w:t>(RSA)</w:t>
        <w:t xml:space="preserve"> </w:t>
        <w:t>│</w:t>
      </w:r>
    </w:p>
    <w:p>
      <w:pPr>
        <w:pStyle w:val="Para 02"/>
      </w:pPr>
      <w:r>
        <w:t>│</w:t>
        <w:t xml:space="preserve"> </w:t>
        <w:t>521 SHA256:T3JzxvB6K1GzXJpP5NFgX4yXvk0jhhgvbw01F7/fZ2c</w:t>
        <w:t xml:space="preserve"> </w:t>
        <w:t>│</w:t>
      </w:r>
    </w:p>
    <w:p>
      <w:pPr>
        <w:pStyle w:val="Para 02"/>
      </w:pPr>
      <w:r>
        <w:t>│</w:t>
        <w:t xml:space="preserve"> </w:t>
        <w:t>frank.heimes@canonical.com</w:t>
        <w:t xml:space="preserve"> </w:t>
        <w:t>(ECDSA)</w:t>
        <w:t xml:space="preserve"> </w:t>
        <w:t>│</w:t>
      </w:r>
    </w:p>
    <w:p>
      <w:pPr>
        <w:pStyle w:val="Para 02"/>
      </w:pPr>
      <w:r>
        <w:t>│</w:t>
        <w:t xml:space="preserve"> </w:t>
        <w:t>│</w:t>
      </w:r>
    </w:p>
    <w:p>
      <w:pPr>
        <w:pStyle w:val="Para 02"/>
      </w:pPr>
      <w:r>
        <w:t>│</w:t>
        <w:t xml:space="preserve"> </w:t>
        <w:t>[ Yes</w:t>
        <w:t xml:space="preserve"> </w:t>
        <w:t>]</w:t>
        <w:t xml:space="preserve"> </w:t>
        <w:t>│</w:t>
      </w:r>
    </w:p>
    <w:p>
      <w:pPr>
        <w:pStyle w:val="Para 02"/>
      </w:pPr>
      <w:r>
        <w:t>│</w:t>
        <w:t xml:space="preserve"> </w:t>
        <w:t>[ No</w:t>
        <w:t xml:space="preserve"> </w:t>
        <w:t>]</w:t>
        <w:t xml:space="preserve"> </w:t>
        <w:t>│</w:t>
      </w:r>
    </w:p>
    <w:p>
      <w:pPr>
        <w:pStyle w:val="Para 02"/>
      </w:pPr>
      <w:r>
        <w:t>│</w:t>
        <w:t xml:space="preserve"> </w:t>
        <w:t>│</w:t>
      </w:r>
    </w:p>
    <w:p>
      <w:pPr>
        <w:pStyle w:val="Para 02"/>
      </w:pPr>
      <w:r>
        <w:t>└────────────────────────────────────────────────────────────────────────┘</w:t>
      </w:r>
    </w:p>
    <w:p>
      <w:pPr>
        <w:pStyle w:val="Para 19"/>
      </w:pPr>
      <w:r>
        <w:t>[ Done</w:t>
        <w:t xml:space="preserve"> </w:t>
        <w:t>]</w:t>
        <w:t xml:space="preserve"> </w:t>
        <w:t>[ Back</w:t>
        <w:t xml:space="preserve"> </w:t>
        <w:t>]</w:t>
      </w:r>
    </w:p>
    <w:p>
      <w:pPr>
        <w:pStyle w:val="Para 17"/>
      </w:pPr>
      <w:r>
        <w:t/>
      </w:r>
    </w:p>
    <w:p>
      <w:pPr>
        <w:pStyle w:val="Normal"/>
      </w:pPr>
      <w:r>
        <w:t>====================================================================</w:t>
      </w:r>
    </w:p>
    <w:p>
      <w:pPr>
        <w:pStyle w:val="Para 03"/>
      </w:pPr>
      <w:r>
        <w:t>Featured Server Snaps</w:t>
      </w:r>
    </w:p>
    <w:p>
      <w:pPr>
        <w:pStyle w:val="Normal"/>
      </w:pPr>
      <w:r>
        <w:t>====================================================================</w:t>
      </w:r>
    </w:p>
    <w:p>
      <w:pPr>
        <w:pStyle w:val="Para 03"/>
      </w:pPr>
      <w:r>
        <w:t>These are popular snaps in server environments. Select or deselect with</w:t>
      </w:r>
    </w:p>
    <w:p>
      <w:pPr>
        <w:pStyle w:val="Para 03"/>
      </w:pPr>
      <w:r>
        <w:t>SPACE, press ENTER to see more details of the package, publisher and</w:t>
      </w:r>
    </w:p>
    <w:p>
      <w:pPr>
        <w:pStyle w:val="Para 03"/>
      </w:pPr>
      <w:r>
        <w:t>versions available.</w:t>
      </w:r>
    </w:p>
    <w:p>
      <w:pPr>
        <w:pStyle w:val="Para 03"/>
      </w:pPr>
      <w:r>
        <w:t>[ ] kata-containers Lightweight virtual machines that seamlessly plug into &gt;</w:t>
      </w:r>
    </w:p>
    <w:p>
      <w:pPr>
        <w:pStyle w:val="Para 03"/>
      </w:pPr>
      <w:r>
        <w:t>[ ] docker</w:t>
        <w:t xml:space="preserve"> </w:t>
        <w:t>Docker container runtime</w:t>
        <w:t xml:space="preserve"> </w:t>
        <w:t>&gt;</w:t>
      </w:r>
    </w:p>
    <w:p>
      <w:pPr>
        <w:pStyle w:val="Para 03"/>
      </w:pPr>
      <w:r>
        <w:t>[ ] mosquitto</w:t>
        <w:t xml:space="preserve"> </w:t>
        <w:t>Eclipse Mosquitto MQTT broker</w:t>
        <w:t xml:space="preserve"> </w:t>
        <w:t>&gt;</w:t>
      </w:r>
    </w:p>
    <w:p>
      <w:pPr>
        <w:pStyle w:val="Para 03"/>
      </w:pPr>
      <w:r>
        <w:t>[ ] etcd</w:t>
        <w:t xml:space="preserve"> </w:t>
        <w:t>Resilient key-value store by CoreOS</w:t>
        <w:t xml:space="preserve"> </w:t>
        <w:t>&gt;</w:t>
      </w:r>
    </w:p>
    <w:p>
      <w:pPr>
        <w:pStyle w:val="Para 03"/>
      </w:pPr>
      <w:r>
        <w:t>[ ] stress-ng</w:t>
        <w:t xml:space="preserve"> </w:t>
        <w:t>A tool to load, stress test and benchmark a computer s &gt;</w:t>
      </w:r>
    </w:p>
    <w:p>
      <w:pPr>
        <w:pStyle w:val="Para 03"/>
      </w:pPr>
      <w:r>
        <w:t>[ ] sabnzbd</w:t>
        <w:t xml:space="preserve"> </w:t>
        <w:t>SABnzbd</w:t>
        <w:t xml:space="preserve"> </w:t>
        <w:t>&gt;</w:t>
      </w:r>
    </w:p>
    <w:p>
      <w:pPr>
        <w:pStyle w:val="Para 03"/>
      </w:pPr>
      <w:r>
        <w:t>[ ] wormhole</w:t>
        <w:t xml:space="preserve"> </w:t>
        <w:t>get things from one computer to another, safely</w:t>
        <w:t xml:space="preserve"> </w:t>
        <w:t>&gt;</w:t>
      </w:r>
    </w:p>
    <w:p>
      <w:pPr>
        <w:pStyle w:val="Para 03"/>
      </w:pPr>
      <w:r>
        <w:t>[ ] slcli</w:t>
        <w:t xml:space="preserve"> </w:t>
        <w:t>Python based SoftLayer API Tool.</w:t>
        <w:t xml:space="preserve"> </w:t>
        <w:t>&gt;</w:t>
      </w:r>
    </w:p>
    <w:p>
      <w:pPr>
        <w:pStyle w:val="Para 09"/>
      </w:pPr>
      <w:r>
        <w:t>(continues on next page)</w:t>
      </w:r>
    </w:p>
    <w:p>
      <w:bookmarkStart w:id="116" w:name="page_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80"/>
                    <a:stretch>
                      <a:fillRect/>
                    </a:stretch>
                  </pic:blipFill>
                  <pic:spPr>
                    <a:xfrm>
                      <a:off x="0" y="0"/>
                      <a:ext cx="914400" cy="266700"/>
                    </a:xfrm>
                    <a:prstGeom prst="rect">
                      <a:avLst/>
                    </a:prstGeom>
                  </pic:spPr>
                </pic:pic>
              </a:graphicData>
            </a:graphic>
          </wp:anchor>
        </w:drawing>
      </w:r>
      <w:bookmarkEnd w:id="116"/>
    </w:p>
    <w:p>
      <w:pPr>
        <w:pStyle w:val="Para 09"/>
      </w:pPr>
      <w:r>
        <w:t>(continued from previous page)</w:t>
      </w:r>
    </w:p>
    <w:p>
      <w:pPr>
        <w:pStyle w:val="Para 03"/>
      </w:pPr>
      <w:r>
        <w:t>[ ] doctl</w:t>
        <w:t xml:space="preserve"> </w:t>
        <w:t>DigitalOcean command line tool</w:t>
        <w:t xml:space="preserve"> </w:t>
        <w:t>&gt;</w:t>
      </w:r>
    </w:p>
    <w:p>
      <w:pPr>
        <w:pStyle w:val="Para 03"/>
      </w:pPr>
      <w:r>
        <w:t>[ ] keepalived</w:t>
        <w:t xml:space="preserve"> </w:t>
        <w:t>High availability VRRP/BFD and load-balancing for Linu &gt;</w:t>
      </w:r>
    </w:p>
    <w:p>
      <w:pPr>
        <w:pStyle w:val="Para 03"/>
      </w:pPr>
      <w:r>
        <w:t>[ ] juju</w:t>
        <w:t xml:space="preserve"> </w:t>
        <w:t>Simple, secure and stable devops. Juju keeps complexit &gt;</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Install complete!</w:t>
      </w:r>
    </w:p>
    <w:p>
      <w:pPr>
        <w:pStyle w:val="Normal"/>
      </w:pPr>
      <w:r>
        <w:t>====================================================================</w:t>
      </w:r>
    </w:p>
    <w:p>
      <w:pPr>
        <w:pStyle w:val="Para 03"/>
      </w:pPr>
      <w:r>
        <w:t>┌──────────────────────────────────────────────────────────────────────────┐</w:t>
      </w:r>
    </w:p>
    <w:p>
      <w:pPr>
        <w:pStyle w:val="Para 03"/>
      </w:pPr>
      <w:r>
        <w:t>│</w:t>
        <w:t xml:space="preserve"> </w:t>
        <w:t>configuring raid (mdadm) service</w:t>
        <w:t xml:space="preserve"> </w:t>
        <w:t>^│</w:t>
      </w:r>
    </w:p>
    <w:p>
      <w:pPr>
        <w:pStyle w:val="Para 03"/>
      </w:pPr>
      <w:r>
        <w:t>│</w:t>
        <w:t xml:space="preserve"> </w:t>
        <w:t>installing kernel</w:t>
        <w:t xml:space="preserve"> </w:t>
        <w:t>│</w:t>
      </w:r>
    </w:p>
    <w:p>
      <w:pPr>
        <w:pStyle w:val="Para 03"/>
      </w:pPr>
      <w:r>
        <w:t>│</w:t>
        <w:t xml:space="preserve"> </w:t>
        <w:t>setting up swap</w:t>
        <w:t xml:space="preserve"> </w:t>
        <w:t>│</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 |</w:t>
        <w:t xml:space="preserve"> </w:t>
        <w:t>v│</w:t>
      </w:r>
    </w:p>
    <w:p>
      <w:pPr>
        <w:pStyle w:val="Para 03"/>
      </w:pPr>
      <w:r>
        <w:t>└──────────────────────────────────────────────────────────────────────────┘</w:t>
      </w:r>
    </w:p>
    <w:p>
      <w:pPr>
        <w:pStyle w:val="Para 38"/>
      </w:pPr>
      <w:r>
        <w:t>[ View full log ]</w:t>
      </w:r>
    </w:p>
    <w:p>
      <w:pPr>
        <w:pStyle w:val="Para 17"/>
      </w:pPr>
      <w:r>
        <w:t/>
      </w:r>
    </w:p>
    <w:p>
      <w:pPr>
        <w:pStyle w:val="Normal"/>
      </w:pPr>
      <w:r>
        <w:t>====================================================================</w:t>
      </w:r>
    </w:p>
    <w:p>
      <w:pPr>
        <w:pStyle w:val="Para 03"/>
      </w:pPr>
      <w:r>
        <w:t>Installation complete!</w:t>
      </w:r>
    </w:p>
    <w:p>
      <w:pPr>
        <w:pStyle w:val="Normal"/>
      </w:pPr>
      <w:r>
        <w:t>====================================================================</w:t>
      </w:r>
    </w:p>
    <w:p>
      <w:pPr>
        <w:pStyle w:val="Para 03"/>
      </w:pPr>
      <w:r>
        <w:t>┌──────────────────────────── Finished install! ───────────────────────────┐</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w:t>
        <w:t xml:space="preserve"> </w:t>
        <w:t>│</w:t>
      </w:r>
    </w:p>
    <w:p>
      <w:pPr>
        <w:pStyle w:val="Para 03"/>
      </w:pPr>
      <w:r>
        <w:t>│</w:t>
        <w:t xml:space="preserve"> </w:t>
        <w:t>restoring apt configuration</w:t>
        <w:t xml:space="preserve"> </w:t>
        <w:t>││</w:t>
      </w:r>
    </w:p>
    <w:p>
      <w:pPr>
        <w:pStyle w:val="Para 03"/>
      </w:pPr>
      <w:r>
        <w:t>│downloading and installing security updates</w:t>
        <w:t xml:space="preserve"> </w:t>
        <w:t>v│</w:t>
      </w:r>
    </w:p>
    <w:p>
      <w:pPr>
        <w:pStyle w:val="Para 03"/>
      </w:pPr>
      <w:r>
        <w:t>└──────────────────────────────────────────────────────────────────────────┘</w:t>
      </w:r>
    </w:p>
    <w:p>
      <w:pPr>
        <w:pStyle w:val="Para 38"/>
      </w:pPr>
      <w:r>
        <w:t>[ View full log ]</w:t>
      </w:r>
    </w:p>
    <w:p>
      <w:pPr>
        <w:pStyle w:val="Para 38"/>
      </w:pPr>
      <w:r>
        <w:t>[ Reboot</w:t>
        <w:t xml:space="preserve"> </w:t>
        <w:t>]</w:t>
      </w:r>
    </w:p>
    <w:p>
      <w:bookmarkStart w:id="117" w:name="page_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81"/>
                    <a:stretch>
                      <a:fillRect/>
                    </a:stretch>
                  </pic:blipFill>
                  <pic:spPr>
                    <a:xfrm>
                      <a:off x="0" y="0"/>
                      <a:ext cx="914400" cy="266700"/>
                    </a:xfrm>
                    <a:prstGeom prst="rect">
                      <a:avLst/>
                    </a:prstGeom>
                  </pic:spPr>
                </pic:pic>
              </a:graphicData>
            </a:graphic>
          </wp:anchor>
        </w:drawing>
      </w:r>
      <w:bookmarkEnd w:id="117"/>
    </w:p>
    <w:p>
      <w:pPr>
        <w:pStyle w:val="Para 03"/>
      </w:pPr>
      <w:r>
        <w:t>Installation complete!</w:t>
      </w:r>
    </w:p>
    <w:p>
      <w:pPr>
        <w:pStyle w:val="Normal"/>
      </w:pPr>
      <w:r>
        <w:t>====================================================================</w:t>
      </w:r>
    </w:p>
    <w:p>
      <w:pPr>
        <w:pStyle w:val="Para 03"/>
      </w:pPr>
      <w:r>
        <w:t>┌──────────────────────────── Finished install! ───────────────────────────┐</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w:t>
        <w:t xml:space="preserve"> </w:t>
        <w:t>│</w:t>
      </w:r>
    </w:p>
    <w:p>
      <w:pPr>
        <w:pStyle w:val="Para 03"/>
      </w:pPr>
      <w:r>
        <w:t>│</w:t>
        <w:t xml:space="preserve"> </w:t>
        <w:t>restoring apt configuration</w:t>
        <w:t xml:space="preserve"> </w:t>
        <w:t>││</w:t>
      </w:r>
    </w:p>
    <w:p>
      <w:pPr>
        <w:pStyle w:val="Para 03"/>
      </w:pPr>
      <w:r>
        <w:t>│downloading and installing security updates</w:t>
        <w:t xml:space="preserve"> </w:t>
        <w:t>v│</w:t>
      </w:r>
    </w:p>
    <w:p>
      <w:pPr>
        <w:pStyle w:val="Para 03"/>
      </w:pPr>
      <w:r>
        <w:t>└──────────────────────────────────────────────────────────────────────────┘</w:t>
      </w:r>
    </w:p>
    <w:p>
      <w:pPr>
        <w:pStyle w:val="Para 21"/>
      </w:pPr>
      <w:r>
        <w:t>[ Connection to 10.222.111.24 closed by remote host.</w:t>
      </w:r>
    </w:p>
    <w:p>
      <w:pPr>
        <w:pStyle w:val="Para 25"/>
      </w:pPr>
      <w:r>
        <w:t>[ Rebooting...</w:t>
        <w:t xml:space="preserve"> </w:t>
        <w:t>]</w:t>
      </w:r>
    </w:p>
    <w:p>
      <w:pPr>
        <w:pStyle w:val="Normal"/>
      </w:pPr>
      <w:r>
        <w:t>Connection to 10.222.111.24 closed.</w:t>
      </w:r>
    </w:p>
    <w:p>
      <w:pPr>
        <w:pStyle w:val="Normal"/>
      </w:pPr>
      <w:r>
        <w:t>user@workstation:~$</w:t>
      </w:r>
    </w:p>
    <w:p>
      <w:pPr>
        <w:pStyle w:val="Para 17"/>
      </w:pPr>
      <w:r>
        <w:t/>
      </w:r>
    </w:p>
    <w:p>
      <w:pPr>
        <w:pStyle w:val="Normal"/>
      </w:pPr>
      <w:r>
        <w:t>Type reset to clear the screen and to revert it back to the defaults.</w:t>
      </w:r>
    </w:p>
    <w:p>
      <w:pPr>
        <w:pStyle w:val="Normal"/>
      </w:pPr>
      <w:r>
        <w:t>Now remove the old host key, since the system got a new one during the installation:</w:t>
      </w:r>
    </w:p>
    <w:p>
      <w:pPr>
        <w:pStyle w:val="Normal"/>
      </w:pPr>
      <w:r>
        <w:t>user@workstation:~$ ssh-keygen -f</w:t>
        <w:t xml:space="preserve"> </w:t>
        <w:t>"/home/user/.ssh/known_hosts"</w:t>
        <w:t>-R</w:t>
        <w:t xml:space="preserve"> </w:t>
        <w:t>"10.222.111.24"</w:t>
        <w:t xml:space="preserve"> </w:t>
      </w:r>
      <w:r>
        <w:rPr>
          <w:rStyle w:val="Text3"/>
        </w:rPr>
        <w:t># Host 10.222.111.24 found: line 159</w:t>
      </w:r>
    </w:p>
    <w:p>
      <w:pPr>
        <w:pStyle w:val="Normal"/>
      </w:pPr>
      <w:r>
        <w:t>/home/user/.ssh/known_hosts updated.</w:t>
      </w:r>
    </w:p>
    <w:p>
      <w:pPr>
        <w:pStyle w:val="Normal"/>
      </w:pPr>
      <w:r>
        <w:t>Original contents retained as /home/user/.ssh/known_hosts.old</w:t>
        <w:t xml:space="preserve"> </w:t>
        <w:t>user@workstation:~$</w:t>
      </w:r>
    </w:p>
    <w:p>
      <w:pPr>
        <w:pStyle w:val="Para 17"/>
      </w:pPr>
      <w:r>
        <w:t/>
      </w:r>
    </w:p>
    <w:p>
      <w:pPr>
        <w:pStyle w:val="Normal"/>
      </w:pPr>
      <w:r>
        <w:t>And finally login to the newly installed z/VM guest:</w:t>
      </w:r>
    </w:p>
    <w:p>
      <w:pPr>
        <w:pStyle w:val="Normal"/>
      </w:pPr>
      <w:r>
        <w:t>user@workstation:~$ ssh ubuntu@10.222.111.24</w:t>
      </w:r>
    </w:p>
    <w:p>
      <w:pPr>
        <w:pStyle w:val="Normal"/>
      </w:pPr>
      <w:r>
        <w:t>Warning: Permanently added the ECDSA host key</w:t>
        <w:t xml:space="preserve"> </w:t>
      </w:r>
      <w:r>
        <w:rPr>
          <w:rStyle w:val="Text0"/>
        </w:rPr>
        <w:t>for</w:t>
      </w:r>
      <w:r>
        <w:t xml:space="preserve"> </w:t>
        <w:t>IP address</w:t>
        <w:t xml:space="preserve"> </w:t>
        <w:t>'10.222.111.24'</w:t>
        <w:t xml:space="preserve"> </w:t>
        <w:t>to the list of known hosts.</w:t>
        <w:t xml:space="preserve"> </w:t>
        <w:t>Welcome to Ubuntu</w:t>
        <w:t xml:space="preserve"> </w:t>
        <w:t>20</w:t>
        <w:t>.04.5 LTS</w:t>
        <w:t xml:space="preserve"> </w:t>
        <w:t>(</w:t>
        <w:t>GNU/Linux</w:t>
        <w:t xml:space="preserve"> </w:t>
        <w:t>5</w:t>
        <w:t>.4.0-42-generic s390x</w:t>
        <w:t>)</w:t>
      </w:r>
    </w:p>
    <w:p>
      <w:pPr>
        <w:pStyle w:val="Para 03"/>
      </w:pPr>
      <w:r>
        <w:t>* Documentation:</w:t>
        <w:t xml:space="preserve"> </w:t>
        <w:t>https://help.ubuntu.com</w:t>
      </w:r>
    </w:p>
    <w:p>
      <w:pPr>
        <w:pStyle w:val="Para 03"/>
      </w:pPr>
      <w:r>
        <w:t>* Management:</w:t>
        <w:t xml:space="preserve"> </w:t>
        <w:t>https://landscape.canonical.com</w:t>
      </w:r>
    </w:p>
    <w:p>
      <w:pPr>
        <w:pStyle w:val="Para 03"/>
      </w:pPr>
      <w:r>
        <w:t>* Support:</w:t>
        <w:t xml:space="preserve"> </w:t>
        <w:t>https://ubuntu.com/pro</w:t>
      </w:r>
    </w:p>
    <w:p>
      <w:pPr>
        <w:pStyle w:val="Para 03"/>
      </w:pPr>
      <w:r>
        <w:t>System information as of Wed</w:t>
        <w:t xml:space="preserve"> </w:t>
        <w:t>03</w:t>
        <w:t xml:space="preserve"> </w:t>
        <w:t>Jun</w:t>
        <w:t xml:space="preserve"> </w:t>
        <w:t>2020 05</w:t>
        <w:t>:50:05 PM UTC</w:t>
      </w:r>
    </w:p>
    <w:p>
      <w:pPr>
        <w:pStyle w:val="Para 03"/>
      </w:pPr>
      <w:r>
        <w:t>System load:</w:t>
        <w:t xml:space="preserve"> </w:t>
        <w:t>0</w:t>
        <w:t>.08</w:t>
        <w:t xml:space="preserve"> </w:t>
        <w:t>Memory usage:</w:t>
        <w:t xml:space="preserve"> </w:t>
        <w:t>2</w:t>
        <w:t>%</w:t>
        <w:t xml:space="preserve"> </w:t>
        <w:t>Processes:</w:t>
        <w:t xml:space="preserve"> </w:t>
        <w:t>157</w:t>
      </w:r>
    </w:p>
    <w:p>
      <w:pPr>
        <w:pStyle w:val="Para 03"/>
      </w:pPr>
      <w:r>
        <w:t>Usage of /:</w:t>
        <w:t xml:space="preserve"> </w:t>
        <w:t>18</w:t>
        <w:t>.7% of</w:t>
        <w:t xml:space="preserve"> </w:t>
        <w:t>6</w:t>
        <w:t>.70GB</w:t>
        <w:t xml:space="preserve"> </w:t>
        <w:t>Swap usage:</w:t>
        <w:t xml:space="preserve"> </w:t>
        <w:t>0</w:t>
        <w:t>%</w:t>
        <w:t xml:space="preserve"> </w:t>
        <w:t>Users logged</w:t>
        <w:t xml:space="preserve"> </w:t>
      </w:r>
      <w:r>
        <w:rPr>
          <w:rStyle w:val="Text0"/>
        </w:rPr>
        <w:t>in</w:t>
      </w:r>
      <w:r>
        <w:t>:</w:t>
        <w:t xml:space="preserve"> </w:t>
        <w:t>0</w:t>
      </w:r>
    </w:p>
    <w:p>
      <w:pPr>
        <w:pStyle w:val="Normal"/>
      </w:pPr>
      <w:r>
        <w:t>0</w:t>
        <w:t xml:space="preserve"> </w:t>
        <w:t>updates can be installed immediately.</w:t>
      </w:r>
    </w:p>
    <w:p>
      <w:pPr>
        <w:pStyle w:val="Normal"/>
      </w:pPr>
      <w:r>
        <w:t>0</w:t>
        <w:t xml:space="preserve"> </w:t>
        <w:t>of these updates are security updates.</w:t>
      </w:r>
    </w:p>
    <w:p>
      <w:pPr>
        <w:pStyle w:val="Normal"/>
      </w:pPr>
      <w:r>
        <w:t>The programs included with the Ubuntu system are free software;</w:t>
        <w:t xml:space="preserve"> </w:t>
        <w:t>the exact distribution terms</w:t>
        <w:t xml:space="preserve"> </w:t>
      </w:r>
      <w:r>
        <w:rPr>
          <w:rStyle w:val="Text0"/>
        </w:rPr>
        <w:t>for</w:t>
      </w:r>
      <w:r>
        <w:t xml:space="preserve"> </w:t>
        <w:t>each program are described</w:t>
        <w:t xml:space="preserve"> </w:t>
      </w:r>
      <w:r>
        <w:rPr>
          <w:rStyle w:val="Text0"/>
        </w:rPr>
        <w:t>in</w:t>
      </w:r>
      <w:r>
        <w:t xml:space="preserve"> </w:t>
        <w:t>the individual files</w:t>
        <w:t xml:space="preserve"> </w:t>
      </w:r>
      <w:r>
        <w:rPr>
          <w:rStyle w:val="Text0"/>
        </w:rPr>
        <w:t>in</w:t>
      </w:r>
      <w:r>
        <w:t xml:space="preserve"> </w:t>
        <w:t>/</w:t>
        <w:t xml:space="preserve"> </w:t>
        <w:t>usr/share/doc/*/copyright.</w:t>
      </w:r>
    </w:p>
    <w:p>
      <w:pPr>
        <w:pStyle w:val="Para 09"/>
      </w:pPr>
      <w:r>
        <w:t>(continues on next page)</w:t>
      </w:r>
    </w:p>
    <w:p>
      <w:bookmarkStart w:id="118" w:name="page_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82"/>
                    <a:stretch>
                      <a:fillRect/>
                    </a:stretch>
                  </pic:blipFill>
                  <pic:spPr>
                    <a:xfrm>
                      <a:off x="0" y="0"/>
                      <a:ext cx="914400" cy="266700"/>
                    </a:xfrm>
                    <a:prstGeom prst="rect">
                      <a:avLst/>
                    </a:prstGeom>
                  </pic:spPr>
                </pic:pic>
              </a:graphicData>
            </a:graphic>
          </wp:anchor>
        </w:drawing>
      </w:r>
      <w:bookmarkEnd w:id="118"/>
    </w:p>
    <w:p>
      <w:pPr>
        <w:pStyle w:val="Para 09"/>
      </w:pPr>
      <w:r>
        <w:t>(continued from previous page)</w:t>
      </w:r>
    </w:p>
    <w:p>
      <w:pPr>
        <w:pStyle w:val="Normal"/>
      </w:pPr>
      <w:r>
        <w:t>Ubuntu comes with ABSOLUTELY NO WARRANTY, to the extent permitted by applicable law.</w:t>
      </w:r>
    </w:p>
    <w:p>
      <w:pPr>
        <w:pStyle w:val="Normal"/>
      </w:pPr>
      <w:r>
        <w:t>To run a</w:t>
        <w:t xml:space="preserve"> </w:t>
        <w:t>command</w:t>
        <w:t xml:space="preserve"> </w:t>
        <w:t>as administrator</w:t>
        <w:t xml:space="preserve"> </w:t>
        <w:t>(</w:t>
        <w:t>user</w:t>
        <w:t xml:space="preserve"> </w:t>
        <w:t>"root"</w:t>
        <w:t>)</w:t>
        <w:t>, use</w:t>
        <w:t xml:space="preserve"> </w:t>
        <w:t>`</w:t>
        <w:t>sudo &lt;command&gt;</w:t>
        <w:t>`</w:t>
        <w:t>.</w:t>
        <w:t xml:space="preserve"> </w:t>
        <w:t>See</w:t>
        <w:t xml:space="preserve"> </w:t>
        <w:t>`</w:t>
        <w:t>man sudo_root</w:t>
        <w:t>`</w:t>
        <w:t xml:space="preserve"> </w:t>
      </w:r>
      <w:r>
        <w:rPr>
          <w:rStyle w:val="Text0"/>
        </w:rPr>
        <w:t>for</w:t>
      </w:r>
      <w:r>
        <w:t xml:space="preserve"> </w:t>
        <w:t>details.</w:t>
      </w:r>
    </w:p>
    <w:p>
      <w:pPr>
        <w:pStyle w:val="Normal"/>
      </w:pPr>
      <w:r>
        <w:t>ubuntu@10.222.111.24:~$ uptime</w:t>
      </w:r>
    </w:p>
    <w:p>
      <w:pPr>
        <w:pStyle w:val="Normal"/>
      </w:pPr>
      <w:r>
        <w:t>17</w:t>
        <w:t>:50:09 up</w:t>
        <w:t xml:space="preserve"> </w:t>
        <w:t>1</w:t>
        <w:t xml:space="preserve"> </w:t>
        <w:t>min,</w:t>
        <w:t xml:space="preserve"> </w:t>
        <w:t>1</w:t>
        <w:t xml:space="preserve"> </w:t>
        <w:t>user,</w:t>
        <w:t xml:space="preserve"> </w:t>
        <w:t>load average:</w:t>
        <w:t xml:space="preserve"> </w:t>
        <w:t>0</w:t>
        <w:t>.08,</w:t>
        <w:t xml:space="preserve"> </w:t>
        <w:t>0</w:t>
        <w:t>.11,</w:t>
        <w:t xml:space="preserve"> </w:t>
        <w:t>0</w:t>
        <w:t>.05</w:t>
      </w:r>
    </w:p>
    <w:p>
      <w:pPr>
        <w:pStyle w:val="Normal"/>
      </w:pPr>
      <w:r>
        <w:t>ubuntu@10.222.111.24:~$ lsb_release -a</w:t>
      </w:r>
    </w:p>
    <w:p>
      <w:pPr>
        <w:pStyle w:val="Normal"/>
      </w:pPr>
      <w:r>
        <w:t>No LSB modules are available.</w:t>
      </w:r>
    </w:p>
    <w:p>
      <w:pPr>
        <w:pStyle w:val="Normal"/>
      </w:pPr>
      <w:r>
        <w:t>Distributor ID:</w:t>
        <w:t xml:space="preserve"> </w:t>
        <w:t>Ubuntu</w:t>
      </w:r>
    </w:p>
    <w:p>
      <w:pPr>
        <w:pStyle w:val="Normal"/>
      </w:pPr>
      <w:r>
        <w:t>Description: Ubuntu</w:t>
        <w:t xml:space="preserve"> </w:t>
        <w:t>20</w:t>
        <w:t>.04.5 LTS</w:t>
      </w:r>
    </w:p>
    <w:p>
      <w:pPr>
        <w:pStyle w:val="Normal"/>
      </w:pPr>
      <w:r>
        <w:t>Release:</w:t>
        <w:t xml:space="preserve"> </w:t>
        <w:t>20</w:t>
        <w:t>.04</w:t>
      </w:r>
    </w:p>
    <w:p>
      <w:pPr>
        <w:pStyle w:val="Normal"/>
      </w:pPr>
      <w:r>
        <w:t>Codename:</w:t>
        <w:t xml:space="preserve"> </w:t>
        <w:t>focal</w:t>
      </w:r>
    </w:p>
    <w:p>
      <w:pPr>
        <w:pStyle w:val="Normal"/>
      </w:pPr>
      <w:r>
        <w:t>ubuntu@10.222.111.24:~$ uname -a</w:t>
      </w:r>
    </w:p>
    <w:p>
      <w:pPr>
        <w:pStyle w:val="Para 10"/>
      </w:pPr>
      <w:r>
        <w:rPr>
          <w:rStyle w:val="Text3"/>
        </w:rPr>
        <w:t>Linux</w:t>
        <w:t xml:space="preserve"> </w:t>
        <w:t>10</w:t>
        <w:t>.222.111.24</w:t>
        <w:t xml:space="preserve"> </w:t>
        <w:t>5</w:t>
        <w:t>.4.0-42-generic</w:t>
        <w:t xml:space="preserve"> </w:t>
      </w:r>
      <w:r>
        <w:t>#30-Ubuntu SMP Wed Aug 05 16:57:22 UTC 2020 s390x</w:t>
      </w:r>
      <w:r>
        <w:rPr>
          <w:rStyle w:val="Text3"/>
        </w:rPr>
        <w:t xml:space="preserve"> </w:t>
      </w:r>
      <w:r>
        <w:t>s390x s390x GNU/Linux</w:t>
      </w:r>
    </w:p>
    <w:p>
      <w:pPr>
        <w:pStyle w:val="Normal"/>
      </w:pPr>
      <w:r>
        <w:t>ubuntu@10.222.111.24:~$</w:t>
        <w:t xml:space="preserve"> </w:t>
        <w:t>exit</w:t>
      </w:r>
    </w:p>
    <w:p>
      <w:pPr>
        <w:pStyle w:val="Normal"/>
      </w:pPr>
      <w:r>
        <w:t>logout</w:t>
      </w:r>
    </w:p>
    <w:p>
      <w:pPr>
        <w:pStyle w:val="Normal"/>
      </w:pPr>
      <w:r>
        <w:t>Connection to</w:t>
        <w:t xml:space="preserve"> </w:t>
        <w:t>10</w:t>
        <w:t>.222.111.24 closed.</w:t>
      </w:r>
    </w:p>
    <w:p>
      <w:pPr>
        <w:pStyle w:val="Normal"/>
      </w:pPr>
      <w:r>
        <w:t>user@workstation:~$</w:t>
      </w:r>
    </w:p>
    <w:p>
      <w:pPr>
        <w:pStyle w:val="Para 17"/>
      </w:pPr>
      <w:r>
        <w:t/>
      </w:r>
    </w:p>
    <w:p>
      <w:pPr>
        <w:pStyle w:val="Normal"/>
      </w:pPr>
      <w:r>
        <w:t>Done!</w:t>
      </w:r>
    </w:p>
    <w:p>
      <w:pPr>
        <w:pStyle w:val="Para 17"/>
      </w:pPr>
      <w:r>
        <w:t/>
      </w:r>
    </w:p>
    <w:p>
      <w:pPr>
        <w:pStyle w:val="Para 01"/>
      </w:pPr>
      <w:r>
        <w:t>Non-interactive IBM z/VM autoinstall (s390x)</w:t>
      </w:r>
    </w:p>
    <w:p>
      <w:pPr>
        <w:pStyle w:val="Para 17"/>
      </w:pPr>
      <w:r>
        <w:t/>
      </w:r>
    </w:p>
    <w:p>
      <w:pPr>
        <w:pStyle w:val="Normal"/>
      </w:pPr>
      <w:r>
        <w:t>This non-interactive installation uses ‘autoinstall’, which can be considered the successor to the Debian installer (d-i) and preseed on Ubuntu. This is a detailed step-by-step guide, includ-ing output and logs (which are partially a bit shortened, as indicated by ‘…’, to limit the size of this document).</w:t>
      </w:r>
    </w:p>
    <w:p>
      <w:pPr>
        <w:pStyle w:val="Normal"/>
      </w:pPr>
      <w:r>
        <w:t>The example z/VM guest here uses a direct-access storage device (</w:t>
      </w:r>
      <w:hyperlink w:anchor="page_677">
        <w:r>
          <w:rPr>
            <w:rStyle w:val="Text2"/>
          </w:rPr>
          <w:t>DASD</w:t>
        </w:r>
      </w:hyperlink>
      <w:r>
        <w:t>) and is connected to a regular (non-VLAN) network.</w:t>
      </w:r>
    </w:p>
    <w:p>
      <w:pPr>
        <w:pStyle w:val="Normal"/>
      </w:pPr>
      <w:r>
        <w:t xml:space="preserve">For a zFCP and a VLAN network example, please see the </w:t>
      </w:r>
      <w:hyperlink w:anchor="page_103">
        <w:r>
          <w:rPr>
            <w:rStyle w:val="Text2"/>
          </w:rPr>
          <w:t>non-interactive IBM LPAR (s390x)</w:t>
        </w:r>
      </w:hyperlink>
    </w:p>
    <w:p>
      <w:pPr>
        <w:pStyle w:val="Para 20"/>
      </w:pPr>
      <w:hyperlink w:anchor="page_103">
        <w:r>
          <w:t>installation using autoinstall</w:t>
        </w:r>
      </w:hyperlink>
      <w:r>
        <w:rPr>
          <w:rStyle w:val="Text4"/>
        </w:rPr>
        <w:t xml:space="preserve"> (page 102) guide.</w:t>
      </w:r>
    </w:p>
    <w:p>
      <w:pPr>
        <w:pStyle w:val="Para 04"/>
      </w:pPr>
      <w:r>
        <w:t>• Start with the preparation of the (FTP) install server (if it doesn’t already exist).</w:t>
      </w:r>
    </w:p>
    <w:p>
      <w:pPr>
        <w:pStyle w:val="Para 02"/>
      </w:pPr>
      <w:r>
        <w:t>user@local:~$ ssh admin@installserver.local</w:t>
      </w:r>
    </w:p>
    <w:p>
      <w:pPr>
        <w:pStyle w:val="Para 02"/>
      </w:pPr>
      <w:r>
        <w:t>admin@installserver:~$ mkdir -p /srv/ftp/ubuntu-daily-live-server-20.04</w:t>
        <w:t xml:space="preserve"> </w:t>
        <w:t>admin@installserver:~$ wget http://cdimage.ubuntu.com/ubuntu-server/focal/daily-live/</w:t>
        <w:t xml:space="preserve"> </w:t>
        <w:t>current/focal-live-server-s390x.iso --directory-prefix</w:t>
        <w:t>=</w:t>
        <w:t>/srv/ftp/ubuntu-daily-live-</w:t>
        <w:t>server-20.04</w:t>
      </w:r>
    </w:p>
    <w:p>
      <w:pPr>
        <w:pStyle w:val="Para 02"/>
      </w:pPr>
      <w:r>
        <w:t>--2020-06-26</w:t>
        <w:t xml:space="preserve"> </w:t>
        <w:t>12</w:t>
        <w:t>:18:48--</w:t>
        <w:t>http://cdimage.ubuntu.com/ubuntu-server/focal/daily-live/</w:t>
        <w:t xml:space="preserve"> </w:t>
        <w:t>current/focal-live-server-s390x.iso</w:t>
      </w:r>
    </w:p>
    <w:p>
      <w:pPr>
        <w:pStyle w:val="Para 02"/>
      </w:pPr>
      <w:r>
        <w:t>Resolving cdimage.ubuntu.com</w:t>
        <w:t xml:space="preserve"> </w:t>
        <w:t>(</w:t>
        <w:t>cdimage.ubuntu.com</w:t>
        <w:t>)</w:t>
        <w:t>...</w:t>
        <w:t xml:space="preserve"> </w:t>
        <w:t>2001</w:t>
        <w:t>:67c:1560:8001::1d,</w:t>
        <w:t xml:space="preserve"> </w:t>
        <w:t>2001</w:t>
        <w:t>:67c:1360:8001::28,</w:t>
        <w:t xml:space="preserve"> </w:t>
        <w:t>2001</w:t>
        <w:t>:67c:1360:8001::27,</w:t>
      </w:r>
    </w:p>
    <w:p>
      <w:pPr>
        <w:pStyle w:val="Para 06"/>
      </w:pPr>
      <w:r>
        <w:t>...</w:t>
      </w:r>
    </w:p>
    <w:p>
      <w:pPr>
        <w:pStyle w:val="Para 02"/>
      </w:pPr>
      <w:r>
        <w:t>Connecting to cdimage.ubuntu.com</w:t>
        <w:t xml:space="preserve"> </w:t>
        <w:t>(</w:t>
        <w:t>cdimage.ubuntu.com</w:t>
        <w:t>)</w:t>
        <w:t>|</w:t>
        <w:t>2001</w:t>
        <w:t>:67c:1560:8001::1d|:80...</w:t>
        <w:t xml:space="preserve"> </w:t>
        <w:t>connected.</w:t>
      </w:r>
    </w:p>
    <w:p>
      <w:pPr>
        <w:pStyle w:val="Para 02"/>
      </w:pPr>
      <w:r>
        <w:t>HTTP request sent, awaiting response...</w:t>
        <w:t xml:space="preserve"> </w:t>
        <w:t>200</w:t>
        <w:t xml:space="preserve"> </w:t>
        <w:t>OK</w:t>
        <w:t xml:space="preserve"> </w:t>
        <w:t>Length:</w:t>
        <w:t xml:space="preserve"> </w:t>
        <w:t>700952576</w:t>
        <w:t xml:space="preserve"> </w:t>
        <w:t>(</w:t>
        <w:t>668M</w:t>
        <w:t>) [</w:t>
        <w:t>application/x-iso9660-image</w:t>
        <w:t>]</w:t>
        <w:t xml:space="preserve"> </w:t>
        <w:t>Saving to: ‘focal-live-server-s390x.iso’</w:t>
      </w:r>
    </w:p>
    <w:p>
      <w:pPr>
        <w:pStyle w:val="Para 09"/>
      </w:pPr>
      <w:r>
        <w:t>(continues on next page)</w:t>
      </w:r>
    </w:p>
    <w:p>
      <w:bookmarkStart w:id="119" w:name="page_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83"/>
                    <a:stretch>
                      <a:fillRect/>
                    </a:stretch>
                  </pic:blipFill>
                  <pic:spPr>
                    <a:xfrm>
                      <a:off x="0" y="0"/>
                      <a:ext cx="914400" cy="266700"/>
                    </a:xfrm>
                    <a:prstGeom prst="rect">
                      <a:avLst/>
                    </a:prstGeom>
                  </pic:spPr>
                </pic:pic>
              </a:graphicData>
            </a:graphic>
          </wp:anchor>
        </w:drawing>
      </w:r>
      <w:bookmarkEnd w:id="119"/>
    </w:p>
    <w:p>
      <w:pPr>
        <w:pStyle w:val="Para 09"/>
      </w:pPr>
      <w:r>
        <w:t>(continued from previous page)</w:t>
      </w:r>
    </w:p>
    <w:p>
      <w:pPr>
        <w:pStyle w:val="Para 02"/>
      </w:pPr>
      <w:r>
        <w:t>focal-live-server-s</w:t>
        <w:t xml:space="preserve"> </w:t>
        <w:t>100</w:t>
        <w:t>%</w:t>
        <w:t>[===================</w:t>
        <w:t>&gt;</w:t>
        <w:t>]</w:t>
        <w:t xml:space="preserve"> </w:t>
        <w:t>668</w:t>
        <w:t>.48M</w:t>
        <w:t xml:space="preserve"> </w:t>
        <w:t>2</w:t>
        <w:t>.73MB/s</w:t>
        <w:t xml:space="preserve"> </w:t>
      </w:r>
      <w:r>
        <w:rPr>
          <w:rStyle w:val="Text0"/>
        </w:rPr>
        <w:t>in</w:t>
      </w:r>
      <w:r>
        <w:t xml:space="preserve"> </w:t>
        <w:t>4m 54s</w:t>
      </w:r>
    </w:p>
    <w:p>
      <w:pPr>
        <w:pStyle w:val="Para 02"/>
      </w:pPr>
      <w:r>
        <w:t>2020</w:t>
        <w:t>-06-26</w:t>
        <w:t xml:space="preserve"> </w:t>
        <w:t>12</w:t>
        <w:t>:23:42</w:t>
        <w:t xml:space="preserve"> </w:t>
        <w:t>(</w:t>
        <w:t>2</w:t>
        <w:t>.27 MB/s</w:t>
        <w:t>)</w:t>
        <w:t>- ‘focal-live-server-s390x.iso’ saved</w:t>
        <w:t xml:space="preserve"> </w:t>
        <w:t>[</w:t>
        <w:t>700952576</w:t>
        <w:t>/</w:t>
        <w:t xml:space="preserve"> </w:t>
        <w:t>700952576</w:t>
        <w:t>]</w:t>
      </w:r>
    </w:p>
    <w:p>
      <w:pPr>
        <w:pStyle w:val="Para 02"/>
      </w:pPr>
      <w:r>
        <w:t>admin@installserver:~$</w:t>
      </w:r>
    </w:p>
    <w:p>
      <w:pPr>
        <w:pStyle w:val="Para 17"/>
      </w:pPr>
      <w:r>
        <w:t/>
      </w:r>
    </w:p>
    <w:p>
      <w:pPr>
        <w:pStyle w:val="Para 04"/>
      </w:pPr>
      <w:r>
        <w:t>• The ISO image needs to be extracted now. Since files in the boot folder need to be</w:t>
      </w:r>
    </w:p>
    <w:p>
      <w:pPr>
        <w:pStyle w:val="Para 02"/>
      </w:pPr>
      <w:r>
        <w:t>modified, loopback mount is not an option here:</w:t>
      </w:r>
    </w:p>
    <w:p>
      <w:pPr>
        <w:pStyle w:val="Para 02"/>
      </w:pPr>
      <w:r>
        <w:t>admin@installserver:~$</w:t>
        <w:t xml:space="preserve"> </w:t>
        <w:t>cd</w:t>
        <w:t xml:space="preserve"> </w:t>
        <w:t>/srv/ftp/ubuntu-daily-live-server-20.04</w:t>
        <w:t xml:space="preserve"> </w:t>
        <w:t>admin@installserver:/srv/ftp/ubuntu-daily-live-server-20.04$ mkdir iso</w:t>
        <w:t xml:space="preserve"> </w:t>
        <w:t>admin@installserver:/srv/ftp/ubuntu-daily-live-server-20.04$ sudo mount -o loop ./</w:t>
        <w:t xml:space="preserve"> </w:t>
        <w:t>focal-live-server-s390x.iso ./iso</w:t>
      </w:r>
    </w:p>
    <w:p>
      <w:pPr>
        <w:pStyle w:val="Para 02"/>
      </w:pPr>
      <w:r>
        <w:t>[</w:t>
        <w:t>sudo</w:t>
        <w:t>]</w:t>
        <w:t xml:space="preserve"> </w:t>
        <w:t>password</w:t>
        <w:t xml:space="preserve"> </w:t>
      </w:r>
      <w:r>
        <w:rPr>
          <w:rStyle w:val="Text0"/>
        </w:rPr>
        <w:t>for</w:t>
      </w:r>
      <w:r>
        <w:t xml:space="preserve"> </w:t>
        <w:t>admin:</w:t>
      </w:r>
    </w:p>
    <w:p>
      <w:pPr>
        <w:pStyle w:val="Para 02"/>
      </w:pPr>
      <w:r>
        <w:t>mount: /home/user/iso-test/iso: WARNING: device write-protected, mounted read-only.</w:t>
        <w:t xml:space="preserve"> </w:t>
        <w:t>admin@installserver:/srv/ftp/ubuntu-daily-live-server-20.04$ ls -l</w:t>
        <w:t xml:space="preserve"> </w:t>
        <w:t>total</w:t>
        <w:t xml:space="preserve"> </w:t>
        <w:t>684530</w:t>
      </w:r>
    </w:p>
    <w:p>
      <w:pPr>
        <w:pStyle w:val="Para 02"/>
      </w:pPr>
      <w:r>
        <w:t>-rw-rw-r--</w:t>
        <w:t>1</w:t>
        <w:t xml:space="preserve"> </w:t>
        <w:t>user user</w:t>
        <w:t xml:space="preserve"> </w:t>
        <w:t>700952576</w:t>
        <w:t xml:space="preserve"> </w:t>
        <w:t>Jun</w:t>
        <w:t xml:space="preserve"> </w:t>
        <w:t>26 10</w:t>
        <w:t>:12 focal-live-server-s390x.iso</w:t>
        <w:t xml:space="preserve"> </w:t>
        <w:t>dr-xr-xr-x</w:t>
        <w:t xml:space="preserve"> </w:t>
        <w:t>10</w:t>
        <w:t xml:space="preserve"> </w:t>
        <w:t>root</w:t>
        <w:t xml:space="preserve"> </w:t>
        <w:t>root</w:t>
        <w:t xml:space="preserve"> </w:t>
        <w:t>2048</w:t>
        <w:t xml:space="preserve"> </w:t>
        <w:t>Jun</w:t>
        <w:t xml:space="preserve"> </w:t>
        <w:t>26 10</w:t>
        <w:t>:12 iso</w:t>
        <w:t xml:space="preserve"> </w:t>
        <w:t>admin@installserver:/srv/ftp/ubuntu-daily-live-server-20.04$</w:t>
      </w:r>
    </w:p>
    <w:p>
      <w:pPr>
        <w:pStyle w:val="Para 17"/>
      </w:pPr>
      <w:r>
        <w:t/>
      </w:r>
    </w:p>
    <w:p>
      <w:pPr>
        <w:pStyle w:val="Para 04"/>
      </w:pPr>
      <w:r>
        <w:t xml:space="preserve">• Now make sure an FTP server is running in the </w:t>
      </w:r>
      <w:r>
        <w:rPr>
          <w:rStyle w:val="Text3"/>
        </w:rPr>
        <w:t>installserver</w:t>
      </w:r>
      <w:r>
        <w:t xml:space="preserve"> with /srv/ftp as ftp-</w:t>
      </w:r>
    </w:p>
    <w:p>
      <w:pPr>
        <w:pStyle w:val="Para 02"/>
      </w:pPr>
      <w:r>
        <w:t>server root (as used in this example).</w:t>
      </w:r>
    </w:p>
    <w:p>
      <w:pPr>
        <w:pStyle w:val="Para 04"/>
      </w:pPr>
      <w:r>
        <w:t xml:space="preserve">• Next, prepare an </w:t>
      </w:r>
      <w:r>
        <w:rPr>
          <w:rStyle w:val="Text3"/>
        </w:rPr>
        <w:t>autoinstall</w:t>
      </w:r>
      <w:r>
        <w:t xml:space="preserve"> (HTTP) server. This hosts the configuration data for the</w:t>
      </w:r>
    </w:p>
    <w:p>
      <w:pPr>
        <w:pStyle w:val="Para 02"/>
      </w:pPr>
      <w:r>
        <w:t>non-interactive installation.</w:t>
      </w:r>
    </w:p>
    <w:p>
      <w:pPr>
        <w:pStyle w:val="Para 02"/>
      </w:pPr>
      <w:r>
        <w:t>admin@installserver:/srv/ftp/ubuntu-daily-live-server-20.04$ mkdir -p /srv/www/</w:t>
        <w:t xml:space="preserve"> </w:t>
        <w:t>autoinstall/zvmguest</w:t>
      </w:r>
    </w:p>
    <w:p>
      <w:pPr>
        <w:pStyle w:val="Para 02"/>
      </w:pPr>
      <w:r>
        <w:t>admin@installserver:/srv/ftp/ubuntu-daily-live-server-20.04$</w:t>
        <w:t xml:space="preserve"> </w:t>
        <w:t>cd</w:t>
        <w:t xml:space="preserve"> </w:t>
        <w:t>/srv/www/autoinstall/</w:t>
        <w:t xml:space="preserve"> </w:t>
        <w:t>zvmguest</w:t>
      </w:r>
    </w:p>
    <w:p>
      <w:pPr>
        <w:pStyle w:val="Para 02"/>
      </w:pPr>
      <w:r>
        <w:t>admin@installserver:/srv/www/autoinstall/zvmguest$</w:t>
      </w:r>
    </w:p>
    <w:p>
      <w:pPr>
        <w:pStyle w:val="Para 02"/>
      </w:pPr>
      <w:r>
        <w:t>admin@installserver:/srv/www/autoinstall/zvmguest$</w:t>
        <w:t xml:space="preserve"> </w:t>
        <w:t>echo</w:t>
        <w:t xml:space="preserve"> </w:t>
        <w:t>"instance-id:</w:t>
        <w:t xml:space="preserve"> </w:t>
      </w:r>
      <w:r>
        <w:rPr>
          <w:rStyle w:val="Text0"/>
        </w:rPr>
        <w:t>$(</w:t>
      </w:r>
      <w:r>
        <w:t>uuidgen</w:t>
        <w:t xml:space="preserve"> </w:t>
        <w:t>||</w:t>
        <w:t xml:space="preserve"> </w:t>
        <w:t>openssl rand -base64</w:t>
        <w:t xml:space="preserve"> </w:t>
        <w:t>8</w:t>
      </w:r>
      <w:r>
        <w:rPr>
          <w:rStyle w:val="Text0"/>
        </w:rPr>
        <w:t>)</w:t>
      </w:r>
      <w:r>
        <w:t>"</w:t>
        <w:t xml:space="preserve"> </w:t>
        <w:t>&gt; meta-data</w:t>
        <w:t xml:space="preserve"> </w:t>
        <w:t>admin@installserver:/srv/www/autoinstall/zvmguest$ cat meta-data</w:t>
        <w:t xml:space="preserve"> </w:t>
        <w:t>instance-id: 2c2215fb-6a38-417f-b72f-376b1cc44f01</w:t>
      </w:r>
    </w:p>
    <w:p>
      <w:pPr>
        <w:pStyle w:val="Para 02"/>
      </w:pPr>
      <w:r>
        <w:t>admin@installserver:/srv/www/autoinstall/zvmguest$</w:t>
      </w:r>
    </w:p>
    <w:p>
      <w:pPr>
        <w:pStyle w:val="Para 17"/>
      </w:pPr>
      <w:r>
        <w:t/>
      </w:r>
    </w:p>
    <w:p>
      <w:pPr>
        <w:pStyle w:val="Para 02"/>
      </w:pPr>
      <w:r>
        <w:t>admin@installserver:/srv/www/autoinstall/zvmguest$ vi user-data</w:t>
        <w:t xml:space="preserve"> </w:t>
        <w:t>admin@installserver:/srv/www/autoinstall/zvmguest$ cat user-data</w:t>
        <w:t xml:space="preserve"> </w:t>
      </w:r>
      <w:r>
        <w:rPr>
          <w:rStyle w:val="Text3"/>
        </w:rPr>
        <w:t>#cloud-config</w:t>
      </w:r>
    </w:p>
    <w:p>
      <w:pPr>
        <w:pStyle w:val="Para 02"/>
      </w:pPr>
      <w:r>
        <w:t>autoinstall:</w:t>
      </w:r>
    </w:p>
    <w:p>
      <w:pPr>
        <w:pStyle w:val="Para 06"/>
      </w:pPr>
      <w:r>
        <w:t>version:</w:t>
        <w:t xml:space="preserve"> </w:t>
        <w:t>1</w:t>
      </w:r>
    </w:p>
    <w:p>
      <w:pPr>
        <w:pStyle w:val="Para 06"/>
      </w:pPr>
      <w:r>
        <w:t>refresh-installer:</w:t>
      </w:r>
    </w:p>
    <w:p>
      <w:pPr>
        <w:pStyle w:val="Para 11"/>
      </w:pPr>
      <w:r>
        <w:t>update: yes</w:t>
      </w:r>
    </w:p>
    <w:p>
      <w:pPr>
        <w:pStyle w:val="Para 06"/>
      </w:pPr>
      <w:r>
        <w:t>reporting:</w:t>
      </w:r>
    </w:p>
    <w:p>
      <w:pPr>
        <w:pStyle w:val="Para 11"/>
      </w:pPr>
      <w:r>
        <w:t>builtin:</w:t>
      </w:r>
    </w:p>
    <w:p>
      <w:pPr>
        <w:pStyle w:val="Para 12"/>
      </w:pPr>
      <w:r>
        <w:t>type: print</w:t>
      </w:r>
    </w:p>
    <w:p>
      <w:pPr>
        <w:pStyle w:val="Para 06"/>
      </w:pPr>
      <w:r>
        <w:t>apt:</w:t>
      </w:r>
    </w:p>
    <w:p>
      <w:pPr>
        <w:pStyle w:val="Para 11"/>
      </w:pPr>
      <w:r>
        <w:t>preserve_sources_list:</w:t>
        <w:t xml:space="preserve"> </w:t>
        <w:t>false</w:t>
      </w:r>
    </w:p>
    <w:p>
      <w:pPr>
        <w:pStyle w:val="Para 11"/>
      </w:pPr>
      <w:r>
        <w:t>primary:</w:t>
      </w:r>
    </w:p>
    <w:p>
      <w:pPr>
        <w:pStyle w:val="Para 11"/>
      </w:pPr>
      <w:r>
        <w:t>- arches:</w:t>
        <w:t xml:space="preserve"> </w:t>
        <w:t>[</w:t>
        <w:t>amd64, i386</w:t>
        <w:t>]</w:t>
      </w:r>
    </w:p>
    <w:p>
      <w:pPr>
        <w:pStyle w:val="Para 12"/>
      </w:pPr>
      <w:r>
        <w:t>uri: http://archive.ubuntu.com/ubuntu</w:t>
      </w:r>
    </w:p>
    <w:p>
      <w:pPr>
        <w:pStyle w:val="Para 11"/>
      </w:pPr>
      <w:r>
        <w:t>- arches:</w:t>
        <w:t xml:space="preserve"> </w:t>
        <w:t>[</w:t>
        <w:t>default</w:t>
        <w:t>]</w:t>
      </w:r>
    </w:p>
    <w:p>
      <w:pPr>
        <w:pStyle w:val="Para 09"/>
      </w:pPr>
      <w:r>
        <w:t>(continues on next page)</w:t>
      </w:r>
    </w:p>
    <w:p>
      <w:bookmarkStart w:id="120" w:name="page_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 name="index-78_1.png" descr="index-78_1.png"/>
            <wp:cNvGraphicFramePr>
              <a:graphicFrameLocks noChangeAspect="1"/>
            </wp:cNvGraphicFramePr>
            <a:graphic>
              <a:graphicData uri="http://schemas.openxmlformats.org/drawingml/2006/picture">
                <pic:pic>
                  <pic:nvPicPr>
                    <pic:cNvPr id="0" name="index-78_1.png" descr="index-78_1.png"/>
                    <pic:cNvPicPr/>
                  </pic:nvPicPr>
                  <pic:blipFill>
                    <a:blip r:embed="rId84"/>
                    <a:stretch>
                      <a:fillRect/>
                    </a:stretch>
                  </pic:blipFill>
                  <pic:spPr>
                    <a:xfrm>
                      <a:off x="0" y="0"/>
                      <a:ext cx="914400" cy="266700"/>
                    </a:xfrm>
                    <a:prstGeom prst="rect">
                      <a:avLst/>
                    </a:prstGeom>
                  </pic:spPr>
                </pic:pic>
              </a:graphicData>
            </a:graphic>
          </wp:anchor>
        </w:drawing>
      </w:r>
      <w:bookmarkEnd w:id="120"/>
    </w:p>
    <w:p>
      <w:pPr>
        <w:pStyle w:val="Para 09"/>
      </w:pPr>
      <w:r>
        <w:t>(continued from previous page)</w:t>
      </w:r>
    </w:p>
    <w:p>
      <w:pPr>
        <w:pStyle w:val="Para 12"/>
      </w:pPr>
      <w:r>
        <w:t>uri: http://ports.ubuntu.com/ubuntu-ports</w:t>
      </w:r>
    </w:p>
    <w:p>
      <w:pPr>
        <w:pStyle w:val="Para 06"/>
      </w:pPr>
      <w:r>
        <w:t>keyboard:</w:t>
      </w:r>
    </w:p>
    <w:p>
      <w:pPr>
        <w:pStyle w:val="Para 11"/>
      </w:pPr>
      <w:r>
        <w:t>layout: en</w:t>
      </w:r>
    </w:p>
    <w:p>
      <w:pPr>
        <w:pStyle w:val="Para 11"/>
      </w:pPr>
      <w:r>
        <w:t>variant: us</w:t>
      </w:r>
    </w:p>
    <w:p>
      <w:pPr>
        <w:pStyle w:val="Para 06"/>
      </w:pPr>
      <w:r>
        <w:t>locale: en_US</w:t>
      </w:r>
    </w:p>
    <w:p>
      <w:pPr>
        <w:pStyle w:val="Para 06"/>
      </w:pPr>
      <w:r>
        <w:t>identity:</w:t>
      </w:r>
    </w:p>
    <w:p>
      <w:pPr>
        <w:pStyle w:val="Para 11"/>
      </w:pPr>
      <w:r>
        <w:t>hostname: zvmguest</w:t>
      </w:r>
    </w:p>
    <w:p>
      <w:pPr>
        <w:pStyle w:val="Para 11"/>
      </w:pPr>
      <w:r>
        <w:t>password:</w:t>
      </w:r>
    </w:p>
    <w:p>
      <w:pPr>
        <w:pStyle w:val="Para 02"/>
      </w:pPr>
      <w:r>
        <w:t>"</w:t>
        <w:t>$6$ebJ1f8wxED22bTL4F46P0</w:t>
        <w:t>"</w:t>
      </w:r>
    </w:p>
    <w:p>
      <w:pPr>
        <w:pStyle w:val="Para 12"/>
      </w:pPr>
      <w:r>
        <w:t>username: ubuntu</w:t>
      </w:r>
    </w:p>
    <w:p>
      <w:pPr>
        <w:pStyle w:val="Para 11"/>
      </w:pPr>
      <w:r>
        <w:t>user-data:</w:t>
      </w:r>
    </w:p>
    <w:p>
      <w:pPr>
        <w:pStyle w:val="Para 12"/>
      </w:pPr>
      <w:r>
        <w:t>timezone: America/Boston</w:t>
      </w:r>
    </w:p>
    <w:p>
      <w:pPr>
        <w:pStyle w:val="Para 12"/>
      </w:pPr>
      <w:r>
        <w:t>users:</w:t>
      </w:r>
    </w:p>
    <w:p>
      <w:pPr>
        <w:pStyle w:val="Para 12"/>
      </w:pPr>
      <w:r>
        <w:t>- name: ubuntu</w:t>
      </w:r>
    </w:p>
    <w:p>
      <w:pPr>
        <w:pStyle w:val="Para 15"/>
      </w:pPr>
      <w:r>
        <w:t>password:</w:t>
      </w:r>
    </w:p>
    <w:p>
      <w:pPr>
        <w:pStyle w:val="Para 02"/>
      </w:pPr>
      <w:r>
        <w:t>"</w:t>
        <w:t>$6$KwuxED22bTL4F46P0</w:t>
        <w:t>"</w:t>
      </w:r>
    </w:p>
    <w:p>
      <w:pPr>
        <w:pStyle w:val="Para 15"/>
      </w:pPr>
      <w:r>
        <w:t>lock_passwd:</w:t>
        <w:t xml:space="preserve"> </w:t>
        <w:t>false</w:t>
      </w:r>
    </w:p>
    <w:p>
      <w:pPr>
        <w:pStyle w:val="Para 11"/>
      </w:pPr>
      <w:r>
        <w:t>early-commands:</w:t>
      </w:r>
    </w:p>
    <w:p>
      <w:pPr>
        <w:pStyle w:val="Para 12"/>
      </w:pPr>
      <w:r>
        <w:t>- touch /tmp/lets_activate_the_s390x_devices</w:t>
      </w:r>
    </w:p>
    <w:p>
      <w:pPr>
        <w:pStyle w:val="Para 12"/>
      </w:pPr>
      <w:r>
        <w:t>- chzdev dasd -e 1f00</w:t>
      </w:r>
    </w:p>
    <w:p>
      <w:pPr>
        <w:pStyle w:val="Para 12"/>
      </w:pPr>
      <w:r>
        <w:t>- touch /tmp/s390x_devices_activation_done</w:t>
      </w:r>
    </w:p>
    <w:p>
      <w:pPr>
        <w:pStyle w:val="Para 11"/>
      </w:pPr>
      <w:r>
        <w:t>network:</w:t>
      </w:r>
    </w:p>
    <w:p>
      <w:pPr>
        <w:pStyle w:val="Para 12"/>
      </w:pPr>
      <w:r>
        <w:t>version:</w:t>
        <w:t xml:space="preserve"> </w:t>
        <w:t>2</w:t>
      </w:r>
    </w:p>
    <w:p>
      <w:pPr>
        <w:pStyle w:val="Para 12"/>
      </w:pPr>
      <w:r>
        <w:t>ethernets:</w:t>
      </w:r>
    </w:p>
    <w:p>
      <w:pPr>
        <w:pStyle w:val="Para 12"/>
      </w:pPr>
      <w:r>
        <w:t>enc600:</w:t>
      </w:r>
    </w:p>
    <w:p>
      <w:pPr>
        <w:pStyle w:val="Para 15"/>
      </w:pPr>
      <w:r>
        <w:t>addresses:</w:t>
        <w:t xml:space="preserve"> </w:t>
        <w:t>[</w:t>
        <w:t>10</w:t>
        <w:t>.11.12.23/24</w:t>
        <w:t>]</w:t>
        <w:t xml:space="preserve"> </w:t>
        <w:t>gateway4:</w:t>
        <w:t xml:space="preserve"> </w:t>
        <w:t>10</w:t>
        <w:t>.11.12.1</w:t>
      </w:r>
    </w:p>
    <w:p>
      <w:pPr>
        <w:pStyle w:val="Para 15"/>
      </w:pPr>
      <w:r>
        <w:t>nameservers:</w:t>
      </w:r>
    </w:p>
    <w:p>
      <w:pPr>
        <w:pStyle w:val="Para 25"/>
      </w:pPr>
      <w:r>
        <w:t>addresses:</w:t>
        <w:t xml:space="preserve"> </w:t>
        <w:t>[</w:t>
        <w:t>10</w:t>
        <w:t>.11.12.1</w:t>
        <w:t>]</w:t>
      </w:r>
    </w:p>
    <w:p>
      <w:pPr>
        <w:pStyle w:val="Para 11"/>
      </w:pPr>
      <w:r>
        <w:t>ssh:</w:t>
      </w:r>
    </w:p>
    <w:p>
      <w:pPr>
        <w:pStyle w:val="Para 12"/>
      </w:pPr>
      <w:r>
        <w:t>install-server:</w:t>
        <w:t xml:space="preserve"> </w:t>
        <w:t>true</w:t>
      </w:r>
    </w:p>
    <w:p>
      <w:pPr>
        <w:pStyle w:val="Para 12"/>
      </w:pPr>
      <w:r>
        <w:t>allow-pw:</w:t>
        <w:t xml:space="preserve"> </w:t>
        <w:t>true</w:t>
      </w:r>
    </w:p>
    <w:p>
      <w:pPr>
        <w:pStyle w:val="Para 12"/>
      </w:pPr>
      <w:r>
        <w:t>authorized-keys:</w:t>
        <w:t xml:space="preserve"> </w:t>
        <w:t>[</w:t>
        <w:t>'ssh-rsa</w:t>
        <w:t xml:space="preserve"> </w:t>
        <w:t>meQwtZ user@workstation # ssh-import-id lp:user'</w:t>
        <w:t>]</w:t>
      </w:r>
    </w:p>
    <w:p>
      <w:pPr>
        <w:pStyle w:val="Para 06"/>
      </w:pPr>
      <w:r>
        <w:t>admin@installserver:~$</w:t>
      </w:r>
    </w:p>
    <w:p>
      <w:pPr>
        <w:pStyle w:val="Para 17"/>
      </w:pPr>
      <w:r>
        <w:t/>
      </w:r>
    </w:p>
    <w:p>
      <w:pPr>
        <w:pStyle w:val="Para 04"/>
      </w:pPr>
      <w:r>
        <w:t>• For s390x installations, the early-commands section is the interesting part:</w:t>
      </w:r>
    </w:p>
    <w:p>
      <w:pPr>
        <w:pStyle w:val="Para 02"/>
      </w:pPr>
      <w:r>
        <w:t>early-commands:</w:t>
      </w:r>
    </w:p>
    <w:p>
      <w:pPr>
        <w:pStyle w:val="Para 06"/>
      </w:pPr>
      <w:r>
        <w:t>- touch /tmp/lets_activate_the_s390x_devices</w:t>
      </w:r>
    </w:p>
    <w:p>
      <w:pPr>
        <w:pStyle w:val="Para 06"/>
      </w:pPr>
      <w:r>
        <w:t>- chzdev dasd -e 1f00</w:t>
      </w:r>
    </w:p>
    <w:p>
      <w:pPr>
        <w:pStyle w:val="Para 06"/>
      </w:pPr>
      <w:r>
        <w:t>- touch /tmp/s390x_devices_activation_done</w:t>
      </w:r>
    </w:p>
    <w:p>
      <w:pPr>
        <w:pStyle w:val="Para 17"/>
      </w:pPr>
      <w:r>
        <w:t/>
      </w:r>
    </w:p>
    <w:p>
      <w:pPr>
        <w:pStyle w:val="Para 02"/>
      </w:pPr>
      <w:r>
        <w:t>The first and last early-commands are optional; they only frame and indicate the real s390x command activation.</w:t>
      </w:r>
    </w:p>
    <w:p>
      <w:pPr>
        <w:pStyle w:val="Para 02"/>
      </w:pPr>
      <w:r>
        <w:t xml:space="preserve">In this particular example a single </w:t>
      </w:r>
      <w:hyperlink w:anchor="Top_of_index_split_000_html">
        <w:r>
          <w:rPr>
            <w:rStyle w:val="Text2"/>
          </w:rPr>
          <w:t xml:space="preserve">DASD </w:t>
        </w:r>
      </w:hyperlink>
      <w:hyperlink w:anchor="page_681">
        <w:r>
          <w:rPr>
            <w:rStyle w:val="Text2"/>
          </w:rPr>
          <w:t>ECKD</w:t>
        </w:r>
      </w:hyperlink>
      <w:r>
        <w:t xml:space="preserve"> disk with the address 1f00 is enabled.</w:t>
      </w:r>
    </w:p>
    <w:p>
      <w:pPr>
        <w:pStyle w:val="Para 02"/>
      </w:pPr>
      <w:r>
        <w:t>zFCP disk storage can be enabled via their host (</w:t>
      </w:r>
      <w:hyperlink w:anchor="page_688">
        <w:r>
          <w:rPr>
            <w:rStyle w:val="Text2"/>
          </w:rPr>
          <w:t>host-bus-adapters</w:t>
        </w:r>
      </w:hyperlink>
      <w:r>
        <w:t xml:space="preserve">) addresses, for ex-ample </w:t>
      </w:r>
      <w:r>
        <w:rPr>
          <w:rStyle w:val="Text3"/>
        </w:rPr>
        <w:t>e000</w:t>
      </w:r>
      <w:r>
        <w:t xml:space="preserve"> (chzdev zfcp -e e000) and </w:t>
      </w:r>
      <w:r>
        <w:rPr>
          <w:rStyle w:val="Text3"/>
        </w:rPr>
        <w:t>e100</w:t>
      </w:r>
      <w:r>
        <w:t xml:space="preserve"> (chzdev zfcp -e e000). These have certain Logical Unit Numbers (LUNs) assigned, which are all automatically discovered and acti-vated by chzdev zfcp-lun -e --online. Activation of a QETH device would look like this: chzdev qeth -e 0600.</w:t>
      </w:r>
    </w:p>
    <w:p>
      <w:pPr>
        <w:pStyle w:val="Para 04"/>
      </w:pPr>
      <w:r>
        <w:t xml:space="preserve">• For more details about the autoinstall config options, please have a look at the </w:t>
      </w:r>
      <w:hyperlink r:id="rId1089">
        <w:r>
          <w:rPr>
            <w:rStyle w:val="Text1"/>
          </w:rPr>
          <w:t>autoin-</w:t>
        </w:r>
      </w:hyperlink>
    </w:p>
    <w:p>
      <w:pPr>
        <w:pStyle w:val="Para 32"/>
      </w:pPr>
      <w:hyperlink r:id="rId1089">
        <w:r>
          <w:t>stall reference</w:t>
        </w:r>
      </w:hyperlink>
      <w:hyperlink r:id="rId1089">
        <w:r>
          <w:rPr>
            <w:rStyle w:val="Text10"/>
          </w:rPr>
          <w:t>71</w:t>
        </w:r>
      </w:hyperlink>
      <w:r>
        <w:rPr>
          <w:rStyle w:val="Text7"/>
        </w:rPr>
        <w:t xml:space="preserve"> </w:t>
      </w:r>
      <w:hyperlink r:id="rId1090">
        <w:r>
          <w:rPr>
            <w:rStyle w:val="Text10"/>
          </w:rPr>
          <w:t>72</w:t>
        </w:r>
      </w:hyperlink>
      <w:r>
        <w:rPr>
          <w:rStyle w:val="Text7"/>
        </w:rPr>
        <w:t xml:space="preserve"> and </w:t>
      </w:r>
      <w:hyperlink r:id="rId1090">
        <w:r>
          <w:t>autoinstall schema</w:t>
        </w:r>
      </w:hyperlink>
      <w:r>
        <w:rPr>
          <w:rStyle w:val="Text7"/>
        </w:rPr>
        <w:t xml:space="preserve"> page.</w:t>
      </w:r>
    </w:p>
    <w:p>
      <w:pPr>
        <w:pStyle w:val="Para 05"/>
      </w:pPr>
      <w:r>
        <w:rPr>
          <w:rStyle w:val="Text5"/>
        </w:rPr>
        <w:t>71</w:t>
      </w:r>
      <w:r>
        <w:rPr>
          <w:rStyle w:val="Text8"/>
        </w:rPr>
        <w:t xml:space="preserve"> </w:t>
      </w:r>
      <w:r>
        <w:t>https://canonical-subiquity.readthedocs-hosted.com/en/latest/reference/autoinstall-reference.html</w:t>
      </w:r>
    </w:p>
    <w:p>
      <w:pPr>
        <w:pStyle w:val="Para 05"/>
      </w:pPr>
      <w:r>
        <w:rPr>
          <w:rStyle w:val="Text5"/>
        </w:rPr>
        <w:t>72</w:t>
      </w:r>
      <w:r>
        <w:rPr>
          <w:rStyle w:val="Text8"/>
        </w:rPr>
        <w:t xml:space="preserve"> </w:t>
      </w:r>
      <w:r>
        <w:t>https://canonical-subiquity.readthedocs-hosted.com/en/latest/reference/autoinstall-schema.html</w:t>
      </w:r>
    </w:p>
    <w:p>
      <w:bookmarkStart w:id="121" w:name="page_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85"/>
                    <a:stretch>
                      <a:fillRect/>
                    </a:stretch>
                  </pic:blipFill>
                  <pic:spPr>
                    <a:xfrm>
                      <a:off x="0" y="0"/>
                      <a:ext cx="914400" cy="266700"/>
                    </a:xfrm>
                    <a:prstGeom prst="rect">
                      <a:avLst/>
                    </a:prstGeom>
                  </pic:spPr>
                </pic:pic>
              </a:graphicData>
            </a:graphic>
          </wp:anchor>
        </w:drawing>
      </w:r>
      <w:bookmarkEnd w:id="121"/>
    </w:p>
    <w:p>
      <w:pPr>
        <w:pStyle w:val="Para 04"/>
      </w:pPr>
      <w:r>
        <w:t>• Now make sure a HTTP server is running with /srv/www as web-server root (in this par-</w:t>
      </w:r>
    </w:p>
    <w:p>
      <w:pPr>
        <w:pStyle w:val="Para 02"/>
      </w:pPr>
      <w:r>
        <w:t>ticular example).</w:t>
      </w:r>
    </w:p>
    <w:p>
      <w:pPr>
        <w:pStyle w:val="Para 04"/>
      </w:pPr>
      <w:r>
        <w:t>• Log in to your z/VM system using your preferred 3270 client – for example x3270 or</w:t>
      </w:r>
    </w:p>
    <w:p>
      <w:pPr>
        <w:pStyle w:val="Para 02"/>
      </w:pPr>
      <w:r>
        <w:t>c3270.</w:t>
      </w:r>
    </w:p>
    <w:p>
      <w:pPr>
        <w:pStyle w:val="Para 04"/>
      </w:pPr>
      <w:r>
        <w:t>• Transfer the installer kernel, initrd, parmfile and exec file to the z/VM system that is</w:t>
      </w:r>
    </w:p>
    <w:p>
      <w:pPr>
        <w:pStyle w:val="Para 02"/>
      </w:pPr>
      <w:r>
        <w:t xml:space="preserve">used for the installation. Put these files (for example) on File Mode (Fm) </w:t>
      </w:r>
      <w:r>
        <w:rPr>
          <w:rStyle w:val="Text3"/>
        </w:rPr>
        <w:t>A</w:t>
      </w:r>
      <w:r>
        <w:t xml:space="preserve"> (a.k.a disk </w:t>
      </w:r>
      <w:r>
        <w:rPr>
          <w:rStyle w:val="Text3"/>
        </w:rPr>
        <w:t>A</w:t>
      </w:r>
      <w:r>
        <w:t>):</w:t>
      </w:r>
    </w:p>
    <w:p>
      <w:pPr>
        <w:pStyle w:val="Para 02"/>
      </w:pPr>
      <w:r>
        <w:t>listfiles</w:t>
      </w:r>
    </w:p>
    <w:p>
      <w:pPr>
        <w:pStyle w:val="Para 02"/>
      </w:pPr>
      <w:r>
        <w:t>UBUNTU</w:t>
        <w:t xml:space="preserve"> </w:t>
        <w:t>EXEC</w:t>
        <w:t xml:space="preserve"> </w:t>
        <w:t>A1</w:t>
      </w:r>
    </w:p>
    <w:p>
      <w:pPr>
        <w:pStyle w:val="Para 02"/>
      </w:pPr>
      <w:r>
        <w:t>KERNEL</w:t>
        <w:t xml:space="preserve"> </w:t>
        <w:t>UBUNTU</w:t>
        <w:t xml:space="preserve"> </w:t>
        <w:t>A1</w:t>
      </w:r>
    </w:p>
    <w:p>
      <w:pPr>
        <w:pStyle w:val="Para 02"/>
      </w:pPr>
      <w:r>
        <w:t>INITRD</w:t>
        <w:t xml:space="preserve"> </w:t>
        <w:t>UBUNTU</w:t>
        <w:t xml:space="preserve"> </w:t>
        <w:t>A1</w:t>
      </w:r>
    </w:p>
    <w:p>
      <w:pPr>
        <w:pStyle w:val="Para 02"/>
      </w:pPr>
      <w:r>
        <w:t>PARMFILE</w:t>
        <w:t xml:space="preserve"> </w:t>
        <w:t>UBUNTU</w:t>
        <w:t xml:space="preserve"> </w:t>
        <w:t>A1</w:t>
      </w:r>
    </w:p>
    <w:p>
      <w:pPr>
        <w:pStyle w:val="Para 17"/>
      </w:pPr>
      <w:r>
        <w:t/>
      </w:r>
    </w:p>
    <w:p>
      <w:pPr>
        <w:pStyle w:val="Para 04"/>
      </w:pPr>
      <w:r>
        <w:t>• Now specify the necessary autoinstall parameters in the parmfile:</w:t>
      </w:r>
    </w:p>
    <w:p>
      <w:pPr>
        <w:pStyle w:val="Para 02"/>
      </w:pPr>
      <w:r>
        <w:t>xedit PARMFILE</w:t>
        <w:t xml:space="preserve"> </w:t>
        <w:t>UBUNTU</w:t>
        <w:t xml:space="preserve"> </w:t>
        <w:t>A</w:t>
      </w:r>
    </w:p>
    <w:p>
      <w:pPr>
        <w:pStyle w:val="Para 06"/>
      </w:pPr>
      <w:r>
        <w:t>PARMFILE UBUNTU</w:t>
        <w:t xml:space="preserve"> </w:t>
        <w:t>O1</w:t>
        <w:t xml:space="preserve"> </w:t>
        <w:t>F</w:t>
        <w:t xml:space="preserve"> </w:t>
        <w:t>80</w:t>
        <w:t xml:space="preserve"> </w:t>
        <w:t>Trunc</w:t>
        <w:t>=</w:t>
        <w:t>80</w:t>
        <w:t xml:space="preserve"> </w:t>
        <w:t>Size</w:t>
        <w:t>=</w:t>
        <w:t>3</w:t>
        <w:t xml:space="preserve"> </w:t>
        <w:t>Line</w:t>
        <w:t>=</w:t>
        <w:t>0</w:t>
        <w:t xml:space="preserve"> </w:t>
        <w:t>Col</w:t>
        <w:t>=</w:t>
        <w:t>1</w:t>
        <w:t xml:space="preserve"> </w:t>
        <w:t>Alt</w:t>
        <w:t>=</w:t>
        <w:t>0</w:t>
      </w:r>
    </w:p>
    <w:p>
      <w:pPr>
        <w:pStyle w:val="Para 02"/>
      </w:pPr>
      <w:r>
        <w:t>00000</w:t>
        <w:t xml:space="preserve"> </w:t>
        <w:t>* * *</w:t>
        <w:t xml:space="preserve"> </w:t>
        <w:t>Top of File</w:t>
        <w:t xml:space="preserve"> </w:t>
        <w:t>* * *</w:t>
      </w:r>
    </w:p>
    <w:p>
      <w:pPr>
        <w:pStyle w:val="Para 02"/>
      </w:pPr>
      <w:r>
        <w:t>00001</w:t>
        <w:t xml:space="preserve"> </w:t>
        <w:t>ip</w:t>
        <w:t>=</w:t>
        <w:t>10.11.12.23</w:t>
        <w:t>::</w:t>
        <w:t>10.11.12.1</w:t>
        <w:t>:</w:t>
        <w:t>255.255.255.0</w:t>
        <w:t>:zvmguest:enc600:none:</w:t>
        <w:t>10.11.12.1</w:t>
        <w:t xml:space="preserve"> </w:t>
        <w:t>00002</w:t>
        <w:t xml:space="preserve"> </w:t>
        <w:t>url</w:t>
        <w:t>=</w:t>
        <w:t>ftp:</w:t>
        <w:t>//</w:t>
        <w:t>installserver</w:t>
        <w:t>.</w:t>
        <w:t>local:</w:t>
        <w:t>21</w:t>
        <w:t>/</w:t>
        <w:t>ubuntu</w:t>
        <w:t>-</w:t>
        <w:t>daily</w:t>
        <w:t>-</w:t>
        <w:t>live</w:t>
        <w:t>-</w:t>
        <w:t>server</w:t>
        <w:t>-</w:t>
        <w:t>20.04</w:t>
        <w:t>/</w:t>
        <w:t>focal</w:t>
        <w:t>-</w:t>
        <w:t>li</w:t>
        <w:t xml:space="preserve"> </w:t>
        <w:t>ve</w:t>
        <w:t>-</w:t>
        <w:t>ser</w:t>
      </w:r>
    </w:p>
    <w:p>
      <w:pPr>
        <w:pStyle w:val="Para 02"/>
      </w:pPr>
      <w:r>
        <w:t>00003</w:t>
        <w:t xml:space="preserve"> </w:t>
        <w:t>ver</w:t>
        <w:t>-</w:t>
        <w:t>s390x</w:t>
        <w:t>.</w:t>
        <w:t>iso autoinstall ds</w:t>
        <w:t>=</w:t>
        <w:t>nocloud</w:t>
        <w:t>-</w:t>
        <w:t>net;s</w:t>
        <w:t>=</w:t>
        <w:t>http:</w:t>
        <w:t>//</w:t>
        <w:t>installserver</w:t>
        <w:t>.</w:t>
        <w:t>local:</w:t>
        <w:t>80</w:t>
        <w:t xml:space="preserve"> </w:t>
        <w:t>00004</w:t>
        <w:t xml:space="preserve"> </w:t>
        <w:t>/</w:t>
        <w:t>autoinstall</w:t>
        <w:t>/</w:t>
        <w:t>zvmguest</w:t>
        <w:t>/ ---</w:t>
        <w:t>quiet</w:t>
        <w:t xml:space="preserve"> </w:t>
        <w:t>00005</w:t>
        <w:t xml:space="preserve"> </w:t>
        <w:t>* * *</w:t>
        <w:t xml:space="preserve"> </w:t>
        <w:t>End of File</w:t>
        <w:t xml:space="preserve"> </w:t>
        <w:t>* * *</w:t>
      </w:r>
    </w:p>
    <w:p>
      <w:pPr>
        <w:pStyle w:val="Para 17"/>
      </w:pPr>
      <w:r>
        <w:t/>
      </w:r>
    </w:p>
    <w:p>
      <w:pPr>
        <w:pStyle w:val="Para 08"/>
      </w:pPr>
      <w:r>
        <w:t>Note:</w:t>
      </w:r>
    </w:p>
    <w:p>
      <w:pPr>
        <w:pStyle w:val="Para 03"/>
      </w:pPr>
      <w:r>
        <w:t>In case of any issues hitting the 80-character-per-line limit of the file, you can write pa-</w:t>
      </w:r>
    </w:p>
    <w:p>
      <w:pPr>
        <w:pStyle w:val="Para 03"/>
      </w:pPr>
      <w:r>
        <w:t>rameters across two lines as long as there are no unwanted white spaces. To view all 80</w:t>
      </w:r>
    </w:p>
    <w:p>
      <w:pPr>
        <w:pStyle w:val="Para 03"/>
      </w:pPr>
      <w:r>
        <w:t>characters in one line, disable the prefix area on the left. “prefix off | on” will be your</w:t>
      </w:r>
    </w:p>
    <w:p>
      <w:pPr>
        <w:pStyle w:val="Para 03"/>
      </w:pPr>
      <w:r>
        <w:t>friend – use it in the command area.</w:t>
      </w:r>
    </w:p>
    <w:p>
      <w:pPr>
        <w:pStyle w:val="Para 04"/>
      </w:pPr>
      <w:r>
        <w:t>• You can now start the z/VM installation by executing the UBUNTU REXX script with UBUNTU.</w:t>
      </w:r>
    </w:p>
    <w:p>
      <w:pPr>
        <w:pStyle w:val="Para 04"/>
      </w:pPr>
      <w:r>
        <w:t>• Now monitor the initial program load (IPL) – a.k.a. the boot-up process – of the install</w:t>
      </w:r>
    </w:p>
    <w:p>
      <w:pPr>
        <w:pStyle w:val="Para 02"/>
      </w:pPr>
      <w:r>
        <w:t>system. This is quite crucial, because during this process a temporary installation pass-word is generated and displayed. The line(s) look similar to this:</w:t>
      </w:r>
    </w:p>
    <w:p>
      <w:pPr>
        <w:pStyle w:val="Para 02"/>
      </w:pPr>
      <w:r>
        <w:t>...</w:t>
      </w:r>
    </w:p>
    <w:p>
      <w:pPr>
        <w:pStyle w:val="Para 02"/>
      </w:pPr>
      <w:r>
        <w:t>|37.487141| cloud-init¬1873|: Set the following 'random' passwords</w:t>
        <w:t xml:space="preserve"> </w:t>
        <w:t>|37.487176| cloud-init¬1873|: installer: **i7UFdP8fhiVVMme3qqH8**</w:t>
        <w:t xml:space="preserve"> </w:t>
        <w:t>...</w:t>
      </w:r>
    </w:p>
    <w:p>
      <w:pPr>
        <w:pStyle w:val="Para 17"/>
      </w:pPr>
      <w:r>
        <w:t/>
      </w:r>
    </w:p>
    <w:p>
      <w:pPr>
        <w:pStyle w:val="Para 02"/>
      </w:pPr>
      <w:r>
        <w:t>This password is needed for remotely connecting to the installer via SSH in the next step.</w:t>
      </w:r>
    </w:p>
    <w:p>
      <w:pPr>
        <w:pStyle w:val="Para 04"/>
      </w:pPr>
      <w:r>
        <w:t>• So, start the REXX script:</w:t>
      </w:r>
    </w:p>
    <w:p>
      <w:pPr>
        <w:pStyle w:val="Para 02"/>
      </w:pPr>
      <w:r>
        <w:t>UBUNTU</w:t>
      </w:r>
    </w:p>
    <w:p>
      <w:pPr>
        <w:pStyle w:val="Para 02"/>
      </w:pPr>
      <w:r>
        <w:t>00: 0000004 FILES PURGED</w:t>
      </w:r>
    </w:p>
    <w:p>
      <w:pPr>
        <w:pStyle w:val="Para 02"/>
      </w:pPr>
      <w:r>
        <w:t>00: RDR FILE 1254 SENT FROM zvmguest</w:t>
        <w:t xml:space="preserve"> </w:t>
        <w:t>PUN WAS 1254 RECS 102K CPY</w:t>
        <w:t xml:space="preserve"> </w:t>
        <w:t>001 A NOHOLD NO</w:t>
      </w:r>
    </w:p>
    <w:p>
      <w:pPr>
        <w:pStyle w:val="Para 02"/>
      </w:pPr>
      <w:r>
        <w:t>KEEP</w:t>
      </w:r>
    </w:p>
    <w:p>
      <w:pPr>
        <w:pStyle w:val="Para 09"/>
      </w:pPr>
      <w:r>
        <w:t>(continues on next page)</w:t>
      </w:r>
    </w:p>
    <w:p>
      <w:bookmarkStart w:id="122" w:name="page_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 name="index-80_1.png" descr="index-80_1.png"/>
            <wp:cNvGraphicFramePr>
              <a:graphicFrameLocks noChangeAspect="1"/>
            </wp:cNvGraphicFramePr>
            <a:graphic>
              <a:graphicData uri="http://schemas.openxmlformats.org/drawingml/2006/picture">
                <pic:pic>
                  <pic:nvPicPr>
                    <pic:cNvPr id="0" name="index-80_1.png" descr="index-80_1.png"/>
                    <pic:cNvPicPr/>
                  </pic:nvPicPr>
                  <pic:blipFill>
                    <a:blip r:embed="rId86"/>
                    <a:stretch>
                      <a:fillRect/>
                    </a:stretch>
                  </pic:blipFill>
                  <pic:spPr>
                    <a:xfrm>
                      <a:off x="0" y="0"/>
                      <a:ext cx="914400" cy="266700"/>
                    </a:xfrm>
                    <a:prstGeom prst="rect">
                      <a:avLst/>
                    </a:prstGeom>
                  </pic:spPr>
                </pic:pic>
              </a:graphicData>
            </a:graphic>
          </wp:anchor>
        </w:drawing>
      </w:r>
      <w:bookmarkEnd w:id="122"/>
    </w:p>
    <w:p>
      <w:pPr>
        <w:pStyle w:val="Para 09"/>
      </w:pPr>
      <w:r>
        <w:t>(continued from previous page)</w:t>
      </w:r>
    </w:p>
    <w:p>
      <w:pPr>
        <w:pStyle w:val="Para 02"/>
      </w:pPr>
      <w:r>
        <w:t>00: RDR FILE 1258 SENT FROM zvmguest</w:t>
        <w:t xml:space="preserve"> </w:t>
        <w:t>PUN WAS 1258 RECS 0003 CPY</w:t>
        <w:t xml:space="preserve"> </w:t>
        <w:t>001 A NOHOLD NO</w:t>
      </w:r>
    </w:p>
    <w:p>
      <w:pPr>
        <w:pStyle w:val="Para 02"/>
      </w:pPr>
      <w:r>
        <w:t>KEEP</w:t>
      </w:r>
    </w:p>
    <w:p>
      <w:pPr>
        <w:pStyle w:val="Para 02"/>
      </w:pPr>
      <w:r>
        <w:t>00: RDR FILE 1262 SENT FROM zvmguest</w:t>
        <w:t xml:space="preserve"> </w:t>
        <w:t>PUN WAS 1262 RECS 303K CPY</w:t>
        <w:t xml:space="preserve"> </w:t>
        <w:t>001 A NOHOLD NO</w:t>
      </w:r>
    </w:p>
    <w:p>
      <w:pPr>
        <w:pStyle w:val="Para 02"/>
      </w:pPr>
      <w:r>
        <w:t>KEEP</w:t>
      </w:r>
    </w:p>
    <w:p>
      <w:pPr>
        <w:pStyle w:val="Para 02"/>
      </w:pPr>
      <w:r>
        <w:t>00: 0000003 FILES CHANGED</w:t>
      </w:r>
    </w:p>
    <w:p>
      <w:pPr>
        <w:pStyle w:val="Para 02"/>
      </w:pPr>
      <w:r>
        <w:t>00: 0000003 FILES CHANGED</w:t>
      </w:r>
    </w:p>
    <w:p>
      <w:pPr>
        <w:pStyle w:val="Para 02"/>
      </w:pPr>
      <w:r>
        <w:t>01: HCPGSP2627I The virtual machine is placed in CP mode due to a SIGP</w:t>
        <w:t xml:space="preserve"> </w:t>
        <w:t>initial C</w:t>
      </w:r>
    </w:p>
    <w:p>
      <w:pPr>
        <w:pStyle w:val="Para 02"/>
      </w:pPr>
      <w:r>
        <w:t>PU reset from CPU 00.</w:t>
      </w:r>
    </w:p>
    <w:p>
      <w:pPr>
        <w:pStyle w:val="Para 02"/>
      </w:pPr>
      <w:r>
        <w:t>02: HCPGSP2627I The virtual machine is placed in CP mode due to a SIGP</w:t>
        <w:t xml:space="preserve"> </w:t>
        <w:t>initial C</w:t>
      </w:r>
    </w:p>
    <w:p>
      <w:pPr>
        <w:pStyle w:val="Para 02"/>
      </w:pPr>
      <w:r>
        <w:t>PU reset from CPU 00.</w:t>
      </w:r>
    </w:p>
    <w:p>
      <w:pPr>
        <w:pStyle w:val="Para 02"/>
      </w:pPr>
      <w:r>
        <w:t>03: HCPGSP2627I The virtual machine is placed in CP mode due to a SIGP</w:t>
        <w:t xml:space="preserve"> </w:t>
        <w:t>initial C</w:t>
      </w:r>
    </w:p>
    <w:p>
      <w:pPr>
        <w:pStyle w:val="Para 02"/>
      </w:pPr>
      <w:r>
        <w:t>PU reset from CPU 00.</w:t>
      </w:r>
    </w:p>
    <w:p>
      <w:pPr>
        <w:pStyle w:val="Para 02"/>
      </w:pPr>
      <w:r>
        <w:t>¬</w:t>
        <w:t xml:space="preserve"> </w:t>
        <w:t>0.403380| Initramfs unpacking failed: Decoding failed</w:t>
        <w:t xml:space="preserve"> </w:t>
        <w:t>ln: /tmp/mountroot-fail-hooks.d//scripts/init-premount/lvm2: No such file or dir</w:t>
        <w:t xml:space="preserve"> </w:t>
        <w:t>ectory</w:t>
      </w:r>
    </w:p>
    <w:p>
      <w:pPr>
        <w:pStyle w:val="Para 02"/>
      </w:pPr>
      <w:r>
        <w:t>QETH device 0.0.0600:0.0.0601:0.0.0602 configured</w:t>
      </w:r>
    </w:p>
    <w:p>
      <w:pPr>
        <w:pStyle w:val="Para 02"/>
      </w:pPr>
      <w:r>
        <w:t>IP-Config: enc600 hardware address 02:28:0b:00:00:51 mtu 1500</w:t>
        <w:t xml:space="preserve"> </w:t>
        <w:t>IP-Config: enc600 guessed broadcast address 10.11.12.255</w:t>
        <w:t xml:space="preserve"> </w:t>
        <w:t>IP-Config: enc600 complete:</w:t>
      </w:r>
    </w:p>
    <w:p>
      <w:pPr>
        <w:pStyle w:val="Para 06"/>
      </w:pPr>
      <w:r>
        <w:t>address: 10.11.12.23</w:t>
        <w:t xml:space="preserve"> </w:t>
        <w:t>broadcast: 10.210.210.255</w:t>
        <w:t xml:space="preserve"> </w:t>
        <w:t>netmask: 255.255.255.0</w:t>
      </w:r>
    </w:p>
    <w:p>
      <w:pPr>
        <w:pStyle w:val="Para 06"/>
      </w:pPr>
      <w:r>
        <w:t>gateway: 10.11.12.1</w:t>
        <w:t xml:space="preserve"> </w:t>
        <w:t>dns0</w:t>
        <w:t xml:space="preserve"> </w:t>
        <w:t>: 10.11.12.1</w:t>
        <w:t xml:space="preserve"> </w:t>
        <w:t>dns1</w:t>
        <w:t xml:space="preserve"> </w:t>
        <w:t>: 0.0.0.0</w:t>
      </w:r>
    </w:p>
    <w:p>
      <w:pPr>
        <w:pStyle w:val="Para 06"/>
      </w:pPr>
      <w:r>
        <w:t>host</w:t>
        <w:t xml:space="preserve"> </w:t>
        <w:t>: zvmguest</w:t>
      </w:r>
    </w:p>
    <w:p>
      <w:pPr>
        <w:pStyle w:val="Para 06"/>
      </w:pPr>
      <w:r>
        <w:t>rootserver: 0.0.0.0 rootpath:</w:t>
      </w:r>
    </w:p>
    <w:p>
      <w:pPr>
        <w:pStyle w:val="Para 06"/>
      </w:pPr>
      <w:r>
        <w:t>filename</w:t>
        <w:t xml:space="preserve"> </w:t>
        <w:t>:</w:t>
      </w:r>
    </w:p>
    <w:p>
      <w:pPr>
        <w:pStyle w:val="Para 02"/>
      </w:pPr>
      <w:r>
        <w:t>Connecting to installserver.local:21 (10.11.12.2:21)</w:t>
      </w:r>
    </w:p>
    <w:p>
      <w:pPr>
        <w:pStyle w:val="Para 02"/>
      </w:pPr>
      <w:r>
        <w:t>focal-live-server-s3</w:t>
        <w:t xml:space="preserve"> </w:t>
        <w:t>2% !</w:t>
        <w:t xml:space="preserve"> </w:t>
        <w:t>! 15.2M</w:t>
        <w:t xml:space="preserve"> </w:t>
        <w:t>0:00:48 ETA</w:t>
        <w:t xml:space="preserve"> </w:t>
        <w:t>focal-live-server-s3</w:t>
        <w:t xml:space="preserve"> </w:t>
        <w:t>16% !*****</w:t>
        <w:t xml:space="preserve"> </w:t>
        <w:t>!</w:t>
        <w:t xml:space="preserve"> </w:t>
        <w:t>126M</w:t>
        <w:t xml:space="preserve"> </w:t>
        <w:t>0:00:09 ETA</w:t>
        <w:t xml:space="preserve"> </w:t>
        <w:t>focal-live-server-s3</w:t>
        <w:t xml:space="preserve"> </w:t>
        <w:t>31% !**********</w:t>
        <w:t xml:space="preserve"> </w:t>
        <w:t>!</w:t>
        <w:t xml:space="preserve"> </w:t>
        <w:t>236M</w:t>
        <w:t xml:space="preserve"> </w:t>
        <w:t>0:00:06 ETA</w:t>
        <w:t xml:space="preserve"> </w:t>
        <w:t>focal-live-server-s3</w:t>
        <w:t xml:space="preserve"> </w:t>
        <w:t>46% !**************</w:t>
        <w:t xml:space="preserve"> </w:t>
        <w:t>!</w:t>
        <w:t xml:space="preserve"> </w:t>
        <w:t>347M</w:t>
        <w:t xml:space="preserve"> </w:t>
        <w:t>0:00:04 ETA</w:t>
        <w:t xml:space="preserve"> </w:t>
        <w:t>focal-live-server-s3</w:t>
        <w:t xml:space="preserve"> </w:t>
        <w:t>60% !*******************</w:t>
        <w:t xml:space="preserve"> </w:t>
        <w:t>!</w:t>
        <w:t xml:space="preserve"> </w:t>
        <w:t>456M</w:t>
        <w:t xml:space="preserve"> </w:t>
        <w:t>0:00:03 ETA</w:t>
        <w:t xml:space="preserve"> </w:t>
        <w:t>focal-live-server-s3</w:t>
        <w:t xml:space="preserve"> </w:t>
        <w:t>74% !***********************</w:t>
        <w:t xml:space="preserve"> </w:t>
        <w:t>!</w:t>
        <w:t xml:space="preserve"> </w:t>
        <w:t>563M</w:t>
        <w:t xml:space="preserve"> </w:t>
        <w:t>0:00:02 ETA</w:t>
        <w:t xml:space="preserve"> </w:t>
        <w:t>focal-live-server-s3</w:t>
        <w:t xml:space="preserve"> </w:t>
        <w:t>88% !****************************</w:t>
        <w:t xml:space="preserve"> </w:t>
        <w:t>!</w:t>
        <w:t xml:space="preserve"> </w:t>
        <w:t>667M</w:t>
        <w:t xml:space="preserve"> </w:t>
        <w:t>0:00:00 ETA</w:t>
        <w:t xml:space="preserve"> </w:t>
        <w:t>focal-live-server-s3 100% !********************************!</w:t>
        <w:t xml:space="preserve"> </w:t>
        <w:t>752M</w:t>
        <w:t xml:space="preserve"> </w:t>
        <w:t>0:00:00 ETA</w:t>
        <w:t xml:space="preserve"> </w:t>
        <w:t>mount: mounting /cow on /root/cow failed: No such file or directory</w:t>
        <w:t xml:space="preserve"> </w:t>
        <w:t>Connecting to plymouth: Connection refused</w:t>
      </w:r>
    </w:p>
    <w:p>
      <w:pPr>
        <w:pStyle w:val="Para 02"/>
      </w:pPr>
      <w:r>
        <w:t>passwd: password expiry information changed.</w:t>
      </w:r>
    </w:p>
    <w:p>
      <w:pPr>
        <w:pStyle w:val="Para 02"/>
      </w:pPr>
      <w:r>
        <w:t>¬</w:t>
        <w:t xml:space="preserve"> </w:t>
        <w:t>16.748137| /dev/loop3: Can't open blockdev</w:t>
        <w:t xml:space="preserve"> </w:t>
        <w:t>¬</w:t>
        <w:t xml:space="preserve"> </w:t>
        <w:t>17.908156| systemd¬1|: Failed unmounting /cdrom.</w:t>
        <w:t xml:space="preserve"> </w:t>
        <w:t>¬ ¬0;1;31mFAILED ¬0m| Failed unmounting</w:t>
        <w:t xml:space="preserve"> </w:t>
        <w:t>¬0;1;39m/cdrom ¬0m.</w:t>
        <w:t xml:space="preserve"> </w:t>
        <w:t>¬ ¬0;32m</w:t>
        <w:t xml:space="preserve"> </w:t>
        <w:t>OK</w:t>
        <w:t xml:space="preserve"> </w:t>
        <w:t>¬0m| Listening on</w:t>
        <w:t xml:space="preserve"> </w:t>
        <w:t>¬0;1;39mJournal Socket ¬0m.</w:t>
      </w:r>
    </w:p>
    <w:p>
      <w:pPr>
        <w:pStyle w:val="Para 15"/>
      </w:pPr>
      <w:r>
        <w:t>Mounting</w:t>
        <w:t xml:space="preserve"> </w:t>
        <w:t>¬0;1;39mHuge Pages File System ¬0m...</w:t>
        <w:t xml:space="preserve"> </w:t>
        <w:t>Mounting</w:t>
        <w:t xml:space="preserve"> </w:t>
        <w:t>¬0;1;39mPOSIX Message Queue File System ¬0m...</w:t>
        <w:t xml:space="preserve"> </w:t>
        <w:t>Mounting</w:t>
        <w:t xml:space="preserve"> </w:t>
        <w:t>¬0;1;39mKernel Debug File System ¬0m...</w:t>
        <w:t xml:space="preserve"> </w:t>
        <w:t>Starting</w:t>
        <w:t xml:space="preserve"> </w:t>
        <w:t>¬0;1;39mJournal Service ¬0m...</w:t>
      </w:r>
    </w:p>
    <w:p>
      <w:pPr>
        <w:pStyle w:val="Para 02"/>
      </w:pPr>
      <w:r>
        <w:t>...</w:t>
      </w:r>
    </w:p>
    <w:p>
      <w:pPr>
        <w:pStyle w:val="Para 02"/>
      </w:pPr>
      <w:r>
        <w:t>[</w:t>
        <w:t xml:space="preserve"> </w:t>
        <w:t>61.190916] cloud-init[2076]: Cloud-init v. 20.1-10-g71af48df-0ubuntu5 running</w:t>
      </w:r>
    </w:p>
    <w:p>
      <w:pPr>
        <w:pStyle w:val="Para 02"/>
      </w:pPr>
      <w:r>
        <w:t>'modules:final' at Fri, 26 Jun 2020 11:02:01 +0000. Up 61.09 seconds.</w:t>
        <w:t xml:space="preserve"> </w:t>
        <w:t>[</w:t>
        <w:t xml:space="preserve"> </w:t>
        <w:t>61.191002] cloud-init[2076]: ci-info: no authorized SSH keys fingerprints fo</w:t>
      </w:r>
    </w:p>
    <w:p>
      <w:pPr>
        <w:pStyle w:val="Para 02"/>
      </w:pPr>
      <w:r>
        <w:t>und for user installer.</w:t>
      </w:r>
    </w:p>
    <w:p>
      <w:pPr>
        <w:pStyle w:val="Para 09"/>
      </w:pPr>
      <w:r>
        <w:t>(continues on next page)</w:t>
      </w:r>
    </w:p>
    <w:p>
      <w:bookmarkStart w:id="123" w:name="page_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87"/>
                    <a:stretch>
                      <a:fillRect/>
                    </a:stretch>
                  </pic:blipFill>
                  <pic:spPr>
                    <a:xfrm>
                      <a:off x="0" y="0"/>
                      <a:ext cx="914400" cy="266700"/>
                    </a:xfrm>
                    <a:prstGeom prst="rect">
                      <a:avLst/>
                    </a:prstGeom>
                  </pic:spPr>
                </pic:pic>
              </a:graphicData>
            </a:graphic>
          </wp:anchor>
        </w:drawing>
      </w:r>
      <w:bookmarkEnd w:id="123"/>
    </w:p>
    <w:p>
      <w:pPr>
        <w:pStyle w:val="Para 09"/>
      </w:pPr>
      <w:r>
        <w:t>(continued from previous page)</w:t>
      </w:r>
    </w:p>
    <w:p>
      <w:pPr>
        <w:pStyle w:val="Para 02"/>
      </w:pPr>
      <w:r>
        <w:t>[</w:t>
        <w:t xml:space="preserve"> </w:t>
        <w:t>61.191071] cloud-init[2076]: Cloud-init v. 20.1-10-g71af48df-0ubuntu5 finished at</w:t>
      </w:r>
    </w:p>
    <w:p>
      <w:pPr>
        <w:pStyle w:val="Para 02"/>
      </w:pPr>
      <w:r>
        <w:t>Fri, 26 Jun 2020 11:02:01 +0000.</w:t>
      </w:r>
    </w:p>
    <w:p>
      <w:pPr>
        <w:pStyle w:val="Para 02"/>
      </w:pPr>
      <w:r>
        <w:t>Datasource DataSourceNoCloudNet [seed=cmdline,</w:t>
      </w:r>
    </w:p>
    <w:p>
      <w:pPr>
        <w:pStyle w:val="Para 02"/>
      </w:pPr>
      <w:r>
        <w:t>/var/lib/cloud/seed/nocloud,</w:t>
      </w:r>
    </w:p>
    <w:p>
      <w:pPr>
        <w:pStyle w:val="Para 02"/>
      </w:pPr>
      <w:r>
        <w:t>http://installserver.local:80/autoinstall/zvmguest/]</w:t>
      </w:r>
    </w:p>
    <w:p>
      <w:pPr>
        <w:pStyle w:val="Para 02"/>
      </w:pPr>
      <w:r>
        <w:t>[dsmode=net].</w:t>
        <w:t xml:space="preserve"> </w:t>
        <w:t>Up 61.18 seconds</w:t>
      </w:r>
    </w:p>
    <w:p>
      <w:pPr>
        <w:pStyle w:val="Para 02"/>
      </w:pPr>
      <w:r>
        <w:t>[</w:t>
        <w:t xml:space="preserve"> </w:t>
        <w:t>61.191136] cloud-init[2076]: Welcome to Ubuntu Server Installer!</w:t>
        <w:t xml:space="preserve"> </w:t>
        <w:t>[</w:t>
        <w:t xml:space="preserve"> </w:t>
        <w:t>61.191202] cloud-init[2076]: Above you will find SSH host keys and a random</w:t>
        <w:t xml:space="preserve"> </w:t>
        <w:t>password set for the `installer` user. You can use these credentials to ssh-in</w:t>
        <w:t xml:space="preserve"> </w:t>
        <w:t>and complete the installation. If you provided SSH keys in the cloud-init datasource,</w:t>
        <w:t xml:space="preserve"> </w:t>
        <w:t>they were also provisioned to the installer user.</w:t>
      </w:r>
    </w:p>
    <w:p>
      <w:pPr>
        <w:pStyle w:val="Para 02"/>
      </w:pPr>
      <w:r>
        <w:t>[</w:t>
        <w:t xml:space="preserve"> </w:t>
        <w:t>61.191273] cloud-init[2076]: If you have access to the graphical console,</w:t>
        <w:t xml:space="preserve"> </w:t>
        <w:t>like TTY1 or HMC ASCII terminal you can complete the installation there too.</w:t>
      </w:r>
    </w:p>
    <w:p>
      <w:pPr>
        <w:pStyle w:val="Para 02"/>
      </w:pPr>
      <w:r>
        <w:t>It is possible to connect to the installer over the network, which</w:t>
        <w:t xml:space="preserve"> </w:t>
        <w:t>might allow the use of a more capable terminal.</w:t>
      </w:r>
    </w:p>
    <w:p>
      <w:pPr>
        <w:pStyle w:val="Para 02"/>
      </w:pPr>
      <w:r>
        <w:t>To connect, SSH to installer@10.11.12.23.</w:t>
      </w:r>
    </w:p>
    <w:p>
      <w:pPr>
        <w:pStyle w:val="Para 02"/>
      </w:pPr>
      <w:r>
        <w:t>The password you should use is ''i7UFdP8fhiVVMme3qqH8''.</w:t>
      </w:r>
    </w:p>
    <w:p>
      <w:pPr>
        <w:pStyle w:val="Para 02"/>
      </w:pPr>
      <w:r>
        <w:t>The host key fingerprints are:</w:t>
      </w:r>
    </w:p>
    <w:p>
      <w:pPr>
        <w:pStyle w:val="Para 02"/>
      </w:pPr>
      <w:r>
        <w:t>RSA</w:t>
        <w:t xml:space="preserve"> </w:t>
        <w:t>SHA256:rBXLeUke3D4gKdsruKEajHjocxc9hr3PI</w:t>
        <w:t xml:space="preserve"> </w:t>
        <w:t>ECDSA</w:t>
        <w:t xml:space="preserve"> </w:t>
        <w:t>SHA256:KZZYFswtKxFXWQPuQS9QpOBUoS6RHswis</w:t>
        <w:t xml:space="preserve"> </w:t>
        <w:t>ED25519 SHA256:s+5tZfagx0zffC6gYRGW3t1KcBH6f+Vt0</w:t>
      </w:r>
    </w:p>
    <w:p>
      <w:pPr>
        <w:pStyle w:val="Para 02"/>
      </w:pPr>
      <w:r>
        <w:t>Ubuntu 20.04 LTS ubuntu-server sclp_line0</w:t>
      </w:r>
    </w:p>
    <w:p>
      <w:pPr>
        <w:pStyle w:val="Para 17"/>
      </w:pPr>
      <w:r>
        <w:t/>
      </w:r>
    </w:p>
    <w:p>
      <w:pPr>
        <w:pStyle w:val="Para 04"/>
      </w:pPr>
      <w:r>
        <w:t>• At short notice, you can even log in to the system with the user ‘installer’ and the tem-</w:t>
      </w:r>
    </w:p>
    <w:p>
      <w:pPr>
        <w:pStyle w:val="Para 02"/>
      </w:pPr>
      <w:r>
        <w:t>porary password that was given at the end of the boot-up process (see above) of the installation system:</w:t>
      </w:r>
    </w:p>
    <w:p>
      <w:pPr>
        <w:pStyle w:val="Para 02"/>
      </w:pPr>
      <w:r>
        <w:t>user@workstation:~$ ssh installer@zvmguest</w:t>
      </w:r>
    </w:p>
    <w:p>
      <w:pPr>
        <w:pStyle w:val="Para 02"/>
      </w:pPr>
      <w:r>
        <w:t>The authenticity of host 'zvmguest (10.11.12.23)' can't be established.</w:t>
        <w:t xml:space="preserve"> </w:t>
        <w:t>ECDSA key fingerprint is SHA256:O/dU/D8jJAEGQcbqKGE9La24IRxUPLpzzs5li9F6Vvk.</w:t>
        <w:t xml:space="preserve"> </w:t>
        <w:t>Are you sure you want to continue connecting (yes/no/[fingerprint])? yes</w:t>
        <w:t xml:space="preserve"> </w:t>
        <w:t>Warning: Permanently added 'zvmguest,10.11.12.23' (ECDSA) to the list of known hosts.</w:t>
        <w:t xml:space="preserve"> </w:t>
        <w:t>installer@zvmguest's password:</w:t>
      </w:r>
    </w:p>
    <w:p>
      <w:pPr>
        <w:pStyle w:val="Para 02"/>
      </w:pPr>
      <w:r>
        <w:t>Welcome to Ubuntu 20.04 LTS (GNU/Linux 5.4.0-37-generic s390x)</w:t>
      </w:r>
    </w:p>
    <w:p>
      <w:pPr>
        <w:pStyle w:val="Para 06"/>
      </w:pPr>
      <w:r>
        <w:t>* Documentation:</w:t>
        <w:t xml:space="preserve"> </w:t>
        <w:t>https://help.ubuntu.com</w:t>
        <w:t xml:space="preserve"> </w:t>
        <w:t>* Management:</w:t>
        <w:t xml:space="preserve"> </w:t>
        <w:t>https://landscape.canonical.com</w:t>
        <w:t xml:space="preserve"> </w:t>
        <w:t>* Support:</w:t>
        <w:t xml:space="preserve"> </w:t>
        <w:t>https://ubuntu.com/pro</w:t>
      </w:r>
    </w:p>
    <w:p>
      <w:pPr>
        <w:pStyle w:val="Para 06"/>
      </w:pPr>
      <w:r>
        <w:t>System information as of Fri Jun 26 11:08:18 UTC 2020</w:t>
      </w:r>
    </w:p>
    <w:p>
      <w:pPr>
        <w:pStyle w:val="Para 06"/>
      </w:pPr>
      <w:r>
        <w:t>System load:</w:t>
        <w:t xml:space="preserve"> </w:t>
        <w:t>1.25</w:t>
        <w:t xml:space="preserve"> </w:t>
        <w:t>Memory usage: 4%</w:t>
        <w:t xml:space="preserve"> </w:t>
        <w:t>Processes:</w:t>
        <w:t xml:space="preserve"> </w:t>
        <w:t>192</w:t>
        <w:t xml:space="preserve"> </w:t>
        <w:t>Usage of /home: unknown</w:t>
        <w:t xml:space="preserve"> </w:t>
        <w:t>Swap usage:</w:t>
        <w:t xml:space="preserve"> </w:t>
        <w:t>0%</w:t>
        <w:t xml:space="preserve"> </w:t>
        <w:t>Users logged in: 0</w:t>
      </w:r>
    </w:p>
    <w:p>
      <w:pPr>
        <w:pStyle w:val="Para 02"/>
      </w:pPr>
      <w:r>
        <w:t>0 updates can be installed immediately.</w:t>
      </w:r>
    </w:p>
    <w:p>
      <w:pPr>
        <w:pStyle w:val="Para 02"/>
      </w:pPr>
      <w:r>
        <w:t>0 of these updates are security updates.</w:t>
      </w:r>
    </w:p>
    <w:p>
      <w:pPr>
        <w:pStyle w:val="Para 17"/>
      </w:pPr>
      <w:r>
        <w:t/>
      </w:r>
    </w:p>
    <w:p>
      <w:pPr>
        <w:pStyle w:val="Para 02"/>
      </w:pPr>
      <w:r>
        <w:t>The list of available updates is more than a week old.</w:t>
      </w:r>
    </w:p>
    <w:p>
      <w:pPr>
        <w:pStyle w:val="Para 09"/>
      </w:pPr>
      <w:r>
        <w:t>(continues on next page)</w:t>
      </w:r>
    </w:p>
    <w:p>
      <w:bookmarkStart w:id="124" w:name="page_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88"/>
                    <a:stretch>
                      <a:fillRect/>
                    </a:stretch>
                  </pic:blipFill>
                  <pic:spPr>
                    <a:xfrm>
                      <a:off x="0" y="0"/>
                      <a:ext cx="914400" cy="266700"/>
                    </a:xfrm>
                    <a:prstGeom prst="rect">
                      <a:avLst/>
                    </a:prstGeom>
                  </pic:spPr>
                </pic:pic>
              </a:graphicData>
            </a:graphic>
          </wp:anchor>
        </w:drawing>
      </w:r>
      <w:bookmarkEnd w:id="124"/>
    </w:p>
    <w:p>
      <w:pPr>
        <w:pStyle w:val="Para 09"/>
      </w:pPr>
      <w:r>
        <w:t>(continued from previous page)</w:t>
      </w:r>
    </w:p>
    <w:p>
      <w:pPr>
        <w:pStyle w:val="Para 02"/>
      </w:pPr>
      <w:r>
        <w:t>To check for new updates run: sudo apt update</w:t>
      </w:r>
    </w:p>
    <w:p>
      <w:pPr>
        <w:pStyle w:val="Para 17"/>
      </w:pPr>
      <w:r>
        <w:t/>
      </w:r>
    </w:p>
    <w:p>
      <w:pPr>
        <w:pStyle w:val="Para 02"/>
      </w:pPr>
      <w:r>
        <w:t>The programs included with the Ubuntu system are free software;</w:t>
        <w:t xml:space="preserve"> </w:t>
        <w:t>the exact distribution terms for each program are described in the</w:t>
        <w:t xml:space="preserve"> </w:t>
        <w:t>individual files in /usr/share/doc/*/copyright.</w:t>
      </w:r>
    </w:p>
    <w:p>
      <w:pPr>
        <w:pStyle w:val="Para 02"/>
      </w:pPr>
      <w:r>
        <w:t>Ubuntu comes with ABSOLUTELY NO WARRANTY, to the extent permitted by</w:t>
        <w:t xml:space="preserve"> </w:t>
        <w:t>applicable law.</w:t>
      </w:r>
    </w:p>
    <w:p>
      <w:pPr>
        <w:pStyle w:val="Para 02"/>
      </w:pPr>
      <w:r>
        <w:t>the installer running on /dev/tty1 will perform the autoinstall</w:t>
      </w:r>
    </w:p>
    <w:p>
      <w:pPr>
        <w:pStyle w:val="Para 02"/>
      </w:pPr>
      <w:r>
        <w:t>press enter to start a shell</w:t>
      </w:r>
    </w:p>
    <w:p>
      <w:pPr>
        <w:pStyle w:val="Para 17"/>
      </w:pPr>
      <w:r>
        <w:t/>
      </w:r>
    </w:p>
    <w:p>
      <w:pPr>
        <w:pStyle w:val="Para 04"/>
      </w:pPr>
      <w:r>
        <w:t>• Please note that it informs you about a currently-running autoinstall process:</w:t>
      </w:r>
    </w:p>
    <w:p>
      <w:pPr>
        <w:pStyle w:val="Para 02"/>
      </w:pPr>
      <w:r>
        <w:t>the installer running on</w:t>
        <w:t xml:space="preserve"> </w:t>
        <w:t>/</w:t>
        <w:t>dev</w:t>
        <w:t>/</w:t>
        <w:t>tty1 will perform the autoinstall</w:t>
      </w:r>
    </w:p>
    <w:p>
      <w:pPr>
        <w:pStyle w:val="Para 17"/>
      </w:pPr>
      <w:r>
        <w:t/>
      </w:r>
    </w:p>
    <w:p>
      <w:pPr>
        <w:pStyle w:val="Para 04"/>
      </w:pPr>
      <w:r>
        <w:t>• Nevertheless, we can quickly check some things – although, only until the autoinstall</w:t>
      </w:r>
    </w:p>
    <w:p>
      <w:pPr>
        <w:pStyle w:val="Para 02"/>
      </w:pPr>
      <w:r>
        <w:t>process is finished and the post-install reboot has been triggered:</w:t>
      </w:r>
    </w:p>
    <w:p>
      <w:pPr>
        <w:pStyle w:val="Para 02"/>
      </w:pPr>
      <w:r>
        <w:t>root</w:t>
      </w:r>
      <w:r>
        <w:rPr>
          <w:rStyle w:val="Text0"/>
        </w:rPr>
        <w:t>@ubuntu</w:t>
      </w:r>
      <w:r>
        <w:t>-</w:t>
        <w:t>server:</w:t>
        <w:t>/</w:t>
      </w:r>
      <w:r>
        <w:rPr>
          <w:rStyle w:val="Text3"/>
        </w:rPr>
        <w:t># ls -l /tmp/lets_activate_the_s390x_devices</w:t>
      </w:r>
      <w:r>
        <w:t>-</w:t>
        <w:t>rw</w:t>
        <w:t>-</w:t>
        <w:t>r</w:t>
        <w:t>--</w:t>
        <w:t>r</w:t>
        <w:t>--</w:t>
        <w:t>1</w:t>
        <w:t xml:space="preserve"> </w:t>
        <w:t>root root</w:t>
        <w:t xml:space="preserve"> </w:t>
        <w:t>0</w:t>
        <w:t xml:space="preserve"> </w:t>
        <w:t>Jun</w:t>
        <w:t xml:space="preserve"> </w:t>
        <w:t>26 11</w:t>
        <w:t>:</w:t>
        <w:t>08</w:t>
        <w:t xml:space="preserve"> </w:t>
        <w:t>/</w:t>
        <w:t>tmp</w:t>
        <w:t>/</w:t>
        <w:t>lets_activate_the_s390x_devices</w:t>
        <w:t>-</w:t>
        <w:t>rw</w:t>
        <w:t>-</w:t>
        <w:t>r</w:t>
        <w:t>--</w:t>
        <w:t>r</w:t>
        <w:t>--</w:t>
        <w:t>1</w:t>
        <w:t xml:space="preserve"> </w:t>
        <w:t>root root</w:t>
        <w:t xml:space="preserve"> </w:t>
        <w:t>0</w:t>
        <w:t xml:space="preserve"> </w:t>
        <w:t>Jun</w:t>
        <w:t xml:space="preserve"> </w:t>
        <w:t>26 11</w:t>
        <w:t>:</w:t>
        <w:t>09</w:t>
        <w:t xml:space="preserve"> </w:t>
        <w:t>/</w:t>
        <w:t>tmp</w:t>
        <w:t>/</w:t>
        <w:t>s390x_devices_activation_done</w:t>
      </w:r>
    </w:p>
    <w:p>
      <w:pPr>
        <w:pStyle w:val="Para 02"/>
      </w:pPr>
      <w:r>
        <w:t>root</w:t>
      </w:r>
      <w:r>
        <w:rPr>
          <w:rStyle w:val="Text0"/>
        </w:rPr>
        <w:t>@ubuntu</w:t>
      </w:r>
      <w:r>
        <w:t>-</w:t>
        <w:t>server:</w:t>
        <w:t>/</w:t>
      </w:r>
      <w:r>
        <w:rPr>
          <w:rStyle w:val="Text3"/>
        </w:rPr>
        <w:t># lszdev | grep yes</w:t>
      </w:r>
      <w:r>
        <w:t xml:space="preserve"> </w:t>
        <w:t>dasd</w:t>
        <w:t>-</w:t>
        <w:t>eckd</w:t>
        <w:t xml:space="preserve"> </w:t>
        <w:t>0.0.1</w:t>
        <w:t>f00</w:t>
        <w:t xml:space="preserve"> </w:t>
        <w:t>yes</w:t>
        <w:t xml:space="preserve"> </w:t>
        <w:t>yes</w:t>
        <w:t xml:space="preserve"> </w:t>
        <w:t>qeth</w:t>
        <w:t xml:space="preserve"> </w:t>
        <w:t>0.0.0600</w:t>
        <w:t>:</w:t>
        <w:t>0.0.0601</w:t>
        <w:t>:</w:t>
        <w:t>0.0.0602</w:t>
        <w:t xml:space="preserve"> </w:t>
        <w:t>yes</w:t>
        <w:t xml:space="preserve"> </w:t>
        <w:t>no</w:t>
        <w:t xml:space="preserve"> </w:t>
        <w:t>enc600</w:t>
        <w:t xml:space="preserve"> </w:t>
        <w:t>root</w:t>
      </w:r>
      <w:r>
        <w:rPr>
          <w:rStyle w:val="Text0"/>
        </w:rPr>
        <w:t>@ubuntu</w:t>
      </w:r>
      <w:r>
        <w:t>-</w:t>
        <w:t>server:</w:t>
        <w:t>/</w:t>
      </w:r>
      <w:r>
        <w:rPr>
          <w:rStyle w:val="Text3"/>
        </w:rPr>
        <w:t>#</w:t>
      </w:r>
    </w:p>
    <w:p>
      <w:pPr>
        <w:pStyle w:val="Para 17"/>
      </w:pPr>
      <w:r>
        <w:t/>
      </w:r>
    </w:p>
    <w:p>
      <w:pPr>
        <w:pStyle w:val="Para 04"/>
      </w:pPr>
      <w:r>
        <w:t>• If you wait long enough, you’ll see that the remote session gets closed:</w:t>
      </w:r>
    </w:p>
    <w:p>
      <w:pPr>
        <w:pStyle w:val="Para 02"/>
      </w:pPr>
      <w:r>
        <w:t>root@ubuntu-server:/# Connection to zvmguest closed by remote host.</w:t>
        <w:t xml:space="preserve"> </w:t>
        <w:t>Connection to zvmguest closed.</w:t>
      </w:r>
    </w:p>
    <w:p>
      <w:pPr>
        <w:pStyle w:val="Para 02"/>
      </w:pPr>
      <w:r>
        <w:t>user@workstation:~$</w:t>
      </w:r>
    </w:p>
    <w:p>
      <w:pPr>
        <w:pStyle w:val="Para 17"/>
      </w:pPr>
      <w:r>
        <w:t/>
      </w:r>
    </w:p>
    <w:p>
      <w:pPr>
        <w:pStyle w:val="Para 04"/>
      </w:pPr>
      <w:r>
        <w:t>• As well as at the console:</w:t>
      </w:r>
    </w:p>
    <w:p>
      <w:pPr>
        <w:pStyle w:val="Para 02"/>
      </w:pPr>
      <w:r>
        <w:t>ubuntu</w:t>
        <w:t>-</w:t>
        <w:t>server login:</w:t>
      </w:r>
    </w:p>
    <w:p>
      <w:pPr>
        <w:pStyle w:val="Para 02"/>
      </w:pPr>
      <w:r>
        <w:t>[[</w:t>
        <w:t>0</w:t>
        <w:t>;</w:t>
        <w:t>1</w:t>
        <w:t>;</w:t>
        <w:t>31</w:t>
        <w:t>mFAILED[</w:t>
        <w:t>0</w:t>
        <w:t>m] Failed unmounting [</w:t>
        <w:t>0</w:t>
        <w:t>;</w:t>
        <w:t>1</w:t>
        <w:t>;</w:t>
        <w:t>39</w:t>
        <w:t>m</w:t>
        <w:t>/</w:t>
        <w:t>cdrom[</w:t>
        <w:t>0</w:t>
        <w:t>m</w:t>
        <w:t>.</w:t>
        <w:t xml:space="preserve"> </w:t>
        <w:t>[</w:t>
        <w:t xml:space="preserve"> </w:t>
        <w:t>169.161139</w:t>
        <w:t>] sd</w:t>
        <w:t>-</w:t>
        <w:t>umoun[</w:t>
        <w:t>15600</w:t>
        <w:t>]: Failed to unmount</w:t>
        <w:t xml:space="preserve"> </w:t>
        <w:t>/</w:t>
        <w:t>oldroot: Device</w:t>
        <w:t xml:space="preserve"> </w:t>
      </w:r>
      <w:r>
        <w:rPr>
          <w:rStyle w:val="Text0"/>
        </w:rPr>
        <w:t>or</w:t>
      </w:r>
      <w:r>
        <w:t xml:space="preserve"> </w:t>
        <w:t>resource busy</w:t>
        <w:t xml:space="preserve"> </w:t>
        <w:t>[</w:t>
        <w:t xml:space="preserve"> </w:t>
        <w:t>169.161550</w:t>
        <w:t>] sd</w:t>
        <w:t>-</w:t>
        <w:t>umoun[</w:t>
        <w:t>15601</w:t>
        <w:t>]: Failed to unmount</w:t>
        <w:t xml:space="preserve"> </w:t>
        <w:t>/</w:t>
        <w:t>oldroot</w:t>
        <w:t>/</w:t>
        <w:t>cdrom: Device</w:t>
        <w:t xml:space="preserve"> </w:t>
      </w:r>
      <w:r>
        <w:rPr>
          <w:rStyle w:val="Text0"/>
        </w:rPr>
        <w:t>or</w:t>
      </w:r>
      <w:r>
        <w:t xml:space="preserve"> </w:t>
        <w:t>resource</w:t>
        <w:t xml:space="preserve"> </w:t>
        <w:t>busy</w:t>
      </w:r>
    </w:p>
    <w:p>
      <w:pPr>
        <w:pStyle w:val="Para 02"/>
      </w:pPr>
      <w:r>
        <w:t>[</w:t>
        <w:t xml:space="preserve"> </w:t>
        <w:t>169.168118</w:t>
        <w:t>] shutdown[</w:t>
        <w:t>1</w:t>
        <w:t>]: Failed to finalize</w:t>
        <w:t xml:space="preserve"> </w:t>
        <w:t>file systems, loop devices, ignoring</w:t>
        <w:t xml:space="preserve"> </w:t>
        <w:t>Total:</w:t>
        <w:t xml:space="preserve"> </w:t>
        <w:t>282</w:t>
        <w:t xml:space="preserve"> </w:t>
        <w:t>Selected:</w:t>
        <w:t xml:space="preserve"> </w:t>
        <w:t>0</w:t>
      </w:r>
    </w:p>
    <w:p>
      <w:pPr>
        <w:pStyle w:val="Para 02"/>
      </w:pPr>
      <w:r>
        <w:t>Command:</w:t>
      </w:r>
    </w:p>
    <w:p>
      <w:pPr>
        <w:pStyle w:val="Para 17"/>
      </w:pPr>
      <w:r>
        <w:t/>
      </w:r>
    </w:p>
    <w:p>
      <w:pPr>
        <w:pStyle w:val="Para 04"/>
      </w:pPr>
      <w:r>
        <w:t>• …and that the post-install reboot got triggered:</w:t>
      </w:r>
    </w:p>
    <w:p>
      <w:pPr>
        <w:pStyle w:val="Para 02"/>
      </w:pPr>
      <w:r>
        <w:t>Message</w:t>
      </w:r>
    </w:p>
    <w:p>
      <w:pPr>
        <w:pStyle w:val="Para 02"/>
      </w:pPr>
      <w:r>
        <w:t>Mounting [</w:t>
        <w:t>0</w:t>
        <w:t>;</w:t>
        <w:t>1</w:t>
        <w:t>;</w:t>
        <w:t>39</w:t>
        <w:t>mKernel Configuration File System[</w:t>
        <w:t>0</w:t>
        <w:t>m</w:t>
        <w:t>...</w:t>
        <w:t xml:space="preserve"> </w:t>
        <w:t>Starting [</w:t>
        <w:t>0</w:t>
        <w:t>;</w:t>
        <w:t>1</w:t>
        <w:t>;</w:t>
        <w:t>39</w:t>
        <w:t>mApply Kernel Variables[</w:t>
        <w:t>0</w:t>
        <w:t>m</w:t>
        <w:t>...</w:t>
        <w:t xml:space="preserve"> </w:t>
        <w:t>[[</w:t>
        <w:t>0</w:t>
        <w:t>;</w:t>
        <w:t>32</w:t>
        <w:t>m</w:t>
        <w:t xml:space="preserve"> </w:t>
        <w:t>OK</w:t>
        <w:t xml:space="preserve"> </w:t>
        <w:t>[</w:t>
        <w:t>0</w:t>
        <w:t>m] Finished [</w:t>
        <w:t>0</w:t>
        <w:t>;</w:t>
        <w:t>1</w:t>
        <w:t>;</w:t>
        <w:t>39</w:t>
        <w:t>mRemount Root</w:t>
        <w:t xml:space="preserve"> </w:t>
      </w:r>
      <w:r>
        <w:rPr>
          <w:rStyle w:val="Text0"/>
        </w:rPr>
        <w:t>and</w:t>
      </w:r>
      <w:r>
        <w:t xml:space="preserve"> </w:t>
        <w:t>Kernel File Systems[</w:t>
        <w:t>0</w:t>
        <w:t>m</w:t>
        <w:t>.</w:t>
      </w:r>
    </w:p>
    <w:p>
      <w:pPr>
        <w:pStyle w:val="Para 09"/>
      </w:pPr>
      <w:r>
        <w:t>(continues on next page)</w:t>
      </w:r>
    </w:p>
    <w:p>
      <w:bookmarkStart w:id="125" w:name="page_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89"/>
                    <a:stretch>
                      <a:fillRect/>
                    </a:stretch>
                  </pic:blipFill>
                  <pic:spPr>
                    <a:xfrm>
                      <a:off x="0" y="0"/>
                      <a:ext cx="914400" cy="266700"/>
                    </a:xfrm>
                    <a:prstGeom prst="rect">
                      <a:avLst/>
                    </a:prstGeom>
                  </pic:spPr>
                </pic:pic>
              </a:graphicData>
            </a:graphic>
          </wp:anchor>
        </w:drawing>
      </w:r>
      <w:bookmarkEnd w:id="125"/>
    </w:p>
    <w:p>
      <w:pPr>
        <w:pStyle w:val="Para 09"/>
      </w:pPr>
      <w:r>
        <w:t>(continued from previous page)</w:t>
      </w:r>
    </w:p>
    <w:p>
      <w:pPr>
        <w:pStyle w:val="Para 02"/>
      </w:pPr>
      <w:r>
        <w:t>[[</w:t>
        <w:t>0</w:t>
        <w:t>;</w:t>
        <w:t>32</w:t>
        <w:t>m</w:t>
        <w:t xml:space="preserve"> </w:t>
        <w:t>OK</w:t>
        <w:t xml:space="preserve"> </w:t>
        <w:t>[</w:t>
        <w:t>0</w:t>
        <w:t>m] Finished [</w:t>
        <w:t>0</w:t>
        <w:t>;</w:t>
        <w:t>1</w:t>
        <w:t>;</w:t>
        <w:t>39</w:t>
        <w:t>mUncomplicated firewall[</w:t>
        <w:t>0</w:t>
        <w:t>m</w:t>
        <w:t>.</w:t>
        <w:t xml:space="preserve"> </w:t>
        <w:t>[[</w:t>
        <w:t>0</w:t>
        <w:t>;</w:t>
        <w:t>32</w:t>
        <w:t>m</w:t>
        <w:t xml:space="preserve"> </w:t>
        <w:t>OK</w:t>
        <w:t xml:space="preserve"> </w:t>
        <w:t>[</w:t>
        <w:t>0</w:t>
        <w:t>m] Mounted [</w:t>
        <w:t>0</w:t>
        <w:t>;</w:t>
        <w:t>1</w:t>
        <w:t>;</w:t>
        <w:t>39</w:t>
        <w:t>mFUSE Control File System[</w:t>
        <w:t>0</w:t>
        <w:t>m</w:t>
        <w:t>.</w:t>
        <w:t xml:space="preserve"> </w:t>
        <w:t>[[</w:t>
        <w:t>0</w:t>
        <w:t>;</w:t>
        <w:t>32</w:t>
        <w:t>m</w:t>
        <w:t xml:space="preserve"> </w:t>
        <w:t>OK</w:t>
        <w:t xml:space="preserve"> </w:t>
        <w:t>[</w:t>
        <w:t>0</w:t>
        <w:t>m] Mounted [</w:t>
        <w:t>0</w:t>
        <w:t>;</w:t>
        <w:t>1</w:t>
        <w:t>;</w:t>
        <w:t>39</w:t>
        <w:t>mKernel Configuration File System[</w:t>
        <w:t>0</w:t>
        <w:t>m</w:t>
        <w:t>.</w:t>
        <w:t xml:space="preserve"> </w:t>
        <w:t>...</w:t>
      </w:r>
    </w:p>
    <w:p>
      <w:pPr>
        <w:pStyle w:val="Para 02"/>
      </w:pPr>
      <w:r>
        <w:t>[</w:t>
        <w:t xml:space="preserve"> </w:t>
        <w:t>35.378928</w:t>
        <w:t>] cloud</w:t>
        <w:t>-</w:t>
        <w:t>init[</w:t>
        <w:t>2565</w:t>
        <w:t>]: Cloud</w:t>
        <w:t>-</w:t>
        <w:t>init v</w:t>
        <w:t>.</w:t>
        <w:t xml:space="preserve"> </w:t>
        <w:t>20.1</w:t>
        <w:t>-</w:t>
        <w:t>10</w:t>
        <w:t>-</w:t>
        <w:t>g71af48df</w:t>
        <w:t>-</w:t>
        <w:t>0</w:t>
        <w:t>ubuntu5 runnin</w:t>
        <w:t xml:space="preserve"> </w:t>
        <w:t>g</w:t>
        <w:t xml:space="preserve"> </w:t>
        <w:t>'modules:final'</w:t>
        <w:t xml:space="preserve"> </w:t>
        <w:t>at Fri,</w:t>
        <w:t xml:space="preserve"> </w:t>
        <w:t>26</w:t>
        <w:t xml:space="preserve"> </w:t>
        <w:t>Jun</w:t>
        <w:t xml:space="preserve"> </w:t>
        <w:t>2020 11</w:t>
        <w:t>:</w:t>
        <w:t>10</w:t>
        <w:t>:</w:t>
        <w:t>44</w:t>
        <w:t xml:space="preserve"> </w:t>
        <w:t>+</w:t>
        <w:t>0000.</w:t>
        <w:t xml:space="preserve"> </w:t>
        <w:t>Up</w:t>
        <w:t xml:space="preserve"> </w:t>
        <w:t>35.29</w:t>
        <w:t xml:space="preserve"> </w:t>
        <w:t>seconds</w:t>
        <w:t>.</w:t>
        <w:t xml:space="preserve"> </w:t>
        <w:t>[</w:t>
        <w:t xml:space="preserve"> </w:t>
        <w:t>35.378978</w:t>
        <w:t>] cloud</w:t>
        <w:t>-</w:t>
        <w:t>init[</w:t>
        <w:t>2565</w:t>
        <w:t>]: Cloud</w:t>
        <w:t>-</w:t>
        <w:t>init v</w:t>
        <w:t>.</w:t>
        <w:t xml:space="preserve"> </w:t>
        <w:t>20.1</w:t>
        <w:t>-</w:t>
        <w:t>10</w:t>
        <w:t>-</w:t>
        <w:t>g71af48df</w:t>
        <w:t>-</w:t>
        <w:t>0</w:t>
        <w:t>ubuntu5 finish</w:t>
        <w:t xml:space="preserve"> </w:t>
        <w:t>ed at Fri,</w:t>
        <w:t xml:space="preserve"> </w:t>
        <w:t>26</w:t>
        <w:t xml:space="preserve"> </w:t>
        <w:t>Jun</w:t>
        <w:t xml:space="preserve"> </w:t>
        <w:t>2020 11</w:t>
        <w:t>:</w:t>
        <w:t>10</w:t>
        <w:t>:</w:t>
        <w:t>44</w:t>
        <w:t xml:space="preserve"> </w:t>
        <w:t>+</w:t>
        <w:t>0000.</w:t>
        <w:t xml:space="preserve"> </w:t>
        <w:t>Datasource DataSourceNone</w:t>
        <w:t>.</w:t>
        <w:t xml:space="preserve"> </w:t>
        <w:t>Up</w:t>
        <w:t xml:space="preserve"> </w:t>
        <w:t>35.37</w:t>
        <w:t xml:space="preserve"> </w:t>
        <w:t>seconds</w:t>
        <w:t xml:space="preserve"> </w:t>
        <w:t>[</w:t>
        <w:t xml:space="preserve"> </w:t>
        <w:t>35.379008</w:t>
        <w:t>] cloud</w:t>
        <w:t>-</w:t>
        <w:t>init[</w:t>
        <w:t>2565</w:t>
        <w:t>]:</w:t>
        <w:t xml:space="preserve"> </w:t>
        <w:t>2020</w:t>
        <w:t>-</w:t>
        <w:t>06</w:t>
        <w:t>-</w:t>
        <w:t>26 11</w:t>
        <w:t>:</w:t>
        <w:t>10</w:t>
        <w:t>:</w:t>
        <w:t>44</w:t>
        <w:t>,</w:t>
        <w:t>359</w:t>
        <w:t>-</w:t>
        <w:t>cc_final_message</w:t>
        <w:t>.</w:t>
        <w:t>py[W</w:t>
        <w:t xml:space="preserve"> </w:t>
        <w:t>ARNING]: Used fallback datasource</w:t>
      </w:r>
    </w:p>
    <w:p>
      <w:pPr>
        <w:pStyle w:val="Para 02"/>
      </w:pPr>
      <w:r>
        <w:t>[[</w:t>
        <w:t>0</w:t>
        <w:t>;</w:t>
        <w:t>32</w:t>
        <w:t>m</w:t>
        <w:t xml:space="preserve"> </w:t>
        <w:t>OK</w:t>
        <w:t xml:space="preserve"> </w:t>
        <w:t>[</w:t>
        <w:t>0</w:t>
        <w:t>m] Finished [</w:t>
        <w:t>0</w:t>
        <w:t>;</w:t>
        <w:t>1</w:t>
        <w:t>;</w:t>
        <w:t>39</w:t>
        <w:t>mExecute cloud user</w:t>
        <w:t>/</w:t>
        <w:t>final scripts[</w:t>
        <w:t>0</w:t>
        <w:t>m</w:t>
        <w:t>.</w:t>
        <w:t xml:space="preserve"> </w:t>
        <w:t>[[</w:t>
        <w:t>0</w:t>
        <w:t>;</w:t>
        <w:t>32</w:t>
        <w:t>m</w:t>
        <w:t xml:space="preserve"> </w:t>
        <w:t>OK</w:t>
        <w:t xml:space="preserve"> </w:t>
        <w:t>[</w:t>
        <w:t>0</w:t>
        <w:t>m] Reached target [</w:t>
        <w:t>0</w:t>
        <w:t>;</w:t>
        <w:t>1</w:t>
        <w:t>;</w:t>
        <w:t>39</w:t>
        <w:t>mCloud</w:t>
        <w:t>-</w:t>
        <w:t>init target[</w:t>
        <w:t>0</w:t>
        <w:t>m</w:t>
        <w:t>.</w:t>
      </w:r>
    </w:p>
    <w:p>
      <w:pPr>
        <w:pStyle w:val="Para 02"/>
      </w:pPr>
      <w:r>
        <w:t>zvmguest login:</w:t>
      </w:r>
    </w:p>
    <w:p>
      <w:pPr>
        <w:pStyle w:val="Para 17"/>
      </w:pPr>
      <w:r>
        <w:t/>
      </w:r>
    </w:p>
    <w:p>
      <w:pPr>
        <w:pStyle w:val="Para 04"/>
      </w:pPr>
      <w:r>
        <w:t>• With the completion of the reboot the autoinstall is finished and the z/VM guest is</w:t>
      </w:r>
    </w:p>
    <w:p>
      <w:pPr>
        <w:pStyle w:val="Para 02"/>
      </w:pPr>
      <w:r>
        <w:t>ready to use:</w:t>
      </w:r>
    </w:p>
    <w:p>
      <w:pPr>
        <w:pStyle w:val="Para 02"/>
      </w:pPr>
      <w:r>
        <w:t>user@workstation:~$ ssh-keygen -f "/home/user/.ssh/known_hosts" -R "zvmguest"</w:t>
        <w:t xml:space="preserve"> </w:t>
        <w:t># Host zvmguest found: line 163</w:t>
      </w:r>
    </w:p>
    <w:p>
      <w:pPr>
        <w:pStyle w:val="Para 02"/>
      </w:pPr>
      <w:r>
        <w:t>/home/user/.ssh/known_hosts updated.</w:t>
      </w:r>
    </w:p>
    <w:p>
      <w:pPr>
        <w:pStyle w:val="Para 02"/>
      </w:pPr>
      <w:r>
        <w:t>Original contents retained as /home/user/.ssh/known_hosts.old</w:t>
        <w:t xml:space="preserve"> </w:t>
        <w:t>user@workstation:~$ ssh ubuntu@zvmguest</w:t>
      </w:r>
    </w:p>
    <w:p>
      <w:pPr>
        <w:pStyle w:val="Para 02"/>
      </w:pPr>
      <w:r>
        <w:t>The authenticity of host 'zvmguest (10.11.12.23)' can't be established.</w:t>
        <w:t xml:space="preserve"> </w:t>
        <w:t>ECDSA key fingerprint is SHA256:iGtCArEg+ZnoZlgtOkvmyy0gPY8UEI+f7zoISOF+m/0.</w:t>
        <w:t xml:space="preserve"> </w:t>
        <w:t>Are you sure you want to continue connecting (yes/no/[fingerprint])? yes</w:t>
        <w:t xml:space="preserve"> </w:t>
        <w:t>Warning: Permanently added 'zvmguest,10.11.12.23' (ECDSA) to the list of known hosts.</w:t>
        <w:t xml:space="preserve"> </w:t>
        <w:t>Welcome to Ubuntu 20.04 LTS (GNU/Linux 5.4.0-39-generic s390x)</w:t>
      </w:r>
    </w:p>
    <w:p>
      <w:pPr>
        <w:pStyle w:val="Para 06"/>
      </w:pPr>
      <w:r>
        <w:t>* Documentation:</w:t>
        <w:t xml:space="preserve"> </w:t>
        <w:t>https://help.ubuntu.com</w:t>
        <w:t xml:space="preserve"> </w:t>
        <w:t>* Management:</w:t>
        <w:t xml:space="preserve"> </w:t>
        <w:t>https://landscape.canonical.com</w:t>
        <w:t xml:space="preserve"> </w:t>
        <w:t>* Support:</w:t>
        <w:t xml:space="preserve"> </w:t>
        <w:t>https://ubuntu.com/pro</w:t>
      </w:r>
    </w:p>
    <w:p>
      <w:pPr>
        <w:pStyle w:val="Para 06"/>
      </w:pPr>
      <w:r>
        <w:t>System information as of Fri 26 Jun 2020 11:12:23 AM UTC</w:t>
      </w:r>
    </w:p>
    <w:p>
      <w:pPr>
        <w:pStyle w:val="Para 06"/>
      </w:pPr>
      <w:r>
        <w:t>System load: 0.21</w:t>
        <w:t xml:space="preserve"> </w:t>
        <w:t>Memory usage: 3%</w:t>
        <w:t xml:space="preserve"> </w:t>
        <w:t>Processes:</w:t>
        <w:t xml:space="preserve"> </w:t>
        <w:t>189</w:t>
        <w:t xml:space="preserve"> </w:t>
        <w:t>Usage of /:</w:t>
        <w:t xml:space="preserve"> </w:t>
        <w:t>28.2% of 30.88GB</w:t>
        <w:t xml:space="preserve"> </w:t>
        <w:t>Swap usage:</w:t>
        <w:t xml:space="preserve"> </w:t>
        <w:t>0%</w:t>
        <w:t xml:space="preserve"> </w:t>
        <w:t>Users logged in: 0</w:t>
      </w:r>
    </w:p>
    <w:p>
      <w:pPr>
        <w:pStyle w:val="Para 02"/>
      </w:pPr>
      <w:r>
        <w:t>10 updates can be installed immediately.</w:t>
      </w:r>
    </w:p>
    <w:p>
      <w:pPr>
        <w:pStyle w:val="Para 02"/>
      </w:pPr>
      <w:r>
        <w:t>0 of these updates are security updates.</w:t>
      </w:r>
    </w:p>
    <w:p>
      <w:pPr>
        <w:pStyle w:val="Para 02"/>
      </w:pPr>
      <w:r>
        <w:t>To see these additional updates run: apt list --upgradable</w:t>
      </w:r>
    </w:p>
    <w:p>
      <w:pPr>
        <w:pStyle w:val="Para 02"/>
      </w:pPr>
      <w:r>
        <w:t>The programs included with the Ubuntu system are free software;</w:t>
        <w:t xml:space="preserve"> </w:t>
        <w:t>the exact distribution terms for each program are described in the</w:t>
        <w:t xml:space="preserve"> </w:t>
        <w:t>individual files in /usr/share/doc/*/copyright.</w:t>
      </w:r>
    </w:p>
    <w:p>
      <w:pPr>
        <w:pStyle w:val="Para 02"/>
      </w:pPr>
      <w:r>
        <w:t>Ubuntu comes with ABSOLUTELY NO WARRANTY,</w:t>
      </w:r>
    </w:p>
    <w:p>
      <w:pPr>
        <w:pStyle w:val="Para 02"/>
      </w:pPr>
      <w:r>
        <w:t>to the extent permitted by applicable law.</w:t>
      </w:r>
    </w:p>
    <w:p>
      <w:pPr>
        <w:pStyle w:val="Para 02"/>
      </w:pPr>
      <w:r>
        <w:t>To run a command as administrator (user "root"), use "sudo &lt;command&gt;".</w:t>
        <w:t xml:space="preserve"> </w:t>
        <w:t>See "man sudo_root" for details.</w:t>
      </w:r>
    </w:p>
    <w:p>
      <w:pPr>
        <w:pStyle w:val="Para 02"/>
      </w:pPr>
      <w:r>
        <w:t>ubuntu@zvmguest:~$ uptime</w:t>
      </w:r>
    </w:p>
    <w:p>
      <w:pPr>
        <w:pStyle w:val="Para 06"/>
      </w:pPr>
      <w:r>
        <w:t>11:12:35 up 2 min,</w:t>
        <w:t xml:space="preserve"> </w:t>
        <w:t>1 user,</w:t>
        <w:t xml:space="preserve"> </w:t>
        <w:t>load average: 0.18, 0.17, 0.08</w:t>
      </w:r>
    </w:p>
    <w:p>
      <w:pPr>
        <w:pStyle w:val="Para 02"/>
      </w:pPr>
      <w:r>
        <w:t>ubuntu@zvmguest:~$ lsb_release -a</w:t>
      </w:r>
    </w:p>
    <w:p>
      <w:pPr>
        <w:pStyle w:val="Para 02"/>
      </w:pPr>
      <w:r>
        <w:t>No LSB modules are available.</w:t>
      </w:r>
    </w:p>
    <w:p>
      <w:pPr>
        <w:pStyle w:val="Para 09"/>
      </w:pPr>
      <w:r>
        <w:t>(continues on next page)</w:t>
      </w:r>
    </w:p>
    <w:p>
      <w:bookmarkStart w:id="126" w:name="page_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90"/>
                    <a:stretch>
                      <a:fillRect/>
                    </a:stretch>
                  </pic:blipFill>
                  <pic:spPr>
                    <a:xfrm>
                      <a:off x="0" y="0"/>
                      <a:ext cx="914400" cy="266700"/>
                    </a:xfrm>
                    <a:prstGeom prst="rect">
                      <a:avLst/>
                    </a:prstGeom>
                  </pic:spPr>
                </pic:pic>
              </a:graphicData>
            </a:graphic>
          </wp:anchor>
        </w:drawing>
      </w:r>
      <w:bookmarkEnd w:id="126"/>
    </w:p>
    <w:p>
      <w:pPr>
        <w:pStyle w:val="Para 09"/>
      </w:pPr>
      <w:r>
        <w:t>(continued from previous page)</w:t>
      </w:r>
    </w:p>
    <w:p>
      <w:pPr>
        <w:pStyle w:val="Para 02"/>
      </w:pPr>
      <w:r>
        <w:t>Distributor ID:</w:t>
        <w:t xml:space="preserve"> </w:t>
        <w:t>Ubuntu</w:t>
      </w:r>
    </w:p>
    <w:p>
      <w:pPr>
        <w:pStyle w:val="Para 02"/>
      </w:pPr>
      <w:r>
        <w:t>Description:</w:t>
        <w:t xml:space="preserve"> </w:t>
        <w:t>Ubuntu 20.04 LTS</w:t>
        <w:t xml:space="preserve"> </w:t>
        <w:t>Release:</w:t>
        <w:t xml:space="preserve"> </w:t>
        <w:t>20.04</w:t>
      </w:r>
    </w:p>
    <w:p>
      <w:pPr>
        <w:pStyle w:val="Para 02"/>
      </w:pPr>
      <w:r>
        <w:t>Codename:</w:t>
        <w:t xml:space="preserve"> </w:t>
        <w:t>focal</w:t>
      </w:r>
    </w:p>
    <w:p>
      <w:pPr>
        <w:pStyle w:val="Para 02"/>
      </w:pPr>
      <w:r>
        <w:t>ubuntu@zvmguest:~$ uname -a</w:t>
      </w:r>
    </w:p>
    <w:p>
      <w:pPr>
        <w:pStyle w:val="Para 02"/>
      </w:pPr>
      <w:r>
        <w:t>Linux zvmguest 5.4.0-39-generic #43-Ubuntu SMP Fri Jun 19 10:27:17</w:t>
        <w:t xml:space="preserve"> </w:t>
        <w:t>UTC 2020 s390x s390x s390x</w:t>
      </w:r>
    </w:p>
    <w:p>
      <w:pPr>
        <w:pStyle w:val="Para 02"/>
      </w:pPr>
      <w:r>
        <w:t>GNU/Linux</w:t>
      </w:r>
    </w:p>
    <w:p>
      <w:pPr>
        <w:pStyle w:val="Para 02"/>
      </w:pPr>
      <w:r>
        <w:t>ubuntu@zvmguest:~$ lszdev | grep yes</w:t>
      </w:r>
    </w:p>
    <w:p>
      <w:pPr>
        <w:pStyle w:val="Para 02"/>
      </w:pPr>
      <w:r>
        <w:t>dasd-eckd</w:t>
        <w:t xml:space="preserve"> </w:t>
        <w:t>0.0.1f00</w:t>
        <w:t xml:space="preserve"> </w:t>
        <w:t>yes</w:t>
        <w:t xml:space="preserve"> </w:t>
        <w:t>yes</w:t>
        <w:t xml:space="preserve"> </w:t>
        <w:t>qeth</w:t>
        <w:t xml:space="preserve"> </w:t>
        <w:t>0.0.0600:0.0.0601:0.0.0602</w:t>
        <w:t xml:space="preserve"> </w:t>
        <w:t>yes</w:t>
        <w:t xml:space="preserve"> </w:t>
        <w:t>yes</w:t>
        <w:t xml:space="preserve"> </w:t>
        <w:t>enc600</w:t>
        <w:t xml:space="preserve"> </w:t>
        <w:t>ubuntu@zvmguest:~$ exit</w:t>
      </w:r>
    </w:p>
    <w:p>
      <w:pPr>
        <w:pStyle w:val="Para 02"/>
      </w:pPr>
      <w:r>
        <w:t>logout</w:t>
      </w:r>
    </w:p>
    <w:p>
      <w:pPr>
        <w:pStyle w:val="Para 02"/>
      </w:pPr>
      <w:r>
        <w:t>Connection to zvmguest closed.</w:t>
      </w:r>
    </w:p>
    <w:p>
      <w:pPr>
        <w:pStyle w:val="Para 02"/>
      </w:pPr>
      <w:r>
        <w:t>user@workstation:~$</w:t>
      </w:r>
    </w:p>
    <w:p>
      <w:pPr>
        <w:pStyle w:val="Para 17"/>
      </w:pPr>
      <w:r>
        <w:t/>
      </w:r>
    </w:p>
    <w:p>
      <w:pPr>
        <w:pStyle w:val="Para 01"/>
      </w:pPr>
      <w:r>
        <w:t>Some closing notes</w:t>
      </w:r>
    </w:p>
    <w:p>
      <w:pPr>
        <w:pStyle w:val="Para 17"/>
      </w:pPr>
      <w:r>
        <w:t/>
      </w:r>
    </w:p>
    <w:p>
      <w:pPr>
        <w:pStyle w:val="Para 04"/>
      </w:pPr>
      <w:r>
        <w:t>• It’s always best to use the latest installer and autoinstall components: either make sure</w:t>
      </w:r>
    </w:p>
    <w:p>
      <w:pPr>
        <w:pStyle w:val="Para 02"/>
      </w:pPr>
      <w:r>
        <w:t>the installer gets updated to the latest level, or just use a current daily live-server image.</w:t>
      </w:r>
    </w:p>
    <w:p>
      <w:pPr>
        <w:pStyle w:val="Para 04"/>
      </w:pPr>
      <w:r>
        <w:t>• The ISO image specified with the kernel parameters needs to fit in the boot folder. Its</w:t>
      </w:r>
    </w:p>
    <w:p>
      <w:pPr>
        <w:pStyle w:val="Para 02"/>
      </w:pPr>
      <w:r>
        <w:t>kernel and initrd are specified in the ‘Load from Removable Media and Server’ task at</w:t>
      </w:r>
    </w:p>
    <w:p>
      <w:pPr>
        <w:pStyle w:val="Para 31"/>
      </w:pPr>
      <w:r>
        <w:rPr>
          <w:rStyle w:val="Text4"/>
        </w:rPr>
        <w:t xml:space="preserve">the </w:t>
      </w:r>
      <w:hyperlink w:anchor="page_688">
        <w:r>
          <w:t>hardware management console (HMC)</w:t>
        </w:r>
      </w:hyperlink>
      <w:hyperlink w:anchor="page_688">
        <w:r>
          <w:rPr>
            <w:rStyle w:val="Text3"/>
          </w:rPr>
          <w:t>.</w:t>
        </w:r>
      </w:hyperlink>
    </w:p>
    <w:p>
      <w:pPr>
        <w:pStyle w:val="Para 04"/>
      </w:pPr>
      <w:r>
        <w:t>• In addition to activating disk storage resources in early-commands, other devices like OS-</w:t>
      </w:r>
    </w:p>
    <w:p>
      <w:pPr>
        <w:pStyle w:val="Para 02"/>
      </w:pPr>
      <w:r>
        <w:t>A/QETH can be added and activated there, too. This is not needed for the basic network device, as specified in the kernel parameters that are used for the installation (that one is automatically handled).</w:t>
      </w:r>
    </w:p>
    <w:p>
      <w:pPr>
        <w:pStyle w:val="Para 04"/>
      </w:pPr>
      <w:r>
        <w:t>• If everything is properly set up – FTP server for the image, HTTP server for the autoin-</w:t>
      </w:r>
    </w:p>
    <w:p>
      <w:pPr>
        <w:pStyle w:val="Para 02"/>
      </w:pPr>
      <w:r>
        <w:t>stall config files – the installation can be as quick as 2 to 3 minutes (depending on the complexity of the autoinstall YAML file).</w:t>
      </w:r>
    </w:p>
    <w:p>
      <w:pPr>
        <w:pStyle w:val="Para 04"/>
      </w:pPr>
      <w:r>
        <w:t>• There is a simple way of generating a sample autoinstall YAML file: one can perform an</w:t>
      </w:r>
    </w:p>
    <w:p>
      <w:pPr>
        <w:pStyle w:val="Para 02"/>
      </w:pPr>
      <w:r>
        <w:t>interactive Subiquity installation, grab the file /var/log/installer/autoinstall-user-data, and use it as an example – but beware that the early-commands entries to activate the s390x-specific devices need to be added manually!</w:t>
      </w:r>
    </w:p>
    <w:p>
      <w:pPr>
        <w:pStyle w:val="Para 17"/>
      </w:pPr>
      <w:r>
        <w:t/>
      </w:r>
    </w:p>
    <w:p>
      <w:pPr>
        <w:pStyle w:val="Para 01"/>
      </w:pPr>
      <w:r>
        <w:t>Interactive live server installation on IBM Z LPAR (s390x)</w:t>
      </w:r>
    </w:p>
    <w:p>
      <w:pPr>
        <w:pStyle w:val="Para 17"/>
      </w:pPr>
      <w:r>
        <w:t/>
      </w:r>
    </w:p>
    <w:p>
      <w:pPr>
        <w:pStyle w:val="Normal"/>
      </w:pPr>
      <w:r>
        <w:t>Doing an interactive (manual) live installation as described here - meaning without specifying a parmfile - has been supported in Ubuntu Server since LTS 20.04.5 (‘Focal’).</w:t>
      </w:r>
    </w:p>
    <w:p>
      <w:pPr>
        <w:pStyle w:val="Normal"/>
      </w:pPr>
      <w:r>
        <w:t>The following guide assumes that an FTP server to host the installation files is in place, which</w:t>
      </w:r>
    </w:p>
    <w:p>
      <w:pPr>
        <w:pStyle w:val="Normal"/>
      </w:pPr>
      <w:r>
        <w:t xml:space="preserve">can be used by the ‘Load from Removable Media and Server’ task of the </w:t>
      </w:r>
      <w:hyperlink w:anchor="page_688">
        <w:r>
          <w:rPr>
            <w:rStyle w:val="Text2"/>
          </w:rPr>
          <w:t>Hardware Manage-</w:t>
        </w:r>
      </w:hyperlink>
    </w:p>
    <w:p>
      <w:pPr>
        <w:pStyle w:val="Para 20"/>
      </w:pPr>
      <w:hyperlink w:anchor="page_688">
        <w:r>
          <w:t>ment Console (HMC)</w:t>
        </w:r>
      </w:hyperlink>
      <w:hyperlink w:anchor="page_688">
        <w:r>
          <w:rPr>
            <w:rStyle w:val="Text3"/>
          </w:rPr>
          <w:t>.</w:t>
        </w:r>
      </w:hyperlink>
    </w:p>
    <w:p>
      <w:bookmarkStart w:id="127" w:name="calibre_pb_21"/>
      <w:pPr>
        <w:pStyle w:val="0 Block"/>
      </w:pPr>
      <w:bookmarkEnd w:id="127"/>
    </w:p>
    <w:p>
      <w:bookmarkStart w:id="128" w:name="Top_of_index_split_022_html"/>
      <w:bookmarkStart w:id="129" w:name="page_8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91"/>
                    <a:stretch>
                      <a:fillRect/>
                    </a:stretch>
                  </pic:blipFill>
                  <pic:spPr>
                    <a:xfrm>
                      <a:off x="0" y="0"/>
                      <a:ext cx="914400" cy="266700"/>
                    </a:xfrm>
                    <a:prstGeom prst="rect">
                      <a:avLst/>
                    </a:prstGeom>
                  </pic:spPr>
                </pic:pic>
              </a:graphicData>
            </a:graphic>
          </wp:anchor>
        </w:drawing>
      </w:r>
      <w:bookmarkEnd w:id="128"/>
      <w:bookmarkEnd w:id="129"/>
    </w:p>
    <w:p>
      <w:pPr>
        <w:pStyle w:val="Para 01"/>
      </w:pPr>
      <w:r>
        <w:t>Download and mount the ISO</w:t>
      </w:r>
    </w:p>
    <w:p>
      <w:pPr>
        <w:pStyle w:val="Para 17"/>
      </w:pPr>
      <w:r>
        <w:t/>
      </w:r>
    </w:p>
    <w:p>
      <w:pPr>
        <w:pStyle w:val="Para 18"/>
      </w:pPr>
      <w:r>
        <w:rPr>
          <w:rStyle w:val="Text7"/>
        </w:rPr>
        <w:t xml:space="preserve">Download the </w:t>
      </w:r>
      <w:hyperlink w:anchor="page_85">
        <w:r>
          <w:rPr>
            <w:rStyle w:val="Text10"/>
          </w:rPr>
          <w:t>73</w:t>
        </w:r>
      </w:hyperlink>
      <w:r>
        <w:rPr>
          <w:rStyle w:val="Text7"/>
        </w:rPr>
        <w:t xml:space="preserve"> </w:t>
      </w:r>
      <w:hyperlink r:id="rId1088">
        <w:r>
          <w:t>‘focal daily live image’ (later 20.04.5 image)</w:t>
        </w:r>
      </w:hyperlink>
      <w:r>
        <w:rPr>
          <w:rStyle w:val="Text7"/>
        </w:rPr>
        <w:t>.</w:t>
      </w:r>
    </w:p>
    <w:p>
      <w:pPr>
        <w:pStyle w:val="Normal"/>
      </w:pPr>
      <w:r>
        <w:t>Now loop-back mount the ISO to extract the four files that are needed for the installation:</w:t>
      </w:r>
    </w:p>
    <w:p>
      <w:pPr>
        <w:pStyle w:val="Normal"/>
      </w:pPr>
      <w:r>
        <w:t>user@workstation:~$ mkdir iso</w:t>
      </w:r>
    </w:p>
    <w:p>
      <w:pPr>
        <w:pStyle w:val="Normal"/>
      </w:pPr>
      <w:r>
        <w:t>user@workstation:~$ sudo mount -o loop ubuntu-20.04.5-live-server-s390x.iso iso</w:t>
        <w:t xml:space="preserve"> </w:t>
        <w:t>user@workstation:~$</w:t>
      </w:r>
    </w:p>
    <w:p>
      <w:pPr>
        <w:pStyle w:val="Normal"/>
      </w:pPr>
      <w:r>
        <w:t>user@workstation:~$ ls -1 ./iso/boot/</w:t>
        <w:t>{</w:t>
        <w:t>ubuntu.exec,parmfile.*,kernel.u*,initrd.u*</w:t>
        <w:t>}</w:t>
        <w:t xml:space="preserve"> </w:t>
        <w:t>./iso/boot/initrd.ubuntu</w:t>
      </w:r>
    </w:p>
    <w:p>
      <w:pPr>
        <w:pStyle w:val="Normal"/>
      </w:pPr>
      <w:r>
        <w:t>./iso/boot/kernel.ubuntu</w:t>
      </w:r>
    </w:p>
    <w:p>
      <w:pPr>
        <w:pStyle w:val="Normal"/>
      </w:pPr>
      <w:r>
        <w:t>./iso/boot/parmfile.ubuntu</w:t>
      </w:r>
    </w:p>
    <w:p>
      <w:pPr>
        <w:pStyle w:val="Normal"/>
      </w:pPr>
      <w:r>
        <w:t>./iso/boot/ubuntu.exec</w:t>
      </w:r>
    </w:p>
    <w:p>
      <w:pPr>
        <w:pStyle w:val="Para 17"/>
      </w:pPr>
      <w:r>
        <w:t/>
      </w:r>
    </w:p>
    <w:p>
      <w:pPr>
        <w:pStyle w:val="Para 01"/>
      </w:pPr>
      <w:r>
        <w:t>Make the files available via your FTP server.</w:t>
      </w:r>
    </w:p>
    <w:p>
      <w:pPr>
        <w:pStyle w:val="Para 17"/>
      </w:pPr>
      <w:r>
        <w:t/>
      </w:r>
    </w:p>
    <w:p>
      <w:pPr>
        <w:pStyle w:val="Para 04"/>
      </w:pPr>
      <w:r>
        <w:t>• Open the IBM Z HMC and navigate to ‘Systems Management’ on your machine.</w:t>
      </w:r>
    </w:p>
    <w:p>
      <w:pPr>
        <w:pStyle w:val="Para 04"/>
      </w:pPr>
      <w:r>
        <w:t>• Select the LPAR that you are going to install Ubuntu Server on. In this example we use</w:t>
      </w:r>
    </w:p>
    <w:p>
      <w:pPr>
        <w:pStyle w:val="Para 02"/>
      </w:pPr>
      <w:r>
        <w:t>LPAR s1lp11.</w:t>
      </w:r>
    </w:p>
    <w:p>
      <w:pPr>
        <w:pStyle w:val="Para 04"/>
      </w:pPr>
      <w:r>
        <w:t>• Now select menu: ‘Recovery’ –&gt; ‘Load from Removable Media or Server’ task.</w:t>
      </w:r>
    </w:p>
    <w:p>
      <w:pPr>
        <w:pStyle w:val="Para 04"/>
      </w:pPr>
      <w:r>
        <w:t>• Fill out the ‘Load from Removable Media or Server’ form as follows (adapt the settings</w:t>
      </w:r>
    </w:p>
    <w:p>
      <w:pPr>
        <w:pStyle w:val="Para 02"/>
      </w:pPr>
      <w:r>
        <w:t>to your particular installation environment):</w:t>
      </w:r>
    </w:p>
    <w:p>
      <w:pPr>
        <w:pStyle w:val="Para 02"/>
      </w:pPr>
      <w:r>
        <w:t>Load from Removable Media, or Server - &lt;machine&gt;:s1lp11</w:t>
        <w:t xml:space="preserve"> </w:t>
        <w:t>Use this task to load operating system software or utility programs</w:t>
        <w:t xml:space="preserve"> </w:t>
        <w:t>from a CD / DVD-ROM or a server that can be accessed using FTP.</w:t>
        <w:t xml:space="preserve"> </w:t>
        <w:t>Select the source of the software:</w:t>
      </w:r>
    </w:p>
    <w:p>
      <w:pPr>
        <w:pStyle w:val="Para 02"/>
      </w:pPr>
      <w:r>
        <w:t>o Hardware Management Console CD / DVD-ROM</w:t>
      </w:r>
    </w:p>
    <w:p>
      <w:pPr>
        <w:pStyle w:val="Para 02"/>
      </w:pPr>
      <w:r>
        <w:t>o Hardware Management Console CD / DVD-ROM and assign for operating system use</w:t>
        <w:t xml:space="preserve"> </w:t>
        <w:t>o Hardware Management Console USB flash memory drive</w:t>
      </w:r>
    </w:p>
    <w:p>
      <w:pPr>
        <w:pStyle w:val="Para 02"/>
      </w:pPr>
      <w:r>
        <w:t>o Hardware Management Console USB flash memory drive and assign for operating system</w:t>
        <w:t xml:space="preserve"> </w:t>
        <w:t>use</w:t>
      </w:r>
    </w:p>
    <w:p>
      <w:pPr>
        <w:pStyle w:val="Para 02"/>
      </w:pPr>
      <w:r>
        <w:t>* FTP Source</w:t>
      </w:r>
    </w:p>
    <w:p>
      <w:pPr>
        <w:pStyle w:val="Para 06"/>
      </w:pPr>
      <w:r>
        <w:t>Host computer:</w:t>
        <w:t xml:space="preserve"> </w:t>
        <w:t>install-server</w:t>
        <w:t xml:space="preserve"> </w:t>
        <w:t>User ID:</w:t>
        <w:t xml:space="preserve"> </w:t>
        <w:t>ftpuser</w:t>
      </w:r>
    </w:p>
    <w:p>
      <w:pPr>
        <w:pStyle w:val="Para 06"/>
      </w:pPr>
      <w:r>
        <w:t>Password: ********</w:t>
      </w:r>
    </w:p>
    <w:p>
      <w:pPr>
        <w:pStyle w:val="Para 06"/>
      </w:pPr>
      <w:r>
        <w:t>Account (optional):</w:t>
      </w:r>
    </w:p>
    <w:p>
      <w:pPr>
        <w:pStyle w:val="Para 06"/>
      </w:pPr>
      <w:r>
        <w:t>File location (optional): ubuntu-live-server-20.04.5/boot</w:t>
      </w:r>
    </w:p>
    <w:p>
      <w:pPr>
        <w:pStyle w:val="Para 17"/>
      </w:pPr>
      <w:r>
        <w:t/>
      </w:r>
    </w:p>
    <w:p>
      <w:pPr>
        <w:pStyle w:val="Para 02"/>
      </w:pPr>
      <w:r>
        <w:t>You may need to adjust the file’s location according to your install server environment.</w:t>
      </w:r>
    </w:p>
    <w:p>
      <w:pPr>
        <w:pStyle w:val="Para 04"/>
      </w:pPr>
      <w:r>
        <w:t>• Confirm the entered data:</w:t>
      </w:r>
    </w:p>
    <w:p>
      <w:pPr>
        <w:pStyle w:val="Para 02"/>
      </w:pPr>
      <w:r>
        <w:t>Load from Removable Media or Server - Select Software to Install -</w:t>
        <w:t>&lt;machine&gt;:s1lp11</w:t>
      </w:r>
    </w:p>
    <w:p>
      <w:pPr>
        <w:pStyle w:val="Para 02"/>
      </w:pPr>
      <w:r>
        <w:t>Select the software to install.</w:t>
      </w:r>
    </w:p>
    <w:p>
      <w:pPr>
        <w:pStyle w:val="Para 02"/>
      </w:pPr>
      <w:r>
        <w:t>Select</w:t>
        <w:t xml:space="preserve"> </w:t>
        <w:t>Name</w:t>
        <w:t xml:space="preserve"> </w:t>
        <w:t>Description</w:t>
        <w:t xml:space="preserve"> </w:t>
        <w:t>*</w:t>
        <w:t xml:space="preserve"> </w:t>
        <w:t>ubuntu-live-server-20.04.5/boot/ubuntu.ins</w:t>
        <w:t xml:space="preserve"> </w:t>
        <w:t>Ubuntu for IBM Z (default kernel)</w:t>
      </w:r>
    </w:p>
    <w:p>
      <w:pPr>
        <w:pStyle w:val="Para 17"/>
      </w:pPr>
      <w:r>
        <w:t/>
      </w:r>
    </w:p>
    <w:p>
      <w:pPr>
        <w:pStyle w:val="Para 04"/>
      </w:pPr>
      <w:r>
        <w:t>• Confirm again that jobs might be cancelled if proceeding:</w:t>
      </w:r>
    </w:p>
    <w:p>
      <w:pPr>
        <w:pStyle w:val="Para 05"/>
      </w:pPr>
      <w:r>
        <w:rPr>
          <w:rStyle w:val="Text5"/>
        </w:rPr>
        <w:t>73</w:t>
      </w:r>
      <w:r>
        <w:rPr>
          <w:rStyle w:val="Text8"/>
        </w:rPr>
        <w:t xml:space="preserve"> </w:t>
      </w:r>
      <w:r>
        <w:t>http://cdimage.ubuntu.com/ubuntu/releases/20.04.5/release/ubuntu-20.04.5-live-server-s390x.iso</w:t>
      </w:r>
    </w:p>
    <w:p>
      <w:bookmarkStart w:id="130" w:name="page_8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92"/>
                    <a:stretch>
                      <a:fillRect/>
                    </a:stretch>
                  </pic:blipFill>
                  <pic:spPr>
                    <a:xfrm>
                      <a:off x="0" y="0"/>
                      <a:ext cx="914400" cy="266700"/>
                    </a:xfrm>
                    <a:prstGeom prst="rect">
                      <a:avLst/>
                    </a:prstGeom>
                  </pic:spPr>
                </pic:pic>
              </a:graphicData>
            </a:graphic>
          </wp:anchor>
        </w:drawing>
      </w:r>
      <w:bookmarkEnd w:id="130"/>
    </w:p>
    <w:p>
      <w:pPr>
        <w:pStyle w:val="Para 02"/>
      </w:pPr>
      <w:r>
        <w:t>Load from Removable Media or Server Task Confirmation -</w:t>
        <w:t>&lt;machine&gt;:s1lp11</w:t>
      </w:r>
    </w:p>
    <w:p>
      <w:pPr>
        <w:pStyle w:val="Para 02"/>
      </w:pPr>
      <w:r>
        <w:t>Load will cause jobs to be cancelled.</w:t>
      </w:r>
    </w:p>
    <w:p>
      <w:pPr>
        <w:pStyle w:val="Para 02"/>
      </w:pPr>
      <w:r>
        <w:t>Do you want to continue with this task?</w:t>
      </w:r>
    </w:p>
    <w:p>
      <w:pPr>
        <w:pStyle w:val="Para 02"/>
      </w:pPr>
      <w:r>
        <w:t>ACT33501</w:t>
      </w:r>
    </w:p>
    <w:p>
      <w:pPr>
        <w:pStyle w:val="Para 17"/>
      </w:pPr>
      <w:r>
        <w:t/>
      </w:r>
    </w:p>
    <w:p>
      <w:pPr>
        <w:pStyle w:val="Para 04"/>
      </w:pPr>
      <w:r>
        <w:t>• And confirm a last time that it’s understood that the task is disruptive:</w:t>
      </w:r>
    </w:p>
    <w:p>
      <w:pPr>
        <w:pStyle w:val="Para 02"/>
      </w:pPr>
      <w:r>
        <w:t>Disruptive Task Confirmation : Load from Removable Media or Server -</w:t>
        <w:t>&lt;machine&gt;:s1lp11</w:t>
      </w:r>
    </w:p>
    <w:p>
      <w:pPr>
        <w:pStyle w:val="Para 02"/>
      </w:pPr>
      <w:r>
        <w:t>Attention: The Load from Removable Media or Server task is disruptive.</w:t>
      </w:r>
    </w:p>
    <w:p>
      <w:pPr>
        <w:pStyle w:val="Para 17"/>
      </w:pPr>
      <w:r>
        <w:t/>
      </w:r>
    </w:p>
    <w:p>
      <w:pPr>
        <w:pStyle w:val="Para 02"/>
      </w:pPr>
      <w:r>
        <w:t>Executing the Load from Removable Media or Server task may</w:t>
        <w:t xml:space="preserve"> </w:t>
        <w:t>adversely affect the objects listed below. Review the confirmation text</w:t>
        <w:t xml:space="preserve"> </w:t>
        <w:t>for each object before continuing with the Load from Removable Media</w:t>
        <w:t xml:space="preserve"> </w:t>
        <w:t>or Server task.</w:t>
      </w:r>
    </w:p>
    <w:p>
      <w:pPr>
        <w:pStyle w:val="Para 02"/>
      </w:pPr>
      <w:r>
        <w:t>Objects that will be affected by the Load from Removable Media or</w:t>
        <w:t xml:space="preserve"> </w:t>
        <w:t>Server task</w:t>
      </w:r>
    </w:p>
    <w:p>
      <w:pPr>
        <w:pStyle w:val="Para 02"/>
      </w:pPr>
      <w:r>
        <w:t>System Name</w:t>
        <w:t xml:space="preserve"> </w:t>
        <w:t>Type</w:t>
        <w:t xml:space="preserve"> </w:t>
        <w:t>OS Name</w:t>
        <w:t xml:space="preserve"> </w:t>
        <w:t>Status</w:t>
        <w:t xml:space="preserve"> </w:t>
        <w:t>Confirmation Text</w:t>
        <w:t xml:space="preserve"> </w:t>
        <w:t>&lt;machine&gt;:s1lp11</w:t>
        <w:t xml:space="preserve"> </w:t>
        <w:t>Image</w:t>
        <w:t xml:space="preserve"> </w:t>
        <w:t>Operating</w:t>
        <w:t xml:space="preserve"> </w:t>
        <w:t>Load from Removable Media</w:t>
        <w:t xml:space="preserve"> </w:t>
        <w:t>or Server causes operations to be disrupted, since the target is</w:t>
        <w:t xml:space="preserve"> </w:t>
        <w:t>currently in use and operating normally.</w:t>
      </w:r>
    </w:p>
    <w:p>
      <w:pPr>
        <w:pStyle w:val="Para 02"/>
      </w:pPr>
      <w:r>
        <w:t>Do you want to execute the Load from Removable Media or Server task?</w:t>
      </w:r>
    </w:p>
    <w:p>
      <w:pPr>
        <w:pStyle w:val="Para 17"/>
      </w:pPr>
      <w:r>
        <w:t/>
      </w:r>
    </w:p>
    <w:p>
      <w:pPr>
        <w:pStyle w:val="Para 04"/>
      </w:pPr>
      <w:r>
        <w:t>• The ‘Load from Removable media or Server’ task is now executed:</w:t>
      </w:r>
    </w:p>
    <w:p>
      <w:pPr>
        <w:pStyle w:val="Para 02"/>
      </w:pPr>
      <w:r>
        <w:t>Load from Removable media or Server Progress - P00B8F67:S1LPB</w:t>
        <w:t xml:space="preserve"> </w:t>
        <w:t>Turn on context sensitive help.</w:t>
      </w:r>
    </w:p>
    <w:p>
      <w:pPr>
        <w:pStyle w:val="Para 02"/>
      </w:pPr>
      <w:r>
        <w:t>Function duration time:</w:t>
        <w:t xml:space="preserve"> </w:t>
        <w:t>00:55:00</w:t>
        <w:t xml:space="preserve"> </w:t>
        <w:t>Elapsed time: 00:00:04</w:t>
      </w:r>
    </w:p>
    <w:p>
      <w:pPr>
        <w:pStyle w:val="Para 02"/>
      </w:pPr>
      <w:r>
        <w:t>Select</w:t>
        <w:t xml:space="preserve"> </w:t>
        <w:t>Object Name</w:t>
        <w:t xml:space="preserve"> </w:t>
        <w:t>Status</w:t>
        <w:t xml:space="preserve"> </w:t>
        <w:t>*</w:t>
        <w:t xml:space="preserve"> </w:t>
        <w:t>&lt;machine&gt; s1lp11</w:t>
        <w:t xml:space="preserve"> </w:t>
        <w:t>Please wait while the image is being loaded.</w:t>
      </w:r>
    </w:p>
    <w:p>
      <w:pPr>
        <w:pStyle w:val="Para 17"/>
      </w:pPr>
      <w:r>
        <w:t/>
      </w:r>
    </w:p>
    <w:p>
      <w:pPr>
        <w:pStyle w:val="Para 04"/>
      </w:pPr>
      <w:r>
        <w:t>• This may take a moment, but you will soon see:</w:t>
      </w:r>
    </w:p>
    <w:p>
      <w:pPr>
        <w:pStyle w:val="Para 02"/>
      </w:pPr>
      <w:r>
        <w:t>Load</w:t>
        <w:t xml:space="preserve"> </w:t>
      </w:r>
      <w:r>
        <w:rPr>
          <w:rStyle w:val="Text0"/>
        </w:rPr>
        <w:t>from</w:t>
      </w:r>
      <w:r>
        <w:t xml:space="preserve"> </w:t>
      </w:r>
      <w:r>
        <w:rPr>
          <w:rStyle w:val="Text0"/>
        </w:rPr>
        <w:t>Removable</w:t>
      </w:r>
      <w:r>
        <w:t xml:space="preserve"> </w:t>
        <w:t>media</w:t>
        <w:t xml:space="preserve"> </w:t>
      </w:r>
      <w:r>
        <w:rPr>
          <w:rStyle w:val="Text0"/>
        </w:rPr>
        <w:t>or</w:t>
      </w:r>
      <w:r>
        <w:t xml:space="preserve"> </w:t>
        <w:t>Server Progress</w:t>
        <w:t>- &lt;</w:t>
        <w:t>machine</w:t>
        <w:t>&gt;</w:t>
        <w:t>:s1lp11</w:t>
        <w:t xml:space="preserve"> </w:t>
        <w:t>Function duration time:</w:t>
        <w:t xml:space="preserve"> </w:t>
        <w:t>00</w:t>
        <w:t>:</w:t>
        <w:t>55</w:t>
        <w:t>:</w:t>
        <w:t>00</w:t>
        <w:t xml:space="preserve"> </w:t>
        <w:t>Elapsed time:</w:t>
        <w:t xml:space="preserve"> </w:t>
        <w:t>00</w:t>
        <w:t>:</w:t>
        <w:t>00</w:t>
        <w:t>:</w:t>
        <w:t>21</w:t>
      </w:r>
    </w:p>
    <w:p>
      <w:pPr>
        <w:pStyle w:val="Para 02"/>
      </w:pPr>
      <w:r>
        <w:t>Select</w:t>
        <w:t xml:space="preserve"> </w:t>
        <w:t>Object Name</w:t>
        <w:t xml:space="preserve"> </w:t>
        <w:t>Status</w:t>
        <w:t xml:space="preserve"> </w:t>
        <w:t>*</w:t>
        <w:t xml:space="preserve"> </w:t>
        <w:t>&lt;</w:t>
        <w:t>machine</w:t>
        <w:t>&gt;</w:t>
        <w:t xml:space="preserve"> </w:t>
        <w:t>s1lp11</w:t>
        <w:t xml:space="preserve"> </w:t>
        <w:t>Success</w:t>
      </w:r>
    </w:p>
    <w:p>
      <w:pPr>
        <w:pStyle w:val="Para 17"/>
      </w:pPr>
      <w:r>
        <w:t/>
      </w:r>
    </w:p>
    <w:p>
      <w:pPr>
        <w:pStyle w:val="Para 04"/>
      </w:pPr>
      <w:r>
        <w:t>• Close the ‘Load from Removable media or Server’ task and open the console a.k.a. ‘Op-</w:t>
      </w:r>
    </w:p>
    <w:p>
      <w:pPr>
        <w:pStyle w:val="Para 02"/>
      </w:pPr>
      <w:r>
        <w:t>erating System Messages’ instead. If no parmfile was configured or provided, you will find the following lines in the ‘Operating System Messages’ task:</w:t>
      </w:r>
    </w:p>
    <w:p>
      <w:pPr>
        <w:pStyle w:val="Para 02"/>
      </w:pPr>
      <w:r>
        <w:t>Operating System Messages - &lt;machine&gt;:s1lp11</w:t>
      </w:r>
    </w:p>
    <w:p>
      <w:pPr>
        <w:pStyle w:val="Para 02"/>
      </w:pPr>
      <w:r>
        <w:t>Message</w:t>
      </w:r>
    </w:p>
    <w:p>
      <w:pPr>
        <w:pStyle w:val="Para 02"/>
      </w:pPr>
      <w:r>
        <w:t>Unable to find a medium container a live file system</w:t>
      </w:r>
    </w:p>
    <w:p>
      <w:pPr>
        <w:pStyle w:val="Para 02"/>
      </w:pPr>
      <w:r>
        <w:t>Attempt interactive netboot from a URL?</w:t>
      </w:r>
    </w:p>
    <w:p>
      <w:pPr>
        <w:pStyle w:val="Para 02"/>
      </w:pPr>
      <w:r>
        <w:t>yes no (default yes):</w:t>
      </w:r>
    </w:p>
    <w:p>
      <w:bookmarkStart w:id="131" w:name="page_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93"/>
                    <a:stretch>
                      <a:fillRect/>
                    </a:stretch>
                  </pic:blipFill>
                  <pic:spPr>
                    <a:xfrm>
                      <a:off x="0" y="0"/>
                      <a:ext cx="914400" cy="266700"/>
                    </a:xfrm>
                    <a:prstGeom prst="rect">
                      <a:avLst/>
                    </a:prstGeom>
                  </pic:spPr>
                </pic:pic>
              </a:graphicData>
            </a:graphic>
          </wp:anchor>
        </w:drawing>
      </w:r>
      <w:bookmarkEnd w:id="131"/>
    </w:p>
    <w:p>
      <w:pPr>
        <w:pStyle w:val="Para 04"/>
      </w:pPr>
      <w:r>
        <w:t>• By default, you will now see the interactive network configuration menu (again, only if</w:t>
      </w:r>
    </w:p>
    <w:p>
      <w:pPr>
        <w:pStyle w:val="Para 17"/>
      </w:pPr>
      <w:r>
        <w:t>no parmfile was prepared with sufficient network configuration information).</w:t>
      </w:r>
    </w:p>
    <w:p>
      <w:pPr>
        <w:pStyle w:val="Para 04"/>
      </w:pPr>
      <w:r>
        <w:t>• Proceed with the interactive network configuration – in this case in a VLAN environ-</w:t>
      </w:r>
    </w:p>
    <w:p>
      <w:pPr>
        <w:pStyle w:val="Para 02"/>
      </w:pPr>
      <w:r>
        <w:t>ment:</w:t>
      </w:r>
    </w:p>
    <w:p>
      <w:pPr>
        <w:pStyle w:val="Para 02"/>
      </w:pPr>
      <w:r>
        <w:t>Unable to find a medium container a live file system</w:t>
      </w:r>
    </w:p>
    <w:p>
      <w:pPr>
        <w:pStyle w:val="Para 02"/>
      </w:pPr>
      <w:r>
        <w:t>Attempt interactive netboot from a URL?</w:t>
      </w:r>
    </w:p>
    <w:p>
      <w:pPr>
        <w:pStyle w:val="Para 02"/>
      </w:pPr>
      <w:r>
        <w:t>yes no (default yes):</w:t>
      </w:r>
    </w:p>
    <w:p>
      <w:pPr>
        <w:pStyle w:val="Para 02"/>
      </w:pPr>
      <w:r>
        <w:t>yes</w:t>
      </w:r>
    </w:p>
    <w:p>
      <w:pPr>
        <w:pStyle w:val="Para 02"/>
      </w:pPr>
      <w:r>
        <w:t>Available qeth devices:</w:t>
      </w:r>
    </w:p>
    <w:p>
      <w:pPr>
        <w:pStyle w:val="Para 02"/>
      </w:pPr>
      <w:r>
        <w:t>0.0.c000 0.0.c003 0.0.c006 0.0.c009 0.0.c00c 0.0.c00f</w:t>
      </w:r>
    </w:p>
    <w:p>
      <w:pPr>
        <w:pStyle w:val="Para 02"/>
      </w:pPr>
      <w:r>
        <w:t>zdev to activate (comma separated, optional):</w:t>
      </w:r>
    </w:p>
    <w:p>
      <w:pPr>
        <w:pStyle w:val="Para 02"/>
      </w:pPr>
      <w:r>
        <w:t>0.0.c000</w:t>
      </w:r>
    </w:p>
    <w:p>
      <w:pPr>
        <w:pStyle w:val="Para 02"/>
      </w:pPr>
      <w:r>
        <w:t>QETH device 0.0.c000:0.0.c001:0.0.c002 configured</w:t>
      </w:r>
    </w:p>
    <w:p>
      <w:pPr>
        <w:pStyle w:val="Para 02"/>
      </w:pPr>
      <w:r>
        <w:t>Two methods available for IP configuration:</w:t>
      </w:r>
    </w:p>
    <w:p>
      <w:pPr>
        <w:pStyle w:val="Para 02"/>
      </w:pPr>
      <w:r>
        <w:t>* static: for static IP configuration</w:t>
      </w:r>
    </w:p>
    <w:p>
      <w:pPr>
        <w:pStyle w:val="Para 02"/>
      </w:pPr>
      <w:r>
        <w:t>* dhcp: for automatic IP configuration</w:t>
      </w:r>
    </w:p>
    <w:p>
      <w:pPr>
        <w:pStyle w:val="Para 02"/>
      </w:pPr>
      <w:r>
        <w:t>static dhcp (default 'dhcp'):</w:t>
      </w:r>
    </w:p>
    <w:p>
      <w:pPr>
        <w:pStyle w:val="Para 02"/>
      </w:pPr>
      <w:r>
        <w:t>static</w:t>
      </w:r>
    </w:p>
    <w:p>
      <w:pPr>
        <w:pStyle w:val="Para 02"/>
      </w:pPr>
      <w:r>
        <w:t>ip:</w:t>
      </w:r>
    </w:p>
    <w:p>
      <w:pPr>
        <w:pStyle w:val="Para 02"/>
      </w:pPr>
      <w:r>
        <w:t>10.222.111.11</w:t>
      </w:r>
    </w:p>
    <w:p>
      <w:pPr>
        <w:pStyle w:val="Para 02"/>
      </w:pPr>
      <w:r>
        <w:t>gateway (default 10.222.111.1):</w:t>
      </w:r>
    </w:p>
    <w:p>
      <w:pPr>
        <w:pStyle w:val="Para 02"/>
      </w:pPr>
      <w:r>
        <w:t>10.222.111.1</w:t>
      </w:r>
    </w:p>
    <w:p>
      <w:pPr>
        <w:pStyle w:val="Para 02"/>
      </w:pPr>
      <w:r>
        <w:t>dns (default 10.222.111.1):</w:t>
      </w:r>
    </w:p>
    <w:p>
      <w:pPr>
        <w:pStyle w:val="Para 02"/>
      </w:pPr>
      <w:r>
        <w:t>10.222.111.1</w:t>
      </w:r>
    </w:p>
    <w:p>
      <w:pPr>
        <w:pStyle w:val="Para 02"/>
      </w:pPr>
      <w:r>
        <w:t>vlan id (optional):</w:t>
      </w:r>
    </w:p>
    <w:p>
      <w:pPr>
        <w:pStyle w:val="Para 02"/>
      </w:pPr>
      <w:r>
        <w:t>1234</w:t>
      </w:r>
    </w:p>
    <w:p>
      <w:pPr>
        <w:pStyle w:val="Para 02"/>
      </w:pPr>
      <w:r>
        <w:t>http://cdimage.ubuntu.com/ubuntu/releases/20.04.5/release/ubuntu-20.04.5-live-server-</w:t>
        <w:t>s390x.iso (default)</w:t>
      </w:r>
    </w:p>
    <w:p>
      <w:pPr>
        <w:pStyle w:val="Para 02"/>
      </w:pPr>
      <w:r>
        <w:t>url:</w:t>
      </w:r>
    </w:p>
    <w:p>
      <w:pPr>
        <w:pStyle w:val="Para 02"/>
      </w:pPr>
      <w:r>
        <w:t>ftp://10.11.12.2:21/ubuntu-live-server-20.04.5/ubuntu-20.04.5-live-server-s390x.iso</w:t>
        <w:t xml:space="preserve"> </w:t>
        <w:t>http_proxy (optional):</w:t>
      </w:r>
    </w:p>
    <w:p>
      <w:pPr>
        <w:pStyle w:val="Para 17"/>
      </w:pPr>
      <w:r>
        <w:t/>
      </w:r>
    </w:p>
    <w:p>
      <w:pPr>
        <w:pStyle w:val="Para 04"/>
      </w:pPr>
      <w:r>
        <w:t>• After the last interactive step here (that this is about an optional proxy configuration),</w:t>
      </w:r>
    </w:p>
    <w:p>
      <w:pPr>
        <w:pStyle w:val="Para 02"/>
      </w:pPr>
      <w:r>
        <w:t>the installer will complete its boot-up process:</w:t>
      </w:r>
    </w:p>
    <w:p>
      <w:pPr>
        <w:pStyle w:val="Normal"/>
      </w:pPr>
      <w:r>
        <w:t>Configuring networking...</w:t>
      </w:r>
    </w:p>
    <w:p>
      <w:pPr>
        <w:pStyle w:val="Normal"/>
      </w:pPr>
      <w:r>
        <w:t>IP-Config: encc000.1234 hardware address 3e:00:10:55:00:ff mtu 1500</w:t>
        <w:t xml:space="preserve"> </w:t>
        <w:t>IP-Config: encc000.1234 guessed broadcast address 10.222.111.255</w:t>
        <w:t xml:space="preserve"> </w:t>
        <w:t>IP-Config: encc000.1234 complete:</w:t>
      </w:r>
    </w:p>
    <w:p>
      <w:pPr>
        <w:pStyle w:val="Normal"/>
      </w:pPr>
      <w:r>
        <w:t>address: 10.222.111.11</w:t>
        <w:t xml:space="preserve"> </w:t>
        <w:t>broadcast: 10.222.111.255</w:t>
        <w:t xml:space="preserve"> </w:t>
        <w:t>netmask: 255.255.255.0</w:t>
      </w:r>
    </w:p>
    <w:p>
      <w:pPr>
        <w:pStyle w:val="Normal"/>
      </w:pPr>
      <w:r>
        <w:t>gateway: 10.222.111.1</w:t>
        <w:t xml:space="preserve"> </w:t>
        <w:t>dns0</w:t>
        <w:t xml:space="preserve"> </w:t>
        <w:t>: 10.222.111.1</w:t>
        <w:t xml:space="preserve"> </w:t>
        <w:t>dns1</w:t>
        <w:t xml:space="preserve"> </w:t>
        <w:t>: 0.0.0.0</w:t>
      </w:r>
    </w:p>
    <w:p>
      <w:pPr>
        <w:pStyle w:val="Normal"/>
      </w:pPr>
      <w:r>
        <w:t>rootserver: 0.0.0.0 rootpath:</w:t>
      </w:r>
    </w:p>
    <w:p>
      <w:pPr>
        <w:pStyle w:val="Normal"/>
      </w:pPr>
      <w:r>
        <w:t>filename</w:t>
        <w:t xml:space="preserve"> </w:t>
        <w:t>:</w:t>
      </w:r>
    </w:p>
    <w:p>
      <w:pPr>
        <w:pStyle w:val="Normal"/>
      </w:pPr>
      <w:r>
        <w:t>Connecting to 10.11.12.2:21 (10.11.12.2:21)</w:t>
      </w:r>
    </w:p>
    <w:p>
      <w:pPr>
        <w:pStyle w:val="Normal"/>
      </w:pPr>
      <w:r>
        <w:t>focal-live-server-s</w:t>
        <w:t xml:space="preserve"> </w:t>
        <w:t>10% |***</w:t>
        <w:t xml:space="preserve"> </w:t>
        <w:t>| 72.9M</w:t>
        <w:t xml:space="preserve"> </w:t>
        <w:t>0:00:08 ETA</w:t>
        <w:t xml:space="preserve"> </w:t>
        <w:t>focal-live-server-s</w:t>
        <w:t xml:space="preserve"> </w:t>
        <w:t>25% |********</w:t>
        <w:t xml:space="preserve"> </w:t>
        <w:t>|</w:t>
        <w:t xml:space="preserve"> </w:t>
        <w:t>168M</w:t>
        <w:t xml:space="preserve"> </w:t>
        <w:t>0:00:05 ETA</w:t>
        <w:t xml:space="preserve"> </w:t>
        <w:t>focal-live-server-s</w:t>
        <w:t xml:space="preserve"> </w:t>
        <w:t>42% |*************</w:t>
        <w:t xml:space="preserve"> </w:t>
        <w:t>|</w:t>
        <w:t xml:space="preserve"> </w:t>
        <w:t>279M</w:t>
        <w:t xml:space="preserve"> </w:t>
        <w:t>0:00:04 ETA</w:t>
        <w:t xml:space="preserve"> </w:t>
        <w:t>focal-live-server-s</w:t>
        <w:t xml:space="preserve"> </w:t>
        <w:t>58% |******************</w:t>
        <w:t xml:space="preserve"> </w:t>
        <w:t>|</w:t>
        <w:t xml:space="preserve"> </w:t>
        <w:t>390M</w:t>
        <w:t xml:space="preserve"> </w:t>
        <w:t>0:00:02 ETA</w:t>
        <w:t xml:space="preserve"> </w:t>
        <w:t>focal-live-server-s</w:t>
        <w:t xml:space="preserve"> </w:t>
        <w:t>75% |************************</w:t>
        <w:t xml:space="preserve"> </w:t>
        <w:t>|</w:t>
        <w:t xml:space="preserve"> </w:t>
        <w:t>501M</w:t>
        <w:t xml:space="preserve"> </w:t>
        <w:t>0:00:01 ETA</w:t>
        <w:t xml:space="preserve"> </w:t>
        <w:t>focal-live-server-s</w:t>
        <w:t xml:space="preserve"> </w:t>
        <w:t>89% |****************************</w:t>
        <w:t xml:space="preserve"> </w:t>
        <w:t>|</w:t>
        <w:t xml:space="preserve"> </w:t>
        <w:t>595M</w:t>
        <w:t xml:space="preserve"> </w:t>
        <w:t>0:00:00 ETA</w:t>
        <w:t xml:space="preserve"> </w:t>
        <w:t>focal-live-server-s</w:t>
        <w:t xml:space="preserve"> </w:t>
        <w:t>99% |******************************* |</w:t>
        <w:t xml:space="preserve"> </w:t>
        <w:t>662M</w:t>
        <w:t xml:space="preserve"> </w:t>
        <w:t>0:00:00 ETA</w:t>
        <w:t xml:space="preserve"> </w:t>
        <w:t>focal-live-server-s 100% |********************************|</w:t>
        <w:t xml:space="preserve"> </w:t>
        <w:t>663M</w:t>
        <w:t xml:space="preserve"> </w:t>
        <w:t>0:00:00 ETA</w:t>
        <w:t xml:space="preserve"> </w:t>
        <w:t>ip: RTNETLINK answers: File exists</w:t>
      </w:r>
    </w:p>
    <w:p>
      <w:pPr>
        <w:pStyle w:val="Para 09"/>
      </w:pPr>
      <w:r>
        <w:t>(continues on next page)</w:t>
      </w:r>
    </w:p>
    <w:p>
      <w:bookmarkStart w:id="132" w:name="page_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 name="index-88_1.png" descr="index-88_1.png"/>
            <wp:cNvGraphicFramePr>
              <a:graphicFrameLocks noChangeAspect="1"/>
            </wp:cNvGraphicFramePr>
            <a:graphic>
              <a:graphicData uri="http://schemas.openxmlformats.org/drawingml/2006/picture">
                <pic:pic>
                  <pic:nvPicPr>
                    <pic:cNvPr id="0" name="index-88_1.png" descr="index-88_1.png"/>
                    <pic:cNvPicPr/>
                  </pic:nvPicPr>
                  <pic:blipFill>
                    <a:blip r:embed="rId94"/>
                    <a:stretch>
                      <a:fillRect/>
                    </a:stretch>
                  </pic:blipFill>
                  <pic:spPr>
                    <a:xfrm>
                      <a:off x="0" y="0"/>
                      <a:ext cx="914400" cy="266700"/>
                    </a:xfrm>
                    <a:prstGeom prst="rect">
                      <a:avLst/>
                    </a:prstGeom>
                  </pic:spPr>
                </pic:pic>
              </a:graphicData>
            </a:graphic>
          </wp:anchor>
        </w:drawing>
      </w:r>
      <w:bookmarkEnd w:id="132"/>
    </w:p>
    <w:p>
      <w:pPr>
        <w:pStyle w:val="Para 09"/>
      </w:pPr>
      <w:r>
        <w:t>(continued from previous page)</w:t>
      </w:r>
    </w:p>
    <w:p>
      <w:pPr>
        <w:pStyle w:val="Normal"/>
      </w:pPr>
      <w:r>
        <w:t>no search or nameservers found in /run/net-encc000.1234.conf / run/net-*.conf /run/net6-*.</w:t>
        <w:t xml:space="preserve"> </w:t>
        <w:t>conf</w:t>
      </w:r>
    </w:p>
    <w:p>
      <w:pPr>
        <w:pStyle w:val="Normal"/>
      </w:pPr>
      <w:r>
        <w:t>[</w:t>
        <w:t xml:space="preserve"> </w:t>
        <w:t>399.808930] /dev/loop3: Can't open blockdev</w:t>
        <w:t xml:space="preserve"> </w:t>
        <w:t>[[0;1;31m SKIP [0m] Ordering cycle found, skipping [0;1;39mLogin Prompts[0m</w:t>
        <w:t xml:space="preserve"> </w:t>
        <w:t>[</w:t>
        <w:t xml:space="preserve"> </w:t>
        <w:t>401.547705] systemd[1]: multi-user.target: Job getty.target/start deleted to</w:t>
        <w:t xml:space="preserve"> </w:t>
        <w:t>break ordering cycle starting with multi-user.target/start</w:t>
        <w:t xml:space="preserve"> </w:t>
        <w:t>[</w:t>
        <w:t xml:space="preserve"> </w:t>
        <w:t>406.241972] cloud-init[1321]: Cloud-init v. 20.2-45-g5f7825e2-0ubuntu1 running</w:t>
        <w:t xml:space="preserve"> </w:t>
        <w:t>'init-local' at Wed, 03 Jun 2020 17:07:39 +0000. Up 406.00 seconds.</w:t>
        <w:t xml:space="preserve"> </w:t>
        <w:t>[</w:t>
        <w:t xml:space="preserve"> </w:t>
        <w:t>407.025557] cloud-init[1348]: Cloud-init v. 20.2-45-g5f7825e2-0ubuntu1 running</w:t>
        <w:t xml:space="preserve"> </w:t>
        <w:t>'init' at Wed, 03 Jun 2020 17:07:40 +0000. Up 406.87 seconds.</w:t>
        <w:t xml:space="preserve"> </w:t>
        <w:t>[</w:t>
        <w:t xml:space="preserve"> </w:t>
        <w:t>407.025618] cloud-init[1348]: ci-info:</w:t>
        <w:t xml:space="preserve"> </w:t>
        <w:t>++++Net device info++++</w:t>
        <w:t xml:space="preserve"> </w:t>
        <w:t>[</w:t>
        <w:t xml:space="preserve"> </w:t>
        <w:t>407.025658] cloud-init[1348]: ci-info: +--------------+------+---------------</w:t>
        <w:t>---------------+---------------+--------+-------------------+</w:t>
        <w:t xml:space="preserve"> </w:t>
        <w:t>[</w:t>
        <w:t xml:space="preserve"> </w:t>
        <w:t>407.025696] cloud-init[1348]: ci-info: |</w:t>
        <w:t xml:space="preserve"> </w:t>
        <w:t>Device</w:t>
        <w:t xml:space="preserve"> </w:t>
        <w:t>|</w:t>
        <w:t xml:space="preserve"> </w:t>
        <w:t>Up</w:t>
        <w:t xml:space="preserve"> </w:t>
        <w:t>|</w:t>
        <w:t xml:space="preserve"> </w:t>
        <w:t>Addr</w:t>
        <w:t xml:space="preserve"> </w:t>
        <w:t>ess</w:t>
        <w:t xml:space="preserve"> </w:t>
        <w:t>|</w:t>
        <w:t xml:space="preserve"> </w:t>
        <w:t>Mask</w:t>
        <w:t xml:space="preserve"> </w:t>
        <w:t>| Scope</w:t>
        <w:t xml:space="preserve"> </w:t>
        <w:t>|</w:t>
        <w:t xml:space="preserve"> </w:t>
        <w:t>Hw-Address</w:t>
        <w:t xml:space="preserve"> </w:t>
        <w:t>|</w:t>
        <w:t xml:space="preserve"> </w:t>
        <w:t>[</w:t>
        <w:t xml:space="preserve"> </w:t>
        <w:t>407.025731] cloud-init[1348]: ci-info: +--------------+------+---------------</w:t>
        <w:t>---------------+---------------+--------+-------------------+</w:t>
        <w:t xml:space="preserve"> </w:t>
        <w:t>[</w:t>
        <w:t xml:space="preserve"> </w:t>
        <w:t>407.025766] cloud-init[1348]: ci-info: |</w:t>
        <w:t xml:space="preserve"> </w:t>
        <w:t>encc000</w:t>
        <w:t xml:space="preserve"> </w:t>
        <w:t>| True | fe80::3ca7:10f</w:t>
        <w:t xml:space="preserve"> </w:t>
        <w:t>f:fea5:c69e/64 |</w:t>
        <w:t xml:space="preserve"> </w:t>
        <w:t>.</w:t>
        <w:t xml:space="preserve"> </w:t>
        <w:t>|</w:t>
        <w:t xml:space="preserve"> </w:t>
        <w:t>link</w:t>
        <w:t xml:space="preserve"> </w:t>
        <w:t>| 72:5d:0d:09:ea:76 |</w:t>
        <w:t xml:space="preserve"> </w:t>
        <w:t>[</w:t>
        <w:t xml:space="preserve"> </w:t>
        <w:t>407.025802] cloud-init[1348]: ci-info: | encc000.1234 | True |</w:t>
        <w:t xml:space="preserve"> </w:t>
        <w:t>10.245.</w:t>
        <w:t xml:space="preserve"> </w:t>
        <w:t>236.11</w:t>
        <w:t xml:space="preserve"> </w:t>
        <w:t>| 255.255.255.0 | global | 72:5d:0d:09:ea:76 |</w:t>
        <w:t xml:space="preserve"> </w:t>
        <w:t>[</w:t>
        <w:t xml:space="preserve"> </w:t>
        <w:t>407.025837] cloud-init[1348]: ci-info: | encc000.1234 | True | fe80::3ca7:10f</w:t>
        <w:t xml:space="preserve"> </w:t>
        <w:t>f:fea5:c69e/64 |</w:t>
        <w:t xml:space="preserve"> </w:t>
        <w:t>.</w:t>
        <w:t xml:space="preserve"> </w:t>
        <w:t>|</w:t>
        <w:t xml:space="preserve"> </w:t>
        <w:t>link</w:t>
        <w:t xml:space="preserve"> </w:t>
        <w:t>| 72:5d:0d:09:ea:76 |</w:t>
        <w:t xml:space="preserve"> </w:t>
        <w:t>[</w:t>
        <w:t xml:space="preserve"> </w:t>
        <w:t>407.025874] cloud-init[1348]: ci-info: |</w:t>
        <w:t xml:space="preserve"> </w:t>
        <w:t>lo</w:t>
        <w:t xml:space="preserve"> </w:t>
        <w:t>| True |</w:t>
        <w:t xml:space="preserve"> </w:t>
        <w:t>127.0</w:t>
        <w:t xml:space="preserve"> </w:t>
        <w:t>.0.1</w:t>
        <w:t xml:space="preserve"> </w:t>
        <w:t>|</w:t>
        <w:t xml:space="preserve"> </w:t>
        <w:t>255.0.0.0</w:t>
        <w:t xml:space="preserve"> </w:t>
        <w:t>|</w:t>
        <w:t xml:space="preserve"> </w:t>
        <w:t>host</w:t>
        <w:t xml:space="preserve"> </w:t>
        <w:t>|</w:t>
        <w:t xml:space="preserve"> </w:t>
        <w:t>.</w:t>
        <w:t xml:space="preserve"> </w:t>
        <w:t>|</w:t>
        <w:t xml:space="preserve"> </w:t>
        <w:t>[</w:t>
        <w:t xml:space="preserve"> </w:t>
        <w:t>407.025909] cloud-init[1348]: ci-info: |</w:t>
        <w:t xml:space="preserve"> </w:t>
        <w:t>lo</w:t>
        <w:t xml:space="preserve"> </w:t>
        <w:t>| True |</w:t>
        <w:t xml:space="preserve"> </w:t>
        <w:t>::1/</w:t>
        <w:t xml:space="preserve"> </w:t>
        <w:t>128</w:t>
        <w:t xml:space="preserve"> </w:t>
        <w:t>|</w:t>
        <w:t xml:space="preserve"> </w:t>
        <w:t>.</w:t>
        <w:t xml:space="preserve"> </w:t>
        <w:t>|</w:t>
        <w:t xml:space="preserve"> </w:t>
        <w:t>host</w:t>
        <w:t xml:space="preserve"> </w:t>
        <w:t>|</w:t>
        <w:t xml:space="preserve"> </w:t>
        <w:t>.</w:t>
        <w:t xml:space="preserve"> </w:t>
        <w:t>|</w:t>
        <w:t xml:space="preserve"> </w:t>
        <w:t>[</w:t>
        <w:t xml:space="preserve"> </w:t>
        <w:t>407.025944] cloud-init[1348]: ci-info: +--------------+------+---------------</w:t>
        <w:t>---------------+---------------+--------+-------------------+</w:t>
        <w:t xml:space="preserve"> </w:t>
        <w:t>[</w:t>
        <w:t xml:space="preserve"> </w:t>
        <w:t>407.025982] cloud-init[1348]: ci-info: +++++++++++++Route I</w:t>
        <w:t xml:space="preserve"> </w:t>
        <w:t>Pv4 info++++++++++++++</w:t>
      </w:r>
    </w:p>
    <w:p>
      <w:pPr>
        <w:pStyle w:val="Normal"/>
      </w:pPr>
      <w:r>
        <w:t>[</w:t>
        <w:t xml:space="preserve"> </w:t>
        <w:t>407.026017] cloud-init[1348]: ci-info: +-------+--------------+--------------</w:t>
        <w:t>+---------------+--------------+-------+</w:t>
      </w:r>
    </w:p>
    <w:p>
      <w:pPr>
        <w:pStyle w:val="Normal"/>
      </w:pPr>
      <w:r>
        <w:t>[</w:t>
        <w:t xml:space="preserve"> </w:t>
        <w:t>407.026072] cloud-init[1348]: ci-info: | Route | Destination</w:t>
        <w:t xml:space="preserve"> </w:t>
        <w:t>|</w:t>
        <w:t xml:space="preserve"> </w:t>
        <w:t>Gateway</w:t>
        <w:t xml:space="preserve"> </w:t>
        <w:t>|</w:t>
        <w:t xml:space="preserve"> </w:t>
        <w:t>Genmask</w:t>
        <w:t xml:space="preserve"> </w:t>
        <w:t>|</w:t>
        <w:t xml:space="preserve"> </w:t>
        <w:t>Interface</w:t>
        <w:t xml:space="preserve"> </w:t>
        <w:t>| Flags |</w:t>
        <w:t xml:space="preserve"> </w:t>
        <w:t>[</w:t>
        <w:t xml:space="preserve"> </w:t>
        <w:t>407.026107] cloud-init[1348]: ci-info: +-------+--------------+--------------</w:t>
        <w:t>+---------------+--------------+-------+</w:t>
      </w:r>
    </w:p>
    <w:p>
      <w:pPr>
        <w:pStyle w:val="Normal"/>
      </w:pPr>
      <w:r>
        <w:t>[</w:t>
        <w:t xml:space="preserve"> </w:t>
        <w:t>407.026141] cloud-init[1348]: ci-info: |</w:t>
        <w:t xml:space="preserve"> </w:t>
        <w:t>0</w:t>
        <w:t xml:space="preserve"> </w:t>
        <w:t>|</w:t>
        <w:t xml:space="preserve"> </w:t>
        <w:t>0.0.0.0</w:t>
        <w:t xml:space="preserve"> </w:t>
        <w:t>| 10.222.111.1</w:t>
        <w:t xml:space="preserve"> </w:t>
        <w:t>|</w:t>
        <w:t xml:space="preserve"> </w:t>
        <w:t>0.0.0.0</w:t>
        <w:t xml:space="preserve"> </w:t>
        <w:t>| encc000.1234 |</w:t>
        <w:t xml:space="preserve"> </w:t>
        <w:t>UG</w:t>
        <w:t xml:space="preserve"> </w:t>
        <w:t>|</w:t>
        <w:t xml:space="preserve"> </w:t>
        <w:t>[</w:t>
        <w:t xml:space="preserve"> </w:t>
        <w:t>407.026176] cloud-init[1348]: ci-info: |</w:t>
        <w:t xml:space="preserve"> </w:t>
        <w:t>1</w:t>
        <w:t xml:space="preserve"> </w:t>
        <w:t>| 10.222.111.0 |</w:t>
        <w:t xml:space="preserve"> </w:t>
        <w:t>0.0.0.0</w:t>
        <w:t xml:space="preserve"> </w:t>
        <w:t>| 255.255.255.0 | encc000.1234 |</w:t>
        <w:t xml:space="preserve"> </w:t>
        <w:t>U</w:t>
        <w:t xml:space="preserve"> </w:t>
        <w:t>|</w:t>
        <w:t xml:space="preserve"> </w:t>
        <w:t>[</w:t>
        <w:t xml:space="preserve"> </w:t>
        <w:t>407.026212] cloud-init[1348]: ci-info: +-------+--------------+--------------</w:t>
        <w:t>+---------------+--------------+-------+</w:t>
      </w:r>
    </w:p>
    <w:p>
      <w:pPr>
        <w:pStyle w:val="Normal"/>
      </w:pPr>
      <w:r>
        <w:t>[</w:t>
        <w:t xml:space="preserve"> </w:t>
        <w:t>407.026246] cloud-init[1348]: ci-info: ++++++++++++++++++++Route IPv6 info+++</w:t>
        <w:t xml:space="preserve"> </w:t>
        <w:t>++++++++++++++++++</w:t>
      </w:r>
    </w:p>
    <w:p>
      <w:pPr>
        <w:pStyle w:val="Normal"/>
      </w:pPr>
      <w:r>
        <w:t>[</w:t>
        <w:t xml:space="preserve"> </w:t>
        <w:t>407.026280] cloud-init[1348]: ci-info: +-------+-------------+---------+-----</w:t>
        <w:t>---------+-------+</w:t>
      </w:r>
    </w:p>
    <w:p>
      <w:pPr>
        <w:pStyle w:val="Normal"/>
      </w:pPr>
      <w:r>
        <w:t>[</w:t>
        <w:t xml:space="preserve"> </w:t>
        <w:t>407.026315] cloud-init[1348]: ci-info: | Route | Destination | Gateway |</w:t>
        <w:t xml:space="preserve"> </w:t>
        <w:t>Int</w:t>
        <w:t xml:space="preserve"> </w:t>
        <w:t>erface</w:t>
        <w:t xml:space="preserve"> </w:t>
        <w:t>| Flags |</w:t>
      </w:r>
    </w:p>
    <w:p>
      <w:pPr>
        <w:pStyle w:val="Normal"/>
      </w:pPr>
      <w:r>
        <w:t>[</w:t>
        <w:t xml:space="preserve"> </w:t>
        <w:t>407.026355] cloud-init[1348]: ci-info: +-------+-------------+---------+-----</w:t>
        <w:t>---------+-------+</w:t>
      </w:r>
    </w:p>
    <w:p>
      <w:pPr>
        <w:pStyle w:val="Normal"/>
      </w:pPr>
      <w:r>
        <w:t>[</w:t>
        <w:t xml:space="preserve"> </w:t>
        <w:t>407.026390] cloud-init[1348]: ci-info: |</w:t>
        <w:t xml:space="preserve"> </w:t>
        <w:t>1</w:t>
        <w:t xml:space="preserve"> </w:t>
        <w:t>|</w:t>
        <w:t xml:space="preserve"> </w:t>
        <w:t>fe80::/64</w:t>
        <w:t xml:space="preserve"> </w:t>
        <w:t>|</w:t>
        <w:t xml:space="preserve"> </w:t>
        <w:t>::</w:t>
        <w:t xml:space="preserve"> </w:t>
        <w:t>|</w:t>
        <w:t xml:space="preserve"> </w:t>
        <w:t>en</w:t>
        <w:t xml:space="preserve"> </w:t>
        <w:t>cc000</w:t>
        <w:t xml:space="preserve"> </w:t>
        <w:t>|</w:t>
        <w:t xml:space="preserve"> </w:t>
        <w:t>U</w:t>
        <w:t xml:space="preserve"> </w:t>
        <w:t>|</w:t>
      </w:r>
    </w:p>
    <w:p>
      <w:pPr>
        <w:pStyle w:val="Normal"/>
      </w:pPr>
      <w:r>
        <w:t>[</w:t>
        <w:t xml:space="preserve"> </w:t>
        <w:t>407.026424] cloud-init[1348]: ci-info: |</w:t>
        <w:t xml:space="preserve"> </w:t>
        <w:t>2</w:t>
        <w:t xml:space="preserve"> </w:t>
        <w:t>|</w:t>
        <w:t xml:space="preserve"> </w:t>
        <w:t>fe80::/64</w:t>
        <w:t xml:space="preserve"> </w:t>
        <w:t>|</w:t>
        <w:t xml:space="preserve"> </w:t>
        <w:t>::</w:t>
        <w:t xml:space="preserve"> </w:t>
        <w:t>| encc</w:t>
        <w:t xml:space="preserve"> </w:t>
        <w:t>000.1234 |</w:t>
        <w:t xml:space="preserve"> </w:t>
        <w:t>U</w:t>
        <w:t xml:space="preserve"> </w:t>
        <w:t>|</w:t>
      </w:r>
    </w:p>
    <w:p>
      <w:pPr>
        <w:pStyle w:val="Normal"/>
      </w:pPr>
      <w:r>
        <w:t>[</w:t>
        <w:t xml:space="preserve"> </w:t>
        <w:t>407.026458] cloud-init[1348]: ci-info: |</w:t>
        <w:t xml:space="preserve"> </w:t>
        <w:t>4</w:t>
        <w:t xml:space="preserve"> </w:t>
        <w:t>|</w:t>
        <w:t xml:space="preserve"> </w:t>
        <w:t>local</w:t>
        <w:t xml:space="preserve"> </w:t>
        <w:t>|</w:t>
        <w:t xml:space="preserve"> </w:t>
        <w:t>::</w:t>
        <w:t xml:space="preserve"> </w:t>
        <w:t>|</w:t>
        <w:t xml:space="preserve"> </w:t>
        <w:t>en</w:t>
      </w:r>
    </w:p>
    <w:p>
      <w:pPr>
        <w:pStyle w:val="Para 09"/>
      </w:pPr>
      <w:r>
        <w:t>(continues on next page)</w:t>
      </w:r>
    </w:p>
    <w:p>
      <w:bookmarkStart w:id="133" w:name="page_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 name="index-89_1.png" descr="index-89_1.png"/>
            <wp:cNvGraphicFramePr>
              <a:graphicFrameLocks noChangeAspect="1"/>
            </wp:cNvGraphicFramePr>
            <a:graphic>
              <a:graphicData uri="http://schemas.openxmlformats.org/drawingml/2006/picture">
                <pic:pic>
                  <pic:nvPicPr>
                    <pic:cNvPr id="0" name="index-89_1.png" descr="index-89_1.png"/>
                    <pic:cNvPicPr/>
                  </pic:nvPicPr>
                  <pic:blipFill>
                    <a:blip r:embed="rId95"/>
                    <a:stretch>
                      <a:fillRect/>
                    </a:stretch>
                  </pic:blipFill>
                  <pic:spPr>
                    <a:xfrm>
                      <a:off x="0" y="0"/>
                      <a:ext cx="914400" cy="266700"/>
                    </a:xfrm>
                    <a:prstGeom prst="rect">
                      <a:avLst/>
                    </a:prstGeom>
                  </pic:spPr>
                </pic:pic>
              </a:graphicData>
            </a:graphic>
          </wp:anchor>
        </w:drawing>
      </w:r>
      <w:bookmarkEnd w:id="133"/>
    </w:p>
    <w:p>
      <w:pPr>
        <w:pStyle w:val="Para 09"/>
      </w:pPr>
      <w:r>
        <w:t>(continued from previous page)</w:t>
      </w:r>
    </w:p>
    <w:p>
      <w:pPr>
        <w:pStyle w:val="Normal"/>
      </w:pPr>
      <w:r>
        <w:t>cc000</w:t>
        <w:t xml:space="preserve"> </w:t>
        <w:t>|</w:t>
        <w:t xml:space="preserve"> </w:t>
        <w:t>U</w:t>
        <w:t xml:space="preserve"> </w:t>
        <w:t>|</w:t>
      </w:r>
    </w:p>
    <w:p>
      <w:pPr>
        <w:pStyle w:val="Normal"/>
      </w:pPr>
      <w:r>
        <w:t>[</w:t>
        <w:t xml:space="preserve"> </w:t>
        <w:t>407.026495] cloud-init[1348]: ci-info: |</w:t>
        <w:t xml:space="preserve"> </w:t>
        <w:t>5</w:t>
        <w:t xml:space="preserve"> </w:t>
        <w:t>|</w:t>
        <w:t xml:space="preserve"> </w:t>
        <w:t>local</w:t>
        <w:t xml:space="preserve"> </w:t>
        <w:t>|</w:t>
        <w:t xml:space="preserve"> </w:t>
        <w:t>::</w:t>
        <w:t xml:space="preserve"> </w:t>
        <w:t>| encc</w:t>
        <w:t xml:space="preserve"> </w:t>
        <w:t>000.1234 |</w:t>
        <w:t xml:space="preserve"> </w:t>
        <w:t>U</w:t>
        <w:t xml:space="preserve"> </w:t>
        <w:t>|</w:t>
      </w:r>
    </w:p>
    <w:p>
      <w:pPr>
        <w:pStyle w:val="Normal"/>
      </w:pPr>
      <w:r>
        <w:t>[</w:t>
        <w:t xml:space="preserve"> </w:t>
        <w:t>407.026531] cloud-init[1348]: ci-info: |</w:t>
        <w:t xml:space="preserve"> </w:t>
        <w:t>6</w:t>
        <w:t xml:space="preserve"> </w:t>
        <w:t>|</w:t>
        <w:t xml:space="preserve"> </w:t>
        <w:t>ff00::/8</w:t>
        <w:t xml:space="preserve"> </w:t>
        <w:t>|</w:t>
        <w:t xml:space="preserve"> </w:t>
        <w:t>::</w:t>
        <w:t xml:space="preserve"> </w:t>
        <w:t>|</w:t>
        <w:t xml:space="preserve"> </w:t>
        <w:t>en</w:t>
        <w:t xml:space="preserve"> </w:t>
        <w:t>cc000</w:t>
        <w:t xml:space="preserve"> </w:t>
        <w:t>|</w:t>
        <w:t xml:space="preserve"> </w:t>
        <w:t>U</w:t>
        <w:t xml:space="preserve"> </w:t>
        <w:t>|</w:t>
      </w:r>
    </w:p>
    <w:p>
      <w:pPr>
        <w:pStyle w:val="Normal"/>
      </w:pPr>
      <w:r>
        <w:t>[</w:t>
        <w:t xml:space="preserve"> </w:t>
        <w:t>407.026566] cloud-init[1348]: ci-info: |</w:t>
        <w:t xml:space="preserve"> </w:t>
        <w:t>7</w:t>
        <w:t xml:space="preserve"> </w:t>
        <w:t>|</w:t>
        <w:t xml:space="preserve"> </w:t>
        <w:t>ff00::/8</w:t>
        <w:t xml:space="preserve"> </w:t>
        <w:t>|</w:t>
        <w:t xml:space="preserve"> </w:t>
        <w:t>::</w:t>
        <w:t xml:space="preserve"> </w:t>
        <w:t>| encc</w:t>
        <w:t xml:space="preserve"> </w:t>
        <w:t>000.1234 |</w:t>
        <w:t xml:space="preserve"> </w:t>
        <w:t>U</w:t>
        <w:t xml:space="preserve"> </w:t>
        <w:t>|</w:t>
      </w:r>
    </w:p>
    <w:p>
      <w:pPr>
        <w:pStyle w:val="Normal"/>
      </w:pPr>
      <w:r>
        <w:t>[</w:t>
        <w:t xml:space="preserve"> </w:t>
        <w:t>407.026600] cloud-init[1348]: ci-info: +-------+-------------+---------+-----</w:t>
        <w:t>---------+-------+</w:t>
      </w:r>
    </w:p>
    <w:p>
      <w:pPr>
        <w:pStyle w:val="Normal"/>
      </w:pPr>
      <w:r>
        <w:t>[</w:t>
        <w:t xml:space="preserve"> </w:t>
        <w:t>407.883058] cloud-init[1348]: Generating public/private rsa key pair.</w:t>
        <w:t xml:space="preserve"> </w:t>
        <w:t>[</w:t>
        <w:t xml:space="preserve"> </w:t>
        <w:t>407.883117] cloud-init[1348]: Your identification has been saved in /etc/ssh/</w:t>
        <w:t xml:space="preserve"> </w:t>
        <w:t>ssh_host_rsa_key</w:t>
      </w:r>
    </w:p>
    <w:p>
      <w:pPr>
        <w:pStyle w:val="Normal"/>
      </w:pPr>
      <w:r>
        <w:t>[</w:t>
        <w:t xml:space="preserve"> </w:t>
        <w:t>407.883154] cloud-init[1348]: Your public key has been saved in /etc/ssh/ssh_</w:t>
        <w:t xml:space="preserve"> </w:t>
        <w:t>host_rsa_key.pub</w:t>
      </w:r>
    </w:p>
    <w:p>
      <w:pPr>
        <w:pStyle w:val="Normal"/>
      </w:pPr>
      <w:r>
        <w:t>[</w:t>
        <w:t xml:space="preserve"> </w:t>
        <w:t>407.883190] cloud-init[1348]: The key fingerprint is:</w:t>
        <w:t xml:space="preserve"> </w:t>
        <w:t>[</w:t>
        <w:t xml:space="preserve"> </w:t>
        <w:t>407.883232] cloud-init[1348]: SHA256:KX5cHC4YL9dXpvhnP6eSfS+J/zmKgg9zdlEzaEb+</w:t>
        <w:t xml:space="preserve"> </w:t>
        <w:t>RTA root@ubuntu-server</w:t>
      </w:r>
    </w:p>
    <w:p>
      <w:pPr>
        <w:pStyle w:val="Normal"/>
      </w:pPr>
      <w:r>
        <w:t>[</w:t>
        <w:t xml:space="preserve"> </w:t>
        <w:t>407.883267] cloud-init[1348]: The key's randomart image is:</w:t>
        <w:t xml:space="preserve"> </w:t>
        <w:t>[</w:t>
        <w:t xml:space="preserve"> </w:t>
        <w:t>407.883302] cloud-init[1348]: +---[RSA 3072]----+</w:t>
        <w:t xml:space="preserve"> </w:t>
        <w:t>[</w:t>
        <w:t xml:space="preserve"> </w:t>
        <w:t>407.883338] cloud-init[1348]: |</w:t>
        <w:t xml:space="preserve"> </w:t>
        <w:t>. E.. |</w:t>
        <w:t xml:space="preserve"> </w:t>
        <w:t>[</w:t>
        <w:t xml:space="preserve"> </w:t>
        <w:t>407.883374] cloud-init[1348]: |</w:t>
        <w:t xml:space="preserve"> </w:t>
        <w:t>o . o</w:t>
        <w:t xml:space="preserve"> </w:t>
        <w:t>|</w:t>
        <w:t xml:space="preserve"> </w:t>
        <w:t>[</w:t>
        <w:t xml:space="preserve"> </w:t>
        <w:t>407.883408] cloud-init[1348]: |</w:t>
        <w:t xml:space="preserve"> </w:t>
        <w:t>.</w:t>
        <w:t xml:space="preserve"> </w:t>
        <w:t>.= +o. |</w:t>
        <w:t xml:space="preserve"> </w:t>
        <w:t>[</w:t>
        <w:t xml:space="preserve"> </w:t>
        <w:t>407.883443] cloud-init[1348]: |</w:t>
        <w:t xml:space="preserve"> </w:t>
        <w:t>+ =ooo++</w:t>
        <w:t xml:space="preserve"> </w:t>
        <w:t>|</w:t>
        <w:t xml:space="preserve"> </w:t>
        <w:t>[</w:t>
        <w:t xml:space="preserve"> </w:t>
        <w:t>407.883478] cloud-init[1348]: |</w:t>
        <w:t xml:space="preserve"> </w:t>
        <w:t>+ S *.o.</w:t>
        <w:t xml:space="preserve"> </w:t>
        <w:t>|</w:t>
        <w:t xml:space="preserve"> </w:t>
        <w:t>[</w:t>
        <w:t xml:space="preserve"> </w:t>
        <w:t>407.883512] cloud-init[1348]: |</w:t>
        <w:t xml:space="preserve"> </w:t>
        <w:t>. = o o.</w:t>
        <w:t xml:space="preserve"> </w:t>
        <w:t>|</w:t>
        <w:t xml:space="preserve"> </w:t>
        <w:t>[</w:t>
        <w:t xml:space="preserve"> </w:t>
        <w:t>407.883546] cloud-init[1348]: |</w:t>
        <w:t xml:space="preserve"> </w:t>
        <w:t>.o+o ..+o. |</w:t>
        <w:t xml:space="preserve"> </w:t>
        <w:t>[</w:t>
        <w:t xml:space="preserve"> </w:t>
        <w:t>407.883579] cloud-init[1348]: |</w:t>
        <w:t xml:space="preserve"> </w:t>
        <w:t>o=.. =o+++|</w:t>
        <w:t xml:space="preserve"> </w:t>
        <w:t>[</w:t>
        <w:t xml:space="preserve"> </w:t>
        <w:t>407.883613] cloud-init[1348]: |</w:t>
        <w:t xml:space="preserve"> </w:t>
        <w:t>.... ++*O|</w:t>
        <w:t xml:space="preserve"> </w:t>
        <w:t>[</w:t>
        <w:t xml:space="preserve"> </w:t>
        <w:t>407.883648] cloud-init[1348]: +----[SHA256]-----+</w:t>
        <w:t xml:space="preserve"> </w:t>
        <w:t>[</w:t>
        <w:t xml:space="preserve"> </w:t>
        <w:t>407.883682] cloud-init[1348]: Generating public/private dsa key pair.</w:t>
        <w:t xml:space="preserve"> </w:t>
        <w:t>[</w:t>
        <w:t xml:space="preserve"> </w:t>
        <w:t>407.883716] cloud-init[1348]: Your identification has been saved in /etc/ssh/</w:t>
        <w:t xml:space="preserve"> </w:t>
        <w:t>ssh_host_dsa_key</w:t>
      </w:r>
    </w:p>
    <w:p>
      <w:pPr>
        <w:pStyle w:val="Normal"/>
      </w:pPr>
      <w:r>
        <w:t>[</w:t>
        <w:t xml:space="preserve"> </w:t>
        <w:t>407.883750] cloud-init[1348]: Your public key has been saved in /etc/ssh/ssh_</w:t>
        <w:t xml:space="preserve"> </w:t>
        <w:t>host_dsa_key.pub</w:t>
      </w:r>
    </w:p>
    <w:p>
      <w:pPr>
        <w:pStyle w:val="Normal"/>
      </w:pPr>
      <w:r>
        <w:t>[</w:t>
        <w:t xml:space="preserve"> </w:t>
        <w:t>407.883784] cloud-init[1348]: The key fingerprint is:</w:t>
        <w:t xml:space="preserve"> </w:t>
        <w:t>[</w:t>
        <w:t xml:space="preserve"> </w:t>
        <w:t>407.883817] cloud-init[1348]: SHA256:xu3vlG1BReKDy3DsuMZc/lg5y/+nhzlEmLDk/qFZ</w:t>
        <w:t xml:space="preserve"> </w:t>
        <w:t>Am0 root@ubuntu-server</w:t>
      </w:r>
    </w:p>
    <w:p>
      <w:pPr>
        <w:pStyle w:val="Normal"/>
      </w:pPr>
      <w:r>
        <w:t>[</w:t>
        <w:t xml:space="preserve"> </w:t>
        <w:t>407.883851] cloud-init[1348]: The key's randomart image is:</w:t>
        <w:t xml:space="preserve"> </w:t>
        <w:t>[</w:t>
        <w:t xml:space="preserve"> </w:t>
        <w:t>407.883905] cloud-init[1348]: +---[DSA 1024]----+</w:t>
        <w:t xml:space="preserve"> </w:t>
        <w:t>[</w:t>
        <w:t xml:space="preserve"> </w:t>
        <w:t>407.883941] cloud-init[1348]: |</w:t>
        <w:t xml:space="preserve"> </w:t>
        <w:t>..o|</w:t>
        <w:t xml:space="preserve"> </w:t>
        <w:t>[</w:t>
        <w:t xml:space="preserve"> </w:t>
        <w:t>407.883975] cloud-init[1348]: |</w:t>
        <w:t xml:space="preserve"> </w:t>
        <w:t>o. o o |</w:t>
        <w:t xml:space="preserve"> </w:t>
        <w:t>[</w:t>
        <w:t xml:space="preserve"> </w:t>
        <w:t>407.884008] cloud-init[1348]: |</w:t>
        <w:t xml:space="preserve"> </w:t>
        <w:t>+.o+o+</w:t>
        <w:t xml:space="preserve"> </w:t>
        <w:t>|</w:t>
        <w:t xml:space="preserve"> </w:t>
        <w:t>[</w:t>
        <w:t xml:space="preserve"> </w:t>
        <w:t>407.884042] cloud-init[1348]: |</w:t>
        <w:t xml:space="preserve"> </w:t>
        <w:t>...E*oo.. |</w:t>
        <w:t xml:space="preserve"> </w:t>
        <w:t>[</w:t>
        <w:t xml:space="preserve"> </w:t>
        <w:t>407.884076] cloud-init[1348]: |</w:t>
        <w:t xml:space="preserve"> </w:t>
        <w:t>S+o =..</w:t>
        <w:t xml:space="preserve"> </w:t>
        <w:t>|</w:t>
        <w:t xml:space="preserve"> </w:t>
        <w:t>[</w:t>
        <w:t xml:space="preserve"> </w:t>
        <w:t>407.884112] cloud-init[1348]: |</w:t>
        <w:t xml:space="preserve"> </w:t>
        <w:t>. +o+oo.o |</w:t>
        <w:t xml:space="preserve"> </w:t>
        <w:t>[</w:t>
        <w:t xml:space="preserve"> </w:t>
        <w:t>407.884145] cloud-init[1348]: |</w:t>
        <w:t xml:space="preserve"> </w:t>
        <w:t>**+o*o |</w:t>
        <w:t xml:space="preserve"> </w:t>
        <w:t>[</w:t>
        <w:t xml:space="preserve"> </w:t>
        <w:t>407.884179] cloud-init[1348]: |</w:t>
        <w:t xml:space="preserve"> </w:t>
        <w:t>.oo.*+oo|</w:t>
        <w:t xml:space="preserve"> </w:t>
        <w:t>[</w:t>
        <w:t xml:space="preserve"> </w:t>
        <w:t>407.884212] cloud-init[1348]: |</w:t>
        <w:t xml:space="preserve"> </w:t>
        <w:t>.+ ===|</w:t>
        <w:t xml:space="preserve"> </w:t>
        <w:t>[</w:t>
        <w:t xml:space="preserve"> </w:t>
        <w:t>407.884246] cloud-init[1348]: +----[SHA256]-----+</w:t>
        <w:t xml:space="preserve"> </w:t>
        <w:t>[</w:t>
        <w:t xml:space="preserve"> </w:t>
        <w:t>407.884280] cloud-init[1348]: Generating public/private ecdsa key pair.</w:t>
        <w:t xml:space="preserve"> </w:t>
        <w:t>[</w:t>
        <w:t xml:space="preserve"> </w:t>
        <w:t>407.884315] cloud-init[1348]: Your identification has been saved in /etc/ssh/</w:t>
        <w:t xml:space="preserve"> </w:t>
        <w:t>ssh_host_ecdsa_key</w:t>
      </w:r>
    </w:p>
    <w:p>
      <w:pPr>
        <w:pStyle w:val="Normal"/>
      </w:pPr>
      <w:r>
        <w:t>[</w:t>
        <w:t xml:space="preserve"> </w:t>
        <w:t>407.884352] cloud-init[1348]: Your public key has been saved in /etc/ssh/ssh_</w:t>
        <w:t xml:space="preserve"> </w:t>
        <w:t>host_ecdsa_key.pub</w:t>
      </w:r>
    </w:p>
    <w:p>
      <w:pPr>
        <w:pStyle w:val="Normal"/>
      </w:pPr>
      <w:r>
        <w:t>[</w:t>
        <w:t xml:space="preserve"> </w:t>
        <w:t>407.884388] cloud-init[1348]: The key fingerprint is:</w:t>
        <w:t xml:space="preserve"> </w:t>
        <w:t>[</w:t>
        <w:t xml:space="preserve"> </w:t>
        <w:t>407.884422] cloud-init[1348]: SHA256:P+hBF3fj/pu6+0KaywUYii3Lyuc09Za9/a2elCDO</w:t>
      </w:r>
    </w:p>
    <w:p>
      <w:pPr>
        <w:pStyle w:val="Para 09"/>
      </w:pPr>
      <w:r>
        <w:t>(continues on next page)</w:t>
      </w:r>
    </w:p>
    <w:p>
      <w:bookmarkStart w:id="134" w:name="page_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 name="index-90_1.png" descr="index-90_1.png"/>
            <wp:cNvGraphicFramePr>
              <a:graphicFrameLocks noChangeAspect="1"/>
            </wp:cNvGraphicFramePr>
            <a:graphic>
              <a:graphicData uri="http://schemas.openxmlformats.org/drawingml/2006/picture">
                <pic:pic>
                  <pic:nvPicPr>
                    <pic:cNvPr id="0" name="index-90_1.png" descr="index-90_1.png"/>
                    <pic:cNvPicPr/>
                  </pic:nvPicPr>
                  <pic:blipFill>
                    <a:blip r:embed="rId96"/>
                    <a:stretch>
                      <a:fillRect/>
                    </a:stretch>
                  </pic:blipFill>
                  <pic:spPr>
                    <a:xfrm>
                      <a:off x="0" y="0"/>
                      <a:ext cx="914400" cy="266700"/>
                    </a:xfrm>
                    <a:prstGeom prst="rect">
                      <a:avLst/>
                    </a:prstGeom>
                  </pic:spPr>
                </pic:pic>
              </a:graphicData>
            </a:graphic>
          </wp:anchor>
        </w:drawing>
      </w:r>
      <w:bookmarkEnd w:id="134"/>
    </w:p>
    <w:p>
      <w:pPr>
        <w:pStyle w:val="Para 09"/>
      </w:pPr>
      <w:r>
        <w:t>(continued from previous page)</w:t>
      </w:r>
    </w:p>
    <w:p>
      <w:pPr>
        <w:pStyle w:val="Normal"/>
      </w:pPr>
      <w:r>
        <w:t>gdE root@ubuntu-server</w:t>
      </w:r>
    </w:p>
    <w:p>
      <w:pPr>
        <w:pStyle w:val="Normal"/>
      </w:pPr>
      <w:r>
        <w:t>[</w:t>
        <w:t xml:space="preserve"> </w:t>
        <w:t>407.884456] cloud-init[1348]: The key's randomart image is:</w:t>
        <w:t xml:space="preserve"> </w:t>
        <w:t>[</w:t>
        <w:t xml:space="preserve"> </w:t>
        <w:t>407.884490] cloud-init[1348]: +---[ECDSA 256]---+</w:t>
        <w:t xml:space="preserve"> </w:t>
        <w:t>[</w:t>
        <w:t xml:space="preserve"> </w:t>
        <w:t>407.884524] cloud-init[1348]: |</w:t>
        <w:t xml:space="preserve"> </w:t>
        <w:t>|</w:t>
        <w:t xml:space="preserve"> </w:t>
        <w:t>[</w:t>
        <w:t xml:space="preserve"> </w:t>
        <w:t>407.884558] cloud-init[1348]: |</w:t>
        <w:t xml:space="preserve"> </w:t>
        <w:t>.</w:t>
        <w:t xml:space="preserve"> </w:t>
        <w:t>|</w:t>
        <w:t xml:space="preserve"> </w:t>
        <w:t>[</w:t>
        <w:t xml:space="preserve"> </w:t>
        <w:t>407.884591] cloud-init[1348]: |</w:t>
        <w:t xml:space="preserve"> </w:t>
        <w:t>..E . o</w:t>
        <w:t xml:space="preserve"> </w:t>
        <w:t>|</w:t>
        <w:t xml:space="preserve"> </w:t>
        <w:t>[</w:t>
        <w:t xml:space="preserve"> </w:t>
        <w:t>407.884625] cloud-init[1348]: |</w:t>
        <w:t xml:space="preserve"> </w:t>
        <w:t>o .ooo o . |</w:t>
        <w:t xml:space="preserve"> </w:t>
        <w:t>[</w:t>
        <w:t xml:space="preserve"> </w:t>
        <w:t>407.884660] cloud-init[1348]: |</w:t>
        <w:t xml:space="preserve"> </w:t>
        <w:t>o +S.+.. .</w:t>
        <w:t xml:space="preserve"> </w:t>
        <w:t>|</w:t>
        <w:t xml:space="preserve"> </w:t>
        <w:t>[</w:t>
        <w:t xml:space="preserve"> </w:t>
        <w:t>407.884694] cloud-init[1348]: |</w:t>
        <w:t xml:space="preserve"> </w:t>
        <w:t>. +..*oo.+ . |</w:t>
        <w:t xml:space="preserve"> </w:t>
        <w:t>[</w:t>
        <w:t xml:space="preserve"> </w:t>
        <w:t>407.884728] cloud-init[1348]: |</w:t>
        <w:t xml:space="preserve"> </w:t>
        <w:t>=</w:t>
        <w:t xml:space="preserve"> </w:t>
        <w:t>o+=.+.+</w:t>
        <w:t xml:space="preserve"> </w:t>
        <w:t>|</w:t>
        <w:t xml:space="preserve"> </w:t>
        <w:t>[</w:t>
        <w:t xml:space="preserve"> </w:t>
        <w:t>407.884762] cloud-init[1348]: |</w:t>
        <w:t xml:space="preserve"> </w:t>
        <w:t>. o......++o oo|</w:t>
        <w:t xml:space="preserve"> </w:t>
        <w:t>[</w:t>
        <w:t xml:space="preserve"> </w:t>
        <w:t>407.884795] cloud-init[1348]: |</w:t>
        <w:t xml:space="preserve"> </w:t>
        <w:t>oo.</w:t>
        <w:t xml:space="preserve"> </w:t>
        <w:t>.</w:t>
        <w:t xml:space="preserve"> </w:t>
        <w:t>+.*@*+|</w:t>
        <w:t xml:space="preserve"> </w:t>
        <w:t>[</w:t>
        <w:t xml:space="preserve"> </w:t>
        <w:t>407.884829] cloud-init[1348]: +----[SHA256]-----+</w:t>
        <w:t xml:space="preserve"> </w:t>
        <w:t>[</w:t>
        <w:t xml:space="preserve"> </w:t>
        <w:t>407.884862] cloud-init[1348]: Generating public/private ed25519 key pair.</w:t>
        <w:t xml:space="preserve"> </w:t>
        <w:t>[</w:t>
        <w:t xml:space="preserve"> </w:t>
        <w:t>407.884896] cloud-init[1348]: Your identification has been saved in /etc/ssh/</w:t>
        <w:t xml:space="preserve"> </w:t>
        <w:t>ssh_host_ed25519_key</w:t>
      </w:r>
    </w:p>
    <w:p>
      <w:pPr>
        <w:pStyle w:val="Normal"/>
      </w:pPr>
      <w:r>
        <w:t>[</w:t>
        <w:t xml:space="preserve"> </w:t>
        <w:t>407.884930] cloud-init[1348]: Your public key has been saved in /etc/ssh/ssh_</w:t>
        <w:t xml:space="preserve"> </w:t>
        <w:t>host_ed25519_key.pub</w:t>
      </w:r>
    </w:p>
    <w:p>
      <w:pPr>
        <w:pStyle w:val="Normal"/>
      </w:pPr>
      <w:r>
        <w:t>[</w:t>
        <w:t xml:space="preserve"> </w:t>
        <w:t>407.884966] cloud-init[1348]: The key fingerprint is:</w:t>
        <w:t xml:space="preserve"> </w:t>
        <w:t>[</w:t>
        <w:t xml:space="preserve"> </w:t>
        <w:t>407.884999] cloud-init[1348]: SHA256:CbZpkR9eFHuB1sCDZwSdSdwJzy9FpsIWRIyc9ers</w:t>
        <w:t xml:space="preserve"> </w:t>
        <w:t>hZ0 root@ubuntu-server</w:t>
      </w:r>
    </w:p>
    <w:p>
      <w:pPr>
        <w:pStyle w:val="Normal"/>
      </w:pPr>
      <w:r>
        <w:t>[</w:t>
        <w:t xml:space="preserve"> </w:t>
        <w:t>407.885033] cloud-init[1348]: The key's randomart image is:</w:t>
        <w:t xml:space="preserve"> </w:t>
        <w:t>[</w:t>
        <w:t xml:space="preserve"> </w:t>
        <w:t>407.885066] cloud-init[1348]: +--[ED25519 256]--+</w:t>
        <w:t xml:space="preserve"> </w:t>
        <w:t>[</w:t>
        <w:t xml:space="preserve"> </w:t>
        <w:t>407.885100] cloud-init[1348]: |</w:t>
        <w:t xml:space="preserve"> </w:t>
        <w:t>../%X..o</w:t>
        <w:t xml:space="preserve"> </w:t>
        <w:t>|</w:t>
        <w:t xml:space="preserve"> </w:t>
        <w:t>[</w:t>
        <w:t xml:space="preserve"> </w:t>
        <w:t>407.885133] cloud-init[1348]: |</w:t>
        <w:t xml:space="preserve"> </w:t>
        <w:t>.=o&amp;*+=</w:t>
        <w:t xml:space="preserve"> </w:t>
        <w:t>|</w:t>
        <w:t xml:space="preserve"> </w:t>
        <w:t>[</w:t>
        <w:t xml:space="preserve"> </w:t>
        <w:t>407.885167] cloud-init[1348]: |</w:t>
        <w:t xml:space="preserve"> </w:t>
        <w:t>= .+*.* .</w:t>
        <w:t xml:space="preserve"> </w:t>
        <w:t>|</w:t>
        <w:t xml:space="preserve"> </w:t>
        <w:t>[</w:t>
        <w:t xml:space="preserve"> </w:t>
        <w:t>407.885200] cloud-init[1348]: |</w:t>
        <w:t xml:space="preserve"> </w:t>
        <w:t>. B = + o</w:t>
        <w:t xml:space="preserve"> </w:t>
        <w:t>|</w:t>
        <w:t xml:space="preserve"> </w:t>
        <w:t>[</w:t>
        <w:t xml:space="preserve"> </w:t>
        <w:t>407.885238] cloud-init[1348]: |</w:t>
        <w:t xml:space="preserve"> </w:t>
        <w:t>+ S . . .</w:t>
        <w:t xml:space="preserve"> </w:t>
        <w:t>|</w:t>
        <w:t xml:space="preserve"> </w:t>
        <w:t>[</w:t>
        <w:t xml:space="preserve"> </w:t>
        <w:t>407.885274] cloud-init[1348]: |</w:t>
        <w:t xml:space="preserve"> </w:t>
        <w:t>.</w:t>
        <w:t xml:space="preserve"> </w:t>
        <w:t>o o o</w:t>
        <w:t xml:space="preserve"> </w:t>
        <w:t>|</w:t>
        <w:t xml:space="preserve"> </w:t>
        <w:t>[</w:t>
        <w:t xml:space="preserve"> </w:t>
        <w:t>407.885308] cloud-init[1348]: |</w:t>
        <w:t xml:space="preserve"> </w:t>
        <w:t>+ E</w:t>
        <w:t xml:space="preserve"> </w:t>
        <w:t>|</w:t>
        <w:t xml:space="preserve"> </w:t>
        <w:t>[</w:t>
        <w:t xml:space="preserve"> </w:t>
        <w:t>407.885345] cloud-init[1348]: |</w:t>
        <w:t xml:space="preserve"> </w:t>
        <w:t>. .</w:t>
        <w:t xml:space="preserve"> </w:t>
        <w:t>|</w:t>
        <w:t xml:space="preserve"> </w:t>
        <w:t>[</w:t>
        <w:t xml:space="preserve"> </w:t>
        <w:t>407.885378] cloud-init[1348]: |</w:t>
        <w:t xml:space="preserve"> </w:t>
        <w:t>.</w:t>
        <w:t xml:space="preserve"> </w:t>
        <w:t>|</w:t>
        <w:t xml:space="preserve"> </w:t>
        <w:t>[</w:t>
        <w:t xml:space="preserve"> </w:t>
        <w:t>407.885420] cloud-init[1348]: +----[SHA256]-----+</w:t>
        <w:t xml:space="preserve"> </w:t>
        <w:t>[</w:t>
        <w:t xml:space="preserve"> </w:t>
        <w:t>418.521933] cloud-init[2185]: Cloud-init v. 20.2-45-g5f7825e2-0ubuntu1 runnin</w:t>
        <w:t xml:space="preserve"> </w:t>
        <w:t>g 'modules:config' at Wed, 03 Jun 2020 17:07:52 +0000. Up 418.40 seconds.</w:t>
        <w:t xml:space="preserve"> </w:t>
        <w:t>[</w:t>
        <w:t xml:space="preserve"> </w:t>
        <w:t>418.522012] cloud-init[2185]: Set the following 'random' passwords</w:t>
        <w:t xml:space="preserve"> </w:t>
        <w:t>[</w:t>
        <w:t xml:space="preserve"> </w:t>
        <w:t>418.522053] cloud-init[2185]: installer:C7BZrW76s4mJzmpf4eUy</w:t>
        <w:t xml:space="preserve"> </w:t>
        <w:t>ci-info: no authorized SSH keys fingerprints found for user installer.</w:t>
        <w:t xml:space="preserve"> </w:t>
        <w:t>&lt;14&gt;Jun</w:t>
        <w:t xml:space="preserve"> </w:t>
        <w:t>3 17:07:52 ec2:</w:t>
      </w:r>
    </w:p>
    <w:p>
      <w:pPr>
        <w:pStyle w:val="Normal"/>
      </w:pPr>
      <w:r>
        <w:t>&lt;14&gt;Jun</w:t>
        <w:t xml:space="preserve"> </w:t>
        <w:t>3 17:07:52 ec2: #######################################################</w:t>
        <w:t xml:space="preserve"> </w:t>
        <w:t>######</w:t>
      </w:r>
    </w:p>
    <w:p>
      <w:pPr>
        <w:pStyle w:val="Normal"/>
      </w:pPr>
      <w:r>
        <w:t>&lt;14&gt;Jun</w:t>
        <w:t xml:space="preserve"> </w:t>
        <w:t>3 17:07:52 ec2: -----BEGIN SSH HOST KEY FINGERPRINTS-----</w:t>
        <w:t>&lt;14&gt;Jun</w:t>
        <w:t xml:space="preserve"> </w:t>
        <w:t>3 17:07:52 ec2: 1024 SHA256:xu3vlG1BReKDy3DsuMZc/lg5y/+nhzlEmLDk/qFZAm0</w:t>
        <w:t xml:space="preserve"> </w:t>
        <w:t>root@ubuntu-server (DSA)</w:t>
      </w:r>
    </w:p>
    <w:p>
      <w:pPr>
        <w:pStyle w:val="Normal"/>
      </w:pPr>
      <w:r>
        <w:t>&lt;14&gt;Jun</w:t>
        <w:t xml:space="preserve"> </w:t>
        <w:t>3 17:07:52 ec2: 256 SHA256:P+hBF3fj/pu6+0KaywUYii3Lyuc09Za9/a2elCDOgdE</w:t>
        <w:t xml:space="preserve"> </w:t>
        <w:t>root@ubuntu-server (ECDSA)</w:t>
      </w:r>
    </w:p>
    <w:p>
      <w:pPr>
        <w:pStyle w:val="Normal"/>
      </w:pPr>
      <w:r>
        <w:t>&lt;14&gt;Jun</w:t>
        <w:t xml:space="preserve"> </w:t>
        <w:t>3 17:07:52 ec2: 256 SHA256:CbZpkR9eFHuB1sCDZwSdSdwJzy9FpsIWRIyc9ershZ0</w:t>
        <w:t xml:space="preserve"> </w:t>
        <w:t>root@ubuntu-server (ED25519)</w:t>
      </w:r>
    </w:p>
    <w:p>
      <w:pPr>
        <w:pStyle w:val="Normal"/>
      </w:pPr>
      <w:r>
        <w:t>&lt;14&gt;Jun</w:t>
        <w:t xml:space="preserve"> </w:t>
        <w:t>3 17:07:52 ec2: 3072 SHA256:KX5cHC4YL9dXpvhnP6eSfS+J/zmKgg9zdlEzaEb+RTA</w:t>
        <w:t xml:space="preserve"> </w:t>
        <w:t>root@ubuntu-server (RSA)</w:t>
      </w:r>
    </w:p>
    <w:p>
      <w:pPr>
        <w:pStyle w:val="Normal"/>
      </w:pPr>
      <w:r>
        <w:t>&lt;14&gt;Jun</w:t>
        <w:t xml:space="preserve"> </w:t>
        <w:t>3 17:07:52 ec2: -----END SSH HOST KEY FINGERPRINTS-----</w:t>
        <w:t>&lt;14&gt;Jun</w:t>
        <w:t xml:space="preserve"> </w:t>
        <w:t>3 17:07:52 ec2: #######################################################</w:t>
        <w:t xml:space="preserve"> </w:t>
        <w:t>######</w:t>
      </w:r>
    </w:p>
    <w:p>
      <w:pPr>
        <w:pStyle w:val="Normal"/>
      </w:pPr>
      <w:r>
        <w:t>-----BEGIN SSH HOST KEY KEYS-----</w:t>
      </w:r>
    </w:p>
    <w:p>
      <w:pPr>
        <w:pStyle w:val="Normal"/>
      </w:pPr>
      <w:r>
        <w:t>ecdsa-sha2-nistp256 AAAAE2VjZHNhLXNoYTItbmlzdHAyNTYAAAAIbmlzdHAyNTYAAABBBC2zp4Fq</w:t>
        <w:t xml:space="preserve"> </w:t>
        <w:t>r1+NJOIEQIISbX+EzeJ6ucXSLi2xEvurgwq8iMYT6yYOXBOPc/XzeFa6vBCDZk3SSSW6Lq83y7VmdRQ=</w:t>
      </w:r>
    </w:p>
    <w:p>
      <w:pPr>
        <w:pStyle w:val="Para 09"/>
      </w:pPr>
      <w:r>
        <w:t>(continues on next page)</w:t>
      </w:r>
    </w:p>
    <w:p>
      <w:bookmarkStart w:id="135" w:name="page_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 name="index-91_1.png" descr="index-91_1.png"/>
            <wp:cNvGraphicFramePr>
              <a:graphicFrameLocks noChangeAspect="1"/>
            </wp:cNvGraphicFramePr>
            <a:graphic>
              <a:graphicData uri="http://schemas.openxmlformats.org/drawingml/2006/picture">
                <pic:pic>
                  <pic:nvPicPr>
                    <pic:cNvPr id="0" name="index-91_1.png" descr="index-91_1.png"/>
                    <pic:cNvPicPr/>
                  </pic:nvPicPr>
                  <pic:blipFill>
                    <a:blip r:embed="rId97"/>
                    <a:stretch>
                      <a:fillRect/>
                    </a:stretch>
                  </pic:blipFill>
                  <pic:spPr>
                    <a:xfrm>
                      <a:off x="0" y="0"/>
                      <a:ext cx="914400" cy="266700"/>
                    </a:xfrm>
                    <a:prstGeom prst="rect">
                      <a:avLst/>
                    </a:prstGeom>
                  </pic:spPr>
                </pic:pic>
              </a:graphicData>
            </a:graphic>
          </wp:anchor>
        </w:drawing>
      </w:r>
      <w:bookmarkEnd w:id="135"/>
    </w:p>
    <w:p>
      <w:pPr>
        <w:pStyle w:val="Para 09"/>
      </w:pPr>
      <w:r>
        <w:t>(continued from previous page)</w:t>
      </w:r>
    </w:p>
    <w:p>
      <w:pPr>
        <w:pStyle w:val="Normal"/>
      </w:pPr>
      <w:r>
        <w:t>root@ubuntu-server</w:t>
      </w:r>
    </w:p>
    <w:p>
      <w:pPr>
        <w:pStyle w:val="Normal"/>
      </w:pPr>
      <w:r>
        <w:t>ssh-ed25519 AAAAC3NzaC1lZDI1NTE5AAAAIJFzgips94nJNoR4QumiyqlJoSlZ48P+NVrd7zgD5k4T</w:t>
        <w:t xml:space="preserve"> </w:t>
        <w:t>root@ubuntu-server</w:t>
      </w:r>
    </w:p>
    <w:p>
      <w:pPr>
        <w:pStyle w:val="Normal"/>
      </w:pPr>
      <w:r>
        <w:t>ssh-rsa AAAAB3NzaC1yc2EAAAADAQABAAABgQChKo06O715FAjd6ImK7qZbWnL/cpgQ2A2gQEqFNO+1</w:t>
        <w:t xml:space="preserve"> </w:t>
        <w:t>joF/41ygxuw5aG0IQObWFpV9jDsMF5z4qHKzX8tFCpKC0s4uR8QBxh1dDm4wcwcgtAfVLqh7S4/R9Sqa</w:t>
        <w:t xml:space="preserve"> </w:t>
        <w:t>IFnkCzxThhNeMarcRrutY0mIzspmCg/QvfE1wrXJzl+RtOJ7GiuHHqpm76fX+6ZF1BYhkA87dXQiID2R</w:t>
        <w:t xml:space="preserve"> </w:t>
        <w:t>yUubSXKGg0NtzlgSzPqD3GB+HxRHHHLT5/Xq+njPq8jIUpqSoHtkBupsyVmcD9gDbz6vng2PuBHwZP9X</w:t>
        <w:t xml:space="preserve"> </w:t>
        <w:t>17QtyOwxddxk4xIXaTup4g8bH1oF/czsWqVxNdfB7XqzROFUOD9rMIB+DwBihsmH1kRik4wwLi6IH4hu</w:t>
        <w:t xml:space="preserve"> </w:t>
        <w:t>xrykKvfb1xcZe65kR42oDI7JbBwxvxGrOKx8DrEXnBpOWozS0IDm2ZPh3ci/0uCJ4LTItByyCfAe/gyR</w:t>
        <w:t xml:space="preserve"> </w:t>
        <w:t>5si4SkmXrIXf5BnErZRgyJnfxKXmsFaSh7wf15w6GmsgzyD9sI2jES9+4By32ZzYOlDpi0s= root@ub</w:t>
        <w:t xml:space="preserve"> </w:t>
        <w:t>untu-server</w:t>
      </w:r>
    </w:p>
    <w:p>
      <w:pPr>
        <w:pStyle w:val="Normal"/>
      </w:pPr>
      <w:r>
        <w:t>-----END SSH HOST KEY KEYS-----</w:t>
      </w:r>
    </w:p>
    <w:p>
      <w:pPr>
        <w:pStyle w:val="Normal"/>
      </w:pPr>
      <w:r>
        <w:t>[</w:t>
        <w:t xml:space="preserve"> </w:t>
        <w:t>418.872320] cloud-init[2203]: Cloud-init v. 20.2-45-g5f7825e2-0ubuntu1 runnin</w:t>
        <w:t xml:space="preserve"> </w:t>
        <w:t>g 'modules:final' at Wed, 03 Jun 2020 17:07:52 +0000. Up 418.79 seconds.</w:t>
        <w:t xml:space="preserve"> </w:t>
        <w:t>[</w:t>
        <w:t xml:space="preserve"> </w:t>
        <w:t>418.872385] cloud-init[2203]: ci-info: no authorized SSH keys fingerprints fo</w:t>
        <w:t xml:space="preserve"> </w:t>
        <w:t>und for user installer.</w:t>
      </w:r>
    </w:p>
    <w:p>
      <w:pPr>
        <w:pStyle w:val="Normal"/>
      </w:pPr>
      <w:r>
        <w:t>[</w:t>
        <w:t xml:space="preserve"> </w:t>
        <w:t>418.872433] cloud-init[2203]: Cloud-init v. 20.2-45-g5f7825e2-0ubuntu1 finish</w:t>
        <w:t xml:space="preserve"> </w:t>
        <w:t>ed at Wed, 03 Jun 2020 17:07:52 +0000. Datasource DataSourceNoCloud [seed=/var/l</w:t>
        <w:t xml:space="preserve"> </w:t>
        <w:t>ib/cloud/seed/nocloud][dsmode=net].</w:t>
        <w:t xml:space="preserve"> </w:t>
        <w:t>Up 418.86 seconds</w:t>
        <w:t xml:space="preserve"> </w:t>
        <w:t>[</w:t>
        <w:t xml:space="preserve"> </w:t>
        <w:t>418.872484] cloud-init[2203]: Welcome to Ubuntu Server Installer!</w:t>
        <w:t xml:space="preserve"> </w:t>
        <w:t>[</w:t>
        <w:t xml:space="preserve"> </w:t>
        <w:t>418.872529] cloud-init[2203]: Above you will find SSH host keys and a random</w:t>
        <w:t xml:space="preserve"> </w:t>
        <w:t>password set for the `installer` user. You can use these credentials to ssh-in a</w:t>
        <w:t xml:space="preserve"> </w:t>
        <w:t>nd complete the installation. If you provided SSH keys in the cloud-init datasou</w:t>
        <w:t xml:space="preserve"> </w:t>
        <w:t>rce, they were also provisioned to the installer user.</w:t>
        <w:t xml:space="preserve"> </w:t>
        <w:t>[</w:t>
        <w:t xml:space="preserve"> </w:t>
        <w:t>418.872578] cloud-init[2203]: If you have access to the graphical console, li</w:t>
        <w:t xml:space="preserve"> </w:t>
        <w:t>ke TTY1 or HMC ASCII terminal you can complete the installation there too.</w:t>
      </w:r>
    </w:p>
    <w:p>
      <w:pPr>
        <w:pStyle w:val="Normal"/>
      </w:pPr>
      <w:r>
        <w:t>It is possible to connect to the installer over the network, which</w:t>
        <w:t xml:space="preserve"> </w:t>
        <w:t>might allow the use of a more capable terminal.</w:t>
      </w:r>
    </w:p>
    <w:p>
      <w:pPr>
        <w:pStyle w:val="Normal"/>
      </w:pPr>
      <w:r>
        <w:t>To connect, SSH to installer@10.222.111.11.</w:t>
      </w:r>
    </w:p>
    <w:p>
      <w:pPr>
        <w:pStyle w:val="Normal"/>
      </w:pPr>
      <w:r>
        <w:t>The password you should use is "C7BZrW76s4mJzmpf4eUy".</w:t>
      </w:r>
    </w:p>
    <w:p>
      <w:pPr>
        <w:pStyle w:val="Normal"/>
      </w:pPr>
      <w:r>
        <w:t>The host key fingerprints are:</w:t>
      </w:r>
    </w:p>
    <w:p>
      <w:pPr>
        <w:pStyle w:val="Normal"/>
      </w:pPr>
      <w:r>
        <w:t>RSA</w:t>
        <w:t xml:space="preserve"> </w:t>
        <w:t>SHA256:KX5cHC4YL9dXpvhnP6eSfS+J/zmKgg9zdlEzaEb+RTA</w:t>
        <w:t xml:space="preserve"> </w:t>
        <w:t>ECDSA</w:t>
        <w:t xml:space="preserve"> </w:t>
        <w:t>SHA256:P+hBF3fj/pu6+0KaywUYii3Lyuc09Za9/a2elCDOgdE</w:t>
        <w:t xml:space="preserve"> </w:t>
        <w:t>ED25519 SHA256:CbZpkR9eFHuB1sCDZwSdSdwJzy9FpsIWRIyc9ershZ0</w:t>
      </w:r>
    </w:p>
    <w:p>
      <w:pPr>
        <w:pStyle w:val="Normal"/>
      </w:pPr>
      <w:r>
        <w:t>Ubuntu Focal Fossa (development branch) ubuntu-server sclp_line0</w:t>
        <w:t xml:space="preserve"> </w:t>
        <w:t>ubuntu-server login:</w:t>
      </w:r>
    </w:p>
    <w:p>
      <w:pPr>
        <w:pStyle w:val="Para 17"/>
      </w:pPr>
      <w:r>
        <w:t/>
      </w:r>
    </w:p>
    <w:p>
      <w:pPr>
        <w:pStyle w:val="Para 04"/>
      </w:pPr>
      <w:r>
        <w:t>• At this point you can proceed with the regular installation either by using ‘Recovery’ –&gt;</w:t>
      </w:r>
    </w:p>
    <w:p>
      <w:pPr>
        <w:pStyle w:val="Para 02"/>
      </w:pPr>
      <w:r>
        <w:t>‘Integrated ASCII Console’ or with a remote SSH session.</w:t>
      </w:r>
    </w:p>
    <w:p>
      <w:pPr>
        <w:pStyle w:val="Para 04"/>
      </w:pPr>
      <w:r>
        <w:t>• If the ‘Integrated ASCII Console’ was opened (you can hit F3to refresh the task), the</w:t>
      </w:r>
    </w:p>
    <w:p>
      <w:pPr>
        <w:pStyle w:val="Para 02"/>
      </w:pPr>
      <w:r>
        <w:t>initial Subiquity installation screen is presented, which looks like this:</w:t>
      </w:r>
    </w:p>
    <w:p>
      <w:pPr>
        <w:pStyle w:val="Normal"/>
      </w:pPr>
      <w:r>
        <w:t>================================================================================</w:t>
      </w:r>
    </w:p>
    <w:p>
      <w:pPr>
        <w:pStyle w:val="Para 03"/>
      </w:pPr>
      <w:r>
        <w:t>Willkommen! Bienvenue! Welcome! ????? ??????????! Welkom!</w:t>
        <w:t xml:space="preserve"> </w:t>
        <w:t>[ Help ]</w:t>
      </w:r>
    </w:p>
    <w:p>
      <w:pPr>
        <w:pStyle w:val="Normal"/>
      </w:pPr>
      <w:r>
        <w:t>================================================================================</w:t>
      </w:r>
    </w:p>
    <w:p>
      <w:pPr>
        <w:pStyle w:val="Para 03"/>
      </w:pPr>
      <w:r>
        <w:t>Use UP, DOWN and ENTER keys to select your language.</w:t>
      </w:r>
    </w:p>
    <w:p>
      <w:pPr>
        <w:pStyle w:val="Para 15"/>
      </w:pPr>
      <w:r>
        <w:t>[ English</w:t>
        <w:t xml:space="preserve"> </w:t>
        <w:t>&gt; ]</w:t>
        <w:t xml:space="preserve"> </w:t>
        <w:t>[ Asturianu</w:t>
        <w:t xml:space="preserve"> </w:t>
        <w:t>&gt; ]</w:t>
        <w:t xml:space="preserve"> </w:t>
        <w:t>[ Cataln</w:t>
        <w:t xml:space="preserve"> </w:t>
        <w:t>&gt; ]</w:t>
      </w:r>
    </w:p>
    <w:p>
      <w:pPr>
        <w:pStyle w:val="Para 09"/>
      </w:pPr>
      <w:r>
        <w:t>(continues on next page)</w:t>
      </w:r>
    </w:p>
    <w:p>
      <w:bookmarkStart w:id="136" w:name="page_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 name="index-92_1.png" descr="index-92_1.png"/>
            <wp:cNvGraphicFramePr>
              <a:graphicFrameLocks noChangeAspect="1"/>
            </wp:cNvGraphicFramePr>
            <a:graphic>
              <a:graphicData uri="http://schemas.openxmlformats.org/drawingml/2006/picture">
                <pic:pic>
                  <pic:nvPicPr>
                    <pic:cNvPr id="0" name="index-92_1.png" descr="index-92_1.png"/>
                    <pic:cNvPicPr/>
                  </pic:nvPicPr>
                  <pic:blipFill>
                    <a:blip r:embed="rId98"/>
                    <a:stretch>
                      <a:fillRect/>
                    </a:stretch>
                  </pic:blipFill>
                  <pic:spPr>
                    <a:xfrm>
                      <a:off x="0" y="0"/>
                      <a:ext cx="914400" cy="266700"/>
                    </a:xfrm>
                    <a:prstGeom prst="rect">
                      <a:avLst/>
                    </a:prstGeom>
                  </pic:spPr>
                </pic:pic>
              </a:graphicData>
            </a:graphic>
          </wp:anchor>
        </w:drawing>
      </w:r>
      <w:bookmarkEnd w:id="136"/>
    </w:p>
    <w:p>
      <w:pPr>
        <w:pStyle w:val="Para 09"/>
      </w:pPr>
      <w:r>
        <w:t>(continued from previous page)</w:t>
      </w:r>
    </w:p>
    <w:p>
      <w:pPr>
        <w:pStyle w:val="Para 15"/>
      </w:pPr>
      <w:r>
        <w:t>[ Hrvatski</w:t>
        <w:t xml:space="preserve"> </w:t>
        <w:t>&gt; ]</w:t>
        <w:t xml:space="preserve"> </w:t>
        <w:t>[ Nederlands</w:t>
        <w:t xml:space="preserve"> </w:t>
        <w:t>&gt; ]</w:t>
        <w:t xml:space="preserve"> </w:t>
        <w:t>[ Suomi</w:t>
        <w:t xml:space="preserve"> </w:t>
        <w:t>&gt; ]</w:t>
        <w:t xml:space="preserve"> </w:t>
        <w:t>[ Francais</w:t>
        <w:t xml:space="preserve"> </w:t>
        <w:t>&gt; ]</w:t>
        <w:t xml:space="preserve"> </w:t>
        <w:t>[ Deutsch</w:t>
        <w:t xml:space="preserve"> </w:t>
        <w:t>&gt; ]</w:t>
        <w:t xml:space="preserve"> </w:t>
        <w:t>[ Magyar</w:t>
        <w:t xml:space="preserve"> </w:t>
        <w:t>&gt; ]</w:t>
        <w:t xml:space="preserve"> </w:t>
        <w:t>[ Latvie?u</w:t>
        <w:t xml:space="preserve"> </w:t>
        <w:t>&gt; ]</w:t>
        <w:t xml:space="preserve"> </w:t>
        <w:t>[ Norsk bokm?l</w:t>
        <w:t xml:space="preserve"> </w:t>
        <w:t>&gt; ]</w:t>
        <w:t xml:space="preserve"> </w:t>
        <w:t>[ Polski</w:t>
        <w:t xml:space="preserve"> </w:t>
        <w:t>&gt; ]</w:t>
        <w:t xml:space="preserve"> </w:t>
        <w:t>[ Espanol</w:t>
        <w:t xml:space="preserve"> </w:t>
        <w:t>&gt; ]</w:t>
      </w:r>
    </w:p>
    <w:p>
      <w:pPr>
        <w:pStyle w:val="Para 17"/>
      </w:pPr>
      <w:r>
        <w:t/>
      </w:r>
    </w:p>
    <w:p>
      <w:pPr>
        <w:pStyle w:val="Para 04"/>
      </w:pPr>
      <w:r>
        <w:t>• Since the user experience is nicer in a remote SSH session, we recommend using that.</w:t>
      </w:r>
    </w:p>
    <w:p>
      <w:pPr>
        <w:pStyle w:val="Para 02"/>
      </w:pPr>
      <w:r>
        <w:t>However, with certain network environments it’s just not possible to use a remote shell, and the ‘Integrated ASCII Console’ will be the only option.</w:t>
      </w:r>
    </w:p>
    <w:p>
      <w:pPr>
        <w:pStyle w:val="Para 08"/>
      </w:pPr>
      <w:r>
        <w:t>Note:</w:t>
      </w:r>
    </w:p>
    <w:p>
      <w:pPr>
        <w:pStyle w:val="Para 03"/>
      </w:pPr>
      <w:r>
        <w:t xml:space="preserve">At the end of the installer boot-up process, </w:t>
      </w:r>
      <w:r>
        <w:rPr>
          <w:rStyle w:val="Text0"/>
        </w:rPr>
        <w:t>all</w:t>
      </w:r>
      <w:r>
        <w:t xml:space="preserve"> necessary information is provided to pro-</w:t>
      </w:r>
    </w:p>
    <w:p>
      <w:pPr>
        <w:pStyle w:val="Para 03"/>
      </w:pPr>
      <w:r>
        <w:t>ceed with a remote shell.</w:t>
      </w:r>
    </w:p>
    <w:p>
      <w:pPr>
        <w:pStyle w:val="Para 04"/>
      </w:pPr>
      <w:r>
        <w:t>• The command to execute locally is:</w:t>
      </w:r>
    </w:p>
    <w:p>
      <w:pPr>
        <w:pStyle w:val="Para 02"/>
      </w:pPr>
      <w:r>
        <w:t>user@workstation:~$ ssh installer@10.222.111.11</w:t>
      </w:r>
    </w:p>
    <w:p>
      <w:pPr>
        <w:pStyle w:val="Para 17"/>
      </w:pPr>
      <w:r>
        <w:t/>
      </w:r>
    </w:p>
    <w:p>
      <w:pPr>
        <w:pStyle w:val="Para 04"/>
      </w:pPr>
      <w:r>
        <w:t>• A temporary random password for the installation was created and shared as well,</w:t>
      </w:r>
    </w:p>
    <w:p>
      <w:pPr>
        <w:pStyle w:val="Para 02"/>
      </w:pPr>
      <w:r>
        <w:t>which you should use without the leading and trailing double quotes:</w:t>
      </w:r>
    </w:p>
    <w:p>
      <w:pPr>
        <w:pStyle w:val="Normal"/>
      </w:pPr>
      <w:r>
        <w:t>"C7BZrW76s4mJzmpf4eUy"</w:t>
      </w:r>
    </w:p>
    <w:p>
      <w:pPr>
        <w:pStyle w:val="Para 17"/>
      </w:pPr>
      <w:r>
        <w:t/>
      </w:r>
    </w:p>
    <w:p>
      <w:pPr>
        <w:pStyle w:val="Para 04"/>
      </w:pPr>
      <w:r>
        <w:t>• Hence the remote session for the installer can be opened by:</w:t>
      </w:r>
    </w:p>
    <w:p>
      <w:pPr>
        <w:pStyle w:val="Normal"/>
      </w:pPr>
      <w:r>
        <w:t>user@workstation:~$ ssh installer@10.222.111.11</w:t>
      </w:r>
    </w:p>
    <w:p>
      <w:pPr>
        <w:pStyle w:val="Normal"/>
      </w:pPr>
      <w:r>
        <w:t>The authenticity of host</w:t>
        <w:t xml:space="preserve"> </w:t>
        <w:t>'10.222.111.11 (10.222.111.11)'</w:t>
        <w:t xml:space="preserve"> </w:t>
        <w:t>can</w:t>
        <w:t>'t be established.</w:t>
        <w:t xml:space="preserve"> </w:t>
        <w:t>ECDSA key fingerprint is SHA256:P+hBF3fj/pu6+0KaywUYii3Lyuc09Za9/a2elCDOgdE.</w:t>
        <w:t xml:space="preserve"> </w:t>
        <w:t>Are you sure you want to continue connecting (yes/no/[fingerprint])? yes</w:t>
        <w:t xml:space="preserve"> </w:t>
        <w:t>Warning: Permanently added '</w:t>
        <w:t>10</w:t>
        <w:t>.222.111.11</w:t>
        <w:t>' (ECDSA) to the list of known hosts.</w:t>
        <w:t xml:space="preserve"> </w:t>
        <w:t>installer@10.222.111.11'</w:t>
        <w:t>s password: C7BZrW76s4mJzmpf4eUy</w:t>
      </w:r>
    </w:p>
    <w:p>
      <w:pPr>
        <w:pStyle w:val="Para 17"/>
      </w:pPr>
      <w:r>
        <w:t/>
      </w:r>
    </w:p>
    <w:p>
      <w:pPr>
        <w:pStyle w:val="Para 04"/>
      </w:pPr>
      <w:r>
        <w:t>• One may swiftly see some login messages like the following ones:</w:t>
      </w:r>
    </w:p>
    <w:p>
      <w:pPr>
        <w:pStyle w:val="Normal"/>
      </w:pPr>
      <w:r>
        <w:t>Welcome to Ubuntu Focal Fossa (development branch) (GNU</w:t>
        <w:t>/</w:t>
        <w:t>Linux</w:t>
        <w:t xml:space="preserve"> </w:t>
        <w:t>5.4.0</w:t>
        <w:t>-</w:t>
        <w:t>42</w:t>
        <w:t>-</w:t>
        <w:t>generic s390x)</w:t>
      </w:r>
    </w:p>
    <w:p>
      <w:pPr>
        <w:pStyle w:val="Normal"/>
      </w:pPr>
      <w:r>
        <w:t>*</w:t>
        <w:t xml:space="preserve"> </w:t>
        <w:t>Documentation:</w:t>
        <w:t xml:space="preserve"> </w:t>
        <w:t>https:</w:t>
        <w:t>//</w:t>
        <w:t>help</w:t>
        <w:t>.</w:t>
        <w:t>ubuntu</w:t>
        <w:t>.</w:t>
        <w:t>com</w:t>
        <w:t xml:space="preserve"> </w:t>
        <w:t>*</w:t>
        <w:t xml:space="preserve"> </w:t>
        <w:t>Management:</w:t>
        <w:t xml:space="preserve"> </w:t>
        <w:t>https:</w:t>
        <w:t>//</w:t>
        <w:t>landscape</w:t>
        <w:t>.</w:t>
        <w:t>canonical</w:t>
        <w:t>.</w:t>
        <w:t>com</w:t>
        <w:t xml:space="preserve"> </w:t>
        <w:t>*</w:t>
        <w:t xml:space="preserve"> </w:t>
        <w:t>Support:</w:t>
        <w:t xml:space="preserve"> </w:t>
        <w:t>https:</w:t>
        <w:t>//</w:t>
        <w:t>ubuntu</w:t>
        <w:t>.</w:t>
        <w:t>com</w:t>
        <w:t>/</w:t>
        <w:t>pro</w:t>
      </w:r>
    </w:p>
    <w:p>
      <w:pPr>
        <w:pStyle w:val="Para 03"/>
      </w:pPr>
      <w:r>
        <w:t>System information</w:t>
        <w:t xml:space="preserve"> </w:t>
      </w:r>
      <w:r>
        <w:rPr>
          <w:rStyle w:val="Text0"/>
        </w:rPr>
        <w:t>as</w:t>
      </w:r>
      <w:r>
        <w:t xml:space="preserve"> </w:t>
        <w:t>of Wed Jun</w:t>
        <w:t xml:space="preserve"> </w:t>
        <w:t>3 17</w:t>
        <w:t>:</w:t>
        <w:t>32</w:t>
        <w:t>:</w:t>
        <w:t>10</w:t>
        <w:t xml:space="preserve"> </w:t>
        <w:t>UTC</w:t>
        <w:t xml:space="preserve"> </w:t>
        <w:t>2020</w:t>
      </w:r>
    </w:p>
    <w:p>
      <w:pPr>
        <w:pStyle w:val="Para 03"/>
      </w:pPr>
      <w:r>
        <w:t>System load:</w:t>
        <w:t xml:space="preserve"> </w:t>
        <w:t>0.0</w:t>
        <w:t xml:space="preserve"> </w:t>
        <w:t>Memory usage:</w:t>
        <w:t xml:space="preserve"> </w:t>
        <w:t>2</w:t>
        <w:t>%</w:t>
        <w:t xml:space="preserve"> </w:t>
        <w:t>Processes:</w:t>
        <w:t xml:space="preserve"> </w:t>
        <w:t>146</w:t>
      </w:r>
    </w:p>
    <w:p>
      <w:pPr>
        <w:pStyle w:val="Para 03"/>
      </w:pPr>
      <w:r>
        <w:t>Usage of</w:t>
        <w:t xml:space="preserve"> </w:t>
        <w:t>/</w:t>
        <w:t>home: unknown</w:t>
        <w:t xml:space="preserve"> </w:t>
        <w:t>Swap usage:</w:t>
        <w:t xml:space="preserve"> </w:t>
        <w:t>0</w:t>
        <w:t>%</w:t>
        <w:t xml:space="preserve"> </w:t>
        <w:t>Users logged</w:t>
        <w:t xml:space="preserve"> </w:t>
      </w:r>
      <w:r>
        <w:rPr>
          <w:rStyle w:val="Text0"/>
        </w:rPr>
        <w:t>in</w:t>
      </w:r>
      <w:r>
        <w:t>:</w:t>
        <w:t xml:space="preserve"> </w:t>
        <w:t>0</w:t>
      </w:r>
    </w:p>
    <w:p>
      <w:pPr>
        <w:pStyle w:val="Normal"/>
      </w:pPr>
      <w:r>
        <w:t>0</w:t>
        <w:t xml:space="preserve"> </w:t>
        <w:t>updates can be installed immediately</w:t>
        <w:t>.</w:t>
      </w:r>
    </w:p>
    <w:p>
      <w:pPr>
        <w:pStyle w:val="Normal"/>
      </w:pPr>
      <w:r>
        <w:t>0</w:t>
        <w:t xml:space="preserve"> </w:t>
        <w:t>of these updates are security updates</w:t>
        <w:t>.</w:t>
      </w:r>
    </w:p>
    <w:p>
      <w:pPr>
        <w:pStyle w:val="Para 09"/>
      </w:pPr>
      <w:r>
        <w:t>(continues on next page)</w:t>
      </w:r>
    </w:p>
    <w:p>
      <w:bookmarkStart w:id="137" w:name="page_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 name="index-93_1.png" descr="index-93_1.png"/>
            <wp:cNvGraphicFramePr>
              <a:graphicFrameLocks noChangeAspect="1"/>
            </wp:cNvGraphicFramePr>
            <a:graphic>
              <a:graphicData uri="http://schemas.openxmlformats.org/drawingml/2006/picture">
                <pic:pic>
                  <pic:nvPicPr>
                    <pic:cNvPr id="0" name="index-93_1.png" descr="index-93_1.png"/>
                    <pic:cNvPicPr/>
                  </pic:nvPicPr>
                  <pic:blipFill>
                    <a:blip r:embed="rId99"/>
                    <a:stretch>
                      <a:fillRect/>
                    </a:stretch>
                  </pic:blipFill>
                  <pic:spPr>
                    <a:xfrm>
                      <a:off x="0" y="0"/>
                      <a:ext cx="914400" cy="266700"/>
                    </a:xfrm>
                    <a:prstGeom prst="rect">
                      <a:avLst/>
                    </a:prstGeom>
                  </pic:spPr>
                </pic:pic>
              </a:graphicData>
            </a:graphic>
          </wp:anchor>
        </w:drawing>
      </w:r>
      <w:bookmarkEnd w:id="137"/>
    </w:p>
    <w:p>
      <w:pPr>
        <w:pStyle w:val="Para 09"/>
      </w:pPr>
      <w:r>
        <w:t>(continued from previous page)</w:t>
      </w:r>
    </w:p>
    <w:p>
      <w:pPr>
        <w:pStyle w:val="Normal"/>
      </w:pPr>
      <w:r>
        <w:t>The programs included</w:t>
        <w:t xml:space="preserve"> </w:t>
      </w:r>
      <w:r>
        <w:rPr>
          <w:rStyle w:val="Text0"/>
        </w:rPr>
        <w:t>with</w:t>
      </w:r>
      <w:r>
        <w:t xml:space="preserve"> </w:t>
        <w:t>the Ubuntu system are free software;</w:t>
        <w:t xml:space="preserve"> </w:t>
        <w:t>the exact distribution terms</w:t>
        <w:t xml:space="preserve"> </w:t>
      </w:r>
      <w:r>
        <w:rPr>
          <w:rStyle w:val="Text0"/>
        </w:rPr>
        <w:t>for</w:t>
      </w:r>
      <w:r>
        <w:t xml:space="preserve"> </w:t>
        <w:t>each program are described</w:t>
        <w:t xml:space="preserve"> </w:t>
      </w:r>
      <w:r>
        <w:rPr>
          <w:rStyle w:val="Text0"/>
        </w:rPr>
        <w:t>in</w:t>
      </w:r>
      <w:r>
        <w:t xml:space="preserve"> </w:t>
        <w:t>the</w:t>
        <w:t xml:space="preserve"> </w:t>
        <w:t>individual files</w:t>
        <w:t xml:space="preserve"> </w:t>
      </w:r>
      <w:r>
        <w:rPr>
          <w:rStyle w:val="Text0"/>
        </w:rPr>
        <w:t>in</w:t>
      </w:r>
      <w:r>
        <w:t xml:space="preserve"> </w:t>
        <w:t>/</w:t>
        <w:t>usr</w:t>
        <w:t>/</w:t>
        <w:t>share</w:t>
        <w:t>/</w:t>
        <w:t>doc</w:t>
        <w:t>/*/</w:t>
        <w:t>copyright</w:t>
        <w:t>.</w:t>
      </w:r>
    </w:p>
    <w:p>
      <w:pPr>
        <w:pStyle w:val="Normal"/>
      </w:pPr>
      <w:r>
        <w:t>Ubuntu comes</w:t>
        <w:t xml:space="preserve"> </w:t>
      </w:r>
      <w:r>
        <w:rPr>
          <w:rStyle w:val="Text0"/>
        </w:rPr>
        <w:t>with</w:t>
      </w:r>
      <w:r>
        <w:t xml:space="preserve"> </w:t>
        <w:t>ABSOLUTELY NO WARRANTY, to the extent permitted by</w:t>
        <w:t xml:space="preserve"> </w:t>
        <w:t>applicable law</w:t>
        <w:t>.</w:t>
      </w:r>
    </w:p>
    <w:p>
      <w:pPr>
        <w:pStyle w:val="Para 17"/>
      </w:pPr>
      <w:r>
        <w:t/>
      </w:r>
    </w:p>
    <w:p>
      <w:pPr>
        <w:pStyle w:val="Normal"/>
      </w:pPr>
      <w:r>
        <w:t>Eventually you’ll reach the initial Subiquity installer screen:</w:t>
      </w:r>
    </w:p>
    <w:p>
      <w:pPr>
        <w:pStyle w:val="Normal"/>
      </w:pPr>
      <w:r>
        <w:t>====================================================================</w:t>
      </w:r>
    </w:p>
    <w:p>
      <w:pPr>
        <w:pStyle w:val="Para 03"/>
      </w:pPr>
      <w:r>
        <w:t>Willkommen! Bienvenue! Welcome! ????? ??????????! Welkom!</w:t>
      </w:r>
    </w:p>
    <w:p>
      <w:pPr>
        <w:pStyle w:val="Normal"/>
      </w:pPr>
      <w:r>
        <w:t>====================================================================</w:t>
      </w:r>
    </w:p>
    <w:p>
      <w:pPr>
        <w:pStyle w:val="Para 03"/>
      </w:pPr>
      <w:r>
        <w:t>Use UP, DOWN and ENTER keys to select your language.</w:t>
      </w:r>
    </w:p>
    <w:p>
      <w:pPr>
        <w:pStyle w:val="Para 15"/>
      </w:pPr>
      <w:r>
        <w:t>[ English</w:t>
        <w:t xml:space="preserve"> </w:t>
        <w:t>&gt; ]</w:t>
        <w:t xml:space="preserve"> </w:t>
        <w:t>[ Asturianu</w:t>
        <w:t xml:space="preserve"> </w:t>
        <w:t>&gt; ]</w:t>
        <w:t xml:space="preserve"> </w:t>
        <w:t>[ Cataln</w:t>
        <w:t xml:space="preserve"> </w:t>
        <w:t>&gt; ]</w:t>
        <w:t xml:space="preserve"> </w:t>
        <w:t>[ Hrvatski</w:t>
        <w:t xml:space="preserve"> </w:t>
        <w:t>&gt; ]</w:t>
        <w:t xml:space="preserve"> </w:t>
        <w:t>[ Nederlands</w:t>
        <w:t xml:space="preserve"> </w:t>
        <w:t>&gt; ]</w:t>
        <w:t xml:space="preserve"> </w:t>
        <w:t>[ Suomi</w:t>
        <w:t xml:space="preserve"> </w:t>
        <w:t>&gt; ]</w:t>
        <w:t xml:space="preserve"> </w:t>
        <w:t>[ Francais</w:t>
        <w:t xml:space="preserve"> </w:t>
        <w:t>&gt; ]</w:t>
        <w:t xml:space="preserve"> </w:t>
        <w:t>[ Deutsch</w:t>
        <w:t xml:space="preserve"> </w:t>
        <w:t>&gt; ]</w:t>
        <w:t xml:space="preserve"> </w:t>
        <w:t>[ Magyar</w:t>
        <w:t xml:space="preserve"> </w:t>
        <w:t>&gt; ]</w:t>
        <w:t xml:space="preserve"> </w:t>
        <w:t>[ Latvie?u</w:t>
        <w:t xml:space="preserve"> </w:t>
        <w:t>&gt; ]</w:t>
        <w:t xml:space="preserve"> </w:t>
        <w:t>[ Norsk bokm?l</w:t>
        <w:t xml:space="preserve"> </w:t>
        <w:t>&gt; ]</w:t>
        <w:t xml:space="preserve"> </w:t>
        <w:t>[ Polski</w:t>
        <w:t xml:space="preserve"> </w:t>
        <w:t>&gt; ]</w:t>
        <w:t xml:space="preserve"> </w:t>
        <w:t>[ Espanol</w:t>
        <w:t xml:space="preserve"> </w:t>
        <w:t>&gt; ]</w:t>
      </w:r>
    </w:p>
    <w:p>
      <w:pPr>
        <w:pStyle w:val="Para 17"/>
      </w:pPr>
      <w:r>
        <w:t/>
      </w:r>
    </w:p>
    <w:p>
      <w:pPr>
        <w:pStyle w:val="Para 04"/>
      </w:pPr>
      <w:r>
        <w:t>• From this point, you can follow the normal Subiquity installation. For more details, refer</w:t>
      </w:r>
    </w:p>
    <w:p>
      <w:pPr>
        <w:pStyle w:val="Para 32"/>
      </w:pPr>
      <w:r>
        <w:rPr>
          <w:rStyle w:val="Text7"/>
        </w:rPr>
        <w:t xml:space="preserve">to the </w:t>
      </w:r>
      <w:hyperlink w:anchor="page_93">
        <w:r>
          <w:rPr>
            <w:rStyle w:val="Text10"/>
          </w:rPr>
          <w:t>74</w:t>
        </w:r>
      </w:hyperlink>
      <w:r>
        <w:rPr>
          <w:rStyle w:val="Text7"/>
        </w:rPr>
        <w:t xml:space="preserve"> </w:t>
      </w:r>
      <w:hyperlink r:id="rId1048">
        <w:r>
          <w:t>Subiquity installer documentation</w:t>
        </w:r>
      </w:hyperlink>
      <w:r>
        <w:rPr>
          <w:rStyle w:val="Text7"/>
        </w:rPr>
        <w:t>.</w:t>
      </w:r>
    </w:p>
    <w:p>
      <w:pPr>
        <w:pStyle w:val="Normal"/>
      </w:pPr>
      <w:r>
        <w:t>(I’m leaving some pretty standard screenshots here just to give an example for a basic instal-lation …)</w:t>
      </w:r>
    </w:p>
    <w:p>
      <w:pPr>
        <w:pStyle w:val="Normal"/>
      </w:pPr>
      <w:r>
        <w:t>====================================================================</w:t>
      </w:r>
    </w:p>
    <w:p>
      <w:pPr>
        <w:pStyle w:val="Para 03"/>
      </w:pPr>
      <w:r>
        <w:t>Keyboard configuration</w:t>
      </w:r>
    </w:p>
    <w:p>
      <w:pPr>
        <w:pStyle w:val="Normal"/>
      </w:pPr>
      <w:r>
        <w:t>====================================================================</w:t>
      </w:r>
    </w:p>
    <w:p>
      <w:pPr>
        <w:pStyle w:val="Para 03"/>
      </w:pPr>
      <w:r>
        <w:t>Please select your keyboard layout below,</w:t>
        <w:t xml:space="preserve"> </w:t>
      </w:r>
      <w:r>
        <w:rPr>
          <w:rStyle w:val="Text0"/>
        </w:rPr>
        <w:t>or</w:t>
      </w:r>
      <w:r>
        <w:t xml:space="preserve"> </w:t>
        <w:t>select</w:t>
        <w:t xml:space="preserve"> </w:t>
        <w:t>"Identify keyboard"</w:t>
        <w:t xml:space="preserve"> </w:t>
        <w:t>to</w:t>
      </w:r>
    </w:p>
    <w:p>
      <w:pPr>
        <w:pStyle w:val="Para 03"/>
      </w:pPr>
      <w:r>
        <w:t>detect your layout automatically</w:t>
        <w:t>.</w:t>
      </w:r>
    </w:p>
    <w:p>
      <w:pPr>
        <w:pStyle w:val="Para 15"/>
      </w:pPr>
      <w:r>
        <w:t>Layout:</w:t>
        <w:t xml:space="preserve"> </w:t>
        <w:t>[ English (US)</w:t>
        <w:t xml:space="preserve"> </w:t>
        <w:t>v ]</w:t>
      </w:r>
    </w:p>
    <w:p>
      <w:pPr>
        <w:pStyle w:val="Para 17"/>
      </w:pPr>
      <w:r>
        <w:t/>
      </w:r>
    </w:p>
    <w:p>
      <w:pPr>
        <w:pStyle w:val="Para 15"/>
      </w:pPr>
      <w:r>
        <w:t>Variant:</w:t>
        <w:t xml:space="preserve"> </w:t>
        <w:t>[ English (US)</w:t>
        <w:t xml:space="preserve"> </w:t>
        <w:t>v ]</w:t>
      </w:r>
    </w:p>
    <w:p>
      <w:pPr>
        <w:pStyle w:val="Para 17"/>
      </w:pPr>
      <w:r>
        <w:t/>
      </w:r>
    </w:p>
    <w:p>
      <w:pPr>
        <w:pStyle w:val="Para 38"/>
      </w:pPr>
      <w:r>
        <w:t>[ Identify keyboard ]</w:t>
      </w:r>
    </w:p>
    <w:p>
      <w:pPr>
        <w:pStyle w:val="Para 17"/>
      </w:pPr>
      <w:r>
        <w:t/>
      </w:r>
    </w:p>
    <w:p>
      <w:pPr>
        <w:pStyle w:val="Para 09"/>
      </w:pPr>
      <w:r>
        <w:t>(continues on next page)</w:t>
      </w:r>
    </w:p>
    <w:p>
      <w:pPr>
        <w:pStyle w:val="Para 05"/>
      </w:pPr>
      <w:r>
        <w:rPr>
          <w:rStyle w:val="Text5"/>
        </w:rPr>
        <w:t>74</w:t>
      </w:r>
      <w:r>
        <w:rPr>
          <w:rStyle w:val="Text8"/>
        </w:rPr>
        <w:t xml:space="preserve"> </w:t>
      </w:r>
      <w:r>
        <w:t>https://canonical-subiquity.readthedocs-hosted.com/en/latest/index.html</w:t>
      </w:r>
    </w:p>
    <w:p>
      <w:bookmarkStart w:id="138" w:name="page_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100"/>
                    <a:stretch>
                      <a:fillRect/>
                    </a:stretch>
                  </pic:blipFill>
                  <pic:spPr>
                    <a:xfrm>
                      <a:off x="0" y="0"/>
                      <a:ext cx="914400" cy="266700"/>
                    </a:xfrm>
                    <a:prstGeom prst="rect">
                      <a:avLst/>
                    </a:prstGeom>
                  </pic:spPr>
                </pic:pic>
              </a:graphicData>
            </a:graphic>
          </wp:anchor>
        </w:drawing>
      </w:r>
      <w:bookmarkEnd w:id="138"/>
    </w:p>
    <w:p>
      <w:pPr>
        <w:pStyle w:val="Para 09"/>
      </w:pPr>
      <w:r>
        <w:t>(continued from previous page)</w:t>
      </w:r>
    </w:p>
    <w:p>
      <w:pPr>
        <w:pStyle w:val="Para 19"/>
      </w:pPr>
      <w:r>
        <w:t>[ Done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03"/>
      </w:pPr>
      <w:r>
        <w:t>ID</w:t>
        <w:t xml:space="preserve"> </w:t>
        <w:t>ONLINE</w:t>
        <w:t xml:space="preserve"> </w:t>
        <w:t>NAMES</w:t>
        <w:t xml:space="preserve"> </w:t>
        <w:t>^</w:t>
      </w:r>
    </w:p>
    <w:p>
      <w:pPr>
        <w:pStyle w:val="Para 21"/>
      </w:pPr>
      <w:r>
        <w:t>│</w:t>
      </w:r>
    </w:p>
    <w:p>
      <w:pPr>
        <w:pStyle w:val="Para 03"/>
      </w:pPr>
      <w:r>
        <w:t>dasd-eckd</w:t>
      </w:r>
    </w:p>
    <w:p>
      <w:pPr>
        <w:pStyle w:val="Para 03"/>
      </w:pPr>
      <w:r>
        <w:t>0.0.1600</w:t>
        <w:t xml:space="preserve"> </w:t>
        <w:t>&gt;</w:t>
      </w:r>
    </w:p>
    <w:p>
      <w:pPr>
        <w:pStyle w:val="Para 03"/>
      </w:pPr>
      <w:r>
        <w:t>0.0.1601</w:t>
        <w:t xml:space="preserve"> </w:t>
        <w:t>&gt;</w:t>
      </w:r>
    </w:p>
    <w:p>
      <w:pPr>
        <w:pStyle w:val="Para 03"/>
      </w:pPr>
      <w:r>
        <w:t>0.0.1602</w:t>
        <w:t xml:space="preserve"> </w:t>
        <w:t>&gt;</w:t>
      </w:r>
    </w:p>
    <w:p>
      <w:pPr>
        <w:pStyle w:val="Para 03"/>
      </w:pPr>
      <w:r>
        <w:t>0.0.1603</w:t>
        <w:t xml:space="preserve"> </w:t>
        <w:t>&gt;</w:t>
      </w:r>
    </w:p>
    <w:p>
      <w:pPr>
        <w:pStyle w:val="Para 03"/>
      </w:pPr>
      <w:r>
        <w:t>0.0.1604</w:t>
        <w:t xml:space="preserve"> </w:t>
        <w:t>&gt;</w:t>
      </w:r>
    </w:p>
    <w:p>
      <w:pPr>
        <w:pStyle w:val="Para 03"/>
      </w:pPr>
      <w:r>
        <w:t>0.0.1605</w:t>
        <w:t xml:space="preserve"> </w:t>
        <w:t>&gt;</w:t>
      </w:r>
    </w:p>
    <w:p>
      <w:pPr>
        <w:pStyle w:val="Para 03"/>
      </w:pPr>
      <w:r>
        <w:t>0.0.1606</w:t>
        <w:t xml:space="preserve"> </w:t>
        <w:t>&gt;</w:t>
      </w:r>
    </w:p>
    <w:p>
      <w:pPr>
        <w:pStyle w:val="Para 03"/>
      </w:pPr>
      <w:r>
        <w:t>0.0.1607</w:t>
        <w:t xml:space="preserve"> </w:t>
        <w:t>&gt;</w:t>
      </w:r>
    </w:p>
    <w:p>
      <w:pPr>
        <w:pStyle w:val="Para 03"/>
      </w:pPr>
      <w:r>
        <w:t>0.0.1608</w:t>
        <w:t xml:space="preserve"> </w:t>
        <w:t>&gt;</w:t>
      </w:r>
    </w:p>
    <w:p>
      <w:pPr>
        <w:pStyle w:val="Para 03"/>
      </w:pPr>
      <w:r>
        <w:t>0.0.1609</w:t>
        <w:t xml:space="preserve"> </w:t>
        <w:t>&gt;</w:t>
      </w:r>
    </w:p>
    <w:p>
      <w:pPr>
        <w:pStyle w:val="Para 03"/>
      </w:pPr>
      <w:r>
        <w:t>0.0.160a</w:t>
        <w:t xml:space="preserve"> </w:t>
        <w:t>&gt;</w:t>
      </w:r>
    </w:p>
    <w:p>
      <w:pPr>
        <w:pStyle w:val="Para 03"/>
      </w:pPr>
      <w:r>
        <w:t>0.0.160b</w:t>
        <w:t xml:space="preserve"> </w:t>
        <w:t>&gt;</w:t>
      </w:r>
    </w:p>
    <w:p>
      <w:pPr>
        <w:pStyle w:val="Para 03"/>
      </w:pPr>
      <w:r>
        <w:t>0.0.160c</w:t>
        <w:t xml:space="preserve"> </w:t>
        <w:t>&gt;</w:t>
      </w:r>
    </w:p>
    <w:p>
      <w:pPr>
        <w:pStyle w:val="Para 03"/>
      </w:pPr>
      <w:r>
        <w:t>0.0.160d</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03"/>
      </w:pPr>
      <w:r>
        <w:t>ID</w:t>
        <w:t xml:space="preserve"> </w:t>
        <w:t>ONLINE</w:t>
        <w:t xml:space="preserve"> </w:t>
        <w:t>NAMES</w:t>
        <w:t xml:space="preserve"> </w:t>
        <w:t>^</w:t>
      </w:r>
    </w:p>
    <w:p>
      <w:pPr>
        <w:pStyle w:val="Para 21"/>
      </w:pPr>
      <w:r>
        <w:t>│</w:t>
      </w:r>
    </w:p>
    <w:p>
      <w:pPr>
        <w:pStyle w:val="Para 03"/>
      </w:pPr>
      <w:r>
        <w:t>dasd-eckd</w:t>
      </w:r>
    </w:p>
    <w:p>
      <w:pPr>
        <w:pStyle w:val="Para 03"/>
      </w:pPr>
      <w:r>
        <w:t>0.0.1600</w:t>
        <w:t xml:space="preserve"> </w:t>
        <w:t>&gt;┌────────────┐</w:t>
      </w:r>
    </w:p>
    <w:p>
      <w:pPr>
        <w:pStyle w:val="Para 03"/>
      </w:pPr>
      <w:r>
        <w:t>0.0.1601</w:t>
        <w:t xml:space="preserve"> </w:t>
        <w:t>&gt;│&lt; (close)</w:t>
        <w:t xml:space="preserve"> </w:t>
        <w:t>│</w:t>
      </w:r>
    </w:p>
    <w:p>
      <w:pPr>
        <w:pStyle w:val="Para 03"/>
      </w:pPr>
      <w:r>
        <w:t>0.0.1602</w:t>
        <w:t xml:space="preserve"> </w:t>
        <w:t>&gt;│</w:t>
        <w:t xml:space="preserve"> </w:t>
        <w:t>Enable</w:t>
        <w:t xml:space="preserve"> </w:t>
        <w:t>│</w:t>
      </w:r>
    </w:p>
    <w:p>
      <w:pPr>
        <w:pStyle w:val="Para 03"/>
      </w:pPr>
      <w:r>
        <w:t>0.0.1603</w:t>
        <w:t xml:space="preserve"> </w:t>
        <w:t>&gt;│</w:t>
        <w:t xml:space="preserve"> </w:t>
        <w:t>Disable</w:t>
        <w:t xml:space="preserve"> </w:t>
        <w:t>│</w:t>
      </w:r>
    </w:p>
    <w:p>
      <w:pPr>
        <w:pStyle w:val="Para 03"/>
      </w:pPr>
      <w:r>
        <w:t>0.0.1604</w:t>
        <w:t xml:space="preserve"> </w:t>
        <w:t>&gt;└────────────┘</w:t>
      </w:r>
    </w:p>
    <w:p>
      <w:pPr>
        <w:pStyle w:val="Para 03"/>
      </w:pPr>
      <w:r>
        <w:t>0.0.1605</w:t>
        <w:t xml:space="preserve"> </w:t>
        <w:t>&gt;</w:t>
      </w:r>
    </w:p>
    <w:p>
      <w:pPr>
        <w:pStyle w:val="Para 03"/>
      </w:pPr>
      <w:r>
        <w:t>0.0.1606</w:t>
        <w:t xml:space="preserve"> </w:t>
        <w:t>&gt;</w:t>
      </w:r>
    </w:p>
    <w:p>
      <w:pPr>
        <w:pStyle w:val="Para 03"/>
      </w:pPr>
      <w:r>
        <w:t>0.0.1607</w:t>
        <w:t xml:space="preserve"> </w:t>
        <w:t>&gt;</w:t>
      </w:r>
    </w:p>
    <w:p>
      <w:pPr>
        <w:pStyle w:val="Para 03"/>
      </w:pPr>
      <w:r>
        <w:t>0.0.1608</w:t>
        <w:t xml:space="preserve"> </w:t>
        <w:t>&gt;</w:t>
      </w:r>
    </w:p>
    <w:p>
      <w:pPr>
        <w:pStyle w:val="Para 03"/>
      </w:pPr>
      <w:r>
        <w:t>0.0.1609</w:t>
        <w:t xml:space="preserve"> </w:t>
        <w:t>&gt;</w:t>
      </w:r>
    </w:p>
    <w:p>
      <w:pPr>
        <w:pStyle w:val="Para 03"/>
      </w:pPr>
      <w:r>
        <w:t>0.0.160a</w:t>
        <w:t xml:space="preserve"> </w:t>
        <w:t>&gt;</w:t>
      </w:r>
    </w:p>
    <w:p>
      <w:pPr>
        <w:pStyle w:val="Para 03"/>
      </w:pPr>
      <w:r>
        <w:t>0.0.160b</w:t>
        <w:t xml:space="preserve"> </w:t>
        <w:t>&gt;</w:t>
      </w:r>
    </w:p>
    <w:p>
      <w:pPr>
        <w:pStyle w:val="Para 03"/>
      </w:pPr>
      <w:r>
        <w:t>0.0.160c</w:t>
        <w:t xml:space="preserve"> </w:t>
        <w:t>&gt;</w:t>
      </w:r>
    </w:p>
    <w:p>
      <w:pPr>
        <w:pStyle w:val="Para 03"/>
      </w:pPr>
      <w:r>
        <w:t>0.0.160d</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Zdev setup</w:t>
      </w:r>
    </w:p>
    <w:p>
      <w:pPr>
        <w:pStyle w:val="Normal"/>
      </w:pPr>
      <w:r>
        <w:t>====================================================================</w:t>
      </w:r>
    </w:p>
    <w:p>
      <w:pPr>
        <w:pStyle w:val="Para 09"/>
      </w:pPr>
      <w:r>
        <w:t>(continues on next page)</w:t>
      </w:r>
    </w:p>
    <w:p>
      <w:bookmarkStart w:id="139" w:name="page_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 name="index-95_1.png" descr="index-95_1.png"/>
            <wp:cNvGraphicFramePr>
              <a:graphicFrameLocks noChangeAspect="1"/>
            </wp:cNvGraphicFramePr>
            <a:graphic>
              <a:graphicData uri="http://schemas.openxmlformats.org/drawingml/2006/picture">
                <pic:pic>
                  <pic:nvPicPr>
                    <pic:cNvPr id="0" name="index-95_1.png" descr="index-95_1.png"/>
                    <pic:cNvPicPr/>
                  </pic:nvPicPr>
                  <pic:blipFill>
                    <a:blip r:embed="rId101"/>
                    <a:stretch>
                      <a:fillRect/>
                    </a:stretch>
                  </pic:blipFill>
                  <pic:spPr>
                    <a:xfrm>
                      <a:off x="0" y="0"/>
                      <a:ext cx="914400" cy="266700"/>
                    </a:xfrm>
                    <a:prstGeom prst="rect">
                      <a:avLst/>
                    </a:prstGeom>
                  </pic:spPr>
                </pic:pic>
              </a:graphicData>
            </a:graphic>
          </wp:anchor>
        </w:drawing>
      </w:r>
      <w:bookmarkEnd w:id="139"/>
    </w:p>
    <w:p>
      <w:pPr>
        <w:pStyle w:val="Para 09"/>
      </w:pPr>
      <w:r>
        <w:t>(continued from previous page)</w:t>
      </w:r>
    </w:p>
    <w:p>
      <w:pPr>
        <w:pStyle w:val="Para 03"/>
      </w:pPr>
      <w:r>
        <w:t>ID</w:t>
        <w:t xml:space="preserve"> </w:t>
        <w:t>ONLINE</w:t>
        <w:t xml:space="preserve"> </w:t>
        <w:t>NAMES</w:t>
        <w:t xml:space="preserve"> </w:t>
        <w:t>^</w:t>
      </w:r>
    </w:p>
    <w:p>
      <w:pPr>
        <w:pStyle w:val="Para 21"/>
      </w:pPr>
      <w:r>
        <w:t>│</w:t>
      </w:r>
    </w:p>
    <w:p>
      <w:pPr>
        <w:pStyle w:val="Para 03"/>
      </w:pPr>
      <w:r>
        <w:t>dasd-eckd</w:t>
      </w:r>
    </w:p>
    <w:p>
      <w:pPr>
        <w:pStyle w:val="Para 03"/>
      </w:pPr>
      <w:r>
        <w:t>0.0.1600</w:t>
        <w:t xml:space="preserve"> </w:t>
        <w:t>&gt;</w:t>
      </w:r>
    </w:p>
    <w:p>
      <w:pPr>
        <w:pStyle w:val="Para 03"/>
      </w:pPr>
      <w:r>
        <w:t>0.0.1601</w:t>
        <w:t xml:space="preserve"> </w:t>
        <w:t>online</w:t>
        <w:t xml:space="preserve"> </w:t>
        <w:t>dasda</w:t>
        <w:t xml:space="preserve"> </w:t>
        <w:t>&gt;</w:t>
      </w:r>
    </w:p>
    <w:p>
      <w:pPr>
        <w:pStyle w:val="Para 03"/>
      </w:pPr>
      <w:r>
        <w:t>0.0.1602</w:t>
        <w:t xml:space="preserve"> </w:t>
        <w:t>&gt;</w:t>
      </w:r>
    </w:p>
    <w:p>
      <w:pPr>
        <w:pStyle w:val="Para 03"/>
      </w:pPr>
      <w:r>
        <w:t>0.0.1603</w:t>
        <w:t xml:space="preserve"> </w:t>
        <w:t>&gt;</w:t>
      </w:r>
    </w:p>
    <w:p>
      <w:pPr>
        <w:pStyle w:val="Para 03"/>
      </w:pPr>
      <w:r>
        <w:t>0.0.1604</w:t>
        <w:t xml:space="preserve"> </w:t>
        <w:t>&gt;</w:t>
      </w:r>
    </w:p>
    <w:p>
      <w:pPr>
        <w:pStyle w:val="Para 03"/>
      </w:pPr>
      <w:r>
        <w:t>0.0.1605</w:t>
        <w:t xml:space="preserve"> </w:t>
        <w:t>&gt;</w:t>
      </w:r>
    </w:p>
    <w:p>
      <w:pPr>
        <w:pStyle w:val="Para 03"/>
      </w:pPr>
      <w:r>
        <w:t>0.0.1606</w:t>
        <w:t xml:space="preserve"> </w:t>
        <w:t>&gt;</w:t>
      </w:r>
    </w:p>
    <w:p>
      <w:pPr>
        <w:pStyle w:val="Para 03"/>
      </w:pPr>
      <w:r>
        <w:t>0.0.1607</w:t>
        <w:t xml:space="preserve"> </w:t>
        <w:t>&gt;</w:t>
      </w:r>
    </w:p>
    <w:p>
      <w:pPr>
        <w:pStyle w:val="Para 03"/>
      </w:pPr>
      <w:r>
        <w:t>0.0.1608</w:t>
        <w:t xml:space="preserve"> </w:t>
        <w:t>&gt;</w:t>
      </w:r>
    </w:p>
    <w:p>
      <w:pPr>
        <w:pStyle w:val="Para 03"/>
      </w:pPr>
      <w:r>
        <w:t>0.0.1609</w:t>
        <w:t xml:space="preserve"> </w:t>
        <w:t>&gt;</w:t>
      </w:r>
    </w:p>
    <w:p>
      <w:pPr>
        <w:pStyle w:val="Para 03"/>
      </w:pPr>
      <w:r>
        <w:t>0.0.160a</w:t>
        <w:t xml:space="preserve"> </w:t>
        <w:t>&gt;</w:t>
      </w:r>
    </w:p>
    <w:p>
      <w:pPr>
        <w:pStyle w:val="Para 03"/>
      </w:pPr>
      <w:r>
        <w:t>0.0.160b</w:t>
        <w:t xml:space="preserve"> </w:t>
        <w:t>&gt;</w:t>
      </w:r>
    </w:p>
    <w:p>
      <w:pPr>
        <w:pStyle w:val="Para 03"/>
      </w:pPr>
      <w:r>
        <w:t>0.0.160c</w:t>
        <w:t xml:space="preserve"> </w:t>
        <w:t>&gt;</w:t>
      </w:r>
    </w:p>
    <w:p>
      <w:pPr>
        <w:pStyle w:val="Para 03"/>
      </w:pPr>
      <w:r>
        <w:t>0.0.160d</w:t>
        <w:t xml:space="preserve"> </w:t>
        <w:t>&gt;</w:t>
        <w:t xml:space="preserve"> </w:t>
        <w:t>v</w:t>
      </w:r>
    </w:p>
    <w:p>
      <w:pPr>
        <w:pStyle w:val="Para 19"/>
      </w:pPr>
      <w:r>
        <w:t>[ Continue</w:t>
        <w:t xml:space="preserve"> </w:t>
        <w:t>]</w:t>
        <w:t xml:space="preserve"> </w:t>
        <w:t>[ Back</w:t>
        <w:t xml:space="preserve"> </w:t>
        <w:t>]</w:t>
      </w:r>
    </w:p>
    <w:p>
      <w:pPr>
        <w:pStyle w:val="Para 17"/>
      </w:pPr>
      <w:r>
        <w:t/>
      </w:r>
    </w:p>
    <w:p>
      <w:pPr>
        <w:pStyle w:val="Para 04"/>
      </w:pPr>
      <w:r>
        <w:t>• One may hit the End key here – that will automatically scroll down to the bottom of the</w:t>
      </w:r>
    </w:p>
    <w:p>
      <w:pPr>
        <w:pStyle w:val="Para 02"/>
      </w:pPr>
      <w:r>
        <w:t>Z devices list and screen:</w:t>
      </w:r>
    </w:p>
    <w:p>
      <w:pPr>
        <w:pStyle w:val="Normal"/>
      </w:pPr>
      <w:r>
        <w:t>====================================================================</w:t>
      </w:r>
    </w:p>
    <w:p>
      <w:pPr>
        <w:pStyle w:val="Para 03"/>
      </w:pPr>
      <w:r>
        <w:t>Zdev setup</w:t>
      </w:r>
    </w:p>
    <w:p>
      <w:pPr>
        <w:pStyle w:val="Normal"/>
      </w:pPr>
      <w:r>
        <w:t>====================================================================</w:t>
      </w:r>
    </w:p>
    <w:p>
      <w:pPr>
        <w:pStyle w:val="Para 03"/>
      </w:pPr>
      <w:r>
        <w:t>0.0.f1de:0.0.f1df</w:t>
        <w:t xml:space="preserve"> </w:t>
        <w:t>&gt;</w:t>
        <w:t xml:space="preserve"> </w:t>
        <w:t>^</w:t>
      </w:r>
    </w:p>
    <w:p>
      <w:pPr>
        <w:pStyle w:val="Para 03"/>
      </w:pPr>
      <w:r>
        <w:t>0.0.f1e0:0.0.f1e1</w:t>
        <w:t xml:space="preserve"> </w:t>
        <w:t>&gt;</w:t>
      </w:r>
    </w:p>
    <w:p>
      <w:pPr>
        <w:pStyle w:val="Para 03"/>
      </w:pPr>
      <w:r>
        <w:t>0.0.f1e2:0.0.f1e3</w:t>
        <w:t xml:space="preserve"> </w:t>
        <w:t>&gt;</w:t>
      </w:r>
    </w:p>
    <w:p>
      <w:pPr>
        <w:pStyle w:val="Para 03"/>
      </w:pPr>
      <w:r>
        <w:t>0.0.f1e4:0.0.f1e5</w:t>
        <w:t xml:space="preserve"> </w:t>
        <w:t>&gt;</w:t>
      </w:r>
    </w:p>
    <w:p>
      <w:pPr>
        <w:pStyle w:val="Para 03"/>
      </w:pPr>
      <w:r>
        <w:t>0.0.f1e6:0.0.f1e7</w:t>
        <w:t xml:space="preserve"> </w:t>
        <w:t>&gt;</w:t>
      </w:r>
    </w:p>
    <w:p>
      <w:pPr>
        <w:pStyle w:val="Para 03"/>
      </w:pPr>
      <w:r>
        <w:t>0.0.f1e8:0.0.f1e9</w:t>
        <w:t xml:space="preserve"> </w:t>
        <w:t>&gt;</w:t>
      </w:r>
    </w:p>
    <w:p>
      <w:pPr>
        <w:pStyle w:val="Para 03"/>
      </w:pPr>
      <w:r>
        <w:t>0.0.f1ea:0.0.f1eb</w:t>
        <w:t xml:space="preserve"> </w:t>
        <w:t>&gt;</w:t>
      </w:r>
    </w:p>
    <w:p>
      <w:pPr>
        <w:pStyle w:val="Para 03"/>
      </w:pPr>
      <w:r>
        <w:t>0.0.f1ec:0.0.f1ed</w:t>
        <w:t xml:space="preserve"> </w:t>
        <w:t>&gt;</w:t>
      </w:r>
    </w:p>
    <w:p>
      <w:pPr>
        <w:pStyle w:val="Para 03"/>
      </w:pPr>
      <w:r>
        <w:t>0.0.f1ee:0.0.f1ef</w:t>
        <w:t xml:space="preserve"> </w:t>
        <w:t>&gt;</w:t>
      </w:r>
    </w:p>
    <w:p>
      <w:pPr>
        <w:pStyle w:val="Para 03"/>
      </w:pPr>
      <w:r>
        <w:t>0.0.f1f0:0.0.f1f1</w:t>
        <w:t xml:space="preserve"> </w:t>
        <w:t>&gt;</w:t>
      </w:r>
    </w:p>
    <w:p>
      <w:pPr>
        <w:pStyle w:val="Para 03"/>
      </w:pPr>
      <w:r>
        <w:t>0.0.f1f2:0.0.f1f3</w:t>
        <w:t xml:space="preserve"> </w:t>
        <w:t>&gt;</w:t>
      </w:r>
    </w:p>
    <w:p>
      <w:pPr>
        <w:pStyle w:val="Para 03"/>
      </w:pPr>
      <w:r>
        <w:t>0.0.f1f4:0.0.f1f5</w:t>
        <w:t xml:space="preserve"> </w:t>
        <w:t>&gt;</w:t>
      </w:r>
    </w:p>
    <w:p>
      <w:pPr>
        <w:pStyle w:val="Para 03"/>
      </w:pPr>
      <w:r>
        <w:t>0.0.f1f6:0.0.f1f7</w:t>
        <w:t xml:space="preserve"> </w:t>
        <w:t>&gt;</w:t>
      </w:r>
    </w:p>
    <w:p>
      <w:pPr>
        <w:pStyle w:val="Para 03"/>
      </w:pPr>
      <w:r>
        <w:t>0.0.f1f8:0.0.f1f9</w:t>
        <w:t xml:space="preserve"> </w:t>
        <w:t>&gt;</w:t>
      </w:r>
    </w:p>
    <w:p>
      <w:pPr>
        <w:pStyle w:val="Para 03"/>
      </w:pPr>
      <w:r>
        <w:t>0.0.f1fa:0.0.f1fb</w:t>
        <w:t xml:space="preserve"> </w:t>
        <w:t>&gt;</w:t>
      </w:r>
    </w:p>
    <w:p>
      <w:pPr>
        <w:pStyle w:val="Para 03"/>
      </w:pPr>
      <w:r>
        <w:t>0.0.f1fc:0.0.f1fd</w:t>
        <w:t xml:space="preserve"> </w:t>
        <w:t>&gt;</w:t>
        <w:t xml:space="preserve"> </w:t>
        <w:t>│</w:t>
      </w:r>
    </w:p>
    <w:p>
      <w:pPr>
        <w:pStyle w:val="Para 03"/>
      </w:pPr>
      <w:r>
        <w:t>0.0.f1fe:0.0.f1ff</w:t>
        <w:t xml:space="preserve"> </w:t>
        <w:t>&gt;</w:t>
        <w:t xml:space="preserve"> </w:t>
        <w:t>v</w:t>
      </w:r>
    </w:p>
    <w:p>
      <w:pPr>
        <w:pStyle w:val="Para 19"/>
      </w:pPr>
      <w:r>
        <w:t>[ Continue</w:t>
        <w:t xml:space="preserve"> </w:t>
        <w:t>]</w:t>
        <w:t xml:space="preserve"> </w:t>
        <w:t>[ Back</w:t>
        <w:t xml:space="preserve"> </w:t>
        <w:t>]</w:t>
      </w:r>
    </w:p>
    <w:p>
      <w:pPr>
        <w:pStyle w:val="Para 17"/>
      </w:pPr>
      <w:r>
        <w:t/>
      </w:r>
    </w:p>
    <w:p>
      <w:pPr>
        <w:pStyle w:val="Normal"/>
      </w:pPr>
      <w:r>
        <w:t>====================================================================</w:t>
      </w:r>
    </w:p>
    <w:p>
      <w:pPr>
        <w:pStyle w:val="Para 03"/>
      </w:pPr>
      <w:r>
        <w:t>Network connections</w:t>
      </w:r>
    </w:p>
    <w:p>
      <w:pPr>
        <w:pStyle w:val="Normal"/>
      </w:pPr>
      <w:r>
        <w:t>====================================================================</w:t>
      </w:r>
    </w:p>
    <w:p>
      <w:pPr>
        <w:pStyle w:val="Para 03"/>
      </w:pPr>
      <w:r>
        <w:t>Configure at least one interface this server can use to talk to other</w:t>
      </w:r>
    </w:p>
    <w:p>
      <w:pPr>
        <w:pStyle w:val="Para 03"/>
      </w:pPr>
      <w:r>
        <w:t>machines,</w:t>
        <w:t xml:space="preserve"> </w:t>
      </w:r>
      <w:r>
        <w:rPr>
          <w:rStyle w:val="Text0"/>
        </w:rPr>
        <w:t>and</w:t>
      </w:r>
      <w:r>
        <w:t xml:space="preserve"> </w:t>
        <w:t>which preferably provides sufficient access</w:t>
        <w:t xml:space="preserve"> </w:t>
      </w:r>
      <w:r>
        <w:rPr>
          <w:rStyle w:val="Text0"/>
        </w:rPr>
        <w:t>for</w:t>
      </w:r>
      <w:r>
        <w:t xml:space="preserve"> </w:t>
        <w:t>updates</w:t>
        <w:t>.</w:t>
      </w:r>
    </w:p>
    <w:p>
      <w:pPr>
        <w:pStyle w:val="Para 02"/>
      </w:pPr>
      <w:r>
        <w:t>NAME</w:t>
        <w:t xml:space="preserve"> </w:t>
        <w:t>TYPE</w:t>
        <w:t xml:space="preserve"> </w:t>
        <w:t>NOTES</w:t>
      </w:r>
    </w:p>
    <w:p>
      <w:pPr>
        <w:pStyle w:val="Para 09"/>
      </w:pPr>
      <w:r>
        <w:t>(continues on next page)</w:t>
      </w:r>
    </w:p>
    <w:p>
      <w:bookmarkStart w:id="140" w:name="page_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 name="index-96_1.png" descr="index-96_1.png"/>
            <wp:cNvGraphicFramePr>
              <a:graphicFrameLocks noChangeAspect="1"/>
            </wp:cNvGraphicFramePr>
            <a:graphic>
              <a:graphicData uri="http://schemas.openxmlformats.org/drawingml/2006/picture">
                <pic:pic>
                  <pic:nvPicPr>
                    <pic:cNvPr id="0" name="index-96_1.png" descr="index-96_1.png"/>
                    <pic:cNvPicPr/>
                  </pic:nvPicPr>
                  <pic:blipFill>
                    <a:blip r:embed="rId102"/>
                    <a:stretch>
                      <a:fillRect/>
                    </a:stretch>
                  </pic:blipFill>
                  <pic:spPr>
                    <a:xfrm>
                      <a:off x="0" y="0"/>
                      <a:ext cx="914400" cy="266700"/>
                    </a:xfrm>
                    <a:prstGeom prst="rect">
                      <a:avLst/>
                    </a:prstGeom>
                  </pic:spPr>
                </pic:pic>
              </a:graphicData>
            </a:graphic>
          </wp:anchor>
        </w:drawing>
      </w:r>
      <w:bookmarkEnd w:id="140"/>
    </w:p>
    <w:p>
      <w:pPr>
        <w:pStyle w:val="Para 09"/>
      </w:pPr>
      <w:r>
        <w:t>(continued from previous page)</w:t>
      </w:r>
    </w:p>
    <w:p>
      <w:pPr>
        <w:pStyle w:val="Para 03"/>
      </w:pPr>
      <w:r>
        <w:t>[ encc000</w:t>
        <w:t xml:space="preserve"> </w:t>
        <w:t>eth</w:t>
        <w:t xml:space="preserve"> </w:t>
        <w:t>-</w:t>
        <w:t xml:space="preserve"> </w:t>
        <w:t>&gt;</w:t>
        <w:t xml:space="preserve"> </w:t>
        <w:t>]</w:t>
      </w:r>
    </w:p>
    <w:p>
      <w:pPr>
        <w:pStyle w:val="Para 02"/>
      </w:pPr>
      <w:r>
        <w:t>72</w:t>
        <w:t>:</w:t>
        <w:t>00</w:t>
        <w:t>:bb:</w:t>
        <w:t>00</w:t>
        <w:t>:aa:</w:t>
        <w:t>11</w:t>
        <w:t xml:space="preserve"> </w:t>
        <w:t>/</w:t>
        <w:t xml:space="preserve"> </w:t>
        <w:t>Unknown Vendor</w:t>
        <w:t xml:space="preserve"> </w:t>
        <w:t>/</w:t>
        <w:t xml:space="preserve"> </w:t>
        <w:t>Unknown Model</w:t>
      </w:r>
    </w:p>
    <w:p>
      <w:pPr>
        <w:pStyle w:val="Para 03"/>
      </w:pPr>
      <w:r>
        <w:t>[ encc000</w:t>
        <w:t>.1234</w:t>
        <w:t xml:space="preserve"> </w:t>
        <w:t>vlan</w:t>
        <w:t xml:space="preserve"> </w:t>
        <w:t>-</w:t>
        <w:t xml:space="preserve"> </w:t>
        <w:t>&gt;</w:t>
        <w:t xml:space="preserve"> </w:t>
        <w:t>]</w:t>
      </w:r>
    </w:p>
    <w:p>
      <w:pPr>
        <w:pStyle w:val="Para 02"/>
      </w:pPr>
      <w:r>
        <w:t>static</w:t>
        <w:t xml:space="preserve"> </w:t>
        <w:t>10.222.111.11</w:t>
        <w:t>/</w:t>
        <w:t>24</w:t>
      </w:r>
    </w:p>
    <w:p>
      <w:pPr>
        <w:pStyle w:val="Para 02"/>
      </w:pPr>
      <w:r>
        <w:t>VLAN</w:t>
        <w:t xml:space="preserve"> </w:t>
        <w:t>1234</w:t>
        <w:t xml:space="preserve"> </w:t>
        <w:t>on interface encc000</w:t>
      </w:r>
    </w:p>
    <w:p>
      <w:pPr>
        <w:pStyle w:val="Para 03"/>
      </w:pPr>
      <w:r>
        <w:t>[ Create bond</w:t>
        <w:t xml:space="preserve"> </w:t>
        <w:t>&gt;</w:t>
        <w:t xml:space="preserve"> </w:t>
        <w:t>]</w:t>
      </w:r>
    </w:p>
    <w:p>
      <w:pPr>
        <w:pStyle w:val="Para 17"/>
      </w:pPr>
      <w:r>
        <w:t/>
      </w:r>
    </w:p>
    <w:p>
      <w:pPr>
        <w:pStyle w:val="Para 19"/>
      </w:pPr>
      <w:r>
        <w:t>[ Continue</w:t>
        <w:t xml:space="preserve"> </w:t>
        <w:t>]</w:t>
        <w:t xml:space="preserve"> </w:t>
        <w:t>[ Back</w:t>
        <w:t xml:space="preserve"> </w:t>
        <w:t>]</w:t>
      </w:r>
    </w:p>
    <w:p>
      <w:pPr>
        <w:pStyle w:val="Para 17"/>
      </w:pPr>
      <w:r>
        <w:t/>
      </w:r>
    </w:p>
    <w:p>
      <w:pPr>
        <w:pStyle w:val="Para 04"/>
      </w:pPr>
      <w:r>
        <w:t>• Depending on the installer version you are using you may face a little bug here. In that</w:t>
      </w:r>
    </w:p>
    <w:p>
      <w:pPr>
        <w:pStyle w:val="Para 02"/>
      </w:pPr>
      <w:r>
        <w:t>case the button will be named ‘Continue without network’, but the network is there. If you see that, just ignore it and continue … (If you wait long enough the label will be refreshed and corrected.)</w:t>
      </w:r>
    </w:p>
    <w:p>
      <w:pPr>
        <w:pStyle w:val="Normal"/>
      </w:pPr>
      <w:r>
        <w:t>====================================================================</w:t>
      </w:r>
    </w:p>
    <w:p>
      <w:pPr>
        <w:pStyle w:val="Para 03"/>
      </w:pPr>
      <w:r>
        <w:t>Configure proxy</w:t>
      </w:r>
    </w:p>
    <w:p>
      <w:pPr>
        <w:pStyle w:val="Normal"/>
      </w:pPr>
      <w:r>
        <w:t>====================================================================</w:t>
      </w:r>
    </w:p>
    <w:p>
      <w:pPr>
        <w:pStyle w:val="Para 03"/>
      </w:pPr>
      <w:r>
        <w:t>If this system requires a proxy to connect to the internet, enter its</w:t>
      </w:r>
    </w:p>
    <w:p>
      <w:pPr>
        <w:pStyle w:val="Para 03"/>
      </w:pPr>
      <w:r>
        <w:t>details here</w:t>
        <w:t>.</w:t>
      </w:r>
    </w:p>
    <w:p>
      <w:pPr>
        <w:pStyle w:val="Para 03"/>
      </w:pPr>
      <w:r>
        <w:t>Proxy address:</w:t>
      </w:r>
    </w:p>
    <w:p>
      <w:pPr>
        <w:pStyle w:val="Para 25"/>
      </w:pPr>
      <w:r>
        <w:t>If you need to use a HTTP proxy to access the outside world,</w:t>
        <w:t xml:space="preserve"> </w:t>
        <w:t>enter the proxy information here</w:t>
        <w:t>.</w:t>
        <w:t xml:space="preserve"> </w:t>
        <w:t>Otherwise, leave this</w:t>
        <w:t xml:space="preserve"> </w:t>
        <w:t>blank</w:t>
        <w:t>.</w:t>
      </w:r>
    </w:p>
    <w:p>
      <w:pPr>
        <w:pStyle w:val="Para 25"/>
      </w:pPr>
      <w:r>
        <w:t>The proxy information should be given</w:t>
        <w:t xml:space="preserve"> </w:t>
      </w:r>
      <w:r>
        <w:rPr>
          <w:rStyle w:val="Text0"/>
        </w:rPr>
        <w:t>in</w:t>
      </w:r>
      <w:r>
        <w:t xml:space="preserve"> </w:t>
        <w:t>the standard form</w:t>
        <w:t xml:space="preserve"> </w:t>
        <w:t>of</w:t>
        <w:t xml:space="preserve"> </w:t>
        <w:t>"http://[[user][:pass]@]host[:port]/"</w:t>
        <w:t>.</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Configure Ubuntu archive mirror</w:t>
      </w:r>
    </w:p>
    <w:p>
      <w:pPr>
        <w:pStyle w:val="Normal"/>
      </w:pPr>
      <w:r>
        <w:t>====================================================================</w:t>
      </w:r>
    </w:p>
    <w:p>
      <w:pPr>
        <w:pStyle w:val="Para 03"/>
      </w:pPr>
      <w:r>
        <w:t>If you use an alternative mirror</w:t>
        <w:t xml:space="preserve"> </w:t>
      </w:r>
      <w:r>
        <w:rPr>
          <w:rStyle w:val="Text0"/>
        </w:rPr>
        <w:t>for</w:t>
      </w:r>
      <w:r>
        <w:t xml:space="preserve"> </w:t>
        <w:t>Ubuntu, enter its details here</w:t>
        <w:t>.</w:t>
      </w:r>
    </w:p>
    <w:p>
      <w:pPr>
        <w:pStyle w:val="Para 03"/>
      </w:pPr>
      <w:r>
        <w:t>Mirror address:</w:t>
        <w:t xml:space="preserve"> </w:t>
        <w:t>http:</w:t>
        <w:t>//</w:t>
        <w:t>ports</w:t>
        <w:t>.</w:t>
        <w:t>ubuntu</w:t>
        <w:t>.</w:t>
        <w:t>com</w:t>
        <w:t>/</w:t>
        <w:t>ubuntu</w:t>
        <w:t>-</w:t>
        <w:t>ports</w:t>
      </w:r>
    </w:p>
    <w:p>
      <w:pPr>
        <w:pStyle w:val="Para 25"/>
      </w:pPr>
      <w:r>
        <w:t>You may provide an archive mirror that will be used instead</w:t>
        <w:t xml:space="preserve"> </w:t>
        <w:t>of the default</w:t>
        <w:t>.</w:t>
      </w:r>
    </w:p>
    <w:p>
      <w:pPr>
        <w:pStyle w:val="Para 09"/>
      </w:pPr>
      <w:r>
        <w:t>(continues on next page)</w:t>
      </w:r>
    </w:p>
    <w:p>
      <w:bookmarkStart w:id="141" w:name="page_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103"/>
                    <a:stretch>
                      <a:fillRect/>
                    </a:stretch>
                  </pic:blipFill>
                  <pic:spPr>
                    <a:xfrm>
                      <a:off x="0" y="0"/>
                      <a:ext cx="914400" cy="266700"/>
                    </a:xfrm>
                    <a:prstGeom prst="rect">
                      <a:avLst/>
                    </a:prstGeom>
                  </pic:spPr>
                </pic:pic>
              </a:graphicData>
            </a:graphic>
          </wp:anchor>
        </w:drawing>
      </w:r>
      <w:bookmarkEnd w:id="141"/>
    </w:p>
    <w:p>
      <w:pPr>
        <w:pStyle w:val="Para 09"/>
      </w:pPr>
      <w:r>
        <w:t>(continued from previous page)</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Guided storage configuration</w:t>
      </w:r>
    </w:p>
    <w:p>
      <w:pPr>
        <w:pStyle w:val="Normal"/>
      </w:pPr>
      <w:r>
        <w:t>====================================================================</w:t>
      </w:r>
    </w:p>
    <w:p>
      <w:pPr>
        <w:pStyle w:val="Para 03"/>
      </w:pPr>
      <w:r>
        <w:t>Configure a guided storage layout,</w:t>
        <w:t xml:space="preserve"> </w:t>
      </w:r>
      <w:r>
        <w:rPr>
          <w:rStyle w:val="Text0"/>
        </w:rPr>
        <w:t>or</w:t>
      </w:r>
      <w:r>
        <w:t xml:space="preserve"> </w:t>
        <w:t>create a custom one:</w:t>
      </w:r>
    </w:p>
    <w:p>
      <w:pPr>
        <w:pStyle w:val="Para 03"/>
      </w:pPr>
      <w:r>
        <w:t>(X)</w:t>
        <w:t xml:space="preserve"> </w:t>
        <w:t>Use an entire disk</w:t>
      </w:r>
    </w:p>
    <w:p>
      <w:pPr>
        <w:pStyle w:val="Para 06"/>
      </w:pPr>
      <w:r>
        <w:t>[</w:t>
        <w:t xml:space="preserve"> </w:t>
        <w:t>0X1601</w:t>
        <w:t xml:space="preserve"> </w:t>
        <w:t>local disk</w:t>
        <w:t xml:space="preserve"> </w:t>
        <w:t>6.877</w:t>
        <w:t>G</w:t>
        <w:t xml:space="preserve"> </w:t>
        <w:t>v ]</w:t>
      </w:r>
    </w:p>
    <w:p>
      <w:pPr>
        <w:pStyle w:val="Para 06"/>
      </w:pPr>
      <w:r>
        <w:t>[ ]</w:t>
        <w:t xml:space="preserve"> </w:t>
        <w:t>Set up this disk</w:t>
        <w:t xml:space="preserve"> </w:t>
      </w:r>
      <w:r>
        <w:rPr>
          <w:rStyle w:val="Text0"/>
        </w:rPr>
        <w:t>as</w:t>
      </w:r>
      <w:r>
        <w:t xml:space="preserve"> </w:t>
        <w:t>an LVM group</w:t>
      </w:r>
    </w:p>
    <w:p>
      <w:pPr>
        <w:pStyle w:val="Para 12"/>
      </w:pPr>
      <w:r>
        <w:t>[ ]</w:t>
        <w:t xml:space="preserve"> </w:t>
        <w:t>Encrypt the LVM group</w:t>
        <w:t xml:space="preserve"> </w:t>
      </w:r>
      <w:r>
        <w:rPr>
          <w:rStyle w:val="Text0"/>
        </w:rPr>
        <w:t>with</w:t>
      </w:r>
      <w:r>
        <w:t xml:space="preserve"> </w:t>
        <w:t>LUKS</w:t>
      </w:r>
    </w:p>
    <w:p>
      <w:pPr>
        <w:pStyle w:val="Para 33"/>
      </w:pPr>
      <w:r>
        <w:t>Passphrase:</w:t>
      </w:r>
    </w:p>
    <w:p>
      <w:pPr>
        <w:pStyle w:val="Para 17"/>
      </w:pPr>
      <w:r>
        <w:t/>
      </w:r>
    </w:p>
    <w:p>
      <w:pPr>
        <w:pStyle w:val="Para 15"/>
      </w:pPr>
      <w:r>
        <w:t>Confirm passphrase:</w:t>
      </w:r>
    </w:p>
    <w:p>
      <w:pPr>
        <w:pStyle w:val="Para 17"/>
      </w:pPr>
      <w:r>
        <w:t/>
      </w:r>
    </w:p>
    <w:p>
      <w:pPr>
        <w:pStyle w:val="Para 03"/>
      </w:pPr>
      <w:r>
        <w:t>( )</w:t>
        <w:t xml:space="preserve"> </w:t>
        <w:t>Custom storage layout</w:t>
      </w:r>
    </w:p>
    <w:p>
      <w:pPr>
        <w:pStyle w:val="Para 19"/>
      </w:pPr>
      <w:r>
        <w:t>[ Done</w:t>
        <w:t xml:space="preserve"> </w:t>
        <w:t>]</w:t>
        <w:t xml:space="preserve"> </w:t>
        <w:t>[ Back</w:t>
        <w:t xml:space="preserve"> </w:t>
        <w:t>]</w:t>
      </w:r>
    </w:p>
    <w:p>
      <w:pPr>
        <w:pStyle w:val="Para 17"/>
      </w:pPr>
      <w:r>
        <w:t/>
      </w:r>
    </w:p>
    <w:p>
      <w:pPr>
        <w:pStyle w:val="Normal"/>
      </w:pPr>
      <w:r>
        <w:t>====================================================================</w:t>
      </w:r>
    </w:p>
    <w:p>
      <w:pPr>
        <w:pStyle w:val="Para 03"/>
      </w:pPr>
      <w:r>
        <w:t>Storage configuration</w:t>
      </w:r>
    </w:p>
    <w:p>
      <w:pPr>
        <w:pStyle w:val="Normal"/>
      </w:pPr>
      <w:r>
        <w:t>====================================================================</w:t>
      </w:r>
    </w:p>
    <w:p>
      <w:pPr>
        <w:pStyle w:val="Para 03"/>
      </w:pPr>
      <w:r>
        <w:t>FILE SYSTEM SUMMARY</w:t>
        <w:t xml:space="preserve"> </w:t>
        <w:t>^</w:t>
      </w:r>
    </w:p>
    <w:p>
      <w:pPr>
        <w:pStyle w:val="Para 21"/>
      </w:pPr>
      <w:r>
        <w:t>│</w:t>
      </w:r>
    </w:p>
    <w:p>
      <w:pPr>
        <w:pStyle w:val="Para 02"/>
      </w:pPr>
      <w:r>
        <w:t>MOUNT POINT</w:t>
        <w:t xml:space="preserve"> </w:t>
        <w:t>SIZE</w:t>
        <w:t xml:space="preserve"> </w:t>
        <w:t>TYPE</w:t>
        <w:t xml:space="preserve"> </w:t>
        <w:t>DEVICE TYPE</w:t>
        <w:t xml:space="preserve"> </w:t>
        <w:t>│</w:t>
      </w:r>
    </w:p>
    <w:p>
      <w:pPr>
        <w:pStyle w:val="Para 03"/>
      </w:pPr>
      <w:r>
        <w:t>[ /</w:t>
        <w:t xml:space="preserve"> </w:t>
        <w:t>6.875G</w:t>
        <w:t xml:space="preserve"> </w:t>
        <w:t>new ext4</w:t>
        <w:t xml:space="preserve"> </w:t>
        <w:t>new partition of local disk &gt; ]</w:t>
        <w:t xml:space="preserve"> </w:t>
        <w:t>│</w:t>
      </w:r>
    </w:p>
    <w:p>
      <w:pPr>
        <w:pStyle w:val="Para 21"/>
      </w:pPr>
      <w:r>
        <w:t>│</w:t>
      </w:r>
    </w:p>
    <w:p>
      <w:pPr>
        <w:pStyle w:val="Para 21"/>
      </w:pPr>
      <w:r>
        <w:t>│</w:t>
      </w:r>
    </w:p>
    <w:p>
      <w:pPr>
        <w:pStyle w:val="Para 03"/>
      </w:pPr>
      <w:r>
        <w:t>AVAILABLE DEVICES</w:t>
        <w:t xml:space="preserve"> </w:t>
        <w:t>│</w:t>
      </w:r>
    </w:p>
    <w:p>
      <w:pPr>
        <w:pStyle w:val="Para 21"/>
      </w:pPr>
      <w:r>
        <w:t>│</w:t>
      </w:r>
    </w:p>
    <w:p>
      <w:pPr>
        <w:pStyle w:val="Para 02"/>
      </w:pPr>
      <w:r>
        <w:t>No available devices</w:t>
        <w:t xml:space="preserve"> </w:t>
        <w:t>│</w:t>
      </w:r>
    </w:p>
    <w:p>
      <w:pPr>
        <w:pStyle w:val="Para 21"/>
      </w:pPr>
      <w:r>
        <w:t>│</w:t>
      </w:r>
    </w:p>
    <w:p>
      <w:pPr>
        <w:pStyle w:val="Para 03"/>
      </w:pPr>
      <w:r>
        <w:t>[ Create software RAID (md) &gt; ]</w:t>
        <w:t xml:space="preserve"> </w:t>
        <w:t>│</w:t>
      </w:r>
    </w:p>
    <w:p>
      <w:pPr>
        <w:pStyle w:val="Para 03"/>
      </w:pPr>
      <w:r>
        <w:t>[ Create volume group (LVM) &gt; ]</w:t>
        <w:t xml:space="preserve"> </w:t>
        <w:t>│</w:t>
      </w:r>
    </w:p>
    <w:p>
      <w:pPr>
        <w:pStyle w:val="Para 09"/>
      </w:pPr>
      <w:r>
        <w:t>(continues on next page)</w:t>
      </w:r>
    </w:p>
    <w:p>
      <w:bookmarkStart w:id="142" w:name="page_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 name="index-98_1.png" descr="index-98_1.png"/>
            <wp:cNvGraphicFramePr>
              <a:graphicFrameLocks noChangeAspect="1"/>
            </wp:cNvGraphicFramePr>
            <a:graphic>
              <a:graphicData uri="http://schemas.openxmlformats.org/drawingml/2006/picture">
                <pic:pic>
                  <pic:nvPicPr>
                    <pic:cNvPr id="0" name="index-98_1.png" descr="index-98_1.png"/>
                    <pic:cNvPicPr/>
                  </pic:nvPicPr>
                  <pic:blipFill>
                    <a:blip r:embed="rId104"/>
                    <a:stretch>
                      <a:fillRect/>
                    </a:stretch>
                  </pic:blipFill>
                  <pic:spPr>
                    <a:xfrm>
                      <a:off x="0" y="0"/>
                      <a:ext cx="914400" cy="266700"/>
                    </a:xfrm>
                    <a:prstGeom prst="rect">
                      <a:avLst/>
                    </a:prstGeom>
                  </pic:spPr>
                </pic:pic>
              </a:graphicData>
            </a:graphic>
          </wp:anchor>
        </w:drawing>
      </w:r>
      <w:bookmarkEnd w:id="142"/>
    </w:p>
    <w:p>
      <w:pPr>
        <w:pStyle w:val="Para 09"/>
      </w:pPr>
      <w:r>
        <w:t>(continued from previous page)</w:t>
      </w:r>
    </w:p>
    <w:p>
      <w:pPr>
        <w:pStyle w:val="Para 03"/>
      </w:pPr>
      <w:r>
        <w:t>USED DEVICES</w:t>
      </w:r>
    </w:p>
    <w:p>
      <w:pPr>
        <w:pStyle w:val="Para 52"/>
      </w:pPr>
      <w:r>
        <w:t>v</w:t>
      </w:r>
    </w:p>
    <w:p>
      <w:pPr>
        <w:pStyle w:val="Para 19"/>
      </w:pPr>
      <w:r>
        <w:t>[ Done</w:t>
        <w:t xml:space="preserve"> </w:t>
        <w:t>]</w:t>
        <w:t xml:space="preserve"> </w:t>
        <w:t>[ Reset</w:t>
        <w:t xml:space="preserve"> </w:t>
        <w:t>]</w:t>
        <w:t xml:space="preserve"> </w:t>
        <w:t>[ Back</w:t>
        <w:t xml:space="preserve"> </w:t>
        <w:t>]</w:t>
      </w:r>
    </w:p>
    <w:p>
      <w:pPr>
        <w:pStyle w:val="Para 17"/>
      </w:pPr>
      <w:r>
        <w:t/>
      </w:r>
    </w:p>
    <w:p>
      <w:pPr>
        <w:pStyle w:val="Normal"/>
      </w:pPr>
      <w:r>
        <w:t>====================================================================</w:t>
      </w:r>
    </w:p>
    <w:p>
      <w:pPr>
        <w:pStyle w:val="Para 03"/>
      </w:pPr>
      <w:r>
        <w:t>Storage configuration</w:t>
      </w:r>
    </w:p>
    <w:p>
      <w:pPr>
        <w:pStyle w:val="Normal"/>
      </w:pPr>
      <w:r>
        <w:t>====================================================================</w:t>
      </w:r>
    </w:p>
    <w:p>
      <w:pPr>
        <w:pStyle w:val="Para 03"/>
      </w:pPr>
      <w:r>
        <w:t>FILE SYSTEM SUMMARY</w:t>
        <w:t xml:space="preserve"> </w:t>
        <w:t>^</w:t>
      </w:r>
    </w:p>
    <w:p>
      <w:pPr>
        <w:pStyle w:val="Para 21"/>
      </w:pPr>
      <w:r>
        <w:t>│</w:t>
      </w:r>
    </w:p>
    <w:p>
      <w:pPr>
        <w:pStyle w:val="Para 04"/>
      </w:pPr>
      <w:r>
        <w:t>┌────────────────────── Confirm destructive action ──────────────────────┐</w:t>
      </w:r>
    </w:p>
    <w:p>
      <w:pPr>
        <w:pStyle w:val="Para 04"/>
      </w:pPr>
      <w:r>
        <w:t>│</w:t>
        <w:t xml:space="preserve"> </w:t>
        <w:t>│</w:t>
      </w:r>
    </w:p>
    <w:p>
      <w:pPr>
        <w:pStyle w:val="Para 04"/>
      </w:pPr>
      <w:r>
        <w:t>│</w:t>
        <w:t xml:space="preserve"> </w:t>
        <w:t>Selecting Continue below will begin the installation process and</w:t>
        <w:t xml:space="preserve"> </w:t>
        <w:t>│</w:t>
      </w:r>
    </w:p>
    <w:p>
      <w:pPr>
        <w:pStyle w:val="Para 04"/>
      </w:pPr>
      <w:r>
        <w:t>│</w:t>
        <w:t xml:space="preserve"> </w:t>
        <w:t>result in the loss of data on the disks selected to be formatted.</w:t>
        <w:t xml:space="preserve"> </w:t>
        <w:t>│</w:t>
      </w:r>
    </w:p>
    <w:p>
      <w:pPr>
        <w:pStyle w:val="Para 04"/>
      </w:pPr>
      <w:r>
        <w:t>│</w:t>
        <w:t xml:space="preserve"> </w:t>
        <w:t>│</w:t>
      </w:r>
    </w:p>
    <w:p>
      <w:pPr>
        <w:pStyle w:val="Para 04"/>
      </w:pPr>
      <w:r>
        <w:t>│</w:t>
        <w:t xml:space="preserve"> </w:t>
        <w:t>You will not be able to return to this or a previous screen once the</w:t>
        <w:t xml:space="preserve"> </w:t>
        <w:t>│</w:t>
      </w:r>
    </w:p>
    <w:p>
      <w:pPr>
        <w:pStyle w:val="Para 04"/>
      </w:pPr>
      <w:r>
        <w:t>│</w:t>
        <w:t xml:space="preserve"> </w:t>
        <w:t>installation has started.</w:t>
        <w:t xml:space="preserve"> </w:t>
        <w:t>│</w:t>
      </w:r>
    </w:p>
    <w:p>
      <w:pPr>
        <w:pStyle w:val="Para 04"/>
      </w:pPr>
      <w:r>
        <w:t>│</w:t>
        <w:t xml:space="preserve"> </w:t>
        <w:t>│</w:t>
      </w:r>
    </w:p>
    <w:p>
      <w:pPr>
        <w:pStyle w:val="Para 04"/>
      </w:pPr>
      <w:r>
        <w:t>│</w:t>
        <w:t xml:space="preserve"> </w:t>
        <w:t>Are you sure you want to continue?</w:t>
        <w:t xml:space="preserve"> </w:t>
        <w:t>│</w:t>
      </w:r>
    </w:p>
    <w:p>
      <w:pPr>
        <w:pStyle w:val="Para 04"/>
      </w:pPr>
      <w:r>
        <w:t>│</w:t>
        <w:t xml:space="preserve"> </w:t>
        <w:t>│</w:t>
      </w:r>
    </w:p>
    <w:p>
      <w:pPr>
        <w:pStyle w:val="Para 04"/>
      </w:pPr>
      <w:r>
        <w:t>│</w:t>
        <w:t xml:space="preserve"> </w:t>
        <w:t>[ No</w:t>
        <w:t xml:space="preserve"> </w:t>
        <w:t>]</w:t>
        <w:t xml:space="preserve"> </w:t>
        <w:t>│</w:t>
      </w:r>
    </w:p>
    <w:p>
      <w:pPr>
        <w:pStyle w:val="Para 04"/>
      </w:pPr>
      <w:r>
        <w:t>│</w:t>
        <w:t xml:space="preserve"> </w:t>
        <w:t>[ Continue</w:t>
        <w:t xml:space="preserve"> </w:t>
        <w:t>]</w:t>
        <w:t xml:space="preserve"> </w:t>
        <w:t>│</w:t>
      </w:r>
    </w:p>
    <w:p>
      <w:pPr>
        <w:pStyle w:val="Para 04"/>
      </w:pPr>
      <w:r>
        <w:t>│</w:t>
        <w:t xml:space="preserve"> </w:t>
        <w:t>│</w:t>
      </w:r>
    </w:p>
    <w:p>
      <w:pPr>
        <w:pStyle w:val="Para 04"/>
      </w:pPr>
      <w:r>
        <w:t>└────────────────────────────────────────────────────────────────────────┘</w:t>
      </w:r>
    </w:p>
    <w:p>
      <w:pPr>
        <w:pStyle w:val="Para 19"/>
      </w:pPr>
      <w:r>
        <w:t>[ Reset</w:t>
        <w:t xml:space="preserve"> </w:t>
        <w:t>]</w:t>
        <w:t xml:space="preserve"> </w:t>
        <w:t>[ Back</w:t>
        <w:t xml:space="preserve"> </w:t>
        <w:t>]</w:t>
      </w:r>
    </w:p>
    <w:p>
      <w:pPr>
        <w:pStyle w:val="Para 17"/>
      </w:pPr>
      <w:r>
        <w:t/>
      </w:r>
    </w:p>
    <w:p>
      <w:pPr>
        <w:pStyle w:val="Normal"/>
      </w:pPr>
      <w:r>
        <w:t>====================================================================</w:t>
      </w:r>
    </w:p>
    <w:p>
      <w:pPr>
        <w:pStyle w:val="Para 03"/>
      </w:pPr>
      <w:r>
        <w:t>Profile setup</w:t>
      </w:r>
    </w:p>
    <w:p>
      <w:pPr>
        <w:pStyle w:val="Normal"/>
      </w:pPr>
      <w:r>
        <w:t>====================================================================</w:t>
      </w:r>
    </w:p>
    <w:p>
      <w:pPr>
        <w:pStyle w:val="Para 03"/>
      </w:pPr>
      <w:r>
        <w:t>Enter the username</w:t>
        <w:t xml:space="preserve"> </w:t>
      </w:r>
      <w:r>
        <w:rPr>
          <w:rStyle w:val="Text0"/>
        </w:rPr>
        <w:t>and</w:t>
      </w:r>
      <w:r>
        <w:t xml:space="preserve"> </w:t>
        <w:t>password you will use to log</w:t>
        <w:t xml:space="preserve"> </w:t>
      </w:r>
      <w:r>
        <w:rPr>
          <w:rStyle w:val="Text0"/>
        </w:rPr>
        <w:t>in</w:t>
      </w:r>
      <w:r>
        <w:t xml:space="preserve"> </w:t>
        <w:t>to the system</w:t>
        <w:t>.</w:t>
        <w:t xml:space="preserve"> </w:t>
        <w:t>You</w:t>
      </w:r>
    </w:p>
    <w:p>
      <w:pPr>
        <w:pStyle w:val="Para 03"/>
      </w:pPr>
      <w:r>
        <w:t>can configure SSH access on the</w:t>
        <w:t xml:space="preserve"> </w:t>
        <w:t>next</w:t>
        <w:t xml:space="preserve"> </w:t>
        <w:t>screen but a password</w:t>
        <w:t xml:space="preserve"> </w:t>
      </w:r>
      <w:r>
        <w:rPr>
          <w:rStyle w:val="Text0"/>
        </w:rPr>
        <w:t>is</w:t>
      </w:r>
      <w:r>
        <w:t xml:space="preserve"> </w:t>
        <w:t>still needed</w:t>
      </w:r>
    </w:p>
    <w:p>
      <w:pPr>
        <w:pStyle w:val="Para 03"/>
      </w:pPr>
      <w:r>
        <w:rPr>
          <w:rStyle w:val="Text0"/>
        </w:rPr>
        <w:t>for</w:t>
      </w:r>
      <w:r>
        <w:t xml:space="preserve"> </w:t>
        <w:t>sudo</w:t>
        <w:t>.</w:t>
      </w:r>
    </w:p>
    <w:p>
      <w:pPr>
        <w:pStyle w:val="Para 12"/>
      </w:pPr>
      <w:r>
        <w:t>Your name:</w:t>
        <w:t xml:space="preserve"> </w:t>
        <w:t>Ed Example</w:t>
      </w:r>
    </w:p>
    <w:p>
      <w:pPr>
        <w:pStyle w:val="Para 17"/>
      </w:pPr>
      <w:r>
        <w:t/>
      </w:r>
    </w:p>
    <w:p>
      <w:pPr>
        <w:pStyle w:val="Para 02"/>
      </w:pPr>
      <w:r>
        <w:t>Your server</w:t>
        <w:t>'s name:</w:t>
        <w:t xml:space="preserve"> </w:t>
        <w:t>s1lp11</w:t>
      </w:r>
    </w:p>
    <w:p>
      <w:pPr>
        <w:pStyle w:val="Para 46"/>
      </w:pPr>
      <w:r>
        <w:t>The name it uses when it talks to other computers</w:t>
        <w:t>.</w:t>
      </w:r>
    </w:p>
    <w:p>
      <w:pPr>
        <w:pStyle w:val="Para 06"/>
      </w:pPr>
      <w:r>
        <w:t>Pick a username:</w:t>
        <w:t xml:space="preserve"> </w:t>
        <w:t>ubuntu</w:t>
      </w:r>
    </w:p>
    <w:p>
      <w:pPr>
        <w:pStyle w:val="Para 17"/>
      </w:pPr>
      <w:r>
        <w:t/>
      </w:r>
    </w:p>
    <w:p>
      <w:pPr>
        <w:pStyle w:val="Para 06"/>
      </w:pPr>
      <w:r>
        <w:t>Choose a password:</w:t>
        <w:t xml:space="preserve"> </w:t>
        <w:t>********</w:t>
      </w:r>
    </w:p>
    <w:p>
      <w:pPr>
        <w:pStyle w:val="Para 17"/>
      </w:pPr>
      <w:r>
        <w:t/>
      </w:r>
    </w:p>
    <w:p>
      <w:pPr>
        <w:pStyle w:val="Para 03"/>
      </w:pPr>
      <w:r>
        <w:t>Confirm your password:</w:t>
        <w:t xml:space="preserve"> </w:t>
        <w:t>********</w:t>
      </w:r>
    </w:p>
    <w:p>
      <w:pPr>
        <w:pStyle w:val="Para 17"/>
      </w:pPr>
      <w:r>
        <w:t/>
      </w:r>
    </w:p>
    <w:p>
      <w:pPr>
        <w:pStyle w:val="Para 19"/>
      </w:pPr>
      <w:r>
        <w:t>[ Done</w:t>
        <w:t xml:space="preserve"> </w:t>
        <w:t>]</w:t>
      </w:r>
    </w:p>
    <w:p>
      <w:bookmarkStart w:id="143" w:name="page_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 name="index-99_1.png" descr="index-99_1.png"/>
            <wp:cNvGraphicFramePr>
              <a:graphicFrameLocks noChangeAspect="1"/>
            </wp:cNvGraphicFramePr>
            <a:graphic>
              <a:graphicData uri="http://schemas.openxmlformats.org/drawingml/2006/picture">
                <pic:pic>
                  <pic:nvPicPr>
                    <pic:cNvPr id="0" name="index-99_1.png" descr="index-99_1.png"/>
                    <pic:cNvPicPr/>
                  </pic:nvPicPr>
                  <pic:blipFill>
                    <a:blip r:embed="rId105"/>
                    <a:stretch>
                      <a:fillRect/>
                    </a:stretch>
                  </pic:blipFill>
                  <pic:spPr>
                    <a:xfrm>
                      <a:off x="0" y="0"/>
                      <a:ext cx="914400" cy="266700"/>
                    </a:xfrm>
                    <a:prstGeom prst="rect">
                      <a:avLst/>
                    </a:prstGeom>
                  </pic:spPr>
                </pic:pic>
              </a:graphicData>
            </a:graphic>
          </wp:anchor>
        </w:drawing>
      </w:r>
      <w:bookmarkEnd w:id="143"/>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t>.</w:t>
      </w:r>
    </w:p>
    <w:p>
      <w:pPr>
        <w:pStyle w:val="Para 25"/>
      </w:pPr>
      <w:r>
        <w:t>[ ]</w:t>
        <w:t xml:space="preserve"> </w:t>
        <w:t>Install OpenSSH server</w:t>
      </w:r>
    </w:p>
    <w:p>
      <w:pPr>
        <w:pStyle w:val="Para 17"/>
      </w:pPr>
      <w:r>
        <w:t/>
      </w:r>
    </w:p>
    <w:p>
      <w:pPr>
        <w:pStyle w:val="Para 03"/>
      </w:pPr>
      <w:r>
        <w:t>Import SSH identity:</w:t>
        <w:t xml:space="preserve"> </w:t>
        <w:t>[ No</w:t>
        <w:t xml:space="preserve"> </w:t>
        <w:t>v ]</w:t>
      </w:r>
    </w:p>
    <w:p>
      <w:pPr>
        <w:pStyle w:val="Para 33"/>
      </w:pPr>
      <w:r>
        <w:t>You can</w:t>
        <w:t xml:space="preserve"> </w:t>
      </w:r>
      <w:r>
        <w:rPr>
          <w:rStyle w:val="Text0"/>
        </w:rPr>
        <w:t>import</w:t>
      </w:r>
      <w:r>
        <w:t xml:space="preserve"> </w:t>
      </w:r>
      <w:r>
        <w:rPr>
          <w:rStyle w:val="Text0"/>
        </w:rPr>
        <w:t>your</w:t>
      </w:r>
      <w:r>
        <w:t xml:space="preserve"> </w:t>
        <w:t>SSH keys</w:t>
        <w:t xml:space="preserve"> </w:t>
      </w:r>
      <w:r>
        <w:rPr>
          <w:rStyle w:val="Text0"/>
        </w:rPr>
        <w:t>from</w:t>
      </w:r>
      <w:r>
        <w:t xml:space="preserve"> </w:t>
      </w:r>
      <w:r>
        <w:rPr>
          <w:rStyle w:val="Text0"/>
        </w:rPr>
        <w:t>Github</w:t>
      </w:r>
      <w:r>
        <w:t xml:space="preserve"> </w:t>
      </w:r>
      <w:r>
        <w:rPr>
          <w:rStyle w:val="Text0"/>
        </w:rPr>
        <w:t>or</w:t>
      </w:r>
      <w:r>
        <w:t xml:space="preserve"> </w:t>
        <w:t>Launchpad</w:t>
        <w:t>.</w:t>
      </w:r>
    </w:p>
    <w:p>
      <w:pPr>
        <w:pStyle w:val="Para 06"/>
      </w:pPr>
      <w:r>
        <w:t>Import Username:</w:t>
      </w:r>
    </w:p>
    <w:p>
      <w:pPr>
        <w:pStyle w:val="Para 17"/>
      </w:pPr>
      <w:r>
        <w:t/>
      </w:r>
    </w:p>
    <w:p>
      <w:pPr>
        <w:pStyle w:val="Para 25"/>
      </w:pPr>
      <w:r>
        <w:t>[X]</w:t>
        <w:t xml:space="preserve"> </w:t>
        <w:t>Allow password authentication over SSH</w:t>
      </w:r>
    </w:p>
    <w:p>
      <w:pPr>
        <w:pStyle w:val="Para 17"/>
      </w:pPr>
      <w:r>
        <w:t/>
      </w:r>
    </w:p>
    <w:p>
      <w:pPr>
        <w:pStyle w:val="Para 19"/>
      </w:pPr>
      <w:r>
        <w:t>[ Done</w:t>
        <w:t xml:space="preserve"> </w:t>
        <w:t>]</w:t>
        <w:t xml:space="preserve"> </w:t>
        <w:t>[ Back</w:t>
        <w:t xml:space="preserve"> </w:t>
        <w:t>]</w:t>
      </w:r>
    </w:p>
    <w:p>
      <w:pPr>
        <w:pStyle w:val="Para 17"/>
      </w:pPr>
      <w:r>
        <w:t/>
      </w:r>
    </w:p>
    <w:p>
      <w:pPr>
        <w:pStyle w:val="Para 04"/>
      </w:pPr>
      <w:r>
        <w:t>• It’s a nice and convenient new feature to add the user’s SSH keys during the installation</w:t>
      </w:r>
    </w:p>
    <w:p>
      <w:pPr>
        <w:pStyle w:val="Para 17"/>
      </w:pPr>
      <w:r>
        <w:t>to the system, since that makes the system login password-less for the initial login!</w:t>
      </w:r>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t>.</w:t>
      </w:r>
    </w:p>
    <w:p>
      <w:pPr>
        <w:pStyle w:val="Para 25"/>
      </w:pPr>
      <w:r>
        <w:t>[X]</w:t>
        <w:t xml:space="preserve"> </w:t>
        <w:t>Install OpenSSH server</w:t>
      </w:r>
    </w:p>
    <w:p>
      <w:pPr>
        <w:pStyle w:val="Para 17"/>
      </w:pPr>
      <w:r>
        <w:t/>
      </w:r>
    </w:p>
    <w:p>
      <w:pPr>
        <w:pStyle w:val="Para 03"/>
      </w:pPr>
      <w:r>
        <w:t>Import SSH identity:</w:t>
        <w:t xml:space="preserve"> </w:t>
        <w:t>[</w:t>
        <w:t xml:space="preserve"> </w:t>
      </w:r>
      <w:r>
        <w:rPr>
          <w:rStyle w:val="Text0"/>
        </w:rPr>
        <w:t>from</w:t>
      </w:r>
      <w:r>
        <w:t xml:space="preserve"> </w:t>
      </w:r>
      <w:r>
        <w:rPr>
          <w:rStyle w:val="Text0"/>
        </w:rPr>
        <w:t>Launchpad</w:t>
      </w:r>
      <w:r>
        <w:t xml:space="preserve"> </w:t>
        <w:t>v ]</w:t>
      </w:r>
    </w:p>
    <w:p>
      <w:pPr>
        <w:pStyle w:val="Para 33"/>
      </w:pPr>
      <w:r>
        <w:t>You can</w:t>
        <w:t xml:space="preserve"> </w:t>
      </w:r>
      <w:r>
        <w:rPr>
          <w:rStyle w:val="Text0"/>
        </w:rPr>
        <w:t>import</w:t>
      </w:r>
      <w:r>
        <w:t xml:space="preserve"> </w:t>
      </w:r>
      <w:r>
        <w:rPr>
          <w:rStyle w:val="Text0"/>
        </w:rPr>
        <w:t>your</w:t>
      </w:r>
      <w:r>
        <w:t xml:space="preserve"> </w:t>
        <w:t>SSH keys</w:t>
        <w:t xml:space="preserve"> </w:t>
      </w:r>
      <w:r>
        <w:rPr>
          <w:rStyle w:val="Text0"/>
        </w:rPr>
        <w:t>from</w:t>
      </w:r>
      <w:r>
        <w:t xml:space="preserve"> </w:t>
      </w:r>
      <w:r>
        <w:rPr>
          <w:rStyle w:val="Text0"/>
        </w:rPr>
        <w:t>Github</w:t>
      </w:r>
      <w:r>
        <w:t xml:space="preserve"> </w:t>
      </w:r>
      <w:r>
        <w:rPr>
          <w:rStyle w:val="Text0"/>
        </w:rPr>
        <w:t>or</w:t>
      </w:r>
      <w:r>
        <w:t xml:space="preserve"> </w:t>
        <w:t>Launchpad</w:t>
        <w:t>.</w:t>
      </w:r>
    </w:p>
    <w:p>
      <w:pPr>
        <w:pStyle w:val="Para 02"/>
      </w:pPr>
      <w:r>
        <w:t>Launchpad Username:</w:t>
        <w:t xml:space="preserve"> </w:t>
        <w:t>user</w:t>
      </w:r>
    </w:p>
    <w:p>
      <w:pPr>
        <w:pStyle w:val="Para 33"/>
      </w:pPr>
      <w:r>
        <w:t>Enter your Launchpad username</w:t>
        <w:t>.</w:t>
      </w:r>
    </w:p>
    <w:p>
      <w:pPr>
        <w:pStyle w:val="Para 25"/>
      </w:pPr>
      <w:r>
        <w:t>[X]</w:t>
        <w:t xml:space="preserve"> </w:t>
        <w:t>Allow password authentication over SSH</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SSH Setup</w:t>
      </w:r>
    </w:p>
    <w:p>
      <w:pPr>
        <w:pStyle w:val="Normal"/>
      </w:pPr>
      <w:r>
        <w:t>====================================================================</w:t>
      </w:r>
    </w:p>
    <w:p>
      <w:pPr>
        <w:pStyle w:val="Para 03"/>
      </w:pPr>
      <w:r>
        <w:t>You can choose to install the OpenSSH server package to enable secure remote</w:t>
      </w:r>
    </w:p>
    <w:p>
      <w:pPr>
        <w:pStyle w:val="Para 03"/>
      </w:pPr>
      <w:r>
        <w:t>access to your server.</w:t>
      </w:r>
    </w:p>
    <w:p>
      <w:pPr>
        <w:pStyle w:val="Para 09"/>
      </w:pPr>
      <w:r>
        <w:t>(continues on next page)</w:t>
      </w:r>
    </w:p>
    <w:p>
      <w:bookmarkStart w:id="144" w:name="page_1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2"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106"/>
                    <a:stretch>
                      <a:fillRect/>
                    </a:stretch>
                  </pic:blipFill>
                  <pic:spPr>
                    <a:xfrm>
                      <a:off x="0" y="0"/>
                      <a:ext cx="914400" cy="266700"/>
                    </a:xfrm>
                    <a:prstGeom prst="rect">
                      <a:avLst/>
                    </a:prstGeom>
                  </pic:spPr>
                </pic:pic>
              </a:graphicData>
            </a:graphic>
          </wp:anchor>
        </w:drawing>
      </w:r>
      <w:bookmarkEnd w:id="144"/>
    </w:p>
    <w:p>
      <w:pPr>
        <w:pStyle w:val="Para 09"/>
      </w:pPr>
      <w:r>
        <w:t>(continued from previous page)</w:t>
      </w:r>
    </w:p>
    <w:p>
      <w:pPr>
        <w:pStyle w:val="Para 04"/>
      </w:pPr>
      <w:r>
        <w:t>┌─────────────────────────── Confirm SSH keys ───────────────────────────┐</w:t>
      </w:r>
    </w:p>
    <w:p>
      <w:pPr>
        <w:pStyle w:val="Para 04"/>
      </w:pPr>
      <w:r>
        <w:t>│</w:t>
        <w:t xml:space="preserve"> </w:t>
        <w:t>│</w:t>
      </w:r>
    </w:p>
    <w:p>
      <w:pPr>
        <w:pStyle w:val="Para 04"/>
      </w:pPr>
      <w:r>
        <w:t>│</w:t>
        <w:t xml:space="preserve"> </w:t>
        <w:t>Keys with the following fingerprints were fetched. Do you want to</w:t>
        <w:t xml:space="preserve"> </w:t>
        <w:t>│</w:t>
      </w:r>
    </w:p>
    <w:p>
      <w:pPr>
        <w:pStyle w:val="Para 04"/>
      </w:pPr>
      <w:r>
        <w:t>│</w:t>
        <w:t xml:space="preserve"> </w:t>
        <w:t>use them?</w:t>
        <w:t xml:space="preserve"> </w:t>
        <w:t>│</w:t>
      </w:r>
    </w:p>
    <w:p>
      <w:pPr>
        <w:pStyle w:val="Para 04"/>
      </w:pPr>
      <w:r>
        <w:t>│</w:t>
        <w:t xml:space="preserve"> </w:t>
        <w:t>│</w:t>
      </w:r>
    </w:p>
    <w:p>
      <w:pPr>
        <w:pStyle w:val="Para 04"/>
      </w:pPr>
      <w:r>
        <w:t>│</w:t>
        <w:t xml:space="preserve"> </w:t>
        <w:t>2048 SHA256:joGscmiamcaoincinaäonnväineorviZEdDWdR9Hpbc2KIw user@W520</w:t>
        <w:t xml:space="preserve"> </w:t>
        <w:t>│</w:t>
      </w:r>
    </w:p>
    <w:p>
      <w:pPr>
        <w:pStyle w:val="Para 04"/>
      </w:pPr>
      <w:r>
        <w:t>│</w:t>
        <w:t xml:space="preserve"> </w:t>
        <w:t>(RSA)</w:t>
        <w:t xml:space="preserve"> </w:t>
        <w:t>│</w:t>
      </w:r>
    </w:p>
    <w:p>
      <w:pPr>
        <w:pStyle w:val="Para 04"/>
      </w:pPr>
      <w:r>
        <w:t>│</w:t>
        <w:t xml:space="preserve"> </w:t>
        <w:t>521 SHA256:T3JzxvB6K1Gzidvoidhoidsaoicak0jhhgvbw01F7/fZ2c</w:t>
        <w:t xml:space="preserve"> </w:t>
        <w:t>│</w:t>
      </w:r>
    </w:p>
    <w:p>
      <w:pPr>
        <w:pStyle w:val="Para 04"/>
      </w:pPr>
      <w:r>
        <w:t>│</w:t>
        <w:t xml:space="preserve"> </w:t>
        <w:t>ed.example@acme.com</w:t>
        <w:t xml:space="preserve"> </w:t>
        <w:t>(ECDSA)</w:t>
        <w:t xml:space="preserve"> </w:t>
        <w:t>│</w:t>
      </w:r>
    </w:p>
    <w:p>
      <w:pPr>
        <w:pStyle w:val="Para 04"/>
      </w:pPr>
      <w:r>
        <w:t>│</w:t>
        <w:t xml:space="preserve"> </w:t>
        <w:t>│</w:t>
      </w:r>
    </w:p>
    <w:p>
      <w:pPr>
        <w:pStyle w:val="Para 04"/>
      </w:pPr>
      <w:r>
        <w:t>│</w:t>
        <w:t xml:space="preserve"> </w:t>
        <w:t>[ Yes</w:t>
        <w:t xml:space="preserve"> </w:t>
        <w:t>]</w:t>
        <w:t xml:space="preserve"> </w:t>
        <w:t>│</w:t>
      </w:r>
    </w:p>
    <w:p>
      <w:pPr>
        <w:pStyle w:val="Para 04"/>
      </w:pPr>
      <w:r>
        <w:t>│</w:t>
        <w:t xml:space="preserve"> </w:t>
        <w:t>[ No</w:t>
        <w:t xml:space="preserve"> </w:t>
        <w:t>]</w:t>
        <w:t xml:space="preserve"> </w:t>
        <w:t>│</w:t>
      </w:r>
    </w:p>
    <w:p>
      <w:pPr>
        <w:pStyle w:val="Para 04"/>
      </w:pPr>
      <w:r>
        <w:t>│</w:t>
        <w:t xml:space="preserve"> </w:t>
        <w:t>│</w:t>
      </w:r>
    </w:p>
    <w:p>
      <w:pPr>
        <w:pStyle w:val="Para 04"/>
      </w:pPr>
      <w:r>
        <w:t>└────────────────────────────────────────────────────────────────────────┘</w:t>
      </w:r>
    </w:p>
    <w:p>
      <w:pPr>
        <w:pStyle w:val="Para 19"/>
      </w:pPr>
      <w:r>
        <w:t>[ Done</w:t>
        <w:t xml:space="preserve"> </w:t>
        <w:t>]</w:t>
        <w:t xml:space="preserve"> </w:t>
        <w:t>[ Back</w:t>
        <w:t xml:space="preserve"> </w:t>
        <w:t>]</w:t>
      </w:r>
    </w:p>
    <w:p>
      <w:pPr>
        <w:pStyle w:val="Para 17"/>
      </w:pPr>
      <w:r>
        <w:t/>
      </w:r>
    </w:p>
    <w:p>
      <w:pPr>
        <w:pStyle w:val="Normal"/>
      </w:pPr>
      <w:r>
        <w:t>====================================================================</w:t>
      </w:r>
    </w:p>
    <w:p>
      <w:pPr>
        <w:pStyle w:val="Para 03"/>
      </w:pPr>
      <w:r>
        <w:t>Featured Server Snaps</w:t>
      </w:r>
    </w:p>
    <w:p>
      <w:pPr>
        <w:pStyle w:val="Normal"/>
      </w:pPr>
      <w:r>
        <w:t>====================================================================</w:t>
      </w:r>
    </w:p>
    <w:p>
      <w:pPr>
        <w:pStyle w:val="Para 03"/>
      </w:pPr>
      <w:r>
        <w:t>These are popular snaps</w:t>
        <w:t xml:space="preserve"> </w:t>
      </w:r>
      <w:r>
        <w:rPr>
          <w:rStyle w:val="Text0"/>
        </w:rPr>
        <w:t>in</w:t>
      </w:r>
      <w:r>
        <w:t xml:space="preserve"> </w:t>
        <w:t>server environments</w:t>
        <w:t>.</w:t>
        <w:t xml:space="preserve"> </w:t>
        <w:t>Select</w:t>
        <w:t xml:space="preserve"> </w:t>
      </w:r>
      <w:r>
        <w:rPr>
          <w:rStyle w:val="Text0"/>
        </w:rPr>
        <w:t>or</w:t>
      </w:r>
      <w:r>
        <w:t xml:space="preserve"> </w:t>
        <w:t>deselect</w:t>
        <w:t xml:space="preserve"> </w:t>
      </w:r>
      <w:r>
        <w:rPr>
          <w:rStyle w:val="Text0"/>
        </w:rPr>
        <w:t>with</w:t>
      </w:r>
    </w:p>
    <w:p>
      <w:pPr>
        <w:pStyle w:val="Para 03"/>
      </w:pPr>
      <w:r>
        <w:t>SPACE, press ENTER to see more details of the package, publisher</w:t>
        <w:t xml:space="preserve"> </w:t>
      </w:r>
      <w:r>
        <w:rPr>
          <w:rStyle w:val="Text0"/>
        </w:rPr>
        <w:t>and</w:t>
      </w:r>
    </w:p>
    <w:p>
      <w:pPr>
        <w:pStyle w:val="Para 03"/>
      </w:pPr>
      <w:r>
        <w:t>versions available</w:t>
        <w:t>.</w:t>
      </w:r>
    </w:p>
    <w:p>
      <w:pPr>
        <w:pStyle w:val="Para 03"/>
      </w:pPr>
      <w:r>
        <w:t>[ ] kata</w:t>
        <w:t>-</w:t>
        <w:t>containers Lightweight virtual machines that seamlessly plug into</w:t>
        <w:t xml:space="preserve"> </w:t>
        <w:t>&gt;</w:t>
      </w:r>
    </w:p>
    <w:p>
      <w:pPr>
        <w:pStyle w:val="Para 03"/>
      </w:pPr>
      <w:r>
        <w:t>[ ] docker</w:t>
        <w:t xml:space="preserve"> </w:t>
        <w:t>Docker container runtime</w:t>
        <w:t xml:space="preserve"> </w:t>
        <w:t>&gt;</w:t>
      </w:r>
    </w:p>
    <w:p>
      <w:pPr>
        <w:pStyle w:val="Para 03"/>
      </w:pPr>
      <w:r>
        <w:t>[ ] mosquitto</w:t>
        <w:t xml:space="preserve"> </w:t>
        <w:t>Eclipse Mosquitto MQTT broker</w:t>
        <w:t xml:space="preserve"> </w:t>
        <w:t>&gt;</w:t>
      </w:r>
    </w:p>
    <w:p>
      <w:pPr>
        <w:pStyle w:val="Para 03"/>
      </w:pPr>
      <w:r>
        <w:t>[ ] etcd</w:t>
        <w:t xml:space="preserve"> </w:t>
        <w:t>Resilient key</w:t>
        <w:t>-</w:t>
        <w:t>value store by CoreOS</w:t>
        <w:t xml:space="preserve"> </w:t>
        <w:t>&gt;</w:t>
      </w:r>
    </w:p>
    <w:p>
      <w:pPr>
        <w:pStyle w:val="Para 03"/>
      </w:pPr>
      <w:r>
        <w:t>[ ] stress</w:t>
        <w:t>-</w:t>
        <w:t>ng</w:t>
        <w:t xml:space="preserve"> </w:t>
        <w:t>A tool to load, stress test</w:t>
        <w:t xml:space="preserve"> </w:t>
      </w:r>
      <w:r>
        <w:rPr>
          <w:rStyle w:val="Text0"/>
        </w:rPr>
        <w:t>and</w:t>
      </w:r>
      <w:r>
        <w:t xml:space="preserve"> </w:t>
        <w:t>benchmark a computer s</w:t>
        <w:t xml:space="preserve"> </w:t>
        <w:t>&gt;</w:t>
      </w:r>
    </w:p>
    <w:p>
      <w:pPr>
        <w:pStyle w:val="Para 03"/>
      </w:pPr>
      <w:r>
        <w:t>[ ] sabnzbd</w:t>
        <w:t xml:space="preserve"> </w:t>
        <w:t>SABnzbd</w:t>
        <w:t xml:space="preserve"> </w:t>
        <w:t>&gt;</w:t>
      </w:r>
    </w:p>
    <w:p>
      <w:pPr>
        <w:pStyle w:val="Para 03"/>
      </w:pPr>
      <w:r>
        <w:t>[ ] wormhole</w:t>
        <w:t xml:space="preserve"> </w:t>
        <w:t>get things</w:t>
        <w:t xml:space="preserve"> </w:t>
      </w:r>
      <w:r>
        <w:rPr>
          <w:rStyle w:val="Text0"/>
        </w:rPr>
        <w:t>from</w:t>
      </w:r>
      <w:r>
        <w:t xml:space="preserve"> </w:t>
      </w:r>
      <w:r>
        <w:rPr>
          <w:rStyle w:val="Text0"/>
        </w:rPr>
        <w:t>one</w:t>
      </w:r>
      <w:r>
        <w:t xml:space="preserve"> </w:t>
        <w:t>computer to another, safely</w:t>
        <w:t xml:space="preserve"> </w:t>
        <w:t>&gt;</w:t>
      </w:r>
    </w:p>
    <w:p>
      <w:pPr>
        <w:pStyle w:val="Para 03"/>
      </w:pPr>
      <w:r>
        <w:t>[ ] slcli</w:t>
        <w:t xml:space="preserve"> </w:t>
        <w:t>Python based SoftLayer API Tool</w:t>
        <w:t>.</w:t>
        <w:t xml:space="preserve"> </w:t>
        <w:t>&gt;</w:t>
      </w:r>
    </w:p>
    <w:p>
      <w:pPr>
        <w:pStyle w:val="Para 03"/>
      </w:pPr>
      <w:r>
        <w:t>[ ] doctl</w:t>
        <w:t xml:space="preserve"> </w:t>
        <w:t>DigitalOcean command line tool</w:t>
        <w:t xml:space="preserve"> </w:t>
        <w:t>&gt;</w:t>
      </w:r>
    </w:p>
    <w:p>
      <w:pPr>
        <w:pStyle w:val="Para 03"/>
      </w:pPr>
      <w:r>
        <w:t>[ ] keepalived</w:t>
        <w:t xml:space="preserve"> </w:t>
        <w:t>High availability VRRP</w:t>
        <w:t>/</w:t>
        <w:t>BFD</w:t>
        <w:t xml:space="preserve"> </w:t>
      </w:r>
      <w:r>
        <w:rPr>
          <w:rStyle w:val="Text0"/>
        </w:rPr>
        <w:t>and</w:t>
      </w:r>
      <w:r>
        <w:t xml:space="preserve"> </w:t>
        <w:t>load</w:t>
        <w:t>-</w:t>
        <w:t>balancing</w:t>
        <w:t xml:space="preserve"> </w:t>
      </w:r>
      <w:r>
        <w:rPr>
          <w:rStyle w:val="Text0"/>
        </w:rPr>
        <w:t>for</w:t>
      </w:r>
      <w:r>
        <w:t xml:space="preserve"> </w:t>
        <w:t>Linu</w:t>
        <w:t xml:space="preserve"> </w:t>
        <w:t>&gt;</w:t>
      </w:r>
    </w:p>
    <w:p>
      <w:pPr>
        <w:pStyle w:val="Para 03"/>
      </w:pPr>
      <w:r>
        <w:t>[ ] juju</w:t>
        <w:t xml:space="preserve"> </w:t>
        <w:t>Simple, secure</w:t>
        <w:t xml:space="preserve"> </w:t>
      </w:r>
      <w:r>
        <w:rPr>
          <w:rStyle w:val="Text0"/>
        </w:rPr>
        <w:t>and</w:t>
      </w:r>
      <w:r>
        <w:t xml:space="preserve"> </w:t>
        <w:t>stable devops</w:t>
        <w:t>.</w:t>
        <w:t xml:space="preserve"> </w:t>
        <w:t>Juju keeps complexit</w:t>
        <w:t xml:space="preserve"> </w:t>
        <w:t>&gt;</w:t>
      </w:r>
    </w:p>
    <w:p>
      <w:pPr>
        <w:pStyle w:val="Para 17"/>
      </w:pPr>
      <w:r>
        <w:t/>
      </w:r>
    </w:p>
    <w:p>
      <w:pPr>
        <w:pStyle w:val="Para 19"/>
      </w:pPr>
      <w:r>
        <w:t>[ Done</w:t>
        <w:t xml:space="preserve"> </w:t>
        <w:t>]</w:t>
        <w:t xml:space="preserve"> </w:t>
        <w:t>[ Back</w:t>
        <w:t xml:space="preserve"> </w:t>
        <w:t>]</w:t>
      </w:r>
    </w:p>
    <w:p>
      <w:pPr>
        <w:pStyle w:val="Para 17"/>
      </w:pPr>
      <w:r>
        <w:t/>
      </w:r>
    </w:p>
    <w:p>
      <w:pPr>
        <w:pStyle w:val="Normal"/>
      </w:pPr>
      <w:r>
        <w:t>====================================================================</w:t>
      </w:r>
    </w:p>
    <w:p>
      <w:pPr>
        <w:pStyle w:val="Para 03"/>
      </w:pPr>
      <w:r>
        <w:t>Install complete!</w:t>
      </w:r>
    </w:p>
    <w:p>
      <w:pPr>
        <w:pStyle w:val="Normal"/>
      </w:pPr>
      <w:r>
        <w:t>====================================================================</w:t>
      </w:r>
    </w:p>
    <w:p>
      <w:pPr>
        <w:pStyle w:val="Para 03"/>
      </w:pPr>
      <w:r>
        <w:t>┌──────────────────────────────────────────────────────────────────────────┐</w:t>
      </w:r>
    </w:p>
    <w:p>
      <w:pPr>
        <w:pStyle w:val="Para 03"/>
      </w:pPr>
      <w:r>
        <w:t>│</w:t>
        <w:t xml:space="preserve"> </w:t>
        <w:t>configuring raid (mdadm) service</w:t>
        <w:t xml:space="preserve"> </w:t>
        <w:t>^│</w:t>
      </w:r>
    </w:p>
    <w:p>
      <w:pPr>
        <w:pStyle w:val="Para 03"/>
      </w:pPr>
      <w:r>
        <w:t>│</w:t>
        <w:t xml:space="preserve"> </w:t>
        <w:t>installing kernel</w:t>
        <w:t xml:space="preserve"> </w:t>
        <w:t>│</w:t>
      </w:r>
    </w:p>
    <w:p>
      <w:pPr>
        <w:pStyle w:val="Para 03"/>
      </w:pPr>
      <w:r>
        <w:t>│</w:t>
        <w:t xml:space="preserve"> </w:t>
        <w:t>setting up swap</w:t>
        <w:t xml:space="preserve"> </w:t>
        <w:t>│</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9"/>
      </w:pPr>
      <w:r>
        <w:t>(continues on next page)</w:t>
      </w:r>
    </w:p>
    <w:p>
      <w:bookmarkStart w:id="145" w:name="page_1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3"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107"/>
                    <a:stretch>
                      <a:fillRect/>
                    </a:stretch>
                  </pic:blipFill>
                  <pic:spPr>
                    <a:xfrm>
                      <a:off x="0" y="0"/>
                      <a:ext cx="914400" cy="266700"/>
                    </a:xfrm>
                    <a:prstGeom prst="rect">
                      <a:avLst/>
                    </a:prstGeom>
                  </pic:spPr>
                </pic:pic>
              </a:graphicData>
            </a:graphic>
          </wp:anchor>
        </w:drawing>
      </w:r>
      <w:bookmarkEnd w:id="145"/>
    </w:p>
    <w:p>
      <w:pPr>
        <w:pStyle w:val="Para 09"/>
      </w:pPr>
      <w:r>
        <w:t>(continued from previous page)</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 \</w:t>
        <w:t xml:space="preserve"> </w:t>
        <w:t>v│</w:t>
      </w:r>
    </w:p>
    <w:p>
      <w:pPr>
        <w:pStyle w:val="Para 03"/>
      </w:pPr>
      <w:r>
        <w:t>└──────────────────────────────────────────────────────────────────────────┘</w:t>
      </w:r>
    </w:p>
    <w:p>
      <w:pPr>
        <w:pStyle w:val="Para 38"/>
      </w:pPr>
      <w:r>
        <w:t>[ View full log ]</w:t>
      </w:r>
    </w:p>
    <w:p>
      <w:pPr>
        <w:pStyle w:val="Para 17"/>
      </w:pPr>
      <w:r>
        <w:t/>
      </w:r>
    </w:p>
    <w:p>
      <w:pPr>
        <w:pStyle w:val="Normal"/>
      </w:pPr>
      <w:r>
        <w:t>====================================================================</w:t>
      </w:r>
    </w:p>
    <w:p>
      <w:pPr>
        <w:pStyle w:val="Para 03"/>
      </w:pPr>
      <w:r>
        <w:t>Installation complete!</w:t>
      </w:r>
    </w:p>
    <w:p>
      <w:pPr>
        <w:pStyle w:val="Normal"/>
      </w:pPr>
      <w:r>
        <w:t>====================================================================</w:t>
      </w:r>
    </w:p>
    <w:p>
      <w:pPr>
        <w:pStyle w:val="Para 03"/>
      </w:pPr>
      <w:r>
        <w:t>┌──────────────────────────── Finished install! ───────────────────────────┐</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w:t>
        <w:t xml:space="preserve"> </w:t>
        <w:t>│</w:t>
      </w:r>
    </w:p>
    <w:p>
      <w:pPr>
        <w:pStyle w:val="Para 03"/>
      </w:pPr>
      <w:r>
        <w:t>│</w:t>
        <w:t xml:space="preserve"> </w:t>
        <w:t>restoring apt configuration</w:t>
        <w:t xml:space="preserve"> </w:t>
        <w:t>││</w:t>
      </w:r>
    </w:p>
    <w:p>
      <w:pPr>
        <w:pStyle w:val="Para 03"/>
      </w:pPr>
      <w:r>
        <w:t>│downloading and installing security updates</w:t>
        <w:t xml:space="preserve"> </w:t>
        <w:t>v│</w:t>
      </w:r>
    </w:p>
    <w:p>
      <w:pPr>
        <w:pStyle w:val="Para 03"/>
      </w:pPr>
      <w:r>
        <w:t>└──────────────────────────────────────────────────────────────────────────┘</w:t>
      </w:r>
    </w:p>
    <w:p>
      <w:pPr>
        <w:pStyle w:val="Para 38"/>
      </w:pPr>
      <w:r>
        <w:t>[ View full log ]</w:t>
      </w:r>
    </w:p>
    <w:p>
      <w:pPr>
        <w:pStyle w:val="Para 38"/>
      </w:pPr>
      <w:r>
        <w:t>[ Reboot</w:t>
        <w:t xml:space="preserve"> </w:t>
        <w:t>]</w:t>
      </w:r>
    </w:p>
    <w:p>
      <w:pPr>
        <w:pStyle w:val="Para 17"/>
      </w:pPr>
      <w:r>
        <w:t/>
      </w:r>
    </w:p>
    <w:p>
      <w:pPr>
        <w:pStyle w:val="Para 03"/>
      </w:pPr>
      <w:r>
        <w:t>Installation complete!</w:t>
      </w:r>
    </w:p>
    <w:p>
      <w:pPr>
        <w:pStyle w:val="Normal"/>
      </w:pPr>
      <w:r>
        <w:t>====================================================================</w:t>
      </w:r>
    </w:p>
    <w:p>
      <w:pPr>
        <w:pStyle w:val="Para 03"/>
      </w:pPr>
      <w:r>
        <w:t>┌──────────────────────────── Finished install! ───────────────────────────┐</w:t>
      </w:r>
    </w:p>
    <w:p>
      <w:pPr>
        <w:pStyle w:val="Para 03"/>
      </w:pPr>
      <w:r>
        <w:t>│</w:t>
        <w:t xml:space="preserve"> </w:t>
        <w:t>apply networking config</w:t>
        <w:t xml:space="preserve"> </w:t>
        <w:t>^│</w:t>
      </w:r>
    </w:p>
    <w:p>
      <w:pPr>
        <w:pStyle w:val="Para 03"/>
      </w:pPr>
      <w:r>
        <w:t>│</w:t>
        <w:t xml:space="preserve"> </w:t>
        <w:t>writing etc/fstab</w:t>
        <w:t xml:space="preserve"> </w:t>
        <w:t>│</w:t>
      </w:r>
    </w:p>
    <w:p>
      <w:pPr>
        <w:pStyle w:val="Para 03"/>
      </w:pPr>
      <w:r>
        <w:t>│</w:t>
        <w:t xml:space="preserve"> </w:t>
        <w:t>configuring multipath</w:t>
        <w:t xml:space="preserve"> </w:t>
        <w:t>│</w:t>
      </w:r>
    </w:p>
    <w:p>
      <w:pPr>
        <w:pStyle w:val="Para 03"/>
      </w:pPr>
      <w:r>
        <w:t>│</w:t>
        <w:t xml:space="preserve"> </w:t>
        <w:t>updating packages on target system</w:t>
        <w:t xml:space="preserve"> </w:t>
        <w:t>│</w:t>
      </w:r>
    </w:p>
    <w:p>
      <w:pPr>
        <w:pStyle w:val="Para 03"/>
      </w:pPr>
      <w:r>
        <w:t>│</w:t>
        <w:t xml:space="preserve"> </w:t>
        <w:t>configuring pollinate user-agent on target</w:t>
        <w:t xml:space="preserve"> </w:t>
        <w:t>│</w:t>
      </w:r>
    </w:p>
    <w:p>
      <w:pPr>
        <w:pStyle w:val="Para 03"/>
      </w:pPr>
      <w:r>
        <w:t>│</w:t>
        <w:t xml:space="preserve"> </w:t>
        <w:t>updating initramfs configuration</w:t>
        <w:t xml:space="preserve"> </w:t>
        <w:t>│</w:t>
      </w:r>
    </w:p>
    <w:p>
      <w:pPr>
        <w:pStyle w:val="Para 03"/>
      </w:pPr>
      <w:r>
        <w:t>│</w:t>
        <w:t xml:space="preserve"> </w:t>
        <w:t>finalizing installation</w:t>
        <w:t xml:space="preserve"> </w:t>
        <w:t>│</w:t>
      </w:r>
    </w:p>
    <w:p>
      <w:pPr>
        <w:pStyle w:val="Para 03"/>
      </w:pPr>
      <w:r>
        <w:t>│</w:t>
        <w:t xml:space="preserve"> </w:t>
        <w:t>running 'curtin hook'</w:t>
        <w:t xml:space="preserve"> </w:t>
        <w:t>│</w:t>
      </w:r>
    </w:p>
    <w:p>
      <w:pPr>
        <w:pStyle w:val="Para 03"/>
      </w:pPr>
      <w:r>
        <w:t>│</w:t>
        <w:t xml:space="preserve"> </w:t>
        <w:t>curtin command hook</w:t>
        <w:t xml:space="preserve"> </w:t>
        <w:t>│</w:t>
      </w:r>
    </w:p>
    <w:p>
      <w:pPr>
        <w:pStyle w:val="Para 03"/>
      </w:pPr>
      <w:r>
        <w:t>│</w:t>
        <w:t xml:space="preserve"> </w:t>
        <w:t>executing late commands</w:t>
        <w:t xml:space="preserve"> </w:t>
        <w:t>│</w:t>
      </w:r>
    </w:p>
    <w:p>
      <w:pPr>
        <w:pStyle w:val="Para 03"/>
      </w:pPr>
      <w:r>
        <w:t>│final system configuration</w:t>
        <w:t xml:space="preserve"> </w:t>
        <w:t>│</w:t>
      </w:r>
    </w:p>
    <w:p>
      <w:pPr>
        <w:pStyle w:val="Para 03"/>
      </w:pPr>
      <w:r>
        <w:t>│</w:t>
        <w:t xml:space="preserve"> </w:t>
        <w:t>configuring cloud-init</w:t>
        <w:t xml:space="preserve"> </w:t>
        <w:t>│</w:t>
      </w:r>
    </w:p>
    <w:p>
      <w:pPr>
        <w:pStyle w:val="Para 03"/>
      </w:pPr>
      <w:r>
        <w:t>│</w:t>
        <w:t xml:space="preserve"> </w:t>
        <w:t>installing openssh-server</w:t>
        <w:t xml:space="preserve"> </w:t>
        <w:t>│</w:t>
      </w:r>
    </w:p>
    <w:p>
      <w:pPr>
        <w:pStyle w:val="Para 03"/>
      </w:pPr>
      <w:r>
        <w:t>│</w:t>
        <w:t xml:space="preserve"> </w:t>
        <w:t>restoring apt configuration</w:t>
        <w:t xml:space="preserve"> </w:t>
        <w:t>││</w:t>
      </w:r>
    </w:p>
    <w:p>
      <w:pPr>
        <w:pStyle w:val="Para 03"/>
      </w:pPr>
      <w:r>
        <w:t>│downloading and installing security updates</w:t>
        <w:t xml:space="preserve"> </w:t>
        <w:t>v│</w:t>
      </w:r>
    </w:p>
    <w:p>
      <w:pPr>
        <w:pStyle w:val="Para 03"/>
      </w:pPr>
      <w:r>
        <w:t>└──────────────────────────────────────────────────────────────────────────┘</w:t>
      </w:r>
    </w:p>
    <w:p>
      <w:pPr>
        <w:pStyle w:val="Para 09"/>
      </w:pPr>
      <w:r>
        <w:t>(continues on next page)</w:t>
      </w:r>
    </w:p>
    <w:p>
      <w:bookmarkStart w:id="146" w:name="page_1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4"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108"/>
                    <a:stretch>
                      <a:fillRect/>
                    </a:stretch>
                  </pic:blipFill>
                  <pic:spPr>
                    <a:xfrm>
                      <a:off x="0" y="0"/>
                      <a:ext cx="914400" cy="266700"/>
                    </a:xfrm>
                    <a:prstGeom prst="rect">
                      <a:avLst/>
                    </a:prstGeom>
                  </pic:spPr>
                </pic:pic>
              </a:graphicData>
            </a:graphic>
          </wp:anchor>
        </w:drawing>
      </w:r>
      <w:bookmarkEnd w:id="146"/>
    </w:p>
    <w:p>
      <w:pPr>
        <w:pStyle w:val="Para 09"/>
      </w:pPr>
      <w:r>
        <w:t>(continued from previous page)</w:t>
      </w:r>
    </w:p>
    <w:p>
      <w:pPr>
        <w:pStyle w:val="Para 21"/>
      </w:pPr>
      <w:r>
        <w:t>[ Connection to 10.222.111.11 closed by remote host.</w:t>
      </w:r>
    </w:p>
    <w:p>
      <w:pPr>
        <w:pStyle w:val="Para 25"/>
      </w:pPr>
      <w:r>
        <w:t>[ Rebooting...</w:t>
        <w:t xml:space="preserve"> </w:t>
        <w:t>]</w:t>
      </w:r>
    </w:p>
    <w:p>
      <w:pPr>
        <w:pStyle w:val="Normal"/>
      </w:pPr>
      <w:r>
        <w:t>Connection to 10.222.111.11 closed.</w:t>
      </w:r>
    </w:p>
    <w:p>
      <w:pPr>
        <w:pStyle w:val="Normal"/>
      </w:pPr>
      <w:r>
        <w:t>user@workstation:~$</w:t>
      </w:r>
    </w:p>
    <w:p>
      <w:pPr>
        <w:pStyle w:val="Para 17"/>
      </w:pPr>
      <w:r>
        <w:t/>
      </w:r>
    </w:p>
    <w:p>
      <w:pPr>
        <w:pStyle w:val="Para 04"/>
      </w:pPr>
      <w:r>
        <w:t>• Now type reset to clear the screen and reset it to its defaults.</w:t>
      </w:r>
    </w:p>
    <w:p>
      <w:pPr>
        <w:pStyle w:val="Para 04"/>
      </w:pPr>
      <w:r>
        <w:t>• Before proceeding one needs to remove the old, temporary host key of the target sys-</w:t>
      </w:r>
    </w:p>
    <w:p>
      <w:pPr>
        <w:pStyle w:val="Para 02"/>
      </w:pPr>
      <w:r>
        <w:t>tem, since it was only for use during the installation:</w:t>
      </w:r>
    </w:p>
    <w:p>
      <w:pPr>
        <w:pStyle w:val="Para 02"/>
      </w:pPr>
      <w:r>
        <w:t>user@workstation:~$ ssh-keygen -f "/home/user/.ssh/known_hosts" -R "s1lp11"</w:t>
        <w:t xml:space="preserve"> </w:t>
        <w:t># Host s1lp11 found: line 159</w:t>
      </w:r>
    </w:p>
    <w:p>
      <w:pPr>
        <w:pStyle w:val="Para 02"/>
      </w:pPr>
      <w:r>
        <w:t>/home/user/.ssh/known_hosts updated.</w:t>
      </w:r>
    </w:p>
    <w:p>
      <w:pPr>
        <w:pStyle w:val="Para 02"/>
      </w:pPr>
      <w:r>
        <w:t>Original contents retained as /home/user/.ssh/known_hosts.old</w:t>
        <w:t xml:space="preserve"> </w:t>
        <w:t>user@workstation:~$</w:t>
      </w:r>
    </w:p>
    <w:p>
      <w:pPr>
        <w:pStyle w:val="Para 17"/>
      </w:pPr>
      <w:r>
        <w:t/>
      </w:r>
    </w:p>
    <w:p>
      <w:pPr>
        <w:pStyle w:val="Para 04"/>
      </w:pPr>
      <w:r>
        <w:t>• And assuming the post-installation reboot is done, one can now login:</w:t>
      </w:r>
    </w:p>
    <w:p>
      <w:pPr>
        <w:pStyle w:val="Para 02"/>
      </w:pPr>
      <w:r>
        <w:t>user@workstation:~$ ssh ubuntu@s1lp11</w:t>
      </w:r>
    </w:p>
    <w:p>
      <w:pPr>
        <w:pStyle w:val="Para 02"/>
      </w:pPr>
      <w:r>
        <w:t>Warning: Permanently added the ECDSA host key for IP address</w:t>
        <w:t xml:space="preserve"> </w:t>
        <w:t>'10.222.111.11' to the list of known hosts.</w:t>
      </w:r>
    </w:p>
    <w:p>
      <w:pPr>
        <w:pStyle w:val="Para 02"/>
      </w:pPr>
      <w:r>
        <w:t>Welcome to Ubuntu 20.04.5 LTS (GNU/Linux 5.4.0-42-generic s390x)</w:t>
      </w:r>
    </w:p>
    <w:p>
      <w:pPr>
        <w:pStyle w:val="Para 06"/>
      </w:pPr>
      <w:r>
        <w:t>* Documentation:</w:t>
        <w:t xml:space="preserve"> </w:t>
        <w:t>https://help.ubuntu.com</w:t>
        <w:t xml:space="preserve"> </w:t>
        <w:t>* Management:</w:t>
        <w:t xml:space="preserve"> </w:t>
        <w:t>https://landscape.canonical.com</w:t>
        <w:t xml:space="preserve"> </w:t>
        <w:t>* Support:</w:t>
        <w:t xml:space="preserve"> </w:t>
        <w:t>https://ubuntu.com/pro</w:t>
      </w:r>
    </w:p>
    <w:p>
      <w:pPr>
        <w:pStyle w:val="Para 06"/>
      </w:pPr>
      <w:r>
        <w:t>System information as of Wed 03 Jun 2020 05:50:05 PM UTC</w:t>
      </w:r>
    </w:p>
    <w:p>
      <w:pPr>
        <w:pStyle w:val="Para 06"/>
      </w:pPr>
      <w:r>
        <w:t>System load: 0.08</w:t>
        <w:t xml:space="preserve"> </w:t>
        <w:t>Memory usage: 2%</w:t>
        <w:t xml:space="preserve"> </w:t>
        <w:t>Processes:</w:t>
        <w:t xml:space="preserve"> </w:t>
        <w:t>157</w:t>
        <w:t xml:space="preserve"> </w:t>
        <w:t>Usage of /:</w:t>
        <w:t xml:space="preserve"> </w:t>
        <w:t>18.7% of 6.70GB</w:t>
        <w:t xml:space="preserve"> </w:t>
        <w:t>Swap usage:</w:t>
        <w:t xml:space="preserve"> </w:t>
        <w:t>0%</w:t>
        <w:t xml:space="preserve"> </w:t>
        <w:t>Users logged in: 0</w:t>
      </w:r>
    </w:p>
    <w:p>
      <w:pPr>
        <w:pStyle w:val="Para 02"/>
      </w:pPr>
      <w:r>
        <w:t>0 updates can be installed immediately.</w:t>
      </w:r>
    </w:p>
    <w:p>
      <w:pPr>
        <w:pStyle w:val="Para 02"/>
      </w:pPr>
      <w:r>
        <w:t>0 of these updates are security updates.</w:t>
      </w:r>
    </w:p>
    <w:p>
      <w:pPr>
        <w:pStyle w:val="Para 02"/>
      </w:pPr>
      <w:r>
        <w:t>The programs included with the Ubuntu system are free software;</w:t>
        <w:t xml:space="preserve"> </w:t>
        <w:t>the exact distribution terms for each program are described in the</w:t>
        <w:t xml:space="preserve"> </w:t>
        <w:t>individual files in /usr/share/doc/*/copyright.</w:t>
      </w:r>
    </w:p>
    <w:p>
      <w:pPr>
        <w:pStyle w:val="Para 02"/>
      </w:pPr>
      <w:r>
        <w:t>Ubuntu comes with ABSOLUTELY NO WARRANTY, to the extent permitted by applicable law.</w:t>
      </w:r>
    </w:p>
    <w:p>
      <w:pPr>
        <w:pStyle w:val="Para 02"/>
      </w:pPr>
      <w:r>
        <w:t>To run a command as administrator (user "root"), use "sudo &lt;command&gt;".</w:t>
        <w:t xml:space="preserve"> </w:t>
        <w:t>See "man sudo_root" for details.</w:t>
      </w:r>
    </w:p>
    <w:p>
      <w:pPr>
        <w:pStyle w:val="Para 02"/>
      </w:pPr>
      <w:r>
        <w:t>ubuntu@s1lp11:~$ uptime</w:t>
      </w:r>
    </w:p>
    <w:p>
      <w:pPr>
        <w:pStyle w:val="Para 06"/>
      </w:pPr>
      <w:r>
        <w:t>17:50:09 up 1 min,</w:t>
        <w:t xml:space="preserve"> </w:t>
        <w:t>1 user,</w:t>
        <w:t xml:space="preserve"> </w:t>
        <w:t>load average: 0.08, 0.11, 0.05</w:t>
      </w:r>
    </w:p>
    <w:p>
      <w:pPr>
        <w:pStyle w:val="Para 02"/>
      </w:pPr>
      <w:r>
        <w:t>ubuntu@s1lp11:~$ lsb_release -a</w:t>
      </w:r>
    </w:p>
    <w:p>
      <w:pPr>
        <w:pStyle w:val="Para 02"/>
      </w:pPr>
      <w:r>
        <w:t>No LSB modules are available.</w:t>
      </w:r>
    </w:p>
    <w:p>
      <w:pPr>
        <w:pStyle w:val="Para 02"/>
      </w:pPr>
      <w:r>
        <w:t>Distributor ID:</w:t>
        <w:t xml:space="preserve"> </w:t>
        <w:t>Ubuntu</w:t>
      </w:r>
    </w:p>
    <w:p>
      <w:pPr>
        <w:pStyle w:val="Para 02"/>
      </w:pPr>
      <w:r>
        <w:t>Description:</w:t>
        <w:t xml:space="preserve"> </w:t>
        <w:t>Ubuntu 20.04.5 LTS</w:t>
        <w:t xml:space="preserve"> </w:t>
        <w:t>Release:</w:t>
        <w:t xml:space="preserve"> </w:t>
        <w:t>20.04</w:t>
      </w:r>
    </w:p>
    <w:p>
      <w:pPr>
        <w:pStyle w:val="Para 02"/>
      </w:pPr>
      <w:r>
        <w:t>Codename:</w:t>
        <w:t xml:space="preserve"> </w:t>
        <w:t>focal</w:t>
      </w:r>
    </w:p>
    <w:p>
      <w:pPr>
        <w:pStyle w:val="Para 02"/>
      </w:pPr>
      <w:r>
        <w:t>ubuntu@s1lp11:~$ uname -a</w:t>
      </w:r>
    </w:p>
    <w:p>
      <w:pPr>
        <w:pStyle w:val="Para 02"/>
      </w:pPr>
      <w:r>
        <w:t>Linux s1lp11 5.4.0-42-generic #30-Ubuntu SMP Wed Aug 05 16:57:22 UTC 2020 s390x s390x</w:t>
        <w:t xml:space="preserve"> </w:t>
        <w:t>s390x GNU/Linux</w:t>
      </w:r>
    </w:p>
    <w:p>
      <w:pPr>
        <w:pStyle w:val="Para 09"/>
      </w:pPr>
      <w:r>
        <w:t>(continues on next page)</w:t>
      </w:r>
    </w:p>
    <w:p>
      <w:bookmarkStart w:id="147" w:name="page_1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5" name="index-103_1.png" descr="index-103_1.png"/>
            <wp:cNvGraphicFramePr>
              <a:graphicFrameLocks noChangeAspect="1"/>
            </wp:cNvGraphicFramePr>
            <a:graphic>
              <a:graphicData uri="http://schemas.openxmlformats.org/drawingml/2006/picture">
                <pic:pic>
                  <pic:nvPicPr>
                    <pic:cNvPr id="0" name="index-103_1.png" descr="index-103_1.png"/>
                    <pic:cNvPicPr/>
                  </pic:nvPicPr>
                  <pic:blipFill>
                    <a:blip r:embed="rId109"/>
                    <a:stretch>
                      <a:fillRect/>
                    </a:stretch>
                  </pic:blipFill>
                  <pic:spPr>
                    <a:xfrm>
                      <a:off x="0" y="0"/>
                      <a:ext cx="914400" cy="266700"/>
                    </a:xfrm>
                    <a:prstGeom prst="rect">
                      <a:avLst/>
                    </a:prstGeom>
                  </pic:spPr>
                </pic:pic>
              </a:graphicData>
            </a:graphic>
          </wp:anchor>
        </w:drawing>
      </w:r>
      <w:bookmarkEnd w:id="147"/>
    </w:p>
    <w:p>
      <w:pPr>
        <w:pStyle w:val="Para 09"/>
      </w:pPr>
      <w:r>
        <w:t>(continued from previous page)</w:t>
      </w:r>
    </w:p>
    <w:p>
      <w:pPr>
        <w:pStyle w:val="Para 02"/>
      </w:pPr>
      <w:r>
        <w:t>ubuntu@s1lp11:~$ exit</w:t>
      </w:r>
    </w:p>
    <w:p>
      <w:pPr>
        <w:pStyle w:val="Para 02"/>
      </w:pPr>
      <w:r>
        <w:t>logout</w:t>
      </w:r>
    </w:p>
    <w:p>
      <w:pPr>
        <w:pStyle w:val="Para 02"/>
      </w:pPr>
      <w:r>
        <w:t>Connection to s1lp11 closed.</w:t>
      </w:r>
    </w:p>
    <w:p>
      <w:pPr>
        <w:pStyle w:val="Para 02"/>
      </w:pPr>
      <w:r>
        <w:t>user@workstation:~$</w:t>
      </w:r>
    </w:p>
    <w:p>
      <w:pPr>
        <w:pStyle w:val="Para 17"/>
      </w:pPr>
      <w:r>
        <w:t/>
      </w:r>
    </w:p>
    <w:p>
      <w:pPr>
        <w:pStyle w:val="Normal"/>
      </w:pPr>
      <w:r>
        <w:t>Done !</w:t>
      </w:r>
    </w:p>
    <w:p>
      <w:pPr>
        <w:pStyle w:val="Para 17"/>
      </w:pPr>
      <w:r>
        <w:t/>
      </w:r>
    </w:p>
    <w:p>
      <w:pPr>
        <w:pStyle w:val="Para 01"/>
      </w:pPr>
      <w:r>
        <w:t>Non-interactive IBM Z LPAR autoinstall (s390x)</w:t>
      </w:r>
    </w:p>
    <w:p>
      <w:pPr>
        <w:pStyle w:val="Para 17"/>
      </w:pPr>
      <w:r>
        <w:t/>
      </w:r>
    </w:p>
    <w:p>
      <w:pPr>
        <w:pStyle w:val="Normal"/>
      </w:pPr>
      <w:r>
        <w:t>This non-interactive installation uses autoinstall, which can be considered the successor to the Debian installer (d-i) and preseed on Ubuntu. This is a detailed step-by-step guide, includ-ing output and logs (which are partially a bit shortened, as indicated by …, to limit the size of this document).</w:t>
      </w:r>
    </w:p>
    <w:p>
      <w:pPr>
        <w:pStyle w:val="Normal"/>
      </w:pPr>
      <w:r>
        <w:t>The example logical partition (LPAR) here uses zFCP storage and is connected to a VLAN</w:t>
      </w:r>
    </w:p>
    <w:p>
      <w:pPr>
        <w:pStyle w:val="Normal"/>
      </w:pPr>
      <w:r>
        <w:t xml:space="preserve">network. For a </w:t>
      </w:r>
      <w:hyperlink w:anchor="page_677">
        <w:r>
          <w:rPr>
            <w:rStyle w:val="Text2"/>
          </w:rPr>
          <w:t>DASD</w:t>
        </w:r>
      </w:hyperlink>
      <w:r>
        <w:t xml:space="preserve"> and a non-VLAN network example, please see the </w:t>
      </w:r>
      <w:hyperlink w:anchor="page_76">
        <w:r>
          <w:rPr>
            <w:rStyle w:val="Text2"/>
          </w:rPr>
          <w:t>non-interactive IBM</w:t>
        </w:r>
      </w:hyperlink>
    </w:p>
    <w:p>
      <w:pPr>
        <w:pStyle w:val="Para 20"/>
      </w:pPr>
      <w:hyperlink w:anchor="page_76">
        <w:r>
          <w:t>z/VM (s390x) auto-installation</w:t>
        </w:r>
      </w:hyperlink>
      <w:r>
        <w:rPr>
          <w:rStyle w:val="Text4"/>
        </w:rPr>
        <w:t xml:space="preserve"> (page 75) guide.</w:t>
      </w:r>
    </w:p>
    <w:p>
      <w:pPr>
        <w:pStyle w:val="Para 04"/>
      </w:pPr>
      <w:r>
        <w:t>• Start with the preparation of the (FTP) install server (if it doesn’t already exist).</w:t>
      </w:r>
    </w:p>
    <w:p>
      <w:pPr>
        <w:pStyle w:val="Para 02"/>
      </w:pPr>
      <w:r>
        <w:t>user@local:~$ ssh admin@installserver.local</w:t>
      </w:r>
    </w:p>
    <w:p>
      <w:pPr>
        <w:pStyle w:val="Para 02"/>
      </w:pPr>
      <w:r>
        <w:t>admin@installserver:~$ mkdir -p /srv/ftp/ubuntu-daily-live-server-20.04</w:t>
        <w:t xml:space="preserve"> </w:t>
        <w:t>admin@installserver:~$ wget http://cdimage.ubuntu.com/ubuntu-server/focal/daily-live/</w:t>
        <w:t xml:space="preserve"> </w:t>
        <w:t>current/focal-live-server-s390x.iso --directory-prefix</w:t>
        <w:t>=</w:t>
        <w:t>/srv/ftp/ubuntu-daily-live-</w:t>
        <w:t>server-20.04</w:t>
      </w:r>
    </w:p>
    <w:p>
      <w:pPr>
        <w:pStyle w:val="Para 02"/>
      </w:pPr>
      <w:r>
        <w:t>--2020-06-26</w:t>
        <w:t xml:space="preserve"> </w:t>
        <w:t>12</w:t>
        <w:t>:18:48--</w:t>
        <w:t>http://cdimage.ubuntu.com/ubuntu-server/focal/daily-live/</w:t>
        <w:t xml:space="preserve"> </w:t>
        <w:t>current/focal-live-server-s390x.iso</w:t>
      </w:r>
    </w:p>
    <w:p>
      <w:pPr>
        <w:pStyle w:val="Para 02"/>
      </w:pPr>
      <w:r>
        <w:t>Resolving cdimage.ubuntu.com</w:t>
        <w:t xml:space="preserve"> </w:t>
        <w:t>(</w:t>
        <w:t>cdimage.ubuntu.com</w:t>
        <w:t>)</w:t>
        <w:t>...</w:t>
        <w:t xml:space="preserve"> </w:t>
        <w:t>2001</w:t>
        <w:t>:67c:1560:8001::1d,</w:t>
        <w:t xml:space="preserve"> </w:t>
        <w:t>2001</w:t>
        <w:t>:67c:1360:8001::28,</w:t>
        <w:t xml:space="preserve"> </w:t>
        <w:t>2001</w:t>
        <w:t>:67c:1360:8001::27,</w:t>
      </w:r>
    </w:p>
    <w:p>
      <w:pPr>
        <w:pStyle w:val="Para 06"/>
      </w:pPr>
      <w:r>
        <w:t>...</w:t>
      </w:r>
    </w:p>
    <w:p>
      <w:pPr>
        <w:pStyle w:val="Para 02"/>
      </w:pPr>
      <w:r>
        <w:t>Connecting to cdimage.ubuntu.com</w:t>
        <w:t xml:space="preserve"> </w:t>
        <w:t>(</w:t>
        <w:t>cdimage.ubuntu.com</w:t>
        <w:t>)</w:t>
        <w:t>|</w:t>
        <w:t>2001</w:t>
        <w:t>:67c:1560:8001::1d|:80...</w:t>
        <w:t xml:space="preserve"> </w:t>
        <w:t>connected.</w:t>
      </w:r>
    </w:p>
    <w:p>
      <w:pPr>
        <w:pStyle w:val="Para 02"/>
      </w:pPr>
      <w:r>
        <w:t>HTTP request sent, awaiting response...</w:t>
        <w:t xml:space="preserve"> </w:t>
        <w:t>200</w:t>
        <w:t xml:space="preserve"> </w:t>
        <w:t>OK</w:t>
        <w:t xml:space="preserve"> </w:t>
        <w:t>Length:</w:t>
        <w:t xml:space="preserve"> </w:t>
        <w:t>700952576</w:t>
        <w:t xml:space="preserve"> </w:t>
        <w:t>(</w:t>
        <w:t>668M</w:t>
        <w:t>) [</w:t>
        <w:t>application/x-iso9660-image</w:t>
        <w:t>]</w:t>
        <w:t xml:space="preserve"> </w:t>
        <w:t>Saving to: ‘focal-live-server-s390x.iso’</w:t>
      </w:r>
    </w:p>
    <w:p>
      <w:pPr>
        <w:pStyle w:val="Para 02"/>
      </w:pPr>
      <w:r>
        <w:t>focal-live-server-s</w:t>
        <w:t xml:space="preserve"> </w:t>
        <w:t>100</w:t>
        <w:t>%</w:t>
        <w:t>[===================</w:t>
        <w:t>&gt;</w:t>
        <w:t>]</w:t>
        <w:t xml:space="preserve"> </w:t>
        <w:t>668</w:t>
        <w:t>.48M</w:t>
        <w:t xml:space="preserve"> </w:t>
        <w:t>2</w:t>
        <w:t>.73MB/s</w:t>
        <w:t xml:space="preserve"> </w:t>
      </w:r>
      <w:r>
        <w:rPr>
          <w:rStyle w:val="Text0"/>
        </w:rPr>
        <w:t>in</w:t>
      </w:r>
      <w:r>
        <w:t xml:space="preserve"> </w:t>
        <w:t>4m 54s</w:t>
      </w:r>
    </w:p>
    <w:p>
      <w:pPr>
        <w:pStyle w:val="Para 02"/>
      </w:pPr>
      <w:r>
        <w:t>2020</w:t>
        <w:t>-06-26</w:t>
        <w:t xml:space="preserve"> </w:t>
        <w:t>12</w:t>
        <w:t>:23:42</w:t>
        <w:t xml:space="preserve"> </w:t>
        <w:t>(</w:t>
        <w:t>2</w:t>
        <w:t>.27 MB/s</w:t>
        <w:t>)</w:t>
        <w:t>- ‘focal-live-server-s390x.iso’ saved</w:t>
        <w:t xml:space="preserve"> </w:t>
        <w:t>[</w:t>
        <w:t>700952576</w:t>
        <w:t>/</w:t>
        <w:t xml:space="preserve"> </w:t>
        <w:t>700952576</w:t>
        <w:t>]</w:t>
      </w:r>
    </w:p>
    <w:p>
      <w:pPr>
        <w:pStyle w:val="Para 02"/>
      </w:pPr>
      <w:r>
        <w:t>admin@installserver:~$</w:t>
      </w:r>
    </w:p>
    <w:p>
      <w:pPr>
        <w:pStyle w:val="Para 17"/>
      </w:pPr>
      <w:r>
        <w:t/>
      </w:r>
    </w:p>
    <w:p>
      <w:pPr>
        <w:pStyle w:val="Para 04"/>
      </w:pPr>
      <w:r>
        <w:t>• The ISO image needs to be extracted now. Since files in its boot folder need to be</w:t>
      </w:r>
    </w:p>
    <w:p>
      <w:pPr>
        <w:pStyle w:val="Para 02"/>
      </w:pPr>
      <w:r>
        <w:t>modified, loopback mount is not an option here:</w:t>
      </w:r>
    </w:p>
    <w:p>
      <w:pPr>
        <w:pStyle w:val="Para 02"/>
      </w:pPr>
      <w:r>
        <w:t>admin@installserver:~$</w:t>
        <w:t xml:space="preserve"> </w:t>
        <w:t>cd</w:t>
        <w:t xml:space="preserve"> </w:t>
        <w:t>/srv/ftp/ubuntu-daily-live-server-20.04</w:t>
        <w:t xml:space="preserve"> </w:t>
        <w:t>admin@installserver:/srv/ftp/ubuntu-daily-live-server-20.04$ mkdir iso</w:t>
        <w:t xml:space="preserve"> </w:t>
        <w:t>admin@installserver:/srv/ftp/ubuntu-daily-live-server-20.04$ sudo mount -o loop ./</w:t>
        <w:t xml:space="preserve"> </w:t>
        <w:t>focal-live-server-s390x.iso ./iso</w:t>
      </w:r>
    </w:p>
    <w:p>
      <w:pPr>
        <w:pStyle w:val="Para 02"/>
      </w:pPr>
      <w:r>
        <w:t>[</w:t>
        <w:t>sudo</w:t>
        <w:t>]</w:t>
        <w:t xml:space="preserve"> </w:t>
        <w:t>password</w:t>
        <w:t xml:space="preserve"> </w:t>
      </w:r>
      <w:r>
        <w:rPr>
          <w:rStyle w:val="Text0"/>
        </w:rPr>
        <w:t>for</w:t>
      </w:r>
      <w:r>
        <w:t xml:space="preserve"> </w:t>
        <w:t>admin:</w:t>
      </w:r>
    </w:p>
    <w:p>
      <w:pPr>
        <w:pStyle w:val="Para 02"/>
      </w:pPr>
      <w:r>
        <w:t>mount: /home/user/iso-test/iso: WARNING: device write-protected, mounted read-only.</w:t>
        <w:t xml:space="preserve"> </w:t>
        <w:t>admin@installserver:/srv/ftp/ubuntu-daily-live-server-20.04$ ls -l</w:t>
        <w:t xml:space="preserve"> </w:t>
        <w:t>total</w:t>
        <w:t xml:space="preserve"> </w:t>
        <w:t>684530</w:t>
      </w:r>
    </w:p>
    <w:p>
      <w:pPr>
        <w:pStyle w:val="Para 02"/>
      </w:pPr>
      <w:r>
        <w:t>-rw-rw-r--</w:t>
        <w:t>1</w:t>
        <w:t xml:space="preserve"> </w:t>
        <w:t>user user</w:t>
        <w:t xml:space="preserve"> </w:t>
        <w:t>700952576</w:t>
        <w:t xml:space="preserve"> </w:t>
        <w:t>Jun</w:t>
        <w:t xml:space="preserve"> </w:t>
        <w:t>26 10</w:t>
        <w:t>:12 focal-live-server-s390x.iso</w:t>
      </w:r>
    </w:p>
    <w:p>
      <w:pPr>
        <w:pStyle w:val="Para 09"/>
      </w:pPr>
      <w:r>
        <w:t>(continues on next page)</w:t>
      </w:r>
    </w:p>
    <w:p>
      <w:bookmarkStart w:id="148" w:name="page_1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6"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110"/>
                    <a:stretch>
                      <a:fillRect/>
                    </a:stretch>
                  </pic:blipFill>
                  <pic:spPr>
                    <a:xfrm>
                      <a:off x="0" y="0"/>
                      <a:ext cx="914400" cy="266700"/>
                    </a:xfrm>
                    <a:prstGeom prst="rect">
                      <a:avLst/>
                    </a:prstGeom>
                  </pic:spPr>
                </pic:pic>
              </a:graphicData>
            </a:graphic>
          </wp:anchor>
        </w:drawing>
      </w:r>
      <w:bookmarkEnd w:id="148"/>
    </w:p>
    <w:p>
      <w:pPr>
        <w:pStyle w:val="Para 09"/>
      </w:pPr>
      <w:r>
        <w:t>(continued from previous page)</w:t>
      </w:r>
    </w:p>
    <w:p>
      <w:pPr>
        <w:pStyle w:val="Para 02"/>
      </w:pPr>
      <w:r>
        <w:t>dr-xr-xr-x</w:t>
        <w:t xml:space="preserve"> </w:t>
        <w:t>10</w:t>
        <w:t xml:space="preserve"> </w:t>
        <w:t>root</w:t>
        <w:t xml:space="preserve"> </w:t>
        <w:t>root</w:t>
        <w:t xml:space="preserve"> </w:t>
        <w:t>2048</w:t>
        <w:t xml:space="preserve"> </w:t>
        <w:t>Jun</w:t>
        <w:t xml:space="preserve"> </w:t>
        <w:t>26 10</w:t>
        <w:t>:12 iso</w:t>
        <w:t xml:space="preserve"> </w:t>
        <w:t>admin@installserver:/srv/ftp/ubuntu-daily-live-server-20.04$ rsync -rtvz ./iso/ .</w:t>
        <w:t xml:space="preserve"> </w:t>
        <w:t>&amp;&amp;</w:t>
        <w:t xml:space="preserve"> </w:t>
        <w:t>sync</w:t>
      </w:r>
    </w:p>
    <w:p>
      <w:pPr>
        <w:pStyle w:val="Para 02"/>
      </w:pPr>
      <w:r>
        <w:t>sending incremental file list</w:t>
      </w:r>
    </w:p>
    <w:p>
      <w:pPr>
        <w:pStyle w:val="Para 02"/>
      </w:pPr>
      <w:r>
        <w:t>skipping non-regular file</w:t>
        <w:t xml:space="preserve"> </w:t>
        <w:t>"ubuntu"</w:t>
        <w:t xml:space="preserve"> </w:t>
        <w:t>skipping non-regular file</w:t>
        <w:t xml:space="preserve"> </w:t>
        <w:t>"ubuntu-ports"</w:t>
        <w:t xml:space="preserve"> </w:t>
        <w:t>./</w:t>
      </w:r>
    </w:p>
    <w:p>
      <w:pPr>
        <w:pStyle w:val="Para 02"/>
      </w:pPr>
      <w:r>
        <w:t>README.diskdefines</w:t>
      </w:r>
    </w:p>
    <w:p>
      <w:pPr>
        <w:pStyle w:val="Para 02"/>
      </w:pPr>
      <w:r>
        <w:t>boot.catalog</w:t>
      </w:r>
    </w:p>
    <w:p>
      <w:pPr>
        <w:pStyle w:val="Para 02"/>
      </w:pPr>
      <w:r>
        <w:t>md5sum.txt</w:t>
      </w:r>
    </w:p>
    <w:p>
      <w:pPr>
        <w:pStyle w:val="Para 02"/>
      </w:pPr>
      <w:r>
        <w:t>ubuntu.ins</w:t>
      </w:r>
    </w:p>
    <w:p>
      <w:pPr>
        <w:pStyle w:val="Para 02"/>
      </w:pPr>
      <w:r>
        <w:t>skipping non-regular file</w:t>
        <w:t xml:space="preserve"> </w:t>
        <w:t>"dists/stable"</w:t>
        <w:t xml:space="preserve"> </w:t>
        <w:t>skipping non-regular file</w:t>
        <w:t xml:space="preserve"> </w:t>
        <w:t>"dists/unstable"</w:t>
        <w:t xml:space="preserve"> </w:t>
        <w:t>.disk/</w:t>
      </w:r>
    </w:p>
    <w:p>
      <w:pPr>
        <w:pStyle w:val="Para 02"/>
      </w:pPr>
      <w:r>
        <w:t>.disk/base_installable</w:t>
      </w:r>
    </w:p>
    <w:p>
      <w:pPr>
        <w:pStyle w:val="Para 02"/>
      </w:pPr>
      <w:r>
        <w:t>.disk/casper-uuid-generic</w:t>
      </w:r>
    </w:p>
    <w:p>
      <w:pPr>
        <w:pStyle w:val="Para 02"/>
      </w:pPr>
      <w:r>
        <w:t>.disk/cd_type</w:t>
      </w:r>
    </w:p>
    <w:p>
      <w:pPr>
        <w:pStyle w:val="Para 02"/>
      </w:pPr>
      <w:r>
        <w:t>.disk/info</w:t>
      </w:r>
    </w:p>
    <w:p>
      <w:pPr>
        <w:pStyle w:val="Para 02"/>
      </w:pPr>
      <w:r>
        <w:t>boot/</w:t>
      </w:r>
    </w:p>
    <w:p>
      <w:pPr>
        <w:pStyle w:val="Para 02"/>
      </w:pPr>
      <w:r>
        <w:t>boot/README.boot</w:t>
      </w:r>
    </w:p>
    <w:p>
      <w:pPr>
        <w:pStyle w:val="Para 02"/>
      </w:pPr>
      <w:r>
        <w:t>boot/initrd.off</w:t>
      </w:r>
    </w:p>
    <w:p>
      <w:pPr>
        <w:pStyle w:val="Para 02"/>
      </w:pPr>
      <w:r>
        <w:t>boot/initrd.siz</w:t>
      </w:r>
    </w:p>
    <w:p>
      <w:pPr>
        <w:pStyle w:val="Para 02"/>
      </w:pPr>
      <w:r>
        <w:t>boot/initrd.ubuntu</w:t>
      </w:r>
    </w:p>
    <w:p>
      <w:pPr>
        <w:pStyle w:val="Para 02"/>
      </w:pPr>
      <w:r>
        <w:t>boot/kernel.ubuntu</w:t>
      </w:r>
    </w:p>
    <w:p>
      <w:pPr>
        <w:pStyle w:val="Para 02"/>
      </w:pPr>
      <w:r>
        <w:t>boot/parmfile.ubuntu</w:t>
      </w:r>
    </w:p>
    <w:p>
      <w:pPr>
        <w:pStyle w:val="Para 02"/>
      </w:pPr>
      <w:r>
        <w:t>boot/ubuntu.exec</w:t>
      </w:r>
    </w:p>
    <w:p>
      <w:pPr>
        <w:pStyle w:val="Para 02"/>
      </w:pPr>
      <w:r>
        <w:t>boot/ubuntu.ikr</w:t>
      </w:r>
    </w:p>
    <w:p>
      <w:pPr>
        <w:pStyle w:val="Para 02"/>
      </w:pPr>
      <w:r>
        <w:t>boot/ubuntu.ins</w:t>
      </w:r>
    </w:p>
    <w:p>
      <w:pPr>
        <w:pStyle w:val="Para 02"/>
      </w:pPr>
      <w:r>
        <w:t>casper/</w:t>
      </w:r>
    </w:p>
    <w:p>
      <w:pPr>
        <w:pStyle w:val="Para 06"/>
      </w:pPr>
      <w:r>
        <w:t>...</w:t>
      </w:r>
    </w:p>
    <w:p>
      <w:pPr>
        <w:pStyle w:val="Para 02"/>
      </w:pPr>
      <w:r>
        <w:t>sent</w:t>
        <w:t xml:space="preserve"> </w:t>
        <w:t>681</w:t>
        <w:t>,509,758 bytes</w:t>
        <w:t xml:space="preserve"> </w:t>
        <w:t>received</w:t>
        <w:t xml:space="preserve"> </w:t>
        <w:t>1</w:t>
        <w:t>,857 bytes</w:t>
        <w:t xml:space="preserve"> </w:t>
        <w:t>22</w:t>
        <w:t>,344,643.11 bytes/sec</w:t>
        <w:t xml:space="preserve"> </w:t>
        <w:t>total size is</w:t>
        <w:t xml:space="preserve"> </w:t>
        <w:t>700</w:t>
        <w:t>,317,941</w:t>
        <w:t xml:space="preserve"> </w:t>
        <w:t>speedup is</w:t>
        <w:t xml:space="preserve"> </w:t>
        <w:t>1</w:t>
        <w:t>.03</w:t>
        <w:t xml:space="preserve"> </w:t>
        <w:t>admin@installserver:/srv/ftp/ubuntu-daily-live-server-20.04$ ls -l</w:t>
        <w:t xml:space="preserve"> </w:t>
        <w:t>total</w:t>
        <w:t xml:space="preserve"> </w:t>
        <w:t>684578</w:t>
      </w:r>
    </w:p>
    <w:p>
      <w:pPr>
        <w:pStyle w:val="Para 02"/>
      </w:pPr>
      <w:r>
        <w:t>dr-xr-xr-x</w:t>
        <w:t xml:space="preserve"> </w:t>
        <w:t>2</w:t>
        <w:t xml:space="preserve"> </w:t>
        <w:t>user user</w:t>
        <w:t xml:space="preserve"> </w:t>
        <w:t>4096</w:t>
        <w:t xml:space="preserve"> </w:t>
        <w:t>Jun</w:t>
        <w:t xml:space="preserve"> </w:t>
        <w:t>26 10</w:t>
        <w:t>:12 boot</w:t>
        <w:t>-r--r--r--</w:t>
        <w:t>1</w:t>
        <w:t xml:space="preserve"> </w:t>
        <w:t>user user</w:t>
        <w:t xml:space="preserve"> </w:t>
        <w:t>2048</w:t>
        <w:t xml:space="preserve"> </w:t>
        <w:t>Jun</w:t>
        <w:t xml:space="preserve"> </w:t>
        <w:t>26 10</w:t>
        <w:t>:12 boot.catalog</w:t>
        <w:t xml:space="preserve"> </w:t>
        <w:t>dr-xr-xr-x</w:t>
        <w:t xml:space="preserve"> </w:t>
        <w:t>3</w:t>
        <w:t xml:space="preserve"> </w:t>
        <w:t>user user</w:t>
        <w:t xml:space="preserve"> </w:t>
        <w:t>4096</w:t>
        <w:t xml:space="preserve"> </w:t>
        <w:t>Jun</w:t>
        <w:t xml:space="preserve"> </w:t>
        <w:t>26 10</w:t>
        <w:t>:12 casper</w:t>
        <w:t xml:space="preserve"> </w:t>
        <w:t>dr-xr-xr-x</w:t>
        <w:t xml:space="preserve"> </w:t>
        <w:t>3</w:t>
        <w:t xml:space="preserve"> </w:t>
        <w:t>user user</w:t>
        <w:t xml:space="preserve"> </w:t>
        <w:t>4096</w:t>
        <w:t xml:space="preserve"> </w:t>
        <w:t>Jun</w:t>
        <w:t xml:space="preserve"> </w:t>
        <w:t>26 10</w:t>
        <w:t>:11 dists</w:t>
        <w:t>-rw-rw-r--</w:t>
        <w:t>1</w:t>
        <w:t xml:space="preserve"> </w:t>
        <w:t>user user</w:t>
        <w:t xml:space="preserve"> </w:t>
        <w:t>700952576</w:t>
        <w:t xml:space="preserve"> </w:t>
        <w:t>Jun</w:t>
        <w:t xml:space="preserve"> </w:t>
        <w:t>26 10</w:t>
        <w:t>:12 focal-live-server-s390x.iso</w:t>
        <w:t xml:space="preserve"> </w:t>
        <w:t>dr-xr-xr-x</w:t>
        <w:t xml:space="preserve"> </w:t>
        <w:t>2</w:t>
        <w:t xml:space="preserve"> </w:t>
        <w:t>user user</w:t>
        <w:t xml:space="preserve"> </w:t>
        <w:t>4096</w:t>
        <w:t xml:space="preserve"> </w:t>
        <w:t>Jun</w:t>
        <w:t xml:space="preserve"> </w:t>
        <w:t>26 10</w:t>
        <w:t>:11 install</w:t>
        <w:t xml:space="preserve"> </w:t>
        <w:t>dr-xr-xr-x</w:t>
        <w:t xml:space="preserve"> </w:t>
        <w:t>10</w:t>
        <w:t xml:space="preserve"> </w:t>
        <w:t>root</w:t>
        <w:t xml:space="preserve"> </w:t>
        <w:t>root</w:t>
        <w:t xml:space="preserve"> </w:t>
        <w:t>2048</w:t>
        <w:t xml:space="preserve"> </w:t>
        <w:t>Jun</w:t>
        <w:t xml:space="preserve"> </w:t>
        <w:t>26 10</w:t>
        <w:t>:12 iso</w:t>
        <w:t>-r--r--r--</w:t>
        <w:t>1</w:t>
        <w:t xml:space="preserve"> </w:t>
        <w:t>user user</w:t>
        <w:t xml:space="preserve"> </w:t>
        <w:t>4944</w:t>
        <w:t xml:space="preserve"> </w:t>
        <w:t>Jun</w:t>
        <w:t xml:space="preserve"> </w:t>
        <w:t>26 10</w:t>
        <w:t>:12 md5sum.txt</w:t>
        <w:t xml:space="preserve"> </w:t>
        <w:t>dr-xr-xr-x</w:t>
        <w:t xml:space="preserve"> </w:t>
        <w:t>2</w:t>
        <w:t xml:space="preserve"> </w:t>
        <w:t>user user</w:t>
        <w:t xml:space="preserve"> </w:t>
        <w:t>4096</w:t>
        <w:t xml:space="preserve"> </w:t>
        <w:t>Jun</w:t>
        <w:t xml:space="preserve"> </w:t>
        <w:t>26 10</w:t>
        <w:t>:11 pics</w:t>
        <w:t xml:space="preserve"> </w:t>
        <w:t>dr-xr-xr-x</w:t>
        <w:t xml:space="preserve"> </w:t>
        <w:t>3</w:t>
        <w:t xml:space="preserve"> </w:t>
        <w:t>user user</w:t>
        <w:t xml:space="preserve"> </w:t>
        <w:t>4096</w:t>
        <w:t xml:space="preserve"> </w:t>
        <w:t>Jun</w:t>
        <w:t xml:space="preserve"> </w:t>
        <w:t>26 10</w:t>
        <w:t>:11 pool</w:t>
        <w:t xml:space="preserve"> </w:t>
        <w:t>dr-xr-xr-x</w:t>
        <w:t xml:space="preserve"> </w:t>
        <w:t>2</w:t>
        <w:t xml:space="preserve"> </w:t>
        <w:t>user user</w:t>
        <w:t xml:space="preserve"> </w:t>
        <w:t>4096</w:t>
        <w:t xml:space="preserve"> </w:t>
        <w:t>Jun</w:t>
        <w:t xml:space="preserve"> </w:t>
        <w:t>26 10</w:t>
        <w:t>:11 preseed</w:t>
        <w:t>-r--r--r--</w:t>
        <w:t>1</w:t>
        <w:t xml:space="preserve"> </w:t>
        <w:t>user user</w:t>
        <w:t xml:space="preserve"> </w:t>
        <w:t>236</w:t>
        <w:t xml:space="preserve"> </w:t>
        <w:t>Jun</w:t>
        <w:t xml:space="preserve"> </w:t>
        <w:t>26 10</w:t>
        <w:t>:11 README.diskdefines</w:t>
        <w:t>-r--r--r--</w:t>
        <w:t>1</w:t>
        <w:t xml:space="preserve"> </w:t>
        <w:t>user user</w:t>
        <w:t xml:space="preserve"> </w:t>
        <w:t>185</w:t>
        <w:t xml:space="preserve"> </w:t>
        <w:t>Jun</w:t>
        <w:t xml:space="preserve"> </w:t>
        <w:t>26 10</w:t>
        <w:t>:12 ubuntu.ins</w:t>
      </w:r>
    </w:p>
    <w:p>
      <w:pPr>
        <w:pStyle w:val="Para 17"/>
      </w:pPr>
      <w:r>
        <w:t/>
      </w:r>
    </w:p>
    <w:p>
      <w:pPr>
        <w:pStyle w:val="Para 04"/>
      </w:pPr>
      <w:r>
        <w:t>• Now create .ins and parmfiles dedicated to the LPAR that will be installed (here zlinl-</w:t>
      </w:r>
    </w:p>
    <w:p>
      <w:pPr>
        <w:pStyle w:val="Para 02"/>
      </w:pPr>
      <w:r>
        <w:t>par ), based on the default .ins and parmfiles that are shipped with the ISO image:</w:t>
      </w:r>
    </w:p>
    <w:p>
      <w:pPr>
        <w:pStyle w:val="Para 02"/>
      </w:pPr>
      <w:r>
        <w:t>admin@installserver:/srv/ftp/ubuntu-daily-live-server-20.04$ chmod -R +rw ./boot</w:t>
        <w:t xml:space="preserve"> </w:t>
        <w:t>admin@installserver:/srv/ftp/ubuntu-daily-live-server-20.04$ cp ./boot/ubuntu.ins ./</w:t>
        <w:t xml:space="preserve"> </w:t>
        <w:t>boot/ubuntu_zlinlpar.ins</w:t>
      </w:r>
    </w:p>
    <w:p>
      <w:pPr>
        <w:pStyle w:val="Para 02"/>
      </w:pPr>
      <w:r>
        <w:t>admin@installserver:/srv/ftp/ubuntu-daily-live-server-20.04$ cp ./boot/parmfile.</w:t>
        <w:t xml:space="preserve"> </w:t>
        <w:t>ubuntu ./boot/parmfile.zlinlpar</w:t>
      </w:r>
    </w:p>
    <w:p>
      <w:pPr>
        <w:pStyle w:val="Para 09"/>
      </w:pPr>
      <w:r>
        <w:t>(continues on next page)</w:t>
      </w:r>
    </w:p>
    <w:p>
      <w:bookmarkStart w:id="149" w:name="page_1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7"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111"/>
                    <a:stretch>
                      <a:fillRect/>
                    </a:stretch>
                  </pic:blipFill>
                  <pic:spPr>
                    <a:xfrm>
                      <a:off x="0" y="0"/>
                      <a:ext cx="914400" cy="266700"/>
                    </a:xfrm>
                    <a:prstGeom prst="rect">
                      <a:avLst/>
                    </a:prstGeom>
                  </pic:spPr>
                </pic:pic>
              </a:graphicData>
            </a:graphic>
          </wp:anchor>
        </w:drawing>
      </w:r>
      <w:bookmarkEnd w:id="149"/>
    </w:p>
    <w:p>
      <w:pPr>
        <w:pStyle w:val="Para 09"/>
      </w:pPr>
      <w:r>
        <w:t>(continued from previous page)</w:t>
      </w:r>
    </w:p>
    <w:p>
      <w:pPr>
        <w:pStyle w:val="Para 02"/>
      </w:pPr>
      <w:r>
        <w:t>admin@installserver:/srv/ftp/ubuntu-daily-live-server-20.04$</w:t>
      </w:r>
    </w:p>
    <w:p>
      <w:pPr>
        <w:pStyle w:val="Para 17"/>
      </w:pPr>
      <w:r>
        <w:t/>
      </w:r>
    </w:p>
    <w:p>
      <w:pPr>
        <w:pStyle w:val="Para 02"/>
      </w:pPr>
      <w:r>
        <w:t>admin@installserver:/srv/ftp/ubuntu-daily-live-server-20.04$ vi ./boot/ubuntu_</w:t>
        <w:t xml:space="preserve"> </w:t>
        <w:t>zlinlpar.ins</w:t>
      </w:r>
    </w:p>
    <w:p>
      <w:pPr>
        <w:pStyle w:val="Para 02"/>
      </w:pPr>
      <w:r>
        <w:t>admin@installserver:/srv/ftp/ubuntu-daily-live-server-20.04$ cat ./boot/ubuntu_</w:t>
        <w:t xml:space="preserve"> </w:t>
        <w:t>zlinlpar.ins</w:t>
      </w:r>
    </w:p>
    <w:p>
      <w:pPr>
        <w:pStyle w:val="Para 02"/>
      </w:pPr>
      <w:r>
        <w:t>* Ubuntu</w:t>
        <w:t xml:space="preserve"> </w:t>
      </w:r>
      <w:r>
        <w:rPr>
          <w:rStyle w:val="Text0"/>
        </w:rPr>
        <w:t>for</w:t>
      </w:r>
      <w:r>
        <w:t xml:space="preserve"> </w:t>
        <w:t>z Series</w:t>
        <w:t xml:space="preserve"> </w:t>
        <w:t>(</w:t>
        <w:t>default kernel</w:t>
        <w:t>)</w:t>
        <w:t xml:space="preserve"> </w:t>
        <w:t>kernel.ubuntu 0x00000000</w:t>
      </w:r>
    </w:p>
    <w:p>
      <w:pPr>
        <w:pStyle w:val="Para 02"/>
      </w:pPr>
      <w:r>
        <w:t>initrd.off 0x0001040c</w:t>
      </w:r>
    </w:p>
    <w:p>
      <w:pPr>
        <w:pStyle w:val="Para 02"/>
      </w:pPr>
      <w:r>
        <w:t>initrd.siz 0x00010414</w:t>
      </w:r>
    </w:p>
    <w:p>
      <w:pPr>
        <w:pStyle w:val="Para 02"/>
      </w:pPr>
      <w:r>
        <w:t>parmfile.zlinlpar 0x00010480</w:t>
      </w:r>
    </w:p>
    <w:p>
      <w:pPr>
        <w:pStyle w:val="Para 02"/>
      </w:pPr>
      <w:r>
        <w:t>initrd.ubuntu 0x01000000</w:t>
      </w:r>
    </w:p>
    <w:p>
      <w:pPr>
        <w:pStyle w:val="Para 02"/>
      </w:pPr>
      <w:r>
        <w:t>admin@installserver:~$</w:t>
      </w:r>
    </w:p>
    <w:p>
      <w:pPr>
        <w:pStyle w:val="Para 17"/>
      </w:pPr>
      <w:r>
        <w:t/>
      </w:r>
    </w:p>
    <w:p>
      <w:pPr>
        <w:pStyle w:val="Para 02"/>
      </w:pPr>
      <w:r>
        <w:t>admin@installserver:/srv/ftp/ubuntu-daily-live-server-20.04$ vi ./boot/parmfile.</w:t>
        <w:t xml:space="preserve"> </w:t>
        <w:t>zlinlpar</w:t>
      </w:r>
    </w:p>
    <w:p>
      <w:pPr>
        <w:pStyle w:val="Para 02"/>
      </w:pPr>
      <w:r>
        <w:t>admin@installserver:/srv/ftp/ubuntu-daily-live-server-20.04$ cat ./boot/parmfile.</w:t>
        <w:t xml:space="preserve"> </w:t>
        <w:t>zlinlpar</w:t>
      </w:r>
    </w:p>
    <w:p>
      <w:pPr>
        <w:pStyle w:val="Para 17"/>
      </w:pPr>
      <w:r>
        <w:t/>
      </w:r>
    </w:p>
    <w:p>
      <w:pPr>
        <w:pStyle w:val="Para 02"/>
      </w:pPr>
      <w:r>
        <w:t>ip</w:t>
        <w:t>=</w:t>
        <w:t>10</w:t>
        <w:t>.11.12.42::10.11.12.1:255.255.255.0:zlinlpar:encc000.4711:none:10.11.12.1</w:t>
        <w:t xml:space="preserve"> </w:t>
        <w:t>vlan</w:t>
        <w:t>=</w:t>
        <w:t>encc000.4711:encc000</w:t>
        <w:t xml:space="preserve"> </w:t>
        <w:t>url</w:t>
        <w:t>=</w:t>
        <w:t>http://installserver.local:80/ubuntu-daily-live-server-</w:t>
        <w:t>20.04/focal-live-server-s390x.iso autoinstall</w:t>
        <w:t xml:space="preserve"> </w:t>
        <w:t>ds</w:t>
        <w:t>=</w:t>
        <w:t>nocloud-net;</w:t>
        <w:t>s</w:t>
        <w:t>=</w:t>
        <w:t>http://installserver.</w:t>
        <w:t xml:space="preserve"> </w:t>
        <w:t>local:80/autoinstall/zlinlpar/ --- quiet</w:t>
      </w:r>
    </w:p>
    <w:p>
      <w:pPr>
        <w:pStyle w:val="Para 17"/>
      </w:pPr>
      <w:r>
        <w:t/>
      </w:r>
    </w:p>
    <w:p>
      <w:pPr>
        <w:pStyle w:val="Para 04"/>
      </w:pPr>
      <w:r>
        <w:t>• Now make sure an FTP server is running in the installserver with /srv/ftp as ftp-</w:t>
      </w:r>
    </w:p>
    <w:p>
      <w:pPr>
        <w:pStyle w:val="Para 02"/>
      </w:pPr>
      <w:r>
        <w:t>server root (as used in this example).</w:t>
      </w:r>
    </w:p>
    <w:p>
      <w:pPr>
        <w:pStyle w:val="Para 04"/>
      </w:pPr>
      <w:r>
        <w:t xml:space="preserve">• Now prepare an </w:t>
      </w:r>
      <w:r>
        <w:rPr>
          <w:rStyle w:val="Text3"/>
        </w:rPr>
        <w:t>autoinstall</w:t>
      </w:r>
      <w:r>
        <w:t xml:space="preserve"> (HTTP) server, which hosts the configuration data for the</w:t>
      </w:r>
    </w:p>
    <w:p>
      <w:pPr>
        <w:pStyle w:val="Para 02"/>
      </w:pPr>
      <w:r>
        <w:t>non-interactive installation.</w:t>
      </w:r>
    </w:p>
    <w:p>
      <w:pPr>
        <w:pStyle w:val="Para 02"/>
      </w:pPr>
      <w:r>
        <w:t>admin@installserver:/srv/ftp/ubuntu-daily-live-server-20.04$ mkdir -p /srv/www/</w:t>
        <w:t xml:space="preserve"> </w:t>
        <w:t>autoinstall/zlinlpar</w:t>
      </w:r>
    </w:p>
    <w:p>
      <w:pPr>
        <w:pStyle w:val="Para 02"/>
      </w:pPr>
      <w:r>
        <w:t>admin@installserver:/srv/ftp/ubuntu-daily-live-server-20.04$</w:t>
        <w:t xml:space="preserve"> </w:t>
        <w:t>cd</w:t>
        <w:t xml:space="preserve"> </w:t>
        <w:t>/srv/www/autoinstall/</w:t>
        <w:t xml:space="preserve"> </w:t>
        <w:t>zlinlpar</w:t>
      </w:r>
    </w:p>
    <w:p>
      <w:pPr>
        <w:pStyle w:val="Para 02"/>
      </w:pPr>
      <w:r>
        <w:t>admin@installserver:/srv/www/autoinstall/zlinlpar$</w:t>
      </w:r>
    </w:p>
    <w:p>
      <w:pPr>
        <w:pStyle w:val="Para 02"/>
      </w:pPr>
      <w:r>
        <w:t>admin@installserver:/srv/www/autoinstall/zlinlpar$</w:t>
        <w:t xml:space="preserve"> </w:t>
        <w:t>echo</w:t>
        <w:t xml:space="preserve"> </w:t>
        <w:t>"instance-id:</w:t>
        <w:t xml:space="preserve"> </w:t>
      </w:r>
      <w:r>
        <w:rPr>
          <w:rStyle w:val="Text0"/>
        </w:rPr>
        <w:t>$(</w:t>
      </w:r>
      <w:r>
        <w:t>uuidgen</w:t>
        <w:t xml:space="preserve"> </w:t>
        <w:t>||</w:t>
        <w:t xml:space="preserve"> </w:t>
        <w:t>openssl rand -base64</w:t>
        <w:t xml:space="preserve"> </w:t>
        <w:t>8</w:t>
      </w:r>
      <w:r>
        <w:rPr>
          <w:rStyle w:val="Text0"/>
        </w:rPr>
        <w:t>)</w:t>
      </w:r>
      <w:r>
        <w:t>"</w:t>
        <w:t xml:space="preserve"> </w:t>
        <w:t>&gt; meta-data</w:t>
        <w:t xml:space="preserve"> </w:t>
        <w:t>admin@installserver:/srv/www/autoinstall/zlinlpar$ cat meta-data</w:t>
        <w:t xml:space="preserve"> </w:t>
        <w:t>instance-id: 2c2215fb-6a38-417f-b72f-376b1cc44f01</w:t>
      </w:r>
    </w:p>
    <w:p>
      <w:pPr>
        <w:pStyle w:val="Para 02"/>
      </w:pPr>
      <w:r>
        <w:t>admin@installserver:/srv/www/autoinstall/zlinlpar$</w:t>
      </w:r>
    </w:p>
    <w:p>
      <w:pPr>
        <w:pStyle w:val="Para 17"/>
      </w:pPr>
      <w:r>
        <w:t/>
      </w:r>
    </w:p>
    <w:p>
      <w:pPr>
        <w:pStyle w:val="Para 02"/>
      </w:pPr>
      <w:r>
        <w:t>admin@installserver:/srv/www/autoinstall/zlinlpar$ vi user-data</w:t>
        <w:t xml:space="preserve"> </w:t>
        <w:t>admin@installserver:/srv/www/autoinstall/zlinlpar$ cat user-data</w:t>
        <w:t xml:space="preserve"> </w:t>
      </w:r>
      <w:r>
        <w:rPr>
          <w:rStyle w:val="Text3"/>
        </w:rPr>
        <w:t>#cloud-config</w:t>
      </w:r>
    </w:p>
    <w:p>
      <w:pPr>
        <w:pStyle w:val="Para 02"/>
      </w:pPr>
      <w:r>
        <w:t>autoinstall:</w:t>
      </w:r>
    </w:p>
    <w:p>
      <w:pPr>
        <w:pStyle w:val="Para 06"/>
      </w:pPr>
      <w:r>
        <w:t>version:</w:t>
        <w:t xml:space="preserve"> </w:t>
        <w:t>1</w:t>
      </w:r>
    </w:p>
    <w:p>
      <w:pPr>
        <w:pStyle w:val="Para 06"/>
      </w:pPr>
      <w:r>
        <w:t>refresh-installer:</w:t>
      </w:r>
    </w:p>
    <w:p>
      <w:pPr>
        <w:pStyle w:val="Para 11"/>
      </w:pPr>
      <w:r>
        <w:t>update: yes</w:t>
      </w:r>
    </w:p>
    <w:p>
      <w:pPr>
        <w:pStyle w:val="Para 06"/>
      </w:pPr>
      <w:r>
        <w:t>reporting:</w:t>
      </w:r>
    </w:p>
    <w:p>
      <w:pPr>
        <w:pStyle w:val="Para 11"/>
      </w:pPr>
      <w:r>
        <w:t>builtin:</w:t>
      </w:r>
    </w:p>
    <w:p>
      <w:pPr>
        <w:pStyle w:val="Para 12"/>
      </w:pPr>
      <w:r>
        <w:t>type: print</w:t>
      </w:r>
    </w:p>
    <w:p>
      <w:pPr>
        <w:pStyle w:val="Para 06"/>
      </w:pPr>
      <w:r>
        <w:t>apt:</w:t>
      </w:r>
    </w:p>
    <w:p>
      <w:pPr>
        <w:pStyle w:val="Para 11"/>
      </w:pPr>
      <w:r>
        <w:t>preserve_sources_list:</w:t>
        <w:t xml:space="preserve"> </w:t>
        <w:t>false</w:t>
      </w:r>
    </w:p>
    <w:p>
      <w:pPr>
        <w:pStyle w:val="Para 11"/>
      </w:pPr>
      <w:r>
        <w:t>primary:</w:t>
      </w:r>
    </w:p>
    <w:p>
      <w:pPr>
        <w:pStyle w:val="Para 09"/>
      </w:pPr>
      <w:r>
        <w:t>(continues on next page)</w:t>
      </w:r>
    </w:p>
    <w:p>
      <w:bookmarkStart w:id="150" w:name="page_1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8" name="index-106_1.png" descr="index-106_1.png"/>
            <wp:cNvGraphicFramePr>
              <a:graphicFrameLocks noChangeAspect="1"/>
            </wp:cNvGraphicFramePr>
            <a:graphic>
              <a:graphicData uri="http://schemas.openxmlformats.org/drawingml/2006/picture">
                <pic:pic>
                  <pic:nvPicPr>
                    <pic:cNvPr id="0" name="index-106_1.png" descr="index-106_1.png"/>
                    <pic:cNvPicPr/>
                  </pic:nvPicPr>
                  <pic:blipFill>
                    <a:blip r:embed="rId112"/>
                    <a:stretch>
                      <a:fillRect/>
                    </a:stretch>
                  </pic:blipFill>
                  <pic:spPr>
                    <a:xfrm>
                      <a:off x="0" y="0"/>
                      <a:ext cx="914400" cy="266700"/>
                    </a:xfrm>
                    <a:prstGeom prst="rect">
                      <a:avLst/>
                    </a:prstGeom>
                  </pic:spPr>
                </pic:pic>
              </a:graphicData>
            </a:graphic>
          </wp:anchor>
        </w:drawing>
      </w:r>
      <w:bookmarkEnd w:id="150"/>
    </w:p>
    <w:p>
      <w:pPr>
        <w:pStyle w:val="Para 09"/>
      </w:pPr>
      <w:r>
        <w:t>(continued from previous page)</w:t>
      </w:r>
    </w:p>
    <w:p>
      <w:pPr>
        <w:pStyle w:val="Para 11"/>
      </w:pPr>
      <w:r>
        <w:t>- arches:</w:t>
        <w:t xml:space="preserve"> </w:t>
        <w:t>[</w:t>
        <w:t>amd64, i386</w:t>
        <w:t>]</w:t>
      </w:r>
    </w:p>
    <w:p>
      <w:pPr>
        <w:pStyle w:val="Para 12"/>
      </w:pPr>
      <w:r>
        <w:t>uri: http://archive.ubuntu.com/ubuntu</w:t>
      </w:r>
    </w:p>
    <w:p>
      <w:pPr>
        <w:pStyle w:val="Para 11"/>
      </w:pPr>
      <w:r>
        <w:t>- arches:</w:t>
        <w:t xml:space="preserve"> </w:t>
        <w:t>[</w:t>
        <w:t>default</w:t>
        <w:t>]</w:t>
      </w:r>
    </w:p>
    <w:p>
      <w:pPr>
        <w:pStyle w:val="Para 12"/>
      </w:pPr>
      <w:r>
        <w:t>uri: http://ports.ubuntu.com/ubuntu-ports</w:t>
      </w:r>
    </w:p>
    <w:p>
      <w:pPr>
        <w:pStyle w:val="Para 06"/>
      </w:pPr>
      <w:r>
        <w:t>keyboard:</w:t>
      </w:r>
    </w:p>
    <w:p>
      <w:pPr>
        <w:pStyle w:val="Para 11"/>
      </w:pPr>
      <w:r>
        <w:t>layout: en</w:t>
      </w:r>
    </w:p>
    <w:p>
      <w:pPr>
        <w:pStyle w:val="Para 11"/>
      </w:pPr>
      <w:r>
        <w:t>variant: us</w:t>
      </w:r>
    </w:p>
    <w:p>
      <w:pPr>
        <w:pStyle w:val="Para 06"/>
      </w:pPr>
      <w:r>
        <w:t>locale: en_US</w:t>
      </w:r>
    </w:p>
    <w:p>
      <w:pPr>
        <w:pStyle w:val="Para 06"/>
      </w:pPr>
      <w:r>
        <w:t>identity:</w:t>
      </w:r>
    </w:p>
    <w:p>
      <w:pPr>
        <w:pStyle w:val="Para 11"/>
      </w:pPr>
      <w:r>
        <w:t>hostname: zlinlpar</w:t>
      </w:r>
    </w:p>
    <w:p>
      <w:pPr>
        <w:pStyle w:val="Para 11"/>
      </w:pPr>
      <w:r>
        <w:t>password:</w:t>
      </w:r>
    </w:p>
    <w:p>
      <w:pPr>
        <w:pStyle w:val="Para 02"/>
      </w:pPr>
      <w:r>
        <w:t>"</w:t>
        <w:t>$6$ebJ1f8wxED22bTL4F46P0</w:t>
        <w:t>"</w:t>
      </w:r>
    </w:p>
    <w:p>
      <w:pPr>
        <w:pStyle w:val="Para 12"/>
      </w:pPr>
      <w:r>
        <w:t>username: ubuntu</w:t>
      </w:r>
    </w:p>
    <w:p>
      <w:pPr>
        <w:pStyle w:val="Para 11"/>
      </w:pPr>
      <w:r>
        <w:t>user-data:</w:t>
      </w:r>
    </w:p>
    <w:p>
      <w:pPr>
        <w:pStyle w:val="Para 12"/>
      </w:pPr>
      <w:r>
        <w:t>timezone: America/Boston</w:t>
      </w:r>
    </w:p>
    <w:p>
      <w:pPr>
        <w:pStyle w:val="Para 12"/>
      </w:pPr>
      <w:r>
        <w:t>users:</w:t>
      </w:r>
    </w:p>
    <w:p>
      <w:pPr>
        <w:pStyle w:val="Para 12"/>
      </w:pPr>
      <w:r>
        <w:t>- name: ubuntu</w:t>
      </w:r>
    </w:p>
    <w:p>
      <w:pPr>
        <w:pStyle w:val="Para 15"/>
      </w:pPr>
      <w:r>
        <w:t>password:</w:t>
      </w:r>
    </w:p>
    <w:p>
      <w:pPr>
        <w:pStyle w:val="Para 02"/>
      </w:pPr>
      <w:r>
        <w:t>"</w:t>
        <w:t>$6$KwuxED22bTL4F46P0</w:t>
        <w:t>"</w:t>
      </w:r>
    </w:p>
    <w:p>
      <w:pPr>
        <w:pStyle w:val="Para 15"/>
      </w:pPr>
      <w:r>
        <w:t>lock_passwd:</w:t>
        <w:t xml:space="preserve"> </w:t>
        <w:t>false</w:t>
      </w:r>
    </w:p>
    <w:p>
      <w:pPr>
        <w:pStyle w:val="Para 11"/>
      </w:pPr>
      <w:r>
        <w:t>early-commands:</w:t>
      </w:r>
    </w:p>
    <w:p>
      <w:pPr>
        <w:pStyle w:val="Para 12"/>
      </w:pPr>
      <w:r>
        <w:t>- touch /tmp/lets_activate_the_s390x_devices</w:t>
      </w:r>
    </w:p>
    <w:p>
      <w:pPr>
        <w:pStyle w:val="Para 12"/>
      </w:pPr>
      <w:r>
        <w:t>- chzdev zfcp -e e000</w:t>
      </w:r>
    </w:p>
    <w:p>
      <w:pPr>
        <w:pStyle w:val="Para 12"/>
      </w:pPr>
      <w:r>
        <w:t>- chzdev zfcp -e e100</w:t>
      </w:r>
    </w:p>
    <w:p>
      <w:pPr>
        <w:pStyle w:val="Para 12"/>
      </w:pPr>
      <w:r>
        <w:t>- chzdev zfcp-lun -e --online</w:t>
      </w:r>
    </w:p>
    <w:p>
      <w:pPr>
        <w:pStyle w:val="Para 12"/>
      </w:pPr>
      <w:r>
        <w:t>- touch /tmp/s390x_devices_activation_done</w:t>
      </w:r>
    </w:p>
    <w:p>
      <w:pPr>
        <w:pStyle w:val="Para 11"/>
      </w:pPr>
      <w:r>
        <w:t>network:</w:t>
      </w:r>
    </w:p>
    <w:p>
      <w:pPr>
        <w:pStyle w:val="Para 12"/>
      </w:pPr>
      <w:r>
        <w:t>ethernets:</w:t>
      </w:r>
    </w:p>
    <w:p>
      <w:pPr>
        <w:pStyle w:val="Para 12"/>
      </w:pPr>
      <w:r>
        <w:t>encc000:</w:t>
        <w:t xml:space="preserve"> </w:t>
        <w:t>{}</w:t>
      </w:r>
    </w:p>
    <w:p>
      <w:pPr>
        <w:pStyle w:val="Para 12"/>
      </w:pPr>
      <w:r>
        <w:t>version:</w:t>
        <w:t xml:space="preserve"> </w:t>
        <w:t>2</w:t>
      </w:r>
    </w:p>
    <w:p>
      <w:pPr>
        <w:pStyle w:val="Para 12"/>
      </w:pPr>
      <w:r>
        <w:t>vlans:</w:t>
      </w:r>
    </w:p>
    <w:p>
      <w:pPr>
        <w:pStyle w:val="Para 12"/>
      </w:pPr>
      <w:r>
        <w:t>encc000.4711:</w:t>
      </w:r>
    </w:p>
    <w:p>
      <w:pPr>
        <w:pStyle w:val="Para 15"/>
      </w:pPr>
      <w:r>
        <w:t>addresses:</w:t>
        <w:t xml:space="preserve"> </w:t>
        <w:t>[</w:t>
        <w:t>10</w:t>
        <w:t>.11.12.42/24</w:t>
        <w:t>]</w:t>
        <w:t xml:space="preserve"> </w:t>
        <w:t>gateway4:</w:t>
        <w:t xml:space="preserve"> </w:t>
        <w:t>10</w:t>
        <w:t>.11.12.1</w:t>
      </w:r>
    </w:p>
    <w:p>
      <w:pPr>
        <w:pStyle w:val="Para 15"/>
      </w:pPr>
      <w:r>
        <w:t>id:</w:t>
        <w:t xml:space="preserve"> </w:t>
        <w:t>4711</w:t>
      </w:r>
    </w:p>
    <w:p>
      <w:pPr>
        <w:pStyle w:val="Para 15"/>
      </w:pPr>
      <w:r>
        <w:t>link: encc000</w:t>
      </w:r>
    </w:p>
    <w:p>
      <w:pPr>
        <w:pStyle w:val="Para 15"/>
      </w:pPr>
      <w:r>
        <w:t>nameservers:</w:t>
      </w:r>
    </w:p>
    <w:p>
      <w:pPr>
        <w:pStyle w:val="Para 25"/>
      </w:pPr>
      <w:r>
        <w:t>addresses:</w:t>
        <w:t xml:space="preserve"> </w:t>
        <w:t>[</w:t>
        <w:t>10</w:t>
        <w:t>.11.12.1</w:t>
        <w:t>]</w:t>
      </w:r>
    </w:p>
    <w:p>
      <w:pPr>
        <w:pStyle w:val="Para 11"/>
      </w:pPr>
      <w:r>
        <w:t>ssh:</w:t>
      </w:r>
    </w:p>
    <w:p>
      <w:pPr>
        <w:pStyle w:val="Para 12"/>
      </w:pPr>
      <w:r>
        <w:t>install-server:</w:t>
        <w:t xml:space="preserve"> </w:t>
        <w:t>true</w:t>
      </w:r>
    </w:p>
    <w:p>
      <w:pPr>
        <w:pStyle w:val="Para 12"/>
      </w:pPr>
      <w:r>
        <w:t>allow-pw:</w:t>
        <w:t xml:space="preserve"> </w:t>
        <w:t>true</w:t>
      </w:r>
    </w:p>
    <w:p>
      <w:pPr>
        <w:pStyle w:val="Para 12"/>
      </w:pPr>
      <w:r>
        <w:t>authorized-keys:</w:t>
        <w:t xml:space="preserve"> </w:t>
        <w:t>[</w:t>
        <w:t>'ssh-rsa</w:t>
        <w:t xml:space="preserve"> </w:t>
        <w:t>meQwtZ user@workstation # ssh-import-id lp:user'</w:t>
        <w:t>]</w:t>
      </w:r>
    </w:p>
    <w:p>
      <w:pPr>
        <w:pStyle w:val="Para 06"/>
      </w:pPr>
      <w:r>
        <w:t>admin@installserver:~$</w:t>
      </w:r>
    </w:p>
    <w:p>
      <w:pPr>
        <w:pStyle w:val="Para 17"/>
      </w:pPr>
      <w:r>
        <w:t/>
      </w:r>
    </w:p>
    <w:p>
      <w:pPr>
        <w:pStyle w:val="Para 04"/>
      </w:pPr>
      <w:r>
        <w:t>• For s390x installations the early-commands section is the interesting part:</w:t>
      </w:r>
    </w:p>
    <w:p>
      <w:pPr>
        <w:pStyle w:val="Para 02"/>
      </w:pPr>
      <w:r>
        <w:t>early-commands:</w:t>
      </w:r>
    </w:p>
    <w:p>
      <w:pPr>
        <w:pStyle w:val="Para 06"/>
      </w:pPr>
      <w:r>
        <w:t>- touch /tmp/lets_activate_the_s390x_devices</w:t>
      </w:r>
    </w:p>
    <w:p>
      <w:pPr>
        <w:pStyle w:val="Para 06"/>
      </w:pPr>
      <w:r>
        <w:t>- chzdev zfcp -e e000</w:t>
      </w:r>
    </w:p>
    <w:p>
      <w:pPr>
        <w:pStyle w:val="Para 06"/>
      </w:pPr>
      <w:r>
        <w:t>- chzdev zfcp -e e100</w:t>
      </w:r>
    </w:p>
    <w:p>
      <w:pPr>
        <w:pStyle w:val="Para 06"/>
      </w:pPr>
      <w:r>
        <w:t>- chzdev zfcp-lun -e --online</w:t>
      </w:r>
    </w:p>
    <w:p>
      <w:pPr>
        <w:pStyle w:val="Para 06"/>
      </w:pPr>
      <w:r>
        <w:t>- touch /tmp/s390x_devices_activation_done</w:t>
      </w:r>
    </w:p>
    <w:p>
      <w:pPr>
        <w:pStyle w:val="Para 17"/>
      </w:pPr>
      <w:r>
        <w:t/>
      </w:r>
    </w:p>
    <w:p>
      <w:pPr>
        <w:pStyle w:val="Para 02"/>
      </w:pPr>
      <w:r>
        <w:t>The first and last early-commands are optional; they only frame and indicate the real s390x command activation.</w:t>
      </w:r>
    </w:p>
    <w:p>
      <w:pPr>
        <w:pStyle w:val="Para 02"/>
      </w:pPr>
      <w:r>
        <w:t>In this particular example, two zFCP hosts (host-bus-adapters) are enabled via their ad-</w:t>
      </w:r>
    </w:p>
    <w:p>
      <w:bookmarkStart w:id="151" w:name="page_1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9"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113"/>
                    <a:stretch>
                      <a:fillRect/>
                    </a:stretch>
                  </pic:blipFill>
                  <pic:spPr>
                    <a:xfrm>
                      <a:off x="0" y="0"/>
                      <a:ext cx="914400" cy="266700"/>
                    </a:xfrm>
                    <a:prstGeom prst="rect">
                      <a:avLst/>
                    </a:prstGeom>
                  </pic:spPr>
                </pic:pic>
              </a:graphicData>
            </a:graphic>
          </wp:anchor>
        </w:drawing>
      </w:r>
      <w:bookmarkEnd w:id="151"/>
    </w:p>
    <w:p>
      <w:pPr>
        <w:pStyle w:val="Para 02"/>
      </w:pPr>
      <w:r>
        <w:t xml:space="preserve">dresses </w:t>
      </w:r>
      <w:r>
        <w:rPr>
          <w:rStyle w:val="Text3"/>
        </w:rPr>
        <w:t>e000</w:t>
      </w:r>
      <w:r>
        <w:t xml:space="preserve"> (chzdev zfcp -e e000) and </w:t>
      </w:r>
      <w:r>
        <w:rPr>
          <w:rStyle w:val="Text3"/>
        </w:rPr>
        <w:t>e100</w:t>
      </w:r>
      <w:r>
        <w:t xml:space="preserve"> (chzdev zfcp -e e000). These have certain logical unit numbers (LUNs) assigned that are all automatically discovered and activated by chzdev zfcp-lun -e --online.</w:t>
      </w:r>
    </w:p>
    <w:p>
      <w:pPr>
        <w:pStyle w:val="Para 02"/>
      </w:pPr>
      <w:r>
        <w:t>Activation of a direct-access storage device (DASD) would look like this: chzdev dasd -e 1f00, and a QETH device activation looks like: chzdev qeth -e c000.</w:t>
      </w:r>
    </w:p>
    <w:p>
      <w:pPr>
        <w:pStyle w:val="Para 17"/>
      </w:pPr>
      <w:r>
        <w:t/>
      </w:r>
    </w:p>
    <w:p>
      <w:pPr>
        <w:pStyle w:val="Para 08"/>
      </w:pPr>
      <w:r>
        <w:rPr>
          <w:rStyle w:val="Text0"/>
        </w:rPr>
        <w:t xml:space="preserve">µ </w:t>
      </w:r>
      <w:r>
        <w:t>See also</w:t>
      </w:r>
    </w:p>
    <w:p>
      <w:pPr>
        <w:pStyle w:val="Para 03"/>
      </w:pPr>
      <w:r>
        <w:t xml:space="preserve">For more details about the autoinstall config options, please have a look at the </w:t>
      </w:r>
      <w:hyperlink r:id="rId1089">
        <w:r>
          <w:rPr>
            <w:rStyle w:val="Text1"/>
          </w:rPr>
          <w:t>autoinstall</w:t>
        </w:r>
      </w:hyperlink>
    </w:p>
    <w:p>
      <w:pPr>
        <w:pStyle w:val="Para 22"/>
      </w:pPr>
      <w:hyperlink r:id="rId1089">
        <w:r>
          <w:t>reference</w:t>
        </w:r>
      </w:hyperlink>
      <w:hyperlink r:id="rId1089">
        <w:r>
          <w:rPr>
            <w:rStyle w:val="Text10"/>
          </w:rPr>
          <w:t>75</w:t>
        </w:r>
      </w:hyperlink>
      <w:r>
        <w:rPr>
          <w:rStyle w:val="Text7"/>
        </w:rPr>
        <w:t xml:space="preserve"> </w:t>
      </w:r>
      <w:hyperlink r:id="rId1090">
        <w:r>
          <w:rPr>
            <w:rStyle w:val="Text10"/>
          </w:rPr>
          <w:t>76</w:t>
        </w:r>
      </w:hyperlink>
      <w:r>
        <w:rPr>
          <w:rStyle w:val="Text7"/>
        </w:rPr>
        <w:t xml:space="preserve"> and </w:t>
      </w:r>
      <w:hyperlink r:id="rId1090">
        <w:r>
          <w:t>autoinstall schema</w:t>
        </w:r>
      </w:hyperlink>
      <w:r>
        <w:rPr>
          <w:rStyle w:val="Text7"/>
        </w:rPr>
        <w:t xml:space="preserve"> pages.</w:t>
      </w:r>
    </w:p>
    <w:p>
      <w:pPr>
        <w:pStyle w:val="Para 17"/>
      </w:pPr>
      <w:r>
        <w:t/>
      </w:r>
    </w:p>
    <w:p>
      <w:pPr>
        <w:pStyle w:val="Para 04"/>
      </w:pPr>
      <w:r>
        <w:t>• Now make sure a HTTP server is running with /srv/www as web-server root (in this par-</w:t>
      </w:r>
    </w:p>
    <w:p>
      <w:pPr>
        <w:pStyle w:val="Para 02"/>
      </w:pPr>
      <w:r>
        <w:t>ticular example).</w:t>
      </w:r>
    </w:p>
    <w:p>
      <w:pPr>
        <w:pStyle w:val="Para 04"/>
      </w:pPr>
      <w:r>
        <w:t xml:space="preserve">• Next steps need to be done at the </w:t>
      </w:r>
      <w:hyperlink w:anchor="page_688">
        <w:r>
          <w:rPr>
            <w:rStyle w:val="Text2"/>
          </w:rPr>
          <w:t>hardware management console (HMC)</w:t>
        </w:r>
      </w:hyperlink>
      <w:r>
        <w:t>. First, connect</w:t>
      </w:r>
    </w:p>
    <w:p>
      <w:pPr>
        <w:pStyle w:val="Para 17"/>
      </w:pPr>
      <w:r>
        <w:t>to the HMC and proceed with the ‘Load From Removable Media and Server’ task.</w:t>
      </w:r>
    </w:p>
    <w:p>
      <w:pPr>
        <w:pStyle w:val="Para 04"/>
      </w:pPr>
      <w:r>
        <w:t>• Then, start the ‘Load from Removable Media or Server’ task under ‘Recovery’ –&gt; ‘Load</w:t>
      </w:r>
    </w:p>
    <w:p>
      <w:pPr>
        <w:pStyle w:val="Para 02"/>
      </w:pPr>
      <w:r>
        <w:t>from Removable Media or Server’ on your specific LPAR that you are going to install, and fill out the following fields (the contents will be of course different on your system):</w:t>
      </w:r>
    </w:p>
    <w:p>
      <w:pPr>
        <w:pStyle w:val="Para 02"/>
      </w:pPr>
      <w:r>
        <w:t>FTP Source</w:t>
      </w:r>
    </w:p>
    <w:p>
      <w:pPr>
        <w:pStyle w:val="Para 02"/>
      </w:pPr>
      <w:r>
        <w:t>Host computer:</w:t>
        <w:t xml:space="preserve"> </w:t>
        <w:t>installserver.local</w:t>
        <w:t xml:space="preserve"> </w:t>
        <w:t>User ID:</w:t>
        <w:t xml:space="preserve"> </w:t>
        <w:t>ftpuser</w:t>
      </w:r>
    </w:p>
    <w:p>
      <w:pPr>
        <w:pStyle w:val="Para 02"/>
      </w:pPr>
      <w:r>
        <w:t>Password: ********</w:t>
      </w:r>
    </w:p>
    <w:p>
      <w:pPr>
        <w:pStyle w:val="Para 02"/>
      </w:pPr>
      <w:r>
        <w:t>Account</w:t>
        <w:t xml:space="preserve"> </w:t>
        <w:t>(</w:t>
        <w:t>optional</w:t>
        <w:t>)</w:t>
        <w:t>:</w:t>
      </w:r>
    </w:p>
    <w:p>
      <w:pPr>
        <w:pStyle w:val="Para 02"/>
      </w:pPr>
      <w:r>
        <w:t>File location</w:t>
        <w:t xml:space="preserve"> </w:t>
        <w:t>(</w:t>
        <w:t>optional</w:t>
        <w:t>)</w:t>
        <w:t>: ubuntu-daily-live-server-20.04/boot</w:t>
      </w:r>
    </w:p>
    <w:p>
      <w:pPr>
        <w:pStyle w:val="Para 17"/>
      </w:pPr>
      <w:r>
        <w:t/>
      </w:r>
    </w:p>
    <w:p>
      <w:pPr>
        <w:pStyle w:val="Para 04"/>
      </w:pPr>
      <w:r>
        <w:t>• Now confirm the entered data and click ‘OK’.</w:t>
      </w:r>
    </w:p>
    <w:p>
      <w:pPr>
        <w:pStyle w:val="Para 04"/>
      </w:pPr>
      <w:r>
        <w:t>• At the ‘Load from Removable Media or Server - Select Software to Install’ screen,</w:t>
      </w:r>
    </w:p>
    <w:p>
      <w:pPr>
        <w:pStyle w:val="Para 02"/>
      </w:pPr>
      <w:r>
        <w:t>choose the LPAR that is going to be installed, here:</w:t>
      </w:r>
    </w:p>
    <w:p>
      <w:pPr>
        <w:pStyle w:val="Para 02"/>
      </w:pPr>
      <w:r>
        <w:t>ubuntu-daily-live-server-20.04/boot/ubuntu_zlinlpar.ins</w:t>
        <w:t xml:space="preserve"> </w:t>
        <w:t>Ubuntu</w:t>
        <w:t xml:space="preserve"> </w:t>
      </w:r>
      <w:r>
        <w:rPr>
          <w:rStyle w:val="Text0"/>
        </w:rPr>
        <w:t>for</w:t>
      </w:r>
      <w:r>
        <w:t xml:space="preserve"> </w:t>
        <w:t>z Series</w:t>
        <w:t xml:space="preserve"> </w:t>
        <w:t>(</w:t>
        <w:t>default kernel</w:t>
        <w:t>)</w:t>
      </w:r>
    </w:p>
    <w:p>
      <w:pPr>
        <w:pStyle w:val="Para 17"/>
      </w:pPr>
      <w:r>
        <w:t/>
      </w:r>
    </w:p>
    <w:p>
      <w:pPr>
        <w:pStyle w:val="Para 04"/>
      </w:pPr>
      <w:r>
        <w:t>• Confirm again with ‘OK’.</w:t>
      </w:r>
    </w:p>
    <w:p>
      <w:pPr>
        <w:pStyle w:val="Para 04"/>
      </w:pPr>
      <w:r>
        <w:t>• And another confirmation about the ‘Load will cause jobs to be cancelled’.</w:t>
      </w:r>
    </w:p>
    <w:p>
      <w:pPr>
        <w:pStyle w:val="Para 04"/>
      </w:pPr>
      <w:r>
        <w:t>• Then, another ‘Yes’ – understanding that it’s a disruptive task:</w:t>
      </w:r>
    </w:p>
    <w:p>
      <w:pPr>
        <w:pStyle w:val="Para 02"/>
      </w:pPr>
      <w:r>
        <w:t>Disruptive Task Confirmation : Load from Removable Media or Server</w:t>
      </w:r>
    </w:p>
    <w:p>
      <w:pPr>
        <w:pStyle w:val="Para 17"/>
      </w:pPr>
      <w:r>
        <w:t/>
      </w:r>
    </w:p>
    <w:p>
      <w:pPr>
        <w:pStyle w:val="Para 04"/>
      </w:pPr>
      <w:r>
        <w:t>• Now monitor the ‘Load from Removable media or Server Progress’ screen and confirm it</w:t>
      </w:r>
    </w:p>
    <w:p>
      <w:pPr>
        <w:pStyle w:val="Para 02"/>
      </w:pPr>
      <w:r>
        <w:t>once again when the status changes from ‘Please wait while the image is being loaded.’ to ‘Success’.</w:t>
      </w:r>
    </w:p>
    <w:p>
      <w:pPr>
        <w:pStyle w:val="Para 04"/>
      </w:pPr>
      <w:r>
        <w:t>• Then navigate to ‘Daily’ –&gt; ‘Operating System Messages’ to monitor the initial program</w:t>
      </w:r>
    </w:p>
    <w:p>
      <w:pPr>
        <w:pStyle w:val="Para 02"/>
      </w:pPr>
      <w:r>
        <w:t>load (IPL) of the install system …</w:t>
      </w:r>
    </w:p>
    <w:p>
      <w:pPr>
        <w:pStyle w:val="Para 17"/>
      </w:pPr>
      <w:r>
        <w:t/>
      </w:r>
    </w:p>
    <w:p>
      <w:pPr>
        <w:pStyle w:val="Para 05"/>
      </w:pPr>
      <w:r>
        <w:rPr>
          <w:rStyle w:val="Text5"/>
        </w:rPr>
        <w:t>75</w:t>
      </w:r>
      <w:r>
        <w:rPr>
          <w:rStyle w:val="Text8"/>
        </w:rPr>
        <w:t xml:space="preserve"> </w:t>
      </w:r>
      <w:r>
        <w:t>https://canonical-subiquity.readthedocs-hosted.com/en/latest/reference/autoinstall-reference.html</w:t>
      </w:r>
    </w:p>
    <w:p>
      <w:pPr>
        <w:pStyle w:val="Para 05"/>
      </w:pPr>
      <w:r>
        <w:rPr>
          <w:rStyle w:val="Text5"/>
        </w:rPr>
        <w:t>76</w:t>
      </w:r>
      <w:r>
        <w:rPr>
          <w:rStyle w:val="Text8"/>
        </w:rPr>
        <w:t xml:space="preserve"> </w:t>
      </w:r>
      <w:r>
        <w:t>https://canonical-subiquity.readthedocs-hosted.com/en/latest/reference/autoinstall-schema.html</w:t>
      </w:r>
    </w:p>
    <w:p>
      <w:bookmarkStart w:id="152" w:name="page_1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0"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114"/>
                    <a:stretch>
                      <a:fillRect/>
                    </a:stretch>
                  </pic:blipFill>
                  <pic:spPr>
                    <a:xfrm>
                      <a:off x="0" y="0"/>
                      <a:ext cx="914400" cy="266700"/>
                    </a:xfrm>
                    <a:prstGeom prst="rect">
                      <a:avLst/>
                    </a:prstGeom>
                  </pic:spPr>
                </pic:pic>
              </a:graphicData>
            </a:graphic>
          </wp:anchor>
        </w:drawing>
      </w:r>
      <w:bookmarkEnd w:id="152"/>
    </w:p>
    <w:p>
      <w:pPr>
        <w:pStyle w:val="Para 02"/>
      </w:pPr>
      <w:r>
        <w:t>Message</w:t>
      </w:r>
    </w:p>
    <w:p>
      <w:pPr>
        <w:pStyle w:val="Para 02"/>
      </w:pPr>
      <w:r>
        <w:t>chzdev: Unknown device</w:t>
        <w:t xml:space="preserve"> </w:t>
        <w:t>type</w:t>
        <w:t xml:space="preserve"> </w:t>
        <w:t>or device ID format: c000.4711</w:t>
        <w:t xml:space="preserve"> </w:t>
        <w:t>Use</w:t>
        <w:t xml:space="preserve"> </w:t>
        <w:t>'chzdev --help'</w:t>
        <w:t xml:space="preserve"> </w:t>
      </w:r>
      <w:r>
        <w:rPr>
          <w:rStyle w:val="Text0"/>
        </w:rPr>
        <w:t>for</w:t>
      </w:r>
      <w:r>
        <w:t xml:space="preserve"> </w:t>
        <w:t>more information</w:t>
        <w:t xml:space="preserve"> </w:t>
        <w:t>QETH device</w:t>
        <w:t xml:space="preserve"> </w:t>
        <w:t>0</w:t>
        <w:t>.0.c000:0.0.c001:0.0.c002 configured</w:t>
        <w:t xml:space="preserve"> </w:t>
        <w:t>IP-Config: encc000.4711 hardware address 1a:3c:99:55:2a:ef mtu</w:t>
        <w:t xml:space="preserve"> </w:t>
        <w:t>1500</w:t>
        <w:t xml:space="preserve"> </w:t>
        <w:t>IP-Config: encc000.4711 guessed broadcast address</w:t>
        <w:t xml:space="preserve"> </w:t>
        <w:t>10</w:t>
        <w:t>.11.12.255</w:t>
        <w:t xml:space="preserve"> </w:t>
        <w:t>IP-Config: encc000.4711 complete:</w:t>
      </w:r>
    </w:p>
    <w:p>
      <w:pPr>
        <w:pStyle w:val="Para 02"/>
      </w:pPr>
      <w:r>
        <w:t>address:</w:t>
        <w:t xml:space="preserve"> </w:t>
        <w:t>10</w:t>
        <w:t>.11.12.42</w:t>
        <w:t xml:space="preserve"> </w:t>
        <w:t>broadcast:</w:t>
        <w:t xml:space="preserve"> </w:t>
        <w:t>10</w:t>
        <w:t>.11.12.255</w:t>
        <w:t xml:space="preserve"> </w:t>
        <w:t>netmask:</w:t>
        <w:t xml:space="preserve"> </w:t>
        <w:t>255</w:t>
        <w:t>.255.255.0</w:t>
      </w:r>
    </w:p>
    <w:p>
      <w:pPr>
        <w:pStyle w:val="Para 02"/>
      </w:pPr>
      <w:r>
        <w:t>gateway:</w:t>
        <w:t xml:space="preserve"> </w:t>
        <w:t>10</w:t>
        <w:t>.11.12.1</w:t>
        <w:t xml:space="preserve"> </w:t>
        <w:t>dns0</w:t>
        <w:t xml:space="preserve"> </w:t>
        <w:t>:</w:t>
        <w:t xml:space="preserve"> </w:t>
        <w:t>10</w:t>
        <w:t>.11.12.1</w:t>
        <w:t xml:space="preserve"> </w:t>
        <w:t>dns1</w:t>
        <w:t xml:space="preserve"> </w:t>
        <w:t>:</w:t>
        <w:t xml:space="preserve"> </w:t>
        <w:t>0</w:t>
        <w:t>.0.0.0</w:t>
      </w:r>
    </w:p>
    <w:p>
      <w:pPr>
        <w:pStyle w:val="Para 02"/>
      </w:pPr>
      <w:r>
        <w:t>host</w:t>
        <w:t xml:space="preserve"> </w:t>
        <w:t>: zlinlpar</w:t>
      </w:r>
    </w:p>
    <w:p>
      <w:pPr>
        <w:pStyle w:val="Para 02"/>
      </w:pPr>
      <w:r>
        <w:t>rootserver:</w:t>
        <w:t xml:space="preserve"> </w:t>
        <w:t>0</w:t>
        <w:t>.0.0.0 rootpath:</w:t>
      </w:r>
    </w:p>
    <w:p>
      <w:pPr>
        <w:pStyle w:val="Para 02"/>
      </w:pPr>
      <w:r>
        <w:t>filename</w:t>
        <w:t xml:space="preserve"> </w:t>
        <w:t>:</w:t>
      </w:r>
    </w:p>
    <w:p>
      <w:pPr>
        <w:pStyle w:val="Para 02"/>
      </w:pPr>
      <w:r>
        <w:t>Connecting to installserver.local:80</w:t>
        <w:t xml:space="preserve"> </w:t>
        <w:t>(</w:t>
        <w:t>installserver.local:80</w:t>
        <w:t>)</w:t>
        <w:t xml:space="preserve"> </w:t>
        <w:t>focal-live-server-s3</w:t>
        <w:t xml:space="preserve"> </w:t>
        <w:t>5</w:t>
        <w:t>% |*</w:t>
        <w:t xml:space="preserve"> </w:t>
        <w:t>|</w:t>
        <w:t xml:space="preserve"> </w:t>
        <w:t>39</w:t>
        <w:t>.9M</w:t>
        <w:t xml:space="preserve"> </w:t>
        <w:t>0</w:t>
        <w:t>:00:15 ETA</w:t>
        <w:t xml:space="preserve"> </w:t>
        <w:t>focal-live-server-s3</w:t>
        <w:t xml:space="preserve"> </w:t>
        <w:t>22</w:t>
        <w:t>% |*******</w:t>
        <w:t xml:space="preserve"> </w:t>
        <w:t>|</w:t>
        <w:t xml:space="preserve"> </w:t>
        <w:t>147M</w:t>
        <w:t xml:space="preserve"> </w:t>
        <w:t>0</w:t>
        <w:t>:00:07 ETA</w:t>
        <w:t xml:space="preserve"> </w:t>
        <w:t>focal-live-server-s3</w:t>
        <w:t xml:space="preserve"> </w:t>
        <w:t>38</w:t>
        <w:t>% |************</w:t>
        <w:t xml:space="preserve"> </w:t>
        <w:t>|</w:t>
        <w:t xml:space="preserve"> </w:t>
        <w:t>254M</w:t>
        <w:t xml:space="preserve"> </w:t>
        <w:t>0</w:t>
        <w:t>:00:04 ETA</w:t>
        <w:t xml:space="preserve"> </w:t>
        <w:t>focal-live-server-s3</w:t>
        <w:t xml:space="preserve"> </w:t>
        <w:t>53</w:t>
        <w:t>% |*****************</w:t>
        <w:t xml:space="preserve"> </w:t>
        <w:t>|</w:t>
        <w:t xml:space="preserve"> </w:t>
        <w:t>355M</w:t>
        <w:t xml:space="preserve"> </w:t>
        <w:t>0</w:t>
        <w:t>:00:03 ETA</w:t>
        <w:t xml:space="preserve"> </w:t>
        <w:t>focal-live-server-s3</w:t>
        <w:t xml:space="preserve"> </w:t>
        <w:t>67</w:t>
        <w:t>% |*********************</w:t>
        <w:t xml:space="preserve"> </w:t>
        <w:t>|</w:t>
        <w:t xml:space="preserve"> </w:t>
        <w:t>453M</w:t>
        <w:t xml:space="preserve"> </w:t>
        <w:t>0</w:t>
        <w:t>:00:02 ETA</w:t>
        <w:t xml:space="preserve"> </w:t>
        <w:t>focal-live-server-s3</w:t>
        <w:t xml:space="preserve"> </w:t>
        <w:t>81</w:t>
        <w:t>% |**************************</w:t>
        <w:t xml:space="preserve"> </w:t>
        <w:t>|</w:t>
        <w:t xml:space="preserve"> </w:t>
        <w:t>545M</w:t>
        <w:t xml:space="preserve"> </w:t>
        <w:t>0</w:t>
        <w:t>:00:01 ETA</w:t>
        <w:t xml:space="preserve"> </w:t>
        <w:t>focal-live-server-s3</w:t>
        <w:t xml:space="preserve"> </w:t>
        <w:t>94</w:t>
        <w:t>% |*****************************</w:t>
        <w:t xml:space="preserve"> </w:t>
        <w:t>|</w:t>
        <w:t xml:space="preserve"> </w:t>
        <w:t>633M</w:t>
        <w:t xml:space="preserve"> </w:t>
        <w:t>0</w:t>
        <w:t>:00:00 ETA</w:t>
        <w:t xml:space="preserve"> </w:t>
        <w:t>focal-live-server-s3</w:t>
        <w:t xml:space="preserve"> </w:t>
        <w:t>100</w:t>
        <w:t>% |******************************|</w:t>
        <w:t xml:space="preserve"> </w:t>
        <w:t>668M</w:t>
        <w:t xml:space="preserve"> </w:t>
        <w:t>0</w:t>
        <w:t>:00:00 ETA</w:t>
        <w:t xml:space="preserve"> </w:t>
        <w:t>mount: mounting /cow on /root/cow failed: No such file or directory</w:t>
        <w:t xml:space="preserve"> </w:t>
        <w:t>Connecting to plymouth: Connection refused</w:t>
      </w:r>
    </w:p>
    <w:p>
      <w:pPr>
        <w:pStyle w:val="Para 02"/>
      </w:pPr>
      <w:r>
        <w:t>passwd: password expiry information changed.</w:t>
      </w:r>
    </w:p>
    <w:p>
      <w:pPr>
        <w:pStyle w:val="Para 02"/>
      </w:pPr>
      <w:r>
        <w:t>Using CD-ROM mount point /cdrom/</w:t>
      </w:r>
    </w:p>
    <w:p>
      <w:pPr>
        <w:pStyle w:val="Para 02"/>
      </w:pPr>
      <w:r>
        <w:t>Identifying...</w:t>
        <w:t xml:space="preserve"> </w:t>
        <w:t>[</w:t>
        <w:t>5d25356068b713167814807dd678c261-2</w:t>
        <w:t>]</w:t>
        <w:t xml:space="preserve"> </w:t>
        <w:t>Scanning disc</w:t>
        <w:t xml:space="preserve"> </w:t>
      </w:r>
      <w:r>
        <w:rPr>
          <w:rStyle w:val="Text0"/>
        </w:rPr>
        <w:t>for</w:t>
      </w:r>
      <w:r>
        <w:t xml:space="preserve"> </w:t>
        <w:t>index files...</w:t>
      </w:r>
    </w:p>
    <w:p>
      <w:pPr>
        <w:pStyle w:val="Para 02"/>
      </w:pPr>
      <w:r>
        <w:t>Found</w:t>
        <w:t xml:space="preserve"> </w:t>
        <w:t>2</w:t>
        <w:t xml:space="preserve"> </w:t>
        <w:t>package indexes,</w:t>
        <w:t xml:space="preserve"> </w:t>
        <w:t>0</w:t>
        <w:t xml:space="preserve"> </w:t>
        <w:t>source</w:t>
        <w:t xml:space="preserve"> </w:t>
        <w:t>indexes,</w:t>
        <w:t xml:space="preserve"> </w:t>
        <w:t>0</w:t>
        <w:t xml:space="preserve"> </w:t>
        <w:t>translation indexes and</w:t>
        <w:t xml:space="preserve"> </w:t>
        <w:t>1</w:t>
        <w:t xml:space="preserve"> </w:t>
        <w:t>signature</w:t>
        <w:t xml:space="preserve"> </w:t>
        <w:t>Found label</w:t>
        <w:t xml:space="preserve"> </w:t>
        <w:t>'Ubuntu-Server 20.04 LTS _Focal Fossa_ - Release s390x (20200616)'</w:t>
        <w:t xml:space="preserve"> </w:t>
        <w:t>This disc is called:</w:t>
      </w:r>
    </w:p>
    <w:p>
      <w:pPr>
        <w:pStyle w:val="Para 02"/>
      </w:pPr>
      <w:r>
        <w:t>'Ubuntu-Server 20.04 LTS _Focal Fossa_ - Release s390x (20200616)'</w:t>
        <w:t xml:space="preserve"> </w:t>
        <w:t>...</w:t>
      </w:r>
    </w:p>
    <w:p>
      <w:pPr>
        <w:pStyle w:val="Para 02"/>
      </w:pPr>
      <w:r>
        <w:t>[</w:t>
        <w:t xml:space="preserve"> </w:t>
        <w:t>61</w:t>
        <w:t>.190916</w:t>
        <w:t>]</w:t>
        <w:t xml:space="preserve"> </w:t>
        <w:t>cloud-init</w:t>
        <w:t>[</w:t>
        <w:t>2076</w:t>
        <w:t>]</w:t>
        <w:t>: Cloud-init v.</w:t>
        <w:t xml:space="preserve"> </w:t>
        <w:t>20</w:t>
        <w:t>.1-10-g71af48df-0ubuntu5 running</w:t>
        <w:t xml:space="preserve"> </w:t>
        <w:t>'modules:final'</w:t>
        <w:t xml:space="preserve"> </w:t>
        <w:t>at Fri,</w:t>
        <w:t xml:space="preserve"> </w:t>
        <w:t>26</w:t>
        <w:t xml:space="preserve"> </w:t>
        <w:t>Jun</w:t>
        <w:t xml:space="preserve"> </w:t>
        <w:t>2020 11</w:t>
        <w:t>:02:01 +0000. Up</w:t>
        <w:t xml:space="preserve"> </w:t>
        <w:t>61</w:t>
        <w:t>.09 seconds.</w:t>
        <w:t xml:space="preserve"> </w:t>
        <w:t>[</w:t>
        <w:t xml:space="preserve"> </w:t>
        <w:t>61</w:t>
        <w:t>.191002</w:t>
        <w:t>]</w:t>
        <w:t xml:space="preserve"> </w:t>
        <w:t>cloud-init</w:t>
        <w:t>[</w:t>
        <w:t>2076</w:t>
        <w:t>]</w:t>
        <w:t>: ci-info: no authorized SSH keys fingerprints fo</w:t>
        <w:t xml:space="preserve"> </w:t>
        <w:t>und</w:t>
        <w:t xml:space="preserve"> </w:t>
      </w:r>
      <w:r>
        <w:rPr>
          <w:rStyle w:val="Text0"/>
        </w:rPr>
        <w:t>for</w:t>
      </w:r>
      <w:r>
        <w:t xml:space="preserve"> </w:t>
        <w:t>user installer.</w:t>
      </w:r>
    </w:p>
    <w:p>
      <w:pPr>
        <w:pStyle w:val="Para 02"/>
      </w:pPr>
      <w:r>
        <w:t>[</w:t>
        <w:t xml:space="preserve"> </w:t>
        <w:t>61</w:t>
        <w:t>.191071</w:t>
        <w:t>]</w:t>
        <w:t xml:space="preserve"> </w:t>
        <w:t>cloud-init</w:t>
        <w:t>[</w:t>
        <w:t>2076</w:t>
        <w:t>]</w:t>
        <w:t>: Cloud-init v.</w:t>
        <w:t xml:space="preserve"> </w:t>
        <w:t>20</w:t>
        <w:t>.1-10-g71af48df-0ubuntu5 finished at</w:t>
        <w:t xml:space="preserve"> </w:t>
        <w:t>Fri,</w:t>
        <w:t xml:space="preserve"> </w:t>
        <w:t>26</w:t>
        <w:t xml:space="preserve"> </w:t>
        <w:t>Jun</w:t>
        <w:t xml:space="preserve"> </w:t>
        <w:t>2020 11</w:t>
        <w:t>:02:01 +0000.</w:t>
      </w:r>
    </w:p>
    <w:p>
      <w:pPr>
        <w:pStyle w:val="Para 02"/>
      </w:pPr>
      <w:r>
        <w:t>Datasource DataSourceNoCloudNet</w:t>
        <w:t xml:space="preserve"> </w:t>
        <w:t>[</w:t>
        <w:t>seed</w:t>
        <w:t>=</w:t>
        <w:t>cmdline,</w:t>
        <w:t xml:space="preserve"> </w:t>
        <w:t>/var/lib/cloud/seed/nocloud,</w:t>
      </w:r>
    </w:p>
    <w:p>
      <w:pPr>
        <w:pStyle w:val="Para 02"/>
      </w:pPr>
      <w:r>
        <w:t>http://installserver.local:80/autoinstall/zlinlpar/</w:t>
        <w:t>]</w:t>
        <w:t xml:space="preserve"> </w:t>
        <w:t>[</w:t>
        <w:t>dsmode</w:t>
        <w:t>=</w:t>
        <w:t>net</w:t>
        <w:t>]</w:t>
        <w:t>.</w:t>
        <w:t xml:space="preserve"> </w:t>
        <w:t>Up</w:t>
        <w:t xml:space="preserve"> </w:t>
        <w:t>61</w:t>
        <w:t>.18 seconds</w:t>
      </w:r>
    </w:p>
    <w:p>
      <w:pPr>
        <w:pStyle w:val="Para 02"/>
      </w:pPr>
      <w:r>
        <w:t>[</w:t>
        <w:t xml:space="preserve"> </w:t>
        <w:t>61</w:t>
        <w:t>.191136</w:t>
        <w:t>]</w:t>
        <w:t xml:space="preserve"> </w:t>
        <w:t>cloud-init</w:t>
        <w:t>[</w:t>
        <w:t>2076</w:t>
        <w:t>]</w:t>
        <w:t>: Welcome to Ubuntu Server Installer!</w:t>
        <w:t xml:space="preserve"> </w:t>
        <w:t>[</w:t>
        <w:t xml:space="preserve"> </w:t>
        <w:t>61</w:t>
        <w:t>.191202</w:t>
        <w:t>]</w:t>
        <w:t xml:space="preserve"> </w:t>
        <w:t>cloud-init</w:t>
        <w:t>[</w:t>
        <w:t>2076</w:t>
        <w:t>]</w:t>
        <w:t>: Above you will find SSH host keys and a random</w:t>
        <w:t xml:space="preserve"> </w:t>
        <w:t>password</w:t>
        <w:t xml:space="preserve"> </w:t>
        <w:t>set</w:t>
        <w:t xml:space="preserve"> </w:t>
      </w:r>
      <w:r>
        <w:rPr>
          <w:rStyle w:val="Text0"/>
        </w:rPr>
        <w:t>for</w:t>
      </w:r>
      <w:r>
        <w:t xml:space="preserve"> </w:t>
        <w:t>the</w:t>
        <w:t xml:space="preserve"> </w:t>
        <w:t>`</w:t>
        <w:t>installer</w:t>
        <w:t>`</w:t>
        <w:t xml:space="preserve"> </w:t>
        <w:t>user. You can use these credentials to ssh-in</w:t>
        <w:t xml:space="preserve"> </w:t>
        <w:t>and</w:t>
        <w:t xml:space="preserve"> </w:t>
        <w:t>complete</w:t>
        <w:t xml:space="preserve"> </w:t>
        <w:t>the installation. If you provided SSH keys</w:t>
        <w:t xml:space="preserve"> </w:t>
      </w:r>
      <w:r>
        <w:rPr>
          <w:rStyle w:val="Text0"/>
        </w:rPr>
        <w:t>in</w:t>
      </w:r>
      <w:r>
        <w:t xml:space="preserve"> </w:t>
        <w:t>the cloud-init datasource,</w:t>
        <w:t xml:space="preserve"> </w:t>
        <w:t>they were also provisioned to the installer user.</w:t>
      </w:r>
    </w:p>
    <w:p>
      <w:pPr>
        <w:pStyle w:val="Para 02"/>
      </w:pPr>
      <w:r>
        <w:t>[</w:t>
        <w:t xml:space="preserve"> </w:t>
        <w:t>61</w:t>
        <w:t>.191273</w:t>
        <w:t>]</w:t>
        <w:t xml:space="preserve"> </w:t>
        <w:t>cloud-init</w:t>
        <w:t>[</w:t>
        <w:t>2076</w:t>
        <w:t>]</w:t>
        <w:t>: If you have access to the graphical console,</w:t>
        <w:t xml:space="preserve"> </w:t>
        <w:t>like TTY1 or HMC ASCII terminal you can</w:t>
        <w:t xml:space="preserve"> </w:t>
        <w:t>complete</w:t>
        <w:t xml:space="preserve"> </w:t>
        <w:t>the installation there too.</w:t>
      </w:r>
    </w:p>
    <w:p>
      <w:pPr>
        <w:pStyle w:val="Para 02"/>
      </w:pPr>
      <w:r>
        <w:t>It is possible to connect to the installer over the network, which</w:t>
        <w:t xml:space="preserve"> </w:t>
        <w:t>might allow the use of a more capable terminal.</w:t>
      </w:r>
    </w:p>
    <w:p>
      <w:pPr>
        <w:pStyle w:val="Para 02"/>
      </w:pPr>
      <w:r>
        <w:t>To connect, SSH to installer@10.11.12.42.</w:t>
      </w:r>
    </w:p>
    <w:p>
      <w:pPr>
        <w:pStyle w:val="Para 09"/>
      </w:pPr>
      <w:r>
        <w:t>(continues on next page)</w:t>
      </w:r>
    </w:p>
    <w:p>
      <w:bookmarkStart w:id="153" w:name="page_1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1"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115"/>
                    <a:stretch>
                      <a:fillRect/>
                    </a:stretch>
                  </pic:blipFill>
                  <pic:spPr>
                    <a:xfrm>
                      <a:off x="0" y="0"/>
                      <a:ext cx="914400" cy="266700"/>
                    </a:xfrm>
                    <a:prstGeom prst="rect">
                      <a:avLst/>
                    </a:prstGeom>
                  </pic:spPr>
                </pic:pic>
              </a:graphicData>
            </a:graphic>
          </wp:anchor>
        </w:drawing>
      </w:r>
      <w:bookmarkEnd w:id="153"/>
    </w:p>
    <w:p>
      <w:pPr>
        <w:pStyle w:val="Para 09"/>
      </w:pPr>
      <w:r>
        <w:t>(continued from previous page)</w:t>
      </w:r>
    </w:p>
    <w:p>
      <w:pPr>
        <w:pStyle w:val="Para 02"/>
      </w:pPr>
      <w:r>
        <w:t>The password you should use is</w:t>
        <w:t xml:space="preserve"> </w:t>
        <w:t>''</w:t>
        <w:t>i7UFdP8fhiVVMme3qqH8</w:t>
        <w:t>''</w:t>
        <w:t>.</w:t>
      </w:r>
    </w:p>
    <w:p>
      <w:pPr>
        <w:pStyle w:val="Para 02"/>
      </w:pPr>
      <w:r>
        <w:t>The host key fingerprints are:</w:t>
      </w:r>
    </w:p>
    <w:p>
      <w:pPr>
        <w:pStyle w:val="Para 02"/>
      </w:pPr>
      <w:r>
        <w:t>RSA</w:t>
        <w:t xml:space="preserve"> </w:t>
        <w:t>SHA256:rBXLeUke3D4gKdsruKEajHjocxc9hr3PI</w:t>
        <w:t xml:space="preserve"> </w:t>
        <w:t>ECDSA</w:t>
        <w:t xml:space="preserve"> </w:t>
        <w:t>SHA256:KZZYFswtKxFXWQPuQS9QpOBUoS6RHswis</w:t>
        <w:t xml:space="preserve"> </w:t>
        <w:t>ED25519 SHA256:s+5tZfagx0zffC6gYRGW3t1KcBH6f+Vt0</w:t>
      </w:r>
    </w:p>
    <w:p>
      <w:pPr>
        <w:pStyle w:val="Para 02"/>
      </w:pPr>
      <w:r>
        <w:t>Ubuntu</w:t>
        <w:t xml:space="preserve"> </w:t>
        <w:t>20</w:t>
        <w:t>.04 LTS ubuntu-server sclp_line0</w:t>
      </w:r>
    </w:p>
    <w:p>
      <w:pPr>
        <w:pStyle w:val="Para 17"/>
      </w:pPr>
      <w:r>
        <w:t/>
      </w:r>
    </w:p>
    <w:p>
      <w:pPr>
        <w:pStyle w:val="Para 04"/>
      </w:pPr>
      <w:r>
        <w:t>• At short notice, you can even log in to the system with the user ‘installer’ and the tem-</w:t>
      </w:r>
    </w:p>
    <w:p>
      <w:pPr>
        <w:pStyle w:val="Para 02"/>
      </w:pPr>
      <w:r>
        <w:t>porary password that was given at the end of the boot-up process (see above) of the installation system:</w:t>
      </w:r>
    </w:p>
    <w:p>
      <w:pPr>
        <w:pStyle w:val="Para 02"/>
      </w:pPr>
      <w:r>
        <w:t>user@workstation:~$ ssh installer@zlinlpar</w:t>
      </w:r>
    </w:p>
    <w:p>
      <w:pPr>
        <w:pStyle w:val="Para 02"/>
      </w:pPr>
      <w:r>
        <w:t>The authenticity of host</w:t>
        <w:t xml:space="preserve"> </w:t>
        <w:t>'zlinlpar (10.11.12.42)'</w:t>
        <w:t xml:space="preserve"> </w:t>
        <w:t>can</w:t>
        <w:t>'t be established.</w:t>
        <w:t xml:space="preserve"> </w:t>
        <w:t>ECDSA key fingerprint is SHA256:O/dU/D8jJAEGQcbqKGE9La24IRxUPLpzzs5li9F6Vvk.</w:t>
        <w:t xml:space="preserve"> </w:t>
        <w:t>Are you sure you want to continue connecting (yes/no/[fingerprint])? yes</w:t>
        <w:t xml:space="preserve"> </w:t>
        <w:t>Warning: Permanently added '</w:t>
        <w:t>zlinlpar,10.11.12.42</w:t>
        <w:t>' (ECDSA) to the list of known hosts.</w:t>
        <w:t xml:space="preserve"> </w:t>
        <w:t>installer@zlinlpar'</w:t>
        <w:t>s password:</w:t>
      </w:r>
    </w:p>
    <w:p>
      <w:pPr>
        <w:pStyle w:val="Para 02"/>
      </w:pPr>
      <w:r>
        <w:t>Welcome to Ubuntu</w:t>
        <w:t xml:space="preserve"> </w:t>
        <w:t>20</w:t>
        <w:t>.04 LTS</w:t>
        <w:t xml:space="preserve"> </w:t>
        <w:t>(</w:t>
        <w:t>GNU/Linux</w:t>
        <w:t xml:space="preserve"> </w:t>
        <w:t>5</w:t>
        <w:t>.4.0-37-generic s390x</w:t>
        <w:t>)</w:t>
      </w:r>
    </w:p>
    <w:p>
      <w:pPr>
        <w:pStyle w:val="Para 06"/>
      </w:pPr>
      <w:r>
        <w:t>* Documentation:</w:t>
        <w:t xml:space="preserve"> </w:t>
        <w:t>https://help.ubuntu.com</w:t>
        <w:t xml:space="preserve"> </w:t>
        <w:t>* Management:</w:t>
        <w:t xml:space="preserve"> </w:t>
        <w:t>https://landscape.canonical.com</w:t>
        <w:t xml:space="preserve"> </w:t>
        <w:t>* Support:</w:t>
        <w:t xml:space="preserve"> </w:t>
        <w:t>https://ubuntu.com/pro</w:t>
      </w:r>
    </w:p>
    <w:p>
      <w:pPr>
        <w:pStyle w:val="Para 06"/>
      </w:pPr>
      <w:r>
        <w:t>System information as of Fri Jun</w:t>
        <w:t xml:space="preserve"> </w:t>
        <w:t>26 11</w:t>
        <w:t>:08:18 UTC</w:t>
        <w:t xml:space="preserve"> </w:t>
        <w:t>2020</w:t>
      </w:r>
    </w:p>
    <w:p>
      <w:pPr>
        <w:pStyle w:val="Para 06"/>
      </w:pPr>
      <w:r>
        <w:t>System load:</w:t>
        <w:t xml:space="preserve"> </w:t>
        <w:t>1</w:t>
        <w:t>.25</w:t>
        <w:t xml:space="preserve"> </w:t>
        <w:t>Memory usage:</w:t>
        <w:t xml:space="preserve"> </w:t>
        <w:t>4</w:t>
        <w:t>%</w:t>
        <w:t xml:space="preserve"> </w:t>
        <w:t>Processes:</w:t>
        <w:t xml:space="preserve"> </w:t>
        <w:t>192</w:t>
        <w:t xml:space="preserve"> </w:t>
        <w:t>Usage of /home: unknown</w:t>
        <w:t xml:space="preserve"> </w:t>
        <w:t>Swap usage:</w:t>
        <w:t xml:space="preserve"> </w:t>
        <w:t>0</w:t>
        <w:t>%</w:t>
        <w:t xml:space="preserve"> </w:t>
        <w:t>Users logged</w:t>
        <w:t xml:space="preserve"> </w:t>
      </w:r>
      <w:r>
        <w:rPr>
          <w:rStyle w:val="Text0"/>
        </w:rPr>
        <w:t>in</w:t>
      </w:r>
      <w:r>
        <w:t>:</w:t>
        <w:t xml:space="preserve"> </w:t>
        <w:t>0</w:t>
      </w:r>
    </w:p>
    <w:p>
      <w:pPr>
        <w:pStyle w:val="Para 02"/>
      </w:pPr>
      <w:r>
        <w:t>0</w:t>
        <w:t xml:space="preserve"> </w:t>
        <w:t>updates can be installed immediately.</w:t>
        <w:t xml:space="preserve"> </w:t>
        <w:t>0</w:t>
        <w:t xml:space="preserve"> </w:t>
        <w:t>of these updates are security updates.</w:t>
      </w:r>
    </w:p>
    <w:p>
      <w:pPr>
        <w:pStyle w:val="Para 17"/>
      </w:pPr>
      <w:r>
        <w:t/>
      </w:r>
    </w:p>
    <w:p>
      <w:pPr>
        <w:pStyle w:val="Para 02"/>
      </w:pPr>
      <w:r>
        <w:t>The list of available updates is more than a week old.</w:t>
        <w:t xml:space="preserve"> </w:t>
        <w:t>To check</w:t>
        <w:t xml:space="preserve"> </w:t>
      </w:r>
      <w:r>
        <w:rPr>
          <w:rStyle w:val="Text0"/>
        </w:rPr>
        <w:t>for</w:t>
      </w:r>
      <w:r>
        <w:t xml:space="preserve"> </w:t>
        <w:t>new updates run: sudo apt update</w:t>
      </w:r>
    </w:p>
    <w:p>
      <w:pPr>
        <w:pStyle w:val="Para 17"/>
      </w:pPr>
      <w:r>
        <w:t/>
      </w:r>
    </w:p>
    <w:p>
      <w:pPr>
        <w:pStyle w:val="Para 02"/>
      </w:pPr>
      <w:r>
        <w:t>The programs included with the Ubuntu system are free software;</w:t>
        <w:t xml:space="preserve"> </w:t>
        <w:t>the exact distribution terms</w:t>
        <w:t xml:space="preserve"> </w:t>
      </w:r>
      <w:r>
        <w:rPr>
          <w:rStyle w:val="Text0"/>
        </w:rPr>
        <w:t>for</w:t>
      </w:r>
      <w:r>
        <w:t xml:space="preserve"> </w:t>
        <w:t>each program are described</w:t>
        <w:t xml:space="preserve"> </w:t>
      </w:r>
      <w:r>
        <w:rPr>
          <w:rStyle w:val="Text0"/>
        </w:rPr>
        <w:t>in</w:t>
      </w:r>
      <w:r>
        <w:t xml:space="preserve"> </w:t>
        <w:t>the</w:t>
        <w:t xml:space="preserve"> </w:t>
        <w:t>individual files</w:t>
        <w:t xml:space="preserve"> </w:t>
      </w:r>
      <w:r>
        <w:rPr>
          <w:rStyle w:val="Text0"/>
        </w:rPr>
        <w:t>in</w:t>
      </w:r>
      <w:r>
        <w:t xml:space="preserve"> </w:t>
        <w:t>/usr/share/doc/*/copyright.</w:t>
      </w:r>
    </w:p>
    <w:p>
      <w:pPr>
        <w:pStyle w:val="Para 02"/>
      </w:pPr>
      <w:r>
        <w:t>Ubuntu comes with ABSOLUTELY NO WARRANTY, to the extent permitted by</w:t>
        <w:t xml:space="preserve"> </w:t>
        <w:t>applicable law.</w:t>
      </w:r>
    </w:p>
    <w:p>
      <w:pPr>
        <w:pStyle w:val="Para 02"/>
      </w:pPr>
      <w:r>
        <w:t>the installer running on /dev/tty1 will perform the autoinstall</w:t>
      </w:r>
    </w:p>
    <w:p>
      <w:pPr>
        <w:pStyle w:val="Para 02"/>
      </w:pPr>
      <w:r>
        <w:t>press enter to start a shell</w:t>
      </w:r>
    </w:p>
    <w:p>
      <w:pPr>
        <w:pStyle w:val="Para 17"/>
      </w:pPr>
      <w:r>
        <w:t/>
      </w:r>
    </w:p>
    <w:p>
      <w:pPr>
        <w:pStyle w:val="Para 04"/>
      </w:pPr>
      <w:r>
        <w:t>• Notice that it informs you about a currently-running autoinstall process:</w:t>
      </w:r>
    </w:p>
    <w:p>
      <w:pPr>
        <w:pStyle w:val="Para 02"/>
      </w:pPr>
      <w:r>
        <w:t>the installer running on /dev/tty1 will perform the autoinstall</w:t>
      </w:r>
    </w:p>
    <w:p>
      <w:pPr>
        <w:pStyle w:val="Para 17"/>
      </w:pPr>
      <w:r>
        <w:t/>
      </w:r>
    </w:p>
    <w:p>
      <w:pPr>
        <w:pStyle w:val="Para 04"/>
      </w:pPr>
      <w:r>
        <w:t>• Nevertheless, we can quickly check some things – though only until the autoinstall pro-</w:t>
      </w:r>
    </w:p>
    <w:p>
      <w:pPr>
        <w:pStyle w:val="Para 02"/>
      </w:pPr>
      <w:r>
        <w:t>cess has finished and the post-install reboot has been triggered:</w:t>
      </w:r>
    </w:p>
    <w:p>
      <w:bookmarkStart w:id="154" w:name="page_1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2" name="index-110_1.png" descr="index-110_1.png"/>
            <wp:cNvGraphicFramePr>
              <a:graphicFrameLocks noChangeAspect="1"/>
            </wp:cNvGraphicFramePr>
            <a:graphic>
              <a:graphicData uri="http://schemas.openxmlformats.org/drawingml/2006/picture">
                <pic:pic>
                  <pic:nvPicPr>
                    <pic:cNvPr id="0" name="index-110_1.png" descr="index-110_1.png"/>
                    <pic:cNvPicPr/>
                  </pic:nvPicPr>
                  <pic:blipFill>
                    <a:blip r:embed="rId116"/>
                    <a:stretch>
                      <a:fillRect/>
                    </a:stretch>
                  </pic:blipFill>
                  <pic:spPr>
                    <a:xfrm>
                      <a:off x="0" y="0"/>
                      <a:ext cx="914400" cy="266700"/>
                    </a:xfrm>
                    <a:prstGeom prst="rect">
                      <a:avLst/>
                    </a:prstGeom>
                  </pic:spPr>
                </pic:pic>
              </a:graphicData>
            </a:graphic>
          </wp:anchor>
        </w:drawing>
      </w:r>
      <w:bookmarkEnd w:id="154"/>
    </w:p>
    <w:p>
      <w:pPr>
        <w:pStyle w:val="Para 02"/>
      </w:pPr>
      <w:r>
        <w:t>root</w:t>
      </w:r>
      <w:r>
        <w:rPr>
          <w:rStyle w:val="Text0"/>
        </w:rPr>
        <w:t>@ubuntu</w:t>
      </w:r>
      <w:r>
        <w:t>-</w:t>
        <w:t>server:</w:t>
        <w:t>/</w:t>
      </w:r>
      <w:r>
        <w:rPr>
          <w:rStyle w:val="Text3"/>
        </w:rPr>
        <w:t># ls -l /tmp/lets_activate_the_s390x_devices</w:t>
      </w:r>
      <w:r>
        <w:t>-</w:t>
        <w:t>rw</w:t>
        <w:t>-</w:t>
        <w:t>r</w:t>
        <w:t>--</w:t>
        <w:t>r</w:t>
        <w:t>--</w:t>
        <w:t>1</w:t>
        <w:t xml:space="preserve"> </w:t>
        <w:t>root root</w:t>
        <w:t xml:space="preserve"> </w:t>
        <w:t>0</w:t>
        <w:t xml:space="preserve"> </w:t>
        <w:t>Jun</w:t>
        <w:t xml:space="preserve"> </w:t>
        <w:t>26 11</w:t>
        <w:t>:</w:t>
        <w:t>08</w:t>
        <w:t xml:space="preserve"> </w:t>
        <w:t>/</w:t>
        <w:t>tmp</w:t>
        <w:t>/</w:t>
        <w:t>lets_activate_the_s390x_devices</w:t>
        <w:t>-</w:t>
        <w:t>rw</w:t>
        <w:t>-</w:t>
        <w:t>r</w:t>
        <w:t>--</w:t>
        <w:t>r</w:t>
        <w:t>--</w:t>
        <w:t>1</w:t>
        <w:t xml:space="preserve"> </w:t>
        <w:t>root root</w:t>
        <w:t xml:space="preserve"> </w:t>
        <w:t>0</w:t>
        <w:t xml:space="preserve"> </w:t>
        <w:t>Jun</w:t>
        <w:t xml:space="preserve"> </w:t>
        <w:t>26 11</w:t>
        <w:t>:</w:t>
        <w:t>09</w:t>
        <w:t xml:space="preserve"> </w:t>
        <w:t>/</w:t>
        <w:t>tmp</w:t>
        <w:t>/</w:t>
        <w:t>s390x_devices_activation_done</w:t>
      </w:r>
    </w:p>
    <w:p>
      <w:pPr>
        <w:pStyle w:val="Para 02"/>
      </w:pPr>
      <w:r>
        <w:t>root</w:t>
      </w:r>
      <w:r>
        <w:rPr>
          <w:rStyle w:val="Text0"/>
        </w:rPr>
        <w:t>@ubuntu</w:t>
      </w:r>
      <w:r>
        <w:t>-</w:t>
        <w:t>server:</w:t>
        <w:t>/</w:t>
      </w:r>
      <w:r>
        <w:rPr>
          <w:rStyle w:val="Text3"/>
        </w:rPr>
        <w:t># lszdev | grep yes</w:t>
      </w:r>
      <w:r>
        <w:t xml:space="preserve"> </w:t>
        <w:t>zfcp</w:t>
        <w:t>-</w:t>
        <w:t>host</w:t>
        <w:t xml:space="preserve"> </w:t>
        <w:t>0.0</w:t>
        <w:t>.</w:t>
        <w:t>e000</w:t>
        <w:t xml:space="preserve"> </w:t>
        <w:t>yes</w:t>
        <w:t xml:space="preserve"> </w:t>
        <w:t>yes</w:t>
        <w:t xml:space="preserve"> </w:t>
        <w:t>zfcp</w:t>
        <w:t>-</w:t>
        <w:t>host</w:t>
        <w:t xml:space="preserve"> </w:t>
        <w:t>0.0</w:t>
        <w:t>.</w:t>
        <w:t>e100</w:t>
        <w:t xml:space="preserve"> </w:t>
        <w:t>yes</w:t>
        <w:t xml:space="preserve"> </w:t>
        <w:t>yes</w:t>
        <w:t xml:space="preserve"> </w:t>
        <w:t>zfcp</w:t>
        <w:t>-</w:t>
        <w:t>lun</w:t>
        <w:t xml:space="preserve"> </w:t>
        <w:t>0.0</w:t>
        <w:t>.</w:t>
        <w:t>e000:</w:t>
        <w:t>0x50050763060b16b6</w:t>
        <w:t>:</w:t>
        <w:t>0x4026400200000000</w:t>
        <w:t xml:space="preserve"> </w:t>
        <w:t>yes</w:t>
        <w:t xml:space="preserve"> </w:t>
        <w:t>yes</w:t>
        <w:t xml:space="preserve"> </w:t>
        <w:t>sdb sg1</w:t>
        <w:t xml:space="preserve"> </w:t>
        <w:t>zfcp</w:t>
        <w:t>-</w:t>
        <w:t>lun</w:t>
        <w:t xml:space="preserve"> </w:t>
        <w:t>0.0</w:t>
        <w:t>.</w:t>
        <w:t>e000:</w:t>
        <w:t>0x50050763061b16b6</w:t>
        <w:t>:</w:t>
        <w:t>0x4026400200000000</w:t>
        <w:t xml:space="preserve"> </w:t>
        <w:t>yes</w:t>
        <w:t xml:space="preserve"> </w:t>
        <w:t>yes</w:t>
        <w:t xml:space="preserve"> </w:t>
        <w:t>sda sg0</w:t>
        <w:t xml:space="preserve"> </w:t>
        <w:t>zfcp</w:t>
        <w:t>-</w:t>
        <w:t>lun</w:t>
        <w:t xml:space="preserve"> </w:t>
        <w:t>0.0</w:t>
        <w:t>.</w:t>
        <w:t>e100:</w:t>
        <w:t>0x50050763060b16b6</w:t>
        <w:t>:</w:t>
        <w:t>0x4026400200000000</w:t>
        <w:t xml:space="preserve"> </w:t>
        <w:t>yes</w:t>
        <w:t xml:space="preserve"> </w:t>
        <w:t>yes</w:t>
        <w:t xml:space="preserve"> </w:t>
        <w:t>sdd sg3</w:t>
        <w:t xml:space="preserve"> </w:t>
        <w:t>zfcp</w:t>
        <w:t>-</w:t>
        <w:t>lun</w:t>
        <w:t xml:space="preserve"> </w:t>
        <w:t>0.0</w:t>
        <w:t>.</w:t>
        <w:t>e100:</w:t>
        <w:t>0x50050763061b16b6</w:t>
        <w:t>:</w:t>
        <w:t>0x4026400200000000</w:t>
        <w:t xml:space="preserve"> </w:t>
        <w:t>yes</w:t>
        <w:t xml:space="preserve"> </w:t>
        <w:t>yes</w:t>
        <w:t xml:space="preserve"> </w:t>
        <w:t>sdc sg2</w:t>
        <w:t xml:space="preserve"> </w:t>
        <w:t>qeth</w:t>
        <w:t xml:space="preserve"> </w:t>
        <w:t>0.0</w:t>
        <w:t>.</w:t>
        <w:t>c000:</w:t>
        <w:t>0.0</w:t>
        <w:t>.</w:t>
        <w:t>c001:</w:t>
        <w:t>0.0</w:t>
        <w:t>.</w:t>
        <w:t>c002</w:t>
        <w:t xml:space="preserve"> </w:t>
        <w:t>yes</w:t>
        <w:t xml:space="preserve"> </w:t>
        <w:t>no</w:t>
        <w:t xml:space="preserve"> </w:t>
        <w:t>encc000</w:t>
        <w:t xml:space="preserve"> </w:t>
        <w:t>root</w:t>
      </w:r>
      <w:r>
        <w:rPr>
          <w:rStyle w:val="Text0"/>
        </w:rPr>
        <w:t>@ubuntu</w:t>
      </w:r>
      <w:r>
        <w:t>-</w:t>
        <w:t>server:</w:t>
        <w:t>/</w:t>
      </w:r>
      <w:r>
        <w:rPr>
          <w:rStyle w:val="Text3"/>
        </w:rPr>
        <w:t>#</w:t>
      </w:r>
    </w:p>
    <w:p>
      <w:pPr>
        <w:pStyle w:val="Para 17"/>
      </w:pPr>
      <w:r>
        <w:t/>
      </w:r>
    </w:p>
    <w:p>
      <w:pPr>
        <w:pStyle w:val="Para 04"/>
      </w:pPr>
      <w:r>
        <w:t>• If you wait long enough you’ll see the remote session get closed:</w:t>
      </w:r>
    </w:p>
    <w:p>
      <w:pPr>
        <w:pStyle w:val="Para 02"/>
      </w:pPr>
      <w:r>
        <w:t>root@ubuntu-server:/# Connection to zlinlpar closed by remote host.</w:t>
        <w:t xml:space="preserve"> </w:t>
        <w:t>Connection to zlinlpar closed.</w:t>
      </w:r>
    </w:p>
    <w:p>
      <w:pPr>
        <w:pStyle w:val="Para 02"/>
      </w:pPr>
      <w:r>
        <w:t>user@workstation:~$</w:t>
      </w:r>
    </w:p>
    <w:p>
      <w:pPr>
        <w:pStyle w:val="Para 17"/>
      </w:pPr>
      <w:r>
        <w:t/>
      </w:r>
    </w:p>
    <w:p>
      <w:pPr>
        <w:pStyle w:val="Para 04"/>
      </w:pPr>
      <w:r>
        <w:t>• As well as at the console:</w:t>
      </w:r>
    </w:p>
    <w:p>
      <w:pPr>
        <w:pStyle w:val="Para 02"/>
      </w:pPr>
      <w:r>
        <w:t>ubuntu-server login:</w:t>
      </w:r>
    </w:p>
    <w:p>
      <w:pPr>
        <w:pStyle w:val="Para 02"/>
      </w:pPr>
      <w:r>
        <w:t>[[</w:t>
        <w:t>0</w:t>
        <w:t>;</w:t>
        <w:t>1</w:t>
        <w:t>;31mFAILED</w:t>
        <w:t>[</w:t>
        <w:t>0m</w:t>
        <w:t>]</w:t>
        <w:t xml:space="preserve"> </w:t>
        <w:t>Failed unmounting</w:t>
        <w:t xml:space="preserve"> </w:t>
        <w:t>[</w:t>
        <w:t>0</w:t>
        <w:t>;</w:t>
        <w:t>1</w:t>
        <w:t>;39m/cdrom</w:t>
        <w:t>[</w:t>
        <w:t>0m.</w:t>
        <w:t xml:space="preserve"> </w:t>
        <w:t>[</w:t>
        <w:t xml:space="preserve"> </w:t>
        <w:t>169</w:t>
        <w:t>.161139</w:t>
        <w:t>]</w:t>
        <w:t xml:space="preserve"> </w:t>
        <w:t>sd-umoun</w:t>
        <w:t>[</w:t>
        <w:t>15600</w:t>
        <w:t>]</w:t>
        <w:t>: Failed to unmount /oldroot: Device or resource busy</w:t>
        <w:t xml:space="preserve"> </w:t>
        <w:t>[</w:t>
        <w:t xml:space="preserve"> </w:t>
        <w:t>169</w:t>
        <w:t>.161550</w:t>
        <w:t>]</w:t>
        <w:t xml:space="preserve"> </w:t>
        <w:t>sd-umoun</w:t>
        <w:t>[</w:t>
        <w:t>15601</w:t>
        <w:t>]</w:t>
        <w:t>: Failed to unmount /oldroot/cdrom: Device or resource</w:t>
        <w:t xml:space="preserve"> </w:t>
        <w:t>busy</w:t>
      </w:r>
    </w:p>
    <w:p>
      <w:pPr>
        <w:pStyle w:val="Para 02"/>
      </w:pPr>
      <w:r>
        <w:t>[</w:t>
        <w:t xml:space="preserve"> </w:t>
        <w:t>169</w:t>
        <w:t>.168118</w:t>
        <w:t>]</w:t>
        <w:t xml:space="preserve"> </w:t>
        <w:t>shutdown</w:t>
        <w:t>[</w:t>
        <w:t>1</w:t>
        <w:t>]</w:t>
        <w:t>: Failed to finalize</w:t>
        <w:t xml:space="preserve"> </w:t>
        <w:t>file systems, loop devices, ignoring</w:t>
        <w:t xml:space="preserve"> </w:t>
        <w:t>Total:</w:t>
        <w:t xml:space="preserve"> </w:t>
        <w:t>282</w:t>
        <w:t xml:space="preserve"> </w:t>
        <w:t>Selected:</w:t>
        <w:t xml:space="preserve"> </w:t>
        <w:t>0</w:t>
      </w:r>
    </w:p>
    <w:p>
      <w:pPr>
        <w:pStyle w:val="Para 02"/>
      </w:pPr>
      <w:r>
        <w:t>Command:</w:t>
      </w:r>
    </w:p>
    <w:p>
      <w:pPr>
        <w:pStyle w:val="Para 17"/>
      </w:pPr>
      <w:r>
        <w:t/>
      </w:r>
    </w:p>
    <w:p>
      <w:pPr>
        <w:pStyle w:val="Para 04"/>
      </w:pPr>
      <w:r>
        <w:t>• …and that the post-install reboot gets triggered:</w:t>
      </w:r>
    </w:p>
    <w:p>
      <w:pPr>
        <w:pStyle w:val="Para 02"/>
      </w:pPr>
      <w:r>
        <w:t>Message</w:t>
      </w:r>
    </w:p>
    <w:p>
      <w:pPr>
        <w:pStyle w:val="Para 02"/>
      </w:pPr>
      <w:r>
        <w:t>Mounting</w:t>
        <w:t xml:space="preserve"> </w:t>
        <w:t>[</w:t>
        <w:t>0</w:t>
        <w:t>;</w:t>
        <w:t>1</w:t>
        <w:t>;39mKernel Configuration File System</w:t>
        <w:t>[</w:t>
        <w:t>0m...</w:t>
        <w:t xml:space="preserve"> </w:t>
        <w:t>Starting</w:t>
        <w:t xml:space="preserve"> </w:t>
        <w:t>[</w:t>
        <w:t>0</w:t>
        <w:t>;</w:t>
        <w:t>1</w:t>
        <w:t>;39mApply Kernel Variables</w:t>
        <w:t>[</w:t>
        <w:t>0m...</w:t>
        <w:t xml:space="preserve"> </w:t>
        <w:t>[[</w:t>
        <w:t>0</w:t>
        <w:t>;32m</w:t>
        <w:t xml:space="preserve"> </w:t>
        <w:t>OK</w:t>
        <w:t xml:space="preserve"> </w:t>
        <w:t>[</w:t>
        <w:t>0m</w:t>
        <w:t>]</w:t>
        <w:t xml:space="preserve"> </w:t>
        <w:t>Finished</w:t>
        <w:t xml:space="preserve"> </w:t>
        <w:t>[</w:t>
        <w:t>0</w:t>
        <w:t>;</w:t>
        <w:t>1</w:t>
        <w:t>;39mRemount Root and Kernel File Systems</w:t>
        <w:t>[</w:t>
        <w:t>0m.</w:t>
        <w:t xml:space="preserve"> </w:t>
        <w:t>[[</w:t>
        <w:t>0</w:t>
        <w:t>;32m</w:t>
        <w:t xml:space="preserve"> </w:t>
        <w:t>OK</w:t>
        <w:t xml:space="preserve"> </w:t>
        <w:t>[</w:t>
        <w:t>0m</w:t>
        <w:t>]</w:t>
        <w:t xml:space="preserve"> </w:t>
        <w:t>Finished</w:t>
        <w:t xml:space="preserve"> </w:t>
        <w:t>[</w:t>
        <w:t>0</w:t>
        <w:t>;</w:t>
        <w:t>1</w:t>
        <w:t>;39mUncomplicated firewall</w:t>
        <w:t>[</w:t>
        <w:t>0m.</w:t>
        <w:t xml:space="preserve"> </w:t>
        <w:t>[[</w:t>
        <w:t>0</w:t>
        <w:t>;32m</w:t>
        <w:t xml:space="preserve"> </w:t>
        <w:t>OK</w:t>
        <w:t xml:space="preserve"> </w:t>
        <w:t>[</w:t>
        <w:t>0m</w:t>
        <w:t>]</w:t>
        <w:t xml:space="preserve"> </w:t>
        <w:t>Mounted</w:t>
        <w:t xml:space="preserve"> </w:t>
        <w:t>[</w:t>
        <w:t>0</w:t>
        <w:t>;</w:t>
        <w:t>1</w:t>
        <w:t>;39mFUSE Control File System</w:t>
        <w:t>[</w:t>
        <w:t>0m.</w:t>
        <w:t xml:space="preserve"> </w:t>
        <w:t>[[</w:t>
        <w:t>0</w:t>
        <w:t>;32m</w:t>
        <w:t xml:space="preserve"> </w:t>
        <w:t>OK</w:t>
        <w:t xml:space="preserve"> </w:t>
        <w:t>[</w:t>
        <w:t>0m</w:t>
        <w:t>]</w:t>
        <w:t xml:space="preserve"> </w:t>
        <w:t>Mounted</w:t>
        <w:t xml:space="preserve"> </w:t>
        <w:t>[</w:t>
        <w:t>0</w:t>
        <w:t>;</w:t>
        <w:t>1</w:t>
        <w:t>;39mKernel Configuration File System</w:t>
        <w:t>[</w:t>
        <w:t>0m.</w:t>
        <w:t xml:space="preserve"> </w:t>
        <w:t>...</w:t>
      </w:r>
    </w:p>
    <w:p>
      <w:pPr>
        <w:pStyle w:val="Para 02"/>
      </w:pPr>
      <w:r>
        <w:t>[</w:t>
        <w:t xml:space="preserve"> </w:t>
        <w:t>35</w:t>
        <w:t>.378928</w:t>
        <w:t>]</w:t>
        <w:t xml:space="preserve"> </w:t>
        <w:t>cloud-init</w:t>
        <w:t>[</w:t>
        <w:t>2565</w:t>
        <w:t>]</w:t>
        <w:t>: Cloud-init v.</w:t>
        <w:t xml:space="preserve"> </w:t>
        <w:t>20</w:t>
        <w:t>.1-10-g71af48df-0ubuntu5 runnin</w:t>
        <w:t xml:space="preserve"> </w:t>
        <w:t>g</w:t>
        <w:t xml:space="preserve"> </w:t>
        <w:t>'modules:final'</w:t>
        <w:t xml:space="preserve"> </w:t>
        <w:t>at Fri,</w:t>
        <w:t xml:space="preserve"> </w:t>
        <w:t>26</w:t>
        <w:t xml:space="preserve"> </w:t>
        <w:t>Jun</w:t>
        <w:t xml:space="preserve"> </w:t>
        <w:t>2020 11</w:t>
        <w:t>:10:44 +0000. Up</w:t>
        <w:t xml:space="preserve"> </w:t>
        <w:t>35</w:t>
        <w:t>.29 seconds.</w:t>
        <w:t xml:space="preserve"> </w:t>
        <w:t>[</w:t>
        <w:t xml:space="preserve"> </w:t>
        <w:t>35</w:t>
        <w:t>.378978</w:t>
        <w:t>]</w:t>
        <w:t xml:space="preserve"> </w:t>
        <w:t>cloud-init</w:t>
        <w:t>[</w:t>
        <w:t>2565</w:t>
        <w:t>]</w:t>
        <w:t>: Cloud-init v.</w:t>
        <w:t xml:space="preserve"> </w:t>
        <w:t>20</w:t>
        <w:t>.1-10-g71af48df-0ubuntu5 finish</w:t>
        <w:t xml:space="preserve"> </w:t>
        <w:t>ed at Fri,</w:t>
        <w:t xml:space="preserve"> </w:t>
        <w:t>26</w:t>
        <w:t xml:space="preserve"> </w:t>
        <w:t>Jun</w:t>
        <w:t xml:space="preserve"> </w:t>
        <w:t>2020 11</w:t>
        <w:t>:10:44 +0000. Datasource DataSourceNone.</w:t>
        <w:t xml:space="preserve"> </w:t>
        <w:t>Up</w:t>
        <w:t xml:space="preserve"> </w:t>
        <w:t>35</w:t>
        <w:t>.37 seconds</w:t>
        <w:t xml:space="preserve"> </w:t>
        <w:t>[</w:t>
        <w:t xml:space="preserve"> </w:t>
        <w:t>35</w:t>
        <w:t>.379008</w:t>
        <w:t>]</w:t>
        <w:t xml:space="preserve"> </w:t>
        <w:t>cloud-init</w:t>
        <w:t>[</w:t>
        <w:t>2565</w:t>
        <w:t>]</w:t>
        <w:t>:</w:t>
        <w:t xml:space="preserve"> </w:t>
        <w:t>2020</w:t>
        <w:t>-06-26</w:t>
        <w:t xml:space="preserve"> </w:t>
        <w:t>11</w:t>
        <w:t>:10:44,359 - cc_final_message.py</w:t>
        <w:t>[</w:t>
        <w:t>W</w:t>
        <w:t xml:space="preserve"> </w:t>
        <w:t>ARNING</w:t>
        <w:t>]</w:t>
        <w:t>: Used fallback datasource</w:t>
      </w:r>
    </w:p>
    <w:p>
      <w:pPr>
        <w:pStyle w:val="Para 02"/>
      </w:pPr>
      <w:r>
        <w:t>[[</w:t>
        <w:t>0</w:t>
        <w:t>;32m</w:t>
        <w:t xml:space="preserve"> </w:t>
        <w:t>OK</w:t>
        <w:t xml:space="preserve"> </w:t>
        <w:t>[</w:t>
        <w:t>0m</w:t>
        <w:t>]</w:t>
        <w:t xml:space="preserve"> </w:t>
        <w:t>Finished</w:t>
        <w:t xml:space="preserve"> </w:t>
        <w:t>[</w:t>
        <w:t>0</w:t>
        <w:t>;</w:t>
        <w:t>1</w:t>
        <w:t>;39mExecute cloud user/final scripts</w:t>
        <w:t>[</w:t>
        <w:t>0m.</w:t>
        <w:t xml:space="preserve"> </w:t>
        <w:t>[[</w:t>
        <w:t>0</w:t>
        <w:t>;32m</w:t>
        <w:t xml:space="preserve"> </w:t>
        <w:t>OK</w:t>
        <w:t xml:space="preserve"> </w:t>
        <w:t>[</w:t>
        <w:t>0m</w:t>
        <w:t>]</w:t>
        <w:t xml:space="preserve"> </w:t>
        <w:t>Reached target</w:t>
        <w:t xml:space="preserve"> </w:t>
        <w:t>[</w:t>
        <w:t>0</w:t>
        <w:t>;</w:t>
        <w:t>1</w:t>
        <w:t>;39mCloud-init target</w:t>
        <w:t>[</w:t>
        <w:t>0m.</w:t>
      </w:r>
    </w:p>
    <w:p>
      <w:pPr>
        <w:pStyle w:val="Para 02"/>
      </w:pPr>
      <w:r>
        <w:t>zlinlpar login:</w:t>
      </w:r>
    </w:p>
    <w:p>
      <w:pPr>
        <w:pStyle w:val="Para 17"/>
      </w:pPr>
      <w:r>
        <w:t/>
      </w:r>
    </w:p>
    <w:p>
      <w:pPr>
        <w:pStyle w:val="Para 04"/>
      </w:pPr>
      <w:r>
        <w:t>• With the completion of the reboot, the autoinstall is finished and the LPAR is ready to</w:t>
      </w:r>
    </w:p>
    <w:p>
      <w:pPr>
        <w:pStyle w:val="Para 02"/>
      </w:pPr>
      <w:r>
        <w:t>use:</w:t>
      </w:r>
    </w:p>
    <w:p>
      <w:bookmarkStart w:id="155" w:name="page_1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3"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117"/>
                    <a:stretch>
                      <a:fillRect/>
                    </a:stretch>
                  </pic:blipFill>
                  <pic:spPr>
                    <a:xfrm>
                      <a:off x="0" y="0"/>
                      <a:ext cx="914400" cy="266700"/>
                    </a:xfrm>
                    <a:prstGeom prst="rect">
                      <a:avLst/>
                    </a:prstGeom>
                  </pic:spPr>
                </pic:pic>
              </a:graphicData>
            </a:graphic>
          </wp:anchor>
        </w:drawing>
      </w:r>
      <w:bookmarkEnd w:id="155"/>
    </w:p>
    <w:p>
      <w:pPr>
        <w:pStyle w:val="Para 02"/>
      </w:pPr>
      <w:r>
        <w:t>user@workstation:~$ ssh-keygen -f "/home/user/.ssh/known_hosts" -R "zlinlpar"</w:t>
        <w:t xml:space="preserve"> </w:t>
        <w:t># Host zlinlpar found: line 163</w:t>
      </w:r>
    </w:p>
    <w:p>
      <w:pPr>
        <w:pStyle w:val="Para 02"/>
      </w:pPr>
      <w:r>
        <w:t>/home/user/.ssh/known_hosts updated.</w:t>
      </w:r>
    </w:p>
    <w:p>
      <w:pPr>
        <w:pStyle w:val="Para 02"/>
      </w:pPr>
      <w:r>
        <w:t>Original contents retained as /home/user/.ssh/known_hosts.old</w:t>
        <w:t xml:space="preserve"> </w:t>
        <w:t>user@workstation:~$ ssh ubuntu@zlinlpar</w:t>
      </w:r>
    </w:p>
    <w:p>
      <w:pPr>
        <w:pStyle w:val="Para 02"/>
      </w:pPr>
      <w:r>
        <w:t>The authenticity of host 'zlinlpar (10.11.12.42)' can't be established.</w:t>
        <w:t xml:space="preserve"> </w:t>
        <w:t>ECDSA key fingerprint is SHA256:iGtCArEg+ZnoZlgtOkvmyy0gPY8UEI+f7zoISOF+m/0.</w:t>
        <w:t xml:space="preserve"> </w:t>
        <w:t>Are you sure you want to continue connecting (yes/no/[fingerprint])? yes</w:t>
        <w:t xml:space="preserve"> </w:t>
        <w:t>Warning: Permanently added 'zlinlpar,10.11.12.42' (ECDSA) to the list of known hosts.</w:t>
        <w:t xml:space="preserve"> </w:t>
        <w:t>Welcome to Ubuntu 20.04 LTS (GNU/Linux 5.4.0-39-generic s390x)</w:t>
      </w:r>
    </w:p>
    <w:p>
      <w:pPr>
        <w:pStyle w:val="Para 06"/>
      </w:pPr>
      <w:r>
        <w:t>* Documentation:</w:t>
        <w:t xml:space="preserve"> </w:t>
        <w:t>https://help.ubuntu.com</w:t>
        <w:t xml:space="preserve"> </w:t>
        <w:t>* Management:</w:t>
        <w:t xml:space="preserve"> </w:t>
        <w:t>https://landscape.canonical.com</w:t>
        <w:t xml:space="preserve"> </w:t>
        <w:t>* Support:</w:t>
        <w:t xml:space="preserve"> </w:t>
        <w:t>https://ubuntu.com/pro</w:t>
      </w:r>
    </w:p>
    <w:p>
      <w:pPr>
        <w:pStyle w:val="Para 06"/>
      </w:pPr>
      <w:r>
        <w:t>System information as of Fri 26 Jun 2020 11:12:23 AM UTC</w:t>
      </w:r>
    </w:p>
    <w:p>
      <w:pPr>
        <w:pStyle w:val="Para 06"/>
      </w:pPr>
      <w:r>
        <w:t>System load: 0.21</w:t>
        <w:t xml:space="preserve"> </w:t>
        <w:t>Memory usage: 3%</w:t>
        <w:t xml:space="preserve"> </w:t>
        <w:t>Processes:</w:t>
        <w:t xml:space="preserve"> </w:t>
        <w:t>189</w:t>
        <w:t xml:space="preserve"> </w:t>
        <w:t>Usage of /:</w:t>
        <w:t xml:space="preserve"> </w:t>
        <w:t>28.2% of 30.88GB</w:t>
        <w:t xml:space="preserve"> </w:t>
        <w:t>Swap usage:</w:t>
        <w:t xml:space="preserve"> </w:t>
        <w:t>0%</w:t>
        <w:t xml:space="preserve"> </w:t>
        <w:t>Users logged in: 0</w:t>
      </w:r>
    </w:p>
    <w:p>
      <w:pPr>
        <w:pStyle w:val="Para 02"/>
      </w:pPr>
      <w:r>
        <w:t>10 updates can be installed immediately.</w:t>
      </w:r>
    </w:p>
    <w:p>
      <w:pPr>
        <w:pStyle w:val="Para 02"/>
      </w:pPr>
      <w:r>
        <w:t>0 of these updates are security updates.</w:t>
      </w:r>
    </w:p>
    <w:p>
      <w:pPr>
        <w:pStyle w:val="Para 02"/>
      </w:pPr>
      <w:r>
        <w:t>To see these additional updates run: apt list --upgradable</w:t>
      </w:r>
    </w:p>
    <w:p>
      <w:pPr>
        <w:pStyle w:val="Para 02"/>
      </w:pPr>
      <w:r>
        <w:t>The programs included with the Ubuntu system are free software;</w:t>
        <w:t xml:space="preserve"> </w:t>
        <w:t>the exact distribution terms for each program are described in the</w:t>
        <w:t xml:space="preserve"> </w:t>
        <w:t>individual files in /usr/share/doc/*/copyright.</w:t>
      </w:r>
    </w:p>
    <w:p>
      <w:pPr>
        <w:pStyle w:val="Para 02"/>
      </w:pPr>
      <w:r>
        <w:t>Ubuntu comes with ABSOLUTELY NO WARRANTY,</w:t>
      </w:r>
    </w:p>
    <w:p>
      <w:pPr>
        <w:pStyle w:val="Para 02"/>
      </w:pPr>
      <w:r>
        <w:t>to the extent permitted by applicable law.</w:t>
      </w:r>
    </w:p>
    <w:p>
      <w:pPr>
        <w:pStyle w:val="Para 02"/>
      </w:pPr>
      <w:r>
        <w:t>To run a command as administrator (user "root"), use "sudo &lt;command&gt;".</w:t>
        <w:t xml:space="preserve"> </w:t>
        <w:t>See "man sudo_root" for details.</w:t>
      </w:r>
    </w:p>
    <w:p>
      <w:pPr>
        <w:pStyle w:val="Para 02"/>
      </w:pPr>
      <w:r>
        <w:t>ubuntu@zlinlpar:~$ uptime</w:t>
      </w:r>
    </w:p>
    <w:p>
      <w:pPr>
        <w:pStyle w:val="Para 06"/>
      </w:pPr>
      <w:r>
        <w:t>11:12:35 up 2 min,</w:t>
        <w:t xml:space="preserve"> </w:t>
        <w:t>1 user,</w:t>
        <w:t xml:space="preserve"> </w:t>
        <w:t>load average: 0.18, 0.17, 0.08</w:t>
      </w:r>
    </w:p>
    <w:p>
      <w:pPr>
        <w:pStyle w:val="Para 02"/>
      </w:pPr>
      <w:r>
        <w:t>ubuntu@zlinlpar:~$ lsb_release -a</w:t>
      </w:r>
    </w:p>
    <w:p>
      <w:pPr>
        <w:pStyle w:val="Para 02"/>
      </w:pPr>
      <w:r>
        <w:t>No LSB modules are available.</w:t>
      </w:r>
    </w:p>
    <w:p>
      <w:pPr>
        <w:pStyle w:val="Para 02"/>
      </w:pPr>
      <w:r>
        <w:t>Distributor ID:</w:t>
        <w:t xml:space="preserve"> </w:t>
        <w:t>Ubuntu</w:t>
      </w:r>
    </w:p>
    <w:p>
      <w:pPr>
        <w:pStyle w:val="Para 02"/>
      </w:pPr>
      <w:r>
        <w:t>Description:</w:t>
        <w:t xml:space="preserve"> </w:t>
        <w:t>Ubuntu 20.04 LTS</w:t>
        <w:t xml:space="preserve"> </w:t>
        <w:t>Release:</w:t>
        <w:t xml:space="preserve"> </w:t>
        <w:t>20.04</w:t>
      </w:r>
    </w:p>
    <w:p>
      <w:pPr>
        <w:pStyle w:val="Para 02"/>
      </w:pPr>
      <w:r>
        <w:t>Codename:</w:t>
        <w:t xml:space="preserve"> </w:t>
        <w:t>focal</w:t>
      </w:r>
    </w:p>
    <w:p>
      <w:pPr>
        <w:pStyle w:val="Para 02"/>
      </w:pPr>
      <w:r>
        <w:t>ubuntu@zlinlpar:~$ uname -a</w:t>
      </w:r>
    </w:p>
    <w:p>
      <w:pPr>
        <w:pStyle w:val="Para 02"/>
      </w:pPr>
      <w:r>
        <w:t>Linux zlinlpar 5.4.0-39-generic #43-Ubuntu SMP Fri Jun 19 10:27:17</w:t>
        <w:t xml:space="preserve"> </w:t>
        <w:t>UTC 2020 s390x s390x s390x</w:t>
      </w:r>
    </w:p>
    <w:p>
      <w:pPr>
        <w:pStyle w:val="Para 02"/>
      </w:pPr>
      <w:r>
        <w:t>GNU/Linux</w:t>
      </w:r>
    </w:p>
    <w:p>
      <w:pPr>
        <w:pStyle w:val="Para 02"/>
      </w:pPr>
      <w:r>
        <w:t>ubuntu@zlinlpar:~$ lszdev | grep yes</w:t>
      </w:r>
    </w:p>
    <w:p>
      <w:pPr>
        <w:pStyle w:val="Para 02"/>
      </w:pPr>
      <w:r>
        <w:t>zfcp-host</w:t>
        <w:t xml:space="preserve"> </w:t>
        <w:t>0.0.e000</w:t>
        <w:t xml:space="preserve"> </w:t>
        <w:t>yes</w:t>
        <w:t xml:space="preserve"> </w:t>
        <w:t>yes</w:t>
        <w:t xml:space="preserve"> </w:t>
        <w:t>zfcp-host</w:t>
        <w:t xml:space="preserve"> </w:t>
        <w:t>0.0.e100</w:t>
        <w:t xml:space="preserve"> </w:t>
        <w:t>yes</w:t>
        <w:t xml:space="preserve"> </w:t>
        <w:t>yes</w:t>
        <w:t xml:space="preserve"> </w:t>
        <w:t>zfcp-lun</w:t>
        <w:t xml:space="preserve"> </w:t>
        <w:t>0.0.e000:0x50050763060b16b6:0x4026400200000000</w:t>
        <w:t xml:space="preserve"> </w:t>
        <w:t>yes</w:t>
        <w:t xml:space="preserve"> </w:t>
        <w:t>yes</w:t>
        <w:t xml:space="preserve"> </w:t>
        <w:t>sdb sg1</w:t>
      </w:r>
    </w:p>
    <w:p>
      <w:pPr>
        <w:pStyle w:val="Para 02"/>
      </w:pPr>
      <w:r>
        <w:t>zfcp-lun</w:t>
        <w:t xml:space="preserve"> </w:t>
        <w:t>0.0.e000:0x50050763061b16b6:0x4026400200000000</w:t>
        <w:t xml:space="preserve"> </w:t>
        <w:t>yes</w:t>
        <w:t xml:space="preserve"> </w:t>
        <w:t>yes</w:t>
        <w:t xml:space="preserve"> </w:t>
        <w:t>sda sg0</w:t>
      </w:r>
    </w:p>
    <w:p>
      <w:pPr>
        <w:pStyle w:val="Para 02"/>
      </w:pPr>
      <w:r>
        <w:t>zfcp-lun</w:t>
        <w:t xml:space="preserve"> </w:t>
        <w:t>0.0.e100:0x50050763060b16b6:0x4026400200000000</w:t>
        <w:t xml:space="preserve"> </w:t>
        <w:t>yes</w:t>
        <w:t xml:space="preserve"> </w:t>
        <w:t>yes</w:t>
        <w:t xml:space="preserve"> </w:t>
        <w:t>sdc sg2</w:t>
      </w:r>
    </w:p>
    <w:p>
      <w:pPr>
        <w:pStyle w:val="Para 02"/>
      </w:pPr>
      <w:r>
        <w:t>zfcp-lun</w:t>
        <w:t xml:space="preserve"> </w:t>
        <w:t>0.0.e100:0x50050763061b16b6:0x4026400200000000</w:t>
        <w:t xml:space="preserve"> </w:t>
        <w:t>yes</w:t>
        <w:t xml:space="preserve"> </w:t>
        <w:t>yes</w:t>
        <w:t xml:space="preserve"> </w:t>
        <w:t>sdd sg3</w:t>
      </w:r>
    </w:p>
    <w:p>
      <w:pPr>
        <w:pStyle w:val="Para 09"/>
      </w:pPr>
      <w:r>
        <w:t>(continues on next page)</w:t>
      </w:r>
    </w:p>
    <w:p>
      <w:bookmarkStart w:id="156" w:name="page_1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4"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118"/>
                    <a:stretch>
                      <a:fillRect/>
                    </a:stretch>
                  </pic:blipFill>
                  <pic:spPr>
                    <a:xfrm>
                      <a:off x="0" y="0"/>
                      <a:ext cx="914400" cy="266700"/>
                    </a:xfrm>
                    <a:prstGeom prst="rect">
                      <a:avLst/>
                    </a:prstGeom>
                  </pic:spPr>
                </pic:pic>
              </a:graphicData>
            </a:graphic>
          </wp:anchor>
        </w:drawing>
      </w:r>
      <w:bookmarkEnd w:id="156"/>
    </w:p>
    <w:p>
      <w:pPr>
        <w:pStyle w:val="Para 09"/>
      </w:pPr>
      <w:r>
        <w:t>(continued from previous page)</w:t>
      </w:r>
    </w:p>
    <w:p>
      <w:pPr>
        <w:pStyle w:val="Para 02"/>
      </w:pPr>
      <w:r>
        <w:t>qeth</w:t>
        <w:t xml:space="preserve"> </w:t>
        <w:t>0.0.c000:0.0.c001:0.0.c002</w:t>
        <w:t xml:space="preserve"> </w:t>
        <w:t>yes</w:t>
        <w:t xml:space="preserve"> </w:t>
        <w:t>yes</w:t>
        <w:t xml:space="preserve"> </w:t>
        <w:t>encc000</w:t>
        <w:t xml:space="preserve"> </w:t>
        <w:t>ubuntu@zlinlpar:~$ exit</w:t>
      </w:r>
    </w:p>
    <w:p>
      <w:pPr>
        <w:pStyle w:val="Para 02"/>
      </w:pPr>
      <w:r>
        <w:t>logout</w:t>
      </w:r>
    </w:p>
    <w:p>
      <w:pPr>
        <w:pStyle w:val="Para 02"/>
      </w:pPr>
      <w:r>
        <w:t>Connection to zlinlpar closed.</w:t>
      </w:r>
    </w:p>
    <w:p>
      <w:pPr>
        <w:pStyle w:val="Para 02"/>
      </w:pPr>
      <w:r>
        <w:t>user@workstation:~$</w:t>
      </w:r>
    </w:p>
    <w:p>
      <w:pPr>
        <w:pStyle w:val="Para 17"/>
      </w:pPr>
      <w:r>
        <w:t/>
      </w:r>
    </w:p>
    <w:p>
      <w:pPr>
        <w:pStyle w:val="Para 01"/>
      </w:pPr>
      <w:r>
        <w:t>Some closing notes</w:t>
      </w:r>
    </w:p>
    <w:p>
      <w:pPr>
        <w:pStyle w:val="Para 17"/>
      </w:pPr>
      <w:r>
        <w:t/>
      </w:r>
    </w:p>
    <w:p>
      <w:pPr>
        <w:pStyle w:val="Para 04"/>
      </w:pPr>
      <w:r>
        <w:t>• It’s always best to use the latest installer and autoinstall components. Be sure to update</w:t>
      </w:r>
    </w:p>
    <w:p>
      <w:pPr>
        <w:pStyle w:val="Para 02"/>
      </w:pPr>
      <w:r>
        <w:t>the installer to the most recent version, or just use a current daily live-server image.</w:t>
      </w:r>
    </w:p>
    <w:p>
      <w:pPr>
        <w:pStyle w:val="Para 04"/>
      </w:pPr>
      <w:r>
        <w:t>• The ISO image specified with the kernel parameters needs to fit in the boot folder. Its</w:t>
      </w:r>
    </w:p>
    <w:p>
      <w:pPr>
        <w:pStyle w:val="Para 02"/>
      </w:pPr>
      <w:r>
        <w:t>kernel and initrd are specified in the ‘Load from Removable Media and Server’ task at the hardware management console (HMC).</w:t>
      </w:r>
    </w:p>
    <w:p>
      <w:pPr>
        <w:pStyle w:val="Para 04"/>
      </w:pPr>
      <w:r>
        <w:t>• In addition to activating disk storage resources in early-commands, other devices like</w:t>
      </w:r>
    </w:p>
    <w:p>
      <w:pPr>
        <w:pStyle w:val="Para 02"/>
      </w:pPr>
      <w:r>
        <w:t>OSA/QETH can be added and activated there, too. This is not needed for the basic net-work device, as specified in the kernel parameters used for the installation (that one is automatically handled).</w:t>
      </w:r>
    </w:p>
    <w:p>
      <w:pPr>
        <w:pStyle w:val="Para 04"/>
      </w:pPr>
      <w:r>
        <w:t>• If everything is properly set up – FTP server for the image, HTTP server for the autoin-</w:t>
      </w:r>
    </w:p>
    <w:p>
      <w:pPr>
        <w:pStyle w:val="Para 02"/>
      </w:pPr>
      <w:r>
        <w:t>stall config files – the installation can be as quick as 2 to 3 minutes. Of course this depends on the complexity of the autoinstall YAML file.</w:t>
      </w:r>
    </w:p>
    <w:p>
      <w:pPr>
        <w:pStyle w:val="Para 04"/>
      </w:pPr>
      <w:r>
        <w:t>• There is a simple way of generating a sample autoinstall YAML file; one can perform an</w:t>
      </w:r>
    </w:p>
    <w:p>
      <w:pPr>
        <w:pStyle w:val="Para 02"/>
      </w:pPr>
      <w:r>
        <w:t>interactive Subiquity installation, grab the file /var/log/installer/autoinstall-user-data, and use it as an example – but beware that the early-commands entries to activate the s390x-specific devices need to be added manually!</w:t>
      </w:r>
    </w:p>
    <w:p>
      <w:pPr>
        <w:pStyle w:val="Para 24"/>
      </w:pPr>
      <w:r>
        <w:t>3.2.2. Security</w:t>
      </w:r>
    </w:p>
    <w:p>
      <w:pPr>
        <w:pStyle w:val="Normal"/>
      </w:pPr>
      <w:hyperlink w:anchor="page_112">
        <w:r>
          <w:rPr>
            <w:rStyle w:val="Text2"/>
          </w:rPr>
          <w:t>System security</w:t>
        </w:r>
      </w:hyperlink>
      <w:r>
        <w:t xml:space="preserve"> (page 111) is a crucial topic for any Ubuntu user. In addition to general security topics such as setting up a firewall, AppArmor profiles and user/group management, you will also find how-to guides on:</w:t>
      </w:r>
    </w:p>
    <w:p>
      <w:pPr>
        <w:pStyle w:val="Para 04"/>
      </w:pPr>
      <w:r>
        <w:t xml:space="preserve">• </w:t>
      </w:r>
      <w:r>
        <w:rPr>
          <w:rStyle w:val="Text0"/>
        </w:rPr>
        <w:t>Authentication</w:t>
      </w:r>
      <w:r>
        <w:t xml:space="preserve"> with Kerberos, network user authentication with SSSD and physical au-</w:t>
      </w:r>
    </w:p>
    <w:p>
      <w:pPr>
        <w:pStyle w:val="Para 02"/>
      </w:pPr>
      <w:r>
        <w:t>thentication with smart cards</w:t>
      </w:r>
    </w:p>
    <w:p>
      <w:pPr>
        <w:pStyle w:val="Para 04"/>
      </w:pPr>
      <w:r>
        <w:t xml:space="preserve">• </w:t>
      </w:r>
      <w:r>
        <w:rPr>
          <w:rStyle w:val="Text0"/>
        </w:rPr>
        <w:t>Cryptography</w:t>
      </w:r>
      <w:r>
        <w:t xml:space="preserve"> with OpenSSH</w:t>
      </w:r>
    </w:p>
    <w:p>
      <w:pPr>
        <w:pStyle w:val="Para 04"/>
      </w:pPr>
      <w:r>
        <w:t xml:space="preserve">• </w:t>
      </w:r>
      <w:r>
        <w:rPr>
          <w:rStyle w:val="Text0"/>
        </w:rPr>
        <w:t>Virtual Private Networks</w:t>
      </w:r>
      <w:r>
        <w:t xml:space="preserve"> OpenVPN and WireGuard VPN</w:t>
      </w:r>
    </w:p>
    <w:p>
      <w:pPr>
        <w:pStyle w:val="Para 17"/>
      </w:pPr>
      <w:r>
        <w:t/>
      </w:r>
    </w:p>
    <w:p>
      <w:pPr>
        <w:pStyle w:val="Para 01"/>
      </w:pPr>
      <w:r>
        <w:t>Security</w:t>
      </w:r>
    </w:p>
    <w:p>
      <w:pPr>
        <w:pStyle w:val="Para 17"/>
      </w:pPr>
      <w:r>
        <w:t/>
      </w:r>
    </w:p>
    <w:p>
      <w:pPr>
        <w:pStyle w:val="Normal"/>
      </w:pPr>
      <w:r>
        <w:t>While a fresh Ubuntu installation is usually safe for immediate use, there are some additional steps you can take to introduce a layered approach to your system’s security. If you are new</w:t>
      </w:r>
    </w:p>
    <w:p>
      <w:pPr>
        <w:pStyle w:val="Normal"/>
      </w:pPr>
      <w:r>
        <w:t xml:space="preserve">to Ubuntu, you may want to refer to our </w:t>
      </w:r>
      <w:hyperlink w:anchor="page_733">
        <w:r>
          <w:rPr>
            <w:rStyle w:val="Text2"/>
          </w:rPr>
          <w:t>Introduction to security</w:t>
        </w:r>
      </w:hyperlink>
      <w:r>
        <w:t xml:space="preserve"> (page 732) first for a general overview.</w:t>
      </w:r>
    </w:p>
    <w:p>
      <w:bookmarkStart w:id="157" w:name="page_1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5"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119"/>
                    <a:stretch>
                      <a:fillRect/>
                    </a:stretch>
                  </pic:blipFill>
                  <pic:spPr>
                    <a:xfrm>
                      <a:off x="0" y="0"/>
                      <a:ext cx="914400" cy="266700"/>
                    </a:xfrm>
                    <a:prstGeom prst="rect">
                      <a:avLst/>
                    </a:prstGeom>
                  </pic:spPr>
                </pic:pic>
              </a:graphicData>
            </a:graphic>
          </wp:anchor>
        </w:drawing>
      </w:r>
      <w:bookmarkEnd w:id="157"/>
    </w:p>
    <w:p>
      <w:pPr>
        <w:pStyle w:val="Para 01"/>
      </w:pPr>
      <w:r>
        <w:t>General configuration</w:t>
      </w:r>
    </w:p>
    <w:p>
      <w:pPr>
        <w:pStyle w:val="Para 17"/>
      </w:pPr>
      <w:r>
        <w:t/>
      </w:r>
    </w:p>
    <w:p>
      <w:pPr>
        <w:pStyle w:val="Para 04"/>
      </w:pPr>
      <w:r>
        <w:t xml:space="preserve">• </w:t>
      </w:r>
      <w:hyperlink w:anchor="page_113">
        <w:r>
          <w:rPr>
            <w:rStyle w:val="Text2"/>
          </w:rPr>
          <w:t>Users and groups management</w:t>
        </w:r>
      </w:hyperlink>
      <w:r>
        <w:t xml:space="preserve"> (page 112) for setting up user accounts, permissions and</w:t>
      </w:r>
    </w:p>
    <w:p>
      <w:pPr>
        <w:pStyle w:val="Para 02"/>
      </w:pPr>
      <w:r>
        <w:t>password policies</w:t>
      </w:r>
    </w:p>
    <w:p>
      <w:pPr>
        <w:pStyle w:val="Para 04"/>
      </w:pPr>
      <w:r>
        <w:t xml:space="preserve">• </w:t>
      </w:r>
      <w:hyperlink w:anchor="page_121">
        <w:r>
          <w:rPr>
            <w:rStyle w:val="Text2"/>
          </w:rPr>
          <w:t>Firewalls</w:t>
        </w:r>
      </w:hyperlink>
      <w:r>
        <w:t xml:space="preserve"> (page 120) are recommended for network security</w:t>
      </w:r>
    </w:p>
    <w:p>
      <w:pPr>
        <w:pStyle w:val="Para 04"/>
      </w:pPr>
      <w:r>
        <w:t xml:space="preserve">• </w:t>
      </w:r>
      <w:hyperlink w:anchor="page_128">
        <w:r>
          <w:rPr>
            <w:rStyle w:val="Text2"/>
          </w:rPr>
          <w:t>AppArmor</w:t>
        </w:r>
      </w:hyperlink>
      <w:r>
        <w:t xml:space="preserve"> (page 127) limits permissions and access for the software running on your</w:t>
      </w:r>
    </w:p>
    <w:p>
      <w:pPr>
        <w:pStyle w:val="Para 02"/>
      </w:pPr>
      <w:r>
        <w:t>system</w:t>
      </w:r>
    </w:p>
    <w:p>
      <w:pPr>
        <w:pStyle w:val="Para 04"/>
      </w:pPr>
      <w:r>
        <w:t xml:space="preserve">• </w:t>
      </w:r>
      <w:hyperlink w:anchor="page_135">
        <w:r>
          <w:rPr>
            <w:rStyle w:val="Text2"/>
          </w:rPr>
          <w:t>Console security</w:t>
        </w:r>
      </w:hyperlink>
      <w:r>
        <w:t xml:space="preserve"> (page 134) for an additional physical security barrier</w:t>
      </w:r>
    </w:p>
    <w:p>
      <w:pPr>
        <w:pStyle w:val="Para 04"/>
      </w:pPr>
      <w:r>
        <w:t xml:space="preserve">• </w:t>
      </w:r>
      <w:hyperlink w:anchor="page_135">
        <w:r>
          <w:rPr>
            <w:rStyle w:val="Text2"/>
          </w:rPr>
          <w:t>TPM-backed LUKS decryption</w:t>
        </w:r>
      </w:hyperlink>
      <w:r>
        <w:t xml:space="preserve"> (page 134) to automate decryption of disks</w:t>
      </w:r>
    </w:p>
    <w:p>
      <w:pPr>
        <w:pStyle w:val="Para 17"/>
      </w:pPr>
      <w:r>
        <w:t/>
      </w:r>
    </w:p>
    <w:p>
      <w:pPr>
        <w:pStyle w:val="Para 01"/>
      </w:pPr>
      <w:r>
        <w:t>User management</w:t>
      </w:r>
    </w:p>
    <w:p>
      <w:pPr>
        <w:pStyle w:val="Para 17"/>
      </w:pPr>
      <w:r>
        <w:t/>
      </w:r>
    </w:p>
    <w:p>
      <w:pPr>
        <w:pStyle w:val="Normal"/>
      </w:pPr>
      <w:r>
        <w:t>User management is a critical part of maintaining a secure system. Ineffective user and priv-ilege management often leads to a system being compromised. Therefore, it is important that you understand how to protect your server through simple and effective user account management techniques.</w:t>
      </w:r>
    </w:p>
    <w:p>
      <w:pPr>
        <w:pStyle w:val="Para 17"/>
      </w:pPr>
      <w:r>
        <w:t/>
      </w:r>
    </w:p>
    <w:p>
      <w:pPr>
        <w:pStyle w:val="Para 01"/>
      </w:pPr>
      <w:r>
        <w:t>Where is root?</w:t>
      </w:r>
    </w:p>
    <w:p>
      <w:pPr>
        <w:pStyle w:val="Para 17"/>
      </w:pPr>
      <w:r>
        <w:t/>
      </w:r>
    </w:p>
    <w:p>
      <w:pPr>
        <w:pStyle w:val="Normal"/>
      </w:pPr>
      <w:r>
        <w:t>Ubuntu developers decided to disable the administrative root account by default in all Ubuntu installations. This does not mean that the root account has been deleted, or that it may not be accessed. Instead, it has been given a password hash that matches no possible value, and so may not log in directly by itself.</w:t>
      </w:r>
    </w:p>
    <w:p>
      <w:pPr>
        <w:pStyle w:val="Normal"/>
      </w:pPr>
      <w:r>
        <w:t>Instead, the sudo utility (“superuser do”) is used to carry out system administrative duties. sudo allows an authorized user to temporarily elevate their privileges using their own pass-word instead of having to know the password belonging to the root account. This provides accountability for all user actions, and gives the administrator control over which actions a user can perform with said privileges.</w:t>
      </w:r>
    </w:p>
    <w:p>
      <w:pPr>
        <w:pStyle w:val="Para 17"/>
      </w:pPr>
      <w:r>
        <w:t/>
      </w:r>
    </w:p>
    <w:p>
      <w:pPr>
        <w:pStyle w:val="Para 01"/>
      </w:pPr>
      <w:r>
        <w:t>sudo-rs</w:t>
      </w:r>
    </w:p>
    <w:p>
      <w:pPr>
        <w:pStyle w:val="Para 17"/>
      </w:pPr>
      <w:r>
        <w:t/>
      </w:r>
    </w:p>
    <w:p>
      <w:pPr>
        <w:pStyle w:val="Normal"/>
      </w:pPr>
      <w:r>
        <w:t>From Ubuntu 25.10 (Questing Quokka) onward, sudo is provided by the sudo-rs package (a rust implementation). While sudo-rs is not 100% compatible with sudo.ws, the majority of common use cases are supported and the change should be invisible to most users.</w:t>
      </w:r>
    </w:p>
    <w:p>
      <w:pPr>
        <w:pStyle w:val="Normal"/>
      </w:pPr>
      <w:r>
        <w:t xml:space="preserve">A list of key differences is </w:t>
      </w:r>
      <w:hyperlink w:anchor="page_732">
        <w:r>
          <w:rPr>
            <w:rStyle w:val="Text2"/>
          </w:rPr>
          <w:t>maintained as a reference</w:t>
        </w:r>
      </w:hyperlink>
      <w:r>
        <w:t xml:space="preserve"> (page 731)</w:t>
      </w:r>
    </w:p>
    <w:p>
      <w:pPr>
        <w:pStyle w:val="Normal"/>
      </w:pPr>
      <w:r>
        <w:t>The original sudo utility (maintained by Todd C. Miller), sudo.ws remains supported in the 25.10 and the subsequent 26.04 LTS. You will find these utilities installed with .ws suffix (for example sudo.ws, visudo.ws, etc.). Switching the default back to sudo.ws is not recom-mended, but if you need to do so, follow these steps:</w:t>
      </w:r>
    </w:p>
    <w:p>
      <w:pPr>
        <w:pStyle w:val="Normal"/>
      </w:pPr>
      <w:r>
        <w:t>Interactive:</w:t>
      </w:r>
    </w:p>
    <w:p>
      <w:pPr>
        <w:pStyle w:val="Para 10"/>
      </w:pPr>
      <w:r>
        <w:t># update-alternatives --config sudo</w:t>
      </w:r>
    </w:p>
    <w:p>
      <w:pPr>
        <w:pStyle w:val="Para 17"/>
      </w:pPr>
      <w:r>
        <w:t/>
      </w:r>
    </w:p>
    <w:p>
      <w:pPr>
        <w:pStyle w:val="Normal"/>
      </w:pPr>
      <w:r>
        <w:t>Non-interactive:</w:t>
      </w:r>
    </w:p>
    <w:p>
      <w:bookmarkStart w:id="158" w:name="page_1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6" name="index-114_1.png" descr="index-114_1.png"/>
            <wp:cNvGraphicFramePr>
              <a:graphicFrameLocks noChangeAspect="1"/>
            </wp:cNvGraphicFramePr>
            <a:graphic>
              <a:graphicData uri="http://schemas.openxmlformats.org/drawingml/2006/picture">
                <pic:pic>
                  <pic:nvPicPr>
                    <pic:cNvPr id="0" name="index-114_1.png" descr="index-114_1.png"/>
                    <pic:cNvPicPr/>
                  </pic:nvPicPr>
                  <pic:blipFill>
                    <a:blip r:embed="rId120"/>
                    <a:stretch>
                      <a:fillRect/>
                    </a:stretch>
                  </pic:blipFill>
                  <pic:spPr>
                    <a:xfrm>
                      <a:off x="0" y="0"/>
                      <a:ext cx="914400" cy="266700"/>
                    </a:xfrm>
                    <a:prstGeom prst="rect">
                      <a:avLst/>
                    </a:prstGeom>
                  </pic:spPr>
                </pic:pic>
              </a:graphicData>
            </a:graphic>
          </wp:anchor>
        </w:drawing>
      </w:r>
      <w:bookmarkEnd w:id="158"/>
    </w:p>
    <w:p>
      <w:pPr>
        <w:pStyle w:val="Para 10"/>
      </w:pPr>
      <w:r>
        <w:t># update-alternatives --set sudo /usr/bin/sudo.ws</w:t>
      </w:r>
    </w:p>
    <w:p>
      <w:pPr>
        <w:pStyle w:val="Para 17"/>
      </w:pPr>
      <w:r>
        <w:t/>
      </w:r>
    </w:p>
    <w:p>
      <w:pPr>
        <w:pStyle w:val="Normal"/>
      </w:pPr>
      <w:r>
        <w:t>You can always switch back to sudo-rs using:</w:t>
      </w:r>
    </w:p>
    <w:p>
      <w:pPr>
        <w:pStyle w:val="Para 10"/>
      </w:pPr>
      <w:r>
        <w:t># update-alternatives --set sudo /usr/lib/cargo/bin/sudo</w:t>
      </w:r>
    </w:p>
    <w:p>
      <w:pPr>
        <w:pStyle w:val="Para 17"/>
      </w:pPr>
      <w:r>
        <w:t/>
      </w:r>
    </w:p>
    <w:p>
      <w:pPr>
        <w:pStyle w:val="Normal"/>
      </w:pPr>
      <w:r>
        <w:t xml:space="preserve">You can learn more about the motivation for this change in the blog post </w:t>
      </w:r>
      <w:hyperlink r:id="rId1091">
        <w:r>
          <w:rPr>
            <w:rStyle w:val="Text1"/>
          </w:rPr>
          <w:t>Adopting sudo-rs</w:t>
        </w:r>
      </w:hyperlink>
    </w:p>
    <w:p>
      <w:pPr>
        <w:pStyle w:val="Para 18"/>
      </w:pPr>
      <w:hyperlink r:id="rId1091">
        <w:r>
          <w:t>By Default in Ubuntu 25.10</w:t>
        </w:r>
      </w:hyperlink>
      <w:hyperlink w:anchor="page_114">
        <w:r>
          <w:rPr>
            <w:rStyle w:val="Text10"/>
          </w:rPr>
          <w:t>77</w:t>
        </w:r>
      </w:hyperlink>
    </w:p>
    <w:p>
      <w:pPr>
        <w:pStyle w:val="Normal"/>
      </w:pPr>
      <w:r>
        <w:t>The rest of the article should work the same with both sudo.ws and sudo-rs.</w:t>
      </w:r>
    </w:p>
    <w:p>
      <w:pPr>
        <w:pStyle w:val="Para 17"/>
      </w:pPr>
      <w:r>
        <w:t/>
      </w:r>
    </w:p>
    <w:p>
      <w:pPr>
        <w:pStyle w:val="Para 01"/>
      </w:pPr>
      <w:r>
        <w:t>Enabling the root account</w:t>
      </w:r>
    </w:p>
    <w:p>
      <w:pPr>
        <w:pStyle w:val="Para 17"/>
      </w:pPr>
      <w:r>
        <w:t/>
      </w:r>
    </w:p>
    <w:p>
      <w:pPr>
        <w:pStyle w:val="Normal"/>
      </w:pPr>
      <w:r>
        <w:t>If for some reason you wish to enable the root account, you will need to give it a password:</w:t>
      </w:r>
    </w:p>
    <w:p>
      <w:pPr>
        <w:pStyle w:val="Normal"/>
      </w:pPr>
      <w:r>
        <w:t>sudo passwd</w:t>
      </w:r>
    </w:p>
    <w:p>
      <w:pPr>
        <w:pStyle w:val="Para 17"/>
      </w:pPr>
      <w:r>
        <w:t/>
      </w:r>
    </w:p>
    <w:p>
      <w:pPr>
        <w:pStyle w:val="Normal"/>
      </w:pPr>
      <w:r>
        <w:t>sudo will prompt you for your password, and then ask you to supply a new password for root as shown below:</w:t>
      </w:r>
    </w:p>
    <w:p>
      <w:pPr>
        <w:pStyle w:val="Normal"/>
      </w:pPr>
      <w:r>
        <w:t>[</w:t>
        <w:t>sudo: authenticate</w:t>
        <w:t>]</w:t>
        <w:t xml:space="preserve"> </w:t>
        <w:t>Password:</w:t>
        <w:t xml:space="preserve"> </w:t>
        <w:t>(</w:t>
        <w:t>enter your own password</w:t>
        <w:t>)</w:t>
        <w:t xml:space="preserve"> </w:t>
        <w:t>New password:</w:t>
        <w:t xml:space="preserve"> </w:t>
        <w:t>(</w:t>
        <w:t>enter a new password</w:t>
        <w:t xml:space="preserve"> </w:t>
      </w:r>
      <w:r>
        <w:rPr>
          <w:rStyle w:val="Text0"/>
        </w:rPr>
        <w:t>for</w:t>
      </w:r>
      <w:r>
        <w:t xml:space="preserve"> </w:t>
        <w:t>root</w:t>
        <w:t>)</w:t>
        <w:t xml:space="preserve"> </w:t>
        <w:t>Retype new password:</w:t>
        <w:t xml:space="preserve"> </w:t>
        <w:t>(</w:t>
        <w:t>repeat new password</w:t>
        <w:t xml:space="preserve"> </w:t>
      </w:r>
      <w:r>
        <w:rPr>
          <w:rStyle w:val="Text0"/>
        </w:rPr>
        <w:t>for</w:t>
      </w:r>
      <w:r>
        <w:t xml:space="preserve"> </w:t>
        <w:t>root</w:t>
        <w:t>)</w:t>
        <w:t xml:space="preserve"> </w:t>
        <w:t>passwd: password updated successfully</w:t>
      </w:r>
    </w:p>
    <w:p>
      <w:pPr>
        <w:pStyle w:val="Para 17"/>
      </w:pPr>
      <w:r>
        <w:t/>
      </w:r>
    </w:p>
    <w:p>
      <w:pPr>
        <w:pStyle w:val="Para 01"/>
      </w:pPr>
      <w:r>
        <w:t>Disabling the root account password</w:t>
      </w:r>
    </w:p>
    <w:p>
      <w:pPr>
        <w:pStyle w:val="Para 17"/>
      </w:pPr>
      <w:r>
        <w:t/>
      </w:r>
    </w:p>
    <w:p>
      <w:pPr>
        <w:pStyle w:val="Normal"/>
      </w:pPr>
      <w:r>
        <w:t>To disable the root account password, use the following passwd syntax:</w:t>
      </w:r>
    </w:p>
    <w:p>
      <w:pPr>
        <w:pStyle w:val="Normal"/>
      </w:pPr>
      <w:r>
        <w:t>sudo passwd -l root</w:t>
      </w:r>
    </w:p>
    <w:p>
      <w:pPr>
        <w:pStyle w:val="Para 17"/>
      </w:pPr>
      <w:r>
        <w:t/>
      </w:r>
    </w:p>
    <w:p>
      <w:pPr>
        <w:pStyle w:val="Normal"/>
      </w:pPr>
      <w:r>
        <w:t xml:space="preserve">You can learn more about </w:t>
      </w:r>
      <w:hyperlink r:id="rId1092">
        <w:r>
          <w:rPr>
            <w:rStyle w:val="Text9"/>
          </w:rPr>
          <w:t>78</w:t>
        </w:r>
      </w:hyperlink>
      <w:r>
        <w:t xml:space="preserve"> sudo by reading the </w:t>
      </w:r>
      <w:hyperlink r:id="rId1092">
        <w:r>
          <w:rPr>
            <w:rStyle w:val="Text2"/>
          </w:rPr>
          <w:t>sudo(8)</w:t>
        </w:r>
      </w:hyperlink>
      <w:r>
        <w:t xml:space="preserve"> manual page: man sudo</w:t>
      </w:r>
    </w:p>
    <w:p>
      <w:pPr>
        <w:pStyle w:val="Normal"/>
      </w:pPr>
      <w:r>
        <w:t>By default, the initial user created by the Ubuntu installer is a member of the group sudo which is added to the file /etc/sudoers as an authorized sudo user. To give any other account full root access through sudo, add them to the sudo group.</w:t>
      </w:r>
    </w:p>
    <w:p>
      <w:pPr>
        <w:pStyle w:val="Para 17"/>
      </w:pPr>
      <w:r>
        <w:t/>
      </w:r>
    </w:p>
    <w:p>
      <w:pPr>
        <w:pStyle w:val="Para 01"/>
      </w:pPr>
      <w:r>
        <w:t>Listing, adding, and deleting local users</w:t>
      </w:r>
    </w:p>
    <w:p>
      <w:pPr>
        <w:pStyle w:val="Para 17"/>
      </w:pPr>
      <w:r>
        <w:t/>
      </w:r>
    </w:p>
    <w:p>
      <w:pPr>
        <w:pStyle w:val="Normal"/>
      </w:pPr>
      <w:r>
        <w:t xml:space="preserve">Managing local users and groups differs very little from most other </w:t>
      </w:r>
      <w:hyperlink w:anchor="page_685">
        <w:r>
          <w:rPr>
            <w:rStyle w:val="Text2"/>
          </w:rPr>
          <w:t>GNU</w:t>
        </w:r>
      </w:hyperlink>
      <w:r>
        <w:t xml:space="preserve"> /Linux operating systems. Ubuntu and other Debian-based distributions encourage the use of the adduser package for account management.</w:t>
      </w:r>
    </w:p>
    <w:p>
      <w:pPr>
        <w:pStyle w:val="Normal"/>
      </w:pPr>
      <w:r>
        <w:t>Local users and groups are those defined in the /etc/passwd and /etc/group files, respec-</w:t>
      </w:r>
    </w:p>
    <w:p>
      <w:pPr>
        <w:pStyle w:val="Normal"/>
      </w:pPr>
      <w:r>
        <w:t>tively. Via the Name Service Switch (</w:t>
      </w:r>
      <w:hyperlink w:anchor="page_697">
        <w:r>
          <w:rPr>
            <w:rStyle w:val="Text2"/>
          </w:rPr>
          <w:t>NSS</w:t>
        </w:r>
      </w:hyperlink>
      <w:r>
        <w:t xml:space="preserve"> ) mechanism, however, user and group accounts can also come from other sources, like remote Active Directory or Samba servers, OpenLDAP directory services, and more. Managing accounts in those services in an entirely different matter, and not covered in this document.</w:t>
      </w:r>
    </w:p>
    <w:p>
      <w:pPr>
        <w:pStyle w:val="Para 05"/>
      </w:pPr>
      <w:r>
        <w:rPr>
          <w:rStyle w:val="Text5"/>
        </w:rPr>
        <w:t>77</w:t>
      </w:r>
      <w:r>
        <w:rPr>
          <w:rStyle w:val="Text8"/>
        </w:rPr>
        <w:t xml:space="preserve"> </w:t>
      </w:r>
      <w:r>
        <w:t>https://discourse.ubuntu.com/t/adopting-sudo-rs-by-default-in-ubuntu-25-10/60583</w:t>
      </w:r>
    </w:p>
    <w:p>
      <w:pPr>
        <w:pStyle w:val="Para 05"/>
      </w:pPr>
      <w:r>
        <w:rPr>
          <w:rStyle w:val="Text5"/>
        </w:rPr>
        <w:t>78</w:t>
      </w:r>
      <w:r>
        <w:rPr>
          <w:rStyle w:val="Text8"/>
        </w:rPr>
        <w:t xml:space="preserve"> </w:t>
      </w:r>
      <w:r>
        <w:t>https://manpages.ubuntu.com/manpages/resolute/man8/sudo.8.html</w:t>
      </w:r>
      <w:r>
        <w:rPr>
          <w:rStyle w:val="Text8"/>
        </w:rPr>
        <w:t xml:space="preserve"> </w:t>
      </w:r>
      <w:r>
        <w:rPr>
          <w:rStyle w:val="Text11"/>
        </w:rPr>
        <w:t>Listing local users</w:t>
      </w:r>
    </w:p>
    <w:p>
      <w:bookmarkStart w:id="159" w:name="page_1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7"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121"/>
                    <a:stretch>
                      <a:fillRect/>
                    </a:stretch>
                  </pic:blipFill>
                  <pic:spPr>
                    <a:xfrm>
                      <a:off x="0" y="0"/>
                      <a:ext cx="914400" cy="266700"/>
                    </a:xfrm>
                    <a:prstGeom prst="rect">
                      <a:avLst/>
                    </a:prstGeom>
                  </pic:spPr>
                </pic:pic>
              </a:graphicData>
            </a:graphic>
          </wp:anchor>
        </w:drawing>
      </w:r>
      <w:bookmarkEnd w:id="159"/>
    </w:p>
    <w:p>
      <w:pPr>
        <w:pStyle w:val="Para 17"/>
      </w:pPr>
      <w:r>
        <w:t/>
      </w:r>
    </w:p>
    <w:p>
      <w:pPr>
        <w:pStyle w:val="Normal"/>
      </w:pPr>
      <w:r>
        <w:t>The local users are defined one per line in the /etc/passwd text file. The cat /etc/passwd command can be used to list its contents (only a few lines shown below, for brevity):</w:t>
      </w:r>
    </w:p>
    <w:p>
      <w:pPr>
        <w:pStyle w:val="Normal"/>
      </w:pPr>
      <w:r>
        <w:t>root:x:0:0:root:/root:/bin/bash</w:t>
      </w:r>
    </w:p>
    <w:p>
      <w:pPr>
        <w:pStyle w:val="Normal"/>
      </w:pPr>
      <w:r>
        <w:t>daemon:x:1:1:daemon:/usr/sbin:/usr/sbin/nologin</w:t>
      </w:r>
    </w:p>
    <w:p>
      <w:pPr>
        <w:pStyle w:val="Normal"/>
      </w:pPr>
      <w:r>
        <w:t>bin:x:2:2:bin:/bin:/usr/sbin/nologin</w:t>
      </w:r>
    </w:p>
    <w:p>
      <w:pPr>
        <w:pStyle w:val="Normal"/>
      </w:pPr>
      <w:r>
        <w:t>sys:x:3:3:sys:/dev:/usr/sbin/nologin</w:t>
      </w:r>
    </w:p>
    <w:p>
      <w:pPr>
        <w:pStyle w:val="Normal"/>
      </w:pPr>
      <w:r>
        <w:t>...</w:t>
      </w:r>
    </w:p>
    <w:p>
      <w:pPr>
        <w:pStyle w:val="Normal"/>
      </w:pPr>
      <w:r>
        <w:t>ubuntu:x:1000:1000:Ubuntu:/home/ubuntu:/bin/bash</w:t>
      </w:r>
    </w:p>
    <w:p>
      <w:pPr>
        <w:pStyle w:val="Para 17"/>
      </w:pPr>
      <w:r>
        <w:t/>
      </w:r>
    </w:p>
    <w:p>
      <w:pPr>
        <w:pStyle w:val="Para 08"/>
      </w:pPr>
      <w:r>
        <w:t>Tip:</w:t>
      </w:r>
    </w:p>
    <w:p>
      <w:pPr>
        <w:pStyle w:val="Para 17"/>
      </w:pPr>
      <w:r>
        <w:t/>
      </w:r>
    </w:p>
    <w:p>
      <w:pPr>
        <w:pStyle w:val="Para 03"/>
      </w:pPr>
      <w:r>
        <w:t xml:space="preserve">The structure of the </w:t>
      </w:r>
      <w:hyperlink w:anchor="page_115">
        <w:r>
          <w:rPr>
            <w:rStyle w:val="Text9"/>
          </w:rPr>
          <w:t>79</w:t>
        </w:r>
      </w:hyperlink>
      <w:r>
        <w:t xml:space="preserve"> /etc/passwd file is explained in the </w:t>
      </w:r>
      <w:hyperlink r:id="rId1093">
        <w:r>
          <w:rPr>
            <w:rStyle w:val="Text2"/>
          </w:rPr>
          <w:t>passwd(5)</w:t>
        </w:r>
      </w:hyperlink>
      <w:r>
        <w:t xml:space="preserve"> manual page.</w:t>
      </w:r>
    </w:p>
    <w:p>
      <w:pPr>
        <w:pStyle w:val="Para 53"/>
      </w:pPr>
      <w:r>
        <w:rPr>
          <w:rStyle w:val="Text5"/>
        </w:rPr>
        <w:t>79</w:t>
      </w:r>
      <w:r>
        <w:rPr>
          <w:rStyle w:val="Text8"/>
        </w:rPr>
        <w:t xml:space="preserve"> </w:t>
      </w:r>
      <w:r>
        <w:t>https://manpages.ubuntu.com/manpages/resolute/man5/passwd.5.html</w:t>
      </w:r>
    </w:p>
    <w:p>
      <w:pPr>
        <w:pStyle w:val="Para 17"/>
      </w:pPr>
      <w:r>
        <w:t/>
      </w:r>
    </w:p>
    <w:p>
      <w:pPr>
        <w:pStyle w:val="Normal"/>
      </w:pPr>
      <w:r>
        <w:t>There are basically three types of local users:</w:t>
      </w:r>
    </w:p>
    <w:p>
      <w:pPr>
        <w:pStyle w:val="Para 04"/>
      </w:pPr>
      <w:r>
        <w:t>• system pre-installed users: These are system users essential to a working Linux system,</w:t>
      </w:r>
    </w:p>
    <w:p>
      <w:pPr>
        <w:pStyle w:val="Para 02"/>
      </w:pPr>
      <w:r>
        <w:t xml:space="preserve">like root, man, lp, and others. Their </w:t>
      </w:r>
      <w:hyperlink w:anchor="page_711">
        <w:r>
          <w:rPr>
            <w:rStyle w:val="Text2"/>
          </w:rPr>
          <w:t>UID</w:t>
        </w:r>
      </w:hyperlink>
      <w:r>
        <w:t>s are in the range between 0 and 99.</w:t>
      </w:r>
    </w:p>
    <w:p>
      <w:pPr>
        <w:pStyle w:val="Para 04"/>
      </w:pPr>
      <w:r>
        <w:t>• system users: These users are created dynamically, as services are installed. The UID</w:t>
      </w:r>
    </w:p>
    <w:p>
      <w:pPr>
        <w:pStyle w:val="Para 02"/>
      </w:pPr>
      <w:r>
        <w:t>range here is between 100 and 999.</w:t>
      </w:r>
    </w:p>
    <w:p>
      <w:pPr>
        <w:pStyle w:val="Para 04"/>
      </w:pPr>
      <w:r>
        <w:t>• Regular users: Finally, the remaining range is usable for “real” users, generally repre-</w:t>
      </w:r>
    </w:p>
    <w:p>
      <w:pPr>
        <w:pStyle w:val="Para 02"/>
      </w:pPr>
      <w:r>
        <w:t>senting persons using the system. This UID range starts at 1000 and, by convention, ends at 59999.</w:t>
      </w:r>
    </w:p>
    <w:p>
      <w:pPr>
        <w:pStyle w:val="Para 17"/>
      </w:pPr>
      <w:r>
        <w:t/>
      </w:r>
    </w:p>
    <w:p>
      <w:pPr>
        <w:pStyle w:val="Para 08"/>
      </w:pPr>
      <w:r>
        <w:t>Tip:</w:t>
      </w:r>
    </w:p>
    <w:p>
      <w:pPr>
        <w:pStyle w:val="Para 17"/>
      </w:pPr>
      <w:r>
        <w:t/>
      </w:r>
    </w:p>
    <w:p>
      <w:pPr>
        <w:pStyle w:val="Para 03"/>
      </w:pPr>
      <w:r>
        <w:t>For more details about these UID ranges, including groups and other configuration op-</w:t>
      </w:r>
    </w:p>
    <w:p>
      <w:pPr>
        <w:pStyle w:val="Para 03"/>
      </w:pPr>
      <w:r>
        <w:t xml:space="preserve">tions for adding users, check the </w:t>
      </w:r>
      <w:hyperlink r:id="rId1094">
        <w:r>
          <w:rPr>
            <w:rStyle w:val="Text9"/>
          </w:rPr>
          <w:t>80</w:t>
        </w:r>
      </w:hyperlink>
      <w:hyperlink r:id="rId1094">
        <w:r>
          <w:rPr>
            <w:rStyle w:val="Text1"/>
          </w:rPr>
          <w:t xml:space="preserve"> </w:t>
        </w:r>
      </w:hyperlink>
      <w:hyperlink r:id="rId1094">
        <w:r>
          <w:rPr>
            <w:rStyle w:val="Text2"/>
          </w:rPr>
          <w:t>adduser.conf.5</w:t>
        </w:r>
      </w:hyperlink>
      <w:r>
        <w:t xml:space="preserve"> manual page.</w:t>
      </w:r>
    </w:p>
    <w:p>
      <w:pPr>
        <w:pStyle w:val="Para 53"/>
      </w:pPr>
      <w:r>
        <w:rPr>
          <w:rStyle w:val="Text5"/>
        </w:rPr>
        <w:t>80</w:t>
      </w:r>
      <w:r>
        <w:rPr>
          <w:rStyle w:val="Text8"/>
        </w:rPr>
        <w:t xml:space="preserve"> </w:t>
      </w:r>
      <w:r>
        <w:t>https://manpages.ubuntu.com/manpages/resolute/man5/adduser.conf.5.html</w:t>
      </w:r>
    </w:p>
    <w:p>
      <w:pPr>
        <w:pStyle w:val="Para 17"/>
      </w:pPr>
      <w:r>
        <w:t/>
      </w:r>
    </w:p>
    <w:p>
      <w:pPr>
        <w:pStyle w:val="Normal"/>
      </w:pPr>
      <w:r>
        <w:t>To list all local usernames, we can list the contents of /etc/passwd with some string manipu-lation. For example:</w:t>
      </w:r>
    </w:p>
    <w:p>
      <w:pPr>
        <w:pStyle w:val="Normal"/>
      </w:pPr>
      <w:r>
        <w:t>cat /etc/passwd | cut -d : -f 1</w:t>
      </w:r>
    </w:p>
    <w:p>
      <w:pPr>
        <w:pStyle w:val="Para 17"/>
      </w:pPr>
      <w:r>
        <w:t/>
      </w:r>
    </w:p>
    <w:p>
      <w:pPr>
        <w:pStyle w:val="Normal"/>
      </w:pPr>
      <w:r>
        <w:t>This command will cut each line at the first column, using the “:” character as the delimiter, and result in an output showing all local users:</w:t>
      </w:r>
    </w:p>
    <w:p>
      <w:pPr>
        <w:pStyle w:val="Normal"/>
      </w:pPr>
      <w:r>
        <w:t>root</w:t>
      </w:r>
    </w:p>
    <w:p>
      <w:pPr>
        <w:pStyle w:val="Normal"/>
      </w:pPr>
      <w:r>
        <w:t>daemon</w:t>
      </w:r>
    </w:p>
    <w:p>
      <w:pPr>
        <w:pStyle w:val="Normal"/>
      </w:pPr>
      <w:r>
        <w:t>bin</w:t>
      </w:r>
    </w:p>
    <w:p>
      <w:pPr>
        <w:pStyle w:val="Normal"/>
      </w:pPr>
      <w:r>
        <w:t>sys</w:t>
      </w:r>
    </w:p>
    <w:p>
      <w:pPr>
        <w:pStyle w:val="Normal"/>
      </w:pPr>
      <w:r>
        <w:t>...</w:t>
      </w:r>
    </w:p>
    <w:p>
      <w:pPr>
        <w:pStyle w:val="Para 17"/>
      </w:pPr>
      <w:r>
        <w:t/>
      </w:r>
    </w:p>
    <w:p>
      <w:pPr>
        <w:pStyle w:val="Normal"/>
      </w:pPr>
      <w:r>
        <w:t>If you want to only show regular users, that is, users with an UID greater than 1000, we can use a regular expression for this filtering:</w:t>
      </w:r>
    </w:p>
    <w:p>
      <w:bookmarkStart w:id="160" w:name="page_1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8"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122"/>
                    <a:stretch>
                      <a:fillRect/>
                    </a:stretch>
                  </pic:blipFill>
                  <pic:spPr>
                    <a:xfrm>
                      <a:off x="0" y="0"/>
                      <a:ext cx="914400" cy="266700"/>
                    </a:xfrm>
                    <a:prstGeom prst="rect">
                      <a:avLst/>
                    </a:prstGeom>
                  </pic:spPr>
                </pic:pic>
              </a:graphicData>
            </a:graphic>
          </wp:anchor>
        </w:drawing>
      </w:r>
      <w:bookmarkEnd w:id="160"/>
    </w:p>
    <w:p>
      <w:pPr>
        <w:pStyle w:val="Normal"/>
      </w:pPr>
      <w:r>
        <w:t>cat</w:t>
        <w:t xml:space="preserve"> </w:t>
        <w:t>/</w:t>
        <w:t>etc</w:t>
        <w:t>/</w:t>
        <w:t>passwd</w:t>
        <w:t xml:space="preserve"> </w:t>
        <w:t>|</w:t>
        <w:t xml:space="preserve"> </w:t>
        <w:t>cut</w:t>
        <w:t>-</w:t>
        <w:t>d :</w:t>
        <w:t>-</w:t>
        <w:t>f</w:t>
        <w:t xml:space="preserve"> </w:t>
        <w:t>1</w:t>
        <w:t>,</w:t>
        <w:t>3</w:t>
        <w:t xml:space="preserve"> </w:t>
        <w:t>|</w:t>
        <w:t xml:space="preserve"> </w:t>
        <w:t>grep</w:t>
        <w:t>-</w:t>
        <w:t>E</w:t>
        <w:t xml:space="preserve"> </w:t>
        <w:t>':[0-9]{4,}'</w:t>
      </w:r>
    </w:p>
    <w:p>
      <w:pPr>
        <w:pStyle w:val="Para 17"/>
      </w:pPr>
      <w:r>
        <w:t/>
      </w:r>
    </w:p>
    <w:p>
      <w:pPr>
        <w:pStyle w:val="Normal"/>
      </w:pPr>
      <w:r>
        <w:t>The regular expression :[0-9]{4,} means all digits, repeated 4 times or more. The output will be similar to this:</w:t>
      </w:r>
    </w:p>
    <w:p>
      <w:pPr>
        <w:pStyle w:val="Normal"/>
      </w:pPr>
      <w:r>
        <w:t>nobody:</w:t>
        <w:t>65534</w:t>
      </w:r>
    </w:p>
    <w:p>
      <w:pPr>
        <w:pStyle w:val="Normal"/>
      </w:pPr>
      <w:r>
        <w:t>ubuntu:</w:t>
        <w:t>1000</w:t>
      </w:r>
    </w:p>
    <w:p>
      <w:pPr>
        <w:pStyle w:val="Para 17"/>
      </w:pPr>
      <w:r>
        <w:t/>
      </w:r>
    </w:p>
    <w:p>
      <w:pPr>
        <w:pStyle w:val="Para 08"/>
      </w:pPr>
      <w:r>
        <w:t>Tip:</w:t>
      </w:r>
    </w:p>
    <w:p>
      <w:pPr>
        <w:pStyle w:val="Para 17"/>
      </w:pPr>
      <w:r>
        <w:t/>
      </w:r>
    </w:p>
    <w:p>
      <w:pPr>
        <w:pStyle w:val="Para 03"/>
      </w:pPr>
      <w:r>
        <w:t>By convention, the nobody users has an UID of 65534. That originated back when the user</w:t>
      </w:r>
    </w:p>
    <w:p>
      <w:pPr>
        <w:pStyle w:val="Para 03"/>
      </w:pPr>
      <w:r>
        <w:t>range was limited to 16 bits (so, 0-65535), and is kept for compatibility reasons.</w:t>
      </w:r>
    </w:p>
    <w:p>
      <w:pPr>
        <w:pStyle w:val="Para 17"/>
      </w:pPr>
      <w:r>
        <w:t/>
      </w:r>
    </w:p>
    <w:p>
      <w:pPr>
        <w:pStyle w:val="Para 01"/>
      </w:pPr>
      <w:r>
        <w:t>A note about remote users</w:t>
      </w:r>
    </w:p>
    <w:p>
      <w:pPr>
        <w:pStyle w:val="Para 17"/>
      </w:pPr>
      <w:r>
        <w:t/>
      </w:r>
    </w:p>
    <w:p>
      <w:pPr>
        <w:pStyle w:val="Normal"/>
      </w:pPr>
      <w:r>
        <w:t>There is another command that, at first glance, looks like it lists all local users as well: getent passwd. What this tool is doing, however, is listing all entries from the passwd database, and this will include any NSS modules that might be installed and configured.</w:t>
      </w:r>
    </w:p>
    <w:p>
      <w:pPr>
        <w:pStyle w:val="Normal"/>
      </w:pPr>
      <w:r>
        <w:t xml:space="preserve">On a default installation of Ubuntu, with no extra configuration, that will indeed list only the local users, but not in the general case. If you have, for example, libnss-ldap installed and configured, the output of getent passwd will list all local users, </w:t>
      </w:r>
      <w:r>
        <w:rPr>
          <w:rStyle w:val="Text0"/>
        </w:rPr>
        <w:t>plus all the remote users</w:t>
      </w:r>
      <w:r>
        <w:t xml:space="preserve"> it finds in the LDAP server that it was configured with.</w:t>
      </w:r>
    </w:p>
    <w:p>
      <w:pPr>
        <w:pStyle w:val="Normal"/>
      </w:pPr>
      <w:r>
        <w:t>Performing such an exhaustive enumeration is frowned upon, because that can incur a large amount of network traffic, and place an unreasonable burden on the remote server. In fact, most NSS services block such enumeration actions by default.</w:t>
      </w:r>
    </w:p>
    <w:p>
      <w:pPr>
        <w:pStyle w:val="Normal"/>
      </w:pPr>
      <w:r>
        <w:t>For more information on the Name Service Switch (NSS) mechanism, please consult the</w:t>
      </w:r>
    </w:p>
    <w:p>
      <w:pPr>
        <w:pStyle w:val="Para 20"/>
      </w:pPr>
      <w:hyperlink r:id="rId1095">
        <w:r>
          <w:t>nss(5)</w:t>
        </w:r>
      </w:hyperlink>
      <w:hyperlink w:anchor="page_116">
        <w:r>
          <w:rPr>
            <w:rStyle w:val="Text15"/>
          </w:rPr>
          <w:t>81</w:t>
        </w:r>
      </w:hyperlink>
      <w:hyperlink w:anchor="page_116">
        <w:r>
          <w:rPr>
            <w:rStyle w:val="Text3"/>
          </w:rPr>
          <w:t xml:space="preserve"> </w:t>
        </w:r>
      </w:hyperlink>
      <w:hyperlink w:anchor="page_116">
        <w:r>
          <w:rPr>
            <w:rStyle w:val="Text15"/>
          </w:rPr>
          <w:t>82</w:t>
        </w:r>
      </w:hyperlink>
      <w:r>
        <w:rPr>
          <w:rStyle w:val="Text4"/>
        </w:rPr>
        <w:t xml:space="preserve"> and </w:t>
      </w:r>
      <w:hyperlink r:id="rId1096">
        <w:r>
          <w:t>nsswitch.conf(5)</w:t>
        </w:r>
      </w:hyperlink>
      <w:r>
        <w:rPr>
          <w:rStyle w:val="Text4"/>
        </w:rPr>
        <w:t xml:space="preserve"> manual pages.</w:t>
      </w:r>
    </w:p>
    <w:p>
      <w:pPr>
        <w:pStyle w:val="Para 17"/>
      </w:pPr>
      <w:r>
        <w:t/>
      </w:r>
    </w:p>
    <w:p>
      <w:pPr>
        <w:pStyle w:val="Para 01"/>
      </w:pPr>
      <w:r>
        <w:t>Add a user</w:t>
      </w:r>
    </w:p>
    <w:p>
      <w:pPr>
        <w:pStyle w:val="Para 17"/>
      </w:pPr>
      <w:r>
        <w:t/>
      </w:r>
    </w:p>
    <w:p>
      <w:pPr>
        <w:pStyle w:val="Normal"/>
      </w:pPr>
      <w:r>
        <w:t>To add a user account, use the following syntax, and follow the prompts to give the account a password and identifiable characteristics, such as a full name, phone number, etc:</w:t>
      </w:r>
    </w:p>
    <w:p>
      <w:pPr>
        <w:pStyle w:val="Normal"/>
      </w:pPr>
      <w:r>
        <w:t>sudo adduser username</w:t>
      </w:r>
    </w:p>
    <w:p>
      <w:pPr>
        <w:pStyle w:val="Para 05"/>
      </w:pPr>
      <w:r>
        <w:rPr>
          <w:rStyle w:val="Text5"/>
        </w:rPr>
        <w:t>81</w:t>
      </w:r>
      <w:r>
        <w:rPr>
          <w:rStyle w:val="Text8"/>
        </w:rPr>
        <w:t xml:space="preserve"> </w:t>
      </w:r>
      <w:r>
        <w:t>https://manpages.ubuntu.com/manpages/resolute/man5/nss.5.html</w:t>
      </w:r>
    </w:p>
    <w:p>
      <w:pPr>
        <w:pStyle w:val="Para 05"/>
      </w:pPr>
      <w:r>
        <w:rPr>
          <w:rStyle w:val="Text5"/>
        </w:rPr>
        <w:t>82</w:t>
      </w:r>
      <w:r>
        <w:rPr>
          <w:rStyle w:val="Text8"/>
        </w:rPr>
        <w:t xml:space="preserve"> </w:t>
      </w:r>
      <w:r>
        <w:t>https://manpages.ubuntu.com/manpages/resolute/man5/nsswitch.conf.5.html</w:t>
      </w:r>
    </w:p>
    <w:p>
      <w:bookmarkStart w:id="161" w:name="calibre_pb_22"/>
      <w:pPr>
        <w:pStyle w:val="0 Block"/>
      </w:pPr>
      <w:bookmarkEnd w:id="161"/>
    </w:p>
    <w:p>
      <w:bookmarkStart w:id="162" w:name="Top_of_index_split_023_html"/>
      <w:bookmarkStart w:id="163" w:name="page_11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19" name="index-117_1.png" descr="index-117_1.png"/>
            <wp:cNvGraphicFramePr>
              <a:graphicFrameLocks noChangeAspect="1"/>
            </wp:cNvGraphicFramePr>
            <a:graphic>
              <a:graphicData uri="http://schemas.openxmlformats.org/drawingml/2006/picture">
                <pic:pic>
                  <pic:nvPicPr>
                    <pic:cNvPr id="0" name="index-117_1.png" descr="index-117_1.png"/>
                    <pic:cNvPicPr/>
                  </pic:nvPicPr>
                  <pic:blipFill>
                    <a:blip r:embed="rId123"/>
                    <a:stretch>
                      <a:fillRect/>
                    </a:stretch>
                  </pic:blipFill>
                  <pic:spPr>
                    <a:xfrm>
                      <a:off x="0" y="0"/>
                      <a:ext cx="914400" cy="266700"/>
                    </a:xfrm>
                    <a:prstGeom prst="rect">
                      <a:avLst/>
                    </a:prstGeom>
                  </pic:spPr>
                </pic:pic>
              </a:graphicData>
            </a:graphic>
          </wp:anchor>
        </w:drawing>
      </w:r>
      <w:bookmarkEnd w:id="162"/>
      <w:bookmarkEnd w:id="163"/>
    </w:p>
    <w:p>
      <w:pPr>
        <w:pStyle w:val="Para 01"/>
      </w:pPr>
      <w:r>
        <w:t>Delete a user</w:t>
      </w:r>
    </w:p>
    <w:p>
      <w:pPr>
        <w:pStyle w:val="Para 17"/>
      </w:pPr>
      <w:r>
        <w:t/>
      </w:r>
    </w:p>
    <w:p>
      <w:pPr>
        <w:pStyle w:val="Normal"/>
      </w:pPr>
      <w:r>
        <w:t>To delete a user account and its primary group, use the following syntax:</w:t>
      </w:r>
    </w:p>
    <w:p>
      <w:pPr>
        <w:pStyle w:val="Normal"/>
      </w:pPr>
      <w:r>
        <w:t>sudo deluser username</w:t>
      </w:r>
    </w:p>
    <w:p>
      <w:pPr>
        <w:pStyle w:val="Para 17"/>
      </w:pPr>
      <w:r>
        <w:t/>
      </w:r>
    </w:p>
    <w:p>
      <w:pPr>
        <w:pStyle w:val="Normal"/>
      </w:pPr>
      <w:r>
        <w:t>Deleting an account does not remove their respective home folder. You must decide whether or not to delete the folder manually, or to keep it according to your desired retention policies.</w:t>
      </w:r>
    </w:p>
    <w:p>
      <w:pPr>
        <w:pStyle w:val="Normal"/>
      </w:pPr>
      <w:r>
        <w:t>Remember, any user added later with the same UID/GID as the previous owner will now have access to this folder if you have not taken the necessary precautions.</w:t>
      </w:r>
    </w:p>
    <w:p>
      <w:pPr>
        <w:pStyle w:val="Normal"/>
      </w:pPr>
      <w:r>
        <w:t>You may want to change the UID/GID values to something more appropriate, such as the root account, and perhaps even relocate the folder to avoid future conflicts:</w:t>
      </w:r>
    </w:p>
    <w:p>
      <w:pPr>
        <w:pStyle w:val="Normal"/>
      </w:pPr>
      <w:r>
        <w:t>sudo chown -R root:root /home/username/</w:t>
      </w:r>
    </w:p>
    <w:p>
      <w:pPr>
        <w:pStyle w:val="Normal"/>
      </w:pPr>
      <w:r>
        <w:t>sudo mkdir /home/archived_users/</w:t>
      </w:r>
    </w:p>
    <w:p>
      <w:pPr>
        <w:pStyle w:val="Normal"/>
      </w:pPr>
      <w:r>
        <w:t>sudo mv /home/username /home/archived_users/</w:t>
      </w:r>
    </w:p>
    <w:p>
      <w:pPr>
        <w:pStyle w:val="Para 17"/>
      </w:pPr>
      <w:r>
        <w:t/>
      </w:r>
    </w:p>
    <w:p>
      <w:pPr>
        <w:pStyle w:val="Para 01"/>
      </w:pPr>
      <w:r>
        <w:t>Lock or unlock a password</w:t>
      </w:r>
    </w:p>
    <w:p>
      <w:pPr>
        <w:pStyle w:val="Para 17"/>
      </w:pPr>
      <w:r>
        <w:t/>
      </w:r>
    </w:p>
    <w:p>
      <w:pPr>
        <w:pStyle w:val="Normal"/>
      </w:pPr>
      <w:r>
        <w:t>To temporarily lock a user password, use the following syntax:</w:t>
      </w:r>
    </w:p>
    <w:p>
      <w:pPr>
        <w:pStyle w:val="Normal"/>
      </w:pPr>
      <w:r>
        <w:t>sudo passwd -l username</w:t>
      </w:r>
    </w:p>
    <w:p>
      <w:pPr>
        <w:pStyle w:val="Para 17"/>
      </w:pPr>
      <w:r>
        <w:t/>
      </w:r>
    </w:p>
    <w:p>
      <w:pPr>
        <w:pStyle w:val="Normal"/>
      </w:pPr>
      <w:r>
        <w:t>Similarly, to unlock a user password:</w:t>
      </w:r>
    </w:p>
    <w:p>
      <w:pPr>
        <w:pStyle w:val="Normal"/>
      </w:pPr>
      <w:r>
        <w:t>sudo passwd -u username</w:t>
      </w:r>
    </w:p>
    <w:p>
      <w:pPr>
        <w:pStyle w:val="Para 17"/>
      </w:pPr>
      <w:r>
        <w:t/>
      </w:r>
    </w:p>
    <w:p>
      <w:pPr>
        <w:pStyle w:val="Para 01"/>
      </w:pPr>
      <w:r>
        <w:t>Add or delete a group</w:t>
      </w:r>
    </w:p>
    <w:p>
      <w:pPr>
        <w:pStyle w:val="Para 17"/>
      </w:pPr>
      <w:r>
        <w:t/>
      </w:r>
    </w:p>
    <w:p>
      <w:pPr>
        <w:pStyle w:val="Normal"/>
      </w:pPr>
      <w:r>
        <w:t>To add or delete a personalised group, use the following syntax, respectively:</w:t>
      </w:r>
    </w:p>
    <w:p>
      <w:pPr>
        <w:pStyle w:val="Normal"/>
      </w:pPr>
      <w:r>
        <w:t>sudo addgroup groupname</w:t>
      </w:r>
    </w:p>
    <w:p>
      <w:pPr>
        <w:pStyle w:val="Normal"/>
      </w:pPr>
      <w:r>
        <w:t>sudo delgroup groupname</w:t>
      </w:r>
    </w:p>
    <w:p>
      <w:pPr>
        <w:pStyle w:val="Para 17"/>
      </w:pPr>
      <w:r>
        <w:t/>
      </w:r>
    </w:p>
    <w:p>
      <w:pPr>
        <w:pStyle w:val="Para 01"/>
      </w:pPr>
      <w:r>
        <w:t>Add a user to a group</w:t>
      </w:r>
    </w:p>
    <w:p>
      <w:pPr>
        <w:pStyle w:val="Para 17"/>
      </w:pPr>
      <w:r>
        <w:t/>
      </w:r>
    </w:p>
    <w:p>
      <w:pPr>
        <w:pStyle w:val="Normal"/>
      </w:pPr>
      <w:r>
        <w:t>To add a user to a group, use the following syntax:</w:t>
      </w:r>
    </w:p>
    <w:p>
      <w:pPr>
        <w:pStyle w:val="Normal"/>
      </w:pPr>
      <w:r>
        <w:t>sudo adduser username groupname</w:t>
      </w:r>
    </w:p>
    <w:p>
      <w:bookmarkStart w:id="164" w:name="calibre_pb_23"/>
      <w:pPr>
        <w:pStyle w:val="0 Block"/>
      </w:pPr>
      <w:bookmarkEnd w:id="164"/>
    </w:p>
    <w:p>
      <w:bookmarkStart w:id="165" w:name="Top_of_index_split_024_html"/>
      <w:bookmarkStart w:id="166" w:name="page_11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0"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124"/>
                    <a:stretch>
                      <a:fillRect/>
                    </a:stretch>
                  </pic:blipFill>
                  <pic:spPr>
                    <a:xfrm>
                      <a:off x="0" y="0"/>
                      <a:ext cx="914400" cy="266700"/>
                    </a:xfrm>
                    <a:prstGeom prst="rect">
                      <a:avLst/>
                    </a:prstGeom>
                  </pic:spPr>
                </pic:pic>
              </a:graphicData>
            </a:graphic>
          </wp:anchor>
        </w:drawing>
      </w:r>
      <w:bookmarkEnd w:id="165"/>
      <w:bookmarkEnd w:id="166"/>
    </w:p>
    <w:p>
      <w:pPr>
        <w:pStyle w:val="Para 01"/>
      </w:pPr>
      <w:r>
        <w:t>User profile security</w:t>
      </w:r>
    </w:p>
    <w:p>
      <w:pPr>
        <w:pStyle w:val="Para 17"/>
      </w:pPr>
      <w:r>
        <w:t/>
      </w:r>
    </w:p>
    <w:p>
      <w:pPr>
        <w:pStyle w:val="Normal"/>
      </w:pPr>
      <w:r>
        <w:t>When a new user is created, the adduser utility creates a brand new home directory named /home/username. The default profile is modelled after the contents found in the directory of /etc/skel, which includes all profile basics.</w:t>
      </w:r>
    </w:p>
    <w:p>
      <w:pPr>
        <w:pStyle w:val="Normal"/>
      </w:pPr>
      <w:r>
        <w:t>If your server will be home to multiple users, you should pay close attention to the user home directory permissions to ensure confidentiality.</w:t>
      </w:r>
    </w:p>
    <w:p>
      <w:pPr>
        <w:pStyle w:val="Para 17"/>
      </w:pPr>
      <w:r>
        <w:t/>
      </w:r>
    </w:p>
    <w:p>
      <w:pPr>
        <w:pStyle w:val="Para 01"/>
      </w:pPr>
      <w:r>
        <w:t>Ubuntu 21.10 Impish and later</w:t>
      </w:r>
    </w:p>
    <w:p>
      <w:pPr>
        <w:pStyle w:val="Para 17"/>
      </w:pPr>
      <w:r>
        <w:t/>
      </w:r>
    </w:p>
    <w:p>
      <w:pPr>
        <w:pStyle w:val="Normal"/>
      </w:pPr>
      <w:r>
        <w:t>Home directories are created with private permissions (0750 or drwxr-x---) by default. This ensures that only the user and members of their group can access the directory.</w:t>
      </w:r>
    </w:p>
    <w:p>
      <w:pPr>
        <w:pStyle w:val="Para 17"/>
      </w:pPr>
      <w:r>
        <w:t/>
      </w:r>
    </w:p>
    <w:p>
      <w:pPr>
        <w:pStyle w:val="Para 01"/>
      </w:pPr>
      <w:r>
        <w:t>Ubuntu 21.04 Hirsute and earlier</w:t>
      </w:r>
    </w:p>
    <w:p>
      <w:pPr>
        <w:pStyle w:val="Para 17"/>
      </w:pPr>
      <w:r>
        <w:t/>
      </w:r>
    </w:p>
    <w:p>
      <w:pPr>
        <w:pStyle w:val="Normal"/>
      </w:pPr>
      <w:r>
        <w:t>Home directories were created with world read/execute permissions (0755 or drwxr-xr-x) by default. This meant that all users on the system could browse and access the contents of other users home directories, which may not be suitable for your environment.</w:t>
      </w:r>
    </w:p>
    <w:p>
      <w:pPr>
        <w:pStyle w:val="Normal"/>
      </w:pPr>
      <w:r>
        <w:t>To verify your current user home directory permissions, use the following syntax:</w:t>
      </w:r>
    </w:p>
    <w:p>
      <w:pPr>
        <w:pStyle w:val="Normal"/>
      </w:pPr>
      <w:r>
        <w:t>ls -ld /home/username</w:t>
      </w:r>
    </w:p>
    <w:p>
      <w:pPr>
        <w:pStyle w:val="Para 17"/>
      </w:pPr>
      <w:r>
        <w:t/>
      </w:r>
    </w:p>
    <w:p>
      <w:pPr>
        <w:pStyle w:val="Normal"/>
      </w:pPr>
      <w:r>
        <w:t>The following output shows that the directory /home/username has world-readable permis-sions:</w:t>
      </w:r>
    </w:p>
    <w:p>
      <w:pPr>
        <w:pStyle w:val="Normal"/>
      </w:pPr>
      <w:r>
        <w:t>drwxr</w:t>
        <w:t>-</w:t>
        <w:t>xr</w:t>
        <w:t>-</w:t>
        <w:t>x</w:t>
        <w:t xml:space="preserve"> </w:t>
        <w:t>2</w:t>
        <w:t xml:space="preserve"> </w:t>
        <w:t>username username</w:t>
        <w:t xml:space="preserve"> </w:t>
        <w:t>4096 2007</w:t>
        <w:t>-</w:t>
        <w:t>10</w:t>
        <w:t>-</w:t>
        <w:t>02 20</w:t>
        <w:t>:</w:t>
        <w:t>03</w:t>
        <w:t xml:space="preserve"> </w:t>
        <w:t>username</w:t>
      </w:r>
    </w:p>
    <w:p>
      <w:pPr>
        <w:pStyle w:val="Para 17"/>
      </w:pPr>
      <w:r>
        <w:t/>
      </w:r>
    </w:p>
    <w:p>
      <w:pPr>
        <w:pStyle w:val="Normal"/>
      </w:pPr>
      <w:r>
        <w:t>You can remove the world readable-permissions using the following command:</w:t>
      </w:r>
    </w:p>
    <w:p>
      <w:pPr>
        <w:pStyle w:val="Normal"/>
      </w:pPr>
      <w:r>
        <w:t>sudo chmod</w:t>
        <w:t xml:space="preserve"> </w:t>
        <w:t>0750</w:t>
        <w:t xml:space="preserve"> </w:t>
        <w:t>/home/username</w:t>
      </w:r>
    </w:p>
    <w:p>
      <w:pPr>
        <w:pStyle w:val="Para 17"/>
      </w:pPr>
      <w:r>
        <w:t/>
      </w:r>
    </w:p>
    <w:p>
      <w:pPr>
        <w:pStyle w:val="Para 08"/>
      </w:pPr>
      <w:r>
        <w:t>Note:</w:t>
      </w:r>
    </w:p>
    <w:p>
      <w:pPr>
        <w:pStyle w:val="Para 03"/>
      </w:pPr>
      <w:r>
        <w:t>Some people use the recursive option (-R) indiscriminately, which modifies all child fold-</w:t>
      </w:r>
    </w:p>
    <w:p>
      <w:pPr>
        <w:pStyle w:val="Para 03"/>
      </w:pPr>
      <w:r>
        <w:t>ers and files. However, this is not necessary and may have undesirable/unintended conse-</w:t>
      </w:r>
    </w:p>
    <w:p>
      <w:pPr>
        <w:pStyle w:val="Para 03"/>
      </w:pPr>
      <w:r>
        <w:t>quences. Modifying only the parent directory is enough to prevent unauthorised access</w:t>
      </w:r>
    </w:p>
    <w:p>
      <w:pPr>
        <w:pStyle w:val="Para 03"/>
      </w:pPr>
      <w:r>
        <w:t>to anything below the parent.</w:t>
      </w:r>
    </w:p>
    <w:p>
      <w:pPr>
        <w:pStyle w:val="Para 17"/>
      </w:pPr>
      <w:r>
        <w:t/>
      </w:r>
    </w:p>
    <w:p>
      <w:pPr>
        <w:pStyle w:val="Normal"/>
      </w:pPr>
      <w:r>
        <w:t>A more efficient approach would be to modify the adduser global default permissions when creating user home folders. To do this, edit the /etc/adduser.conf file and modify the DIR_ MODE variable to something appropriate, so that all new home directories will receive the cor-rect permissions.</w:t>
      </w:r>
    </w:p>
    <w:p>
      <w:pPr>
        <w:pStyle w:val="Normal"/>
      </w:pPr>
      <w:r>
        <w:t>DIR_MODE=0750</w:t>
      </w:r>
    </w:p>
    <w:p>
      <w:pPr>
        <w:pStyle w:val="Para 17"/>
      </w:pPr>
      <w:r>
        <w:t/>
      </w:r>
    </w:p>
    <w:p>
      <w:pPr>
        <w:pStyle w:val="Normal"/>
      </w:pPr>
      <w:r>
        <w:t>After correcting the directory permissions using any of the previously mentioned techniques, verify the results as follows:</w:t>
      </w:r>
    </w:p>
    <w:p>
      <w:pPr>
        <w:pStyle w:val="Normal"/>
      </w:pPr>
      <w:r>
        <w:t>ls -ld /home/username</w:t>
        <w:t xml:space="preserve"> The output below shows that world-readable permissions have been removed:</w:t>
      </w:r>
    </w:p>
    <w:p>
      <w:bookmarkStart w:id="167" w:name="page_1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1"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125"/>
                    <a:stretch>
                      <a:fillRect/>
                    </a:stretch>
                  </pic:blipFill>
                  <pic:spPr>
                    <a:xfrm>
                      <a:off x="0" y="0"/>
                      <a:ext cx="914400" cy="266700"/>
                    </a:xfrm>
                    <a:prstGeom prst="rect">
                      <a:avLst/>
                    </a:prstGeom>
                  </pic:spPr>
                </pic:pic>
              </a:graphicData>
            </a:graphic>
          </wp:anchor>
        </w:drawing>
      </w:r>
      <w:bookmarkEnd w:id="167"/>
    </w:p>
    <w:p>
      <w:pPr>
        <w:pStyle w:val="Normal"/>
      </w:pPr>
      <w:r>
        <w:t>drwxr-x---</w:t>
        <w:t xml:space="preserve"> </w:t>
        <w:t>2</w:t>
        <w:t xml:space="preserve"> </w:t>
        <w:t>username username</w:t>
        <w:t xml:space="preserve"> </w:t>
        <w:t>4096 2007</w:t>
        <w:t>-10-02</w:t>
        <w:t xml:space="preserve"> </w:t>
        <w:t>20</w:t>
        <w:t>:03 username</w:t>
      </w:r>
    </w:p>
    <w:p>
      <w:pPr>
        <w:pStyle w:val="Para 17"/>
      </w:pPr>
      <w:r>
        <w:t/>
      </w:r>
    </w:p>
    <w:p>
      <w:pPr>
        <w:pStyle w:val="Para 01"/>
      </w:pPr>
      <w:r>
        <w:t>Password policy</w:t>
      </w:r>
    </w:p>
    <w:p>
      <w:pPr>
        <w:pStyle w:val="Para 17"/>
      </w:pPr>
      <w:r>
        <w:t/>
      </w:r>
    </w:p>
    <w:p>
      <w:pPr>
        <w:pStyle w:val="Normal"/>
      </w:pPr>
      <w:r>
        <w:t xml:space="preserve">A strong password policy is one of the most important aspects of your security posture. Many successful security breaches involve simple </w:t>
      </w:r>
      <w:r>
        <w:rPr>
          <w:rStyle w:val="Text0"/>
        </w:rPr>
        <w:t>brute force</w:t>
      </w:r>
      <w:r>
        <w:t xml:space="preserve"> and </w:t>
      </w:r>
      <w:r>
        <w:rPr>
          <w:rStyle w:val="Text0"/>
        </w:rPr>
        <w:t>dictionary</w:t>
      </w:r>
      <w:r>
        <w:t xml:space="preserve"> attacks against weak passwords.</w:t>
      </w:r>
    </w:p>
    <w:p>
      <w:pPr>
        <w:pStyle w:val="Normal"/>
      </w:pPr>
      <w:r>
        <w:t>If you intend to offer any form of remote access involving your local password system, make sure you address minimum password complexity requirements, maximum password life-times, and frequent audits of your authentication systems.</w:t>
      </w:r>
    </w:p>
    <w:p>
      <w:pPr>
        <w:pStyle w:val="Para 17"/>
      </w:pPr>
      <w:r>
        <w:t/>
      </w:r>
    </w:p>
    <w:p>
      <w:pPr>
        <w:pStyle w:val="Para 01"/>
      </w:pPr>
      <w:r>
        <w:t>Minimum password length</w:t>
      </w:r>
    </w:p>
    <w:p>
      <w:pPr>
        <w:pStyle w:val="Para 17"/>
      </w:pPr>
      <w:r>
        <w:t/>
      </w:r>
    </w:p>
    <w:p>
      <w:pPr>
        <w:pStyle w:val="Normal"/>
      </w:pPr>
      <w:r>
        <w:t>By default, Ubuntu requires a minimum password length of 6 characters, as well as some basic entropy checks. These values are controlled in the file /etc/pam.d/common-password, which is outlined below.</w:t>
      </w:r>
    </w:p>
    <w:p>
      <w:pPr>
        <w:pStyle w:val="Normal"/>
      </w:pPr>
      <w:r>
        <w:t>password</w:t>
        <w:t xml:space="preserve"> </w:t>
        <w:t>[success=1 default=ignore]</w:t>
        <w:t xml:space="preserve"> </w:t>
        <w:t>pam_unix.so obscure sha512</w:t>
      </w:r>
    </w:p>
    <w:p>
      <w:pPr>
        <w:pStyle w:val="Para 17"/>
      </w:pPr>
      <w:r>
        <w:t/>
      </w:r>
    </w:p>
    <w:p>
      <w:pPr>
        <w:pStyle w:val="Normal"/>
      </w:pPr>
      <w:r>
        <w:t>To adjust the minimum length to 8 characters, change the appropriate variable to minlen=8. The modification is outlined below:</w:t>
      </w:r>
    </w:p>
    <w:p>
      <w:pPr>
        <w:pStyle w:val="Normal"/>
      </w:pPr>
      <w:r>
        <w:t>password</w:t>
        <w:t xml:space="preserve"> </w:t>
        <w:t>[success=1 default=ignore]</w:t>
        <w:t xml:space="preserve"> </w:t>
        <w:t>pam_unix.so obscure sha512 minlen=8</w:t>
      </w:r>
    </w:p>
    <w:p>
      <w:pPr>
        <w:pStyle w:val="Para 17"/>
      </w:pPr>
      <w:r>
        <w:t/>
      </w:r>
    </w:p>
    <w:p>
      <w:pPr>
        <w:pStyle w:val="Para 08"/>
      </w:pPr>
      <w:r>
        <w:t>Note:</w:t>
      </w:r>
    </w:p>
    <w:p>
      <w:pPr>
        <w:pStyle w:val="Para 03"/>
      </w:pPr>
      <w:r>
        <w:t>Basic password entropy checks and minimum length rules do not apply to the administra-</w:t>
      </w:r>
    </w:p>
    <w:p>
      <w:pPr>
        <w:pStyle w:val="Para 03"/>
      </w:pPr>
      <w:r>
        <w:t>tor using sudo-level commands to setup a new user.</w:t>
      </w:r>
    </w:p>
    <w:p>
      <w:pPr>
        <w:pStyle w:val="Para 17"/>
      </w:pPr>
      <w:r>
        <w:t/>
      </w:r>
    </w:p>
    <w:p>
      <w:pPr>
        <w:pStyle w:val="Para 01"/>
      </w:pPr>
      <w:r>
        <w:t>Password expiration</w:t>
      </w:r>
    </w:p>
    <w:p>
      <w:pPr>
        <w:pStyle w:val="Para 17"/>
      </w:pPr>
      <w:r>
        <w:t/>
      </w:r>
    </w:p>
    <w:p>
      <w:pPr>
        <w:pStyle w:val="Normal"/>
      </w:pPr>
      <w:r>
        <w:t>When creating user accounts, you should make it a policy to have a minimum and maximum password age, forcing users to change their passwords when they expire.</w:t>
      </w:r>
    </w:p>
    <w:p>
      <w:pPr>
        <w:pStyle w:val="Normal"/>
      </w:pPr>
      <w:r>
        <w:t>To view the current status of a user account:</w:t>
      </w:r>
    </w:p>
    <w:p>
      <w:pPr>
        <w:pStyle w:val="Normal"/>
      </w:pPr>
      <w:r>
        <w:t>sudo chage -l username</w:t>
      </w:r>
    </w:p>
    <w:p>
      <w:pPr>
        <w:pStyle w:val="Para 17"/>
      </w:pPr>
      <w:r>
        <w:t/>
      </w:r>
    </w:p>
    <w:p>
      <w:pPr>
        <w:pStyle w:val="Normal"/>
      </w:pPr>
      <w:r>
        <w:t>The output below shows interesting facts about the user account, namely that there are no policies applied:</w:t>
      </w:r>
    </w:p>
    <w:p>
      <w:pPr>
        <w:pStyle w:val="Normal"/>
      </w:pPr>
      <w:r>
        <w:t>Last password change</w:t>
        <w:t xml:space="preserve"> </w:t>
        <w:t>: Jan 20, 2015</w:t>
        <w:t xml:space="preserve"> </w:t>
        <w:t>Password expires</w:t>
        <w:t xml:space="preserve"> </w:t>
        <w:t>: never</w:t>
        <w:t xml:space="preserve"> </w:t>
        <w:t>Password inactive</w:t>
        <w:t xml:space="preserve"> </w:t>
        <w:t>: never</w:t>
        <w:t xml:space="preserve"> </w:t>
        <w:t>Account expires</w:t>
        <w:t xml:space="preserve"> </w:t>
        <w:t>: never</w:t>
        <w:t xml:space="preserve"> </w:t>
        <w:t>Minimum number of days between password change</w:t>
        <w:t xml:space="preserve"> </w:t>
        <w:t>: 0</w:t>
      </w:r>
    </w:p>
    <w:p>
      <w:pPr>
        <w:pStyle w:val="Para 09"/>
      </w:pPr>
      <w:r>
        <w:t>(continues on next page)</w:t>
      </w:r>
    </w:p>
    <w:p>
      <w:bookmarkStart w:id="168" w:name="page_1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2" name="index-120_1.png" descr="index-120_1.png"/>
            <wp:cNvGraphicFramePr>
              <a:graphicFrameLocks noChangeAspect="1"/>
            </wp:cNvGraphicFramePr>
            <a:graphic>
              <a:graphicData uri="http://schemas.openxmlformats.org/drawingml/2006/picture">
                <pic:pic>
                  <pic:nvPicPr>
                    <pic:cNvPr id="0" name="index-120_1.png" descr="index-120_1.png"/>
                    <pic:cNvPicPr/>
                  </pic:nvPicPr>
                  <pic:blipFill>
                    <a:blip r:embed="rId126"/>
                    <a:stretch>
                      <a:fillRect/>
                    </a:stretch>
                  </pic:blipFill>
                  <pic:spPr>
                    <a:xfrm>
                      <a:off x="0" y="0"/>
                      <a:ext cx="914400" cy="266700"/>
                    </a:xfrm>
                    <a:prstGeom prst="rect">
                      <a:avLst/>
                    </a:prstGeom>
                  </pic:spPr>
                </pic:pic>
              </a:graphicData>
            </a:graphic>
          </wp:anchor>
        </w:drawing>
      </w:r>
      <w:bookmarkEnd w:id="168"/>
    </w:p>
    <w:p>
      <w:pPr>
        <w:pStyle w:val="Para 09"/>
      </w:pPr>
      <w:r>
        <w:t>(continued from previous page)</w:t>
      </w:r>
    </w:p>
    <w:p>
      <w:pPr>
        <w:pStyle w:val="Normal"/>
      </w:pPr>
      <w:r>
        <w:t>Maximum number of days between password change</w:t>
        <w:t xml:space="preserve"> </w:t>
        <w:t>: 99999</w:t>
        <w:t xml:space="preserve"> </w:t>
        <w:t>Number of days of warning before password expires</w:t>
        <w:t xml:space="preserve"> </w:t>
        <w:t>: 7</w:t>
      </w:r>
    </w:p>
    <w:p>
      <w:pPr>
        <w:pStyle w:val="Para 17"/>
      </w:pPr>
      <w:r>
        <w:t/>
      </w:r>
    </w:p>
    <w:p>
      <w:pPr>
        <w:pStyle w:val="Normal"/>
      </w:pPr>
      <w:r>
        <w:t>To set any of these values, use the chage (“change age”) command, and follow the interactive prompts:</w:t>
      </w:r>
    </w:p>
    <w:p>
      <w:pPr>
        <w:pStyle w:val="Normal"/>
      </w:pPr>
      <w:r>
        <w:t>sudo chage username</w:t>
      </w:r>
    </w:p>
    <w:p>
      <w:pPr>
        <w:pStyle w:val="Para 17"/>
      </w:pPr>
      <w:r>
        <w:t/>
      </w:r>
    </w:p>
    <w:p>
      <w:pPr>
        <w:pStyle w:val="Normal"/>
      </w:pPr>
      <w:r>
        <w:t>The following is also an example of how you can manually change the explicit expiration date (-E) to 01/31/2015, minimum password age (-m) of 5 days, maximum password age (-M) of 90 days, inactivity period (-I) of 30 days after password expiration, and a warning time period (-W) of 14 days before password expiration:</w:t>
      </w:r>
    </w:p>
    <w:p>
      <w:pPr>
        <w:pStyle w:val="Normal"/>
      </w:pPr>
      <w:r>
        <w:t>sudo chage -E</w:t>
        <w:t xml:space="preserve"> </w:t>
        <w:t>01</w:t>
        <w:t>/31/2015 -m</w:t>
        <w:t xml:space="preserve"> </w:t>
        <w:t>5</w:t>
        <w:t>-M</w:t>
        <w:t xml:space="preserve"> </w:t>
        <w:t>90</w:t>
        <w:t>-I</w:t>
        <w:t xml:space="preserve"> </w:t>
        <w:t>30</w:t>
        <w:t>-W</w:t>
        <w:t xml:space="preserve"> </w:t>
        <w:t>14</w:t>
        <w:t xml:space="preserve"> </w:t>
        <w:t>username</w:t>
      </w:r>
    </w:p>
    <w:p>
      <w:pPr>
        <w:pStyle w:val="Para 17"/>
      </w:pPr>
      <w:r>
        <w:t/>
      </w:r>
    </w:p>
    <w:p>
      <w:pPr>
        <w:pStyle w:val="Normal"/>
      </w:pPr>
      <w:r>
        <w:t>To verify changes, use the same syntax as mentioned previously:</w:t>
      </w:r>
    </w:p>
    <w:p>
      <w:pPr>
        <w:pStyle w:val="Normal"/>
      </w:pPr>
      <w:r>
        <w:t>sudo chage -l username</w:t>
      </w:r>
    </w:p>
    <w:p>
      <w:pPr>
        <w:pStyle w:val="Para 17"/>
      </w:pPr>
      <w:r>
        <w:t/>
      </w:r>
    </w:p>
    <w:p>
      <w:pPr>
        <w:pStyle w:val="Normal"/>
      </w:pPr>
      <w:r>
        <w:t>The output below shows the new policies that have been established for the account:</w:t>
      </w:r>
    </w:p>
    <w:p>
      <w:pPr>
        <w:pStyle w:val="Normal"/>
      </w:pPr>
      <w:r>
        <w:t>Last password change</w:t>
        <w:t xml:space="preserve"> </w:t>
        <w:t>: Jan</w:t>
        <w:t xml:space="preserve"> </w:t>
        <w:t>20</w:t>
        <w:t>,</w:t>
        <w:t xml:space="preserve"> </w:t>
        <w:t>2015</w:t>
        <w:t xml:space="preserve"> </w:t>
        <w:t>Password expires</w:t>
        <w:t xml:space="preserve"> </w:t>
        <w:t>: Apr</w:t>
        <w:t xml:space="preserve"> </w:t>
        <w:t>19</w:t>
        <w:t>,</w:t>
        <w:t xml:space="preserve"> </w:t>
        <w:t>2015</w:t>
        <w:t xml:space="preserve"> </w:t>
        <w:t>Password inactive</w:t>
        <w:t xml:space="preserve"> </w:t>
        <w:t>: May</w:t>
        <w:t xml:space="preserve"> </w:t>
        <w:t>19</w:t>
        <w:t>,</w:t>
        <w:t xml:space="preserve"> </w:t>
        <w:t>2015</w:t>
        <w:t xml:space="preserve"> </w:t>
        <w:t>Account expires</w:t>
        <w:t xml:space="preserve"> </w:t>
        <w:t>: Jan</w:t>
        <w:t xml:space="preserve"> </w:t>
        <w:t>31</w:t>
        <w:t>,</w:t>
        <w:t xml:space="preserve"> </w:t>
        <w:t>2015</w:t>
        <w:t xml:space="preserve"> </w:t>
        <w:t>Minimum number of days between password change</w:t>
        <w:t xml:space="preserve"> </w:t>
        <w:t>:</w:t>
        <w:t xml:space="preserve"> </w:t>
        <w:t>5</w:t>
        <w:t xml:space="preserve"> </w:t>
        <w:t>Maximum number of days between password change</w:t>
        <w:t xml:space="preserve"> </w:t>
        <w:t>:</w:t>
        <w:t xml:space="preserve"> </w:t>
        <w:t>90</w:t>
        <w:t xml:space="preserve"> </w:t>
        <w:t>Number of days of warning before password expires</w:t>
        <w:t xml:space="preserve"> </w:t>
        <w:t>:</w:t>
        <w:t xml:space="preserve"> </w:t>
        <w:t>14</w:t>
      </w:r>
    </w:p>
    <w:p>
      <w:pPr>
        <w:pStyle w:val="Para 17"/>
      </w:pPr>
      <w:r>
        <w:t/>
      </w:r>
    </w:p>
    <w:p>
      <w:pPr>
        <w:pStyle w:val="Para 01"/>
      </w:pPr>
      <w:r>
        <w:t>Other security considerations</w:t>
      </w:r>
    </w:p>
    <w:p>
      <w:pPr>
        <w:pStyle w:val="Para 17"/>
      </w:pPr>
      <w:r>
        <w:t/>
      </w:r>
    </w:p>
    <w:p>
      <w:pPr>
        <w:pStyle w:val="Normal"/>
      </w:pPr>
      <w:r>
        <w:t>Many applications use alternate authentication mechanisms that can be easily overlooked by even experienced system administrators. Therefore, it is important to understand and control how users authenticate and gain access to services and applications on your server.</w:t>
      </w:r>
    </w:p>
    <w:p>
      <w:pPr>
        <w:pStyle w:val="Para 17"/>
      </w:pPr>
      <w:r>
        <w:t/>
      </w:r>
    </w:p>
    <w:p>
      <w:pPr>
        <w:pStyle w:val="Para 01"/>
      </w:pPr>
      <w:r>
        <w:t>SSH access by disabled passwords</w:t>
      </w:r>
    </w:p>
    <w:p>
      <w:pPr>
        <w:pStyle w:val="Para 17"/>
      </w:pPr>
      <w:r>
        <w:t/>
      </w:r>
    </w:p>
    <w:p>
      <w:pPr>
        <w:pStyle w:val="Normal"/>
      </w:pPr>
      <w:r>
        <w:t>Disabling or locking a user password will not prevent a user from logging into your server remotely if they have previously set up SSH public key authentication. They will still be able to gain shell access to the server, without the need for any password. Remember to check the user’s home directory for files that will allow for this type of authenticated SSH access, e.g. /home/username/.ssh/authorized_keys.</w:t>
      </w:r>
    </w:p>
    <w:p>
      <w:pPr>
        <w:pStyle w:val="Normal"/>
      </w:pPr>
      <w:r>
        <w:t>Remove or rename the directory .ssh/ in the user’s home folder to prevent further SSH au-thentication access.</w:t>
      </w:r>
    </w:p>
    <w:p>
      <w:pPr>
        <w:pStyle w:val="Normal"/>
      </w:pPr>
      <w:r>
        <w:t>Be sure to check for any established SSH connections by the disabled account, as it is possible they may have existing inbound or outbound connections – then pkill any that are found.</w:t>
      </w:r>
    </w:p>
    <w:p>
      <w:pPr>
        <w:pStyle w:val="Normal"/>
      </w:pPr>
      <w:r>
        <w:t>w | grep username</w:t>
        <w:t xml:space="preserve"> </w:t>
        <w:t>(</w:t>
        <w:t>to get the pts/# terminal</w:t>
        <w:t>)</w:t>
        <w:t xml:space="preserve"> </w:t>
        <w:t>sudo pkill -f pts/#</w:t>
      </w:r>
    </w:p>
    <w:p>
      <w:bookmarkStart w:id="169" w:name="page_1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3"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127"/>
                    <a:stretch>
                      <a:fillRect/>
                    </a:stretch>
                  </pic:blipFill>
                  <pic:spPr>
                    <a:xfrm>
                      <a:off x="0" y="0"/>
                      <a:ext cx="914400" cy="266700"/>
                    </a:xfrm>
                    <a:prstGeom prst="rect">
                      <a:avLst/>
                    </a:prstGeom>
                  </pic:spPr>
                </pic:pic>
              </a:graphicData>
            </a:graphic>
          </wp:anchor>
        </w:drawing>
      </w:r>
      <w:bookmarkEnd w:id="169"/>
    </w:p>
    <w:p>
      <w:pPr>
        <w:pStyle w:val="Normal"/>
      </w:pPr>
      <w:r>
        <w:t>Restrict SSH access to only user accounts that should have it. For example, you may create a group called sshlogin and add the group name as the value associated with the AllowGroups variable located in the file /etc/ssh/sshd_config:</w:t>
      </w:r>
    </w:p>
    <w:p>
      <w:pPr>
        <w:pStyle w:val="Normal"/>
      </w:pPr>
      <w:r>
        <w:t>AllowGroups sshlogin</w:t>
      </w:r>
    </w:p>
    <w:p>
      <w:pPr>
        <w:pStyle w:val="Para 17"/>
      </w:pPr>
      <w:r>
        <w:t/>
      </w:r>
    </w:p>
    <w:p>
      <w:pPr>
        <w:pStyle w:val="Normal"/>
      </w:pPr>
      <w:r>
        <w:t>Then add your permitted SSH users to the group sshlogin, and restart the SSH service.</w:t>
      </w:r>
    </w:p>
    <w:p>
      <w:pPr>
        <w:pStyle w:val="Normal"/>
      </w:pPr>
      <w:r>
        <w:t>sudo adduser username sshlogin</w:t>
      </w:r>
    </w:p>
    <w:p>
      <w:pPr>
        <w:pStyle w:val="Normal"/>
      </w:pPr>
      <w:r>
        <w:t>sudo systemctl restart ssh.service</w:t>
      </w:r>
    </w:p>
    <w:p>
      <w:pPr>
        <w:pStyle w:val="Para 17"/>
      </w:pPr>
      <w:r>
        <w:t/>
      </w:r>
    </w:p>
    <w:p>
      <w:pPr>
        <w:pStyle w:val="Para 01"/>
      </w:pPr>
      <w:r>
        <w:t>External user database authentication</w:t>
      </w:r>
    </w:p>
    <w:p>
      <w:pPr>
        <w:pStyle w:val="Para 17"/>
      </w:pPr>
      <w:r>
        <w:t/>
      </w:r>
    </w:p>
    <w:p>
      <w:pPr>
        <w:pStyle w:val="Normal"/>
      </w:pPr>
      <w:r>
        <w:t>Most enterprise networks require centralised authentication and access controls for all sys-tem resources. If you have configured your server to authenticate users against external databases, be sure to disable the user accounts both externally and locally. This way you</w:t>
      </w:r>
    </w:p>
    <w:p>
      <w:pPr>
        <w:pStyle w:val="Normal"/>
      </w:pPr>
      <w:r>
        <w:t xml:space="preserve">ensure that local </w:t>
      </w:r>
      <w:hyperlink w:anchor="page_682">
        <w:r>
          <w:rPr>
            <w:rStyle w:val="Text2"/>
          </w:rPr>
          <w:t>fallbacks</w:t>
        </w:r>
      </w:hyperlink>
      <w:r>
        <w:t xml:space="preserve"> authentication is not possible.</w:t>
      </w:r>
    </w:p>
    <w:p>
      <w:pPr>
        <w:pStyle w:val="Para 17"/>
      </w:pPr>
      <w:r>
        <w:t/>
      </w:r>
    </w:p>
    <w:p>
      <w:pPr>
        <w:pStyle w:val="Para 01"/>
      </w:pPr>
      <w:r>
        <w:t>Firewall</w:t>
      </w:r>
    </w:p>
    <w:p>
      <w:pPr>
        <w:pStyle w:val="Para 17"/>
      </w:pPr>
      <w:r>
        <w:t/>
      </w:r>
    </w:p>
    <w:p>
      <w:pPr>
        <w:pStyle w:val="Normal"/>
      </w:pPr>
      <w:r>
        <w:t xml:space="preserve">The Linux kernel includes the </w:t>
      </w:r>
      <w:hyperlink w:anchor="page_121">
        <w:r>
          <w:rPr>
            <w:rStyle w:val="Text9"/>
          </w:rPr>
          <w:t>83</w:t>
        </w:r>
      </w:hyperlink>
      <w:r>
        <w:t xml:space="preserve"> </w:t>
      </w:r>
      <w:hyperlink r:id="rId1097">
        <w:r>
          <w:rPr>
            <w:rStyle w:val="Text13"/>
          </w:rPr>
          <w:t>netfilter</w:t>
        </w:r>
      </w:hyperlink>
      <w:r>
        <w:t xml:space="preserve"> subsystem, which is used to manipulate or decide the fate of network traffic headed into or through your server. All modern Linux firewall solutions use this system for packet filtering.</w:t>
      </w:r>
    </w:p>
    <w:p>
      <w:pPr>
        <w:pStyle w:val="Normal"/>
      </w:pPr>
      <w:r>
        <w:t xml:space="preserve">The kernel’s packet filtering system would be of little use to administrators without a userspace interface to manage it. This is the purpose of the </w:t>
      </w:r>
      <w:r>
        <w:rPr>
          <w:rStyle w:val="Text0"/>
        </w:rPr>
        <w:t>iptables</w:t>
      </w:r>
      <w:r>
        <w:t xml:space="preserve"> utility: when a packet reaches your server, it will be handed off to the netfilter subsystem for acceptance, manipu-lation, or rejection based on the rules supplied to it from the userspace (via iptables). Thus,</w:t>
      </w:r>
    </w:p>
    <w:p>
      <w:pPr>
        <w:pStyle w:val="Normal"/>
      </w:pPr>
      <w:r>
        <w:t xml:space="preserve">iptables is all you need to manage your firewall, if you’re familiar with it, but many </w:t>
      </w:r>
      <w:hyperlink w:anchor="page_683">
        <w:r>
          <w:rPr>
            <w:rStyle w:val="Text2"/>
          </w:rPr>
          <w:t>frontends</w:t>
        </w:r>
      </w:hyperlink>
      <w:r>
        <w:t xml:space="preserve"> are available to simplify the task. We’ll take a look at the default frontend used in Ubuntu here.</w:t>
      </w:r>
    </w:p>
    <w:p>
      <w:pPr>
        <w:pStyle w:val="Para 17"/>
      </w:pPr>
      <w:r>
        <w:t/>
      </w:r>
    </w:p>
    <w:p>
      <w:pPr>
        <w:pStyle w:val="Para 01"/>
      </w:pPr>
      <w:r>
        <w:t>ufw - Uncomplicated Firewall</w:t>
      </w:r>
    </w:p>
    <w:p>
      <w:pPr>
        <w:pStyle w:val="Para 17"/>
      </w:pPr>
      <w:r>
        <w:t/>
      </w:r>
    </w:p>
    <w:p>
      <w:pPr>
        <w:pStyle w:val="Normal"/>
      </w:pPr>
      <w:r>
        <w:t>The default firewall configuration tool for Ubuntu is ufw. Developed to ease iptables firewall configuration, ufw provides a user-friendly way to create an IPv4 or IPv6 host-based firewall.</w:t>
      </w:r>
    </w:p>
    <w:p>
      <w:pPr>
        <w:pStyle w:val="Normal"/>
      </w:pPr>
      <w:r>
        <w:t xml:space="preserve">ufw </w:t>
      </w:r>
      <w:hyperlink w:anchor="page_121">
        <w:r>
          <w:rPr>
            <w:rStyle w:val="Text9"/>
          </w:rPr>
          <w:t>84</w:t>
        </w:r>
      </w:hyperlink>
      <w:r>
        <w:t xml:space="preserve"> by default is initially disabled. From the </w:t>
      </w:r>
      <w:hyperlink r:id="rId1098">
        <w:r>
          <w:rPr>
            <w:rStyle w:val="Text2"/>
          </w:rPr>
          <w:t>ufw(8)</w:t>
        </w:r>
      </w:hyperlink>
      <w:r>
        <w:t xml:space="preserve"> manual page:</w:t>
      </w:r>
    </w:p>
    <w:p>
      <w:pPr>
        <w:pStyle w:val="Para 17"/>
      </w:pPr>
      <w:r>
        <w:t/>
      </w:r>
    </w:p>
    <w:p>
      <w:pPr>
        <w:pStyle w:val="Para 03"/>
      </w:pPr>
      <w:r>
        <w:t>ufw is not intended to provide complete firewall functionality via its command interface,</w:t>
      </w:r>
    </w:p>
    <w:p>
      <w:pPr>
        <w:pStyle w:val="Para 03"/>
      </w:pPr>
      <w:r>
        <w:t>but instead provides an easy way to add or remove simple rules. It is currently mainly used</w:t>
      </w:r>
    </w:p>
    <w:p>
      <w:pPr>
        <w:pStyle w:val="Para 03"/>
      </w:pPr>
      <w:r>
        <w:t>for host-based firewalls.</w:t>
      </w:r>
    </w:p>
    <w:p>
      <w:pPr>
        <w:pStyle w:val="Para 17"/>
      </w:pPr>
      <w:r>
        <w:t/>
      </w:r>
    </w:p>
    <w:p>
      <w:pPr>
        <w:pStyle w:val="Para 05"/>
      </w:pPr>
      <w:r>
        <w:rPr>
          <w:rStyle w:val="Text5"/>
        </w:rPr>
        <w:t>83</w:t>
      </w:r>
      <w:r>
        <w:rPr>
          <w:rStyle w:val="Text8"/>
        </w:rPr>
        <w:t xml:space="preserve"> </w:t>
      </w:r>
      <w:r>
        <w:t>https://netfilter.org/</w:t>
      </w:r>
    </w:p>
    <w:p>
      <w:pPr>
        <w:pStyle w:val="Para 05"/>
      </w:pPr>
      <w:r>
        <w:rPr>
          <w:rStyle w:val="Text5"/>
        </w:rPr>
        <w:t>84</w:t>
      </w:r>
      <w:r>
        <w:rPr>
          <w:rStyle w:val="Text8"/>
        </w:rPr>
        <w:t xml:space="preserve"> </w:t>
      </w:r>
      <w:r>
        <w:t>https://manpages.ubuntu.com/manpages/resolute/man8/ufw.8.html</w:t>
      </w:r>
      <w:r>
        <w:rPr>
          <w:rStyle w:val="Text8"/>
        </w:rPr>
        <w:t xml:space="preserve"> </w:t>
      </w:r>
      <w:r>
        <w:rPr>
          <w:rStyle w:val="Text11"/>
        </w:rPr>
        <w:t>Enable or disable ufw</w:t>
      </w:r>
    </w:p>
    <w:p>
      <w:bookmarkStart w:id="170" w:name="page_1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4"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128"/>
                    <a:stretch>
                      <a:fillRect/>
                    </a:stretch>
                  </pic:blipFill>
                  <pic:spPr>
                    <a:xfrm>
                      <a:off x="0" y="0"/>
                      <a:ext cx="914400" cy="266700"/>
                    </a:xfrm>
                    <a:prstGeom prst="rect">
                      <a:avLst/>
                    </a:prstGeom>
                  </pic:spPr>
                </pic:pic>
              </a:graphicData>
            </a:graphic>
          </wp:anchor>
        </w:drawing>
      </w:r>
      <w:bookmarkEnd w:id="170"/>
    </w:p>
    <w:p>
      <w:pPr>
        <w:pStyle w:val="Para 17"/>
      </w:pPr>
      <w:r>
        <w:t/>
      </w:r>
    </w:p>
    <w:p>
      <w:pPr>
        <w:pStyle w:val="Normal"/>
      </w:pPr>
      <w:r>
        <w:t>To enable ufw, run the following command from a terminal prompt:</w:t>
      </w:r>
    </w:p>
    <w:p>
      <w:pPr>
        <w:pStyle w:val="Normal"/>
      </w:pPr>
      <w:r>
        <w:t>sudo ufw</w:t>
        <w:t xml:space="preserve"> </w:t>
        <w:t>enable</w:t>
      </w:r>
    </w:p>
    <w:p>
      <w:pPr>
        <w:pStyle w:val="Para 17"/>
      </w:pPr>
      <w:r>
        <w:t/>
      </w:r>
    </w:p>
    <w:p>
      <w:pPr>
        <w:pStyle w:val="Normal"/>
      </w:pPr>
      <w:r>
        <w:t>To disable it, you can use the following command:</w:t>
      </w:r>
    </w:p>
    <w:p>
      <w:pPr>
        <w:pStyle w:val="Normal"/>
      </w:pPr>
      <w:r>
        <w:t>sudo ufw disable</w:t>
      </w:r>
    </w:p>
    <w:p>
      <w:pPr>
        <w:pStyle w:val="Para 17"/>
      </w:pPr>
      <w:r>
        <w:t/>
      </w:r>
    </w:p>
    <w:p>
      <w:pPr>
        <w:pStyle w:val="Para 01"/>
      </w:pPr>
      <w:r>
        <w:t>Open or close a port</w:t>
      </w:r>
    </w:p>
    <w:p>
      <w:pPr>
        <w:pStyle w:val="Para 17"/>
      </w:pPr>
      <w:r>
        <w:t/>
      </w:r>
    </w:p>
    <w:p>
      <w:pPr>
        <w:pStyle w:val="Normal"/>
      </w:pPr>
      <w:r>
        <w:t>To open a port (SSH in this case):</w:t>
      </w:r>
    </w:p>
    <w:p>
      <w:pPr>
        <w:pStyle w:val="Normal"/>
      </w:pPr>
      <w:r>
        <w:t>sudo ufw allow</w:t>
        <w:t xml:space="preserve"> </w:t>
        <w:t>22</w:t>
      </w:r>
    </w:p>
    <w:p>
      <w:pPr>
        <w:pStyle w:val="Para 17"/>
      </w:pPr>
      <w:r>
        <w:t/>
      </w:r>
    </w:p>
    <w:p>
      <w:pPr>
        <w:pStyle w:val="Normal"/>
      </w:pPr>
      <w:r>
        <w:t>Similarly, to close an opened port:</w:t>
      </w:r>
    </w:p>
    <w:p>
      <w:pPr>
        <w:pStyle w:val="Normal"/>
      </w:pPr>
      <w:r>
        <w:t>sudo ufw deny</w:t>
        <w:t xml:space="preserve"> </w:t>
        <w:t>22</w:t>
      </w:r>
    </w:p>
    <w:p>
      <w:pPr>
        <w:pStyle w:val="Para 17"/>
      </w:pPr>
      <w:r>
        <w:t/>
      </w:r>
    </w:p>
    <w:p>
      <w:pPr>
        <w:pStyle w:val="Para 01"/>
      </w:pPr>
      <w:r>
        <w:t>Add or remove a rule</w:t>
      </w:r>
    </w:p>
    <w:p>
      <w:pPr>
        <w:pStyle w:val="Para 17"/>
      </w:pPr>
      <w:r>
        <w:t/>
      </w:r>
    </w:p>
    <w:p>
      <w:pPr>
        <w:pStyle w:val="Normal"/>
      </w:pPr>
      <w:r>
        <w:t xml:space="preserve">Rules can also be added using a </w:t>
      </w:r>
      <w:r>
        <w:rPr>
          <w:rStyle w:val="Text0"/>
        </w:rPr>
        <w:t>numbered</w:t>
      </w:r>
      <w:r>
        <w:t xml:space="preserve"> format:</w:t>
      </w:r>
    </w:p>
    <w:p>
      <w:pPr>
        <w:pStyle w:val="Normal"/>
      </w:pPr>
      <w:r>
        <w:t>sudo ufw insert</w:t>
        <w:t xml:space="preserve"> </w:t>
        <w:t>1</w:t>
        <w:t xml:space="preserve"> </w:t>
        <w:t>allow</w:t>
        <w:t xml:space="preserve"> </w:t>
        <w:t>80</w:t>
      </w:r>
    </w:p>
    <w:p>
      <w:pPr>
        <w:pStyle w:val="Para 17"/>
      </w:pPr>
      <w:r>
        <w:t/>
      </w:r>
    </w:p>
    <w:p>
      <w:pPr>
        <w:pStyle w:val="Normal"/>
      </w:pPr>
      <w:r>
        <w:t>To view the numbered format:</w:t>
      </w:r>
    </w:p>
    <w:p>
      <w:pPr>
        <w:pStyle w:val="Normal"/>
      </w:pPr>
      <w:r>
        <w:t>sudo ufw status numbered</w:t>
      </w:r>
    </w:p>
    <w:p>
      <w:pPr>
        <w:pStyle w:val="Para 17"/>
      </w:pPr>
      <w:r>
        <w:t/>
      </w:r>
    </w:p>
    <w:p>
      <w:pPr>
        <w:pStyle w:val="Normal"/>
      </w:pPr>
      <w:r>
        <w:t>To remove a rule, use delete followed by the rule:</w:t>
      </w:r>
    </w:p>
    <w:p>
      <w:pPr>
        <w:pStyle w:val="Normal"/>
      </w:pPr>
      <w:r>
        <w:t>sudo ufw delete deny</w:t>
        <w:t xml:space="preserve"> </w:t>
        <w:t>22</w:t>
      </w:r>
    </w:p>
    <w:p>
      <w:pPr>
        <w:pStyle w:val="Para 17"/>
      </w:pPr>
      <w:r>
        <w:t/>
      </w:r>
    </w:p>
    <w:p>
      <w:pPr>
        <w:pStyle w:val="Para 01"/>
      </w:pPr>
      <w:r>
        <w:t>Allow access from specific hosts</w:t>
      </w:r>
    </w:p>
    <w:p>
      <w:pPr>
        <w:pStyle w:val="Para 17"/>
      </w:pPr>
      <w:r>
        <w:t/>
      </w:r>
    </w:p>
    <w:p>
      <w:pPr>
        <w:pStyle w:val="Normal"/>
      </w:pPr>
      <w:r>
        <w:t>It is possible to allow access from specific hosts or networks to a port. The following example allows SSH access from host 192.168.0.2 to any IP address on this host:</w:t>
      </w:r>
    </w:p>
    <w:p>
      <w:pPr>
        <w:pStyle w:val="Normal"/>
      </w:pPr>
      <w:r>
        <w:t>sudo ufw allow proto tcp from</w:t>
        <w:t xml:space="preserve"> </w:t>
        <w:t>192</w:t>
        <w:t>.168.0.2 to any port</w:t>
        <w:t xml:space="preserve"> </w:t>
        <w:t>22</w:t>
      </w:r>
    </w:p>
    <w:p>
      <w:pPr>
        <w:pStyle w:val="Para 17"/>
      </w:pPr>
      <w:r>
        <w:t/>
      </w:r>
    </w:p>
    <w:p>
      <w:pPr>
        <w:pStyle w:val="Normal"/>
      </w:pPr>
      <w:r>
        <w:t>Replace 192.168.0.2 with 192.168.0.0/24 to allow SSH access from the entire subnet.</w:t>
      </w:r>
    </w:p>
    <w:p>
      <w:bookmarkStart w:id="171" w:name="calibre_pb_24"/>
      <w:pPr>
        <w:pStyle w:val="0 Block"/>
      </w:pPr>
      <w:bookmarkEnd w:id="171"/>
    </w:p>
    <w:p>
      <w:bookmarkStart w:id="172" w:name="Top_of_index_split_025_html"/>
      <w:bookmarkStart w:id="173" w:name="page_12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5"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129"/>
                    <a:stretch>
                      <a:fillRect/>
                    </a:stretch>
                  </pic:blipFill>
                  <pic:spPr>
                    <a:xfrm>
                      <a:off x="0" y="0"/>
                      <a:ext cx="914400" cy="266700"/>
                    </a:xfrm>
                    <a:prstGeom prst="rect">
                      <a:avLst/>
                    </a:prstGeom>
                  </pic:spPr>
                </pic:pic>
              </a:graphicData>
            </a:graphic>
          </wp:anchor>
        </w:drawing>
      </w:r>
      <w:bookmarkEnd w:id="172"/>
      <w:bookmarkEnd w:id="173"/>
    </w:p>
    <w:p>
      <w:pPr>
        <w:pStyle w:val="Para 01"/>
      </w:pPr>
      <w:r>
        <w:t>The--dry-run option</w:t>
      </w:r>
    </w:p>
    <w:p>
      <w:pPr>
        <w:pStyle w:val="Para 17"/>
      </w:pPr>
      <w:r>
        <w:t/>
      </w:r>
    </w:p>
    <w:p>
      <w:pPr>
        <w:pStyle w:val="Normal"/>
      </w:pPr>
      <w:r>
        <w:t>Adding the--dry-run option to a ufw command will output the resulting rules, but not apply them. For example, the following is what would be applied if opening the HTTP port:</w:t>
      </w:r>
    </w:p>
    <w:p>
      <w:pPr>
        <w:pStyle w:val="Normal"/>
      </w:pPr>
      <w:r>
        <w:t>sudo ufw --dry-run allow http</w:t>
      </w:r>
    </w:p>
    <w:p>
      <w:pPr>
        <w:pStyle w:val="Para 02"/>
      </w:pPr>
      <w:r>
        <w:t>*filter</w:t>
      </w:r>
    </w:p>
    <w:p>
      <w:pPr>
        <w:pStyle w:val="Para 02"/>
      </w:pPr>
      <w:r>
        <w:t>:ufw-user-input -</w:t>
        <w:t>[</w:t>
        <w:t>0</w:t>
        <w:t>:0</w:t>
        <w:t>]</w:t>
      </w:r>
    </w:p>
    <w:p>
      <w:pPr>
        <w:pStyle w:val="Para 02"/>
      </w:pPr>
      <w:r>
        <w:t>:ufw-user-output -</w:t>
        <w:t>[</w:t>
        <w:t>0</w:t>
        <w:t>:0</w:t>
        <w:t>]</w:t>
      </w:r>
    </w:p>
    <w:p>
      <w:pPr>
        <w:pStyle w:val="Para 02"/>
      </w:pPr>
      <w:r>
        <w:t>:ufw-user-forward -</w:t>
        <w:t>[</w:t>
        <w:t>0</w:t>
        <w:t>:0</w:t>
        <w:t>]</w:t>
      </w:r>
    </w:p>
    <w:p>
      <w:pPr>
        <w:pStyle w:val="Para 02"/>
      </w:pPr>
      <w:r>
        <w:t>:ufw-user-limit -</w:t>
        <w:t>[</w:t>
        <w:t>0</w:t>
        <w:t>:0</w:t>
        <w:t>]</w:t>
      </w:r>
    </w:p>
    <w:p>
      <w:pPr>
        <w:pStyle w:val="Para 02"/>
      </w:pPr>
      <w:r>
        <w:t>:ufw-user-limit-accept -</w:t>
        <w:t>[</w:t>
        <w:t>0</w:t>
        <w:t>:0</w:t>
        <w:t>]</w:t>
      </w:r>
    </w:p>
    <w:p>
      <w:pPr>
        <w:pStyle w:val="Para 07"/>
      </w:pPr>
      <w:r>
        <w:t>### RULES ###</w:t>
      </w:r>
    </w:p>
    <w:p>
      <w:pPr>
        <w:pStyle w:val="Para 07"/>
      </w:pPr>
      <w:r>
        <w:t>### tuple ### allow tcp 80 0.0.0.0/0 any 0.0.0.0/0</w:t>
      </w:r>
    </w:p>
    <w:p>
      <w:pPr>
        <w:pStyle w:val="Para 02"/>
      </w:pPr>
      <w:r>
        <w:t>-A ufw-user-input -p tcp --dport</w:t>
        <w:t xml:space="preserve"> </w:t>
        <w:t>80</w:t>
        <w:t>-j ACCEPT</w:t>
      </w:r>
    </w:p>
    <w:p>
      <w:pPr>
        <w:pStyle w:val="Para 07"/>
      </w:pPr>
      <w:r>
        <w:t>### END RULES ###</w:t>
      </w:r>
    </w:p>
    <w:p>
      <w:pPr>
        <w:pStyle w:val="Para 02"/>
      </w:pPr>
      <w:r>
        <w:t>-A ufw-user-input -j RETURN</w:t>
      </w:r>
    </w:p>
    <w:p>
      <w:pPr>
        <w:pStyle w:val="Para 02"/>
      </w:pPr>
      <w:r>
        <w:t>-A ufw-user-output -j RETURN</w:t>
      </w:r>
    </w:p>
    <w:p>
      <w:pPr>
        <w:pStyle w:val="Para 02"/>
      </w:pPr>
      <w:r>
        <w:t>-A ufw-user-forward -j RETURN</w:t>
      </w:r>
    </w:p>
    <w:p>
      <w:pPr>
        <w:pStyle w:val="Para 02"/>
      </w:pPr>
      <w:r>
        <w:t>-A ufw-user-limit -m limit --limit</w:t>
        <w:t xml:space="preserve"> </w:t>
        <w:t>3</w:t>
        <w:t>/minute -j LOG --log-prefix</w:t>
        <w:t xml:space="preserve"> </w:t>
        <w:t>"[UFW LIMIT]: "</w:t>
        <w:t>-A ufw-user-limit -j REJECT</w:t>
      </w:r>
    </w:p>
    <w:p>
      <w:pPr>
        <w:pStyle w:val="Para 02"/>
      </w:pPr>
      <w:r>
        <w:t>-A ufw-user-limit-accept -j ACCEPT</w:t>
      </w:r>
    </w:p>
    <w:p>
      <w:pPr>
        <w:pStyle w:val="Para 02"/>
      </w:pPr>
      <w:r>
        <w:t>COMMIT</w:t>
      </w:r>
    </w:p>
    <w:p>
      <w:pPr>
        <w:pStyle w:val="Para 02"/>
      </w:pPr>
      <w:r>
        <w:t>Rules updated</w:t>
      </w:r>
    </w:p>
    <w:p>
      <w:pPr>
        <w:pStyle w:val="Para 17"/>
      </w:pPr>
      <w:r>
        <w:t/>
      </w:r>
    </w:p>
    <w:p>
      <w:pPr>
        <w:pStyle w:val="Para 01"/>
      </w:pPr>
      <w:r>
        <w:t>Check the status</w:t>
      </w:r>
    </w:p>
    <w:p>
      <w:pPr>
        <w:pStyle w:val="Para 17"/>
      </w:pPr>
      <w:r>
        <w:t/>
      </w:r>
    </w:p>
    <w:p>
      <w:pPr>
        <w:pStyle w:val="Normal"/>
      </w:pPr>
      <w:r>
        <w:t>To see the firewall status, enter:</w:t>
      </w:r>
    </w:p>
    <w:p>
      <w:pPr>
        <w:pStyle w:val="Normal"/>
      </w:pPr>
      <w:r>
        <w:t>sudo ufw status</w:t>
      </w:r>
    </w:p>
    <w:p>
      <w:pPr>
        <w:pStyle w:val="Para 17"/>
      </w:pPr>
      <w:r>
        <w:t/>
      </w:r>
    </w:p>
    <w:p>
      <w:pPr>
        <w:pStyle w:val="Normal"/>
      </w:pPr>
      <w:r>
        <w:t>And for more verbose status information use:</w:t>
      </w:r>
    </w:p>
    <w:p>
      <w:pPr>
        <w:pStyle w:val="Normal"/>
      </w:pPr>
      <w:r>
        <w:t>sudo ufw status verbose</w:t>
      </w:r>
    </w:p>
    <w:p>
      <w:pPr>
        <w:pStyle w:val="Para 17"/>
      </w:pPr>
      <w:r>
        <w:t/>
      </w:r>
    </w:p>
    <w:p>
      <w:pPr>
        <w:pStyle w:val="Para 08"/>
      </w:pPr>
      <w:r>
        <w:t>Note:</w:t>
      </w:r>
    </w:p>
    <w:p>
      <w:pPr>
        <w:pStyle w:val="Para 03"/>
      </w:pPr>
      <w:r>
        <w:t>If the port you want to open or close is defined in /etc/services, you can use the port</w:t>
      </w:r>
    </w:p>
    <w:p>
      <w:pPr>
        <w:pStyle w:val="Para 03"/>
      </w:pPr>
      <w:r>
        <w:t>name instead of the number. In the above examples, replace 22 with ssh.</w:t>
      </w:r>
    </w:p>
    <w:p>
      <w:pPr>
        <w:pStyle w:val="Para 17"/>
      </w:pPr>
      <w:r>
        <w:t/>
      </w:r>
    </w:p>
    <w:p>
      <w:pPr>
        <w:pStyle w:val="Normal"/>
      </w:pPr>
      <w:r>
        <w:t xml:space="preserve">This is a quick introduction to using </w:t>
      </w:r>
      <w:hyperlink w:anchor="page_123">
        <w:r>
          <w:rPr>
            <w:rStyle w:val="Text9"/>
          </w:rPr>
          <w:t>85</w:t>
        </w:r>
      </w:hyperlink>
      <w:r>
        <w:t xml:space="preserve"> ufw . Please refer to the </w:t>
      </w:r>
      <w:hyperlink r:id="rId1098">
        <w:r>
          <w:rPr>
            <w:rStyle w:val="Text2"/>
          </w:rPr>
          <w:t>ufw(8)</w:t>
        </w:r>
      </w:hyperlink>
      <w:r>
        <w:t xml:space="preserve"> manual page for more information.</w:t>
      </w:r>
    </w:p>
    <w:p>
      <w:pPr>
        <w:pStyle w:val="Para 05"/>
      </w:pPr>
      <w:r>
        <w:rPr>
          <w:rStyle w:val="Text5"/>
        </w:rPr>
        <w:t>85</w:t>
      </w:r>
      <w:r>
        <w:rPr>
          <w:rStyle w:val="Text8"/>
        </w:rPr>
        <w:t xml:space="preserve"> </w:t>
      </w:r>
      <w:r>
        <w:t>https://manpages.ubuntu.com/manpages/resolute/man8/ufw.8.html</w:t>
      </w:r>
    </w:p>
    <w:p>
      <w:bookmarkStart w:id="174" w:name="calibre_pb_25"/>
      <w:pPr>
        <w:pStyle w:val="0 Block"/>
      </w:pPr>
      <w:bookmarkEnd w:id="174"/>
    </w:p>
    <w:p>
      <w:bookmarkStart w:id="175" w:name="Top_of_index_split_026_html"/>
      <w:bookmarkStart w:id="176" w:name="page_12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6"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130"/>
                    <a:stretch>
                      <a:fillRect/>
                    </a:stretch>
                  </pic:blipFill>
                  <pic:spPr>
                    <a:xfrm>
                      <a:off x="0" y="0"/>
                      <a:ext cx="914400" cy="266700"/>
                    </a:xfrm>
                    <a:prstGeom prst="rect">
                      <a:avLst/>
                    </a:prstGeom>
                  </pic:spPr>
                </pic:pic>
              </a:graphicData>
            </a:graphic>
          </wp:anchor>
        </w:drawing>
      </w:r>
      <w:bookmarkEnd w:id="175"/>
      <w:bookmarkEnd w:id="176"/>
    </w:p>
    <w:p>
      <w:pPr>
        <w:pStyle w:val="Para 01"/>
      </w:pPr>
      <w:r>
        <w:t>ufw application integration</w:t>
      </w:r>
    </w:p>
    <w:p>
      <w:pPr>
        <w:pStyle w:val="Para 17"/>
      </w:pPr>
      <w:r>
        <w:t/>
      </w:r>
    </w:p>
    <w:p>
      <w:pPr>
        <w:pStyle w:val="Normal"/>
      </w:pPr>
      <w:r>
        <w:t>Applications that open ports can include a ufw profile, which details the ports needed for the application to function properly. The profiles are kept in /etc/ufw/applications.d, and can be edited if the default ports have been changed.</w:t>
      </w:r>
    </w:p>
    <w:p>
      <w:pPr>
        <w:pStyle w:val="Normal"/>
      </w:pPr>
      <w:r>
        <w:t>To view which applications have installed a profile, run the following in a terminal:</w:t>
      </w:r>
    </w:p>
    <w:p>
      <w:pPr>
        <w:pStyle w:val="Normal"/>
      </w:pPr>
      <w:r>
        <w:t>sudo ufw app list</w:t>
      </w:r>
    </w:p>
    <w:p>
      <w:pPr>
        <w:pStyle w:val="Para 17"/>
      </w:pPr>
      <w:r>
        <w:t/>
      </w:r>
    </w:p>
    <w:p>
      <w:pPr>
        <w:pStyle w:val="Normal"/>
      </w:pPr>
      <w:r>
        <w:t>Similar to allowing traffic to a port, using an application profile is accomplished by entering:</w:t>
      </w:r>
    </w:p>
    <w:p>
      <w:pPr>
        <w:pStyle w:val="Normal"/>
      </w:pPr>
      <w:r>
        <w:t>sudo ufw allow Samba</w:t>
      </w:r>
    </w:p>
    <w:p>
      <w:pPr>
        <w:pStyle w:val="Para 17"/>
      </w:pPr>
      <w:r>
        <w:t/>
      </w:r>
    </w:p>
    <w:p>
      <w:pPr>
        <w:pStyle w:val="Normal"/>
      </w:pPr>
      <w:r>
        <w:t>An extended syntax is available as well:</w:t>
      </w:r>
    </w:p>
    <w:p>
      <w:pPr>
        <w:pStyle w:val="Normal"/>
      </w:pPr>
      <w:r>
        <w:t>ufw allow from</w:t>
        <w:t xml:space="preserve"> </w:t>
        <w:t>192</w:t>
        <w:t>.168.0.0/24 to any app Samba</w:t>
      </w:r>
    </w:p>
    <w:p>
      <w:pPr>
        <w:pStyle w:val="Para 17"/>
      </w:pPr>
      <w:r>
        <w:t/>
      </w:r>
    </w:p>
    <w:p>
      <w:pPr>
        <w:pStyle w:val="Normal"/>
      </w:pPr>
      <w:r>
        <w:t>Replace Samba and 192.168.0.0/24 with the application profile you are using and the IP range for your network.</w:t>
      </w:r>
    </w:p>
    <w:p>
      <w:pPr>
        <w:pStyle w:val="Para 08"/>
      </w:pPr>
      <w:r>
        <w:t>Note:</w:t>
      </w:r>
    </w:p>
    <w:p>
      <w:pPr>
        <w:pStyle w:val="Para 03"/>
      </w:pPr>
      <w:r>
        <w:t xml:space="preserve">There is no need to specify the </w:t>
      </w:r>
      <w:r>
        <w:rPr>
          <w:rStyle w:val="Text0"/>
        </w:rPr>
        <w:t>protocol</w:t>
      </w:r>
      <w:r>
        <w:t xml:space="preserve"> for the application, because that information is</w:t>
      </w:r>
    </w:p>
    <w:p>
      <w:pPr>
        <w:pStyle w:val="Para 03"/>
      </w:pPr>
      <w:r>
        <w:t>detailed in the profile. Also, note that the app name replaces the port number.</w:t>
      </w:r>
    </w:p>
    <w:p>
      <w:pPr>
        <w:pStyle w:val="Para 17"/>
      </w:pPr>
      <w:r>
        <w:t/>
      </w:r>
    </w:p>
    <w:p>
      <w:pPr>
        <w:pStyle w:val="Normal"/>
      </w:pPr>
      <w:r>
        <w:t>To view details about which ports and protocols, and so on, are defined for an application, enter:</w:t>
      </w:r>
    </w:p>
    <w:p>
      <w:pPr>
        <w:pStyle w:val="Normal"/>
      </w:pPr>
      <w:r>
        <w:t>sudo ufw app info Samba</w:t>
      </w:r>
    </w:p>
    <w:p>
      <w:pPr>
        <w:pStyle w:val="Para 17"/>
      </w:pPr>
      <w:r>
        <w:t/>
      </w:r>
    </w:p>
    <w:p>
      <w:pPr>
        <w:pStyle w:val="Normal"/>
      </w:pPr>
      <w:r>
        <w:t>Not all applications that require opening a network port come with ufw profiles, but if you have profiled an application and want the file to be included with the package, please file a bug against the package in Launchpad.</w:t>
      </w:r>
    </w:p>
    <w:p>
      <w:pPr>
        <w:pStyle w:val="Normal"/>
      </w:pPr>
      <w:r>
        <w:t>ubuntu-bug nameofpackage</w:t>
      </w:r>
    </w:p>
    <w:p>
      <w:pPr>
        <w:pStyle w:val="Para 17"/>
      </w:pPr>
      <w:r>
        <w:t/>
      </w:r>
    </w:p>
    <w:p>
      <w:pPr>
        <w:pStyle w:val="Para 01"/>
      </w:pPr>
      <w:r>
        <w:t>IP masquerading</w:t>
      </w:r>
    </w:p>
    <w:p>
      <w:pPr>
        <w:pStyle w:val="Para 17"/>
      </w:pPr>
      <w:r>
        <w:t/>
      </w:r>
    </w:p>
    <w:p>
      <w:pPr>
        <w:pStyle w:val="Normal"/>
      </w:pPr>
      <w:r>
        <w:t>The purpose of IP masquerading is to allow machines with private, non-routable IP addresses on your network to access the Internet through the machine doing the masquerading. Traffic from your private network destined for the Internet must be manipulated for replies to be routable back to the machine that made the request.</w:t>
      </w:r>
    </w:p>
    <w:p>
      <w:pPr>
        <w:pStyle w:val="Normal"/>
      </w:pPr>
      <w:r>
        <w:t xml:space="preserve">To do this, the kernel must modify the </w:t>
      </w:r>
      <w:r>
        <w:rPr>
          <w:rStyle w:val="Text0"/>
        </w:rPr>
        <w:t>source</w:t>
      </w:r>
      <w:r>
        <w:t xml:space="preserve"> IP address of each packet so that replies will be routed back to it, rather than to the private IP address that made the request, which is</w:t>
      </w:r>
    </w:p>
    <w:p>
      <w:pPr>
        <w:pStyle w:val="Normal"/>
      </w:pPr>
      <w:r>
        <w:t xml:space="preserve">impossible over the Internet. Linux uses </w:t>
      </w:r>
      <w:hyperlink w:anchor="page_124">
        <w:r>
          <w:rPr>
            <w:rStyle w:val="Text9"/>
          </w:rPr>
          <w:t>86</w:t>
        </w:r>
      </w:hyperlink>
      <w:r>
        <w:t xml:space="preserve"> </w:t>
      </w:r>
      <w:r>
        <w:rPr>
          <w:rStyle w:val="Text0"/>
        </w:rPr>
        <w:t>Connection Tracking</w:t>
      </w:r>
      <w:r>
        <w:t xml:space="preserve"> ( </w:t>
      </w:r>
      <w:hyperlink r:id="rId1099">
        <w:r>
          <w:rPr>
            <w:rStyle w:val="Text2"/>
          </w:rPr>
          <w:t>conntrack(8)</w:t>
        </w:r>
      </w:hyperlink>
      <w:r>
        <w:t>) to keep track of which connections belong to which machines and reroute each return packet accordingly. Traffic leaving your private network is thus “masqueraded” as having originated from your Ubuntu gateway machine. This process is referred to in Microsoft documentation as “Internet Connection Sharing”.</w:t>
      </w:r>
    </w:p>
    <w:p>
      <w:pPr>
        <w:pStyle w:val="Para 05"/>
      </w:pPr>
      <w:r>
        <w:rPr>
          <w:rStyle w:val="Text5"/>
        </w:rPr>
        <w:t>86</w:t>
      </w:r>
      <w:r>
        <w:rPr>
          <w:rStyle w:val="Text8"/>
        </w:rPr>
        <w:t xml:space="preserve"> </w:t>
      </w:r>
      <w:r>
        <w:t>https://manpages.ubuntu.com/manpages/resolute/man8/conntrack.8.html</w:t>
      </w:r>
      <w:r>
        <w:rPr>
          <w:rStyle w:val="Text8"/>
        </w:rPr>
        <w:t xml:space="preserve"> </w:t>
      </w:r>
      <w:r>
        <w:rPr>
          <w:rStyle w:val="Text11"/>
        </w:rPr>
        <w:t>IP masquerading with ufw</w:t>
      </w:r>
    </w:p>
    <w:p>
      <w:bookmarkStart w:id="177" w:name="page_1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7" name="index-125_1.png" descr="index-125_1.png"/>
            <wp:cNvGraphicFramePr>
              <a:graphicFrameLocks noChangeAspect="1"/>
            </wp:cNvGraphicFramePr>
            <a:graphic>
              <a:graphicData uri="http://schemas.openxmlformats.org/drawingml/2006/picture">
                <pic:pic>
                  <pic:nvPicPr>
                    <pic:cNvPr id="0" name="index-125_1.png" descr="index-125_1.png"/>
                    <pic:cNvPicPr/>
                  </pic:nvPicPr>
                  <pic:blipFill>
                    <a:blip r:embed="rId131"/>
                    <a:stretch>
                      <a:fillRect/>
                    </a:stretch>
                  </pic:blipFill>
                  <pic:spPr>
                    <a:xfrm>
                      <a:off x="0" y="0"/>
                      <a:ext cx="914400" cy="266700"/>
                    </a:xfrm>
                    <a:prstGeom prst="rect">
                      <a:avLst/>
                    </a:prstGeom>
                  </pic:spPr>
                </pic:pic>
              </a:graphicData>
            </a:graphic>
          </wp:anchor>
        </w:drawing>
      </w:r>
      <w:bookmarkEnd w:id="177"/>
    </w:p>
    <w:p>
      <w:pPr>
        <w:pStyle w:val="Para 17"/>
      </w:pPr>
      <w:r>
        <w:t/>
      </w:r>
    </w:p>
    <w:p>
      <w:pPr>
        <w:pStyle w:val="Normal"/>
      </w:pPr>
      <w:r>
        <w:t>IP masquerading can be achieved using custom ufw rules. This is possible because the current back-end for ufw is iptables-restore with the rules files located in /etc/ufw/*.rules. These files are a great place to add legacy iptables rules used without ufw, and rules that are more network gateway or bridge related.</w:t>
      </w:r>
    </w:p>
    <w:p>
      <w:pPr>
        <w:pStyle w:val="Normal"/>
      </w:pPr>
      <w:r>
        <w:t>The rules are split into two different files; rules that should be executed before ufw command line rules, and rules that are executed after ufw command line rules.</w:t>
      </w:r>
    </w:p>
    <w:p>
      <w:pPr>
        <w:pStyle w:val="Para 17"/>
      </w:pPr>
      <w:r>
        <w:t/>
      </w:r>
    </w:p>
    <w:p>
      <w:pPr>
        <w:pStyle w:val="Para 01"/>
      </w:pPr>
      <w:r>
        <w:t>Enable packet forwarding</w:t>
      </w:r>
    </w:p>
    <w:p>
      <w:pPr>
        <w:pStyle w:val="Para 17"/>
      </w:pPr>
      <w:r>
        <w:t/>
      </w:r>
    </w:p>
    <w:p>
      <w:pPr>
        <w:pStyle w:val="Normal"/>
      </w:pPr>
      <w:r>
        <w:t>First, packet forwarding needs to be enabled in ufw. Two configuration files will need to be adjusted, so first, in /etc/default/ufw change the DEFAULT_FORWARD_POLICY to “ACCEPT”:</w:t>
      </w:r>
    </w:p>
    <w:p>
      <w:pPr>
        <w:pStyle w:val="Normal"/>
      </w:pPr>
      <w:r>
        <w:t>DEFAULT_FORWARD_POLICY</w:t>
        <w:t>=</w:t>
        <w:t>"ACCEPT"</w:t>
      </w:r>
    </w:p>
    <w:p>
      <w:pPr>
        <w:pStyle w:val="Para 17"/>
      </w:pPr>
      <w:r>
        <w:t/>
      </w:r>
    </w:p>
    <w:p>
      <w:pPr>
        <w:pStyle w:val="Normal"/>
      </w:pPr>
      <w:r>
        <w:t>Then, edit /etc/ufw/sysctl.conf and uncomment:</w:t>
      </w:r>
    </w:p>
    <w:p>
      <w:pPr>
        <w:pStyle w:val="Normal"/>
      </w:pPr>
      <w:r>
        <w:t>net</w:t>
        <w:t>/</w:t>
        <w:t>ipv4</w:t>
        <w:t>/</w:t>
        <w:t>ip_forward</w:t>
        <w:t>=</w:t>
        <w:t>1</w:t>
      </w:r>
    </w:p>
    <w:p>
      <w:pPr>
        <w:pStyle w:val="Para 17"/>
      </w:pPr>
      <w:r>
        <w:t/>
      </w:r>
    </w:p>
    <w:p>
      <w:pPr>
        <w:pStyle w:val="Normal"/>
      </w:pPr>
      <w:r>
        <w:t>Similarly, for IPv6 forwarding, uncomment:</w:t>
      </w:r>
    </w:p>
    <w:p>
      <w:pPr>
        <w:pStyle w:val="Normal"/>
      </w:pPr>
      <w:r>
        <w:t>net</w:t>
        <w:t>/</w:t>
        <w:t>ipv6</w:t>
        <w:t>/</w:t>
        <w:t>conf</w:t>
        <w:t>/</w:t>
        <w:t>default</w:t>
        <w:t>/</w:t>
        <w:t>forwarding</w:t>
        <w:t>=</w:t>
        <w:t>1</w:t>
      </w:r>
    </w:p>
    <w:p>
      <w:pPr>
        <w:pStyle w:val="Para 17"/>
      </w:pPr>
      <w:r>
        <w:t/>
      </w:r>
    </w:p>
    <w:p>
      <w:pPr>
        <w:pStyle w:val="Para 01"/>
      </w:pPr>
      <w:r>
        <w:t>Add the configuration</w:t>
      </w:r>
    </w:p>
    <w:p>
      <w:pPr>
        <w:pStyle w:val="Para 17"/>
      </w:pPr>
      <w:r>
        <w:t/>
      </w:r>
    </w:p>
    <w:p>
      <w:pPr>
        <w:pStyle w:val="Normal"/>
      </w:pPr>
      <w:r>
        <w:t xml:space="preserve">Now add rules to the /etc/ufw/before.rules file. The default rules only configure the </w:t>
      </w:r>
      <w:r>
        <w:rPr>
          <w:rStyle w:val="Text0"/>
        </w:rPr>
        <w:t>filter</w:t>
      </w:r>
      <w:r>
        <w:t xml:space="preserve"> table, and to enable masquerading the nat table will need to be configured. Add the follow-ing to the top of the file, just after the header comments:</w:t>
      </w:r>
    </w:p>
    <w:p>
      <w:pPr>
        <w:pStyle w:val="Para 10"/>
      </w:pPr>
      <w:r>
        <w:t># nat Table rules</w:t>
      </w:r>
    </w:p>
    <w:p>
      <w:pPr>
        <w:pStyle w:val="Normal"/>
      </w:pPr>
      <w:r>
        <w:t>*</w:t>
        <w:t>nat</w:t>
      </w:r>
    </w:p>
    <w:p>
      <w:pPr>
        <w:pStyle w:val="Normal"/>
      </w:pPr>
      <w:r>
        <w:t>:POSTROUTING ACCEPT [</w:t>
        <w:t>0</w:t>
        <w:t>:</w:t>
        <w:t>0</w:t>
        <w:t>]</w:t>
      </w:r>
    </w:p>
    <w:p>
      <w:pPr>
        <w:pStyle w:val="Para 10"/>
      </w:pPr>
      <w:r>
        <w:t># Forward traffic from eth1 through eth0.</w:t>
      </w:r>
    </w:p>
    <w:p>
      <w:pPr>
        <w:pStyle w:val="Normal"/>
      </w:pPr>
      <w:r>
        <w:t>-</w:t>
        <w:t>A POSTROUTING</w:t>
        <w:t>-</w:t>
        <w:t>s</w:t>
        <w:t xml:space="preserve"> </w:t>
        <w:t>192.168.0.0</w:t>
        <w:t>/</w:t>
        <w:t>24</w:t>
        <w:t>-</w:t>
        <w:t>o eth0</w:t>
        <w:t>-</w:t>
        <w:t>j MASQUERADE</w:t>
      </w:r>
    </w:p>
    <w:p>
      <w:pPr>
        <w:pStyle w:val="Para 10"/>
      </w:pPr>
      <w:r>
        <w:t># don't delete the 'COMMIT' line or these nat table rules won't be processed</w:t>
      </w:r>
      <w:r>
        <w:rPr>
          <w:rStyle w:val="Text3"/>
        </w:rPr>
        <w:t xml:space="preserve"> </w:t>
        <w:t>COMMIT</w:t>
      </w:r>
    </w:p>
    <w:p>
      <w:pPr>
        <w:pStyle w:val="Para 17"/>
      </w:pPr>
      <w:r>
        <w:t/>
      </w:r>
    </w:p>
    <w:p>
      <w:pPr>
        <w:pStyle w:val="Normal"/>
      </w:pPr>
      <w:r>
        <w:t>The comments are not strictly necessary, but it is considered good practice to document your configuration. Also, when modifying any of the rules files in /etc/ufw, make sure these lines are the last line for each table modified:</w:t>
      </w:r>
    </w:p>
    <w:p>
      <w:pPr>
        <w:pStyle w:val="Para 10"/>
      </w:pPr>
      <w:r>
        <w:t># don't delete the 'COMMIT' line or these rules won't be processed</w:t>
      </w:r>
      <w:r>
        <w:rPr>
          <w:rStyle w:val="Text3"/>
        </w:rPr>
        <w:t xml:space="preserve"> </w:t>
        <w:t>COMMIT</w:t>
      </w:r>
    </w:p>
    <w:p>
      <w:pPr>
        <w:pStyle w:val="Para 17"/>
      </w:pPr>
      <w:r>
        <w:t/>
      </w:r>
    </w:p>
    <w:p>
      <w:pPr>
        <w:pStyle w:val="Normal"/>
      </w:pPr>
      <w:r>
        <w:t xml:space="preserve">For each </w:t>
      </w:r>
      <w:r>
        <w:rPr>
          <w:rStyle w:val="Text0"/>
        </w:rPr>
        <w:t>Table</w:t>
      </w:r>
      <w:r>
        <w:t>, a corresponding COMMIT statement is required. In these examples only the nat and filter tables are shown, but you can also add rules for the raw and mangle tables.</w:t>
      </w:r>
    </w:p>
    <w:p>
      <w:bookmarkStart w:id="178" w:name="page_1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8" name="index-126_1.png" descr="index-126_1.png"/>
            <wp:cNvGraphicFramePr>
              <a:graphicFrameLocks noChangeAspect="1"/>
            </wp:cNvGraphicFramePr>
            <a:graphic>
              <a:graphicData uri="http://schemas.openxmlformats.org/drawingml/2006/picture">
                <pic:pic>
                  <pic:nvPicPr>
                    <pic:cNvPr id="0" name="index-126_1.png" descr="index-126_1.png"/>
                    <pic:cNvPicPr/>
                  </pic:nvPicPr>
                  <pic:blipFill>
                    <a:blip r:embed="rId132"/>
                    <a:stretch>
                      <a:fillRect/>
                    </a:stretch>
                  </pic:blipFill>
                  <pic:spPr>
                    <a:xfrm>
                      <a:off x="0" y="0"/>
                      <a:ext cx="914400" cy="266700"/>
                    </a:xfrm>
                    <a:prstGeom prst="rect">
                      <a:avLst/>
                    </a:prstGeom>
                  </pic:spPr>
                </pic:pic>
              </a:graphicData>
            </a:graphic>
          </wp:anchor>
        </w:drawing>
      </w:r>
      <w:bookmarkEnd w:id="178"/>
    </w:p>
    <w:p>
      <w:pPr>
        <w:pStyle w:val="Para 08"/>
      </w:pPr>
      <w:r>
        <w:t>Note:</w:t>
      </w:r>
    </w:p>
    <w:p>
      <w:pPr>
        <w:pStyle w:val="Para 03"/>
      </w:pPr>
      <w:r>
        <w:t>In the above example, replace eth0, eth1, and 192.168.0.0/24 with the appropriate inter-</w:t>
      </w:r>
    </w:p>
    <w:p>
      <w:pPr>
        <w:pStyle w:val="Para 03"/>
      </w:pPr>
      <w:r>
        <w:t>faces and IP range for your network.</w:t>
      </w:r>
    </w:p>
    <w:p>
      <w:pPr>
        <w:pStyle w:val="Para 17"/>
      </w:pPr>
      <w:r>
        <w:t/>
      </w:r>
    </w:p>
    <w:p>
      <w:pPr>
        <w:pStyle w:val="Para 01"/>
      </w:pPr>
      <w:r>
        <w:t>Restart ufw</w:t>
      </w:r>
    </w:p>
    <w:p>
      <w:pPr>
        <w:pStyle w:val="Para 17"/>
      </w:pPr>
      <w:r>
        <w:t/>
      </w:r>
    </w:p>
    <w:p>
      <w:pPr>
        <w:pStyle w:val="Normal"/>
      </w:pPr>
      <w:r>
        <w:t>Finally, disable and re-enable ufw to apply the changes:</w:t>
      </w:r>
    </w:p>
    <w:p>
      <w:pPr>
        <w:pStyle w:val="Normal"/>
      </w:pPr>
      <w:r>
        <w:t>sudo ufw disable</w:t>
        <w:t xml:space="preserve"> </w:t>
        <w:t>&amp;&amp;</w:t>
        <w:t xml:space="preserve"> </w:t>
        <w:t>sudo ufw</w:t>
        <w:t xml:space="preserve"> </w:t>
        <w:t>enable</w:t>
      </w:r>
    </w:p>
    <w:p>
      <w:pPr>
        <w:pStyle w:val="Para 17"/>
      </w:pPr>
      <w:r>
        <w:t/>
      </w:r>
    </w:p>
    <w:p>
      <w:pPr>
        <w:pStyle w:val="Normal"/>
      </w:pPr>
      <w:r>
        <w:t>IP masquerading should now be enabled. You can also add any additional FORWARD rules to the /etc/ufw/before.rules. It is recommended that these additional rules be added to the ufw-before-forward chain.</w:t>
      </w:r>
    </w:p>
    <w:p>
      <w:pPr>
        <w:pStyle w:val="Para 17"/>
      </w:pPr>
      <w:r>
        <w:t/>
      </w:r>
    </w:p>
    <w:p>
      <w:pPr>
        <w:pStyle w:val="Para 01"/>
      </w:pPr>
      <w:r>
        <w:t>IP masquerading with iptables</w:t>
      </w:r>
    </w:p>
    <w:p>
      <w:pPr>
        <w:pStyle w:val="Para 17"/>
      </w:pPr>
      <w:r>
        <w:t/>
      </w:r>
    </w:p>
    <w:p>
      <w:pPr>
        <w:pStyle w:val="Normal"/>
      </w:pPr>
      <w:r>
        <w:t>iptables can also be used to enable masquerading.</w:t>
      </w:r>
    </w:p>
    <w:p>
      <w:pPr>
        <w:pStyle w:val="Normal"/>
      </w:pPr>
      <w:r>
        <w:t>Similarly to ufw, the first step is to enable IPv4 packet forwarding by editing /etc/sysctl.conf and uncomment the following line:</w:t>
      </w:r>
    </w:p>
    <w:p>
      <w:pPr>
        <w:pStyle w:val="Normal"/>
      </w:pPr>
      <w:r>
        <w:t>net</w:t>
        <w:t>.</w:t>
        <w:t>ipv4</w:t>
        <w:t>.</w:t>
        <w:t>ip_forward</w:t>
        <w:t>=</w:t>
        <w:t>1</w:t>
      </w:r>
    </w:p>
    <w:p>
      <w:pPr>
        <w:pStyle w:val="Para 17"/>
      </w:pPr>
      <w:r>
        <w:t/>
      </w:r>
    </w:p>
    <w:p>
      <w:pPr>
        <w:pStyle w:val="Normal"/>
      </w:pPr>
      <w:r>
        <w:t>If you wish to enable IPv6 forwarding also uncomment:</w:t>
      </w:r>
    </w:p>
    <w:p>
      <w:pPr>
        <w:pStyle w:val="Normal"/>
      </w:pPr>
      <w:r>
        <w:t>net</w:t>
        <w:t>.</w:t>
        <w:t>ipv6</w:t>
        <w:t>.</w:t>
        <w:t>conf</w:t>
        <w:t>.</w:t>
        <w:t>default</w:t>
        <w:t>.</w:t>
        <w:t>forwarding</w:t>
        <w:t>=</w:t>
        <w:t>1</w:t>
      </w:r>
    </w:p>
    <w:p>
      <w:pPr>
        <w:pStyle w:val="Para 17"/>
      </w:pPr>
      <w:r>
        <w:t/>
      </w:r>
    </w:p>
    <w:p>
      <w:pPr>
        <w:pStyle w:val="Normal"/>
      </w:pPr>
      <w:r>
        <w:t>Next, run the sysctl command to enable the new settings in the configuration file:</w:t>
      </w:r>
    </w:p>
    <w:p>
      <w:pPr>
        <w:pStyle w:val="Normal"/>
      </w:pPr>
      <w:r>
        <w:t>sudo sysctl -p</w:t>
      </w:r>
    </w:p>
    <w:p>
      <w:pPr>
        <w:pStyle w:val="Para 17"/>
      </w:pPr>
      <w:r>
        <w:t/>
      </w:r>
    </w:p>
    <w:p>
      <w:pPr>
        <w:pStyle w:val="Normal"/>
      </w:pPr>
      <w:r>
        <w:t>IP masquerading can now be accomplished with a single iptables rule, which may differ slightly based on your network configuration:</w:t>
      </w:r>
    </w:p>
    <w:p>
      <w:pPr>
        <w:pStyle w:val="Normal"/>
      </w:pPr>
      <w:r>
        <w:t>sudo iptables -t nat -A POSTROUTING -s</w:t>
        <w:t xml:space="preserve"> </w:t>
        <w:t>192</w:t>
        <w:t>.168.0.0/16 -o ppp0 -j MASQUERADE</w:t>
      </w:r>
    </w:p>
    <w:p>
      <w:pPr>
        <w:pStyle w:val="Para 17"/>
      </w:pPr>
      <w:r>
        <w:t/>
      </w:r>
    </w:p>
    <w:p>
      <w:pPr>
        <w:pStyle w:val="Normal"/>
      </w:pPr>
      <w:r>
        <w:t>The above command assumes that your private address space is 192.168.0.0/16 and that your Internet-facing device is ppp0. The syntax is broken down as follows:</w:t>
      </w:r>
    </w:p>
    <w:p>
      <w:pPr>
        <w:pStyle w:val="Para 04"/>
      </w:pPr>
      <w:r>
        <w:t>•-t nat – the rule is to go into the NAT table</w:t>
      </w:r>
    </w:p>
    <w:p>
      <w:pPr>
        <w:pStyle w:val="Para 04"/>
      </w:pPr>
      <w:r>
        <w:t>•-A POSTROUTING – the rule is to be appended (-A) to the POSTROUTING chain</w:t>
      </w:r>
    </w:p>
    <w:p>
      <w:pPr>
        <w:pStyle w:val="Para 04"/>
      </w:pPr>
      <w:r>
        <w:t>•-s 192.168.0.0/16 – the rule applies to traffic originating from the specified address</w:t>
      </w:r>
    </w:p>
    <w:p>
      <w:pPr>
        <w:pStyle w:val="Para 02"/>
      </w:pPr>
      <w:r>
        <w:t>space</w:t>
      </w:r>
    </w:p>
    <w:p>
      <w:pPr>
        <w:pStyle w:val="Para 04"/>
      </w:pPr>
      <w:r>
        <w:t>•-o ppp0 – the rule applies to traffic scheduled to be routed through the specified net-</w:t>
      </w:r>
    </w:p>
    <w:p>
      <w:pPr>
        <w:pStyle w:val="Para 02"/>
      </w:pPr>
      <w:r>
        <w:t>work device</w:t>
      </w:r>
    </w:p>
    <w:p>
      <w:pPr>
        <w:pStyle w:val="Para 04"/>
      </w:pPr>
      <w:r>
        <w:t>•-j MASQUERADE – traffic matching this rule is to “jump” (-j) to the MASQUERADE target to</w:t>
      </w:r>
    </w:p>
    <w:p>
      <w:pPr>
        <w:pStyle w:val="Para 02"/>
      </w:pPr>
      <w:r>
        <w:t xml:space="preserve">be manipulated as described above Also, each chain in the filter table (the default table, and where most – or all – packet filtering occurs) has a default </w:t>
      </w:r>
      <w:r>
        <w:rPr>
          <w:rStyle w:val="Text0"/>
        </w:rPr>
        <w:t>policy</w:t>
      </w:r>
      <w:r>
        <w:t xml:space="preserve"> of ACCEPT, but if you are creating a firewall in addition to a gate-way device, you may have set the policies to DROP or REJECT, in which case your masqueraded traffic needs to be allowed through the FORWARD chain for the above rule to work:</w:t>
      </w:r>
    </w:p>
    <w:p>
      <w:bookmarkStart w:id="179" w:name="page_1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29"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133"/>
                    <a:stretch>
                      <a:fillRect/>
                    </a:stretch>
                  </pic:blipFill>
                  <pic:spPr>
                    <a:xfrm>
                      <a:off x="0" y="0"/>
                      <a:ext cx="914400" cy="266700"/>
                    </a:xfrm>
                    <a:prstGeom prst="rect">
                      <a:avLst/>
                    </a:prstGeom>
                  </pic:spPr>
                </pic:pic>
              </a:graphicData>
            </a:graphic>
          </wp:anchor>
        </w:drawing>
      </w:r>
      <w:bookmarkEnd w:id="179"/>
    </w:p>
    <w:p>
      <w:pPr>
        <w:pStyle w:val="Normal"/>
      </w:pPr>
      <w:r>
        <w:t>sudo iptables -A FORWARD -s</w:t>
        <w:t xml:space="preserve"> </w:t>
        <w:t>192</w:t>
        <w:t>.168.0.0/16 -o ppp0 -j ACCEPT</w:t>
        <w:t xml:space="preserve"> </w:t>
        <w:t>sudo iptables -A FORWARD -d</w:t>
        <w:t xml:space="preserve"> </w:t>
        <w:t>192</w:t>
        <w:t>.168.0.0/16 -m state</w:t>
        <w:t xml:space="preserve"> </w:t>
      </w:r>
      <w:r>
        <w:rPr>
          <w:rStyle w:val="Text0"/>
        </w:rPr>
        <w:t>\</w:t>
      </w:r>
      <w:r>
        <w:t>--state ESTABLISHED,RELATED -i ppp0 -j ACCEPT</w:t>
      </w:r>
    </w:p>
    <w:p>
      <w:pPr>
        <w:pStyle w:val="Para 17"/>
      </w:pPr>
      <w:r>
        <w:t/>
      </w:r>
    </w:p>
    <w:p>
      <w:pPr>
        <w:pStyle w:val="Normal"/>
      </w:pPr>
      <w:r>
        <w:t>The above commands will allow all connections from your local network to the Internet and all traffic related to those connections to return to the machine that initiated them.</w:t>
      </w:r>
    </w:p>
    <w:p>
      <w:pPr>
        <w:pStyle w:val="Normal"/>
      </w:pPr>
      <w:r>
        <w:t>If you want masquerading to be enabled on reboot, which you probably do, edit /etc/rc. local and add any commands used above. For example add the first command with no filter-ing:</w:t>
      </w:r>
    </w:p>
    <w:p>
      <w:pPr>
        <w:pStyle w:val="Normal"/>
      </w:pPr>
      <w:r>
        <w:t>iptables</w:t>
        <w:t>-</w:t>
        <w:t>t nat</w:t>
        <w:t>-</w:t>
        <w:t>A POSTROUTING</w:t>
        <w:t>-</w:t>
        <w:t>s</w:t>
        <w:t xml:space="preserve"> </w:t>
        <w:t>192.168.0.0</w:t>
        <w:t>/</w:t>
        <w:t>16</w:t>
        <w:t>-</w:t>
        <w:t>o ppp0</w:t>
        <w:t>-</w:t>
        <w:t>j MASQUERADE</w:t>
      </w:r>
    </w:p>
    <w:p>
      <w:pPr>
        <w:pStyle w:val="Para 17"/>
      </w:pPr>
      <w:r>
        <w:t/>
      </w:r>
    </w:p>
    <w:p>
      <w:pPr>
        <w:pStyle w:val="Para 01"/>
      </w:pPr>
      <w:r>
        <w:t>Logs</w:t>
      </w:r>
    </w:p>
    <w:p>
      <w:pPr>
        <w:pStyle w:val="Para 17"/>
      </w:pPr>
      <w:r>
        <w:t/>
      </w:r>
    </w:p>
    <w:p>
      <w:pPr>
        <w:pStyle w:val="Normal"/>
      </w:pPr>
      <w:r>
        <w:t>Firewall logs are essential for recognizing attacks, troubleshooting your firewall rules, and noticing unusual activity on your network. You must include logging rules in your firewall for them to be generated, though, and logging rules must come before any applicable termi-nating rule (a rule with a target that decides the fate of the packet, such as ACCEPT, DROP, or REJECT).</w:t>
      </w:r>
    </w:p>
    <w:p>
      <w:pPr>
        <w:pStyle w:val="Normal"/>
      </w:pPr>
      <w:r>
        <w:t>If you are using ufw, you can turn on logging by entering the following in a terminal:</w:t>
      </w:r>
    </w:p>
    <w:p>
      <w:pPr>
        <w:pStyle w:val="Normal"/>
      </w:pPr>
      <w:r>
        <w:t>sudo ufw logging on</w:t>
      </w:r>
    </w:p>
    <w:p>
      <w:pPr>
        <w:pStyle w:val="Para 17"/>
      </w:pPr>
      <w:r>
        <w:t/>
      </w:r>
    </w:p>
    <w:p>
      <w:pPr>
        <w:pStyle w:val="Normal"/>
      </w:pPr>
      <w:r>
        <w:t>To turn logging off in ufw, replace on with off in the above command:</w:t>
      </w:r>
    </w:p>
    <w:p>
      <w:pPr>
        <w:pStyle w:val="Normal"/>
      </w:pPr>
      <w:r>
        <w:t>If you are using iptables instead of ufw, run:</w:t>
      </w:r>
    </w:p>
    <w:p>
      <w:pPr>
        <w:pStyle w:val="Normal"/>
      </w:pPr>
      <w:r>
        <w:t>sudo iptables -A INPUT -m state --state NEW -p tcp --dport</w:t>
        <w:t xml:space="preserve"> </w:t>
        <w:t>80</w:t>
        <w:t xml:space="preserve"> </w:t>
      </w:r>
      <w:r>
        <w:rPr>
          <w:rStyle w:val="Text0"/>
        </w:rPr>
        <w:t>\</w:t>
      </w:r>
    </w:p>
    <w:p>
      <w:pPr>
        <w:pStyle w:val="Normal"/>
      </w:pPr>
      <w:r>
        <w:t>-j LOG --log-prefix</w:t>
        <w:t xml:space="preserve"> </w:t>
        <w:t>"NEW_HTTP_CONN: "</w:t>
      </w:r>
    </w:p>
    <w:p>
      <w:pPr>
        <w:pStyle w:val="Para 17"/>
      </w:pPr>
      <w:r>
        <w:t/>
      </w:r>
    </w:p>
    <w:p>
      <w:pPr>
        <w:pStyle w:val="Normal"/>
      </w:pPr>
      <w:r>
        <w:t xml:space="preserve">A request on port 80 from the local machine, then, would generate a log in </w:t>
      </w:r>
      <w:hyperlink w:anchor="page_679">
        <w:r>
          <w:rPr>
            <w:rStyle w:val="Text2"/>
          </w:rPr>
          <w:t>dmesg</w:t>
        </w:r>
      </w:hyperlink>
      <w:r>
        <w:t xml:space="preserve"> that looks like this (single line split into 3 to fit this document):</w:t>
      </w:r>
    </w:p>
    <w:p>
      <w:pPr>
        <w:pStyle w:val="Normal"/>
      </w:pPr>
      <w:r>
        <w:t>[4304885.870000] NEW_HTTP_CONN: IN=lo OUT= MAC=00:00:00:00:00:00:00:00:00:00:00:00:08:00</w:t>
        <w:t xml:space="preserve"> </w:t>
        <w:t>SRC=127.0.0.1 DST=127.0.0.1 LEN=60 TOS=0x00 PREC=0x00 TTL=64 ID=58288 DF PROTO=TCP</w:t>
        <w:t xml:space="preserve"> </w:t>
        <w:t>SPT=53981 DPT=80 WINDOW=32767 RES=0x00 SYN URGP=0</w:t>
      </w:r>
    </w:p>
    <w:p>
      <w:pPr>
        <w:pStyle w:val="Para 17"/>
      </w:pPr>
      <w:r>
        <w:t/>
      </w:r>
    </w:p>
    <w:p>
      <w:pPr>
        <w:pStyle w:val="Normal"/>
      </w:pPr>
      <w:r>
        <w:t>The above log will also appear in /var/log/messages, /var/log/syslog, and /var/log/kern. log. This behavior can be modified by editing /etc/syslog.conf appropriately or by in-stalling and configuring ulogd and using the ULOG target instead of LOG. The ulogd daemon is a userspace server that listens for logging instructions from the kernel – specifically for firewalls – and can log to any file you like, or even to a PostgreSQL or MySQL database. Mak-ing sense of your firewall logs can be simplified by using a log analysing tool such as logwatch, fwanalog, fwlogwatch, or lire.</w:t>
      </w:r>
    </w:p>
    <w:p>
      <w:bookmarkStart w:id="180" w:name="page_1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0" name="index-128_1.png" descr="index-128_1.png"/>
            <wp:cNvGraphicFramePr>
              <a:graphicFrameLocks noChangeAspect="1"/>
            </wp:cNvGraphicFramePr>
            <a:graphic>
              <a:graphicData uri="http://schemas.openxmlformats.org/drawingml/2006/picture">
                <pic:pic>
                  <pic:nvPicPr>
                    <pic:cNvPr id="0" name="index-128_1.png" descr="index-128_1.png"/>
                    <pic:cNvPicPr/>
                  </pic:nvPicPr>
                  <pic:blipFill>
                    <a:blip r:embed="rId134"/>
                    <a:stretch>
                      <a:fillRect/>
                    </a:stretch>
                  </pic:blipFill>
                  <pic:spPr>
                    <a:xfrm>
                      <a:off x="0" y="0"/>
                      <a:ext cx="914400" cy="266700"/>
                    </a:xfrm>
                    <a:prstGeom prst="rect">
                      <a:avLst/>
                    </a:prstGeom>
                  </pic:spPr>
                </pic:pic>
              </a:graphicData>
            </a:graphic>
          </wp:anchor>
        </w:drawing>
      </w:r>
      <w:bookmarkEnd w:id="180"/>
    </w:p>
    <w:p>
      <w:pPr>
        <w:pStyle w:val="Para 01"/>
      </w:pPr>
      <w:r>
        <w:t>Other tools</w:t>
      </w:r>
    </w:p>
    <w:p>
      <w:pPr>
        <w:pStyle w:val="Para 17"/>
      </w:pPr>
      <w:r>
        <w:t/>
      </w:r>
    </w:p>
    <w:p>
      <w:pPr>
        <w:pStyle w:val="Normal"/>
      </w:pPr>
      <w:r>
        <w:t>There are many tools available to help you construct a complete firewall without intimate knowledge of iptables. A command-line tool with plain-text configuration files, for exam-</w:t>
      </w:r>
    </w:p>
    <w:p>
      <w:pPr>
        <w:pStyle w:val="Normal"/>
      </w:pPr>
      <w:r>
        <w:t xml:space="preserve">ple, is </w:t>
      </w:r>
      <w:hyperlink w:anchor="page_128">
        <w:r>
          <w:rPr>
            <w:rStyle w:val="Text9"/>
          </w:rPr>
          <w:t>87</w:t>
        </w:r>
      </w:hyperlink>
      <w:r>
        <w:t xml:space="preserve"> </w:t>
      </w:r>
      <w:hyperlink r:id="rId1100">
        <w:r>
          <w:rPr>
            <w:rStyle w:val="Text1"/>
          </w:rPr>
          <w:t>Shorewall</w:t>
        </w:r>
      </w:hyperlink>
      <w:r>
        <w:t>; a powerful solution to help you configure an advanced firewall for any network.</w:t>
      </w:r>
    </w:p>
    <w:p>
      <w:pPr>
        <w:pStyle w:val="Para 17"/>
      </w:pPr>
      <w:r>
        <w:t/>
      </w:r>
    </w:p>
    <w:p>
      <w:pPr>
        <w:pStyle w:val="Para 01"/>
      </w:pPr>
      <w:r>
        <w:t>Further reading</w:t>
      </w:r>
    </w:p>
    <w:p>
      <w:pPr>
        <w:pStyle w:val="Para 17"/>
      </w:pPr>
      <w:r>
        <w:t/>
      </w:r>
    </w:p>
    <w:p>
      <w:pPr>
        <w:pStyle w:val="Para 04"/>
      </w:pPr>
      <w:r>
        <w:t xml:space="preserve">• The </w:t>
      </w:r>
      <w:hyperlink w:anchor="page_128">
        <w:r>
          <w:rPr>
            <w:rStyle w:val="Text9"/>
          </w:rPr>
          <w:t>88</w:t>
        </w:r>
      </w:hyperlink>
      <w:r>
        <w:t xml:space="preserve"> </w:t>
      </w:r>
      <w:hyperlink r:id="rId1101">
        <w:r>
          <w:rPr>
            <w:rStyle w:val="Text1"/>
          </w:rPr>
          <w:t>Ubuntu Firewall</w:t>
        </w:r>
      </w:hyperlink>
      <w:r>
        <w:t xml:space="preserve"> wiki page contains information on the development of ufw</w:t>
      </w:r>
    </w:p>
    <w:p>
      <w:pPr>
        <w:pStyle w:val="Para 04"/>
      </w:pPr>
      <w:r>
        <w:t xml:space="preserve">• Also, the </w:t>
      </w:r>
      <w:hyperlink r:id="rId1098">
        <w:r>
          <w:rPr>
            <w:rStyle w:val="Text9"/>
          </w:rPr>
          <w:t>89</w:t>
        </w:r>
      </w:hyperlink>
      <w:hyperlink r:id="rId1098">
        <w:r>
          <w:rPr>
            <w:rStyle w:val="Text1"/>
          </w:rPr>
          <w:t xml:space="preserve"> </w:t>
        </w:r>
      </w:hyperlink>
      <w:hyperlink r:id="rId1098">
        <w:r>
          <w:rPr>
            <w:rStyle w:val="Text2"/>
          </w:rPr>
          <w:t>ufw(8)</w:t>
        </w:r>
      </w:hyperlink>
      <w:r>
        <w:t xml:space="preserve"> manual page contains some very useful information: man ufw</w:t>
      </w:r>
    </w:p>
    <w:p>
      <w:pPr>
        <w:pStyle w:val="Para 04"/>
      </w:pPr>
      <w:r>
        <w:t xml:space="preserve">• See the </w:t>
      </w:r>
      <w:hyperlink w:anchor="page_128">
        <w:r>
          <w:rPr>
            <w:rStyle w:val="Text9"/>
          </w:rPr>
          <w:t>90</w:t>
        </w:r>
      </w:hyperlink>
      <w:r>
        <w:t xml:space="preserve"> </w:t>
      </w:r>
      <w:hyperlink r:id="rId1102">
        <w:r>
          <w:rPr>
            <w:rStyle w:val="Text1"/>
          </w:rPr>
          <w:t>packet-filtering how-to</w:t>
        </w:r>
      </w:hyperlink>
      <w:r>
        <w:t xml:space="preserve"> for more information on using iptables</w:t>
      </w:r>
    </w:p>
    <w:p>
      <w:pPr>
        <w:pStyle w:val="Para 04"/>
      </w:pPr>
      <w:r>
        <w:t xml:space="preserve">• The </w:t>
      </w:r>
      <w:hyperlink w:anchor="page_128">
        <w:r>
          <w:rPr>
            <w:rStyle w:val="Text9"/>
          </w:rPr>
          <w:t>91</w:t>
        </w:r>
      </w:hyperlink>
      <w:r>
        <w:t xml:space="preserve"> </w:t>
      </w:r>
      <w:hyperlink r:id="rId1103">
        <w:r>
          <w:rPr>
            <w:rStyle w:val="Text1"/>
          </w:rPr>
          <w:t>nat</w:t>
        </w:r>
      </w:hyperlink>
      <w:r>
        <w:t xml:space="preserve"> </w:t>
      </w:r>
      <w:hyperlink r:id="rId1103">
        <w:r>
          <w:rPr>
            <w:rStyle w:val="Text1"/>
          </w:rPr>
          <w:t>how-to</w:t>
        </w:r>
      </w:hyperlink>
      <w:r>
        <w:t xml:space="preserve"> contains further details on masquerading</w:t>
      </w:r>
    </w:p>
    <w:p>
      <w:pPr>
        <w:pStyle w:val="Para 04"/>
      </w:pPr>
      <w:r>
        <w:t xml:space="preserve">• The </w:t>
      </w:r>
      <w:hyperlink w:anchor="page_128">
        <w:r>
          <w:rPr>
            <w:rStyle w:val="Text9"/>
          </w:rPr>
          <w:t>92</w:t>
        </w:r>
      </w:hyperlink>
      <w:r>
        <w:t xml:space="preserve"> </w:t>
      </w:r>
      <w:hyperlink r:id="rId1104">
        <w:r>
          <w:rPr>
            <w:rStyle w:val="Text1"/>
          </w:rPr>
          <w:t>iptables</w:t>
        </w:r>
      </w:hyperlink>
      <w:r>
        <w:t xml:space="preserve"> </w:t>
      </w:r>
      <w:hyperlink r:id="rId1104">
        <w:r>
          <w:rPr>
            <w:rStyle w:val="Text1"/>
          </w:rPr>
          <w:t>how-to</w:t>
        </w:r>
      </w:hyperlink>
      <w:r>
        <w:t xml:space="preserve"> in the Ubuntu wiki is a great resource</w:t>
      </w:r>
    </w:p>
    <w:p>
      <w:pPr>
        <w:pStyle w:val="Para 17"/>
      </w:pPr>
      <w:r>
        <w:t/>
      </w:r>
    </w:p>
    <w:p>
      <w:pPr>
        <w:pStyle w:val="Para 01"/>
      </w:pPr>
      <w:r>
        <w:t>AppArmor</w:t>
      </w:r>
    </w:p>
    <w:p>
      <w:pPr>
        <w:pStyle w:val="Para 17"/>
      </w:pPr>
      <w:r>
        <w:t/>
      </w:r>
    </w:p>
    <w:p>
      <w:pPr>
        <w:pStyle w:val="Normal"/>
      </w:pPr>
      <w:hyperlink r:id="rId1105">
        <w:r>
          <w:rPr>
            <w:rStyle w:val="Text1"/>
          </w:rPr>
          <w:t>AppArmor</w:t>
        </w:r>
      </w:hyperlink>
      <w:hyperlink w:anchor="page_128">
        <w:r>
          <w:rPr>
            <w:rStyle w:val="Text9"/>
          </w:rPr>
          <w:t>93</w:t>
        </w:r>
      </w:hyperlink>
      <w:r>
        <w:t xml:space="preserve"> is an easy-to-use Linux Security Module implementation that restricts applica-tions’ capabilities and permissions with </w:t>
      </w:r>
      <w:r>
        <w:rPr>
          <w:rStyle w:val="Text0"/>
        </w:rPr>
        <w:t>profiles</w:t>
      </w:r>
      <w:r>
        <w:t xml:space="preserve"> that are set per-program. It provides manda-tory access control (MAC) to supplement the more traditional UNIX model of discretionary</w:t>
      </w:r>
    </w:p>
    <w:p>
      <w:pPr>
        <w:pStyle w:val="Normal"/>
      </w:pPr>
      <w:r>
        <w:t>access control (</w:t>
      </w:r>
      <w:hyperlink w:anchor="page_676">
        <w:r>
          <w:rPr>
            <w:rStyle w:val="Text2"/>
          </w:rPr>
          <w:t>DAC</w:t>
        </w:r>
      </w:hyperlink>
      <w:r>
        <w:t xml:space="preserve"> ).</w:t>
      </w:r>
    </w:p>
    <w:p>
      <w:pPr>
        <w:pStyle w:val="Normal"/>
      </w:pPr>
      <w:r>
        <w:t>In Ubuntu, AppArmor is installed and loaded by default – you can check this by running aa-status.</w:t>
      </w:r>
    </w:p>
    <w:p>
      <w:pPr>
        <w:pStyle w:val="Normal"/>
      </w:pPr>
      <w:r>
        <w:t xml:space="preserve">It uses </w:t>
      </w:r>
      <w:r>
        <w:rPr>
          <w:rStyle w:val="Text0"/>
        </w:rPr>
        <w:t>profiles</w:t>
      </w:r>
      <w:r>
        <w:t xml:space="preserve"> of an application to determine what files and permissions the application requires. Some packages will install their own profiles, and additional profiles can be found in the apparmor-profiles package.</w:t>
      </w:r>
    </w:p>
    <w:p>
      <w:pPr>
        <w:pStyle w:val="Para 17"/>
      </w:pPr>
      <w:r>
        <w:t/>
      </w:r>
    </w:p>
    <w:p>
      <w:pPr>
        <w:pStyle w:val="Para 01"/>
      </w:pPr>
      <w:r>
        <w:t>Install AppArmor Profiles</w:t>
      </w:r>
    </w:p>
    <w:p>
      <w:pPr>
        <w:pStyle w:val="Para 17"/>
      </w:pPr>
      <w:r>
        <w:t/>
      </w:r>
    </w:p>
    <w:p>
      <w:pPr>
        <w:pStyle w:val="Normal"/>
      </w:pPr>
      <w:r>
        <w:t>To install the apparmor-profiles package from a terminal prompt:</w:t>
      </w:r>
    </w:p>
    <w:p>
      <w:pPr>
        <w:pStyle w:val="Normal"/>
      </w:pPr>
      <w:r>
        <w:t>sudo apt install apparmor-profiles</w:t>
      </w:r>
    </w:p>
    <w:p>
      <w:pPr>
        <w:pStyle w:val="Para 17"/>
      </w:pPr>
      <w:r>
        <w:t/>
      </w:r>
    </w:p>
    <w:p>
      <w:pPr>
        <w:pStyle w:val="Normal"/>
      </w:pPr>
      <w:r>
        <w:t>AppArmor profiles have two modes of operation:</w:t>
      </w:r>
    </w:p>
    <w:p>
      <w:pPr>
        <w:pStyle w:val="Para 04"/>
      </w:pPr>
      <w:r>
        <w:t xml:space="preserve">• </w:t>
      </w:r>
      <w:r>
        <w:rPr>
          <w:rStyle w:val="Text0"/>
        </w:rPr>
        <w:t>Complaining/Learning</w:t>
      </w:r>
      <w:r>
        <w:t>: profile violations are permitted and logged. This is useful for</w:t>
      </w:r>
    </w:p>
    <w:p>
      <w:pPr>
        <w:pStyle w:val="Para 02"/>
      </w:pPr>
      <w:r>
        <w:t>testing and developing new profiles.</w:t>
      </w:r>
    </w:p>
    <w:p>
      <w:pPr>
        <w:pStyle w:val="Para 04"/>
      </w:pPr>
      <w:r>
        <w:t xml:space="preserve">• </w:t>
      </w:r>
      <w:r>
        <w:rPr>
          <w:rStyle w:val="Text0"/>
        </w:rPr>
        <w:t>Enforced/Confined</w:t>
      </w:r>
      <w:r>
        <w:t>: enforces profile policy in addition to logging the violation.</w:t>
      </w:r>
    </w:p>
    <w:p>
      <w:pPr>
        <w:pStyle w:val="Para 05"/>
      </w:pPr>
      <w:r>
        <w:rPr>
          <w:rStyle w:val="Text5"/>
        </w:rPr>
        <w:t>87</w:t>
      </w:r>
      <w:r>
        <w:rPr>
          <w:rStyle w:val="Text8"/>
        </w:rPr>
        <w:t xml:space="preserve"> </w:t>
      </w:r>
      <w:r>
        <w:t>https://shorewall.org/</w:t>
      </w:r>
    </w:p>
    <w:p>
      <w:pPr>
        <w:pStyle w:val="Para 05"/>
      </w:pPr>
      <w:r>
        <w:rPr>
          <w:rStyle w:val="Text5"/>
        </w:rPr>
        <w:t>88</w:t>
      </w:r>
      <w:r>
        <w:rPr>
          <w:rStyle w:val="Text8"/>
        </w:rPr>
        <w:t xml:space="preserve"> </w:t>
      </w:r>
      <w:r>
        <w:t>https://wiki.ubuntu.com/UncomplicatedFirewall</w:t>
      </w:r>
    </w:p>
    <w:p>
      <w:pPr>
        <w:pStyle w:val="Para 05"/>
      </w:pPr>
      <w:r>
        <w:rPr>
          <w:rStyle w:val="Text5"/>
        </w:rPr>
        <w:t>89</w:t>
      </w:r>
      <w:r>
        <w:rPr>
          <w:rStyle w:val="Text8"/>
        </w:rPr>
        <w:t xml:space="preserve"> </w:t>
      </w:r>
      <w:r>
        <w:t>https://manpages.ubuntu.com/manpages/resolute/man8/ufw.8.html</w:t>
      </w:r>
    </w:p>
    <w:p>
      <w:pPr>
        <w:pStyle w:val="Para 05"/>
      </w:pPr>
      <w:r>
        <w:rPr>
          <w:rStyle w:val="Text5"/>
        </w:rPr>
        <w:t>90</w:t>
      </w:r>
      <w:r>
        <w:rPr>
          <w:rStyle w:val="Text8"/>
        </w:rPr>
        <w:t xml:space="preserve"> </w:t>
      </w:r>
      <w:r>
        <w:t>https://www.netfilter.org/documentation/HOWTO/packet-filtering-HOWTO.html</w:t>
      </w:r>
    </w:p>
    <w:p>
      <w:pPr>
        <w:pStyle w:val="Para 05"/>
      </w:pPr>
      <w:r>
        <w:rPr>
          <w:rStyle w:val="Text5"/>
        </w:rPr>
        <w:t>91</w:t>
      </w:r>
      <w:r>
        <w:rPr>
          <w:rStyle w:val="Text8"/>
        </w:rPr>
        <w:t xml:space="preserve"> </w:t>
      </w:r>
      <w:r>
        <w:t>https://www.netfilter.org/documentation/HOWTO/NAT-HOWTO.html</w:t>
      </w:r>
    </w:p>
    <w:p>
      <w:pPr>
        <w:pStyle w:val="Para 05"/>
      </w:pPr>
      <w:r>
        <w:rPr>
          <w:rStyle w:val="Text5"/>
        </w:rPr>
        <w:t>92</w:t>
      </w:r>
      <w:r>
        <w:rPr>
          <w:rStyle w:val="Text8"/>
        </w:rPr>
        <w:t xml:space="preserve"> </w:t>
      </w:r>
      <w:r>
        <w:t>https://help.ubuntu.com/community/IptablesHowTo</w:t>
      </w:r>
    </w:p>
    <w:p>
      <w:pPr>
        <w:pStyle w:val="Para 05"/>
      </w:pPr>
      <w:r>
        <w:rPr>
          <w:rStyle w:val="Text5"/>
        </w:rPr>
        <w:t>93</w:t>
      </w:r>
      <w:r>
        <w:rPr>
          <w:rStyle w:val="Text8"/>
        </w:rPr>
        <w:t xml:space="preserve"> </w:t>
      </w:r>
      <w:r>
        <w:t>https://apparmor.net/</w:t>
      </w:r>
    </w:p>
    <w:p>
      <w:bookmarkStart w:id="181" w:name="page_1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1"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135"/>
                    <a:stretch>
                      <a:fillRect/>
                    </a:stretch>
                  </pic:blipFill>
                  <pic:spPr>
                    <a:xfrm>
                      <a:off x="0" y="0"/>
                      <a:ext cx="914400" cy="266700"/>
                    </a:xfrm>
                    <a:prstGeom prst="rect">
                      <a:avLst/>
                    </a:prstGeom>
                  </pic:spPr>
                </pic:pic>
              </a:graphicData>
            </a:graphic>
          </wp:anchor>
        </w:drawing>
      </w:r>
      <w:bookmarkEnd w:id="181"/>
    </w:p>
    <w:p>
      <w:pPr>
        <w:pStyle w:val="Para 01"/>
      </w:pPr>
      <w:r>
        <w:t>Using AppArmor</w:t>
      </w:r>
    </w:p>
    <w:p>
      <w:pPr>
        <w:pStyle w:val="Para 17"/>
      </w:pPr>
      <w:r>
        <w:t/>
      </w:r>
    </w:p>
    <w:p>
      <w:pPr>
        <w:pStyle w:val="Normal"/>
      </w:pPr>
      <w:r>
        <w:t>The optional apparmor-utils package contains command-line utilities you can use to change the AppArmor operation mode, find the status of a profile, create new profiles, etc.</w:t>
      </w:r>
    </w:p>
    <w:p>
      <w:pPr>
        <w:pStyle w:val="Normal"/>
      </w:pPr>
      <w:r>
        <w:t xml:space="preserve">AppArmor profiles are located in the /etc/apparmor.d directory. It also stores </w:t>
      </w:r>
      <w:r>
        <w:rPr>
          <w:rStyle w:val="Text0"/>
        </w:rPr>
        <w:t>abstractions</w:t>
      </w:r>
      <w:r>
        <w:t xml:space="preserve"> that can simplify profile authoring, such as abstractions/base that allows many shared li-braries, writing logs to the journal, many pseudo-devices, receiving signals from unconfined processes, and many more things.</w:t>
      </w:r>
    </w:p>
    <w:p>
      <w:pPr>
        <w:pStyle w:val="Para 17"/>
      </w:pPr>
      <w:r>
        <w:t/>
      </w:r>
    </w:p>
    <w:p>
      <w:pPr>
        <w:pStyle w:val="Para 01"/>
      </w:pPr>
      <w:r>
        <w:t>Common commands</w:t>
      </w:r>
    </w:p>
    <w:p>
      <w:pPr>
        <w:pStyle w:val="Para 17"/>
      </w:pPr>
      <w:r>
        <w:t/>
      </w:r>
    </w:p>
    <w:p>
      <w:pPr>
        <w:pStyle w:val="Para 04"/>
      </w:pPr>
      <w:r>
        <w:t xml:space="preserve">• </w:t>
      </w:r>
      <w:r>
        <w:rPr>
          <w:rStyle w:val="Text0"/>
        </w:rPr>
        <w:t>apparmor_status</w:t>
      </w:r>
      <w:r>
        <w:t xml:space="preserve"> is used to view the current status of AppArmor profiles:</w:t>
      </w:r>
    </w:p>
    <w:p>
      <w:pPr>
        <w:pStyle w:val="Para 02"/>
      </w:pPr>
      <w:r>
        <w:t>sudo apparmor_status</w:t>
      </w:r>
    </w:p>
    <w:p>
      <w:pPr>
        <w:pStyle w:val="Para 17"/>
      </w:pPr>
      <w:r>
        <w:t/>
      </w:r>
    </w:p>
    <w:p>
      <w:pPr>
        <w:pStyle w:val="Para 04"/>
      </w:pPr>
      <w:r>
        <w:t xml:space="preserve">• </w:t>
      </w:r>
      <w:r>
        <w:rPr>
          <w:rStyle w:val="Text0"/>
        </w:rPr>
        <w:t>aa-complain</w:t>
      </w:r>
      <w:r>
        <w:t xml:space="preserve"> places a profile into complain mode:</w:t>
      </w:r>
    </w:p>
    <w:p>
      <w:pPr>
        <w:pStyle w:val="Para 02"/>
      </w:pPr>
      <w:r>
        <w:t>sudo aa-complain /path/to/bin</w:t>
      </w:r>
    </w:p>
    <w:p>
      <w:pPr>
        <w:pStyle w:val="Para 17"/>
      </w:pPr>
      <w:r>
        <w:t/>
      </w:r>
    </w:p>
    <w:p>
      <w:pPr>
        <w:pStyle w:val="Para 04"/>
      </w:pPr>
      <w:r>
        <w:t xml:space="preserve">• </w:t>
      </w:r>
      <w:r>
        <w:rPr>
          <w:rStyle w:val="Text0"/>
        </w:rPr>
        <w:t>aa-enforce</w:t>
      </w:r>
      <w:r>
        <w:t xml:space="preserve"> places a profile into enforce mode:</w:t>
      </w:r>
    </w:p>
    <w:p>
      <w:pPr>
        <w:pStyle w:val="Para 02"/>
      </w:pPr>
      <w:r>
        <w:t>sudo aa-enforce /path/to/bin</w:t>
      </w:r>
    </w:p>
    <w:p>
      <w:pPr>
        <w:pStyle w:val="Para 17"/>
      </w:pPr>
      <w:r>
        <w:t/>
      </w:r>
    </w:p>
    <w:p>
      <w:pPr>
        <w:pStyle w:val="Para 04"/>
      </w:pPr>
      <w:r>
        <w:t xml:space="preserve">• </w:t>
      </w:r>
      <w:r>
        <w:rPr>
          <w:rStyle w:val="Text0"/>
        </w:rPr>
        <w:t>apparmor_parser</w:t>
      </w:r>
      <w:r>
        <w:t xml:space="preserve"> is used to load a profile into the kernel. It can also be used to reload a</w:t>
      </w:r>
    </w:p>
    <w:p>
      <w:pPr>
        <w:pStyle w:val="Para 02"/>
      </w:pPr>
      <w:r>
        <w:t>currently-loaded profile using the-r option after modifying it to have the changes take effect. To reload a profile:</w:t>
      </w:r>
    </w:p>
    <w:p>
      <w:pPr>
        <w:pStyle w:val="Para 02"/>
      </w:pPr>
      <w:r>
        <w:t>sudo apparmor_parser -r /etc/apparmor.d/profile.name</w:t>
      </w:r>
    </w:p>
    <w:p>
      <w:pPr>
        <w:pStyle w:val="Para 17"/>
      </w:pPr>
      <w:r>
        <w:t/>
      </w:r>
    </w:p>
    <w:p>
      <w:pPr>
        <w:pStyle w:val="Para 04"/>
      </w:pPr>
      <w:r>
        <w:t xml:space="preserve">• </w:t>
      </w:r>
      <w:r>
        <w:rPr>
          <w:rStyle w:val="Text0"/>
        </w:rPr>
        <w:t>systemctl</w:t>
      </w:r>
      <w:r>
        <w:t xml:space="preserve"> can be used to reload all profiles:</w:t>
      </w:r>
    </w:p>
    <w:p>
      <w:pPr>
        <w:pStyle w:val="Para 02"/>
      </w:pPr>
      <w:r>
        <w:t>sudo systemctl reload apparmor.service</w:t>
      </w:r>
    </w:p>
    <w:p>
      <w:pPr>
        <w:pStyle w:val="Para 17"/>
      </w:pPr>
      <w:r>
        <w:t/>
      </w:r>
    </w:p>
    <w:p>
      <w:pPr>
        <w:pStyle w:val="Para 01"/>
      </w:pPr>
      <w:r>
        <w:t>Disabling or re-enabling a profile</w:t>
      </w:r>
    </w:p>
    <w:p>
      <w:pPr>
        <w:pStyle w:val="Para 17"/>
      </w:pPr>
      <w:r>
        <w:t/>
      </w:r>
    </w:p>
    <w:p>
      <w:pPr>
        <w:pStyle w:val="Normal"/>
      </w:pPr>
      <w:r>
        <w:t>The /etc/apparmor.d/disable directory can be used along with the apparmor_parser -R op-tion to disable a profile:</w:t>
      </w:r>
    </w:p>
    <w:p>
      <w:pPr>
        <w:pStyle w:val="Normal"/>
      </w:pPr>
      <w:r>
        <w:t>sudo ln -s /etc/apparmor.d/profile.name /etc/apparmor.d/disable/</w:t>
        <w:t xml:space="preserve"> </w:t>
        <w:t>sudo apparmor_parser -R /etc/apparmor.d/profile.name</w:t>
      </w:r>
    </w:p>
    <w:p>
      <w:pPr>
        <w:pStyle w:val="Para 17"/>
      </w:pPr>
      <w:r>
        <w:t/>
      </w:r>
    </w:p>
    <w:p>
      <w:pPr>
        <w:pStyle w:val="Normal"/>
      </w:pPr>
      <w:r>
        <w:t>To re-enable a disabled profile, remove the symbolic link to the profile in /etc/apparmor.d/ disable/, then load the profile using the-a option:</w:t>
      </w:r>
    </w:p>
    <w:p>
      <w:pPr>
        <w:pStyle w:val="Normal"/>
      </w:pPr>
      <w:r>
        <w:t>sudo rm /etc/apparmor.d/disable/profile.name</w:t>
      </w:r>
    </w:p>
    <w:p>
      <w:pPr>
        <w:pStyle w:val="Normal"/>
      </w:pPr>
      <w:r>
        <w:t>cat /etc/apparmor.d/profile.name | sudo apparmor_parser -a</w:t>
      </w:r>
    </w:p>
    <w:p>
      <w:pPr>
        <w:pStyle w:val="Para 17"/>
      </w:pPr>
      <w:r>
        <w:t/>
      </w:r>
    </w:p>
    <w:p>
      <w:pPr>
        <w:pStyle w:val="Para 03"/>
      </w:pPr>
      <w:r>
        <w:rPr>
          <w:rStyle w:val="Text0"/>
        </w:rPr>
        <w:t>Note</w:t>
      </w:r>
      <w:r>
        <w:t>: Replace profile.name with the name of the profile you want to manipulate. Also,</w:t>
      </w:r>
    </w:p>
    <w:p>
      <w:pPr>
        <w:pStyle w:val="Para 03"/>
      </w:pPr>
      <w:r>
        <w:t>replace /path/to/bin/ with the actual executable file path. For example, for the ping com-</w:t>
      </w:r>
    </w:p>
    <w:p>
      <w:pPr>
        <w:pStyle w:val="Para 03"/>
      </w:pPr>
      <w:r>
        <w:t>mand use /bin/ping.</w:t>
      </w:r>
    </w:p>
    <w:p>
      <w:bookmarkStart w:id="182" w:name="page_1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2" name="index-130_1.png" descr="index-130_1.png"/>
            <wp:cNvGraphicFramePr>
              <a:graphicFrameLocks noChangeAspect="1"/>
            </wp:cNvGraphicFramePr>
            <a:graphic>
              <a:graphicData uri="http://schemas.openxmlformats.org/drawingml/2006/picture">
                <pic:pic>
                  <pic:nvPicPr>
                    <pic:cNvPr id="0" name="index-130_1.png" descr="index-130_1.png"/>
                    <pic:cNvPicPr/>
                  </pic:nvPicPr>
                  <pic:blipFill>
                    <a:blip r:embed="rId136"/>
                    <a:stretch>
                      <a:fillRect/>
                    </a:stretch>
                  </pic:blipFill>
                  <pic:spPr>
                    <a:xfrm>
                      <a:off x="0" y="0"/>
                      <a:ext cx="914400" cy="266700"/>
                    </a:xfrm>
                    <a:prstGeom prst="rect">
                      <a:avLst/>
                    </a:prstGeom>
                  </pic:spPr>
                </pic:pic>
              </a:graphicData>
            </a:graphic>
          </wp:anchor>
        </w:drawing>
      </w:r>
      <w:bookmarkEnd w:id="182"/>
    </w:p>
    <w:p>
      <w:pPr>
        <w:pStyle w:val="Para 01"/>
      </w:pPr>
      <w:r>
        <w:t>Profiles</w:t>
      </w:r>
    </w:p>
    <w:p>
      <w:pPr>
        <w:pStyle w:val="Para 17"/>
      </w:pPr>
      <w:r>
        <w:t/>
      </w:r>
    </w:p>
    <w:p>
      <w:pPr>
        <w:pStyle w:val="Normal"/>
      </w:pPr>
      <w:r>
        <w:t>AppArmor profiles are simple text files located in /etc/apparmor.d/. The files are named after the full path to the executable they profile, replacing the “/” with “.”.</w:t>
      </w:r>
    </w:p>
    <w:p>
      <w:pPr>
        <w:pStyle w:val="Normal"/>
      </w:pPr>
      <w:r>
        <w:t>For example /etc/apparmor.d/bin.ping is the AppArmor profile for the /bin/ping command.</w:t>
      </w:r>
    </w:p>
    <w:p>
      <w:pPr>
        <w:pStyle w:val="Normal"/>
      </w:pPr>
      <w:r>
        <w:t>There are two main type of rules used in profiles:</w:t>
      </w:r>
    </w:p>
    <w:p>
      <w:pPr>
        <w:pStyle w:val="Para 04"/>
      </w:pPr>
      <w:r>
        <w:t xml:space="preserve">• </w:t>
      </w:r>
      <w:r>
        <w:rPr>
          <w:rStyle w:val="Text0"/>
        </w:rPr>
        <w:t>Path entries</w:t>
      </w:r>
      <w:r>
        <w:t>, detailing which files an application can access in the file system.</w:t>
      </w:r>
    </w:p>
    <w:p>
      <w:pPr>
        <w:pStyle w:val="Para 04"/>
      </w:pPr>
      <w:r>
        <w:t xml:space="preserve">• </w:t>
      </w:r>
      <w:r>
        <w:rPr>
          <w:rStyle w:val="Text0"/>
        </w:rPr>
        <w:t>Capability entries</w:t>
      </w:r>
      <w:r>
        <w:t>, which determine what privileges a confined process is allowed to</w:t>
      </w:r>
    </w:p>
    <w:p>
      <w:pPr>
        <w:pStyle w:val="Para 02"/>
      </w:pPr>
      <w:r>
        <w:t>use.</w:t>
      </w:r>
    </w:p>
    <w:p>
      <w:pPr>
        <w:pStyle w:val="Normal"/>
      </w:pPr>
      <w:r>
        <w:t>As an example, take a look at /etc/apparmor.d/bin.ping:</w:t>
      </w:r>
    </w:p>
    <w:p>
      <w:pPr>
        <w:pStyle w:val="Para 10"/>
      </w:pPr>
      <w:r>
        <w:t>#include &lt;tunables/global&gt;</w:t>
      </w:r>
    </w:p>
    <w:p>
      <w:pPr>
        <w:pStyle w:val="Normal"/>
      </w:pPr>
      <w:r>
        <w:t>/</w:t>
        <w:t>bin</w:t>
        <w:t>/</w:t>
        <w:t>ping flags</w:t>
        <w:t>=</w:t>
        <w:t>(complain) {</w:t>
      </w:r>
    </w:p>
    <w:p>
      <w:pPr>
        <w:pStyle w:val="Para 35"/>
      </w:pPr>
      <w:r>
        <w:t>#include &lt;abstractions/base&gt;</w:t>
      </w:r>
    </w:p>
    <w:p>
      <w:pPr>
        <w:pStyle w:val="Para 35"/>
      </w:pPr>
      <w:r>
        <w:t>#include &lt;abstractions/consoles&gt;</w:t>
      </w:r>
    </w:p>
    <w:p>
      <w:pPr>
        <w:pStyle w:val="Para 35"/>
      </w:pPr>
      <w:r>
        <w:t>#include &lt;abstractions/nameservice&gt;</w:t>
      </w:r>
    </w:p>
    <w:p>
      <w:pPr>
        <w:pStyle w:val="Para 03"/>
      </w:pPr>
      <w:r>
        <w:t>capability net_raw,</w:t>
      </w:r>
    </w:p>
    <w:p>
      <w:pPr>
        <w:pStyle w:val="Para 03"/>
      </w:pPr>
      <w:r>
        <w:t>capability setuid,</w:t>
      </w:r>
    </w:p>
    <w:p>
      <w:pPr>
        <w:pStyle w:val="Para 03"/>
      </w:pPr>
      <w:r>
        <w:t>network inet raw,</w:t>
      </w:r>
    </w:p>
    <w:p>
      <w:pPr>
        <w:pStyle w:val="Para 03"/>
      </w:pPr>
      <w:r>
        <w:t>/</w:t>
        <w:t>bin</w:t>
        <w:t>/</w:t>
        <w:t>ping mixr,</w:t>
      </w:r>
    </w:p>
    <w:p>
      <w:pPr>
        <w:pStyle w:val="Para 03"/>
      </w:pPr>
      <w:r>
        <w:t>/</w:t>
        <w:t>etc</w:t>
        <w:t>/</w:t>
        <w:t>modules</w:t>
        <w:t>.</w:t>
        <w:t>conf r,</w:t>
      </w:r>
    </w:p>
    <w:p>
      <w:pPr>
        <w:pStyle w:val="Normal"/>
      </w:pPr>
      <w:r>
        <w:t>}</w:t>
      </w:r>
    </w:p>
    <w:p>
      <w:pPr>
        <w:pStyle w:val="Para 17"/>
      </w:pPr>
      <w:r>
        <w:t/>
      </w:r>
    </w:p>
    <w:p>
      <w:pPr>
        <w:pStyle w:val="Normal"/>
      </w:pPr>
      <w:r>
        <w:t>Which can be broken down as follows:</w:t>
      </w:r>
    </w:p>
    <w:p>
      <w:pPr>
        <w:pStyle w:val="Para 04"/>
      </w:pPr>
      <w:r>
        <w:t>• #include &lt;tunables/global&gt;: include statements from other files. This allows state-</w:t>
      </w:r>
    </w:p>
    <w:p>
      <w:pPr>
        <w:pStyle w:val="Para 02"/>
      </w:pPr>
      <w:r>
        <w:t>ments pertaining to multiple applications to be placed in a common file.</w:t>
      </w:r>
    </w:p>
    <w:p>
      <w:pPr>
        <w:pStyle w:val="Para 04"/>
      </w:pPr>
      <w:r>
        <w:t>• /bin/ping flags=(complain): path to the profiled program, also setting the mode to</w:t>
      </w:r>
    </w:p>
    <w:p>
      <w:pPr>
        <w:pStyle w:val="Para 02"/>
      </w:pPr>
      <w:r>
        <w:t>complain.</w:t>
      </w:r>
    </w:p>
    <w:p>
      <w:pPr>
        <w:pStyle w:val="Para 04"/>
      </w:pPr>
      <w:r>
        <w:t>• capability net_raw,: allows the application access to the CAP_NET_RAW Posix.1e capa-</w:t>
      </w:r>
    </w:p>
    <w:p>
      <w:pPr>
        <w:pStyle w:val="Para 02"/>
      </w:pPr>
      <w:r>
        <w:t>bility.</w:t>
      </w:r>
    </w:p>
    <w:p>
      <w:pPr>
        <w:pStyle w:val="Para 04"/>
      </w:pPr>
      <w:r>
        <w:t>• /bin/ping mixr,: allows the application read and execute access to the file.</w:t>
      </w:r>
    </w:p>
    <w:p>
      <w:pPr>
        <w:pStyle w:val="Para 08"/>
      </w:pPr>
      <w:r>
        <w:t>Note:</w:t>
      </w:r>
    </w:p>
    <w:p>
      <w:pPr>
        <w:pStyle w:val="Para 03"/>
      </w:pPr>
      <w:r>
        <w:t>After editing a profile file the profile must be reloaded.</w:t>
      </w:r>
    </w:p>
    <w:p>
      <w:bookmarkStart w:id="183" w:name="calibre_pb_26"/>
      <w:pPr>
        <w:pStyle w:val="0 Block"/>
      </w:pPr>
      <w:bookmarkEnd w:id="183"/>
    </w:p>
    <w:p>
      <w:bookmarkStart w:id="184" w:name="Top_of_index_split_027_html"/>
      <w:bookmarkStart w:id="185" w:name="page_13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3"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137"/>
                    <a:stretch>
                      <a:fillRect/>
                    </a:stretch>
                  </pic:blipFill>
                  <pic:spPr>
                    <a:xfrm>
                      <a:off x="0" y="0"/>
                      <a:ext cx="914400" cy="266700"/>
                    </a:xfrm>
                    <a:prstGeom prst="rect">
                      <a:avLst/>
                    </a:prstGeom>
                  </pic:spPr>
                </pic:pic>
              </a:graphicData>
            </a:graphic>
          </wp:anchor>
        </w:drawing>
      </w:r>
      <w:bookmarkEnd w:id="184"/>
      <w:bookmarkEnd w:id="185"/>
    </w:p>
    <w:p>
      <w:pPr>
        <w:pStyle w:val="Para 01"/>
      </w:pPr>
      <w:r>
        <w:t>Create a Profile</w:t>
      </w:r>
    </w:p>
    <w:p>
      <w:pPr>
        <w:pStyle w:val="Para 17"/>
      </w:pPr>
      <w:r>
        <w:t/>
      </w:r>
    </w:p>
    <w:p>
      <w:pPr>
        <w:pStyle w:val="Para 04"/>
      </w:pPr>
      <w:r>
        <w:t xml:space="preserve">• </w:t>
      </w:r>
      <w:r>
        <w:rPr>
          <w:rStyle w:val="Text0"/>
        </w:rPr>
        <w:t>Design a test plan</w:t>
      </w:r>
      <w:r>
        <w:t>: Try to think about how the application should be exercised. The</w:t>
      </w:r>
    </w:p>
    <w:p>
      <w:pPr>
        <w:pStyle w:val="Para 02"/>
      </w:pPr>
      <w:r>
        <w:t>test plan should be divided into small test cases. Each test case should have a small description and list the steps to follow.</w:t>
      </w:r>
    </w:p>
    <w:p>
      <w:pPr>
        <w:pStyle w:val="Para 02"/>
      </w:pPr>
      <w:r>
        <w:t>Some standard test cases are:</w:t>
      </w:r>
    </w:p>
    <w:p>
      <w:pPr>
        <w:pStyle w:val="Para 06"/>
      </w:pPr>
      <w:r>
        <w:rPr>
          <w:rStyle w:val="Text0"/>
        </w:rPr>
        <w:t>–</w:t>
      </w:r>
      <w:r>
        <w:t xml:space="preserve"> Starting the program</w:t>
      </w:r>
    </w:p>
    <w:p>
      <w:pPr>
        <w:pStyle w:val="Para 06"/>
      </w:pPr>
      <w:r>
        <w:rPr>
          <w:rStyle w:val="Text0"/>
        </w:rPr>
        <w:t>–</w:t>
      </w:r>
      <w:r>
        <w:t xml:space="preserve"> Stopping the program</w:t>
      </w:r>
    </w:p>
    <w:p>
      <w:pPr>
        <w:pStyle w:val="Para 06"/>
      </w:pPr>
      <w:r>
        <w:rPr>
          <w:rStyle w:val="Text0"/>
        </w:rPr>
        <w:t>–</w:t>
      </w:r>
      <w:r>
        <w:t xml:space="preserve"> Reloading the program</w:t>
      </w:r>
    </w:p>
    <w:p>
      <w:pPr>
        <w:pStyle w:val="Para 06"/>
      </w:pPr>
      <w:r>
        <w:rPr>
          <w:rStyle w:val="Text0"/>
        </w:rPr>
        <w:t>–</w:t>
      </w:r>
      <w:r>
        <w:t xml:space="preserve"> Testing all the commands supported by the init script</w:t>
      </w:r>
    </w:p>
    <w:p>
      <w:pPr>
        <w:pStyle w:val="Para 04"/>
      </w:pPr>
      <w:r>
        <w:t xml:space="preserve">• </w:t>
      </w:r>
      <w:r>
        <w:rPr>
          <w:rStyle w:val="Text0"/>
        </w:rPr>
        <w:t>Generate the new profile</w:t>
      </w:r>
      <w:r>
        <w:t>: Use aa-genprof to generate a new profile. From a terminal:</w:t>
      </w:r>
    </w:p>
    <w:p>
      <w:pPr>
        <w:pStyle w:val="Para 02"/>
      </w:pPr>
      <w:r>
        <w:t>sudo aa-genprof executable</w:t>
      </w:r>
    </w:p>
    <w:p>
      <w:pPr>
        <w:pStyle w:val="Para 17"/>
      </w:pPr>
      <w:r>
        <w:t/>
      </w:r>
    </w:p>
    <w:p>
      <w:pPr>
        <w:pStyle w:val="Para 02"/>
      </w:pPr>
      <w:r>
        <w:t>For example:</w:t>
      </w:r>
    </w:p>
    <w:p>
      <w:pPr>
        <w:pStyle w:val="Para 02"/>
      </w:pPr>
      <w:r>
        <w:t>sudo aa-genprof slapd</w:t>
      </w:r>
    </w:p>
    <w:p>
      <w:pPr>
        <w:pStyle w:val="Para 17"/>
      </w:pPr>
      <w:r>
        <w:t/>
      </w:r>
    </w:p>
    <w:p>
      <w:pPr>
        <w:pStyle w:val="Para 04"/>
      </w:pPr>
      <w:r>
        <w:t xml:space="preserve">• To get your new profile included in the apparmor-profiles package, </w:t>
      </w:r>
      <w:hyperlink r:id="rId1106">
        <w:r>
          <w:rPr>
            <w:rStyle w:val="Text1"/>
          </w:rPr>
          <w:t>file a bug in Launch-</w:t>
        </w:r>
      </w:hyperlink>
    </w:p>
    <w:p>
      <w:pPr>
        <w:pStyle w:val="Para 32"/>
      </w:pPr>
      <w:hyperlink r:id="rId1106">
        <w:r>
          <w:t>pad against the AppArmor package</w:t>
        </w:r>
      </w:hyperlink>
      <w:hyperlink r:id="rId1106">
        <w:r>
          <w:rPr>
            <w:rStyle w:val="Text10"/>
          </w:rPr>
          <w:t>94</w:t>
        </w:r>
      </w:hyperlink>
      <w:r>
        <w:rPr>
          <w:rStyle w:val="Text7"/>
        </w:rPr>
        <w:t>:</w:t>
      </w:r>
    </w:p>
    <w:p>
      <w:pPr>
        <w:pStyle w:val="Para 06"/>
      </w:pPr>
      <w:r>
        <w:rPr>
          <w:rStyle w:val="Text0"/>
        </w:rPr>
        <w:t>–</w:t>
      </w:r>
      <w:r>
        <w:t xml:space="preserve"> Include your test plan and test cases</w:t>
      </w:r>
    </w:p>
    <w:p>
      <w:pPr>
        <w:pStyle w:val="Para 06"/>
      </w:pPr>
      <w:r>
        <w:rPr>
          <w:rStyle w:val="Text0"/>
        </w:rPr>
        <w:t>–</w:t>
      </w:r>
      <w:r>
        <w:t xml:space="preserve"> Attach your new profile to the bug</w:t>
      </w:r>
    </w:p>
    <w:p>
      <w:pPr>
        <w:pStyle w:val="Para 17"/>
      </w:pPr>
      <w:r>
        <w:t/>
      </w:r>
    </w:p>
    <w:p>
      <w:pPr>
        <w:pStyle w:val="Para 01"/>
      </w:pPr>
      <w:r>
        <w:t>Updating profiles</w:t>
      </w:r>
    </w:p>
    <w:p>
      <w:pPr>
        <w:pStyle w:val="Para 17"/>
      </w:pPr>
      <w:r>
        <w:t/>
      </w:r>
    </w:p>
    <w:p>
      <w:pPr>
        <w:pStyle w:val="Normal"/>
      </w:pPr>
      <w:r>
        <w:t>When the program is misbehaving, audit messages are sent to the log files. The program aa-logprof can be used to scan log files for AppArmor audit messages, review them and update the profiles. From a terminal:</w:t>
      </w:r>
    </w:p>
    <w:p>
      <w:pPr>
        <w:pStyle w:val="Normal"/>
      </w:pPr>
      <w:r>
        <w:t>sudo aa-logprof</w:t>
      </w:r>
    </w:p>
    <w:p>
      <w:pPr>
        <w:pStyle w:val="Para 17"/>
      </w:pPr>
      <w:r>
        <w:t/>
      </w:r>
    </w:p>
    <w:p>
      <w:pPr>
        <w:pStyle w:val="Para 01"/>
      </w:pPr>
      <w:r>
        <w:t>Further pre-existing profiles</w:t>
      </w:r>
    </w:p>
    <w:p>
      <w:pPr>
        <w:pStyle w:val="Para 17"/>
      </w:pPr>
      <w:r>
        <w:t/>
      </w:r>
    </w:p>
    <w:p>
      <w:pPr>
        <w:pStyle w:val="Normal"/>
      </w:pPr>
      <w:r>
        <w:t>The packages apport-profiles and apparmor-profiles-extra ship some experimental pro-files for AppArmor security policies. Do not expect these profiles to work out-of-the-box, but they can give you a head start when trying to create a new profile by starting off with a base that already exists.</w:t>
      </w:r>
    </w:p>
    <w:p>
      <w:pPr>
        <w:pStyle w:val="Normal"/>
      </w:pPr>
      <w:r>
        <w:t>These profiles are not considered mature enough to be shipped in enforce mode by default. Therefore, they are shipped in complain mode so that users can test them, choose which are desired, and help improve them upstream if needed.</w:t>
      </w:r>
    </w:p>
    <w:p>
      <w:pPr>
        <w:pStyle w:val="Normal"/>
      </w:pPr>
      <w:r>
        <w:t>Some even more experimental profiles carried by the package are placed in /usr/share/doc/ apparmor-profiles/extras/</w:t>
      </w:r>
    </w:p>
    <w:p>
      <w:pPr>
        <w:pStyle w:val="Para 05"/>
      </w:pPr>
      <w:r>
        <w:rPr>
          <w:rStyle w:val="Text5"/>
        </w:rPr>
        <w:t>94</w:t>
      </w:r>
      <w:r>
        <w:rPr>
          <w:rStyle w:val="Text8"/>
        </w:rPr>
        <w:t xml:space="preserve"> </w:t>
      </w:r>
      <w:r>
        <w:t>https://bugs.launchpad.net/ubuntu/+source/apparmor/+filebug</w:t>
      </w:r>
      <w:r>
        <w:rPr>
          <w:rStyle w:val="Text8"/>
        </w:rPr>
        <w:t xml:space="preserve"> </w:t>
      </w:r>
      <w:r>
        <w:rPr>
          <w:rStyle w:val="Text11"/>
        </w:rPr>
        <w:t>Checking and debugging denies</w:t>
      </w:r>
    </w:p>
    <w:p>
      <w:bookmarkStart w:id="186" w:name="page_1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4" name="index-132_1.png" descr="index-132_1.png"/>
            <wp:cNvGraphicFramePr>
              <a:graphicFrameLocks noChangeAspect="1"/>
            </wp:cNvGraphicFramePr>
            <a:graphic>
              <a:graphicData uri="http://schemas.openxmlformats.org/drawingml/2006/picture">
                <pic:pic>
                  <pic:nvPicPr>
                    <pic:cNvPr id="0" name="index-132_1.png" descr="index-132_1.png"/>
                    <pic:cNvPicPr/>
                  </pic:nvPicPr>
                  <pic:blipFill>
                    <a:blip r:embed="rId138"/>
                    <a:stretch>
                      <a:fillRect/>
                    </a:stretch>
                  </pic:blipFill>
                  <pic:spPr>
                    <a:xfrm>
                      <a:off x="0" y="0"/>
                      <a:ext cx="914400" cy="266700"/>
                    </a:xfrm>
                    <a:prstGeom prst="rect">
                      <a:avLst/>
                    </a:prstGeom>
                  </pic:spPr>
                </pic:pic>
              </a:graphicData>
            </a:graphic>
          </wp:anchor>
        </w:drawing>
      </w:r>
      <w:bookmarkEnd w:id="186"/>
    </w:p>
    <w:p>
      <w:pPr>
        <w:pStyle w:val="Para 17"/>
      </w:pPr>
      <w:r>
        <w:t/>
      </w:r>
    </w:p>
    <w:p>
      <w:pPr>
        <w:pStyle w:val="Normal"/>
      </w:pPr>
      <w:r>
        <w:t xml:space="preserve">You will see in </w:t>
      </w:r>
      <w:hyperlink w:anchor="page_679">
        <w:r>
          <w:rPr>
            <w:rStyle w:val="Text2"/>
          </w:rPr>
          <w:t>dmesg</w:t>
        </w:r>
      </w:hyperlink>
      <w:r>
        <w:t xml:space="preserve"> (and any log that collects kernel messages) if you have hit a </w:t>
      </w:r>
      <w:r>
        <w:rPr>
          <w:rStyle w:val="Text0"/>
        </w:rPr>
        <w:t>deny</w:t>
      </w:r>
      <w:r>
        <w:t>. It is worth knowing that this will cover any access that was denied because it was not allowed, but explicit denies will put no message in your logs at all.</w:t>
      </w:r>
    </w:p>
    <w:p>
      <w:pPr>
        <w:pStyle w:val="Normal"/>
      </w:pPr>
      <w:r>
        <w:t>Examples might look like:</w:t>
      </w:r>
    </w:p>
    <w:p>
      <w:pPr>
        <w:pStyle w:val="Normal"/>
      </w:pPr>
      <w:r>
        <w:t>[</w:t>
        <w:t>1521056.552037</w:t>
        <w:t>] audit:</w:t>
        <w:t xml:space="preserve"> </w:t>
        <w:t>type</w:t>
        <w:t>=</w:t>
        <w:t>1400</w:t>
        <w:t xml:space="preserve"> </w:t>
        <w:t>audit(</w:t>
        <w:t>1571868402.378</w:t>
        <w:t>:</w:t>
        <w:t>24425</w:t>
        <w:t>): apparmor</w:t>
        <w:t>=</w:t>
        <w:t>"DENIED"</w:t>
        <w:t xml:space="preserve"> </w:t>
        <w:t>operation</w:t>
        <w:t>=</w:t>
        <w:t>"open"</w:t>
        <w:t xml:space="preserve"> </w:t>
        <w:t>profile</w:t>
        <w:t>=</w:t>
        <w:t>"/usr/sbin/cups-browsed"</w:t>
        <w:t xml:space="preserve"> </w:t>
        <w:t>name</w:t>
        <w:t>=</w:t>
        <w:t>"/var/lib/libvirt/dnsmasq/"</w:t>
        <w:t xml:space="preserve"> </w:t>
        <w:t>pid</w:t>
        <w:t>=</w:t>
        <w:t>1128</w:t>
        <w:t xml:space="preserve"> </w:t>
        <w:t>comm</w:t>
        <w:t>=</w:t>
        <w:t>"cups-browsed"</w:t>
        <w:t xml:space="preserve"> </w:t>
        <w:t>requested_mask</w:t>
        <w:t>=</w:t>
        <w:t>"r"</w:t>
        <w:t xml:space="preserve"> </w:t>
        <w:t>denied_mask</w:t>
        <w:t>=</w:t>
        <w:t>"r"</w:t>
        <w:t xml:space="preserve"> </w:t>
        <w:t>fsuid</w:t>
        <w:t>=</w:t>
        <w:t>0</w:t>
        <w:t xml:space="preserve"> </w:t>
        <w:t>ouid</w:t>
        <w:t>=</w:t>
        <w:t>0</w:t>
        <w:t xml:space="preserve"> </w:t>
        <w:t>[</w:t>
        <w:t>1482106.651527</w:t>
        <w:t>] audit:</w:t>
        <w:t xml:space="preserve"> </w:t>
        <w:t>type</w:t>
        <w:t>=</w:t>
        <w:t>1400</w:t>
        <w:t xml:space="preserve"> </w:t>
        <w:t>audit(</w:t>
        <w:t>1571829452.330</w:t>
        <w:t>:</w:t>
        <w:t>24323</w:t>
        <w:t>): apparmor</w:t>
        <w:t>=</w:t>
        <w:t>"DENIED"</w:t>
        <w:t xml:space="preserve"> </w:t>
        <w:t>operation</w:t>
        <w:t>=</w:t>
        <w:t>"sendmsg"</w:t>
        <w:t xml:space="preserve"> </w:t>
        <w:t>profile</w:t>
        <w:t>=</w:t>
        <w:t>"snap.lxd.lxc"</w:t>
        <w:t xml:space="preserve"> </w:t>
        <w:t>pid</w:t>
        <w:t>=</w:t>
        <w:t>24115</w:t>
        <w:t xml:space="preserve"> </w:t>
        <w:t>comm</w:t>
        <w:t>=</w:t>
        <w:t>"lxc"</w:t>
        <w:t xml:space="preserve"> </w:t>
        <w:t>laddr</w:t>
        <w:t>=</w:t>
        <w:t>10.7.0.69</w:t>
        <w:t xml:space="preserve"> </w:t>
        <w:t>lport</w:t>
        <w:t>=</w:t>
        <w:t>48796</w:t>
        <w:t xml:space="preserve"> </w:t>
        <w:t>faddr</w:t>
        <w:t>=</w:t>
        <w:t>10.7.0.231</w:t>
        <w:t xml:space="preserve"> </w:t>
        <w:t>fport</w:t>
        <w:t>=</w:t>
        <w:t>445</w:t>
        <w:t xml:space="preserve"> </w:t>
        <w:t>family</w:t>
        <w:t>=</w:t>
        <w:t>"inet"</w:t>
        <w:t xml:space="preserve"> </w:t>
        <w:t>sock_type</w:t>
        <w:t>=</w:t>
        <w:t>"stream"</w:t>
        <w:t xml:space="preserve"> </w:t>
        <w:t>protocol</w:t>
        <w:t>=</w:t>
        <w:t>6</w:t>
        <w:t xml:space="preserve"> </w:t>
        <w:t>requested_mask</w:t>
        <w:t>=</w:t>
        <w:t>"send"</w:t>
        <w:t xml:space="preserve"> </w:t>
        <w:t>denied_mask</w:t>
        <w:t>=</w:t>
        <w:t>"send"</w:t>
      </w:r>
    </w:p>
    <w:p>
      <w:pPr>
        <w:pStyle w:val="Para 17"/>
      </w:pPr>
      <w:r>
        <w:t/>
      </w:r>
    </w:p>
    <w:p>
      <w:pPr>
        <w:pStyle w:val="Normal"/>
      </w:pPr>
      <w:r>
        <w:t>That follows a generic structure starting with a timestamp, an audit tag and the category apparmor="DENIED". From the following fields you can derive what was going on and why it was failing.</w:t>
      </w:r>
    </w:p>
    <w:p>
      <w:pPr>
        <w:pStyle w:val="Normal"/>
      </w:pPr>
      <w:r>
        <w:t>In the examples above that would be:</w:t>
      </w:r>
    </w:p>
    <w:p>
      <w:pPr>
        <w:pStyle w:val="Normal"/>
      </w:pPr>
      <w:r>
        <w:t>First example:</w:t>
      </w:r>
    </w:p>
    <w:p>
      <w:pPr>
        <w:pStyle w:val="Para 04"/>
      </w:pPr>
      <w:r>
        <w:t>• operation: open (program tried to open a file)</w:t>
      </w:r>
    </w:p>
    <w:p>
      <w:pPr>
        <w:pStyle w:val="Para 04"/>
      </w:pPr>
      <w:r>
        <w:t>• profile: /usr/sbin/cups-browsed (you’ll find /etc/apparmor.d/usr.bin.cups-browsed)</w:t>
      </w:r>
    </w:p>
    <w:p>
      <w:pPr>
        <w:pStyle w:val="Para 04"/>
      </w:pPr>
      <w:r>
        <w:t>• name: /var/lib/libvirt/dnsmasq (what it wanted to access)</w:t>
      </w:r>
    </w:p>
    <w:p>
      <w:pPr>
        <w:pStyle w:val="Para 04"/>
      </w:pPr>
      <w:r>
        <w:t>• pid/comm: the program that triggered the access</w:t>
      </w:r>
    </w:p>
    <w:p>
      <w:pPr>
        <w:pStyle w:val="Para 04"/>
      </w:pPr>
      <w:r>
        <w:t>• requested_mask/denied_mask/fsuid/ouid: parameters of that open call</w:t>
      </w:r>
    </w:p>
    <w:p>
      <w:pPr>
        <w:pStyle w:val="Normal"/>
      </w:pPr>
      <w:r>
        <w:t>Second example:</w:t>
      </w:r>
    </w:p>
    <w:p>
      <w:pPr>
        <w:pStyle w:val="Para 04"/>
      </w:pPr>
      <w:r>
        <w:t>• operation: sendmsg (program tried send via network)</w:t>
      </w:r>
    </w:p>
    <w:p>
      <w:pPr>
        <w:pStyle w:val="Para 04"/>
      </w:pPr>
      <w:r>
        <w:t>• profile: snap.lxd.lxc (snaps are special, you’ll find /var/lib/snapd/apparmor/</w:t>
      </w:r>
    </w:p>
    <w:p>
      <w:pPr>
        <w:pStyle w:val="Para 02"/>
      </w:pPr>
      <w:r>
        <w:t>profiles/snap.lxd.lxc)</w:t>
      </w:r>
    </w:p>
    <w:p>
      <w:pPr>
        <w:pStyle w:val="Para 04"/>
      </w:pPr>
      <w:r>
        <w:t>• pid/comm: the program that triggered the access</w:t>
      </w:r>
    </w:p>
    <w:p>
      <w:pPr>
        <w:pStyle w:val="Para 04"/>
      </w:pPr>
      <w:r>
        <w:t>• laddr/lport/faddr/fport/family/sock_type/protocol: parameters of the sendmsg call</w:t>
      </w:r>
    </w:p>
    <w:p>
      <w:pPr>
        <w:pStyle w:val="Normal"/>
      </w:pPr>
      <w:r>
        <w:t>That way you know in which profile and at what action you have to start if you consider either debugging or adapting the profiles.</w:t>
      </w:r>
    </w:p>
    <w:p>
      <w:pPr>
        <w:pStyle w:val="Para 17"/>
      </w:pPr>
      <w:r>
        <w:t/>
      </w:r>
    </w:p>
    <w:p>
      <w:pPr>
        <w:pStyle w:val="Para 01"/>
      </w:pPr>
      <w:r>
        <w:t>Profile customization</w:t>
      </w:r>
    </w:p>
    <w:p>
      <w:pPr>
        <w:pStyle w:val="Para 17"/>
      </w:pPr>
      <w:r>
        <w:t/>
      </w:r>
    </w:p>
    <w:p>
      <w:pPr>
        <w:pStyle w:val="Normal"/>
      </w:pPr>
      <w:r>
        <w:t xml:space="preserve">Profiles are meant to provide security and so can’t be too permissive. But often, a very special setup would work with a profile if it wold </w:t>
      </w:r>
      <w:r>
        <w:rPr>
          <w:rStyle w:val="Text3"/>
        </w:rPr>
        <w:t>just allow this one extra access</w:t>
      </w:r>
      <w:r>
        <w:t>. To handle that situation, there are three options:</w:t>
      </w:r>
    </w:p>
    <w:p>
      <w:pPr>
        <w:pStyle w:val="Para 04"/>
      </w:pPr>
      <w:r>
        <w:t>• Modify the profile itself:</w:t>
      </w:r>
    </w:p>
    <w:p>
      <w:pPr>
        <w:pStyle w:val="Para 06"/>
      </w:pPr>
      <w:r>
        <w:rPr>
          <w:rStyle w:val="Text0"/>
        </w:rPr>
        <w:t>–</w:t>
      </w:r>
      <w:r>
        <w:t xml:space="preserve"> Always works, but has the drawback that profiles are in /etc and considered conf-</w:t>
      </w:r>
    </w:p>
    <w:p>
      <w:pPr>
        <w:pStyle w:val="Para 11"/>
      </w:pPr>
      <w:r>
        <w:t>files. So after modification on a related package update you might get a conffile</w:t>
      </w:r>
    </w:p>
    <w:p>
      <w:bookmarkStart w:id="187" w:name="page_1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5" name="index-133_1.png" descr="index-133_1.png"/>
            <wp:cNvGraphicFramePr>
              <a:graphicFrameLocks noChangeAspect="1"/>
            </wp:cNvGraphicFramePr>
            <a:graphic>
              <a:graphicData uri="http://schemas.openxmlformats.org/drawingml/2006/picture">
                <pic:pic>
                  <pic:nvPicPr>
                    <pic:cNvPr id="0" name="index-133_1.png" descr="index-133_1.png"/>
                    <pic:cNvPicPr/>
                  </pic:nvPicPr>
                  <pic:blipFill>
                    <a:blip r:embed="rId139"/>
                    <a:stretch>
                      <a:fillRect/>
                    </a:stretch>
                  </pic:blipFill>
                  <pic:spPr>
                    <a:xfrm>
                      <a:off x="0" y="0"/>
                      <a:ext cx="914400" cy="266700"/>
                    </a:xfrm>
                    <a:prstGeom prst="rect">
                      <a:avLst/>
                    </a:prstGeom>
                  </pic:spPr>
                </pic:pic>
              </a:graphicData>
            </a:graphic>
          </wp:anchor>
        </w:drawing>
      </w:r>
      <w:bookmarkEnd w:id="187"/>
    </w:p>
    <w:p>
      <w:pPr>
        <w:pStyle w:val="Para 11"/>
      </w:pPr>
      <w:r>
        <w:t>prompt. Worst case; depending on configuration, automatic updates might even override it and your custom rule is gone.</w:t>
      </w:r>
    </w:p>
    <w:p>
      <w:pPr>
        <w:pStyle w:val="Para 04"/>
      </w:pPr>
      <w:r>
        <w:t>• Use tunables:</w:t>
      </w:r>
    </w:p>
    <w:p>
      <w:pPr>
        <w:pStyle w:val="Para 06"/>
      </w:pPr>
      <w:r>
        <w:rPr>
          <w:rStyle w:val="Text0"/>
        </w:rPr>
        <w:t>–</w:t>
      </w:r>
      <w:r>
        <w:t xml:space="preserve"> These provide variables that can be used in templates, for example if you want a</w:t>
      </w:r>
    </w:p>
    <w:p>
      <w:pPr>
        <w:pStyle w:val="Para 11"/>
      </w:pPr>
      <w:r>
        <w:t>custom dir considered as it would be a home directory. You could modify /etc/ apparmor.d/tunables/home, which defines the base path rules used for home direc-tories.</w:t>
      </w:r>
    </w:p>
    <w:p>
      <w:pPr>
        <w:pStyle w:val="Para 06"/>
      </w:pPr>
      <w:r>
        <w:rPr>
          <w:rStyle w:val="Text0"/>
        </w:rPr>
        <w:t>–</w:t>
      </w:r>
      <w:r>
        <w:t xml:space="preserve"> By design, these variables will only influence profiles that use them.</w:t>
      </w:r>
    </w:p>
    <w:p>
      <w:pPr>
        <w:pStyle w:val="Para 04"/>
      </w:pPr>
      <w:r>
        <w:t>• Modify a local override:</w:t>
      </w:r>
    </w:p>
    <w:p>
      <w:pPr>
        <w:pStyle w:val="Para 06"/>
      </w:pPr>
      <w:r>
        <w:rPr>
          <w:rStyle w:val="Text0"/>
        </w:rPr>
        <w:t>–</w:t>
      </w:r>
      <w:r>
        <w:t xml:space="preserve"> To mitigate the drawbacks of above approaches, </w:t>
      </w:r>
      <w:r>
        <w:rPr>
          <w:rStyle w:val="Text0"/>
        </w:rPr>
        <w:t>local includes</w:t>
      </w:r>
      <w:r>
        <w:t xml:space="preserve"> were introduced,</w:t>
      </w:r>
    </w:p>
    <w:p>
      <w:pPr>
        <w:pStyle w:val="Para 11"/>
      </w:pPr>
      <w:r>
        <w:t>adding the ability to write arbitrary rules that not run into issues during upgrades that modify the packaged rule.</w:t>
      </w:r>
    </w:p>
    <w:p>
      <w:pPr>
        <w:pStyle w:val="Para 06"/>
      </w:pPr>
      <w:r>
        <w:rPr>
          <w:rStyle w:val="Text0"/>
        </w:rPr>
        <w:t>–</w:t>
      </w:r>
      <w:r>
        <w:t xml:space="preserve"> The files can be found in /etc/apparmor.d/local/ and exist for the packages that</w:t>
      </w:r>
    </w:p>
    <w:p>
      <w:pPr>
        <w:pStyle w:val="Para 11"/>
      </w:pPr>
      <w:r>
        <w:t>are known to sometimes need slight tweaks for special setups.</w:t>
      </w:r>
    </w:p>
    <w:p>
      <w:pPr>
        <w:pStyle w:val="Para 17"/>
      </w:pPr>
      <w:r>
        <w:t/>
      </w:r>
    </w:p>
    <w:p>
      <w:pPr>
        <w:pStyle w:val="Para 01"/>
      </w:pPr>
      <w:r>
        <w:t>Disabling or Re-enabling AppArmor</w:t>
      </w:r>
    </w:p>
    <w:p>
      <w:pPr>
        <w:pStyle w:val="Para 17"/>
      </w:pPr>
      <w:r>
        <w:t/>
      </w:r>
    </w:p>
    <w:p>
      <w:pPr>
        <w:pStyle w:val="Normal"/>
      </w:pPr>
      <w:r>
        <w:t>Starting with Ubuntu 24.04 and later, the AppArmor services are baked into the Ubuntu Ker-nel. In earlier versions of Ubuntu, you could disable AppArmor by not loading the service. However, it now requires setting a module parameter on the kernel command line to fully disable or re-enable AppArmor.</w:t>
      </w:r>
    </w:p>
    <w:p>
      <w:pPr>
        <w:pStyle w:val="Para 17"/>
      </w:pPr>
      <w:r>
        <w:t/>
      </w:r>
    </w:p>
    <w:p>
      <w:pPr>
        <w:pStyle w:val="Para 01"/>
      </w:pPr>
      <w:r>
        <w:t>Disable AppArmor</w:t>
      </w:r>
    </w:p>
    <w:p>
      <w:pPr>
        <w:pStyle w:val="Para 17"/>
      </w:pPr>
      <w:r>
        <w:t/>
      </w:r>
    </w:p>
    <w:p>
      <w:pPr>
        <w:pStyle w:val="Para 03"/>
      </w:pPr>
      <w:r>
        <w:t>WARNING! Disabling AppArmor reduces the security of your system! You should only dis-</w:t>
      </w:r>
    </w:p>
    <w:p>
      <w:pPr>
        <w:pStyle w:val="Para 03"/>
      </w:pPr>
      <w:r>
        <w:t>able apparmor if you understand the security implications of disabling the service!</w:t>
      </w:r>
    </w:p>
    <w:p>
      <w:pPr>
        <w:pStyle w:val="Para 17"/>
      </w:pPr>
      <w:r>
        <w:t/>
      </w:r>
    </w:p>
    <w:p>
      <w:pPr>
        <w:pStyle w:val="Normal"/>
      </w:pPr>
      <w:r>
        <w:t>To disable AppArmor, you must do the following:</w:t>
      </w:r>
    </w:p>
    <w:p>
      <w:pPr>
        <w:pStyle w:val="Para 04"/>
      </w:pPr>
      <w:r>
        <w:t>• Edit /etc/default/grub and add apparmor=0 to GRUB_CMDLINE_LINUX in /etc/default/</w:t>
      </w:r>
    </w:p>
    <w:p>
      <w:pPr>
        <w:pStyle w:val="Para 02"/>
      </w:pPr>
      <w:r>
        <w:t>grub</w:t>
      </w:r>
    </w:p>
    <w:p>
      <w:pPr>
        <w:pStyle w:val="Para 04"/>
      </w:pPr>
      <w:r>
        <w:t>• Run sudo update-grub to refresh the boot configuration</w:t>
      </w:r>
    </w:p>
    <w:p>
      <w:pPr>
        <w:pStyle w:val="Para 04"/>
      </w:pPr>
      <w:r>
        <w:t>• Reboot the system.</w:t>
      </w:r>
    </w:p>
    <w:p>
      <w:pPr>
        <w:pStyle w:val="Normal"/>
      </w:pPr>
      <w:r>
        <w:t>Once rebooted, you can check the status of AppArmor with the following commands, and should see similar output to this:</w:t>
      </w:r>
    </w:p>
    <w:p>
      <w:pPr>
        <w:pStyle w:val="Normal"/>
      </w:pPr>
      <w:r>
        <w:t>$ sudo aa-status</w:t>
      </w:r>
    </w:p>
    <w:p>
      <w:pPr>
        <w:pStyle w:val="Normal"/>
      </w:pPr>
      <w:r>
        <w:t>apparmor module is loaded.</w:t>
      </w:r>
    </w:p>
    <w:p>
      <w:pPr>
        <w:pStyle w:val="Normal"/>
      </w:pPr>
      <w:r>
        <w:t>apparmor filesystem is not mounted.</w:t>
      </w:r>
    </w:p>
    <w:p>
      <w:pPr>
        <w:pStyle w:val="Para 17"/>
      </w:pPr>
      <w:r>
        <w:t/>
      </w:r>
    </w:p>
    <w:p>
      <w:pPr>
        <w:pStyle w:val="Normal"/>
      </w:pPr>
      <w:r>
        <w:t>$ systemctl status apparmor</w:t>
      </w:r>
    </w:p>
    <w:p>
      <w:pPr>
        <w:pStyle w:val="Normal"/>
      </w:pPr>
      <w:r>
        <w:t>� apparmor.service - Load AppArmor profiles</w:t>
      </w:r>
    </w:p>
    <w:p>
      <w:pPr>
        <w:pStyle w:val="Para 17"/>
      </w:pPr>
      <w:r>
        <w:t>Loaded: loaded (/usr/lib/systemd/system/apparmor.service; enabled; preset: enabled)</w:t>
        <w:t xml:space="preserve"> </w:t>
        <w:t>Active: inactive (dead)</w:t>
      </w:r>
    </w:p>
    <w:p>
      <w:pPr>
        <w:pStyle w:val="Para 03"/>
      </w:pPr>
      <w:r>
        <w:t>Condition: start condition unmet at Tue 2025-01-14 08:45:04 UTC; 1min 20s ago</w:t>
      </w:r>
    </w:p>
    <w:p>
      <w:pPr>
        <w:pStyle w:val="Para 09"/>
      </w:pPr>
      <w:r>
        <w:t>(continues on next page)</w:t>
      </w:r>
    </w:p>
    <w:p>
      <w:bookmarkStart w:id="188" w:name="page_1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6" name="index-134_1.png" descr="index-134_1.png"/>
            <wp:cNvGraphicFramePr>
              <a:graphicFrameLocks noChangeAspect="1"/>
            </wp:cNvGraphicFramePr>
            <a:graphic>
              <a:graphicData uri="http://schemas.openxmlformats.org/drawingml/2006/picture">
                <pic:pic>
                  <pic:nvPicPr>
                    <pic:cNvPr id="0" name="index-134_1.png" descr="index-134_1.png"/>
                    <pic:cNvPicPr/>
                  </pic:nvPicPr>
                  <pic:blipFill>
                    <a:blip r:embed="rId140"/>
                    <a:stretch>
                      <a:fillRect/>
                    </a:stretch>
                  </pic:blipFill>
                  <pic:spPr>
                    <a:xfrm>
                      <a:off x="0" y="0"/>
                      <a:ext cx="914400" cy="266700"/>
                    </a:xfrm>
                    <a:prstGeom prst="rect">
                      <a:avLst/>
                    </a:prstGeom>
                  </pic:spPr>
                </pic:pic>
              </a:graphicData>
            </a:graphic>
          </wp:anchor>
        </w:drawing>
      </w:r>
      <w:bookmarkEnd w:id="188"/>
    </w:p>
    <w:p>
      <w:pPr>
        <w:pStyle w:val="Para 09"/>
      </w:pPr>
      <w:r>
        <w:t>(continued from previous page)</w:t>
      </w:r>
    </w:p>
    <w:p>
      <w:pPr>
        <w:pStyle w:val="Para 12"/>
      </w:pPr>
      <w:r>
        <w:t>└─ ConditionSecurity=apparmor was not met</w:t>
      </w:r>
    </w:p>
    <w:p>
      <w:pPr>
        <w:pStyle w:val="Para 06"/>
      </w:pPr>
      <w:r>
        <w:t>Docs: man:apparmor(7)</w:t>
      </w:r>
    </w:p>
    <w:p>
      <w:pPr>
        <w:pStyle w:val="Para 12"/>
      </w:pPr>
      <w:r>
        <w:t>https://gitlab.com/apparmor/apparmor/wikis/home/</w:t>
      </w:r>
    </w:p>
    <w:p>
      <w:pPr>
        <w:pStyle w:val="Normal"/>
      </w:pPr>
      <w:r>
        <w:t>Jan 14 08:45:04 n systemd[1]: apparmor.service - Load AppArmor profiles was skipped</w:t>
        <w:t xml:space="preserve"> </w:t>
        <w:t>because of an unmet condition check (ConditionSecurity=apparmor).</w:t>
      </w:r>
    </w:p>
    <w:p>
      <w:pPr>
        <w:pStyle w:val="Para 17"/>
      </w:pPr>
      <w:r>
        <w:t/>
      </w:r>
    </w:p>
    <w:p>
      <w:pPr>
        <w:pStyle w:val="Para 01"/>
      </w:pPr>
      <w:r>
        <w:t>Re-enable AppArmor</w:t>
      </w:r>
    </w:p>
    <w:p>
      <w:pPr>
        <w:pStyle w:val="Para 17"/>
      </w:pPr>
      <w:r>
        <w:t/>
      </w:r>
    </w:p>
    <w:p>
      <w:pPr>
        <w:pStyle w:val="Para 04"/>
      </w:pPr>
      <w:r>
        <w:t>• Remove the apparmor=0 item from GRUB_CMDLINE_LINUX in /etc/default/grub.</w:t>
      </w:r>
    </w:p>
    <w:p>
      <w:pPr>
        <w:pStyle w:val="Para 04"/>
      </w:pPr>
      <w:r>
        <w:t>• Run sudo update-grub to update your system boot configuration.</w:t>
      </w:r>
    </w:p>
    <w:p>
      <w:pPr>
        <w:pStyle w:val="Para 04"/>
      </w:pPr>
      <w:r>
        <w:t>• Reboot your system.</w:t>
      </w:r>
    </w:p>
    <w:p>
      <w:pPr>
        <w:pStyle w:val="Normal"/>
      </w:pPr>
      <w:r>
        <w:t>You can check if AppArmor is then re-enabled with the following command, and you should see output similar to this:</w:t>
      </w:r>
    </w:p>
    <w:p>
      <w:pPr>
        <w:pStyle w:val="Normal"/>
      </w:pPr>
      <w:r>
        <w:t>$ sudo aa-status</w:t>
      </w:r>
    </w:p>
    <w:p>
      <w:pPr>
        <w:pStyle w:val="Normal"/>
      </w:pPr>
      <w:r>
        <w:t>apparmor module is loaded.</w:t>
      </w:r>
    </w:p>
    <w:p>
      <w:pPr>
        <w:pStyle w:val="Normal"/>
      </w:pPr>
      <w:r>
        <w:t>119 profiles are loaded.</w:t>
      </w:r>
    </w:p>
    <w:p>
      <w:pPr>
        <w:pStyle w:val="Normal"/>
      </w:pPr>
      <w:r>
        <w:t>24 profiles are in enforce mode.</w:t>
      </w:r>
    </w:p>
    <w:p>
      <w:pPr>
        <w:pStyle w:val="Para 04"/>
      </w:pPr>
      <w:r>
        <w:t>/usr/bin/man</w:t>
      </w:r>
    </w:p>
    <w:p>
      <w:pPr>
        <w:pStyle w:val="Normal"/>
      </w:pPr>
      <w:r>
        <w:t>...</w:t>
      </w:r>
    </w:p>
    <w:p>
      <w:pPr>
        <w:pStyle w:val="Para 17"/>
      </w:pPr>
      <w:r>
        <w:t/>
      </w:r>
    </w:p>
    <w:p>
      <w:pPr>
        <w:pStyle w:val="Para 01"/>
      </w:pPr>
      <w:r>
        <w:t>Further reading</w:t>
      </w:r>
    </w:p>
    <w:p>
      <w:pPr>
        <w:pStyle w:val="Para 17"/>
      </w:pPr>
      <w:r>
        <w:t/>
      </w:r>
    </w:p>
    <w:p>
      <w:pPr>
        <w:pStyle w:val="Para 04"/>
      </w:pPr>
      <w:r>
        <w:t xml:space="preserve">• See the </w:t>
      </w:r>
      <w:hyperlink w:anchor="page_134">
        <w:r>
          <w:rPr>
            <w:rStyle w:val="Text9"/>
          </w:rPr>
          <w:t>95</w:t>
        </w:r>
      </w:hyperlink>
      <w:r>
        <w:t xml:space="preserve"> </w:t>
      </w:r>
      <w:hyperlink r:id="rId1107">
        <w:r>
          <w:rPr>
            <w:rStyle w:val="Text1"/>
          </w:rPr>
          <w:t>AppArmor Administration Guide</w:t>
        </w:r>
      </w:hyperlink>
      <w:r>
        <w:t xml:space="preserve"> for advanced configuration options.</w:t>
      </w:r>
    </w:p>
    <w:p>
      <w:pPr>
        <w:pStyle w:val="Para 04"/>
      </w:pPr>
      <w:r>
        <w:t xml:space="preserve">• For details using AppArmor with other Ubuntu releases see the </w:t>
      </w:r>
      <w:hyperlink r:id="rId1108">
        <w:r>
          <w:rPr>
            <w:rStyle w:val="Text1"/>
          </w:rPr>
          <w:t>AppArmor Community</w:t>
        </w:r>
      </w:hyperlink>
    </w:p>
    <w:p>
      <w:pPr>
        <w:pStyle w:val="Para 02"/>
      </w:pPr>
      <w:hyperlink r:id="rId1108">
        <w:r>
          <w:rPr>
            <w:rStyle w:val="Text1"/>
          </w:rPr>
          <w:t>Wiki</w:t>
        </w:r>
      </w:hyperlink>
      <w:hyperlink r:id="rId1108">
        <w:r>
          <w:rPr>
            <w:rStyle w:val="Text9"/>
          </w:rPr>
          <w:t>96</w:t>
        </w:r>
      </w:hyperlink>
      <w:r>
        <w:t xml:space="preserve"> page.</w:t>
      </w:r>
    </w:p>
    <w:p>
      <w:pPr>
        <w:pStyle w:val="Para 04"/>
      </w:pPr>
      <w:r>
        <w:t xml:space="preserve">• The </w:t>
      </w:r>
      <w:hyperlink w:anchor="page_134">
        <w:r>
          <w:rPr>
            <w:rStyle w:val="Text9"/>
          </w:rPr>
          <w:t>97</w:t>
        </w:r>
      </w:hyperlink>
      <w:r>
        <w:t xml:space="preserve"> </w:t>
      </w:r>
      <w:hyperlink r:id="rId1109">
        <w:r>
          <w:rPr>
            <w:rStyle w:val="Text1"/>
          </w:rPr>
          <w:t>OpenSUSE AppArmor</w:t>
        </w:r>
      </w:hyperlink>
      <w:r>
        <w:t xml:space="preserve"> page is another introduction to AppArmor.</w:t>
      </w:r>
    </w:p>
    <w:p>
      <w:pPr>
        <w:pStyle w:val="Para 04"/>
      </w:pPr>
      <w:r>
        <w:t xml:space="preserve">• </w:t>
      </w:r>
      <w:hyperlink r:id="rId1110">
        <w:r>
          <w:rPr>
            <w:rStyle w:val="Text1"/>
          </w:rPr>
          <w:t>(https://wiki.debian.org/AppArmor</w:t>
        </w:r>
      </w:hyperlink>
      <w:r>
        <w:t>) is another introduction and basic how-to for Ap-</w:t>
      </w:r>
    </w:p>
    <w:p>
      <w:pPr>
        <w:pStyle w:val="Para 02"/>
      </w:pPr>
      <w:r>
        <w:t>pArmor.</w:t>
      </w:r>
    </w:p>
    <w:p>
      <w:pPr>
        <w:pStyle w:val="Para 04"/>
      </w:pPr>
      <w:r>
        <w:t>• A great place to get involved with the Ubuntu Server community and to ask for AppAr-</w:t>
      </w:r>
    </w:p>
    <w:p>
      <w:pPr>
        <w:pStyle w:val="Para 02"/>
      </w:pPr>
      <w:r>
        <w:t xml:space="preserve">mor assistance is the </w:t>
      </w:r>
      <w:hyperlink r:id="rId1034">
        <w:r>
          <w:rPr>
            <w:rStyle w:val="Text9"/>
          </w:rPr>
          <w:t>98</w:t>
        </w:r>
      </w:hyperlink>
      <w:hyperlink r:id="rId1034">
        <w:r>
          <w:rPr>
            <w:rStyle w:val="Text1"/>
          </w:rPr>
          <w:t xml:space="preserve"> </w:t>
        </w:r>
      </w:hyperlink>
      <w:hyperlink r:id="rId1034">
        <w:r>
          <w:rPr>
            <w:rStyle w:val="Text9"/>
          </w:rPr>
          <w:t>99</w:t>
        </w:r>
      </w:hyperlink>
      <w:hyperlink r:id="rId1034">
        <w:r>
          <w:rPr>
            <w:rStyle w:val="Text1"/>
          </w:rPr>
          <w:t xml:space="preserve"> #server channel on Matrix</w:t>
        </w:r>
      </w:hyperlink>
      <w:r>
        <w:t xml:space="preserve"> . The </w:t>
      </w:r>
      <w:hyperlink r:id="rId1034">
        <w:r>
          <w:rPr>
            <w:rStyle w:val="Text1"/>
          </w:rPr>
          <w:t>#security channel</w:t>
        </w:r>
      </w:hyperlink>
      <w:r>
        <w:t xml:space="preserve"> may also be of use.</w:t>
      </w:r>
    </w:p>
    <w:p>
      <w:pPr>
        <w:pStyle w:val="Para 41"/>
      </w:pPr>
      <w:r>
        <w:rPr>
          <w:rStyle w:val="Text5"/>
        </w:rPr>
        <w:t>95</w:t>
      </w:r>
      <w:r>
        <w:rPr>
          <w:rStyle w:val="Text8"/>
        </w:rPr>
        <w:t xml:space="preserve"> </w:t>
      </w:r>
      <w:r>
        <w:t>http://www.novell.com/documentation/apparmor/apparmor201_sp10_admin/?page=/documentation/</w:t>
      </w:r>
    </w:p>
    <w:p>
      <w:pPr>
        <w:pStyle w:val="Para 16"/>
      </w:pPr>
      <w:r>
        <w:t>apparmor/apparmor201_sp10_admin/data/book_apparmor_admin.html</w:t>
      </w:r>
    </w:p>
    <w:p>
      <w:pPr>
        <w:pStyle w:val="Para 05"/>
      </w:pPr>
      <w:r>
        <w:rPr>
          <w:rStyle w:val="Text5"/>
        </w:rPr>
        <w:t>96</w:t>
      </w:r>
      <w:r>
        <w:rPr>
          <w:rStyle w:val="Text8"/>
        </w:rPr>
        <w:t xml:space="preserve"> </w:t>
      </w:r>
      <w:r>
        <w:t>https://help.ubuntu.com/community/AppArmor</w:t>
      </w:r>
    </w:p>
    <w:p>
      <w:pPr>
        <w:pStyle w:val="Para 05"/>
      </w:pPr>
      <w:r>
        <w:rPr>
          <w:rStyle w:val="Text5"/>
        </w:rPr>
        <w:t>97</w:t>
      </w:r>
      <w:r>
        <w:rPr>
          <w:rStyle w:val="Text8"/>
        </w:rPr>
        <w:t xml:space="preserve"> </w:t>
      </w:r>
      <w:r>
        <w:t>https://en.opensuse.org/SDB:AppArmor_geeks</w:t>
      </w:r>
    </w:p>
    <w:p>
      <w:pPr>
        <w:pStyle w:val="Para 05"/>
      </w:pPr>
      <w:r>
        <w:rPr>
          <w:rStyle w:val="Text5"/>
        </w:rPr>
        <w:t>98</w:t>
      </w:r>
      <w:r>
        <w:rPr>
          <w:rStyle w:val="Text8"/>
        </w:rPr>
        <w:t xml:space="preserve"> </w:t>
      </w:r>
      <w:r>
        <w:t>https://matrix.to/#/#server:ubuntu.com</w:t>
      </w:r>
    </w:p>
    <w:p>
      <w:pPr>
        <w:pStyle w:val="Para 05"/>
      </w:pPr>
      <w:r>
        <w:rPr>
          <w:rStyle w:val="Text5"/>
        </w:rPr>
        <w:t>99</w:t>
      </w:r>
      <w:r>
        <w:rPr>
          <w:rStyle w:val="Text8"/>
        </w:rPr>
        <w:t xml:space="preserve"> </w:t>
      </w:r>
      <w:r>
        <w:t>https://matrix.to/#/#security:ubuntu.com</w:t>
      </w:r>
    </w:p>
    <w:p>
      <w:bookmarkStart w:id="189" w:name="calibre_pb_27"/>
      <w:pPr>
        <w:pStyle w:val="0 Block"/>
      </w:pPr>
      <w:bookmarkEnd w:id="189"/>
    </w:p>
    <w:p>
      <w:bookmarkStart w:id="190" w:name="page_135"/>
      <w:bookmarkStart w:id="191" w:name="Top_of_index_split_02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7" name="index-135_1.png" descr="index-135_1.png"/>
            <wp:cNvGraphicFramePr>
              <a:graphicFrameLocks noChangeAspect="1"/>
            </wp:cNvGraphicFramePr>
            <a:graphic>
              <a:graphicData uri="http://schemas.openxmlformats.org/drawingml/2006/picture">
                <pic:pic>
                  <pic:nvPicPr>
                    <pic:cNvPr id="0" name="index-135_1.png" descr="index-135_1.png"/>
                    <pic:cNvPicPr/>
                  </pic:nvPicPr>
                  <pic:blipFill>
                    <a:blip r:embed="rId141"/>
                    <a:stretch>
                      <a:fillRect/>
                    </a:stretch>
                  </pic:blipFill>
                  <pic:spPr>
                    <a:xfrm>
                      <a:off x="0" y="0"/>
                      <a:ext cx="914400" cy="266700"/>
                    </a:xfrm>
                    <a:prstGeom prst="rect">
                      <a:avLst/>
                    </a:prstGeom>
                  </pic:spPr>
                </pic:pic>
              </a:graphicData>
            </a:graphic>
          </wp:anchor>
        </w:drawing>
      </w:r>
      <w:bookmarkEnd w:id="190"/>
      <w:bookmarkEnd w:id="191"/>
    </w:p>
    <w:p>
      <w:pPr>
        <w:pStyle w:val="Para 01"/>
      </w:pPr>
      <w:r>
        <w:t>Console security</w:t>
      </w:r>
    </w:p>
    <w:p>
      <w:pPr>
        <w:pStyle w:val="Para 17"/>
      </w:pPr>
      <w:r>
        <w:t/>
      </w:r>
    </w:p>
    <w:p>
      <w:pPr>
        <w:pStyle w:val="Normal"/>
      </w:pPr>
      <w:r>
        <w:t>It is difficult to defend against the damage that can be caused by someone with physical access to your environment, for example, due to theft of hard drives, power or service dis-ruption, and so on.</w:t>
      </w:r>
    </w:p>
    <w:p>
      <w:pPr>
        <w:pStyle w:val="Normal"/>
      </w:pPr>
      <w:r>
        <w:t>Console security should be addressed as one component of your overall physical security strategy. A locked “screen door” may deter a casual criminal, or at the very least slow down a determined one, so it is still advisable to perform basic precautions with regard to console security.</w:t>
      </w:r>
    </w:p>
    <w:p>
      <w:pPr>
        <w:pStyle w:val="Para 17"/>
      </w:pPr>
      <w:r>
        <w:t/>
      </w:r>
    </w:p>
    <w:p>
      <w:pPr>
        <w:pStyle w:val="Para 01"/>
      </w:pPr>
      <w:r>
        <w:t>Disable Ctrl+Alt+Delete</w:t>
      </w:r>
    </w:p>
    <w:p>
      <w:pPr>
        <w:pStyle w:val="Para 17"/>
      </w:pPr>
      <w:r>
        <w:t/>
      </w:r>
    </w:p>
    <w:p>
      <w:pPr>
        <w:pStyle w:val="Normal"/>
      </w:pPr>
      <w:r>
        <w:t>Anyone with physical access to the keyboard can use the Ctrl + Alt + Delete key combination to reboot the server without having to log on. While someone could also simply unplug the power source, you should still prevent the use of this key combination on a production server. This forces an attacker to take more drastic measures to reboot the server, and will prevent accidental reboots at the same time.</w:t>
      </w:r>
    </w:p>
    <w:p>
      <w:pPr>
        <w:pStyle w:val="Normal"/>
      </w:pPr>
      <w:r>
        <w:t>To disable the reboot action taken by pressing the Ctrl + Alt + Delete key combination, run the following two commands:</w:t>
      </w:r>
    </w:p>
    <w:p>
      <w:pPr>
        <w:pStyle w:val="Normal"/>
      </w:pPr>
      <w:r>
        <w:t>sudo systemctl mask ctrl-alt-del.target</w:t>
      </w:r>
    </w:p>
    <w:p>
      <w:pPr>
        <w:pStyle w:val="Normal"/>
      </w:pPr>
      <w:r>
        <w:t>sudo systemctl daemon-reload</w:t>
      </w:r>
    </w:p>
    <w:p>
      <w:pPr>
        <w:pStyle w:val="Para 17"/>
      </w:pPr>
      <w:r>
        <w:t/>
      </w:r>
    </w:p>
    <w:p>
      <w:pPr>
        <w:pStyle w:val="Para 08"/>
      </w:pPr>
      <w:r>
        <w:t>Note:</w:t>
      </w:r>
    </w:p>
    <w:p>
      <w:pPr>
        <w:pStyle w:val="Para 03"/>
      </w:pPr>
      <w:r>
        <w:t>To re-enable this feature, use:</w:t>
      </w:r>
    </w:p>
    <w:p>
      <w:pPr>
        <w:pStyle w:val="Para 03"/>
      </w:pPr>
      <w:r>
        <w:t>sudo systemctl unmask ctrl-alt-del.target</w:t>
      </w:r>
    </w:p>
    <w:p>
      <w:pPr>
        <w:pStyle w:val="Para 17"/>
      </w:pPr>
      <w:r>
        <w:t/>
      </w:r>
    </w:p>
    <w:p>
      <w:pPr>
        <w:pStyle w:val="Para 01"/>
      </w:pPr>
      <w:r>
        <w:t>TPM-based LUKS decryption with Clevis</w:t>
      </w:r>
    </w:p>
    <w:p>
      <w:pPr>
        <w:pStyle w:val="Para 17"/>
      </w:pPr>
      <w:r>
        <w:t/>
      </w:r>
    </w:p>
    <w:p>
      <w:pPr>
        <w:pStyle w:val="Normal"/>
      </w:pPr>
      <w:hyperlink r:id="rId1111">
        <w:r>
          <w:rPr>
            <w:rStyle w:val="Text1"/>
          </w:rPr>
          <w:t>Clevis</w:t>
        </w:r>
      </w:hyperlink>
      <w:hyperlink w:anchor="page_135">
        <w:r>
          <w:rPr>
            <w:rStyle w:val="Text9"/>
          </w:rPr>
          <w:t>100</w:t>
        </w:r>
      </w:hyperlink>
      <w:r>
        <w:t xml:space="preserve"> is a pluggable framework for automated decryption. When combined with Trusted</w:t>
      </w:r>
    </w:p>
    <w:p>
      <w:pPr>
        <w:pStyle w:val="Normal"/>
      </w:pPr>
      <w:r>
        <w:t>Platform Module (</w:t>
      </w:r>
      <w:hyperlink w:anchor="page_710">
        <w:r>
          <w:rPr>
            <w:rStyle w:val="Text2"/>
          </w:rPr>
          <w:t>TPM</w:t>
        </w:r>
      </w:hyperlink>
      <w:r>
        <w:t>) and Full Disk Encryption (</w:t>
      </w:r>
      <w:hyperlink w:anchor="page_682">
        <w:r>
          <w:rPr>
            <w:rStyle w:val="Text2"/>
          </w:rPr>
          <w:t>FDE</w:t>
        </w:r>
      </w:hyperlink>
      <w:r>
        <w:t xml:space="preserve">) via Linux Unified Key Setup </w:t>
      </w:r>
      <w:hyperlink w:anchor="page_693">
        <w:r>
          <w:rPr>
            <w:rStyle w:val="Text1"/>
          </w:rPr>
          <w:t>(</w:t>
        </w:r>
      </w:hyperlink>
      <w:hyperlink w:anchor="page_693">
        <w:r>
          <w:rPr>
            <w:rStyle w:val="Text2"/>
          </w:rPr>
          <w:t>LUKS</w:t>
        </w:r>
      </w:hyperlink>
      <w:r>
        <w:t xml:space="preserve"> ), Clevis can automatically unlock encrypted drives during boot without user intervention. The Clevis tooling is currently provided via the universe archive. While functional, it serves as a community-supported fallback for TPM-bound encryption until a fully integrated server FDE solution lands in a future LTS release.</w:t>
      </w:r>
    </w:p>
    <w:p>
      <w:pPr>
        <w:pStyle w:val="Normal"/>
      </w:pPr>
      <w:r>
        <w:t xml:space="preserve">This guide targets systems that use </w:t>
      </w:r>
      <w:hyperlink r:id="rId1112">
        <w:r>
          <w:rPr>
            <w:rStyle w:val="Text9"/>
          </w:rPr>
          <w:t>101</w:t>
        </w:r>
      </w:hyperlink>
      <w:hyperlink r:id="rId1112">
        <w:r>
          <w:rPr>
            <w:rStyle w:val="Text1"/>
          </w:rPr>
          <w:t xml:space="preserve"> </w:t>
        </w:r>
      </w:hyperlink>
      <w:hyperlink r:id="rId1112">
        <w:r>
          <w:rPr>
            <w:rStyle w:val="Text2"/>
          </w:rPr>
          <w:t>dracut(8)</w:t>
        </w:r>
      </w:hyperlink>
      <w:r>
        <w:t xml:space="preserve"> as the initramfs generator.</w:t>
      </w:r>
    </w:p>
    <w:p>
      <w:pPr>
        <w:pStyle w:val="Para 17"/>
      </w:pPr>
      <w:r>
        <w:t/>
      </w:r>
    </w:p>
    <w:p>
      <w:pPr>
        <w:pStyle w:val="Para 08"/>
      </w:pPr>
      <w:r>
        <w:t>Warning:</w:t>
      </w:r>
    </w:p>
    <w:p>
      <w:pPr>
        <w:pStyle w:val="Para 17"/>
      </w:pPr>
      <w:r>
        <w:t/>
      </w:r>
    </w:p>
    <w:p>
      <w:pPr>
        <w:pStyle w:val="Para 03"/>
      </w:pPr>
      <w:r>
        <w:t>Keep at least one well-known LUKS passphrase for recovery. TPM measurements can</w:t>
      </w:r>
    </w:p>
    <w:p>
      <w:pPr>
        <w:pStyle w:val="Para 03"/>
      </w:pPr>
      <w:r>
        <w:t>change after firmware updates, Secure Boot state changes, or some bootloader changes,</w:t>
      </w:r>
    </w:p>
    <w:p>
      <w:pPr>
        <w:pStyle w:val="Para 03"/>
      </w:pPr>
      <w:r>
        <w:t>which can prevent automatic unlock until you rebind Clevis.</w:t>
      </w:r>
    </w:p>
    <w:p>
      <w:pPr>
        <w:pStyle w:val="Para 17"/>
      </w:pPr>
      <w:r>
        <w:t/>
      </w:r>
    </w:p>
    <w:p>
      <w:pPr>
        <w:pStyle w:val="Para 05"/>
      </w:pPr>
      <w:r>
        <w:rPr>
          <w:rStyle w:val="Text5"/>
        </w:rPr>
        <w:t>100</w:t>
      </w:r>
      <w:r>
        <w:rPr>
          <w:rStyle w:val="Text8"/>
        </w:rPr>
        <w:t xml:space="preserve"> </w:t>
      </w:r>
      <w:r>
        <w:t>https://github.com/latchset/clevis</w:t>
      </w:r>
    </w:p>
    <w:p>
      <w:pPr>
        <w:pStyle w:val="Para 05"/>
      </w:pPr>
      <w:r>
        <w:rPr>
          <w:rStyle w:val="Text5"/>
        </w:rPr>
        <w:t>101</w:t>
      </w:r>
      <w:r>
        <w:rPr>
          <w:rStyle w:val="Text8"/>
        </w:rPr>
        <w:t xml:space="preserve"> </w:t>
      </w:r>
      <w:r>
        <w:t>https://manpages.ubuntu.com/manpages/resolute/man8/dracut.8.html</w:t>
      </w:r>
      <w:r>
        <w:rPr>
          <w:rStyle w:val="Text8"/>
        </w:rPr>
        <w:t xml:space="preserve"> </w:t>
      </w:r>
      <w:r>
        <w:rPr>
          <w:rStyle w:val="Text11"/>
        </w:rPr>
        <w:t>Prerequisites</w:t>
      </w:r>
    </w:p>
    <w:p>
      <w:bookmarkStart w:id="192" w:name="page_1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8" name="index-136_1.png" descr="index-136_1.png"/>
            <wp:cNvGraphicFramePr>
              <a:graphicFrameLocks noChangeAspect="1"/>
            </wp:cNvGraphicFramePr>
            <a:graphic>
              <a:graphicData uri="http://schemas.openxmlformats.org/drawingml/2006/picture">
                <pic:pic>
                  <pic:nvPicPr>
                    <pic:cNvPr id="0" name="index-136_1.png" descr="index-136_1.png"/>
                    <pic:cNvPicPr/>
                  </pic:nvPicPr>
                  <pic:blipFill>
                    <a:blip r:embed="rId142"/>
                    <a:stretch>
                      <a:fillRect/>
                    </a:stretch>
                  </pic:blipFill>
                  <pic:spPr>
                    <a:xfrm>
                      <a:off x="0" y="0"/>
                      <a:ext cx="914400" cy="266700"/>
                    </a:xfrm>
                    <a:prstGeom prst="rect">
                      <a:avLst/>
                    </a:prstGeom>
                  </pic:spPr>
                </pic:pic>
              </a:graphicData>
            </a:graphic>
          </wp:anchor>
        </w:drawing>
      </w:r>
      <w:bookmarkEnd w:id="192"/>
    </w:p>
    <w:p>
      <w:pPr>
        <w:pStyle w:val="Para 17"/>
      </w:pPr>
      <w:r>
        <w:t/>
      </w:r>
    </w:p>
    <w:p>
      <w:pPr>
        <w:pStyle w:val="Para 04"/>
      </w:pPr>
      <w:r>
        <w:t>• An Ubuntu Server installation with LVM over LUKS, with Dracut as the initramfs gener-</w:t>
      </w:r>
    </w:p>
    <w:p>
      <w:pPr>
        <w:pStyle w:val="Para 02"/>
      </w:pPr>
      <w:r>
        <w:t>ator.</w:t>
      </w:r>
    </w:p>
    <w:p>
      <w:pPr>
        <w:pStyle w:val="Para 04"/>
      </w:pPr>
      <w:r>
        <w:t>• A system with a TPM 2.0 module.</w:t>
      </w:r>
    </w:p>
    <w:p>
      <w:pPr>
        <w:pStyle w:val="Para 04"/>
      </w:pPr>
      <w:r>
        <w:t>• Root or sudo privileges.</w:t>
      </w:r>
    </w:p>
    <w:p>
      <w:pPr>
        <w:pStyle w:val="Para 17"/>
      </w:pPr>
      <w:r>
        <w:t/>
      </w:r>
    </w:p>
    <w:p>
      <w:pPr>
        <w:pStyle w:val="Para 01"/>
      </w:pPr>
      <w:r>
        <w:t>Install Clevis and Dracut integration</w:t>
      </w:r>
    </w:p>
    <w:p>
      <w:pPr>
        <w:pStyle w:val="Para 17"/>
      </w:pPr>
      <w:r>
        <w:t/>
      </w:r>
    </w:p>
    <w:p>
      <w:pPr>
        <w:pStyle w:val="Normal"/>
      </w:pPr>
      <w:r>
        <w:t>Install the necessary packages:</w:t>
      </w:r>
    </w:p>
    <w:p>
      <w:pPr>
        <w:pStyle w:val="Normal"/>
      </w:pPr>
      <w:r>
        <w:t>sudo apt update</w:t>
        <w:t xml:space="preserve"> </w:t>
        <w:t>&amp;&amp;</w:t>
        <w:t xml:space="preserve"> </w:t>
        <w:t>sudo apt install clevis clevis-tpm2 clevis-dracut clevis-luks</w:t>
      </w:r>
    </w:p>
    <w:p>
      <w:pPr>
        <w:pStyle w:val="Para 17"/>
      </w:pPr>
      <w:r>
        <w:t/>
      </w:r>
    </w:p>
    <w:p>
      <w:pPr>
        <w:pStyle w:val="Para 01"/>
      </w:pPr>
      <w:r>
        <w:t>Binding a LUKS volume</w:t>
      </w:r>
    </w:p>
    <w:p>
      <w:pPr>
        <w:pStyle w:val="Para 17"/>
      </w:pPr>
      <w:r>
        <w:t/>
      </w:r>
    </w:p>
    <w:p>
      <w:pPr>
        <w:pStyle w:val="Normal"/>
      </w:pPr>
      <w:r>
        <w:t>Before Dracut can auto-unlock a drive, the drive must be bound to the TPM. You can use Clevis to add a new key to the LUKS header, sealed against the TPM.</w:t>
      </w:r>
    </w:p>
    <w:p>
      <w:pPr>
        <w:pStyle w:val="Normal"/>
      </w:pPr>
      <w:r>
        <w:t>First, identify the encrypted partition before binding:</w:t>
      </w:r>
    </w:p>
    <w:p>
      <w:pPr>
        <w:pStyle w:val="Normal"/>
      </w:pPr>
      <w:r>
        <w:t>lsblk -f</w:t>
      </w:r>
    </w:p>
    <w:p>
      <w:pPr>
        <w:pStyle w:val="Para 17"/>
      </w:pPr>
      <w:r>
        <w:t/>
      </w:r>
    </w:p>
    <w:p>
      <w:pPr>
        <w:pStyle w:val="Normal"/>
      </w:pPr>
      <w:r>
        <w:t>Look for the partition with FSTYPE set to crypto_LUKS, then use that path in the following command as &lt;encrypted_partition&gt;.</w:t>
      </w:r>
    </w:p>
    <w:p>
      <w:pPr>
        <w:pStyle w:val="Normal"/>
      </w:pPr>
      <w:r>
        <w:t>Bind against Platform Configuration Register (PCR) 7, which tracks secure boot state. If your environment requires different trust guarantees, choose PCR values that match your threat model.</w:t>
      </w:r>
    </w:p>
    <w:p>
      <w:pPr>
        <w:pStyle w:val="Normal"/>
      </w:pPr>
      <w:r>
        <w:t>sudo clevis luks</w:t>
        <w:t xml:space="preserve"> </w:t>
        <w:t>bind</w:t>
        <w:t>-d &lt;encrypted_partition&gt; tpm2</w:t>
        <w:t xml:space="preserve"> </w:t>
        <w:t>'{"pcr_ids": "7"}'</w:t>
      </w:r>
    </w:p>
    <w:p>
      <w:pPr>
        <w:pStyle w:val="Para 17"/>
      </w:pPr>
      <w:r>
        <w:t/>
      </w:r>
    </w:p>
    <w:p>
      <w:pPr>
        <w:pStyle w:val="Normal"/>
      </w:pPr>
      <w:r>
        <w:t>You will be prompted to enter the LUKS passphrase you created during installation. Clevis will generate a new cryptographic secret and store it in a new keyslot. It will also create a corresponding token linked to this new keyslot.</w:t>
      </w:r>
    </w:p>
    <w:p>
      <w:pPr>
        <w:pStyle w:val="Para 17"/>
      </w:pPr>
      <w:r>
        <w:t/>
      </w:r>
    </w:p>
    <w:p>
      <w:pPr>
        <w:pStyle w:val="Para 01"/>
      </w:pPr>
      <w:r>
        <w:t>Updating the initial ramdisk</w:t>
      </w:r>
    </w:p>
    <w:p>
      <w:pPr>
        <w:pStyle w:val="Para 17"/>
      </w:pPr>
      <w:r>
        <w:t/>
      </w:r>
    </w:p>
    <w:p>
      <w:pPr>
        <w:pStyle w:val="Normal"/>
      </w:pPr>
      <w:r>
        <w:t>The clevis-dracut package provides the necessary Dracut modules to include Clevis decryp-tion hooks in the early boot environment. After binding your root disk, you must regenerate the initial ramdisk.</w:t>
      </w:r>
    </w:p>
    <w:p>
      <w:pPr>
        <w:pStyle w:val="Normal"/>
      </w:pPr>
      <w:r>
        <w:t>To force a rebuild of the initial ramdisk for the current kernel, use:</w:t>
      </w:r>
    </w:p>
    <w:p>
      <w:pPr>
        <w:pStyle w:val="Normal"/>
      </w:pPr>
      <w:r>
        <w:t>sudo dracut -f</w:t>
      </w:r>
    </w:p>
    <w:p>
      <w:pPr>
        <w:pStyle w:val="Para 17"/>
      </w:pPr>
      <w:r>
        <w:t/>
      </w:r>
    </w:p>
    <w:p>
      <w:pPr>
        <w:pStyle w:val="Normal"/>
      </w:pPr>
      <w:r>
        <w:t xml:space="preserve">You can verify that the Clevis modules were successfully included with </w:t>
      </w:r>
      <w:hyperlink r:id="rId1113">
        <w:r>
          <w:rPr>
            <w:rStyle w:val="Text9"/>
          </w:rPr>
          <w:t>102</w:t>
        </w:r>
      </w:hyperlink>
      <w:hyperlink r:id="rId1113">
        <w:r>
          <w:rPr>
            <w:rStyle w:val="Text1"/>
          </w:rPr>
          <w:t xml:space="preserve"> </w:t>
        </w:r>
      </w:hyperlink>
      <w:hyperlink r:id="rId1113">
        <w:r>
          <w:rPr>
            <w:rStyle w:val="Text2"/>
          </w:rPr>
          <w:t>lsinitrd(1)</w:t>
        </w:r>
      </w:hyperlink>
      <w:r>
        <w:t xml:space="preserve"> by inspecting the generated image:</w:t>
      </w:r>
    </w:p>
    <w:p>
      <w:pPr>
        <w:pStyle w:val="Para 05"/>
      </w:pPr>
      <w:r>
        <w:rPr>
          <w:rStyle w:val="Text5"/>
        </w:rPr>
        <w:t>102</w:t>
      </w:r>
      <w:r>
        <w:rPr>
          <w:rStyle w:val="Text8"/>
        </w:rPr>
        <w:t xml:space="preserve"> </w:t>
      </w:r>
      <w:r>
        <w:t>https://manpages.ubuntu.com/manpages/resolute/man1/lsinitrd.1.html</w:t>
      </w:r>
      <w:r>
        <w:rPr>
          <w:rStyle w:val="Text8"/>
        </w:rPr>
        <w:t xml:space="preserve"> </w:t>
        <w:t>sudo lsinitrd | grep</w:t>
        <w:t xml:space="preserve"> </w:t>
        <w:t>'^clevis'</w:t>
      </w:r>
    </w:p>
    <w:p>
      <w:bookmarkStart w:id="193" w:name="page_1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39" name="index-137_1.png" descr="index-137_1.png"/>
            <wp:cNvGraphicFramePr>
              <a:graphicFrameLocks noChangeAspect="1"/>
            </wp:cNvGraphicFramePr>
            <a:graphic>
              <a:graphicData uri="http://schemas.openxmlformats.org/drawingml/2006/picture">
                <pic:pic>
                  <pic:nvPicPr>
                    <pic:cNvPr id="0" name="index-137_1.png" descr="index-137_1.png"/>
                    <pic:cNvPicPr/>
                  </pic:nvPicPr>
                  <pic:blipFill>
                    <a:blip r:embed="rId143"/>
                    <a:stretch>
                      <a:fillRect/>
                    </a:stretch>
                  </pic:blipFill>
                  <pic:spPr>
                    <a:xfrm>
                      <a:off x="0" y="0"/>
                      <a:ext cx="914400" cy="266700"/>
                    </a:xfrm>
                    <a:prstGeom prst="rect">
                      <a:avLst/>
                    </a:prstGeom>
                  </pic:spPr>
                </pic:pic>
              </a:graphicData>
            </a:graphic>
          </wp:anchor>
        </w:drawing>
      </w:r>
      <w:bookmarkEnd w:id="193"/>
    </w:p>
    <w:p>
      <w:pPr>
        <w:pStyle w:val="Para 17"/>
      </w:pPr>
      <w:r>
        <w:t/>
      </w:r>
    </w:p>
    <w:p>
      <w:pPr>
        <w:pStyle w:val="Normal"/>
      </w:pPr>
      <w:r>
        <w:t>It should produce the following output:</w:t>
      </w:r>
    </w:p>
    <w:p>
      <w:pPr>
        <w:pStyle w:val="Normal"/>
      </w:pPr>
      <w:r>
        <w:t>clevis</w:t>
      </w:r>
    </w:p>
    <w:p>
      <w:pPr>
        <w:pStyle w:val="Normal"/>
      </w:pPr>
      <w:r>
        <w:t>clevis-pin-null</w:t>
      </w:r>
    </w:p>
    <w:p>
      <w:pPr>
        <w:pStyle w:val="Normal"/>
      </w:pPr>
      <w:r>
        <w:t>clevis-pin-sss</w:t>
      </w:r>
    </w:p>
    <w:p>
      <w:pPr>
        <w:pStyle w:val="Normal"/>
      </w:pPr>
      <w:r>
        <w:t>clevis-pin-tang</w:t>
      </w:r>
    </w:p>
    <w:p>
      <w:pPr>
        <w:pStyle w:val="Normal"/>
      </w:pPr>
      <w:r>
        <w:t>clevis-pin-tpm2</w:t>
      </w:r>
    </w:p>
    <w:p>
      <w:pPr>
        <w:pStyle w:val="Para 17"/>
      </w:pPr>
      <w:r>
        <w:t/>
      </w:r>
    </w:p>
    <w:p>
      <w:pPr>
        <w:pStyle w:val="Normal"/>
      </w:pPr>
      <w:r>
        <w:t>You can also verify that a Clevis token exists in the LUKS metadata:</w:t>
      </w:r>
    </w:p>
    <w:p>
      <w:pPr>
        <w:pStyle w:val="Normal"/>
      </w:pPr>
      <w:r>
        <w:t>sudo clevis luks list -d &lt;encrypted_partition&gt;</w:t>
      </w:r>
    </w:p>
    <w:p>
      <w:pPr>
        <w:pStyle w:val="Para 17"/>
      </w:pPr>
      <w:r>
        <w:t/>
      </w:r>
    </w:p>
    <w:p>
      <w:pPr>
        <w:pStyle w:val="Normal"/>
      </w:pPr>
      <w:r>
        <w:t>It should show a TPM pin bound to the device:</w:t>
      </w:r>
    </w:p>
    <w:p>
      <w:pPr>
        <w:pStyle w:val="Normal"/>
      </w:pPr>
      <w:r>
        <w:t>2: tpm2 '{"hash":"sha256","key":"ecc"}'</w:t>
      </w:r>
    </w:p>
    <w:p>
      <w:pPr>
        <w:pStyle w:val="Para 17"/>
      </w:pPr>
      <w:r>
        <w:t/>
      </w:r>
    </w:p>
    <w:p>
      <w:pPr>
        <w:pStyle w:val="Normal"/>
      </w:pPr>
      <w:r>
        <w:t xml:space="preserve">For a lower-level check, inspect LUKS token metadata with </w:t>
      </w:r>
      <w:hyperlink r:id="rId1114">
        <w:r>
          <w:rPr>
            <w:rStyle w:val="Text9"/>
          </w:rPr>
          <w:t>103</w:t>
        </w:r>
      </w:hyperlink>
      <w:hyperlink r:id="rId1114">
        <w:r>
          <w:rPr>
            <w:rStyle w:val="Text1"/>
          </w:rPr>
          <w:t xml:space="preserve"> </w:t>
        </w:r>
      </w:hyperlink>
      <w:hyperlink r:id="rId1114">
        <w:r>
          <w:rPr>
            <w:rStyle w:val="Text2"/>
          </w:rPr>
          <w:t>cryptsetup(8)</w:t>
        </w:r>
      </w:hyperlink>
      <w:r>
        <w:t>:</w:t>
      </w:r>
    </w:p>
    <w:p>
      <w:pPr>
        <w:pStyle w:val="Normal"/>
      </w:pPr>
      <w:r>
        <w:t>sudo cryptsetup luksDump &lt;encrypted_partition&gt; | grep -A2 -i Tokens</w:t>
      </w:r>
    </w:p>
    <w:p>
      <w:pPr>
        <w:pStyle w:val="Para 17"/>
      </w:pPr>
      <w:r>
        <w:t/>
      </w:r>
    </w:p>
    <w:p>
      <w:pPr>
        <w:pStyle w:val="Normal"/>
      </w:pPr>
      <w:r>
        <w:t>It should show the Clevis token and the keyslot it is bound to:</w:t>
      </w:r>
    </w:p>
    <w:p>
      <w:pPr>
        <w:pStyle w:val="Normal"/>
      </w:pPr>
      <w:r>
        <w:t>Tokens:</w:t>
      </w:r>
    </w:p>
    <w:p>
      <w:pPr>
        <w:pStyle w:val="Para 03"/>
      </w:pPr>
      <w:r>
        <w:t>0: clevis</w:t>
      </w:r>
    </w:p>
    <w:p>
      <w:pPr>
        <w:pStyle w:val="Para 06"/>
      </w:pPr>
      <w:r>
        <w:t>Keyslot:</w:t>
        <w:t xml:space="preserve"> </w:t>
        <w:t>2</w:t>
      </w:r>
    </w:p>
    <w:p>
      <w:pPr>
        <w:pStyle w:val="Para 17"/>
      </w:pPr>
      <w:r>
        <w:t/>
      </w:r>
    </w:p>
    <w:p>
      <w:pPr>
        <w:pStyle w:val="Normal"/>
      </w:pPr>
      <w:r>
        <w:t>After rebooting, confirm the root volume unlocks automatically and the system reaches the login prompt without asking for the LUKS passphrase.</w:t>
      </w:r>
    </w:p>
    <w:p>
      <w:pPr>
        <w:pStyle w:val="Para 17"/>
      </w:pPr>
      <w:r>
        <w:t/>
      </w:r>
    </w:p>
    <w:p>
      <w:pPr>
        <w:pStyle w:val="Para 01"/>
      </w:pPr>
      <w:r>
        <w:t>Unlocking secondary disks</w:t>
      </w:r>
    </w:p>
    <w:p>
      <w:pPr>
        <w:pStyle w:val="Para 17"/>
      </w:pPr>
      <w:r>
        <w:t/>
      </w:r>
    </w:p>
    <w:p>
      <w:pPr>
        <w:pStyle w:val="Normal"/>
      </w:pPr>
      <w:r>
        <w:t>If your server has secondary encrypted data disks, you do not need to use dracut to unlock</w:t>
      </w:r>
    </w:p>
    <w:p>
      <w:pPr>
        <w:pStyle w:val="Normal"/>
      </w:pPr>
      <w:r>
        <w:t xml:space="preserve">them, as they are unlocked later in the boot process by </w:t>
      </w:r>
      <w:hyperlink r:id="rId1115">
        <w:r>
          <w:rPr>
            <w:rStyle w:val="Text9"/>
          </w:rPr>
          <w:t>104</w:t>
        </w:r>
      </w:hyperlink>
      <w:hyperlink r:id="rId1115">
        <w:r>
          <w:rPr>
            <w:rStyle w:val="Text1"/>
          </w:rPr>
          <w:t xml:space="preserve"> </w:t>
        </w:r>
      </w:hyperlink>
      <w:hyperlink r:id="rId1115">
        <w:r>
          <w:rPr>
            <w:rStyle w:val="Text2"/>
          </w:rPr>
          <w:t>systemd(1)</w:t>
        </w:r>
      </w:hyperlink>
      <w:r>
        <w:t>.</w:t>
      </w:r>
    </w:p>
    <w:p>
      <w:pPr>
        <w:pStyle w:val="Normal"/>
      </w:pPr>
      <w:r>
        <w:t>To setup automatic unlocking, you must first bind the secondary disk to the TPM. Replace &lt;secondary_encrypted_partition&gt; with your secondary encrypted partition.</w:t>
      </w:r>
    </w:p>
    <w:p>
      <w:pPr>
        <w:pStyle w:val="Normal"/>
      </w:pPr>
      <w:r>
        <w:t>sudo clevis luks</w:t>
        <w:t xml:space="preserve"> </w:t>
        <w:t>bind</w:t>
        <w:t>-d &lt;secondary_encrypted_partition&gt; tpm2</w:t>
        <w:t xml:space="preserve"> </w:t>
        <w:t>'{"pcr_ids": "7"}'</w:t>
      </w:r>
    </w:p>
    <w:p>
      <w:pPr>
        <w:pStyle w:val="Para 17"/>
      </w:pPr>
      <w:r>
        <w:t/>
      </w:r>
    </w:p>
    <w:p>
      <w:pPr>
        <w:pStyle w:val="Normal"/>
      </w:pPr>
      <w:r>
        <w:t>Then, get the UUID of the locked LUKS partition:</w:t>
      </w:r>
    </w:p>
    <w:p>
      <w:pPr>
        <w:pStyle w:val="Normal"/>
      </w:pPr>
      <w:r>
        <w:t>blkid -s UUID -o value &lt;secondary_encrypted_partition&gt;</w:t>
      </w:r>
    </w:p>
    <w:p>
      <w:pPr>
        <w:pStyle w:val="Para 17"/>
      </w:pPr>
      <w:r>
        <w:t/>
      </w:r>
    </w:p>
    <w:p>
      <w:pPr>
        <w:pStyle w:val="Normal"/>
      </w:pPr>
      <w:r>
        <w:t xml:space="preserve">Add the disk to </w:t>
      </w:r>
      <w:hyperlink w:anchor="page_137">
        <w:r>
          <w:rPr>
            <w:rStyle w:val="Text9"/>
          </w:rPr>
          <w:t>105</w:t>
        </w:r>
      </w:hyperlink>
      <w:r>
        <w:t xml:space="preserve"> </w:t>
      </w:r>
      <w:hyperlink r:id="rId1115">
        <w:r>
          <w:rPr>
            <w:rStyle w:val="Text9"/>
          </w:rPr>
          <w:t>106</w:t>
        </w:r>
      </w:hyperlink>
      <w:r>
        <w:t xml:space="preserve"> </w:t>
      </w:r>
      <w:hyperlink r:id="rId1116">
        <w:r>
          <w:rPr>
            <w:rStyle w:val="Text2"/>
          </w:rPr>
          <w:t>crypttab(5)</w:t>
        </w:r>
      </w:hyperlink>
      <w:r>
        <w:t xml:space="preserve"> , using none for the password file so </w:t>
      </w:r>
      <w:hyperlink r:id="rId1115">
        <w:r>
          <w:rPr>
            <w:rStyle w:val="Text2"/>
          </w:rPr>
          <w:t>systemd(1)</w:t>
        </w:r>
      </w:hyperlink>
      <w:r>
        <w:t xml:space="preserve"> automati-cally intercepts the prompt and recognizes the Clevis binding.</w:t>
      </w:r>
    </w:p>
    <w:p>
      <w:pPr>
        <w:pStyle w:val="Normal"/>
      </w:pPr>
      <w:r>
        <w:t>data_vol UUID</w:t>
        <w:t>=&lt;</w:t>
        <w:t>UUID</w:t>
        <w:t>&gt;</w:t>
        <w:t xml:space="preserve"> </w:t>
        <w:t>none luks</w:t>
      </w:r>
    </w:p>
    <w:p>
      <w:pPr>
        <w:pStyle w:val="Para 05"/>
      </w:pPr>
      <w:r>
        <w:rPr>
          <w:rStyle w:val="Text5"/>
        </w:rPr>
        <w:t>103</w:t>
      </w:r>
      <w:r>
        <w:rPr>
          <w:rStyle w:val="Text8"/>
        </w:rPr>
        <w:t xml:space="preserve"> </w:t>
      </w:r>
      <w:r>
        <w:t>https://manpages.ubuntu.com/manpages/resolute/man8/cryptsetup.8.html</w:t>
      </w:r>
    </w:p>
    <w:p>
      <w:pPr>
        <w:pStyle w:val="Para 05"/>
      </w:pPr>
      <w:r>
        <w:rPr>
          <w:rStyle w:val="Text5"/>
        </w:rPr>
        <w:t>104</w:t>
      </w:r>
      <w:r>
        <w:rPr>
          <w:rStyle w:val="Text8"/>
        </w:rPr>
        <w:t xml:space="preserve"> </w:t>
      </w:r>
      <w:r>
        <w:t>https://manpages.ubuntu.com/manpages/resolute/man1/systemd.1.html</w:t>
      </w:r>
    </w:p>
    <w:p>
      <w:pPr>
        <w:pStyle w:val="Para 05"/>
      </w:pPr>
      <w:r>
        <w:rPr>
          <w:rStyle w:val="Text5"/>
        </w:rPr>
        <w:t>105</w:t>
      </w:r>
      <w:r>
        <w:rPr>
          <w:rStyle w:val="Text8"/>
        </w:rPr>
        <w:t xml:space="preserve"> </w:t>
      </w:r>
      <w:r>
        <w:t>https://manpages.ubuntu.com/manpages/resolute/man5/crypttab.5.html</w:t>
      </w:r>
    </w:p>
    <w:p>
      <w:pPr>
        <w:pStyle w:val="Para 03"/>
      </w:pPr>
      <w:r>
        <w:rPr>
          <w:rStyle w:val="Text5"/>
        </w:rPr>
        <w:t>106</w:t>
      </w:r>
      <w:r>
        <w:t xml:space="preserve"> </w:t>
      </w:r>
      <w:r>
        <w:rPr>
          <w:rStyle w:val="Text6"/>
        </w:rPr>
        <w:t>https://manpages.ubuntu.com/manpages/resolute/man1/systemd.1.html</w:t>
      </w:r>
      <w:r>
        <w:t xml:space="preserve"> The first field in the /etc/crypttab entry is the name used for the mapped device. In the example above the name is data_vol, so when the LUKS volume is unlocked the decrypted mapper device is exposed at /dev/mapper/data_vol. Add that device (/dev/mapper/data_vol)</w:t>
      </w:r>
    </w:p>
    <w:p>
      <w:bookmarkStart w:id="194" w:name="page_1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0" name="index-138_1.png" descr="index-138_1.png"/>
            <wp:cNvGraphicFramePr>
              <a:graphicFrameLocks noChangeAspect="1"/>
            </wp:cNvGraphicFramePr>
            <a:graphic>
              <a:graphicData uri="http://schemas.openxmlformats.org/drawingml/2006/picture">
                <pic:pic>
                  <pic:nvPicPr>
                    <pic:cNvPr id="0" name="index-138_1.png" descr="index-138_1.png"/>
                    <pic:cNvPicPr/>
                  </pic:nvPicPr>
                  <pic:blipFill>
                    <a:blip r:embed="rId144"/>
                    <a:stretch>
                      <a:fillRect/>
                    </a:stretch>
                  </pic:blipFill>
                  <pic:spPr>
                    <a:xfrm>
                      <a:off x="0" y="0"/>
                      <a:ext cx="914400" cy="266700"/>
                    </a:xfrm>
                    <a:prstGeom prst="rect">
                      <a:avLst/>
                    </a:prstGeom>
                  </pic:spPr>
                </pic:pic>
              </a:graphicData>
            </a:graphic>
          </wp:anchor>
        </w:drawing>
      </w:r>
      <w:bookmarkEnd w:id="194"/>
    </w:p>
    <w:p>
      <w:pPr>
        <w:pStyle w:val="Normal"/>
      </w:pPr>
      <w:r>
        <w:t xml:space="preserve">to </w:t>
      </w:r>
      <w:hyperlink w:anchor="page_138">
        <w:r>
          <w:rPr>
            <w:rStyle w:val="Text9"/>
          </w:rPr>
          <w:t>107</w:t>
        </w:r>
      </w:hyperlink>
      <w:r>
        <w:t xml:space="preserve"> </w:t>
      </w:r>
      <w:hyperlink r:id="rId1117">
        <w:r>
          <w:rPr>
            <w:rStyle w:val="Text2"/>
          </w:rPr>
          <w:t>fstab(5)</w:t>
        </w:r>
      </w:hyperlink>
      <w:r>
        <w:t xml:space="preserve"> as usual.</w:t>
      </w:r>
    </w:p>
    <w:p>
      <w:pPr>
        <w:pStyle w:val="Para 17"/>
      </w:pPr>
      <w:r>
        <w:t/>
      </w:r>
    </w:p>
    <w:p>
      <w:pPr>
        <w:pStyle w:val="Para 01"/>
      </w:pPr>
      <w:r>
        <w:t>Removing a TPM binding</w:t>
      </w:r>
    </w:p>
    <w:p>
      <w:pPr>
        <w:pStyle w:val="Para 17"/>
      </w:pPr>
      <w:r>
        <w:t/>
      </w:r>
    </w:p>
    <w:p>
      <w:pPr>
        <w:pStyle w:val="Normal"/>
      </w:pPr>
      <w:r>
        <w:t>If you need to remove a Clevis binding (for example, if you are decommissioning a server or moving the drive), you can unbind it. First, list the active Clevis tokens to find the correct LUKS slot:</w:t>
      </w:r>
    </w:p>
    <w:p>
      <w:pPr>
        <w:pStyle w:val="Normal"/>
      </w:pPr>
      <w:r>
        <w:t>sudo clevis luks list -d &lt;encrypted_partition&gt;</w:t>
      </w:r>
    </w:p>
    <w:p>
      <w:pPr>
        <w:pStyle w:val="Para 17"/>
      </w:pPr>
      <w:r>
        <w:t/>
      </w:r>
    </w:p>
    <w:p>
      <w:pPr>
        <w:pStyle w:val="Normal"/>
      </w:pPr>
      <w:r>
        <w:t>Then, unbind the specific slot (replacing 1 with the slot number identified above).</w:t>
      </w:r>
    </w:p>
    <w:p>
      <w:pPr>
        <w:pStyle w:val="Normal"/>
      </w:pPr>
      <w:r>
        <w:t>sudo clevis luks unbind -d &lt;encrypted_partition&gt; -s</w:t>
        <w:t xml:space="preserve"> </w:t>
        <w:t>1</w:t>
      </w:r>
    </w:p>
    <w:p>
      <w:pPr>
        <w:pStyle w:val="Para 17"/>
      </w:pPr>
      <w:r>
        <w:t/>
      </w:r>
    </w:p>
    <w:p>
      <w:pPr>
        <w:pStyle w:val="Para 01"/>
      </w:pPr>
      <w:r>
        <w:t>Authentication</w:t>
      </w:r>
    </w:p>
    <w:p>
      <w:pPr>
        <w:pStyle w:val="Para 17"/>
      </w:pPr>
      <w:r>
        <w:t/>
      </w:r>
    </w:p>
    <w:p>
      <w:pPr>
        <w:pStyle w:val="Normal"/>
      </w:pPr>
      <w:r>
        <w:t>These tools are particularly useful for more advanced or complex setups.</w:t>
      </w:r>
    </w:p>
    <w:p>
      <w:pPr>
        <w:pStyle w:val="Para 04"/>
      </w:pPr>
      <w:r>
        <w:t xml:space="preserve">• </w:t>
      </w:r>
      <w:hyperlink w:anchor="page_138">
        <w:r>
          <w:rPr>
            <w:rStyle w:val="Text2"/>
          </w:rPr>
          <w:t>Kerberos</w:t>
        </w:r>
      </w:hyperlink>
      <w:r>
        <w:t xml:space="preserve"> (page 137) is a network authentication protocol providing identity verification</w:t>
      </w:r>
    </w:p>
    <w:p>
      <w:pPr>
        <w:pStyle w:val="Para 02"/>
      </w:pPr>
      <w:r>
        <w:t>for distributed systems</w:t>
      </w:r>
    </w:p>
    <w:p>
      <w:pPr>
        <w:pStyle w:val="Para 04"/>
      </w:pPr>
      <w:r>
        <w:t xml:space="preserve">• </w:t>
      </w:r>
      <w:hyperlink w:anchor="page_158">
        <w:r>
          <w:rPr>
            <w:rStyle w:val="Text2"/>
          </w:rPr>
          <w:t>Network user authentication with SSSD</w:t>
        </w:r>
      </w:hyperlink>
      <w:r>
        <w:t xml:space="preserve"> (page 157) handles authentication, user/group</w:t>
      </w:r>
    </w:p>
    <w:p>
      <w:pPr>
        <w:pStyle w:val="Para 02"/>
      </w:pPr>
      <w:r>
        <w:t>information and authorisation from disparate network sources</w:t>
      </w:r>
    </w:p>
    <w:p>
      <w:pPr>
        <w:pStyle w:val="Para 04"/>
      </w:pPr>
      <w:r>
        <w:t xml:space="preserve">• </w:t>
      </w:r>
      <w:hyperlink w:anchor="page_175">
        <w:r>
          <w:rPr>
            <w:rStyle w:val="Text2"/>
          </w:rPr>
          <w:t>Smart card authentication</w:t>
        </w:r>
      </w:hyperlink>
      <w:r>
        <w:t xml:space="preserve"> (page 174) provides a physical authentication method</w:t>
      </w:r>
    </w:p>
    <w:p>
      <w:pPr>
        <w:pStyle w:val="Para 17"/>
      </w:pPr>
      <w:r>
        <w:t/>
      </w:r>
    </w:p>
    <w:p>
      <w:pPr>
        <w:pStyle w:val="Para 01"/>
      </w:pPr>
      <w:r>
        <w:t>Kerberos</w:t>
      </w:r>
    </w:p>
    <w:p>
      <w:pPr>
        <w:pStyle w:val="Para 17"/>
      </w:pPr>
      <w:r>
        <w:t/>
      </w:r>
    </w:p>
    <w:p>
      <w:pPr>
        <w:pStyle w:val="Normal"/>
      </w:pPr>
      <w:r>
        <w:t>This section assumes you have some familiarity with the terms and concepts used in Kerberos.</w:t>
      </w:r>
    </w:p>
    <w:p>
      <w:pPr>
        <w:pStyle w:val="Normal"/>
      </w:pPr>
      <w:r>
        <w:t xml:space="preserve">You will need a properly configured DNS server set up before you begin. See the </w:t>
      </w:r>
      <w:hyperlink w:anchor="page_240">
        <w:r>
          <w:rPr>
            <w:rStyle w:val="Text2"/>
          </w:rPr>
          <w:t>Domain</w:t>
        </w:r>
      </w:hyperlink>
    </w:p>
    <w:p>
      <w:pPr>
        <w:pStyle w:val="Normal"/>
      </w:pPr>
      <w:hyperlink w:anchor="page_240">
        <w:r>
          <w:rPr>
            <w:rStyle w:val="Text2"/>
          </w:rPr>
          <w:t>Name Service (DNS)</w:t>
        </w:r>
      </w:hyperlink>
      <w:r>
        <w:t xml:space="preserve"> (page 239) page for instructions on how to set this up.</w:t>
      </w:r>
    </w:p>
    <w:p>
      <w:pPr>
        <w:pStyle w:val="Normal"/>
      </w:pPr>
      <w:r>
        <w:t>We recommend following this set of how-to guides in the order presented for best results.</w:t>
      </w:r>
    </w:p>
    <w:p>
      <w:pPr>
        <w:pStyle w:val="Para 17"/>
      </w:pPr>
      <w:r>
        <w:t/>
      </w:r>
    </w:p>
    <w:p>
      <w:pPr>
        <w:pStyle w:val="Para 01"/>
      </w:pPr>
      <w:r>
        <w:t>How to install a Kerberos server</w:t>
      </w:r>
    </w:p>
    <w:p>
      <w:pPr>
        <w:pStyle w:val="Para 17"/>
      </w:pPr>
      <w:r>
        <w:t/>
      </w:r>
    </w:p>
    <w:p>
      <w:pPr>
        <w:pStyle w:val="Normal"/>
      </w:pPr>
      <w:r>
        <w:t>For this discussion, we will create an MIT Kerberos domain with the following features (edit them to fit your needs):</w:t>
      </w:r>
    </w:p>
    <w:p>
      <w:pPr>
        <w:pStyle w:val="Para 04"/>
      </w:pPr>
      <w:r>
        <w:t xml:space="preserve">• </w:t>
      </w:r>
      <w:r>
        <w:rPr>
          <w:rStyle w:val="Text0"/>
        </w:rPr>
        <w:t>Realm</w:t>
      </w:r>
      <w:r>
        <w:t>: EXAMPLE.COM</w:t>
      </w:r>
    </w:p>
    <w:p>
      <w:pPr>
        <w:pStyle w:val="Para 04"/>
      </w:pPr>
      <w:r>
        <w:t xml:space="preserve">• </w:t>
      </w:r>
      <w:r>
        <w:rPr>
          <w:rStyle w:val="Text0"/>
        </w:rPr>
        <w:t>Primary KDC</w:t>
      </w:r>
      <w:r>
        <w:t>: kdc01.example.com</w:t>
      </w:r>
    </w:p>
    <w:p>
      <w:pPr>
        <w:pStyle w:val="Para 04"/>
      </w:pPr>
      <w:r>
        <w:t xml:space="preserve">• </w:t>
      </w:r>
      <w:r>
        <w:rPr>
          <w:rStyle w:val="Text0"/>
        </w:rPr>
        <w:t>Secondary KDC</w:t>
      </w:r>
      <w:r>
        <w:t>: kdc02.example.com</w:t>
      </w:r>
    </w:p>
    <w:p>
      <w:pPr>
        <w:pStyle w:val="Para 28"/>
      </w:pPr>
      <w:r>
        <w:rPr>
          <w:rStyle w:val="Text0"/>
        </w:rPr>
        <w:t xml:space="preserve">• </w:t>
      </w:r>
      <w:r>
        <w:t>User principal</w:t>
      </w:r>
      <w:r>
        <w:rPr>
          <w:rStyle w:val="Text0"/>
        </w:rPr>
        <w:t>: ubuntu</w:t>
      </w:r>
    </w:p>
    <w:p>
      <w:pPr>
        <w:pStyle w:val="Para 05"/>
      </w:pPr>
      <w:r>
        <w:rPr>
          <w:rStyle w:val="Text5"/>
        </w:rPr>
        <w:t>107</w:t>
      </w:r>
      <w:r>
        <w:rPr>
          <w:rStyle w:val="Text8"/>
        </w:rPr>
        <w:t xml:space="preserve"> </w:t>
      </w:r>
      <w:r>
        <w:t>https://manpages.ubuntu.com/manpages/resolute/man5/fstab.5.html</w:t>
      </w:r>
    </w:p>
    <w:p>
      <w:bookmarkStart w:id="195" w:name="page_1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1"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145"/>
                    <a:stretch>
                      <a:fillRect/>
                    </a:stretch>
                  </pic:blipFill>
                  <pic:spPr>
                    <a:xfrm>
                      <a:off x="0" y="0"/>
                      <a:ext cx="914400" cy="266700"/>
                    </a:xfrm>
                    <a:prstGeom prst="rect">
                      <a:avLst/>
                    </a:prstGeom>
                  </pic:spPr>
                </pic:pic>
              </a:graphicData>
            </a:graphic>
          </wp:anchor>
        </w:drawing>
      </w:r>
      <w:bookmarkEnd w:id="195"/>
    </w:p>
    <w:p>
      <w:pPr>
        <w:pStyle w:val="Para 04"/>
      </w:pPr>
      <w:r>
        <w:t xml:space="preserve">• </w:t>
      </w:r>
      <w:r>
        <w:rPr>
          <w:rStyle w:val="Text0"/>
        </w:rPr>
        <w:t>Admin principal</w:t>
      </w:r>
      <w:r>
        <w:t>: ubuntu/admin</w:t>
      </w:r>
    </w:p>
    <w:p>
      <w:pPr>
        <w:pStyle w:val="Para 17"/>
      </w:pPr>
      <w:r>
        <w:t/>
      </w:r>
    </w:p>
    <w:p>
      <w:pPr>
        <w:pStyle w:val="Para 01"/>
      </w:pPr>
      <w:r>
        <w:t>Prerequisites</w:t>
      </w:r>
    </w:p>
    <w:p>
      <w:pPr>
        <w:pStyle w:val="Para 17"/>
      </w:pPr>
      <w:r>
        <w:t/>
      </w:r>
    </w:p>
    <w:p>
      <w:pPr>
        <w:pStyle w:val="Normal"/>
      </w:pPr>
      <w:r>
        <w:t xml:space="preserve">Before installing the Kerberos server, a properly configured </w:t>
      </w:r>
      <w:hyperlink w:anchor="page_679">
        <w:r>
          <w:rPr>
            <w:rStyle w:val="Text2"/>
          </w:rPr>
          <w:t>DNS</w:t>
        </w:r>
      </w:hyperlink>
      <w:r>
        <w:t xml:space="preserve"> server is needed for your domain. Since the Kerberos realm (by convention) matches the domain name, this section</w:t>
      </w:r>
    </w:p>
    <w:p>
      <w:pPr>
        <w:pStyle w:val="Normal"/>
      </w:pPr>
      <w:r>
        <w:t xml:space="preserve">uses the EXAMPLE.COM domain configured in the primary server section of the </w:t>
      </w:r>
      <w:hyperlink w:anchor="page_240">
        <w:r>
          <w:rPr>
            <w:rStyle w:val="Text2"/>
          </w:rPr>
          <w:t>DNS documen-</w:t>
        </w:r>
      </w:hyperlink>
    </w:p>
    <w:p>
      <w:pPr>
        <w:pStyle w:val="Normal"/>
      </w:pPr>
      <w:hyperlink w:anchor="page_240">
        <w:r>
          <w:rPr>
            <w:rStyle w:val="Text2"/>
          </w:rPr>
          <w:t>tation</w:t>
        </w:r>
      </w:hyperlink>
      <w:r>
        <w:t xml:space="preserve"> (page 239).</w:t>
      </w:r>
    </w:p>
    <w:p>
      <w:pPr>
        <w:pStyle w:val="Normal"/>
      </w:pPr>
      <w:r>
        <w:t>Also, Kerberos is a time sensitive protocol. If the local system time between a client machine and the server differs by more than five minutes (by default), the workstation will not be able to authenticate. To correct the problem all hosts should have their time synchronized</w:t>
      </w:r>
    </w:p>
    <w:p>
      <w:pPr>
        <w:pStyle w:val="Normal"/>
      </w:pPr>
      <w:r>
        <w:t xml:space="preserve">using the same Network Time Protocol (NTP) server. Check out the </w:t>
      </w:r>
      <w:hyperlink w:anchor="page_826">
        <w:r>
          <w:rPr>
            <w:rStyle w:val="Text2"/>
          </w:rPr>
          <w:t>NTP chapter</w:t>
        </w:r>
      </w:hyperlink>
      <w:r>
        <w:t xml:space="preserve"> (page 825) for more details.</w:t>
      </w:r>
    </w:p>
    <w:p>
      <w:pPr>
        <w:pStyle w:val="Para 17"/>
      </w:pPr>
      <w:r>
        <w:t/>
      </w:r>
    </w:p>
    <w:p>
      <w:pPr>
        <w:pStyle w:val="Para 01"/>
      </w:pPr>
      <w:r>
        <w:t>Install the Kerberos packages</w:t>
      </w:r>
    </w:p>
    <w:p>
      <w:pPr>
        <w:pStyle w:val="Para 17"/>
      </w:pPr>
      <w:r>
        <w:t/>
      </w:r>
    </w:p>
    <w:p>
      <w:pPr>
        <w:pStyle w:val="Normal"/>
      </w:pPr>
      <w:r>
        <w:t>The first step in creating a Kerberos realm is to install the krb5-kdc and krb5-admin-server packages. From a terminal enter:</w:t>
      </w:r>
    </w:p>
    <w:p>
      <w:pPr>
        <w:pStyle w:val="Normal"/>
      </w:pPr>
      <w:r>
        <w:t>sudo apt install krb5-kdc krb5-admin-server</w:t>
      </w:r>
    </w:p>
    <w:p>
      <w:pPr>
        <w:pStyle w:val="Para 17"/>
      </w:pPr>
      <w:r>
        <w:t/>
      </w:r>
    </w:p>
    <w:p>
      <w:pPr>
        <w:pStyle w:val="Normal"/>
      </w:pPr>
      <w:r>
        <w:t xml:space="preserve">You will be asked at the end of the install to supply the </w:t>
      </w:r>
      <w:hyperlink w:anchor="page_688">
        <w:r>
          <w:rPr>
            <w:rStyle w:val="Text2"/>
          </w:rPr>
          <w:t>hostname</w:t>
        </w:r>
      </w:hyperlink>
      <w:r>
        <w:t xml:space="preserve"> for the Kerberos and Admin servers for the realm, which may or may not be the same server. Since we are going to create the realm, and thus these servers, type in the full hostname of this server.</w:t>
      </w:r>
    </w:p>
    <w:p>
      <w:pPr>
        <w:pStyle w:val="Para 17"/>
      </w:pPr>
      <w:r>
        <w:t/>
      </w:r>
    </w:p>
    <w:p>
      <w:pPr>
        <w:pStyle w:val="Para 08"/>
      </w:pPr>
      <w:r>
        <w:t>Note:</w:t>
      </w:r>
    </w:p>
    <w:p>
      <w:pPr>
        <w:pStyle w:val="Para 03"/>
      </w:pPr>
      <w:r>
        <w:t>By default the realm name will be domain name of the Key Distribution Center (KDC)</w:t>
      </w:r>
    </w:p>
    <w:p>
      <w:pPr>
        <w:pStyle w:val="Para 03"/>
      </w:pPr>
      <w:r>
        <w:t>server.</w:t>
      </w:r>
    </w:p>
    <w:p>
      <w:pPr>
        <w:pStyle w:val="Normal"/>
      </w:pPr>
      <w:r>
        <w:t>Next, create the new realm with the kdb5_newrealm utility:</w:t>
      </w:r>
    </w:p>
    <w:p>
      <w:pPr>
        <w:pStyle w:val="Normal"/>
      </w:pPr>
      <w:r>
        <w:t>sudo krb5_newrealm</w:t>
      </w:r>
    </w:p>
    <w:p>
      <w:pPr>
        <w:pStyle w:val="Para 17"/>
      </w:pPr>
      <w:r>
        <w:t/>
      </w:r>
    </w:p>
    <w:p>
      <w:pPr>
        <w:pStyle w:val="Normal"/>
      </w:pPr>
      <w:r>
        <w:t>It will ask you for a database password, which is used to encrypt the local database. Chose a secure password: its strength is not verified for you.</w:t>
      </w:r>
    </w:p>
    <w:p>
      <w:pPr>
        <w:pStyle w:val="Para 17"/>
      </w:pPr>
      <w:r>
        <w:t/>
      </w:r>
    </w:p>
    <w:p>
      <w:pPr>
        <w:pStyle w:val="Para 01"/>
      </w:pPr>
      <w:r>
        <w:t>Configure the Kerberos server</w:t>
      </w:r>
    </w:p>
    <w:p>
      <w:pPr>
        <w:pStyle w:val="Para 17"/>
      </w:pPr>
      <w:r>
        <w:t/>
      </w:r>
    </w:p>
    <w:p>
      <w:pPr>
        <w:pStyle w:val="Normal"/>
      </w:pPr>
      <w:r>
        <w:t>The questions asked during installation are used to configure the /etc/krb5.conf and /etc/ krb5kdc/kdc.conf files. The former is used by the Kerberos 5 libraries, and the latter config-ures the KDC. If you need to adjust the KDC settings, edit the file and restart the krb5-kdc daemon. If you need to reconfigure Kerberos from scratch, perhaps to change the realm name, you can do so by typing:</w:t>
      </w:r>
    </w:p>
    <w:p>
      <w:pPr>
        <w:pStyle w:val="Normal"/>
      </w:pPr>
      <w:r>
        <w:t>sudo dpkg-reconfigure krb5-kdc</w:t>
      </w:r>
    </w:p>
    <w:p>
      <w:bookmarkStart w:id="196" w:name="page_1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2" name="index-140_1.png" descr="index-140_1.png"/>
            <wp:cNvGraphicFramePr>
              <a:graphicFrameLocks noChangeAspect="1"/>
            </wp:cNvGraphicFramePr>
            <a:graphic>
              <a:graphicData uri="http://schemas.openxmlformats.org/drawingml/2006/picture">
                <pic:pic>
                  <pic:nvPicPr>
                    <pic:cNvPr id="0" name="index-140_1.png" descr="index-140_1.png"/>
                    <pic:cNvPicPr/>
                  </pic:nvPicPr>
                  <pic:blipFill>
                    <a:blip r:embed="rId146"/>
                    <a:stretch>
                      <a:fillRect/>
                    </a:stretch>
                  </pic:blipFill>
                  <pic:spPr>
                    <a:xfrm>
                      <a:off x="0" y="0"/>
                      <a:ext cx="914400" cy="266700"/>
                    </a:xfrm>
                    <a:prstGeom prst="rect">
                      <a:avLst/>
                    </a:prstGeom>
                  </pic:spPr>
                </pic:pic>
              </a:graphicData>
            </a:graphic>
          </wp:anchor>
        </w:drawing>
      </w:r>
      <w:bookmarkEnd w:id="196"/>
    </w:p>
    <w:p>
      <w:pPr>
        <w:pStyle w:val="Para 08"/>
      </w:pPr>
      <w:r>
        <w:t>Note:</w:t>
      </w:r>
    </w:p>
    <w:p>
      <w:pPr>
        <w:pStyle w:val="Para 03"/>
      </w:pPr>
      <w:r>
        <w:t>The manual page for krb5.conf is in the krb5-doc package.</w:t>
      </w:r>
    </w:p>
    <w:p>
      <w:pPr>
        <w:pStyle w:val="Para 17"/>
      </w:pPr>
      <w:r>
        <w:t/>
      </w:r>
    </w:p>
    <w:p>
      <w:pPr>
        <w:pStyle w:val="Normal"/>
      </w:pPr>
      <w:r>
        <w:t>Let’s create our first principal. Since there is no principal create yet, we need to use kadmin. local, which uses a local UNIX socket to talk to the KDC, and requires root privileges:</w:t>
      </w:r>
    </w:p>
    <w:p>
      <w:pPr>
        <w:pStyle w:val="Normal"/>
      </w:pPr>
      <w:r>
        <w:t>$ sudo kadmin.local</w:t>
      </w:r>
    </w:p>
    <w:p>
      <w:pPr>
        <w:pStyle w:val="Normal"/>
      </w:pPr>
      <w:r>
        <w:t>Authenticating as principal root/admin@EXAMPLE.COM with password.</w:t>
        <w:t xml:space="preserve"> </w:t>
        <w:t>kadmin.local: addprinc ubuntu</w:t>
      </w:r>
    </w:p>
    <w:p>
      <w:pPr>
        <w:pStyle w:val="Normal"/>
      </w:pPr>
      <w:r>
        <w:t>WARNING: no policy specified</w:t>
        <w:t xml:space="preserve"> </w:t>
      </w:r>
      <w:r>
        <w:rPr>
          <w:rStyle w:val="Text0"/>
        </w:rPr>
        <w:t>for</w:t>
      </w:r>
      <w:r>
        <w:t xml:space="preserve"> </w:t>
        <w:t>ubuntu@EXAMPLE.COM; defaulting to no policy</w:t>
        <w:t xml:space="preserve"> </w:t>
        <w:t>Enter password</w:t>
        <w:t xml:space="preserve"> </w:t>
      </w:r>
      <w:r>
        <w:rPr>
          <w:rStyle w:val="Text0"/>
        </w:rPr>
        <w:t>for</w:t>
      </w:r>
      <w:r>
        <w:t xml:space="preserve"> </w:t>
        <w:t>principal</w:t>
        <w:t xml:space="preserve"> </w:t>
        <w:t>"ubuntu@EXAMPLE.COM"</w:t>
        <w:t>:</w:t>
        <w:t xml:space="preserve"> </w:t>
        <w:t>Re-enter password</w:t>
        <w:t xml:space="preserve"> </w:t>
      </w:r>
      <w:r>
        <w:rPr>
          <w:rStyle w:val="Text0"/>
        </w:rPr>
        <w:t>for</w:t>
      </w:r>
      <w:r>
        <w:t xml:space="preserve"> </w:t>
        <w:t>principal</w:t>
        <w:t xml:space="preserve"> </w:t>
        <w:t>"ubuntu@EXAMPLE.COM"</w:t>
        <w:t>:</w:t>
        <w:t xml:space="preserve"> </w:t>
        <w:t>Principal</w:t>
        <w:t xml:space="preserve"> </w:t>
        <w:t>"ubuntu@EXAMPLE.COM"</w:t>
        <w:t xml:space="preserve"> </w:t>
        <w:t>created.</w:t>
      </w:r>
    </w:p>
    <w:p>
      <w:pPr>
        <w:pStyle w:val="Normal"/>
      </w:pPr>
      <w:r>
        <w:t>kadmin.local: quit</w:t>
      </w:r>
    </w:p>
    <w:p>
      <w:pPr>
        <w:pStyle w:val="Para 17"/>
      </w:pPr>
      <w:r>
        <w:t/>
      </w:r>
    </w:p>
    <w:p>
      <w:pPr>
        <w:pStyle w:val="Normal"/>
      </w:pPr>
      <w:r>
        <w:t xml:space="preserve">To be able to use kadmin remotely, we should create an </w:t>
      </w:r>
      <w:r>
        <w:rPr>
          <w:rStyle w:val="Text0"/>
        </w:rPr>
        <w:t>admin principal</w:t>
      </w:r>
      <w:r>
        <w:t>. Convention suggests</w:t>
      </w:r>
    </w:p>
    <w:p>
      <w:pPr>
        <w:pStyle w:val="Normal"/>
      </w:pPr>
      <w:r>
        <w:t xml:space="preserve">it should be an </w:t>
      </w:r>
      <w:r>
        <w:rPr>
          <w:rStyle w:val="Text0"/>
        </w:rPr>
        <w:t>admin instance</w:t>
      </w:r>
      <w:r>
        <w:t>, as that also makes creating a generic Access Control List (</w:t>
      </w:r>
      <w:hyperlink w:anchor="page_668">
        <w:r>
          <w:rPr>
            <w:rStyle w:val="Text2"/>
          </w:rPr>
          <w:t>ACL</w:t>
        </w:r>
      </w:hyperlink>
      <w:hyperlink w:anchor="page_668">
        <w:r>
          <w:rPr>
            <w:rStyle w:val="Text1"/>
          </w:rPr>
          <w:t>)</w:t>
        </w:r>
      </w:hyperlink>
      <w:r>
        <w:t xml:space="preserve"> easier. Let’s create an admin instance for the ubuntu principal:</w:t>
      </w:r>
    </w:p>
    <w:p>
      <w:pPr>
        <w:pStyle w:val="Normal"/>
      </w:pPr>
      <w:r>
        <w:t>$ sudo kadmin.local</w:t>
      </w:r>
    </w:p>
    <w:p>
      <w:pPr>
        <w:pStyle w:val="Normal"/>
      </w:pPr>
      <w:r>
        <w:t>Authenticating as principal root/admin@EXAMPLE.COM with password.</w:t>
        <w:t xml:space="preserve"> </w:t>
        <w:t>kadmin.local: addprinc ubuntu/admin</w:t>
      </w:r>
    </w:p>
    <w:p>
      <w:pPr>
        <w:pStyle w:val="Normal"/>
      </w:pPr>
      <w:r>
        <w:t>WARNING: no policy specified</w:t>
        <w:t xml:space="preserve"> </w:t>
      </w:r>
      <w:r>
        <w:rPr>
          <w:rStyle w:val="Text0"/>
        </w:rPr>
        <w:t>for</w:t>
      </w:r>
      <w:r>
        <w:t xml:space="preserve"> </w:t>
        <w:t>ubuntu/admin@EXAMPLE.COM; defaulting to no policy</w:t>
        <w:t xml:space="preserve"> </w:t>
        <w:t>Enter password</w:t>
        <w:t xml:space="preserve"> </w:t>
      </w:r>
      <w:r>
        <w:rPr>
          <w:rStyle w:val="Text0"/>
        </w:rPr>
        <w:t>for</w:t>
      </w:r>
      <w:r>
        <w:t xml:space="preserve"> </w:t>
        <w:t>principal</w:t>
        <w:t xml:space="preserve"> </w:t>
        <w:t>"ubuntu/admin@EXAMPLE.COM"</w:t>
        <w:t>:</w:t>
        <w:t xml:space="preserve"> </w:t>
        <w:t>Re-enter password</w:t>
        <w:t xml:space="preserve"> </w:t>
      </w:r>
      <w:r>
        <w:rPr>
          <w:rStyle w:val="Text0"/>
        </w:rPr>
        <w:t>for</w:t>
      </w:r>
      <w:r>
        <w:t xml:space="preserve"> </w:t>
        <w:t>principal</w:t>
        <w:t xml:space="preserve"> </w:t>
        <w:t>"ubuntu/admin@EXAMPLE.COM"</w:t>
        <w:t>:</w:t>
        <w:t xml:space="preserve"> </w:t>
        <w:t>Principal</w:t>
        <w:t xml:space="preserve"> </w:t>
        <w:t>"ubuntu/admin@EXAMPLE.COM"</w:t>
        <w:t xml:space="preserve"> </w:t>
        <w:t>created.</w:t>
        <w:t xml:space="preserve"> </w:t>
        <w:t>kadmin.local: quit</w:t>
      </w:r>
    </w:p>
    <w:p>
      <w:pPr>
        <w:pStyle w:val="Para 17"/>
      </w:pPr>
      <w:r>
        <w:t/>
      </w:r>
    </w:p>
    <w:p>
      <w:pPr>
        <w:pStyle w:val="Normal"/>
      </w:pPr>
      <w:r>
        <w:t>Next, the new admin principal needs to have the appropriate ACL permissions. The permis-sions are configured in the /etc/krb5kdc/kadm5.acl file:</w:t>
      </w:r>
    </w:p>
    <w:p>
      <w:pPr>
        <w:pStyle w:val="Normal"/>
      </w:pPr>
      <w:r>
        <w:t>ubuntu/admin@EXAMPLE.COM</w:t>
        <w:t xml:space="preserve"> </w:t>
        <w:t>*</w:t>
      </w:r>
    </w:p>
    <w:p>
      <w:pPr>
        <w:pStyle w:val="Para 17"/>
      </w:pPr>
      <w:r>
        <w:t/>
      </w:r>
    </w:p>
    <w:p>
      <w:pPr>
        <w:pStyle w:val="Normal"/>
      </w:pPr>
      <w:r>
        <w:t>You can also use a more generic form for this ACL:</w:t>
      </w:r>
    </w:p>
    <w:p>
      <w:pPr>
        <w:pStyle w:val="Normal"/>
      </w:pPr>
      <w:r>
        <w:t>*/admin@EXAMPLE.COM</w:t>
        <w:t xml:space="preserve"> </w:t>
        <w:t>*</w:t>
      </w:r>
    </w:p>
    <w:p>
      <w:pPr>
        <w:pStyle w:val="Para 17"/>
      </w:pPr>
      <w:r>
        <w:t/>
      </w:r>
    </w:p>
    <w:p>
      <w:pPr>
        <w:pStyle w:val="Normal"/>
      </w:pPr>
      <w:r>
        <w:t xml:space="preserve">The above will grant all privileges to any admin instance of a principal. See the </w:t>
      </w:r>
      <w:hyperlink r:id="rId1118">
        <w:r>
          <w:rPr>
            <w:rStyle w:val="Text2"/>
          </w:rPr>
          <w:t>kadm5.</w:t>
        </w:r>
      </w:hyperlink>
    </w:p>
    <w:p>
      <w:pPr>
        <w:pStyle w:val="Normal"/>
      </w:pPr>
      <w:hyperlink r:id="rId1118">
        <w:r>
          <w:rPr>
            <w:rStyle w:val="Text2"/>
          </w:rPr>
          <w:t>acl(5)</w:t>
        </w:r>
      </w:hyperlink>
      <w:hyperlink w:anchor="page_140">
        <w:r>
          <w:rPr>
            <w:rStyle w:val="Text9"/>
          </w:rPr>
          <w:t>108</w:t>
        </w:r>
      </w:hyperlink>
      <w:r>
        <w:t xml:space="preserve"> manual page for details.</w:t>
      </w:r>
    </w:p>
    <w:p>
      <w:pPr>
        <w:pStyle w:val="Normal"/>
      </w:pPr>
      <w:r>
        <w:t>Now restart the krb5-admin-server for the new ACL to take effect:</w:t>
      </w:r>
    </w:p>
    <w:p>
      <w:pPr>
        <w:pStyle w:val="Normal"/>
      </w:pPr>
      <w:r>
        <w:t>sudo systemctl restart krb5-admin-server.service</w:t>
      </w:r>
    </w:p>
    <w:p>
      <w:pPr>
        <w:pStyle w:val="Para 17"/>
      </w:pPr>
      <w:r>
        <w:t/>
      </w:r>
    </w:p>
    <w:p>
      <w:pPr>
        <w:pStyle w:val="Normal"/>
      </w:pPr>
      <w:r>
        <w:t>The new user principal can be tested using the kinit utility:</w:t>
      </w:r>
    </w:p>
    <w:p>
      <w:pPr>
        <w:pStyle w:val="Normal"/>
      </w:pPr>
      <w:r>
        <w:t>$ kinit ubuntu/admin</w:t>
      </w:r>
    </w:p>
    <w:p>
      <w:pPr>
        <w:pStyle w:val="Normal"/>
      </w:pPr>
      <w:r>
        <w:t>Password</w:t>
        <w:t xml:space="preserve"> </w:t>
      </w:r>
      <w:r>
        <w:rPr>
          <w:rStyle w:val="Text0"/>
        </w:rPr>
        <w:t>for</w:t>
      </w:r>
      <w:r>
        <w:t xml:space="preserve"> </w:t>
        <w:t>ubuntu/admin@EXAMPLE.COM:</w:t>
      </w:r>
    </w:p>
    <w:p>
      <w:pPr>
        <w:pStyle w:val="Para 17"/>
      </w:pPr>
      <w:r>
        <w:t/>
      </w:r>
    </w:p>
    <w:p>
      <w:pPr>
        <w:pStyle w:val="Normal"/>
      </w:pPr>
      <w:r>
        <w:t>After entering the password, use the klist utility to view information about the Ticket Grant-ing Ticket (TGT):</w:t>
      </w:r>
    </w:p>
    <w:p>
      <w:pPr>
        <w:pStyle w:val="Para 17"/>
      </w:pPr>
      <w:r>
        <w:t/>
      </w:r>
    </w:p>
    <w:p>
      <w:pPr>
        <w:pStyle w:val="Para 05"/>
      </w:pPr>
      <w:r>
        <w:rPr>
          <w:rStyle w:val="Text5"/>
        </w:rPr>
        <w:t>108</w:t>
      </w:r>
      <w:r>
        <w:rPr>
          <w:rStyle w:val="Text8"/>
        </w:rPr>
        <w:t xml:space="preserve"> </w:t>
      </w:r>
      <w:r>
        <w:t>https://manpages.ubuntu.com/manpages/resolute/man5/kadm5.acl.5.html</w:t>
      </w:r>
      <w:r>
        <w:rPr>
          <w:rStyle w:val="Text8"/>
        </w:rPr>
        <w:t xml:space="preserve"> </w:t>
        <w:t>$ klist</w:t>
      </w:r>
    </w:p>
    <w:p>
      <w:bookmarkStart w:id="197" w:name="page_1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3"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147"/>
                    <a:stretch>
                      <a:fillRect/>
                    </a:stretch>
                  </pic:blipFill>
                  <pic:spPr>
                    <a:xfrm>
                      <a:off x="0" y="0"/>
                      <a:ext cx="914400" cy="266700"/>
                    </a:xfrm>
                    <a:prstGeom prst="rect">
                      <a:avLst/>
                    </a:prstGeom>
                  </pic:spPr>
                </pic:pic>
              </a:graphicData>
            </a:graphic>
          </wp:anchor>
        </w:drawing>
      </w:r>
      <w:bookmarkEnd w:id="197"/>
    </w:p>
    <w:p>
      <w:pPr>
        <w:pStyle w:val="Normal"/>
      </w:pPr>
      <w:r>
        <w:t>Ticket cache: FILE:/tmp/krb5cc_1000</w:t>
      </w:r>
    </w:p>
    <w:p>
      <w:pPr>
        <w:pStyle w:val="Normal"/>
      </w:pPr>
      <w:r>
        <w:t>Default principal: ubuntu/admin@EXAMPLE.COM</w:t>
      </w:r>
    </w:p>
    <w:p>
      <w:pPr>
        <w:pStyle w:val="Normal"/>
      </w:pPr>
      <w:r>
        <w:t>Valid starting</w:t>
        <w:t xml:space="preserve"> </w:t>
        <w:t>Expires</w:t>
        <w:t xml:space="preserve"> </w:t>
        <w:t>Service principal</w:t>
        <w:t xml:space="preserve"> </w:t>
        <w:t>04</w:t>
        <w:t>/03/20</w:t>
        <w:t xml:space="preserve"> </w:t>
        <w:t>19</w:t>
        <w:t>:16:57</w:t>
        <w:t xml:space="preserve"> </w:t>
        <w:t>04</w:t>
        <w:t>/04/20</w:t>
        <w:t xml:space="preserve"> </w:t>
        <w:t>05</w:t>
        <w:t>:16:57</w:t>
        <w:t xml:space="preserve"> </w:t>
        <w:t>krbtgt/EXAMPLE.COM@EXAMPLE.COM</w:t>
      </w:r>
    </w:p>
    <w:p>
      <w:pPr>
        <w:pStyle w:val="Para 02"/>
      </w:pPr>
      <w:r>
        <w:t>renew</w:t>
        <w:t xml:space="preserve"> </w:t>
      </w:r>
      <w:r>
        <w:rPr>
          <w:rStyle w:val="Text0"/>
        </w:rPr>
        <w:t>until</w:t>
      </w:r>
      <w:r>
        <w:t xml:space="preserve"> </w:t>
        <w:t>04</w:t>
        <w:t>/04/20</w:t>
        <w:t xml:space="preserve"> </w:t>
        <w:t>19</w:t>
        <w:t>:16:55</w:t>
      </w:r>
    </w:p>
    <w:p>
      <w:pPr>
        <w:pStyle w:val="Para 17"/>
      </w:pPr>
      <w:r>
        <w:t/>
      </w:r>
    </w:p>
    <w:p>
      <w:pPr>
        <w:pStyle w:val="Normal"/>
      </w:pPr>
      <w:r>
        <w:t>Where the cache filename krb5cc_1000 is composed of the prefix krb5cc_ and the user id (UID), which in this case is 1000.</w:t>
      </w:r>
    </w:p>
    <w:p>
      <w:pPr>
        <w:pStyle w:val="Normal"/>
      </w:pPr>
      <w:r>
        <w:t>kinit will inspect /etc/krb5.conf to find out which KDC to contact, and the corresponding address. The KDC can also be found via DNS lookups for special TXT and SRV records. You can add these records to your example.com DNS zone:</w:t>
      </w:r>
    </w:p>
    <w:p>
      <w:pPr>
        <w:pStyle w:val="Normal"/>
      </w:pPr>
      <w:r>
        <w:t>_kerberos._udp.EXAMPLE.COM.</w:t>
        <w:t xml:space="preserve"> </w:t>
        <w:t>IN SRV 1</w:t>
        <w:t xml:space="preserve"> </w:t>
        <w:t>0 88</w:t>
        <w:t xml:space="preserve"> </w:t>
        <w:t>kdc01.example.com.</w:t>
        <w:t xml:space="preserve"> </w:t>
        <w:t>_kerberos._tcp.EXAMPLE.COM.</w:t>
        <w:t xml:space="preserve"> </w:t>
        <w:t>IN SRV 1</w:t>
        <w:t xml:space="preserve"> </w:t>
        <w:t>0 88</w:t>
        <w:t xml:space="preserve"> </w:t>
        <w:t>kdc01.example.com.</w:t>
        <w:t xml:space="preserve"> </w:t>
        <w:t>_kerberos._udp.EXAMPLE.COM.</w:t>
        <w:t xml:space="preserve"> </w:t>
        <w:t>IN SRV 10 0 88</w:t>
        <w:t xml:space="preserve"> </w:t>
        <w:t>kdc02.example.com.</w:t>
        <w:t xml:space="preserve"> </w:t>
        <w:t>_kerberos._tcp.EXAMPLE.COM.</w:t>
        <w:t xml:space="preserve"> </w:t>
        <w:t>IN SRV 10 0 88</w:t>
        <w:t xml:space="preserve"> </w:t>
        <w:t>kdc02.example.com.</w:t>
        <w:t xml:space="preserve"> </w:t>
        <w:t>_kerberos-adm._tcp.EXAMPLE.COM. IN SRV 1</w:t>
        <w:t xml:space="preserve"> </w:t>
        <w:t>0 749 kdc01.example.com.</w:t>
        <w:t xml:space="preserve"> </w:t>
        <w:t>_kpasswd._udp.EXAMPLE.COM.</w:t>
        <w:t xml:space="preserve"> </w:t>
        <w:t>IN SRV 1</w:t>
        <w:t xml:space="preserve"> </w:t>
        <w:t>0 464 kdc01.example.com.</w:t>
      </w:r>
    </w:p>
    <w:p>
      <w:pPr>
        <w:pStyle w:val="Para 17"/>
      </w:pPr>
      <w:r>
        <w:t/>
      </w:r>
    </w:p>
    <w:p>
      <w:pPr>
        <w:pStyle w:val="Normal"/>
      </w:pPr>
      <w:r>
        <w:t xml:space="preserve">See the </w:t>
      </w:r>
      <w:hyperlink w:anchor="page_240">
        <w:r>
          <w:rPr>
            <w:rStyle w:val="Text2"/>
          </w:rPr>
          <w:t>DNS chapter</w:t>
        </w:r>
      </w:hyperlink>
      <w:r>
        <w:t xml:space="preserve"> (page 239) for detailed instructions on setting up DNS.</w:t>
      </w:r>
    </w:p>
    <w:p>
      <w:pPr>
        <w:pStyle w:val="Normal"/>
      </w:pPr>
      <w:r>
        <w:t>A very quick and useful way to troubleshoot what kinit is doing is to set the environment variable KRB5_TRACE to a file, or stderr, and it will show extra information. The output is quite verbose:</w:t>
      </w:r>
    </w:p>
    <w:p>
      <w:pPr>
        <w:pStyle w:val="Normal"/>
      </w:pPr>
      <w:r>
        <w:t>$</w:t>
        <w:t xml:space="preserve"> </w:t>
        <w:t>KRB5_TRACE</w:t>
        <w:t>=</w:t>
        <w:t>/dev/stderr kinit ubuntu/admin</w:t>
        <w:t xml:space="preserve"> </w:t>
        <w:t>[</w:t>
        <w:t>2898</w:t>
        <w:t>]</w:t>
        <w:t xml:space="preserve"> </w:t>
        <w:t>1585941845</w:t>
        <w:t>.278578: Getting initial credentials</w:t>
        <w:t xml:space="preserve"> </w:t>
      </w:r>
      <w:r>
        <w:rPr>
          <w:rStyle w:val="Text0"/>
        </w:rPr>
        <w:t>for</w:t>
      </w:r>
      <w:r>
        <w:t xml:space="preserve"> </w:t>
        <w:t>ubuntu/admin@EXAMPLE.COM</w:t>
        <w:t xml:space="preserve"> </w:t>
        <w:t>[</w:t>
        <w:t>2898</w:t>
        <w:t>]</w:t>
        <w:t xml:space="preserve"> </w:t>
        <w:t>1585941845</w:t>
        <w:t>.278580: Sending unauthenticated request</w:t>
        <w:t xml:space="preserve"> </w:t>
        <w:t>[</w:t>
        <w:t>2898</w:t>
        <w:t>]</w:t>
        <w:t xml:space="preserve"> </w:t>
        <w:t>1585941845</w:t>
        <w:t>.278581: Sending request</w:t>
        <w:t xml:space="preserve"> </w:t>
        <w:t>(</w:t>
        <w:t>189</w:t>
        <w:t xml:space="preserve"> </w:t>
        <w:t>bytes</w:t>
        <w:t>)</w:t>
        <w:t xml:space="preserve"> </w:t>
        <w:t>to EXAMPLE.COM</w:t>
        <w:t xml:space="preserve"> </w:t>
        <w:t>[</w:t>
        <w:t>2898</w:t>
        <w:t>]</w:t>
        <w:t xml:space="preserve"> </w:t>
        <w:t>1585941845</w:t>
        <w:t>.278582: Resolving hostname kdc01.example.com</w:t>
        <w:t xml:space="preserve"> </w:t>
        <w:t>(</w:t>
        <w:t>...</w:t>
        <w:t>)</w:t>
      </w:r>
    </w:p>
    <w:p>
      <w:pPr>
        <w:pStyle w:val="Para 17"/>
      </w:pPr>
      <w:r>
        <w:t/>
      </w:r>
    </w:p>
    <w:p>
      <w:pPr>
        <w:pStyle w:val="Normal"/>
      </w:pPr>
      <w:r>
        <w:t>Your new Kerberos realm is now ready to authenticate clients.</w:t>
      </w:r>
    </w:p>
    <w:p>
      <w:pPr>
        <w:pStyle w:val="Para 17"/>
      </w:pPr>
      <w:r>
        <w:t/>
      </w:r>
    </w:p>
    <w:p>
      <w:pPr>
        <w:pStyle w:val="Para 01"/>
      </w:pPr>
      <w:r>
        <w:t>How to configure Kerberos service principals</w:t>
      </w:r>
    </w:p>
    <w:p>
      <w:pPr>
        <w:pStyle w:val="Para 17"/>
      </w:pPr>
      <w:r>
        <w:t/>
      </w:r>
    </w:p>
    <w:p>
      <w:pPr>
        <w:pStyle w:val="Normal"/>
      </w:pPr>
      <w:r>
        <w:t>The specific steps to enable Kerberos for a service can vary, but in general both of the fol-lowing are needed:</w:t>
      </w:r>
    </w:p>
    <w:p>
      <w:pPr>
        <w:pStyle w:val="Para 04"/>
      </w:pPr>
      <w:r>
        <w:t>• A principal for the service – usually service/host@REALM</w:t>
      </w:r>
    </w:p>
    <w:p>
      <w:pPr>
        <w:pStyle w:val="Para 04"/>
      </w:pPr>
      <w:r>
        <w:t>• A keytab accessible to the service wherever it’s running – usually in /etc/krb5.keytab</w:t>
      </w:r>
    </w:p>
    <w:p>
      <w:pPr>
        <w:pStyle w:val="Normal"/>
      </w:pPr>
      <w:r>
        <w:t>For example, let’s create a principal for an LDAP service running on the ldap-server.example. com host:</w:t>
      </w:r>
    </w:p>
    <w:p>
      <w:pPr>
        <w:pStyle w:val="Normal"/>
      </w:pPr>
      <w:r>
        <w:t>ubuntu@ldap-server:~$ sudo kadmin -p ubuntu/admin</w:t>
      </w:r>
    </w:p>
    <w:p>
      <w:pPr>
        <w:pStyle w:val="Normal"/>
      </w:pPr>
      <w:r>
        <w:t>Authenticating as principal ubuntu/admin with password.</w:t>
        <w:t xml:space="preserve"> </w:t>
        <w:t>Password</w:t>
        <w:t xml:space="preserve"> </w:t>
      </w:r>
      <w:r>
        <w:rPr>
          <w:rStyle w:val="Text0"/>
        </w:rPr>
        <w:t>for</w:t>
      </w:r>
      <w:r>
        <w:t xml:space="preserve"> </w:t>
        <w:t>ubuntu/admin@EXAMPLE.COM:</w:t>
      </w:r>
    </w:p>
    <w:p>
      <w:pPr>
        <w:pStyle w:val="Normal"/>
      </w:pPr>
      <w:r>
        <w:t>kadmin:</w:t>
        <w:t xml:space="preserve"> </w:t>
        <w:t>addprinc -randkey ldap/ldap-server.example.com</w:t>
        <w:t xml:space="preserve"> </w:t>
        <w:t>No policy specified</w:t>
        <w:t xml:space="preserve"> </w:t>
      </w:r>
      <w:r>
        <w:rPr>
          <w:rStyle w:val="Text0"/>
        </w:rPr>
        <w:t>for</w:t>
      </w:r>
      <w:r>
        <w:t xml:space="preserve"> </w:t>
        <w:t>ldap/ldap-server.example.com@EXAMPLE.COM; defaulting to no policy</w:t>
        <w:t xml:space="preserve"> </w:t>
        <w:t>Principal</w:t>
        <w:t xml:space="preserve"> </w:t>
        <w:t>"ldap/ldap-server.example.com@EXAMPLE.COM"</w:t>
        <w:t xml:space="preserve"> </w:t>
        <w:t>created.</w:t>
      </w:r>
    </w:p>
    <w:p>
      <w:bookmarkStart w:id="198" w:name="page_1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4" name="index-142_1.png" descr="index-142_1.png"/>
            <wp:cNvGraphicFramePr>
              <a:graphicFrameLocks noChangeAspect="1"/>
            </wp:cNvGraphicFramePr>
            <a:graphic>
              <a:graphicData uri="http://schemas.openxmlformats.org/drawingml/2006/picture">
                <pic:pic>
                  <pic:nvPicPr>
                    <pic:cNvPr id="0" name="index-142_1.png" descr="index-142_1.png"/>
                    <pic:cNvPicPr/>
                  </pic:nvPicPr>
                  <pic:blipFill>
                    <a:blip r:embed="rId148"/>
                    <a:stretch>
                      <a:fillRect/>
                    </a:stretch>
                  </pic:blipFill>
                  <pic:spPr>
                    <a:xfrm>
                      <a:off x="0" y="0"/>
                      <a:ext cx="914400" cy="266700"/>
                    </a:xfrm>
                    <a:prstGeom prst="rect">
                      <a:avLst/>
                    </a:prstGeom>
                  </pic:spPr>
                </pic:pic>
              </a:graphicData>
            </a:graphic>
          </wp:anchor>
        </w:drawing>
      </w:r>
      <w:bookmarkEnd w:id="198"/>
    </w:p>
    <w:p>
      <w:pPr>
        <w:pStyle w:val="Normal"/>
      </w:pPr>
      <w:r>
        <w:t>Let’s dig a bit into what is happening here:</w:t>
      </w:r>
    </w:p>
    <w:p>
      <w:pPr>
        <w:pStyle w:val="Para 04"/>
      </w:pPr>
      <w:r>
        <w:t>• The kadmin command is being run on the ldap-server machine, not on the Key Distribu-</w:t>
      </w:r>
    </w:p>
    <w:p>
      <w:pPr>
        <w:pStyle w:val="Para 02"/>
      </w:pPr>
      <w:r>
        <w:t>tion Center (KDC). We are using kadmin remotely.</w:t>
      </w:r>
    </w:p>
    <w:p>
      <w:pPr>
        <w:pStyle w:val="Para 04"/>
      </w:pPr>
      <w:r>
        <w:t>• It’s being run with sudo. The reason for this will become clear later.</w:t>
      </w:r>
    </w:p>
    <w:p>
      <w:pPr>
        <w:pStyle w:val="Para 04"/>
      </w:pPr>
      <w:r>
        <w:t>• We are logged in on the server as ubuntu, but specifying an ubuntu/admin principal. Re-</w:t>
      </w:r>
    </w:p>
    <w:p>
      <w:pPr>
        <w:pStyle w:val="Para 02"/>
      </w:pPr>
      <w:r>
        <w:t>member the ubuntu principal has no special privileges.</w:t>
      </w:r>
    </w:p>
    <w:p>
      <w:pPr>
        <w:pStyle w:val="Para 04"/>
      </w:pPr>
      <w:r>
        <w:t>• The name of the principal we are creating follows the pattern service/hostname.</w:t>
      </w:r>
    </w:p>
    <w:p>
      <w:pPr>
        <w:pStyle w:val="Para 04"/>
      </w:pPr>
      <w:r>
        <w:t>• In order to select a random secret, we pass the-randkey parameter. Otherwise we</w:t>
      </w:r>
    </w:p>
    <w:p>
      <w:pPr>
        <w:pStyle w:val="Para 02"/>
      </w:pPr>
      <w:r>
        <w:t>would be asked to type in a password.</w:t>
      </w:r>
    </w:p>
    <w:p>
      <w:pPr>
        <w:pStyle w:val="Normal"/>
      </w:pPr>
      <w:r>
        <w:t>With the principal created, we need to extract the key from the KDC and store it in the ldap-server host, so that the ldap service can use it to authenticate itself with the KDC. Still in the same kadmin session:</w:t>
      </w:r>
    </w:p>
    <w:p>
      <w:pPr>
        <w:pStyle w:val="Normal"/>
      </w:pPr>
      <w:r>
        <w:t>kadmin:</w:t>
        <w:t xml:space="preserve"> </w:t>
        <w:t>ktadd ldap/ldap-server.example.com</w:t>
        <w:t xml:space="preserve"> </w:t>
        <w:t>Entry for principal ldap/ldap-server.example.com with kvno 2, encryption type aes256-cts-</w:t>
        <w:t>hmac-sha1-96 added to keytab FILE:/etc/krb5.keytab.</w:t>
      </w:r>
    </w:p>
    <w:p>
      <w:pPr>
        <w:pStyle w:val="Normal"/>
      </w:pPr>
      <w:r>
        <w:t>Entry for principal ldap/ldap-server.example.com with kvno 2, encryption type aes128-cts-</w:t>
        <w:t>hmac-sha1-96 added to keytab FILE:/etc/krb5.keytab.</w:t>
      </w:r>
    </w:p>
    <w:p>
      <w:pPr>
        <w:pStyle w:val="Para 17"/>
      </w:pPr>
      <w:r>
        <w:t/>
      </w:r>
    </w:p>
    <w:p>
      <w:pPr>
        <w:pStyle w:val="Normal"/>
      </w:pPr>
      <w:r>
        <w:t>This is why we needed to run kadmin with sudo: so that it can write to /etc/krb5.keytab. This is the system keytab file, which is the default file for all keys that might be needed for services on this host, and we can list them with klist. Back in the shell:</w:t>
      </w:r>
    </w:p>
    <w:p>
      <w:pPr>
        <w:pStyle w:val="Normal"/>
      </w:pPr>
      <w:r>
        <w:t>$ sudo klist -k</w:t>
      </w:r>
    </w:p>
    <w:p>
      <w:pPr>
        <w:pStyle w:val="Normal"/>
      </w:pPr>
      <w:r>
        <w:t>Keytab name: FILE:/etc/krb5.keytab</w:t>
      </w:r>
    </w:p>
    <w:p>
      <w:pPr>
        <w:pStyle w:val="Normal"/>
      </w:pPr>
      <w:r>
        <w:t>KVNO Principal</w:t>
      </w:r>
    </w:p>
    <w:p>
      <w:pPr>
        <w:pStyle w:val="Normal"/>
      </w:pPr>
      <w:r>
        <w:t>---- --------------------------------------------------------------------------</w:t>
      </w:r>
    </w:p>
    <w:p>
      <w:pPr>
        <w:pStyle w:val="Para 04"/>
      </w:pPr>
      <w:r>
        <w:t>2</w:t>
        <w:t xml:space="preserve"> </w:t>
        <w:t>ldap/ldap-server.example.com@EXAMPLE.COM</w:t>
      </w:r>
    </w:p>
    <w:p>
      <w:pPr>
        <w:pStyle w:val="Para 04"/>
      </w:pPr>
      <w:r>
        <w:t>2</w:t>
        <w:t xml:space="preserve"> </w:t>
        <w:t>ldap/ldap-server.example.com@EXAMPLE.COM</w:t>
      </w:r>
    </w:p>
    <w:p>
      <w:pPr>
        <w:pStyle w:val="Para 17"/>
      </w:pPr>
      <w:r>
        <w:t/>
      </w:r>
    </w:p>
    <w:p>
      <w:pPr>
        <w:pStyle w:val="Normal"/>
      </w:pPr>
      <w:r>
        <w:t xml:space="preserve">If you don’t have the kadmin utility on the target host, one alternative is to extract the keys on a different host and into a different file, and then transfer this file </w:t>
      </w:r>
      <w:r>
        <w:rPr>
          <w:rStyle w:val="Text3"/>
        </w:rPr>
        <w:t>securely</w:t>
      </w:r>
      <w:r>
        <w:t xml:space="preserve"> to the target server. For example:</w:t>
      </w:r>
    </w:p>
    <w:p>
      <w:pPr>
        <w:pStyle w:val="Normal"/>
      </w:pPr>
      <w:r>
        <w:t>kadmin:</w:t>
        <w:t xml:space="preserve"> </w:t>
        <w:t>ktadd -k /home/ubuntu/ldap.keytab ldap/ldap-server.example.com</w:t>
        <w:t xml:space="preserve"> </w:t>
        <w:t>Entry for principal ldap/ldap-server.example.com with kvno 3, encryption type aes256-cts-</w:t>
        <w:t>hmac-sha1-96 added to keytab WRFILE:/home/ubuntu/ldap.keytab.</w:t>
        <w:t xml:space="preserve"> </w:t>
        <w:t>Entry for principal ldap/ldap-server.example.com with kvno 3, encryption type aes128-cts-</w:t>
        <w:t>hmac-sha1-96 added to keytab WRFILE:/home/ubuntu/ldap.keytab.</w:t>
      </w:r>
    </w:p>
    <w:p>
      <w:pPr>
        <w:pStyle w:val="Para 17"/>
      </w:pPr>
      <w:r>
        <w:t/>
      </w:r>
    </w:p>
    <w:p>
      <w:pPr>
        <w:pStyle w:val="Para 08"/>
      </w:pPr>
      <w:r>
        <w:t>Note:</w:t>
      </w:r>
    </w:p>
    <w:p>
      <w:pPr>
        <w:pStyle w:val="Para 03"/>
      </w:pPr>
      <w:r>
        <w:t>Notice how the kvno changed from 2 to 3 in the example above, when using ktadd a second</w:t>
      </w:r>
    </w:p>
    <w:p>
      <w:pPr>
        <w:pStyle w:val="Para 03"/>
      </w:pPr>
      <w:r>
        <w:t>time? This is the key version, and it invalidated the previously extracted key with kvno 2.</w:t>
      </w:r>
    </w:p>
    <w:p>
      <w:pPr>
        <w:pStyle w:val="Para 03"/>
      </w:pPr>
      <w:r>
        <w:t>Every time a key is extracted with ktadd, its version is bumped and that invalidates the</w:t>
      </w:r>
    </w:p>
    <w:p>
      <w:pPr>
        <w:pStyle w:val="Para 03"/>
      </w:pPr>
      <w:r>
        <w:t>previous ones!</w:t>
      </w:r>
    </w:p>
    <w:p>
      <w:pPr>
        <w:pStyle w:val="Para 17"/>
      </w:pPr>
      <w:r>
        <w:t/>
      </w:r>
    </w:p>
    <w:p>
      <w:pPr>
        <w:pStyle w:val="Normal"/>
      </w:pPr>
      <w:r>
        <w:t>In this case, as long as the target location is writable, you don’t even have to run kadmin with sudo.</w:t>
      </w:r>
    </w:p>
    <w:p>
      <w:pPr>
        <w:pStyle w:val="Normal"/>
      </w:pPr>
      <w:r>
        <w:t>Then use scp to transfer it to the target host:</w:t>
      </w:r>
    </w:p>
    <w:p>
      <w:bookmarkStart w:id="199" w:name="page_1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5" name="index-143_1.png" descr="index-143_1.png"/>
            <wp:cNvGraphicFramePr>
              <a:graphicFrameLocks noChangeAspect="1"/>
            </wp:cNvGraphicFramePr>
            <a:graphic>
              <a:graphicData uri="http://schemas.openxmlformats.org/drawingml/2006/picture">
                <pic:pic>
                  <pic:nvPicPr>
                    <pic:cNvPr id="0" name="index-143_1.png" descr="index-143_1.png"/>
                    <pic:cNvPicPr/>
                  </pic:nvPicPr>
                  <pic:blipFill>
                    <a:blip r:embed="rId149"/>
                    <a:stretch>
                      <a:fillRect/>
                    </a:stretch>
                  </pic:blipFill>
                  <pic:spPr>
                    <a:xfrm>
                      <a:off x="0" y="0"/>
                      <a:ext cx="914400" cy="266700"/>
                    </a:xfrm>
                    <a:prstGeom prst="rect">
                      <a:avLst/>
                    </a:prstGeom>
                  </pic:spPr>
                </pic:pic>
              </a:graphicData>
            </a:graphic>
          </wp:anchor>
        </w:drawing>
      </w:r>
      <w:bookmarkEnd w:id="199"/>
    </w:p>
    <w:p>
      <w:pPr>
        <w:pStyle w:val="Normal"/>
      </w:pPr>
      <w:r>
        <w:t>$ scp /home/ubuntu/ldap.keytab ldap-server.example.com:</w:t>
      </w:r>
    </w:p>
    <w:p>
      <w:pPr>
        <w:pStyle w:val="Para 17"/>
      </w:pPr>
      <w:r>
        <w:t/>
      </w:r>
    </w:p>
    <w:p>
      <w:pPr>
        <w:pStyle w:val="Normal"/>
      </w:pPr>
      <w:r>
        <w:t>And over there copy it to /etc/krb5.keytab, making sure it’s mode 0600 and owned by root:root.</w:t>
      </w:r>
    </w:p>
    <w:p>
      <w:pPr>
        <w:pStyle w:val="Para 17"/>
      </w:pPr>
      <w:r>
        <w:t/>
      </w:r>
    </w:p>
    <w:p>
      <w:pPr>
        <w:pStyle w:val="Para 01"/>
      </w:pPr>
      <w:r>
        <w:t>Kerberos encryption types</w:t>
      </w:r>
    </w:p>
    <w:p>
      <w:pPr>
        <w:pStyle w:val="Para 17"/>
      </w:pPr>
      <w:r>
        <w:t/>
      </w:r>
    </w:p>
    <w:p>
      <w:pPr>
        <w:pStyle w:val="Normal"/>
      </w:pPr>
      <w:r>
        <w:t>Encryption is at the heart of Kerberos, and it supports multiple cryptographic algorithms. The default choices are good enough for most deployments, but specific situations might need to tweak these settings.</w:t>
      </w:r>
    </w:p>
    <w:p>
      <w:pPr>
        <w:pStyle w:val="Normal"/>
      </w:pPr>
      <w:r>
        <w:t>This document will explain the basic configuration parameters of Kerberos that control the selection of encryption algorithms used in a Kerberos deployment.</w:t>
      </w:r>
    </w:p>
    <w:p>
      <w:pPr>
        <w:pStyle w:val="Para 17"/>
      </w:pPr>
      <w:r>
        <w:t/>
      </w:r>
    </w:p>
    <w:p>
      <w:pPr>
        <w:pStyle w:val="Para 01"/>
      </w:pPr>
      <w:r>
        <w:t>Server-side configuration</w:t>
      </w:r>
    </w:p>
    <w:p>
      <w:pPr>
        <w:pStyle w:val="Para 17"/>
      </w:pPr>
      <w:r>
        <w:t/>
      </w:r>
    </w:p>
    <w:p>
      <w:pPr>
        <w:pStyle w:val="Normal"/>
      </w:pPr>
      <w:r>
        <w:t>There are two main server-side configuration parameters that control the encryption types used on the server for its database and its collection or principals. Both exist in /etc/krb5kdc/ kdc.conf inside the [realms] section and are as follows:</w:t>
      </w:r>
    </w:p>
    <w:p>
      <w:pPr>
        <w:pStyle w:val="Para 04"/>
      </w:pPr>
      <w:r>
        <w:t>• master_key_type Specifies the key type of the key. This is used to encrypt the database,</w:t>
      </w:r>
    </w:p>
    <w:p>
      <w:pPr>
        <w:pStyle w:val="Para 02"/>
      </w:pPr>
      <w:r>
        <w:t>and the default is aes256-cts-hmac-sha1-96.</w:t>
      </w:r>
    </w:p>
    <w:p>
      <w:pPr>
        <w:pStyle w:val="Para 04"/>
      </w:pPr>
      <w:r>
        <w:t>• supported_enctypes Specifies the default key/salt combinations of principals for</w:t>
      </w:r>
    </w:p>
    <w:p>
      <w:pPr>
        <w:pStyle w:val="Para 02"/>
      </w:pPr>
      <w:r>
        <w:t>this realm. The default is aes256-cts-hmac-sha1-96:normal aes128-cts-hmac-sha1-96:normal, and the encryption types should be listed in order of preference.</w:t>
      </w:r>
    </w:p>
    <w:p>
      <w:pPr>
        <w:pStyle w:val="Normal"/>
      </w:pPr>
      <w:r>
        <w:t xml:space="preserve">Possible values for the encryption algorithms are listed in the </w:t>
      </w:r>
      <w:hyperlink r:id="rId1119">
        <w:r>
          <w:rPr>
            <w:rStyle w:val="Text1"/>
          </w:rPr>
          <w:t>MIT documentation on encryp-</w:t>
        </w:r>
      </w:hyperlink>
    </w:p>
    <w:p>
      <w:pPr>
        <w:pStyle w:val="Normal"/>
      </w:pPr>
      <w:hyperlink r:id="rId1119">
        <w:r>
          <w:rPr>
            <w:rStyle w:val="Text1"/>
          </w:rPr>
          <w:t>tion types</w:t>
        </w:r>
      </w:hyperlink>
      <w:hyperlink w:anchor="page_143">
        <w:r>
          <w:rPr>
            <w:rStyle w:val="Text9"/>
          </w:rPr>
          <w:t>109</w:t>
        </w:r>
      </w:hyperlink>
      <w:r>
        <w:t xml:space="preserve"> </w:t>
      </w:r>
      <w:hyperlink r:id="rId1120">
        <w:r>
          <w:rPr>
            <w:rStyle w:val="Text9"/>
          </w:rPr>
          <w:t>110</w:t>
        </w:r>
      </w:hyperlink>
      <w:r>
        <w:t xml:space="preserve"> , and the salt types can be seen </w:t>
      </w:r>
      <w:hyperlink r:id="rId1120">
        <w:r>
          <w:rPr>
            <w:rStyle w:val="Text1"/>
          </w:rPr>
          <w:t>in the MIT keysalt lists</w:t>
        </w:r>
      </w:hyperlink>
      <w:r>
        <w:t>.</w:t>
      </w:r>
    </w:p>
    <w:p>
      <w:pPr>
        <w:pStyle w:val="Normal"/>
      </w:pPr>
      <w:r>
        <w:t>Here is an example showing the default values (other settings removed for brevity):</w:t>
      </w:r>
    </w:p>
    <w:p>
      <w:pPr>
        <w:pStyle w:val="Normal"/>
      </w:pPr>
      <w:r>
        <w:t>[realms]</w:t>
      </w:r>
    </w:p>
    <w:p>
      <w:pPr>
        <w:pStyle w:val="Para 02"/>
      </w:pPr>
      <w:r>
        <w:t>EXAMPLE.INTERNAL = {</w:t>
      </w:r>
    </w:p>
    <w:p>
      <w:pPr>
        <w:pStyle w:val="Para 06"/>
      </w:pPr>
      <w:r>
        <w:t>(...)</w:t>
      </w:r>
    </w:p>
    <w:p>
      <w:pPr>
        <w:pStyle w:val="Para 06"/>
      </w:pPr>
      <w:r>
        <w:t>master_key_type = aes256-cts</w:t>
      </w:r>
    </w:p>
    <w:p>
      <w:pPr>
        <w:pStyle w:val="Para 06"/>
      </w:pPr>
      <w:r>
        <w:t>supported_enctypes = aes256-cts-hmac-sha1-96:normal aes128-cts-hmac-sha1-96:normal</w:t>
        <w:t xml:space="preserve"> </w:t>
        <w:t>(...)</w:t>
      </w:r>
    </w:p>
    <w:p>
      <w:pPr>
        <w:pStyle w:val="Normal"/>
      </w:pPr>
      <w:r>
        <w:t>}</w:t>
      </w:r>
    </w:p>
    <w:p>
      <w:pPr>
        <w:pStyle w:val="Para 17"/>
      </w:pPr>
      <w:r>
        <w:t/>
      </w:r>
    </w:p>
    <w:p>
      <w:pPr>
        <w:pStyle w:val="Normal"/>
      </w:pPr>
      <w:r>
        <w:t>The key is created once per realm, when the realm is bootstrapped. That is usually done with</w:t>
      </w:r>
    </w:p>
    <w:p>
      <w:pPr>
        <w:pStyle w:val="Normal"/>
      </w:pPr>
      <w:r>
        <w:t xml:space="preserve">the krb5_newrealm tool (see </w:t>
      </w:r>
      <w:hyperlink w:anchor="page_138">
        <w:r>
          <w:rPr>
            <w:rStyle w:val="Text2"/>
          </w:rPr>
          <w:t>how to install a Kerberos server</w:t>
        </w:r>
      </w:hyperlink>
      <w:r>
        <w:t xml:space="preserve"> (page 137) for details). You can check the key type with either of these commands on the KDC server:</w:t>
      </w:r>
    </w:p>
    <w:p>
      <w:pPr>
        <w:pStyle w:val="Normal"/>
      </w:pPr>
      <w:r>
        <w:t>$ sudo kadmin.local</w:t>
      </w:r>
    </w:p>
    <w:p>
      <w:pPr>
        <w:pStyle w:val="Normal"/>
      </w:pPr>
      <w:r>
        <w:t>kadmin.local:</w:t>
        <w:t xml:space="preserve"> </w:t>
        <w:t>getprinc K/M</w:t>
      </w:r>
    </w:p>
    <w:p>
      <w:pPr>
        <w:pStyle w:val="Normal"/>
      </w:pPr>
      <w:r>
        <w:t>Principal: K/M@EXAMPLE.INTERNAL</w:t>
      </w:r>
    </w:p>
    <w:p>
      <w:pPr>
        <w:pStyle w:val="Normal"/>
      </w:pPr>
      <w:r>
        <w:t>(</w:t>
        <w:t>...</w:t>
        <w:t>)</w:t>
      </w:r>
    </w:p>
    <w:p>
      <w:pPr>
        <w:pStyle w:val="Normal"/>
      </w:pPr>
      <w:r>
        <w:t>Number of keys:</w:t>
        <w:t xml:space="preserve"> </w:t>
        <w:t>1</w:t>
      </w:r>
    </w:p>
    <w:p>
      <w:pPr>
        <w:pStyle w:val="Normal"/>
      </w:pPr>
      <w:r>
        <w:t>Key: vno</w:t>
        <w:t xml:space="preserve"> </w:t>
        <w:t>1</w:t>
        <w:t>, aes256-cts-hmac-sha1-96</w:t>
      </w:r>
    </w:p>
    <w:p>
      <w:pPr>
        <w:pStyle w:val="Para 09"/>
      </w:pPr>
      <w:r>
        <w:t>(continues on next page)</w:t>
      </w:r>
    </w:p>
    <w:p>
      <w:pPr>
        <w:pStyle w:val="Para 05"/>
      </w:pPr>
      <w:r>
        <w:rPr>
          <w:rStyle w:val="Text5"/>
        </w:rPr>
        <w:t>109</w:t>
      </w:r>
      <w:r>
        <w:rPr>
          <w:rStyle w:val="Text8"/>
        </w:rPr>
        <w:t xml:space="preserve"> </w:t>
      </w:r>
      <w:r>
        <w:t>https://web.mit.edu/kerberos/krb5-latest/doc/admin/conf_files/kdc_conf.html#encryption-types</w:t>
      </w:r>
    </w:p>
    <w:p>
      <w:pPr>
        <w:pStyle w:val="Para 05"/>
      </w:pPr>
      <w:r>
        <w:rPr>
          <w:rStyle w:val="Text5"/>
        </w:rPr>
        <w:t>110</w:t>
      </w:r>
      <w:r>
        <w:rPr>
          <w:rStyle w:val="Text8"/>
        </w:rPr>
        <w:t xml:space="preserve"> </w:t>
      </w:r>
      <w:r>
        <w:t>https://web.mit.edu/kerberos/krb5-latest/doc/admin/conf_files/kdc_conf.html#keysalt-lists</w:t>
      </w:r>
    </w:p>
    <w:p>
      <w:bookmarkStart w:id="200" w:name="page_1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6"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150"/>
                    <a:stretch>
                      <a:fillRect/>
                    </a:stretch>
                  </pic:blipFill>
                  <pic:spPr>
                    <a:xfrm>
                      <a:off x="0" y="0"/>
                      <a:ext cx="914400" cy="266700"/>
                    </a:xfrm>
                    <a:prstGeom prst="rect">
                      <a:avLst/>
                    </a:prstGeom>
                  </pic:spPr>
                </pic:pic>
              </a:graphicData>
            </a:graphic>
          </wp:anchor>
        </w:drawing>
      </w:r>
      <w:bookmarkEnd w:id="200"/>
    </w:p>
    <w:p>
      <w:pPr>
        <w:pStyle w:val="Para 09"/>
      </w:pPr>
      <w:r>
        <w:t>(continued from previous page)</w:t>
      </w:r>
    </w:p>
    <w:p>
      <w:pPr>
        <w:pStyle w:val="Normal"/>
      </w:pPr>
      <w:r>
        <w:t>(</w:t>
        <w:t>...</w:t>
        <w:t>)</w:t>
      </w:r>
    </w:p>
    <w:p>
      <w:pPr>
        <w:pStyle w:val="Normal"/>
      </w:pPr>
      <w:r>
        <w:t>$ sudo klist -ke /etc/krb5kdc/stash</w:t>
      </w:r>
    </w:p>
    <w:p>
      <w:pPr>
        <w:pStyle w:val="Normal"/>
      </w:pPr>
      <w:r>
        <w:t>Keytab name: FILE:/etc/krb5kdc/stash</w:t>
      </w:r>
    </w:p>
    <w:p>
      <w:pPr>
        <w:pStyle w:val="Normal"/>
      </w:pPr>
      <w:r>
        <w:t>KVNO Principal</w:t>
      </w:r>
    </w:p>
    <w:p>
      <w:pPr>
        <w:pStyle w:val="Normal"/>
      </w:pPr>
      <w:r>
        <w:t>---- --------------------------------------------------------------------------</w:t>
      </w:r>
    </w:p>
    <w:p>
      <w:pPr>
        <w:pStyle w:val="Para 04"/>
      </w:pPr>
      <w:r>
        <w:t>1</w:t>
        <w:t xml:space="preserve"> </w:t>
        <w:t>K/M@EXAMPLE.INTERNAL</w:t>
        <w:t xml:space="preserve"> </w:t>
        <w:t>(</w:t>
        <w:t>aes256-cts-hmac-sha1-96</w:t>
        <w:t>)</w:t>
      </w:r>
    </w:p>
    <w:p>
      <w:pPr>
        <w:pStyle w:val="Para 17"/>
      </w:pPr>
      <w:r>
        <w:t/>
      </w:r>
    </w:p>
    <w:p>
      <w:pPr>
        <w:pStyle w:val="Normal"/>
      </w:pPr>
      <w:r>
        <w:t>When a new Kerberos principal is created through the kadmind service (via the kadmin or kadmin.local utilities), the types of encryption keys it will get are controlled via the supported_enctypes configuration parameter.</w:t>
      </w:r>
    </w:p>
    <w:p>
      <w:pPr>
        <w:pStyle w:val="Normal"/>
      </w:pPr>
      <w:r>
        <w:t>For example, let’s create an ubuntu principal, and check the keys that were created for it (output abbreviated):</w:t>
      </w:r>
    </w:p>
    <w:p>
      <w:pPr>
        <w:pStyle w:val="Normal"/>
      </w:pPr>
      <w:r>
        <w:t>$ sudo kadmin.local</w:t>
      </w:r>
    </w:p>
    <w:p>
      <w:pPr>
        <w:pStyle w:val="Normal"/>
      </w:pPr>
      <w:r>
        <w:t>Authenticating as principal root/admin@EXAMPLE.INTERNAL with password.</w:t>
        <w:t xml:space="preserve"> </w:t>
        <w:t>kadmin.local:</w:t>
        <w:t xml:space="preserve"> </w:t>
        <w:t>addprinc ubuntu</w:t>
      </w:r>
    </w:p>
    <w:p>
      <w:pPr>
        <w:pStyle w:val="Normal"/>
      </w:pPr>
      <w:r>
        <w:t>No policy specified</w:t>
        <w:t xml:space="preserve"> </w:t>
      </w:r>
      <w:r>
        <w:rPr>
          <w:rStyle w:val="Text0"/>
        </w:rPr>
        <w:t>for</w:t>
      </w:r>
      <w:r>
        <w:t xml:space="preserve"> </w:t>
        <w:t>ubuntu@EXAMPLE.INTERNAL; defaulting to no policy</w:t>
        <w:t xml:space="preserve"> </w:t>
        <w:t>Enter password</w:t>
        <w:t xml:space="preserve"> </w:t>
      </w:r>
      <w:r>
        <w:rPr>
          <w:rStyle w:val="Text0"/>
        </w:rPr>
        <w:t>for</w:t>
      </w:r>
      <w:r>
        <w:t xml:space="preserve"> </w:t>
        <w:t>principal</w:t>
        <w:t xml:space="preserve"> </w:t>
        <w:t>"ubuntu@EXAMPLE.INTERNAL"</w:t>
        <w:t>:</w:t>
        <w:t xml:space="preserve"> </w:t>
        <w:t>Re-enter password</w:t>
        <w:t xml:space="preserve"> </w:t>
      </w:r>
      <w:r>
        <w:rPr>
          <w:rStyle w:val="Text0"/>
        </w:rPr>
        <w:t>for</w:t>
      </w:r>
      <w:r>
        <w:t xml:space="preserve"> </w:t>
        <w:t>principal</w:t>
        <w:t xml:space="preserve"> </w:t>
        <w:t>"ubuntu@EXAMPLE.INTERNAL"</w:t>
        <w:t>:</w:t>
        <w:t xml:space="preserve"> </w:t>
        <w:t>Principal</w:t>
        <w:t xml:space="preserve"> </w:t>
        <w:t>"ubuntu@EXAMPLE.INTERNAL"</w:t>
        <w:t xml:space="preserve"> </w:t>
        <w:t>created.</w:t>
      </w:r>
    </w:p>
    <w:p>
      <w:pPr>
        <w:pStyle w:val="Normal"/>
      </w:pPr>
      <w:r>
        <w:t>kadmin.local:</w:t>
        <w:t xml:space="preserve"> </w:t>
        <w:t>getprinc ubuntu</w:t>
      </w:r>
    </w:p>
    <w:p>
      <w:pPr>
        <w:pStyle w:val="Normal"/>
      </w:pPr>
      <w:r>
        <w:t>Principal: ubuntu@EXAMPLE.INTERNAL</w:t>
      </w:r>
    </w:p>
    <w:p>
      <w:pPr>
        <w:pStyle w:val="Normal"/>
      </w:pPr>
      <w:r>
        <w:t>(</w:t>
        <w:t>...</w:t>
        <w:t>)</w:t>
      </w:r>
    </w:p>
    <w:p>
      <w:pPr>
        <w:pStyle w:val="Normal"/>
      </w:pPr>
      <w:r>
        <w:t>Number of keys:</w:t>
        <w:t xml:space="preserve"> </w:t>
        <w:t>2</w:t>
      </w:r>
    </w:p>
    <w:p>
      <w:pPr>
        <w:pStyle w:val="Normal"/>
      </w:pPr>
      <w:r>
        <w:t>Key: vno</w:t>
        <w:t xml:space="preserve"> </w:t>
        <w:t>1</w:t>
        <w:t>, aes256-cts-hmac-sha1-96</w:t>
      </w:r>
    </w:p>
    <w:p>
      <w:pPr>
        <w:pStyle w:val="Normal"/>
      </w:pPr>
      <w:r>
        <w:t>Key: vno</w:t>
        <w:t xml:space="preserve"> </w:t>
        <w:t>1</w:t>
        <w:t>, aes128-cts-hmac-sha1-96</w:t>
      </w:r>
    </w:p>
    <w:p>
      <w:pPr>
        <w:pStyle w:val="Normal"/>
      </w:pPr>
      <w:r>
        <w:t>(</w:t>
        <w:t>...</w:t>
        <w:t>)</w:t>
      </w:r>
    </w:p>
    <w:p>
      <w:pPr>
        <w:pStyle w:val="Para 17"/>
      </w:pPr>
      <w:r>
        <w:t/>
      </w:r>
    </w:p>
    <w:p>
      <w:pPr>
        <w:pStyle w:val="Normal"/>
      </w:pPr>
      <w:r>
        <w:t>Two keys were created for the ubuntu principal, following the default setting of supported_ enctypes in kdc.conf for this realm.</w:t>
      </w:r>
    </w:p>
    <w:p>
      <w:pPr>
        <w:pStyle w:val="Para 17"/>
      </w:pPr>
      <w:r>
        <w:t/>
      </w:r>
    </w:p>
    <w:p>
      <w:pPr>
        <w:pStyle w:val="Para 08"/>
      </w:pPr>
      <w:r>
        <w:t>Note:</w:t>
      </w:r>
    </w:p>
    <w:p>
      <w:pPr>
        <w:pStyle w:val="Para 03"/>
      </w:pPr>
      <w:r>
        <w:t xml:space="preserve">The server config supported_enctypes has the </w:t>
      </w:r>
      <w:r>
        <w:rPr>
          <w:rStyle w:val="Text3"/>
        </w:rPr>
        <w:t>default</w:t>
      </w:r>
      <w:r>
        <w:t xml:space="preserve"> list of key types that are created</w:t>
      </w:r>
    </w:p>
    <w:p>
      <w:pPr>
        <w:pStyle w:val="Para 03"/>
      </w:pPr>
      <w:r>
        <w:t xml:space="preserve">for a principal. This list applies to the moment when that principal is </w:t>
      </w:r>
      <w:r>
        <w:rPr>
          <w:rStyle w:val="Text0"/>
        </w:rPr>
        <w:t>created</w:t>
      </w:r>
      <w:r>
        <w:t xml:space="preserve"> by kadmind.</w:t>
      </w:r>
    </w:p>
    <w:p>
      <w:pPr>
        <w:pStyle w:val="Para 03"/>
      </w:pPr>
      <w:r>
        <w:t>Changing that setting after the fact won’t affect the keys that the principal in question has</w:t>
      </w:r>
    </w:p>
    <w:p>
      <w:pPr>
        <w:pStyle w:val="Para 03"/>
      </w:pPr>
      <w:r>
        <w:t>after that event. In particular, principals can be created with specific key types regardless</w:t>
      </w:r>
    </w:p>
    <w:p>
      <w:pPr>
        <w:pStyle w:val="Para 03"/>
      </w:pPr>
      <w:r>
        <w:t xml:space="preserve">of the supported_enctypes setting. See the-e parameter for the </w:t>
      </w:r>
      <w:hyperlink r:id="rId1121">
        <w:r>
          <w:rPr>
            <w:rStyle w:val="Text1"/>
          </w:rPr>
          <w:t>kadmin add_principal</w:t>
        </w:r>
      </w:hyperlink>
    </w:p>
    <w:p>
      <w:pPr>
        <w:pStyle w:val="Para 22"/>
      </w:pPr>
      <w:hyperlink r:id="rId1121">
        <w:r>
          <w:t>command</w:t>
        </w:r>
      </w:hyperlink>
      <w:r>
        <w:rPr>
          <w:rStyle w:val="Text7"/>
        </w:rPr>
        <w:t xml:space="preserve"> </w:t>
      </w:r>
      <w:hyperlink w:anchor="page_144">
        <w:r>
          <w:rPr>
            <w:rStyle w:val="Text10"/>
          </w:rPr>
          <w:t>111</w:t>
        </w:r>
      </w:hyperlink>
      <w:r>
        <w:rPr>
          <w:rStyle w:val="Text7"/>
        </w:rPr>
        <w:t>.</w:t>
      </w:r>
    </w:p>
    <w:p>
      <w:pPr>
        <w:pStyle w:val="Para 05"/>
      </w:pPr>
      <w:r>
        <w:rPr>
          <w:rStyle w:val="Text5"/>
        </w:rPr>
        <w:t>111</w:t>
      </w:r>
      <w:r>
        <w:rPr>
          <w:rStyle w:val="Text8"/>
        </w:rPr>
        <w:t xml:space="preserve"> </w:t>
      </w:r>
      <w:r>
        <w:t>https://web.mit.edu/kerberos/krb5-latest/doc/admin/database.html</w:t>
      </w:r>
    </w:p>
    <w:p>
      <w:pPr>
        <w:pStyle w:val="Para 17"/>
      </w:pPr>
      <w:r>
        <w:t/>
      </w:r>
    </w:p>
    <w:p>
      <w:pPr>
        <w:pStyle w:val="Normal"/>
      </w:pPr>
      <w:r>
        <w:t>If we had supported_enctypes set to aes256-sha2:normal aes128-sha2:normal camellia256-cts:normal in kdc.conf, then the ubuntu principal would get three key types:</w:t>
      </w:r>
    </w:p>
    <w:p>
      <w:pPr>
        <w:pStyle w:val="Normal"/>
      </w:pPr>
      <w:r>
        <w:t>kadmin.local:</w:t>
        <w:t xml:space="preserve"> </w:t>
        <w:t>getprinc ubuntu</w:t>
      </w:r>
    </w:p>
    <w:p>
      <w:pPr>
        <w:pStyle w:val="Normal"/>
      </w:pPr>
      <w:r>
        <w:t>Principal: ubuntu@EXAMPLE.INTERNAL</w:t>
      </w:r>
    </w:p>
    <w:p>
      <w:pPr>
        <w:pStyle w:val="Normal"/>
      </w:pPr>
      <w:r>
        <w:t>(...)</w:t>
      </w:r>
    </w:p>
    <w:p>
      <w:pPr>
        <w:pStyle w:val="Normal"/>
      </w:pPr>
      <w:r>
        <w:t>Number of keys: 3</w:t>
      </w:r>
    </w:p>
    <w:p>
      <w:pPr>
        <w:pStyle w:val="Normal"/>
      </w:pPr>
      <w:r>
        <w:t>Key: vno 1, aes256-cts-hmac-sha384-192</w:t>
      </w:r>
    </w:p>
    <w:p>
      <w:pPr>
        <w:pStyle w:val="Normal"/>
      </w:pPr>
      <w:r>
        <w:t>Key: vno 1, aes128-cts-hmac-sha256-128</w:t>
      </w:r>
    </w:p>
    <w:p>
      <w:pPr>
        <w:pStyle w:val="Normal"/>
      </w:pPr>
      <w:r>
        <w:t>Key: vno 1, camellia256-cts-cmac</w:t>
      </w:r>
    </w:p>
    <w:p>
      <w:bookmarkStart w:id="201" w:name="page_1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7"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151"/>
                    <a:stretch>
                      <a:fillRect/>
                    </a:stretch>
                  </pic:blipFill>
                  <pic:spPr>
                    <a:xfrm>
                      <a:off x="0" y="0"/>
                      <a:ext cx="914400" cy="266700"/>
                    </a:xfrm>
                    <a:prstGeom prst="rect">
                      <a:avLst/>
                    </a:prstGeom>
                  </pic:spPr>
                </pic:pic>
              </a:graphicData>
            </a:graphic>
          </wp:anchor>
        </w:drawing>
      </w:r>
      <w:bookmarkEnd w:id="201"/>
    </w:p>
    <w:p>
      <w:pPr>
        <w:pStyle w:val="Para 08"/>
      </w:pPr>
      <w:r>
        <w:t>Note:</w:t>
      </w:r>
    </w:p>
    <w:p>
      <w:pPr>
        <w:pStyle w:val="Para 03"/>
      </w:pPr>
      <w:r>
        <w:t>Bootstrapping a new Kerberos realm via the krb5_newrealm command also creates some</w:t>
      </w:r>
    </w:p>
    <w:p>
      <w:pPr>
        <w:pStyle w:val="Para 03"/>
      </w:pPr>
      <w:r>
        <w:t>system principals required by Kerberos, such as kadmin/admin, kadmin/changepw and oth-</w:t>
      </w:r>
    </w:p>
    <w:p>
      <w:pPr>
        <w:pStyle w:val="Para 03"/>
      </w:pPr>
      <w:r>
        <w:t>ers. They will all also get the same number of keys each: one per encryption type in</w:t>
      </w:r>
    </w:p>
    <w:p>
      <w:pPr>
        <w:pStyle w:val="Para 03"/>
      </w:pPr>
      <w:r>
        <w:t>supported_enctypes.</w:t>
      </w:r>
    </w:p>
    <w:p>
      <w:pPr>
        <w:pStyle w:val="Para 17"/>
      </w:pPr>
      <w:r>
        <w:t/>
      </w:r>
    </w:p>
    <w:p>
      <w:pPr>
        <w:pStyle w:val="Para 01"/>
      </w:pPr>
      <w:r>
        <w:t>Client-side configuration</w:t>
      </w:r>
    </w:p>
    <w:p>
      <w:pPr>
        <w:pStyle w:val="Para 17"/>
      </w:pPr>
      <w:r>
        <w:t/>
      </w:r>
    </w:p>
    <w:p>
      <w:pPr>
        <w:pStyle w:val="Normal"/>
      </w:pPr>
      <w:r>
        <w:t>When we say “client-side”, we really mean “applications linked with the Kerberos libraries”. These live on the server too, so keep that in mind.</w:t>
      </w:r>
    </w:p>
    <w:p>
      <w:pPr>
        <w:pStyle w:val="Normal"/>
      </w:pPr>
      <w:r>
        <w:t>The encryption types supported by the Kerberos libraries are defined in the /etc/krb5.conf file, inside the [libdefaults] section, via the permitted_enctypes parameter.</w:t>
      </w:r>
    </w:p>
    <w:p>
      <w:pPr>
        <w:pStyle w:val="Normal"/>
      </w:pPr>
      <w:r>
        <w:t>Example:</w:t>
      </w:r>
    </w:p>
    <w:p>
      <w:pPr>
        <w:pStyle w:val="Normal"/>
      </w:pPr>
      <w:r>
        <w:t>[libdefaults]</w:t>
      </w:r>
    </w:p>
    <w:p>
      <w:pPr>
        <w:pStyle w:val="Normal"/>
      </w:pPr>
      <w:r>
        <w:t>(...)</w:t>
      </w:r>
    </w:p>
    <w:p>
      <w:pPr>
        <w:pStyle w:val="Normal"/>
      </w:pPr>
      <w:r>
        <w:t>permitted_enctypes = aes256-cts-hmac-sha1-96 aes128-cts-hmac-sha1-96</w:t>
      </w:r>
    </w:p>
    <w:p>
      <w:pPr>
        <w:pStyle w:val="Para 17"/>
      </w:pPr>
      <w:r>
        <w:t/>
      </w:r>
    </w:p>
    <w:p>
      <w:pPr>
        <w:pStyle w:val="Normal"/>
      </w:pPr>
      <w:r>
        <w:t>This parameter contains a space-separated list of encryption type names, in order of prefer-ence. Default value: aes256-cts-hmac-sha1-96 aes128-cts-hmac-sha1-96 aes256-cts-hmac-sha384-192 aes128-cts-hmac-sha256-128 camellia256-cts-cmac camellia128-cts-cmac.</w:t>
      </w:r>
    </w:p>
    <w:p>
      <w:pPr>
        <w:pStyle w:val="Normal"/>
      </w:pPr>
      <w:r>
        <w:t xml:space="preserve">Possible values for the encryption algorithms are listed in </w:t>
      </w:r>
      <w:hyperlink w:anchor="page_145">
        <w:r>
          <w:rPr>
            <w:rStyle w:val="Text9"/>
          </w:rPr>
          <w:t>112</w:t>
        </w:r>
      </w:hyperlink>
      <w:r>
        <w:t xml:space="preserve"> </w:t>
      </w:r>
      <w:hyperlink r:id="rId1119">
        <w:r>
          <w:rPr>
            <w:rStyle w:val="Text1"/>
          </w:rPr>
          <w:t>the MIT documentation</w:t>
        </w:r>
      </w:hyperlink>
      <w:r>
        <w:t xml:space="preserve"> (same ones as for the KDC).</w:t>
      </w:r>
    </w:p>
    <w:p>
      <w:pPr>
        <w:pStyle w:val="Para 08"/>
      </w:pPr>
      <w:r>
        <w:t>Note:</w:t>
      </w:r>
    </w:p>
    <w:p>
      <w:pPr>
        <w:pStyle w:val="Para 03"/>
      </w:pPr>
      <w:r>
        <w:t>There are more encryption-related parameters in krb5.conf, but most take their defaults</w:t>
      </w:r>
    </w:p>
    <w:p>
      <w:pPr>
        <w:pStyle w:val="Para 03"/>
      </w:pPr>
      <w:r>
        <w:t xml:space="preserve">from </w:t>
      </w:r>
      <w:hyperlink w:anchor="page_145">
        <w:r>
          <w:rPr>
            <w:rStyle w:val="Text9"/>
          </w:rPr>
          <w:t>113</w:t>
        </w:r>
      </w:hyperlink>
      <w:r>
        <w:t xml:space="preserve"> permitted_enctypes . See the </w:t>
      </w:r>
      <w:hyperlink r:id="rId1122">
        <w:r>
          <w:rPr>
            <w:rStyle w:val="Text1"/>
          </w:rPr>
          <w:t>MIT libdefaults documentation</w:t>
        </w:r>
      </w:hyperlink>
      <w:r>
        <w:t xml:space="preserve"> for more informa-</w:t>
      </w:r>
    </w:p>
    <w:p>
      <w:pPr>
        <w:pStyle w:val="Para 03"/>
      </w:pPr>
      <w:r>
        <w:t>tion.</w:t>
      </w:r>
    </w:p>
    <w:p>
      <w:pPr>
        <w:pStyle w:val="Para 05"/>
      </w:pPr>
      <w:r>
        <w:rPr>
          <w:rStyle w:val="Text5"/>
        </w:rPr>
        <w:t>113</w:t>
      </w:r>
      <w:r>
        <w:rPr>
          <w:rStyle w:val="Text8"/>
        </w:rPr>
        <w:t xml:space="preserve"> </w:t>
      </w:r>
      <w:r>
        <w:t>https://web.mit.edu/kerberos/krb5-latest/doc/admin/conf_files/krb5_conf.html#libdefaults</w:t>
      </w:r>
    </w:p>
    <w:p>
      <w:pPr>
        <w:pStyle w:val="Para 17"/>
      </w:pPr>
      <w:r>
        <w:t/>
      </w:r>
    </w:p>
    <w:p>
      <w:pPr>
        <w:pStyle w:val="Para 01"/>
      </w:pPr>
      <w:r>
        <w:t>Putting it all together</w:t>
      </w:r>
    </w:p>
    <w:p>
      <w:pPr>
        <w:pStyle w:val="Para 17"/>
      </w:pPr>
      <w:r>
        <w:t/>
      </w:r>
    </w:p>
    <w:p>
      <w:pPr>
        <w:pStyle w:val="Normal"/>
      </w:pPr>
      <w:r>
        <w:t>When a client performs Kerberos authentication and requests a ticket from the KDC, the encryption type used in that ticket is decided by picking the common set of:</w:t>
      </w:r>
    </w:p>
    <w:p>
      <w:pPr>
        <w:pStyle w:val="Para 04"/>
      </w:pPr>
      <w:r>
        <w:t>• The encryption types supported by the server for that principal</w:t>
      </w:r>
    </w:p>
    <w:p>
      <w:pPr>
        <w:pStyle w:val="Para 04"/>
      </w:pPr>
      <w:r>
        <w:t>• The encryption types supported by the client</w:t>
      </w:r>
    </w:p>
    <w:p>
      <w:pPr>
        <w:pStyle w:val="Normal"/>
      </w:pPr>
      <w:r>
        <w:t>If there is no common algorithm between what the client accepts, and what the server has to offer for that specific principal, then kinit will fail.</w:t>
      </w:r>
    </w:p>
    <w:p>
      <w:pPr>
        <w:pStyle w:val="Normal"/>
      </w:pPr>
      <w:r>
        <w:t>For example, if the principal on the server has:</w:t>
      </w:r>
    </w:p>
    <w:p>
      <w:pPr>
        <w:pStyle w:val="Para 17"/>
      </w:pPr>
      <w:r>
        <w:t/>
      </w:r>
    </w:p>
    <w:p>
      <w:pPr>
        <w:pStyle w:val="Para 05"/>
      </w:pPr>
      <w:r>
        <w:rPr>
          <w:rStyle w:val="Text5"/>
        </w:rPr>
        <w:t>112</w:t>
      </w:r>
      <w:r>
        <w:rPr>
          <w:rStyle w:val="Text8"/>
        </w:rPr>
        <w:t xml:space="preserve"> </w:t>
      </w:r>
      <w:r>
        <w:t>https://web.mit.edu/kerberos/krb5-latest/doc/admin/conf_files/kdc_conf.html#encryption-types</w:t>
      </w:r>
      <w:r>
        <w:rPr>
          <w:rStyle w:val="Text8"/>
        </w:rPr>
        <w:t xml:space="preserve"> </w:t>
        <w:t>kadmin.local:</w:t>
        <w:t xml:space="preserve"> </w:t>
        <w:t>getprinc ubuntu</w:t>
      </w:r>
    </w:p>
    <w:p>
      <w:bookmarkStart w:id="202" w:name="page_1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8"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152"/>
                    <a:stretch>
                      <a:fillRect/>
                    </a:stretch>
                  </pic:blipFill>
                  <pic:spPr>
                    <a:xfrm>
                      <a:off x="0" y="0"/>
                      <a:ext cx="914400" cy="266700"/>
                    </a:xfrm>
                    <a:prstGeom prst="rect">
                      <a:avLst/>
                    </a:prstGeom>
                  </pic:spPr>
                </pic:pic>
              </a:graphicData>
            </a:graphic>
          </wp:anchor>
        </w:drawing>
      </w:r>
      <w:bookmarkEnd w:id="202"/>
    </w:p>
    <w:p>
      <w:pPr>
        <w:pStyle w:val="Normal"/>
      </w:pPr>
      <w:r>
        <w:t>Principal: ubuntu@EXAMPLE.INTERNAL</w:t>
      </w:r>
    </w:p>
    <w:p>
      <w:pPr>
        <w:pStyle w:val="Normal"/>
      </w:pPr>
      <w:r>
        <w:t>(...)</w:t>
      </w:r>
    </w:p>
    <w:p>
      <w:pPr>
        <w:pStyle w:val="Normal"/>
      </w:pPr>
      <w:r>
        <w:t>Number of keys: 2</w:t>
      </w:r>
    </w:p>
    <w:p>
      <w:pPr>
        <w:pStyle w:val="Normal"/>
      </w:pPr>
      <w:r>
        <w:t>Key: vno 1, aes256-cts-hmac-sha384-192</w:t>
      </w:r>
    </w:p>
    <w:p>
      <w:pPr>
        <w:pStyle w:val="Normal"/>
      </w:pPr>
      <w:r>
        <w:t>Key: vno 1, aes128-cts-hmac-sha256-128</w:t>
      </w:r>
    </w:p>
    <w:p>
      <w:pPr>
        <w:pStyle w:val="Para 17"/>
      </w:pPr>
      <w:r>
        <w:t/>
      </w:r>
    </w:p>
    <w:p>
      <w:pPr>
        <w:pStyle w:val="Normal"/>
      </w:pPr>
      <w:r>
        <w:t>And the client’s krb5.conf has:</w:t>
      </w:r>
    </w:p>
    <w:p>
      <w:pPr>
        <w:pStyle w:val="Normal"/>
      </w:pPr>
      <w:r>
        <w:t>permitted_enctypes = aes256-sha1 aes128-sha1</w:t>
      </w:r>
    </w:p>
    <w:p>
      <w:pPr>
        <w:pStyle w:val="Para 17"/>
      </w:pPr>
      <w:r>
        <w:t/>
      </w:r>
    </w:p>
    <w:p>
      <w:pPr>
        <w:pStyle w:val="Normal"/>
      </w:pPr>
      <w:r>
        <w:t>Then kinit will fail, because the client only supports sha1 variants, and the server only has sha2 to offer for that particular principal the client is requesting:</w:t>
      </w:r>
    </w:p>
    <w:p>
      <w:pPr>
        <w:pStyle w:val="Normal"/>
      </w:pPr>
      <w:r>
        <w:t>$ kinit ubuntu</w:t>
      </w:r>
    </w:p>
    <w:p>
      <w:pPr>
        <w:pStyle w:val="Normal"/>
      </w:pPr>
      <w:r>
        <w:t>kinit: Generic error</w:t>
        <w:t xml:space="preserve"> </w:t>
        <w:t>(</w:t>
        <w:t>see e-text</w:t>
        <w:t>)</w:t>
        <w:t xml:space="preserve"> </w:t>
      </w:r>
      <w:r>
        <w:rPr>
          <w:rStyle w:val="Text0"/>
        </w:rPr>
        <w:t>while</w:t>
      </w:r>
      <w:r>
        <w:t xml:space="preserve"> </w:t>
        <w:t>getting initial credentials</w:t>
      </w:r>
    </w:p>
    <w:p>
      <w:pPr>
        <w:pStyle w:val="Para 17"/>
      </w:pPr>
      <w:r>
        <w:t/>
      </w:r>
    </w:p>
    <w:p>
      <w:pPr>
        <w:pStyle w:val="Normal"/>
      </w:pPr>
      <w:r>
        <w:t>The server log (journalctl -u krb5-admin-server.service) will have more details about the error:</w:t>
      </w:r>
    </w:p>
    <w:p>
      <w:pPr>
        <w:pStyle w:val="Normal"/>
      </w:pPr>
      <w:r>
        <w:t>Apr 19 19:31:49 j-kdc krb5kdc[8597]: AS_REQ (2 etypes {aes256-cts-hmac-sha1-96(18),</w:t>
        <w:t xml:space="preserve"> </w:t>
        <w:t>aes128-cts-hmac-sha1-96(17)}) fd42:78f4:b1c4:3964:216:3eff:feda:118c: GET_LOCAL_TGT:</w:t>
        <w:t xml:space="preserve"> </w:t>
        <w:t>ubuntu@EXAMPLE.INTERNAL for krbtgt/EXAMPLE.INTERNAL@EXAMPLE.INTERNAL, No matching key in</w:t>
        <w:t xml:space="preserve"> </w:t>
        <w:t>entry having a permitted enctype</w:t>
      </w:r>
    </w:p>
    <w:p>
      <w:pPr>
        <w:pStyle w:val="Para 17"/>
      </w:pPr>
      <w:r>
        <w:t/>
      </w:r>
    </w:p>
    <w:p>
      <w:pPr>
        <w:pStyle w:val="Normal"/>
      </w:pPr>
      <w:r>
        <w:t>This log says that there was an AS-REQ request which accepted two encryption types, but there was no matching key type on the server database for that principal.</w:t>
      </w:r>
    </w:p>
    <w:p>
      <w:pPr>
        <w:pStyle w:val="Para 17"/>
      </w:pPr>
      <w:r>
        <w:t/>
      </w:r>
    </w:p>
    <w:p>
      <w:pPr>
        <w:pStyle w:val="Para 01"/>
      </w:pPr>
      <w:r>
        <w:t>Changing encryption types</w:t>
      </w:r>
    </w:p>
    <w:p>
      <w:pPr>
        <w:pStyle w:val="Para 17"/>
      </w:pPr>
      <w:r>
        <w:t/>
      </w:r>
    </w:p>
    <w:p>
      <w:pPr>
        <w:pStyle w:val="Normal"/>
      </w:pPr>
      <w:r>
        <w:t>Changing encryption types of an existing Kerberos realm is no small task. Just changing the configuration settings won’t recreate existing keys, nor add new ones. The modifications have to be done in incremental steps.</w:t>
      </w:r>
    </w:p>
    <w:p>
      <w:pPr>
        <w:pStyle w:val="Normal"/>
      </w:pPr>
      <w:r>
        <w:t xml:space="preserve">MIT Kerberos has a </w:t>
      </w:r>
      <w:hyperlink w:anchor="page_146">
        <w:r>
          <w:rPr>
            <w:rStyle w:val="Text9"/>
          </w:rPr>
          <w:t>114</w:t>
        </w:r>
      </w:hyperlink>
      <w:r>
        <w:t xml:space="preserve"> </w:t>
      </w:r>
      <w:hyperlink r:id="rId1123">
        <w:r>
          <w:rPr>
            <w:rStyle w:val="Text1"/>
          </w:rPr>
          <w:t>guide on updating encryption types</w:t>
        </w:r>
      </w:hyperlink>
      <w:r>
        <w:t xml:space="preserve"> that covers many scenarios, in-cluding deployments with multiple replicating servers:</w:t>
      </w:r>
    </w:p>
    <w:p>
      <w:pPr>
        <w:pStyle w:val="Para 17"/>
      </w:pPr>
      <w:r>
        <w:t/>
      </w:r>
    </w:p>
    <w:p>
      <w:pPr>
        <w:pStyle w:val="Para 01"/>
      </w:pPr>
      <w:r>
        <w:t>References</w:t>
      </w:r>
    </w:p>
    <w:p>
      <w:pPr>
        <w:pStyle w:val="Para 17"/>
      </w:pPr>
      <w:r>
        <w:t/>
      </w:r>
    </w:p>
    <w:p>
      <w:pPr>
        <w:pStyle w:val="Para 13"/>
      </w:pPr>
      <w:r>
        <w:rPr>
          <w:rStyle w:val="Text7"/>
        </w:rPr>
        <w:t xml:space="preserve">• </w:t>
      </w:r>
      <w:hyperlink w:anchor="page_146">
        <w:r>
          <w:rPr>
            <w:rStyle w:val="Text10"/>
          </w:rPr>
          <w:t>115</w:t>
        </w:r>
      </w:hyperlink>
      <w:r>
        <w:rPr>
          <w:rStyle w:val="Text7"/>
        </w:rPr>
        <w:t xml:space="preserve"> </w:t>
      </w:r>
      <w:hyperlink r:id="rId1124">
        <w:r>
          <w:t>Encryption types in MIT Kerberos</w:t>
        </w:r>
      </w:hyperlink>
    </w:p>
    <w:p>
      <w:pPr>
        <w:pStyle w:val="Para 13"/>
      </w:pPr>
      <w:r>
        <w:rPr>
          <w:rStyle w:val="Text7"/>
        </w:rPr>
        <w:t xml:space="preserve">• </w:t>
      </w:r>
      <w:hyperlink r:id="rId1125">
        <w:r>
          <w:rPr>
            <w:rStyle w:val="Text10"/>
          </w:rPr>
          <w:t>116</w:t>
        </w:r>
      </w:hyperlink>
      <w:hyperlink r:id="rId1125">
        <w:r>
          <w:t xml:space="preserve"> krb5.conf encryption related configurations options</w:t>
        </w:r>
      </w:hyperlink>
    </w:p>
    <w:p>
      <w:pPr>
        <w:pStyle w:val="Para 13"/>
      </w:pPr>
      <w:r>
        <w:rPr>
          <w:rStyle w:val="Text7"/>
        </w:rPr>
        <w:t xml:space="preserve">• </w:t>
      </w:r>
      <w:hyperlink w:anchor="page_146">
        <w:r>
          <w:rPr>
            <w:rStyle w:val="Text10"/>
          </w:rPr>
          <w:t>117</w:t>
        </w:r>
      </w:hyperlink>
      <w:r>
        <w:rPr>
          <w:rStyle w:val="Text7"/>
        </w:rPr>
        <w:t xml:space="preserve"> </w:t>
      </w:r>
      <w:hyperlink r:id="rId1123">
        <w:r>
          <w:t>Migrating away from older encryption types</w:t>
        </w:r>
      </w:hyperlink>
    </w:p>
    <w:p>
      <w:pPr>
        <w:pStyle w:val="Para 04"/>
      </w:pPr>
      <w:r>
        <w:t xml:space="preserve">• </w:t>
      </w:r>
      <w:hyperlink r:id="rId1126">
        <w:r>
          <w:rPr>
            <w:rStyle w:val="Text9"/>
          </w:rPr>
          <w:t>118</w:t>
        </w:r>
      </w:hyperlink>
      <w:hyperlink r:id="rId1126">
        <w:r>
          <w:rPr>
            <w:rStyle w:val="Text1"/>
          </w:rPr>
          <w:t xml:space="preserve"> </w:t>
        </w:r>
      </w:hyperlink>
      <w:hyperlink r:id="rId1126">
        <w:r>
          <w:rPr>
            <w:rStyle w:val="Text2"/>
          </w:rPr>
          <w:t>kdc.conf(5)</w:t>
        </w:r>
      </w:hyperlink>
      <w:r>
        <w:t xml:space="preserve"> manual page</w:t>
      </w:r>
    </w:p>
    <w:p>
      <w:pPr>
        <w:pStyle w:val="Para 04"/>
      </w:pPr>
      <w:r>
        <w:t xml:space="preserve">• </w:t>
      </w:r>
      <w:hyperlink w:anchor="page_146">
        <w:r>
          <w:rPr>
            <w:rStyle w:val="Text9"/>
          </w:rPr>
          <w:t>119</w:t>
        </w:r>
      </w:hyperlink>
      <w:r>
        <w:t xml:space="preserve"> </w:t>
      </w:r>
      <w:hyperlink r:id="rId1127">
        <w:r>
          <w:rPr>
            <w:rStyle w:val="Text2"/>
          </w:rPr>
          <w:t>krb5.conf(5)</w:t>
        </w:r>
      </w:hyperlink>
      <w:r>
        <w:t xml:space="preserve"> manual page</w:t>
      </w:r>
    </w:p>
    <w:p>
      <w:pPr>
        <w:pStyle w:val="Para 05"/>
      </w:pPr>
      <w:r>
        <w:rPr>
          <w:rStyle w:val="Text5"/>
        </w:rPr>
        <w:t>114</w:t>
      </w:r>
      <w:r>
        <w:rPr>
          <w:rStyle w:val="Text8"/>
        </w:rPr>
        <w:t xml:space="preserve"> </w:t>
      </w:r>
      <w:r>
        <w:t>https://web.mit.edu/kerberos/krb5-latest/doc/admin/enctypes.html#migrating-away-from-older-encryption-types</w:t>
      </w:r>
    </w:p>
    <w:p>
      <w:pPr>
        <w:pStyle w:val="Para 05"/>
      </w:pPr>
      <w:r>
        <w:rPr>
          <w:rStyle w:val="Text5"/>
        </w:rPr>
        <w:t>115</w:t>
      </w:r>
      <w:r>
        <w:rPr>
          <w:rStyle w:val="Text8"/>
        </w:rPr>
        <w:t xml:space="preserve"> </w:t>
      </w:r>
      <w:r>
        <w:t>https://web.mit.edu/kerberos/krb5-latest/doc/admin/enctypes.html</w:t>
      </w:r>
    </w:p>
    <w:p>
      <w:pPr>
        <w:pStyle w:val="Para 05"/>
      </w:pPr>
      <w:r>
        <w:rPr>
          <w:rStyle w:val="Text5"/>
        </w:rPr>
        <w:t>116</w:t>
      </w:r>
      <w:r>
        <w:rPr>
          <w:rStyle w:val="Text8"/>
        </w:rPr>
        <w:t xml:space="preserve"> </w:t>
      </w:r>
      <w:r>
        <w:t>https://web.mit.edu/kerberos/krb5-latest/doc/admin/enctypes.html#configuration-variables</w:t>
      </w:r>
    </w:p>
    <w:p>
      <w:pPr>
        <w:pStyle w:val="Para 05"/>
      </w:pPr>
      <w:r>
        <w:rPr>
          <w:rStyle w:val="Text5"/>
        </w:rPr>
        <w:t>117</w:t>
      </w:r>
      <w:r>
        <w:rPr>
          <w:rStyle w:val="Text8"/>
        </w:rPr>
        <w:t xml:space="preserve"> </w:t>
      </w:r>
      <w:r>
        <w:t>https://web.mit.edu/kerberos/krb5-latest/doc/admin/enctypes.html#migrating-away-from-older-encryption-types</w:t>
      </w:r>
    </w:p>
    <w:p>
      <w:pPr>
        <w:pStyle w:val="Para 05"/>
      </w:pPr>
      <w:r>
        <w:rPr>
          <w:rStyle w:val="Text5"/>
        </w:rPr>
        <w:t>118</w:t>
      </w:r>
      <w:r>
        <w:rPr>
          <w:rStyle w:val="Text8"/>
        </w:rPr>
        <w:t xml:space="preserve"> </w:t>
      </w:r>
      <w:r>
        <w:t>https://manpages.ubuntu.com/manpages/resolute/man5/kdc.conf.5.html</w:t>
      </w:r>
    </w:p>
    <w:p>
      <w:pPr>
        <w:pStyle w:val="Para 05"/>
      </w:pPr>
      <w:r>
        <w:rPr>
          <w:rStyle w:val="Text5"/>
        </w:rPr>
        <w:t>119</w:t>
      </w:r>
      <w:r>
        <w:rPr>
          <w:rStyle w:val="Text8"/>
        </w:rPr>
        <w:t xml:space="preserve"> </w:t>
      </w:r>
      <w:r>
        <w:t>https://manpages.ubuntu.com/manpages/resolute/man5/krb5.conf.5.html</w:t>
      </w:r>
    </w:p>
    <w:p>
      <w:bookmarkStart w:id="203" w:name="page_1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49"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153"/>
                    <a:stretch>
                      <a:fillRect/>
                    </a:stretch>
                  </pic:blipFill>
                  <pic:spPr>
                    <a:xfrm>
                      <a:off x="0" y="0"/>
                      <a:ext cx="914400" cy="266700"/>
                    </a:xfrm>
                    <a:prstGeom prst="rect">
                      <a:avLst/>
                    </a:prstGeom>
                  </pic:spPr>
                </pic:pic>
              </a:graphicData>
            </a:graphic>
          </wp:anchor>
        </w:drawing>
      </w:r>
      <w:bookmarkEnd w:id="203"/>
    </w:p>
    <w:p>
      <w:pPr>
        <w:pStyle w:val="Para 13"/>
      </w:pPr>
      <w:r>
        <w:rPr>
          <w:rStyle w:val="Text7"/>
        </w:rPr>
        <w:t xml:space="preserve">• </w:t>
      </w:r>
      <w:hyperlink r:id="rId1128">
        <w:r>
          <w:rPr>
            <w:rStyle w:val="Text10"/>
          </w:rPr>
          <w:t>120</w:t>
        </w:r>
      </w:hyperlink>
      <w:hyperlink r:id="rId1128">
        <w:r>
          <w:t xml:space="preserve"> Kerberos V5 concepts</w:t>
        </w:r>
      </w:hyperlink>
    </w:p>
    <w:p>
      <w:pPr>
        <w:pStyle w:val="Para 17"/>
      </w:pPr>
      <w:r>
        <w:t/>
      </w:r>
    </w:p>
    <w:p>
      <w:pPr>
        <w:pStyle w:val="Para 01"/>
      </w:pPr>
      <w:r>
        <w:t>How to set up secondary KDC</w:t>
      </w:r>
    </w:p>
    <w:p>
      <w:pPr>
        <w:pStyle w:val="Para 17"/>
      </w:pPr>
      <w:r>
        <w:t/>
      </w:r>
    </w:p>
    <w:p>
      <w:pPr>
        <w:pStyle w:val="Normal"/>
      </w:pPr>
      <w:r>
        <w:t>Once you have one Key Distribution Center (KDC) on your network, it is good practice to have a secondary KDC in case the primary becomes unavailable.</w:t>
      </w:r>
    </w:p>
    <w:p>
      <w:pPr>
        <w:pStyle w:val="Normal"/>
      </w:pPr>
      <w:r>
        <w:t>Also, if you have Kerberos clients that are on different networks (possibly separated by routers using NAT), it is wise to place a secondary KDC in each of those networks.</w:t>
      </w:r>
    </w:p>
    <w:p>
      <w:pPr>
        <w:pStyle w:val="Para 08"/>
      </w:pPr>
      <w:r>
        <w:t>Note:</w:t>
      </w:r>
    </w:p>
    <w:p>
      <w:pPr>
        <w:pStyle w:val="Para 03"/>
      </w:pPr>
      <w:r>
        <w:t>The native replication mechanism explained here relies on a cron job; it essentially dumps</w:t>
      </w:r>
    </w:p>
    <w:p>
      <w:pPr>
        <w:pStyle w:val="Para 03"/>
      </w:pPr>
      <w:r>
        <w:t>the DB on the primary and loads it back up on the secondary. You may want to take a look</w:t>
      </w:r>
    </w:p>
    <w:p>
      <w:pPr>
        <w:pStyle w:val="Para 03"/>
      </w:pPr>
      <w:r>
        <w:t>at using the kldap backend, which can use the OpenLDAP replication mechanism. This is</w:t>
      </w:r>
    </w:p>
    <w:p>
      <w:pPr>
        <w:pStyle w:val="Para 43"/>
      </w:pPr>
      <w:r>
        <w:rPr>
          <w:rStyle w:val="Text4"/>
        </w:rPr>
        <w:t xml:space="preserve">explained in </w:t>
      </w:r>
      <w:hyperlink w:anchor="page_151">
        <w:r>
          <w:t>How to set up Kerberos with OpenLDAP backend</w:t>
        </w:r>
      </w:hyperlink>
      <w:r>
        <w:rPr>
          <w:rStyle w:val="Text4"/>
        </w:rPr>
        <w:t xml:space="preserve"> (page 150).</w:t>
      </w:r>
    </w:p>
    <w:p>
      <w:pPr>
        <w:pStyle w:val="Para 17"/>
      </w:pPr>
      <w:r>
        <w:t/>
      </w:r>
    </w:p>
    <w:p>
      <w:pPr>
        <w:pStyle w:val="Para 01"/>
      </w:pPr>
      <w:r>
        <w:t>Install the required packages</w:t>
      </w:r>
    </w:p>
    <w:p>
      <w:pPr>
        <w:pStyle w:val="Para 17"/>
      </w:pPr>
      <w:r>
        <w:t/>
      </w:r>
    </w:p>
    <w:p>
      <w:pPr>
        <w:pStyle w:val="Normal"/>
      </w:pPr>
      <w:r>
        <w:t>First, install the packages, and when asked for the Kerberos and Admin server names enter the name of the Primary KDC:</w:t>
      </w:r>
    </w:p>
    <w:p>
      <w:pPr>
        <w:pStyle w:val="Normal"/>
      </w:pPr>
      <w:r>
        <w:t>sudo apt install krb5-kdc krb5-admin-server</w:t>
      </w:r>
    </w:p>
    <w:p>
      <w:pPr>
        <w:pStyle w:val="Para 17"/>
      </w:pPr>
      <w:r>
        <w:t/>
      </w:r>
    </w:p>
    <w:p>
      <w:pPr>
        <w:pStyle w:val="Normal"/>
      </w:pPr>
      <w:r>
        <w:t>Once you have installed the packages, create the host principals for both KDCs. From a ter-minal prompt, enter:</w:t>
      </w:r>
    </w:p>
    <w:p>
      <w:pPr>
        <w:pStyle w:val="Normal"/>
      </w:pPr>
      <w:r>
        <w:t>$ kadmin -q</w:t>
        <w:t xml:space="preserve"> </w:t>
        <w:t>"addprinc -randkey host/kdc01.example.com"</w:t>
        <w:t xml:space="preserve"> </w:t>
        <w:t>$ kadmin -q</w:t>
        <w:t xml:space="preserve"> </w:t>
        <w:t>"addprinc -randkey host/kdc02.example.com"</w:t>
      </w:r>
    </w:p>
    <w:p>
      <w:pPr>
        <w:pStyle w:val="Para 17"/>
      </w:pPr>
      <w:r>
        <w:t/>
      </w:r>
    </w:p>
    <w:p>
      <w:pPr>
        <w:pStyle w:val="Para 08"/>
      </w:pPr>
      <w:r>
        <w:t>Note:</w:t>
      </w:r>
    </w:p>
    <w:p>
      <w:pPr>
        <w:pStyle w:val="Para 03"/>
      </w:pPr>
      <w:r>
        <w:t>The kadmin command defaults to using a principal like username/admin@EXAMPLE.COM, where</w:t>
      </w:r>
    </w:p>
    <w:p>
      <w:pPr>
        <w:pStyle w:val="Para 03"/>
      </w:pPr>
      <w:r>
        <w:t>username is your current shell user. If you need to override that, use-p &lt;principal-you-</w:t>
      </w:r>
    </w:p>
    <w:p>
      <w:pPr>
        <w:pStyle w:val="Para 03"/>
      </w:pPr>
      <w:r>
        <w:t>want&gt;.</w:t>
      </w:r>
    </w:p>
    <w:p>
      <w:pPr>
        <w:pStyle w:val="Normal"/>
      </w:pPr>
      <w:r>
        <w:t xml:space="preserve">Extract the </w:t>
      </w:r>
      <w:r>
        <w:rPr>
          <w:rStyle w:val="Text0"/>
        </w:rPr>
        <w:t>key file</w:t>
      </w:r>
      <w:r>
        <w:t xml:space="preserve"> for the kdc02 principal, which is the server we are on:</w:t>
      </w:r>
    </w:p>
    <w:p>
      <w:pPr>
        <w:pStyle w:val="Normal"/>
      </w:pPr>
      <w:r>
        <w:t>$ sudo kadmin -p ubuntu/admin -q</w:t>
        <w:t xml:space="preserve"> </w:t>
        <w:t>"ktadd host/kdc02.example.com"</w:t>
      </w:r>
    </w:p>
    <w:p>
      <w:pPr>
        <w:pStyle w:val="Para 17"/>
      </w:pPr>
      <w:r>
        <w:t/>
      </w:r>
    </w:p>
    <w:p>
      <w:pPr>
        <w:pStyle w:val="Normal"/>
      </w:pPr>
      <w:r>
        <w:t xml:space="preserve">Next, there needs to be a kpropd.acl file on each KDC that lists all KDCs for the realm. For example, on both the </w:t>
      </w:r>
      <w:r>
        <w:rPr>
          <w:rStyle w:val="Text0"/>
        </w:rPr>
        <w:t>primary and secondary KDC</w:t>
      </w:r>
      <w:r>
        <w:t>, create /etc/krb5kdc/kpropd.acl:</w:t>
      </w:r>
    </w:p>
    <w:p>
      <w:pPr>
        <w:pStyle w:val="Normal"/>
      </w:pPr>
      <w:r>
        <w:t>host/kdc01.example.com@EXAMPLE.COM</w:t>
      </w:r>
    </w:p>
    <w:p>
      <w:pPr>
        <w:pStyle w:val="Normal"/>
      </w:pPr>
      <w:r>
        <w:t>host/kdc02.example.com@EXAMPLE.COM</w:t>
      </w:r>
    </w:p>
    <w:p>
      <w:pPr>
        <w:pStyle w:val="Para 05"/>
      </w:pPr>
      <w:r>
        <w:rPr>
          <w:rStyle w:val="Text5"/>
        </w:rPr>
        <w:t>120</w:t>
      </w:r>
      <w:r>
        <w:rPr>
          <w:rStyle w:val="Text8"/>
        </w:rPr>
        <w:t xml:space="preserve"> </w:t>
      </w:r>
      <w:r>
        <w:t>https://web.mit.edu/kerberos/krb5-latest/doc/basic/index.html</w:t>
      </w:r>
    </w:p>
    <w:p>
      <w:bookmarkStart w:id="204" w:name="page_1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0"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154"/>
                    <a:stretch>
                      <a:fillRect/>
                    </a:stretch>
                  </pic:blipFill>
                  <pic:spPr>
                    <a:xfrm>
                      <a:off x="0" y="0"/>
                      <a:ext cx="914400" cy="266700"/>
                    </a:xfrm>
                    <a:prstGeom prst="rect">
                      <a:avLst/>
                    </a:prstGeom>
                  </pic:spPr>
                </pic:pic>
              </a:graphicData>
            </a:graphic>
          </wp:anchor>
        </w:drawing>
      </w:r>
      <w:bookmarkEnd w:id="204"/>
    </w:p>
    <w:p>
      <w:pPr>
        <w:pStyle w:val="Para 08"/>
      </w:pPr>
      <w:r>
        <w:t>Note:</w:t>
      </w:r>
    </w:p>
    <w:p>
      <w:pPr>
        <w:pStyle w:val="Para 03"/>
      </w:pPr>
      <w:r>
        <w:t>It’s customary to allow both KDCs because one may want to switch their roles if one goes</w:t>
      </w:r>
    </w:p>
    <w:p>
      <w:pPr>
        <w:pStyle w:val="Para 03"/>
      </w:pPr>
      <w:r>
        <w:t>bad. For such an eventuality, both are already listed here.</w:t>
      </w:r>
    </w:p>
    <w:p>
      <w:pPr>
        <w:pStyle w:val="Para 17"/>
      </w:pPr>
      <w:r>
        <w:t/>
      </w:r>
    </w:p>
    <w:p>
      <w:pPr>
        <w:pStyle w:val="Normal"/>
      </w:pPr>
      <w:r>
        <w:t xml:space="preserve">Create an empty database on the </w:t>
      </w:r>
      <w:r>
        <w:rPr>
          <w:rStyle w:val="Text0"/>
        </w:rPr>
        <w:t>secondary KDC</w:t>
      </w:r>
      <w:r>
        <w:t>:</w:t>
      </w:r>
    </w:p>
    <w:p>
      <w:pPr>
        <w:pStyle w:val="Normal"/>
      </w:pPr>
      <w:r>
        <w:t>$ sudo kdb5_util create -s</w:t>
      </w:r>
    </w:p>
    <w:p>
      <w:pPr>
        <w:pStyle w:val="Para 17"/>
      </w:pPr>
      <w:r>
        <w:t/>
      </w:r>
    </w:p>
    <w:p>
      <w:pPr>
        <w:pStyle w:val="Normal"/>
      </w:pPr>
      <w:r>
        <w:t xml:space="preserve">Now install kpropd daemon, which listens for connections from the kprop utility from the </w:t>
      </w:r>
      <w:r>
        <w:rPr>
          <w:rStyle w:val="Text0"/>
        </w:rPr>
        <w:t>primary KDC</w:t>
      </w:r>
      <w:r>
        <w:t>:</w:t>
      </w:r>
    </w:p>
    <w:p>
      <w:pPr>
        <w:pStyle w:val="Normal"/>
      </w:pPr>
      <w:r>
        <w:t>$ sudo apt install krb5-kpropd</w:t>
      </w:r>
    </w:p>
    <w:p>
      <w:pPr>
        <w:pStyle w:val="Para 17"/>
      </w:pPr>
      <w:r>
        <w:t/>
      </w:r>
    </w:p>
    <w:p>
      <w:pPr>
        <w:pStyle w:val="Normal"/>
      </w:pPr>
      <w:r>
        <w:t>The service will be running immediately after installation.</w:t>
      </w:r>
    </w:p>
    <w:p>
      <w:pPr>
        <w:pStyle w:val="Normal"/>
      </w:pPr>
      <w:r>
        <w:t xml:space="preserve">From a terminal on the </w:t>
      </w:r>
      <w:r>
        <w:rPr>
          <w:rStyle w:val="Text0"/>
        </w:rPr>
        <w:t>primary KDC</w:t>
      </w:r>
      <w:r>
        <w:t>, create a dump file of the principal database:</w:t>
      </w:r>
    </w:p>
    <w:p>
      <w:pPr>
        <w:pStyle w:val="Normal"/>
      </w:pPr>
      <w:r>
        <w:t>$ sudo kdb5_util dump /var/lib/krb5kdc/dump</w:t>
      </w:r>
    </w:p>
    <w:p>
      <w:pPr>
        <w:pStyle w:val="Para 17"/>
      </w:pPr>
      <w:r>
        <w:t/>
      </w:r>
    </w:p>
    <w:p>
      <w:pPr>
        <w:pStyle w:val="Normal"/>
      </w:pPr>
      <w:r>
        <w:t xml:space="preserve">Still on the </w:t>
      </w:r>
      <w:r>
        <w:rPr>
          <w:rStyle w:val="Text0"/>
        </w:rPr>
        <w:t>Primary KDC</w:t>
      </w:r>
      <w:r>
        <w:t xml:space="preserve">, extract its </w:t>
      </w:r>
      <w:r>
        <w:rPr>
          <w:rStyle w:val="Text0"/>
        </w:rPr>
        <w:t>key</w:t>
      </w:r>
      <w:r>
        <w:t>:</w:t>
      </w:r>
    </w:p>
    <w:p>
      <w:pPr>
        <w:pStyle w:val="Normal"/>
      </w:pPr>
      <w:r>
        <w:t>$ sudo kadmin.local -q</w:t>
        <w:t xml:space="preserve"> </w:t>
        <w:t>"ktadd host/kdc01.example.com"</w:t>
      </w:r>
    </w:p>
    <w:p>
      <w:pPr>
        <w:pStyle w:val="Para 17"/>
      </w:pPr>
      <w:r>
        <w:t/>
      </w:r>
    </w:p>
    <w:p>
      <w:pPr>
        <w:pStyle w:val="Normal"/>
      </w:pPr>
      <w:r>
        <w:t xml:space="preserve">On the </w:t>
      </w:r>
      <w:r>
        <w:rPr>
          <w:rStyle w:val="Text0"/>
        </w:rPr>
        <w:t>primary KDC</w:t>
      </w:r>
      <w:r>
        <w:t>, run the kprop utility to push the database dump made before to the secondary KDC:</w:t>
      </w:r>
    </w:p>
    <w:p>
      <w:pPr>
        <w:pStyle w:val="Normal"/>
      </w:pPr>
      <w:r>
        <w:t>$ sudo kprop -r EXAMPLE.COM -f /var/lib/krb5kdc/dump kdc02.example.com</w:t>
        <w:t xml:space="preserve"> </w:t>
        <w:t>Database propagation to kdc02.example.com: SUCCEEDED</w:t>
      </w:r>
    </w:p>
    <w:p>
      <w:pPr>
        <w:pStyle w:val="Para 17"/>
      </w:pPr>
      <w:r>
        <w:t/>
      </w:r>
    </w:p>
    <w:p>
      <w:pPr>
        <w:pStyle w:val="Normal"/>
      </w:pPr>
      <w:r>
        <w:t>Note the SUCCEEDED message, which signals that the propagation worked. If there is an error message, check /var/log/syslog on the secondary KDC for more information.</w:t>
      </w:r>
    </w:p>
    <w:p>
      <w:pPr>
        <w:pStyle w:val="Normal"/>
      </w:pPr>
      <w:r>
        <w:t xml:space="preserve">You may also want to create a cron job to periodically update the database on the </w:t>
      </w:r>
      <w:r>
        <w:rPr>
          <w:rStyle w:val="Text0"/>
        </w:rPr>
        <w:t>secondary KDC</w:t>
      </w:r>
      <w:r>
        <w:t>. For example, the following will push the database every hour:</w:t>
      </w:r>
    </w:p>
    <w:p>
      <w:pPr>
        <w:pStyle w:val="Para 10"/>
      </w:pPr>
      <w:r>
        <w:t># m h</w:t>
      </w:r>
      <w:r>
        <w:rPr>
          <w:rStyle w:val="Text3"/>
        </w:rPr>
        <w:t xml:space="preserve"> </w:t>
      </w:r>
      <w:r>
        <w:t>dom mon dow</w:t>
      </w:r>
      <w:r>
        <w:rPr>
          <w:rStyle w:val="Text3"/>
        </w:rPr>
        <w:t xml:space="preserve"> </w:t>
      </w:r>
      <w:r>
        <w:t>command</w:t>
      </w:r>
    </w:p>
    <w:p>
      <w:pPr>
        <w:pStyle w:val="Normal"/>
      </w:pPr>
      <w:r>
        <w:t>0</w:t>
        <w:t xml:space="preserve"> </w:t>
        <w:t>* * * * root /usr/sbin/kdb5_util dump /var/lib/krb5kdc/dump</w:t>
        <w:t xml:space="preserve"> </w:t>
        <w:t>&amp;&amp;</w:t>
        <w:t xml:space="preserve"> </w:t>
        <w:t>/usr/sbin/kprop -r</w:t>
        <w:t xml:space="preserve"> </w:t>
        <w:t>EXAMPLE.COM -f /var/lib/krb5kdc/dump kdc02.example.com</w:t>
      </w:r>
    </w:p>
    <w:p>
      <w:pPr>
        <w:pStyle w:val="Para 17"/>
      </w:pPr>
      <w:r>
        <w:t/>
      </w:r>
    </w:p>
    <w:p>
      <w:pPr>
        <w:pStyle w:val="Normal"/>
      </w:pPr>
      <w:r>
        <w:t xml:space="preserve">Finally, start the krb5-kdc daemon on the </w:t>
      </w:r>
      <w:r>
        <w:rPr>
          <w:rStyle w:val="Text0"/>
        </w:rPr>
        <w:t>secondary KDC</w:t>
      </w:r>
      <w:r>
        <w:t>:</w:t>
      </w:r>
    </w:p>
    <w:p>
      <w:pPr>
        <w:pStyle w:val="Normal"/>
      </w:pPr>
      <w:r>
        <w:t>$ sudo systemctl start krb5-kdc.service</w:t>
      </w:r>
    </w:p>
    <w:p>
      <w:pPr>
        <w:pStyle w:val="Para 17"/>
      </w:pPr>
      <w:r>
        <w:t/>
      </w:r>
    </w:p>
    <w:p>
      <w:pPr>
        <w:pStyle w:val="Para 08"/>
      </w:pPr>
      <w:r>
        <w:t>Note:</w:t>
      </w:r>
    </w:p>
    <w:p>
      <w:pPr>
        <w:pStyle w:val="Para 03"/>
      </w:pPr>
      <w:r>
        <w:t>The secondary KDC does not run an admin server, since it’s a read-only copy.</w:t>
      </w:r>
    </w:p>
    <w:p>
      <w:pPr>
        <w:pStyle w:val="Para 17"/>
      </w:pPr>
      <w:r>
        <w:t/>
      </w:r>
    </w:p>
    <w:p>
      <w:pPr>
        <w:pStyle w:val="Normal"/>
      </w:pPr>
      <w:r>
        <w:t>From now on, you can specify both KDC servers in /etc/krb5.conf for the EXAMPLE.COM realm, in any host participating in this realm (including kdc01 and kdc02), but remember that there can only be one admin server and that’s the one running on kdc01:</w:t>
      </w:r>
    </w:p>
    <w:p>
      <w:pPr>
        <w:pStyle w:val="Normal"/>
      </w:pPr>
      <w:r>
        <w:t>[realms]</w:t>
      </w:r>
    </w:p>
    <w:p>
      <w:pPr>
        <w:pStyle w:val="Para 02"/>
      </w:pPr>
      <w:r>
        <w:t>EXAMPLE.COM = {</w:t>
      </w:r>
    </w:p>
    <w:p>
      <w:pPr>
        <w:pStyle w:val="Para 09"/>
      </w:pPr>
      <w:r>
        <w:t>(continues on next page)</w:t>
      </w:r>
    </w:p>
    <w:p>
      <w:bookmarkStart w:id="205" w:name="page_1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1"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155"/>
                    <a:stretch>
                      <a:fillRect/>
                    </a:stretch>
                  </pic:blipFill>
                  <pic:spPr>
                    <a:xfrm>
                      <a:off x="0" y="0"/>
                      <a:ext cx="914400" cy="266700"/>
                    </a:xfrm>
                    <a:prstGeom prst="rect">
                      <a:avLst/>
                    </a:prstGeom>
                  </pic:spPr>
                </pic:pic>
              </a:graphicData>
            </a:graphic>
          </wp:anchor>
        </w:drawing>
      </w:r>
      <w:bookmarkEnd w:id="205"/>
    </w:p>
    <w:p>
      <w:pPr>
        <w:pStyle w:val="Para 09"/>
      </w:pPr>
      <w:r>
        <w:t>(continued from previous page)</w:t>
      </w:r>
    </w:p>
    <w:p>
      <w:pPr>
        <w:pStyle w:val="Para 12"/>
      </w:pPr>
      <w:r>
        <w:t>kdc = kdc01.example.com</w:t>
      </w:r>
    </w:p>
    <w:p>
      <w:pPr>
        <w:pStyle w:val="Para 12"/>
      </w:pPr>
      <w:r>
        <w:t>kdc = kdc02.example.com</w:t>
      </w:r>
    </w:p>
    <w:p>
      <w:pPr>
        <w:pStyle w:val="Para 12"/>
      </w:pPr>
      <w:r>
        <w:t>admin_server = kdc01.example.com</w:t>
      </w:r>
    </w:p>
    <w:p>
      <w:pPr>
        <w:pStyle w:val="Para 02"/>
      </w:pPr>
      <w:r>
        <w:t>}</w:t>
      </w:r>
    </w:p>
    <w:p>
      <w:pPr>
        <w:pStyle w:val="Para 17"/>
      </w:pPr>
      <w:r>
        <w:t/>
      </w:r>
    </w:p>
    <w:p>
      <w:pPr>
        <w:pStyle w:val="Normal"/>
      </w:pPr>
      <w:r>
        <w:t xml:space="preserve">The </w:t>
      </w:r>
      <w:r>
        <w:rPr>
          <w:rStyle w:val="Text0"/>
        </w:rPr>
        <w:t>secondary KDC</w:t>
      </w:r>
      <w:r>
        <w:t xml:space="preserve"> should now be able to issue tickets for the realm. You can test this by stopping the krb5-kdc daemon on the primary KDC, then using kinit to request a ticket. If all goes well you should receive a ticket from the secondary KDC. Otherwise, check /var/log/ syslog and /var/log/auth.log on the secondary KDC.</w:t>
      </w:r>
    </w:p>
    <w:p>
      <w:pPr>
        <w:pStyle w:val="Para 17"/>
      </w:pPr>
      <w:r>
        <w:t/>
      </w:r>
    </w:p>
    <w:p>
      <w:pPr>
        <w:pStyle w:val="Para 01"/>
      </w:pPr>
      <w:r>
        <w:t>How to set up basic workstation authentication</w:t>
      </w:r>
    </w:p>
    <w:p>
      <w:pPr>
        <w:pStyle w:val="Para 17"/>
      </w:pPr>
      <w:r>
        <w:t/>
      </w:r>
    </w:p>
    <w:p>
      <w:pPr>
        <w:pStyle w:val="Normal"/>
      </w:pPr>
      <w:r>
        <w:t>In this section we’ll look at configuring a Linux system as a Kerberos client. This will allow access to any “Kerber-ised” services once a user has successfully logged into the system.</w:t>
      </w:r>
    </w:p>
    <w:p>
      <w:pPr>
        <w:pStyle w:val="Normal"/>
      </w:pPr>
      <w:r>
        <w:t xml:space="preserve">Note that Kerberos alone is not enough for a user to exist in a Linux system. We cannot just point the system at a Kerberos server and expect all the Kerberos principals to be able to </w:t>
      </w:r>
      <w:r>
        <w:rPr>
          <w:rStyle w:val="Text3"/>
        </w:rPr>
        <w:t>log in</w:t>
      </w:r>
      <w:r>
        <w:t xml:space="preserve"> on the Linux system, simply because these users do not </w:t>
      </w:r>
      <w:r>
        <w:rPr>
          <w:rStyle w:val="Text3"/>
        </w:rPr>
        <w:t>exist</w:t>
      </w:r>
      <w:r>
        <w:t xml:space="preserve"> locally.</w:t>
      </w:r>
    </w:p>
    <w:p>
      <w:pPr>
        <w:pStyle w:val="Normal"/>
      </w:pPr>
      <w:r>
        <w:t xml:space="preserve">Kerberos only provides authentication: it doesn’t know about user groups, Linux </w:t>
      </w:r>
      <w:hyperlink w:anchor="page_711">
        <w:r>
          <w:rPr>
            <w:rStyle w:val="Text2"/>
          </w:rPr>
          <w:t>UIDs</w:t>
        </w:r>
      </w:hyperlink>
      <w:r>
        <w:t xml:space="preserve"> and</w:t>
      </w:r>
    </w:p>
    <w:p>
      <w:pPr>
        <w:pStyle w:val="Normal"/>
      </w:pPr>
      <w:hyperlink w:anchor="page_685">
        <w:r>
          <w:rPr>
            <w:rStyle w:val="Text2"/>
          </w:rPr>
          <w:t>GIDs</w:t>
        </w:r>
      </w:hyperlink>
      <w:r>
        <w:t>, home directories, etc. Normally, another network source is used for this information, such as an LDAP or Windows server, and, in the old days, NIS was used for that as well.</w:t>
      </w:r>
    </w:p>
    <w:p>
      <w:pPr>
        <w:pStyle w:val="Para 17"/>
      </w:pPr>
      <w:r>
        <w:t/>
      </w:r>
    </w:p>
    <w:p>
      <w:pPr>
        <w:pStyle w:val="Para 01"/>
      </w:pPr>
      <w:r>
        <w:t>Set up a Linux system as a Kerberos client</w:t>
      </w:r>
    </w:p>
    <w:p>
      <w:pPr>
        <w:pStyle w:val="Para 17"/>
      </w:pPr>
      <w:r>
        <w:t/>
      </w:r>
    </w:p>
    <w:p>
      <w:pPr>
        <w:pStyle w:val="Normal"/>
      </w:pPr>
      <w:r>
        <w:t>If you have local users matching the principals in a Kerberos realm, and just want to switch the authentication from local to remote using Kerberos, you can follow this section. This is not a very usual scenario, but serves to highlight the separation between user authentication and user information (full name, UID, GID, home directory, groups, etc). If you just want to be able to grab tickets and use them, it’s enough to install krb5-user and run kinit.</w:t>
      </w:r>
    </w:p>
    <w:p>
      <w:pPr>
        <w:pStyle w:val="Normal"/>
      </w:pPr>
      <w:r>
        <w:t>We are going to use sssd with a trick so that it will fetch the user information from the local system files, instead of a remote source which is the more common case.</w:t>
      </w:r>
    </w:p>
    <w:p>
      <w:pPr>
        <w:pStyle w:val="Para 17"/>
      </w:pPr>
      <w:r>
        <w:t/>
      </w:r>
    </w:p>
    <w:p>
      <w:pPr>
        <w:pStyle w:val="Para 01"/>
      </w:pPr>
      <w:r>
        <w:t>Install the required packages</w:t>
      </w:r>
    </w:p>
    <w:p>
      <w:pPr>
        <w:pStyle w:val="Para 17"/>
      </w:pPr>
      <w:r>
        <w:t/>
      </w:r>
    </w:p>
    <w:p>
      <w:pPr>
        <w:pStyle w:val="Normal"/>
      </w:pPr>
      <w:r>
        <w:t>To install the packages enter the following in a terminal prompt:</w:t>
      </w:r>
    </w:p>
    <w:p>
      <w:pPr>
        <w:pStyle w:val="Normal"/>
      </w:pPr>
      <w:r>
        <w:t>$ sudo apt install krb5-user sssd-krb5</w:t>
      </w:r>
    </w:p>
    <w:p>
      <w:pPr>
        <w:pStyle w:val="Para 17"/>
      </w:pPr>
      <w:r>
        <w:t/>
      </w:r>
    </w:p>
    <w:p>
      <w:pPr>
        <w:pStyle w:val="Normal"/>
      </w:pPr>
      <w:r>
        <w:t>You will be prompted for the addresses of your KDCs and admin servers. If you have followed</w:t>
      </w:r>
    </w:p>
    <w:p>
      <w:pPr>
        <w:pStyle w:val="Normal"/>
      </w:pPr>
      <w:r>
        <w:t xml:space="preserve">our </w:t>
      </w:r>
      <w:hyperlink w:anchor="page_138">
        <w:r>
          <w:rPr>
            <w:rStyle w:val="Text2"/>
          </w:rPr>
          <w:t>how to install a Kerberos server</w:t>
        </w:r>
      </w:hyperlink>
      <w:r>
        <w:t xml:space="preserve"> (page 137) and </w:t>
      </w:r>
      <w:hyperlink w:anchor="page_147">
        <w:r>
          <w:rPr>
            <w:rStyle w:val="Text2"/>
          </w:rPr>
          <w:t>how to set up a secondary KDC</w:t>
        </w:r>
      </w:hyperlink>
      <w:r>
        <w:t xml:space="preserve"> (page 146) guides, the KDCs will be (space separated):</w:t>
      </w:r>
    </w:p>
    <w:p>
      <w:pPr>
        <w:pStyle w:val="Normal"/>
      </w:pPr>
      <w:r>
        <w:t>kdc01</w:t>
        <w:t>.</w:t>
        <w:t>example</w:t>
        <w:t>.</w:t>
        <w:t>com kdc02</w:t>
        <w:t>.</w:t>
        <w:t>example</w:t>
        <w:t>.</w:t>
        <w:t>com</w:t>
      </w:r>
    </w:p>
    <w:p>
      <w:pPr>
        <w:pStyle w:val="Para 17"/>
      </w:pPr>
      <w:r>
        <w:t/>
      </w:r>
    </w:p>
    <w:p>
      <w:pPr>
        <w:pStyle w:val="Normal"/>
      </w:pPr>
      <w:r>
        <w:t>And the admin server will be:</w:t>
      </w:r>
    </w:p>
    <w:p>
      <w:pPr>
        <w:pStyle w:val="Normal"/>
      </w:pPr>
      <w:r>
        <w:t>kdc01</w:t>
        <w:t>.</w:t>
        <w:t>example</w:t>
        <w:t>.</w:t>
        <w:t>com</w:t>
        <w:t xml:space="preserve"> Remember that kdc02 is a read-only copy of the primary KDC, so it doesn’t run an admin server.</w:t>
      </w:r>
    </w:p>
    <w:p>
      <w:bookmarkStart w:id="206" w:name="page_1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2"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156"/>
                    <a:stretch>
                      <a:fillRect/>
                    </a:stretch>
                  </pic:blipFill>
                  <pic:spPr>
                    <a:xfrm>
                      <a:off x="0" y="0"/>
                      <a:ext cx="914400" cy="266700"/>
                    </a:xfrm>
                    <a:prstGeom prst="rect">
                      <a:avLst/>
                    </a:prstGeom>
                  </pic:spPr>
                </pic:pic>
              </a:graphicData>
            </a:graphic>
          </wp:anchor>
        </w:drawing>
      </w:r>
      <w:bookmarkEnd w:id="206"/>
    </w:p>
    <w:p>
      <w:pPr>
        <w:pStyle w:val="Para 08"/>
      </w:pPr>
      <w:r>
        <w:t>Note:</w:t>
      </w:r>
    </w:p>
    <w:p>
      <w:pPr>
        <w:pStyle w:val="Para 03"/>
      </w:pPr>
      <w:r>
        <w:t xml:space="preserve">If you have added the appropriate SRV records to </w:t>
      </w:r>
      <w:hyperlink w:anchor="page_679">
        <w:r>
          <w:rPr>
            <w:rStyle w:val="Text2"/>
          </w:rPr>
          <w:t>DNS</w:t>
        </w:r>
      </w:hyperlink>
      <w:r>
        <w:t xml:space="preserve"> , none of those prompts will need</w:t>
      </w:r>
    </w:p>
    <w:p>
      <w:pPr>
        <w:pStyle w:val="Para 03"/>
      </w:pPr>
      <w:r>
        <w:t>answering.</w:t>
      </w:r>
    </w:p>
    <w:p>
      <w:pPr>
        <w:pStyle w:val="Para 17"/>
      </w:pPr>
      <w:r>
        <w:t/>
      </w:r>
    </w:p>
    <w:p>
      <w:pPr>
        <w:pStyle w:val="Para 01"/>
      </w:pPr>
      <w:r>
        <w:t>Configure Kerberos</w:t>
      </w:r>
    </w:p>
    <w:p>
      <w:pPr>
        <w:pStyle w:val="Para 17"/>
      </w:pPr>
      <w:r>
        <w:t/>
      </w:r>
    </w:p>
    <w:p>
      <w:pPr>
        <w:pStyle w:val="Normal"/>
      </w:pPr>
      <w:r>
        <w:t>If you missed the questions earlier, you can reconfigure the package to fill them in again:</w:t>
      </w:r>
    </w:p>
    <w:p>
      <w:pPr>
        <w:pStyle w:val="Normal"/>
      </w:pPr>
      <w:r>
        <w:t>sudo dpkg</w:t>
        <w:t>-</w:t>
        <w:t>reconfigure krb5</w:t>
        <w:t>-</w:t>
        <w:t>config</w:t>
      </w:r>
    </w:p>
    <w:p>
      <w:pPr>
        <w:pStyle w:val="Para 17"/>
      </w:pPr>
      <w:r>
        <w:t/>
      </w:r>
    </w:p>
    <w:p>
      <w:pPr>
        <w:pStyle w:val="Normal"/>
      </w:pPr>
      <w:r>
        <w:t>You can test the Kerberos configuration by requesting a ticket using the kinit utility. For example:</w:t>
      </w:r>
    </w:p>
    <w:p>
      <w:pPr>
        <w:pStyle w:val="Normal"/>
      </w:pPr>
      <w:r>
        <w:t>$ kinit ubuntu</w:t>
      </w:r>
    </w:p>
    <w:p>
      <w:pPr>
        <w:pStyle w:val="Normal"/>
      </w:pPr>
      <w:r>
        <w:t>Password</w:t>
        <w:t xml:space="preserve"> </w:t>
      </w:r>
      <w:r>
        <w:rPr>
          <w:rStyle w:val="Text0"/>
        </w:rPr>
        <w:t>for</w:t>
      </w:r>
      <w:r>
        <w:t xml:space="preserve"> </w:t>
        <w:t>ubuntu@EXAMPLE.COM:</w:t>
      </w:r>
    </w:p>
    <w:p>
      <w:pPr>
        <w:pStyle w:val="Para 17"/>
      </w:pPr>
      <w:r>
        <w:t/>
      </w:r>
    </w:p>
    <w:p>
      <w:pPr>
        <w:pStyle w:val="Normal"/>
      </w:pPr>
      <w:r>
        <w:t>Note that kinit doesn’t need the principal to exist as a local user in the system. In fact, you can kinit any principal you want. If you don’t specify one, then the tool will use the username of whoever is running kinit.</w:t>
      </w:r>
    </w:p>
    <w:p>
      <w:pPr>
        <w:pStyle w:val="Para 17"/>
      </w:pPr>
      <w:r>
        <w:t/>
      </w:r>
    </w:p>
    <w:p>
      <w:pPr>
        <w:pStyle w:val="Para 01"/>
      </w:pPr>
      <w:r>
        <w:t>Configure sssd</w:t>
      </w:r>
    </w:p>
    <w:p>
      <w:pPr>
        <w:pStyle w:val="Para 17"/>
      </w:pPr>
      <w:r>
        <w:t/>
      </w:r>
    </w:p>
    <w:p>
      <w:pPr>
        <w:pStyle w:val="Normal"/>
      </w:pPr>
      <w:r>
        <w:t>The only remaining configuration now is for sssd. Create the file /etc/sssd/sssd.conf with the following content:</w:t>
      </w:r>
    </w:p>
    <w:p>
      <w:pPr>
        <w:pStyle w:val="Normal"/>
      </w:pPr>
      <w:r>
        <w:t>[sssd]</w:t>
      </w:r>
    </w:p>
    <w:p>
      <w:pPr>
        <w:pStyle w:val="Normal"/>
      </w:pPr>
      <w:r>
        <w:t>config_file_version = 2</w:t>
      </w:r>
    </w:p>
    <w:p>
      <w:pPr>
        <w:pStyle w:val="Normal"/>
      </w:pPr>
      <w:r>
        <w:t>domains = example.com</w:t>
      </w:r>
    </w:p>
    <w:p>
      <w:pPr>
        <w:pStyle w:val="Normal"/>
      </w:pPr>
      <w:r>
        <w:t>[pam]</w:t>
      </w:r>
    </w:p>
    <w:p>
      <w:pPr>
        <w:pStyle w:val="Normal"/>
      </w:pPr>
      <w:r>
        <w:t>[domain/example.com]</w:t>
      </w:r>
    </w:p>
    <w:p>
      <w:pPr>
        <w:pStyle w:val="Normal"/>
      </w:pPr>
      <w:r>
        <w:t>id_provider = proxy</w:t>
      </w:r>
    </w:p>
    <w:p>
      <w:pPr>
        <w:pStyle w:val="Normal"/>
      </w:pPr>
      <w:r>
        <w:t>proxy_lib_name = files</w:t>
      </w:r>
    </w:p>
    <w:p>
      <w:pPr>
        <w:pStyle w:val="Normal"/>
      </w:pPr>
      <w:r>
        <w:t>auth_provider = krb5</w:t>
      </w:r>
    </w:p>
    <w:p>
      <w:pPr>
        <w:pStyle w:val="Normal"/>
      </w:pPr>
      <w:r>
        <w:t>krb5_server = kdc01.example.com,kdc02.example.com</w:t>
      </w:r>
    </w:p>
    <w:p>
      <w:pPr>
        <w:pStyle w:val="Normal"/>
      </w:pPr>
      <w:r>
        <w:t>krb5_kpasswd = kdc01.example.com</w:t>
      </w:r>
    </w:p>
    <w:p>
      <w:pPr>
        <w:pStyle w:val="Normal"/>
      </w:pPr>
      <w:r>
        <w:t>krb5_realm = EXAMPLE.COM</w:t>
      </w:r>
    </w:p>
    <w:p>
      <w:pPr>
        <w:pStyle w:val="Para 17"/>
      </w:pPr>
      <w:r>
        <w:t/>
      </w:r>
    </w:p>
    <w:p>
      <w:pPr>
        <w:pStyle w:val="Normal"/>
      </w:pPr>
      <w:r>
        <w:t xml:space="preserve">The above configuration will use Kerberos for </w:t>
      </w:r>
      <w:r>
        <w:rPr>
          <w:rStyle w:val="Text0"/>
        </w:rPr>
        <w:t>authentication</w:t>
      </w:r>
      <w:r>
        <w:t xml:space="preserve"> (auth_provider), but will use the local system users for user and group information (id_provider).</w:t>
      </w:r>
    </w:p>
    <w:p>
      <w:pPr>
        <w:pStyle w:val="Normal"/>
      </w:pPr>
      <w:r>
        <w:t>Adjust the permissions of the config file and start sssd:</w:t>
      </w:r>
    </w:p>
    <w:p>
      <w:pPr>
        <w:pStyle w:val="Normal"/>
      </w:pPr>
      <w:r>
        <w:t>$ sudo chown root:root /etc/sssd/sssd.conf</w:t>
      </w:r>
    </w:p>
    <w:p>
      <w:pPr>
        <w:pStyle w:val="Normal"/>
      </w:pPr>
      <w:r>
        <w:t>$ sudo chmod</w:t>
        <w:t xml:space="preserve"> </w:t>
        <w:t>0600</w:t>
        <w:t xml:space="preserve"> </w:t>
        <w:t>/etc/sssd/sssd.conf</w:t>
      </w:r>
    </w:p>
    <w:p>
      <w:pPr>
        <w:pStyle w:val="Normal"/>
      </w:pPr>
      <w:r>
        <w:t>$ sudo systemctl start sssd</w:t>
        <w:t xml:space="preserve"> Just by having installed sssd and its dependencies, PAM will already have been configured</w:t>
      </w:r>
    </w:p>
    <w:p>
      <w:bookmarkStart w:id="207" w:name="page_1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3" name="index-151_1.png" descr="index-151_1.png"/>
            <wp:cNvGraphicFramePr>
              <a:graphicFrameLocks noChangeAspect="1"/>
            </wp:cNvGraphicFramePr>
            <a:graphic>
              <a:graphicData uri="http://schemas.openxmlformats.org/drawingml/2006/picture">
                <pic:pic>
                  <pic:nvPicPr>
                    <pic:cNvPr id="0" name="index-151_1.png" descr="index-151_1.png"/>
                    <pic:cNvPicPr/>
                  </pic:nvPicPr>
                  <pic:blipFill>
                    <a:blip r:embed="rId157"/>
                    <a:stretch>
                      <a:fillRect/>
                    </a:stretch>
                  </pic:blipFill>
                  <pic:spPr>
                    <a:xfrm>
                      <a:off x="0" y="0"/>
                      <a:ext cx="914400" cy="266700"/>
                    </a:xfrm>
                    <a:prstGeom prst="rect">
                      <a:avLst/>
                    </a:prstGeom>
                  </pic:spPr>
                </pic:pic>
              </a:graphicData>
            </a:graphic>
          </wp:anchor>
        </w:drawing>
      </w:r>
      <w:bookmarkEnd w:id="207"/>
    </w:p>
    <w:p>
      <w:pPr>
        <w:pStyle w:val="Normal"/>
      </w:pPr>
      <w:r>
        <w:t xml:space="preserve">to use sssd, with a </w:t>
      </w:r>
      <w:hyperlink w:anchor="page_682">
        <w:r>
          <w:rPr>
            <w:rStyle w:val="Text2"/>
          </w:rPr>
          <w:t>fallback</w:t>
        </w:r>
      </w:hyperlink>
      <w:r>
        <w:t xml:space="preserve"> to local user authentication. To try it out, if this is a workstation, simply switch users (in the GUI), or open a login terminal (Ctrl-Alt-number), or spawn a login shell with sudo login, and try logging in using the name of a Kerberos principal. Remember that this user must already exist on the local system:</w:t>
      </w:r>
    </w:p>
    <w:p>
      <w:pPr>
        <w:pStyle w:val="Normal"/>
      </w:pPr>
      <w:r>
        <w:t>$ sudo login</w:t>
      </w:r>
    </w:p>
    <w:p>
      <w:pPr>
        <w:pStyle w:val="Normal"/>
      </w:pPr>
      <w:r>
        <w:t>focal-krb5-client login: ubuntu</w:t>
      </w:r>
    </w:p>
    <w:p>
      <w:pPr>
        <w:pStyle w:val="Normal"/>
      </w:pPr>
      <w:r>
        <w:t>Password:</w:t>
      </w:r>
    </w:p>
    <w:p>
      <w:pPr>
        <w:pStyle w:val="Normal"/>
      </w:pPr>
      <w:r>
        <w:t>Welcome to Ubuntu Focal Fossa</w:t>
        <w:t xml:space="preserve"> </w:t>
        <w:t>(</w:t>
        <w:t>development branch</w:t>
        <w:t>) (</w:t>
        <w:t>GNU/Linux</w:t>
        <w:t xml:space="preserve"> </w:t>
        <w:t>5</w:t>
        <w:t>.4.0-21-generic x86_64</w:t>
        <w:t>)</w:t>
      </w:r>
    </w:p>
    <w:p>
      <w:pPr>
        <w:pStyle w:val="Normal"/>
      </w:pPr>
      <w:r>
        <w:t>(</w:t>
        <w:t>...</w:t>
        <w:t>)</w:t>
      </w:r>
    </w:p>
    <w:p>
      <w:pPr>
        <w:pStyle w:val="Normal"/>
      </w:pPr>
      <w:r>
        <w:t>Last login: Thu Apr</w:t>
        <w:t xml:space="preserve"> </w:t>
        <w:t>9 21</w:t>
        <w:t>:23:50 UTC</w:t>
        <w:t xml:space="preserve"> </w:t>
        <w:t>2020</w:t>
        <w:t xml:space="preserve"> </w:t>
        <w:t>from</w:t>
        <w:t xml:space="preserve"> </w:t>
        <w:t>10</w:t>
        <w:t>.20.20.1 on pts/0</w:t>
        <w:t xml:space="preserve"> </w:t>
        <w:t>$ klist</w:t>
      </w:r>
    </w:p>
    <w:p>
      <w:pPr>
        <w:pStyle w:val="Normal"/>
      </w:pPr>
      <w:r>
        <w:t>Ticket cache: FILE:/tmp/krb5cc_1000_NlfnSX</w:t>
      </w:r>
    </w:p>
    <w:p>
      <w:pPr>
        <w:pStyle w:val="Normal"/>
      </w:pPr>
      <w:r>
        <w:t>Default principal: ubuntu@EXAMPLE.COM</w:t>
      </w:r>
    </w:p>
    <w:p>
      <w:pPr>
        <w:pStyle w:val="Normal"/>
      </w:pPr>
      <w:r>
        <w:t>Valid starting</w:t>
        <w:t xml:space="preserve"> </w:t>
        <w:t>Expires</w:t>
        <w:t xml:space="preserve"> </w:t>
        <w:t>Service principal</w:t>
        <w:t xml:space="preserve"> </w:t>
        <w:t>04</w:t>
        <w:t>/09/20</w:t>
        <w:t xml:space="preserve"> </w:t>
        <w:t>21</w:t>
        <w:t>:36:12</w:t>
        <w:t xml:space="preserve"> </w:t>
        <w:t>04</w:t>
        <w:t>/10/20</w:t>
        <w:t xml:space="preserve"> </w:t>
        <w:t>07</w:t>
        <w:t>:36:12</w:t>
        <w:t xml:space="preserve"> </w:t>
        <w:t>krbtgt/EXAMPLE.COM@EXAMPLE.COM</w:t>
      </w:r>
    </w:p>
    <w:p>
      <w:pPr>
        <w:pStyle w:val="Para 02"/>
      </w:pPr>
      <w:r>
        <w:t>renew</w:t>
        <w:t xml:space="preserve"> </w:t>
      </w:r>
      <w:r>
        <w:rPr>
          <w:rStyle w:val="Text0"/>
        </w:rPr>
        <w:t>until</w:t>
      </w:r>
      <w:r>
        <w:t xml:space="preserve"> </w:t>
        <w:t>04</w:t>
        <w:t>/10/20</w:t>
        <w:t xml:space="preserve"> </w:t>
        <w:t>21</w:t>
        <w:t>:36:12</w:t>
      </w:r>
    </w:p>
    <w:p>
      <w:pPr>
        <w:pStyle w:val="Para 17"/>
      </w:pPr>
      <w:r>
        <w:t/>
      </w:r>
    </w:p>
    <w:p>
      <w:pPr>
        <w:pStyle w:val="Normal"/>
      </w:pPr>
      <w:r>
        <w:t>You will have a Kerberos ticket already right after login.</w:t>
      </w:r>
    </w:p>
    <w:p>
      <w:pPr>
        <w:pStyle w:val="Para 17"/>
      </w:pPr>
      <w:r>
        <w:t/>
      </w:r>
    </w:p>
    <w:p>
      <w:pPr>
        <w:pStyle w:val="Para 01"/>
      </w:pPr>
      <w:r>
        <w:t>How to set up Kerberos with OpenLDAP backend</w:t>
      </w:r>
    </w:p>
    <w:p>
      <w:pPr>
        <w:pStyle w:val="Para 17"/>
      </w:pPr>
      <w:r>
        <w:t/>
      </w:r>
    </w:p>
    <w:p>
      <w:pPr>
        <w:pStyle w:val="Normal"/>
      </w:pPr>
      <w:r>
        <w:t>Kerberos supports a few different database backends. The default one (which we have used</w:t>
      </w:r>
    </w:p>
    <w:p>
      <w:pPr>
        <w:pStyle w:val="Normal"/>
      </w:pPr>
      <w:r>
        <w:t xml:space="preserve">in our other Kerberos guides so far) is called </w:t>
      </w:r>
      <w:hyperlink w:anchor="page_151">
        <w:r>
          <w:rPr>
            <w:rStyle w:val="Text9"/>
          </w:rPr>
          <w:t>121</w:t>
        </w:r>
      </w:hyperlink>
      <w:r>
        <w:t xml:space="preserve"> db2 . The </w:t>
      </w:r>
      <w:hyperlink r:id="rId1129">
        <w:r>
          <w:rPr>
            <w:rStyle w:val="Text1"/>
          </w:rPr>
          <w:t>DB types documentation</w:t>
        </w:r>
      </w:hyperlink>
      <w:r>
        <w:t xml:space="preserve"> shows all the options, one of which is LDAP.</w:t>
      </w:r>
    </w:p>
    <w:p>
      <w:pPr>
        <w:pStyle w:val="Para 17"/>
      </w:pPr>
      <w:r>
        <w:t/>
      </w:r>
    </w:p>
    <w:p>
      <w:pPr>
        <w:pStyle w:val="Para 01"/>
      </w:pPr>
      <w:r>
        <w:t>Why use LDAP?</w:t>
      </w:r>
    </w:p>
    <w:p>
      <w:pPr>
        <w:pStyle w:val="Para 17"/>
      </w:pPr>
      <w:r>
        <w:t/>
      </w:r>
    </w:p>
    <w:p>
      <w:pPr>
        <w:pStyle w:val="Normal"/>
      </w:pPr>
      <w:r>
        <w:t>There are several reasons why one would want to have the Kerberos principals stored in LDAP as opposed to a local on-disk database. There are also cases when it is not a good idea. Each site has to evaluate the pros and cons. Here are a few:</w:t>
      </w:r>
    </w:p>
    <w:p>
      <w:pPr>
        <w:pStyle w:val="Para 04"/>
      </w:pPr>
      <w:r>
        <w:t>• Pros:</w:t>
      </w:r>
    </w:p>
    <w:p>
      <w:pPr>
        <w:pStyle w:val="Para 06"/>
      </w:pPr>
      <w:r>
        <w:rPr>
          <w:rStyle w:val="Text0"/>
        </w:rPr>
        <w:t>–</w:t>
      </w:r>
      <w:r>
        <w:t xml:space="preserve"> If you already have OpenLDAP set up for other things, such as storing users and</w:t>
      </w:r>
    </w:p>
    <w:p>
      <w:pPr>
        <w:pStyle w:val="Para 11"/>
      </w:pPr>
      <w:r>
        <w:t>groups, adding the Kerberos attributes can be beneficial, providing an integrated story</w:t>
      </w:r>
    </w:p>
    <w:p>
      <w:pPr>
        <w:pStyle w:val="Para 04"/>
      </w:pPr>
      <w:r>
        <w:t>• Cons:</w:t>
      </w:r>
    </w:p>
    <w:p>
      <w:pPr>
        <w:pStyle w:val="Para 06"/>
      </w:pPr>
      <w:r>
        <w:rPr>
          <w:rStyle w:val="Text0"/>
        </w:rPr>
        <w:t>–</w:t>
      </w:r>
      <w:r>
        <w:t xml:space="preserve"> Setting up the LDAP backend isn’t a trivial task and shouldn’t be attempted by</w:t>
      </w:r>
    </w:p>
    <w:p>
      <w:pPr>
        <w:pStyle w:val="Para 11"/>
      </w:pPr>
      <w:r>
        <w:t>administrators without prior knowledge of OpenLDAP</w:t>
      </w:r>
    </w:p>
    <w:p>
      <w:pPr>
        <w:pStyle w:val="Para 06"/>
      </w:pPr>
      <w:r>
        <w:rPr>
          <w:rStyle w:val="Text0"/>
        </w:rPr>
        <w:t>–</w:t>
      </w:r>
      <w:r>
        <w:t xml:space="preserve"> </w:t>
      </w:r>
      <w:hyperlink w:anchor="page_151">
        <w:r>
          <w:rPr>
            <w:rStyle w:val="Text9"/>
          </w:rPr>
          <w:t>122</w:t>
        </w:r>
      </w:hyperlink>
      <w:r>
        <w:t xml:space="preserve"> As highlighted in the </w:t>
      </w:r>
      <w:hyperlink r:id="rId1130">
        <w:r>
          <w:rPr>
            <w:rStyle w:val="Text1"/>
          </w:rPr>
          <w:t>LDAP section of DB types</w:t>
        </w:r>
      </w:hyperlink>
      <w:r>
        <w:t>, since krb5kdc is single-threaded</w:t>
      </w:r>
    </w:p>
    <w:p>
      <w:pPr>
        <w:pStyle w:val="Para 11"/>
      </w:pPr>
      <w:r>
        <w:t>there may be higher latency in servicing requests when using the OpenLDAP back-end</w:t>
      </w:r>
    </w:p>
    <w:p>
      <w:pPr>
        <w:pStyle w:val="Para 05"/>
      </w:pPr>
      <w:r>
        <w:rPr>
          <w:rStyle w:val="Text5"/>
        </w:rPr>
        <w:t>121</w:t>
      </w:r>
      <w:r>
        <w:rPr>
          <w:rStyle w:val="Text8"/>
        </w:rPr>
        <w:t xml:space="preserve"> </w:t>
      </w:r>
      <w:r>
        <w:t>https://web.mit.edu/kerberos/krb5-latest/doc/admin/dbtypes.html</w:t>
      </w:r>
    </w:p>
    <w:p>
      <w:pPr>
        <w:pStyle w:val="Para 05"/>
      </w:pPr>
      <w:r>
        <w:rPr>
          <w:rStyle w:val="Text5"/>
        </w:rPr>
        <w:t>122</w:t>
      </w:r>
      <w:r>
        <w:rPr>
          <w:rStyle w:val="Text8"/>
        </w:rPr>
        <w:t xml:space="preserve"> </w:t>
      </w:r>
      <w:r>
        <w:t>https://web.mit.edu/kerberos/krb5-latest/doc/admin/dbtypes.html#ldap-module-kldap</w:t>
      </w:r>
      <w:r>
        <w:rPr>
          <w:rStyle w:val="Text8"/>
        </w:rPr>
        <w:t xml:space="preserve"> </w:t>
      </w:r>
      <w:r>
        <w:rPr>
          <w:rStyle w:val="Text11"/>
        </w:rPr>
        <w:t>In this guide</w:t>
      </w:r>
    </w:p>
    <w:p>
      <w:bookmarkStart w:id="208" w:name="page_1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4" name="index-152_1.png" descr="index-152_1.png"/>
            <wp:cNvGraphicFramePr>
              <a:graphicFrameLocks noChangeAspect="1"/>
            </wp:cNvGraphicFramePr>
            <a:graphic>
              <a:graphicData uri="http://schemas.openxmlformats.org/drawingml/2006/picture">
                <pic:pic>
                  <pic:nvPicPr>
                    <pic:cNvPr id="0" name="index-152_1.png" descr="index-152_1.png"/>
                    <pic:cNvPicPr/>
                  </pic:nvPicPr>
                  <pic:blipFill>
                    <a:blip r:embed="rId158"/>
                    <a:stretch>
                      <a:fillRect/>
                    </a:stretch>
                  </pic:blipFill>
                  <pic:spPr>
                    <a:xfrm>
                      <a:off x="0" y="0"/>
                      <a:ext cx="914400" cy="266700"/>
                    </a:xfrm>
                    <a:prstGeom prst="rect">
                      <a:avLst/>
                    </a:prstGeom>
                  </pic:spPr>
                </pic:pic>
              </a:graphicData>
            </a:graphic>
          </wp:anchor>
        </w:drawing>
      </w:r>
      <w:bookmarkEnd w:id="208"/>
    </w:p>
    <w:p>
      <w:pPr>
        <w:pStyle w:val="Para 17"/>
      </w:pPr>
      <w:r>
        <w:t/>
      </w:r>
    </w:p>
    <w:p>
      <w:pPr>
        <w:pStyle w:val="Normal"/>
      </w:pPr>
      <w:r>
        <w:t>In this section we’ll configure a primary and secondary Kerberos server to use OpenLDAP for the principal database. Note that as of version 1.18, the Key Distribution Center (KDC) from</w:t>
      </w:r>
    </w:p>
    <w:p>
      <w:pPr>
        <w:pStyle w:val="Normal"/>
      </w:pPr>
      <w:r>
        <w:t xml:space="preserve">MIT Kerberos </w:t>
      </w:r>
      <w:hyperlink r:id="rId1131">
        <w:r>
          <w:rPr>
            <w:rStyle w:val="Text9"/>
          </w:rPr>
          <w:t>123</w:t>
        </w:r>
      </w:hyperlink>
      <w:hyperlink r:id="rId1131">
        <w:r>
          <w:rPr>
            <w:rStyle w:val="Text1"/>
          </w:rPr>
          <w:t xml:space="preserve"> does not support</w:t>
        </w:r>
      </w:hyperlink>
      <w:r>
        <w:t xml:space="preserve"> a primary KDC using a read-only consumer (secondary) LDAP server. What we have to consider here is that a primary KDC is read-write, and it needs a read-write backend. The secondary KDCs can use both a read-write and read-only backend, because they are expected to be read-only. Therefore there are only some possible layouts we can use:</w:t>
      </w:r>
    </w:p>
    <w:p>
      <w:pPr>
        <w:pStyle w:val="Para 08"/>
      </w:pPr>
      <w:r>
        <w:rPr>
          <w:rStyle w:val="Text0"/>
        </w:rPr>
        <w:t xml:space="preserve">1. </w:t>
      </w:r>
      <w:r>
        <w:t>Simple case</w:t>
      </w:r>
      <w:r>
        <w:rPr>
          <w:rStyle w:val="Text0"/>
        </w:rPr>
        <w:t>:</w:t>
      </w:r>
    </w:p>
    <w:p>
      <w:pPr>
        <w:pStyle w:val="Para 06"/>
      </w:pPr>
      <w:r>
        <w:t>• Primary KDC connected to primary OpenLDAP</w:t>
      </w:r>
    </w:p>
    <w:p>
      <w:pPr>
        <w:pStyle w:val="Para 06"/>
      </w:pPr>
      <w:r>
        <w:t>• Secondary KDC connected to both primary and secondary OpenLDAP</w:t>
      </w:r>
    </w:p>
    <w:p>
      <w:pPr>
        <w:pStyle w:val="Para 08"/>
      </w:pPr>
      <w:r>
        <w:rPr>
          <w:rStyle w:val="Text0"/>
        </w:rPr>
        <w:t xml:space="preserve">2. </w:t>
      </w:r>
      <w:r>
        <w:t>Extended simple case</w:t>
      </w:r>
      <w:r>
        <w:rPr>
          <w:rStyle w:val="Text0"/>
        </w:rPr>
        <w:t>:</w:t>
      </w:r>
    </w:p>
    <w:p>
      <w:pPr>
        <w:pStyle w:val="Para 06"/>
      </w:pPr>
      <w:r>
        <w:t>• Multiple primary KDCs connected to one primary OpenLDAP</w:t>
      </w:r>
    </w:p>
    <w:p>
      <w:pPr>
        <w:pStyle w:val="Para 06"/>
      </w:pPr>
      <w:r>
        <w:t>• Multiple secondary KDCs connected to primary and secondary OpenLDAP</w:t>
      </w:r>
    </w:p>
    <w:p>
      <w:pPr>
        <w:pStyle w:val="Para 08"/>
      </w:pPr>
      <w:r>
        <w:rPr>
          <w:rStyle w:val="Text0"/>
        </w:rPr>
        <w:t xml:space="preserve">3. </w:t>
      </w:r>
      <w:r>
        <w:t>OpenLDAP with replication</w:t>
      </w:r>
      <w:r>
        <w:rPr>
          <w:rStyle w:val="Text0"/>
        </w:rPr>
        <w:t>:</w:t>
      </w:r>
    </w:p>
    <w:p>
      <w:pPr>
        <w:pStyle w:val="Para 06"/>
      </w:pPr>
      <w:r>
        <w:t>• Multiple primary KDCs connected to all primary OpenLDAP servers</w:t>
      </w:r>
    </w:p>
    <w:p>
      <w:pPr>
        <w:pStyle w:val="Normal"/>
      </w:pPr>
      <w:r>
        <w:t xml:space="preserve">We haven’t covered OpenLDAP replication in this guide, so we will show the </w:t>
      </w:r>
      <w:r>
        <w:rPr>
          <w:rStyle w:val="Text0"/>
        </w:rPr>
        <w:t>simple case</w:t>
      </w:r>
      <w:r>
        <w:t xml:space="preserve"> only. The second scenario is an extension: just add another primary KDC to the mix, talking to the same primary OpenLDAP server.</w:t>
      </w:r>
    </w:p>
    <w:p>
      <w:pPr>
        <w:pStyle w:val="Para 17"/>
      </w:pPr>
      <w:r>
        <w:t/>
      </w:r>
    </w:p>
    <w:p>
      <w:pPr>
        <w:pStyle w:val="Para 01"/>
      </w:pPr>
      <w:r>
        <w:t>Configure OpenLDAP</w:t>
      </w:r>
    </w:p>
    <w:p>
      <w:pPr>
        <w:pStyle w:val="Para 17"/>
      </w:pPr>
      <w:r>
        <w:t/>
      </w:r>
    </w:p>
    <w:p>
      <w:pPr>
        <w:pStyle w:val="Normal"/>
      </w:pPr>
      <w:r>
        <w:t>We are going to install the OpenLDAP server on the same host as the KDC, to simplify the communication between them. In such a setup, we can use the ldapi:/// transport, which is via a UNIX socket, and we don’t need to set up SSL certificates to secure the communication between the Kerberos services and OpenLDAP. Note, however, that SSL is still needed for</w:t>
      </w:r>
    </w:p>
    <w:p>
      <w:pPr>
        <w:pStyle w:val="Normal"/>
      </w:pPr>
      <w:r>
        <w:t xml:space="preserve">the OpenLDAP replication. See </w:t>
      </w:r>
      <w:hyperlink w:anchor="page_397">
        <w:r>
          <w:rPr>
            <w:rStyle w:val="Text2"/>
          </w:rPr>
          <w:t>LDAP with TLS</w:t>
        </w:r>
      </w:hyperlink>
      <w:r>
        <w:t xml:space="preserve"> (page 396) for details.</w:t>
      </w:r>
    </w:p>
    <w:p>
      <w:pPr>
        <w:pStyle w:val="Normal"/>
      </w:pPr>
      <w:r>
        <w:t>If you want to use an existing OpenLDAP server, that’s also possible, but keep in mind that you should then use SSL for the communication between the KDC and this OpenLDAP server.</w:t>
      </w:r>
    </w:p>
    <w:p>
      <w:pPr>
        <w:pStyle w:val="Normal"/>
      </w:pPr>
      <w:r>
        <w:t xml:space="preserve">First, the necessary </w:t>
      </w:r>
      <w:r>
        <w:rPr>
          <w:rStyle w:val="Text0"/>
        </w:rPr>
        <w:t>schema</w:t>
      </w:r>
      <w:r>
        <w:t xml:space="preserve"> needs to be loaded on an OpenLDAP server that has network connectivity to both the </w:t>
      </w:r>
      <w:r>
        <w:rPr>
          <w:rStyle w:val="Text0"/>
        </w:rPr>
        <w:t>primary</w:t>
      </w:r>
      <w:r>
        <w:t xml:space="preserve"> and </w:t>
      </w:r>
      <w:r>
        <w:rPr>
          <w:rStyle w:val="Text0"/>
        </w:rPr>
        <w:t>secondary</w:t>
      </w:r>
      <w:r>
        <w:t xml:space="preserve"> KDCs. The rest of this section assumes that you also have LDAP replication configured between at least two servers. For information on</w:t>
      </w:r>
    </w:p>
    <w:p>
      <w:pPr>
        <w:pStyle w:val="Normal"/>
      </w:pPr>
      <w:r>
        <w:t xml:space="preserve">setting up OpenLDAP see </w:t>
      </w:r>
      <w:hyperlink w:anchor="page_372">
        <w:r>
          <w:rPr>
            <w:rStyle w:val="Text2"/>
          </w:rPr>
          <w:t>OpenLDAP Server</w:t>
        </w:r>
      </w:hyperlink>
      <w:r>
        <w:t xml:space="preserve"> (page 371).</w:t>
      </w:r>
    </w:p>
    <w:p>
      <w:pPr>
        <w:pStyle w:val="Para 17"/>
      </w:pPr>
      <w:r>
        <w:t/>
      </w:r>
    </w:p>
    <w:p>
      <w:pPr>
        <w:pStyle w:val="Para 08"/>
      </w:pPr>
      <w:r>
        <w:t>Note:</w:t>
      </w:r>
    </w:p>
    <w:p>
      <w:pPr>
        <w:pStyle w:val="Para 03"/>
      </w:pPr>
      <w:r>
        <w:t>cn=admin,dc=example,dc=com is a default admin user that is created during the installation</w:t>
      </w:r>
    </w:p>
    <w:p>
      <w:pPr>
        <w:pStyle w:val="Para 03"/>
      </w:pPr>
      <w:r>
        <w:t>of the slapd package (the OpenLDAP server). The domain component will change for your</w:t>
      </w:r>
    </w:p>
    <w:p>
      <w:pPr>
        <w:pStyle w:val="Para 03"/>
      </w:pPr>
      <w:r>
        <w:t>server, so adjust accordingly.</w:t>
      </w:r>
    </w:p>
    <w:p>
      <w:pPr>
        <w:pStyle w:val="Para 17"/>
      </w:pPr>
      <w:r>
        <w:t/>
      </w:r>
    </w:p>
    <w:p>
      <w:pPr>
        <w:pStyle w:val="Para 04"/>
      </w:pPr>
      <w:r>
        <w:t>• Install the necessary packages (it’s assumed that OpenLDAP is already installed):</w:t>
      </w:r>
    </w:p>
    <w:p>
      <w:pPr>
        <w:pStyle w:val="Para 05"/>
      </w:pPr>
      <w:r>
        <w:rPr>
          <w:rStyle w:val="Text5"/>
        </w:rPr>
        <w:t>123</w:t>
      </w:r>
      <w:r>
        <w:rPr>
          <w:rStyle w:val="Text8"/>
        </w:rPr>
        <w:t xml:space="preserve"> </w:t>
      </w:r>
      <w:r>
        <w:t>https://krbdev.mit.edu/rt/Ticket/Display.html?id=7754#</w:t>
      </w:r>
    </w:p>
    <w:p>
      <w:bookmarkStart w:id="209" w:name="page_1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5" name="index-153_1.png" descr="index-153_1.png"/>
            <wp:cNvGraphicFramePr>
              <a:graphicFrameLocks noChangeAspect="1"/>
            </wp:cNvGraphicFramePr>
            <a:graphic>
              <a:graphicData uri="http://schemas.openxmlformats.org/drawingml/2006/picture">
                <pic:pic>
                  <pic:nvPicPr>
                    <pic:cNvPr id="0" name="index-153_1.png" descr="index-153_1.png"/>
                    <pic:cNvPicPr/>
                  </pic:nvPicPr>
                  <pic:blipFill>
                    <a:blip r:embed="rId159"/>
                    <a:stretch>
                      <a:fillRect/>
                    </a:stretch>
                  </pic:blipFill>
                  <pic:spPr>
                    <a:xfrm>
                      <a:off x="0" y="0"/>
                      <a:ext cx="914400" cy="266700"/>
                    </a:xfrm>
                    <a:prstGeom prst="rect">
                      <a:avLst/>
                    </a:prstGeom>
                  </pic:spPr>
                </pic:pic>
              </a:graphicData>
            </a:graphic>
          </wp:anchor>
        </w:drawing>
      </w:r>
      <w:bookmarkEnd w:id="209"/>
    </w:p>
    <w:p>
      <w:pPr>
        <w:pStyle w:val="Para 02"/>
      </w:pPr>
      <w:r>
        <w:t>sudo apt install krb5-kdc-ldap krb5-admin-server</w:t>
      </w:r>
    </w:p>
    <w:p>
      <w:pPr>
        <w:pStyle w:val="Para 17"/>
      </w:pPr>
      <w:r>
        <w:t/>
      </w:r>
    </w:p>
    <w:p>
      <w:pPr>
        <w:pStyle w:val="Para 04"/>
      </w:pPr>
      <w:r>
        <w:t>• Next, extract the kerberos.schema.gz file:</w:t>
      </w:r>
    </w:p>
    <w:p>
      <w:pPr>
        <w:pStyle w:val="Para 02"/>
      </w:pPr>
      <w:r>
        <w:t>sudo cp /usr/share/doc/krb5-kdc-ldap/kerberos.schema.gz /etc/ldap/schema/</w:t>
        <w:t xml:space="preserve"> </w:t>
        <w:t>sudo gunzip /etc/ldap/schema/kerberos.schema.gz</w:t>
      </w:r>
    </w:p>
    <w:p>
      <w:pPr>
        <w:pStyle w:val="Para 17"/>
      </w:pPr>
      <w:r>
        <w:t/>
      </w:r>
    </w:p>
    <w:p>
      <w:pPr>
        <w:pStyle w:val="Para 04"/>
      </w:pPr>
      <w:r>
        <w:t xml:space="preserve">• The </w:t>
      </w:r>
      <w:r>
        <w:rPr>
          <w:rStyle w:val="Text0"/>
        </w:rPr>
        <w:t>Kerberos schema</w:t>
      </w:r>
      <w:r>
        <w:t xml:space="preserve"> needs to be added to the cn=config tree. This schema file needs</w:t>
      </w:r>
    </w:p>
    <w:p>
      <w:pPr>
        <w:pStyle w:val="Para 02"/>
      </w:pPr>
      <w:r>
        <w:t>to be converted to LDIF format before it can be added. For that we will use a helper tool, called schema2ldif, provided by the package of the same name which is available in the Universe archive:</w:t>
      </w:r>
    </w:p>
    <w:p>
      <w:pPr>
        <w:pStyle w:val="Para 02"/>
      </w:pPr>
      <w:r>
        <w:t>sudo apt install schema2ldif</w:t>
      </w:r>
    </w:p>
    <w:p>
      <w:pPr>
        <w:pStyle w:val="Para 17"/>
      </w:pPr>
      <w:r>
        <w:t/>
      </w:r>
    </w:p>
    <w:p>
      <w:pPr>
        <w:pStyle w:val="Para 04"/>
      </w:pPr>
      <w:r>
        <w:t>• To import the Kerberos schema, run:</w:t>
      </w:r>
    </w:p>
    <w:p>
      <w:pPr>
        <w:pStyle w:val="Para 02"/>
      </w:pPr>
      <w:r>
        <w:t>$ sudo ldap-schema-manager -i kerberos.schema</w:t>
      </w:r>
    </w:p>
    <w:p>
      <w:pPr>
        <w:pStyle w:val="Para 02"/>
      </w:pPr>
      <w:r>
        <w:t>SASL/EXTERNAL authentication started</w:t>
      </w:r>
    </w:p>
    <w:p>
      <w:pPr>
        <w:pStyle w:val="Para 02"/>
      </w:pPr>
      <w:r>
        <w:t>SASL username:</w:t>
        <w:t xml:space="preserve"> </w:t>
        <w:t>gidNumber</w:t>
        <w:t>=</w:t>
        <w:t>0</w:t>
        <w:t>+uidNumber</w:t>
        <w:t>=</w:t>
        <w:t>0</w:t>
        <w:t>,cn</w:t>
        <w:t>=</w:t>
        <w:t>peercred,cn</w:t>
        <w:t>=</w:t>
        <w:t>external,cn</w:t>
        <w:t>=</w:t>
        <w:t>auth</w:t>
        <w:t xml:space="preserve"> </w:t>
        <w:t>SASL SSF:</w:t>
        <w:t xml:space="preserve"> </w:t>
        <w:t>0</w:t>
      </w:r>
    </w:p>
    <w:p>
      <w:pPr>
        <w:pStyle w:val="Para 02"/>
      </w:pPr>
      <w:r>
        <w:t>executing</w:t>
        <w:t xml:space="preserve"> </w:t>
        <w:t>'ldapadd -Y EXTERNAL -H ldapi:/// -f /etc/ldap/schema/kerberos.ldif'</w:t>
        <w:t xml:space="preserve"> </w:t>
        <w:t>SASL/EXTERNAL authentication started</w:t>
      </w:r>
    </w:p>
    <w:p>
      <w:pPr>
        <w:pStyle w:val="Para 02"/>
      </w:pPr>
      <w:r>
        <w:t>SASL username:</w:t>
        <w:t xml:space="preserve"> </w:t>
        <w:t>gidNumber</w:t>
        <w:t>=</w:t>
        <w:t>0</w:t>
        <w:t>+uidNumber</w:t>
        <w:t>=</w:t>
        <w:t>0</w:t>
        <w:t>,cn</w:t>
        <w:t>=</w:t>
        <w:t>peercred,cn</w:t>
        <w:t>=</w:t>
        <w:t>external,cn</w:t>
        <w:t>=</w:t>
        <w:t>auth</w:t>
        <w:t xml:space="preserve"> </w:t>
        <w:t>SASL SSF:</w:t>
        <w:t xml:space="preserve"> </w:t>
        <w:t>0</w:t>
      </w:r>
    </w:p>
    <w:p>
      <w:pPr>
        <w:pStyle w:val="Para 02"/>
      </w:pPr>
      <w:r>
        <w:t>adding new entry</w:t>
        <w:t xml:space="preserve"> </w:t>
        <w:t>"cn=kerberos,cn=schema,cn=config"</w:t>
      </w:r>
    </w:p>
    <w:p>
      <w:pPr>
        <w:pStyle w:val="Para 17"/>
      </w:pPr>
      <w:r>
        <w:t/>
      </w:r>
    </w:p>
    <w:p>
      <w:pPr>
        <w:pStyle w:val="Para 04"/>
      </w:pPr>
      <w:r>
        <w:t>• With the new schema loaded, let’s index an attribute often used in searches:</w:t>
      </w:r>
    </w:p>
    <w:p>
      <w:pPr>
        <w:pStyle w:val="Para 02"/>
      </w:pPr>
      <w:r>
        <w:t>$ sudo ldapmodify -Q -Y EXTERNAL -H ldapi:///</w:t>
        <w:t xml:space="preserve"> </w:t>
        <w:t>&lt;&lt;EOF</w:t>
        <w:t xml:space="preserve"> </w:t>
        <w:t>dn: olcDatabase={1}mdb,cn=config</w:t>
      </w:r>
    </w:p>
    <w:p>
      <w:pPr>
        <w:pStyle w:val="Para 02"/>
      </w:pPr>
      <w:r>
        <w:t>add: olcDbIndex</w:t>
      </w:r>
    </w:p>
    <w:p>
      <w:pPr>
        <w:pStyle w:val="Para 02"/>
      </w:pPr>
      <w:r>
        <w:t>olcDbIndex: krbPrincipalName eq,pres,sub</w:t>
      </w:r>
    </w:p>
    <w:p>
      <w:pPr>
        <w:pStyle w:val="Para 02"/>
      </w:pPr>
      <w:r>
        <w:t>EOF</w:t>
      </w:r>
    </w:p>
    <w:p>
      <w:pPr>
        <w:pStyle w:val="Para 02"/>
      </w:pPr>
      <w:r>
        <w:t>modifying entry</w:t>
        <w:t xml:space="preserve"> </w:t>
        <w:t>"olcDatabase={1}mdb,cn=config"</w:t>
      </w:r>
    </w:p>
    <w:p>
      <w:pPr>
        <w:pStyle w:val="Para 17"/>
      </w:pPr>
      <w:r>
        <w:t/>
      </w:r>
    </w:p>
    <w:p>
      <w:pPr>
        <w:pStyle w:val="Para 04"/>
      </w:pPr>
      <w:r>
        <w:t>• Let’s create LDAP entries for the Kerberos administrative entities that will contact the</w:t>
      </w:r>
    </w:p>
    <w:p>
      <w:pPr>
        <w:pStyle w:val="Para 02"/>
      </w:pPr>
      <w:r>
        <w:t>OpenLDAP server to perform operations. There are two:</w:t>
      </w:r>
    </w:p>
    <w:p>
      <w:pPr>
        <w:pStyle w:val="Para 06"/>
      </w:pPr>
      <w:r>
        <w:rPr>
          <w:rStyle w:val="Text0"/>
        </w:rPr>
        <w:t>– ldap_kdc_dn</w:t>
      </w:r>
      <w:r>
        <w:t>: needs to have read rights on the realm container, principal container</w:t>
      </w:r>
    </w:p>
    <w:p>
      <w:pPr>
        <w:pStyle w:val="Para 11"/>
      </w:pPr>
      <w:r>
        <w:t xml:space="preserve">and realm sub-trees. If </w:t>
      </w:r>
      <w:r>
        <w:rPr>
          <w:rStyle w:val="Text0"/>
        </w:rPr>
        <w:t>disable_last_success</w:t>
      </w:r>
      <w:r>
        <w:t xml:space="preserve"> and </w:t>
      </w:r>
      <w:r>
        <w:rPr>
          <w:rStyle w:val="Text0"/>
        </w:rPr>
        <w:t>disable_lockout</w:t>
      </w:r>
      <w:r>
        <w:t xml:space="preserve"> are not set, however, then </w:t>
      </w:r>
      <w:r>
        <w:rPr>
          <w:rStyle w:val="Text0"/>
        </w:rPr>
        <w:t>ldap_kdc_dn</w:t>
      </w:r>
      <w:r>
        <w:t xml:space="preserve"> needs write access to the Kerberos container just like</w:t>
      </w:r>
    </w:p>
    <w:p>
      <w:pPr>
        <w:pStyle w:val="Para 11"/>
      </w:pPr>
      <w:r>
        <w:t xml:space="preserve">the admin </w:t>
      </w:r>
      <w:hyperlink w:anchor="page_679">
        <w:r>
          <w:rPr>
            <w:rStyle w:val="Text2"/>
          </w:rPr>
          <w:t>DN</w:t>
        </w:r>
      </w:hyperlink>
      <w:r>
        <w:t xml:space="preserve"> below.</w:t>
      </w:r>
    </w:p>
    <w:p>
      <w:pPr>
        <w:pStyle w:val="Para 06"/>
      </w:pPr>
      <w:r>
        <w:rPr>
          <w:rStyle w:val="Text0"/>
        </w:rPr>
        <w:t>– ldap_kadmind_dn</w:t>
      </w:r>
      <w:r>
        <w:t>: needs to have read and write rights on the realm container, prin-</w:t>
      </w:r>
    </w:p>
    <w:p>
      <w:pPr>
        <w:pStyle w:val="Para 11"/>
      </w:pPr>
      <w:r>
        <w:t>cipal container and realm sub-trees</w:t>
      </w:r>
    </w:p>
    <w:p>
      <w:pPr>
        <w:pStyle w:val="Para 02"/>
      </w:pPr>
      <w:r>
        <w:t>Here is the command to create these entities:</w:t>
      </w:r>
    </w:p>
    <w:p>
      <w:pPr>
        <w:pStyle w:val="Para 02"/>
      </w:pPr>
      <w:r>
        <w:t>$ ldapadd -x -D</w:t>
        <w:t xml:space="preserve"> </w:t>
        <w:t>cn</w:t>
        <w:t>=</w:t>
        <w:t>admin,dc</w:t>
        <w:t>=</w:t>
        <w:t>example,dc</w:t>
        <w:t>=</w:t>
        <w:t>com -W</w:t>
        <w:t xml:space="preserve"> </w:t>
        <w:t>&lt;&lt;EOF</w:t>
        <w:t xml:space="preserve"> </w:t>
        <w:t>dn: uid=kdc-service,dc=example,dc=com</w:t>
      </w:r>
    </w:p>
    <w:p>
      <w:pPr>
        <w:pStyle w:val="Para 02"/>
      </w:pPr>
      <w:r>
        <w:t>uid: kdc-service</w:t>
      </w:r>
    </w:p>
    <w:p>
      <w:pPr>
        <w:pStyle w:val="Para 02"/>
      </w:pPr>
      <w:r>
        <w:t>objectClass: account</w:t>
      </w:r>
    </w:p>
    <w:p>
      <w:pPr>
        <w:pStyle w:val="Para 02"/>
      </w:pPr>
      <w:r>
        <w:t>objectClass: simpleSecurityObject</w:t>
      </w:r>
    </w:p>
    <w:p>
      <w:pPr>
        <w:pStyle w:val="Para 02"/>
      </w:pPr>
      <w:r>
        <w:t>userPassword: {CRYPT}x</w:t>
      </w:r>
    </w:p>
    <w:p>
      <w:pPr>
        <w:pStyle w:val="Para 02"/>
      </w:pPr>
      <w:r>
        <w:t>description: Account used for the Kerberos KDC</w:t>
      </w:r>
    </w:p>
    <w:p>
      <w:pPr>
        <w:pStyle w:val="Para 09"/>
      </w:pPr>
      <w:r>
        <w:t>(continues on next page)</w:t>
      </w:r>
    </w:p>
    <w:p>
      <w:bookmarkStart w:id="210" w:name="page_1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6"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160"/>
                    <a:stretch>
                      <a:fillRect/>
                    </a:stretch>
                  </pic:blipFill>
                  <pic:spPr>
                    <a:xfrm>
                      <a:off x="0" y="0"/>
                      <a:ext cx="914400" cy="266700"/>
                    </a:xfrm>
                    <a:prstGeom prst="rect">
                      <a:avLst/>
                    </a:prstGeom>
                  </pic:spPr>
                </pic:pic>
              </a:graphicData>
            </a:graphic>
          </wp:anchor>
        </w:drawing>
      </w:r>
      <w:bookmarkEnd w:id="210"/>
    </w:p>
    <w:p>
      <w:pPr>
        <w:pStyle w:val="Para 09"/>
      </w:pPr>
      <w:r>
        <w:t>(continued from previous page)</w:t>
      </w:r>
    </w:p>
    <w:p>
      <w:pPr>
        <w:pStyle w:val="Para 02"/>
      </w:pPr>
      <w:r>
        <w:t>dn: uid=kadmin-service,dc=example,dc=com</w:t>
      </w:r>
    </w:p>
    <w:p>
      <w:pPr>
        <w:pStyle w:val="Para 02"/>
      </w:pPr>
      <w:r>
        <w:t>uid: kadmin-service</w:t>
      </w:r>
    </w:p>
    <w:p>
      <w:pPr>
        <w:pStyle w:val="Para 02"/>
      </w:pPr>
      <w:r>
        <w:t>objectClass: account</w:t>
      </w:r>
    </w:p>
    <w:p>
      <w:pPr>
        <w:pStyle w:val="Para 02"/>
      </w:pPr>
      <w:r>
        <w:t>objectClass: simpleSecurityObject</w:t>
      </w:r>
    </w:p>
    <w:p>
      <w:pPr>
        <w:pStyle w:val="Para 02"/>
      </w:pPr>
      <w:r>
        <w:t>userPassword: {CRYPT}x</w:t>
      </w:r>
    </w:p>
    <w:p>
      <w:pPr>
        <w:pStyle w:val="Para 02"/>
      </w:pPr>
      <w:r>
        <w:t>description: Account used for the Kerberos Admin server</w:t>
        <w:t xml:space="preserve"> </w:t>
        <w:t>EOF</w:t>
      </w:r>
    </w:p>
    <w:p>
      <w:pPr>
        <w:pStyle w:val="Para 02"/>
      </w:pPr>
      <w:r>
        <w:t>Enter LDAP Password:</w:t>
      </w:r>
    </w:p>
    <w:p>
      <w:pPr>
        <w:pStyle w:val="Para 02"/>
      </w:pPr>
      <w:r>
        <w:t>adding new entry</w:t>
        <w:t xml:space="preserve"> </w:t>
        <w:t>"uid=kdc-service,dc=example,dc=com"</w:t>
      </w:r>
    </w:p>
    <w:p>
      <w:pPr>
        <w:pStyle w:val="Para 02"/>
      </w:pPr>
      <w:r>
        <w:t>adding new entry</w:t>
        <w:t xml:space="preserve"> </w:t>
        <w:t>"uid=kadmin-service,dc=example,dc=com"</w:t>
      </w:r>
    </w:p>
    <w:p>
      <w:pPr>
        <w:pStyle w:val="Para 17"/>
      </w:pPr>
      <w:r>
        <w:t/>
      </w:r>
    </w:p>
    <w:p>
      <w:pPr>
        <w:pStyle w:val="Para 02"/>
      </w:pPr>
      <w:r>
        <w:t xml:space="preserve">Now let’s set a password for them. Note that first the tool asks for the password you want for the specified user DN, and then for the password of the </w:t>
      </w:r>
      <w:r>
        <w:rPr>
          <w:rStyle w:val="Text0"/>
        </w:rPr>
        <w:t>cn=admin</w:t>
      </w:r>
      <w:r>
        <w:t xml:space="preserve"> DN:</w:t>
      </w:r>
    </w:p>
    <w:p>
      <w:pPr>
        <w:pStyle w:val="Para 02"/>
      </w:pPr>
      <w:r>
        <w:t>$ ldappasswd -x -D</w:t>
        <w:t xml:space="preserve"> </w:t>
        <w:t>cn</w:t>
        <w:t>=</w:t>
        <w:t>admin,dc</w:t>
        <w:t>=</w:t>
        <w:t>example,dc</w:t>
        <w:t>=</w:t>
        <w:t>com -W -S</w:t>
        <w:t xml:space="preserve"> </w:t>
        <w:t>uid</w:t>
        <w:t>=</w:t>
        <w:t>kdc-service,dc</w:t>
        <w:t>=</w:t>
        <w:t>example,dc</w:t>
        <w:t>=</w:t>
        <w:t>com</w:t>
        <w:t xml:space="preserve"> </w:t>
        <w:t>New password:</w:t>
        <w:t xml:space="preserve"> </w:t>
        <w:t>&lt;-- password you want</w:t>
        <w:t xml:space="preserve"> </w:t>
      </w:r>
      <w:r>
        <w:rPr>
          <w:rStyle w:val="Text0"/>
        </w:rPr>
        <w:t>for</w:t>
      </w:r>
      <w:r>
        <w:t xml:space="preserve"> </w:t>
        <w:t>uid-kdc-service</w:t>
        <w:t xml:space="preserve"> </w:t>
        <w:t>Re-enter new password:</w:t>
      </w:r>
    </w:p>
    <w:p>
      <w:pPr>
        <w:pStyle w:val="Para 02"/>
      </w:pPr>
      <w:r>
        <w:t>Enter LDAP Password:</w:t>
        <w:t xml:space="preserve"> </w:t>
        <w:t>&lt;-- password</w:t>
        <w:t xml:space="preserve"> </w:t>
      </w:r>
      <w:r>
        <w:rPr>
          <w:rStyle w:val="Text0"/>
        </w:rPr>
        <w:t>for</w:t>
      </w:r>
      <w:r>
        <w:t xml:space="preserve"> </w:t>
        <w:t>the DN specified with the -D option</w:t>
      </w:r>
    </w:p>
    <w:p>
      <w:pPr>
        <w:pStyle w:val="Para 17"/>
      </w:pPr>
      <w:r>
        <w:t/>
      </w:r>
    </w:p>
    <w:p>
      <w:pPr>
        <w:pStyle w:val="Para 02"/>
      </w:pPr>
      <w:r>
        <w:t>Repeat for the uid=kadmin-service DN. These passwords will be needed later.</w:t>
      </w:r>
    </w:p>
    <w:p>
      <w:pPr>
        <w:pStyle w:val="Para 02"/>
      </w:pPr>
      <w:r>
        <w:t>You can test these with ldapwhoami:</w:t>
      </w:r>
    </w:p>
    <w:p>
      <w:pPr>
        <w:pStyle w:val="Para 02"/>
      </w:pPr>
      <w:r>
        <w:t>$ ldapwhoami -x -D</w:t>
        <w:t xml:space="preserve"> </w:t>
        <w:t>uid</w:t>
        <w:t>=</w:t>
        <w:t>kdc-service,dc</w:t>
        <w:t>=</w:t>
        <w:t>example,dc</w:t>
        <w:t>=</w:t>
        <w:t>com -W</w:t>
        <w:t xml:space="preserve"> </w:t>
        <w:t>Enter LDAP Password:</w:t>
      </w:r>
    </w:p>
    <w:p>
      <w:pPr>
        <w:pStyle w:val="Para 02"/>
      </w:pPr>
      <w:r>
        <w:t>dn:uid</w:t>
        <w:t>=</w:t>
        <w:t>kdc-service,dc</w:t>
        <w:t>=</w:t>
        <w:t>example,dc</w:t>
        <w:t>=</w:t>
        <w:t>com</w:t>
      </w:r>
    </w:p>
    <w:p>
      <w:pPr>
        <w:pStyle w:val="Para 17"/>
      </w:pPr>
      <w:r>
        <w:t/>
      </w:r>
    </w:p>
    <w:p>
      <w:pPr>
        <w:pStyle w:val="Para 04"/>
      </w:pPr>
      <w:r>
        <w:t>• Finally, update the Access Control Lists (</w:t>
      </w:r>
      <w:hyperlink w:anchor="page_668">
        <w:r>
          <w:rPr>
            <w:rStyle w:val="Text2"/>
          </w:rPr>
          <w:t>ACL</w:t>
        </w:r>
      </w:hyperlink>
      <w:hyperlink w:anchor="page_668">
        <w:r>
          <w:rPr>
            <w:rStyle w:val="Text1"/>
          </w:rPr>
          <w:t xml:space="preserve">). </w:t>
        </w:r>
      </w:hyperlink>
      <w:r>
        <w:t>These can be tricky, as it highly depends</w:t>
      </w:r>
    </w:p>
    <w:p>
      <w:pPr>
        <w:pStyle w:val="Para 02"/>
      </w:pPr>
      <w:r>
        <w:t>on what you have defined already. By default, the slapd package configures your database with the following ACLs:</w:t>
      </w:r>
    </w:p>
    <w:p>
      <w:pPr>
        <w:pStyle w:val="Para 02"/>
      </w:pPr>
      <w:r>
        <w:t>olcAccess: {0}to attrs=userPassword by self write by anonymous auth by * none</w:t>
        <w:t xml:space="preserve"> </w:t>
        <w:t>olcAccess: {1}to attrs=shadowLastChange by self write by * read</w:t>
        <w:t xml:space="preserve"> </w:t>
        <w:t>olcAccess: {2}to * by * read</w:t>
      </w:r>
    </w:p>
    <w:p>
      <w:pPr>
        <w:pStyle w:val="Para 17"/>
      </w:pPr>
      <w:r>
        <w:t/>
      </w:r>
    </w:p>
    <w:p>
      <w:pPr>
        <w:pStyle w:val="Para 02"/>
      </w:pPr>
      <w:r>
        <w:t>We need to insert new rules before the final to * by * read one, to control access to the Kerberos related entries and attributes:</w:t>
      </w:r>
    </w:p>
    <w:p>
      <w:pPr>
        <w:pStyle w:val="Para 02"/>
      </w:pPr>
      <w:r>
        <w:t>$ sudo ldapmodify -Q -Y EXTERNAL -H ldapi:///</w:t>
        <w:t xml:space="preserve"> </w:t>
        <w:t>&lt;&lt;EOF</w:t>
        <w:t xml:space="preserve"> </w:t>
        <w:t>dn: olcDatabase={1}mdb,cn=config</w:t>
      </w:r>
    </w:p>
    <w:p>
      <w:pPr>
        <w:pStyle w:val="Para 02"/>
      </w:pPr>
      <w:r>
        <w:t>add: olcAccess</w:t>
      </w:r>
    </w:p>
    <w:p>
      <w:pPr>
        <w:pStyle w:val="Para 02"/>
      </w:pPr>
      <w:r>
        <w:t>olcAccess: {2}to attrs=krbPrincipalKey</w:t>
      </w:r>
    </w:p>
    <w:p>
      <w:pPr>
        <w:pStyle w:val="Para 06"/>
      </w:pPr>
      <w:r>
        <w:t>by anonymous auth</w:t>
      </w:r>
    </w:p>
    <w:p>
      <w:pPr>
        <w:pStyle w:val="Para 06"/>
      </w:pPr>
      <w:r>
        <w:t>by dn.exact="uid=kdc-service,dc=example,dc=com" read</w:t>
      </w:r>
    </w:p>
    <w:p>
      <w:pPr>
        <w:pStyle w:val="Para 06"/>
      </w:pPr>
      <w:r>
        <w:t>by dn.exact="uid=kadmin-service,dc=example,dc=com" write</w:t>
        <w:t xml:space="preserve"> </w:t>
        <w:t>by self write</w:t>
      </w:r>
    </w:p>
    <w:p>
      <w:pPr>
        <w:pStyle w:val="Para 06"/>
      </w:pPr>
      <w:r>
        <w:t>by * none</w:t>
      </w:r>
    </w:p>
    <w:p>
      <w:pPr>
        <w:pStyle w:val="Para 02"/>
      </w:pPr>
      <w:r>
        <w:t>-</w:t>
      </w:r>
    </w:p>
    <w:p>
      <w:pPr>
        <w:pStyle w:val="Para 02"/>
      </w:pPr>
      <w:r>
        <w:t>add: olcAccess</w:t>
      </w:r>
    </w:p>
    <w:p>
      <w:pPr>
        <w:pStyle w:val="Para 02"/>
      </w:pPr>
      <w:r>
        <w:t>olcAccess: {3}to dn.subtree="cn=krbContainer,dc=example,dc=com"</w:t>
      </w:r>
    </w:p>
    <w:p>
      <w:pPr>
        <w:pStyle w:val="Para 06"/>
      </w:pPr>
      <w:r>
        <w:t>by dn.exact="uid=kdc-service,dc=example,dc=com" read</w:t>
      </w:r>
    </w:p>
    <w:p>
      <w:pPr>
        <w:pStyle w:val="Para 06"/>
      </w:pPr>
      <w:r>
        <w:t>by dn.exact="uid=kadmin-service,dc=example,dc=com" write</w:t>
        <w:t xml:space="preserve"> </w:t>
        <w:t>by * none</w:t>
      </w:r>
    </w:p>
    <w:p>
      <w:pPr>
        <w:pStyle w:val="Para 09"/>
      </w:pPr>
      <w:r>
        <w:t>(continues on next page)</w:t>
      </w:r>
    </w:p>
    <w:p>
      <w:bookmarkStart w:id="211" w:name="page_1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7" name="index-155_1.png" descr="index-155_1.png"/>
            <wp:cNvGraphicFramePr>
              <a:graphicFrameLocks noChangeAspect="1"/>
            </wp:cNvGraphicFramePr>
            <a:graphic>
              <a:graphicData uri="http://schemas.openxmlformats.org/drawingml/2006/picture">
                <pic:pic>
                  <pic:nvPicPr>
                    <pic:cNvPr id="0" name="index-155_1.png" descr="index-155_1.png"/>
                    <pic:cNvPicPr/>
                  </pic:nvPicPr>
                  <pic:blipFill>
                    <a:blip r:embed="rId161"/>
                    <a:stretch>
                      <a:fillRect/>
                    </a:stretch>
                  </pic:blipFill>
                  <pic:spPr>
                    <a:xfrm>
                      <a:off x="0" y="0"/>
                      <a:ext cx="914400" cy="266700"/>
                    </a:xfrm>
                    <a:prstGeom prst="rect">
                      <a:avLst/>
                    </a:prstGeom>
                  </pic:spPr>
                </pic:pic>
              </a:graphicData>
            </a:graphic>
          </wp:anchor>
        </w:drawing>
      </w:r>
      <w:bookmarkEnd w:id="211"/>
    </w:p>
    <w:p>
      <w:pPr>
        <w:pStyle w:val="Para 09"/>
      </w:pPr>
      <w:r>
        <w:t>(continued from previous page)</w:t>
      </w:r>
    </w:p>
    <w:p>
      <w:pPr>
        <w:pStyle w:val="Para 02"/>
      </w:pPr>
      <w:r>
        <w:t>EOF</w:t>
      </w:r>
    </w:p>
    <w:p>
      <w:pPr>
        <w:pStyle w:val="Para 02"/>
      </w:pPr>
      <w:r>
        <w:t>modifying entry</w:t>
        <w:t xml:space="preserve"> </w:t>
        <w:t>"olcDatabase={1}mdb,cn=config"</w:t>
      </w:r>
    </w:p>
    <w:p>
      <w:pPr>
        <w:pStyle w:val="Para 17"/>
      </w:pPr>
      <w:r>
        <w:t/>
      </w:r>
    </w:p>
    <w:p>
      <w:pPr>
        <w:pStyle w:val="Para 02"/>
      </w:pPr>
      <w:r>
        <w:t>This will make the existing {2} rule become {4}. Check with sudo slapcat -b cn=config (the output below was reformatted a bit for clarity):</w:t>
      </w:r>
    </w:p>
    <w:p>
      <w:pPr>
        <w:pStyle w:val="Para 02"/>
      </w:pPr>
      <w:r>
        <w:t>olcAccess: {0}to attrs=userPassword</w:t>
      </w:r>
    </w:p>
    <w:p>
      <w:pPr>
        <w:pStyle w:val="Para 11"/>
      </w:pPr>
      <w:r>
        <w:t>by self write</w:t>
      </w:r>
    </w:p>
    <w:p>
      <w:pPr>
        <w:pStyle w:val="Para 11"/>
      </w:pPr>
      <w:r>
        <w:t>by anonymous auth</w:t>
      </w:r>
    </w:p>
    <w:p>
      <w:pPr>
        <w:pStyle w:val="Para 11"/>
      </w:pPr>
      <w:r>
        <w:t>by * none</w:t>
      </w:r>
    </w:p>
    <w:p>
      <w:pPr>
        <w:pStyle w:val="Para 02"/>
      </w:pPr>
      <w:r>
        <w:t>olcAccess: {1}to attrs=shadowLastChange</w:t>
      </w:r>
    </w:p>
    <w:p>
      <w:pPr>
        <w:pStyle w:val="Para 11"/>
      </w:pPr>
      <w:r>
        <w:t>by self write</w:t>
      </w:r>
    </w:p>
    <w:p>
      <w:pPr>
        <w:pStyle w:val="Para 11"/>
      </w:pPr>
      <w:r>
        <w:t>by * read</w:t>
      </w:r>
    </w:p>
    <w:p>
      <w:pPr>
        <w:pStyle w:val="Para 02"/>
      </w:pPr>
      <w:r>
        <w:t>olcAccess: {2}to attrs=krbPrincipalKey by anonymous auth</w:t>
      </w:r>
    </w:p>
    <w:p>
      <w:pPr>
        <w:pStyle w:val="Para 12"/>
      </w:pPr>
      <w:r>
        <w:t>by dn.exact="uid=kdc-service,dc=example,dc=com" read</w:t>
      </w:r>
    </w:p>
    <w:p>
      <w:pPr>
        <w:pStyle w:val="Para 12"/>
      </w:pPr>
      <w:r>
        <w:t>by dn.exact="uid=kadmin-service,dc=example,dc=com" write</w:t>
        <w:t xml:space="preserve"> </w:t>
        <w:t>by self write</w:t>
      </w:r>
    </w:p>
    <w:p>
      <w:pPr>
        <w:pStyle w:val="Para 12"/>
      </w:pPr>
      <w:r>
        <w:t>by * none</w:t>
      </w:r>
    </w:p>
    <w:p>
      <w:pPr>
        <w:pStyle w:val="Para 02"/>
      </w:pPr>
      <w:r>
        <w:t>olcAccess: {3}to dn.subtree="cn=krbContainer,dc=example,dc=com"</w:t>
      </w:r>
    </w:p>
    <w:p>
      <w:pPr>
        <w:pStyle w:val="Para 12"/>
      </w:pPr>
      <w:r>
        <w:t>by dn.exact="uid=kdc-service,dc=example,dc=com" read</w:t>
      </w:r>
    </w:p>
    <w:p>
      <w:pPr>
        <w:pStyle w:val="Para 12"/>
      </w:pPr>
      <w:r>
        <w:t>by dn.exact="uid=kadmin-service,dc=example,dc=com" write</w:t>
        <w:t xml:space="preserve"> </w:t>
        <w:t>by * none</w:t>
      </w:r>
    </w:p>
    <w:p>
      <w:pPr>
        <w:pStyle w:val="Para 02"/>
      </w:pPr>
      <w:r>
        <w:t>olcAccess: {4}to * by * read</w:t>
      </w:r>
    </w:p>
    <w:p>
      <w:pPr>
        <w:pStyle w:val="Para 17"/>
      </w:pPr>
      <w:r>
        <w:t/>
      </w:r>
    </w:p>
    <w:p>
      <w:pPr>
        <w:pStyle w:val="Normal"/>
      </w:pPr>
      <w:r>
        <w:t>Your LDAP directory is now ready to serve as a Kerberos principal database.</w:t>
      </w:r>
    </w:p>
    <w:p>
      <w:pPr>
        <w:pStyle w:val="Para 17"/>
      </w:pPr>
      <w:r>
        <w:t/>
      </w:r>
    </w:p>
    <w:p>
      <w:pPr>
        <w:pStyle w:val="Para 01"/>
      </w:pPr>
      <w:r>
        <w:t>Primary KDC configuration (LDAP)</w:t>
      </w:r>
    </w:p>
    <w:p>
      <w:pPr>
        <w:pStyle w:val="Para 17"/>
      </w:pPr>
      <w:r>
        <w:t/>
      </w:r>
    </w:p>
    <w:p>
      <w:pPr>
        <w:pStyle w:val="Normal"/>
      </w:pPr>
      <w:r>
        <w:t>With OpenLDAP configured it is time to configure the KDC. In this example we are doing it in the same OpenLDAP server to take advantage of local UNIX socket communication.</w:t>
      </w:r>
    </w:p>
    <w:p>
      <w:pPr>
        <w:pStyle w:val="Para 04"/>
      </w:pPr>
      <w:r>
        <w:t>• Reconfigure the krb5-config package if needed to get a good starting point with /etc/</w:t>
      </w:r>
    </w:p>
    <w:p>
      <w:pPr>
        <w:pStyle w:val="Para 02"/>
      </w:pPr>
      <w:r>
        <w:t>krb5.conf:</w:t>
      </w:r>
    </w:p>
    <w:p>
      <w:pPr>
        <w:pStyle w:val="Para 02"/>
      </w:pPr>
      <w:r>
        <w:t>sudo dpkg-reconfigure krb5-config</w:t>
      </w:r>
    </w:p>
    <w:p>
      <w:pPr>
        <w:pStyle w:val="Para 17"/>
      </w:pPr>
      <w:r>
        <w:t/>
      </w:r>
    </w:p>
    <w:p>
      <w:pPr>
        <w:pStyle w:val="Para 04"/>
      </w:pPr>
      <w:r>
        <w:t>• Now edit /etc/krb5.conf adding the database_module option to the EXAMPLE.COM realm</w:t>
      </w:r>
    </w:p>
    <w:p>
      <w:pPr>
        <w:pStyle w:val="Para 02"/>
      </w:pPr>
      <w:r>
        <w:t>section:</w:t>
      </w:r>
    </w:p>
    <w:p>
      <w:pPr>
        <w:pStyle w:val="Para 02"/>
      </w:pPr>
      <w:r>
        <w:t>[realms]</w:t>
      </w:r>
    </w:p>
    <w:p>
      <w:pPr>
        <w:pStyle w:val="Para 06"/>
      </w:pPr>
      <w:r>
        <w:t>EXAMPLE.COM = {</w:t>
      </w:r>
    </w:p>
    <w:p>
      <w:pPr>
        <w:pStyle w:val="Para 11"/>
      </w:pPr>
      <w:r>
        <w:t>kdc = kdc01.example.com</w:t>
      </w:r>
    </w:p>
    <w:p>
      <w:pPr>
        <w:pStyle w:val="Para 11"/>
      </w:pPr>
      <w:r>
        <w:t>kdc = kdc02.example.com</w:t>
      </w:r>
    </w:p>
    <w:p>
      <w:pPr>
        <w:pStyle w:val="Para 11"/>
      </w:pPr>
      <w:r>
        <w:t>admin_server = kdc01.example.com</w:t>
      </w:r>
    </w:p>
    <w:p>
      <w:pPr>
        <w:pStyle w:val="Para 11"/>
      </w:pPr>
      <w:r>
        <w:t>default_domain = example.com</w:t>
      </w:r>
    </w:p>
    <w:p>
      <w:pPr>
        <w:pStyle w:val="Para 11"/>
      </w:pPr>
      <w:r>
        <w:t>database_module = openldap_ldapconf</w:t>
      </w:r>
    </w:p>
    <w:p>
      <w:pPr>
        <w:pStyle w:val="Para 06"/>
      </w:pPr>
      <w:r>
        <w:t>}</w:t>
      </w:r>
    </w:p>
    <w:p>
      <w:pPr>
        <w:pStyle w:val="Para 17"/>
      </w:pPr>
      <w:r>
        <w:t/>
      </w:r>
    </w:p>
    <w:p>
      <w:pPr>
        <w:pStyle w:val="Para 02"/>
      </w:pPr>
      <w:r>
        <w:t>Then also add these new sections:</w:t>
      </w:r>
    </w:p>
    <w:p>
      <w:pPr>
        <w:pStyle w:val="Para 02"/>
      </w:pPr>
      <w:r>
        <w:t>[dbdefaults]</w:t>
      </w:r>
    </w:p>
    <w:p>
      <w:pPr>
        <w:pStyle w:val="Para 06"/>
      </w:pPr>
      <w:r>
        <w:t>ldap_kerberos_container_dn = cn=krbContainer,dc=example,dc=com</w:t>
      </w:r>
    </w:p>
    <w:p>
      <w:pPr>
        <w:pStyle w:val="Para 09"/>
      </w:pPr>
      <w:r>
        <w:t>(continues on next page)</w:t>
      </w:r>
    </w:p>
    <w:p>
      <w:bookmarkStart w:id="212" w:name="page_1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8"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162"/>
                    <a:stretch>
                      <a:fillRect/>
                    </a:stretch>
                  </pic:blipFill>
                  <pic:spPr>
                    <a:xfrm>
                      <a:off x="0" y="0"/>
                      <a:ext cx="914400" cy="266700"/>
                    </a:xfrm>
                    <a:prstGeom prst="rect">
                      <a:avLst/>
                    </a:prstGeom>
                  </pic:spPr>
                </pic:pic>
              </a:graphicData>
            </a:graphic>
          </wp:anchor>
        </w:drawing>
      </w:r>
      <w:bookmarkEnd w:id="212"/>
    </w:p>
    <w:p>
      <w:pPr>
        <w:pStyle w:val="Para 09"/>
      </w:pPr>
      <w:r>
        <w:t>(continued from previous page)</w:t>
      </w:r>
    </w:p>
    <w:p>
      <w:pPr>
        <w:pStyle w:val="Para 02"/>
      </w:pPr>
      <w:r>
        <w:t>[dbmodules]</w:t>
      </w:r>
    </w:p>
    <w:p>
      <w:pPr>
        <w:pStyle w:val="Para 06"/>
      </w:pPr>
      <w:r>
        <w:t>openldap_ldapconf = {</w:t>
      </w:r>
    </w:p>
    <w:p>
      <w:pPr>
        <w:pStyle w:val="Para 11"/>
      </w:pPr>
      <w:r>
        <w:t>db_library = kldap</w:t>
      </w:r>
    </w:p>
    <w:p>
      <w:pPr>
        <w:pStyle w:val="Para 11"/>
      </w:pPr>
      <w:r>
        <w:t># if either of these is false, then the ldap_kdc_dn needs to</w:t>
        <w:t xml:space="preserve"> </w:t>
        <w:t># have write access</w:t>
      </w:r>
    </w:p>
    <w:p>
      <w:pPr>
        <w:pStyle w:val="Para 11"/>
      </w:pPr>
      <w:r>
        <w:t>disable_last_success = true</w:t>
      </w:r>
    </w:p>
    <w:p>
      <w:pPr>
        <w:pStyle w:val="Para 11"/>
      </w:pPr>
      <w:r>
        <w:t>disable_lockout</w:t>
        <w:t xml:space="preserve"> </w:t>
        <w:t>= true</w:t>
      </w:r>
    </w:p>
    <w:p>
      <w:pPr>
        <w:pStyle w:val="Para 11"/>
      </w:pPr>
      <w:r>
        <w:t># this object needs to have read rights on</w:t>
      </w:r>
    </w:p>
    <w:p>
      <w:pPr>
        <w:pStyle w:val="Para 11"/>
      </w:pPr>
      <w:r>
        <w:t># the realm container, principal container and realm sub-trees</w:t>
        <w:t xml:space="preserve"> </w:t>
        <w:t>ldap_kdc_dn = "uid=kdc-service,dc=example,dc=com"</w:t>
      </w:r>
    </w:p>
    <w:p>
      <w:pPr>
        <w:pStyle w:val="Para 11"/>
      </w:pPr>
      <w:r>
        <w:t># this object needs to have read and write rights on</w:t>
      </w:r>
    </w:p>
    <w:p>
      <w:pPr>
        <w:pStyle w:val="Para 11"/>
      </w:pPr>
      <w:r>
        <w:t># the realm container, principal container and realm sub-trees</w:t>
        <w:t xml:space="preserve"> </w:t>
        <w:t>ldap_kadmind_dn = "uid=kadmin-service,dc=example,dc=com"</w:t>
      </w:r>
    </w:p>
    <w:p>
      <w:pPr>
        <w:pStyle w:val="Para 11"/>
      </w:pPr>
      <w:r>
        <w:t>ldap_service_password_file = /etc/krb5kdc/service.keyfile</w:t>
        <w:t xml:space="preserve"> </w:t>
        <w:t>ldap_servers = ldapi:///</w:t>
      </w:r>
    </w:p>
    <w:p>
      <w:pPr>
        <w:pStyle w:val="Para 11"/>
      </w:pPr>
      <w:r>
        <w:t>ldap_conns_per_server = 5</w:t>
      </w:r>
    </w:p>
    <w:p>
      <w:pPr>
        <w:pStyle w:val="Para 06"/>
      </w:pPr>
      <w:r>
        <w:t>}</w:t>
      </w:r>
    </w:p>
    <w:p>
      <w:pPr>
        <w:pStyle w:val="Para 17"/>
      </w:pPr>
      <w:r>
        <w:t/>
      </w:r>
    </w:p>
    <w:p>
      <w:pPr>
        <w:pStyle w:val="Para 04"/>
      </w:pPr>
      <w:r>
        <w:t>• Next, use the kdb5_ldap_util utility to create the realm:</w:t>
      </w:r>
    </w:p>
    <w:p>
      <w:pPr>
        <w:pStyle w:val="Para 02"/>
      </w:pPr>
      <w:r>
        <w:t>$ sudo kdb5_ldap_util -D</w:t>
        <w:t xml:space="preserve"> </w:t>
        <w:t>cn</w:t>
        <w:t>=</w:t>
        <w:t>admin,dc</w:t>
        <w:t>=</w:t>
        <w:t>example,dc</w:t>
        <w:t>=</w:t>
        <w:t>com create -subtrees</w:t>
        <w:t xml:space="preserve"> </w:t>
        <w:t>dc</w:t>
        <w:t>=</w:t>
        <w:t>example,</w:t>
        <w:t xml:space="preserve"> </w:t>
        <w:t>dc</w:t>
        <w:t>=</w:t>
        <w:t>com -r EXAMPLE.COM -s -H ldapi:///</w:t>
        <w:t xml:space="preserve"> </w:t>
        <w:t>Password</w:t>
        <w:t xml:space="preserve"> </w:t>
      </w:r>
      <w:r>
        <w:rPr>
          <w:rStyle w:val="Text0"/>
        </w:rPr>
        <w:t>for</w:t>
      </w:r>
      <w:r>
        <w:t xml:space="preserve"> </w:t>
        <w:t>"cn=admin,dc=example,dc=com"</w:t>
        <w:t>:</w:t>
        <w:t xml:space="preserve"> </w:t>
        <w:t>Initializing database</w:t>
        <w:t xml:space="preserve"> </w:t>
      </w:r>
      <w:r>
        <w:rPr>
          <w:rStyle w:val="Text0"/>
        </w:rPr>
        <w:t>for</w:t>
      </w:r>
      <w:r>
        <w:t xml:space="preserve"> </w:t>
        <w:t>realm</w:t>
        <w:t xml:space="preserve"> </w:t>
        <w:t>'EXAMPLE.COM'</w:t>
        <w:t xml:space="preserve"> </w:t>
        <w:t>You will be prompted</w:t>
        <w:t xml:space="preserve"> </w:t>
      </w:r>
      <w:r>
        <w:rPr>
          <w:rStyle w:val="Text0"/>
        </w:rPr>
        <w:t>for</w:t>
      </w:r>
      <w:r>
        <w:t xml:space="preserve"> </w:t>
        <w:t>the database Master Password.</w:t>
        <w:t xml:space="preserve"> </w:t>
        <w:t>It is important that you NOT FORGET this password.</w:t>
      </w:r>
    </w:p>
    <w:p>
      <w:pPr>
        <w:pStyle w:val="Para 02"/>
      </w:pPr>
      <w:r>
        <w:t>Enter KDC database master key:</w:t>
      </w:r>
    </w:p>
    <w:p>
      <w:pPr>
        <w:pStyle w:val="Para 02"/>
      </w:pPr>
      <w:r>
        <w:t>Re-enter KDC database master key to verify:</w:t>
      </w:r>
    </w:p>
    <w:p>
      <w:pPr>
        <w:pStyle w:val="Para 17"/>
      </w:pPr>
      <w:r>
        <w:t/>
      </w:r>
    </w:p>
    <w:p>
      <w:pPr>
        <w:pStyle w:val="Para 04"/>
      </w:pPr>
      <w:r>
        <w:t>• Create a stash of the password used to bind to the LDAP server. Run it once for each</w:t>
      </w:r>
    </w:p>
    <w:p>
      <w:pPr>
        <w:pStyle w:val="Para 02"/>
      </w:pPr>
      <w:r>
        <w:t>ldap_kdc_dn and ldap_kadmin_dn:</w:t>
      </w:r>
    </w:p>
    <w:p>
      <w:pPr>
        <w:pStyle w:val="Para 02"/>
      </w:pPr>
      <w:r>
        <w:t>sudo kdb5_ldap_util -D</w:t>
        <w:t xml:space="preserve"> </w:t>
        <w:t>cn</w:t>
        <w:t>=</w:t>
        <w:t>admin,dc</w:t>
        <w:t>=</w:t>
        <w:t>example,dc</w:t>
        <w:t>=</w:t>
        <w:t>com stashsrvpw -f /etc/krb5kdc/service.</w:t>
        <w:t xml:space="preserve"> </w:t>
        <w:t>keyfile</w:t>
        <w:t xml:space="preserve"> </w:t>
        <w:t>uid</w:t>
        <w:t>=</w:t>
        <w:t>kdc-service,dc</w:t>
        <w:t>=</w:t>
        <w:t>example,dc</w:t>
        <w:t>=</w:t>
        <w:t>com</w:t>
        <w:t xml:space="preserve"> </w:t>
        <w:t>sudo kdb5_ldap_util -D</w:t>
        <w:t xml:space="preserve"> </w:t>
        <w:t>cn</w:t>
        <w:t>=</w:t>
        <w:t>admin,dc</w:t>
        <w:t>=</w:t>
        <w:t>example,dc</w:t>
        <w:t>=</w:t>
        <w:t>com stashsrvpw -f /etc/krb5kdc/service.</w:t>
        <w:t xml:space="preserve"> </w:t>
        <w:t>keyfile</w:t>
        <w:t xml:space="preserve"> </w:t>
        <w:t>uid</w:t>
        <w:t>=</w:t>
        <w:t>kadmin-service,dc</w:t>
        <w:t>=</w:t>
        <w:t>example,dc</w:t>
        <w:t>=</w:t>
        <w:t>com</w:t>
      </w:r>
    </w:p>
    <w:p>
      <w:pPr>
        <w:pStyle w:val="Para 17"/>
      </w:pPr>
      <w:r>
        <w:t/>
      </w:r>
    </w:p>
    <w:p>
      <w:pPr>
        <w:pStyle w:val="Para 23"/>
      </w:pPr>
      <w:r>
        <w:t>Note:</w:t>
      </w:r>
    </w:p>
    <w:p>
      <w:pPr>
        <w:pStyle w:val="Para 06"/>
      </w:pPr>
      <w:r>
        <w:t>The /etc/krb5kdc/service.keyfile file now contains clear text versions of the pass-words used by the KDC to contact the LDAP server!</w:t>
      </w:r>
    </w:p>
    <w:p>
      <w:pPr>
        <w:pStyle w:val="Para 17"/>
      </w:pPr>
      <w:r>
        <w:t/>
      </w:r>
    </w:p>
    <w:p>
      <w:pPr>
        <w:pStyle w:val="Para 04"/>
      </w:pPr>
      <w:r>
        <w:t>• Create a /etc/krb5kdc/kadm5.acl file for the admin server, if you haven’t already:</w:t>
      </w:r>
    </w:p>
    <w:p>
      <w:pPr>
        <w:pStyle w:val="Para 02"/>
      </w:pPr>
      <w:r>
        <w:t>*/admin@EXAMPLE.COM</w:t>
        <w:t xml:space="preserve"> </w:t>
        <w:t>*</w:t>
      </w:r>
    </w:p>
    <w:p>
      <w:pPr>
        <w:pStyle w:val="Para 17"/>
      </w:pPr>
      <w:r>
        <w:t/>
      </w:r>
    </w:p>
    <w:p>
      <w:pPr>
        <w:pStyle w:val="Para 04"/>
      </w:pPr>
      <w:r>
        <w:t>• Start the Kerberos KDC and admin server:</w:t>
      </w:r>
    </w:p>
    <w:p>
      <w:pPr>
        <w:pStyle w:val="Para 02"/>
      </w:pPr>
      <w:r>
        <w:t>sudo systemctl start krb5-kdc.service krb5-admin-server.service</w:t>
      </w:r>
    </w:p>
    <w:p>
      <w:pPr>
        <w:pStyle w:val="Para 17"/>
      </w:pPr>
      <w:r>
        <w:t/>
      </w:r>
    </w:p>
    <w:p>
      <w:pPr>
        <w:pStyle w:val="Normal"/>
      </w:pPr>
      <w:r>
        <w:t>You can now add Kerberos principals to the LDAP database, and they will be copied to any other LDAP servers configured for replication. To add a principal using the kadmin.local util-ity enter:</w:t>
      </w:r>
    </w:p>
    <w:p>
      <w:bookmarkStart w:id="213" w:name="page_1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59" name="index-157_1.png" descr="index-157_1.png"/>
            <wp:cNvGraphicFramePr>
              <a:graphicFrameLocks noChangeAspect="1"/>
            </wp:cNvGraphicFramePr>
            <a:graphic>
              <a:graphicData uri="http://schemas.openxmlformats.org/drawingml/2006/picture">
                <pic:pic>
                  <pic:nvPicPr>
                    <pic:cNvPr id="0" name="index-157_1.png" descr="index-157_1.png"/>
                    <pic:cNvPicPr/>
                  </pic:nvPicPr>
                  <pic:blipFill>
                    <a:blip r:embed="rId163"/>
                    <a:stretch>
                      <a:fillRect/>
                    </a:stretch>
                  </pic:blipFill>
                  <pic:spPr>
                    <a:xfrm>
                      <a:off x="0" y="0"/>
                      <a:ext cx="914400" cy="266700"/>
                    </a:xfrm>
                    <a:prstGeom prst="rect">
                      <a:avLst/>
                    </a:prstGeom>
                  </pic:spPr>
                </pic:pic>
              </a:graphicData>
            </a:graphic>
          </wp:anchor>
        </w:drawing>
      </w:r>
      <w:bookmarkEnd w:id="213"/>
    </w:p>
    <w:p>
      <w:pPr>
        <w:pStyle w:val="Normal"/>
      </w:pPr>
      <w:r>
        <w:t>$ sudo kadmin.local</w:t>
      </w:r>
    </w:p>
    <w:p>
      <w:pPr>
        <w:pStyle w:val="Normal"/>
      </w:pPr>
      <w:r>
        <w:t>Authenticating as principal root/admin@EXAMPLE.COM with password.</w:t>
        <w:t xml:space="preserve"> </w:t>
        <w:t>kadmin.local:</w:t>
        <w:t xml:space="preserve"> </w:t>
        <w:t>addprinc ubuntu</w:t>
      </w:r>
    </w:p>
    <w:p>
      <w:pPr>
        <w:pStyle w:val="Normal"/>
      </w:pPr>
      <w:r>
        <w:t>WARNING: no policy specified</w:t>
        <w:t xml:space="preserve"> </w:t>
      </w:r>
      <w:r>
        <w:rPr>
          <w:rStyle w:val="Text0"/>
        </w:rPr>
        <w:t>for</w:t>
      </w:r>
      <w:r>
        <w:t xml:space="preserve"> </w:t>
        <w:t>ubuntu@EXAMPLE.COM; defaulting to no policy</w:t>
        <w:t xml:space="preserve"> </w:t>
        <w:t>Enter password</w:t>
        <w:t xml:space="preserve"> </w:t>
      </w:r>
      <w:r>
        <w:rPr>
          <w:rStyle w:val="Text0"/>
        </w:rPr>
        <w:t>for</w:t>
      </w:r>
      <w:r>
        <w:t xml:space="preserve"> </w:t>
        <w:t>principal</w:t>
        <w:t xml:space="preserve"> </w:t>
        <w:t>"ubuntu@EXAMPLE.COM"</w:t>
        <w:t>:</w:t>
        <w:t xml:space="preserve"> </w:t>
        <w:t>Re-enter password</w:t>
        <w:t xml:space="preserve"> </w:t>
      </w:r>
      <w:r>
        <w:rPr>
          <w:rStyle w:val="Text0"/>
        </w:rPr>
        <w:t>for</w:t>
      </w:r>
      <w:r>
        <w:t xml:space="preserve"> </w:t>
        <w:t>principal</w:t>
        <w:t xml:space="preserve"> </w:t>
        <w:t>"ubuntu@EXAMPLE.COM"</w:t>
        <w:t>:</w:t>
        <w:t xml:space="preserve"> </w:t>
        <w:t>Principal</w:t>
        <w:t xml:space="preserve"> </w:t>
        <w:t>"ubuntu@EXAMPLE.COM"</w:t>
        <w:t xml:space="preserve"> </w:t>
        <w:t>created.</w:t>
      </w:r>
    </w:p>
    <w:p>
      <w:pPr>
        <w:pStyle w:val="Normal"/>
      </w:pPr>
      <w:r>
        <w:t>kadmin.local:</w:t>
      </w:r>
    </w:p>
    <w:p>
      <w:pPr>
        <w:pStyle w:val="Para 17"/>
      </w:pPr>
      <w:r>
        <w:t/>
      </w:r>
    </w:p>
    <w:p>
      <w:pPr>
        <w:pStyle w:val="Normal"/>
      </w:pPr>
      <w:r>
        <w:t>The above will create an ubuntu principal with a DN of krbPrincipalName=ubuntu@EXAMPLE. COM,cn=EXAMPLE.COM,cn=krbContainer,dc=example,dc=com.</w:t>
      </w:r>
    </w:p>
    <w:p>
      <w:pPr>
        <w:pStyle w:val="Normal"/>
      </w:pPr>
      <w:r>
        <w:t>Let’s say, however, that you already have a user in your directory, and it’s in uid=testuser1, ou=People,dc=example,dc=com. How can you add the Kerberos attributes to it? You use the-x parameter to specify the location. For the ldap_kadmin_dn to be able to write to it, we first need to update the ACLs:</w:t>
      </w:r>
    </w:p>
    <w:p>
      <w:pPr>
        <w:pStyle w:val="Normal"/>
      </w:pPr>
      <w:r>
        <w:t>$ sudo ldapmodify -Q -Y EXTERNAL -H ldapi:///</w:t>
        <w:t xml:space="preserve"> </w:t>
        <w:t>&lt;&lt;EOF</w:t>
        <w:t xml:space="preserve"> </w:t>
        <w:t>dn: olcDatabase={1}mdb,cn=config</w:t>
      </w:r>
    </w:p>
    <w:p>
      <w:pPr>
        <w:pStyle w:val="Normal"/>
      </w:pPr>
      <w:r>
        <w:t>add: olcAccess</w:t>
      </w:r>
    </w:p>
    <w:p>
      <w:pPr>
        <w:pStyle w:val="Normal"/>
      </w:pPr>
      <w:r>
        <w:t>olcAccess: {4}to dn.subtree="ou=People,dc=example,dc=com"</w:t>
      </w:r>
    </w:p>
    <w:p>
      <w:pPr>
        <w:pStyle w:val="Para 02"/>
      </w:pPr>
      <w:r>
        <w:t>by dn.exact="uid=kdc-service,dc=example,dc=com" read</w:t>
      </w:r>
    </w:p>
    <w:p>
      <w:pPr>
        <w:pStyle w:val="Para 02"/>
      </w:pPr>
      <w:r>
        <w:t>by dn.exact="uid=kadmin-service,dc=example,dc=com" write</w:t>
        <w:t xml:space="preserve"> </w:t>
        <w:t>by * break</w:t>
      </w:r>
    </w:p>
    <w:p>
      <w:pPr>
        <w:pStyle w:val="Normal"/>
      </w:pPr>
      <w:r>
        <w:t>EOF</w:t>
      </w:r>
    </w:p>
    <w:p>
      <w:pPr>
        <w:pStyle w:val="Para 17"/>
      </w:pPr>
      <w:r>
        <w:t/>
      </w:r>
    </w:p>
    <w:p>
      <w:pPr>
        <w:pStyle w:val="Normal"/>
      </w:pPr>
      <w:r>
        <w:t>And now we can specify the new location:</w:t>
      </w:r>
    </w:p>
    <w:p>
      <w:pPr>
        <w:pStyle w:val="Normal"/>
      </w:pPr>
      <w:r>
        <w:t>$ sudo kadmin.local</w:t>
      </w:r>
    </w:p>
    <w:p>
      <w:pPr>
        <w:pStyle w:val="Normal"/>
      </w:pPr>
      <w:r>
        <w:t>Authenticating as principal root/admin@EXAMPLE.COM with password.</w:t>
        <w:t xml:space="preserve"> </w:t>
        <w:t>kadmin.local:</w:t>
        <w:t xml:space="preserve"> </w:t>
        <w:t>addprinc -x</w:t>
        <w:t xml:space="preserve"> </w:t>
        <w:t>dn</w:t>
        <w:t>=</w:t>
        <w:t>uid</w:t>
        <w:t>=</w:t>
        <w:t>testuser1,ou</w:t>
        <w:t>=</w:t>
        <w:t>People,dc</w:t>
        <w:t>=</w:t>
        <w:t>example,dc</w:t>
        <w:t>=</w:t>
        <w:t>com testuser1</w:t>
        <w:t xml:space="preserve"> </w:t>
        <w:t>WARNING: no policy specified</w:t>
        <w:t xml:space="preserve"> </w:t>
      </w:r>
      <w:r>
        <w:rPr>
          <w:rStyle w:val="Text0"/>
        </w:rPr>
        <w:t>for</w:t>
      </w:r>
      <w:r>
        <w:t xml:space="preserve"> </w:t>
        <w:t>testuser1@EXAMPLE.COM; defaulting to no policy</w:t>
        <w:t xml:space="preserve"> </w:t>
        <w:t>Enter password</w:t>
        <w:t xml:space="preserve"> </w:t>
      </w:r>
      <w:r>
        <w:rPr>
          <w:rStyle w:val="Text0"/>
        </w:rPr>
        <w:t>for</w:t>
      </w:r>
      <w:r>
        <w:t xml:space="preserve"> </w:t>
        <w:t>principal</w:t>
        <w:t xml:space="preserve"> </w:t>
        <w:t>"testuser1@EXAMPLE.COM"</w:t>
        <w:t>:</w:t>
        <w:t xml:space="preserve"> </w:t>
        <w:t>Re-enter password</w:t>
        <w:t xml:space="preserve"> </w:t>
      </w:r>
      <w:r>
        <w:rPr>
          <w:rStyle w:val="Text0"/>
        </w:rPr>
        <w:t>for</w:t>
      </w:r>
      <w:r>
        <w:t xml:space="preserve"> </w:t>
        <w:t>principal</w:t>
        <w:t xml:space="preserve"> </w:t>
        <w:t>"testuser1@EXAMPLE.COM"</w:t>
        <w:t>:</w:t>
        <w:t xml:space="preserve"> </w:t>
        <w:t>Principal</w:t>
        <w:t xml:space="preserve"> </w:t>
        <w:t>"testuser1@EXAMPLE.COM"</w:t>
        <w:t xml:space="preserve"> </w:t>
        <w:t>created.</w:t>
      </w:r>
    </w:p>
    <w:p>
      <w:pPr>
        <w:pStyle w:val="Para 17"/>
      </w:pPr>
      <w:r>
        <w:t/>
      </w:r>
    </w:p>
    <w:p>
      <w:pPr>
        <w:pStyle w:val="Normal"/>
      </w:pPr>
      <w:r>
        <w:t>Since the specified DN already exists, kadmin.local will just add the required Kerberos at-tributes to this existing entry. If it didn’t exist, it would be created from scratch, with only the Kerberos attributes, just like what happened with the ubuntu example above, but in the specified location.</w:t>
      </w:r>
    </w:p>
    <w:p>
      <w:pPr>
        <w:pStyle w:val="Para 17"/>
      </w:pPr>
      <w:r>
        <w:t/>
      </w:r>
    </w:p>
    <w:p>
      <w:pPr>
        <w:pStyle w:val="Para 08"/>
      </w:pPr>
      <w:r>
        <w:t>Note:</w:t>
      </w:r>
    </w:p>
    <w:p>
      <w:pPr>
        <w:pStyle w:val="Para 03"/>
      </w:pPr>
      <w:r>
        <w:t>If the ldap_kadmin_dn DN (uid=kadmin-service in our example) does not have write access</w:t>
      </w:r>
    </w:p>
    <w:p>
      <w:pPr>
        <w:pStyle w:val="Para 03"/>
      </w:pPr>
      <w:r>
        <w:t>to the location specified by the-x parameter, you will get an Insufficient access error.</w:t>
      </w:r>
    </w:p>
    <w:p>
      <w:pPr>
        <w:pStyle w:val="Para 17"/>
      </w:pPr>
      <w:r>
        <w:t/>
      </w:r>
    </w:p>
    <w:p>
      <w:pPr>
        <w:pStyle w:val="Normal"/>
      </w:pPr>
      <w:r>
        <w:t xml:space="preserve">Both places are visible for kinit, since, when the realm was created with kdb5_ldap_util, the default value for the search scope and base were taken: subtree, and dc=example,dc=com. </w:t>
      </w:r>
      <w:r>
        <w:rPr>
          <w:rStyle w:val="Text0"/>
        </w:rPr>
        <w:t>Secondary KDC configuration (LDAP)</w:t>
      </w:r>
    </w:p>
    <w:p>
      <w:bookmarkStart w:id="214" w:name="page_1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0" name="index-158_1.png" descr="index-158_1.png"/>
            <wp:cNvGraphicFramePr>
              <a:graphicFrameLocks noChangeAspect="1"/>
            </wp:cNvGraphicFramePr>
            <a:graphic>
              <a:graphicData uri="http://schemas.openxmlformats.org/drawingml/2006/picture">
                <pic:pic>
                  <pic:nvPicPr>
                    <pic:cNvPr id="0" name="index-158_1.png" descr="index-158_1.png"/>
                    <pic:cNvPicPr/>
                  </pic:nvPicPr>
                  <pic:blipFill>
                    <a:blip r:embed="rId164"/>
                    <a:stretch>
                      <a:fillRect/>
                    </a:stretch>
                  </pic:blipFill>
                  <pic:spPr>
                    <a:xfrm>
                      <a:off x="0" y="0"/>
                      <a:ext cx="914400" cy="266700"/>
                    </a:xfrm>
                    <a:prstGeom prst="rect">
                      <a:avLst/>
                    </a:prstGeom>
                  </pic:spPr>
                </pic:pic>
              </a:graphicData>
            </a:graphic>
          </wp:anchor>
        </w:drawing>
      </w:r>
      <w:bookmarkEnd w:id="214"/>
    </w:p>
    <w:p>
      <w:pPr>
        <w:pStyle w:val="Para 17"/>
      </w:pPr>
      <w:r>
        <w:t/>
      </w:r>
    </w:p>
    <w:p>
      <w:pPr>
        <w:pStyle w:val="Normal"/>
      </w:pPr>
      <w:r>
        <w:t>The setup of the secondary KDC (and its OpenLDAP replica) is very similar. Once you have the OpenLDAP replication setup, repeat these steps on the secondary:</w:t>
      </w:r>
    </w:p>
    <w:p>
      <w:pPr>
        <w:pStyle w:val="Para 04"/>
      </w:pPr>
      <w:r>
        <w:t xml:space="preserve">• Install krb5-kdc-ldap, ldap-utils. Do </w:t>
      </w:r>
      <w:r>
        <w:rPr>
          <w:rStyle w:val="Text0"/>
        </w:rPr>
        <w:t>not</w:t>
      </w:r>
      <w:r>
        <w:t xml:space="preserve"> install krb5-admin-server.</w:t>
      </w:r>
    </w:p>
    <w:p>
      <w:pPr>
        <w:pStyle w:val="Para 04"/>
      </w:pPr>
      <w:r>
        <w:t>• Load the Kerberos schema using schema2ldif.</w:t>
      </w:r>
    </w:p>
    <w:p>
      <w:pPr>
        <w:pStyle w:val="Para 04"/>
      </w:pPr>
      <w:r>
        <w:t>• Add the index for krbPrincipalName.</w:t>
      </w:r>
    </w:p>
    <w:p>
      <w:pPr>
        <w:pStyle w:val="Para 04"/>
      </w:pPr>
      <w:r>
        <w:t>• Add the ACLs.</w:t>
      </w:r>
    </w:p>
    <w:p>
      <w:pPr>
        <w:pStyle w:val="Para 04"/>
      </w:pPr>
      <w:r>
        <w:t>• Configure krb5.conf in the same way, initially. If you want to, and if you configured SSL</w:t>
      </w:r>
    </w:p>
    <w:p>
      <w:pPr>
        <w:pStyle w:val="Para 02"/>
      </w:pPr>
      <w:r>
        <w:t>properly, you can add ldaps://kdc01.example.com to the ldap_servers list after ldapi:/ //, so that the secondary KDC can have two LDAP backends at its disposal.</w:t>
      </w:r>
    </w:p>
    <w:p>
      <w:pPr>
        <w:pStyle w:val="Para 04"/>
      </w:pPr>
      <w:r>
        <w:t xml:space="preserve">• </w:t>
      </w:r>
      <w:r>
        <w:rPr>
          <w:rStyle w:val="Text0"/>
        </w:rPr>
        <w:t>DO NOT</w:t>
      </w:r>
      <w:r>
        <w:t xml:space="preserve"> run kdb5_ldap_util. There is no need to create the database since it’s being</w:t>
      </w:r>
    </w:p>
    <w:p>
      <w:pPr>
        <w:pStyle w:val="Para 02"/>
      </w:pPr>
      <w:r>
        <w:t>replicated from the primary.</w:t>
      </w:r>
    </w:p>
    <w:p>
      <w:pPr>
        <w:pStyle w:val="Para 04"/>
      </w:pPr>
      <w:r>
        <w:t>• Copy over the following files from the primary KDC and place them in the same location</w:t>
      </w:r>
    </w:p>
    <w:p>
      <w:pPr>
        <w:pStyle w:val="Para 02"/>
      </w:pPr>
      <w:r>
        <w:t>on the secondary:</w:t>
      </w:r>
    </w:p>
    <w:p>
      <w:pPr>
        <w:pStyle w:val="Para 06"/>
      </w:pPr>
      <w:r>
        <w:rPr>
          <w:rStyle w:val="Text0"/>
        </w:rPr>
        <w:t>–</w:t>
      </w:r>
      <w:r>
        <w:t xml:space="preserve"> /etc/krb5kdc/stash</w:t>
      </w:r>
    </w:p>
    <w:p>
      <w:pPr>
        <w:pStyle w:val="Para 06"/>
      </w:pPr>
      <w:r>
        <w:rPr>
          <w:rStyle w:val="Text0"/>
        </w:rPr>
        <w:t>–</w:t>
      </w:r>
      <w:r>
        <w:t xml:space="preserve"> /etc/krb5kdc/service.keyfile</w:t>
      </w:r>
    </w:p>
    <w:p>
      <w:pPr>
        <w:pStyle w:val="Para 04"/>
      </w:pPr>
      <w:r>
        <w:t>• Start the KDC: sudo systemctl start krb5-kdc.service</w:t>
      </w:r>
    </w:p>
    <w:p>
      <w:pPr>
        <w:pStyle w:val="Para 17"/>
      </w:pPr>
      <w:r>
        <w:t/>
      </w:r>
    </w:p>
    <w:p>
      <w:pPr>
        <w:pStyle w:val="Para 01"/>
      </w:pPr>
      <w:r>
        <w:t>Resources</w:t>
      </w:r>
    </w:p>
    <w:p>
      <w:pPr>
        <w:pStyle w:val="Para 17"/>
      </w:pPr>
      <w:r>
        <w:t/>
      </w:r>
    </w:p>
    <w:p>
      <w:pPr>
        <w:pStyle w:val="Para 13"/>
      </w:pPr>
      <w:r>
        <w:rPr>
          <w:rStyle w:val="Text7"/>
        </w:rPr>
        <w:t xml:space="preserve">• </w:t>
      </w:r>
      <w:hyperlink w:anchor="page_158">
        <w:r>
          <w:rPr>
            <w:rStyle w:val="Text10"/>
          </w:rPr>
          <w:t>124</w:t>
        </w:r>
      </w:hyperlink>
      <w:r>
        <w:rPr>
          <w:rStyle w:val="Text7"/>
        </w:rPr>
        <w:t xml:space="preserve"> </w:t>
      </w:r>
      <w:hyperlink r:id="rId1132">
        <w:r>
          <w:t>Configuring Kerberos with OpenLDAP back-end</w:t>
        </w:r>
      </w:hyperlink>
    </w:p>
    <w:p>
      <w:pPr>
        <w:pStyle w:val="Para 13"/>
      </w:pPr>
      <w:r>
        <w:rPr>
          <w:rStyle w:val="Text7"/>
        </w:rPr>
        <w:t xml:space="preserve">• </w:t>
      </w:r>
      <w:hyperlink w:anchor="page_158">
        <w:r>
          <w:rPr>
            <w:rStyle w:val="Text10"/>
          </w:rPr>
          <w:t>125</w:t>
        </w:r>
      </w:hyperlink>
      <w:r>
        <w:rPr>
          <w:rStyle w:val="Text7"/>
        </w:rPr>
        <w:t xml:space="preserve"> </w:t>
      </w:r>
      <w:hyperlink r:id="rId1129">
        <w:r>
          <w:t>MIT Kerberos backend types</w:t>
        </w:r>
      </w:hyperlink>
    </w:p>
    <w:p>
      <w:pPr>
        <w:pStyle w:val="Para 17"/>
      </w:pPr>
      <w:r>
        <w:t/>
      </w:r>
    </w:p>
    <w:p>
      <w:pPr>
        <w:pStyle w:val="Para 01"/>
      </w:pPr>
      <w:r>
        <w:t>See also</w:t>
      </w:r>
    </w:p>
    <w:p>
      <w:pPr>
        <w:pStyle w:val="Para 17"/>
      </w:pPr>
      <w:r>
        <w:t/>
      </w:r>
    </w:p>
    <w:p>
      <w:pPr>
        <w:pStyle w:val="Para 04"/>
      </w:pPr>
      <w:r>
        <w:t xml:space="preserve">• Explanation: </w:t>
      </w:r>
      <w:hyperlink w:anchor="page_739">
        <w:r>
          <w:rPr>
            <w:rStyle w:val="Text2"/>
          </w:rPr>
          <w:t>Introduction to Kerberos</w:t>
        </w:r>
      </w:hyperlink>
      <w:r>
        <w:t xml:space="preserve"> (page 738)</w:t>
      </w:r>
    </w:p>
    <w:p>
      <w:pPr>
        <w:pStyle w:val="Para 17"/>
      </w:pPr>
      <w:r>
        <w:t/>
      </w:r>
    </w:p>
    <w:p>
      <w:pPr>
        <w:pStyle w:val="Para 01"/>
      </w:pPr>
      <w:r>
        <w:t>Network user authentication with SSSD</w:t>
      </w:r>
    </w:p>
    <w:p>
      <w:pPr>
        <w:pStyle w:val="Para 17"/>
      </w:pPr>
      <w:r>
        <w:t/>
      </w:r>
    </w:p>
    <w:p>
      <w:pPr>
        <w:pStyle w:val="Normal"/>
      </w:pPr>
      <w:r>
        <w:t>These guides will show you how to set up network user authentication with SSSD with…</w:t>
      </w:r>
    </w:p>
    <w:p>
      <w:pPr>
        <w:pStyle w:val="Para 05"/>
      </w:pPr>
      <w:r>
        <w:rPr>
          <w:rStyle w:val="Text5"/>
        </w:rPr>
        <w:t>124</w:t>
      </w:r>
      <w:r>
        <w:rPr>
          <w:rStyle w:val="Text8"/>
        </w:rPr>
        <w:t xml:space="preserve"> </w:t>
      </w:r>
      <w:r>
        <w:t>https://web.mit.edu/kerberos/krb5-latest/doc/admin/conf_ldap.html#conf-ldap</w:t>
      </w:r>
    </w:p>
    <w:p>
      <w:pPr>
        <w:pStyle w:val="Para 05"/>
      </w:pPr>
      <w:r>
        <w:rPr>
          <w:rStyle w:val="Text5"/>
        </w:rPr>
        <w:t>125</w:t>
      </w:r>
      <w:r>
        <w:rPr>
          <w:rStyle w:val="Text8"/>
        </w:rPr>
        <w:t xml:space="preserve"> </w:t>
      </w:r>
      <w:r>
        <w:t>https://web.mit.edu/kerberos/krb5-latest/doc/admin/dbtypes.html</w:t>
      </w:r>
    </w:p>
    <w:p>
      <w:bookmarkStart w:id="215" w:name="calibre_pb_28"/>
      <w:pPr>
        <w:pStyle w:val="0 Block"/>
      </w:pPr>
      <w:bookmarkEnd w:id="215"/>
    </w:p>
    <w:p>
      <w:bookmarkStart w:id="216" w:name="page_159"/>
      <w:bookmarkStart w:id="217" w:name="Top_of_index_split_02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1"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165"/>
                    <a:stretch>
                      <a:fillRect/>
                    </a:stretch>
                  </pic:blipFill>
                  <pic:spPr>
                    <a:xfrm>
                      <a:off x="0" y="0"/>
                      <a:ext cx="914400" cy="266700"/>
                    </a:xfrm>
                    <a:prstGeom prst="rect">
                      <a:avLst/>
                    </a:prstGeom>
                  </pic:spPr>
                </pic:pic>
              </a:graphicData>
            </a:graphic>
          </wp:anchor>
        </w:drawing>
      </w:r>
      <w:bookmarkEnd w:id="216"/>
      <w:bookmarkEnd w:id="217"/>
    </w:p>
    <w:p>
      <w:pPr>
        <w:pStyle w:val="Para 01"/>
      </w:pPr>
      <w:r>
        <w:t>How to set up SSSD with Active Directory</w:t>
      </w:r>
    </w:p>
    <w:p>
      <w:pPr>
        <w:pStyle w:val="Para 17"/>
      </w:pPr>
      <w:r>
        <w:t/>
      </w:r>
    </w:p>
    <w:p>
      <w:pPr>
        <w:pStyle w:val="Normal"/>
      </w:pPr>
      <w:r>
        <w:t>This section describes the use of SSSD to authenticate user logins against an Active Directory via using SSSD’s “ad” provider. At the end, Active Directory users will be able to log in on the host using their AD credentials. Group membership will also be maintained.</w:t>
      </w:r>
    </w:p>
    <w:p>
      <w:pPr>
        <w:pStyle w:val="Para 17"/>
      </w:pPr>
      <w:r>
        <w:t/>
      </w:r>
    </w:p>
    <w:p>
      <w:pPr>
        <w:pStyle w:val="Para 01"/>
      </w:pPr>
      <w:r>
        <w:t>Group Policies for Ubuntu</w:t>
      </w:r>
    </w:p>
    <w:p>
      <w:pPr>
        <w:pStyle w:val="Para 17"/>
      </w:pPr>
      <w:r>
        <w:t/>
      </w:r>
    </w:p>
    <w:p>
      <w:pPr>
        <w:pStyle w:val="Normal"/>
      </w:pPr>
      <w:r>
        <w:t>SSSD manages user authentication and sets initial security policies.</w:t>
      </w:r>
    </w:p>
    <w:p>
      <w:pPr>
        <w:pStyle w:val="Normal"/>
      </w:pPr>
      <w:hyperlink w:anchor="page_668">
        <w:r>
          <w:rPr>
            <w:rStyle w:val="Text2"/>
          </w:rPr>
          <w:t>ADSys</w:t>
        </w:r>
      </w:hyperlink>
      <w:r>
        <w:t xml:space="preserve"> serves as a Group Policy client for Ubuntu, streamlining the configuration of Ubuntu systems within a Microsoft Active Directory environment. If you are interested in Group Poli-</w:t>
      </w:r>
    </w:p>
    <w:p>
      <w:pPr>
        <w:pStyle w:val="Normal"/>
      </w:pPr>
      <w:r>
        <w:t xml:space="preserve">cies support for Ubuntu, detailed information can be found in the </w:t>
      </w:r>
      <w:hyperlink w:anchor="page_159">
        <w:r>
          <w:rPr>
            <w:rStyle w:val="Text9"/>
          </w:rPr>
          <w:t>126</w:t>
        </w:r>
      </w:hyperlink>
      <w:r>
        <w:t xml:space="preserve"> </w:t>
      </w:r>
      <w:hyperlink r:id="rId1133">
        <w:r>
          <w:rPr>
            <w:rStyle w:val="Text1"/>
          </w:rPr>
          <w:t>ADSys documentation</w:t>
        </w:r>
      </w:hyperlink>
      <w:r>
        <w:t>.</w:t>
      </w:r>
    </w:p>
    <w:p>
      <w:pPr>
        <w:pStyle w:val="Para 17"/>
      </w:pPr>
      <w:r>
        <w:t/>
      </w:r>
    </w:p>
    <w:p>
      <w:pPr>
        <w:pStyle w:val="Para 01"/>
      </w:pPr>
      <w:r>
        <w:t>Prerequisites and assumptions</w:t>
      </w:r>
    </w:p>
    <w:p>
      <w:pPr>
        <w:pStyle w:val="Para 17"/>
      </w:pPr>
      <w:r>
        <w:t/>
      </w:r>
    </w:p>
    <w:p>
      <w:pPr>
        <w:pStyle w:val="Normal"/>
      </w:pPr>
      <w:r>
        <w:t>This guide does not explain Active Directory, how it works, how to set one up, or how to maintain it. It assumes that a working Active Directory domain is already configured and you have access to the credentials to join a machine to that domain.</w:t>
      </w:r>
    </w:p>
    <w:p>
      <w:pPr>
        <w:pStyle w:val="Para 04"/>
      </w:pPr>
      <w:r>
        <w:t>• The domain controller is:</w:t>
      </w:r>
    </w:p>
    <w:p>
      <w:pPr>
        <w:pStyle w:val="Para 06"/>
      </w:pPr>
      <w:r>
        <w:rPr>
          <w:rStyle w:val="Text0"/>
        </w:rPr>
        <w:t>–</w:t>
      </w:r>
      <w:r>
        <w:t xml:space="preserve"> Acting as an authoritative </w:t>
      </w:r>
      <w:hyperlink w:anchor="page_679">
        <w:r>
          <w:rPr>
            <w:rStyle w:val="Text2"/>
          </w:rPr>
          <w:t>DNS</w:t>
        </w:r>
      </w:hyperlink>
      <w:r>
        <w:t xml:space="preserve"> server for the domain.</w:t>
      </w:r>
    </w:p>
    <w:p>
      <w:pPr>
        <w:pStyle w:val="Para 06"/>
      </w:pPr>
      <w:r>
        <w:rPr>
          <w:rStyle w:val="Text0"/>
        </w:rPr>
        <w:t>–</w:t>
      </w:r>
      <w:r>
        <w:t xml:space="preserve"> The primary DNS resolver (check with resolvectl status).</w:t>
      </w:r>
    </w:p>
    <w:p>
      <w:pPr>
        <w:pStyle w:val="Para 04"/>
      </w:pPr>
      <w:r>
        <w:t>• System time is correct and in sync, maintained via a service like chrony or ntp.</w:t>
      </w:r>
    </w:p>
    <w:p>
      <w:pPr>
        <w:pStyle w:val="Para 04"/>
      </w:pPr>
      <w:r>
        <w:t>• The domain used in this example is ad1.example.com .</w:t>
      </w:r>
    </w:p>
    <w:p>
      <w:pPr>
        <w:pStyle w:val="Para 17"/>
      </w:pPr>
      <w:r>
        <w:t/>
      </w:r>
    </w:p>
    <w:p>
      <w:pPr>
        <w:pStyle w:val="Para 01"/>
      </w:pPr>
      <w:r>
        <w:t>Install necessary software</w:t>
      </w:r>
    </w:p>
    <w:p>
      <w:pPr>
        <w:pStyle w:val="Para 17"/>
      </w:pPr>
      <w:r>
        <w:t/>
      </w:r>
    </w:p>
    <w:p>
      <w:pPr>
        <w:pStyle w:val="Normal"/>
      </w:pPr>
      <w:r>
        <w:t>Install the following packages:</w:t>
      </w:r>
    </w:p>
    <w:p>
      <w:pPr>
        <w:pStyle w:val="Normal"/>
      </w:pPr>
      <w:r>
        <w:t>sudo apt install sssd-ad sssd-tools realmd adcli</w:t>
      </w:r>
    </w:p>
    <w:p>
      <w:pPr>
        <w:pStyle w:val="Para 17"/>
      </w:pPr>
      <w:r>
        <w:t/>
      </w:r>
    </w:p>
    <w:p>
      <w:pPr>
        <w:pStyle w:val="Para 01"/>
      </w:pPr>
      <w:r>
        <w:t>Join the domain</w:t>
      </w:r>
    </w:p>
    <w:p>
      <w:pPr>
        <w:pStyle w:val="Para 17"/>
      </w:pPr>
      <w:r>
        <w:t/>
      </w:r>
    </w:p>
    <w:p>
      <w:pPr>
        <w:pStyle w:val="Normal"/>
      </w:pPr>
      <w:r>
        <w:t>We will use the realm command, from the realmd package, to join the domain and create the SSSD configuration.</w:t>
      </w:r>
    </w:p>
    <w:p>
      <w:pPr>
        <w:pStyle w:val="Normal"/>
      </w:pPr>
      <w:r>
        <w:t>Let’s verify the domain is discoverable via DNS:</w:t>
      </w:r>
    </w:p>
    <w:p>
      <w:pPr>
        <w:pStyle w:val="Normal"/>
      </w:pPr>
      <w:r>
        <w:t>$ sudo realm -v discover ad1.example.com</w:t>
      </w:r>
    </w:p>
    <w:p>
      <w:pPr>
        <w:pStyle w:val="Normal"/>
      </w:pPr>
      <w:r>
        <w:t>* Resolving: _ldap._tcp.ad1.example.com</w:t>
      </w:r>
    </w:p>
    <w:p>
      <w:pPr>
        <w:pStyle w:val="Normal"/>
      </w:pPr>
      <w:r>
        <w:t>* Performing LDAP DSE lookup on:</w:t>
        <w:t xml:space="preserve"> </w:t>
        <w:t>10</w:t>
        <w:t>.51.0.5</w:t>
        <w:t xml:space="preserve"> </w:t>
        <w:t>* Successfully discovered: ad1.example.com</w:t>
      </w:r>
    </w:p>
    <w:p>
      <w:pPr>
        <w:pStyle w:val="Normal"/>
      </w:pPr>
      <w:r>
        <w:t>ad1.example.com</w:t>
      </w:r>
    </w:p>
    <w:p>
      <w:pPr>
        <w:pStyle w:val="Para 03"/>
      </w:pPr>
      <w:r>
        <w:t>type: kerberos</w:t>
      </w:r>
    </w:p>
    <w:p>
      <w:pPr>
        <w:pStyle w:val="Para 09"/>
      </w:pPr>
      <w:r>
        <w:t>(continues on next page)</w:t>
      </w:r>
    </w:p>
    <w:p>
      <w:pPr>
        <w:pStyle w:val="Para 05"/>
      </w:pPr>
      <w:r>
        <w:rPr>
          <w:rStyle w:val="Text5"/>
        </w:rPr>
        <w:t>126</w:t>
      </w:r>
      <w:r>
        <w:rPr>
          <w:rStyle w:val="Text8"/>
        </w:rPr>
        <w:t xml:space="preserve"> </w:t>
      </w:r>
      <w:r>
        <w:t>https://documentation.ubuntu.com/adsys/stable/</w:t>
      </w:r>
    </w:p>
    <w:p>
      <w:bookmarkStart w:id="218" w:name="page_1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2"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166"/>
                    <a:stretch>
                      <a:fillRect/>
                    </a:stretch>
                  </pic:blipFill>
                  <pic:spPr>
                    <a:xfrm>
                      <a:off x="0" y="0"/>
                      <a:ext cx="914400" cy="266700"/>
                    </a:xfrm>
                    <a:prstGeom prst="rect">
                      <a:avLst/>
                    </a:prstGeom>
                  </pic:spPr>
                </pic:pic>
              </a:graphicData>
            </a:graphic>
          </wp:anchor>
        </w:drawing>
      </w:r>
      <w:bookmarkEnd w:id="218"/>
    </w:p>
    <w:p>
      <w:pPr>
        <w:pStyle w:val="Para 09"/>
      </w:pPr>
      <w:r>
        <w:t>(continued from previous page)</w:t>
      </w:r>
    </w:p>
    <w:p>
      <w:pPr>
        <w:pStyle w:val="Para 03"/>
      </w:pPr>
      <w:r>
        <w:t>realm-name: AD1.EXAMPLE.COM</w:t>
      </w:r>
    </w:p>
    <w:p>
      <w:pPr>
        <w:pStyle w:val="Para 03"/>
      </w:pPr>
      <w:r>
        <w:t>domain-name: ad1.example.com</w:t>
      </w:r>
    </w:p>
    <w:p>
      <w:pPr>
        <w:pStyle w:val="Para 03"/>
      </w:pPr>
      <w:r>
        <w:t>configured: no</w:t>
      </w:r>
    </w:p>
    <w:p>
      <w:pPr>
        <w:pStyle w:val="Para 03"/>
      </w:pPr>
      <w:r>
        <w:t>server-software: active-directory</w:t>
      </w:r>
    </w:p>
    <w:p>
      <w:pPr>
        <w:pStyle w:val="Para 03"/>
      </w:pPr>
      <w:r>
        <w:t>client-software: sssd</w:t>
      </w:r>
    </w:p>
    <w:p>
      <w:pPr>
        <w:pStyle w:val="Para 03"/>
      </w:pPr>
      <w:r>
        <w:t>required-package: sssd-tools</w:t>
      </w:r>
    </w:p>
    <w:p>
      <w:pPr>
        <w:pStyle w:val="Para 03"/>
      </w:pPr>
      <w:r>
        <w:t>required-package: sssd</w:t>
      </w:r>
    </w:p>
    <w:p>
      <w:pPr>
        <w:pStyle w:val="Para 03"/>
      </w:pPr>
      <w:r>
        <w:t>required-package: libnss-sss</w:t>
      </w:r>
    </w:p>
    <w:p>
      <w:pPr>
        <w:pStyle w:val="Para 03"/>
      </w:pPr>
      <w:r>
        <w:t>required-package: libpam-sss</w:t>
      </w:r>
    </w:p>
    <w:p>
      <w:pPr>
        <w:pStyle w:val="Para 03"/>
      </w:pPr>
      <w:r>
        <w:t>required-package: adcli</w:t>
      </w:r>
    </w:p>
    <w:p>
      <w:pPr>
        <w:pStyle w:val="Para 03"/>
      </w:pPr>
      <w:r>
        <w:t>required-package: samba-common-bin</w:t>
      </w:r>
    </w:p>
    <w:p>
      <w:pPr>
        <w:pStyle w:val="Para 17"/>
      </w:pPr>
      <w:r>
        <w:t/>
      </w:r>
    </w:p>
    <w:p>
      <w:pPr>
        <w:pStyle w:val="Normal"/>
      </w:pPr>
      <w:r>
        <w:t>This performs several checks and determines the best software stack to use with SSSD. SSSD can install the missing packages via packagekit, but we already installed them in the previous step.</w:t>
      </w:r>
    </w:p>
    <w:p>
      <w:pPr>
        <w:pStyle w:val="Normal"/>
      </w:pPr>
      <w:r>
        <w:t>Now let’s join the domain:</w:t>
      </w:r>
    </w:p>
    <w:p>
      <w:pPr>
        <w:pStyle w:val="Normal"/>
      </w:pPr>
      <w:r>
        <w:t>$ sudo realm join ad1.example.com</w:t>
      </w:r>
    </w:p>
    <w:p>
      <w:pPr>
        <w:pStyle w:val="Normal"/>
      </w:pPr>
      <w:r>
        <w:t>Password</w:t>
        <w:t xml:space="preserve"> </w:t>
      </w:r>
      <w:r>
        <w:rPr>
          <w:rStyle w:val="Text0"/>
        </w:rPr>
        <w:t>for</w:t>
      </w:r>
      <w:r>
        <w:t xml:space="preserve"> </w:t>
        <w:t>Administrator:</w:t>
      </w:r>
    </w:p>
    <w:p>
      <w:pPr>
        <w:pStyle w:val="Para 17"/>
      </w:pPr>
      <w:r>
        <w:t/>
      </w:r>
    </w:p>
    <w:p>
      <w:pPr>
        <w:pStyle w:val="Normal"/>
      </w:pPr>
      <w:r>
        <w:t>That was quite uneventful. If you want to see what it was doing, pass the-v option:</w:t>
      </w:r>
    </w:p>
    <w:p>
      <w:pPr>
        <w:pStyle w:val="Normal"/>
      </w:pPr>
      <w:r>
        <w:t>$ sudo realm join -v ad1.example.com</w:t>
      </w:r>
    </w:p>
    <w:p>
      <w:pPr>
        <w:pStyle w:val="Normal"/>
      </w:pPr>
      <w:r>
        <w:t>* Resolving: _ldap._tcp.ad1.example.com</w:t>
      </w:r>
    </w:p>
    <w:p>
      <w:pPr>
        <w:pStyle w:val="Normal"/>
      </w:pPr>
      <w:r>
        <w:t>* Performing LDAP DSE lookup on:</w:t>
        <w:t xml:space="preserve"> </w:t>
        <w:t>10</w:t>
        <w:t>.51.0.5</w:t>
        <w:t xml:space="preserve"> </w:t>
        <w:t>* Successfully discovered: ad1.example.com</w:t>
      </w:r>
    </w:p>
    <w:p>
      <w:pPr>
        <w:pStyle w:val="Normal"/>
      </w:pPr>
      <w:r>
        <w:t>Password</w:t>
        <w:t xml:space="preserve"> </w:t>
      </w:r>
      <w:r>
        <w:rPr>
          <w:rStyle w:val="Text0"/>
        </w:rPr>
        <w:t>for</w:t>
      </w:r>
      <w:r>
        <w:t xml:space="preserve"> </w:t>
        <w:t>Administrator:</w:t>
      </w:r>
    </w:p>
    <w:p>
      <w:pPr>
        <w:pStyle w:val="Normal"/>
      </w:pPr>
      <w:r>
        <w:t>* Unconditionally checking packages</w:t>
      </w:r>
    </w:p>
    <w:p>
      <w:pPr>
        <w:pStyle w:val="Normal"/>
      </w:pPr>
      <w:r>
        <w:t>* Resolving required packages</w:t>
      </w:r>
    </w:p>
    <w:p>
      <w:pPr>
        <w:pStyle w:val="Normal"/>
      </w:pPr>
      <w:r>
        <w:t>*</w:t>
        <w:t xml:space="preserve"> </w:t>
        <w:t>LANG</w:t>
        <w:t>=</w:t>
        <w:t>C /usr/sbin/adcli join --verbose --domain ad1.example.com --domain-realm AD1.</w:t>
      </w:r>
    </w:p>
    <w:p>
      <w:pPr>
        <w:pStyle w:val="Normal"/>
      </w:pPr>
      <w:r>
        <w:t>EXAMPLE.COM --domain-controller</w:t>
        <w:t xml:space="preserve"> </w:t>
        <w:t>10</w:t>
        <w:t>.51.0.5 --login-type user --login-user Administrator --</w:t>
        <w:t>stdin-password</w:t>
      </w:r>
    </w:p>
    <w:p>
      <w:pPr>
        <w:pStyle w:val="Normal"/>
      </w:pPr>
      <w:r>
        <w:t>* Using domain name: ad1.example.com</w:t>
      </w:r>
    </w:p>
    <w:p>
      <w:pPr>
        <w:pStyle w:val="Normal"/>
      </w:pPr>
      <w:r>
        <w:t>* Calculated computer account name from fqdn: AD-CLIENT</w:t>
        <w:t xml:space="preserve"> </w:t>
        <w:t>* Using domain realm: ad1.example.com</w:t>
      </w:r>
    </w:p>
    <w:p>
      <w:pPr>
        <w:pStyle w:val="Normal"/>
      </w:pPr>
      <w:r>
        <w:t>* Sending NetLogon ping to domain controller:</w:t>
        <w:t xml:space="preserve"> </w:t>
        <w:t>10</w:t>
        <w:t>.51.0.5</w:t>
        <w:t xml:space="preserve"> </w:t>
        <w:t>* Received NetLogon info from: SERVER1.ad1.example.com</w:t>
        <w:t xml:space="preserve"> </w:t>
        <w:t>* Wrote out krb5.conf snippet to /var/cache/realmd/adcli-krb5-hUfTUg/krb5.d/adcli-krb5-</w:t>
      </w:r>
    </w:p>
    <w:p>
      <w:pPr>
        <w:pStyle w:val="Normal"/>
      </w:pPr>
      <w:r>
        <w:t>conf-hv2kzi</w:t>
      </w:r>
    </w:p>
    <w:p>
      <w:pPr>
        <w:pStyle w:val="Normal"/>
      </w:pPr>
      <w:r>
        <w:t>* Authenticated as user: Administrator@AD1.EXAMPLE.COM</w:t>
        <w:t xml:space="preserve"> </w:t>
        <w:t>* Looked up short domain name: AD1</w:t>
      </w:r>
    </w:p>
    <w:p>
      <w:pPr>
        <w:pStyle w:val="Normal"/>
      </w:pPr>
      <w:r>
        <w:t>* Looked up domain SID: S-1-5-21-2660147319-831819607-3409034899</w:t>
        <w:t xml:space="preserve"> </w:t>
        <w:t>* Using fully qualified name: ad-client.ad1.example.com</w:t>
        <w:t xml:space="preserve"> </w:t>
        <w:t>* Using domain name: ad1.example.com</w:t>
      </w:r>
    </w:p>
    <w:p>
      <w:pPr>
        <w:pStyle w:val="Normal"/>
      </w:pPr>
      <w:r>
        <w:t>* Using computer account name: AD-CLIENT</w:t>
      </w:r>
    </w:p>
    <w:p>
      <w:pPr>
        <w:pStyle w:val="Normal"/>
      </w:pPr>
      <w:r>
        <w:t>* Using domain realm: ad1.example.com</w:t>
      </w:r>
    </w:p>
    <w:p>
      <w:pPr>
        <w:pStyle w:val="Normal"/>
      </w:pPr>
      <w:r>
        <w:t>* Calculated computer account name from fqdn: AD-CLIENT</w:t>
        <w:t xml:space="preserve"> </w:t>
        <w:t>* Generated</w:t>
        <w:t xml:space="preserve"> </w:t>
        <w:t>120</w:t>
        <w:t xml:space="preserve"> </w:t>
        <w:t>character computer password</w:t>
        <w:t xml:space="preserve"> </w:t>
        <w:t>* Using keytab: FILE:/etc/krb5.keytab</w:t>
      </w:r>
    </w:p>
    <w:p>
      <w:pPr>
        <w:pStyle w:val="Normal"/>
      </w:pPr>
      <w:r>
        <w:t>* Found computer account</w:t>
        <w:t xml:space="preserve"> </w:t>
      </w:r>
      <w:r>
        <w:rPr>
          <w:rStyle w:val="Text0"/>
        </w:rPr>
        <w:t>for</w:t>
      </w:r>
      <w:r>
        <w:t xml:space="preserve"> </w:t>
        <w:t>AD-CLIENT$ at:</w:t>
        <w:t xml:space="preserve"> </w:t>
        <w:t>CN</w:t>
        <w:t>=</w:t>
        <w:t>AD-CLIENT,CN</w:t>
        <w:t>=</w:t>
        <w:t>Computers,DC</w:t>
        <w:t>=</w:t>
        <w:t>ad1,DC</w:t>
        <w:t>=</w:t>
        <w:t>example,</w:t>
      </w:r>
    </w:p>
    <w:p>
      <w:pPr>
        <w:pStyle w:val="Normal"/>
      </w:pPr>
      <w:r>
        <w:t>DC</w:t>
        <w:t>=</w:t>
        <w:t>com</w:t>
      </w:r>
    </w:p>
    <w:p>
      <w:pPr>
        <w:pStyle w:val="Normal"/>
      </w:pPr>
      <w:r>
        <w:t>* Sending NetLogon ping to domain controller:</w:t>
        <w:t xml:space="preserve"> </w:t>
        <w:t>10</w:t>
        <w:t>.51.0.5</w:t>
        <w:t xml:space="preserve"> </w:t>
        <w:t>* Received NetLogon info from: SERVER1.ad1.example.com</w:t>
        <w:t xml:space="preserve"> </w:t>
        <w:t>* Set computer password</w:t>
      </w:r>
    </w:p>
    <w:p>
      <w:pPr>
        <w:pStyle w:val="Normal"/>
      </w:pPr>
      <w:r>
        <w:t>* Retrieved kvno</w:t>
        <w:t xml:space="preserve"> </w:t>
        <w:t>'3'</w:t>
        <w:t xml:space="preserve"> </w:t>
      </w:r>
      <w:r>
        <w:rPr>
          <w:rStyle w:val="Text0"/>
        </w:rPr>
        <w:t>for</w:t>
      </w:r>
      <w:r>
        <w:t xml:space="preserve"> </w:t>
        <w:t>computer account</w:t>
        <w:t xml:space="preserve"> </w:t>
      </w:r>
      <w:r>
        <w:rPr>
          <w:rStyle w:val="Text0"/>
        </w:rPr>
        <w:t>in</w:t>
      </w:r>
      <w:r>
        <w:t xml:space="preserve"> </w:t>
        <w:t>directory:</w:t>
        <w:t xml:space="preserve"> </w:t>
        <w:t>CN</w:t>
        <w:t>=</w:t>
        <w:t>AD-CLIENT,CN</w:t>
        <w:t>=</w:t>
        <w:t>Computers,DC</w:t>
        <w:t>=</w:t>
        <w:t>ad1,</w:t>
      </w:r>
    </w:p>
    <w:p>
      <w:pPr>
        <w:pStyle w:val="Para 09"/>
      </w:pPr>
      <w:r>
        <w:t>(continues on next page)</w:t>
      </w:r>
    </w:p>
    <w:p>
      <w:bookmarkStart w:id="219" w:name="page_1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3"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167"/>
                    <a:stretch>
                      <a:fillRect/>
                    </a:stretch>
                  </pic:blipFill>
                  <pic:spPr>
                    <a:xfrm>
                      <a:off x="0" y="0"/>
                      <a:ext cx="914400" cy="266700"/>
                    </a:xfrm>
                    <a:prstGeom prst="rect">
                      <a:avLst/>
                    </a:prstGeom>
                  </pic:spPr>
                </pic:pic>
              </a:graphicData>
            </a:graphic>
          </wp:anchor>
        </w:drawing>
      </w:r>
      <w:bookmarkEnd w:id="219"/>
    </w:p>
    <w:p>
      <w:pPr>
        <w:pStyle w:val="Para 09"/>
      </w:pPr>
      <w:r>
        <w:t>(continued from previous page)</w:t>
      </w:r>
    </w:p>
    <w:p>
      <w:pPr>
        <w:pStyle w:val="Normal"/>
      </w:pPr>
      <w:r>
        <w:t>DC</w:t>
        <w:t>=</w:t>
        <w:t>example,DC</w:t>
        <w:t>=</w:t>
        <w:t>com</w:t>
      </w:r>
    </w:p>
    <w:p>
      <w:pPr>
        <w:pStyle w:val="Normal"/>
      </w:pPr>
      <w:r>
        <w:t>* Checking RestrictedKrbHost/ad-client.ad1.example.com</w:t>
        <w:t xml:space="preserve"> </w:t>
        <w:t>*</w:t>
        <w:t xml:space="preserve"> </w:t>
        <w:t>Added RestrictedKrbHost/ad-client.ad1.example.com</w:t>
        <w:t xml:space="preserve"> </w:t>
        <w:t>* Checking RestrictedKrbHost/AD-CLIENT</w:t>
      </w:r>
    </w:p>
    <w:p>
      <w:pPr>
        <w:pStyle w:val="Normal"/>
      </w:pPr>
      <w:r>
        <w:t>*</w:t>
        <w:t xml:space="preserve"> </w:t>
        <w:t>Added RestrictedKrbHost/AD-CLIENT</w:t>
      </w:r>
    </w:p>
    <w:p>
      <w:pPr>
        <w:pStyle w:val="Normal"/>
      </w:pPr>
      <w:r>
        <w:t>* Checking host/ad-client.ad1.example.com</w:t>
      </w:r>
    </w:p>
    <w:p>
      <w:pPr>
        <w:pStyle w:val="Normal"/>
      </w:pPr>
      <w:r>
        <w:t>*</w:t>
        <w:t xml:space="preserve"> </w:t>
        <w:t>Added host/ad-client.ad1.example.com</w:t>
        <w:t xml:space="preserve"> </w:t>
        <w:t>* Checking host/AD-CLIENT</w:t>
      </w:r>
    </w:p>
    <w:p>
      <w:pPr>
        <w:pStyle w:val="Normal"/>
      </w:pPr>
      <w:r>
        <w:t>*</w:t>
        <w:t xml:space="preserve"> </w:t>
        <w:t>Added host/AD-CLIENT</w:t>
      </w:r>
    </w:p>
    <w:p>
      <w:pPr>
        <w:pStyle w:val="Normal"/>
      </w:pPr>
      <w:r>
        <w:t>* Discovered which keytab salt to use</w:t>
      </w:r>
    </w:p>
    <w:p>
      <w:pPr>
        <w:pStyle w:val="Normal"/>
      </w:pPr>
      <w:r>
        <w:t>* Added the entries to the keytab: AD-CLIENT</w:t>
        <w:t>$@</w:t>
        <w:t>AD1.EXAMPLE.COM: FILE:/etc/krb5.keytab</w:t>
        <w:t xml:space="preserve"> </w:t>
        <w:t>* Added the entries to the keytab: host/AD-CLIENT@AD1.EXAMPLE.COM: FILE:/etc/krb5.keytab</w:t>
        <w:t xml:space="preserve"> </w:t>
        <w:t>* Added the entries to the keytab: host/ad-client.ad1.example.com@AD1.EXAMPLE.COM: FILE:/</w:t>
      </w:r>
    </w:p>
    <w:p>
      <w:pPr>
        <w:pStyle w:val="Normal"/>
      </w:pPr>
      <w:r>
        <w:t>etc/krb5.keytab</w:t>
      </w:r>
    </w:p>
    <w:p>
      <w:pPr>
        <w:pStyle w:val="Para 17"/>
      </w:pPr>
      <w:r>
        <w:t>* Added the entries to the keytab: RestrictedKrbHost/AD-CLIENT@AD1.EXAMPLE.COM: FILE:/</w:t>
      </w:r>
    </w:p>
    <w:p>
      <w:pPr>
        <w:pStyle w:val="Normal"/>
      </w:pPr>
      <w:r>
        <w:t>etc/krb5.keytab</w:t>
      </w:r>
    </w:p>
    <w:p>
      <w:pPr>
        <w:pStyle w:val="Normal"/>
      </w:pPr>
      <w:r>
        <w:t>* Added the entries to the keytab: RestrictedKrbHost/ad-client.ad1.example.com@AD1.</w:t>
      </w:r>
    </w:p>
    <w:p>
      <w:pPr>
        <w:pStyle w:val="Normal"/>
      </w:pPr>
      <w:r>
        <w:t>EXAMPLE.COM: FILE:/etc/krb5.keytab</w:t>
      </w:r>
    </w:p>
    <w:p>
      <w:pPr>
        <w:pStyle w:val="Normal"/>
      </w:pPr>
      <w:r>
        <w:t>* /usr/sbin/update-rc.d sssd</w:t>
        <w:t xml:space="preserve"> </w:t>
        <w:t>enable</w:t>
      </w:r>
    </w:p>
    <w:p>
      <w:pPr>
        <w:pStyle w:val="Normal"/>
      </w:pPr>
      <w:r>
        <w:t>* /usr/sbin/service sssd restart</w:t>
      </w:r>
    </w:p>
    <w:p>
      <w:pPr>
        <w:pStyle w:val="Normal"/>
      </w:pPr>
      <w:r>
        <w:t>* Successfully enrolled machine</w:t>
        <w:t xml:space="preserve"> </w:t>
      </w:r>
      <w:r>
        <w:rPr>
          <w:rStyle w:val="Text0"/>
        </w:rPr>
        <w:t>in</w:t>
      </w:r>
      <w:r>
        <w:t xml:space="preserve"> </w:t>
        <w:t>realm</w:t>
      </w:r>
    </w:p>
    <w:p>
      <w:pPr>
        <w:pStyle w:val="Para 17"/>
      </w:pPr>
      <w:r>
        <w:t/>
      </w:r>
    </w:p>
    <w:p>
      <w:pPr>
        <w:pStyle w:val="Normal"/>
      </w:pPr>
      <w:r>
        <w:t>By default, realm will use the “Administrator” account of the domain to request the join. If you need to use another account, pass it to the tool with the-U option.</w:t>
      </w:r>
    </w:p>
    <w:p>
      <w:pPr>
        <w:pStyle w:val="Normal"/>
      </w:pPr>
      <w:r>
        <w:t>Another popular way of joining a domain is using a One Time Password (OTP) token. For that, use the--one-time-password option.</w:t>
      </w:r>
    </w:p>
    <w:p>
      <w:pPr>
        <w:pStyle w:val="Para 17"/>
      </w:pPr>
      <w:r>
        <w:t/>
      </w:r>
    </w:p>
    <w:p>
      <w:pPr>
        <w:pStyle w:val="Para 01"/>
      </w:pPr>
      <w:r>
        <w:t>SSSD configuration</w:t>
      </w:r>
    </w:p>
    <w:p>
      <w:pPr>
        <w:pStyle w:val="Para 17"/>
      </w:pPr>
      <w:r>
        <w:t/>
      </w:r>
    </w:p>
    <w:p>
      <w:pPr>
        <w:pStyle w:val="Normal"/>
      </w:pPr>
      <w:r>
        <w:t>The realm tool already took care of creating an SSSD configuration, adding the PAM and NSS modules, and starting the necessary services.</w:t>
      </w:r>
    </w:p>
    <w:p>
      <w:pPr>
        <w:pStyle w:val="Normal"/>
      </w:pPr>
      <w:r>
        <w:t>Let’s take a look at /etc/sssd/sssd.conf:</w:t>
      </w:r>
    </w:p>
    <w:p>
      <w:pPr>
        <w:pStyle w:val="Normal"/>
      </w:pPr>
      <w:r>
        <w:t>[sssd]</w:t>
      </w:r>
    </w:p>
    <w:p>
      <w:pPr>
        <w:pStyle w:val="Normal"/>
      </w:pPr>
      <w:r>
        <w:t>domains = ad1.example.com</w:t>
      </w:r>
    </w:p>
    <w:p>
      <w:pPr>
        <w:pStyle w:val="Normal"/>
      </w:pPr>
      <w:r>
        <w:t>config_file_version = 2</w:t>
      </w:r>
    </w:p>
    <w:p>
      <w:pPr>
        <w:pStyle w:val="Normal"/>
      </w:pPr>
      <w:r>
        <w:t>services = nss, pam</w:t>
      </w:r>
    </w:p>
    <w:p>
      <w:pPr>
        <w:pStyle w:val="Normal"/>
      </w:pPr>
      <w:r>
        <w:t>[domain/ad1.example.com]</w:t>
      </w:r>
    </w:p>
    <w:p>
      <w:pPr>
        <w:pStyle w:val="Normal"/>
      </w:pPr>
      <w:r>
        <w:t>default_shell = /bin/bash</w:t>
      </w:r>
    </w:p>
    <w:p>
      <w:pPr>
        <w:pStyle w:val="Normal"/>
      </w:pPr>
      <w:r>
        <w:t>krb5_store_password_if_offline = True</w:t>
      </w:r>
    </w:p>
    <w:p>
      <w:pPr>
        <w:pStyle w:val="Normal"/>
      </w:pPr>
      <w:r>
        <w:t>cache_credentials = True</w:t>
      </w:r>
    </w:p>
    <w:p>
      <w:pPr>
        <w:pStyle w:val="Normal"/>
      </w:pPr>
      <w:r>
        <w:t>krb5_realm = AD1.EXAMPLE.COM</w:t>
      </w:r>
    </w:p>
    <w:p>
      <w:pPr>
        <w:pStyle w:val="Normal"/>
      </w:pPr>
      <w:r>
        <w:t>realmd_tags = manages-system joined-with-adcli</w:t>
      </w:r>
    </w:p>
    <w:p>
      <w:pPr>
        <w:pStyle w:val="Normal"/>
      </w:pPr>
      <w:r>
        <w:t>id_provider = ad</w:t>
      </w:r>
    </w:p>
    <w:p>
      <w:pPr>
        <w:pStyle w:val="Normal"/>
      </w:pPr>
      <w:r>
        <w:t>fallback_homedir = /home/%u@%d</w:t>
      </w:r>
    </w:p>
    <w:p>
      <w:pPr>
        <w:pStyle w:val="Normal"/>
      </w:pPr>
      <w:r>
        <w:t>ad_domain = ad1.example.com</w:t>
      </w:r>
    </w:p>
    <w:p>
      <w:pPr>
        <w:pStyle w:val="Normal"/>
      </w:pPr>
      <w:r>
        <w:t>use_fully_qualified_names = True</w:t>
      </w:r>
    </w:p>
    <w:p>
      <w:pPr>
        <w:pStyle w:val="Normal"/>
      </w:pPr>
      <w:r>
        <w:t>ldap_id_mapping = True</w:t>
      </w:r>
    </w:p>
    <w:p>
      <w:pPr>
        <w:pStyle w:val="Normal"/>
      </w:pPr>
      <w:r>
        <w:t>access_provider = ad</w:t>
      </w:r>
    </w:p>
    <w:p>
      <w:bookmarkStart w:id="220" w:name="page_1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4"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168"/>
                    <a:stretch>
                      <a:fillRect/>
                    </a:stretch>
                  </pic:blipFill>
                  <pic:spPr>
                    <a:xfrm>
                      <a:off x="0" y="0"/>
                      <a:ext cx="914400" cy="266700"/>
                    </a:xfrm>
                    <a:prstGeom prst="rect">
                      <a:avLst/>
                    </a:prstGeom>
                  </pic:spPr>
                </pic:pic>
              </a:graphicData>
            </a:graphic>
          </wp:anchor>
        </w:drawing>
      </w:r>
      <w:bookmarkEnd w:id="220"/>
    </w:p>
    <w:p>
      <w:pPr>
        <w:pStyle w:val="Para 08"/>
      </w:pPr>
      <w:r>
        <w:t>Note:</w:t>
      </w:r>
    </w:p>
    <w:p>
      <w:pPr>
        <w:pStyle w:val="Para 03"/>
      </w:pPr>
      <w:r>
        <w:t>Something very important to remember is that this file must have permissions 0600 and</w:t>
      </w:r>
    </w:p>
    <w:p>
      <w:pPr>
        <w:pStyle w:val="Para 03"/>
      </w:pPr>
      <w:r>
        <w:t>ownership root:root, or else SSSD won’t start!</w:t>
      </w:r>
    </w:p>
    <w:p>
      <w:pPr>
        <w:pStyle w:val="Para 17"/>
      </w:pPr>
      <w:r>
        <w:t/>
      </w:r>
    </w:p>
    <w:p>
      <w:pPr>
        <w:pStyle w:val="Para 08"/>
      </w:pPr>
      <w:r>
        <w:t>Note:</w:t>
      </w:r>
    </w:p>
    <w:p>
      <w:pPr>
        <w:pStyle w:val="Para 03"/>
      </w:pPr>
      <w:r>
        <w:t>[FAILED] Failed to listen on sssd-nss.socket… [FAILED] Failed to listen on sssd-</w:t>
      </w:r>
    </w:p>
    <w:p>
      <w:pPr>
        <w:pStyle w:val="Para 03"/>
      </w:pPr>
      <w:r>
        <w:t>pam.socket… [FAILED] Dependency failed for sssd-pam-priv.socket…</w:t>
      </w:r>
    </w:p>
    <w:p>
      <w:pPr>
        <w:pStyle w:val="Para 03"/>
      </w:pPr>
      <w:r>
        <w:t>If you get those errors on startup, just remove the line services = nss, pam</w:t>
      </w:r>
    </w:p>
    <w:p>
      <w:pPr>
        <w:pStyle w:val="Para 17"/>
      </w:pPr>
      <w:r>
        <w:t/>
      </w:r>
    </w:p>
    <w:p>
      <w:pPr>
        <w:pStyle w:val="Normal"/>
      </w:pPr>
      <w:r>
        <w:t>Let’s highlight a few things from this config file:</w:t>
      </w:r>
    </w:p>
    <w:p>
      <w:pPr>
        <w:pStyle w:val="Para 04"/>
      </w:pPr>
      <w:r>
        <w:t xml:space="preserve">• </w:t>
      </w:r>
      <w:r>
        <w:rPr>
          <w:rStyle w:val="Text0"/>
        </w:rPr>
        <w:t>cache_credentials</w:t>
      </w:r>
      <w:r>
        <w:t>: This allows logins when the AD server is unreachable</w:t>
      </w:r>
    </w:p>
    <w:p>
      <w:pPr>
        <w:pStyle w:val="Para 04"/>
      </w:pPr>
      <w:r>
        <w:t xml:space="preserve">• </w:t>
      </w:r>
      <w:r>
        <w:rPr>
          <w:rStyle w:val="Text0"/>
        </w:rPr>
        <w:t>fallback_homedir</w:t>
      </w:r>
      <w:r>
        <w:t>: The home directory. By default, /home/&lt;user&gt;@&lt;domain&gt;. For exam-</w:t>
      </w:r>
    </w:p>
    <w:p>
      <w:pPr>
        <w:pStyle w:val="Para 17"/>
      </w:pPr>
      <w:r>
        <w:t xml:space="preserve">ple, the AD user </w:t>
      </w:r>
      <w:r>
        <w:rPr>
          <w:rStyle w:val="Text3"/>
        </w:rPr>
        <w:t>john</w:t>
      </w:r>
      <w:r>
        <w:t xml:space="preserve"> will have a home directory of </w:t>
      </w:r>
      <w:r>
        <w:rPr>
          <w:rStyle w:val="Text3"/>
        </w:rPr>
        <w:t>/home/john@ad1.example.com</w:t>
      </w:r>
      <w:r>
        <w:t>.</w:t>
      </w:r>
    </w:p>
    <w:p>
      <w:pPr>
        <w:pStyle w:val="Para 04"/>
      </w:pPr>
      <w:r>
        <w:t xml:space="preserve">• </w:t>
      </w:r>
      <w:r>
        <w:rPr>
          <w:rStyle w:val="Text0"/>
        </w:rPr>
        <w:t>use_fully_qualified_names</w:t>
      </w:r>
      <w:r>
        <w:t>: Users will be of the form user@domain, not just user. This</w:t>
      </w:r>
    </w:p>
    <w:p>
      <w:pPr>
        <w:pStyle w:val="Para 02"/>
      </w:pPr>
      <w:r>
        <w:t>should only be changed if you are certain no other domains will ever join the AD forest, via one of the several possible trust relationships.</w:t>
      </w:r>
    </w:p>
    <w:p>
      <w:pPr>
        <w:pStyle w:val="Para 17"/>
      </w:pPr>
      <w:r>
        <w:t/>
      </w:r>
    </w:p>
    <w:p>
      <w:pPr>
        <w:pStyle w:val="Para 01"/>
      </w:pPr>
      <w:r>
        <w:t>Automatic home directory creation</w:t>
      </w:r>
    </w:p>
    <w:p>
      <w:pPr>
        <w:pStyle w:val="Para 17"/>
      </w:pPr>
      <w:r>
        <w:t/>
      </w:r>
    </w:p>
    <w:p>
      <w:pPr>
        <w:pStyle w:val="Normal"/>
      </w:pPr>
      <w:r>
        <w:t>What the realm tool didn’t do for us is setup pam_mkhomedir, so that network users can get a home directory when they login. This remaining step can be done by running the following command:</w:t>
      </w:r>
    </w:p>
    <w:p>
      <w:pPr>
        <w:pStyle w:val="Normal"/>
      </w:pPr>
      <w:r>
        <w:t>sudo pam-auth-update --enable mkhomedir</w:t>
      </w:r>
    </w:p>
    <w:p>
      <w:pPr>
        <w:pStyle w:val="Para 17"/>
      </w:pPr>
      <w:r>
        <w:t/>
      </w:r>
    </w:p>
    <w:p>
      <w:pPr>
        <w:pStyle w:val="Para 01"/>
      </w:pPr>
      <w:r>
        <w:t>Testing our setup</w:t>
      </w:r>
    </w:p>
    <w:p>
      <w:pPr>
        <w:pStyle w:val="Para 17"/>
      </w:pPr>
      <w:r>
        <w:t/>
      </w:r>
    </w:p>
    <w:p>
      <w:pPr>
        <w:pStyle w:val="Normal"/>
      </w:pPr>
      <w:r>
        <w:t>You should now be able to fetch information about AD users. In this example, John Smith is an AD user:</w:t>
      </w:r>
    </w:p>
    <w:p>
      <w:pPr>
        <w:pStyle w:val="Normal"/>
      </w:pPr>
      <w:r>
        <w:t>$ getent passwd john@ad1.example.com</w:t>
      </w:r>
    </w:p>
    <w:p>
      <w:pPr>
        <w:pStyle w:val="Normal"/>
      </w:pPr>
      <w:r>
        <w:t>john@ad1.example.com:*:1725801106:1725800513:John Smith:/home/john@ad1.example.com:/bin/</w:t>
        <w:t xml:space="preserve"> </w:t>
        <w:t>bash</w:t>
      </w:r>
    </w:p>
    <w:p>
      <w:pPr>
        <w:pStyle w:val="Para 17"/>
      </w:pPr>
      <w:r>
        <w:t/>
      </w:r>
    </w:p>
    <w:p>
      <w:pPr>
        <w:pStyle w:val="Normal"/>
      </w:pPr>
      <w:r>
        <w:t>Let’s see his groups:</w:t>
      </w:r>
    </w:p>
    <w:p>
      <w:pPr>
        <w:pStyle w:val="Normal"/>
      </w:pPr>
      <w:r>
        <w:t>$ groups john@ad1.example.com</w:t>
      </w:r>
    </w:p>
    <w:p>
      <w:pPr>
        <w:pStyle w:val="Normal"/>
      </w:pPr>
      <w:r>
        <w:t>john@ad1.example.com : domain users@ad1.example.com engineering@ad1.example.com</w:t>
      </w:r>
    </w:p>
    <w:p>
      <w:pPr>
        <w:pStyle w:val="Para 17"/>
      </w:pPr>
      <w:r>
        <w:t/>
      </w:r>
    </w:p>
    <w:p>
      <w:pPr>
        <w:pStyle w:val="Para 08"/>
      </w:pPr>
      <w:r>
        <w:t>Note:</w:t>
      </w:r>
    </w:p>
    <w:p>
      <w:pPr>
        <w:pStyle w:val="Para 03"/>
      </w:pPr>
      <w:r>
        <w:t>If you just changed the group membership of a user, it may be a while before SSSD notices</w:t>
      </w:r>
    </w:p>
    <w:p>
      <w:pPr>
        <w:pStyle w:val="Para 03"/>
      </w:pPr>
      <w:r>
        <w:t>due to caching.</w:t>
      </w:r>
    </w:p>
    <w:p>
      <w:pPr>
        <w:pStyle w:val="Para 17"/>
      </w:pPr>
      <w:r>
        <w:t/>
      </w:r>
    </w:p>
    <w:p>
      <w:pPr>
        <w:pStyle w:val="Normal"/>
      </w:pPr>
      <w:r>
        <w:t>Finally, how about we try a login:</w:t>
      </w:r>
    </w:p>
    <w:p>
      <w:bookmarkStart w:id="221" w:name="page_1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5" name="index-163_1.png" descr="index-163_1.png"/>
            <wp:cNvGraphicFramePr>
              <a:graphicFrameLocks noChangeAspect="1"/>
            </wp:cNvGraphicFramePr>
            <a:graphic>
              <a:graphicData uri="http://schemas.openxmlformats.org/drawingml/2006/picture">
                <pic:pic>
                  <pic:nvPicPr>
                    <pic:cNvPr id="0" name="index-163_1.png" descr="index-163_1.png"/>
                    <pic:cNvPicPr/>
                  </pic:nvPicPr>
                  <pic:blipFill>
                    <a:blip r:embed="rId169"/>
                    <a:stretch>
                      <a:fillRect/>
                    </a:stretch>
                  </pic:blipFill>
                  <pic:spPr>
                    <a:xfrm>
                      <a:off x="0" y="0"/>
                      <a:ext cx="914400" cy="266700"/>
                    </a:xfrm>
                    <a:prstGeom prst="rect">
                      <a:avLst/>
                    </a:prstGeom>
                  </pic:spPr>
                </pic:pic>
              </a:graphicData>
            </a:graphic>
          </wp:anchor>
        </w:drawing>
      </w:r>
      <w:bookmarkEnd w:id="221"/>
    </w:p>
    <w:p>
      <w:pPr>
        <w:pStyle w:val="Normal"/>
      </w:pPr>
      <w:r>
        <w:t>$ sudo login</w:t>
      </w:r>
    </w:p>
    <w:p>
      <w:pPr>
        <w:pStyle w:val="Normal"/>
      </w:pPr>
      <w:r>
        <w:t>ad-client login: john@ad1.example.com</w:t>
      </w:r>
    </w:p>
    <w:p>
      <w:pPr>
        <w:pStyle w:val="Normal"/>
      </w:pPr>
      <w:r>
        <w:t>Password:</w:t>
      </w:r>
    </w:p>
    <w:p>
      <w:pPr>
        <w:pStyle w:val="Normal"/>
      </w:pPr>
      <w:r>
        <w:t>Welcome to Ubuntu</w:t>
        <w:t xml:space="preserve"> </w:t>
        <w:t>20</w:t>
        <w:t>.04 LTS</w:t>
        <w:t xml:space="preserve"> </w:t>
        <w:t>(</w:t>
        <w:t>GNU/Linux</w:t>
        <w:t xml:space="preserve"> </w:t>
        <w:t>5</w:t>
        <w:t>.4.0-24-generic x86_64</w:t>
        <w:t>)</w:t>
        <w:t xml:space="preserve"> </w:t>
        <w:t>...</w:t>
      </w:r>
    </w:p>
    <w:p>
      <w:pPr>
        <w:pStyle w:val="Normal"/>
      </w:pPr>
      <w:r>
        <w:t>Creating directory</w:t>
        <w:t xml:space="preserve"> </w:t>
        <w:t>'/home/john@ad1.example.com'</w:t>
        <w:t>.</w:t>
        <w:t xml:space="preserve"> </w:t>
        <w:t>john@ad1.example.com@ad-client:~$</w:t>
      </w:r>
    </w:p>
    <w:p>
      <w:pPr>
        <w:pStyle w:val="Para 17"/>
      </w:pPr>
      <w:r>
        <w:t/>
      </w:r>
    </w:p>
    <w:p>
      <w:pPr>
        <w:pStyle w:val="Normal"/>
      </w:pPr>
      <w:r>
        <w:t>Notice how the home directory was automatically created.</w:t>
      </w:r>
    </w:p>
    <w:p>
      <w:pPr>
        <w:pStyle w:val="Normal"/>
      </w:pPr>
      <w:r>
        <w:t>You can also use SSH, but note that the command will look a bit funny because of the multiple @ signs:</w:t>
      </w:r>
    </w:p>
    <w:p>
      <w:pPr>
        <w:pStyle w:val="Normal"/>
      </w:pPr>
      <w:r>
        <w:t>$ ssh john@ad1.example.com@10.51.0.11</w:t>
      </w:r>
    </w:p>
    <w:p>
      <w:pPr>
        <w:pStyle w:val="Normal"/>
      </w:pPr>
      <w:r>
        <w:t>Welcome to Ubuntu</w:t>
        <w:t xml:space="preserve"> </w:t>
        <w:t>20</w:t>
        <w:t>.04 LTS</w:t>
        <w:t xml:space="preserve"> </w:t>
        <w:t>(</w:t>
        <w:t>GNU/Linux</w:t>
        <w:t xml:space="preserve"> </w:t>
        <w:t>5</w:t>
        <w:t>.4.0-24-generic x86_64</w:t>
        <w:t>)</w:t>
        <w:t xml:space="preserve"> </w:t>
        <w:t>(</w:t>
        <w:t>...</w:t>
        <w:t>)</w:t>
      </w:r>
    </w:p>
    <w:p>
      <w:pPr>
        <w:pStyle w:val="Normal"/>
      </w:pPr>
      <w:r>
        <w:t>Last login: Thu Apr</w:t>
        <w:t xml:space="preserve"> </w:t>
        <w:t>16 21</w:t>
        <w:t>:22:55</w:t>
        <w:t xml:space="preserve"> </w:t>
        <w:t>2020</w:t>
      </w:r>
    </w:p>
    <w:p>
      <w:pPr>
        <w:pStyle w:val="Normal"/>
      </w:pPr>
      <w:r>
        <w:t>john@ad1.example.com@ad-client:~$</w:t>
      </w:r>
    </w:p>
    <w:p>
      <w:pPr>
        <w:pStyle w:val="Para 17"/>
      </w:pPr>
      <w:r>
        <w:t/>
      </w:r>
    </w:p>
    <w:p>
      <w:pPr>
        <w:pStyle w:val="Para 08"/>
      </w:pPr>
      <w:r>
        <w:t>Note:</w:t>
      </w:r>
    </w:p>
    <w:p>
      <w:pPr>
        <w:pStyle w:val="Para 03"/>
      </w:pPr>
      <w:r>
        <w:t>In the SSH example, public key authentication was used, so no password was required. Re-</w:t>
      </w:r>
    </w:p>
    <w:p>
      <w:pPr>
        <w:pStyle w:val="Para 03"/>
      </w:pPr>
      <w:r>
        <w:t>member that SSH password authentication is disabled by default in /etc/ssh/sshd_config.</w:t>
      </w:r>
    </w:p>
    <w:p>
      <w:pPr>
        <w:pStyle w:val="Para 17"/>
      </w:pPr>
      <w:r>
        <w:t/>
      </w:r>
    </w:p>
    <w:p>
      <w:pPr>
        <w:pStyle w:val="Para 01"/>
      </w:pPr>
      <w:r>
        <w:t>Kerberos tickets</w:t>
      </w:r>
    </w:p>
    <w:p>
      <w:pPr>
        <w:pStyle w:val="Para 17"/>
      </w:pPr>
      <w:r>
        <w:t/>
      </w:r>
    </w:p>
    <w:p>
      <w:pPr>
        <w:pStyle w:val="Normal"/>
      </w:pPr>
      <w:r>
        <w:t>If you install krb5-user, your AD users will also get a Kerberos ticket upon logging in:</w:t>
      </w:r>
    </w:p>
    <w:p>
      <w:pPr>
        <w:pStyle w:val="Normal"/>
      </w:pPr>
      <w:r>
        <w:t>john@ad1.example.com@ad-client:~$ klist</w:t>
      </w:r>
    </w:p>
    <w:p>
      <w:pPr>
        <w:pStyle w:val="Normal"/>
      </w:pPr>
      <w:r>
        <w:t>Ticket cache: FILE:/tmp/krb5cc_1725801106_9UxVIz</w:t>
      </w:r>
    </w:p>
    <w:p>
      <w:pPr>
        <w:pStyle w:val="Normal"/>
      </w:pPr>
      <w:r>
        <w:t>Default principal: john@AD1.EXAMPLE.COM</w:t>
      </w:r>
    </w:p>
    <w:p>
      <w:pPr>
        <w:pStyle w:val="Normal"/>
      </w:pPr>
      <w:r>
        <w:t>Valid starting</w:t>
        <w:t xml:space="preserve"> </w:t>
        <w:t>Expires</w:t>
        <w:t xml:space="preserve"> </w:t>
        <w:t>Service principal</w:t>
        <w:t xml:space="preserve"> </w:t>
        <w:t>04</w:t>
        <w:t>/16/20</w:t>
        <w:t xml:space="preserve"> </w:t>
        <w:t>21</w:t>
        <w:t>:32:12</w:t>
        <w:t xml:space="preserve"> </w:t>
        <w:t>04</w:t>
        <w:t>/17/20</w:t>
        <w:t xml:space="preserve"> </w:t>
        <w:t>07</w:t>
        <w:t>:32:12</w:t>
        <w:t xml:space="preserve"> </w:t>
        <w:t>krbtgt/AD1.EXAMPLE.COM@AD1.EXAMPLE.COM</w:t>
      </w:r>
    </w:p>
    <w:p>
      <w:pPr>
        <w:pStyle w:val="Para 06"/>
      </w:pPr>
      <w:r>
        <w:t>renew</w:t>
        <w:t xml:space="preserve"> </w:t>
      </w:r>
      <w:r>
        <w:rPr>
          <w:rStyle w:val="Text0"/>
        </w:rPr>
        <w:t>until</w:t>
      </w:r>
      <w:r>
        <w:t xml:space="preserve"> </w:t>
        <w:t>04</w:t>
        <w:t>/17/20</w:t>
        <w:t xml:space="preserve"> </w:t>
        <w:t>21</w:t>
        <w:t>:32:12</w:t>
      </w:r>
    </w:p>
    <w:p>
      <w:pPr>
        <w:pStyle w:val="Para 17"/>
      </w:pPr>
      <w:r>
        <w:t/>
      </w:r>
    </w:p>
    <w:p>
      <w:pPr>
        <w:pStyle w:val="Para 08"/>
      </w:pPr>
      <w:r>
        <w:t>Note:</w:t>
      </w:r>
    </w:p>
    <w:p>
      <w:pPr>
        <w:pStyle w:val="Para 03"/>
      </w:pPr>
      <w:r>
        <w:t>realm also configured /etc/krb5.conf for you, so there should be no further configuration</w:t>
      </w:r>
    </w:p>
    <w:p>
      <w:pPr>
        <w:pStyle w:val="Para 03"/>
      </w:pPr>
      <w:r>
        <w:t>prompts when installing krb5-user.</w:t>
      </w:r>
    </w:p>
    <w:p>
      <w:pPr>
        <w:pStyle w:val="Para 17"/>
      </w:pPr>
      <w:r>
        <w:t/>
      </w:r>
    </w:p>
    <w:p>
      <w:pPr>
        <w:pStyle w:val="Normal"/>
      </w:pPr>
      <w:r>
        <w:t>Let’s test with smbclient using Kerberos authentication to list the shares of the domain con-troller:</w:t>
      </w:r>
    </w:p>
    <w:p>
      <w:pPr>
        <w:pStyle w:val="Normal"/>
      </w:pPr>
      <w:r>
        <w:t>john@ad1.example.com@ad-client:~$ smbclient -k -L server1.ad1.example.com</w:t>
      </w:r>
    </w:p>
    <w:p>
      <w:pPr>
        <w:pStyle w:val="Para 06"/>
      </w:pPr>
      <w:r>
        <w:t>Sharename</w:t>
        <w:t xml:space="preserve"> </w:t>
        <w:t>Type</w:t>
        <w:t xml:space="preserve"> </w:t>
        <w:t>Comment</w:t>
        <w:t>---------</w:t>
        <w:t xml:space="preserve"> </w:t>
        <w:t>----</w:t>
        <w:t xml:space="preserve"> </w:t>
        <w:t>-------</w:t>
        <w:t>ADMIN$</w:t>
        <w:t xml:space="preserve"> </w:t>
        <w:t>Disk</w:t>
        <w:t xml:space="preserve"> </w:t>
        <w:t>Remote Admin</w:t>
        <w:t xml:space="preserve"> </w:t>
        <w:t>C$</w:t>
        <w:t xml:space="preserve"> </w:t>
        <w:t>Disk</w:t>
        <w:t xml:space="preserve"> </w:t>
        <w:t>Default share</w:t>
        <w:t xml:space="preserve"> </w:t>
        <w:t>IPC$</w:t>
        <w:t xml:space="preserve"> </w:t>
        <w:t>IPC</w:t>
        <w:t xml:space="preserve"> </w:t>
        <w:t>Remote IPC</w:t>
        <w:t xml:space="preserve"> </w:t>
        <w:t>NETLOGON</w:t>
        <w:t xml:space="preserve"> </w:t>
        <w:t>Disk</w:t>
        <w:t xml:space="preserve"> </w:t>
        <w:t>Logon server share</w:t>
      </w:r>
    </w:p>
    <w:p>
      <w:pPr>
        <w:pStyle w:val="Para 09"/>
      </w:pPr>
      <w:r>
        <w:t>(continues on next page)</w:t>
      </w:r>
    </w:p>
    <w:p>
      <w:bookmarkStart w:id="222" w:name="page_1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6"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170"/>
                    <a:stretch>
                      <a:fillRect/>
                    </a:stretch>
                  </pic:blipFill>
                  <pic:spPr>
                    <a:xfrm>
                      <a:off x="0" y="0"/>
                      <a:ext cx="914400" cy="266700"/>
                    </a:xfrm>
                    <a:prstGeom prst="rect">
                      <a:avLst/>
                    </a:prstGeom>
                  </pic:spPr>
                </pic:pic>
              </a:graphicData>
            </a:graphic>
          </wp:anchor>
        </w:drawing>
      </w:r>
      <w:bookmarkEnd w:id="222"/>
    </w:p>
    <w:p>
      <w:pPr>
        <w:pStyle w:val="Para 09"/>
      </w:pPr>
      <w:r>
        <w:t>(continued from previous page)</w:t>
      </w:r>
    </w:p>
    <w:p>
      <w:pPr>
        <w:pStyle w:val="Para 06"/>
      </w:pPr>
      <w:r>
        <w:t>SYSVOL</w:t>
        <w:t xml:space="preserve"> </w:t>
        <w:t>Disk</w:t>
        <w:t xml:space="preserve"> </w:t>
        <w:t>Logon server share</w:t>
      </w:r>
    </w:p>
    <w:p>
      <w:pPr>
        <w:pStyle w:val="Normal"/>
      </w:pPr>
      <w:r>
        <w:t>SMB1 disabled -- no workgroup available</w:t>
      </w:r>
    </w:p>
    <w:p>
      <w:pPr>
        <w:pStyle w:val="Para 17"/>
      </w:pPr>
      <w:r>
        <w:t/>
      </w:r>
    </w:p>
    <w:p>
      <w:pPr>
        <w:pStyle w:val="Normal"/>
      </w:pPr>
      <w:r>
        <w:t>Notice how we now have a ticket for the cifs service, which was used for the share list above:</w:t>
      </w:r>
    </w:p>
    <w:p>
      <w:pPr>
        <w:pStyle w:val="Normal"/>
      </w:pPr>
      <w:r>
        <w:t>john@ad1.example.com@ad-client:~$ klist</w:t>
      </w:r>
    </w:p>
    <w:p>
      <w:pPr>
        <w:pStyle w:val="Normal"/>
      </w:pPr>
      <w:r>
        <w:t>Ticket cache: FILE:/tmp/krb5cc_1725801106_9UxVIz</w:t>
      </w:r>
    </w:p>
    <w:p>
      <w:pPr>
        <w:pStyle w:val="Normal"/>
      </w:pPr>
      <w:r>
        <w:t>Default principal: john@AD1.EXAMPLE.COM</w:t>
      </w:r>
    </w:p>
    <w:p>
      <w:pPr>
        <w:pStyle w:val="Normal"/>
      </w:pPr>
      <w:r>
        <w:t>Valid starting</w:t>
        <w:t xml:space="preserve"> </w:t>
        <w:t>Expires</w:t>
        <w:t xml:space="preserve"> </w:t>
        <w:t>Service principal</w:t>
        <w:t xml:space="preserve"> </w:t>
        <w:t>04</w:t>
        <w:t>/16/20</w:t>
        <w:t xml:space="preserve"> </w:t>
        <w:t>21</w:t>
        <w:t>:32:12</w:t>
        <w:t xml:space="preserve"> </w:t>
        <w:t>04</w:t>
        <w:t>/17/20</w:t>
        <w:t xml:space="preserve"> </w:t>
        <w:t>07</w:t>
        <w:t>:32:12</w:t>
        <w:t xml:space="preserve"> </w:t>
        <w:t>krbtgt/AD1.EXAMPLE.COM@AD1.EXAMPLE.COM</w:t>
      </w:r>
    </w:p>
    <w:p>
      <w:pPr>
        <w:pStyle w:val="Para 06"/>
      </w:pPr>
      <w:r>
        <w:t>renew</w:t>
        <w:t xml:space="preserve"> </w:t>
      </w:r>
      <w:r>
        <w:rPr>
          <w:rStyle w:val="Text0"/>
        </w:rPr>
        <w:t>until</w:t>
      </w:r>
      <w:r>
        <w:t xml:space="preserve"> </w:t>
        <w:t>04</w:t>
        <w:t>/17/20</w:t>
        <w:t xml:space="preserve"> </w:t>
        <w:t>21</w:t>
        <w:t>:32:12</w:t>
      </w:r>
    </w:p>
    <w:p>
      <w:pPr>
        <w:pStyle w:val="Normal"/>
      </w:pPr>
      <w:r>
        <w:t>04</w:t>
        <w:t>/16/20</w:t>
        <w:t xml:space="preserve"> </w:t>
        <w:t>21</w:t>
        <w:t>:32:21</w:t>
        <w:t xml:space="preserve"> </w:t>
        <w:t>04</w:t>
        <w:t>/17/20</w:t>
        <w:t xml:space="preserve"> </w:t>
        <w:t>07</w:t>
        <w:t>:32:12</w:t>
        <w:t xml:space="preserve"> </w:t>
        <w:t>cifs/server1.ad1.example.com@AD1.EXAMPLE.COM</w:t>
      </w:r>
    </w:p>
    <w:p>
      <w:pPr>
        <w:pStyle w:val="Para 17"/>
      </w:pPr>
      <w:r>
        <w:t/>
      </w:r>
    </w:p>
    <w:p>
      <w:pPr>
        <w:pStyle w:val="Para 01"/>
      </w:pPr>
      <w:r>
        <w:t>Ubuntu Desktop authentication</w:t>
      </w:r>
    </w:p>
    <w:p>
      <w:pPr>
        <w:pStyle w:val="Para 17"/>
      </w:pPr>
      <w:r>
        <w:t/>
      </w:r>
    </w:p>
    <w:p>
      <w:pPr>
        <w:pStyle w:val="Normal"/>
      </w:pPr>
      <w:r>
        <w:t>The desktop login only shows local users in the list to pick from, and that’s on purpose.</w:t>
      </w:r>
    </w:p>
    <w:p>
      <w:pPr>
        <w:pStyle w:val="Normal"/>
      </w:pPr>
      <w:r>
        <w:t>To login with an Active Directory user for the first time, follow these steps:</w:t>
      </w:r>
    </w:p>
    <w:p>
      <w:pPr>
        <w:pStyle w:val="Para 04"/>
      </w:pPr>
      <w:r>
        <w:t>• Click on the “Not listed?”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755900"/>
            <wp:effectExtent l="0" r="0" t="0" b="0"/>
            <wp:wrapTopAndBottom/>
            <wp:docPr id="167" name="index-164_2.png" descr="index-164_2.png"/>
            <wp:cNvGraphicFramePr>
              <a:graphicFrameLocks noChangeAspect="1"/>
            </wp:cNvGraphicFramePr>
            <a:graphic>
              <a:graphicData uri="http://schemas.openxmlformats.org/drawingml/2006/picture">
                <pic:pic>
                  <pic:nvPicPr>
                    <pic:cNvPr id="0" name="index-164_2.png" descr="index-164_2.png"/>
                    <pic:cNvPicPr/>
                  </pic:nvPicPr>
                  <pic:blipFill>
                    <a:blip r:embed="rId171"/>
                    <a:stretch>
                      <a:fillRect/>
                    </a:stretch>
                  </pic:blipFill>
                  <pic:spPr>
                    <a:xfrm>
                      <a:off x="0" y="0"/>
                      <a:ext cx="3670300" cy="2755900"/>
                    </a:xfrm>
                    <a:prstGeom prst="rect">
                      <a:avLst/>
                    </a:prstGeom>
                  </pic:spPr>
                </pic:pic>
              </a:graphicData>
            </a:graphic>
          </wp:anchor>
        </w:drawing>
      </w:r>
    </w:p>
    <w:p>
      <w:pPr>
        <w:pStyle w:val="Para 17"/>
      </w:pPr>
      <w:r>
        <w:t/>
      </w:r>
    </w:p>
    <w:p>
      <w:pPr>
        <w:pStyle w:val="Para 04"/>
      </w:pPr>
      <w:r>
        <w:t>• Type in the login name followed by the password:</w:t>
      </w:r>
    </w:p>
    <w:p>
      <w:bookmarkStart w:id="223" w:name="page_1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68"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172"/>
                    <a:stretch>
                      <a:fillRect/>
                    </a:stretch>
                  </pic:blipFill>
                  <pic:spPr>
                    <a:xfrm>
                      <a:off x="0" y="0"/>
                      <a:ext cx="914400" cy="266700"/>
                    </a:xfrm>
                    <a:prstGeom prst="rect">
                      <a:avLst/>
                    </a:prstGeom>
                  </pic:spPr>
                </pic:pic>
              </a:graphicData>
            </a:graphic>
          </wp:anchor>
        </w:drawing>
      </w:r>
      <w:bookmarkEnd w:id="223"/>
    </w:p>
    <w:p>
      <w:pPr>
        <w:pStyle w:val="Para 04"/>
      </w:pPr>
      <w:r>
        <w:t>• Next time you login, the AD user will be listed as if it was a local user: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755900"/>
            <wp:effectExtent l="0" r="0" t="0" b="0"/>
            <wp:wrapTopAndBottom/>
            <wp:docPr id="169" name="index-165_2.png" descr="index-165_2.png"/>
            <wp:cNvGraphicFramePr>
              <a:graphicFrameLocks noChangeAspect="1"/>
            </wp:cNvGraphicFramePr>
            <a:graphic>
              <a:graphicData uri="http://schemas.openxmlformats.org/drawingml/2006/picture">
                <pic:pic>
                  <pic:nvPicPr>
                    <pic:cNvPr id="0" name="index-165_2.png" descr="index-165_2.png"/>
                    <pic:cNvPicPr/>
                  </pic:nvPicPr>
                  <pic:blipFill>
                    <a:blip r:embed="rId173"/>
                    <a:stretch>
                      <a:fillRect/>
                    </a:stretch>
                  </pic:blipFill>
                  <pic:spPr>
                    <a:xfrm>
                      <a:off x="0" y="0"/>
                      <a:ext cx="3670300" cy="2755900"/>
                    </a:xfrm>
                    <a:prstGeom prst="rect">
                      <a:avLst/>
                    </a:prstGeom>
                  </pic:spPr>
                </pic:pic>
              </a:graphicData>
            </a:graphic>
          </wp:anchor>
        </w:drawing>
      </w:r>
    </w:p>
    <w:p>
      <w:bookmarkStart w:id="224" w:name="calibre_pb_29"/>
      <w:pPr>
        <w:pStyle w:val="0 Block"/>
      </w:pPr>
      <w:bookmarkEnd w:id="224"/>
    </w:p>
    <w:p>
      <w:bookmarkStart w:id="225" w:name="page_166"/>
      <w:bookmarkStart w:id="226" w:name="Top_of_index_split_03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0"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174"/>
                    <a:stretch>
                      <a:fillRect/>
                    </a:stretch>
                  </pic:blipFill>
                  <pic:spPr>
                    <a:xfrm>
                      <a:off x="0" y="0"/>
                      <a:ext cx="914400" cy="266700"/>
                    </a:xfrm>
                    <a:prstGeom prst="rect">
                      <a:avLst/>
                    </a:prstGeom>
                  </pic:spPr>
                </pic:pic>
              </a:graphicData>
            </a:graphic>
          </wp:anchor>
        </w:drawing>
      </w:r>
      <w:bookmarkEnd w:id="225"/>
      <w:bookmarkEnd w:id="226"/>
    </w:p>
    <w:p>
      <w:pPr>
        <w:pStyle w:val="Para 01"/>
      </w:pPr>
      <w:r>
        <w:t>Known issues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755900"/>
            <wp:effectExtent l="0" r="0" t="0" b="0"/>
            <wp:wrapTopAndBottom/>
            <wp:docPr id="171" name="index-166_2.png" descr="index-166_2.png"/>
            <wp:cNvGraphicFramePr>
              <a:graphicFrameLocks noChangeAspect="1"/>
            </wp:cNvGraphicFramePr>
            <a:graphic>
              <a:graphicData uri="http://schemas.openxmlformats.org/drawingml/2006/picture">
                <pic:pic>
                  <pic:nvPicPr>
                    <pic:cNvPr id="0" name="index-166_2.png" descr="index-166_2.png"/>
                    <pic:cNvPicPr/>
                  </pic:nvPicPr>
                  <pic:blipFill>
                    <a:blip r:embed="rId175"/>
                    <a:stretch>
                      <a:fillRect/>
                    </a:stretch>
                  </pic:blipFill>
                  <pic:spPr>
                    <a:xfrm>
                      <a:off x="0" y="0"/>
                      <a:ext cx="3670300" cy="2755900"/>
                    </a:xfrm>
                    <a:prstGeom prst="rect">
                      <a:avLst/>
                    </a:prstGeom>
                  </pic:spPr>
                </pic:pic>
              </a:graphicData>
            </a:graphic>
          </wp:anchor>
        </w:drawing>
      </w:r>
    </w:p>
    <w:p>
      <w:pPr>
        <w:pStyle w:val="Para 17"/>
      </w:pPr>
      <w:r>
        <w:t/>
      </w:r>
    </w:p>
    <w:p>
      <w:pPr>
        <w:pStyle w:val="Normal"/>
      </w:pPr>
      <w:r>
        <w:t>When logging in on a system joined with an Active Directory domain, sssd (the package re-sponsible for this integration) will try to apply Group Policies by default. There are cases where if a specific policy is missing, the login will be denied.</w:t>
      </w:r>
    </w:p>
    <w:p>
      <w:pPr>
        <w:pStyle w:val="Normal"/>
      </w:pPr>
      <w:r>
        <w:t xml:space="preserve">This is being tracked in </w:t>
      </w:r>
      <w:hyperlink r:id="rId1134">
        <w:r>
          <w:rPr>
            <w:rStyle w:val="Text9"/>
          </w:rPr>
          <w:t>127</w:t>
        </w:r>
      </w:hyperlink>
      <w:hyperlink r:id="rId1134">
        <w:r>
          <w:rPr>
            <w:rStyle w:val="Text1"/>
          </w:rPr>
          <w:t xml:space="preserve"> LP: #1934997</w:t>
        </w:r>
      </w:hyperlink>
      <w:r>
        <w:t>. Until the fix becomes available, please see comment number 5 in that bug report for existing workarounds.</w:t>
      </w:r>
    </w:p>
    <w:p>
      <w:pPr>
        <w:pStyle w:val="Para 17"/>
      </w:pPr>
      <w:r>
        <w:t/>
      </w:r>
    </w:p>
    <w:p>
      <w:pPr>
        <w:pStyle w:val="Para 01"/>
      </w:pPr>
      <w:r>
        <w:t>Further reading</w:t>
      </w:r>
    </w:p>
    <w:p>
      <w:pPr>
        <w:pStyle w:val="Para 17"/>
      </w:pPr>
      <w:r>
        <w:t/>
      </w:r>
    </w:p>
    <w:p>
      <w:pPr>
        <w:pStyle w:val="Para 13"/>
      </w:pPr>
      <w:r>
        <w:rPr>
          <w:rStyle w:val="Text7"/>
        </w:rPr>
        <w:t xml:space="preserve">• </w:t>
      </w:r>
      <w:hyperlink r:id="rId1135">
        <w:r>
          <w:rPr>
            <w:rStyle w:val="Text10"/>
          </w:rPr>
          <w:t>128</w:t>
        </w:r>
      </w:hyperlink>
      <w:hyperlink r:id="rId1135">
        <w:r>
          <w:t xml:space="preserve"> GitHub SSSD Project</w:t>
        </w:r>
      </w:hyperlink>
    </w:p>
    <w:p>
      <w:pPr>
        <w:pStyle w:val="Para 13"/>
      </w:pPr>
      <w:r>
        <w:rPr>
          <w:rStyle w:val="Text7"/>
        </w:rPr>
        <w:t xml:space="preserve">• </w:t>
      </w:r>
      <w:hyperlink r:id="rId1136">
        <w:r>
          <w:rPr>
            <w:rStyle w:val="Text10"/>
          </w:rPr>
          <w:t>129</w:t>
        </w:r>
      </w:hyperlink>
      <w:hyperlink r:id="rId1136">
        <w:r>
          <w:t xml:space="preserve"> Active Directory DNS Zone Entries</w:t>
        </w:r>
      </w:hyperlink>
    </w:p>
    <w:p>
      <w:pPr>
        <w:pStyle w:val="Para 05"/>
      </w:pPr>
      <w:r>
        <w:rPr>
          <w:rStyle w:val="Text5"/>
        </w:rPr>
        <w:t>127</w:t>
      </w:r>
      <w:r>
        <w:rPr>
          <w:rStyle w:val="Text8"/>
        </w:rPr>
        <w:t xml:space="preserve"> </w:t>
      </w:r>
      <w:r>
        <w:t>https://bugs.launchpad.net/bugs/1934997</w:t>
      </w:r>
    </w:p>
    <w:p>
      <w:pPr>
        <w:pStyle w:val="Para 05"/>
      </w:pPr>
      <w:r>
        <w:rPr>
          <w:rStyle w:val="Text5"/>
        </w:rPr>
        <w:t>128</w:t>
      </w:r>
      <w:r>
        <w:rPr>
          <w:rStyle w:val="Text8"/>
        </w:rPr>
        <w:t xml:space="preserve"> </w:t>
      </w:r>
      <w:r>
        <w:t>https://github.com/SSSD/sssd</w:t>
      </w:r>
    </w:p>
    <w:p>
      <w:pPr>
        <w:pStyle w:val="Para 05"/>
      </w:pPr>
      <w:r>
        <w:rPr>
          <w:rStyle w:val="Text5"/>
        </w:rPr>
        <w:t>129</w:t>
      </w:r>
      <w:r>
        <w:rPr>
          <w:rStyle w:val="Text8"/>
        </w:rPr>
        <w:t xml:space="preserve"> </w:t>
      </w:r>
      <w:r>
        <w:t>https://learn.microsoft.com/en-us/previous-versions/windows/it-pro/windows-server-2003/cc759550(v=</w:t>
      </w:r>
    </w:p>
    <w:p>
      <w:pPr>
        <w:pStyle w:val="Para 16"/>
      </w:pPr>
      <w:r>
        <w:t>ws.10)?redirectedfrom=MSDN</w:t>
      </w:r>
    </w:p>
    <w:p>
      <w:bookmarkStart w:id="227" w:name="calibre_pb_30"/>
      <w:pPr>
        <w:pStyle w:val="0 Block"/>
      </w:pPr>
      <w:bookmarkEnd w:id="227"/>
    </w:p>
    <w:p>
      <w:bookmarkStart w:id="228" w:name="page_167"/>
      <w:bookmarkStart w:id="229" w:name="Top_of_index_split_03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2"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176"/>
                    <a:stretch>
                      <a:fillRect/>
                    </a:stretch>
                  </pic:blipFill>
                  <pic:spPr>
                    <a:xfrm>
                      <a:off x="0" y="0"/>
                      <a:ext cx="914400" cy="266700"/>
                    </a:xfrm>
                    <a:prstGeom prst="rect">
                      <a:avLst/>
                    </a:prstGeom>
                  </pic:spPr>
                </pic:pic>
              </a:graphicData>
            </a:graphic>
          </wp:anchor>
        </w:drawing>
      </w:r>
      <w:bookmarkEnd w:id="228"/>
      <w:bookmarkEnd w:id="229"/>
    </w:p>
    <w:p>
      <w:pPr>
        <w:pStyle w:val="Para 01"/>
      </w:pPr>
      <w:r>
        <w:t>How to set up SSSD with LDAP</w:t>
      </w:r>
    </w:p>
    <w:p>
      <w:pPr>
        <w:pStyle w:val="Para 17"/>
      </w:pPr>
      <w:r>
        <w:t/>
      </w:r>
    </w:p>
    <w:p>
      <w:pPr>
        <w:pStyle w:val="Normal"/>
      </w:pPr>
      <w:r>
        <w:t>SSSD can also use LDAP for authentication, authorisation, and user/group information. In this section we will configure a host to authenticate users from an OpenLDAP directory.</w:t>
      </w:r>
    </w:p>
    <w:p>
      <w:pPr>
        <w:pStyle w:val="Para 17"/>
      </w:pPr>
      <w:r>
        <w:t/>
      </w:r>
    </w:p>
    <w:p>
      <w:pPr>
        <w:pStyle w:val="Para 01"/>
      </w:pPr>
      <w:r>
        <w:t>Prerequisites and assumptions</w:t>
      </w:r>
    </w:p>
    <w:p>
      <w:pPr>
        <w:pStyle w:val="Para 17"/>
      </w:pPr>
      <w:r>
        <w:t/>
      </w:r>
    </w:p>
    <w:p>
      <w:pPr>
        <w:pStyle w:val="Normal"/>
      </w:pPr>
      <w:r>
        <w:t>For this setup, we need:</w:t>
      </w:r>
    </w:p>
    <w:p>
      <w:pPr>
        <w:pStyle w:val="Para 04"/>
      </w:pPr>
      <w:r>
        <w:t>• An existing OpenLDAP server with SSL enabled and using the RFC2307 schema for users</w:t>
      </w:r>
    </w:p>
    <w:p>
      <w:pPr>
        <w:pStyle w:val="Para 02"/>
      </w:pPr>
      <w:r>
        <w:t>and groups</w:t>
      </w:r>
    </w:p>
    <w:p>
      <w:pPr>
        <w:pStyle w:val="Para 04"/>
      </w:pPr>
      <w:r>
        <w:t>• A client host where we will install the necessary tools and login as a user from the LDAP</w:t>
      </w:r>
    </w:p>
    <w:p>
      <w:pPr>
        <w:pStyle w:val="Para 02"/>
      </w:pPr>
      <w:r>
        <w:t>server</w:t>
      </w:r>
    </w:p>
    <w:p>
      <w:pPr>
        <w:pStyle w:val="Para 17"/>
      </w:pPr>
      <w:r>
        <w:t/>
      </w:r>
    </w:p>
    <w:p>
      <w:pPr>
        <w:pStyle w:val="Para 01"/>
      </w:pPr>
      <w:r>
        <w:t>Install necessary software</w:t>
      </w:r>
    </w:p>
    <w:p>
      <w:pPr>
        <w:pStyle w:val="Para 17"/>
      </w:pPr>
      <w:r>
        <w:t/>
      </w:r>
    </w:p>
    <w:p>
      <w:pPr>
        <w:pStyle w:val="Normal"/>
      </w:pPr>
      <w:r>
        <w:t>Install the following packages:</w:t>
      </w:r>
    </w:p>
    <w:p>
      <w:pPr>
        <w:pStyle w:val="Normal"/>
      </w:pPr>
      <w:r>
        <w:t>sudo apt install sssd-ldap ldap-utils</w:t>
      </w:r>
    </w:p>
    <w:p>
      <w:pPr>
        <w:pStyle w:val="Para 17"/>
      </w:pPr>
      <w:r>
        <w:t/>
      </w:r>
    </w:p>
    <w:p>
      <w:pPr>
        <w:pStyle w:val="Para 01"/>
      </w:pPr>
      <w:r>
        <w:t>Configure SSSD</w:t>
      </w:r>
    </w:p>
    <w:p>
      <w:pPr>
        <w:pStyle w:val="Para 17"/>
      </w:pPr>
      <w:r>
        <w:t/>
      </w:r>
    </w:p>
    <w:p>
      <w:pPr>
        <w:pStyle w:val="Normal"/>
      </w:pPr>
      <w:r>
        <w:t>Create the /etc/sssd/sssd.conf configuration file, with permissions 0600 and ownership root:root, and add the following content:</w:t>
      </w:r>
    </w:p>
    <w:p>
      <w:pPr>
        <w:pStyle w:val="Normal"/>
      </w:pPr>
      <w:r>
        <w:t>[sssd]</w:t>
      </w:r>
    </w:p>
    <w:p>
      <w:pPr>
        <w:pStyle w:val="Normal"/>
      </w:pPr>
      <w:r>
        <w:t>config_file_version = 2</w:t>
      </w:r>
    </w:p>
    <w:p>
      <w:pPr>
        <w:pStyle w:val="Normal"/>
      </w:pPr>
      <w:r>
        <w:t>domains = example.com</w:t>
      </w:r>
    </w:p>
    <w:p>
      <w:pPr>
        <w:pStyle w:val="Normal"/>
      </w:pPr>
      <w:r>
        <w:t>[domain/example.com]</w:t>
      </w:r>
    </w:p>
    <w:p>
      <w:pPr>
        <w:pStyle w:val="Normal"/>
      </w:pPr>
      <w:r>
        <w:t>id_provider = ldap</w:t>
      </w:r>
    </w:p>
    <w:p>
      <w:pPr>
        <w:pStyle w:val="Normal"/>
      </w:pPr>
      <w:r>
        <w:t>auth_provider = ldap</w:t>
      </w:r>
    </w:p>
    <w:p>
      <w:pPr>
        <w:pStyle w:val="Normal"/>
      </w:pPr>
      <w:r>
        <w:t>ldap_uri = ldap://ldap01.example.com</w:t>
      </w:r>
    </w:p>
    <w:p>
      <w:pPr>
        <w:pStyle w:val="Normal"/>
      </w:pPr>
      <w:r>
        <w:t>cache_credentials = True</w:t>
      </w:r>
    </w:p>
    <w:p>
      <w:pPr>
        <w:pStyle w:val="Normal"/>
      </w:pPr>
      <w:r>
        <w:t>ldap_search_base = dc=example,dc=com</w:t>
      </w:r>
    </w:p>
    <w:p>
      <w:pPr>
        <w:pStyle w:val="Para 17"/>
      </w:pPr>
      <w:r>
        <w:t/>
      </w:r>
    </w:p>
    <w:p>
      <w:pPr>
        <w:pStyle w:val="Normal"/>
      </w:pPr>
      <w:r>
        <w:t>Make sure to start the sssd service:</w:t>
      </w:r>
    </w:p>
    <w:p>
      <w:pPr>
        <w:pStyle w:val="Normal"/>
      </w:pPr>
      <w:r>
        <w:t>sudo systemctl start sssd.service</w:t>
      </w:r>
    </w:p>
    <w:p>
      <w:pPr>
        <w:pStyle w:val="Para 17"/>
      </w:pPr>
      <w:r>
        <w:t/>
      </w:r>
    </w:p>
    <w:p>
      <w:pPr>
        <w:pStyle w:val="Para 08"/>
      </w:pPr>
      <w:r>
        <w:t>Note:</w:t>
      </w:r>
    </w:p>
    <w:p>
      <w:pPr>
        <w:pStyle w:val="Para 03"/>
      </w:pPr>
      <w:r>
        <w:t>sssd will use START_TLS by default for authentication requests against the LDAP server</w:t>
      </w:r>
    </w:p>
    <w:p>
      <w:pPr>
        <w:pStyle w:val="Para 03"/>
      </w:pPr>
      <w:r>
        <w:t xml:space="preserve">(the </w:t>
      </w:r>
      <w:r>
        <w:rPr>
          <w:rStyle w:val="Text0"/>
        </w:rPr>
        <w:t>auth_provider</w:t>
      </w:r>
      <w:r>
        <w:t xml:space="preserve">), but not for the </w:t>
      </w:r>
      <w:r>
        <w:rPr>
          <w:rStyle w:val="Text0"/>
        </w:rPr>
        <w:t>id_provider</w:t>
      </w:r>
      <w:r>
        <w:t>. If you want to also enable START_TLS for</w:t>
      </w:r>
    </w:p>
    <w:p>
      <w:pPr>
        <w:pStyle w:val="Para 03"/>
      </w:pPr>
      <w:r>
        <w:t>the id_provider, specify ldap_id_use_start_tls = true.</w:t>
      </w:r>
    </w:p>
    <w:p>
      <w:bookmarkStart w:id="230" w:name="page_1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3"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177"/>
                    <a:stretch>
                      <a:fillRect/>
                    </a:stretch>
                  </pic:blipFill>
                  <pic:spPr>
                    <a:xfrm>
                      <a:off x="0" y="0"/>
                      <a:ext cx="914400" cy="266700"/>
                    </a:xfrm>
                    <a:prstGeom prst="rect">
                      <a:avLst/>
                    </a:prstGeom>
                  </pic:spPr>
                </pic:pic>
              </a:graphicData>
            </a:graphic>
          </wp:anchor>
        </w:drawing>
      </w:r>
      <w:bookmarkEnd w:id="230"/>
    </w:p>
    <w:p>
      <w:pPr>
        <w:pStyle w:val="Para 01"/>
      </w:pPr>
      <w:r>
        <w:t>Automatic home directory creation</w:t>
      </w:r>
    </w:p>
    <w:p>
      <w:pPr>
        <w:pStyle w:val="Para 17"/>
      </w:pPr>
      <w:r>
        <w:t/>
      </w:r>
    </w:p>
    <w:p>
      <w:pPr>
        <w:pStyle w:val="Normal"/>
      </w:pPr>
      <w:r>
        <w:t>To enable automatic home directory creation, run the following command:</w:t>
      </w:r>
    </w:p>
    <w:p>
      <w:pPr>
        <w:pStyle w:val="Normal"/>
      </w:pPr>
      <w:r>
        <w:t>sudo pam-auth-update --enable mkhomedir</w:t>
      </w:r>
    </w:p>
    <w:p>
      <w:pPr>
        <w:pStyle w:val="Para 17"/>
      </w:pPr>
      <w:r>
        <w:t/>
      </w:r>
    </w:p>
    <w:p>
      <w:pPr>
        <w:pStyle w:val="Para 01"/>
      </w:pPr>
      <w:r>
        <w:t>Check SSL setup on the client</w:t>
      </w:r>
    </w:p>
    <w:p>
      <w:pPr>
        <w:pStyle w:val="Para 17"/>
      </w:pPr>
      <w:r>
        <w:t/>
      </w:r>
    </w:p>
    <w:p>
      <w:pPr>
        <w:pStyle w:val="Normal"/>
      </w:pPr>
      <w:r>
        <w:t>The client must be able to use START_TLS when connecting to the LDAP server, with full cer-tificate checking. This means:</w:t>
      </w:r>
    </w:p>
    <w:p>
      <w:pPr>
        <w:pStyle w:val="Para 04"/>
      </w:pPr>
      <w:r>
        <w:t>• The client host knows and trusts the CA that signed the LDAP server certificate,</w:t>
      </w:r>
    </w:p>
    <w:p>
      <w:pPr>
        <w:pStyle w:val="Para 04"/>
      </w:pPr>
      <w:r>
        <w:t>• The server certificate was issued for the correct host (ldap01.example.com in this guide),</w:t>
      </w:r>
    </w:p>
    <w:p>
      <w:pPr>
        <w:pStyle w:val="Para 04"/>
      </w:pPr>
      <w:r>
        <w:t>• The time is correct on all hosts performing the TLS connection, and</w:t>
      </w:r>
    </w:p>
    <w:p>
      <w:pPr>
        <w:pStyle w:val="Para 04"/>
      </w:pPr>
      <w:r>
        <w:t>• That neither certificate (CA or server’s) expired.</w:t>
      </w:r>
    </w:p>
    <w:p>
      <w:pPr>
        <w:pStyle w:val="Normal"/>
      </w:pPr>
      <w:r>
        <w:t>If using a custom CA, an easy way to have a host trust it is to place it in /usr/local/share/ca-certificates/ with a .crt extension and run sudo update-ca-certificates.</w:t>
      </w:r>
    </w:p>
    <w:p>
      <w:pPr>
        <w:pStyle w:val="Normal"/>
      </w:pPr>
      <w:r>
        <w:t>Alternatively, you can edit /etc/ldap/ldap.conf and point TLS_CACERT to the CA public key file.</w:t>
      </w:r>
    </w:p>
    <w:p>
      <w:pPr>
        <w:pStyle w:val="Para 17"/>
      </w:pPr>
      <w:r>
        <w:t/>
      </w:r>
    </w:p>
    <w:p>
      <w:pPr>
        <w:pStyle w:val="Para 08"/>
      </w:pPr>
      <w:r>
        <w:t>Note:</w:t>
      </w:r>
    </w:p>
    <w:p>
      <w:pPr>
        <w:pStyle w:val="Para 03"/>
      </w:pPr>
      <w:r>
        <w:t>You may have to restart sssd after these changes: sudo systemctl restart sssd</w:t>
      </w:r>
    </w:p>
    <w:p>
      <w:pPr>
        <w:pStyle w:val="Para 17"/>
      </w:pPr>
      <w:r>
        <w:t/>
      </w:r>
    </w:p>
    <w:p>
      <w:pPr>
        <w:pStyle w:val="Normal"/>
      </w:pPr>
      <w:r>
        <w:t>Once that is all done, check that you can connect to the LDAP server using verified SSL con-nections:</w:t>
      </w:r>
    </w:p>
    <w:p>
      <w:pPr>
        <w:pStyle w:val="Normal"/>
      </w:pPr>
      <w:r>
        <w:t>$ ldapwhoami -x -ZZ -H ldap://ldap01.example.com</w:t>
      </w:r>
    </w:p>
    <w:p>
      <w:pPr>
        <w:pStyle w:val="Normal"/>
      </w:pPr>
      <w:r>
        <w:t>anonymous</w:t>
      </w:r>
    </w:p>
    <w:p>
      <w:pPr>
        <w:pStyle w:val="Para 17"/>
      </w:pPr>
      <w:r>
        <w:t/>
      </w:r>
    </w:p>
    <w:p>
      <w:pPr>
        <w:pStyle w:val="Normal"/>
      </w:pPr>
      <w:r>
        <w:t>and for ldaps (if enabled in /etc/default/slapd):</w:t>
      </w:r>
    </w:p>
    <w:p>
      <w:pPr>
        <w:pStyle w:val="Normal"/>
      </w:pPr>
      <w:r>
        <w:t>$ ldapwhoami -x -H ldaps://ldap01.example.com</w:t>
      </w:r>
    </w:p>
    <w:p>
      <w:pPr>
        <w:pStyle w:val="Para 17"/>
      </w:pPr>
      <w:r>
        <w:t/>
      </w:r>
    </w:p>
    <w:p>
      <w:pPr>
        <w:pStyle w:val="Normal"/>
      </w:pPr>
      <w:r>
        <w:t>The-ZZ parameter tells the tool to use START_TLS, and that it must not fail. If you have LDAP logging enabled on the server, it will show something like this:</w:t>
      </w:r>
    </w:p>
    <w:p>
      <w:pPr>
        <w:pStyle w:val="Normal"/>
      </w:pPr>
      <w:r>
        <w:t>slapd[</w:t>
        <w:t>779</w:t>
        <w:t>]: conn</w:t>
        <w:t>=</w:t>
        <w:t>1032</w:t>
        <w:t xml:space="preserve"> </w:t>
        <w:t>op</w:t>
        <w:t>=</w:t>
        <w:t>0</w:t>
        <w:t xml:space="preserve"> </w:t>
        <w:t>STARTTLS</w:t>
      </w:r>
    </w:p>
    <w:p>
      <w:pPr>
        <w:pStyle w:val="Normal"/>
      </w:pPr>
      <w:r>
        <w:t>slapd[</w:t>
        <w:t>779</w:t>
        <w:t>]: conn</w:t>
        <w:t>=</w:t>
        <w:t>1032</w:t>
        <w:t xml:space="preserve"> </w:t>
        <w:t>op</w:t>
        <w:t>=</w:t>
        <w:t>0</w:t>
        <w:t xml:space="preserve"> </w:t>
        <w:t>RESULT oid</w:t>
        <w:t>=</w:t>
        <w:t xml:space="preserve"> </w:t>
        <w:t>err</w:t>
        <w:t>=</w:t>
        <w:t>0</w:t>
        <w:t xml:space="preserve"> </w:t>
        <w:t>text</w:t>
        <w:t>=</w:t>
        <w:t xml:space="preserve"> </w:t>
        <w:t>slapd[</w:t>
        <w:t>779</w:t>
        <w:t>]: conn</w:t>
        <w:t>=</w:t>
        <w:t>1032</w:t>
        <w:t xml:space="preserve"> </w:t>
        <w:t>fd</w:t>
        <w:t>=</w:t>
        <w:t>15</w:t>
        <w:t xml:space="preserve"> </w:t>
        <w:t>TLS established tls_ssf</w:t>
        <w:t>=</w:t>
        <w:t>256</w:t>
        <w:t xml:space="preserve"> </w:t>
        <w:t>ssf</w:t>
        <w:t>=</w:t>
        <w:t>256</w:t>
        <w:t xml:space="preserve"> </w:t>
        <w:t>slapd[</w:t>
        <w:t>779</w:t>
        <w:t>]: conn</w:t>
        <w:t>=</w:t>
        <w:t>1032</w:t>
        <w:t xml:space="preserve"> </w:t>
        <w:t>op</w:t>
        <w:t>=</w:t>
        <w:t>1</w:t>
        <w:t xml:space="preserve"> </w:t>
        <w:t>BIND dn</w:t>
        <w:t>=</w:t>
        <w:t>""</w:t>
        <w:t xml:space="preserve"> </w:t>
        <w:t>method</w:t>
        <w:t>=</w:t>
        <w:t>128</w:t>
        <w:t xml:space="preserve"> </w:t>
        <w:t>slapd[</w:t>
        <w:t>779</w:t>
        <w:t>]: conn</w:t>
        <w:t>=</w:t>
        <w:t>1032</w:t>
        <w:t xml:space="preserve"> </w:t>
        <w:t>op</w:t>
        <w:t>=</w:t>
        <w:t>1</w:t>
        <w:t xml:space="preserve"> </w:t>
        <w:t>RESULT tag</w:t>
        <w:t>=</w:t>
        <w:t>97</w:t>
        <w:t xml:space="preserve"> </w:t>
        <w:t>err</w:t>
        <w:t>=</w:t>
        <w:t>0</w:t>
        <w:t xml:space="preserve"> </w:t>
        <w:t>text</w:t>
        <w:t>=</w:t>
        <w:t xml:space="preserve"> </w:t>
        <w:t>slapd[</w:t>
        <w:t>779</w:t>
        <w:t>]: conn</w:t>
        <w:t>=</w:t>
        <w:t>1032</w:t>
        <w:t xml:space="preserve"> </w:t>
        <w:t>op</w:t>
        <w:t>=</w:t>
        <w:t>2</w:t>
        <w:t xml:space="preserve"> </w:t>
        <w:t>EXT oid</w:t>
        <w:t>=</w:t>
        <w:t>1.3.6.1.4.1.4203.1.11.3</w:t>
        <w:t xml:space="preserve"> </w:t>
        <w:t>slapd[</w:t>
        <w:t>779</w:t>
        <w:t>]: conn</w:t>
        <w:t>=</w:t>
        <w:t>1032</w:t>
        <w:t xml:space="preserve"> </w:t>
        <w:t>op</w:t>
        <w:t>=</w:t>
        <w:t>2</w:t>
        <w:t xml:space="preserve"> </w:t>
        <w:t>WHOAMI</w:t>
      </w:r>
    </w:p>
    <w:p>
      <w:pPr>
        <w:pStyle w:val="Normal"/>
      </w:pPr>
      <w:r>
        <w:t>slapd[</w:t>
        <w:t>779</w:t>
        <w:t>]: conn</w:t>
        <w:t>=</w:t>
        <w:t>1032</w:t>
        <w:t xml:space="preserve"> </w:t>
        <w:t>op</w:t>
        <w:t>=</w:t>
        <w:t>2</w:t>
        <w:t xml:space="preserve"> </w:t>
        <w:t>RESULT oid</w:t>
        <w:t>=</w:t>
        <w:t xml:space="preserve"> </w:t>
        <w:t>err</w:t>
        <w:t>=</w:t>
        <w:t>0</w:t>
        <w:t xml:space="preserve"> </w:t>
        <w:t>text</w:t>
        <w:t>=</w:t>
      </w:r>
    </w:p>
    <w:p>
      <w:pPr>
        <w:pStyle w:val="Para 17"/>
      </w:pPr>
      <w:r>
        <w:t/>
      </w:r>
    </w:p>
    <w:p>
      <w:pPr>
        <w:pStyle w:val="Normal"/>
      </w:pPr>
      <w:r>
        <w:t>START_TLS with err=0 and TLS established is what we want to see there, and, of course, the WHOAMI extended operation.</w:t>
      </w:r>
    </w:p>
    <w:p>
      <w:bookmarkStart w:id="231" w:name="page_1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4" name="index-169_1.png" descr="index-169_1.png"/>
            <wp:cNvGraphicFramePr>
              <a:graphicFrameLocks noChangeAspect="1"/>
            </wp:cNvGraphicFramePr>
            <a:graphic>
              <a:graphicData uri="http://schemas.openxmlformats.org/drawingml/2006/picture">
                <pic:pic>
                  <pic:nvPicPr>
                    <pic:cNvPr id="0" name="index-169_1.png" descr="index-169_1.png"/>
                    <pic:cNvPicPr/>
                  </pic:nvPicPr>
                  <pic:blipFill>
                    <a:blip r:embed="rId178"/>
                    <a:stretch>
                      <a:fillRect/>
                    </a:stretch>
                  </pic:blipFill>
                  <pic:spPr>
                    <a:xfrm>
                      <a:off x="0" y="0"/>
                      <a:ext cx="914400" cy="266700"/>
                    </a:xfrm>
                    <a:prstGeom prst="rect">
                      <a:avLst/>
                    </a:prstGeom>
                  </pic:spPr>
                </pic:pic>
              </a:graphicData>
            </a:graphic>
          </wp:anchor>
        </w:drawing>
      </w:r>
      <w:bookmarkEnd w:id="231"/>
    </w:p>
    <w:p>
      <w:pPr>
        <w:pStyle w:val="Para 01"/>
      </w:pPr>
      <w:r>
        <w:t>Final verification</w:t>
      </w:r>
    </w:p>
    <w:p>
      <w:pPr>
        <w:pStyle w:val="Para 17"/>
      </w:pPr>
      <w:r>
        <w:t/>
      </w:r>
    </w:p>
    <w:p>
      <w:pPr>
        <w:pStyle w:val="Normal"/>
      </w:pPr>
      <w:r>
        <w:t>In this example, the LDAP server has the following user and group entry we are going to use for testing:</w:t>
      </w:r>
    </w:p>
    <w:p>
      <w:pPr>
        <w:pStyle w:val="Normal"/>
      </w:pPr>
      <w:r>
        <w:t>dn: uid</w:t>
        <w:t>=</w:t>
        <w:t>john,ou</w:t>
        <w:t>=</w:t>
        <w:t>People,dc</w:t>
        <w:t>=</w:t>
        <w:t>example,dc</w:t>
        <w:t>=</w:t>
        <w:t>com</w:t>
        <w:t xml:space="preserve"> </w:t>
        <w:t>uid: john</w:t>
      </w:r>
    </w:p>
    <w:p>
      <w:pPr>
        <w:pStyle w:val="Normal"/>
      </w:pPr>
      <w:r>
        <w:t>objectClass: inetOrgPerson</w:t>
      </w:r>
    </w:p>
    <w:p>
      <w:pPr>
        <w:pStyle w:val="Normal"/>
      </w:pPr>
      <w:r>
        <w:t>objectClass: posixAccount</w:t>
      </w:r>
    </w:p>
    <w:p>
      <w:pPr>
        <w:pStyle w:val="Normal"/>
      </w:pPr>
      <w:r>
        <w:t>cn: John Smith</w:t>
      </w:r>
    </w:p>
    <w:p>
      <w:pPr>
        <w:pStyle w:val="Normal"/>
      </w:pPr>
      <w:r>
        <w:t>sn: Smith</w:t>
      </w:r>
    </w:p>
    <w:p>
      <w:pPr>
        <w:pStyle w:val="Normal"/>
      </w:pPr>
      <w:r>
        <w:t>givenName: John</w:t>
      </w:r>
    </w:p>
    <w:p>
      <w:pPr>
        <w:pStyle w:val="Normal"/>
      </w:pPr>
      <w:r>
        <w:t>mail: john</w:t>
      </w:r>
      <w:r>
        <w:rPr>
          <w:rStyle w:val="Text0"/>
        </w:rPr>
        <w:t>@example</w:t>
      </w:r>
      <w:r>
        <w:t>.</w:t>
        <w:t>com</w:t>
      </w:r>
    </w:p>
    <w:p>
      <w:pPr>
        <w:pStyle w:val="Normal"/>
      </w:pPr>
      <w:r>
        <w:t>userPassword: johnsecret</w:t>
      </w:r>
    </w:p>
    <w:p>
      <w:pPr>
        <w:pStyle w:val="Normal"/>
      </w:pPr>
      <w:r>
        <w:t>uidNumber:</w:t>
        <w:t xml:space="preserve"> </w:t>
        <w:t>10001</w:t>
      </w:r>
    </w:p>
    <w:p>
      <w:pPr>
        <w:pStyle w:val="Normal"/>
      </w:pPr>
      <w:r>
        <w:t>gidNumber:</w:t>
        <w:t xml:space="preserve"> </w:t>
        <w:t>10001</w:t>
      </w:r>
    </w:p>
    <w:p>
      <w:pPr>
        <w:pStyle w:val="Normal"/>
      </w:pPr>
      <w:r>
        <w:t>loginShell:</w:t>
        <w:t xml:space="preserve"> </w:t>
        <w:t>/</w:t>
        <w:t>bin</w:t>
        <w:t>/</w:t>
        <w:t>bash</w:t>
      </w:r>
    </w:p>
    <w:p>
      <w:pPr>
        <w:pStyle w:val="Normal"/>
      </w:pPr>
      <w:r>
        <w:t>homeDirectory:</w:t>
        <w:t xml:space="preserve"> </w:t>
        <w:t>/</w:t>
        <w:t>home</w:t>
        <w:t>/</w:t>
        <w:t>john</w:t>
      </w:r>
    </w:p>
    <w:p>
      <w:pPr>
        <w:pStyle w:val="Normal"/>
      </w:pPr>
      <w:r>
        <w:t>dn: cn</w:t>
        <w:t>=</w:t>
        <w:t>john,ou</w:t>
        <w:t>=</w:t>
        <w:t>Group,dc</w:t>
        <w:t>=</w:t>
        <w:t>example,dc</w:t>
        <w:t>=</w:t>
        <w:t>com</w:t>
      </w:r>
    </w:p>
    <w:p>
      <w:pPr>
        <w:pStyle w:val="Normal"/>
      </w:pPr>
      <w:r>
        <w:t>cn: john</w:t>
      </w:r>
    </w:p>
    <w:p>
      <w:pPr>
        <w:pStyle w:val="Normal"/>
      </w:pPr>
      <w:r>
        <w:t>objectClass: posixGroup</w:t>
      </w:r>
    </w:p>
    <w:p>
      <w:pPr>
        <w:pStyle w:val="Normal"/>
      </w:pPr>
      <w:r>
        <w:t>gidNumber:</w:t>
        <w:t xml:space="preserve"> </w:t>
        <w:t>10001</w:t>
      </w:r>
    </w:p>
    <w:p>
      <w:pPr>
        <w:pStyle w:val="Normal"/>
      </w:pPr>
      <w:r>
        <w:t>memberUid: john</w:t>
      </w:r>
    </w:p>
    <w:p>
      <w:pPr>
        <w:pStyle w:val="Normal"/>
      </w:pPr>
      <w:r>
        <w:t>dn: cn</w:t>
        <w:t>=</w:t>
        <w:t>Engineering,ou</w:t>
        <w:t>=</w:t>
        <w:t>Group,dc</w:t>
        <w:t>=</w:t>
        <w:t>example,dc</w:t>
        <w:t>=</w:t>
        <w:t>com</w:t>
        <w:t xml:space="preserve"> </w:t>
        <w:t>cn: Engineering</w:t>
      </w:r>
    </w:p>
    <w:p>
      <w:pPr>
        <w:pStyle w:val="Normal"/>
      </w:pPr>
      <w:r>
        <w:t>objectClass: posixGroup</w:t>
      </w:r>
    </w:p>
    <w:p>
      <w:pPr>
        <w:pStyle w:val="Normal"/>
      </w:pPr>
      <w:r>
        <w:t>gidNumber:</w:t>
        <w:t xml:space="preserve"> </w:t>
        <w:t>10100</w:t>
      </w:r>
    </w:p>
    <w:p>
      <w:pPr>
        <w:pStyle w:val="Normal"/>
      </w:pPr>
      <w:r>
        <w:t>memberUid: john</w:t>
      </w:r>
    </w:p>
    <w:p>
      <w:pPr>
        <w:pStyle w:val="Para 17"/>
      </w:pPr>
      <w:r>
        <w:t/>
      </w:r>
    </w:p>
    <w:p>
      <w:pPr>
        <w:pStyle w:val="Normal"/>
      </w:pPr>
      <w:r>
        <w:t>The user john should be known to the system:</w:t>
      </w:r>
    </w:p>
    <w:p>
      <w:pPr>
        <w:pStyle w:val="Normal"/>
      </w:pPr>
      <w:r>
        <w:t>ubuntu@ldap-client:~$ getent passwd john</w:t>
      </w:r>
    </w:p>
    <w:p>
      <w:pPr>
        <w:pStyle w:val="Normal"/>
      </w:pPr>
      <w:r>
        <w:t>john:*:10001:10001:John Smith:/home/john:/bin/bash</w:t>
      </w:r>
    </w:p>
    <w:p>
      <w:pPr>
        <w:pStyle w:val="Normal"/>
      </w:pPr>
      <w:r>
        <w:t>ubuntu@ldap-client:~$ id john</w:t>
      </w:r>
    </w:p>
    <w:p>
      <w:pPr>
        <w:pStyle w:val="Normal"/>
      </w:pPr>
      <w:r>
        <w:t>uid</w:t>
        <w:t>=</w:t>
        <w:t>10001</w:t>
        <w:t>(</w:t>
        <w:t>john</w:t>
        <w:t>)</w:t>
        <w:t xml:space="preserve"> </w:t>
        <w:t>gid</w:t>
        <w:t>=</w:t>
        <w:t>10001</w:t>
        <w:t>(</w:t>
        <w:t>john</w:t>
        <w:t>)</w:t>
        <w:t xml:space="preserve"> </w:t>
        <w:t>groups</w:t>
        <w:t>=</w:t>
        <w:t>10001</w:t>
        <w:t>(</w:t>
        <w:t>john</w:t>
        <w:t>)</w:t>
        <w:t>,10100</w:t>
        <w:t>(</w:t>
        <w:t>Engineering</w:t>
        <w:t>)</w:t>
      </w:r>
    </w:p>
    <w:p>
      <w:pPr>
        <w:pStyle w:val="Para 17"/>
      </w:pPr>
      <w:r>
        <w:t/>
      </w:r>
    </w:p>
    <w:p>
      <w:pPr>
        <w:pStyle w:val="Normal"/>
      </w:pPr>
      <w:r>
        <w:t>And we should be able to authenticate as john:</w:t>
      </w:r>
    </w:p>
    <w:p>
      <w:pPr>
        <w:pStyle w:val="Normal"/>
      </w:pPr>
      <w:r>
        <w:t>ubuntu@ldap-client:~$ sudo login</w:t>
      </w:r>
    </w:p>
    <w:p>
      <w:pPr>
        <w:pStyle w:val="Normal"/>
      </w:pPr>
      <w:r>
        <w:t>ldap-client login: john</w:t>
      </w:r>
    </w:p>
    <w:p>
      <w:pPr>
        <w:pStyle w:val="Normal"/>
      </w:pPr>
      <w:r>
        <w:t>Password:</w:t>
      </w:r>
    </w:p>
    <w:p>
      <w:pPr>
        <w:pStyle w:val="Normal"/>
      </w:pPr>
      <w:r>
        <w:t>Welcome to Ubuntu Focal Fossa</w:t>
        <w:t xml:space="preserve"> </w:t>
        <w:t>(</w:t>
        <w:t>development branch</w:t>
        <w:t>) (</w:t>
        <w:t>GNU/Linux</w:t>
        <w:t xml:space="preserve"> </w:t>
        <w:t>5</w:t>
        <w:t>.4.0-24-generic x86_64</w:t>
        <w:t>)</w:t>
        <w:t xml:space="preserve"> </w:t>
        <w:t>(</w:t>
        <w:t>...</w:t>
        <w:t>)</w:t>
      </w:r>
    </w:p>
    <w:p>
      <w:pPr>
        <w:pStyle w:val="Normal"/>
      </w:pPr>
      <w:r>
        <w:t>Creating directory</w:t>
        <w:t xml:space="preserve"> </w:t>
        <w:t>'/home/john'</w:t>
        <w:t>.</w:t>
      </w:r>
    </w:p>
    <w:p>
      <w:pPr>
        <w:pStyle w:val="Normal"/>
      </w:pPr>
      <w:r>
        <w:t>john@ldap-client:~$</w:t>
      </w:r>
    </w:p>
    <w:p>
      <w:bookmarkStart w:id="232" w:name="calibre_pb_31"/>
      <w:pPr>
        <w:pStyle w:val="0 Block"/>
      </w:pPr>
      <w:bookmarkEnd w:id="232"/>
    </w:p>
    <w:p>
      <w:bookmarkStart w:id="233" w:name="page_170"/>
      <w:bookmarkStart w:id="234" w:name="Top_of_index_split_03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5" name="index-170_1.png" descr="index-170_1.png"/>
            <wp:cNvGraphicFramePr>
              <a:graphicFrameLocks noChangeAspect="1"/>
            </wp:cNvGraphicFramePr>
            <a:graphic>
              <a:graphicData uri="http://schemas.openxmlformats.org/drawingml/2006/picture">
                <pic:pic>
                  <pic:nvPicPr>
                    <pic:cNvPr id="0" name="index-170_1.png" descr="index-170_1.png"/>
                    <pic:cNvPicPr/>
                  </pic:nvPicPr>
                  <pic:blipFill>
                    <a:blip r:embed="rId179"/>
                    <a:stretch>
                      <a:fillRect/>
                    </a:stretch>
                  </pic:blipFill>
                  <pic:spPr>
                    <a:xfrm>
                      <a:off x="0" y="0"/>
                      <a:ext cx="914400" cy="266700"/>
                    </a:xfrm>
                    <a:prstGeom prst="rect">
                      <a:avLst/>
                    </a:prstGeom>
                  </pic:spPr>
                </pic:pic>
              </a:graphicData>
            </a:graphic>
          </wp:anchor>
        </w:drawing>
      </w:r>
      <w:bookmarkEnd w:id="233"/>
      <w:bookmarkEnd w:id="234"/>
    </w:p>
    <w:p>
      <w:pPr>
        <w:pStyle w:val="Para 01"/>
      </w:pPr>
      <w:r>
        <w:t>How to set up SSSD with LDAP and Kerberos</w:t>
      </w:r>
    </w:p>
    <w:p>
      <w:pPr>
        <w:pStyle w:val="Para 17"/>
      </w:pPr>
      <w:r>
        <w:t/>
      </w:r>
    </w:p>
    <w:p>
      <w:pPr>
        <w:pStyle w:val="Normal"/>
      </w:pPr>
      <w:r>
        <w:t>With SSSD we can create a setup that is very similar to Active Directory in terms of the tech-nologies used: using LDAP for users and groups, and Kerberos for authentication.</w:t>
      </w:r>
    </w:p>
    <w:p>
      <w:pPr>
        <w:pStyle w:val="Para 17"/>
      </w:pPr>
      <w:r>
        <w:t/>
      </w:r>
    </w:p>
    <w:p>
      <w:pPr>
        <w:pStyle w:val="Para 01"/>
      </w:pPr>
      <w:r>
        <w:t>Prerequisites and assumptions</w:t>
      </w:r>
    </w:p>
    <w:p>
      <w:pPr>
        <w:pStyle w:val="Para 17"/>
      </w:pPr>
      <w:r>
        <w:t/>
      </w:r>
    </w:p>
    <w:p>
      <w:pPr>
        <w:pStyle w:val="Normal"/>
      </w:pPr>
      <w:r>
        <w:t>For this setup, we will need:</w:t>
      </w:r>
    </w:p>
    <w:p>
      <w:pPr>
        <w:pStyle w:val="Para 04"/>
      </w:pPr>
      <w:r>
        <w:t xml:space="preserve">• An existing </w:t>
      </w:r>
      <w:hyperlink w:anchor="page_372">
        <w:r>
          <w:rPr>
            <w:rStyle w:val="Text2"/>
          </w:rPr>
          <w:t>OpenLDAP server</w:t>
        </w:r>
      </w:hyperlink>
      <w:r>
        <w:t xml:space="preserve"> (page 371) using the RFC2307 schema for users and</w:t>
      </w:r>
    </w:p>
    <w:p>
      <w:pPr>
        <w:pStyle w:val="Para 02"/>
      </w:pPr>
      <w:r>
        <w:t>groups. SSL support is recommended, but not strictly necessary because authentica-tion in this setup is being done via Kerberos, and not LDAP.</w:t>
      </w:r>
    </w:p>
    <w:p>
      <w:pPr>
        <w:pStyle w:val="Para 14"/>
      </w:pPr>
      <w:r>
        <w:rPr>
          <w:rStyle w:val="Text4"/>
        </w:rPr>
        <w:t xml:space="preserve">• A </w:t>
      </w:r>
      <w:hyperlink w:anchor="page_138">
        <w:r>
          <w:t>Kerberos server</w:t>
        </w:r>
      </w:hyperlink>
      <w:r>
        <w:rPr>
          <w:rStyle w:val="Text4"/>
        </w:rPr>
        <w:t xml:space="preserve"> (page 137). It doesn’t have to be </w:t>
      </w:r>
      <w:hyperlink w:anchor="page_151">
        <w:r>
          <w:t>using the OpenLDAP backend</w:t>
        </w:r>
      </w:hyperlink>
    </w:p>
    <w:p>
      <w:pPr>
        <w:pStyle w:val="Para 02"/>
      </w:pPr>
      <w:r>
        <w:t>(page 150).</w:t>
      </w:r>
    </w:p>
    <w:p>
      <w:pPr>
        <w:pStyle w:val="Para 04"/>
      </w:pPr>
      <w:r>
        <w:t>• A client host where we will install and configure SSSD.</w:t>
      </w:r>
    </w:p>
    <w:p>
      <w:pPr>
        <w:pStyle w:val="Para 17"/>
      </w:pPr>
      <w:r>
        <w:t/>
      </w:r>
    </w:p>
    <w:p>
      <w:pPr>
        <w:pStyle w:val="Para 01"/>
      </w:pPr>
      <w:r>
        <w:t>Install necessary software</w:t>
      </w:r>
    </w:p>
    <w:p>
      <w:pPr>
        <w:pStyle w:val="Para 17"/>
      </w:pPr>
      <w:r>
        <w:t/>
      </w:r>
    </w:p>
    <w:p>
      <w:pPr>
        <w:pStyle w:val="Normal"/>
      </w:pPr>
      <w:r>
        <w:t>On the client host, install the following packages:</w:t>
      </w:r>
    </w:p>
    <w:p>
      <w:pPr>
        <w:pStyle w:val="Normal"/>
      </w:pPr>
      <w:r>
        <w:t>sudo apt install sssd-ldap sssd-krb5 ldap-utils krb5-user</w:t>
      </w:r>
    </w:p>
    <w:p>
      <w:pPr>
        <w:pStyle w:val="Para 17"/>
      </w:pPr>
      <w:r>
        <w:t/>
      </w:r>
    </w:p>
    <w:p>
      <w:pPr>
        <w:pStyle w:val="Normal"/>
      </w:pPr>
      <w:r>
        <w:t>You may be asked about the default Kerberos realm. For this guide, we are using EXAMPLE.COM.</w:t>
      </w:r>
    </w:p>
    <w:p>
      <w:pPr>
        <w:pStyle w:val="Normal"/>
      </w:pPr>
      <w:r>
        <w:t>At this point, you should already be able to obtain tickets from your Kerberos server, assum-</w:t>
      </w:r>
    </w:p>
    <w:p>
      <w:pPr>
        <w:pStyle w:val="Normal"/>
      </w:pPr>
      <w:r>
        <w:t xml:space="preserve">ing </w:t>
      </w:r>
      <w:hyperlink w:anchor="page_679">
        <w:r>
          <w:rPr>
            <w:rStyle w:val="Text2"/>
          </w:rPr>
          <w:t>DNS</w:t>
        </w:r>
      </w:hyperlink>
      <w:r>
        <w:t xml:space="preserve"> records point at it:</w:t>
      </w:r>
    </w:p>
    <w:p>
      <w:pPr>
        <w:pStyle w:val="Normal"/>
      </w:pPr>
      <w:r>
        <w:t>$ kinit ubuntu</w:t>
      </w:r>
    </w:p>
    <w:p>
      <w:pPr>
        <w:pStyle w:val="Normal"/>
      </w:pPr>
      <w:r>
        <w:t>Password</w:t>
        <w:t xml:space="preserve"> </w:t>
      </w:r>
      <w:r>
        <w:rPr>
          <w:rStyle w:val="Text0"/>
        </w:rPr>
        <w:t>for</w:t>
      </w:r>
      <w:r>
        <w:t xml:space="preserve"> </w:t>
        <w:t>ubuntu@EXAMPLE.COM:</w:t>
      </w:r>
    </w:p>
    <w:p>
      <w:pPr>
        <w:pStyle w:val="Normal"/>
      </w:pPr>
      <w:r>
        <w:t>ubuntu@ldap-krb-client:~$ klist</w:t>
      </w:r>
    </w:p>
    <w:p>
      <w:pPr>
        <w:pStyle w:val="Normal"/>
      </w:pPr>
      <w:r>
        <w:t>Ticket cache: FILE:/tmp/krb5cc_1000</w:t>
      </w:r>
    </w:p>
    <w:p>
      <w:pPr>
        <w:pStyle w:val="Normal"/>
      </w:pPr>
      <w:r>
        <w:t>Default principal: ubuntu@EXAMPLE.COM</w:t>
      </w:r>
    </w:p>
    <w:p>
      <w:pPr>
        <w:pStyle w:val="Normal"/>
      </w:pPr>
      <w:r>
        <w:t>Valid starting</w:t>
        <w:t xml:space="preserve"> </w:t>
        <w:t>Expires</w:t>
        <w:t xml:space="preserve"> </w:t>
        <w:t>Service principal</w:t>
        <w:t xml:space="preserve"> </w:t>
        <w:t>04</w:t>
        <w:t>/17/20</w:t>
        <w:t xml:space="preserve"> </w:t>
        <w:t>19</w:t>
        <w:t>:51:06</w:t>
        <w:t xml:space="preserve"> </w:t>
        <w:t>04</w:t>
        <w:t>/18/20</w:t>
        <w:t xml:space="preserve"> </w:t>
        <w:t>05</w:t>
        <w:t>:51:06</w:t>
        <w:t xml:space="preserve"> </w:t>
        <w:t>krbtgt/EXAMPLE.COM@EXAMPLE.COM</w:t>
      </w:r>
    </w:p>
    <w:p>
      <w:pPr>
        <w:pStyle w:val="Para 06"/>
      </w:pPr>
      <w:r>
        <w:t>renew</w:t>
        <w:t xml:space="preserve"> </w:t>
      </w:r>
      <w:r>
        <w:rPr>
          <w:rStyle w:val="Text0"/>
        </w:rPr>
        <w:t>until</w:t>
      </w:r>
      <w:r>
        <w:t xml:space="preserve"> </w:t>
        <w:t>04</w:t>
        <w:t>/18/20</w:t>
        <w:t xml:space="preserve"> </w:t>
        <w:t>19</w:t>
        <w:t>:51:05</w:t>
      </w:r>
    </w:p>
    <w:p>
      <w:pPr>
        <w:pStyle w:val="Para 17"/>
      </w:pPr>
      <w:r>
        <w:t/>
      </w:r>
    </w:p>
    <w:p>
      <w:pPr>
        <w:pStyle w:val="Normal"/>
      </w:pPr>
      <w:r>
        <w:t>But we want to be able to login as an LDAP user, authenticated via Kerberos. Let’s continue with the configuration.</w:t>
      </w:r>
    </w:p>
    <w:p>
      <w:pPr>
        <w:pStyle w:val="Para 17"/>
      </w:pPr>
      <w:r>
        <w:t/>
      </w:r>
    </w:p>
    <w:p>
      <w:pPr>
        <w:pStyle w:val="Para 01"/>
      </w:pPr>
      <w:r>
        <w:t>Configure SSSD</w:t>
      </w:r>
    </w:p>
    <w:p>
      <w:pPr>
        <w:pStyle w:val="Para 17"/>
      </w:pPr>
      <w:r>
        <w:t/>
      </w:r>
    </w:p>
    <w:p>
      <w:pPr>
        <w:pStyle w:val="Normal"/>
      </w:pPr>
      <w:r>
        <w:t>Create the /etc/sssd/sssd.conf configuration file, with permissions 0600 and ownership root:root, and add the following content:</w:t>
      </w:r>
    </w:p>
    <w:p>
      <w:pPr>
        <w:pStyle w:val="Normal"/>
      </w:pPr>
      <w:r>
        <w:t>[</w:t>
        <w:t>sssd</w:t>
        <w:t>]</w:t>
      </w:r>
    </w:p>
    <w:p>
      <w:pPr>
        <w:pStyle w:val="Normal"/>
      </w:pPr>
      <w:r>
        <w:t>config_file_version</w:t>
        <w:t xml:space="preserve"> </w:t>
        <w:t>=</w:t>
        <w:t xml:space="preserve"> </w:t>
        <w:t>2</w:t>
      </w:r>
    </w:p>
    <w:p>
      <w:pPr>
        <w:pStyle w:val="Normal"/>
      </w:pPr>
      <w:r>
        <w:t>domains</w:t>
        <w:t xml:space="preserve"> </w:t>
        <w:t>=</w:t>
        <w:t xml:space="preserve"> </w:t>
        <w:t>example.com</w:t>
      </w:r>
    </w:p>
    <w:p>
      <w:pPr>
        <w:pStyle w:val="Para 09"/>
      </w:pPr>
      <w:r>
        <w:t>(continues on next page)</w:t>
      </w:r>
    </w:p>
    <w:p>
      <w:bookmarkStart w:id="235" w:name="page_1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6" name="index-171_1.png" descr="index-171_1.png"/>
            <wp:cNvGraphicFramePr>
              <a:graphicFrameLocks noChangeAspect="1"/>
            </wp:cNvGraphicFramePr>
            <a:graphic>
              <a:graphicData uri="http://schemas.openxmlformats.org/drawingml/2006/picture">
                <pic:pic>
                  <pic:nvPicPr>
                    <pic:cNvPr id="0" name="index-171_1.png" descr="index-171_1.png"/>
                    <pic:cNvPicPr/>
                  </pic:nvPicPr>
                  <pic:blipFill>
                    <a:blip r:embed="rId180"/>
                    <a:stretch>
                      <a:fillRect/>
                    </a:stretch>
                  </pic:blipFill>
                  <pic:spPr>
                    <a:xfrm>
                      <a:off x="0" y="0"/>
                      <a:ext cx="914400" cy="266700"/>
                    </a:xfrm>
                    <a:prstGeom prst="rect">
                      <a:avLst/>
                    </a:prstGeom>
                  </pic:spPr>
                </pic:pic>
              </a:graphicData>
            </a:graphic>
          </wp:anchor>
        </w:drawing>
      </w:r>
      <w:bookmarkEnd w:id="235"/>
    </w:p>
    <w:p>
      <w:pPr>
        <w:pStyle w:val="Para 09"/>
      </w:pPr>
      <w:r>
        <w:t>(continued from previous page)</w:t>
      </w:r>
    </w:p>
    <w:p>
      <w:pPr>
        <w:pStyle w:val="Normal"/>
      </w:pPr>
      <w:r>
        <w:t>[</w:t>
        <w:t>domain/example.com</w:t>
        <w:t>]</w:t>
      </w:r>
    </w:p>
    <w:p>
      <w:pPr>
        <w:pStyle w:val="Normal"/>
      </w:pPr>
      <w:r>
        <w:t>id_provider</w:t>
        <w:t xml:space="preserve"> </w:t>
        <w:t>=</w:t>
        <w:t xml:space="preserve"> </w:t>
        <w:t>ldap</w:t>
      </w:r>
    </w:p>
    <w:p>
      <w:pPr>
        <w:pStyle w:val="Normal"/>
      </w:pPr>
      <w:r>
        <w:t>ldap_uri</w:t>
        <w:t xml:space="preserve"> </w:t>
        <w:t>=</w:t>
        <w:t xml:space="preserve"> </w:t>
        <w:t>ldap://ldap01.example.com</w:t>
      </w:r>
    </w:p>
    <w:p>
      <w:pPr>
        <w:pStyle w:val="Normal"/>
      </w:pPr>
      <w:r>
        <w:t>ldap_search_base</w:t>
        <w:t xml:space="preserve"> </w:t>
        <w:t>=</w:t>
        <w:t xml:space="preserve"> </w:t>
        <w:t>dc</w:t>
        <w:t>=</w:t>
        <w:t>example,dc</w:t>
        <w:t>=</w:t>
        <w:t>com</w:t>
      </w:r>
    </w:p>
    <w:p>
      <w:pPr>
        <w:pStyle w:val="Normal"/>
      </w:pPr>
      <w:r>
        <w:t>auth_provider</w:t>
        <w:t xml:space="preserve"> </w:t>
        <w:t>=</w:t>
        <w:t xml:space="preserve"> </w:t>
        <w:t>krb5</w:t>
      </w:r>
    </w:p>
    <w:p>
      <w:pPr>
        <w:pStyle w:val="Normal"/>
      </w:pPr>
      <w:r>
        <w:t>krb5_server</w:t>
        <w:t xml:space="preserve"> </w:t>
        <w:t>=</w:t>
        <w:t xml:space="preserve"> </w:t>
        <w:t>kdc01.example.com,kdc02.example.com</w:t>
        <w:t xml:space="preserve"> </w:t>
        <w:t>krb5_kpasswd</w:t>
        <w:t xml:space="preserve"> </w:t>
        <w:t>=</w:t>
        <w:t xml:space="preserve"> </w:t>
        <w:t>kdc01.example.com</w:t>
      </w:r>
    </w:p>
    <w:p>
      <w:pPr>
        <w:pStyle w:val="Normal"/>
      </w:pPr>
      <w:r>
        <w:t>krb5_realm</w:t>
        <w:t xml:space="preserve"> </w:t>
        <w:t>=</w:t>
        <w:t xml:space="preserve"> </w:t>
        <w:t>EXAMPLE.COM</w:t>
      </w:r>
    </w:p>
    <w:p>
      <w:pPr>
        <w:pStyle w:val="Normal"/>
      </w:pPr>
      <w:r>
        <w:t>cache_credentials</w:t>
        <w:t xml:space="preserve"> </w:t>
        <w:t>=</w:t>
        <w:t xml:space="preserve"> </w:t>
        <w:t>True</w:t>
      </w:r>
    </w:p>
    <w:p>
      <w:pPr>
        <w:pStyle w:val="Para 17"/>
      </w:pPr>
      <w:r>
        <w:t/>
      </w:r>
    </w:p>
    <w:p>
      <w:pPr>
        <w:pStyle w:val="Normal"/>
      </w:pPr>
      <w:r>
        <w:t>This example uses two KDCs, which made it necessary to also specify the krb5_kpasswd server because the second KDC is a replica and is not running the admin server.</w:t>
      </w:r>
    </w:p>
    <w:p>
      <w:pPr>
        <w:pStyle w:val="Normal"/>
      </w:pPr>
      <w:r>
        <w:t>Start the sssd service:</w:t>
      </w:r>
    </w:p>
    <w:p>
      <w:pPr>
        <w:pStyle w:val="Normal"/>
      </w:pPr>
      <w:r>
        <w:t>sudo systemctl start sssd.service</w:t>
      </w:r>
    </w:p>
    <w:p>
      <w:pPr>
        <w:pStyle w:val="Para 17"/>
      </w:pPr>
      <w:r>
        <w:t/>
      </w:r>
    </w:p>
    <w:p>
      <w:pPr>
        <w:pStyle w:val="Para 01"/>
      </w:pPr>
      <w:r>
        <w:t>Automatic home directory creation</w:t>
      </w:r>
    </w:p>
    <w:p>
      <w:pPr>
        <w:pStyle w:val="Para 17"/>
      </w:pPr>
      <w:r>
        <w:t/>
      </w:r>
    </w:p>
    <w:p>
      <w:pPr>
        <w:pStyle w:val="Normal"/>
      </w:pPr>
      <w:r>
        <w:t>To enable automatic home directory creation, run the following command:</w:t>
      </w:r>
    </w:p>
    <w:p>
      <w:pPr>
        <w:pStyle w:val="Normal"/>
      </w:pPr>
      <w:r>
        <w:t>sudo pam-auth-update --enable mkhomedir</w:t>
      </w:r>
    </w:p>
    <w:p>
      <w:pPr>
        <w:pStyle w:val="Para 17"/>
      </w:pPr>
      <w:r>
        <w:t/>
      </w:r>
    </w:p>
    <w:p>
      <w:pPr>
        <w:pStyle w:val="Para 01"/>
      </w:pPr>
      <w:r>
        <w:t>Final verification</w:t>
      </w:r>
    </w:p>
    <w:p>
      <w:pPr>
        <w:pStyle w:val="Para 17"/>
      </w:pPr>
      <w:r>
        <w:t/>
      </w:r>
    </w:p>
    <w:p>
      <w:pPr>
        <w:pStyle w:val="Normal"/>
      </w:pPr>
      <w:r>
        <w:t>In this example, the LDAP server has the following user and group entry we are going to use for testing:</w:t>
      </w:r>
    </w:p>
    <w:p>
      <w:pPr>
        <w:pStyle w:val="Normal"/>
      </w:pPr>
      <w:r>
        <w:t>dn: uid</w:t>
        <w:t>=</w:t>
        <w:t>john,ou</w:t>
        <w:t>=</w:t>
        <w:t>People,dc</w:t>
        <w:t>=</w:t>
        <w:t>example,dc</w:t>
        <w:t>=</w:t>
        <w:t>com</w:t>
        <w:t xml:space="preserve"> </w:t>
        <w:t>uid: john</w:t>
      </w:r>
    </w:p>
    <w:p>
      <w:pPr>
        <w:pStyle w:val="Normal"/>
      </w:pPr>
      <w:r>
        <w:t>objectClass: inetOrgPerson</w:t>
      </w:r>
    </w:p>
    <w:p>
      <w:pPr>
        <w:pStyle w:val="Normal"/>
      </w:pPr>
      <w:r>
        <w:t>objectClass: posixAccount</w:t>
      </w:r>
    </w:p>
    <w:p>
      <w:pPr>
        <w:pStyle w:val="Normal"/>
      </w:pPr>
      <w:r>
        <w:t>cn: John Smith</w:t>
      </w:r>
    </w:p>
    <w:p>
      <w:pPr>
        <w:pStyle w:val="Normal"/>
      </w:pPr>
      <w:r>
        <w:t>sn: Smith</w:t>
      </w:r>
    </w:p>
    <w:p>
      <w:pPr>
        <w:pStyle w:val="Normal"/>
      </w:pPr>
      <w:r>
        <w:t>givenName: John</w:t>
      </w:r>
    </w:p>
    <w:p>
      <w:pPr>
        <w:pStyle w:val="Normal"/>
      </w:pPr>
      <w:r>
        <w:t>mail: john</w:t>
      </w:r>
      <w:r>
        <w:rPr>
          <w:rStyle w:val="Text0"/>
        </w:rPr>
        <w:t>@example</w:t>
      </w:r>
      <w:r>
        <w:t>.</w:t>
        <w:t>com</w:t>
      </w:r>
    </w:p>
    <w:p>
      <w:pPr>
        <w:pStyle w:val="Normal"/>
      </w:pPr>
      <w:r>
        <w:t>uidNumber:</w:t>
        <w:t xml:space="preserve"> </w:t>
        <w:t>10001</w:t>
      </w:r>
    </w:p>
    <w:p>
      <w:pPr>
        <w:pStyle w:val="Normal"/>
      </w:pPr>
      <w:r>
        <w:t>gidNumber:</w:t>
        <w:t xml:space="preserve"> </w:t>
        <w:t>10001</w:t>
      </w:r>
    </w:p>
    <w:p>
      <w:pPr>
        <w:pStyle w:val="Normal"/>
      </w:pPr>
      <w:r>
        <w:t>loginShell:</w:t>
        <w:t xml:space="preserve"> </w:t>
        <w:t>/</w:t>
        <w:t>bin</w:t>
        <w:t>/</w:t>
        <w:t>bash</w:t>
      </w:r>
    </w:p>
    <w:p>
      <w:pPr>
        <w:pStyle w:val="Normal"/>
      </w:pPr>
      <w:r>
        <w:t>homeDirectory:</w:t>
        <w:t xml:space="preserve"> </w:t>
        <w:t>/</w:t>
        <w:t>home</w:t>
        <w:t>/</w:t>
        <w:t>john</w:t>
      </w:r>
    </w:p>
    <w:p>
      <w:pPr>
        <w:pStyle w:val="Normal"/>
      </w:pPr>
      <w:r>
        <w:t>dn: cn</w:t>
        <w:t>=</w:t>
        <w:t>john,ou</w:t>
        <w:t>=</w:t>
        <w:t>Group,dc</w:t>
        <w:t>=</w:t>
        <w:t>example,dc</w:t>
        <w:t>=</w:t>
        <w:t>com</w:t>
      </w:r>
    </w:p>
    <w:p>
      <w:pPr>
        <w:pStyle w:val="Normal"/>
      </w:pPr>
      <w:r>
        <w:t>cn: john</w:t>
      </w:r>
    </w:p>
    <w:p>
      <w:pPr>
        <w:pStyle w:val="Normal"/>
      </w:pPr>
      <w:r>
        <w:t>objectClass: posixGroup</w:t>
      </w:r>
    </w:p>
    <w:p>
      <w:pPr>
        <w:pStyle w:val="Normal"/>
      </w:pPr>
      <w:r>
        <w:t>gidNumber:</w:t>
        <w:t xml:space="preserve"> </w:t>
        <w:t>10001</w:t>
      </w:r>
    </w:p>
    <w:p>
      <w:pPr>
        <w:pStyle w:val="Normal"/>
      </w:pPr>
      <w:r>
        <w:t>memberUid: john</w:t>
      </w:r>
    </w:p>
    <w:p>
      <w:pPr>
        <w:pStyle w:val="Normal"/>
      </w:pPr>
      <w:r>
        <w:t>dn: cn</w:t>
        <w:t>=</w:t>
        <w:t>Engineering,ou</w:t>
        <w:t>=</w:t>
        <w:t>Group,dc</w:t>
        <w:t>=</w:t>
        <w:t>example,dc</w:t>
        <w:t>=</w:t>
        <w:t>com</w:t>
        <w:t xml:space="preserve"> </w:t>
        <w:t>cn: Engineering</w:t>
      </w:r>
    </w:p>
    <w:p>
      <w:pPr>
        <w:pStyle w:val="Normal"/>
      </w:pPr>
      <w:r>
        <w:t>objectClass: posixGroup</w:t>
      </w:r>
    </w:p>
    <w:p>
      <w:pPr>
        <w:pStyle w:val="Normal"/>
      </w:pPr>
      <w:r>
        <w:t>gidNumber:</w:t>
        <w:t xml:space="preserve"> </w:t>
        <w:t>10100</w:t>
      </w:r>
    </w:p>
    <w:p>
      <w:pPr>
        <w:pStyle w:val="Normal"/>
      </w:pPr>
      <w:r>
        <w:t>memberUid: john</w:t>
      </w:r>
    </w:p>
    <w:p>
      <w:bookmarkStart w:id="236" w:name="page_1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7" name="index-172_1.png" descr="index-172_1.png"/>
            <wp:cNvGraphicFramePr>
              <a:graphicFrameLocks noChangeAspect="1"/>
            </wp:cNvGraphicFramePr>
            <a:graphic>
              <a:graphicData uri="http://schemas.openxmlformats.org/drawingml/2006/picture">
                <pic:pic>
                  <pic:nvPicPr>
                    <pic:cNvPr id="0" name="index-172_1.png" descr="index-172_1.png"/>
                    <pic:cNvPicPr/>
                  </pic:nvPicPr>
                  <pic:blipFill>
                    <a:blip r:embed="rId181"/>
                    <a:stretch>
                      <a:fillRect/>
                    </a:stretch>
                  </pic:blipFill>
                  <pic:spPr>
                    <a:xfrm>
                      <a:off x="0" y="0"/>
                      <a:ext cx="914400" cy="266700"/>
                    </a:xfrm>
                    <a:prstGeom prst="rect">
                      <a:avLst/>
                    </a:prstGeom>
                  </pic:spPr>
                </pic:pic>
              </a:graphicData>
            </a:graphic>
          </wp:anchor>
        </w:drawing>
      </w:r>
      <w:bookmarkEnd w:id="236"/>
    </w:p>
    <w:p>
      <w:pPr>
        <w:pStyle w:val="Normal"/>
      </w:pPr>
      <w:r>
        <w:t>Note how the user john has no userPassword attribute.</w:t>
      </w:r>
    </w:p>
    <w:p>
      <w:pPr>
        <w:pStyle w:val="Normal"/>
      </w:pPr>
      <w:r>
        <w:t>The user john should be known to the system:</w:t>
      </w:r>
    </w:p>
    <w:p>
      <w:pPr>
        <w:pStyle w:val="Normal"/>
      </w:pPr>
      <w:r>
        <w:t>ubuntu@ldap-client:~$ getent passwd john</w:t>
      </w:r>
    </w:p>
    <w:p>
      <w:pPr>
        <w:pStyle w:val="Normal"/>
      </w:pPr>
      <w:r>
        <w:t>john:*:10001:10001:John Smith:/home/john:/bin/bash</w:t>
      </w:r>
    </w:p>
    <w:p>
      <w:pPr>
        <w:pStyle w:val="Normal"/>
      </w:pPr>
      <w:r>
        <w:t>ubuntu@ldap-client:~$ id john</w:t>
      </w:r>
    </w:p>
    <w:p>
      <w:pPr>
        <w:pStyle w:val="Normal"/>
      </w:pPr>
      <w:r>
        <w:t>uid</w:t>
        <w:t>=</w:t>
        <w:t>10001</w:t>
        <w:t>(</w:t>
        <w:t>john</w:t>
        <w:t>)</w:t>
        <w:t xml:space="preserve"> </w:t>
        <w:t>gid</w:t>
        <w:t>=</w:t>
        <w:t>10001</w:t>
        <w:t>(</w:t>
        <w:t>john</w:t>
        <w:t>)</w:t>
        <w:t xml:space="preserve"> </w:t>
        <w:t>groups</w:t>
        <w:t>=</w:t>
        <w:t>10001</w:t>
        <w:t>(</w:t>
        <w:t>john</w:t>
        <w:t>)</w:t>
        <w:t>,10100</w:t>
        <w:t>(</w:t>
        <w:t>Engineering</w:t>
        <w:t>)</w:t>
      </w:r>
    </w:p>
    <w:p>
      <w:pPr>
        <w:pStyle w:val="Para 17"/>
      </w:pPr>
      <w:r>
        <w:t/>
      </w:r>
    </w:p>
    <w:p>
      <w:pPr>
        <w:pStyle w:val="Normal"/>
      </w:pPr>
      <w:r>
        <w:t>Let’s try a login as this user:</w:t>
      </w:r>
    </w:p>
    <w:p>
      <w:pPr>
        <w:pStyle w:val="Normal"/>
      </w:pPr>
      <w:r>
        <w:t>ubuntu@ldap-krb-client:~$ sudo login</w:t>
      </w:r>
    </w:p>
    <w:p>
      <w:pPr>
        <w:pStyle w:val="Normal"/>
      </w:pPr>
      <w:r>
        <w:t>ldap-krb-client login: john</w:t>
      </w:r>
    </w:p>
    <w:p>
      <w:pPr>
        <w:pStyle w:val="Normal"/>
      </w:pPr>
      <w:r>
        <w:t>Password:</w:t>
      </w:r>
    </w:p>
    <w:p>
      <w:pPr>
        <w:pStyle w:val="Normal"/>
      </w:pPr>
      <w:r>
        <w:t>Welcome to Ubuntu</w:t>
        <w:t xml:space="preserve"> </w:t>
        <w:t>20</w:t>
        <w:t>.04 LTS</w:t>
        <w:t xml:space="preserve"> </w:t>
        <w:t>(</w:t>
        <w:t>GNU/Linux</w:t>
        <w:t xml:space="preserve"> </w:t>
        <w:t>5</w:t>
        <w:t>.4.0-24-generic x86_64</w:t>
        <w:t>)</w:t>
        <w:t xml:space="preserve"> </w:t>
        <w:t>(</w:t>
        <w:t>...</w:t>
        <w:t>)</w:t>
      </w:r>
    </w:p>
    <w:p>
      <w:pPr>
        <w:pStyle w:val="Normal"/>
      </w:pPr>
      <w:r>
        <w:t>Creating directory</w:t>
        <w:t xml:space="preserve"> </w:t>
        <w:t>'/home/john'</w:t>
        <w:t>.</w:t>
      </w:r>
    </w:p>
    <w:p>
      <w:pPr>
        <w:pStyle w:val="Normal"/>
      </w:pPr>
      <w:r>
        <w:t>john@ldap-krb-client:~$ klist</w:t>
      </w:r>
    </w:p>
    <w:p>
      <w:pPr>
        <w:pStyle w:val="Normal"/>
      </w:pPr>
      <w:r>
        <w:t>Ticket cache: FILE:/tmp/krb5cc_10001_BOrxWr</w:t>
      </w:r>
    </w:p>
    <w:p>
      <w:pPr>
        <w:pStyle w:val="Normal"/>
      </w:pPr>
      <w:r>
        <w:t>Default principal: john@EXAMPLE.COM</w:t>
      </w:r>
    </w:p>
    <w:p>
      <w:pPr>
        <w:pStyle w:val="Normal"/>
      </w:pPr>
      <w:r>
        <w:t>Valid starting</w:t>
        <w:t xml:space="preserve"> </w:t>
        <w:t>Expires</w:t>
        <w:t xml:space="preserve"> </w:t>
        <w:t>Service principal</w:t>
        <w:t xml:space="preserve"> </w:t>
        <w:t>04</w:t>
        <w:t>/17/20</w:t>
        <w:t xml:space="preserve"> </w:t>
        <w:t>20</w:t>
        <w:t>:29:50</w:t>
        <w:t xml:space="preserve"> </w:t>
        <w:t>04</w:t>
        <w:t>/18/20</w:t>
        <w:t xml:space="preserve"> </w:t>
        <w:t>06</w:t>
        <w:t>:29:50</w:t>
        <w:t xml:space="preserve"> </w:t>
        <w:t>krbtgt/EXAMPLE.COM@EXAMPLE.COM</w:t>
      </w:r>
    </w:p>
    <w:p>
      <w:pPr>
        <w:pStyle w:val="Para 06"/>
      </w:pPr>
      <w:r>
        <w:t>renew</w:t>
        <w:t xml:space="preserve"> </w:t>
      </w:r>
      <w:r>
        <w:rPr>
          <w:rStyle w:val="Text0"/>
        </w:rPr>
        <w:t>until</w:t>
      </w:r>
      <w:r>
        <w:t xml:space="preserve"> </w:t>
        <w:t>04</w:t>
        <w:t>/18/20</w:t>
        <w:t xml:space="preserve"> </w:t>
        <w:t>20</w:t>
        <w:t>:29:50</w:t>
      </w:r>
    </w:p>
    <w:p>
      <w:pPr>
        <w:pStyle w:val="Normal"/>
      </w:pPr>
      <w:r>
        <w:t>john@ldap-krb-client:~$</w:t>
      </w:r>
    </w:p>
    <w:p>
      <w:pPr>
        <w:pStyle w:val="Para 17"/>
      </w:pPr>
      <w:r>
        <w:t/>
      </w:r>
    </w:p>
    <w:p>
      <w:pPr>
        <w:pStyle w:val="Normal"/>
      </w:pPr>
      <w:r>
        <w:t>We logged in using the Kerberos password, and user/group information from the LDAP server.</w:t>
      </w:r>
    </w:p>
    <w:p>
      <w:pPr>
        <w:pStyle w:val="Para 17"/>
      </w:pPr>
      <w:r>
        <w:t/>
      </w:r>
    </w:p>
    <w:p>
      <w:pPr>
        <w:pStyle w:val="Para 01"/>
      </w:pPr>
      <w:r>
        <w:t>SSSD and KDC spoofing</w:t>
      </w:r>
    </w:p>
    <w:p>
      <w:pPr>
        <w:pStyle w:val="Para 17"/>
      </w:pPr>
      <w:r>
        <w:t/>
      </w:r>
    </w:p>
    <w:p>
      <w:pPr>
        <w:pStyle w:val="Normal"/>
      </w:pPr>
      <w:r>
        <w:t>When using SSSD to manage Kerberos logins on a Linux host, there is an attack scenario you should be aware of: KDC spoofing.</w:t>
      </w:r>
    </w:p>
    <w:p>
      <w:pPr>
        <w:pStyle w:val="Normal"/>
      </w:pPr>
      <w:r>
        <w:t>The objective of the attacker is to login on a workstation that is using Kerberos authentica-tion. Let’s say they know john is a valid user on that machine.</w:t>
      </w:r>
    </w:p>
    <w:p>
      <w:pPr>
        <w:pStyle w:val="Normal"/>
      </w:pPr>
      <w:r>
        <w:t>The attacker first deploys a rogue Key Distribution Center (KDC) server in the network, and creates the john principal there with a password of the attacker’s choosing. What they must do now is have their rogue KDC respond to the login request from the workstation, before (or instead of) the real KDC. If the workstation isn’t authenticating the KDC, it will accept the reply from the rogue server and let john in.</w:t>
      </w:r>
    </w:p>
    <w:p>
      <w:pPr>
        <w:pStyle w:val="Normal"/>
      </w:pPr>
      <w:r>
        <w:t>There is a configuration parameter that can be set to protect the workstation from this type of attack. It will have SSSD authenticate the KDC, and block the login if the KDC cannot be verified. This option is called krb5_validate, and it’s false by default.</w:t>
      </w:r>
    </w:p>
    <w:p>
      <w:pPr>
        <w:pStyle w:val="Normal"/>
      </w:pPr>
      <w:r>
        <w:t>To enable it, edit /etc/sssd/sssd.conf and add this line to the domain section:</w:t>
      </w:r>
    </w:p>
    <w:p>
      <w:pPr>
        <w:pStyle w:val="Normal"/>
      </w:pPr>
      <w:r>
        <w:t>[sssd]</w:t>
      </w:r>
    </w:p>
    <w:p>
      <w:pPr>
        <w:pStyle w:val="Normal"/>
      </w:pPr>
      <w:r>
        <w:t>config_file_version = 2</w:t>
      </w:r>
    </w:p>
    <w:p>
      <w:pPr>
        <w:pStyle w:val="Normal"/>
      </w:pPr>
      <w:r>
        <w:t>domains = example.com</w:t>
      </w:r>
    </w:p>
    <w:p>
      <w:pPr>
        <w:pStyle w:val="Normal"/>
      </w:pPr>
      <w:r>
        <w:t>[domain/example.com]</w:t>
      </w:r>
    </w:p>
    <w:p>
      <w:pPr>
        <w:pStyle w:val="Para 09"/>
      </w:pPr>
      <w:r>
        <w:t>(continues on next page)</w:t>
      </w:r>
    </w:p>
    <w:p>
      <w:bookmarkStart w:id="237" w:name="page_1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8"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182"/>
                    <a:stretch>
                      <a:fillRect/>
                    </a:stretch>
                  </pic:blipFill>
                  <pic:spPr>
                    <a:xfrm>
                      <a:off x="0" y="0"/>
                      <a:ext cx="914400" cy="266700"/>
                    </a:xfrm>
                    <a:prstGeom prst="rect">
                      <a:avLst/>
                    </a:prstGeom>
                  </pic:spPr>
                </pic:pic>
              </a:graphicData>
            </a:graphic>
          </wp:anchor>
        </w:drawing>
      </w:r>
      <w:bookmarkEnd w:id="237"/>
    </w:p>
    <w:p>
      <w:pPr>
        <w:pStyle w:val="Para 09"/>
      </w:pPr>
      <w:r>
        <w:t>(continued from previous page)</w:t>
      </w:r>
    </w:p>
    <w:p>
      <w:pPr>
        <w:pStyle w:val="Normal"/>
      </w:pPr>
      <w:r>
        <w:t>id_provider = ldap</w:t>
      </w:r>
    </w:p>
    <w:p>
      <w:pPr>
        <w:pStyle w:val="Normal"/>
      </w:pPr>
      <w:r>
        <w:t>...</w:t>
      </w:r>
    </w:p>
    <w:p>
      <w:pPr>
        <w:pStyle w:val="Normal"/>
      </w:pPr>
      <w:r>
        <w:t>krb5_validate = True</w:t>
      </w:r>
    </w:p>
    <w:p>
      <w:pPr>
        <w:pStyle w:val="Para 17"/>
      </w:pPr>
      <w:r>
        <w:t/>
      </w:r>
    </w:p>
    <w:p>
      <w:pPr>
        <w:pStyle w:val="Normal"/>
      </w:pPr>
      <w:r>
        <w:t>The second step is to create a host principal on the KDC for this workstation. This is how the KDC’s authenticity is verified. It’s like a “machine account”, with a shared secret that the attacker cannot control and replicate in the rogue KDC. The host principal has the format host/&lt;fqdn&gt;@REALM.</w:t>
      </w:r>
    </w:p>
    <w:p>
      <w:pPr>
        <w:pStyle w:val="Normal"/>
      </w:pPr>
      <w:r>
        <w:t>After the host principal is created, its keytab needs to be stored on the workstation. This two step process can be easily done on the workstation itself via kadmin (not kadmin.local) to contact the KDC remotely:</w:t>
      </w:r>
    </w:p>
    <w:p>
      <w:pPr>
        <w:pStyle w:val="Normal"/>
      </w:pPr>
      <w:r>
        <w:t>$ sudo kadmin -p ubuntu/admin</w:t>
      </w:r>
    </w:p>
    <w:p>
      <w:pPr>
        <w:pStyle w:val="Normal"/>
      </w:pPr>
      <w:r>
        <w:t>kadmin:</w:t>
        <w:t xml:space="preserve"> </w:t>
        <w:t>addprinc -randkey host/ldap-krb-client.example.com@EXAMPLE.COM</w:t>
        <w:t xml:space="preserve"> </w:t>
        <w:t>WARNING: no policy specified</w:t>
        <w:t xml:space="preserve"> </w:t>
      </w:r>
      <w:r>
        <w:rPr>
          <w:rStyle w:val="Text0"/>
        </w:rPr>
        <w:t>for</w:t>
      </w:r>
      <w:r>
        <w:t xml:space="preserve"> </w:t>
        <w:t>host/ldap-krb-client.example.com@EXAMPLE.COM; defaulting</w:t>
        <w:t xml:space="preserve"> </w:t>
        <w:t>to no policy</w:t>
      </w:r>
    </w:p>
    <w:p>
      <w:pPr>
        <w:pStyle w:val="Normal"/>
      </w:pPr>
      <w:r>
        <w:t>Principal</w:t>
        <w:t xml:space="preserve"> </w:t>
        <w:t>"host/ldap-krb-client.example.com@EXAMPLE.COM"</w:t>
        <w:t xml:space="preserve"> </w:t>
        <w:t>created.</w:t>
      </w:r>
    </w:p>
    <w:p>
      <w:pPr>
        <w:pStyle w:val="Normal"/>
      </w:pPr>
      <w:r>
        <w:t>kadmin:</w:t>
        <w:t xml:space="preserve"> </w:t>
        <w:t>ktadd -k /etc/krb5.keytab host/ldap-krb-client.example.com</w:t>
        <w:t xml:space="preserve"> </w:t>
        <w:t>Entry</w:t>
        <w:t xml:space="preserve"> </w:t>
      </w:r>
      <w:r>
        <w:rPr>
          <w:rStyle w:val="Text0"/>
        </w:rPr>
        <w:t>for</w:t>
      </w:r>
      <w:r>
        <w:t xml:space="preserve"> </w:t>
        <w:t>principal host/ldap-krb-client.example.com with kvno</w:t>
        <w:t xml:space="preserve"> </w:t>
        <w:t>6</w:t>
        <w:t>, encryption</w:t>
        <w:t xml:space="preserve"> </w:t>
        <w:t>type</w:t>
        <w:t xml:space="preserve"> </w:t>
        <w:t>aes256-</w:t>
        <w:t>cts-hmac-sha1-96 added to keytab WRFILE:/etc/krb5.keytab.</w:t>
        <w:t xml:space="preserve"> </w:t>
        <w:t>Entry</w:t>
        <w:t xml:space="preserve"> </w:t>
      </w:r>
      <w:r>
        <w:rPr>
          <w:rStyle w:val="Text0"/>
        </w:rPr>
        <w:t>for</w:t>
      </w:r>
      <w:r>
        <w:t xml:space="preserve"> </w:t>
        <w:t>principal host/ldap-krb-client.example.com with kvno</w:t>
        <w:t xml:space="preserve"> </w:t>
        <w:t>6</w:t>
        <w:t>, encryption</w:t>
        <w:t xml:space="preserve"> </w:t>
        <w:t>type</w:t>
        <w:t xml:space="preserve"> </w:t>
        <w:t>aes128-</w:t>
        <w:t>cts-hmac-sha1-96 added to keytab WRFILE:/etc/krb5.keytab.</w:t>
      </w:r>
    </w:p>
    <w:p>
      <w:pPr>
        <w:pStyle w:val="Para 17"/>
      </w:pPr>
      <w:r>
        <w:t/>
      </w:r>
    </w:p>
    <w:p>
      <w:pPr>
        <w:pStyle w:val="Normal"/>
      </w:pPr>
      <w:r>
        <w:t>Then exit the tool and make sure the permissions on the keytab file are tight:</w:t>
      </w:r>
    </w:p>
    <w:p>
      <w:pPr>
        <w:pStyle w:val="Normal"/>
      </w:pPr>
      <w:r>
        <w:t>sudo chmod</w:t>
        <w:t xml:space="preserve"> </w:t>
        <w:t>0600</w:t>
        <w:t xml:space="preserve"> </w:t>
        <w:t>/etc/krb5.keytab</w:t>
      </w:r>
    </w:p>
    <w:p>
      <w:pPr>
        <w:pStyle w:val="Normal"/>
      </w:pPr>
      <w:r>
        <w:t>sudo chown root:root /etc/krb5.keytab</w:t>
      </w:r>
    </w:p>
    <w:p>
      <w:pPr>
        <w:pStyle w:val="Para 17"/>
      </w:pPr>
      <w:r>
        <w:t/>
      </w:r>
    </w:p>
    <w:p>
      <w:pPr>
        <w:pStyle w:val="Normal"/>
      </w:pPr>
      <w:r>
        <w:t>You can also do it on the KDC itself using kadmin.local, but you will have to store the keytab temporarily in another file and securely copy it over to the workstation.</w:t>
      </w:r>
    </w:p>
    <w:p>
      <w:pPr>
        <w:pStyle w:val="Normal"/>
      </w:pPr>
      <w:r>
        <w:t>Once these steps are complete, you can restart SSSD on the workstation and perform the login. If the rogue KDC notices the attempt and replies, it will fail the host verification. With debugging we can see this happening on the workstation:</w:t>
      </w:r>
    </w:p>
    <w:p>
      <w:pPr>
        <w:pStyle w:val="Normal"/>
      </w:pPr>
      <w:r>
        <w:t>==&gt; /</w:t>
        <w:t>var</w:t>
        <w:t>/</w:t>
        <w:t>log</w:t>
        <w:t>/</w:t>
        <w:t>sssd</w:t>
        <w:t>/</w:t>
        <w:t>krb5_child</w:t>
        <w:t>.</w:t>
        <w:t>log</w:t>
        <w:t xml:space="preserve"> </w:t>
        <w:t>&lt;==</w:t>
      </w:r>
    </w:p>
    <w:p>
      <w:pPr>
        <w:pStyle w:val="Normal"/>
      </w:pPr>
      <w:r>
        <w:t>(Mon Apr</w:t>
        <w:t xml:space="preserve"> </w:t>
        <w:t>20 19</w:t>
        <w:t>:</w:t>
        <w:t>43</w:t>
        <w:t>:</w:t>
        <w:t>58 2020</w:t>
        <w:t>) [[sssd[krb5_child[</w:t>
        <w:t>2102</w:t>
        <w:t>]]]] [validate_tgt] (</w:t>
        <w:t>0x0020</w:t>
        <w:t>): TGT failed</w:t>
        <w:t xml:space="preserve"> </w:t>
        <w:t>verification using key</w:t>
        <w:t xml:space="preserve"> </w:t>
      </w:r>
      <w:r>
        <w:rPr>
          <w:rStyle w:val="Text0"/>
        </w:rPr>
        <w:t>for</w:t>
      </w:r>
      <w:r>
        <w:t xml:space="preserve"> </w:t>
        <w:t>[host</w:t>
        <w:t>/</w:t>
        <w:t>ldap</w:t>
        <w:t>-</w:t>
        <w:t>krb</w:t>
        <w:t>-</w:t>
        <w:t>client</w:t>
        <w:t>.</w:t>
        <w:t>example</w:t>
        <w:t>.</w:t>
        <w:t>com</w:t>
      </w:r>
      <w:r>
        <w:rPr>
          <w:rStyle w:val="Text0"/>
        </w:rPr>
        <w:t>@EXAMPLE</w:t>
      </w:r>
      <w:r>
        <w:t>.</w:t>
        <w:t>COM]</w:t>
        <w:t>.</w:t>
        <w:t xml:space="preserve"> </w:t>
        <w:t>(Mon Apr</w:t>
        <w:t xml:space="preserve"> </w:t>
        <w:t>20 19</w:t>
        <w:t>:</w:t>
        <w:t>43</w:t>
        <w:t>:</w:t>
        <w:t>58 2020</w:t>
        <w:t>) [[sssd[krb5_child[</w:t>
        <w:t>2102</w:t>
        <w:t>]]]] [get_and_save_tgt] (</w:t>
        <w:t>0x0020</w:t>
        <w:t>):</w:t>
        <w:t xml:space="preserve"> </w:t>
        <w:t>1741</w:t>
        <w:t>:</w:t>
        <w:t xml:space="preserve"> </w:t>
        <w:t>[</w:t>
        <w:t>-</w:t>
        <w:t>1765328377</w:t>
        <w:t>][Server host</w:t>
        <w:t>/</w:t>
        <w:t>ldap</w:t>
        <w:t>-</w:t>
        <w:t>krb</w:t>
        <w:t>-</w:t>
        <w:t>client</w:t>
        <w:t>.</w:t>
        <w:t>example</w:t>
        <w:t>.</w:t>
        <w:t>com</w:t>
      </w:r>
      <w:r>
        <w:rPr>
          <w:rStyle w:val="Text0"/>
        </w:rPr>
        <w:t>@EXAMPLE</w:t>
      </w:r>
      <w:r>
        <w:t>.</w:t>
        <w:t>COM</w:t>
        <w:t xml:space="preserve"> </w:t>
      </w:r>
      <w:r>
        <w:rPr>
          <w:rStyle w:val="Text0"/>
        </w:rPr>
        <w:t>not</w:t>
      </w:r>
      <w:r>
        <w:t xml:space="preserve"> </w:t>
        <w:t>found</w:t>
        <w:t xml:space="preserve"> </w:t>
      </w:r>
      <w:r>
        <w:rPr>
          <w:rStyle w:val="Text0"/>
        </w:rPr>
        <w:t>in</w:t>
      </w:r>
      <w:r>
        <w:t xml:space="preserve"> </w:t>
        <w:t>Kerberos</w:t>
        <w:t xml:space="preserve"> </w:t>
        <w:t>database]</w:t>
      </w:r>
    </w:p>
    <w:p>
      <w:pPr>
        <w:pStyle w:val="Para 17"/>
      </w:pPr>
      <w:r>
        <w:t/>
      </w:r>
    </w:p>
    <w:p>
      <w:pPr>
        <w:pStyle w:val="Normal"/>
      </w:pPr>
      <w:r>
        <w:t>And the login is denied. If the real KDC picks it up, however, the host verification succeeds:</w:t>
      </w:r>
    </w:p>
    <w:p>
      <w:pPr>
        <w:pStyle w:val="Normal"/>
      </w:pPr>
      <w:r>
        <w:t>==&gt; /</w:t>
        <w:t>var</w:t>
        <w:t>/</w:t>
        <w:t>log</w:t>
        <w:t>/</w:t>
        <w:t>sssd</w:t>
        <w:t>/</w:t>
        <w:t>krb5_child</w:t>
        <w:t>.</w:t>
        <w:t>log</w:t>
        <w:t xml:space="preserve"> </w:t>
        <w:t>&lt;==</w:t>
      </w:r>
    </w:p>
    <w:p>
      <w:pPr>
        <w:pStyle w:val="Normal"/>
      </w:pPr>
      <w:r>
        <w:t>(Mon Apr</w:t>
        <w:t xml:space="preserve"> </w:t>
        <w:t>20 19</w:t>
        <w:t>:</w:t>
        <w:t>46</w:t>
        <w:t>:</w:t>
        <w:t>22 2020</w:t>
        <w:t>) [[sssd[krb5_child[</w:t>
        <w:t>2268</w:t>
        <w:t>]]]] [validate_tgt] (</w:t>
        <w:t>0x0400</w:t>
        <w:t>): TGT</w:t>
        <w:t xml:space="preserve"> </w:t>
        <w:t>verified using key</w:t>
        <w:t xml:space="preserve"> </w:t>
      </w:r>
      <w:r>
        <w:rPr>
          <w:rStyle w:val="Text0"/>
        </w:rPr>
        <w:t>for</w:t>
      </w:r>
      <w:r>
        <w:t xml:space="preserve"> </w:t>
        <w:t>[host</w:t>
        <w:t>/</w:t>
        <w:t>ldap</w:t>
        <w:t>-</w:t>
        <w:t>krb</w:t>
        <w:t>-</w:t>
        <w:t>client</w:t>
        <w:t>.</w:t>
        <w:t>example</w:t>
        <w:t>.</w:t>
        <w:t>com</w:t>
      </w:r>
      <w:r>
        <w:rPr>
          <w:rStyle w:val="Text0"/>
        </w:rPr>
        <w:t>@EXAMPLE</w:t>
      </w:r>
      <w:r>
        <w:t>.</w:t>
        <w:t>COM]</w:t>
        <w:t>.</w:t>
      </w:r>
    </w:p>
    <w:p>
      <w:pPr>
        <w:pStyle w:val="Para 17"/>
      </w:pPr>
      <w:r>
        <w:t/>
      </w:r>
    </w:p>
    <w:p>
      <w:pPr>
        <w:pStyle w:val="Normal"/>
      </w:pPr>
      <w:r>
        <w:t>And the login is accepted.</w:t>
      </w:r>
    </w:p>
    <w:p>
      <w:pPr>
        <w:pStyle w:val="Normal"/>
      </w:pPr>
      <w:r>
        <w:t>If you run into difficulties, refer to our troubleshooting guide.</w:t>
      </w:r>
    </w:p>
    <w:p>
      <w:bookmarkStart w:id="238" w:name="page_1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79"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183"/>
                    <a:stretch>
                      <a:fillRect/>
                    </a:stretch>
                  </pic:blipFill>
                  <pic:spPr>
                    <a:xfrm>
                      <a:off x="0" y="0"/>
                      <a:ext cx="914400" cy="266700"/>
                    </a:xfrm>
                    <a:prstGeom prst="rect">
                      <a:avLst/>
                    </a:prstGeom>
                  </pic:spPr>
                </pic:pic>
              </a:graphicData>
            </a:graphic>
          </wp:anchor>
        </w:drawing>
      </w:r>
      <w:bookmarkEnd w:id="238"/>
    </w:p>
    <w:p>
      <w:pPr>
        <w:pStyle w:val="Para 01"/>
      </w:pPr>
      <w:r>
        <w:t>Troubleshooting SSSD</w:t>
      </w:r>
    </w:p>
    <w:p>
      <w:pPr>
        <w:pStyle w:val="Para 17"/>
      </w:pPr>
      <w:r>
        <w:t/>
      </w:r>
    </w:p>
    <w:p>
      <w:pPr>
        <w:pStyle w:val="Normal"/>
      </w:pPr>
      <w:r>
        <w:t>Here are some tips to help troubleshoot SSSD.</w:t>
      </w:r>
    </w:p>
    <w:p>
      <w:pPr>
        <w:pStyle w:val="Para 17"/>
      </w:pPr>
      <w:r>
        <w:t/>
      </w:r>
    </w:p>
    <w:p>
      <w:pPr>
        <w:pStyle w:val="Para 01"/>
      </w:pPr>
      <w:r>
        <w:t>debug_level</w:t>
      </w:r>
    </w:p>
    <w:p>
      <w:pPr>
        <w:pStyle w:val="Para 17"/>
      </w:pPr>
      <w:r>
        <w:t/>
      </w:r>
    </w:p>
    <w:p>
      <w:pPr>
        <w:pStyle w:val="Normal"/>
      </w:pPr>
      <w:r>
        <w:t>The debug level of SSSD can be changed on-the-fly via sssctl, from the sssd-tools package:</w:t>
      </w:r>
    </w:p>
    <w:p>
      <w:pPr>
        <w:pStyle w:val="Normal"/>
      </w:pPr>
      <w:r>
        <w:t>sudo apt install sssd-tools</w:t>
      </w:r>
    </w:p>
    <w:p>
      <w:pPr>
        <w:pStyle w:val="Normal"/>
      </w:pPr>
      <w:r>
        <w:t>sssctl debug-level &lt;new-level&gt;</w:t>
      </w:r>
    </w:p>
    <w:p>
      <w:pPr>
        <w:pStyle w:val="Para 17"/>
      </w:pPr>
      <w:r>
        <w:t/>
      </w:r>
    </w:p>
    <w:p>
      <w:pPr>
        <w:pStyle w:val="Normal"/>
      </w:pPr>
      <w:r>
        <w:t>Or add it to the config file and restart SSSD:</w:t>
      </w:r>
    </w:p>
    <w:p>
      <w:pPr>
        <w:pStyle w:val="Normal"/>
      </w:pPr>
      <w:r>
        <w:t>[sssd]</w:t>
      </w:r>
    </w:p>
    <w:p>
      <w:pPr>
        <w:pStyle w:val="Normal"/>
      </w:pPr>
      <w:r>
        <w:t>config_file_version = 2</w:t>
      </w:r>
    </w:p>
    <w:p>
      <w:pPr>
        <w:pStyle w:val="Normal"/>
      </w:pPr>
      <w:r>
        <w:t>domains = example.com</w:t>
      </w:r>
    </w:p>
    <w:p>
      <w:pPr>
        <w:pStyle w:val="Normal"/>
      </w:pPr>
      <w:r>
        <w:t>[domain/example.com]</w:t>
      </w:r>
    </w:p>
    <w:p>
      <w:pPr>
        <w:pStyle w:val="Normal"/>
      </w:pPr>
      <w:r>
        <w:t>debug_level = 6</w:t>
      </w:r>
    </w:p>
    <w:p>
      <w:pPr>
        <w:pStyle w:val="Normal"/>
      </w:pPr>
      <w:r>
        <w:t>...</w:t>
      </w:r>
    </w:p>
    <w:p>
      <w:pPr>
        <w:pStyle w:val="Para 17"/>
      </w:pPr>
      <w:r>
        <w:t/>
      </w:r>
    </w:p>
    <w:p>
      <w:pPr>
        <w:pStyle w:val="Normal"/>
      </w:pPr>
      <w:r>
        <w:t>Either approach will yield more logs in /var/log/sssd/*.log and can help identify what is happening. The sssctl approach has the clear advantage of not having to restart the service.</w:t>
      </w:r>
    </w:p>
    <w:p>
      <w:pPr>
        <w:pStyle w:val="Para 17"/>
      </w:pPr>
      <w:r>
        <w:t/>
      </w:r>
    </w:p>
    <w:p>
      <w:pPr>
        <w:pStyle w:val="Para 01"/>
      </w:pPr>
      <w:r>
        <w:t>Caching</w:t>
      </w:r>
    </w:p>
    <w:p>
      <w:pPr>
        <w:pStyle w:val="Para 17"/>
      </w:pPr>
      <w:r>
        <w:t/>
      </w:r>
    </w:p>
    <w:p>
      <w:pPr>
        <w:pStyle w:val="Normal"/>
      </w:pPr>
      <w:r>
        <w:t>Caching is useful to speed things up, but it can get in the way big time when troubleshooting. It’s useful to be able to remove the cache while chasing down a problem. This can also be done with the sssctl tool from the sssd-tools package.</w:t>
      </w:r>
    </w:p>
    <w:p>
      <w:pPr>
        <w:pStyle w:val="Normal"/>
      </w:pPr>
      <w:r>
        <w:t>You can either remove the whole cache:</w:t>
      </w:r>
    </w:p>
    <w:p>
      <w:pPr>
        <w:pStyle w:val="Para 10"/>
      </w:pPr>
      <w:r>
        <w:t># sssctl cache-remove</w:t>
      </w:r>
    </w:p>
    <w:p>
      <w:pPr>
        <w:pStyle w:val="Normal"/>
      </w:pPr>
      <w:r>
        <w:t>Creating backup of</w:t>
        <w:t xml:space="preserve"> </w:t>
        <w:t>local</w:t>
        <w:t xml:space="preserve"> </w:t>
        <w:t>data...</w:t>
      </w:r>
    </w:p>
    <w:p>
      <w:pPr>
        <w:pStyle w:val="Normal"/>
      </w:pPr>
      <w:r>
        <w:t>SSSD backup of</w:t>
        <w:t xml:space="preserve"> </w:t>
        <w:t>local</w:t>
        <w:t xml:space="preserve"> </w:t>
        <w:t>data already exists, override?</w:t>
        <w:t xml:space="preserve"> </w:t>
        <w:t>(</w:t>
        <w:t>yes/no</w:t>
        <w:t>) [</w:t>
        <w:t>no</w:t>
        <w:t>]</w:t>
        <w:t xml:space="preserve"> </w:t>
        <w:t>yes</w:t>
        <w:t xml:space="preserve"> </w:t>
        <w:t>Removing cache files...</w:t>
      </w:r>
    </w:p>
    <w:p>
      <w:pPr>
        <w:pStyle w:val="Normal"/>
      </w:pPr>
      <w:r>
        <w:t>SSSD</w:t>
        <w:t>=</w:t>
        <w:t xml:space="preserve"> </w:t>
        <w:t>needs to be running. Start SSSD now?</w:t>
        <w:t xml:space="preserve"> </w:t>
        <w:t>(</w:t>
        <w:t>yes/no</w:t>
        <w:t>) [</w:t>
        <w:t>yes</w:t>
        <w:t>]</w:t>
        <w:t xml:space="preserve"> </w:t>
        <w:t>yes</w:t>
      </w:r>
    </w:p>
    <w:p>
      <w:pPr>
        <w:pStyle w:val="Para 17"/>
      </w:pPr>
      <w:r>
        <w:t/>
      </w:r>
    </w:p>
    <w:p>
      <w:pPr>
        <w:pStyle w:val="Normal"/>
      </w:pPr>
      <w:r>
        <w:t>Or just one element:</w:t>
      </w:r>
    </w:p>
    <w:p>
      <w:pPr>
        <w:pStyle w:val="Normal"/>
      </w:pPr>
      <w:r>
        <w:t>sssctl cache-expire -u john</w:t>
      </w:r>
    </w:p>
    <w:p>
      <w:pPr>
        <w:pStyle w:val="Para 17"/>
      </w:pPr>
      <w:r>
        <w:t/>
      </w:r>
    </w:p>
    <w:p>
      <w:pPr>
        <w:pStyle w:val="Normal"/>
      </w:pPr>
      <w:r>
        <w:t>Or expire everything:</w:t>
      </w:r>
    </w:p>
    <w:p>
      <w:pPr>
        <w:pStyle w:val="Normal"/>
      </w:pPr>
      <w:r>
        <w:t>sssctl cache-expire -E</w:t>
      </w:r>
    </w:p>
    <w:p>
      <w:bookmarkStart w:id="239" w:name="calibre_pb_32"/>
      <w:pPr>
        <w:pStyle w:val="0 Block"/>
      </w:pPr>
      <w:bookmarkEnd w:id="239"/>
    </w:p>
    <w:p>
      <w:bookmarkStart w:id="240" w:name="Top_of_index_split_033_html"/>
      <w:bookmarkStart w:id="241" w:name="page_17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0"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184"/>
                    <a:stretch>
                      <a:fillRect/>
                    </a:stretch>
                  </pic:blipFill>
                  <pic:spPr>
                    <a:xfrm>
                      <a:off x="0" y="0"/>
                      <a:ext cx="914400" cy="266700"/>
                    </a:xfrm>
                    <a:prstGeom prst="rect">
                      <a:avLst/>
                    </a:prstGeom>
                  </pic:spPr>
                </pic:pic>
              </a:graphicData>
            </a:graphic>
          </wp:anchor>
        </w:drawing>
      </w:r>
      <w:bookmarkEnd w:id="240"/>
      <w:bookmarkEnd w:id="241"/>
    </w:p>
    <w:p>
      <w:bookmarkStart w:id="242" w:name="Top_of_index_split_034_html"/>
      <w:bookmarkStart w:id="243" w:name="DNS"/>
      <w:pPr>
        <w:pStyle w:val="Heading 1"/>
        <w:pageBreakBefore w:val="on"/>
      </w:pPr>
      <w:r>
        <w:t>DNS</w:t>
      </w:r>
      <w:bookmarkEnd w:id="242"/>
      <w:bookmarkEnd w:id="243"/>
    </w:p>
    <w:p>
      <w:pPr>
        <w:pStyle w:val="Para 17"/>
      </w:pPr>
      <w:r>
        <w:t/>
      </w:r>
    </w:p>
    <w:p>
      <w:pPr>
        <w:pStyle w:val="Normal"/>
      </w:pPr>
      <w:r>
        <w:t xml:space="preserve">Kerberos is quite sensitive to </w:t>
      </w:r>
      <w:hyperlink w:anchor="page_679">
        <w:r>
          <w:rPr>
            <w:rStyle w:val="Text2"/>
          </w:rPr>
          <w:t>DNS</w:t>
        </w:r>
      </w:hyperlink>
      <w:r>
        <w:t xml:space="preserve"> issues. If you suspect something related to DNS, here are two suggestions:</w:t>
      </w:r>
    </w:p>
    <w:p>
      <w:pPr>
        <w:pStyle w:val="Para 17"/>
      </w:pPr>
      <w:r>
        <w:t/>
      </w:r>
    </w:p>
    <w:p>
      <w:pPr>
        <w:pStyle w:val="Para 01"/>
      </w:pPr>
      <w:r>
        <w:t>FQDN hostname</w:t>
      </w:r>
    </w:p>
    <w:p>
      <w:pPr>
        <w:pStyle w:val="Para 17"/>
      </w:pPr>
      <w:r>
        <w:t/>
      </w:r>
    </w:p>
    <w:p>
      <w:pPr>
        <w:pStyle w:val="Normal"/>
      </w:pPr>
      <w:r>
        <w:t xml:space="preserve">Make sure hostname -f returns a </w:t>
      </w:r>
      <w:hyperlink w:anchor="page_683">
        <w:r>
          <w:rPr>
            <w:rStyle w:val="Text2"/>
          </w:rPr>
          <w:t>fully qualified domain name (FQDN)</w:t>
        </w:r>
      </w:hyperlink>
      <w:r>
        <w:t>. Set it in /etc/hostname if necessary, and use sudo hostnamectl set-hostname &lt;fqdn&gt; to set it at runtime.</w:t>
      </w:r>
    </w:p>
    <w:p>
      <w:pPr>
        <w:pStyle w:val="Para 17"/>
      </w:pPr>
      <w:r>
        <w:t/>
      </w:r>
    </w:p>
    <w:p>
      <w:pPr>
        <w:pStyle w:val="Para 01"/>
      </w:pPr>
      <w:r>
        <w:t>Reverse name lookup</w:t>
      </w:r>
    </w:p>
    <w:p>
      <w:pPr>
        <w:pStyle w:val="Para 17"/>
      </w:pPr>
      <w:r>
        <w:t/>
      </w:r>
    </w:p>
    <w:p>
      <w:pPr>
        <w:pStyle w:val="Normal"/>
      </w:pPr>
      <w:r>
        <w:t>You can try disabling a default reverse name lookup, which the krb5 libraries do, by editing (or creating) /etc/krb5.conf and setting rdns = false in the [libdefaults] section:</w:t>
      </w:r>
    </w:p>
    <w:p>
      <w:pPr>
        <w:pStyle w:val="Normal"/>
      </w:pPr>
      <w:r>
        <w:t>[libdefaults]</w:t>
      </w:r>
    </w:p>
    <w:p>
      <w:pPr>
        <w:pStyle w:val="Normal"/>
      </w:pPr>
      <w:r>
        <w:t>rdns = false</w:t>
      </w:r>
    </w:p>
    <w:p>
      <w:pPr>
        <w:pStyle w:val="Para 17"/>
      </w:pPr>
      <w:r>
        <w:t/>
      </w:r>
    </w:p>
    <w:p>
      <w:pPr>
        <w:pStyle w:val="Para 01"/>
      </w:pPr>
      <w:r>
        <w:t>See also</w:t>
      </w:r>
    </w:p>
    <w:p>
      <w:pPr>
        <w:pStyle w:val="Para 17"/>
      </w:pPr>
      <w:r>
        <w:t/>
      </w:r>
    </w:p>
    <w:p>
      <w:pPr>
        <w:pStyle w:val="Para 14"/>
      </w:pPr>
      <w:r>
        <w:rPr>
          <w:rStyle w:val="Text4"/>
        </w:rPr>
        <w:t xml:space="preserve">• Explanation: </w:t>
      </w:r>
      <w:hyperlink w:anchor="page_740">
        <w:r>
          <w:t>Introduction to network user authentication with SSSD</w:t>
        </w:r>
      </w:hyperlink>
      <w:r>
        <w:rPr>
          <w:rStyle w:val="Text4"/>
        </w:rPr>
        <w:t xml:space="preserve"> (page 739)</w:t>
      </w:r>
    </w:p>
    <w:p>
      <w:pPr>
        <w:pStyle w:val="Para 17"/>
      </w:pPr>
      <w:r>
        <w:t/>
      </w:r>
    </w:p>
    <w:p>
      <w:pPr>
        <w:pStyle w:val="Para 01"/>
      </w:pPr>
      <w:r>
        <w:t>Smart card authentication</w:t>
      </w:r>
    </w:p>
    <w:p>
      <w:pPr>
        <w:pStyle w:val="Para 17"/>
      </w:pPr>
      <w:r>
        <w:t/>
      </w:r>
    </w:p>
    <w:p>
      <w:pPr>
        <w:pStyle w:val="Normal"/>
      </w:pPr>
      <w:r>
        <w:t xml:space="preserve">One of the most popular uses for smart cards is to control access to computer systems. The owner must physically </w:t>
      </w:r>
      <w:r>
        <w:rPr>
          <w:rStyle w:val="Text3"/>
        </w:rPr>
        <w:t>have</w:t>
      </w:r>
      <w:r>
        <w:t xml:space="preserve"> the smart card, and they must know the PIN to unlock it. This provides a higher degree of security than single-factor authentication (such as just using a password). In this page, we describe how to enable smart card authentication on Ubuntu.</w:t>
      </w:r>
    </w:p>
    <w:p>
      <w:pPr>
        <w:pStyle w:val="Para 17"/>
      </w:pPr>
      <w:r>
        <w:t/>
      </w:r>
    </w:p>
    <w:p>
      <w:pPr>
        <w:pStyle w:val="Para 08"/>
      </w:pPr>
      <w:r>
        <w:t>Note:</w:t>
      </w:r>
    </w:p>
    <w:p>
      <w:pPr>
        <w:pStyle w:val="Para 03"/>
      </w:pPr>
      <w:r>
        <w:t>This guide is meant for Ubuntu Server 20.04 and newer. If you want to configure a desktop</w:t>
      </w:r>
    </w:p>
    <w:p>
      <w:pPr>
        <w:pStyle w:val="Para 03"/>
      </w:pPr>
      <w:r>
        <w:t xml:space="preserve">installation refer to the </w:t>
      </w:r>
      <w:hyperlink w:anchor="page_175">
        <w:r>
          <w:rPr>
            <w:rStyle w:val="Text9"/>
          </w:rPr>
          <w:t>130</w:t>
        </w:r>
      </w:hyperlink>
      <w:r>
        <w:t xml:space="preserve"> </w:t>
      </w:r>
      <w:hyperlink r:id="rId1137">
        <w:r>
          <w:rPr>
            <w:rStyle w:val="Text1"/>
          </w:rPr>
          <w:t>desktop guide</w:t>
        </w:r>
      </w:hyperlink>
      <w:r>
        <w:t>.</w:t>
      </w:r>
    </w:p>
    <w:p>
      <w:pPr>
        <w:pStyle w:val="Para 41"/>
      </w:pPr>
      <w:r>
        <w:rPr>
          <w:rStyle w:val="Text5"/>
        </w:rPr>
        <w:t>130</w:t>
      </w:r>
      <w:r>
        <w:rPr>
          <w:rStyle w:val="Text8"/>
        </w:rPr>
        <w:t xml:space="preserve"> </w:t>
      </w:r>
      <w:r>
        <w:t>https://ubuntu.com/tutorials/how-to-use-smart-card-authentication-in-ubuntu-desktop#2-overview</w:t>
      </w:r>
    </w:p>
    <w:p>
      <w:pPr>
        <w:pStyle w:val="Para 17"/>
      </w:pPr>
      <w:r>
        <w:t/>
      </w:r>
    </w:p>
    <w:p>
      <w:pPr>
        <w:pStyle w:val="Para 01"/>
      </w:pPr>
      <w:r>
        <w:t>Software requirements</w:t>
      </w:r>
    </w:p>
    <w:p>
      <w:pPr>
        <w:pStyle w:val="Para 17"/>
      </w:pPr>
      <w:r>
        <w:t/>
      </w:r>
    </w:p>
    <w:p>
      <w:pPr>
        <w:pStyle w:val="Normal"/>
      </w:pPr>
      <w:r>
        <w:t>The following packages must be installed to obtain a smart card configuration on Ubuntu:</w:t>
      </w:r>
    </w:p>
    <w:p>
      <w:pPr>
        <w:pStyle w:val="Para 04"/>
      </w:pPr>
      <w:r>
        <w:t xml:space="preserve">• </w:t>
      </w:r>
      <w:r>
        <w:rPr>
          <w:rStyle w:val="Text0"/>
        </w:rPr>
        <w:t>pcscd</w:t>
      </w:r>
      <w:r>
        <w:t>: contains the drivers needed to communicate with the CCID smart card readers</w:t>
      </w:r>
    </w:p>
    <w:p>
      <w:pPr>
        <w:pStyle w:val="Para 04"/>
      </w:pPr>
      <w:r>
        <w:t xml:space="preserve">• </w:t>
      </w:r>
      <w:r>
        <w:rPr>
          <w:rStyle w:val="Text0"/>
        </w:rPr>
        <w:t>opensc-pkcs11</w:t>
      </w:r>
      <w:r>
        <w:t>: (optional, depending on your smart card hardware) contains the smart</w:t>
      </w:r>
    </w:p>
    <w:p>
      <w:pPr>
        <w:pStyle w:val="Para 02"/>
      </w:pPr>
      <w:r>
        <w:t>card drivers, such as Personal Identify Verification (PIV) or Common Access Card (CAC)</w:t>
      </w:r>
    </w:p>
    <w:p>
      <w:pPr>
        <w:pStyle w:val="Para 04"/>
      </w:pPr>
      <w:r>
        <w:t xml:space="preserve">• </w:t>
      </w:r>
      <w:r>
        <w:rPr>
          <w:rStyle w:val="Text0"/>
        </w:rPr>
        <w:t>sssd</w:t>
      </w:r>
      <w:r>
        <w:t>: the authentication daemon that manages smart card access and certificate veri-</w:t>
      </w:r>
    </w:p>
    <w:p>
      <w:pPr>
        <w:pStyle w:val="Para 02"/>
      </w:pPr>
      <w:r>
        <w:t>fication To install these packages, run the following command in your terminal:</w:t>
      </w:r>
    </w:p>
    <w:p>
      <w:bookmarkStart w:id="244" w:name="page_1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1" name="index-176_1.png" descr="index-176_1.png"/>
            <wp:cNvGraphicFramePr>
              <a:graphicFrameLocks noChangeAspect="1"/>
            </wp:cNvGraphicFramePr>
            <a:graphic>
              <a:graphicData uri="http://schemas.openxmlformats.org/drawingml/2006/picture">
                <pic:pic>
                  <pic:nvPicPr>
                    <pic:cNvPr id="0" name="index-176_1.png" descr="index-176_1.png"/>
                    <pic:cNvPicPr/>
                  </pic:nvPicPr>
                  <pic:blipFill>
                    <a:blip r:embed="rId185"/>
                    <a:stretch>
                      <a:fillRect/>
                    </a:stretch>
                  </pic:blipFill>
                  <pic:spPr>
                    <a:xfrm>
                      <a:off x="0" y="0"/>
                      <a:ext cx="914400" cy="266700"/>
                    </a:xfrm>
                    <a:prstGeom prst="rect">
                      <a:avLst/>
                    </a:prstGeom>
                  </pic:spPr>
                </pic:pic>
              </a:graphicData>
            </a:graphic>
          </wp:anchor>
        </w:drawing>
      </w:r>
      <w:bookmarkEnd w:id="244"/>
    </w:p>
    <w:p>
      <w:pPr>
        <w:pStyle w:val="Normal"/>
      </w:pPr>
      <w:r>
        <w:t>sudo apt install opensc-pkcs11 pcscd sssd libpam-sss</w:t>
      </w:r>
    </w:p>
    <w:p>
      <w:pPr>
        <w:pStyle w:val="Para 17"/>
      </w:pPr>
      <w:r>
        <w:t/>
      </w:r>
    </w:p>
    <w:p>
      <w:pPr>
        <w:pStyle w:val="Para 01"/>
      </w:pPr>
      <w:r>
        <w:t>Hardware requirements</w:t>
      </w:r>
    </w:p>
    <w:p>
      <w:pPr>
        <w:pStyle w:val="Para 17"/>
      </w:pPr>
      <w:r>
        <w:t/>
      </w:r>
    </w:p>
    <w:p>
      <w:pPr>
        <w:pStyle w:val="Normal"/>
      </w:pPr>
      <w:r>
        <w:t>Any PIV or CAC smart card with the corresponding reader should be sufficient. USB smart cards like Yubikey embed the reader, and work like regular PIV cards.</w:t>
      </w:r>
    </w:p>
    <w:p>
      <w:pPr>
        <w:pStyle w:val="Normal"/>
      </w:pPr>
      <w:r>
        <w:t>Each smart card is expected to contain an X.509 certificate and the corresponding private key to be used for authentication.</w:t>
      </w:r>
    </w:p>
    <w:p>
      <w:pPr>
        <w:pStyle w:val="Para 17"/>
      </w:pPr>
      <w:r>
        <w:t/>
      </w:r>
    </w:p>
    <w:p>
      <w:pPr>
        <w:pStyle w:val="Para 01"/>
      </w:pPr>
      <w:r>
        <w:t>Smart card PKCS#11 modules</w:t>
      </w:r>
    </w:p>
    <w:p>
      <w:pPr>
        <w:pStyle w:val="Para 17"/>
      </w:pPr>
      <w:r>
        <w:t/>
      </w:r>
    </w:p>
    <w:p>
      <w:pPr>
        <w:pStyle w:val="Normal"/>
      </w:pPr>
      <w:r>
        <w:t>While opensc-pkcs11 supports a wide number of smart cards, some of them may require spe-cific PKCS#11 modules, and you must refer to your vendor to install the proper one. From</w:t>
      </w:r>
    </w:p>
    <w:p>
      <w:pPr>
        <w:pStyle w:val="Normal"/>
      </w:pPr>
      <w:r>
        <w:t xml:space="preserve">Ubuntu 20.04 onward, all modules supported by </w:t>
      </w:r>
      <w:hyperlink w:anchor="page_176">
        <w:r>
          <w:rPr>
            <w:rStyle w:val="Text9"/>
          </w:rPr>
          <w:t>131</w:t>
        </w:r>
      </w:hyperlink>
      <w:r>
        <w:t xml:space="preserve"> </w:t>
      </w:r>
      <w:hyperlink r:id="rId1138">
        <w:r>
          <w:rPr>
            <w:rStyle w:val="Text1"/>
          </w:rPr>
          <w:t>p11-kit</w:t>
        </w:r>
      </w:hyperlink>
      <w:r>
        <w:t xml:space="preserve"> can be used.</w:t>
      </w:r>
    </w:p>
    <w:p>
      <w:pPr>
        <w:pStyle w:val="Normal"/>
      </w:pPr>
      <w:r>
        <w:t xml:space="preserve">If custom PKCS#11 modules are used, you need to ensure that p11-kit is </w:t>
      </w:r>
      <w:hyperlink r:id="rId1139">
        <w:r>
          <w:rPr>
            <w:rStyle w:val="Text1"/>
          </w:rPr>
          <w:t>properly config-</w:t>
        </w:r>
      </w:hyperlink>
    </w:p>
    <w:p>
      <w:pPr>
        <w:pStyle w:val="Para 18"/>
      </w:pPr>
      <w:hyperlink r:id="rId1139">
        <w:r>
          <w:t>ured</w:t>
        </w:r>
      </w:hyperlink>
      <w:hyperlink w:anchor="page_176">
        <w:r>
          <w:rPr>
            <w:rStyle w:val="Text10"/>
          </w:rPr>
          <w:t>132</w:t>
        </w:r>
      </w:hyperlink>
      <w:r>
        <w:rPr>
          <w:rStyle w:val="Text7"/>
        </w:rPr>
        <w:t>.</w:t>
      </w:r>
    </w:p>
    <w:p>
      <w:pPr>
        <w:pStyle w:val="Normal"/>
      </w:pPr>
      <w:r>
        <w:t>In any case, p11-kit can be used to see all the configured modules that can be used for au-thentication:</w:t>
      </w:r>
    </w:p>
    <w:p>
      <w:pPr>
        <w:pStyle w:val="Normal"/>
      </w:pPr>
      <w:r>
        <w:t>$ p11-kit list-modules</w:t>
      </w:r>
    </w:p>
    <w:p>
      <w:pPr>
        <w:pStyle w:val="Normal"/>
      </w:pPr>
      <w:r>
        <w:t>p11-kit-trust: p11-kit-trust.so</w:t>
      </w:r>
    </w:p>
    <w:p>
      <w:pPr>
        <w:pStyle w:val="Para 02"/>
      </w:pPr>
      <w:r>
        <w:t>library-description: PKCS#11 Kit Trust Module</w:t>
      </w:r>
    </w:p>
    <w:p>
      <w:pPr>
        <w:pStyle w:val="Para 02"/>
      </w:pPr>
      <w:r>
        <w:t>library-manufacturer: PKCS#11 Kit</w:t>
      </w:r>
    </w:p>
    <w:p>
      <w:pPr>
        <w:pStyle w:val="Para 02"/>
      </w:pPr>
      <w:r>
        <w:t>library-version:</w:t>
        <w:t xml:space="preserve"> </w:t>
        <w:t>0</w:t>
        <w:t>.23</w:t>
      </w:r>
    </w:p>
    <w:p>
      <w:pPr>
        <w:pStyle w:val="Para 02"/>
      </w:pPr>
      <w:r>
        <w:t>token: System Trust</w:t>
      </w:r>
    </w:p>
    <w:p>
      <w:pPr>
        <w:pStyle w:val="Para 06"/>
      </w:pPr>
      <w:r>
        <w:t>manufacturer: PKCS#11 Kit</w:t>
      </w:r>
    </w:p>
    <w:p>
      <w:pPr>
        <w:pStyle w:val="Para 06"/>
      </w:pPr>
      <w:r>
        <w:t>model: p11-kit-trust</w:t>
      </w:r>
    </w:p>
    <w:p>
      <w:pPr>
        <w:pStyle w:val="Para 06"/>
      </w:pPr>
      <w:r>
        <w:t>serial-number:</w:t>
        <w:t xml:space="preserve"> </w:t>
        <w:t>1</w:t>
      </w:r>
    </w:p>
    <w:p>
      <w:pPr>
        <w:pStyle w:val="Para 06"/>
      </w:pPr>
      <w:r>
        <w:t>hardware-version:</w:t>
        <w:t xml:space="preserve"> </w:t>
        <w:t>0</w:t>
        <w:t>.23</w:t>
      </w:r>
    </w:p>
    <w:p>
      <w:pPr>
        <w:pStyle w:val="Para 06"/>
      </w:pPr>
      <w:r>
        <w:t>flags:</w:t>
      </w:r>
    </w:p>
    <w:p>
      <w:pPr>
        <w:pStyle w:val="Para 15"/>
      </w:pPr>
      <w:r>
        <w:t>write-protected</w:t>
      </w:r>
    </w:p>
    <w:p>
      <w:pPr>
        <w:pStyle w:val="Para 15"/>
      </w:pPr>
      <w:r>
        <w:t>token-initialized</w:t>
      </w:r>
    </w:p>
    <w:p>
      <w:pPr>
        <w:pStyle w:val="Normal"/>
      </w:pPr>
      <w:r>
        <w:t>opensc-pkcs11: opensc-pkcs11.so</w:t>
      </w:r>
    </w:p>
    <w:p>
      <w:pPr>
        <w:pStyle w:val="Para 02"/>
      </w:pPr>
      <w:r>
        <w:t>library-description: OpenSC smartcard framework</w:t>
      </w:r>
    </w:p>
    <w:p>
      <w:pPr>
        <w:pStyle w:val="Para 02"/>
      </w:pPr>
      <w:r>
        <w:t>library-manufacturer: OpenSC Project</w:t>
      </w:r>
    </w:p>
    <w:p>
      <w:pPr>
        <w:pStyle w:val="Para 02"/>
      </w:pPr>
      <w:r>
        <w:t>library-version:</w:t>
        <w:t xml:space="preserve"> </w:t>
        <w:t>0</w:t>
        <w:t>.20</w:t>
      </w:r>
    </w:p>
    <w:p>
      <w:pPr>
        <w:pStyle w:val="Para 02"/>
      </w:pPr>
      <w:r>
        <w:t>token: MARCO TREVISAN</w:t>
        <w:t xml:space="preserve"> </w:t>
        <w:t>(</w:t>
        <w:t>PIN CNS0</w:t>
        <w:t>)</w:t>
      </w:r>
    </w:p>
    <w:p>
      <w:pPr>
        <w:pStyle w:val="Para 06"/>
      </w:pPr>
      <w:r>
        <w:t>manufacturer: IC: STMicroelectronics; mask:...</w:t>
      </w:r>
    </w:p>
    <w:p>
      <w:pPr>
        <w:pStyle w:val="Para 06"/>
      </w:pPr>
      <w:r>
        <w:t>model: PKCS#15 emulated</w:t>
      </w:r>
    </w:p>
    <w:p>
      <w:pPr>
        <w:pStyle w:val="Para 06"/>
      </w:pPr>
      <w:r>
        <w:t>serial-number:</w:t>
        <w:t xml:space="preserve"> </w:t>
        <w:t>6090010669298009</w:t>
      </w:r>
    </w:p>
    <w:p>
      <w:pPr>
        <w:pStyle w:val="Para 06"/>
      </w:pPr>
      <w:r>
        <w:t>flags:</w:t>
      </w:r>
    </w:p>
    <w:p>
      <w:pPr>
        <w:pStyle w:val="Para 15"/>
      </w:pPr>
      <w:r>
        <w:t>login-required</w:t>
      </w:r>
    </w:p>
    <w:p>
      <w:pPr>
        <w:pStyle w:val="Para 15"/>
      </w:pPr>
      <w:r>
        <w:t>user-pin-initialized</w:t>
      </w:r>
    </w:p>
    <w:p>
      <w:pPr>
        <w:pStyle w:val="Para 15"/>
      </w:pPr>
      <w:r>
        <w:t>token-initialized</w:t>
      </w:r>
    </w:p>
    <w:p>
      <w:pPr>
        <w:pStyle w:val="Para 15"/>
      </w:pPr>
      <w:r>
        <w:t>user-pin-locked</w:t>
      </w:r>
    </w:p>
    <w:p>
      <w:pPr>
        <w:pStyle w:val="Para 05"/>
      </w:pPr>
      <w:r>
        <w:rPr>
          <w:rStyle w:val="Text5"/>
        </w:rPr>
        <w:t>131</w:t>
      </w:r>
      <w:r>
        <w:rPr>
          <w:rStyle w:val="Text8"/>
        </w:rPr>
        <w:t xml:space="preserve"> </w:t>
      </w:r>
      <w:r>
        <w:t>https://p11-glue.github.io/p11-glue/p11-kit.html</w:t>
      </w:r>
    </w:p>
    <w:p>
      <w:pPr>
        <w:pStyle w:val="Para 05"/>
      </w:pPr>
      <w:r>
        <w:rPr>
          <w:rStyle w:val="Text5"/>
        </w:rPr>
        <w:t>132</w:t>
      </w:r>
      <w:r>
        <w:rPr>
          <w:rStyle w:val="Text8"/>
        </w:rPr>
        <w:t xml:space="preserve"> </w:t>
      </w:r>
      <w:r>
        <w:t>https://p11-glue.github.io/p11-glue/p11-kit/manual/config.html</w:t>
      </w:r>
      <w:r>
        <w:rPr>
          <w:rStyle w:val="Text8"/>
        </w:rPr>
        <w:t xml:space="preserve"> </w:t>
      </w:r>
      <w:r>
        <w:rPr>
          <w:rStyle w:val="Text11"/>
        </w:rPr>
        <w:t>X.509 smart card certificates</w:t>
      </w:r>
    </w:p>
    <w:p>
      <w:bookmarkStart w:id="245" w:name="page_1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2" name="index-177_1.png" descr="index-177_1.png"/>
            <wp:cNvGraphicFramePr>
              <a:graphicFrameLocks noChangeAspect="1"/>
            </wp:cNvGraphicFramePr>
            <a:graphic>
              <a:graphicData uri="http://schemas.openxmlformats.org/drawingml/2006/picture">
                <pic:pic>
                  <pic:nvPicPr>
                    <pic:cNvPr id="0" name="index-177_1.png" descr="index-177_1.png"/>
                    <pic:cNvPicPr/>
                  </pic:nvPicPr>
                  <pic:blipFill>
                    <a:blip r:embed="rId186"/>
                    <a:stretch>
                      <a:fillRect/>
                    </a:stretch>
                  </pic:blipFill>
                  <pic:spPr>
                    <a:xfrm>
                      <a:off x="0" y="0"/>
                      <a:ext cx="914400" cy="266700"/>
                    </a:xfrm>
                    <a:prstGeom prst="rect">
                      <a:avLst/>
                    </a:prstGeom>
                  </pic:spPr>
                </pic:pic>
              </a:graphicData>
            </a:graphic>
          </wp:anchor>
        </w:drawing>
      </w:r>
      <w:bookmarkEnd w:id="245"/>
    </w:p>
    <w:p>
      <w:pPr>
        <w:pStyle w:val="Para 17"/>
      </w:pPr>
      <w:r>
        <w:t/>
      </w:r>
    </w:p>
    <w:p>
      <w:pPr>
        <w:pStyle w:val="Normal"/>
      </w:pPr>
      <w:r>
        <w:t>The authentication is based on X.509 certificate validation and a smart card can provide one or more certificates that can be used for this purpose.</w:t>
      </w:r>
    </w:p>
    <w:p>
      <w:pPr>
        <w:pStyle w:val="Normal"/>
      </w:pPr>
      <w:r>
        <w:t>Before continuing, you may need to export or reference the certificate ID that must be used and associated to each user; such operations can be performed in one of the following three ways:</w:t>
      </w:r>
    </w:p>
    <w:p>
      <w:pPr>
        <w:pStyle w:val="Para 17"/>
      </w:pPr>
      <w:r>
        <w:t/>
      </w:r>
    </w:p>
    <w:p>
      <w:pPr>
        <w:pStyle w:val="Para 01"/>
      </w:pPr>
      <w:r>
        <w:t>Using p11tool</w:t>
      </w:r>
    </w:p>
    <w:p>
      <w:pPr>
        <w:pStyle w:val="Para 17"/>
      </w:pPr>
      <w:r>
        <w:t/>
      </w:r>
    </w:p>
    <w:p>
      <w:pPr>
        <w:pStyle w:val="Normal"/>
      </w:pPr>
      <w:r>
        <w:t>This is a more generic implementation that just uses the PKCS#11 protocol so it should work with all modules:</w:t>
      </w:r>
    </w:p>
    <w:p>
      <w:pPr>
        <w:pStyle w:val="Normal"/>
      </w:pPr>
      <w:r>
        <w:t>sudo apt install gnutls-bin</w:t>
      </w:r>
    </w:p>
    <w:p>
      <w:pPr>
        <w:pStyle w:val="Normal"/>
      </w:pPr>
      <w:r>
        <w:t>p11tool --list-tokens</w:t>
      </w:r>
    </w:p>
    <w:p>
      <w:pPr>
        <w:pStyle w:val="Para 17"/>
      </w:pPr>
      <w:r>
        <w:t/>
      </w:r>
    </w:p>
    <w:p>
      <w:pPr>
        <w:pStyle w:val="Normal"/>
      </w:pPr>
      <w:r>
        <w:t>Alternatively, URLs can be listed via:</w:t>
      </w:r>
    </w:p>
    <w:p>
      <w:pPr>
        <w:pStyle w:val="Normal"/>
      </w:pPr>
      <w:r>
        <w:t>p11tool --list-token-urls</w:t>
      </w:r>
    </w:p>
    <w:p>
      <w:pPr>
        <w:pStyle w:val="Para 17"/>
      </w:pPr>
      <w:r>
        <w:t/>
      </w:r>
    </w:p>
    <w:p>
      <w:pPr>
        <w:pStyle w:val="Normal"/>
      </w:pPr>
      <w:r>
        <w:t>For example:</w:t>
      </w:r>
    </w:p>
    <w:p>
      <w:pPr>
        <w:pStyle w:val="Normal"/>
      </w:pPr>
      <w:r>
        <w:t>Token 1:</w:t>
      </w:r>
    </w:p>
    <w:p>
      <w:pPr>
        <w:pStyle w:val="Para 06"/>
      </w:pPr>
      <w:r>
        <w:t>URL: pkcs11:model=PKCS%2315%20emulated;manufacturer=IC%3A%20Infineon%3B%20mask%3A</w:t>
      </w:r>
    </w:p>
    <w:p>
      <w:pPr>
        <w:pStyle w:val="Normal"/>
      </w:pPr>
      <w:r>
        <w:t>%20IDEMIA%20%28O...;serial=6090033068507002;token=MARCO%20TREVISAN%20%28PIN%20CNS1%29</w:t>
      </w:r>
    </w:p>
    <w:p>
      <w:pPr>
        <w:pStyle w:val="Para 06"/>
      </w:pPr>
      <w:r>
        <w:t>Label: MARCO TREVISAN (PIN CNS1)</w:t>
      </w:r>
    </w:p>
    <w:p>
      <w:pPr>
        <w:pStyle w:val="Para 06"/>
      </w:pPr>
      <w:r>
        <w:t>Type: Hardware token</w:t>
      </w:r>
    </w:p>
    <w:p>
      <w:pPr>
        <w:pStyle w:val="Para 06"/>
      </w:pPr>
      <w:r>
        <w:t>Flags: Requires login</w:t>
      </w:r>
    </w:p>
    <w:p>
      <w:pPr>
        <w:pStyle w:val="Para 06"/>
      </w:pPr>
      <w:r>
        <w:t>Manufacturer: IC: Infineon; mask: IDEMIA (O...</w:t>
      </w:r>
    </w:p>
    <w:p>
      <w:pPr>
        <w:pStyle w:val="Para 06"/>
      </w:pPr>
      <w:r>
        <w:t>Model: PKCS#15 emulated</w:t>
      </w:r>
    </w:p>
    <w:p>
      <w:pPr>
        <w:pStyle w:val="Para 06"/>
      </w:pPr>
      <w:r>
        <w:t>Serial: 6090033068507002</w:t>
      </w:r>
    </w:p>
    <w:p>
      <w:pPr>
        <w:pStyle w:val="Para 06"/>
      </w:pPr>
      <w:r>
        <w:t>Module: opensc-pkcs11.so</w:t>
      </w:r>
    </w:p>
    <w:p>
      <w:pPr>
        <w:pStyle w:val="Para 17"/>
      </w:pPr>
      <w:r>
        <w:t/>
      </w:r>
    </w:p>
    <w:p>
      <w:pPr>
        <w:pStyle w:val="Normal"/>
      </w:pPr>
      <w:r>
        <w:t>The command above will show all the available smart cards in the system and their associated PKCS#11 URI. Copy the URI token of the selected card in the following command, which prints all certificates that can be used for authentication and their associated token URIs.</w:t>
      </w:r>
    </w:p>
    <w:p>
      <w:pPr>
        <w:pStyle w:val="Normal"/>
      </w:pPr>
      <w:r>
        <w:t>p11tool --list-all-certs</w:t>
        <w:t xml:space="preserve"> </w:t>
        <w:t>'pkcs11:token=[TOKEN-ID]'</w:t>
      </w:r>
    </w:p>
    <w:p>
      <w:pPr>
        <w:pStyle w:val="Para 17"/>
      </w:pPr>
      <w:r>
        <w:t/>
      </w:r>
    </w:p>
    <w:p>
      <w:pPr>
        <w:pStyle w:val="Normal"/>
      </w:pPr>
      <w:r>
        <w:t>So in the above example:</w:t>
      </w:r>
    </w:p>
    <w:p>
      <w:pPr>
        <w:pStyle w:val="Normal"/>
      </w:pPr>
      <w:r>
        <w:t>$ p11tool --list-all-certs 'pkcs11:token=MARCO%20TREVISAN%20%28PIN%20CNS1%29'</w:t>
        <w:t xml:space="preserve"> </w:t>
        <w:t>Object 0:</w:t>
      </w:r>
    </w:p>
    <w:p>
      <w:pPr>
        <w:pStyle w:val="Para 06"/>
      </w:pPr>
      <w:r>
        <w:t>URL: pkcs11:model=PKCS%2315%20emulated;manufacturer=IC%3A%20Infineon%3B%20mask%3A</w:t>
      </w:r>
    </w:p>
    <w:p>
      <w:pPr>
        <w:pStyle w:val="Normal"/>
      </w:pPr>
      <w:r>
        <w:t>%20IDEMIA%20%28O...;serial=6090033068507002;token=MARCO%20TREVISAN%20%28PIN%20CNS1%29;id=</w:t>
        <w:t xml:space="preserve"> </w:t>
        <w:t>%02;object=CNS1;type=cert</w:t>
      </w:r>
    </w:p>
    <w:p>
      <w:pPr>
        <w:pStyle w:val="Para 06"/>
      </w:pPr>
      <w:r>
        <w:t>Type: X.509 Certificate (RSA-2048)</w:t>
      </w:r>
    </w:p>
    <w:p>
      <w:pPr>
        <w:pStyle w:val="Para 06"/>
      </w:pPr>
      <w:r>
        <w:t>Expires: ven 17 dic 2027, 00:00:00</w:t>
      </w:r>
    </w:p>
    <w:p>
      <w:pPr>
        <w:pStyle w:val="Para 06"/>
      </w:pPr>
      <w:r>
        <w:t>Label: CNS1</w:t>
      </w:r>
    </w:p>
    <w:p>
      <w:pPr>
        <w:pStyle w:val="Para 06"/>
      </w:pPr>
      <w:r>
        <w:t>ID: 02</w:t>
      </w:r>
    </w:p>
    <w:p>
      <w:pPr>
        <w:pStyle w:val="Para 17"/>
      </w:pPr>
      <w:r>
        <w:t/>
      </w:r>
    </w:p>
    <w:p>
      <w:pPr>
        <w:pStyle w:val="Normal"/>
      </w:pPr>
      <w:r>
        <w:t xml:space="preserve">Now, once the URI of the certificate that will be used for authentication is known, let’s extract the </w:t>
      </w:r>
      <w:r>
        <w:rPr>
          <w:rStyle w:val="Text0"/>
        </w:rPr>
        <w:t>Common Name</w:t>
      </w:r>
      <w:r>
        <w:t xml:space="preserve"> from the certificate. In the example we are assuming that our certificate URI is pkcs11:id=%02;type=cert.</w:t>
      </w:r>
    </w:p>
    <w:p>
      <w:bookmarkStart w:id="246" w:name="page_1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3" name="index-178_1.png" descr="index-178_1.png"/>
            <wp:cNvGraphicFramePr>
              <a:graphicFrameLocks noChangeAspect="1"/>
            </wp:cNvGraphicFramePr>
            <a:graphic>
              <a:graphicData uri="http://schemas.openxmlformats.org/drawingml/2006/picture">
                <pic:pic>
                  <pic:nvPicPr>
                    <pic:cNvPr id="0" name="index-178_1.png" descr="index-178_1.png"/>
                    <pic:cNvPicPr/>
                  </pic:nvPicPr>
                  <pic:blipFill>
                    <a:blip r:embed="rId187"/>
                    <a:stretch>
                      <a:fillRect/>
                    </a:stretch>
                  </pic:blipFill>
                  <pic:spPr>
                    <a:xfrm>
                      <a:off x="0" y="0"/>
                      <a:ext cx="914400" cy="266700"/>
                    </a:xfrm>
                    <a:prstGeom prst="rect">
                      <a:avLst/>
                    </a:prstGeom>
                  </pic:spPr>
                </pic:pic>
              </a:graphicData>
            </a:graphic>
          </wp:anchor>
        </w:drawing>
      </w:r>
      <w:bookmarkEnd w:id="246"/>
    </w:p>
    <w:p>
      <w:pPr>
        <w:pStyle w:val="Normal"/>
      </w:pPr>
      <w:r>
        <w:t>It can be exported as text Privacy Enhanced Mail (PEM) format using:</w:t>
      </w:r>
    </w:p>
    <w:p>
      <w:pPr>
        <w:pStyle w:val="Normal"/>
      </w:pPr>
      <w:r>
        <w:t>$ p11tool --export</w:t>
        <w:t xml:space="preserve"> </w:t>
        <w:t>'pkcs11:id=%02;type=cert'</w:t>
      </w:r>
    </w:p>
    <w:p>
      <w:pPr>
        <w:pStyle w:val="Para 17"/>
      </w:pPr>
      <w:r>
        <w:t/>
      </w:r>
    </w:p>
    <w:p>
      <w:pPr>
        <w:pStyle w:val="Para 01"/>
      </w:pPr>
      <w:r>
        <w:t>Using opensc</w:t>
      </w:r>
    </w:p>
    <w:p>
      <w:pPr>
        <w:pStyle w:val="Para 17"/>
      </w:pPr>
      <w:r>
        <w:t/>
      </w:r>
    </w:p>
    <w:p>
      <w:pPr>
        <w:pStyle w:val="Normal"/>
      </w:pPr>
      <w:r>
        <w:t>$ sudo apt install opensc</w:t>
      </w:r>
    </w:p>
    <w:p>
      <w:pPr>
        <w:pStyle w:val="Para 17"/>
      </w:pPr>
      <w:r>
        <w:t/>
      </w:r>
    </w:p>
    <w:p>
      <w:pPr>
        <w:pStyle w:val="Normal"/>
      </w:pPr>
      <w:r>
        <w:t>Certificates can be via:</w:t>
      </w:r>
    </w:p>
    <w:p>
      <w:pPr>
        <w:pStyle w:val="Normal"/>
      </w:pPr>
      <w:r>
        <w:t>$ pkcs15-tool --list-certificates</w:t>
      </w:r>
    </w:p>
    <w:p>
      <w:pPr>
        <w:pStyle w:val="Para 17"/>
      </w:pPr>
      <w:r>
        <w:t/>
      </w:r>
    </w:p>
    <w:p>
      <w:pPr>
        <w:pStyle w:val="Normal"/>
      </w:pPr>
      <w:r>
        <w:t>And exported using</w:t>
      </w:r>
    </w:p>
    <w:p>
      <w:pPr>
        <w:pStyle w:val="Normal"/>
      </w:pPr>
      <w:r>
        <w:t>$ pkcs15-tool --read-certificate</w:t>
        <w:t xml:space="preserve"> </w:t>
        <w:t>[</w:t>
        <w:t>CERTIFICATE_ID</w:t>
        <w:t>]</w:t>
      </w:r>
    </w:p>
    <w:p>
      <w:pPr>
        <w:pStyle w:val="Para 17"/>
      </w:pPr>
      <w:r>
        <w:t/>
      </w:r>
    </w:p>
    <w:p>
      <w:pPr>
        <w:pStyle w:val="Normal"/>
      </w:pPr>
      <w:r>
        <w:t>So, for example:</w:t>
      </w:r>
    </w:p>
    <w:p>
      <w:pPr>
        <w:pStyle w:val="Normal"/>
      </w:pPr>
      <w:r>
        <w:t>$ pkcs15-tool --list-certificates</w:t>
      </w:r>
    </w:p>
    <w:p>
      <w:pPr>
        <w:pStyle w:val="Normal"/>
      </w:pPr>
      <w:r>
        <w:t>Using reader with a card: Alcor Micro AU9560</w:t>
        <w:t xml:space="preserve"> </w:t>
        <w:t>00 00</w:t>
        <w:t xml:space="preserve"> </w:t>
        <w:t>X.509 Certificate</w:t>
        <w:t xml:space="preserve"> </w:t>
        <w:t>[</w:t>
        <w:t>CNS1</w:t>
        <w:t>]</w:t>
      </w:r>
    </w:p>
    <w:p>
      <w:pPr>
        <w:pStyle w:val="Para 06"/>
      </w:pPr>
      <w:r>
        <w:t>Object Flags</w:t>
        <w:t xml:space="preserve"> </w:t>
        <w:t>:</w:t>
        <w:t xml:space="preserve"> </w:t>
        <w:t>[</w:t>
        <w:t>0x00</w:t>
        <w:t>]</w:t>
      </w:r>
    </w:p>
    <w:p>
      <w:pPr>
        <w:pStyle w:val="Para 06"/>
      </w:pPr>
      <w:r>
        <w:t>Authority</w:t>
        <w:t xml:space="preserve"> </w:t>
        <w:t>: no</w:t>
      </w:r>
    </w:p>
    <w:p>
      <w:pPr>
        <w:pStyle w:val="Para 06"/>
      </w:pPr>
      <w:r>
        <w:t>Path</w:t>
        <w:t xml:space="preserve"> </w:t>
        <w:t>: 3f00140090012002</w:t>
        <w:t xml:space="preserve"> </w:t>
        <w:t>ID</w:t>
        <w:t xml:space="preserve"> </w:t>
        <w:t>:</w:t>
        <w:t xml:space="preserve"> </w:t>
        <w:t>02</w:t>
      </w:r>
    </w:p>
    <w:p>
      <w:pPr>
        <w:pStyle w:val="Para 06"/>
      </w:pPr>
      <w:r>
        <w:t>Encoded serial :</w:t>
        <w:t xml:space="preserve"> </w:t>
        <w:t>02 10</w:t>
        <w:t xml:space="preserve"> </w:t>
        <w:t>0357B1EC0EB725BA67BD2D838DDF93D5</w:t>
      </w:r>
    </w:p>
    <w:p>
      <w:pPr>
        <w:pStyle w:val="Normal"/>
      </w:pPr>
      <w:r>
        <w:t>$ pkcs15-tool --read-certificate</w:t>
        <w:t xml:space="preserve"> </w:t>
        <w:t>2</w:t>
      </w:r>
    </w:p>
    <w:p>
      <w:pPr>
        <w:pStyle w:val="Normal"/>
      </w:pPr>
      <w:r>
        <w:t>Using reader with a card: Alcor Micro AU9560</w:t>
        <w:t xml:space="preserve"> </w:t>
        <w:t>00 00</w:t>
        <w:t>-----BEGIN CERTIFICATE-----</w:t>
      </w:r>
    </w:p>
    <w:p>
      <w:pPr>
        <w:pStyle w:val="Normal"/>
      </w:pPr>
      <w:r>
        <w:t>MIIHXDCCBUSgAwIBAgIQA1ex7A6.....</w:t>
      </w:r>
    </w:p>
    <w:p>
      <w:pPr>
        <w:pStyle w:val="Para 17"/>
      </w:pPr>
      <w:r>
        <w:t/>
      </w:r>
    </w:p>
    <w:p>
      <w:pPr>
        <w:pStyle w:val="Para 01"/>
      </w:pPr>
      <w:r>
        <w:t>Troubleshooting</w:t>
      </w:r>
    </w:p>
    <w:p>
      <w:pPr>
        <w:pStyle w:val="Para 17"/>
      </w:pPr>
      <w:r>
        <w:t/>
      </w:r>
    </w:p>
    <w:p>
      <w:pPr>
        <w:pStyle w:val="Normal"/>
      </w:pPr>
      <w:r>
        <w:t>The card certificate verification can be simulated using openssl:</w:t>
      </w:r>
    </w:p>
    <w:p>
      <w:pPr>
        <w:pStyle w:val="Normal"/>
      </w:pPr>
      <w:r>
        <w:t>$ sudo apt install openssl</w:t>
      </w:r>
    </w:p>
    <w:p>
      <w:pPr>
        <w:pStyle w:val="Normal"/>
      </w:pPr>
      <w:r>
        <w:rPr>
          <w:rStyle w:val="Text3"/>
        </w:rPr>
        <w:t># Save the certificate, using one of the method stated above</w:t>
      </w:r>
      <w:r>
        <w:t xml:space="preserve"> </w:t>
        <w:t>$ pkcs15-tool --read-certificate</w:t>
        <w:t xml:space="preserve"> </w:t>
        <w:t>2</w:t>
        <w:t xml:space="preserve"> </w:t>
        <w:t>&gt; card-cert.pem</w:t>
        <w:t xml:space="preserve"> </w:t>
        <w:t>$ p11tool --export</w:t>
        <w:t xml:space="preserve"> </w:t>
        <w:t>'pkcs11:id=%02;type=cert'</w:t>
        <w:t xml:space="preserve"> </w:t>
        <w:t>&gt; card-cert.pem</w:t>
      </w:r>
    </w:p>
    <w:p>
      <w:pPr>
        <w:pStyle w:val="Para 10"/>
      </w:pPr>
      <w:r>
        <w:t># See the certificate contents with</w:t>
      </w:r>
    </w:p>
    <w:p>
      <w:pPr>
        <w:pStyle w:val="Normal"/>
      </w:pPr>
      <w:r>
        <w:t>$ openssl x509 -text -noout -in card-cert.pem</w:t>
      </w:r>
    </w:p>
    <w:p>
      <w:pPr>
        <w:pStyle w:val="Para 10"/>
      </w:pPr>
      <w:r>
        <w:t># Verify it is valid for the given CA, where 'Ca-Auth-CERT.pem'</w:t>
      </w:r>
      <w:r>
        <w:rPr>
          <w:rStyle w:val="Text3"/>
        </w:rPr>
        <w:t xml:space="preserve"> </w:t>
      </w:r>
      <w:r>
        <w:t># contains all the certificates chain</w:t>
      </w:r>
    </w:p>
    <w:p>
      <w:pPr>
        <w:pStyle w:val="Normal"/>
      </w:pPr>
      <w:r>
        <w:t>$ openssl verify -verbose -CAfile CA-Auth-CERT.pem card-cert.pem</w:t>
      </w:r>
    </w:p>
    <w:p>
      <w:pPr>
        <w:pStyle w:val="Normal"/>
      </w:pPr>
      <w:r>
        <w:rPr>
          <w:rStyle w:val="Text3"/>
        </w:rPr>
        <w:t># If only the parent CA Certificate is available, can use -partial_chain:</w:t>
      </w:r>
      <w:r>
        <w:t xml:space="preserve"> </w:t>
        <w:t>$ openssl verify -verbose -partial_chain -CAfile intermediate_CA_cert.pem</w:t>
        <w:t xml:space="preserve"> </w:t>
      </w:r>
      <w:r>
        <w:rPr>
          <w:rStyle w:val="Text0"/>
        </w:rPr>
        <w:t>PAM configuration</w:t>
      </w:r>
    </w:p>
    <w:p>
      <w:bookmarkStart w:id="247" w:name="page_1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4"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188"/>
                    <a:stretch>
                      <a:fillRect/>
                    </a:stretch>
                  </pic:blipFill>
                  <pic:spPr>
                    <a:xfrm>
                      <a:off x="0" y="0"/>
                      <a:ext cx="914400" cy="266700"/>
                    </a:xfrm>
                    <a:prstGeom prst="rect">
                      <a:avLst/>
                    </a:prstGeom>
                  </pic:spPr>
                </pic:pic>
              </a:graphicData>
            </a:graphic>
          </wp:anchor>
        </w:drawing>
      </w:r>
      <w:bookmarkEnd w:id="247"/>
    </w:p>
    <w:p>
      <w:pPr>
        <w:pStyle w:val="Para 17"/>
      </w:pPr>
      <w:r>
        <w:t/>
      </w:r>
    </w:p>
    <w:p>
      <w:pPr>
        <w:pStyle w:val="Normal"/>
      </w:pPr>
      <w:r>
        <w:t>To enable smart card authentication we should rely on a module that allows PAM supported systems to use X.509 certificates to authenticate logins. The module relies on a PKCS#11 library, such as opensc-pkcs11 to access the smart card for the credentials it will need.</w:t>
      </w:r>
    </w:p>
    <w:p>
      <w:pPr>
        <w:pStyle w:val="Normal"/>
      </w:pPr>
      <w:r>
        <w:t>When a PAM smart card module is enabled, the login process is as follows:</w:t>
      </w:r>
    </w:p>
    <w:p>
      <w:pPr>
        <w:pStyle w:val="Para 03"/>
      </w:pPr>
      <w:r>
        <w:t>1. Enter login</w:t>
      </w:r>
    </w:p>
    <w:p>
      <w:pPr>
        <w:pStyle w:val="Para 03"/>
      </w:pPr>
      <w:r>
        <w:t>2. Enter PIN</w:t>
      </w:r>
    </w:p>
    <w:p>
      <w:pPr>
        <w:pStyle w:val="Para 03"/>
      </w:pPr>
      <w:r>
        <w:t>3. Validate the X.509 certificate</w:t>
      </w:r>
    </w:p>
    <w:p>
      <w:pPr>
        <w:pStyle w:val="Para 03"/>
      </w:pPr>
      <w:r>
        <w:t>4. Map the certificate to a user</w:t>
      </w:r>
    </w:p>
    <w:p>
      <w:pPr>
        <w:pStyle w:val="Para 03"/>
      </w:pPr>
      <w:r>
        <w:t>5. Verify the login and match</w:t>
      </w:r>
    </w:p>
    <w:p>
      <w:pPr>
        <w:pStyle w:val="Normal"/>
      </w:pPr>
      <w:r>
        <w:t>To enable that process we have to configure the PAM module, add the relevant certificate authorities, add the PAM module to PAM configuration and set the mapping of certificate names to logins.</w:t>
      </w:r>
    </w:p>
    <w:p>
      <w:pPr>
        <w:pStyle w:val="Para 17"/>
      </w:pPr>
      <w:r>
        <w:t/>
      </w:r>
    </w:p>
    <w:p>
      <w:pPr>
        <w:pStyle w:val="Para 01"/>
      </w:pPr>
      <w:r>
        <w:t>Setup guide</w:t>
      </w:r>
    </w:p>
    <w:p>
      <w:pPr>
        <w:pStyle w:val="Para 17"/>
      </w:pPr>
      <w:r>
        <w:t/>
      </w:r>
    </w:p>
    <w:p>
      <w:pPr>
        <w:pStyle w:val="Normal"/>
      </w:pPr>
      <w:r>
        <w:t>This configuration uses SSSD as authentication mechanism, and the example shown here is showing a possible usage for local users, but more complex setups using external remote</w:t>
      </w:r>
    </w:p>
    <w:p>
      <w:pPr>
        <w:pStyle w:val="Normal"/>
      </w:pPr>
      <w:r>
        <w:t xml:space="preserve">identity managers such as </w:t>
      </w:r>
      <w:hyperlink w:anchor="page_683">
        <w:r>
          <w:rPr>
            <w:rStyle w:val="Text2"/>
          </w:rPr>
          <w:t>FreeIPA</w:t>
        </w:r>
      </w:hyperlink>
      <w:r>
        <w:t>, LDAP, Kerberos or others can be used.</w:t>
      </w:r>
    </w:p>
    <w:p>
      <w:pPr>
        <w:pStyle w:val="Normal"/>
      </w:pPr>
      <w:r>
        <w:t xml:space="preserve">Refer to </w:t>
      </w:r>
      <w:hyperlink w:anchor="page_179">
        <w:r>
          <w:rPr>
            <w:rStyle w:val="Text9"/>
          </w:rPr>
          <w:t>133</w:t>
        </w:r>
      </w:hyperlink>
      <w:r>
        <w:t xml:space="preserve"> </w:t>
      </w:r>
      <w:hyperlink r:id="rId1140">
        <w:r>
          <w:rPr>
            <w:rStyle w:val="Text1"/>
          </w:rPr>
          <w:t>SSSD documentation</w:t>
        </w:r>
      </w:hyperlink>
      <w:r>
        <w:t xml:space="preserve"> to learn more about this.</w:t>
      </w:r>
    </w:p>
    <w:p>
      <w:pPr>
        <w:pStyle w:val="Para 17"/>
      </w:pPr>
      <w:r>
        <w:t/>
      </w:r>
    </w:p>
    <w:p>
      <w:pPr>
        <w:pStyle w:val="Para 01"/>
      </w:pPr>
      <w:r>
        <w:t>Enable SSSD PAM service</w:t>
      </w:r>
    </w:p>
    <w:p>
      <w:pPr>
        <w:pStyle w:val="Para 17"/>
      </w:pPr>
      <w:r>
        <w:t/>
      </w:r>
    </w:p>
    <w:p>
      <w:pPr>
        <w:pStyle w:val="Normal"/>
      </w:pPr>
      <w:r>
        <w:t>Pam service must be enabled in SSSD configuration, it can be done by ensuring that /etc/ sssd/sssd.conf contains:</w:t>
      </w:r>
    </w:p>
    <w:p>
      <w:pPr>
        <w:pStyle w:val="Para 01"/>
      </w:pPr>
      <w:r>
        <w:t>[sssd]</w:t>
      </w:r>
    </w:p>
    <w:p>
      <w:pPr>
        <w:pStyle w:val="Normal"/>
      </w:pPr>
      <w:r>
        <w:t>services</w:t>
        <w:t xml:space="preserve"> </w:t>
        <w:t>=</w:t>
        <w:t xml:space="preserve"> </w:t>
        <w:t>pam</w:t>
      </w:r>
    </w:p>
    <w:p>
      <w:pPr>
        <w:pStyle w:val="Para 01"/>
      </w:pPr>
      <w:r>
        <w:t>[pam]</w:t>
      </w:r>
    </w:p>
    <w:p>
      <w:pPr>
        <w:pStyle w:val="Normal"/>
      </w:pPr>
      <w:r>
        <w:t>pam_cert_auth</w:t>
        <w:t xml:space="preserve"> </w:t>
        <w:t>=</w:t>
        <w:t xml:space="preserve"> </w:t>
        <w:t>True</w:t>
      </w:r>
    </w:p>
    <w:p>
      <w:pPr>
        <w:pStyle w:val="Para 17"/>
      </w:pPr>
      <w:r>
        <w:t/>
      </w:r>
    </w:p>
    <w:p>
      <w:pPr>
        <w:pStyle w:val="Normal"/>
      </w:pPr>
      <w:r>
        <w:t xml:space="preserve">Further </w:t>
      </w:r>
      <w:hyperlink r:id="rId1141">
        <w:r>
          <w:rPr>
            <w:rStyle w:val="Text9"/>
          </w:rPr>
          <w:t>134</w:t>
        </w:r>
      </w:hyperlink>
      <w:r>
        <w:t xml:space="preserve"> [pam] configuration options can be changed according to the </w:t>
      </w:r>
      <w:hyperlink r:id="rId1141">
        <w:r>
          <w:rPr>
            <w:rStyle w:val="Text2"/>
          </w:rPr>
          <w:t>sssd.conf(5)</w:t>
        </w:r>
      </w:hyperlink>
      <w:r>
        <w:t xml:space="preserve"> manual page.</w:t>
      </w:r>
    </w:p>
    <w:p>
      <w:pPr>
        <w:pStyle w:val="Para 05"/>
      </w:pPr>
      <w:r>
        <w:rPr>
          <w:rStyle w:val="Text5"/>
        </w:rPr>
        <w:t>133</w:t>
      </w:r>
      <w:r>
        <w:rPr>
          <w:rStyle w:val="Text8"/>
        </w:rPr>
        <w:t xml:space="preserve"> </w:t>
      </w:r>
      <w:r>
        <w:t>https://sssd.io/docs/introduction.html</w:t>
      </w:r>
    </w:p>
    <w:p>
      <w:pPr>
        <w:pStyle w:val="Para 05"/>
      </w:pPr>
      <w:r>
        <w:rPr>
          <w:rStyle w:val="Text5"/>
        </w:rPr>
        <w:t>134</w:t>
      </w:r>
      <w:r>
        <w:rPr>
          <w:rStyle w:val="Text8"/>
        </w:rPr>
        <w:t xml:space="preserve"> </w:t>
      </w:r>
      <w:r>
        <w:t>https://manpages.ubuntu.com/manpages/resolute/man5/sssd.conf.5.html</w:t>
      </w:r>
    </w:p>
    <w:p>
      <w:bookmarkStart w:id="248" w:name="calibre_pb_34"/>
      <w:pPr>
        <w:pStyle w:val="0 Block"/>
      </w:pPr>
      <w:bookmarkEnd w:id="248"/>
    </w:p>
    <w:p>
      <w:bookmarkStart w:id="249" w:name="Top_of_index_split_035_html"/>
      <w:bookmarkStart w:id="250" w:name="page_18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5"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189"/>
                    <a:stretch>
                      <a:fillRect/>
                    </a:stretch>
                  </pic:blipFill>
                  <pic:spPr>
                    <a:xfrm>
                      <a:off x="0" y="0"/>
                      <a:ext cx="914400" cy="266700"/>
                    </a:xfrm>
                    <a:prstGeom prst="rect">
                      <a:avLst/>
                    </a:prstGeom>
                  </pic:spPr>
                </pic:pic>
              </a:graphicData>
            </a:graphic>
          </wp:anchor>
        </w:drawing>
      </w:r>
      <w:bookmarkEnd w:id="249"/>
      <w:bookmarkEnd w:id="250"/>
    </w:p>
    <w:p>
      <w:pPr>
        <w:pStyle w:val="Para 01"/>
      </w:pPr>
      <w:r>
        <w:t>Configure SSSD Certificate Authorities database</w:t>
      </w:r>
    </w:p>
    <w:p>
      <w:pPr>
        <w:pStyle w:val="Para 17"/>
      </w:pPr>
      <w:r>
        <w:t/>
      </w:r>
    </w:p>
    <w:p>
      <w:pPr>
        <w:pStyle w:val="Normal"/>
      </w:pPr>
      <w:r>
        <w:t>The card certificate must be allowed by a Certificate Authority, these should be part of /etc/ sssd/pki/sssd_auth_ca_db.pem (or any other location configured in [pam] config section of sssd.conf as pam_cert_db_path).</w:t>
      </w:r>
    </w:p>
    <w:p>
      <w:pPr>
        <w:pStyle w:val="Normal"/>
      </w:pPr>
      <w:r>
        <w:t>As per SSSD using openssl, we need to add the whole certificates chain to the SSSD CA cer-tificates path (if not changed via sssd.certificate_verification ), so adding the certificates to the pam_cert_db_path is enough:</w:t>
      </w:r>
    </w:p>
    <w:p>
      <w:pPr>
        <w:pStyle w:val="Normal"/>
      </w:pPr>
      <w:r>
        <w:t>sudo cat Ca-Auth-CERT*.pem &gt;&gt; /etc/sssd/pki/sssd_auth_ca_db.pem</w:t>
      </w:r>
    </w:p>
    <w:p>
      <w:pPr>
        <w:pStyle w:val="Para 17"/>
      </w:pPr>
      <w:r>
        <w:t/>
      </w:r>
    </w:p>
    <w:p>
      <w:pPr>
        <w:pStyle w:val="Normal"/>
      </w:pPr>
      <w:r>
        <w:t>Certification Revocation List can be also defined in sssd.conf, providing a CRL file path in PEM format</w:t>
      </w:r>
    </w:p>
    <w:p>
      <w:pPr>
        <w:pStyle w:val="Para 01"/>
      </w:pPr>
      <w:r>
        <w:t>[sssd]</w:t>
      </w:r>
    </w:p>
    <w:p>
      <w:pPr>
        <w:pStyle w:val="Normal"/>
      </w:pPr>
      <w:r>
        <w:t>crl_file</w:t>
        <w:t xml:space="preserve"> </w:t>
        <w:t>=</w:t>
        <w:t xml:space="preserve"> </w:t>
        <w:t>/etc/sssd/pki/sssd_auth_crl.pem</w:t>
        <w:t xml:space="preserve"> </w:t>
        <w:t>soft_crl</w:t>
        <w:t xml:space="preserve"> </w:t>
        <w:t>=</w:t>
        <w:t xml:space="preserve"> </w:t>
        <w:t>/etc/sssd/pki/sssd_auth_soft_crl.pem</w:t>
      </w:r>
    </w:p>
    <w:p>
      <w:pPr>
        <w:pStyle w:val="Para 17"/>
      </w:pPr>
      <w:r>
        <w:t/>
      </w:r>
    </w:p>
    <w:p>
      <w:pPr>
        <w:pStyle w:val="Normal"/>
      </w:pPr>
      <w:r>
        <w:t>In case that a full certificate authority chain is not available, openssl won’t verify the card certificate, and so SSSD should be instructed about.</w:t>
      </w:r>
    </w:p>
    <w:p>
      <w:pPr>
        <w:pStyle w:val="Normal"/>
      </w:pPr>
      <w:r>
        <w:t>This is not suggested, but it can be done changing /etc/sssd/sssd.conf so that it contains:</w:t>
      </w:r>
    </w:p>
    <w:p>
      <w:pPr>
        <w:pStyle w:val="Para 01"/>
      </w:pPr>
      <w:r>
        <w:t>[sssd]</w:t>
      </w:r>
    </w:p>
    <w:p>
      <w:pPr>
        <w:pStyle w:val="Normal"/>
      </w:pPr>
      <w:r>
        <w:t>certificate_verification</w:t>
        <w:t xml:space="preserve"> </w:t>
        <w:t>=</w:t>
        <w:t xml:space="preserve"> </w:t>
        <w:t>partial_chain</w:t>
      </w:r>
    </w:p>
    <w:p>
      <w:pPr>
        <w:pStyle w:val="Para 17"/>
      </w:pPr>
      <w:r>
        <w:t/>
      </w:r>
    </w:p>
    <w:p>
      <w:pPr>
        <w:pStyle w:val="Para 01"/>
      </w:pPr>
      <w:r>
        <w:t>Troubleshooting</w:t>
      </w:r>
    </w:p>
    <w:p>
      <w:pPr>
        <w:pStyle w:val="Para 17"/>
      </w:pPr>
      <w:r>
        <w:t/>
      </w:r>
    </w:p>
    <w:p>
      <w:pPr>
        <w:pStyle w:val="Normal"/>
      </w:pPr>
      <w:r>
        <w:t>Card certificate verification can be simulated using SSSD tools directly, by using the command SSSD’s p11_child:</w:t>
      </w:r>
    </w:p>
    <w:p>
      <w:pPr>
        <w:pStyle w:val="Para 10"/>
      </w:pPr>
      <w:r>
        <w:t># In ubuntu 20.04</w:t>
      </w:r>
    </w:p>
    <w:p>
      <w:pPr>
        <w:pStyle w:val="Normal"/>
      </w:pPr>
      <w:r>
        <w:t>$ sudo /usr/libexec/sssd/p11_child --pre -d</w:t>
        <w:t xml:space="preserve"> </w:t>
        <w:t>10</w:t>
        <w:t>--debug-fd</w:t>
        <w:t>=</w:t>
        <w:t>2</w:t>
        <w:t>--nssdb</w:t>
        <w:t>=</w:t>
        <w:t>/etc/sssd/pki/sssd_</w:t>
        <w:t xml:space="preserve"> </w:t>
        <w:t>auth_ca_db.pem</w:t>
      </w:r>
    </w:p>
    <w:p>
      <w:pPr>
        <w:pStyle w:val="Para 10"/>
      </w:pPr>
      <w:r>
        <w:t># In ubuntu 22.04 and later versions</w:t>
      </w:r>
    </w:p>
    <w:p>
      <w:pPr>
        <w:pStyle w:val="Normal"/>
      </w:pPr>
      <w:r>
        <w:t>$ sudo /usr/libexec/sssd/p11_child --pre -d</w:t>
        <w:t xml:space="preserve"> </w:t>
        <w:t>10</w:t>
        <w:t>--debug-fd</w:t>
        <w:t>=</w:t>
        <w:t>2</w:t>
        <w:t>--ca_db</w:t>
        <w:t>=</w:t>
        <w:t>/etc/sssd/pki/sssd_</w:t>
        <w:t xml:space="preserve"> </w:t>
        <w:t>auth_ca_db.pem</w:t>
      </w:r>
    </w:p>
    <w:p>
      <w:pPr>
        <w:pStyle w:val="Para 17"/>
      </w:pPr>
      <w:r>
        <w:t/>
      </w:r>
    </w:p>
    <w:p>
      <w:pPr>
        <w:pStyle w:val="Normal"/>
      </w:pPr>
      <w:r>
        <w:t>If certificate verification succeeds, the tool should output the card certificate name, its ID and the certificate itself in base64 format (other than debug data):</w:t>
      </w:r>
    </w:p>
    <w:p>
      <w:pPr>
        <w:pStyle w:val="Normal"/>
      </w:pPr>
      <w:r>
        <w:t>(Mon Sep 11 16:33:32:129558 2023) [p11_child[1965]] [do_card] (0x4000): Found certificate</w:t>
        <w:t xml:space="preserve"> </w:t>
        <w:t>has key id [02].</w:t>
      </w:r>
    </w:p>
    <w:p>
      <w:pPr>
        <w:pStyle w:val="Normal"/>
      </w:pPr>
      <w:r>
        <w:t>MARCO TREVISAN (PIN CNS1)</w:t>
      </w:r>
    </w:p>
    <w:p>
      <w:pPr>
        <w:pStyle w:val="Normal"/>
      </w:pPr>
      <w:r>
        <w:t>/usr/lib/x86_64-linux-gnu/pkcs11/opensc-pkcs11.so</w:t>
      </w:r>
    </w:p>
    <w:p>
      <w:pPr>
        <w:pStyle w:val="Normal"/>
      </w:pPr>
      <w:r>
        <w:t>02</w:t>
      </w:r>
    </w:p>
    <w:p>
      <w:pPr>
        <w:pStyle w:val="Normal"/>
      </w:pPr>
      <w:r>
        <w:t>CNS1</w:t>
      </w:r>
    </w:p>
    <w:p>
      <w:pPr>
        <w:pStyle w:val="Normal"/>
      </w:pPr>
      <w:r>
        <w:t>MIIHXDCCBUSgAwIBAgIQA1ex7....</w:t>
      </w:r>
    </w:p>
    <w:p>
      <w:pPr>
        <w:pStyle w:val="Para 17"/>
      </w:pPr>
      <w:r>
        <w:t/>
      </w:r>
    </w:p>
    <w:p>
      <w:pPr>
        <w:pStyle w:val="Normal"/>
      </w:pPr>
      <w:r>
        <w:t>For checking if the smart card works, without doing any verification check (and so for debug-ging purposes the option)--verify=no_ocsp can also be used, while--verify=partial_chain can be used to do partial CA verification.</w:t>
      </w:r>
    </w:p>
    <w:p>
      <w:bookmarkStart w:id="251" w:name="page_1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6" name="index-181_1.png" descr="index-181_1.png"/>
            <wp:cNvGraphicFramePr>
              <a:graphicFrameLocks noChangeAspect="1"/>
            </wp:cNvGraphicFramePr>
            <a:graphic>
              <a:graphicData uri="http://schemas.openxmlformats.org/drawingml/2006/picture">
                <pic:pic>
                  <pic:nvPicPr>
                    <pic:cNvPr id="0" name="index-181_1.png" descr="index-181_1.png"/>
                    <pic:cNvPicPr/>
                  </pic:nvPicPr>
                  <pic:blipFill>
                    <a:blip r:embed="rId190"/>
                    <a:stretch>
                      <a:fillRect/>
                    </a:stretch>
                  </pic:blipFill>
                  <pic:spPr>
                    <a:xfrm>
                      <a:off x="0" y="0"/>
                      <a:ext cx="914400" cy="266700"/>
                    </a:xfrm>
                    <a:prstGeom prst="rect">
                      <a:avLst/>
                    </a:prstGeom>
                  </pic:spPr>
                </pic:pic>
              </a:graphicData>
            </a:graphic>
          </wp:anchor>
        </w:drawing>
      </w:r>
      <w:bookmarkEnd w:id="251"/>
    </w:p>
    <w:p>
      <w:pPr>
        <w:pStyle w:val="Para 01"/>
      </w:pPr>
      <w:r>
        <w:t>Map certificates to user names</w:t>
      </w:r>
    </w:p>
    <w:p>
      <w:pPr>
        <w:pStyle w:val="Para 17"/>
      </w:pPr>
      <w:r>
        <w:t/>
      </w:r>
    </w:p>
    <w:p>
      <w:pPr>
        <w:pStyle w:val="Normal"/>
      </w:pPr>
      <w:r>
        <w:t>The sss PAM module allows certificates to be used for login, though our Linux system needs to know the username associated to a certificate. SSSD provides a variety of cert mappers to do this. Each cert mapper uses specific information from the certificate to map to a user on the system. The different cert mappers may even be stacked. In other words, if the first defined mapper fails to map to a user on the system, the next one will be tried, and so on until a user is found.</w:t>
      </w:r>
    </w:p>
    <w:p>
      <w:pPr>
        <w:pStyle w:val="Normal"/>
      </w:pPr>
      <w:r>
        <w:t>For the purposes of this guide, we will use a simple local user mapping as reference.</w:t>
      </w:r>
    </w:p>
    <w:p>
      <w:pPr>
        <w:pStyle w:val="Normal"/>
      </w:pPr>
      <w:r>
        <w:t xml:space="preserve">Mapping for more complex configurations can be done following the official </w:t>
      </w:r>
      <w:hyperlink r:id="rId1142">
        <w:r>
          <w:rPr>
            <w:rStyle w:val="Text1"/>
          </w:rPr>
          <w:t>SSSD docu-</w:t>
        </w:r>
      </w:hyperlink>
    </w:p>
    <w:p>
      <w:pPr>
        <w:pStyle w:val="Normal"/>
      </w:pPr>
      <w:hyperlink r:id="rId1142">
        <w:r>
          <w:rPr>
            <w:rStyle w:val="Text1"/>
          </w:rPr>
          <w:t>mentation</w:t>
        </w:r>
      </w:hyperlink>
      <w:hyperlink r:id="rId1142">
        <w:r>
          <w:rPr>
            <w:rStyle w:val="Text9"/>
          </w:rPr>
          <w:t>135</w:t>
        </w:r>
      </w:hyperlink>
      <w:r>
        <w:t xml:space="preserve"> </w:t>
      </w:r>
      <w:hyperlink w:anchor="page_181">
        <w:r>
          <w:rPr>
            <w:rStyle w:val="Text9"/>
          </w:rPr>
          <w:t>136</w:t>
        </w:r>
      </w:hyperlink>
      <w:r>
        <w:t xml:space="preserve"> depending on </w:t>
      </w:r>
      <w:hyperlink r:id="rId1143">
        <w:r>
          <w:rPr>
            <w:rStyle w:val="Text1"/>
          </w:rPr>
          <w:t>providers</w:t>
        </w:r>
      </w:hyperlink>
      <w:r>
        <w:t>. For up-to-date information on certificate mapping,</w:t>
      </w:r>
    </w:p>
    <w:p>
      <w:pPr>
        <w:pStyle w:val="Normal"/>
      </w:pPr>
      <w:r>
        <w:t xml:space="preserve">please also consult the </w:t>
      </w:r>
      <w:hyperlink w:anchor="page_181">
        <w:r>
          <w:rPr>
            <w:rStyle w:val="Text9"/>
          </w:rPr>
          <w:t>137</w:t>
        </w:r>
      </w:hyperlink>
      <w:r>
        <w:t xml:space="preserve"> </w:t>
      </w:r>
      <w:hyperlink r:id="rId1144">
        <w:r>
          <w:rPr>
            <w:rStyle w:val="Text2"/>
          </w:rPr>
          <w:t>sss-certmap(5)</w:t>
        </w:r>
      </w:hyperlink>
      <w:r>
        <w:t xml:space="preserve"> manual page.</w:t>
      </w:r>
    </w:p>
    <w:p>
      <w:pPr>
        <w:pStyle w:val="Para 17"/>
      </w:pPr>
      <w:r>
        <w:t/>
      </w:r>
    </w:p>
    <w:p>
      <w:pPr>
        <w:pStyle w:val="Para 01"/>
      </w:pPr>
      <w:r>
        <w:t>Local users mapping</w:t>
      </w:r>
    </w:p>
    <w:p>
      <w:pPr>
        <w:pStyle w:val="Para 17"/>
      </w:pPr>
      <w:r>
        <w:t/>
      </w:r>
    </w:p>
    <w:p>
      <w:pPr>
        <w:pStyle w:val="Normal"/>
      </w:pPr>
      <w:r>
        <w:t>When using only local users, SSSD can be easily configured to define an implicit_domain that maps all the local users.</w:t>
      </w:r>
    </w:p>
    <w:p>
      <w:pPr>
        <w:pStyle w:val="Normal"/>
      </w:pPr>
      <w:r>
        <w:t>Certificate mapping for local users can be easily done using the certificate Subject check, in our example:</w:t>
      </w:r>
    </w:p>
    <w:p>
      <w:pPr>
        <w:pStyle w:val="Normal"/>
      </w:pPr>
      <w:r>
        <w:t>openssl x509 -noout -subject -in card-cert.pem | sed</w:t>
        <w:t xml:space="preserve"> </w:t>
        <w:t>"s/, /,/g;s/ = /=/g"</w:t>
        <w:t xml:space="preserve"> </w:t>
        <w:t>subject</w:t>
        <w:t>=</w:t>
        <w:t>C</w:t>
        <w:t>=</w:t>
        <w:t>IT,O</w:t>
        <w:t>=</w:t>
        <w:t>Actalis S.p.A.,OU</w:t>
        <w:t>=</w:t>
        <w:t>REGIONE TOSCANA,SN</w:t>
        <w:t>=</w:t>
        <w:t>TREVISAN,GN</w:t>
        <w:t>=</w:t>
        <w:t>MARCO,CN</w:t>
        <w:t>=</w:t>
        <w:t>TRVMRC</w:t>
        <w:t>[</w:t>
        <w:t>...data-</w:t>
        <w:t>removed...</w:t>
        <w:t>]</w:t>
        <w:t>/6090033068507002.UyMnHxfF3gkAeBYHhxa6V1Edazs</w:t>
        <w:t>=</w:t>
      </w:r>
    </w:p>
    <w:p>
      <w:pPr>
        <w:pStyle w:val="Para 17"/>
      </w:pPr>
      <w:r>
        <w:t/>
      </w:r>
    </w:p>
    <w:p>
      <w:pPr>
        <w:pStyle w:val="Normal"/>
      </w:pPr>
      <w:r>
        <w:t>So we can use for the user foo:</w:t>
      </w:r>
    </w:p>
    <w:p>
      <w:pPr>
        <w:pStyle w:val="Para 01"/>
      </w:pPr>
      <w:r>
        <w:t>[sssd]</w:t>
      </w:r>
    </w:p>
    <w:p>
      <w:pPr>
        <w:pStyle w:val="Normal"/>
      </w:pPr>
      <w:r>
        <w:t>enable_files_domain</w:t>
        <w:t xml:space="preserve"> </w:t>
        <w:t>=</w:t>
        <w:t xml:space="preserve"> </w:t>
        <w:t>True</w:t>
      </w:r>
    </w:p>
    <w:p>
      <w:pPr>
        <w:pStyle w:val="Normal"/>
      </w:pPr>
      <w:r>
        <w:t>services</w:t>
        <w:t xml:space="preserve"> </w:t>
        <w:t>=</w:t>
        <w:t xml:space="preserve"> </w:t>
        <w:t>pam</w:t>
      </w:r>
    </w:p>
    <w:p>
      <w:pPr>
        <w:pStyle w:val="Para 01"/>
      </w:pPr>
      <w:r>
        <w:t>[certmap/implicit_files/foo]</w:t>
      </w:r>
    </w:p>
    <w:p>
      <w:pPr>
        <w:pStyle w:val="Normal"/>
      </w:pPr>
      <w:r>
        <w:t>matchrule</w:t>
        <w:t xml:space="preserve"> </w:t>
        <w:t>=</w:t>
        <w:t xml:space="preserve"> </w:t>
        <w:t>&lt;SUBJECT&gt;.*CN=TRVMRC[A-Z0-9]+/6090033068507002\.UyMnHxfF3gkAeBYHhxa6V1Edazs=.*</w:t>
      </w:r>
    </w:p>
    <w:p>
      <w:pPr>
        <w:pStyle w:val="Para 01"/>
      </w:pPr>
      <w:r>
        <w:t>[pam]</w:t>
      </w:r>
    </w:p>
    <w:p>
      <w:pPr>
        <w:pStyle w:val="Normal"/>
      </w:pPr>
      <w:r>
        <w:t>pam_cert_auth</w:t>
        <w:t xml:space="preserve"> </w:t>
        <w:t>=</w:t>
        <w:t xml:space="preserve"> </w:t>
        <w:t>True</w:t>
      </w:r>
    </w:p>
    <w:p>
      <w:pPr>
        <w:pStyle w:val="Para 17"/>
      </w:pPr>
      <w:r>
        <w:t/>
      </w:r>
    </w:p>
    <w:p>
      <w:pPr>
        <w:pStyle w:val="Para 01"/>
      </w:pPr>
      <w:r>
        <w:t>Troubleshooting</w:t>
      </w:r>
    </w:p>
    <w:p>
      <w:pPr>
        <w:pStyle w:val="Para 17"/>
      </w:pPr>
      <w:r>
        <w:t/>
      </w:r>
    </w:p>
    <w:p>
      <w:pPr>
        <w:pStyle w:val="Normal"/>
      </w:pPr>
      <w:r>
        <w:t>User mapping can be tested working in versions newer than Ubuntu 20.04 with:</w:t>
      </w:r>
    </w:p>
    <w:p>
      <w:pPr>
        <w:pStyle w:val="Normal"/>
      </w:pPr>
      <w:r>
        <w:t>$ sudo dbus-send --system --print-reply</w:t>
        <w:t xml:space="preserve"> </w:t>
      </w:r>
      <w:r>
        <w:rPr>
          <w:rStyle w:val="Text0"/>
        </w:rPr>
        <w:t>\</w:t>
      </w:r>
    </w:p>
    <w:p>
      <w:pPr>
        <w:pStyle w:val="Para 02"/>
      </w:pPr>
      <w:r>
        <w:t>--dest</w:t>
        <w:t>=</w:t>
        <w:t>org.freedesktop.sssd.infopipe</w:t>
        <w:t xml:space="preserve"> </w:t>
      </w:r>
      <w:r>
        <w:rPr>
          <w:rStyle w:val="Text0"/>
        </w:rPr>
        <w:t>\</w:t>
      </w:r>
      <w:r>
        <w:t xml:space="preserve"> </w:t>
        <w:t>/org/freedesktop/sssd/infopipe/Users</w:t>
        <w:t xml:space="preserve"> </w:t>
      </w:r>
      <w:r>
        <w:rPr>
          <w:rStyle w:val="Text0"/>
        </w:rPr>
        <w:t>\</w:t>
      </w:r>
      <w:r>
        <w:t xml:space="preserve"> </w:t>
        <w:t>org.freedesktop.sssd.infopipe.Users.ListByCertificate</w:t>
        <w:t xml:space="preserve"> </w:t>
      </w:r>
      <w:r>
        <w:rPr>
          <w:rStyle w:val="Text0"/>
        </w:rPr>
        <w:t>\</w:t>
      </w:r>
      <w:r>
        <w:t xml:space="preserve"> </w:t>
        <w:t>string:</w:t>
        <w:t>"</w:t>
      </w:r>
      <w:r>
        <w:rPr>
          <w:rStyle w:val="Text0"/>
        </w:rPr>
        <w:t>$(</w:t>
      </w:r>
      <w:r>
        <w:t>cat card-cert.pem</w:t>
      </w:r>
      <w:r>
        <w:rPr>
          <w:rStyle w:val="Text0"/>
        </w:rPr>
        <w:t>)</w:t>
      </w:r>
      <w:r>
        <w:t>"</w:t>
        <w:t xml:space="preserve"> </w:t>
        <w:t>uint32:10</w:t>
      </w:r>
    </w:p>
    <w:p>
      <w:pPr>
        <w:pStyle w:val="Para 17"/>
      </w:pPr>
      <w:r>
        <w:t/>
      </w:r>
    </w:p>
    <w:p>
      <w:pPr>
        <w:pStyle w:val="Normal"/>
      </w:pPr>
      <w:r>
        <w:t>That should return the object path containing the expected user ID:</w:t>
      </w:r>
    </w:p>
    <w:p>
      <w:pPr>
        <w:pStyle w:val="Para 05"/>
      </w:pPr>
      <w:r>
        <w:rPr>
          <w:rStyle w:val="Text5"/>
        </w:rPr>
        <w:t>135</w:t>
      </w:r>
      <w:r>
        <w:rPr>
          <w:rStyle w:val="Text8"/>
        </w:rPr>
        <w:t xml:space="preserve"> </w:t>
      </w:r>
      <w:r>
        <w:t>https://sssd.io/design-pages/matching_and_mapping_certificates.html</w:t>
      </w:r>
    </w:p>
    <w:p>
      <w:pPr>
        <w:pStyle w:val="Para 05"/>
      </w:pPr>
      <w:r>
        <w:rPr>
          <w:rStyle w:val="Text5"/>
        </w:rPr>
        <w:t>136</w:t>
      </w:r>
      <w:r>
        <w:rPr>
          <w:rStyle w:val="Text8"/>
        </w:rPr>
        <w:t xml:space="preserve"> </w:t>
      </w:r>
      <w:r>
        <w:t>https://sssd.io/design-pages/certmaps_for_LDAP_AD_file.html</w:t>
      </w:r>
    </w:p>
    <w:p>
      <w:pPr>
        <w:pStyle w:val="Para 03"/>
      </w:pPr>
      <w:r>
        <w:rPr>
          <w:rStyle w:val="Text5"/>
        </w:rPr>
        <w:t>137</w:t>
      </w:r>
      <w:r>
        <w:t xml:space="preserve"> </w:t>
      </w:r>
      <w:r>
        <w:rPr>
          <w:rStyle w:val="Text6"/>
        </w:rPr>
        <w:t>https://manpages.ubuntu.com/manpages/resolute/man5/sss-certmap.5.html</w:t>
      </w:r>
      <w:r>
        <w:t xml:space="preserve"> </w:t>
        <w:t>method return time=1605127192.698667 sender=:1.1628 -&gt; destination=:1.1629 serial=6 reply_</w:t>
        <w:t xml:space="preserve"> </w:t>
        <w:t>serial=2</w:t>
      </w:r>
    </w:p>
    <w:p>
      <w:bookmarkStart w:id="252" w:name="page_1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7" name="index-182_1.png" descr="index-182_1.png"/>
            <wp:cNvGraphicFramePr>
              <a:graphicFrameLocks noChangeAspect="1"/>
            </wp:cNvGraphicFramePr>
            <a:graphic>
              <a:graphicData uri="http://schemas.openxmlformats.org/drawingml/2006/picture">
                <pic:pic>
                  <pic:nvPicPr>
                    <pic:cNvPr id="0" name="index-182_1.png" descr="index-182_1.png"/>
                    <pic:cNvPicPr/>
                  </pic:nvPicPr>
                  <pic:blipFill>
                    <a:blip r:embed="rId191"/>
                    <a:stretch>
                      <a:fillRect/>
                    </a:stretch>
                  </pic:blipFill>
                  <pic:spPr>
                    <a:xfrm>
                      <a:off x="0" y="0"/>
                      <a:ext cx="914400" cy="266700"/>
                    </a:xfrm>
                    <a:prstGeom prst="rect">
                      <a:avLst/>
                    </a:prstGeom>
                  </pic:spPr>
                </pic:pic>
              </a:graphicData>
            </a:graphic>
          </wp:anchor>
        </w:drawing>
      </w:r>
      <w:bookmarkEnd w:id="252"/>
    </w:p>
    <w:p>
      <w:pPr>
        <w:pStyle w:val="Para 04"/>
      </w:pPr>
      <w:r>
        <w:t>array [</w:t>
      </w:r>
    </w:p>
    <w:p>
      <w:pPr>
        <w:pStyle w:val="Para 06"/>
      </w:pPr>
      <w:r>
        <w:t>object path "/org/freedesktop/sssd/infopipe/Users/implicit_5ffiles/1000"</w:t>
      </w:r>
    </w:p>
    <w:p>
      <w:pPr>
        <w:pStyle w:val="Para 04"/>
      </w:pPr>
      <w:r>
        <w:t>]</w:t>
      </w:r>
    </w:p>
    <w:p>
      <w:pPr>
        <w:pStyle w:val="Para 17"/>
      </w:pPr>
      <w:r>
        <w:t/>
      </w:r>
    </w:p>
    <w:p>
      <w:pPr>
        <w:pStyle w:val="Para 01"/>
      </w:pPr>
      <w:r>
        <w:t>Basic SSSD configuration</w:t>
      </w:r>
    </w:p>
    <w:p>
      <w:pPr>
        <w:pStyle w:val="Para 17"/>
      </w:pPr>
      <w:r>
        <w:t/>
      </w:r>
    </w:p>
    <w:p>
      <w:pPr>
        <w:pStyle w:val="Normal"/>
      </w:pPr>
      <w:r>
        <w:t>The SSSD configuration for accessing to the system is out of the scope of this document, however for smart card login it should contain at least such values:</w:t>
      </w:r>
    </w:p>
    <w:p>
      <w:pPr>
        <w:pStyle w:val="Para 01"/>
      </w:pPr>
      <w:r>
        <w:t>[sssd]</w:t>
      </w:r>
    </w:p>
    <w:p>
      <w:pPr>
        <w:pStyle w:val="Para 10"/>
      </w:pPr>
      <w:r>
        <w:t># Comma separated list of domains</w:t>
      </w:r>
    </w:p>
    <w:p>
      <w:pPr>
        <w:pStyle w:val="Para 10"/>
      </w:pPr>
      <w:r>
        <w:t>;domains = your-domain1, your-domain2</w:t>
      </w:r>
    </w:p>
    <w:p>
      <w:pPr>
        <w:pStyle w:val="Para 10"/>
      </w:pPr>
      <w:r>
        <w:t># comma-separated list of SSSD services</w:t>
      </w:r>
    </w:p>
    <w:p>
      <w:pPr>
        <w:pStyle w:val="Para 10"/>
      </w:pPr>
      <w:r>
        <w:t># pam might be implicitly loaded already, so the line is optional</w:t>
      </w:r>
      <w:r>
        <w:rPr>
          <w:rStyle w:val="Text3"/>
        </w:rPr>
        <w:t xml:space="preserve"> </w:t>
        <w:t>services</w:t>
        <w:t xml:space="preserve"> </w:t>
        <w:t>=</w:t>
        <w:t xml:space="preserve"> </w:t>
        <w:t>pam</w:t>
      </w:r>
    </w:p>
    <w:p>
      <w:pPr>
        <w:pStyle w:val="Para 10"/>
      </w:pPr>
      <w:r>
        <w:t># You can enable debug of the SSSD daemon</w:t>
      </w:r>
    </w:p>
    <w:p>
      <w:pPr>
        <w:pStyle w:val="Para 10"/>
      </w:pPr>
      <w:r>
        <w:t># Logs will be in /var/log/sssd/sssd.log</w:t>
      </w:r>
    </w:p>
    <w:p>
      <w:pPr>
        <w:pStyle w:val="Para 10"/>
      </w:pPr>
      <w:r>
        <w:t>;debug_level = 10</w:t>
      </w:r>
    </w:p>
    <w:p>
      <w:pPr>
        <w:pStyle w:val="Para 10"/>
      </w:pPr>
      <w:r>
        <w:t># A mapping between the SC certificate and users</w:t>
      </w:r>
    </w:p>
    <w:p>
      <w:pPr>
        <w:pStyle w:val="Para 10"/>
      </w:pPr>
      <w:r>
        <w:t>;[certmap/your-domain1/&lt;username&gt;]</w:t>
      </w:r>
    </w:p>
    <w:p>
      <w:pPr>
        <w:pStyle w:val="Para 10"/>
      </w:pPr>
      <w:r>
        <w:t>;matchrule = &lt;SUBJECT&gt;.*CN=&lt;REGEX MATCHING YOUR CN&gt;.*</w:t>
      </w:r>
    </w:p>
    <w:p>
      <w:pPr>
        <w:pStyle w:val="Para 01"/>
      </w:pPr>
      <w:r>
        <w:t>[pam]</w:t>
      </w:r>
    </w:p>
    <w:p>
      <w:pPr>
        <w:pStyle w:val="Normal"/>
      </w:pPr>
      <w:r>
        <w:t>pam_cert_auth</w:t>
        <w:t xml:space="preserve"> </w:t>
        <w:t>=</w:t>
        <w:t xml:space="preserve"> </w:t>
        <w:t>True</w:t>
      </w:r>
    </w:p>
    <w:p>
      <w:pPr>
        <w:pStyle w:val="Para 10"/>
      </w:pPr>
      <w:r>
        <w:t># The Certificate DB to be used:</w:t>
      </w:r>
    </w:p>
    <w:p>
      <w:pPr>
        <w:pStyle w:val="Para 10"/>
      </w:pPr>
      <w:r>
        <w:t># - Needs to be an openSSL CA certificates</w:t>
      </w:r>
    </w:p>
    <w:p>
      <w:pPr>
        <w:pStyle w:val="Para 10"/>
      </w:pPr>
      <w:r>
        <w:t>;pam_cert_db_path = /etc/ssl/certs/ca-certificates.crt</w:t>
      </w:r>
    </w:p>
    <w:p>
      <w:pPr>
        <w:pStyle w:val="Para 10"/>
      </w:pPr>
      <w:r>
        <w:t># You can enable debug infos for the PAM module</w:t>
      </w:r>
    </w:p>
    <w:p>
      <w:pPr>
        <w:pStyle w:val="Para 10"/>
      </w:pPr>
      <w:r>
        <w:t># Logs will be in /var/log/sssd/sssd_pam.log</w:t>
      </w:r>
    </w:p>
    <w:p>
      <w:pPr>
        <w:pStyle w:val="Para 10"/>
      </w:pPr>
      <w:r>
        <w:t># p11 child logs are in /var/log/sssd/p11_child.log</w:t>
      </w:r>
    </w:p>
    <w:p>
      <w:pPr>
        <w:pStyle w:val="Para 10"/>
      </w:pPr>
      <w:r>
        <w:t># standard auth logs are in /var/log/auth.log</w:t>
      </w:r>
    </w:p>
    <w:p>
      <w:pPr>
        <w:pStyle w:val="Para 10"/>
      </w:pPr>
      <w:r>
        <w:t>;pam_verbosity = 10</w:t>
      </w:r>
    </w:p>
    <w:p>
      <w:pPr>
        <w:pStyle w:val="Para 10"/>
      </w:pPr>
      <w:r>
        <w:t>;debug_level = 10</w:t>
      </w:r>
    </w:p>
    <w:p>
      <w:pPr>
        <w:pStyle w:val="Para 17"/>
      </w:pPr>
      <w:r>
        <w:t/>
      </w:r>
    </w:p>
    <w:p>
      <w:pPr>
        <w:pStyle w:val="Normal"/>
      </w:pPr>
      <w:r>
        <w:t>In general what’s in the configuration file will affect the way SSSD will call the p11_child tool (that is the one in charge for the actual authentication). Check man sssd.conf for details.</w:t>
      </w:r>
    </w:p>
    <w:p>
      <w:pPr>
        <w:pStyle w:val="Normal"/>
      </w:pPr>
      <w:r>
        <w:t>Remember that this file should be owned by root and have permission set to 600, otherwise won’t be loaded and SSSD will not complain gracefully. On errors you can test running SSSD temporary with sudo sssd -d9 -i.</w:t>
      </w:r>
    </w:p>
    <w:p>
      <w:pPr>
        <w:pStyle w:val="Normal"/>
      </w:pPr>
      <w:r>
        <w:t>Every time the configuration is changed SSSD should be restarted (systemctl restart sssd).</w:t>
      </w:r>
    </w:p>
    <w:p>
      <w:bookmarkStart w:id="253" w:name="calibre_pb_35"/>
      <w:pPr>
        <w:pStyle w:val="0 Block"/>
      </w:pPr>
      <w:bookmarkEnd w:id="253"/>
    </w:p>
    <w:p>
      <w:bookmarkStart w:id="254" w:name="Top_of_index_split_036_html"/>
      <w:bookmarkStart w:id="255" w:name="page_18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8"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192"/>
                    <a:stretch>
                      <a:fillRect/>
                    </a:stretch>
                  </pic:blipFill>
                  <pic:spPr>
                    <a:xfrm>
                      <a:off x="0" y="0"/>
                      <a:ext cx="914400" cy="266700"/>
                    </a:xfrm>
                    <a:prstGeom prst="rect">
                      <a:avLst/>
                    </a:prstGeom>
                  </pic:spPr>
                </pic:pic>
              </a:graphicData>
            </a:graphic>
          </wp:anchor>
        </w:drawing>
      </w:r>
      <w:bookmarkEnd w:id="254"/>
      <w:bookmarkEnd w:id="255"/>
    </w:p>
    <w:p>
      <w:pPr>
        <w:pStyle w:val="Para 01"/>
      </w:pPr>
      <w:r>
        <w:t>Add pam_sss to PAM</w:t>
      </w:r>
    </w:p>
    <w:p>
      <w:pPr>
        <w:pStyle w:val="Para 17"/>
      </w:pPr>
      <w:r>
        <w:t/>
      </w:r>
    </w:p>
    <w:p>
      <w:pPr>
        <w:pStyle w:val="Normal"/>
      </w:pPr>
      <w:r>
        <w:t>The next step includes the pam_sss module into the PAM stack. There are various ways to do this depending on your local policy. The following example enables smart card support for general authentication.</w:t>
      </w:r>
    </w:p>
    <w:p>
      <w:pPr>
        <w:pStyle w:val="Normal"/>
      </w:pPr>
      <w:r>
        <w:t>Edit /etc/pam.d/common-auth to include the pam_sss module as follows:</w:t>
      </w:r>
    </w:p>
    <w:p>
      <w:pPr>
        <w:pStyle w:val="Para 17"/>
      </w:pPr>
      <w:r>
        <w:t/>
      </w:r>
    </w:p>
    <w:p>
      <w:pPr>
        <w:pStyle w:val="Para 01"/>
      </w:pPr>
      <w:r>
        <w:t>For Ubuntu later than 23.10</w:t>
      </w:r>
    </w:p>
    <w:p>
      <w:pPr>
        <w:pStyle w:val="Para 17"/>
      </w:pPr>
      <w:r>
        <w:t/>
      </w:r>
    </w:p>
    <w:p>
      <w:pPr>
        <w:pStyle w:val="Normal"/>
      </w:pPr>
      <w:r>
        <w:t>$ sudo pam-auth-update</w:t>
      </w:r>
    </w:p>
    <w:p>
      <w:pPr>
        <w:pStyle w:val="Para 17"/>
      </w:pPr>
      <w:r>
        <w:t/>
      </w:r>
    </w:p>
    <w:p>
      <w:pPr>
        <w:pStyle w:val="Normal"/>
      </w:pPr>
      <w:r>
        <w:t>Then you can interactively enable SSSD profiles for smart-card-only or optional smart card access.</w:t>
      </w:r>
    </w:p>
    <w:p>
      <w:pPr>
        <w:pStyle w:val="Normal"/>
      </w:pPr>
      <w:r>
        <w:t>You can also set this non-interactively by using:</w:t>
      </w:r>
    </w:p>
    <w:p>
      <w:pPr>
        <w:pStyle w:val="Normal"/>
      </w:pPr>
      <w:r>
        <w:t># To use smart-card only authentication</w:t>
      </w:r>
    </w:p>
    <w:p>
      <w:pPr>
        <w:pStyle w:val="Normal"/>
      </w:pPr>
      <w:r>
        <w:t>$ sudo pam-auth-update --disable sss-smart-card-optional --enable sss-smart-card-required</w:t>
      </w:r>
    </w:p>
    <w:p>
      <w:pPr>
        <w:pStyle w:val="Normal"/>
      </w:pPr>
      <w:r>
        <w:t># To use smart-card authentication with fallback</w:t>
      </w:r>
    </w:p>
    <w:p>
      <w:pPr>
        <w:pStyle w:val="Normal"/>
      </w:pPr>
      <w:r>
        <w:t>$ sudo pam-auth-update --disable sss-smart-card-required --enable sss-smart-card-optional</w:t>
      </w:r>
    </w:p>
    <w:p>
      <w:pPr>
        <w:pStyle w:val="Para 17"/>
      </w:pPr>
      <w:r>
        <w:t/>
      </w:r>
    </w:p>
    <w:p>
      <w:pPr>
        <w:pStyle w:val="Para 01"/>
      </w:pPr>
      <w:r>
        <w:t>For Ubuntu 23.10 and lower</w:t>
      </w:r>
    </w:p>
    <w:p>
      <w:pPr>
        <w:pStyle w:val="Para 17"/>
      </w:pPr>
      <w:r>
        <w:t/>
      </w:r>
    </w:p>
    <w:p>
      <w:pPr>
        <w:pStyle w:val="Para 10"/>
      </w:pPr>
      <w:r>
        <w:t># require SSSD smart card login</w:t>
      </w:r>
    </w:p>
    <w:p>
      <w:pPr>
        <w:pStyle w:val="Normal"/>
      </w:pPr>
      <w:r>
        <w:t>auth</w:t>
        <w:t xml:space="preserve"> </w:t>
        <w:t>[success</w:t>
        <w:t>=</w:t>
        <w:t>done default</w:t>
        <w:t>=</w:t>
        <w:t>die]</w:t>
        <w:t xml:space="preserve"> </w:t>
        <w:t>pam_sss</w:t>
        <w:t>.</w:t>
        <w:t>so allow_missing_name require_cert_auth</w:t>
      </w:r>
    </w:p>
    <w:p>
      <w:pPr>
        <w:pStyle w:val="Para 17"/>
      </w:pPr>
      <w:r>
        <w:t/>
      </w:r>
    </w:p>
    <w:p>
      <w:pPr>
        <w:pStyle w:val="Normal"/>
      </w:pPr>
      <w:r>
        <w:t>or only try to use it:</w:t>
      </w:r>
    </w:p>
    <w:p>
      <w:pPr>
        <w:pStyle w:val="Para 10"/>
      </w:pPr>
      <w:r>
        <w:t># try SSSD smart card login</w:t>
      </w:r>
    </w:p>
    <w:p>
      <w:pPr>
        <w:pStyle w:val="Normal"/>
      </w:pPr>
      <w:r>
        <w:t>auth</w:t>
        <w:t xml:space="preserve"> </w:t>
        <w:t>[success</w:t>
        <w:t>=</w:t>
        <w:t>ok default</w:t>
        <w:t>=</w:t>
        <w:t>ignore]</w:t>
        <w:t xml:space="preserve"> </w:t>
        <w:t>pam_sss</w:t>
        <w:t>.</w:t>
        <w:t>so allow_missing_name try_cert_auth</w:t>
      </w:r>
    </w:p>
    <w:p>
      <w:pPr>
        <w:pStyle w:val="Para 17"/>
      </w:pPr>
      <w:r>
        <w:t/>
      </w:r>
    </w:p>
    <w:p>
      <w:pPr>
        <w:pStyle w:val="Normal"/>
      </w:pPr>
      <w:r>
        <w:t xml:space="preserve">See </w:t>
      </w:r>
      <w:hyperlink r:id="rId1145">
        <w:r>
          <w:rPr>
            <w:rStyle w:val="Text9"/>
          </w:rPr>
          <w:t>138</w:t>
        </w:r>
      </w:hyperlink>
      <w:r>
        <w:t xml:space="preserve"> </w:t>
      </w:r>
      <w:hyperlink w:anchor="page_183">
        <w:r>
          <w:rPr>
            <w:rStyle w:val="Text9"/>
          </w:rPr>
          <w:t>139</w:t>
        </w:r>
      </w:hyperlink>
      <w:hyperlink w:anchor="page_183">
        <w:r>
          <w:rPr>
            <w:rStyle w:val="Text1"/>
          </w:rPr>
          <w:t xml:space="preserve"> </w:t>
        </w:r>
      </w:hyperlink>
      <w:hyperlink w:anchor="page_183">
        <w:r>
          <w:rPr>
            <w:rStyle w:val="Text2"/>
          </w:rPr>
          <w:t>pam.conf(5)</w:t>
        </w:r>
      </w:hyperlink>
      <w:r>
        <w:t xml:space="preserve"> , </w:t>
      </w:r>
      <w:hyperlink r:id="rId1146">
        <w:r>
          <w:rPr>
            <w:rStyle w:val="Text2"/>
          </w:rPr>
          <w:t>pam_sss(8)</w:t>
        </w:r>
      </w:hyperlink>
      <w:r>
        <w:t xml:space="preserve"> for further details.</w:t>
      </w:r>
    </w:p>
    <w:p>
      <w:pPr>
        <w:pStyle w:val="Para 17"/>
      </w:pPr>
      <w:r>
        <w:t/>
      </w:r>
    </w:p>
    <w:p>
      <w:pPr>
        <w:pStyle w:val="Para 08"/>
      </w:pPr>
      <w:r>
        <w:t>Warning:</w:t>
      </w:r>
    </w:p>
    <w:p>
      <w:pPr>
        <w:pStyle w:val="Para 17"/>
      </w:pPr>
      <w:r>
        <w:t/>
      </w:r>
    </w:p>
    <w:p>
      <w:pPr>
        <w:pStyle w:val="Para 03"/>
      </w:pPr>
      <w:r>
        <w:t>A global configuration such as this requires a smart card for su and sudo authentication as</w:t>
      </w:r>
    </w:p>
    <w:p>
      <w:pPr>
        <w:pStyle w:val="Para 03"/>
      </w:pPr>
      <w:r>
        <w:t>well!</w:t>
      </w:r>
    </w:p>
    <w:p>
      <w:pPr>
        <w:pStyle w:val="Para 03"/>
      </w:pPr>
      <w:r>
        <w:t>If you want to reduce the scope of this module, move it to the appropriate PAM configu-</w:t>
      </w:r>
    </w:p>
    <w:p>
      <w:pPr>
        <w:pStyle w:val="Para 03"/>
      </w:pPr>
      <w:r>
        <w:t>ration file in /etc/pam.d and ensure that it’s referenced by pam_p11_allowed_services in</w:t>
      </w:r>
    </w:p>
    <w:p>
      <w:pPr>
        <w:pStyle w:val="Para 03"/>
      </w:pPr>
      <w:r>
        <w:t>sssd.conf .</w:t>
      </w:r>
    </w:p>
    <w:p>
      <w:pPr>
        <w:pStyle w:val="Normal"/>
      </w:pPr>
      <w:r>
        <w:t>The OS is now ready to do a smart card login for the user foo.</w:t>
      </w:r>
    </w:p>
    <w:p>
      <w:pPr>
        <w:pStyle w:val="Para 05"/>
      </w:pPr>
      <w:r>
        <w:rPr>
          <w:rStyle w:val="Text5"/>
        </w:rPr>
        <w:t>138</w:t>
      </w:r>
      <w:r>
        <w:rPr>
          <w:rStyle w:val="Text8"/>
        </w:rPr>
        <w:t xml:space="preserve"> </w:t>
      </w:r>
      <w:r>
        <w:t>https://manpages.ubuntu.com/manpages/resolute/man5/pam.conf.5.html</w:t>
      </w:r>
    </w:p>
    <w:p>
      <w:pPr>
        <w:pStyle w:val="Para 05"/>
      </w:pPr>
      <w:r>
        <w:rPr>
          <w:rStyle w:val="Text5"/>
        </w:rPr>
        <w:t>139</w:t>
      </w:r>
      <w:r>
        <w:rPr>
          <w:rStyle w:val="Text8"/>
        </w:rPr>
        <w:t xml:space="preserve"> </w:t>
      </w:r>
      <w:r>
        <w:t>https://manpages.ubuntu.com/manpages/resolute/man8/pam_sss.8.html</w:t>
      </w:r>
      <w:r>
        <w:rPr>
          <w:rStyle w:val="Text8"/>
        </w:rPr>
        <w:t xml:space="preserve"> </w:t>
      </w:r>
      <w:r>
        <w:rPr>
          <w:rStyle w:val="Text11"/>
        </w:rPr>
        <w:t>Troubleshooting</w:t>
      </w:r>
    </w:p>
    <w:p>
      <w:bookmarkStart w:id="256" w:name="page_1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89"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193"/>
                    <a:stretch>
                      <a:fillRect/>
                    </a:stretch>
                  </pic:blipFill>
                  <pic:spPr>
                    <a:xfrm>
                      <a:off x="0" y="0"/>
                      <a:ext cx="914400" cy="266700"/>
                    </a:xfrm>
                    <a:prstGeom prst="rect">
                      <a:avLst/>
                    </a:prstGeom>
                  </pic:spPr>
                </pic:pic>
              </a:graphicData>
            </a:graphic>
          </wp:anchor>
        </w:drawing>
      </w:r>
      <w:bookmarkEnd w:id="256"/>
    </w:p>
    <w:p>
      <w:pPr>
        <w:pStyle w:val="Para 17"/>
      </w:pPr>
      <w:r>
        <w:t/>
      </w:r>
    </w:p>
    <w:p>
      <w:pPr>
        <w:pStyle w:val="Normal"/>
      </w:pPr>
      <w:r>
        <w:t>pamtester is your friend!</w:t>
      </w:r>
    </w:p>
    <w:p>
      <w:pPr>
        <w:pStyle w:val="Normal"/>
      </w:pPr>
      <w:r>
        <w:t>To get better debug logging, also increase the SSSD verbosity by changing /etc/sssd/sssd. conf so that it has:</w:t>
      </w:r>
    </w:p>
    <w:p>
      <w:pPr>
        <w:pStyle w:val="Para 01"/>
      </w:pPr>
      <w:r>
        <w:t>[pam]</w:t>
      </w:r>
    </w:p>
    <w:p>
      <w:pPr>
        <w:pStyle w:val="Normal"/>
      </w:pPr>
      <w:r>
        <w:t>pam_verbosity</w:t>
        <w:t xml:space="preserve"> </w:t>
        <w:t>=</w:t>
        <w:t xml:space="preserve"> </w:t>
        <w:t>10</w:t>
      </w:r>
    </w:p>
    <w:p>
      <w:pPr>
        <w:pStyle w:val="Normal"/>
      </w:pPr>
      <w:r>
        <w:t>debug_level</w:t>
        <w:t xml:space="preserve"> </w:t>
        <w:t>=</w:t>
        <w:t xml:space="preserve"> </w:t>
        <w:t>10</w:t>
      </w:r>
    </w:p>
    <w:p>
      <w:pPr>
        <w:pStyle w:val="Para 17"/>
      </w:pPr>
      <w:r>
        <w:t/>
      </w:r>
    </w:p>
    <w:p>
      <w:pPr>
        <w:pStyle w:val="Normal"/>
      </w:pPr>
      <w:r>
        <w:t>You can use it to check your configuration without having to login/logout for real, by just using:</w:t>
      </w:r>
    </w:p>
    <w:p>
      <w:pPr>
        <w:pStyle w:val="Para 10"/>
      </w:pPr>
      <w:r>
        <w:t># Install it!</w:t>
      </w:r>
    </w:p>
    <w:p>
      <w:pPr>
        <w:pStyle w:val="Normal"/>
      </w:pPr>
      <w:r>
        <w:t>$ sudo apt install pamtester</w:t>
      </w:r>
    </w:p>
    <w:p>
      <w:pPr>
        <w:pStyle w:val="Para 10"/>
      </w:pPr>
      <w:r>
        <w:t># Run the authentication service as standalone</w:t>
      </w:r>
    </w:p>
    <w:p>
      <w:pPr>
        <w:pStyle w:val="Normal"/>
      </w:pPr>
      <w:r>
        <w:t>$ pamtester -v login</w:t>
        <w:t xml:space="preserve"> </w:t>
        <w:t>$USER</w:t>
        <w:t xml:space="preserve"> </w:t>
        <w:t>authenticate</w:t>
      </w:r>
    </w:p>
    <w:p>
      <w:pPr>
        <w:pStyle w:val="Para 10"/>
      </w:pPr>
      <w:r>
        <w:t># Run the authentication service to get user from cert</w:t>
      </w:r>
      <w:r>
        <w:rPr>
          <w:rStyle w:val="Text3"/>
        </w:rPr>
        <w:t xml:space="preserve"> </w:t>
        <w:t>$ pamtester -v login</w:t>
        <w:t xml:space="preserve"> </w:t>
        <w:t>""</w:t>
        <w:t xml:space="preserve"> </w:t>
        <w:t>authenticate</w:t>
      </w:r>
    </w:p>
    <w:p>
      <w:pPr>
        <w:pStyle w:val="Para 10"/>
      </w:pPr>
      <w:r>
        <w:t># You can check what happened in the logs, reading:</w:t>
      </w:r>
    </w:p>
    <w:p>
      <w:pPr>
        <w:pStyle w:val="Normal"/>
      </w:pPr>
      <w:r>
        <w:t>sudo less /var/log/auth.log</w:t>
      </w:r>
    </w:p>
    <w:p>
      <w:pPr>
        <w:pStyle w:val="Normal"/>
      </w:pPr>
      <w:r>
        <w:t>sudo less /var/log/sssd/sssd_pam.log</w:t>
      </w:r>
    </w:p>
    <w:p>
      <w:pPr>
        <w:pStyle w:val="Normal"/>
      </w:pPr>
      <w:r>
        <w:t>sudo less /var/log/sssd/p11_child.log</w:t>
      </w:r>
    </w:p>
    <w:p>
      <w:pPr>
        <w:pStyle w:val="Para 17"/>
      </w:pPr>
      <w:r>
        <w:t/>
      </w:r>
    </w:p>
    <w:p>
      <w:pPr>
        <w:pStyle w:val="Para 01"/>
      </w:pPr>
      <w:r>
        <w:t>Smart card authentication with SSH</w:t>
      </w:r>
    </w:p>
    <w:p>
      <w:pPr>
        <w:pStyle w:val="Para 17"/>
      </w:pPr>
      <w:r>
        <w:t/>
      </w:r>
    </w:p>
    <w:p>
      <w:pPr>
        <w:pStyle w:val="Normal"/>
      </w:pPr>
      <w:r>
        <w:t>One of the authentication methods supported by the SSH protocol is public key authentica-tion. A public key is copied to the SSH server where it is stored and marked as authorized. The owner of the corresponding private key in the smart card can then SSH login to the server.</w:t>
      </w:r>
    </w:p>
    <w:p>
      <w:pPr>
        <w:pStyle w:val="Normal"/>
      </w:pPr>
      <w:r>
        <w:t>We will use opensc-pkcs11 on the client to access the smart card drivers, and we will copy the public key from the smart card to the SSH server to make the authentication work.</w:t>
      </w:r>
    </w:p>
    <w:p>
      <w:pPr>
        <w:pStyle w:val="Normal"/>
      </w:pPr>
      <w:r>
        <w:t>The following instructions apply to Ubuntu 18.04 later.</w:t>
      </w:r>
    </w:p>
    <w:p>
      <w:bookmarkStart w:id="257" w:name="calibre_pb_36"/>
      <w:pPr>
        <w:pStyle w:val="0 Block"/>
      </w:pPr>
      <w:bookmarkEnd w:id="257"/>
    </w:p>
    <w:p>
      <w:bookmarkStart w:id="258" w:name="Top_of_index_split_037_html"/>
      <w:bookmarkStart w:id="259" w:name="page_18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0" name="index-185_1.png" descr="index-185_1.png"/>
            <wp:cNvGraphicFramePr>
              <a:graphicFrameLocks noChangeAspect="1"/>
            </wp:cNvGraphicFramePr>
            <a:graphic>
              <a:graphicData uri="http://schemas.openxmlformats.org/drawingml/2006/picture">
                <pic:pic>
                  <pic:nvPicPr>
                    <pic:cNvPr id="0" name="index-185_1.png" descr="index-185_1.png"/>
                    <pic:cNvPicPr/>
                  </pic:nvPicPr>
                  <pic:blipFill>
                    <a:blip r:embed="rId194"/>
                    <a:stretch>
                      <a:fillRect/>
                    </a:stretch>
                  </pic:blipFill>
                  <pic:spPr>
                    <a:xfrm>
                      <a:off x="0" y="0"/>
                      <a:ext cx="914400" cy="266700"/>
                    </a:xfrm>
                    <a:prstGeom prst="rect">
                      <a:avLst/>
                    </a:prstGeom>
                  </pic:spPr>
                </pic:pic>
              </a:graphicData>
            </a:graphic>
          </wp:anchor>
        </w:drawing>
      </w:r>
      <w:bookmarkEnd w:id="258"/>
      <w:bookmarkEnd w:id="259"/>
    </w:p>
    <w:p>
      <w:pPr>
        <w:pStyle w:val="Para 01"/>
      </w:pPr>
      <w:r>
        <w:t>Server configuration</w:t>
      </w:r>
    </w:p>
    <w:p>
      <w:pPr>
        <w:pStyle w:val="Para 17"/>
      </w:pPr>
      <w:r>
        <w:t/>
      </w:r>
    </w:p>
    <w:p>
      <w:pPr>
        <w:pStyle w:val="Normal"/>
      </w:pPr>
      <w:r>
        <w:t>The SSH server and client must be configured to permit smart card authentication.</w:t>
      </w:r>
    </w:p>
    <w:p>
      <w:pPr>
        <w:pStyle w:val="Para 17"/>
      </w:pPr>
      <w:r>
        <w:t/>
      </w:r>
    </w:p>
    <w:p>
      <w:pPr>
        <w:pStyle w:val="Para 01"/>
      </w:pPr>
      <w:r>
        <w:t>Configure the SSH server</w:t>
      </w:r>
    </w:p>
    <w:p>
      <w:pPr>
        <w:pStyle w:val="Para 17"/>
      </w:pPr>
      <w:r>
        <w:t/>
      </w:r>
    </w:p>
    <w:p>
      <w:pPr>
        <w:pStyle w:val="Normal"/>
      </w:pPr>
      <w:r>
        <w:t>The SSH server needs to allow public key authentication set in its configuration file and it needs the user’s public key.</w:t>
      </w:r>
    </w:p>
    <w:p>
      <w:pPr>
        <w:pStyle w:val="Normal"/>
      </w:pPr>
      <w:r>
        <w:t>Ensure the server has the PubkeyAuthentication option set to ‘yes’ in its /etc/ssh/sshd_ config file. In a default /etc/ssh/sshd_config in Ubuntu, the PubkeyAuthentication option is commented out. However, the default is ‘yes’. To ensure the setting, edit the sshd_config file and set accordingly.</w:t>
      </w:r>
    </w:p>
    <w:p>
      <w:pPr>
        <w:pStyle w:val="Normal"/>
      </w:pPr>
      <w:r>
        <w:t>PubkeyAuthentication yes</w:t>
      </w:r>
    </w:p>
    <w:p>
      <w:pPr>
        <w:pStyle w:val="Para 17"/>
      </w:pPr>
      <w:r>
        <w:t/>
      </w:r>
    </w:p>
    <w:p>
      <w:pPr>
        <w:pStyle w:val="Para 01"/>
      </w:pPr>
      <w:r>
        <w:t>Restart the SSH server</w:t>
      </w:r>
    </w:p>
    <w:p>
      <w:pPr>
        <w:pStyle w:val="Para 17"/>
      </w:pPr>
      <w:r>
        <w:t/>
      </w:r>
    </w:p>
    <w:p>
      <w:pPr>
        <w:pStyle w:val="Normal"/>
      </w:pPr>
      <w:r>
        <w:t>sudo systemctl restart sshd</w:t>
      </w:r>
    </w:p>
    <w:p>
      <w:pPr>
        <w:pStyle w:val="Para 17"/>
      </w:pPr>
      <w:r>
        <w:t/>
      </w:r>
    </w:p>
    <w:p>
      <w:pPr>
        <w:pStyle w:val="Para 01"/>
      </w:pPr>
      <w:r>
        <w:t>Set the public key on the server</w:t>
      </w:r>
    </w:p>
    <w:p>
      <w:pPr>
        <w:pStyle w:val="Para 17"/>
      </w:pPr>
      <w:r>
        <w:t/>
      </w:r>
    </w:p>
    <w:p>
      <w:pPr>
        <w:pStyle w:val="Normal"/>
      </w:pPr>
      <w:r>
        <w:t>Extract the user’s public key from the smart card on the SSH client. Use ssh-keygen to read the public key from the smart card and into a format consumable for SSH.</w:t>
      </w:r>
    </w:p>
    <w:p>
      <w:pPr>
        <w:pStyle w:val="Normal"/>
      </w:pPr>
      <w:r>
        <w:t>ssh</w:t>
        <w:t>-</w:t>
        <w:t>keygen</w:t>
        <w:t>-</w:t>
        <w:t>D</w:t>
        <w:t xml:space="preserve"> </w:t>
        <w:t>/</w:t>
        <w:t>usr</w:t>
        <w:t>/</w:t>
        <w:t>lib</w:t>
        <w:t>/</w:t>
        <w:t>x86_64</w:t>
        <w:t>-</w:t>
        <w:t>linux</w:t>
        <w:t>-</w:t>
        <w:t>gnu</w:t>
        <w:t>/</w:t>
        <w:t>opensc</w:t>
        <w:t>-</w:t>
        <w:t>pkcs11</w:t>
        <w:t>.</w:t>
        <w:t>so</w:t>
        <w:t xml:space="preserve"> </w:t>
        <w:t>&gt;</w:t>
        <w:t xml:space="preserve"> </w:t>
        <w:t>smartcard</w:t>
        <w:t>.</w:t>
        <w:t>pub</w:t>
      </w:r>
    </w:p>
    <w:p>
      <w:pPr>
        <w:pStyle w:val="Para 17"/>
      </w:pPr>
      <w:r>
        <w:t/>
      </w:r>
    </w:p>
    <w:p>
      <w:pPr>
        <w:pStyle w:val="Normal"/>
      </w:pPr>
      <w:r>
        <w:t>Copy this key to the SSH server.</w:t>
      </w:r>
    </w:p>
    <w:p>
      <w:pPr>
        <w:pStyle w:val="Normal"/>
      </w:pPr>
      <w:r>
        <w:t>ssh-copy-id -f -i smartcard.pub ubuntu@server-2</w:t>
      </w:r>
    </w:p>
    <w:p>
      <w:pPr>
        <w:pStyle w:val="Normal"/>
      </w:pPr>
      <w:r>
        <w:t>/usr/bin/ssh-copy-id: INFO: Source of key</w:t>
        <w:t>(</w:t>
        <w:t>s</w:t>
        <w:t>)</w:t>
        <w:t xml:space="preserve"> </w:t>
        <w:t>to be installed: “smartcard.pub”</w:t>
        <w:t xml:space="preserve"> </w:t>
        <w:t>ubuntu@server-2’s password:</w:t>
      </w:r>
    </w:p>
    <w:p>
      <w:pPr>
        <w:pStyle w:val="Normal"/>
      </w:pPr>
      <w:r>
        <w:t>Number of key</w:t>
        <w:t>(</w:t>
        <w:t>s</w:t>
        <w:t>)</w:t>
        <w:t xml:space="preserve"> </w:t>
        <w:t>added:</w:t>
        <w:t xml:space="preserve"> </w:t>
        <w:t>1</w:t>
      </w:r>
    </w:p>
    <w:p>
      <w:pPr>
        <w:pStyle w:val="Normal"/>
      </w:pPr>
      <w:r>
        <w:t>Now try logging into the machine, with: “ssh ‘ubuntu@server-2’”</w:t>
        <w:t xml:space="preserve"> </w:t>
        <w:t>and check to make sure that only the key</w:t>
        <w:t>(</w:t>
        <w:t>s</w:t>
        <w:t>)</w:t>
        <w:t xml:space="preserve"> </w:t>
        <w:t>you wanted were added.</w:t>
      </w:r>
    </w:p>
    <w:p>
      <w:pPr>
        <w:pStyle w:val="Para 17"/>
      </w:pPr>
      <w:r>
        <w:t/>
      </w:r>
    </w:p>
    <w:p>
      <w:pPr>
        <w:pStyle w:val="Para 01"/>
      </w:pPr>
      <w:r>
        <w:t>Client configuration</w:t>
      </w:r>
    </w:p>
    <w:p>
      <w:pPr>
        <w:pStyle w:val="Para 17"/>
      </w:pPr>
      <w:r>
        <w:t/>
      </w:r>
    </w:p>
    <w:p>
      <w:pPr>
        <w:pStyle w:val="Normal"/>
      </w:pPr>
      <w:r>
        <w:t>The SSH client needs to identify its PKCS#11 provider. To do that set the PKCS11Provider option in the ~/.ssh/config file of each user desiring to use SSH smart card login.</w:t>
      </w:r>
    </w:p>
    <w:p>
      <w:pPr>
        <w:pStyle w:val="Normal"/>
      </w:pPr>
      <w:r>
        <w:t>PKCS11Provider</w:t>
        <w:t xml:space="preserve"> </w:t>
        <w:t>/</w:t>
        <w:t>usr</w:t>
        <w:t>/</w:t>
        <w:t>lib</w:t>
        <w:t>/</w:t>
        <w:t>x86_64</w:t>
        <w:t>-</w:t>
        <w:t>linux</w:t>
        <w:t>-</w:t>
        <w:t>gnu</w:t>
        <w:t>/</w:t>
        <w:t>opensc</w:t>
        <w:t>-</w:t>
        <w:t>pkcs11</w:t>
        <w:t>.</w:t>
        <w:t>so</w:t>
      </w:r>
    </w:p>
    <w:p>
      <w:pPr>
        <w:pStyle w:val="Para 17"/>
      </w:pPr>
      <w:r>
        <w:t/>
      </w:r>
    </w:p>
    <w:p>
      <w:pPr>
        <w:pStyle w:val="Normal"/>
      </w:pPr>
      <w:r>
        <w:t>Use this method to enforce SSH smart card login on a per user basis.</w:t>
      </w:r>
    </w:p>
    <w:p>
      <w:pPr>
        <w:pStyle w:val="Normal"/>
      </w:pPr>
      <w:r>
        <w:t>After this step you can SSH into the server using the smart card for authentication.</w:t>
      </w:r>
    </w:p>
    <w:p>
      <w:bookmarkStart w:id="260" w:name="page_18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1"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195"/>
                    <a:stretch>
                      <a:fillRect/>
                    </a:stretch>
                  </pic:blipFill>
                  <pic:spPr>
                    <a:xfrm>
                      <a:off x="0" y="0"/>
                      <a:ext cx="914400" cy="266700"/>
                    </a:xfrm>
                    <a:prstGeom prst="rect">
                      <a:avLst/>
                    </a:prstGeom>
                  </pic:spPr>
                </pic:pic>
              </a:graphicData>
            </a:graphic>
          </wp:anchor>
        </w:drawing>
      </w:r>
      <w:bookmarkEnd w:id="260"/>
    </w:p>
    <w:p>
      <w:pPr>
        <w:pStyle w:val="Para 01"/>
      </w:pPr>
      <w:r>
        <w:t>SSH authentication</w:t>
      </w:r>
    </w:p>
    <w:p>
      <w:pPr>
        <w:pStyle w:val="Para 17"/>
      </w:pPr>
      <w:r>
        <w:t/>
      </w:r>
    </w:p>
    <w:p>
      <w:pPr>
        <w:pStyle w:val="Para 20"/>
      </w:pPr>
      <w:r>
        <w:rPr>
          <w:rStyle w:val="Text4"/>
        </w:rPr>
        <w:t xml:space="preserve">See </w:t>
      </w:r>
      <w:hyperlink w:anchor="page_184">
        <w:r>
          <w:t>this page on SSH authentication with smart cards</w:t>
        </w:r>
      </w:hyperlink>
      <w:r>
        <w:rPr>
          <w:rStyle w:val="Text4"/>
        </w:rPr>
        <w:t xml:space="preserve"> (page 183).</w:t>
      </w:r>
    </w:p>
    <w:p>
      <w:pPr>
        <w:pStyle w:val="Para 17"/>
      </w:pPr>
      <w:r>
        <w:t/>
      </w:r>
    </w:p>
    <w:p>
      <w:pPr>
        <w:pStyle w:val="Para 01"/>
      </w:pPr>
      <w:r>
        <w:t>Cryptography</w:t>
      </w:r>
    </w:p>
    <w:p>
      <w:pPr>
        <w:pStyle w:val="Para 17"/>
      </w:pPr>
      <w:r>
        <w:t/>
      </w:r>
    </w:p>
    <w:p>
      <w:pPr>
        <w:pStyle w:val="Normal"/>
      </w:pPr>
      <w:r>
        <w:t>The Secure Shell (SSH) cryptographic protocol that provides secure channels on an unsecured network. In Ubuntu, OpenSSH is the most commonly used implementation of SSH. It provides a suite of utilities for encrypting data transfers and can also be used for remote login and authentication.</w:t>
      </w:r>
    </w:p>
    <w:p>
      <w:pPr>
        <w:pStyle w:val="Para 17"/>
      </w:pPr>
      <w:r>
        <w:t/>
      </w:r>
    </w:p>
    <w:p>
      <w:pPr>
        <w:pStyle w:val="Para 01"/>
      </w:pPr>
      <w:r>
        <w:t>OpenSSH server</w:t>
      </w:r>
    </w:p>
    <w:p>
      <w:pPr>
        <w:pStyle w:val="Para 17"/>
      </w:pPr>
      <w:r>
        <w:t/>
      </w:r>
    </w:p>
    <w:p>
      <w:pPr>
        <w:pStyle w:val="Normal"/>
      </w:pPr>
      <w:r>
        <w:t>OpenSSH is a powerful collection of tools for remotely controlling networked computers and transferring data between them. Here we’ll describe some of the configuration settings pos-sible with the OpenSSH server application and how to change them on your Ubuntu system.</w:t>
      </w:r>
    </w:p>
    <w:p>
      <w:pPr>
        <w:pStyle w:val="Normal"/>
      </w:pPr>
      <w:r>
        <w:t>OpenSSH is a freely available version of the Secure Shell (SSH) protocol family of tools. Tra-ditional tools, such as telnet or rcp, are insecure and transmit the user’s password in cleart-ext when used. OpenSSH provides a server daemon and client tools to facilitate secure, en-crypted, remote control and file transfer operations, effectively replacing the legacy tools.</w:t>
      </w:r>
    </w:p>
    <w:p>
      <w:pPr>
        <w:pStyle w:val="Normal"/>
      </w:pPr>
      <w:r>
        <w:t>The OpenSSH server component, sshd, listens continuously for client connections from any of the client tools. When a connection request occurs, sshd sets up the correct connection depending on the type of client tool connecting. For example, if the remote computer is connecting with the SSH client application, the OpenSSH server sets up a remote control session after authentication. If a remote user connects to an OpenSSH server with scp, the OpenSSH server daemon initiates a secure copy of files between the server and client after authentication.</w:t>
      </w:r>
    </w:p>
    <w:p>
      <w:pPr>
        <w:pStyle w:val="Normal"/>
      </w:pPr>
      <w:r>
        <w:t>OpenSSH can use many authentication methods, including plain password, public key cryp-tography, and Kerberos tickets.</w:t>
      </w:r>
    </w:p>
    <w:p>
      <w:pPr>
        <w:pStyle w:val="Para 17"/>
      </w:pPr>
      <w:r>
        <w:t/>
      </w:r>
    </w:p>
    <w:p>
      <w:pPr>
        <w:pStyle w:val="Para 01"/>
      </w:pPr>
      <w:r>
        <w:t>Install OpenSSH</w:t>
      </w:r>
    </w:p>
    <w:p>
      <w:pPr>
        <w:pStyle w:val="Para 17"/>
      </w:pPr>
      <w:r>
        <w:t/>
      </w:r>
    </w:p>
    <w:p>
      <w:pPr>
        <w:pStyle w:val="Normal"/>
      </w:pPr>
      <w:r>
        <w:t>To install the OpenSSH client applications on your Ubuntu system, use this command at a terminal prompt:</w:t>
      </w:r>
    </w:p>
    <w:p>
      <w:pPr>
        <w:pStyle w:val="Normal"/>
      </w:pPr>
      <w:r>
        <w:t>sudo apt install openssh-client</w:t>
      </w:r>
    </w:p>
    <w:p>
      <w:pPr>
        <w:pStyle w:val="Para 17"/>
      </w:pPr>
      <w:r>
        <w:t/>
      </w:r>
    </w:p>
    <w:p>
      <w:pPr>
        <w:pStyle w:val="Normal"/>
      </w:pPr>
      <w:r>
        <w:t>To install the OpenSSH server application, and related support files, use this command at a terminal prompt:</w:t>
      </w:r>
    </w:p>
    <w:p>
      <w:pPr>
        <w:pStyle w:val="Normal"/>
      </w:pPr>
      <w:r>
        <w:t>sudo apt install openssh-server</w:t>
      </w:r>
    </w:p>
    <w:p>
      <w:bookmarkStart w:id="261" w:name="calibre_pb_37"/>
      <w:pPr>
        <w:pStyle w:val="0 Block"/>
      </w:pPr>
      <w:bookmarkEnd w:id="261"/>
    </w:p>
    <w:p>
      <w:bookmarkStart w:id="262" w:name="page_187"/>
      <w:bookmarkStart w:id="263" w:name="Top_of_index_split_03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2" name="index-187_1.png" descr="index-187_1.png"/>
            <wp:cNvGraphicFramePr>
              <a:graphicFrameLocks noChangeAspect="1"/>
            </wp:cNvGraphicFramePr>
            <a:graphic>
              <a:graphicData uri="http://schemas.openxmlformats.org/drawingml/2006/picture">
                <pic:pic>
                  <pic:nvPicPr>
                    <pic:cNvPr id="0" name="index-187_1.png" descr="index-187_1.png"/>
                    <pic:cNvPicPr/>
                  </pic:nvPicPr>
                  <pic:blipFill>
                    <a:blip r:embed="rId196"/>
                    <a:stretch>
                      <a:fillRect/>
                    </a:stretch>
                  </pic:blipFill>
                  <pic:spPr>
                    <a:xfrm>
                      <a:off x="0" y="0"/>
                      <a:ext cx="914400" cy="266700"/>
                    </a:xfrm>
                    <a:prstGeom prst="rect">
                      <a:avLst/>
                    </a:prstGeom>
                  </pic:spPr>
                </pic:pic>
              </a:graphicData>
            </a:graphic>
          </wp:anchor>
        </w:drawing>
      </w:r>
      <w:bookmarkEnd w:id="262"/>
      <w:bookmarkEnd w:id="263"/>
    </w:p>
    <w:p>
      <w:pPr>
        <w:pStyle w:val="Para 01"/>
      </w:pPr>
      <w:r>
        <w:t>Configure OpenSSH</w:t>
      </w:r>
    </w:p>
    <w:p>
      <w:pPr>
        <w:pStyle w:val="Para 17"/>
      </w:pPr>
      <w:r>
        <w:t/>
      </w:r>
    </w:p>
    <w:p>
      <w:pPr>
        <w:pStyle w:val="Normal"/>
      </w:pPr>
      <w:r>
        <w:t>To configure the default behavior of the OpenSSH server application, sshd, you can modify the main configuration file at /etc/ssh/sshd_config or add modular configuration snippets to the /etc/ssh/sshd_config.d/ directory.</w:t>
      </w:r>
    </w:p>
    <w:p>
      <w:pPr>
        <w:pStyle w:val="Para 17"/>
      </w:pPr>
      <w:r>
        <w:t/>
      </w:r>
    </w:p>
    <w:p>
      <w:pPr>
        <w:pStyle w:val="Para 08"/>
      </w:pPr>
      <w:r>
        <w:t>Important:</w:t>
      </w:r>
    </w:p>
    <w:p>
      <w:pPr>
        <w:pStyle w:val="Para 17"/>
      </w:pPr>
      <w:r>
        <w:t/>
      </w:r>
    </w:p>
    <w:p>
      <w:pPr>
        <w:pStyle w:val="Para 03"/>
      </w:pPr>
      <w:r>
        <w:t>By default, Ubuntu’s configuration includes the line Include /etc/ssh/sshd_config.d/*.</w:t>
      </w:r>
    </w:p>
    <w:p>
      <w:pPr>
        <w:pStyle w:val="Para 03"/>
      </w:pPr>
      <w:r>
        <w:t>conf at the very top of /etc/ssh/sshd_config. Because OpenSSH uses the first value set</w:t>
      </w:r>
    </w:p>
    <w:p>
      <w:pPr>
        <w:pStyle w:val="Para 03"/>
      </w:pPr>
      <w:r>
        <w:t>for most directives, any settings defined in files within sshd_config.d/ will override those</w:t>
      </w:r>
    </w:p>
    <w:p>
      <w:pPr>
        <w:pStyle w:val="Para 03"/>
      </w:pPr>
      <w:r>
        <w:t>in the main configuration file.</w:t>
      </w:r>
    </w:p>
    <w:p>
      <w:pPr>
        <w:pStyle w:val="Para 03"/>
      </w:pPr>
      <w:r>
        <w:t>Using snippets in sshd_config.d/ makes updates easier and keeps your custom changes</w:t>
      </w:r>
    </w:p>
    <w:p>
      <w:pPr>
        <w:pStyle w:val="Para 03"/>
      </w:pPr>
      <w:r>
        <w:t>separate from system defaults.</w:t>
      </w:r>
    </w:p>
    <w:p>
      <w:pPr>
        <w:pStyle w:val="Para 17"/>
      </w:pPr>
      <w:r>
        <w:t/>
      </w:r>
    </w:p>
    <w:p>
      <w:pPr>
        <w:pStyle w:val="Normal"/>
      </w:pPr>
      <w:r>
        <w:t xml:space="preserve">For information about the configuration directives, refer to the online </w:t>
      </w:r>
      <w:hyperlink r:id="rId1147">
        <w:r>
          <w:rPr>
            <w:rStyle w:val="Text9"/>
          </w:rPr>
          <w:t>140</w:t>
        </w:r>
      </w:hyperlink>
      <w:hyperlink r:id="rId1147">
        <w:r>
          <w:rPr>
            <w:rStyle w:val="Text1"/>
          </w:rPr>
          <w:t xml:space="preserve"> </w:t>
        </w:r>
      </w:hyperlink>
      <w:hyperlink r:id="rId1147">
        <w:r>
          <w:rPr>
            <w:rStyle w:val="Text2"/>
          </w:rPr>
          <w:t>sshd_config(5)</w:t>
        </w:r>
      </w:hyperlink>
      <w:r>
        <w:t xml:space="preserve"> manual page or run man sshd_config at a terminal prompt.</w:t>
      </w:r>
    </w:p>
    <w:p>
      <w:pPr>
        <w:pStyle w:val="Para 17"/>
      </w:pPr>
      <w:r>
        <w:t/>
      </w:r>
    </w:p>
    <w:p>
      <w:pPr>
        <w:pStyle w:val="Para 01"/>
      </w:pPr>
      <w:r>
        <w:t>Example configuration directive</w:t>
      </w:r>
    </w:p>
    <w:p>
      <w:pPr>
        <w:pStyle w:val="Para 17"/>
      </w:pPr>
      <w:r>
        <w:t/>
      </w:r>
    </w:p>
    <w:p>
      <w:pPr>
        <w:pStyle w:val="Normal"/>
      </w:pPr>
      <w:r>
        <w:t>Let’s take a look at an example of a configuration directive change. To make your OpenSSH server display the contents of the /etc/issue.net file as a pre-login banner, you can add or modify this line in the /etc/ssh/sshd_config or in a snippet file in /etc/ssh/sshd_config.d/:</w:t>
      </w:r>
    </w:p>
    <w:p>
      <w:pPr>
        <w:pStyle w:val="Normal"/>
      </w:pPr>
      <w:r>
        <w:t>Banner /etc/issue.net</w:t>
      </w:r>
    </w:p>
    <w:p>
      <w:pPr>
        <w:pStyle w:val="Para 17"/>
      </w:pPr>
      <w:r>
        <w:t/>
      </w:r>
    </w:p>
    <w:p>
      <w:pPr>
        <w:pStyle w:val="Normal"/>
      </w:pPr>
      <w:r>
        <w:t>Since losing an SSH server might mean losing your way to reach a server, check the configu-ration after changing it and before restarting the server:</w:t>
      </w:r>
    </w:p>
    <w:p>
      <w:pPr>
        <w:pStyle w:val="Normal"/>
      </w:pPr>
      <w:r>
        <w:t>sudo sshd -t</w:t>
      </w:r>
    </w:p>
    <w:p>
      <w:pPr>
        <w:pStyle w:val="Para 17"/>
      </w:pPr>
      <w:r>
        <w:t/>
      </w:r>
    </w:p>
    <w:p>
      <w:pPr>
        <w:pStyle w:val="Normal"/>
      </w:pPr>
      <w:r>
        <w:t>After making changes to the configuration, save the file. Then, restart the sshd server appli-cation to effect the changes using the following command:</w:t>
      </w:r>
    </w:p>
    <w:p>
      <w:pPr>
        <w:pStyle w:val="Normal"/>
      </w:pPr>
      <w:r>
        <w:t>sudo systemctl restart ssh.service</w:t>
      </w:r>
    </w:p>
    <w:p>
      <w:pPr>
        <w:pStyle w:val="Para 17"/>
      </w:pPr>
      <w:r>
        <w:t/>
      </w:r>
    </w:p>
    <w:p>
      <w:pPr>
        <w:pStyle w:val="Para 01"/>
      </w:pPr>
      <w:r>
        <w:t>Disable OS information disclosure through service banner</w:t>
      </w:r>
    </w:p>
    <w:p>
      <w:pPr>
        <w:pStyle w:val="Para 17"/>
      </w:pPr>
      <w:r>
        <w:t/>
      </w:r>
    </w:p>
    <w:p>
      <w:pPr>
        <w:pStyle w:val="Normal"/>
      </w:pPr>
      <w:r>
        <w:t>When a client establishes a TCP connection with the OpenSSH server, the server returns a banner providing information about the host OS and OpenSSH versions.</w:t>
      </w:r>
    </w:p>
    <w:p>
      <w:pPr>
        <w:pStyle w:val="Normal"/>
      </w:pPr>
      <w:r>
        <w:t>This banner is returned before the client authenticates to the service:</w:t>
      </w:r>
    </w:p>
    <w:p>
      <w:pPr>
        <w:pStyle w:val="Normal"/>
      </w:pPr>
      <w:r>
        <w:t>nc -nv</w:t>
        <w:t xml:space="preserve"> </w:t>
        <w:t>127</w:t>
        <w:t>.0.0.1</w:t>
        <w:t xml:space="preserve"> </w:t>
        <w:t>22</w:t>
      </w:r>
    </w:p>
    <w:p>
      <w:pPr>
        <w:pStyle w:val="Normal"/>
      </w:pPr>
      <w:r>
        <w:t>Connection to</w:t>
        <w:t xml:space="preserve"> </w:t>
        <w:t>127</w:t>
        <w:t>.0.0.1</w:t>
        <w:t xml:space="preserve"> </w:t>
        <w:t>22</w:t>
        <w:t xml:space="preserve"> </w:t>
        <w:t>port</w:t>
        <w:t xml:space="preserve"> </w:t>
        <w:t>[</w:t>
        <w:t>tcp/*</w:t>
        <w:t>]</w:t>
        <w:t xml:space="preserve"> </w:t>
        <w:t>succeeded!</w:t>
        <w:t xml:space="preserve"> </w:t>
        <w:t>SSH-2.0-OpenSSH_10.2p1 Ubuntu-2ubuntu1</w:t>
      </w:r>
    </w:p>
    <w:p>
      <w:pPr>
        <w:pStyle w:val="Para 17"/>
      </w:pPr>
      <w:r>
        <w:t/>
      </w:r>
    </w:p>
    <w:p>
      <w:pPr>
        <w:pStyle w:val="Normal"/>
      </w:pPr>
      <w:r>
        <w:t>The OS related information can be suppressed from that banner through the DebianBanner configuration directive in the /etc/ssh/sshd_config or in a snippet file in /etc/ssh/sshd_ config.d/:</w:t>
      </w:r>
    </w:p>
    <w:p>
      <w:pPr>
        <w:pStyle w:val="Para 05"/>
      </w:pPr>
      <w:r>
        <w:rPr>
          <w:rStyle w:val="Text5"/>
        </w:rPr>
        <w:t>140</w:t>
      </w:r>
      <w:r>
        <w:rPr>
          <w:rStyle w:val="Text8"/>
        </w:rPr>
        <w:t xml:space="preserve"> </w:t>
      </w:r>
      <w:r>
        <w:t>https://manpages.ubuntu.com/manpages/resolute/man5/sshd_config.5.html</w:t>
      </w:r>
      <w:r>
        <w:rPr>
          <w:rStyle w:val="Text8"/>
        </w:rPr>
        <w:t xml:space="preserve"> </w:t>
        <w:t>DebianBanner no</w:t>
      </w:r>
    </w:p>
    <w:p>
      <w:bookmarkStart w:id="264" w:name="page_1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3"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197"/>
                    <a:stretch>
                      <a:fillRect/>
                    </a:stretch>
                  </pic:blipFill>
                  <pic:spPr>
                    <a:xfrm>
                      <a:off x="0" y="0"/>
                      <a:ext cx="914400" cy="266700"/>
                    </a:xfrm>
                    <a:prstGeom prst="rect">
                      <a:avLst/>
                    </a:prstGeom>
                  </pic:spPr>
                </pic:pic>
              </a:graphicData>
            </a:graphic>
          </wp:anchor>
        </w:drawing>
      </w:r>
      <w:bookmarkEnd w:id="264"/>
    </w:p>
    <w:p>
      <w:pPr>
        <w:pStyle w:val="Para 17"/>
      </w:pPr>
      <w:r>
        <w:t/>
      </w:r>
    </w:p>
    <w:p>
      <w:pPr>
        <w:pStyle w:val="Normal"/>
      </w:pPr>
      <w:r>
        <w:t>As shown in the previous example, restart the sshd server and verify that the banner no longer contains the snippet announcing the OS related data:</w:t>
      </w:r>
    </w:p>
    <w:p>
      <w:pPr>
        <w:pStyle w:val="Normal"/>
      </w:pPr>
      <w:r>
        <w:t>nc -nv</w:t>
        <w:t xml:space="preserve"> </w:t>
        <w:t>127</w:t>
        <w:t>.0.0.1</w:t>
        <w:t xml:space="preserve"> </w:t>
        <w:t>22</w:t>
      </w:r>
    </w:p>
    <w:p>
      <w:pPr>
        <w:pStyle w:val="Normal"/>
      </w:pPr>
      <w:r>
        <w:t>Connection to</w:t>
        <w:t xml:space="preserve"> </w:t>
        <w:t>127</w:t>
        <w:t>.0.0.1</w:t>
        <w:t xml:space="preserve"> </w:t>
        <w:t>22</w:t>
        <w:t xml:space="preserve"> </w:t>
        <w:t>port</w:t>
        <w:t xml:space="preserve"> </w:t>
        <w:t>[</w:t>
        <w:t>tcp/*</w:t>
        <w:t>]</w:t>
        <w:t xml:space="preserve"> </w:t>
        <w:t>succeeded!</w:t>
        <w:t xml:space="preserve"> </w:t>
        <w:t>SSH-2.0-OpenSSH_10.2p1</w:t>
      </w:r>
    </w:p>
    <w:p>
      <w:pPr>
        <w:pStyle w:val="Para 17"/>
      </w:pPr>
      <w:r>
        <w:t/>
      </w:r>
    </w:p>
    <w:p>
      <w:pPr>
        <w:pStyle w:val="Para 08"/>
      </w:pPr>
      <w:r>
        <w:t>Warning:</w:t>
      </w:r>
    </w:p>
    <w:p>
      <w:pPr>
        <w:pStyle w:val="Para 17"/>
      </w:pPr>
      <w:r>
        <w:t/>
      </w:r>
    </w:p>
    <w:p>
      <w:pPr>
        <w:pStyle w:val="Para 03"/>
      </w:pPr>
      <w:r>
        <w:t>Many other configuration directives for sshd are available to change the server applica-</w:t>
      </w:r>
    </w:p>
    <w:p>
      <w:pPr>
        <w:pStyle w:val="Para 03"/>
      </w:pPr>
      <w:r>
        <w:t>tion’s behavior to fit your needs. Be advised, however, if your only method of access to a</w:t>
      </w:r>
    </w:p>
    <w:p>
      <w:pPr>
        <w:pStyle w:val="Para 03"/>
      </w:pPr>
      <w:r>
        <w:t>server is SSH, and you make a mistake when configuring sshd you may find you are locked</w:t>
      </w:r>
    </w:p>
    <w:p>
      <w:pPr>
        <w:pStyle w:val="Para 03"/>
      </w:pPr>
      <w:r>
        <w:t>out of the server upon restarting it. Additionally, if an incorrect configuration directive is</w:t>
      </w:r>
    </w:p>
    <w:p>
      <w:pPr>
        <w:pStyle w:val="Para 03"/>
      </w:pPr>
      <w:r>
        <w:t>supplied, the sshd server may refuse to start, so be particularly careful when editing the</w:t>
      </w:r>
    </w:p>
    <w:p>
      <w:pPr>
        <w:pStyle w:val="Para 03"/>
      </w:pPr>
      <w:r>
        <w:t>configuration on a remote server.</w:t>
      </w:r>
    </w:p>
    <w:p>
      <w:pPr>
        <w:pStyle w:val="Para 17"/>
      </w:pPr>
      <w:r>
        <w:t/>
      </w:r>
    </w:p>
    <w:p>
      <w:pPr>
        <w:pStyle w:val="Para 08"/>
      </w:pPr>
      <w:r>
        <w:t>Tip:</w:t>
      </w:r>
    </w:p>
    <w:p>
      <w:pPr>
        <w:pStyle w:val="Para 17"/>
      </w:pPr>
      <w:r>
        <w:t/>
      </w:r>
    </w:p>
    <w:p>
      <w:pPr>
        <w:pStyle w:val="Para 03"/>
      </w:pPr>
      <w:r>
        <w:t xml:space="preserve">You can use </w:t>
      </w:r>
      <w:hyperlink w:anchor="page_468">
        <w:r>
          <w:rPr>
            <w:rStyle w:val="Text2"/>
          </w:rPr>
          <w:t>etckeeper</w:t>
        </w:r>
      </w:hyperlink>
      <w:r>
        <w:t xml:space="preserve"> (page 467) to track changes in your /etc/ with git.</w:t>
      </w:r>
    </w:p>
    <w:p>
      <w:pPr>
        <w:pStyle w:val="Para 03"/>
      </w:pPr>
      <w:r>
        <w:t>Alternatively, before editing the configuration file, you should make a copy of the original</w:t>
      </w:r>
    </w:p>
    <w:p>
      <w:pPr>
        <w:pStyle w:val="Para 03"/>
      </w:pPr>
      <w:r>
        <w:t>/etc/ssh/sshd_config file and protect it from writing so you will have the original settings</w:t>
      </w:r>
    </w:p>
    <w:p>
      <w:pPr>
        <w:pStyle w:val="Para 03"/>
      </w:pPr>
      <w:r>
        <w:t>as a reference and to reuse as necessary. You can do this with the following commands:</w:t>
      </w:r>
    </w:p>
    <w:p>
      <w:pPr>
        <w:pStyle w:val="Para 03"/>
      </w:pPr>
      <w:r>
        <w:t>sudo cp /etc/ssh/sshd_config /etc/ssh/sshd_config.original</w:t>
      </w:r>
    </w:p>
    <w:p>
      <w:pPr>
        <w:pStyle w:val="Para 03"/>
      </w:pPr>
      <w:r>
        <w:t>sudo chmod a-w /etc/ssh/sshd_config.original</w:t>
      </w:r>
    </w:p>
    <w:p>
      <w:pPr>
        <w:pStyle w:val="Para 17"/>
      </w:pPr>
      <w:r>
        <w:t/>
      </w:r>
    </w:p>
    <w:p>
      <w:pPr>
        <w:pStyle w:val="Para 01"/>
      </w:pPr>
      <w:r>
        <w:t>SSH keys</w:t>
      </w:r>
    </w:p>
    <w:p>
      <w:pPr>
        <w:pStyle w:val="Para 17"/>
      </w:pPr>
      <w:r>
        <w:t/>
      </w:r>
    </w:p>
    <w:p>
      <w:pPr>
        <w:pStyle w:val="Normal"/>
      </w:pPr>
      <w:r>
        <w:t>SSH allows authentication between two hosts without the need of a password, using crypto-</w:t>
      </w:r>
    </w:p>
    <w:p>
      <w:pPr>
        <w:pStyle w:val="Normal"/>
      </w:pPr>
      <w:r>
        <w:t xml:space="preserve">graphic keys instead. </w:t>
      </w:r>
      <w:hyperlink w:anchor="page_707">
        <w:r>
          <w:rPr>
            <w:rStyle w:val="Text2"/>
          </w:rPr>
          <w:t>SSH-key</w:t>
        </w:r>
      </w:hyperlink>
      <w:r>
        <w:t xml:space="preserve"> authentication uses a </w:t>
      </w:r>
      <w:r>
        <w:rPr>
          <w:rStyle w:val="Text0"/>
        </w:rPr>
        <w:t>private key</w:t>
      </w:r>
      <w:r>
        <w:t xml:space="preserve"> and a </w:t>
      </w:r>
      <w:r>
        <w:rPr>
          <w:rStyle w:val="Text0"/>
        </w:rPr>
        <w:t>public key</w:t>
      </w:r>
      <w:r>
        <w:t>.</w:t>
      </w:r>
    </w:p>
    <w:p>
      <w:pPr>
        <w:pStyle w:val="Normal"/>
      </w:pPr>
      <w:r>
        <w:t xml:space="preserve">We recommend the </w:t>
      </w:r>
      <w:hyperlink r:id="rId1148">
        <w:r>
          <w:rPr>
            <w:rStyle w:val="Text9"/>
          </w:rPr>
          <w:t>141</w:t>
        </w:r>
      </w:hyperlink>
      <w:hyperlink r:id="rId1148">
        <w:r>
          <w:rPr>
            <w:rStyle w:val="Text1"/>
          </w:rPr>
          <w:t xml:space="preserve"> </w:t>
        </w:r>
      </w:hyperlink>
      <w:hyperlink r:id="rId1148">
        <w:r>
          <w:rPr>
            <w:rStyle w:val="Text13"/>
          </w:rPr>
          <w:t>ed25519 Elliptic Curve algorithm</w:t>
        </w:r>
      </w:hyperlink>
      <w:r>
        <w:t xml:space="preserve"> (-t ed25519) due to shorter key size and lower computational requirements. Alternatively, you can create a key using the </w:t>
      </w:r>
      <w:r>
        <w:rPr>
          <w:rStyle w:val="Text0"/>
        </w:rPr>
        <w:t>RSA Algorithm</w:t>
      </w:r>
      <w:r>
        <w:t xml:space="preserve"> (-t rsa -b 4096, for 4096 bit key size) instead.</w:t>
      </w:r>
    </w:p>
    <w:p>
      <w:pPr>
        <w:pStyle w:val="Normal"/>
      </w:pPr>
      <w:r>
        <w:t>To generate a key pair, run the following command:</w:t>
      </w:r>
    </w:p>
    <w:p>
      <w:pPr>
        <w:pStyle w:val="Normal"/>
      </w:pPr>
      <w:r>
        <w:t>ssh-keygen -t ed25519</w:t>
      </w:r>
    </w:p>
    <w:p>
      <w:pPr>
        <w:pStyle w:val="Para 17"/>
      </w:pPr>
      <w:r>
        <w:t/>
      </w:r>
    </w:p>
    <w:p>
      <w:pPr>
        <w:pStyle w:val="Normal"/>
      </w:pPr>
      <w:r>
        <w:t>During creation, you will be prompted for a key passphrase, which you would enter to use</w:t>
      </w:r>
    </w:p>
    <w:p>
      <w:pPr>
        <w:pStyle w:val="Normal"/>
      </w:pPr>
      <w:r>
        <w:t xml:space="preserve">that key (every time, or instead using an </w:t>
      </w:r>
      <w:hyperlink w:anchor="page_188">
        <w:r>
          <w:rPr>
            <w:rStyle w:val="Text9"/>
          </w:rPr>
          <w:t>142</w:t>
        </w:r>
      </w:hyperlink>
      <w:r>
        <w:t xml:space="preserve"> </w:t>
      </w:r>
      <w:hyperlink r:id="rId1149">
        <w:r>
          <w:rPr>
            <w:rStyle w:val="Text2"/>
          </w:rPr>
          <w:t>ssh-agent(1)</w:t>
        </w:r>
      </w:hyperlink>
      <w:r>
        <w:t>.</w:t>
      </w:r>
    </w:p>
    <w:p>
      <w:pPr>
        <w:pStyle w:val="Normal"/>
      </w:pPr>
      <w:r>
        <w:t>By default, the public key is saved in the file ~/.ssh/id_&lt;algorithm&gt;.pub, while ~/.ssh/id_ &lt;algorithm&gt; is the private key. To allow login for a user via key, append the content of id_ ed25519.pub (id_rsa.pub for RSA) to target_machine:~/.ssh/authorized_keys by running:</w:t>
      </w:r>
    </w:p>
    <w:p>
      <w:pPr>
        <w:pStyle w:val="Para 05"/>
      </w:pPr>
      <w:r>
        <w:rPr>
          <w:rStyle w:val="Text5"/>
        </w:rPr>
        <w:t>141</w:t>
      </w:r>
      <w:r>
        <w:rPr>
          <w:rStyle w:val="Text8"/>
        </w:rPr>
        <w:t xml:space="preserve"> </w:t>
      </w:r>
      <w:r>
        <w:t>https://ed25519.cr.yp.to/</w:t>
      </w:r>
    </w:p>
    <w:p>
      <w:pPr>
        <w:pStyle w:val="Para 05"/>
      </w:pPr>
      <w:r>
        <w:rPr>
          <w:rStyle w:val="Text5"/>
        </w:rPr>
        <w:t>142</w:t>
      </w:r>
      <w:r>
        <w:rPr>
          <w:rStyle w:val="Text8"/>
        </w:rPr>
        <w:t xml:space="preserve"> </w:t>
      </w:r>
      <w:r>
        <w:t>https://manpages.ubuntu.com/manpages/resolute/man1/ssh-agent.1.html</w:t>
      </w:r>
      <w:r>
        <w:rPr>
          <w:rStyle w:val="Text8"/>
        </w:rPr>
        <w:t xml:space="preserve"> </w:t>
        <w:t>ssh-copy-id username@target_machine</w:t>
      </w:r>
    </w:p>
    <w:p>
      <w:bookmarkStart w:id="265" w:name="page_1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4" name="index-189_1.png" descr="index-189_1.png"/>
            <wp:cNvGraphicFramePr>
              <a:graphicFrameLocks noChangeAspect="1"/>
            </wp:cNvGraphicFramePr>
            <a:graphic>
              <a:graphicData uri="http://schemas.openxmlformats.org/drawingml/2006/picture">
                <pic:pic>
                  <pic:nvPicPr>
                    <pic:cNvPr id="0" name="index-189_1.png" descr="index-189_1.png"/>
                    <pic:cNvPicPr/>
                  </pic:nvPicPr>
                  <pic:blipFill>
                    <a:blip r:embed="rId198"/>
                    <a:stretch>
                      <a:fillRect/>
                    </a:stretch>
                  </pic:blipFill>
                  <pic:spPr>
                    <a:xfrm>
                      <a:off x="0" y="0"/>
                      <a:ext cx="914400" cy="266700"/>
                    </a:xfrm>
                    <a:prstGeom prst="rect">
                      <a:avLst/>
                    </a:prstGeom>
                  </pic:spPr>
                </pic:pic>
              </a:graphicData>
            </a:graphic>
          </wp:anchor>
        </w:drawing>
      </w:r>
      <w:bookmarkEnd w:id="265"/>
    </w:p>
    <w:p>
      <w:pPr>
        <w:pStyle w:val="Para 17"/>
      </w:pPr>
      <w:r>
        <w:t/>
      </w:r>
    </w:p>
    <w:p>
      <w:pPr>
        <w:pStyle w:val="Normal"/>
      </w:pPr>
      <w:r>
        <w:t>Finally, double check the permissions on the authorized_keys file – only the authenticated user must have write permissions. If the permissions are not correct then change them by:</w:t>
      </w:r>
    </w:p>
    <w:p>
      <w:pPr>
        <w:pStyle w:val="Normal"/>
      </w:pPr>
      <w:r>
        <w:t>chmod go-w .ssh/authorized_keys</w:t>
      </w:r>
    </w:p>
    <w:p>
      <w:pPr>
        <w:pStyle w:val="Para 17"/>
      </w:pPr>
      <w:r>
        <w:t/>
      </w:r>
    </w:p>
    <w:p>
      <w:pPr>
        <w:pStyle w:val="Normal"/>
      </w:pPr>
      <w:r>
        <w:t>You should now be able to SSH to the target_machine without being prompted for a pass-word.</w:t>
      </w:r>
    </w:p>
    <w:p>
      <w:pPr>
        <w:pStyle w:val="Normal"/>
      </w:pPr>
      <w:r>
        <w:t>To troubleshoot this, have a look at the target_machine’s live logs of ssh.service:</w:t>
      </w:r>
    </w:p>
    <w:p>
      <w:pPr>
        <w:pStyle w:val="Normal"/>
      </w:pPr>
      <w:r>
        <w:t>sudo journalctl -fu ssh.service</w:t>
      </w:r>
    </w:p>
    <w:p>
      <w:pPr>
        <w:pStyle w:val="Para 17"/>
      </w:pPr>
      <w:r>
        <w:t/>
      </w:r>
    </w:p>
    <w:p>
      <w:pPr>
        <w:pStyle w:val="Normal"/>
      </w:pPr>
      <w:r>
        <w:t xml:space="preserve">Since you can have multiple </w:t>
      </w:r>
      <w:hyperlink w:anchor="page_707">
        <w:r>
          <w:rPr>
            <w:rStyle w:val="Text2"/>
          </w:rPr>
          <w:t>SSH-key</w:t>
        </w:r>
      </w:hyperlink>
      <w:r>
        <w:t>s, you can configure which to use for which target ma-</w:t>
      </w:r>
    </w:p>
    <w:p>
      <w:pPr>
        <w:pStyle w:val="Normal"/>
      </w:pPr>
      <w:r>
        <w:t xml:space="preserve">chine in </w:t>
      </w:r>
      <w:hyperlink r:id="rId1150">
        <w:r>
          <w:rPr>
            <w:rStyle w:val="Text9"/>
          </w:rPr>
          <w:t>143</w:t>
        </w:r>
      </w:hyperlink>
      <w:r>
        <w:t xml:space="preserve"> ~/.ssh/config (see </w:t>
      </w:r>
      <w:hyperlink r:id="rId1150">
        <w:r>
          <w:rPr>
            <w:rStyle w:val="Text2"/>
          </w:rPr>
          <w:t>ssh_config(5)</w:t>
        </w:r>
      </w:hyperlink>
      <w:r>
        <w:t>).</w:t>
      </w:r>
    </w:p>
    <w:p>
      <w:pPr>
        <w:pStyle w:val="Para 17"/>
      </w:pPr>
      <w:r>
        <w:t/>
      </w:r>
    </w:p>
    <w:p>
      <w:pPr>
        <w:pStyle w:val="Para 01"/>
      </w:pPr>
      <w:r>
        <w:t>Connection multiplexing</w:t>
      </w:r>
    </w:p>
    <w:p>
      <w:pPr>
        <w:pStyle w:val="Para 17"/>
      </w:pPr>
      <w:r>
        <w:t/>
      </w:r>
    </w:p>
    <w:p>
      <w:pPr>
        <w:pStyle w:val="Normal"/>
      </w:pPr>
      <w:r>
        <w:t>To reduce connection setup times, multiple SSH sessions to the same target_machine can</w:t>
      </w:r>
    </w:p>
    <w:p>
      <w:pPr>
        <w:pStyle w:val="Normal"/>
      </w:pPr>
      <w:r>
        <w:t xml:space="preserve">reuse the same </w:t>
      </w:r>
      <w:hyperlink w:anchor="page_709">
        <w:r>
          <w:rPr>
            <w:rStyle w:val="Text2"/>
          </w:rPr>
          <w:t>TCP</w:t>
        </w:r>
      </w:hyperlink>
      <w:r>
        <w:t xml:space="preserve"> connection.</w:t>
      </w:r>
    </w:p>
    <w:p>
      <w:pPr>
        <w:pStyle w:val="Normal"/>
      </w:pPr>
      <w:r>
        <w:t>Configuration to activate multiplexing in ~/.ssh/config:</w:t>
      </w:r>
    </w:p>
    <w:p>
      <w:pPr>
        <w:pStyle w:val="Normal"/>
      </w:pPr>
      <w:r>
        <w:t>ControlMaster auto</w:t>
      </w:r>
    </w:p>
    <w:p>
      <w:pPr>
        <w:pStyle w:val="Normal"/>
      </w:pPr>
      <w:r>
        <w:t>ControlPath %d/.ssh/ssh_mux_%u@%l_%r@%h:%p</w:t>
      </w:r>
    </w:p>
    <w:p>
      <w:pPr>
        <w:pStyle w:val="Para 17"/>
      </w:pPr>
      <w:r>
        <w:t/>
      </w:r>
    </w:p>
    <w:p>
      <w:pPr>
        <w:pStyle w:val="Normal"/>
      </w:pPr>
      <w:r>
        <w:t>Optionally, if you want the session to still be re-usable 1 second after disconnecting, set:</w:t>
      </w:r>
    </w:p>
    <w:p>
      <w:pPr>
        <w:pStyle w:val="Normal"/>
      </w:pPr>
      <w:r>
        <w:t>ControlPersist 1</w:t>
      </w:r>
    </w:p>
    <w:p>
      <w:pPr>
        <w:pStyle w:val="Para 17"/>
      </w:pPr>
      <w:r>
        <w:t/>
      </w:r>
    </w:p>
    <w:p>
      <w:pPr>
        <w:pStyle w:val="Para 01"/>
      </w:pPr>
      <w:r>
        <w:t>Import keys from public keyservers</w:t>
      </w:r>
    </w:p>
    <w:p>
      <w:pPr>
        <w:pStyle w:val="Para 17"/>
      </w:pPr>
      <w:r>
        <w:t/>
      </w:r>
    </w:p>
    <w:p>
      <w:pPr>
        <w:pStyle w:val="Normal"/>
      </w:pPr>
      <w:r>
        <w:t>These days many users have already SSH keys registered with services like Launchpad or GitHub. Those can be imported with:</w:t>
      </w:r>
    </w:p>
    <w:p>
      <w:pPr>
        <w:pStyle w:val="Normal"/>
      </w:pPr>
      <w:r>
        <w:t>ssh-import-id &lt;username-on-remote-service&gt;</w:t>
      </w:r>
    </w:p>
    <w:p>
      <w:pPr>
        <w:pStyle w:val="Para 17"/>
      </w:pPr>
      <w:r>
        <w:t/>
      </w:r>
    </w:p>
    <w:p>
      <w:pPr>
        <w:pStyle w:val="Normal"/>
      </w:pPr>
      <w:r>
        <w:t>The prefix lp: is implied and means fetching from Launchpad. The alternative gh: will make the tool fetch from GitHub instead.</w:t>
      </w:r>
    </w:p>
    <w:p>
      <w:pPr>
        <w:pStyle w:val="Para 05"/>
      </w:pPr>
      <w:r>
        <w:rPr>
          <w:rStyle w:val="Text5"/>
        </w:rPr>
        <w:t>143</w:t>
      </w:r>
      <w:r>
        <w:rPr>
          <w:rStyle w:val="Text8"/>
        </w:rPr>
        <w:t xml:space="preserve"> </w:t>
      </w:r>
      <w:r>
        <w:t>https://manpages.ubuntu.com/manpages/resolute/man5/ssh_config.5.html</w:t>
      </w:r>
    </w:p>
    <w:p>
      <w:bookmarkStart w:id="266" w:name="calibre_pb_38"/>
      <w:pPr>
        <w:pStyle w:val="0 Block"/>
      </w:pPr>
      <w:bookmarkEnd w:id="266"/>
    </w:p>
    <w:p>
      <w:bookmarkStart w:id="267" w:name="Top_of_index_split_039_html"/>
      <w:bookmarkStart w:id="268" w:name="page_19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5"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199"/>
                    <a:stretch>
                      <a:fillRect/>
                    </a:stretch>
                  </pic:blipFill>
                  <pic:spPr>
                    <a:xfrm>
                      <a:off x="0" y="0"/>
                      <a:ext cx="914400" cy="266700"/>
                    </a:xfrm>
                    <a:prstGeom prst="rect">
                      <a:avLst/>
                    </a:prstGeom>
                  </pic:spPr>
                </pic:pic>
              </a:graphicData>
            </a:graphic>
          </wp:anchor>
        </w:drawing>
      </w:r>
      <w:bookmarkEnd w:id="267"/>
      <w:bookmarkEnd w:id="268"/>
    </w:p>
    <w:p>
      <w:pPr>
        <w:pStyle w:val="Para 01"/>
      </w:pPr>
      <w:r>
        <w:t>Two factor authentication</w:t>
      </w:r>
    </w:p>
    <w:p>
      <w:pPr>
        <w:pStyle w:val="Para 17"/>
      </w:pPr>
      <w:r>
        <w:t/>
      </w:r>
    </w:p>
    <w:p>
      <w:pPr>
        <w:pStyle w:val="Normal"/>
      </w:pPr>
      <w:r>
        <w:t>You can add an extra layer of security to the default key-based authentication using two fac-</w:t>
      </w:r>
    </w:p>
    <w:p>
      <w:pPr>
        <w:pStyle w:val="Normal"/>
      </w:pPr>
      <w:r>
        <w:t xml:space="preserve">tor authentication. You can add two factor authentication </w:t>
      </w:r>
      <w:hyperlink w:anchor="page_194">
        <w:r>
          <w:rPr>
            <w:rStyle w:val="Text2"/>
          </w:rPr>
          <w:t>using U2F/FIDO hardware authenti-</w:t>
        </w:r>
      </w:hyperlink>
    </w:p>
    <w:p>
      <w:pPr>
        <w:pStyle w:val="Normal"/>
      </w:pPr>
      <w:hyperlink w:anchor="page_194">
        <w:r>
          <w:rPr>
            <w:rStyle w:val="Text2"/>
          </w:rPr>
          <w:t>cation devices</w:t>
        </w:r>
      </w:hyperlink>
      <w:r>
        <w:t xml:space="preserve"> (page 193). Alternatively, in cases U2F/FIDO hardware authentication devices</w:t>
      </w:r>
    </w:p>
    <w:p>
      <w:pPr>
        <w:pStyle w:val="Normal"/>
      </w:pPr>
      <w:r>
        <w:t xml:space="preserve">are unavailable or impractical for your use case you can add it </w:t>
      </w:r>
      <w:hyperlink w:anchor="page_190">
        <w:r>
          <w:rPr>
            <w:rStyle w:val="Text2"/>
          </w:rPr>
          <w:t>using HMAC/Time based One</w:t>
        </w:r>
      </w:hyperlink>
    </w:p>
    <w:p>
      <w:pPr>
        <w:pStyle w:val="Para 20"/>
      </w:pPr>
      <w:hyperlink w:anchor="page_190">
        <w:r>
          <w:t>Time Passwords (HOTP/TOTP)</w:t>
        </w:r>
      </w:hyperlink>
      <w:r>
        <w:rPr>
          <w:rStyle w:val="Text4"/>
        </w:rPr>
        <w:t xml:space="preserve"> (page 189).</w:t>
      </w:r>
    </w:p>
    <w:p>
      <w:pPr>
        <w:pStyle w:val="Para 17"/>
      </w:pPr>
      <w:r>
        <w:t/>
      </w:r>
    </w:p>
    <w:p>
      <w:pPr>
        <w:pStyle w:val="Para 01"/>
      </w:pPr>
      <w:r>
        <w:t>Handling unstable connections</w:t>
      </w:r>
    </w:p>
    <w:p>
      <w:pPr>
        <w:pStyle w:val="Para 17"/>
      </w:pPr>
      <w:r>
        <w:t/>
      </w:r>
    </w:p>
    <w:p>
      <w:pPr>
        <w:pStyle w:val="Normal"/>
      </w:pPr>
      <w:r>
        <w:t>When working on remote systems via SSH, unstable network connections or accidental dis-connects can interrupt your work and terminate running processes. Terminal multiplexers solve this problem by allowing sessions to persist even after disconnection.</w:t>
      </w:r>
    </w:p>
    <w:p>
      <w:pPr>
        <w:pStyle w:val="Normal"/>
      </w:pPr>
      <w:r>
        <w:t xml:space="preserve">Using a </w:t>
      </w:r>
      <w:hyperlink w:anchor="page_722">
        <w:r>
          <w:rPr>
            <w:rStyle w:val="Text2"/>
          </w:rPr>
          <w:t>terminal multiplexer</w:t>
        </w:r>
      </w:hyperlink>
      <w:r>
        <w:t xml:space="preserve"> (page 721) like tmux or screen, you can start a session on the remote machine that continues running independently of your SSH connection. If your con-nection drops, you can reconnect and reattach to your existing session, resuming your work exactly where you left off without losing any running processes or command output.</w:t>
      </w:r>
    </w:p>
    <w:p>
      <w:pPr>
        <w:pStyle w:val="Para 17"/>
      </w:pPr>
      <w:r>
        <w:t/>
      </w:r>
    </w:p>
    <w:p>
      <w:pPr>
        <w:pStyle w:val="Para 01"/>
      </w:pPr>
      <w:r>
        <w:t>Further reading</w:t>
      </w:r>
    </w:p>
    <w:p>
      <w:pPr>
        <w:pStyle w:val="Para 17"/>
      </w:pPr>
      <w:r>
        <w:t/>
      </w:r>
    </w:p>
    <w:p>
      <w:pPr>
        <w:pStyle w:val="Para 13"/>
      </w:pPr>
      <w:r>
        <w:rPr>
          <w:rStyle w:val="Text7"/>
        </w:rPr>
        <w:t xml:space="preserve">• </w:t>
      </w:r>
      <w:hyperlink w:anchor="page_190">
        <w:r>
          <w:rPr>
            <w:rStyle w:val="Text10"/>
          </w:rPr>
          <w:t>144</w:t>
        </w:r>
      </w:hyperlink>
      <w:r>
        <w:rPr>
          <w:rStyle w:val="Text7"/>
        </w:rPr>
        <w:t xml:space="preserve"> </w:t>
      </w:r>
      <w:hyperlink r:id="rId1151">
        <w:r>
          <w:t>Ubuntu Wiki SSH</w:t>
        </w:r>
      </w:hyperlink>
      <w:r>
        <w:rPr>
          <w:rStyle w:val="Text7"/>
        </w:rPr>
        <w:t xml:space="preserve"> page.</w:t>
      </w:r>
    </w:p>
    <w:p>
      <w:pPr>
        <w:pStyle w:val="Para 13"/>
      </w:pPr>
      <w:r>
        <w:rPr>
          <w:rStyle w:val="Text7"/>
        </w:rPr>
        <w:t xml:space="preserve">• </w:t>
      </w:r>
      <w:hyperlink w:anchor="page_190">
        <w:r>
          <w:rPr>
            <w:rStyle w:val="Text10"/>
          </w:rPr>
          <w:t>145</w:t>
        </w:r>
      </w:hyperlink>
      <w:r>
        <w:rPr>
          <w:rStyle w:val="Text7"/>
        </w:rPr>
        <w:t xml:space="preserve"> </w:t>
      </w:r>
      <w:hyperlink r:id="rId1152">
        <w:r>
          <w:t>OpenSSH Website</w:t>
        </w:r>
      </w:hyperlink>
    </w:p>
    <w:p>
      <w:pPr>
        <w:pStyle w:val="Para 13"/>
      </w:pPr>
      <w:r>
        <w:rPr>
          <w:rStyle w:val="Text7"/>
        </w:rPr>
        <w:t xml:space="preserve">• </w:t>
      </w:r>
      <w:hyperlink r:id="rId1153">
        <w:r>
          <w:rPr>
            <w:rStyle w:val="Text10"/>
          </w:rPr>
          <w:t>146</w:t>
        </w:r>
      </w:hyperlink>
      <w:hyperlink r:id="rId1153">
        <w:r>
          <w:t xml:space="preserve"> Advanced OpenSSH Wiki Page</w:t>
        </w:r>
      </w:hyperlink>
    </w:p>
    <w:p>
      <w:pPr>
        <w:pStyle w:val="Para 17"/>
      </w:pPr>
      <w:r>
        <w:t/>
      </w:r>
    </w:p>
    <w:p>
      <w:pPr>
        <w:pStyle w:val="Para 01"/>
      </w:pPr>
      <w:r>
        <w:t>Two factor authentication with TOTP/HOTP</w:t>
      </w:r>
    </w:p>
    <w:p>
      <w:pPr>
        <w:pStyle w:val="Para 17"/>
      </w:pPr>
      <w:r>
        <w:t/>
      </w:r>
    </w:p>
    <w:p>
      <w:pPr>
        <w:pStyle w:val="Normal"/>
      </w:pPr>
      <w:r>
        <w:t>For the best two factor authentication (2FA) security, we recommend using hardware au-</w:t>
      </w:r>
    </w:p>
    <w:p>
      <w:pPr>
        <w:pStyle w:val="Normal"/>
      </w:pPr>
      <w:r>
        <w:t xml:space="preserve">thentication devices that support U2F/FIDO. See the guide on </w:t>
      </w:r>
      <w:hyperlink w:anchor="page_194">
        <w:r>
          <w:rPr>
            <w:rStyle w:val="Text2"/>
          </w:rPr>
          <w:t>two factor authentication with</w:t>
        </w:r>
      </w:hyperlink>
    </w:p>
    <w:p>
      <w:pPr>
        <w:pStyle w:val="Normal"/>
      </w:pPr>
      <w:hyperlink w:anchor="page_194">
        <w:r>
          <w:rPr>
            <w:rStyle w:val="Text2"/>
          </w:rPr>
          <w:t>U2F/FIDO</w:t>
        </w:r>
      </w:hyperlink>
      <w:r>
        <w:t xml:space="preserve"> (page 193) for details. However, if this is not possible or is impractical to implement</w:t>
      </w:r>
    </w:p>
    <w:p>
      <w:pPr>
        <w:pStyle w:val="Normal"/>
      </w:pPr>
      <w:r>
        <w:t>in your case, TOTP/</w:t>
      </w:r>
      <w:hyperlink w:anchor="page_688">
        <w:r>
          <w:rPr>
            <w:rStyle w:val="Text2"/>
          </w:rPr>
          <w:t>HOTP</w:t>
        </w:r>
      </w:hyperlink>
      <w:r>
        <w:t xml:space="preserve"> based 2FA is an improvement over no two factor at all. Smartphone apps to support this type of 2FA are common, such as Google Authenticator.</w:t>
      </w:r>
    </w:p>
    <w:p>
      <w:pPr>
        <w:pStyle w:val="Para 17"/>
      </w:pPr>
      <w:r>
        <w:t/>
      </w:r>
    </w:p>
    <w:p>
      <w:pPr>
        <w:pStyle w:val="Para 01"/>
      </w:pPr>
      <w:r>
        <w:t>Background</w:t>
      </w:r>
    </w:p>
    <w:p>
      <w:pPr>
        <w:pStyle w:val="Para 17"/>
      </w:pPr>
      <w:r>
        <w:t/>
      </w:r>
    </w:p>
    <w:p>
      <w:pPr>
        <w:pStyle w:val="Normal"/>
      </w:pPr>
      <w:r>
        <w:t>The configuration presented here makes public key authentication the first factor, the TOT-P/HOTP code the second factor, and makes password authentication unavailable. Apart from the usual setup steps required for public key authentication, all configuration and setup takes place on the server. No changes are required at the client end; the 2FA prompt appears in place of the password prompt.</w:t>
      </w:r>
    </w:p>
    <w:p>
      <w:pPr>
        <w:pStyle w:val="Para 18"/>
      </w:pPr>
      <w:r>
        <w:rPr>
          <w:rStyle w:val="Text7"/>
        </w:rPr>
        <w:t xml:space="preserve">The two supported methods are </w:t>
      </w:r>
      <w:hyperlink r:id="rId1154">
        <w:r>
          <w:rPr>
            <w:rStyle w:val="Text10"/>
          </w:rPr>
          <w:t>147</w:t>
        </w:r>
      </w:hyperlink>
      <w:hyperlink r:id="rId1154">
        <w:r>
          <w:t xml:space="preserve"> HMAC-based One Time Password (HOTP)</w:t>
        </w:r>
      </w:hyperlink>
      <w:r>
        <w:rPr>
          <w:rStyle w:val="Text7"/>
        </w:rPr>
        <w:t xml:space="preserve"> and </w:t>
      </w:r>
      <w:hyperlink r:id="rId1155">
        <w:r>
          <w:t>Time-based</w:t>
        </w:r>
      </w:hyperlink>
    </w:p>
    <w:p>
      <w:pPr>
        <w:pStyle w:val="Normal"/>
      </w:pPr>
      <w:hyperlink r:id="rId1155">
        <w:r>
          <w:rPr>
            <w:rStyle w:val="Text1"/>
          </w:rPr>
          <w:t>One Time Password (TOTP)</w:t>
        </w:r>
      </w:hyperlink>
      <w:hyperlink r:id="rId1155">
        <w:r>
          <w:rPr>
            <w:rStyle w:val="Text9"/>
          </w:rPr>
          <w:t>148</w:t>
        </w:r>
      </w:hyperlink>
      <w:r>
        <w:t>. Generally, TOTP is preferable if the 2FA device supports it.</w:t>
      </w:r>
    </w:p>
    <w:p>
      <w:pPr>
        <w:pStyle w:val="Para 05"/>
      </w:pPr>
      <w:r>
        <w:rPr>
          <w:rStyle w:val="Text5"/>
        </w:rPr>
        <w:t>144</w:t>
      </w:r>
      <w:r>
        <w:rPr>
          <w:rStyle w:val="Text8"/>
        </w:rPr>
        <w:t xml:space="preserve"> </w:t>
      </w:r>
      <w:r>
        <w:t>https://help.ubuntu.com/community/SSH</w:t>
      </w:r>
    </w:p>
    <w:p>
      <w:pPr>
        <w:pStyle w:val="Para 05"/>
      </w:pPr>
      <w:r>
        <w:rPr>
          <w:rStyle w:val="Text5"/>
        </w:rPr>
        <w:t>145</w:t>
      </w:r>
      <w:r>
        <w:rPr>
          <w:rStyle w:val="Text8"/>
        </w:rPr>
        <w:t xml:space="preserve"> </w:t>
      </w:r>
      <w:r>
        <w:t>http://www.openssh.org/</w:t>
      </w:r>
    </w:p>
    <w:p>
      <w:pPr>
        <w:pStyle w:val="Para 05"/>
      </w:pPr>
      <w:r>
        <w:rPr>
          <w:rStyle w:val="Text5"/>
        </w:rPr>
        <w:t>146</w:t>
      </w:r>
      <w:r>
        <w:rPr>
          <w:rStyle w:val="Text8"/>
        </w:rPr>
        <w:t xml:space="preserve"> </w:t>
      </w:r>
      <w:r>
        <w:t>https://wiki.ubuntu.com/AdvancedOpenSSH</w:t>
      </w:r>
    </w:p>
    <w:p>
      <w:pPr>
        <w:pStyle w:val="Para 05"/>
      </w:pPr>
      <w:r>
        <w:rPr>
          <w:rStyle w:val="Text5"/>
        </w:rPr>
        <w:t>147</w:t>
      </w:r>
      <w:r>
        <w:rPr>
          <w:rStyle w:val="Text8"/>
        </w:rPr>
        <w:t xml:space="preserve"> </w:t>
      </w:r>
      <w:r>
        <w:t>https://en.wikipedia.org/wiki/HMAC-based_one-time_password</w:t>
      </w:r>
    </w:p>
    <w:p>
      <w:pPr>
        <w:pStyle w:val="Para 03"/>
      </w:pPr>
      <w:r>
        <w:rPr>
          <w:rStyle w:val="Text5"/>
        </w:rPr>
        <w:t>148</w:t>
      </w:r>
      <w:r>
        <w:t xml:space="preserve"> </w:t>
      </w:r>
      <w:r>
        <w:rPr>
          <w:rStyle w:val="Text6"/>
        </w:rPr>
        <w:t>https://en.wikipedia.org/wiki/Time-based_one-time_password</w:t>
      </w:r>
      <w:r>
        <w:t xml:space="preserve"> HOTP is based on a sequence predictable only to those who share a secret. The user must take an action to cause the client to generate the next code in the sequence, and this re-sponse is sent to the server. The server also generates the next code, and if it matches the one supplied by the user, then the user has proven to the server that they share the secret. A downside of this approach is that if the user generates codes without the server follow-ing along, such as in the case of a typo, then the sequence generators can fall “out of sync”. Servers compensate by allowing a gap in the sequence and considering a few subsequent codes to also be valid; if this mechanism is used, then the server “skips ahead” to sync back up. But to remain secure, this can only go so far before the server must refuse. When HOTP falls out of sync like this, it must be reset using some out-of-band method, such as authenti-cating using a second backup key in order to reset the secret for the first one.</w:t>
      </w:r>
    </w:p>
    <w:p>
      <w:bookmarkStart w:id="269" w:name="page_1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6" name="index-191_1.png" descr="index-191_1.png"/>
            <wp:cNvGraphicFramePr>
              <a:graphicFrameLocks noChangeAspect="1"/>
            </wp:cNvGraphicFramePr>
            <a:graphic>
              <a:graphicData uri="http://schemas.openxmlformats.org/drawingml/2006/picture">
                <pic:pic>
                  <pic:nvPicPr>
                    <pic:cNvPr id="0" name="index-191_1.png" descr="index-191_1.png"/>
                    <pic:cNvPicPr/>
                  </pic:nvPicPr>
                  <pic:blipFill>
                    <a:blip r:embed="rId200"/>
                    <a:stretch>
                      <a:fillRect/>
                    </a:stretch>
                  </pic:blipFill>
                  <pic:spPr>
                    <a:xfrm>
                      <a:off x="0" y="0"/>
                      <a:ext cx="914400" cy="266700"/>
                    </a:xfrm>
                    <a:prstGeom prst="rect">
                      <a:avLst/>
                    </a:prstGeom>
                  </pic:spPr>
                </pic:pic>
              </a:graphicData>
            </a:graphic>
          </wp:anchor>
        </w:drawing>
      </w:r>
      <w:bookmarkEnd w:id="269"/>
    </w:p>
    <w:p>
      <w:pPr>
        <w:pStyle w:val="Normal"/>
      </w:pPr>
      <w:r>
        <w:t>TOTP avoids this downside of HOTP by using the current timezone-independent date and time to determine the appropriate position in the sequence. However, this results in addi-tional requirements and a different failure mode. Both devices must have the ability to tell the time, which is not practical for a USB 2FA token with no battery, for example. And both the server and client must agree on the correct time. If their clocks are skewed, then they will disagree on their current position in the sequence. Servers compensate for clock skew by allowing a few codes either side to also be valid. But like HOTP, they can only go so far before the server must refuse. One advantage of TOTP over HOTP is that correcting for this condition involves ensuring the clocks are correct at both ends; an out-of-band authentica-tion to reset unfortunate users’ secrets is not required. When using a modern smartphone app, for example, the requirement to keep the clock correct isn’t usually a problem since this is typically done automatically at both ends by default.</w:t>
      </w:r>
    </w:p>
    <w:p>
      <w:pPr>
        <w:pStyle w:val="Para 08"/>
      </w:pPr>
      <w:r>
        <w:t>Note:</w:t>
      </w:r>
    </w:p>
    <w:p>
      <w:pPr>
        <w:pStyle w:val="Para 03"/>
      </w:pPr>
      <w:r>
        <w:t>It is not recommended to configure U2F/FIDO at the same time as TOTP/HOTP. This com-</w:t>
      </w:r>
    </w:p>
    <w:p>
      <w:pPr>
        <w:pStyle w:val="Para 03"/>
      </w:pPr>
      <w:r>
        <w:t>bination has not been tested, and using the configuration presented here, TOTP/HOTP</w:t>
      </w:r>
    </w:p>
    <w:p>
      <w:pPr>
        <w:pStyle w:val="Para 03"/>
      </w:pPr>
      <w:r>
        <w:t>would become mandatory for everyone, whether or not they are also using U2F/FIDO.</w:t>
      </w:r>
    </w:p>
    <w:p>
      <w:pPr>
        <w:pStyle w:val="Para 17"/>
      </w:pPr>
      <w:r>
        <w:t/>
      </w:r>
    </w:p>
    <w:p>
      <w:pPr>
        <w:pStyle w:val="Para 01"/>
      </w:pPr>
      <w:r>
        <w:t>Install required software</w:t>
      </w:r>
    </w:p>
    <w:p>
      <w:pPr>
        <w:pStyle w:val="Para 17"/>
      </w:pPr>
      <w:r>
        <w:t/>
      </w:r>
    </w:p>
    <w:p>
      <w:pPr>
        <w:pStyle w:val="Normal"/>
      </w:pPr>
      <w:r>
        <w:t>From a terminal prompt, install the google-authenticator PAM module:</w:t>
      </w:r>
    </w:p>
    <w:p>
      <w:pPr>
        <w:pStyle w:val="Normal"/>
      </w:pPr>
      <w:r>
        <w:t>sudo apt update</w:t>
      </w:r>
    </w:p>
    <w:p>
      <w:pPr>
        <w:pStyle w:val="Normal"/>
      </w:pPr>
      <w:r>
        <w:t>sudo apt install libpam-google-authenticator</w:t>
      </w:r>
    </w:p>
    <w:p>
      <w:pPr>
        <w:pStyle w:val="Para 17"/>
      </w:pPr>
      <w:r>
        <w:t/>
      </w:r>
    </w:p>
    <w:p>
      <w:pPr>
        <w:pStyle w:val="Para 08"/>
      </w:pPr>
      <w:r>
        <w:t>Note:</w:t>
      </w:r>
    </w:p>
    <w:p>
      <w:pPr>
        <w:pStyle w:val="Para 03"/>
      </w:pPr>
      <w:r>
        <w:t>The libpam-google-authenticator package is in Ubuntu’s universe archive component,</w:t>
      </w:r>
    </w:p>
    <w:p>
      <w:pPr>
        <w:pStyle w:val="Para 03"/>
      </w:pPr>
      <w:r>
        <w:t>which receives best-effort community support only.</w:t>
      </w:r>
    </w:p>
    <w:p>
      <w:bookmarkStart w:id="270" w:name="calibre_pb_39"/>
      <w:pPr>
        <w:pStyle w:val="0 Block"/>
      </w:pPr>
      <w:bookmarkEnd w:id="270"/>
    </w:p>
    <w:p>
      <w:bookmarkStart w:id="271" w:name="Top_of_index_split_040_html"/>
      <w:bookmarkStart w:id="272" w:name="page_19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7" name="index-192_1.png" descr="index-192_1.png"/>
            <wp:cNvGraphicFramePr>
              <a:graphicFrameLocks noChangeAspect="1"/>
            </wp:cNvGraphicFramePr>
            <a:graphic>
              <a:graphicData uri="http://schemas.openxmlformats.org/drawingml/2006/picture">
                <pic:pic>
                  <pic:nvPicPr>
                    <pic:cNvPr id="0" name="index-192_1.png" descr="index-192_1.png"/>
                    <pic:cNvPicPr/>
                  </pic:nvPicPr>
                  <pic:blipFill>
                    <a:blip r:embed="rId201"/>
                    <a:stretch>
                      <a:fillRect/>
                    </a:stretch>
                  </pic:blipFill>
                  <pic:spPr>
                    <a:xfrm>
                      <a:off x="0" y="0"/>
                      <a:ext cx="914400" cy="266700"/>
                    </a:xfrm>
                    <a:prstGeom prst="rect">
                      <a:avLst/>
                    </a:prstGeom>
                  </pic:spPr>
                </pic:pic>
              </a:graphicData>
            </a:graphic>
          </wp:anchor>
        </w:drawing>
      </w:r>
      <w:bookmarkEnd w:id="271"/>
      <w:bookmarkEnd w:id="272"/>
    </w:p>
    <w:p>
      <w:pPr>
        <w:pStyle w:val="Para 01"/>
      </w:pPr>
      <w:r>
        <w:t>Configure users</w:t>
      </w:r>
    </w:p>
    <w:p>
      <w:pPr>
        <w:pStyle w:val="Para 17"/>
      </w:pPr>
      <w:r>
        <w:t/>
      </w:r>
    </w:p>
    <w:p>
      <w:pPr>
        <w:pStyle w:val="Normal"/>
      </w:pPr>
      <w:r>
        <w:t>Since public key authentication with TOTP/HOTP 2FA is about to be configured to be manda-tory for all users, each user who wishes to continue using SSH must first set up public key authentication and then configure their 2FA keys by running the user setup tool. If this isn’t done first, users will not be able to do it later over SSH, since at that point they won’t have public key authentication and/or 2FA configured to authenticate with.</w:t>
      </w:r>
    </w:p>
    <w:p>
      <w:pPr>
        <w:pStyle w:val="Para 17"/>
      </w:pPr>
      <w:r>
        <w:t/>
      </w:r>
    </w:p>
    <w:p>
      <w:pPr>
        <w:pStyle w:val="Para 01"/>
      </w:pPr>
      <w:r>
        <w:t>Configure users’ key-based authentication</w:t>
      </w:r>
    </w:p>
    <w:p>
      <w:pPr>
        <w:pStyle w:val="Para 17"/>
      </w:pPr>
      <w:r>
        <w:t/>
      </w:r>
    </w:p>
    <w:p>
      <w:pPr>
        <w:pStyle w:val="Normal"/>
      </w:pPr>
      <w:r>
        <w:t>To set up key-based authentication, see “SSH Keys” above. Once this is done, it can be tested independently of subsequent 2FA configuration. At this stage, user authentication should work with keys only, requiring the supply of the private key passphrase only if it was config-ured. If configured correctly, the user should not be prompted for their password.</w:t>
      </w:r>
    </w:p>
    <w:p>
      <w:pPr>
        <w:pStyle w:val="Para 17"/>
      </w:pPr>
      <w:r>
        <w:t/>
      </w:r>
    </w:p>
    <w:p>
      <w:pPr>
        <w:pStyle w:val="Para 01"/>
      </w:pPr>
      <w:r>
        <w:t>Configure users’ TOTP/HOTP 2FA secrets</w:t>
      </w:r>
    </w:p>
    <w:p>
      <w:pPr>
        <w:pStyle w:val="Para 17"/>
      </w:pPr>
      <w:r>
        <w:t/>
      </w:r>
    </w:p>
    <w:p>
      <w:pPr>
        <w:pStyle w:val="Normal"/>
      </w:pPr>
      <w:r>
        <w:t>Each user needs to run the setup tool to configure 2FA. This will ask some questions, gen-erate a key, and display a QR code for the user to import the secret into their smartphone app, such as the Google Authenticator app on Android. The tool creates the file ~/.google-authenticator, which contains a shared secret, emergency passcodes and per-user configu-ration.</w:t>
      </w:r>
    </w:p>
    <w:p>
      <w:pPr>
        <w:pStyle w:val="Normal"/>
      </w:pPr>
      <w:r>
        <w:t>As a user who needs 2FA configured, from a terminal prompt run the following command:</w:t>
      </w:r>
    </w:p>
    <w:p>
      <w:pPr>
        <w:pStyle w:val="Normal"/>
      </w:pPr>
      <w:r>
        <w:t>google-authenticator</w:t>
      </w:r>
    </w:p>
    <w:p>
      <w:pPr>
        <w:pStyle w:val="Para 17"/>
      </w:pPr>
      <w:r>
        <w:t/>
      </w:r>
    </w:p>
    <w:p>
      <w:pPr>
        <w:pStyle w:val="Normal"/>
      </w:pPr>
      <w:r>
        <w:t>Follow the prompts, scanning the QR code into your 2FA app as directed.</w:t>
      </w:r>
    </w:p>
    <w:p>
      <w:pPr>
        <w:pStyle w:val="Normal"/>
      </w:pPr>
      <w:r>
        <w:t>It’s important to plan for the eventuality that the 2FA device gets lost or damaged. Will this lock the user out of their account? In mitigation, it’s worthwhile for each user to consider doing one or more of the following:</w:t>
      </w:r>
    </w:p>
    <w:p>
      <w:pPr>
        <w:pStyle w:val="Para 04"/>
      </w:pPr>
      <w:r>
        <w:t>• Use the 2FA device’s backup or cloud sync facility if it has one.</w:t>
      </w:r>
    </w:p>
    <w:p>
      <w:pPr>
        <w:pStyle w:val="Para 04"/>
      </w:pPr>
      <w:r>
        <w:t>• Write down the backup codes printed by the setup tool.</w:t>
      </w:r>
    </w:p>
    <w:p>
      <w:pPr>
        <w:pStyle w:val="Para 04"/>
      </w:pPr>
      <w:r>
        <w:t>• Take a photo of the QR code.</w:t>
      </w:r>
    </w:p>
    <w:p>
      <w:pPr>
        <w:pStyle w:val="Para 04"/>
      </w:pPr>
      <w:r>
        <w:t>• (TOTP only) Scan the QR code on multiple 2FA devices. This only works for TOTP, since</w:t>
      </w:r>
    </w:p>
    <w:p>
      <w:pPr>
        <w:pStyle w:val="Para 02"/>
      </w:pPr>
      <w:r>
        <w:t>multiple HOTP 2FA devices will not be able to stay in sync.</w:t>
      </w:r>
    </w:p>
    <w:p>
      <w:pPr>
        <w:pStyle w:val="Para 04"/>
      </w:pPr>
      <w:r>
        <w:t>• Ensure that the user has a different authentication path to be able to rerun the setup</w:t>
      </w:r>
    </w:p>
    <w:p>
      <w:pPr>
        <w:pStyle w:val="Para 02"/>
      </w:pPr>
      <w:r>
        <w:t>tool if required.</w:t>
      </w:r>
    </w:p>
    <w:p>
      <w:pPr>
        <w:pStyle w:val="Normal"/>
      </w:pPr>
      <w:r>
        <w:t>Of course, any of these backup steps also negate any benefit of 2FA should someone else get access to the backup, so the steps taken to protect any backup should be considered carefully.</w:t>
      </w:r>
    </w:p>
    <w:p>
      <w:bookmarkStart w:id="273" w:name="calibre_pb_40"/>
      <w:pPr>
        <w:pStyle w:val="0 Block"/>
      </w:pPr>
      <w:bookmarkEnd w:id="273"/>
    </w:p>
    <w:p>
      <w:bookmarkStart w:id="274" w:name="Top_of_index_split_041_html"/>
      <w:bookmarkStart w:id="275" w:name="page_1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8" name="index-193_1.png" descr="index-193_1.png"/>
            <wp:cNvGraphicFramePr>
              <a:graphicFrameLocks noChangeAspect="1"/>
            </wp:cNvGraphicFramePr>
            <a:graphic>
              <a:graphicData uri="http://schemas.openxmlformats.org/drawingml/2006/picture">
                <pic:pic>
                  <pic:nvPicPr>
                    <pic:cNvPr id="0" name="index-193_1.png" descr="index-193_1.png"/>
                    <pic:cNvPicPr/>
                  </pic:nvPicPr>
                  <pic:blipFill>
                    <a:blip r:embed="rId202"/>
                    <a:stretch>
                      <a:fillRect/>
                    </a:stretch>
                  </pic:blipFill>
                  <pic:spPr>
                    <a:xfrm>
                      <a:off x="0" y="0"/>
                      <a:ext cx="914400" cy="266700"/>
                    </a:xfrm>
                    <a:prstGeom prst="rect">
                      <a:avLst/>
                    </a:prstGeom>
                  </pic:spPr>
                </pic:pic>
              </a:graphicData>
            </a:graphic>
          </wp:anchor>
        </w:drawing>
      </w:r>
      <w:bookmarkEnd w:id="274"/>
      <w:bookmarkEnd w:id="275"/>
    </w:p>
    <w:p>
      <w:pPr>
        <w:pStyle w:val="Para 01"/>
      </w:pPr>
      <w:r>
        <w:t>Configure the SSH server</w:t>
      </w:r>
    </w:p>
    <w:p>
      <w:pPr>
        <w:pStyle w:val="Para 17"/>
      </w:pPr>
      <w:r>
        <w:t/>
      </w:r>
    </w:p>
    <w:p>
      <w:pPr>
        <w:pStyle w:val="Normal"/>
      </w:pPr>
      <w:r>
        <w:t>Once all users are configured, configure sshd itself by creating a new configuration file in /etc/ssh/sshd_config.d/ with the following directives:</w:t>
      </w:r>
    </w:p>
    <w:p>
      <w:pPr>
        <w:pStyle w:val="Normal"/>
      </w:pPr>
      <w:r>
        <w:t>KbdInteractiveAuthentication yes</w:t>
      </w:r>
    </w:p>
    <w:p>
      <w:pPr>
        <w:pStyle w:val="Normal"/>
      </w:pPr>
      <w:r>
        <w:t>PasswordAuthentication no</w:t>
      </w:r>
    </w:p>
    <w:p>
      <w:pPr>
        <w:pStyle w:val="Normal"/>
      </w:pPr>
      <w:r>
        <w:t>AuthenticationMethods publickey,keyboard</w:t>
        <w:t>-</w:t>
        <w:t>interactive</w:t>
      </w:r>
    </w:p>
    <w:p>
      <w:pPr>
        <w:pStyle w:val="Para 17"/>
      </w:pPr>
      <w:r>
        <w:t/>
      </w:r>
    </w:p>
    <w:p>
      <w:pPr>
        <w:pStyle w:val="Normal"/>
      </w:pPr>
      <w:r>
        <w:t>Depending on your installation, some of these settings may be configured already, but not necessarily with the values required for this configuration. Check for and adjust existing oc-currences of these configuration directives, or add new ones, as required.</w:t>
      </w:r>
    </w:p>
    <w:p>
      <w:pPr>
        <w:pStyle w:val="Para 08"/>
      </w:pPr>
      <w:r>
        <w:t>Note:</w:t>
      </w:r>
    </w:p>
    <w:p>
      <w:pPr>
        <w:pStyle w:val="Para 03"/>
      </w:pPr>
      <w:r>
        <w:t>On Ubuntu 20.04 “Focal Fossa” and earlier, use ChallengeResponseAuthentication yes in-</w:t>
      </w:r>
    </w:p>
    <w:p>
      <w:pPr>
        <w:pStyle w:val="Para 03"/>
      </w:pPr>
      <w:r>
        <w:t>stead of KbdInteractiveAuthentication yes.</w:t>
      </w:r>
    </w:p>
    <w:p>
      <w:pPr>
        <w:pStyle w:val="Para 17"/>
      </w:pPr>
      <w:r>
        <w:t/>
      </w:r>
    </w:p>
    <w:p>
      <w:pPr>
        <w:pStyle w:val="Normal"/>
      </w:pPr>
      <w:r>
        <w:t>Restart the ssh service to pick up configuration changes:</w:t>
      </w:r>
    </w:p>
    <w:p>
      <w:pPr>
        <w:pStyle w:val="Normal"/>
      </w:pPr>
      <w:r>
        <w:t>sudo systemctl try-reload-or-restart ssh</w:t>
      </w:r>
    </w:p>
    <w:p>
      <w:pPr>
        <w:pStyle w:val="Para 17"/>
      </w:pPr>
      <w:r>
        <w:t/>
      </w:r>
    </w:p>
    <w:p>
      <w:pPr>
        <w:pStyle w:val="Normal"/>
      </w:pPr>
      <w:r>
        <w:t>Edit /etc/pam.d/sshd and replace the line:</w:t>
      </w:r>
    </w:p>
    <w:p>
      <w:pPr>
        <w:pStyle w:val="Normal"/>
      </w:pPr>
      <w:r>
        <w:rPr>
          <w:rStyle w:val="Text0"/>
        </w:rPr>
        <w:t>@include</w:t>
      </w:r>
      <w:r>
        <w:t xml:space="preserve"> </w:t>
        <w:t>common</w:t>
        <w:t>-</w:t>
        <w:t>auth</w:t>
      </w:r>
    </w:p>
    <w:p>
      <w:pPr>
        <w:pStyle w:val="Para 17"/>
      </w:pPr>
      <w:r>
        <w:t/>
      </w:r>
    </w:p>
    <w:p>
      <w:pPr>
        <w:pStyle w:val="Normal"/>
      </w:pPr>
      <w:r>
        <w:t>with:</w:t>
      </w:r>
    </w:p>
    <w:p>
      <w:pPr>
        <w:pStyle w:val="Normal"/>
      </w:pPr>
      <w:r>
        <w:t>auth required pam_google_authenticator</w:t>
        <w:t>.</w:t>
        <w:t>so</w:t>
      </w:r>
    </w:p>
    <w:p>
      <w:pPr>
        <w:pStyle w:val="Para 17"/>
      </w:pPr>
      <w:r>
        <w:t/>
      </w:r>
    </w:p>
    <w:p>
      <w:pPr>
        <w:pStyle w:val="Normal"/>
      </w:pPr>
      <w:r>
        <w:t>Changes to PAM configuration have immediate effect, and no separate reloading command is required.</w:t>
      </w:r>
    </w:p>
    <w:p>
      <w:pPr>
        <w:pStyle w:val="Para 17"/>
      </w:pPr>
      <w:r>
        <w:t/>
      </w:r>
    </w:p>
    <w:p>
      <w:pPr>
        <w:pStyle w:val="Para 01"/>
      </w:pPr>
      <w:r>
        <w:t>Log in using 2FA</w:t>
      </w:r>
    </w:p>
    <w:p>
      <w:pPr>
        <w:pStyle w:val="Para 17"/>
      </w:pPr>
      <w:r>
        <w:t/>
      </w:r>
    </w:p>
    <w:p>
      <w:pPr>
        <w:pStyle w:val="Normal"/>
      </w:pPr>
      <w:r>
        <w:t>Now when you log in using SSH, in addition to the normal public key authentication, you will be prompted for your TOTP or HOTP code:</w:t>
      </w:r>
    </w:p>
    <w:p>
      <w:pPr>
        <w:pStyle w:val="Normal"/>
      </w:pPr>
      <w:r>
        <w:t>$ ssh ubuntu.server</w:t>
      </w:r>
    </w:p>
    <w:p>
      <w:pPr>
        <w:pStyle w:val="Normal"/>
      </w:pPr>
      <w:r>
        <w:t>Enter passphrase</w:t>
        <w:t xml:space="preserve"> </w:t>
      </w:r>
      <w:r>
        <w:rPr>
          <w:rStyle w:val="Text0"/>
        </w:rPr>
        <w:t>for</w:t>
      </w:r>
      <w:r>
        <w:t xml:space="preserve"> </w:t>
        <w:t>key</w:t>
        <w:t xml:space="preserve"> </w:t>
        <w:t>'id_rsa'</w:t>
        <w:t>:</w:t>
      </w:r>
    </w:p>
    <w:p>
      <w:pPr>
        <w:pStyle w:val="Normal"/>
      </w:pPr>
      <w:r>
        <w:t>(</w:t>
        <w:t>ubuntu@ubuntu.server</w:t>
        <w:t>)</w:t>
        <w:t xml:space="preserve"> </w:t>
        <w:t>Verification code:</w:t>
        <w:t xml:space="preserve"> </w:t>
        <w:t>Welcome to Ubuntu</w:t>
        <w:t xml:space="preserve"> </w:t>
        <w:t>(</w:t>
        <w:t>...</w:t>
        <w:t>)</w:t>
      </w:r>
    </w:p>
    <w:p>
      <w:pPr>
        <w:pStyle w:val="Normal"/>
      </w:pPr>
      <w:r>
        <w:t>ubuntu@ubuntu.server:~$</w:t>
      </w:r>
    </w:p>
    <w:p>
      <w:bookmarkStart w:id="276" w:name="calibre_pb_41"/>
      <w:pPr>
        <w:pStyle w:val="0 Block"/>
      </w:pPr>
      <w:bookmarkEnd w:id="276"/>
    </w:p>
    <w:p>
      <w:bookmarkStart w:id="277" w:name="Top_of_index_split_042_html"/>
      <w:bookmarkStart w:id="278" w:name="page_19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99"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203"/>
                    <a:stretch>
                      <a:fillRect/>
                    </a:stretch>
                  </pic:blipFill>
                  <pic:spPr>
                    <a:xfrm>
                      <a:off x="0" y="0"/>
                      <a:ext cx="914400" cy="266700"/>
                    </a:xfrm>
                    <a:prstGeom prst="rect">
                      <a:avLst/>
                    </a:prstGeom>
                  </pic:spPr>
                </pic:pic>
              </a:graphicData>
            </a:graphic>
          </wp:anchor>
        </w:drawing>
      </w:r>
      <w:bookmarkEnd w:id="277"/>
      <w:bookmarkEnd w:id="278"/>
    </w:p>
    <w:p>
      <w:pPr>
        <w:pStyle w:val="Para 01"/>
      </w:pPr>
      <w:r>
        <w:t>Special cases</w:t>
      </w:r>
    </w:p>
    <w:p>
      <w:pPr>
        <w:pStyle w:val="Para 17"/>
      </w:pPr>
      <w:r>
        <w:t/>
      </w:r>
    </w:p>
    <w:p>
      <w:pPr>
        <w:pStyle w:val="Normal"/>
      </w:pPr>
      <w:r>
        <w:t>On Ubuntu, the following settings are default in /etc/ssh/sshd_config, but if you have over-ridden them, note that they are required for this configuration to work correctly and must be restored as follows:</w:t>
      </w:r>
    </w:p>
    <w:p>
      <w:pPr>
        <w:pStyle w:val="Normal"/>
      </w:pPr>
      <w:r>
        <w:t>UsePAM yes</w:t>
      </w:r>
    </w:p>
    <w:p>
      <w:pPr>
        <w:pStyle w:val="Normal"/>
      </w:pPr>
      <w:r>
        <w:t>PubkeyAuthentication yes</w:t>
      </w:r>
    </w:p>
    <w:p>
      <w:pPr>
        <w:pStyle w:val="Para 17"/>
      </w:pPr>
      <w:r>
        <w:t/>
      </w:r>
    </w:p>
    <w:p>
      <w:pPr>
        <w:pStyle w:val="Normal"/>
      </w:pPr>
      <w:r>
        <w:t>Remember to run sudo systemctl try-reload-or-restart ssh for any changes made to sshd configuration to take effect.</w:t>
      </w:r>
    </w:p>
    <w:p>
      <w:pPr>
        <w:pStyle w:val="Para 17"/>
      </w:pPr>
      <w:r>
        <w:t/>
      </w:r>
    </w:p>
    <w:p>
      <w:pPr>
        <w:pStyle w:val="Para 01"/>
      </w:pPr>
      <w:r>
        <w:t>Further reading</w:t>
      </w:r>
    </w:p>
    <w:p>
      <w:pPr>
        <w:pStyle w:val="Para 17"/>
      </w:pPr>
      <w:r>
        <w:t/>
      </w:r>
    </w:p>
    <w:p>
      <w:pPr>
        <w:pStyle w:val="Para 13"/>
      </w:pPr>
      <w:r>
        <w:rPr>
          <w:rStyle w:val="Text7"/>
        </w:rPr>
        <w:t xml:space="preserve">• </w:t>
      </w:r>
      <w:hyperlink r:id="rId1155">
        <w:r>
          <w:rPr>
            <w:rStyle w:val="Text10"/>
          </w:rPr>
          <w:t>149</w:t>
        </w:r>
      </w:hyperlink>
      <w:hyperlink r:id="rId1155">
        <w:r>
          <w:t xml:space="preserve"> Wikipedia on TOTP</w:t>
        </w:r>
      </w:hyperlink>
    </w:p>
    <w:p>
      <w:pPr>
        <w:pStyle w:val="Para 13"/>
      </w:pPr>
      <w:r>
        <w:rPr>
          <w:rStyle w:val="Text7"/>
        </w:rPr>
        <w:t xml:space="preserve">• </w:t>
      </w:r>
      <w:hyperlink r:id="rId1154">
        <w:r>
          <w:rPr>
            <w:rStyle w:val="Text10"/>
          </w:rPr>
          <w:t>150</w:t>
        </w:r>
      </w:hyperlink>
      <w:hyperlink r:id="rId1154">
        <w:r>
          <w:t xml:space="preserve"> Wikipedia on HOTP</w:t>
        </w:r>
      </w:hyperlink>
    </w:p>
    <w:p>
      <w:pPr>
        <w:pStyle w:val="Para 17"/>
      </w:pPr>
      <w:r>
        <w:t/>
      </w:r>
    </w:p>
    <w:p>
      <w:pPr>
        <w:pStyle w:val="Para 01"/>
      </w:pPr>
      <w:r>
        <w:t>Two factor authentication with U2F/FIDO</w:t>
      </w:r>
    </w:p>
    <w:p>
      <w:pPr>
        <w:pStyle w:val="Para 17"/>
      </w:pPr>
      <w:r>
        <w:t/>
      </w:r>
    </w:p>
    <w:p>
      <w:pPr>
        <w:pStyle w:val="Normal"/>
      </w:pPr>
      <w:r>
        <w:t xml:space="preserve">OpenSSH 8.2 has added </w:t>
      </w:r>
      <w:hyperlink w:anchor="page_194">
        <w:r>
          <w:rPr>
            <w:rStyle w:val="Text9"/>
          </w:rPr>
          <w:t>151</w:t>
        </w:r>
      </w:hyperlink>
      <w:r>
        <w:t xml:space="preserve"> </w:t>
      </w:r>
      <w:hyperlink r:id="rId1156">
        <w:r>
          <w:rPr>
            <w:rStyle w:val="Text1"/>
          </w:rPr>
          <w:t>support for U2F/FIDO hardware authentication devices</w:t>
        </w:r>
      </w:hyperlink>
      <w:r>
        <w:t>. These devices are used to provide an extra layer of security on top of the existing key-based au-thentication, as the hardware token needs to be present to finish the authentication.</w:t>
      </w:r>
    </w:p>
    <w:p>
      <w:pPr>
        <w:pStyle w:val="Normal"/>
      </w:pPr>
      <w:r>
        <w:t>It’s very simple to use and setup. The only extra step is to generate a new keypair that can be used with the hardware device. For that, there are two key types that can be used: ecdsa-sk and ed25519-sk. The former has broader hardware support, while the latter might need a more recent device.</w:t>
      </w:r>
    </w:p>
    <w:p>
      <w:pPr>
        <w:pStyle w:val="Normal"/>
      </w:pPr>
      <w:r>
        <w:t>Once the keypair is generated, it can be used as you would normally use any other type of key in OpenSSH. The only requirement is that in order to use the private key, the U2F device has to be present on the host.</w:t>
      </w:r>
    </w:p>
    <w:p>
      <w:pPr>
        <w:pStyle w:val="Para 17"/>
      </w:pPr>
      <w:r>
        <w:t/>
      </w:r>
    </w:p>
    <w:p>
      <w:pPr>
        <w:pStyle w:val="Para 01"/>
      </w:pPr>
      <w:r>
        <w:t>Example with U2F</w:t>
      </w:r>
    </w:p>
    <w:p>
      <w:pPr>
        <w:pStyle w:val="Para 17"/>
      </w:pPr>
      <w:r>
        <w:t/>
      </w:r>
    </w:p>
    <w:p>
      <w:pPr>
        <w:pStyle w:val="Normal"/>
      </w:pPr>
      <w:r>
        <w:t>For example, plug the U2F device in and generate a keypair to use with it:</w:t>
      </w:r>
    </w:p>
    <w:p>
      <w:pPr>
        <w:pStyle w:val="Normal"/>
      </w:pPr>
      <w:r>
        <w:t>$ ssh-keygen -t ecdsa-sk</w:t>
      </w:r>
    </w:p>
    <w:p>
      <w:pPr>
        <w:pStyle w:val="Normal"/>
      </w:pPr>
      <w:r>
        <w:t>Generating public/private ecdsa-sk key pair.</w:t>
      </w:r>
    </w:p>
    <w:p>
      <w:pPr>
        <w:pStyle w:val="Normal"/>
      </w:pPr>
      <w:r>
        <w:t>You may need to touch your authenticator to authorize key generation. &lt;-- touch device</w:t>
        <w:t xml:space="preserve"> </w:t>
        <w:t>Enter file</w:t>
        <w:t xml:space="preserve"> </w:t>
      </w:r>
      <w:r>
        <w:rPr>
          <w:rStyle w:val="Text0"/>
        </w:rPr>
        <w:t>in</w:t>
      </w:r>
      <w:r>
        <w:t xml:space="preserve"> </w:t>
        <w:t>which to save the key</w:t>
        <w:t xml:space="preserve"> </w:t>
        <w:t>(</w:t>
        <w:t>/home/ubuntu/.ssh/id_ecdsa_sk</w:t>
        <w:t>)</w:t>
        <w:t>:</w:t>
        <w:t xml:space="preserve"> </w:t>
        <w:t>Enter passphrase</w:t>
        <w:t xml:space="preserve"> </w:t>
        <w:t>(</w:t>
        <w:t>empty</w:t>
        <w:t xml:space="preserve"> </w:t>
      </w:r>
      <w:r>
        <w:rPr>
          <w:rStyle w:val="Text0"/>
        </w:rPr>
        <w:t>for</w:t>
      </w:r>
      <w:r>
        <w:t xml:space="preserve"> </w:t>
        <w:t>no passphrase</w:t>
        <w:t>)</w:t>
        <w:t>:</w:t>
        <w:t xml:space="preserve"> </w:t>
        <w:t>Enter same passphrase again:</w:t>
      </w:r>
    </w:p>
    <w:p>
      <w:pPr>
        <w:pStyle w:val="Normal"/>
      </w:pPr>
      <w:r>
        <w:t>Your identification has been saved</w:t>
        <w:t xml:space="preserve"> </w:t>
      </w:r>
      <w:r>
        <w:rPr>
          <w:rStyle w:val="Text0"/>
        </w:rPr>
        <w:t>in</w:t>
      </w:r>
      <w:r>
        <w:t xml:space="preserve"> </w:t>
        <w:t>/home/ubuntu/.ssh/id_ecdsa_sk</w:t>
        <w:t xml:space="preserve"> </w:t>
        <w:t>Your public key has been saved</w:t>
        <w:t xml:space="preserve"> </w:t>
      </w:r>
      <w:r>
        <w:rPr>
          <w:rStyle w:val="Text0"/>
        </w:rPr>
        <w:t>in</w:t>
      </w:r>
      <w:r>
        <w:t xml:space="preserve"> </w:t>
        <w:t>/home/ubuntu/.ssh/id_ecdsa_sk.pub</w:t>
        <w:t xml:space="preserve"> </w:t>
        <w:t>The key fingerprint is:</w:t>
      </w:r>
    </w:p>
    <w:p>
      <w:pPr>
        <w:pStyle w:val="Normal"/>
      </w:pPr>
      <w:r>
        <w:t>SHA256:V9PQ1MqaU8FODXdHqDiH9Mxb8XK3o5aVYDQLVl9IFRo ubuntu@focal</w:t>
      </w:r>
    </w:p>
    <w:p>
      <w:pPr>
        <w:pStyle w:val="Para 05"/>
      </w:pPr>
      <w:r>
        <w:rPr>
          <w:rStyle w:val="Text5"/>
        </w:rPr>
        <w:t>149</w:t>
      </w:r>
      <w:r>
        <w:rPr>
          <w:rStyle w:val="Text8"/>
        </w:rPr>
        <w:t xml:space="preserve"> </w:t>
      </w:r>
      <w:r>
        <w:t>https://en.wikipedia.org/wiki/Time-based_one-time_password</w:t>
      </w:r>
    </w:p>
    <w:p>
      <w:pPr>
        <w:pStyle w:val="Para 05"/>
      </w:pPr>
      <w:r>
        <w:rPr>
          <w:rStyle w:val="Text5"/>
        </w:rPr>
        <w:t>150</w:t>
      </w:r>
      <w:r>
        <w:rPr>
          <w:rStyle w:val="Text8"/>
        </w:rPr>
        <w:t xml:space="preserve"> </w:t>
      </w:r>
      <w:r>
        <w:t>https://en.wikipedia.org/wiki/HMAC-based_one-time_password</w:t>
      </w:r>
    </w:p>
    <w:p>
      <w:pPr>
        <w:pStyle w:val="Para 05"/>
      </w:pPr>
      <w:r>
        <w:rPr>
          <w:rStyle w:val="Text5"/>
        </w:rPr>
        <w:t>151</w:t>
      </w:r>
      <w:r>
        <w:rPr>
          <w:rStyle w:val="Text8"/>
        </w:rPr>
        <w:t xml:space="preserve"> </w:t>
      </w:r>
      <w:r>
        <w:t>https://www.openssh.org/txt/release-8.2</w:t>
      </w:r>
    </w:p>
    <w:p>
      <w:bookmarkStart w:id="279" w:name="page_1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0"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204"/>
                    <a:stretch>
                      <a:fillRect/>
                    </a:stretch>
                  </pic:blipFill>
                  <pic:spPr>
                    <a:xfrm>
                      <a:off x="0" y="0"/>
                      <a:ext cx="914400" cy="266700"/>
                    </a:xfrm>
                    <a:prstGeom prst="rect">
                      <a:avLst/>
                    </a:prstGeom>
                  </pic:spPr>
                </pic:pic>
              </a:graphicData>
            </a:graphic>
          </wp:anchor>
        </w:drawing>
      </w:r>
      <w:bookmarkEnd w:id="279"/>
    </w:p>
    <w:p>
      <w:pPr>
        <w:pStyle w:val="Normal"/>
      </w:pPr>
      <w:r>
        <w:t>Now transfer the public part to the server to ~/.ssh/authorized_keys and you are ready to go:</w:t>
      </w:r>
    </w:p>
    <w:p>
      <w:pPr>
        <w:pStyle w:val="Normal"/>
      </w:pPr>
      <w:r>
        <w:t>$ ssh -i .ssh/id_ecdsa_sk ubuntu@focal.server</w:t>
      </w:r>
    </w:p>
    <w:p>
      <w:pPr>
        <w:pStyle w:val="Normal"/>
      </w:pPr>
      <w:r>
        <w:t>Confirm user presence</w:t>
        <w:t xml:space="preserve"> </w:t>
      </w:r>
      <w:r>
        <w:rPr>
          <w:rStyle w:val="Text0"/>
        </w:rPr>
        <w:t>for</w:t>
      </w:r>
      <w:r>
        <w:t xml:space="preserve"> </w:t>
        <w:t>key ECDSA-SK SHA256:V9PQ1MqaU8FODXdHqDiH9Mxb8XK3o5aVYDQLVl9IFRo</w:t>
        <w:t xml:space="preserve"> </w:t>
        <w:t>&lt;-- touch device</w:t>
      </w:r>
    </w:p>
    <w:p>
      <w:pPr>
        <w:pStyle w:val="Normal"/>
      </w:pPr>
      <w:r>
        <w:t>Welcome to Ubuntu Focal Fossa</w:t>
        <w:t xml:space="preserve"> </w:t>
        <w:t>(</w:t>
        <w:t>GNU/Linux</w:t>
        <w:t xml:space="preserve"> </w:t>
        <w:t>5</w:t>
        <w:t>.4.0-21-generic x86_64</w:t>
        <w:t>)</w:t>
        <w:t xml:space="preserve"> </w:t>
        <w:t>(</w:t>
        <w:t>...</w:t>
        <w:t>)</w:t>
      </w:r>
    </w:p>
    <w:p>
      <w:pPr>
        <w:pStyle w:val="Normal"/>
      </w:pPr>
      <w:r>
        <w:t>ubuntu@focal.server:~$</w:t>
      </w:r>
    </w:p>
    <w:p>
      <w:pPr>
        <w:pStyle w:val="Para 17"/>
      </w:pPr>
      <w:r>
        <w:t/>
      </w:r>
    </w:p>
    <w:p>
      <w:pPr>
        <w:pStyle w:val="Para 01"/>
      </w:pPr>
      <w:r>
        <w:t>FIDO2 resident keys</w:t>
      </w:r>
    </w:p>
    <w:p>
      <w:pPr>
        <w:pStyle w:val="Para 17"/>
      </w:pPr>
      <w:r>
        <w:t/>
      </w:r>
    </w:p>
    <w:p>
      <w:pPr>
        <w:pStyle w:val="Normal"/>
      </w:pPr>
      <w:r>
        <w:t xml:space="preserve">FIDO2 private keys consist of two parts: a </w:t>
      </w:r>
      <w:r>
        <w:rPr>
          <w:rStyle w:val="Text0"/>
        </w:rPr>
        <w:t>key handle</w:t>
      </w:r>
      <w:r>
        <w:t xml:space="preserve"> part, stored in the private key file on disk, and a </w:t>
      </w:r>
      <w:r>
        <w:rPr>
          <w:rStyle w:val="Text0"/>
        </w:rPr>
        <w:t>per-device key</w:t>
      </w:r>
      <w:r>
        <w:t>, which is unique to each FIDO2 token and cannot be exported from the token hardware. These are combined by the hardware at authentication time to derive the real key, which is used to sign authentication challenges.</w:t>
      </w:r>
    </w:p>
    <w:p>
      <w:pPr>
        <w:pStyle w:val="Normal"/>
      </w:pPr>
      <w:r>
        <w:t xml:space="preserve">For tokens that are required to move between computers, it can be cumbersome to have to move the private key file first. To avoid this, tokens implementing the newer FIDO2 standard support </w:t>
      </w:r>
      <w:r>
        <w:rPr>
          <w:rStyle w:val="Text0"/>
        </w:rPr>
        <w:t>resident keys</w:t>
      </w:r>
      <w:r>
        <w:t>, where it is possible to retrieve the key handle part of the key from the hardware.</w:t>
      </w:r>
    </w:p>
    <w:p>
      <w:pPr>
        <w:pStyle w:val="Normal"/>
      </w:pPr>
      <w:r>
        <w:t>Using resident keys increases the likelihood of an attacker being able to use a stolen token de-vice. For this reason, tokens normally enforce PIN authentication before allowing the down-load of keys, and users should set a PIN on their tokens before creating any resident keys. This is done via the hardware token management software.</w:t>
      </w:r>
    </w:p>
    <w:p>
      <w:pPr>
        <w:pStyle w:val="Normal"/>
      </w:pPr>
      <w:r>
        <w:t>OpenSSH allows resident keys to be generated using the ssh-keygen flag-O resident at key generation time:</w:t>
      </w:r>
    </w:p>
    <w:p>
      <w:pPr>
        <w:pStyle w:val="Normal"/>
      </w:pPr>
      <w:r>
        <w:t>$ ssh-keygen -t ecdsa-sk -O resident -O</w:t>
        <w:t xml:space="preserve"> </w:t>
        <w:t>application</w:t>
        <w:t>=</w:t>
        <w:t>ssh:mykeyname</w:t>
        <w:t xml:space="preserve"> </w:t>
        <w:t>Generating public/private ecdsa-sk key pair.</w:t>
      </w:r>
    </w:p>
    <w:p>
      <w:pPr>
        <w:pStyle w:val="Normal"/>
      </w:pPr>
      <w:r>
        <w:t>You may need to touch your authenticator to authorize key generation.</w:t>
        <w:t xml:space="preserve"> </w:t>
        <w:t>Enter PIN</w:t>
        <w:t xml:space="preserve"> </w:t>
      </w:r>
      <w:r>
        <w:rPr>
          <w:rStyle w:val="Text0"/>
        </w:rPr>
        <w:t>for</w:t>
      </w:r>
      <w:r>
        <w:t xml:space="preserve"> </w:t>
        <w:t>authenticator:</w:t>
      </w:r>
    </w:p>
    <w:p>
      <w:pPr>
        <w:pStyle w:val="Normal"/>
      </w:pPr>
      <w:r>
        <w:t>Enter file</w:t>
        <w:t xml:space="preserve"> </w:t>
      </w:r>
      <w:r>
        <w:rPr>
          <w:rStyle w:val="Text0"/>
        </w:rPr>
        <w:t>in</w:t>
      </w:r>
      <w:r>
        <w:t xml:space="preserve"> </w:t>
        <w:t>which to save the key</w:t>
        <w:t xml:space="preserve"> </w:t>
        <w:t>(</w:t>
        <w:t>/home/ubuntu/.ssh/id_ecdsa_sk</w:t>
        <w:t>)</w:t>
        <w:t>: mytoken</w:t>
        <w:t xml:space="preserve"> </w:t>
        <w:t>Enter passphrase</w:t>
        <w:t xml:space="preserve"> </w:t>
        <w:t>(</w:t>
        <w:t>empty</w:t>
        <w:t xml:space="preserve"> </w:t>
      </w:r>
      <w:r>
        <w:rPr>
          <w:rStyle w:val="Text0"/>
        </w:rPr>
        <w:t>for</w:t>
      </w:r>
      <w:r>
        <w:t xml:space="preserve"> </w:t>
        <w:t>no passphrase</w:t>
        <w:t>)</w:t>
        <w:t>:</w:t>
        <w:t xml:space="preserve"> </w:t>
        <w:t>Enter same passphrase again:</w:t>
      </w:r>
    </w:p>
    <w:p>
      <w:pPr>
        <w:pStyle w:val="Normal"/>
      </w:pPr>
      <w:r>
        <w:t>Your identification has been saved</w:t>
        <w:t xml:space="preserve"> </w:t>
      </w:r>
      <w:r>
        <w:rPr>
          <w:rStyle w:val="Text0"/>
        </w:rPr>
        <w:t>in</w:t>
      </w:r>
      <w:r>
        <w:t xml:space="preserve"> </w:t>
        <w:t>mytoken</w:t>
        <w:t xml:space="preserve"> </w:t>
        <w:t>(</w:t>
        <w:t>...</w:t>
        <w:t>)</w:t>
      </w:r>
    </w:p>
    <w:p>
      <w:pPr>
        <w:pStyle w:val="Para 17"/>
      </w:pPr>
      <w:r>
        <w:t/>
      </w:r>
    </w:p>
    <w:p>
      <w:pPr>
        <w:pStyle w:val="Normal"/>
      </w:pPr>
      <w:r>
        <w:t>This will produce a public/private key pair as usual, but it will be possible to retrieve the pri-vate key part (the key handle) from the token later. This is done by running:</w:t>
      </w:r>
    </w:p>
    <w:p>
      <w:pPr>
        <w:pStyle w:val="Normal"/>
      </w:pPr>
      <w:r>
        <w:t>$ ssh-keygen -K</w:t>
      </w:r>
    </w:p>
    <w:p>
      <w:pPr>
        <w:pStyle w:val="Normal"/>
      </w:pPr>
      <w:r>
        <w:t>Enter PIN</w:t>
        <w:t xml:space="preserve"> </w:t>
      </w:r>
      <w:r>
        <w:rPr>
          <w:rStyle w:val="Text0"/>
        </w:rPr>
        <w:t>for</w:t>
      </w:r>
      <w:r>
        <w:t xml:space="preserve"> </w:t>
        <w:t>authenticator:</w:t>
      </w:r>
    </w:p>
    <w:p>
      <w:pPr>
        <w:pStyle w:val="Normal"/>
      </w:pPr>
      <w:r>
        <w:t>You may need to touch your authenticator to authorize key download.</w:t>
        <w:t xml:space="preserve"> </w:t>
        <w:t>Enter passphrase</w:t>
        <w:t xml:space="preserve"> </w:t>
        <w:t>(</w:t>
        <w:t>empty</w:t>
        <w:t xml:space="preserve"> </w:t>
      </w:r>
      <w:r>
        <w:rPr>
          <w:rStyle w:val="Text0"/>
        </w:rPr>
        <w:t>for</w:t>
      </w:r>
      <w:r>
        <w:t xml:space="preserve"> </w:t>
        <w:t>no passphrase</w:t>
        <w:t>)</w:t>
        <w:t>:</w:t>
        <w:t xml:space="preserve"> </w:t>
        <w:t>Enter same passphrase again:</w:t>
      </w:r>
    </w:p>
    <w:p>
      <w:pPr>
        <w:pStyle w:val="Normal"/>
      </w:pPr>
      <w:r>
        <w:t>Saved ECDSA-SK key ssh:mytoken to id_ecdsa_sk_rk_mytoken</w:t>
      </w:r>
    </w:p>
    <w:p>
      <w:pPr>
        <w:pStyle w:val="Para 17"/>
      </w:pPr>
      <w:r>
        <w:t/>
      </w:r>
    </w:p>
    <w:p>
      <w:pPr>
        <w:pStyle w:val="Normal"/>
      </w:pPr>
      <w:r>
        <w:t>It will use the part after ssh: from the application parameter from before as part of the key filenames:</w:t>
      </w:r>
    </w:p>
    <w:p>
      <w:bookmarkStart w:id="280" w:name="page_1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1" name="index-196_1.png" descr="index-196_1.png"/>
            <wp:cNvGraphicFramePr>
              <a:graphicFrameLocks noChangeAspect="1"/>
            </wp:cNvGraphicFramePr>
            <a:graphic>
              <a:graphicData uri="http://schemas.openxmlformats.org/drawingml/2006/picture">
                <pic:pic>
                  <pic:nvPicPr>
                    <pic:cNvPr id="0" name="index-196_1.png" descr="index-196_1.png"/>
                    <pic:cNvPicPr/>
                  </pic:nvPicPr>
                  <pic:blipFill>
                    <a:blip r:embed="rId205"/>
                    <a:stretch>
                      <a:fillRect/>
                    </a:stretch>
                  </pic:blipFill>
                  <pic:spPr>
                    <a:xfrm>
                      <a:off x="0" y="0"/>
                      <a:ext cx="914400" cy="266700"/>
                    </a:xfrm>
                    <a:prstGeom prst="rect">
                      <a:avLst/>
                    </a:prstGeom>
                  </pic:spPr>
                </pic:pic>
              </a:graphicData>
            </a:graphic>
          </wp:anchor>
        </w:drawing>
      </w:r>
      <w:bookmarkEnd w:id="280"/>
    </w:p>
    <w:p>
      <w:pPr>
        <w:pStyle w:val="Normal"/>
      </w:pPr>
      <w:r>
        <w:t>$ l id_ecdsa_sk_rk_mytoken*</w:t>
      </w:r>
    </w:p>
    <w:p>
      <w:pPr>
        <w:pStyle w:val="Normal"/>
      </w:pPr>
      <w:r>
        <w:t>-rw-------</w:t>
        <w:t>1</w:t>
        <w:t xml:space="preserve"> </w:t>
        <w:t>ubuntu ubuntu</w:t>
        <w:t xml:space="preserve"> </w:t>
        <w:t>598</w:t>
        <w:t xml:space="preserve"> </w:t>
        <w:t>out</w:t>
        <w:t xml:space="preserve"> </w:t>
        <w:t>4 18</w:t>
        <w:t>:49 id_ecdsa_sk_rk_mytoken</w:t>
        <w:t>-rw-r--r--</w:t>
        <w:t>1</w:t>
        <w:t xml:space="preserve"> </w:t>
        <w:t>ubuntu ubuntu</w:t>
        <w:t xml:space="preserve"> </w:t>
        <w:t>228</w:t>
        <w:t xml:space="preserve"> </w:t>
        <w:t>out</w:t>
        <w:t xml:space="preserve"> </w:t>
        <w:t>4 18</w:t>
        <w:t>:49 id_ecdsa_sk_rk_mytoken.pub</w:t>
      </w:r>
    </w:p>
    <w:p>
      <w:pPr>
        <w:pStyle w:val="Para 17"/>
      </w:pPr>
      <w:r>
        <w:t/>
      </w:r>
    </w:p>
    <w:p>
      <w:pPr>
        <w:pStyle w:val="Normal"/>
      </w:pPr>
      <w:r>
        <w:t xml:space="preserve">If you set a passphrase when extracting the keys from the hardware token, and later use these keys, you will be prompted for both the key passphrase </w:t>
      </w:r>
      <w:r>
        <w:rPr>
          <w:rStyle w:val="Text3"/>
        </w:rPr>
        <w:t>and</w:t>
      </w:r>
      <w:r>
        <w:t xml:space="preserve"> the hardware key PIN. You will also have to touch the token:</w:t>
      </w:r>
    </w:p>
    <w:p>
      <w:pPr>
        <w:pStyle w:val="Normal"/>
      </w:pPr>
      <w:r>
        <w:t>$ ssh -i ./id_ecdsa_sk_rk_mytoken ubuntu@focal.server</w:t>
      </w:r>
    </w:p>
    <w:p>
      <w:pPr>
        <w:pStyle w:val="Normal"/>
      </w:pPr>
      <w:r>
        <w:t>Enter passphrase</w:t>
        <w:t xml:space="preserve"> </w:t>
      </w:r>
      <w:r>
        <w:rPr>
          <w:rStyle w:val="Text0"/>
        </w:rPr>
        <w:t>for</w:t>
      </w:r>
      <w:r>
        <w:t xml:space="preserve"> </w:t>
        <w:t>key</w:t>
        <w:t xml:space="preserve"> </w:t>
        <w:t>'./id_ecdsa_sk_rk_mytoken'</w:t>
        <w:t>:</w:t>
        <w:t xml:space="preserve"> </w:t>
        <w:t>Confirm user presence</w:t>
        <w:t xml:space="preserve"> </w:t>
      </w:r>
      <w:r>
        <w:rPr>
          <w:rStyle w:val="Text0"/>
        </w:rPr>
        <w:t>for</w:t>
      </w:r>
      <w:r>
        <w:t xml:space="preserve"> </w:t>
        <w:t>key ECDSA-SK</w:t>
      </w:r>
    </w:p>
    <w:p>
      <w:pPr>
        <w:pStyle w:val="Normal"/>
      </w:pPr>
      <w:r>
        <w:t>SHA256:t+l26IgTXeURY6e36wtrq7wVYJtDVZrO+iuobs1CvVQ</w:t>
      </w:r>
    </w:p>
    <w:p>
      <w:pPr>
        <w:pStyle w:val="Normal"/>
      </w:pPr>
      <w:r>
        <w:t>User presence confirmed</w:t>
      </w:r>
    </w:p>
    <w:p>
      <w:pPr>
        <w:pStyle w:val="Normal"/>
      </w:pPr>
      <w:r>
        <w:t>(</w:t>
        <w:t>...</w:t>
        <w:t>)</w:t>
      </w:r>
    </w:p>
    <w:p>
      <w:pPr>
        <w:pStyle w:val="Para 17"/>
      </w:pPr>
      <w:r>
        <w:t/>
      </w:r>
    </w:p>
    <w:p>
      <w:pPr>
        <w:pStyle w:val="Normal"/>
      </w:pPr>
      <w:r>
        <w:t>It is also possible to download and add resident keys directly to ssh-agent by running</w:t>
      </w:r>
    </w:p>
    <w:p>
      <w:pPr>
        <w:pStyle w:val="Normal"/>
      </w:pPr>
      <w:r>
        <w:t>$ ssh-add -K</w:t>
      </w:r>
    </w:p>
    <w:p>
      <w:pPr>
        <w:pStyle w:val="Para 17"/>
      </w:pPr>
      <w:r>
        <w:t/>
      </w:r>
    </w:p>
    <w:p>
      <w:pPr>
        <w:pStyle w:val="Normal"/>
      </w:pPr>
      <w:r>
        <w:t>In this case, no file is written and the public key can be printed by running ssh-add -L.</w:t>
      </w:r>
    </w:p>
    <w:p>
      <w:pPr>
        <w:pStyle w:val="Para 08"/>
      </w:pPr>
      <w:r>
        <w:t>Note:</w:t>
      </w:r>
    </w:p>
    <w:p>
      <w:pPr>
        <w:pStyle w:val="Para 03"/>
      </w:pPr>
      <w:r>
        <w:t>If you used the-O verify-required option when generating the keys, or if that option is</w:t>
      </w:r>
    </w:p>
    <w:p>
      <w:pPr>
        <w:pStyle w:val="Para 03"/>
      </w:pPr>
      <w:r>
        <w:t>set on the SSH server via the /etc/ssh/sshd_config setting PubkeyAuthOptions verify-</w:t>
      </w:r>
    </w:p>
    <w:p>
      <w:pPr>
        <w:pStyle w:val="Para 03"/>
      </w:pPr>
      <w:r>
        <w:t>required, then using the agent won’t work (in Ubuntu 22.04 LTS).</w:t>
      </w:r>
    </w:p>
    <w:p>
      <w:pPr>
        <w:pStyle w:val="Para 17"/>
      </w:pPr>
      <w:r>
        <w:t/>
      </w:r>
    </w:p>
    <w:p>
      <w:pPr>
        <w:pStyle w:val="Para 01"/>
      </w:pPr>
      <w:r>
        <w:t>Further reading</w:t>
      </w:r>
    </w:p>
    <w:p>
      <w:pPr>
        <w:pStyle w:val="Para 17"/>
      </w:pPr>
      <w:r>
        <w:t/>
      </w:r>
    </w:p>
    <w:p>
      <w:pPr>
        <w:pStyle w:val="Para 13"/>
      </w:pPr>
      <w:r>
        <w:rPr>
          <w:rStyle w:val="Text7"/>
        </w:rPr>
        <w:t xml:space="preserve">• </w:t>
      </w:r>
      <w:hyperlink r:id="rId1156">
        <w:r>
          <w:rPr>
            <w:rStyle w:val="Text10"/>
          </w:rPr>
          <w:t>152</w:t>
        </w:r>
      </w:hyperlink>
      <w:hyperlink r:id="rId1156">
        <w:r>
          <w:t xml:space="preserve"> OpenSSH 8.2 release notes</w:t>
        </w:r>
      </w:hyperlink>
    </w:p>
    <w:p>
      <w:pPr>
        <w:pStyle w:val="Para 13"/>
      </w:pPr>
      <w:r>
        <w:rPr>
          <w:rStyle w:val="Text7"/>
        </w:rPr>
        <w:t xml:space="preserve">• </w:t>
      </w:r>
      <w:hyperlink w:anchor="page_196">
        <w:r>
          <w:rPr>
            <w:rStyle w:val="Text10"/>
          </w:rPr>
          <w:t>153</w:t>
        </w:r>
      </w:hyperlink>
      <w:r>
        <w:rPr>
          <w:rStyle w:val="Text7"/>
        </w:rPr>
        <w:t xml:space="preserve"> </w:t>
      </w:r>
      <w:hyperlink r:id="rId1157">
        <w:r>
          <w:t>Yubikey documentation for OpenSSH FIDO/FIDO2 usage</w:t>
        </w:r>
      </w:hyperlink>
    </w:p>
    <w:p>
      <w:pPr>
        <w:pStyle w:val="Para 17"/>
      </w:pPr>
      <w:r>
        <w:t/>
      </w:r>
    </w:p>
    <w:p>
      <w:pPr>
        <w:pStyle w:val="Para 01"/>
      </w:pPr>
      <w:r>
        <w:t>Install a root CA certificate in the trust store</w:t>
      </w:r>
    </w:p>
    <w:p>
      <w:pPr>
        <w:pStyle w:val="Para 17"/>
      </w:pPr>
      <w:r>
        <w:t/>
      </w:r>
    </w:p>
    <w:p>
      <w:pPr>
        <w:pStyle w:val="Normal"/>
      </w:pPr>
      <w:r>
        <w:t>Enterprise environments sometimes have a local Certificate Authority (CA) that issues cer-tificates for use within the organization. For an Ubuntu server to be functional, and to trust the hosts in this environment, this CA must be installed in Ubuntu’s trust store.</w:t>
      </w:r>
    </w:p>
    <w:p>
      <w:pPr>
        <w:pStyle w:val="Para 05"/>
      </w:pPr>
      <w:r>
        <w:rPr>
          <w:rStyle w:val="Text5"/>
        </w:rPr>
        <w:t>152</w:t>
      </w:r>
      <w:r>
        <w:rPr>
          <w:rStyle w:val="Text8"/>
        </w:rPr>
        <w:t xml:space="preserve"> </w:t>
      </w:r>
      <w:r>
        <w:t>https://www.openssh.org/txt/release-8.2</w:t>
      </w:r>
    </w:p>
    <w:p>
      <w:pPr>
        <w:pStyle w:val="Para 05"/>
      </w:pPr>
      <w:r>
        <w:rPr>
          <w:rStyle w:val="Text5"/>
        </w:rPr>
        <w:t>153</w:t>
      </w:r>
      <w:r>
        <w:rPr>
          <w:rStyle w:val="Text8"/>
        </w:rPr>
        <w:t xml:space="preserve"> </w:t>
      </w:r>
      <w:r>
        <w:t>https://developers.yubico.com/SSH/Securing_SSH_with_FIDO2.html</w:t>
      </w:r>
    </w:p>
    <w:p>
      <w:bookmarkStart w:id="281" w:name="calibre_pb_42"/>
      <w:pPr>
        <w:pStyle w:val="0 Block"/>
      </w:pPr>
      <w:bookmarkEnd w:id="281"/>
    </w:p>
    <w:p>
      <w:bookmarkStart w:id="282" w:name="Top_of_index_split_043_html"/>
      <w:bookmarkStart w:id="283" w:name="page_19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2" name="index-197_1.png" descr="index-197_1.png"/>
            <wp:cNvGraphicFramePr>
              <a:graphicFrameLocks noChangeAspect="1"/>
            </wp:cNvGraphicFramePr>
            <a:graphic>
              <a:graphicData uri="http://schemas.openxmlformats.org/drawingml/2006/picture">
                <pic:pic>
                  <pic:nvPicPr>
                    <pic:cNvPr id="0" name="index-197_1.png" descr="index-197_1.png"/>
                    <pic:cNvPicPr/>
                  </pic:nvPicPr>
                  <pic:blipFill>
                    <a:blip r:embed="rId206"/>
                    <a:stretch>
                      <a:fillRect/>
                    </a:stretch>
                  </pic:blipFill>
                  <pic:spPr>
                    <a:xfrm>
                      <a:off x="0" y="0"/>
                      <a:ext cx="914400" cy="266700"/>
                    </a:xfrm>
                    <a:prstGeom prst="rect">
                      <a:avLst/>
                    </a:prstGeom>
                  </pic:spPr>
                </pic:pic>
              </a:graphicData>
            </a:graphic>
          </wp:anchor>
        </w:drawing>
      </w:r>
      <w:bookmarkEnd w:id="282"/>
      <w:bookmarkEnd w:id="283"/>
    </w:p>
    <w:p>
      <w:pPr>
        <w:pStyle w:val="Para 01"/>
      </w:pPr>
      <w:r>
        <w:t>Certificate formats</w:t>
      </w:r>
    </w:p>
    <w:p>
      <w:pPr>
        <w:pStyle w:val="Para 17"/>
      </w:pPr>
      <w:r>
        <w:t/>
      </w:r>
    </w:p>
    <w:p>
      <w:pPr>
        <w:pStyle w:val="Normal"/>
      </w:pPr>
      <w:r>
        <w:t>There are two encoding formats for certificates:</w:t>
      </w:r>
    </w:p>
    <w:p>
      <w:pPr>
        <w:pStyle w:val="Para 04"/>
      </w:pPr>
      <w:r>
        <w:t xml:space="preserve">• </w:t>
      </w:r>
      <w:r>
        <w:rPr>
          <w:rStyle w:val="Text0"/>
        </w:rPr>
        <w:t>Privacy Enhanced Mail (PEM)</w:t>
      </w:r>
      <w:r>
        <w:t>: These are human-readable and in Base64-encoded</w:t>
      </w:r>
    </w:p>
    <w:p>
      <w:pPr>
        <w:pStyle w:val="Para 02"/>
      </w:pPr>
      <w:r>
        <w:rPr>
          <w:rStyle w:val="Text0"/>
        </w:rPr>
        <w:t>ASCII</w:t>
      </w:r>
      <w:r>
        <w:t xml:space="preserve"> format.</w:t>
      </w:r>
    </w:p>
    <w:p>
      <w:pPr>
        <w:pStyle w:val="Para 04"/>
      </w:pPr>
      <w:r>
        <w:t xml:space="preserve">• </w:t>
      </w:r>
      <w:r>
        <w:rPr>
          <w:rStyle w:val="Text0"/>
        </w:rPr>
        <w:t>Distinguished Encoding Rules</w:t>
      </w:r>
      <w:r>
        <w:t xml:space="preserve"> </w:t>
      </w:r>
      <w:hyperlink w:anchor="page_678">
        <w:r>
          <w:rPr>
            <w:rStyle w:val="Text1"/>
          </w:rPr>
          <w:t>(</w:t>
        </w:r>
      </w:hyperlink>
      <w:hyperlink w:anchor="page_678">
        <w:r>
          <w:rPr>
            <w:rStyle w:val="Text2"/>
          </w:rPr>
          <w:t>DER</w:t>
        </w:r>
      </w:hyperlink>
      <w:r>
        <w:t xml:space="preserve">): These are encoded in a more compact </w:t>
      </w:r>
      <w:r>
        <w:rPr>
          <w:rStyle w:val="Text0"/>
        </w:rPr>
        <w:t>binary</w:t>
      </w:r>
    </w:p>
    <w:p>
      <w:pPr>
        <w:pStyle w:val="Para 02"/>
      </w:pPr>
      <w:r>
        <w:t>format, and not human readable.</w:t>
      </w:r>
    </w:p>
    <w:p>
      <w:pPr>
        <w:pStyle w:val="Normal"/>
      </w:pPr>
      <w:r>
        <w:t>To install a certificate in the trust store it must be in PEM format. A PEM certificate starts with the line----BEGIN CERTIFICATE----. If you see this, you’re ready to install. If not, it is probably a DER certificate and needs to be converted before you can install it in the trust store.</w:t>
      </w:r>
    </w:p>
    <w:p>
      <w:pPr>
        <w:pStyle w:val="Para 17"/>
      </w:pPr>
      <w:r>
        <w:t/>
      </w:r>
    </w:p>
    <w:p>
      <w:pPr>
        <w:pStyle w:val="Para 01"/>
      </w:pPr>
      <w:r>
        <w:t>Install a PEM-format certificate</w:t>
      </w:r>
    </w:p>
    <w:p>
      <w:pPr>
        <w:pStyle w:val="Para 17"/>
      </w:pPr>
      <w:r>
        <w:t/>
      </w:r>
    </w:p>
    <w:p>
      <w:pPr>
        <w:pStyle w:val="Normal"/>
      </w:pPr>
      <w:r>
        <w:t>Assuming your PEM-formatted root CA certificate is in local-ca.crt, run the following com-mands to install it:</w:t>
      </w:r>
    </w:p>
    <w:p>
      <w:pPr>
        <w:pStyle w:val="Para 04"/>
      </w:pPr>
      <w:r>
        <w:t>• Generate a random certificate</w:t>
      </w:r>
    </w:p>
    <w:p>
      <w:pPr>
        <w:pStyle w:val="Normal"/>
      </w:pPr>
      <w:r>
        <w:t>Answer the questions asked after executing the command. When asked to input a commonName (CN), it should match the hostname of the server.</w:t>
      </w:r>
    </w:p>
    <w:p>
      <w:pPr>
        <w:pStyle w:val="Normal"/>
      </w:pPr>
      <w:r>
        <w:t>openssl req -x509 -new -nodes -keyout local-ca.key -out local-ca.crt</w:t>
      </w:r>
    </w:p>
    <w:p>
      <w:pPr>
        <w:pStyle w:val="Para 17"/>
      </w:pPr>
      <w:r>
        <w:t/>
      </w:r>
    </w:p>
    <w:p>
      <w:pPr>
        <w:pStyle w:val="Para 04"/>
      </w:pPr>
      <w:r>
        <w:t>• Install the CA certificate package</w:t>
      </w:r>
    </w:p>
    <w:p>
      <w:pPr>
        <w:pStyle w:val="Normal"/>
      </w:pPr>
      <w:r>
        <w:t>sudo apt-get install -y ca-certificates</w:t>
      </w:r>
    </w:p>
    <w:p>
      <w:pPr>
        <w:pStyle w:val="Para 17"/>
      </w:pPr>
      <w:r>
        <w:t/>
      </w:r>
    </w:p>
    <w:p>
      <w:pPr>
        <w:pStyle w:val="Para 04"/>
      </w:pPr>
      <w:r>
        <w:t>• Copy your certificate to the local CA certificates directory</w:t>
      </w:r>
    </w:p>
    <w:p>
      <w:pPr>
        <w:pStyle w:val="Normal"/>
      </w:pPr>
      <w:r>
        <w:t>sudo cp local-ca.crt /usr/local/share/ca-certificates</w:t>
      </w:r>
    </w:p>
    <w:p>
      <w:pPr>
        <w:pStyle w:val="Para 17"/>
      </w:pPr>
      <w:r>
        <w:t/>
      </w:r>
    </w:p>
    <w:p>
      <w:pPr>
        <w:pStyle w:val="Para 04"/>
      </w:pPr>
      <w:r>
        <w:t>• Add the certificate to your trust store</w:t>
      </w:r>
    </w:p>
    <w:p>
      <w:pPr>
        <w:pStyle w:val="Normal"/>
      </w:pPr>
      <w:r>
        <w:t>sudo update-ca-certificates</w:t>
      </w:r>
    </w:p>
    <w:p>
      <w:pPr>
        <w:pStyle w:val="Para 17"/>
      </w:pPr>
      <w:r>
        <w:t/>
      </w:r>
    </w:p>
    <w:p>
      <w:pPr>
        <w:pStyle w:val="Para 04"/>
      </w:pPr>
      <w:r>
        <w:t>• Verify that your certificate is in PEM format</w:t>
      </w:r>
    </w:p>
    <w:p>
      <w:pPr>
        <w:pStyle w:val="Normal"/>
      </w:pPr>
      <w:r>
        <w:t>$ sudo ls /etc/ssl/certs/ | grep local-ca</w:t>
      </w:r>
    </w:p>
    <w:p>
      <w:pPr>
        <w:pStyle w:val="Normal"/>
      </w:pPr>
      <w:r>
        <w:t>local-ca.pem</w:t>
      </w:r>
    </w:p>
    <w:p>
      <w:pPr>
        <w:pStyle w:val="Para 17"/>
      </w:pPr>
      <w:r>
        <w:t/>
      </w:r>
    </w:p>
    <w:p>
      <w:pPr>
        <w:pStyle w:val="Para 04"/>
      </w:pPr>
      <w:r>
        <w:t>• You can also verify that your certificate is available in the trust store by selecting a few</w:t>
      </w:r>
    </w:p>
    <w:p>
      <w:pPr>
        <w:pStyle w:val="Para 02"/>
      </w:pPr>
      <w:r>
        <w:t>texts from your certificate and comparing them with the certificate at the end of the trust store file to see if it matches yours.</w:t>
      </w:r>
    </w:p>
    <w:p>
      <w:pPr>
        <w:pStyle w:val="Normal"/>
      </w:pPr>
      <w:r>
        <w:t>$ sudo cat local-ca.crt</w:t>
      </w:r>
    </w:p>
    <w:p>
      <w:pPr>
        <w:pStyle w:val="Normal"/>
      </w:pPr>
      <w:r>
        <w:t>...</w:t>
      </w:r>
    </w:p>
    <w:p>
      <w:pPr>
        <w:pStyle w:val="Normal"/>
      </w:pPr>
      <w:r>
        <w:t>L4zOd3b41xJtYldofPve</w:t>
      </w:r>
    </w:p>
    <w:p>
      <w:pPr>
        <w:pStyle w:val="Normal"/>
      </w:pPr>
      <w:r>
        <w:t>-----END CERTIFICATE-----</w:t>
      </w:r>
    </w:p>
    <w:p>
      <w:pPr>
        <w:pStyle w:val="Para 09"/>
      </w:pPr>
      <w:r>
        <w:t>(continues on next page)</w:t>
      </w:r>
    </w:p>
    <w:p>
      <w:bookmarkStart w:id="284" w:name="page_1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3"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207"/>
                    <a:stretch>
                      <a:fillRect/>
                    </a:stretch>
                  </pic:blipFill>
                  <pic:spPr>
                    <a:xfrm>
                      <a:off x="0" y="0"/>
                      <a:ext cx="914400" cy="266700"/>
                    </a:xfrm>
                    <a:prstGeom prst="rect">
                      <a:avLst/>
                    </a:prstGeom>
                  </pic:spPr>
                </pic:pic>
              </a:graphicData>
            </a:graphic>
          </wp:anchor>
        </w:drawing>
      </w:r>
      <w:bookmarkEnd w:id="284"/>
    </w:p>
    <w:p>
      <w:pPr>
        <w:pStyle w:val="Para 09"/>
      </w:pPr>
      <w:r>
        <w:t>(continued from previous page)</w:t>
      </w:r>
    </w:p>
    <w:p>
      <w:pPr>
        <w:pStyle w:val="Normal"/>
      </w:pPr>
      <w:r>
        <w:t>$ sudo cat /etc/ssl/certs/ca-certificates.crt | grep L4zOd3b41xJtYldofPve</w:t>
      </w:r>
    </w:p>
    <w:p>
      <w:pPr>
        <w:pStyle w:val="Normal"/>
      </w:pPr>
      <w:r>
        <w:t>L4zOd3b41xJtYldofPve</w:t>
      </w:r>
    </w:p>
    <w:p>
      <w:pPr>
        <w:pStyle w:val="Para 17"/>
      </w:pPr>
      <w:r>
        <w:t/>
      </w:r>
    </w:p>
    <w:p>
      <w:pPr>
        <w:pStyle w:val="Para 08"/>
      </w:pPr>
      <w:r>
        <w:t>Note:</w:t>
      </w:r>
    </w:p>
    <w:p>
      <w:pPr>
        <w:pStyle w:val="Para 03"/>
      </w:pPr>
      <w:r>
        <w:t>It is important that the certificate file has the .crt extension, otherwise it will not be pro-</w:t>
      </w:r>
    </w:p>
    <w:p>
      <w:pPr>
        <w:pStyle w:val="Para 03"/>
      </w:pPr>
      <w:r>
        <w:t>cessed.</w:t>
      </w:r>
    </w:p>
    <w:p>
      <w:pPr>
        <w:pStyle w:val="Normal"/>
      </w:pPr>
      <w:r>
        <w:t>After this point, you can use tools like curl and wget to connect to local sites.</w:t>
      </w:r>
    </w:p>
    <w:p>
      <w:pPr>
        <w:pStyle w:val="Para 08"/>
      </w:pPr>
      <w:r>
        <w:t>Note:</w:t>
      </w:r>
    </w:p>
    <w:p>
      <w:pPr>
        <w:pStyle w:val="Para 03"/>
      </w:pPr>
      <w:r>
        <w:t>This procedure updates the system trust store and affects applications that rely on the</w:t>
      </w:r>
    </w:p>
    <w:p>
      <w:pPr>
        <w:pStyle w:val="Para 03"/>
      </w:pPr>
      <w:r>
        <w:t>host system’s OpenSSL configuration, such as curl and wget.</w:t>
      </w:r>
    </w:p>
    <w:p>
      <w:pPr>
        <w:pStyle w:val="Para 03"/>
      </w:pPr>
      <w:r>
        <w:t>Snap applications, including snap-packaged browsers, are unlikely to automatically trust</w:t>
      </w:r>
    </w:p>
    <w:p>
      <w:pPr>
        <w:pStyle w:val="Para 03"/>
      </w:pPr>
      <w:r>
        <w:t>certificates installed in the system trust store due to snap confinement.</w:t>
      </w:r>
    </w:p>
    <w:p>
      <w:pPr>
        <w:pStyle w:val="Para 17"/>
      </w:pPr>
      <w:r>
        <w:t/>
      </w:r>
    </w:p>
    <w:p>
      <w:pPr>
        <w:pStyle w:val="Para 01"/>
      </w:pPr>
      <w:r>
        <w:t>Uninstall a PEM-format certificate</w:t>
      </w:r>
    </w:p>
    <w:p>
      <w:pPr>
        <w:pStyle w:val="Para 17"/>
      </w:pPr>
      <w:r>
        <w:t/>
      </w:r>
    </w:p>
    <w:p>
      <w:pPr>
        <w:pStyle w:val="Para 04"/>
      </w:pPr>
      <w:r>
        <w:t>• Verify that the certificate you’d like to uninstall exists.</w:t>
      </w:r>
    </w:p>
    <w:p>
      <w:pPr>
        <w:pStyle w:val="Normal"/>
      </w:pPr>
      <w:r>
        <w:t>$ sudo ls /usr/local/share/ca-certificates/local-ca.crt</w:t>
      </w:r>
    </w:p>
    <w:p>
      <w:pPr>
        <w:pStyle w:val="Normal"/>
      </w:pPr>
      <w:r>
        <w:t>/usr/local/share/ca-certificates/local-ca.crt</w:t>
      </w:r>
    </w:p>
    <w:p>
      <w:pPr>
        <w:pStyle w:val="Para 17"/>
      </w:pPr>
      <w:r>
        <w:t/>
      </w:r>
    </w:p>
    <w:p>
      <w:pPr>
        <w:pStyle w:val="Para 04"/>
      </w:pPr>
      <w:r>
        <w:t>• Delete the certificate</w:t>
      </w:r>
    </w:p>
    <w:p>
      <w:pPr>
        <w:pStyle w:val="Normal"/>
      </w:pPr>
      <w:r>
        <w:t>sudo rm /usr/local/share/ca-certificates/local-ca.crt</w:t>
      </w:r>
    </w:p>
    <w:p>
      <w:pPr>
        <w:pStyle w:val="Para 17"/>
      </w:pPr>
      <w:r>
        <w:t/>
      </w:r>
    </w:p>
    <w:p>
      <w:pPr>
        <w:pStyle w:val="Para 04"/>
      </w:pPr>
      <w:r>
        <w:t>• The certificate still exists in the trust store.</w:t>
      </w:r>
    </w:p>
    <w:p>
      <w:pPr>
        <w:pStyle w:val="Normal"/>
      </w:pPr>
      <w:r>
        <w:t>$ sudo cat /etc/ssl/certs/ca-certificates.crt | grep L4zOd3b41xJtYldofPve</w:t>
      </w:r>
    </w:p>
    <w:p>
      <w:pPr>
        <w:pStyle w:val="Normal"/>
      </w:pPr>
      <w:r>
        <w:t>L4zOd3b41xJtYldofPve</w:t>
      </w:r>
    </w:p>
    <w:p>
      <w:pPr>
        <w:pStyle w:val="Para 17"/>
      </w:pPr>
      <w:r>
        <w:t/>
      </w:r>
    </w:p>
    <w:p>
      <w:pPr>
        <w:pStyle w:val="Para 04"/>
      </w:pPr>
      <w:r>
        <w:t>• Update the trust store</w:t>
      </w:r>
    </w:p>
    <w:p>
      <w:pPr>
        <w:pStyle w:val="Normal"/>
      </w:pPr>
      <w:r>
        <w:t>$ sudo update-ca-certificates --fresh</w:t>
      </w:r>
    </w:p>
    <w:p>
      <w:pPr>
        <w:pStyle w:val="Para 17"/>
      </w:pPr>
      <w:r>
        <w:t/>
      </w:r>
    </w:p>
    <w:p>
      <w:pPr>
        <w:pStyle w:val="Para 04"/>
      </w:pPr>
      <w:r>
        <w:t>• Verify that the certificate has been uninstalled</w:t>
      </w:r>
    </w:p>
    <w:p>
      <w:pPr>
        <w:pStyle w:val="Normal"/>
      </w:pPr>
      <w:r>
        <w:t>$ sudo cat /etc/ssl/certs/ca-certificates.crt | grep L4zOd3b41xJtYldofPve</w:t>
      </w:r>
    </w:p>
    <w:p>
      <w:bookmarkStart w:id="285" w:name="calibre_pb_43"/>
      <w:pPr>
        <w:pStyle w:val="0 Block"/>
      </w:pPr>
      <w:bookmarkEnd w:id="285"/>
    </w:p>
    <w:p>
      <w:bookmarkStart w:id="286" w:name="page_199"/>
      <w:bookmarkStart w:id="287" w:name="Top_of_index_split_04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4" name="index-199_1.png" descr="index-199_1.png"/>
            <wp:cNvGraphicFramePr>
              <a:graphicFrameLocks noChangeAspect="1"/>
            </wp:cNvGraphicFramePr>
            <a:graphic>
              <a:graphicData uri="http://schemas.openxmlformats.org/drawingml/2006/picture">
                <pic:pic>
                  <pic:nvPicPr>
                    <pic:cNvPr id="0" name="index-199_1.png" descr="index-199_1.png"/>
                    <pic:cNvPicPr/>
                  </pic:nvPicPr>
                  <pic:blipFill>
                    <a:blip r:embed="rId208"/>
                    <a:stretch>
                      <a:fillRect/>
                    </a:stretch>
                  </pic:blipFill>
                  <pic:spPr>
                    <a:xfrm>
                      <a:off x="0" y="0"/>
                      <a:ext cx="914400" cy="266700"/>
                    </a:xfrm>
                    <a:prstGeom prst="rect">
                      <a:avLst/>
                    </a:prstGeom>
                  </pic:spPr>
                </pic:pic>
              </a:graphicData>
            </a:graphic>
          </wp:anchor>
        </w:drawing>
      </w:r>
      <w:bookmarkEnd w:id="286"/>
      <w:bookmarkEnd w:id="287"/>
    </w:p>
    <w:p>
      <w:pPr>
        <w:pStyle w:val="Para 01"/>
      </w:pPr>
      <w:r>
        <w:t>Convert from DER to PEM format</w:t>
      </w:r>
    </w:p>
    <w:p>
      <w:pPr>
        <w:pStyle w:val="Para 17"/>
      </w:pPr>
      <w:r>
        <w:t/>
      </w:r>
    </w:p>
    <w:p>
      <w:pPr>
        <w:pStyle w:val="Normal"/>
      </w:pPr>
      <w:r>
        <w:t>You can convert a DER-formatted certificate called local-ca.der to PEM form like this:</w:t>
      </w:r>
    </w:p>
    <w:p>
      <w:pPr>
        <w:pStyle w:val="Normal"/>
      </w:pPr>
      <w:r>
        <w:t>sudo openssl x509 -inform der -outform pem -in local-ca.der -out local-ca.crt</w:t>
        <w:t>`</w:t>
      </w:r>
    </w:p>
    <w:p>
      <w:pPr>
        <w:pStyle w:val="Para 17"/>
      </w:pPr>
      <w:r>
        <w:t/>
      </w:r>
    </w:p>
    <w:p>
      <w:pPr>
        <w:pStyle w:val="Para 01"/>
      </w:pPr>
      <w:r>
        <w:t>The CA trust store location</w:t>
      </w:r>
    </w:p>
    <w:p>
      <w:pPr>
        <w:pStyle w:val="Para 17"/>
      </w:pPr>
      <w:r>
        <w:t/>
      </w:r>
    </w:p>
    <w:p>
      <w:pPr>
        <w:pStyle w:val="Normal"/>
      </w:pPr>
      <w:r>
        <w:t>The CA trust store (as generated by update-ca-certificates) is available at the following locations:</w:t>
      </w:r>
    </w:p>
    <w:p>
      <w:pPr>
        <w:pStyle w:val="Para 04"/>
      </w:pPr>
      <w:r>
        <w:t>• As a single file (PEM bundle) in /etc/ssl/certs/ca-certificates.crt</w:t>
      </w:r>
    </w:p>
    <w:p>
      <w:pPr>
        <w:pStyle w:val="Para 04"/>
      </w:pPr>
      <w:r>
        <w:t>• As an OpenSSL-compatible certificate directory in /etc/ssl/certs</w:t>
      </w:r>
    </w:p>
    <w:p>
      <w:pPr>
        <w:pStyle w:val="Para 17"/>
      </w:pPr>
      <w:r>
        <w:t/>
      </w:r>
    </w:p>
    <w:p>
      <w:pPr>
        <w:pStyle w:val="Para 01"/>
      </w:pPr>
      <w:r>
        <w:t>Virtual Private Network (VPN)</w:t>
      </w:r>
    </w:p>
    <w:p>
      <w:pPr>
        <w:pStyle w:val="Para 17"/>
      </w:pPr>
      <w:r>
        <w:t/>
      </w:r>
    </w:p>
    <w:p>
      <w:pPr>
        <w:pStyle w:val="Normal"/>
      </w:pPr>
      <w:r>
        <w:t>VPNs are commonly used to provide encrypted, secure access to a network. Two of the most popular choices in Ubuntu are OpenVPN and WireGuard VPN.</w:t>
      </w:r>
    </w:p>
    <w:p>
      <w:pPr>
        <w:pStyle w:val="Para 04"/>
      </w:pPr>
      <w:r>
        <w:t xml:space="preserve">• </w:t>
      </w:r>
      <w:hyperlink w:anchor="page_199">
        <w:r>
          <w:rPr>
            <w:rStyle w:val="Text2"/>
          </w:rPr>
          <w:t>OpenVPN</w:t>
        </w:r>
      </w:hyperlink>
      <w:r>
        <w:t xml:space="preserve"> (page 198) is a well-established option that supports many platforms besides</w:t>
      </w:r>
    </w:p>
    <w:p>
      <w:pPr>
        <w:pStyle w:val="Para 02"/>
      </w:pPr>
      <w:r>
        <w:t>Linux</w:t>
      </w:r>
    </w:p>
    <w:p>
      <w:pPr>
        <w:pStyle w:val="Para 04"/>
      </w:pPr>
      <w:r>
        <w:t xml:space="preserve">• </w:t>
      </w:r>
      <w:hyperlink w:anchor="page_211">
        <w:r>
          <w:rPr>
            <w:rStyle w:val="Text2"/>
          </w:rPr>
          <w:t>WireGuard VPN</w:t>
        </w:r>
      </w:hyperlink>
      <w:r>
        <w:t xml:space="preserve"> (page 210) is a modern and performant option that removes a lot of the</w:t>
      </w:r>
    </w:p>
    <w:p>
      <w:pPr>
        <w:pStyle w:val="Para 02"/>
      </w:pPr>
      <w:r>
        <w:t>complexity from configuring a VPN</w:t>
      </w:r>
    </w:p>
    <w:p>
      <w:pPr>
        <w:pStyle w:val="Para 17"/>
      </w:pPr>
      <w:r>
        <w:t/>
      </w:r>
    </w:p>
    <w:p>
      <w:pPr>
        <w:pStyle w:val="Para 01"/>
      </w:pPr>
      <w:r>
        <w:t>How to install and use OpenVPN</w:t>
      </w:r>
    </w:p>
    <w:p>
      <w:pPr>
        <w:pStyle w:val="Para 17"/>
      </w:pPr>
      <w:r>
        <w:t/>
      </w:r>
    </w:p>
    <w:p>
      <w:pPr>
        <w:pStyle w:val="Normal"/>
      </w:pPr>
      <w:r>
        <w:t>OpenVPN is a flexible, reliable and secure Virtual Private Networking (VPN) solution. It be-longs to the family of SSL/TLS VPN stacks (different from IPsec VPNs). This chapter will show how to install and configure OpenVPN to create a VPN.</w:t>
      </w:r>
    </w:p>
    <w:p>
      <w:pPr>
        <w:pStyle w:val="Para 17"/>
      </w:pPr>
      <w:r>
        <w:t/>
      </w:r>
    </w:p>
    <w:p>
      <w:pPr>
        <w:pStyle w:val="Para 01"/>
      </w:pPr>
      <w:r>
        <w:t>Install the server</w:t>
      </w:r>
    </w:p>
    <w:p>
      <w:pPr>
        <w:pStyle w:val="Para 17"/>
      </w:pPr>
      <w:r>
        <w:t/>
      </w:r>
    </w:p>
    <w:p>
      <w:pPr>
        <w:pStyle w:val="Normal"/>
      </w:pPr>
      <w:r>
        <w:t>To install OpenVPN, run the following command in your terminal:</w:t>
      </w:r>
    </w:p>
    <w:p>
      <w:pPr>
        <w:pStyle w:val="Normal"/>
      </w:pPr>
      <w:r>
        <w:t>sudo apt install openvpn easy-rsa</w:t>
      </w:r>
    </w:p>
    <w:p>
      <w:pPr>
        <w:pStyle w:val="Para 17"/>
      </w:pPr>
      <w:r>
        <w:t/>
      </w:r>
    </w:p>
    <w:p>
      <w:pPr>
        <w:pStyle w:val="Para 01"/>
      </w:pPr>
      <w:r>
        <w:t>Set up the Public Key Infrastructure (PKI)</w:t>
      </w:r>
    </w:p>
    <w:p>
      <w:pPr>
        <w:pStyle w:val="Para 17"/>
      </w:pPr>
      <w:r>
        <w:t/>
      </w:r>
    </w:p>
    <w:p>
      <w:pPr>
        <w:pStyle w:val="Normal"/>
      </w:pPr>
      <w:r>
        <w:t>If you want more than just pre-shared keys, OpenVPN makes it easy to set up a Public Key Infrastructure (PKI) to use SSL/TLS certificates for authentication and key exchange between the VPN server and clients.</w:t>
      </w:r>
    </w:p>
    <w:p>
      <w:pPr>
        <w:pStyle w:val="Normal"/>
      </w:pPr>
      <w:r>
        <w:t>OpenVPN can be used in a routed or bridged VPN mode and can be configured to use either UDP or TCP. The port number can be configured as well, but port 1194 is the official one; this</w:t>
      </w:r>
    </w:p>
    <w:p>
      <w:pPr>
        <w:pStyle w:val="Normal"/>
      </w:pPr>
      <w:r>
        <w:t xml:space="preserve">single port is used for all communication. </w:t>
      </w:r>
      <w:hyperlink w:anchor="page_800">
        <w:r>
          <w:rPr>
            <w:rStyle w:val="Text2"/>
          </w:rPr>
          <w:t>VPN client implementations</w:t>
        </w:r>
      </w:hyperlink>
      <w:r>
        <w:t xml:space="preserve"> (page 799) are available for almost anything including all Linux distributions, macOS, Windows and OpenWRT-based WLAN routers.</w:t>
      </w:r>
    </w:p>
    <w:p>
      <w:bookmarkStart w:id="288" w:name="page_2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5" name="index-200_1.png" descr="index-200_1.png"/>
            <wp:cNvGraphicFramePr>
              <a:graphicFrameLocks noChangeAspect="1"/>
            </wp:cNvGraphicFramePr>
            <a:graphic>
              <a:graphicData uri="http://schemas.openxmlformats.org/drawingml/2006/picture">
                <pic:pic>
                  <pic:nvPicPr>
                    <pic:cNvPr id="0" name="index-200_1.png" descr="index-200_1.png"/>
                    <pic:cNvPicPr/>
                  </pic:nvPicPr>
                  <pic:blipFill>
                    <a:blip r:embed="rId209"/>
                    <a:stretch>
                      <a:fillRect/>
                    </a:stretch>
                  </pic:blipFill>
                  <pic:spPr>
                    <a:xfrm>
                      <a:off x="0" y="0"/>
                      <a:ext cx="914400" cy="266700"/>
                    </a:xfrm>
                    <a:prstGeom prst="rect">
                      <a:avLst/>
                    </a:prstGeom>
                  </pic:spPr>
                </pic:pic>
              </a:graphicData>
            </a:graphic>
          </wp:anchor>
        </w:drawing>
      </w:r>
      <w:bookmarkEnd w:id="288"/>
    </w:p>
    <w:p>
      <w:pPr>
        <w:pStyle w:val="Normal"/>
      </w:pPr>
      <w:r>
        <w:t>The first step in building an OpenVPN configuration is to establish a PKI, which consists of:</w:t>
      </w:r>
    </w:p>
    <w:p>
      <w:pPr>
        <w:pStyle w:val="Para 04"/>
      </w:pPr>
      <w:r>
        <w:t>• A separate certificate (also known as a public key) and private key for the server and</w:t>
      </w:r>
    </w:p>
    <w:p>
      <w:pPr>
        <w:pStyle w:val="Para 02"/>
      </w:pPr>
      <w:r>
        <w:t>each client</w:t>
      </w:r>
    </w:p>
    <w:p>
      <w:pPr>
        <w:pStyle w:val="Para 04"/>
      </w:pPr>
      <w:r>
        <w:t>• A primary Certificate Authority (CA) certificate and key, used to sign the server and</w:t>
      </w:r>
    </w:p>
    <w:p>
      <w:pPr>
        <w:pStyle w:val="Para 02"/>
      </w:pPr>
      <w:r>
        <w:t>client certificates</w:t>
      </w:r>
    </w:p>
    <w:p>
      <w:pPr>
        <w:pStyle w:val="Normal"/>
      </w:pPr>
      <w:r>
        <w:t>OpenVPN supports bi-directional authentication based on certificates, meaning that the client must authenticate the server certificate and the server must authenticate the client certificate before mutual trust is established.</w:t>
      </w:r>
    </w:p>
    <w:p>
      <w:pPr>
        <w:pStyle w:val="Normal"/>
      </w:pPr>
      <w:r>
        <w:t>Both the server and the client will authenticate each other by first verifying that the pre-sented certificate was signed by the primary Certificate Authority (CA), and then by test-ing information in the now-authenticated certificate header, such as the certificate common name or certificate type (client or server).</w:t>
      </w:r>
    </w:p>
    <w:p>
      <w:pPr>
        <w:pStyle w:val="Para 17"/>
      </w:pPr>
      <w:r>
        <w:t/>
      </w:r>
    </w:p>
    <w:p>
      <w:pPr>
        <w:pStyle w:val="Para 01"/>
      </w:pPr>
      <w:r>
        <w:t>Set up the Certificate Authority</w:t>
      </w:r>
    </w:p>
    <w:p>
      <w:pPr>
        <w:pStyle w:val="Para 17"/>
      </w:pPr>
      <w:r>
        <w:t/>
      </w:r>
    </w:p>
    <w:p>
      <w:pPr>
        <w:pStyle w:val="Normal"/>
      </w:pPr>
      <w:r>
        <w:t>To set up your own CA, and generate certificates and keys for an OpenVPN server with mul-tiple clients, first copy the easy-rsa directory to /etc/openvpn. This will ensure that any changes to the scripts will not be lost when the package is updated. From a terminal, run:</w:t>
      </w:r>
    </w:p>
    <w:p>
      <w:pPr>
        <w:pStyle w:val="Normal"/>
      </w:pPr>
      <w:r>
        <w:t>sudo make-cadir /etc/openvpn/easy-rsa</w:t>
      </w:r>
    </w:p>
    <w:p>
      <w:pPr>
        <w:pStyle w:val="Para 17"/>
      </w:pPr>
      <w:r>
        <w:t/>
      </w:r>
    </w:p>
    <w:p>
      <w:pPr>
        <w:pStyle w:val="Para 08"/>
      </w:pPr>
      <w:r>
        <w:t>Note:</w:t>
      </w:r>
    </w:p>
    <w:p>
      <w:pPr>
        <w:pStyle w:val="Para 03"/>
      </w:pPr>
      <w:r>
        <w:t>You can alternatively edit /etc/openvpn/easy-rsa/vars directly, adjusting it to your needs.</w:t>
      </w:r>
    </w:p>
    <w:p>
      <w:pPr>
        <w:pStyle w:val="Para 17"/>
      </w:pPr>
      <w:r>
        <w:t/>
      </w:r>
    </w:p>
    <w:p>
      <w:pPr>
        <w:pStyle w:val="Normal"/>
      </w:pPr>
      <w:r>
        <w:t>As a root user, change to the newly created directory /etc/openvpn/easy-rsa and run:</w:t>
      </w:r>
    </w:p>
    <w:p>
      <w:pPr>
        <w:pStyle w:val="Normal"/>
      </w:pPr>
      <w:r>
        <w:t>./easyrsa init-pki</w:t>
        <w:t xml:space="preserve"> </w:t>
        <w:t>&amp;&amp;</w:t>
        <w:t xml:space="preserve"> </w:t>
        <w:t>./easyrsa build-ca</w:t>
      </w:r>
    </w:p>
    <w:p>
      <w:pPr>
        <w:pStyle w:val="Para 17"/>
      </w:pPr>
      <w:r>
        <w:t/>
      </w:r>
    </w:p>
    <w:p>
      <w:pPr>
        <w:pStyle w:val="Normal"/>
      </w:pPr>
      <w:r>
        <w:t>The PEM passphrase set when creating the CA will be asked for every time you need to en-crypt the output of a command (such as a private key). The encryption here is important, to avoid printing any private key in plain text.</w:t>
      </w:r>
    </w:p>
    <w:p>
      <w:pPr>
        <w:pStyle w:val="Para 17"/>
      </w:pPr>
      <w:r>
        <w:t/>
      </w:r>
    </w:p>
    <w:p>
      <w:pPr>
        <w:pStyle w:val="Para 01"/>
      </w:pPr>
      <w:r>
        <w:t>Create server keys and certificates</w:t>
      </w:r>
    </w:p>
    <w:p>
      <w:pPr>
        <w:pStyle w:val="Para 17"/>
      </w:pPr>
      <w:r>
        <w:t/>
      </w:r>
    </w:p>
    <w:p>
      <w:pPr>
        <w:pStyle w:val="Normal"/>
      </w:pPr>
      <w:r>
        <w:t>Next, we will generate a key pair for the server:</w:t>
      </w:r>
    </w:p>
    <w:p>
      <w:pPr>
        <w:pStyle w:val="Normal"/>
      </w:pPr>
      <w:r>
        <w:t>./easyrsa gen-req myservername nopass</w:t>
      </w:r>
    </w:p>
    <w:p>
      <w:pPr>
        <w:pStyle w:val="Para 17"/>
      </w:pPr>
      <w:r>
        <w:t/>
      </w:r>
    </w:p>
    <w:p>
      <w:pPr>
        <w:pStyle w:val="Normal"/>
      </w:pPr>
      <w:r>
        <w:t>parameters must be generated for the OpenVPN server. The following command will place them in pki/dh.pem:</w:t>
      </w:r>
    </w:p>
    <w:p>
      <w:pPr>
        <w:pStyle w:val="Normal"/>
      </w:pPr>
      <w:r>
        <w:t>./easyrsa gen-dh</w:t>
      </w:r>
    </w:p>
    <w:p>
      <w:pPr>
        <w:pStyle w:val="Para 17"/>
      </w:pPr>
      <w:r>
        <w:t/>
      </w:r>
    </w:p>
    <w:p>
      <w:pPr>
        <w:pStyle w:val="Normal"/>
      </w:pPr>
      <w:r>
        <w:t>And finally, create a certificate for the server:</w:t>
      </w:r>
    </w:p>
    <w:p>
      <w:bookmarkStart w:id="289" w:name="page_2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6"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210"/>
                    <a:stretch>
                      <a:fillRect/>
                    </a:stretch>
                  </pic:blipFill>
                  <pic:spPr>
                    <a:xfrm>
                      <a:off x="0" y="0"/>
                      <a:ext cx="914400" cy="266700"/>
                    </a:xfrm>
                    <a:prstGeom prst="rect">
                      <a:avLst/>
                    </a:prstGeom>
                  </pic:spPr>
                </pic:pic>
              </a:graphicData>
            </a:graphic>
          </wp:anchor>
        </w:drawing>
      </w:r>
      <w:bookmarkEnd w:id="289"/>
    </w:p>
    <w:p>
      <w:pPr>
        <w:pStyle w:val="Normal"/>
      </w:pPr>
      <w:r>
        <w:t>./easyrsa sign-req server myservername</w:t>
      </w:r>
    </w:p>
    <w:p>
      <w:pPr>
        <w:pStyle w:val="Para 17"/>
      </w:pPr>
      <w:r>
        <w:t/>
      </w:r>
    </w:p>
    <w:p>
      <w:pPr>
        <w:pStyle w:val="Normal"/>
      </w:pPr>
      <w:r>
        <w:t>All certificates and keys have been generated in subdirectories. Common practice is to copy them to /etc/openvpn/:</w:t>
      </w:r>
    </w:p>
    <w:p>
      <w:pPr>
        <w:pStyle w:val="Normal"/>
      </w:pPr>
      <w:r>
        <w:t>cp pki/dh.pem pki/ca.crt pki/issued/myservername.crt pki/private/myservername.key /etc/</w:t>
        <w:t xml:space="preserve"> </w:t>
        <w:t>openvpn/</w:t>
      </w:r>
    </w:p>
    <w:p>
      <w:pPr>
        <w:pStyle w:val="Para 17"/>
      </w:pPr>
      <w:r>
        <w:t/>
      </w:r>
    </w:p>
    <w:p>
      <w:pPr>
        <w:pStyle w:val="Para 01"/>
      </w:pPr>
      <w:r>
        <w:t>Simple server configuration</w:t>
      </w:r>
    </w:p>
    <w:p>
      <w:pPr>
        <w:pStyle w:val="Para 17"/>
      </w:pPr>
      <w:r>
        <w:t/>
      </w:r>
    </w:p>
    <w:p>
      <w:pPr>
        <w:pStyle w:val="Normal"/>
      </w:pPr>
      <w:r>
        <w:t>Included with your OpenVPN installation are these (and many more) sample configuration files:</w:t>
      </w:r>
    </w:p>
    <w:p>
      <w:pPr>
        <w:pStyle w:val="Normal"/>
      </w:pPr>
      <w:r>
        <w:t>/usr/share/doc/openvpn/examples/sample-config-files/client.conf</w:t>
        <w:t xml:space="preserve"> </w:t>
        <w:t>/usr/share/doc/openvpn/examples/sample-config-files/server.conf</w:t>
      </w:r>
    </w:p>
    <w:p>
      <w:pPr>
        <w:pStyle w:val="Para 17"/>
      </w:pPr>
      <w:r>
        <w:t/>
      </w:r>
    </w:p>
    <w:p>
      <w:pPr>
        <w:pStyle w:val="Normal"/>
      </w:pPr>
      <w:r>
        <w:t>If these files under /usr/share/doc/* are not available (for example, the system was provi-sioned as a minimal install), you can fetch them directly from the Ubuntu package reposito-ries:</w:t>
      </w:r>
    </w:p>
    <w:p>
      <w:pPr>
        <w:pStyle w:val="Para 13"/>
      </w:pPr>
      <w:r>
        <w:rPr>
          <w:rStyle w:val="Text7"/>
        </w:rPr>
        <w:t xml:space="preserve">• </w:t>
      </w:r>
      <w:hyperlink w:anchor="page_201">
        <w:r>
          <w:rPr>
            <w:rStyle w:val="Text10"/>
          </w:rPr>
          <w:t>154</w:t>
        </w:r>
      </w:hyperlink>
      <w:r>
        <w:rPr>
          <w:rStyle w:val="Text7"/>
        </w:rPr>
        <w:t xml:space="preserve"> </w:t>
      </w:r>
      <w:hyperlink r:id="rId1158">
        <w:r>
          <w:t>client.conf</w:t>
        </w:r>
      </w:hyperlink>
    </w:p>
    <w:p>
      <w:pPr>
        <w:pStyle w:val="Para 13"/>
      </w:pPr>
      <w:r>
        <w:rPr>
          <w:rStyle w:val="Text7"/>
        </w:rPr>
        <w:t xml:space="preserve">• </w:t>
      </w:r>
      <w:hyperlink w:anchor="page_201">
        <w:r>
          <w:rPr>
            <w:rStyle w:val="Text10"/>
          </w:rPr>
          <w:t>155</w:t>
        </w:r>
      </w:hyperlink>
      <w:r>
        <w:rPr>
          <w:rStyle w:val="Text7"/>
        </w:rPr>
        <w:t xml:space="preserve"> </w:t>
      </w:r>
      <w:hyperlink r:id="rId1159">
        <w:r>
          <w:t>server.conf</w:t>
        </w:r>
      </w:hyperlink>
    </w:p>
    <w:p>
      <w:pPr>
        <w:pStyle w:val="Normal"/>
      </w:pPr>
      <w:r>
        <w:t>Start by copying the example server configuration to /etc/openvpn/myserver.conf:</w:t>
      </w:r>
    </w:p>
    <w:p>
      <w:pPr>
        <w:pStyle w:val="Normal"/>
      </w:pPr>
      <w:r>
        <w:t>sudo cp /usr/share/doc/openvpn/examples/sample-config-files/server.conf /etc/openvpn/</w:t>
        <w:t xml:space="preserve"> </w:t>
        <w:t>myserver.conf</w:t>
      </w:r>
    </w:p>
    <w:p>
      <w:pPr>
        <w:pStyle w:val="Para 17"/>
      </w:pPr>
      <w:r>
        <w:t/>
      </w:r>
    </w:p>
    <w:p>
      <w:pPr>
        <w:pStyle w:val="Normal"/>
      </w:pPr>
      <w:r>
        <w:t>In Ubuntu 20.04 or older, the file is compressed, so do this instead:</w:t>
      </w:r>
    </w:p>
    <w:p>
      <w:pPr>
        <w:pStyle w:val="Normal"/>
      </w:pPr>
      <w:r>
        <w:t>sudo cp /usr/share/doc/openvpn/examples/sample-config-files/server.conf.gz /etc/openvpn/</w:t>
        <w:t xml:space="preserve"> </w:t>
        <w:t>myserver.conf.gz</w:t>
      </w:r>
    </w:p>
    <w:p>
      <w:pPr>
        <w:pStyle w:val="Normal"/>
      </w:pPr>
      <w:r>
        <w:t>sudo gzip -d /etc/openvpn/myserver.conf.gz</w:t>
      </w:r>
    </w:p>
    <w:p>
      <w:pPr>
        <w:pStyle w:val="Para 17"/>
      </w:pPr>
      <w:r>
        <w:t/>
      </w:r>
    </w:p>
    <w:p>
      <w:pPr>
        <w:pStyle w:val="Normal"/>
      </w:pPr>
      <w:r>
        <w:t>Edit /etc/openvpn/myserver.conf to make sure the following lines are pointing to the certifi-cates and keys you created in the section above.</w:t>
      </w:r>
    </w:p>
    <w:p>
      <w:pPr>
        <w:pStyle w:val="Normal"/>
      </w:pPr>
      <w:r>
        <w:t>ca ca.crt</w:t>
      </w:r>
    </w:p>
    <w:p>
      <w:pPr>
        <w:pStyle w:val="Normal"/>
      </w:pPr>
      <w:r>
        <w:t>cert myservername.crt</w:t>
      </w:r>
    </w:p>
    <w:p>
      <w:pPr>
        <w:pStyle w:val="Normal"/>
      </w:pPr>
      <w:r>
        <w:t>key myservername.key</w:t>
      </w:r>
    </w:p>
    <w:p>
      <w:pPr>
        <w:pStyle w:val="Normal"/>
      </w:pPr>
      <w:r>
        <w:t>dh dh.pem</w:t>
      </w:r>
    </w:p>
    <w:p>
      <w:pPr>
        <w:pStyle w:val="Normal"/>
      </w:pPr>
      <w:r>
        <w:t>tls-crypt ta.key</w:t>
      </w:r>
    </w:p>
    <w:p>
      <w:pPr>
        <w:pStyle w:val="Para 17"/>
      </w:pPr>
      <w:r>
        <w:t/>
      </w:r>
    </w:p>
    <w:p>
      <w:pPr>
        <w:pStyle w:val="Para 08"/>
      </w:pPr>
      <w:r>
        <w:t>Note:</w:t>
      </w:r>
    </w:p>
    <w:p>
      <w:pPr>
        <w:pStyle w:val="Para 03"/>
      </w:pPr>
      <w:r>
        <w:t>The tls-crypt option was introduced in OpenVPN 2.4.0. If you are running an Ubuntu</w:t>
      </w:r>
    </w:p>
    <w:p>
      <w:pPr>
        <w:pStyle w:val="Para 03"/>
      </w:pPr>
      <w:r>
        <w:t>Server release older than 18.04 LTS (Bionic Beaver), please use tls-auth ta.key 0 instead.</w:t>
      </w:r>
    </w:p>
    <w:p>
      <w:pPr>
        <w:pStyle w:val="Para 17"/>
      </w:pPr>
      <w:r>
        <w:t/>
      </w:r>
    </w:p>
    <w:p>
      <w:pPr>
        <w:pStyle w:val="Normal"/>
      </w:pPr>
      <w:r>
        <w:t>Complete this set with a TLS Authentication (TA) key in /etc/openvpn for tls-crypt like this:</w:t>
      </w:r>
    </w:p>
    <w:p>
      <w:pPr>
        <w:pStyle w:val="Para 05"/>
      </w:pPr>
      <w:r>
        <w:rPr>
          <w:rStyle w:val="Text5"/>
        </w:rPr>
        <w:t>154</w:t>
      </w:r>
      <w:r>
        <w:rPr>
          <w:rStyle w:val="Text8"/>
        </w:rPr>
        <w:t xml:space="preserve"> </w:t>
      </w:r>
      <w:r>
        <w:t>https://git.launchpad.net/ubuntu/+source/openvpn/tree/sample/sample-config-files/client.conf</w:t>
      </w:r>
    </w:p>
    <w:p>
      <w:pPr>
        <w:pStyle w:val="Para 05"/>
      </w:pPr>
      <w:r>
        <w:rPr>
          <w:rStyle w:val="Text5"/>
        </w:rPr>
        <w:t>155</w:t>
      </w:r>
      <w:r>
        <w:rPr>
          <w:rStyle w:val="Text8"/>
        </w:rPr>
        <w:t xml:space="preserve"> </w:t>
      </w:r>
      <w:r>
        <w:t>https://git.launchpad.net/ubuntu/+source/openvpn/tree/sample/sample-config-files/server.conf</w:t>
      </w:r>
      <w:r>
        <w:rPr>
          <w:rStyle w:val="Text8"/>
        </w:rPr>
        <w:t xml:space="preserve"> </w:t>
        <w:t>sudo openvpn --genkey secret ta.key</w:t>
      </w:r>
    </w:p>
    <w:p>
      <w:bookmarkStart w:id="290" w:name="page_2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7" name="index-202_1.png" descr="index-202_1.png"/>
            <wp:cNvGraphicFramePr>
              <a:graphicFrameLocks noChangeAspect="1"/>
            </wp:cNvGraphicFramePr>
            <a:graphic>
              <a:graphicData uri="http://schemas.openxmlformats.org/drawingml/2006/picture">
                <pic:pic>
                  <pic:nvPicPr>
                    <pic:cNvPr id="0" name="index-202_1.png" descr="index-202_1.png"/>
                    <pic:cNvPicPr/>
                  </pic:nvPicPr>
                  <pic:blipFill>
                    <a:blip r:embed="rId211"/>
                    <a:stretch>
                      <a:fillRect/>
                    </a:stretch>
                  </pic:blipFill>
                  <pic:spPr>
                    <a:xfrm>
                      <a:off x="0" y="0"/>
                      <a:ext cx="914400" cy="266700"/>
                    </a:xfrm>
                    <a:prstGeom prst="rect">
                      <a:avLst/>
                    </a:prstGeom>
                  </pic:spPr>
                </pic:pic>
              </a:graphicData>
            </a:graphic>
          </wp:anchor>
        </w:drawing>
      </w:r>
      <w:bookmarkEnd w:id="290"/>
    </w:p>
    <w:p>
      <w:pPr>
        <w:pStyle w:val="Para 17"/>
      </w:pPr>
      <w:r>
        <w:t/>
      </w:r>
    </w:p>
    <w:p>
      <w:pPr>
        <w:pStyle w:val="Normal"/>
      </w:pPr>
      <w:r>
        <w:t>Add a config file to /etc/sysctl.conf.d to enable IP forwarding:</w:t>
      </w:r>
    </w:p>
    <w:p>
      <w:pPr>
        <w:pStyle w:val="Normal"/>
      </w:pPr>
      <w:r>
        <w:t>echo</w:t>
        <w:t xml:space="preserve"> </w:t>
        <w:t>"net.ipv4.ip_forward = 1"</w:t>
        <w:t xml:space="preserve"> </w:t>
        <w:t>| sudo tee /etc/sysctl.d/50-enable-ipv4-forwarding.conf</w:t>
      </w:r>
    </w:p>
    <w:p>
      <w:pPr>
        <w:pStyle w:val="Para 17"/>
      </w:pPr>
      <w:r>
        <w:t/>
      </w:r>
    </w:p>
    <w:p>
      <w:pPr>
        <w:pStyle w:val="Normal"/>
      </w:pPr>
      <w:r>
        <w:t>Then apply this file through sysctl:</w:t>
      </w:r>
    </w:p>
    <w:p>
      <w:pPr>
        <w:pStyle w:val="Normal"/>
      </w:pPr>
      <w:r>
        <w:t>sudo sysctl -p /etc/sysctl.d/50-enable-ipv4-forwarding.conf</w:t>
      </w:r>
    </w:p>
    <w:p>
      <w:pPr>
        <w:pStyle w:val="Para 17"/>
      </w:pPr>
      <w:r>
        <w:t/>
      </w:r>
    </w:p>
    <w:p>
      <w:pPr>
        <w:pStyle w:val="Normal"/>
      </w:pPr>
      <w:r>
        <w:t>This is the minimum you need to configure to get a working OpenVPN server. You can con-sider studying and tweaking all the default settings we got from the sample server.conf file. Now you can start the server.</w:t>
      </w:r>
    </w:p>
    <w:p>
      <w:pPr>
        <w:pStyle w:val="Normal"/>
      </w:pPr>
      <w:r>
        <w:t>sudo systemctl start openvpn@myserver</w:t>
      </w:r>
    </w:p>
    <w:p>
      <w:pPr>
        <w:pStyle w:val="Para 17"/>
      </w:pPr>
      <w:r>
        <w:t/>
      </w:r>
    </w:p>
    <w:p>
      <w:pPr>
        <w:pStyle w:val="Para 08"/>
      </w:pPr>
      <w:r>
        <w:t>Note:</w:t>
      </w:r>
    </w:p>
    <w:p>
      <w:pPr>
        <w:pStyle w:val="Para 03"/>
      </w:pPr>
      <w:r>
        <w:t xml:space="preserve">Be aware that the systemctl start openvpn is </w:t>
      </w:r>
      <w:r>
        <w:rPr>
          <w:rStyle w:val="Text0"/>
        </w:rPr>
        <w:t>not</w:t>
      </w:r>
      <w:r>
        <w:t xml:space="preserve"> starting the openvpn you just defined.</w:t>
      </w:r>
    </w:p>
    <w:p>
      <w:pPr>
        <w:pStyle w:val="Para 03"/>
      </w:pPr>
      <w:r>
        <w:t>OpenVPN uses templated systemd jobs, openvpn@CONFIGFILENAME. So if, for example, your</w:t>
      </w:r>
    </w:p>
    <w:p>
      <w:pPr>
        <w:pStyle w:val="Para 03"/>
      </w:pPr>
      <w:r>
        <w:t>configuration file is myserver.conf your service is called openvpn@myserver. You can run all</w:t>
      </w:r>
    </w:p>
    <w:p>
      <w:pPr>
        <w:pStyle w:val="Para 03"/>
      </w:pPr>
      <w:r>
        <w:t>kinds of service and systemctl commands like start/stop/enable/disable/preset against</w:t>
      </w:r>
    </w:p>
    <w:p>
      <w:pPr>
        <w:pStyle w:val="Para 03"/>
      </w:pPr>
      <w:r>
        <w:t>a templated service like openvpn@server.</w:t>
      </w:r>
    </w:p>
    <w:p>
      <w:pPr>
        <w:pStyle w:val="Para 17"/>
      </w:pPr>
      <w:r>
        <w:t/>
      </w:r>
    </w:p>
    <w:p>
      <w:pPr>
        <w:pStyle w:val="Normal"/>
      </w:pPr>
      <w:r>
        <w:t xml:space="preserve">You will find logging and error messages in the journal. For example, if you started a </w:t>
      </w:r>
      <w:hyperlink r:id="rId1160">
        <w:r>
          <w:rPr>
            <w:rStyle w:val="Text1"/>
          </w:rPr>
          <w:t>tem-</w:t>
        </w:r>
      </w:hyperlink>
    </w:p>
    <w:p>
      <w:pPr>
        <w:pStyle w:val="Normal"/>
      </w:pPr>
      <w:hyperlink r:id="rId1160">
        <w:r>
          <w:rPr>
            <w:rStyle w:val="Text1"/>
          </w:rPr>
          <w:t>plated service</w:t>
        </w:r>
      </w:hyperlink>
      <w:hyperlink r:id="rId1160">
        <w:r>
          <w:rPr>
            <w:rStyle w:val="Text9"/>
          </w:rPr>
          <w:t>156</w:t>
        </w:r>
      </w:hyperlink>
      <w:r>
        <w:t xml:space="preserve"> openvpn@server you can filter for this particular message source with:</w:t>
      </w:r>
    </w:p>
    <w:p>
      <w:pPr>
        <w:pStyle w:val="Normal"/>
      </w:pPr>
      <w:r>
        <w:t>sudo journalctl -u openvpn@myserver -xe</w:t>
      </w:r>
    </w:p>
    <w:p>
      <w:pPr>
        <w:pStyle w:val="Para 17"/>
      </w:pPr>
      <w:r>
        <w:t/>
      </w:r>
    </w:p>
    <w:p>
      <w:pPr>
        <w:pStyle w:val="Normal"/>
      </w:pPr>
      <w:r>
        <w:t>The same templated approach works for all of systemctl:</w:t>
      </w:r>
    </w:p>
    <w:p>
      <w:pPr>
        <w:pStyle w:val="Normal"/>
      </w:pPr>
      <w:r>
        <w:t>sudo systemctl status openvpn@myserver</w:t>
      </w:r>
    </w:p>
    <w:p>
      <w:pPr>
        <w:pStyle w:val="Para 17"/>
      </w:pPr>
      <w:r>
        <w:t/>
      </w:r>
    </w:p>
    <w:p>
      <w:pPr>
        <w:pStyle w:val="Normal"/>
      </w:pPr>
      <w:r>
        <w:t>Which shows the current server status:</w:t>
      </w:r>
    </w:p>
    <w:p>
      <w:pPr>
        <w:pStyle w:val="Para 02"/>
      </w:pPr>
      <w:r>
        <w:t>Loaded: loaded (/usr/lib/systemd/system/openvpn@.service; disabled; preset: enabled)</w:t>
        <w:t xml:space="preserve"> </w:t>
        <w:t>Active: active (running) since Wed 2026-01-21 10:38:01 UTC; 37s ago</w:t>
      </w:r>
    </w:p>
    <w:p>
      <w:pPr>
        <w:pStyle w:val="Normal"/>
      </w:pPr>
      <w:r>
        <w:t>Invocation: b2a3d68935e7423e8f822bc0c88db764</w:t>
      </w:r>
    </w:p>
    <w:p>
      <w:pPr>
        <w:pStyle w:val="Para 06"/>
      </w:pPr>
      <w:r>
        <w:t>Docs: man:openvpn(8)</w:t>
      </w:r>
    </w:p>
    <w:p>
      <w:pPr>
        <w:pStyle w:val="Para 12"/>
      </w:pPr>
      <w:r>
        <w:t>https://community.openvpn.net/openvpn/wiki/Openvpn24ManPage</w:t>
        <w:t xml:space="preserve"> </w:t>
        <w:t>https://community.openvpn.net/openvpn/wiki/HOWTO</w:t>
      </w:r>
    </w:p>
    <w:p>
      <w:pPr>
        <w:pStyle w:val="Para 04"/>
      </w:pPr>
      <w:r>
        <w:t>Main PID: 10556 (openvpn)</w:t>
      </w:r>
    </w:p>
    <w:p>
      <w:pPr>
        <w:pStyle w:val="Para 02"/>
      </w:pPr>
      <w:r>
        <w:t>Status: "Initialization Sequence Completed"</w:t>
      </w:r>
    </w:p>
    <w:p>
      <w:pPr>
        <w:pStyle w:val="Para 06"/>
      </w:pPr>
      <w:r>
        <w:t>Tasks: 1 (limit: 10)</w:t>
      </w:r>
    </w:p>
    <w:p>
      <w:pPr>
        <w:pStyle w:val="Para 02"/>
      </w:pPr>
      <w:r>
        <w:t>Memory: 1.7M (peak: 1.9M)</w:t>
      </w:r>
    </w:p>
    <w:p>
      <w:pPr>
        <w:pStyle w:val="Para 06"/>
      </w:pPr>
      <w:r>
        <w:t>CPU: 17ms</w:t>
      </w:r>
    </w:p>
    <w:p>
      <w:pPr>
        <w:pStyle w:val="Para 02"/>
      </w:pPr>
      <w:r>
        <w:t>CGroup: /system.slice/system-openvpn.slice/openvpn@myserver.service</w:t>
      </w:r>
    </w:p>
    <w:p>
      <w:pPr>
        <w:pStyle w:val="Para 12"/>
      </w:pPr>
      <w:r>
        <w:t>└─10556 /usr/sbin/openvpn --daemon ovpn-myserver --status /run/openvpn/</w:t>
      </w:r>
    </w:p>
    <w:p>
      <w:pPr>
        <w:pStyle w:val="Normal"/>
      </w:pPr>
      <w:r>
        <w:t>myserver.status 10 --cd /etc/openvpn --script-security 2 --config /etc/openvpn/myserver.</w:t>
        <w:t xml:space="preserve"> </w:t>
        <w:t>conf --writepid /r&gt;</w:t>
      </w:r>
    </w:p>
    <w:p>
      <w:pPr>
        <w:pStyle w:val="Normal"/>
      </w:pPr>
      <w:r>
        <w:t>Jan 21 10:38:01 server ovpn-myserver[10556]: net_iface_up: set tun0 up</w:t>
      </w:r>
    </w:p>
    <w:p>
      <w:pPr>
        <w:pStyle w:val="Para 09"/>
      </w:pPr>
      <w:r>
        <w:t>(continues on next page)</w:t>
      </w:r>
    </w:p>
    <w:p>
      <w:pPr>
        <w:pStyle w:val="Para 05"/>
      </w:pPr>
      <w:r>
        <w:rPr>
          <w:rStyle w:val="Text5"/>
        </w:rPr>
        <w:t>156</w:t>
      </w:r>
      <w:r>
        <w:rPr>
          <w:rStyle w:val="Text8"/>
        </w:rPr>
        <w:t xml:space="preserve"> </w:t>
      </w:r>
      <w:r>
        <w:t>https://www.freedesktop.org/software/systemd/man/latest/systemd.unit.html</w:t>
      </w:r>
    </w:p>
    <w:p>
      <w:bookmarkStart w:id="291" w:name="page_2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8" name="index-203_1.png" descr="index-203_1.png"/>
            <wp:cNvGraphicFramePr>
              <a:graphicFrameLocks noChangeAspect="1"/>
            </wp:cNvGraphicFramePr>
            <a:graphic>
              <a:graphicData uri="http://schemas.openxmlformats.org/drawingml/2006/picture">
                <pic:pic>
                  <pic:nvPicPr>
                    <pic:cNvPr id="0" name="index-203_1.png" descr="index-203_1.png"/>
                    <pic:cNvPicPr/>
                  </pic:nvPicPr>
                  <pic:blipFill>
                    <a:blip r:embed="rId212"/>
                    <a:stretch>
                      <a:fillRect/>
                    </a:stretch>
                  </pic:blipFill>
                  <pic:spPr>
                    <a:xfrm>
                      <a:off x="0" y="0"/>
                      <a:ext cx="914400" cy="266700"/>
                    </a:xfrm>
                    <a:prstGeom prst="rect">
                      <a:avLst/>
                    </a:prstGeom>
                  </pic:spPr>
                </pic:pic>
              </a:graphicData>
            </a:graphic>
          </wp:anchor>
        </w:drawing>
      </w:r>
      <w:bookmarkEnd w:id="291"/>
    </w:p>
    <w:p>
      <w:pPr>
        <w:pStyle w:val="Para 09"/>
      </w:pPr>
      <w:r>
        <w:t>(continued from previous page)</w:t>
      </w:r>
    </w:p>
    <w:p>
      <w:pPr>
        <w:pStyle w:val="Normal"/>
      </w:pPr>
      <w:r>
        <w:t>Jan 21 10:38:01 server ovpn-myserver[10556]: net_addr_v4_add: 10.8.0.1/24 dev tun0</w:t>
        <w:t xml:space="preserve"> </w:t>
        <w:t>Jan 21 10:38:01 server ovpn-myserver[10556]: Could not determine IPv4/IPv6 protocol. Using</w:t>
        <w:t xml:space="preserve"> </w:t>
        <w:t>AF_INET</w:t>
      </w:r>
    </w:p>
    <w:p>
      <w:pPr>
        <w:pStyle w:val="Normal"/>
      </w:pPr>
      <w:r>
        <w:t>Jan 21 10:38:01 server ovpn-myserver[10556]: Socket Buffers: R=[212992-&gt;212992] S=[212992-</w:t>
        <w:t>&gt;212992]</w:t>
      </w:r>
    </w:p>
    <w:p>
      <w:pPr>
        <w:pStyle w:val="Normal"/>
      </w:pPr>
      <w:r>
        <w:t>Jan 21 10:38:01 server ovpn-myserver[10556]: UDPv4 link local (bound): [AF_</w:t>
        <w:t xml:space="preserve"> </w:t>
        <w:t>INET][undef]:1194</w:t>
      </w:r>
    </w:p>
    <w:p>
      <w:pPr>
        <w:pStyle w:val="Normal"/>
      </w:pPr>
      <w:r>
        <w:t>Jan 21 10:38:01 server ovpn-myserver[10556]: UDPv4 link remote: [AF_UNSPEC]</w:t>
        <w:t xml:space="preserve"> </w:t>
        <w:t>Jan 21 10:38:01 server ovpn-myserver[10556]: MULTI: multi_init called, r=256 v=256</w:t>
        <w:t xml:space="preserve"> </w:t>
        <w:t>Jan 21 10:38:01 server ovpn-myserver[10556]: IFCONFIG POOL IPv4: base=10.8.0.2 size=253</w:t>
        <w:t xml:space="preserve"> </w:t>
        <w:t>Jan 21 10:38:01 server ovpn-myserver[10556]: IFCONFIG POOL LIST</w:t>
        <w:t xml:space="preserve"> </w:t>
        <w:t>Jan 21 10:38:01 server ovpn-myserver[10556]: Initialization Sequence Completed</w:t>
      </w:r>
    </w:p>
    <w:p>
      <w:pPr>
        <w:pStyle w:val="Para 17"/>
      </w:pPr>
      <w:r>
        <w:t/>
      </w:r>
    </w:p>
    <w:p>
      <w:pPr>
        <w:pStyle w:val="Normal"/>
      </w:pPr>
      <w:r>
        <w:t>You can enable/disable various OpenVPN services on one system, but you could also let Ubuntu do it for you. There is a config for AUTOSTART in /etc/default/openvpn. Allowed val-ues are “all”, “none” or a space-separated list of names of the VPNs. If empty, “all” is assumed. The VPN name refers to the VPN configuration file name, i.e., home would be /etc/openvpn/ home.conf.</w:t>
      </w:r>
    </w:p>
    <w:p>
      <w:pPr>
        <w:pStyle w:val="Normal"/>
      </w:pPr>
      <w:r>
        <w:t>If you’re running systemd, changing this variable requires running systemctl daemon-reload followed by a restart of the openvpn service (if you removed entries you may have to stop those manually).</w:t>
      </w:r>
    </w:p>
    <w:p>
      <w:pPr>
        <w:pStyle w:val="Normal"/>
      </w:pPr>
      <w:r>
        <w:t>After systemctl daemon-reload, a restart of the “generic” OpenVPN will restart all dependent services that the generator in /lib/systemd/system-generators/openvpn-generator created for your conf files when you called daemon-reload.</w:t>
      </w:r>
    </w:p>
    <w:p>
      <w:pPr>
        <w:pStyle w:val="Normal"/>
      </w:pPr>
      <w:r>
        <w:t>Now, check if OpenVPN created a tun0 interface:</w:t>
      </w:r>
    </w:p>
    <w:p>
      <w:pPr>
        <w:pStyle w:val="Normal"/>
      </w:pPr>
      <w:r>
        <w:t>ip addr show dev tun0</w:t>
      </w:r>
    </w:p>
    <w:p>
      <w:pPr>
        <w:pStyle w:val="Para 17"/>
      </w:pPr>
      <w:r>
        <w:t/>
      </w:r>
    </w:p>
    <w:p>
      <w:pPr>
        <w:pStyle w:val="Normal"/>
      </w:pPr>
      <w:r>
        <w:t>Due to restricting it to dev tun0 this will report just that:</w:t>
      </w:r>
    </w:p>
    <w:p>
      <w:pPr>
        <w:pStyle w:val="Normal"/>
      </w:pPr>
      <w:r>
        <w:t>5: tun0: &lt;POINTOPOINT,MULTICAST,NOARP,UP,LOWER_UP&gt; mtu 1500 qdisc fq_codel state UNKNOWN</w:t>
        <w:t xml:space="preserve"> </w:t>
        <w:t>group default qlen 100</w:t>
      </w:r>
    </w:p>
    <w:p>
      <w:pPr>
        <w:pStyle w:val="Para 02"/>
      </w:pPr>
      <w:r>
        <w:t>link/none</w:t>
      </w:r>
    </w:p>
    <w:p>
      <w:pPr>
        <w:pStyle w:val="Para 02"/>
      </w:pPr>
      <w:r>
        <w:t>inet 10.8.0.1 peer 10.8.0.2/32 scope global tun0</w:t>
      </w:r>
    </w:p>
    <w:p>
      <w:pPr>
        <w:pStyle w:val="Para 06"/>
      </w:pPr>
      <w:r>
        <w:t>valid_lft forever preferred_lft forever</w:t>
      </w:r>
    </w:p>
    <w:p>
      <w:pPr>
        <w:pStyle w:val="Para 02"/>
      </w:pPr>
      <w:r>
        <w:t>inet6 fe80::b5ac:7829:f31e:32c5/64 scope link stable-privacy</w:t>
      </w:r>
    </w:p>
    <w:p>
      <w:pPr>
        <w:pStyle w:val="Para 06"/>
      </w:pPr>
      <w:r>
        <w:t>valid_lft forever preferred_lft forever</w:t>
      </w:r>
    </w:p>
    <w:p>
      <w:pPr>
        <w:pStyle w:val="Para 17"/>
      </w:pPr>
      <w:r>
        <w:t/>
      </w:r>
    </w:p>
    <w:p>
      <w:pPr>
        <w:pStyle w:val="Para 01"/>
      </w:pPr>
      <w:r>
        <w:t>Create client certificates</w:t>
      </w:r>
    </w:p>
    <w:p>
      <w:pPr>
        <w:pStyle w:val="Para 17"/>
      </w:pPr>
      <w:r>
        <w:t/>
      </w:r>
    </w:p>
    <w:p>
      <w:pPr>
        <w:pStyle w:val="Normal"/>
      </w:pPr>
      <w:r>
        <w:t>The VPN client will also need a certificate to authenticate itself to the server. Usually you create a different certificate for each client.</w:t>
      </w:r>
    </w:p>
    <w:p>
      <w:pPr>
        <w:pStyle w:val="Normal"/>
      </w:pPr>
      <w:r>
        <w:t>This can be done either on the server (as with the keys and certificates above) and then se-curely distributed to the client, or the client can generate and submit a request that is sent and signed by the server.</w:t>
      </w:r>
    </w:p>
    <w:p>
      <w:pPr>
        <w:pStyle w:val="Normal"/>
      </w:pPr>
      <w:r>
        <w:t>To create the certificate, enter the following in a terminal as a root user:</w:t>
      </w:r>
    </w:p>
    <w:p>
      <w:pPr>
        <w:pStyle w:val="Normal"/>
      </w:pPr>
      <w:r>
        <w:t>./easyrsa gen-req myclient1 nopass</w:t>
        <w:t xml:space="preserve"> </w:t>
        <w:t>&amp;&amp;</w:t>
        <w:t xml:space="preserve"> </w:t>
        <w:t>./easyrsa sign-req client myclient1</w:t>
      </w:r>
    </w:p>
    <w:p>
      <w:bookmarkStart w:id="292" w:name="page_2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09"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213"/>
                    <a:stretch>
                      <a:fillRect/>
                    </a:stretch>
                  </pic:blipFill>
                  <pic:spPr>
                    <a:xfrm>
                      <a:off x="0" y="0"/>
                      <a:ext cx="914400" cy="266700"/>
                    </a:xfrm>
                    <a:prstGeom prst="rect">
                      <a:avLst/>
                    </a:prstGeom>
                  </pic:spPr>
                </pic:pic>
              </a:graphicData>
            </a:graphic>
          </wp:anchor>
        </w:drawing>
      </w:r>
      <w:bookmarkEnd w:id="292"/>
    </w:p>
    <w:p>
      <w:pPr>
        <w:pStyle w:val="Normal"/>
      </w:pPr>
      <w:r>
        <w:t>If the first command above was done on a remote system, then copy the .req file to the CA server. From there, you can import it via easyrsa import-req /incoming/myclient1.req myclient1. Then you can go on with the second sign-req command.</w:t>
      </w:r>
    </w:p>
    <w:p>
      <w:pPr>
        <w:pStyle w:val="Normal"/>
      </w:pPr>
      <w:r>
        <w:t>After this is done, in both cases you will need to copy the following files to the client using a secure method:</w:t>
      </w:r>
    </w:p>
    <w:p>
      <w:pPr>
        <w:pStyle w:val="Para 04"/>
      </w:pPr>
      <w:r>
        <w:t>• pki/ca.crt</w:t>
      </w:r>
    </w:p>
    <w:p>
      <w:pPr>
        <w:pStyle w:val="Para 04"/>
      </w:pPr>
      <w:r>
        <w:t>• pki/issued/myclient1.crt</w:t>
      </w:r>
    </w:p>
    <w:p>
      <w:pPr>
        <w:pStyle w:val="Para 04"/>
      </w:pPr>
      <w:r>
        <w:t>• pki/private/myclient1.key</w:t>
      </w:r>
    </w:p>
    <w:p>
      <w:pPr>
        <w:pStyle w:val="Para 04"/>
      </w:pPr>
      <w:r>
        <w:t>• ta.key</w:t>
      </w:r>
    </w:p>
    <w:p>
      <w:pPr>
        <w:pStyle w:val="Normal"/>
      </w:pPr>
      <w:r>
        <w:t>Since the client certificates and keys are only required on the client machine, you can remove them from the server.</w:t>
      </w:r>
    </w:p>
    <w:p>
      <w:pPr>
        <w:pStyle w:val="Para 17"/>
      </w:pPr>
      <w:r>
        <w:t/>
      </w:r>
    </w:p>
    <w:p>
      <w:pPr>
        <w:pStyle w:val="Para 01"/>
      </w:pPr>
      <w:r>
        <w:t>Simple client configuration</w:t>
      </w:r>
    </w:p>
    <w:p>
      <w:pPr>
        <w:pStyle w:val="Para 17"/>
      </w:pPr>
      <w:r>
        <w:t/>
      </w:r>
    </w:p>
    <w:p>
      <w:pPr>
        <w:pStyle w:val="Normal"/>
      </w:pPr>
      <w:r>
        <w:t xml:space="preserve">There are various different OpenVPN client implementations – both with and without </w:t>
      </w:r>
      <w:hyperlink w:anchor="page_687">
        <w:r>
          <w:rPr>
            <w:rStyle w:val="Text2"/>
          </w:rPr>
          <w:t>GUIs</w:t>
        </w:r>
      </w:hyperlink>
      <w:r>
        <w:t>.</w:t>
      </w:r>
    </w:p>
    <w:p>
      <w:pPr>
        <w:pStyle w:val="Normal"/>
      </w:pPr>
      <w:r>
        <w:t xml:space="preserve">You can read more about clients in </w:t>
      </w:r>
      <w:hyperlink w:anchor="page_800">
        <w:r>
          <w:rPr>
            <w:rStyle w:val="Text2"/>
          </w:rPr>
          <w:t>our page on OpenVPN Clients</w:t>
        </w:r>
      </w:hyperlink>
      <w:r>
        <w:t xml:space="preserve"> (page 799). For now, we use the command-line/service-based OpenVPN client for Ubuntu, which is part of the same package as the server. So you must install the openvpn package again on the client machine:</w:t>
      </w:r>
    </w:p>
    <w:p>
      <w:pPr>
        <w:pStyle w:val="Normal"/>
      </w:pPr>
      <w:r>
        <w:t>sudo apt install openvpn</w:t>
      </w:r>
    </w:p>
    <w:p>
      <w:pPr>
        <w:pStyle w:val="Para 17"/>
      </w:pPr>
      <w:r>
        <w:t/>
      </w:r>
    </w:p>
    <w:p>
      <w:pPr>
        <w:pStyle w:val="Normal"/>
      </w:pPr>
      <w:r>
        <w:t>This time, copy the client.conf sample config file to /etc/openvpn/:</w:t>
      </w:r>
    </w:p>
    <w:p>
      <w:pPr>
        <w:pStyle w:val="Normal"/>
      </w:pPr>
      <w:r>
        <w:t>sudo cp /usr/share/doc/openvpn/examples/sample-config-files/client.conf /etc/openvpn/</w:t>
      </w:r>
    </w:p>
    <w:p>
      <w:pPr>
        <w:pStyle w:val="Para 17"/>
      </w:pPr>
      <w:r>
        <w:t/>
      </w:r>
    </w:p>
    <w:p>
      <w:pPr>
        <w:pStyle w:val="Normal"/>
      </w:pPr>
      <w:r>
        <w:t>Copy the following client keys and certificate files you created in the section above to e.g. / etc/openvpn/ and edit /etc/openvpn/client.conf to make sure the following lines are point-ing to those files. If you have the files in /etc/openvpn/ you can omit the path:</w:t>
      </w:r>
    </w:p>
    <w:p>
      <w:pPr>
        <w:pStyle w:val="Normal"/>
      </w:pPr>
      <w:r>
        <w:t>ca ca.crt</w:t>
      </w:r>
    </w:p>
    <w:p>
      <w:pPr>
        <w:pStyle w:val="Normal"/>
      </w:pPr>
      <w:r>
        <w:t>cert myclient1.crt</w:t>
      </w:r>
    </w:p>
    <w:p>
      <w:pPr>
        <w:pStyle w:val="Normal"/>
      </w:pPr>
      <w:r>
        <w:t>key myclient1.key</w:t>
      </w:r>
    </w:p>
    <w:p>
      <w:pPr>
        <w:pStyle w:val="Normal"/>
      </w:pPr>
      <w:r>
        <w:t>tls-crypt ta.key</w:t>
      </w:r>
    </w:p>
    <w:p>
      <w:pPr>
        <w:pStyle w:val="Para 17"/>
      </w:pPr>
      <w:r>
        <w:t/>
      </w:r>
    </w:p>
    <w:p>
      <w:pPr>
        <w:pStyle w:val="Para 08"/>
      </w:pPr>
      <w:r>
        <w:t>Note:</w:t>
      </w:r>
    </w:p>
    <w:p>
      <w:pPr>
        <w:pStyle w:val="Para 03"/>
      </w:pPr>
      <w:r>
        <w:t>The tls-crypt option was introduced in OpenVPN 2.4.0. If you are running an Ubuntu</w:t>
      </w:r>
    </w:p>
    <w:p>
      <w:pPr>
        <w:pStyle w:val="Para 03"/>
      </w:pPr>
      <w:r>
        <w:t>Server release older than 18.04 LTS (Bionic Beaver), please use tls-auth ta.key 1 instead.</w:t>
      </w:r>
    </w:p>
    <w:p>
      <w:pPr>
        <w:pStyle w:val="Para 17"/>
      </w:pPr>
      <w:r>
        <w:t/>
      </w:r>
    </w:p>
    <w:p>
      <w:pPr>
        <w:pStyle w:val="Normal"/>
      </w:pPr>
      <w:r>
        <w:t xml:space="preserve">And you have to specify the OpenVPN server name or address. Make sure the keyword </w:t>
      </w:r>
      <w:r>
        <w:rPr>
          <w:rStyle w:val="Text0"/>
        </w:rPr>
        <w:t>client</w:t>
      </w:r>
      <w:r>
        <w:t xml:space="preserve"> is in the config file, since that’s what enables client mode.</w:t>
      </w:r>
    </w:p>
    <w:p>
      <w:pPr>
        <w:pStyle w:val="Normal"/>
      </w:pPr>
      <w:r>
        <w:t>client</w:t>
      </w:r>
    </w:p>
    <w:p>
      <w:pPr>
        <w:pStyle w:val="Normal"/>
      </w:pPr>
      <w:r>
        <w:t>remote vpnserver.example.com 1194</w:t>
      </w:r>
    </w:p>
    <w:p>
      <w:pPr>
        <w:pStyle w:val="Para 17"/>
      </w:pPr>
      <w:r>
        <w:t/>
      </w:r>
    </w:p>
    <w:p>
      <w:pPr>
        <w:pStyle w:val="Normal"/>
      </w:pPr>
      <w:r>
        <w:t>Now start the OpenVPN client with the same templated mechanism:</w:t>
      </w:r>
    </w:p>
    <w:p>
      <w:pPr>
        <w:pStyle w:val="Normal"/>
      </w:pPr>
      <w:r>
        <w:t>sudo systemctl start openvpn@client</w:t>
        <w:t xml:space="preserve"> You can check the status as you did on the server:</w:t>
      </w:r>
    </w:p>
    <w:p>
      <w:bookmarkStart w:id="293" w:name="page_2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0" name="index-205_1.png" descr="index-205_1.png"/>
            <wp:cNvGraphicFramePr>
              <a:graphicFrameLocks noChangeAspect="1"/>
            </wp:cNvGraphicFramePr>
            <a:graphic>
              <a:graphicData uri="http://schemas.openxmlformats.org/drawingml/2006/picture">
                <pic:pic>
                  <pic:nvPicPr>
                    <pic:cNvPr id="0" name="index-205_1.png" descr="index-205_1.png"/>
                    <pic:cNvPicPr/>
                  </pic:nvPicPr>
                  <pic:blipFill>
                    <a:blip r:embed="rId214"/>
                    <a:stretch>
                      <a:fillRect/>
                    </a:stretch>
                  </pic:blipFill>
                  <pic:spPr>
                    <a:xfrm>
                      <a:off x="0" y="0"/>
                      <a:ext cx="914400" cy="266700"/>
                    </a:xfrm>
                    <a:prstGeom prst="rect">
                      <a:avLst/>
                    </a:prstGeom>
                  </pic:spPr>
                </pic:pic>
              </a:graphicData>
            </a:graphic>
          </wp:anchor>
        </w:drawing>
      </w:r>
      <w:bookmarkEnd w:id="293"/>
    </w:p>
    <w:p>
      <w:pPr>
        <w:pStyle w:val="Normal"/>
      </w:pPr>
      <w:r>
        <w:t>sudo systemctl status openvpn@client</w:t>
      </w:r>
    </w:p>
    <w:p>
      <w:pPr>
        <w:pStyle w:val="Para 17"/>
      </w:pPr>
      <w:r>
        <w:t/>
      </w:r>
    </w:p>
    <w:p>
      <w:pPr>
        <w:pStyle w:val="Normal"/>
      </w:pPr>
      <w:r>
        <w:t>Which shows the current client status:</w:t>
      </w:r>
    </w:p>
    <w:p>
      <w:pPr>
        <w:pStyle w:val="Normal"/>
      </w:pPr>
      <w:r>
        <w:t>� openvpn@client.service - OpenVPN connection to client</w:t>
      </w:r>
    </w:p>
    <w:p>
      <w:pPr>
        <w:pStyle w:val="Para 02"/>
      </w:pPr>
      <w:r>
        <w:t>Loaded: loaded (/usr/lib/systemd/system/openvpn@.service; disabled; preset: enabled)</w:t>
        <w:t xml:space="preserve"> </w:t>
        <w:t>Active: active (running) since Wed 2026-01-21 10:54:27 UTC; 55s ago</w:t>
      </w:r>
    </w:p>
    <w:p>
      <w:pPr>
        <w:pStyle w:val="Normal"/>
      </w:pPr>
      <w:r>
        <w:t>Invocation: f65eae29fc8e4403bd06236309a1db2c</w:t>
      </w:r>
    </w:p>
    <w:p>
      <w:pPr>
        <w:pStyle w:val="Para 06"/>
      </w:pPr>
      <w:r>
        <w:t>Docs: man:openvpn(8)</w:t>
      </w:r>
    </w:p>
    <w:p>
      <w:pPr>
        <w:pStyle w:val="Para 12"/>
      </w:pPr>
      <w:r>
        <w:t>https://community.openvpn.net/openvpn/wiki/Openvpn24ManPage</w:t>
        <w:t xml:space="preserve"> </w:t>
        <w:t>https://community.openvpn.net/openvpn/wiki/HOWTO</w:t>
      </w:r>
    </w:p>
    <w:p>
      <w:pPr>
        <w:pStyle w:val="Para 02"/>
      </w:pPr>
      <w:r>
        <w:t>Main PID: 11361 (openvpn)</w:t>
      </w:r>
    </w:p>
    <w:p>
      <w:pPr>
        <w:pStyle w:val="Para 02"/>
      </w:pPr>
      <w:r>
        <w:t>Status: "Initialization Sequence Completed"</w:t>
      </w:r>
    </w:p>
    <w:p>
      <w:pPr>
        <w:pStyle w:val="Para 06"/>
      </w:pPr>
      <w:r>
        <w:t>Tasks: 1 (limit: 10)</w:t>
      </w:r>
    </w:p>
    <w:p>
      <w:pPr>
        <w:pStyle w:val="Para 02"/>
      </w:pPr>
      <w:r>
        <w:t>Memory: 1.9M (peak: 2.1M)</w:t>
      </w:r>
    </w:p>
    <w:p>
      <w:pPr>
        <w:pStyle w:val="Para 06"/>
      </w:pPr>
      <w:r>
        <w:t>CPU: 22ms</w:t>
      </w:r>
    </w:p>
    <w:p>
      <w:pPr>
        <w:pStyle w:val="Para 02"/>
      </w:pPr>
      <w:r>
        <w:t>CGroup: /system.slice/system-openvpn.slice/openvpn@client.service</w:t>
      </w:r>
    </w:p>
    <w:p>
      <w:pPr>
        <w:pStyle w:val="Para 12"/>
      </w:pPr>
      <w:r>
        <w:t>└─11361 /usr/sbin/openvpn --daemon ovpn-client --status /run/openvpn/client.</w:t>
      </w:r>
    </w:p>
    <w:p>
      <w:pPr>
        <w:pStyle w:val="Normal"/>
      </w:pPr>
      <w:r>
        <w:t>status 10 --cd /etc/openvpn --script-security 2 --config /etc/openvpn/client.conf --</w:t>
        <w:t>writepid /run/openvpn/client.pid</w:t>
      </w:r>
    </w:p>
    <w:p>
      <w:pPr>
        <w:pStyle w:val="Normal"/>
      </w:pPr>
      <w:r>
        <w:t>Jan 21 10:54:27 client systemd[1]: Starting openvpn@client.service - OpenVPN connection to</w:t>
        <w:t xml:space="preserve"> </w:t>
        <w:t>client...</w:t>
      </w:r>
    </w:p>
    <w:p>
      <w:pPr>
        <w:pStyle w:val="Normal"/>
      </w:pPr>
      <w:r>
        <w:t>Jan 21 10:54:27 client ovpn-client[11361]: Note: --cipher is not set. OpenVPN versions</w:t>
        <w:t xml:space="preserve"> </w:t>
        <w:t>before 2.5 defaulted to BF-CBC as fallback when cipher negotiation failed in this case. If</w:t>
        <w:t xml:space="preserve"> </w:t>
        <w:t>you need this fallback please add '--data-ciphers-fallback BF-CBC' to your configuration</w:t>
        <w:t xml:space="preserve"> </w:t>
        <w:t>and/or add BF-CBC to --data-ciphers.</w:t>
      </w:r>
    </w:p>
    <w:p>
      <w:pPr>
        <w:pStyle w:val="Normal"/>
      </w:pPr>
      <w:r>
        <w:t>Jan 21 10:54:27 client ovpn-client[11361]: Note: Kernel support for ovpn-dco missing,</w:t>
        <w:t xml:space="preserve"> </w:t>
        <w:t>disabling data channel offload.</w:t>
      </w:r>
    </w:p>
    <w:p>
      <w:pPr>
        <w:pStyle w:val="Normal"/>
      </w:pPr>
      <w:r>
        <w:t>Jan 21 10:54:27 client ovpn-client[11361]: OpenVPN 2.6.15 x86_64-pc-linux-gnu [SSL</w:t>
        <w:t xml:space="preserve"> </w:t>
        <w:t>(OpenSSL)] [LZO] [LZ4] [EPOLL] [PKCS11] [MH/PKTINFO] [AEAD] [DCO]</w:t>
        <w:t xml:space="preserve"> </w:t>
        <w:t>Jan 21 10:54:27 client ovpn-client[11361]: library versions: OpenSSL 3.5.3 16 Sep 2025,</w:t>
        <w:t xml:space="preserve"> </w:t>
        <w:t>LZO 2.10</w:t>
      </w:r>
    </w:p>
    <w:p>
      <w:pPr>
        <w:pStyle w:val="Normal"/>
      </w:pPr>
      <w:r>
        <w:t>Jan 21 10:54:27 client systemd[1]: Started openvpn@client.service - OpenVPN connection to</w:t>
        <w:t xml:space="preserve"> </w:t>
        <w:t>client.</w:t>
      </w:r>
    </w:p>
    <w:p>
      <w:pPr>
        <w:pStyle w:val="Normal"/>
      </w:pPr>
      <w:r>
        <w:t>Jan 21 10:54:27 client ovpn-client[11361]: DCO version: N/A</w:t>
        <w:t xml:space="preserve"> </w:t>
        <w:t>Jan 21 10:54:27 client ovpn-client[11361]: TCP/UDP: Preserving recently used remote</w:t>
        <w:t xml:space="preserve"> </w:t>
        <w:t>address: [AF_INET]10.185.198.84:1194</w:t>
      </w:r>
    </w:p>
    <w:p>
      <w:pPr>
        <w:pStyle w:val="Normal"/>
      </w:pPr>
      <w:r>
        <w:t>Jan 21 10:54:27 client ovpn-client[11361]: Socket Buffers: R=[212992-&gt;212992] S=[212992-&gt;</w:t>
        <w:t xml:space="preserve"> </w:t>
        <w:t>212992]</w:t>
      </w:r>
    </w:p>
    <w:p>
      <w:pPr>
        <w:pStyle w:val="Normal"/>
      </w:pPr>
      <w:r>
        <w:t>Jan 21 10:54:27 client ovpn-client[11361]: UDPv4 link local: (not bound)</w:t>
        <w:t xml:space="preserve"> </w:t>
        <w:t>Jan 21 10:54:27 client ovpn-client[11361]: UDPv4 link remote: [AF_INET]10.185.198.84:1194</w:t>
        <w:t xml:space="preserve"> </w:t>
        <w:t>Jan 21 10:54:27 client ovpn-client[11361]: TLS: Initial packet from [AF_INET]10.185.198.</w:t>
        <w:t xml:space="preserve"> </w:t>
        <w:t>84:1194, sid=46d7b1e7 da534d2d</w:t>
      </w:r>
    </w:p>
    <w:p>
      <w:pPr>
        <w:pStyle w:val="Normal"/>
      </w:pPr>
      <w:r>
        <w:t>Jan 21 10:54:27 client ovpn-client[11361]: VERIFY OK: depth=1, CN=server</w:t>
        <w:t xml:space="preserve"> </w:t>
        <w:t>Jan 21 10:54:27 client ovpn-client[11361]: VERIFY KU OK</w:t>
        <w:t xml:space="preserve"> </w:t>
        <w:t>Jan 21 10:54:27 client ovpn-client[11361]: Validating certificate extended key usage</w:t>
        <w:t xml:space="preserve"> </w:t>
        <w:t>Jan 21 10:54:27 client ovpn-client[11361]: ++ Certificate has EKU (str) TLS Web Server</w:t>
        <w:t xml:space="preserve"> </w:t>
        <w:t>Authentication, expects TLS Web Server Authentication</w:t>
      </w:r>
    </w:p>
    <w:p>
      <w:pPr>
        <w:pStyle w:val="Normal"/>
      </w:pPr>
      <w:r>
        <w:t>Jan 21 10:54:27 client ovpn-client[11361]: VERIFY EKU OK</w:t>
        <w:t xml:space="preserve"> </w:t>
        <w:t>Jan 21 10:54:27 client ovpn-client[11361]: VERIFY OK: depth=0, CN=server</w:t>
        <w:t xml:space="preserve"> </w:t>
        <w:t>Jan 21 10:54:27 client ovpn-client[11361]: Control Channel: TLSv1.3, cipher TLSv1.3 TLS_</w:t>
        <w:t xml:space="preserve"> </w:t>
        <w:t>AES_256_GCM_SHA384, peer certificate: 2048 bits RSA, signature: RSA-SHA256</w:t>
        <w:t xml:space="preserve"> </w:t>
        <w:t>Jan 21 10:54:27 client ovpn-client[11361]: [server] Peer Connection Initiated with [AF_</w:t>
        <w:t xml:space="preserve"> </w:t>
        <w:t>INET]10.185.198.84:1194</w:t>
      </w:r>
    </w:p>
    <w:p>
      <w:pPr>
        <w:pStyle w:val="Para 09"/>
      </w:pPr>
      <w:r>
        <w:t>(continues on next page)</w:t>
      </w:r>
    </w:p>
    <w:p>
      <w:bookmarkStart w:id="294" w:name="page_2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1"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215"/>
                    <a:stretch>
                      <a:fillRect/>
                    </a:stretch>
                  </pic:blipFill>
                  <pic:spPr>
                    <a:xfrm>
                      <a:off x="0" y="0"/>
                      <a:ext cx="914400" cy="266700"/>
                    </a:xfrm>
                    <a:prstGeom prst="rect">
                      <a:avLst/>
                    </a:prstGeom>
                  </pic:spPr>
                </pic:pic>
              </a:graphicData>
            </a:graphic>
          </wp:anchor>
        </w:drawing>
      </w:r>
      <w:bookmarkEnd w:id="294"/>
    </w:p>
    <w:p>
      <w:pPr>
        <w:pStyle w:val="Para 09"/>
      </w:pPr>
      <w:r>
        <w:t>(continued from previous page)</w:t>
      </w:r>
    </w:p>
    <w:p>
      <w:pPr>
        <w:pStyle w:val="Normal"/>
      </w:pPr>
      <w:r>
        <w:t>Jan 21 10:54:27 client ovpn-client[11361]: TLS: move_session: dest=TM_ACTIVE src=TM_</w:t>
        <w:t xml:space="preserve"> </w:t>
        <w:t>INITIAL reinit_src=1</w:t>
      </w:r>
    </w:p>
    <w:p>
      <w:pPr>
        <w:pStyle w:val="Normal"/>
      </w:pPr>
      <w:r>
        <w:t>Jan 21 10:54:27 client ovpn-client[11361]: TLS: tls_multi_process: initial untrusted</w:t>
        <w:t xml:space="preserve"> </w:t>
        <w:t>session promoted to trusted</w:t>
      </w:r>
    </w:p>
    <w:p>
      <w:pPr>
        <w:pStyle w:val="Normal"/>
      </w:pPr>
      <w:r>
        <w:t>Jan 21 10:54:27 client ovpn-client[11361]: PUSH: Received control message: 'PUSH_REPLY,</w:t>
        <w:t xml:space="preserve"> </w:t>
        <w:t>route-gateway 10.8.0.1,topology subnet,ping 10,ping-restart 120,ifconfig 10.8.0.2 255.255.</w:t>
        <w:t xml:space="preserve"> </w:t>
        <w:t>255.0,peer-id 1,cipher AES-256-GCM,protocol-flags cc-exit tls-ekm dyn-tls-crypt,tun-mtu</w:t>
        <w:t xml:space="preserve"> </w:t>
        <w:t>1500'</w:t>
      </w:r>
    </w:p>
    <w:p>
      <w:pPr>
        <w:pStyle w:val="Normal"/>
      </w:pPr>
      <w:r>
        <w:t>Jan 21 10:54:27 client ovpn-client[11361]: OPTIONS IMPORT: --ifconfig/up options modified</w:t>
        <w:t xml:space="preserve"> </w:t>
        <w:t>Jan 21 10:54:27 client ovpn-client[11361]: OPTIONS IMPORT: route-related options modified</w:t>
        <w:t xml:space="preserve"> </w:t>
        <w:t>Jan 21 10:54:27 client ovpn-client[11361]: OPTIONS IMPORT: tun-mtu set to 1500</w:t>
        <w:t xml:space="preserve"> </w:t>
        <w:t>Jan 21 10:54:27 client ovpn-client[11361]: TUN/TAP device tun0 opened</w:t>
        <w:t xml:space="preserve"> </w:t>
        <w:t>Jan 21 10:54:27 client ovpn-client[11361]: net_iface_mtu_set: mtu 1500 for tun0</w:t>
        <w:t xml:space="preserve"> </w:t>
        <w:t>Jan 21 10:54:27 client ovpn-client[11361]: net_iface_up: set tun0 up</w:t>
        <w:t xml:space="preserve"> </w:t>
        <w:t>Jan 21 10:54:27 client ovpn-client[11361]: net_addr_v4_add: 10.8.0.2/24 dev tun0</w:t>
        <w:t xml:space="preserve"> </w:t>
        <w:t>Jan 21 10:54:27 client ovpn-client[11361]: Initialization Sequence Completed</w:t>
      </w:r>
    </w:p>
    <w:p>
      <w:pPr>
        <w:pStyle w:val="Para 17"/>
      </w:pPr>
      <w:r>
        <w:t/>
      </w:r>
    </w:p>
    <w:p>
      <w:pPr>
        <w:pStyle w:val="Normal"/>
      </w:pPr>
      <w:r>
        <w:t>On the server log, an incoming connection looks like the following (you can see client name and source address as well as success/failure messages):</w:t>
      </w:r>
    </w:p>
    <w:p>
      <w:pPr>
        <w:pStyle w:val="Normal"/>
      </w:pPr>
      <w:r>
        <w:t>ovpn-myserver[10556]: read UDPv4 [ECONNREFUSED]: Connection refused (fd=7,code=111)</w:t>
        <w:t xml:space="preserve"> </w:t>
        <w:t>ovpn-myserver[10556]: 10.185.198.41:40732 VERIFY OK: depth=1, CN=server</w:t>
        <w:t xml:space="preserve"> </w:t>
        <w:t>ovpn-myserver[10556]: 10.185.198.41:40732 VERIFY OK: depth=0, CN=client</w:t>
        <w:t xml:space="preserve"> </w:t>
        <w:t>ovpn-myserver[10556]: 10.185.198.41:40732 peer info: IV_VER=2.6.15</w:t>
        <w:t xml:space="preserve"> </w:t>
        <w:t>ovpn-myserver[10556]: 10.185.198.41:40732 peer info: IV_PLAT=linux</w:t>
        <w:t xml:space="preserve"> </w:t>
        <w:t>ovpn-myserver[10556]: 10.185.198.41:40732 peer info: IV_TCPNL=1</w:t>
        <w:t xml:space="preserve"> </w:t>
        <w:t>ovpn-myserver[10556]: 10.185.198.41:40732 peer info: IV_MTU=1600</w:t>
        <w:t xml:space="preserve"> </w:t>
        <w:t>ovpn-myserver[10556]: 10.185.198.41:40732 peer info: IV_NCP=2</w:t>
        <w:t xml:space="preserve"> </w:t>
        <w:t>ovpn-myserver[10556]: 10.185.198.41:40732 peer info: IV_CIPHERS=AES-256-GCM:AES-128-</w:t>
        <w:t>GCM:CHACHA20-POLY1305</w:t>
      </w:r>
    </w:p>
    <w:p>
      <w:pPr>
        <w:pStyle w:val="Normal"/>
      </w:pPr>
      <w:r>
        <w:t>ovpn-myserver[10556]: 10.185.198.41:40732 peer info: IV_PROTO=990</w:t>
        <w:t xml:space="preserve"> </w:t>
        <w:t>ovpn-myserver[10556]: 10.185.198.41:40732 peer info: IV_LZO_STUB=1</w:t>
        <w:t xml:space="preserve"> </w:t>
        <w:t>ovpn-myserver[10556]: 10.185.198.41:40732 peer info: IV_COMP_STUB=1</w:t>
        <w:t xml:space="preserve"> </w:t>
        <w:t>ovpn-myserver[10556]: 10.185.198.41:40732 peer info: IV_COMP_STUBv2=1</w:t>
        <w:t xml:space="preserve"> </w:t>
        <w:t>ovpn-myserver[10556]: 10.185.198.41:40732 TLS: move_session: dest=TM_ACTIVE src=TM_INITIAL</w:t>
        <w:t xml:space="preserve"> </w:t>
        <w:t>reinit_src=1</w:t>
      </w:r>
    </w:p>
    <w:p>
      <w:pPr>
        <w:pStyle w:val="Normal"/>
      </w:pPr>
      <w:r>
        <w:t>ovpn-myserver[10556]: 10.185.198.41:40732 TLS: tls_multi_process: initial untrusted</w:t>
        <w:t xml:space="preserve"> </w:t>
        <w:t>session promoted to trusted</w:t>
      </w:r>
    </w:p>
    <w:p>
      <w:pPr>
        <w:pStyle w:val="Normal"/>
      </w:pPr>
      <w:r>
        <w:t>ovpn-myserver[10556]: 10.185.198.41:40732 Control Channel: TLSv1.3, cipher TLSv1.3 TLS_</w:t>
        <w:t xml:space="preserve"> </w:t>
        <w:t>AES_256_GCM_SHA384, peer certificate: 2048 bits RSA, signature: RSA-SHA256, peer temporary</w:t>
        <w:t xml:space="preserve"> </w:t>
        <w:t>key: 768 bits X25519MLKEM768</w:t>
      </w:r>
    </w:p>
    <w:p>
      <w:pPr>
        <w:pStyle w:val="Normal"/>
      </w:pPr>
      <w:r>
        <w:t>ovpn-myserver[10556]: 10.185.198.41:40732 [client] Peer Connection Initiated with [AF_</w:t>
        <w:t xml:space="preserve"> </w:t>
        <w:t>INET]10.185.198.41:40732</w:t>
      </w:r>
    </w:p>
    <w:p>
      <w:pPr>
        <w:pStyle w:val="Normal"/>
      </w:pPr>
      <w:r>
        <w:t>ovpn-myserver[10556]: MULTI: new connection by client 'client' will cause previous active</w:t>
        <w:t xml:space="preserve"> </w:t>
        <w:t>sessions by this client to be dropped.</w:t>
        <w:t xml:space="preserve"> </w:t>
        <w:t>Remember to use the --duplicate-cn option if you</w:t>
      </w:r>
    </w:p>
    <w:p>
      <w:pPr>
        <w:pStyle w:val="Normal"/>
      </w:pPr>
      <w:r>
        <w:t>want multiple clients using the same certificate or username to concurrently connect.</w:t>
        <w:t xml:space="preserve"> </w:t>
        <w:t>ovpn-myserver[10556]: MULTI_sva: pool returned IPv4=10.8.0.2, IPv6=(Not enabled)</w:t>
        <w:t xml:space="preserve"> </w:t>
        <w:t>ovpn-myserver[10556]: MULTI: Learn: 10.8.0.2 -&gt; client/10.185.198.41:40732</w:t>
        <w:t xml:space="preserve"> </w:t>
        <w:t>ovpn-myserver[10556]: MULTI: primary virtual IP for client/10.185.198.41:40732: 10.8.0.2</w:t>
        <w:t xml:space="preserve"> </w:t>
        <w:t>ovpn-myserver[10556]: SENT CONTROL [client]: 'PUSH_REPLY,route-gateway 10.8.0.1,topology</w:t>
        <w:t xml:space="preserve"> </w:t>
        <w:t>subnet,ping 10,ping-restart 120,ifconfig 10.8.0.2 255.255.255.0,peer-id 0,cipher AES-256-</w:t>
        <w:t>GCM,protocol-flags cc-exit tls-ekm dyn-tls-crypt,tun-mtu 1500' (status=1)</w:t>
        <w:t xml:space="preserve"> </w:t>
        <w:t>ovpn-myserver[10556]: client/10.185.198.41:40732 Data Channel: cipher 'AES-256-GCM', peer-</w:t>
        <w:t>id: 0</w:t>
      </w:r>
    </w:p>
    <w:p>
      <w:pPr>
        <w:pStyle w:val="Normal"/>
      </w:pPr>
      <w:r>
        <w:t>ovpn-myserver[10556]: client/10.185.198.41:40732 Timers: ping 10, ping-restart 240</w:t>
        <w:t xml:space="preserve"> </w:t>
        <w:t>ovpn-myserver[10556]: client/10.185.198.41:40732 Protocol options: explicit-exit-notify 1,</w:t>
      </w:r>
    </w:p>
    <w:p>
      <w:pPr>
        <w:pStyle w:val="Para 09"/>
      </w:pPr>
      <w:r>
        <w:t>(continues on next page)</w:t>
      </w:r>
    </w:p>
    <w:p>
      <w:bookmarkStart w:id="295" w:name="page_2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2" name="index-207_1.png" descr="index-207_1.png"/>
            <wp:cNvGraphicFramePr>
              <a:graphicFrameLocks noChangeAspect="1"/>
            </wp:cNvGraphicFramePr>
            <a:graphic>
              <a:graphicData uri="http://schemas.openxmlformats.org/drawingml/2006/picture">
                <pic:pic>
                  <pic:nvPicPr>
                    <pic:cNvPr id="0" name="index-207_1.png" descr="index-207_1.png"/>
                    <pic:cNvPicPr/>
                  </pic:nvPicPr>
                  <pic:blipFill>
                    <a:blip r:embed="rId216"/>
                    <a:stretch>
                      <a:fillRect/>
                    </a:stretch>
                  </pic:blipFill>
                  <pic:spPr>
                    <a:xfrm>
                      <a:off x="0" y="0"/>
                      <a:ext cx="914400" cy="266700"/>
                    </a:xfrm>
                    <a:prstGeom prst="rect">
                      <a:avLst/>
                    </a:prstGeom>
                  </pic:spPr>
                </pic:pic>
              </a:graphicData>
            </a:graphic>
          </wp:anchor>
        </w:drawing>
      </w:r>
      <w:bookmarkEnd w:id="295"/>
    </w:p>
    <w:p>
      <w:pPr>
        <w:pStyle w:val="Para 09"/>
      </w:pPr>
      <w:r>
        <w:t>(continued from previous page)</w:t>
      </w:r>
    </w:p>
    <w:p>
      <w:pPr>
        <w:pStyle w:val="Normal"/>
      </w:pPr>
      <w:r>
        <w:t>protocol-flags cc-exit tls-ekm dyn-tls-crypt</w:t>
      </w:r>
    </w:p>
    <w:p>
      <w:pPr>
        <w:pStyle w:val="Para 17"/>
      </w:pPr>
      <w:r>
        <w:t/>
      </w:r>
    </w:p>
    <w:p>
      <w:pPr>
        <w:pStyle w:val="Normal"/>
      </w:pPr>
      <w:r>
        <w:t>And you can check on the client if it created a tun0 interface:</w:t>
      </w:r>
    </w:p>
    <w:p>
      <w:pPr>
        <w:pStyle w:val="Normal"/>
      </w:pPr>
      <w:r>
        <w:t>ip addr show dev tun0</w:t>
      </w:r>
    </w:p>
    <w:p>
      <w:pPr>
        <w:pStyle w:val="Para 17"/>
      </w:pPr>
      <w:r>
        <w:t/>
      </w:r>
    </w:p>
    <w:p>
      <w:pPr>
        <w:pStyle w:val="Normal"/>
      </w:pPr>
      <w:r>
        <w:t>Showing the tun0 device on the client:</w:t>
      </w:r>
    </w:p>
    <w:p>
      <w:pPr>
        <w:pStyle w:val="Normal"/>
      </w:pPr>
      <w:r>
        <w:t>6: tun0: &lt;POINTOPOINT,MULTICAST,NOARP,UP,LOWER_UP&gt; mtu 1500 qdisc fq_codel state UNKNOWN</w:t>
        <w:t xml:space="preserve"> </w:t>
        <w:t>group default qlen 500</w:t>
      </w:r>
    </w:p>
    <w:p>
      <w:pPr>
        <w:pStyle w:val="Para 02"/>
      </w:pPr>
      <w:r>
        <w:t>link/none</w:t>
      </w:r>
    </w:p>
    <w:p>
      <w:pPr>
        <w:pStyle w:val="Para 02"/>
      </w:pPr>
      <w:r>
        <w:t>inet 10.8.0.2/24 brd 10.8.0.255 scope global tun0</w:t>
      </w:r>
    </w:p>
    <w:p>
      <w:pPr>
        <w:pStyle w:val="Para 06"/>
      </w:pPr>
      <w:r>
        <w:t>valid_lft forever preferred_lft forever</w:t>
      </w:r>
    </w:p>
    <w:p>
      <w:pPr>
        <w:pStyle w:val="Para 02"/>
      </w:pPr>
      <w:r>
        <w:t>inet6 fe80::3c08:9432:f898:d1c0/64 scope link stable-privacy proto kernel_ll</w:t>
      </w:r>
    </w:p>
    <w:p>
      <w:pPr>
        <w:pStyle w:val="Para 06"/>
      </w:pPr>
      <w:r>
        <w:t>valid_lft forever preferred_lft forever</w:t>
      </w:r>
    </w:p>
    <w:p>
      <w:pPr>
        <w:pStyle w:val="Para 17"/>
      </w:pPr>
      <w:r>
        <w:t/>
      </w:r>
    </w:p>
    <w:p>
      <w:pPr>
        <w:pStyle w:val="Normal"/>
      </w:pPr>
      <w:r>
        <w:t>Check if you can ping the OpenVPN server:</w:t>
      </w:r>
    </w:p>
    <w:p>
      <w:pPr>
        <w:pStyle w:val="Normal"/>
      </w:pPr>
      <w:r>
        <w:t>ping</w:t>
        <w:t xml:space="preserve"> </w:t>
        <w:t>10</w:t>
        <w:t>.8.0.1 -c</w:t>
        <w:t xml:space="preserve"> </w:t>
        <w:t>1</w:t>
      </w:r>
    </w:p>
    <w:p>
      <w:pPr>
        <w:pStyle w:val="Para 17"/>
      </w:pPr>
      <w:r>
        <w:t/>
      </w:r>
    </w:p>
    <w:p>
      <w:pPr>
        <w:pStyle w:val="Normal"/>
      </w:pPr>
      <w:r>
        <w:t>Which should show a working ping with an answer:</w:t>
      </w:r>
    </w:p>
    <w:p>
      <w:pPr>
        <w:pStyle w:val="Normal"/>
      </w:pPr>
      <w:r>
        <w:t>PING 10.8.0.1 (10.8.0.1) 56(84) bytes of data.</w:t>
      </w:r>
    </w:p>
    <w:p>
      <w:pPr>
        <w:pStyle w:val="Normal"/>
      </w:pPr>
      <w:r>
        <w:t>64 bytes from 10.8.0.1: icmp_seq=1 ttl=64 time=0.335 ms</w:t>
      </w:r>
    </w:p>
    <w:p>
      <w:pPr>
        <w:pStyle w:val="Para 17"/>
      </w:pPr>
      <w:r>
        <w:t/>
      </w:r>
    </w:p>
    <w:p>
      <w:pPr>
        <w:pStyle w:val="Para 08"/>
      </w:pPr>
      <w:r>
        <w:t>Note:</w:t>
      </w:r>
    </w:p>
    <w:p>
      <w:pPr>
        <w:pStyle w:val="Para 03"/>
      </w:pPr>
      <w:r>
        <w:t>The OpenVPN server always uses the first usable IP address in the client network and</w:t>
      </w:r>
    </w:p>
    <w:p>
      <w:pPr>
        <w:pStyle w:val="Para 03"/>
      </w:pPr>
      <w:r>
        <w:t>only that IP is pingable. E.g., if you configured a /24 for the client network mask, the .1</w:t>
      </w:r>
    </w:p>
    <w:p>
      <w:pPr>
        <w:pStyle w:val="Para 03"/>
      </w:pPr>
      <w:r>
        <w:t>address will be used. The P-t-P address you see in the ip addr output above does not</w:t>
      </w:r>
    </w:p>
    <w:p>
      <w:pPr>
        <w:pStyle w:val="Para 03"/>
      </w:pPr>
      <w:r>
        <w:t>usually answer ping requests.</w:t>
      </w:r>
    </w:p>
    <w:p>
      <w:pPr>
        <w:pStyle w:val="Para 17"/>
      </w:pPr>
      <w:r>
        <w:t/>
      </w:r>
    </w:p>
    <w:p>
      <w:pPr>
        <w:pStyle w:val="Normal"/>
      </w:pPr>
      <w:r>
        <w:t>Check out your routes:</w:t>
      </w:r>
    </w:p>
    <w:p>
      <w:pPr>
        <w:pStyle w:val="Normal"/>
      </w:pPr>
      <w:r>
        <w:t>ip route show dev tun0</w:t>
      </w:r>
    </w:p>
    <w:p>
      <w:pPr>
        <w:pStyle w:val="Para 17"/>
      </w:pPr>
      <w:r>
        <w:t/>
      </w:r>
    </w:p>
    <w:p>
      <w:pPr>
        <w:pStyle w:val="Normal"/>
      </w:pPr>
      <w:r>
        <w:t>A system might have many many routes, but this call restricts to those on tun0:</w:t>
      </w:r>
    </w:p>
    <w:p>
      <w:pPr>
        <w:pStyle w:val="Normal"/>
      </w:pPr>
      <w:r>
        <w:t>10.8.0.0/24 proto kernel scope link src 10.8.0.2</w:t>
      </w:r>
    </w:p>
    <w:p>
      <w:pPr>
        <w:pStyle w:val="Para 17"/>
      </w:pPr>
      <w:r>
        <w:t/>
      </w:r>
    </w:p>
    <w:p>
      <w:pPr>
        <w:pStyle w:val="Para 01"/>
      </w:pPr>
      <w:r>
        <w:t>First troubleshooting</w:t>
      </w:r>
    </w:p>
    <w:p>
      <w:pPr>
        <w:pStyle w:val="Para 17"/>
      </w:pPr>
      <w:r>
        <w:t/>
      </w:r>
    </w:p>
    <w:p>
      <w:pPr>
        <w:pStyle w:val="Normal"/>
      </w:pPr>
      <w:r>
        <w:t>If the above didn’t work for you, check the following:</w:t>
      </w:r>
    </w:p>
    <w:p>
      <w:pPr>
        <w:pStyle w:val="Para 04"/>
      </w:pPr>
      <w:r>
        <w:t>• Check your journal -xe, also consider limiting it to the unit with-u as done in the ex-</w:t>
      </w:r>
    </w:p>
    <w:p>
      <w:pPr>
        <w:pStyle w:val="Para 02"/>
      </w:pPr>
      <w:r>
        <w:t>amples shown above.</w:t>
      </w:r>
    </w:p>
    <w:p>
      <w:pPr>
        <w:pStyle w:val="Para 04"/>
      </w:pPr>
      <w:r>
        <w:t>• Check that you have specified the key filenames correctly in the client and server conf</w:t>
      </w:r>
    </w:p>
    <w:p>
      <w:pPr>
        <w:pStyle w:val="Para 02"/>
      </w:pPr>
      <w:r>
        <w:t>files.</w:t>
      </w:r>
    </w:p>
    <w:p>
      <w:pPr>
        <w:pStyle w:val="Para 04"/>
      </w:pPr>
      <w:r>
        <w:t>• Can the client connect to the server machine? Maybe a firewall is blocking access?</w:t>
      </w:r>
    </w:p>
    <w:p>
      <w:pPr>
        <w:pStyle w:val="Para 02"/>
      </w:pPr>
      <w:r>
        <w:t>Check the journal on the server.</w:t>
      </w:r>
    </w:p>
    <w:p>
      <w:bookmarkStart w:id="296" w:name="page_2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3"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217"/>
                    <a:stretch>
                      <a:fillRect/>
                    </a:stretch>
                  </pic:blipFill>
                  <pic:spPr>
                    <a:xfrm>
                      <a:off x="0" y="0"/>
                      <a:ext cx="914400" cy="266700"/>
                    </a:xfrm>
                    <a:prstGeom prst="rect">
                      <a:avLst/>
                    </a:prstGeom>
                  </pic:spPr>
                </pic:pic>
              </a:graphicData>
            </a:graphic>
          </wp:anchor>
        </w:drawing>
      </w:r>
      <w:bookmarkEnd w:id="296"/>
    </w:p>
    <w:p>
      <w:pPr>
        <w:pStyle w:val="Para 04"/>
      </w:pPr>
      <w:r>
        <w:t>• Client and server must use same protocol and port, e.g. UDP port 1194, see port and</w:t>
      </w:r>
    </w:p>
    <w:p>
      <w:pPr>
        <w:pStyle w:val="Para 02"/>
      </w:pPr>
      <w:r>
        <w:t>proto config options.</w:t>
      </w:r>
    </w:p>
    <w:p>
      <w:pPr>
        <w:pStyle w:val="Para 04"/>
      </w:pPr>
      <w:r>
        <w:t>• Client and server must use the same compression configuration, see comp-lzo config</w:t>
      </w:r>
    </w:p>
    <w:p>
      <w:pPr>
        <w:pStyle w:val="Para 02"/>
      </w:pPr>
      <w:r>
        <w:t>option.</w:t>
      </w:r>
    </w:p>
    <w:p>
      <w:pPr>
        <w:pStyle w:val="Para 04"/>
      </w:pPr>
      <w:r>
        <w:t>• Client and server must use same config regarding bridged vs. routed mode, see server</w:t>
      </w:r>
    </w:p>
    <w:p>
      <w:pPr>
        <w:pStyle w:val="Para 02"/>
      </w:pPr>
      <w:r>
        <w:t>vs server-bridge config option</w:t>
      </w:r>
    </w:p>
    <w:p>
      <w:pPr>
        <w:pStyle w:val="Para 17"/>
      </w:pPr>
      <w:r>
        <w:t/>
      </w:r>
    </w:p>
    <w:p>
      <w:pPr>
        <w:pStyle w:val="Para 01"/>
      </w:pPr>
      <w:r>
        <w:t>Advanced configuration</w:t>
      </w:r>
    </w:p>
    <w:p>
      <w:pPr>
        <w:pStyle w:val="Para 17"/>
      </w:pPr>
      <w:r>
        <w:t/>
      </w:r>
    </w:p>
    <w:p>
      <w:pPr>
        <w:pStyle w:val="Para 01"/>
      </w:pPr>
      <w:r>
        <w:t>Advanced routed VPN configuration on server</w:t>
      </w:r>
    </w:p>
    <w:p>
      <w:pPr>
        <w:pStyle w:val="Para 17"/>
      </w:pPr>
      <w:r>
        <w:t/>
      </w:r>
    </w:p>
    <w:p>
      <w:pPr>
        <w:pStyle w:val="Normal"/>
      </w:pPr>
      <w:r>
        <w:t>The above is a very simple working VPN. The client can access services on the VPN server machine through an encrypted tunnel. If you want to reach more servers or anything in other networks, push some routes to the clients. E.g. if your company’s network can be summarised to the network 192.168.0.0/16, you could push this route to the clients. But you will also have to change the routing for the way back – your servers need to know a route to the VPN client-network.</w:t>
      </w:r>
    </w:p>
    <w:p>
      <w:pPr>
        <w:pStyle w:val="Normal"/>
      </w:pPr>
      <w:r>
        <w:t>The example config files that we have been using in this guide are full of these advanced options in the form of a comment and a disabled configuration line as an example.</w:t>
      </w:r>
    </w:p>
    <w:p>
      <w:pPr>
        <w:pStyle w:val="Para 17"/>
      </w:pPr>
      <w:r>
        <w:t/>
      </w:r>
    </w:p>
    <w:p>
      <w:pPr>
        <w:pStyle w:val="Para 08"/>
      </w:pPr>
      <w:r>
        <w:t>Note:</w:t>
      </w:r>
    </w:p>
    <w:p>
      <w:pPr>
        <w:pStyle w:val="Para 03"/>
      </w:pPr>
      <w:r>
        <w:t xml:space="preserve">Read the OpenVPN </w:t>
      </w:r>
      <w:hyperlink w:anchor="page_208">
        <w:r>
          <w:rPr>
            <w:rStyle w:val="Text9"/>
          </w:rPr>
          <w:t>157</w:t>
        </w:r>
      </w:hyperlink>
      <w:r>
        <w:t xml:space="preserve"> </w:t>
      </w:r>
      <w:hyperlink r:id="rId1161">
        <w:r>
          <w:rPr>
            <w:rStyle w:val="Text1"/>
          </w:rPr>
          <w:t>hardening security guide</w:t>
        </w:r>
      </w:hyperlink>
      <w:r>
        <w:t xml:space="preserve"> for further security advice.</w:t>
      </w:r>
    </w:p>
    <w:p>
      <w:pPr>
        <w:pStyle w:val="Para 05"/>
      </w:pPr>
      <w:r>
        <w:rPr>
          <w:rStyle w:val="Text5"/>
        </w:rPr>
        <w:t>157</w:t>
      </w:r>
      <w:r>
        <w:rPr>
          <w:rStyle w:val="Text8"/>
        </w:rPr>
        <w:t xml:space="preserve"> </w:t>
      </w:r>
      <w:r>
        <w:t>https://openvpn.net/community-docs/security.html</w:t>
      </w:r>
    </w:p>
    <w:p>
      <w:pPr>
        <w:pStyle w:val="Para 17"/>
      </w:pPr>
      <w:r>
        <w:t/>
      </w:r>
    </w:p>
    <w:p>
      <w:pPr>
        <w:pStyle w:val="Para 01"/>
      </w:pPr>
      <w:r>
        <w:t>Advanced bridged VPN configuration on server</w:t>
      </w:r>
    </w:p>
    <w:p>
      <w:pPr>
        <w:pStyle w:val="Para 17"/>
      </w:pPr>
      <w:r>
        <w:t/>
      </w:r>
    </w:p>
    <w:p>
      <w:pPr>
        <w:pStyle w:val="Normal"/>
      </w:pPr>
      <w:r>
        <w:t>OpenVPN can be set up for either a routed or a bridged VPN mode. Sometimes this is also referred to as OSI layer-2 versus layer-3 VPN. In a bridged VPN all layer-2 frames – e.g. all Ethernet frames – are sent to the VPN partners and in a routed VPN only layer-3 packets are sent to VPN partners. In bridged mode, all traffic including traffic which was traditionally</w:t>
      </w:r>
    </w:p>
    <w:p>
      <w:pPr>
        <w:pStyle w:val="Normal"/>
      </w:pPr>
      <w:r>
        <w:t xml:space="preserve">LAN-local (like local network broadcasts, </w:t>
      </w:r>
      <w:hyperlink w:anchor="page_678">
        <w:r>
          <w:rPr>
            <w:rStyle w:val="Text2"/>
          </w:rPr>
          <w:t>DHCP</w:t>
        </w:r>
      </w:hyperlink>
      <w:r>
        <w:t xml:space="preserve"> requests, ARP requests etc) are sent to VPN partners, whereas in routed mode this would be filtered.</w:t>
      </w:r>
    </w:p>
    <w:p>
      <w:pPr>
        <w:pStyle w:val="Para 17"/>
      </w:pPr>
      <w:r>
        <w:t/>
      </w:r>
    </w:p>
    <w:p>
      <w:pPr>
        <w:pStyle w:val="Para 01"/>
      </w:pPr>
      <w:r>
        <w:t>Prepare interface config for bridging on server</w:t>
      </w:r>
    </w:p>
    <w:p>
      <w:pPr>
        <w:pStyle w:val="Para 17"/>
      </w:pPr>
      <w:r>
        <w:t/>
      </w:r>
    </w:p>
    <w:p>
      <w:pPr>
        <w:pStyle w:val="Normal"/>
      </w:pPr>
      <w:r>
        <w:t>First, use Netplan to configure a bridge device using the desired Ethernet device like /etc/ netplan/01-netcfg.yaml to contain:</w:t>
      </w:r>
    </w:p>
    <w:p>
      <w:pPr>
        <w:pStyle w:val="Normal"/>
      </w:pPr>
      <w:r>
        <w:t>network:</w:t>
      </w:r>
    </w:p>
    <w:p>
      <w:pPr>
        <w:pStyle w:val="Para 02"/>
      </w:pPr>
      <w:r>
        <w:t>version: 2</w:t>
      </w:r>
    </w:p>
    <w:p>
      <w:pPr>
        <w:pStyle w:val="Para 02"/>
      </w:pPr>
      <w:r>
        <w:t>renderer: networkd</w:t>
      </w:r>
    </w:p>
    <w:p>
      <w:pPr>
        <w:pStyle w:val="Para 02"/>
      </w:pPr>
      <w:r>
        <w:t>ethernets:</w:t>
      </w:r>
    </w:p>
    <w:p>
      <w:pPr>
        <w:pStyle w:val="Para 06"/>
      </w:pPr>
      <w:r>
        <w:t>enp0s31f6:</w:t>
      </w:r>
    </w:p>
    <w:p>
      <w:pPr>
        <w:pStyle w:val="Para 12"/>
      </w:pPr>
      <w:r>
        <w:t>dhcp4: no</w:t>
      </w:r>
    </w:p>
    <w:p>
      <w:pPr>
        <w:pStyle w:val="Para 02"/>
      </w:pPr>
      <w:r>
        <w:t>bridges:</w:t>
      </w:r>
    </w:p>
    <w:p>
      <w:pPr>
        <w:pStyle w:val="Para 09"/>
      </w:pPr>
      <w:r>
        <w:t>(continues on next page)</w:t>
      </w:r>
    </w:p>
    <w:p>
      <w:bookmarkStart w:id="297" w:name="page_2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4" name="index-209_1.png" descr="index-209_1.png"/>
            <wp:cNvGraphicFramePr>
              <a:graphicFrameLocks noChangeAspect="1"/>
            </wp:cNvGraphicFramePr>
            <a:graphic>
              <a:graphicData uri="http://schemas.openxmlformats.org/drawingml/2006/picture">
                <pic:pic>
                  <pic:nvPicPr>
                    <pic:cNvPr id="0" name="index-209_1.png" descr="index-209_1.png"/>
                    <pic:cNvPicPr/>
                  </pic:nvPicPr>
                  <pic:blipFill>
                    <a:blip r:embed="rId218"/>
                    <a:stretch>
                      <a:fillRect/>
                    </a:stretch>
                  </pic:blipFill>
                  <pic:spPr>
                    <a:xfrm>
                      <a:off x="0" y="0"/>
                      <a:ext cx="914400" cy="266700"/>
                    </a:xfrm>
                    <a:prstGeom prst="rect">
                      <a:avLst/>
                    </a:prstGeom>
                  </pic:spPr>
                </pic:pic>
              </a:graphicData>
            </a:graphic>
          </wp:anchor>
        </w:drawing>
      </w:r>
      <w:bookmarkEnd w:id="297"/>
    </w:p>
    <w:p>
      <w:pPr>
        <w:pStyle w:val="Para 09"/>
      </w:pPr>
      <w:r>
        <w:t>(continued from previous page)</w:t>
      </w:r>
    </w:p>
    <w:p>
      <w:pPr>
        <w:pStyle w:val="Para 06"/>
      </w:pPr>
      <w:r>
        <w:t>br0:</w:t>
      </w:r>
    </w:p>
    <w:p>
      <w:pPr>
        <w:pStyle w:val="Para 12"/>
      </w:pPr>
      <w:r>
        <w:t>interfaces: [enp0s31f6]</w:t>
      </w:r>
    </w:p>
    <w:p>
      <w:pPr>
        <w:pStyle w:val="Para 12"/>
      </w:pPr>
      <w:r>
        <w:t>dhcp4: no</w:t>
      </w:r>
    </w:p>
    <w:p>
      <w:pPr>
        <w:pStyle w:val="Para 12"/>
      </w:pPr>
      <w:r>
        <w:t>addresses: [10.0.1.100/24]</w:t>
      </w:r>
    </w:p>
    <w:p>
      <w:pPr>
        <w:pStyle w:val="Para 12"/>
      </w:pPr>
      <w:r>
        <w:t>routes:</w:t>
      </w:r>
    </w:p>
    <w:p>
      <w:pPr>
        <w:pStyle w:val="Para 15"/>
      </w:pPr>
      <w:r>
        <w:t>- to: default</w:t>
      </w:r>
    </w:p>
    <w:p>
      <w:pPr>
        <w:pStyle w:val="Para 15"/>
      </w:pPr>
      <w:r>
        <w:t>via: 10.0.1.1</w:t>
      </w:r>
    </w:p>
    <w:p>
      <w:pPr>
        <w:pStyle w:val="Para 12"/>
      </w:pPr>
      <w:r>
        <w:t>nameservers:</w:t>
      </w:r>
    </w:p>
    <w:p>
      <w:pPr>
        <w:pStyle w:val="Para 15"/>
      </w:pPr>
      <w:r>
        <w:t>addresses: [10.0.1.1]</w:t>
      </w:r>
    </w:p>
    <w:p>
      <w:pPr>
        <w:pStyle w:val="Para 17"/>
      </w:pPr>
      <w:r>
        <w:t/>
      </w:r>
    </w:p>
    <w:p>
      <w:pPr>
        <w:pStyle w:val="Normal"/>
      </w:pPr>
      <w:r>
        <w:t>Static IP addressing is highly suggested. DHCP addressing can also work, but you will still have to encode a static address in the OpenVPN configuration file.</w:t>
      </w:r>
    </w:p>
    <w:p>
      <w:pPr>
        <w:pStyle w:val="Normal"/>
      </w:pPr>
      <w:r>
        <w:t>The next step on the server is to configure the Ethernet device for promiscuous mode on boot. To do this, ensure the networkd-dispatcher package is installed and create the follow-ing configuration script:</w:t>
      </w:r>
    </w:p>
    <w:p>
      <w:pPr>
        <w:pStyle w:val="Normal"/>
      </w:pPr>
      <w:r>
        <w:t>sudo apt update</w:t>
        <w:t xml:space="preserve"> </w:t>
        <w:t>&amp;&amp;</w:t>
        <w:t xml:space="preserve"> </w:t>
        <w:t>sudo apt install networkd-dispatcher</w:t>
      </w:r>
    </w:p>
    <w:p>
      <w:pPr>
        <w:pStyle w:val="Para 17"/>
      </w:pPr>
      <w:r>
        <w:t/>
      </w:r>
    </w:p>
    <w:p>
      <w:pPr>
        <w:pStyle w:val="Normal"/>
      </w:pPr>
      <w:r>
        <w:t>Then add the following contents to a file like /etc/networkd-dispatcher/dormant.d/promisc_ bridge:</w:t>
      </w:r>
    </w:p>
    <w:p>
      <w:pPr>
        <w:pStyle w:val="Para 10"/>
      </w:pPr>
      <w:r>
        <w:t>#!/bin/sh</w:t>
      </w:r>
    </w:p>
    <w:p>
      <w:pPr>
        <w:pStyle w:val="Normal"/>
      </w:pPr>
      <w:r>
        <w:t>set</w:t>
        <w:t>-e</w:t>
      </w:r>
    </w:p>
    <w:p>
      <w:pPr>
        <w:pStyle w:val="Normal"/>
      </w:pPr>
      <w:r>
        <w:rPr>
          <w:rStyle w:val="Text0"/>
        </w:rPr>
        <w:t>if</w:t>
      </w:r>
      <w:r>
        <w:t xml:space="preserve"> </w:t>
        <w:t>[</w:t>
        <w:t xml:space="preserve"> </w:t>
        <w:t>"</w:t>
        <w:t>$IFACE</w:t>
        <w:t>"</w:t>
        <w:t xml:space="preserve"> </w:t>
        <w:t>=</w:t>
        <w:t xml:space="preserve"> </w:t>
        <w:t>br0</w:t>
        <w:t xml:space="preserve"> </w:t>
        <w:t>]</w:t>
        <w:t>;</w:t>
        <w:t xml:space="preserve"> </w:t>
      </w:r>
      <w:r>
        <w:rPr>
          <w:rStyle w:val="Text0"/>
        </w:rPr>
        <w:t>then</w:t>
      </w:r>
    </w:p>
    <w:p>
      <w:pPr>
        <w:pStyle w:val="Para 07"/>
      </w:pPr>
      <w:r>
        <w:t># no networkd-dispatcher event for 'carrier' on the physical interface</w:t>
      </w:r>
      <w:r>
        <w:rPr>
          <w:rStyle w:val="Text3"/>
        </w:rPr>
        <w:t xml:space="preserve"> </w:t>
        <w:t>ip link</w:t>
        <w:t xml:space="preserve"> </w:t>
        <w:t>set</w:t>
        <w:t xml:space="preserve"> </w:t>
        <w:t>enp0s31f6 up promisc on</w:t>
      </w:r>
    </w:p>
    <w:p>
      <w:pPr>
        <w:pStyle w:val="Para 01"/>
      </w:pPr>
      <w:r>
        <w:t>fi</w:t>
      </w:r>
    </w:p>
    <w:p>
      <w:pPr>
        <w:pStyle w:val="Para 17"/>
      </w:pPr>
      <w:r>
        <w:t/>
      </w:r>
    </w:p>
    <w:p>
      <w:pPr>
        <w:pStyle w:val="Normal"/>
      </w:pPr>
      <w:r>
        <w:t>And ensure it has the permission to be executed:</w:t>
      </w:r>
    </w:p>
    <w:p>
      <w:pPr>
        <w:pStyle w:val="Normal"/>
      </w:pPr>
      <w:r>
        <w:t>sudo chmod +x /etc/networkd-dispatcher/dormant.d/promisc_bridge</w:t>
      </w:r>
    </w:p>
    <w:p>
      <w:pPr>
        <w:pStyle w:val="Para 17"/>
      </w:pPr>
      <w:r>
        <w:t/>
      </w:r>
    </w:p>
    <w:p>
      <w:pPr>
        <w:pStyle w:val="Para 01"/>
      </w:pPr>
      <w:r>
        <w:t>Prepare server config for bridging</w:t>
      </w:r>
    </w:p>
    <w:p>
      <w:pPr>
        <w:pStyle w:val="Para 17"/>
      </w:pPr>
      <w:r>
        <w:t/>
      </w:r>
    </w:p>
    <w:p>
      <w:pPr>
        <w:pStyle w:val="Normal"/>
      </w:pPr>
      <w:r>
        <w:t>Edit /etc/openvpn/server.conf to use tap rather than tun and set the server to use the server-bridge directive:</w:t>
      </w:r>
    </w:p>
    <w:p>
      <w:pPr>
        <w:pStyle w:val="Normal"/>
      </w:pPr>
      <w:r>
        <w:t>;dev tun</w:t>
      </w:r>
    </w:p>
    <w:p>
      <w:pPr>
        <w:pStyle w:val="Normal"/>
      </w:pPr>
      <w:r>
        <w:t>dev tap</w:t>
      </w:r>
    </w:p>
    <w:p>
      <w:pPr>
        <w:pStyle w:val="Normal"/>
      </w:pPr>
      <w:r>
        <w:t>;server 10.8.0.0 255.255.255.0</w:t>
      </w:r>
    </w:p>
    <w:p>
      <w:pPr>
        <w:pStyle w:val="Normal"/>
      </w:pPr>
      <w:r>
        <w:t>server-bridge 10.0.0.4 255.255.255.0 10.0.0.128 10.0.0.254</w:t>
      </w:r>
    </w:p>
    <w:p>
      <w:pPr>
        <w:pStyle w:val="Para 17"/>
      </w:pPr>
      <w:r>
        <w:t/>
      </w:r>
    </w:p>
    <w:p>
      <w:pPr>
        <w:pStyle w:val="Normal"/>
      </w:pPr>
      <w:r>
        <w:t>After configuring the server, restart OpenVPN by entering:</w:t>
      </w:r>
    </w:p>
    <w:p>
      <w:pPr>
        <w:pStyle w:val="Normal"/>
      </w:pPr>
      <w:r>
        <w:t>sudo systemctl restart openvpn@myserver</w:t>
      </w:r>
    </w:p>
    <w:p>
      <w:bookmarkStart w:id="298" w:name="calibre_pb_44"/>
      <w:pPr>
        <w:pStyle w:val="0 Block"/>
      </w:pPr>
      <w:bookmarkEnd w:id="298"/>
    </w:p>
    <w:p>
      <w:bookmarkStart w:id="299" w:name="Top_of_index_split_045_html"/>
      <w:bookmarkStart w:id="300" w:name="page_21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5" name="index-210_1.png" descr="index-210_1.png"/>
            <wp:cNvGraphicFramePr>
              <a:graphicFrameLocks noChangeAspect="1"/>
            </wp:cNvGraphicFramePr>
            <a:graphic>
              <a:graphicData uri="http://schemas.openxmlformats.org/drawingml/2006/picture">
                <pic:pic>
                  <pic:nvPicPr>
                    <pic:cNvPr id="0" name="index-210_1.png" descr="index-210_1.png"/>
                    <pic:cNvPicPr/>
                  </pic:nvPicPr>
                  <pic:blipFill>
                    <a:blip r:embed="rId219"/>
                    <a:stretch>
                      <a:fillRect/>
                    </a:stretch>
                  </pic:blipFill>
                  <pic:spPr>
                    <a:xfrm>
                      <a:off x="0" y="0"/>
                      <a:ext cx="914400" cy="266700"/>
                    </a:xfrm>
                    <a:prstGeom prst="rect">
                      <a:avLst/>
                    </a:prstGeom>
                  </pic:spPr>
                </pic:pic>
              </a:graphicData>
            </a:graphic>
          </wp:anchor>
        </w:drawing>
      </w:r>
      <w:bookmarkEnd w:id="299"/>
      <w:bookmarkEnd w:id="300"/>
    </w:p>
    <w:p>
      <w:pPr>
        <w:pStyle w:val="Para 01"/>
      </w:pPr>
      <w:r>
        <w:t>Prepare client config for bridging</w:t>
      </w:r>
    </w:p>
    <w:p>
      <w:pPr>
        <w:pStyle w:val="Para 17"/>
      </w:pPr>
      <w:r>
        <w:t/>
      </w:r>
    </w:p>
    <w:p>
      <w:pPr>
        <w:pStyle w:val="Normal"/>
      </w:pPr>
      <w:r>
        <w:t>The only difference on the client side for bridged mode to what was outlined above is that you need to edit /etc/openvpn/client.conf and set tap mode:</w:t>
      </w:r>
    </w:p>
    <w:p>
      <w:pPr>
        <w:pStyle w:val="Normal"/>
      </w:pPr>
      <w:r>
        <w:t>dev tap</w:t>
      </w:r>
    </w:p>
    <w:p>
      <w:pPr>
        <w:pStyle w:val="Normal"/>
      </w:pPr>
      <w:r>
        <w:t>;dev tun</w:t>
      </w:r>
    </w:p>
    <w:p>
      <w:pPr>
        <w:pStyle w:val="Para 17"/>
      </w:pPr>
      <w:r>
        <w:t/>
      </w:r>
    </w:p>
    <w:p>
      <w:pPr>
        <w:pStyle w:val="Normal"/>
      </w:pPr>
      <w:r>
        <w:t>Finally, restart OpenVPN:</w:t>
      </w:r>
    </w:p>
    <w:p>
      <w:pPr>
        <w:pStyle w:val="Normal"/>
      </w:pPr>
      <w:r>
        <w:t>sudo systemctl restart openvpn@client</w:t>
      </w:r>
    </w:p>
    <w:p>
      <w:pPr>
        <w:pStyle w:val="Para 17"/>
      </w:pPr>
      <w:r>
        <w:t/>
      </w:r>
    </w:p>
    <w:p>
      <w:pPr>
        <w:pStyle w:val="Normal"/>
      </w:pPr>
      <w:r>
        <w:t>You should now be able to connect to the fully remote LAN through the VPN.</w:t>
      </w:r>
    </w:p>
    <w:p>
      <w:pPr>
        <w:pStyle w:val="Para 17"/>
      </w:pPr>
      <w:r>
        <w:t/>
      </w:r>
    </w:p>
    <w:p>
      <w:pPr>
        <w:pStyle w:val="Para 01"/>
      </w:pPr>
      <w:r>
        <w:t>Using OpenSSL providers</w:t>
      </w:r>
    </w:p>
    <w:p>
      <w:pPr>
        <w:pStyle w:val="Para 17"/>
      </w:pPr>
      <w:r>
        <w:t/>
      </w:r>
    </w:p>
    <w:p>
      <w:pPr>
        <w:pStyle w:val="Normal"/>
      </w:pPr>
      <w:r>
        <w:t>OpenVPN uses the OpenSSL 3 Default Provider on Ubuntu. However, you can include addi-tional providers dynamically depending on your use case.</w:t>
      </w:r>
    </w:p>
    <w:p>
      <w:pPr>
        <w:pStyle w:val="Para 17"/>
      </w:pPr>
      <w:r>
        <w:t/>
      </w:r>
    </w:p>
    <w:p>
      <w:pPr>
        <w:pStyle w:val="Para 01"/>
      </w:pPr>
      <w:r>
        <w:t>Legacy provider</w:t>
      </w:r>
    </w:p>
    <w:p>
      <w:pPr>
        <w:pStyle w:val="Para 17"/>
      </w:pPr>
      <w:r>
        <w:t/>
      </w:r>
    </w:p>
    <w:p>
      <w:pPr>
        <w:pStyle w:val="Normal"/>
      </w:pPr>
      <w:r>
        <w:t>You can still use legacy algorithms in Ubuntu, this is not recommended but might be required to support older clients not yet compatible with the more secure new algorithms. Enabling those is done by explicitly adding them through the legacy provider alongside default. To do this, add the following line to your OpenVPN configuration.</w:t>
      </w:r>
    </w:p>
    <w:p>
      <w:pPr>
        <w:pStyle w:val="Normal"/>
      </w:pPr>
      <w:r>
        <w:t>providers legacy default</w:t>
      </w:r>
    </w:p>
    <w:p>
      <w:pPr>
        <w:pStyle w:val="Para 17"/>
      </w:pPr>
      <w:r>
        <w:t/>
      </w:r>
    </w:p>
    <w:p>
      <w:pPr>
        <w:pStyle w:val="Normal"/>
      </w:pPr>
      <w:r>
        <w:t>You can also run openvpn with the--providers argument.</w:t>
      </w:r>
    </w:p>
    <w:p>
      <w:pPr>
        <w:pStyle w:val="Normal"/>
      </w:pPr>
      <w:r>
        <w:t>openvpn --providers legacy default ...</w:t>
      </w:r>
    </w:p>
    <w:p>
      <w:pPr>
        <w:pStyle w:val="Para 17"/>
      </w:pPr>
      <w:r>
        <w:t/>
      </w:r>
    </w:p>
    <w:p>
      <w:pPr>
        <w:pStyle w:val="Para 08"/>
      </w:pPr>
      <w:r>
        <w:t>Note:</w:t>
      </w:r>
    </w:p>
    <w:p>
      <w:pPr>
        <w:pStyle w:val="Para 03"/>
      </w:pPr>
      <w:r>
        <w:t>On Ubuntu 22.04 LTS and earlier, legacy algorithms are included in OpenVPN by default.</w:t>
      </w:r>
    </w:p>
    <w:p>
      <w:pPr>
        <w:pStyle w:val="Para 17"/>
      </w:pPr>
      <w:r>
        <w:t/>
      </w:r>
    </w:p>
    <w:p>
      <w:pPr>
        <w:pStyle w:val="Para 01"/>
      </w:pPr>
      <w:r>
        <w:t>TPM 2.0</w:t>
      </w:r>
    </w:p>
    <w:p>
      <w:pPr>
        <w:pStyle w:val="Para 17"/>
      </w:pPr>
      <w:r>
        <w:t/>
      </w:r>
    </w:p>
    <w:p>
      <w:pPr>
        <w:pStyle w:val="Normal"/>
      </w:pPr>
      <w:r>
        <w:t>OpenVPN also works with Trusted Platform Module (TPM) 2.0 encryption using the tpm2 provider. Set it up by installing the tpm2-openssl package and including both legacy and tpm2 in your provider configuration.</w:t>
      </w:r>
    </w:p>
    <w:p>
      <w:pPr>
        <w:pStyle w:val="Normal"/>
      </w:pPr>
      <w:r>
        <w:t>providers legacy default tpm2</w:t>
      </w:r>
    </w:p>
    <w:p>
      <w:pPr>
        <w:pStyle w:val="Para 17"/>
      </w:pPr>
      <w:r>
        <w:t/>
      </w:r>
    </w:p>
    <w:p>
      <w:pPr>
        <w:pStyle w:val="Normal"/>
      </w:pPr>
      <w:r>
        <w:t>Alternatively, run with:</w:t>
      </w:r>
    </w:p>
    <w:p>
      <w:pPr>
        <w:pStyle w:val="Normal"/>
      </w:pPr>
      <w:r>
        <w:t>openvpn --providers legacy default tpm2 ...</w:t>
      </w:r>
    </w:p>
    <w:p>
      <w:bookmarkStart w:id="301" w:name="page_2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6" name="index-211_1.png" descr="index-211_1.png"/>
            <wp:cNvGraphicFramePr>
              <a:graphicFrameLocks noChangeAspect="1"/>
            </wp:cNvGraphicFramePr>
            <a:graphic>
              <a:graphicData uri="http://schemas.openxmlformats.org/drawingml/2006/picture">
                <pic:pic>
                  <pic:nvPicPr>
                    <pic:cNvPr id="0" name="index-211_1.png" descr="index-211_1.png"/>
                    <pic:cNvPicPr/>
                  </pic:nvPicPr>
                  <pic:blipFill>
                    <a:blip r:embed="rId220"/>
                    <a:stretch>
                      <a:fillRect/>
                    </a:stretch>
                  </pic:blipFill>
                  <pic:spPr>
                    <a:xfrm>
                      <a:off x="0" y="0"/>
                      <a:ext cx="914400" cy="266700"/>
                    </a:xfrm>
                    <a:prstGeom prst="rect">
                      <a:avLst/>
                    </a:prstGeom>
                  </pic:spPr>
                </pic:pic>
              </a:graphicData>
            </a:graphic>
          </wp:anchor>
        </w:drawing>
      </w:r>
      <w:bookmarkEnd w:id="301"/>
    </w:p>
    <w:p>
      <w:pPr>
        <w:pStyle w:val="Para 08"/>
      </w:pPr>
      <w:r>
        <w:t>Note:</w:t>
      </w:r>
    </w:p>
    <w:p>
      <w:pPr>
        <w:pStyle w:val="Para 03"/>
      </w:pPr>
      <w:r>
        <w:t>The provider order matters here as tpm2 currently requires the legacy provider to load</w:t>
      </w:r>
    </w:p>
    <w:p>
      <w:pPr>
        <w:pStyle w:val="Para 03"/>
      </w:pPr>
      <w:r>
        <w:t>first.</w:t>
      </w:r>
    </w:p>
    <w:p>
      <w:pPr>
        <w:pStyle w:val="Para 17"/>
      </w:pPr>
      <w:r>
        <w:t/>
      </w:r>
    </w:p>
    <w:p>
      <w:pPr>
        <w:pStyle w:val="Para 01"/>
      </w:pPr>
      <w:r>
        <w:t>Further reading</w:t>
      </w:r>
    </w:p>
    <w:p>
      <w:pPr>
        <w:pStyle w:val="Para 17"/>
      </w:pPr>
      <w:r>
        <w:t/>
      </w:r>
    </w:p>
    <w:p>
      <w:pPr>
        <w:pStyle w:val="Para 13"/>
      </w:pPr>
      <w:r>
        <w:rPr>
          <w:rStyle w:val="Text7"/>
        </w:rPr>
        <w:t xml:space="preserve">• </w:t>
      </w:r>
      <w:hyperlink w:anchor="page_211">
        <w:r>
          <w:rPr>
            <w:rStyle w:val="Text10"/>
          </w:rPr>
          <w:t>158</w:t>
        </w:r>
      </w:hyperlink>
      <w:r>
        <w:rPr>
          <w:rStyle w:val="Text7"/>
        </w:rPr>
        <w:t xml:space="preserve"> </w:t>
      </w:r>
      <w:hyperlink r:id="rId1162">
        <w:r>
          <w:t>EasyRSA</w:t>
        </w:r>
      </w:hyperlink>
    </w:p>
    <w:p>
      <w:pPr>
        <w:pStyle w:val="Para 13"/>
      </w:pPr>
      <w:r>
        <w:rPr>
          <w:rStyle w:val="Text7"/>
        </w:rPr>
        <w:t xml:space="preserve">• </w:t>
      </w:r>
      <w:hyperlink w:anchor="page_211">
        <w:r>
          <w:rPr>
            <w:rStyle w:val="Text10"/>
          </w:rPr>
          <w:t>159</w:t>
        </w:r>
      </w:hyperlink>
      <w:r>
        <w:rPr>
          <w:rStyle w:val="Text7"/>
        </w:rPr>
        <w:t xml:space="preserve"> </w:t>
      </w:r>
      <w:hyperlink r:id="rId1163">
        <w:r>
          <w:t>OpenVPN quick start guide</w:t>
        </w:r>
      </w:hyperlink>
    </w:p>
    <w:p>
      <w:pPr>
        <w:pStyle w:val="Para 04"/>
      </w:pPr>
      <w:r>
        <w:t xml:space="preserve">• OpenVPN as a snap </w:t>
      </w:r>
      <w:hyperlink r:id="rId1164">
        <w:r>
          <w:rPr>
            <w:rStyle w:val="Text9"/>
          </w:rPr>
          <w:t>160</w:t>
        </w:r>
      </w:hyperlink>
      <w:hyperlink r:id="rId1164">
        <w:r>
          <w:rPr>
            <w:rStyle w:val="Text1"/>
          </w:rPr>
          <w:t xml:space="preserve"> easy-openvpn</w:t>
        </w:r>
      </w:hyperlink>
    </w:p>
    <w:p>
      <w:pPr>
        <w:pStyle w:val="Para 13"/>
      </w:pPr>
      <w:r>
        <w:rPr>
          <w:rStyle w:val="Text7"/>
        </w:rPr>
        <w:t xml:space="preserve">• Debian’s </w:t>
      </w:r>
      <w:hyperlink r:id="rId1165">
        <w:r>
          <w:rPr>
            <w:rStyle w:val="Text10"/>
          </w:rPr>
          <w:t>161</w:t>
        </w:r>
      </w:hyperlink>
      <w:hyperlink r:id="rId1165">
        <w:r>
          <w:t xml:space="preserve"> OpenVPN Guide</w:t>
        </w:r>
      </w:hyperlink>
    </w:p>
    <w:p>
      <w:pPr>
        <w:pStyle w:val="Para 17"/>
      </w:pPr>
      <w:r>
        <w:t/>
      </w:r>
    </w:p>
    <w:p>
      <w:pPr>
        <w:pStyle w:val="Para 01"/>
      </w:pPr>
      <w:r>
        <w:t>WireGuard VPN</w:t>
      </w:r>
    </w:p>
    <w:p>
      <w:pPr>
        <w:pStyle w:val="Para 17"/>
      </w:pPr>
      <w:r>
        <w:t/>
      </w:r>
    </w:p>
    <w:p>
      <w:pPr>
        <w:pStyle w:val="Normal"/>
      </w:pPr>
      <w:r>
        <w:t>WireGuard is a straightforward, modern, cross-platform VPN implementation. It is usually used to either connect a single system to a remote site (“peer-to-site”) or to connect two distinct networks over the internet (“site-to-site”).</w:t>
      </w:r>
    </w:p>
    <w:p>
      <w:pPr>
        <w:pStyle w:val="Para 17"/>
      </w:pPr>
      <w:r>
        <w:t/>
      </w:r>
    </w:p>
    <w:p>
      <w:pPr>
        <w:pStyle w:val="Para 01"/>
      </w:pPr>
      <w:r>
        <w:t>WireGuard VPN peer-to-site</w:t>
      </w:r>
    </w:p>
    <w:p>
      <w:pPr>
        <w:pStyle w:val="Para 17"/>
      </w:pPr>
      <w:r>
        <w:t/>
      </w:r>
    </w:p>
    <w:p>
      <w:pPr>
        <w:pStyle w:val="Normal"/>
      </w:pPr>
      <w:r>
        <w:t>To help understand the WireGuard concepts, we will show some practical setups that hope-fully match many scenarios out there.</w:t>
      </w:r>
    </w:p>
    <w:p>
      <w:pPr>
        <w:pStyle w:val="Normal"/>
      </w:pPr>
      <w:r>
        <w:t>This is probably the most common setup for a VPN: connecting a single system to a remote site, and getting access to the remote network “as if you were there”.</w:t>
      </w:r>
    </w:p>
    <w:p>
      <w:pPr>
        <w:pStyle w:val="Normal"/>
      </w:pPr>
      <w:r>
        <w:t>Where to place the remote WireGuard endpoint in the network will vary a lot depending on the topology. It can be in a firewall box, the router itself, or some random system in the middle of the network.</w:t>
      </w:r>
    </w:p>
    <w:p>
      <w:pPr>
        <w:pStyle w:val="Normal"/>
      </w:pPr>
      <w:r>
        <w:t>Here we will cover a simpler case more resembling what a home network could be like:</w:t>
      </w:r>
    </w:p>
    <w:p>
      <w:pPr>
        <w:pStyle w:val="Normal"/>
      </w:pPr>
      <w:r>
        <w:t>This diagram represents a typical simple home network setup. You have a router/modem, usually provided by the ISP (Internet Service Provider), and some internal devices like a Rasp-berry PI perhaps, a NAS (Network Attached Storage), and some other device.</w:t>
      </w:r>
    </w:p>
    <w:p>
      <w:pPr>
        <w:pStyle w:val="Normal"/>
      </w:pPr>
      <w:r>
        <w:t xml:space="preserve">There are basically two approaches that can be taken here: install WireGuard </w:t>
      </w:r>
      <w:hyperlink w:anchor="page_212">
        <w:r>
          <w:rPr>
            <w:rStyle w:val="Text2"/>
          </w:rPr>
          <w:t>on the router</w:t>
        </w:r>
      </w:hyperlink>
    </w:p>
    <w:p>
      <w:pPr>
        <w:pStyle w:val="Para 20"/>
      </w:pPr>
      <w:r>
        <w:rPr>
          <w:rStyle w:val="Text4"/>
        </w:rPr>
        <w:t xml:space="preserve">(page 211), or on </w:t>
      </w:r>
      <w:hyperlink w:anchor="page_216">
        <w:r>
          <w:t>another system in the home network</w:t>
        </w:r>
      </w:hyperlink>
      <w:r>
        <w:rPr>
          <w:rStyle w:val="Text4"/>
        </w:rPr>
        <w:t xml:space="preserve"> (page 215).</w:t>
      </w:r>
    </w:p>
    <w:p>
      <w:pPr>
        <w:pStyle w:val="Normal"/>
      </w:pPr>
      <w:r>
        <w:t>Note that in this scenario the “fixed” side, the home network, normally won’t have a Wire-Guard Endpoint configured, as the peer is typically “on the road” and will have a dynamic IP address.</w:t>
      </w:r>
    </w:p>
    <w:p>
      <w:pPr>
        <w:pStyle w:val="Para 05"/>
      </w:pPr>
      <w:r>
        <w:rPr>
          <w:rStyle w:val="Text5"/>
        </w:rPr>
        <w:t>158</w:t>
      </w:r>
      <w:r>
        <w:rPr>
          <w:rStyle w:val="Text8"/>
        </w:rPr>
        <w:t xml:space="preserve"> </w:t>
      </w:r>
      <w:r>
        <w:t>https://github.com/OpenVPN/easy-rsa/blob/master/README.quickstart.md</w:t>
      </w:r>
    </w:p>
    <w:p>
      <w:pPr>
        <w:pStyle w:val="Para 05"/>
      </w:pPr>
      <w:r>
        <w:rPr>
          <w:rStyle w:val="Text5"/>
        </w:rPr>
        <w:t>159</w:t>
      </w:r>
      <w:r>
        <w:rPr>
          <w:rStyle w:val="Text8"/>
        </w:rPr>
        <w:t xml:space="preserve"> </w:t>
      </w:r>
      <w:r>
        <w:t>https://openvpn.net/as-docs/getting-started.html</w:t>
      </w:r>
    </w:p>
    <w:p>
      <w:pPr>
        <w:pStyle w:val="Para 05"/>
      </w:pPr>
      <w:r>
        <w:rPr>
          <w:rStyle w:val="Text5"/>
        </w:rPr>
        <w:t>160</w:t>
      </w:r>
      <w:r>
        <w:rPr>
          <w:rStyle w:val="Text8"/>
        </w:rPr>
        <w:t xml:space="preserve"> </w:t>
      </w:r>
      <w:r>
        <w:t>https://snapcraft.io/easy-openvpn-server</w:t>
      </w:r>
    </w:p>
    <w:p>
      <w:pPr>
        <w:pStyle w:val="Para 05"/>
      </w:pPr>
      <w:r>
        <w:rPr>
          <w:rStyle w:val="Text5"/>
        </w:rPr>
        <w:t>161</w:t>
      </w:r>
      <w:r>
        <w:rPr>
          <w:rStyle w:val="Text8"/>
        </w:rPr>
        <w:t xml:space="preserve"> </w:t>
      </w:r>
      <w:r>
        <w:t>https://wiki.debian.org/OpenVPN</w:t>
      </w:r>
    </w:p>
    <w:p>
      <w:bookmarkStart w:id="302" w:name="page_2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7" name="index-212_1.png" descr="index-212_1.png"/>
            <wp:cNvGraphicFramePr>
              <a:graphicFrameLocks noChangeAspect="1"/>
            </wp:cNvGraphicFramePr>
            <a:graphic>
              <a:graphicData uri="http://schemas.openxmlformats.org/drawingml/2006/picture">
                <pic:pic>
                  <pic:nvPicPr>
                    <pic:cNvPr id="0" name="index-212_1.png" descr="index-212_1.png"/>
                    <pic:cNvPicPr/>
                  </pic:nvPicPr>
                  <pic:blipFill>
                    <a:blip r:embed="rId221"/>
                    <a:stretch>
                      <a:fillRect/>
                    </a:stretch>
                  </pic:blipFill>
                  <pic:spPr>
                    <a:xfrm>
                      <a:off x="0" y="0"/>
                      <a:ext cx="914400" cy="266700"/>
                    </a:xfrm>
                    <a:prstGeom prst="rect">
                      <a:avLst/>
                    </a:prstGeom>
                  </pic:spPr>
                </pic:pic>
              </a:graphicData>
            </a:graphic>
          </wp:anchor>
        </w:drawing>
      </w:r>
      <w:bookmarkEnd w:id="302"/>
    </w:p>
    <w:p>
      <w:pPr>
        <w:pStyle w:val="Para 01"/>
      </w:pPr>
      <w:r>
        <w:t>WireGuard VPN peer-to-site (on router)</w:t>
      </w:r>
    </w:p>
    <w:p>
      <w:pPr>
        <w:pStyle w:val="Para 17"/>
      </w:pPr>
      <w:r>
        <w:t/>
      </w:r>
    </w:p>
    <w:p>
      <w:pPr>
        <w:pStyle w:val="Normal"/>
      </w:pPr>
      <w:r>
        <w:t>In this diagram, we are depicting a home network with some devices and a router where we can install WireGuard.</w:t>
      </w:r>
    </w:p>
    <w:p>
      <w:pPr>
        <w:pStyle w:val="Para 33"/>
      </w:pPr>
      <w:r>
        <w:t>public internet</w:t>
        <w:t xml:space="preserve"> </w:t>
        <w:t>┌─── wg0 10.10.11.1/24</w:t>
      </w:r>
    </w:p>
    <w:p>
      <w:pPr>
        <w:pStyle w:val="Normal"/>
      </w:pPr>
      <w:r>
        <w:t>10.10.11.2/24</w:t>
        <w:t xml:space="preserve"> </w:t>
        <w:t>│</w:t>
        <w:t xml:space="preserve"> </w:t>
        <w:t>VPN network</w:t>
      </w:r>
    </w:p>
    <w:p>
      <w:pPr>
        <w:pStyle w:val="Para 06"/>
      </w:pPr>
      <w:r>
        <w:t>home0│</w:t>
        <w:t xml:space="preserve"> </w:t>
        <w:t>xxxxxx</w:t>
        <w:t xml:space="preserve"> </w:t>
        <w:t>ppp0 ┌───────┴┐</w:t>
      </w:r>
    </w:p>
    <w:p>
      <w:pPr>
        <w:pStyle w:val="Para 11"/>
      </w:pPr>
      <w:r>
        <w:t>┌─┴──┐</w:t>
        <w:t xml:space="preserve"> </w:t>
        <w:t>xx</w:t>
        <w:t xml:space="preserve"> </w:t>
        <w:t>xxxxx</w:t>
        <w:t xml:space="preserve"> </w:t>
        <w:t>──────┤ router │</w:t>
        <w:t xml:space="preserve"> </w:t>
        <w:t>│</w:t>
        <w:t xml:space="preserve"> </w:t>
        <w:t>├─wlan0</w:t>
        <w:t xml:space="preserve"> </w:t>
        <w:t>xx</w:t>
        <w:t xml:space="preserve"> </w:t>
        <w:t>xx</w:t>
        <w:t xml:space="preserve"> </w:t>
        <w:t>└───┬────┘</w:t>
        <w:t xml:space="preserve"> </w:t>
        <w:t>home network, .home domain</w:t>
        <w:t xml:space="preserve"> </w:t>
        <w:t>│</w:t>
        <w:t xml:space="preserve"> </w:t>
        <w:t>│</w:t>
        <w:t xml:space="preserve"> </w:t>
        <w:t>xx</w:t>
        <w:t xml:space="preserve"> </w:t>
        <w:t>x</w:t>
        <w:t xml:space="preserve"> </w:t>
        <w:t>│.1</w:t>
        <w:t xml:space="preserve"> </w:t>
        <w:t>10.10.10.0/24</w:t>
        <w:t xml:space="preserve"> </w:t>
        <w:t>│</w:t>
        <w:t xml:space="preserve"> </w:t>
        <w:t>│</w:t>
        <w:t xml:space="preserve"> </w:t>
        <w:t>xxx</w:t>
        <w:t xml:space="preserve"> </w:t>
        <w:t>xxx</w:t>
        <w:t xml:space="preserve"> </w:t>
        <w:t>└───┬─────────┬─────────┐</w:t>
        <w:t xml:space="preserve"> </w:t>
        <w:t>└────┘</w:t>
        <w:t xml:space="preserve"> </w:t>
        <w:t>xxxxxx</w:t>
        <w:t xml:space="preserve"> </w:t>
        <w:t>│</w:t>
        <w:t xml:space="preserve"> </w:t>
        <w:t>│</w:t>
        <w:t xml:space="preserve"> </w:t>
        <w:t>│</w:t>
      </w:r>
    </w:p>
    <w:p>
      <w:pPr>
        <w:pStyle w:val="Normal"/>
      </w:pPr>
      <w:r>
        <w:t>Laptop in</w:t>
        <w:t xml:space="preserve"> </w:t>
        <w:t>┌─┴─┐</w:t>
        <w:t xml:space="preserve"> </w:t>
        <w:t>┌─┴─┐</w:t>
        <w:t xml:space="preserve"> </w:t>
        <w:t>┌─┴─┐</w:t>
        <w:t xml:space="preserve"> </w:t>
        <w:t>Coffee shop</w:t>
        <w:t xml:space="preserve"> </w:t>
        <w:t>│</w:t>
        <w:t xml:space="preserve"> </w:t>
        <w:t>│</w:t>
        <w:t xml:space="preserve"> </w:t>
        <w:t>│</w:t>
        <w:t xml:space="preserve"> </w:t>
        <w:t>│</w:t>
        <w:t xml:space="preserve"> </w:t>
        <w:t>│</w:t>
        <w:t xml:space="preserve"> </w:t>
        <w:t>│</w:t>
      </w:r>
    </w:p>
    <w:p>
      <w:pPr>
        <w:pStyle w:val="Para 21"/>
      </w:pPr>
      <w:r>
        <w:t>│pi4│</w:t>
        <w:t xml:space="preserve"> </w:t>
        <w:t>│NAS│</w:t>
        <w:t xml:space="preserve"> </w:t>
        <w:t>│...│</w:t>
        <w:t xml:space="preserve"> </w:t>
        <w:t>│</w:t>
        <w:t xml:space="preserve"> </w:t>
        <w:t>│</w:t>
        <w:t xml:space="preserve"> </w:t>
        <w:t>│</w:t>
        <w:t xml:space="preserve"> </w:t>
        <w:t>│</w:t>
        <w:t xml:space="preserve"> </w:t>
        <w:t>│</w:t>
        <w:t xml:space="preserve"> </w:t>
        <w:t>│</w:t>
        <w:t xml:space="preserve"> </w:t>
        <w:t>└───┘</w:t>
        <w:t xml:space="preserve"> </w:t>
        <w:t>└───┘</w:t>
        <w:t xml:space="preserve"> </w:t>
        <w:t>└───┘</w:t>
      </w:r>
    </w:p>
    <w:p>
      <w:pPr>
        <w:pStyle w:val="Para 17"/>
      </w:pPr>
      <w:r>
        <w:t/>
      </w:r>
    </w:p>
    <w:p>
      <w:pPr>
        <w:pStyle w:val="Normal"/>
      </w:pPr>
      <w:r>
        <w:t>Of course, this setup is only possible if you can install software on the router. Most of the time, when it’s provided by your ISP, you can’t. But some ISPs allow their device to be put into a bridge mode, in which case you can use your own device (a computer, a Raspberry PI, or something else) as the routing device.</w:t>
      </w:r>
    </w:p>
    <w:p>
      <w:pPr>
        <w:pStyle w:val="Normal"/>
      </w:pPr>
      <w:r>
        <w:t>Since the router is the default gateway of the network already, this means you can create a whole new network for your VPN users. You also won’t have to create any (D)NAT rules since the router is directly reachable from the Internet.</w:t>
      </w:r>
    </w:p>
    <w:p>
      <w:pPr>
        <w:pStyle w:val="Normal"/>
      </w:pPr>
      <w:r>
        <w:t>Let’s define some addresses, networks, and terms used in this guide:</w:t>
      </w:r>
    </w:p>
    <w:p>
      <w:pPr>
        <w:pStyle w:val="Para 04"/>
      </w:pPr>
      <w:r>
        <w:t xml:space="preserve">• </w:t>
      </w:r>
      <w:r>
        <w:rPr>
          <w:rStyle w:val="Text0"/>
        </w:rPr>
        <w:t>laptop in coffee shop</w:t>
      </w:r>
      <w:r>
        <w:t>: just your normal user at a coffee shop, using the provided Wi-</w:t>
      </w:r>
    </w:p>
    <w:p>
      <w:pPr>
        <w:pStyle w:val="Para 02"/>
      </w:pPr>
      <w:r>
        <w:t xml:space="preserve">Fi access to connect to their home network. This will be one of our </w:t>
      </w:r>
      <w:r>
        <w:rPr>
          <w:rStyle w:val="Text0"/>
        </w:rPr>
        <w:t>peers</w:t>
      </w:r>
      <w:r>
        <w:t xml:space="preserve"> in the VPN setup.</w:t>
      </w:r>
    </w:p>
    <w:p>
      <w:pPr>
        <w:pStyle w:val="Para 04"/>
      </w:pPr>
      <w:r>
        <w:t xml:space="preserve">• </w:t>
      </w:r>
      <w:r>
        <w:rPr>
          <w:rStyle w:val="Text0"/>
        </w:rPr>
        <w:t>home0</w:t>
      </w:r>
      <w:r>
        <w:t>: this will be the WireGuard interface on the laptop. It’s called home0 to convey</w:t>
      </w:r>
    </w:p>
    <w:p>
      <w:pPr>
        <w:pStyle w:val="Para 02"/>
      </w:pPr>
      <w:r>
        <w:t xml:space="preserve">that it is used to connect to the </w:t>
      </w:r>
      <w:r>
        <w:rPr>
          <w:rStyle w:val="Text0"/>
        </w:rPr>
        <w:t>home</w:t>
      </w:r>
      <w:r>
        <w:t xml:space="preserve"> network.</w:t>
      </w:r>
    </w:p>
    <w:p>
      <w:pPr>
        <w:pStyle w:val="Para 04"/>
      </w:pPr>
      <w:r>
        <w:t xml:space="preserve">• </w:t>
      </w:r>
      <w:r>
        <w:rPr>
          <w:rStyle w:val="Text0"/>
        </w:rPr>
        <w:t>router</w:t>
      </w:r>
      <w:r>
        <w:t>: the existing router at the home network. It has a public interface ppp0 that has</w:t>
      </w:r>
    </w:p>
    <w:p>
      <w:pPr>
        <w:pStyle w:val="Para 02"/>
      </w:pPr>
      <w:r>
        <w:t>a routable but dynamic IPv4 address (not CGNAT), and an internal interface at 10.10. 10.1/24 which is the default gateway for the home network.</w:t>
      </w:r>
    </w:p>
    <w:p>
      <w:pPr>
        <w:pStyle w:val="Para 04"/>
      </w:pPr>
      <w:r>
        <w:t xml:space="preserve">• </w:t>
      </w:r>
      <w:r>
        <w:rPr>
          <w:rStyle w:val="Text0"/>
        </w:rPr>
        <w:t>home network</w:t>
      </w:r>
      <w:r>
        <w:t>: the existing home network (10.10.10.0/24 in this example), with exist-</w:t>
      </w:r>
    </w:p>
    <w:p>
      <w:pPr>
        <w:pStyle w:val="Para 02"/>
      </w:pPr>
      <w:r>
        <w:t>ing devices that the user wishes to access remotely over the WireGuard VPN.</w:t>
      </w:r>
    </w:p>
    <w:p>
      <w:pPr>
        <w:pStyle w:val="Para 04"/>
      </w:pPr>
      <w:r>
        <w:t xml:space="preserve">• </w:t>
      </w:r>
      <w:r>
        <w:rPr>
          <w:rStyle w:val="Text0"/>
        </w:rPr>
        <w:t>10.10.11.0/24</w:t>
      </w:r>
      <w:r>
        <w:t>: the WireGuard VPN network. This is a whole new network that was</w:t>
      </w:r>
    </w:p>
    <w:p>
      <w:pPr>
        <w:pStyle w:val="Para 02"/>
      </w:pPr>
      <w:r>
        <w:t>created just for the VPN users.</w:t>
      </w:r>
    </w:p>
    <w:p>
      <w:pPr>
        <w:pStyle w:val="Para 04"/>
      </w:pPr>
      <w:r>
        <w:t xml:space="preserve">• </w:t>
      </w:r>
      <w:r>
        <w:rPr>
          <w:rStyle w:val="Text0"/>
        </w:rPr>
        <w:t>wg0</w:t>
      </w:r>
      <w:r>
        <w:t xml:space="preserve"> on the </w:t>
      </w:r>
      <w:r>
        <w:rPr>
          <w:rStyle w:val="Text0"/>
        </w:rPr>
        <w:t>router</w:t>
      </w:r>
      <w:r>
        <w:t>: this is the WireGuard interface that we will bring up on the router,</w:t>
      </w:r>
    </w:p>
    <w:p>
      <w:pPr>
        <w:pStyle w:val="Para 02"/>
      </w:pPr>
      <w:r>
        <w:t>at the 10.10.11.1/24 address. It is the gateway for the 10.10.11.0/24 VPN network.</w:t>
      </w:r>
    </w:p>
    <w:p>
      <w:pPr>
        <w:pStyle w:val="Normal"/>
      </w:pPr>
      <w:r>
        <w:t xml:space="preserve">With this topology, if, say, the NAS wants to send traffic to 10.10.11.2/24, it will send it to the default gateway (since the NAS has no specific route to 10.10.11.0/24), and the gateway will know how to send it to 10.10.11.2/24 because it has the wg0 interface on that network. </w:t>
      </w:r>
      <w:r>
        <w:rPr>
          <w:rStyle w:val="Text0"/>
        </w:rPr>
        <w:t>Configuration</w:t>
      </w:r>
    </w:p>
    <w:p>
      <w:bookmarkStart w:id="303" w:name="page_2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8" name="index-213_1.png" descr="index-213_1.png"/>
            <wp:cNvGraphicFramePr>
              <a:graphicFrameLocks noChangeAspect="1"/>
            </wp:cNvGraphicFramePr>
            <a:graphic>
              <a:graphicData uri="http://schemas.openxmlformats.org/drawingml/2006/picture">
                <pic:pic>
                  <pic:nvPicPr>
                    <pic:cNvPr id="0" name="index-213_1.png" descr="index-213_1.png"/>
                    <pic:cNvPicPr/>
                  </pic:nvPicPr>
                  <pic:blipFill>
                    <a:blip r:embed="rId222"/>
                    <a:stretch>
                      <a:fillRect/>
                    </a:stretch>
                  </pic:blipFill>
                  <pic:spPr>
                    <a:xfrm>
                      <a:off x="0" y="0"/>
                      <a:ext cx="914400" cy="266700"/>
                    </a:xfrm>
                    <a:prstGeom prst="rect">
                      <a:avLst/>
                    </a:prstGeom>
                  </pic:spPr>
                </pic:pic>
              </a:graphicData>
            </a:graphic>
          </wp:anchor>
        </w:drawing>
      </w:r>
      <w:bookmarkEnd w:id="303"/>
    </w:p>
    <w:p>
      <w:pPr>
        <w:pStyle w:val="Para 17"/>
      </w:pPr>
      <w:r>
        <w:t/>
      </w:r>
    </w:p>
    <w:p>
      <w:pPr>
        <w:pStyle w:val="Normal"/>
      </w:pPr>
      <w:r>
        <w:t>First, we need to create keys for the peers of this setup. We need one pair of keys for the laptop, and another for the home router:</w:t>
      </w:r>
    </w:p>
    <w:p>
      <w:pPr>
        <w:pStyle w:val="Normal"/>
      </w:pPr>
      <w:r>
        <w:t>$</w:t>
        <w:t xml:space="preserve"> </w:t>
        <w:t>umask</w:t>
        <w:t xml:space="preserve"> </w:t>
        <w:t>077</w:t>
      </w:r>
    </w:p>
    <w:p>
      <w:pPr>
        <w:pStyle w:val="Normal"/>
      </w:pPr>
      <w:r>
        <w:t>$ wg genkey &gt; laptop-private.key</w:t>
      </w:r>
    </w:p>
    <w:p>
      <w:pPr>
        <w:pStyle w:val="Normal"/>
      </w:pPr>
      <w:r>
        <w:t>$ wg pubkey &lt; laptop-private.key &gt; laptop-public.key</w:t>
      </w:r>
    </w:p>
    <w:p>
      <w:pPr>
        <w:pStyle w:val="Normal"/>
      </w:pPr>
      <w:r>
        <w:t>$ wg genkey &gt; router-private.key</w:t>
      </w:r>
    </w:p>
    <w:p>
      <w:pPr>
        <w:pStyle w:val="Normal"/>
      </w:pPr>
      <w:r>
        <w:t>$ wg pubkey &lt; router-private.key &gt; router-public.key</w:t>
      </w:r>
    </w:p>
    <w:p>
      <w:pPr>
        <w:pStyle w:val="Para 17"/>
      </w:pPr>
      <w:r>
        <w:t/>
      </w:r>
    </w:p>
    <w:p>
      <w:pPr>
        <w:pStyle w:val="Normal"/>
      </w:pPr>
      <w:r>
        <w:t>Let’s create the router wg0 interface configuration file. The file will be /etc/wireguard/wg0. conf and have these contents:</w:t>
      </w:r>
    </w:p>
    <w:p>
      <w:pPr>
        <w:pStyle w:val="Normal"/>
      </w:pPr>
      <w:r>
        <w:t>[Interface]</w:t>
      </w:r>
    </w:p>
    <w:p>
      <w:pPr>
        <w:pStyle w:val="Normal"/>
      </w:pPr>
      <w:r>
        <w:t>PrivateKey = &lt;contents-of-router-private.key&gt;</w:t>
      </w:r>
    </w:p>
    <w:p>
      <w:pPr>
        <w:pStyle w:val="Normal"/>
      </w:pPr>
      <w:r>
        <w:t>ListenPort = 51000</w:t>
      </w:r>
    </w:p>
    <w:p>
      <w:pPr>
        <w:pStyle w:val="Normal"/>
      </w:pPr>
      <w:r>
        <w:t>Address = 10.10.11.1/24</w:t>
      </w:r>
    </w:p>
    <w:p>
      <w:pPr>
        <w:pStyle w:val="Normal"/>
      </w:pPr>
      <w:r>
        <w:t>[Peer]</w:t>
      </w:r>
    </w:p>
    <w:p>
      <w:pPr>
        <w:pStyle w:val="Normal"/>
      </w:pPr>
      <w:r>
        <w:t>PublicKey = &lt;contents-of-laptop-public.key&gt;</w:t>
      </w:r>
    </w:p>
    <w:p>
      <w:pPr>
        <w:pStyle w:val="Normal"/>
      </w:pPr>
      <w:r>
        <w:t>AllowedIPs = 10.10.11.2</w:t>
      </w:r>
    </w:p>
    <w:p>
      <w:pPr>
        <w:pStyle w:val="Para 17"/>
      </w:pPr>
      <w:r>
        <w:t/>
      </w:r>
    </w:p>
    <w:p>
      <w:pPr>
        <w:pStyle w:val="Normal"/>
      </w:pPr>
      <w:r>
        <w:t>There is no Endpoint configured for the laptop peer, because we don’t know what IP address it will have beforehand, nor will that IP address be always the same. This laptop could be connecting from a coffee shop’s free Wi-Fi, an airport lounge, or a friend’s house.</w:t>
      </w:r>
    </w:p>
    <w:p>
      <w:pPr>
        <w:pStyle w:val="Normal"/>
      </w:pPr>
      <w:r>
        <w:t xml:space="preserve">Not having an endpoint here also means that the home network side will never be able to </w:t>
      </w:r>
      <w:r>
        <w:rPr>
          <w:rStyle w:val="Text3"/>
        </w:rPr>
        <w:t>initiate</w:t>
      </w:r>
      <w:r>
        <w:t xml:space="preserve"> the VPN connection. It will sit and wait, and can only </w:t>
      </w:r>
      <w:r>
        <w:rPr>
          <w:rStyle w:val="Text3"/>
        </w:rPr>
        <w:t>respond</w:t>
      </w:r>
      <w:r>
        <w:t xml:space="preserve"> to VPN handshake re-quests, at which time it will learn the endpoint from the peer and use that until it changes (i.e. when the peer reconnects from a different site) or it times out.</w:t>
      </w:r>
    </w:p>
    <w:p>
      <w:pPr>
        <w:pStyle w:val="Para 08"/>
      </w:pPr>
      <w:r>
        <w:t>Important:</w:t>
      </w:r>
    </w:p>
    <w:p>
      <w:pPr>
        <w:pStyle w:val="Para 17"/>
      </w:pPr>
      <w:r>
        <w:t/>
      </w:r>
    </w:p>
    <w:p>
      <w:pPr>
        <w:pStyle w:val="Para 03"/>
      </w:pPr>
      <w:r>
        <w:t xml:space="preserve">This configuration file contains a secret: </w:t>
      </w:r>
      <w:r>
        <w:rPr>
          <w:rStyle w:val="Text0"/>
        </w:rPr>
        <w:t>PrivateKey</w:t>
      </w:r>
      <w:r>
        <w:t>. Make sure to adjust its permissions</w:t>
      </w:r>
    </w:p>
    <w:p>
      <w:pPr>
        <w:pStyle w:val="Para 03"/>
      </w:pPr>
      <w:r>
        <w:t>accordingly, as follows:</w:t>
      </w:r>
    </w:p>
    <w:p>
      <w:pPr>
        <w:pStyle w:val="Para 03"/>
      </w:pPr>
      <w:r>
        <w:t>sudo chmod</w:t>
        <w:t xml:space="preserve"> </w:t>
        <w:t>0600</w:t>
        <w:t xml:space="preserve"> </w:t>
        <w:t>/</w:t>
        <w:t>etc</w:t>
        <w:t>/</w:t>
        <w:t>wireguard</w:t>
        <w:t>/</w:t>
        <w:t>wg0</w:t>
        <w:t>.</w:t>
        <w:t>conf</w:t>
      </w:r>
    </w:p>
    <w:p>
      <w:pPr>
        <w:pStyle w:val="Para 03"/>
      </w:pPr>
      <w:r>
        <w:t>sudo chown root:</w:t>
        <w:t xml:space="preserve"> </w:t>
        <w:t>/</w:t>
        <w:t>etc</w:t>
        <w:t>/</w:t>
        <w:t>wireguard</w:t>
        <w:t>/</w:t>
        <w:t>wg0</w:t>
        <w:t>.</w:t>
        <w:t>conf</w:t>
      </w:r>
    </w:p>
    <w:p>
      <w:pPr>
        <w:pStyle w:val="Para 17"/>
      </w:pPr>
      <w:r>
        <w:t/>
      </w:r>
    </w:p>
    <w:p>
      <w:pPr>
        <w:pStyle w:val="Normal"/>
      </w:pPr>
      <w:r>
        <w:t>When activated, this will bring up a wg0 interface with the address 10.10.11.1/24, listening on port 51000/udp, and add a route for the 10.10.11.0/24 network using that interface.</w:t>
      </w:r>
    </w:p>
    <w:p>
      <w:pPr>
        <w:pStyle w:val="Normal"/>
      </w:pPr>
      <w:r>
        <w:t>The [Peer] section is identifying a peer via its public key, and listing who can connect from that peer. This AllowedIPs setting has two meanings:</w:t>
      </w:r>
    </w:p>
    <w:p>
      <w:pPr>
        <w:pStyle w:val="Para 04"/>
      </w:pPr>
      <w:r>
        <w:t>• When sending packets, the AllowedIPs list serves as a routing table, indicating that this</w:t>
      </w:r>
    </w:p>
    <w:p>
      <w:pPr>
        <w:pStyle w:val="Para 02"/>
      </w:pPr>
      <w:r>
        <w:t>peer’s public key should be used to encrypt the traffic.</w:t>
      </w:r>
    </w:p>
    <w:p>
      <w:pPr>
        <w:pStyle w:val="Para 04"/>
      </w:pPr>
      <w:r>
        <w:t>• When receiving packets, AllowedIPs behaves like an access control list. After decryp-</w:t>
      </w:r>
    </w:p>
    <w:p>
      <w:pPr>
        <w:pStyle w:val="Para 02"/>
      </w:pPr>
      <w:r>
        <w:t>tion, the traffic is only allowed if it matches the list.</w:t>
      </w:r>
    </w:p>
    <w:p>
      <w:pPr>
        <w:pStyle w:val="Normal"/>
      </w:pPr>
      <w:r>
        <w:t xml:space="preserve">Finally, the ListenPort parameter specifies the </w:t>
      </w:r>
      <w:r>
        <w:rPr>
          <w:rStyle w:val="Text0"/>
        </w:rPr>
        <w:t>UDP</w:t>
      </w:r>
      <w:r>
        <w:t xml:space="preserve"> port on which WireGuard will listen for traffic. This port will have to be allowed in the firewall rules of the router. There is neither a default nor a standard port for WireGuard, so you can pick any value you prefer.</w:t>
      </w:r>
    </w:p>
    <w:p>
      <w:bookmarkStart w:id="304" w:name="page_2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19"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223"/>
                    <a:stretch>
                      <a:fillRect/>
                    </a:stretch>
                  </pic:blipFill>
                  <pic:spPr>
                    <a:xfrm>
                      <a:off x="0" y="0"/>
                      <a:ext cx="914400" cy="266700"/>
                    </a:xfrm>
                    <a:prstGeom prst="rect">
                      <a:avLst/>
                    </a:prstGeom>
                  </pic:spPr>
                </pic:pic>
              </a:graphicData>
            </a:graphic>
          </wp:anchor>
        </w:drawing>
      </w:r>
      <w:bookmarkEnd w:id="304"/>
    </w:p>
    <w:p>
      <w:pPr>
        <w:pStyle w:val="Normal"/>
      </w:pPr>
      <w:r>
        <w:t>Now let’s create a similar configuration on the other peer, the laptop. Here the interface is called home0, so the configuration file is /etc/wireguard/home0.conf:</w:t>
      </w:r>
    </w:p>
    <w:p>
      <w:pPr>
        <w:pStyle w:val="Normal"/>
      </w:pPr>
      <w:r>
        <w:t>[Interface]</w:t>
      </w:r>
    </w:p>
    <w:p>
      <w:pPr>
        <w:pStyle w:val="Normal"/>
      </w:pPr>
      <w:r>
        <w:t>PrivateKey</w:t>
        <w:t xml:space="preserve"> </w:t>
        <w:t>= &lt;</w:t>
        <w:t>contents</w:t>
        <w:t>-</w:t>
        <w:t>of</w:t>
        <w:t>-</w:t>
        <w:t>laptop</w:t>
        <w:t>-</w:t>
        <w:t>private</w:t>
        <w:t>.</w:t>
        <w:t>key</w:t>
        <w:t>&gt;</w:t>
        <w:t xml:space="preserve"> </w:t>
        <w:t>ListenPort</w:t>
        <w:t xml:space="preserve"> </w:t>
        <w:t>=</w:t>
        <w:t xml:space="preserve"> </w:t>
        <w:t>51000</w:t>
      </w:r>
    </w:p>
    <w:p>
      <w:pPr>
        <w:pStyle w:val="Normal"/>
      </w:pPr>
      <w:r>
        <w:t>Address</w:t>
        <w:t xml:space="preserve"> </w:t>
        <w:t>=</w:t>
        <w:t xml:space="preserve"> </w:t>
        <w:t>10.10.11.2</w:t>
        <w:t>/</w:t>
        <w:t>24</w:t>
      </w:r>
    </w:p>
    <w:p>
      <w:pPr>
        <w:pStyle w:val="Normal"/>
      </w:pPr>
      <w:r>
        <w:t>[Peer]</w:t>
      </w:r>
    </w:p>
    <w:p>
      <w:pPr>
        <w:pStyle w:val="Normal"/>
      </w:pPr>
      <w:r>
        <w:t>PublicKey</w:t>
        <w:t xml:space="preserve"> </w:t>
        <w:t>= &lt;</w:t>
        <w:t>contents</w:t>
        <w:t>-</w:t>
        <w:t>of</w:t>
        <w:t>-</w:t>
        <w:t>router</w:t>
        <w:t>-</w:t>
        <w:t>public</w:t>
        <w:t>.</w:t>
        <w:t>key</w:t>
        <w:t>&gt;</w:t>
        <w:t xml:space="preserve"> </w:t>
        <w:t>Endpoint</w:t>
        <w:t xml:space="preserve"> </w:t>
        <w:t>= &lt;</w:t>
        <w:t>home</w:t>
        <w:t>-</w:t>
        <w:t>ppp0</w:t>
        <w:t>-</w:t>
        <w:t>IP</w:t>
        <w:t>-</w:t>
      </w:r>
      <w:r>
        <w:rPr>
          <w:rStyle w:val="Text0"/>
        </w:rPr>
        <w:t>or</w:t>
      </w:r>
      <w:r>
        <w:t>-</w:t>
        <w:t>hostname</w:t>
        <w:t>&gt;</w:t>
        <w:t>:</w:t>
        <w:t>51000</w:t>
        <w:t xml:space="preserve"> </w:t>
        <w:t>AllowedIPs</w:t>
        <w:t xml:space="preserve"> </w:t>
        <w:t>=</w:t>
        <w:t xml:space="preserve"> </w:t>
        <w:t>10.10.11.0</w:t>
        <w:t>/</w:t>
        <w:t>24</w:t>
        <w:t>,</w:t>
        <w:t>10.10.10.0</w:t>
        <w:t>/</w:t>
        <w:t>24</w:t>
      </w:r>
    </w:p>
    <w:p>
      <w:pPr>
        <w:pStyle w:val="Para 17"/>
      </w:pPr>
      <w:r>
        <w:t/>
      </w:r>
    </w:p>
    <w:p>
      <w:pPr>
        <w:pStyle w:val="Para 08"/>
      </w:pPr>
      <w:r>
        <w:t>Important:</w:t>
      </w:r>
    </w:p>
    <w:p>
      <w:pPr>
        <w:pStyle w:val="Para 17"/>
      </w:pPr>
      <w:r>
        <w:t/>
      </w:r>
    </w:p>
    <w:p>
      <w:pPr>
        <w:pStyle w:val="Para 03"/>
      </w:pPr>
      <w:r>
        <w:t xml:space="preserve">As before, this configuration file contains a secret: </w:t>
      </w:r>
      <w:r>
        <w:rPr>
          <w:rStyle w:val="Text0"/>
        </w:rPr>
        <w:t>PrivateKey</w:t>
      </w:r>
      <w:r>
        <w:t>. You need to adjust its</w:t>
      </w:r>
    </w:p>
    <w:p>
      <w:pPr>
        <w:pStyle w:val="Para 03"/>
      </w:pPr>
      <w:r>
        <w:t>permissions accordingly, as follows:</w:t>
      </w:r>
    </w:p>
    <w:p>
      <w:pPr>
        <w:pStyle w:val="Para 03"/>
      </w:pPr>
      <w:r>
        <w:t>sudo chmod</w:t>
        <w:t xml:space="preserve"> </w:t>
        <w:t>0600</w:t>
        <w:t xml:space="preserve"> </w:t>
        <w:t>/</w:t>
        <w:t>etc</w:t>
        <w:t>/</w:t>
        <w:t>wireguard</w:t>
        <w:t>/</w:t>
        <w:t>home0</w:t>
        <w:t>.</w:t>
        <w:t>conf</w:t>
      </w:r>
    </w:p>
    <w:p>
      <w:pPr>
        <w:pStyle w:val="Para 03"/>
      </w:pPr>
      <w:r>
        <w:t>sudo chown root:</w:t>
        <w:t xml:space="preserve"> </w:t>
        <w:t>/</w:t>
        <w:t>etc</w:t>
        <w:t>/</w:t>
        <w:t>wireguard</w:t>
        <w:t>/</w:t>
        <w:t>home0</w:t>
        <w:t>.</w:t>
        <w:t>conf</w:t>
      </w:r>
    </w:p>
    <w:p>
      <w:pPr>
        <w:pStyle w:val="Para 17"/>
      </w:pPr>
      <w:r>
        <w:t/>
      </w:r>
    </w:p>
    <w:p>
      <w:pPr>
        <w:pStyle w:val="Normal"/>
      </w:pPr>
      <w:r>
        <w:t>We have given this laptop the 10.10.11.2/24 address. It could have been any valid address in the 10.10.11.0/24 network, as long as it doesn’t collide with an existing one, and is allowed in the router’s peer’s AllowedIPs list.</w:t>
      </w:r>
    </w:p>
    <w:p>
      <w:pPr>
        <w:pStyle w:val="Para 08"/>
      </w:pPr>
      <w:r>
        <w:t>Note:</w:t>
      </w:r>
    </w:p>
    <w:p>
      <w:pPr>
        <w:pStyle w:val="Para 03"/>
      </w:pPr>
      <w:r>
        <w:t>You may have noticed by now that address allocation is manual, and not via something like</w:t>
      </w:r>
    </w:p>
    <w:p>
      <w:pPr>
        <w:pStyle w:val="Para 03"/>
      </w:pPr>
      <w:hyperlink w:anchor="page_678">
        <w:r>
          <w:rPr>
            <w:rStyle w:val="Text2"/>
          </w:rPr>
          <w:t>DHCP</w:t>
        </w:r>
      </w:hyperlink>
      <w:r>
        <w:t>. Keep tabs on it!</w:t>
      </w:r>
    </w:p>
    <w:p>
      <w:pPr>
        <w:pStyle w:val="Para 17"/>
      </w:pPr>
      <w:r>
        <w:t/>
      </w:r>
    </w:p>
    <w:p>
      <w:pPr>
        <w:pStyle w:val="Normal"/>
      </w:pPr>
      <w:r>
        <w:t>In the [Peer] stanza for the laptop we have:</w:t>
      </w:r>
    </w:p>
    <w:p>
      <w:pPr>
        <w:pStyle w:val="Para 04"/>
      </w:pPr>
      <w:r>
        <w:t xml:space="preserve">• The usual </w:t>
      </w:r>
      <w:r>
        <w:rPr>
          <w:rStyle w:val="Text0"/>
        </w:rPr>
        <w:t>PublicKey</w:t>
      </w:r>
      <w:r>
        <w:t xml:space="preserve"> item, which identifies the peer. Traffic to this peer will be en-</w:t>
      </w:r>
    </w:p>
    <w:p>
      <w:pPr>
        <w:pStyle w:val="Para 02"/>
      </w:pPr>
      <w:r>
        <w:t>crypted using this public key.</w:t>
      </w:r>
    </w:p>
    <w:p>
      <w:pPr>
        <w:pStyle w:val="Para 04"/>
      </w:pPr>
      <w:r>
        <w:t xml:space="preserve">• </w:t>
      </w:r>
      <w:r>
        <w:rPr>
          <w:rStyle w:val="Text0"/>
        </w:rPr>
        <w:t>Endpoint</w:t>
      </w:r>
      <w:r>
        <w:t>: this tells WireGuard where to actually send the encrypted traffic to. Since</w:t>
      </w:r>
    </w:p>
    <w:p>
      <w:pPr>
        <w:pStyle w:val="Para 02"/>
      </w:pPr>
      <w:r>
        <w:t>in our scenario the laptop will be initiating connections, it has to know the public IP address of the home router. If your ISP gave you a fixed IP address, great! You have nothing else to do. If, however, you have a dynamic IP address (one that changes every time you establish a new connection), then you will have to set up some sort of dynamic</w:t>
      </w:r>
    </w:p>
    <w:p>
      <w:pPr>
        <w:pStyle w:val="Para 02"/>
      </w:pPr>
      <w:hyperlink w:anchor="page_679">
        <w:r>
          <w:rPr>
            <w:rStyle w:val="Text2"/>
          </w:rPr>
          <w:t>DNS</w:t>
        </w:r>
      </w:hyperlink>
      <w:r>
        <w:t xml:space="preserve"> service. There are many such services available for free on the Internet, but setting one up is out of scope for this guide.</w:t>
      </w:r>
    </w:p>
    <w:p>
      <w:pPr>
        <w:pStyle w:val="Para 04"/>
      </w:pPr>
      <w:r>
        <w:t xml:space="preserve">• In </w:t>
      </w:r>
      <w:r>
        <w:rPr>
          <w:rStyle w:val="Text0"/>
        </w:rPr>
        <w:t>AllowedIPs</w:t>
      </w:r>
      <w:r>
        <w:t xml:space="preserve"> we list our destinations. The VPN network 10.10.11.0/24 is listed so that</w:t>
      </w:r>
    </w:p>
    <w:p>
      <w:pPr>
        <w:pStyle w:val="Para 02"/>
      </w:pPr>
      <w:r>
        <w:t>we can ping wg0 on the home router as well as other devices on the same VPN, and the actual home network, which is 10.10.10.0/24.</w:t>
      </w:r>
    </w:p>
    <w:p>
      <w:pPr>
        <w:pStyle w:val="Normal"/>
      </w:pPr>
      <w:r>
        <w:t>If we had used 0.0.0.0/0 alone in AllowedIPs, then the VPN would become our default gate-</w:t>
      </w:r>
    </w:p>
    <w:p>
      <w:pPr>
        <w:pStyle w:val="Normal"/>
      </w:pPr>
      <w:r>
        <w:t xml:space="preserve">way, and all traffic would be sent to this peer. See </w:t>
      </w:r>
      <w:hyperlink w:anchor="page_222">
        <w:r>
          <w:rPr>
            <w:rStyle w:val="Text2"/>
          </w:rPr>
          <w:t>Default Gateway</w:t>
        </w:r>
      </w:hyperlink>
      <w:r>
        <w:t xml:space="preserve"> (page 221) for details on that type of setup.</w:t>
      </w:r>
    </w:p>
    <w:p>
      <w:bookmarkStart w:id="305" w:name="page_2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0" name="index-215_1.png" descr="index-215_1.png"/>
            <wp:cNvGraphicFramePr>
              <a:graphicFrameLocks noChangeAspect="1"/>
            </wp:cNvGraphicFramePr>
            <a:graphic>
              <a:graphicData uri="http://schemas.openxmlformats.org/drawingml/2006/picture">
                <pic:pic>
                  <pic:nvPicPr>
                    <pic:cNvPr id="0" name="index-215_1.png" descr="index-215_1.png"/>
                    <pic:cNvPicPr/>
                  </pic:nvPicPr>
                  <pic:blipFill>
                    <a:blip r:embed="rId224"/>
                    <a:stretch>
                      <a:fillRect/>
                    </a:stretch>
                  </pic:blipFill>
                  <pic:spPr>
                    <a:xfrm>
                      <a:off x="0" y="0"/>
                      <a:ext cx="914400" cy="266700"/>
                    </a:xfrm>
                    <a:prstGeom prst="rect">
                      <a:avLst/>
                    </a:prstGeom>
                  </pic:spPr>
                </pic:pic>
              </a:graphicData>
            </a:graphic>
          </wp:anchor>
        </w:drawing>
      </w:r>
      <w:bookmarkEnd w:id="305"/>
    </w:p>
    <w:p>
      <w:pPr>
        <w:pStyle w:val="Para 01"/>
      </w:pPr>
      <w:r>
        <w:t>Testing</w:t>
      </w:r>
    </w:p>
    <w:p>
      <w:pPr>
        <w:pStyle w:val="Para 17"/>
      </w:pPr>
      <w:r>
        <w:t/>
      </w:r>
    </w:p>
    <w:p>
      <w:pPr>
        <w:pStyle w:val="Normal"/>
      </w:pPr>
      <w:r>
        <w:t>With these configuration files in place, it’s time to bring the WireGuard interfaces up.</w:t>
      </w:r>
    </w:p>
    <w:p>
      <w:pPr>
        <w:pStyle w:val="Normal"/>
      </w:pPr>
      <w:r>
        <w:t>On the home router, run:</w:t>
      </w:r>
    </w:p>
    <w:p>
      <w:pPr>
        <w:pStyle w:val="Normal"/>
      </w:pPr>
      <w:r>
        <w:t>$ sudo wg-quick up wg0</w:t>
      </w:r>
    </w:p>
    <w:p>
      <w:pPr>
        <w:pStyle w:val="Para 10"/>
      </w:pPr>
      <w:r>
        <w:rPr>
          <w:rStyle w:val="Text3"/>
        </w:rPr>
        <w:t>[</w:t>
      </w:r>
      <w:r>
        <w:t>#] ip link add wg0 type wireguard</w:t>
      </w:r>
    </w:p>
    <w:p>
      <w:pPr>
        <w:pStyle w:val="Para 10"/>
      </w:pPr>
      <w:r>
        <w:rPr>
          <w:rStyle w:val="Text3"/>
        </w:rPr>
        <w:t>[</w:t>
      </w:r>
      <w:r>
        <w:t>#] wg setconf wg0 /dev/fd/63</w:t>
      </w:r>
    </w:p>
    <w:p>
      <w:pPr>
        <w:pStyle w:val="Para 10"/>
      </w:pPr>
      <w:r>
        <w:rPr>
          <w:rStyle w:val="Text3"/>
        </w:rPr>
        <w:t>[</w:t>
      </w:r>
      <w:r>
        <w:t>#] ip -4 address add 10.10.11.1/24 dev wg0</w:t>
      </w:r>
      <w:r>
        <w:rPr>
          <w:rStyle w:val="Text3"/>
        </w:rPr>
        <w:t xml:space="preserve"> </w:t>
        <w:t>[</w:t>
      </w:r>
      <w:r>
        <w:t>#] ip link set mtu 1378 up dev wg0</w:t>
      </w:r>
    </w:p>
    <w:p>
      <w:pPr>
        <w:pStyle w:val="Para 17"/>
      </w:pPr>
      <w:r>
        <w:t/>
      </w:r>
    </w:p>
    <w:p>
      <w:pPr>
        <w:pStyle w:val="Normal"/>
      </w:pPr>
      <w:r>
        <w:t>Verify you have a wg0 interface up with an address of 10.10.11.1/24:</w:t>
      </w:r>
    </w:p>
    <w:p>
      <w:pPr>
        <w:pStyle w:val="Normal"/>
      </w:pPr>
      <w:r>
        <w:t>$ ip a show dev wg0</w:t>
      </w:r>
    </w:p>
    <w:p>
      <w:pPr>
        <w:pStyle w:val="Normal"/>
      </w:pPr>
      <w:r>
        <w:t>9</w:t>
        <w:t>: wg0: &lt;POINTOPOINT,NOARP,UP,LOWER_UP&gt; mtu</w:t>
        <w:t xml:space="preserve"> </w:t>
        <w:t>1378</w:t>
        <w:t xml:space="preserve"> </w:t>
        <w:t>qdisc noqueue state UNKNOWN group default</w:t>
        <w:t xml:space="preserve"> </w:t>
        <w:t>qlen</w:t>
        <w:t xml:space="preserve"> </w:t>
        <w:t>1000</w:t>
      </w:r>
    </w:p>
    <w:p>
      <w:pPr>
        <w:pStyle w:val="Para 02"/>
      </w:pPr>
      <w:r>
        <w:t>link/none</w:t>
      </w:r>
    </w:p>
    <w:p>
      <w:pPr>
        <w:pStyle w:val="Para 02"/>
      </w:pPr>
      <w:r>
        <w:t>inet</w:t>
        <w:t xml:space="preserve"> </w:t>
        <w:t>10</w:t>
        <w:t>.10.11.1/24 scope global wg0</w:t>
      </w:r>
    </w:p>
    <w:p>
      <w:pPr>
        <w:pStyle w:val="Para 06"/>
      </w:pPr>
      <w:r>
        <w:t>valid_lft forever preferred_lft forever</w:t>
      </w:r>
    </w:p>
    <w:p>
      <w:pPr>
        <w:pStyle w:val="Para 17"/>
      </w:pPr>
      <w:r>
        <w:t/>
      </w:r>
    </w:p>
    <w:p>
      <w:pPr>
        <w:pStyle w:val="Normal"/>
      </w:pPr>
      <w:r>
        <w:t>And a route to the 10.10.1.0/24 network via the wg0 interface:</w:t>
      </w:r>
    </w:p>
    <w:p>
      <w:pPr>
        <w:pStyle w:val="Normal"/>
      </w:pPr>
      <w:r>
        <w:t>$ ip route | grep wg0</w:t>
      </w:r>
    </w:p>
    <w:p>
      <w:pPr>
        <w:pStyle w:val="Normal"/>
      </w:pPr>
      <w:r>
        <w:t>10</w:t>
        <w:t>.10.11.0/24 dev wg0 proto kernel scope link src</w:t>
        <w:t xml:space="preserve"> </w:t>
        <w:t>10</w:t>
        <w:t>.10.11.1</w:t>
      </w:r>
    </w:p>
    <w:p>
      <w:pPr>
        <w:pStyle w:val="Para 17"/>
      </w:pPr>
      <w:r>
        <w:t/>
      </w:r>
    </w:p>
    <w:p>
      <w:pPr>
        <w:pStyle w:val="Normal"/>
      </w:pPr>
      <w:r>
        <w:t>And wg show should show some status information, but no connected peer yet:</w:t>
      </w:r>
    </w:p>
    <w:p>
      <w:pPr>
        <w:pStyle w:val="Normal"/>
      </w:pPr>
      <w:r>
        <w:t>$ sudo wg show</w:t>
      </w:r>
    </w:p>
    <w:p>
      <w:pPr>
        <w:pStyle w:val="Normal"/>
      </w:pPr>
      <w:r>
        <w:t>interface: wg0</w:t>
      </w:r>
    </w:p>
    <w:p>
      <w:pPr>
        <w:pStyle w:val="Para 03"/>
      </w:pPr>
      <w:r>
        <w:t>public key: &lt;router public key&gt;</w:t>
      </w:r>
    </w:p>
    <w:p>
      <w:pPr>
        <w:pStyle w:val="Para 03"/>
      </w:pPr>
      <w:r>
        <w:t>private key:</w:t>
        <w:t xml:space="preserve"> </w:t>
        <w:t>(</w:t>
        <w:t>hidden</w:t>
        <w:t>)</w:t>
      </w:r>
    </w:p>
    <w:p>
      <w:pPr>
        <w:pStyle w:val="Para 03"/>
      </w:pPr>
      <w:r>
        <w:t>listening port:</w:t>
        <w:t xml:space="preserve"> </w:t>
        <w:t>51000</w:t>
      </w:r>
    </w:p>
    <w:p>
      <w:pPr>
        <w:pStyle w:val="Normal"/>
      </w:pPr>
      <w:r>
        <w:t>peer: &lt;laptop public key&gt;</w:t>
      </w:r>
    </w:p>
    <w:p>
      <w:pPr>
        <w:pStyle w:val="Para 03"/>
      </w:pPr>
      <w:r>
        <w:t>allowed ips:</w:t>
        <w:t xml:space="preserve"> </w:t>
        <w:t>10</w:t>
        <w:t>.10.11.2/32</w:t>
      </w:r>
    </w:p>
    <w:p>
      <w:pPr>
        <w:pStyle w:val="Para 17"/>
      </w:pPr>
      <w:r>
        <w:t/>
      </w:r>
    </w:p>
    <w:p>
      <w:pPr>
        <w:pStyle w:val="Normal"/>
      </w:pPr>
      <w:r>
        <w:t>In particular, verify that the listed public keys match what you created (and expected!).</w:t>
      </w:r>
    </w:p>
    <w:p>
      <w:pPr>
        <w:pStyle w:val="Normal"/>
      </w:pPr>
      <w:r>
        <w:t>Before we start the interface on the other peer, it helps to leave the above show command running continuously, so we can see when there are changes:</w:t>
      </w:r>
    </w:p>
    <w:p>
      <w:pPr>
        <w:pStyle w:val="Normal"/>
      </w:pPr>
      <w:r>
        <w:t>$ sudo watch wg show</w:t>
      </w:r>
    </w:p>
    <w:p>
      <w:pPr>
        <w:pStyle w:val="Para 17"/>
      </w:pPr>
      <w:r>
        <w:t/>
      </w:r>
    </w:p>
    <w:p>
      <w:pPr>
        <w:pStyle w:val="Normal"/>
      </w:pPr>
      <w:r>
        <w:t>Now start the interface on the laptop:</w:t>
      </w:r>
    </w:p>
    <w:p>
      <w:pPr>
        <w:pStyle w:val="Normal"/>
      </w:pPr>
      <w:r>
        <w:t>$ sudo wg-quick up home0</w:t>
      </w:r>
    </w:p>
    <w:p>
      <w:pPr>
        <w:pStyle w:val="Para 10"/>
      </w:pPr>
      <w:r>
        <w:rPr>
          <w:rStyle w:val="Text3"/>
        </w:rPr>
        <w:t>[</w:t>
      </w:r>
      <w:r>
        <w:t>#] ip link add home0 type wireguard</w:t>
      </w:r>
    </w:p>
    <w:p>
      <w:pPr>
        <w:pStyle w:val="Para 10"/>
      </w:pPr>
      <w:r>
        <w:rPr>
          <w:rStyle w:val="Text3"/>
        </w:rPr>
        <w:t>[</w:t>
      </w:r>
      <w:r>
        <w:t>#] wg setconf home0 /dev/fd/63</w:t>
      </w:r>
    </w:p>
    <w:p>
      <w:pPr>
        <w:pStyle w:val="Para 10"/>
      </w:pPr>
      <w:r>
        <w:rPr>
          <w:rStyle w:val="Text3"/>
        </w:rPr>
        <w:t>[</w:t>
      </w:r>
      <w:r>
        <w:t>#] ip -4 address add 10.10.11.2/24 dev home0</w:t>
      </w:r>
      <w:r>
        <w:rPr>
          <w:rStyle w:val="Text3"/>
        </w:rPr>
        <w:t xml:space="preserve"> </w:t>
        <w:t>[</w:t>
      </w:r>
      <w:r>
        <w:t>#] ip link set mtu 1420 up dev home0</w:t>
      </w:r>
    </w:p>
    <w:p>
      <w:pPr>
        <w:pStyle w:val="Para 10"/>
      </w:pPr>
      <w:r>
        <w:rPr>
          <w:rStyle w:val="Text3"/>
        </w:rPr>
        <w:t>[</w:t>
      </w:r>
      <w:r>
        <w:t>#] ip -4 route add 10.10.10.0/24 dev home0</w:t>
      </w:r>
    </w:p>
    <w:p>
      <w:pPr>
        <w:pStyle w:val="Para 17"/>
      </w:pPr>
      <w:r>
        <w:t/>
      </w:r>
    </w:p>
    <w:p>
      <w:pPr>
        <w:pStyle w:val="Normal"/>
      </w:pPr>
      <w:r>
        <w:t>Similarly, verify the interface’s IP and added routes:</w:t>
      </w:r>
    </w:p>
    <w:p>
      <w:pPr>
        <w:pStyle w:val="Normal"/>
      </w:pPr>
      <w:r>
        <w:t>$ ip a show dev home0</w:t>
      </w:r>
    </w:p>
    <w:p>
      <w:pPr>
        <w:pStyle w:val="Normal"/>
      </w:pPr>
      <w:r>
        <w:t>24</w:t>
        <w:t>: home0: &lt;POINTOPOINT,NOARP,UP,LOWER_UP&gt; mtu</w:t>
        <w:t xml:space="preserve"> </w:t>
        <w:t>1420</w:t>
        <w:t xml:space="preserve"> </w:t>
        <w:t>qdisc noqueue state UNKNOWN group</w:t>
      </w:r>
    </w:p>
    <w:p>
      <w:pPr>
        <w:pStyle w:val="Para 09"/>
      </w:pPr>
      <w:r>
        <w:t>(continues on next page)</w:t>
      </w:r>
    </w:p>
    <w:p>
      <w:bookmarkStart w:id="306" w:name="page_2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1" name="index-216_1.png" descr="index-216_1.png"/>
            <wp:cNvGraphicFramePr>
              <a:graphicFrameLocks noChangeAspect="1"/>
            </wp:cNvGraphicFramePr>
            <a:graphic>
              <a:graphicData uri="http://schemas.openxmlformats.org/drawingml/2006/picture">
                <pic:pic>
                  <pic:nvPicPr>
                    <pic:cNvPr id="0" name="index-216_1.png" descr="index-216_1.png"/>
                    <pic:cNvPicPr/>
                  </pic:nvPicPr>
                  <pic:blipFill>
                    <a:blip r:embed="rId225"/>
                    <a:stretch>
                      <a:fillRect/>
                    </a:stretch>
                  </pic:blipFill>
                  <pic:spPr>
                    <a:xfrm>
                      <a:off x="0" y="0"/>
                      <a:ext cx="914400" cy="266700"/>
                    </a:xfrm>
                    <a:prstGeom prst="rect">
                      <a:avLst/>
                    </a:prstGeom>
                  </pic:spPr>
                </pic:pic>
              </a:graphicData>
            </a:graphic>
          </wp:anchor>
        </w:drawing>
      </w:r>
      <w:bookmarkEnd w:id="306"/>
    </w:p>
    <w:p>
      <w:pPr>
        <w:pStyle w:val="Para 09"/>
      </w:pPr>
      <w:r>
        <w:t>(continued from previous page)</w:t>
      </w:r>
    </w:p>
    <w:p>
      <w:pPr>
        <w:pStyle w:val="Normal"/>
      </w:pPr>
      <w:r>
        <w:t>default qlen</w:t>
        <w:t xml:space="preserve"> </w:t>
        <w:t>1000</w:t>
      </w:r>
    </w:p>
    <w:p>
      <w:pPr>
        <w:pStyle w:val="Para 02"/>
      </w:pPr>
      <w:r>
        <w:t>link/none</w:t>
      </w:r>
    </w:p>
    <w:p>
      <w:pPr>
        <w:pStyle w:val="Para 02"/>
      </w:pPr>
      <w:r>
        <w:t>inet</w:t>
        <w:t xml:space="preserve"> </w:t>
        <w:t>10</w:t>
        <w:t>.10.11.2/24 scope global home0</w:t>
      </w:r>
    </w:p>
    <w:p>
      <w:pPr>
        <w:pStyle w:val="Para 06"/>
      </w:pPr>
      <w:r>
        <w:t>valid_lft forever preferred_lft forever</w:t>
      </w:r>
    </w:p>
    <w:p>
      <w:pPr>
        <w:pStyle w:val="Normal"/>
      </w:pPr>
      <w:r>
        <w:t>$ ip route | grep home0</w:t>
      </w:r>
    </w:p>
    <w:p>
      <w:pPr>
        <w:pStyle w:val="Normal"/>
      </w:pPr>
      <w:r>
        <w:t>10</w:t>
        <w:t>.10.10.0/24 dev home0 scope link</w:t>
      </w:r>
    </w:p>
    <w:p>
      <w:pPr>
        <w:pStyle w:val="Normal"/>
      </w:pPr>
      <w:r>
        <w:t>10</w:t>
        <w:t>.10.11.0/24 dev home0 proto kernel scope link src</w:t>
        <w:t xml:space="preserve"> </w:t>
        <w:t>10</w:t>
        <w:t>.10.11.2</w:t>
      </w:r>
    </w:p>
    <w:p>
      <w:pPr>
        <w:pStyle w:val="Para 17"/>
      </w:pPr>
      <w:r>
        <w:t/>
      </w:r>
    </w:p>
    <w:p>
      <w:pPr>
        <w:pStyle w:val="Normal"/>
      </w:pPr>
      <w:r>
        <w:t>Up to this point, the wg show output on the home router probably didn’t change. That’s be-cause we haven’t sent any traffic to the home network, which didn’t trigger the VPN yet. By default, WireGuard is very “quiet” on the network.</w:t>
      </w:r>
    </w:p>
    <w:p>
      <w:pPr>
        <w:pStyle w:val="Normal"/>
      </w:pPr>
      <w:r>
        <w:t>If we trigger some traffic, however, the VPN will “wake up”. Let’s ping the internal address of the home router a few times:</w:t>
      </w:r>
    </w:p>
    <w:p>
      <w:pPr>
        <w:pStyle w:val="Normal"/>
      </w:pPr>
      <w:r>
        <w:t>$ ping -c</w:t>
        <w:t xml:space="preserve"> </w:t>
        <w:t>3 10</w:t>
        <w:t>.10.10.1</w:t>
      </w:r>
    </w:p>
    <w:p>
      <w:pPr>
        <w:pStyle w:val="Normal"/>
      </w:pPr>
      <w:r>
        <w:t>PING</w:t>
        <w:t xml:space="preserve"> </w:t>
        <w:t>10</w:t>
        <w:t>.10.10.1</w:t>
        <w:t xml:space="preserve"> </w:t>
        <w:t>(</w:t>
        <w:t>10</w:t>
        <w:t>.10.10.1</w:t>
        <w:t>)</w:t>
        <w:t xml:space="preserve"> </w:t>
        <w:t>56</w:t>
        <w:t>(</w:t>
        <w:t>84</w:t>
        <w:t>)</w:t>
        <w:t xml:space="preserve"> </w:t>
        <w:t>bytes of data.</w:t>
        <w:t xml:space="preserve"> </w:t>
        <w:t>64</w:t>
        <w:t xml:space="preserve"> </w:t>
        <w:t>bytes from</w:t>
        <w:t xml:space="preserve"> </w:t>
        <w:t>10</w:t>
        <w:t>.10.10.1:</w:t>
        <w:t xml:space="preserve"> </w:t>
        <w:t>icmp_seq</w:t>
        <w:t>=</w:t>
        <w:t>1</w:t>
        <w:t xml:space="preserve"> </w:t>
        <w:t>ttl</w:t>
        <w:t>=</w:t>
        <w:t>64</w:t>
        <w:t xml:space="preserve"> </w:t>
        <w:t>time</w:t>
        <w:t>=</w:t>
        <w:t>603</w:t>
        <w:t xml:space="preserve"> </w:t>
        <w:t>ms</w:t>
        <w:t xml:space="preserve"> </w:t>
        <w:t>64</w:t>
        <w:t xml:space="preserve"> </w:t>
        <w:t>bytes from</w:t>
        <w:t xml:space="preserve"> </w:t>
        <w:t>10</w:t>
        <w:t>.10.10.1:</w:t>
        <w:t xml:space="preserve"> </w:t>
        <w:t>icmp_seq</w:t>
        <w:t>=</w:t>
        <w:t>2</w:t>
        <w:t xml:space="preserve"> </w:t>
        <w:t>ttl</w:t>
        <w:t>=</w:t>
        <w:t>64</w:t>
        <w:t xml:space="preserve"> </w:t>
        <w:t>time</w:t>
        <w:t>=</w:t>
        <w:t>300</w:t>
        <w:t xml:space="preserve"> </w:t>
        <w:t>ms</w:t>
        <w:t xml:space="preserve"> </w:t>
        <w:t>64</w:t>
        <w:t xml:space="preserve"> </w:t>
        <w:t>bytes from</w:t>
        <w:t xml:space="preserve"> </w:t>
        <w:t>10</w:t>
        <w:t>.10.10.1:</w:t>
        <w:t xml:space="preserve"> </w:t>
        <w:t>icmp_seq</w:t>
        <w:t>=</w:t>
        <w:t>3</w:t>
        <w:t xml:space="preserve"> </w:t>
        <w:t>ttl</w:t>
        <w:t>=</w:t>
        <w:t>64</w:t>
        <w:t xml:space="preserve"> </w:t>
        <w:t>time</w:t>
        <w:t>=</w:t>
        <w:t>304</w:t>
        <w:t xml:space="preserve"> </w:t>
        <w:t>ms</w:t>
      </w:r>
    </w:p>
    <w:p>
      <w:pPr>
        <w:pStyle w:val="Para 17"/>
      </w:pPr>
      <w:r>
        <w:t/>
      </w:r>
    </w:p>
    <w:p>
      <w:pPr>
        <w:pStyle w:val="Normal"/>
      </w:pPr>
      <w:r>
        <w:t>Note how the first ping was slower. That’s because the VPN was “waking up” and being es-tablished. Afterwards, with the tunnel already established, the latency reduced.</w:t>
      </w:r>
    </w:p>
    <w:p>
      <w:pPr>
        <w:pStyle w:val="Normal"/>
      </w:pPr>
      <w:r>
        <w:t>At the same time, the wg show output on the home router will have changed to something like this:</w:t>
      </w:r>
    </w:p>
    <w:p>
      <w:pPr>
        <w:pStyle w:val="Normal"/>
      </w:pPr>
      <w:r>
        <w:t>$ sudo wg show</w:t>
      </w:r>
    </w:p>
    <w:p>
      <w:pPr>
        <w:pStyle w:val="Normal"/>
      </w:pPr>
      <w:r>
        <w:t>interface: wg0</w:t>
      </w:r>
    </w:p>
    <w:p>
      <w:pPr>
        <w:pStyle w:val="Para 03"/>
      </w:pPr>
      <w:r>
        <w:t>public key: &lt;router public key&gt;</w:t>
      </w:r>
    </w:p>
    <w:p>
      <w:pPr>
        <w:pStyle w:val="Para 03"/>
      </w:pPr>
      <w:r>
        <w:t>private key:</w:t>
        <w:t xml:space="preserve"> </w:t>
        <w:t>(</w:t>
        <w:t>hidden</w:t>
        <w:t>)</w:t>
      </w:r>
    </w:p>
    <w:p>
      <w:pPr>
        <w:pStyle w:val="Para 03"/>
      </w:pPr>
      <w:r>
        <w:t>listening port:</w:t>
        <w:t xml:space="preserve"> </w:t>
        <w:t>51000</w:t>
      </w:r>
    </w:p>
    <w:p>
      <w:pPr>
        <w:pStyle w:val="Normal"/>
      </w:pPr>
      <w:r>
        <w:t>peer: &lt;laptop public key&gt;</w:t>
      </w:r>
    </w:p>
    <w:p>
      <w:pPr>
        <w:pStyle w:val="Para 03"/>
      </w:pPr>
      <w:r>
        <w:t>endpoint: &lt;laptop public IP&gt;:51000</w:t>
      </w:r>
    </w:p>
    <w:p>
      <w:pPr>
        <w:pStyle w:val="Para 03"/>
      </w:pPr>
      <w:r>
        <w:t>allowed ips:</w:t>
        <w:t xml:space="preserve"> </w:t>
        <w:t>10</w:t>
        <w:t>.10.11.2/32</w:t>
      </w:r>
    </w:p>
    <w:p>
      <w:pPr>
        <w:pStyle w:val="Para 03"/>
      </w:pPr>
      <w:r>
        <w:t>latest handshake:</w:t>
        <w:t xml:space="preserve"> </w:t>
        <w:t>1</w:t>
        <w:t xml:space="preserve"> </w:t>
        <w:t>minute,</w:t>
        <w:t xml:space="preserve"> </w:t>
        <w:t>8</w:t>
        <w:t xml:space="preserve"> </w:t>
        <w:t>seconds ago</w:t>
      </w:r>
    </w:p>
    <w:p>
      <w:pPr>
        <w:pStyle w:val="Para 03"/>
      </w:pPr>
      <w:r>
        <w:t>transfer:</w:t>
        <w:t xml:space="preserve"> </w:t>
        <w:t>564</w:t>
        <w:t xml:space="preserve"> </w:t>
        <w:t>B received,</w:t>
        <w:t xml:space="preserve"> </w:t>
        <w:t>476</w:t>
        <w:t xml:space="preserve"> </w:t>
        <w:t>B sent</w:t>
      </w:r>
    </w:p>
    <w:p>
      <w:pPr>
        <w:pStyle w:val="Para 17"/>
      </w:pPr>
      <w:r>
        <w:t/>
      </w:r>
    </w:p>
    <w:p>
      <w:pPr>
        <w:pStyle w:val="Para 01"/>
      </w:pPr>
      <w:r>
        <w:t>WireGuard on an internal system (peer-to-site)</w:t>
      </w:r>
    </w:p>
    <w:p>
      <w:pPr>
        <w:pStyle w:val="Para 17"/>
      </w:pPr>
      <w:r>
        <w:t/>
      </w:r>
    </w:p>
    <w:p>
      <w:pPr>
        <w:pStyle w:val="Normal"/>
      </w:pPr>
      <w:r>
        <w:t xml:space="preserve">Sometimes it’s not possible to install WireGuard </w:t>
      </w:r>
      <w:hyperlink w:anchor="page_212">
        <w:r>
          <w:rPr>
            <w:rStyle w:val="Text2"/>
          </w:rPr>
          <w:t>on the home router itself</w:t>
        </w:r>
      </w:hyperlink>
      <w:r>
        <w:t xml:space="preserve"> (page 211). Per-haps it’s a closed system to which you do not have access, or there is no easy build for that architecture, or any of the other possible reasons.</w:t>
      </w:r>
    </w:p>
    <w:p>
      <w:pPr>
        <w:pStyle w:val="Normal"/>
      </w:pPr>
      <w:r>
        <w:t>However, you do have a spare system inside your network that you could use. Here we are going to show one way to make this work. There are others, but we believe this to be the least “involved” as it only requires a couple of (very common) changes in the router itself:</w:t>
      </w:r>
    </w:p>
    <w:p>
      <w:pPr>
        <w:pStyle w:val="Normal"/>
      </w:pPr>
      <w:r>
        <w:t xml:space="preserve">NAT port forwarding, and </w:t>
      </w:r>
      <w:hyperlink w:anchor="page_678">
        <w:r>
          <w:rPr>
            <w:rStyle w:val="Text2"/>
          </w:rPr>
          <w:t>DHCP</w:t>
        </w:r>
      </w:hyperlink>
      <w:r>
        <w:t xml:space="preserve"> range editing.</w:t>
      </w:r>
    </w:p>
    <w:p>
      <w:pPr>
        <w:pStyle w:val="Normal"/>
      </w:pPr>
      <w:r>
        <w:t>To recap, our home network has the 10.10.10.0/24 address, and we want to connect to it from a remote location and be “inserted” into that network as if we were there:</w:t>
      </w:r>
    </w:p>
    <w:p>
      <w:bookmarkStart w:id="307" w:name="page_2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2" name="index-217_1.png" descr="index-217_1.png"/>
            <wp:cNvGraphicFramePr>
              <a:graphicFrameLocks noChangeAspect="1"/>
            </wp:cNvGraphicFramePr>
            <a:graphic>
              <a:graphicData uri="http://schemas.openxmlformats.org/drawingml/2006/picture">
                <pic:pic>
                  <pic:nvPicPr>
                    <pic:cNvPr id="0" name="index-217_1.png" descr="index-217_1.png"/>
                    <pic:cNvPicPr/>
                  </pic:nvPicPr>
                  <pic:blipFill>
                    <a:blip r:embed="rId226"/>
                    <a:stretch>
                      <a:fillRect/>
                    </a:stretch>
                  </pic:blipFill>
                  <pic:spPr>
                    <a:xfrm>
                      <a:off x="0" y="0"/>
                      <a:ext cx="914400" cy="266700"/>
                    </a:xfrm>
                    <a:prstGeom prst="rect">
                      <a:avLst/>
                    </a:prstGeom>
                  </pic:spPr>
                </pic:pic>
              </a:graphicData>
            </a:graphic>
          </wp:anchor>
        </w:drawing>
      </w:r>
      <w:bookmarkEnd w:id="307"/>
    </w:p>
    <w:p>
      <w:pPr>
        <w:pStyle w:val="Para 01"/>
      </w:pPr>
      <w:r>
        <w:t>Router changes</w:t>
      </w:r>
    </w:p>
    <w:p>
      <w:pPr>
        <w:pStyle w:val="Para 17"/>
      </w:pPr>
      <w:r>
        <w:t/>
      </w:r>
    </w:p>
    <w:p>
      <w:pPr>
        <w:pStyle w:val="Normal"/>
      </w:pPr>
      <w:r>
        <w:t>Since, in this scenario, we don’t have a new network dedicated to our VPN users, we need to “carve out” a section of the home network and reserve it for the VPN.</w:t>
      </w:r>
    </w:p>
    <w:p>
      <w:pPr>
        <w:pStyle w:val="Normal"/>
      </w:pPr>
      <w:r>
        <w:t>The easiest way to reserve IPs for the VPN is to change the router configuration (assuming it’s responsible for DHCP in this network) and tell its DHCP server to only hand out addresses from a specific range, leaving a “hole” for our VPN users.</w:t>
      </w:r>
    </w:p>
    <w:p>
      <w:pPr>
        <w:pStyle w:val="Normal"/>
      </w:pPr>
      <w:r>
        <w:t>For example, in the case of the 10.10.10.0/24 network, the DHCP server on the router might already be configured to hand out IP addresses from 10.10.10.2 to 10.10.10.254. We can carve out a “hole” for our VPN users by reducing the DHCP range, as in this table:</w:t>
      </w:r>
    </w:p>
    <w:p>
      <w:pPr>
        <w:pStyle w:val="Para 17"/>
      </w:pPr>
      <w:r>
        <w:t/>
      </w:r>
    </w:p>
    <w:p>
      <w:pPr>
        <w:pStyle w:val="Para 12"/>
      </w:pPr>
      <w:r>
        <w:t>Network 10.10.10.0/24</w:t>
      </w:r>
    </w:p>
    <w:p>
      <w:pPr>
        <w:pStyle w:val="Para 12"/>
      </w:pPr>
      <w:r>
        <w:t>Usable addresses 10.10.10.2 – 10.10.10.254 (.1 is the router)</w:t>
      </w:r>
    </w:p>
    <w:p>
      <w:pPr>
        <w:pStyle w:val="Para 12"/>
      </w:pPr>
      <w:r>
        <w:t>DHCP range 10.10.10.50 – 10.10.10.254</w:t>
      </w:r>
    </w:p>
    <w:p>
      <w:pPr>
        <w:pStyle w:val="Para 12"/>
      </w:pPr>
      <w:r>
        <w:t>VPN range 10.10.10.10 – 10.10.10.49</w:t>
      </w:r>
    </w:p>
    <w:p>
      <w:pPr>
        <w:pStyle w:val="Para 17"/>
      </w:pPr>
      <w:r>
        <w:t/>
      </w:r>
    </w:p>
    <w:p>
      <w:pPr>
        <w:pStyle w:val="Normal"/>
      </w:pPr>
      <w:r>
        <w:t>Or via any other layout that is better suited for your case. In this way, the router will never hand out a DHCP address that conflicts with one that we selected for a VPN user.</w:t>
      </w:r>
    </w:p>
    <w:p>
      <w:pPr>
        <w:pStyle w:val="Normal"/>
      </w:pPr>
      <w:r>
        <w:t xml:space="preserve">The second change we need to do in the router is to </w:t>
      </w:r>
      <w:r>
        <w:rPr>
          <w:rStyle w:val="Text0"/>
        </w:rPr>
        <w:t>port forward</w:t>
      </w:r>
      <w:r>
        <w:t xml:space="preserve"> the WireGuard traffic to the internal system that will be the endpoint. In the diagram above, we selected the 10.10. 10.10 system to be the internal WireGuard endpoint, and we will run it on the 51000/udp port. Therefore, you need to configure the router to forward all 51000/udp traffic to 10.10.10.10 on the same 51000/udp port.</w:t>
      </w:r>
    </w:p>
    <w:p>
      <w:pPr>
        <w:pStyle w:val="Normal"/>
      </w:pPr>
      <w:r>
        <w:t>Finally, we also need to allow hosts on the internet to send traffic to the router on the 51000/ udp port we selected for WireGuard. This is done in the firewall rules of the device. Some-times, performing the port forwarding as described earlier also configures the firewall to allow that traffic, but it’s better to check.</w:t>
      </w:r>
    </w:p>
    <w:p>
      <w:pPr>
        <w:pStyle w:val="Normal"/>
      </w:pPr>
      <w:r>
        <w:t>Now we are ready to configure the internal endpoint.</w:t>
      </w:r>
    </w:p>
    <w:p>
      <w:pPr>
        <w:pStyle w:val="Para 17"/>
      </w:pPr>
      <w:r>
        <w:t/>
      </w:r>
    </w:p>
    <w:p>
      <w:pPr>
        <w:pStyle w:val="Para 01"/>
      </w:pPr>
      <w:r>
        <w:t>Configure the internal WireGuard endpoint</w:t>
      </w:r>
    </w:p>
    <w:p>
      <w:pPr>
        <w:pStyle w:val="Para 17"/>
      </w:pPr>
      <w:r>
        <w:t/>
      </w:r>
    </w:p>
    <w:p>
      <w:pPr>
        <w:pStyle w:val="Normal"/>
      </w:pPr>
      <w:r>
        <w:t>Install the wireguard package:</w:t>
      </w:r>
    </w:p>
    <w:p>
      <w:pPr>
        <w:pStyle w:val="Normal"/>
      </w:pPr>
      <w:r>
        <w:t>$ sudo apt install wireguard</w:t>
      </w:r>
    </w:p>
    <w:p>
      <w:pPr>
        <w:pStyle w:val="Para 17"/>
      </w:pPr>
      <w:r>
        <w:t/>
      </w:r>
    </w:p>
    <w:p>
      <w:pPr>
        <w:pStyle w:val="Normal"/>
      </w:pPr>
      <w:r>
        <w:t>Generate the keys for this host:</w:t>
      </w:r>
    </w:p>
    <w:p>
      <w:pPr>
        <w:pStyle w:val="Normal"/>
      </w:pPr>
      <w:r>
        <w:t>$</w:t>
        <w:t xml:space="preserve"> </w:t>
        <w:t>umask</w:t>
        <w:t xml:space="preserve"> </w:t>
        <w:t>077</w:t>
      </w:r>
    </w:p>
    <w:p>
      <w:pPr>
        <w:pStyle w:val="Normal"/>
      </w:pPr>
      <w:r>
        <w:t>$ wg genkey &gt; internal-private.key</w:t>
      </w:r>
    </w:p>
    <w:p>
      <w:pPr>
        <w:pStyle w:val="Normal"/>
      </w:pPr>
      <w:r>
        <w:t>$ wg pubkey &lt; internal-private.key &gt; internal-public.key</w:t>
        <w:t xml:space="preserve"> And create the /etc/wireguard/wg0.conf file with these contents:</w:t>
      </w:r>
    </w:p>
    <w:p>
      <w:bookmarkStart w:id="308" w:name="page_2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3" name="index-218_1.png" descr="index-218_1.png"/>
            <wp:cNvGraphicFramePr>
              <a:graphicFrameLocks noChangeAspect="1"/>
            </wp:cNvGraphicFramePr>
            <a:graphic>
              <a:graphicData uri="http://schemas.openxmlformats.org/drawingml/2006/picture">
                <pic:pic>
                  <pic:nvPicPr>
                    <pic:cNvPr id="0" name="index-218_1.png" descr="index-218_1.png"/>
                    <pic:cNvPicPr/>
                  </pic:nvPicPr>
                  <pic:blipFill>
                    <a:blip r:embed="rId227"/>
                    <a:stretch>
                      <a:fillRect/>
                    </a:stretch>
                  </pic:blipFill>
                  <pic:spPr>
                    <a:xfrm>
                      <a:off x="0" y="0"/>
                      <a:ext cx="914400" cy="266700"/>
                    </a:xfrm>
                    <a:prstGeom prst="rect">
                      <a:avLst/>
                    </a:prstGeom>
                  </pic:spPr>
                </pic:pic>
              </a:graphicData>
            </a:graphic>
          </wp:anchor>
        </w:drawing>
      </w:r>
      <w:bookmarkEnd w:id="308"/>
    </w:p>
    <w:p>
      <w:pPr>
        <w:pStyle w:val="Normal"/>
      </w:pPr>
      <w:r>
        <w:t>[Interface]</w:t>
      </w:r>
    </w:p>
    <w:p>
      <w:pPr>
        <w:pStyle w:val="Normal"/>
      </w:pPr>
      <w:r>
        <w:t>Address</w:t>
        <w:t xml:space="preserve"> </w:t>
        <w:t>=</w:t>
        <w:t xml:space="preserve"> </w:t>
        <w:t>10.10.10.10</w:t>
        <w:t>/</w:t>
        <w:t>32</w:t>
      </w:r>
    </w:p>
    <w:p>
      <w:pPr>
        <w:pStyle w:val="Normal"/>
      </w:pPr>
      <w:r>
        <w:t>ListenPort</w:t>
        <w:t xml:space="preserve"> </w:t>
        <w:t>=</w:t>
        <w:t xml:space="preserve"> </w:t>
        <w:t>51000</w:t>
      </w:r>
    </w:p>
    <w:p>
      <w:pPr>
        <w:pStyle w:val="Normal"/>
      </w:pPr>
      <w:r>
        <w:t>PrivateKey</w:t>
        <w:t xml:space="preserve"> </w:t>
        <w:t>= &lt;</w:t>
        <w:t>contents of internal</w:t>
        <w:t>-</w:t>
        <w:t>private</w:t>
        <w:t>.</w:t>
        <w:t>key</w:t>
        <w:t>&gt;</w:t>
      </w:r>
    </w:p>
    <w:p>
      <w:pPr>
        <w:pStyle w:val="Normal"/>
      </w:pPr>
      <w:r>
        <w:t>[Peer]</w:t>
      </w:r>
    </w:p>
    <w:p>
      <w:pPr>
        <w:pStyle w:val="Para 10"/>
      </w:pPr>
      <w:r>
        <w:t># laptop</w:t>
      </w:r>
    </w:p>
    <w:p>
      <w:pPr>
        <w:pStyle w:val="Normal"/>
      </w:pPr>
      <w:r>
        <w:t>PublicKey</w:t>
        <w:t xml:space="preserve"> </w:t>
        <w:t>= &lt;</w:t>
        <w:t>contents of laptop</w:t>
        <w:t>-</w:t>
        <w:t>public</w:t>
        <w:t>.</w:t>
        <w:t>key</w:t>
        <w:t>&gt;</w:t>
        <w:t xml:space="preserve"> </w:t>
        <w:t>AllowedIPs</w:t>
        <w:t xml:space="preserve"> </w:t>
        <w:t>=</w:t>
        <w:t xml:space="preserve"> </w:t>
        <w:t>10.10.10.11</w:t>
        <w:t>/</w:t>
        <w:t>32</w:t>
        <w:t xml:space="preserve"> </w:t>
      </w:r>
      <w:r>
        <w:rPr>
          <w:rStyle w:val="Text3"/>
        </w:rPr>
        <w:t># any available IP in the VPN range</w:t>
      </w:r>
    </w:p>
    <w:p>
      <w:pPr>
        <w:pStyle w:val="Para 17"/>
      </w:pPr>
      <w:r>
        <w:t/>
      </w:r>
    </w:p>
    <w:p>
      <w:pPr>
        <w:pStyle w:val="Para 08"/>
      </w:pPr>
      <w:r>
        <w:t>Note:</w:t>
      </w:r>
    </w:p>
    <w:p>
      <w:pPr>
        <w:pStyle w:val="Para 03"/>
      </w:pPr>
      <w:r>
        <w:t xml:space="preserve">Just like in the </w:t>
      </w:r>
      <w:hyperlink w:anchor="page_212">
        <w:r>
          <w:rPr>
            <w:rStyle w:val="Text2"/>
          </w:rPr>
          <w:t>peer-to-site</w:t>
        </w:r>
      </w:hyperlink>
      <w:r>
        <w:t xml:space="preserve"> (page 211) scenario with WireGuard on the router, there is no</w:t>
      </w:r>
    </w:p>
    <w:p>
      <w:pPr>
        <w:pStyle w:val="Para 03"/>
      </w:pPr>
      <w:r>
        <w:t>Endpoint configuration here for the laptop peer, because we don’t know where it will be</w:t>
      </w:r>
    </w:p>
    <w:p>
      <w:pPr>
        <w:pStyle w:val="Para 03"/>
      </w:pPr>
      <w:r>
        <w:t>connecting from beforehand.</w:t>
      </w:r>
    </w:p>
    <w:p>
      <w:pPr>
        <w:pStyle w:val="Para 17"/>
      </w:pPr>
      <w:r>
        <w:t/>
      </w:r>
    </w:p>
    <w:p>
      <w:pPr>
        <w:pStyle w:val="Normal"/>
      </w:pPr>
      <w:r>
        <w:t>The final step is to configure this internal system as a router for the VPN users. For that, we need to enable a couple of settings:</w:t>
      </w:r>
    </w:p>
    <w:p>
      <w:pPr>
        <w:pStyle w:val="Para 04"/>
      </w:pPr>
      <w:r>
        <w:t xml:space="preserve">• </w:t>
      </w:r>
      <w:r>
        <w:rPr>
          <w:rStyle w:val="Text0"/>
        </w:rPr>
        <w:t>ip_forward</w:t>
      </w:r>
      <w:r>
        <w:t>: to enable forwarding (aka, routing) of traffic between interfaces.</w:t>
      </w:r>
    </w:p>
    <w:p>
      <w:pPr>
        <w:pStyle w:val="Para 04"/>
      </w:pPr>
      <w:r>
        <w:t xml:space="preserve">• </w:t>
      </w:r>
      <w:r>
        <w:rPr>
          <w:rStyle w:val="Text0"/>
        </w:rPr>
        <w:t>proxy_arp</w:t>
      </w:r>
      <w:r>
        <w:t>: to reply to Address Resolution Protocol (ARP) requests on behalf of the VPN</w:t>
      </w:r>
    </w:p>
    <w:p>
      <w:pPr>
        <w:pStyle w:val="Para 02"/>
      </w:pPr>
      <w:r>
        <w:t>systems, as if they were locally present on the network segment.</w:t>
      </w:r>
    </w:p>
    <w:p>
      <w:pPr>
        <w:pStyle w:val="Normal"/>
      </w:pPr>
      <w:r>
        <w:t>To do that, and make it persist across reboots, create the file /etc/sysctl.d/70-wireguard-routing.conf file with this content:</w:t>
      </w:r>
    </w:p>
    <w:p>
      <w:pPr>
        <w:pStyle w:val="Normal"/>
      </w:pPr>
      <w:r>
        <w:t>net</w:t>
        <w:t>.</w:t>
        <w:t>ipv4</w:t>
        <w:t>.</w:t>
        <w:t>ip_forward</w:t>
        <w:t xml:space="preserve"> </w:t>
        <w:t>=</w:t>
        <w:t xml:space="preserve"> </w:t>
        <w:t>1</w:t>
      </w:r>
    </w:p>
    <w:p>
      <w:pPr>
        <w:pStyle w:val="Normal"/>
      </w:pPr>
      <w:r>
        <w:t>net</w:t>
        <w:t>.</w:t>
        <w:t>ipv4</w:t>
        <w:t>.</w:t>
        <w:t>conf</w:t>
        <w:t>.</w:t>
        <w:t>all</w:t>
        <w:t>.</w:t>
        <w:t>proxy_arp</w:t>
        <w:t xml:space="preserve"> </w:t>
        <w:t>=</w:t>
        <w:t xml:space="preserve"> </w:t>
        <w:t>1</w:t>
      </w:r>
    </w:p>
    <w:p>
      <w:pPr>
        <w:pStyle w:val="Para 17"/>
      </w:pPr>
      <w:r>
        <w:t/>
      </w:r>
    </w:p>
    <w:p>
      <w:pPr>
        <w:pStyle w:val="Normal"/>
      </w:pPr>
      <w:r>
        <w:t>Then run this command to apply those settings:</w:t>
      </w:r>
    </w:p>
    <w:p>
      <w:pPr>
        <w:pStyle w:val="Normal"/>
      </w:pPr>
      <w:r>
        <w:t>$ sudo sysctl -p /etc/sysctl.d/70-wireguard-routing.conf -w</w:t>
      </w:r>
    </w:p>
    <w:p>
      <w:pPr>
        <w:pStyle w:val="Para 17"/>
      </w:pPr>
      <w:r>
        <w:t/>
      </w:r>
    </w:p>
    <w:p>
      <w:pPr>
        <w:pStyle w:val="Normal"/>
      </w:pPr>
      <w:r>
        <w:t>Now the WireGuard interface can be brought up:</w:t>
      </w:r>
    </w:p>
    <w:p>
      <w:pPr>
        <w:pStyle w:val="Normal"/>
      </w:pPr>
      <w:r>
        <w:t>$ sudo wg-quick up wg0</w:t>
      </w:r>
    </w:p>
    <w:p>
      <w:pPr>
        <w:pStyle w:val="Para 17"/>
      </w:pPr>
      <w:r>
        <w:t/>
      </w:r>
    </w:p>
    <w:p>
      <w:pPr>
        <w:pStyle w:val="Para 01"/>
      </w:pPr>
      <w:r>
        <w:t>Configuring the peer</w:t>
      </w:r>
    </w:p>
    <w:p>
      <w:pPr>
        <w:pStyle w:val="Para 17"/>
      </w:pPr>
      <w:r>
        <w:t/>
      </w:r>
    </w:p>
    <w:p>
      <w:pPr>
        <w:pStyle w:val="Normal"/>
      </w:pPr>
      <w:r>
        <w:t>The peer configuration will be very similar to what was done before. What changes will be the address, since now it won’t be on an exclusive network for the VPN, but will have an address carved out of the home network block.</w:t>
      </w:r>
    </w:p>
    <w:p>
      <w:pPr>
        <w:pStyle w:val="Normal"/>
      </w:pPr>
      <w:r>
        <w:t>Let’s call this new configuration file /etc/wireguard/home0.conf:</w:t>
      </w:r>
    </w:p>
    <w:p>
      <w:pPr>
        <w:pStyle w:val="Normal"/>
      </w:pPr>
      <w:r>
        <w:t>[Interface]</w:t>
      </w:r>
    </w:p>
    <w:p>
      <w:pPr>
        <w:pStyle w:val="Normal"/>
      </w:pPr>
      <w:r>
        <w:t>ListenPort</w:t>
        <w:t xml:space="preserve"> </w:t>
        <w:t>=</w:t>
        <w:t xml:space="preserve"> </w:t>
        <w:t>51000</w:t>
      </w:r>
    </w:p>
    <w:p>
      <w:pPr>
        <w:pStyle w:val="Normal"/>
      </w:pPr>
      <w:r>
        <w:t>Address</w:t>
        <w:t xml:space="preserve"> </w:t>
        <w:t>=</w:t>
        <w:t xml:space="preserve"> </w:t>
        <w:t>10.10.10.11</w:t>
        <w:t>/</w:t>
        <w:t>24</w:t>
      </w:r>
    </w:p>
    <w:p>
      <w:pPr>
        <w:pStyle w:val="Normal"/>
      </w:pPr>
      <w:r>
        <w:t>PrivateKey</w:t>
        <w:t xml:space="preserve"> </w:t>
        <w:t>= &lt;</w:t>
        <w:t>contents of the private key</w:t>
        <w:t xml:space="preserve"> </w:t>
      </w:r>
      <w:r>
        <w:rPr>
          <w:rStyle w:val="Text0"/>
        </w:rPr>
        <w:t>for</w:t>
      </w:r>
      <w:r>
        <w:t xml:space="preserve"> </w:t>
        <w:t>this system</w:t>
        <w:t>&gt;</w:t>
      </w:r>
    </w:p>
    <w:p>
      <w:pPr>
        <w:pStyle w:val="Normal"/>
      </w:pPr>
      <w:r>
        <w:t>[Peer]</w:t>
      </w:r>
    </w:p>
    <w:p>
      <w:pPr>
        <w:pStyle w:val="Para 09"/>
      </w:pPr>
      <w:r>
        <w:t>(continues on next page)</w:t>
      </w:r>
    </w:p>
    <w:p>
      <w:bookmarkStart w:id="309" w:name="page_2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4" name="index-219_1.png" descr="index-219_1.png"/>
            <wp:cNvGraphicFramePr>
              <a:graphicFrameLocks noChangeAspect="1"/>
            </wp:cNvGraphicFramePr>
            <a:graphic>
              <a:graphicData uri="http://schemas.openxmlformats.org/drawingml/2006/picture">
                <pic:pic>
                  <pic:nvPicPr>
                    <pic:cNvPr id="0" name="index-219_1.png" descr="index-219_1.png"/>
                    <pic:cNvPicPr/>
                  </pic:nvPicPr>
                  <pic:blipFill>
                    <a:blip r:embed="rId228"/>
                    <a:stretch>
                      <a:fillRect/>
                    </a:stretch>
                  </pic:blipFill>
                  <pic:spPr>
                    <a:xfrm>
                      <a:off x="0" y="0"/>
                      <a:ext cx="914400" cy="266700"/>
                    </a:xfrm>
                    <a:prstGeom prst="rect">
                      <a:avLst/>
                    </a:prstGeom>
                  </pic:spPr>
                </pic:pic>
              </a:graphicData>
            </a:graphic>
          </wp:anchor>
        </w:drawing>
      </w:r>
      <w:bookmarkEnd w:id="309"/>
    </w:p>
    <w:p>
      <w:pPr>
        <w:pStyle w:val="Para 09"/>
      </w:pPr>
      <w:r>
        <w:t>(continued from previous page)</w:t>
      </w:r>
    </w:p>
    <w:p>
      <w:pPr>
        <w:pStyle w:val="Normal"/>
      </w:pPr>
      <w:r>
        <w:t>PublicKey</w:t>
        <w:t xml:space="preserve"> </w:t>
        <w:t>= &lt;</w:t>
        <w:t>contents of internal</w:t>
        <w:t>-</w:t>
        <w:t>public</w:t>
        <w:t>.</w:t>
        <w:t>key</w:t>
        <w:t>&gt;</w:t>
        <w:t xml:space="preserve"> </w:t>
        <w:t>Endpoint</w:t>
        <w:t xml:space="preserve"> </w:t>
        <w:t>= &lt;</w:t>
        <w:t>home</w:t>
        <w:t>-</w:t>
        <w:t>ppp0</w:t>
        <w:t>-</w:t>
        <w:t>IP</w:t>
        <w:t>-</w:t>
      </w:r>
      <w:r>
        <w:rPr>
          <w:rStyle w:val="Text0"/>
        </w:rPr>
        <w:t>or</w:t>
      </w:r>
      <w:r>
        <w:t>-</w:t>
        <w:t>hostname</w:t>
        <w:t>&gt;</w:t>
        <w:t>:</w:t>
        <w:t>51000</w:t>
        <w:t xml:space="preserve"> </w:t>
        <w:t>AllowedIPs</w:t>
        <w:t xml:space="preserve"> </w:t>
        <w:t>=</w:t>
        <w:t xml:space="preserve"> </w:t>
        <w:t>10.10.10.0</w:t>
        <w:t>/</w:t>
        <w:t>24</w:t>
      </w:r>
    </w:p>
    <w:p>
      <w:pPr>
        <w:pStyle w:val="Para 17"/>
      </w:pPr>
      <w:r>
        <w:t/>
      </w:r>
    </w:p>
    <w:p>
      <w:pPr>
        <w:pStyle w:val="Normal"/>
      </w:pPr>
      <w:r>
        <w:t>And bring up this WireGuard interface:</w:t>
      </w:r>
    </w:p>
    <w:p>
      <w:pPr>
        <w:pStyle w:val="Normal"/>
      </w:pPr>
      <w:r>
        <w:t>$ sudo wg-quick up home0</w:t>
      </w:r>
    </w:p>
    <w:p>
      <w:pPr>
        <w:pStyle w:val="Para 17"/>
      </w:pPr>
      <w:r>
        <w:t/>
      </w:r>
    </w:p>
    <w:p>
      <w:pPr>
        <w:pStyle w:val="Para 08"/>
      </w:pPr>
      <w:r>
        <w:t>Note:</w:t>
      </w:r>
    </w:p>
    <w:p>
      <w:pPr>
        <w:pStyle w:val="Para 03"/>
      </w:pPr>
      <w:r>
        <w:t>There is no need to add an index number to the end of the interface name. That is a con-</w:t>
      </w:r>
    </w:p>
    <w:p>
      <w:pPr>
        <w:pStyle w:val="Para 03"/>
      </w:pPr>
      <w:r>
        <w:t>vention, but not strictly a requirement.</w:t>
      </w:r>
    </w:p>
    <w:p>
      <w:pPr>
        <w:pStyle w:val="Para 17"/>
      </w:pPr>
      <w:r>
        <w:t/>
      </w:r>
    </w:p>
    <w:p>
      <w:pPr>
        <w:pStyle w:val="Para 01"/>
      </w:pPr>
      <w:r>
        <w:t>Testing</w:t>
      </w:r>
    </w:p>
    <w:p>
      <w:pPr>
        <w:pStyle w:val="Para 17"/>
      </w:pPr>
      <w:r>
        <w:t/>
      </w:r>
    </w:p>
    <w:p>
      <w:pPr>
        <w:pStyle w:val="Normal"/>
      </w:pPr>
      <w:r>
        <w:t>With the WireGuard interfaces up on both peers, traffic should flow seamlessly in the 10.10. 10.0/24 network between remote and local systems.</w:t>
      </w:r>
    </w:p>
    <w:p>
      <w:pPr>
        <w:pStyle w:val="Normal"/>
      </w:pPr>
      <w:r>
        <w:t>More specifically, it’s best to test the non-trivial cases, that is, traffic between the remote peer and a host other than the one with the WireGuard interface on the home network.</w:t>
      </w:r>
    </w:p>
    <w:p>
      <w:pPr>
        <w:pStyle w:val="Para 17"/>
      </w:pPr>
      <w:r>
        <w:t/>
      </w:r>
    </w:p>
    <w:p>
      <w:pPr>
        <w:pStyle w:val="Para 01"/>
      </w:pPr>
      <w:r>
        <w:t>WireGuard VPN site-to-site</w:t>
      </w:r>
    </w:p>
    <w:p>
      <w:pPr>
        <w:pStyle w:val="Para 17"/>
      </w:pPr>
      <w:r>
        <w:t/>
      </w:r>
    </w:p>
    <w:p>
      <w:pPr>
        <w:pStyle w:val="Normal"/>
      </w:pPr>
      <w:r>
        <w:t>Another usual VPN configuration where one could deploy WireGuard is to connect two dis-tinct networks over the internet. Here is a simplified diagram:</w:t>
      </w:r>
    </w:p>
    <w:p>
      <w:pPr>
        <w:pStyle w:val="Normal"/>
      </w:pPr>
      <w:r>
        <w:t xml:space="preserve">The goal here is to seamlessly integrate network </w:t>
      </w:r>
      <w:r>
        <w:rPr>
          <w:rStyle w:val="Text0"/>
        </w:rPr>
        <w:t>alpha</w:t>
      </w:r>
      <w:r>
        <w:t xml:space="preserve"> with network </w:t>
      </w:r>
      <w:r>
        <w:rPr>
          <w:rStyle w:val="Text0"/>
        </w:rPr>
        <w:t>beta</w:t>
      </w:r>
      <w:r>
        <w:t>, so that systems on the alpha site can transparently access systems on the beta site, and vice-versa.</w:t>
      </w:r>
    </w:p>
    <w:p>
      <w:pPr>
        <w:pStyle w:val="Normal"/>
      </w:pPr>
      <w:r>
        <w:t>Such a setup has a few particular details:</w:t>
      </w:r>
    </w:p>
    <w:p>
      <w:pPr>
        <w:pStyle w:val="Para 04"/>
      </w:pPr>
      <w:r>
        <w:t>• Both peers are likely to be always up and running.</w:t>
      </w:r>
    </w:p>
    <w:p>
      <w:pPr>
        <w:pStyle w:val="Para 04"/>
      </w:pPr>
      <w:r>
        <w:t>• We can’t assume one side will always be the initiator, like the laptop in a coffee shop</w:t>
      </w:r>
    </w:p>
    <w:p>
      <w:pPr>
        <w:pStyle w:val="Para 02"/>
      </w:pPr>
      <w:r>
        <w:t>scenario.</w:t>
      </w:r>
    </w:p>
    <w:p>
      <w:pPr>
        <w:pStyle w:val="Para 04"/>
      </w:pPr>
      <w:r>
        <w:t>• Because of the above, both peers should have a static endpoint, like a fixed IP address,</w:t>
      </w:r>
    </w:p>
    <w:p>
      <w:pPr>
        <w:pStyle w:val="Para 02"/>
      </w:pPr>
      <w:r>
        <w:t>or valid domain name.</w:t>
      </w:r>
    </w:p>
    <w:p>
      <w:pPr>
        <w:pStyle w:val="Para 04"/>
      </w:pPr>
      <w:r>
        <w:t>• Since we are not assigning VPN IPs to all systems on each side, the VPN network here</w:t>
      </w:r>
    </w:p>
    <w:p>
      <w:pPr>
        <w:pStyle w:val="Para 02"/>
      </w:pPr>
      <w:r>
        <w:t>will be very small (a /31, which allows for two IPs) and only used for routing. The only systems with an IP in the VPN network are the gateways themselves.</w:t>
      </w:r>
    </w:p>
    <w:p>
      <w:pPr>
        <w:pStyle w:val="Para 04"/>
      </w:pPr>
      <w:r>
        <w:t>• There will be no NAT applied to traffic going over the WireGuard network. Therefore,</w:t>
      </w:r>
    </w:p>
    <w:p>
      <w:pPr>
        <w:pStyle w:val="Para 02"/>
      </w:pPr>
      <w:r>
        <w:t xml:space="preserve">the networks of both sites </w:t>
      </w:r>
      <w:r>
        <w:rPr>
          <w:rStyle w:val="Text0"/>
        </w:rPr>
        <w:t>must</w:t>
      </w:r>
      <w:r>
        <w:t xml:space="preserve"> be different and not overlap.</w:t>
      </w:r>
    </w:p>
    <w:p>
      <w:pPr>
        <w:pStyle w:val="Normal"/>
      </w:pPr>
      <w:r>
        <w:t>This is what an MTR (My Traceroute) report from a system in the beta network to an alpha system will look like:</w:t>
      </w:r>
    </w:p>
    <w:p>
      <w:pPr>
        <w:pStyle w:val="Normal"/>
      </w:pPr>
      <w:r>
        <w:t>ubuntu@b1:~$ mtr -n -r</w:t>
        <w:t xml:space="preserve"> </w:t>
        <w:t>10</w:t>
        <w:t>.10.10.230</w:t>
      </w:r>
    </w:p>
    <w:p>
      <w:pPr>
        <w:pStyle w:val="Normal"/>
      </w:pPr>
      <w:r>
        <w:t>Start:</w:t>
        <w:t xml:space="preserve"> </w:t>
        <w:t>2022</w:t>
        <w:t>-09-02T18:56:51+0000</w:t>
      </w:r>
    </w:p>
    <w:p>
      <w:pPr>
        <w:pStyle w:val="Normal"/>
      </w:pPr>
      <w:r>
        <w:t>HOST: b1</w:t>
        <w:t xml:space="preserve"> </w:t>
        <w:t>Loss%</w:t>
        <w:t xml:space="preserve"> </w:t>
        <w:t>Snt</w:t>
        <w:t xml:space="preserve"> </w:t>
        <w:t>Last</w:t>
        <w:t xml:space="preserve"> </w:t>
        <w:t>Avg</w:t>
        <w:t xml:space="preserve"> </w:t>
        <w:t>Best</w:t>
        <w:t xml:space="preserve"> </w:t>
        <w:t>Wrst StDev</w:t>
      </w:r>
    </w:p>
    <w:p>
      <w:pPr>
        <w:pStyle w:val="Para 09"/>
      </w:pPr>
      <w:r>
        <w:t>(continues on next page)</w:t>
      </w:r>
    </w:p>
    <w:p>
      <w:bookmarkStart w:id="310" w:name="page_2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5" name="index-220_1.png" descr="index-220_1.png"/>
            <wp:cNvGraphicFramePr>
              <a:graphicFrameLocks noChangeAspect="1"/>
            </wp:cNvGraphicFramePr>
            <a:graphic>
              <a:graphicData uri="http://schemas.openxmlformats.org/drawingml/2006/picture">
                <pic:pic>
                  <pic:nvPicPr>
                    <pic:cNvPr id="0" name="index-220_1.png" descr="index-220_1.png"/>
                    <pic:cNvPicPr/>
                  </pic:nvPicPr>
                  <pic:blipFill>
                    <a:blip r:embed="rId229"/>
                    <a:stretch>
                      <a:fillRect/>
                    </a:stretch>
                  </pic:blipFill>
                  <pic:spPr>
                    <a:xfrm>
                      <a:off x="0" y="0"/>
                      <a:ext cx="914400" cy="266700"/>
                    </a:xfrm>
                    <a:prstGeom prst="rect">
                      <a:avLst/>
                    </a:prstGeom>
                  </pic:spPr>
                </pic:pic>
              </a:graphicData>
            </a:graphic>
          </wp:anchor>
        </w:drawing>
      </w:r>
      <w:bookmarkEnd w:id="310"/>
    </w:p>
    <w:p>
      <w:pPr>
        <w:pStyle w:val="Para 09"/>
      </w:pPr>
      <w:r>
        <w:t>(continued from previous page)</w:t>
      </w:r>
    </w:p>
    <w:p>
      <w:pPr>
        <w:pStyle w:val="Para 03"/>
      </w:pPr>
      <w:r>
        <w:t>1</w:t>
        <w:t>.|--</w:t>
        <w:t>10</w:t>
        <w:t>.10.11.1</w:t>
        <w:t xml:space="preserve"> </w:t>
        <w:t>0</w:t>
        <w:t>.0%</w:t>
        <w:t xml:space="preserve"> </w:t>
        <w:t>10</w:t>
        <w:t xml:space="preserve"> </w:t>
        <w:t>0</w:t>
        <w:t>.1</w:t>
        <w:t xml:space="preserve"> </w:t>
        <w:t>0</w:t>
        <w:t>.1</w:t>
        <w:t xml:space="preserve"> </w:t>
        <w:t>0</w:t>
        <w:t>.1</w:t>
        <w:t xml:space="preserve"> </w:t>
        <w:t>0</w:t>
        <w:t>.2</w:t>
        <w:t xml:space="preserve"> </w:t>
        <w:t>0</w:t>
        <w:t>.0</w:t>
      </w:r>
    </w:p>
    <w:p>
      <w:pPr>
        <w:pStyle w:val="Para 03"/>
      </w:pPr>
      <w:r>
        <w:t>2</w:t>
        <w:t>.|--</w:t>
        <w:t>10</w:t>
        <w:t>.10.9.0</w:t>
        <w:t xml:space="preserve"> </w:t>
        <w:t>0</w:t>
        <w:t>.0%</w:t>
        <w:t xml:space="preserve"> </w:t>
        <w:t>10</w:t>
        <w:t xml:space="preserve"> </w:t>
        <w:t>299</w:t>
        <w:t>.6</w:t>
        <w:t xml:space="preserve"> </w:t>
        <w:t>299</w:t>
        <w:t>.3</w:t>
        <w:t xml:space="preserve"> </w:t>
        <w:t>298</w:t>
        <w:t>.3</w:t>
        <w:t xml:space="preserve"> </w:t>
        <w:t>300</w:t>
        <w:t>.0</w:t>
        <w:t xml:space="preserve"> </w:t>
        <w:t>0</w:t>
        <w:t>.6</w:t>
      </w:r>
    </w:p>
    <w:p>
      <w:pPr>
        <w:pStyle w:val="Para 03"/>
      </w:pPr>
      <w:r>
        <w:t>3</w:t>
        <w:t>.|--</w:t>
        <w:t>10</w:t>
        <w:t>.10.10.230</w:t>
        <w:t xml:space="preserve"> </w:t>
        <w:t>0</w:t>
        <w:t>.0%</w:t>
        <w:t xml:space="preserve"> </w:t>
        <w:t>10</w:t>
        <w:t xml:space="preserve"> </w:t>
        <w:t>299</w:t>
        <w:t>.1</w:t>
        <w:t xml:space="preserve"> </w:t>
        <w:t>299</w:t>
        <w:t>.1</w:t>
        <w:t xml:space="preserve"> </w:t>
        <w:t>298</w:t>
        <w:t>.0</w:t>
        <w:t xml:space="preserve"> </w:t>
        <w:t>300</w:t>
        <w:t>.2</w:t>
        <w:t xml:space="preserve"> </w:t>
        <w:t>0</w:t>
        <w:t>.6</w:t>
      </w:r>
    </w:p>
    <w:p>
      <w:pPr>
        <w:pStyle w:val="Para 17"/>
      </w:pPr>
      <w:r>
        <w:t/>
      </w:r>
    </w:p>
    <w:p>
      <w:pPr>
        <w:pStyle w:val="Para 08"/>
      </w:pPr>
      <w:r>
        <w:t>Note:</w:t>
      </w:r>
    </w:p>
    <w:p>
      <w:pPr>
        <w:pStyle w:val="Para 03"/>
      </w:pPr>
      <w:r>
        <w:t>Technically, a /31 Classless Inter-Domain Routing (CIDR) network has no usable IP ad-</w:t>
      </w:r>
    </w:p>
    <w:p>
      <w:pPr>
        <w:pStyle w:val="Para 03"/>
      </w:pPr>
      <w:r>
        <w:t>dresses, since the first one is the network address, and the second (and last) one is the</w:t>
      </w:r>
    </w:p>
    <w:p>
      <w:pPr>
        <w:pStyle w:val="Para 03"/>
      </w:pPr>
      <w:r>
        <w:t xml:space="preserve">broadcast address. </w:t>
      </w:r>
      <w:hyperlink w:anchor="page_220">
        <w:r>
          <w:rPr>
            <w:rStyle w:val="Text9"/>
          </w:rPr>
          <w:t>162</w:t>
        </w:r>
      </w:hyperlink>
      <w:r>
        <w:t xml:space="preserve"> </w:t>
      </w:r>
      <w:hyperlink r:id="rId1166">
        <w:r>
          <w:rPr>
            <w:rStyle w:val="Text1"/>
          </w:rPr>
          <w:t>RFC 3021</w:t>
        </w:r>
      </w:hyperlink>
      <w:r>
        <w:t xml:space="preserve"> allows for it, but if you encounter routing or other net-</w:t>
      </w:r>
    </w:p>
    <w:p>
      <w:pPr>
        <w:pStyle w:val="Para 03"/>
      </w:pPr>
      <w:r>
        <w:t>working issues, switch to a /30 CIDR and its two valid host IPs.</w:t>
      </w:r>
    </w:p>
    <w:p>
      <w:pPr>
        <w:pStyle w:val="Para 05"/>
      </w:pPr>
      <w:r>
        <w:rPr>
          <w:rStyle w:val="Text5"/>
        </w:rPr>
        <w:t>162</w:t>
      </w:r>
      <w:r>
        <w:rPr>
          <w:rStyle w:val="Text8"/>
        </w:rPr>
        <w:t xml:space="preserve"> </w:t>
      </w:r>
      <w:r>
        <w:t>https://www.ietf.org/rfc/rfc3021.txt</w:t>
      </w:r>
    </w:p>
    <w:p>
      <w:pPr>
        <w:pStyle w:val="Para 17"/>
      </w:pPr>
      <w:r>
        <w:t/>
      </w:r>
    </w:p>
    <w:p>
      <w:pPr>
        <w:pStyle w:val="Para 01"/>
      </w:pPr>
      <w:r>
        <w:t>Configure WireGuard</w:t>
      </w:r>
    </w:p>
    <w:p>
      <w:pPr>
        <w:pStyle w:val="Para 17"/>
      </w:pPr>
      <w:r>
        <w:t/>
      </w:r>
    </w:p>
    <w:p>
      <w:pPr>
        <w:pStyle w:val="Normal"/>
      </w:pPr>
      <w:r>
        <w:t xml:space="preserve">On the system that is the gateway for each site (that has internet connectivity), we start by installing WireGuard and generating the keys. For the </w:t>
      </w:r>
      <w:r>
        <w:rPr>
          <w:rStyle w:val="Text0"/>
        </w:rPr>
        <w:t>alpha</w:t>
      </w:r>
      <w:r>
        <w:t xml:space="preserve"> site:</w:t>
      </w:r>
    </w:p>
    <w:p>
      <w:pPr>
        <w:pStyle w:val="Normal"/>
      </w:pPr>
      <w:r>
        <w:t>$ sudo apt install wireguard</w:t>
      </w:r>
    </w:p>
    <w:p>
      <w:pPr>
        <w:pStyle w:val="Normal"/>
      </w:pPr>
      <w:r>
        <w:t>$ wg genkey | sudo tee /etc/wireguard/wgA.key</w:t>
      </w:r>
    </w:p>
    <w:p>
      <w:pPr>
        <w:pStyle w:val="Normal"/>
      </w:pPr>
      <w:r>
        <w:t>$ sudo cat /etc/wireguard/wgA.key | wg pubkey | sudo tee /etc/wireguard/wgA.pub</w:t>
      </w:r>
    </w:p>
    <w:p>
      <w:pPr>
        <w:pStyle w:val="Para 17"/>
      </w:pPr>
      <w:r>
        <w:t/>
      </w:r>
    </w:p>
    <w:p>
      <w:pPr>
        <w:pStyle w:val="Normal"/>
      </w:pPr>
      <w:r>
        <w:t>And the configuration on alpha will be:</w:t>
      </w:r>
    </w:p>
    <w:p>
      <w:pPr>
        <w:pStyle w:val="Normal"/>
      </w:pPr>
      <w:r>
        <w:t>[Interface]</w:t>
      </w:r>
    </w:p>
    <w:p>
      <w:pPr>
        <w:pStyle w:val="Normal"/>
      </w:pPr>
      <w:r>
        <w:t>PostUp</w:t>
        <w:t xml:space="preserve"> </w:t>
        <w:t>=</w:t>
        <w:t xml:space="preserve"> </w:t>
        <w:t>wg</w:t>
        <w:t xml:space="preserve"> </w:t>
        <w:t>set</w:t>
        <w:t xml:space="preserve"> </w:t>
        <w:t>%</w:t>
        <w:t>i private</w:t>
        <w:t>-</w:t>
        <w:t>key</w:t>
        <w:t xml:space="preserve"> </w:t>
        <w:t>/</w:t>
        <w:t>etc</w:t>
        <w:t>/</w:t>
        <w:t>wireguard</w:t>
        <w:t>/%</w:t>
        <w:t>i</w:t>
        <w:t>.</w:t>
        <w:t>key</w:t>
        <w:t xml:space="preserve"> </w:t>
        <w:t>Address</w:t>
        <w:t xml:space="preserve"> </w:t>
        <w:t>=</w:t>
        <w:t xml:space="preserve"> </w:t>
        <w:t>10.10.9.0</w:t>
        <w:t>/</w:t>
        <w:t>31</w:t>
      </w:r>
    </w:p>
    <w:p>
      <w:pPr>
        <w:pStyle w:val="Normal"/>
      </w:pPr>
      <w:r>
        <w:t>ListenPort</w:t>
        <w:t xml:space="preserve"> </w:t>
        <w:t>=</w:t>
        <w:t xml:space="preserve"> </w:t>
        <w:t>51000</w:t>
      </w:r>
    </w:p>
    <w:p>
      <w:pPr>
        <w:pStyle w:val="Normal"/>
      </w:pPr>
      <w:r>
        <w:t>[Peer]</w:t>
      </w:r>
    </w:p>
    <w:p>
      <w:pPr>
        <w:pStyle w:val="Para 10"/>
      </w:pPr>
      <w:r>
        <w:t># beta site</w:t>
      </w:r>
    </w:p>
    <w:p>
      <w:pPr>
        <w:pStyle w:val="Normal"/>
      </w:pPr>
      <w:r>
        <w:t>PublicKey</w:t>
        <w:t xml:space="preserve"> </w:t>
        <w:t>= &lt;</w:t>
        <w:t>contents of</w:t>
        <w:t xml:space="preserve"> </w:t>
        <w:t>/</w:t>
        <w:t>etc</w:t>
        <w:t>/</w:t>
        <w:t>wireguard</w:t>
        <w:t>/</w:t>
        <w:t>wgB</w:t>
        <w:t>.</w:t>
        <w:t>pub</w:t>
        <w:t>&gt;</w:t>
        <w:t xml:space="preserve"> </w:t>
        <w:t>AllowedIPs</w:t>
        <w:t xml:space="preserve"> </w:t>
        <w:t>=</w:t>
        <w:t xml:space="preserve"> </w:t>
        <w:t>10.10.11.0</w:t>
        <w:t>/</w:t>
        <w:t>24</w:t>
        <w:t>,</w:t>
        <w:t>10.10.9.0</w:t>
        <w:t>/</w:t>
        <w:t>31</w:t>
      </w:r>
    </w:p>
    <w:p>
      <w:pPr>
        <w:pStyle w:val="Normal"/>
      </w:pPr>
      <w:r>
        <w:t>Endpoint</w:t>
        <w:t xml:space="preserve"> </w:t>
        <w:t>= &lt;</w:t>
        <w:t>beta</w:t>
        <w:t>-</w:t>
        <w:t>gw</w:t>
        <w:t>-</w:t>
        <w:t>ip</w:t>
        <w:t>&gt;</w:t>
        <w:t>:</w:t>
        <w:t>51000</w:t>
      </w:r>
    </w:p>
    <w:p>
      <w:pPr>
        <w:pStyle w:val="Para 17"/>
      </w:pPr>
      <w:r>
        <w:t/>
      </w:r>
    </w:p>
    <w:p>
      <w:pPr>
        <w:pStyle w:val="Normal"/>
      </w:pPr>
      <w:r>
        <w:t xml:space="preserve">On the gateway for the </w:t>
      </w:r>
      <w:r>
        <w:rPr>
          <w:rStyle w:val="Text0"/>
        </w:rPr>
        <w:t>beta</w:t>
      </w:r>
      <w:r>
        <w:t xml:space="preserve"> site we take similar steps:</w:t>
      </w:r>
    </w:p>
    <w:p>
      <w:pPr>
        <w:pStyle w:val="Normal"/>
      </w:pPr>
      <w:r>
        <w:t>$ sudo apt install wireguard</w:t>
      </w:r>
    </w:p>
    <w:p>
      <w:pPr>
        <w:pStyle w:val="Normal"/>
      </w:pPr>
      <w:r>
        <w:t>$ wg genkey | sudo tee /etc/wireguard/wgB.key</w:t>
      </w:r>
    </w:p>
    <w:p>
      <w:pPr>
        <w:pStyle w:val="Normal"/>
      </w:pPr>
      <w:r>
        <w:t>$ sudo cat /etc/wireguard/wgB.key | wg pubkey | sudo tee /etc/wireguard/wgB.pub</w:t>
      </w:r>
    </w:p>
    <w:p>
      <w:pPr>
        <w:pStyle w:val="Para 17"/>
      </w:pPr>
      <w:r>
        <w:t/>
      </w:r>
    </w:p>
    <w:p>
      <w:pPr>
        <w:pStyle w:val="Normal"/>
      </w:pPr>
      <w:r>
        <w:t>And create the corresponding configuration file for beta:</w:t>
      </w:r>
    </w:p>
    <w:p>
      <w:pPr>
        <w:pStyle w:val="Normal"/>
      </w:pPr>
      <w:r>
        <w:t>[Interface]</w:t>
      </w:r>
    </w:p>
    <w:p>
      <w:pPr>
        <w:pStyle w:val="Normal"/>
      </w:pPr>
      <w:r>
        <w:t>Address</w:t>
        <w:t xml:space="preserve"> </w:t>
        <w:t>=</w:t>
        <w:t xml:space="preserve"> </w:t>
        <w:t>10.10.9.1</w:t>
        <w:t>/</w:t>
        <w:t>31</w:t>
      </w:r>
    </w:p>
    <w:p>
      <w:pPr>
        <w:pStyle w:val="Normal"/>
      </w:pPr>
      <w:r>
        <w:t>PostUp</w:t>
        <w:t xml:space="preserve"> </w:t>
        <w:t>=</w:t>
        <w:t xml:space="preserve"> </w:t>
        <w:t>wg</w:t>
        <w:t xml:space="preserve"> </w:t>
        <w:t>set</w:t>
        <w:t xml:space="preserve"> </w:t>
        <w:t>%</w:t>
        <w:t>i private</w:t>
        <w:t>-</w:t>
        <w:t>key</w:t>
        <w:t xml:space="preserve"> </w:t>
        <w:t>/</w:t>
        <w:t>etc</w:t>
        <w:t>/</w:t>
        <w:t>wireguard</w:t>
        <w:t>/%</w:t>
        <w:t>i</w:t>
        <w:t>.</w:t>
        <w:t>key</w:t>
        <w:t xml:space="preserve"> </w:t>
        <w:t>ListenPort</w:t>
        <w:t xml:space="preserve"> </w:t>
        <w:t>=</w:t>
        <w:t xml:space="preserve"> </w:t>
        <w:t>51000</w:t>
      </w:r>
    </w:p>
    <w:p>
      <w:pPr>
        <w:pStyle w:val="Normal"/>
      </w:pPr>
      <w:r>
        <w:t>[Peer]</w:t>
      </w:r>
    </w:p>
    <w:p>
      <w:pPr>
        <w:pStyle w:val="Para 10"/>
      </w:pPr>
      <w:r>
        <w:t># alpha site</w:t>
      </w:r>
    </w:p>
    <w:p>
      <w:pPr>
        <w:pStyle w:val="Normal"/>
      </w:pPr>
      <w:r>
        <w:t>PublicKey</w:t>
        <w:t xml:space="preserve"> </w:t>
        <w:t>= &lt;</w:t>
        <w:t>contents of</w:t>
        <w:t xml:space="preserve"> </w:t>
        <w:t>/</w:t>
        <w:t>etc</w:t>
        <w:t>/</w:t>
        <w:t>wireguard</w:t>
        <w:t>/</w:t>
        <w:t>wgA</w:t>
        <w:t>.</w:t>
        <w:t>pub</w:t>
        <w:t>&gt;</w:t>
        <w:t xml:space="preserve"> </w:t>
        <w:t>AllowedIPs</w:t>
        <w:t xml:space="preserve"> </w:t>
        <w:t>=</w:t>
        <w:t xml:space="preserve"> </w:t>
        <w:t>10.10.10.0</w:t>
        <w:t>/</w:t>
        <w:t>24</w:t>
        <w:t>,</w:t>
        <w:t>10.10.9.0</w:t>
        <w:t>/</w:t>
        <w:t>31</w:t>
      </w:r>
    </w:p>
    <w:p>
      <w:pPr>
        <w:pStyle w:val="Normal"/>
      </w:pPr>
      <w:r>
        <w:t>Endpoint</w:t>
        <w:t xml:space="preserve"> </w:t>
        <w:t>= &lt;</w:t>
        <w:t>alpha</w:t>
        <w:t>-</w:t>
        <w:t>gw</w:t>
        <w:t>-</w:t>
        <w:t>ip</w:t>
        <w:t>&gt;</w:t>
        <w:t>:</w:t>
        <w:t>51000</w:t>
      </w:r>
    </w:p>
    <w:p>
      <w:bookmarkStart w:id="311" w:name="page_2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6" name="index-221_1.png" descr="index-221_1.png"/>
            <wp:cNvGraphicFramePr>
              <a:graphicFrameLocks noChangeAspect="1"/>
            </wp:cNvGraphicFramePr>
            <a:graphic>
              <a:graphicData uri="http://schemas.openxmlformats.org/drawingml/2006/picture">
                <pic:pic>
                  <pic:nvPicPr>
                    <pic:cNvPr id="0" name="index-221_1.png" descr="index-221_1.png"/>
                    <pic:cNvPicPr/>
                  </pic:nvPicPr>
                  <pic:blipFill>
                    <a:blip r:embed="rId230"/>
                    <a:stretch>
                      <a:fillRect/>
                    </a:stretch>
                  </pic:blipFill>
                  <pic:spPr>
                    <a:xfrm>
                      <a:off x="0" y="0"/>
                      <a:ext cx="914400" cy="266700"/>
                    </a:xfrm>
                    <a:prstGeom prst="rect">
                      <a:avLst/>
                    </a:prstGeom>
                  </pic:spPr>
                </pic:pic>
              </a:graphicData>
            </a:graphic>
          </wp:anchor>
        </w:drawing>
      </w:r>
      <w:bookmarkEnd w:id="311"/>
    </w:p>
    <w:p>
      <w:pPr>
        <w:pStyle w:val="Para 08"/>
      </w:pPr>
      <w:r>
        <w:t>Important:</w:t>
      </w:r>
    </w:p>
    <w:p>
      <w:pPr>
        <w:pStyle w:val="Para 17"/>
      </w:pPr>
      <w:r>
        <w:t/>
      </w:r>
    </w:p>
    <w:p>
      <w:pPr>
        <w:pStyle w:val="Para 03"/>
      </w:pPr>
      <w:r>
        <w:t>WireGuard is being set up on the gateways for these two networks. As such, there are no</w:t>
      </w:r>
    </w:p>
    <w:p>
      <w:pPr>
        <w:pStyle w:val="Para 03"/>
      </w:pPr>
      <w:r>
        <w:t>changes needed on individual hosts of each network, but keep in mind that the WireGuard</w:t>
      </w:r>
    </w:p>
    <w:p>
      <w:pPr>
        <w:pStyle w:val="Para 03"/>
      </w:pPr>
      <w:r>
        <w:t xml:space="preserve">tunneling and encryption is only happening between the </w:t>
      </w:r>
      <w:r>
        <w:rPr>
          <w:rStyle w:val="Text3"/>
        </w:rPr>
        <w:t>alpha</w:t>
      </w:r>
      <w:r>
        <w:t xml:space="preserve"> and </w:t>
      </w:r>
      <w:r>
        <w:rPr>
          <w:rStyle w:val="Text3"/>
        </w:rPr>
        <w:t>beta</w:t>
      </w:r>
      <w:r>
        <w:t xml:space="preserve"> gateways, and</w:t>
      </w:r>
    </w:p>
    <w:p>
      <w:pPr>
        <w:pStyle w:val="Para 03"/>
      </w:pPr>
      <w:r>
        <w:rPr>
          <w:rStyle w:val="Text0"/>
        </w:rPr>
        <w:t>NOT</w:t>
      </w:r>
      <w:r>
        <w:t xml:space="preserve"> between the hosts of each network.</w:t>
      </w:r>
    </w:p>
    <w:p>
      <w:pPr>
        <w:pStyle w:val="Para 17"/>
      </w:pPr>
      <w:r>
        <w:t/>
      </w:r>
    </w:p>
    <w:p>
      <w:pPr>
        <w:pStyle w:val="Para 01"/>
      </w:pPr>
      <w:r>
        <w:t>Bring the interfaces up</w:t>
      </w:r>
    </w:p>
    <w:p>
      <w:pPr>
        <w:pStyle w:val="Para 17"/>
      </w:pPr>
      <w:r>
        <w:t/>
      </w:r>
    </w:p>
    <w:p>
      <w:pPr>
        <w:pStyle w:val="Normal"/>
      </w:pPr>
      <w:r>
        <w:t>Since this VPN is permanent between static sites, it’s best to use the systemd unit file for wg-quick to bring the interfaces up and control them in general. In particular, we want them to be brought up automatically on reboot events.</w:t>
      </w:r>
    </w:p>
    <w:p>
      <w:pPr>
        <w:pStyle w:val="Para 01"/>
      </w:pPr>
      <w:r>
        <w:rPr>
          <w:rStyle w:val="Text0"/>
        </w:rPr>
        <w:t xml:space="preserve">On </w:t>
      </w:r>
      <w:r>
        <w:t>alpha</w:t>
      </w:r>
      <w:r>
        <w:rPr>
          <w:rStyle w:val="Text0"/>
        </w:rPr>
        <w:t>:</w:t>
      </w:r>
    </w:p>
    <w:p>
      <w:pPr>
        <w:pStyle w:val="Normal"/>
      </w:pPr>
      <w:r>
        <w:t>$ sudo systemctl</w:t>
        <w:t xml:space="preserve"> </w:t>
        <w:t>enable</w:t>
        <w:t>--now wg-quick@wgA</w:t>
      </w:r>
    </w:p>
    <w:p>
      <w:pPr>
        <w:pStyle w:val="Para 17"/>
      </w:pPr>
      <w:r>
        <w:t/>
      </w:r>
    </w:p>
    <w:p>
      <w:pPr>
        <w:pStyle w:val="Normal"/>
      </w:pPr>
      <w:r>
        <w:t xml:space="preserve">And similarly on </w:t>
      </w:r>
      <w:r>
        <w:rPr>
          <w:rStyle w:val="Text0"/>
        </w:rPr>
        <w:t>beta</w:t>
      </w:r>
      <w:r>
        <w:t>:</w:t>
      </w:r>
    </w:p>
    <w:p>
      <w:pPr>
        <w:pStyle w:val="Normal"/>
      </w:pPr>
      <w:r>
        <w:t>$ sudo systemctl</w:t>
        <w:t xml:space="preserve"> </w:t>
        <w:t>enable</w:t>
        <w:t>--now wg-quick@wgB</w:t>
      </w:r>
    </w:p>
    <w:p>
      <w:pPr>
        <w:pStyle w:val="Para 17"/>
      </w:pPr>
      <w:r>
        <w:t/>
      </w:r>
    </w:p>
    <w:p>
      <w:pPr>
        <w:pStyle w:val="Normal"/>
      </w:pPr>
      <w:r>
        <w:t>This both enables the interface on reboot, and starts it right away.</w:t>
      </w:r>
    </w:p>
    <w:p>
      <w:pPr>
        <w:pStyle w:val="Para 17"/>
      </w:pPr>
      <w:r>
        <w:t/>
      </w:r>
    </w:p>
    <w:p>
      <w:pPr>
        <w:pStyle w:val="Para 01"/>
      </w:pPr>
      <w:r>
        <w:t>Firewall and routing</w:t>
      </w:r>
    </w:p>
    <w:p>
      <w:pPr>
        <w:pStyle w:val="Para 17"/>
      </w:pPr>
      <w:r>
        <w:t/>
      </w:r>
    </w:p>
    <w:p>
      <w:pPr>
        <w:pStyle w:val="Normal"/>
      </w:pPr>
      <w:r>
        <w:t>Both gateways probably already have some routing and firewall rules. These might need changes depending on how they are set up.</w:t>
      </w:r>
    </w:p>
    <w:p>
      <w:pPr>
        <w:pStyle w:val="Normal"/>
      </w:pPr>
      <w:r>
        <w:t>The individual hosts on each network won’t need any changes regarding the remote alpha or beta networks, because they will just send that traffic to the default gateway (as any other non-local traffic), which knows how to route it because of the routes that wg-quick added.</w:t>
      </w:r>
    </w:p>
    <w:p>
      <w:pPr>
        <w:pStyle w:val="Normal"/>
      </w:pPr>
      <w:r>
        <w:t>In the configuration we did so far, there have been no restrictions in place, so traffic between both sites flows without impediments.</w:t>
      </w:r>
    </w:p>
    <w:p>
      <w:pPr>
        <w:pStyle w:val="Normal"/>
      </w:pPr>
      <w:r>
        <w:t>In general, what needs to be done or checked is:</w:t>
      </w:r>
    </w:p>
    <w:p>
      <w:pPr>
        <w:pStyle w:val="Para 04"/>
      </w:pPr>
      <w:r>
        <w:t>• Make sure both gateways can contact each other on the specified endpoint addresses</w:t>
      </w:r>
    </w:p>
    <w:p>
      <w:pPr>
        <w:pStyle w:val="Para 02"/>
      </w:pPr>
      <w:r>
        <w:t>and UDP port. In the case of this example, that is port 51000. For extra security, create a firewall rule that only allows each peer to contact this port, instead of the Internet at large.</w:t>
      </w:r>
    </w:p>
    <w:p>
      <w:pPr>
        <w:pStyle w:val="Para 04"/>
      </w:pPr>
      <w:r>
        <w:t>• Do NOT masquerade or NAT the traffic coming from the internal network and going out</w:t>
      </w:r>
    </w:p>
    <w:p>
      <w:pPr>
        <w:pStyle w:val="Para 17"/>
      </w:pPr>
      <w:r>
        <w:t>via the WireGuard interface towards the other site. This is purely routed traffic.</w:t>
      </w:r>
    </w:p>
    <w:p>
      <w:pPr>
        <w:pStyle w:val="Para 04"/>
      </w:pPr>
      <w:r>
        <w:t>• There shouldn’t be any routing changes needed on the gateways, since wg-quick takes</w:t>
      </w:r>
    </w:p>
    <w:p>
      <w:pPr>
        <w:pStyle w:val="Para 02"/>
      </w:pPr>
      <w:r>
        <w:t>care of adding the route for the remote site, but do check the routing table to see if it makes sense (ip route and ip route | grep wg are a good start).</w:t>
      </w:r>
    </w:p>
    <w:p>
      <w:pPr>
        <w:pStyle w:val="Para 04"/>
      </w:pPr>
      <w:r>
        <w:t>• You may have to create new firewall rules if you need to restrict traffic between the</w:t>
      </w:r>
    </w:p>
    <w:p>
      <w:pPr>
        <w:pStyle w:val="Para 02"/>
      </w:pPr>
      <w:r>
        <w:t>alpha and beta networks.</w:t>
      </w:r>
    </w:p>
    <w:p>
      <w:pPr>
        <w:pStyle w:val="Para 02"/>
      </w:pPr>
      <w:r>
        <w:t xml:space="preserve">For example, if you want to prevent SSH between the sites, you could add a firewall rule like this one to </w:t>
      </w:r>
      <w:r>
        <w:rPr>
          <w:rStyle w:val="Text0"/>
        </w:rPr>
        <w:t>alpha</w:t>
      </w:r>
      <w:r>
        <w:t>:</w:t>
      </w:r>
    </w:p>
    <w:p>
      <w:bookmarkStart w:id="312" w:name="page_2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7" name="index-222_1.png" descr="index-222_1.png"/>
            <wp:cNvGraphicFramePr>
              <a:graphicFrameLocks noChangeAspect="1"/>
            </wp:cNvGraphicFramePr>
            <a:graphic>
              <a:graphicData uri="http://schemas.openxmlformats.org/drawingml/2006/picture">
                <pic:pic>
                  <pic:nvPicPr>
                    <pic:cNvPr id="0" name="index-222_1.png" descr="index-222_1.png"/>
                    <pic:cNvPicPr/>
                  </pic:nvPicPr>
                  <pic:blipFill>
                    <a:blip r:embed="rId231"/>
                    <a:stretch>
                      <a:fillRect/>
                    </a:stretch>
                  </pic:blipFill>
                  <pic:spPr>
                    <a:xfrm>
                      <a:off x="0" y="0"/>
                      <a:ext cx="914400" cy="266700"/>
                    </a:xfrm>
                    <a:prstGeom prst="rect">
                      <a:avLst/>
                    </a:prstGeom>
                  </pic:spPr>
                </pic:pic>
              </a:graphicData>
            </a:graphic>
          </wp:anchor>
        </w:drawing>
      </w:r>
      <w:bookmarkEnd w:id="312"/>
    </w:p>
    <w:p>
      <w:pPr>
        <w:pStyle w:val="Para 02"/>
      </w:pPr>
      <w:r>
        <w:t>$ sudo iptables -A FORWARD -i wgA -p tcp --dport 22 -j REJECT</w:t>
      </w:r>
    </w:p>
    <w:p>
      <w:pPr>
        <w:pStyle w:val="Para 02"/>
      </w:pPr>
      <w:r>
        <w:t xml:space="preserve">And similarly on </w:t>
      </w:r>
      <w:r>
        <w:rPr>
          <w:rStyle w:val="Text0"/>
        </w:rPr>
        <w:t>beta</w:t>
      </w:r>
      <w:r>
        <w:t>:</w:t>
      </w:r>
    </w:p>
    <w:p>
      <w:pPr>
        <w:pStyle w:val="Para 02"/>
      </w:pPr>
      <w:r>
        <w:t>$ sudo iptables -A FORWARD -i wgB -p tcp --dport 22 -j REJECT</w:t>
      </w:r>
    </w:p>
    <w:p>
      <w:pPr>
        <w:pStyle w:val="Para 02"/>
      </w:pPr>
      <w:r>
        <w:t>You can add these as PostUp actions in the WireGuard interface config. Just don’t forget to remove them in the corresponding PreDown hook, or you will end up with multiple rules.</w:t>
      </w:r>
    </w:p>
    <w:p>
      <w:pPr>
        <w:pStyle w:val="Normal"/>
      </w:pPr>
      <w:r>
        <w:t>WireGuard can also be set up to route all traffic through the VPN.</w:t>
      </w:r>
    </w:p>
    <w:p>
      <w:pPr>
        <w:pStyle w:val="Para 17"/>
      </w:pPr>
      <w:r>
        <w:t/>
      </w:r>
    </w:p>
    <w:p>
      <w:pPr>
        <w:pStyle w:val="Para 01"/>
      </w:pPr>
      <w:r>
        <w:t>Using the VPN as the default gateway</w:t>
      </w:r>
    </w:p>
    <w:p>
      <w:pPr>
        <w:pStyle w:val="Para 17"/>
      </w:pPr>
      <w:r>
        <w:t/>
      </w:r>
    </w:p>
    <w:p>
      <w:pPr>
        <w:pStyle w:val="Normal"/>
      </w:pPr>
      <w:r>
        <w:t>WireGuard can be set up to route all traffic through the VPN, and not just specific remote networks. There could be many reasons to do this, but mostly they are related to privacy.</w:t>
      </w:r>
    </w:p>
    <w:p>
      <w:pPr>
        <w:pStyle w:val="Normal"/>
      </w:pPr>
      <w:r>
        <w:t>Here we will assume a scenario where the local network is considered to be “untrusted”, and we want to leak as little information as possible about our behavior on the Internet. This could apply to the case of an airport, or a coffee shop, a conference, a hotel, or any other public network.</w:t>
      </w:r>
    </w:p>
    <w:p>
      <w:pPr>
        <w:pStyle w:val="Para 17"/>
      </w:pPr>
      <w:r>
        <w:t>public untrusted</w:t>
        <w:t xml:space="preserve"> </w:t>
        <w:t>┌── wg0 10.90.90.2/24</w:t>
      </w:r>
    </w:p>
    <w:p>
      <w:pPr>
        <w:pStyle w:val="Normal"/>
      </w:pPr>
      <w:r>
        <w:t>10.90.90.1/24</w:t>
        <w:t xml:space="preserve"> </w:t>
        <w:t>network/internet</w:t>
        <w:t xml:space="preserve"> </w:t>
        <w:t>│</w:t>
        <w:t xml:space="preserve"> </w:t>
        <w:t>VPN network</w:t>
      </w:r>
    </w:p>
    <w:p>
      <w:pPr>
        <w:pStyle w:val="Para 06"/>
      </w:pPr>
      <w:r>
        <w:t>wg0│</w:t>
        <w:t xml:space="preserve"> </w:t>
        <w:t>xxxxxx</w:t>
        <w:t xml:space="preserve"> </w:t>
        <w:t>┌──────┴─┐</w:t>
      </w:r>
    </w:p>
    <w:p>
      <w:pPr>
        <w:pStyle w:val="Para 11"/>
      </w:pPr>
      <w:r>
        <w:t>┌─┴──┐</w:t>
        <w:t xml:space="preserve"> </w:t>
        <w:t>xx</w:t>
        <w:t xml:space="preserve"> </w:t>
        <w:t>xxxxx</w:t>
        <w:t xml:space="preserve"> </w:t>
        <w:t>──────┤ VPN gw │</w:t>
        <w:t xml:space="preserve"> </w:t>
        <w:t>│</w:t>
        <w:t xml:space="preserve"> </w:t>
        <w:t>├─wlan0</w:t>
        <w:t xml:space="preserve"> </w:t>
        <w:t>xx</w:t>
        <w:t xml:space="preserve"> </w:t>
        <w:t>xx</w:t>
        <w:t xml:space="preserve"> </w:t>
        <w:t>eth0 └────────┘</w:t>
        <w:t xml:space="preserve"> </w:t>
        <w:t>│</w:t>
        <w:t xml:space="preserve"> </w:t>
        <w:t>│</w:t>
        <w:t xml:space="preserve"> </w:t>
        <w:t>xx</w:t>
        <w:t xml:space="preserve"> </w:t>
        <w:t>x</w:t>
      </w:r>
    </w:p>
    <w:p>
      <w:pPr>
        <w:pStyle w:val="Para 11"/>
      </w:pPr>
      <w:r>
        <w:t>│</w:t>
        <w:t xml:space="preserve"> </w:t>
        <w:t>│</w:t>
        <w:t xml:space="preserve"> </w:t>
        <w:t>xxx</w:t>
        <w:t xml:space="preserve"> </w:t>
        <w:t>xxx</w:t>
      </w:r>
    </w:p>
    <w:p>
      <w:pPr>
        <w:pStyle w:val="Para 11"/>
      </w:pPr>
      <w:r>
        <w:t>└────┘</w:t>
        <w:t xml:space="preserve"> </w:t>
        <w:t>xxxxxx</w:t>
      </w:r>
    </w:p>
    <w:p>
      <w:pPr>
        <w:pStyle w:val="Para 11"/>
      </w:pPr>
      <w:r>
        <w:t>Laptop</w:t>
      </w:r>
    </w:p>
    <w:p>
      <w:pPr>
        <w:pStyle w:val="Para 17"/>
      </w:pPr>
      <w:r>
        <w:t/>
      </w:r>
    </w:p>
    <w:p>
      <w:pPr>
        <w:pStyle w:val="Normal"/>
      </w:pPr>
      <w:r>
        <w:t>For the best results, we need a system we can reach on the internet and that we control. Most commonly this can be a simple small VM in a public cloud, but a home network also works. Here we will assume it’s a brand new system that will be configured from scratch for this very specific purpose.</w:t>
      </w:r>
    </w:p>
    <w:p>
      <w:pPr>
        <w:pStyle w:val="Para 17"/>
      </w:pPr>
      <w:r>
        <w:t/>
      </w:r>
    </w:p>
    <w:p>
      <w:pPr>
        <w:pStyle w:val="Para 01"/>
      </w:pPr>
      <w:r>
        <w:t>Install and configure WireGuard</w:t>
      </w:r>
    </w:p>
    <w:p>
      <w:pPr>
        <w:pStyle w:val="Para 17"/>
      </w:pPr>
      <w:r>
        <w:t/>
      </w:r>
    </w:p>
    <w:p>
      <w:pPr>
        <w:pStyle w:val="Normal"/>
      </w:pPr>
      <w:r>
        <w:t>Let’s start the configuration by installing WireGuard and generating the keys. On the client, run the following commands:</w:t>
      </w:r>
    </w:p>
    <w:p>
      <w:pPr>
        <w:pStyle w:val="Normal"/>
      </w:pPr>
      <w:r>
        <w:t>sudo apt install wireguard</w:t>
      </w:r>
    </w:p>
    <w:p>
      <w:pPr>
        <w:pStyle w:val="Normal"/>
      </w:pPr>
      <w:r>
        <w:t>umask</w:t>
        <w:t xml:space="preserve"> </w:t>
        <w:t>077</w:t>
      </w:r>
    </w:p>
    <w:p>
      <w:pPr>
        <w:pStyle w:val="Normal"/>
      </w:pPr>
      <w:r>
        <w:t>wg genkey &gt; wg0.key</w:t>
      </w:r>
    </w:p>
    <w:p>
      <w:pPr>
        <w:pStyle w:val="Normal"/>
      </w:pPr>
      <w:r>
        <w:t>wg pubkey &lt; wg0.key &gt; wg0.pub</w:t>
      </w:r>
    </w:p>
    <w:p>
      <w:pPr>
        <w:pStyle w:val="Normal"/>
      </w:pPr>
      <w:r>
        <w:t>sudo mv wg0.key wg0.pub /etc/wireguard</w:t>
      </w:r>
    </w:p>
    <w:p>
      <w:pPr>
        <w:pStyle w:val="Para 17"/>
      </w:pPr>
      <w:r>
        <w:t/>
      </w:r>
    </w:p>
    <w:p>
      <w:pPr>
        <w:pStyle w:val="Normal"/>
      </w:pPr>
      <w:r>
        <w:t>And on the gateway server:</w:t>
      </w:r>
    </w:p>
    <w:p>
      <w:pPr>
        <w:pStyle w:val="Normal"/>
      </w:pPr>
      <w:r>
        <w:t>sudo apt install wireguard</w:t>
      </w:r>
    </w:p>
    <w:p>
      <w:pPr>
        <w:pStyle w:val="Normal"/>
      </w:pPr>
      <w:r>
        <w:t>umask</w:t>
        <w:t xml:space="preserve"> </w:t>
        <w:t>077</w:t>
      </w:r>
    </w:p>
    <w:p>
      <w:pPr>
        <w:pStyle w:val="Normal"/>
      </w:pPr>
      <w:r>
        <w:t>wg genkey &gt; gateway0.key</w:t>
      </w:r>
    </w:p>
    <w:p>
      <w:pPr>
        <w:pStyle w:val="Normal"/>
      </w:pPr>
      <w:r>
        <w:t>wg pubkey &lt; gateway0.key &gt; gateway0.pub</w:t>
      </w:r>
    </w:p>
    <w:p>
      <w:pPr>
        <w:pStyle w:val="Normal"/>
      </w:pPr>
      <w:r>
        <w:t>sudo mv gateway0.key gateway0.pub /etc/wireguard</w:t>
        <w:t xml:space="preserve"> On the client, we will create /etc/wireguard/wg0.conf:</w:t>
      </w:r>
    </w:p>
    <w:p>
      <w:bookmarkStart w:id="313" w:name="page_2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8" name="index-223_1.png" descr="index-223_1.png"/>
            <wp:cNvGraphicFramePr>
              <a:graphicFrameLocks noChangeAspect="1"/>
            </wp:cNvGraphicFramePr>
            <a:graphic>
              <a:graphicData uri="http://schemas.openxmlformats.org/drawingml/2006/picture">
                <pic:pic>
                  <pic:nvPicPr>
                    <pic:cNvPr id="0" name="index-223_1.png" descr="index-223_1.png"/>
                    <pic:cNvPicPr/>
                  </pic:nvPicPr>
                  <pic:blipFill>
                    <a:blip r:embed="rId232"/>
                    <a:stretch>
                      <a:fillRect/>
                    </a:stretch>
                  </pic:blipFill>
                  <pic:spPr>
                    <a:xfrm>
                      <a:off x="0" y="0"/>
                      <a:ext cx="914400" cy="266700"/>
                    </a:xfrm>
                    <a:prstGeom prst="rect">
                      <a:avLst/>
                    </a:prstGeom>
                  </pic:spPr>
                </pic:pic>
              </a:graphicData>
            </a:graphic>
          </wp:anchor>
        </w:drawing>
      </w:r>
      <w:bookmarkEnd w:id="313"/>
    </w:p>
    <w:p>
      <w:pPr>
        <w:pStyle w:val="Normal"/>
      </w:pPr>
      <w:r>
        <w:t>[Interface]</w:t>
      </w:r>
    </w:p>
    <w:p>
      <w:pPr>
        <w:pStyle w:val="Normal"/>
      </w:pPr>
      <w:r>
        <w:t>PostUp</w:t>
        <w:t xml:space="preserve"> </w:t>
        <w:t>=</w:t>
        <w:t xml:space="preserve"> </w:t>
        <w:t>wg</w:t>
        <w:t xml:space="preserve"> </w:t>
        <w:t>set</w:t>
        <w:t xml:space="preserve"> </w:t>
        <w:t>%</w:t>
        <w:t>i private</w:t>
        <w:t>-</w:t>
        <w:t>key</w:t>
        <w:t xml:space="preserve"> </w:t>
        <w:t>/</w:t>
        <w:t>etc</w:t>
        <w:t>/</w:t>
        <w:t>wireguard</w:t>
        <w:t>/</w:t>
        <w:t>wg0</w:t>
        <w:t>.</w:t>
        <w:t>key</w:t>
        <w:t xml:space="preserve"> </w:t>
        <w:t>ListenPort</w:t>
        <w:t xml:space="preserve"> </w:t>
        <w:t>=</w:t>
        <w:t xml:space="preserve"> </w:t>
        <w:t>51000</w:t>
      </w:r>
    </w:p>
    <w:p>
      <w:pPr>
        <w:pStyle w:val="Normal"/>
      </w:pPr>
      <w:r>
        <w:t>Address</w:t>
        <w:t xml:space="preserve"> </w:t>
        <w:t>=</w:t>
        <w:t xml:space="preserve"> </w:t>
        <w:t>10.90.90.1</w:t>
        <w:t>/</w:t>
        <w:t>24</w:t>
      </w:r>
    </w:p>
    <w:p>
      <w:pPr>
        <w:pStyle w:val="Normal"/>
      </w:pPr>
      <w:r>
        <w:t>[Peer]</w:t>
      </w:r>
    </w:p>
    <w:p>
      <w:pPr>
        <w:pStyle w:val="Normal"/>
      </w:pPr>
      <w:r>
        <w:t>PublicKey</w:t>
        <w:t xml:space="preserve"> </w:t>
        <w:t>= &lt;</w:t>
        <w:t>contents of gateway0</w:t>
        <w:t>.</w:t>
        <w:t>pub</w:t>
        <w:t>&gt;</w:t>
      </w:r>
    </w:p>
    <w:p>
      <w:pPr>
        <w:pStyle w:val="Normal"/>
      </w:pPr>
      <w:r>
        <w:t>Endpoint</w:t>
        <w:t xml:space="preserve"> </w:t>
        <w:t>= &lt;</w:t>
        <w:t>public IP of gateway server</w:t>
        <w:t>&gt;</w:t>
        <w:t xml:space="preserve"> </w:t>
        <w:t>AllowedIPs</w:t>
        <w:t xml:space="preserve"> </w:t>
        <w:t>=</w:t>
        <w:t xml:space="preserve"> </w:t>
        <w:t>0.0.0.0</w:t>
        <w:t>/</w:t>
        <w:t>0</w:t>
      </w:r>
    </w:p>
    <w:p>
      <w:pPr>
        <w:pStyle w:val="Para 17"/>
      </w:pPr>
      <w:r>
        <w:t/>
      </w:r>
    </w:p>
    <w:p>
      <w:pPr>
        <w:pStyle w:val="Normal"/>
      </w:pPr>
      <w:r>
        <w:t>Key points here:</w:t>
      </w:r>
    </w:p>
    <w:p>
      <w:pPr>
        <w:pStyle w:val="Para 04"/>
      </w:pPr>
      <w:r>
        <w:t>• We selected the 10.90.90.1/24 IP address for the WireGuard interface. This can be</w:t>
      </w:r>
    </w:p>
    <w:p>
      <w:pPr>
        <w:pStyle w:val="Para 02"/>
      </w:pPr>
      <w:r>
        <w:t>any private IP address, as long as it doesn’t conflict with the network you are on, so double check that. If it needs to be changed, don’t forget to also change the IP for the WireGuard interface on the gateway server.</w:t>
      </w:r>
    </w:p>
    <w:p>
      <w:pPr>
        <w:pStyle w:val="Para 04"/>
      </w:pPr>
      <w:r>
        <w:t>• The AllowedIPs value is 0.0.0.0/0, which means “all IPv4 addresses”.</w:t>
      </w:r>
    </w:p>
    <w:p>
      <w:pPr>
        <w:pStyle w:val="Para 04"/>
      </w:pPr>
      <w:r>
        <w:t>• We are using PostUp to load the private key instead of specifying it directly in the con-</w:t>
      </w:r>
    </w:p>
    <w:p>
      <w:pPr>
        <w:pStyle w:val="Para 17"/>
      </w:pPr>
      <w:r>
        <w:t>figuration file, so we don’t have to set the permissions on the config file to 0600.</w:t>
      </w:r>
    </w:p>
    <w:p>
      <w:pPr>
        <w:pStyle w:val="Normal"/>
      </w:pPr>
      <w:r>
        <w:t>The counterpart configuration on the gateway server is /etc/wireguard/gateway0.conf with these contents:</w:t>
      </w:r>
    </w:p>
    <w:p>
      <w:pPr>
        <w:pStyle w:val="Normal"/>
      </w:pPr>
      <w:r>
        <w:t>[Interface]</w:t>
      </w:r>
    </w:p>
    <w:p>
      <w:pPr>
        <w:pStyle w:val="Normal"/>
      </w:pPr>
      <w:r>
        <w:t>PostUp</w:t>
        <w:t xml:space="preserve"> </w:t>
        <w:t>=</w:t>
        <w:t xml:space="preserve"> </w:t>
        <w:t>wg</w:t>
        <w:t xml:space="preserve"> </w:t>
        <w:t>set</w:t>
        <w:t xml:space="preserve"> </w:t>
        <w:t>%</w:t>
        <w:t>i private</w:t>
        <w:t>-</w:t>
        <w:t>key</w:t>
        <w:t xml:space="preserve"> </w:t>
        <w:t>/</w:t>
        <w:t>etc</w:t>
        <w:t>/</w:t>
        <w:t>wireguard</w:t>
        <w:t>/%</w:t>
        <w:t>i</w:t>
        <w:t>.</w:t>
        <w:t>key</w:t>
        <w:t xml:space="preserve"> </w:t>
        <w:t>Address</w:t>
        <w:t xml:space="preserve"> </w:t>
        <w:t>=</w:t>
        <w:t xml:space="preserve"> </w:t>
        <w:t>10.90.90.2</w:t>
        <w:t>/</w:t>
        <w:t>24</w:t>
      </w:r>
    </w:p>
    <w:p>
      <w:pPr>
        <w:pStyle w:val="Normal"/>
      </w:pPr>
      <w:r>
        <w:t>ListenPort</w:t>
        <w:t xml:space="preserve"> </w:t>
        <w:t>=</w:t>
        <w:t xml:space="preserve"> </w:t>
        <w:t>51000</w:t>
      </w:r>
    </w:p>
    <w:p>
      <w:pPr>
        <w:pStyle w:val="Normal"/>
      </w:pPr>
      <w:r>
        <w:t>[Peer]</w:t>
      </w:r>
    </w:p>
    <w:p>
      <w:pPr>
        <w:pStyle w:val="Normal"/>
      </w:pPr>
      <w:r>
        <w:t>PublicKey</w:t>
        <w:t xml:space="preserve"> </w:t>
        <w:t>= &lt;</w:t>
        <w:t>contents of wg0</w:t>
        <w:t>.</w:t>
        <w:t>pub</w:t>
        <w:t>&gt;</w:t>
      </w:r>
    </w:p>
    <w:p>
      <w:pPr>
        <w:pStyle w:val="Normal"/>
      </w:pPr>
      <w:r>
        <w:t>AllowedIPs</w:t>
        <w:t xml:space="preserve"> </w:t>
        <w:t>=</w:t>
        <w:t xml:space="preserve"> </w:t>
        <w:t>10.90.90.1</w:t>
        <w:t>/</w:t>
        <w:t>32</w:t>
      </w:r>
    </w:p>
    <w:p>
      <w:pPr>
        <w:pStyle w:val="Para 17"/>
      </w:pPr>
      <w:r>
        <w:t/>
      </w:r>
    </w:p>
    <w:p>
      <w:pPr>
        <w:pStyle w:val="Normal"/>
      </w:pPr>
      <w:r>
        <w:t>Since we don’t know where this remote peer will be connecting from, there is no Endpoint setting for it, and the expectation is that the peer will be the one initiating the VPN.</w:t>
      </w:r>
    </w:p>
    <w:p>
      <w:pPr>
        <w:pStyle w:val="Normal"/>
      </w:pPr>
      <w:r>
        <w:t>This finishes the WireGuard configuration on both ends, but there is one extra step we need to take on the gateway server.</w:t>
      </w:r>
    </w:p>
    <w:p>
      <w:pPr>
        <w:pStyle w:val="Para 17"/>
      </w:pPr>
      <w:r>
        <w:t/>
      </w:r>
    </w:p>
    <w:p>
      <w:pPr>
        <w:pStyle w:val="Para 01"/>
      </w:pPr>
      <w:r>
        <w:t>Routing and masquerading</w:t>
      </w:r>
    </w:p>
    <w:p>
      <w:pPr>
        <w:pStyle w:val="Para 17"/>
      </w:pPr>
      <w:r>
        <w:t/>
      </w:r>
    </w:p>
    <w:p>
      <w:pPr>
        <w:pStyle w:val="Normal"/>
      </w:pPr>
      <w:r>
        <w:t>The WireGuard configuration that we did so far is enough to send the traffic from the client (in the untrusted network) to the gateway server. But what about from there onward? There are two extra configuration changes we need to make on the gateway server:</w:t>
      </w:r>
    </w:p>
    <w:p>
      <w:pPr>
        <w:pStyle w:val="Para 04"/>
      </w:pPr>
      <w:r>
        <w:t>• Masquerade (or apply source NAT rules) the traffic from 10.90.90.1/24.</w:t>
      </w:r>
    </w:p>
    <w:p>
      <w:pPr>
        <w:pStyle w:val="Para 04"/>
      </w:pPr>
      <w:r>
        <w:t>• Enable IPv4 forwarding so our gateway server acts as a router.</w:t>
      </w:r>
    </w:p>
    <w:p>
      <w:pPr>
        <w:pStyle w:val="Normal"/>
      </w:pPr>
      <w:r>
        <w:t>To enable routing, create /etc/sysctl.d/70-wireguard-routing.conf with this content:</w:t>
      </w:r>
    </w:p>
    <w:p>
      <w:pPr>
        <w:pStyle w:val="Normal"/>
      </w:pPr>
      <w:r>
        <w:t>net</w:t>
        <w:t>.</w:t>
        <w:t>ipv4</w:t>
        <w:t>.</w:t>
        <w:t>ip_forward</w:t>
        <w:t xml:space="preserve"> </w:t>
        <w:t>=</w:t>
        <w:t xml:space="preserve"> </w:t>
        <w:t>1</w:t>
      </w:r>
    </w:p>
    <w:p>
      <w:pPr>
        <w:pStyle w:val="Para 17"/>
      </w:pPr>
      <w:r>
        <w:t/>
      </w:r>
    </w:p>
    <w:p>
      <w:pPr>
        <w:pStyle w:val="Normal"/>
      </w:pPr>
      <w:r>
        <w:t>And run:</w:t>
      </w:r>
    </w:p>
    <w:p>
      <w:bookmarkStart w:id="314" w:name="page_2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29" name="index-224_1.png" descr="index-224_1.png"/>
            <wp:cNvGraphicFramePr>
              <a:graphicFrameLocks noChangeAspect="1"/>
            </wp:cNvGraphicFramePr>
            <a:graphic>
              <a:graphicData uri="http://schemas.openxmlformats.org/drawingml/2006/picture">
                <pic:pic>
                  <pic:nvPicPr>
                    <pic:cNvPr id="0" name="index-224_1.png" descr="index-224_1.png"/>
                    <pic:cNvPicPr/>
                  </pic:nvPicPr>
                  <pic:blipFill>
                    <a:blip r:embed="rId233"/>
                    <a:stretch>
                      <a:fillRect/>
                    </a:stretch>
                  </pic:blipFill>
                  <pic:spPr>
                    <a:xfrm>
                      <a:off x="0" y="0"/>
                      <a:ext cx="914400" cy="266700"/>
                    </a:xfrm>
                    <a:prstGeom prst="rect">
                      <a:avLst/>
                    </a:prstGeom>
                  </pic:spPr>
                </pic:pic>
              </a:graphicData>
            </a:graphic>
          </wp:anchor>
        </w:drawing>
      </w:r>
      <w:bookmarkEnd w:id="314"/>
    </w:p>
    <w:p>
      <w:pPr>
        <w:pStyle w:val="Normal"/>
      </w:pPr>
      <w:r>
        <w:t>sudo sysctl -p /etc/sysctl.d/70-wireguard-routing.conf -w</w:t>
      </w:r>
    </w:p>
    <w:p>
      <w:pPr>
        <w:pStyle w:val="Para 17"/>
      </w:pPr>
      <w:r>
        <w:t/>
      </w:r>
    </w:p>
    <w:p>
      <w:pPr>
        <w:pStyle w:val="Normal"/>
      </w:pPr>
      <w:r>
        <w:t>To masquerade the traffic from the VPN, one simple rule is needed:</w:t>
      </w:r>
    </w:p>
    <w:p>
      <w:pPr>
        <w:pStyle w:val="Normal"/>
      </w:pPr>
      <w:r>
        <w:t>sudo iptables -t nat -A POSTROUTING -s</w:t>
        <w:t xml:space="preserve"> </w:t>
        <w:t>10</w:t>
        <w:t>.90.90.0/24 -o eth0 -j MASQUERADE</w:t>
      </w:r>
    </w:p>
    <w:p>
      <w:pPr>
        <w:pStyle w:val="Para 17"/>
      </w:pPr>
      <w:r>
        <w:t/>
      </w:r>
    </w:p>
    <w:p>
      <w:pPr>
        <w:pStyle w:val="Normal"/>
      </w:pPr>
      <w:r>
        <w:t>Replace eth0 with the name of the network interface on the gateway server, if it’s different.</w:t>
      </w:r>
    </w:p>
    <w:p>
      <w:pPr>
        <w:pStyle w:val="Normal"/>
      </w:pPr>
      <w:r>
        <w:t>To have this rule persist across reboots, you can add it to /etc/rc.local (create the file if it doesn’t exist and make it executable):</w:t>
      </w:r>
    </w:p>
    <w:p>
      <w:pPr>
        <w:pStyle w:val="Para 10"/>
      </w:pPr>
      <w:r>
        <w:t>#!/bin/sh</w:t>
      </w:r>
    </w:p>
    <w:p>
      <w:pPr>
        <w:pStyle w:val="Normal"/>
      </w:pPr>
      <w:r>
        <w:t>iptables</w:t>
        <w:t>-</w:t>
        <w:t>t nat</w:t>
        <w:t>-</w:t>
        <w:t>A POSTROUTING</w:t>
        <w:t>-</w:t>
        <w:t>s</w:t>
        <w:t xml:space="preserve"> </w:t>
        <w:t>10.90.90.0</w:t>
        <w:t>/</w:t>
        <w:t>24</w:t>
        <w:t>-</w:t>
        <w:t>o eth0</w:t>
        <w:t>-</w:t>
        <w:t>j MASQUERADE</w:t>
      </w:r>
    </w:p>
    <w:p>
      <w:pPr>
        <w:pStyle w:val="Para 17"/>
      </w:pPr>
      <w:r>
        <w:t/>
      </w:r>
    </w:p>
    <w:p>
      <w:pPr>
        <w:pStyle w:val="Normal"/>
      </w:pPr>
      <w:r>
        <w:t>This completes the gateway server configuration.</w:t>
      </w:r>
    </w:p>
    <w:p>
      <w:pPr>
        <w:pStyle w:val="Para 17"/>
      </w:pPr>
      <w:r>
        <w:t/>
      </w:r>
    </w:p>
    <w:p>
      <w:pPr>
        <w:pStyle w:val="Para 01"/>
      </w:pPr>
      <w:r>
        <w:t>Testing</w:t>
      </w:r>
    </w:p>
    <w:p>
      <w:pPr>
        <w:pStyle w:val="Para 17"/>
      </w:pPr>
      <w:r>
        <w:t/>
      </w:r>
    </w:p>
    <w:p>
      <w:pPr>
        <w:pStyle w:val="Normal"/>
      </w:pPr>
      <w:r>
        <w:t>Let’s bring up the WireGuard interfaces on both peers. On the gateway server:</w:t>
      </w:r>
    </w:p>
    <w:p>
      <w:pPr>
        <w:pStyle w:val="Normal"/>
      </w:pPr>
      <w:r>
        <w:t>$ sudo wg-quick up gateway0</w:t>
      </w:r>
    </w:p>
    <w:p>
      <w:pPr>
        <w:pStyle w:val="Para 10"/>
      </w:pPr>
      <w:r>
        <w:rPr>
          <w:rStyle w:val="Text3"/>
        </w:rPr>
        <w:t>[</w:t>
      </w:r>
      <w:r>
        <w:t>#] ip link add gateway0 type wireguard</w:t>
      </w:r>
    </w:p>
    <w:p>
      <w:pPr>
        <w:pStyle w:val="Para 10"/>
      </w:pPr>
      <w:r>
        <w:rPr>
          <w:rStyle w:val="Text3"/>
        </w:rPr>
        <w:t>[</w:t>
      </w:r>
      <w:r>
        <w:t>#] wg setconf gateway0 /dev/fd/63</w:t>
      </w:r>
    </w:p>
    <w:p>
      <w:pPr>
        <w:pStyle w:val="Para 10"/>
      </w:pPr>
      <w:r>
        <w:rPr>
          <w:rStyle w:val="Text3"/>
        </w:rPr>
        <w:t>[</w:t>
      </w:r>
      <w:r>
        <w:t>#] ip -4 address add 10.90.90.2/24 dev gateway0</w:t>
      </w:r>
      <w:r>
        <w:rPr>
          <w:rStyle w:val="Text3"/>
        </w:rPr>
        <w:t xml:space="preserve"> </w:t>
        <w:t>[</w:t>
      </w:r>
      <w:r>
        <w:t>#] ip link set mtu 1378 up dev gateway0</w:t>
      </w:r>
      <w:r>
        <w:rPr>
          <w:rStyle w:val="Text3"/>
        </w:rPr>
        <w:t xml:space="preserve"> </w:t>
        <w:t>[</w:t>
      </w:r>
      <w:r>
        <w:t>#] wg set gateway0 private-key /etc/wireguard/gateway0.key</w:t>
      </w:r>
    </w:p>
    <w:p>
      <w:pPr>
        <w:pStyle w:val="Para 17"/>
      </w:pPr>
      <w:r>
        <w:t/>
      </w:r>
    </w:p>
    <w:p>
      <w:pPr>
        <w:pStyle w:val="Normal"/>
      </w:pPr>
      <w:r>
        <w:t>And on the client:</w:t>
      </w:r>
    </w:p>
    <w:p>
      <w:pPr>
        <w:pStyle w:val="Normal"/>
      </w:pPr>
      <w:r>
        <w:t>$ sudo wg-quick up wg0</w:t>
      </w:r>
    </w:p>
    <w:p>
      <w:pPr>
        <w:pStyle w:val="Para 10"/>
      </w:pPr>
      <w:r>
        <w:rPr>
          <w:rStyle w:val="Text3"/>
        </w:rPr>
        <w:t>[</w:t>
      </w:r>
      <w:r>
        <w:t>#] ip link add wg0 type wireguard</w:t>
      </w:r>
    </w:p>
    <w:p>
      <w:pPr>
        <w:pStyle w:val="Para 10"/>
      </w:pPr>
      <w:r>
        <w:rPr>
          <w:rStyle w:val="Text3"/>
        </w:rPr>
        <w:t>[</w:t>
      </w:r>
      <w:r>
        <w:t>#] wg setconf wg0 /dev/fd/63</w:t>
      </w:r>
    </w:p>
    <w:p>
      <w:pPr>
        <w:pStyle w:val="Para 10"/>
      </w:pPr>
      <w:r>
        <w:rPr>
          <w:rStyle w:val="Text3"/>
        </w:rPr>
        <w:t>[</w:t>
      </w:r>
      <w:r>
        <w:t>#] ip -4 address add 10.90.90.1/24 dev wg0</w:t>
      </w:r>
      <w:r>
        <w:rPr>
          <w:rStyle w:val="Text3"/>
        </w:rPr>
        <w:t xml:space="preserve"> </w:t>
        <w:t>[</w:t>
      </w:r>
      <w:r>
        <w:t>#] ip link set mtu 1420 up dev wg0</w:t>
      </w:r>
    </w:p>
    <w:p>
      <w:pPr>
        <w:pStyle w:val="Para 10"/>
      </w:pPr>
      <w:r>
        <w:rPr>
          <w:rStyle w:val="Text3"/>
        </w:rPr>
        <w:t>[</w:t>
      </w:r>
      <w:r>
        <w:t>#] wg set wg0 fwmark 51820</w:t>
      </w:r>
    </w:p>
    <w:p>
      <w:pPr>
        <w:pStyle w:val="Para 10"/>
      </w:pPr>
      <w:r>
        <w:rPr>
          <w:rStyle w:val="Text3"/>
        </w:rPr>
        <w:t>[</w:t>
      </w:r>
      <w:r>
        <w:t>#] ip -4 route add 0.0.0.0/0 dev wg0 table 51820</w:t>
      </w:r>
      <w:r>
        <w:rPr>
          <w:rStyle w:val="Text3"/>
        </w:rPr>
        <w:t xml:space="preserve"> </w:t>
        <w:t>[</w:t>
      </w:r>
      <w:r>
        <w:t>#] ip -4 rule add not fwmark 51820 table 51820</w:t>
      </w:r>
      <w:r>
        <w:rPr>
          <w:rStyle w:val="Text3"/>
        </w:rPr>
        <w:t xml:space="preserve"> </w:t>
        <w:t>[</w:t>
      </w:r>
      <w:r>
        <w:t>#] ip -4 rule add table main suppress_prefixlength 0</w:t>
      </w:r>
      <w:r>
        <w:rPr>
          <w:rStyle w:val="Text3"/>
        </w:rPr>
        <w:t xml:space="preserve"> </w:t>
        <w:t>[</w:t>
      </w:r>
      <w:r>
        <w:t>#] sysctl -q net.ipv4.conf.all.src_valid_mark=1</w:t>
      </w:r>
      <w:r>
        <w:rPr>
          <w:rStyle w:val="Text3"/>
        </w:rPr>
        <w:t xml:space="preserve"> </w:t>
        <w:t>[</w:t>
      </w:r>
      <w:r>
        <w:t>#] nft -f /dev/fd/63</w:t>
      </w:r>
    </w:p>
    <w:p>
      <w:pPr>
        <w:pStyle w:val="Para 10"/>
      </w:pPr>
      <w:r>
        <w:rPr>
          <w:rStyle w:val="Text3"/>
        </w:rPr>
        <w:t>[</w:t>
      </w:r>
      <w:r>
        <w:t>#] wg set wg0 private-key /etc/wireguard/wg0.key</w:t>
      </w:r>
    </w:p>
    <w:p>
      <w:pPr>
        <w:pStyle w:val="Para 17"/>
      </w:pPr>
      <w:r>
        <w:t/>
      </w:r>
    </w:p>
    <w:p>
      <w:pPr>
        <w:pStyle w:val="Normal"/>
      </w:pPr>
      <w:r>
        <w:t>From the client you should now be able to verify that your traffic reaching out to the internet is going through the gateway server via the WireGuard VPN. For example:</w:t>
      </w:r>
    </w:p>
    <w:p>
      <w:pPr>
        <w:pStyle w:val="Normal"/>
      </w:pPr>
      <w:r>
        <w:t>$ mtr -r</w:t>
        <w:t xml:space="preserve"> </w:t>
        <w:t>1</w:t>
        <w:t>.1.1.1</w:t>
      </w:r>
    </w:p>
    <w:p>
      <w:pPr>
        <w:pStyle w:val="Normal"/>
      </w:pPr>
      <w:r>
        <w:t>Start:</w:t>
        <w:t xml:space="preserve"> </w:t>
        <w:t>2022</w:t>
        <w:t>-09-01T12:42:59+0000</w:t>
      </w:r>
    </w:p>
    <w:p>
      <w:pPr>
        <w:pStyle w:val="Normal"/>
      </w:pPr>
      <w:r>
        <w:t>HOST: laptop.lan</w:t>
        <w:t xml:space="preserve"> </w:t>
        <w:t>Loss%</w:t>
        <w:t xml:space="preserve"> </w:t>
        <w:t>Snt</w:t>
        <w:t xml:space="preserve"> </w:t>
        <w:t>Last</w:t>
        <w:t xml:space="preserve"> </w:t>
        <w:t>Avg</w:t>
        <w:t xml:space="preserve"> </w:t>
        <w:t>Best</w:t>
        <w:t xml:space="preserve"> </w:t>
        <w:t>Wrst StDev</w:t>
      </w:r>
    </w:p>
    <w:p>
      <w:pPr>
        <w:pStyle w:val="Para 03"/>
      </w:pPr>
      <w:r>
        <w:t>1</w:t>
        <w:t>.|--</w:t>
        <w:t>10</w:t>
        <w:t>.90.90.2</w:t>
        <w:t xml:space="preserve"> </w:t>
        <w:t>0</w:t>
        <w:t>.0%</w:t>
        <w:t xml:space="preserve"> </w:t>
        <w:t>10</w:t>
        <w:t xml:space="preserve"> </w:t>
        <w:t>184</w:t>
        <w:t>.9</w:t>
        <w:t xml:space="preserve"> </w:t>
        <w:t>185</w:t>
        <w:t>.5</w:t>
        <w:t xml:space="preserve"> </w:t>
        <w:t>184</w:t>
        <w:t>.9</w:t>
        <w:t xml:space="preserve"> </w:t>
        <w:t>186</w:t>
        <w:t>.9</w:t>
        <w:t xml:space="preserve"> </w:t>
        <w:t>0</w:t>
        <w:t>.6</w:t>
      </w:r>
    </w:p>
    <w:p>
      <w:pPr>
        <w:pStyle w:val="Para 03"/>
      </w:pPr>
      <w:r>
        <w:t>2</w:t>
        <w:t>.|--</w:t>
        <w:t>10</w:t>
        <w:t>.48.128.1</w:t>
        <w:t xml:space="preserve"> </w:t>
        <w:t>0</w:t>
        <w:t>.0%</w:t>
        <w:t xml:space="preserve"> </w:t>
        <w:t>10</w:t>
        <w:t xml:space="preserve"> </w:t>
        <w:t>185</w:t>
        <w:t>.6</w:t>
        <w:t xml:space="preserve"> </w:t>
        <w:t>185</w:t>
        <w:t>.8</w:t>
        <w:t xml:space="preserve"> </w:t>
        <w:t>185</w:t>
        <w:t>.2</w:t>
        <w:t xml:space="preserve"> </w:t>
        <w:t>188</w:t>
        <w:t>.3</w:t>
        <w:t xml:space="preserve"> </w:t>
        <w:t>0</w:t>
        <w:t>.9</w:t>
      </w:r>
    </w:p>
    <w:p>
      <w:pPr>
        <w:pStyle w:val="Para 03"/>
      </w:pPr>
      <w:r>
        <w:t>(</w:t>
        <w:t>...</w:t>
        <w:t>)</w:t>
      </w:r>
    </w:p>
    <w:p>
      <w:pPr>
        <w:pStyle w:val="Para 03"/>
      </w:pPr>
      <w:r>
        <w:t>7</w:t>
        <w:t>.|-- one.one.one.one</w:t>
        <w:t xml:space="preserve"> </w:t>
        <w:t>0</w:t>
        <w:t>.0%</w:t>
        <w:t xml:space="preserve"> </w:t>
        <w:t>10</w:t>
        <w:t xml:space="preserve"> </w:t>
        <w:t>186</w:t>
        <w:t>.2</w:t>
        <w:t xml:space="preserve"> </w:t>
        <w:t>186</w:t>
        <w:t>.3</w:t>
        <w:t xml:space="preserve"> </w:t>
        <w:t>185</w:t>
        <w:t>.9</w:t>
        <w:t xml:space="preserve"> </w:t>
        <w:t>186</w:t>
        <w:t>.6</w:t>
        <w:t xml:space="preserve"> </w:t>
        <w:t>0</w:t>
        <w:t>.2</w:t>
      </w:r>
    </w:p>
    <w:p>
      <w:pPr>
        <w:pStyle w:val="Para 17"/>
      </w:pPr>
      <w:r>
        <w:t/>
      </w:r>
    </w:p>
    <w:p>
      <w:pPr>
        <w:pStyle w:val="Normal"/>
      </w:pPr>
      <w:r>
        <w:t>Above, hop 1 is the gateway0 interface on the gateway server, then 10.48.128.1 is the default gateway for that server, then come some in-between hops, and the final hit is the target.</w:t>
      </w:r>
    </w:p>
    <w:p>
      <w:bookmarkStart w:id="315" w:name="page_2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0" name="index-225_1.png" descr="index-225_1.png"/>
            <wp:cNvGraphicFramePr>
              <a:graphicFrameLocks noChangeAspect="1"/>
            </wp:cNvGraphicFramePr>
            <a:graphic>
              <a:graphicData uri="http://schemas.openxmlformats.org/drawingml/2006/picture">
                <pic:pic>
                  <pic:nvPicPr>
                    <pic:cNvPr id="0" name="index-225_1.png" descr="index-225_1.png"/>
                    <pic:cNvPicPr/>
                  </pic:nvPicPr>
                  <pic:blipFill>
                    <a:blip r:embed="rId234"/>
                    <a:stretch>
                      <a:fillRect/>
                    </a:stretch>
                  </pic:blipFill>
                  <pic:spPr>
                    <a:xfrm>
                      <a:off x="0" y="0"/>
                      <a:ext cx="914400" cy="266700"/>
                    </a:xfrm>
                    <a:prstGeom prst="rect">
                      <a:avLst/>
                    </a:prstGeom>
                  </pic:spPr>
                </pic:pic>
              </a:graphicData>
            </a:graphic>
          </wp:anchor>
        </w:drawing>
      </w:r>
      <w:bookmarkEnd w:id="315"/>
    </w:p>
    <w:p>
      <w:pPr>
        <w:pStyle w:val="Normal"/>
      </w:pPr>
      <w:r>
        <w:t>If you only look at the output of ip route, however, it’s not immediately obvious that the WireGuard VPN is the default gateway:</w:t>
      </w:r>
    </w:p>
    <w:p>
      <w:pPr>
        <w:pStyle w:val="Normal"/>
      </w:pPr>
      <w:r>
        <w:t>$ ip route</w:t>
      </w:r>
    </w:p>
    <w:p>
      <w:pPr>
        <w:pStyle w:val="Normal"/>
      </w:pPr>
      <w:r>
        <w:t>default via</w:t>
        <w:t xml:space="preserve"> </w:t>
        <w:t>192</w:t>
        <w:t>.168.122.1 dev enp1s0 proto dhcp src</w:t>
        <w:t xml:space="preserve"> </w:t>
        <w:t>192</w:t>
        <w:t>.168.122.160 metric</w:t>
        <w:t xml:space="preserve"> </w:t>
        <w:t>100</w:t>
        <w:t xml:space="preserve"> </w:t>
        <w:t>10</w:t>
        <w:t>.90.90.0/24 dev wg0 proto kernel scope link src</w:t>
        <w:t xml:space="preserve"> </w:t>
        <w:t>10</w:t>
        <w:t>.90.90.1</w:t>
        <w:t xml:space="preserve"> </w:t>
        <w:t>192</w:t>
        <w:t>.168.122.0/24 dev enp1s0 proto kernel scope link src</w:t>
        <w:t xml:space="preserve"> </w:t>
        <w:t>192</w:t>
        <w:t>.168.122.160 metric</w:t>
        <w:t xml:space="preserve"> </w:t>
        <w:t>100</w:t>
        <w:t xml:space="preserve"> </w:t>
        <w:t>192</w:t>
        <w:t>.168.122.1 dev enp1s0 proto dhcp scope link src</w:t>
        <w:t xml:space="preserve"> </w:t>
        <w:t>192</w:t>
        <w:t>.168.122.160 metric</w:t>
        <w:t xml:space="preserve"> </w:t>
        <w:t>100</w:t>
      </w:r>
    </w:p>
    <w:p>
      <w:pPr>
        <w:pStyle w:val="Para 17"/>
      </w:pPr>
      <w:r>
        <w:t/>
      </w:r>
    </w:p>
    <w:p>
      <w:pPr>
        <w:pStyle w:val="Normal"/>
      </w:pPr>
      <w:r>
        <w:t>That’s because WireGuard is using fwmarks and policy routing. WireGuard cannot simply set the wg0 interface as the default gateway: that traffic needs to reach the specified endpoint on port 51000/UDP outside of the VPN tunnel.</w:t>
      </w:r>
    </w:p>
    <w:p>
      <w:pPr>
        <w:pStyle w:val="Normal"/>
      </w:pPr>
      <w:r>
        <w:t>If you want to dive deeper into how this works, check ip rule list, ip route list table 51820, and consult the documentation on “Linux Policy Routing”.</w:t>
      </w:r>
    </w:p>
    <w:p>
      <w:pPr>
        <w:pStyle w:val="Para 17"/>
      </w:pPr>
      <w:r>
        <w:t/>
      </w:r>
    </w:p>
    <w:p>
      <w:pPr>
        <w:pStyle w:val="Para 01"/>
      </w:pPr>
      <w:r>
        <w:t>DNS leaks</w:t>
      </w:r>
    </w:p>
    <w:p>
      <w:pPr>
        <w:pStyle w:val="Para 17"/>
      </w:pPr>
      <w:r>
        <w:t/>
      </w:r>
    </w:p>
    <w:p>
      <w:pPr>
        <w:pStyle w:val="Normal"/>
      </w:pPr>
      <w:r>
        <w:t>The traffic is now being routed through the VPN to the gateway server that you control, and from there onward, to the Internet at large. The local network you are in cannot see the contents of that traffic, because it’s encrypted. But you are still leaking information about</w:t>
      </w:r>
    </w:p>
    <w:p>
      <w:pPr>
        <w:pStyle w:val="Normal"/>
      </w:pPr>
      <w:r>
        <w:t xml:space="preserve">the sites you access via </w:t>
      </w:r>
      <w:hyperlink w:anchor="page_679">
        <w:r>
          <w:rPr>
            <w:rStyle w:val="Text2"/>
          </w:rPr>
          <w:t>DNS</w:t>
        </w:r>
      </w:hyperlink>
      <w:r>
        <w:t>.</w:t>
      </w:r>
    </w:p>
    <w:p>
      <w:pPr>
        <w:pStyle w:val="Normal"/>
      </w:pPr>
      <w:r>
        <w:t>When the laptop got its IP address in the local (untrusted) network it is in, it likely also got a pair of IPs for DNS servers to use. These might be servers from that local network, or other DNS servers from the internet like 1.1.1.1 or 8.8.8.8. When you access an internet site, a DNS query will be sent to those servers to discover their IP addresses. Sure, that traffic goes over the VPN, but at some point it exits the VPN, and then reaches those servers, which will then know what you are trying to access.</w:t>
      </w:r>
    </w:p>
    <w:p>
      <w:pPr>
        <w:pStyle w:val="Normal"/>
      </w:pPr>
      <w:r>
        <w:t xml:space="preserve">There are DNS leak detectors out there, and if you want a quick check you can try out </w:t>
      </w:r>
      <w:hyperlink r:id="rId1167">
        <w:r>
          <w:rPr>
            <w:rStyle w:val="Text1"/>
          </w:rPr>
          <w:t>https:</w:t>
        </w:r>
      </w:hyperlink>
    </w:p>
    <w:p>
      <w:pPr>
        <w:pStyle w:val="Normal"/>
      </w:pPr>
      <w:hyperlink r:id="rId1167">
        <w:r>
          <w:rPr>
            <w:rStyle w:val="Text1"/>
          </w:rPr>
          <w:t xml:space="preserve">//dnsleaktest.com. </w:t>
        </w:r>
      </w:hyperlink>
      <w:r>
        <w:t>It will tell you which DNS servers your connection is using, and it’s up to you if you trust them or not. You might be surprised that even if you are in a conference network, for example, using a default gateway VPN like the one described here, you are still using the DNS servers from the conference infrastructure. In a way, the DNS traffic is leaving your machine encrypted, and then coming back in clear text to the local DNS server.</w:t>
      </w:r>
    </w:p>
    <w:p>
      <w:pPr>
        <w:pStyle w:val="Normal"/>
      </w:pPr>
      <w:r>
        <w:t>There are two things you can do about this: select a specific DNS server to use for your VPN connection, or install your own DNS server.</w:t>
      </w:r>
    </w:p>
    <w:p>
      <w:pPr>
        <w:pStyle w:val="Para 17"/>
      </w:pPr>
      <w:r>
        <w:t/>
      </w:r>
    </w:p>
    <w:p>
      <w:pPr>
        <w:pStyle w:val="Para 01"/>
      </w:pPr>
      <w:r>
        <w:t>Selecting a DNS server</w:t>
      </w:r>
    </w:p>
    <w:p>
      <w:pPr>
        <w:pStyle w:val="Para 17"/>
      </w:pPr>
      <w:r>
        <w:t/>
      </w:r>
    </w:p>
    <w:p>
      <w:pPr>
        <w:pStyle w:val="Normal"/>
      </w:pPr>
      <w:r>
        <w:t>If you can use a DNS server that you trust, or don’t mind using, this is probably the easiest solution. Many people would start with the DNS server assigned to the gateway server used for the VPN. This address can be checked by running the following command in a shell on the gateway server:</w:t>
      </w:r>
    </w:p>
    <w:p>
      <w:pPr>
        <w:pStyle w:val="Normal"/>
      </w:pPr>
      <w:r>
        <w:t>$ resolvectl status</w:t>
      </w:r>
    </w:p>
    <w:p>
      <w:pPr>
        <w:pStyle w:val="Normal"/>
      </w:pPr>
      <w:r>
        <w:t>Global</w:t>
      </w:r>
    </w:p>
    <w:p>
      <w:pPr>
        <w:pStyle w:val="Para 06"/>
      </w:pPr>
      <w:r>
        <w:t>Protocols: -LLMNR -mDNS -DNSOverTLS</w:t>
        <w:t xml:space="preserve"> </w:t>
        <w:t>DNSSEC</w:t>
        <w:t>=</w:t>
        <w:t>no/unsupported</w:t>
      </w:r>
    </w:p>
    <w:p>
      <w:pPr>
        <w:pStyle w:val="Normal"/>
      </w:pPr>
      <w:r>
        <w:t>resolv.conf mode: stub</w:t>
      </w:r>
    </w:p>
    <w:p>
      <w:pPr>
        <w:pStyle w:val="Para 09"/>
      </w:pPr>
      <w:r>
        <w:t>(continues on next page)</w:t>
      </w:r>
    </w:p>
    <w:p>
      <w:bookmarkStart w:id="316" w:name="page_2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1" name="index-226_1.png" descr="index-226_1.png"/>
            <wp:cNvGraphicFramePr>
              <a:graphicFrameLocks noChangeAspect="1"/>
            </wp:cNvGraphicFramePr>
            <a:graphic>
              <a:graphicData uri="http://schemas.openxmlformats.org/drawingml/2006/picture">
                <pic:pic>
                  <pic:nvPicPr>
                    <pic:cNvPr id="0" name="index-226_1.png" descr="index-226_1.png"/>
                    <pic:cNvPicPr/>
                  </pic:nvPicPr>
                  <pic:blipFill>
                    <a:blip r:embed="rId235"/>
                    <a:stretch>
                      <a:fillRect/>
                    </a:stretch>
                  </pic:blipFill>
                  <pic:spPr>
                    <a:xfrm>
                      <a:off x="0" y="0"/>
                      <a:ext cx="914400" cy="266700"/>
                    </a:xfrm>
                    <a:prstGeom prst="rect">
                      <a:avLst/>
                    </a:prstGeom>
                  </pic:spPr>
                </pic:pic>
              </a:graphicData>
            </a:graphic>
          </wp:anchor>
        </w:drawing>
      </w:r>
      <w:bookmarkEnd w:id="316"/>
    </w:p>
    <w:p>
      <w:pPr>
        <w:pStyle w:val="Para 09"/>
      </w:pPr>
      <w:r>
        <w:t>(continued from previous page)</w:t>
      </w:r>
    </w:p>
    <w:p>
      <w:pPr>
        <w:pStyle w:val="Normal"/>
      </w:pPr>
      <w:r>
        <w:t>Link</w:t>
        <w:t xml:space="preserve"> </w:t>
        <w:t>2</w:t>
        <w:t xml:space="preserve"> </w:t>
        <w:t>(</w:t>
        <w:t>ens2</w:t>
        <w:t>)</w:t>
      </w:r>
    </w:p>
    <w:p>
      <w:pPr>
        <w:pStyle w:val="Para 02"/>
      </w:pPr>
      <w:r>
        <w:t>Current Scopes: DNS</w:t>
      </w:r>
    </w:p>
    <w:p>
      <w:pPr>
        <w:pStyle w:val="Para 17"/>
      </w:pPr>
      <w:r>
        <w:t>Protocols: +DefaultRoute +LLMNR -mDNS -DNSOverTLS</w:t>
        <w:t xml:space="preserve"> </w:t>
        <w:t>DNSSEC</w:t>
        <w:t>=</w:t>
        <w:t>no/unsupported</w:t>
      </w:r>
    </w:p>
    <w:p>
      <w:pPr>
        <w:pStyle w:val="Normal"/>
      </w:pPr>
      <w:r>
        <w:t>Current DNS Server:</w:t>
        <w:t xml:space="preserve"> </w:t>
        <w:t>10</w:t>
        <w:t>.48.0.5</w:t>
      </w:r>
    </w:p>
    <w:p>
      <w:pPr>
        <w:pStyle w:val="Para 06"/>
      </w:pPr>
      <w:r>
        <w:t>DNS Servers:</w:t>
        <w:t xml:space="preserve"> </w:t>
        <w:t>10</w:t>
        <w:t>.48.0.5</w:t>
      </w:r>
    </w:p>
    <w:p>
      <w:pPr>
        <w:pStyle w:val="Para 06"/>
      </w:pPr>
      <w:r>
        <w:t>DNS Domain: openstacklocal</w:t>
      </w:r>
    </w:p>
    <w:p>
      <w:pPr>
        <w:pStyle w:val="Normal"/>
      </w:pPr>
      <w:r>
        <w:t>Link</w:t>
        <w:t xml:space="preserve"> </w:t>
        <w:t>5</w:t>
        <w:t xml:space="preserve"> </w:t>
        <w:t>(</w:t>
        <w:t>gateway0</w:t>
        <w:t>)</w:t>
      </w:r>
    </w:p>
    <w:p>
      <w:pPr>
        <w:pStyle w:val="Normal"/>
      </w:pPr>
      <w:r>
        <w:t>Current Scopes: none</w:t>
      </w:r>
    </w:p>
    <w:p>
      <w:pPr>
        <w:pStyle w:val="Para 02"/>
      </w:pPr>
      <w:r>
        <w:t>Protocols: -DefaultRoute +LLMNR -mDNS -DNSOverTLS</w:t>
        <w:t xml:space="preserve"> </w:t>
        <w:t>DNSSEC</w:t>
        <w:t>=</w:t>
        <w:t>no/unsupported</w:t>
      </w:r>
    </w:p>
    <w:p>
      <w:pPr>
        <w:pStyle w:val="Para 17"/>
      </w:pPr>
      <w:r>
        <w:t/>
      </w:r>
    </w:p>
    <w:p>
      <w:pPr>
        <w:pStyle w:val="Normal"/>
      </w:pPr>
      <w:r>
        <w:t>Look for Current DNS Server. In the example above, it’s 10.48.0.5.</w:t>
      </w:r>
    </w:p>
    <w:p>
      <w:pPr>
        <w:pStyle w:val="Normal"/>
      </w:pPr>
      <w:r>
        <w:t>Let’s change the WireGuard wg0 interface config to use that DNS server. Edit /etc/wireguard/ wg0.conf and add a second PostUp line with the resolvectl command like below:</w:t>
      </w:r>
    </w:p>
    <w:p>
      <w:pPr>
        <w:pStyle w:val="Normal"/>
      </w:pPr>
      <w:r>
        <w:t>[Interface]</w:t>
      </w:r>
    </w:p>
    <w:p>
      <w:pPr>
        <w:pStyle w:val="Normal"/>
      </w:pPr>
      <w:r>
        <w:t>PostUp</w:t>
        <w:t xml:space="preserve"> </w:t>
        <w:t>=</w:t>
        <w:t xml:space="preserve"> </w:t>
        <w:t>wg</w:t>
        <w:t xml:space="preserve"> </w:t>
        <w:t>set</w:t>
        <w:t xml:space="preserve"> </w:t>
        <w:t>%</w:t>
        <w:t>i private</w:t>
        <w:t>-</w:t>
        <w:t>key</w:t>
        <w:t xml:space="preserve"> </w:t>
        <w:t>/</w:t>
        <w:t>etc</w:t>
        <w:t>/</w:t>
        <w:t>wireguard</w:t>
        <w:t>/</w:t>
        <w:t>wg0</w:t>
        <w:t>.</w:t>
        <w:t>key</w:t>
        <w:t xml:space="preserve"> </w:t>
        <w:t>PostUp</w:t>
        <w:t xml:space="preserve"> </w:t>
        <w:t>=</w:t>
        <w:t xml:space="preserve"> </w:t>
        <w:t>resolvectl dns</w:t>
        <w:t xml:space="preserve"> </w:t>
        <w:t>%</w:t>
        <w:t>i</w:t>
        <w:t xml:space="preserve"> </w:t>
        <w:t>10.48.0.5</w:t>
        <w:t>; resolvectl domain</w:t>
        <w:t xml:space="preserve"> </w:t>
        <w:t>%</w:t>
        <w:t>i \</w:t>
        <w:t>~.</w:t>
        <w:t xml:space="preserve"> </w:t>
        <w:t>ListenPort</w:t>
        <w:t xml:space="preserve"> </w:t>
        <w:t>=</w:t>
        <w:t xml:space="preserve"> </w:t>
        <w:t>51000</w:t>
      </w:r>
    </w:p>
    <w:p>
      <w:pPr>
        <w:pStyle w:val="Normal"/>
      </w:pPr>
      <w:r>
        <w:t>Address</w:t>
        <w:t xml:space="preserve"> </w:t>
        <w:t>=</w:t>
        <w:t xml:space="preserve"> </w:t>
        <w:t>10.90.90.1</w:t>
        <w:t>/</w:t>
        <w:t>24</w:t>
      </w:r>
    </w:p>
    <w:p>
      <w:pPr>
        <w:pStyle w:val="Normal"/>
      </w:pPr>
      <w:r>
        <w:t>[Peer]</w:t>
      </w:r>
    </w:p>
    <w:p>
      <w:pPr>
        <w:pStyle w:val="Normal"/>
      </w:pPr>
      <w:r>
        <w:t>PublicKey</w:t>
        <w:t xml:space="preserve"> </w:t>
        <w:t>= &lt;</w:t>
        <w:t>contents of gateway0</w:t>
        <w:t>.</w:t>
        <w:t>pub</w:t>
        <w:t>&gt;</w:t>
      </w:r>
    </w:p>
    <w:p>
      <w:pPr>
        <w:pStyle w:val="Normal"/>
      </w:pPr>
      <w:r>
        <w:t>Endpoint</w:t>
        <w:t xml:space="preserve"> </w:t>
        <w:t>= &lt;</w:t>
        <w:t>public IP of gateway server</w:t>
        <w:t>&gt;</w:t>
        <w:t xml:space="preserve"> </w:t>
        <w:t>AllowedIPs</w:t>
        <w:t xml:space="preserve"> </w:t>
        <w:t>=</w:t>
        <w:t xml:space="preserve"> </w:t>
        <w:t>0.0.0.0</w:t>
        <w:t>/</w:t>
        <w:t>0</w:t>
      </w:r>
    </w:p>
    <w:p>
      <w:pPr>
        <w:pStyle w:val="Para 17"/>
      </w:pPr>
      <w:r>
        <w:t/>
      </w:r>
    </w:p>
    <w:p>
      <w:pPr>
        <w:pStyle w:val="Normal"/>
      </w:pPr>
      <w:r>
        <w:t>You can run that resolvectl command by hand if you want to avoid having to restart the WireGuard VPN:</w:t>
      </w:r>
    </w:p>
    <w:p>
      <w:pPr>
        <w:pStyle w:val="Normal"/>
      </w:pPr>
      <w:r>
        <w:t>sudo resolvectl dns wg0</w:t>
        <w:t xml:space="preserve"> </w:t>
        <w:t>10</w:t>
        <w:t>.48.0.5; sudo resolvectl domain wg0</w:t>
        <w:t xml:space="preserve"> </w:t>
      </w:r>
      <w:r>
        <w:rPr>
          <w:rStyle w:val="Text0"/>
        </w:rPr>
        <w:t>\~</w:t>
      </w:r>
      <w:r>
        <w:t>.</w:t>
      </w:r>
    </w:p>
    <w:p>
      <w:pPr>
        <w:pStyle w:val="Para 17"/>
      </w:pPr>
      <w:r>
        <w:t/>
      </w:r>
    </w:p>
    <w:p>
      <w:pPr>
        <w:pStyle w:val="Normal"/>
      </w:pPr>
      <w:r>
        <w:t>Or just restart the WireGuard interface:</w:t>
      </w:r>
    </w:p>
    <w:p>
      <w:pPr>
        <w:pStyle w:val="Normal"/>
      </w:pPr>
      <w:r>
        <w:t>sudo wg-quick down wg0; sudo wg-quick up wg0</w:t>
      </w:r>
    </w:p>
    <w:p>
      <w:pPr>
        <w:pStyle w:val="Para 17"/>
      </w:pPr>
      <w:r>
        <w:t/>
      </w:r>
    </w:p>
    <w:p>
      <w:pPr>
        <w:pStyle w:val="Normal"/>
      </w:pPr>
      <w:r>
        <w:t>And if you check again for DNS leaks, this time you will see that you are only using the DNS server you specified.</w:t>
      </w:r>
    </w:p>
    <w:p>
      <w:pPr>
        <w:pStyle w:val="Para 17"/>
      </w:pPr>
      <w:r>
        <w:t/>
      </w:r>
    </w:p>
    <w:p>
      <w:pPr>
        <w:pStyle w:val="Para 01"/>
      </w:pPr>
      <w:r>
        <w:t>Installing your own DNS server</w:t>
      </w:r>
    </w:p>
    <w:p>
      <w:pPr>
        <w:pStyle w:val="Para 17"/>
      </w:pPr>
      <w:r>
        <w:t/>
      </w:r>
    </w:p>
    <w:p>
      <w:pPr>
        <w:pStyle w:val="Normal"/>
      </w:pPr>
      <w:r>
        <w:t>If you don’t want to use even the DNS server from the hosting provider where you have your gateway server, another alternative is to install your own DNS server.</w:t>
      </w:r>
    </w:p>
    <w:p>
      <w:pPr>
        <w:pStyle w:val="Normal"/>
      </w:pPr>
      <w:r>
        <w:t>There are multiple choices out there for this: bind9 and unbound are quite popular, and it is easy to find quick tutorials and instructions on how to do it.</w:t>
      </w:r>
    </w:p>
    <w:p>
      <w:pPr>
        <w:pStyle w:val="Normal"/>
      </w:pPr>
      <w:r>
        <w:t xml:space="preserve">Here we will proceed with bind9, which is in the Ubuntu </w:t>
      </w:r>
      <w:r>
        <w:rPr>
          <w:rStyle w:val="Text3"/>
        </w:rPr>
        <w:t>main</w:t>
      </w:r>
      <w:r>
        <w:t xml:space="preserve"> repository.</w:t>
      </w:r>
    </w:p>
    <w:p>
      <w:pPr>
        <w:pStyle w:val="Normal"/>
      </w:pPr>
      <w:r>
        <w:t>On the gateway server, install the bind9 package:</w:t>
      </w:r>
    </w:p>
    <w:p>
      <w:pPr>
        <w:pStyle w:val="Normal"/>
      </w:pPr>
      <w:r>
        <w:t>sudo apt install bind9</w:t>
      </w:r>
    </w:p>
    <w:p>
      <w:pPr>
        <w:pStyle w:val="Para 17"/>
      </w:pPr>
      <w:r>
        <w:t/>
      </w:r>
    </w:p>
    <w:p>
      <w:pPr>
        <w:pStyle w:val="Normal"/>
      </w:pPr>
      <w:r>
        <w:t>And that’s it for the server part.</w:t>
      </w:r>
    </w:p>
    <w:p>
      <w:bookmarkStart w:id="317" w:name="page_2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2" name="index-227_1.png" descr="index-227_1.png"/>
            <wp:cNvGraphicFramePr>
              <a:graphicFrameLocks noChangeAspect="1"/>
            </wp:cNvGraphicFramePr>
            <a:graphic>
              <a:graphicData uri="http://schemas.openxmlformats.org/drawingml/2006/picture">
                <pic:pic>
                  <pic:nvPicPr>
                    <pic:cNvPr id="0" name="index-227_1.png" descr="index-227_1.png"/>
                    <pic:cNvPicPr/>
                  </pic:nvPicPr>
                  <pic:blipFill>
                    <a:blip r:embed="rId236"/>
                    <a:stretch>
                      <a:fillRect/>
                    </a:stretch>
                  </pic:blipFill>
                  <pic:spPr>
                    <a:xfrm>
                      <a:off x="0" y="0"/>
                      <a:ext cx="914400" cy="266700"/>
                    </a:xfrm>
                    <a:prstGeom prst="rect">
                      <a:avLst/>
                    </a:prstGeom>
                  </pic:spPr>
                </pic:pic>
              </a:graphicData>
            </a:graphic>
          </wp:anchor>
        </w:drawing>
      </w:r>
      <w:bookmarkEnd w:id="317"/>
    </w:p>
    <w:p>
      <w:pPr>
        <w:pStyle w:val="Normal"/>
      </w:pPr>
      <w:r>
        <w:t>On the client, add a PostUp line specifying this IP (or change the line we added in the previous section):</w:t>
      </w:r>
    </w:p>
    <w:p>
      <w:pPr>
        <w:pStyle w:val="Normal"/>
      </w:pPr>
      <w:r>
        <w:t>[Interface]</w:t>
      </w:r>
    </w:p>
    <w:p>
      <w:pPr>
        <w:pStyle w:val="Normal"/>
      </w:pPr>
      <w:r>
        <w:t>PostUp</w:t>
        <w:t xml:space="preserve"> </w:t>
        <w:t>=</w:t>
        <w:t xml:space="preserve"> </w:t>
        <w:t>wg</w:t>
        <w:t xml:space="preserve"> </w:t>
        <w:t>set</w:t>
        <w:t xml:space="preserve"> </w:t>
        <w:t>%</w:t>
        <w:t>i private</w:t>
        <w:t>-</w:t>
        <w:t>key</w:t>
        <w:t xml:space="preserve"> </w:t>
        <w:t>/</w:t>
        <w:t>etc</w:t>
        <w:t>/</w:t>
        <w:t>wireguard</w:t>
        <w:t>/</w:t>
        <w:t>wg0</w:t>
        <w:t>.</w:t>
        <w:t>key</w:t>
        <w:t xml:space="preserve"> </w:t>
        <w:t>PostUp</w:t>
        <w:t xml:space="preserve"> </w:t>
        <w:t>=</w:t>
        <w:t xml:space="preserve"> </w:t>
        <w:t>resolvectl dns</w:t>
        <w:t xml:space="preserve"> </w:t>
        <w:t>%</w:t>
        <w:t>i</w:t>
        <w:t xml:space="preserve"> </w:t>
        <w:t>10.90.90.2</w:t>
        <w:t>; resolvectl domain</w:t>
        <w:t xml:space="preserve"> </w:t>
        <w:t>%</w:t>
        <w:t>i \</w:t>
        <w:t>~.</w:t>
        <w:t xml:space="preserve"> </w:t>
        <w:t>ListenPort</w:t>
        <w:t xml:space="preserve"> </w:t>
        <w:t>=</w:t>
        <w:t xml:space="preserve"> </w:t>
        <w:t>51000</w:t>
      </w:r>
    </w:p>
    <w:p>
      <w:pPr>
        <w:pStyle w:val="Normal"/>
      </w:pPr>
      <w:r>
        <w:t>Address</w:t>
        <w:t xml:space="preserve"> </w:t>
        <w:t>=</w:t>
        <w:t xml:space="preserve"> </w:t>
        <w:t>10.90.90.1</w:t>
        <w:t>/</w:t>
        <w:t>24</w:t>
      </w:r>
    </w:p>
    <w:p>
      <w:pPr>
        <w:pStyle w:val="Normal"/>
      </w:pPr>
      <w:r>
        <w:t>[Peer]</w:t>
      </w:r>
    </w:p>
    <w:p>
      <w:pPr>
        <w:pStyle w:val="Normal"/>
      </w:pPr>
      <w:r>
        <w:t>PublicKey</w:t>
        <w:t xml:space="preserve"> </w:t>
        <w:t>= &lt;</w:t>
        <w:t>contents of gateway0</w:t>
        <w:t>.</w:t>
        <w:t>pub</w:t>
        <w:t>&gt;</w:t>
      </w:r>
    </w:p>
    <w:p>
      <w:pPr>
        <w:pStyle w:val="Normal"/>
      </w:pPr>
      <w:r>
        <w:t>Endpoint</w:t>
        <w:t xml:space="preserve"> </w:t>
        <w:t>= &lt;</w:t>
        <w:t>public IP of gateway server</w:t>
        <w:t>&gt;</w:t>
        <w:t xml:space="preserve"> </w:t>
        <w:t>AllowedIPs</w:t>
        <w:t xml:space="preserve"> </w:t>
        <w:t>=</w:t>
        <w:t xml:space="preserve"> </w:t>
        <w:t>0.0.0.0</w:t>
        <w:t>/</w:t>
        <w:t>0</w:t>
      </w:r>
    </w:p>
    <w:p>
      <w:pPr>
        <w:pStyle w:val="Para 17"/>
      </w:pPr>
      <w:r>
        <w:t/>
      </w:r>
    </w:p>
    <w:p>
      <w:pPr>
        <w:pStyle w:val="Normal"/>
      </w:pPr>
      <w:r>
        <w:t>And restart the WireGuard interface. Now your VPN client will be using the gateway server as the DNS server.</w:t>
      </w:r>
    </w:p>
    <w:p>
      <w:pPr>
        <w:pStyle w:val="Normal"/>
      </w:pPr>
      <w:r>
        <w:t>There are also some common tasks and tips that will help you adjust your configuration to your needs.</w:t>
      </w:r>
    </w:p>
    <w:p>
      <w:pPr>
        <w:pStyle w:val="Para 17"/>
      </w:pPr>
      <w:r>
        <w:t/>
      </w:r>
    </w:p>
    <w:p>
      <w:pPr>
        <w:pStyle w:val="Para 01"/>
      </w:pPr>
      <w:r>
        <w:t>Common tasks in WireGuard VPN</w:t>
      </w:r>
    </w:p>
    <w:p>
      <w:pPr>
        <w:pStyle w:val="Para 17"/>
      </w:pPr>
      <w:r>
        <w:t/>
      </w:r>
    </w:p>
    <w:p>
      <w:pPr>
        <w:pStyle w:val="Normal"/>
      </w:pPr>
      <w:r>
        <w:t>Here are some common tasks and other useful tips that can help you in your WireGuard de-ployment.</w:t>
      </w:r>
    </w:p>
    <w:p>
      <w:pPr>
        <w:pStyle w:val="Para 17"/>
      </w:pPr>
      <w:r>
        <w:t/>
      </w:r>
    </w:p>
    <w:p>
      <w:pPr>
        <w:pStyle w:val="Para 01"/>
      </w:pPr>
      <w:r>
        <w:t>Controlling the WireGuard interface with systemd</w:t>
      </w:r>
    </w:p>
    <w:p>
      <w:pPr>
        <w:pStyle w:val="Para 17"/>
      </w:pPr>
      <w:r>
        <w:t/>
      </w:r>
    </w:p>
    <w:p>
      <w:pPr>
        <w:pStyle w:val="Normal"/>
      </w:pPr>
      <w:r>
        <w:t>The wg-quick tool is a simple way to bring the WireGuard interface up and down. That control is also exposed via a systemd service, which means the standard systemctl tool can be used.</w:t>
      </w:r>
    </w:p>
    <w:p>
      <w:pPr>
        <w:pStyle w:val="Normal"/>
      </w:pPr>
      <w:r>
        <w:t>Probably the greatest benefit of this is that it gives you the ability to configure the interface to be brought up automatically on system boot. For example, to configure the wg0 interface to be brought up at boot, run the following command:</w:t>
      </w:r>
    </w:p>
    <w:p>
      <w:pPr>
        <w:pStyle w:val="Normal"/>
      </w:pPr>
      <w:r>
        <w:t>sudo systemctl</w:t>
        <w:t xml:space="preserve"> </w:t>
        <w:t>enable</w:t>
        <w:t xml:space="preserve"> </w:t>
        <w:t>wg-quick@wg0</w:t>
      </w:r>
    </w:p>
    <w:p>
      <w:pPr>
        <w:pStyle w:val="Para 17"/>
      </w:pPr>
      <w:r>
        <w:t/>
      </w:r>
    </w:p>
    <w:p>
      <w:pPr>
        <w:pStyle w:val="Normal"/>
      </w:pPr>
      <w:r>
        <w:t>The name of the systemd service follows the WireGuard interface name, and multiple such services can be enabled/started at the same time. You can also use the systemctl status, start, stop, reload and restart commands to control the WireGuard interface and query its status:</w:t>
      </w:r>
    </w:p>
    <w:p>
      <w:pPr>
        <w:pStyle w:val="Normal"/>
      </w:pPr>
      <w:r>
        <w:t>sudo systemctl reload wg-quick@wg0</w:t>
      </w:r>
    </w:p>
    <w:p>
      <w:pPr>
        <w:pStyle w:val="Para 17"/>
      </w:pPr>
      <w:r>
        <w:t/>
      </w:r>
    </w:p>
    <w:p>
      <w:pPr>
        <w:pStyle w:val="Normal"/>
      </w:pPr>
      <w:r>
        <w:t>The reload action does exactly what we expect: it reloads the configuration of the interface without disrupting existing WireGuard tunnels. To add or remove peers, reload is sufficient, but if wg-quick options, such as PostUp, Address, or similar are changed, then a restart is needed.</w:t>
      </w:r>
    </w:p>
    <w:p>
      <w:bookmarkStart w:id="318" w:name="calibre_pb_45"/>
      <w:pPr>
        <w:pStyle w:val="0 Block"/>
      </w:pPr>
      <w:bookmarkEnd w:id="318"/>
    </w:p>
    <w:p>
      <w:bookmarkStart w:id="319" w:name="Top_of_index_split_046_html"/>
      <w:bookmarkStart w:id="320" w:name="page_2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3" name="index-228_1.png" descr="index-228_1.png"/>
            <wp:cNvGraphicFramePr>
              <a:graphicFrameLocks noChangeAspect="1"/>
            </wp:cNvGraphicFramePr>
            <a:graphic>
              <a:graphicData uri="http://schemas.openxmlformats.org/drawingml/2006/picture">
                <pic:pic>
                  <pic:nvPicPr>
                    <pic:cNvPr id="0" name="index-228_1.png" descr="index-228_1.png"/>
                    <pic:cNvPicPr/>
                  </pic:nvPicPr>
                  <pic:blipFill>
                    <a:blip r:embed="rId237"/>
                    <a:stretch>
                      <a:fillRect/>
                    </a:stretch>
                  </pic:blipFill>
                  <pic:spPr>
                    <a:xfrm>
                      <a:off x="0" y="0"/>
                      <a:ext cx="914400" cy="266700"/>
                    </a:xfrm>
                    <a:prstGeom prst="rect">
                      <a:avLst/>
                    </a:prstGeom>
                  </pic:spPr>
                </pic:pic>
              </a:graphicData>
            </a:graphic>
          </wp:anchor>
        </w:drawing>
      </w:r>
      <w:bookmarkEnd w:id="319"/>
      <w:bookmarkEnd w:id="320"/>
    </w:p>
    <w:p>
      <w:pPr>
        <w:pStyle w:val="Para 01"/>
      </w:pPr>
      <w:r>
        <w:t>DNS resolving</w:t>
      </w:r>
    </w:p>
    <w:p>
      <w:pPr>
        <w:pStyle w:val="Para 17"/>
      </w:pPr>
      <w:r>
        <w:t/>
      </w:r>
    </w:p>
    <w:p>
      <w:pPr>
        <w:pStyle w:val="Normal"/>
      </w:pPr>
      <w:r>
        <w:t>Let’s say when you are inside the home network (literally – at home), you can connect to your</w:t>
      </w:r>
    </w:p>
    <w:p>
      <w:pPr>
        <w:pStyle w:val="Normal"/>
      </w:pPr>
      <w:r>
        <w:t xml:space="preserve">other systems via </w:t>
      </w:r>
      <w:hyperlink w:anchor="page_679">
        <w:r>
          <w:rPr>
            <w:rStyle w:val="Text2"/>
          </w:rPr>
          <w:t>DNS</w:t>
        </w:r>
      </w:hyperlink>
      <w:r>
        <w:t xml:space="preserve"> names, because your router at 10.10.10.1 can act as an internal DNS server. It would be nice to have this capability also when connected via the WireGuard VPN.</w:t>
      </w:r>
    </w:p>
    <w:p>
      <w:pPr>
        <w:pStyle w:val="Normal"/>
      </w:pPr>
      <w:r>
        <w:t>To do that, we can add a PostUp command to the WireGuard configuration to run a command for us right after the VPN is established. This command can be anything you would run in a shell (as root). We can use that to adjust the DNS resolver configuration of the laptop that is remotely connected to the home network.</w:t>
      </w:r>
    </w:p>
    <w:p>
      <w:pPr>
        <w:pStyle w:val="Normal"/>
      </w:pPr>
      <w:r>
        <w:t>For example, if we have a WireGuard setup as follows:</w:t>
      </w:r>
    </w:p>
    <w:p>
      <w:pPr>
        <w:pStyle w:val="Para 04"/>
      </w:pPr>
      <w:r>
        <w:t>• home0 WireGuard interface.</w:t>
      </w:r>
    </w:p>
    <w:p>
      <w:pPr>
        <w:pStyle w:val="Para 04"/>
      </w:pPr>
      <w:r>
        <w:t>• .home DNS domain for the remote network.</w:t>
      </w:r>
    </w:p>
    <w:p>
      <w:pPr>
        <w:pStyle w:val="Para 04"/>
      </w:pPr>
      <w:r>
        <w:t>• 10.10.10.1/24 is the DNS server for the .home domain, reachable after the VPN is es-</w:t>
      </w:r>
    </w:p>
    <w:p>
      <w:pPr>
        <w:pStyle w:val="Para 02"/>
      </w:pPr>
      <w:r>
        <w:t>tablished.</w:t>
      </w:r>
    </w:p>
    <w:p>
      <w:pPr>
        <w:pStyle w:val="Normal"/>
      </w:pPr>
      <w:r>
        <w:t>We can add this PostUp command to the home0.conf configuration file to have our systemd-based resolver use 10.10.10.1 as the DNS server for any queries for the .home domain:</w:t>
      </w:r>
    </w:p>
    <w:p>
      <w:pPr>
        <w:pStyle w:val="Normal"/>
      </w:pPr>
      <w:r>
        <w:t>[</w:t>
        <w:t>Interface</w:t>
        <w:t>]</w:t>
      </w:r>
    </w:p>
    <w:p>
      <w:pPr>
        <w:pStyle w:val="Normal"/>
      </w:pPr>
      <w:r>
        <w:t>...</w:t>
      </w:r>
    </w:p>
    <w:p>
      <w:pPr>
        <w:pStyle w:val="Normal"/>
      </w:pPr>
      <w:r>
        <w:t>PostUp</w:t>
        <w:t xml:space="preserve"> </w:t>
        <w:t>=</w:t>
        <w:t xml:space="preserve"> </w:t>
        <w:t>resolvectl dns %i</w:t>
        <w:t xml:space="preserve"> </w:t>
        <w:t>10</w:t>
        <w:t>.10.10.1; resolvectl domain %i</w:t>
        <w:t xml:space="preserve"> </w:t>
      </w:r>
      <w:r>
        <w:rPr>
          <w:rStyle w:val="Text0"/>
        </w:rPr>
        <w:t>\~</w:t>
      </w:r>
      <w:r>
        <w:t>home</w:t>
      </w:r>
    </w:p>
    <w:p>
      <w:pPr>
        <w:pStyle w:val="Para 17"/>
      </w:pPr>
      <w:r>
        <w:t/>
      </w:r>
    </w:p>
    <w:p>
      <w:pPr>
        <w:pStyle w:val="Normal"/>
      </w:pPr>
      <w:r>
        <w:t xml:space="preserve">For </w:t>
      </w:r>
      <w:hyperlink r:id="rId1168">
        <w:r>
          <w:rPr>
            <w:rStyle w:val="Text9"/>
          </w:rPr>
          <w:t>163</w:t>
        </w:r>
      </w:hyperlink>
      <w:r>
        <w:t xml:space="preserve"> PostUp (and PostDown – see the </w:t>
      </w:r>
      <w:hyperlink r:id="rId1168">
        <w:r>
          <w:rPr>
            <w:rStyle w:val="Text2"/>
          </w:rPr>
          <w:t>wg-quick(8)</w:t>
        </w:r>
      </w:hyperlink>
      <w:r>
        <w:t xml:space="preserve"> manual page for details), the %i text is replaced with the WireGuard interface name. In this case, that would be home0.</w:t>
      </w:r>
    </w:p>
    <w:p>
      <w:pPr>
        <w:pStyle w:val="Normal"/>
      </w:pPr>
      <w:r>
        <w:t xml:space="preserve">These two resolvectl commands tell the local </w:t>
      </w:r>
      <w:r>
        <w:rPr>
          <w:rStyle w:val="Text3"/>
        </w:rPr>
        <w:t>systemd-resolved</w:t>
      </w:r>
      <w:r>
        <w:t xml:space="preserve"> resolver to:</w:t>
      </w:r>
    </w:p>
    <w:p>
      <w:pPr>
        <w:pStyle w:val="Para 04"/>
      </w:pPr>
      <w:r>
        <w:t>• associate the DNS server at 10.10.10.1 to the home0 interface, and</w:t>
      </w:r>
    </w:p>
    <w:p>
      <w:pPr>
        <w:pStyle w:val="Para 04"/>
      </w:pPr>
      <w:r>
        <w:t>• associate the home domain to the home0 interface.</w:t>
      </w:r>
    </w:p>
    <w:p>
      <w:pPr>
        <w:pStyle w:val="Normal"/>
      </w:pPr>
      <w:r>
        <w:t>When you bring the home0 WireGuard interface up again, it will run the resolvectl commands:</w:t>
      </w:r>
    </w:p>
    <w:p>
      <w:pPr>
        <w:pStyle w:val="Normal"/>
      </w:pPr>
      <w:r>
        <w:t>sudo wg-quick up home0</w:t>
      </w:r>
    </w:p>
    <w:p>
      <w:pPr>
        <w:pStyle w:val="Para 17"/>
      </w:pPr>
      <w:r>
        <w:t/>
      </w:r>
    </w:p>
    <w:p>
      <w:pPr>
        <w:pStyle w:val="Normal"/>
      </w:pPr>
      <w:r>
        <w:t>Will look like:</w:t>
      </w:r>
    </w:p>
    <w:p>
      <w:pPr>
        <w:pStyle w:val="Normal"/>
      </w:pPr>
      <w:r>
        <w:t>[#] ip link add home0 type wireguard</w:t>
      </w:r>
    </w:p>
    <w:p>
      <w:pPr>
        <w:pStyle w:val="Normal"/>
      </w:pPr>
      <w:r>
        <w:t>[#] wg setconf home0 /dev/fd/63</w:t>
      </w:r>
    </w:p>
    <w:p>
      <w:pPr>
        <w:pStyle w:val="Normal"/>
      </w:pPr>
      <w:r>
        <w:t>[#] ip -4 address add 10.10.11.2/24 dev home0</w:t>
      </w:r>
    </w:p>
    <w:p>
      <w:pPr>
        <w:pStyle w:val="Normal"/>
      </w:pPr>
      <w:r>
        <w:t>[#] ip link set mtu 1420 up dev home0</w:t>
      </w:r>
    </w:p>
    <w:p>
      <w:pPr>
        <w:pStyle w:val="Normal"/>
      </w:pPr>
      <w:r>
        <w:t>[#] ip -4 route add 10.10.10.0/24 dev home0</w:t>
      </w:r>
    </w:p>
    <w:p>
      <w:pPr>
        <w:pStyle w:val="Normal"/>
      </w:pPr>
      <w:r>
        <w:t>[#] resolvectl dns home0 10.10.10.1; resolvectl domain home0 \~home</w:t>
      </w:r>
    </w:p>
    <w:p>
      <w:pPr>
        <w:pStyle w:val="Para 17"/>
      </w:pPr>
      <w:r>
        <w:t/>
      </w:r>
    </w:p>
    <w:p>
      <w:pPr>
        <w:pStyle w:val="Normal"/>
      </w:pPr>
      <w:r>
        <w:t xml:space="preserve">You can verify that it worked by pinging some </w:t>
      </w:r>
      <w:hyperlink w:anchor="page_688">
        <w:r>
          <w:rPr>
            <w:rStyle w:val="Text2"/>
          </w:rPr>
          <w:t>hostname</w:t>
        </w:r>
      </w:hyperlink>
      <w:r>
        <w:t xml:space="preserve"> in your home network, or checking the DNS resolution status for the home0 interface:</w:t>
      </w:r>
    </w:p>
    <w:p>
      <w:pPr>
        <w:pStyle w:val="Normal"/>
      </w:pPr>
      <w:r>
        <w:t>resolvectl status home0</w:t>
      </w:r>
    </w:p>
    <w:p>
      <w:pPr>
        <w:pStyle w:val="Para 17"/>
      </w:pPr>
      <w:r>
        <w:t/>
      </w:r>
    </w:p>
    <w:p>
      <w:pPr>
        <w:pStyle w:val="Normal"/>
      </w:pPr>
      <w:r>
        <w:t>reports:</w:t>
      </w:r>
    </w:p>
    <w:p>
      <w:pPr>
        <w:pStyle w:val="Para 05"/>
      </w:pPr>
      <w:r>
        <w:rPr>
          <w:rStyle w:val="Text5"/>
        </w:rPr>
        <w:t>163</w:t>
      </w:r>
      <w:r>
        <w:rPr>
          <w:rStyle w:val="Text8"/>
        </w:rPr>
        <w:t xml:space="preserve"> </w:t>
      </w:r>
      <w:r>
        <w:t>https://manpages.ubuntu.com/manpages/resolute/man8/wg-quick.8.html</w:t>
      </w:r>
      <w:r>
        <w:rPr>
          <w:rStyle w:val="Text8"/>
        </w:rPr>
        <w:t xml:space="preserve"> </w:t>
        <w:t>Link 26 (home0)</w:t>
      </w:r>
    </w:p>
    <w:p>
      <w:bookmarkStart w:id="321" w:name="page_2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4" name="index-229_1.png" descr="index-229_1.png"/>
            <wp:cNvGraphicFramePr>
              <a:graphicFrameLocks noChangeAspect="1"/>
            </wp:cNvGraphicFramePr>
            <a:graphic>
              <a:graphicData uri="http://schemas.openxmlformats.org/drawingml/2006/picture">
                <pic:pic>
                  <pic:nvPicPr>
                    <pic:cNvPr id="0" name="index-229_1.png" descr="index-229_1.png"/>
                    <pic:cNvPicPr/>
                  </pic:nvPicPr>
                  <pic:blipFill>
                    <a:blip r:embed="rId238"/>
                    <a:stretch>
                      <a:fillRect/>
                    </a:stretch>
                  </pic:blipFill>
                  <pic:spPr>
                    <a:xfrm>
                      <a:off x="0" y="0"/>
                      <a:ext cx="914400" cy="266700"/>
                    </a:xfrm>
                    <a:prstGeom prst="rect">
                      <a:avLst/>
                    </a:prstGeom>
                  </pic:spPr>
                </pic:pic>
              </a:graphicData>
            </a:graphic>
          </wp:anchor>
        </w:drawing>
      </w:r>
      <w:bookmarkEnd w:id="321"/>
    </w:p>
    <w:p>
      <w:pPr>
        <w:pStyle w:val="Para 02"/>
      </w:pPr>
      <w:r>
        <w:t>Current Scopes: DNS</w:t>
      </w:r>
    </w:p>
    <w:p>
      <w:pPr>
        <w:pStyle w:val="Para 17"/>
      </w:pPr>
      <w:r>
        <w:t>Protocols: -DefaultRoute +LLMNR -mDNS -DNSOverTLS DNSSEC=no/unsupported</w:t>
      </w:r>
    </w:p>
    <w:p>
      <w:pPr>
        <w:pStyle w:val="Normal"/>
      </w:pPr>
      <w:r>
        <w:t>Current DNS Server: 10.10.10.1</w:t>
      </w:r>
    </w:p>
    <w:p>
      <w:pPr>
        <w:pStyle w:val="Para 06"/>
      </w:pPr>
      <w:r>
        <w:t>DNS Servers: 10.10.10.1</w:t>
      </w:r>
    </w:p>
    <w:p>
      <w:pPr>
        <w:pStyle w:val="Para 06"/>
      </w:pPr>
      <w:r>
        <w:t>DNS Domain: ~home</w:t>
      </w:r>
    </w:p>
    <w:p>
      <w:pPr>
        <w:pStyle w:val="Para 17"/>
      </w:pPr>
      <w:r>
        <w:t/>
      </w:r>
    </w:p>
    <w:p>
      <w:pPr>
        <w:pStyle w:val="Normal"/>
      </w:pPr>
      <w:r>
        <w:t>If you are using systemctl to control the WireGuard interface, this is the type of change (adding or changing PostUp) where the reload action won’t be enough, and you actually need to issue a restart.</w:t>
      </w:r>
    </w:p>
    <w:p>
      <w:pPr>
        <w:pStyle w:val="Para 17"/>
      </w:pPr>
      <w:r>
        <w:t/>
      </w:r>
    </w:p>
    <w:p>
      <w:pPr>
        <w:pStyle w:val="Para 08"/>
      </w:pPr>
      <w:r>
        <w:t>Note:</w:t>
      </w:r>
    </w:p>
    <w:p>
      <w:pPr>
        <w:pStyle w:val="Para 03"/>
      </w:pPr>
      <w:r>
        <w:t xml:space="preserve">The </w:t>
      </w:r>
      <w:hyperlink w:anchor="page_229">
        <w:r>
          <w:rPr>
            <w:rStyle w:val="Text9"/>
          </w:rPr>
          <w:t>164</w:t>
        </w:r>
      </w:hyperlink>
      <w:r>
        <w:t xml:space="preserve"> </w:t>
      </w:r>
      <w:hyperlink r:id="rId1168">
        <w:r>
          <w:rPr>
            <w:rStyle w:val="Text2"/>
          </w:rPr>
          <w:t>wg-quick(8)</w:t>
        </w:r>
      </w:hyperlink>
      <w:r>
        <w:t xml:space="preserve"> manual page documents the DNS setting of the WireGuard interface</w:t>
      </w:r>
    </w:p>
    <w:p>
      <w:pPr>
        <w:pStyle w:val="Para 03"/>
      </w:pPr>
      <w:r>
        <w:t>which has the same purpose, but only works if you have resolveconf installed. Ubuntu</w:t>
      </w:r>
    </w:p>
    <w:p>
      <w:pPr>
        <w:pStyle w:val="Para 03"/>
      </w:pPr>
      <w:r>
        <w:t>systems by default don’t, and rely on systemd-resolved instead.</w:t>
      </w:r>
    </w:p>
    <w:p>
      <w:pPr>
        <w:pStyle w:val="Para 05"/>
      </w:pPr>
      <w:r>
        <w:rPr>
          <w:rStyle w:val="Text5"/>
        </w:rPr>
        <w:t>164</w:t>
      </w:r>
      <w:r>
        <w:rPr>
          <w:rStyle w:val="Text8"/>
        </w:rPr>
        <w:t xml:space="preserve"> </w:t>
      </w:r>
      <w:r>
        <w:t>https://manpages.ubuntu.com/manpages/resolute/man8/wg-quick.8.html</w:t>
      </w:r>
    </w:p>
    <w:p>
      <w:pPr>
        <w:pStyle w:val="Para 17"/>
      </w:pPr>
      <w:r>
        <w:t/>
      </w:r>
    </w:p>
    <w:p>
      <w:pPr>
        <w:pStyle w:val="Para 01"/>
      </w:pPr>
      <w:r>
        <w:t>Adding another peer</w:t>
      </w:r>
    </w:p>
    <w:p>
      <w:pPr>
        <w:pStyle w:val="Para 17"/>
      </w:pPr>
      <w:r>
        <w:t/>
      </w:r>
    </w:p>
    <w:p>
      <w:pPr>
        <w:pStyle w:val="Normal"/>
      </w:pPr>
      <w:r>
        <w:t>To add another peer to an existing WireGuard setup, we have to:</w:t>
      </w:r>
    </w:p>
    <w:p>
      <w:pPr>
        <w:pStyle w:val="Para 03"/>
      </w:pPr>
      <w:r>
        <w:t>1. Generate a new keypair for the new peer</w:t>
      </w:r>
    </w:p>
    <w:p>
      <w:pPr>
        <w:pStyle w:val="Para 03"/>
      </w:pPr>
      <w:r>
        <w:t>2. Create a new [Peer] section on the “other side” of the WireGuard setup</w:t>
      </w:r>
    </w:p>
    <w:p>
      <w:pPr>
        <w:pStyle w:val="Para 03"/>
      </w:pPr>
      <w:r>
        <w:t>3. Pick a new IP for the new peer</w:t>
      </w:r>
    </w:p>
    <w:p>
      <w:pPr>
        <w:pStyle w:val="Normal"/>
      </w:pPr>
      <w:r>
        <w:t>Let’s call the new system ontheroad, and generate the keys for it:</w:t>
      </w:r>
    </w:p>
    <w:p>
      <w:pPr>
        <w:pStyle w:val="Normal"/>
      </w:pPr>
      <w:r>
        <w:t>$</w:t>
        <w:t xml:space="preserve"> </w:t>
        <w:t>umask</w:t>
        <w:t xml:space="preserve"> </w:t>
        <w:t>077</w:t>
      </w:r>
    </w:p>
    <w:p>
      <w:pPr>
        <w:pStyle w:val="Normal"/>
      </w:pPr>
      <w:r>
        <w:t>$ wg genkey &gt; ontheroad-private.key</w:t>
      </w:r>
    </w:p>
    <w:p>
      <w:pPr>
        <w:pStyle w:val="Normal"/>
      </w:pPr>
      <w:r>
        <w:t>$ wg pubkey &lt; ontheroad-private.key &gt; ontheroad-public.key</w:t>
        <w:t xml:space="preserve"> </w:t>
        <w:t>$ ls -la ontheroad.*</w:t>
      </w:r>
    </w:p>
    <w:p>
      <w:pPr>
        <w:pStyle w:val="Normal"/>
      </w:pPr>
      <w:r>
        <w:t>-rw-------</w:t>
        <w:t>1</w:t>
        <w:t xml:space="preserve"> </w:t>
        <w:t>ubuntu ubuntu</w:t>
        <w:t xml:space="preserve"> </w:t>
        <w:t>45</w:t>
        <w:t xml:space="preserve"> </w:t>
        <w:t>Aug</w:t>
        <w:t xml:space="preserve"> </w:t>
        <w:t>22 20</w:t>
        <w:t>:12 ontheroad-private.key</w:t>
        <w:t>-rw-------</w:t>
        <w:t>1</w:t>
        <w:t xml:space="preserve"> </w:t>
        <w:t>ubuntu ubuntu</w:t>
        <w:t xml:space="preserve"> </w:t>
        <w:t>45</w:t>
        <w:t xml:space="preserve"> </w:t>
        <w:t>Aug</w:t>
        <w:t xml:space="preserve"> </w:t>
        <w:t>22 20</w:t>
        <w:t>:13 ontheroad-public.key</w:t>
      </w:r>
    </w:p>
    <w:p>
      <w:pPr>
        <w:pStyle w:val="Para 17"/>
      </w:pPr>
      <w:r>
        <w:t/>
      </w:r>
    </w:p>
    <w:p>
      <w:pPr>
        <w:pStyle w:val="Normal"/>
      </w:pPr>
      <w:r>
        <w:t>As for its IP address, let’s pick 10.10.11.3/24 for it, which is the next one in the sequence from one of the previous examples in our WireGuard guide:</w:t>
      </w:r>
    </w:p>
    <w:p>
      <w:pPr>
        <w:pStyle w:val="Normal"/>
      </w:pPr>
      <w:r>
        <w:t>[Interface]</w:t>
      </w:r>
    </w:p>
    <w:p>
      <w:pPr>
        <w:pStyle w:val="Normal"/>
      </w:pPr>
      <w:r>
        <w:t>PrivateKey</w:t>
        <w:t xml:space="preserve"> </w:t>
        <w:t>= &lt;</w:t>
        <w:t>contents</w:t>
        <w:t>-</w:t>
        <w:t>of</w:t>
        <w:t>-</w:t>
        <w:t>ontheroad</w:t>
        <w:t>-</w:t>
        <w:t>private</w:t>
        <w:t>.</w:t>
        <w:t>key</w:t>
        <w:t>&gt;</w:t>
        <w:t xml:space="preserve"> </w:t>
        <w:t>ListenPort</w:t>
        <w:t xml:space="preserve"> </w:t>
        <w:t>=</w:t>
        <w:t xml:space="preserve"> </w:t>
        <w:t>51000</w:t>
      </w:r>
    </w:p>
    <w:p>
      <w:pPr>
        <w:pStyle w:val="Normal"/>
      </w:pPr>
      <w:r>
        <w:t>Address</w:t>
        <w:t xml:space="preserve"> </w:t>
        <w:t>=</w:t>
        <w:t xml:space="preserve"> </w:t>
        <w:t>10.10.11.3</w:t>
        <w:t>/</w:t>
        <w:t>24</w:t>
      </w:r>
    </w:p>
    <w:p>
      <w:pPr>
        <w:pStyle w:val="Normal"/>
      </w:pPr>
      <w:r>
        <w:t>[Peer]</w:t>
      </w:r>
    </w:p>
    <w:p>
      <w:pPr>
        <w:pStyle w:val="Normal"/>
      </w:pPr>
      <w:r>
        <w:t>PublicKey</w:t>
        <w:t xml:space="preserve"> </w:t>
        <w:t>= &lt;</w:t>
        <w:t>contents</w:t>
        <w:t>-</w:t>
        <w:t>of</w:t>
        <w:t>-</w:t>
        <w:t>router</w:t>
        <w:t>-</w:t>
        <w:t>public</w:t>
        <w:t>.</w:t>
        <w:t>key</w:t>
        <w:t>&gt;</w:t>
        <w:t xml:space="preserve"> </w:t>
        <w:t>Endpoint</w:t>
        <w:t xml:space="preserve"> </w:t>
        <w:t>= &lt;</w:t>
        <w:t>home</w:t>
        <w:t>-</w:t>
        <w:t>ppp0</w:t>
        <w:t>-</w:t>
        <w:t>IP</w:t>
        <w:t>-</w:t>
      </w:r>
      <w:r>
        <w:rPr>
          <w:rStyle w:val="Text0"/>
        </w:rPr>
        <w:t>or</w:t>
      </w:r>
      <w:r>
        <w:t>-</w:t>
        <w:t>hostname</w:t>
        <w:t>&gt;</w:t>
        <w:t>:</w:t>
        <w:t>51000</w:t>
        <w:t xml:space="preserve"> </w:t>
        <w:t>AllowedIPs</w:t>
        <w:t xml:space="preserve"> </w:t>
        <w:t>=</w:t>
        <w:t xml:space="preserve"> </w:t>
        <w:t>10.10.11.0</w:t>
        <w:t>/</w:t>
        <w:t>24</w:t>
        <w:t>,</w:t>
        <w:t>10.10.10.0</w:t>
        <w:t>/</w:t>
        <w:t>24</w:t>
      </w:r>
    </w:p>
    <w:p>
      <w:pPr>
        <w:pStyle w:val="Para 17"/>
      </w:pPr>
      <w:r>
        <w:t/>
      </w:r>
    </w:p>
    <w:p>
      <w:pPr>
        <w:pStyle w:val="Normal"/>
      </w:pPr>
      <w:r>
        <w:t>The only difference between this config and one for an existing system in this same Wire-Guard setup will be PrivateKey and Address.</w:t>
      </w:r>
    </w:p>
    <w:p>
      <w:pPr>
        <w:pStyle w:val="Normal"/>
      </w:pPr>
      <w:r>
        <w:t>On the “other side”, we add the new [Peer] section to the existing config:</w:t>
      </w:r>
    </w:p>
    <w:p>
      <w:bookmarkStart w:id="322" w:name="page_2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5" name="index-230_1.png" descr="index-230_1.png"/>
            <wp:cNvGraphicFramePr>
              <a:graphicFrameLocks noChangeAspect="1"/>
            </wp:cNvGraphicFramePr>
            <a:graphic>
              <a:graphicData uri="http://schemas.openxmlformats.org/drawingml/2006/picture">
                <pic:pic>
                  <pic:nvPicPr>
                    <pic:cNvPr id="0" name="index-230_1.png" descr="index-230_1.png"/>
                    <pic:cNvPicPr/>
                  </pic:nvPicPr>
                  <pic:blipFill>
                    <a:blip r:embed="rId239"/>
                    <a:stretch>
                      <a:fillRect/>
                    </a:stretch>
                  </pic:blipFill>
                  <pic:spPr>
                    <a:xfrm>
                      <a:off x="0" y="0"/>
                      <a:ext cx="914400" cy="266700"/>
                    </a:xfrm>
                    <a:prstGeom prst="rect">
                      <a:avLst/>
                    </a:prstGeom>
                  </pic:spPr>
                </pic:pic>
              </a:graphicData>
            </a:graphic>
          </wp:anchor>
        </w:drawing>
      </w:r>
      <w:bookmarkEnd w:id="322"/>
    </w:p>
    <w:p>
      <w:pPr>
        <w:pStyle w:val="Normal"/>
      </w:pPr>
      <w:r>
        <w:t>[Interface]</w:t>
      </w:r>
    </w:p>
    <w:p>
      <w:pPr>
        <w:pStyle w:val="Normal"/>
      </w:pPr>
      <w:r>
        <w:t>PrivateKey</w:t>
        <w:t xml:space="preserve"> </w:t>
        <w:t>= &lt;</w:t>
        <w:t>contents</w:t>
        <w:t>-</w:t>
        <w:t>of</w:t>
        <w:t>-</w:t>
        <w:t>router</w:t>
        <w:t>-</w:t>
        <w:t>private</w:t>
        <w:t>.</w:t>
        <w:t>key</w:t>
        <w:t>&gt;</w:t>
        <w:t xml:space="preserve"> </w:t>
        <w:t>ListenPort</w:t>
        <w:t xml:space="preserve"> </w:t>
        <w:t>=</w:t>
        <w:t xml:space="preserve"> </w:t>
        <w:t>51000</w:t>
      </w:r>
    </w:p>
    <w:p>
      <w:pPr>
        <w:pStyle w:val="Normal"/>
      </w:pPr>
      <w:r>
        <w:t>Address</w:t>
        <w:t xml:space="preserve"> </w:t>
        <w:t>=</w:t>
        <w:t xml:space="preserve"> </w:t>
        <w:t>10.10.11.1</w:t>
        <w:t>/</w:t>
        <w:t>24</w:t>
      </w:r>
    </w:p>
    <w:p>
      <w:pPr>
        <w:pStyle w:val="Normal"/>
      </w:pPr>
      <w:r>
        <w:t>[Peer]</w:t>
      </w:r>
    </w:p>
    <w:p>
      <w:pPr>
        <w:pStyle w:val="Para 10"/>
      </w:pPr>
      <w:r>
        <w:t># laptop</w:t>
      </w:r>
    </w:p>
    <w:p>
      <w:pPr>
        <w:pStyle w:val="Normal"/>
      </w:pPr>
      <w:r>
        <w:t>PublicKey</w:t>
        <w:t xml:space="preserve"> </w:t>
        <w:t>= &lt;</w:t>
        <w:t>contents</w:t>
        <w:t>-</w:t>
        <w:t>of</w:t>
        <w:t>-</w:t>
        <w:t>laptop</w:t>
        <w:t>-</w:t>
        <w:t>public</w:t>
        <w:t>.</w:t>
        <w:t>key</w:t>
        <w:t>&gt;</w:t>
        <w:t xml:space="preserve"> </w:t>
        <w:t>AllowedIPs</w:t>
        <w:t xml:space="preserve"> </w:t>
        <w:t>=</w:t>
        <w:t xml:space="preserve"> </w:t>
        <w:t>10.10.11.2</w:t>
      </w:r>
    </w:p>
    <w:p>
      <w:pPr>
        <w:pStyle w:val="Normal"/>
      </w:pPr>
      <w:r>
        <w:t>[Peer]</w:t>
      </w:r>
    </w:p>
    <w:p>
      <w:pPr>
        <w:pStyle w:val="Para 10"/>
      </w:pPr>
      <w:r>
        <w:t># ontheroad</w:t>
      </w:r>
    </w:p>
    <w:p>
      <w:pPr>
        <w:pStyle w:val="Normal"/>
      </w:pPr>
      <w:r>
        <w:t>PublicKey</w:t>
        <w:t xml:space="preserve"> </w:t>
        <w:t>= &lt;</w:t>
        <w:t>contents</w:t>
        <w:t>-</w:t>
        <w:t>of</w:t>
        <w:t>-</w:t>
        <w:t>ontheroad</w:t>
        <w:t>-</w:t>
        <w:t>public</w:t>
        <w:t>.</w:t>
        <w:t>key</w:t>
        <w:t>&gt;</w:t>
        <w:t xml:space="preserve"> </w:t>
        <w:t>AllowedIPs</w:t>
        <w:t xml:space="preserve"> </w:t>
        <w:t>=</w:t>
        <w:t xml:space="preserve"> </w:t>
        <w:t>10.10.11.3</w:t>
      </w:r>
    </w:p>
    <w:p>
      <w:pPr>
        <w:pStyle w:val="Para 17"/>
      </w:pPr>
      <w:r>
        <w:t/>
      </w:r>
    </w:p>
    <w:p>
      <w:pPr>
        <w:pStyle w:val="Normal"/>
      </w:pPr>
      <w:r>
        <w:t>To update the interface with the new peer without disrupting existing connections, we use the reload action of the systemd unit:</w:t>
      </w:r>
    </w:p>
    <w:p>
      <w:pPr>
        <w:pStyle w:val="Normal"/>
      </w:pPr>
      <w:r>
        <w:t>systemctl reload wg-quick@wg0</w:t>
      </w:r>
    </w:p>
    <w:p>
      <w:pPr>
        <w:pStyle w:val="Para 17"/>
      </w:pPr>
      <w:r>
        <w:t/>
      </w:r>
    </w:p>
    <w:p>
      <w:pPr>
        <w:pStyle w:val="Para 08"/>
      </w:pPr>
      <w:r>
        <w:t>Note:</w:t>
      </w:r>
    </w:p>
    <w:p>
      <w:pPr>
        <w:pStyle w:val="Para 03"/>
      </w:pPr>
      <w:r>
        <w:t>For this case of a “server” or “VPN gateway”, where we are just adding another peer to an</w:t>
      </w:r>
    </w:p>
    <w:p>
      <w:pPr>
        <w:pStyle w:val="Para 03"/>
      </w:pPr>
      <w:r>
        <w:t>existing config, the systemctl reload action will work well enough to insert the new peer</w:t>
      </w:r>
    </w:p>
    <w:p>
      <w:pPr>
        <w:pStyle w:val="Para 03"/>
      </w:pPr>
      <w:r>
        <w:t>into the WireGuard configuration. However, it won’t create new routes, or do any of the</w:t>
      </w:r>
    </w:p>
    <w:p>
      <w:pPr>
        <w:pStyle w:val="Para 03"/>
      </w:pPr>
      <w:r>
        <w:t>other steps that wg-quick does. Depending on your setup, you might need a full restart</w:t>
      </w:r>
    </w:p>
    <w:p>
      <w:pPr>
        <w:pStyle w:val="Para 03"/>
      </w:pPr>
      <w:r>
        <w:t>so that wg-quick can fully do its job.</w:t>
      </w:r>
    </w:p>
    <w:p>
      <w:pPr>
        <w:pStyle w:val="Para 17"/>
      </w:pPr>
      <w:r>
        <w:t/>
      </w:r>
    </w:p>
    <w:p>
      <w:pPr>
        <w:pStyle w:val="Para 01"/>
      </w:pPr>
      <w:r>
        <w:t>Adding a smartphone peer</w:t>
      </w:r>
    </w:p>
    <w:p>
      <w:pPr>
        <w:pStyle w:val="Para 17"/>
      </w:pPr>
      <w:r>
        <w:t/>
      </w:r>
    </w:p>
    <w:p>
      <w:pPr>
        <w:pStyle w:val="Normal"/>
      </w:pPr>
      <w:r>
        <w:t>WireGuard can be installed on many different platforms, and smartphones are included. The</w:t>
      </w:r>
    </w:p>
    <w:p>
      <w:pPr>
        <w:pStyle w:val="Normal"/>
      </w:pPr>
      <w:hyperlink r:id="rId1169">
        <w:r>
          <w:rPr>
            <w:rStyle w:val="Text1"/>
          </w:rPr>
          <w:t>upstream installation page</w:t>
        </w:r>
      </w:hyperlink>
      <w:hyperlink r:id="rId1169">
        <w:r>
          <w:rPr>
            <w:rStyle w:val="Text9"/>
          </w:rPr>
          <w:t>165</w:t>
        </w:r>
      </w:hyperlink>
      <w:r>
        <w:t xml:space="preserve"> has links for Android and for iOS apps.</w:t>
      </w:r>
    </w:p>
    <w:p>
      <w:pPr>
        <w:pStyle w:val="Normal"/>
      </w:pPr>
      <w:r>
        <w:t>Such a mobile client can be configured more easily with the use of QR codes.</w:t>
      </w:r>
    </w:p>
    <w:p>
      <w:pPr>
        <w:pStyle w:val="Normal"/>
      </w:pPr>
      <w:r>
        <w:t>We start by creating the new peer’s config normally, as if it were any other system (generate keys, pick an IP address, etc). Then, to convert that configuration file to a QR code, install the qrencode package:</w:t>
      </w:r>
    </w:p>
    <w:p>
      <w:pPr>
        <w:pStyle w:val="Normal"/>
      </w:pPr>
      <w:r>
        <w:t>sudo apt install qrencode</w:t>
      </w:r>
    </w:p>
    <w:p>
      <w:pPr>
        <w:pStyle w:val="Para 17"/>
      </w:pPr>
      <w:r>
        <w:t/>
      </w:r>
    </w:p>
    <w:p>
      <w:pPr>
        <w:pStyle w:val="Normal"/>
      </w:pPr>
      <w:r>
        <w:t>Next, run the following command (assuming a WireGuard config, as shown in the other ex-amples, was written to phone.conf):</w:t>
      </w:r>
    </w:p>
    <w:p>
      <w:pPr>
        <w:pStyle w:val="Normal"/>
      </w:pPr>
      <w:r>
        <w:t>cat phone.conf | qrencode -t ansiutf8</w:t>
      </w:r>
    </w:p>
    <w:p>
      <w:pPr>
        <w:pStyle w:val="Para 17"/>
      </w:pPr>
      <w:r>
        <w:t/>
      </w:r>
    </w:p>
    <w:p>
      <w:pPr>
        <w:pStyle w:val="Normal"/>
      </w:pPr>
      <w:r>
        <w:t>That will generate a QR code in the terminal, ready for scanning with the smartphone app. Note that there is no need for a graphical environment, and this command can be run re-motely over SSH for example.</w:t>
      </w:r>
    </w:p>
    <w:p>
      <w:pPr>
        <w:pStyle w:val="Normal"/>
      </w:pPr>
      <w:r>
        <w:t>Note that you need to put the private key contents directly into that configuration file, and not use PostUp to load it from a separate file.</w:t>
      </w:r>
    </w:p>
    <w:p>
      <w:pPr>
        <w:pStyle w:val="Para 05"/>
      </w:pPr>
      <w:r>
        <w:rPr>
          <w:rStyle w:val="Text5"/>
        </w:rPr>
        <w:t>165</w:t>
      </w:r>
      <w:r>
        <w:rPr>
          <w:rStyle w:val="Text8"/>
        </w:rPr>
        <w:t xml:space="preserve"> </w:t>
      </w:r>
      <w:r>
        <w:t>https://www.wireguard.com/install/</w:t>
      </w:r>
    </w:p>
    <w:p>
      <w:bookmarkStart w:id="323" w:name="page_2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6" name="index-231_1.png" descr="index-231_1.png"/>
            <wp:cNvGraphicFramePr>
              <a:graphicFrameLocks noChangeAspect="1"/>
            </wp:cNvGraphicFramePr>
            <a:graphic>
              <a:graphicData uri="http://schemas.openxmlformats.org/drawingml/2006/picture">
                <pic:pic>
                  <pic:nvPicPr>
                    <pic:cNvPr id="0" name="index-231_1.png" descr="index-231_1.png"/>
                    <pic:cNvPicPr/>
                  </pic:nvPicPr>
                  <pic:blipFill>
                    <a:blip r:embed="rId240"/>
                    <a:stretch>
                      <a:fillRect/>
                    </a:stretch>
                  </pic:blipFill>
                  <pic:spPr>
                    <a:xfrm>
                      <a:off x="0" y="0"/>
                      <a:ext cx="914400" cy="266700"/>
                    </a:xfrm>
                    <a:prstGeom prst="rect">
                      <a:avLst/>
                    </a:prstGeom>
                  </pic:spPr>
                </pic:pic>
              </a:graphicData>
            </a:graphic>
          </wp:anchor>
        </w:drawing>
      </w:r>
      <w:bookmarkEnd w:id="323"/>
    </w:p>
    <w:p>
      <w:pPr>
        <w:pStyle w:val="Para 08"/>
      </w:pPr>
      <w:r>
        <w:t>Important:</w:t>
      </w:r>
    </w:p>
    <w:p>
      <w:pPr>
        <w:pStyle w:val="Para 17"/>
      </w:pPr>
      <w:r>
        <w:t/>
      </w:r>
    </w:p>
    <w:p>
      <w:pPr>
        <w:pStyle w:val="Para 03"/>
      </w:pPr>
      <w:r>
        <w:t>Treat this QR code as a secret, as it contains the private key for the WireGuard interface!</w:t>
      </w:r>
    </w:p>
    <w:p>
      <w:pPr>
        <w:pStyle w:val="Para 17"/>
      </w:pPr>
      <w:r>
        <w:t/>
      </w:r>
    </w:p>
    <w:p>
      <w:pPr>
        <w:pStyle w:val="Para 01"/>
      </w:pPr>
      <w:r>
        <w:t>Security tips for WireGuard VPN</w:t>
      </w:r>
    </w:p>
    <w:p>
      <w:pPr>
        <w:pStyle w:val="Para 17"/>
      </w:pPr>
      <w:r>
        <w:t/>
      </w:r>
    </w:p>
    <w:p>
      <w:pPr>
        <w:pStyle w:val="Normal"/>
      </w:pPr>
      <w:r>
        <w:t>Here are some security tips for your WireGuard deployment.</w:t>
      </w:r>
    </w:p>
    <w:p>
      <w:pPr>
        <w:pStyle w:val="Para 17"/>
      </w:pPr>
      <w:r>
        <w:t/>
      </w:r>
    </w:p>
    <w:p>
      <w:pPr>
        <w:pStyle w:val="Para 01"/>
      </w:pPr>
      <w:r>
        <w:t>Traffic goes both ways</w:t>
      </w:r>
    </w:p>
    <w:p>
      <w:pPr>
        <w:pStyle w:val="Para 17"/>
      </w:pPr>
      <w:r>
        <w:t/>
      </w:r>
    </w:p>
    <w:p>
      <w:pPr>
        <w:pStyle w:val="Normal"/>
      </w:pPr>
      <w:r>
        <w:t>Remember that the VPN traffic goes both ways. Once you are connected to the remote net-work, it means any device on that network can connect back to you! That is, unless you create specific firewall rules for this VPN network.</w:t>
      </w:r>
    </w:p>
    <w:p>
      <w:pPr>
        <w:pStyle w:val="Normal"/>
      </w:pPr>
      <w:r>
        <w:t>Since WireGuard is “just” an interface, you can create normal firewall rules for its traffic, and control the access to the network resources as usual. This is done more easily if you have a dedicated network for the VPN clients.</w:t>
      </w:r>
    </w:p>
    <w:p>
      <w:pPr>
        <w:pStyle w:val="Para 17"/>
      </w:pPr>
      <w:r>
        <w:t/>
      </w:r>
    </w:p>
    <w:p>
      <w:pPr>
        <w:pStyle w:val="Para 01"/>
      </w:pPr>
      <w:r>
        <w:t>Using PreSharedKey</w:t>
      </w:r>
    </w:p>
    <w:p>
      <w:pPr>
        <w:pStyle w:val="Para 17"/>
      </w:pPr>
      <w:r>
        <w:t/>
      </w:r>
    </w:p>
    <w:p>
      <w:pPr>
        <w:pStyle w:val="Normal"/>
      </w:pPr>
      <w:r>
        <w:t>You can add another layer of cryptographic protection to your VPN with the PreSharedKey option. Its use is optional, and adds a layer of symmetric-key cryptography to the traffic be-tween specific peers.</w:t>
      </w:r>
    </w:p>
    <w:p>
      <w:pPr>
        <w:pStyle w:val="Normal"/>
      </w:pPr>
      <w:r>
        <w:t>Such a key can be generated with the genpsk command:</w:t>
      </w:r>
    </w:p>
    <w:p>
      <w:pPr>
        <w:pStyle w:val="Normal"/>
      </w:pPr>
      <w:r>
        <w:t>$ wg genpsk</w:t>
      </w:r>
    </w:p>
    <w:p>
      <w:pPr>
        <w:pStyle w:val="Normal"/>
      </w:pPr>
      <w:r>
        <w:t>vxlX6eMMin8uhxbKEhe/iOxi8ru+q1qWzCdjESXoFZY</w:t>
        <w:t>=</w:t>
      </w:r>
    </w:p>
    <w:p>
      <w:pPr>
        <w:pStyle w:val="Para 17"/>
      </w:pPr>
      <w:r>
        <w:t/>
      </w:r>
    </w:p>
    <w:p>
      <w:pPr>
        <w:pStyle w:val="Normal"/>
      </w:pPr>
      <w:r>
        <w:t>And then used in a [Peer] section, like this:</w:t>
      </w:r>
    </w:p>
    <w:p>
      <w:pPr>
        <w:pStyle w:val="Normal"/>
      </w:pPr>
      <w:r>
        <w:t>[Peer]</w:t>
      </w:r>
    </w:p>
    <w:p>
      <w:pPr>
        <w:pStyle w:val="Normal"/>
      </w:pPr>
      <w:r>
        <w:t>PublicKey</w:t>
        <w:t xml:space="preserve"> </w:t>
        <w:t>= ....</w:t>
      </w:r>
    </w:p>
    <w:p>
      <w:pPr>
        <w:pStyle w:val="Normal"/>
      </w:pPr>
      <w:r>
        <w:t>Endpoint</w:t>
        <w:t xml:space="preserve"> </w:t>
        <w:t>= ....</w:t>
      </w:r>
    </w:p>
    <w:p>
      <w:pPr>
        <w:pStyle w:val="Normal"/>
      </w:pPr>
      <w:r>
        <w:t>AllowedIPs</w:t>
        <w:t xml:space="preserve"> </w:t>
        <w:t>= ....</w:t>
      </w:r>
    </w:p>
    <w:p>
      <w:pPr>
        <w:pStyle w:val="Normal"/>
      </w:pPr>
      <w:r>
        <w:t>PresharedKey</w:t>
        <w:t xml:space="preserve"> </w:t>
        <w:t>=</w:t>
        <w:t xml:space="preserve"> </w:t>
        <w:t>vxlX6eMMin8uhxbKEhe</w:t>
        <w:t>/</w:t>
        <w:t>iOxi8ru</w:t>
        <w:t>+</w:t>
        <w:t>q1qWzCdjESXoFZY</w:t>
        <w:t>=</w:t>
      </w:r>
    </w:p>
    <w:p>
      <w:pPr>
        <w:pStyle w:val="Para 17"/>
      </w:pPr>
      <w:r>
        <w:t/>
      </w:r>
    </w:p>
    <w:p>
      <w:pPr>
        <w:pStyle w:val="Para 08"/>
      </w:pPr>
      <w:r>
        <w:t>Note:</w:t>
      </w:r>
    </w:p>
    <w:p>
      <w:pPr>
        <w:pStyle w:val="Para 03"/>
      </w:pPr>
      <w:r>
        <w:t>Both sides need to have the same PresharedKey in their respective [Peer] sections.</w:t>
      </w:r>
    </w:p>
    <w:p>
      <w:bookmarkStart w:id="324" w:name="calibre_pb_46"/>
      <w:pPr>
        <w:pStyle w:val="0 Block"/>
      </w:pPr>
      <w:bookmarkEnd w:id="324"/>
    </w:p>
    <w:p>
      <w:bookmarkStart w:id="325" w:name="Top_of_index_split_047_html"/>
      <w:bookmarkStart w:id="326" w:name="page_23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7"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241"/>
                    <a:stretch>
                      <a:fillRect/>
                    </a:stretch>
                  </pic:blipFill>
                  <pic:spPr>
                    <a:xfrm>
                      <a:off x="0" y="0"/>
                      <a:ext cx="914400" cy="266700"/>
                    </a:xfrm>
                    <a:prstGeom prst="rect">
                      <a:avLst/>
                    </a:prstGeom>
                  </pic:spPr>
                </pic:pic>
              </a:graphicData>
            </a:graphic>
          </wp:anchor>
        </w:drawing>
      </w:r>
      <w:bookmarkEnd w:id="325"/>
      <w:bookmarkEnd w:id="326"/>
    </w:p>
    <w:p>
      <w:pPr>
        <w:pStyle w:val="Para 01"/>
      </w:pPr>
      <w:r>
        <w:t>Preventing accidental leakage of private keys</w:t>
      </w:r>
    </w:p>
    <w:p>
      <w:pPr>
        <w:pStyle w:val="Para 17"/>
      </w:pPr>
      <w:r>
        <w:t/>
      </w:r>
    </w:p>
    <w:p>
      <w:pPr>
        <w:pStyle w:val="Normal"/>
      </w:pPr>
      <w:r>
        <w:t>When troubleshooting WireGuard, it’s common to post the contents of the interface config-uration file somewhere for others to help, like in a mailing list, or internet forum. Since the private key is listed in that file, one has to remember to strip or obfuscate it before sharing, or else the secret is leaked.</w:t>
      </w:r>
    </w:p>
    <w:p>
      <w:pPr>
        <w:pStyle w:val="Normal"/>
      </w:pPr>
      <w:r>
        <w:t>To avoid such mistakes, we can remove the private key from the configuration file and leave it in its own file. This can be done via a PostUp`` hook. For example, let's update the home0.conf` file to use such a hook:</w:t>
      </w:r>
    </w:p>
    <w:p>
      <w:pPr>
        <w:pStyle w:val="Normal"/>
      </w:pPr>
      <w:r>
        <w:t>[Interface]</w:t>
      </w:r>
    </w:p>
    <w:p>
      <w:pPr>
        <w:pStyle w:val="Normal"/>
      </w:pPr>
      <w:r>
        <w:t>ListenPort</w:t>
        <w:t xml:space="preserve"> </w:t>
        <w:t>=</w:t>
        <w:t xml:space="preserve"> </w:t>
        <w:t>51000</w:t>
      </w:r>
    </w:p>
    <w:p>
      <w:pPr>
        <w:pStyle w:val="Normal"/>
      </w:pPr>
      <w:r>
        <w:t>Address</w:t>
        <w:t xml:space="preserve"> </w:t>
        <w:t>=</w:t>
        <w:t xml:space="preserve"> </w:t>
        <w:t>10.10.11.3</w:t>
        <w:t>/</w:t>
        <w:t>24</w:t>
      </w:r>
    </w:p>
    <w:p>
      <w:pPr>
        <w:pStyle w:val="Normal"/>
      </w:pPr>
      <w:r>
        <w:t>PostUp</w:t>
        <w:t xml:space="preserve"> </w:t>
        <w:t>=</w:t>
        <w:t xml:space="preserve"> </w:t>
        <w:t>wg</w:t>
        <w:t xml:space="preserve"> </w:t>
        <w:t>set</w:t>
        <w:t xml:space="preserve"> </w:t>
        <w:t>%</w:t>
        <w:t>i private</w:t>
        <w:t>-</w:t>
        <w:t>key</w:t>
        <w:t xml:space="preserve"> </w:t>
        <w:t>/</w:t>
        <w:t>etc</w:t>
        <w:t>/</w:t>
        <w:t>wireguard</w:t>
        <w:t>/%</w:t>
        <w:t>i</w:t>
        <w:t>.</w:t>
        <w:t>key</w:t>
      </w:r>
    </w:p>
    <w:p>
      <w:pPr>
        <w:pStyle w:val="Normal"/>
      </w:pPr>
      <w:r>
        <w:t>[Peer]</w:t>
      </w:r>
    </w:p>
    <w:p>
      <w:pPr>
        <w:pStyle w:val="Normal"/>
      </w:pPr>
      <w:r>
        <w:t>PublicKey</w:t>
        <w:t xml:space="preserve"> </w:t>
        <w:t>= &lt;</w:t>
        <w:t>contents</w:t>
        <w:t>-</w:t>
        <w:t>of</w:t>
        <w:t>-</w:t>
        <w:t>router</w:t>
        <w:t>-</w:t>
        <w:t>public</w:t>
        <w:t>.</w:t>
        <w:t>key</w:t>
        <w:t>&gt;</w:t>
        <w:t xml:space="preserve"> </w:t>
        <w:t>Endpoint</w:t>
        <w:t xml:space="preserve"> </w:t>
        <w:t>=</w:t>
        <w:t xml:space="preserve"> </w:t>
        <w:t>10.48.132.39</w:t>
        <w:t>:</w:t>
        <w:t>51000</w:t>
      </w:r>
    </w:p>
    <w:p>
      <w:pPr>
        <w:pStyle w:val="Normal"/>
      </w:pPr>
      <w:r>
        <w:t>AllowedIPs</w:t>
        <w:t xml:space="preserve"> </w:t>
        <w:t>=</w:t>
        <w:t xml:space="preserve"> </w:t>
        <w:t>10.10.11.0</w:t>
        <w:t>/</w:t>
        <w:t>24</w:t>
        <w:t>,</w:t>
        <w:t>10.10.10.0</w:t>
        <w:t>/</w:t>
        <w:t>24</w:t>
      </w:r>
    </w:p>
    <w:p>
      <w:pPr>
        <w:pStyle w:val="Para 17"/>
      </w:pPr>
      <w:r>
        <w:t/>
      </w:r>
    </w:p>
    <w:p>
      <w:pPr>
        <w:pStyle w:val="Normal"/>
      </w:pPr>
      <w:r>
        <w:t>The %i macro is replaced by the WireGuard interface name (home0 in this case). When the inter-face comes up, the PostUp shell commands will be executed with that substitution in place, and the private key for this interface will be set with the contents of the /etc/wireguard/ home0.key file.</w:t>
      </w:r>
    </w:p>
    <w:p>
      <w:pPr>
        <w:pStyle w:val="Normal"/>
      </w:pPr>
      <w:r>
        <w:t>There are some other advantages to this method, and perhaps one disadvantage.</w:t>
      </w:r>
    </w:p>
    <w:p>
      <w:pPr>
        <w:pStyle w:val="Normal"/>
      </w:pPr>
      <w:r>
        <w:t>Pros:</w:t>
      </w:r>
    </w:p>
    <w:p>
      <w:pPr>
        <w:pStyle w:val="Para 04"/>
      </w:pPr>
      <w:r>
        <w:t>• The configuration file can now safely be stored in version control, like a git repository,</w:t>
      </w:r>
    </w:p>
    <w:p>
      <w:pPr>
        <w:pStyle w:val="Para 02"/>
      </w:pPr>
      <w:r>
        <w:t>without fear of leaking the private key (unless you also use the PreSharedKey option, which is also a secret).</w:t>
      </w:r>
    </w:p>
    <w:p>
      <w:pPr>
        <w:pStyle w:val="Para 04"/>
      </w:pPr>
      <w:r>
        <w:t>• Since the key is now stored in a file, you can give that file a meaningful name, which</w:t>
      </w:r>
    </w:p>
    <w:p>
      <w:pPr>
        <w:pStyle w:val="Para 02"/>
      </w:pPr>
      <w:r>
        <w:t>helps to avoid mix-ups with keys and peers when setting up WireGuard.</w:t>
      </w:r>
    </w:p>
    <w:p>
      <w:pPr>
        <w:pStyle w:val="Normal"/>
      </w:pPr>
      <w:r>
        <w:t>Cons:</w:t>
      </w:r>
    </w:p>
    <w:p>
      <w:pPr>
        <w:pStyle w:val="Para 04"/>
      </w:pPr>
      <w:r>
        <w:t>• You cannot directly use the qrcode tool to convert this image to a QR code and use it to</w:t>
      </w:r>
    </w:p>
    <w:p>
      <w:pPr>
        <w:pStyle w:val="Para 02"/>
      </w:pPr>
      <w:r>
        <w:t>configure the mobile version of WireGuard, because that tool won’t go after the private key in that separate file.</w:t>
      </w:r>
    </w:p>
    <w:p>
      <w:pPr>
        <w:pStyle w:val="Para 17"/>
      </w:pPr>
      <w:r>
        <w:t/>
      </w:r>
    </w:p>
    <w:p>
      <w:pPr>
        <w:pStyle w:val="Para 01"/>
      </w:pPr>
      <w:r>
        <w:t>Troubleshooting WireGuard VPN</w:t>
      </w:r>
    </w:p>
    <w:p>
      <w:pPr>
        <w:pStyle w:val="Para 17"/>
      </w:pPr>
      <w:r>
        <w:t/>
      </w:r>
    </w:p>
    <w:p>
      <w:pPr>
        <w:pStyle w:val="Normal"/>
      </w:pPr>
      <w:r>
        <w:t>The following general checklist should help as a first set of steps to try when you run into problems with WireGuard.</w:t>
      </w:r>
    </w:p>
    <w:p>
      <w:pPr>
        <w:pStyle w:val="Para 04"/>
      </w:pPr>
      <w:r>
        <w:t xml:space="preserve">• </w:t>
      </w:r>
      <w:r>
        <w:rPr>
          <w:rStyle w:val="Text0"/>
        </w:rPr>
        <w:t>Verify public and private keys</w:t>
      </w:r>
      <w:r>
        <w:t>: When dealing with multiple peers, it’s easy to mix these</w:t>
      </w:r>
    </w:p>
    <w:p>
      <w:pPr>
        <w:pStyle w:val="Para 02"/>
      </w:pPr>
      <w:r>
        <w:t>up, especially because the contents of these keys are just random data. There is nothing identifying them, and public and private keys are basically the same (format-wise).</w:t>
      </w:r>
    </w:p>
    <w:p>
      <w:pPr>
        <w:pStyle w:val="Para 28"/>
      </w:pPr>
      <w:r>
        <w:rPr>
          <w:rStyle w:val="Text0"/>
        </w:rPr>
        <w:t xml:space="preserve">• </w:t>
      </w:r>
      <w:r>
        <w:t>Verify AllowedIPs list on all peers</w:t>
      </w:r>
      <w:r>
        <w:rPr>
          <w:rStyle w:val="Text0"/>
        </w:rPr>
        <w:t>.</w:t>
      </w:r>
    </w:p>
    <w:p>
      <w:pPr>
        <w:pStyle w:val="Para 28"/>
      </w:pPr>
      <w:r>
        <w:rPr>
          <w:rStyle w:val="Text0"/>
        </w:rPr>
        <w:t xml:space="preserve">• </w:t>
      </w:r>
      <w:r>
        <w:t>Check with ip route and ip addr show dev &lt;wg-interface&gt;</w:t>
      </w:r>
      <w:r>
        <w:rPr>
          <w:rStyle w:val="Text0"/>
        </w:rPr>
        <w:t xml:space="preserve"> if the routes and IPs are</w:t>
      </w:r>
    </w:p>
    <w:p>
      <w:pPr>
        <w:pStyle w:val="Para 02"/>
      </w:pPr>
      <w:r>
        <w:t>set as you expect.</w:t>
      </w:r>
    </w:p>
    <w:p>
      <w:bookmarkStart w:id="327" w:name="page_2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8" name="index-233_1.png" descr="index-233_1.png"/>
            <wp:cNvGraphicFramePr>
              <a:graphicFrameLocks noChangeAspect="1"/>
            </wp:cNvGraphicFramePr>
            <a:graphic>
              <a:graphicData uri="http://schemas.openxmlformats.org/drawingml/2006/picture">
                <pic:pic>
                  <pic:nvPicPr>
                    <pic:cNvPr id="0" name="index-233_1.png" descr="index-233_1.png"/>
                    <pic:cNvPicPr/>
                  </pic:nvPicPr>
                  <pic:blipFill>
                    <a:blip r:embed="rId242"/>
                    <a:stretch>
                      <a:fillRect/>
                    </a:stretch>
                  </pic:blipFill>
                  <pic:spPr>
                    <a:xfrm>
                      <a:off x="0" y="0"/>
                      <a:ext cx="914400" cy="266700"/>
                    </a:xfrm>
                    <a:prstGeom prst="rect">
                      <a:avLst/>
                    </a:prstGeom>
                  </pic:spPr>
                </pic:pic>
              </a:graphicData>
            </a:graphic>
          </wp:anchor>
        </w:drawing>
      </w:r>
      <w:bookmarkEnd w:id="327"/>
    </w:p>
    <w:p>
      <w:pPr>
        <w:pStyle w:val="Para 04"/>
      </w:pPr>
      <w:r>
        <w:t xml:space="preserve">• Double check that you have </w:t>
      </w:r>
      <w:r>
        <w:rPr>
          <w:rStyle w:val="Text0"/>
        </w:rPr>
        <w:t>/proc/sys/net/ipv4/ip_forward set to 1</w:t>
      </w:r>
      <w:r>
        <w:t xml:space="preserve"> where needed.</w:t>
      </w:r>
    </w:p>
    <w:p>
      <w:pPr>
        <w:pStyle w:val="Para 04"/>
      </w:pPr>
      <w:r>
        <w:t xml:space="preserve">• When injecting the VPN users into an existing network, without routing, make sure </w:t>
      </w:r>
      <w:r>
        <w:rPr>
          <w:rStyle w:val="Text0"/>
        </w:rPr>
        <w:t>/</w:t>
      </w:r>
    </w:p>
    <w:p>
      <w:pPr>
        <w:pStyle w:val="Para 39"/>
      </w:pPr>
      <w:r>
        <w:t>proc/sys/net/ipv4/conf/all/proxy_arp is set to 1</w:t>
      </w:r>
      <w:r>
        <w:rPr>
          <w:rStyle w:val="Text0"/>
        </w:rPr>
        <w:t>.</w:t>
      </w:r>
    </w:p>
    <w:p>
      <w:pPr>
        <w:pStyle w:val="Para 04"/>
      </w:pPr>
      <w:r>
        <w:t xml:space="preserve">• Make sure the above /proc entries are in </w:t>
      </w:r>
      <w:r>
        <w:rPr>
          <w:rStyle w:val="Text0"/>
        </w:rPr>
        <w:t>/etc/sysctl.conf or a file in /etc/sysctl.d</w:t>
      </w:r>
    </w:p>
    <w:p>
      <w:pPr>
        <w:pStyle w:val="Para 02"/>
      </w:pPr>
      <w:r>
        <w:t>so that they persist reboots.</w:t>
      </w:r>
    </w:p>
    <w:p>
      <w:pPr>
        <w:pStyle w:val="Para 17"/>
      </w:pPr>
      <w:r>
        <w:t/>
      </w:r>
    </w:p>
    <w:p>
      <w:pPr>
        <w:pStyle w:val="Para 01"/>
      </w:pPr>
      <w:r>
        <w:t>The watch wg command</w:t>
      </w:r>
    </w:p>
    <w:p>
      <w:pPr>
        <w:pStyle w:val="Para 17"/>
      </w:pPr>
      <w:r>
        <w:t/>
      </w:r>
    </w:p>
    <w:p>
      <w:pPr>
        <w:pStyle w:val="Normal"/>
      </w:pPr>
      <w:r>
        <w:t>It can be helpful to leave a terminal open with the watch wg command. Here is a sample output showing a system with two peers configured, where only one has established the VPN so far:</w:t>
      </w:r>
    </w:p>
    <w:p>
      <w:pPr>
        <w:pStyle w:val="Normal"/>
      </w:pPr>
      <w:r>
        <w:t>Every</w:t>
        <w:t xml:space="preserve"> </w:t>
        <w:t>2</w:t>
        <w:t>.0s: wg</w:t>
        <w:t xml:space="preserve"> </w:t>
        <w:t>j-wg: Fri Aug</w:t>
        <w:t xml:space="preserve"> </w:t>
        <w:t>26 17</w:t>
        <w:t>:44:37</w:t>
        <w:t xml:space="preserve"> </w:t>
        <w:t>2022</w:t>
      </w:r>
    </w:p>
    <w:p>
      <w:pPr>
        <w:pStyle w:val="Normal"/>
      </w:pPr>
      <w:r>
        <w:t>interface: wg0</w:t>
      </w:r>
    </w:p>
    <w:p>
      <w:pPr>
        <w:pStyle w:val="Para 03"/>
      </w:pPr>
      <w:r>
        <w:t>public key: +T3T3HTMeyrEDvim8FBxbYjbz+/POeOtG3Rlvl9kJmM</w:t>
        <w:t>=</w:t>
      </w:r>
    </w:p>
    <w:p>
      <w:pPr>
        <w:pStyle w:val="Para 03"/>
      </w:pPr>
      <w:r>
        <w:t>private key:</w:t>
        <w:t xml:space="preserve"> </w:t>
        <w:t>(</w:t>
        <w:t>hidden</w:t>
        <w:t>)</w:t>
      </w:r>
    </w:p>
    <w:p>
      <w:pPr>
        <w:pStyle w:val="Para 03"/>
      </w:pPr>
      <w:r>
        <w:t>listening port:</w:t>
        <w:t xml:space="preserve"> </w:t>
        <w:t>51000</w:t>
      </w:r>
    </w:p>
    <w:p>
      <w:pPr>
        <w:pStyle w:val="Normal"/>
      </w:pPr>
      <w:r>
        <w:t>peer:</w:t>
        <w:t xml:space="preserve"> </w:t>
        <w:t>2cJdFcNzXv4YUGyDTahtOfrbsrFsCByatPnNzKTs0Qo</w:t>
        <w:t>=</w:t>
      </w:r>
    </w:p>
    <w:p>
      <w:pPr>
        <w:pStyle w:val="Para 03"/>
      </w:pPr>
      <w:r>
        <w:t>endpoint:</w:t>
        <w:t xml:space="preserve"> </w:t>
        <w:t>10</w:t>
        <w:t>.172.196.106:51000</w:t>
      </w:r>
    </w:p>
    <w:p>
      <w:pPr>
        <w:pStyle w:val="Para 03"/>
      </w:pPr>
      <w:r>
        <w:t>allowed ips:</w:t>
        <w:t xml:space="preserve"> </w:t>
        <w:t>10</w:t>
        <w:t>.10.11.2/32</w:t>
      </w:r>
    </w:p>
    <w:p>
      <w:pPr>
        <w:pStyle w:val="Para 03"/>
      </w:pPr>
      <w:r>
        <w:t>latest handshake:</w:t>
        <w:t xml:space="preserve"> </w:t>
        <w:t>3</w:t>
        <w:t xml:space="preserve"> </w:t>
        <w:t>hours,</w:t>
        <w:t xml:space="preserve"> </w:t>
        <w:t>27</w:t>
        <w:t xml:space="preserve"> </w:t>
        <w:t>minutes,</w:t>
        <w:t xml:space="preserve"> </w:t>
        <w:t>35</w:t>
        <w:t xml:space="preserve"> </w:t>
        <w:t>seconds ago</w:t>
      </w:r>
    </w:p>
    <w:p>
      <w:pPr>
        <w:pStyle w:val="Para 03"/>
      </w:pPr>
      <w:r>
        <w:t>transfer:</w:t>
        <w:t xml:space="preserve"> </w:t>
        <w:t>3</w:t>
        <w:t>.06 KiB received,</w:t>
        <w:t xml:space="preserve"> </w:t>
        <w:t>2</w:t>
        <w:t>.80 KiB sent</w:t>
      </w:r>
    </w:p>
    <w:p>
      <w:pPr>
        <w:pStyle w:val="Normal"/>
      </w:pPr>
      <w:r>
        <w:t>peer:</w:t>
        <w:t xml:space="preserve"> </w:t>
        <w:t>ZliZ1hlarZqvfxPMyME2ECtXDk611NB7uzLAD4McpgI</w:t>
        <w:t>=</w:t>
      </w:r>
    </w:p>
    <w:p>
      <w:pPr>
        <w:pStyle w:val="Para 03"/>
      </w:pPr>
      <w:r>
        <w:t>allowed ips:</w:t>
        <w:t xml:space="preserve"> </w:t>
        <w:t>10</w:t>
        <w:t>.10.11.3/32</w:t>
      </w:r>
    </w:p>
    <w:p>
      <w:pPr>
        <w:pStyle w:val="Para 17"/>
      </w:pPr>
      <w:r>
        <w:t/>
      </w:r>
    </w:p>
    <w:p>
      <w:pPr>
        <w:pStyle w:val="Para 01"/>
      </w:pPr>
      <w:r>
        <w:t>Kernel debug messages</w:t>
      </w:r>
    </w:p>
    <w:p>
      <w:pPr>
        <w:pStyle w:val="Para 17"/>
      </w:pPr>
      <w:r>
        <w:t/>
      </w:r>
    </w:p>
    <w:p>
      <w:pPr>
        <w:pStyle w:val="Normal"/>
      </w:pPr>
      <w:r>
        <w:t>WireGuard is also rather silent when it comes to logging. Being (essentially) a kernel module, we need to explicitly enable verbose logging of its module.</w:t>
      </w:r>
    </w:p>
    <w:p>
      <w:bookmarkStart w:id="328" w:name="calibre_pb_47"/>
      <w:pPr>
        <w:pStyle w:val="0 Block"/>
      </w:pPr>
      <w:bookmarkEnd w:id="328"/>
    </w:p>
    <w:p>
      <w:bookmarkStart w:id="329" w:name="page_234"/>
      <w:bookmarkStart w:id="330" w:name="Top_of_index_split_04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39" name="index-234_1.png" descr="index-234_1.png"/>
            <wp:cNvGraphicFramePr>
              <a:graphicFrameLocks noChangeAspect="1"/>
            </wp:cNvGraphicFramePr>
            <a:graphic>
              <a:graphicData uri="http://schemas.openxmlformats.org/drawingml/2006/picture">
                <pic:pic>
                  <pic:nvPicPr>
                    <pic:cNvPr id="0" name="index-234_1.png" descr="index-234_1.png"/>
                    <pic:cNvPicPr/>
                  </pic:nvPicPr>
                  <pic:blipFill>
                    <a:blip r:embed="rId243"/>
                    <a:stretch>
                      <a:fillRect/>
                    </a:stretch>
                  </pic:blipFill>
                  <pic:spPr>
                    <a:xfrm>
                      <a:off x="0" y="0"/>
                      <a:ext cx="914400" cy="266700"/>
                    </a:xfrm>
                    <a:prstGeom prst="rect">
                      <a:avLst/>
                    </a:prstGeom>
                  </pic:spPr>
                </pic:pic>
              </a:graphicData>
            </a:graphic>
          </wp:anchor>
        </w:drawing>
      </w:r>
      <w:bookmarkEnd w:id="329"/>
      <w:bookmarkEnd w:id="330"/>
    </w:p>
    <w:p>
      <w:pPr>
        <w:pStyle w:val="Para 08"/>
      </w:pPr>
      <w:r>
        <w:t>Note:</w:t>
      </w:r>
    </w:p>
    <w:p>
      <w:pPr>
        <w:pStyle w:val="Para 03"/>
      </w:pPr>
      <w:r>
        <w:t xml:space="preserve">To be able to use the commands outlined below </w:t>
      </w:r>
      <w:hyperlink r:id="rId1170">
        <w:r>
          <w:rPr>
            <w:rStyle w:val="Text9"/>
          </w:rPr>
          <w:t>166</w:t>
        </w:r>
      </w:hyperlink>
      <w:hyperlink r:id="rId1170">
        <w:r>
          <w:rPr>
            <w:rStyle w:val="Text1"/>
          </w:rPr>
          <w:t xml:space="preserve"> </w:t>
        </w:r>
      </w:hyperlink>
      <w:hyperlink r:id="rId1170">
        <w:r>
          <w:rPr>
            <w:rStyle w:val="Text2"/>
          </w:rPr>
          <w:t>kernel_lockdown(7)</w:t>
        </w:r>
      </w:hyperlink>
      <w:r>
        <w:t xml:space="preserve"> needs to be dis-</w:t>
      </w:r>
    </w:p>
    <w:p>
      <w:pPr>
        <w:pStyle w:val="Para 03"/>
      </w:pPr>
      <w:r>
        <w:t>abled. That is because the debug interfaces used are considered a way to tamper with the</w:t>
      </w:r>
    </w:p>
    <w:p>
      <w:pPr>
        <w:pStyle w:val="Para 03"/>
      </w:pPr>
      <w:r>
        <w:t>integrity of the kernel.</w:t>
      </w:r>
    </w:p>
    <w:p>
      <w:pPr>
        <w:pStyle w:val="Para 03"/>
      </w:pPr>
      <w:r>
        <w:t>Lockdown is enabled by default in secure boot mode. Check the status via:</w:t>
      </w:r>
    </w:p>
    <w:p>
      <w:pPr>
        <w:pStyle w:val="Para 03"/>
      </w:pPr>
      <w:r>
        <w:t>cat /sys/kernel/security/lockdown</w:t>
      </w:r>
    </w:p>
    <w:p>
      <w:pPr>
        <w:pStyle w:val="Para 03"/>
      </w:pPr>
      <w:r>
        <w:t>Which shows this as enabled:</w:t>
      </w:r>
    </w:p>
    <w:p>
      <w:pPr>
        <w:pStyle w:val="Para 03"/>
      </w:pPr>
      <w:r>
        <w:t>none [integrity] confidentiality</w:t>
      </w:r>
    </w:p>
    <w:p>
      <w:pPr>
        <w:pStyle w:val="Para 03"/>
      </w:pPr>
      <w:r>
        <w:t>Or that when disabled:</w:t>
      </w:r>
    </w:p>
    <w:p>
      <w:pPr>
        <w:pStyle w:val="Para 03"/>
      </w:pPr>
      <w:r>
        <w:t>[none] integrity confidentiality</w:t>
      </w:r>
    </w:p>
    <w:p>
      <w:pPr>
        <w:pStyle w:val="Para 03"/>
      </w:pPr>
      <w:r>
        <w:t>To disable it either disable secure boot in BIOS or your virtualization platform.</w:t>
      </w:r>
    </w:p>
    <w:p>
      <w:pPr>
        <w:pStyle w:val="Para 03"/>
      </w:pPr>
      <w:r>
        <w:t>If that is impossible, consider not using the dynamic module debug control shown below,</w:t>
      </w:r>
    </w:p>
    <w:p>
      <w:pPr>
        <w:pStyle w:val="Para 03"/>
      </w:pPr>
      <w:r>
        <w:t>but instead using a kernel boot parameter wireguard.dyndbg=+p which has the drawback</w:t>
      </w:r>
    </w:p>
    <w:p>
      <w:pPr>
        <w:pStyle w:val="Para 03"/>
      </w:pPr>
      <w:r>
        <w:t>that it needs a reboot to enable/disable it.</w:t>
      </w:r>
    </w:p>
    <w:p>
      <w:pPr>
        <w:pStyle w:val="Para 03"/>
      </w:pPr>
      <w:r>
        <w:t xml:space="preserve">Before 20.04 </w:t>
      </w:r>
      <w:hyperlink r:id="rId1171">
        <w:r>
          <w:rPr>
            <w:rStyle w:val="Text9"/>
          </w:rPr>
          <w:t>167</w:t>
        </w:r>
      </w:hyperlink>
      <w:hyperlink r:id="rId1171">
        <w:r>
          <w:rPr>
            <w:rStyle w:val="Text1"/>
          </w:rPr>
          <w:t xml:space="preserve"> Kernel Lockdown</w:t>
        </w:r>
      </w:hyperlink>
      <w:r>
        <w:t xml:space="preserve"> was not yet present, therefore such systems can skip</w:t>
      </w:r>
    </w:p>
    <w:p>
      <w:pPr>
        <w:pStyle w:val="Para 03"/>
      </w:pPr>
      <w:r>
        <w:t>this step.</w:t>
      </w:r>
    </w:p>
    <w:p>
      <w:pPr>
        <w:pStyle w:val="Para 05"/>
      </w:pPr>
      <w:r>
        <w:rPr>
          <w:rStyle w:val="Text5"/>
        </w:rPr>
        <w:t>166</w:t>
      </w:r>
      <w:r>
        <w:rPr>
          <w:rStyle w:val="Text8"/>
        </w:rPr>
        <w:t xml:space="preserve"> </w:t>
      </w:r>
      <w:r>
        <w:t>https://manpages.ubuntu.com/manpages/resolute/man7/kernel_lockdown.7.html</w:t>
      </w:r>
    </w:p>
    <w:p>
      <w:pPr>
        <w:pStyle w:val="Para 05"/>
      </w:pPr>
      <w:r>
        <w:rPr>
          <w:rStyle w:val="Text5"/>
        </w:rPr>
        <w:t>167</w:t>
      </w:r>
      <w:r>
        <w:rPr>
          <w:rStyle w:val="Text8"/>
        </w:rPr>
        <w:t xml:space="preserve"> </w:t>
      </w:r>
      <w:r>
        <w:t>https://documentation.ubuntu.com/security/security-features/kernel-protections/#kernel-lockdown</w:t>
      </w:r>
    </w:p>
    <w:p>
      <w:pPr>
        <w:pStyle w:val="Para 17"/>
      </w:pPr>
      <w:r>
        <w:t/>
      </w:r>
    </w:p>
    <w:p>
      <w:pPr>
        <w:pStyle w:val="Normal"/>
      </w:pPr>
      <w:r>
        <w:t>This is done with the following command:</w:t>
      </w:r>
    </w:p>
    <w:p>
      <w:pPr>
        <w:pStyle w:val="Normal"/>
      </w:pPr>
      <w:r>
        <w:t>echo</w:t>
        <w:t xml:space="preserve"> </w:t>
        <w:t>"module wireguard +p"</w:t>
        <w:t xml:space="preserve"> </w:t>
        <w:t>| sudo tee /sys/kernel/debug/dynamic_debug/control</w:t>
      </w:r>
    </w:p>
    <w:p>
      <w:pPr>
        <w:pStyle w:val="Para 17"/>
      </w:pPr>
      <w:r>
        <w:t/>
      </w:r>
    </w:p>
    <w:p>
      <w:pPr>
        <w:pStyle w:val="Normal"/>
      </w:pPr>
      <w:r>
        <w:t>This will write WireGuard logging messages to the kernel log, which can be watched live with:</w:t>
      </w:r>
    </w:p>
    <w:p>
      <w:pPr>
        <w:pStyle w:val="Normal"/>
      </w:pPr>
      <w:r>
        <w:t>sudo dmesg -wT</w:t>
      </w:r>
    </w:p>
    <w:p>
      <w:pPr>
        <w:pStyle w:val="Para 17"/>
      </w:pPr>
      <w:r>
        <w:t/>
      </w:r>
    </w:p>
    <w:p>
      <w:pPr>
        <w:pStyle w:val="Normal"/>
      </w:pPr>
      <w:r>
        <w:t>To disable logging, run this:</w:t>
      </w:r>
    </w:p>
    <w:p>
      <w:pPr>
        <w:pStyle w:val="Normal"/>
      </w:pPr>
      <w:r>
        <w:t>echo</w:t>
        <w:t xml:space="preserve"> </w:t>
        <w:t>"module wireguard -p"</w:t>
        <w:t xml:space="preserve"> </w:t>
        <w:t>| sudo tee /sys/kernel/debug/dynamic_debug/control</w:t>
      </w:r>
    </w:p>
    <w:p>
      <w:pPr>
        <w:pStyle w:val="Para 17"/>
      </w:pPr>
      <w:r>
        <w:t/>
      </w:r>
    </w:p>
    <w:p>
      <w:pPr>
        <w:pStyle w:val="Para 01"/>
      </w:pPr>
      <w:r>
        <w:t>Destination address required</w:t>
      </w:r>
    </w:p>
    <w:p>
      <w:pPr>
        <w:pStyle w:val="Para 17"/>
      </w:pPr>
      <w:r>
        <w:t/>
      </w:r>
    </w:p>
    <w:p>
      <w:pPr>
        <w:pStyle w:val="Normal"/>
      </w:pPr>
      <w:r>
        <w:t>If you ping an IP …</w:t>
      </w:r>
    </w:p>
    <w:p>
      <w:pPr>
        <w:pStyle w:val="Normal"/>
      </w:pPr>
      <w:r>
        <w:t>ping</w:t>
        <w:t xml:space="preserve"> </w:t>
        <w:t>10</w:t>
        <w:t>.10.11.2</w:t>
      </w:r>
    </w:p>
    <w:p>
      <w:pPr>
        <w:pStyle w:val="Para 17"/>
      </w:pPr>
      <w:r>
        <w:t/>
      </w:r>
    </w:p>
    <w:p>
      <w:pPr>
        <w:pStyle w:val="Normal"/>
      </w:pPr>
      <w:r>
        <w:t>… and get back an error like this:</w:t>
      </w:r>
    </w:p>
    <w:p>
      <w:pPr>
        <w:pStyle w:val="Normal"/>
      </w:pPr>
      <w:r>
        <w:t>PING 10.10.11.2 (10.10.11.2) 56(84) bytes of data.</w:t>
      </w:r>
    </w:p>
    <w:p>
      <w:pPr>
        <w:pStyle w:val="Normal"/>
      </w:pPr>
      <w:r>
        <w:t>From 10.10.11.1 icmp_seq=1 Destination Host Unreachable</w:t>
        <w:t xml:space="preserve"> </w:t>
        <w:t>ping: sendmsg: Destination address required</w:t>
      </w:r>
    </w:p>
    <w:p>
      <w:pPr>
        <w:pStyle w:val="Para 17"/>
      </w:pPr>
      <w:r>
        <w:t/>
      </w:r>
    </w:p>
    <w:p>
      <w:pPr>
        <w:pStyle w:val="Normal"/>
      </w:pPr>
      <w:r>
        <w:t>This is happening because the WireGuard interface selected for this destination doesn’t know the endpoint for it. In other words, it doesn’t know where to send the encrypted traffic.</w:t>
      </w:r>
    </w:p>
    <w:p>
      <w:pPr>
        <w:pStyle w:val="Normal"/>
      </w:pPr>
      <w:r>
        <w:t>One common scenario for this is on a peer where there is no Endpoint configuration, which is perfectly valid, and the host is trying to send traffic to that peer. Let’s take the coffee shop scenario we described earlier as an example.</w:t>
      </w:r>
    </w:p>
    <w:p>
      <w:bookmarkStart w:id="331" w:name="page_2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0" name="index-235_1.png" descr="index-235_1.png"/>
            <wp:cNvGraphicFramePr>
              <a:graphicFrameLocks noChangeAspect="1"/>
            </wp:cNvGraphicFramePr>
            <a:graphic>
              <a:graphicData uri="http://schemas.openxmlformats.org/drawingml/2006/picture">
                <pic:pic>
                  <pic:nvPicPr>
                    <pic:cNvPr id="0" name="index-235_1.png" descr="index-235_1.png"/>
                    <pic:cNvPicPr/>
                  </pic:nvPicPr>
                  <pic:blipFill>
                    <a:blip r:embed="rId244"/>
                    <a:stretch>
                      <a:fillRect/>
                    </a:stretch>
                  </pic:blipFill>
                  <pic:spPr>
                    <a:xfrm>
                      <a:off x="0" y="0"/>
                      <a:ext cx="914400" cy="266700"/>
                    </a:xfrm>
                    <a:prstGeom prst="rect">
                      <a:avLst/>
                    </a:prstGeom>
                  </pic:spPr>
                </pic:pic>
              </a:graphicData>
            </a:graphic>
          </wp:anchor>
        </w:drawing>
      </w:r>
      <w:bookmarkEnd w:id="331"/>
    </w:p>
    <w:p>
      <w:pPr>
        <w:pStyle w:val="Normal"/>
      </w:pPr>
      <w:r>
        <w:t>The laptop is connected to the VPN and exchanging traffic as usual. Then it stops for a bit (the person went to get one more cup). Traffic ceases (WireGuard is silent, remember). If the WireGuard on the home router is now restarted, when it comes back up, it won’t know how to reach the laptop, because it was never contacted by it before. This means that at this time, if the home router tries to send traffic to the laptop in the coffee shop, it will get the above error.</w:t>
      </w:r>
    </w:p>
    <w:p>
      <w:pPr>
        <w:pStyle w:val="Normal"/>
      </w:pPr>
      <w:r>
        <w:t>Now the laptop user comes back, and generates some traffic to the home network (remem-ber: the laptop has the home network’s Endpoint value). The VPN “wakes up”, data is ex-changed, handshakes are completed, and now the home router knows the Endpoint associ-ated with the laptop, and can again initiate new traffic to it without issues.</w:t>
      </w:r>
    </w:p>
    <w:p>
      <w:pPr>
        <w:pStyle w:val="Normal"/>
      </w:pPr>
      <w:r>
        <w:t xml:space="preserve">Another possibility is that one of the peers is behind a NAT, and there wasn’t enough traffic for the stateful firewall to consider the “connection” alive, and it dropped the NAT mapping it had. In this case, the peer might benefit from the PersistentKeepalive configuration, which makes WireGuard send a </w:t>
      </w:r>
      <w:r>
        <w:rPr>
          <w:rStyle w:val="Text3"/>
        </w:rPr>
        <w:t>keepalive</w:t>
      </w:r>
      <w:r>
        <w:t xml:space="preserve"> probe every so many seconds.</w:t>
      </w:r>
    </w:p>
    <w:p>
      <w:pPr>
        <w:pStyle w:val="Para 17"/>
      </w:pPr>
      <w:r>
        <w:t/>
      </w:r>
    </w:p>
    <w:p>
      <w:pPr>
        <w:pStyle w:val="Para 01"/>
      </w:pPr>
      <w:r>
        <w:t>Required key not available</w:t>
      </w:r>
    </w:p>
    <w:p>
      <w:pPr>
        <w:pStyle w:val="Para 17"/>
      </w:pPr>
      <w:r>
        <w:t/>
      </w:r>
    </w:p>
    <w:p>
      <w:pPr>
        <w:pStyle w:val="Normal"/>
      </w:pPr>
      <w:r>
        <w:t>This error:</w:t>
      </w:r>
    </w:p>
    <w:p>
      <w:pPr>
        <w:pStyle w:val="Normal"/>
      </w:pPr>
      <w:r>
        <w:t>$ ping</w:t>
        <w:t xml:space="preserve"> </w:t>
        <w:t>10</w:t>
        <w:t>.10.11.1</w:t>
      </w:r>
    </w:p>
    <w:p>
      <w:pPr>
        <w:pStyle w:val="Normal"/>
      </w:pPr>
      <w:r>
        <w:t>PING</w:t>
        <w:t xml:space="preserve"> </w:t>
        <w:t>10</w:t>
        <w:t>.10.11.1</w:t>
        <w:t xml:space="preserve"> </w:t>
        <w:t>(</w:t>
        <w:t>10</w:t>
        <w:t>.10.11.1</w:t>
        <w:t>)</w:t>
        <w:t xml:space="preserve"> </w:t>
        <w:t>56</w:t>
        <w:t>(</w:t>
        <w:t>84</w:t>
        <w:t>)</w:t>
        <w:t xml:space="preserve"> </w:t>
        <w:t>bytes of data.</w:t>
        <w:t xml:space="preserve"> </w:t>
        <w:t>From</w:t>
        <w:t xml:space="preserve"> </w:t>
        <w:t>10</w:t>
        <w:t>.10.11.2</w:t>
        <w:t xml:space="preserve"> </w:t>
        <w:t>icmp_seq</w:t>
        <w:t>=</w:t>
        <w:t>1</w:t>
        <w:t xml:space="preserve"> </w:t>
        <w:t>Destination Host Unreachable</w:t>
        <w:t xml:space="preserve"> </w:t>
        <w:t>ping: sendmsg: Required key not available</w:t>
      </w:r>
    </w:p>
    <w:p>
      <w:pPr>
        <w:pStyle w:val="Para 17"/>
      </w:pPr>
      <w:r>
        <w:t/>
      </w:r>
    </w:p>
    <w:p>
      <w:pPr>
        <w:pStyle w:val="Normal"/>
      </w:pPr>
      <w:r>
        <w:t>Can happen when you have a route directing traffic to the WireGuard interface, but that in-terface does not have the target address listed in its AllowedIPs configuration.</w:t>
      </w:r>
    </w:p>
    <w:p>
      <w:pPr>
        <w:pStyle w:val="Normal"/>
      </w:pPr>
      <w:r>
        <w:t>If you have enabled kernel debugging for WireGuard, you will also see a message like this one</w:t>
      </w:r>
    </w:p>
    <w:p>
      <w:pPr>
        <w:pStyle w:val="Normal"/>
      </w:pPr>
      <w:r>
        <w:t xml:space="preserve">in the </w:t>
      </w:r>
      <w:hyperlink w:anchor="page_679">
        <w:r>
          <w:rPr>
            <w:rStyle w:val="Text2"/>
          </w:rPr>
          <w:t>dmesg</w:t>
        </w:r>
      </w:hyperlink>
      <w:r>
        <w:t xml:space="preserve"> output:</w:t>
      </w:r>
    </w:p>
    <w:p>
      <w:pPr>
        <w:pStyle w:val="Normal"/>
      </w:pPr>
      <w:r>
        <w:t>wireguard: home0: No peer has allowed IPs matching</w:t>
        <w:t xml:space="preserve"> </w:t>
        <w:t>10.10.11.1</w:t>
      </w:r>
    </w:p>
    <w:p>
      <w:pPr>
        <w:pStyle w:val="Para 17"/>
      </w:pPr>
      <w:r>
        <w:t/>
      </w:r>
    </w:p>
    <w:p>
      <w:pPr>
        <w:pStyle w:val="Para 01"/>
      </w:pPr>
      <w:r>
        <w:t>See also</w:t>
      </w:r>
    </w:p>
    <w:p>
      <w:pPr>
        <w:pStyle w:val="Para 17"/>
      </w:pPr>
      <w:r>
        <w:t/>
      </w:r>
    </w:p>
    <w:p>
      <w:pPr>
        <w:pStyle w:val="Para 14"/>
      </w:pPr>
      <w:r>
        <w:rPr>
          <w:rStyle w:val="Text4"/>
        </w:rPr>
        <w:t xml:space="preserve">• Explanation: </w:t>
      </w:r>
      <w:hyperlink w:anchor="page_795">
        <w:r>
          <w:t>Introduction to WireGuard VPN</w:t>
        </w:r>
      </w:hyperlink>
      <w:r>
        <w:rPr>
          <w:rStyle w:val="Text4"/>
        </w:rPr>
        <w:t xml:space="preserve"> (page 794)</w:t>
      </w:r>
    </w:p>
    <w:p>
      <w:pPr>
        <w:pStyle w:val="Para 17"/>
      </w:pPr>
      <w:r>
        <w:t/>
      </w:r>
    </w:p>
    <w:p>
      <w:pPr>
        <w:pStyle w:val="Para 01"/>
      </w:pPr>
      <w:r>
        <w:t>See also</w:t>
      </w:r>
    </w:p>
    <w:p>
      <w:pPr>
        <w:pStyle w:val="Para 17"/>
      </w:pPr>
      <w:r>
        <w:t/>
      </w:r>
    </w:p>
    <w:p>
      <w:pPr>
        <w:pStyle w:val="Para 04"/>
      </w:pPr>
      <w:r>
        <w:t xml:space="preserve">• Explanation: </w:t>
      </w:r>
      <w:hyperlink w:anchor="page_733">
        <w:r>
          <w:rPr>
            <w:rStyle w:val="Text2"/>
          </w:rPr>
          <w:t>Introduction to security</w:t>
        </w:r>
      </w:hyperlink>
      <w:r>
        <w:t xml:space="preserve"> (page 732)</w:t>
      </w:r>
    </w:p>
    <w:p>
      <w:pPr>
        <w:pStyle w:val="Para 04"/>
      </w:pPr>
      <w:r>
        <w:t xml:space="preserve">• Explanation: </w:t>
      </w:r>
      <w:hyperlink w:anchor="page_733">
        <w:r>
          <w:rPr>
            <w:rStyle w:val="Text2"/>
          </w:rPr>
          <w:t>Security topics</w:t>
        </w:r>
      </w:hyperlink>
      <w:r>
        <w:t xml:space="preserve"> (page 732)</w:t>
      </w:r>
    </w:p>
    <w:p>
      <w:bookmarkStart w:id="332" w:name="calibre_pb_48"/>
      <w:pPr>
        <w:pStyle w:val="0 Block"/>
      </w:pPr>
      <w:bookmarkEnd w:id="332"/>
    </w:p>
    <w:p>
      <w:bookmarkStart w:id="333" w:name="Top_of_index_split_049_html"/>
      <w:bookmarkStart w:id="334" w:name="page_23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1" name="index-236_1.png" descr="index-236_1.png"/>
            <wp:cNvGraphicFramePr>
              <a:graphicFrameLocks noChangeAspect="1"/>
            </wp:cNvGraphicFramePr>
            <a:graphic>
              <a:graphicData uri="http://schemas.openxmlformats.org/drawingml/2006/picture">
                <pic:pic>
                  <pic:nvPicPr>
                    <pic:cNvPr id="0" name="index-236_1.png" descr="index-236_1.png"/>
                    <pic:cNvPicPr/>
                  </pic:nvPicPr>
                  <pic:blipFill>
                    <a:blip r:embed="rId245"/>
                    <a:stretch>
                      <a:fillRect/>
                    </a:stretch>
                  </pic:blipFill>
                  <pic:spPr>
                    <a:xfrm>
                      <a:off x="0" y="0"/>
                      <a:ext cx="914400" cy="266700"/>
                    </a:xfrm>
                    <a:prstGeom prst="rect">
                      <a:avLst/>
                    </a:prstGeom>
                  </pic:spPr>
                </pic:pic>
              </a:graphicData>
            </a:graphic>
          </wp:anchor>
        </w:drawing>
      </w:r>
      <w:bookmarkEnd w:id="333"/>
      <w:bookmarkEnd w:id="334"/>
    </w:p>
    <w:p>
      <w:pPr>
        <w:pStyle w:val="Para 24"/>
      </w:pPr>
      <w:r>
        <w:t>3.2.3. Networking</w:t>
      </w:r>
    </w:p>
    <w:p>
      <w:pPr>
        <w:pStyle w:val="Normal"/>
      </w:pPr>
      <w:hyperlink w:anchor="page_236">
        <w:r>
          <w:rPr>
            <w:rStyle w:val="Text2"/>
          </w:rPr>
          <w:t>Our networking section</w:t>
        </w:r>
      </w:hyperlink>
      <w:r>
        <w:t xml:space="preserve"> (page 235) is where you will find how-to guides on a broad range of networking topics, such as:</w:t>
      </w:r>
    </w:p>
    <w:p>
      <w:pPr>
        <w:pStyle w:val="Para 04"/>
      </w:pPr>
      <w:r>
        <w:t xml:space="preserve">• </w:t>
      </w:r>
      <w:r>
        <w:rPr>
          <w:rStyle w:val="Text0"/>
        </w:rPr>
        <w:t>Network tooling and configuration</w:t>
      </w:r>
      <w:r>
        <w:t xml:space="preserve"> including time synchronisation, DHCP for IP ad-</w:t>
      </w:r>
    </w:p>
    <w:p>
      <w:pPr>
        <w:pStyle w:val="Para 02"/>
      </w:pPr>
      <w:r>
        <w:t>dress assignment, Domain Name Service (DNS) (and more!)</w:t>
      </w:r>
    </w:p>
    <w:p>
      <w:pPr>
        <w:pStyle w:val="Para 04"/>
      </w:pPr>
      <w:r>
        <w:t xml:space="preserve">• </w:t>
      </w:r>
      <w:r>
        <w:rPr>
          <w:rStyle w:val="Text0"/>
        </w:rPr>
        <w:t>Network shares</w:t>
      </w:r>
      <w:r>
        <w:t xml:space="preserve"> for sharing resources (files, services, directories) across networks, in-</w:t>
      </w:r>
    </w:p>
    <w:p>
      <w:pPr>
        <w:pStyle w:val="Para 02"/>
      </w:pPr>
      <w:r>
        <w:t>cluding integration with Windows</w:t>
      </w:r>
    </w:p>
    <w:p>
      <w:pPr>
        <w:pStyle w:val="Para 17"/>
      </w:pPr>
      <w:r>
        <w:t/>
      </w:r>
    </w:p>
    <w:p>
      <w:pPr>
        <w:pStyle w:val="Para 01"/>
      </w:pPr>
      <w:r>
        <w:t>Networking</w:t>
      </w:r>
    </w:p>
    <w:p>
      <w:pPr>
        <w:pStyle w:val="Para 17"/>
      </w:pPr>
      <w:r>
        <w:t/>
      </w:r>
    </w:p>
    <w:p>
      <w:pPr>
        <w:pStyle w:val="Normal"/>
      </w:pPr>
      <w:r>
        <w:t>This section contains how-to guides on most aspects of networking in Ubuntu. If you would</w:t>
      </w:r>
    </w:p>
    <w:p>
      <w:pPr>
        <w:pStyle w:val="Normal"/>
      </w:pPr>
      <w:r>
        <w:t xml:space="preserve">like a broader overview of these topics before getting started, refer to our </w:t>
      </w:r>
      <w:hyperlink w:anchor="page_802">
        <w:r>
          <w:rPr>
            <w:rStyle w:val="Text2"/>
          </w:rPr>
          <w:t>introduction to</w:t>
        </w:r>
      </w:hyperlink>
    </w:p>
    <w:p>
      <w:pPr>
        <w:pStyle w:val="Normal"/>
      </w:pPr>
      <w:hyperlink w:anchor="page_802">
        <w:r>
          <w:rPr>
            <w:rStyle w:val="Text2"/>
          </w:rPr>
          <w:t>networking</w:t>
        </w:r>
      </w:hyperlink>
      <w:r>
        <w:t xml:space="preserve"> (page 801).</w:t>
      </w:r>
    </w:p>
    <w:p>
      <w:pPr>
        <w:pStyle w:val="Para 17"/>
      </w:pPr>
      <w:r>
        <w:t/>
      </w:r>
    </w:p>
    <w:p>
      <w:pPr>
        <w:pStyle w:val="Para 01"/>
      </w:pPr>
      <w:r>
        <w:t>Configuration</w:t>
      </w:r>
    </w:p>
    <w:p>
      <w:pPr>
        <w:pStyle w:val="Para 17"/>
      </w:pPr>
      <w:r>
        <w:t/>
      </w:r>
    </w:p>
    <w:p>
      <w:pPr>
        <w:pStyle w:val="Normal"/>
      </w:pPr>
      <w:r>
        <w:t>Network configuration in Ubuntu is handled through Netplan. See our general walk-through</w:t>
      </w:r>
    </w:p>
    <w:p>
      <w:pPr>
        <w:pStyle w:val="Normal"/>
      </w:pPr>
      <w:r>
        <w:t xml:space="preserve">on </w:t>
      </w:r>
      <w:hyperlink w:anchor="page_236">
        <w:r>
          <w:rPr>
            <w:rStyle w:val="Text9"/>
          </w:rPr>
          <w:t>168</w:t>
        </w:r>
      </w:hyperlink>
      <w:r>
        <w:t xml:space="preserve"> </w:t>
      </w:r>
      <w:hyperlink w:anchor="page_808">
        <w:r>
          <w:rPr>
            <w:rStyle w:val="Text2"/>
          </w:rPr>
          <w:t>Configuring networks</w:t>
        </w:r>
      </w:hyperlink>
      <w:r>
        <w:t xml:space="preserve"> (page 807), or refer to </w:t>
      </w:r>
      <w:hyperlink r:id="rId1172">
        <w:r>
          <w:rPr>
            <w:rStyle w:val="Text1"/>
          </w:rPr>
          <w:t>the Netplan documentation</w:t>
        </w:r>
      </w:hyperlink>
      <w:r>
        <w:t xml:space="preserve"> for more spe-cific instructions.</w:t>
      </w:r>
    </w:p>
    <w:p>
      <w:pPr>
        <w:pStyle w:val="Para 17"/>
      </w:pPr>
      <w:r>
        <w:t/>
      </w:r>
    </w:p>
    <w:p>
      <w:pPr>
        <w:pStyle w:val="Para 01"/>
      </w:pPr>
      <w:r>
        <w:t>Network tools</w:t>
      </w:r>
    </w:p>
    <w:p>
      <w:pPr>
        <w:pStyle w:val="Para 17"/>
      </w:pPr>
      <w:r>
        <w:t/>
      </w:r>
    </w:p>
    <w:p>
      <w:pPr>
        <w:pStyle w:val="Normal"/>
      </w:pPr>
      <w:r>
        <w:t>The File Transfer Protocol (FTP) can be set up to provide files for download.</w:t>
      </w:r>
    </w:p>
    <w:p>
      <w:pPr>
        <w:pStyle w:val="Para 17"/>
      </w:pPr>
      <w:r>
        <w:t/>
      </w:r>
    </w:p>
    <w:p>
      <w:pPr>
        <w:pStyle w:val="Para 01"/>
      </w:pPr>
      <w:r>
        <w:t>Set up an FTP server</w:t>
      </w:r>
    </w:p>
    <w:p>
      <w:pPr>
        <w:pStyle w:val="Para 17"/>
      </w:pPr>
      <w:r>
        <w:t/>
      </w:r>
    </w:p>
    <w:p>
      <w:pPr>
        <w:pStyle w:val="Normal"/>
      </w:pPr>
      <w:r>
        <w:t>File Transfer Protocol (FTP) is a TCP protocol for downloading files between computers. In the past, it has also been used for uploading but, as that method does not use encryption, user credentials as well as data transferred in the clear and are easily intercepted. So if you</w:t>
      </w:r>
    </w:p>
    <w:p>
      <w:pPr>
        <w:pStyle w:val="Normal"/>
      </w:pPr>
      <w:r>
        <w:t xml:space="preserve">are here looking for a way to upload and download files securely, see the </w:t>
      </w:r>
      <w:hyperlink w:anchor="page_186">
        <w:r>
          <w:rPr>
            <w:rStyle w:val="Text2"/>
          </w:rPr>
          <w:t>OpenSSH documen-</w:t>
        </w:r>
      </w:hyperlink>
    </w:p>
    <w:p>
      <w:pPr>
        <w:pStyle w:val="Normal"/>
      </w:pPr>
      <w:hyperlink w:anchor="page_186">
        <w:r>
          <w:rPr>
            <w:rStyle w:val="Text2"/>
          </w:rPr>
          <w:t>tation</w:t>
        </w:r>
      </w:hyperlink>
      <w:r>
        <w:t xml:space="preserve"> (page 185) instead.</w:t>
      </w:r>
    </w:p>
    <w:p>
      <w:pPr>
        <w:pStyle w:val="Normal"/>
      </w:pPr>
      <w:r>
        <w:t xml:space="preserve">FTP works on a client/server model. The server component is called an </w:t>
      </w:r>
      <w:r>
        <w:rPr>
          <w:rStyle w:val="Text3"/>
        </w:rPr>
        <w:t>FTP daemon</w:t>
      </w:r>
      <w:r>
        <w:t>. It contin-uously listens for FTP requests from remote clients. When a request is received, it manages the authentication and sets up the connection. For the duration of the session it executes any of commands sent by the FTP client.</w:t>
      </w:r>
    </w:p>
    <w:p>
      <w:pPr>
        <w:pStyle w:val="Normal"/>
      </w:pPr>
      <w:r>
        <w:t>Access to an FTP server can be managed in two ways:</w:t>
      </w:r>
    </w:p>
    <w:p>
      <w:pPr>
        <w:pStyle w:val="Para 04"/>
      </w:pPr>
      <w:r>
        <w:t>• Anonymous</w:t>
      </w:r>
    </w:p>
    <w:p>
      <w:pPr>
        <w:pStyle w:val="Para 04"/>
      </w:pPr>
      <w:r>
        <w:t>• Authenticated</w:t>
      </w:r>
    </w:p>
    <w:p>
      <w:pPr>
        <w:pStyle w:val="Normal"/>
      </w:pPr>
      <w:r>
        <w:t>In the Anonymous mode, remote clients can access the FTP server by using the default user account called “anonymous” or “ftp” and sending an email address as the password. In the Authenticated mode a user must have an account and a password. This latter choice is very</w:t>
      </w:r>
    </w:p>
    <w:p>
      <w:pPr>
        <w:pStyle w:val="Para 05"/>
      </w:pPr>
      <w:r>
        <w:rPr>
          <w:rStyle w:val="Text5"/>
        </w:rPr>
        <w:t>168</w:t>
      </w:r>
      <w:r>
        <w:rPr>
          <w:rStyle w:val="Text8"/>
        </w:rPr>
        <w:t xml:space="preserve"> </w:t>
      </w:r>
      <w:r>
        <w:t>https://netplan.readthedocs.io/en/stable/</w:t>
      </w:r>
    </w:p>
    <w:p>
      <w:bookmarkStart w:id="335" w:name="page_2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2" name="index-237_1.png" descr="index-237_1.png"/>
            <wp:cNvGraphicFramePr>
              <a:graphicFrameLocks noChangeAspect="1"/>
            </wp:cNvGraphicFramePr>
            <a:graphic>
              <a:graphicData uri="http://schemas.openxmlformats.org/drawingml/2006/picture">
                <pic:pic>
                  <pic:nvPicPr>
                    <pic:cNvPr id="0" name="index-237_1.png" descr="index-237_1.png"/>
                    <pic:cNvPicPr/>
                  </pic:nvPicPr>
                  <pic:blipFill>
                    <a:blip r:embed="rId246"/>
                    <a:stretch>
                      <a:fillRect/>
                    </a:stretch>
                  </pic:blipFill>
                  <pic:spPr>
                    <a:xfrm>
                      <a:off x="0" y="0"/>
                      <a:ext cx="914400" cy="266700"/>
                    </a:xfrm>
                    <a:prstGeom prst="rect">
                      <a:avLst/>
                    </a:prstGeom>
                  </pic:spPr>
                </pic:pic>
              </a:graphicData>
            </a:graphic>
          </wp:anchor>
        </w:drawing>
      </w:r>
      <w:bookmarkEnd w:id="335"/>
    </w:p>
    <w:p>
      <w:pPr>
        <w:pStyle w:val="Normal"/>
      </w:pPr>
      <w:r>
        <w:t>insecure and should not be used except in special circumstances. If you are looking to trans-fer files securely see SFTP in the section on OpenSSH-Server. User access to the FTP server directories and files is dependent on the permissions defined for the account used at login. As a general rule, the FTP daemon will hide the root directory of the FTP server and change it to the FTP Home directory. This hides the rest of the file system from remote sessions.</w:t>
      </w:r>
    </w:p>
    <w:p>
      <w:pPr>
        <w:pStyle w:val="Para 17"/>
      </w:pPr>
      <w:r>
        <w:t/>
      </w:r>
    </w:p>
    <w:p>
      <w:pPr>
        <w:pStyle w:val="Para 01"/>
      </w:pPr>
      <w:r>
        <w:t>vsftpd – FTP server installation</w:t>
      </w:r>
    </w:p>
    <w:p>
      <w:pPr>
        <w:pStyle w:val="Para 17"/>
      </w:pPr>
      <w:r>
        <w:t/>
      </w:r>
    </w:p>
    <w:p>
      <w:pPr>
        <w:pStyle w:val="Normal"/>
      </w:pPr>
      <w:r>
        <w:t>vsftpd is an FTP daemon available in Ubuntu. It is easy to install, set up, and maintain. To install vsftpd, run the following command:</w:t>
      </w:r>
    </w:p>
    <w:p>
      <w:pPr>
        <w:pStyle w:val="Normal"/>
      </w:pPr>
      <w:r>
        <w:t>sudo apt install vsftpd</w:t>
      </w:r>
    </w:p>
    <w:p>
      <w:pPr>
        <w:pStyle w:val="Para 17"/>
      </w:pPr>
      <w:r>
        <w:t/>
      </w:r>
    </w:p>
    <w:p>
      <w:pPr>
        <w:pStyle w:val="Para 01"/>
      </w:pPr>
      <w:r>
        <w:t>Anonymous FTP configuration</w:t>
      </w:r>
    </w:p>
    <w:p>
      <w:pPr>
        <w:pStyle w:val="Para 17"/>
      </w:pPr>
      <w:r>
        <w:t/>
      </w:r>
    </w:p>
    <w:p>
      <w:pPr>
        <w:pStyle w:val="Normal"/>
      </w:pPr>
      <w:r>
        <w:t xml:space="preserve">By default vsftpd is </w:t>
      </w:r>
      <w:r>
        <w:rPr>
          <w:rStyle w:val="Text3"/>
        </w:rPr>
        <w:t>not</w:t>
      </w:r>
      <w:r>
        <w:t xml:space="preserve"> configured to allow anonymous download. If you wish to enable anonymous download, edit /etc/vsftpd.conf by changing:</w:t>
      </w:r>
    </w:p>
    <w:p>
      <w:pPr>
        <w:pStyle w:val="Normal"/>
      </w:pPr>
      <w:r>
        <w:t>anonymous_enable=YES</w:t>
      </w:r>
    </w:p>
    <w:p>
      <w:pPr>
        <w:pStyle w:val="Para 17"/>
      </w:pPr>
      <w:r>
        <w:t/>
      </w:r>
    </w:p>
    <w:p>
      <w:pPr>
        <w:pStyle w:val="Normal"/>
      </w:pPr>
      <w:r>
        <w:t>Restart the vsftp server:</w:t>
      </w:r>
    </w:p>
    <w:p>
      <w:pPr>
        <w:pStyle w:val="Normal"/>
      </w:pPr>
      <w:r>
        <w:t>sudo systemctl restart vsftp</w:t>
      </w:r>
    </w:p>
    <w:p>
      <w:pPr>
        <w:pStyle w:val="Para 17"/>
      </w:pPr>
      <w:r>
        <w:t/>
      </w:r>
    </w:p>
    <w:p>
      <w:pPr>
        <w:pStyle w:val="Para 01"/>
      </w:pPr>
      <w:r>
        <w:t>FTP files location</w:t>
      </w:r>
    </w:p>
    <w:p>
      <w:pPr>
        <w:pStyle w:val="Para 17"/>
      </w:pPr>
      <w:r>
        <w:t/>
      </w:r>
    </w:p>
    <w:p>
      <w:pPr>
        <w:pStyle w:val="Normal"/>
      </w:pPr>
      <w:r>
        <w:t xml:space="preserve">During installation an </w:t>
      </w:r>
      <w:r>
        <w:rPr>
          <w:rStyle w:val="Text3"/>
        </w:rPr>
        <w:t>ftp</w:t>
      </w:r>
      <w:r>
        <w:t xml:space="preserve"> user is created with a home directory of /srv/ftp. This is the default FTP directory.</w:t>
      </w:r>
    </w:p>
    <w:p>
      <w:pPr>
        <w:pStyle w:val="Normal"/>
      </w:pPr>
      <w:r>
        <w:t xml:space="preserve">If you wish to change this location, to /srv/files/ftp for example, simply create a directory in another location and change the </w:t>
      </w:r>
      <w:r>
        <w:rPr>
          <w:rStyle w:val="Text3"/>
        </w:rPr>
        <w:t>ftp</w:t>
      </w:r>
      <w:r>
        <w:t xml:space="preserve"> user’s home directory:</w:t>
      </w:r>
    </w:p>
    <w:p>
      <w:pPr>
        <w:pStyle w:val="Normal"/>
      </w:pPr>
      <w:r>
        <w:t>sudo mkdir -p /srv/files/ftp</w:t>
      </w:r>
    </w:p>
    <w:p>
      <w:pPr>
        <w:pStyle w:val="Normal"/>
      </w:pPr>
      <w:r>
        <w:t>sudo usermod -d /srv/files/ftp ftp</w:t>
      </w:r>
    </w:p>
    <w:p>
      <w:pPr>
        <w:pStyle w:val="Para 17"/>
      </w:pPr>
      <w:r>
        <w:t/>
      </w:r>
    </w:p>
    <w:p>
      <w:pPr>
        <w:pStyle w:val="Normal"/>
      </w:pPr>
      <w:r>
        <w:t>After making the change restart vsftpd:</w:t>
      </w:r>
    </w:p>
    <w:p>
      <w:pPr>
        <w:pStyle w:val="Normal"/>
      </w:pPr>
      <w:r>
        <w:t>sudo systemctl restart vsftpd.service</w:t>
      </w:r>
    </w:p>
    <w:p>
      <w:pPr>
        <w:pStyle w:val="Para 17"/>
      </w:pPr>
      <w:r>
        <w:t/>
      </w:r>
    </w:p>
    <w:p>
      <w:pPr>
        <w:pStyle w:val="Normal"/>
      </w:pPr>
      <w:r>
        <w:t>Now, when the client connects with anonymous username, it will see the files hosted in /srv/ files/ftp instead of /srv/ftp.</w:t>
      </w:r>
    </w:p>
    <w:p>
      <w:bookmarkStart w:id="336" w:name="calibre_pb_49"/>
      <w:pPr>
        <w:pStyle w:val="0 Block"/>
      </w:pPr>
      <w:bookmarkEnd w:id="336"/>
    </w:p>
    <w:p>
      <w:bookmarkStart w:id="337" w:name="Top_of_index_split_050_html"/>
      <w:bookmarkStart w:id="338" w:name="page_23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3" name="index-238_1.png" descr="index-238_1.png"/>
            <wp:cNvGraphicFramePr>
              <a:graphicFrameLocks noChangeAspect="1"/>
            </wp:cNvGraphicFramePr>
            <a:graphic>
              <a:graphicData uri="http://schemas.openxmlformats.org/drawingml/2006/picture">
                <pic:pic>
                  <pic:nvPicPr>
                    <pic:cNvPr id="0" name="index-238_1.png" descr="index-238_1.png"/>
                    <pic:cNvPicPr/>
                  </pic:nvPicPr>
                  <pic:blipFill>
                    <a:blip r:embed="rId247"/>
                    <a:stretch>
                      <a:fillRect/>
                    </a:stretch>
                  </pic:blipFill>
                  <pic:spPr>
                    <a:xfrm>
                      <a:off x="0" y="0"/>
                      <a:ext cx="914400" cy="266700"/>
                    </a:xfrm>
                    <a:prstGeom prst="rect">
                      <a:avLst/>
                    </a:prstGeom>
                  </pic:spPr>
                </pic:pic>
              </a:graphicData>
            </a:graphic>
          </wp:anchor>
        </w:drawing>
      </w:r>
      <w:bookmarkEnd w:id="337"/>
      <w:bookmarkEnd w:id="338"/>
    </w:p>
    <w:p>
      <w:pPr>
        <w:pStyle w:val="Para 01"/>
      </w:pPr>
      <w:r>
        <w:t>User authenticated FTP configuration</w:t>
      </w:r>
    </w:p>
    <w:p>
      <w:pPr>
        <w:pStyle w:val="Para 17"/>
      </w:pPr>
      <w:r>
        <w:t/>
      </w:r>
    </w:p>
    <w:p>
      <w:pPr>
        <w:pStyle w:val="Normal"/>
      </w:pPr>
      <w:r>
        <w:t>By default vsftpd is configured to authenticate system users and allow them to download files. If you want users to be able to upload files, edit /etc/vsftpd.conf:</w:t>
      </w:r>
    </w:p>
    <w:p>
      <w:pPr>
        <w:pStyle w:val="Normal"/>
      </w:pPr>
      <w:r>
        <w:t>write_enable=YES</w:t>
      </w:r>
    </w:p>
    <w:p>
      <w:pPr>
        <w:pStyle w:val="Para 17"/>
      </w:pPr>
      <w:r>
        <w:t/>
      </w:r>
    </w:p>
    <w:p>
      <w:pPr>
        <w:pStyle w:val="Normal"/>
      </w:pPr>
      <w:r>
        <w:t>Now restart vsftpd:</w:t>
      </w:r>
    </w:p>
    <w:p>
      <w:pPr>
        <w:pStyle w:val="Normal"/>
      </w:pPr>
      <w:r>
        <w:t>sudo systemctl restart vsftpd.service</w:t>
      </w:r>
    </w:p>
    <w:p>
      <w:pPr>
        <w:pStyle w:val="Para 17"/>
      </w:pPr>
      <w:r>
        <w:t/>
      </w:r>
    </w:p>
    <w:p>
      <w:pPr>
        <w:pStyle w:val="Normal"/>
      </w:pPr>
      <w:r>
        <w:t xml:space="preserve">Now when system users login to FTP they will start in their </w:t>
      </w:r>
      <w:r>
        <w:rPr>
          <w:rStyle w:val="Text3"/>
        </w:rPr>
        <w:t>home</w:t>
      </w:r>
      <w:r>
        <w:t xml:space="preserve"> directories where they can download, upload, create directories, etc.</w:t>
      </w:r>
    </w:p>
    <w:p>
      <w:pPr>
        <w:pStyle w:val="Normal"/>
      </w:pPr>
      <w:r>
        <w:t>Similarly, by default, anonymous users are not allowed to upload files to FTP server. To change this setting, uncomment the following line, and restart vsftpd:</w:t>
      </w:r>
    </w:p>
    <w:p>
      <w:pPr>
        <w:pStyle w:val="Normal"/>
      </w:pPr>
      <w:r>
        <w:t>anon_upload_enable=YES</w:t>
      </w:r>
    </w:p>
    <w:p>
      <w:pPr>
        <w:pStyle w:val="Para 17"/>
      </w:pPr>
      <w:r>
        <w:t/>
      </w:r>
    </w:p>
    <w:p>
      <w:pPr>
        <w:pStyle w:val="Para 08"/>
      </w:pPr>
      <w:r>
        <w:t>Warning:</w:t>
      </w:r>
    </w:p>
    <w:p>
      <w:pPr>
        <w:pStyle w:val="Para 17"/>
      </w:pPr>
      <w:r>
        <w:t/>
      </w:r>
    </w:p>
    <w:p>
      <w:pPr>
        <w:pStyle w:val="Para 03"/>
      </w:pPr>
      <w:r>
        <w:t>Enabling anonymous FTP upload can be an extreme security risk. It is best to not enable</w:t>
      </w:r>
    </w:p>
    <w:p>
      <w:pPr>
        <w:pStyle w:val="Para 03"/>
      </w:pPr>
      <w:r>
        <w:t>anonymous upload on servers accessed directly from the Internet.</w:t>
      </w:r>
    </w:p>
    <w:p>
      <w:pPr>
        <w:pStyle w:val="Para 17"/>
      </w:pPr>
      <w:r>
        <w:t/>
      </w:r>
    </w:p>
    <w:p>
      <w:pPr>
        <w:pStyle w:val="Normal"/>
      </w:pPr>
      <w:r>
        <w:t>The configuration file consists of many configuration parameters. The information about each parameter is available in the configuration file. Alternatively, you can refer to the man page, man 5 vsftpd.conf for details of each parameter.</w:t>
      </w:r>
    </w:p>
    <w:p>
      <w:pPr>
        <w:pStyle w:val="Para 17"/>
      </w:pPr>
      <w:r>
        <w:t/>
      </w:r>
    </w:p>
    <w:p>
      <w:pPr>
        <w:pStyle w:val="Para 01"/>
      </w:pPr>
      <w:r>
        <w:t>Securing FTP</w:t>
      </w:r>
    </w:p>
    <w:p>
      <w:pPr>
        <w:pStyle w:val="Para 17"/>
      </w:pPr>
      <w:r>
        <w:t/>
      </w:r>
    </w:p>
    <w:p>
      <w:pPr>
        <w:pStyle w:val="Normal"/>
      </w:pPr>
      <w:r>
        <w:t>There are options in /etc/vsftpd.conf to help make vsftpd more secure. For example users can be limited to their home directories by uncommenting:</w:t>
      </w:r>
    </w:p>
    <w:p>
      <w:pPr>
        <w:pStyle w:val="Normal"/>
      </w:pPr>
      <w:r>
        <w:t>chroot_local_user=YES</w:t>
      </w:r>
    </w:p>
    <w:p>
      <w:pPr>
        <w:pStyle w:val="Para 17"/>
      </w:pPr>
      <w:r>
        <w:t/>
      </w:r>
    </w:p>
    <w:p>
      <w:pPr>
        <w:pStyle w:val="Normal"/>
      </w:pPr>
      <w:r>
        <w:t>You can also limit a specific list of users to just their home directories:</w:t>
      </w:r>
    </w:p>
    <w:p>
      <w:pPr>
        <w:pStyle w:val="Normal"/>
      </w:pPr>
      <w:r>
        <w:t>chroot_list_enable=YES</w:t>
      </w:r>
    </w:p>
    <w:p>
      <w:pPr>
        <w:pStyle w:val="Normal"/>
      </w:pPr>
      <w:r>
        <w:t>chroot_list_file=/etc/vsftpd.chroot_list</w:t>
      </w:r>
    </w:p>
    <w:p>
      <w:pPr>
        <w:pStyle w:val="Para 17"/>
      </w:pPr>
      <w:r>
        <w:t/>
      </w:r>
    </w:p>
    <w:p>
      <w:pPr>
        <w:pStyle w:val="Para 08"/>
      </w:pPr>
      <w:r>
        <w:t>Warning:</w:t>
      </w:r>
    </w:p>
    <w:p>
      <w:pPr>
        <w:pStyle w:val="Para 17"/>
      </w:pPr>
      <w:r>
        <w:t/>
      </w:r>
    </w:p>
    <w:p>
      <w:pPr>
        <w:pStyle w:val="Para 03"/>
      </w:pPr>
      <w:r>
        <w:t>If chroot_local_user is set to YES (setting all users to be limited to just their home direc-</w:t>
      </w:r>
    </w:p>
    <w:p>
      <w:pPr>
        <w:pStyle w:val="Para 03"/>
      </w:pPr>
      <w:r>
        <w:t>tory), /etc/vsftpd.chroot_list becomes a list of users which are NOT limited to just their</w:t>
      </w:r>
    </w:p>
    <w:p>
      <w:pPr>
        <w:pStyle w:val="Para 03"/>
      </w:pPr>
      <w:r>
        <w:t>home directory</w:t>
      </w:r>
    </w:p>
    <w:p>
      <w:pPr>
        <w:pStyle w:val="Para 17"/>
      </w:pPr>
      <w:r>
        <w:t/>
      </w:r>
    </w:p>
    <w:p>
      <w:pPr>
        <w:pStyle w:val="Normal"/>
      </w:pPr>
      <w:r>
        <w:t>After uncommenting the above options, create a /etc/vsftpd.chroot_list containing a list of users one per line. Then restart vsftpd:</w:t>
      </w:r>
    </w:p>
    <w:p>
      <w:pPr>
        <w:pStyle w:val="Normal"/>
      </w:pPr>
      <w:r>
        <w:t>sudo systemctl restart vsftpd.service</w:t>
        <w:t xml:space="preserve"> Also, the /etc/ftpusers file is a list of users that are </w:t>
      </w:r>
      <w:r>
        <w:rPr>
          <w:rStyle w:val="Text3"/>
        </w:rPr>
        <w:t>disallowed</w:t>
      </w:r>
      <w:r>
        <w:t xml:space="preserve"> FTP access. The default list includes root, daemon, nobody, etc. To disable FTP access for additional users simply add them to the list.</w:t>
      </w:r>
    </w:p>
    <w:p>
      <w:bookmarkStart w:id="339" w:name="page_2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4" name="index-239_1.png" descr="index-239_1.png"/>
            <wp:cNvGraphicFramePr>
              <a:graphicFrameLocks noChangeAspect="1"/>
            </wp:cNvGraphicFramePr>
            <a:graphic>
              <a:graphicData uri="http://schemas.openxmlformats.org/drawingml/2006/picture">
                <pic:pic>
                  <pic:nvPicPr>
                    <pic:cNvPr id="0" name="index-239_1.png" descr="index-239_1.png"/>
                    <pic:cNvPicPr/>
                  </pic:nvPicPr>
                  <pic:blipFill>
                    <a:blip r:embed="rId248"/>
                    <a:stretch>
                      <a:fillRect/>
                    </a:stretch>
                  </pic:blipFill>
                  <pic:spPr>
                    <a:xfrm>
                      <a:off x="0" y="0"/>
                      <a:ext cx="914400" cy="266700"/>
                    </a:xfrm>
                    <a:prstGeom prst="rect">
                      <a:avLst/>
                    </a:prstGeom>
                  </pic:spPr>
                </pic:pic>
              </a:graphicData>
            </a:graphic>
          </wp:anchor>
        </w:drawing>
      </w:r>
      <w:bookmarkEnd w:id="339"/>
    </w:p>
    <w:p>
      <w:pPr>
        <w:pStyle w:val="Normal"/>
      </w:pPr>
      <w:r>
        <w:t xml:space="preserve">FTP can also be encrypted using </w:t>
      </w:r>
      <w:r>
        <w:rPr>
          <w:rStyle w:val="Text3"/>
        </w:rPr>
        <w:t>FTPS</w:t>
      </w:r>
      <w:r>
        <w:t xml:space="preserve">. </w:t>
      </w:r>
      <w:r>
        <w:rPr>
          <w:rStyle w:val="Text3"/>
        </w:rPr>
        <w:t>FTPS</w:t>
      </w:r>
      <w:r>
        <w:t xml:space="preserve"> is different from </w:t>
      </w:r>
      <w:r>
        <w:rPr>
          <w:rStyle w:val="Text3"/>
        </w:rPr>
        <w:t>SFTP</w:t>
      </w:r>
      <w:r>
        <w:t xml:space="preserve">, </w:t>
      </w:r>
      <w:r>
        <w:rPr>
          <w:rStyle w:val="Text3"/>
        </w:rPr>
        <w:t>FTPS</w:t>
      </w:r>
      <w:r>
        <w:t xml:space="preserve"> is FTP over Secure Socket Layer (SSL). </w:t>
      </w:r>
      <w:r>
        <w:rPr>
          <w:rStyle w:val="Text3"/>
        </w:rPr>
        <w:t>SFTP</w:t>
      </w:r>
      <w:r>
        <w:t xml:space="preserve"> is a FTP like session over an encrypted </w:t>
      </w:r>
      <w:r>
        <w:rPr>
          <w:rStyle w:val="Text3"/>
        </w:rPr>
        <w:t>SSH</w:t>
      </w:r>
      <w:r>
        <w:t xml:space="preserve"> connection. A major difference is that users of </w:t>
      </w:r>
      <w:r>
        <w:rPr>
          <w:rStyle w:val="Text3"/>
        </w:rPr>
        <w:t>SFTP</w:t>
      </w:r>
      <w:r>
        <w:t xml:space="preserve"> need to have a </w:t>
      </w:r>
      <w:r>
        <w:rPr>
          <w:rStyle w:val="Text3"/>
        </w:rPr>
        <w:t>shell</w:t>
      </w:r>
      <w:r>
        <w:t xml:space="preserve"> account on the system, instead of a </w:t>
      </w:r>
      <w:r>
        <w:rPr>
          <w:rStyle w:val="Text3"/>
        </w:rPr>
        <w:t>nologin</w:t>
      </w:r>
      <w:r>
        <w:t xml:space="preserve"> shell. Providing all users with a shell may not be ideal for some environments, such as a shared web host. However, it is possible to restrict such accounts to only </w:t>
      </w:r>
      <w:r>
        <w:rPr>
          <w:rStyle w:val="Text3"/>
        </w:rPr>
        <w:t>SFTP</w:t>
      </w:r>
      <w:r>
        <w:t xml:space="preserve"> and disable shell interaction.</w:t>
      </w:r>
    </w:p>
    <w:p>
      <w:pPr>
        <w:pStyle w:val="Normal"/>
      </w:pPr>
      <w:r>
        <w:t xml:space="preserve">To configure </w:t>
      </w:r>
      <w:r>
        <w:rPr>
          <w:rStyle w:val="Text3"/>
        </w:rPr>
        <w:t>FTPS</w:t>
      </w:r>
      <w:r>
        <w:t>, edit /etc/vsftpd.conf and at the bottom add:</w:t>
      </w:r>
    </w:p>
    <w:p>
      <w:pPr>
        <w:pStyle w:val="Normal"/>
      </w:pPr>
      <w:r>
        <w:t>ssl_enable=YES</w:t>
      </w:r>
    </w:p>
    <w:p>
      <w:pPr>
        <w:pStyle w:val="Para 17"/>
      </w:pPr>
      <w:r>
        <w:t/>
      </w:r>
    </w:p>
    <w:p>
      <w:pPr>
        <w:pStyle w:val="Normal"/>
      </w:pPr>
      <w:r>
        <w:t>Also, notice the certificate and key related options:</w:t>
      </w:r>
    </w:p>
    <w:p>
      <w:pPr>
        <w:pStyle w:val="Normal"/>
      </w:pPr>
      <w:r>
        <w:t>rsa_cert_file=/etc/ssl/certs/ssl-cert-snakeoil.pem</w:t>
      </w:r>
    </w:p>
    <w:p>
      <w:pPr>
        <w:pStyle w:val="Normal"/>
      </w:pPr>
      <w:r>
        <w:t>rsa_private_key_file=/etc/ssl/private/ssl-cert-snakeoil.key</w:t>
      </w:r>
    </w:p>
    <w:p>
      <w:pPr>
        <w:pStyle w:val="Para 17"/>
      </w:pPr>
      <w:r>
        <w:t/>
      </w:r>
    </w:p>
    <w:p>
      <w:pPr>
        <w:pStyle w:val="Normal"/>
      </w:pPr>
      <w:r>
        <w:t>By default these options are set to the certificate and key provided by the ssl-cert pack-age. In a production environment these should be replaced with a certificate and key gen-</w:t>
      </w:r>
    </w:p>
    <w:p>
      <w:pPr>
        <w:pStyle w:val="Normal"/>
      </w:pPr>
      <w:r>
        <w:t xml:space="preserve">erated for the specific host. For more information on certificates see </w:t>
      </w:r>
      <w:hyperlink w:anchor="page_791">
        <w:r>
          <w:rPr>
            <w:rStyle w:val="Text2"/>
          </w:rPr>
          <w:t>Security - Certificates</w:t>
        </w:r>
      </w:hyperlink>
      <w:r>
        <w:t xml:space="preserve"> (page 790).</w:t>
      </w:r>
    </w:p>
    <w:p>
      <w:pPr>
        <w:pStyle w:val="Normal"/>
      </w:pPr>
      <w:r>
        <w:t xml:space="preserve">Now restart vsftpd, and non-anonymous users will be forced to use </w:t>
      </w:r>
      <w:r>
        <w:rPr>
          <w:rStyle w:val="Text3"/>
        </w:rPr>
        <w:t>FTPS</w:t>
      </w:r>
      <w:r>
        <w:t xml:space="preserve"> :</w:t>
      </w:r>
    </w:p>
    <w:p>
      <w:pPr>
        <w:pStyle w:val="Normal"/>
      </w:pPr>
      <w:r>
        <w:t>sudo systemctl restart vsftpd.service</w:t>
      </w:r>
    </w:p>
    <w:p>
      <w:pPr>
        <w:pStyle w:val="Para 17"/>
      </w:pPr>
      <w:r>
        <w:t/>
      </w:r>
    </w:p>
    <w:p>
      <w:pPr>
        <w:pStyle w:val="Normal"/>
      </w:pPr>
      <w:r>
        <w:t xml:space="preserve">To allow users with a shell of /usr/sbin/nologin access to FTP, but have no shell access, edit /etc/shells adding the </w:t>
      </w:r>
      <w:r>
        <w:rPr>
          <w:rStyle w:val="Text3"/>
        </w:rPr>
        <w:t>nologin</w:t>
      </w:r>
      <w:r>
        <w:t xml:space="preserve"> shell:</w:t>
      </w:r>
    </w:p>
    <w:p>
      <w:pPr>
        <w:pStyle w:val="Para 10"/>
      </w:pPr>
      <w:r>
        <w:t># /etc/shells: valid login shells</w:t>
      </w:r>
    </w:p>
    <w:p>
      <w:pPr>
        <w:pStyle w:val="Normal"/>
      </w:pPr>
      <w:r>
        <w:t>/bin/csh</w:t>
      </w:r>
    </w:p>
    <w:p>
      <w:pPr>
        <w:pStyle w:val="Normal"/>
      </w:pPr>
      <w:r>
        <w:t>/bin/sh</w:t>
      </w:r>
    </w:p>
    <w:p>
      <w:pPr>
        <w:pStyle w:val="Para 02"/>
      </w:pPr>
      <w:r>
        <w:t>/usr/bin/es</w:t>
      </w:r>
    </w:p>
    <w:p>
      <w:pPr>
        <w:pStyle w:val="Para 02"/>
      </w:pPr>
      <w:r>
        <w:t>/usr/bin/ksh</w:t>
      </w:r>
    </w:p>
    <w:p>
      <w:pPr>
        <w:pStyle w:val="Para 02"/>
      </w:pPr>
      <w:r>
        <w:t>/bin/ksh</w:t>
      </w:r>
    </w:p>
    <w:p>
      <w:pPr>
        <w:pStyle w:val="Para 02"/>
      </w:pPr>
      <w:r>
        <w:t>/usr/bin/rc</w:t>
      </w:r>
    </w:p>
    <w:p>
      <w:pPr>
        <w:pStyle w:val="Para 02"/>
      </w:pPr>
      <w:r>
        <w:t>/usr/bin/tcsh</w:t>
      </w:r>
    </w:p>
    <w:p>
      <w:pPr>
        <w:pStyle w:val="Para 02"/>
      </w:pPr>
      <w:r>
        <w:t>/bin/tcsh</w:t>
      </w:r>
    </w:p>
    <w:p>
      <w:pPr>
        <w:pStyle w:val="Para 02"/>
      </w:pPr>
      <w:r>
        <w:t>/usr/bin/esh</w:t>
      </w:r>
    </w:p>
    <w:p>
      <w:pPr>
        <w:pStyle w:val="Para 02"/>
      </w:pPr>
      <w:r>
        <w:t>/bin/dash</w:t>
      </w:r>
    </w:p>
    <w:p>
      <w:pPr>
        <w:pStyle w:val="Para 02"/>
      </w:pPr>
      <w:r>
        <w:t>/bin/bash</w:t>
      </w:r>
    </w:p>
    <w:p>
      <w:pPr>
        <w:pStyle w:val="Normal"/>
      </w:pPr>
      <w:r>
        <w:t>/bin/rbash</w:t>
      </w:r>
    </w:p>
    <w:p>
      <w:pPr>
        <w:pStyle w:val="Normal"/>
      </w:pPr>
      <w:r>
        <w:t>/usr/bin/screen</w:t>
      </w:r>
    </w:p>
    <w:p>
      <w:pPr>
        <w:pStyle w:val="Normal"/>
      </w:pPr>
      <w:r>
        <w:t>/usr/sbin/nologin</w:t>
      </w:r>
    </w:p>
    <w:p>
      <w:pPr>
        <w:pStyle w:val="Para 17"/>
      </w:pPr>
      <w:r>
        <w:t/>
      </w:r>
    </w:p>
    <w:p>
      <w:pPr>
        <w:pStyle w:val="Normal"/>
      </w:pPr>
      <w:r>
        <w:t>This is necessary because, by default vsftpd uses PAM for authentication, and the /etc/pam. d/vsftpd configuration file contains:</w:t>
      </w:r>
    </w:p>
    <w:p>
      <w:pPr>
        <w:pStyle w:val="Normal"/>
      </w:pPr>
      <w:r>
        <w:t>auth</w:t>
        <w:t xml:space="preserve"> </w:t>
        <w:t>required</w:t>
        <w:t xml:space="preserve"> </w:t>
        <w:t>pam_shells.so</w:t>
      </w:r>
    </w:p>
    <w:p>
      <w:pPr>
        <w:pStyle w:val="Para 17"/>
      </w:pPr>
      <w:r>
        <w:t/>
      </w:r>
    </w:p>
    <w:p>
      <w:pPr>
        <w:pStyle w:val="Normal"/>
      </w:pPr>
      <w:r>
        <w:t xml:space="preserve">The </w:t>
      </w:r>
      <w:r>
        <w:rPr>
          <w:rStyle w:val="Text3"/>
        </w:rPr>
        <w:t>shells</w:t>
      </w:r>
      <w:r>
        <w:t xml:space="preserve"> PAM module restricts access to shells listed in the /etc/shells file.</w:t>
      </w:r>
    </w:p>
    <w:p>
      <w:pPr>
        <w:pStyle w:val="Normal"/>
      </w:pPr>
      <w:r>
        <w:t xml:space="preserve">Most popular FTP clients can be configured to connect using </w:t>
      </w:r>
      <w:r>
        <w:rPr>
          <w:rStyle w:val="Text3"/>
        </w:rPr>
        <w:t>FTPS</w:t>
      </w:r>
      <w:r>
        <w:t xml:space="preserve">. The lftp command line FTP client has the ability to use </w:t>
      </w:r>
      <w:r>
        <w:rPr>
          <w:rStyle w:val="Text3"/>
        </w:rPr>
        <w:t>FTPS</w:t>
      </w:r>
      <w:r>
        <w:t xml:space="preserve"> as well.</w:t>
      </w:r>
    </w:p>
    <w:p>
      <w:bookmarkStart w:id="340" w:name="page_2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5" name="index-240_1.png" descr="index-240_1.png"/>
            <wp:cNvGraphicFramePr>
              <a:graphicFrameLocks noChangeAspect="1"/>
            </wp:cNvGraphicFramePr>
            <a:graphic>
              <a:graphicData uri="http://schemas.openxmlformats.org/drawingml/2006/picture">
                <pic:pic>
                  <pic:nvPicPr>
                    <pic:cNvPr id="0" name="index-240_1.png" descr="index-240_1.png"/>
                    <pic:cNvPicPr/>
                  </pic:nvPicPr>
                  <pic:blipFill>
                    <a:blip r:embed="rId249"/>
                    <a:stretch>
                      <a:fillRect/>
                    </a:stretch>
                  </pic:blipFill>
                  <pic:spPr>
                    <a:xfrm>
                      <a:off x="0" y="0"/>
                      <a:ext cx="914400" cy="266700"/>
                    </a:xfrm>
                    <a:prstGeom prst="rect">
                      <a:avLst/>
                    </a:prstGeom>
                  </pic:spPr>
                </pic:pic>
              </a:graphicData>
            </a:graphic>
          </wp:anchor>
        </w:drawing>
      </w:r>
      <w:bookmarkEnd w:id="340"/>
    </w:p>
    <w:p>
      <w:pPr>
        <w:pStyle w:val="Para 01"/>
      </w:pPr>
      <w:r>
        <w:t>Further reading</w:t>
      </w:r>
    </w:p>
    <w:p>
      <w:pPr>
        <w:pStyle w:val="Para 17"/>
      </w:pPr>
      <w:r>
        <w:t/>
      </w:r>
    </w:p>
    <w:p>
      <w:pPr>
        <w:pStyle w:val="Para 04"/>
      </w:pPr>
      <w:r>
        <w:t xml:space="preserve">• See the </w:t>
      </w:r>
      <w:hyperlink r:id="rId1173">
        <w:r>
          <w:rPr>
            <w:rStyle w:val="Text9"/>
          </w:rPr>
          <w:t>169</w:t>
        </w:r>
      </w:hyperlink>
      <w:hyperlink r:id="rId1173">
        <w:r>
          <w:rPr>
            <w:rStyle w:val="Text1"/>
          </w:rPr>
          <w:t xml:space="preserve"> vsftpd website</w:t>
        </w:r>
      </w:hyperlink>
      <w:r>
        <w:t xml:space="preserve"> for more information.</w:t>
      </w:r>
    </w:p>
    <w:p>
      <w:pPr>
        <w:pStyle w:val="Normal"/>
      </w:pPr>
      <w:r>
        <w:t>The Domain Name Service (DNS) maps IP addresses to fully qualified domain names (FQDN). The DNS Security Extensions (DNSSEC) allow DNS data to be verified.</w:t>
      </w:r>
    </w:p>
    <w:p>
      <w:pPr>
        <w:pStyle w:val="Para 17"/>
      </w:pPr>
      <w:r>
        <w:t/>
      </w:r>
    </w:p>
    <w:p>
      <w:pPr>
        <w:pStyle w:val="Para 01"/>
      </w:pPr>
      <w:r>
        <w:t>Domain Name Service (DNS)</w:t>
      </w:r>
    </w:p>
    <w:p>
      <w:pPr>
        <w:pStyle w:val="Para 17"/>
      </w:pPr>
      <w:r>
        <w:t/>
      </w:r>
    </w:p>
    <w:p>
      <w:pPr>
        <w:pStyle w:val="Normal"/>
      </w:pPr>
      <w:r>
        <w:t xml:space="preserve">Domain Name Service (DNS) is an Internet service that maps IP addresses and </w:t>
      </w:r>
      <w:hyperlink w:anchor="page_683">
        <w:r>
          <w:rPr>
            <w:rStyle w:val="Text2"/>
          </w:rPr>
          <w:t>fully qualified</w:t>
        </w:r>
      </w:hyperlink>
    </w:p>
    <w:p>
      <w:pPr>
        <w:pStyle w:val="Normal"/>
      </w:pPr>
      <w:hyperlink w:anchor="page_683">
        <w:r>
          <w:rPr>
            <w:rStyle w:val="Text2"/>
          </w:rPr>
          <w:t>domain names (FQDN)</w:t>
        </w:r>
      </w:hyperlink>
      <w:r>
        <w:t xml:space="preserve"> to one another. In this way, DNS alleviates the need to remember IP addresses. Computers that run DNS are called </w:t>
      </w:r>
      <w:r>
        <w:rPr>
          <w:rStyle w:val="Text0"/>
        </w:rPr>
        <w:t>name servers</w:t>
      </w:r>
      <w:r>
        <w:t>. Ubuntu ships with the Berkeley Internet Naming Daemon (BIND), the most common program used for maintaining a name server on Linux.</w:t>
      </w:r>
    </w:p>
    <w:p>
      <w:pPr>
        <w:pStyle w:val="Para 17"/>
      </w:pPr>
      <w:r>
        <w:t/>
      </w:r>
    </w:p>
    <w:p>
      <w:pPr>
        <w:pStyle w:val="Para 01"/>
      </w:pPr>
      <w:r>
        <w:t>Install DNS</w:t>
      </w:r>
    </w:p>
    <w:p>
      <w:pPr>
        <w:pStyle w:val="Para 17"/>
      </w:pPr>
      <w:r>
        <w:t/>
      </w:r>
    </w:p>
    <w:p>
      <w:pPr>
        <w:pStyle w:val="Normal"/>
      </w:pPr>
      <w:r>
        <w:t>At a terminal prompt, run the following command to install the bind9 package:</w:t>
      </w:r>
    </w:p>
    <w:p>
      <w:pPr>
        <w:pStyle w:val="Normal"/>
      </w:pPr>
      <w:r>
        <w:t>sudo apt install bind9</w:t>
      </w:r>
    </w:p>
    <w:p>
      <w:pPr>
        <w:pStyle w:val="Para 17"/>
      </w:pPr>
      <w:r>
        <w:t/>
      </w:r>
    </w:p>
    <w:p>
      <w:pPr>
        <w:pStyle w:val="Normal"/>
      </w:pPr>
      <w:r>
        <w:t>A useful package for testing and troubleshooting DNS issues is the dnsutils package. Very often these tools will be installed already, but to check and/or install dnsutils enter the fol-lowing:</w:t>
      </w:r>
    </w:p>
    <w:p>
      <w:pPr>
        <w:pStyle w:val="Normal"/>
      </w:pPr>
      <w:r>
        <w:t>sudo apt install dnsutils</w:t>
      </w:r>
    </w:p>
    <w:p>
      <w:pPr>
        <w:pStyle w:val="Para 17"/>
      </w:pPr>
      <w:r>
        <w:t/>
      </w:r>
    </w:p>
    <w:p>
      <w:pPr>
        <w:pStyle w:val="Para 01"/>
      </w:pPr>
      <w:r>
        <w:t>DNS configuration overview</w:t>
      </w:r>
    </w:p>
    <w:p>
      <w:pPr>
        <w:pStyle w:val="Para 17"/>
      </w:pPr>
      <w:r>
        <w:t/>
      </w:r>
    </w:p>
    <w:p>
      <w:pPr>
        <w:pStyle w:val="Normal"/>
      </w:pPr>
      <w:r>
        <w:t>There are many ways to configure BIND9. Some of the most common configurations include a caching nameserver, primary server, and secondary server.</w:t>
      </w:r>
    </w:p>
    <w:p>
      <w:pPr>
        <w:pStyle w:val="Para 04"/>
      </w:pPr>
      <w:r>
        <w:t xml:space="preserve">• When configured as a </w:t>
      </w:r>
      <w:r>
        <w:rPr>
          <w:rStyle w:val="Text0"/>
        </w:rPr>
        <w:t>caching nameserver</w:t>
      </w:r>
      <w:r>
        <w:t>, BIND9 will find the answer to name queries</w:t>
      </w:r>
    </w:p>
    <w:p>
      <w:pPr>
        <w:pStyle w:val="Para 02"/>
      </w:pPr>
      <w:r>
        <w:t>and remember the answer when the domain is queried again.</w:t>
      </w:r>
    </w:p>
    <w:p>
      <w:pPr>
        <w:pStyle w:val="Para 04"/>
      </w:pPr>
      <w:r>
        <w:t xml:space="preserve">• As a </w:t>
      </w:r>
      <w:r>
        <w:rPr>
          <w:rStyle w:val="Text0"/>
        </w:rPr>
        <w:t>primary server</w:t>
      </w:r>
      <w:r>
        <w:t>, BIND9 reads the data for a zone from a file on its host, and is</w:t>
      </w:r>
    </w:p>
    <w:p>
      <w:pPr>
        <w:pStyle w:val="Para 02"/>
      </w:pPr>
      <w:r>
        <w:t>authoritative for that zone.</w:t>
      </w:r>
    </w:p>
    <w:p>
      <w:pPr>
        <w:pStyle w:val="Para 04"/>
      </w:pPr>
      <w:r>
        <w:t xml:space="preserve">• As a </w:t>
      </w:r>
      <w:r>
        <w:rPr>
          <w:rStyle w:val="Text0"/>
        </w:rPr>
        <w:t>secondary server</w:t>
      </w:r>
      <w:r>
        <w:t>, BIND9 gets the zone data from another nameserver that is au-</w:t>
      </w:r>
    </w:p>
    <w:p>
      <w:pPr>
        <w:pStyle w:val="Para 02"/>
      </w:pPr>
      <w:r>
        <w:t>thoritative for the zone.</w:t>
      </w:r>
    </w:p>
    <w:p>
      <w:pPr>
        <w:pStyle w:val="Para 05"/>
      </w:pPr>
      <w:r>
        <w:rPr>
          <w:rStyle w:val="Text5"/>
        </w:rPr>
        <w:t>169</w:t>
      </w:r>
      <w:r>
        <w:rPr>
          <w:rStyle w:val="Text8"/>
        </w:rPr>
        <w:t xml:space="preserve"> </w:t>
      </w:r>
      <w:r>
        <w:t>http://vsftpd.beasts.org/vsftpd_conf.html</w:t>
      </w:r>
    </w:p>
    <w:p>
      <w:bookmarkStart w:id="341" w:name="calibre_pb_50"/>
      <w:pPr>
        <w:pStyle w:val="0 Block"/>
      </w:pPr>
      <w:bookmarkEnd w:id="341"/>
    </w:p>
    <w:p>
      <w:bookmarkStart w:id="342" w:name="page_241"/>
      <w:bookmarkStart w:id="343" w:name="Top_of_index_split_05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6" name="index-241_1.png" descr="index-241_1.png"/>
            <wp:cNvGraphicFramePr>
              <a:graphicFrameLocks noChangeAspect="1"/>
            </wp:cNvGraphicFramePr>
            <a:graphic>
              <a:graphicData uri="http://schemas.openxmlformats.org/drawingml/2006/picture">
                <pic:pic>
                  <pic:nvPicPr>
                    <pic:cNvPr id="0" name="index-241_1.png" descr="index-241_1.png"/>
                    <pic:cNvPicPr/>
                  </pic:nvPicPr>
                  <pic:blipFill>
                    <a:blip r:embed="rId250"/>
                    <a:stretch>
                      <a:fillRect/>
                    </a:stretch>
                  </pic:blipFill>
                  <pic:spPr>
                    <a:xfrm>
                      <a:off x="0" y="0"/>
                      <a:ext cx="914400" cy="266700"/>
                    </a:xfrm>
                    <a:prstGeom prst="rect">
                      <a:avLst/>
                    </a:prstGeom>
                  </pic:spPr>
                </pic:pic>
              </a:graphicData>
            </a:graphic>
          </wp:anchor>
        </w:drawing>
      </w:r>
      <w:bookmarkEnd w:id="342"/>
      <w:bookmarkEnd w:id="343"/>
    </w:p>
    <w:p>
      <w:pPr>
        <w:pStyle w:val="Para 01"/>
      </w:pPr>
      <w:r>
        <w:t>Configuration files</w:t>
      </w:r>
    </w:p>
    <w:p>
      <w:pPr>
        <w:pStyle w:val="Para 17"/>
      </w:pPr>
      <w:r>
        <w:t/>
      </w:r>
    </w:p>
    <w:p>
      <w:pPr>
        <w:pStyle w:val="Normal"/>
      </w:pPr>
      <w:r>
        <w:t>The DNS configuration files are stored in the /etc/bind directory. The primary configuration file is /etc/bind/named.conf, which in the layout provided by the package just includes these files:</w:t>
      </w:r>
    </w:p>
    <w:p>
      <w:pPr>
        <w:pStyle w:val="Para 28"/>
      </w:pPr>
      <w:r>
        <w:rPr>
          <w:rStyle w:val="Text0"/>
        </w:rPr>
        <w:t xml:space="preserve">• </w:t>
      </w:r>
      <w:r>
        <w:t>/etc/bind/named.conf.options</w:t>
      </w:r>
      <w:r>
        <w:rPr>
          <w:rStyle w:val="Text0"/>
        </w:rPr>
        <w:t>: Global DNS options</w:t>
      </w:r>
    </w:p>
    <w:p>
      <w:pPr>
        <w:pStyle w:val="Para 28"/>
      </w:pPr>
      <w:r>
        <w:rPr>
          <w:rStyle w:val="Text0"/>
        </w:rPr>
        <w:t xml:space="preserve">• </w:t>
      </w:r>
      <w:r>
        <w:t>/etc/bind/named.conf.local</w:t>
      </w:r>
      <w:r>
        <w:rPr>
          <w:rStyle w:val="Text0"/>
        </w:rPr>
        <w:t>: For your zones</w:t>
      </w:r>
    </w:p>
    <w:p>
      <w:pPr>
        <w:pStyle w:val="Para 04"/>
      </w:pPr>
      <w:r>
        <w:t xml:space="preserve">• </w:t>
      </w:r>
      <w:r>
        <w:rPr>
          <w:rStyle w:val="Text0"/>
        </w:rPr>
        <w:t>/etc/bind/named.conf.default-zones</w:t>
      </w:r>
      <w:r>
        <w:t>: Default zones such as localhost, its reverse, and</w:t>
      </w:r>
    </w:p>
    <w:p>
      <w:pPr>
        <w:pStyle w:val="Para 02"/>
      </w:pPr>
      <w:r>
        <w:t>the root hints</w:t>
      </w:r>
    </w:p>
    <w:p>
      <w:pPr>
        <w:pStyle w:val="Normal"/>
      </w:pPr>
      <w:r>
        <w:t>The root nameservers are provided by the /usr/share/dns/root.hints file shipped with the dns-root-data package, and is referenced in the named.conf.default-zones configuration file above. Up until Ubuntu 18.04 LTS it used to be described in the file /etc/bind/db.root.</w:t>
      </w:r>
    </w:p>
    <w:p>
      <w:pPr>
        <w:pStyle w:val="Normal"/>
      </w:pPr>
      <w:r>
        <w:t>It is possible to configure the same server to be a caching name server, primary, and sec-ondary: it all depends on the zones it is serving. A server can be the Start of Authority (SOA) for one zone, while providing secondary service for another zone. All the while providing caching services for hosts on the local LAN.</w:t>
      </w:r>
    </w:p>
    <w:p>
      <w:pPr>
        <w:pStyle w:val="Para 17"/>
      </w:pPr>
      <w:r>
        <w:t/>
      </w:r>
    </w:p>
    <w:p>
      <w:pPr>
        <w:pStyle w:val="Para 01"/>
      </w:pPr>
      <w:r>
        <w:t>Set up a caching nameserver</w:t>
      </w:r>
    </w:p>
    <w:p>
      <w:pPr>
        <w:pStyle w:val="Para 17"/>
      </w:pPr>
      <w:r>
        <w:t/>
      </w:r>
    </w:p>
    <w:p>
      <w:pPr>
        <w:pStyle w:val="Normal"/>
      </w:pPr>
      <w:r>
        <w:t>The default configuration acts as a caching server. Edit /etc/bind/named.conf.options to set the IP addresses of your ISP’s DNS servers. Add or modify the options block so that it includes a forwarders section as follows:</w:t>
      </w:r>
    </w:p>
    <w:p>
      <w:pPr>
        <w:pStyle w:val="Normal"/>
      </w:pPr>
      <w:r>
        <w:t>options {</w:t>
      </w:r>
    </w:p>
    <w:p>
      <w:pPr>
        <w:pStyle w:val="Para 02"/>
      </w:pPr>
      <w:r>
        <w:t>forwarders {</w:t>
      </w:r>
    </w:p>
    <w:p>
      <w:pPr>
        <w:pStyle w:val="Para 06"/>
      </w:pPr>
      <w:r>
        <w:t>1.2.3.4</w:t>
        <w:t>;</w:t>
      </w:r>
    </w:p>
    <w:p>
      <w:pPr>
        <w:pStyle w:val="Para 06"/>
      </w:pPr>
      <w:r>
        <w:t>5.6.7.8</w:t>
        <w:t>;</w:t>
      </w:r>
    </w:p>
    <w:p>
      <w:pPr>
        <w:pStyle w:val="Para 02"/>
      </w:pPr>
      <w:r>
        <w:t>};</w:t>
      </w:r>
    </w:p>
    <w:p>
      <w:pPr>
        <w:pStyle w:val="Normal"/>
      </w:pPr>
      <w:r>
        <w:t>};</w:t>
      </w:r>
    </w:p>
    <w:p>
      <w:pPr>
        <w:pStyle w:val="Para 17"/>
      </w:pPr>
      <w:r>
        <w:t/>
      </w:r>
    </w:p>
    <w:p>
      <w:pPr>
        <w:pStyle w:val="Para 08"/>
      </w:pPr>
      <w:r>
        <w:t>Note:</w:t>
      </w:r>
    </w:p>
    <w:p>
      <w:pPr>
        <w:pStyle w:val="Para 03"/>
      </w:pPr>
      <w:r>
        <w:t>Replace 1.2.3.4 and 5.6.7.8 with the IP addresses of actual nameservers.</w:t>
      </w:r>
    </w:p>
    <w:p>
      <w:pPr>
        <w:pStyle w:val="Para 17"/>
      </w:pPr>
      <w:r>
        <w:t/>
      </w:r>
    </w:p>
    <w:p>
      <w:pPr>
        <w:pStyle w:val="Normal"/>
      </w:pPr>
      <w:r>
        <w:t>To enable the new configuration, restart the DNS server. From a terminal prompt, run:</w:t>
      </w:r>
    </w:p>
    <w:p>
      <w:pPr>
        <w:pStyle w:val="Normal"/>
      </w:pPr>
      <w:r>
        <w:t>sudo systemctl restart bind9.service</w:t>
      </w:r>
    </w:p>
    <w:p>
      <w:pPr>
        <w:pStyle w:val="Para 17"/>
      </w:pPr>
      <w:r>
        <w:t/>
      </w:r>
    </w:p>
    <w:p>
      <w:pPr>
        <w:pStyle w:val="Normal"/>
      </w:pPr>
      <w:hyperlink w:anchor="page_246">
        <w:r>
          <w:rPr>
            <w:rStyle w:val="Text2"/>
          </w:rPr>
          <w:t>See the dig section</w:t>
        </w:r>
      </w:hyperlink>
      <w:r>
        <w:t xml:space="preserve"> (page 245) for information on testing a caching DNS server.</w:t>
      </w:r>
    </w:p>
    <w:p>
      <w:bookmarkStart w:id="344" w:name="calibre_pb_51"/>
      <w:pPr>
        <w:pStyle w:val="0 Block"/>
      </w:pPr>
      <w:bookmarkEnd w:id="344"/>
    </w:p>
    <w:p>
      <w:bookmarkStart w:id="345" w:name="page_242"/>
      <w:bookmarkStart w:id="346" w:name="Top_of_index_split_05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7" name="index-242_1.png" descr="index-242_1.png"/>
            <wp:cNvGraphicFramePr>
              <a:graphicFrameLocks noChangeAspect="1"/>
            </wp:cNvGraphicFramePr>
            <a:graphic>
              <a:graphicData uri="http://schemas.openxmlformats.org/drawingml/2006/picture">
                <pic:pic>
                  <pic:nvPicPr>
                    <pic:cNvPr id="0" name="index-242_1.png" descr="index-242_1.png"/>
                    <pic:cNvPicPr/>
                  </pic:nvPicPr>
                  <pic:blipFill>
                    <a:blip r:embed="rId251"/>
                    <a:stretch>
                      <a:fillRect/>
                    </a:stretch>
                  </pic:blipFill>
                  <pic:spPr>
                    <a:xfrm>
                      <a:off x="0" y="0"/>
                      <a:ext cx="914400" cy="266700"/>
                    </a:xfrm>
                    <a:prstGeom prst="rect">
                      <a:avLst/>
                    </a:prstGeom>
                  </pic:spPr>
                </pic:pic>
              </a:graphicData>
            </a:graphic>
          </wp:anchor>
        </w:drawing>
      </w:r>
      <w:bookmarkEnd w:id="345"/>
      <w:bookmarkEnd w:id="346"/>
    </w:p>
    <w:p>
      <w:pPr>
        <w:pStyle w:val="Para 01"/>
      </w:pPr>
      <w:r>
        <w:t>Set up a primary server</w:t>
      </w:r>
    </w:p>
    <w:p>
      <w:pPr>
        <w:pStyle w:val="Para 17"/>
      </w:pPr>
      <w:r>
        <w:t/>
      </w:r>
    </w:p>
    <w:p>
      <w:pPr>
        <w:pStyle w:val="Normal"/>
      </w:pPr>
      <w:r>
        <w:t>In this section BIND9 will be configured as the primary server for the domain example.com. You can replace example.com with your FQDN (Fully Qualified Domain Name).</w:t>
      </w:r>
    </w:p>
    <w:p>
      <w:pPr>
        <w:pStyle w:val="Para 17"/>
      </w:pPr>
      <w:r>
        <w:t/>
      </w:r>
    </w:p>
    <w:p>
      <w:pPr>
        <w:pStyle w:val="Para 01"/>
      </w:pPr>
      <w:r>
        <w:t>Forward zone file</w:t>
      </w:r>
    </w:p>
    <w:p>
      <w:pPr>
        <w:pStyle w:val="Para 17"/>
      </w:pPr>
      <w:r>
        <w:t/>
      </w:r>
    </w:p>
    <w:p>
      <w:pPr>
        <w:pStyle w:val="Normal"/>
      </w:pPr>
      <w:r>
        <w:t>To add a DNS zone to BIND9, turning BIND9 into a primary server, first edit /etc/bind/named. conf.local:</w:t>
      </w:r>
    </w:p>
    <w:p>
      <w:pPr>
        <w:pStyle w:val="Normal"/>
      </w:pPr>
      <w:r>
        <w:t>zone</w:t>
        <w:t xml:space="preserve"> </w:t>
        <w:t>"example.com"</w:t>
        <w:t xml:space="preserve"> </w:t>
        <w:t>{</w:t>
      </w:r>
    </w:p>
    <w:p>
      <w:pPr>
        <w:pStyle w:val="Para 02"/>
      </w:pPr>
      <w:r>
        <w:t>type</w:t>
        <w:t xml:space="preserve"> </w:t>
        <w:t>master;</w:t>
      </w:r>
    </w:p>
    <w:p>
      <w:pPr>
        <w:pStyle w:val="Para 02"/>
      </w:pPr>
      <w:r>
        <w:t>file</w:t>
        <w:t xml:space="preserve"> </w:t>
        <w:t>"/etc/bind/db.example.com"</w:t>
        <w:t>;</w:t>
      </w:r>
    </w:p>
    <w:p>
      <w:pPr>
        <w:pStyle w:val="Normal"/>
      </w:pPr>
      <w:r>
        <w:t>};</w:t>
      </w:r>
    </w:p>
    <w:p>
      <w:pPr>
        <w:pStyle w:val="Para 17"/>
      </w:pPr>
      <w:r>
        <w:t/>
      </w:r>
    </w:p>
    <w:p>
      <w:pPr>
        <w:pStyle w:val="Para 08"/>
      </w:pPr>
      <w:r>
        <w:t>Note:</w:t>
      </w:r>
    </w:p>
    <w:p>
      <w:pPr>
        <w:pStyle w:val="Para 03"/>
      </w:pPr>
      <w:r>
        <w:t xml:space="preserve">If BIND will be receiving automatic updates to the file as with </w:t>
      </w:r>
      <w:hyperlink w:anchor="page_677">
        <w:r>
          <w:rPr>
            <w:rStyle w:val="Text2"/>
          </w:rPr>
          <w:t>DDNS</w:t>
        </w:r>
      </w:hyperlink>
      <w:r>
        <w:t xml:space="preserve"> , then use /var/lib/</w:t>
      </w:r>
    </w:p>
    <w:p>
      <w:pPr>
        <w:pStyle w:val="Para 03"/>
      </w:pPr>
      <w:r>
        <w:t>bind/db.example.com rather than /etc/bind/db.example.com both here and in the copy</w:t>
      </w:r>
    </w:p>
    <w:p>
      <w:pPr>
        <w:pStyle w:val="Para 03"/>
      </w:pPr>
      <w:r>
        <w:t>command below.</w:t>
      </w:r>
    </w:p>
    <w:p>
      <w:pPr>
        <w:pStyle w:val="Normal"/>
      </w:pPr>
      <w:r>
        <w:t>Now, create a zone file in /etc/bind/db.example.com. Up until Ubuntu 25.04 this could be copied from a template, e.g. in /etc/bind/db.local.</w:t>
      </w:r>
    </w:p>
    <w:p>
      <w:pPr>
        <w:pStyle w:val="Normal"/>
      </w:pPr>
      <w:r>
        <w:t xml:space="preserve">Edit the new zone file /etc/bind/db.example.com adding the </w:t>
      </w:r>
      <w:hyperlink w:anchor="page_683">
        <w:r>
          <w:rPr>
            <w:rStyle w:val="Text2"/>
          </w:rPr>
          <w:t>FQDN</w:t>
        </w:r>
      </w:hyperlink>
      <w:r>
        <w:t xml:space="preserve"> of your server, includ-ing the additional . at the end, the nameserver’s IP address and a valid email address (root@example.com), but with a . instead of the usual @ symbol, again including the . at the end. You can add a comment at the top (using semicolons), to indicate the domain that this file is for.</w:t>
      </w:r>
    </w:p>
    <w:p>
      <w:pPr>
        <w:pStyle w:val="Normal"/>
      </w:pPr>
      <w:r>
        <w:t xml:space="preserve">Create an </w:t>
      </w:r>
      <w:r>
        <w:rPr>
          <w:rStyle w:val="Text0"/>
        </w:rPr>
        <w:t>A record</w:t>
      </w:r>
      <w:r>
        <w:t xml:space="preserve"> for the base domain, example.com. Also, create an </w:t>
      </w:r>
      <w:r>
        <w:rPr>
          <w:rStyle w:val="Text0"/>
        </w:rPr>
        <w:t>A record</w:t>
      </w:r>
      <w:r>
        <w:t xml:space="preserve"> for ns. example.com, the name server in this example:</w:t>
      </w:r>
    </w:p>
    <w:p>
      <w:pPr>
        <w:pStyle w:val="Normal"/>
      </w:pPr>
      <w:r>
        <w:t>;</w:t>
      </w:r>
    </w:p>
    <w:p>
      <w:pPr>
        <w:pStyle w:val="Normal"/>
      </w:pPr>
      <w:r>
        <w:t>; BIND data file for example.com</w:t>
      </w:r>
    </w:p>
    <w:p>
      <w:pPr>
        <w:pStyle w:val="Normal"/>
      </w:pPr>
      <w:r>
        <w:t>;</w:t>
      </w:r>
    </w:p>
    <w:p>
      <w:pPr>
        <w:pStyle w:val="Normal"/>
      </w:pPr>
      <w:r>
        <w:t>$TTL</w:t>
        <w:t xml:space="preserve"> </w:t>
        <w:t>604800</w:t>
      </w:r>
    </w:p>
    <w:p>
      <w:pPr>
        <w:pStyle w:val="Normal"/>
      </w:pPr>
      <w:r>
        <w:t>@</w:t>
        <w:t xml:space="preserve"> </w:t>
        <w:t>IN</w:t>
        <w:t xml:space="preserve"> </w:t>
        <w:t>SOA</w:t>
        <w:t xml:space="preserve"> </w:t>
        <w:t>example.com. root.example.com. (</w:t>
      </w:r>
    </w:p>
    <w:p>
      <w:pPr>
        <w:pStyle w:val="Para 38"/>
      </w:pPr>
      <w:r>
        <w:t>2</w:t>
        <w:t xml:space="preserve"> </w:t>
        <w:t>; Serial</w:t>
      </w:r>
    </w:p>
    <w:p>
      <w:pPr>
        <w:pStyle w:val="Para 33"/>
      </w:pPr>
      <w:r>
        <w:t>604800</w:t>
        <w:t xml:space="preserve"> </w:t>
        <w:t>; Refresh</w:t>
      </w:r>
    </w:p>
    <w:p>
      <w:pPr>
        <w:pStyle w:val="Para 46"/>
      </w:pPr>
      <w:r>
        <w:t>86400</w:t>
        <w:t xml:space="preserve"> </w:t>
        <w:t>; Retry</w:t>
      </w:r>
    </w:p>
    <w:p>
      <w:pPr>
        <w:pStyle w:val="Para 33"/>
      </w:pPr>
      <w:r>
        <w:t>2419200</w:t>
        <w:t xml:space="preserve"> </w:t>
        <w:t>; Expire</w:t>
      </w:r>
    </w:p>
    <w:p>
      <w:pPr>
        <w:pStyle w:val="Para 17"/>
      </w:pPr>
      <w:r>
        <w:t>604800 )</w:t>
        <w:t xml:space="preserve"> </w:t>
        <w:t>; Negative Cache TTL</w:t>
      </w:r>
    </w:p>
    <w:p>
      <w:pPr>
        <w:pStyle w:val="Normal"/>
      </w:pPr>
      <w:r>
        <w:t>@</w:t>
        <w:t xml:space="preserve"> </w:t>
        <w:t>IN</w:t>
        <w:t xml:space="preserve"> </w:t>
        <w:t>NS</w:t>
        <w:t xml:space="preserve"> </w:t>
        <w:t>ns.example.com.</w:t>
      </w:r>
    </w:p>
    <w:p>
      <w:pPr>
        <w:pStyle w:val="Normal"/>
      </w:pPr>
      <w:r>
        <w:t>@</w:t>
        <w:t xml:space="preserve"> </w:t>
        <w:t>IN</w:t>
        <w:t xml:space="preserve"> </w:t>
        <w:t>A</w:t>
        <w:t xml:space="preserve"> </w:t>
        <w:t>192.168.1.10</w:t>
      </w:r>
    </w:p>
    <w:p>
      <w:pPr>
        <w:pStyle w:val="Normal"/>
      </w:pPr>
      <w:r>
        <w:t>@</w:t>
        <w:t xml:space="preserve"> </w:t>
        <w:t>IN</w:t>
        <w:t xml:space="preserve"> </w:t>
        <w:t>AAAA</w:t>
        <w:t xml:space="preserve"> </w:t>
        <w:t>2001:db8::10</w:t>
      </w:r>
    </w:p>
    <w:p>
      <w:pPr>
        <w:pStyle w:val="Normal"/>
      </w:pPr>
      <w:r>
        <w:t>ns</w:t>
        <w:t xml:space="preserve"> </w:t>
        <w:t>IN</w:t>
        <w:t xml:space="preserve"> </w:t>
        <w:t>A</w:t>
        <w:t xml:space="preserve"> </w:t>
        <w:t>192.168.1.10</w:t>
      </w:r>
    </w:p>
    <w:p>
      <w:pPr>
        <w:pStyle w:val="Para 17"/>
      </w:pPr>
      <w:r>
        <w:t/>
      </w:r>
    </w:p>
    <w:p>
      <w:pPr>
        <w:pStyle w:val="Normal"/>
      </w:pPr>
      <w:r>
        <w:t>You must increment the Serial Number every time you make changes to the zone file. If you make multiple changes before restarting BIND9, only increment Serial once.</w:t>
      </w:r>
    </w:p>
    <w:p>
      <w:pPr>
        <w:pStyle w:val="Normal"/>
      </w:pPr>
      <w:r>
        <w:t xml:space="preserve">Now, you can add DNS records to the bottom of the zone file. See </w:t>
      </w:r>
      <w:hyperlink w:anchor="page_249">
        <w:r>
          <w:rPr>
            <w:rStyle w:val="Text2"/>
          </w:rPr>
          <w:t>Common record types</w:t>
        </w:r>
      </w:hyperlink>
      <w:r>
        <w:t xml:space="preserve"> (page 248) for details.</w:t>
      </w:r>
    </w:p>
    <w:p>
      <w:bookmarkStart w:id="347" w:name="page_2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8" name="index-243_1.png" descr="index-243_1.png"/>
            <wp:cNvGraphicFramePr>
              <a:graphicFrameLocks noChangeAspect="1"/>
            </wp:cNvGraphicFramePr>
            <a:graphic>
              <a:graphicData uri="http://schemas.openxmlformats.org/drawingml/2006/picture">
                <pic:pic>
                  <pic:nvPicPr>
                    <pic:cNvPr id="0" name="index-243_1.png" descr="index-243_1.png"/>
                    <pic:cNvPicPr/>
                  </pic:nvPicPr>
                  <pic:blipFill>
                    <a:blip r:embed="rId252"/>
                    <a:stretch>
                      <a:fillRect/>
                    </a:stretch>
                  </pic:blipFill>
                  <pic:spPr>
                    <a:xfrm>
                      <a:off x="0" y="0"/>
                      <a:ext cx="914400" cy="266700"/>
                    </a:xfrm>
                    <a:prstGeom prst="rect">
                      <a:avLst/>
                    </a:prstGeom>
                  </pic:spPr>
                </pic:pic>
              </a:graphicData>
            </a:graphic>
          </wp:anchor>
        </w:drawing>
      </w:r>
      <w:bookmarkEnd w:id="347"/>
    </w:p>
    <w:p>
      <w:pPr>
        <w:pStyle w:val="Para 08"/>
      </w:pPr>
      <w:r>
        <w:t>Note:</w:t>
      </w:r>
    </w:p>
    <w:p>
      <w:pPr>
        <w:pStyle w:val="Para 03"/>
      </w:pPr>
      <w:r>
        <w:t xml:space="preserve">Many admins like to use the “last edited” date as the Serial of a zone, such as </w:t>
      </w:r>
      <w:r>
        <w:rPr>
          <w:rStyle w:val="Text0"/>
        </w:rPr>
        <w:t>2020012100</w:t>
      </w:r>
    </w:p>
    <w:p>
      <w:pPr>
        <w:pStyle w:val="Para 03"/>
      </w:pPr>
      <w:r>
        <w:t xml:space="preserve">which is </w:t>
      </w:r>
      <w:r>
        <w:rPr>
          <w:rStyle w:val="Text0"/>
        </w:rPr>
        <w:t>yyyymmddss</w:t>
      </w:r>
      <w:r>
        <w:t xml:space="preserve"> (where </w:t>
      </w:r>
      <w:r>
        <w:rPr>
          <w:rStyle w:val="Text0"/>
        </w:rPr>
        <w:t>ss</w:t>
      </w:r>
      <w:r>
        <w:t xml:space="preserve"> is the Serial Number)</w:t>
      </w:r>
    </w:p>
    <w:p>
      <w:pPr>
        <w:pStyle w:val="Para 17"/>
      </w:pPr>
      <w:r>
        <w:t/>
      </w:r>
    </w:p>
    <w:p>
      <w:pPr>
        <w:pStyle w:val="Normal"/>
      </w:pPr>
      <w:r>
        <w:t>Once you have made changes to the zone file, BIND9 needs to be restarted for the changes to take effect:</w:t>
      </w:r>
    </w:p>
    <w:p>
      <w:pPr>
        <w:pStyle w:val="Normal"/>
      </w:pPr>
      <w:r>
        <w:t>sudo systemctl restart bind9.service</w:t>
      </w:r>
    </w:p>
    <w:p>
      <w:pPr>
        <w:pStyle w:val="Para 17"/>
      </w:pPr>
      <w:r>
        <w:t/>
      </w:r>
    </w:p>
    <w:p>
      <w:pPr>
        <w:pStyle w:val="Para 01"/>
      </w:pPr>
      <w:r>
        <w:t>Reverse zone file</w:t>
      </w:r>
    </w:p>
    <w:p>
      <w:pPr>
        <w:pStyle w:val="Para 17"/>
      </w:pPr>
      <w:r>
        <w:t/>
      </w:r>
    </w:p>
    <w:p>
      <w:pPr>
        <w:pStyle w:val="Normal"/>
      </w:pPr>
      <w:r>
        <w:t xml:space="preserve">Now that the zone is set up and resolving names to IP Addresses, a </w:t>
      </w:r>
      <w:r>
        <w:rPr>
          <w:rStyle w:val="Text0"/>
        </w:rPr>
        <w:t>reverse zone</w:t>
      </w:r>
      <w:r>
        <w:t xml:space="preserve"> needs to be added to allow DNS to resolve an address to a name.</w:t>
      </w:r>
    </w:p>
    <w:p>
      <w:pPr>
        <w:pStyle w:val="Normal"/>
      </w:pPr>
      <w:r>
        <w:t>Edit /etc/bind/named.conf.local and add the following:</w:t>
      </w:r>
    </w:p>
    <w:p>
      <w:pPr>
        <w:pStyle w:val="Normal"/>
      </w:pPr>
      <w:r>
        <w:t>zone</w:t>
        <w:t xml:space="preserve"> </w:t>
        <w:t>"1.168.192.in-addr.arpa"</w:t>
        <w:t xml:space="preserve"> </w:t>
        <w:t>{</w:t>
      </w:r>
    </w:p>
    <w:p>
      <w:pPr>
        <w:pStyle w:val="Para 02"/>
      </w:pPr>
      <w:r>
        <w:t>type</w:t>
        <w:t xml:space="preserve"> </w:t>
        <w:t>master;</w:t>
      </w:r>
    </w:p>
    <w:p>
      <w:pPr>
        <w:pStyle w:val="Para 02"/>
      </w:pPr>
      <w:r>
        <w:t>file</w:t>
        <w:t xml:space="preserve"> </w:t>
        <w:t>"/etc/bind/db.192"</w:t>
        <w:t>;</w:t>
      </w:r>
    </w:p>
    <w:p>
      <w:pPr>
        <w:pStyle w:val="Normal"/>
      </w:pPr>
      <w:r>
        <w:t>};</w:t>
      </w:r>
    </w:p>
    <w:p>
      <w:pPr>
        <w:pStyle w:val="Para 17"/>
      </w:pPr>
      <w:r>
        <w:t/>
      </w:r>
    </w:p>
    <w:p>
      <w:pPr>
        <w:pStyle w:val="Para 08"/>
      </w:pPr>
      <w:r>
        <w:t>Note:</w:t>
      </w:r>
    </w:p>
    <w:p>
      <w:pPr>
        <w:pStyle w:val="Para 03"/>
      </w:pPr>
      <w:r>
        <w:t>Replace 1.168.192 with the first three octets of whatever network you are using. Also,</w:t>
      </w:r>
    </w:p>
    <w:p>
      <w:pPr>
        <w:pStyle w:val="Para 03"/>
      </w:pPr>
      <w:r>
        <w:t>name the zone file /etc/bind/db.192 appropriately. It should match the first octet of your</w:t>
      </w:r>
    </w:p>
    <w:p>
      <w:pPr>
        <w:pStyle w:val="Para 03"/>
      </w:pPr>
      <w:r>
        <w:t>network.</w:t>
      </w:r>
    </w:p>
    <w:p>
      <w:pPr>
        <w:pStyle w:val="Normal"/>
      </w:pPr>
      <w:r>
        <w:t>Now create the /etc/bind/db.192 file, changing the same options as /etc/bind/db.example. com:</w:t>
      </w:r>
    </w:p>
    <w:p>
      <w:pPr>
        <w:pStyle w:val="Normal"/>
      </w:pPr>
      <w:r>
        <w:t>;</w:t>
      </w:r>
    </w:p>
    <w:p>
      <w:pPr>
        <w:pStyle w:val="Normal"/>
      </w:pPr>
      <w:r>
        <w:t>; BIND reverse data file for local 192.168.1.XXX net</w:t>
      </w:r>
    </w:p>
    <w:p>
      <w:pPr>
        <w:pStyle w:val="Normal"/>
      </w:pPr>
      <w:r>
        <w:t>;</w:t>
      </w:r>
    </w:p>
    <w:p>
      <w:pPr>
        <w:pStyle w:val="Normal"/>
      </w:pPr>
      <w:r>
        <w:t>$TTL</w:t>
        <w:t xml:space="preserve"> </w:t>
        <w:t>604800</w:t>
      </w:r>
    </w:p>
    <w:p>
      <w:pPr>
        <w:pStyle w:val="Normal"/>
      </w:pPr>
      <w:r>
        <w:t>@</w:t>
        <w:t xml:space="preserve"> </w:t>
        <w:t>IN</w:t>
        <w:t xml:space="preserve"> </w:t>
        <w:t>SOA</w:t>
        <w:t xml:space="preserve"> </w:t>
        <w:t>ns.example.com. root.example.com. (</w:t>
      </w:r>
    </w:p>
    <w:p>
      <w:pPr>
        <w:pStyle w:val="Para 38"/>
      </w:pPr>
      <w:r>
        <w:t>2</w:t>
        <w:t xml:space="preserve"> </w:t>
        <w:t>; Serial</w:t>
      </w:r>
    </w:p>
    <w:p>
      <w:pPr>
        <w:pStyle w:val="Para 33"/>
      </w:pPr>
      <w:r>
        <w:t>604800</w:t>
        <w:t xml:space="preserve"> </w:t>
        <w:t>; Refresh</w:t>
      </w:r>
    </w:p>
    <w:p>
      <w:pPr>
        <w:pStyle w:val="Para 46"/>
      </w:pPr>
      <w:r>
        <w:t>86400</w:t>
        <w:t xml:space="preserve"> </w:t>
        <w:t>; Retry</w:t>
      </w:r>
    </w:p>
    <w:p>
      <w:pPr>
        <w:pStyle w:val="Para 33"/>
      </w:pPr>
      <w:r>
        <w:t>2419200</w:t>
        <w:t xml:space="preserve"> </w:t>
        <w:t>; Expire</w:t>
      </w:r>
    </w:p>
    <w:p>
      <w:pPr>
        <w:pStyle w:val="Para 17"/>
      </w:pPr>
      <w:r>
        <w:t>604800 )</w:t>
        <w:t xml:space="preserve"> </w:t>
        <w:t>; Negative Cache TTL</w:t>
      </w:r>
    </w:p>
    <w:p>
      <w:pPr>
        <w:pStyle w:val="Normal"/>
      </w:pPr>
      <w:r>
        <w:t>;</w:t>
      </w:r>
    </w:p>
    <w:p>
      <w:pPr>
        <w:pStyle w:val="Normal"/>
      </w:pPr>
      <w:r>
        <w:t>@</w:t>
        <w:t xml:space="preserve"> </w:t>
        <w:t>IN</w:t>
        <w:t xml:space="preserve"> </w:t>
        <w:t>NS</w:t>
        <w:t xml:space="preserve"> </w:t>
        <w:t>ns.</w:t>
      </w:r>
    </w:p>
    <w:p>
      <w:pPr>
        <w:pStyle w:val="Normal"/>
      </w:pPr>
      <w:r>
        <w:t>10</w:t>
        <w:t xml:space="preserve"> </w:t>
        <w:t>IN</w:t>
        <w:t xml:space="preserve"> </w:t>
        <w:t>PTR</w:t>
        <w:t xml:space="preserve"> </w:t>
        <w:t>ns.example.com.</w:t>
      </w:r>
    </w:p>
    <w:p>
      <w:pPr>
        <w:pStyle w:val="Para 17"/>
      </w:pPr>
      <w:r>
        <w:t/>
      </w:r>
    </w:p>
    <w:p>
      <w:pPr>
        <w:pStyle w:val="Normal"/>
      </w:pPr>
      <w:r>
        <w:t xml:space="preserve">The Serial Number in the reverse zone needs to be incremented on each change as well. For each </w:t>
      </w:r>
      <w:r>
        <w:rPr>
          <w:rStyle w:val="Text0"/>
        </w:rPr>
        <w:t>A record</w:t>
      </w:r>
      <w:r>
        <w:t xml:space="preserve"> you configure in /etc/bind/db.example.com that is for a different address, you will need to create a </w:t>
      </w:r>
      <w:r>
        <w:rPr>
          <w:rStyle w:val="Text0"/>
        </w:rPr>
        <w:t>PTR record</w:t>
      </w:r>
      <w:r>
        <w:t xml:space="preserve"> in /etc/bind/db.192.</w:t>
      </w:r>
    </w:p>
    <w:p>
      <w:pPr>
        <w:pStyle w:val="Normal"/>
      </w:pPr>
      <w:r>
        <w:t>After creating the reverse zone file restart BIND9:</w:t>
      </w:r>
    </w:p>
    <w:p>
      <w:pPr>
        <w:pStyle w:val="Normal"/>
      </w:pPr>
      <w:r>
        <w:t>sudo systemctl restart bind9.service</w:t>
      </w:r>
    </w:p>
    <w:p>
      <w:bookmarkStart w:id="348" w:name="page_2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49" name="index-244_1.png" descr="index-244_1.png"/>
            <wp:cNvGraphicFramePr>
              <a:graphicFrameLocks noChangeAspect="1"/>
            </wp:cNvGraphicFramePr>
            <a:graphic>
              <a:graphicData uri="http://schemas.openxmlformats.org/drawingml/2006/picture">
                <pic:pic>
                  <pic:nvPicPr>
                    <pic:cNvPr id="0" name="index-244_1.png" descr="index-244_1.png"/>
                    <pic:cNvPicPr/>
                  </pic:nvPicPr>
                  <pic:blipFill>
                    <a:blip r:embed="rId253"/>
                    <a:stretch>
                      <a:fillRect/>
                    </a:stretch>
                  </pic:blipFill>
                  <pic:spPr>
                    <a:xfrm>
                      <a:off x="0" y="0"/>
                      <a:ext cx="914400" cy="266700"/>
                    </a:xfrm>
                    <a:prstGeom prst="rect">
                      <a:avLst/>
                    </a:prstGeom>
                  </pic:spPr>
                </pic:pic>
              </a:graphicData>
            </a:graphic>
          </wp:anchor>
        </w:drawing>
      </w:r>
      <w:bookmarkEnd w:id="348"/>
    </w:p>
    <w:p>
      <w:pPr>
        <w:pStyle w:val="Para 01"/>
      </w:pPr>
      <w:r>
        <w:t>Set up a secondary server</w:t>
      </w:r>
    </w:p>
    <w:p>
      <w:pPr>
        <w:pStyle w:val="Para 17"/>
      </w:pPr>
      <w:r>
        <w:t/>
      </w:r>
    </w:p>
    <w:p>
      <w:pPr>
        <w:pStyle w:val="Normal"/>
      </w:pPr>
      <w:r>
        <w:t xml:space="preserve">Once a primary server has been configured, a </w:t>
      </w:r>
      <w:r>
        <w:rPr>
          <w:rStyle w:val="Text0"/>
        </w:rPr>
        <w:t>secondary server</w:t>
      </w:r>
      <w:r>
        <w:t xml:space="preserve"> is highly recommended. This will maintain the availability of the domain if the primary becomes unavailable.</w:t>
      </w:r>
    </w:p>
    <w:p>
      <w:pPr>
        <w:pStyle w:val="Normal"/>
      </w:pPr>
      <w:r>
        <w:t xml:space="preserve">First, on the primary server, the zone transfer needs to be allowed. Add the allow-transfer option to the example </w:t>
      </w:r>
      <w:r>
        <w:rPr>
          <w:rStyle w:val="Text0"/>
        </w:rPr>
        <w:t>Forward</w:t>
      </w:r>
      <w:r>
        <w:t xml:space="preserve"> and </w:t>
      </w:r>
      <w:r>
        <w:rPr>
          <w:rStyle w:val="Text0"/>
        </w:rPr>
        <w:t>Reverse</w:t>
      </w:r>
      <w:r>
        <w:t xml:space="preserve"> zone definitions in /etc/bind/named.conf. local:</w:t>
      </w:r>
    </w:p>
    <w:p>
      <w:pPr>
        <w:pStyle w:val="Normal"/>
      </w:pPr>
      <w:r>
        <w:t>zone</w:t>
        <w:t xml:space="preserve"> </w:t>
        <w:t>"example.com"</w:t>
        <w:t xml:space="preserve"> </w:t>
        <w:t>{</w:t>
      </w:r>
    </w:p>
    <w:p>
      <w:pPr>
        <w:pStyle w:val="Para 02"/>
      </w:pPr>
      <w:r>
        <w:t>type</w:t>
        <w:t xml:space="preserve"> </w:t>
        <w:t>master;</w:t>
      </w:r>
    </w:p>
    <w:p>
      <w:pPr>
        <w:pStyle w:val="Para 02"/>
      </w:pPr>
      <w:r>
        <w:t>file</w:t>
        <w:t xml:space="preserve"> </w:t>
        <w:t>"/etc/bind/db.example.com"</w:t>
        <w:t>;</w:t>
      </w:r>
    </w:p>
    <w:p>
      <w:pPr>
        <w:pStyle w:val="Para 02"/>
      </w:pPr>
      <w:r>
        <w:t>allow</w:t>
        <w:t>-</w:t>
        <w:t>transfer {</w:t>
        <w:t xml:space="preserve"> </w:t>
        <w:t>192.168.1.11</w:t>
        <w:t>; };</w:t>
      </w:r>
    </w:p>
    <w:p>
      <w:pPr>
        <w:pStyle w:val="Normal"/>
      </w:pPr>
      <w:r>
        <w:t>};</w:t>
      </w:r>
    </w:p>
    <w:p>
      <w:pPr>
        <w:pStyle w:val="Normal"/>
      </w:pPr>
      <w:r>
        <w:t>zone</w:t>
        <w:t xml:space="preserve"> </w:t>
        <w:t>"1.168.192.in-addr.arpa"</w:t>
        <w:t xml:space="preserve"> </w:t>
        <w:t>{</w:t>
      </w:r>
    </w:p>
    <w:p>
      <w:pPr>
        <w:pStyle w:val="Para 02"/>
      </w:pPr>
      <w:r>
        <w:t>type</w:t>
        <w:t xml:space="preserve"> </w:t>
        <w:t>master;</w:t>
      </w:r>
    </w:p>
    <w:p>
      <w:pPr>
        <w:pStyle w:val="Para 02"/>
      </w:pPr>
      <w:r>
        <w:t>file</w:t>
        <w:t xml:space="preserve"> </w:t>
        <w:t>"/etc/bind/db.192"</w:t>
        <w:t>;</w:t>
      </w:r>
    </w:p>
    <w:p>
      <w:pPr>
        <w:pStyle w:val="Para 02"/>
      </w:pPr>
      <w:r>
        <w:t>allow</w:t>
        <w:t>-</w:t>
        <w:t>transfer {</w:t>
        <w:t xml:space="preserve"> </w:t>
        <w:t>192.168.1.11</w:t>
        <w:t>; };</w:t>
      </w:r>
    </w:p>
    <w:p>
      <w:pPr>
        <w:pStyle w:val="Normal"/>
      </w:pPr>
      <w:r>
        <w:t>};</w:t>
      </w:r>
    </w:p>
    <w:p>
      <w:pPr>
        <w:pStyle w:val="Para 17"/>
      </w:pPr>
      <w:r>
        <w:t/>
      </w:r>
    </w:p>
    <w:p>
      <w:pPr>
        <w:pStyle w:val="Para 08"/>
      </w:pPr>
      <w:r>
        <w:t>Note:</w:t>
      </w:r>
    </w:p>
    <w:p>
      <w:pPr>
        <w:pStyle w:val="Para 03"/>
      </w:pPr>
      <w:r>
        <w:t>Replace 192.168.1.11 with the IP address of your secondary nameserver.</w:t>
      </w:r>
    </w:p>
    <w:p>
      <w:pPr>
        <w:pStyle w:val="Para 17"/>
      </w:pPr>
      <w:r>
        <w:t/>
      </w:r>
    </w:p>
    <w:p>
      <w:pPr>
        <w:pStyle w:val="Normal"/>
      </w:pPr>
      <w:r>
        <w:t>Restart BIND9 on the primary server:</w:t>
      </w:r>
    </w:p>
    <w:p>
      <w:pPr>
        <w:pStyle w:val="Normal"/>
      </w:pPr>
      <w:r>
        <w:t>sudo systemctl restart bind9.service</w:t>
      </w:r>
    </w:p>
    <w:p>
      <w:pPr>
        <w:pStyle w:val="Para 17"/>
      </w:pPr>
      <w:r>
        <w:t/>
      </w:r>
    </w:p>
    <w:p>
      <w:pPr>
        <w:pStyle w:val="Normal"/>
      </w:pPr>
      <w:r>
        <w:t>Next, on the secondary server, install the bind9 package the same way as on the primary. Then edit the /etc/bind/named.conf.local and add the following declarations for the For-ward and Reverse zones:</w:t>
      </w:r>
    </w:p>
    <w:p>
      <w:pPr>
        <w:pStyle w:val="Normal"/>
      </w:pPr>
      <w:r>
        <w:t>zone</w:t>
        <w:t xml:space="preserve"> </w:t>
        <w:t>"example.com"</w:t>
        <w:t xml:space="preserve"> </w:t>
        <w:t>{</w:t>
      </w:r>
    </w:p>
    <w:p>
      <w:pPr>
        <w:pStyle w:val="Para 02"/>
      </w:pPr>
      <w:r>
        <w:t>type</w:t>
        <w:t xml:space="preserve"> </w:t>
        <w:t>secondary;</w:t>
      </w:r>
    </w:p>
    <w:p>
      <w:pPr>
        <w:pStyle w:val="Para 02"/>
      </w:pPr>
      <w:r>
        <w:t>file</w:t>
        <w:t xml:space="preserve"> </w:t>
        <w:t>"db.example.com"</w:t>
        <w:t>;</w:t>
      </w:r>
    </w:p>
    <w:p>
      <w:pPr>
        <w:pStyle w:val="Para 02"/>
      </w:pPr>
      <w:r>
        <w:t>masters {</w:t>
        <w:t xml:space="preserve"> </w:t>
        <w:t>192.168.1.10</w:t>
        <w:t>; };</w:t>
      </w:r>
    </w:p>
    <w:p>
      <w:pPr>
        <w:pStyle w:val="Normal"/>
      </w:pPr>
      <w:r>
        <w:t>};</w:t>
      </w:r>
    </w:p>
    <w:p>
      <w:pPr>
        <w:pStyle w:val="Normal"/>
      </w:pPr>
      <w:r>
        <w:t>zone</w:t>
        <w:t xml:space="preserve"> </w:t>
        <w:t>"1.168.192.in-addr.arpa"</w:t>
        <w:t xml:space="preserve"> </w:t>
        <w:t>{</w:t>
      </w:r>
    </w:p>
    <w:p>
      <w:pPr>
        <w:pStyle w:val="Para 02"/>
      </w:pPr>
      <w:r>
        <w:t>type</w:t>
        <w:t xml:space="preserve"> </w:t>
        <w:t>secondary;</w:t>
      </w:r>
    </w:p>
    <w:p>
      <w:pPr>
        <w:pStyle w:val="Para 02"/>
      </w:pPr>
      <w:r>
        <w:t>file</w:t>
        <w:t xml:space="preserve"> </w:t>
        <w:t>"db.192"</w:t>
        <w:t>;</w:t>
      </w:r>
    </w:p>
    <w:p>
      <w:pPr>
        <w:pStyle w:val="Para 02"/>
      </w:pPr>
      <w:r>
        <w:t>masters {</w:t>
        <w:t xml:space="preserve"> </w:t>
        <w:t>192.168.1.10</w:t>
        <w:t>; };</w:t>
      </w:r>
    </w:p>
    <w:p>
      <w:pPr>
        <w:pStyle w:val="Normal"/>
      </w:pPr>
      <w:r>
        <w:t>};</w:t>
      </w:r>
    </w:p>
    <w:p>
      <w:pPr>
        <w:pStyle w:val="Para 17"/>
      </w:pPr>
      <w:r>
        <w:t/>
      </w:r>
    </w:p>
    <w:p>
      <w:pPr>
        <w:pStyle w:val="Normal"/>
      </w:pPr>
      <w:r>
        <w:t>Once again, replace 192.168.1.10 with the IP address of your primary nameserver, then restart BIND9 on the secondary server:</w:t>
      </w:r>
    </w:p>
    <w:p>
      <w:pPr>
        <w:pStyle w:val="Normal"/>
      </w:pPr>
      <w:r>
        <w:t>sudo systemctl restart bind9.service</w:t>
      </w:r>
    </w:p>
    <w:p>
      <w:pPr>
        <w:pStyle w:val="Para 17"/>
      </w:pPr>
      <w:r>
        <w:t/>
      </w:r>
    </w:p>
    <w:p>
      <w:pPr>
        <w:pStyle w:val="Normal"/>
      </w:pPr>
      <w:r>
        <w:t>In /var/log/syslog you should see something similar to the following (some lines have been split to fit the format of this document):</w:t>
      </w:r>
    </w:p>
    <w:p>
      <w:pPr>
        <w:pStyle w:val="Normal"/>
      </w:pPr>
      <w:r>
        <w:t>client 192.168.1.10#39448: received notify for zone '1.168.192.in-addr.arpa'</w:t>
        <w:t xml:space="preserve"> </w:t>
        <w:t>zone 1.168.192.in-addr.arpa/IN: Transfer started.</w:t>
      </w:r>
    </w:p>
    <w:p>
      <w:pPr>
        <w:pStyle w:val="Para 09"/>
      </w:pPr>
      <w:r>
        <w:t>(continues on next page)</w:t>
      </w:r>
    </w:p>
    <w:p>
      <w:bookmarkStart w:id="349" w:name="page_2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0"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254"/>
                    <a:stretch>
                      <a:fillRect/>
                    </a:stretch>
                  </pic:blipFill>
                  <pic:spPr>
                    <a:xfrm>
                      <a:off x="0" y="0"/>
                      <a:ext cx="914400" cy="266700"/>
                    </a:xfrm>
                    <a:prstGeom prst="rect">
                      <a:avLst/>
                    </a:prstGeom>
                  </pic:spPr>
                </pic:pic>
              </a:graphicData>
            </a:graphic>
          </wp:anchor>
        </w:drawing>
      </w:r>
      <w:bookmarkEnd w:id="349"/>
    </w:p>
    <w:p>
      <w:pPr>
        <w:pStyle w:val="Para 09"/>
      </w:pPr>
      <w:r>
        <w:t>(continued from previous page)</w:t>
      </w:r>
    </w:p>
    <w:p>
      <w:pPr>
        <w:pStyle w:val="Normal"/>
      </w:pPr>
      <w:r>
        <w:t>transfer of '100.18.172.in-addr.arpa/IN' from 192.168.1.10#53:</w:t>
      </w:r>
    </w:p>
    <w:p>
      <w:pPr>
        <w:pStyle w:val="Normal"/>
      </w:pPr>
      <w:r>
        <w:t>connected using 192.168.1.11#37531</w:t>
      </w:r>
    </w:p>
    <w:p>
      <w:pPr>
        <w:pStyle w:val="Normal"/>
      </w:pPr>
      <w:r>
        <w:t>zone 1.168.192.in-addr.arpa/IN: transferred serial 5</w:t>
      </w:r>
    </w:p>
    <w:p>
      <w:pPr>
        <w:pStyle w:val="Normal"/>
      </w:pPr>
      <w:r>
        <w:t>transfer of '100.18.172.in-addr.arpa/IN' from 192.168.1.10#53:</w:t>
      </w:r>
    </w:p>
    <w:p>
      <w:pPr>
        <w:pStyle w:val="Normal"/>
      </w:pPr>
      <w:r>
        <w:t>Transfer completed: 1 messages,</w:t>
      </w:r>
    </w:p>
    <w:p>
      <w:pPr>
        <w:pStyle w:val="Normal"/>
      </w:pPr>
      <w:r>
        <w:t>6 records, 212 bytes, 0.002 secs (106000 bytes/sec)</w:t>
      </w:r>
    </w:p>
    <w:p>
      <w:pPr>
        <w:pStyle w:val="Normal"/>
      </w:pPr>
      <w:r>
        <w:t>zone 1.168.192.in-addr.arpa/IN: sending notifies (serial 5)</w:t>
      </w:r>
    </w:p>
    <w:p>
      <w:pPr>
        <w:pStyle w:val="Normal"/>
      </w:pPr>
      <w:r>
        <w:t>client 192.168.1.10#20329: received notify for zone 'example.com'</w:t>
        <w:t xml:space="preserve"> </w:t>
        <w:t>zone example.com/IN: Transfer started.</w:t>
      </w:r>
    </w:p>
    <w:p>
      <w:pPr>
        <w:pStyle w:val="Normal"/>
      </w:pPr>
      <w:r>
        <w:t>transfer of 'example.com/IN' from 192.168.1.10#53: connected using 192.168.1.11#38577</w:t>
        <w:t xml:space="preserve"> </w:t>
        <w:t>zone example.com/IN: transferred serial 5</w:t>
      </w:r>
    </w:p>
    <w:p>
      <w:pPr>
        <w:pStyle w:val="Normal"/>
      </w:pPr>
      <w:r>
        <w:t>transfer of 'example.com/IN' from 192.168.1.10#53: Transfer completed: 1 messages,</w:t>
        <w:t xml:space="preserve"> </w:t>
        <w:t>8 records, 225 bytes, 0.002 secs (112500 bytes/sec)</w:t>
      </w:r>
    </w:p>
    <w:p>
      <w:pPr>
        <w:pStyle w:val="Para 17"/>
      </w:pPr>
      <w:r>
        <w:t/>
      </w:r>
    </w:p>
    <w:p>
      <w:pPr>
        <w:pStyle w:val="Para 08"/>
      </w:pPr>
      <w:r>
        <w:t>Note:</w:t>
      </w:r>
    </w:p>
    <w:p>
      <w:pPr>
        <w:pStyle w:val="Para 03"/>
      </w:pPr>
      <w:r>
        <w:t>A zone is only transferred if the Serial Number on the primary is larger than the one on the</w:t>
      </w:r>
    </w:p>
    <w:p>
      <w:pPr>
        <w:pStyle w:val="Para 03"/>
      </w:pPr>
      <w:r>
        <w:t>secondary. If you want to have your primary DNS notify other secondary DNS servers of</w:t>
      </w:r>
    </w:p>
    <w:p>
      <w:pPr>
        <w:pStyle w:val="Para 03"/>
      </w:pPr>
      <w:r>
        <w:t>zone changes, you can add also-notify { ipaddress; }; to /etc/bind/named.conf.local</w:t>
      </w:r>
    </w:p>
    <w:p>
      <w:pPr>
        <w:pStyle w:val="Para 03"/>
      </w:pPr>
      <w:r>
        <w:t>as shown in the example below:</w:t>
      </w:r>
    </w:p>
    <w:p>
      <w:pPr>
        <w:pStyle w:val="Para 17"/>
      </w:pPr>
      <w:r>
        <w:t/>
      </w:r>
    </w:p>
    <w:p>
      <w:pPr>
        <w:pStyle w:val="Normal"/>
      </w:pPr>
      <w:r>
        <w:t>zone</w:t>
        <w:t xml:space="preserve"> </w:t>
        <w:t>"example.com"</w:t>
        <w:t xml:space="preserve"> </w:t>
        <w:t>{</w:t>
      </w:r>
    </w:p>
    <w:p>
      <w:pPr>
        <w:pStyle w:val="Para 02"/>
      </w:pPr>
      <w:r>
        <w:t>type</w:t>
        <w:t xml:space="preserve"> </w:t>
        <w:t>master;</w:t>
      </w:r>
    </w:p>
    <w:p>
      <w:pPr>
        <w:pStyle w:val="Para 02"/>
      </w:pPr>
      <w:r>
        <w:t>file</w:t>
        <w:t xml:space="preserve"> </w:t>
        <w:t>"/etc/bind/db.example.com"</w:t>
        <w:t>;</w:t>
      </w:r>
    </w:p>
    <w:p>
      <w:pPr>
        <w:pStyle w:val="Para 02"/>
      </w:pPr>
      <w:r>
        <w:t>allow</w:t>
        <w:t>-</w:t>
        <w:t>transfer {</w:t>
        <w:t xml:space="preserve"> </w:t>
        <w:t>192.168.1.11</w:t>
        <w:t>; };</w:t>
      </w:r>
    </w:p>
    <w:p>
      <w:pPr>
        <w:pStyle w:val="Para 02"/>
      </w:pPr>
      <w:r>
        <w:t>also</w:t>
        <w:t>-</w:t>
        <w:t>notify {</w:t>
        <w:t xml:space="preserve"> </w:t>
        <w:t>192.168.1.11</w:t>
        <w:t>; };</w:t>
      </w:r>
    </w:p>
    <w:p>
      <w:pPr>
        <w:pStyle w:val="Normal"/>
      </w:pPr>
      <w:r>
        <w:t>};</w:t>
      </w:r>
    </w:p>
    <w:p>
      <w:pPr>
        <w:pStyle w:val="Normal"/>
      </w:pPr>
      <w:r>
        <w:t>zone</w:t>
        <w:t xml:space="preserve"> </w:t>
        <w:t>"1.168.192.in-addr.arpa"</w:t>
        <w:t xml:space="preserve"> </w:t>
        <w:t>{</w:t>
      </w:r>
    </w:p>
    <w:p>
      <w:pPr>
        <w:pStyle w:val="Para 02"/>
      </w:pPr>
      <w:r>
        <w:t>type</w:t>
        <w:t xml:space="preserve"> </w:t>
        <w:t>master;</w:t>
      </w:r>
    </w:p>
    <w:p>
      <w:pPr>
        <w:pStyle w:val="Para 02"/>
      </w:pPr>
      <w:r>
        <w:t>file</w:t>
        <w:t xml:space="preserve"> </w:t>
        <w:t>"/etc/bind/db.192"</w:t>
        <w:t>;</w:t>
      </w:r>
    </w:p>
    <w:p>
      <w:pPr>
        <w:pStyle w:val="Para 02"/>
      </w:pPr>
      <w:r>
        <w:t>allow</w:t>
        <w:t>-</w:t>
        <w:t>transfer {</w:t>
        <w:t xml:space="preserve"> </w:t>
        <w:t>192.168.1.11</w:t>
        <w:t>; };</w:t>
      </w:r>
    </w:p>
    <w:p>
      <w:pPr>
        <w:pStyle w:val="Para 02"/>
      </w:pPr>
      <w:r>
        <w:t>also</w:t>
        <w:t>-</w:t>
        <w:t>notify {</w:t>
        <w:t xml:space="preserve"> </w:t>
        <w:t>192.168.1.11</w:t>
        <w:t>; };</w:t>
      </w:r>
    </w:p>
    <w:p>
      <w:pPr>
        <w:pStyle w:val="Normal"/>
      </w:pPr>
      <w:r>
        <w:t>};</w:t>
      </w:r>
    </w:p>
    <w:p>
      <w:pPr>
        <w:pStyle w:val="Para 17"/>
      </w:pPr>
      <w:r>
        <w:t/>
      </w:r>
    </w:p>
    <w:p>
      <w:pPr>
        <w:pStyle w:val="Para 08"/>
      </w:pPr>
      <w:r>
        <w:t>Note:</w:t>
      </w:r>
    </w:p>
    <w:p>
      <w:pPr>
        <w:pStyle w:val="Para 03"/>
      </w:pPr>
      <w:r>
        <w:t>The default directory for non-authoritative zone files is /var/cache/bind/. This directory</w:t>
      </w:r>
    </w:p>
    <w:p>
      <w:pPr>
        <w:pStyle w:val="Para 03"/>
      </w:pPr>
      <w:r>
        <w:t>is also configured in AppArmor to allow the named daemon to write to it. See this page</w:t>
      </w:r>
    </w:p>
    <w:p>
      <w:pPr>
        <w:pStyle w:val="Para 43"/>
      </w:pPr>
      <w:r>
        <w:rPr>
          <w:rStyle w:val="Text4"/>
        </w:rPr>
        <w:t xml:space="preserve">for </w:t>
      </w:r>
      <w:hyperlink w:anchor="page_128">
        <w:r>
          <w:t>more information on AppArmor</w:t>
        </w:r>
      </w:hyperlink>
      <w:r>
        <w:rPr>
          <w:rStyle w:val="Text4"/>
        </w:rPr>
        <w:t xml:space="preserve"> (page 127).</w:t>
      </w:r>
    </w:p>
    <w:p>
      <w:bookmarkStart w:id="350" w:name="calibre_pb_52"/>
      <w:pPr>
        <w:pStyle w:val="0 Block"/>
      </w:pPr>
      <w:bookmarkEnd w:id="350"/>
    </w:p>
    <w:p>
      <w:bookmarkStart w:id="351" w:name="page_246"/>
      <w:bookmarkStart w:id="352" w:name="Top_of_index_split_05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1" name="index-246_1.png" descr="index-246_1.png"/>
            <wp:cNvGraphicFramePr>
              <a:graphicFrameLocks noChangeAspect="1"/>
            </wp:cNvGraphicFramePr>
            <a:graphic>
              <a:graphicData uri="http://schemas.openxmlformats.org/drawingml/2006/picture">
                <pic:pic>
                  <pic:nvPicPr>
                    <pic:cNvPr id="0" name="index-246_1.png" descr="index-246_1.png"/>
                    <pic:cNvPicPr/>
                  </pic:nvPicPr>
                  <pic:blipFill>
                    <a:blip r:embed="rId255"/>
                    <a:stretch>
                      <a:fillRect/>
                    </a:stretch>
                  </pic:blipFill>
                  <pic:spPr>
                    <a:xfrm>
                      <a:off x="0" y="0"/>
                      <a:ext cx="914400" cy="266700"/>
                    </a:xfrm>
                    <a:prstGeom prst="rect">
                      <a:avLst/>
                    </a:prstGeom>
                  </pic:spPr>
                </pic:pic>
              </a:graphicData>
            </a:graphic>
          </wp:anchor>
        </w:drawing>
      </w:r>
      <w:bookmarkEnd w:id="351"/>
      <w:bookmarkEnd w:id="352"/>
    </w:p>
    <w:p>
      <w:pPr>
        <w:pStyle w:val="Para 01"/>
      </w:pPr>
      <w:r>
        <w:t>Testing your setup</w:t>
      </w:r>
    </w:p>
    <w:p>
      <w:pPr>
        <w:pStyle w:val="Para 17"/>
      </w:pPr>
      <w:r>
        <w:t/>
      </w:r>
    </w:p>
    <w:p>
      <w:pPr>
        <w:pStyle w:val="Para 01"/>
      </w:pPr>
      <w:r>
        <w:t>resolv.conf</w:t>
      </w:r>
    </w:p>
    <w:p>
      <w:pPr>
        <w:pStyle w:val="Para 17"/>
      </w:pPr>
      <w:r>
        <w:t/>
      </w:r>
    </w:p>
    <w:p>
      <w:pPr>
        <w:pStyle w:val="Normal"/>
      </w:pPr>
      <w:r>
        <w:t xml:space="preserve">The first step in testing BIND9 is to add the nameserver’s IP address to a </w:t>
      </w:r>
      <w:r>
        <w:rPr>
          <w:rStyle w:val="Text0"/>
        </w:rPr>
        <w:t>hosts resolver</w:t>
      </w:r>
      <w:r>
        <w:t>. The Primary nameserver should be configured as well as another host to double check things.</w:t>
      </w:r>
    </w:p>
    <w:p>
      <w:pPr>
        <w:pStyle w:val="Normal"/>
      </w:pPr>
      <w:r>
        <w:t xml:space="preserve">Refer to </w:t>
      </w:r>
      <w:hyperlink w:anchor="page_815">
        <w:r>
          <w:rPr>
            <w:rStyle w:val="Text2"/>
          </w:rPr>
          <w:t>DNS client configuration</w:t>
        </w:r>
      </w:hyperlink>
      <w:r>
        <w:t xml:space="preserve"> (page 814) for details on adding nameserver addresses to your network clients. In the end your nameserver line in /etc/resolv.conf should be pointing at 127.0.0.53 and you should have a search parameter for your domain. Something like this:</w:t>
      </w:r>
    </w:p>
    <w:p>
      <w:pPr>
        <w:pStyle w:val="Normal"/>
      </w:pPr>
      <w:r>
        <w:t>nameserver</w:t>
        <w:t xml:space="preserve"> </w:t>
        <w:t>127.0.0.53</w:t>
      </w:r>
    </w:p>
    <w:p>
      <w:pPr>
        <w:pStyle w:val="Normal"/>
      </w:pPr>
      <w:r>
        <w:t>search example.com</w:t>
      </w:r>
    </w:p>
    <w:p>
      <w:pPr>
        <w:pStyle w:val="Para 17"/>
      </w:pPr>
      <w:r>
        <w:t/>
      </w:r>
    </w:p>
    <w:p>
      <w:pPr>
        <w:pStyle w:val="Normal"/>
      </w:pPr>
      <w:r>
        <w:t>To check which DNS server your local resolver is using, run:</w:t>
      </w:r>
    </w:p>
    <w:p>
      <w:pPr>
        <w:pStyle w:val="Normal"/>
      </w:pPr>
      <w:r>
        <w:t>resolvectl status</w:t>
      </w:r>
    </w:p>
    <w:p>
      <w:pPr>
        <w:pStyle w:val="Para 17"/>
      </w:pPr>
      <w:r>
        <w:t/>
      </w:r>
    </w:p>
    <w:p>
      <w:pPr>
        <w:pStyle w:val="Para 08"/>
      </w:pPr>
      <w:r>
        <w:t>Note:</w:t>
      </w:r>
    </w:p>
    <w:p>
      <w:pPr>
        <w:pStyle w:val="Para 03"/>
      </w:pPr>
      <w:r>
        <w:t>You should also add the IP address of the secondary nameserver to your client configura-</w:t>
      </w:r>
    </w:p>
    <w:p>
      <w:pPr>
        <w:pStyle w:val="Para 03"/>
      </w:pPr>
      <w:r>
        <w:t>tion in case the primary becomes unavailable.</w:t>
      </w:r>
    </w:p>
    <w:p>
      <w:pPr>
        <w:pStyle w:val="Para 17"/>
      </w:pPr>
      <w:r>
        <w:t/>
      </w:r>
    </w:p>
    <w:p>
      <w:pPr>
        <w:pStyle w:val="Para 01"/>
      </w:pPr>
      <w:r>
        <w:t>dig</w:t>
      </w:r>
    </w:p>
    <w:p>
      <w:pPr>
        <w:pStyle w:val="Para 17"/>
      </w:pPr>
      <w:r>
        <w:t/>
      </w:r>
    </w:p>
    <w:p>
      <w:pPr>
        <w:pStyle w:val="Normal"/>
      </w:pPr>
      <w:r>
        <w:t>If you installed the dnsutils package you can test your setup using the DNS lookup utility dig:</w:t>
      </w:r>
    </w:p>
    <w:p>
      <w:pPr>
        <w:pStyle w:val="Normal"/>
      </w:pPr>
      <w:r>
        <w:t>After installing BIND9 use dig against the loopback interface to make sure it is listening on port 53. From a terminal prompt:</w:t>
      </w:r>
    </w:p>
    <w:p>
      <w:pPr>
        <w:pStyle w:val="Normal"/>
      </w:pPr>
      <w:r>
        <w:t>dig -x</w:t>
        <w:t xml:space="preserve"> </w:t>
        <w:t>127</w:t>
        <w:t>.0.0.1</w:t>
      </w:r>
    </w:p>
    <w:p>
      <w:pPr>
        <w:pStyle w:val="Para 17"/>
      </w:pPr>
      <w:r>
        <w:t/>
      </w:r>
    </w:p>
    <w:p>
      <w:pPr>
        <w:pStyle w:val="Normal"/>
      </w:pPr>
      <w:r>
        <w:t>You should see lines similar to the following in the command output:</w:t>
      </w:r>
    </w:p>
    <w:p>
      <w:pPr>
        <w:pStyle w:val="Normal"/>
      </w:pPr>
      <w:r>
        <w:t>;; Query time:</w:t>
        <w:t xml:space="preserve"> </w:t>
        <w:t>1</w:t>
        <w:t xml:space="preserve"> </w:t>
        <w:t>msec</w:t>
      </w:r>
    </w:p>
    <w:p>
      <w:pPr>
        <w:pStyle w:val="Normal"/>
      </w:pPr>
      <w:r>
        <w:t>;; SERVER:</w:t>
        <w:t xml:space="preserve"> </w:t>
        <w:t>192.168.1.10</w:t>
      </w:r>
      <w:r>
        <w:rPr>
          <w:rStyle w:val="Text3"/>
        </w:rPr>
        <w:t>#53(192.168.1.10)</w:t>
      </w:r>
    </w:p>
    <w:p>
      <w:pPr>
        <w:pStyle w:val="Para 17"/>
      </w:pPr>
      <w:r>
        <w:t/>
      </w:r>
    </w:p>
    <w:p>
      <w:pPr>
        <w:pStyle w:val="Normal"/>
      </w:pPr>
      <w:r>
        <w:t>If you have configured BIND9 as a caching nameserver, “dig” an outside domain to check the query time:</w:t>
      </w:r>
    </w:p>
    <w:p>
      <w:pPr>
        <w:pStyle w:val="Normal"/>
      </w:pPr>
      <w:r>
        <w:t>dig ubuntu.com</w:t>
      </w:r>
    </w:p>
    <w:p>
      <w:pPr>
        <w:pStyle w:val="Para 17"/>
      </w:pPr>
      <w:r>
        <w:t/>
      </w:r>
    </w:p>
    <w:p>
      <w:pPr>
        <w:pStyle w:val="Normal"/>
      </w:pPr>
      <w:r>
        <w:t>Note the query time toward the end of the command output:</w:t>
      </w:r>
    </w:p>
    <w:p>
      <w:pPr>
        <w:pStyle w:val="Normal"/>
      </w:pPr>
      <w:r>
        <w:t>;; Query time:</w:t>
        <w:t xml:space="preserve"> </w:t>
        <w:t>49</w:t>
        <w:t xml:space="preserve"> </w:t>
        <w:t>msec</w:t>
      </w:r>
    </w:p>
    <w:p>
      <w:pPr>
        <w:pStyle w:val="Para 17"/>
      </w:pPr>
      <w:r>
        <w:t/>
      </w:r>
    </w:p>
    <w:p>
      <w:pPr>
        <w:pStyle w:val="Normal"/>
      </w:pPr>
      <w:r>
        <w:t>After a second dig there should be improvement:</w:t>
      </w:r>
    </w:p>
    <w:p>
      <w:pPr>
        <w:pStyle w:val="Normal"/>
      </w:pPr>
      <w:r>
        <w:t>;; Query time:</w:t>
        <w:t xml:space="preserve"> </w:t>
        <w:t>1</w:t>
        <w:t xml:space="preserve"> </w:t>
        <w:t>msec</w:t>
      </w:r>
    </w:p>
    <w:p>
      <w:bookmarkStart w:id="353" w:name="page_2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2" name="index-247_1.png" descr="index-247_1.png"/>
            <wp:cNvGraphicFramePr>
              <a:graphicFrameLocks noChangeAspect="1"/>
            </wp:cNvGraphicFramePr>
            <a:graphic>
              <a:graphicData uri="http://schemas.openxmlformats.org/drawingml/2006/picture">
                <pic:pic>
                  <pic:nvPicPr>
                    <pic:cNvPr id="0" name="index-247_1.png" descr="index-247_1.png"/>
                    <pic:cNvPicPr/>
                  </pic:nvPicPr>
                  <pic:blipFill>
                    <a:blip r:embed="rId256"/>
                    <a:stretch>
                      <a:fillRect/>
                    </a:stretch>
                  </pic:blipFill>
                  <pic:spPr>
                    <a:xfrm>
                      <a:off x="0" y="0"/>
                      <a:ext cx="914400" cy="266700"/>
                    </a:xfrm>
                    <a:prstGeom prst="rect">
                      <a:avLst/>
                    </a:prstGeom>
                  </pic:spPr>
                </pic:pic>
              </a:graphicData>
            </a:graphic>
          </wp:anchor>
        </w:drawing>
      </w:r>
      <w:bookmarkEnd w:id="353"/>
    </w:p>
    <w:p>
      <w:pPr>
        <w:pStyle w:val="Para 01"/>
      </w:pPr>
      <w:r>
        <w:t>ping</w:t>
      </w:r>
    </w:p>
    <w:p>
      <w:pPr>
        <w:pStyle w:val="Para 17"/>
      </w:pPr>
      <w:r>
        <w:t/>
      </w:r>
    </w:p>
    <w:p>
      <w:pPr>
        <w:pStyle w:val="Normal"/>
      </w:pPr>
      <w:r>
        <w:t>Now let’s demonstrate how applications make use of DNS to resolve a host name, by using the ping utility to send an ICMP echo request:</w:t>
      </w:r>
    </w:p>
    <w:p>
      <w:pPr>
        <w:pStyle w:val="Normal"/>
      </w:pPr>
      <w:r>
        <w:t>ping example.com</w:t>
      </w:r>
    </w:p>
    <w:p>
      <w:pPr>
        <w:pStyle w:val="Para 17"/>
      </w:pPr>
      <w:r>
        <w:t/>
      </w:r>
    </w:p>
    <w:p>
      <w:pPr>
        <w:pStyle w:val="Normal"/>
      </w:pPr>
      <w:r>
        <w:t>This tests if the nameserver can resolve the name ns.example.com to an IP address. The com-mand output should resemble:</w:t>
      </w:r>
    </w:p>
    <w:p>
      <w:pPr>
        <w:pStyle w:val="Normal"/>
      </w:pPr>
      <w:r>
        <w:t>PING ns</w:t>
        <w:t>.</w:t>
        <w:t>example</w:t>
        <w:t>.</w:t>
        <w:t>com (</w:t>
        <w:t>192.168.1.10</w:t>
        <w:t>)</w:t>
        <w:t xml:space="preserve"> </w:t>
        <w:t>56</w:t>
        <w:t>(</w:t>
        <w:t>84</w:t>
        <w:t>)</w:t>
        <w:t xml:space="preserve"> </w:t>
        <w:t>bytes</w:t>
        <w:t xml:space="preserve"> </w:t>
        <w:t>of data</w:t>
        <w:t>.</w:t>
        <w:t xml:space="preserve"> </w:t>
        <w:t>64</w:t>
        <w:t xml:space="preserve"> </w:t>
        <w:t>bytes</w:t>
        <w:t xml:space="preserve"> </w:t>
      </w:r>
      <w:r>
        <w:rPr>
          <w:rStyle w:val="Text0"/>
        </w:rPr>
        <w:t>from</w:t>
      </w:r>
      <w:r>
        <w:t xml:space="preserve"> </w:t>
        <w:t>192.168.1.10</w:t>
        <w:t>: icmp_seq</w:t>
        <w:t>=</w:t>
        <w:t>1</w:t>
        <w:t xml:space="preserve"> </w:t>
        <w:t>ttl</w:t>
        <w:t>=</w:t>
        <w:t>64</w:t>
        <w:t xml:space="preserve"> </w:t>
        <w:t>time</w:t>
        <w:t>=</w:t>
        <w:t>0.800</w:t>
        <w:t xml:space="preserve"> </w:t>
        <w:t>ms</w:t>
        <w:t xml:space="preserve"> </w:t>
        <w:t>64</w:t>
        <w:t xml:space="preserve"> </w:t>
        <w:t>bytes</w:t>
        <w:t xml:space="preserve"> </w:t>
      </w:r>
      <w:r>
        <w:rPr>
          <w:rStyle w:val="Text0"/>
        </w:rPr>
        <w:t>from</w:t>
      </w:r>
      <w:r>
        <w:t xml:space="preserve"> </w:t>
        <w:t>192.168.1.10</w:t>
        <w:t>: icmp_seq</w:t>
        <w:t>=</w:t>
        <w:t>2</w:t>
        <w:t xml:space="preserve"> </w:t>
        <w:t>ttl</w:t>
        <w:t>=</w:t>
        <w:t>64</w:t>
        <w:t xml:space="preserve"> </w:t>
        <w:t>time</w:t>
        <w:t>=</w:t>
        <w:t>0.813</w:t>
        <w:t xml:space="preserve"> </w:t>
        <w:t>ms</w:t>
      </w:r>
    </w:p>
    <w:p>
      <w:pPr>
        <w:pStyle w:val="Para 17"/>
      </w:pPr>
      <w:r>
        <w:t/>
      </w:r>
    </w:p>
    <w:p>
      <w:pPr>
        <w:pStyle w:val="Para 01"/>
      </w:pPr>
      <w:r>
        <w:t>named-checkzone</w:t>
      </w:r>
    </w:p>
    <w:p>
      <w:pPr>
        <w:pStyle w:val="Para 17"/>
      </w:pPr>
      <w:r>
        <w:t/>
      </w:r>
    </w:p>
    <w:p>
      <w:pPr>
        <w:pStyle w:val="Normal"/>
      </w:pPr>
      <w:r>
        <w:t>A great way to test your zone files is by using the named-checkzone utility installed with the bind9 package. This utility allows you to make sure the configuration is correct before restart-ing BIND9 and making the changes live.</w:t>
      </w:r>
    </w:p>
    <w:p>
      <w:pPr>
        <w:pStyle w:val="Normal"/>
      </w:pPr>
      <w:r>
        <w:t>To test our example forward zone file, enter the following from a command prompt:</w:t>
      </w:r>
    </w:p>
    <w:p>
      <w:pPr>
        <w:pStyle w:val="Normal"/>
      </w:pPr>
      <w:r>
        <w:t>named-checkzone example.com /etc/bind/db.example.com</w:t>
      </w:r>
    </w:p>
    <w:p>
      <w:pPr>
        <w:pStyle w:val="Para 17"/>
      </w:pPr>
      <w:r>
        <w:t/>
      </w:r>
    </w:p>
    <w:p>
      <w:pPr>
        <w:pStyle w:val="Normal"/>
      </w:pPr>
      <w:r>
        <w:t>If everything is configured correctly you should see output similar to:</w:t>
      </w:r>
    </w:p>
    <w:p>
      <w:pPr>
        <w:pStyle w:val="Normal"/>
      </w:pPr>
      <w:r>
        <w:t>zone example</w:t>
        <w:t>.</w:t>
        <w:t>com</w:t>
        <w:t>/</w:t>
        <w:t>IN: loaded serial</w:t>
        <w:t xml:space="preserve"> </w:t>
        <w:t>6</w:t>
      </w:r>
    </w:p>
    <w:p>
      <w:pPr>
        <w:pStyle w:val="Normal"/>
      </w:pPr>
      <w:r>
        <w:t>OK</w:t>
      </w:r>
    </w:p>
    <w:p>
      <w:pPr>
        <w:pStyle w:val="Para 17"/>
      </w:pPr>
      <w:r>
        <w:t/>
      </w:r>
    </w:p>
    <w:p>
      <w:pPr>
        <w:pStyle w:val="Normal"/>
      </w:pPr>
      <w:r>
        <w:t>Similarly, to test the reverse zone file enter the following:</w:t>
      </w:r>
    </w:p>
    <w:p>
      <w:pPr>
        <w:pStyle w:val="Normal"/>
      </w:pPr>
      <w:r>
        <w:t>named</w:t>
        <w:t>-</w:t>
        <w:t>checkzone</w:t>
        <w:t xml:space="preserve"> </w:t>
        <w:t>1.168.192</w:t>
        <w:t>.</w:t>
      </w:r>
      <w:r>
        <w:rPr>
          <w:rStyle w:val="Text0"/>
        </w:rPr>
        <w:t>in</w:t>
      </w:r>
      <w:r>
        <w:t>-</w:t>
        <w:t>addr</w:t>
        <w:t>.</w:t>
        <w:t>arpa</w:t>
        <w:t xml:space="preserve"> </w:t>
        <w:t>/</w:t>
        <w:t>etc</w:t>
        <w:t>/</w:t>
        <w:t>bind</w:t>
        <w:t>/</w:t>
        <w:t>db</w:t>
        <w:t>.192</w:t>
      </w:r>
    </w:p>
    <w:p>
      <w:pPr>
        <w:pStyle w:val="Para 17"/>
      </w:pPr>
      <w:r>
        <w:t/>
      </w:r>
    </w:p>
    <w:p>
      <w:pPr>
        <w:pStyle w:val="Normal"/>
      </w:pPr>
      <w:r>
        <w:t>The output should be similar to:</w:t>
      </w:r>
    </w:p>
    <w:p>
      <w:pPr>
        <w:pStyle w:val="Normal"/>
      </w:pPr>
      <w:r>
        <w:t>zone</w:t>
        <w:t xml:space="preserve"> </w:t>
        <w:t>1.168.192</w:t>
        <w:t>.</w:t>
      </w:r>
      <w:r>
        <w:rPr>
          <w:rStyle w:val="Text0"/>
        </w:rPr>
        <w:t>in</w:t>
      </w:r>
      <w:r>
        <w:t>-</w:t>
        <w:t>addr</w:t>
        <w:t>.</w:t>
        <w:t>arpa</w:t>
        <w:t>/</w:t>
        <w:t>IN: loaded serial</w:t>
        <w:t xml:space="preserve"> </w:t>
        <w:t>3</w:t>
        <w:t xml:space="preserve"> </w:t>
        <w:t>OK</w:t>
      </w:r>
    </w:p>
    <w:p>
      <w:pPr>
        <w:pStyle w:val="Para 17"/>
      </w:pPr>
      <w:r>
        <w:t/>
      </w:r>
    </w:p>
    <w:p>
      <w:pPr>
        <w:pStyle w:val="Para 08"/>
      </w:pPr>
      <w:r>
        <w:t>Note:</w:t>
      </w:r>
    </w:p>
    <w:p>
      <w:pPr>
        <w:pStyle w:val="Para 03"/>
      </w:pPr>
      <w:r>
        <w:t>The Serial Number of your zone file will probably be different.</w:t>
      </w:r>
    </w:p>
    <w:p>
      <w:pPr>
        <w:pStyle w:val="Para 17"/>
      </w:pPr>
      <w:r>
        <w:t/>
      </w:r>
    </w:p>
    <w:p>
      <w:pPr>
        <w:pStyle w:val="Para 01"/>
      </w:pPr>
      <w:r>
        <w:t>Quick temporary query logging</w:t>
      </w:r>
    </w:p>
    <w:p>
      <w:pPr>
        <w:pStyle w:val="Para 17"/>
      </w:pPr>
      <w:r>
        <w:t/>
      </w:r>
    </w:p>
    <w:p>
      <w:pPr>
        <w:pStyle w:val="Normal"/>
      </w:pPr>
      <w:r>
        <w:t>With the rndc tool, you can quickly turn query logging on and off, without restarting the service or changing the configuration file.</w:t>
      </w:r>
    </w:p>
    <w:p>
      <w:pPr>
        <w:pStyle w:val="Normal"/>
      </w:pPr>
      <w:r>
        <w:t>To turn query logging on, run:</w:t>
      </w:r>
    </w:p>
    <w:p>
      <w:pPr>
        <w:pStyle w:val="Normal"/>
      </w:pPr>
      <w:r>
        <w:t>sudo rndc querylog on</w:t>
      </w:r>
    </w:p>
    <w:p>
      <w:pPr>
        <w:pStyle w:val="Para 17"/>
      </w:pPr>
      <w:r>
        <w:t/>
      </w:r>
    </w:p>
    <w:p>
      <w:pPr>
        <w:pStyle w:val="Normal"/>
      </w:pPr>
      <w:r>
        <w:t>Likewise, to turn it off, run:</w:t>
      </w:r>
    </w:p>
    <w:p>
      <w:bookmarkStart w:id="354" w:name="page_2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3" name="index-248_1.png" descr="index-248_1.png"/>
            <wp:cNvGraphicFramePr>
              <a:graphicFrameLocks noChangeAspect="1"/>
            </wp:cNvGraphicFramePr>
            <a:graphic>
              <a:graphicData uri="http://schemas.openxmlformats.org/drawingml/2006/picture">
                <pic:pic>
                  <pic:nvPicPr>
                    <pic:cNvPr id="0" name="index-248_1.png" descr="index-248_1.png"/>
                    <pic:cNvPicPr/>
                  </pic:nvPicPr>
                  <pic:blipFill>
                    <a:blip r:embed="rId257"/>
                    <a:stretch>
                      <a:fillRect/>
                    </a:stretch>
                  </pic:blipFill>
                  <pic:spPr>
                    <a:xfrm>
                      <a:off x="0" y="0"/>
                      <a:ext cx="914400" cy="266700"/>
                    </a:xfrm>
                    <a:prstGeom prst="rect">
                      <a:avLst/>
                    </a:prstGeom>
                  </pic:spPr>
                </pic:pic>
              </a:graphicData>
            </a:graphic>
          </wp:anchor>
        </w:drawing>
      </w:r>
      <w:bookmarkEnd w:id="354"/>
    </w:p>
    <w:p>
      <w:pPr>
        <w:pStyle w:val="Normal"/>
      </w:pPr>
      <w:r>
        <w:t>sudo rndc querylog off</w:t>
      </w:r>
    </w:p>
    <w:p>
      <w:pPr>
        <w:pStyle w:val="Para 17"/>
      </w:pPr>
      <w:r>
        <w:t/>
      </w:r>
    </w:p>
    <w:p>
      <w:pPr>
        <w:pStyle w:val="Normal"/>
      </w:pPr>
      <w:r>
        <w:t>The logs will be sent to syslog and will show up in /var/log/syslog by default:</w:t>
      </w:r>
    </w:p>
    <w:p>
      <w:pPr>
        <w:pStyle w:val="Normal"/>
      </w:pPr>
      <w:r>
        <w:t>Jan</w:t>
        <w:t xml:space="preserve"> </w:t>
        <w:t>20 19</w:t>
        <w:t>:</w:t>
        <w:t>40</w:t>
        <w:t>:</w:t>
        <w:t>50</w:t>
        <w:t xml:space="preserve"> </w:t>
        <w:t>new</w:t>
        <w:t>-</w:t>
        <w:t>n1 named[</w:t>
        <w:t>816</w:t>
        <w:t>]: received control channel command</w:t>
        <w:t xml:space="preserve"> </w:t>
        <w:t>'querylog on'</w:t>
        <w:t xml:space="preserve"> </w:t>
        <w:t>Jan</w:t>
        <w:t xml:space="preserve"> </w:t>
        <w:t>20 19</w:t>
        <w:t>:</w:t>
        <w:t>40</w:t>
        <w:t>:</w:t>
        <w:t>50</w:t>
        <w:t xml:space="preserve"> </w:t>
        <w:t>new</w:t>
        <w:t>-</w:t>
        <w:t>n1 named[</w:t>
        <w:t>816</w:t>
        <w:t>]: query logging</w:t>
        <w:t xml:space="preserve"> </w:t>
      </w:r>
      <w:r>
        <w:rPr>
          <w:rStyle w:val="Text0"/>
        </w:rPr>
        <w:t>is</w:t>
      </w:r>
      <w:r>
        <w:t xml:space="preserve"> </w:t>
        <w:t>now on</w:t>
        <w:t xml:space="preserve"> </w:t>
        <w:t>Jan</w:t>
        <w:t xml:space="preserve"> </w:t>
        <w:t>20 19</w:t>
        <w:t>:</w:t>
        <w:t>40</w:t>
        <w:t>:</w:t>
        <w:t>57</w:t>
        <w:t xml:space="preserve"> </w:t>
        <w:t>new</w:t>
        <w:t>-</w:t>
        <w:t>n1 named[</w:t>
        <w:t>816</w:t>
        <w:t>]: client</w:t>
        <w:t xml:space="preserve"> </w:t>
        <w:t>@</w:t>
        <w:t>0x7f48ec101480 192.168.1.10</w:t>
      </w:r>
      <w:r>
        <w:rPr>
          <w:rStyle w:val="Text3"/>
        </w:rPr>
        <w:t>#36139 (ubuntu.com):</w:t>
      </w:r>
      <w:r>
        <w:t xml:space="preserve"> </w:t>
      </w:r>
      <w:r>
        <w:rPr>
          <w:rStyle w:val="Text3"/>
        </w:rPr>
        <w:t>query: ubuntu.com IN A +E(0)K (192.168.1.10)</w:t>
      </w:r>
    </w:p>
    <w:p>
      <w:pPr>
        <w:pStyle w:val="Para 17"/>
      </w:pPr>
      <w:r>
        <w:t/>
      </w:r>
    </w:p>
    <w:p>
      <w:pPr>
        <w:pStyle w:val="Para 08"/>
      </w:pPr>
      <w:r>
        <w:t>Note:</w:t>
      </w:r>
    </w:p>
    <w:p>
      <w:pPr>
        <w:pStyle w:val="Para 03"/>
      </w:pPr>
      <w:r>
        <w:t>The amount of logs generated by enabling querylog could be huge!</w:t>
      </w:r>
    </w:p>
    <w:p>
      <w:pPr>
        <w:pStyle w:val="Para 17"/>
      </w:pPr>
      <w:r>
        <w:t/>
      </w:r>
    </w:p>
    <w:p>
      <w:pPr>
        <w:pStyle w:val="Para 01"/>
      </w:pPr>
      <w:r>
        <w:t>Logging</w:t>
      </w:r>
    </w:p>
    <w:p>
      <w:pPr>
        <w:pStyle w:val="Para 17"/>
      </w:pPr>
      <w:r>
        <w:t/>
      </w:r>
    </w:p>
    <w:p>
      <w:pPr>
        <w:pStyle w:val="Normal"/>
      </w:pPr>
      <w:r>
        <w:t xml:space="preserve">BIND9 has a wide variety of logging configuration options available, but the two main ones are </w:t>
      </w:r>
      <w:r>
        <w:rPr>
          <w:rStyle w:val="Text0"/>
        </w:rPr>
        <w:t>channel</w:t>
      </w:r>
      <w:r>
        <w:t xml:space="preserve"> and </w:t>
      </w:r>
      <w:r>
        <w:rPr>
          <w:rStyle w:val="Text0"/>
        </w:rPr>
        <w:t>category</w:t>
      </w:r>
      <w:r>
        <w:t>, which configure where logs go, and what information gets logged, respectively.</w:t>
      </w:r>
    </w:p>
    <w:p>
      <w:pPr>
        <w:pStyle w:val="Normal"/>
      </w:pPr>
      <w:r>
        <w:t>If no logging options are configured the default configuration is:</w:t>
      </w:r>
    </w:p>
    <w:p>
      <w:pPr>
        <w:pStyle w:val="Normal"/>
      </w:pPr>
      <w:r>
        <w:t>logging {</w:t>
      </w:r>
    </w:p>
    <w:p>
      <w:pPr>
        <w:pStyle w:val="Para 02"/>
      </w:pPr>
      <w:r>
        <w:t>category default { default_syslog; default_debug; };</w:t>
      </w:r>
    </w:p>
    <w:p>
      <w:pPr>
        <w:pStyle w:val="Para 02"/>
      </w:pPr>
      <w:r>
        <w:t>category unmatched { null; };</w:t>
      </w:r>
    </w:p>
    <w:p>
      <w:pPr>
        <w:pStyle w:val="Normal"/>
      </w:pPr>
      <w:r>
        <w:t>};</w:t>
      </w:r>
    </w:p>
    <w:p>
      <w:pPr>
        <w:pStyle w:val="Para 17"/>
      </w:pPr>
      <w:r>
        <w:t/>
      </w:r>
    </w:p>
    <w:p>
      <w:pPr>
        <w:pStyle w:val="Normal"/>
      </w:pPr>
      <w:r>
        <w:t xml:space="preserve">Let’s instead configure BIND9 to send </w:t>
      </w:r>
      <w:r>
        <w:rPr>
          <w:rStyle w:val="Text0"/>
        </w:rPr>
        <w:t>debug</w:t>
      </w:r>
      <w:r>
        <w:t xml:space="preserve"> messages related to DNS queries to a separate file.</w:t>
      </w:r>
    </w:p>
    <w:p>
      <w:pPr>
        <w:pStyle w:val="Normal"/>
      </w:pPr>
      <w:r>
        <w:t xml:space="preserve">We need to configure a </w:t>
      </w:r>
      <w:r>
        <w:rPr>
          <w:rStyle w:val="Text0"/>
        </w:rPr>
        <w:t>channel</w:t>
      </w:r>
      <w:r>
        <w:t xml:space="preserve"> to specify which file to send the messages to, and a </w:t>
      </w:r>
      <w:r>
        <w:rPr>
          <w:rStyle w:val="Text0"/>
        </w:rPr>
        <w:t>category</w:t>
      </w:r>
      <w:r>
        <w:t>. In this example, the category will log all queries. Edit /etc/bind/named.conf.local and add the following:</w:t>
      </w:r>
    </w:p>
    <w:p>
      <w:pPr>
        <w:pStyle w:val="Normal"/>
      </w:pPr>
      <w:r>
        <w:t>logging {</w:t>
      </w:r>
    </w:p>
    <w:p>
      <w:pPr>
        <w:pStyle w:val="Para 02"/>
      </w:pPr>
      <w:r>
        <w:t>channel query</w:t>
        <w:t>.</w:t>
        <w:t>log {</w:t>
      </w:r>
    </w:p>
    <w:p>
      <w:pPr>
        <w:pStyle w:val="Para 06"/>
      </w:pPr>
      <w:r>
        <w:t>file</w:t>
        <w:t xml:space="preserve"> </w:t>
        <w:t>"/var/log/named/query.log"</w:t>
        <w:t>;</w:t>
        <w:t xml:space="preserve"> </w:t>
        <w:t>severity debug</w:t>
        <w:t xml:space="preserve"> </w:t>
        <w:t>3</w:t>
        <w:t>;</w:t>
      </w:r>
    </w:p>
    <w:p>
      <w:pPr>
        <w:pStyle w:val="Para 02"/>
      </w:pPr>
      <w:r>
        <w:t>};</w:t>
      </w:r>
    </w:p>
    <w:p>
      <w:pPr>
        <w:pStyle w:val="Para 02"/>
      </w:pPr>
      <w:r>
        <w:t>category queries { query</w:t>
        <w:t>.</w:t>
        <w:t>log; };</w:t>
      </w:r>
    </w:p>
    <w:p>
      <w:pPr>
        <w:pStyle w:val="Normal"/>
      </w:pPr>
      <w:r>
        <w:t>};</w:t>
      </w:r>
    </w:p>
    <w:p>
      <w:pPr>
        <w:pStyle w:val="Para 17"/>
      </w:pPr>
      <w:r>
        <w:t/>
      </w:r>
    </w:p>
    <w:p>
      <w:pPr>
        <w:pStyle w:val="Para 08"/>
      </w:pPr>
      <w:r>
        <w:t>Note:</w:t>
      </w:r>
    </w:p>
    <w:p>
      <w:pPr>
        <w:pStyle w:val="Para 03"/>
      </w:pPr>
      <w:r>
        <w:t>The debug option can be set from 1 to 3. If a level isn’t specified, level 1 is the default.</w:t>
      </w:r>
    </w:p>
    <w:p>
      <w:pPr>
        <w:pStyle w:val="Para 17"/>
      </w:pPr>
      <w:r>
        <w:t/>
      </w:r>
    </w:p>
    <w:p>
      <w:pPr>
        <w:pStyle w:val="Normal"/>
      </w:pPr>
      <w:r>
        <w:t xml:space="preserve">Since the </w:t>
      </w:r>
      <w:r>
        <w:rPr>
          <w:rStyle w:val="Text0"/>
        </w:rPr>
        <w:t>named daemon</w:t>
      </w:r>
      <w:r>
        <w:t xml:space="preserve"> runs as the bind user, the /var/log/named directory must be created and the ownership changed:</w:t>
      </w:r>
    </w:p>
    <w:p>
      <w:pPr>
        <w:pStyle w:val="Normal"/>
      </w:pPr>
      <w:r>
        <w:t>sudo mkdir /var/log/named</w:t>
      </w:r>
    </w:p>
    <w:p>
      <w:pPr>
        <w:pStyle w:val="Normal"/>
      </w:pPr>
      <w:r>
        <w:t>sudo chown bind:bind /var/log/named</w:t>
      </w:r>
    </w:p>
    <w:p>
      <w:pPr>
        <w:pStyle w:val="Para 17"/>
      </w:pPr>
      <w:r>
        <w:t/>
      </w:r>
    </w:p>
    <w:p>
      <w:pPr>
        <w:pStyle w:val="Normal"/>
      </w:pPr>
      <w:r>
        <w:t>Now restart BIND9 for the changes to take effect:</w:t>
      </w:r>
    </w:p>
    <w:p>
      <w:bookmarkStart w:id="355" w:name="page_2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4" name="index-249_1.png" descr="index-249_1.png"/>
            <wp:cNvGraphicFramePr>
              <a:graphicFrameLocks noChangeAspect="1"/>
            </wp:cNvGraphicFramePr>
            <a:graphic>
              <a:graphicData uri="http://schemas.openxmlformats.org/drawingml/2006/picture">
                <pic:pic>
                  <pic:nvPicPr>
                    <pic:cNvPr id="0" name="index-249_1.png" descr="index-249_1.png"/>
                    <pic:cNvPicPr/>
                  </pic:nvPicPr>
                  <pic:blipFill>
                    <a:blip r:embed="rId258"/>
                    <a:stretch>
                      <a:fillRect/>
                    </a:stretch>
                  </pic:blipFill>
                  <pic:spPr>
                    <a:xfrm>
                      <a:off x="0" y="0"/>
                      <a:ext cx="914400" cy="266700"/>
                    </a:xfrm>
                    <a:prstGeom prst="rect">
                      <a:avLst/>
                    </a:prstGeom>
                  </pic:spPr>
                </pic:pic>
              </a:graphicData>
            </a:graphic>
          </wp:anchor>
        </w:drawing>
      </w:r>
      <w:bookmarkEnd w:id="355"/>
    </w:p>
    <w:p>
      <w:pPr>
        <w:pStyle w:val="Normal"/>
      </w:pPr>
      <w:r>
        <w:t>sudo systemctl restart bind9.service</w:t>
      </w:r>
    </w:p>
    <w:p>
      <w:pPr>
        <w:pStyle w:val="Para 17"/>
      </w:pPr>
      <w:r>
        <w:t/>
      </w:r>
    </w:p>
    <w:p>
      <w:pPr>
        <w:pStyle w:val="Normal"/>
      </w:pPr>
      <w:r>
        <w:t>You should see the file /var/log/named/query.log fill with query information. This is a simple example of the BIND9 logging options. For coverage of advanced options see the “Further Reading” section at the bottom of this page.</w:t>
      </w:r>
    </w:p>
    <w:p>
      <w:pPr>
        <w:pStyle w:val="Para 17"/>
      </w:pPr>
      <w:r>
        <w:t/>
      </w:r>
    </w:p>
    <w:p>
      <w:pPr>
        <w:pStyle w:val="Para 01"/>
      </w:pPr>
      <w:r>
        <w:t>Common record types</w:t>
      </w:r>
    </w:p>
    <w:p>
      <w:pPr>
        <w:pStyle w:val="Para 17"/>
      </w:pPr>
      <w:r>
        <w:t/>
      </w:r>
    </w:p>
    <w:p>
      <w:pPr>
        <w:pStyle w:val="Normal"/>
      </w:pPr>
      <w:r>
        <w:t>This section covers some of the most common DNS record types.</w:t>
      </w:r>
    </w:p>
    <w:p>
      <w:pPr>
        <w:pStyle w:val="Para 04"/>
      </w:pPr>
      <w:r>
        <w:t xml:space="preserve">• </w:t>
      </w:r>
      <w:r>
        <w:rPr>
          <w:rStyle w:val="Text0"/>
        </w:rPr>
        <w:t>A record</w:t>
      </w:r>
      <w:r>
        <w:t xml:space="preserve"> This record maps an IP address to a </w:t>
      </w:r>
      <w:hyperlink w:anchor="page_688">
        <w:r>
          <w:rPr>
            <w:rStyle w:val="Text2"/>
          </w:rPr>
          <w:t>hostname</w:t>
        </w:r>
      </w:hyperlink>
      <w:r>
        <w:t>.</w:t>
      </w:r>
    </w:p>
    <w:p>
      <w:pPr>
        <w:pStyle w:val="Para 02"/>
      </w:pPr>
      <w:r>
        <w:t>www</w:t>
        <w:t xml:space="preserve"> </w:t>
        <w:t>IN</w:t>
        <w:t xml:space="preserve"> </w:t>
        <w:t>A</w:t>
        <w:t xml:space="preserve"> </w:t>
        <w:t>192.168.1.12</w:t>
      </w:r>
    </w:p>
    <w:p>
      <w:pPr>
        <w:pStyle w:val="Para 17"/>
      </w:pPr>
      <w:r>
        <w:t/>
      </w:r>
    </w:p>
    <w:p>
      <w:pPr>
        <w:pStyle w:val="Para 04"/>
      </w:pPr>
      <w:r>
        <w:t xml:space="preserve">• </w:t>
      </w:r>
      <w:r>
        <w:rPr>
          <w:rStyle w:val="Text0"/>
        </w:rPr>
        <w:t>CNAME record</w:t>
      </w:r>
      <w:r>
        <w:t xml:space="preserve"> Used to create an alias to an existing A record. You cannot create a CNAME</w:t>
      </w:r>
    </w:p>
    <w:p>
      <w:pPr>
        <w:pStyle w:val="Para 02"/>
      </w:pPr>
      <w:r>
        <w:t>record pointing to another CNAME record.</w:t>
      </w:r>
    </w:p>
    <w:p>
      <w:pPr>
        <w:pStyle w:val="Para 02"/>
      </w:pPr>
      <w:r>
        <w:t>web</w:t>
        <w:t xml:space="preserve"> </w:t>
        <w:t>IN</w:t>
        <w:t xml:space="preserve"> </w:t>
        <w:t>CNAME</w:t>
        <w:t xml:space="preserve"> </w:t>
        <w:t>www</w:t>
      </w:r>
    </w:p>
    <w:p>
      <w:pPr>
        <w:pStyle w:val="Para 17"/>
      </w:pPr>
      <w:r>
        <w:t/>
      </w:r>
    </w:p>
    <w:p>
      <w:pPr>
        <w:pStyle w:val="Para 04"/>
      </w:pPr>
      <w:r>
        <w:t xml:space="preserve">• </w:t>
      </w:r>
      <w:r>
        <w:rPr>
          <w:rStyle w:val="Text0"/>
        </w:rPr>
        <w:t>MX record</w:t>
      </w:r>
      <w:r>
        <w:t xml:space="preserve"> Used to define where emails should be sent to. Must point to an A record, not</w:t>
      </w:r>
    </w:p>
    <w:p>
      <w:pPr>
        <w:pStyle w:val="Para 02"/>
      </w:pPr>
      <w:r>
        <w:t>a CNAME.</w:t>
      </w:r>
    </w:p>
    <w:p>
      <w:pPr>
        <w:pStyle w:val="Para 02"/>
      </w:pPr>
      <w:r>
        <w:t>@</w:t>
        <w:t xml:space="preserve"> </w:t>
        <w:t>IN</w:t>
        <w:t xml:space="preserve"> </w:t>
        <w:t>MX</w:t>
        <w:t xml:space="preserve"> </w:t>
        <w:t>1</w:t>
        <w:t xml:space="preserve"> </w:t>
        <w:t>mail</w:t>
        <w:t>.</w:t>
        <w:t>example</w:t>
        <w:t>.</w:t>
        <w:t>com</w:t>
        <w:t>.</w:t>
        <w:t xml:space="preserve"> </w:t>
        <w:t>mail</w:t>
        <w:t xml:space="preserve"> </w:t>
        <w:t>IN</w:t>
        <w:t xml:space="preserve"> </w:t>
        <w:t>A</w:t>
        <w:t xml:space="preserve"> </w:t>
        <w:t>192.168.1.13</w:t>
      </w:r>
    </w:p>
    <w:p>
      <w:pPr>
        <w:pStyle w:val="Para 17"/>
      </w:pPr>
      <w:r>
        <w:t/>
      </w:r>
    </w:p>
    <w:p>
      <w:pPr>
        <w:pStyle w:val="Para 04"/>
      </w:pPr>
      <w:r>
        <w:t xml:space="preserve">• </w:t>
      </w:r>
      <w:r>
        <w:rPr>
          <w:rStyle w:val="Text0"/>
        </w:rPr>
        <w:t>NS record</w:t>
      </w:r>
      <w:r>
        <w:t xml:space="preserve"> Used to define which servers serve copies of a zone. It must point to an A</w:t>
      </w:r>
    </w:p>
    <w:p>
      <w:pPr>
        <w:pStyle w:val="Para 02"/>
      </w:pPr>
      <w:r>
        <w:t>record, not a CNAME. This is where primary and secondary servers are defined.</w:t>
      </w:r>
    </w:p>
    <w:p>
      <w:pPr>
        <w:pStyle w:val="Para 02"/>
      </w:pPr>
      <w:r>
        <w:t>@</w:t>
        <w:t xml:space="preserve"> </w:t>
        <w:t>IN</w:t>
        <w:t xml:space="preserve"> </w:t>
        <w:t>NS</w:t>
        <w:t xml:space="preserve"> </w:t>
        <w:t>ns</w:t>
        <w:t>.</w:t>
        <w:t>example</w:t>
        <w:t>.</w:t>
        <w:t>com</w:t>
        <w:t>.</w:t>
        <w:t xml:space="preserve"> </w:t>
        <w:t>@</w:t>
        <w:t xml:space="preserve"> </w:t>
        <w:t>IN</w:t>
        <w:t xml:space="preserve"> </w:t>
        <w:t>NS</w:t>
        <w:t xml:space="preserve"> </w:t>
        <w:t>ns2</w:t>
        <w:t>.</w:t>
        <w:t>example</w:t>
        <w:t>.</w:t>
        <w:t>com</w:t>
        <w:t>.</w:t>
        <w:t xml:space="preserve"> </w:t>
        <w:t>ns</w:t>
        <w:t xml:space="preserve"> </w:t>
        <w:t>IN</w:t>
        <w:t xml:space="preserve"> </w:t>
        <w:t>A</w:t>
        <w:t xml:space="preserve"> </w:t>
        <w:t>192.168.1.10</w:t>
      </w:r>
    </w:p>
    <w:p>
      <w:pPr>
        <w:pStyle w:val="Para 02"/>
      </w:pPr>
      <w:r>
        <w:t>ns2</w:t>
        <w:t xml:space="preserve"> </w:t>
        <w:t>IN</w:t>
        <w:t xml:space="preserve"> </w:t>
        <w:t>A</w:t>
        <w:t xml:space="preserve"> </w:t>
        <w:t>192.168.1.11</w:t>
      </w:r>
    </w:p>
    <w:p>
      <w:pPr>
        <w:pStyle w:val="Para 17"/>
      </w:pPr>
      <w:r>
        <w:t/>
      </w:r>
    </w:p>
    <w:p>
      <w:pPr>
        <w:pStyle w:val="Para 01"/>
      </w:pPr>
      <w:r>
        <w:t>Further reading</w:t>
      </w:r>
    </w:p>
    <w:p>
      <w:pPr>
        <w:pStyle w:val="Para 17"/>
      </w:pPr>
      <w:r>
        <w:t/>
      </w:r>
    </w:p>
    <w:p>
      <w:pPr>
        <w:pStyle w:val="Para 14"/>
      </w:pPr>
      <w:r>
        <w:rPr>
          <w:rStyle w:val="Text4"/>
        </w:rPr>
        <w:t xml:space="preserve">• </w:t>
      </w:r>
      <w:hyperlink w:anchor="page_250">
        <w:r>
          <w:t>Installing DNS Security Extensions (DNSSEC)</w:t>
        </w:r>
      </w:hyperlink>
      <w:r>
        <w:rPr>
          <w:rStyle w:val="Text4"/>
        </w:rPr>
        <w:t xml:space="preserve"> (page 249)</w:t>
      </w:r>
    </w:p>
    <w:p>
      <w:pPr>
        <w:pStyle w:val="Para 13"/>
      </w:pPr>
      <w:r>
        <w:rPr>
          <w:rStyle w:val="Text7"/>
        </w:rPr>
        <w:t xml:space="preserve">• </w:t>
      </w:r>
      <w:hyperlink r:id="rId1174">
        <w:r>
          <w:rPr>
            <w:rStyle w:val="Text10"/>
          </w:rPr>
          <w:t>170</w:t>
        </w:r>
      </w:hyperlink>
      <w:hyperlink r:id="rId1174">
        <w:r>
          <w:t xml:space="preserve"> Upstream BIND9 Documentation</w:t>
        </w:r>
      </w:hyperlink>
    </w:p>
    <w:p>
      <w:pPr>
        <w:pStyle w:val="Para 04"/>
      </w:pPr>
      <w:r>
        <w:t xml:space="preserve">• </w:t>
      </w:r>
      <w:hyperlink w:anchor="page_249">
        <w:r>
          <w:rPr>
            <w:rStyle w:val="Text9"/>
          </w:rPr>
          <w:t>171</w:t>
        </w:r>
      </w:hyperlink>
      <w:r>
        <w:t xml:space="preserve"> </w:t>
      </w:r>
      <w:hyperlink r:id="rId1175">
        <w:r>
          <w:rPr>
            <w:rStyle w:val="Text1"/>
          </w:rPr>
          <w:t>DNS and BIND</w:t>
        </w:r>
      </w:hyperlink>
      <w:r>
        <w:t xml:space="preserve"> is a popular book now in its fifth edition. There is now also a </w:t>
      </w:r>
      <w:hyperlink r:id="rId1176">
        <w:r>
          <w:rPr>
            <w:rStyle w:val="Text1"/>
          </w:rPr>
          <w:t>DNS and</w:t>
        </w:r>
      </w:hyperlink>
    </w:p>
    <w:p>
      <w:pPr>
        <w:pStyle w:val="Para 32"/>
      </w:pPr>
      <w:hyperlink r:id="rId1176">
        <w:r>
          <w:t>BIND on IPv6</w:t>
        </w:r>
      </w:hyperlink>
      <w:hyperlink r:id="rId1176">
        <w:r>
          <w:rPr>
            <w:rStyle w:val="Text10"/>
          </w:rPr>
          <w:t>172</w:t>
        </w:r>
      </w:hyperlink>
      <w:r>
        <w:rPr>
          <w:rStyle w:val="Text7"/>
        </w:rPr>
        <w:t xml:space="preserve"> book.</w:t>
      </w:r>
    </w:p>
    <w:p>
      <w:pPr>
        <w:pStyle w:val="Para 04"/>
      </w:pPr>
      <w:r>
        <w:t>• A great place to ask for BIND9 assistance, and get involved with the Ubuntu Server</w:t>
      </w:r>
    </w:p>
    <w:p>
      <w:pPr>
        <w:pStyle w:val="Para 02"/>
      </w:pPr>
      <w:r>
        <w:t xml:space="preserve">community, is the </w:t>
      </w:r>
      <w:hyperlink w:anchor="page_249">
        <w:r>
          <w:rPr>
            <w:rStyle w:val="Text9"/>
          </w:rPr>
          <w:t>173</w:t>
        </w:r>
      </w:hyperlink>
      <w:r>
        <w:t xml:space="preserve"> </w:t>
      </w:r>
      <w:hyperlink r:id="rId1034">
        <w:r>
          <w:rPr>
            <w:rStyle w:val="Text1"/>
          </w:rPr>
          <w:t>Ubuntu Server</w:t>
        </w:r>
      </w:hyperlink>
      <w:r>
        <w:t xml:space="preserve"> Matrix channel.</w:t>
      </w:r>
    </w:p>
    <w:p>
      <w:pPr>
        <w:pStyle w:val="Para 05"/>
      </w:pPr>
      <w:r>
        <w:rPr>
          <w:rStyle w:val="Text5"/>
        </w:rPr>
        <w:t>170</w:t>
      </w:r>
      <w:r>
        <w:rPr>
          <w:rStyle w:val="Text8"/>
        </w:rPr>
        <w:t xml:space="preserve"> </w:t>
      </w:r>
      <w:r>
        <w:t>https://bind9.readthedocs.io/en/latest/</w:t>
      </w:r>
    </w:p>
    <w:p>
      <w:pPr>
        <w:pStyle w:val="Para 05"/>
      </w:pPr>
      <w:r>
        <w:rPr>
          <w:rStyle w:val="Text5"/>
        </w:rPr>
        <w:t>171</w:t>
      </w:r>
      <w:r>
        <w:rPr>
          <w:rStyle w:val="Text8"/>
        </w:rPr>
        <w:t xml:space="preserve"> </w:t>
      </w:r>
      <w:r>
        <w:t>https://www.oreilly.com/library/view/dns-and-bind/0596100574/</w:t>
      </w:r>
    </w:p>
    <w:p>
      <w:pPr>
        <w:pStyle w:val="Para 05"/>
      </w:pPr>
      <w:r>
        <w:rPr>
          <w:rStyle w:val="Text5"/>
        </w:rPr>
        <w:t>172</w:t>
      </w:r>
      <w:r>
        <w:rPr>
          <w:rStyle w:val="Text8"/>
        </w:rPr>
        <w:t xml:space="preserve"> </w:t>
      </w:r>
      <w:r>
        <w:t>https://www.oreilly.com/library/view/dns-and-bind/9781449308025/</w:t>
      </w:r>
    </w:p>
    <w:p>
      <w:pPr>
        <w:pStyle w:val="Para 08"/>
      </w:pPr>
      <w:r>
        <w:rPr>
          <w:rStyle w:val="Text19"/>
        </w:rPr>
        <w:t>173</w:t>
      </w:r>
      <w:r>
        <w:rPr>
          <w:rStyle w:val="Text0"/>
        </w:rPr>
        <w:t xml:space="preserve"> </w:t>
      </w:r>
      <w:r>
        <w:rPr>
          <w:rStyle w:val="Text14"/>
        </w:rPr>
        <w:t>https://matrix.to/#/#server:ubuntu.com</w:t>
      </w:r>
      <w:r>
        <w:rPr>
          <w:rStyle w:val="Text0"/>
        </w:rPr>
        <w:t xml:space="preserve"> </w:t>
      </w:r>
      <w:r>
        <w:t>Installing DNS Security Extensions (DNSSEC)</w:t>
      </w:r>
    </w:p>
    <w:p>
      <w:bookmarkStart w:id="356" w:name="page_2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5" name="index-250_1.png" descr="index-250_1.png"/>
            <wp:cNvGraphicFramePr>
              <a:graphicFrameLocks noChangeAspect="1"/>
            </wp:cNvGraphicFramePr>
            <a:graphic>
              <a:graphicData uri="http://schemas.openxmlformats.org/drawingml/2006/picture">
                <pic:pic>
                  <pic:nvPicPr>
                    <pic:cNvPr id="0" name="index-250_1.png" descr="index-250_1.png"/>
                    <pic:cNvPicPr/>
                  </pic:nvPicPr>
                  <pic:blipFill>
                    <a:blip r:embed="rId259"/>
                    <a:stretch>
                      <a:fillRect/>
                    </a:stretch>
                  </pic:blipFill>
                  <pic:spPr>
                    <a:xfrm>
                      <a:off x="0" y="0"/>
                      <a:ext cx="914400" cy="266700"/>
                    </a:xfrm>
                    <a:prstGeom prst="rect">
                      <a:avLst/>
                    </a:prstGeom>
                  </pic:spPr>
                </pic:pic>
              </a:graphicData>
            </a:graphic>
          </wp:anchor>
        </w:drawing>
      </w:r>
      <w:bookmarkEnd w:id="356"/>
    </w:p>
    <w:p>
      <w:pPr>
        <w:pStyle w:val="Para 17"/>
      </w:pPr>
      <w:r>
        <w:t/>
      </w:r>
    </w:p>
    <w:p>
      <w:pPr>
        <w:pStyle w:val="Normal"/>
      </w:pPr>
      <w:r>
        <w:t xml:space="preserve">DNSSEC is a set of security extensions to </w:t>
      </w:r>
      <w:hyperlink w:anchor="page_679">
        <w:r>
          <w:rPr>
            <w:rStyle w:val="Text2"/>
          </w:rPr>
          <w:t>DNS</w:t>
        </w:r>
      </w:hyperlink>
      <w:r>
        <w:t xml:space="preserve"> which allow DNS data to be verified for authen-ticity and integrity.</w:t>
      </w:r>
    </w:p>
    <w:p>
      <w:pPr>
        <w:pStyle w:val="Normal"/>
      </w:pPr>
      <w:r>
        <w:t>This guide will show you how to enable DNSSEC for an existing zone in your BIND9 DNS server deployment, by serving additional records like DS, DNSKEY or RRSIG for signed zones.</w:t>
      </w:r>
    </w:p>
    <w:p>
      <w:pPr>
        <w:pStyle w:val="Para 17"/>
      </w:pPr>
      <w:r>
        <w:t/>
      </w:r>
    </w:p>
    <w:p>
      <w:pPr>
        <w:pStyle w:val="Para 01"/>
      </w:pPr>
      <w:r>
        <w:t>Starting point</w:t>
      </w:r>
    </w:p>
    <w:p>
      <w:pPr>
        <w:pStyle w:val="Para 17"/>
      </w:pPr>
      <w:r>
        <w:t/>
      </w:r>
    </w:p>
    <w:p>
      <w:pPr>
        <w:pStyle w:val="Normal"/>
      </w:pPr>
      <w:r>
        <w:t>The starting point for this how-to is an existing BIND9 DNS server deployed with an author-</w:t>
      </w:r>
    </w:p>
    <w:p>
      <w:pPr>
        <w:pStyle w:val="Normal"/>
      </w:pPr>
      <w:r>
        <w:t xml:space="preserve">itative zone. For details on how to deploy BIND9 in this fashion, please see the </w:t>
      </w:r>
      <w:hyperlink w:anchor="page_240">
        <w:r>
          <w:rPr>
            <w:rStyle w:val="Text2"/>
          </w:rPr>
          <w:t>DNS How-To</w:t>
        </w:r>
      </w:hyperlink>
      <w:r>
        <w:t xml:space="preserve"> (page 239). One key difference from that guide, however, is that we need the zone file to be in a directory where the server can write to, like /var/lib/bind, instead of /etc/bind.</w:t>
      </w:r>
    </w:p>
    <w:p>
      <w:pPr>
        <w:pStyle w:val="Normal"/>
      </w:pPr>
      <w:r>
        <w:t>Nevertheless, here is a quick set of steps to reach that state for an example domain called example.internal.</w:t>
      </w:r>
    </w:p>
    <w:p>
      <w:pPr>
        <w:pStyle w:val="Normal"/>
      </w:pPr>
      <w:r>
        <w:t>First, install the bind9 package:</w:t>
      </w:r>
    </w:p>
    <w:p>
      <w:pPr>
        <w:pStyle w:val="Normal"/>
      </w:pPr>
      <w:r>
        <w:t>sudo apt install bind9 -y</w:t>
      </w:r>
    </w:p>
    <w:p>
      <w:pPr>
        <w:pStyle w:val="Para 17"/>
      </w:pPr>
      <w:r>
        <w:t/>
      </w:r>
    </w:p>
    <w:p>
      <w:pPr>
        <w:pStyle w:val="Normal"/>
      </w:pPr>
      <w:r>
        <w:t xml:space="preserve">Edit /etc/bind/named.conf.local and add this </w:t>
      </w:r>
      <w:r>
        <w:rPr>
          <w:rStyle w:val="Text3"/>
        </w:rPr>
        <w:t>zone</w:t>
      </w:r>
      <w:r>
        <w:t xml:space="preserve"> block:</w:t>
      </w:r>
    </w:p>
    <w:p>
      <w:pPr>
        <w:pStyle w:val="Normal"/>
      </w:pPr>
      <w:r>
        <w:t>zone "example.internal" {</w:t>
      </w:r>
    </w:p>
    <w:p>
      <w:pPr>
        <w:pStyle w:val="Para 02"/>
      </w:pPr>
      <w:r>
        <w:t>type master;</w:t>
      </w:r>
    </w:p>
    <w:p>
      <w:pPr>
        <w:pStyle w:val="Para 02"/>
      </w:pPr>
      <w:r>
        <w:t>file "/var/lib/bind/db.example.internal";</w:t>
      </w:r>
    </w:p>
    <w:p>
      <w:pPr>
        <w:pStyle w:val="Normal"/>
      </w:pPr>
      <w:r>
        <w:t>};</w:t>
      </w:r>
    </w:p>
    <w:p>
      <w:pPr>
        <w:pStyle w:val="Para 17"/>
      </w:pPr>
      <w:r>
        <w:t/>
      </w:r>
    </w:p>
    <w:p>
      <w:pPr>
        <w:pStyle w:val="Normal"/>
      </w:pPr>
      <w:r>
        <w:t>Create the file /var/lib/bind/db.example.internal with these contents:</w:t>
      </w:r>
    </w:p>
    <w:p>
      <w:pPr>
        <w:pStyle w:val="Normal"/>
      </w:pPr>
      <w:r>
        <w:t>$TTL 86400</w:t>
        <w:t xml:space="preserve"> </w:t>
        <w:t>; 1 day</w:t>
      </w:r>
    </w:p>
    <w:p>
      <w:pPr>
        <w:pStyle w:val="Normal"/>
      </w:pPr>
      <w:r>
        <w:t>example.internal.</w:t>
        <w:t xml:space="preserve"> </w:t>
        <w:t>IN SOA</w:t>
        <w:t xml:space="preserve"> </w:t>
        <w:t>example.internal. root.example.internal. (</w:t>
      </w:r>
    </w:p>
    <w:p>
      <w:pPr>
        <w:pStyle w:val="Para 19"/>
      </w:pPr>
      <w:r>
        <w:t>1</w:t>
        <w:t xml:space="preserve"> </w:t>
        <w:t>; serial</w:t>
        <w:t xml:space="preserve"> </w:t>
        <w:t>43200</w:t>
        <w:t xml:space="preserve"> </w:t>
        <w:t>; refresh (12 hours)</w:t>
        <w:t xml:space="preserve"> </w:t>
        <w:t>900</w:t>
        <w:t xml:space="preserve"> </w:t>
        <w:t>; retry (15 minutes)</w:t>
        <w:t xml:space="preserve"> </w:t>
        <w:t>1814400</w:t>
        <w:t xml:space="preserve"> </w:t>
        <w:t>; expire (3 weeks)</w:t>
        <w:t xml:space="preserve"> </w:t>
        <w:t>7200</w:t>
        <w:t xml:space="preserve"> </w:t>
        <w:t>; minimum (2 hours)</w:t>
        <w:t xml:space="preserve"> </w:t>
        <w:t>)</w:t>
      </w:r>
    </w:p>
    <w:p>
      <w:pPr>
        <w:pStyle w:val="Normal"/>
      </w:pPr>
      <w:r>
        <w:t>example.internal.</w:t>
        <w:t xml:space="preserve"> </w:t>
        <w:t>IN</w:t>
        <w:t xml:space="preserve"> </w:t>
        <w:t>NS</w:t>
        <w:t xml:space="preserve"> </w:t>
        <w:t>ns.example.internal.</w:t>
        <w:t xml:space="preserve"> </w:t>
        <w:t>ns</w:t>
        <w:t xml:space="preserve"> </w:t>
        <w:t>IN</w:t>
        <w:t xml:space="preserve"> </w:t>
        <w:t>A</w:t>
        <w:t xml:space="preserve"> </w:t>
        <w:t>192.168.1.10</w:t>
        <w:t xml:space="preserve"> </w:t>
        <w:t>noble</w:t>
        <w:t xml:space="preserve"> </w:t>
        <w:t>IN</w:t>
        <w:t xml:space="preserve"> </w:t>
        <w:t>A</w:t>
        <w:t xml:space="preserve"> </w:t>
        <w:t>192.168.1.11</w:t>
      </w:r>
    </w:p>
    <w:p>
      <w:pPr>
        <w:pStyle w:val="Para 17"/>
      </w:pPr>
      <w:r>
        <w:t/>
      </w:r>
    </w:p>
    <w:p>
      <w:pPr>
        <w:pStyle w:val="Normal"/>
      </w:pPr>
      <w:r>
        <w:t>Restart the service:</w:t>
      </w:r>
    </w:p>
    <w:p>
      <w:pPr>
        <w:pStyle w:val="Normal"/>
      </w:pPr>
      <w:r>
        <w:t>sudo systemctl restart named</w:t>
      </w:r>
    </w:p>
    <w:p>
      <w:pPr>
        <w:pStyle w:val="Para 17"/>
      </w:pPr>
      <w:r>
        <w:t/>
      </w:r>
    </w:p>
    <w:p>
      <w:pPr>
        <w:pStyle w:val="Normal"/>
      </w:pPr>
      <w:r>
        <w:t>Check if the service can resolve the name noble.example.internal:</w:t>
      </w:r>
    </w:p>
    <w:p>
      <w:pPr>
        <w:pStyle w:val="Normal"/>
      </w:pPr>
      <w:r>
        <w:t>$ dig @127.0.0.1 +short noble.example.internal</w:t>
      </w:r>
    </w:p>
    <w:p>
      <w:pPr>
        <w:pStyle w:val="Normal"/>
      </w:pPr>
      <w:r>
        <w:t>192.168.1.11</w:t>
      </w:r>
    </w:p>
    <w:p>
      <w:bookmarkStart w:id="357" w:name="page_2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6" name="index-251_1.png" descr="index-251_1.png"/>
            <wp:cNvGraphicFramePr>
              <a:graphicFrameLocks noChangeAspect="1"/>
            </wp:cNvGraphicFramePr>
            <a:graphic>
              <a:graphicData uri="http://schemas.openxmlformats.org/drawingml/2006/picture">
                <pic:pic>
                  <pic:nvPicPr>
                    <pic:cNvPr id="0" name="index-251_1.png" descr="index-251_1.png"/>
                    <pic:cNvPicPr/>
                  </pic:nvPicPr>
                  <pic:blipFill>
                    <a:blip r:embed="rId260"/>
                    <a:stretch>
                      <a:fillRect/>
                    </a:stretch>
                  </pic:blipFill>
                  <pic:spPr>
                    <a:xfrm>
                      <a:off x="0" y="0"/>
                      <a:ext cx="914400" cy="266700"/>
                    </a:xfrm>
                    <a:prstGeom prst="rect">
                      <a:avLst/>
                    </a:prstGeom>
                  </pic:spPr>
                </pic:pic>
              </a:graphicData>
            </a:graphic>
          </wp:anchor>
        </w:drawing>
      </w:r>
      <w:bookmarkEnd w:id="357"/>
    </w:p>
    <w:p>
      <w:pPr>
        <w:pStyle w:val="Para 01"/>
      </w:pPr>
      <w:r>
        <w:t>Enabling DNSSEC</w:t>
      </w:r>
    </w:p>
    <w:p>
      <w:pPr>
        <w:pStyle w:val="Para 17"/>
      </w:pPr>
      <w:r>
        <w:t/>
      </w:r>
    </w:p>
    <w:p>
      <w:pPr>
        <w:pStyle w:val="Normal"/>
      </w:pPr>
      <w:r>
        <w:t>Enabling DNSSEC for a zone involves multiple steps. Thankfully for us, the BIND9 DNS server takes care of all of them by default, automatically, leaving very little for us to do. Converting a zone in this way means at least generating new keys, and signing all the Resource Records of the zone. But that is only “day 1”: such a zone must be maintained properly. Keys must be rotated, expiration dates must be set, etc. The current versions of BIND9 take care of that with a DNSSEC policy, and of course there is a default one that can be used from the start.</w:t>
      </w:r>
    </w:p>
    <w:p>
      <w:pPr>
        <w:pStyle w:val="Normal"/>
      </w:pPr>
      <w:r>
        <w:t xml:space="preserve">To migrate our </w:t>
      </w:r>
      <w:r>
        <w:rPr>
          <w:rStyle w:val="Text3"/>
        </w:rPr>
        <w:t>example.internal</w:t>
      </w:r>
      <w:r>
        <w:t xml:space="preserve"> zone to DNSSEC, we just need to add two lines to its defini-tion in /etc/bind/named.conf.local, so that it looks like this:</w:t>
      </w:r>
    </w:p>
    <w:p>
      <w:pPr>
        <w:pStyle w:val="Normal"/>
      </w:pPr>
      <w:r>
        <w:t>zone "example.internal" {</w:t>
      </w:r>
    </w:p>
    <w:p>
      <w:pPr>
        <w:pStyle w:val="Para 02"/>
      </w:pPr>
      <w:r>
        <w:t>type master;</w:t>
      </w:r>
    </w:p>
    <w:p>
      <w:pPr>
        <w:pStyle w:val="Para 02"/>
      </w:pPr>
      <w:r>
        <w:t>file "/var/lib/bind/db.example.internal";</w:t>
      </w:r>
    </w:p>
    <w:p>
      <w:pPr>
        <w:pStyle w:val="Para 02"/>
      </w:pPr>
      <w:r>
        <w:t>dnssec-policy default;</w:t>
      </w:r>
    </w:p>
    <w:p>
      <w:pPr>
        <w:pStyle w:val="Para 02"/>
      </w:pPr>
      <w:r>
        <w:t>inline-signing yes;</w:t>
      </w:r>
    </w:p>
    <w:p>
      <w:pPr>
        <w:pStyle w:val="Normal"/>
      </w:pPr>
      <w:r>
        <w:t>};</w:t>
      </w:r>
    </w:p>
    <w:p>
      <w:pPr>
        <w:pStyle w:val="Para 17"/>
      </w:pPr>
      <w:r>
        <w:t/>
      </w:r>
    </w:p>
    <w:p>
      <w:pPr>
        <w:pStyle w:val="Normal"/>
      </w:pPr>
      <w:r>
        <w:t>What was added:</w:t>
      </w:r>
    </w:p>
    <w:p>
      <w:pPr>
        <w:pStyle w:val="Para 04"/>
      </w:pPr>
      <w:r>
        <w:t>• dnssec-policy default: Use the default DNSSEC policy. A DNSSEC policy includes set-</w:t>
      </w:r>
    </w:p>
    <w:p>
      <w:pPr>
        <w:pStyle w:val="Para 02"/>
      </w:pPr>
      <w:r>
        <w:t>tings for key rotation, default TTL, and many others.</w:t>
      </w:r>
    </w:p>
    <w:p>
      <w:pPr>
        <w:pStyle w:val="Para 04"/>
      </w:pPr>
      <w:r>
        <w:t>• inline-signing yes: keep a separate file for the signed zone.</w:t>
      </w:r>
    </w:p>
    <w:p>
      <w:pPr>
        <w:pStyle w:val="Normal"/>
      </w:pPr>
      <w:r>
        <w:t>After this change, there is no need to restart the service, but it needs to be told to reload its configuration. This can be done with the rndc tool:</w:t>
      </w:r>
    </w:p>
    <w:p>
      <w:pPr>
        <w:pStyle w:val="Normal"/>
      </w:pPr>
      <w:r>
        <w:t>sudo rndc reconfig</w:t>
      </w:r>
    </w:p>
    <w:p>
      <w:pPr>
        <w:pStyle w:val="Para 17"/>
      </w:pPr>
      <w:r>
        <w:t/>
      </w:r>
    </w:p>
    <w:p>
      <w:pPr>
        <w:pStyle w:val="Normal"/>
      </w:pPr>
      <w:r>
        <w:t xml:space="preserve">The server will immediately notice the new configuration and start the process to sign the </w:t>
      </w:r>
      <w:r>
        <w:rPr>
          <w:rStyle w:val="Text3"/>
        </w:rPr>
        <w:t>example.internal</w:t>
      </w:r>
      <w:r>
        <w:t xml:space="preserve"> zone. The journal logs will show the progress, and can be inspected with the command:</w:t>
      </w:r>
    </w:p>
    <w:p>
      <w:pPr>
        <w:pStyle w:val="Normal"/>
      </w:pPr>
      <w:r>
        <w:t>sudo journalctl -u named.service -f</w:t>
      </w:r>
    </w:p>
    <w:p>
      <w:pPr>
        <w:pStyle w:val="Para 17"/>
      </w:pPr>
      <w:r>
        <w:t/>
      </w:r>
    </w:p>
    <w:p>
      <w:pPr>
        <w:pStyle w:val="Normal"/>
      </w:pPr>
      <w:r>
        <w:t>The logs will show something similar to this:</w:t>
      </w:r>
    </w:p>
    <w:p>
      <w:pPr>
        <w:pStyle w:val="Normal"/>
      </w:pPr>
      <w:r>
        <w:t>named[3246]: zone example.internal/IN (unsigned): loaded serial 1</w:t>
        <w:t xml:space="preserve"> </w:t>
        <w:t>named[3246]: zone example.internal/IN (signed): loaded serial 1</w:t>
        <w:t xml:space="preserve"> </w:t>
        <w:t>named[3246]: zone example.internal/IN (signed): receive_secure_serial: unchanged</w:t>
        <w:t xml:space="preserve"> </w:t>
        <w:t>named[3246]: zone example.internal/IN (signed): sending notifies (serial 1)</w:t>
        <w:t xml:space="preserve"> </w:t>
        <w:t>named[3246]: zone example.internal/IN (signed): reconfiguring zone keys</w:t>
        <w:t xml:space="preserve"> </w:t>
        <w:t>named[3246]: keymgr: DNSKEY example.internal/ECDSAP256SHA256/44911 (CSK) created for</w:t>
        <w:t xml:space="preserve"> </w:t>
        <w:t>policy default</w:t>
      </w:r>
    </w:p>
    <w:p>
      <w:pPr>
        <w:pStyle w:val="Normal"/>
      </w:pPr>
      <w:r>
        <w:t>named[3246]: Fetching example.internal/ECDSAP256SHA256/44911 (CSK) from key repository.</w:t>
        <w:t xml:space="preserve"> </w:t>
        <w:t>named[3246]: DNSKEY example.internal/ECDSAP256SHA256/44911 (CSK) is now published</w:t>
        <w:t xml:space="preserve"> </w:t>
        <w:t>named[3246]: DNSKEY example.internal/ECDSAP256SHA256/44911 (CSK) is now active</w:t>
        <w:t xml:space="preserve"> </w:t>
        <w:t>named[3246]: zone example.internal/IN (signed): next key event: 23-Oct-2024 22:47:12.544</w:t>
        <w:t xml:space="preserve"> </w:t>
        <w:t>named[3246]: any newly configured zones are now loaded</w:t>
        <w:t xml:space="preserve"> </w:t>
        <w:t>named[3246]: running</w:t>
      </w:r>
    </w:p>
    <w:p>
      <w:pPr>
        <w:pStyle w:val="Normal"/>
      </w:pPr>
      <w:r>
        <w:t>named[3246]: resolver priming query complete: success</w:t>
      </w:r>
    </w:p>
    <w:p>
      <w:pPr>
        <w:pStyle w:val="Normal"/>
      </w:pPr>
      <w:r>
        <w:t>named[3246]: managed-keys-zone: Key 20326 for zone . is now trusted (acceptance timer</w:t>
        <w:t xml:space="preserve"> </w:t>
        <w:t>complete)</w:t>
      </w:r>
    </w:p>
    <w:p>
      <w:pPr>
        <w:pStyle w:val="Normal"/>
      </w:pPr>
      <w:r>
        <w:t>named[3246]: zone example.internal/IN (signed): sending notifies (serial 3)</w:t>
      </w:r>
    </w:p>
    <w:p>
      <w:bookmarkStart w:id="358" w:name="page_2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7"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261"/>
                    <a:stretch>
                      <a:fillRect/>
                    </a:stretch>
                  </pic:blipFill>
                  <pic:spPr>
                    <a:xfrm>
                      <a:off x="0" y="0"/>
                      <a:ext cx="914400" cy="266700"/>
                    </a:xfrm>
                    <a:prstGeom prst="rect">
                      <a:avLst/>
                    </a:prstGeom>
                  </pic:spPr>
                </pic:pic>
              </a:graphicData>
            </a:graphic>
          </wp:anchor>
        </w:drawing>
      </w:r>
      <w:bookmarkEnd w:id="358"/>
    </w:p>
    <w:p>
      <w:pPr>
        <w:pStyle w:val="Normal"/>
      </w:pPr>
      <w:r>
        <w:t>Depending on the zone size, signing all records can take longer.</w:t>
      </w:r>
    </w:p>
    <w:p>
      <w:pPr>
        <w:pStyle w:val="Normal"/>
      </w:pPr>
      <w:r>
        <w:t>A few interesting events can be seen in the logs above:</w:t>
      </w:r>
    </w:p>
    <w:p>
      <w:pPr>
        <w:pStyle w:val="Para 04"/>
      </w:pPr>
      <w:r>
        <w:t xml:space="preserve">• Keys were generated for the </w:t>
      </w:r>
      <w:r>
        <w:rPr>
          <w:rStyle w:val="Text3"/>
        </w:rPr>
        <w:t>example.internal</w:t>
      </w:r>
      <w:r>
        <w:t xml:space="preserve"> zone.</w:t>
      </w:r>
    </w:p>
    <w:p>
      <w:pPr>
        <w:pStyle w:val="Para 04"/>
      </w:pPr>
      <w:r>
        <w:t xml:space="preserve">• The </w:t>
      </w:r>
      <w:r>
        <w:rPr>
          <w:rStyle w:val="Text3"/>
        </w:rPr>
        <w:t>example.internal</w:t>
      </w:r>
      <w:r>
        <w:t xml:space="preserve"> zone became signed.</w:t>
      </w:r>
    </w:p>
    <w:p>
      <w:pPr>
        <w:pStyle w:val="Para 04"/>
      </w:pPr>
      <w:r>
        <w:t xml:space="preserve">• A </w:t>
      </w:r>
      <w:r>
        <w:rPr>
          <w:rStyle w:val="Text3"/>
        </w:rPr>
        <w:t>key event</w:t>
      </w:r>
      <w:r>
        <w:t xml:space="preserve"> was scheduled. This is BIND9 also taking care of the maintenance tasks of</w:t>
      </w:r>
    </w:p>
    <w:p>
      <w:pPr>
        <w:pStyle w:val="Para 02"/>
      </w:pPr>
      <w:r>
        <w:t>the signed zone and its keys.</w:t>
      </w:r>
    </w:p>
    <w:p>
      <w:pPr>
        <w:pStyle w:val="Para 04"/>
      </w:pPr>
      <w:r>
        <w:t>• Since the zone changed, its serial number was incremented (started as 1, now it’s 3).</w:t>
      </w:r>
    </w:p>
    <w:p>
      <w:pPr>
        <w:pStyle w:val="Normal"/>
      </w:pPr>
      <w:r>
        <w:t>The DNSSEC keys are kept in /var/cache/bind:</w:t>
      </w:r>
    </w:p>
    <w:p>
      <w:pPr>
        <w:pStyle w:val="Normal"/>
      </w:pPr>
      <w:r>
        <w:t>-rw-r--r-- 1 bind bind</w:t>
        <w:t xml:space="preserve"> </w:t>
        <w:t>413 Oct 23 20:50 Kexample.internal.+013+48112.key</w:t>
        <w:t>-rw------- 1 bind bind</w:t>
        <w:t xml:space="preserve"> </w:t>
        <w:t>215 Oct 23 20:50 Kexample.internal.+013+48112.private</w:t>
        <w:t>-rw-r--r-- 1 bind bind</w:t>
        <w:t xml:space="preserve"> </w:t>
        <w:t>647 Oct 23 20:50 Kexample.internal.+013+48112.state</w:t>
      </w:r>
    </w:p>
    <w:p>
      <w:pPr>
        <w:pStyle w:val="Para 17"/>
      </w:pPr>
      <w:r>
        <w:t/>
      </w:r>
    </w:p>
    <w:p>
      <w:pPr>
        <w:pStyle w:val="Normal"/>
      </w:pPr>
      <w:r>
        <w:t xml:space="preserve">This is the bulk of the work. This zone is now signed, and maintained automatically by BIND9 using the </w:t>
      </w:r>
      <w:r>
        <w:rPr>
          <w:rStyle w:val="Text3"/>
        </w:rPr>
        <w:t>default</w:t>
      </w:r>
      <w:r>
        <w:t xml:space="preserve"> DNSSEC policy.</w:t>
      </w:r>
    </w:p>
    <w:p>
      <w:pPr>
        <w:pStyle w:val="Para 17"/>
      </w:pPr>
      <w:r>
        <w:t/>
      </w:r>
    </w:p>
    <w:p>
      <w:pPr>
        <w:pStyle w:val="Para 01"/>
      </w:pPr>
      <w:r>
        <w:t>Verification</w:t>
      </w:r>
    </w:p>
    <w:p>
      <w:pPr>
        <w:pStyle w:val="Para 17"/>
      </w:pPr>
      <w:r>
        <w:t/>
      </w:r>
    </w:p>
    <w:p>
      <w:pPr>
        <w:pStyle w:val="Normal"/>
      </w:pPr>
      <w:r>
        <w:t>The zone that was just signed is almost ready to serve DNSSEC. Let’s perform some verifica-tion steps.</w:t>
      </w:r>
    </w:p>
    <w:p>
      <w:pPr>
        <w:pStyle w:val="Normal"/>
      </w:pPr>
      <w:r>
        <w:t xml:space="preserve">As it is now, this zone </w:t>
      </w:r>
      <w:r>
        <w:rPr>
          <w:rStyle w:val="Text3"/>
        </w:rPr>
        <w:t>example.internal</w:t>
      </w:r>
      <w:r>
        <w:t xml:space="preserve"> is “disconnected” from the parent zone. Its name was made up for this guide, but even if it represented a real domain, it would still be missing the connection to the parent zone. Remember that DNSSEC relies on the chain of trust, and the parent of our zone needs to be able to vouch for it.</w:t>
      </w:r>
    </w:p>
    <w:p>
      <w:pPr>
        <w:pStyle w:val="Normal"/>
      </w:pPr>
      <w:r>
        <w:t>Before taking that step, however, it’s important to verify if everything else is working. In particular, we would want to perform some DNSSEC queries, and perform validation. A good tool to perform this validation is delv.</w:t>
      </w:r>
    </w:p>
    <w:p>
      <w:pPr>
        <w:pStyle w:val="Normal"/>
      </w:pPr>
      <w:r>
        <w:t>delv is similar to dig, but it will perform validation on the results using the same internal resolver and validator logic as the BIND9 server itself.</w:t>
      </w:r>
    </w:p>
    <w:p>
      <w:pPr>
        <w:pStyle w:val="Normal"/>
      </w:pPr>
      <w:r>
        <w:t>Since our zone is disconnected, we need to tell delv to use the public key created for the zone as a trusted anchor, and to not try to reach out to the root servers of the internet.</w:t>
      </w:r>
    </w:p>
    <w:p>
      <w:pPr>
        <w:pStyle w:val="Normal"/>
      </w:pPr>
      <w:r>
        <w:t>First, copy the public zone key somewhere else so it can be edited. For example:</w:t>
      </w:r>
    </w:p>
    <w:p>
      <w:pPr>
        <w:pStyle w:val="Normal"/>
      </w:pPr>
      <w:r>
        <w:t>cp /var/cache/bind/Kexample.internal.+013+48112.key /tmp/example.key</w:t>
      </w:r>
    </w:p>
    <w:p>
      <w:pPr>
        <w:pStyle w:val="Para 17"/>
      </w:pPr>
      <w:r>
        <w:t/>
      </w:r>
    </w:p>
    <w:p>
      <w:pPr>
        <w:pStyle w:val="Normal"/>
      </w:pPr>
      <w:r>
        <w:t>That file will have some comments at the top, and then have a line that starts with the zone name, like this (the full key was truncated below for brevity):</w:t>
      </w:r>
    </w:p>
    <w:p>
      <w:pPr>
        <w:pStyle w:val="Normal"/>
      </w:pPr>
      <w:r>
        <w:t>example.internal. 3600 IN DNSKEY 257 3 13 jkmS5hfyY3nSww....</w:t>
      </w:r>
    </w:p>
    <w:p>
      <w:pPr>
        <w:pStyle w:val="Para 17"/>
      </w:pPr>
      <w:r>
        <w:t/>
      </w:r>
    </w:p>
    <w:p>
      <w:pPr>
        <w:pStyle w:val="Normal"/>
      </w:pPr>
      <w:r>
        <w:t>We need to make some changes here:</w:t>
      </w:r>
    </w:p>
    <w:p>
      <w:pPr>
        <w:pStyle w:val="Para 04"/>
      </w:pPr>
      <w:r>
        <w:t>• Remove the comment lines from the top.</w:t>
      </w:r>
    </w:p>
    <w:p>
      <w:pPr>
        <w:pStyle w:val="Para 04"/>
      </w:pPr>
      <w:r>
        <w:t>• Edit that line and replace the 3600 IN DNSKEY text with static-key.</w:t>
      </w:r>
    </w:p>
    <w:p>
      <w:pPr>
        <w:pStyle w:val="Para 04"/>
      </w:pPr>
      <w:r>
        <w:t xml:space="preserve">• The key material after the 13 number must be enclosed in double quotes ("). </w:t>
      </w:r>
      <w:r>
        <w:rPr>
          <w:rStyle w:val="Text0"/>
        </w:rPr>
        <w:t>DNSKEY record format</w:t>
      </w:r>
    </w:p>
    <w:p>
      <w:bookmarkStart w:id="359" w:name="page_2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8" name="index-253_1.png" descr="index-253_1.png"/>
            <wp:cNvGraphicFramePr>
              <a:graphicFrameLocks noChangeAspect="1"/>
            </wp:cNvGraphicFramePr>
            <a:graphic>
              <a:graphicData uri="http://schemas.openxmlformats.org/drawingml/2006/picture">
                <pic:pic>
                  <pic:nvPicPr>
                    <pic:cNvPr id="0" name="index-253_1.png" descr="index-253_1.png"/>
                    <pic:cNvPicPr/>
                  </pic:nvPicPr>
                  <pic:blipFill>
                    <a:blip r:embed="rId262"/>
                    <a:stretch>
                      <a:fillRect/>
                    </a:stretch>
                  </pic:blipFill>
                  <pic:spPr>
                    <a:xfrm>
                      <a:off x="0" y="0"/>
                      <a:ext cx="914400" cy="266700"/>
                    </a:xfrm>
                    <a:prstGeom prst="rect">
                      <a:avLst/>
                    </a:prstGeom>
                  </pic:spPr>
                </pic:pic>
              </a:graphicData>
            </a:graphic>
          </wp:anchor>
        </w:drawing>
      </w:r>
      <w:bookmarkEnd w:id="359"/>
    </w:p>
    <w:p>
      <w:pPr>
        <w:pStyle w:val="Para 04"/>
      </w:pPr>
      <w:r>
        <w:t>• The line needs to end with a ;.</w:t>
      </w:r>
    </w:p>
    <w:p>
      <w:pPr>
        <w:pStyle w:val="Para 04"/>
      </w:pPr>
      <w:r>
        <w:t>• And finally the line needs to be inside a trust-anchors block.</w:t>
      </w:r>
    </w:p>
    <w:p>
      <w:pPr>
        <w:pStyle w:val="Normal"/>
      </w:pPr>
      <w:r>
        <w:t>In the end, the /tmp/example.key file should look like this:</w:t>
      </w:r>
    </w:p>
    <w:p>
      <w:pPr>
        <w:pStyle w:val="Normal"/>
      </w:pPr>
      <w:r>
        <w:t>trust-anchors {</w:t>
      </w:r>
    </w:p>
    <w:p>
      <w:pPr>
        <w:pStyle w:val="Para 02"/>
      </w:pPr>
      <w:r>
        <w:t>example.internal. static-key 257 3 13 "jkmS5hfyY3nSww....";</w:t>
      </w:r>
    </w:p>
    <w:p>
      <w:pPr>
        <w:pStyle w:val="Normal"/>
      </w:pPr>
      <w:r>
        <w:t>};</w:t>
      </w:r>
    </w:p>
    <w:p>
      <w:pPr>
        <w:pStyle w:val="Para 17"/>
      </w:pPr>
      <w:r>
        <w:t/>
      </w:r>
    </w:p>
    <w:p>
      <w:pPr>
        <w:pStyle w:val="Normal"/>
      </w:pPr>
      <w:r>
        <w:t xml:space="preserve">Now delv can be used to query the </w:t>
      </w:r>
      <w:r>
        <w:rPr>
          <w:rStyle w:val="Text3"/>
        </w:rPr>
        <w:t>example.internal</w:t>
      </w:r>
      <w:r>
        <w:t xml:space="preserve"> zone and perform DNSSEC validation:</w:t>
      </w:r>
    </w:p>
    <w:p>
      <w:pPr>
        <w:pStyle w:val="Normal"/>
      </w:pPr>
      <w:r>
        <w:t>$ delv @127.0.0.1 -a /tmp/example.key +root=example.internal noble.example.internal</w:t>
        <w:t xml:space="preserve"> </w:t>
        <w:t>+multiline</w:t>
      </w:r>
    </w:p>
    <w:p>
      <w:pPr>
        <w:pStyle w:val="Normal"/>
      </w:pPr>
      <w:r>
        <w:t>; fully validated</w:t>
      </w:r>
    </w:p>
    <w:p>
      <w:pPr>
        <w:pStyle w:val="Normal"/>
      </w:pPr>
      <w:r>
        <w:t>noble.example.internal. 86400 IN A 192.168.1.11</w:t>
      </w:r>
    </w:p>
    <w:p>
      <w:pPr>
        <w:pStyle w:val="Normal"/>
      </w:pPr>
      <w:r>
        <w:t>noble.example.internal. 86400 IN RRSIG A 13 3 86400 (</w:t>
      </w:r>
    </w:p>
    <w:p>
      <w:pPr>
        <w:pStyle w:val="Para 21"/>
      </w:pPr>
      <w:r>
        <w:t>20241106131533 20241023195023 48112 example.internal.</w:t>
      </w:r>
    </w:p>
    <w:p>
      <w:pPr>
        <w:pStyle w:val="Para 19"/>
      </w:pPr>
      <w:r>
        <w:t>5fL4apIwCD9kt4XbzzlLxMXY3mj8Li1WZu3qzlcBpERp</w:t>
      </w:r>
    </w:p>
    <w:p>
      <w:pPr>
        <w:pStyle w:val="Para 19"/>
      </w:pPr>
      <w:r>
        <w:t>lXPgLODbRrWyp7L81xEFnfhecKtEYv+6Y0Xa5iVRug== )</w:t>
      </w:r>
    </w:p>
    <w:p>
      <w:pPr>
        <w:pStyle w:val="Para 17"/>
      </w:pPr>
      <w:r>
        <w:t/>
      </w:r>
    </w:p>
    <w:p>
      <w:pPr>
        <w:pStyle w:val="Normal"/>
      </w:pPr>
      <w:r>
        <w:t>This output shows important DNSSEC attributes:</w:t>
      </w:r>
    </w:p>
    <w:p>
      <w:pPr>
        <w:pStyle w:val="Para 04"/>
      </w:pPr>
      <w:r>
        <w:t>• ; fully validated: The DNSSEC validation was completed successfully, and the pre-</w:t>
      </w:r>
    </w:p>
    <w:p>
      <w:pPr>
        <w:pStyle w:val="Para 02"/>
      </w:pPr>
      <w:r>
        <w:t>sented data is authenticated.</w:t>
      </w:r>
    </w:p>
    <w:p>
      <w:pPr>
        <w:pStyle w:val="Para 04"/>
      </w:pPr>
      <w:r>
        <w:t>• RRSIG: This is the signature Resource Record that accompanies the A record from the</w:t>
      </w:r>
    </w:p>
    <w:p>
      <w:pPr>
        <w:pStyle w:val="Para 02"/>
      </w:pPr>
      <w:r>
        <w:t>result.</w:t>
      </w:r>
    </w:p>
    <w:p>
      <w:pPr>
        <w:pStyle w:val="Para 17"/>
      </w:pPr>
      <w:r>
        <w:t/>
      </w:r>
    </w:p>
    <w:p>
      <w:pPr>
        <w:pStyle w:val="Para 01"/>
      </w:pPr>
      <w:r>
        <w:t>Connecting the dots: the parent zone</w:t>
      </w:r>
    </w:p>
    <w:p>
      <w:pPr>
        <w:pStyle w:val="Para 17"/>
      </w:pPr>
      <w:r>
        <w:t/>
      </w:r>
    </w:p>
    <w:p>
      <w:pPr>
        <w:pStyle w:val="Normal"/>
      </w:pPr>
      <w:r>
        <w:t>In order to complete the chain of trust, the parent zone needs to be able to vouch for the child zone we just signed. How this is exactly done varies, depending on who is the administrator of the parent zone. It could be as simple as just pasting the DS or DNSKEY records in a form.</w:t>
      </w:r>
    </w:p>
    <w:p>
      <w:pPr>
        <w:pStyle w:val="Normal"/>
      </w:pPr>
      <w:r>
        <w:t>Typically what is needed is either a DS record, or a DNSKEY record. Here is how to produce them, ready to be sent to the parent.</w:t>
      </w:r>
    </w:p>
    <w:p>
      <w:pPr>
        <w:pStyle w:val="Para 17"/>
      </w:pPr>
      <w:r>
        <w:t/>
      </w:r>
    </w:p>
    <w:p>
      <w:pPr>
        <w:pStyle w:val="Para 01"/>
      </w:pPr>
      <w:r>
        <w:t>DS record format</w:t>
      </w:r>
    </w:p>
    <w:p>
      <w:pPr>
        <w:pStyle w:val="Para 17"/>
      </w:pPr>
      <w:r>
        <w:t/>
      </w:r>
    </w:p>
    <w:p>
      <w:pPr>
        <w:pStyle w:val="Normal"/>
      </w:pPr>
      <w:r>
        <w:t>A DS record can be produced from the zone public key via the dnssec-dsfromkey tool. For example:</w:t>
      </w:r>
    </w:p>
    <w:p>
      <w:pPr>
        <w:pStyle w:val="Normal"/>
      </w:pPr>
      <w:r>
        <w:t>$ dnssec-dsfromkey /var/cache/bind/Kexample.internal.+013+48112.key</w:t>
        <w:t xml:space="preserve"> </w:t>
        <w:t>example.internal. IN DS 48112 13 2</w:t>
      </w:r>
    </w:p>
    <w:p>
      <w:pPr>
        <w:pStyle w:val="Normal"/>
      </w:pPr>
      <w:r>
        <w:t>1212DE7DA534556F1E11898F2C7A66736D5107962A19A0BFE1C2A67D6841962A</w:t>
      </w:r>
    </w:p>
    <w:p>
      <w:bookmarkStart w:id="360" w:name="calibre_pb_53"/>
      <w:pPr>
        <w:pStyle w:val="0 Block"/>
      </w:pPr>
      <w:bookmarkEnd w:id="360"/>
    </w:p>
    <w:p>
      <w:bookmarkStart w:id="361" w:name="Top_of_index_split_054_html"/>
      <w:bookmarkStart w:id="362" w:name="page_25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59" name="index-254_1.png" descr="index-254_1.png"/>
            <wp:cNvGraphicFramePr>
              <a:graphicFrameLocks noChangeAspect="1"/>
            </wp:cNvGraphicFramePr>
            <a:graphic>
              <a:graphicData uri="http://schemas.openxmlformats.org/drawingml/2006/picture">
                <pic:pic>
                  <pic:nvPicPr>
                    <pic:cNvPr id="0" name="index-254_1.png" descr="index-254_1.png"/>
                    <pic:cNvPicPr/>
                  </pic:nvPicPr>
                  <pic:blipFill>
                    <a:blip r:embed="rId263"/>
                    <a:stretch>
                      <a:fillRect/>
                    </a:stretch>
                  </pic:blipFill>
                  <pic:spPr>
                    <a:xfrm>
                      <a:off x="0" y="0"/>
                      <a:ext cx="914400" cy="266700"/>
                    </a:xfrm>
                    <a:prstGeom prst="rect">
                      <a:avLst/>
                    </a:prstGeom>
                  </pic:spPr>
                </pic:pic>
              </a:graphicData>
            </a:graphic>
          </wp:anchor>
        </w:drawing>
      </w:r>
      <w:bookmarkEnd w:id="361"/>
      <w:bookmarkEnd w:id="362"/>
    </w:p>
    <w:p>
      <w:pPr>
        <w:pStyle w:val="Para 17"/>
      </w:pPr>
      <w:r>
        <w:t/>
      </w:r>
    </w:p>
    <w:p>
      <w:pPr>
        <w:pStyle w:val="Normal"/>
      </w:pPr>
      <w:r>
        <w:t>The DNSKEY format doesn’t need tooling, and can be found directly in the zone’s public key file, after the lines that start with the comment delimiter ;:</w:t>
      </w:r>
    </w:p>
    <w:p>
      <w:pPr>
        <w:pStyle w:val="Normal"/>
      </w:pPr>
      <w:r>
        <w:t>$ cat /var/cache/bind/Kexample.internal.+013+48112.key</w:t>
        <w:t xml:space="preserve"> </w:t>
        <w:t>; This is a key-signing key, keyid 48112, for example.internal.</w:t>
        <w:t xml:space="preserve"> </w:t>
        <w:t>; Created: 20241023205023 (Wed Oct 23 20:50:23 2024)</w:t>
      </w:r>
    </w:p>
    <w:p>
      <w:pPr>
        <w:pStyle w:val="Normal"/>
      </w:pPr>
      <w:r>
        <w:t>; Publish: 20241023205023 (Wed Oct 23 20:50:23 2024)</w:t>
      </w:r>
    </w:p>
    <w:p>
      <w:pPr>
        <w:pStyle w:val="Normal"/>
      </w:pPr>
      <w:r>
        <w:t>; Activate: 20241023205023 (Wed Oct 23 20:50:23 2024)</w:t>
      </w:r>
    </w:p>
    <w:p>
      <w:pPr>
        <w:pStyle w:val="Normal"/>
      </w:pPr>
      <w:r>
        <w:t>; SyncPublish: 20241024215523 (Thu Oct 24 21:55:23 2024)</w:t>
        <w:t xml:space="preserve"> </w:t>
        <w:t>example.internal. 3600 IN DNSKEY 257 3 13 jkmS5hfyY3nSww4tD9Fy5d+GGc3A/</w:t>
        <w:t xml:space="preserve"> </w:t>
        <w:t>zR1CFUxmN8T2TKTkgGWp8dusllM 7TrIZTEg6wZxmMs754/ftoTA6jmM1g==</w:t>
      </w:r>
    </w:p>
    <w:p>
      <w:pPr>
        <w:pStyle w:val="Para 17"/>
      </w:pPr>
      <w:r>
        <w:t/>
      </w:r>
    </w:p>
    <w:p>
      <w:pPr>
        <w:pStyle w:val="Normal"/>
      </w:pPr>
      <w:r>
        <w:t>Taking that line, the actual record to send to the parent zone just needs a little bit of tweaking so it looks like this:</w:t>
      </w:r>
    </w:p>
    <w:p>
      <w:pPr>
        <w:pStyle w:val="Normal"/>
      </w:pPr>
      <w:r>
        <w:t>example.internal. 3600 IN DNSKEY 257 3 13 (jkmS5hfyY3nSww4tD9Fy5d+GGc3A/</w:t>
        <w:t xml:space="preserve"> </w:t>
        <w:t>zR1CFUxmN8T2TKTkgGWp8dusllM 7TrIZTEg6wZxmMs754/ftoTA6jmM1g==);</w:t>
      </w:r>
    </w:p>
    <w:p>
      <w:pPr>
        <w:pStyle w:val="Para 17"/>
      </w:pPr>
      <w:r>
        <w:t/>
      </w:r>
    </w:p>
    <w:p>
      <w:pPr>
        <w:pStyle w:val="Para 01"/>
      </w:pPr>
      <w:r>
        <w:t>Further reading</w:t>
      </w:r>
    </w:p>
    <w:p>
      <w:pPr>
        <w:pStyle w:val="Para 17"/>
      </w:pPr>
      <w:r>
        <w:t/>
      </w:r>
    </w:p>
    <w:p>
      <w:pPr>
        <w:pStyle w:val="Para 13"/>
      </w:pPr>
      <w:r>
        <w:rPr>
          <w:rStyle w:val="Text7"/>
        </w:rPr>
        <w:t xml:space="preserve">• </w:t>
      </w:r>
      <w:hyperlink r:id="rId1177">
        <w:r>
          <w:rPr>
            <w:rStyle w:val="Text10"/>
          </w:rPr>
          <w:t>174</w:t>
        </w:r>
      </w:hyperlink>
      <w:hyperlink r:id="rId1177">
        <w:r>
          <w:t xml:space="preserve"> The DNSSEC Guide from bind9</w:t>
        </w:r>
      </w:hyperlink>
    </w:p>
    <w:p>
      <w:pPr>
        <w:pStyle w:val="Para 13"/>
      </w:pPr>
      <w:r>
        <w:rPr>
          <w:rStyle w:val="Text7"/>
        </w:rPr>
        <w:t xml:space="preserve">• </w:t>
      </w:r>
      <w:hyperlink r:id="rId1178">
        <w:r>
          <w:rPr>
            <w:rStyle w:val="Text10"/>
          </w:rPr>
          <w:t>175</w:t>
        </w:r>
      </w:hyperlink>
      <w:hyperlink r:id="rId1178">
        <w:r>
          <w:t xml:space="preserve"> Easy-Start Guide for Signing Authoritative Zones</w:t>
        </w:r>
      </w:hyperlink>
    </w:p>
    <w:p>
      <w:pPr>
        <w:pStyle w:val="Para 13"/>
      </w:pPr>
      <w:r>
        <w:rPr>
          <w:rStyle w:val="Text7"/>
        </w:rPr>
        <w:t xml:space="preserve">• </w:t>
      </w:r>
      <w:hyperlink r:id="rId1179">
        <w:r>
          <w:rPr>
            <w:rStyle w:val="Text10"/>
          </w:rPr>
          <w:t>176</w:t>
        </w:r>
      </w:hyperlink>
      <w:hyperlink r:id="rId1179">
        <w:r>
          <w:t xml:space="preserve"> Creating a Custom DNSSEC Policy</w:t>
        </w:r>
      </w:hyperlink>
    </w:p>
    <w:p>
      <w:pPr>
        <w:pStyle w:val="Para 13"/>
      </w:pPr>
      <w:r>
        <w:rPr>
          <w:rStyle w:val="Text7"/>
        </w:rPr>
        <w:t xml:space="preserve">• </w:t>
      </w:r>
      <w:hyperlink w:anchor="page_254">
        <w:r>
          <w:rPr>
            <w:rStyle w:val="Text10"/>
          </w:rPr>
          <w:t>177</w:t>
        </w:r>
      </w:hyperlink>
      <w:r>
        <w:rPr>
          <w:rStyle w:val="Text7"/>
        </w:rPr>
        <w:t xml:space="preserve"> </w:t>
      </w:r>
      <w:hyperlink r:id="rId1180">
        <w:r>
          <w:t>Detailed DNSSEC chapter from the bind9 documentation</w:t>
        </w:r>
      </w:hyperlink>
    </w:p>
    <w:p>
      <w:pPr>
        <w:pStyle w:val="Para 04"/>
      </w:pPr>
      <w:r>
        <w:t xml:space="preserve">• </w:t>
      </w:r>
      <w:hyperlink w:anchor="page_254">
        <w:r>
          <w:rPr>
            <w:rStyle w:val="Text9"/>
          </w:rPr>
          <w:t>178</w:t>
        </w:r>
      </w:hyperlink>
      <w:r>
        <w:t xml:space="preserve"> </w:t>
      </w:r>
      <w:hyperlink r:id="rId1181">
        <w:r>
          <w:rPr>
            <w:rStyle w:val="Text2"/>
          </w:rPr>
          <w:t>delv(1)</w:t>
        </w:r>
      </w:hyperlink>
      <w:r>
        <w:t xml:space="preserve"> manual page</w:t>
      </w:r>
    </w:p>
    <w:p>
      <w:pPr>
        <w:pStyle w:val="Para 13"/>
      </w:pPr>
      <w:r>
        <w:rPr>
          <w:rStyle w:val="Text7"/>
        </w:rPr>
        <w:t xml:space="preserve">• </w:t>
      </w:r>
      <w:hyperlink w:anchor="page_254">
        <w:r>
          <w:rPr>
            <w:rStyle w:val="Text10"/>
          </w:rPr>
          <w:t>179</w:t>
        </w:r>
      </w:hyperlink>
      <w:r>
        <w:rPr>
          <w:rStyle w:val="Text7"/>
        </w:rPr>
        <w:t xml:space="preserve"> </w:t>
      </w:r>
      <w:hyperlink r:id="rId1182">
        <w:r>
          <w:t>Working with the parent zone</w:t>
        </w:r>
      </w:hyperlink>
    </w:p>
    <w:p>
      <w:pPr>
        <w:pStyle w:val="Para 17"/>
      </w:pPr>
      <w:r>
        <w:t/>
      </w:r>
    </w:p>
    <w:p>
      <w:pPr>
        <w:pStyle w:val="Para 01"/>
      </w:pPr>
      <w:r>
        <w:t>Basic DNSSEC troubleshooting</w:t>
      </w:r>
    </w:p>
    <w:p>
      <w:pPr>
        <w:pStyle w:val="Para 17"/>
      </w:pPr>
      <w:r>
        <w:t/>
      </w:r>
    </w:p>
    <w:p>
      <w:pPr>
        <w:pStyle w:val="Normal"/>
      </w:pPr>
      <w:r>
        <w:t xml:space="preserve">Some of the troubleshooting tips that will be shown here are focused on the BIND9 </w:t>
      </w:r>
      <w:hyperlink w:anchor="page_679">
        <w:r>
          <w:rPr>
            <w:rStyle w:val="Text2"/>
          </w:rPr>
          <w:t>DNS</w:t>
        </w:r>
      </w:hyperlink>
    </w:p>
    <w:p>
      <w:pPr>
        <w:pStyle w:val="Normal"/>
      </w:pPr>
      <w:r>
        <w:t xml:space="preserve">server and its tools, but the general principle applies to </w:t>
      </w:r>
      <w:hyperlink w:anchor="page_679">
        <w:r>
          <w:rPr>
            <w:rStyle w:val="Text2"/>
          </w:rPr>
          <w:t>DNSSEC</w:t>
        </w:r>
      </w:hyperlink>
      <w:r>
        <w:t xml:space="preserve"> in all implementations.</w:t>
      </w:r>
    </w:p>
    <w:p>
      <w:pPr>
        <w:pStyle w:val="Para 05"/>
      </w:pPr>
      <w:r>
        <w:rPr>
          <w:rStyle w:val="Text5"/>
        </w:rPr>
        <w:t>174</w:t>
      </w:r>
      <w:r>
        <w:rPr>
          <w:rStyle w:val="Text8"/>
        </w:rPr>
        <w:t xml:space="preserve"> </w:t>
      </w:r>
      <w:r>
        <w:t>https://bind9.readthedocs.io/en/stable/dnssec-guide.html</w:t>
      </w:r>
    </w:p>
    <w:p>
      <w:pPr>
        <w:pStyle w:val="Para 05"/>
      </w:pPr>
      <w:r>
        <w:rPr>
          <w:rStyle w:val="Text5"/>
        </w:rPr>
        <w:t>175</w:t>
      </w:r>
      <w:r>
        <w:rPr>
          <w:rStyle w:val="Text8"/>
        </w:rPr>
        <w:t xml:space="preserve"> </w:t>
      </w:r>
      <w:r>
        <w:t>https://bind9.readthedocs.io/en/stable/dnssec-guide.html#signing</w:t>
      </w:r>
    </w:p>
    <w:p>
      <w:pPr>
        <w:pStyle w:val="Para 05"/>
      </w:pPr>
      <w:r>
        <w:rPr>
          <w:rStyle w:val="Text5"/>
        </w:rPr>
        <w:t>176</w:t>
      </w:r>
      <w:r>
        <w:rPr>
          <w:rStyle w:val="Text8"/>
        </w:rPr>
        <w:t xml:space="preserve"> </w:t>
      </w:r>
      <w:r>
        <w:t>https://bind9.readthedocs.io/en/stable/dnssec-guide.html#signing-custom-policy</w:t>
      </w:r>
    </w:p>
    <w:p>
      <w:pPr>
        <w:pStyle w:val="Para 05"/>
      </w:pPr>
      <w:r>
        <w:rPr>
          <w:rStyle w:val="Text5"/>
        </w:rPr>
        <w:t>177</w:t>
      </w:r>
      <w:r>
        <w:rPr>
          <w:rStyle w:val="Text8"/>
        </w:rPr>
        <w:t xml:space="preserve"> </w:t>
      </w:r>
      <w:r>
        <w:t>https://bind9.readthedocs.io/en/stable/chapter5.html</w:t>
      </w:r>
    </w:p>
    <w:p>
      <w:pPr>
        <w:pStyle w:val="Para 05"/>
      </w:pPr>
      <w:r>
        <w:rPr>
          <w:rStyle w:val="Text5"/>
        </w:rPr>
        <w:t>178</w:t>
      </w:r>
      <w:r>
        <w:rPr>
          <w:rStyle w:val="Text8"/>
        </w:rPr>
        <w:t xml:space="preserve"> </w:t>
      </w:r>
      <w:r>
        <w:t>https://manpages.ubuntu.com/manpages/resolute/man1/delv.1.html</w:t>
      </w:r>
    </w:p>
    <w:p>
      <w:pPr>
        <w:pStyle w:val="Para 05"/>
      </w:pPr>
      <w:r>
        <w:rPr>
          <w:rStyle w:val="Text5"/>
        </w:rPr>
        <w:t>179</w:t>
      </w:r>
      <w:r>
        <w:rPr>
          <w:rStyle w:val="Text8"/>
        </w:rPr>
        <w:t xml:space="preserve"> </w:t>
      </w:r>
      <w:r>
        <w:t>https://bind9.readthedocs.io/en/latest/dnssec-guide.html#working-with-the-parent-zone</w:t>
      </w:r>
    </w:p>
    <w:p>
      <w:bookmarkStart w:id="363" w:name="calibre_pb_54"/>
      <w:pPr>
        <w:pStyle w:val="0 Block"/>
      </w:pPr>
      <w:bookmarkEnd w:id="363"/>
    </w:p>
    <w:p>
      <w:bookmarkStart w:id="364" w:name="page_255"/>
      <w:bookmarkStart w:id="365" w:name="Top_of_index_split_05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0" name="index-255_1.png" descr="index-255_1.png"/>
            <wp:cNvGraphicFramePr>
              <a:graphicFrameLocks noChangeAspect="1"/>
            </wp:cNvGraphicFramePr>
            <a:graphic>
              <a:graphicData uri="http://schemas.openxmlformats.org/drawingml/2006/picture">
                <pic:pic>
                  <pic:nvPicPr>
                    <pic:cNvPr id="0" name="index-255_1.png" descr="index-255_1.png"/>
                    <pic:cNvPicPr/>
                  </pic:nvPicPr>
                  <pic:blipFill>
                    <a:blip r:embed="rId264"/>
                    <a:stretch>
                      <a:fillRect/>
                    </a:stretch>
                  </pic:blipFill>
                  <pic:spPr>
                    <a:xfrm>
                      <a:off x="0" y="0"/>
                      <a:ext cx="914400" cy="266700"/>
                    </a:xfrm>
                    <a:prstGeom prst="rect">
                      <a:avLst/>
                    </a:prstGeom>
                  </pic:spPr>
                </pic:pic>
              </a:graphicData>
            </a:graphic>
          </wp:anchor>
        </w:drawing>
      </w:r>
      <w:bookmarkEnd w:id="364"/>
      <w:bookmarkEnd w:id="365"/>
    </w:p>
    <w:p>
      <w:pPr>
        <w:pStyle w:val="Para 01"/>
      </w:pPr>
      <w:r>
        <w:t>Handy “bad” and “good” DNSSEC domains</w:t>
      </w:r>
    </w:p>
    <w:p>
      <w:pPr>
        <w:pStyle w:val="Para 17"/>
      </w:pPr>
      <w:r>
        <w:t/>
      </w:r>
    </w:p>
    <w:p>
      <w:pPr>
        <w:pStyle w:val="Normal"/>
      </w:pPr>
      <w:r>
        <w:t>It helps to have some good known domains with broken and working DNSSEC available for testing, so we can be sure our tooling is catching those, and not just failing everywhere. There is no guarantee that these domains will be up forever, and certainly there are more out there, but this list is a good first choice:</w:t>
      </w:r>
    </w:p>
    <w:p>
      <w:pPr>
        <w:pStyle w:val="Para 04"/>
      </w:pPr>
      <w:r>
        <w:t>• These should fail DNSSEC validation:</w:t>
      </w:r>
    </w:p>
    <w:p>
      <w:pPr>
        <w:pStyle w:val="Para 26"/>
      </w:pPr>
      <w:r>
        <w:rPr>
          <w:rStyle w:val="Text12"/>
        </w:rPr>
        <w:t>–</w:t>
      </w:r>
      <w:r>
        <w:rPr>
          <w:rStyle w:val="Text4"/>
        </w:rPr>
        <w:t xml:space="preserve"> </w:t>
      </w:r>
      <w:hyperlink w:anchor="page_255">
        <w:r>
          <w:rPr>
            <w:rStyle w:val="Text15"/>
          </w:rPr>
          <w:t>180</w:t>
        </w:r>
      </w:hyperlink>
      <w:r>
        <w:rPr>
          <w:rStyle w:val="Text4"/>
        </w:rPr>
        <w:t xml:space="preserve"> </w:t>
      </w:r>
      <w:hyperlink r:id="rId1183">
        <w:r>
          <w:t>dnssec-failed.org</w:t>
        </w:r>
      </w:hyperlink>
    </w:p>
    <w:p>
      <w:pPr>
        <w:pStyle w:val="Para 54"/>
      </w:pPr>
      <w:r>
        <w:rPr>
          <w:rStyle w:val="Text17"/>
        </w:rPr>
        <w:t>–</w:t>
      </w:r>
      <w:r>
        <w:rPr>
          <w:rStyle w:val="Text3"/>
        </w:rPr>
        <w:t xml:space="preserve"> </w:t>
      </w:r>
      <w:r>
        <w:t>sigfail.ippacket.stream</w:t>
      </w:r>
    </w:p>
    <w:p>
      <w:pPr>
        <w:pStyle w:val="Para 04"/>
      </w:pPr>
      <w:r>
        <w:t>• These should pass DNSSEC validation:</w:t>
      </w:r>
    </w:p>
    <w:p>
      <w:pPr>
        <w:pStyle w:val="Para 26"/>
      </w:pPr>
      <w:r>
        <w:rPr>
          <w:rStyle w:val="Text12"/>
        </w:rPr>
        <w:t>–</w:t>
      </w:r>
      <w:r>
        <w:rPr>
          <w:rStyle w:val="Text4"/>
        </w:rPr>
        <w:t xml:space="preserve"> </w:t>
      </w:r>
      <w:hyperlink r:id="rId1184">
        <w:r>
          <w:rPr>
            <w:rStyle w:val="Text15"/>
          </w:rPr>
          <w:t>181</w:t>
        </w:r>
      </w:hyperlink>
      <w:r>
        <w:rPr>
          <w:rStyle w:val="Text4"/>
        </w:rPr>
        <w:t xml:space="preserve"> </w:t>
      </w:r>
      <w:hyperlink r:id="rId1184">
        <w:r>
          <w:t>isc.org</w:t>
        </w:r>
      </w:hyperlink>
    </w:p>
    <w:p>
      <w:pPr>
        <w:pStyle w:val="Para 54"/>
      </w:pPr>
      <w:r>
        <w:rPr>
          <w:rStyle w:val="Text17"/>
        </w:rPr>
        <w:t>–</w:t>
      </w:r>
      <w:r>
        <w:rPr>
          <w:rStyle w:val="Text3"/>
        </w:rPr>
        <w:t xml:space="preserve"> </w:t>
      </w:r>
      <w:r>
        <w:t>sigok.ippacket.stream</w:t>
      </w:r>
    </w:p>
    <w:p>
      <w:pPr>
        <w:pStyle w:val="Para 17"/>
      </w:pPr>
      <w:r>
        <w:t/>
      </w:r>
    </w:p>
    <w:p>
      <w:pPr>
        <w:pStyle w:val="Para 01"/>
      </w:pPr>
      <w:r>
        <w:t>Logs</w:t>
      </w:r>
    </w:p>
    <w:p>
      <w:pPr>
        <w:pStyle w:val="Para 17"/>
      </w:pPr>
      <w:r>
        <w:t/>
      </w:r>
    </w:p>
    <w:p>
      <w:pPr>
        <w:pStyle w:val="Normal"/>
      </w:pPr>
      <w:r>
        <w:t xml:space="preserve">By default, the </w:t>
      </w:r>
      <w:hyperlink w:anchor="page_250">
        <w:r>
          <w:rPr>
            <w:rStyle w:val="Text2"/>
          </w:rPr>
          <w:t>BIND9 server</w:t>
        </w:r>
      </w:hyperlink>
      <w:r>
        <w:t xml:space="preserve"> (page 249) will log certain DNSSEC failures, and the journal log should be the first place to check.</w:t>
      </w:r>
    </w:p>
    <w:p>
      <w:pPr>
        <w:pStyle w:val="Normal"/>
      </w:pPr>
      <w:r>
        <w:t>For example, if we ask a BIND9 Validating Resolver for the IP address of the www.dnssec-failed.org name, we get a failure:</w:t>
      </w:r>
    </w:p>
    <w:p>
      <w:pPr>
        <w:pStyle w:val="Normal"/>
      </w:pPr>
      <w:r>
        <w:t>$ dig @127.0.0.1 -t A www.dnssec-failed.org</w:t>
      </w:r>
    </w:p>
    <w:p>
      <w:pPr>
        <w:pStyle w:val="Normal"/>
      </w:pPr>
      <w:r>
        <w:t>; &lt;&lt;&gt;&gt; DiG 9.20.11-Ubuntu &lt;&lt;&gt;&gt; @127.0.0.1 -t A www.dnssec-failed.org</w:t>
        <w:t xml:space="preserve"> </w:t>
        <w:t>; (1 server found)</w:t>
      </w:r>
    </w:p>
    <w:p>
      <w:pPr>
        <w:pStyle w:val="Normal"/>
      </w:pPr>
      <w:r>
        <w:t>;; global options: +cmd</w:t>
      </w:r>
    </w:p>
    <w:p>
      <w:pPr>
        <w:pStyle w:val="Normal"/>
      </w:pPr>
      <w:r>
        <w:t>;; Got answer:</w:t>
      </w:r>
    </w:p>
    <w:p>
      <w:pPr>
        <w:pStyle w:val="Normal"/>
      </w:pPr>
      <w:r>
        <w:t>;; -&gt;&gt;HEADER&lt;&lt;- opcode: QUERY, status: SERVFAIL, id: 26260</w:t>
        <w:t xml:space="preserve"> </w:t>
        <w:t>;; flags: qr rd ra; QUERY: 1, ANSWER: 0, AUTHORITY: 0, ADDITIONAL: 1</w:t>
      </w:r>
    </w:p>
    <w:p>
      <w:pPr>
        <w:pStyle w:val="Normal"/>
      </w:pPr>
      <w:r>
        <w:t>;; OPT PSEUDOSECTION:</w:t>
      </w:r>
    </w:p>
    <w:p>
      <w:pPr>
        <w:pStyle w:val="Normal"/>
      </w:pPr>
      <w:r>
        <w:t>; EDNS: version: 0, flags:; udp: 1232</w:t>
      </w:r>
    </w:p>
    <w:p>
      <w:pPr>
        <w:pStyle w:val="Normal"/>
      </w:pPr>
      <w:r>
        <w:t>; COOKIE: 6339d7228b8587f401000000671bc2eb2fe25bdf099ef1af (good)</w:t>
        <w:t xml:space="preserve"> </w:t>
        <w:t>;; QUESTION SECTION:</w:t>
      </w:r>
    </w:p>
    <w:p>
      <w:pPr>
        <w:pStyle w:val="Normal"/>
      </w:pPr>
      <w:r>
        <w:t>;www.dnssec-failed.org.</w:t>
        <w:t xml:space="preserve"> </w:t>
        <w:t>IN</w:t>
        <w:t xml:space="preserve"> </w:t>
        <w:t>A</w:t>
      </w:r>
    </w:p>
    <w:p>
      <w:pPr>
        <w:pStyle w:val="Normal"/>
      </w:pPr>
      <w:r>
        <w:t>;; Query time: 460 msec</w:t>
      </w:r>
    </w:p>
    <w:p>
      <w:pPr>
        <w:pStyle w:val="Normal"/>
      </w:pPr>
      <w:r>
        <w:t>;; SERVER: 127.0.0.1#53(127.0.0.1) (UDP)</w:t>
      </w:r>
    </w:p>
    <w:p>
      <w:pPr>
        <w:pStyle w:val="Normal"/>
      </w:pPr>
      <w:r>
        <w:t>;; WHEN: Fri Oct 25 16:10:19 UTC 2024</w:t>
      </w:r>
    </w:p>
    <w:p>
      <w:pPr>
        <w:pStyle w:val="Normal"/>
      </w:pPr>
      <w:r>
        <w:t>;; MSG SIZE</w:t>
        <w:t xml:space="preserve"> </w:t>
        <w:t>rcvd: 78</w:t>
      </w:r>
    </w:p>
    <w:p>
      <w:pPr>
        <w:pStyle w:val="Para 17"/>
      </w:pPr>
      <w:r>
        <w:t/>
      </w:r>
    </w:p>
    <w:p>
      <w:pPr>
        <w:pStyle w:val="Normal"/>
      </w:pPr>
      <w:r>
        <w:t>That’s a very generic failure: it just says SERVFAIL, and gives us no IP: IN A is empty. The BIND9 logs, however, tell a more detailed story:</w:t>
      </w:r>
    </w:p>
    <w:p>
      <w:pPr>
        <w:pStyle w:val="Normal"/>
      </w:pPr>
      <w:r>
        <w:t>$ journalctl -u named.service -f</w:t>
      </w:r>
    </w:p>
    <w:p>
      <w:pPr>
        <w:pStyle w:val="Normal"/>
      </w:pPr>
      <w:r>
        <w:t>(...)</w:t>
      </w:r>
    </w:p>
    <w:p>
      <w:pPr>
        <w:pStyle w:val="Normal"/>
      </w:pPr>
      <w:r>
        <w:t>named[286]: validating dnssec-failed.org/DNSKEY: no valid signature found (DS)</w:t>
        <w:t xml:space="preserve"> </w:t>
        <w:t>named[286]: no valid RRSIG resolving 'dnssec-failed.org/DNSKEY/IN': 68.87.85.132#53</w:t>
      </w:r>
    </w:p>
    <w:p>
      <w:pPr>
        <w:pStyle w:val="Para 09"/>
      </w:pPr>
      <w:r>
        <w:t>(continues on next page)</w:t>
      </w:r>
    </w:p>
    <w:p>
      <w:pPr>
        <w:pStyle w:val="Para 05"/>
      </w:pPr>
      <w:r>
        <w:rPr>
          <w:rStyle w:val="Text5"/>
        </w:rPr>
        <w:t>180</w:t>
      </w:r>
      <w:r>
        <w:rPr>
          <w:rStyle w:val="Text8"/>
        </w:rPr>
        <w:t xml:space="preserve"> </w:t>
      </w:r>
      <w:r>
        <w:t>http://dnssec-failed.org</w:t>
      </w:r>
    </w:p>
    <w:p>
      <w:pPr>
        <w:pStyle w:val="Para 05"/>
      </w:pPr>
      <w:r>
        <w:rPr>
          <w:rStyle w:val="Text5"/>
        </w:rPr>
        <w:t>181</w:t>
      </w:r>
      <w:r>
        <w:rPr>
          <w:rStyle w:val="Text8"/>
        </w:rPr>
        <w:t xml:space="preserve"> </w:t>
      </w:r>
      <w:r>
        <w:t>http://isc.org</w:t>
      </w:r>
    </w:p>
    <w:p>
      <w:bookmarkStart w:id="366" w:name="page_2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1" name="index-256_1.png" descr="index-256_1.png"/>
            <wp:cNvGraphicFramePr>
              <a:graphicFrameLocks noChangeAspect="1"/>
            </wp:cNvGraphicFramePr>
            <a:graphic>
              <a:graphicData uri="http://schemas.openxmlformats.org/drawingml/2006/picture">
                <pic:pic>
                  <pic:nvPicPr>
                    <pic:cNvPr id="0" name="index-256_1.png" descr="index-256_1.png"/>
                    <pic:cNvPicPr/>
                  </pic:nvPicPr>
                  <pic:blipFill>
                    <a:blip r:embed="rId265"/>
                    <a:stretch>
                      <a:fillRect/>
                    </a:stretch>
                  </pic:blipFill>
                  <pic:spPr>
                    <a:xfrm>
                      <a:off x="0" y="0"/>
                      <a:ext cx="914400" cy="266700"/>
                    </a:xfrm>
                    <a:prstGeom prst="rect">
                      <a:avLst/>
                    </a:prstGeom>
                  </pic:spPr>
                </pic:pic>
              </a:graphicData>
            </a:graphic>
          </wp:anchor>
        </w:drawing>
      </w:r>
      <w:bookmarkEnd w:id="366"/>
    </w:p>
    <w:p>
      <w:pPr>
        <w:pStyle w:val="Para 09"/>
      </w:pPr>
      <w:r>
        <w:t>(continued from previous page)</w:t>
      </w:r>
    </w:p>
    <w:p>
      <w:pPr>
        <w:pStyle w:val="Normal"/>
      </w:pPr>
      <w:r>
        <w:t>named[286]: validating dnssec-failed.org/DNSKEY: no valid signature found (DS)</w:t>
        <w:t xml:space="preserve"> </w:t>
        <w:t>named[286]: no valid RRSIG resolving 'dnssec-failed.org/DNSKEY/IN': 68.87.68.244#53</w:t>
        <w:t xml:space="preserve"> </w:t>
        <w:t>named[286]: validating dnssec-failed.org/DNSKEY: no valid signature found (DS)</w:t>
        <w:t xml:space="preserve"> </w:t>
        <w:t>named[286]: no valid RRSIG resolving 'dnssec-failed.org/DNSKEY/IN': 68.87.76.228#53</w:t>
        <w:t xml:space="preserve"> </w:t>
        <w:t>named[286]: validating dnssec-failed.org/DNSKEY: no valid signature found (DS)</w:t>
        <w:t xml:space="preserve"> </w:t>
        <w:t>named[286]: no valid RRSIG resolving 'dnssec-failed.org/DNSKEY/IN': 68.87.72.244#53</w:t>
        <w:t xml:space="preserve"> </w:t>
        <w:t>named[286]: validating dnssec-failed.org/DNSKEY: no valid signature found (DS)</w:t>
        <w:t xml:space="preserve"> </w:t>
        <w:t>named[286]: no valid RRSIG resolving 'dnssec-failed.org/DNSKEY/IN': 69.252.250.103#53</w:t>
        <w:t xml:space="preserve"> </w:t>
        <w:t>named[286]: broken trust chain resolving 'www.dnssec-failed.org/A/IN': 68.87.72.244#53</w:t>
      </w:r>
    </w:p>
    <w:p>
      <w:pPr>
        <w:pStyle w:val="Para 17"/>
      </w:pPr>
      <w:r>
        <w:t/>
      </w:r>
    </w:p>
    <w:p>
      <w:pPr>
        <w:pStyle w:val="Para 01"/>
      </w:pPr>
      <w:r>
        <w:t>Client-side tooling: dig</w:t>
      </w:r>
    </w:p>
    <w:p>
      <w:pPr>
        <w:pStyle w:val="Para 17"/>
      </w:pPr>
      <w:r>
        <w:t/>
      </w:r>
    </w:p>
    <w:p>
      <w:pPr>
        <w:pStyle w:val="Normal"/>
      </w:pPr>
      <w:r>
        <w:t>One of the more versatile DNS troubleshooting tools is dig, generally used for interrogat-ing DNS name servers to lookup and display domain information, but its broad functionality makes it a flexible aid for DNS troubleshooting. It provides direct control over setting most of the DNS flags in queries, and displays detailed responses for inspection.</w:t>
      </w:r>
    </w:p>
    <w:p>
      <w:pPr>
        <w:pStyle w:val="Normal"/>
      </w:pPr>
      <w:r>
        <w:t>For DNSSEC troubleshooting purposes, we are interested in the following features:</w:t>
      </w:r>
    </w:p>
    <w:p>
      <w:pPr>
        <w:pStyle w:val="Para 04"/>
      </w:pPr>
      <w:r>
        <w:t>• +dnssec: Set the “DNSSEC OK” bit in the queries, which tells the resolver to include in</w:t>
      </w:r>
    </w:p>
    <w:p>
      <w:pPr>
        <w:pStyle w:val="Para 17"/>
      </w:pPr>
      <w:r>
        <w:t>its responses the DNSSEC RRSIG records. This is also shown as a do flag in queries.</w:t>
      </w:r>
    </w:p>
    <w:p>
      <w:pPr>
        <w:pStyle w:val="Para 04"/>
      </w:pPr>
      <w:r>
        <w:t xml:space="preserve">• +cd: This means </w:t>
      </w:r>
      <w:r>
        <w:rPr>
          <w:rStyle w:val="Text3"/>
        </w:rPr>
        <w:t>check disabled</w:t>
      </w:r>
      <w:r>
        <w:t xml:space="preserve"> and tells the resolver we can accept unauthenticated</w:t>
      </w:r>
    </w:p>
    <w:p>
      <w:pPr>
        <w:pStyle w:val="Para 02"/>
      </w:pPr>
      <w:r>
        <w:t>data in the DNS responses.</w:t>
      </w:r>
    </w:p>
    <w:p>
      <w:pPr>
        <w:pStyle w:val="Para 04"/>
      </w:pPr>
      <w:r>
        <w:t xml:space="preserve">• ad: When included in a response, this flag means </w:t>
      </w:r>
      <w:r>
        <w:rPr>
          <w:rStyle w:val="Text3"/>
        </w:rPr>
        <w:t>authenticated data</w:t>
      </w:r>
      <w:r>
        <w:t>, and tells us that</w:t>
      </w:r>
    </w:p>
    <w:p>
      <w:pPr>
        <w:pStyle w:val="Para 02"/>
      </w:pPr>
      <w:r>
        <w:t>the resolver who provided this answer has performed DNSSEC validation.</w:t>
      </w:r>
    </w:p>
    <w:p>
      <w:pPr>
        <w:pStyle w:val="Para 04"/>
      </w:pPr>
      <w:r>
        <w:t>• @&lt;IP&gt;: This parameter lets us direct the query to a specific DNS server running at the</w:t>
      </w:r>
    </w:p>
    <w:p>
      <w:pPr>
        <w:pStyle w:val="Para 02"/>
      </w:pPr>
      <w:r>
        <w:t>provided IP address.</w:t>
      </w:r>
    </w:p>
    <w:p>
      <w:pPr>
        <w:pStyle w:val="Normal"/>
      </w:pPr>
      <w:r>
        <w:t xml:space="preserve">For example, let’s query the local systemd-resolved DNS stub resolver (running at </w:t>
      </w:r>
      <w:r>
        <w:rPr>
          <w:rStyle w:val="Text0"/>
        </w:rPr>
        <w:t>127.0.0.53</w:t>
      </w:r>
      <w:r>
        <w:t>)</w:t>
      </w:r>
    </w:p>
    <w:p>
      <w:pPr>
        <w:pStyle w:val="Normal"/>
      </w:pPr>
      <w:r>
        <w:t xml:space="preserve">for the </w:t>
      </w:r>
      <w:hyperlink r:id="rId1184">
        <w:r>
          <w:rPr>
            <w:rStyle w:val="Text9"/>
          </w:rPr>
          <w:t>182</w:t>
        </w:r>
      </w:hyperlink>
      <w:hyperlink r:id="rId1184">
        <w:r>
          <w:rPr>
            <w:rStyle w:val="Text1"/>
          </w:rPr>
          <w:t xml:space="preserve"> </w:t>
        </w:r>
      </w:hyperlink>
      <w:hyperlink r:id="rId1184">
        <w:r>
          <w:rPr>
            <w:rStyle w:val="Text2"/>
          </w:rPr>
          <w:t>isc.org</w:t>
        </w:r>
      </w:hyperlink>
      <w:r>
        <w:t xml:space="preserve"> type </w:t>
      </w:r>
      <w:r>
        <w:rPr>
          <w:rStyle w:val="Text3"/>
        </w:rPr>
        <w:t>A</w:t>
      </w:r>
      <w:r>
        <w:t xml:space="preserve"> record, and request DNSSEC data:</w:t>
      </w:r>
    </w:p>
    <w:p>
      <w:pPr>
        <w:pStyle w:val="Para 17"/>
      </w:pPr>
      <w:r>
        <w:t/>
      </w:r>
    </w:p>
    <w:p>
      <w:pPr>
        <w:pStyle w:val="Para 08"/>
      </w:pPr>
      <w:r>
        <w:t>Note:</w:t>
      </w:r>
    </w:p>
    <w:p>
      <w:pPr>
        <w:pStyle w:val="Para 03"/>
      </w:pPr>
      <w:r>
        <w:t>We need to (temporarily) enable DNSSEC validation and potentially set DNSSEC capable</w:t>
      </w:r>
    </w:p>
    <w:p>
      <w:pPr>
        <w:pStyle w:val="Para 03"/>
      </w:pPr>
      <w:r>
        <w:t>upstream servers (e.g. Cloudflare’s 1.1.1.1, in case your upstream DNS server cannot</w:t>
      </w:r>
    </w:p>
    <w:p>
      <w:pPr>
        <w:pStyle w:val="Para 03"/>
      </w:pPr>
      <w:r>
        <w:t>properly handle it) in systemd-resolved, as shown below. After our experiments, we might</w:t>
      </w:r>
    </w:p>
    <w:p>
      <w:pPr>
        <w:pStyle w:val="Para 03"/>
      </w:pPr>
      <w:r>
        <w:t>want to restore the default settings, using: resolvectl revert eth0</w:t>
      </w:r>
    </w:p>
    <w:p>
      <w:pPr>
        <w:pStyle w:val="Para 17"/>
      </w:pPr>
      <w:r>
        <w:t/>
      </w:r>
    </w:p>
    <w:p>
      <w:pPr>
        <w:pStyle w:val="Normal"/>
      </w:pPr>
      <w:r>
        <w:t>$ resolvectl dnssec eth0 true</w:t>
      </w:r>
    </w:p>
    <w:p>
      <w:pPr>
        <w:pStyle w:val="Normal"/>
      </w:pPr>
      <w:r>
        <w:t>$ resolvectl dns eth0 1.1.1.1</w:t>
      </w:r>
    </w:p>
    <w:p>
      <w:pPr>
        <w:pStyle w:val="Normal"/>
      </w:pPr>
      <w:r>
        <w:t>$ dig @127.0.0.53 -t A +dnssec +multiline isc.org</w:t>
      </w:r>
    </w:p>
    <w:p>
      <w:pPr>
        <w:pStyle w:val="Normal"/>
      </w:pPr>
      <w:r>
        <w:t>; &lt;&lt;&gt;&gt; DiG 9.20.11-Ubuntu &lt;&lt;&gt;&gt; @127.0.0.53 -t A +dnssec +multiline isc.org</w:t>
        <w:t xml:space="preserve"> </w:t>
        <w:t>; (1 server found)</w:t>
      </w:r>
    </w:p>
    <w:p>
      <w:pPr>
        <w:pStyle w:val="Normal"/>
      </w:pPr>
      <w:r>
        <w:t>;; global options: +cmd</w:t>
      </w:r>
    </w:p>
    <w:p>
      <w:pPr>
        <w:pStyle w:val="Normal"/>
      </w:pPr>
      <w:r>
        <w:t>;; Got answer:</w:t>
      </w:r>
    </w:p>
    <w:p>
      <w:pPr>
        <w:pStyle w:val="Normal"/>
      </w:pPr>
      <w:r>
        <w:t>;; -&gt;&gt;HEADER&lt;&lt;- opcode: QUERY, status: NOERROR, id: 23376</w:t>
        <w:t xml:space="preserve"> </w:t>
        <w:t>;; flags: qr rd ra ad; QUERY: 1, ANSWER: 5, AUTHORITY: 0, ADDITIONAL: 1</w:t>
      </w:r>
    </w:p>
    <w:p>
      <w:pPr>
        <w:pStyle w:val="Para 09"/>
      </w:pPr>
      <w:r>
        <w:t>(continues on next page)</w:t>
      </w:r>
    </w:p>
    <w:p>
      <w:pPr>
        <w:pStyle w:val="Para 05"/>
      </w:pPr>
      <w:r>
        <w:rPr>
          <w:rStyle w:val="Text5"/>
        </w:rPr>
        <w:t>182</w:t>
      </w:r>
      <w:r>
        <w:rPr>
          <w:rStyle w:val="Text8"/>
        </w:rPr>
        <w:t xml:space="preserve"> </w:t>
      </w:r>
      <w:r>
        <w:t>http://isc.org</w:t>
      </w:r>
    </w:p>
    <w:p>
      <w:bookmarkStart w:id="367" w:name="page_2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2" name="index-257_1.png" descr="index-257_1.png"/>
            <wp:cNvGraphicFramePr>
              <a:graphicFrameLocks noChangeAspect="1"/>
            </wp:cNvGraphicFramePr>
            <a:graphic>
              <a:graphicData uri="http://schemas.openxmlformats.org/drawingml/2006/picture">
                <pic:pic>
                  <pic:nvPicPr>
                    <pic:cNvPr id="0" name="index-257_1.png" descr="index-257_1.png"/>
                    <pic:cNvPicPr/>
                  </pic:nvPicPr>
                  <pic:blipFill>
                    <a:blip r:embed="rId266"/>
                    <a:stretch>
                      <a:fillRect/>
                    </a:stretch>
                  </pic:blipFill>
                  <pic:spPr>
                    <a:xfrm>
                      <a:off x="0" y="0"/>
                      <a:ext cx="914400" cy="266700"/>
                    </a:xfrm>
                    <a:prstGeom prst="rect">
                      <a:avLst/>
                    </a:prstGeom>
                  </pic:spPr>
                </pic:pic>
              </a:graphicData>
            </a:graphic>
          </wp:anchor>
        </w:drawing>
      </w:r>
      <w:bookmarkEnd w:id="367"/>
    </w:p>
    <w:p>
      <w:pPr>
        <w:pStyle w:val="Para 09"/>
      </w:pPr>
      <w:r>
        <w:t>(continued from previous page)</w:t>
      </w:r>
    </w:p>
    <w:p>
      <w:pPr>
        <w:pStyle w:val="Normal"/>
      </w:pPr>
      <w:r>
        <w:t>;; OPT PSEUDOSECTION:</w:t>
      </w:r>
    </w:p>
    <w:p>
      <w:pPr>
        <w:pStyle w:val="Normal"/>
      </w:pPr>
      <w:r>
        <w:t>; EDNS: version: 0, flags: do; udp: 65494</w:t>
      </w:r>
    </w:p>
    <w:p>
      <w:pPr>
        <w:pStyle w:val="Normal"/>
      </w:pPr>
      <w:r>
        <w:t>;; QUESTION SECTION:</w:t>
      </w:r>
    </w:p>
    <w:p>
      <w:pPr>
        <w:pStyle w:val="Normal"/>
      </w:pPr>
      <w:r>
        <w:t>;isc.org.</w:t>
        <w:t xml:space="preserve"> </w:t>
        <w:t>IN A</w:t>
      </w:r>
    </w:p>
    <w:p>
      <w:pPr>
        <w:pStyle w:val="Normal"/>
      </w:pPr>
      <w:r>
        <w:t>;; ANSWER SECTION:</w:t>
      </w:r>
    </w:p>
    <w:p>
      <w:pPr>
        <w:pStyle w:val="Normal"/>
      </w:pPr>
      <w:r>
        <w:t>isc.org.</w:t>
        <w:t xml:space="preserve"> </w:t>
        <w:t>299 IN A 151.101.2.217</w:t>
        <w:t xml:space="preserve"> </w:t>
        <w:t>isc.org.</w:t>
        <w:t xml:space="preserve"> </w:t>
        <w:t>299 IN A 151.101.66.217</w:t>
        <w:t xml:space="preserve"> </w:t>
        <w:t>isc.org.</w:t>
        <w:t xml:space="preserve"> </w:t>
        <w:t>299 IN A 151.101.130.217</w:t>
        <w:t xml:space="preserve"> </w:t>
        <w:t>isc.org.</w:t>
        <w:t xml:space="preserve"> </w:t>
        <w:t>299 IN A 151.101.194.217</w:t>
        <w:t xml:space="preserve"> </w:t>
        <w:t>isc.org.</w:t>
        <w:t xml:space="preserve"> </w:t>
        <w:t>299 IN RRSIG A 13 2 300 (</w:t>
      </w:r>
    </w:p>
    <w:p>
      <w:pPr>
        <w:pStyle w:val="Para 15"/>
      </w:pPr>
      <w:r>
        <w:t>20260130043603 20260116034316 27566 isc.org.</w:t>
      </w:r>
    </w:p>
    <w:p>
      <w:pPr>
        <w:pStyle w:val="Para 15"/>
      </w:pPr>
      <w:r>
        <w:t>kp+MQSlXw7xOqU072l4g3/Fq815ucOv5rN77kxizdxnL</w:t>
      </w:r>
    </w:p>
    <w:p>
      <w:pPr>
        <w:pStyle w:val="Para 15"/>
      </w:pPr>
      <w:r>
        <w:t>EMwYbgtcvI+AgDIwhm9qgLhc2GO6pUUF+puJCokxNA== )</w:t>
      </w:r>
    </w:p>
    <w:p>
      <w:pPr>
        <w:pStyle w:val="Normal"/>
      </w:pPr>
      <w:r>
        <w:t>;; Query time: 26 msec</w:t>
      </w:r>
    </w:p>
    <w:p>
      <w:pPr>
        <w:pStyle w:val="Normal"/>
      </w:pPr>
      <w:r>
        <w:t>;; SERVER: 127.0.0.53#53(127.0.0.53) (UDP)</w:t>
      </w:r>
    </w:p>
    <w:p>
      <w:pPr>
        <w:pStyle w:val="Normal"/>
      </w:pPr>
      <w:r>
        <w:t>;; WHEN: Thu Jan 22 13:56:58 UTC 2026</w:t>
      </w:r>
    </w:p>
    <w:p>
      <w:pPr>
        <w:pStyle w:val="Normal"/>
      </w:pPr>
      <w:r>
        <w:t>;; MSG SIZE</w:t>
        <w:t xml:space="preserve"> </w:t>
        <w:t>rcvd: 203</w:t>
      </w:r>
    </w:p>
    <w:p>
      <w:pPr>
        <w:pStyle w:val="Para 17"/>
      </w:pPr>
      <w:r>
        <w:t/>
      </w:r>
    </w:p>
    <w:p>
      <w:pPr>
        <w:pStyle w:val="Normal"/>
      </w:pPr>
      <w:r>
        <w:t>Let’s unpack this answer for the important troubleshooting parts:</w:t>
      </w:r>
    </w:p>
    <w:p>
      <w:pPr>
        <w:pStyle w:val="Para 04"/>
      </w:pPr>
      <w:r>
        <w:t>• The answer has the ad flag set, meaning this data was authenticated. In other words,</w:t>
      </w:r>
    </w:p>
    <w:p>
      <w:pPr>
        <w:pStyle w:val="Para 02"/>
      </w:pPr>
      <w:r>
        <w:t>DNSSEC validation was successful.</w:t>
      </w:r>
    </w:p>
    <w:p>
      <w:pPr>
        <w:pStyle w:val="Para 04"/>
      </w:pPr>
      <w:r>
        <w:t>• The status of the query is NOERROR, and we have 5 records in the answer section.</w:t>
      </w:r>
    </w:p>
    <w:p>
      <w:pPr>
        <w:pStyle w:val="Para 04"/>
      </w:pPr>
      <w:r>
        <w:t>• An RRSIG record for the “A” Resource Record was returned as requested by the +dnssec</w:t>
      </w:r>
    </w:p>
    <w:p>
      <w:pPr>
        <w:pStyle w:val="Para 02"/>
      </w:pPr>
      <w:r>
        <w:t>command-line parameter. This is also confirmed by the presence of the “do” flag in the “OPT PSEUDOSECTION”.</w:t>
      </w:r>
    </w:p>
    <w:p>
      <w:pPr>
        <w:pStyle w:val="Normal"/>
      </w:pPr>
      <w:r>
        <w:t>If we repeat this query with a domain that we know fails DNSSEC validation, we get the fol-lowing reply:</w:t>
      </w:r>
    </w:p>
    <w:p>
      <w:pPr>
        <w:pStyle w:val="Normal"/>
      </w:pPr>
      <w:r>
        <w:t>$ dig @127.0.0.53 -t A +dnssec +multiline dnssec-failed.org</w:t>
      </w:r>
    </w:p>
    <w:p>
      <w:pPr>
        <w:pStyle w:val="Normal"/>
      </w:pPr>
      <w:r>
        <w:t>; &lt;&lt;&gt;&gt; DiG 9.20.11-Ubuntu &lt;&lt;&gt;&gt; @127.0.0.53 -t A +dnssec +multiline dnssec-failed.org</w:t>
        <w:t xml:space="preserve"> </w:t>
        <w:t>; (1 server found)</w:t>
      </w:r>
    </w:p>
    <w:p>
      <w:pPr>
        <w:pStyle w:val="Normal"/>
      </w:pPr>
      <w:r>
        <w:t>;; global options: +cmd</w:t>
      </w:r>
    </w:p>
    <w:p>
      <w:pPr>
        <w:pStyle w:val="Normal"/>
      </w:pPr>
      <w:r>
        <w:t>;; Got answer:</w:t>
      </w:r>
    </w:p>
    <w:p>
      <w:pPr>
        <w:pStyle w:val="Normal"/>
      </w:pPr>
      <w:r>
        <w:t>;; -&gt;&gt;HEADER&lt;&lt;- opcode: QUERY, status: SERVFAIL, id: 2028</w:t>
        <w:t xml:space="preserve"> </w:t>
        <w:t>;; flags: qr rd ra; QUERY: 1, ANSWER: 0, AUTHORITY: 0, ADDITIONAL: 1</w:t>
      </w:r>
    </w:p>
    <w:p>
      <w:pPr>
        <w:pStyle w:val="Normal"/>
      </w:pPr>
      <w:r>
        <w:t>;; OPT PSEUDOSECTION:</w:t>
      </w:r>
    </w:p>
    <w:p>
      <w:pPr>
        <w:pStyle w:val="Normal"/>
      </w:pPr>
      <w:r>
        <w:t>; EDNS: version: 0, flags: do; udp: 65494</w:t>
      </w:r>
    </w:p>
    <w:p>
      <w:pPr>
        <w:pStyle w:val="Normal"/>
      </w:pPr>
      <w:r>
        <w:t>; EDE: 9 (DNSKEY Missing): (no SEP matching the DS found for dnssec-failed.org.)</w:t>
        <w:t xml:space="preserve"> </w:t>
        <w:t>;; QUESTION SECTION:</w:t>
      </w:r>
    </w:p>
    <w:p>
      <w:pPr>
        <w:pStyle w:val="Normal"/>
      </w:pPr>
      <w:r>
        <w:t>;dnssec-failed.org.</w:t>
        <w:t xml:space="preserve"> </w:t>
        <w:t>IN A</w:t>
      </w:r>
    </w:p>
    <w:p>
      <w:pPr>
        <w:pStyle w:val="Normal"/>
      </w:pPr>
      <w:r>
        <w:t>;; Query time: 219 msec</w:t>
      </w:r>
    </w:p>
    <w:p>
      <w:pPr>
        <w:pStyle w:val="Normal"/>
      </w:pPr>
      <w:r>
        <w:t>;; SERVER: 127.0.0.53#53(127.0.0.53) (UDP)</w:t>
      </w:r>
    </w:p>
    <w:p>
      <w:pPr>
        <w:pStyle w:val="Normal"/>
      </w:pPr>
      <w:r>
        <w:t>;; WHEN: Thu Jan 22 13:57:33 UTC 2026</w:t>
      </w:r>
    </w:p>
    <w:p>
      <w:pPr>
        <w:pStyle w:val="Normal"/>
      </w:pPr>
      <w:r>
        <w:t>;; MSG SIZE</w:t>
        <w:t xml:space="preserve"> </w:t>
        <w:t>rcvd: 103</w:t>
      </w:r>
    </w:p>
    <w:p>
      <w:pPr>
        <w:pStyle w:val="Para 17"/>
      </w:pPr>
      <w:r>
        <w:t/>
      </w:r>
    </w:p>
    <w:p>
      <w:pPr>
        <w:pStyle w:val="Normal"/>
      </w:pPr>
      <w:r>
        <w:t>This time:</w:t>
      </w:r>
    </w:p>
    <w:p>
      <w:bookmarkStart w:id="368" w:name="page_2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3" name="index-258_1.png" descr="index-258_1.png"/>
            <wp:cNvGraphicFramePr>
              <a:graphicFrameLocks noChangeAspect="1"/>
            </wp:cNvGraphicFramePr>
            <a:graphic>
              <a:graphicData uri="http://schemas.openxmlformats.org/drawingml/2006/picture">
                <pic:pic>
                  <pic:nvPicPr>
                    <pic:cNvPr id="0" name="index-258_1.png" descr="index-258_1.png"/>
                    <pic:cNvPicPr/>
                  </pic:nvPicPr>
                  <pic:blipFill>
                    <a:blip r:embed="rId267"/>
                    <a:stretch>
                      <a:fillRect/>
                    </a:stretch>
                  </pic:blipFill>
                  <pic:spPr>
                    <a:xfrm>
                      <a:off x="0" y="0"/>
                      <a:ext cx="914400" cy="266700"/>
                    </a:xfrm>
                    <a:prstGeom prst="rect">
                      <a:avLst/>
                    </a:prstGeom>
                  </pic:spPr>
                </pic:pic>
              </a:graphicData>
            </a:graphic>
          </wp:anchor>
        </w:drawing>
      </w:r>
      <w:bookmarkEnd w:id="368"/>
    </w:p>
    <w:p>
      <w:pPr>
        <w:pStyle w:val="Para 04"/>
      </w:pPr>
      <w:r>
        <w:t>• There is no ad flag set in the answer.</w:t>
      </w:r>
    </w:p>
    <w:p>
      <w:pPr>
        <w:pStyle w:val="Para 04"/>
      </w:pPr>
      <w:r>
        <w:t>• The status of the query is a generic SERVFAIL, and zero answers were provided.</w:t>
      </w:r>
    </w:p>
    <w:p>
      <w:pPr>
        <w:pStyle w:val="Para 04"/>
      </w:pPr>
      <w:r>
        <w:t>• An error logged in journalctl</w:t>
      </w:r>
    </w:p>
    <w:p>
      <w:pPr>
        <w:pStyle w:val="Normal"/>
      </w:pPr>
      <w:r>
        <w:t>$ journalctl -u systemd-resolved.service -f</w:t>
      </w:r>
    </w:p>
    <w:p>
      <w:pPr>
        <w:pStyle w:val="Normal"/>
      </w:pPr>
      <w:r>
        <w:t>(...)</w:t>
      </w:r>
    </w:p>
    <w:p>
      <w:pPr>
        <w:pStyle w:val="Normal"/>
      </w:pPr>
      <w:r>
        <w:t>systemd-resolved[9203]: [�] DNSSEC validation failed for question dnssec-failed.org IN A:</w:t>
        <w:t xml:space="preserve"> </w:t>
        <w:t>no-signature</w:t>
      </w:r>
    </w:p>
    <w:p>
      <w:pPr>
        <w:pStyle w:val="Para 17"/>
      </w:pPr>
      <w:r>
        <w:t/>
      </w:r>
    </w:p>
    <w:p>
      <w:pPr>
        <w:pStyle w:val="Normal"/>
      </w:pPr>
      <w:r>
        <w:t>We can tell the local stub resolver (systemd-resolved running at @127.0.0.53 address) that we don’t want it to perform DNSSEC validation. We do that by setting the +cd (check disabled) flag. Then things change in our answer:</w:t>
      </w:r>
    </w:p>
    <w:p>
      <w:pPr>
        <w:pStyle w:val="Normal"/>
      </w:pPr>
      <w:r>
        <w:t>$ dig @127.0.0.53 -t A +dnssec +cd +multiline dnssec-failed.org</w:t>
      </w:r>
    </w:p>
    <w:p>
      <w:pPr>
        <w:pStyle w:val="Normal"/>
      </w:pPr>
      <w:r>
        <w:t>; &lt;&lt;&gt;&gt; DiG 9.20.11-Ubuntu &lt;&lt;&gt;&gt; @127.0.0.53 -t A +dnssec +cd +multiline dnssec-failed.org</w:t>
        <w:t xml:space="preserve"> </w:t>
        <w:t>; (1 server found)</w:t>
      </w:r>
    </w:p>
    <w:p>
      <w:pPr>
        <w:pStyle w:val="Normal"/>
      </w:pPr>
      <w:r>
        <w:t>;; global options: +cmd</w:t>
      </w:r>
    </w:p>
    <w:p>
      <w:pPr>
        <w:pStyle w:val="Normal"/>
      </w:pPr>
      <w:r>
        <w:t>;; Got answer:</w:t>
      </w:r>
    </w:p>
    <w:p>
      <w:pPr>
        <w:pStyle w:val="Normal"/>
      </w:pPr>
      <w:r>
        <w:t>;; -&gt;&gt;HEADER&lt;&lt;- opcode: QUERY, status: NOERROR, id: 32064</w:t>
        <w:t xml:space="preserve"> </w:t>
        <w:t>;; flags: qr rd ra cd; QUERY: 1, ANSWER: 2, AUTHORITY: 0, ADDITIONAL: 1</w:t>
      </w:r>
    </w:p>
    <w:p>
      <w:pPr>
        <w:pStyle w:val="Normal"/>
      </w:pPr>
      <w:r>
        <w:t>;; OPT PSEUDOSECTION:</w:t>
      </w:r>
    </w:p>
    <w:p>
      <w:pPr>
        <w:pStyle w:val="Normal"/>
      </w:pPr>
      <w:r>
        <w:t>; EDNS: version: 0, flags: do; udp: 65494</w:t>
      </w:r>
    </w:p>
    <w:p>
      <w:pPr>
        <w:pStyle w:val="Normal"/>
      </w:pPr>
      <w:r>
        <w:t>; EDE: 9 (DNSKEY Missing): (no SEP matching the DS found for dnssec-failed.org.)</w:t>
        <w:t xml:space="preserve"> </w:t>
        <w:t>;; QUESTION SECTION:</w:t>
      </w:r>
    </w:p>
    <w:p>
      <w:pPr>
        <w:pStyle w:val="Normal"/>
      </w:pPr>
      <w:r>
        <w:t>;dnssec-failed.org.</w:t>
        <w:t xml:space="preserve"> </w:t>
        <w:t>IN A</w:t>
      </w:r>
    </w:p>
    <w:p>
      <w:pPr>
        <w:pStyle w:val="Normal"/>
      </w:pPr>
      <w:r>
        <w:t>;; ANSWER SECTION:</w:t>
      </w:r>
    </w:p>
    <w:p>
      <w:pPr>
        <w:pStyle w:val="Normal"/>
      </w:pPr>
      <w:r>
        <w:t>dnssec-failed.org.</w:t>
        <w:t xml:space="preserve"> </w:t>
        <w:t>299 IN A 96.99.227.255</w:t>
        <w:t xml:space="preserve"> </w:t>
        <w:t>dnssec-failed.org.</w:t>
        <w:t xml:space="preserve"> </w:t>
        <w:t>299 IN RRSIG A 5 2 300 (</w:t>
      </w:r>
    </w:p>
    <w:p>
      <w:pPr>
        <w:pStyle w:val="Para 15"/>
      </w:pPr>
      <w:r>
        <w:t>20260204145120 20260118144620 44973 dnssec-failed.org.</w:t>
        <w:t xml:space="preserve"> </w:t>
        <w:t>U8NkuyOJBdX6vA/f+o4DclA0x5YrCVOpMCGyCnXqaTTv</w:t>
      </w:r>
    </w:p>
    <w:p>
      <w:pPr>
        <w:pStyle w:val="Para 15"/>
      </w:pPr>
      <w:r>
        <w:t>8+QhDuwRGsAhXYtAZTx4k6q7B2NbqPFsavHKbbsEY46J</w:t>
      </w:r>
    </w:p>
    <w:p>
      <w:pPr>
        <w:pStyle w:val="Para 15"/>
      </w:pPr>
      <w:r>
        <w:t>SLpA1MIYydHTnUPHnu+foH4Dq/QctoXbUejMySdyZwPp</w:t>
      </w:r>
    </w:p>
    <w:p>
      <w:pPr>
        <w:pStyle w:val="Para 15"/>
      </w:pPr>
      <w:r>
        <w:t>MU5hm5IkwN8LgKjoE0YL89mr4ueu01DtESG6P+I= )</w:t>
      </w:r>
    </w:p>
    <w:p>
      <w:pPr>
        <w:pStyle w:val="Normal"/>
      </w:pPr>
      <w:r>
        <w:t>;; Query time: 119 msec</w:t>
      </w:r>
    </w:p>
    <w:p>
      <w:pPr>
        <w:pStyle w:val="Normal"/>
      </w:pPr>
      <w:r>
        <w:t>;; SERVER: 127.0.0.53#53(127.0.0.53) (UDP)</w:t>
      </w:r>
    </w:p>
    <w:p>
      <w:pPr>
        <w:pStyle w:val="Normal"/>
      </w:pPr>
      <w:r>
        <w:t>;; WHEN: Thu Jan 22 13:58:49 UTC 2026</w:t>
      </w:r>
    </w:p>
    <w:p>
      <w:pPr>
        <w:pStyle w:val="Normal"/>
      </w:pPr>
      <w:r>
        <w:t>;; MSG SIZE</w:t>
        <w:t xml:space="preserve"> </w:t>
        <w:t>rcvd: 296</w:t>
      </w:r>
    </w:p>
    <w:p>
      <w:pPr>
        <w:pStyle w:val="Para 17"/>
      </w:pPr>
      <w:r>
        <w:t/>
      </w:r>
    </w:p>
    <w:p>
      <w:pPr>
        <w:pStyle w:val="Normal"/>
      </w:pPr>
      <w:r>
        <w:t>Looks like we have some sort of answer, but:</w:t>
      </w:r>
    </w:p>
    <w:p>
      <w:pPr>
        <w:pStyle w:val="Para 04"/>
      </w:pPr>
      <w:r>
        <w:t>• There is no ad flag in the answer, so this data was not authenticated.</w:t>
      </w:r>
    </w:p>
    <w:p>
      <w:pPr>
        <w:pStyle w:val="Para 04"/>
      </w:pPr>
      <w:r>
        <w:t>• The status is NOERROR, and we got two answers.</w:t>
      </w:r>
    </w:p>
    <w:p>
      <w:pPr>
        <w:pStyle w:val="Para 04"/>
      </w:pPr>
      <w:r>
        <w:t>• Note there is a cd flag in the answer, meaning “check disabled”. No attempt at validating</w:t>
      </w:r>
    </w:p>
    <w:p>
      <w:pPr>
        <w:pStyle w:val="Para 02"/>
      </w:pPr>
      <w:r>
        <w:t>the answer was done by the resolver, as requested.</w:t>
      </w:r>
    </w:p>
    <w:p>
      <w:pPr>
        <w:pStyle w:val="Normal"/>
      </w:pPr>
      <w:r>
        <w:t>In none of these cases, though, did dig perform DNSSEC validation: it just presented the results provided by the resolver, which in some cases was no validation at all (via the +cd flag). To perform the validation ourselves, we have to use a different tool.</w:t>
      </w:r>
    </w:p>
    <w:p>
      <w:bookmarkStart w:id="369" w:name="page_2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4" name="index-259_1.png" descr="index-259_1.png"/>
            <wp:cNvGraphicFramePr>
              <a:graphicFrameLocks noChangeAspect="1"/>
            </wp:cNvGraphicFramePr>
            <a:graphic>
              <a:graphicData uri="http://schemas.openxmlformats.org/drawingml/2006/picture">
                <pic:pic>
                  <pic:nvPicPr>
                    <pic:cNvPr id="0" name="index-259_1.png" descr="index-259_1.png"/>
                    <pic:cNvPicPr/>
                  </pic:nvPicPr>
                  <pic:blipFill>
                    <a:blip r:embed="rId268"/>
                    <a:stretch>
                      <a:fillRect/>
                    </a:stretch>
                  </pic:blipFill>
                  <pic:spPr>
                    <a:xfrm>
                      <a:off x="0" y="0"/>
                      <a:ext cx="914400" cy="266700"/>
                    </a:xfrm>
                    <a:prstGeom prst="rect">
                      <a:avLst/>
                    </a:prstGeom>
                  </pic:spPr>
                </pic:pic>
              </a:graphicData>
            </a:graphic>
          </wp:anchor>
        </w:drawing>
      </w:r>
      <w:bookmarkEnd w:id="369"/>
    </w:p>
    <w:p>
      <w:pPr>
        <w:pStyle w:val="Para 01"/>
      </w:pPr>
      <w:r>
        <w:t>Digging a bit deeper: delv</w:t>
      </w:r>
    </w:p>
    <w:p>
      <w:pPr>
        <w:pStyle w:val="Para 17"/>
      </w:pPr>
      <w:r>
        <w:t/>
      </w:r>
    </w:p>
    <w:p>
      <w:pPr>
        <w:pStyle w:val="Normal"/>
      </w:pPr>
      <w:r>
        <w:t>The delv tool is very similar to dig, and can perform the same DNS queries, but with a crucial difference: it can also validate DNSSEC. This is very useful in troubleshooting, because rather than returning a generic SERVFAIL error when something goes wrong with DNSSEC validation, it can tell us what was wrong in more detail.</w:t>
      </w:r>
    </w:p>
    <w:p>
      <w:pPr>
        <w:pStyle w:val="Normal"/>
      </w:pPr>
      <w:r>
        <w:t>But to bring the responsibility of doing DNSSEC validation to the tool itself, we use the +cd flag in our queries, to tell the resolver to not attempt that validation. Otherwise we will just get back a generic SERVFAIL error:</w:t>
      </w:r>
    </w:p>
    <w:p>
      <w:pPr>
        <w:pStyle w:val="Normal"/>
      </w:pPr>
      <w:r>
        <w:t>$ delv @127.0.0.53 -t A +dnssec +multiline dnssec-failed.org</w:t>
        <w:t xml:space="preserve"> </w:t>
        <w:t>;; resolution failed: SERVFAIL</w:t>
      </w:r>
    </w:p>
    <w:p>
      <w:pPr>
        <w:pStyle w:val="Para 17"/>
      </w:pPr>
      <w:r>
        <w:t/>
      </w:r>
    </w:p>
    <w:p>
      <w:pPr>
        <w:pStyle w:val="Normal"/>
      </w:pPr>
      <w:r>
        <w:t>With the +cd flag present, however, delv itself will do the validation. It will fail again, but now with a DNSSEC-specific error:</w:t>
      </w:r>
    </w:p>
    <w:p>
      <w:pPr>
        <w:pStyle w:val="Normal"/>
      </w:pPr>
      <w:r>
        <w:t>$ delv @127.0.0.53 -t A +dnssec +cd +multiline dnssec-failed.org</w:t>
        <w:t xml:space="preserve"> </w:t>
        <w:t>;; validating dnssec-failed.org/DNSKEY: no valid signature found (DS)</w:t>
        <w:t xml:space="preserve"> </w:t>
        <w:t>;; no valid RRSIG resolving 'dnssec-failed.org/DNSKEY/IN': 127.0.0.1#53</w:t>
        <w:t xml:space="preserve"> </w:t>
        <w:t>;; broken trust chain resolving 'dnssec-failed.org/A/IN': 127.0.0.1#53</w:t>
        <w:t xml:space="preserve"> </w:t>
        <w:t>;; resolution failed: broken trust chain</w:t>
      </w:r>
    </w:p>
    <w:p>
      <w:pPr>
        <w:pStyle w:val="Para 17"/>
      </w:pPr>
      <w:r>
        <w:t/>
      </w:r>
    </w:p>
    <w:p>
      <w:pPr>
        <w:pStyle w:val="Normal"/>
      </w:pPr>
      <w:r>
        <w:t>If needed, delv can be told to not perform DNSSEC validation at all, by passing the-i flag. Together with the +cd flag, which instructs the Validating Resolver to not perform validation either, we get this result:</w:t>
      </w:r>
    </w:p>
    <w:p>
      <w:pPr>
        <w:pStyle w:val="Normal"/>
      </w:pPr>
      <w:r>
        <w:t>$ delv @127.0.0.53 -i -t A +dnssec +cd +multiline dnssec-failed.org</w:t>
        <w:t xml:space="preserve"> </w:t>
        <w:t>; answer not validated</w:t>
      </w:r>
    </w:p>
    <w:p>
      <w:pPr>
        <w:pStyle w:val="Normal"/>
      </w:pPr>
      <w:r>
        <w:t>dnssec-failed.org.</w:t>
        <w:t xml:space="preserve"> </w:t>
        <w:t>100 IN A 96.99.227.255</w:t>
      </w:r>
    </w:p>
    <w:p>
      <w:pPr>
        <w:pStyle w:val="Para 17"/>
      </w:pPr>
      <w:r>
        <w:t/>
      </w:r>
    </w:p>
    <w:p>
      <w:pPr>
        <w:pStyle w:val="Normal"/>
      </w:pPr>
      <w:r>
        <w:t>For a good DNSSEC domain, delv will return a validated answer:</w:t>
      </w:r>
    </w:p>
    <w:p>
      <w:pPr>
        <w:pStyle w:val="Normal"/>
      </w:pPr>
      <w:r>
        <w:t>$ delv @127.0.0.53 -t A +multiline +cd isc.org</w:t>
      </w:r>
    </w:p>
    <w:p>
      <w:pPr>
        <w:pStyle w:val="Normal"/>
      </w:pPr>
      <w:r>
        <w:t>; fully validated</w:t>
      </w:r>
    </w:p>
    <w:p>
      <w:pPr>
        <w:pStyle w:val="Normal"/>
      </w:pPr>
      <w:r>
        <w:t>isc.org.</w:t>
        <w:t xml:space="preserve"> </w:t>
        <w:t>299 IN A 151.101.2.217</w:t>
        <w:t xml:space="preserve"> </w:t>
        <w:t>isc.org.</w:t>
        <w:t xml:space="preserve"> </w:t>
        <w:t>299 IN A 151.101.66.217</w:t>
        <w:t xml:space="preserve"> </w:t>
        <w:t>isc.org.</w:t>
        <w:t xml:space="preserve"> </w:t>
        <w:t>299 IN A 151.101.130.217</w:t>
        <w:t xml:space="preserve"> </w:t>
        <w:t>isc.org.</w:t>
        <w:t xml:space="preserve"> </w:t>
        <w:t>299 IN A 151.101.194.217</w:t>
        <w:t xml:space="preserve"> </w:t>
        <w:t>isc.org.</w:t>
        <w:t xml:space="preserve"> </w:t>
        <w:t>299 IN RRSIG A 13 2 300 (</w:t>
      </w:r>
    </w:p>
    <w:p>
      <w:pPr>
        <w:pStyle w:val="Para 19"/>
      </w:pPr>
      <w:r>
        <w:t>20250908112301 20250825104017 27566 isc.org.</w:t>
      </w:r>
    </w:p>
    <w:p>
      <w:pPr>
        <w:pStyle w:val="Para 19"/>
      </w:pPr>
      <w:r>
        <w:t>9oclTno0Ub2NmUEXdyLv0zqwPBbbUVmT3RX4aP4BQQ+h</w:t>
      </w:r>
    </w:p>
    <w:p>
      <w:pPr>
        <w:pStyle w:val="Para 19"/>
      </w:pPr>
      <w:r>
        <w:t>4g839JXuCKHufXSPkWh/GJe/MveP83dDvJkrMmEIzg== )</w:t>
      </w:r>
    </w:p>
    <w:p>
      <w:pPr>
        <w:pStyle w:val="Para 17"/>
      </w:pPr>
      <w:r>
        <w:t/>
      </w:r>
    </w:p>
    <w:p>
      <w:pPr>
        <w:pStyle w:val="Normal"/>
      </w:pPr>
      <w:r>
        <w:t>Given that above we used the +cd flag, this means that the validation was done by delv itself. We will get the same result without that flag if the resolver also succeeds in the DNSSEC validation, and provides an answer.</w:t>
      </w:r>
    </w:p>
    <w:p>
      <w:bookmarkStart w:id="370" w:name="calibre_pb_55"/>
      <w:pPr>
        <w:pStyle w:val="0 Block"/>
      </w:pPr>
      <w:bookmarkEnd w:id="370"/>
    </w:p>
    <w:p>
      <w:bookmarkStart w:id="371" w:name="Top_of_index_split_056_html"/>
      <w:bookmarkStart w:id="372" w:name="page_26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5" name="index-260_1.png" descr="index-260_1.png"/>
            <wp:cNvGraphicFramePr>
              <a:graphicFrameLocks noChangeAspect="1"/>
            </wp:cNvGraphicFramePr>
            <a:graphic>
              <a:graphicData uri="http://schemas.openxmlformats.org/drawingml/2006/picture">
                <pic:pic>
                  <pic:nvPicPr>
                    <pic:cNvPr id="0" name="index-260_1.png" descr="index-260_1.png"/>
                    <pic:cNvPicPr/>
                  </pic:nvPicPr>
                  <pic:blipFill>
                    <a:blip r:embed="rId269"/>
                    <a:stretch>
                      <a:fillRect/>
                    </a:stretch>
                  </pic:blipFill>
                  <pic:spPr>
                    <a:xfrm>
                      <a:off x="0" y="0"/>
                      <a:ext cx="914400" cy="266700"/>
                    </a:xfrm>
                    <a:prstGeom prst="rect">
                      <a:avLst/>
                    </a:prstGeom>
                  </pic:spPr>
                </pic:pic>
              </a:graphicData>
            </a:graphic>
          </wp:anchor>
        </w:drawing>
      </w:r>
      <w:bookmarkEnd w:id="371"/>
      <w:bookmarkEnd w:id="372"/>
    </w:p>
    <w:p>
      <w:pPr>
        <w:pStyle w:val="Para 01"/>
      </w:pPr>
      <w:r>
        <w:t>Client-side tooling: resolvectl</w:t>
      </w:r>
    </w:p>
    <w:p>
      <w:pPr>
        <w:pStyle w:val="Para 17"/>
      </w:pPr>
      <w:r>
        <w:t/>
      </w:r>
    </w:p>
    <w:p>
      <w:pPr>
        <w:pStyle w:val="Normal"/>
      </w:pPr>
      <w:r>
        <w:t xml:space="preserve">The local stub resolver </w:t>
      </w:r>
      <w:r>
        <w:rPr>
          <w:rStyle w:val="Text3"/>
        </w:rPr>
        <w:t>systemd-resolved</w:t>
      </w:r>
      <w:r>
        <w:t xml:space="preserve"> can perform DNSSEC validation locally using its high-level resolvectl tool. The local cache and state about DNS servers should be reset in systemd-resolved, to get reliable results.</w:t>
      </w:r>
    </w:p>
    <w:p>
      <w:pPr>
        <w:pStyle w:val="Para 17"/>
      </w:pPr>
      <w:r>
        <w:t/>
      </w:r>
    </w:p>
    <w:p>
      <w:pPr>
        <w:pStyle w:val="Para 08"/>
      </w:pPr>
      <w:r>
        <w:t>Note:</w:t>
      </w:r>
    </w:p>
    <w:p>
      <w:pPr>
        <w:pStyle w:val="Para 03"/>
      </w:pPr>
      <w:r>
        <w:t>We need to (temporarily) enable DNSSEC validation and potentially set DNSSEC capable</w:t>
      </w:r>
    </w:p>
    <w:p>
      <w:pPr>
        <w:pStyle w:val="Para 03"/>
      </w:pPr>
      <w:r>
        <w:t>upstream servers (e.g. Cloudflare’s 1.1.1.1, in case your upstream DNS server cannot</w:t>
      </w:r>
    </w:p>
    <w:p>
      <w:pPr>
        <w:pStyle w:val="Para 03"/>
      </w:pPr>
      <w:r>
        <w:t>properly handle it) in systemd-resolved, as shown below. After our experiments, we might</w:t>
      </w:r>
    </w:p>
    <w:p>
      <w:pPr>
        <w:pStyle w:val="Para 03"/>
      </w:pPr>
      <w:r>
        <w:t>want to restore the default settings, using: resolvectl revert eth0</w:t>
      </w:r>
    </w:p>
    <w:p>
      <w:pPr>
        <w:pStyle w:val="Para 17"/>
      </w:pPr>
      <w:r>
        <w:t/>
      </w:r>
    </w:p>
    <w:p>
      <w:pPr>
        <w:pStyle w:val="Normal"/>
      </w:pPr>
      <w:r>
        <w:t>Flush systemd-resolved caches &amp; state and confirm DNSSEC is enabled:</w:t>
      </w:r>
    </w:p>
    <w:p>
      <w:pPr>
        <w:pStyle w:val="Normal"/>
      </w:pPr>
      <w:r>
        <w:t>$ sudo resolvectl flush-caches</w:t>
      </w:r>
    </w:p>
    <w:p>
      <w:pPr>
        <w:pStyle w:val="Normal"/>
      </w:pPr>
      <w:r>
        <w:t>$ sudo resolvectl reset-server-features</w:t>
      </w:r>
    </w:p>
    <w:p>
      <w:pPr>
        <w:pStyle w:val="Normal"/>
      </w:pPr>
      <w:r>
        <w:t>$ sudo resolvectl dnssec eth0 yes</w:t>
      </w:r>
    </w:p>
    <w:p>
      <w:pPr>
        <w:pStyle w:val="Normal"/>
      </w:pPr>
      <w:r>
        <w:t>$ sudo resolvectl dns eth0 1.1.1.1</w:t>
      </w:r>
    </w:p>
    <w:p>
      <w:pPr>
        <w:pStyle w:val="Normal"/>
      </w:pPr>
      <w:r>
        <w:t>$ resolvectl dnssec</w:t>
      </w:r>
    </w:p>
    <w:p>
      <w:pPr>
        <w:pStyle w:val="Normal"/>
      </w:pPr>
      <w:r>
        <w:t>Global: no</w:t>
      </w:r>
    </w:p>
    <w:p>
      <w:pPr>
        <w:pStyle w:val="Normal"/>
      </w:pPr>
      <w:r>
        <w:t>Link 44 (eth0): yes</w:t>
      </w:r>
    </w:p>
    <w:p>
      <w:pPr>
        <w:pStyle w:val="Para 17"/>
      </w:pPr>
      <w:r>
        <w:t/>
      </w:r>
    </w:p>
    <w:p>
      <w:pPr>
        <w:pStyle w:val="Normal"/>
      </w:pPr>
      <w:r>
        <w:t>Query a DNSSEC enabled domain and confirm the data was fetched from the network and authenticated, as displayed by the Data is authenticated and Data from fields:</w:t>
      </w:r>
    </w:p>
    <w:p>
      <w:pPr>
        <w:pStyle w:val="Normal"/>
      </w:pPr>
      <w:r>
        <w:t>$ resolvectl query --type=MX isc.org</w:t>
      </w:r>
    </w:p>
    <w:p>
      <w:pPr>
        <w:pStyle w:val="Normal"/>
      </w:pPr>
      <w:r>
        <w:t>isc.org IN MX 5 mx.pao1.isc.org</w:t>
        <w:t xml:space="preserve"> </w:t>
        <w:t>-- link: eth0</w:t>
        <w:t xml:space="preserve"> </w:t>
        <w:t>isc.org IN MX 10 mx.ams1.isc.org</w:t>
        <w:t xml:space="preserve"> </w:t>
        <w:t>-- link: eth0</w:t>
      </w:r>
    </w:p>
    <w:p>
      <w:pPr>
        <w:pStyle w:val="Normal"/>
      </w:pPr>
      <w:r>
        <w:t>-- Information acquired via protocol DNS in 3.0ms.</w:t>
      </w:r>
    </w:p>
    <w:p>
      <w:pPr>
        <w:pStyle w:val="Normal"/>
      </w:pPr>
      <w:r>
        <w:t>-- Data is authenticated: yes; Data was acquired via local or encrypted transport: no</w:t>
        <w:t>-- Data from: network</w:t>
      </w:r>
    </w:p>
    <w:p>
      <w:pPr>
        <w:pStyle w:val="Para 17"/>
      </w:pPr>
      <w:r>
        <w:t/>
      </w:r>
    </w:p>
    <w:p>
      <w:pPr>
        <w:pStyle w:val="Para 01"/>
      </w:pPr>
      <w:r>
        <w:t>Incorrect time</w:t>
      </w:r>
    </w:p>
    <w:p>
      <w:pPr>
        <w:pStyle w:val="Para 17"/>
      </w:pPr>
      <w:r>
        <w:t/>
      </w:r>
    </w:p>
    <w:p>
      <w:pPr>
        <w:pStyle w:val="Normal"/>
      </w:pPr>
      <w:r>
        <w:t>As with everything related to cryptography, having an accurate measurement of time is of crucial importance. In a nutshell, digital signatures and keys have expiration dates.</w:t>
      </w:r>
    </w:p>
    <w:p>
      <w:pPr>
        <w:pStyle w:val="Normal"/>
      </w:pPr>
      <w:r>
        <w:t>An RRSIG record (a digital signature of a Resource Record) has a validity. For example, this record:</w:t>
      </w:r>
    </w:p>
    <w:p>
      <w:pPr>
        <w:pStyle w:val="Normal"/>
      </w:pPr>
      <w:r>
        <w:t>noble.example.internal. 86400 IN RRSIG A 13 3 86400 (</w:t>
      </w:r>
    </w:p>
    <w:p>
      <w:pPr>
        <w:pStyle w:val="Para 21"/>
      </w:pPr>
      <w:r>
        <w:t>20241106131533 20241023195023 48112 example.internal.</w:t>
      </w:r>
    </w:p>
    <w:p>
      <w:pPr>
        <w:pStyle w:val="Para 19"/>
      </w:pPr>
      <w:r>
        <w:t>5fL4apIwCD9kt4XbzzlLxMXY3mj8Li1WZu3qzlcBpERp</w:t>
      </w:r>
    </w:p>
    <w:p>
      <w:pPr>
        <w:pStyle w:val="Para 19"/>
      </w:pPr>
      <w:r>
        <w:t>lXPgLODbRrWyp7L81xEFnfhecKtEYv+6Y0Xa5iVRug== )</w:t>
      </w:r>
    </w:p>
    <w:p>
      <w:pPr>
        <w:pStyle w:val="Para 17"/>
      </w:pPr>
      <w:r>
        <w:t/>
      </w:r>
    </w:p>
    <w:p>
      <w:pPr>
        <w:pStyle w:val="Normal"/>
      </w:pPr>
      <w:r>
        <w:t>Has this validity range:</w:t>
      </w:r>
    </w:p>
    <w:p>
      <w:pPr>
        <w:pStyle w:val="Para 04"/>
      </w:pPr>
      <w:r>
        <w:t>• valid until: 20241106131533 (2024-11-06 13:15:33 UTC)</w:t>
      </w:r>
    </w:p>
    <w:p>
      <w:pPr>
        <w:pStyle w:val="Para 04"/>
      </w:pPr>
      <w:r>
        <w:t>• valid since: 20241023195023 (2024-10-23 19:50:23 UTC)</w:t>
      </w:r>
    </w:p>
    <w:p>
      <w:bookmarkStart w:id="373" w:name="page_2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6"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270"/>
                    <a:stretch>
                      <a:fillRect/>
                    </a:stretch>
                  </pic:blipFill>
                  <pic:spPr>
                    <a:xfrm>
                      <a:off x="0" y="0"/>
                      <a:ext cx="914400" cy="266700"/>
                    </a:xfrm>
                    <a:prstGeom prst="rect">
                      <a:avLst/>
                    </a:prstGeom>
                  </pic:spPr>
                </pic:pic>
              </a:graphicData>
            </a:graphic>
          </wp:anchor>
        </w:drawing>
      </w:r>
      <w:bookmarkEnd w:id="373"/>
    </w:p>
    <w:p>
      <w:pPr>
        <w:pStyle w:val="Normal"/>
      </w:pPr>
      <w:r>
        <w:t>If the DNSSEC validator has an incorrect clock, outside of the validity range, the DNSSEC val-idation will fail. For example, with the clock incorrectly set to before the beginning of the validity period, delv will complain like this:</w:t>
      </w:r>
    </w:p>
    <w:p>
      <w:pPr>
        <w:pStyle w:val="Normal"/>
      </w:pPr>
      <w:r>
        <w:t>$ date</w:t>
      </w:r>
    </w:p>
    <w:p>
      <w:pPr>
        <w:pStyle w:val="Normal"/>
      </w:pPr>
      <w:r>
        <w:t>Tue Oct 10 10:10:19 UTC 2000</w:t>
      </w:r>
    </w:p>
    <w:p>
      <w:pPr>
        <w:pStyle w:val="Normal"/>
      </w:pPr>
      <w:r>
        <w:t>$ delv @10.10.17.229 -a example.internal.key +root=example.internal +multiline noble.</w:t>
        <w:t xml:space="preserve"> </w:t>
        <w:t>example.internal</w:t>
      </w:r>
    </w:p>
    <w:p>
      <w:pPr>
        <w:pStyle w:val="Normal"/>
      </w:pPr>
      <w:r>
        <w:t>;; validating example.internal/DNSKEY: verify failed due to bad signature (keyid=48112):</w:t>
        <w:t xml:space="preserve"> </w:t>
        <w:t>RRSIG validity period has not begun</w:t>
      </w:r>
    </w:p>
    <w:p>
      <w:pPr>
        <w:pStyle w:val="Normal"/>
      </w:pPr>
      <w:r>
        <w:t>;; validating example.internal/DNSKEY: no valid signature found (DS)</w:t>
        <w:t xml:space="preserve"> </w:t>
        <w:t>;; no valid RRSIG resolving 'example.internal/DNSKEY/IN': 10.10.17.229#53</w:t>
        <w:t xml:space="preserve"> </w:t>
        <w:t>;; broken trust chain resolving 'noble.example.internal/A/IN': 10.10.17.229#53</w:t>
        <w:t xml:space="preserve"> </w:t>
        <w:t>;; resolution failed: broken trust chain</w:t>
      </w:r>
    </w:p>
    <w:p>
      <w:pPr>
        <w:pStyle w:val="Para 17"/>
      </w:pPr>
      <w:r>
        <w:t/>
      </w:r>
    </w:p>
    <w:p>
      <w:pPr>
        <w:pStyle w:val="Normal"/>
      </w:pPr>
      <w:r>
        <w:t>Any other Validating Resolver will fail in a similar way, and should indicate this error in its logs.</w:t>
      </w:r>
    </w:p>
    <w:p>
      <w:pPr>
        <w:pStyle w:val="Normal"/>
      </w:pPr>
      <w:r>
        <w:t>BIND9 will complain loudly if it’s running on a system with an incorrect clock, as the root zones will fail validation:</w:t>
      </w:r>
    </w:p>
    <w:p>
      <w:pPr>
        <w:pStyle w:val="Normal"/>
      </w:pPr>
      <w:r>
        <w:t>named[3593]: managed-keys-zone: DNSKEY set for zone '.' could not be verified with current</w:t>
        <w:t xml:space="preserve"> </w:t>
        <w:t>keys</w:t>
      </w:r>
    </w:p>
    <w:p>
      <w:pPr>
        <w:pStyle w:val="Normal"/>
      </w:pPr>
      <w:r>
        <w:t>named[3593]:</w:t>
        <w:t xml:space="preserve"> </w:t>
        <w:t>validating ./DNSKEY: verify failed due to bad signature (keyid=20326):</w:t>
        <w:t xml:space="preserve"> </w:t>
        <w:t>RRSIG validity period has not begun</w:t>
      </w:r>
    </w:p>
    <w:p>
      <w:pPr>
        <w:pStyle w:val="Normal"/>
      </w:pPr>
      <w:r>
        <w:t>named[3593]:</w:t>
        <w:t xml:space="preserve"> </w:t>
        <w:t>validating ./DNSKEY: no valid signature found (DS)</w:t>
        <w:t xml:space="preserve"> </w:t>
        <w:t>named[3593]: broken trust chain resolving './NS/IN': 199.7.83.42#53</w:t>
        <w:t xml:space="preserve"> </w:t>
        <w:t>named[3593]: resolver priming query complete: broken trust chain</w:t>
      </w:r>
    </w:p>
    <w:p>
      <w:pPr>
        <w:pStyle w:val="Para 17"/>
      </w:pPr>
      <w:r>
        <w:t/>
      </w:r>
    </w:p>
    <w:p>
      <w:pPr>
        <w:pStyle w:val="Para 01"/>
      </w:pPr>
      <w:r>
        <w:t>Third-party Web-based diagnostics</w:t>
      </w:r>
    </w:p>
    <w:p>
      <w:pPr>
        <w:pStyle w:val="Para 17"/>
      </w:pPr>
      <w:r>
        <w:t/>
      </w:r>
    </w:p>
    <w:p>
      <w:pPr>
        <w:pStyle w:val="Normal"/>
      </w:pPr>
      <w:r>
        <w:t>There are some public third-party web-based tools that will check the status of DNSSEC of a public domain. Here are some:</w:t>
      </w:r>
    </w:p>
    <w:p>
      <w:pPr>
        <w:pStyle w:val="Para 04"/>
      </w:pPr>
      <w:r>
        <w:t xml:space="preserve">• </w:t>
      </w:r>
      <w:hyperlink r:id="rId1185">
        <w:r>
          <w:rPr>
            <w:rStyle w:val="Text1"/>
          </w:rPr>
          <w:t>https://dnsviz.net</w:t>
        </w:r>
      </w:hyperlink>
      <w:r>
        <w:t>: Returns a graphical diagram showing the chain of trust and where it</w:t>
      </w:r>
    </w:p>
    <w:p>
      <w:pPr>
        <w:pStyle w:val="Para 02"/>
      </w:pPr>
      <w:r>
        <w:t>breaks down, if that’s the case.</w:t>
      </w:r>
    </w:p>
    <w:p>
      <w:pPr>
        <w:pStyle w:val="Para 13"/>
      </w:pPr>
      <w:r>
        <w:rPr>
          <w:rStyle w:val="Text7"/>
        </w:rPr>
        <w:t xml:space="preserve">• </w:t>
      </w:r>
      <w:hyperlink r:id="rId1186">
        <w:r>
          <w:t xml:space="preserve">https://dnssec-debugger.verisignlabs.com: </w:t>
        </w:r>
      </w:hyperlink>
      <w:r>
        <w:rPr>
          <w:rStyle w:val="Text7"/>
        </w:rPr>
        <w:t>A DNSSEC debugger which also shows the</w:t>
      </w:r>
    </w:p>
    <w:p>
      <w:pPr>
        <w:pStyle w:val="Para 02"/>
      </w:pPr>
      <w:r>
        <w:t>chain of trust and where it breaks down, in a table format.</w:t>
      </w:r>
    </w:p>
    <w:p>
      <w:pPr>
        <w:pStyle w:val="Para 17"/>
      </w:pPr>
      <w:r>
        <w:t/>
      </w:r>
    </w:p>
    <w:p>
      <w:pPr>
        <w:pStyle w:val="Para 01"/>
      </w:pPr>
      <w:r>
        <w:t>Further reading</w:t>
      </w:r>
    </w:p>
    <w:p>
      <w:pPr>
        <w:pStyle w:val="Para 17"/>
      </w:pPr>
      <w:r>
        <w:t/>
      </w:r>
    </w:p>
    <w:p>
      <w:pPr>
        <w:pStyle w:val="Para 13"/>
      </w:pPr>
      <w:r>
        <w:rPr>
          <w:rStyle w:val="Text7"/>
        </w:rPr>
        <w:t xml:space="preserve">• </w:t>
      </w:r>
      <w:hyperlink r:id="rId1187">
        <w:r>
          <w:rPr>
            <w:rStyle w:val="Text10"/>
          </w:rPr>
          <w:t>183</w:t>
        </w:r>
      </w:hyperlink>
      <w:hyperlink r:id="rId1187">
        <w:r>
          <w:t xml:space="preserve"> bind9’s guide to DNSSEC troubleshooting</w:t>
        </w:r>
      </w:hyperlink>
    </w:p>
    <w:p>
      <w:pPr>
        <w:pStyle w:val="Para 13"/>
      </w:pPr>
      <w:r>
        <w:rPr>
          <w:rStyle w:val="Text7"/>
        </w:rPr>
        <w:t xml:space="preserve">• </w:t>
      </w:r>
      <w:hyperlink r:id="rId1188">
        <w:r>
          <w:rPr>
            <w:rStyle w:val="Text10"/>
          </w:rPr>
          <w:t>184</w:t>
        </w:r>
      </w:hyperlink>
      <w:hyperlink r:id="rId1188">
        <w:r>
          <w:t xml:space="preserve"> How to validate DNSSEC using the command line</w:t>
        </w:r>
      </w:hyperlink>
    </w:p>
    <w:p>
      <w:pPr>
        <w:pStyle w:val="Para 04"/>
      </w:pPr>
      <w:r>
        <w:t xml:space="preserve">• </w:t>
      </w:r>
      <w:hyperlink w:anchor="page_261">
        <w:r>
          <w:rPr>
            <w:rStyle w:val="Text9"/>
          </w:rPr>
          <w:t>185</w:t>
        </w:r>
      </w:hyperlink>
      <w:r>
        <w:t xml:space="preserve"> </w:t>
      </w:r>
      <w:hyperlink r:id="rId1181">
        <w:r>
          <w:rPr>
            <w:rStyle w:val="Text2"/>
          </w:rPr>
          <w:t>delv(1)</w:t>
        </w:r>
      </w:hyperlink>
      <w:r>
        <w:t xml:space="preserve"> manual page</w:t>
      </w:r>
    </w:p>
    <w:p>
      <w:pPr>
        <w:pStyle w:val="Para 04"/>
      </w:pPr>
      <w:r>
        <w:t xml:space="preserve">• </w:t>
      </w:r>
      <w:hyperlink w:anchor="page_261">
        <w:r>
          <w:rPr>
            <w:rStyle w:val="Text9"/>
          </w:rPr>
          <w:t>186</w:t>
        </w:r>
      </w:hyperlink>
      <w:r>
        <w:t xml:space="preserve"> </w:t>
      </w:r>
      <w:hyperlink r:id="rId1189">
        <w:r>
          <w:rPr>
            <w:rStyle w:val="Text2"/>
          </w:rPr>
          <w:t>dig(1)</w:t>
        </w:r>
      </w:hyperlink>
      <w:r>
        <w:t xml:space="preserve"> manual page</w:t>
      </w:r>
    </w:p>
    <w:p>
      <w:pPr>
        <w:pStyle w:val="Para 05"/>
      </w:pPr>
      <w:r>
        <w:rPr>
          <w:rStyle w:val="Text5"/>
        </w:rPr>
        <w:t>183</w:t>
      </w:r>
      <w:r>
        <w:rPr>
          <w:rStyle w:val="Text8"/>
        </w:rPr>
        <w:t xml:space="preserve"> </w:t>
      </w:r>
      <w:r>
        <w:t>https://bind9.readthedocs.io/en/latest/dnssec-guide.html#basic-dnssec-troubleshooting</w:t>
      </w:r>
    </w:p>
    <w:p>
      <w:pPr>
        <w:pStyle w:val="Para 05"/>
      </w:pPr>
      <w:r>
        <w:rPr>
          <w:rStyle w:val="Text5"/>
        </w:rPr>
        <w:t>184</w:t>
      </w:r>
      <w:r>
        <w:rPr>
          <w:rStyle w:val="Text8"/>
        </w:rPr>
        <w:t xml:space="preserve"> </w:t>
      </w:r>
      <w:r>
        <w:t>https://www.cyberciti.biz/faq/unix-linux-test-and-validate-dnssec-using-dig-command-line/</w:t>
      </w:r>
    </w:p>
    <w:p>
      <w:pPr>
        <w:pStyle w:val="Para 05"/>
      </w:pPr>
      <w:r>
        <w:rPr>
          <w:rStyle w:val="Text5"/>
        </w:rPr>
        <w:t>185</w:t>
      </w:r>
      <w:r>
        <w:rPr>
          <w:rStyle w:val="Text8"/>
        </w:rPr>
        <w:t xml:space="preserve"> </w:t>
      </w:r>
      <w:r>
        <w:t>https://manpages.ubuntu.com/manpages/resolute/man1/delv.1.html</w:t>
      </w:r>
    </w:p>
    <w:p>
      <w:pPr>
        <w:pStyle w:val="Para 03"/>
      </w:pPr>
      <w:r>
        <w:rPr>
          <w:rStyle w:val="Text5"/>
        </w:rPr>
        <w:t>186</w:t>
      </w:r>
      <w:r>
        <w:t xml:space="preserve"> </w:t>
      </w:r>
      <w:r>
        <w:rPr>
          <w:rStyle w:val="Text6"/>
        </w:rPr>
        <w:t>https://manpages.ubuntu.com/manpages/resolute/man1/dig.1.html</w:t>
      </w:r>
      <w:r>
        <w:t xml:space="preserve"> Open vSwitch (OVS) with the Data Plane Development Kit (DPDK) provides virtual switching for network automation in virtualized environments.</w:t>
      </w:r>
    </w:p>
    <w:p>
      <w:bookmarkStart w:id="374" w:name="page_2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7" name="index-262_1.png" descr="index-262_1.png"/>
            <wp:cNvGraphicFramePr>
              <a:graphicFrameLocks noChangeAspect="1"/>
            </wp:cNvGraphicFramePr>
            <a:graphic>
              <a:graphicData uri="http://schemas.openxmlformats.org/drawingml/2006/picture">
                <pic:pic>
                  <pic:nvPicPr>
                    <pic:cNvPr id="0" name="index-262_1.png" descr="index-262_1.png"/>
                    <pic:cNvPicPr/>
                  </pic:nvPicPr>
                  <pic:blipFill>
                    <a:blip r:embed="rId271"/>
                    <a:stretch>
                      <a:fillRect/>
                    </a:stretch>
                  </pic:blipFill>
                  <pic:spPr>
                    <a:xfrm>
                      <a:off x="0" y="0"/>
                      <a:ext cx="914400" cy="266700"/>
                    </a:xfrm>
                    <a:prstGeom prst="rect">
                      <a:avLst/>
                    </a:prstGeom>
                  </pic:spPr>
                </pic:pic>
              </a:graphicData>
            </a:graphic>
          </wp:anchor>
        </w:drawing>
      </w:r>
      <w:bookmarkEnd w:id="374"/>
    </w:p>
    <w:p>
      <w:pPr>
        <w:pStyle w:val="Para 17"/>
      </w:pPr>
      <w:r>
        <w:t/>
      </w:r>
    </w:p>
    <w:p>
      <w:pPr>
        <w:pStyle w:val="Para 01"/>
      </w:pPr>
      <w:r>
        <w:t>How to use Open vSwitch with DPDK</w:t>
      </w:r>
    </w:p>
    <w:p>
      <w:pPr>
        <w:pStyle w:val="Para 17"/>
      </w:pPr>
      <w:r>
        <w:t/>
      </w:r>
    </w:p>
    <w:p>
      <w:pPr>
        <w:pStyle w:val="Normal"/>
      </w:pPr>
      <w:r>
        <w:t xml:space="preserve">Since </w:t>
      </w:r>
      <w:hyperlink w:anchor="page_819">
        <w:r>
          <w:rPr>
            <w:rStyle w:val="Text2"/>
          </w:rPr>
          <w:t>DPDK is just a library</w:t>
        </w:r>
      </w:hyperlink>
      <w:r>
        <w:t xml:space="preserve"> (page 818), it doesn’t do a lot on its own so it depends on emerging projects making use of it. One consumer of the library that is already part of Ubuntu is Open vSwitch with DPDK (OvS-DPDK) support in the package openvswitch-switch-dpdk.</w:t>
      </w:r>
    </w:p>
    <w:p>
      <w:pPr>
        <w:pStyle w:val="Normal"/>
      </w:pPr>
      <w:r>
        <w:t>Here is a brief example of how to install and configure a basic Open vSwitch using DPDK for later use via libvirt/qemu-kvm.</w:t>
      </w:r>
    </w:p>
    <w:p>
      <w:pPr>
        <w:pStyle w:val="Normal"/>
      </w:pPr>
      <w:r>
        <w:t>sudo apt</w:t>
        <w:t>-</w:t>
        <w:t>get install openvswitch</w:t>
        <w:t>-</w:t>
        <w:t>switch</w:t>
        <w:t>-</w:t>
        <w:t>dpdk</w:t>
        <w:t xml:space="preserve"> </w:t>
        <w:t>sudo update</w:t>
        <w:t>-</w:t>
        <w:t>alternatives</w:t>
        <w:t>--</w:t>
        <w:t>set</w:t>
        <w:t xml:space="preserve"> </w:t>
        <w:t>ovs</w:t>
        <w:t>-</w:t>
        <w:t>vswitchd</w:t>
        <w:t xml:space="preserve"> </w:t>
        <w:t>/</w:t>
        <w:t>usr</w:t>
        <w:t>/</w:t>
        <w:t>lib</w:t>
        <w:t>/</w:t>
        <w:t>openvswitch</w:t>
        <w:t>-</w:t>
        <w:t>switch</w:t>
        <w:t>-</w:t>
        <w:t>dpdk</w:t>
        <w:t>/</w:t>
        <w:t>ovs</w:t>
        <w:t>-</w:t>
        <w:t>vswitchd</w:t>
        <w:t>-</w:t>
        <w:t>dpdk</w:t>
      </w:r>
    </w:p>
    <w:p>
      <w:pPr>
        <w:pStyle w:val="Normal"/>
      </w:pPr>
      <w:r>
        <w:t>ovs</w:t>
        <w:t>-</w:t>
        <w:t>vsctl</w:t>
        <w:t xml:space="preserve"> </w:t>
        <w:t>set</w:t>
        <w:t xml:space="preserve"> </w:t>
        <w:t>Open_vSwitch</w:t>
        <w:t xml:space="preserve"> </w:t>
        <w:t>.</w:t>
        <w:t xml:space="preserve"> </w:t>
        <w:t>"other_config:dpdk-init=true"</w:t>
        <w:t xml:space="preserve"> </w:t>
      </w:r>
      <w:r>
        <w:rPr>
          <w:rStyle w:val="Text3"/>
        </w:rPr>
        <w:t># run on core 0 only</w:t>
      </w:r>
    </w:p>
    <w:p>
      <w:pPr>
        <w:pStyle w:val="Normal"/>
      </w:pPr>
      <w:r>
        <w:t>ovs</w:t>
        <w:t>-</w:t>
        <w:t>vsctl</w:t>
        <w:t xml:space="preserve"> </w:t>
        <w:t>set</w:t>
        <w:t xml:space="preserve"> </w:t>
        <w:t>Open_vSwitch</w:t>
        <w:t xml:space="preserve"> </w:t>
        <w:t>.</w:t>
        <w:t xml:space="preserve"> </w:t>
        <w:t>"other_config:dpdk-lcore-mask=0x1"</w:t>
        <w:t xml:space="preserve"> </w:t>
      </w:r>
      <w:r>
        <w:rPr>
          <w:rStyle w:val="Text3"/>
        </w:rPr>
        <w:t># Allocate 2G huge pages (not Numa node aware)</w:t>
      </w:r>
    </w:p>
    <w:p>
      <w:pPr>
        <w:pStyle w:val="Normal"/>
      </w:pPr>
      <w:r>
        <w:t>ovs</w:t>
        <w:t>-</w:t>
        <w:t>vsctl</w:t>
        <w:t xml:space="preserve"> </w:t>
        <w:t>set</w:t>
        <w:t xml:space="preserve"> </w:t>
        <w:t>Open_vSwitch</w:t>
        <w:t xml:space="preserve"> </w:t>
        <w:t>.</w:t>
        <w:t xml:space="preserve"> </w:t>
        <w:t>"other_config:dpdk-alloc-mem=2048"</w:t>
        <w:t xml:space="preserve"> </w:t>
      </w:r>
      <w:r>
        <w:rPr>
          <w:rStyle w:val="Text3"/>
        </w:rPr>
        <w:t># limit to one whitelisted device</w:t>
      </w:r>
    </w:p>
    <w:p>
      <w:pPr>
        <w:pStyle w:val="Normal"/>
      </w:pPr>
      <w:r>
        <w:t>ovs</w:t>
        <w:t>-</w:t>
        <w:t>vsctl</w:t>
        <w:t xml:space="preserve"> </w:t>
        <w:t>set</w:t>
        <w:t xml:space="preserve"> </w:t>
        <w:t>Open_vSwitch</w:t>
        <w:t xml:space="preserve"> </w:t>
        <w:t>.</w:t>
        <w:t xml:space="preserve"> </w:t>
        <w:t>"other_config:dpdk-extra=--pci-whitelist=0000:04:00.0"</w:t>
        <w:t xml:space="preserve"> </w:t>
        <w:t>sudo service openvswitch</w:t>
        <w:t>-</w:t>
        <w:t>switch restart</w:t>
      </w:r>
    </w:p>
    <w:p>
      <w:pPr>
        <w:pStyle w:val="Para 17"/>
      </w:pPr>
      <w:r>
        <w:t/>
      </w:r>
    </w:p>
    <w:p>
      <w:pPr>
        <w:pStyle w:val="Para 08"/>
      </w:pPr>
      <w:r>
        <w:t>Note:</w:t>
      </w:r>
    </w:p>
    <w:p>
      <w:pPr>
        <w:pStyle w:val="Para 03"/>
      </w:pPr>
      <w:r>
        <w:t>You need to assign devices to DPDK-compatible drivers before restarting – see the DPDK</w:t>
      </w:r>
    </w:p>
    <w:p>
      <w:pPr>
        <w:pStyle w:val="Para 43"/>
      </w:pPr>
      <w:r>
        <w:rPr>
          <w:rStyle w:val="Text4"/>
        </w:rPr>
        <w:t xml:space="preserve">section on </w:t>
      </w:r>
      <w:hyperlink w:anchor="page_819">
        <w:r>
          <w:t>unassigning the default kernel drivers</w:t>
        </w:r>
      </w:hyperlink>
      <w:r>
        <w:rPr>
          <w:rStyle w:val="Text4"/>
        </w:rPr>
        <w:t xml:space="preserve"> (page 818).</w:t>
      </w:r>
    </w:p>
    <w:p>
      <w:pPr>
        <w:pStyle w:val="Para 17"/>
      </w:pPr>
      <w:r>
        <w:t/>
      </w:r>
    </w:p>
    <w:p>
      <w:pPr>
        <w:pStyle w:val="Normal"/>
      </w:pPr>
      <w:r>
        <w:t>Please note that the section _dpdk-alloc-mem=2048_ in the above example is the most basic non-uniform memory access (NUMA) setup for a single socket system. If you have multiple sockets you may want to define how the memory should be split among them. More details</w:t>
      </w:r>
    </w:p>
    <w:p>
      <w:pPr>
        <w:pStyle w:val="Normal"/>
      </w:pPr>
      <w:r>
        <w:t xml:space="preserve">about these options are outlined in </w:t>
      </w:r>
      <w:hyperlink r:id="rId1190">
        <w:r>
          <w:rPr>
            <w:rStyle w:val="Text9"/>
          </w:rPr>
          <w:t>187</w:t>
        </w:r>
      </w:hyperlink>
      <w:hyperlink r:id="rId1190">
        <w:r>
          <w:rPr>
            <w:rStyle w:val="Text1"/>
          </w:rPr>
          <w:t xml:space="preserve"> Open vSwitch setup</w:t>
        </w:r>
      </w:hyperlink>
      <w:r>
        <w:t>.</w:t>
      </w:r>
    </w:p>
    <w:p>
      <w:pPr>
        <w:pStyle w:val="Para 17"/>
      </w:pPr>
      <w:r>
        <w:t/>
      </w:r>
    </w:p>
    <w:p>
      <w:pPr>
        <w:pStyle w:val="Para 01"/>
      </w:pPr>
      <w:r>
        <w:t>Attach DPDK ports to Open vSwitch</w:t>
      </w:r>
    </w:p>
    <w:p>
      <w:pPr>
        <w:pStyle w:val="Para 17"/>
      </w:pPr>
      <w:r>
        <w:t/>
      </w:r>
    </w:p>
    <w:p>
      <w:pPr>
        <w:pStyle w:val="Normal"/>
      </w:pPr>
      <w:r>
        <w:t xml:space="preserve">The Open vSwitch you started above supports all the same port types as Open vSwitch usu-ally does, </w:t>
      </w:r>
      <w:r>
        <w:rPr>
          <w:rStyle w:val="Text3"/>
        </w:rPr>
        <w:t>plus</w:t>
      </w:r>
      <w:r>
        <w:t xml:space="preserve"> DPDK port types. The following example shows how to create a bridge and – instead of a normal external port – add an external DPDK port to it. When doing so you can specify the associated device.</w:t>
      </w:r>
    </w:p>
    <w:p>
      <w:pPr>
        <w:pStyle w:val="Normal"/>
      </w:pPr>
      <w:r>
        <w:t>ovs</w:t>
        <w:t>-</w:t>
        <w:t>vsctl add</w:t>
        <w:t>-</w:t>
        <w:t>br ovsdpdkbr0</w:t>
        <w:t>--</w:t>
        <w:t>set</w:t>
        <w:t xml:space="preserve"> </w:t>
        <w:t>bridge ovsdpdkbr0 datapath_type</w:t>
        <w:t>=</w:t>
        <w:t>netdev</w:t>
        <w:t xml:space="preserve"> </w:t>
        <w:t>ovs</w:t>
        <w:t>-</w:t>
        <w:t>vsctl add</w:t>
        <w:t>-</w:t>
        <w:t>port ovsdpdkbr0 dpdk0</w:t>
        <w:t>--</w:t>
        <w:t>set</w:t>
        <w:t xml:space="preserve"> </w:t>
        <w:t>Interface dpdk0</w:t>
        <w:t xml:space="preserve"> </w:t>
        <w:t>type</w:t>
        <w:t>=</w:t>
        <w:t>dpdk</w:t>
        <w:t xml:space="preserve"> </w:t>
        <w:t>"options:dpdk-</w:t>
        <w:t>devargs=$</w:t>
      </w:r>
      <w:r>
        <w:rPr>
          <w:rStyle w:val="Text3"/>
        </w:rPr>
        <w:t>{OVSDEV_PCIID}</w:t>
      </w:r>
      <w:r>
        <w:t>"</w:t>
      </w:r>
    </w:p>
    <w:p>
      <w:pPr>
        <w:pStyle w:val="Para 17"/>
      </w:pPr>
      <w:r>
        <w:t/>
      </w:r>
    </w:p>
    <w:p>
      <w:pPr>
        <w:pStyle w:val="Normal"/>
      </w:pPr>
      <w:r>
        <w:t>You can tune this further by setting options:</w:t>
      </w:r>
    </w:p>
    <w:p>
      <w:pPr>
        <w:pStyle w:val="Normal"/>
      </w:pPr>
      <w:r>
        <w:t>ovs</w:t>
        <w:t>-</w:t>
        <w:t>vsctl</w:t>
        <w:t xml:space="preserve"> </w:t>
        <w:t>set</w:t>
        <w:t xml:space="preserve"> </w:t>
        <w:t>Interface dpdk0</w:t>
        <w:t xml:space="preserve"> </w:t>
        <w:t>"options:n_rxq=2"</w:t>
      </w:r>
    </w:p>
    <w:p>
      <w:pPr>
        <w:pStyle w:val="Para 05"/>
      </w:pPr>
      <w:r>
        <w:rPr>
          <w:rStyle w:val="Text5"/>
        </w:rPr>
        <w:t>187</w:t>
      </w:r>
      <w:r>
        <w:rPr>
          <w:rStyle w:val="Text8"/>
        </w:rPr>
        <w:t xml:space="preserve"> </w:t>
      </w:r>
      <w:r>
        <w:t>https://docs.openvswitch.org/en/latest/intro/install/dpdk/#setup-ovs</w:t>
      </w:r>
      <w:r>
        <w:rPr>
          <w:rStyle w:val="Text8"/>
        </w:rPr>
        <w:t xml:space="preserve"> </w:t>
      </w:r>
      <w:r>
        <w:rPr>
          <w:rStyle w:val="Text11"/>
        </w:rPr>
        <w:t>Open vSwitch DPDK to KVM guests</w:t>
      </w:r>
    </w:p>
    <w:p>
      <w:bookmarkStart w:id="375" w:name="page_2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8" name="index-263_1.png" descr="index-263_1.png"/>
            <wp:cNvGraphicFramePr>
              <a:graphicFrameLocks noChangeAspect="1"/>
            </wp:cNvGraphicFramePr>
            <a:graphic>
              <a:graphicData uri="http://schemas.openxmlformats.org/drawingml/2006/picture">
                <pic:pic>
                  <pic:nvPicPr>
                    <pic:cNvPr id="0" name="index-263_1.png" descr="index-263_1.png"/>
                    <pic:cNvPicPr/>
                  </pic:nvPicPr>
                  <pic:blipFill>
                    <a:blip r:embed="rId272"/>
                    <a:stretch>
                      <a:fillRect/>
                    </a:stretch>
                  </pic:blipFill>
                  <pic:spPr>
                    <a:xfrm>
                      <a:off x="0" y="0"/>
                      <a:ext cx="914400" cy="266700"/>
                    </a:xfrm>
                    <a:prstGeom prst="rect">
                      <a:avLst/>
                    </a:prstGeom>
                  </pic:spPr>
                </pic:pic>
              </a:graphicData>
            </a:graphic>
          </wp:anchor>
        </w:drawing>
      </w:r>
      <w:bookmarkEnd w:id="375"/>
    </w:p>
    <w:p>
      <w:pPr>
        <w:pStyle w:val="Para 17"/>
      </w:pPr>
      <w:r>
        <w:t/>
      </w:r>
    </w:p>
    <w:p>
      <w:pPr>
        <w:pStyle w:val="Normal"/>
      </w:pPr>
      <w:r>
        <w:t>If you are not building some sort of software-defined networking (SDN) switch or NFV on top of DPDK, it is very likely that you want to forward traffic to KVM guests. The good news is; with the new qemu/libvirt/dpdk/openvswitch versions in Ubuntu this is no longer about man-ually appending a command line string. This section demonstrates a basic setup to connect a KVM guest to an Open vSwitch DPDK instance.</w:t>
      </w:r>
    </w:p>
    <w:p>
      <w:pPr>
        <w:pStyle w:val="Normal"/>
      </w:pPr>
      <w:r>
        <w:t>The recommended way to get to a KVM guest is using vhost_user_client. This will cause OvS-DPDK to connect to a socket created by QEMU. In this way, we can avoid old issues like “guest failures on OvS restart”. Here is an example of how to add such a port to the bridge you created above.</w:t>
      </w:r>
    </w:p>
    <w:p>
      <w:pPr>
        <w:pStyle w:val="Normal"/>
      </w:pPr>
      <w:r>
        <w:t>ovs</w:t>
        <w:t>-</w:t>
        <w:t>vsctl add</w:t>
        <w:t>-</w:t>
        <w:t>port ovsdpdkbr0 vhost</w:t>
        <w:t>-</w:t>
        <w:t>user</w:t>
        <w:t>-</w:t>
        <w:t>1</w:t>
        <w:t>--</w:t>
        <w:t>set</w:t>
        <w:t xml:space="preserve"> </w:t>
        <w:t>Interface vhost</w:t>
        <w:t>-</w:t>
        <w:t>user</w:t>
        <w:t>-</w:t>
        <w:t>1</w:t>
        <w:t xml:space="preserve"> </w:t>
        <w:t>type</w:t>
        <w:t>=</w:t>
        <w:t>dpdkvhostuserclient</w:t>
        <w:t xml:space="preserve"> </w:t>
        <w:t>"options:vhost-server-path=/var/run/vhostuserclient/vhost-user-</w:t>
        <w:t>client-1"</w:t>
      </w:r>
    </w:p>
    <w:p>
      <w:pPr>
        <w:pStyle w:val="Para 17"/>
      </w:pPr>
      <w:r>
        <w:t/>
      </w:r>
    </w:p>
    <w:p>
      <w:pPr>
        <w:pStyle w:val="Normal"/>
      </w:pPr>
      <w:r>
        <w:t>This will connect to the specified path that has to be created by a guest listening for it.</w:t>
      </w:r>
    </w:p>
    <w:p>
      <w:pPr>
        <w:pStyle w:val="Normal"/>
      </w:pPr>
      <w:r>
        <w:t>To let libvirt/kvm consume this socket and create a guest VirtIO network device for it, add the following snippet to your guest definition as the network definition.</w:t>
      </w:r>
    </w:p>
    <w:p>
      <w:pPr>
        <w:pStyle w:val="Normal"/>
      </w:pPr>
      <w:r>
        <w:t>&lt;</w:t>
        <w:t>interface</w:t>
        <w:t xml:space="preserve"> </w:t>
        <w:t>type</w:t>
        <w:t>=</w:t>
        <w:t>'vhostuser'</w:t>
        <w:t>&gt;</w:t>
      </w:r>
    </w:p>
    <w:p>
      <w:pPr>
        <w:pStyle w:val="Normal"/>
      </w:pPr>
      <w:r>
        <w:t>&lt;</w:t>
        <w:t>source</w:t>
        <w:t xml:space="preserve"> </w:t>
        <w:t>type</w:t>
        <w:t>=</w:t>
        <w:t>'unix'</w:t>
      </w:r>
    </w:p>
    <w:p>
      <w:pPr>
        <w:pStyle w:val="Normal"/>
      </w:pPr>
      <w:r>
        <w:t>path</w:t>
        <w:t>=</w:t>
        <w:t>'/var/run/vhostuserclient/vhost-user-client-1'</w:t>
        <w:t xml:space="preserve"> </w:t>
        <w:t>mode</w:t>
        <w:t>=</w:t>
        <w:t>'server'</w:t>
        <w:t>/&gt;</w:t>
      </w:r>
    </w:p>
    <w:p>
      <w:pPr>
        <w:pStyle w:val="Normal"/>
      </w:pPr>
      <w:r>
        <w:t>&lt;</w:t>
        <w:t>model</w:t>
        <w:t xml:space="preserve"> </w:t>
        <w:t>type</w:t>
        <w:t>=</w:t>
        <w:t>'virtio'</w:t>
        <w:t>/&gt;</w:t>
      </w:r>
    </w:p>
    <w:p>
      <w:pPr>
        <w:pStyle w:val="Normal"/>
      </w:pPr>
      <w:r>
        <w:t>&lt;/</w:t>
        <w:t>interface</w:t>
        <w:t>&gt;</w:t>
      </w:r>
    </w:p>
    <w:p>
      <w:pPr>
        <w:pStyle w:val="Para 17"/>
      </w:pPr>
      <w:r>
        <w:t/>
      </w:r>
    </w:p>
    <w:p>
      <w:pPr>
        <w:pStyle w:val="Para 01"/>
      </w:pPr>
      <w:r>
        <w:t>Tuning Open vSwitch-DPDK</w:t>
      </w:r>
    </w:p>
    <w:p>
      <w:pPr>
        <w:pStyle w:val="Para 17"/>
      </w:pPr>
      <w:r>
        <w:t/>
      </w:r>
    </w:p>
    <w:p>
      <w:pPr>
        <w:pStyle w:val="Normal"/>
      </w:pPr>
      <w:r>
        <w:t>DPDK has plenty of options – in combination with Open vSwitch-DPDK the two most com-monly used are:</w:t>
      </w:r>
    </w:p>
    <w:p>
      <w:pPr>
        <w:pStyle w:val="Normal"/>
      </w:pPr>
      <w:r>
        <w:t>ovs</w:t>
        <w:t>-</w:t>
        <w:t>vsctl</w:t>
        <w:t xml:space="preserve"> </w:t>
        <w:t>set</w:t>
        <w:t xml:space="preserve"> </w:t>
        <w:t>Open_vSwitch</w:t>
        <w:t xml:space="preserve"> </w:t>
        <w:t>.</w:t>
        <w:t xml:space="preserve"> </w:t>
        <w:t>other_config:n</w:t>
        <w:t>-</w:t>
        <w:t>dpdk</w:t>
        <w:t>-</w:t>
        <w:t>rxqs</w:t>
        <w:t>=</w:t>
        <w:t>2</w:t>
        <w:t xml:space="preserve"> </w:t>
        <w:t>ovs</w:t>
        <w:t>-</w:t>
        <w:t>vsctl</w:t>
        <w:t xml:space="preserve"> </w:t>
        <w:t>set</w:t>
        <w:t xml:space="preserve"> </w:t>
        <w:t>Open_vSwitch</w:t>
        <w:t xml:space="preserve"> </w:t>
        <w:t>.</w:t>
        <w:t xml:space="preserve"> </w:t>
        <w:t>other_config:pmd</w:t>
        <w:t>-</w:t>
        <w:t>cpu</w:t>
        <w:t>-</w:t>
        <w:t>mask</w:t>
        <w:t>=</w:t>
        <w:t>0x6</w:t>
      </w:r>
    </w:p>
    <w:p>
      <w:pPr>
        <w:pStyle w:val="Para 17"/>
      </w:pPr>
      <w:r>
        <w:t/>
      </w:r>
    </w:p>
    <w:p>
      <w:pPr>
        <w:pStyle w:val="Normal"/>
      </w:pPr>
      <w:r>
        <w:t>The first line selects how many Rx Queues are to be used for each DPDK interface, while the second controls how many poll mode driver (PMD) threads to run (and where to run them). The example above will use two Rx Queues, and run PMD threads on CPU 1 and 2.</w:t>
      </w:r>
    </w:p>
    <w:p>
      <w:pPr>
        <w:pStyle w:val="Para 17"/>
      </w:pPr>
      <w:r>
        <w:t/>
      </w:r>
    </w:p>
    <w:p>
      <w:pPr>
        <w:pStyle w:val="Para 08"/>
      </w:pPr>
      <w:r>
        <w:rPr>
          <w:rStyle w:val="Text0"/>
        </w:rPr>
        <w:t xml:space="preserve">µ </w:t>
      </w:r>
      <w:r>
        <w:t>See also</w:t>
      </w:r>
    </w:p>
    <w:p>
      <w:pPr>
        <w:pStyle w:val="Para 03"/>
      </w:pPr>
      <w:r>
        <w:t xml:space="preserve">Check the links to </w:t>
      </w:r>
      <w:hyperlink w:anchor="page_681">
        <w:r>
          <w:rPr>
            <w:rStyle w:val="Text2"/>
          </w:rPr>
          <w:t>EAL</w:t>
        </w:r>
      </w:hyperlink>
      <w:r>
        <w:t xml:space="preserve"> Command-line Options and “Open vSwitch DPDK installation” at</w:t>
      </w:r>
    </w:p>
    <w:p>
      <w:pPr>
        <w:pStyle w:val="Para 03"/>
      </w:pPr>
      <w:r>
        <w:t>the end of this document for more information.</w:t>
      </w:r>
    </w:p>
    <w:p>
      <w:pPr>
        <w:pStyle w:val="Para 17"/>
      </w:pPr>
      <w:r>
        <w:t/>
      </w:r>
    </w:p>
    <w:p>
      <w:pPr>
        <w:pStyle w:val="Normal"/>
      </w:pPr>
      <w:r>
        <w:t>As usual with tunings, you need to know your system and workload really well - so please verify any tunings with workloads matching your real use case.</w:t>
      </w:r>
    </w:p>
    <w:p>
      <w:bookmarkStart w:id="376" w:name="page_2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69" name="index-264_1.png" descr="index-264_1.png"/>
            <wp:cNvGraphicFramePr>
              <a:graphicFrameLocks noChangeAspect="1"/>
            </wp:cNvGraphicFramePr>
            <a:graphic>
              <a:graphicData uri="http://schemas.openxmlformats.org/drawingml/2006/picture">
                <pic:pic>
                  <pic:nvPicPr>
                    <pic:cNvPr id="0" name="index-264_1.png" descr="index-264_1.png"/>
                    <pic:cNvPicPr/>
                  </pic:nvPicPr>
                  <pic:blipFill>
                    <a:blip r:embed="rId273"/>
                    <a:stretch>
                      <a:fillRect/>
                    </a:stretch>
                  </pic:blipFill>
                  <pic:spPr>
                    <a:xfrm>
                      <a:off x="0" y="0"/>
                      <a:ext cx="914400" cy="266700"/>
                    </a:xfrm>
                    <a:prstGeom prst="rect">
                      <a:avLst/>
                    </a:prstGeom>
                  </pic:spPr>
                </pic:pic>
              </a:graphicData>
            </a:graphic>
          </wp:anchor>
        </w:drawing>
      </w:r>
      <w:bookmarkEnd w:id="376"/>
    </w:p>
    <w:p>
      <w:pPr>
        <w:pStyle w:val="Para 01"/>
      </w:pPr>
      <w:r>
        <w:t>Support and troubleshooting</w:t>
      </w:r>
    </w:p>
    <w:p>
      <w:pPr>
        <w:pStyle w:val="Para 17"/>
      </w:pPr>
      <w:r>
        <w:t/>
      </w:r>
    </w:p>
    <w:p>
      <w:pPr>
        <w:pStyle w:val="Normal"/>
      </w:pPr>
      <w:r>
        <w:t>DPDK is a fast-evolving project. In any search for support and/or further guides, we highly recommended first checking to see if they apply to the current version.</w:t>
      </w:r>
    </w:p>
    <w:p>
      <w:pPr>
        <w:pStyle w:val="Normal"/>
      </w:pPr>
      <w:r>
        <w:t>You can check if your issues is known on:</w:t>
      </w:r>
    </w:p>
    <w:p>
      <w:pPr>
        <w:pStyle w:val="Para 13"/>
      </w:pPr>
      <w:r>
        <w:rPr>
          <w:rStyle w:val="Text7"/>
        </w:rPr>
        <w:t xml:space="preserve">• </w:t>
      </w:r>
      <w:hyperlink w:anchor="page_264">
        <w:r>
          <w:rPr>
            <w:rStyle w:val="Text10"/>
          </w:rPr>
          <w:t>188</w:t>
        </w:r>
      </w:hyperlink>
      <w:r>
        <w:rPr>
          <w:rStyle w:val="Text7"/>
        </w:rPr>
        <w:t xml:space="preserve"> </w:t>
      </w:r>
      <w:hyperlink r:id="rId1191">
        <w:r>
          <w:t>DPDK Mailing Lists</w:t>
        </w:r>
      </w:hyperlink>
    </w:p>
    <w:p>
      <w:pPr>
        <w:pStyle w:val="Para 13"/>
      </w:pPr>
      <w:r>
        <w:rPr>
          <w:rStyle w:val="Text7"/>
        </w:rPr>
        <w:t xml:space="preserve">• For OpenVswitch-DPDK </w:t>
      </w:r>
      <w:hyperlink r:id="rId1192">
        <w:r>
          <w:rPr>
            <w:rStyle w:val="Text10"/>
          </w:rPr>
          <w:t>189</w:t>
        </w:r>
      </w:hyperlink>
      <w:hyperlink r:id="rId1192">
        <w:r>
          <w:t xml:space="preserve"> OpenStack Mailing Lists</w:t>
        </w:r>
      </w:hyperlink>
    </w:p>
    <w:p>
      <w:pPr>
        <w:pStyle w:val="Para 04"/>
      </w:pPr>
      <w:r>
        <w:t xml:space="preserve">• Known issues in </w:t>
      </w:r>
      <w:hyperlink w:anchor="page_264">
        <w:r>
          <w:rPr>
            <w:rStyle w:val="Text9"/>
          </w:rPr>
          <w:t>190</w:t>
        </w:r>
      </w:hyperlink>
      <w:r>
        <w:t xml:space="preserve"> </w:t>
      </w:r>
      <w:hyperlink r:id="rId1193">
        <w:r>
          <w:rPr>
            <w:rStyle w:val="Text1"/>
          </w:rPr>
          <w:t>DPDK Launchpad Area</w:t>
        </w:r>
      </w:hyperlink>
    </w:p>
    <w:p>
      <w:pPr>
        <w:pStyle w:val="Para 04"/>
      </w:pPr>
      <w:r>
        <w:t xml:space="preserve">• Join the IRC channels #DPDK or #openvswitch on </w:t>
      </w:r>
      <w:hyperlink w:anchor="page_683">
        <w:r>
          <w:rPr>
            <w:rStyle w:val="Text2"/>
          </w:rPr>
          <w:t>freenode</w:t>
        </w:r>
      </w:hyperlink>
      <w:r>
        <w:t>.</w:t>
      </w:r>
    </w:p>
    <w:p>
      <w:pPr>
        <w:pStyle w:val="Normal"/>
      </w:pPr>
      <w:r>
        <w:t>Issues are often due to missing small details in the general setup. Later on, these missing details cause problems which can be hard to track down to their root cause.</w:t>
      </w:r>
    </w:p>
    <w:p>
      <w:pPr>
        <w:pStyle w:val="Normal"/>
      </w:pPr>
      <w:r>
        <w:t>A common case seems to be the “could not open network device dpdk0 (No such device)” issue. This occurs rather late when setting up a port in Open vSwitch with DPDK, but the root cause (most of the time) is very early in the setup and initialization. Here is an example of how proper initialization of a device looks - this can be found in the syslog/journal when starting Open vSwitch with DPDK enabled.</w:t>
      </w:r>
    </w:p>
    <w:p>
      <w:pPr>
        <w:pStyle w:val="Normal"/>
      </w:pPr>
      <w:r>
        <w:t>ovs</w:t>
        <w:t>-</w:t>
        <w:t>ctl[</w:t>
        <w:t>3560</w:t>
        <w:t>]: EAL: PCI device</w:t>
        <w:t xml:space="preserve"> </w:t>
        <w:t>0000</w:t>
        <w:t>:</w:t>
        <w:t>04</w:t>
        <w:t>:</w:t>
        <w:t>00.1</w:t>
        <w:t xml:space="preserve"> </w:t>
        <w:t>on NUMA socket</w:t>
        <w:t xml:space="preserve"> </w:t>
        <w:t>0</w:t>
        <w:t xml:space="preserve"> </w:t>
        <w:t>ovs</w:t>
        <w:t>-</w:t>
        <w:t>ctl[</w:t>
        <w:t>3560</w:t>
        <w:t>]: EAL:</w:t>
        <w:t xml:space="preserve"> </w:t>
        <w:t>probe driver:</w:t>
        <w:t xml:space="preserve"> </w:t>
        <w:t>8086</w:t>
        <w:t>:</w:t>
        <w:t>1528</w:t>
        <w:t xml:space="preserve"> </w:t>
        <w:t>rte_ixgbe_pmd</w:t>
        <w:t xml:space="preserve"> </w:t>
        <w:t>ovs</w:t>
        <w:t>-</w:t>
        <w:t>ctl[</w:t>
        <w:t>3560</w:t>
        <w:t>]: EAL:</w:t>
        <w:t xml:space="preserve"> </w:t>
        <w:t>PCI memory mapped at</w:t>
        <w:t xml:space="preserve"> </w:t>
        <w:t>0x7f2140000000</w:t>
        <w:t xml:space="preserve"> </w:t>
        <w:t>ovs</w:t>
        <w:t>-</w:t>
        <w:t>ctl[</w:t>
        <w:t>3560</w:t>
        <w:t>]: EAL:</w:t>
        <w:t xml:space="preserve"> </w:t>
        <w:t>PCI memory mapped at</w:t>
        <w:t xml:space="preserve"> </w:t>
        <w:t>0x7f2140200000</w:t>
      </w:r>
    </w:p>
    <w:p>
      <w:pPr>
        <w:pStyle w:val="Para 17"/>
      </w:pPr>
      <w:r>
        <w:t/>
      </w:r>
    </w:p>
    <w:p>
      <w:pPr>
        <w:pStyle w:val="Normal"/>
      </w:pPr>
      <w:r>
        <w:t>If this is missing, either by ignored cards, failed initialisation or other reasons, later on there will be no DPDK device to refer to. Unfortunately, the logging is spread across syslog/ journal and the openvswitch log. To enable some cross-checking, here is an example of what can be found in these logs, relative to the entered command.</w:t>
      </w:r>
    </w:p>
    <w:p>
      <w:pPr>
        <w:pStyle w:val="Para 10"/>
      </w:pPr>
      <w:r>
        <w:t>#Note: This log was taken with dpdk 2.2 and openvswitch 2.5 but still looks quite similar</w:t>
      </w:r>
      <w:r>
        <w:rPr>
          <w:rStyle w:val="Text3"/>
        </w:rPr>
        <w:t xml:space="preserve"> </w:t>
      </w:r>
      <w:r>
        <w:t>(a bit extended) these days</w:t>
      </w:r>
    </w:p>
    <w:p>
      <w:pPr>
        <w:pStyle w:val="Normal"/>
      </w:pPr>
      <w:r>
        <w:t>Captions:</w:t>
      </w:r>
    </w:p>
    <w:p>
      <w:pPr>
        <w:pStyle w:val="Normal"/>
      </w:pPr>
      <w:r>
        <w:t>CMD: that you enter</w:t>
      </w:r>
    </w:p>
    <w:p>
      <w:pPr>
        <w:pStyle w:val="Normal"/>
      </w:pPr>
      <w:r>
        <w:t>SYSLOG: (Inlcuding EAL</w:t>
        <w:t xml:space="preserve"> </w:t>
      </w:r>
      <w:r>
        <w:rPr>
          <w:rStyle w:val="Text0"/>
        </w:rPr>
        <w:t>and</w:t>
      </w:r>
      <w:r>
        <w:t xml:space="preserve"> </w:t>
        <w:t>OVS Messages)</w:t>
        <w:t xml:space="preserve"> </w:t>
        <w:t>OVS</w:t>
        <w:t>-</w:t>
        <w:t>LOG: (Openvswitch messages)</w:t>
      </w:r>
    </w:p>
    <w:p>
      <w:pPr>
        <w:pStyle w:val="Para 10"/>
      </w:pPr>
      <w:r>
        <w:t>#PREPARATION</w:t>
      </w:r>
    </w:p>
    <w:p>
      <w:pPr>
        <w:pStyle w:val="Normal"/>
      </w:pPr>
      <w:r>
        <w:t>Bind an interface to DPDK UIO drivers, make Hugepages available, enable DPDK on OVS</w:t>
      </w:r>
    </w:p>
    <w:p>
      <w:pPr>
        <w:pStyle w:val="Normal"/>
      </w:pPr>
      <w:r>
        <w:t>CMD: sudo service openvswitch</w:t>
        <w:t>-</w:t>
        <w:t>switch restart</w:t>
      </w:r>
    </w:p>
    <w:p>
      <w:pPr>
        <w:pStyle w:val="Normal"/>
      </w:pPr>
      <w:r>
        <w:t>SYSLOG:</w:t>
      </w:r>
    </w:p>
    <w:p>
      <w:pPr>
        <w:pStyle w:val="Normal"/>
      </w:pPr>
      <w:r>
        <w:t>2016</w:t>
        <w:t>-</w:t>
        <w:t>01</w:t>
        <w:t>-</w:t>
        <w:t>22</w:t>
        <w:t>T08:</w:t>
        <w:t>58</w:t>
        <w:t>:</w:t>
        <w:t>31.372</w:t>
        <w:t>Z</w:t>
        <w:t>|</w:t>
        <w:t>00003</w:t>
        <w:t>|</w:t>
        <w:t>daemon_unix(monitor)</w:t>
        <w:t>|</w:t>
        <w:t>INFO</w:t>
        <w:t>|</w:t>
        <w:t>pid</w:t>
        <w:t xml:space="preserve"> </w:t>
        <w:t>3329</w:t>
        <w:t xml:space="preserve"> </w:t>
        <w:t>died, killed</w:t>
        <w:t xml:space="preserve"> </w:t>
        <w:t>(Terminated), exiting</w:t>
      </w:r>
    </w:p>
    <w:p>
      <w:pPr>
        <w:pStyle w:val="Normal"/>
      </w:pPr>
      <w:r>
        <w:t>2016</w:t>
        <w:t>-</w:t>
        <w:t>01</w:t>
        <w:t>-</w:t>
        <w:t>22</w:t>
        <w:t>T08:</w:t>
        <w:t>58</w:t>
        <w:t>:</w:t>
        <w:t>33.377</w:t>
        <w:t>Z</w:t>
        <w:t>|</w:t>
        <w:t>00002</w:t>
        <w:t>|</w:t>
        <w:t>vlog</w:t>
        <w:t>|</w:t>
        <w:t>INFO</w:t>
        <w:t>|</w:t>
        <w:t>opened log file</w:t>
        <w:t xml:space="preserve"> </w:t>
        <w:t>/</w:t>
        <w:t>var</w:t>
        <w:t>/</w:t>
        <w:t>log</w:t>
        <w:t>/</w:t>
        <w:t>openvswitch</w:t>
        <w:t>/</w:t>
        <w:t>ovs</w:t>
        <w:t>-</w:t>
        <w:t>vswitchd</w:t>
        <w:t>.</w:t>
        <w:t>log</w:t>
      </w:r>
    </w:p>
    <w:p>
      <w:pPr>
        <w:pStyle w:val="Normal"/>
      </w:pPr>
      <w:r>
        <w:t>2016</w:t>
        <w:t>-</w:t>
        <w:t>01</w:t>
        <w:t>-</w:t>
        <w:t>22</w:t>
        <w:t>T08:</w:t>
        <w:t>58</w:t>
        <w:t>:</w:t>
        <w:t>33.381</w:t>
        <w:t>Z</w:t>
        <w:t>|</w:t>
        <w:t>00003</w:t>
        <w:t>|</w:t>
        <w:t>ovs_numa</w:t>
        <w:t>|</w:t>
        <w:t>INFO</w:t>
        <w:t>|</w:t>
        <w:t>Discovered</w:t>
        <w:t xml:space="preserve"> </w:t>
        <w:t>12</w:t>
        <w:t xml:space="preserve"> </w:t>
        <w:t>CPU cores on NUMA node</w:t>
        <w:t xml:space="preserve"> </w:t>
        <w:t>0</w:t>
        <w:t xml:space="preserve"> </w:t>
        <w:t>2016</w:t>
        <w:t>-</w:t>
        <w:t>01</w:t>
        <w:t>-</w:t>
        <w:t>22</w:t>
        <w:t>T08:</w:t>
        <w:t>58</w:t>
        <w:t>:</w:t>
        <w:t>33.381</w:t>
        <w:t>Z</w:t>
        <w:t>|</w:t>
        <w:t>00004</w:t>
        <w:t>|</w:t>
        <w:t>ovs_numa</w:t>
        <w:t>|</w:t>
        <w:t>INFO</w:t>
        <w:t>|</w:t>
        <w:t>Discovered</w:t>
        <w:t xml:space="preserve"> </w:t>
        <w:t>1</w:t>
        <w:t xml:space="preserve"> </w:t>
        <w:t>NUMA nodes</w:t>
        <w:t xml:space="preserve"> </w:t>
      </w:r>
      <w:r>
        <w:rPr>
          <w:rStyle w:val="Text0"/>
        </w:rPr>
        <w:t>and</w:t>
      </w:r>
      <w:r>
        <w:t xml:space="preserve"> </w:t>
        <w:t>12</w:t>
        <w:t xml:space="preserve"> </w:t>
        <w:t>CPU cores</w:t>
        <w:t xml:space="preserve"> </w:t>
        <w:t>2016</w:t>
        <w:t>-</w:t>
        <w:t>01</w:t>
        <w:t>-</w:t>
        <w:t>22</w:t>
        <w:t>T08:</w:t>
        <w:t>58</w:t>
        <w:t>:</w:t>
        <w:t>33.381</w:t>
        <w:t>Z</w:t>
        <w:t>|</w:t>
        <w:t>00005</w:t>
        <w:t>|</w:t>
        <w:t>reconnect</w:t>
        <w:t>|</w:t>
        <w:t>INFO</w:t>
        <w:t>|</w:t>
        <w:t>unix:</w:t>
        <w:t>/</w:t>
        <w:t>var</w:t>
        <w:t>/</w:t>
        <w:t>run</w:t>
        <w:t>/</w:t>
        <w:t>openvswitch</w:t>
        <w:t>/</w:t>
        <w:t>db</w:t>
        <w:t>.</w:t>
        <w:t>sock:</w:t>
      </w:r>
    </w:p>
    <w:p>
      <w:pPr>
        <w:pStyle w:val="Para 09"/>
      </w:pPr>
      <w:r>
        <w:t>(continues on next page)</w:t>
      </w:r>
    </w:p>
    <w:p>
      <w:pPr>
        <w:pStyle w:val="Para 05"/>
      </w:pPr>
      <w:r>
        <w:rPr>
          <w:rStyle w:val="Text5"/>
        </w:rPr>
        <w:t>188</w:t>
      </w:r>
      <w:r>
        <w:rPr>
          <w:rStyle w:val="Text8"/>
        </w:rPr>
        <w:t xml:space="preserve"> </w:t>
      </w:r>
      <w:r>
        <w:t>https://www.dpdk.org/contribute/</w:t>
      </w:r>
    </w:p>
    <w:p>
      <w:pPr>
        <w:pStyle w:val="Para 05"/>
      </w:pPr>
      <w:r>
        <w:rPr>
          <w:rStyle w:val="Text5"/>
        </w:rPr>
        <w:t>189</w:t>
      </w:r>
      <w:r>
        <w:rPr>
          <w:rStyle w:val="Text8"/>
        </w:rPr>
        <w:t xml:space="preserve"> </w:t>
      </w:r>
      <w:r>
        <w:t>http://www.openvswitch.org/mlists/</w:t>
      </w:r>
    </w:p>
    <w:p>
      <w:pPr>
        <w:pStyle w:val="Para 05"/>
      </w:pPr>
      <w:r>
        <w:rPr>
          <w:rStyle w:val="Text5"/>
        </w:rPr>
        <w:t>190</w:t>
      </w:r>
      <w:r>
        <w:rPr>
          <w:rStyle w:val="Text8"/>
        </w:rPr>
        <w:t xml:space="preserve"> </w:t>
      </w:r>
      <w:r>
        <w:t>https://launchpad.net/ubuntu/+source/dpdk</w:t>
      </w:r>
    </w:p>
    <w:p>
      <w:bookmarkStart w:id="377" w:name="page_2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0" name="index-265_1.png" descr="index-265_1.png"/>
            <wp:cNvGraphicFramePr>
              <a:graphicFrameLocks noChangeAspect="1"/>
            </wp:cNvGraphicFramePr>
            <a:graphic>
              <a:graphicData uri="http://schemas.openxmlformats.org/drawingml/2006/picture">
                <pic:pic>
                  <pic:nvPicPr>
                    <pic:cNvPr id="0" name="index-265_1.png" descr="index-265_1.png"/>
                    <pic:cNvPicPr/>
                  </pic:nvPicPr>
                  <pic:blipFill>
                    <a:blip r:embed="rId274"/>
                    <a:stretch>
                      <a:fillRect/>
                    </a:stretch>
                  </pic:blipFill>
                  <pic:spPr>
                    <a:xfrm>
                      <a:off x="0" y="0"/>
                      <a:ext cx="914400" cy="266700"/>
                    </a:xfrm>
                    <a:prstGeom prst="rect">
                      <a:avLst/>
                    </a:prstGeom>
                  </pic:spPr>
                </pic:pic>
              </a:graphicData>
            </a:graphic>
          </wp:anchor>
        </w:drawing>
      </w:r>
      <w:bookmarkEnd w:id="377"/>
    </w:p>
    <w:p>
      <w:pPr>
        <w:pStyle w:val="Para 09"/>
      </w:pPr>
      <w:r>
        <w:t>(continued from previous page)</w:t>
      </w:r>
    </w:p>
    <w:p>
      <w:pPr>
        <w:pStyle w:val="Normal"/>
      </w:pPr>
      <w:r>
        <w:t>connecting</w:t>
        <w:t>...</w:t>
      </w:r>
    </w:p>
    <w:p>
      <w:pPr>
        <w:pStyle w:val="Normal"/>
      </w:pPr>
      <w:r>
        <w:t>2016</w:t>
        <w:t>-</w:t>
        <w:t>01</w:t>
        <w:t>-</w:t>
        <w:t>22</w:t>
        <w:t>T08:</w:t>
        <w:t>58</w:t>
        <w:t>:</w:t>
        <w:t>33.383</w:t>
        <w:t>Z</w:t>
        <w:t>|</w:t>
        <w:t>00006</w:t>
        <w:t>|</w:t>
        <w:t>reconnect</w:t>
        <w:t>|</w:t>
        <w:t>INFO</w:t>
        <w:t>|</w:t>
        <w:t>unix:</w:t>
        <w:t>/</w:t>
        <w:t>var</w:t>
        <w:t>/</w:t>
        <w:t>run</w:t>
        <w:t>/</w:t>
        <w:t>openvswitch</w:t>
        <w:t>/</w:t>
        <w:t>db</w:t>
        <w:t>.</w:t>
        <w:t>sock: connected</w:t>
        <w:t xml:space="preserve"> </w:t>
        <w:t>2016</w:t>
        <w:t>-</w:t>
        <w:t>01</w:t>
        <w:t>-</w:t>
        <w:t>22</w:t>
        <w:t>T08:</w:t>
        <w:t>58</w:t>
        <w:t>:</w:t>
        <w:t>33.386</w:t>
        <w:t>Z</w:t>
        <w:t>|</w:t>
        <w:t>00007</w:t>
        <w:t>|</w:t>
        <w:t>bridge</w:t>
        <w:t>|</w:t>
        <w:t>INFO</w:t>
        <w:t>|</w:t>
        <w:t>ovs</w:t>
        <w:t>-</w:t>
        <w:t>vswitchd (Open vSwitch)</w:t>
        <w:t xml:space="preserve"> </w:t>
        <w:t>2.5.0</w:t>
      </w:r>
    </w:p>
    <w:p>
      <w:pPr>
        <w:pStyle w:val="Normal"/>
      </w:pPr>
      <w:r>
        <w:t>OVS</w:t>
        <w:t>-</w:t>
        <w:t>LOG:</w:t>
      </w:r>
    </w:p>
    <w:p>
      <w:pPr>
        <w:pStyle w:val="Normal"/>
      </w:pPr>
      <w:r>
        <w:t>systemd[</w:t>
        <w:t>1</w:t>
        <w:t>]: Stopping Open vSwitch</w:t>
        <w:t>...</w:t>
      </w:r>
    </w:p>
    <w:p>
      <w:pPr>
        <w:pStyle w:val="Normal"/>
      </w:pPr>
      <w:r>
        <w:t>systemd[</w:t>
        <w:t>1</w:t>
        <w:t>]: Stopped Open vSwitch</w:t>
        <w:t>.</w:t>
      </w:r>
    </w:p>
    <w:p>
      <w:pPr>
        <w:pStyle w:val="Normal"/>
      </w:pPr>
      <w:r>
        <w:t>systemd[</w:t>
        <w:t>1</w:t>
        <w:t>]: Stopping Open vSwitch Internal Unit</w:t>
        <w:t>...</w:t>
        <w:t xml:space="preserve"> </w:t>
        <w:t>ovs</w:t>
        <w:t>-</w:t>
        <w:t>ctl[</w:t>
        <w:t>3541</w:t>
        <w:t>]:</w:t>
        <w:t xml:space="preserve"> </w:t>
        <w:t>*</w:t>
        <w:t xml:space="preserve"> </w:t>
        <w:t>Killing ovs</w:t>
        <w:t>-</w:t>
        <w:t>vswitchd (</w:t>
        <w:t>3329</w:t>
        <w:t>)</w:t>
        <w:t xml:space="preserve"> </w:t>
        <w:t>ovs</w:t>
        <w:t>-</w:t>
        <w:t>ctl[</w:t>
        <w:t>3541</w:t>
        <w:t>]:</w:t>
        <w:t xml:space="preserve"> </w:t>
        <w:t>*</w:t>
        <w:t xml:space="preserve"> </w:t>
        <w:t>Killing ovsdb</w:t>
        <w:t>-</w:t>
        <w:t>server (</w:t>
        <w:t>3318</w:t>
        <w:t>)</w:t>
        <w:t xml:space="preserve"> </w:t>
        <w:t>systemd[</w:t>
        <w:t>1</w:t>
        <w:t>]: Stopped Open vSwitch Internal Unit</w:t>
        <w:t>.</w:t>
        <w:t xml:space="preserve"> </w:t>
        <w:t>systemd[</w:t>
        <w:t>1</w:t>
        <w:t>]: Starting Open vSwitch Internal Unit</w:t>
        <w:t>...</w:t>
        <w:t xml:space="preserve"> </w:t>
        <w:t>ovs</w:t>
        <w:t>-</w:t>
        <w:t>ctl[</w:t>
        <w:t>3560</w:t>
        <w:t>]:</w:t>
        <w:t xml:space="preserve"> </w:t>
        <w:t>*</w:t>
        <w:t xml:space="preserve"> </w:t>
        <w:t>Starting ovsdb</w:t>
        <w:t>-</w:t>
        <w:t>server</w:t>
      </w:r>
    </w:p>
    <w:p>
      <w:pPr>
        <w:pStyle w:val="Normal"/>
      </w:pPr>
      <w:r>
        <w:t>ovs</w:t>
        <w:t>-</w:t>
        <w:t>vsctl: ovs</w:t>
        <w:t>|</w:t>
        <w:t>00001</w:t>
        <w:t>|</w:t>
        <w:t>vsctl</w:t>
        <w:t>|</w:t>
        <w:t>INFO</w:t>
        <w:t>|</w:t>
        <w:t>Called</w:t>
        <w:t xml:space="preserve"> </w:t>
      </w:r>
      <w:r>
        <w:rPr>
          <w:rStyle w:val="Text0"/>
        </w:rPr>
        <w:t>as</w:t>
      </w:r>
      <w:r>
        <w:t xml:space="preserve"> </w:t>
        <w:t>ovs</w:t>
        <w:t>-</w:t>
        <w:t>vsctl</w:t>
        <w:t>--</w:t>
        <w:t>no</w:t>
        <w:t>-</w:t>
        <w:t>wait</w:t>
        <w:t>--</w:t>
        <w:t>init</w:t>
        <w:t>--</w:t>
        <w:t>set</w:t>
        <w:t xml:space="preserve"> </w:t>
        <w:t>Open_vSwitch</w:t>
        <w:t xml:space="preserve"> </w:t>
        <w:t>.</w:t>
        <w:t xml:space="preserve"> </w:t>
        <w:t>db</w:t>
        <w:t>-</w:t>
        <w:t>version</w:t>
        <w:t>=</w:t>
        <w:t>7.12.1</w:t>
      </w:r>
    </w:p>
    <w:p>
      <w:pPr>
        <w:pStyle w:val="Normal"/>
      </w:pPr>
      <w:r>
        <w:t>ovs</w:t>
        <w:t>-</w:t>
        <w:t>vsctl: ovs</w:t>
        <w:t>|</w:t>
        <w:t>00001</w:t>
        <w:t>|</w:t>
        <w:t>vsctl</w:t>
        <w:t>|</w:t>
        <w:t>INFO</w:t>
        <w:t>|</w:t>
        <w:t>Called</w:t>
        <w:t xml:space="preserve"> </w:t>
      </w:r>
      <w:r>
        <w:rPr>
          <w:rStyle w:val="Text0"/>
        </w:rPr>
        <w:t>as</w:t>
      </w:r>
      <w:r>
        <w:t xml:space="preserve"> </w:t>
        <w:t>ovs</w:t>
        <w:t>-</w:t>
        <w:t>vsctl</w:t>
        <w:t>--</w:t>
        <w:t>no</w:t>
        <w:t>-</w:t>
        <w:t>wait</w:t>
        <w:t xml:space="preserve"> </w:t>
        <w:t>set</w:t>
        <w:t xml:space="preserve"> </w:t>
        <w:t>Open_vSwitch</w:t>
        <w:t xml:space="preserve"> </w:t>
        <w:t>.</w:t>
        <w:t xml:space="preserve"> </w:t>
        <w:t>ovs</w:t>
        <w:t>-</w:t>
        <w:t>version</w:t>
        <w:t>=</w:t>
        <w:t>2.5.0</w:t>
        <w:t xml:space="preserve"> </w:t>
        <w:t>"external-ids:system-id=</w:t>
      </w:r>
      <w:r>
        <w:rPr>
          <w:rStyle w:val="Text0"/>
        </w:rPr>
        <w:t>\"</w:t>
      </w:r>
      <w:r>
        <w:t>e7c5ba80-bb14-45c1-b8eb-628f3ad03903</w:t>
      </w:r>
      <w:r>
        <w:rPr>
          <w:rStyle w:val="Text0"/>
        </w:rPr>
        <w:t>\"</w:t>
      </w:r>
      <w:r>
        <w:t>" "system-</w:t>
        <w:t>type=</w:t>
      </w:r>
      <w:r>
        <w:rPr>
          <w:rStyle w:val="Text0"/>
        </w:rPr>
        <w:t>\"</w:t>
      </w:r>
      <w:r>
        <w:t>Ubuntu</w:t>
      </w:r>
      <w:r>
        <w:rPr>
          <w:rStyle w:val="Text0"/>
        </w:rPr>
        <w:t>\"</w:t>
      </w:r>
      <w:r>
        <w:t>" "system-version=</w:t>
      </w:r>
      <w:r>
        <w:rPr>
          <w:rStyle w:val="Text0"/>
        </w:rPr>
        <w:t>\"</w:t>
      </w:r>
      <w:r>
        <w:t>16.04-xenial</w:t>
      </w:r>
      <w:r>
        <w:rPr>
          <w:rStyle w:val="Text0"/>
        </w:rPr>
        <w:t>\"</w:t>
      </w:r>
      <w:r>
        <w:t>"</w:t>
        <w:t xml:space="preserve"> </w:t>
        <w:t>ovs</w:t>
        <w:t>-</w:t>
        <w:t>ctl[</w:t>
        <w:t>3560</w:t>
        <w:t>]:</w:t>
        <w:t xml:space="preserve"> </w:t>
        <w:t>*</w:t>
        <w:t xml:space="preserve"> </w:t>
        <w:t>Configuring Open vSwitch system IDs</w:t>
        <w:t xml:space="preserve"> </w:t>
        <w:t>ovs</w:t>
        <w:t>-</w:t>
        <w:t>ctl[</w:t>
        <w:t>3560</w:t>
        <w:t>]:</w:t>
        <w:t xml:space="preserve"> </w:t>
        <w:t>2016</w:t>
        <w:t>-</w:t>
        <w:t>01</w:t>
        <w:t>-</w:t>
        <w:t>22</w:t>
        <w:t>T08:</w:t>
        <w:t>58</w:t>
        <w:t>:</w:t>
        <w:t>31</w:t>
        <w:t>Z</w:t>
        <w:t>|</w:t>
        <w:t>00001</w:t>
        <w:t>|</w:t>
        <w:t>dpdk</w:t>
        <w:t>|</w:t>
        <w:t>INFO</w:t>
        <w:t>|</w:t>
        <w:t>No</w:t>
        <w:t>-</w:t>
        <w:t>vhost_sock_dir provided</w:t>
        <w:t>-</w:t>
        <w:t>defaulting to</w:t>
        <w:t xml:space="preserve"> </w:t>
        <w:t>/</w:t>
        <w:t>var</w:t>
        <w:t>/</w:t>
        <w:t>run</w:t>
        <w:t>/</w:t>
        <w:t>openvswitch</w:t>
      </w:r>
    </w:p>
    <w:p>
      <w:pPr>
        <w:pStyle w:val="Normal"/>
      </w:pPr>
      <w:r>
        <w:t>ovs</w:t>
        <w:t>-</w:t>
        <w:t>vswitchd: ovs</w:t>
        <w:t>|</w:t>
        <w:t>00001</w:t>
        <w:t>|</w:t>
        <w:t>dpdk</w:t>
        <w:t>|</w:t>
        <w:t>INFO</w:t>
        <w:t>|</w:t>
        <w:t>No</w:t>
        <w:t>-</w:t>
        <w:t>vhost_sock_dir provided</w:t>
        <w:t>-</w:t>
        <w:t>defaulting to</w:t>
        <w:t xml:space="preserve"> </w:t>
        <w:t>/</w:t>
        <w:t>var</w:t>
        <w:t>/</w:t>
        <w:t>run</w:t>
        <w:t>/</w:t>
        <w:t xml:space="preserve"> </w:t>
        <w:t>openvswitch</w:t>
      </w:r>
    </w:p>
    <w:p>
      <w:pPr>
        <w:pStyle w:val="Normal"/>
      </w:pPr>
      <w:r>
        <w:t>ovs</w:t>
        <w:t>-</w:t>
        <w:t>ctl[</w:t>
        <w:t>3560</w:t>
        <w:t>]: EAL: Detected lcore</w:t>
        <w:t xml:space="preserve"> </w:t>
        <w:t>0</w:t>
        <w:t xml:space="preserve"> </w:t>
      </w:r>
      <w:r>
        <w:rPr>
          <w:rStyle w:val="Text0"/>
        </w:rPr>
        <w:t>as</w:t>
      </w:r>
      <w:r>
        <w:t xml:space="preserve"> </w:t>
        <w:t>core</w:t>
        <w:t xml:space="preserve"> </w:t>
        <w:t>0</w:t>
        <w:t xml:space="preserve"> </w:t>
        <w:t>on socket</w:t>
        <w:t xml:space="preserve"> </w:t>
        <w:t>0</w:t>
        <w:t xml:space="preserve"> </w:t>
        <w:t>ovs</w:t>
        <w:t>-</w:t>
        <w:t>ctl[</w:t>
        <w:t>3560</w:t>
        <w:t>]: EAL: Detected lcore</w:t>
        <w:t xml:space="preserve"> </w:t>
        <w:t>1</w:t>
        <w:t xml:space="preserve"> </w:t>
      </w:r>
      <w:r>
        <w:rPr>
          <w:rStyle w:val="Text0"/>
        </w:rPr>
        <w:t>as</w:t>
      </w:r>
      <w:r>
        <w:t xml:space="preserve"> </w:t>
        <w:t>core</w:t>
        <w:t xml:space="preserve"> </w:t>
        <w:t>1</w:t>
        <w:t xml:space="preserve"> </w:t>
        <w:t>on socket</w:t>
        <w:t xml:space="preserve"> </w:t>
        <w:t>0</w:t>
        <w:t xml:space="preserve"> </w:t>
        <w:t>ovs</w:t>
        <w:t>-</w:t>
        <w:t>ctl[</w:t>
        <w:t>3560</w:t>
        <w:t>]: EAL: Detected lcore</w:t>
        <w:t xml:space="preserve"> </w:t>
        <w:t>2</w:t>
        <w:t xml:space="preserve"> </w:t>
      </w:r>
      <w:r>
        <w:rPr>
          <w:rStyle w:val="Text0"/>
        </w:rPr>
        <w:t>as</w:t>
      </w:r>
      <w:r>
        <w:t xml:space="preserve"> </w:t>
        <w:t>core</w:t>
        <w:t xml:space="preserve"> </w:t>
        <w:t>2</w:t>
        <w:t xml:space="preserve"> </w:t>
        <w:t>on socket</w:t>
        <w:t xml:space="preserve"> </w:t>
        <w:t>0</w:t>
        <w:t xml:space="preserve"> </w:t>
        <w:t>ovs</w:t>
        <w:t>-</w:t>
        <w:t>ctl[</w:t>
        <w:t>3560</w:t>
        <w:t>]: EAL: Detected lcore</w:t>
        <w:t xml:space="preserve"> </w:t>
        <w:t>3</w:t>
        <w:t xml:space="preserve"> </w:t>
      </w:r>
      <w:r>
        <w:rPr>
          <w:rStyle w:val="Text0"/>
        </w:rPr>
        <w:t>as</w:t>
      </w:r>
      <w:r>
        <w:t xml:space="preserve"> </w:t>
        <w:t>core</w:t>
        <w:t xml:space="preserve"> </w:t>
        <w:t>3</w:t>
        <w:t xml:space="preserve"> </w:t>
        <w:t>on socket</w:t>
        <w:t xml:space="preserve"> </w:t>
        <w:t>0</w:t>
        <w:t xml:space="preserve"> </w:t>
        <w:t>ovs</w:t>
        <w:t>-</w:t>
        <w:t>ctl[</w:t>
        <w:t>3560</w:t>
        <w:t>]: EAL: Detected lcore</w:t>
        <w:t xml:space="preserve"> </w:t>
        <w:t>4</w:t>
        <w:t xml:space="preserve"> </w:t>
      </w:r>
      <w:r>
        <w:rPr>
          <w:rStyle w:val="Text0"/>
        </w:rPr>
        <w:t>as</w:t>
      </w:r>
      <w:r>
        <w:t xml:space="preserve"> </w:t>
        <w:t>core</w:t>
        <w:t xml:space="preserve"> </w:t>
        <w:t>4</w:t>
        <w:t xml:space="preserve"> </w:t>
        <w:t>on socket</w:t>
        <w:t xml:space="preserve"> </w:t>
        <w:t>0</w:t>
        <w:t xml:space="preserve"> </w:t>
        <w:t>ovs</w:t>
        <w:t>-</w:t>
        <w:t>ctl[</w:t>
        <w:t>3560</w:t>
        <w:t>]: EAL: Detected lcore</w:t>
        <w:t xml:space="preserve"> </w:t>
        <w:t>5</w:t>
        <w:t xml:space="preserve"> </w:t>
      </w:r>
      <w:r>
        <w:rPr>
          <w:rStyle w:val="Text0"/>
        </w:rPr>
        <w:t>as</w:t>
      </w:r>
      <w:r>
        <w:t xml:space="preserve"> </w:t>
        <w:t>core</w:t>
        <w:t xml:space="preserve"> </w:t>
        <w:t>5</w:t>
        <w:t xml:space="preserve"> </w:t>
        <w:t>on socket</w:t>
        <w:t xml:space="preserve"> </w:t>
        <w:t>0</w:t>
        <w:t xml:space="preserve"> </w:t>
        <w:t>ovs</w:t>
        <w:t>-</w:t>
        <w:t>ctl[</w:t>
        <w:t>3560</w:t>
        <w:t>]: EAL: Detected lcore</w:t>
        <w:t xml:space="preserve"> </w:t>
        <w:t>6</w:t>
        <w:t xml:space="preserve"> </w:t>
      </w:r>
      <w:r>
        <w:rPr>
          <w:rStyle w:val="Text0"/>
        </w:rPr>
        <w:t>as</w:t>
      </w:r>
      <w:r>
        <w:t xml:space="preserve"> </w:t>
        <w:t>core</w:t>
        <w:t xml:space="preserve"> </w:t>
        <w:t>0</w:t>
        <w:t xml:space="preserve"> </w:t>
        <w:t>on socket</w:t>
        <w:t xml:space="preserve"> </w:t>
        <w:t>0</w:t>
        <w:t xml:space="preserve"> </w:t>
        <w:t>ovs</w:t>
        <w:t>-</w:t>
        <w:t>ctl[</w:t>
        <w:t>3560</w:t>
        <w:t>]: EAL: Detected lcore</w:t>
        <w:t xml:space="preserve"> </w:t>
        <w:t>7</w:t>
        <w:t xml:space="preserve"> </w:t>
      </w:r>
      <w:r>
        <w:rPr>
          <w:rStyle w:val="Text0"/>
        </w:rPr>
        <w:t>as</w:t>
      </w:r>
      <w:r>
        <w:t xml:space="preserve"> </w:t>
        <w:t>core</w:t>
        <w:t xml:space="preserve"> </w:t>
        <w:t>1</w:t>
        <w:t xml:space="preserve"> </w:t>
        <w:t>on socket</w:t>
        <w:t xml:space="preserve"> </w:t>
        <w:t>0</w:t>
        <w:t xml:space="preserve"> </w:t>
        <w:t>ovs</w:t>
        <w:t>-</w:t>
        <w:t>ctl[</w:t>
        <w:t>3560</w:t>
        <w:t>]: EAL: Detected lcore</w:t>
        <w:t xml:space="preserve"> </w:t>
        <w:t>8</w:t>
        <w:t xml:space="preserve"> </w:t>
      </w:r>
      <w:r>
        <w:rPr>
          <w:rStyle w:val="Text0"/>
        </w:rPr>
        <w:t>as</w:t>
      </w:r>
      <w:r>
        <w:t xml:space="preserve"> </w:t>
        <w:t>core</w:t>
        <w:t xml:space="preserve"> </w:t>
        <w:t>2</w:t>
        <w:t xml:space="preserve"> </w:t>
        <w:t>on socket</w:t>
        <w:t xml:space="preserve"> </w:t>
        <w:t>0</w:t>
        <w:t xml:space="preserve"> </w:t>
        <w:t>ovs</w:t>
        <w:t>-</w:t>
        <w:t>ctl[</w:t>
        <w:t>3560</w:t>
        <w:t>]: EAL: Detected lcore</w:t>
        <w:t xml:space="preserve"> </w:t>
        <w:t>9</w:t>
        <w:t xml:space="preserve"> </w:t>
      </w:r>
      <w:r>
        <w:rPr>
          <w:rStyle w:val="Text0"/>
        </w:rPr>
        <w:t>as</w:t>
      </w:r>
      <w:r>
        <w:t xml:space="preserve"> </w:t>
        <w:t>core</w:t>
        <w:t xml:space="preserve"> </w:t>
        <w:t>3</w:t>
        <w:t xml:space="preserve"> </w:t>
        <w:t>on socket</w:t>
        <w:t xml:space="preserve"> </w:t>
        <w:t>0</w:t>
        <w:t xml:space="preserve"> </w:t>
        <w:t>ovs</w:t>
        <w:t>-</w:t>
        <w:t>ctl[</w:t>
        <w:t>3560</w:t>
        <w:t>]: EAL: Detected lcore</w:t>
        <w:t xml:space="preserve"> </w:t>
        <w:t>10</w:t>
        <w:t xml:space="preserve"> </w:t>
      </w:r>
      <w:r>
        <w:rPr>
          <w:rStyle w:val="Text0"/>
        </w:rPr>
        <w:t>as</w:t>
      </w:r>
      <w:r>
        <w:t xml:space="preserve"> </w:t>
        <w:t>core</w:t>
        <w:t xml:space="preserve"> </w:t>
        <w:t>4</w:t>
        <w:t xml:space="preserve"> </w:t>
        <w:t>on socket</w:t>
        <w:t xml:space="preserve"> </w:t>
        <w:t>0</w:t>
        <w:t xml:space="preserve"> </w:t>
        <w:t>ovs</w:t>
        <w:t>-</w:t>
        <w:t>ctl[</w:t>
        <w:t>3560</w:t>
        <w:t>]: EAL: Detected lcore</w:t>
        <w:t xml:space="preserve"> </w:t>
        <w:t>11</w:t>
        <w:t xml:space="preserve"> </w:t>
      </w:r>
      <w:r>
        <w:rPr>
          <w:rStyle w:val="Text0"/>
        </w:rPr>
        <w:t>as</w:t>
      </w:r>
      <w:r>
        <w:t xml:space="preserve"> </w:t>
        <w:t>core</w:t>
        <w:t xml:space="preserve"> </w:t>
        <w:t>5</w:t>
        <w:t xml:space="preserve"> </w:t>
        <w:t>on socket</w:t>
        <w:t xml:space="preserve"> </w:t>
        <w:t>0</w:t>
        <w:t xml:space="preserve"> </w:t>
        <w:t>ovs</w:t>
        <w:t>-</w:t>
        <w:t>ctl[</w:t>
        <w:t>3560</w:t>
        <w:t>]: EAL: Support maximum</w:t>
        <w:t xml:space="preserve"> </w:t>
        <w:t>128</w:t>
        <w:t xml:space="preserve"> </w:t>
        <w:t>logical core(s) by configuration</w:t>
        <w:t>.</w:t>
        <w:t xml:space="preserve"> </w:t>
        <w:t>ovs</w:t>
        <w:t>-</w:t>
        <w:t>ctl[</w:t>
        <w:t>3560</w:t>
        <w:t>]: EAL: Detected</w:t>
        <w:t xml:space="preserve"> </w:t>
        <w:t>12</w:t>
        <w:t xml:space="preserve"> </w:t>
        <w:t>lcore(s)</w:t>
        <w:t xml:space="preserve"> </w:t>
        <w:t>ovs</w:t>
        <w:t>-</w:t>
        <w:t>ctl[</w:t>
        <w:t>3560</w:t>
        <w:t>]: EAL: VFIO modules</w:t>
        <w:t xml:space="preserve"> </w:t>
      </w:r>
      <w:r>
        <w:rPr>
          <w:rStyle w:val="Text0"/>
        </w:rPr>
        <w:t>not</w:t>
      </w:r>
      <w:r>
        <w:t xml:space="preserve"> </w:t>
        <w:t>all</w:t>
        <w:t xml:space="preserve"> </w:t>
        <w:t>loaded, skip VFIO support</w:t>
        <w:t>...</w:t>
        <w:t xml:space="preserve"> </w:t>
        <w:t>ovs</w:t>
        <w:t>-</w:t>
        <w:t>ctl[</w:t>
        <w:t>3560</w:t>
        <w:t>]: EAL: Setting up physically contiguous memory</w:t>
        <w:t>...</w:t>
        <w:t xml:space="preserve"> </w:t>
        <w:t>ovs</w:t>
        <w:t>-</w:t>
        <w:t>ctl[</w:t>
        <w:t>3560</w:t>
        <w:t>]: EAL: Ask a virtual area of</w:t>
        <w:t xml:space="preserve"> </w:t>
        <w:t>0x100000000</w:t>
        <w:t xml:space="preserve"> </w:t>
        <w:t>bytes</w:t>
        <w:t xml:space="preserve"> </w:t>
        <w:t>ovs</w:t>
        <w:t>-</w:t>
        <w:t>ctl[</w:t>
        <w:t>3560</w:t>
        <w:t>]: EAL: Virtual area found at</w:t>
        <w:t xml:space="preserve"> </w:t>
        <w:t>0x7f2040000000</w:t>
        <w:t xml:space="preserve"> </w:t>
        <w:t>(size</w:t>
        <w:t xml:space="preserve"> </w:t>
        <w:t>=</w:t>
        <w:t xml:space="preserve"> </w:t>
        <w:t>0x100000000</w:t>
        <w:t>)</w:t>
        <w:t xml:space="preserve"> </w:t>
        <w:t>ovs</w:t>
        <w:t>-</w:t>
        <w:t>ctl[</w:t>
        <w:t>3560</w:t>
        <w:t>]: EAL: Requesting</w:t>
        <w:t xml:space="preserve"> </w:t>
        <w:t>4</w:t>
        <w:t xml:space="preserve"> </w:t>
        <w:t>pages of size</w:t>
        <w:t xml:space="preserve"> </w:t>
        <w:t>1024</w:t>
        <w:t>MB</w:t>
        <w:t xml:space="preserve"> </w:t>
      </w:r>
      <w:r>
        <w:rPr>
          <w:rStyle w:val="Text0"/>
        </w:rPr>
        <w:t>from</w:t>
      </w:r>
      <w:r>
        <w:t xml:space="preserve"> </w:t>
      </w:r>
      <w:r>
        <w:rPr>
          <w:rStyle w:val="Text0"/>
        </w:rPr>
        <w:t>socket</w:t>
      </w:r>
      <w:r>
        <w:t xml:space="preserve"> </w:t>
        <w:t>0</w:t>
        <w:t xml:space="preserve"> </w:t>
        <w:t>ovs</w:t>
        <w:t>-</w:t>
        <w:t>ctl[</w:t>
        <w:t>3560</w:t>
        <w:t>]: EAL: TSC frequency</w:t>
        <w:t xml:space="preserve"> </w:t>
      </w:r>
      <w:r>
        <w:rPr>
          <w:rStyle w:val="Text0"/>
        </w:rPr>
        <w:t>is</w:t>
      </w:r>
      <w:r>
        <w:t xml:space="preserve"> </w:t>
        <w:t>~</w:t>
        <w:t>2397202</w:t>
        <w:t xml:space="preserve"> </w:t>
        <w:t>KHz</w:t>
        <w:t xml:space="preserve"> </w:t>
        <w:t>ovs</w:t>
        <w:t>-</w:t>
        <w:t>vswitchd[</w:t>
        <w:t>3592</w:t>
        <w:t>]: EAL: TSC frequency</w:t>
        <w:t xml:space="preserve"> </w:t>
      </w:r>
      <w:r>
        <w:rPr>
          <w:rStyle w:val="Text0"/>
        </w:rPr>
        <w:t>is</w:t>
      </w:r>
      <w:r>
        <w:t xml:space="preserve"> </w:t>
        <w:t>~</w:t>
        <w:t>2397202</w:t>
        <w:t xml:space="preserve"> </w:t>
        <w:t>KHz</w:t>
        <w:t xml:space="preserve"> </w:t>
        <w:t>ovs</w:t>
        <w:t>-</w:t>
        <w:t>vswitchd[</w:t>
        <w:t>3592</w:t>
        <w:t>]: EAL: Master lcore</w:t>
        <w:t xml:space="preserve"> </w:t>
        <w:t>0</w:t>
        <w:t xml:space="preserve"> </w:t>
      </w:r>
      <w:r>
        <w:rPr>
          <w:rStyle w:val="Text0"/>
        </w:rPr>
        <w:t>is</w:t>
      </w:r>
      <w:r>
        <w:t xml:space="preserve"> </w:t>
        <w:t>ready (tid</w:t>
        <w:t>=</w:t>
        <w:t>fc6cbb00;cpuset</w:t>
        <w:t>=</w:t>
        <w:t>[</w:t>
        <w:t>0</w:t>
        <w:t>])</w:t>
        <w:t xml:space="preserve"> </w:t>
        <w:t>ovs</w:t>
        <w:t>-</w:t>
        <w:t>vswitchd[</w:t>
        <w:t>3592</w:t>
        <w:t>]: EAL: PCI device</w:t>
        <w:t xml:space="preserve"> </w:t>
        <w:t>0000</w:t>
        <w:t>:</w:t>
        <w:t>04</w:t>
        <w:t>:</w:t>
        <w:t>00.0</w:t>
        <w:t xml:space="preserve"> </w:t>
        <w:t>on NUMA socket</w:t>
        <w:t xml:space="preserve"> </w:t>
        <w:t>0</w:t>
        <w:t xml:space="preserve"> </w:t>
        <w:t>ovs</w:t>
        <w:t>-</w:t>
        <w:t>vswitchd[</w:t>
        <w:t>3592</w:t>
        <w:t>]: EAL:</w:t>
        <w:t xml:space="preserve"> </w:t>
        <w:t>probe driver:</w:t>
        <w:t xml:space="preserve"> </w:t>
        <w:t>8086</w:t>
        <w:t>:</w:t>
        <w:t>1528</w:t>
        <w:t xml:space="preserve"> </w:t>
        <w:t>rte_ixgbe_pmd</w:t>
        <w:t xml:space="preserve"> </w:t>
        <w:t>ovs</w:t>
        <w:t>-</w:t>
        <w:t>vswitchd[</w:t>
        <w:t>3592</w:t>
        <w:t>]: EAL:</w:t>
        <w:t xml:space="preserve"> </w:t>
        <w:t>Not managed by a supported kernel driver, skipped</w:t>
        <w:t xml:space="preserve"> </w:t>
        <w:t>ovs</w:t>
        <w:t>-</w:t>
        <w:t>vswitchd[</w:t>
        <w:t>3592</w:t>
        <w:t>]: EAL: PCI device</w:t>
        <w:t xml:space="preserve"> </w:t>
        <w:t>0000</w:t>
        <w:t>:</w:t>
        <w:t>04</w:t>
        <w:t>:</w:t>
        <w:t>00.1</w:t>
        <w:t xml:space="preserve"> </w:t>
        <w:t>on NUMA socket</w:t>
        <w:t xml:space="preserve"> </w:t>
        <w:t>0</w:t>
        <w:t xml:space="preserve"> </w:t>
        <w:t>ovs</w:t>
        <w:t>-</w:t>
        <w:t>vswitchd[</w:t>
        <w:t>3592</w:t>
        <w:t>]: EAL:</w:t>
        <w:t xml:space="preserve"> </w:t>
        <w:t>probe driver:</w:t>
        <w:t xml:space="preserve"> </w:t>
        <w:t>8086</w:t>
        <w:t>:</w:t>
        <w:t>1528</w:t>
        <w:t xml:space="preserve"> </w:t>
        <w:t>rte_ixgbe_pmd</w:t>
        <w:t xml:space="preserve"> </w:t>
        <w:t>ovs</w:t>
        <w:t>-</w:t>
        <w:t>vswitchd[</w:t>
        <w:t>3592</w:t>
        <w:t>]: EAL:</w:t>
        <w:t xml:space="preserve"> </w:t>
        <w:t>PCI memory mapped at</w:t>
        <w:t xml:space="preserve"> </w:t>
        <w:t>0x7f2140000000</w:t>
        <w:t xml:space="preserve"> </w:t>
        <w:t>ovs</w:t>
        <w:t>-</w:t>
        <w:t>vswitchd[</w:t>
        <w:t>3592</w:t>
        <w:t>]: EAL:</w:t>
        <w:t xml:space="preserve"> </w:t>
        <w:t>PCI memory mapped at</w:t>
        <w:t xml:space="preserve"> </w:t>
        <w:t>0x7f2140200000</w:t>
        <w:t xml:space="preserve"> </w:t>
        <w:t>ovs</w:t>
        <w:t>-</w:t>
        <w:t>ctl[</w:t>
        <w:t>3560</w:t>
        <w:t>]: EAL: Master lcore</w:t>
        <w:t xml:space="preserve"> </w:t>
        <w:t>0</w:t>
        <w:t xml:space="preserve"> </w:t>
      </w:r>
      <w:r>
        <w:rPr>
          <w:rStyle w:val="Text0"/>
        </w:rPr>
        <w:t>is</w:t>
      </w:r>
      <w:r>
        <w:t xml:space="preserve"> </w:t>
        <w:t>ready (tid</w:t>
        <w:t>=</w:t>
        <w:t>fc6cbb00;cpuset</w:t>
        <w:t>=</w:t>
        <w:t>[</w:t>
        <w:t>0</w:t>
        <w:t>])</w:t>
        <w:t xml:space="preserve"> </w:t>
        <w:t>ovs</w:t>
        <w:t>-</w:t>
        <w:t>ctl[</w:t>
        <w:t>3560</w:t>
        <w:t>]: EAL: PCI device</w:t>
        <w:t xml:space="preserve"> </w:t>
        <w:t>0000</w:t>
        <w:t>:</w:t>
        <w:t>04</w:t>
        <w:t>:</w:t>
        <w:t>00.0</w:t>
        <w:t xml:space="preserve"> </w:t>
        <w:t>on NUMA socket</w:t>
        <w:t xml:space="preserve"> </w:t>
        <w:t>0</w:t>
        <w:t xml:space="preserve"> </w:t>
        <w:t>ovs</w:t>
        <w:t>-</w:t>
        <w:t>ctl[</w:t>
        <w:t>3560</w:t>
        <w:t>]: EAL:</w:t>
        <w:t xml:space="preserve"> </w:t>
        <w:t>probe driver:</w:t>
        <w:t xml:space="preserve"> </w:t>
        <w:t>8086</w:t>
        <w:t>:</w:t>
        <w:t>1528</w:t>
        <w:t xml:space="preserve"> </w:t>
        <w:t>rte_ixgbe_pmd</w:t>
        <w:t xml:space="preserve"> </w:t>
        <w:t>ovs</w:t>
        <w:t>-</w:t>
        <w:t>ctl[</w:t>
        <w:t>3560</w:t>
        <w:t>]: EAL:</w:t>
        <w:t xml:space="preserve"> </w:t>
        <w:t>Not managed by a supported kernel driver, skipped</w:t>
      </w:r>
    </w:p>
    <w:p>
      <w:pPr>
        <w:pStyle w:val="Para 09"/>
      </w:pPr>
      <w:r>
        <w:t>(continues on next page)</w:t>
      </w:r>
    </w:p>
    <w:p>
      <w:bookmarkStart w:id="378" w:name="page_2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1" name="index-266_1.png" descr="index-266_1.png"/>
            <wp:cNvGraphicFramePr>
              <a:graphicFrameLocks noChangeAspect="1"/>
            </wp:cNvGraphicFramePr>
            <a:graphic>
              <a:graphicData uri="http://schemas.openxmlformats.org/drawingml/2006/picture">
                <pic:pic>
                  <pic:nvPicPr>
                    <pic:cNvPr id="0" name="index-266_1.png" descr="index-266_1.png"/>
                    <pic:cNvPicPr/>
                  </pic:nvPicPr>
                  <pic:blipFill>
                    <a:blip r:embed="rId275"/>
                    <a:stretch>
                      <a:fillRect/>
                    </a:stretch>
                  </pic:blipFill>
                  <pic:spPr>
                    <a:xfrm>
                      <a:off x="0" y="0"/>
                      <a:ext cx="914400" cy="266700"/>
                    </a:xfrm>
                    <a:prstGeom prst="rect">
                      <a:avLst/>
                    </a:prstGeom>
                  </pic:spPr>
                </pic:pic>
              </a:graphicData>
            </a:graphic>
          </wp:anchor>
        </w:drawing>
      </w:r>
      <w:bookmarkEnd w:id="378"/>
    </w:p>
    <w:p>
      <w:pPr>
        <w:pStyle w:val="Para 09"/>
      </w:pPr>
      <w:r>
        <w:t>(continued from previous page)</w:t>
      </w:r>
    </w:p>
    <w:p>
      <w:pPr>
        <w:pStyle w:val="Normal"/>
      </w:pPr>
      <w:r>
        <w:t>ovs</w:t>
        <w:t>-</w:t>
        <w:t>ctl[</w:t>
        <w:t>3560</w:t>
        <w:t>]: EAL: PCI device</w:t>
        <w:t xml:space="preserve"> </w:t>
        <w:t>0000</w:t>
        <w:t>:</w:t>
        <w:t>04</w:t>
        <w:t>:</w:t>
        <w:t>00.1</w:t>
        <w:t xml:space="preserve"> </w:t>
        <w:t>on NUMA socket</w:t>
        <w:t xml:space="preserve"> </w:t>
        <w:t>0</w:t>
        <w:t xml:space="preserve"> </w:t>
        <w:t>ovs</w:t>
        <w:t>-</w:t>
        <w:t>ctl[</w:t>
        <w:t>3560</w:t>
        <w:t>]: EAL:</w:t>
        <w:t xml:space="preserve"> </w:t>
        <w:t>probe driver:</w:t>
        <w:t xml:space="preserve"> </w:t>
        <w:t>8086</w:t>
        <w:t>:</w:t>
        <w:t>1528</w:t>
        <w:t xml:space="preserve"> </w:t>
        <w:t>rte_ixgbe_pmd</w:t>
        <w:t xml:space="preserve"> </w:t>
        <w:t>ovs</w:t>
        <w:t>-</w:t>
        <w:t>ctl[</w:t>
        <w:t>3560</w:t>
        <w:t>]: EAL:</w:t>
        <w:t xml:space="preserve"> </w:t>
        <w:t>PCI memory mapped at</w:t>
        <w:t xml:space="preserve"> </w:t>
        <w:t>0x7f2140000000</w:t>
        <w:t xml:space="preserve"> </w:t>
        <w:t>ovs</w:t>
        <w:t>-</w:t>
        <w:t>ctl[</w:t>
        <w:t>3560</w:t>
        <w:t>]: EAL:</w:t>
        <w:t xml:space="preserve"> </w:t>
        <w:t>PCI memory mapped at</w:t>
        <w:t xml:space="preserve"> </w:t>
        <w:t>0x7f2140200000</w:t>
        <w:t xml:space="preserve"> </w:t>
        <w:t>ovs</w:t>
        <w:t>-</w:t>
        <w:t>vswitchd[</w:t>
        <w:t>3592</w:t>
        <w:t>]: PMD: eth_ixgbe_dev_init(): MAC:</w:t>
        <w:t xml:space="preserve"> </w:t>
        <w:t>4</w:t>
        <w:t>, PHY:</w:t>
        <w:t xml:space="preserve"> </w:t>
        <w:t>3</w:t>
        <w:t xml:space="preserve"> </w:t>
        <w:t>ovs</w:t>
        <w:t>-</w:t>
        <w:t>vswitchd[</w:t>
        <w:t>3592</w:t>
        <w:t>]: PMD: eth_ixgbe_dev_init(): port</w:t>
        <w:t xml:space="preserve"> </w:t>
        <w:t>0</w:t>
        <w:t xml:space="preserve"> </w:t>
        <w:t>vendorID</w:t>
        <w:t>=</w:t>
        <w:t>0x8086</w:t>
        <w:t xml:space="preserve"> </w:t>
        <w:t>deviceID</w:t>
        <w:t>=</w:t>
        <w:t>0x1528</w:t>
        <w:t xml:space="preserve"> </w:t>
        <w:t>ovs</w:t>
        <w:t>-</w:t>
        <w:t>ctl[</w:t>
        <w:t>3560</w:t>
        <w:t>]: PMD: eth_ixgbe_dev_init(): MAC:</w:t>
        <w:t xml:space="preserve"> </w:t>
        <w:t>4</w:t>
        <w:t>, PHY:</w:t>
        <w:t xml:space="preserve"> </w:t>
        <w:t>3</w:t>
        <w:t xml:space="preserve"> </w:t>
        <w:t>ovs</w:t>
        <w:t>-</w:t>
        <w:t>ctl[</w:t>
        <w:t>3560</w:t>
        <w:t>]: PMD: eth_ixgbe_dev_init(): port</w:t>
        <w:t xml:space="preserve"> </w:t>
        <w:t>0</w:t>
        <w:t xml:space="preserve"> </w:t>
        <w:t>vendorID</w:t>
        <w:t>=</w:t>
        <w:t>0x8086</w:t>
        <w:t xml:space="preserve"> </w:t>
        <w:t>deviceID</w:t>
        <w:t>=</w:t>
        <w:t>0x1528</w:t>
        <w:t xml:space="preserve"> </w:t>
        <w:t>ovs</w:t>
        <w:t>-</w:t>
        <w:t>ctl[</w:t>
        <w:t>3560</w:t>
        <w:t>]: Zone</w:t>
        <w:t xml:space="preserve"> </w:t>
        <w:t>0</w:t>
        <w:t>: name:</w:t>
        <w:t>&lt;</w:t>
        <w:t>RG_MP_log_history</w:t>
        <w:t>&gt;</w:t>
        <w:t>, phys:</w:t>
        <w:t>0x83fffdec0</w:t>
        <w:t>,</w:t>
        <w:t xml:space="preserve"> </w:t>
        <w:t>len</w:t>
        <w:t>:</w:t>
        <w:t>0x2080</w:t>
        <w:t>,</w:t>
        <w:t xml:space="preserve"> </w:t>
        <w:t>virt:</w:t>
        <w:t>0x7f213fffdec0</w:t>
        <w:t>, socket_id:</w:t>
        <w:t>0</w:t>
        <w:t>, flags:</w:t>
        <w:t>0</w:t>
        <w:t xml:space="preserve"> </w:t>
        <w:t>ovs</w:t>
        <w:t>-</w:t>
        <w:t>ctl[</w:t>
        <w:t>3560</w:t>
        <w:t>]: Zone</w:t>
        <w:t xml:space="preserve"> </w:t>
        <w:t>1</w:t>
        <w:t>: name:</w:t>
        <w:t>&lt;</w:t>
        <w:t>MP_log_history</w:t>
        <w:t>&gt;</w:t>
        <w:t>, phys:</w:t>
        <w:t>0x83fd73d40</w:t>
        <w:t>,</w:t>
        <w:t xml:space="preserve"> </w:t>
        <w:t>len</w:t>
        <w:t>:</w:t>
        <w:t>0x28a0c0</w:t>
        <w:t>,</w:t>
        <w:t xml:space="preserve"> </w:t>
        <w:t>virt:</w:t>
        <w:t>0x7f213fd73d40</w:t>
        <w:t>, socket_id:</w:t>
        <w:t>0</w:t>
        <w:t>, flags:</w:t>
        <w:t>0</w:t>
        <w:t xml:space="preserve"> </w:t>
        <w:t>ovs</w:t>
        <w:t>-</w:t>
        <w:t>ctl[</w:t>
        <w:t>3560</w:t>
        <w:t>]: Zone</w:t>
        <w:t xml:space="preserve"> </w:t>
        <w:t>2</w:t>
        <w:t>: name:</w:t>
        <w:t>&lt;</w:t>
        <w:t>rte_eth_dev_data</w:t>
        <w:t>&gt;</w:t>
        <w:t>, phys:</w:t>
        <w:t>0x83fd43380</w:t>
        <w:t>,</w:t>
        <w:t xml:space="preserve"> </w:t>
        <w:t>len</w:t>
        <w:t>:</w:t>
        <w:t>0x2f700</w:t>
        <w:t>,</w:t>
        <w:t xml:space="preserve"> </w:t>
        <w:t>virt:</w:t>
        <w:t>0x7f213fd43380</w:t>
        <w:t>, socket_id:</w:t>
        <w:t>0</w:t>
        <w:t>, flags:</w:t>
        <w:t>0</w:t>
        <w:t xml:space="preserve"> </w:t>
        <w:t>ovs</w:t>
        <w:t>-</w:t>
        <w:t>ctl[</w:t>
        <w:t>3560</w:t>
        <w:t>]:</w:t>
        <w:t xml:space="preserve"> </w:t>
        <w:t>*</w:t>
        <w:t xml:space="preserve"> </w:t>
        <w:t>Starting ovs</w:t>
        <w:t>-</w:t>
        <w:t>vswitchd</w:t>
      </w:r>
    </w:p>
    <w:p>
      <w:pPr>
        <w:pStyle w:val="Normal"/>
      </w:pPr>
      <w:r>
        <w:t>ovs</w:t>
        <w:t>-</w:t>
        <w:t>ctl[</w:t>
        <w:t>3560</w:t>
        <w:t>]:</w:t>
        <w:t xml:space="preserve"> </w:t>
        <w:t>*</w:t>
        <w:t xml:space="preserve"> </w:t>
        <w:t>Enabling remote OVSDB managers</w:t>
        <w:t xml:space="preserve"> </w:t>
        <w:t>systemd[</w:t>
        <w:t>1</w:t>
        <w:t>]: Started Open vSwitch Internal Unit</w:t>
        <w:t>.</w:t>
        <w:t xml:space="preserve"> </w:t>
        <w:t>systemd[</w:t>
        <w:t>1</w:t>
        <w:t>]: Starting Open vSwitch</w:t>
        <w:t>...</w:t>
      </w:r>
    </w:p>
    <w:p>
      <w:pPr>
        <w:pStyle w:val="Normal"/>
      </w:pPr>
      <w:r>
        <w:t>systemd[</w:t>
        <w:t>1</w:t>
        <w:t>]: Started Open vSwitch</w:t>
        <w:t>.</w:t>
      </w:r>
    </w:p>
    <w:p>
      <w:pPr>
        <w:pStyle w:val="Para 17"/>
      </w:pPr>
      <w:r>
        <w:t/>
      </w:r>
    </w:p>
    <w:p>
      <w:pPr>
        <w:pStyle w:val="Normal"/>
      </w:pPr>
      <w:r>
        <w:t>CMD: sudo ovs</w:t>
        <w:t>-</w:t>
        <w:t>vsctl add</w:t>
        <w:t>-</w:t>
        <w:t>br ovsdpdkbr0</w:t>
        <w:t>--</w:t>
        <w:t>set</w:t>
        <w:t xml:space="preserve"> </w:t>
        <w:t>bridge ovsdpdkbr0 datapath_type</w:t>
        <w:t>=</w:t>
        <w:t>netdev</w:t>
      </w:r>
    </w:p>
    <w:p>
      <w:pPr>
        <w:pStyle w:val="Normal"/>
      </w:pPr>
      <w:r>
        <w:t>SYSLOG:</w:t>
      </w:r>
    </w:p>
    <w:p>
      <w:pPr>
        <w:pStyle w:val="Normal"/>
      </w:pPr>
      <w:r>
        <w:t>2016</w:t>
        <w:t>-</w:t>
        <w:t>01</w:t>
        <w:t>-</w:t>
        <w:t>22</w:t>
        <w:t>T08:</w:t>
        <w:t>58</w:t>
        <w:t>:</w:t>
        <w:t>56.344</w:t>
        <w:t>Z</w:t>
        <w:t>|</w:t>
        <w:t>00008</w:t>
        <w:t>|</w:t>
        <w:t>memory</w:t>
        <w:t>|</w:t>
        <w:t>INFO</w:t>
        <w:t>|</w:t>
        <w:t>37256</w:t>
        <w:t xml:space="preserve"> </w:t>
        <w:t>kB peak resident</w:t>
        <w:t xml:space="preserve"> </w:t>
        <w:t>set</w:t>
        <w:t xml:space="preserve"> </w:t>
        <w:t>size after</w:t>
        <w:t xml:space="preserve"> </w:t>
        <w:t>24.5</w:t>
        <w:t xml:space="preserve"> </w:t>
        <w:t>seconds</w:t>
      </w:r>
    </w:p>
    <w:p>
      <w:pPr>
        <w:pStyle w:val="Normal"/>
      </w:pPr>
      <w:r>
        <w:t>2016</w:t>
        <w:t>-</w:t>
        <w:t>01</w:t>
        <w:t>-</w:t>
        <w:t>22</w:t>
        <w:t>T08:</w:t>
        <w:t>58</w:t>
        <w:t>:</w:t>
        <w:t>56.346</w:t>
        <w:t>Z</w:t>
        <w:t>|</w:t>
        <w:t>00009</w:t>
        <w:t>|</w:t>
        <w:t>ofproto_dpif</w:t>
        <w:t>|</w:t>
        <w:t>INFO</w:t>
        <w:t>|</w:t>
        <w:t>netdev</w:t>
      </w:r>
      <w:r>
        <w:rPr>
          <w:rStyle w:val="Text0"/>
        </w:rPr>
        <w:t>@ovs</w:t>
      </w:r>
      <w:r>
        <w:t>-</w:t>
        <w:t>netdev: Datapath supports</w:t>
        <w:t xml:space="preserve"> </w:t>
        <w:t>recirculation</w:t>
      </w:r>
    </w:p>
    <w:p>
      <w:pPr>
        <w:pStyle w:val="Normal"/>
      </w:pPr>
      <w:r>
        <w:t>2016</w:t>
        <w:t>-</w:t>
        <w:t>01</w:t>
        <w:t>-</w:t>
        <w:t>22</w:t>
        <w:t>T08:</w:t>
        <w:t>58</w:t>
        <w:t>:</w:t>
        <w:t>56.346</w:t>
        <w:t>Z</w:t>
        <w:t>|</w:t>
        <w:t>00010</w:t>
        <w:t>|</w:t>
        <w:t>ofproto_dpif</w:t>
        <w:t>|</w:t>
        <w:t>INFO</w:t>
        <w:t>|</w:t>
        <w:t>netdev</w:t>
      </w:r>
      <w:r>
        <w:rPr>
          <w:rStyle w:val="Text0"/>
        </w:rPr>
        <w:t>@ovs</w:t>
      </w:r>
      <w:r>
        <w:t>-</w:t>
        <w:t>netdev: MPLS label stack</w:t>
        <w:t xml:space="preserve"> </w:t>
        <w:t>length probed</w:t>
        <w:t xml:space="preserve"> </w:t>
      </w:r>
      <w:r>
        <w:rPr>
          <w:rStyle w:val="Text0"/>
        </w:rPr>
        <w:t>as</w:t>
      </w:r>
      <w:r>
        <w:t xml:space="preserve"> </w:t>
        <w:t>3</w:t>
      </w:r>
    </w:p>
    <w:p>
      <w:pPr>
        <w:pStyle w:val="Normal"/>
      </w:pPr>
      <w:r>
        <w:t>2016</w:t>
        <w:t>-</w:t>
        <w:t>01</w:t>
        <w:t>-</w:t>
        <w:t>22</w:t>
        <w:t>T08:</w:t>
        <w:t>58</w:t>
        <w:t>:</w:t>
        <w:t>56.346</w:t>
        <w:t>Z</w:t>
        <w:t>|</w:t>
        <w:t>00011</w:t>
        <w:t>|</w:t>
        <w:t>ofproto_dpif</w:t>
        <w:t>|</w:t>
        <w:t>INFO</w:t>
        <w:t>|</w:t>
        <w:t>netdev</w:t>
      </w:r>
      <w:r>
        <w:rPr>
          <w:rStyle w:val="Text0"/>
        </w:rPr>
        <w:t>@ovs</w:t>
      </w:r>
      <w:r>
        <w:t>-</w:t>
        <w:t>netdev: Datapath supports</w:t>
        <w:t xml:space="preserve"> </w:t>
        <w:t>unique flow ids</w:t>
      </w:r>
    </w:p>
    <w:p>
      <w:pPr>
        <w:pStyle w:val="Normal"/>
      </w:pPr>
      <w:r>
        <w:t>2016</w:t>
        <w:t>-</w:t>
        <w:t>01</w:t>
        <w:t>-</w:t>
        <w:t>22</w:t>
        <w:t>T08:</w:t>
        <w:t>58</w:t>
        <w:t>:</w:t>
        <w:t>56.346</w:t>
        <w:t>Z</w:t>
        <w:t>|</w:t>
        <w:t>00012</w:t>
        <w:t>|</w:t>
        <w:t>ofproto_dpif</w:t>
        <w:t>|</w:t>
        <w:t>INFO</w:t>
        <w:t>|</w:t>
        <w:t>netdev</w:t>
      </w:r>
      <w:r>
        <w:rPr>
          <w:rStyle w:val="Text0"/>
        </w:rPr>
        <w:t>@ovs</w:t>
      </w:r>
      <w:r>
        <w:t>-</w:t>
        <w:t>netdev: Datapath does</w:t>
        <w:t xml:space="preserve"> </w:t>
      </w:r>
      <w:r>
        <w:rPr>
          <w:rStyle w:val="Text0"/>
        </w:rPr>
        <w:t>not</w:t>
      </w:r>
      <w:r>
        <w:t xml:space="preserve"> </w:t>
        <w:t>support ct_state</w:t>
      </w:r>
    </w:p>
    <w:p>
      <w:pPr>
        <w:pStyle w:val="Normal"/>
      </w:pPr>
      <w:r>
        <w:t>2016</w:t>
        <w:t>-</w:t>
        <w:t>01</w:t>
        <w:t>-</w:t>
        <w:t>22</w:t>
        <w:t>T08:</w:t>
        <w:t>58</w:t>
        <w:t>:</w:t>
        <w:t>56.346</w:t>
        <w:t>Z</w:t>
        <w:t>|</w:t>
        <w:t>00013</w:t>
        <w:t>|</w:t>
        <w:t>ofproto_dpif</w:t>
        <w:t>|</w:t>
        <w:t>INFO</w:t>
        <w:t>|</w:t>
        <w:t>netdev</w:t>
      </w:r>
      <w:r>
        <w:rPr>
          <w:rStyle w:val="Text0"/>
        </w:rPr>
        <w:t>@ovs</w:t>
      </w:r>
      <w:r>
        <w:t>-</w:t>
        <w:t>netdev: Datapath does</w:t>
        <w:t xml:space="preserve"> </w:t>
      </w:r>
      <w:r>
        <w:rPr>
          <w:rStyle w:val="Text0"/>
        </w:rPr>
        <w:t>not</w:t>
      </w:r>
      <w:r>
        <w:t xml:space="preserve"> </w:t>
        <w:t>support ct_zone</w:t>
      </w:r>
    </w:p>
    <w:p>
      <w:pPr>
        <w:pStyle w:val="Normal"/>
      </w:pPr>
      <w:r>
        <w:t>2016</w:t>
        <w:t>-</w:t>
        <w:t>01</w:t>
        <w:t>-</w:t>
        <w:t>22</w:t>
        <w:t>T08:</w:t>
        <w:t>58</w:t>
        <w:t>:</w:t>
        <w:t>56.346</w:t>
        <w:t>Z</w:t>
        <w:t>|</w:t>
        <w:t>00014</w:t>
        <w:t>|</w:t>
        <w:t>ofproto_dpif</w:t>
        <w:t>|</w:t>
        <w:t>INFO</w:t>
        <w:t>|</w:t>
        <w:t>netdev</w:t>
      </w:r>
      <w:r>
        <w:rPr>
          <w:rStyle w:val="Text0"/>
        </w:rPr>
        <w:t>@ovs</w:t>
      </w:r>
      <w:r>
        <w:t>-</w:t>
        <w:t>netdev: Datapath does</w:t>
        <w:t xml:space="preserve"> </w:t>
      </w:r>
      <w:r>
        <w:rPr>
          <w:rStyle w:val="Text0"/>
        </w:rPr>
        <w:t>not</w:t>
      </w:r>
      <w:r>
        <w:t xml:space="preserve"> </w:t>
        <w:t>support ct_mark</w:t>
      </w:r>
    </w:p>
    <w:p>
      <w:pPr>
        <w:pStyle w:val="Normal"/>
      </w:pPr>
      <w:r>
        <w:t>2016</w:t>
        <w:t>-</w:t>
        <w:t>01</w:t>
        <w:t>-</w:t>
        <w:t>22</w:t>
        <w:t>T08:</w:t>
        <w:t>58</w:t>
        <w:t>:</w:t>
        <w:t>56.346</w:t>
        <w:t>Z</w:t>
        <w:t>|</w:t>
        <w:t>00015</w:t>
        <w:t>|</w:t>
        <w:t>ofproto_dpif</w:t>
        <w:t>|</w:t>
        <w:t>INFO</w:t>
        <w:t>|</w:t>
        <w:t>netdev</w:t>
      </w:r>
      <w:r>
        <w:rPr>
          <w:rStyle w:val="Text0"/>
        </w:rPr>
        <w:t>@ovs</w:t>
      </w:r>
      <w:r>
        <w:t>-</w:t>
        <w:t>netdev: Datapath does</w:t>
        <w:t xml:space="preserve"> </w:t>
      </w:r>
      <w:r>
        <w:rPr>
          <w:rStyle w:val="Text0"/>
        </w:rPr>
        <w:t>not</w:t>
      </w:r>
      <w:r>
        <w:t xml:space="preserve"> </w:t>
        <w:t>support ct_label</w:t>
      </w:r>
    </w:p>
    <w:p>
      <w:pPr>
        <w:pStyle w:val="Normal"/>
      </w:pPr>
      <w:r>
        <w:t>2016</w:t>
        <w:t>-</w:t>
        <w:t>01</w:t>
        <w:t>-</w:t>
        <w:t>22</w:t>
        <w:t>T08:</w:t>
        <w:t>58</w:t>
        <w:t>:</w:t>
        <w:t>56.360</w:t>
        <w:t>Z</w:t>
        <w:t>|</w:t>
        <w:t>00016</w:t>
        <w:t>|</w:t>
        <w:t>bridge</w:t>
        <w:t>|</w:t>
        <w:t>INFO</w:t>
        <w:t>|</w:t>
        <w:t>bridge ovsdpdkbr0: added interface ovsdpdkbr0</w:t>
        <w:t xml:space="preserve"> </w:t>
        <w:t>on port</w:t>
        <w:t xml:space="preserve"> </w:t>
        <w:t>65534</w:t>
      </w:r>
    </w:p>
    <w:p>
      <w:pPr>
        <w:pStyle w:val="Normal"/>
      </w:pPr>
      <w:r>
        <w:t>2016</w:t>
        <w:t>-</w:t>
        <w:t>01</w:t>
        <w:t>-</w:t>
        <w:t>22</w:t>
        <w:t>T08:</w:t>
        <w:t>58</w:t>
        <w:t>:</w:t>
        <w:t>56.361</w:t>
        <w:t>Z</w:t>
        <w:t>|</w:t>
        <w:t>00017</w:t>
        <w:t>|</w:t>
        <w:t>bridge</w:t>
        <w:t>|</w:t>
        <w:t>INFO</w:t>
        <w:t>|</w:t>
        <w:t>bridge ovsdpdkbr0: using datapath ID</w:t>
        <w:t xml:space="preserve"> </w:t>
        <w:t>00005</w:t>
        <w:t>a4a1ed0a14d</w:t>
      </w:r>
    </w:p>
    <w:p>
      <w:pPr>
        <w:pStyle w:val="Normal"/>
      </w:pPr>
      <w:r>
        <w:t>2016</w:t>
        <w:t>-</w:t>
        <w:t>01</w:t>
        <w:t>-</w:t>
        <w:t>22</w:t>
        <w:t>T08:</w:t>
        <w:t>58</w:t>
        <w:t>:</w:t>
        <w:t>56.361</w:t>
        <w:t>Z</w:t>
        <w:t>|</w:t>
        <w:t>00018</w:t>
        <w:t>|</w:t>
        <w:t>connmgr</w:t>
        <w:t>|</w:t>
        <w:t>INFO</w:t>
        <w:t>|</w:t>
        <w:t>ovsdpdkbr0: added service controller</w:t>
        <w:t xml:space="preserve"> </w:t>
        <w:t>"punix:/</w:t>
        <w:t xml:space="preserve"> </w:t>
        <w:t>var/run/openvswitch/ovsdpdkbr0.mgmt"</w:t>
      </w:r>
    </w:p>
    <w:p>
      <w:pPr>
        <w:pStyle w:val="Normal"/>
      </w:pPr>
      <w:r>
        <w:t>OVS</w:t>
        <w:t>-</w:t>
        <w:t>LOG:</w:t>
      </w:r>
    </w:p>
    <w:p>
      <w:pPr>
        <w:pStyle w:val="Normal"/>
      </w:pPr>
      <w:r>
        <w:t>ovs</w:t>
        <w:t>-</w:t>
        <w:t>vsctl: ovs</w:t>
        <w:t>|</w:t>
        <w:t>00001</w:t>
        <w:t>|</w:t>
        <w:t>vsctl</w:t>
        <w:t>|</w:t>
        <w:t>INFO</w:t>
        <w:t>|</w:t>
        <w:t>Called</w:t>
        <w:t xml:space="preserve"> </w:t>
      </w:r>
      <w:r>
        <w:rPr>
          <w:rStyle w:val="Text0"/>
        </w:rPr>
        <w:t>as</w:t>
      </w:r>
      <w:r>
        <w:t xml:space="preserve"> </w:t>
        <w:t>ovs</w:t>
        <w:t>-</w:t>
        <w:t>vsctl add</w:t>
        <w:t>-</w:t>
        <w:t>br ovsdpdkbr0</w:t>
        <w:t>--</w:t>
        <w:t>set</w:t>
        <w:t xml:space="preserve"> </w:t>
        <w:t>bridge</w:t>
        <w:t xml:space="preserve"> </w:t>
        <w:t>ovsdpdkbr0 datapath_type</w:t>
        <w:t>=</w:t>
        <w:t>netdev</w:t>
      </w:r>
    </w:p>
    <w:p>
      <w:pPr>
        <w:pStyle w:val="Normal"/>
      </w:pPr>
      <w:r>
        <w:t>systemd</w:t>
        <w:t>-</w:t>
        <w:t>udevd[</w:t>
        <w:t>3607</w:t>
        <w:t>]: Could</w:t>
        <w:t xml:space="preserve"> </w:t>
      </w:r>
      <w:r>
        <w:rPr>
          <w:rStyle w:val="Text0"/>
        </w:rPr>
        <w:t>not</w:t>
      </w:r>
      <w:r>
        <w:t xml:space="preserve"> </w:t>
        <w:t>generate persistent MAC address</w:t>
        <w:t xml:space="preserve"> </w:t>
      </w:r>
      <w:r>
        <w:rPr>
          <w:rStyle w:val="Text0"/>
        </w:rPr>
        <w:t>for</w:t>
      </w:r>
      <w:r>
        <w:t xml:space="preserve"> </w:t>
        <w:t>ovs</w:t>
        <w:t>-</w:t>
        <w:t>netdev: No such</w:t>
        <w:t xml:space="preserve"> </w:t>
        <w:t>file</w:t>
        <w:t xml:space="preserve"> </w:t>
      </w:r>
      <w:r>
        <w:rPr>
          <w:rStyle w:val="Text0"/>
        </w:rPr>
        <w:t>or</w:t>
      </w:r>
      <w:r>
        <w:t xml:space="preserve"> </w:t>
        <w:t>directory</w:t>
      </w:r>
    </w:p>
    <w:p>
      <w:pPr>
        <w:pStyle w:val="Normal"/>
      </w:pPr>
      <w:r>
        <w:t>kernel: [</w:t>
        <w:t>50165.886554</w:t>
        <w:t>] device ovs</w:t>
        <w:t>-</w:t>
        <w:t>netdev entered promiscuous mode</w:t>
        <w:t xml:space="preserve"> </w:t>
        <w:t>kernel: [</w:t>
        <w:t>50165.901261</w:t>
        <w:t>] device ovsdpdkbr0 entered promiscuous mode</w:t>
      </w:r>
    </w:p>
    <w:p>
      <w:pPr>
        <w:pStyle w:val="Para 17"/>
      </w:pPr>
      <w:r>
        <w:t/>
      </w:r>
    </w:p>
    <w:p>
      <w:pPr>
        <w:pStyle w:val="Para 09"/>
      </w:pPr>
      <w:r>
        <w:t>(continues on next page)</w:t>
      </w:r>
    </w:p>
    <w:p>
      <w:bookmarkStart w:id="379" w:name="page_2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2" name="index-267_1.png" descr="index-267_1.png"/>
            <wp:cNvGraphicFramePr>
              <a:graphicFrameLocks noChangeAspect="1"/>
            </wp:cNvGraphicFramePr>
            <a:graphic>
              <a:graphicData uri="http://schemas.openxmlformats.org/drawingml/2006/picture">
                <pic:pic>
                  <pic:nvPicPr>
                    <pic:cNvPr id="0" name="index-267_1.png" descr="index-267_1.png"/>
                    <pic:cNvPicPr/>
                  </pic:nvPicPr>
                  <pic:blipFill>
                    <a:blip r:embed="rId276"/>
                    <a:stretch>
                      <a:fillRect/>
                    </a:stretch>
                  </pic:blipFill>
                  <pic:spPr>
                    <a:xfrm>
                      <a:off x="0" y="0"/>
                      <a:ext cx="914400" cy="266700"/>
                    </a:xfrm>
                    <a:prstGeom prst="rect">
                      <a:avLst/>
                    </a:prstGeom>
                  </pic:spPr>
                </pic:pic>
              </a:graphicData>
            </a:graphic>
          </wp:anchor>
        </w:drawing>
      </w:r>
      <w:bookmarkEnd w:id="379"/>
    </w:p>
    <w:p>
      <w:pPr>
        <w:pStyle w:val="Para 09"/>
      </w:pPr>
      <w:r>
        <w:t>(continued from previous page)</w:t>
      </w:r>
    </w:p>
    <w:p>
      <w:pPr>
        <w:pStyle w:val="Normal"/>
      </w:pPr>
      <w:r>
        <w:t>CMD: sudo ovs</w:t>
        <w:t>-</w:t>
        <w:t>vsctl add</w:t>
        <w:t>-</w:t>
        <w:t>port ovsdpdkbr0 dpdk0</w:t>
        <w:t>--</w:t>
        <w:t>set</w:t>
        <w:t xml:space="preserve"> </w:t>
        <w:t>Interface dpdk0</w:t>
        <w:t xml:space="preserve"> </w:t>
        <w:t>type</w:t>
        <w:t>=</w:t>
        <w:t>dpdk</w:t>
      </w:r>
    </w:p>
    <w:p>
      <w:pPr>
        <w:pStyle w:val="Normal"/>
      </w:pPr>
      <w:r>
        <w:t>SYSLOG:</w:t>
      </w:r>
    </w:p>
    <w:p>
      <w:pPr>
        <w:pStyle w:val="Normal"/>
      </w:pPr>
      <w:r>
        <w:t>2016</w:t>
        <w:t>-</w:t>
        <w:t>01</w:t>
        <w:t>-</w:t>
        <w:t>22</w:t>
        <w:t>T08:</w:t>
        <w:t>59</w:t>
        <w:t>:</w:t>
        <w:t>06.369</w:t>
        <w:t>Z</w:t>
        <w:t>|</w:t>
        <w:t>00019</w:t>
        <w:t>|</w:t>
        <w:t>memory</w:t>
        <w:t>|</w:t>
        <w:t>INFO</w:t>
        <w:t>|</w:t>
        <w:t>peak resident</w:t>
        <w:t xml:space="preserve"> </w:t>
        <w:t>set</w:t>
        <w:t xml:space="preserve"> </w:t>
        <w:t>size grew</w:t>
        <w:t xml:space="preserve"> </w:t>
        <w:t>155</w:t>
        <w:t>%</w:t>
        <w:t xml:space="preserve"> </w:t>
      </w:r>
      <w:r>
        <w:rPr>
          <w:rStyle w:val="Text0"/>
        </w:rPr>
        <w:t>in</w:t>
      </w:r>
      <w:r>
        <w:t xml:space="preserve"> </w:t>
        <w:t>last</w:t>
        <w:t xml:space="preserve"> </w:t>
        <w:t>10.0</w:t>
        <w:t xml:space="preserve"> </w:t>
        <w:t>seconds,</w:t>
        <w:t xml:space="preserve"> </w:t>
      </w:r>
      <w:r>
        <w:rPr>
          <w:rStyle w:val="Text0"/>
        </w:rPr>
        <w:t>from</w:t>
      </w:r>
      <w:r>
        <w:t xml:space="preserve"> </w:t>
        <w:t>37256</w:t>
        <w:t xml:space="preserve"> </w:t>
        <w:t>kB to</w:t>
        <w:t xml:space="preserve"> </w:t>
        <w:t>95008</w:t>
        <w:t xml:space="preserve"> </w:t>
        <w:t>kB</w:t>
      </w:r>
    </w:p>
    <w:p>
      <w:pPr>
        <w:pStyle w:val="Normal"/>
      </w:pPr>
      <w:r>
        <w:t>2016</w:t>
        <w:t>-</w:t>
        <w:t>01</w:t>
        <w:t>-</w:t>
        <w:t>22</w:t>
        <w:t>T08:</w:t>
        <w:t>59</w:t>
        <w:t>:</w:t>
        <w:t>06.369</w:t>
        <w:t>Z</w:t>
        <w:t>|</w:t>
        <w:t>00020</w:t>
        <w:t>|</w:t>
        <w:t>memory</w:t>
        <w:t>|</w:t>
        <w:t>INFO</w:t>
        <w:t>|</w:t>
        <w:t>handlers:</w:t>
        <w:t>4</w:t>
        <w:t xml:space="preserve"> </w:t>
        <w:t>ports:</w:t>
        <w:t>1</w:t>
        <w:t xml:space="preserve"> </w:t>
        <w:t>revalidators:</w:t>
        <w:t>2</w:t>
        <w:t xml:space="preserve"> </w:t>
        <w:t>rules:</w:t>
        <w:t>5</w:t>
        <w:t xml:space="preserve"> </w:t>
        <w:t>2016</w:t>
        <w:t>-</w:t>
        <w:t>01</w:t>
        <w:t>-</w:t>
        <w:t>22</w:t>
        <w:t>T08:</w:t>
        <w:t>59</w:t>
        <w:t>:</w:t>
        <w:t>30.989</w:t>
        <w:t>Z</w:t>
        <w:t>|</w:t>
        <w:t>00021</w:t>
        <w:t>|</w:t>
        <w:t>dpdk</w:t>
        <w:t>|</w:t>
        <w:t>INFO</w:t>
        <w:t>|</w:t>
        <w:t>Port</w:t>
        <w:t xml:space="preserve"> </w:t>
        <w:t>0</w:t>
        <w:t>:</w:t>
        <w:t xml:space="preserve"> </w:t>
        <w:t>8</w:t>
        <w:t>c:dc:d4:b3:</w:t>
        <w:t>6</w:t>
        <w:t>d:e9</w:t>
        <w:t xml:space="preserve"> </w:t>
        <w:t>2016</w:t>
        <w:t>-</w:t>
        <w:t>01</w:t>
        <w:t>-</w:t>
        <w:t>22</w:t>
        <w:t>T08:</w:t>
        <w:t>59</w:t>
        <w:t>:</w:t>
        <w:t>31.520</w:t>
        <w:t>Z</w:t>
        <w:t>|</w:t>
        <w:t>00022</w:t>
        <w:t>|</w:t>
        <w:t>dpdk</w:t>
        <w:t>|</w:t>
        <w:t>INFO</w:t>
        <w:t>|</w:t>
        <w:t>Port</w:t>
        <w:t xml:space="preserve"> </w:t>
        <w:t>0</w:t>
        <w:t>:</w:t>
        <w:t xml:space="preserve"> </w:t>
        <w:t>8</w:t>
        <w:t>c:dc:d4:b3:</w:t>
        <w:t>6</w:t>
        <w:t>d:e9</w:t>
        <w:t xml:space="preserve"> </w:t>
        <w:t>2016</w:t>
        <w:t>-</w:t>
        <w:t>01</w:t>
        <w:t>-</w:t>
        <w:t>22</w:t>
        <w:t>T08:</w:t>
        <w:t>59</w:t>
        <w:t>:</w:t>
        <w:t>31.521</w:t>
        <w:t>Z</w:t>
        <w:t>|</w:t>
        <w:t>00023</w:t>
        <w:t>|</w:t>
        <w:t>dpif_netdev</w:t>
        <w:t>|</w:t>
        <w:t>INFO</w:t>
        <w:t>|</w:t>
        <w:t>Created</w:t>
        <w:t xml:space="preserve"> </w:t>
        <w:t>1</w:t>
        <w:t xml:space="preserve"> </w:t>
        <w:t>pmd threads on numa node</w:t>
        <w:t xml:space="preserve"> </w:t>
        <w:t>0</w:t>
        <w:t xml:space="preserve"> </w:t>
        <w:t>2016</w:t>
        <w:t>-</w:t>
        <w:t>01</w:t>
        <w:t>-</w:t>
        <w:t>22</w:t>
        <w:t>T08:</w:t>
        <w:t>59</w:t>
        <w:t>:</w:t>
        <w:t>31.522</w:t>
        <w:t>Z</w:t>
        <w:t>|</w:t>
        <w:t>00001</w:t>
        <w:t>|</w:t>
        <w:t>dpif_netdev(pmd16)</w:t>
        <w:t>|</w:t>
        <w:t>INFO</w:t>
        <w:t>|</w:t>
        <w:t>Core</w:t>
        <w:t xml:space="preserve"> </w:t>
        <w:t>0</w:t>
        <w:t xml:space="preserve"> </w:t>
        <w:t>processing port</w:t>
        <w:t xml:space="preserve"> </w:t>
        <w:t>'dpdk0'</w:t>
        <w:t xml:space="preserve"> </w:t>
        <w:t>2016</w:t>
        <w:t>-</w:t>
        <w:t>01</w:t>
        <w:t>-</w:t>
        <w:t>22</w:t>
        <w:t>T08:</w:t>
        <w:t>59</w:t>
        <w:t>:</w:t>
        <w:t>31.522</w:t>
        <w:t>Z</w:t>
        <w:t>|</w:t>
        <w:t>00024</w:t>
        <w:t>|</w:t>
        <w:t>bridge</w:t>
        <w:t>|</w:t>
        <w:t>INFO</w:t>
        <w:t>|</w:t>
        <w:t>bridge ovsdpdkbr0: added interface dpdk0 on</w:t>
        <w:t xml:space="preserve"> </w:t>
        <w:t>port</w:t>
        <w:t xml:space="preserve"> </w:t>
        <w:t>1</w:t>
      </w:r>
    </w:p>
    <w:p>
      <w:pPr>
        <w:pStyle w:val="Normal"/>
      </w:pPr>
      <w:r>
        <w:t>2016</w:t>
        <w:t>-</w:t>
        <w:t>01</w:t>
        <w:t>-</w:t>
        <w:t>22</w:t>
        <w:t>T08:</w:t>
        <w:t>59</w:t>
        <w:t>:</w:t>
        <w:t>31.522</w:t>
        <w:t>Z</w:t>
        <w:t>|</w:t>
        <w:t>00025</w:t>
        <w:t>|</w:t>
        <w:t>bridge</w:t>
        <w:t>|</w:t>
        <w:t>INFO</w:t>
        <w:t>|</w:t>
        <w:t>bridge ovsdpdkbr0: using datapath ID</w:t>
        <w:t xml:space="preserve"> </w:t>
        <w:t>00008</w:t>
        <w:t>cdcd4b36de9</w:t>
      </w:r>
    </w:p>
    <w:p>
      <w:pPr>
        <w:pStyle w:val="Normal"/>
      </w:pPr>
      <w:r>
        <w:t>2016</w:t>
        <w:t>-</w:t>
        <w:t>01</w:t>
        <w:t>-</w:t>
        <w:t>22</w:t>
        <w:t>T08:</w:t>
        <w:t>59</w:t>
        <w:t>:</w:t>
        <w:t>31.523</w:t>
        <w:t>Z</w:t>
        <w:t>|</w:t>
        <w:t>00002</w:t>
        <w:t>|</w:t>
        <w:t>dpif_netdev(pmd16)</w:t>
        <w:t>|</w:t>
        <w:t>INFO</w:t>
        <w:t>|</w:t>
        <w:t>Core</w:t>
        <w:t xml:space="preserve"> </w:t>
        <w:t>0</w:t>
        <w:t xml:space="preserve"> </w:t>
        <w:t>processing port</w:t>
        <w:t xml:space="preserve"> </w:t>
        <w:t>'dpdk0'</w:t>
      </w:r>
    </w:p>
    <w:p>
      <w:pPr>
        <w:pStyle w:val="Normal"/>
      </w:pPr>
      <w:r>
        <w:t>OVS</w:t>
        <w:t>-</w:t>
        <w:t>LOG:</w:t>
      </w:r>
    </w:p>
    <w:p>
      <w:pPr>
        <w:pStyle w:val="Normal"/>
      </w:pPr>
      <w:r>
        <w:t>ovs</w:t>
        <w:t>-</w:t>
        <w:t>vsctl: ovs</w:t>
        <w:t>|</w:t>
        <w:t>00001</w:t>
        <w:t>|</w:t>
        <w:t>vsctl</w:t>
        <w:t>|</w:t>
        <w:t>INFO</w:t>
        <w:t>|</w:t>
        <w:t>Called</w:t>
        <w:t xml:space="preserve"> </w:t>
      </w:r>
      <w:r>
        <w:rPr>
          <w:rStyle w:val="Text0"/>
        </w:rPr>
        <w:t>as</w:t>
      </w:r>
      <w:r>
        <w:t xml:space="preserve"> </w:t>
        <w:t>ovs</w:t>
        <w:t>-</w:t>
        <w:t>vsctl add</w:t>
        <w:t>-</w:t>
        <w:t>port ovsdpdkbr0 dpdk0</w:t>
        <w:t>--</w:t>
        <w:t>set</w:t>
        <w:t xml:space="preserve"> </w:t>
        <w:t>Interface dpdk0</w:t>
        <w:t xml:space="preserve"> </w:t>
        <w:t>type</w:t>
        <w:t>=</w:t>
        <w:t>dpdk</w:t>
      </w:r>
    </w:p>
    <w:p>
      <w:pPr>
        <w:pStyle w:val="Normal"/>
      </w:pPr>
      <w:r>
        <w:t>ovs</w:t>
        <w:t>-</w:t>
        <w:t>vswitchd[</w:t>
        <w:t>3595</w:t>
        <w:t>]: PMD: ixgbe_dev_tx_queue_setup(): sw_ring</w:t>
        <w:t>=</w:t>
        <w:t>0x7f211a79ebc0</w:t>
        <w:t xml:space="preserve"> </w:t>
        <w:t>hw_</w:t>
        <w:t xml:space="preserve"> </w:t>
        <w:t>ring</w:t>
        <w:t>=</w:t>
        <w:t>0x7f211a7a6c00</w:t>
        <w:t xml:space="preserve"> </w:t>
        <w:t>dma_addr</w:t>
        <w:t>=</w:t>
        <w:t>0x81a7a6c00</w:t>
        <w:t xml:space="preserve"> </w:t>
        <w:t>ovs</w:t>
        <w:t>-</w:t>
        <w:t>vswitchd[</w:t>
        <w:t>3595</w:t>
        <w:t>]: PMD: ixgbe_set_tx_function(): Using simple tx code path</w:t>
        <w:t xml:space="preserve"> </w:t>
        <w:t>ovs</w:t>
        <w:t>-</w:t>
        <w:t>vswitchd[</w:t>
        <w:t>3595</w:t>
        <w:t>]: PMD: ixgbe_set_tx_function(): Vector tx enabled</w:t>
        <w:t>.</w:t>
        <w:t xml:space="preserve"> </w:t>
        <w:t>ovs</w:t>
        <w:t>-</w:t>
        <w:t>vswitchd[</w:t>
        <w:t>3595</w:t>
        <w:t>]: PMD: ixgbe_dev_rx_queue_setup(): sw_ring</w:t>
        <w:t>=</w:t>
        <w:t>0x7f211a78a6c0</w:t>
        <w:t xml:space="preserve"> </w:t>
        <w:t>sw_sc_</w:t>
        <w:t xml:space="preserve"> </w:t>
        <w:t>ring</w:t>
        <w:t>=</w:t>
        <w:t>0x7f211a786580</w:t>
        <w:t xml:space="preserve"> </w:t>
        <w:t>hw_ring</w:t>
        <w:t>=</w:t>
        <w:t>0x7f211a78e800</w:t>
        <w:t xml:space="preserve"> </w:t>
        <w:t>dma_addr</w:t>
        <w:t>=</w:t>
        <w:t>0x81a78e800</w:t>
        <w:t xml:space="preserve"> </w:t>
        <w:t>ovs</w:t>
        <w:t>-</w:t>
        <w:t>vswitchd[</w:t>
        <w:t>3595</w:t>
        <w:t>]: PMD: ixgbe_set_rx_function(): Vector rx enabled, please make sure RX</w:t>
        <w:t xml:space="preserve"> </w:t>
        <w:t>burst size no less than</w:t>
        <w:t xml:space="preserve"> </w:t>
        <w:t>4</w:t>
        <w:t xml:space="preserve"> </w:t>
        <w:t>(port</w:t>
        <w:t>=</w:t>
        <w:t>0</w:t>
        <w:t>)</w:t>
        <w:t>.</w:t>
      </w:r>
    </w:p>
    <w:p>
      <w:pPr>
        <w:pStyle w:val="Normal"/>
      </w:pPr>
      <w:r>
        <w:t>ovs</w:t>
        <w:t>-</w:t>
        <w:t>vswitchd[</w:t>
        <w:t>3595</w:t>
        <w:t>]: PMD: ixgbe_dev_tx_queue_setup(): sw_ring</w:t>
        <w:t>=</w:t>
        <w:t>0x7f211a79ebc0</w:t>
        <w:t xml:space="preserve"> </w:t>
        <w:t>hw_</w:t>
        <w:t xml:space="preserve"> </w:t>
        <w:t>ring</w:t>
        <w:t>=</w:t>
        <w:t>0x7f211a7a6c00</w:t>
        <w:t xml:space="preserve"> </w:t>
        <w:t>dma_addr</w:t>
        <w:t>=</w:t>
        <w:t>0x81a7a6c00</w:t>
        <w:t xml:space="preserve"> </w:t>
        <w:t>...</w:t>
      </w:r>
    </w:p>
    <w:p>
      <w:pPr>
        <w:pStyle w:val="Para 17"/>
      </w:pPr>
      <w:r>
        <w:t/>
      </w:r>
    </w:p>
    <w:p>
      <w:pPr>
        <w:pStyle w:val="Normal"/>
      </w:pPr>
      <w:r>
        <w:t>CMD: sudo ovs</w:t>
        <w:t>-</w:t>
        <w:t>vsctl add</w:t>
        <w:t>-</w:t>
        <w:t>port ovsdpdkbr0 vhost</w:t>
        <w:t>-</w:t>
        <w:t>user</w:t>
        <w:t>-</w:t>
        <w:t>1</w:t>
        <w:t>--</w:t>
        <w:t>set</w:t>
        <w:t xml:space="preserve"> </w:t>
        <w:t>Interface vhost</w:t>
        <w:t>-</w:t>
        <w:t>user</w:t>
        <w:t>-</w:t>
        <w:t>1</w:t>
        <w:t xml:space="preserve"> </w:t>
        <w:t>type</w:t>
        <w:t>=</w:t>
        <w:t>dpdkvhostuser</w:t>
      </w:r>
    </w:p>
    <w:p>
      <w:pPr>
        <w:pStyle w:val="Normal"/>
      </w:pPr>
      <w:r>
        <w:t>OVS</w:t>
        <w:t>-</w:t>
        <w:t>LOG:</w:t>
      </w:r>
    </w:p>
    <w:p>
      <w:pPr>
        <w:pStyle w:val="Normal"/>
      </w:pPr>
      <w:r>
        <w:t>2016</w:t>
        <w:t>-</w:t>
        <w:t>01</w:t>
        <w:t>-</w:t>
        <w:t>22</w:t>
        <w:t>T09:</w:t>
        <w:t>00</w:t>
        <w:t>:</w:t>
        <w:t>35.145</w:t>
        <w:t>Z</w:t>
        <w:t>|</w:t>
        <w:t>00026</w:t>
        <w:t>|</w:t>
        <w:t>dpdk</w:t>
        <w:t>|</w:t>
        <w:t>INFO</w:t>
        <w:t>|</w:t>
        <w:t>Socket</w:t>
        <w:t xml:space="preserve"> </w:t>
        <w:t>/</w:t>
        <w:t>var</w:t>
        <w:t>/</w:t>
        <w:t>run</w:t>
        <w:t>/</w:t>
        <w:t>openvswitch</w:t>
        <w:t>/</w:t>
        <w:t>vhost</w:t>
        <w:t>-</w:t>
        <w:t>user</w:t>
        <w:t>-</w:t>
        <w:t>1</w:t>
        <w:t xml:space="preserve"> </w:t>
        <w:t>created</w:t>
        <w:t xml:space="preserve"> </w:t>
      </w:r>
      <w:r>
        <w:rPr>
          <w:rStyle w:val="Text0"/>
        </w:rPr>
        <w:t>for</w:t>
      </w:r>
      <w:r>
        <w:t xml:space="preserve"> </w:t>
        <w:t>vhost</w:t>
        <w:t>-</w:t>
        <w:t>user port vhost</w:t>
        <w:t>-</w:t>
        <w:t>user</w:t>
        <w:t>-</w:t>
        <w:t>1</w:t>
      </w:r>
    </w:p>
    <w:p>
      <w:pPr>
        <w:pStyle w:val="Normal"/>
      </w:pPr>
      <w:r>
        <w:t>2016</w:t>
        <w:t>-</w:t>
        <w:t>01</w:t>
        <w:t>-</w:t>
        <w:t>22</w:t>
        <w:t>T09:</w:t>
        <w:t>00</w:t>
        <w:t>:</w:t>
        <w:t>35.145</w:t>
        <w:t>Z</w:t>
        <w:t>|</w:t>
        <w:t>00003</w:t>
        <w:t>|</w:t>
        <w:t>dpif_netdev(pmd16)</w:t>
        <w:t>|</w:t>
        <w:t>INFO</w:t>
        <w:t>|</w:t>
        <w:t>Core</w:t>
        <w:t xml:space="preserve"> </w:t>
        <w:t>0</w:t>
        <w:t xml:space="preserve"> </w:t>
        <w:t>processing port</w:t>
        <w:t xml:space="preserve"> </w:t>
        <w:t>'dpdk0'</w:t>
        <w:t xml:space="preserve"> </w:t>
        <w:t>2016</w:t>
        <w:t>-</w:t>
        <w:t>01</w:t>
        <w:t>-</w:t>
        <w:t>22</w:t>
        <w:t>T09:</w:t>
        <w:t>00</w:t>
        <w:t>:</w:t>
        <w:t>35.145</w:t>
        <w:t>Z</w:t>
        <w:t>|</w:t>
        <w:t>00004</w:t>
        <w:t>|</w:t>
        <w:t>dpif_netdev(pmd16)</w:t>
        <w:t>|</w:t>
        <w:t>INFO</w:t>
        <w:t>|</w:t>
        <w:t>Core</w:t>
        <w:t xml:space="preserve"> </w:t>
        <w:t>0</w:t>
        <w:t xml:space="preserve"> </w:t>
        <w:t>processing port</w:t>
        <w:t xml:space="preserve"> </w:t>
        <w:t>'vhost-user-</w:t>
        <w:t>1'</w:t>
      </w:r>
    </w:p>
    <w:p>
      <w:pPr>
        <w:pStyle w:val="Normal"/>
      </w:pPr>
      <w:r>
        <w:t>2016</w:t>
        <w:t>-</w:t>
        <w:t>01</w:t>
        <w:t>-</w:t>
        <w:t>22</w:t>
        <w:t>T09:</w:t>
        <w:t>00</w:t>
        <w:t>:</w:t>
        <w:t>35.145</w:t>
        <w:t>Z</w:t>
        <w:t>|</w:t>
        <w:t>00027</w:t>
        <w:t>|</w:t>
        <w:t>bridge</w:t>
        <w:t>|</w:t>
        <w:t>INFO</w:t>
        <w:t>|</w:t>
        <w:t>bridge ovsdpdkbr0: added interface vhost</w:t>
        <w:t>-</w:t>
        <w:t>user</w:t>
        <w:t>-</w:t>
        <w:t>1</w:t>
        <w:t xml:space="preserve"> </w:t>
        <w:t>on port</w:t>
        <w:t xml:space="preserve"> </w:t>
        <w:t>2</w:t>
      </w:r>
    </w:p>
    <w:p>
      <w:pPr>
        <w:pStyle w:val="Normal"/>
      </w:pPr>
      <w:r>
        <w:t>SYSLOG:</w:t>
      </w:r>
    </w:p>
    <w:p>
      <w:pPr>
        <w:pStyle w:val="Normal"/>
      </w:pPr>
      <w:r>
        <w:t>ovs</w:t>
        <w:t>-</w:t>
        <w:t>vsctl: ovs</w:t>
        <w:t>|</w:t>
        <w:t>00001</w:t>
        <w:t>|</w:t>
        <w:t>vsctl</w:t>
        <w:t>|</w:t>
        <w:t>INFO</w:t>
        <w:t>|</w:t>
        <w:t>Called</w:t>
        <w:t xml:space="preserve"> </w:t>
      </w:r>
      <w:r>
        <w:rPr>
          <w:rStyle w:val="Text0"/>
        </w:rPr>
        <w:t>as</w:t>
      </w:r>
      <w:r>
        <w:t xml:space="preserve"> </w:t>
        <w:t>ovs</w:t>
        <w:t>-</w:t>
        <w:t>vsctl add</w:t>
        <w:t>-</w:t>
        <w:t>port ovsdpdkbr0 vhost</w:t>
        <w:t>-</w:t>
        <w:t>user</w:t>
        <w:t>-</w:t>
        <w:t>1</w:t>
        <w:t>--</w:t>
        <w:t>set</w:t>
        <w:t xml:space="preserve"> </w:t>
        <w:t>Interface vhost</w:t>
        <w:t>-</w:t>
        <w:t>user</w:t>
        <w:t>-</w:t>
        <w:t>1</w:t>
        <w:t xml:space="preserve"> </w:t>
        <w:t>type</w:t>
        <w:t>=</w:t>
        <w:t>dpdkvhostuser</w:t>
        <w:t xml:space="preserve"> </w:t>
        <w:t>ovs</w:t>
        <w:t>-</w:t>
        <w:t>vswitchd[</w:t>
        <w:t>3595</w:t>
        <w:t>]: VHOST_CONFIG: socket created, fd:</w:t>
        <w:t>46</w:t>
        <w:t xml:space="preserve"> </w:t>
        <w:t>ovs</w:t>
        <w:t>-</w:t>
        <w:t>vswitchd[</w:t>
        <w:t>3595</w:t>
        <w:t>]: VHOST_CONFIG: bind to</w:t>
        <w:t xml:space="preserve"> </w:t>
        <w:t>/</w:t>
        <w:t>var</w:t>
        <w:t>/</w:t>
        <w:t>run</w:t>
        <w:t>/</w:t>
        <w:t>openvswitch</w:t>
        <w:t>/</w:t>
        <w:t>vhost</w:t>
        <w:t>-</w:t>
        <w:t>user</w:t>
        <w:t>-</w:t>
        <w:t>1</w:t>
      </w:r>
    </w:p>
    <w:p>
      <w:pPr>
        <w:pStyle w:val="Normal"/>
      </w:pPr>
      <w:r>
        <w:t>Eventually we can see the poll thread</w:t>
        <w:t xml:space="preserve"> </w:t>
      </w:r>
      <w:r>
        <w:rPr>
          <w:rStyle w:val="Text0"/>
        </w:rPr>
        <w:t>in</w:t>
      </w:r>
      <w:r>
        <w:t xml:space="preserve"> </w:t>
        <w:t>top</w:t>
      </w:r>
    </w:p>
    <w:p>
      <w:pPr>
        <w:pStyle w:val="Para 03"/>
      </w:pPr>
      <w:r>
        <w:t>PID USER</w:t>
        <w:t xml:space="preserve"> </w:t>
        <w:t>PR</w:t>
        <w:t xml:space="preserve"> </w:t>
        <w:t>NI</w:t>
        <w:t xml:space="preserve"> </w:t>
        <w:t>VIRT</w:t>
        <w:t xml:space="preserve"> </w:t>
        <w:t>RES</w:t>
        <w:t xml:space="preserve"> </w:t>
        <w:t>SHR S</w:t>
        <w:t xml:space="preserve"> </w:t>
        <w:t>%</w:t>
        <w:t>CPU</w:t>
        <w:t xml:space="preserve"> </w:t>
        <w:t>%</w:t>
        <w:t>MEM</w:t>
        <w:t xml:space="preserve"> </w:t>
        <w:t>TIME</w:t>
        <w:t>+</w:t>
        <w:t xml:space="preserve"> </w:t>
        <w:t>COMMAND</w:t>
      </w:r>
    </w:p>
    <w:p>
      <w:pPr>
        <w:pStyle w:val="Normal"/>
      </w:pPr>
      <w:r>
        <w:t>3595</w:t>
        <w:t xml:space="preserve"> </w:t>
        <w:t>root</w:t>
        <w:t xml:space="preserve"> </w:t>
        <w:t>10</w:t>
        <w:t>-</w:t>
        <w:t>10 4975344 103936</w:t>
        <w:t xml:space="preserve"> </w:t>
        <w:t>9916</w:t>
        <w:t xml:space="preserve"> </w:t>
        <w:t>S</w:t>
        <w:t xml:space="preserve"> </w:t>
        <w:t>100.0</w:t>
        <w:t xml:space="preserve"> </w:t>
        <w:t>0.3</w:t>
        <w:t xml:space="preserve"> </w:t>
        <w:t>33</w:t>
        <w:t>:</w:t>
        <w:t>13.56</w:t>
        <w:t xml:space="preserve"> </w:t>
        <w:t>ovs</w:t>
        <w:t>-</w:t>
        <w:t>vswitchd</w:t>
        <w:t xml:space="preserve"> </w:t>
      </w:r>
      <w:r>
        <w:rPr>
          <w:rStyle w:val="Text0"/>
        </w:rPr>
        <w:t>Resources</w:t>
      </w:r>
    </w:p>
    <w:p>
      <w:bookmarkStart w:id="380" w:name="page_2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3" name="index-268_1.png" descr="index-268_1.png"/>
            <wp:cNvGraphicFramePr>
              <a:graphicFrameLocks noChangeAspect="1"/>
            </wp:cNvGraphicFramePr>
            <a:graphic>
              <a:graphicData uri="http://schemas.openxmlformats.org/drawingml/2006/picture">
                <pic:pic>
                  <pic:nvPicPr>
                    <pic:cNvPr id="0" name="index-268_1.png" descr="index-268_1.png"/>
                    <pic:cNvPicPr/>
                  </pic:nvPicPr>
                  <pic:blipFill>
                    <a:blip r:embed="rId277"/>
                    <a:stretch>
                      <a:fillRect/>
                    </a:stretch>
                  </pic:blipFill>
                  <pic:spPr>
                    <a:xfrm>
                      <a:off x="0" y="0"/>
                      <a:ext cx="914400" cy="266700"/>
                    </a:xfrm>
                    <a:prstGeom prst="rect">
                      <a:avLst/>
                    </a:prstGeom>
                  </pic:spPr>
                </pic:pic>
              </a:graphicData>
            </a:graphic>
          </wp:anchor>
        </w:drawing>
      </w:r>
      <w:bookmarkEnd w:id="380"/>
    </w:p>
    <w:p>
      <w:pPr>
        <w:pStyle w:val="Para 17"/>
      </w:pPr>
      <w:r>
        <w:t/>
      </w:r>
    </w:p>
    <w:p>
      <w:pPr>
        <w:pStyle w:val="Para 13"/>
      </w:pPr>
      <w:r>
        <w:rPr>
          <w:rStyle w:val="Text7"/>
        </w:rPr>
        <w:t xml:space="preserve">• </w:t>
      </w:r>
      <w:hyperlink w:anchor="page_268">
        <w:r>
          <w:rPr>
            <w:rStyle w:val="Text10"/>
          </w:rPr>
          <w:t>191</w:t>
        </w:r>
      </w:hyperlink>
      <w:r>
        <w:rPr>
          <w:rStyle w:val="Text7"/>
        </w:rPr>
        <w:t xml:space="preserve"> </w:t>
      </w:r>
      <w:hyperlink r:id="rId1194">
        <w:r>
          <w:t>DPDK documentation</w:t>
        </w:r>
      </w:hyperlink>
    </w:p>
    <w:p>
      <w:pPr>
        <w:pStyle w:val="Para 13"/>
      </w:pPr>
      <w:r>
        <w:rPr>
          <w:rStyle w:val="Text7"/>
        </w:rPr>
        <w:t xml:space="preserve">• </w:t>
      </w:r>
      <w:hyperlink w:anchor="page_268">
        <w:r>
          <w:rPr>
            <w:rStyle w:val="Text10"/>
          </w:rPr>
          <w:t>192</w:t>
        </w:r>
      </w:hyperlink>
      <w:r>
        <w:rPr>
          <w:rStyle w:val="Text7"/>
        </w:rPr>
        <w:t xml:space="preserve"> </w:t>
      </w:r>
      <w:hyperlink r:id="rId1195">
        <w:r>
          <w:t>Release Notes matching the version packages in Ubuntu 16.04</w:t>
        </w:r>
      </w:hyperlink>
    </w:p>
    <w:p>
      <w:pPr>
        <w:pStyle w:val="Para 13"/>
      </w:pPr>
      <w:r>
        <w:rPr>
          <w:rStyle w:val="Text7"/>
        </w:rPr>
        <w:t xml:space="preserve">• </w:t>
      </w:r>
      <w:hyperlink w:anchor="page_268">
        <w:r>
          <w:rPr>
            <w:rStyle w:val="Text10"/>
          </w:rPr>
          <w:t>193</w:t>
        </w:r>
      </w:hyperlink>
      <w:r>
        <w:rPr>
          <w:rStyle w:val="Text7"/>
        </w:rPr>
        <w:t xml:space="preserve"> </w:t>
      </w:r>
      <w:hyperlink r:id="rId1196">
        <w:r>
          <w:t>Linux DPDK user getting started</w:t>
        </w:r>
      </w:hyperlink>
    </w:p>
    <w:p>
      <w:pPr>
        <w:pStyle w:val="Para 13"/>
      </w:pPr>
      <w:r>
        <w:rPr>
          <w:rStyle w:val="Text7"/>
        </w:rPr>
        <w:t xml:space="preserve">• </w:t>
      </w:r>
      <w:hyperlink r:id="rId1197">
        <w:r>
          <w:rPr>
            <w:rStyle w:val="Text10"/>
          </w:rPr>
          <w:t>194</w:t>
        </w:r>
      </w:hyperlink>
      <w:hyperlink r:id="rId1197">
        <w:r>
          <w:t xml:space="preserve"> EAL command-line options</w:t>
        </w:r>
      </w:hyperlink>
    </w:p>
    <w:p>
      <w:pPr>
        <w:pStyle w:val="Para 13"/>
      </w:pPr>
      <w:r>
        <w:rPr>
          <w:rStyle w:val="Text7"/>
        </w:rPr>
        <w:t xml:space="preserve">• </w:t>
      </w:r>
      <w:hyperlink w:anchor="page_268">
        <w:r>
          <w:rPr>
            <w:rStyle w:val="Text10"/>
          </w:rPr>
          <w:t>195</w:t>
        </w:r>
      </w:hyperlink>
      <w:r>
        <w:rPr>
          <w:rStyle w:val="Text7"/>
        </w:rPr>
        <w:t xml:space="preserve"> </w:t>
      </w:r>
      <w:hyperlink r:id="rId1198">
        <w:r>
          <w:t>DPDK API documentation</w:t>
        </w:r>
      </w:hyperlink>
    </w:p>
    <w:p>
      <w:pPr>
        <w:pStyle w:val="Para 13"/>
      </w:pPr>
      <w:r>
        <w:rPr>
          <w:rStyle w:val="Text7"/>
        </w:rPr>
        <w:t xml:space="preserve">• </w:t>
      </w:r>
      <w:hyperlink r:id="rId1199">
        <w:r>
          <w:rPr>
            <w:rStyle w:val="Text10"/>
          </w:rPr>
          <w:t>196</w:t>
        </w:r>
      </w:hyperlink>
      <w:hyperlink r:id="rId1199">
        <w:r>
          <w:t xml:space="preserve"> Open Vswitch DPDK installation</w:t>
        </w:r>
      </w:hyperlink>
    </w:p>
    <w:p>
      <w:pPr>
        <w:pStyle w:val="Para 13"/>
      </w:pPr>
      <w:r>
        <w:rPr>
          <w:rStyle w:val="Text7"/>
        </w:rPr>
        <w:t xml:space="preserve">• </w:t>
      </w:r>
      <w:hyperlink w:anchor="page_268">
        <w:r>
          <w:rPr>
            <w:rStyle w:val="Text10"/>
          </w:rPr>
          <w:t>197</w:t>
        </w:r>
      </w:hyperlink>
      <w:r>
        <w:rPr>
          <w:rStyle w:val="Text7"/>
        </w:rPr>
        <w:t xml:space="preserve"> </w:t>
      </w:r>
      <w:hyperlink r:id="rId1200">
        <w:r>
          <w:t>Wikipedia’s definition of DPDK</w:t>
        </w:r>
      </w:hyperlink>
    </w:p>
    <w:p>
      <w:pPr>
        <w:pStyle w:val="Para 17"/>
      </w:pPr>
      <w:r>
        <w:t/>
      </w:r>
    </w:p>
    <w:p>
      <w:pPr>
        <w:pStyle w:val="Para 01"/>
      </w:pPr>
      <w:r>
        <w:t>DHCP</w:t>
      </w:r>
    </w:p>
    <w:p>
      <w:pPr>
        <w:pStyle w:val="Para 17"/>
      </w:pPr>
      <w:r>
        <w:t/>
      </w:r>
    </w:p>
    <w:p>
      <w:pPr>
        <w:pStyle w:val="Normal"/>
      </w:pPr>
      <w:r>
        <w:t>Set up Dynamic Host Configuration Protocol (DHCP) for automatic IP address assignment for devices on your network. There are two DHCP servers available in Ubuntu: isc-kea is the most modern, and is available from 23.04 onward.</w:t>
      </w:r>
    </w:p>
    <w:p>
      <w:pPr>
        <w:pStyle w:val="Para 17"/>
      </w:pPr>
      <w:r>
        <w:t/>
      </w:r>
    </w:p>
    <w:p>
      <w:pPr>
        <w:pStyle w:val="Para 01"/>
      </w:pPr>
      <w:r>
        <w:t>How to install and configure isc-kea</w:t>
      </w:r>
    </w:p>
    <w:p>
      <w:pPr>
        <w:pStyle w:val="Para 17"/>
      </w:pPr>
      <w:r>
        <w:t/>
      </w:r>
    </w:p>
    <w:p>
      <w:pPr>
        <w:pStyle w:val="Normal"/>
      </w:pPr>
      <w:r>
        <w:t xml:space="preserve">In this guide we show how to install and configure </w:t>
      </w:r>
      <w:hyperlink r:id="rId1201">
        <w:r>
          <w:rPr>
            <w:rStyle w:val="Text9"/>
          </w:rPr>
          <w:t>198</w:t>
        </w:r>
      </w:hyperlink>
      <w:r>
        <w:t xml:space="preserve"> isc-kea in Ubuntu 23.04 or greater. </w:t>
      </w:r>
      <w:hyperlink r:id="rId1201">
        <w:r>
          <w:rPr>
            <w:rStyle w:val="Text1"/>
          </w:rPr>
          <w:t>Kea</w:t>
        </w:r>
      </w:hyperlink>
    </w:p>
    <w:p>
      <w:pPr>
        <w:pStyle w:val="Normal"/>
      </w:pPr>
      <w:r>
        <w:t xml:space="preserve">is the </w:t>
      </w:r>
      <w:hyperlink w:anchor="page_678">
        <w:r>
          <w:rPr>
            <w:rStyle w:val="Text2"/>
          </w:rPr>
          <w:t>DHCP</w:t>
        </w:r>
      </w:hyperlink>
      <w:r>
        <w:t xml:space="preserve"> server developed by ISC to replace isc-dhcp. It is newer and designed for more modern network environments.</w:t>
      </w:r>
    </w:p>
    <w:p>
      <w:pPr>
        <w:pStyle w:val="Normal"/>
      </w:pPr>
      <w:r>
        <w:t xml:space="preserve">For isc-dhcp-server instructions, </w:t>
      </w:r>
      <w:hyperlink w:anchor="page_271">
        <w:r>
          <w:rPr>
            <w:rStyle w:val="Text2"/>
          </w:rPr>
          <w:t>refer to this guide instead</w:t>
        </w:r>
      </w:hyperlink>
      <w:r>
        <w:t xml:space="preserve"> (page 270).</w:t>
      </w:r>
    </w:p>
    <w:p>
      <w:pPr>
        <w:pStyle w:val="Para 17"/>
      </w:pPr>
      <w:r>
        <w:t/>
      </w:r>
    </w:p>
    <w:p>
      <w:pPr>
        <w:pStyle w:val="Para 01"/>
      </w:pPr>
      <w:r>
        <w:t>Install isc-kea</w:t>
      </w:r>
    </w:p>
    <w:p>
      <w:pPr>
        <w:pStyle w:val="Para 17"/>
      </w:pPr>
      <w:r>
        <w:t/>
      </w:r>
    </w:p>
    <w:p>
      <w:pPr>
        <w:pStyle w:val="Normal"/>
      </w:pPr>
      <w:r>
        <w:t>At a terminal prompt, enter the following command to install isc-kea:</w:t>
      </w:r>
    </w:p>
    <w:p>
      <w:pPr>
        <w:pStyle w:val="Normal"/>
      </w:pPr>
      <w:r>
        <w:t>sudo apt install kea</w:t>
      </w:r>
    </w:p>
    <w:p>
      <w:pPr>
        <w:pStyle w:val="Para 17"/>
      </w:pPr>
      <w:r>
        <w:t/>
      </w:r>
    </w:p>
    <w:p>
      <w:pPr>
        <w:pStyle w:val="Normal"/>
      </w:pPr>
      <w:r>
        <w:t>This will also install a few binary packages, including</w:t>
      </w:r>
    </w:p>
    <w:p>
      <w:pPr>
        <w:pStyle w:val="Para 04"/>
      </w:pPr>
      <w:r>
        <w:t>• kea-dhcp4-server: The IPv4 DHCP server (the one we will configure in this guide).</w:t>
      </w:r>
    </w:p>
    <w:p>
      <w:pPr>
        <w:pStyle w:val="Para 04"/>
      </w:pPr>
      <w:r>
        <w:t>• kea-dhcp6-server: The IPv6 DHCP server.</w:t>
      </w:r>
    </w:p>
    <w:p>
      <w:pPr>
        <w:pStyle w:val="Para 04"/>
      </w:pPr>
      <w:r>
        <w:t>• kea-ctrl-agent: A REST API service for Kea.</w:t>
      </w:r>
    </w:p>
    <w:p>
      <w:pPr>
        <w:pStyle w:val="Para 04"/>
      </w:pPr>
      <w:r>
        <w:t xml:space="preserve">• kea-dhcp-ddns-server: A Dynamic </w:t>
      </w:r>
      <w:hyperlink w:anchor="page_679">
        <w:r>
          <w:rPr>
            <w:rStyle w:val="Text2"/>
          </w:rPr>
          <w:t>DNS</w:t>
        </w:r>
      </w:hyperlink>
      <w:r>
        <w:t xml:space="preserve"> service to update DNS based on DHCP lease</w:t>
      </w:r>
    </w:p>
    <w:p>
      <w:pPr>
        <w:pStyle w:val="Para 02"/>
      </w:pPr>
      <w:r>
        <w:t>events.</w:t>
      </w:r>
    </w:p>
    <w:p>
      <w:pPr>
        <w:pStyle w:val="Para 05"/>
      </w:pPr>
      <w:r>
        <w:rPr>
          <w:rStyle w:val="Text5"/>
        </w:rPr>
        <w:t>191</w:t>
      </w:r>
      <w:r>
        <w:rPr>
          <w:rStyle w:val="Text8"/>
        </w:rPr>
        <w:t xml:space="preserve"> </w:t>
      </w:r>
      <w:r>
        <w:t>http://dpdk.org/doc</w:t>
      </w:r>
    </w:p>
    <w:p>
      <w:pPr>
        <w:pStyle w:val="Para 05"/>
      </w:pPr>
      <w:r>
        <w:rPr>
          <w:rStyle w:val="Text5"/>
        </w:rPr>
        <w:t>192</w:t>
      </w:r>
      <w:r>
        <w:rPr>
          <w:rStyle w:val="Text8"/>
        </w:rPr>
        <w:t xml:space="preserve"> </w:t>
      </w:r>
      <w:r>
        <w:t>http://dpdk.org/doc/guides/rel_notes/release_2_2.html</w:t>
      </w:r>
    </w:p>
    <w:p>
      <w:pPr>
        <w:pStyle w:val="Para 05"/>
      </w:pPr>
      <w:r>
        <w:rPr>
          <w:rStyle w:val="Text5"/>
        </w:rPr>
        <w:t>193</w:t>
      </w:r>
      <w:r>
        <w:rPr>
          <w:rStyle w:val="Text8"/>
        </w:rPr>
        <w:t xml:space="preserve"> </w:t>
      </w:r>
      <w:r>
        <w:t>http://dpdk.org/doc/guides/linux_gsg/index.html</w:t>
      </w:r>
    </w:p>
    <w:p>
      <w:pPr>
        <w:pStyle w:val="Para 05"/>
      </w:pPr>
      <w:r>
        <w:rPr>
          <w:rStyle w:val="Text5"/>
        </w:rPr>
        <w:t>194</w:t>
      </w:r>
      <w:r>
        <w:rPr>
          <w:rStyle w:val="Text8"/>
        </w:rPr>
        <w:t xml:space="preserve"> </w:t>
      </w:r>
      <w:r>
        <w:t>http://dpdk.org/doc/guides/testpmd_app_ug/run_app.html</w:t>
      </w:r>
    </w:p>
    <w:p>
      <w:pPr>
        <w:pStyle w:val="Para 05"/>
      </w:pPr>
      <w:r>
        <w:rPr>
          <w:rStyle w:val="Text5"/>
        </w:rPr>
        <w:t>195</w:t>
      </w:r>
      <w:r>
        <w:rPr>
          <w:rStyle w:val="Text8"/>
        </w:rPr>
        <w:t xml:space="preserve"> </w:t>
      </w:r>
      <w:r>
        <w:t>http://dpdk.org/doc/api/</w:t>
      </w:r>
    </w:p>
    <w:p>
      <w:pPr>
        <w:pStyle w:val="Para 05"/>
      </w:pPr>
      <w:r>
        <w:rPr>
          <w:rStyle w:val="Text5"/>
        </w:rPr>
        <w:t>196</w:t>
      </w:r>
      <w:r>
        <w:rPr>
          <w:rStyle w:val="Text8"/>
        </w:rPr>
        <w:t xml:space="preserve"> </w:t>
      </w:r>
      <w:r>
        <w:t>https://github.com/openvswitch/ovs/blob/branch-2.5/INSTALL.DPDK.md</w:t>
      </w:r>
    </w:p>
    <w:p>
      <w:pPr>
        <w:pStyle w:val="Para 05"/>
      </w:pPr>
      <w:r>
        <w:rPr>
          <w:rStyle w:val="Text5"/>
        </w:rPr>
        <w:t>197</w:t>
      </w:r>
      <w:r>
        <w:rPr>
          <w:rStyle w:val="Text8"/>
        </w:rPr>
        <w:t xml:space="preserve"> </w:t>
      </w:r>
      <w:r>
        <w:t>https://en.wikipedia.org/wiki/Data_Plane_Development_Kit</w:t>
      </w:r>
    </w:p>
    <w:p>
      <w:pPr>
        <w:pStyle w:val="Para 05"/>
      </w:pPr>
      <w:r>
        <w:rPr>
          <w:rStyle w:val="Text5"/>
        </w:rPr>
        <w:t>198</w:t>
      </w:r>
      <w:r>
        <w:rPr>
          <w:rStyle w:val="Text8"/>
        </w:rPr>
        <w:t xml:space="preserve"> </w:t>
      </w:r>
      <w:r>
        <w:t>https://www.isc.org/kea/</w:t>
      </w:r>
    </w:p>
    <w:p>
      <w:bookmarkStart w:id="381" w:name="page_2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4" name="index-269_1.png" descr="index-269_1.png"/>
            <wp:cNvGraphicFramePr>
              <a:graphicFrameLocks noChangeAspect="1"/>
            </wp:cNvGraphicFramePr>
            <a:graphic>
              <a:graphicData uri="http://schemas.openxmlformats.org/drawingml/2006/picture">
                <pic:pic>
                  <pic:nvPicPr>
                    <pic:cNvPr id="0" name="index-269_1.png" descr="index-269_1.png"/>
                    <pic:cNvPicPr/>
                  </pic:nvPicPr>
                  <pic:blipFill>
                    <a:blip r:embed="rId278"/>
                    <a:stretch>
                      <a:fillRect/>
                    </a:stretch>
                  </pic:blipFill>
                  <pic:spPr>
                    <a:xfrm>
                      <a:off x="0" y="0"/>
                      <a:ext cx="914400" cy="266700"/>
                    </a:xfrm>
                    <a:prstGeom prst="rect">
                      <a:avLst/>
                    </a:prstGeom>
                  </pic:spPr>
                </pic:pic>
              </a:graphicData>
            </a:graphic>
          </wp:anchor>
        </w:drawing>
      </w:r>
      <w:bookmarkEnd w:id="381"/>
    </w:p>
    <w:p>
      <w:pPr>
        <w:pStyle w:val="Normal"/>
      </w:pPr>
      <w:r>
        <w:t>Since the kea-ctrl-agent service has some administrative rights to the Kea services, we need to ensure regular users are not allowed to use the API without permissions. Ubuntu does it</w:t>
      </w:r>
    </w:p>
    <w:p>
      <w:pPr>
        <w:pStyle w:val="Normal"/>
      </w:pPr>
      <w:r>
        <w:t xml:space="preserve">by requiring user authentication to access the </w:t>
      </w:r>
      <w:hyperlink r:id="rId1202">
        <w:r>
          <w:rPr>
            <w:rStyle w:val="Text9"/>
          </w:rPr>
          <w:t>199</w:t>
        </w:r>
      </w:hyperlink>
      <w:r>
        <w:t xml:space="preserve"> kea-ctrl-agent API service ( </w:t>
      </w:r>
      <w:hyperlink r:id="rId1202">
        <w:r>
          <w:rPr>
            <w:rStyle w:val="Text1"/>
          </w:rPr>
          <w:t>LP: #2007312</w:t>
        </w:r>
      </w:hyperlink>
    </w:p>
    <w:p>
      <w:pPr>
        <w:pStyle w:val="Normal"/>
      </w:pPr>
      <w:r>
        <w:t>has more details on this).</w:t>
      </w:r>
    </w:p>
    <w:p>
      <w:pPr>
        <w:pStyle w:val="Normal"/>
      </w:pPr>
      <w:r>
        <w:t xml:space="preserve">Therefore, the installation process described above will get a </w:t>
      </w:r>
      <w:hyperlink w:anchor="page_678">
        <w:r>
          <w:rPr>
            <w:rStyle w:val="Text2"/>
          </w:rPr>
          <w:t>debconf</w:t>
        </w:r>
      </w:hyperlink>
      <w:r>
        <w:t xml:space="preserve"> “high” priority prompt with 3 options:</w:t>
      </w:r>
    </w:p>
    <w:p>
      <w:pPr>
        <w:pStyle w:val="Para 04"/>
      </w:pPr>
      <w:r>
        <w:t>• no action (default);</w:t>
      </w:r>
    </w:p>
    <w:p>
      <w:pPr>
        <w:pStyle w:val="Para 04"/>
      </w:pPr>
      <w:r>
        <w:t>• configure with a random password; or</w:t>
      </w:r>
    </w:p>
    <w:p>
      <w:pPr>
        <w:pStyle w:val="Para 04"/>
      </w:pPr>
      <w:r>
        <w:t>• configure with a given password.</w:t>
      </w:r>
    </w:p>
    <w:p>
      <w:pPr>
        <w:pStyle w:val="Normal"/>
      </w:pPr>
      <w:r>
        <w:t xml:space="preserve">If there is no password, the kea-ctrl-agent will </w:t>
      </w:r>
      <w:r>
        <w:rPr>
          <w:rStyle w:val="Text0"/>
        </w:rPr>
        <w:t>not</w:t>
      </w:r>
      <w:r>
        <w:t xml:space="preserve"> start.</w:t>
      </w:r>
    </w:p>
    <w:p>
      <w:pPr>
        <w:pStyle w:val="Normal"/>
      </w:pPr>
      <w:r>
        <w:t>The password is expected to be in /etc/kea/kea-api-password, with ownership root:_kea and permissions 0640. To change it, run dpkg-reconfigure kea-ctrl-agent (which will present the same 3 options from above again), or just edit the file manually.</w:t>
      </w:r>
    </w:p>
    <w:p>
      <w:pPr>
        <w:pStyle w:val="Para 17"/>
      </w:pPr>
      <w:r>
        <w:t/>
      </w:r>
    </w:p>
    <w:p>
      <w:pPr>
        <w:pStyle w:val="Para 01"/>
      </w:pPr>
      <w:r>
        <w:t>Configure kea-dhcp4</w:t>
      </w:r>
    </w:p>
    <w:p>
      <w:pPr>
        <w:pStyle w:val="Para 17"/>
      </w:pPr>
      <w:r>
        <w:t/>
      </w:r>
    </w:p>
    <w:p>
      <w:pPr>
        <w:pStyle w:val="Normal"/>
      </w:pPr>
      <w:r>
        <w:t>The kea-dhcp4 service can be configured by editing /etc/kea/kea-dhcp4.conf.</w:t>
      </w:r>
    </w:p>
    <w:p>
      <w:pPr>
        <w:pStyle w:val="Normal"/>
      </w:pPr>
      <w:r>
        <w:t>Most commonly, what you want to do is let Kea assign an IP address from a pre-configured IP address pool. This can be done with settings as follows:</w:t>
      </w:r>
    </w:p>
    <w:p>
      <w:pPr>
        <w:pStyle w:val="Normal"/>
      </w:pPr>
      <w:r>
        <w:t>{</w:t>
      </w:r>
    </w:p>
    <w:p>
      <w:pPr>
        <w:pStyle w:val="Para 39"/>
      </w:pPr>
      <w:r>
        <w:t>"Dhcp4"</w:t>
      </w:r>
      <w:r>
        <w:rPr>
          <w:rStyle w:val="Text0"/>
        </w:rPr>
        <w:t>: {</w:t>
      </w:r>
    </w:p>
    <w:p>
      <w:pPr>
        <w:pStyle w:val="Para 23"/>
      </w:pPr>
      <w:r>
        <w:t>"interfaces-config"</w:t>
      </w:r>
      <w:r>
        <w:rPr>
          <w:rStyle w:val="Text0"/>
        </w:rPr>
        <w:t>: {</w:t>
      </w:r>
    </w:p>
    <w:p>
      <w:pPr>
        <w:pStyle w:val="Para 29"/>
      </w:pPr>
      <w:r>
        <w:t>"interfaces"</w:t>
      </w:r>
      <w:r>
        <w:rPr>
          <w:rStyle w:val="Text0"/>
        </w:rPr>
        <w:t>: [</w:t>
        <w:t>"eth4"</w:t>
        <w:t>]</w:t>
      </w:r>
    </w:p>
    <w:p>
      <w:pPr>
        <w:pStyle w:val="Para 06"/>
      </w:pPr>
      <w:r>
        <w:t>},</w:t>
      </w:r>
    </w:p>
    <w:p>
      <w:pPr>
        <w:pStyle w:val="Para 23"/>
      </w:pPr>
      <w:r>
        <w:t>"control-socket"</w:t>
      </w:r>
      <w:r>
        <w:rPr>
          <w:rStyle w:val="Text0"/>
        </w:rPr>
        <w:t>: {</w:t>
      </w:r>
    </w:p>
    <w:p>
      <w:pPr>
        <w:pStyle w:val="Para 29"/>
      </w:pPr>
      <w:r>
        <w:t>"socket-type"</w:t>
      </w:r>
      <w:r>
        <w:rPr>
          <w:rStyle w:val="Text0"/>
        </w:rPr>
        <w:t>:</w:t>
        <w:t xml:space="preserve"> </w:t>
        <w:t>"unix"</w:t>
        <w:t>,</w:t>
      </w:r>
    </w:p>
    <w:p>
      <w:pPr>
        <w:pStyle w:val="Para 12"/>
      </w:pPr>
      <w:r>
        <w:rPr>
          <w:rStyle w:val="Text0"/>
        </w:rPr>
        <w:t>"socket-name"</w:t>
      </w:r>
      <w:r>
        <w:t>:</w:t>
        <w:t xml:space="preserve"> </w:t>
        <w:t>"/run/kea/kea4-ctrl-socket"</w:t>
      </w:r>
    </w:p>
    <w:p>
      <w:pPr>
        <w:pStyle w:val="Para 06"/>
      </w:pPr>
      <w:r>
        <w:t>},</w:t>
      </w:r>
    </w:p>
    <w:p>
      <w:pPr>
        <w:pStyle w:val="Para 23"/>
      </w:pPr>
      <w:r>
        <w:t>"lease-database"</w:t>
      </w:r>
      <w:r>
        <w:rPr>
          <w:rStyle w:val="Text0"/>
        </w:rPr>
        <w:t>: {</w:t>
      </w:r>
    </w:p>
    <w:p>
      <w:pPr>
        <w:pStyle w:val="Para 12"/>
      </w:pPr>
      <w:r>
        <w:rPr>
          <w:rStyle w:val="Text0"/>
        </w:rPr>
        <w:t>"type"</w:t>
      </w:r>
      <w:r>
        <w:t>:</w:t>
        <w:t xml:space="preserve"> </w:t>
        <w:t>"memfile"</w:t>
        <w:t>,</w:t>
      </w:r>
    </w:p>
    <w:p>
      <w:pPr>
        <w:pStyle w:val="Para 29"/>
      </w:pPr>
      <w:r>
        <w:t>"lfc-interval"</w:t>
      </w:r>
      <w:r>
        <w:rPr>
          <w:rStyle w:val="Text0"/>
        </w:rPr>
        <w:t>:</w:t>
        <w:t xml:space="preserve"> </w:t>
        <w:t>3600</w:t>
      </w:r>
    </w:p>
    <w:p>
      <w:pPr>
        <w:pStyle w:val="Para 06"/>
      </w:pPr>
      <w:r>
        <w:t>},</w:t>
      </w:r>
    </w:p>
    <w:p>
      <w:pPr>
        <w:pStyle w:val="Para 23"/>
      </w:pPr>
      <w:r>
        <w:t>"valid-lifetime"</w:t>
      </w:r>
      <w:r>
        <w:rPr>
          <w:rStyle w:val="Text0"/>
        </w:rPr>
        <w:t>:</w:t>
        <w:t xml:space="preserve"> </w:t>
        <w:t>600</w:t>
        <w:t>,</w:t>
      </w:r>
    </w:p>
    <w:p>
      <w:pPr>
        <w:pStyle w:val="Para 23"/>
      </w:pPr>
      <w:r>
        <w:t>"max-valid-lifetime"</w:t>
      </w:r>
      <w:r>
        <w:rPr>
          <w:rStyle w:val="Text0"/>
        </w:rPr>
        <w:t>:</w:t>
        <w:t xml:space="preserve"> </w:t>
        <w:t>7200</w:t>
        <w:t>,</w:t>
      </w:r>
    </w:p>
    <w:p>
      <w:pPr>
        <w:pStyle w:val="Para 23"/>
      </w:pPr>
      <w:r>
        <w:t>"subnet4"</w:t>
      </w:r>
      <w:r>
        <w:rPr>
          <w:rStyle w:val="Text0"/>
        </w:rPr>
        <w:t>: [{</w:t>
      </w:r>
    </w:p>
    <w:p>
      <w:pPr>
        <w:pStyle w:val="Para 29"/>
      </w:pPr>
      <w:r>
        <w:t>"id"</w:t>
      </w:r>
      <w:r>
        <w:rPr>
          <w:rStyle w:val="Text0"/>
        </w:rPr>
        <w:t>:</w:t>
        <w:t xml:space="preserve"> </w:t>
        <w:t>1</w:t>
        <w:t>,</w:t>
      </w:r>
    </w:p>
    <w:p>
      <w:pPr>
        <w:pStyle w:val="Para 12"/>
      </w:pPr>
      <w:r>
        <w:rPr>
          <w:rStyle w:val="Text0"/>
        </w:rPr>
        <w:t>"subnet"</w:t>
      </w:r>
      <w:r>
        <w:t>:</w:t>
        <w:t xml:space="preserve"> </w:t>
        <w:t>"192.168.1.0/24"</w:t>
        <w:t>,</w:t>
      </w:r>
    </w:p>
    <w:p>
      <w:pPr>
        <w:pStyle w:val="Para 29"/>
      </w:pPr>
      <w:r>
        <w:t>"pools"</w:t>
      </w:r>
      <w:r>
        <w:rPr>
          <w:rStyle w:val="Text0"/>
        </w:rPr>
        <w:t>: [{</w:t>
      </w:r>
    </w:p>
    <w:p>
      <w:pPr>
        <w:pStyle w:val="Para 15"/>
      </w:pPr>
      <w:r>
        <w:rPr>
          <w:rStyle w:val="Text0"/>
        </w:rPr>
        <w:t>"pool"</w:t>
      </w:r>
      <w:r>
        <w:t>:</w:t>
        <w:t xml:space="preserve"> </w:t>
        <w:t>"192.168.1.150 - 192.168.1.200"</w:t>
      </w:r>
    </w:p>
    <w:p>
      <w:pPr>
        <w:pStyle w:val="Para 12"/>
      </w:pPr>
      <w:r>
        <w:t>}],</w:t>
      </w:r>
    </w:p>
    <w:p>
      <w:pPr>
        <w:pStyle w:val="Para 29"/>
      </w:pPr>
      <w:r>
        <w:t>"option-data"</w:t>
      </w:r>
      <w:r>
        <w:rPr>
          <w:rStyle w:val="Text0"/>
        </w:rPr>
        <w:t>: [{</w:t>
      </w:r>
    </w:p>
    <w:p>
      <w:pPr>
        <w:pStyle w:val="Para 25"/>
      </w:pPr>
      <w:r>
        <w:rPr>
          <w:rStyle w:val="Text0"/>
        </w:rPr>
        <w:t>"name"</w:t>
      </w:r>
      <w:r>
        <w:t>:</w:t>
        <w:t xml:space="preserve"> </w:t>
        <w:t>"routers"</w:t>
        <w:t>,</w:t>
      </w:r>
    </w:p>
    <w:p>
      <w:pPr>
        <w:pStyle w:val="Para 25"/>
      </w:pPr>
      <w:r>
        <w:rPr>
          <w:rStyle w:val="Text0"/>
        </w:rPr>
        <w:t>"data"</w:t>
      </w:r>
      <w:r>
        <w:t>:</w:t>
        <w:t xml:space="preserve"> </w:t>
        <w:t>"192.168.1.254"</w:t>
      </w:r>
    </w:p>
    <w:p>
      <w:pPr>
        <w:pStyle w:val="Para 15"/>
      </w:pPr>
      <w:r>
        <w:t>},</w:t>
      </w:r>
    </w:p>
    <w:p>
      <w:pPr>
        <w:pStyle w:val="Para 15"/>
      </w:pPr>
      <w:r>
        <w:t>{</w:t>
      </w:r>
    </w:p>
    <w:p>
      <w:pPr>
        <w:pStyle w:val="Para 25"/>
      </w:pPr>
      <w:r>
        <w:rPr>
          <w:rStyle w:val="Text0"/>
        </w:rPr>
        <w:t>"name"</w:t>
      </w:r>
      <w:r>
        <w:t>:</w:t>
        <w:t xml:space="preserve"> </w:t>
        <w:t>"domain-name-servers"</w:t>
        <w:t>,</w:t>
        <w:t xml:space="preserve"> </w:t>
      </w:r>
      <w:r>
        <w:rPr>
          <w:rStyle w:val="Text0"/>
        </w:rPr>
        <w:t>"data"</w:t>
      </w:r>
      <w:r>
        <w:t>:</w:t>
        <w:t xml:space="preserve"> </w:t>
        <w:t>"192.168.1.1, 192.168.1.2"</w:t>
      </w:r>
    </w:p>
    <w:p>
      <w:pPr>
        <w:pStyle w:val="Para 09"/>
      </w:pPr>
      <w:r>
        <w:t>(continues on next page)</w:t>
      </w:r>
    </w:p>
    <w:p>
      <w:pPr>
        <w:pStyle w:val="Para 05"/>
      </w:pPr>
      <w:r>
        <w:rPr>
          <w:rStyle w:val="Text5"/>
        </w:rPr>
        <w:t>199</w:t>
      </w:r>
      <w:r>
        <w:rPr>
          <w:rStyle w:val="Text8"/>
        </w:rPr>
        <w:t xml:space="preserve"> </w:t>
      </w:r>
      <w:r>
        <w:t>https://bugs.launchpad.net/bugs/2007312</w:t>
      </w:r>
    </w:p>
    <w:p>
      <w:bookmarkStart w:id="382" w:name="page_2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5" name="index-270_1.png" descr="index-270_1.png"/>
            <wp:cNvGraphicFramePr>
              <a:graphicFrameLocks noChangeAspect="1"/>
            </wp:cNvGraphicFramePr>
            <a:graphic>
              <a:graphicData uri="http://schemas.openxmlformats.org/drawingml/2006/picture">
                <pic:pic>
                  <pic:nvPicPr>
                    <pic:cNvPr id="0" name="index-270_1.png" descr="index-270_1.png"/>
                    <pic:cNvPicPr/>
                  </pic:nvPicPr>
                  <pic:blipFill>
                    <a:blip r:embed="rId279"/>
                    <a:stretch>
                      <a:fillRect/>
                    </a:stretch>
                  </pic:blipFill>
                  <pic:spPr>
                    <a:xfrm>
                      <a:off x="0" y="0"/>
                      <a:ext cx="914400" cy="266700"/>
                    </a:xfrm>
                    <a:prstGeom prst="rect">
                      <a:avLst/>
                    </a:prstGeom>
                  </pic:spPr>
                </pic:pic>
              </a:graphicData>
            </a:graphic>
          </wp:anchor>
        </w:drawing>
      </w:r>
      <w:bookmarkEnd w:id="382"/>
    </w:p>
    <w:p>
      <w:pPr>
        <w:pStyle w:val="Para 09"/>
      </w:pPr>
      <w:r>
        <w:t>(continued from previous page)</w:t>
      </w:r>
    </w:p>
    <w:p>
      <w:pPr>
        <w:pStyle w:val="Para 15"/>
      </w:pPr>
      <w:r>
        <w:t>},</w:t>
      </w:r>
    </w:p>
    <w:p>
      <w:pPr>
        <w:pStyle w:val="Para 15"/>
      </w:pPr>
      <w:r>
        <w:t>{</w:t>
      </w:r>
    </w:p>
    <w:p>
      <w:pPr>
        <w:pStyle w:val="Para 25"/>
      </w:pPr>
      <w:r>
        <w:rPr>
          <w:rStyle w:val="Text0"/>
        </w:rPr>
        <w:t>"name"</w:t>
      </w:r>
      <w:r>
        <w:t>:</w:t>
        <w:t xml:space="preserve"> </w:t>
        <w:t>"domain-name"</w:t>
        <w:t>,</w:t>
        <w:t xml:space="preserve"> </w:t>
      </w:r>
      <w:r>
        <w:rPr>
          <w:rStyle w:val="Text0"/>
        </w:rPr>
        <w:t>"data"</w:t>
      </w:r>
      <w:r>
        <w:t>:</w:t>
        <w:t xml:space="preserve"> </w:t>
        <w:t>"mydomain.example"</w:t>
      </w:r>
    </w:p>
    <w:p>
      <w:pPr>
        <w:pStyle w:val="Para 15"/>
      </w:pPr>
      <w:r>
        <w:t>}</w:t>
      </w:r>
    </w:p>
    <w:p>
      <w:pPr>
        <w:pStyle w:val="Para 12"/>
      </w:pPr>
      <w:r>
        <w:t>]</w:t>
      </w:r>
    </w:p>
    <w:p>
      <w:pPr>
        <w:pStyle w:val="Para 06"/>
      </w:pPr>
      <w:r>
        <w:t>}]</w:t>
      </w:r>
    </w:p>
    <w:p>
      <w:pPr>
        <w:pStyle w:val="Para 02"/>
      </w:pPr>
      <w:r>
        <w:t>}</w:t>
      </w:r>
    </w:p>
    <w:p>
      <w:pPr>
        <w:pStyle w:val="Normal"/>
      </w:pPr>
      <w:r>
        <w:t>}</w:t>
      </w:r>
    </w:p>
    <w:p>
      <w:pPr>
        <w:pStyle w:val="Para 17"/>
      </w:pPr>
      <w:r>
        <w:t/>
      </w:r>
    </w:p>
    <w:p>
      <w:pPr>
        <w:pStyle w:val="Normal"/>
      </w:pPr>
      <w:r>
        <w:t>This will result in the DHCP server listening on interface “eth4”, giving clients an IP address from the range 192.168.1.150 - 192.168.1.200. It will lease an IP address for 600 seconds if the client doesn’t ask for a specific time frame. Otherwise the maximum (allowed) lease will be 7200 seconds. The server will also “advise” the client to use 192.168.1.254 as the default-gateway and 192.168.1.1 and 192.168.1.2 as its DNS servers.</w:t>
      </w:r>
    </w:p>
    <w:p>
      <w:pPr>
        <w:pStyle w:val="Normal"/>
      </w:pPr>
      <w:r>
        <w:t>After changing the config file you can reload the server configuration through kea-shell with the following command (considering you have the kea-ctrl-agent running as described above):</w:t>
      </w:r>
    </w:p>
    <w:p>
      <w:pPr>
        <w:pStyle w:val="Normal"/>
      </w:pPr>
      <w:r>
        <w:t>kea-shell --host</w:t>
        <w:t xml:space="preserve"> </w:t>
        <w:t>127</w:t>
        <w:t>.0.0.1 --port</w:t>
        <w:t xml:space="preserve"> </w:t>
        <w:t>8000</w:t>
        <w:t>--auth-user kea-api --auth-password</w:t>
        <w:t xml:space="preserve"> </w:t>
      </w:r>
      <w:r>
        <w:rPr>
          <w:rStyle w:val="Text0"/>
        </w:rPr>
        <w:t>$(</w:t>
      </w:r>
      <w:r>
        <w:t>cat /etc/kea/</w:t>
        <w:t xml:space="preserve"> </w:t>
        <w:t>kea-api-password</w:t>
      </w:r>
      <w:r>
        <w:rPr>
          <w:rStyle w:val="Text0"/>
        </w:rPr>
        <w:t>)</w:t>
      </w:r>
      <w:r>
        <w:t>--service dhcp4 config-reload</w:t>
      </w:r>
    </w:p>
    <w:p>
      <w:pPr>
        <w:pStyle w:val="Para 17"/>
      </w:pPr>
      <w:r>
        <w:t/>
      </w:r>
    </w:p>
    <w:p>
      <w:pPr>
        <w:pStyle w:val="Normal"/>
      </w:pPr>
      <w:r>
        <w:t>Then, press ctrl-d. The server should respond with:</w:t>
      </w:r>
    </w:p>
    <w:p>
      <w:pPr>
        <w:pStyle w:val="Normal"/>
      </w:pPr>
      <w:r>
        <w:t>[ {</w:t>
        <w:t xml:space="preserve"> </w:t>
      </w:r>
      <w:r>
        <w:rPr>
          <w:rStyle w:val="Text0"/>
        </w:rPr>
        <w:t>"result"</w:t>
      </w:r>
      <w:r>
        <w:t>:</w:t>
        <w:t xml:space="preserve"> </w:t>
        <w:t>0</w:t>
        <w:t>,</w:t>
        <w:t xml:space="preserve"> </w:t>
      </w:r>
      <w:r>
        <w:rPr>
          <w:rStyle w:val="Text0"/>
        </w:rPr>
        <w:t>"text"</w:t>
      </w:r>
      <w:r>
        <w:t>:</w:t>
        <w:t xml:space="preserve"> </w:t>
        <w:t>"Configuration successful."</w:t>
        <w:t xml:space="preserve"> </w:t>
        <w:t>} ]</w:t>
      </w:r>
    </w:p>
    <w:p>
      <w:pPr>
        <w:pStyle w:val="Para 17"/>
      </w:pPr>
      <w:r>
        <w:t/>
      </w:r>
    </w:p>
    <w:p>
      <w:pPr>
        <w:pStyle w:val="Normal"/>
      </w:pPr>
      <w:r>
        <w:t>meaning your configuration was received by the server.</w:t>
      </w:r>
    </w:p>
    <w:p>
      <w:pPr>
        <w:pStyle w:val="Normal"/>
      </w:pPr>
      <w:r>
        <w:t>The kea-dhcp4-server service logs should contain an entry similar to:</w:t>
      </w:r>
    </w:p>
    <w:p>
      <w:pPr>
        <w:pStyle w:val="Normal"/>
      </w:pPr>
      <w:r>
        <w:t>DHCP4_DYNAMIC_RECONFIGURATION_SUCCESS dynamic server reconfiguration succeeded</w:t>
        <w:t xml:space="preserve"> </w:t>
      </w:r>
      <w:r>
        <w:rPr>
          <w:rStyle w:val="Text0"/>
        </w:rPr>
        <w:t>with</w:t>
      </w:r>
      <w:r>
        <w:t xml:space="preserve"> </w:t>
        <w:t>file:</w:t>
        <w:t xml:space="preserve"> </w:t>
        <w:t>/</w:t>
        <w:t>etc</w:t>
        <w:t>/</w:t>
        <w:t>kea</w:t>
        <w:t>/</w:t>
        <w:t>kea</w:t>
        <w:t>-</w:t>
        <w:t>dhcp4</w:t>
        <w:t>.</w:t>
        <w:t>conf</w:t>
      </w:r>
    </w:p>
    <w:p>
      <w:pPr>
        <w:pStyle w:val="Para 17"/>
      </w:pPr>
      <w:r>
        <w:t/>
      </w:r>
    </w:p>
    <w:p>
      <w:pPr>
        <w:pStyle w:val="Normal"/>
      </w:pPr>
      <w:r>
        <w:t>signaling that the server was successfully reconfigured.</w:t>
      </w:r>
    </w:p>
    <w:p>
      <w:pPr>
        <w:pStyle w:val="Normal"/>
      </w:pPr>
      <w:r>
        <w:t>You can read kea-dhcp4-server service logs with journalctl:</w:t>
      </w:r>
    </w:p>
    <w:p>
      <w:pPr>
        <w:pStyle w:val="Normal"/>
      </w:pPr>
      <w:r>
        <w:t>journalctl -u kea-dhcp4-server</w:t>
      </w:r>
    </w:p>
    <w:p>
      <w:pPr>
        <w:pStyle w:val="Para 17"/>
      </w:pPr>
      <w:r>
        <w:t/>
      </w:r>
    </w:p>
    <w:p>
      <w:pPr>
        <w:pStyle w:val="Normal"/>
      </w:pPr>
      <w:r>
        <w:t>Alternatively, instead of reloading the DHCP4 server configuration through kea-shell, you can restart the kea-dhcp4-service with:</w:t>
      </w:r>
    </w:p>
    <w:p>
      <w:pPr>
        <w:pStyle w:val="Normal"/>
      </w:pPr>
      <w:r>
        <w:t>systemctl restart kea-dhcp4-server</w:t>
      </w:r>
    </w:p>
    <w:p>
      <w:bookmarkStart w:id="383" w:name="calibre_pb_56"/>
      <w:pPr>
        <w:pStyle w:val="0 Block"/>
      </w:pPr>
      <w:bookmarkEnd w:id="383"/>
    </w:p>
    <w:p>
      <w:bookmarkStart w:id="384" w:name="Top_of_index_split_057_html"/>
      <w:bookmarkStart w:id="385" w:name="page_27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6" name="index-271_1.png" descr="index-271_1.png"/>
            <wp:cNvGraphicFramePr>
              <a:graphicFrameLocks noChangeAspect="1"/>
            </wp:cNvGraphicFramePr>
            <a:graphic>
              <a:graphicData uri="http://schemas.openxmlformats.org/drawingml/2006/picture">
                <pic:pic>
                  <pic:nvPicPr>
                    <pic:cNvPr id="0" name="index-271_1.png" descr="index-271_1.png"/>
                    <pic:cNvPicPr/>
                  </pic:nvPicPr>
                  <pic:blipFill>
                    <a:blip r:embed="rId280"/>
                    <a:stretch>
                      <a:fillRect/>
                    </a:stretch>
                  </pic:blipFill>
                  <pic:spPr>
                    <a:xfrm>
                      <a:off x="0" y="0"/>
                      <a:ext cx="914400" cy="266700"/>
                    </a:xfrm>
                    <a:prstGeom prst="rect">
                      <a:avLst/>
                    </a:prstGeom>
                  </pic:spPr>
                </pic:pic>
              </a:graphicData>
            </a:graphic>
          </wp:anchor>
        </w:drawing>
      </w:r>
      <w:bookmarkEnd w:id="384"/>
      <w:bookmarkEnd w:id="385"/>
    </w:p>
    <w:p>
      <w:pPr>
        <w:pStyle w:val="Para 01"/>
      </w:pPr>
      <w:r>
        <w:t>Further reading</w:t>
      </w:r>
    </w:p>
    <w:p>
      <w:pPr>
        <w:pStyle w:val="Para 17"/>
      </w:pPr>
      <w:r>
        <w:t/>
      </w:r>
    </w:p>
    <w:p>
      <w:pPr>
        <w:pStyle w:val="Para 13"/>
      </w:pPr>
      <w:r>
        <w:rPr>
          <w:rStyle w:val="Text7"/>
        </w:rPr>
        <w:t xml:space="preserve">• </w:t>
      </w:r>
      <w:hyperlink w:anchor="page_271">
        <w:r>
          <w:rPr>
            <w:rStyle w:val="Text10"/>
          </w:rPr>
          <w:t>200</w:t>
        </w:r>
      </w:hyperlink>
      <w:r>
        <w:rPr>
          <w:rStyle w:val="Text7"/>
        </w:rPr>
        <w:t xml:space="preserve"> </w:t>
      </w:r>
      <w:hyperlink r:id="rId1203">
        <w:r>
          <w:t>ISC Kea Documentation</w:t>
        </w:r>
      </w:hyperlink>
    </w:p>
    <w:p>
      <w:pPr>
        <w:pStyle w:val="Para 17"/>
      </w:pPr>
      <w:r>
        <w:t/>
      </w:r>
    </w:p>
    <w:p>
      <w:pPr>
        <w:pStyle w:val="Para 01"/>
      </w:pPr>
      <w:r>
        <w:t>How to install and configure isc-dhcp-server</w:t>
      </w:r>
    </w:p>
    <w:p>
      <w:pPr>
        <w:pStyle w:val="Para 17"/>
      </w:pPr>
      <w:r>
        <w:t/>
      </w:r>
    </w:p>
    <w:p>
      <w:pPr>
        <w:pStyle w:val="Para 08"/>
      </w:pPr>
      <w:r>
        <w:t>Warning:</w:t>
      </w:r>
    </w:p>
    <w:p>
      <w:pPr>
        <w:pStyle w:val="Para 17"/>
      </w:pPr>
      <w:r>
        <w:t/>
      </w:r>
    </w:p>
    <w:p>
      <w:pPr>
        <w:pStyle w:val="Para 03"/>
      </w:pPr>
      <w:r>
        <w:t>The isc-dhcp-server package is deprecated and unuspported since Ubuntu 24.04 LTS. It</w:t>
      </w:r>
    </w:p>
    <w:p>
      <w:pPr>
        <w:pStyle w:val="Para 03"/>
      </w:pPr>
      <w:r>
        <w:t xml:space="preserve">is no longer supported by its vendor. Please use </w:t>
      </w:r>
      <w:hyperlink r:id="rId1201">
        <w:r>
          <w:rPr>
            <w:rStyle w:val="Text9"/>
          </w:rPr>
          <w:t>201</w:t>
        </w:r>
      </w:hyperlink>
      <w:r>
        <w:t xml:space="preserve"> </w:t>
      </w:r>
      <w:hyperlink w:anchor="page_271">
        <w:r>
          <w:rPr>
            <w:rStyle w:val="Text9"/>
          </w:rPr>
          <w:t>202</w:t>
        </w:r>
      </w:hyperlink>
      <w:hyperlink w:anchor="page_271">
        <w:r>
          <w:rPr>
            <w:rStyle w:val="Text1"/>
          </w:rPr>
          <w:t xml:space="preserve"> Kea</w:t>
        </w:r>
      </w:hyperlink>
      <w:r>
        <w:t xml:space="preserve"> or </w:t>
      </w:r>
      <w:hyperlink r:id="rId1204">
        <w:r>
          <w:rPr>
            <w:rStyle w:val="Text1"/>
          </w:rPr>
          <w:t>dnsmasq</w:t>
        </w:r>
      </w:hyperlink>
      <w:r>
        <w:t xml:space="preserve"> instead.</w:t>
      </w:r>
    </w:p>
    <w:p>
      <w:pPr>
        <w:pStyle w:val="Para 05"/>
      </w:pPr>
      <w:r>
        <w:rPr>
          <w:rStyle w:val="Text5"/>
        </w:rPr>
        <w:t>201</w:t>
      </w:r>
      <w:r>
        <w:rPr>
          <w:rStyle w:val="Text8"/>
        </w:rPr>
        <w:t xml:space="preserve"> </w:t>
      </w:r>
      <w:r>
        <w:t>https://www.isc.org/kea/</w:t>
      </w:r>
    </w:p>
    <w:p>
      <w:pPr>
        <w:pStyle w:val="Para 05"/>
      </w:pPr>
      <w:r>
        <w:rPr>
          <w:rStyle w:val="Text5"/>
        </w:rPr>
        <w:t>202</w:t>
      </w:r>
      <w:r>
        <w:rPr>
          <w:rStyle w:val="Text8"/>
        </w:rPr>
        <w:t xml:space="preserve"> </w:t>
      </w:r>
      <w:r>
        <w:t>https://thekelleys.org.uk/dnsmasq/doc.html</w:t>
      </w:r>
    </w:p>
    <w:p>
      <w:pPr>
        <w:pStyle w:val="Para 17"/>
      </w:pPr>
      <w:r>
        <w:t/>
      </w:r>
    </w:p>
    <w:p>
      <w:pPr>
        <w:pStyle w:val="Normal"/>
      </w:pPr>
      <w:r>
        <w:t>In this guide we show how to install and configure isc-dhcp-server, which installs the dy-</w:t>
      </w:r>
    </w:p>
    <w:p>
      <w:pPr>
        <w:pStyle w:val="Normal"/>
      </w:pPr>
      <w:r>
        <w:t xml:space="preserve">namic host configuration protocol daemon, </w:t>
      </w:r>
      <w:hyperlink w:anchor="page_678">
        <w:r>
          <w:rPr>
            <w:rStyle w:val="Text2"/>
          </w:rPr>
          <w:t>DHCPD</w:t>
        </w:r>
      </w:hyperlink>
      <w:r>
        <w:t xml:space="preserve">. For isc-kea instructions, </w:t>
      </w:r>
      <w:hyperlink w:anchor="page_268">
        <w:r>
          <w:rPr>
            <w:rStyle w:val="Text2"/>
          </w:rPr>
          <w:t>refer to this</w:t>
        </w:r>
      </w:hyperlink>
    </w:p>
    <w:p>
      <w:pPr>
        <w:pStyle w:val="Para 20"/>
      </w:pPr>
      <w:hyperlink w:anchor="page_268">
        <w:r>
          <w:t>guide instead</w:t>
        </w:r>
      </w:hyperlink>
      <w:r>
        <w:rPr>
          <w:rStyle w:val="Text4"/>
        </w:rPr>
        <w:t xml:space="preserve"> (page 267).</w:t>
      </w:r>
    </w:p>
    <w:p>
      <w:pPr>
        <w:pStyle w:val="Para 17"/>
      </w:pPr>
      <w:r>
        <w:t/>
      </w:r>
    </w:p>
    <w:p>
      <w:pPr>
        <w:pStyle w:val="Para 01"/>
      </w:pPr>
      <w:r>
        <w:t>Install isc-dhcp-server</w:t>
      </w:r>
    </w:p>
    <w:p>
      <w:pPr>
        <w:pStyle w:val="Para 17"/>
      </w:pPr>
      <w:r>
        <w:t/>
      </w:r>
    </w:p>
    <w:p>
      <w:pPr>
        <w:pStyle w:val="Normal"/>
      </w:pPr>
      <w:r>
        <w:t>At a terminal prompt, enter the following command to install isc-dhcp-server:</w:t>
      </w:r>
    </w:p>
    <w:p>
      <w:pPr>
        <w:pStyle w:val="Normal"/>
      </w:pPr>
      <w:r>
        <w:t>sudo apt install isc-dhcp-server</w:t>
      </w:r>
    </w:p>
    <w:p>
      <w:pPr>
        <w:pStyle w:val="Para 17"/>
      </w:pPr>
      <w:r>
        <w:t/>
      </w:r>
    </w:p>
    <w:p>
      <w:pPr>
        <w:pStyle w:val="Para 08"/>
      </w:pPr>
      <w:r>
        <w:t>Note:</w:t>
      </w:r>
    </w:p>
    <w:p>
      <w:pPr>
        <w:pStyle w:val="Para 03"/>
      </w:pPr>
      <w:r>
        <w:t>You can find diagnostic messages from dhcpd in syslog.</w:t>
      </w:r>
    </w:p>
    <w:p>
      <w:pPr>
        <w:pStyle w:val="Para 17"/>
      </w:pPr>
      <w:r>
        <w:t/>
      </w:r>
    </w:p>
    <w:p>
      <w:pPr>
        <w:pStyle w:val="Para 01"/>
      </w:pPr>
      <w:r>
        <w:t>Configure isc-dhcp-server</w:t>
      </w:r>
    </w:p>
    <w:p>
      <w:pPr>
        <w:pStyle w:val="Para 17"/>
      </w:pPr>
      <w:r>
        <w:t/>
      </w:r>
    </w:p>
    <w:p>
      <w:pPr>
        <w:pStyle w:val="Normal"/>
      </w:pPr>
      <w:r>
        <w:t>You will probably need to change the default configuration by editing /etc/dhcp/dhcpd.conf to suit your needs and particular configuration.</w:t>
      </w:r>
    </w:p>
    <w:p>
      <w:pPr>
        <w:pStyle w:val="Normal"/>
      </w:pPr>
      <w:r>
        <w:t>Most commonly, what you want to do is assign an IP address randomly. This can be done with /etc/dhcp/dhcpd.conf settings as follows:</w:t>
      </w:r>
    </w:p>
    <w:p>
      <w:pPr>
        <w:pStyle w:val="Normal"/>
      </w:pPr>
      <w:r>
        <w:t># minimal sample /etc/dhcp/dhcpd.conf</w:t>
      </w:r>
    </w:p>
    <w:p>
      <w:pPr>
        <w:pStyle w:val="Normal"/>
      </w:pPr>
      <w:r>
        <w:t>default-lease-time 600;</w:t>
      </w:r>
    </w:p>
    <w:p>
      <w:pPr>
        <w:pStyle w:val="Normal"/>
      </w:pPr>
      <w:r>
        <w:t>max-lease-time 7200;</w:t>
      </w:r>
    </w:p>
    <w:p>
      <w:pPr>
        <w:pStyle w:val="Normal"/>
      </w:pPr>
      <w:r>
        <w:t>subnet 192.168.1.0 netmask 255.255.255.0 {</w:t>
      </w:r>
    </w:p>
    <w:p>
      <w:pPr>
        <w:pStyle w:val="Normal"/>
      </w:pPr>
      <w:r>
        <w:t>range 192.168.1.150 192.168.1.200;</w:t>
      </w:r>
    </w:p>
    <w:p>
      <w:pPr>
        <w:pStyle w:val="Normal"/>
      </w:pPr>
      <w:r>
        <w:t>option routers 192.168.1.254;</w:t>
      </w:r>
    </w:p>
    <w:p>
      <w:pPr>
        <w:pStyle w:val="Normal"/>
      </w:pPr>
      <w:r>
        <w:t>option domain-name-servers 192.168.1.1, 192.168.1.2;</w:t>
      </w:r>
    </w:p>
    <w:p>
      <w:pPr>
        <w:pStyle w:val="Normal"/>
      </w:pPr>
      <w:r>
        <w:t>option domain-name "mydomain.example";</w:t>
      </w:r>
    </w:p>
    <w:p>
      <w:pPr>
        <w:pStyle w:val="Normal"/>
      </w:pPr>
      <w:r>
        <w:t>}</w:t>
      </w:r>
    </w:p>
    <w:p>
      <w:pPr>
        <w:pStyle w:val="Para 03"/>
      </w:pPr>
      <w:r>
        <w:rPr>
          <w:rStyle w:val="Text5"/>
        </w:rPr>
        <w:t>200</w:t>
      </w:r>
      <w:r>
        <w:t xml:space="preserve"> </w:t>
      </w:r>
      <w:r>
        <w:rPr>
          <w:rStyle w:val="Text6"/>
        </w:rPr>
        <w:t>https://kb.isc.org/docs/kea-administrator-reference-manual</w:t>
      </w:r>
      <w:r>
        <w:t xml:space="preserve"> This will result in the DHCP server giving clients an IP address from the range 192.168.1.150 -192.168.1.200. It will lease an IP address for 600 seconds if the client doesn’t ask for a specific time frame. Otherwise the maximum (allowed) lease will be 7200 seconds. The server will also “advise” the client to use 192.168.1.254 as the default-gateway and 192.168.1.1 and</w:t>
      </w:r>
    </w:p>
    <w:p>
      <w:bookmarkStart w:id="386" w:name="page_2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7" name="index-272_1.png" descr="index-272_1.png"/>
            <wp:cNvGraphicFramePr>
              <a:graphicFrameLocks noChangeAspect="1"/>
            </wp:cNvGraphicFramePr>
            <a:graphic>
              <a:graphicData uri="http://schemas.openxmlformats.org/drawingml/2006/picture">
                <pic:pic>
                  <pic:nvPicPr>
                    <pic:cNvPr id="0" name="index-272_1.png" descr="index-272_1.png"/>
                    <pic:cNvPicPr/>
                  </pic:nvPicPr>
                  <pic:blipFill>
                    <a:blip r:embed="rId281"/>
                    <a:stretch>
                      <a:fillRect/>
                    </a:stretch>
                  </pic:blipFill>
                  <pic:spPr>
                    <a:xfrm>
                      <a:off x="0" y="0"/>
                      <a:ext cx="914400" cy="266700"/>
                    </a:xfrm>
                    <a:prstGeom prst="rect">
                      <a:avLst/>
                    </a:prstGeom>
                  </pic:spPr>
                </pic:pic>
              </a:graphicData>
            </a:graphic>
          </wp:anchor>
        </w:drawing>
      </w:r>
      <w:bookmarkEnd w:id="386"/>
    </w:p>
    <w:p>
      <w:pPr>
        <w:pStyle w:val="Normal"/>
      </w:pPr>
      <w:r>
        <w:t xml:space="preserve">192.168.1.2 as its </w:t>
      </w:r>
      <w:hyperlink w:anchor="page_679">
        <w:r>
          <w:rPr>
            <w:rStyle w:val="Text2"/>
          </w:rPr>
          <w:t>DNS</w:t>
        </w:r>
      </w:hyperlink>
      <w:r>
        <w:t xml:space="preserve"> servers.</w:t>
      </w:r>
    </w:p>
    <w:p>
      <w:pPr>
        <w:pStyle w:val="Normal"/>
      </w:pPr>
      <w:r>
        <w:t>You also may need to edit /etc/default/isc-dhcp-server to specify the interfaces dhcpd should listen to.</w:t>
      </w:r>
    </w:p>
    <w:p>
      <w:pPr>
        <w:pStyle w:val="Normal"/>
      </w:pPr>
      <w:r>
        <w:t>In the example below, eth4 is used, but you should replace this with the appropriate interface for your system. The name of the network interface can vary depending on your setup. For instance, it could be eth0, ens33, or any other name depending on the device you’re using.</w:t>
      </w:r>
    </w:p>
    <w:p>
      <w:pPr>
        <w:pStyle w:val="Normal"/>
      </w:pPr>
      <w:r>
        <w:t>INTERFACESv4</w:t>
        <w:t>=</w:t>
        <w:t>"eth4"</w:t>
      </w:r>
    </w:p>
    <w:p>
      <w:pPr>
        <w:pStyle w:val="Para 17"/>
      </w:pPr>
      <w:r>
        <w:t/>
      </w:r>
    </w:p>
    <w:p>
      <w:pPr>
        <w:pStyle w:val="Normal"/>
      </w:pPr>
      <w:r>
        <w:t>After changing the config files you need to restart the dhcpd service:</w:t>
      </w:r>
    </w:p>
    <w:p>
      <w:pPr>
        <w:pStyle w:val="Normal"/>
      </w:pPr>
      <w:r>
        <w:t>sudo systemctl restart isc</w:t>
        <w:t>-</w:t>
        <w:t>dhcp</w:t>
        <w:t>-</w:t>
        <w:t>server</w:t>
        <w:t>.</w:t>
        <w:t>service</w:t>
      </w:r>
    </w:p>
    <w:p>
      <w:pPr>
        <w:pStyle w:val="Para 17"/>
      </w:pPr>
      <w:r>
        <w:t/>
      </w:r>
    </w:p>
    <w:p>
      <w:pPr>
        <w:pStyle w:val="Para 01"/>
      </w:pPr>
      <w:r>
        <w:t>Further reading</w:t>
      </w:r>
    </w:p>
    <w:p>
      <w:pPr>
        <w:pStyle w:val="Para 17"/>
      </w:pPr>
      <w:r>
        <w:t/>
      </w:r>
    </w:p>
    <w:p>
      <w:pPr>
        <w:pStyle w:val="Para 04"/>
      </w:pPr>
      <w:r>
        <w:t xml:space="preserve">• For more </w:t>
      </w:r>
      <w:hyperlink w:anchor="page_272">
        <w:r>
          <w:rPr>
            <w:rStyle w:val="Text9"/>
          </w:rPr>
          <w:t>203</w:t>
        </w:r>
      </w:hyperlink>
      <w:r>
        <w:t xml:space="preserve"> /etc/dhcp/dhcpd.conf options see the </w:t>
      </w:r>
      <w:hyperlink r:id="rId1205">
        <w:r>
          <w:rPr>
            <w:rStyle w:val="Text2"/>
          </w:rPr>
          <w:t>dhcpd.conf(5)</w:t>
        </w:r>
      </w:hyperlink>
      <w:r>
        <w:t xml:space="preserve"> manual page</w:t>
      </w:r>
    </w:p>
    <w:p>
      <w:pPr>
        <w:pStyle w:val="Para 13"/>
      </w:pPr>
      <w:r>
        <w:rPr>
          <w:rStyle w:val="Text7"/>
        </w:rPr>
        <w:t xml:space="preserve">• </w:t>
      </w:r>
      <w:hyperlink r:id="rId1206">
        <w:r>
          <w:rPr>
            <w:rStyle w:val="Text10"/>
          </w:rPr>
          <w:t>204</w:t>
        </w:r>
      </w:hyperlink>
      <w:hyperlink r:id="rId1206">
        <w:r>
          <w:t xml:space="preserve"> ISC dhcp-server</w:t>
        </w:r>
      </w:hyperlink>
    </w:p>
    <w:p>
      <w:pPr>
        <w:pStyle w:val="Para 17"/>
      </w:pPr>
      <w:r>
        <w:t/>
      </w:r>
    </w:p>
    <w:p>
      <w:pPr>
        <w:pStyle w:val="Para 01"/>
      </w:pPr>
      <w:r>
        <w:t>Time synchronization</w:t>
      </w:r>
    </w:p>
    <w:p>
      <w:pPr>
        <w:pStyle w:val="Para 17"/>
      </w:pPr>
      <w:r>
        <w:t/>
      </w:r>
    </w:p>
    <w:p>
      <w:pPr>
        <w:pStyle w:val="Normal"/>
      </w:pPr>
      <w:r>
        <w:t>The Network Time Protocol (NTP) synchronizes time over a network. Ubuntu uses chrony by default to handle this. However, users can install and use timedatectl/timesyncd instead if preferred.</w:t>
      </w:r>
    </w:p>
    <w:p>
      <w:pPr>
        <w:pStyle w:val="Para 17"/>
      </w:pPr>
      <w:r>
        <w:t/>
      </w:r>
    </w:p>
    <w:p>
      <w:pPr>
        <w:pStyle w:val="Para 01"/>
      </w:pPr>
      <w:r>
        <w:t>Synchronize time using chrony</w:t>
      </w:r>
    </w:p>
    <w:p>
      <w:pPr>
        <w:pStyle w:val="Para 17"/>
      </w:pPr>
      <w:r>
        <w:t/>
      </w:r>
    </w:p>
    <w:p>
      <w:pPr>
        <w:pStyle w:val="Normal"/>
      </w:pPr>
      <w:r>
        <w:t>Ubuntu uses chrony for synchronizing time, which is installed by default as of Ubuntu 25.10.</w:t>
      </w:r>
    </w:p>
    <w:p>
      <w:pPr>
        <w:pStyle w:val="Normal"/>
      </w:pPr>
      <w:r>
        <w:t xml:space="preserve">You can optionally use timedatectl/timesyncd to </w:t>
      </w:r>
      <w:hyperlink w:anchor="page_276">
        <w:r>
          <w:rPr>
            <w:rStyle w:val="Text2"/>
          </w:rPr>
          <w:t>synchronize time using systemd</w:t>
        </w:r>
      </w:hyperlink>
      <w:r>
        <w:t xml:space="preserve"> (page 275).</w:t>
      </w:r>
    </w:p>
    <w:p>
      <w:pPr>
        <w:pStyle w:val="Para 17"/>
      </w:pPr>
      <w:r>
        <w:t/>
      </w:r>
    </w:p>
    <w:p>
      <w:pPr>
        <w:pStyle w:val="Para 01"/>
      </w:pPr>
      <w:r>
        <w:t>Check status of chrony client</w:t>
      </w:r>
    </w:p>
    <w:p>
      <w:pPr>
        <w:pStyle w:val="Para 17"/>
      </w:pPr>
      <w:r>
        <w:t/>
      </w:r>
    </w:p>
    <w:p>
      <w:pPr>
        <w:pStyle w:val="Normal"/>
      </w:pPr>
      <w:r>
        <w:t>The current status of time synchronization can be checked with the timedatectl status com-mand, which is available via systemd and will produce output like this:</w:t>
      </w:r>
    </w:p>
    <w:p>
      <w:pPr>
        <w:pStyle w:val="Para 15"/>
      </w:pPr>
      <w:r>
        <w:t>Local time: Mo 2025-06-16 15:21:46 CEST</w:t>
      </w:r>
    </w:p>
    <w:p>
      <w:pPr>
        <w:pStyle w:val="Para 11"/>
      </w:pPr>
      <w:r>
        <w:t>Universal time: Mo 2025-06-16 13:21:46 UTC</w:t>
      </w:r>
    </w:p>
    <w:p>
      <w:pPr>
        <w:pStyle w:val="Para 15"/>
      </w:pPr>
      <w:r>
        <w:t>RTC time: Mo 2025-06-16 13:21:46</w:t>
      </w:r>
    </w:p>
    <w:p>
      <w:pPr>
        <w:pStyle w:val="Para 15"/>
      </w:pPr>
      <w:r>
        <w:t>Time zone: Europe/Berlin (CEST, +0200)</w:t>
      </w:r>
    </w:p>
    <w:p>
      <w:pPr>
        <w:pStyle w:val="Normal"/>
      </w:pPr>
      <w:r>
        <w:t>System clock synchronized: yes</w:t>
      </w:r>
    </w:p>
    <w:p>
      <w:pPr>
        <w:pStyle w:val="Para 12"/>
      </w:pPr>
      <w:r>
        <w:t>NTP service: active</w:t>
      </w:r>
    </w:p>
    <w:p>
      <w:pPr>
        <w:pStyle w:val="Para 11"/>
      </w:pPr>
      <w:r>
        <w:t>RTC in local TZ: no</w:t>
      </w:r>
    </w:p>
    <w:p>
      <w:pPr>
        <w:pStyle w:val="Para 05"/>
      </w:pPr>
      <w:r>
        <w:rPr>
          <w:rStyle w:val="Text5"/>
        </w:rPr>
        <w:t>203</w:t>
      </w:r>
      <w:r>
        <w:rPr>
          <w:rStyle w:val="Text8"/>
        </w:rPr>
        <w:t xml:space="preserve"> </w:t>
      </w:r>
      <w:r>
        <w:t>https://manpages.ubuntu.com/manpages/resolute/man5/dhcpd.conf.5.html</w:t>
      </w:r>
    </w:p>
    <w:p>
      <w:pPr>
        <w:pStyle w:val="Para 05"/>
      </w:pPr>
      <w:r>
        <w:rPr>
          <w:rStyle w:val="Text5"/>
        </w:rPr>
        <w:t>204</w:t>
      </w:r>
      <w:r>
        <w:rPr>
          <w:rStyle w:val="Text8"/>
        </w:rPr>
        <w:t xml:space="preserve"> </w:t>
      </w:r>
      <w:r>
        <w:t>https://www.isc.org/dhcp/</w:t>
      </w:r>
    </w:p>
    <w:p>
      <w:bookmarkStart w:id="387" w:name="page_2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8"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282"/>
                    <a:stretch>
                      <a:fillRect/>
                    </a:stretch>
                  </pic:blipFill>
                  <pic:spPr>
                    <a:xfrm>
                      <a:off x="0" y="0"/>
                      <a:ext cx="914400" cy="266700"/>
                    </a:xfrm>
                    <a:prstGeom prst="rect">
                      <a:avLst/>
                    </a:prstGeom>
                  </pic:spPr>
                </pic:pic>
              </a:graphicData>
            </a:graphic>
          </wp:anchor>
        </w:drawing>
      </w:r>
      <w:bookmarkEnd w:id="387"/>
    </w:p>
    <w:p>
      <w:pPr>
        <w:pStyle w:val="Normal"/>
      </w:pPr>
      <w:r>
        <w:t>For more details on time accuracy, chrony can be queried directly, using the chronyc -N tracking command, producing output like this:</w:t>
      </w:r>
    </w:p>
    <w:p>
      <w:pPr>
        <w:pStyle w:val="Normal"/>
      </w:pPr>
      <w:r>
        <w:t>Reference ID</w:t>
        <w:t xml:space="preserve"> </w:t>
        <w:t>: B97DBE7B (2.ntp.ubuntu.com)</w:t>
        <w:t xml:space="preserve"> </w:t>
        <w:t>Stratum</w:t>
        <w:t xml:space="preserve"> </w:t>
        <w:t>: 3</w:t>
      </w:r>
    </w:p>
    <w:p>
      <w:pPr>
        <w:pStyle w:val="Normal"/>
      </w:pPr>
      <w:r>
        <w:t>Ref time (UTC)</w:t>
        <w:t xml:space="preserve"> </w:t>
        <w:t>: Mon Jun 16 13:06:04 2025</w:t>
        <w:t xml:space="preserve"> </w:t>
        <w:t>System time</w:t>
        <w:t xml:space="preserve"> </w:t>
        <w:t>: 0.000000004 seconds slow of NTP time</w:t>
        <w:t xml:space="preserve"> </w:t>
        <w:t>Last offset</w:t>
        <w:t xml:space="preserve"> </w:t>
        <w:t>: +0.001758954 seconds</w:t>
      </w:r>
    </w:p>
    <w:p>
      <w:pPr>
        <w:pStyle w:val="Normal"/>
      </w:pPr>
      <w:r>
        <w:t>RMS offset</w:t>
        <w:t xml:space="preserve"> </w:t>
        <w:t>: 0.017604901 seconds</w:t>
      </w:r>
    </w:p>
    <w:p>
      <w:pPr>
        <w:pStyle w:val="Normal"/>
      </w:pPr>
      <w:r>
        <w:t>Frequency</w:t>
        <w:t xml:space="preserve"> </w:t>
        <w:t>: 3.889 ppm slow</w:t>
      </w:r>
    </w:p>
    <w:p>
      <w:pPr>
        <w:pStyle w:val="Normal"/>
      </w:pPr>
      <w:r>
        <w:t>Residual freq</w:t>
        <w:t xml:space="preserve"> </w:t>
        <w:t>: +0.202 ppm</w:t>
      </w:r>
    </w:p>
    <w:p>
      <w:pPr>
        <w:pStyle w:val="Normal"/>
      </w:pPr>
      <w:r>
        <w:t>Skew</w:t>
        <w:t xml:space="preserve"> </w:t>
        <w:t>: 1.458 ppm</w:t>
      </w:r>
    </w:p>
    <w:p>
      <w:pPr>
        <w:pStyle w:val="Normal"/>
      </w:pPr>
      <w:r>
        <w:t>Root delay</w:t>
        <w:t xml:space="preserve"> </w:t>
        <w:t>: 0.022837413 seconds</w:t>
      </w:r>
    </w:p>
    <w:p>
      <w:pPr>
        <w:pStyle w:val="Normal"/>
      </w:pPr>
      <w:r>
        <w:t>Root dispersion : 0.003050051 seconds</w:t>
      </w:r>
    </w:p>
    <w:p>
      <w:pPr>
        <w:pStyle w:val="Normal"/>
      </w:pPr>
      <w:r>
        <w:t>Update interval : 1032.5 seconds</w:t>
      </w:r>
    </w:p>
    <w:p>
      <w:pPr>
        <w:pStyle w:val="Normal"/>
      </w:pPr>
      <w:r>
        <w:t>Leap status</w:t>
        <w:t xml:space="preserve"> </w:t>
        <w:t>: Normal</w:t>
      </w:r>
    </w:p>
    <w:p>
      <w:pPr>
        <w:pStyle w:val="Para 17"/>
      </w:pPr>
      <w:r>
        <w:t/>
      </w:r>
    </w:p>
    <w:p>
      <w:pPr>
        <w:pStyle w:val="Para 01"/>
      </w:pPr>
      <w:r>
        <w:t>Network Time Security (NTS)</w:t>
      </w:r>
    </w:p>
    <w:p>
      <w:pPr>
        <w:pStyle w:val="Para 17"/>
      </w:pPr>
      <w:r>
        <w:t/>
      </w:r>
    </w:p>
    <w:p>
      <w:pPr>
        <w:pStyle w:val="Normal"/>
      </w:pPr>
      <w:r>
        <w:t>chrony supports “Network Time Security” (NTS) and enables it by default, using the Ubuntu NTS pools. This is done by specifying a server or pool as usual. Afterwards, options can be listed and it is there that nts can be added. For example:</w:t>
      </w:r>
    </w:p>
    <w:p>
      <w:pPr>
        <w:pStyle w:val="Normal"/>
      </w:pPr>
      <w:r>
        <w:t>server &lt;server-fqdn-or-IP&gt; iburst nts</w:t>
      </w:r>
    </w:p>
    <w:p>
      <w:pPr>
        <w:pStyle w:val="Normal"/>
      </w:pPr>
      <w:r>
        <w:t># or as concrete example</w:t>
      </w:r>
    </w:p>
    <w:p>
      <w:pPr>
        <w:pStyle w:val="Normal"/>
      </w:pPr>
      <w:r>
        <w:t>pool 1.ntp.ubuntu.com iburst maxsources 1 nts prefer</w:t>
      </w:r>
    </w:p>
    <w:p>
      <w:pPr>
        <w:pStyle w:val="Para 17"/>
      </w:pPr>
      <w:r>
        <w:t/>
      </w:r>
    </w:p>
    <w:p>
      <w:pPr>
        <w:pStyle w:val="Normal"/>
      </w:pPr>
      <w:r>
        <w:t xml:space="preserve">For </w:t>
      </w:r>
      <w:r>
        <w:rPr>
          <w:rStyle w:val="Text0"/>
        </w:rPr>
        <w:t>validation of NTS enablement</w:t>
      </w:r>
      <w:r>
        <w:t>, one can list the time sources in use by executing the chronyc -N sources command, to find the timeserver in use, as indicated by the ^* symbol in the first column. Then check the authdata of that connection using sudo chronyc -N authdata. If the client was able to successfully establish a NTS connection, it will show the Mode: NTS field and non-zero values for KeyID, Type and KLen:</w:t>
      </w:r>
    </w:p>
    <w:p>
      <w:pPr>
        <w:pStyle w:val="Normal"/>
      </w:pPr>
      <w:r>
        <w:t>$ sudo chronyc -N authdata</w:t>
      </w:r>
    </w:p>
    <w:p>
      <w:pPr>
        <w:pStyle w:val="Normal"/>
      </w:pPr>
      <w:r>
        <w:t>Name/IP address</w:t>
        <w:t xml:space="preserve"> </w:t>
        <w:t>Mode KeyID Type KLen Last Atmp</w:t>
        <w:t xml:space="preserve"> </w:t>
        <w:t>NAK Cook CLen</w:t>
        <w:t xml:space="preserve"> </w:t>
        <w:t>=========================================================================</w:t>
        <w:t xml:space="preserve"> </w:t>
        <w:t>1.ntp.ubuntu.com</w:t>
        <w:t xml:space="preserve"> </w:t>
        <w:t>NTS</w:t>
        <w:t xml:space="preserve"> </w:t>
        <w:t>6</w:t>
        <w:t xml:space="preserve"> </w:t>
        <w:t>30</w:t>
        <w:t xml:space="preserve"> </w:t>
        <w:t>128</w:t>
        <w:t xml:space="preserve"> </w:t>
        <w:t>14d</w:t>
        <w:t xml:space="preserve"> </w:t>
        <w:t>0</w:t>
        <w:t xml:space="preserve"> </w:t>
        <w:t>0</w:t>
        <w:t xml:space="preserve"> </w:t>
        <w:t>8</w:t>
        <w:t xml:space="preserve"> </w:t>
        <w:t>64</w:t>
        <w:t xml:space="preserve"> </w:t>
        <w:t>2.ntp.ubuntu.com</w:t>
        <w:t xml:space="preserve"> </w:t>
        <w:t>NTS</w:t>
        <w:t xml:space="preserve"> </w:t>
        <w:t>6</w:t>
        <w:t xml:space="preserve"> </w:t>
        <w:t>30</w:t>
        <w:t xml:space="preserve"> </w:t>
        <w:t>128</w:t>
        <w:t xml:space="preserve"> </w:t>
        <w:t>14d</w:t>
        <w:t xml:space="preserve"> </w:t>
        <w:t>0</w:t>
        <w:t xml:space="preserve"> </w:t>
        <w:t>0</w:t>
        <w:t xml:space="preserve"> </w:t>
        <w:t>8</w:t>
        <w:t xml:space="preserve"> </w:t>
        <w:t>64</w:t>
        <w:t xml:space="preserve"> </w:t>
        <w:t>3.ntp.ubuntu.com</w:t>
        <w:t xml:space="preserve"> </w:t>
        <w:t>NTS</w:t>
        <w:t xml:space="preserve"> </w:t>
        <w:t>1</w:t>
        <w:t xml:space="preserve"> </w:t>
        <w:t>30</w:t>
        <w:t xml:space="preserve"> </w:t>
        <w:t>128</w:t>
        <w:t xml:space="preserve"> </w:t>
        <w:t>27d</w:t>
        <w:t xml:space="preserve"> </w:t>
        <w:t>0</w:t>
        <w:t xml:space="preserve"> </w:t>
        <w:t>0</w:t>
        <w:t xml:space="preserve"> </w:t>
        <w:t>8</w:t>
        <w:t xml:space="preserve"> </w:t>
        <w:t>64</w:t>
        <w:t xml:space="preserve"> </w:t>
        <w:t>4.ntp.ubuntu.com</w:t>
        <w:t xml:space="preserve"> </w:t>
        <w:t>NTS</w:t>
        <w:t xml:space="preserve"> </w:t>
        <w:t>2</w:t>
        <w:t xml:space="preserve"> </w:t>
        <w:t>30</w:t>
        <w:t xml:space="preserve"> </w:t>
        <w:t>128</w:t>
        <w:t xml:space="preserve"> </w:t>
        <w:t>20d</w:t>
        <w:t xml:space="preserve"> </w:t>
        <w:t>0</w:t>
        <w:t xml:space="preserve"> </w:t>
        <w:t>0</w:t>
        <w:t xml:space="preserve"> </w:t>
        <w:t>5</w:t>
        <w:t xml:space="preserve"> </w:t>
        <w:t>64</w:t>
        <w:t xml:space="preserve"> </w:t>
        <w:t>ntp-bootstrap.ubuntu.com</w:t>
        <w:t xml:space="preserve"> </w:t>
        <w:t>NTS</w:t>
        <w:t xml:space="preserve"> </w:t>
        <w:t>3</w:t>
        <w:t xml:space="preserve"> </w:t>
        <w:t>30</w:t>
        <w:t xml:space="preserve"> </w:t>
        <w:t>128</w:t>
        <w:t xml:space="preserve"> </w:t>
        <w:t>7d</w:t>
        <w:t xml:space="preserve"> </w:t>
        <w:t>0</w:t>
        <w:t xml:space="preserve"> </w:t>
        <w:t>0</w:t>
        <w:t xml:space="preserve"> </w:t>
        <w:t>8</w:t>
        <w:t xml:space="preserve"> </w:t>
        <w:t>64</w:t>
      </w:r>
    </w:p>
    <w:p>
      <w:pPr>
        <w:pStyle w:val="Para 17"/>
      </w:pPr>
      <w:r>
        <w:t/>
      </w:r>
    </w:p>
    <w:p>
      <w:pPr>
        <w:pStyle w:val="Para 01"/>
      </w:pPr>
      <w:r>
        <w:t>NTS related constraints</w:t>
      </w:r>
    </w:p>
    <w:p>
      <w:pPr>
        <w:pStyle w:val="Para 17"/>
      </w:pPr>
      <w:r>
        <w:t/>
      </w:r>
    </w:p>
    <w:p>
      <w:pPr>
        <w:pStyle w:val="Normal"/>
      </w:pPr>
      <w:r>
        <w:rPr>
          <w:rStyle w:val="Text0"/>
        </w:rPr>
        <w:t>Key Exchange port:</w:t>
      </w:r>
      <w:r>
        <w:t xml:space="preserve"> NTS/KE uses a separate port (4460/tcp)** to negotiate security param-eters, which are then used via the normal NTP port (123/udp). This is a new deployment, running on different IP addresses than the traditional Ubuntu NTP pool.</w:t>
      </w:r>
    </w:p>
    <w:p>
      <w:bookmarkStart w:id="388" w:name="calibre_pb_57"/>
      <w:pPr>
        <w:pStyle w:val="0 Block"/>
      </w:pPr>
      <w:bookmarkEnd w:id="388"/>
    </w:p>
    <w:p>
      <w:bookmarkStart w:id="389" w:name="Top_of_index_split_058_html"/>
      <w:bookmarkStart w:id="390" w:name="page_27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79" name="index-274_1.png" descr="index-274_1.png"/>
            <wp:cNvGraphicFramePr>
              <a:graphicFrameLocks noChangeAspect="1"/>
            </wp:cNvGraphicFramePr>
            <a:graphic>
              <a:graphicData uri="http://schemas.openxmlformats.org/drawingml/2006/picture">
                <pic:pic>
                  <pic:nvPicPr>
                    <pic:cNvPr id="0" name="index-274_1.png" descr="index-274_1.png"/>
                    <pic:cNvPicPr/>
                  </pic:nvPicPr>
                  <pic:blipFill>
                    <a:blip r:embed="rId283"/>
                    <a:stretch>
                      <a:fillRect/>
                    </a:stretch>
                  </pic:blipFill>
                  <pic:spPr>
                    <a:xfrm>
                      <a:off x="0" y="0"/>
                      <a:ext cx="914400" cy="266700"/>
                    </a:xfrm>
                    <a:prstGeom prst="rect">
                      <a:avLst/>
                    </a:prstGeom>
                  </pic:spPr>
                </pic:pic>
              </a:graphicData>
            </a:graphic>
          </wp:anchor>
        </w:drawing>
      </w:r>
      <w:bookmarkEnd w:id="389"/>
      <w:bookmarkEnd w:id="390"/>
    </w:p>
    <w:p>
      <w:pPr>
        <w:pStyle w:val="Para 08"/>
      </w:pPr>
      <w:r>
        <w:t>Warning:</w:t>
      </w:r>
    </w:p>
    <w:p>
      <w:pPr>
        <w:pStyle w:val="Para 17"/>
      </w:pPr>
      <w:r>
        <w:t/>
      </w:r>
    </w:p>
    <w:p>
      <w:pPr>
        <w:pStyle w:val="Para 03"/>
      </w:pPr>
      <w:r>
        <w:t>If the network does not allow access to the Ubuntu NTS servers and required ports, with</w:t>
      </w:r>
    </w:p>
    <w:p>
      <w:pPr>
        <w:pStyle w:val="Para 03"/>
      </w:pPr>
      <w:r>
        <w:t>the default configuration is in place, chrony will not be able to adjust the system’s clock.</w:t>
      </w:r>
    </w:p>
    <w:p>
      <w:pPr>
        <w:pStyle w:val="Para 03"/>
      </w:pPr>
      <w:r>
        <w:t>To revert to NTP, edit the configuration file in /etc/chrony/sources.d/ubuntu-ntp-pools.</w:t>
      </w:r>
    </w:p>
    <w:p>
      <w:pPr>
        <w:pStyle w:val="Para 03"/>
      </w:pPr>
      <w:r>
        <w:t>sources and revert to using the listed NTP servers in favor of the NTS ones.</w:t>
      </w:r>
    </w:p>
    <w:p>
      <w:pPr>
        <w:pStyle w:val="Para 17"/>
      </w:pPr>
      <w:r>
        <w:t/>
      </w:r>
    </w:p>
    <w:p>
      <w:pPr>
        <w:pStyle w:val="Normal"/>
      </w:pPr>
      <w:r>
        <w:rPr>
          <w:rStyle w:val="Text0"/>
        </w:rPr>
        <w:t>Bad Clocks and secure time syncing:</w:t>
      </w:r>
      <w:r>
        <w:t xml:space="preserve"> NTS is based on TLS, and TLS needs a reasonably cor-rect clock. Due to that, an NTS-based sync might fail if the clock is too far off. On hardware affected by this problem, one can consider using the nocerttimecheck option, which allows to set the number of times that the time can be synced without checking validation and ex-piration.</w:t>
      </w:r>
    </w:p>
    <w:p>
      <w:pPr>
        <w:pStyle w:val="Para 17"/>
      </w:pPr>
      <w:r>
        <w:t/>
      </w:r>
    </w:p>
    <w:p>
      <w:pPr>
        <w:pStyle w:val="Para 08"/>
      </w:pPr>
      <w:r>
        <w:t>Note:</w:t>
      </w:r>
    </w:p>
    <w:p>
      <w:pPr>
        <w:pStyle w:val="Para 03"/>
      </w:pPr>
      <w:r>
        <w:t>A new CA is installed in /etc/chrony/nts-bootstrap-ubuntu.crt that is used specifically</w:t>
      </w:r>
    </w:p>
    <w:p>
      <w:pPr>
        <w:pStyle w:val="Para 03"/>
      </w:pPr>
      <w:r>
        <w:t>for the Ubuntu NTS bootstrap server, needed for when the clock is too far off. This is</w:t>
      </w:r>
    </w:p>
    <w:p>
      <w:pPr>
        <w:pStyle w:val="Para 03"/>
      </w:pPr>
      <w:r>
        <w:t>added to certificate set ID “1”, and defined via /etc/chrony/conf.d/ubuntu-nts.conf.</w:t>
      </w:r>
    </w:p>
    <w:p>
      <w:pPr>
        <w:pStyle w:val="Para 17"/>
      </w:pPr>
      <w:r>
        <w:t/>
      </w:r>
    </w:p>
    <w:p>
      <w:pPr>
        <w:pStyle w:val="Para 01"/>
      </w:pPr>
      <w:r>
        <w:t>Configure chrony</w:t>
      </w:r>
    </w:p>
    <w:p>
      <w:pPr>
        <w:pStyle w:val="Para 17"/>
      </w:pPr>
      <w:r>
        <w:t/>
      </w:r>
    </w:p>
    <w:p>
      <w:pPr>
        <w:pStyle w:val="Normal"/>
      </w:pPr>
      <w:r>
        <w:t>An admin can control the timezone and how the system clock should relate to the hwclock using the common timedatectl [set-timezone/set-local-rtc] commands, provided by sys-temd. For more specific actions, like adding of time-sources, the chronyc command can be used. See man chronyc for more details.</w:t>
      </w:r>
    </w:p>
    <w:p>
      <w:pPr>
        <w:pStyle w:val="Normal"/>
      </w:pPr>
      <w:r>
        <w:t>One can edit configuration in /etc/chrony/sources.d/ to add/remove server lines. By default these servers are configured:</w:t>
      </w:r>
    </w:p>
    <w:p>
      <w:pPr>
        <w:pStyle w:val="Normal"/>
      </w:pPr>
      <w:r>
        <w:t># Use NTS by default</w:t>
      </w:r>
    </w:p>
    <w:p>
      <w:pPr>
        <w:pStyle w:val="Normal"/>
      </w:pPr>
      <w:r>
        <w:t># NTS uses an additional port to negotiate security: 4460/tcp</w:t>
        <w:t xml:space="preserve"> </w:t>
        <w:t># The normal NTP port remains in use: 123/udp</w:t>
      </w:r>
    </w:p>
    <w:p>
      <w:pPr>
        <w:pStyle w:val="Normal"/>
      </w:pPr>
      <w:r>
        <w:t>pool 1.ntp.ubuntu.com iburst maxsources 1 nts prefer</w:t>
      </w:r>
    </w:p>
    <w:p>
      <w:pPr>
        <w:pStyle w:val="Normal"/>
      </w:pPr>
      <w:r>
        <w:t>pool 2.ntp.ubuntu.com iburst maxsources 1 nts prefer</w:t>
      </w:r>
    </w:p>
    <w:p>
      <w:pPr>
        <w:pStyle w:val="Normal"/>
      </w:pPr>
      <w:r>
        <w:t>pool 3.ntp.ubuntu.com iburst maxsources 1 nts prefer</w:t>
      </w:r>
    </w:p>
    <w:p>
      <w:pPr>
        <w:pStyle w:val="Normal"/>
      </w:pPr>
      <w:r>
        <w:t>pool 4.ntp.ubuntu.com iburst maxsources 1 nts prefer</w:t>
      </w:r>
    </w:p>
    <w:p>
      <w:pPr>
        <w:pStyle w:val="Normal"/>
      </w:pPr>
      <w:r>
        <w:t># The bootstrap server is needed by systems without a hardware clock, or a very</w:t>
        <w:t xml:space="preserve"> </w:t>
        <w:t># large initial clock offset. The specified certificate set is defined in</w:t>
        <w:t xml:space="preserve"> </w:t>
        <w:t># /etc/chrony/conf.d/ubuntu-nts.conf.</w:t>
      </w:r>
    </w:p>
    <w:p>
      <w:pPr>
        <w:pStyle w:val="Normal"/>
      </w:pPr>
      <w:r>
        <w:t>pool ntp-bootstrap.ubuntu.com iburst maxsources 1 nts certset 1</w:t>
      </w:r>
    </w:p>
    <w:p>
      <w:pPr>
        <w:pStyle w:val="Para 17"/>
      </w:pPr>
      <w:r>
        <w:t/>
      </w:r>
    </w:p>
    <w:p>
      <w:pPr>
        <w:pStyle w:val="Normal"/>
      </w:pPr>
      <w:r>
        <w:t>After adding or removing sources, they can be reloaded using sudo chrony reload sources.</w:t>
      </w:r>
    </w:p>
    <w:p>
      <w:pPr>
        <w:pStyle w:val="Normal"/>
      </w:pPr>
      <w:r>
        <w:t>Of the pool, 2.ubuntu.pool.ntp.org and ntp.ubuntu.com also support IPv6, if needed. If you need to force IPv6, there is also ipv6.ntp.ubuntu.com which is not configured by default.</w:t>
      </w:r>
    </w:p>
    <w:p>
      <w:bookmarkStart w:id="391" w:name="calibre_pb_58"/>
      <w:pPr>
        <w:pStyle w:val="0 Block"/>
      </w:pPr>
      <w:bookmarkEnd w:id="391"/>
    </w:p>
    <w:p>
      <w:bookmarkStart w:id="392" w:name="Top_of_index_split_059_html"/>
      <w:bookmarkStart w:id="393" w:name="page_27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0" name="index-275_1.png" descr="index-275_1.png"/>
            <wp:cNvGraphicFramePr>
              <a:graphicFrameLocks noChangeAspect="1"/>
            </wp:cNvGraphicFramePr>
            <a:graphic>
              <a:graphicData uri="http://schemas.openxmlformats.org/drawingml/2006/picture">
                <pic:pic>
                  <pic:nvPicPr>
                    <pic:cNvPr id="0" name="index-275_1.png" descr="index-275_1.png"/>
                    <pic:cNvPicPr/>
                  </pic:nvPicPr>
                  <pic:blipFill>
                    <a:blip r:embed="rId284"/>
                    <a:stretch>
                      <a:fillRect/>
                    </a:stretch>
                  </pic:blipFill>
                  <pic:spPr>
                    <a:xfrm>
                      <a:off x="0" y="0"/>
                      <a:ext cx="914400" cy="266700"/>
                    </a:xfrm>
                    <a:prstGeom prst="rect">
                      <a:avLst/>
                    </a:prstGeom>
                  </pic:spPr>
                </pic:pic>
              </a:graphicData>
            </a:graphic>
          </wp:anchor>
        </w:drawing>
      </w:r>
      <w:bookmarkEnd w:id="392"/>
      <w:bookmarkEnd w:id="393"/>
    </w:p>
    <w:p>
      <w:pPr>
        <w:pStyle w:val="Para 01"/>
      </w:pPr>
      <w:r>
        <w:t>Time sources provided by DHCP (option 42)</w:t>
      </w:r>
    </w:p>
    <w:p>
      <w:pPr>
        <w:pStyle w:val="Para 17"/>
      </w:pPr>
      <w:r>
        <w:t/>
      </w:r>
    </w:p>
    <w:p>
      <w:pPr>
        <w:pStyle w:val="Normal"/>
      </w:pPr>
      <w:r>
        <w:t>chrony consumes time sources provided by DHCP (option 42). Those could be traditional, non-authenticated NTP sources. Should one want to avoid this behavior, overruling the choices made by a local DHCP administrator, it can be disabled in /etc/chrony/chrony.conf. To do that one would comment out the corresponding setting:</w:t>
      </w:r>
    </w:p>
    <w:p>
      <w:pPr>
        <w:pStyle w:val="Para 10"/>
      </w:pPr>
      <w:r>
        <w:t># Use time sources from DHCP.</w:t>
      </w:r>
    </w:p>
    <w:p>
      <w:pPr>
        <w:pStyle w:val="Para 10"/>
      </w:pPr>
      <w:r>
        <w:t># sourcedir /run/chrony-dhcp</w:t>
      </w:r>
    </w:p>
    <w:p>
      <w:pPr>
        <w:pStyle w:val="Para 17"/>
      </w:pPr>
      <w:r>
        <w:t/>
      </w:r>
    </w:p>
    <w:p>
      <w:pPr>
        <w:pStyle w:val="Para 01"/>
      </w:pPr>
      <w:r>
        <w:t>Chrony time-daemon</w:t>
      </w:r>
    </w:p>
    <w:p>
      <w:pPr>
        <w:pStyle w:val="Para 17"/>
      </w:pPr>
      <w:r>
        <w:t/>
      </w:r>
    </w:p>
    <w:p>
      <w:pPr>
        <w:pStyle w:val="Normal"/>
      </w:pPr>
      <w:r>
        <w:t>chronyd itself is a normal service, so you can check its status in more detail using:</w:t>
      </w:r>
    </w:p>
    <w:p>
      <w:pPr>
        <w:pStyle w:val="Normal"/>
      </w:pPr>
      <w:r>
        <w:t>systemctl status chrony</w:t>
        <w:t>.</w:t>
        <w:t>service</w:t>
      </w:r>
    </w:p>
    <w:p>
      <w:pPr>
        <w:pStyle w:val="Para 17"/>
      </w:pPr>
      <w:r>
        <w:t/>
      </w:r>
    </w:p>
    <w:p>
      <w:pPr>
        <w:pStyle w:val="Normal"/>
      </w:pPr>
      <w:r>
        <w:t>The output produced will look something like this:</w:t>
      </w:r>
    </w:p>
    <w:p>
      <w:pPr>
        <w:pStyle w:val="Normal"/>
      </w:pPr>
      <w:r>
        <w:t>� chrony.service - chrony, an NTP client/server</w:t>
      </w:r>
    </w:p>
    <w:p>
      <w:pPr>
        <w:pStyle w:val="Para 17"/>
      </w:pPr>
      <w:r>
        <w:t>Loaded: loaded (/usr/lib/systemd/system/chrony.service; enabled; preset: enabled)</w:t>
        <w:t xml:space="preserve"> </w:t>
        <w:t>Active: active (running) since Mon 2025-06-02 11:27:09 CEST; 2 weeks 0 days ago</w:t>
      </w:r>
    </w:p>
    <w:p>
      <w:pPr>
        <w:pStyle w:val="Para 06"/>
      </w:pPr>
      <w:r>
        <w:t>Docs: man:chronyd(8)</w:t>
      </w:r>
    </w:p>
    <w:p>
      <w:pPr>
        <w:pStyle w:val="Para 12"/>
      </w:pPr>
      <w:r>
        <w:t>man:chronyc(1)</w:t>
      </w:r>
    </w:p>
    <w:p>
      <w:pPr>
        <w:pStyle w:val="Para 12"/>
      </w:pPr>
      <w:r>
        <w:t>man:chrony.conf(5)</w:t>
      </w:r>
    </w:p>
    <w:p>
      <w:pPr>
        <w:pStyle w:val="Para 02"/>
      </w:pPr>
      <w:r>
        <w:t>Main PID: 36027 (chronyd)</w:t>
      </w:r>
    </w:p>
    <w:p>
      <w:pPr>
        <w:pStyle w:val="Para 06"/>
      </w:pPr>
      <w:r>
        <w:t>Tasks: 2 (limit: 28388)</w:t>
      </w:r>
    </w:p>
    <w:p>
      <w:pPr>
        <w:pStyle w:val="Para 02"/>
      </w:pPr>
      <w:r>
        <w:t>Memory: 5.8M (peak: 6.8M swap: 604.0K swap peak: 4.5M)</w:t>
      </w:r>
    </w:p>
    <w:p>
      <w:pPr>
        <w:pStyle w:val="Para 06"/>
      </w:pPr>
      <w:r>
        <w:t>CPU: 5.038s</w:t>
      </w:r>
    </w:p>
    <w:p>
      <w:pPr>
        <w:pStyle w:val="Para 02"/>
      </w:pPr>
      <w:r>
        <w:t>CGroup: /system.slice/chrony.service</w:t>
      </w:r>
    </w:p>
    <w:p>
      <w:pPr>
        <w:pStyle w:val="Para 12"/>
      </w:pPr>
      <w:r>
        <w:t>├─36027 /usr/sbin/chronyd -F 1</w:t>
      </w:r>
    </w:p>
    <w:p>
      <w:pPr>
        <w:pStyle w:val="Para 12"/>
      </w:pPr>
      <w:r>
        <w:t>└─36028 /usr/sbin/chronyd -F 1</w:t>
      </w:r>
    </w:p>
    <w:p>
      <w:pPr>
        <w:pStyle w:val="Para 17"/>
      </w:pPr>
      <w:r>
        <w:t>Jun 02 11:27:09 questing chronyd[36027]: Using right/UTC timezone to obtain leap</w:t>
      </w:r>
    </w:p>
    <w:p>
      <w:pPr>
        <w:pStyle w:val="Normal"/>
      </w:pPr>
      <w:r>
        <w:t>second data</w:t>
      </w:r>
    </w:p>
    <w:p>
      <w:pPr>
        <w:pStyle w:val="Para 17"/>
      </w:pPr>
      <w:r>
        <w:t>Jun 02 11:27:09 questing chronyd[36027]: Loaded seccomp filter (level 1)</w:t>
        <w:t xml:space="preserve"> </w:t>
        <w:t>Jun 02 11:27:09 questing chronyd[36027]: Added pool 1.ntp.ubuntu.com</w:t>
        <w:t xml:space="preserve"> </w:t>
        <w:t>Jun 02 11:27:09 questing chronyd[36027]: Added pool 2.ntp.ubuntu.com</w:t>
        <w:t xml:space="preserve"> </w:t>
        <w:t>Jun 02 11:27:09 questing chronyd[36027]: Added pool 3.ntp.ubuntu.com</w:t>
        <w:t xml:space="preserve"> </w:t>
        <w:t>Jun 02 11:27:09 questing chronyd[36027]: Added pool 4.ntp.ubuntu.com</w:t>
        <w:t xml:space="preserve"> </w:t>
        <w:t>Jun 02 11:27:09 questing chronyd[36027]: Added pool ntp-bootstrap.ubuntu.com</w:t>
        <w:t xml:space="preserve"> </w:t>
        <w:t>Jun 02 11:27:09 questing systemd[1]: Started chrony.service - chrony, an NTP client/</w:t>
      </w:r>
    </w:p>
    <w:p>
      <w:pPr>
        <w:pStyle w:val="Normal"/>
      </w:pPr>
      <w:r>
        <w:t>server.</w:t>
      </w:r>
    </w:p>
    <w:p>
      <w:pPr>
        <w:pStyle w:val="Para 17"/>
      </w:pPr>
      <w:r>
        <w:t/>
      </w:r>
    </w:p>
    <w:p>
      <w:pPr>
        <w:pStyle w:val="Normal"/>
      </w:pPr>
      <w:r>
        <w:t>Default configuration such as sourcedir, ntsdumpdir or rtcsync is provided in /etc/chrony/ chrony.conf and additional config files can be stored in /etc/chrony/conf.d/. The NTS servers from which to fetch time for chrony are in defined in /etc/chrony/sources.d/ubuntu-</w:t>
      </w:r>
    </w:p>
    <w:p>
      <w:pPr>
        <w:pStyle w:val="Normal"/>
      </w:pPr>
      <w:r>
        <w:t xml:space="preserve">ntp-pools.sources </w:t>
      </w:r>
      <w:hyperlink r:id="rId1207">
        <w:r>
          <w:rPr>
            <w:rStyle w:val="Text9"/>
          </w:rPr>
          <w:t>205</w:t>
        </w:r>
      </w:hyperlink>
      <w:r>
        <w:t xml:space="preserve"> . There are more advanced options documented in the </w:t>
      </w:r>
      <w:hyperlink r:id="rId1207">
        <w:r>
          <w:rPr>
            <w:rStyle w:val="Text2"/>
          </w:rPr>
          <w:t>chrony.conf(5)</w:t>
        </w:r>
      </w:hyperlink>
    </w:p>
    <w:p>
      <w:pPr>
        <w:pStyle w:val="Normal"/>
      </w:pPr>
      <w:r>
        <w:t>manual page. Common use cases are specifying an explicit trusted certificate. After changing any part of the config file you need to restart chrony, as follows:</w:t>
      </w:r>
    </w:p>
    <w:p>
      <w:pPr>
        <w:pStyle w:val="Normal"/>
      </w:pPr>
      <w:r>
        <w:t>sudo systemctl restart chrony.service</w:t>
      </w:r>
    </w:p>
    <w:p>
      <w:pPr>
        <w:pStyle w:val="Para 05"/>
      </w:pPr>
      <w:r>
        <w:rPr>
          <w:rStyle w:val="Text5"/>
        </w:rPr>
        <w:t>205</w:t>
      </w:r>
      <w:r>
        <w:rPr>
          <w:rStyle w:val="Text8"/>
        </w:rPr>
        <w:t xml:space="preserve"> </w:t>
      </w:r>
      <w:r>
        <w:t>https://manpages.ubuntu.com/manpages/resolute/man5/chrony.conf.5.html</w:t>
      </w:r>
      <w:r>
        <w:rPr>
          <w:rStyle w:val="Text8"/>
        </w:rPr>
        <w:t xml:space="preserve"> </w:t>
      </w:r>
      <w:r>
        <w:rPr>
          <w:rStyle w:val="Text11"/>
        </w:rPr>
        <w:t>Next steps</w:t>
      </w:r>
    </w:p>
    <w:p>
      <w:bookmarkStart w:id="394" w:name="page_2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1" name="index-276_1.png" descr="index-276_1.png"/>
            <wp:cNvGraphicFramePr>
              <a:graphicFrameLocks noChangeAspect="1"/>
            </wp:cNvGraphicFramePr>
            <a:graphic>
              <a:graphicData uri="http://schemas.openxmlformats.org/drawingml/2006/picture">
                <pic:pic>
                  <pic:nvPicPr>
                    <pic:cNvPr id="0" name="index-276_1.png" descr="index-276_1.png"/>
                    <pic:cNvPicPr/>
                  </pic:nvPicPr>
                  <pic:blipFill>
                    <a:blip r:embed="rId285"/>
                    <a:stretch>
                      <a:fillRect/>
                    </a:stretch>
                  </pic:blipFill>
                  <pic:spPr>
                    <a:xfrm>
                      <a:off x="0" y="0"/>
                      <a:ext cx="914400" cy="266700"/>
                    </a:xfrm>
                    <a:prstGeom prst="rect">
                      <a:avLst/>
                    </a:prstGeom>
                  </pic:spPr>
                </pic:pic>
              </a:graphicData>
            </a:graphic>
          </wp:anchor>
        </w:drawing>
      </w:r>
      <w:bookmarkEnd w:id="394"/>
    </w:p>
    <w:p>
      <w:pPr>
        <w:pStyle w:val="Para 17"/>
      </w:pPr>
      <w:r>
        <w:t/>
      </w:r>
    </w:p>
    <w:p>
      <w:pPr>
        <w:pStyle w:val="Normal"/>
      </w:pPr>
      <w:r>
        <w:t>If you would now like to also serve the Network Time Protocol via chrony, this guide will walk</w:t>
      </w:r>
    </w:p>
    <w:p>
      <w:pPr>
        <w:pStyle w:val="Para 20"/>
      </w:pPr>
      <w:r>
        <w:rPr>
          <w:rStyle w:val="Text4"/>
        </w:rPr>
        <w:t xml:space="preserve">you through </w:t>
      </w:r>
      <w:hyperlink w:anchor="page_278">
        <w:r>
          <w:t>how to configure your chrony setup</w:t>
        </w:r>
      </w:hyperlink>
      <w:r>
        <w:rPr>
          <w:rStyle w:val="Text4"/>
        </w:rPr>
        <w:t xml:space="preserve"> (page 277).</w:t>
      </w:r>
    </w:p>
    <w:p>
      <w:pPr>
        <w:pStyle w:val="Para 17"/>
      </w:pPr>
      <w:r>
        <w:t/>
      </w:r>
    </w:p>
    <w:p>
      <w:pPr>
        <w:pStyle w:val="Para 01"/>
      </w:pPr>
      <w:r>
        <w:t>References</w:t>
      </w:r>
    </w:p>
    <w:p>
      <w:pPr>
        <w:pStyle w:val="Para 17"/>
      </w:pPr>
      <w:r>
        <w:t/>
      </w:r>
    </w:p>
    <w:p>
      <w:pPr>
        <w:pStyle w:val="Para 04"/>
      </w:pPr>
      <w:r>
        <w:t xml:space="preserve">• </w:t>
      </w:r>
      <w:hyperlink r:id="rId1208">
        <w:r>
          <w:rPr>
            <w:rStyle w:val="Text9"/>
          </w:rPr>
          <w:t>206</w:t>
        </w:r>
      </w:hyperlink>
      <w:hyperlink r:id="rId1208">
        <w:r>
          <w:rPr>
            <w:rStyle w:val="Text1"/>
          </w:rPr>
          <w:t xml:space="preserve"> </w:t>
        </w:r>
      </w:hyperlink>
      <w:hyperlink r:id="rId1208">
        <w:r>
          <w:rPr>
            <w:rStyle w:val="Text2"/>
          </w:rPr>
          <w:t>chronyc(1)</w:t>
        </w:r>
      </w:hyperlink>
      <w:r>
        <w:t xml:space="preserve"> manual page</w:t>
      </w:r>
    </w:p>
    <w:p>
      <w:pPr>
        <w:pStyle w:val="Para 04"/>
      </w:pPr>
      <w:r>
        <w:t xml:space="preserve">• </w:t>
      </w:r>
      <w:hyperlink r:id="rId1209">
        <w:r>
          <w:rPr>
            <w:rStyle w:val="Text9"/>
          </w:rPr>
          <w:t>207</w:t>
        </w:r>
      </w:hyperlink>
      <w:hyperlink r:id="rId1209">
        <w:r>
          <w:rPr>
            <w:rStyle w:val="Text1"/>
          </w:rPr>
          <w:t xml:space="preserve"> </w:t>
        </w:r>
      </w:hyperlink>
      <w:hyperlink r:id="rId1209">
        <w:r>
          <w:rPr>
            <w:rStyle w:val="Text2"/>
          </w:rPr>
          <w:t>chronyd(8)</w:t>
        </w:r>
      </w:hyperlink>
      <w:r>
        <w:t xml:space="preserve"> manual page</w:t>
      </w:r>
    </w:p>
    <w:p>
      <w:pPr>
        <w:pStyle w:val="Para 04"/>
      </w:pPr>
      <w:r>
        <w:t xml:space="preserve">• </w:t>
      </w:r>
      <w:hyperlink w:anchor="page_276">
        <w:r>
          <w:rPr>
            <w:rStyle w:val="Text9"/>
          </w:rPr>
          <w:t>208</w:t>
        </w:r>
      </w:hyperlink>
      <w:r>
        <w:t xml:space="preserve"> </w:t>
      </w:r>
      <w:hyperlink r:id="rId1207">
        <w:r>
          <w:rPr>
            <w:rStyle w:val="Text2"/>
          </w:rPr>
          <w:t>chrony.conf(5)</w:t>
        </w:r>
      </w:hyperlink>
      <w:r>
        <w:t xml:space="preserve"> manual page</w:t>
      </w:r>
    </w:p>
    <w:p>
      <w:pPr>
        <w:pStyle w:val="Para 17"/>
      </w:pPr>
      <w:r>
        <w:t/>
      </w:r>
    </w:p>
    <w:p>
      <w:pPr>
        <w:pStyle w:val="Para 01"/>
      </w:pPr>
      <w:r>
        <w:t>Synchronize time using timedatectl and timesyncd</w:t>
      </w:r>
    </w:p>
    <w:p>
      <w:pPr>
        <w:pStyle w:val="Para 17"/>
      </w:pPr>
      <w:r>
        <w:t/>
      </w:r>
    </w:p>
    <w:p>
      <w:pPr>
        <w:pStyle w:val="Normal"/>
      </w:pPr>
      <w:r>
        <w:t>Ubuntu can use timedatectl and timesyncd for synchronizing time, which can be installed as follows. systemd-timesyncd used to be part of the default installation, but was replaced by</w:t>
      </w:r>
    </w:p>
    <w:p>
      <w:pPr>
        <w:pStyle w:val="Normal"/>
      </w:pPr>
      <w:r>
        <w:t xml:space="preserve">chrony since Ubuntu 25.10. You can optionally use chrony as a </w:t>
      </w:r>
      <w:hyperlink w:anchor="page_272">
        <w:r>
          <w:rPr>
            <w:rStyle w:val="Text2"/>
          </w:rPr>
          <w:t>Network Time Security (NTS)</w:t>
        </w:r>
      </w:hyperlink>
    </w:p>
    <w:p>
      <w:pPr>
        <w:pStyle w:val="Para 20"/>
      </w:pPr>
      <w:hyperlink w:anchor="page_272">
        <w:r>
          <w:t>client</w:t>
        </w:r>
      </w:hyperlink>
      <w:r>
        <w:rPr>
          <w:rStyle w:val="Text4"/>
        </w:rPr>
        <w:t xml:space="preserve"> (page 271) or to </w:t>
      </w:r>
      <w:hyperlink w:anchor="page_278">
        <w:r>
          <w:t>serve the Network Time Protocol</w:t>
        </w:r>
      </w:hyperlink>
      <w:r>
        <w:rPr>
          <w:rStyle w:val="Text4"/>
        </w:rPr>
        <w:t xml:space="preserve"> (page 277).</w:t>
      </w:r>
    </w:p>
    <w:p>
      <w:pPr>
        <w:pStyle w:val="Normal"/>
      </w:pPr>
      <w:r>
        <w:t>sudo apt-mark auto chrony</w:t>
        <w:t xml:space="preserve"> </w:t>
        <w:t>&amp;&amp;</w:t>
        <w:t xml:space="preserve"> </w:t>
        <w:t>apt install systemd-timesyncd</w:t>
      </w:r>
    </w:p>
    <w:p>
      <w:pPr>
        <w:pStyle w:val="Para 17"/>
      </w:pPr>
      <w:r>
        <w:t/>
      </w:r>
    </w:p>
    <w:p>
      <w:pPr>
        <w:pStyle w:val="Normal"/>
      </w:pPr>
      <w:r>
        <w:t>In this guide, we will show you how to configure these services.</w:t>
      </w:r>
    </w:p>
    <w:p>
      <w:pPr>
        <w:pStyle w:val="Para 17"/>
      </w:pPr>
      <w:r>
        <w:t/>
      </w:r>
    </w:p>
    <w:p>
      <w:pPr>
        <w:pStyle w:val="Para 08"/>
      </w:pPr>
      <w:r>
        <w:t>Note:</w:t>
      </w:r>
    </w:p>
    <w:p>
      <w:pPr>
        <w:pStyle w:val="Para 03"/>
      </w:pPr>
      <w:r>
        <w:t>If chrony is installed, timedatectl steps back to let chrony handle timekeeping. This en-</w:t>
      </w:r>
    </w:p>
    <w:p>
      <w:pPr>
        <w:pStyle w:val="Para 03"/>
      </w:pPr>
      <w:r>
        <w:t>sures that no two time-syncing services will be in conflict.</w:t>
      </w:r>
    </w:p>
    <w:p>
      <w:pPr>
        <w:pStyle w:val="Para 17"/>
      </w:pPr>
      <w:r>
        <w:t/>
      </w:r>
    </w:p>
    <w:p>
      <w:pPr>
        <w:pStyle w:val="Para 01"/>
      </w:pPr>
      <w:r>
        <w:t>Check status of timedatectl</w:t>
      </w:r>
    </w:p>
    <w:p>
      <w:pPr>
        <w:pStyle w:val="Para 17"/>
      </w:pPr>
      <w:r>
        <w:t/>
      </w:r>
    </w:p>
    <w:p>
      <w:pPr>
        <w:pStyle w:val="Normal"/>
      </w:pPr>
      <w:r>
        <w:t>The current status of time and time configuration via timedatectl and timesyncd can be checked with the timedatectl status command, which will produce output like this:</w:t>
      </w:r>
    </w:p>
    <w:p>
      <w:pPr>
        <w:pStyle w:val="Para 15"/>
      </w:pPr>
      <w:r>
        <w:t>Local time: Wed 2023-06-14 12:05:11 BST</w:t>
      </w:r>
    </w:p>
    <w:p>
      <w:pPr>
        <w:pStyle w:val="Para 11"/>
      </w:pPr>
      <w:r>
        <w:t>Universal time: Wed 2023-06-14 11:05:11 UTC</w:t>
      </w:r>
    </w:p>
    <w:p>
      <w:pPr>
        <w:pStyle w:val="Para 15"/>
      </w:pPr>
      <w:r>
        <w:t>RTC time: Wed 2023-06-14 11:05:11</w:t>
      </w:r>
    </w:p>
    <w:p>
      <w:pPr>
        <w:pStyle w:val="Para 15"/>
      </w:pPr>
      <w:r>
        <w:t>Time zone: Europe/Isle_of_Man (BST, +0100)</w:t>
      </w:r>
    </w:p>
    <w:p>
      <w:pPr>
        <w:pStyle w:val="Normal"/>
      </w:pPr>
      <w:r>
        <w:t>System clock synchronized: yes</w:t>
      </w:r>
    </w:p>
    <w:p>
      <w:pPr>
        <w:pStyle w:val="Para 12"/>
      </w:pPr>
      <w:r>
        <w:t>NTP service: active</w:t>
      </w:r>
    </w:p>
    <w:p>
      <w:pPr>
        <w:pStyle w:val="Para 11"/>
      </w:pPr>
      <w:r>
        <w:t>RTC in local TZ: no</w:t>
      </w:r>
    </w:p>
    <w:p>
      <w:pPr>
        <w:pStyle w:val="Para 17"/>
      </w:pPr>
      <w:r>
        <w:t/>
      </w:r>
    </w:p>
    <w:p>
      <w:pPr>
        <w:pStyle w:val="Normal"/>
      </w:pPr>
      <w:r>
        <w:t>If chrony is running, it will automatically switch to:</w:t>
      </w:r>
    </w:p>
    <w:p>
      <w:pPr>
        <w:pStyle w:val="Normal"/>
      </w:pPr>
      <w:r>
        <w:t>[...]</w:t>
      </w:r>
    </w:p>
    <w:p>
      <w:pPr>
        <w:pStyle w:val="Normal"/>
      </w:pPr>
      <w:r>
        <w:t>systemd-timesyncd.service active: no</w:t>
      </w:r>
    </w:p>
    <w:p>
      <w:pPr>
        <w:pStyle w:val="Para 05"/>
      </w:pPr>
      <w:r>
        <w:rPr>
          <w:rStyle w:val="Text5"/>
        </w:rPr>
        <w:t>206</w:t>
      </w:r>
      <w:r>
        <w:rPr>
          <w:rStyle w:val="Text8"/>
        </w:rPr>
        <w:t xml:space="preserve"> </w:t>
      </w:r>
      <w:r>
        <w:t>https://manpages.ubuntu.com/manpages/resolute/man1/chronyc.1.html</w:t>
      </w:r>
    </w:p>
    <w:p>
      <w:pPr>
        <w:pStyle w:val="Para 05"/>
      </w:pPr>
      <w:r>
        <w:rPr>
          <w:rStyle w:val="Text5"/>
        </w:rPr>
        <w:t>207</w:t>
      </w:r>
      <w:r>
        <w:rPr>
          <w:rStyle w:val="Text8"/>
        </w:rPr>
        <w:t xml:space="preserve"> </w:t>
      </w:r>
      <w:r>
        <w:t>https://manpages.ubuntu.com/manpages/resolute/man8/chronyd.8.html</w:t>
      </w:r>
    </w:p>
    <w:p>
      <w:pPr>
        <w:pStyle w:val="Para 05"/>
      </w:pPr>
      <w:r>
        <w:rPr>
          <w:rStyle w:val="Text5"/>
        </w:rPr>
        <w:t>208</w:t>
      </w:r>
      <w:r>
        <w:rPr>
          <w:rStyle w:val="Text8"/>
        </w:rPr>
        <w:t xml:space="preserve"> </w:t>
      </w:r>
      <w:r>
        <w:t>https://manpages.ubuntu.com/manpages/resolute/man5/chrony.conf.5.html</w:t>
      </w:r>
      <w:r>
        <w:rPr>
          <w:rStyle w:val="Text8"/>
        </w:rPr>
        <w:t xml:space="preserve"> </w:t>
      </w:r>
      <w:r>
        <w:rPr>
          <w:rStyle w:val="Text11"/>
        </w:rPr>
        <w:t>Configure timedatectl</w:t>
      </w:r>
    </w:p>
    <w:p>
      <w:bookmarkStart w:id="395" w:name="page_2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2" name="index-277_1.png" descr="index-277_1.png"/>
            <wp:cNvGraphicFramePr>
              <a:graphicFrameLocks noChangeAspect="1"/>
            </wp:cNvGraphicFramePr>
            <a:graphic>
              <a:graphicData uri="http://schemas.openxmlformats.org/drawingml/2006/picture">
                <pic:pic>
                  <pic:nvPicPr>
                    <pic:cNvPr id="0" name="index-277_1.png" descr="index-277_1.png"/>
                    <pic:cNvPicPr/>
                  </pic:nvPicPr>
                  <pic:blipFill>
                    <a:blip r:embed="rId286"/>
                    <a:stretch>
                      <a:fillRect/>
                    </a:stretch>
                  </pic:blipFill>
                  <pic:spPr>
                    <a:xfrm>
                      <a:off x="0" y="0"/>
                      <a:ext cx="914400" cy="266700"/>
                    </a:xfrm>
                    <a:prstGeom prst="rect">
                      <a:avLst/>
                    </a:prstGeom>
                  </pic:spPr>
                </pic:pic>
              </a:graphicData>
            </a:graphic>
          </wp:anchor>
        </w:drawing>
      </w:r>
      <w:bookmarkEnd w:id="395"/>
    </w:p>
    <w:p>
      <w:pPr>
        <w:pStyle w:val="Para 17"/>
      </w:pPr>
      <w:r>
        <w:t/>
      </w:r>
    </w:p>
    <w:p>
      <w:pPr>
        <w:pStyle w:val="Normal"/>
      </w:pPr>
      <w:r>
        <w:t>By using timedatectl, an admin can control the timezone, how the system clock should relate to the hwclock and whether permanent synchronization should be enabled. See man timeda-tectl for more details.</w:t>
      </w:r>
    </w:p>
    <w:p>
      <w:pPr>
        <w:pStyle w:val="Para 17"/>
      </w:pPr>
      <w:r>
        <w:t/>
      </w:r>
    </w:p>
    <w:p>
      <w:pPr>
        <w:pStyle w:val="Para 01"/>
      </w:pPr>
      <w:r>
        <w:t>Check status of timesyncd</w:t>
      </w:r>
    </w:p>
    <w:p>
      <w:pPr>
        <w:pStyle w:val="Para 17"/>
      </w:pPr>
      <w:r>
        <w:t/>
      </w:r>
    </w:p>
    <w:p>
      <w:pPr>
        <w:pStyle w:val="Normal"/>
      </w:pPr>
      <w:r>
        <w:t>timesyncd itself is a normal service, so you can check its status in more detail using:</w:t>
      </w:r>
    </w:p>
    <w:p>
      <w:pPr>
        <w:pStyle w:val="Normal"/>
      </w:pPr>
      <w:r>
        <w:t>systemctl status systemd</w:t>
        <w:t>-</w:t>
        <w:t>timesyncd</w:t>
      </w:r>
    </w:p>
    <w:p>
      <w:pPr>
        <w:pStyle w:val="Para 17"/>
      </w:pPr>
      <w:r>
        <w:t/>
      </w:r>
    </w:p>
    <w:p>
      <w:pPr>
        <w:pStyle w:val="Normal"/>
      </w:pPr>
      <w:r>
        <w:t>The output produced will look something like this:</w:t>
      </w:r>
    </w:p>
    <w:p>
      <w:pPr>
        <w:pStyle w:val="Para 06"/>
      </w:pPr>
      <w:r>
        <w:t>systemd</w:t>
        <w:t>-</w:t>
        <w:t>timesyncd</w:t>
        <w:t>.</w:t>
        <w:t>service</w:t>
        <w:t>-</w:t>
        <w:t>Network Time Synchronization</w:t>
      </w:r>
    </w:p>
    <w:p>
      <w:pPr>
        <w:pStyle w:val="Para 17"/>
      </w:pPr>
      <w:r>
        <w:t>Loaded: loaded (</w:t>
        <w:t>/</w:t>
        <w:t>lib</w:t>
        <w:t>/</w:t>
        <w:t>systemd</w:t>
        <w:t>/</w:t>
        <w:t>system</w:t>
        <w:t>/</w:t>
        <w:t>systemd</w:t>
        <w:t>-</w:t>
        <w:t>timesyncd</w:t>
        <w:t>.</w:t>
        <w:t>service; enabled; vendor</w:t>
      </w:r>
    </w:p>
    <w:p>
      <w:pPr>
        <w:pStyle w:val="Normal"/>
      </w:pPr>
      <w:r>
        <w:t>preset: enabled)</w:t>
      </w:r>
    </w:p>
    <w:p>
      <w:pPr>
        <w:pStyle w:val="Para 06"/>
      </w:pPr>
      <w:r>
        <w:t>Active: active (running) since Fri</w:t>
        <w:t xml:space="preserve"> </w:t>
        <w:t>2018</w:t>
        <w:t>-</w:t>
        <w:t>02</w:t>
        <w:t>-</w:t>
        <w:t>23 08</w:t>
        <w:t>:</w:t>
        <w:t>55</w:t>
        <w:t>:</w:t>
        <w:t>46</w:t>
        <w:t xml:space="preserve"> </w:t>
        <w:t>UTC;</w:t>
        <w:t xml:space="preserve"> </w:t>
        <w:t>10</w:t>
        <w:t>s ago</w:t>
      </w:r>
    </w:p>
    <w:p>
      <w:pPr>
        <w:pStyle w:val="Para 11"/>
      </w:pPr>
      <w:r>
        <w:t>Docs: man:systemd</w:t>
        <w:t>-</w:t>
        <w:t>timesyncd</w:t>
        <w:t>.</w:t>
        <w:t>service(</w:t>
        <w:t>8</w:t>
        <w:t>)</w:t>
      </w:r>
    </w:p>
    <w:p>
      <w:pPr>
        <w:pStyle w:val="Para 02"/>
      </w:pPr>
      <w:r>
        <w:t>Main PID:</w:t>
        <w:t xml:space="preserve"> </w:t>
        <w:t>3744</w:t>
        <w:t xml:space="preserve"> </w:t>
        <w:t>(systemd</w:t>
        <w:t>-</w:t>
        <w:t>timesyn)</w:t>
      </w:r>
    </w:p>
    <w:p>
      <w:pPr>
        <w:pStyle w:val="Para 17"/>
      </w:pPr>
      <w:r>
        <w:t>Status:</w:t>
        <w:t xml:space="preserve"> </w:t>
        <w:t>"Synchronized to time server 91.189.89.198:123 (ntp.ubuntu.com)."</w:t>
      </w:r>
    </w:p>
    <w:p>
      <w:pPr>
        <w:pStyle w:val="Para 06"/>
      </w:pPr>
      <w:r>
        <w:t>Tasks:</w:t>
        <w:t xml:space="preserve"> </w:t>
        <w:t>2</w:t>
        <w:t xml:space="preserve"> </w:t>
        <w:t>(limit:</w:t>
        <w:t xml:space="preserve"> </w:t>
        <w:t>4915</w:t>
        <w:t>)</w:t>
      </w:r>
    </w:p>
    <w:p>
      <w:pPr>
        <w:pStyle w:val="Para 06"/>
      </w:pPr>
      <w:r>
        <w:t>CGroup:</w:t>
        <w:t xml:space="preserve"> </w:t>
        <w:t>/</w:t>
        <w:t>system</w:t>
        <w:t>.</w:t>
        <w:t>slice</w:t>
        <w:t>/</w:t>
        <w:t>systemd</w:t>
        <w:t>-</w:t>
        <w:t>timesyncd</w:t>
        <w:t>.</w:t>
        <w:t>service</w:t>
      </w:r>
    </w:p>
    <w:p>
      <w:pPr>
        <w:pStyle w:val="Para 15"/>
      </w:pPr>
      <w:r>
        <w:t>|-</w:t>
        <w:t>3744</w:t>
        <w:t xml:space="preserve"> </w:t>
        <w:t>/</w:t>
        <w:t>lib</w:t>
        <w:t>/</w:t>
        <w:t>systemd</w:t>
        <w:t>/</w:t>
        <w:t>systemd</w:t>
        <w:t>-</w:t>
        <w:t>timesyncd</w:t>
      </w:r>
    </w:p>
    <w:p>
      <w:pPr>
        <w:pStyle w:val="Para 02"/>
      </w:pPr>
      <w:r>
        <w:t>Feb</w:t>
        <w:t xml:space="preserve"> </w:t>
        <w:t>23 08</w:t>
        <w:t>:</w:t>
        <w:t>55</w:t>
        <w:t>:</w:t>
        <w:t>46</w:t>
        <w:t xml:space="preserve"> </w:t>
        <w:t>test</w:t>
        <w:t>-</w:t>
        <w:t>host systemd[</w:t>
        <w:t>1</w:t>
        <w:t>]: Starting Network Time Synchronization</w:t>
        <w:t>...</w:t>
        <w:t xml:space="preserve"> </w:t>
        <w:t>Feb</w:t>
        <w:t xml:space="preserve"> </w:t>
        <w:t>23 08</w:t>
        <w:t>:</w:t>
        <w:t>55</w:t>
        <w:t>:</w:t>
        <w:t>46</w:t>
        <w:t xml:space="preserve"> </w:t>
        <w:t>test</w:t>
        <w:t>-</w:t>
        <w:t>host systemd[</w:t>
        <w:t>1</w:t>
        <w:t>]: Started Network Time Synchronization</w:t>
        <w:t>.</w:t>
        <w:t xml:space="preserve"> </w:t>
        <w:t>Feb</w:t>
        <w:t xml:space="preserve"> </w:t>
        <w:t>23 08</w:t>
        <w:t>:</w:t>
        <w:t>55</w:t>
        <w:t>:</w:t>
        <w:t>46</w:t>
        <w:t xml:space="preserve"> </w:t>
        <w:t>test</w:t>
        <w:t>-</w:t>
        <w:t>host systemd</w:t>
        <w:t>-</w:t>
        <w:t>timesyncd[</w:t>
        <w:t>3744</w:t>
        <w:t>]: Synchronized to time server</w:t>
        <w:t xml:space="preserve"> </w:t>
        <w:t>91.189.</w:t>
      </w:r>
    </w:p>
    <w:p>
      <w:pPr>
        <w:pStyle w:val="Normal"/>
      </w:pPr>
      <w:r>
        <w:t>89.198</w:t>
        <w:t>:</w:t>
        <w:t>123</w:t>
        <w:t xml:space="preserve"> </w:t>
        <w:t>(ntp</w:t>
        <w:t>.</w:t>
        <w:t>ubuntu</w:t>
        <w:t>.</w:t>
        <w:t>com)</w:t>
        <w:t>.</w:t>
      </w:r>
    </w:p>
    <w:p>
      <w:pPr>
        <w:pStyle w:val="Para 17"/>
      </w:pPr>
      <w:r>
        <w:t/>
      </w:r>
    </w:p>
    <w:p>
      <w:pPr>
        <w:pStyle w:val="Para 01"/>
      </w:pPr>
      <w:r>
        <w:t>Configure timesyncd</w:t>
      </w:r>
    </w:p>
    <w:p>
      <w:pPr>
        <w:pStyle w:val="Para 17"/>
      </w:pPr>
      <w:r>
        <w:t/>
      </w:r>
    </w:p>
    <w:p>
      <w:pPr>
        <w:pStyle w:val="Normal"/>
      </w:pPr>
      <w:r>
        <w:t>The server from which to fetch time for timedatectl and timesyncd can be specified in /etc/ systemd/timesyncd.conf. Additional config files can be stored in /etc/systemd/timesyncd. conf.d/. The entries for NTP= and FallbackNTP= are space-separated lists. See man timesyncd. conf for more details.</w:t>
      </w:r>
    </w:p>
    <w:p>
      <w:pPr>
        <w:pStyle w:val="Para 17"/>
      </w:pPr>
      <w:r>
        <w:t/>
      </w:r>
    </w:p>
    <w:p>
      <w:pPr>
        <w:pStyle w:val="Para 01"/>
      </w:pPr>
      <w:r>
        <w:t>Next steps</w:t>
      </w:r>
    </w:p>
    <w:p>
      <w:pPr>
        <w:pStyle w:val="Para 17"/>
      </w:pPr>
      <w:r>
        <w:t/>
      </w:r>
    </w:p>
    <w:p>
      <w:pPr>
        <w:pStyle w:val="Normal"/>
      </w:pPr>
      <w:r>
        <w:t>If you would now like to serve the Network Time Protocol via chrony, this guide will walk you</w:t>
      </w:r>
    </w:p>
    <w:p>
      <w:pPr>
        <w:pStyle w:val="Para 20"/>
      </w:pPr>
      <w:r>
        <w:rPr>
          <w:rStyle w:val="Text4"/>
        </w:rPr>
        <w:t xml:space="preserve">through </w:t>
      </w:r>
      <w:hyperlink w:anchor="page_278">
        <w:r>
          <w:t>how to install and configure your setup</w:t>
        </w:r>
      </w:hyperlink>
      <w:r>
        <w:rPr>
          <w:rStyle w:val="Text4"/>
        </w:rPr>
        <w:t xml:space="preserve"> (page 277).</w:t>
      </w:r>
    </w:p>
    <w:p>
      <w:bookmarkStart w:id="396" w:name="calibre_pb_59"/>
      <w:pPr>
        <w:pStyle w:val="0 Block"/>
      </w:pPr>
      <w:bookmarkEnd w:id="396"/>
    </w:p>
    <w:p>
      <w:bookmarkStart w:id="397" w:name="Top_of_index_split_060_html"/>
      <w:bookmarkStart w:id="398" w:name="page_27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3" name="index-278_1.png" descr="index-278_1.png"/>
            <wp:cNvGraphicFramePr>
              <a:graphicFrameLocks noChangeAspect="1"/>
            </wp:cNvGraphicFramePr>
            <a:graphic>
              <a:graphicData uri="http://schemas.openxmlformats.org/drawingml/2006/picture">
                <pic:pic>
                  <pic:nvPicPr>
                    <pic:cNvPr id="0" name="index-278_1.png" descr="index-278_1.png"/>
                    <pic:cNvPicPr/>
                  </pic:nvPicPr>
                  <pic:blipFill>
                    <a:blip r:embed="rId287"/>
                    <a:stretch>
                      <a:fillRect/>
                    </a:stretch>
                  </pic:blipFill>
                  <pic:spPr>
                    <a:xfrm>
                      <a:off x="0" y="0"/>
                      <a:ext cx="914400" cy="266700"/>
                    </a:xfrm>
                    <a:prstGeom prst="rect">
                      <a:avLst/>
                    </a:prstGeom>
                  </pic:spPr>
                </pic:pic>
              </a:graphicData>
            </a:graphic>
          </wp:anchor>
        </w:drawing>
      </w:r>
      <w:bookmarkEnd w:id="397"/>
      <w:bookmarkEnd w:id="398"/>
    </w:p>
    <w:p>
      <w:pPr>
        <w:pStyle w:val="Para 01"/>
      </w:pPr>
      <w:r>
        <w:t>References</w:t>
      </w:r>
    </w:p>
    <w:p>
      <w:pPr>
        <w:pStyle w:val="Para 17"/>
      </w:pPr>
      <w:r>
        <w:t/>
      </w:r>
    </w:p>
    <w:p>
      <w:pPr>
        <w:pStyle w:val="Para 14"/>
      </w:pPr>
      <w:r>
        <w:rPr>
          <w:rStyle w:val="Text4"/>
        </w:rPr>
        <w:t xml:space="preserve">• </w:t>
      </w:r>
      <w:hyperlink w:anchor="page_278">
        <w:r>
          <w:rPr>
            <w:rStyle w:val="Text15"/>
          </w:rPr>
          <w:t>209</w:t>
        </w:r>
      </w:hyperlink>
      <w:r>
        <w:rPr>
          <w:rStyle w:val="Text4"/>
        </w:rPr>
        <w:t xml:space="preserve"> </w:t>
      </w:r>
      <w:hyperlink r:id="rId1210">
        <w:r>
          <w:t>timedatectl(1)</w:t>
        </w:r>
      </w:hyperlink>
    </w:p>
    <w:p>
      <w:pPr>
        <w:pStyle w:val="Para 14"/>
      </w:pPr>
      <w:r>
        <w:rPr>
          <w:rStyle w:val="Text4"/>
        </w:rPr>
        <w:t xml:space="preserve">• </w:t>
      </w:r>
      <w:hyperlink w:anchor="page_278">
        <w:r>
          <w:rPr>
            <w:rStyle w:val="Text15"/>
          </w:rPr>
          <w:t>210</w:t>
        </w:r>
      </w:hyperlink>
      <w:r>
        <w:rPr>
          <w:rStyle w:val="Text4"/>
        </w:rPr>
        <w:t xml:space="preserve"> </w:t>
      </w:r>
      <w:hyperlink r:id="rId1211">
        <w:r>
          <w:t>systemd-timesyncd.service(8)</w:t>
        </w:r>
      </w:hyperlink>
    </w:p>
    <w:p>
      <w:pPr>
        <w:pStyle w:val="Para 04"/>
      </w:pPr>
      <w:r>
        <w:t xml:space="preserve">• See the </w:t>
      </w:r>
      <w:hyperlink w:anchor="page_278">
        <w:r>
          <w:rPr>
            <w:rStyle w:val="Text9"/>
          </w:rPr>
          <w:t>211</w:t>
        </w:r>
      </w:hyperlink>
      <w:r>
        <w:t xml:space="preserve"> </w:t>
      </w:r>
      <w:hyperlink r:id="rId1212">
        <w:r>
          <w:rPr>
            <w:rStyle w:val="Text1"/>
          </w:rPr>
          <w:t>Ubuntu Time wiki page</w:t>
        </w:r>
      </w:hyperlink>
      <w:r>
        <w:t xml:space="preserve"> for more information.</w:t>
      </w:r>
    </w:p>
    <w:p>
      <w:pPr>
        <w:pStyle w:val="Para 17"/>
      </w:pPr>
      <w:r>
        <w:t/>
      </w:r>
    </w:p>
    <w:p>
      <w:pPr>
        <w:pStyle w:val="Para 01"/>
      </w:pPr>
      <w:r>
        <w:t>How to serve the Network Time Protocol with Chrony</w:t>
      </w:r>
    </w:p>
    <w:p>
      <w:pPr>
        <w:pStyle w:val="Para 17"/>
      </w:pPr>
      <w:r>
        <w:t/>
      </w:r>
    </w:p>
    <w:p>
      <w:pPr>
        <w:pStyle w:val="Normal"/>
      </w:pPr>
      <w:r>
        <w:t xml:space="preserve">As of Ubuntu 25.10 chrony is installed by default, </w:t>
      </w:r>
      <w:hyperlink w:anchor="page_272">
        <w:r>
          <w:rPr>
            <w:rStyle w:val="Text2"/>
          </w:rPr>
          <w:t>functioning as a client</w:t>
        </w:r>
      </w:hyperlink>
      <w:r>
        <w:t xml:space="preserve"> (page 271) and keep-ing your time in sync. However, if you also want to serve NTP information then you need an NTP server.</w:t>
      </w:r>
    </w:p>
    <w:p>
      <w:pPr>
        <w:pStyle w:val="Normal"/>
      </w:pPr>
      <w:r>
        <w:t>Between chrony, the now-deprecated ntpd, and open-ntp, there are plenty of options. The solution we recommend is chrony.</w:t>
      </w:r>
    </w:p>
    <w:p>
      <w:pPr>
        <w:pStyle w:val="Normal"/>
      </w:pPr>
      <w:r>
        <w:t>The NTP daemon chronyd calculates the drift and offset of your system clock and continu-ously adjusts it, so there are no large corrections that could lead to inconsistent logs, for instance. The cost is a little processing power and memory, but for a modern server this is usually negligible.</w:t>
      </w:r>
    </w:p>
    <w:p>
      <w:pPr>
        <w:pStyle w:val="Para 17"/>
      </w:pPr>
      <w:r>
        <w:t/>
      </w:r>
    </w:p>
    <w:p>
      <w:pPr>
        <w:pStyle w:val="Para 01"/>
      </w:pPr>
      <w:r>
        <w:t>Install chronyd</w:t>
      </w:r>
    </w:p>
    <w:p>
      <w:pPr>
        <w:pStyle w:val="Para 17"/>
      </w:pPr>
      <w:r>
        <w:t/>
      </w:r>
    </w:p>
    <w:p>
      <w:pPr>
        <w:pStyle w:val="Normal"/>
      </w:pPr>
      <w:r>
        <w:t>To install chrony, run the following command from a terminal prompt:</w:t>
      </w:r>
    </w:p>
    <w:p>
      <w:pPr>
        <w:pStyle w:val="Normal"/>
      </w:pPr>
      <w:r>
        <w:t>sudo apt install chrony</w:t>
      </w:r>
    </w:p>
    <w:p>
      <w:pPr>
        <w:pStyle w:val="Para 17"/>
      </w:pPr>
      <w:r>
        <w:t/>
      </w:r>
    </w:p>
    <w:p>
      <w:pPr>
        <w:pStyle w:val="Normal"/>
      </w:pPr>
      <w:r>
        <w:t>This will provide two binaries:</w:t>
      </w:r>
    </w:p>
    <w:p>
      <w:pPr>
        <w:pStyle w:val="Para 04"/>
      </w:pPr>
      <w:r>
        <w:t>• chronyd- the actual daemon to sync and serve via the Network Time Protocol</w:t>
      </w:r>
    </w:p>
    <w:p>
      <w:pPr>
        <w:pStyle w:val="Para 04"/>
      </w:pPr>
      <w:r>
        <w:t>• chronyc- command-line interface for the chrony daemon</w:t>
      </w:r>
    </w:p>
    <w:p>
      <w:pPr>
        <w:pStyle w:val="Para 17"/>
      </w:pPr>
      <w:r>
        <w:t/>
      </w:r>
    </w:p>
    <w:p>
      <w:pPr>
        <w:pStyle w:val="Para 01"/>
      </w:pPr>
      <w:r>
        <w:t>Enable serving the Network Time Protocol</w:t>
      </w:r>
    </w:p>
    <w:p>
      <w:pPr>
        <w:pStyle w:val="Para 17"/>
      </w:pPr>
      <w:r>
        <w:t/>
      </w:r>
    </w:p>
    <w:p>
      <w:pPr>
        <w:pStyle w:val="Normal"/>
      </w:pPr>
      <w:r>
        <w:t xml:space="preserve">You can install chrony (above) and configure special Hardware (below) for a local synchroniza-tion and as-installed that is the default to stay on the secure and conservative side. But if you want to </w:t>
      </w:r>
      <w:r>
        <w:rPr>
          <w:rStyle w:val="Text3"/>
        </w:rPr>
        <w:t>serve</w:t>
      </w:r>
      <w:r>
        <w:t xml:space="preserve"> NTP you need adapt your configuration.</w:t>
      </w:r>
    </w:p>
    <w:p>
      <w:pPr>
        <w:pStyle w:val="Normal"/>
      </w:pPr>
      <w:r>
        <w:t xml:space="preserve">To enable serving NTP you’ll need to at least set the allow rule. </w:t>
        <w:t>This controls which</w:t>
      </w:r>
    </w:p>
    <w:p>
      <w:pPr>
        <w:pStyle w:val="Normal"/>
      </w:pPr>
      <w:r>
        <w:t>clients/networks you want chrony to serve NTP to.</w:t>
      </w:r>
    </w:p>
    <w:p>
      <w:pPr>
        <w:pStyle w:val="Normal"/>
      </w:pPr>
      <w:r>
        <w:t>An example would be:</w:t>
      </w:r>
    </w:p>
    <w:p>
      <w:pPr>
        <w:pStyle w:val="Normal"/>
      </w:pPr>
      <w:r>
        <w:t>allow 1.2.3.4</w:t>
      </w:r>
    </w:p>
    <w:p>
      <w:pPr>
        <w:pStyle w:val="Para 17"/>
      </w:pPr>
      <w:r>
        <w:t/>
      </w:r>
    </w:p>
    <w:p>
      <w:pPr>
        <w:pStyle w:val="Normal"/>
      </w:pPr>
      <w:r>
        <w:t xml:space="preserve">See the section “NTP server” in the </w:t>
      </w:r>
      <w:hyperlink r:id="rId1207">
        <w:r>
          <w:rPr>
            <w:rStyle w:val="Text9"/>
          </w:rPr>
          <w:t>212</w:t>
        </w:r>
      </w:hyperlink>
      <w:hyperlink r:id="rId1207">
        <w:r>
          <w:rPr>
            <w:rStyle w:val="Text1"/>
          </w:rPr>
          <w:t xml:space="preserve"> </w:t>
        </w:r>
      </w:hyperlink>
      <w:hyperlink r:id="rId1207">
        <w:r>
          <w:rPr>
            <w:rStyle w:val="Text2"/>
          </w:rPr>
          <w:t>chrony.conf(5)</w:t>
        </w:r>
      </w:hyperlink>
      <w:r>
        <w:t xml:space="preserve"> manual page for more details on how you can control and restrict access to your NTP server.</w:t>
      </w:r>
    </w:p>
    <w:p>
      <w:pPr>
        <w:pStyle w:val="Para 05"/>
      </w:pPr>
      <w:r>
        <w:rPr>
          <w:rStyle w:val="Text5"/>
        </w:rPr>
        <w:t>209</w:t>
      </w:r>
      <w:r>
        <w:rPr>
          <w:rStyle w:val="Text8"/>
        </w:rPr>
        <w:t xml:space="preserve"> </w:t>
      </w:r>
      <w:r>
        <w:t>https://manpages.ubuntu.com/manpages/resolute/man1/timedatectl.1.html</w:t>
      </w:r>
    </w:p>
    <w:p>
      <w:pPr>
        <w:pStyle w:val="Para 05"/>
      </w:pPr>
      <w:r>
        <w:rPr>
          <w:rStyle w:val="Text5"/>
        </w:rPr>
        <w:t>210</w:t>
      </w:r>
      <w:r>
        <w:rPr>
          <w:rStyle w:val="Text8"/>
        </w:rPr>
        <w:t xml:space="preserve"> </w:t>
      </w:r>
      <w:r>
        <w:t>https://manpages.ubuntu.com/manpages/resolute/man8/systemd-timesyncd.service.8.html</w:t>
      </w:r>
    </w:p>
    <w:p>
      <w:pPr>
        <w:pStyle w:val="Para 05"/>
      </w:pPr>
      <w:r>
        <w:rPr>
          <w:rStyle w:val="Text5"/>
        </w:rPr>
        <w:t>211</w:t>
      </w:r>
      <w:r>
        <w:rPr>
          <w:rStyle w:val="Text8"/>
        </w:rPr>
        <w:t xml:space="preserve"> </w:t>
      </w:r>
      <w:r>
        <w:t>https://help.ubuntu.com/community/UbuntuTime</w:t>
      </w:r>
    </w:p>
    <w:p>
      <w:pPr>
        <w:pStyle w:val="Para 05"/>
      </w:pPr>
      <w:r>
        <w:rPr>
          <w:rStyle w:val="Text5"/>
        </w:rPr>
        <w:t>212</w:t>
      </w:r>
      <w:r>
        <w:rPr>
          <w:rStyle w:val="Text8"/>
        </w:rPr>
        <w:t xml:space="preserve"> </w:t>
      </w:r>
      <w:r>
        <w:t>https://manpages.ubuntu.com/manpages/resolute/man5/chrony.conf.5.html</w:t>
      </w:r>
      <w:r>
        <w:rPr>
          <w:rStyle w:val="Text8"/>
        </w:rPr>
        <w:t xml:space="preserve"> </w:t>
      </w:r>
      <w:r>
        <w:rPr>
          <w:rStyle w:val="Text11"/>
        </w:rPr>
        <w:t>View chrony status</w:t>
      </w:r>
    </w:p>
    <w:p>
      <w:bookmarkStart w:id="399" w:name="page_2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4" name="index-279_1.png" descr="index-279_1.png"/>
            <wp:cNvGraphicFramePr>
              <a:graphicFrameLocks noChangeAspect="1"/>
            </wp:cNvGraphicFramePr>
            <a:graphic>
              <a:graphicData uri="http://schemas.openxmlformats.org/drawingml/2006/picture">
                <pic:pic>
                  <pic:nvPicPr>
                    <pic:cNvPr id="0" name="index-279_1.png" descr="index-279_1.png"/>
                    <pic:cNvPicPr/>
                  </pic:nvPicPr>
                  <pic:blipFill>
                    <a:blip r:embed="rId288"/>
                    <a:stretch>
                      <a:fillRect/>
                    </a:stretch>
                  </pic:blipFill>
                  <pic:spPr>
                    <a:xfrm>
                      <a:off x="0" y="0"/>
                      <a:ext cx="914400" cy="266700"/>
                    </a:xfrm>
                    <a:prstGeom prst="rect">
                      <a:avLst/>
                    </a:prstGeom>
                  </pic:spPr>
                </pic:pic>
              </a:graphicData>
            </a:graphic>
          </wp:anchor>
        </w:drawing>
      </w:r>
      <w:bookmarkEnd w:id="399"/>
    </w:p>
    <w:p>
      <w:pPr>
        <w:pStyle w:val="Para 17"/>
      </w:pPr>
      <w:r>
        <w:t/>
      </w:r>
    </w:p>
    <w:p>
      <w:pPr>
        <w:pStyle w:val="Normal"/>
      </w:pPr>
      <w:r>
        <w:t>You can use chronyc to see query the status of the chrony daemon. For example, to get an overview of the currently available and selected time sources, run chronyc sources, which provides output like this:</w:t>
      </w:r>
    </w:p>
    <w:p>
      <w:pPr>
        <w:pStyle w:val="Normal"/>
      </w:pPr>
      <w:r>
        <w:t>MS Name/IP address</w:t>
        <w:t xml:space="preserve"> </w:t>
        <w:t>Stratum Poll Reach LastRx Last sample</w:t>
        <w:t xml:space="preserve"> </w:t>
        <w:t>===============================================================================</w:t>
        <w:t xml:space="preserve"> </w:t>
        <w:t>^+ gamma.rueckgr.at</w:t>
        <w:t xml:space="preserve"> </w:t>
        <w:t>2</w:t>
        <w:t xml:space="preserve"> </w:t>
        <w:t>8</w:t>
        <w:t xml:space="preserve"> </w:t>
        <w:t>377</w:t>
        <w:t xml:space="preserve"> </w:t>
        <w:t>135</w:t>
        <w:t xml:space="preserve"> </w:t>
        <w:t>-1048us[-1048us] +/-</w:t>
        <w:t xml:space="preserve"> </w:t>
        <w:t>29ms</w:t>
        <w:t xml:space="preserve"> </w:t>
        <w:t>^- 2b.ncomputers.org</w:t>
        <w:t xml:space="preserve"> </w:t>
        <w:t>2</w:t>
        <w:t xml:space="preserve"> </w:t>
        <w:t>8</w:t>
        <w:t xml:space="preserve"> </w:t>
        <w:t>377</w:t>
        <w:t xml:space="preserve"> </w:t>
        <w:t>204</w:t>
        <w:t xml:space="preserve"> </w:t>
        <w:t>-1141us[-1124us] +/-</w:t>
        <w:t xml:space="preserve"> </w:t>
        <w:t>50ms</w:t>
        <w:t xml:space="preserve"> </w:t>
        <w:t>^+ www.kashra.com</w:t>
        <w:t xml:space="preserve"> </w:t>
        <w:t>2</w:t>
        <w:t xml:space="preserve"> </w:t>
        <w:t>8</w:t>
        <w:t xml:space="preserve"> </w:t>
        <w:t>377</w:t>
        <w:t xml:space="preserve"> </w:t>
        <w:t>139</w:t>
        <w:t xml:space="preserve"> </w:t>
        <w:t>+3483us[+3483us] +/-</w:t>
        <w:t xml:space="preserve"> </w:t>
        <w:t>18ms</w:t>
        <w:t xml:space="preserve"> </w:t>
        <w:t>^+ stratum2-4.NTP.TechFak.U&gt;</w:t>
        <w:t xml:space="preserve"> </w:t>
        <w:t>2</w:t>
        <w:t xml:space="preserve"> </w:t>
        <w:t>8</w:t>
        <w:t xml:space="preserve"> </w:t>
        <w:t>377</w:t>
        <w:t xml:space="preserve"> </w:t>
        <w:t>143</w:t>
        <w:t xml:space="preserve"> </w:t>
        <w:t>-2090us[-2073us] +/-</w:t>
        <w:t xml:space="preserve"> </w:t>
        <w:t>19ms</w:t>
        <w:t xml:space="preserve"> </w:t>
        <w:t>^- zepto.mcl.gg</w:t>
        <w:t xml:space="preserve"> </w:t>
        <w:t>2</w:t>
        <w:t xml:space="preserve"> </w:t>
        <w:t>7</w:t>
        <w:t xml:space="preserve"> </w:t>
        <w:t>377</w:t>
        <w:t xml:space="preserve"> </w:t>
        <w:t>9</w:t>
        <w:t xml:space="preserve"> </w:t>
        <w:t>-774us[ -774us] +/-</w:t>
        <w:t xml:space="preserve"> </w:t>
        <w:t>29ms</w:t>
        <w:t xml:space="preserve"> </w:t>
        <w:t>^- mirrorhost.pw</w:t>
        <w:t xml:space="preserve"> </w:t>
        <w:t>2</w:t>
        <w:t xml:space="preserve"> </w:t>
        <w:t>7</w:t>
        <w:t xml:space="preserve"> </w:t>
        <w:t>377</w:t>
        <w:t xml:space="preserve"> </w:t>
        <w:t>78</w:t>
        <w:t xml:space="preserve"> </w:t>
        <w:t>-660us[ -660us] +/-</w:t>
        <w:t xml:space="preserve"> </w:t>
        <w:t>53ms</w:t>
        <w:t xml:space="preserve"> </w:t>
        <w:t>^- atto.mcl.gg</w:t>
        <w:t xml:space="preserve"> </w:t>
        <w:t>2</w:t>
        <w:t xml:space="preserve"> </w:t>
        <w:t>7</w:t>
        <w:t xml:space="preserve"> </w:t>
        <w:t>377</w:t>
        <w:t xml:space="preserve"> </w:t>
        <w:t>8</w:t>
        <w:t xml:space="preserve"> </w:t>
        <w:t>-823us[ -823us] +/-</w:t>
        <w:t xml:space="preserve"> </w:t>
        <w:t>50ms</w:t>
        <w:t xml:space="preserve"> </w:t>
        <w:t>^- static.140.107.46.78.cli&gt;</w:t>
        <w:t xml:space="preserve"> </w:t>
        <w:t>2</w:t>
        <w:t xml:space="preserve"> </w:t>
        <w:t>8</w:t>
        <w:t xml:space="preserve"> </w:t>
        <w:t>377</w:t>
        <w:t xml:space="preserve"> </w:t>
        <w:t>9</w:t>
        <w:t xml:space="preserve"> </w:t>
        <w:t>-1503us[-1503us] +/-</w:t>
        <w:t xml:space="preserve"> </w:t>
        <w:t>45ms</w:t>
        <w:t xml:space="preserve"> </w:t>
        <w:t>^- 4.53.160.75</w:t>
        <w:t xml:space="preserve"> </w:t>
        <w:t>2</w:t>
        <w:t xml:space="preserve"> </w:t>
        <w:t>8</w:t>
        <w:t xml:space="preserve"> </w:t>
        <w:t>377</w:t>
        <w:t xml:space="preserve"> </w:t>
        <w:t>137</w:t>
        <w:t xml:space="preserve"> </w:t>
        <w:t>-11ms[</w:t>
        <w:t xml:space="preserve"> </w:t>
        <w:t>-11ms] +/-</w:t>
        <w:t xml:space="preserve"> </w:t>
        <w:t>117ms</w:t>
        <w:t xml:space="preserve"> </w:t>
        <w:t>^- 37.44.185.42</w:t>
        <w:t xml:space="preserve"> </w:t>
        <w:t>3</w:t>
        <w:t xml:space="preserve"> </w:t>
        <w:t>7</w:t>
        <w:t xml:space="preserve"> </w:t>
        <w:t>377</w:t>
        <w:t xml:space="preserve"> </w:t>
        <w:t>10</w:t>
        <w:t xml:space="preserve"> </w:t>
        <w:t>-3274us[-3274us] +/-</w:t>
        <w:t xml:space="preserve"> </w:t>
        <w:t>70ms</w:t>
        <w:t xml:space="preserve"> </w:t>
        <w:t>^- bagnikita.com</w:t>
        <w:t xml:space="preserve"> </w:t>
        <w:t>2</w:t>
        <w:t xml:space="preserve"> </w:t>
        <w:t>7</w:t>
        <w:t xml:space="preserve"> </w:t>
        <w:t>377</w:t>
        <w:t xml:space="preserve"> </w:t>
        <w:t>74</w:t>
        <w:t xml:space="preserve"> </w:t>
        <w:t>+3131us[+3131us] +/-</w:t>
        <w:t xml:space="preserve"> </w:t>
        <w:t>71ms</w:t>
        <w:t xml:space="preserve"> </w:t>
        <w:t>^- europa.ellipse.net</w:t>
        <w:t xml:space="preserve"> </w:t>
        <w:t>2</w:t>
        <w:t xml:space="preserve"> </w:t>
        <w:t>8</w:t>
        <w:t xml:space="preserve"> </w:t>
        <w:t>377</w:t>
        <w:t xml:space="preserve"> </w:t>
        <w:t>204</w:t>
        <w:t xml:space="preserve"> </w:t>
        <w:t>-790us[ -773us] +/-</w:t>
        <w:t xml:space="preserve"> </w:t>
        <w:t>97ms</w:t>
        <w:t xml:space="preserve"> </w:t>
        <w:t>^- tethys.hot-chilli.net</w:t>
        <w:t xml:space="preserve"> </w:t>
        <w:t>2</w:t>
        <w:t xml:space="preserve"> </w:t>
        <w:t>8</w:t>
        <w:t xml:space="preserve"> </w:t>
        <w:t>377</w:t>
        <w:t xml:space="preserve"> </w:t>
        <w:t>141</w:t>
        <w:t xml:space="preserve"> </w:t>
        <w:t>-797us[ -797us] +/-</w:t>
        <w:t xml:space="preserve"> </w:t>
        <w:t>59ms</w:t>
        <w:t xml:space="preserve"> </w:t>
        <w:t>^- 66-232-97-8.static.hvvc.&gt;</w:t>
        <w:t xml:space="preserve"> </w:t>
        <w:t>2</w:t>
        <w:t xml:space="preserve"> </w:t>
        <w:t>7</w:t>
        <w:t xml:space="preserve"> </w:t>
        <w:t>377</w:t>
        <w:t xml:space="preserve"> </w:t>
        <w:t>206</w:t>
        <w:t xml:space="preserve"> </w:t>
        <w:t>+1669us[+1686us] +/-</w:t>
        <w:t xml:space="preserve"> </w:t>
        <w:t>133ms</w:t>
        <w:t xml:space="preserve"> </w:t>
        <w:t>^+ 85.199.214.102</w:t>
        <w:t xml:space="preserve"> </w:t>
        <w:t>1</w:t>
        <w:t xml:space="preserve"> </w:t>
        <w:t>8</w:t>
        <w:t xml:space="preserve"> </w:t>
        <w:t>377</w:t>
        <w:t xml:space="preserve"> </w:t>
        <w:t>205</w:t>
        <w:t xml:space="preserve"> </w:t>
        <w:t>+175us[ +192us] +/-</w:t>
        <w:t xml:space="preserve"> </w:t>
        <w:t>12ms</w:t>
        <w:t xml:space="preserve"> </w:t>
        <w:t>^* 46-243-26-34.tangos.nl</w:t>
        <w:t xml:space="preserve"> </w:t>
        <w:t>1</w:t>
        <w:t xml:space="preserve"> </w:t>
        <w:t>8</w:t>
        <w:t xml:space="preserve"> </w:t>
        <w:t>377</w:t>
        <w:t xml:space="preserve"> </w:t>
        <w:t>141</w:t>
        <w:t xml:space="preserve"> </w:t>
        <w:t>-123us[ -106us] +/-</w:t>
        <w:t xml:space="preserve"> </w:t>
        <w:t>10ms</w:t>
        <w:t xml:space="preserve"> </w:t>
        <w:t>^- pugot.canonical.com</w:t>
        <w:t xml:space="preserve"> </w:t>
        <w:t>2</w:t>
        <w:t xml:space="preserve"> </w:t>
        <w:t>8</w:t>
        <w:t xml:space="preserve"> </w:t>
        <w:t>377</w:t>
        <w:t xml:space="preserve"> </w:t>
        <w:t>21</w:t>
        <w:t xml:space="preserve"> </w:t>
        <w:t>-95us[</w:t>
        <w:t xml:space="preserve"> </w:t>
        <w:t>-95us] +/-</w:t>
        <w:t xml:space="preserve"> </w:t>
        <w:t>57ms</w:t>
        <w:t xml:space="preserve"> </w:t>
        <w:t>^- alphyn.canonical.com</w:t>
        <w:t xml:space="preserve"> </w:t>
        <w:t>2</w:t>
        <w:t xml:space="preserve"> </w:t>
        <w:t>6</w:t>
        <w:t xml:space="preserve"> </w:t>
        <w:t>377</w:t>
        <w:t xml:space="preserve"> </w:t>
        <w:t>23</w:t>
        <w:t xml:space="preserve"> </w:t>
        <w:t>-1569us[-1569us] +/-</w:t>
        <w:t xml:space="preserve"> </w:t>
        <w:t>79ms</w:t>
        <w:t xml:space="preserve"> </w:t>
        <w:t>^- golem.canonical.com</w:t>
        <w:t xml:space="preserve"> </w:t>
        <w:t>2</w:t>
        <w:t xml:space="preserve"> </w:t>
        <w:t>7</w:t>
        <w:t xml:space="preserve"> </w:t>
        <w:t>377</w:t>
        <w:t xml:space="preserve"> </w:t>
        <w:t>92</w:t>
        <w:t xml:space="preserve"> </w:t>
        <w:t>-1018us[-1018us] +/-</w:t>
        <w:t xml:space="preserve"> </w:t>
        <w:t>31ms</w:t>
        <w:t xml:space="preserve"> </w:t>
        <w:t>^- chilipepper.canonical.com</w:t>
        <w:t xml:space="preserve"> </w:t>
        <w:t>2</w:t>
        <w:t xml:space="preserve"> </w:t>
        <w:t>8</w:t>
        <w:t xml:space="preserve"> </w:t>
        <w:t>377</w:t>
        <w:t xml:space="preserve"> </w:t>
        <w:t>21</w:t>
        <w:t xml:space="preserve"> </w:t>
        <w:t>-1106us[-1106us] +/-</w:t>
        <w:t xml:space="preserve"> </w:t>
        <w:t>27ms</w:t>
      </w:r>
    </w:p>
    <w:p>
      <w:pPr>
        <w:pStyle w:val="Para 17"/>
      </w:pPr>
      <w:r>
        <w:t/>
      </w:r>
    </w:p>
    <w:p>
      <w:pPr>
        <w:pStyle w:val="Normal"/>
      </w:pPr>
      <w:r>
        <w:t>You can also make use of the chronyc sourcestats command, which produces output like this:</w:t>
      </w:r>
    </w:p>
    <w:p>
      <w:pPr>
        <w:pStyle w:val="Normal"/>
      </w:pPr>
      <w:r>
        <w:t>210 Number of sources = 20</w:t>
      </w:r>
    </w:p>
    <w:p>
      <w:pPr>
        <w:pStyle w:val="Normal"/>
      </w:pPr>
      <w:r>
        <w:t>Name/IP Address</w:t>
        <w:t xml:space="preserve"> </w:t>
        <w:t>NP</w:t>
        <w:t xml:space="preserve"> </w:t>
        <w:t>NR</w:t>
        <w:t xml:space="preserve"> </w:t>
        <w:t>Span</w:t>
        <w:t xml:space="preserve"> </w:t>
        <w:t>Frequency</w:t>
        <w:t xml:space="preserve"> </w:t>
        <w:t>Freq Skew</w:t>
        <w:t xml:space="preserve"> </w:t>
        <w:t>Offset</w:t>
        <w:t xml:space="preserve"> </w:t>
        <w:t>Std Dev</w:t>
        <w:t xml:space="preserve"> </w:t>
        <w:t>==============================================================================</w:t>
        <w:t xml:space="preserve"> </w:t>
        <w:t>gamma.rueckgr.at</w:t>
        <w:t xml:space="preserve"> </w:t>
        <w:t>25</w:t>
        <w:t xml:space="preserve"> </w:t>
        <w:t>15</w:t>
        <w:t xml:space="preserve"> </w:t>
        <w:t>32m</w:t>
        <w:t xml:space="preserve"> </w:t>
        <w:t>-0.007</w:t>
        <w:t xml:space="preserve"> </w:t>
        <w:t>0.142</w:t>
        <w:t xml:space="preserve"> </w:t>
        <w:t>-878us</w:t>
        <w:t xml:space="preserve"> </w:t>
        <w:t>106us</w:t>
        <w:t xml:space="preserve"> </w:t>
        <w:t>2b.ncomputers.org</w:t>
        <w:t xml:space="preserve"> </w:t>
        <w:t>26</w:t>
        <w:t xml:space="preserve"> </w:t>
        <w:t>16</w:t>
        <w:t xml:space="preserve"> </w:t>
        <w:t>35m</w:t>
        <w:t xml:space="preserve"> </w:t>
        <w:t>-0.132</w:t>
        <w:t xml:space="preserve"> </w:t>
        <w:t>0.283</w:t>
        <w:t xml:space="preserve"> </w:t>
        <w:t>-1169us</w:t>
        <w:t xml:space="preserve"> </w:t>
        <w:t>256us</w:t>
        <w:t xml:space="preserve"> </w:t>
        <w:t>www.kashra.com</w:t>
        <w:t xml:space="preserve"> </w:t>
        <w:t>25</w:t>
        <w:t xml:space="preserve"> </w:t>
        <w:t>15</w:t>
        <w:t xml:space="preserve"> </w:t>
        <w:t>32m</w:t>
        <w:t xml:space="preserve"> </w:t>
        <w:t>-0.092</w:t>
        <w:t xml:space="preserve"> </w:t>
        <w:t>0.259</w:t>
        <w:t xml:space="preserve"> </w:t>
        <w:t>+3426us</w:t>
        <w:t xml:space="preserve"> </w:t>
        <w:t>195us</w:t>
        <w:t xml:space="preserve"> </w:t>
        <w:t>stratum2-4.NTP.TechFak.U&gt;</w:t>
        <w:t xml:space="preserve"> </w:t>
        <w:t>25</w:t>
        <w:t xml:space="preserve"> </w:t>
        <w:t>14</w:t>
        <w:t xml:space="preserve"> </w:t>
        <w:t>32m</w:t>
        <w:t xml:space="preserve"> </w:t>
        <w:t>-0.018</w:t>
        <w:t xml:space="preserve"> </w:t>
        <w:t>0.130</w:t>
        <w:t xml:space="preserve"> </w:t>
        <w:t>-2056us</w:t>
        <w:t xml:space="preserve"> </w:t>
        <w:t>96us</w:t>
        <w:t xml:space="preserve"> </w:t>
        <w:t>zepto.mcl.gg</w:t>
        <w:t xml:space="preserve"> </w:t>
        <w:t>13</w:t>
        <w:t xml:space="preserve"> </w:t>
        <w:t>11</w:t>
        <w:t xml:space="preserve"> </w:t>
        <w:t>21m</w:t>
        <w:t xml:space="preserve"> </w:t>
        <w:t>+0.148</w:t>
        <w:t xml:space="preserve"> </w:t>
        <w:t>0.196</w:t>
        <w:t xml:space="preserve"> </w:t>
        <w:t>-683us</w:t>
        <w:t xml:space="preserve"> </w:t>
        <w:t>66us</w:t>
        <w:t xml:space="preserve"> </w:t>
        <w:t>mirrorhost.pw</w:t>
        <w:t xml:space="preserve"> </w:t>
        <w:t>6</w:t>
        <w:t xml:space="preserve"> </w:t>
        <w:t>5</w:t>
        <w:t xml:space="preserve"> </w:t>
        <w:t>645</w:t>
        <w:t xml:space="preserve"> </w:t>
        <w:t>+0.117</w:t>
        <w:t xml:space="preserve"> </w:t>
        <w:t>0.445</w:t>
        <w:t xml:space="preserve"> </w:t>
        <w:t>-591us</w:t>
        <w:t xml:space="preserve"> </w:t>
        <w:t>19us</w:t>
        <w:t xml:space="preserve"> </w:t>
        <w:t>atto.mcl.gg</w:t>
        <w:t xml:space="preserve"> </w:t>
        <w:t>21</w:t>
        <w:t xml:space="preserve"> </w:t>
        <w:t>13</w:t>
        <w:t xml:space="preserve"> </w:t>
        <w:t>25m</w:t>
        <w:t xml:space="preserve"> </w:t>
        <w:t>-0.069</w:t>
        <w:t xml:space="preserve"> </w:t>
        <w:t>0.199</w:t>
        <w:t xml:space="preserve"> </w:t>
        <w:t>-904us</w:t>
        <w:t xml:space="preserve"> </w:t>
        <w:t>103us</w:t>
        <w:t xml:space="preserve"> </w:t>
        <w:t>static.140.107.46.78.cli&gt;</w:t>
        <w:t xml:space="preserve"> </w:t>
        <w:t>25</w:t>
        <w:t xml:space="preserve"> </w:t>
        <w:t>18</w:t>
        <w:t xml:space="preserve"> </w:t>
        <w:t>34m</w:t>
        <w:t xml:space="preserve"> </w:t>
        <w:t>-0.005</w:t>
        <w:t xml:space="preserve"> </w:t>
        <w:t>0.094</w:t>
        <w:t xml:space="preserve"> </w:t>
        <w:t>-1526us</w:t>
        <w:t xml:space="preserve"> </w:t>
        <w:t>78us</w:t>
        <w:t xml:space="preserve"> </w:t>
        <w:t>4.53.160.75</w:t>
        <w:t xml:space="preserve"> </w:t>
        <w:t>25</w:t>
        <w:t xml:space="preserve"> </w:t>
        <w:t>10</w:t>
        <w:t xml:space="preserve"> </w:t>
        <w:t>32m</w:t>
        <w:t xml:space="preserve"> </w:t>
        <w:t>+0.412</w:t>
        <w:t xml:space="preserve"> </w:t>
        <w:t>0.110</w:t>
        <w:t xml:space="preserve"> </w:t>
        <w:t>-11ms</w:t>
        <w:t xml:space="preserve"> </w:t>
        <w:t>84us</w:t>
        <w:t xml:space="preserve"> </w:t>
        <w:t>37.44.185.42</w:t>
        <w:t xml:space="preserve"> </w:t>
        <w:t>24</w:t>
        <w:t xml:space="preserve"> </w:t>
        <w:t>12</w:t>
        <w:t xml:space="preserve"> </w:t>
        <w:t>30m</w:t>
        <w:t xml:space="preserve"> </w:t>
        <w:t>-0.983</w:t>
        <w:t xml:space="preserve"> </w:t>
        <w:t>0.173</w:t>
        <w:t xml:space="preserve"> </w:t>
        <w:t>-3718us</w:t>
        <w:t xml:space="preserve"> </w:t>
        <w:t>122us</w:t>
        <w:t xml:space="preserve"> </w:t>
        <w:t>bagnikita.com</w:t>
        <w:t xml:space="preserve"> </w:t>
        <w:t>17</w:t>
        <w:t xml:space="preserve"> </w:t>
        <w:t>7</w:t>
        <w:t xml:space="preserve"> </w:t>
        <w:t>31m</w:t>
        <w:t xml:space="preserve"> </w:t>
        <w:t>-0.132</w:t>
        <w:t xml:space="preserve"> </w:t>
        <w:t>0.217</w:t>
        <w:t xml:space="preserve"> </w:t>
        <w:t>+3527us</w:t>
        <w:t xml:space="preserve"> </w:t>
        <w:t>139us</w:t>
        <w:t xml:space="preserve"> </w:t>
        <w:t>europa.ellipse.net</w:t>
        <w:t xml:space="preserve"> </w:t>
        <w:t>26</w:t>
        <w:t xml:space="preserve"> </w:t>
        <w:t>15</w:t>
        <w:t xml:space="preserve"> </w:t>
        <w:t>35m</w:t>
        <w:t xml:space="preserve"> </w:t>
        <w:t>+0.038</w:t>
        <w:t xml:space="preserve"> </w:t>
        <w:t>0.553</w:t>
        <w:t xml:space="preserve"> </w:t>
        <w:t>-473us</w:t>
        <w:t xml:space="preserve"> </w:t>
        <w:t>424us</w:t>
        <w:t xml:space="preserve"> </w:t>
        <w:t>tethys.hot-chilli.net</w:t>
        <w:t xml:space="preserve"> </w:t>
        <w:t>25</w:t>
        <w:t xml:space="preserve"> </w:t>
        <w:t>11</w:t>
        <w:t xml:space="preserve"> </w:t>
        <w:t>32m</w:t>
        <w:t xml:space="preserve"> </w:t>
        <w:t>-0.094</w:t>
        <w:t xml:space="preserve"> </w:t>
        <w:t>0.110</w:t>
        <w:t xml:space="preserve"> </w:t>
        <w:t>-864us</w:t>
        <w:t xml:space="preserve"> </w:t>
        <w:t>88us</w:t>
        <w:t xml:space="preserve"> </w:t>
        <w:t>66-232-97-8.static.hvvc.&gt;</w:t>
        <w:t xml:space="preserve"> </w:t>
        <w:t>20</w:t>
        <w:t xml:space="preserve"> </w:t>
        <w:t>11</w:t>
        <w:t xml:space="preserve"> </w:t>
        <w:t>35m</w:t>
        <w:t xml:space="preserve"> </w:t>
        <w:t>-0.116</w:t>
        <w:t xml:space="preserve"> </w:t>
        <w:t>0.165</w:t>
        <w:t xml:space="preserve"> </w:t>
        <w:t>+1561us</w:t>
        <w:t xml:space="preserve"> </w:t>
        <w:t>109us</w:t>
        <w:t xml:space="preserve"> </w:t>
        <w:t>85.199.214.102</w:t>
        <w:t xml:space="preserve"> </w:t>
        <w:t>26</w:t>
        <w:t xml:space="preserve"> </w:t>
        <w:t>11</w:t>
        <w:t xml:space="preserve"> </w:t>
        <w:t>35m</w:t>
        <w:t xml:space="preserve"> </w:t>
        <w:t>-0.054</w:t>
        <w:t xml:space="preserve"> </w:t>
        <w:t>0.390</w:t>
        <w:t xml:space="preserve"> </w:t>
        <w:t>+129us</w:t>
        <w:t xml:space="preserve"> </w:t>
        <w:t>343us</w:t>
        <w:t xml:space="preserve"> </w:t>
        <w:t>46-243-26-34.tangos.nl</w:t>
        <w:t xml:space="preserve"> </w:t>
        <w:t>25</w:t>
        <w:t xml:space="preserve"> </w:t>
        <w:t>16</w:t>
        <w:t xml:space="preserve"> </w:t>
        <w:t>32m</w:t>
        <w:t xml:space="preserve"> </w:t>
        <w:t>+0.129</w:t>
        <w:t xml:space="preserve"> </w:t>
        <w:t>0.297</w:t>
        <w:t xml:space="preserve"> </w:t>
        <w:t>-307us</w:t>
        <w:t xml:space="preserve"> </w:t>
        <w:t>198us</w:t>
        <w:t xml:space="preserve"> </w:t>
        <w:t>pugot.canonical.com</w:t>
        <w:t xml:space="preserve"> </w:t>
        <w:t>25</w:t>
        <w:t xml:space="preserve"> </w:t>
        <w:t>14</w:t>
        <w:t xml:space="preserve"> </w:t>
        <w:t>34m</w:t>
        <w:t xml:space="preserve"> </w:t>
        <w:t>-0.271</w:t>
        <w:t xml:space="preserve"> </w:t>
        <w:t>0.176</w:t>
        <w:t xml:space="preserve"> </w:t>
        <w:t>-143us</w:t>
        <w:t xml:space="preserve"> </w:t>
        <w:t>135us</w:t>
        <w:t xml:space="preserve"> </w:t>
        <w:t>alphyn.canonical.com</w:t>
        <w:t xml:space="preserve"> </w:t>
        <w:t>17</w:t>
        <w:t xml:space="preserve"> </w:t>
        <w:t>11</w:t>
        <w:t xml:space="preserve"> </w:t>
        <w:t>1100</w:t>
        <w:t xml:space="preserve"> </w:t>
        <w:t>-0.087</w:t>
        <w:t xml:space="preserve"> </w:t>
        <w:t>0.360</w:t>
        <w:t xml:space="preserve"> </w:t>
        <w:t>-1749us</w:t>
        <w:t xml:space="preserve"> </w:t>
        <w:t>114us</w:t>
        <w:t xml:space="preserve"> </w:t>
        <w:t>golem.canonical.com</w:t>
        <w:t xml:space="preserve"> </w:t>
        <w:t>23</w:t>
        <w:t xml:space="preserve"> </w:t>
        <w:t>12</w:t>
        <w:t xml:space="preserve"> </w:t>
        <w:t>30m</w:t>
        <w:t xml:space="preserve"> </w:t>
        <w:t>+0.057</w:t>
        <w:t xml:space="preserve"> </w:t>
        <w:t>0.370</w:t>
        <w:t xml:space="preserve"> </w:t>
        <w:t>-988us</w:t>
        <w:t xml:space="preserve"> </w:t>
        <w:t>229us</w:t>
        <w:t xml:space="preserve"> </w:t>
        <w:t>chilipepper.canonical.com</w:t>
        <w:t xml:space="preserve"> </w:t>
        <w:t>25</w:t>
        <w:t xml:space="preserve"> </w:t>
        <w:t>18</w:t>
        <w:t xml:space="preserve"> </w:t>
        <w:t>34m</w:t>
        <w:t xml:space="preserve"> </w:t>
        <w:t>-0.084</w:t>
        <w:t xml:space="preserve"> </w:t>
        <w:t>0.224</w:t>
        <w:t xml:space="preserve"> </w:t>
        <w:t>-1116us</w:t>
        <w:t xml:space="preserve"> </w:t>
        <w:t>169us</w:t>
      </w:r>
    </w:p>
    <w:p>
      <w:pPr>
        <w:pStyle w:val="Para 17"/>
      </w:pPr>
      <w:r>
        <w:t/>
      </w:r>
    </w:p>
    <w:p>
      <w:pPr>
        <w:pStyle w:val="Normal"/>
      </w:pPr>
      <w:r>
        <w:t xml:space="preserve">Certain chronyc commands are privileged and cannot be run via the network without explic-itly allowing them. See the </w:t>
      </w:r>
      <w:r>
        <w:rPr>
          <w:rStyle w:val="Text0"/>
        </w:rPr>
        <w:t>Command and monitoring access</w:t>
      </w:r>
      <w:r>
        <w:t xml:space="preserve"> section in man chrony.conf for more details. A local admin can use sudo since this will grant access to the local admin socket /var/run/chrony/chronyd.sock.</w:t>
      </w:r>
    </w:p>
    <w:p>
      <w:bookmarkStart w:id="400" w:name="page_2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5" name="index-280_1.png" descr="index-280_1.png"/>
            <wp:cNvGraphicFramePr>
              <a:graphicFrameLocks noChangeAspect="1"/>
            </wp:cNvGraphicFramePr>
            <a:graphic>
              <a:graphicData uri="http://schemas.openxmlformats.org/drawingml/2006/picture">
                <pic:pic>
                  <pic:nvPicPr>
                    <pic:cNvPr id="0" name="index-280_1.png" descr="index-280_1.png"/>
                    <pic:cNvPicPr/>
                  </pic:nvPicPr>
                  <pic:blipFill>
                    <a:blip r:embed="rId289"/>
                    <a:stretch>
                      <a:fillRect/>
                    </a:stretch>
                  </pic:blipFill>
                  <pic:spPr>
                    <a:xfrm>
                      <a:off x="0" y="0"/>
                      <a:ext cx="914400" cy="266700"/>
                    </a:xfrm>
                    <a:prstGeom prst="rect">
                      <a:avLst/>
                    </a:prstGeom>
                  </pic:spPr>
                </pic:pic>
              </a:graphicData>
            </a:graphic>
          </wp:anchor>
        </w:drawing>
      </w:r>
      <w:bookmarkEnd w:id="400"/>
    </w:p>
    <w:p>
      <w:pPr>
        <w:pStyle w:val="Para 17"/>
      </w:pPr>
      <w:r>
        <w:t/>
      </w:r>
    </w:p>
    <w:p>
      <w:pPr>
        <w:pStyle w:val="Para 01"/>
      </w:pPr>
      <w:r>
        <w:t>Pulse-Per-Second (PPS) support</w:t>
      </w:r>
    </w:p>
    <w:p>
      <w:pPr>
        <w:pStyle w:val="Para 17"/>
      </w:pPr>
      <w:r>
        <w:t/>
      </w:r>
    </w:p>
    <w:p>
      <w:pPr>
        <w:pStyle w:val="Normal"/>
      </w:pPr>
      <w:r>
        <w:t>Chrony supports various PPS types natively. It can use kernel PPS API as well as Precision Time</w:t>
      </w:r>
    </w:p>
    <w:p>
      <w:pPr>
        <w:pStyle w:val="Normal"/>
      </w:pPr>
      <w:r>
        <w:t xml:space="preserve">Protocol (PTP) hardware clocks. Most general GPS receivers can be leveraged via </w:t>
      </w:r>
      <w:hyperlink w:anchor="page_686">
        <w:r>
          <w:rPr>
            <w:rStyle w:val="Text2"/>
          </w:rPr>
          <w:t>GPSD</w:t>
        </w:r>
      </w:hyperlink>
      <w:r>
        <w:t xml:space="preserve">. The latter (and potentially more) can be accessed via </w:t>
      </w:r>
      <w:r>
        <w:rPr>
          <w:rStyle w:val="Text0"/>
        </w:rPr>
        <w:t>SHM</w:t>
      </w:r>
      <w:r>
        <w:t xml:space="preserve"> or via a </w:t>
      </w:r>
      <w:r>
        <w:rPr>
          <w:rStyle w:val="Text0"/>
        </w:rPr>
        <w:t>socket</w:t>
      </w:r>
      <w:r>
        <w:t xml:space="preserve"> (recommended). All of the above can be used to augment chrony with additional high quality time sources for better</w:t>
      </w:r>
    </w:p>
    <w:p>
      <w:pPr>
        <w:pStyle w:val="Normal"/>
      </w:pPr>
      <w:r>
        <w:t xml:space="preserve">accuracy, </w:t>
      </w:r>
      <w:hyperlink w:anchor="page_691">
        <w:r>
          <w:rPr>
            <w:rStyle w:val="Text2"/>
          </w:rPr>
          <w:t>jitter</w:t>
        </w:r>
      </w:hyperlink>
      <w:r>
        <w:t xml:space="preserve"> , drift, and longer- or shorter-term accuracy. Usually, each kind of clock type is good at one of those, but non-perfect at the others. For more details on configuration see some of the external PPS/GPSD resources listed below.</w:t>
      </w:r>
    </w:p>
    <w:p>
      <w:pPr>
        <w:pStyle w:val="Para 17"/>
      </w:pPr>
      <w:r>
        <w:t/>
      </w:r>
    </w:p>
    <w:p>
      <w:pPr>
        <w:pStyle w:val="Para 01"/>
      </w:pPr>
      <w:r>
        <w:t>Example configuration for GPSD to feed chrony</w:t>
      </w:r>
    </w:p>
    <w:p>
      <w:pPr>
        <w:pStyle w:val="Para 17"/>
      </w:pPr>
      <w:r>
        <w:t/>
      </w:r>
    </w:p>
    <w:p>
      <w:pPr>
        <w:pStyle w:val="Normal"/>
      </w:pPr>
      <w:r>
        <w:t>For the installation and setup you will first need to run the following command in your ter-minal window:</w:t>
      </w:r>
    </w:p>
    <w:p>
      <w:pPr>
        <w:pStyle w:val="Normal"/>
      </w:pPr>
      <w:r>
        <w:t>sudo apt install gpsd chrony</w:t>
      </w:r>
    </w:p>
    <w:p>
      <w:pPr>
        <w:pStyle w:val="Para 17"/>
      </w:pPr>
      <w:r>
        <w:t/>
      </w:r>
    </w:p>
    <w:p>
      <w:pPr>
        <w:pStyle w:val="Normal"/>
      </w:pPr>
      <w:r>
        <w:t>However, since you will want to test/debug your setup (especially the GPS reception), you should also install:</w:t>
      </w:r>
    </w:p>
    <w:p>
      <w:pPr>
        <w:pStyle w:val="Normal"/>
      </w:pPr>
      <w:r>
        <w:t>sudo apt install pps</w:t>
        <w:t>-</w:t>
        <w:t>tools gpsd</w:t>
        <w:t>-</w:t>
        <w:t>clients</w:t>
      </w:r>
    </w:p>
    <w:p>
      <w:pPr>
        <w:pStyle w:val="Para 17"/>
      </w:pPr>
      <w:r>
        <w:t/>
      </w:r>
    </w:p>
    <w:p>
      <w:pPr>
        <w:pStyle w:val="Normal"/>
      </w:pPr>
      <w:r>
        <w:t>GPS devices usually communicate via serial interfaces. The most common type these days are USB GPS devices, which have a serial converter behind USB. If you want to use one of these devices for PPS then please be aware that the majority do not signal PPS via USB. Check the</w:t>
      </w:r>
    </w:p>
    <w:p>
      <w:pPr>
        <w:pStyle w:val="Normal"/>
      </w:pPr>
      <w:hyperlink r:id="rId1213">
        <w:r>
          <w:rPr>
            <w:rStyle w:val="Text1"/>
          </w:rPr>
          <w:t>GPSD hardware</w:t>
        </w:r>
      </w:hyperlink>
      <w:hyperlink r:id="rId1213">
        <w:r>
          <w:rPr>
            <w:rStyle w:val="Text9"/>
          </w:rPr>
          <w:t>213</w:t>
        </w:r>
      </w:hyperlink>
      <w:r>
        <w:t xml:space="preserve"> list for details. The examples below were run with a GR701-W.</w:t>
      </w:r>
    </w:p>
    <w:p>
      <w:pPr>
        <w:pStyle w:val="Normal"/>
      </w:pPr>
      <w:r>
        <w:t xml:space="preserve">When plugging in such a device (or at boot time) </w:t>
      </w:r>
      <w:hyperlink w:anchor="page_679">
        <w:r>
          <w:rPr>
            <w:rStyle w:val="Text2"/>
          </w:rPr>
          <w:t>dmesg</w:t>
        </w:r>
      </w:hyperlink>
      <w:r>
        <w:t xml:space="preserve"> should report a serial connection of some sort, as in this example:</w:t>
      </w:r>
    </w:p>
    <w:p>
      <w:pPr>
        <w:pStyle w:val="Normal"/>
      </w:pPr>
      <w:r>
        <w:t>[</w:t>
        <w:t xml:space="preserve"> </w:t>
        <w:t>52.442199] usb 1-1.1: new full-speed USB device number 3 using xhci_hcd</w:t>
        <w:t xml:space="preserve"> </w:t>
        <w:t>[</w:t>
        <w:t xml:space="preserve"> </w:t>
        <w:t>52.546639] usb 1-1.1: New USB device found, idVendor=067b, idProduct=2303, bcdDevice=</w:t>
      </w:r>
    </w:p>
    <w:p>
      <w:pPr>
        <w:pStyle w:val="Normal"/>
      </w:pPr>
      <w:r>
        <w:t>4.00</w:t>
      </w:r>
    </w:p>
    <w:p>
      <w:pPr>
        <w:pStyle w:val="Normal"/>
      </w:pPr>
      <w:r>
        <w:t>[</w:t>
        <w:t xml:space="preserve"> </w:t>
        <w:t>52.546654] usb 1-1.1: New USB device strings: Mfr=1, Product=2, SerialNumber=0</w:t>
        <w:t xml:space="preserve"> </w:t>
        <w:t>[</w:t>
        <w:t xml:space="preserve"> </w:t>
        <w:t>52.546665] usb 1-1.1: Product: USB-Serial Controller D</w:t>
        <w:t xml:space="preserve"> </w:t>
        <w:t>[</w:t>
        <w:t xml:space="preserve"> </w:t>
        <w:t>52.546675] usb 1-1.1: Manufacturer: Prolific Technology Inc.</w:t>
        <w:t xml:space="preserve"> </w:t>
        <w:t>[</w:t>
        <w:t xml:space="preserve"> </w:t>
        <w:t>52.602103] usbcore: registered new interface driver usbserial_generic</w:t>
        <w:t xml:space="preserve"> </w:t>
        <w:t>[</w:t>
        <w:t xml:space="preserve"> </w:t>
        <w:t>52.602244] usbserial: USB Serial support registered for generic</w:t>
        <w:t xml:space="preserve"> </w:t>
        <w:t>[</w:t>
        <w:t xml:space="preserve"> </w:t>
        <w:t>52.609471] usbcore: registered new interface driver pl2303</w:t>
        <w:t xml:space="preserve"> </w:t>
        <w:t>[</w:t>
        <w:t xml:space="preserve"> </w:t>
        <w:t>52.609503] usbserial: USB Serial support registered for pl2303</w:t>
        <w:t xml:space="preserve"> </w:t>
        <w:t>[</w:t>
        <w:t xml:space="preserve"> </w:t>
        <w:t>52.609564] pl2303 1-1.1:1.0: pl2303 converter detected</w:t>
        <w:t xml:space="preserve"> </w:t>
        <w:t>[</w:t>
        <w:t xml:space="preserve"> </w:t>
        <w:t>52.618366] usb 1-1.1: pl2303 converter now attached to ttyUSB0</w:t>
      </w:r>
    </w:p>
    <w:p>
      <w:pPr>
        <w:pStyle w:val="Para 17"/>
      </w:pPr>
      <w:r>
        <w:t/>
      </w:r>
    </w:p>
    <w:p>
      <w:pPr>
        <w:pStyle w:val="Normal"/>
      </w:pPr>
      <w:r>
        <w:t>We see in this example that the device appeared as ttyUSB0. So that chrony later accepts being fed time information by this device, we have to set it up in /etc/chrony/chrony.conf (please replace USB0 with whatever applies to your setup):</w:t>
      </w:r>
    </w:p>
    <w:p>
      <w:pPr>
        <w:pStyle w:val="Para 03"/>
      </w:pPr>
      <w:r>
        <w:rPr>
          <w:rStyle w:val="Text5"/>
        </w:rPr>
        <w:t>213</w:t>
      </w:r>
      <w:r>
        <w:t xml:space="preserve"> </w:t>
      </w:r>
      <w:r>
        <w:rPr>
          <w:rStyle w:val="Text6"/>
        </w:rPr>
        <w:t>https://gpsd.gitlab.io/gpsd/hardware.html</w:t>
      </w:r>
      <w:r>
        <w:t xml:space="preserve"> </w:t>
        <w:t>refclock SHM</w:t>
        <w:t xml:space="preserve"> </w:t>
        <w:t>0</w:t>
        <w:t xml:space="preserve"> </w:t>
        <w:t>refid GPS precision</w:t>
        <w:t xml:space="preserve"> </w:t>
        <w:t>1e-1</w:t>
        <w:t xml:space="preserve"> </w:t>
        <w:t>offset</w:t>
        <w:t xml:space="preserve"> </w:t>
        <w:t>0.9999</w:t>
        <w:t xml:space="preserve"> </w:t>
        <w:t>delay</w:t>
        <w:t xml:space="preserve"> </w:t>
        <w:t>0.2</w:t>
        <w:t xml:space="preserve"> </w:t>
        <w:t>refclock SOCK</w:t>
        <w:t xml:space="preserve"> </w:t>
        <w:t>/</w:t>
        <w:t>var</w:t>
        <w:t>/</w:t>
        <w:t>run</w:t>
        <w:t>/</w:t>
        <w:t>chrony</w:t>
        <w:t>.</w:t>
        <w:t>ttyUSB0</w:t>
        <w:t>.</w:t>
        <w:t>sock refid PPS</w:t>
      </w:r>
    </w:p>
    <w:p>
      <w:bookmarkStart w:id="401" w:name="page_2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6" name="index-281_1.png" descr="index-281_1.png"/>
            <wp:cNvGraphicFramePr>
              <a:graphicFrameLocks noChangeAspect="1"/>
            </wp:cNvGraphicFramePr>
            <a:graphic>
              <a:graphicData uri="http://schemas.openxmlformats.org/drawingml/2006/picture">
                <pic:pic>
                  <pic:nvPicPr>
                    <pic:cNvPr id="0" name="index-281_1.png" descr="index-281_1.png"/>
                    <pic:cNvPicPr/>
                  </pic:nvPicPr>
                  <pic:blipFill>
                    <a:blip r:embed="rId290"/>
                    <a:stretch>
                      <a:fillRect/>
                    </a:stretch>
                  </pic:blipFill>
                  <pic:spPr>
                    <a:xfrm>
                      <a:off x="0" y="0"/>
                      <a:ext cx="914400" cy="266700"/>
                    </a:xfrm>
                    <a:prstGeom prst="rect">
                      <a:avLst/>
                    </a:prstGeom>
                  </pic:spPr>
                </pic:pic>
              </a:graphicData>
            </a:graphic>
          </wp:anchor>
        </w:drawing>
      </w:r>
      <w:bookmarkEnd w:id="401"/>
    </w:p>
    <w:p>
      <w:pPr>
        <w:pStyle w:val="Para 17"/>
      </w:pPr>
      <w:r>
        <w:t/>
      </w:r>
    </w:p>
    <w:p>
      <w:pPr>
        <w:pStyle w:val="Normal"/>
      </w:pPr>
      <w:r>
        <w:t>Next, we need to restart chrony to make the socket available and have it waiting.</w:t>
      </w:r>
    </w:p>
    <w:p>
      <w:pPr>
        <w:pStyle w:val="Normal"/>
      </w:pPr>
      <w:r>
        <w:t>sudo systemctl restart chrony</w:t>
      </w:r>
    </w:p>
    <w:p>
      <w:pPr>
        <w:pStyle w:val="Para 17"/>
      </w:pPr>
      <w:r>
        <w:t/>
      </w:r>
    </w:p>
    <w:p>
      <w:pPr>
        <w:pStyle w:val="Normal"/>
      </w:pPr>
      <w:r>
        <w:t>We then need to tell gpsd which device to manage. Therefore, in /etc/default/gpsd we set:</w:t>
      </w:r>
    </w:p>
    <w:p>
      <w:pPr>
        <w:pStyle w:val="Normal"/>
      </w:pPr>
      <w:r>
        <w:t>DEVICES</w:t>
        <w:t>=</w:t>
        <w:t>"/dev/ttyUSB0"</w:t>
      </w:r>
    </w:p>
    <w:p>
      <w:pPr>
        <w:pStyle w:val="Para 17"/>
      </w:pPr>
      <w:r>
        <w:t/>
      </w:r>
    </w:p>
    <w:p>
      <w:pPr>
        <w:pStyle w:val="Normal"/>
      </w:pPr>
      <w:r>
        <w:t xml:space="preserve">It should be noted that since the </w:t>
      </w:r>
      <w:r>
        <w:rPr>
          <w:rStyle w:val="Text3"/>
        </w:rPr>
        <w:t>default</w:t>
      </w:r>
      <w:r>
        <w:t xml:space="preserve"> use-case of gpsd is, well, for </w:t>
      </w:r>
      <w:r>
        <w:rPr>
          <w:rStyle w:val="Text3"/>
        </w:rPr>
        <w:t>gps position tracking</w:t>
      </w:r>
      <w:r>
        <w:t xml:space="preserve">, it will normally not consume any CPU since it is just waiting on a </w:t>
      </w:r>
      <w:r>
        <w:rPr>
          <w:rStyle w:val="Text0"/>
        </w:rPr>
        <w:t>socket</w:t>
      </w:r>
      <w:r>
        <w:t xml:space="preserve"> for clients. Further-more, the client will tell gpsd what it requests, and gpsd will only provide what is asked for.</w:t>
      </w:r>
    </w:p>
    <w:p>
      <w:pPr>
        <w:pStyle w:val="Normal"/>
      </w:pPr>
      <w:r>
        <w:t>For the use case of gpsd as a PPS-providing-daemon, you want to set the option to:</w:t>
      </w:r>
    </w:p>
    <w:p>
      <w:pPr>
        <w:pStyle w:val="Para 04"/>
      </w:pPr>
      <w:r>
        <w:t>• Immediately start (even without a client connected). This can be set in GPSD_OPTIONS of</w:t>
      </w:r>
    </w:p>
    <w:p>
      <w:pPr>
        <w:pStyle w:val="Para 02"/>
      </w:pPr>
      <w:r>
        <w:t>/etc/default/gpsd:</w:t>
      </w:r>
    </w:p>
    <w:p>
      <w:pPr>
        <w:pStyle w:val="Para 06"/>
      </w:pPr>
      <w:r>
        <w:rPr>
          <w:rStyle w:val="Text0"/>
        </w:rPr>
        <w:t>–</w:t>
      </w:r>
      <w:r>
        <w:t xml:space="preserve"> GPSD_OPTIONS="-n"</w:t>
      </w:r>
    </w:p>
    <w:p>
      <w:pPr>
        <w:pStyle w:val="Para 04"/>
      </w:pPr>
      <w:r>
        <w:t>• Enable the service itself and not wait for a client to reach the socket in the future:</w:t>
      </w:r>
    </w:p>
    <w:p>
      <w:pPr>
        <w:pStyle w:val="Para 06"/>
      </w:pPr>
      <w:r>
        <w:rPr>
          <w:rStyle w:val="Text0"/>
        </w:rPr>
        <w:t>–</w:t>
      </w:r>
      <w:r>
        <w:t xml:space="preserve"> sudo systemctl enable /lib/systemd/system/gpsd.service</w:t>
      </w:r>
    </w:p>
    <w:p>
      <w:pPr>
        <w:pStyle w:val="Normal"/>
      </w:pPr>
      <w:r>
        <w:t>Restarting gpsd will now initialize the PPS from GPS and in dmesg you will see:</w:t>
      </w:r>
    </w:p>
    <w:p>
      <w:pPr>
        <w:pStyle w:val="Normal"/>
      </w:pPr>
      <w:r>
        <w:t>pps_ldisc: PPS line discipline registered</w:t>
      </w:r>
    </w:p>
    <w:p>
      <w:pPr>
        <w:pStyle w:val="Normal"/>
      </w:pPr>
      <w:r>
        <w:t>pps pps0: new PPS source usbserial0</w:t>
      </w:r>
    </w:p>
    <w:p>
      <w:pPr>
        <w:pStyle w:val="Normal"/>
      </w:pPr>
      <w:r>
        <w:t>pps pps0: source "/dev/ttyUSB0" added</w:t>
      </w:r>
    </w:p>
    <w:p>
      <w:pPr>
        <w:pStyle w:val="Para 17"/>
      </w:pPr>
      <w:r>
        <w:t/>
      </w:r>
    </w:p>
    <w:p>
      <w:pPr>
        <w:pStyle w:val="Normal"/>
      </w:pPr>
      <w:r>
        <w:t>If you have multiple PPS sources, the tool ppsfind may be useful to help identify which PPS belongs to which GPS. In our example, the command sudo ppsfind /dev/ttyUSB0 would return the following:</w:t>
      </w:r>
    </w:p>
    <w:p>
      <w:pPr>
        <w:pStyle w:val="Normal"/>
      </w:pPr>
      <w:r>
        <w:t>pps0: name=usbserial0 path=/dev/ttyUSB0</w:t>
      </w:r>
    </w:p>
    <w:p>
      <w:pPr>
        <w:pStyle w:val="Para 17"/>
      </w:pPr>
      <w:r>
        <w:t/>
      </w:r>
    </w:p>
    <w:p>
      <w:pPr>
        <w:pStyle w:val="Normal"/>
      </w:pPr>
      <w:r>
        <w:t>Now we have completed the basic setup. To proceed, we now need our GPS to get a lock. Tools like cgps or gpsmon need to report a 3D “fix” in order to provide accurate data. Let’s run the command cgps, which in our case returns:</w:t>
      </w:r>
    </w:p>
    <w:p>
      <w:pPr>
        <w:pStyle w:val="Normal"/>
      </w:pPr>
      <w:r>
        <w:t>...</w:t>
      </w:r>
    </w:p>
    <w:p>
      <w:pPr>
        <w:pStyle w:val="Normal"/>
      </w:pPr>
      <w:r>
        <w:t>│ Status:</w:t>
        <w:t xml:space="preserve"> </w:t>
        <w:t>3D FIX (7 secs) ...</w:t>
      </w:r>
    </w:p>
    <w:p>
      <w:pPr>
        <w:pStyle w:val="Para 17"/>
      </w:pPr>
      <w:r>
        <w:t/>
      </w:r>
    </w:p>
    <w:p>
      <w:pPr>
        <w:pStyle w:val="Normal"/>
      </w:pPr>
      <w:r>
        <w:t>You would then want to use ppstest in order to check that you are really receiving PPS data. So, let us run the command sudo ppstest /dev/pps0, which will produce an output like this:</w:t>
      </w:r>
    </w:p>
    <w:p>
      <w:pPr>
        <w:pStyle w:val="Normal"/>
      </w:pPr>
      <w:r>
        <w:t>trying PPS source "/dev/pps0"</w:t>
      </w:r>
    </w:p>
    <w:p>
      <w:pPr>
        <w:pStyle w:val="Normal"/>
      </w:pPr>
      <w:r>
        <w:t>found PPS source "/dev/pps0"</w:t>
      </w:r>
    </w:p>
    <w:p>
      <w:pPr>
        <w:pStyle w:val="Normal"/>
      </w:pPr>
      <w:r>
        <w:t>ok, found 1 source(s), now start fetching data...</w:t>
      </w:r>
    </w:p>
    <w:p>
      <w:pPr>
        <w:pStyle w:val="Normal"/>
      </w:pPr>
      <w:r>
        <w:t>source 0 - assert 1588140739.099526246, sequence: 69 - clear</w:t>
        <w:t xml:space="preserve"> </w:t>
        <w:t>1588140739.999663721,</w:t>
        <w:t xml:space="preserve"> </w:t>
        <w:t>sequence: 70</w:t>
      </w:r>
    </w:p>
    <w:p>
      <w:pPr>
        <w:pStyle w:val="Normal"/>
      </w:pPr>
      <w:r>
        <w:t>source 0 - assert 1588140740.099661485, sequence: 70 - clear</w:t>
        <w:t xml:space="preserve"> </w:t>
        <w:t>1588140739.999663721,</w:t>
        <w:t xml:space="preserve"> </w:t>
        <w:t>sequence: 70</w:t>
      </w:r>
    </w:p>
    <w:p>
      <w:pPr>
        <w:pStyle w:val="Normal"/>
      </w:pPr>
      <w:r>
        <w:t>source 0 - assert 1588140740.099661485, sequence: 70 - clear</w:t>
        <w:t xml:space="preserve"> </w:t>
        <w:t>1588140740.999786664,</w:t>
        <w:t xml:space="preserve"> </w:t>
        <w:t>sequence: 71</w:t>
      </w:r>
    </w:p>
    <w:p>
      <w:pPr>
        <w:pStyle w:val="Para 09"/>
      </w:pPr>
      <w:r>
        <w:t>(continues on next page)</w:t>
      </w:r>
    </w:p>
    <w:p>
      <w:bookmarkStart w:id="402" w:name="page_2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7" name="index-282_1.png" descr="index-282_1.png"/>
            <wp:cNvGraphicFramePr>
              <a:graphicFrameLocks noChangeAspect="1"/>
            </wp:cNvGraphicFramePr>
            <a:graphic>
              <a:graphicData uri="http://schemas.openxmlformats.org/drawingml/2006/picture">
                <pic:pic>
                  <pic:nvPicPr>
                    <pic:cNvPr id="0" name="index-282_1.png" descr="index-282_1.png"/>
                    <pic:cNvPicPr/>
                  </pic:nvPicPr>
                  <pic:blipFill>
                    <a:blip r:embed="rId291"/>
                    <a:stretch>
                      <a:fillRect/>
                    </a:stretch>
                  </pic:blipFill>
                  <pic:spPr>
                    <a:xfrm>
                      <a:off x="0" y="0"/>
                      <a:ext cx="914400" cy="266700"/>
                    </a:xfrm>
                    <a:prstGeom prst="rect">
                      <a:avLst/>
                    </a:prstGeom>
                  </pic:spPr>
                </pic:pic>
              </a:graphicData>
            </a:graphic>
          </wp:anchor>
        </w:drawing>
      </w:r>
      <w:bookmarkEnd w:id="402"/>
    </w:p>
    <w:p>
      <w:pPr>
        <w:pStyle w:val="Para 09"/>
      </w:pPr>
      <w:r>
        <w:t>(continued from previous page)</w:t>
      </w:r>
    </w:p>
    <w:p>
      <w:pPr>
        <w:pStyle w:val="Normal"/>
      </w:pPr>
      <w:r>
        <w:t>source 0 - assert 1588140741.099792447, sequence: 71 - clear</w:t>
        <w:t xml:space="preserve"> </w:t>
        <w:t>1588140740.999786664,</w:t>
        <w:t xml:space="preserve"> </w:t>
        <w:t>sequence: 71</w:t>
      </w:r>
    </w:p>
    <w:p>
      <w:pPr>
        <w:pStyle w:val="Para 17"/>
      </w:pPr>
      <w:r>
        <w:t/>
      </w:r>
    </w:p>
    <w:p>
      <w:pPr>
        <w:pStyle w:val="Normal"/>
      </w:pPr>
      <w:r>
        <w:t>Ok, gpsd is now running, the GPS reception has found a fix, and it has fed this into chrony. Let’s check on that from the point of view of chrony.</w:t>
      </w:r>
    </w:p>
    <w:p>
      <w:pPr>
        <w:pStyle w:val="Normal"/>
      </w:pPr>
      <w:r>
        <w:t>Initially, before gpsd has started or before it has a lock, these sources will be new and “un-trusted” - they will be marked with a “?” as shown in the example below. If your devices remain in the “?” state (even after some time) then gpsd is not feeding any data to chrony and you will need to debug why.</w:t>
      </w:r>
    </w:p>
    <w:p>
      <w:pPr>
        <w:pStyle w:val="Normal"/>
      </w:pPr>
      <w:r>
        <w:t>chronyc&gt; sources</w:t>
      </w:r>
    </w:p>
    <w:p>
      <w:pPr>
        <w:pStyle w:val="Normal"/>
      </w:pPr>
      <w:r>
        <w:t>210 Number of sources = 10</w:t>
      </w:r>
    </w:p>
    <w:p>
      <w:pPr>
        <w:pStyle w:val="Normal"/>
      </w:pPr>
      <w:r>
        <w:t>MS Name/IP address</w:t>
        <w:t xml:space="preserve"> </w:t>
        <w:t>Stratum Poll Reach LastRx Last sample</w:t>
        <w:t xml:space="preserve"> </w:t>
        <w:t>===============================================================================</w:t>
        <w:t xml:space="preserve"> </w:t>
        <w:t>#? GPS</w:t>
        <w:t xml:space="preserve"> </w:t>
        <w:t>0</w:t>
        <w:t xml:space="preserve"> </w:t>
        <w:t>4</w:t>
        <w:t xml:space="preserve"> </w:t>
        <w:t>0</w:t>
        <w:t xml:space="preserve"> </w:t>
        <w:t>-</w:t>
        <w:t xml:space="preserve"> </w:t>
        <w:t>+0ns[</w:t>
        <w:t xml:space="preserve"> </w:t>
        <w:t>+0ns] +/-</w:t>
        <w:t xml:space="preserve"> </w:t>
        <w:t>0ns</w:t>
        <w:t xml:space="preserve"> </w:t>
        <w:t>#? PPS</w:t>
        <w:t xml:space="preserve"> </w:t>
        <w:t>0</w:t>
        <w:t xml:space="preserve"> </w:t>
        <w:t>4</w:t>
        <w:t xml:space="preserve"> </w:t>
        <w:t>0</w:t>
        <w:t xml:space="preserve"> </w:t>
        <w:t>-</w:t>
        <w:t xml:space="preserve"> </w:t>
        <w:t>+0ns[</w:t>
        <w:t xml:space="preserve"> </w:t>
        <w:t>+0ns] +/-</w:t>
        <w:t xml:space="preserve"> </w:t>
        <w:t>0ns</w:t>
      </w:r>
    </w:p>
    <w:p>
      <w:pPr>
        <w:pStyle w:val="Para 17"/>
      </w:pPr>
      <w:r>
        <w:t/>
      </w:r>
    </w:p>
    <w:p>
      <w:pPr>
        <w:pStyle w:val="Normal"/>
      </w:pPr>
      <w:r>
        <w:t>Over time, chrony will classify all of the unknown sources as “good” or “bad”. In the example below, the raw GPS had too much deviation (+- 200ms) but the PPS is good (+- 63us).</w:t>
      </w:r>
    </w:p>
    <w:p>
      <w:pPr>
        <w:pStyle w:val="Normal"/>
      </w:pPr>
      <w:r>
        <w:t>chronyc&gt; sources</w:t>
      </w:r>
    </w:p>
    <w:p>
      <w:pPr>
        <w:pStyle w:val="Normal"/>
      </w:pPr>
      <w:r>
        <w:t>210 Number of sources = 10</w:t>
      </w:r>
    </w:p>
    <w:p>
      <w:pPr>
        <w:pStyle w:val="Normal"/>
      </w:pPr>
      <w:r>
        <w:t>MS Name/IP address</w:t>
        <w:t xml:space="preserve"> </w:t>
        <w:t>Stratum Poll Reach LastRx Last sample</w:t>
        <w:t xml:space="preserve"> </w:t>
        <w:t>===============================================================================</w:t>
        <w:t xml:space="preserve"> </w:t>
        <w:t>#x GPS</w:t>
        <w:t xml:space="preserve"> </w:t>
        <w:t>0</w:t>
        <w:t xml:space="preserve"> </w:t>
        <w:t>4</w:t>
        <w:t xml:space="preserve"> </w:t>
        <w:t>177</w:t>
        <w:t xml:space="preserve"> </w:t>
        <w:t>24 -876ms[ -876ms] +/- 200ms</w:t>
        <w:t xml:space="preserve"> </w:t>
        <w:t>#- PPS</w:t>
        <w:t xml:space="preserve"> </w:t>
        <w:t>0</w:t>
        <w:t xml:space="preserve"> </w:t>
        <w:t>4</w:t>
        <w:t xml:space="preserve"> </w:t>
        <w:t>177</w:t>
        <w:t xml:space="preserve"> </w:t>
        <w:t>21 +916us[ +916us] +/- 63us</w:t>
        <w:t xml:space="preserve"> </w:t>
        <w:t>^- chilipepper.canonical.com</w:t>
        <w:t xml:space="preserve"> </w:t>
        <w:t>2</w:t>
        <w:t xml:space="preserve"> </w:t>
        <w:t>6</w:t>
        <w:t xml:space="preserve"> </w:t>
        <w:t>37</w:t>
        <w:t xml:space="preserve"> </w:t>
        <w:t>53</w:t>
        <w:t xml:space="preserve"> </w:t>
        <w:t>+33us[ +33us]</w:t>
        <w:t xml:space="preserve"> </w:t>
        <w:t>+/- 33ms</w:t>
      </w:r>
    </w:p>
    <w:p>
      <w:pPr>
        <w:pStyle w:val="Para 17"/>
      </w:pPr>
      <w:r>
        <w:t/>
      </w:r>
    </w:p>
    <w:p>
      <w:pPr>
        <w:pStyle w:val="Normal"/>
      </w:pPr>
      <w:r>
        <w:t>Finally, after a while it used the hardware PPS input (as it was better):</w:t>
      </w:r>
    </w:p>
    <w:p>
      <w:pPr>
        <w:pStyle w:val="Normal"/>
      </w:pPr>
      <w:r>
        <w:t>chronyc&gt; sources</w:t>
      </w:r>
    </w:p>
    <w:p>
      <w:pPr>
        <w:pStyle w:val="Normal"/>
      </w:pPr>
      <w:r>
        <w:t>210 Number of sources = 10</w:t>
      </w:r>
    </w:p>
    <w:p>
      <w:pPr>
        <w:pStyle w:val="Normal"/>
      </w:pPr>
      <w:r>
        <w:t>MS Name/IP address</w:t>
        <w:t xml:space="preserve"> </w:t>
        <w:t>Stratum Poll Reach LastRx Last sample</w:t>
        <w:t xml:space="preserve"> </w:t>
        <w:t>===============================================================================</w:t>
        <w:t xml:space="preserve"> </w:t>
        <w:t>#x GPS</w:t>
        <w:t xml:space="preserve"> </w:t>
        <w:t>0</w:t>
        <w:t xml:space="preserve"> </w:t>
        <w:t>4</w:t>
        <w:t xml:space="preserve"> </w:t>
        <w:t>377</w:t>
        <w:t xml:space="preserve"> </w:t>
        <w:t>20</w:t>
        <w:t xml:space="preserve"> </w:t>
        <w:t>-884ms[ -884ms] +/-</w:t>
        <w:t xml:space="preserve"> </w:t>
        <w:t>200ms</w:t>
        <w:t xml:space="preserve"> </w:t>
        <w:t>#* PPS</w:t>
        <w:t xml:space="preserve"> </w:t>
        <w:t>0</w:t>
        <w:t xml:space="preserve"> </w:t>
        <w:t>4</w:t>
        <w:t xml:space="preserve"> </w:t>
        <w:t>377</w:t>
        <w:t xml:space="preserve"> </w:t>
        <w:t>18</w:t>
        <w:t xml:space="preserve"> </w:t>
        <w:t>+6677ns[</w:t>
        <w:t xml:space="preserve"> </w:t>
        <w:t>+52us] +/-</w:t>
        <w:t xml:space="preserve"> </w:t>
        <w:t>58us</w:t>
        <w:t xml:space="preserve"> </w:t>
        <w:t>^- alphyn.canonical.com</w:t>
        <w:t xml:space="preserve"> </w:t>
        <w:t>2</w:t>
        <w:t xml:space="preserve"> </w:t>
        <w:t>6</w:t>
        <w:t xml:space="preserve"> </w:t>
        <w:t>377</w:t>
        <w:t xml:space="preserve"> </w:t>
        <w:t>20</w:t>
        <w:t xml:space="preserve"> </w:t>
        <w:t>-1303us[-1258us] +/-</w:t>
        <w:t xml:space="preserve"> </w:t>
        <w:t>114ms</w:t>
      </w:r>
    </w:p>
    <w:p>
      <w:pPr>
        <w:pStyle w:val="Para 17"/>
      </w:pPr>
      <w:r>
        <w:t/>
      </w:r>
    </w:p>
    <w:p>
      <w:pPr>
        <w:pStyle w:val="Normal"/>
      </w:pPr>
      <w:r>
        <w:t>The PPS might also be OK – but used in a combined way with the selected server, for example. See man chronyc for more details about how these combinations can look:</w:t>
      </w:r>
    </w:p>
    <w:p>
      <w:pPr>
        <w:pStyle w:val="Normal"/>
      </w:pPr>
      <w:r>
        <w:t>chronyc&gt; sources</w:t>
      </w:r>
    </w:p>
    <w:p>
      <w:pPr>
        <w:pStyle w:val="Normal"/>
      </w:pPr>
      <w:r>
        <w:t>210 Number of sources = 11</w:t>
      </w:r>
    </w:p>
    <w:p>
      <w:pPr>
        <w:pStyle w:val="Normal"/>
      </w:pPr>
      <w:r>
        <w:t>MS Name/IP address</w:t>
        <w:t xml:space="preserve"> </w:t>
        <w:t>Stratum Poll Reach LastRx Last sample</w:t>
        <w:t xml:space="preserve"> </w:t>
        <w:t>===============================================================================</w:t>
        <w:t xml:space="preserve"> </w:t>
        <w:t>#? GPS</w:t>
        <w:t xml:space="preserve"> </w:t>
        <w:t>0</w:t>
        <w:t xml:space="preserve"> </w:t>
        <w:t>4</w:t>
        <w:t xml:space="preserve"> </w:t>
        <w:t>0</w:t>
        <w:t xml:space="preserve"> </w:t>
        <w:t>-</w:t>
        <w:t xml:space="preserve"> </w:t>
        <w:t>+0ns[</w:t>
        <w:t xml:space="preserve"> </w:t>
        <w:t>+0ns] +/-</w:t>
        <w:t xml:space="preserve"> </w:t>
        <w:t>0ns</w:t>
        <w:t xml:space="preserve"> </w:t>
        <w:t>#+ PPS</w:t>
        <w:t xml:space="preserve"> </w:t>
        <w:t>0</w:t>
        <w:t xml:space="preserve"> </w:t>
        <w:t>4</w:t>
        <w:t xml:space="preserve"> </w:t>
        <w:t>377</w:t>
        <w:t xml:space="preserve"> </w:t>
        <w:t>22</w:t>
        <w:t xml:space="preserve"> </w:t>
        <w:t>+154us[ +154us] +/- 8561us</w:t>
        <w:t xml:space="preserve"> </w:t>
        <w:t>^* chilipepper.canonical.com</w:t>
        <w:t xml:space="preserve"> </w:t>
        <w:t>2</w:t>
        <w:t xml:space="preserve"> </w:t>
        <w:t>6</w:t>
        <w:t xml:space="preserve"> </w:t>
        <w:t>377</w:t>
        <w:t xml:space="preserve"> </w:t>
        <w:t>50</w:t>
        <w:t xml:space="preserve"> </w:t>
        <w:t>-353us[ -300us] +/-</w:t>
        <w:t xml:space="preserve"> </w:t>
        <w:t>44ms</w:t>
      </w:r>
    </w:p>
    <w:p>
      <w:pPr>
        <w:pStyle w:val="Para 17"/>
      </w:pPr>
      <w:r>
        <w:t/>
      </w:r>
    </w:p>
    <w:p>
      <w:pPr>
        <w:pStyle w:val="Normal"/>
      </w:pPr>
      <w:r>
        <w:t>If you’re wondering if your SHM-based GPS data is any good, you can check on that as well. chrony will not only tell you if the data is classified as good or bad – using sourcestats you can also check the details:</w:t>
      </w:r>
    </w:p>
    <w:p>
      <w:bookmarkStart w:id="403" w:name="page_2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8" name="index-283_1.png" descr="index-283_1.png"/>
            <wp:cNvGraphicFramePr>
              <a:graphicFrameLocks noChangeAspect="1"/>
            </wp:cNvGraphicFramePr>
            <a:graphic>
              <a:graphicData uri="http://schemas.openxmlformats.org/drawingml/2006/picture">
                <pic:pic>
                  <pic:nvPicPr>
                    <pic:cNvPr id="0" name="index-283_1.png" descr="index-283_1.png"/>
                    <pic:cNvPicPr/>
                  </pic:nvPicPr>
                  <pic:blipFill>
                    <a:blip r:embed="rId292"/>
                    <a:stretch>
                      <a:fillRect/>
                    </a:stretch>
                  </pic:blipFill>
                  <pic:spPr>
                    <a:xfrm>
                      <a:off x="0" y="0"/>
                      <a:ext cx="914400" cy="266700"/>
                    </a:xfrm>
                    <a:prstGeom prst="rect">
                      <a:avLst/>
                    </a:prstGeom>
                  </pic:spPr>
                </pic:pic>
              </a:graphicData>
            </a:graphic>
          </wp:anchor>
        </w:drawing>
      </w:r>
      <w:bookmarkEnd w:id="403"/>
    </w:p>
    <w:p>
      <w:pPr>
        <w:pStyle w:val="Normal"/>
      </w:pPr>
      <w:r>
        <w:t>chronyc&gt; sourcestats</w:t>
      </w:r>
    </w:p>
    <w:p>
      <w:pPr>
        <w:pStyle w:val="Normal"/>
      </w:pPr>
      <w:r>
        <w:t>210 Number of sources = 10</w:t>
      </w:r>
    </w:p>
    <w:p>
      <w:pPr>
        <w:pStyle w:val="Normal"/>
      </w:pPr>
      <w:r>
        <w:t>Name/IP Address</w:t>
        <w:t xml:space="preserve"> </w:t>
        <w:t>NP</w:t>
        <w:t xml:space="preserve"> </w:t>
        <w:t>NR</w:t>
        <w:t xml:space="preserve"> </w:t>
        <w:t>Span</w:t>
        <w:t xml:space="preserve"> </w:t>
        <w:t>Frequency</w:t>
        <w:t xml:space="preserve"> </w:t>
        <w:t>Freq Skew</w:t>
        <w:t xml:space="preserve"> </w:t>
        <w:t>Offset</w:t>
        <w:t xml:space="preserve"> </w:t>
        <w:t>Std Dev</w:t>
        <w:t xml:space="preserve"> </w:t>
        <w:t>==============================================================================</w:t>
        <w:t xml:space="preserve"> </w:t>
        <w:t>GPS</w:t>
        <w:t xml:space="preserve"> </w:t>
        <w:t>20</w:t>
        <w:t xml:space="preserve"> </w:t>
        <w:t>9</w:t>
        <w:t xml:space="preserve"> </w:t>
        <w:t>302</w:t>
        <w:t xml:space="preserve"> </w:t>
        <w:t>+1.993</w:t>
        <w:t xml:space="preserve"> </w:t>
        <w:t>11.501</w:t>
        <w:t xml:space="preserve"> </w:t>
        <w:t>-868ms</w:t>
        <w:t xml:space="preserve"> </w:t>
        <w:t>1208us</w:t>
        <w:t xml:space="preserve"> </w:t>
        <w:t>PPS</w:t>
        <w:t xml:space="preserve"> </w:t>
        <w:t>6</w:t>
        <w:t xml:space="preserve"> </w:t>
        <w:t>3</w:t>
        <w:t xml:space="preserve"> </w:t>
        <w:t>78</w:t>
        <w:t xml:space="preserve"> </w:t>
        <w:t>+0.324</w:t>
        <w:t xml:space="preserve"> </w:t>
        <w:t>5.009</w:t>
        <w:t xml:space="preserve"> </w:t>
        <w:t>+3365ns</w:t>
        <w:t xml:space="preserve"> </w:t>
        <w:t>41us</w:t>
        <w:t xml:space="preserve"> </w:t>
        <w:t>golem.canonical.com</w:t>
        <w:t xml:space="preserve"> </w:t>
        <w:t>15</w:t>
        <w:t xml:space="preserve"> </w:t>
        <w:t>10</w:t>
        <w:t xml:space="preserve"> </w:t>
        <w:t>783</w:t>
        <w:t xml:space="preserve"> </w:t>
        <w:t>+0.859</w:t>
        <w:t xml:space="preserve"> </w:t>
        <w:t>0.509</w:t>
        <w:t xml:space="preserve"> </w:t>
        <w:t>-750us</w:t>
        <w:t xml:space="preserve"> </w:t>
        <w:t>108us</w:t>
      </w:r>
    </w:p>
    <w:p>
      <w:pPr>
        <w:pStyle w:val="Para 17"/>
      </w:pPr>
      <w:r>
        <w:t/>
      </w:r>
    </w:p>
    <w:p>
      <w:pPr>
        <w:pStyle w:val="Normal"/>
      </w:pPr>
      <w:r>
        <w:t>You can also track the raw data that gpsd or other ntpd-compliant reference clocks are send-ing via shared memory by using ntpshmmon. Let us run the command sudo ntpshmmon -o, which should provide the following output:</w:t>
      </w:r>
    </w:p>
    <w:p>
      <w:pPr>
        <w:pStyle w:val="Normal"/>
      </w:pPr>
      <w:r>
        <w:t>ntpshmmon: version 3.20</w:t>
      </w:r>
    </w:p>
    <w:p>
      <w:pPr>
        <w:pStyle w:val="Normal"/>
      </w:pPr>
      <w:r>
        <w:t>#</w:t>
        <w:t xml:space="preserve"> </w:t>
        <w:t>Name</w:t>
        <w:t xml:space="preserve"> </w:t>
        <w:t>Offset</w:t>
        <w:t xml:space="preserve"> </w:t>
        <w:t>Clock</w:t>
        <w:t xml:space="preserve"> </w:t>
        <w:t>Real</w:t>
        <w:t xml:space="preserve"> </w:t>
        <w:t>L Prc</w:t>
        <w:t xml:space="preserve"> </w:t>
        <w:t>sample NTP1</w:t>
        <w:t xml:space="preserve"> </w:t>
        <w:t>0.000223854</w:t>
        <w:t xml:space="preserve"> </w:t>
        <w:t>1588265805.000223854</w:t>
        <w:t xml:space="preserve"> </w:t>
        <w:t>1588265805.000000000 0 -10</w:t>
        <w:t xml:space="preserve"> </w:t>
        <w:t>sample NTP0</w:t>
        <w:t xml:space="preserve"> </w:t>
        <w:t>0.125691783</w:t>
        <w:t xml:space="preserve"> </w:t>
        <w:t>1588265805.125999851</w:t>
        <w:t xml:space="preserve"> </w:t>
        <w:t>1588265805.000308068 0 -20</w:t>
        <w:t xml:space="preserve"> </w:t>
        <w:t>sample NTP1</w:t>
        <w:t xml:space="preserve"> </w:t>
        <w:t>0.000349341</w:t>
        <w:t xml:space="preserve"> </w:t>
        <w:t>1588265806.000349341</w:t>
        <w:t xml:space="preserve"> </w:t>
        <w:t>1588265806.000000000 0 -10</w:t>
        <w:t xml:space="preserve"> </w:t>
        <w:t>sample NTP0</w:t>
        <w:t xml:space="preserve"> </w:t>
        <w:t>0.130326636</w:t>
        <w:t xml:space="preserve"> </w:t>
        <w:t>1588265806.130634945</w:t>
        <w:t xml:space="preserve"> </w:t>
        <w:t>1588265806.000308309 0 -20</w:t>
        <w:t xml:space="preserve"> </w:t>
        <w:t>sample NTP1</w:t>
        <w:t xml:space="preserve"> </w:t>
        <w:t>0.000485216</w:t>
        <w:t xml:space="preserve"> </w:t>
        <w:t>1588265807.000485216</w:t>
        <w:t xml:space="preserve"> </w:t>
        <w:t>1588265807.000000000 0 -10</w:t>
      </w:r>
    </w:p>
    <w:p>
      <w:pPr>
        <w:pStyle w:val="Para 17"/>
      </w:pPr>
      <w:r>
        <w:t/>
      </w:r>
    </w:p>
    <w:p>
      <w:pPr>
        <w:pStyle w:val="Para 01"/>
      </w:pPr>
      <w:r>
        <w:t>NTS Support</w:t>
      </w:r>
    </w:p>
    <w:p>
      <w:pPr>
        <w:pStyle w:val="Para 17"/>
      </w:pPr>
      <w:r>
        <w:t/>
      </w:r>
    </w:p>
    <w:p>
      <w:pPr>
        <w:pStyle w:val="Normal"/>
      </w:pPr>
      <w:r>
        <w:t xml:space="preserve">In Chrony 4.0 (which first appeared in Ubuntu 21.04 Hirsute) support for </w:t>
      </w:r>
      <w:hyperlink r:id="rId1214">
        <w:r>
          <w:rPr>
            <w:rStyle w:val="Text1"/>
          </w:rPr>
          <w:t>Network Time Secu-</w:t>
        </w:r>
      </w:hyperlink>
    </w:p>
    <w:p>
      <w:pPr>
        <w:pStyle w:val="Normal"/>
      </w:pPr>
      <w:hyperlink r:id="rId1214">
        <w:r>
          <w:rPr>
            <w:rStyle w:val="Text1"/>
          </w:rPr>
          <w:t>rity “NTS”</w:t>
        </w:r>
      </w:hyperlink>
      <w:hyperlink w:anchor="page_283">
        <w:r>
          <w:rPr>
            <w:rStyle w:val="Text9"/>
          </w:rPr>
          <w:t>214</w:t>
        </w:r>
      </w:hyperlink>
      <w:r>
        <w:t xml:space="preserve"> was added.</w:t>
      </w:r>
    </w:p>
    <w:p>
      <w:pPr>
        <w:pStyle w:val="Para 17"/>
      </w:pPr>
      <w:r>
        <w:t/>
      </w:r>
    </w:p>
    <w:p>
      <w:pPr>
        <w:pStyle w:val="Para 01"/>
      </w:pPr>
      <w:r>
        <w:t>NTS server</w:t>
      </w:r>
    </w:p>
    <w:p>
      <w:pPr>
        <w:pStyle w:val="Para 17"/>
      </w:pPr>
      <w:r>
        <w:t/>
      </w:r>
    </w:p>
    <w:p>
      <w:pPr>
        <w:pStyle w:val="Normal"/>
      </w:pPr>
      <w:r>
        <w:t>To set up your server with NTS you’ll need certificates so that the server can authenticate itself and, based on that, allow the encryption and verification of NTP traffic.</w:t>
      </w:r>
    </w:p>
    <w:p>
      <w:pPr>
        <w:pStyle w:val="Normal"/>
      </w:pPr>
      <w:r>
        <w:t>In addition to the allow statement that any chrony (while working as an NTP server) needs there are two mandatory config entries that will be needed. Example certificates for those entries would look like:</w:t>
      </w:r>
    </w:p>
    <w:p>
      <w:pPr>
        <w:pStyle w:val="Normal"/>
      </w:pPr>
      <w:r>
        <w:t>ntsservercert /etc/chrony/fullchain.pem</w:t>
      </w:r>
    </w:p>
    <w:p>
      <w:pPr>
        <w:pStyle w:val="Normal"/>
      </w:pPr>
      <w:r>
        <w:t>ntsserverkey /etc/chrony/privkey.pem</w:t>
      </w:r>
    </w:p>
    <w:p>
      <w:pPr>
        <w:pStyle w:val="Para 17"/>
      </w:pPr>
      <w:r>
        <w:t/>
      </w:r>
    </w:p>
    <w:p>
      <w:pPr>
        <w:pStyle w:val="Normal"/>
      </w:pPr>
      <w:r>
        <w:t>It is important to note that for isolation reasons chrony, by default, runs as user and group _chrony. Therefore you need to grant access to the certificates for that user, by running the following command:.</w:t>
      </w:r>
    </w:p>
    <w:p>
      <w:pPr>
        <w:pStyle w:val="Normal"/>
      </w:pPr>
      <w:r>
        <w:t>sudo chown _chrony:_chrony /etc/chrony/*.pem</w:t>
      </w:r>
    </w:p>
    <w:p>
      <w:pPr>
        <w:pStyle w:val="Para 17"/>
      </w:pPr>
      <w:r>
        <w:t/>
      </w:r>
    </w:p>
    <w:p>
      <w:pPr>
        <w:pStyle w:val="Normal"/>
      </w:pPr>
      <w:r>
        <w:t>Then restart chrony with systemctl restart chrony and it will be ready to provide NTS-based time services.</w:t>
      </w:r>
    </w:p>
    <w:p>
      <w:pPr>
        <w:pStyle w:val="Normal"/>
      </w:pPr>
      <w:r>
        <w:t>A running chrony server measures various statistics. One of them counts the number of NTS connections that were established (or dropped) – we can check this by running sudo chronyc-N serverstats, which shows us the statistics:</w:t>
      </w:r>
    </w:p>
    <w:p>
      <w:pPr>
        <w:pStyle w:val="Para 05"/>
      </w:pPr>
      <w:r>
        <w:rPr>
          <w:rStyle w:val="Text5"/>
        </w:rPr>
        <w:t>214</w:t>
      </w:r>
      <w:r>
        <w:rPr>
          <w:rStyle w:val="Text8"/>
        </w:rPr>
        <w:t xml:space="preserve"> </w:t>
      </w:r>
      <w:r>
        <w:t>https://web.archive.org/web/20241130024605/http://networktimesecurity.org/</w:t>
      </w:r>
    </w:p>
    <w:p>
      <w:bookmarkStart w:id="404" w:name="page_2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89" name="index-284_1.png" descr="index-284_1.png"/>
            <wp:cNvGraphicFramePr>
              <a:graphicFrameLocks noChangeAspect="1"/>
            </wp:cNvGraphicFramePr>
            <a:graphic>
              <a:graphicData uri="http://schemas.openxmlformats.org/drawingml/2006/picture">
                <pic:pic>
                  <pic:nvPicPr>
                    <pic:cNvPr id="0" name="index-284_1.png" descr="index-284_1.png"/>
                    <pic:cNvPicPr/>
                  </pic:nvPicPr>
                  <pic:blipFill>
                    <a:blip r:embed="rId293"/>
                    <a:stretch>
                      <a:fillRect/>
                    </a:stretch>
                  </pic:blipFill>
                  <pic:spPr>
                    <a:xfrm>
                      <a:off x="0" y="0"/>
                      <a:ext cx="914400" cy="266700"/>
                    </a:xfrm>
                    <a:prstGeom prst="rect">
                      <a:avLst/>
                    </a:prstGeom>
                  </pic:spPr>
                </pic:pic>
              </a:graphicData>
            </a:graphic>
          </wp:anchor>
        </w:drawing>
      </w:r>
      <w:bookmarkEnd w:id="404"/>
    </w:p>
    <w:p>
      <w:pPr>
        <w:pStyle w:val="Normal"/>
      </w:pPr>
      <w:r>
        <w:t>NTP packets received</w:t>
        <w:t xml:space="preserve"> </w:t>
        <w:t>: 213</w:t>
      </w:r>
    </w:p>
    <w:p>
      <w:pPr>
        <w:pStyle w:val="Normal"/>
      </w:pPr>
      <w:r>
        <w:t>NTP packets dropped</w:t>
        <w:t xml:space="preserve"> </w:t>
        <w:t>: 0</w:t>
      </w:r>
    </w:p>
    <w:p>
      <w:pPr>
        <w:pStyle w:val="Normal"/>
      </w:pPr>
      <w:r>
        <w:t>Command packets received</w:t>
        <w:t xml:space="preserve"> </w:t>
        <w:t>: 117</w:t>
      </w:r>
    </w:p>
    <w:p>
      <w:pPr>
        <w:pStyle w:val="Normal"/>
      </w:pPr>
      <w:r>
        <w:t>Command packets dropped</w:t>
        <w:t xml:space="preserve"> </w:t>
        <w:t>: 0</w:t>
      </w:r>
    </w:p>
    <w:p>
      <w:pPr>
        <w:pStyle w:val="Normal"/>
      </w:pPr>
      <w:r>
        <w:t>Client log records dropped : 0</w:t>
      </w:r>
    </w:p>
    <w:p>
      <w:pPr>
        <w:pStyle w:val="Normal"/>
      </w:pPr>
      <w:r>
        <w:t>NTS-KE connections accepted: 2</w:t>
      </w:r>
    </w:p>
    <w:p>
      <w:pPr>
        <w:pStyle w:val="Normal"/>
      </w:pPr>
      <w:r>
        <w:t>NTS-KE connections dropped : 0</w:t>
      </w:r>
    </w:p>
    <w:p>
      <w:pPr>
        <w:pStyle w:val="Normal"/>
      </w:pPr>
      <w:r>
        <w:t>Authenticated NTP packets</w:t>
        <w:t xml:space="preserve"> </w:t>
        <w:t>: 197</w:t>
      </w:r>
    </w:p>
    <w:p>
      <w:pPr>
        <w:pStyle w:val="Para 17"/>
      </w:pPr>
      <w:r>
        <w:t/>
      </w:r>
    </w:p>
    <w:p>
      <w:pPr>
        <w:pStyle w:val="Normal"/>
      </w:pPr>
      <w:r>
        <w:t>There is also a per-client statistic which can be enabled by the-p option of the clients com-mand.</w:t>
      </w:r>
    </w:p>
    <w:p>
      <w:pPr>
        <w:pStyle w:val="Normal"/>
      </w:pPr>
      <w:r>
        <w:t>sudo chronyc -N clients -k</w:t>
      </w:r>
    </w:p>
    <w:p>
      <w:pPr>
        <w:pStyle w:val="Para 17"/>
      </w:pPr>
      <w:r>
        <w:t/>
      </w:r>
    </w:p>
    <w:p>
      <w:pPr>
        <w:pStyle w:val="Normal"/>
      </w:pPr>
      <w:r>
        <w:t>This provides output in the following form:</w:t>
      </w:r>
    </w:p>
    <w:p>
      <w:pPr>
        <w:pStyle w:val="Para 02"/>
      </w:pPr>
      <w:r>
        <w:t>Hostname</w:t>
        <w:t xml:space="preserve"> </w:t>
        <w:t>NTP</w:t>
        <w:t xml:space="preserve"> </w:t>
        <w:t>Drop Int IntL Last</w:t>
        <w:t xml:space="preserve"> </w:t>
        <w:t>NTS-KE</w:t>
        <w:t xml:space="preserve"> </w:t>
        <w:t>Drop Int</w:t>
        <w:t xml:space="preserve"> </w:t>
        <w:t>Last</w:t>
        <w:t xml:space="preserve"> </w:t>
        <w:t>===============================================================================</w:t>
        <w:t xml:space="preserve"> </w:t>
        <w:t>10.172.196.173</w:t>
        <w:t xml:space="preserve"> </w:t>
        <w:t>197</w:t>
        <w:t xml:space="preserve"> </w:t>
        <w:t>0</w:t>
        <w:t xml:space="preserve"> </w:t>
        <w:t>10</w:t>
        <w:t xml:space="preserve"> </w:t>
        <w:t>-</w:t>
        <w:t xml:space="preserve"> </w:t>
        <w:t>595</w:t>
        <w:t xml:space="preserve"> </w:t>
        <w:t>2</w:t>
        <w:t xml:space="preserve"> </w:t>
        <w:t>0</w:t>
        <w:t xml:space="preserve"> </w:t>
        <w:t>5</w:t>
        <w:t xml:space="preserve"> </w:t>
        <w:t>48h</w:t>
        <w:t xml:space="preserve"> </w:t>
        <w:t>...</w:t>
      </w:r>
    </w:p>
    <w:p>
      <w:pPr>
        <w:pStyle w:val="Para 17"/>
      </w:pPr>
      <w:r>
        <w:t/>
      </w:r>
    </w:p>
    <w:p>
      <w:pPr>
        <w:pStyle w:val="Normal"/>
      </w:pPr>
      <w:r>
        <w:t>For more complex scenarios there are many more advanced options for configuring NTS.</w:t>
      </w:r>
    </w:p>
    <w:p>
      <w:pPr>
        <w:pStyle w:val="Normal"/>
      </w:pPr>
      <w:r>
        <w:t xml:space="preserve">These are documented in the </w:t>
      </w:r>
      <w:hyperlink w:anchor="page_284">
        <w:r>
          <w:rPr>
            <w:rStyle w:val="Text9"/>
          </w:rPr>
          <w:t>215</w:t>
        </w:r>
      </w:hyperlink>
      <w:r>
        <w:t xml:space="preserve"> </w:t>
      </w:r>
      <w:hyperlink r:id="rId1207">
        <w:r>
          <w:rPr>
            <w:rStyle w:val="Text2"/>
          </w:rPr>
          <w:t>chrony.conf(5)</w:t>
        </w:r>
      </w:hyperlink>
      <w:r>
        <w:t xml:space="preserve"> manual page.</w:t>
      </w:r>
    </w:p>
    <w:p>
      <w:pPr>
        <w:pStyle w:val="Para 17"/>
      </w:pPr>
      <w:r>
        <w:t/>
      </w:r>
    </w:p>
    <w:p>
      <w:pPr>
        <w:pStyle w:val="Para 08"/>
      </w:pPr>
      <w:r>
        <w:t>About certificate placement</w:t>
      </w:r>
    </w:p>
    <w:p>
      <w:pPr>
        <w:pStyle w:val="Para 17"/>
      </w:pPr>
      <w:r>
        <w:t/>
      </w:r>
    </w:p>
    <w:p>
      <w:pPr>
        <w:pStyle w:val="Para 03"/>
      </w:pPr>
      <w:r>
        <w:t>chrony, by default, is isolated via AppArmor and uses a number of protect* features of</w:t>
      </w:r>
    </w:p>
    <w:p>
      <w:pPr>
        <w:pStyle w:val="Para 03"/>
      </w:pPr>
      <w:r>
        <w:t>systemd. Due to that, there are not many paths chrony can access for the certificates. But</w:t>
      </w:r>
    </w:p>
    <w:p>
      <w:pPr>
        <w:pStyle w:val="Para 03"/>
      </w:pPr>
      <w:r>
        <w:t>/etc/chrony/* is allowed as read-only and that is enough. Check /etc/apparmor.d/usr.</w:t>
      </w:r>
    </w:p>
    <w:p>
      <w:pPr>
        <w:pStyle w:val="Para 03"/>
      </w:pPr>
      <w:r>
        <w:t>sbin.chronyd if you want other paths or allow custom paths in /etc/apparmor.d/local/</w:t>
      </w:r>
    </w:p>
    <w:p>
      <w:pPr>
        <w:pStyle w:val="Para 03"/>
      </w:pPr>
      <w:r>
        <w:t>usr.sbin.chronyd.</w:t>
      </w:r>
    </w:p>
    <w:p>
      <w:pPr>
        <w:pStyle w:val="Para 17"/>
      </w:pPr>
      <w:r>
        <w:t/>
      </w:r>
    </w:p>
    <w:p>
      <w:pPr>
        <w:pStyle w:val="Para 01"/>
      </w:pPr>
      <w:r>
        <w:t>References</w:t>
      </w:r>
    </w:p>
    <w:p>
      <w:pPr>
        <w:pStyle w:val="Para 17"/>
      </w:pPr>
      <w:r>
        <w:t/>
      </w:r>
    </w:p>
    <w:p>
      <w:pPr>
        <w:pStyle w:val="Para 13"/>
      </w:pPr>
      <w:r>
        <w:rPr>
          <w:rStyle w:val="Text7"/>
        </w:rPr>
        <w:t xml:space="preserve">• </w:t>
      </w:r>
      <w:hyperlink w:anchor="page_284">
        <w:r>
          <w:rPr>
            <w:rStyle w:val="Text10"/>
          </w:rPr>
          <w:t>216</w:t>
        </w:r>
      </w:hyperlink>
      <w:r>
        <w:rPr>
          <w:rStyle w:val="Text7"/>
        </w:rPr>
        <w:t xml:space="preserve"> </w:t>
      </w:r>
      <w:hyperlink r:id="rId1215">
        <w:r>
          <w:t>chrony</w:t>
        </w:r>
      </w:hyperlink>
      <w:r>
        <w:rPr>
          <w:rStyle w:val="Text7"/>
        </w:rPr>
        <w:t xml:space="preserve"> </w:t>
      </w:r>
      <w:hyperlink r:id="rId1215">
        <w:r>
          <w:t>FAQ</w:t>
        </w:r>
      </w:hyperlink>
    </w:p>
    <w:p>
      <w:pPr>
        <w:pStyle w:val="Para 13"/>
      </w:pPr>
      <w:r>
        <w:rPr>
          <w:rStyle w:val="Text7"/>
        </w:rPr>
        <w:t xml:space="preserve">• </w:t>
      </w:r>
      <w:hyperlink r:id="rId1216">
        <w:r>
          <w:rPr>
            <w:rStyle w:val="Text10"/>
          </w:rPr>
          <w:t>217</w:t>
        </w:r>
      </w:hyperlink>
      <w:hyperlink r:id="rId1216">
        <w:r>
          <w:t xml:space="preserve"> ntp.org: home of the Network Time Protocol project</w:t>
        </w:r>
      </w:hyperlink>
    </w:p>
    <w:p>
      <w:pPr>
        <w:pStyle w:val="Para 13"/>
      </w:pPr>
      <w:r>
        <w:rPr>
          <w:rStyle w:val="Text7"/>
        </w:rPr>
        <w:t xml:space="preserve">• </w:t>
      </w:r>
      <w:hyperlink r:id="rId1217">
        <w:r>
          <w:rPr>
            <w:rStyle w:val="Text10"/>
          </w:rPr>
          <w:t>218</w:t>
        </w:r>
      </w:hyperlink>
      <w:hyperlink r:id="rId1217">
        <w:r>
          <w:t xml:space="preserve"> pool.ntp.org: project of virtual cluster of timeservers</w:t>
        </w:r>
      </w:hyperlink>
    </w:p>
    <w:p>
      <w:pPr>
        <w:pStyle w:val="Para 13"/>
      </w:pPr>
      <w:r>
        <w:rPr>
          <w:rStyle w:val="Text7"/>
        </w:rPr>
        <w:t xml:space="preserve">• </w:t>
      </w:r>
      <w:hyperlink w:anchor="page_284">
        <w:r>
          <w:rPr>
            <w:rStyle w:val="Text10"/>
          </w:rPr>
          <w:t>219</w:t>
        </w:r>
      </w:hyperlink>
      <w:r>
        <w:rPr>
          <w:rStyle w:val="Text7"/>
        </w:rPr>
        <w:t xml:space="preserve"> </w:t>
      </w:r>
      <w:hyperlink r:id="rId1218">
        <w:r>
          <w:t>Freedesktop.org info on</w:t>
        </w:r>
      </w:hyperlink>
      <w:r>
        <w:rPr>
          <w:rStyle w:val="Text7"/>
        </w:rPr>
        <w:t xml:space="preserve"> </w:t>
      </w:r>
      <w:hyperlink r:id="rId1218">
        <w:r>
          <w:t>timedatectl</w:t>
        </w:r>
      </w:hyperlink>
    </w:p>
    <w:p>
      <w:pPr>
        <w:pStyle w:val="Para 13"/>
      </w:pPr>
      <w:r>
        <w:rPr>
          <w:rStyle w:val="Text7"/>
        </w:rPr>
        <w:t xml:space="preserve">• </w:t>
      </w:r>
      <w:hyperlink w:anchor="page_284">
        <w:r>
          <w:rPr>
            <w:rStyle w:val="Text10"/>
          </w:rPr>
          <w:t>220</w:t>
        </w:r>
      </w:hyperlink>
      <w:r>
        <w:rPr>
          <w:rStyle w:val="Text7"/>
        </w:rPr>
        <w:t xml:space="preserve"> </w:t>
      </w:r>
      <w:hyperlink r:id="rId1219">
        <w:r>
          <w:t>Freedesktop.org info on systemd-timesyncd service</w:t>
        </w:r>
      </w:hyperlink>
    </w:p>
    <w:p>
      <w:pPr>
        <w:pStyle w:val="Para 13"/>
      </w:pPr>
      <w:r>
        <w:rPr>
          <w:rStyle w:val="Text7"/>
        </w:rPr>
        <w:t xml:space="preserve">• </w:t>
      </w:r>
      <w:hyperlink r:id="rId1220">
        <w:r>
          <w:rPr>
            <w:rStyle w:val="Text10"/>
          </w:rPr>
          <w:t>221</w:t>
        </w:r>
      </w:hyperlink>
      <w:hyperlink r:id="rId1220">
        <w:r>
          <w:t xml:space="preserve"> Feeding chrony from GPSD</w:t>
        </w:r>
      </w:hyperlink>
    </w:p>
    <w:p>
      <w:pPr>
        <w:pStyle w:val="Para 04"/>
      </w:pPr>
      <w:r>
        <w:t xml:space="preserve">• See the </w:t>
      </w:r>
      <w:hyperlink r:id="rId1212">
        <w:r>
          <w:rPr>
            <w:rStyle w:val="Text9"/>
          </w:rPr>
          <w:t>222</w:t>
        </w:r>
      </w:hyperlink>
      <w:hyperlink r:id="rId1212">
        <w:r>
          <w:rPr>
            <w:rStyle w:val="Text1"/>
          </w:rPr>
          <w:t xml:space="preserve"> Ubuntu Time</w:t>
        </w:r>
      </w:hyperlink>
      <w:r>
        <w:t xml:space="preserve"> wiki page for more information.</w:t>
      </w:r>
    </w:p>
    <w:p>
      <w:pPr>
        <w:pStyle w:val="Para 05"/>
      </w:pPr>
      <w:r>
        <w:rPr>
          <w:rStyle w:val="Text5"/>
        </w:rPr>
        <w:t>215</w:t>
      </w:r>
      <w:r>
        <w:rPr>
          <w:rStyle w:val="Text8"/>
        </w:rPr>
        <w:t xml:space="preserve"> </w:t>
      </w:r>
      <w:r>
        <w:t>https://manpages.ubuntu.com/manpages/resolute/man5/chrony.conf.5.html</w:t>
      </w:r>
    </w:p>
    <w:p>
      <w:pPr>
        <w:pStyle w:val="Para 05"/>
      </w:pPr>
      <w:r>
        <w:rPr>
          <w:rStyle w:val="Text5"/>
        </w:rPr>
        <w:t>216</w:t>
      </w:r>
      <w:r>
        <w:rPr>
          <w:rStyle w:val="Text8"/>
        </w:rPr>
        <w:t xml:space="preserve"> </w:t>
      </w:r>
      <w:r>
        <w:t>https://chrony-project.org/faq.html</w:t>
      </w:r>
    </w:p>
    <w:p>
      <w:pPr>
        <w:pStyle w:val="Para 05"/>
      </w:pPr>
      <w:r>
        <w:rPr>
          <w:rStyle w:val="Text5"/>
        </w:rPr>
        <w:t>217</w:t>
      </w:r>
      <w:r>
        <w:rPr>
          <w:rStyle w:val="Text8"/>
        </w:rPr>
        <w:t xml:space="preserve"> </w:t>
      </w:r>
      <w:r>
        <w:t>http://www.ntp.org/</w:t>
      </w:r>
    </w:p>
    <w:p>
      <w:pPr>
        <w:pStyle w:val="Para 05"/>
      </w:pPr>
      <w:r>
        <w:rPr>
          <w:rStyle w:val="Text5"/>
        </w:rPr>
        <w:t>218</w:t>
      </w:r>
      <w:r>
        <w:rPr>
          <w:rStyle w:val="Text8"/>
        </w:rPr>
        <w:t xml:space="preserve"> </w:t>
      </w:r>
      <w:r>
        <w:t>https://www.ntppool.org/en/</w:t>
      </w:r>
    </w:p>
    <w:p>
      <w:pPr>
        <w:pStyle w:val="Para 05"/>
      </w:pPr>
      <w:r>
        <w:rPr>
          <w:rStyle w:val="Text5"/>
        </w:rPr>
        <w:t>219</w:t>
      </w:r>
      <w:r>
        <w:rPr>
          <w:rStyle w:val="Text8"/>
        </w:rPr>
        <w:t xml:space="preserve"> </w:t>
      </w:r>
      <w:r>
        <w:t>https://www.freedesktop.org/software/systemd/man/latest/timedatectl.html</w:t>
      </w:r>
    </w:p>
    <w:p>
      <w:pPr>
        <w:pStyle w:val="Para 05"/>
      </w:pPr>
      <w:r>
        <w:rPr>
          <w:rStyle w:val="Text5"/>
        </w:rPr>
        <w:t>220</w:t>
      </w:r>
      <w:r>
        <w:rPr>
          <w:rStyle w:val="Text8"/>
        </w:rPr>
        <w:t xml:space="preserve"> </w:t>
      </w:r>
      <w:r>
        <w:t>https://www.freedesktop.org/software/systemd/man/latest/systemd-timesyncd.service.html</w:t>
      </w:r>
    </w:p>
    <w:p>
      <w:pPr>
        <w:pStyle w:val="Para 05"/>
      </w:pPr>
      <w:r>
        <w:rPr>
          <w:rStyle w:val="Text5"/>
        </w:rPr>
        <w:t>221</w:t>
      </w:r>
      <w:r>
        <w:rPr>
          <w:rStyle w:val="Text8"/>
        </w:rPr>
        <w:t xml:space="preserve"> </w:t>
      </w:r>
      <w:r>
        <w:t>https://gpsd.gitlab.io/gpsd/gpsd-time-service-howto.html#_feeding_chrony_from_gpsd</w:t>
      </w:r>
    </w:p>
    <w:p>
      <w:pPr>
        <w:pStyle w:val="Para 05"/>
      </w:pPr>
      <w:r>
        <w:rPr>
          <w:rStyle w:val="Text5"/>
        </w:rPr>
        <w:t>222</w:t>
      </w:r>
      <w:r>
        <w:rPr>
          <w:rStyle w:val="Text8"/>
        </w:rPr>
        <w:t xml:space="preserve"> </w:t>
      </w:r>
      <w:r>
        <w:t>https://help.ubuntu.com/community/UbuntuTime</w:t>
      </w:r>
    </w:p>
    <w:p>
      <w:bookmarkStart w:id="405" w:name="page_2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0" name="index-285_1.png" descr="index-285_1.png"/>
            <wp:cNvGraphicFramePr>
              <a:graphicFrameLocks noChangeAspect="1"/>
            </wp:cNvGraphicFramePr>
            <a:graphic>
              <a:graphicData uri="http://schemas.openxmlformats.org/drawingml/2006/picture">
                <pic:pic>
                  <pic:nvPicPr>
                    <pic:cNvPr id="0" name="index-285_1.png" descr="index-285_1.png"/>
                    <pic:cNvPicPr/>
                  </pic:nvPicPr>
                  <pic:blipFill>
                    <a:blip r:embed="rId294"/>
                    <a:stretch>
                      <a:fillRect/>
                    </a:stretch>
                  </pic:blipFill>
                  <pic:spPr>
                    <a:xfrm>
                      <a:off x="0" y="0"/>
                      <a:ext cx="914400" cy="266700"/>
                    </a:xfrm>
                    <a:prstGeom prst="rect">
                      <a:avLst/>
                    </a:prstGeom>
                  </pic:spPr>
                </pic:pic>
              </a:graphicData>
            </a:graphic>
          </wp:anchor>
        </w:drawing>
      </w:r>
      <w:bookmarkEnd w:id="405"/>
    </w:p>
    <w:p>
      <w:pPr>
        <w:pStyle w:val="Para 01"/>
      </w:pPr>
      <w:r>
        <w:t>Network shares</w:t>
      </w:r>
    </w:p>
    <w:p>
      <w:pPr>
        <w:pStyle w:val="Para 17"/>
      </w:pPr>
      <w:r>
        <w:t/>
      </w:r>
    </w:p>
    <w:p>
      <w:pPr>
        <w:pStyle w:val="Normal"/>
      </w:pPr>
      <w:r>
        <w:t>Sharing files and resources across a network is a common requirement - this is where the Network File System (NFS) comes in.</w:t>
      </w:r>
    </w:p>
    <w:p>
      <w:pPr>
        <w:pStyle w:val="Para 17"/>
      </w:pPr>
      <w:r>
        <w:t/>
      </w:r>
    </w:p>
    <w:p>
      <w:pPr>
        <w:pStyle w:val="Para 01"/>
      </w:pPr>
      <w:r>
        <w:t>Network File System (NFS)</w:t>
      </w:r>
    </w:p>
    <w:p>
      <w:pPr>
        <w:pStyle w:val="Para 17"/>
      </w:pPr>
      <w:r>
        <w:t/>
      </w:r>
    </w:p>
    <w:p>
      <w:pPr>
        <w:pStyle w:val="Normal"/>
      </w:pPr>
      <w:r>
        <w:t>NFS allows a system to share directories and files with others over a network. By using NFS, users and programs can access files on remote systems almost as if they were local files.</w:t>
      </w:r>
    </w:p>
    <w:p>
      <w:pPr>
        <w:pStyle w:val="Normal"/>
      </w:pPr>
      <w:r>
        <w:t>Some of the most notable benefits that NFS can provide are:</w:t>
      </w:r>
    </w:p>
    <w:p>
      <w:pPr>
        <w:pStyle w:val="Para 04"/>
      </w:pPr>
      <w:r>
        <w:t>• Local workstations use less disk space because commonly used data can be stored on a</w:t>
      </w:r>
    </w:p>
    <w:p>
      <w:pPr>
        <w:pStyle w:val="Para 02"/>
      </w:pPr>
      <w:r>
        <w:t>single machine and still remain accessible to others over the network.</w:t>
      </w:r>
    </w:p>
    <w:p>
      <w:pPr>
        <w:pStyle w:val="Para 04"/>
      </w:pPr>
      <w:r>
        <w:t>• There is no need for users to have separate home directories on every network machine.</w:t>
      </w:r>
    </w:p>
    <w:p>
      <w:pPr>
        <w:pStyle w:val="Para 02"/>
      </w:pPr>
      <w:r>
        <w:t>Home directories could be set up on the NFS server and made available throughout the network.</w:t>
      </w:r>
    </w:p>
    <w:p>
      <w:pPr>
        <w:pStyle w:val="Para 04"/>
      </w:pPr>
      <w:r>
        <w:t>• Storage devices such as floppy disks, CDROM drives, and USB Thumb drives can be used</w:t>
      </w:r>
    </w:p>
    <w:p>
      <w:pPr>
        <w:pStyle w:val="Para 02"/>
      </w:pPr>
      <w:r>
        <w:t>by other machines on the network. This may reduce the number of removable media drives throughout the network.</w:t>
      </w:r>
    </w:p>
    <w:p>
      <w:pPr>
        <w:pStyle w:val="Para 17"/>
      </w:pPr>
      <w:r>
        <w:t/>
      </w:r>
    </w:p>
    <w:p>
      <w:pPr>
        <w:pStyle w:val="Para 08"/>
      </w:pPr>
      <w:r>
        <w:t>Warning:</w:t>
      </w:r>
    </w:p>
    <w:p>
      <w:pPr>
        <w:pStyle w:val="Para 17"/>
      </w:pPr>
      <w:r>
        <w:t/>
      </w:r>
    </w:p>
    <w:p>
      <w:pPr>
        <w:pStyle w:val="Para 03"/>
      </w:pPr>
      <w:r>
        <w:t xml:space="preserve">If you use </w:t>
      </w:r>
      <w:r>
        <w:rPr>
          <w:rStyle w:val="Text0"/>
        </w:rPr>
        <w:t>NFS and authd</w:t>
      </w:r>
      <w:r>
        <w:t xml:space="preserve"> at the same time, you must add a Kerberos configuration on</w:t>
      </w:r>
    </w:p>
    <w:p>
      <w:pPr>
        <w:pStyle w:val="Para 03"/>
      </w:pPr>
      <w:r>
        <w:t>both the client and the server. Otherwise, you will encounter permission issues due to</w:t>
      </w:r>
    </w:p>
    <w:p>
      <w:pPr>
        <w:pStyle w:val="Para 03"/>
      </w:pPr>
      <w:r>
        <w:t>mismatched user and group identifiers.</w:t>
      </w:r>
    </w:p>
    <w:p>
      <w:pPr>
        <w:pStyle w:val="Para 22"/>
      </w:pPr>
      <w:r>
        <w:rPr>
          <w:rStyle w:val="Text7"/>
        </w:rPr>
        <w:t xml:space="preserve">For details, see </w:t>
      </w:r>
      <w:hyperlink w:anchor="page_285">
        <w:r>
          <w:rPr>
            <w:rStyle w:val="Text10"/>
          </w:rPr>
          <w:t>223</w:t>
        </w:r>
      </w:hyperlink>
      <w:r>
        <w:rPr>
          <w:rStyle w:val="Text7"/>
        </w:rPr>
        <w:t xml:space="preserve"> </w:t>
      </w:r>
      <w:hyperlink r:id="rId1221">
        <w:r>
          <w:t>Using authd with NFS</w:t>
        </w:r>
      </w:hyperlink>
      <w:r>
        <w:rPr>
          <w:rStyle w:val="Text7"/>
        </w:rPr>
        <w:t>.</w:t>
      </w:r>
    </w:p>
    <w:p>
      <w:pPr>
        <w:pStyle w:val="Para 05"/>
      </w:pPr>
      <w:r>
        <w:rPr>
          <w:rStyle w:val="Text5"/>
        </w:rPr>
        <w:t>223</w:t>
      </w:r>
      <w:r>
        <w:rPr>
          <w:rStyle w:val="Text8"/>
        </w:rPr>
        <w:t xml:space="preserve"> </w:t>
      </w:r>
      <w:r>
        <w:t>https://documentation.ubuntu.com/authd/stable-docs/howto/use-with-nfs/</w:t>
      </w:r>
    </w:p>
    <w:p>
      <w:pPr>
        <w:pStyle w:val="Para 17"/>
      </w:pPr>
      <w:r>
        <w:t/>
      </w:r>
    </w:p>
    <w:p>
      <w:pPr>
        <w:pStyle w:val="Para 01"/>
      </w:pPr>
      <w:r>
        <w:t>Installation</w:t>
      </w:r>
    </w:p>
    <w:p>
      <w:pPr>
        <w:pStyle w:val="Para 17"/>
      </w:pPr>
      <w:r>
        <w:t/>
      </w:r>
    </w:p>
    <w:p>
      <w:pPr>
        <w:pStyle w:val="Normal"/>
      </w:pPr>
      <w:r>
        <w:t>At a terminal prompt enter the following command to install the NFS Server:</w:t>
      </w:r>
    </w:p>
    <w:p>
      <w:pPr>
        <w:pStyle w:val="Normal"/>
      </w:pPr>
      <w:r>
        <w:t>sudo apt install nfs-kernel-server</w:t>
      </w:r>
    </w:p>
    <w:p>
      <w:pPr>
        <w:pStyle w:val="Para 17"/>
      </w:pPr>
      <w:r>
        <w:t/>
      </w:r>
    </w:p>
    <w:p>
      <w:pPr>
        <w:pStyle w:val="Normal"/>
      </w:pPr>
      <w:r>
        <w:t>To start the NFS server, you can run the following command at a terminal prompt:</w:t>
      </w:r>
    </w:p>
    <w:p>
      <w:pPr>
        <w:pStyle w:val="Normal"/>
      </w:pPr>
      <w:r>
        <w:t>sudo systemctl start nfs-kernel-server.service</w:t>
      </w:r>
    </w:p>
    <w:p>
      <w:bookmarkStart w:id="406" w:name="calibre_pb_60"/>
      <w:pPr>
        <w:pStyle w:val="0 Block"/>
      </w:pPr>
      <w:bookmarkEnd w:id="406"/>
    </w:p>
    <w:p>
      <w:bookmarkStart w:id="407" w:name="Top_of_index_split_061_html"/>
      <w:bookmarkStart w:id="408" w:name="page_2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1"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295"/>
                    <a:stretch>
                      <a:fillRect/>
                    </a:stretch>
                  </pic:blipFill>
                  <pic:spPr>
                    <a:xfrm>
                      <a:off x="0" y="0"/>
                      <a:ext cx="914400" cy="266700"/>
                    </a:xfrm>
                    <a:prstGeom prst="rect">
                      <a:avLst/>
                    </a:prstGeom>
                  </pic:spPr>
                </pic:pic>
              </a:graphicData>
            </a:graphic>
          </wp:anchor>
        </w:drawing>
      </w:r>
      <w:bookmarkEnd w:id="407"/>
      <w:bookmarkEnd w:id="408"/>
    </w:p>
    <w:p>
      <w:pPr>
        <w:pStyle w:val="Para 01"/>
      </w:pPr>
      <w:r>
        <w:t>Configuration</w:t>
      </w:r>
    </w:p>
    <w:p>
      <w:pPr>
        <w:pStyle w:val="Para 17"/>
      </w:pPr>
      <w:r>
        <w:t/>
      </w:r>
    </w:p>
    <w:p>
      <w:pPr>
        <w:pStyle w:val="Normal"/>
      </w:pPr>
      <w:r>
        <w:t>You can configure the directories to be exported by adding them to the /etc/exports file. For example:</w:t>
      </w:r>
    </w:p>
    <w:p>
      <w:pPr>
        <w:pStyle w:val="Normal"/>
      </w:pPr>
      <w:r>
        <w:t>/srv</w:t>
        <w:t xml:space="preserve"> </w:t>
        <w:t>*(ro,sync,subtree_check)</w:t>
      </w:r>
    </w:p>
    <w:p>
      <w:pPr>
        <w:pStyle w:val="Normal"/>
      </w:pPr>
      <w:r>
        <w:t>/home</w:t>
        <w:t xml:space="preserve"> </w:t>
        <w:t>*.hostname.com(rw,sync,no_subtree_check)</w:t>
        <w:t xml:space="preserve"> </w:t>
        <w:t>/scratch *(rw,async,no_subtree_check,no_root_squash)</w:t>
      </w:r>
    </w:p>
    <w:p>
      <w:pPr>
        <w:pStyle w:val="Para 17"/>
      </w:pPr>
      <w:r>
        <w:t/>
      </w:r>
    </w:p>
    <w:p>
      <w:pPr>
        <w:pStyle w:val="Normal"/>
      </w:pPr>
      <w:r>
        <w:t>Make sure any custom mount points you’re adding have been created (/srv and /home will already exist):</w:t>
      </w:r>
    </w:p>
    <w:p>
      <w:pPr>
        <w:pStyle w:val="Normal"/>
      </w:pPr>
      <w:r>
        <w:t>sudo mkdir /scratch</w:t>
      </w:r>
    </w:p>
    <w:p>
      <w:pPr>
        <w:pStyle w:val="Para 17"/>
      </w:pPr>
      <w:r>
        <w:t/>
      </w:r>
    </w:p>
    <w:p>
      <w:pPr>
        <w:pStyle w:val="Normal"/>
      </w:pPr>
      <w:r>
        <w:t>Apply the new config via:</w:t>
      </w:r>
    </w:p>
    <w:p>
      <w:pPr>
        <w:pStyle w:val="Normal"/>
      </w:pPr>
      <w:r>
        <w:t>sudo exportfs -a</w:t>
      </w:r>
    </w:p>
    <w:p>
      <w:pPr>
        <w:pStyle w:val="Para 17"/>
      </w:pPr>
      <w:r>
        <w:t/>
      </w:r>
    </w:p>
    <w:p>
      <w:pPr>
        <w:pStyle w:val="Normal"/>
      </w:pPr>
      <w:r>
        <w:t xml:space="preserve">You can replace * with one of the </w:t>
      </w:r>
      <w:hyperlink w:anchor="page_688">
        <w:r>
          <w:rPr>
            <w:rStyle w:val="Text2"/>
          </w:rPr>
          <w:t>hostname</w:t>
        </w:r>
      </w:hyperlink>
      <w:r>
        <w:t xml:space="preserve"> formats. Make the hostname declaration as specific as possible so unwanted systems cannot access the NFS mount. Be aware that *. hostname.com will match foo.hostname.com and all its subdomains, as the * character also matches dots.</w:t>
      </w:r>
    </w:p>
    <w:p>
      <w:pPr>
        <w:pStyle w:val="Normal"/>
      </w:pPr>
      <w:r>
        <w:t xml:space="preserve">The </w:t>
      </w:r>
      <w:r>
        <w:rPr>
          <w:rStyle w:val="Text3"/>
        </w:rPr>
        <w:t>sync</w:t>
      </w:r>
      <w:r>
        <w:t>/</w:t>
      </w:r>
      <w:r>
        <w:rPr>
          <w:rStyle w:val="Text3"/>
        </w:rPr>
        <w:t>async</w:t>
      </w:r>
      <w:r>
        <w:t xml:space="preserve"> options control whether changes are guaranteed to be committed to stable storage before replying to requests. </w:t>
      </w:r>
      <w:r>
        <w:rPr>
          <w:rStyle w:val="Text3"/>
        </w:rPr>
        <w:t>async</w:t>
      </w:r>
      <w:r>
        <w:t xml:space="preserve"> thus gives a performance benefit but risks data loss or corruption. Some older versions of exportfs will issue a warning if this option is left unspecified.</w:t>
      </w:r>
    </w:p>
    <w:p>
      <w:pPr>
        <w:pStyle w:val="Normal"/>
      </w:pPr>
      <w:r>
        <w:rPr>
          <w:rStyle w:val="Text3"/>
        </w:rPr>
        <w:t>subtree_check</w:t>
      </w:r>
      <w:r>
        <w:t xml:space="preserve"> and </w:t>
      </w:r>
      <w:r>
        <w:rPr>
          <w:rStyle w:val="Text3"/>
        </w:rPr>
        <w:t>no_subtree_check</w:t>
      </w:r>
      <w:r>
        <w:t xml:space="preserve"> enables or disables a security verification that subdi-</w:t>
      </w:r>
    </w:p>
    <w:p>
      <w:pPr>
        <w:pStyle w:val="Normal"/>
      </w:pPr>
      <w:r>
        <w:t xml:space="preserve">rectories a client attempts to mount for an exported </w:t>
      </w:r>
      <w:hyperlink w:anchor="page_682">
        <w:r>
          <w:rPr>
            <w:rStyle w:val="Text2"/>
          </w:rPr>
          <w:t>filesystem</w:t>
        </w:r>
      </w:hyperlink>
      <w:r>
        <w:t xml:space="preserve"> are ones they’re permitted to do so. This verification step has some performance implications for some use cases, such as home directories with frequent file renames. Read-only filesystems are more suitable to enable </w:t>
      </w:r>
      <w:r>
        <w:rPr>
          <w:rStyle w:val="Text3"/>
        </w:rPr>
        <w:t>subtree_check</w:t>
      </w:r>
      <w:r>
        <w:t xml:space="preserve"> on. In some older versions, exportfs will warn if this option is left un-specified.</w:t>
      </w:r>
    </w:p>
    <w:p>
      <w:pPr>
        <w:pStyle w:val="Normal"/>
      </w:pPr>
      <w:r>
        <w:t xml:space="preserve">There are a number of optional settings for NFS mounts for tuning performance, tightening security, or providing conveniences. These settings each have their own trade-offs so it is im-portant to use them with care, only as needed for the particular use case. </w:t>
      </w:r>
      <w:r>
        <w:rPr>
          <w:rStyle w:val="Text3"/>
        </w:rPr>
        <w:t>no_root_squash</w:t>
      </w:r>
      <w:r>
        <w:t>, for example, adds a convenience to allow root-owned files to be modified by any client system’s root user; in a multi-user environment where executables are allowed on a shared mount point, this could lead to security problems.</w:t>
      </w:r>
    </w:p>
    <w:p>
      <w:pPr>
        <w:pStyle w:val="Normal"/>
      </w:pPr>
      <w:r>
        <w:t xml:space="preserve">Please see the </w:t>
      </w:r>
      <w:hyperlink w:anchor="page_286">
        <w:r>
          <w:rPr>
            <w:rStyle w:val="Text9"/>
          </w:rPr>
          <w:t>224</w:t>
        </w:r>
      </w:hyperlink>
      <w:r>
        <w:t xml:space="preserve"> </w:t>
      </w:r>
      <w:hyperlink r:id="rId1222">
        <w:r>
          <w:rPr>
            <w:rStyle w:val="Text2"/>
          </w:rPr>
          <w:t>exports(5)</w:t>
        </w:r>
      </w:hyperlink>
      <w:r>
        <w:t xml:space="preserve"> manual page for details about this configuration file.</w:t>
      </w:r>
    </w:p>
    <w:p>
      <w:pPr>
        <w:pStyle w:val="Para 05"/>
      </w:pPr>
      <w:r>
        <w:rPr>
          <w:rStyle w:val="Text5"/>
        </w:rPr>
        <w:t>224</w:t>
      </w:r>
      <w:r>
        <w:rPr>
          <w:rStyle w:val="Text8"/>
        </w:rPr>
        <w:t xml:space="preserve"> </w:t>
      </w:r>
      <w:r>
        <w:t>https://manpages.ubuntu.com/manpages/resolute/man5/exports.5.html</w:t>
      </w:r>
    </w:p>
    <w:p>
      <w:bookmarkStart w:id="409" w:name="calibre_pb_61"/>
      <w:pPr>
        <w:pStyle w:val="0 Block"/>
      </w:pPr>
      <w:bookmarkEnd w:id="409"/>
    </w:p>
    <w:p>
      <w:bookmarkStart w:id="410" w:name="Top_of_index_split_062_html"/>
      <w:bookmarkStart w:id="411" w:name="page_28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2" name="index-287_1.png" descr="index-287_1.png"/>
            <wp:cNvGraphicFramePr>
              <a:graphicFrameLocks noChangeAspect="1"/>
            </wp:cNvGraphicFramePr>
            <a:graphic>
              <a:graphicData uri="http://schemas.openxmlformats.org/drawingml/2006/picture">
                <pic:pic>
                  <pic:nvPicPr>
                    <pic:cNvPr id="0" name="index-287_1.png" descr="index-287_1.png"/>
                    <pic:cNvPicPr/>
                  </pic:nvPicPr>
                  <pic:blipFill>
                    <a:blip r:embed="rId296"/>
                    <a:stretch>
                      <a:fillRect/>
                    </a:stretch>
                  </pic:blipFill>
                  <pic:spPr>
                    <a:xfrm>
                      <a:off x="0" y="0"/>
                      <a:ext cx="914400" cy="266700"/>
                    </a:xfrm>
                    <a:prstGeom prst="rect">
                      <a:avLst/>
                    </a:prstGeom>
                  </pic:spPr>
                </pic:pic>
              </a:graphicData>
            </a:graphic>
          </wp:anchor>
        </w:drawing>
      </w:r>
      <w:bookmarkEnd w:id="410"/>
      <w:bookmarkEnd w:id="411"/>
    </w:p>
    <w:p>
      <w:pPr>
        <w:pStyle w:val="Para 01"/>
      </w:pPr>
      <w:r>
        <w:t>NFS Client Configuration</w:t>
      </w:r>
    </w:p>
    <w:p>
      <w:pPr>
        <w:pStyle w:val="Para 17"/>
      </w:pPr>
      <w:r>
        <w:t/>
      </w:r>
    </w:p>
    <w:p>
      <w:pPr>
        <w:pStyle w:val="Normal"/>
      </w:pPr>
      <w:r>
        <w:t>To enable NFS support on a client system, enter the following command at the terminal prompt:</w:t>
      </w:r>
    </w:p>
    <w:p>
      <w:pPr>
        <w:pStyle w:val="Normal"/>
      </w:pPr>
      <w:r>
        <w:t>sudo apt install nfs-common</w:t>
      </w:r>
    </w:p>
    <w:p>
      <w:pPr>
        <w:pStyle w:val="Para 17"/>
      </w:pPr>
      <w:r>
        <w:t/>
      </w:r>
    </w:p>
    <w:p>
      <w:pPr>
        <w:pStyle w:val="Normal"/>
      </w:pPr>
      <w:r>
        <w:t>Use the mount command to mount a shared NFS directory from another machine, by typing a command line similar to the following at a terminal prompt:</w:t>
      </w:r>
    </w:p>
    <w:p>
      <w:pPr>
        <w:pStyle w:val="Normal"/>
      </w:pPr>
      <w:r>
        <w:t>sudo mkdir /opt/example</w:t>
      </w:r>
    </w:p>
    <w:p>
      <w:pPr>
        <w:pStyle w:val="Normal"/>
      </w:pPr>
      <w:r>
        <w:t>sudo mount example.hostname.com:/srv /opt/example</w:t>
      </w:r>
    </w:p>
    <w:p>
      <w:pPr>
        <w:pStyle w:val="Para 17"/>
      </w:pPr>
      <w:r>
        <w:t/>
      </w:r>
    </w:p>
    <w:p>
      <w:pPr>
        <w:pStyle w:val="Para 08"/>
      </w:pPr>
      <w:r>
        <w:t>Warning:</w:t>
      </w:r>
    </w:p>
    <w:p>
      <w:pPr>
        <w:pStyle w:val="Para 17"/>
      </w:pPr>
      <w:r>
        <w:t/>
      </w:r>
    </w:p>
    <w:p>
      <w:pPr>
        <w:pStyle w:val="Para 03"/>
      </w:pPr>
      <w:r>
        <w:t>The mount point directory /opt/example must exist. There should be no files or subdi-</w:t>
      </w:r>
    </w:p>
    <w:p>
      <w:pPr>
        <w:pStyle w:val="Para 03"/>
      </w:pPr>
      <w:r>
        <w:t>rectories in the /opt/example directory, else they will become inaccessible until the nfs</w:t>
      </w:r>
    </w:p>
    <w:p>
      <w:pPr>
        <w:pStyle w:val="Para 03"/>
      </w:pPr>
      <w:r>
        <w:t>filesystem is unmounted.</w:t>
      </w:r>
    </w:p>
    <w:p>
      <w:pPr>
        <w:pStyle w:val="Para 17"/>
      </w:pPr>
      <w:r>
        <w:t/>
      </w:r>
    </w:p>
    <w:p>
      <w:pPr>
        <w:pStyle w:val="Normal"/>
      </w:pPr>
      <w:r>
        <w:t>An alternate way to mount an NFS share from another machine is to add a line to the /etc/ fstab file. The line must state the hostname of the NFS server, the directory on the server being exported, and the directory on the local machine where the NFS share is to be mounted.</w:t>
      </w:r>
    </w:p>
    <w:p>
      <w:pPr>
        <w:pStyle w:val="Normal"/>
      </w:pPr>
      <w:r>
        <w:t>The general syntax for the line in /etc/fstab file is as follows:</w:t>
      </w:r>
    </w:p>
    <w:p>
      <w:pPr>
        <w:pStyle w:val="Normal"/>
      </w:pPr>
      <w:r>
        <w:t>example.hostname.com:/srv /opt/example nfs</w:t>
      </w:r>
    </w:p>
    <w:p>
      <w:pPr>
        <w:pStyle w:val="Para 17"/>
      </w:pPr>
      <w:r>
        <w:t/>
      </w:r>
    </w:p>
    <w:p>
      <w:pPr>
        <w:pStyle w:val="Para 08"/>
      </w:pPr>
      <w:r>
        <w:t>Note:</w:t>
      </w:r>
    </w:p>
    <w:p>
      <w:pPr>
        <w:pStyle w:val="Para 03"/>
      </w:pPr>
      <w:r>
        <w:t>Details about all the NFS related options that can go into /etc/fstab can be found in the</w:t>
      </w:r>
    </w:p>
    <w:p>
      <w:pPr>
        <w:pStyle w:val="Para 03"/>
      </w:pPr>
      <w:hyperlink r:id="rId1223">
        <w:r>
          <w:rPr>
            <w:rStyle w:val="Text2"/>
          </w:rPr>
          <w:t>nfs(5)</w:t>
        </w:r>
      </w:hyperlink>
      <w:hyperlink r:id="rId1223">
        <w:r>
          <w:rPr>
            <w:rStyle w:val="Text9"/>
          </w:rPr>
          <w:t>225</w:t>
        </w:r>
      </w:hyperlink>
      <w:r>
        <w:t xml:space="preserve"> manual page.</w:t>
      </w:r>
    </w:p>
    <w:p>
      <w:pPr>
        <w:pStyle w:val="Para 05"/>
      </w:pPr>
      <w:r>
        <w:rPr>
          <w:rStyle w:val="Text5"/>
        </w:rPr>
        <w:t>225</w:t>
      </w:r>
      <w:r>
        <w:rPr>
          <w:rStyle w:val="Text8"/>
        </w:rPr>
        <w:t xml:space="preserve"> </w:t>
      </w:r>
      <w:r>
        <w:t>https://manpages.ubuntu.com/manpages/resolute/man5/nfs.5.html</w:t>
      </w:r>
    </w:p>
    <w:p>
      <w:pPr>
        <w:pStyle w:val="Para 17"/>
      </w:pPr>
      <w:r>
        <w:t/>
      </w:r>
    </w:p>
    <w:p>
      <w:pPr>
        <w:pStyle w:val="Normal"/>
      </w:pPr>
      <w:r>
        <w:t>After modifying /etc/fstab, systemd should be told about the change, otherwise you will get this warning when trying to mount:</w:t>
      </w:r>
    </w:p>
    <w:p>
      <w:pPr>
        <w:pStyle w:val="Normal"/>
      </w:pPr>
      <w:r>
        <w:t>mount: (hint) your fstab has been modified, but systemd still uses</w:t>
      </w:r>
    </w:p>
    <w:p>
      <w:pPr>
        <w:pStyle w:val="Para 06"/>
      </w:pPr>
      <w:r>
        <w:t>the old version; use</w:t>
        <w:t xml:space="preserve"> </w:t>
        <w:t>'systemctl daemon-reload'</w:t>
        <w:t xml:space="preserve"> </w:t>
        <w:t>to reload</w:t>
        <w:t>.</w:t>
      </w:r>
    </w:p>
    <w:p>
      <w:pPr>
        <w:pStyle w:val="Para 17"/>
      </w:pPr>
      <w:r>
        <w:t/>
      </w:r>
    </w:p>
    <w:p>
      <w:pPr>
        <w:pStyle w:val="Normal"/>
      </w:pPr>
      <w:r>
        <w:t>Therefore, issue the command:</w:t>
      </w:r>
    </w:p>
    <w:p>
      <w:pPr>
        <w:pStyle w:val="Normal"/>
      </w:pPr>
      <w:r>
        <w:t>sudo systemctl daemon</w:t>
        <w:t>-</w:t>
        <w:t>reload</w:t>
      </w:r>
    </w:p>
    <w:p>
      <w:bookmarkStart w:id="412" w:name="calibre_pb_62"/>
      <w:pPr>
        <w:pStyle w:val="0 Block"/>
      </w:pPr>
      <w:bookmarkEnd w:id="412"/>
    </w:p>
    <w:p>
      <w:bookmarkStart w:id="413" w:name="page_288"/>
      <w:bookmarkStart w:id="414" w:name="Top_of_index_split_06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3" name="index-288_1.png" descr="index-288_1.png"/>
            <wp:cNvGraphicFramePr>
              <a:graphicFrameLocks noChangeAspect="1"/>
            </wp:cNvGraphicFramePr>
            <a:graphic>
              <a:graphicData uri="http://schemas.openxmlformats.org/drawingml/2006/picture">
                <pic:pic>
                  <pic:nvPicPr>
                    <pic:cNvPr id="0" name="index-288_1.png" descr="index-288_1.png"/>
                    <pic:cNvPicPr/>
                  </pic:nvPicPr>
                  <pic:blipFill>
                    <a:blip r:embed="rId297"/>
                    <a:stretch>
                      <a:fillRect/>
                    </a:stretch>
                  </pic:blipFill>
                  <pic:spPr>
                    <a:xfrm>
                      <a:off x="0" y="0"/>
                      <a:ext cx="914400" cy="266700"/>
                    </a:xfrm>
                    <a:prstGeom prst="rect">
                      <a:avLst/>
                    </a:prstGeom>
                  </pic:spPr>
                </pic:pic>
              </a:graphicData>
            </a:graphic>
          </wp:anchor>
        </w:drawing>
      </w:r>
      <w:bookmarkEnd w:id="413"/>
      <w:bookmarkEnd w:id="414"/>
    </w:p>
    <w:p>
      <w:pPr>
        <w:pStyle w:val="Para 01"/>
      </w:pPr>
      <w:r>
        <w:t>Advanced configuration</w:t>
      </w:r>
    </w:p>
    <w:p>
      <w:pPr>
        <w:pStyle w:val="Para 17"/>
      </w:pPr>
      <w:r>
        <w:t/>
      </w:r>
    </w:p>
    <w:p>
      <w:pPr>
        <w:pStyle w:val="Normal"/>
      </w:pPr>
      <w:r>
        <w:t>NFS is comprised of several services, both on the server and the client. Each one of these services can have its own default configuration, and depending on the Ubuntu Server release you have installed, this configuration is done in different files, and with a different syntax.</w:t>
      </w:r>
    </w:p>
    <w:p>
      <w:pPr>
        <w:pStyle w:val="Normal"/>
      </w:pPr>
      <w:r>
        <w:t>All NFS related services read a single configuration file: /etc/nfs.conf. This is an INI-style</w:t>
      </w:r>
    </w:p>
    <w:p>
      <w:pPr>
        <w:pStyle w:val="Normal"/>
      </w:pPr>
      <w:r>
        <w:t xml:space="preserve">config file, see the </w:t>
      </w:r>
      <w:hyperlink r:id="rId1224">
        <w:r>
          <w:rPr>
            <w:rStyle w:val="Text9"/>
          </w:rPr>
          <w:t>226</w:t>
        </w:r>
      </w:hyperlink>
      <w:hyperlink r:id="rId1224">
        <w:r>
          <w:rPr>
            <w:rStyle w:val="Text1"/>
          </w:rPr>
          <w:t xml:space="preserve"> </w:t>
        </w:r>
      </w:hyperlink>
      <w:hyperlink r:id="rId1224">
        <w:r>
          <w:rPr>
            <w:rStyle w:val="Text2"/>
          </w:rPr>
          <w:t>nfs.conf(5)</w:t>
        </w:r>
      </w:hyperlink>
      <w:r>
        <w:t xml:space="preserve"> manual page for details. Furthermore, there is a /etc/ nfs.conf.d directory which can hold *.conf snippets that can override settings from previous snippets or from the nfs.conf main config file itself.</w:t>
      </w:r>
    </w:p>
    <w:p>
      <w:pPr>
        <w:pStyle w:val="Normal"/>
      </w:pPr>
      <w:r>
        <w:t xml:space="preserve">There is a new command-line tool called </w:t>
      </w:r>
      <w:hyperlink w:anchor="page_288">
        <w:r>
          <w:rPr>
            <w:rStyle w:val="Text9"/>
          </w:rPr>
          <w:t>227</w:t>
        </w:r>
      </w:hyperlink>
      <w:r>
        <w:t xml:space="preserve"> </w:t>
      </w:r>
      <w:hyperlink r:id="rId1225">
        <w:r>
          <w:rPr>
            <w:rStyle w:val="Text2"/>
          </w:rPr>
          <w:t>nfsconf(8)</w:t>
        </w:r>
      </w:hyperlink>
      <w:r>
        <w:t xml:space="preserve"> which can be used to query or even set configuration parameters in nfs.conf. In particular, it has a--dump parameter which will show the effective configuration including all changes done by /etc/nfs.conf.d/*.conf snippets.</w:t>
      </w:r>
    </w:p>
    <w:p>
      <w:pPr>
        <w:pStyle w:val="Para 17"/>
      </w:pPr>
      <w:r>
        <w:t/>
      </w:r>
    </w:p>
    <w:p>
      <w:pPr>
        <w:pStyle w:val="Para 01"/>
      </w:pPr>
      <w:r>
        <w:t>Restarting NFS services</w:t>
      </w:r>
    </w:p>
    <w:p>
      <w:pPr>
        <w:pStyle w:val="Para 17"/>
      </w:pPr>
      <w:r>
        <w:t/>
      </w:r>
    </w:p>
    <w:p>
      <w:pPr>
        <w:pStyle w:val="Normal"/>
      </w:pPr>
      <w:r>
        <w:t>Since NFS is comprised of several individual services, it can be difficult to determine what to restart after a certain configuration change.</w:t>
      </w:r>
    </w:p>
    <w:p>
      <w:pPr>
        <w:pStyle w:val="Normal"/>
      </w:pPr>
      <w:r>
        <w:t>The tables below summarize all available services, which “meta” service they are linked to, and which configuration file each service uses.</w:t>
      </w:r>
    </w:p>
    <w:p>
      <w:pPr>
        <w:pStyle w:val="Para 17"/>
      </w:pPr>
      <w:r>
        <w:t/>
      </w:r>
    </w:p>
    <w:p>
      <w:pPr>
        <w:pStyle w:val="Para 02"/>
      </w:pPr>
      <w:r>
        <w:t>Service nfs-utils. nfs-server. config file</w:t>
      </w:r>
    </w:p>
    <w:p>
      <w:pPr>
        <w:pStyle w:val="Para 36"/>
      </w:pPr>
      <w:r>
        <w:t>service service</w:t>
      </w:r>
    </w:p>
    <w:p>
      <w:pPr>
        <w:pStyle w:val="Para 02"/>
      </w:pPr>
      <w:r>
        <w:t>nfs-blkmap PartOf nfs.conf</w:t>
      </w:r>
    </w:p>
    <w:p>
      <w:pPr>
        <w:pStyle w:val="Para 17"/>
      </w:pPr>
      <w:r>
        <w:t/>
      </w:r>
    </w:p>
    <w:p>
      <w:pPr>
        <w:pStyle w:val="Para 02"/>
      </w:pPr>
      <w:r>
        <w:t>nfs-mountd BindsTo nfs.conf</w:t>
      </w:r>
    </w:p>
    <w:p>
      <w:pPr>
        <w:pStyle w:val="Para 17"/>
      </w:pPr>
      <w:r>
        <w:t/>
      </w:r>
    </w:p>
    <w:p>
      <w:pPr>
        <w:pStyle w:val="Para 02"/>
      </w:pPr>
      <w:r>
        <w:t>nfsdcld</w:t>
      </w:r>
    </w:p>
    <w:p>
      <w:pPr>
        <w:pStyle w:val="Para 17"/>
      </w:pPr>
      <w:r>
        <w:t/>
      </w:r>
    </w:p>
    <w:p>
      <w:pPr>
        <w:pStyle w:val="Para 02"/>
      </w:pPr>
      <w:r>
        <w:t>nfs-idmapd BindsTo nfs.conf, idmapd.conf</w:t>
      </w:r>
    </w:p>
    <w:p>
      <w:pPr>
        <w:pStyle w:val="Para 17"/>
      </w:pPr>
      <w:r>
        <w:t/>
      </w:r>
    </w:p>
    <w:p>
      <w:pPr>
        <w:pStyle w:val="Para 02"/>
      </w:pPr>
      <w:r>
        <w:t>rpc-gssd PartOf nfs.conf</w:t>
      </w:r>
    </w:p>
    <w:p>
      <w:pPr>
        <w:pStyle w:val="Para 17"/>
      </w:pPr>
      <w:r>
        <w:t/>
      </w:r>
    </w:p>
    <w:p>
      <w:pPr>
        <w:pStyle w:val="Para 02"/>
      </w:pPr>
      <w:r>
        <w:t>rpc-statd PartOf nfs.conf</w:t>
      </w:r>
    </w:p>
    <w:p>
      <w:pPr>
        <w:pStyle w:val="Para 17"/>
      </w:pPr>
      <w:r>
        <w:t/>
      </w:r>
    </w:p>
    <w:p>
      <w:pPr>
        <w:pStyle w:val="Para 02"/>
      </w:pPr>
      <w:r>
        <w:t>rpc- PartOf BindsTo nfs.conf svcgssd</w:t>
      </w:r>
    </w:p>
    <w:p>
      <w:pPr>
        <w:pStyle w:val="Para 17"/>
      </w:pPr>
      <w:r>
        <w:t/>
      </w:r>
    </w:p>
    <w:p>
      <w:pPr>
        <w:pStyle w:val="Normal"/>
      </w:pPr>
      <w:r>
        <w:t>For example, systemctl restart nfs-server.service will restart nfs-mountd, nfs-idmapd and rpc-svcgssd (if running). On the other hand, restarting nfs-utils.service will restart nfs-blkmap, rpc-gssd, rpc-statd and rpc-svcgssd.</w:t>
      </w:r>
    </w:p>
    <w:p>
      <w:pPr>
        <w:pStyle w:val="Para 05"/>
      </w:pPr>
      <w:r>
        <w:rPr>
          <w:rStyle w:val="Text5"/>
        </w:rPr>
        <w:t>226</w:t>
      </w:r>
      <w:r>
        <w:rPr>
          <w:rStyle w:val="Text8"/>
        </w:rPr>
        <w:t xml:space="preserve"> </w:t>
      </w:r>
      <w:r>
        <w:t>https://manpages.ubuntu.com/manpages/resolute/man5/nfs.conf.5.html</w:t>
      </w:r>
    </w:p>
    <w:p>
      <w:pPr>
        <w:pStyle w:val="Para 03"/>
      </w:pPr>
      <w:r>
        <w:rPr>
          <w:rStyle w:val="Text5"/>
        </w:rPr>
        <w:t>227</w:t>
      </w:r>
      <w:r>
        <w:t xml:space="preserve"> </w:t>
      </w:r>
      <w:r>
        <w:rPr>
          <w:rStyle w:val="Text6"/>
        </w:rPr>
        <w:t>https://manpages.ubuntu.com/manpages/resolute/man8/nfsconf.8.html</w:t>
      </w:r>
      <w:r>
        <w:t xml:space="preserve"> Of course, each service can still be individually restarted with the usual systemctl restart &lt;service&gt;.</w:t>
      </w:r>
    </w:p>
    <w:p>
      <w:bookmarkStart w:id="415" w:name="page_2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4" name="index-289_1.png" descr="index-289_1.png"/>
            <wp:cNvGraphicFramePr>
              <a:graphicFrameLocks noChangeAspect="1"/>
            </wp:cNvGraphicFramePr>
            <a:graphic>
              <a:graphicData uri="http://schemas.openxmlformats.org/drawingml/2006/picture">
                <pic:pic>
                  <pic:nvPicPr>
                    <pic:cNvPr id="0" name="index-289_1.png" descr="index-289_1.png"/>
                    <pic:cNvPicPr/>
                  </pic:nvPicPr>
                  <pic:blipFill>
                    <a:blip r:embed="rId298"/>
                    <a:stretch>
                      <a:fillRect/>
                    </a:stretch>
                  </pic:blipFill>
                  <pic:spPr>
                    <a:xfrm>
                      <a:off x="0" y="0"/>
                      <a:ext cx="914400" cy="266700"/>
                    </a:xfrm>
                    <a:prstGeom prst="rect">
                      <a:avLst/>
                    </a:prstGeom>
                  </pic:spPr>
                </pic:pic>
              </a:graphicData>
            </a:graphic>
          </wp:anchor>
        </w:drawing>
      </w:r>
      <w:bookmarkEnd w:id="415"/>
    </w:p>
    <w:p>
      <w:pPr>
        <w:pStyle w:val="Normal"/>
      </w:pPr>
      <w:r>
        <w:t xml:space="preserve">The </w:t>
      </w:r>
      <w:hyperlink w:anchor="page_289">
        <w:r>
          <w:rPr>
            <w:rStyle w:val="Text9"/>
          </w:rPr>
          <w:t>228</w:t>
        </w:r>
      </w:hyperlink>
      <w:r>
        <w:t xml:space="preserve"> </w:t>
      </w:r>
      <w:hyperlink r:id="rId1226">
        <w:r>
          <w:rPr>
            <w:rStyle w:val="Text2"/>
          </w:rPr>
          <w:t>nfs.systemd(7)</w:t>
        </w:r>
      </w:hyperlink>
      <w:r>
        <w:t xml:space="preserve"> manual page has more details on the several systemd units available with the NFS packages.</w:t>
      </w:r>
    </w:p>
    <w:p>
      <w:pPr>
        <w:pStyle w:val="Para 17"/>
      </w:pPr>
      <w:r>
        <w:t/>
      </w:r>
    </w:p>
    <w:p>
      <w:pPr>
        <w:pStyle w:val="Para 01"/>
      </w:pPr>
      <w:r>
        <w:t>NFS with Kerberos</w:t>
      </w:r>
    </w:p>
    <w:p>
      <w:pPr>
        <w:pStyle w:val="Para 17"/>
      </w:pPr>
      <w:r>
        <w:t/>
      </w:r>
    </w:p>
    <w:p>
      <w:pPr>
        <w:pStyle w:val="Normal"/>
      </w:pPr>
      <w:r>
        <w:t>Kerberos with NFS adds an extra layer of security on top of NFS. It can be just a stronger authentication mechanism, or it can also be used to sign and encrypt the NFS traffic.</w:t>
      </w:r>
    </w:p>
    <w:p>
      <w:pPr>
        <w:pStyle w:val="Normal"/>
      </w:pPr>
      <w:r>
        <w:t>This section will assume you already have setup a Kerberos server, with a running KDC and admin services. Setting that up is explained elsewhere in the Ubuntu Server Guide.</w:t>
      </w:r>
    </w:p>
    <w:p>
      <w:pPr>
        <w:pStyle w:val="Para 17"/>
      </w:pPr>
      <w:r>
        <w:t/>
      </w:r>
    </w:p>
    <w:p>
      <w:pPr>
        <w:pStyle w:val="Para 01"/>
      </w:pPr>
      <w:r>
        <w:t>NFS server (using Kerberos)</w:t>
      </w:r>
    </w:p>
    <w:p>
      <w:pPr>
        <w:pStyle w:val="Para 17"/>
      </w:pPr>
      <w:r>
        <w:t/>
      </w:r>
    </w:p>
    <w:p>
      <w:pPr>
        <w:pStyle w:val="Normal"/>
      </w:pPr>
      <w:r>
        <w:t>The NFS server will have the usual nfs-kernel-server package and its dependencies, but we will also have to install Kerberos packages. The Kerberos packages are not strictly necessary, as the necessary keys can be copied over from the KDC, but it makes things much easier.</w:t>
      </w:r>
    </w:p>
    <w:p>
      <w:pPr>
        <w:pStyle w:val="Normal"/>
      </w:pPr>
      <w:r>
        <w:t>For this example, we will use:</w:t>
      </w:r>
    </w:p>
    <w:p>
      <w:pPr>
        <w:pStyle w:val="Para 04"/>
      </w:pPr>
      <w:r>
        <w:t xml:space="preserve">• .vms </w:t>
      </w:r>
      <w:hyperlink w:anchor="page_679">
        <w:r>
          <w:rPr>
            <w:rStyle w:val="Text2"/>
          </w:rPr>
          <w:t>DNS</w:t>
        </w:r>
      </w:hyperlink>
      <w:r>
        <w:t xml:space="preserve"> domain</w:t>
      </w:r>
    </w:p>
    <w:p>
      <w:pPr>
        <w:pStyle w:val="Para 04"/>
      </w:pPr>
      <w:r>
        <w:t>• VMS Kerberos realm</w:t>
      </w:r>
    </w:p>
    <w:p>
      <w:pPr>
        <w:pStyle w:val="Para 04"/>
      </w:pPr>
      <w:r>
        <w:t>• nfs-server.vms for the NFS server</w:t>
      </w:r>
    </w:p>
    <w:p>
      <w:pPr>
        <w:pStyle w:val="Para 04"/>
      </w:pPr>
      <w:r>
        <w:t>• nfs-client.vms for the NFS client</w:t>
      </w:r>
    </w:p>
    <w:p>
      <w:pPr>
        <w:pStyle w:val="Para 04"/>
      </w:pPr>
      <w:r>
        <w:t>• ubuntu/admin principal has admin privileges on the KDC</w:t>
      </w:r>
    </w:p>
    <w:p>
      <w:pPr>
        <w:pStyle w:val="Normal"/>
      </w:pPr>
      <w:r>
        <w:t>Adjust these names according to your setup.</w:t>
      </w:r>
    </w:p>
    <w:p>
      <w:pPr>
        <w:pStyle w:val="Normal"/>
      </w:pPr>
      <w:r>
        <w:t>First, install the krb5-user package:</w:t>
      </w:r>
    </w:p>
    <w:p>
      <w:pPr>
        <w:pStyle w:val="Normal"/>
      </w:pPr>
      <w:r>
        <w:t>sudo apt install krb5-user</w:t>
      </w:r>
    </w:p>
    <w:p>
      <w:pPr>
        <w:pStyle w:val="Para 17"/>
      </w:pPr>
      <w:r>
        <w:t/>
      </w:r>
    </w:p>
    <w:p>
      <w:pPr>
        <w:pStyle w:val="Normal"/>
      </w:pPr>
      <w:r>
        <w:t>Then, with an admin principal, let’s create a key for the NFS server:</w:t>
      </w:r>
    </w:p>
    <w:p>
      <w:pPr>
        <w:pStyle w:val="Normal"/>
      </w:pPr>
      <w:r>
        <w:t>kadmin -p ubuntu/admin -q "addprinc -randkey nfs/nfs-server.vms"</w:t>
      </w:r>
    </w:p>
    <w:p>
      <w:pPr>
        <w:pStyle w:val="Para 17"/>
      </w:pPr>
      <w:r>
        <w:t/>
      </w:r>
    </w:p>
    <w:p>
      <w:pPr>
        <w:pStyle w:val="Normal"/>
      </w:pPr>
      <w:r>
        <w:t>And extract the key into the local keytab:</w:t>
      </w:r>
    </w:p>
    <w:p>
      <w:pPr>
        <w:pStyle w:val="Normal"/>
      </w:pPr>
      <w:r>
        <w:t>$ sudo kadmin -p ubuntu/admin -q "ktadd nfs/nfs-server.vms"</w:t>
        <w:t xml:space="preserve"> </w:t>
        <w:t>Authenticating as principal ubuntu/admin with password.</w:t>
        <w:t xml:space="preserve"> </w:t>
        <w:t>Password for ubuntu/admin@VMS:</w:t>
      </w:r>
    </w:p>
    <w:p>
      <w:pPr>
        <w:pStyle w:val="Normal"/>
      </w:pPr>
      <w:r>
        <w:t>Entry for principal nfs/nfs-server.vms with kvno 2, encryption type aes256-cts-hmac-sha1-</w:t>
        <w:t>96 added to keytab FILE:/etc/krb5.keytab.</w:t>
      </w:r>
    </w:p>
    <w:p>
      <w:pPr>
        <w:pStyle w:val="Normal"/>
      </w:pPr>
      <w:r>
        <w:t>Entry for principal nfs/nfs-server.vms with kvno 2, encryption type aes128-cts-hmac-sha1-</w:t>
        <w:t>96 added to keytab FILE:/etc/krb5.keytab.</w:t>
      </w:r>
    </w:p>
    <w:p>
      <w:pPr>
        <w:pStyle w:val="Para 17"/>
      </w:pPr>
      <w:r>
        <w:t/>
      </w:r>
    </w:p>
    <w:p>
      <w:pPr>
        <w:pStyle w:val="Normal"/>
      </w:pPr>
      <w:r>
        <w:t>Confirm the key is available:</w:t>
      </w:r>
    </w:p>
    <w:p>
      <w:pPr>
        <w:pStyle w:val="Para 05"/>
      </w:pPr>
      <w:r>
        <w:rPr>
          <w:rStyle w:val="Text5"/>
        </w:rPr>
        <w:t>228</w:t>
      </w:r>
      <w:r>
        <w:rPr>
          <w:rStyle w:val="Text8"/>
        </w:rPr>
        <w:t xml:space="preserve"> </w:t>
      </w:r>
      <w:r>
        <w:t>https://manpages.ubuntu.com/manpages/resolute/man7/nfs.systemd.7.html</w:t>
      </w:r>
      <w:r>
        <w:rPr>
          <w:rStyle w:val="Text8"/>
        </w:rPr>
        <w:t xml:space="preserve"> </w:t>
        <w:t>$ sudo klist -k</w:t>
      </w:r>
    </w:p>
    <w:p>
      <w:bookmarkStart w:id="416" w:name="page_2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5" name="index-290_1.png" descr="index-290_1.png"/>
            <wp:cNvGraphicFramePr>
              <a:graphicFrameLocks noChangeAspect="1"/>
            </wp:cNvGraphicFramePr>
            <a:graphic>
              <a:graphicData uri="http://schemas.openxmlformats.org/drawingml/2006/picture">
                <pic:pic>
                  <pic:nvPicPr>
                    <pic:cNvPr id="0" name="index-290_1.png" descr="index-290_1.png"/>
                    <pic:cNvPicPr/>
                  </pic:nvPicPr>
                  <pic:blipFill>
                    <a:blip r:embed="rId299"/>
                    <a:stretch>
                      <a:fillRect/>
                    </a:stretch>
                  </pic:blipFill>
                  <pic:spPr>
                    <a:xfrm>
                      <a:off x="0" y="0"/>
                      <a:ext cx="914400" cy="266700"/>
                    </a:xfrm>
                    <a:prstGeom prst="rect">
                      <a:avLst/>
                    </a:prstGeom>
                  </pic:spPr>
                </pic:pic>
              </a:graphicData>
            </a:graphic>
          </wp:anchor>
        </w:drawing>
      </w:r>
      <w:bookmarkEnd w:id="416"/>
    </w:p>
    <w:p>
      <w:pPr>
        <w:pStyle w:val="Normal"/>
      </w:pPr>
      <w:r>
        <w:t>Keytab name: FILE:/etc/krb5.keytab</w:t>
      </w:r>
    </w:p>
    <w:p>
      <w:pPr>
        <w:pStyle w:val="Normal"/>
      </w:pPr>
      <w:r>
        <w:t>KVNO Principal</w:t>
      </w:r>
    </w:p>
    <w:p>
      <w:pPr>
        <w:pStyle w:val="Normal"/>
      </w:pPr>
      <w:r>
        <w:t>---- --------------------------------------------------------------------------</w:t>
      </w:r>
    </w:p>
    <w:p>
      <w:pPr>
        <w:pStyle w:val="Para 04"/>
      </w:pPr>
      <w:r>
        <w:t>2 nfs/nfs-server.vms@VMS</w:t>
      </w:r>
    </w:p>
    <w:p>
      <w:pPr>
        <w:pStyle w:val="Para 04"/>
      </w:pPr>
      <w:r>
        <w:t>2 nfs/nfs-server.vms@VMS</w:t>
      </w:r>
    </w:p>
    <w:p>
      <w:pPr>
        <w:pStyle w:val="Para 17"/>
      </w:pPr>
      <w:r>
        <w:t/>
      </w:r>
    </w:p>
    <w:p>
      <w:pPr>
        <w:pStyle w:val="Normal"/>
      </w:pPr>
      <w:r>
        <w:t>Now install the NFS server:</w:t>
      </w:r>
    </w:p>
    <w:p>
      <w:pPr>
        <w:pStyle w:val="Normal"/>
      </w:pPr>
      <w:r>
        <w:t>$ sudo apt install nfs-kernel-server</w:t>
      </w:r>
    </w:p>
    <w:p>
      <w:pPr>
        <w:pStyle w:val="Para 17"/>
      </w:pPr>
      <w:r>
        <w:t/>
      </w:r>
    </w:p>
    <w:p>
      <w:pPr>
        <w:pStyle w:val="Normal"/>
      </w:pPr>
      <w:r>
        <w:t>This will already automatically start the Kerberos-related nfs services, because of the pres-ence of /etc/krb5.keytab.</w:t>
      </w:r>
    </w:p>
    <w:p>
      <w:pPr>
        <w:pStyle w:val="Normal"/>
      </w:pPr>
      <w:r>
        <w:t>If you had this package already installed, and were just enabling Kerberos for the first time, then at this point the NFS services should be restarted, so that the Kerberos-related NFS services are also started:</w:t>
      </w:r>
    </w:p>
    <w:p>
      <w:pPr>
        <w:pStyle w:val="Normal"/>
      </w:pPr>
      <w:r>
        <w:t>sudo systemctl restart nfs</w:t>
        <w:t>-</w:t>
        <w:t>server</w:t>
      </w:r>
    </w:p>
    <w:p>
      <w:pPr>
        <w:pStyle w:val="Para 17"/>
      </w:pPr>
      <w:r>
        <w:t/>
      </w:r>
    </w:p>
    <w:p>
      <w:pPr>
        <w:pStyle w:val="Normal"/>
      </w:pPr>
      <w:r>
        <w:t>Now populate /etc/exports, restricting the exports to krb5 authentication. For example, exporting /storage using krb5p:</w:t>
      </w:r>
    </w:p>
    <w:p>
      <w:pPr>
        <w:pStyle w:val="Normal"/>
      </w:pPr>
      <w:r>
        <w:t>/storage *(rw,sync,no_subtree_check,sec=krb5p)</w:t>
      </w:r>
    </w:p>
    <w:p>
      <w:pPr>
        <w:pStyle w:val="Para 17"/>
      </w:pPr>
      <w:r>
        <w:t/>
      </w:r>
    </w:p>
    <w:p>
      <w:pPr>
        <w:pStyle w:val="Normal"/>
      </w:pPr>
      <w:r>
        <w:t>Refresh the exports:</w:t>
      </w:r>
    </w:p>
    <w:p>
      <w:pPr>
        <w:pStyle w:val="Normal"/>
      </w:pPr>
      <w:r>
        <w:t>$ sudo exportfs -rav</w:t>
      </w:r>
    </w:p>
    <w:p>
      <w:pPr>
        <w:pStyle w:val="Normal"/>
      </w:pPr>
      <w:r>
        <w:t>exporting *:/storage</w:t>
      </w:r>
    </w:p>
    <w:p>
      <w:pPr>
        <w:pStyle w:val="Para 17"/>
      </w:pPr>
      <w:r>
        <w:t/>
      </w:r>
    </w:p>
    <w:p>
      <w:pPr>
        <w:pStyle w:val="Normal"/>
      </w:pPr>
      <w:r>
        <w:t xml:space="preserve">The security options are explained in the </w:t>
      </w:r>
      <w:hyperlink r:id="rId1222">
        <w:r>
          <w:rPr>
            <w:rStyle w:val="Text9"/>
          </w:rPr>
          <w:t>229</w:t>
        </w:r>
      </w:hyperlink>
      <w:hyperlink r:id="rId1222">
        <w:r>
          <w:rPr>
            <w:rStyle w:val="Text1"/>
          </w:rPr>
          <w:t xml:space="preserve"> </w:t>
        </w:r>
      </w:hyperlink>
      <w:hyperlink r:id="rId1222">
        <w:r>
          <w:rPr>
            <w:rStyle w:val="Text2"/>
          </w:rPr>
          <w:t>exports(5)</w:t>
        </w:r>
      </w:hyperlink>
      <w:r>
        <w:t xml:space="preserve"> manual page, but generally they are:</w:t>
      </w:r>
    </w:p>
    <w:p>
      <w:pPr>
        <w:pStyle w:val="Para 04"/>
      </w:pPr>
      <w:r>
        <w:t>• krb5: use Kerberos for authentication only (non-auth traffic is in clear text)</w:t>
      </w:r>
    </w:p>
    <w:p>
      <w:pPr>
        <w:pStyle w:val="Para 04"/>
      </w:pPr>
      <w:r>
        <w:t>• krb5i: use Kerberos for authentication and integrity checks (non-auth traffic is in clear</w:t>
      </w:r>
    </w:p>
    <w:p>
      <w:pPr>
        <w:pStyle w:val="Para 02"/>
      </w:pPr>
      <w:r>
        <w:t>text)</w:t>
      </w:r>
    </w:p>
    <w:p>
      <w:pPr>
        <w:pStyle w:val="Para 04"/>
      </w:pPr>
      <w:r>
        <w:t>• krb5p: use Kerberos for authentication, integrity and privacy protection (non-auth traf-</w:t>
      </w:r>
    </w:p>
    <w:p>
      <w:pPr>
        <w:pStyle w:val="Para 02"/>
      </w:pPr>
      <w:r>
        <w:t>fic is encrypted)</w:t>
      </w:r>
    </w:p>
    <w:p>
      <w:pPr>
        <w:pStyle w:val="Para 17"/>
      </w:pPr>
      <w:r>
        <w:t/>
      </w:r>
    </w:p>
    <w:p>
      <w:pPr>
        <w:pStyle w:val="Para 01"/>
      </w:pPr>
      <w:r>
        <w:t>NFS client (using Kerberos)</w:t>
      </w:r>
    </w:p>
    <w:p>
      <w:pPr>
        <w:pStyle w:val="Para 17"/>
      </w:pPr>
      <w:r>
        <w:t/>
      </w:r>
    </w:p>
    <w:p>
      <w:pPr>
        <w:pStyle w:val="Normal"/>
      </w:pPr>
      <w:r>
        <w:t>The NFS client has a similar set of steps. First we will prepare the client’s keytab, so that when we install the NFS client package it will start the extra Kerberos services automatically just by detecting the presence of the keytab:</w:t>
      </w:r>
    </w:p>
    <w:p>
      <w:pPr>
        <w:pStyle w:val="Normal"/>
      </w:pPr>
      <w:r>
        <w:t>sudo apt install krb5-user</w:t>
      </w:r>
    </w:p>
    <w:p>
      <w:pPr>
        <w:pStyle w:val="Para 17"/>
      </w:pPr>
      <w:r>
        <w:t/>
      </w:r>
    </w:p>
    <w:p>
      <w:pPr>
        <w:pStyle w:val="Normal"/>
      </w:pPr>
      <w:r>
        <w:t>To allow the root user to mount NFS shares via Kerberos without a password, we have to create a host key for the NFS client:</w:t>
      </w:r>
    </w:p>
    <w:p>
      <w:pPr>
        <w:pStyle w:val="Normal"/>
      </w:pPr>
      <w:r>
        <w:t>kadmin -p ubuntu/admin -q "addprinc -randkey host/nfs-client.vms"</w:t>
      </w:r>
    </w:p>
    <w:p>
      <w:pPr>
        <w:pStyle w:val="Para 17"/>
      </w:pPr>
      <w:r>
        <w:t/>
      </w:r>
    </w:p>
    <w:p>
      <w:pPr>
        <w:pStyle w:val="Normal"/>
      </w:pPr>
      <w:r>
        <w:t>And extract it:</w:t>
      </w:r>
    </w:p>
    <w:p>
      <w:pPr>
        <w:pStyle w:val="Para 05"/>
      </w:pPr>
      <w:r>
        <w:rPr>
          <w:rStyle w:val="Text5"/>
        </w:rPr>
        <w:t>229</w:t>
      </w:r>
      <w:r>
        <w:rPr>
          <w:rStyle w:val="Text8"/>
        </w:rPr>
        <w:t xml:space="preserve"> </w:t>
      </w:r>
      <w:r>
        <w:t>https://manpages.ubuntu.com/manpages/resolute/man5/exports.5.html</w:t>
      </w:r>
      <w:r>
        <w:rPr>
          <w:rStyle w:val="Text8"/>
        </w:rPr>
        <w:t xml:space="preserve"> </w:t>
        <w:t>sudo kadmin -p ubuntu/admin -q "ktadd host/nfs-client.vms"</w:t>
      </w:r>
    </w:p>
    <w:p>
      <w:bookmarkStart w:id="417" w:name="page_2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6" name="index-291_1.png" descr="index-291_1.png"/>
            <wp:cNvGraphicFramePr>
              <a:graphicFrameLocks noChangeAspect="1"/>
            </wp:cNvGraphicFramePr>
            <a:graphic>
              <a:graphicData uri="http://schemas.openxmlformats.org/drawingml/2006/picture">
                <pic:pic>
                  <pic:nvPicPr>
                    <pic:cNvPr id="0" name="index-291_1.png" descr="index-291_1.png"/>
                    <pic:cNvPicPr/>
                  </pic:nvPicPr>
                  <pic:blipFill>
                    <a:blip r:embed="rId300"/>
                    <a:stretch>
                      <a:fillRect/>
                    </a:stretch>
                  </pic:blipFill>
                  <pic:spPr>
                    <a:xfrm>
                      <a:off x="0" y="0"/>
                      <a:ext cx="914400" cy="266700"/>
                    </a:xfrm>
                    <a:prstGeom prst="rect">
                      <a:avLst/>
                    </a:prstGeom>
                  </pic:spPr>
                </pic:pic>
              </a:graphicData>
            </a:graphic>
          </wp:anchor>
        </w:drawing>
      </w:r>
      <w:bookmarkEnd w:id="417"/>
    </w:p>
    <w:p>
      <w:pPr>
        <w:pStyle w:val="Para 17"/>
      </w:pPr>
      <w:r>
        <w:t/>
      </w:r>
    </w:p>
    <w:p>
      <w:pPr>
        <w:pStyle w:val="Normal"/>
      </w:pPr>
      <w:r>
        <w:t>Now install the NFS client package:</w:t>
      </w:r>
    </w:p>
    <w:p>
      <w:pPr>
        <w:pStyle w:val="Normal"/>
      </w:pPr>
      <w:r>
        <w:t>sudo apt install nfs-common</w:t>
      </w:r>
    </w:p>
    <w:p>
      <w:pPr>
        <w:pStyle w:val="Para 17"/>
      </w:pPr>
      <w:r>
        <w:t/>
      </w:r>
    </w:p>
    <w:p>
      <w:pPr>
        <w:pStyle w:val="Normal"/>
      </w:pPr>
      <w:r>
        <w:t>If you had this package already installed, and were just enabling Kerberos for the first time, then at this point the NFS services should be restarted, so that the Kerberos-related NFS services are also started:</w:t>
      </w:r>
    </w:p>
    <w:p>
      <w:pPr>
        <w:pStyle w:val="Normal"/>
      </w:pPr>
      <w:r>
        <w:t>sudo systemctl restart nfs</w:t>
        <w:t>-</w:t>
        <w:t>client</w:t>
        <w:t>.</w:t>
        <w:t>target</w:t>
      </w:r>
    </w:p>
    <w:p>
      <w:pPr>
        <w:pStyle w:val="Para 17"/>
      </w:pPr>
      <w:r>
        <w:t/>
      </w:r>
    </w:p>
    <w:p>
      <w:pPr>
        <w:pStyle w:val="Normal"/>
      </w:pPr>
      <w:r>
        <w:t>And you should be able to do your first NFS Kerberos mount:</w:t>
      </w:r>
    </w:p>
    <w:p>
      <w:pPr>
        <w:pStyle w:val="Normal"/>
      </w:pPr>
      <w:r>
        <w:t>sudo mount nfs-server:/storage /mnt</w:t>
      </w:r>
    </w:p>
    <w:p>
      <w:pPr>
        <w:pStyle w:val="Para 17"/>
      </w:pPr>
      <w:r>
        <w:t/>
      </w:r>
    </w:p>
    <w:p>
      <w:pPr>
        <w:pStyle w:val="Normal"/>
      </w:pPr>
      <w:r>
        <w:t xml:space="preserve">This setup is using a so called </w:t>
      </w:r>
      <w:r>
        <w:rPr>
          <w:rStyle w:val="Text3"/>
        </w:rPr>
        <w:t>machine credential</w:t>
      </w:r>
      <w:r>
        <w:t>, which means the above mount command works without having a Kerberos ticket. The klist will show no tickets:</w:t>
      </w:r>
    </w:p>
    <w:p>
      <w:pPr>
        <w:pStyle w:val="Normal"/>
      </w:pPr>
      <w:r>
        <w:t># mount nfs-server:/storage /mnt</w:t>
      </w:r>
    </w:p>
    <w:p>
      <w:pPr>
        <w:pStyle w:val="Normal"/>
      </w:pPr>
      <w:r>
        <w:t># ls -l /mnt/*</w:t>
      </w:r>
    </w:p>
    <w:p>
      <w:pPr>
        <w:pStyle w:val="Normal"/>
      </w:pPr>
      <w:r>
        <w:t>-rw-r--r-- 1 root root 0 Apr</w:t>
        <w:t xml:space="preserve"> </w:t>
        <w:t>5 14:50 /mnt/hello-from-nfs-server.txt</w:t>
        <w:t xml:space="preserve"> </w:t>
        <w:t># klist</w:t>
      </w:r>
    </w:p>
    <w:p>
      <w:pPr>
        <w:pStyle w:val="Normal"/>
      </w:pPr>
      <w:r>
        <w:t>klist: No credentials cache found (filename: /tmp/krb5cc_0)</w:t>
      </w:r>
    </w:p>
    <w:p>
      <w:pPr>
        <w:pStyle w:val="Para 17"/>
      </w:pPr>
      <w:r>
        <w:t/>
      </w:r>
    </w:p>
    <w:p>
      <w:pPr>
        <w:pStyle w:val="Normal"/>
      </w:pPr>
      <w:r>
        <w:t>Notice the above was done with root. Let’s try accessing that existing mount with the ubuntu user, without acquiring a Kerberos ticket:</w:t>
      </w:r>
    </w:p>
    <w:p>
      <w:pPr>
        <w:pStyle w:val="Normal"/>
      </w:pPr>
      <w:r>
        <w:t># sudo -u ubuntu -i</w:t>
      </w:r>
    </w:p>
    <w:p>
      <w:pPr>
        <w:pStyle w:val="Normal"/>
      </w:pPr>
      <w:r>
        <w:t>$ ls -l /mnt/*</w:t>
      </w:r>
    </w:p>
    <w:p>
      <w:pPr>
        <w:pStyle w:val="Normal"/>
      </w:pPr>
      <w:r>
        <w:t>ls: cannot access '/mnt/*': Permission denied</w:t>
      </w:r>
    </w:p>
    <w:p>
      <w:pPr>
        <w:pStyle w:val="Para 17"/>
      </w:pPr>
      <w:r>
        <w:t/>
      </w:r>
    </w:p>
    <w:p>
      <w:pPr>
        <w:pStyle w:val="Normal"/>
      </w:pPr>
      <w:r>
        <w:t>The ubuntu user will only be able to access that mount if they have a Kerberos ticket:</w:t>
      </w:r>
    </w:p>
    <w:p>
      <w:pPr>
        <w:pStyle w:val="Normal"/>
      </w:pPr>
      <w:r>
        <w:t>$ kinit</w:t>
      </w:r>
    </w:p>
    <w:p>
      <w:pPr>
        <w:pStyle w:val="Normal"/>
      </w:pPr>
      <w:r>
        <w:t>Password for ubuntu@VMS:</w:t>
      </w:r>
    </w:p>
    <w:p>
      <w:pPr>
        <w:pStyle w:val="Normal"/>
      </w:pPr>
      <w:r>
        <w:t>$ ls -l /mnt/*</w:t>
      </w:r>
    </w:p>
    <w:p>
      <w:pPr>
        <w:pStyle w:val="Normal"/>
      </w:pPr>
      <w:r>
        <w:t>-rw-r--r-- 1 root root 0 Apr</w:t>
        <w:t xml:space="preserve"> </w:t>
        <w:t>5 14:50 /mnt/hello-from-nfs-server.txt</w:t>
      </w:r>
    </w:p>
    <w:p>
      <w:pPr>
        <w:pStyle w:val="Para 17"/>
      </w:pPr>
      <w:r>
        <w:t/>
      </w:r>
    </w:p>
    <w:p>
      <w:pPr>
        <w:pStyle w:val="Normal"/>
      </w:pPr>
      <w:r>
        <w:t>And now we have not only the TGT, but also a ticket for the NFS service:</w:t>
      </w:r>
    </w:p>
    <w:p>
      <w:pPr>
        <w:pStyle w:val="Normal"/>
      </w:pPr>
      <w:r>
        <w:t>$ klist</w:t>
      </w:r>
    </w:p>
    <w:p>
      <w:pPr>
        <w:pStyle w:val="Normal"/>
      </w:pPr>
      <w:r>
        <w:t>Ticket cache: FILE:/tmp/krb5cc_1000</w:t>
      </w:r>
    </w:p>
    <w:p>
      <w:pPr>
        <w:pStyle w:val="Normal"/>
      </w:pPr>
      <w:r>
        <w:t>Default principal: ubuntu@VMS</w:t>
      </w:r>
    </w:p>
    <w:p>
      <w:pPr>
        <w:pStyle w:val="Normal"/>
      </w:pPr>
      <w:r>
        <w:t>Valid starting</w:t>
        <w:t xml:space="preserve"> </w:t>
        <w:t>Expires</w:t>
        <w:t xml:space="preserve"> </w:t>
        <w:t>Service principal</w:t>
        <w:t xml:space="preserve"> </w:t>
        <w:t>04/05/22 17:48:50</w:t>
        <w:t xml:space="preserve"> </w:t>
        <w:t>04/06/22 03:48:50</w:t>
        <w:t xml:space="preserve"> </w:t>
        <w:t>krbtgt/VMS@VMS</w:t>
      </w:r>
    </w:p>
    <w:p>
      <w:pPr>
        <w:pStyle w:val="Para 06"/>
      </w:pPr>
      <w:r>
        <w:t>renew until 04/06/22 17:48:48</w:t>
      </w:r>
    </w:p>
    <w:p>
      <w:pPr>
        <w:pStyle w:val="Normal"/>
      </w:pPr>
      <w:r>
        <w:t>04/05/22 17:48:52</w:t>
        <w:t xml:space="preserve"> </w:t>
        <w:t>04/06/22 03:48:50</w:t>
        <w:t xml:space="preserve"> </w:t>
        <w:t>nfs/nfs-server.vms@</w:t>
      </w:r>
    </w:p>
    <w:p>
      <w:pPr>
        <w:pStyle w:val="Para 06"/>
      </w:pPr>
      <w:r>
        <w:t>renew until 04/06/22 17:48:48</w:t>
      </w:r>
    </w:p>
    <w:p>
      <w:pPr>
        <w:pStyle w:val="Para 06"/>
      </w:pPr>
      <w:r>
        <w:t>Ticket server: nfs/nfs-server.vms@VMS</w:t>
      </w:r>
    </w:p>
    <w:p>
      <w:pPr>
        <w:pStyle w:val="Para 17"/>
      </w:pPr>
      <w:r>
        <w:t/>
      </w:r>
    </w:p>
    <w:p>
      <w:pPr>
        <w:pStyle w:val="Normal"/>
      </w:pPr>
      <w:r>
        <w:t>One drawback of using a machine credential for mounts done by the root user is that you need a persistent secret (the /etc/krb5.keytab file) in the filesystem. Some sites may not allow such a persistent secret to be stored in the filesystem. An alternative is to use rpc.</w:t>
      </w:r>
    </w:p>
    <w:p>
      <w:bookmarkStart w:id="418" w:name="page_2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7" name="index-292_1.png" descr="index-292_1.png"/>
            <wp:cNvGraphicFramePr>
              <a:graphicFrameLocks noChangeAspect="1"/>
            </wp:cNvGraphicFramePr>
            <a:graphic>
              <a:graphicData uri="http://schemas.openxmlformats.org/drawingml/2006/picture">
                <pic:pic>
                  <pic:nvPicPr>
                    <pic:cNvPr id="0" name="index-292_1.png" descr="index-292_1.png"/>
                    <pic:cNvPicPr/>
                  </pic:nvPicPr>
                  <pic:blipFill>
                    <a:blip r:embed="rId301"/>
                    <a:stretch>
                      <a:fillRect/>
                    </a:stretch>
                  </pic:blipFill>
                  <pic:spPr>
                    <a:xfrm>
                      <a:off x="0" y="0"/>
                      <a:ext cx="914400" cy="266700"/>
                    </a:xfrm>
                    <a:prstGeom prst="rect">
                      <a:avLst/>
                    </a:prstGeom>
                  </pic:spPr>
                </pic:pic>
              </a:graphicData>
            </a:graphic>
          </wp:anchor>
        </w:drawing>
      </w:r>
      <w:bookmarkEnd w:id="418"/>
    </w:p>
    <w:p>
      <w:pPr>
        <w:pStyle w:val="Normal"/>
      </w:pPr>
      <w:r>
        <w:t xml:space="preserve">gssd </w:t>
      </w:r>
      <w:hyperlink w:anchor="page_292">
        <w:r>
          <w:rPr>
            <w:rStyle w:val="Text9"/>
          </w:rPr>
          <w:t>230</w:t>
        </w:r>
      </w:hyperlink>
      <w:r>
        <w:t xml:space="preserve"> ’s-n option. From </w:t>
      </w:r>
      <w:hyperlink r:id="rId1227">
        <w:r>
          <w:rPr>
            <w:rStyle w:val="Text2"/>
          </w:rPr>
          <w:t>rpc.gssd(8)</w:t>
        </w:r>
      </w:hyperlink>
      <w:r>
        <w:t>:</w:t>
      </w:r>
    </w:p>
    <w:p>
      <w:pPr>
        <w:pStyle w:val="Para 04"/>
      </w:pPr>
      <w:r>
        <w:t>•-n: when specified, UID 0 is forced to obtain user credentials which are used instead of</w:t>
      </w:r>
    </w:p>
    <w:p>
      <w:pPr>
        <w:pStyle w:val="Para 02"/>
      </w:pPr>
      <w:r>
        <w:t>the local system’s machine credentials.</w:t>
      </w:r>
    </w:p>
    <w:p>
      <w:pPr>
        <w:pStyle w:val="Normal"/>
      </w:pPr>
      <w:r>
        <w:t>When this option is enabled and rpc.gssd restarted, then even the root user will need to obtain a Kerberos ticket to perform an NFS Kerberos mount.</w:t>
      </w:r>
    </w:p>
    <w:p>
      <w:pPr>
        <w:pStyle w:val="Para 17"/>
      </w:pPr>
      <w:r>
        <w:t/>
      </w:r>
    </w:p>
    <w:p>
      <w:pPr>
        <w:pStyle w:val="Para 08"/>
      </w:pPr>
      <w:r>
        <w:t>Warning:</w:t>
      </w:r>
    </w:p>
    <w:p>
      <w:pPr>
        <w:pStyle w:val="Para 17"/>
      </w:pPr>
      <w:r>
        <w:t/>
      </w:r>
    </w:p>
    <w:p>
      <w:pPr>
        <w:pStyle w:val="Para 03"/>
      </w:pPr>
      <w:r>
        <w:t>Note that this prevents automatic NFS mounts via /etc/fstab, unless a Kerberos ticket is</w:t>
      </w:r>
    </w:p>
    <w:p>
      <w:pPr>
        <w:pStyle w:val="Para 03"/>
      </w:pPr>
      <w:r>
        <w:t>obtained before.</w:t>
      </w:r>
    </w:p>
    <w:p>
      <w:pPr>
        <w:pStyle w:val="Normal"/>
      </w:pPr>
      <w:r>
        <w:t>This option is controlled in /etc/nfs.conf in the [gssd] section:</w:t>
      </w:r>
    </w:p>
    <w:p>
      <w:pPr>
        <w:pStyle w:val="Normal"/>
      </w:pPr>
      <w:r>
        <w:t>[gssd]</w:t>
      </w:r>
    </w:p>
    <w:p>
      <w:pPr>
        <w:pStyle w:val="Normal"/>
      </w:pPr>
      <w:r>
        <w:t>use-machine-creds=0</w:t>
      </w:r>
    </w:p>
    <w:p>
      <w:pPr>
        <w:pStyle w:val="Para 17"/>
      </w:pPr>
      <w:r>
        <w:t/>
      </w:r>
    </w:p>
    <w:p>
      <w:pPr>
        <w:pStyle w:val="Normal"/>
      </w:pPr>
      <w:r>
        <w:t>After you restart the service with sudo systemctl restart rpc-gssd.service, the root user won’t be able to mount the NFS Kerberos share without obtaining a ticket first.</w:t>
      </w:r>
    </w:p>
    <w:p>
      <w:pPr>
        <w:pStyle w:val="Para 17"/>
      </w:pPr>
      <w:r>
        <w:t/>
      </w:r>
    </w:p>
    <w:p>
      <w:pPr>
        <w:pStyle w:val="Para 01"/>
      </w:pPr>
      <w:r>
        <w:t>Upgrading from Ubuntu 20.04 (“Focal”) and earlier</w:t>
      </w:r>
    </w:p>
    <w:p>
      <w:pPr>
        <w:pStyle w:val="Para 17"/>
      </w:pPr>
      <w:r>
        <w:t/>
      </w:r>
    </w:p>
    <w:p>
      <w:pPr>
        <w:pStyle w:val="Normal"/>
      </w:pPr>
      <w:r>
        <w:t>Earlier Ubuntu releases used the traditional configuration mechanism for the NFS services via /etc/defaults/ configuration files. These are /etc/default/nfs-common and /etc/default/ nfs/kernel-server, and were basically used to adjust the command-line options given to each daemon.</w:t>
      </w:r>
    </w:p>
    <w:p>
      <w:pPr>
        <w:pStyle w:val="Normal"/>
      </w:pPr>
      <w:r>
        <w:t>Each file has a small explanation about the available settings.</w:t>
      </w:r>
    </w:p>
    <w:p>
      <w:pPr>
        <w:pStyle w:val="Para 17"/>
      </w:pPr>
      <w:r>
        <w:t/>
      </w:r>
    </w:p>
    <w:p>
      <w:pPr>
        <w:pStyle w:val="Para 08"/>
      </w:pPr>
      <w:r>
        <w:t>Warning:</w:t>
      </w:r>
    </w:p>
    <w:p>
      <w:pPr>
        <w:pStyle w:val="Para 17"/>
      </w:pPr>
      <w:r>
        <w:t/>
      </w:r>
    </w:p>
    <w:p>
      <w:pPr>
        <w:pStyle w:val="Para 03"/>
      </w:pPr>
      <w:r>
        <w:t>The NEED_* parameters have no effect on systemd-based installations, like Ubuntu 20.04</w:t>
      </w:r>
    </w:p>
    <w:p>
      <w:pPr>
        <w:pStyle w:val="Para 03"/>
      </w:pPr>
      <w:r>
        <w:t>LTS (“Focal”) and Ubuntu 18.04 LTS (“Bionic”). In those systems, to control whether a ser-</w:t>
      </w:r>
    </w:p>
    <w:p>
      <w:pPr>
        <w:pStyle w:val="Para 03"/>
      </w:pPr>
      <w:r>
        <w:t>vice should be running or not, use systemctl enable or systemctl disable, respectively.</w:t>
      </w:r>
    </w:p>
    <w:p>
      <w:pPr>
        <w:pStyle w:val="Para 17"/>
      </w:pPr>
      <w:r>
        <w:t/>
      </w:r>
    </w:p>
    <w:p>
      <w:pPr>
        <w:pStyle w:val="Normal"/>
      </w:pPr>
      <w:r>
        <w:t>Ubuntu 22.04 LTS (“Jammy”) and later have a new configuration file format for the NFS pack-ages. Instead of multiple files sourced by startup scripts from /etc/default/nfs-*, there is one main configuration file in /etc/nfs.conf, with an INI-style syntax.</w:t>
      </w:r>
    </w:p>
    <w:p>
      <w:pPr>
        <w:pStyle w:val="Normal"/>
      </w:pPr>
      <w:r>
        <w:t>When upgrading from Ubuntu 20.04 (“Focal”) and earlier, the following will happen:</w:t>
      </w:r>
    </w:p>
    <w:p>
      <w:pPr>
        <w:pStyle w:val="Para 04"/>
      </w:pPr>
      <w:r>
        <w:t>• a default /etc/nfs.conf configuration file will be installed</w:t>
      </w:r>
    </w:p>
    <w:p>
      <w:pPr>
        <w:pStyle w:val="Para 04"/>
      </w:pPr>
      <w:r>
        <w:t>• if the /etc/default/nfs-* files have been modified, a conversion script will run and cre-</w:t>
      </w:r>
    </w:p>
    <w:p>
      <w:pPr>
        <w:pStyle w:val="Para 02"/>
      </w:pPr>
      <w:r>
        <w:t>ate /etc/nfs.conf.d/local.conf with the local modifications.</w:t>
      </w:r>
    </w:p>
    <w:p>
      <w:pPr>
        <w:pStyle w:val="Normal"/>
      </w:pPr>
      <w:r>
        <w:t>If this conversion script fails, then the package installation will fail. This can happen if the / etc/default/nfs-* files have an option that the conversion script wasn’t prepared to handle,</w:t>
      </w:r>
    </w:p>
    <w:p>
      <w:pPr>
        <w:pStyle w:val="Normal"/>
      </w:pPr>
      <w:r>
        <w:t xml:space="preserve">or a syntax error for example. In such cases, please </w:t>
      </w:r>
      <w:hyperlink w:anchor="page_292">
        <w:r>
          <w:rPr>
            <w:rStyle w:val="Text9"/>
          </w:rPr>
          <w:t>231</w:t>
        </w:r>
      </w:hyperlink>
      <w:r>
        <w:t xml:space="preserve"> </w:t>
      </w:r>
      <w:hyperlink r:id="rId1228">
        <w:r>
          <w:rPr>
            <w:rStyle w:val="Text1"/>
          </w:rPr>
          <w:t>file a bug for the nfs-utils package</w:t>
        </w:r>
      </w:hyperlink>
      <w:r>
        <w:t>.</w:t>
      </w:r>
    </w:p>
    <w:p>
      <w:pPr>
        <w:pStyle w:val="Para 05"/>
      </w:pPr>
      <w:r>
        <w:rPr>
          <w:rStyle w:val="Text5"/>
        </w:rPr>
        <w:t>230</w:t>
      </w:r>
      <w:r>
        <w:rPr>
          <w:rStyle w:val="Text8"/>
        </w:rPr>
        <w:t xml:space="preserve"> </w:t>
      </w:r>
      <w:r>
        <w:t>https://manpages.ubuntu.com/manpages/resolute/man8/rpc.gssd.8.html</w:t>
      </w:r>
    </w:p>
    <w:p>
      <w:pPr>
        <w:pStyle w:val="Para 03"/>
      </w:pPr>
      <w:r>
        <w:rPr>
          <w:rStyle w:val="Text5"/>
        </w:rPr>
        <w:t>231</w:t>
      </w:r>
      <w:r>
        <w:t xml:space="preserve"> </w:t>
      </w:r>
      <w:r>
        <w:rPr>
          <w:rStyle w:val="Text6"/>
        </w:rPr>
        <w:t>https://bugs.launchpad.net/ubuntu/+source/nfs-utils/+filebug</w:t>
      </w:r>
      <w:r>
        <w:t xml:space="preserve"> The conversion tool can be run manually to gather more information about the error: it’s in /usr/share/nfs-common/nfsconvert.py and must be run as root.</w:t>
      </w:r>
    </w:p>
    <w:p>
      <w:bookmarkStart w:id="419" w:name="page_2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8" name="index-293_1.png" descr="index-293_1.png"/>
            <wp:cNvGraphicFramePr>
              <a:graphicFrameLocks noChangeAspect="1"/>
            </wp:cNvGraphicFramePr>
            <a:graphic>
              <a:graphicData uri="http://schemas.openxmlformats.org/drawingml/2006/picture">
                <pic:pic>
                  <pic:nvPicPr>
                    <pic:cNvPr id="0" name="index-293_1.png" descr="index-293_1.png"/>
                    <pic:cNvPicPr/>
                  </pic:nvPicPr>
                  <pic:blipFill>
                    <a:blip r:embed="rId302"/>
                    <a:stretch>
                      <a:fillRect/>
                    </a:stretch>
                  </pic:blipFill>
                  <pic:spPr>
                    <a:xfrm>
                      <a:off x="0" y="0"/>
                      <a:ext cx="914400" cy="266700"/>
                    </a:xfrm>
                    <a:prstGeom prst="rect">
                      <a:avLst/>
                    </a:prstGeom>
                  </pic:spPr>
                </pic:pic>
              </a:graphicData>
            </a:graphic>
          </wp:anchor>
        </w:drawing>
      </w:r>
      <w:bookmarkEnd w:id="419"/>
    </w:p>
    <w:p>
      <w:pPr>
        <w:pStyle w:val="Normal"/>
      </w:pPr>
      <w:r>
        <w:t>If all goes well, as it should in most cases, the system will have /etc/nfs.conf with the de-faults, and /etc/nfs.conf.d/local.conf with the changes. You can merge these two to-gether manually, and then delete local.conf, or leave it as is. Just keep in mind that /etc/ nfs.conf is not the whole story: always inspect /etc/nfs.conf.d as well, as it may contain files overriding the defaults.</w:t>
      </w:r>
    </w:p>
    <w:p>
      <w:pPr>
        <w:pStyle w:val="Normal"/>
      </w:pPr>
      <w:r>
        <w:t>You can always run nfsconf --dump to check the final settings, as it merges together all con-figuration files and shows the resulting non-default settings.</w:t>
      </w:r>
    </w:p>
    <w:p>
      <w:pPr>
        <w:pStyle w:val="Normal"/>
      </w:pPr>
      <w:r>
        <w:t>If you need to share network resources between Linux and Windows systems, see our sec-tions on Samba and Active Directory.</w:t>
      </w:r>
    </w:p>
    <w:p>
      <w:pPr>
        <w:pStyle w:val="Para 17"/>
      </w:pPr>
      <w:r>
        <w:t/>
      </w:r>
    </w:p>
    <w:p>
      <w:pPr>
        <w:pStyle w:val="Para 01"/>
      </w:pPr>
      <w:r>
        <w:t>Samba</w:t>
      </w:r>
    </w:p>
    <w:p>
      <w:pPr>
        <w:pStyle w:val="Para 17"/>
      </w:pPr>
      <w:r>
        <w:t/>
      </w:r>
    </w:p>
    <w:p>
      <w:pPr>
        <w:pStyle w:val="Normal"/>
      </w:pPr>
      <w:r>
        <w:t>A Samba server can be deployed as a full Active Directory Domain Controller (Samba AD/DC), providing authentication to domain users – whether Linux or Windows.</w:t>
      </w:r>
    </w:p>
    <w:p>
      <w:pPr>
        <w:pStyle w:val="Para 17"/>
      </w:pPr>
      <w:r>
        <w:t/>
      </w:r>
    </w:p>
    <w:p>
      <w:pPr>
        <w:pStyle w:val="Para 01"/>
      </w:pPr>
      <w:r>
        <w:t>Provisioning a Samba Active Directory Domain Controller</w:t>
      </w:r>
    </w:p>
    <w:p>
      <w:pPr>
        <w:pStyle w:val="Para 17"/>
      </w:pPr>
      <w:r>
        <w:t/>
      </w:r>
    </w:p>
    <w:p>
      <w:pPr>
        <w:pStyle w:val="Normal"/>
      </w:pPr>
      <w:r>
        <w:t>A Samba Active Directory Domain Controller (also known as just Samba AD/DC) is a server running Samba services that can provide authentication to domain users and computers, linux or Windows. It should be dedicated to authentication and authorization services, and not provide file or print services: that should be the role of member servers joined to the domain.</w:t>
      </w:r>
    </w:p>
    <w:p>
      <w:pPr>
        <w:pStyle w:val="Para 17"/>
      </w:pPr>
      <w:r>
        <w:t/>
      </w:r>
    </w:p>
    <w:p>
      <w:pPr>
        <w:pStyle w:val="Para 08"/>
      </w:pPr>
      <w:r>
        <w:rPr>
          <w:rStyle w:val="Text0"/>
        </w:rPr>
        <w:t xml:space="preserve">µ </w:t>
      </w:r>
      <w:r>
        <w:t>See also</w:t>
      </w:r>
    </w:p>
    <w:p>
      <w:pPr>
        <w:pStyle w:val="Para 03"/>
      </w:pPr>
      <w:r>
        <w:t>For more information on why the Samba AD/DC server should not be used to provide file</w:t>
      </w:r>
    </w:p>
    <w:p>
      <w:pPr>
        <w:pStyle w:val="Para 22"/>
      </w:pPr>
      <w:r>
        <w:rPr>
          <w:rStyle w:val="Text7"/>
        </w:rPr>
        <w:t xml:space="preserve">and print services, please refer to this </w:t>
      </w:r>
      <w:hyperlink w:anchor="page_293">
        <w:r>
          <w:rPr>
            <w:rStyle w:val="Text10"/>
          </w:rPr>
          <w:t>232</w:t>
        </w:r>
      </w:hyperlink>
      <w:r>
        <w:rPr>
          <w:rStyle w:val="Text7"/>
        </w:rPr>
        <w:t xml:space="preserve"> </w:t>
      </w:r>
      <w:hyperlink r:id="rId1229">
        <w:r>
          <w:t>list of reasons and caveats in the Samba Wiki</w:t>
        </w:r>
      </w:hyperlink>
      <w:r>
        <w:rPr>
          <w:rStyle w:val="Text7"/>
        </w:rPr>
        <w:t>.</w:t>
      </w:r>
    </w:p>
    <w:p>
      <w:pPr>
        <w:pStyle w:val="Para 17"/>
      </w:pPr>
      <w:r>
        <w:t/>
      </w:r>
    </w:p>
    <w:p>
      <w:pPr>
        <w:pStyle w:val="Normal"/>
      </w:pPr>
      <w:r>
        <w:t>This guide will show how to bootstrap a Samba AD/DC server and verify it’s functioning prop-erly.</w:t>
      </w:r>
    </w:p>
    <w:p>
      <w:pPr>
        <w:pStyle w:val="Para 17"/>
      </w:pPr>
      <w:r>
        <w:t/>
      </w:r>
    </w:p>
    <w:p>
      <w:pPr>
        <w:pStyle w:val="Para 01"/>
      </w:pPr>
      <w:r>
        <w:t>Installation</w:t>
      </w:r>
    </w:p>
    <w:p>
      <w:pPr>
        <w:pStyle w:val="Para 17"/>
      </w:pPr>
      <w:r>
        <w:t/>
      </w:r>
    </w:p>
    <w:p>
      <w:pPr>
        <w:pStyle w:val="Normal"/>
      </w:pPr>
      <w:r>
        <w:t>This command will install the packages necessary for bootstrapping and testing the Samba AD/DC services:</w:t>
      </w:r>
    </w:p>
    <w:p>
      <w:pPr>
        <w:pStyle w:val="Normal"/>
      </w:pPr>
      <w:r>
        <w:t>sudo apt install samba-ad-dc krb5-user bind9-dnsutils</w:t>
      </w:r>
    </w:p>
    <w:p>
      <w:pPr>
        <w:pStyle w:val="Para 17"/>
      </w:pPr>
      <w:r>
        <w:t/>
      </w:r>
    </w:p>
    <w:p>
      <w:pPr>
        <w:pStyle w:val="Normal"/>
      </w:pPr>
      <w:r>
        <w:t>Note that the installation of krb5-user might prompt some questions. It’s fine to answer with just the default values (just hit ENTER) at this stage, including when it asks about what the Kerberos realm and servers are.</w:t>
      </w:r>
    </w:p>
    <w:p>
      <w:pPr>
        <w:pStyle w:val="Normal"/>
      </w:pPr>
      <w:r>
        <w:t>Next, we should make sure that the normal Samba services smbd, nmbd, and windind, are dis-abled:</w:t>
      </w:r>
    </w:p>
    <w:p>
      <w:pPr>
        <w:pStyle w:val="Para 41"/>
      </w:pPr>
      <w:r>
        <w:rPr>
          <w:rStyle w:val="Text5"/>
        </w:rPr>
        <w:t>232</w:t>
      </w:r>
      <w:r>
        <w:rPr>
          <w:rStyle w:val="Text8"/>
        </w:rPr>
        <w:t xml:space="preserve"> </w:t>
      </w:r>
      <w:r>
        <w:t>https://wiki.samba.org/index.php/Setting_up_Samba_as_an_Active_Directory_Domain_Controller#Using_</w:t>
      </w:r>
    </w:p>
    <w:p>
      <w:pPr>
        <w:pStyle w:val="Para 16"/>
      </w:pPr>
      <w:r>
        <w:t>the_Domain_Controller_as_a_File_Server_(Optional)</w:t>
      </w:r>
    </w:p>
    <w:p>
      <w:bookmarkStart w:id="420" w:name="page_2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299" name="index-294_1.png" descr="index-294_1.png"/>
            <wp:cNvGraphicFramePr>
              <a:graphicFrameLocks noChangeAspect="1"/>
            </wp:cNvGraphicFramePr>
            <a:graphic>
              <a:graphicData uri="http://schemas.openxmlformats.org/drawingml/2006/picture">
                <pic:pic>
                  <pic:nvPicPr>
                    <pic:cNvPr id="0" name="index-294_1.png" descr="index-294_1.png"/>
                    <pic:cNvPicPr/>
                  </pic:nvPicPr>
                  <pic:blipFill>
                    <a:blip r:embed="rId303"/>
                    <a:stretch>
                      <a:fillRect/>
                    </a:stretch>
                  </pic:blipFill>
                  <pic:spPr>
                    <a:xfrm>
                      <a:off x="0" y="0"/>
                      <a:ext cx="914400" cy="266700"/>
                    </a:xfrm>
                    <a:prstGeom prst="rect">
                      <a:avLst/>
                    </a:prstGeom>
                  </pic:spPr>
                </pic:pic>
              </a:graphicData>
            </a:graphic>
          </wp:anchor>
        </w:drawing>
      </w:r>
      <w:bookmarkEnd w:id="420"/>
    </w:p>
    <w:p>
      <w:pPr>
        <w:pStyle w:val="Normal"/>
      </w:pPr>
      <w:r>
        <w:t>sudo systemctl disable --now smbd nmbd winbind</w:t>
      </w:r>
    </w:p>
    <w:p>
      <w:pPr>
        <w:pStyle w:val="Normal"/>
      </w:pPr>
      <w:r>
        <w:t>sudo systemctl mask smbd nmbd winbind</w:t>
      </w:r>
    </w:p>
    <w:p>
      <w:pPr>
        <w:pStyle w:val="Para 17"/>
      </w:pPr>
      <w:r>
        <w:t/>
      </w:r>
    </w:p>
    <w:p>
      <w:pPr>
        <w:pStyle w:val="Normal"/>
      </w:pPr>
      <w:r>
        <w:t>And enable the Samba AD/DC service, but without starting it yet:</w:t>
      </w:r>
    </w:p>
    <w:p>
      <w:pPr>
        <w:pStyle w:val="Normal"/>
      </w:pPr>
      <w:r>
        <w:t>sudo systemctl unmask samba-ad-dc</w:t>
      </w:r>
    </w:p>
    <w:p>
      <w:pPr>
        <w:pStyle w:val="Normal"/>
      </w:pPr>
      <w:r>
        <w:t>sudo systemctl enable samba-ad-dc</w:t>
      </w:r>
    </w:p>
    <w:p>
      <w:pPr>
        <w:pStyle w:val="Para 17"/>
      </w:pPr>
      <w:r>
        <w:t/>
      </w:r>
    </w:p>
    <w:p>
      <w:pPr>
        <w:pStyle w:val="Para 08"/>
      </w:pPr>
      <w:r>
        <w:t>Note:</w:t>
      </w:r>
    </w:p>
    <w:p>
      <w:pPr>
        <w:pStyle w:val="Para 03"/>
      </w:pPr>
      <w:r>
        <w:t>A Samba AD/DC deployment represents a collection of services connected to each other,</w:t>
      </w:r>
    </w:p>
    <w:p>
      <w:pPr>
        <w:pStyle w:val="Para 03"/>
      </w:pPr>
      <w:r>
        <w:t>and needs its own specific systemd service unit.</w:t>
      </w:r>
    </w:p>
    <w:p>
      <w:pPr>
        <w:pStyle w:val="Para 17"/>
      </w:pPr>
      <w:r>
        <w:t/>
      </w:r>
    </w:p>
    <w:p>
      <w:pPr>
        <w:pStyle w:val="Normal"/>
      </w:pPr>
      <w:r>
        <w:t>The Samba AD/DC provisioning tool will want to create a new Samba configuration file, ded-icated to the AD/DC role, but it will refrain from replacing an existing one. We have to there-fore move it away before continuing:</w:t>
      </w:r>
    </w:p>
    <w:p>
      <w:pPr>
        <w:pStyle w:val="Normal"/>
      </w:pPr>
      <w:r>
        <w:t>sudo mv /etc/samba/smb.conf /etc/samba/smb.conf.orig</w:t>
      </w:r>
    </w:p>
    <w:p>
      <w:pPr>
        <w:pStyle w:val="Para 17"/>
      </w:pPr>
      <w:r>
        <w:t/>
      </w:r>
    </w:p>
    <w:p>
      <w:pPr>
        <w:pStyle w:val="Para 01"/>
      </w:pPr>
      <w:r>
        <w:t>Provisioning</w:t>
      </w:r>
    </w:p>
    <w:p>
      <w:pPr>
        <w:pStyle w:val="Para 17"/>
      </w:pPr>
      <w:r>
        <w:t/>
      </w:r>
    </w:p>
    <w:p>
      <w:pPr>
        <w:pStyle w:val="Normal"/>
      </w:pPr>
      <w:r>
        <w:t>With the packages installed, the Samba AD/DC service can be provisioned. For this how-to, we will use the following values:</w:t>
      </w:r>
    </w:p>
    <w:p>
      <w:pPr>
        <w:pStyle w:val="Para 04"/>
      </w:pPr>
      <w:r>
        <w:t>• Domain: EXAMPLE</w:t>
      </w:r>
    </w:p>
    <w:p>
      <w:pPr>
        <w:pStyle w:val="Para 04"/>
      </w:pPr>
      <w:r>
        <w:t>• Realm: EXAMPLE.INTERNAL</w:t>
      </w:r>
    </w:p>
    <w:p>
      <w:pPr>
        <w:pStyle w:val="Para 04"/>
      </w:pPr>
      <w:r>
        <w:t>• Administrator password: Passw0rd (pick your own)</w:t>
      </w:r>
    </w:p>
    <w:p>
      <w:pPr>
        <w:pStyle w:val="Normal"/>
      </w:pPr>
      <w:r>
        <w:t>To perform the provisioning, run this command:</w:t>
      </w:r>
    </w:p>
    <w:p>
      <w:pPr>
        <w:pStyle w:val="Normal"/>
      </w:pPr>
      <w:r>
        <w:t>sudo samba-tool domain provision \</w:t>
      </w:r>
    </w:p>
    <w:p>
      <w:pPr>
        <w:pStyle w:val="Para 02"/>
      </w:pPr>
      <w:r>
        <w:t>--domain EXAMPLE \</w:t>
      </w:r>
    </w:p>
    <w:p>
      <w:pPr>
        <w:pStyle w:val="Para 02"/>
      </w:pPr>
      <w:r>
        <w:t>--realm=EXAMPLE.INTERNAL \</w:t>
      </w:r>
    </w:p>
    <w:p>
      <w:pPr>
        <w:pStyle w:val="Para 02"/>
      </w:pPr>
      <w:r>
        <w:t>--adminpass=Passw0rd \</w:t>
      </w:r>
    </w:p>
    <w:p>
      <w:pPr>
        <w:pStyle w:val="Para 02"/>
      </w:pPr>
      <w:r>
        <w:t>--server-role=dc \</w:t>
      </w:r>
    </w:p>
    <w:p>
      <w:pPr>
        <w:pStyle w:val="Para 02"/>
      </w:pPr>
      <w:r>
        <w:t>--use-rfc2307 \</w:t>
      </w:r>
    </w:p>
    <w:p>
      <w:pPr>
        <w:pStyle w:val="Para 02"/>
      </w:pPr>
      <w:r>
        <w:t>--dns-backend=SAMBA_INTERNAL</w:t>
      </w:r>
    </w:p>
    <w:p>
      <w:pPr>
        <w:pStyle w:val="Para 17"/>
      </w:pPr>
      <w:r>
        <w:t/>
      </w:r>
    </w:p>
    <w:p>
      <w:pPr>
        <w:pStyle w:val="Normal"/>
      </w:pPr>
      <w:r>
        <w:t>If you omit the--adminpass option, a random password will be chosen and be included in the provisioning output. Be sure to save it!</w:t>
      </w:r>
    </w:p>
    <w:p>
      <w:pPr>
        <w:pStyle w:val="Para 17"/>
      </w:pPr>
      <w:r>
        <w:t/>
      </w:r>
    </w:p>
    <w:p>
      <w:pPr>
        <w:pStyle w:val="Para 08"/>
      </w:pPr>
      <w:r>
        <w:t>Warning:</w:t>
      </w:r>
    </w:p>
    <w:p>
      <w:pPr>
        <w:pStyle w:val="Para 17"/>
      </w:pPr>
      <w:r>
        <w:t/>
      </w:r>
    </w:p>
    <w:p>
      <w:pPr>
        <w:pStyle w:val="Para 03"/>
      </w:pPr>
      <w:r>
        <w:t>Providing passwords in the command line is generally unsafe. Other users on the system</w:t>
      </w:r>
    </w:p>
    <w:p>
      <w:pPr>
        <w:pStyle w:val="Para 03"/>
      </w:pPr>
      <w:r>
        <w:t>who can see the process listing can spot the password, and it will also be saved in the shell</w:t>
      </w:r>
    </w:p>
    <w:p>
      <w:pPr>
        <w:pStyle w:val="Para 03"/>
      </w:pPr>
      <w:r>
        <w:t>history, unless the command starts with a blank space.</w:t>
      </w:r>
    </w:p>
    <w:p>
      <w:pPr>
        <w:pStyle w:val="Para 17"/>
      </w:pPr>
      <w:r>
        <w:t/>
      </w:r>
    </w:p>
    <w:p>
      <w:pPr>
        <w:pStyle w:val="Normal"/>
      </w:pPr>
      <w:r>
        <w:t>The command will take a few seconds to run, and will output a lot of information. In the end, it should be like this (long lines truncated for better readability):</w:t>
      </w:r>
    </w:p>
    <w:p>
      <w:bookmarkStart w:id="421" w:name="page_2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0" name="index-295_1.png" descr="index-295_1.png"/>
            <wp:cNvGraphicFramePr>
              <a:graphicFrameLocks noChangeAspect="1"/>
            </wp:cNvGraphicFramePr>
            <a:graphic>
              <a:graphicData uri="http://schemas.openxmlformats.org/drawingml/2006/picture">
                <pic:pic>
                  <pic:nvPicPr>
                    <pic:cNvPr id="0" name="index-295_1.png" descr="index-295_1.png"/>
                    <pic:cNvPicPr/>
                  </pic:nvPicPr>
                  <pic:blipFill>
                    <a:blip r:embed="rId304"/>
                    <a:stretch>
                      <a:fillRect/>
                    </a:stretch>
                  </pic:blipFill>
                  <pic:spPr>
                    <a:xfrm>
                      <a:off x="0" y="0"/>
                      <a:ext cx="914400" cy="266700"/>
                    </a:xfrm>
                    <a:prstGeom prst="rect">
                      <a:avLst/>
                    </a:prstGeom>
                  </pic:spPr>
                </pic:pic>
              </a:graphicData>
            </a:graphic>
          </wp:anchor>
        </w:drawing>
      </w:r>
      <w:bookmarkEnd w:id="421"/>
    </w:p>
    <w:p>
      <w:pPr>
        <w:pStyle w:val="Normal"/>
      </w:pPr>
      <w:r>
        <w:t>(...)</w:t>
      </w:r>
    </w:p>
    <w:p>
      <w:pPr>
        <w:pStyle w:val="Normal"/>
      </w:pPr>
      <w:r>
        <w:t>INFO ... #498: Server Role:</w:t>
        <w:t xml:space="preserve"> </w:t>
        <w:t>active directory domain controller</w:t>
        <w:t xml:space="preserve"> </w:t>
        <w:t>INFO ... #499: Hostname:</w:t>
        <w:t xml:space="preserve"> </w:t>
        <w:t>ad</w:t>
      </w:r>
    </w:p>
    <w:p>
      <w:pPr>
        <w:pStyle w:val="Normal"/>
      </w:pPr>
      <w:r>
        <w:t>INFO ... #500: NetBIOS Domain:</w:t>
        <w:t xml:space="preserve"> </w:t>
        <w:t>EXAMPLE</w:t>
      </w:r>
    </w:p>
    <w:p>
      <w:pPr>
        <w:pStyle w:val="Normal"/>
      </w:pPr>
      <w:r>
        <w:t>INFO ... #501: DNS Domain:</w:t>
        <w:t xml:space="preserve"> </w:t>
        <w:t>example.internal</w:t>
        <w:t xml:space="preserve"> </w:t>
        <w:t>INFO ... #502: DOMAIN SID:</w:t>
        <w:t xml:space="preserve"> </w:t>
        <w:t>S-1-5-21-2373640847-2123283686-338028823</w:t>
      </w:r>
    </w:p>
    <w:p>
      <w:pPr>
        <w:pStyle w:val="Para 17"/>
      </w:pPr>
      <w:r>
        <w:t/>
      </w:r>
    </w:p>
    <w:p>
      <w:pPr>
        <w:pStyle w:val="Normal"/>
      </w:pPr>
      <w:r>
        <w:t>If you didn’t use the--adminpass option, the administrator password will be part of the out-put above in a line like this:</w:t>
      </w:r>
    </w:p>
    <w:p>
      <w:pPr>
        <w:pStyle w:val="Normal"/>
      </w:pPr>
      <w:r>
        <w:t>INFO ... #497: Admin password:</w:t>
        <w:t xml:space="preserve"> </w:t>
        <w:t>sbruR-Py&gt;];k=KDn1H58PB#</w:t>
      </w:r>
    </w:p>
    <w:p>
      <w:pPr>
        <w:pStyle w:val="Para 17"/>
      </w:pPr>
      <w:r>
        <w:t/>
      </w:r>
    </w:p>
    <w:p>
      <w:pPr>
        <w:pStyle w:val="Para 01"/>
      </w:pPr>
      <w:r>
        <w:t>Post-installation steps</w:t>
      </w:r>
    </w:p>
    <w:p>
      <w:pPr>
        <w:pStyle w:val="Para 17"/>
      </w:pPr>
      <w:r>
        <w:t/>
      </w:r>
    </w:p>
    <w:p>
      <w:pPr>
        <w:pStyle w:val="Normal"/>
      </w:pPr>
      <w:r>
        <w:t>The AD/DC services are not running yet. Some post-installation steps are necessary before the services can be started.</w:t>
      </w:r>
    </w:p>
    <w:p>
      <w:pPr>
        <w:pStyle w:val="Normal"/>
      </w:pPr>
      <w:r>
        <w:t xml:space="preserve">First, adjust dns forwarder in /etc/samba/smb.conf to point at your </w:t>
      </w:r>
      <w:hyperlink w:anchor="page_679">
        <w:r>
          <w:rPr>
            <w:rStyle w:val="Text2"/>
          </w:rPr>
          <w:t>DNS</w:t>
        </w:r>
      </w:hyperlink>
      <w:r>
        <w:t xml:space="preserve"> server. It will be used for all queries that are not local to the Active Directory domain we just deployed (EXAMPLE. INTERNAL). The provisioning script simply copied the server IP from /etc/resolv.conf to this parameter, but if we leave it like that, it will point back to itself:</w:t>
      </w:r>
    </w:p>
    <w:p>
      <w:pPr>
        <w:pStyle w:val="Normal"/>
      </w:pPr>
      <w:r>
        <w:t>[global]</w:t>
      </w:r>
    </w:p>
    <w:p>
      <w:pPr>
        <w:pStyle w:val="Para 02"/>
      </w:pPr>
      <w:r>
        <w:t>dns forwarder = 127.0.0.53</w:t>
      </w:r>
    </w:p>
    <w:p>
      <w:pPr>
        <w:pStyle w:val="Para 17"/>
      </w:pPr>
      <w:r>
        <w:t/>
      </w:r>
    </w:p>
    <w:p>
      <w:pPr>
        <w:pStyle w:val="Normal"/>
      </w:pPr>
      <w:r>
        <w:t>If unsure, it’s best to use the current DNS server this system is already using. That can be seen with the resolvectl status command. Look for the Current DNS Server line and note the IP address:</w:t>
      </w:r>
    </w:p>
    <w:p>
      <w:pPr>
        <w:pStyle w:val="Normal"/>
      </w:pPr>
      <w:r>
        <w:t>Global</w:t>
      </w:r>
    </w:p>
    <w:p>
      <w:pPr>
        <w:pStyle w:val="Para 11"/>
      </w:pPr>
      <w:r>
        <w:t>Protocols: -LLMNR -mDNS -DNSOverTLS DNSSEC=no/unsupported</w:t>
      </w:r>
    </w:p>
    <w:p>
      <w:pPr>
        <w:pStyle w:val="Para 03"/>
      </w:pPr>
      <w:r>
        <w:t>resolv.conf mode: stub</w:t>
      </w:r>
    </w:p>
    <w:p>
      <w:pPr>
        <w:pStyle w:val="Normal"/>
      </w:pPr>
      <w:r>
        <w:t>Link 2 (enp5s0)</w:t>
      </w:r>
    </w:p>
    <w:p>
      <w:pPr>
        <w:pStyle w:val="Para 02"/>
      </w:pPr>
      <w:r>
        <w:t>Current Scopes: DNS</w:t>
      </w:r>
    </w:p>
    <w:p>
      <w:pPr>
        <w:pStyle w:val="Para 17"/>
      </w:pPr>
      <w:r>
        <w:t>Protocols: +DefaultRoute -LLMNR -mDNS -DNSOverTLS DNSSEC=no/unsupported</w:t>
      </w:r>
    </w:p>
    <w:p>
      <w:pPr>
        <w:pStyle w:val="Normal"/>
      </w:pPr>
      <w:r>
        <w:t>Current DNS Server: 10.10.17.1</w:t>
      </w:r>
    </w:p>
    <w:p>
      <w:pPr>
        <w:pStyle w:val="Para 06"/>
      </w:pPr>
      <w:r>
        <w:t>DNS Servers: 10.10.17.1</w:t>
      </w:r>
    </w:p>
    <w:p>
      <w:pPr>
        <w:pStyle w:val="Para 06"/>
      </w:pPr>
      <w:r>
        <w:t>DNS Domain: lxd</w:t>
      </w:r>
    </w:p>
    <w:p>
      <w:pPr>
        <w:pStyle w:val="Para 17"/>
      </w:pPr>
      <w:r>
        <w:t/>
      </w:r>
    </w:p>
    <w:p>
      <w:pPr>
        <w:pStyle w:val="Normal"/>
      </w:pPr>
      <w:r>
        <w:t>In the above example, the DNS server is 10.10.17.1, so that should be used in /etc/samba/ smb.conf’s dns forwarder:</w:t>
      </w:r>
    </w:p>
    <w:p>
      <w:pPr>
        <w:pStyle w:val="Normal"/>
      </w:pPr>
      <w:r>
        <w:t>[global]</w:t>
      </w:r>
    </w:p>
    <w:p>
      <w:pPr>
        <w:pStyle w:val="Para 02"/>
      </w:pPr>
      <w:r>
        <w:t>dns forwarder = 10.10.17.1</w:t>
      </w:r>
    </w:p>
    <w:p>
      <w:pPr>
        <w:pStyle w:val="Para 17"/>
      </w:pPr>
      <w:r>
        <w:t/>
      </w:r>
    </w:p>
    <w:p>
      <w:pPr>
        <w:pStyle w:val="Normal"/>
      </w:pPr>
      <w:r>
        <w:t>Next, we need to be sure this system will be using the Samba DNS server for its queries, and for that we need to adjust /etc/resolv.conf. That file will be a symlink, so instead of just rewriting its contents, first we have to remove it:</w:t>
      </w:r>
    </w:p>
    <w:p>
      <w:pPr>
        <w:pStyle w:val="Normal"/>
      </w:pPr>
      <w:r>
        <w:t>sudo unlink /etc/resolv.conf</w:t>
      </w:r>
    </w:p>
    <w:p>
      <w:bookmarkStart w:id="422" w:name="page_2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1" name="index-296_1.png" descr="index-296_1.png"/>
            <wp:cNvGraphicFramePr>
              <a:graphicFrameLocks noChangeAspect="1"/>
            </wp:cNvGraphicFramePr>
            <a:graphic>
              <a:graphicData uri="http://schemas.openxmlformats.org/drawingml/2006/picture">
                <pic:pic>
                  <pic:nvPicPr>
                    <pic:cNvPr id="0" name="index-296_1.png" descr="index-296_1.png"/>
                    <pic:cNvPicPr/>
                  </pic:nvPicPr>
                  <pic:blipFill>
                    <a:blip r:embed="rId305"/>
                    <a:stretch>
                      <a:fillRect/>
                    </a:stretch>
                  </pic:blipFill>
                  <pic:spPr>
                    <a:xfrm>
                      <a:off x="0" y="0"/>
                      <a:ext cx="914400" cy="266700"/>
                    </a:xfrm>
                    <a:prstGeom prst="rect">
                      <a:avLst/>
                    </a:prstGeom>
                  </pic:spPr>
                </pic:pic>
              </a:graphicData>
            </a:graphic>
          </wp:anchor>
        </w:drawing>
      </w:r>
      <w:bookmarkEnd w:id="422"/>
    </w:p>
    <w:p>
      <w:pPr>
        <w:pStyle w:val="Para 08"/>
      </w:pPr>
      <w:r>
        <w:t>Note:</w:t>
      </w:r>
    </w:p>
    <w:p>
      <w:pPr>
        <w:pStyle w:val="Para 03"/>
      </w:pPr>
      <w:r>
        <w:t>This will make sudo issue complaints about DNS from this point on, until the Samba DNS</w:t>
      </w:r>
    </w:p>
    <w:p>
      <w:pPr>
        <w:pStyle w:val="Para 03"/>
      </w:pPr>
      <w:r>
        <w:t>service is up and running.</w:t>
      </w:r>
    </w:p>
    <w:p>
      <w:pPr>
        <w:pStyle w:val="Para 17"/>
      </w:pPr>
      <w:r>
        <w:t/>
      </w:r>
    </w:p>
    <w:p>
      <w:pPr>
        <w:pStyle w:val="Normal"/>
      </w:pPr>
      <w:r>
        <w:t>And now recreate the file /etc/resolv.conf with this content:</w:t>
      </w:r>
    </w:p>
    <w:p>
      <w:pPr>
        <w:pStyle w:val="Normal"/>
      </w:pPr>
      <w:r>
        <w:t>nameserver 127.0.0.1</w:t>
      </w:r>
    </w:p>
    <w:p>
      <w:pPr>
        <w:pStyle w:val="Normal"/>
      </w:pPr>
      <w:r>
        <w:t>search example.internal</w:t>
      </w:r>
    </w:p>
    <w:p>
      <w:pPr>
        <w:pStyle w:val="Para 17"/>
      </w:pPr>
      <w:r>
        <w:t/>
      </w:r>
    </w:p>
    <w:p>
      <w:pPr>
        <w:pStyle w:val="Normal"/>
      </w:pPr>
      <w:r>
        <w:t>Stop and disable systemd-resolved as the resolver will now be using the Samba DNS server directly:</w:t>
      </w:r>
    </w:p>
    <w:p>
      <w:pPr>
        <w:pStyle w:val="Normal"/>
      </w:pPr>
      <w:r>
        <w:t>sudo systemctl disable --now systemd-resolved</w:t>
      </w:r>
    </w:p>
    <w:p>
      <w:pPr>
        <w:pStyle w:val="Para 17"/>
      </w:pPr>
      <w:r>
        <w:t/>
      </w:r>
    </w:p>
    <w:p>
      <w:pPr>
        <w:pStyle w:val="Normal"/>
      </w:pPr>
      <w:r>
        <w:t>Finally, we need to update /etc/krb5.conf with the content generated by the Samba pro-visioning script. Since this system is dedicated to being a Samba AD/DC server, we can just copy the generated file over:</w:t>
      </w:r>
    </w:p>
    <w:p>
      <w:pPr>
        <w:pStyle w:val="Normal"/>
      </w:pPr>
      <w:r>
        <w:t>sudo cp -f /var/lib/samba/private/krb5.conf /etc/krb5.conf</w:t>
      </w:r>
    </w:p>
    <w:p>
      <w:pPr>
        <w:pStyle w:val="Para 17"/>
      </w:pPr>
      <w:r>
        <w:t/>
      </w:r>
    </w:p>
    <w:p>
      <w:pPr>
        <w:pStyle w:val="Normal"/>
      </w:pPr>
      <w:r>
        <w:t>If there are other Kerberos realms involved, you should manually merge the two files.</w:t>
      </w:r>
    </w:p>
    <w:p>
      <w:pPr>
        <w:pStyle w:val="Normal"/>
      </w:pPr>
      <w:r>
        <w:t>We are now ready to start the Samba AD/DC services:</w:t>
      </w:r>
    </w:p>
    <w:p>
      <w:pPr>
        <w:pStyle w:val="Normal"/>
      </w:pPr>
      <w:r>
        <w:t>sudo systemctl start samba-ad-dc</w:t>
      </w:r>
    </w:p>
    <w:p>
      <w:pPr>
        <w:pStyle w:val="Para 17"/>
      </w:pPr>
      <w:r>
        <w:t/>
      </w:r>
    </w:p>
    <w:p>
      <w:pPr>
        <w:pStyle w:val="Normal"/>
      </w:pPr>
      <w:r>
        <w:t>And this concludes the installation. The next section will show how to perform some basic checks.</w:t>
      </w:r>
    </w:p>
    <w:p>
      <w:pPr>
        <w:pStyle w:val="Para 17"/>
      </w:pPr>
      <w:r>
        <w:t/>
      </w:r>
    </w:p>
    <w:p>
      <w:pPr>
        <w:pStyle w:val="Para 01"/>
      </w:pPr>
      <w:r>
        <w:t>Verification</w:t>
      </w:r>
    </w:p>
    <w:p>
      <w:pPr>
        <w:pStyle w:val="Para 17"/>
      </w:pPr>
      <w:r>
        <w:t/>
      </w:r>
    </w:p>
    <w:p>
      <w:pPr>
        <w:pStyle w:val="Normal"/>
      </w:pPr>
      <w:r>
        <w:t>Here are some verification steps that can be run to check that the provisioning was done correctly and the service is ready.</w:t>
      </w:r>
    </w:p>
    <w:p>
      <w:pPr>
        <w:pStyle w:val="Para 17"/>
      </w:pPr>
      <w:r>
        <w:t/>
      </w:r>
    </w:p>
    <w:p>
      <w:pPr>
        <w:pStyle w:val="Para 01"/>
      </w:pPr>
      <w:r>
        <w:t>Kerberos authentication</w:t>
      </w:r>
    </w:p>
    <w:p>
      <w:pPr>
        <w:pStyle w:val="Para 17"/>
      </w:pPr>
      <w:r>
        <w:t/>
      </w:r>
    </w:p>
    <w:p>
      <w:pPr>
        <w:pStyle w:val="Normal"/>
      </w:pPr>
      <w:r>
        <w:t xml:space="preserve">A Kerberos ticket for the </w:t>
      </w:r>
      <w:r>
        <w:rPr>
          <w:rStyle w:val="Text3"/>
        </w:rPr>
        <w:t>Administrator</w:t>
      </w:r>
      <w:r>
        <w:t xml:space="preserve"> principal can be obtained with the kinit command. Note you don’t have to be </w:t>
      </w:r>
      <w:r>
        <w:rPr>
          <w:rStyle w:val="Text3"/>
        </w:rPr>
        <w:t>root</w:t>
      </w:r>
      <w:r>
        <w:t xml:space="preserve"> to run this command. It’s perfectly fine to get a ticket for a different principal than your own user, even a privileged one:</w:t>
      </w:r>
    </w:p>
    <w:p>
      <w:pPr>
        <w:pStyle w:val="Normal"/>
      </w:pPr>
      <w:r>
        <w:t>kinit Administrator</w:t>
      </w:r>
    </w:p>
    <w:p>
      <w:pPr>
        <w:pStyle w:val="Para 17"/>
      </w:pPr>
      <w:r>
        <w:t/>
      </w:r>
    </w:p>
    <w:p>
      <w:pPr>
        <w:pStyle w:val="Normal"/>
      </w:pPr>
      <w:r>
        <w:t>The command will ask for a password. The password is the one supplied to the samba-tool command earlier, when the domain was provisioned, or the randomly chosen one if the--adminpass option was not used.</w:t>
      </w:r>
    </w:p>
    <w:p>
      <w:pPr>
        <w:pStyle w:val="Normal"/>
      </w:pPr>
      <w:r>
        <w:t>Password for Administrator@EXAMPLE.INTERNAL:</w:t>
      </w:r>
    </w:p>
    <w:p>
      <w:bookmarkStart w:id="423" w:name="page_2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2" name="index-297_1.png" descr="index-297_1.png"/>
            <wp:cNvGraphicFramePr>
              <a:graphicFrameLocks noChangeAspect="1"/>
            </wp:cNvGraphicFramePr>
            <a:graphic>
              <a:graphicData uri="http://schemas.openxmlformats.org/drawingml/2006/picture">
                <pic:pic>
                  <pic:nvPicPr>
                    <pic:cNvPr id="0" name="index-297_1.png" descr="index-297_1.png"/>
                    <pic:cNvPicPr/>
                  </pic:nvPicPr>
                  <pic:blipFill>
                    <a:blip r:embed="rId306"/>
                    <a:stretch>
                      <a:fillRect/>
                    </a:stretch>
                  </pic:blipFill>
                  <pic:spPr>
                    <a:xfrm>
                      <a:off x="0" y="0"/>
                      <a:ext cx="914400" cy="266700"/>
                    </a:xfrm>
                    <a:prstGeom prst="rect">
                      <a:avLst/>
                    </a:prstGeom>
                  </pic:spPr>
                </pic:pic>
              </a:graphicData>
            </a:graphic>
          </wp:anchor>
        </w:drawing>
      </w:r>
      <w:bookmarkEnd w:id="423"/>
    </w:p>
    <w:p>
      <w:pPr>
        <w:pStyle w:val="Para 08"/>
      </w:pPr>
      <w:r>
        <w:rPr>
          <w:rStyle w:val="Text0"/>
        </w:rPr>
        <w:t xml:space="preserve">µ </w:t>
      </w:r>
      <w:r>
        <w:t>See also</w:t>
      </w:r>
    </w:p>
    <w:p>
      <w:pPr>
        <w:pStyle w:val="Para 03"/>
      </w:pPr>
      <w:r>
        <w:t xml:space="preserve">If you are not familiar with Kerberos, please see our </w:t>
      </w:r>
      <w:hyperlink w:anchor="page_739">
        <w:r>
          <w:rPr>
            <w:rStyle w:val="Text2"/>
          </w:rPr>
          <w:t>Introduction to Kerberos</w:t>
        </w:r>
      </w:hyperlink>
      <w:r>
        <w:t xml:space="preserve"> (page 738).</w:t>
      </w:r>
    </w:p>
    <w:p>
      <w:pPr>
        <w:pStyle w:val="Para 17"/>
      </w:pPr>
      <w:r>
        <w:t/>
      </w:r>
    </w:p>
    <w:p>
      <w:pPr>
        <w:pStyle w:val="Normal"/>
      </w:pPr>
      <w:r>
        <w:t>To verify the ticket was obtained, use klist, which should have output similar to the follow-ing:</w:t>
      </w:r>
    </w:p>
    <w:p>
      <w:pPr>
        <w:pStyle w:val="Normal"/>
      </w:pPr>
      <w:r>
        <w:t>Ticket cache: FILE:/tmp/krb5cc_1000</w:t>
      </w:r>
    </w:p>
    <w:p>
      <w:pPr>
        <w:pStyle w:val="Normal"/>
      </w:pPr>
      <w:r>
        <w:t>Default principal: Administrator@EXAMPLE.INTERNAL</w:t>
      </w:r>
    </w:p>
    <w:p>
      <w:pPr>
        <w:pStyle w:val="Normal"/>
      </w:pPr>
      <w:r>
        <w:t>Valid starting</w:t>
        <w:t xml:space="preserve"> </w:t>
        <w:t>Expires</w:t>
        <w:t xml:space="preserve"> </w:t>
        <w:t>Service principal</w:t>
        <w:t xml:space="preserve"> </w:t>
        <w:t>07/24/24 13:52:33</w:t>
        <w:t xml:space="preserve"> </w:t>
        <w:t>07/24/24 23:52:33</w:t>
        <w:t xml:space="preserve"> </w:t>
        <w:t>krbtgt/EXAMPLE.INTERNAL@EXAMPLE.INTERNAL</w:t>
      </w:r>
    </w:p>
    <w:p>
      <w:pPr>
        <w:pStyle w:val="Para 06"/>
      </w:pPr>
      <w:r>
        <w:t>renew until 07/25/24 13:52:02</w:t>
      </w:r>
    </w:p>
    <w:p>
      <w:pPr>
        <w:pStyle w:val="Para 17"/>
      </w:pPr>
      <w:r>
        <w:t/>
      </w:r>
    </w:p>
    <w:p>
      <w:pPr>
        <w:pStyle w:val="Para 01"/>
      </w:pPr>
      <w:r>
        <w:t>DNS tests</w:t>
      </w:r>
    </w:p>
    <w:p>
      <w:pPr>
        <w:pStyle w:val="Para 17"/>
      </w:pPr>
      <w:r>
        <w:t/>
      </w:r>
    </w:p>
    <w:p>
      <w:pPr>
        <w:pStyle w:val="Normal"/>
      </w:pPr>
      <w:r>
        <w:t>Using the Kerberos ticket from the step above, we can check the DNS server that Samba is running.</w:t>
      </w:r>
    </w:p>
    <w:p>
      <w:pPr>
        <w:pStyle w:val="Normal"/>
      </w:pPr>
      <w:r>
        <w:t xml:space="preserve">If everything is correct, the hostname command should be able to return both the short </w:t>
      </w:r>
      <w:hyperlink w:anchor="page_688">
        <w:r>
          <w:rPr>
            <w:rStyle w:val="Text2"/>
          </w:rPr>
          <w:t>host-</w:t>
        </w:r>
      </w:hyperlink>
    </w:p>
    <w:p>
      <w:pPr>
        <w:pStyle w:val="Normal"/>
      </w:pPr>
      <w:hyperlink w:anchor="page_688">
        <w:r>
          <w:rPr>
            <w:rStyle w:val="Text2"/>
          </w:rPr>
          <w:t>name</w:t>
        </w:r>
      </w:hyperlink>
      <w:r>
        <w:t>, and the fully qualified hostname.</w:t>
      </w:r>
    </w:p>
    <w:p>
      <w:pPr>
        <w:pStyle w:val="Normal"/>
      </w:pPr>
      <w:r>
        <w:t>For the short hostname, use the command:</w:t>
      </w:r>
    </w:p>
    <w:p>
      <w:pPr>
        <w:pStyle w:val="Normal"/>
      </w:pPr>
      <w:r>
        <w:t>hostname</w:t>
      </w:r>
    </w:p>
    <w:p>
      <w:pPr>
        <w:pStyle w:val="Para 17"/>
      </w:pPr>
      <w:r>
        <w:t/>
      </w:r>
    </w:p>
    <w:p>
      <w:pPr>
        <w:pStyle w:val="Normal"/>
      </w:pPr>
      <w:r>
        <w:t>For the fully qualified hostname, run this instead:</w:t>
      </w:r>
    </w:p>
    <w:p>
      <w:pPr>
        <w:pStyle w:val="Normal"/>
      </w:pPr>
      <w:r>
        <w:t>hostname -f</w:t>
      </w:r>
    </w:p>
    <w:p>
      <w:pPr>
        <w:pStyle w:val="Para 17"/>
      </w:pPr>
      <w:r>
        <w:t/>
      </w:r>
    </w:p>
    <w:p>
      <w:pPr>
        <w:pStyle w:val="Normal"/>
      </w:pPr>
      <w:r>
        <w:t>For example, hostname -f would return something like ad.example.internal, while hostname returns only ad.</w:t>
      </w:r>
    </w:p>
    <w:p>
      <w:pPr>
        <w:pStyle w:val="Para 17"/>
      </w:pPr>
      <w:r>
        <w:t/>
      </w:r>
    </w:p>
    <w:p>
      <w:pPr>
        <w:pStyle w:val="Para 01"/>
      </w:pPr>
      <w:r>
        <w:t>Server Information</w:t>
      </w:r>
    </w:p>
    <w:p>
      <w:pPr>
        <w:pStyle w:val="Para 17"/>
      </w:pPr>
      <w:r>
        <w:t/>
      </w:r>
    </w:p>
    <w:p>
      <w:pPr>
        <w:pStyle w:val="Normal"/>
      </w:pPr>
      <w:r>
        <w:t>With that information at hand and verified, we can perform further checks. Let’s get infor-mation about the DNS service provided by this domain controller:</w:t>
      </w:r>
    </w:p>
    <w:p>
      <w:pPr>
        <w:pStyle w:val="Normal"/>
      </w:pPr>
      <w:r>
        <w:t>samba-tool dns serverinfo $(hostname -f)</w:t>
      </w:r>
    </w:p>
    <w:p>
      <w:pPr>
        <w:pStyle w:val="Para 17"/>
      </w:pPr>
      <w:r>
        <w:t/>
      </w:r>
    </w:p>
    <w:p>
      <w:pPr>
        <w:pStyle w:val="Normal"/>
      </w:pPr>
      <w:r>
        <w:t>This command will produce a long output, truncated below:</w:t>
      </w:r>
    </w:p>
    <w:p>
      <w:pPr>
        <w:pStyle w:val="Normal"/>
      </w:pPr>
      <w:r>
        <w:t>dwVersion</w:t>
        <w:t xml:space="preserve"> </w:t>
        <w:t>: 0xece0205</w:t>
      </w:r>
    </w:p>
    <w:p>
      <w:pPr>
        <w:pStyle w:val="Normal"/>
      </w:pPr>
      <w:r>
        <w:t>fBootMethod</w:t>
        <w:t xml:space="preserve"> </w:t>
        <w:t>: DNS_BOOT_METHOD_DIRECTORY</w:t>
        <w:t xml:space="preserve"> </w:t>
        <w:t>fAdminConfigured</w:t>
        <w:t xml:space="preserve"> </w:t>
        <w:t>: FALSE</w:t>
      </w:r>
    </w:p>
    <w:p>
      <w:pPr>
        <w:pStyle w:val="Normal"/>
      </w:pPr>
      <w:r>
        <w:t>fAllowUpdate</w:t>
        <w:t xml:space="preserve"> </w:t>
        <w:t>: TRUE</w:t>
      </w:r>
    </w:p>
    <w:p>
      <w:pPr>
        <w:pStyle w:val="Normal"/>
      </w:pPr>
      <w:r>
        <w:t>fDsAvailable</w:t>
        <w:t xml:space="preserve"> </w:t>
        <w:t>: TRUE</w:t>
      </w:r>
    </w:p>
    <w:p>
      <w:pPr>
        <w:pStyle w:val="Normal"/>
      </w:pPr>
      <w:r>
        <w:t>pszServerName</w:t>
        <w:t xml:space="preserve"> </w:t>
        <w:t>: AD.example.internal</w:t>
        <w:t xml:space="preserve"> </w:t>
        <w:t>pszDsContainer</w:t>
        <w:t xml:space="preserve"> </w:t>
        <w:t>: CN=MicrosoftDNS,DC=DomainDnsZones,DC=example,DC=internal</w:t>
      </w:r>
    </w:p>
    <w:p>
      <w:pPr>
        <w:pStyle w:val="Normal"/>
      </w:pPr>
      <w:r>
        <w:t>(...)</w:t>
      </w:r>
    </w:p>
    <w:p>
      <w:bookmarkStart w:id="424" w:name="page_2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3" name="index-298_1.png" descr="index-298_1.png"/>
            <wp:cNvGraphicFramePr>
              <a:graphicFrameLocks noChangeAspect="1"/>
            </wp:cNvGraphicFramePr>
            <a:graphic>
              <a:graphicData uri="http://schemas.openxmlformats.org/drawingml/2006/picture">
                <pic:pic>
                  <pic:nvPicPr>
                    <pic:cNvPr id="0" name="index-298_1.png" descr="index-298_1.png"/>
                    <pic:cNvPicPr/>
                  </pic:nvPicPr>
                  <pic:blipFill>
                    <a:blip r:embed="rId307"/>
                    <a:stretch>
                      <a:fillRect/>
                    </a:stretch>
                  </pic:blipFill>
                  <pic:spPr>
                    <a:xfrm>
                      <a:off x="0" y="0"/>
                      <a:ext cx="914400" cy="266700"/>
                    </a:xfrm>
                    <a:prstGeom prst="rect">
                      <a:avLst/>
                    </a:prstGeom>
                  </pic:spPr>
                </pic:pic>
              </a:graphicData>
            </a:graphic>
          </wp:anchor>
        </w:drawing>
      </w:r>
      <w:bookmarkEnd w:id="424"/>
    </w:p>
    <w:p>
      <w:pPr>
        <w:pStyle w:val="Normal"/>
      </w:pPr>
      <w:r>
        <w:t>Even though it doesn’t look like it, the samba-tool dns serverinfo command used Kerberos authentication. The klist command output now shows another ticket that was obtained automatically:</w:t>
      </w:r>
    </w:p>
    <w:p>
      <w:pPr>
        <w:pStyle w:val="Normal"/>
      </w:pPr>
      <w:r>
        <w:t>Ticket cache: FILE:/tmp/krb5cc_1000</w:t>
      </w:r>
    </w:p>
    <w:p>
      <w:pPr>
        <w:pStyle w:val="Normal"/>
      </w:pPr>
      <w:r>
        <w:t>Default principal: Administrator@EXAMPLE.INTERNAL</w:t>
      </w:r>
    </w:p>
    <w:p>
      <w:pPr>
        <w:pStyle w:val="Normal"/>
      </w:pPr>
      <w:r>
        <w:t>Valid starting</w:t>
        <w:t xml:space="preserve"> </w:t>
        <w:t>Expires</w:t>
        <w:t xml:space="preserve"> </w:t>
        <w:t>Service principal</w:t>
        <w:t xml:space="preserve"> </w:t>
        <w:t>07/24/24 14:29:55</w:t>
        <w:t xml:space="preserve"> </w:t>
        <w:t>07/25/24 00:29:55</w:t>
        <w:t xml:space="preserve"> </w:t>
        <w:t>krbtgt/EXAMPLE.INTERNAL@EXAMPLE.INTERNAL</w:t>
      </w:r>
    </w:p>
    <w:p>
      <w:pPr>
        <w:pStyle w:val="Para 06"/>
      </w:pPr>
      <w:r>
        <w:t>renew until 07/25/24 14:29:53</w:t>
      </w:r>
    </w:p>
    <w:p>
      <w:pPr>
        <w:pStyle w:val="Normal"/>
      </w:pPr>
      <w:r>
        <w:t>07/24/24 14:29:59</w:t>
        <w:t xml:space="preserve"> </w:t>
        <w:t>07/25/24 00:29:55</w:t>
        <w:t xml:space="preserve"> </w:t>
        <w:t>host/ad.example.internal@EXAMPLE.INTERNAL</w:t>
      </w:r>
    </w:p>
    <w:p>
      <w:pPr>
        <w:pStyle w:val="Para 06"/>
      </w:pPr>
      <w:r>
        <w:t>renew until 07/25/24 14:29:53</w:t>
      </w:r>
    </w:p>
    <w:p>
      <w:pPr>
        <w:pStyle w:val="Para 17"/>
      </w:pPr>
      <w:r>
        <w:t/>
      </w:r>
    </w:p>
    <w:p>
      <w:pPr>
        <w:pStyle w:val="Normal"/>
      </w:pPr>
      <w:r>
        <w:t>A ticket for the host/ad.example.internal@EXAMPLE.INTERNAL principal is now also part of the ticket cache.</w:t>
      </w:r>
    </w:p>
    <w:p>
      <w:pPr>
        <w:pStyle w:val="Para 17"/>
      </w:pPr>
      <w:r>
        <w:t/>
      </w:r>
    </w:p>
    <w:p>
      <w:pPr>
        <w:pStyle w:val="Para 01"/>
      </w:pPr>
      <w:r>
        <w:t>DNS records</w:t>
      </w:r>
    </w:p>
    <w:p>
      <w:pPr>
        <w:pStyle w:val="Para 17"/>
      </w:pPr>
      <w:r>
        <w:t/>
      </w:r>
    </w:p>
    <w:p>
      <w:pPr>
        <w:pStyle w:val="Normal"/>
      </w:pPr>
      <w:r>
        <w:t>The DNS server backing the Samba Active Directory deployment also needs to have some specific DNS records in its zones, which are needed for service discoverability. Let’s check if they were added correctly with this simple script:</w:t>
      </w:r>
    </w:p>
    <w:p>
      <w:pPr>
        <w:pStyle w:val="Normal"/>
      </w:pPr>
      <w:r>
        <w:t>for srv in _ldap._tcp _kerberos._tcp _kerberos._udp _kpasswd._udp; do</w:t>
      </w:r>
    </w:p>
    <w:p>
      <w:pPr>
        <w:pStyle w:val="Para 02"/>
      </w:pPr>
      <w:r>
        <w:t>echo -n "${srv}.example.internal: "</w:t>
      </w:r>
    </w:p>
    <w:p>
      <w:pPr>
        <w:pStyle w:val="Para 02"/>
      </w:pPr>
      <w:r>
        <w:t>dig @localhost +short -t SRV ${srv}.example.internal</w:t>
      </w:r>
    </w:p>
    <w:p>
      <w:pPr>
        <w:pStyle w:val="Normal"/>
      </w:pPr>
      <w:r>
        <w:t>done</w:t>
      </w:r>
    </w:p>
    <w:p>
      <w:pPr>
        <w:pStyle w:val="Para 17"/>
      </w:pPr>
      <w:r>
        <w:t/>
      </w:r>
    </w:p>
    <w:p>
      <w:pPr>
        <w:pStyle w:val="Normal"/>
      </w:pPr>
      <w:r>
        <w:t>The output should have no errors, and show the DNS records for each query:</w:t>
      </w:r>
    </w:p>
    <w:p>
      <w:pPr>
        <w:pStyle w:val="Normal"/>
      </w:pPr>
      <w:r>
        <w:t>_ldap._tcp.example.internal: 0 100 389 ad.example.internal.</w:t>
        <w:t xml:space="preserve"> </w:t>
        <w:t>_kerberos._tcp.example.internal: 0 100 88 ad.example.internal.</w:t>
        <w:t xml:space="preserve"> </w:t>
        <w:t>_kerberos._udp.example.internal: 0 100 88 ad.example.internal.</w:t>
        <w:t xml:space="preserve"> </w:t>
        <w:t>_kpasswd._udp.example.internal: 0 100 464 ad.example.internal.</w:t>
      </w:r>
    </w:p>
    <w:p>
      <w:pPr>
        <w:pStyle w:val="Para 17"/>
      </w:pPr>
      <w:r>
        <w:t/>
      </w:r>
    </w:p>
    <w:p>
      <w:pPr>
        <w:pStyle w:val="Normal"/>
      </w:pPr>
      <w:r>
        <w:t>And, of course, our own hostname must be in DNS as well:</w:t>
      </w:r>
    </w:p>
    <w:p>
      <w:pPr>
        <w:pStyle w:val="Normal"/>
      </w:pPr>
      <w:r>
        <w:t>dig @localhost +short -t A $(hostname -f)</w:t>
      </w:r>
    </w:p>
    <w:p>
      <w:pPr>
        <w:pStyle w:val="Para 17"/>
      </w:pPr>
      <w:r>
        <w:t/>
      </w:r>
    </w:p>
    <w:p>
      <w:pPr>
        <w:pStyle w:val="Normal"/>
      </w:pPr>
      <w:r>
        <w:t>The above command should return your own IP address.</w:t>
      </w:r>
    </w:p>
    <w:p>
      <w:pPr>
        <w:pStyle w:val="Para 17"/>
      </w:pPr>
      <w:r>
        <w:t/>
      </w:r>
    </w:p>
    <w:p>
      <w:pPr>
        <w:pStyle w:val="Para 01"/>
      </w:pPr>
      <w:r>
        <w:t>User creation test</w:t>
      </w:r>
    </w:p>
    <w:p>
      <w:pPr>
        <w:pStyle w:val="Para 17"/>
      </w:pPr>
      <w:r>
        <w:t/>
      </w:r>
    </w:p>
    <w:p>
      <w:pPr>
        <w:pStyle w:val="Normal"/>
      </w:pPr>
      <w:r>
        <w:t>Users (and groups, and other entities as well) can be created with the samba-tool command. It can be used remotely, to manage users on a remote Samba AD server, or locally on the same server it is managing.</w:t>
      </w:r>
    </w:p>
    <w:p>
      <w:pPr>
        <w:pStyle w:val="Normal"/>
      </w:pPr>
      <w:r>
        <w:t xml:space="preserve">When run </w:t>
      </w:r>
      <w:r>
        <w:rPr>
          <w:rStyle w:val="Text0"/>
        </w:rPr>
        <w:t>locally as root</w:t>
      </w:r>
      <w:r>
        <w:t>, no further authentication is required:</w:t>
      </w:r>
    </w:p>
    <w:p>
      <w:pPr>
        <w:pStyle w:val="Normal"/>
      </w:pPr>
      <w:r>
        <w:t>samba-tool user add noble</w:t>
      </w:r>
    </w:p>
    <w:p>
      <w:pPr>
        <w:pStyle w:val="Para 17"/>
      </w:pPr>
      <w:r>
        <w:t/>
      </w:r>
    </w:p>
    <w:p>
      <w:pPr>
        <w:pStyle w:val="Normal"/>
      </w:pPr>
      <w:r>
        <w:t xml:space="preserve">The command above will prompt for the desired password for the noble user, and if it satisfies the password complexity criteria, the user will be created. As with the </w:t>
      </w:r>
      <w:r>
        <w:rPr>
          <w:rStyle w:val="Text3"/>
        </w:rPr>
        <w:t>Administrator</w:t>
      </w:r>
      <w:r>
        <w:t xml:space="preserve"> Samba user, kinit noble can be used to test that the noble user can be authenticated.</w:t>
      </w:r>
    </w:p>
    <w:p>
      <w:bookmarkStart w:id="425" w:name="page_2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4" name="index-299_1.png" descr="index-299_1.png"/>
            <wp:cNvGraphicFramePr>
              <a:graphicFrameLocks noChangeAspect="1"/>
            </wp:cNvGraphicFramePr>
            <a:graphic>
              <a:graphicData uri="http://schemas.openxmlformats.org/drawingml/2006/picture">
                <pic:pic>
                  <pic:nvPicPr>
                    <pic:cNvPr id="0" name="index-299_1.png" descr="index-299_1.png"/>
                    <pic:cNvPicPr/>
                  </pic:nvPicPr>
                  <pic:blipFill>
                    <a:blip r:embed="rId308"/>
                    <a:stretch>
                      <a:fillRect/>
                    </a:stretch>
                  </pic:blipFill>
                  <pic:spPr>
                    <a:xfrm>
                      <a:off x="0" y="0"/>
                      <a:ext cx="914400" cy="266700"/>
                    </a:xfrm>
                    <a:prstGeom prst="rect">
                      <a:avLst/>
                    </a:prstGeom>
                  </pic:spPr>
                </pic:pic>
              </a:graphicData>
            </a:graphic>
          </wp:anchor>
        </w:drawing>
      </w:r>
      <w:bookmarkEnd w:id="425"/>
    </w:p>
    <w:p>
      <w:pPr>
        <w:pStyle w:val="Para 08"/>
      </w:pPr>
      <w:r>
        <w:t>Note:</w:t>
      </w:r>
    </w:p>
    <w:p>
      <w:pPr>
        <w:pStyle w:val="Para 03"/>
      </w:pPr>
      <w:r>
        <w:t xml:space="preserve">samba-tool creates </w:t>
      </w:r>
      <w:r>
        <w:rPr>
          <w:rStyle w:val="Text0"/>
        </w:rPr>
        <w:t>Samba</w:t>
      </w:r>
      <w:r>
        <w:t xml:space="preserve"> users, not local Linux users! These Samba users only exist for</w:t>
      </w:r>
    </w:p>
    <w:p>
      <w:pPr>
        <w:pStyle w:val="Para 03"/>
      </w:pPr>
      <w:r>
        <w:t>domain joined computers and other SMB connections/shares.</w:t>
      </w:r>
    </w:p>
    <w:p>
      <w:pPr>
        <w:pStyle w:val="Para 17"/>
      </w:pPr>
      <w:r>
        <w:t/>
      </w:r>
    </w:p>
    <w:p>
      <w:pPr>
        <w:pStyle w:val="Normal"/>
      </w:pPr>
      <w:r>
        <w:t>The default password policy is quite severe, requiring complex passwords. To display the current policy, run:</w:t>
      </w:r>
    </w:p>
    <w:p>
      <w:pPr>
        <w:pStyle w:val="Normal"/>
      </w:pPr>
      <w:r>
        <w:t>sudo samba-tool domain passwordsettings show</w:t>
      </w:r>
    </w:p>
    <w:p>
      <w:pPr>
        <w:pStyle w:val="Para 17"/>
      </w:pPr>
      <w:r>
        <w:t/>
      </w:r>
    </w:p>
    <w:p>
      <w:pPr>
        <w:pStyle w:val="Normal"/>
      </w:pPr>
      <w:r>
        <w:t>Which will show the default password policy for the domain:</w:t>
      </w:r>
    </w:p>
    <w:p>
      <w:pPr>
        <w:pStyle w:val="Normal"/>
      </w:pPr>
      <w:r>
        <w:t>Password information for domain 'DC=example,DC=internal'</w:t>
      </w:r>
    </w:p>
    <w:p>
      <w:pPr>
        <w:pStyle w:val="Normal"/>
      </w:pPr>
      <w:r>
        <w:t>Password complexity: on</w:t>
      </w:r>
    </w:p>
    <w:p>
      <w:pPr>
        <w:pStyle w:val="Normal"/>
      </w:pPr>
      <w:r>
        <w:t>Store plaintext passwords: off</w:t>
      </w:r>
    </w:p>
    <w:p>
      <w:pPr>
        <w:pStyle w:val="Normal"/>
      </w:pPr>
      <w:r>
        <w:t>Password history length: 24</w:t>
      </w:r>
    </w:p>
    <w:p>
      <w:pPr>
        <w:pStyle w:val="Normal"/>
      </w:pPr>
      <w:r>
        <w:t>Minimum password length: 7</w:t>
      </w:r>
    </w:p>
    <w:p>
      <w:pPr>
        <w:pStyle w:val="Normal"/>
      </w:pPr>
      <w:r>
        <w:t>Minimum password age (days): 1</w:t>
      </w:r>
    </w:p>
    <w:p>
      <w:pPr>
        <w:pStyle w:val="Normal"/>
      </w:pPr>
      <w:r>
        <w:t>Maximum password age (days): 42</w:t>
      </w:r>
    </w:p>
    <w:p>
      <w:pPr>
        <w:pStyle w:val="Normal"/>
      </w:pPr>
      <w:r>
        <w:t>Account lockout duration (mins): 30</w:t>
      </w:r>
    </w:p>
    <w:p>
      <w:pPr>
        <w:pStyle w:val="Normal"/>
      </w:pPr>
      <w:r>
        <w:t>Account lockout threshold (attempts): 0</w:t>
      </w:r>
    </w:p>
    <w:p>
      <w:pPr>
        <w:pStyle w:val="Normal"/>
      </w:pPr>
      <w:r>
        <w:t>Reset account lockout after (mins): 30</w:t>
      </w:r>
    </w:p>
    <w:p>
      <w:pPr>
        <w:pStyle w:val="Para 17"/>
      </w:pPr>
      <w:r>
        <w:t/>
      </w:r>
    </w:p>
    <w:p>
      <w:pPr>
        <w:pStyle w:val="Normal"/>
      </w:pPr>
      <w:r>
        <w:t>Each one of these can be changed, including the password complexity. For example, to set the minimum password length to 12:</w:t>
      </w:r>
    </w:p>
    <w:p>
      <w:pPr>
        <w:pStyle w:val="Normal"/>
      </w:pPr>
      <w:r>
        <w:t>sudo samba-tool domain passwordsettings set --min-pwd-length=12</w:t>
      </w:r>
    </w:p>
    <w:p>
      <w:pPr>
        <w:pStyle w:val="Para 17"/>
      </w:pPr>
      <w:r>
        <w:t/>
      </w:r>
    </w:p>
    <w:p>
      <w:pPr>
        <w:pStyle w:val="Normal"/>
      </w:pPr>
      <w:r>
        <w:t>To see all the options, run:</w:t>
      </w:r>
    </w:p>
    <w:p>
      <w:pPr>
        <w:pStyle w:val="Normal"/>
      </w:pPr>
      <w:r>
        <w:t>samba-tool domain passwordsettings set --help</w:t>
      </w:r>
    </w:p>
    <w:p>
      <w:pPr>
        <w:pStyle w:val="Para 17"/>
      </w:pPr>
      <w:r>
        <w:t/>
      </w:r>
    </w:p>
    <w:p>
      <w:pPr>
        <w:pStyle w:val="Para 01"/>
      </w:pPr>
      <w:r>
        <w:t>Next steps</w:t>
      </w:r>
    </w:p>
    <w:p>
      <w:pPr>
        <w:pStyle w:val="Para 17"/>
      </w:pPr>
      <w:r>
        <w:t/>
      </w:r>
    </w:p>
    <w:p>
      <w:pPr>
        <w:pStyle w:val="Normal"/>
      </w:pPr>
      <w:r>
        <w:t>This Samba AD/DC server can be treated as an Active Directory server for Window and Linux systems. Typically next steps would be to create users and groups, and join member servers and workstations to this domain. Workstation users would login using the domain creden-tials, and member servers are used to provide file and print services.</w:t>
      </w:r>
    </w:p>
    <w:p>
      <w:pPr>
        <w:pStyle w:val="Para 17"/>
      </w:pPr>
      <w:r>
        <w:t/>
      </w:r>
    </w:p>
    <w:p>
      <w:pPr>
        <w:pStyle w:val="Para 01"/>
      </w:pPr>
      <w:r>
        <w:t>References</w:t>
      </w:r>
    </w:p>
    <w:p>
      <w:pPr>
        <w:pStyle w:val="Para 17"/>
      </w:pPr>
      <w:r>
        <w:t/>
      </w:r>
    </w:p>
    <w:p>
      <w:pPr>
        <w:pStyle w:val="Para 13"/>
      </w:pPr>
      <w:r>
        <w:rPr>
          <w:rStyle w:val="Text7"/>
        </w:rPr>
        <w:t xml:space="preserve">• </w:t>
      </w:r>
      <w:hyperlink r:id="rId1230">
        <w:r>
          <w:rPr>
            <w:rStyle w:val="Text10"/>
          </w:rPr>
          <w:t>233</w:t>
        </w:r>
      </w:hyperlink>
      <w:hyperlink r:id="rId1230">
        <w:r>
          <w:t xml:space="preserve"> Active Directory Domain Services Overview</w:t>
        </w:r>
      </w:hyperlink>
    </w:p>
    <w:p>
      <w:pPr>
        <w:pStyle w:val="Para 04"/>
      </w:pPr>
      <w:r>
        <w:t xml:space="preserve">• </w:t>
      </w:r>
      <w:hyperlink w:anchor="page_299">
        <w:r>
          <w:rPr>
            <w:rStyle w:val="Text9"/>
          </w:rPr>
          <w:t>234</w:t>
        </w:r>
      </w:hyperlink>
      <w:r>
        <w:t xml:space="preserve"> </w:t>
      </w:r>
      <w:hyperlink r:id="rId1231">
        <w:r>
          <w:rPr>
            <w:rStyle w:val="Text2"/>
          </w:rPr>
          <w:t>samba-tool(8)</w:t>
        </w:r>
      </w:hyperlink>
      <w:r>
        <w:t xml:space="preserve"> manual page</w:t>
      </w:r>
    </w:p>
    <w:p>
      <w:pPr>
        <w:pStyle w:val="Para 04"/>
      </w:pPr>
      <w:r>
        <w:t>• Active Directory integration:</w:t>
      </w:r>
    </w:p>
    <w:p>
      <w:pPr>
        <w:pStyle w:val="Para 26"/>
      </w:pPr>
      <w:r>
        <w:rPr>
          <w:rStyle w:val="Text12"/>
        </w:rPr>
        <w:t>–</w:t>
      </w:r>
      <w:r>
        <w:rPr>
          <w:rStyle w:val="Text4"/>
        </w:rPr>
        <w:t xml:space="preserve"> </w:t>
      </w:r>
      <w:hyperlink w:anchor="page_832">
        <w:r>
          <w:t>Choosing an integration method</w:t>
        </w:r>
      </w:hyperlink>
      <w:r>
        <w:rPr>
          <w:rStyle w:val="Text4"/>
        </w:rPr>
        <w:t xml:space="preserve"> (page 831)</w:t>
      </w:r>
    </w:p>
    <w:p>
      <w:pPr>
        <w:pStyle w:val="Para 05"/>
      </w:pPr>
      <w:r>
        <w:rPr>
          <w:rStyle w:val="Text5"/>
        </w:rPr>
        <w:t>233</w:t>
      </w:r>
      <w:r>
        <w:rPr>
          <w:rStyle w:val="Text8"/>
        </w:rPr>
        <w:t xml:space="preserve"> </w:t>
      </w:r>
      <w:r>
        <w:t>https://learn.microsoft.com/en-us/windows-server/identity/ad-ds/get-started/virtual-dc/</w:t>
      </w:r>
    </w:p>
    <w:p>
      <w:pPr>
        <w:pStyle w:val="Para 16"/>
      </w:pPr>
      <w:r>
        <w:t>active-directory-domain-services-overview</w:t>
      </w:r>
    </w:p>
    <w:p>
      <w:pPr>
        <w:pStyle w:val="Para 05"/>
      </w:pPr>
      <w:r>
        <w:rPr>
          <w:rStyle w:val="Text5"/>
        </w:rPr>
        <w:t>234</w:t>
      </w:r>
      <w:r>
        <w:rPr>
          <w:rStyle w:val="Text8"/>
        </w:rPr>
        <w:t xml:space="preserve"> </w:t>
      </w:r>
      <w:r>
        <w:t>https://manpages.ubuntu.com/manpages/resolute/man8/samba-tool.8.html</w:t>
      </w:r>
    </w:p>
    <w:p>
      <w:bookmarkStart w:id="426" w:name="page_3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5" name="index-300_1.png" descr="index-300_1.png"/>
            <wp:cNvGraphicFramePr>
              <a:graphicFrameLocks noChangeAspect="1"/>
            </wp:cNvGraphicFramePr>
            <a:graphic>
              <a:graphicData uri="http://schemas.openxmlformats.org/drawingml/2006/picture">
                <pic:pic>
                  <pic:nvPicPr>
                    <pic:cNvPr id="0" name="index-300_1.png" descr="index-300_1.png"/>
                    <pic:cNvPicPr/>
                  </pic:nvPicPr>
                  <pic:blipFill>
                    <a:blip r:embed="rId309"/>
                    <a:stretch>
                      <a:fillRect/>
                    </a:stretch>
                  </pic:blipFill>
                  <pic:spPr>
                    <a:xfrm>
                      <a:off x="0" y="0"/>
                      <a:ext cx="914400" cy="266700"/>
                    </a:xfrm>
                    <a:prstGeom prst="rect">
                      <a:avLst/>
                    </a:prstGeom>
                  </pic:spPr>
                </pic:pic>
              </a:graphicData>
            </a:graphic>
          </wp:anchor>
        </w:drawing>
      </w:r>
      <w:bookmarkEnd w:id="426"/>
    </w:p>
    <w:p>
      <w:pPr>
        <w:pStyle w:val="Para 26"/>
      </w:pPr>
      <w:r>
        <w:rPr>
          <w:rStyle w:val="Text12"/>
        </w:rPr>
        <w:t>–</w:t>
      </w:r>
      <w:r>
        <w:rPr>
          <w:rStyle w:val="Text4"/>
        </w:rPr>
        <w:t xml:space="preserve"> </w:t>
      </w:r>
      <w:hyperlink w:anchor="page_327">
        <w:r>
          <w:t>Joining a Member Server</w:t>
        </w:r>
      </w:hyperlink>
      <w:r>
        <w:rPr>
          <w:rStyle w:val="Text4"/>
        </w:rPr>
        <w:t xml:space="preserve"> (page 326)</w:t>
      </w:r>
    </w:p>
    <w:p>
      <w:pPr>
        <w:pStyle w:val="Para 26"/>
      </w:pPr>
      <w:r>
        <w:rPr>
          <w:rStyle w:val="Text12"/>
        </w:rPr>
        <w:t>–</w:t>
      </w:r>
      <w:r>
        <w:rPr>
          <w:rStyle w:val="Text4"/>
        </w:rPr>
        <w:t xml:space="preserve"> </w:t>
      </w:r>
      <w:hyperlink w:anchor="page_159">
        <w:r>
          <w:t>Joining Workstations (without Samba services)</w:t>
        </w:r>
      </w:hyperlink>
      <w:r>
        <w:rPr>
          <w:rStyle w:val="Text4"/>
        </w:rPr>
        <w:t xml:space="preserve"> (page 158)</w:t>
      </w:r>
    </w:p>
    <w:p>
      <w:pPr>
        <w:pStyle w:val="Para 17"/>
      </w:pPr>
      <w:r>
        <w:t/>
      </w:r>
    </w:p>
    <w:p>
      <w:pPr>
        <w:pStyle w:val="Para 01"/>
      </w:pPr>
      <w:r>
        <w:t>Member server in an Active Directory domain</w:t>
      </w:r>
    </w:p>
    <w:p>
      <w:pPr>
        <w:pStyle w:val="Para 17"/>
      </w:pPr>
      <w:r>
        <w:t/>
      </w:r>
    </w:p>
    <w:p>
      <w:pPr>
        <w:pStyle w:val="Normal"/>
      </w:pPr>
      <w:r>
        <w:t>A Samba server needs to join the Active Directory (AD) domain before it can serve files and</w:t>
      </w:r>
    </w:p>
    <w:p>
      <w:pPr>
        <w:pStyle w:val="Normal"/>
      </w:pPr>
      <w:r>
        <w:t xml:space="preserve">printers to Active Directory users. This is different from </w:t>
      </w:r>
      <w:hyperlink w:anchor="page_740">
        <w:r>
          <w:rPr>
            <w:rStyle w:val="Text2"/>
          </w:rPr>
          <w:t>Network User Authentication with</w:t>
        </w:r>
      </w:hyperlink>
    </w:p>
    <w:p>
      <w:pPr>
        <w:pStyle w:val="Normal"/>
      </w:pPr>
      <w:hyperlink w:anchor="page_740">
        <w:r>
          <w:rPr>
            <w:rStyle w:val="Text2"/>
          </w:rPr>
          <w:t>SSSD</w:t>
        </w:r>
      </w:hyperlink>
      <w:r>
        <w:t xml:space="preserve"> (page 739), where we integrate the AD users and groups into the local Ubuntu system as if they were local.</w:t>
      </w:r>
    </w:p>
    <w:p>
      <w:pPr>
        <w:pStyle w:val="Normal"/>
      </w:pPr>
      <w:r>
        <w:t>For Samba to authenticate these users via Server Message Block (SMB) authentication pro-tocols, we need both for the remote users to be “seen”, and for Samba itself to be aware of the domain. In this scenario, Samba is called a Member Server or Domain Member.</w:t>
      </w:r>
    </w:p>
    <w:p>
      <w:pPr>
        <w:pStyle w:val="Para 17"/>
      </w:pPr>
      <w:r>
        <w:t/>
      </w:r>
    </w:p>
    <w:p>
      <w:pPr>
        <w:pStyle w:val="Para 08"/>
      </w:pPr>
      <w:r>
        <w:rPr>
          <w:rStyle w:val="Text0"/>
        </w:rPr>
        <w:t xml:space="preserve">µ </w:t>
      </w:r>
      <w:r>
        <w:t>See also</w:t>
      </w:r>
    </w:p>
    <w:p>
      <w:pPr>
        <w:pStyle w:val="Para 03"/>
      </w:pPr>
      <w:r>
        <w:t>Samba itself has the necessary tooling to join an Active Directory domain. It requires a</w:t>
      </w:r>
    </w:p>
    <w:p>
      <w:pPr>
        <w:pStyle w:val="Para 03"/>
      </w:pPr>
      <w:r>
        <w:t xml:space="preserve">sequence of manual steps and configuration file editing, which is </w:t>
      </w:r>
      <w:hyperlink r:id="rId1232">
        <w:r>
          <w:rPr>
            <w:rStyle w:val="Text1"/>
          </w:rPr>
          <w:t>thoroughly documented</w:t>
        </w:r>
      </w:hyperlink>
    </w:p>
    <w:p>
      <w:pPr>
        <w:pStyle w:val="Para 03"/>
      </w:pPr>
      <w:hyperlink r:id="rId1232">
        <w:r>
          <w:rPr>
            <w:rStyle w:val="Text1"/>
          </w:rPr>
          <w:t>on the Samba wiki</w:t>
        </w:r>
      </w:hyperlink>
      <w:hyperlink w:anchor="page_300">
        <w:r>
          <w:rPr>
            <w:rStyle w:val="Text9"/>
          </w:rPr>
          <w:t>235</w:t>
        </w:r>
      </w:hyperlink>
      <w:r>
        <w:t>. It’s useful to read that documentation to get an idea of the steps</w:t>
      </w:r>
    </w:p>
    <w:p>
      <w:pPr>
        <w:pStyle w:val="Para 03"/>
      </w:pPr>
      <w:r>
        <w:t>necessary, and the decisions you will need to make.</w:t>
      </w:r>
    </w:p>
    <w:p>
      <w:pPr>
        <w:pStyle w:val="Para 17"/>
      </w:pPr>
      <w:r>
        <w:t/>
      </w:r>
    </w:p>
    <w:p>
      <w:pPr>
        <w:pStyle w:val="Para 01"/>
      </w:pPr>
      <w:r>
        <w:t>Use realmd to join the Active Directory domain</w:t>
      </w:r>
    </w:p>
    <w:p>
      <w:pPr>
        <w:pStyle w:val="Para 17"/>
      </w:pPr>
      <w:r>
        <w:t/>
      </w:r>
    </w:p>
    <w:p>
      <w:pPr>
        <w:pStyle w:val="Normal"/>
      </w:pPr>
      <w:r>
        <w:t>For this guide, though, we are going to use the realmd package and instruct it to use the Samba tooling for joining the AD domain. This package will make certain decisions for us which will work for most cases, but more complex setups involving multiple or very large domains might require additional tweaking.</w:t>
      </w:r>
    </w:p>
    <w:p>
      <w:pPr>
        <w:pStyle w:val="Para 17"/>
      </w:pPr>
      <w:r>
        <w:t/>
      </w:r>
    </w:p>
    <w:p>
      <w:pPr>
        <w:pStyle w:val="Para 01"/>
      </w:pPr>
      <w:r>
        <w:t>Install realmd</w:t>
      </w:r>
    </w:p>
    <w:p>
      <w:pPr>
        <w:pStyle w:val="Para 17"/>
      </w:pPr>
      <w:r>
        <w:t/>
      </w:r>
    </w:p>
    <w:p>
      <w:pPr>
        <w:pStyle w:val="Normal"/>
      </w:pPr>
      <w:r>
        <w:t>First, let’s install the necessary packages:</w:t>
      </w:r>
    </w:p>
    <w:p>
      <w:pPr>
        <w:pStyle w:val="Normal"/>
      </w:pPr>
      <w:r>
        <w:t>sudo apt install realmd samba</w:t>
      </w:r>
    </w:p>
    <w:p>
      <w:pPr>
        <w:pStyle w:val="Para 17"/>
      </w:pPr>
      <w:r>
        <w:t/>
      </w:r>
    </w:p>
    <w:p>
      <w:pPr>
        <w:pStyle w:val="Normal"/>
      </w:pPr>
      <w:r>
        <w:t xml:space="preserve">In order to have the joined machine registered in the AD </w:t>
      </w:r>
      <w:hyperlink w:anchor="page_679">
        <w:r>
          <w:rPr>
            <w:rStyle w:val="Text2"/>
          </w:rPr>
          <w:t>DNS</w:t>
        </w:r>
      </w:hyperlink>
      <w:r>
        <w:t xml:space="preserve"> , it needs to have an </w:t>
      </w:r>
      <w:hyperlink w:anchor="page_683">
        <w:r>
          <w:rPr>
            <w:rStyle w:val="Text2"/>
          </w:rPr>
          <w:t>FQDN</w:t>
        </w:r>
      </w:hyperlink>
      <w:r>
        <w:t xml:space="preserve"> set.</w:t>
      </w:r>
    </w:p>
    <w:p>
      <w:pPr>
        <w:pStyle w:val="Normal"/>
      </w:pPr>
      <w:r>
        <w:t xml:space="preserve">You might have that already, if running the hostname -f command returns a full </w:t>
      </w:r>
      <w:hyperlink w:anchor="page_688">
        <w:r>
          <w:rPr>
            <w:rStyle w:val="Text2"/>
          </w:rPr>
          <w:t>hostname</w:t>
        </w:r>
      </w:hyperlink>
      <w:r>
        <w:t xml:space="preserve"> with domain. If it doesn’t, then set the hostname as follows:</w:t>
      </w:r>
    </w:p>
    <w:p>
      <w:pPr>
        <w:pStyle w:val="Normal"/>
      </w:pPr>
      <w:r>
        <w:t>sudo hostnamectl hostname &lt;yourfqdn&gt;</w:t>
      </w:r>
    </w:p>
    <w:p>
      <w:pPr>
        <w:pStyle w:val="Para 17"/>
      </w:pPr>
      <w:r>
        <w:t/>
      </w:r>
    </w:p>
    <w:p>
      <w:pPr>
        <w:pStyle w:val="Normal"/>
      </w:pPr>
      <w:r>
        <w:t>For this guide, we will be using j1.internal.example.fake, and the AD domain will be internal.example.fake.</w:t>
      </w:r>
    </w:p>
    <w:p>
      <w:pPr>
        <w:pStyle w:val="Para 05"/>
      </w:pPr>
      <w:r>
        <w:rPr>
          <w:rStyle w:val="Text5"/>
        </w:rPr>
        <w:t>235</w:t>
      </w:r>
      <w:r>
        <w:rPr>
          <w:rStyle w:val="Text8"/>
        </w:rPr>
        <w:t xml:space="preserve"> </w:t>
      </w:r>
      <w:r>
        <w:t>https://wiki.samba.org/index.php/Setting_up_Samba_as_a_Domain_Member</w:t>
      </w:r>
    </w:p>
    <w:p>
      <w:bookmarkStart w:id="427" w:name="calibre_pb_63"/>
      <w:pPr>
        <w:pStyle w:val="0 Block"/>
      </w:pPr>
      <w:bookmarkEnd w:id="427"/>
    </w:p>
    <w:p>
      <w:bookmarkStart w:id="428" w:name="Top_of_index_split_064_html"/>
      <w:bookmarkStart w:id="429" w:name="page_30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6" name="index-301_1.png" descr="index-301_1.png"/>
            <wp:cNvGraphicFramePr>
              <a:graphicFrameLocks noChangeAspect="1"/>
            </wp:cNvGraphicFramePr>
            <a:graphic>
              <a:graphicData uri="http://schemas.openxmlformats.org/drawingml/2006/picture">
                <pic:pic>
                  <pic:nvPicPr>
                    <pic:cNvPr id="0" name="index-301_1.png" descr="index-301_1.png"/>
                    <pic:cNvPicPr/>
                  </pic:nvPicPr>
                  <pic:blipFill>
                    <a:blip r:embed="rId310"/>
                    <a:stretch>
                      <a:fillRect/>
                    </a:stretch>
                  </pic:blipFill>
                  <pic:spPr>
                    <a:xfrm>
                      <a:off x="0" y="0"/>
                      <a:ext cx="914400" cy="266700"/>
                    </a:xfrm>
                    <a:prstGeom prst="rect">
                      <a:avLst/>
                    </a:prstGeom>
                  </pic:spPr>
                </pic:pic>
              </a:graphicData>
            </a:graphic>
          </wp:anchor>
        </w:drawing>
      </w:r>
      <w:bookmarkEnd w:id="428"/>
      <w:bookmarkEnd w:id="429"/>
    </w:p>
    <w:p>
      <w:pPr>
        <w:pStyle w:val="Para 01"/>
      </w:pPr>
      <w:r>
        <w:t>Verify the AD server</w:t>
      </w:r>
    </w:p>
    <w:p>
      <w:pPr>
        <w:pStyle w:val="Para 17"/>
      </w:pPr>
      <w:r>
        <w:t/>
      </w:r>
    </w:p>
    <w:p>
      <w:pPr>
        <w:pStyle w:val="Normal"/>
      </w:pPr>
      <w:r>
        <w:t>Next, we need to verify that the AD server is both reachable and known by running the fol-lowing command:</w:t>
      </w:r>
    </w:p>
    <w:p>
      <w:pPr>
        <w:pStyle w:val="Normal"/>
      </w:pPr>
      <w:r>
        <w:t>sudo realm discover internal.example.fake</w:t>
      </w:r>
    </w:p>
    <w:p>
      <w:pPr>
        <w:pStyle w:val="Para 17"/>
      </w:pPr>
      <w:r>
        <w:t/>
      </w:r>
    </w:p>
    <w:p>
      <w:pPr>
        <w:pStyle w:val="Normal"/>
      </w:pPr>
      <w:r>
        <w:t>This should provide an output like this, given our setup:</w:t>
      </w:r>
    </w:p>
    <w:p>
      <w:pPr>
        <w:pStyle w:val="Normal"/>
      </w:pPr>
      <w:r>
        <w:t>internal.example.fake</w:t>
      </w:r>
    </w:p>
    <w:p>
      <w:pPr>
        <w:pStyle w:val="Para 03"/>
      </w:pPr>
      <w:r>
        <w:t>type: kerberos</w:t>
      </w:r>
    </w:p>
    <w:p>
      <w:pPr>
        <w:pStyle w:val="Para 03"/>
      </w:pPr>
      <w:r>
        <w:t>realm-name: INTERNAL.EXAMPLE.FAKE</w:t>
      </w:r>
    </w:p>
    <w:p>
      <w:pPr>
        <w:pStyle w:val="Para 03"/>
      </w:pPr>
      <w:r>
        <w:t>domain-name: internal.example.fake</w:t>
      </w:r>
    </w:p>
    <w:p>
      <w:pPr>
        <w:pStyle w:val="Para 03"/>
      </w:pPr>
      <w:r>
        <w:t>configured: no</w:t>
      </w:r>
    </w:p>
    <w:p>
      <w:pPr>
        <w:pStyle w:val="Para 03"/>
      </w:pPr>
      <w:r>
        <w:t>server-software: active-directory</w:t>
      </w:r>
    </w:p>
    <w:p>
      <w:pPr>
        <w:pStyle w:val="Para 03"/>
      </w:pPr>
      <w:r>
        <w:t>client-software: sssd</w:t>
      </w:r>
    </w:p>
    <w:p>
      <w:pPr>
        <w:pStyle w:val="Para 03"/>
      </w:pPr>
      <w:r>
        <w:t>required-package: sssd-tools</w:t>
      </w:r>
    </w:p>
    <w:p>
      <w:pPr>
        <w:pStyle w:val="Para 03"/>
      </w:pPr>
      <w:r>
        <w:t>required-package: sssd</w:t>
      </w:r>
    </w:p>
    <w:p>
      <w:pPr>
        <w:pStyle w:val="Para 03"/>
      </w:pPr>
      <w:r>
        <w:t>required-package: libnss-sss</w:t>
      </w:r>
    </w:p>
    <w:p>
      <w:pPr>
        <w:pStyle w:val="Para 03"/>
      </w:pPr>
      <w:r>
        <w:t>required-package: libpam-sss</w:t>
      </w:r>
    </w:p>
    <w:p>
      <w:pPr>
        <w:pStyle w:val="Para 03"/>
      </w:pPr>
      <w:r>
        <w:t>required-package: adcli</w:t>
      </w:r>
    </w:p>
    <w:p>
      <w:pPr>
        <w:pStyle w:val="Para 03"/>
      </w:pPr>
      <w:r>
        <w:t>required-package: samba-common-bin</w:t>
      </w:r>
    </w:p>
    <w:p>
      <w:pPr>
        <w:pStyle w:val="Para 17"/>
      </w:pPr>
      <w:r>
        <w:t/>
      </w:r>
    </w:p>
    <w:p>
      <w:pPr>
        <w:pStyle w:val="Normal"/>
      </w:pPr>
      <w:r>
        <w:t>realm is suggesting a set of packages for the discovered domain, but we will override that and select the Samba tooling for this join, because we want Samba to become a Member Server.</w:t>
      </w:r>
    </w:p>
    <w:p>
      <w:pPr>
        <w:pStyle w:val="Para 17"/>
      </w:pPr>
      <w:r>
        <w:t/>
      </w:r>
    </w:p>
    <w:p>
      <w:pPr>
        <w:pStyle w:val="Para 01"/>
      </w:pPr>
      <w:r>
        <w:t>Join the AD domain</w:t>
      </w:r>
    </w:p>
    <w:p>
      <w:pPr>
        <w:pStyle w:val="Para 17"/>
      </w:pPr>
      <w:r>
        <w:t/>
      </w:r>
    </w:p>
    <w:p>
      <w:pPr>
        <w:pStyle w:val="Normal"/>
      </w:pPr>
      <w:r>
        <w:t>Let’s join the domain in verbose mode so we can see all the steps:</w:t>
      </w:r>
    </w:p>
    <w:p>
      <w:pPr>
        <w:pStyle w:val="Normal"/>
      </w:pPr>
      <w:r>
        <w:t>sudo realm join -v --membership-software</w:t>
        <w:t>=</w:t>
        <w:t>samba --client-software</w:t>
        <w:t>=</w:t>
        <w:t>winbind</w:t>
        <w:t xml:space="preserve"> </w:t>
        <w:t>internal.</w:t>
        <w:t xml:space="preserve"> </w:t>
        <w:t>example.fake</w:t>
      </w:r>
    </w:p>
    <w:p>
      <w:pPr>
        <w:pStyle w:val="Para 17"/>
      </w:pPr>
      <w:r>
        <w:t/>
      </w:r>
    </w:p>
    <w:p>
      <w:pPr>
        <w:pStyle w:val="Normal"/>
      </w:pPr>
      <w:r>
        <w:t>This should produce the following output for us:</w:t>
      </w:r>
    </w:p>
    <w:p>
      <w:pPr>
        <w:pStyle w:val="Normal"/>
      </w:pPr>
      <w:r>
        <w:t>* Resolving: _ldap._tcp.internal.example.fake</w:t>
      </w:r>
    </w:p>
    <w:p>
      <w:pPr>
        <w:pStyle w:val="Normal"/>
      </w:pPr>
      <w:r>
        <w:t>* Performing LDAP DSE lookup on: 10.0.16.5</w:t>
      </w:r>
    </w:p>
    <w:p>
      <w:pPr>
        <w:pStyle w:val="Normal"/>
      </w:pPr>
      <w:r>
        <w:t>* Successfully discovered: internal.example.fake</w:t>
      </w:r>
    </w:p>
    <w:p>
      <w:pPr>
        <w:pStyle w:val="Normal"/>
      </w:pPr>
      <w:r>
        <w:t>Password for Administrator:</w:t>
      </w:r>
    </w:p>
    <w:p>
      <w:pPr>
        <w:pStyle w:val="Normal"/>
      </w:pPr>
      <w:r>
        <w:t>* Unconditionally checking packages</w:t>
      </w:r>
    </w:p>
    <w:p>
      <w:pPr>
        <w:pStyle w:val="Normal"/>
      </w:pPr>
      <w:r>
        <w:t>* Resolving required packages</w:t>
      </w:r>
    </w:p>
    <w:p>
      <w:pPr>
        <w:pStyle w:val="Normal"/>
      </w:pPr>
      <w:r>
        <w:t>* Installing necessary packages: libnss-winbind samba-common-bin libpam-winbind winbind</w:t>
        <w:t xml:space="preserve"> </w:t>
        <w:t>* LANG=C LOGNAME=root /usr/bin/net --configfile /var/cache/realmd/realmd-smb-conf.A53NO1</w:t>
      </w:r>
    </w:p>
    <w:p>
      <w:pPr>
        <w:pStyle w:val="Normal"/>
      </w:pPr>
      <w:r>
        <w:t>-U Administrator --use-kerberos=required ads join internal.example.fake</w:t>
        <w:t xml:space="preserve"> </w:t>
        <w:t>Password for [INTEXAMPLE\Administrator]:</w:t>
      </w:r>
    </w:p>
    <w:p>
      <w:pPr>
        <w:pStyle w:val="Normal"/>
      </w:pPr>
      <w:r>
        <w:t>Using short domain name -- INTEXAMPLE</w:t>
      </w:r>
    </w:p>
    <w:p>
      <w:pPr>
        <w:pStyle w:val="Normal"/>
      </w:pPr>
      <w:r>
        <w:t>Joined 'J1' to dns domain 'internal.example.fake'</w:t>
      </w:r>
    </w:p>
    <w:p>
      <w:pPr>
        <w:pStyle w:val="Para 17"/>
      </w:pPr>
      <w:r>
        <w:t>* LANG=C LOGNAME=root /usr/bin/net --configfile /var/cache/realmd/realmd-smb-conf.A53NO1</w:t>
      </w:r>
    </w:p>
    <w:p>
      <w:pPr>
        <w:pStyle w:val="Normal"/>
      </w:pPr>
      <w:r>
        <w:t>-U Administrator ads keytab create</w:t>
      </w:r>
    </w:p>
    <w:p>
      <w:pPr>
        <w:pStyle w:val="Normal"/>
      </w:pPr>
      <w:r>
        <w:t>Password for [INTEXAMPLE\Administrator]:</w:t>
      </w:r>
    </w:p>
    <w:p>
      <w:pPr>
        <w:pStyle w:val="Normal"/>
      </w:pPr>
      <w:r>
        <w:t>* /usr/sbin/update-rc.d winbind enable</w:t>
      </w:r>
    </w:p>
    <w:p>
      <w:pPr>
        <w:pStyle w:val="Normal"/>
      </w:pPr>
      <w:r>
        <w:t>* /usr/sbin/service winbind restart</w:t>
      </w:r>
    </w:p>
    <w:p>
      <w:pPr>
        <w:pStyle w:val="Normal"/>
      </w:pPr>
      <w:r>
        <w:t>* Successfully enrolled machine in realm</w:t>
      </w:r>
    </w:p>
    <w:p>
      <w:bookmarkStart w:id="430" w:name="page_3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7" name="index-302_1.png" descr="index-302_1.png"/>
            <wp:cNvGraphicFramePr>
              <a:graphicFrameLocks noChangeAspect="1"/>
            </wp:cNvGraphicFramePr>
            <a:graphic>
              <a:graphicData uri="http://schemas.openxmlformats.org/drawingml/2006/picture">
                <pic:pic>
                  <pic:nvPicPr>
                    <pic:cNvPr id="0" name="index-302_1.png" descr="index-302_1.png"/>
                    <pic:cNvPicPr/>
                  </pic:nvPicPr>
                  <pic:blipFill>
                    <a:blip r:embed="rId311"/>
                    <a:stretch>
                      <a:fillRect/>
                    </a:stretch>
                  </pic:blipFill>
                  <pic:spPr>
                    <a:xfrm>
                      <a:off x="0" y="0"/>
                      <a:ext cx="914400" cy="266700"/>
                    </a:xfrm>
                    <a:prstGeom prst="rect">
                      <a:avLst/>
                    </a:prstGeom>
                  </pic:spPr>
                </pic:pic>
              </a:graphicData>
            </a:graphic>
          </wp:anchor>
        </w:drawing>
      </w:r>
      <w:bookmarkEnd w:id="430"/>
    </w:p>
    <w:p>
      <w:pPr>
        <w:pStyle w:val="Para 08"/>
      </w:pPr>
      <w:r>
        <w:t>Note:</w:t>
      </w:r>
    </w:p>
    <w:p>
      <w:pPr>
        <w:pStyle w:val="Para 03"/>
      </w:pPr>
      <w:r>
        <w:t xml:space="preserve">This command also installed the libpam-winbind package, </w:t>
      </w:r>
      <w:r>
        <w:rPr>
          <w:rStyle w:val="Text0"/>
        </w:rPr>
        <w:t>which allows AD users to au-</w:t>
      </w:r>
    </w:p>
    <w:p>
      <w:pPr>
        <w:pStyle w:val="Para 08"/>
      </w:pPr>
      <w:r>
        <w:t>thenticate to other services on this system via PAM, like SSH or console logins</w:t>
      </w:r>
      <w:r>
        <w:rPr>
          <w:rStyle w:val="Text0"/>
        </w:rPr>
        <w:t>. For</w:t>
      </w:r>
    </w:p>
    <w:p>
      <w:pPr>
        <w:pStyle w:val="Para 03"/>
      </w:pPr>
      <w:r>
        <w:t>example, if your SSH server allows password authentication (PasswordAuthentication yes</w:t>
      </w:r>
    </w:p>
    <w:p>
      <w:pPr>
        <w:pStyle w:val="Para 03"/>
      </w:pPr>
      <w:r>
        <w:t>in /etc/ssh/sshd_config), then the domain users will be allowed to login remotely on this</w:t>
      </w:r>
    </w:p>
    <w:p>
      <w:pPr>
        <w:pStyle w:val="Para 03"/>
      </w:pPr>
      <w:r>
        <w:t>system via SSH. If you don’t expect or need AD users to log into this system (unless it’s</w:t>
      </w:r>
    </w:p>
    <w:p>
      <w:pPr>
        <w:pStyle w:val="Para 03"/>
      </w:pPr>
      <w:r>
        <w:t>via Samba or Windows), then it’s safe and probably best to remove the libpam-winbind</w:t>
      </w:r>
    </w:p>
    <w:p>
      <w:pPr>
        <w:pStyle w:val="Para 03"/>
      </w:pPr>
      <w:r>
        <w:t>package.</w:t>
      </w:r>
    </w:p>
    <w:p>
      <w:pPr>
        <w:pStyle w:val="Para 17"/>
      </w:pPr>
      <w:r>
        <w:t/>
      </w:r>
    </w:p>
    <w:p>
      <w:pPr>
        <w:pStyle w:val="Normal"/>
      </w:pPr>
      <w:r>
        <w:t xml:space="preserve">Until </w:t>
      </w:r>
      <w:hyperlink w:anchor="page_302">
        <w:r>
          <w:rPr>
            <w:rStyle w:val="Text9"/>
          </w:rPr>
          <w:t>236</w:t>
        </w:r>
      </w:hyperlink>
      <w:r>
        <w:t xml:space="preserve"> </w:t>
      </w:r>
      <w:hyperlink r:id="rId1233">
        <w:r>
          <w:rPr>
            <w:rStyle w:val="Text1"/>
          </w:rPr>
          <w:t>LP: #1980246</w:t>
        </w:r>
      </w:hyperlink>
      <w:r>
        <w:t xml:space="preserve"> is fixed, one extra step is needed:</w:t>
      </w:r>
    </w:p>
    <w:p>
      <w:pPr>
        <w:pStyle w:val="Para 04"/>
      </w:pPr>
      <w:r>
        <w:t>• Configure /etc/nsswitch.conf by adding the word winbind to the passwd and group lines</w:t>
      </w:r>
    </w:p>
    <w:p>
      <w:pPr>
        <w:pStyle w:val="Para 02"/>
      </w:pPr>
      <w:r>
        <w:t>as shown below:</w:t>
      </w:r>
    </w:p>
    <w:p>
      <w:pPr>
        <w:pStyle w:val="Para 02"/>
      </w:pPr>
      <w:r>
        <w:t>passwd:</w:t>
        <w:t xml:space="preserve"> </w:t>
        <w:t>files systemd winbind</w:t>
        <w:t xml:space="preserve"> </w:t>
        <w:t>group:</w:t>
        <w:t xml:space="preserve"> </w:t>
        <w:t>files systemd winbind</w:t>
      </w:r>
    </w:p>
    <w:p>
      <w:pPr>
        <w:pStyle w:val="Para 17"/>
      </w:pPr>
      <w:r>
        <w:t/>
      </w:r>
    </w:p>
    <w:p>
      <w:pPr>
        <w:pStyle w:val="Para 02"/>
      </w:pPr>
      <w:r>
        <w:t>Now you will be able to query users from the AD domain. Winbind adds the short do-main name as a prefix to domain users and groups:</w:t>
      </w:r>
    </w:p>
    <w:p>
      <w:pPr>
        <w:pStyle w:val="Para 02"/>
      </w:pPr>
      <w:r>
        <w:t>$ getent passwd INTEXAMPLE\\Administrator</w:t>
      </w:r>
    </w:p>
    <w:p>
      <w:pPr>
        <w:pStyle w:val="Para 02"/>
      </w:pPr>
      <w:r>
        <w:t>INTEXAMPLE\administrator:*:2000500:2000513::/home/administrator@INTEXAMPLE:/bin/bash</w:t>
      </w:r>
    </w:p>
    <w:p>
      <w:pPr>
        <w:pStyle w:val="Para 17"/>
      </w:pPr>
      <w:r>
        <w:t/>
      </w:r>
    </w:p>
    <w:p>
      <w:pPr>
        <w:pStyle w:val="Para 02"/>
      </w:pPr>
      <w:r>
        <w:t>You can find out the short domain name in the realm output shown earlier, or inspect the workgroup parameter of /etc/samba/smb.conf.</w:t>
      </w:r>
    </w:p>
    <w:p>
      <w:pPr>
        <w:pStyle w:val="Para 17"/>
      </w:pPr>
      <w:r>
        <w:t/>
      </w:r>
    </w:p>
    <w:p>
      <w:pPr>
        <w:pStyle w:val="Para 01"/>
      </w:pPr>
      <w:r>
        <w:t>Common installation options</w:t>
      </w:r>
    </w:p>
    <w:p>
      <w:pPr>
        <w:pStyle w:val="Para 17"/>
      </w:pPr>
      <w:r>
        <w:t/>
      </w:r>
    </w:p>
    <w:p>
      <w:pPr>
        <w:pStyle w:val="Normal"/>
      </w:pPr>
      <w:r>
        <w:t>When domain users and groups are brought to the Linux world, a bit of translation needs to happen, and sometimes new values need to be created. For example, there is no concept of a “login shell” for AD users, but it exists in Linux.</w:t>
      </w:r>
    </w:p>
    <w:p>
      <w:pPr>
        <w:pStyle w:val="Normal"/>
      </w:pPr>
      <w:r>
        <w:t>The following are some common /etc/samba/smb.conf options you are likely to want to tweak</w:t>
      </w:r>
    </w:p>
    <w:p>
      <w:pPr>
        <w:pStyle w:val="Normal"/>
      </w:pPr>
      <w:r>
        <w:t xml:space="preserve">in your installation. The </w:t>
      </w:r>
      <w:hyperlink r:id="rId1234">
        <w:r>
          <w:rPr>
            <w:rStyle w:val="Text9"/>
          </w:rPr>
          <w:t>237</w:t>
        </w:r>
      </w:hyperlink>
      <w:hyperlink r:id="rId1234">
        <w:r>
          <w:rPr>
            <w:rStyle w:val="Text1"/>
          </w:rPr>
          <w:t xml:space="preserve"> </w:t>
        </w:r>
      </w:hyperlink>
      <w:hyperlink r:id="rId1234">
        <w:r>
          <w:rPr>
            <w:rStyle w:val="Text2"/>
          </w:rPr>
          <w:t>smb.conf(5)</w:t>
        </w:r>
      </w:hyperlink>
      <w:r>
        <w:t xml:space="preserve"> manual page explains the % variable substitutions and other details:</w:t>
      </w:r>
    </w:p>
    <w:p>
      <w:pPr>
        <w:pStyle w:val="Para 04"/>
      </w:pPr>
      <w:r>
        <w:t xml:space="preserve">• </w:t>
      </w:r>
      <w:r>
        <w:rPr>
          <w:rStyle w:val="Text0"/>
        </w:rPr>
        <w:t>home directory</w:t>
      </w:r>
      <w:r>
        <w:t xml:space="preserve"> template homedir = /home/%U@%D (Another popular choice is /home/%D/</w:t>
      </w:r>
    </w:p>
    <w:p>
      <w:pPr>
        <w:pStyle w:val="Para 02"/>
      </w:pPr>
      <w:r>
        <w:t>%U)</w:t>
      </w:r>
    </w:p>
    <w:p>
      <w:pPr>
        <w:pStyle w:val="Para 04"/>
      </w:pPr>
      <w:r>
        <w:t xml:space="preserve">• </w:t>
      </w:r>
      <w:r>
        <w:rPr>
          <w:rStyle w:val="Text0"/>
        </w:rPr>
        <w:t>login shell</w:t>
      </w:r>
      <w:r>
        <w:t xml:space="preserve"> template shell = /bin/bash</w:t>
      </w:r>
    </w:p>
    <w:p>
      <w:pPr>
        <w:pStyle w:val="Para 04"/>
      </w:pPr>
      <w:r>
        <w:t>• winbind separator = \ This is the \ character between the short domain name and the</w:t>
      </w:r>
    </w:p>
    <w:p>
      <w:pPr>
        <w:pStyle w:val="Para 02"/>
      </w:pPr>
      <w:r>
        <w:t>user or group name that we saw in the getent passwd output above.</w:t>
      </w:r>
    </w:p>
    <w:p>
      <w:pPr>
        <w:pStyle w:val="Para 04"/>
      </w:pPr>
      <w:r>
        <w:t>• winbind use default domain If this is set to yes, then the domain name will not be part</w:t>
      </w:r>
    </w:p>
    <w:p>
      <w:pPr>
        <w:pStyle w:val="Para 02"/>
      </w:pPr>
      <w:r>
        <w:t>of the users and groups. Setting this to yes makes the system more friendly towards Linux users, as they won’t have to remember to include the domain name every time a user or group is referenced. However, if multiple domains are involved, such as in an AD forest or other form of domain trust relationship, then leave this setting at no (default).</w:t>
      </w:r>
    </w:p>
    <w:p>
      <w:pPr>
        <w:pStyle w:val="Para 05"/>
      </w:pPr>
      <w:r>
        <w:rPr>
          <w:rStyle w:val="Text5"/>
        </w:rPr>
        <w:t>236</w:t>
      </w:r>
      <w:r>
        <w:rPr>
          <w:rStyle w:val="Text8"/>
        </w:rPr>
        <w:t xml:space="preserve"> </w:t>
      </w:r>
      <w:r>
        <w:t>https://bugs.launchpad.net/bugs/1980246</w:t>
      </w:r>
    </w:p>
    <w:p>
      <w:pPr>
        <w:pStyle w:val="Para 03"/>
      </w:pPr>
      <w:r>
        <w:rPr>
          <w:rStyle w:val="Text5"/>
        </w:rPr>
        <w:t>237</w:t>
      </w:r>
      <w:r>
        <w:t xml:space="preserve"> </w:t>
      </w:r>
      <w:r>
        <w:rPr>
          <w:rStyle w:val="Text6"/>
        </w:rPr>
        <w:t>https://manpages.ubuntu.com/manpages/resolute/man5/smb.conf.5.html</w:t>
      </w:r>
      <w:r>
        <w:t xml:space="preserve"> To have the home directory created automatically the first time a user logs in to the system, and if you haven’t removed libpam-winbind, then enable the pam_mkhomedir module via this command:</w:t>
      </w:r>
    </w:p>
    <w:p>
      <w:bookmarkStart w:id="431" w:name="page_3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8" name="index-303_1.png" descr="index-303_1.png"/>
            <wp:cNvGraphicFramePr>
              <a:graphicFrameLocks noChangeAspect="1"/>
            </wp:cNvGraphicFramePr>
            <a:graphic>
              <a:graphicData uri="http://schemas.openxmlformats.org/drawingml/2006/picture">
                <pic:pic>
                  <pic:nvPicPr>
                    <pic:cNvPr id="0" name="index-303_1.png" descr="index-303_1.png"/>
                    <pic:cNvPicPr/>
                  </pic:nvPicPr>
                  <pic:blipFill>
                    <a:blip r:embed="rId312"/>
                    <a:stretch>
                      <a:fillRect/>
                    </a:stretch>
                  </pic:blipFill>
                  <pic:spPr>
                    <a:xfrm>
                      <a:off x="0" y="0"/>
                      <a:ext cx="914400" cy="266700"/>
                    </a:xfrm>
                    <a:prstGeom prst="rect">
                      <a:avLst/>
                    </a:prstGeom>
                  </pic:spPr>
                </pic:pic>
              </a:graphicData>
            </a:graphic>
          </wp:anchor>
        </w:drawing>
      </w:r>
      <w:bookmarkEnd w:id="431"/>
    </w:p>
    <w:p>
      <w:pPr>
        <w:pStyle w:val="Normal"/>
      </w:pPr>
      <w:r>
        <w:t>sudo pam-auth-update --enable mkhomedir</w:t>
      </w:r>
    </w:p>
    <w:p>
      <w:pPr>
        <w:pStyle w:val="Para 17"/>
      </w:pPr>
      <w:r>
        <w:t/>
      </w:r>
    </w:p>
    <w:p>
      <w:pPr>
        <w:pStyle w:val="Normal"/>
      </w:pPr>
      <w:r>
        <w:t>Note that this won’t apply to logins via Samba: this only creates the home directory for sys-tem logins like those via ssh or the console.</w:t>
      </w:r>
    </w:p>
    <w:p>
      <w:pPr>
        <w:pStyle w:val="Para 17"/>
      </w:pPr>
      <w:r>
        <w:t/>
      </w:r>
    </w:p>
    <w:p>
      <w:pPr>
        <w:pStyle w:val="Para 01"/>
      </w:pPr>
      <w:r>
        <w:t>Export shares</w:t>
      </w:r>
    </w:p>
    <w:p>
      <w:pPr>
        <w:pStyle w:val="Para 17"/>
      </w:pPr>
      <w:r>
        <w:t/>
      </w:r>
    </w:p>
    <w:p>
      <w:pPr>
        <w:pStyle w:val="Normal"/>
      </w:pPr>
      <w:r>
        <w:t>Shares can be exported as usual. Since this is now a Member Server, there is no need to deal with user and group management. All of this is integrated with the Active Directory server we joined.</w:t>
      </w:r>
    </w:p>
    <w:p>
      <w:pPr>
        <w:pStyle w:val="Normal"/>
      </w:pPr>
      <w:r>
        <w:t>For example, let’s create a simple [storage] share. Add this to the /etc/samba/smb.conf file:</w:t>
      </w:r>
    </w:p>
    <w:p>
      <w:pPr>
        <w:pStyle w:val="Normal"/>
      </w:pPr>
      <w:r>
        <w:t>[storage]</w:t>
      </w:r>
    </w:p>
    <w:p>
      <w:pPr>
        <w:pStyle w:val="Para 02"/>
      </w:pPr>
      <w:r>
        <w:t>path = /storage</w:t>
      </w:r>
    </w:p>
    <w:p>
      <w:pPr>
        <w:pStyle w:val="Para 02"/>
      </w:pPr>
      <w:r>
        <w:t>comment = Storage share</w:t>
      </w:r>
    </w:p>
    <w:p>
      <w:pPr>
        <w:pStyle w:val="Para 02"/>
      </w:pPr>
      <w:r>
        <w:t>writable = yes</w:t>
      </w:r>
    </w:p>
    <w:p>
      <w:pPr>
        <w:pStyle w:val="Para 02"/>
      </w:pPr>
      <w:r>
        <w:t>guest ok = no</w:t>
      </w:r>
    </w:p>
    <w:p>
      <w:pPr>
        <w:pStyle w:val="Para 17"/>
      </w:pPr>
      <w:r>
        <w:t/>
      </w:r>
    </w:p>
    <w:p>
      <w:pPr>
        <w:pStyle w:val="Normal"/>
      </w:pPr>
      <w:r>
        <w:t>Then create the /storage directory. Let’s also make it 1777 so all users can use it, and then ask samba to reload its configuration:</w:t>
      </w:r>
    </w:p>
    <w:p>
      <w:pPr>
        <w:pStyle w:val="Normal"/>
      </w:pPr>
      <w:r>
        <w:t>sudo mkdir -m</w:t>
        <w:t xml:space="preserve"> </w:t>
        <w:t>1777</w:t>
        <w:t xml:space="preserve"> </w:t>
        <w:t>/storage</w:t>
      </w:r>
    </w:p>
    <w:p>
      <w:pPr>
        <w:pStyle w:val="Normal"/>
      </w:pPr>
      <w:r>
        <w:t>sudo smbcontrol smbd reload-config</w:t>
      </w:r>
    </w:p>
    <w:p>
      <w:pPr>
        <w:pStyle w:val="Para 17"/>
      </w:pPr>
      <w:r>
        <w:t/>
      </w:r>
    </w:p>
    <w:p>
      <w:pPr>
        <w:pStyle w:val="Normal"/>
      </w:pPr>
      <w:r>
        <w:t>With this, users from the AD domain will be able to access this share. For example, if there is a user ubuntu the following command would access the share from another system, using the domain credentials:</w:t>
      </w:r>
    </w:p>
    <w:p>
      <w:pPr>
        <w:pStyle w:val="Normal"/>
      </w:pPr>
      <w:r>
        <w:t>$ smbclient //j1.internal.example.fake/storage -U INTEXAMPLE\\ubuntu</w:t>
        <w:t xml:space="preserve"> </w:t>
        <w:t>Enter INTEXAMPLE\ubuntu's password:</w:t>
      </w:r>
    </w:p>
    <w:p>
      <w:pPr>
        <w:pStyle w:val="Normal"/>
      </w:pPr>
      <w:r>
        <w:t>Try "help" to get a list of possible commands.</w:t>
      </w:r>
    </w:p>
    <w:p>
      <w:pPr>
        <w:pStyle w:val="Normal"/>
      </w:pPr>
      <w:r>
        <w:t>smb: \&gt;</w:t>
      </w:r>
    </w:p>
    <w:p>
      <w:pPr>
        <w:pStyle w:val="Para 17"/>
      </w:pPr>
      <w:r>
        <w:t/>
      </w:r>
    </w:p>
    <w:p>
      <w:pPr>
        <w:pStyle w:val="Normal"/>
      </w:pPr>
      <w:r>
        <w:t>And smbstatus on the member server will show the connected user:</w:t>
      </w:r>
    </w:p>
    <w:p>
      <w:pPr>
        <w:pStyle w:val="Normal"/>
      </w:pPr>
      <w:r>
        <w:t>$ sudo smbstatus</w:t>
      </w:r>
    </w:p>
    <w:p>
      <w:pPr>
        <w:pStyle w:val="Normal"/>
      </w:pPr>
      <w:r>
        <w:t>Samba version 4.15.5-Ubuntu</w:t>
      </w:r>
    </w:p>
    <w:p>
      <w:pPr>
        <w:pStyle w:val="Normal"/>
      </w:pPr>
      <w:r>
        <w:t>PID</w:t>
        <w:t xml:space="preserve"> </w:t>
        <w:t>Username</w:t>
        <w:t xml:space="preserve"> </w:t>
        <w:t>Group</w:t>
        <w:t xml:space="preserve"> </w:t>
        <w:t>Machine</w:t>
        <w:t xml:space="preserve"> </w:t>
        <w:t>Protocol</w:t>
        <w:t xml:space="preserve"> </w:t>
        <w:t>Version</w:t>
        <w:t xml:space="preserve"> </w:t>
        <w:t>Encryption</w:t>
        <w:t xml:space="preserve"> </w:t>
        <w:t>Signing</w:t>
      </w:r>
    </w:p>
    <w:p>
      <w:pPr>
        <w:pStyle w:val="Normal"/>
      </w:pPr>
      <w:r>
        <w:t>------------------------------------------------------------------------------------------</w:t>
        <w:t>----------------------------------------------</w:t>
      </w:r>
    </w:p>
    <w:p>
      <w:pPr>
        <w:pStyle w:val="Normal"/>
      </w:pPr>
      <w:r>
        <w:t>3631</w:t>
        <w:t xml:space="preserve"> </w:t>
        <w:t>INTEXAMPLE\ubuntu INTEXAMPLE\domain users 10.0.16.1 (ipv4:10.0.16.1:39534)</w:t>
      </w:r>
    </w:p>
    <w:p>
      <w:pPr>
        <w:pStyle w:val="Normal"/>
      </w:pPr>
      <w:r>
        <w:t>SMB3_11</w:t>
        <w:t xml:space="preserve"> </w:t>
        <w:t>-</w:t>
        <w:t xml:space="preserve"> </w:t>
        <w:t>partial(AES-128-CMAC)</w:t>
      </w:r>
    </w:p>
    <w:p>
      <w:pPr>
        <w:pStyle w:val="Normal"/>
      </w:pPr>
      <w:r>
        <w:t>Service</w:t>
        <w:t xml:space="preserve"> </w:t>
        <w:t>pid</w:t>
        <w:t xml:space="preserve"> </w:t>
        <w:t>Machine</w:t>
        <w:t xml:space="preserve"> </w:t>
        <w:t>Connected at</w:t>
        <w:t xml:space="preserve"> </w:t>
        <w:t>Encryption</w:t>
        <w:t xml:space="preserve"> </w:t>
        <w:t>Signing</w:t>
        <w:t>------------------------------------------------------------------------------------------</w:t>
        <w:t>---</w:t>
      </w:r>
    </w:p>
    <w:p>
      <w:pPr>
        <w:pStyle w:val="Normal"/>
      </w:pPr>
      <w:r>
        <w:t>storage</w:t>
        <w:t xml:space="preserve"> </w:t>
        <w:t>3631</w:t>
        <w:t xml:space="preserve"> </w:t>
        <w:t>10.0.16.1</w:t>
        <w:t xml:space="preserve"> </w:t>
        <w:t>Wed Jun 29 17:42:54 2022 UTC</w:t>
        <w:t xml:space="preserve"> </w:t>
        <w:t>-</w:t>
        <w:t xml:space="preserve"> </w:t>
        <w:t>-</w:t>
      </w:r>
    </w:p>
    <w:p>
      <w:pPr>
        <w:pStyle w:val="Para 09"/>
      </w:pPr>
      <w:r>
        <w:t>(continues on next page)</w:t>
      </w:r>
    </w:p>
    <w:p>
      <w:bookmarkStart w:id="432" w:name="page_3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09" name="index-304_1.png" descr="index-304_1.png"/>
            <wp:cNvGraphicFramePr>
              <a:graphicFrameLocks noChangeAspect="1"/>
            </wp:cNvGraphicFramePr>
            <a:graphic>
              <a:graphicData uri="http://schemas.openxmlformats.org/drawingml/2006/picture">
                <pic:pic>
                  <pic:nvPicPr>
                    <pic:cNvPr id="0" name="index-304_1.png" descr="index-304_1.png"/>
                    <pic:cNvPicPr/>
                  </pic:nvPicPr>
                  <pic:blipFill>
                    <a:blip r:embed="rId313"/>
                    <a:stretch>
                      <a:fillRect/>
                    </a:stretch>
                  </pic:blipFill>
                  <pic:spPr>
                    <a:xfrm>
                      <a:off x="0" y="0"/>
                      <a:ext cx="914400" cy="266700"/>
                    </a:xfrm>
                    <a:prstGeom prst="rect">
                      <a:avLst/>
                    </a:prstGeom>
                  </pic:spPr>
                </pic:pic>
              </a:graphicData>
            </a:graphic>
          </wp:anchor>
        </w:drawing>
      </w:r>
      <w:bookmarkEnd w:id="432"/>
    </w:p>
    <w:p>
      <w:pPr>
        <w:pStyle w:val="Para 09"/>
      </w:pPr>
      <w:r>
        <w:t>(continued from previous page)</w:t>
      </w:r>
    </w:p>
    <w:p>
      <w:pPr>
        <w:pStyle w:val="Normal"/>
      </w:pPr>
      <w:r>
        <w:t>No locked files</w:t>
      </w:r>
    </w:p>
    <w:p>
      <w:pPr>
        <w:pStyle w:val="Para 17"/>
      </w:pPr>
      <w:r>
        <w:t/>
      </w:r>
    </w:p>
    <w:p>
      <w:pPr>
        <w:pStyle w:val="Normal"/>
      </w:pPr>
      <w:r>
        <w:t xml:space="preserve">You can also restrict access to the share as usual. Just keep in mind the syntax for the domain users. For example, to restrict access to the [storage] share we just created to </w:t>
      </w:r>
      <w:r>
        <w:rPr>
          <w:rStyle w:val="Text3"/>
        </w:rPr>
        <w:t>only</w:t>
      </w:r>
      <w:r>
        <w:t xml:space="preserve"> members of the LTS Releases domain group, add the valid users parameter like below:</w:t>
      </w:r>
    </w:p>
    <w:p>
      <w:pPr>
        <w:pStyle w:val="Normal"/>
      </w:pPr>
      <w:r>
        <w:t>[storage]</w:t>
      </w:r>
    </w:p>
    <w:p>
      <w:pPr>
        <w:pStyle w:val="Para 02"/>
      </w:pPr>
      <w:r>
        <w:t>path = /storage</w:t>
      </w:r>
    </w:p>
    <w:p>
      <w:pPr>
        <w:pStyle w:val="Para 02"/>
      </w:pPr>
      <w:r>
        <w:t>comment = Storage share</w:t>
      </w:r>
    </w:p>
    <w:p>
      <w:pPr>
        <w:pStyle w:val="Para 02"/>
      </w:pPr>
      <w:r>
        <w:t>writable = yes</w:t>
      </w:r>
    </w:p>
    <w:p>
      <w:pPr>
        <w:pStyle w:val="Para 02"/>
      </w:pPr>
      <w:r>
        <w:t>guest ok = no</w:t>
      </w:r>
    </w:p>
    <w:p>
      <w:pPr>
        <w:pStyle w:val="Para 02"/>
      </w:pPr>
      <w:r>
        <w:t>valid users = "@INTEXAMPLE\ LTS Releases"</w:t>
      </w:r>
    </w:p>
    <w:p>
      <w:pPr>
        <w:pStyle w:val="Para 17"/>
      </w:pPr>
      <w:r>
        <w:t/>
      </w:r>
    </w:p>
    <w:p>
      <w:pPr>
        <w:pStyle w:val="Para 01"/>
      </w:pPr>
      <w:r>
        <w:t>Choose an idmap backend</w:t>
      </w:r>
    </w:p>
    <w:p>
      <w:pPr>
        <w:pStyle w:val="Para 17"/>
      </w:pPr>
      <w:r>
        <w:t/>
      </w:r>
    </w:p>
    <w:p>
      <w:pPr>
        <w:pStyle w:val="Normal"/>
      </w:pPr>
      <w:r>
        <w:t>realm made some choices for us when we joined the domain. A very important one is the idmap backend, and it might need changing for more complex setups.</w:t>
      </w:r>
    </w:p>
    <w:p>
      <w:pPr>
        <w:pStyle w:val="Normal"/>
      </w:pPr>
      <w:r>
        <w:t xml:space="preserve">User and group identifiers on the AD side are not directly usable as identifiers on the Linux site. A </w:t>
      </w:r>
      <w:r>
        <w:rPr>
          <w:rStyle w:val="Text3"/>
        </w:rPr>
        <w:t>mapping</w:t>
      </w:r>
      <w:r>
        <w:t xml:space="preserve"> needs to be performed.</w:t>
      </w:r>
    </w:p>
    <w:p>
      <w:pPr>
        <w:pStyle w:val="Normal"/>
      </w:pPr>
      <w:r>
        <w:t>Winbind supports several idmap backends, and each one has its own manual page. The three main ones are:</w:t>
      </w:r>
    </w:p>
    <w:p>
      <w:pPr>
        <w:pStyle w:val="Para 14"/>
      </w:pPr>
      <w:r>
        <w:rPr>
          <w:rStyle w:val="Text4"/>
        </w:rPr>
        <w:t xml:space="preserve">• </w:t>
      </w:r>
      <w:hyperlink r:id="rId1235">
        <w:r>
          <w:rPr>
            <w:rStyle w:val="Text15"/>
          </w:rPr>
          <w:t>238</w:t>
        </w:r>
      </w:hyperlink>
      <w:hyperlink r:id="rId1235">
        <w:r>
          <w:rPr>
            <w:rStyle w:val="Text3"/>
          </w:rPr>
          <w:t xml:space="preserve"> </w:t>
        </w:r>
      </w:hyperlink>
      <w:hyperlink r:id="rId1235">
        <w:r>
          <w:t>idmap_ad(8)</w:t>
        </w:r>
      </w:hyperlink>
    </w:p>
    <w:p>
      <w:pPr>
        <w:pStyle w:val="Para 14"/>
      </w:pPr>
      <w:r>
        <w:rPr>
          <w:rStyle w:val="Text4"/>
        </w:rPr>
        <w:t xml:space="preserve">• </w:t>
      </w:r>
      <w:hyperlink r:id="rId1236">
        <w:r>
          <w:rPr>
            <w:rStyle w:val="Text15"/>
          </w:rPr>
          <w:t>239</w:t>
        </w:r>
      </w:hyperlink>
      <w:hyperlink r:id="rId1236">
        <w:r>
          <w:rPr>
            <w:rStyle w:val="Text3"/>
          </w:rPr>
          <w:t xml:space="preserve"> </w:t>
        </w:r>
      </w:hyperlink>
      <w:hyperlink r:id="rId1236">
        <w:r>
          <w:t>idmap_autorid(8)</w:t>
        </w:r>
      </w:hyperlink>
    </w:p>
    <w:p>
      <w:pPr>
        <w:pStyle w:val="Para 14"/>
      </w:pPr>
      <w:r>
        <w:rPr>
          <w:rStyle w:val="Text4"/>
        </w:rPr>
        <w:t xml:space="preserve">• </w:t>
      </w:r>
      <w:hyperlink w:anchor="page_304">
        <w:r>
          <w:rPr>
            <w:rStyle w:val="Text15"/>
          </w:rPr>
          <w:t>240</w:t>
        </w:r>
      </w:hyperlink>
      <w:r>
        <w:rPr>
          <w:rStyle w:val="Text4"/>
        </w:rPr>
        <w:t xml:space="preserve"> </w:t>
      </w:r>
      <w:hyperlink r:id="rId1237">
        <w:r>
          <w:t>idmap_rid(8)</w:t>
        </w:r>
      </w:hyperlink>
    </w:p>
    <w:p>
      <w:pPr>
        <w:pStyle w:val="Normal"/>
      </w:pPr>
      <w:r>
        <w:t>Choosing the correct backend for each deployment type needs careful planing. Upstream</w:t>
      </w:r>
    </w:p>
    <w:p>
      <w:pPr>
        <w:pStyle w:val="Normal"/>
      </w:pPr>
      <w:r>
        <w:t xml:space="preserve">has some guidelines at </w:t>
      </w:r>
      <w:hyperlink r:id="rId1238">
        <w:r>
          <w:rPr>
            <w:rStyle w:val="Text9"/>
          </w:rPr>
          <w:t>241</w:t>
        </w:r>
      </w:hyperlink>
      <w:hyperlink r:id="rId1238">
        <w:r>
          <w:rPr>
            <w:rStyle w:val="Text1"/>
          </w:rPr>
          <w:t xml:space="preserve"> Choosing an idmap backend</w:t>
        </w:r>
      </w:hyperlink>
      <w:r>
        <w:t>, and each man page has more details and recommendations.</w:t>
      </w:r>
    </w:p>
    <w:p>
      <w:pPr>
        <w:pStyle w:val="Normal"/>
      </w:pPr>
      <w:r>
        <w:t>The realm tool selects (by default) the rid backend. This backend uses an algorithm to cal-culate the Unix user and group IDs from the respective RID value on the AD side. You might need to review the idmap config settings in /etc/samba/smb.conf and make sure they can accommodate the number of users and groups that exist in the domain, and that the range does not overlap with users from other sources.</w:t>
      </w:r>
    </w:p>
    <w:p>
      <w:pPr>
        <w:pStyle w:val="Normal"/>
      </w:pPr>
      <w:r>
        <w:t>For example, these settings:</w:t>
      </w:r>
    </w:p>
    <w:p>
      <w:pPr>
        <w:pStyle w:val="Normal"/>
      </w:pPr>
      <w:r>
        <w:t>idmap config * : range = 10000-999999</w:t>
      </w:r>
    </w:p>
    <w:p>
      <w:pPr>
        <w:pStyle w:val="Normal"/>
      </w:pPr>
      <w:r>
        <w:t>idmap config intexample : backend = rid</w:t>
      </w:r>
    </w:p>
    <w:p>
      <w:pPr>
        <w:pStyle w:val="Normal"/>
      </w:pPr>
      <w:r>
        <w:t>idmap config intexample : range = 2000000-2999999</w:t>
      </w:r>
    </w:p>
    <w:p>
      <w:pPr>
        <w:pStyle w:val="Normal"/>
      </w:pPr>
      <w:r>
        <w:t>idmap config * : backend = tdb</w:t>
      </w:r>
    </w:p>
    <w:p>
      <w:pPr>
        <w:pStyle w:val="Para 17"/>
      </w:pPr>
      <w:r>
        <w:t/>
      </w:r>
    </w:p>
    <w:p>
      <w:pPr>
        <w:pStyle w:val="Normal"/>
      </w:pPr>
      <w:r>
        <w:t>Will reserve the 2,000,000 through 2,999,999 range for user and group ID allocations on the Linux side for the intexample domain. The default backend (*, which acts as a “globbing”</w:t>
      </w:r>
    </w:p>
    <w:p>
      <w:pPr>
        <w:pStyle w:val="Para 05"/>
      </w:pPr>
      <w:r>
        <w:rPr>
          <w:rStyle w:val="Text5"/>
        </w:rPr>
        <w:t>238</w:t>
      </w:r>
      <w:r>
        <w:rPr>
          <w:rStyle w:val="Text8"/>
        </w:rPr>
        <w:t xml:space="preserve"> </w:t>
      </w:r>
      <w:r>
        <w:t>https://manpages.ubuntu.com/manpages/resolute/man8/idmap_ad.8.html</w:t>
      </w:r>
    </w:p>
    <w:p>
      <w:pPr>
        <w:pStyle w:val="Para 05"/>
      </w:pPr>
      <w:r>
        <w:rPr>
          <w:rStyle w:val="Text5"/>
        </w:rPr>
        <w:t>239</w:t>
      </w:r>
      <w:r>
        <w:rPr>
          <w:rStyle w:val="Text8"/>
        </w:rPr>
        <w:t xml:space="preserve"> </w:t>
      </w:r>
      <w:r>
        <w:t>https://manpages.ubuntu.com/manpages/resolute/man8/idmap_autorid.8.html</w:t>
      </w:r>
    </w:p>
    <w:p>
      <w:pPr>
        <w:pStyle w:val="Para 05"/>
      </w:pPr>
      <w:r>
        <w:rPr>
          <w:rStyle w:val="Text5"/>
        </w:rPr>
        <w:t>240</w:t>
      </w:r>
      <w:r>
        <w:rPr>
          <w:rStyle w:val="Text8"/>
        </w:rPr>
        <w:t xml:space="preserve"> </w:t>
      </w:r>
      <w:r>
        <w:t>https://manpages.ubuntu.com/manpages/resolute/man8/idmap_rid.8.html</w:t>
      </w:r>
    </w:p>
    <w:p>
      <w:pPr>
        <w:pStyle w:val="Para 05"/>
      </w:pPr>
      <w:r>
        <w:rPr>
          <w:rStyle w:val="Text5"/>
        </w:rPr>
        <w:t>241</w:t>
      </w:r>
      <w:r>
        <w:rPr>
          <w:rStyle w:val="Text8"/>
        </w:rPr>
        <w:t xml:space="preserve"> </w:t>
      </w:r>
      <w:r>
        <w:t>https://wiki.samba.org/index.php/Setting_up_Samba_as_a_Domain_Member#Choosing_an_idmap_</w:t>
      </w:r>
    </w:p>
    <w:p>
      <w:pPr>
        <w:pStyle w:val="Normal"/>
      </w:pPr>
      <w:r>
        <w:rPr>
          <w:rStyle w:val="Text6"/>
        </w:rPr>
        <w:t>backend</w:t>
      </w:r>
      <w:r>
        <w:t xml:space="preserve"> catch-all rule) is used for the BUILTIN user and groups, and other domains (if they exist). It’s important that these ranges do not overlap.</w:t>
      </w:r>
    </w:p>
    <w:p>
      <w:bookmarkStart w:id="433" w:name="page_3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0" name="index-305_1.png" descr="index-305_1.png"/>
            <wp:cNvGraphicFramePr>
              <a:graphicFrameLocks noChangeAspect="1"/>
            </wp:cNvGraphicFramePr>
            <a:graphic>
              <a:graphicData uri="http://schemas.openxmlformats.org/drawingml/2006/picture">
                <pic:pic>
                  <pic:nvPicPr>
                    <pic:cNvPr id="0" name="index-305_1.png" descr="index-305_1.png"/>
                    <pic:cNvPicPr/>
                  </pic:nvPicPr>
                  <pic:blipFill>
                    <a:blip r:embed="rId314"/>
                    <a:stretch>
                      <a:fillRect/>
                    </a:stretch>
                  </pic:blipFill>
                  <pic:spPr>
                    <a:xfrm>
                      <a:off x="0" y="0"/>
                      <a:ext cx="914400" cy="266700"/>
                    </a:xfrm>
                    <a:prstGeom prst="rect">
                      <a:avLst/>
                    </a:prstGeom>
                  </pic:spPr>
                </pic:pic>
              </a:graphicData>
            </a:graphic>
          </wp:anchor>
        </w:drawing>
      </w:r>
      <w:bookmarkEnd w:id="433"/>
    </w:p>
    <w:p>
      <w:pPr>
        <w:pStyle w:val="Normal"/>
      </w:pPr>
      <w:r>
        <w:t>The Administrator user we inspected before with getent passwd can give us a glimpse of how these ranges are used (output format changed for clarity):</w:t>
      </w:r>
    </w:p>
    <w:p>
      <w:pPr>
        <w:pStyle w:val="Normal"/>
      </w:pPr>
      <w:r>
        <w:t>$ id INTEXAMPLE</w:t>
      </w:r>
      <w:r>
        <w:rPr>
          <w:rStyle w:val="Text0"/>
        </w:rPr>
        <w:t>\\</w:t>
      </w:r>
      <w:r>
        <w:t>Administrator</w:t>
      </w:r>
    </w:p>
    <w:p>
      <w:pPr>
        <w:pStyle w:val="Normal"/>
      </w:pPr>
      <w:r>
        <w:t>uid</w:t>
        <w:t>=</w:t>
        <w:t>2000500</w:t>
        <w:t>(</w:t>
        <w:t>INTEXAMPLE</w:t>
      </w:r>
      <w:r>
        <w:rPr>
          <w:rStyle w:val="Text0"/>
        </w:rPr>
        <w:t>\a</w:t>
      </w:r>
      <w:r>
        <w:t>dministrator</w:t>
        <w:t>)</w:t>
      </w:r>
    </w:p>
    <w:p>
      <w:pPr>
        <w:pStyle w:val="Normal"/>
      </w:pPr>
      <w:r>
        <w:t>gid</w:t>
        <w:t>=</w:t>
        <w:t>2000513</w:t>
        <w:t>(</w:t>
        <w:t>INTEXAMPLE</w:t>
      </w:r>
      <w:r>
        <w:rPr>
          <w:rStyle w:val="Text0"/>
        </w:rPr>
        <w:t>\d</w:t>
      </w:r>
      <w:r>
        <w:t>omain users</w:t>
        <w:t>)</w:t>
      </w:r>
    </w:p>
    <w:p>
      <w:pPr>
        <w:pStyle w:val="Normal"/>
      </w:pPr>
      <w:r>
        <w:t>groups</w:t>
        <w:t>=</w:t>
        <w:t>2000513</w:t>
        <w:t>(</w:t>
        <w:t>INTEXAMPLE</w:t>
      </w:r>
      <w:r>
        <w:rPr>
          <w:rStyle w:val="Text0"/>
        </w:rPr>
        <w:t>\d</w:t>
      </w:r>
      <w:r>
        <w:t>omain users</w:t>
        <w:t>)</w:t>
        <w:t>,</w:t>
      </w:r>
    </w:p>
    <w:p>
      <w:pPr>
        <w:pStyle w:val="Para 06"/>
      </w:pPr>
      <w:r>
        <w:t>2000500</w:t>
        <w:t>(</w:t>
        <w:t>INTEXAMPLE</w:t>
      </w:r>
      <w:r>
        <w:rPr>
          <w:rStyle w:val="Text0"/>
        </w:rPr>
        <w:t>\a</w:t>
      </w:r>
      <w:r>
        <w:t>dministrator</w:t>
        <w:t>)</w:t>
        <w:t>,</w:t>
        <w:t xml:space="preserve"> </w:t>
        <w:t>2000572</w:t>
        <w:t>(</w:t>
        <w:t>INTEXAMPLE</w:t>
      </w:r>
      <w:r>
        <w:rPr>
          <w:rStyle w:val="Text0"/>
        </w:rPr>
        <w:t>\d</w:t>
      </w:r>
      <w:r>
        <w:t>enied rodc password replication group</w:t>
        <w:t>)</w:t>
        <w:t>,</w:t>
        <w:t xml:space="preserve"> </w:t>
        <w:t>2000519</w:t>
        <w:t>(</w:t>
        <w:t>INTEXAMPLE</w:t>
      </w:r>
      <w:r>
        <w:rPr>
          <w:rStyle w:val="Text0"/>
        </w:rPr>
        <w:t>\e</w:t>
      </w:r>
      <w:r>
        <w:t>nterprise admins</w:t>
        <w:t>)</w:t>
        <w:t>,</w:t>
        <w:t xml:space="preserve"> </w:t>
        <w:t>2000518</w:t>
        <w:t>(</w:t>
        <w:t>INTEXAMPLE</w:t>
      </w:r>
      <w:r>
        <w:rPr>
          <w:rStyle w:val="Text0"/>
        </w:rPr>
        <w:t>\s</w:t>
      </w:r>
      <w:r>
        <w:t>chema admins</w:t>
        <w:t>)</w:t>
        <w:t>,</w:t>
        <w:t xml:space="preserve"> </w:t>
        <w:t>2000520</w:t>
        <w:t>(</w:t>
        <w:t>INTEXAMPLE</w:t>
      </w:r>
      <w:r>
        <w:rPr>
          <w:rStyle w:val="Text0"/>
        </w:rPr>
        <w:t>\g</w:t>
      </w:r>
      <w:r>
        <w:t>roup policy creator owners</w:t>
        <w:t>)</w:t>
        <w:t>,</w:t>
        <w:t xml:space="preserve"> </w:t>
        <w:t>2000512</w:t>
        <w:t>(</w:t>
        <w:t>INTEXAMPLE</w:t>
      </w:r>
      <w:r>
        <w:rPr>
          <w:rStyle w:val="Text0"/>
        </w:rPr>
        <w:t>\d</w:t>
      </w:r>
      <w:r>
        <w:t>omain admins</w:t>
        <w:t>)</w:t>
        <w:t>,</w:t>
        <w:t xml:space="preserve"> </w:t>
        <w:t>10001</w:t>
        <w:t>(</w:t>
        <w:t>BUILTIN</w:t>
      </w:r>
      <w:r>
        <w:rPr>
          <w:rStyle w:val="Text0"/>
        </w:rPr>
        <w:t>\u</w:t>
      </w:r>
      <w:r>
        <w:t>sers</w:t>
        <w:t>)</w:t>
        <w:t>,</w:t>
      </w:r>
    </w:p>
    <w:p>
      <w:pPr>
        <w:pStyle w:val="Para 06"/>
      </w:pPr>
      <w:r>
        <w:t>10000</w:t>
        <w:t>(</w:t>
        <w:t>BUILTIN</w:t>
      </w:r>
      <w:r>
        <w:rPr>
          <w:rStyle w:val="Text0"/>
        </w:rPr>
        <w:t>\a</w:t>
      </w:r>
      <w:r>
        <w:t>dministrators</w:t>
        <w:t>)</w:t>
      </w:r>
    </w:p>
    <w:p>
      <w:pPr>
        <w:pStyle w:val="Para 17"/>
      </w:pPr>
      <w:r>
        <w:t/>
      </w:r>
    </w:p>
    <w:p>
      <w:pPr>
        <w:pStyle w:val="Para 01"/>
      </w:pPr>
      <w:r>
        <w:t>Further reading</w:t>
      </w:r>
    </w:p>
    <w:p>
      <w:pPr>
        <w:pStyle w:val="Para 17"/>
      </w:pPr>
      <w:r>
        <w:t/>
      </w:r>
    </w:p>
    <w:p>
      <w:pPr>
        <w:pStyle w:val="Para 13"/>
      </w:pPr>
      <w:r>
        <w:rPr>
          <w:rStyle w:val="Text7"/>
        </w:rPr>
        <w:t xml:space="preserve">• </w:t>
      </w:r>
      <w:hyperlink r:id="rId1239">
        <w:r>
          <w:rPr>
            <w:rStyle w:val="Text10"/>
          </w:rPr>
          <w:t>242</w:t>
        </w:r>
      </w:hyperlink>
      <w:hyperlink r:id="rId1239">
        <w:r>
          <w:t xml:space="preserve"> The Samba Wiki</w:t>
        </w:r>
      </w:hyperlink>
    </w:p>
    <w:p>
      <w:pPr>
        <w:pStyle w:val="Para 17"/>
      </w:pPr>
      <w:r>
        <w:t/>
      </w:r>
    </w:p>
    <w:p>
      <w:pPr>
        <w:pStyle w:val="Para 01"/>
      </w:pPr>
      <w:r>
        <w:t>Set up sharing services</w:t>
      </w:r>
    </w:p>
    <w:p>
      <w:pPr>
        <w:pStyle w:val="Para 17"/>
      </w:pPr>
      <w:r>
        <w:t/>
      </w:r>
    </w:p>
    <w:p>
      <w:pPr>
        <w:pStyle w:val="Normal"/>
      </w:pPr>
      <w:r>
        <w:t>Samba can be configured as a file server or print server, to share files and printers with Win-dows clients.</w:t>
      </w:r>
    </w:p>
    <w:p>
      <w:pPr>
        <w:pStyle w:val="Para 17"/>
      </w:pPr>
      <w:r>
        <w:t/>
      </w:r>
    </w:p>
    <w:p>
      <w:pPr>
        <w:pStyle w:val="Para 01"/>
      </w:pPr>
      <w:r>
        <w:t>Set up Samba as a file server</w:t>
      </w:r>
    </w:p>
    <w:p>
      <w:pPr>
        <w:pStyle w:val="Para 17"/>
      </w:pPr>
      <w:r>
        <w:t/>
      </w:r>
    </w:p>
    <w:p>
      <w:pPr>
        <w:pStyle w:val="Normal"/>
      </w:pPr>
      <w:r>
        <w:t xml:space="preserve">One of the most common ways to network Ubuntu and Windows computers is to configure Samba as a </w:t>
      </w:r>
      <w:r>
        <w:rPr>
          <w:rStyle w:val="Text3"/>
        </w:rPr>
        <w:t>file server</w:t>
      </w:r>
      <w:r>
        <w:t>. It can be set up to share files with Windows clients, as we’ll see in this section.</w:t>
      </w:r>
    </w:p>
    <w:p>
      <w:pPr>
        <w:pStyle w:val="Normal"/>
      </w:pPr>
      <w:r>
        <w:t>The server will be configured to share files with any client on the network without prompting</w:t>
      </w:r>
    </w:p>
    <w:p>
      <w:pPr>
        <w:pStyle w:val="Normal"/>
      </w:pPr>
      <w:r>
        <w:t xml:space="preserve">for a password. If your environment requires stricter Access Controls see </w:t>
      </w:r>
      <w:hyperlink w:anchor="page_309">
        <w:r>
          <w:rPr>
            <w:rStyle w:val="Text2"/>
          </w:rPr>
          <w:t>Share Access Control</w:t>
        </w:r>
      </w:hyperlink>
      <w:r>
        <w:t xml:space="preserve"> (page 308).</w:t>
      </w:r>
    </w:p>
    <w:p>
      <w:pPr>
        <w:pStyle w:val="Para 17"/>
      </w:pPr>
      <w:r>
        <w:t/>
      </w:r>
    </w:p>
    <w:p>
      <w:pPr>
        <w:pStyle w:val="Para 08"/>
      </w:pPr>
      <w:r>
        <w:t>Warning:</w:t>
      </w:r>
    </w:p>
    <w:p>
      <w:pPr>
        <w:pStyle w:val="Para 17"/>
      </w:pPr>
      <w:r>
        <w:t/>
      </w:r>
    </w:p>
    <w:p>
      <w:pPr>
        <w:pStyle w:val="Para 03"/>
      </w:pPr>
      <w:r>
        <w:t xml:space="preserve">If you use </w:t>
      </w:r>
      <w:r>
        <w:rPr>
          <w:rStyle w:val="Text0"/>
        </w:rPr>
        <w:t>Samba and authd</w:t>
      </w:r>
      <w:r>
        <w:t xml:space="preserve"> at the same time, you must specify user and group mapping.</w:t>
      </w:r>
    </w:p>
    <w:p>
      <w:pPr>
        <w:pStyle w:val="Para 03"/>
      </w:pPr>
      <w:r>
        <w:t>Otherwise, you will encounter permission issues due to mismatched user and group iden-</w:t>
      </w:r>
    </w:p>
    <w:p>
      <w:pPr>
        <w:pStyle w:val="Para 03"/>
      </w:pPr>
      <w:r>
        <w:t>tifiers.</w:t>
      </w:r>
    </w:p>
    <w:p>
      <w:pPr>
        <w:pStyle w:val="Para 03"/>
      </w:pPr>
      <w:r>
        <w:t xml:space="preserve">If you </w:t>
      </w:r>
      <w:r>
        <w:rPr>
          <w:rStyle w:val="Text3"/>
        </w:rPr>
        <w:t>are</w:t>
      </w:r>
      <w:r>
        <w:t xml:space="preserve"> using Samba with authd, you should follow the instructions in the </w:t>
      </w:r>
      <w:hyperlink r:id="rId1240">
        <w:r>
          <w:rPr>
            <w:rStyle w:val="Text1"/>
          </w:rPr>
          <w:t>steps for the</w:t>
        </w:r>
      </w:hyperlink>
    </w:p>
    <w:p>
      <w:pPr>
        <w:pStyle w:val="Para 03"/>
      </w:pPr>
      <w:hyperlink r:id="rId1240">
        <w:r>
          <w:rPr>
            <w:rStyle w:val="Text1"/>
          </w:rPr>
          <w:t>server</w:t>
        </w:r>
      </w:hyperlink>
      <w:r>
        <w:t xml:space="preserve"> </w:t>
      </w:r>
      <w:hyperlink w:anchor="page_305">
        <w:r>
          <w:rPr>
            <w:rStyle w:val="Text9"/>
          </w:rPr>
          <w:t>243</w:t>
        </w:r>
      </w:hyperlink>
      <w:r>
        <w:t xml:space="preserve"> guide in the authd documentation instead.</w:t>
      </w:r>
    </w:p>
    <w:p>
      <w:pPr>
        <w:pStyle w:val="Para 41"/>
      </w:pPr>
      <w:r>
        <w:rPr>
          <w:rStyle w:val="Text5"/>
        </w:rPr>
        <w:t>243</w:t>
      </w:r>
      <w:r>
        <w:rPr>
          <w:rStyle w:val="Text8"/>
        </w:rPr>
        <w:t xml:space="preserve"> </w:t>
      </w:r>
      <w:r>
        <w:t>https://documentation.ubuntu.com/authd/edge-docs/howto/use-with-samba/#steps-for-the-server</w:t>
      </w:r>
    </w:p>
    <w:p>
      <w:pPr>
        <w:pStyle w:val="Para 17"/>
      </w:pPr>
      <w:r>
        <w:t/>
      </w:r>
    </w:p>
    <w:p>
      <w:pPr>
        <w:pStyle w:val="Para 05"/>
      </w:pPr>
      <w:r>
        <w:rPr>
          <w:rStyle w:val="Text5"/>
        </w:rPr>
        <w:t>242</w:t>
      </w:r>
      <w:r>
        <w:rPr>
          <w:rStyle w:val="Text8"/>
        </w:rPr>
        <w:t xml:space="preserve"> </w:t>
      </w:r>
      <w:r>
        <w:t>https://wiki.samba.org</w:t>
      </w:r>
    </w:p>
    <w:p>
      <w:bookmarkStart w:id="434" w:name="page_3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1" name="index-306_1.png" descr="index-306_1.png"/>
            <wp:cNvGraphicFramePr>
              <a:graphicFrameLocks noChangeAspect="1"/>
            </wp:cNvGraphicFramePr>
            <a:graphic>
              <a:graphicData uri="http://schemas.openxmlformats.org/drawingml/2006/picture">
                <pic:pic>
                  <pic:nvPicPr>
                    <pic:cNvPr id="0" name="index-306_1.png" descr="index-306_1.png"/>
                    <pic:cNvPicPr/>
                  </pic:nvPicPr>
                  <pic:blipFill>
                    <a:blip r:embed="rId315"/>
                    <a:stretch>
                      <a:fillRect/>
                    </a:stretch>
                  </pic:blipFill>
                  <pic:spPr>
                    <a:xfrm>
                      <a:off x="0" y="0"/>
                      <a:ext cx="914400" cy="266700"/>
                    </a:xfrm>
                    <a:prstGeom prst="rect">
                      <a:avLst/>
                    </a:prstGeom>
                  </pic:spPr>
                </pic:pic>
              </a:graphicData>
            </a:graphic>
          </wp:anchor>
        </w:drawing>
      </w:r>
      <w:bookmarkEnd w:id="434"/>
    </w:p>
    <w:p>
      <w:pPr>
        <w:pStyle w:val="Para 01"/>
      </w:pPr>
      <w:r>
        <w:t>Install Samba</w:t>
      </w:r>
    </w:p>
    <w:p>
      <w:pPr>
        <w:pStyle w:val="Para 17"/>
      </w:pPr>
      <w:r>
        <w:t/>
      </w:r>
    </w:p>
    <w:p>
      <w:pPr>
        <w:pStyle w:val="Normal"/>
      </w:pPr>
      <w:r>
        <w:t>The first step is to install the samba package. From a terminal prompt enter:</w:t>
      </w:r>
    </w:p>
    <w:p>
      <w:pPr>
        <w:pStyle w:val="Normal"/>
      </w:pPr>
      <w:r>
        <w:t>sudo apt install samba</w:t>
      </w:r>
    </w:p>
    <w:p>
      <w:pPr>
        <w:pStyle w:val="Para 17"/>
      </w:pPr>
      <w:r>
        <w:t/>
      </w:r>
    </w:p>
    <w:p>
      <w:pPr>
        <w:pStyle w:val="Normal"/>
      </w:pPr>
      <w:r>
        <w:t>That’s all there is to it; you are now ready to configure Samba to share files.</w:t>
      </w:r>
    </w:p>
    <w:p>
      <w:pPr>
        <w:pStyle w:val="Para 17"/>
      </w:pPr>
      <w:r>
        <w:t/>
      </w:r>
    </w:p>
    <w:p>
      <w:pPr>
        <w:pStyle w:val="Para 01"/>
      </w:pPr>
      <w:r>
        <w:t>Configure Samba as a file server</w:t>
      </w:r>
    </w:p>
    <w:p>
      <w:pPr>
        <w:pStyle w:val="Para 17"/>
      </w:pPr>
      <w:r>
        <w:t/>
      </w:r>
    </w:p>
    <w:p>
      <w:pPr>
        <w:pStyle w:val="Normal"/>
      </w:pPr>
      <w:r>
        <w:t>The main Samba configuration file is located in /etc/samba/smb.conf. The default configura-tion file contains a significant number of comments, which document various configuration directives.</w:t>
      </w:r>
    </w:p>
    <w:p>
      <w:pPr>
        <w:pStyle w:val="Para 08"/>
      </w:pPr>
      <w:r>
        <w:t>Note:</w:t>
      </w:r>
    </w:p>
    <w:p>
      <w:pPr>
        <w:pStyle w:val="Para 03"/>
      </w:pPr>
      <w:r>
        <w:t xml:space="preserve">Not all available options are included in the default configuration file. See the </w:t>
      </w:r>
      <w:hyperlink r:id="rId1241">
        <w:r>
          <w:rPr>
            <w:rStyle w:val="Text1"/>
          </w:rPr>
          <w:t>smb.conf</w:t>
        </w:r>
      </w:hyperlink>
    </w:p>
    <w:p>
      <w:pPr>
        <w:pStyle w:val="Para 22"/>
      </w:pPr>
      <w:hyperlink r:id="rId1241">
        <w:r>
          <w:t>man page</w:t>
        </w:r>
      </w:hyperlink>
      <w:r>
        <w:rPr>
          <w:rStyle w:val="Text7"/>
        </w:rPr>
        <w:t xml:space="preserve"> </w:t>
      </w:r>
      <w:hyperlink w:anchor="page_306">
        <w:r>
          <w:rPr>
            <w:rStyle w:val="Text10"/>
          </w:rPr>
          <w:t>244</w:t>
        </w:r>
      </w:hyperlink>
      <w:r>
        <w:rPr>
          <w:rStyle w:val="Text7"/>
        </w:rPr>
        <w:t xml:space="preserve"> </w:t>
      </w:r>
      <w:hyperlink r:id="rId1242">
        <w:r>
          <w:rPr>
            <w:rStyle w:val="Text10"/>
          </w:rPr>
          <w:t>245</w:t>
        </w:r>
      </w:hyperlink>
      <w:r>
        <w:rPr>
          <w:rStyle w:val="Text7"/>
        </w:rPr>
        <w:t xml:space="preserve"> or the </w:t>
      </w:r>
      <w:hyperlink r:id="rId1242">
        <w:r>
          <w:t>Samba HOWTO Collection</w:t>
        </w:r>
      </w:hyperlink>
      <w:r>
        <w:rPr>
          <w:rStyle w:val="Text7"/>
        </w:rPr>
        <w:t xml:space="preserve"> for more details.</w:t>
      </w:r>
    </w:p>
    <w:p>
      <w:pPr>
        <w:pStyle w:val="Para 05"/>
      </w:pPr>
      <w:r>
        <w:rPr>
          <w:rStyle w:val="Text5"/>
        </w:rPr>
        <w:t>244</w:t>
      </w:r>
      <w:r>
        <w:rPr>
          <w:rStyle w:val="Text8"/>
        </w:rPr>
        <w:t xml:space="preserve"> </w:t>
      </w:r>
      <w:r>
        <w:t>https://www.samba.org/samba/docs/current/man-html/smb.conf.5.html</w:t>
      </w:r>
    </w:p>
    <w:p>
      <w:pPr>
        <w:pStyle w:val="Para 05"/>
      </w:pPr>
      <w:r>
        <w:rPr>
          <w:rStyle w:val="Text5"/>
        </w:rPr>
        <w:t>245</w:t>
      </w:r>
      <w:r>
        <w:rPr>
          <w:rStyle w:val="Text8"/>
        </w:rPr>
        <w:t xml:space="preserve"> </w:t>
      </w:r>
      <w:r>
        <w:t>https://www.samba.org/samba/docs/old/Samba3-HOWTO/</w:t>
      </w:r>
    </w:p>
    <w:p>
      <w:pPr>
        <w:pStyle w:val="Para 17"/>
      </w:pPr>
      <w:r>
        <w:t/>
      </w:r>
    </w:p>
    <w:p>
      <w:pPr>
        <w:pStyle w:val="Normal"/>
      </w:pPr>
      <w:r>
        <w:t xml:space="preserve">First, edit the workgroup parameter in the </w:t>
      </w:r>
      <w:r>
        <w:rPr>
          <w:rStyle w:val="Text3"/>
        </w:rPr>
        <w:t>[global]</w:t>
      </w:r>
      <w:r>
        <w:t xml:space="preserve"> section of /etc/samba/smb.conf and change it to better match your environment:</w:t>
      </w:r>
    </w:p>
    <w:p>
      <w:pPr>
        <w:pStyle w:val="Normal"/>
      </w:pPr>
      <w:r>
        <w:t>workgroup = EXAMPLE</w:t>
      </w:r>
    </w:p>
    <w:p>
      <w:pPr>
        <w:pStyle w:val="Para 17"/>
      </w:pPr>
      <w:r>
        <w:t/>
      </w:r>
    </w:p>
    <w:p>
      <w:pPr>
        <w:pStyle w:val="Normal"/>
      </w:pPr>
      <w:r>
        <w:t>Create a new section at the bottom of the file, or uncomment one of the examples, for the directory you want to share:</w:t>
      </w:r>
    </w:p>
    <w:p>
      <w:pPr>
        <w:pStyle w:val="Normal"/>
      </w:pPr>
      <w:r>
        <w:t>[share]</w:t>
      </w:r>
    </w:p>
    <w:p>
      <w:pPr>
        <w:pStyle w:val="Para 02"/>
      </w:pPr>
      <w:r>
        <w:t>comment = Ubuntu File Server Share</w:t>
      </w:r>
    </w:p>
    <w:p>
      <w:pPr>
        <w:pStyle w:val="Para 02"/>
      </w:pPr>
      <w:r>
        <w:t>path = /srv/samba/share</w:t>
      </w:r>
    </w:p>
    <w:p>
      <w:pPr>
        <w:pStyle w:val="Para 02"/>
      </w:pPr>
      <w:r>
        <w:t>browsable = yes</w:t>
      </w:r>
    </w:p>
    <w:p>
      <w:pPr>
        <w:pStyle w:val="Para 02"/>
      </w:pPr>
      <w:r>
        <w:t>guest ok = yes</w:t>
      </w:r>
    </w:p>
    <w:p>
      <w:pPr>
        <w:pStyle w:val="Para 02"/>
      </w:pPr>
      <w:r>
        <w:t>read only = no</w:t>
      </w:r>
    </w:p>
    <w:p>
      <w:pPr>
        <w:pStyle w:val="Para 02"/>
      </w:pPr>
      <w:r>
        <w:t>create mask = 0755</w:t>
      </w:r>
    </w:p>
    <w:p>
      <w:pPr>
        <w:pStyle w:val="Para 17"/>
      </w:pPr>
      <w:r>
        <w:t/>
      </w:r>
    </w:p>
    <w:p>
      <w:pPr>
        <w:pStyle w:val="Para 04"/>
      </w:pPr>
      <w:r>
        <w:t xml:space="preserve">• </w:t>
      </w:r>
      <w:r>
        <w:rPr>
          <w:rStyle w:val="Text0"/>
        </w:rPr>
        <w:t>comment</w:t>
      </w:r>
      <w:r>
        <w:t xml:space="preserve"> A short description of the share. Adjust to fit your needs.</w:t>
      </w:r>
    </w:p>
    <w:p>
      <w:pPr>
        <w:pStyle w:val="Para 04"/>
      </w:pPr>
      <w:r>
        <w:t xml:space="preserve">• </w:t>
      </w:r>
      <w:r>
        <w:rPr>
          <w:rStyle w:val="Text0"/>
        </w:rPr>
        <w:t>path</w:t>
      </w:r>
      <w:r>
        <w:t xml:space="preserve"> The path to the directory you want to share.</w:t>
      </w:r>
    </w:p>
    <w:p>
      <w:pPr>
        <w:pStyle w:val="Para 17"/>
      </w:pPr>
      <w:r>
        <w:t/>
      </w:r>
    </w:p>
    <w:p>
      <w:pPr>
        <w:pStyle w:val="Para 23"/>
      </w:pPr>
      <w:r>
        <w:t>Note:</w:t>
      </w:r>
    </w:p>
    <w:p>
      <w:pPr>
        <w:pStyle w:val="Para 06"/>
      </w:pPr>
      <w:r>
        <w:t xml:space="preserve">This example uses /srv/samba/sharename because, according to the </w:t>
      </w:r>
      <w:hyperlink w:anchor="page_682">
        <w:r>
          <w:rPr>
            <w:rStyle w:val="Text2"/>
          </w:rPr>
          <w:t>Filesystem Hier-</w:t>
        </w:r>
      </w:hyperlink>
    </w:p>
    <w:p>
      <w:pPr>
        <w:pStyle w:val="Para 06"/>
      </w:pPr>
      <w:hyperlink w:anchor="page_682">
        <w:r>
          <w:rPr>
            <w:rStyle w:val="Text2"/>
          </w:rPr>
          <w:t>archy Standard (FHS)</w:t>
        </w:r>
      </w:hyperlink>
      <w:r>
        <w:t xml:space="preserve"> </w:t>
      </w:r>
      <w:hyperlink w:anchor="page_306">
        <w:r>
          <w:rPr>
            <w:rStyle w:val="Text9"/>
          </w:rPr>
          <w:t>246</w:t>
        </w:r>
      </w:hyperlink>
      <w:hyperlink w:anchor="page_306">
        <w:r>
          <w:rPr>
            <w:rStyle w:val="Text1"/>
          </w:rPr>
          <w:t xml:space="preserve"> ,</w:t>
        </w:r>
      </w:hyperlink>
      <w:r>
        <w:t xml:space="preserve"> </w:t>
      </w:r>
      <w:hyperlink r:id="rId1243">
        <w:r>
          <w:rPr>
            <w:rStyle w:val="Text1"/>
          </w:rPr>
          <w:t>/srv</w:t>
        </w:r>
      </w:hyperlink>
      <w:r>
        <w:t xml:space="preserve"> is where site-specific data should be served. Techni-</w:t>
      </w:r>
    </w:p>
    <w:p>
      <w:pPr>
        <w:pStyle w:val="Para 06"/>
      </w:pPr>
      <w:r>
        <w:t xml:space="preserve">cally, Samba shares can be placed anywhere on the </w:t>
      </w:r>
      <w:hyperlink w:anchor="page_682">
        <w:r>
          <w:rPr>
            <w:rStyle w:val="Text2"/>
          </w:rPr>
          <w:t>filesystem</w:t>
        </w:r>
      </w:hyperlink>
      <w:r>
        <w:t xml:space="preserve"> as long as the permis-sions are correct, but adhering to standards is recommended.</w:t>
      </w:r>
    </w:p>
    <w:p>
      <w:pPr>
        <w:pStyle w:val="Para 62"/>
      </w:pPr>
      <w:r>
        <w:rPr>
          <w:rStyle w:val="Text5"/>
        </w:rPr>
        <w:t>246</w:t>
      </w:r>
      <w:r>
        <w:rPr>
          <w:rStyle w:val="Text8"/>
        </w:rPr>
        <w:t xml:space="preserve"> </w:t>
      </w:r>
      <w:r>
        <w:t>https://www.pathname.com/fhs/pub/fhs-2.3.html#SRVDATAFORSERVICESPROVIDEDBYSYSTEM</w:t>
      </w:r>
    </w:p>
    <w:p>
      <w:pPr>
        <w:pStyle w:val="Para 17"/>
      </w:pPr>
      <w:r>
        <w:t/>
      </w:r>
    </w:p>
    <w:p>
      <w:pPr>
        <w:pStyle w:val="Para 04"/>
      </w:pPr>
      <w:r>
        <w:t xml:space="preserve">• </w:t>
      </w:r>
      <w:r>
        <w:rPr>
          <w:rStyle w:val="Text0"/>
        </w:rPr>
        <w:t>browsable</w:t>
      </w:r>
      <w:r>
        <w:t xml:space="preserve"> Enables Windows clients to browse the shared directory using Windows Ex-</w:t>
      </w:r>
    </w:p>
    <w:p>
      <w:pPr>
        <w:pStyle w:val="Para 02"/>
      </w:pPr>
      <w:r>
        <w:t>plorer.</w:t>
      </w:r>
    </w:p>
    <w:p>
      <w:bookmarkStart w:id="435" w:name="page_3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2"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316"/>
                    <a:stretch>
                      <a:fillRect/>
                    </a:stretch>
                  </pic:blipFill>
                  <pic:spPr>
                    <a:xfrm>
                      <a:off x="0" y="0"/>
                      <a:ext cx="914400" cy="266700"/>
                    </a:xfrm>
                    <a:prstGeom prst="rect">
                      <a:avLst/>
                    </a:prstGeom>
                  </pic:spPr>
                </pic:pic>
              </a:graphicData>
            </a:graphic>
          </wp:anchor>
        </w:drawing>
      </w:r>
      <w:bookmarkEnd w:id="435"/>
    </w:p>
    <w:p>
      <w:pPr>
        <w:pStyle w:val="Para 04"/>
      </w:pPr>
      <w:r>
        <w:t xml:space="preserve">• </w:t>
      </w:r>
      <w:r>
        <w:rPr>
          <w:rStyle w:val="Text0"/>
        </w:rPr>
        <w:t>guest ok</w:t>
      </w:r>
      <w:r>
        <w:t xml:space="preserve"> Allows clients to connect to the share without supplying a password.</w:t>
      </w:r>
    </w:p>
    <w:p>
      <w:pPr>
        <w:pStyle w:val="Para 04"/>
      </w:pPr>
      <w:r>
        <w:t xml:space="preserve">• </w:t>
      </w:r>
      <w:r>
        <w:rPr>
          <w:rStyle w:val="Text0"/>
        </w:rPr>
        <w:t>read only</w:t>
      </w:r>
      <w:r>
        <w:t xml:space="preserve"> determines if the share is read only or if write privileges are granted. Write</w:t>
      </w:r>
    </w:p>
    <w:p>
      <w:pPr>
        <w:pStyle w:val="Para 02"/>
      </w:pPr>
      <w:r>
        <w:t xml:space="preserve">privileges are allowed only when the value is </w:t>
      </w:r>
      <w:r>
        <w:rPr>
          <w:rStyle w:val="Text3"/>
        </w:rPr>
        <w:t>no</w:t>
      </w:r>
      <w:r>
        <w:t xml:space="preserve">, as is seen in this example. If the value is </w:t>
      </w:r>
      <w:r>
        <w:rPr>
          <w:rStyle w:val="Text3"/>
        </w:rPr>
        <w:t>yes</w:t>
      </w:r>
      <w:r>
        <w:t>, then access to the share is read only.</w:t>
      </w:r>
    </w:p>
    <w:p>
      <w:pPr>
        <w:pStyle w:val="Para 04"/>
      </w:pPr>
      <w:r>
        <w:t xml:space="preserve">• </w:t>
      </w:r>
      <w:r>
        <w:rPr>
          <w:rStyle w:val="Text0"/>
        </w:rPr>
        <w:t>create mask</w:t>
      </w:r>
      <w:r>
        <w:t xml:space="preserve"> Determines the permissions that new files will have when created.</w:t>
      </w:r>
    </w:p>
    <w:p>
      <w:pPr>
        <w:pStyle w:val="Para 17"/>
      </w:pPr>
      <w:r>
        <w:t/>
      </w:r>
    </w:p>
    <w:p>
      <w:pPr>
        <w:pStyle w:val="Para 01"/>
      </w:pPr>
      <w:r>
        <w:t>Create the directory</w:t>
      </w:r>
    </w:p>
    <w:p>
      <w:pPr>
        <w:pStyle w:val="Para 17"/>
      </w:pPr>
      <w:r>
        <w:t/>
      </w:r>
    </w:p>
    <w:p>
      <w:pPr>
        <w:pStyle w:val="Normal"/>
      </w:pPr>
      <w:r>
        <w:t>Now that Samba is configured, the directory needs to be created and the permissions changed. From a terminal, run the following commands:</w:t>
      </w:r>
    </w:p>
    <w:p>
      <w:pPr>
        <w:pStyle w:val="Normal"/>
      </w:pPr>
      <w:r>
        <w:t>sudo mkdir -p /srv/samba/share</w:t>
      </w:r>
    </w:p>
    <w:p>
      <w:pPr>
        <w:pStyle w:val="Normal"/>
      </w:pPr>
      <w:r>
        <w:t>sudo chown nobody:nogroup /srv/samba/share/</w:t>
      </w:r>
    </w:p>
    <w:p>
      <w:pPr>
        <w:pStyle w:val="Para 17"/>
      </w:pPr>
      <w:r>
        <w:t/>
      </w:r>
    </w:p>
    <w:p>
      <w:pPr>
        <w:pStyle w:val="Normal"/>
      </w:pPr>
      <w:r>
        <w:t>The-p switch tells mkdir to create the entire directory tree if it doesn’t already exist.</w:t>
      </w:r>
    </w:p>
    <w:p>
      <w:pPr>
        <w:pStyle w:val="Para 17"/>
      </w:pPr>
      <w:r>
        <w:t/>
      </w:r>
    </w:p>
    <w:p>
      <w:pPr>
        <w:pStyle w:val="Para 01"/>
      </w:pPr>
      <w:r>
        <w:t>Enable the new configuration</w:t>
      </w:r>
    </w:p>
    <w:p>
      <w:pPr>
        <w:pStyle w:val="Para 17"/>
      </w:pPr>
      <w:r>
        <w:t/>
      </w:r>
    </w:p>
    <w:p>
      <w:pPr>
        <w:pStyle w:val="Normal"/>
      </w:pPr>
      <w:r>
        <w:t>Finally, restart the Samba services to enable the new configuration by running the following command:</w:t>
      </w:r>
    </w:p>
    <w:p>
      <w:pPr>
        <w:pStyle w:val="Normal"/>
      </w:pPr>
      <w:r>
        <w:t>sudo systemctl restart smbd.service nmbd.service</w:t>
      </w:r>
    </w:p>
    <w:p>
      <w:pPr>
        <w:pStyle w:val="Para 17"/>
      </w:pPr>
      <w:r>
        <w:t/>
      </w:r>
    </w:p>
    <w:p>
      <w:pPr>
        <w:pStyle w:val="Para 08"/>
      </w:pPr>
      <w:r>
        <w:t>Warning:</w:t>
      </w:r>
    </w:p>
    <w:p>
      <w:pPr>
        <w:pStyle w:val="Para 17"/>
      </w:pPr>
      <w:r>
        <w:t/>
      </w:r>
    </w:p>
    <w:p>
      <w:pPr>
        <w:pStyle w:val="Para 03"/>
      </w:pPr>
      <w:r>
        <w:t>Once again, the above configuration gives full access to any client on the local network.</w:t>
      </w:r>
    </w:p>
    <w:p>
      <w:pPr>
        <w:pStyle w:val="Para 03"/>
      </w:pPr>
      <w:r>
        <w:t xml:space="preserve">For a more secure configuration see </w:t>
      </w:r>
      <w:hyperlink w:anchor="page_309">
        <w:r>
          <w:rPr>
            <w:rStyle w:val="Text2"/>
          </w:rPr>
          <w:t>Share Access Control</w:t>
        </w:r>
      </w:hyperlink>
      <w:r>
        <w:t xml:space="preserve"> (page 308).</w:t>
      </w:r>
    </w:p>
    <w:p>
      <w:pPr>
        <w:pStyle w:val="Para 17"/>
      </w:pPr>
      <w:r>
        <w:t/>
      </w:r>
    </w:p>
    <w:p>
      <w:pPr>
        <w:pStyle w:val="Normal"/>
      </w:pPr>
      <w:r>
        <w:t>From a Windows client you should now be able to browse to the Ubuntu file server and see the shared directory. If your client doesn’t show your share automatically, try to access your server by its IP address, e.g. \\192.168.1.1, in a Windows Explorer window. To check that everything is working try creating a directory from Windows.</w:t>
      </w:r>
    </w:p>
    <w:p>
      <w:pPr>
        <w:pStyle w:val="Normal"/>
      </w:pPr>
      <w:r>
        <w:t>To create additional shares simply create new [sharename] sections in /etc/samba/smb.conf, and restart Samba. Just make sure that the directory you want to share actually exists and the permissions are correct.</w:t>
      </w:r>
    </w:p>
    <w:p>
      <w:pPr>
        <w:pStyle w:val="Normal"/>
      </w:pPr>
      <w:r>
        <w:t>The file share named [share] and the path /srv/samba/share used in this example can be adjusted to fit your environment. It is a good idea to name a share after a directory on the file system. Another example would be a share name of [qa] with a path of /srv/samba/qa.</w:t>
      </w:r>
    </w:p>
    <w:p>
      <w:bookmarkStart w:id="436" w:name="calibre_pb_64"/>
      <w:pPr>
        <w:pStyle w:val="0 Block"/>
      </w:pPr>
      <w:bookmarkEnd w:id="436"/>
    </w:p>
    <w:p>
      <w:bookmarkStart w:id="437" w:name="Top_of_index_split_065_html"/>
      <w:bookmarkStart w:id="438" w:name="page_30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3" name="index-308_1.png" descr="index-308_1.png"/>
            <wp:cNvGraphicFramePr>
              <a:graphicFrameLocks noChangeAspect="1"/>
            </wp:cNvGraphicFramePr>
            <a:graphic>
              <a:graphicData uri="http://schemas.openxmlformats.org/drawingml/2006/picture">
                <pic:pic>
                  <pic:nvPicPr>
                    <pic:cNvPr id="0" name="index-308_1.png" descr="index-308_1.png"/>
                    <pic:cNvPicPr/>
                  </pic:nvPicPr>
                  <pic:blipFill>
                    <a:blip r:embed="rId317"/>
                    <a:stretch>
                      <a:fillRect/>
                    </a:stretch>
                  </pic:blipFill>
                  <pic:spPr>
                    <a:xfrm>
                      <a:off x="0" y="0"/>
                      <a:ext cx="914400" cy="266700"/>
                    </a:xfrm>
                    <a:prstGeom prst="rect">
                      <a:avLst/>
                    </a:prstGeom>
                  </pic:spPr>
                </pic:pic>
              </a:graphicData>
            </a:graphic>
          </wp:anchor>
        </w:drawing>
      </w:r>
      <w:bookmarkEnd w:id="437"/>
      <w:bookmarkEnd w:id="438"/>
    </w:p>
    <w:p>
      <w:pPr>
        <w:pStyle w:val="Para 01"/>
      </w:pPr>
      <w:r>
        <w:t>Further reading</w:t>
      </w:r>
    </w:p>
    <w:p>
      <w:pPr>
        <w:pStyle w:val="Para 17"/>
      </w:pPr>
      <w:r>
        <w:t/>
      </w:r>
    </w:p>
    <w:p>
      <w:pPr>
        <w:pStyle w:val="Para 04"/>
      </w:pPr>
      <w:r>
        <w:t xml:space="preserve">• For in-depth Samba configurations see the </w:t>
      </w:r>
      <w:hyperlink r:id="rId1242">
        <w:r>
          <w:rPr>
            <w:rStyle w:val="Text9"/>
          </w:rPr>
          <w:t>247</w:t>
        </w:r>
      </w:hyperlink>
      <w:hyperlink r:id="rId1242">
        <w:r>
          <w:rPr>
            <w:rStyle w:val="Text1"/>
          </w:rPr>
          <w:t xml:space="preserve"> Samba how-to collection</w:t>
        </w:r>
      </w:hyperlink>
    </w:p>
    <w:p>
      <w:pPr>
        <w:pStyle w:val="Para 04"/>
      </w:pPr>
      <w:r>
        <w:t xml:space="preserve">• The guide is also available </w:t>
      </w:r>
      <w:hyperlink w:anchor="page_308">
        <w:r>
          <w:rPr>
            <w:rStyle w:val="Text9"/>
          </w:rPr>
          <w:t>248</w:t>
        </w:r>
      </w:hyperlink>
      <w:r>
        <w:t xml:space="preserve"> </w:t>
      </w:r>
      <w:hyperlink r:id="rId1244">
        <w:r>
          <w:rPr>
            <w:rStyle w:val="Text1"/>
          </w:rPr>
          <w:t>in printed format</w:t>
        </w:r>
      </w:hyperlink>
      <w:r>
        <w:t>.</w:t>
      </w:r>
    </w:p>
    <w:p>
      <w:pPr>
        <w:pStyle w:val="Para 04"/>
      </w:pPr>
      <w:r>
        <w:t xml:space="preserve">• O’Reilly’s </w:t>
      </w:r>
      <w:hyperlink r:id="rId1245">
        <w:r>
          <w:rPr>
            <w:rStyle w:val="Text9"/>
          </w:rPr>
          <w:t>249</w:t>
        </w:r>
      </w:hyperlink>
      <w:hyperlink r:id="rId1245">
        <w:r>
          <w:rPr>
            <w:rStyle w:val="Text1"/>
          </w:rPr>
          <w:t xml:space="preserve"> Using Samba</w:t>
        </w:r>
      </w:hyperlink>
      <w:r>
        <w:t xml:space="preserve"> is another good reference.</w:t>
      </w:r>
    </w:p>
    <w:p>
      <w:pPr>
        <w:pStyle w:val="Para 13"/>
      </w:pPr>
      <w:r>
        <w:rPr>
          <w:rStyle w:val="Text7"/>
        </w:rPr>
        <w:t xml:space="preserve">• The </w:t>
      </w:r>
      <w:hyperlink w:anchor="page_308">
        <w:r>
          <w:rPr>
            <w:rStyle w:val="Text10"/>
          </w:rPr>
          <w:t>250</w:t>
        </w:r>
      </w:hyperlink>
      <w:r>
        <w:rPr>
          <w:rStyle w:val="Text7"/>
        </w:rPr>
        <w:t xml:space="preserve"> </w:t>
      </w:r>
      <w:hyperlink r:id="rId1246">
        <w:r>
          <w:t>Ubuntu Wiki Samba</w:t>
        </w:r>
      </w:hyperlink>
      <w:r>
        <w:rPr>
          <w:rStyle w:val="Text7"/>
        </w:rPr>
        <w:t xml:space="preserve"> page.</w:t>
      </w:r>
    </w:p>
    <w:p>
      <w:pPr>
        <w:pStyle w:val="Para 17"/>
      </w:pPr>
      <w:r>
        <w:t/>
      </w:r>
    </w:p>
    <w:p>
      <w:pPr>
        <w:pStyle w:val="Para 01"/>
      </w:pPr>
      <w:r>
        <w:t>Set up Samba as a print server</w:t>
      </w:r>
    </w:p>
    <w:p>
      <w:pPr>
        <w:pStyle w:val="Para 17"/>
      </w:pPr>
      <w:r>
        <w:t/>
      </w:r>
    </w:p>
    <w:p>
      <w:pPr>
        <w:pStyle w:val="Normal"/>
      </w:pPr>
      <w:r>
        <w:t xml:space="preserve">Another common way to network Ubuntu and Windows computers is to configure Samba as a </w:t>
      </w:r>
      <w:r>
        <w:rPr>
          <w:rStyle w:val="Text3"/>
        </w:rPr>
        <w:t>print server</w:t>
      </w:r>
      <w:r>
        <w:t>. This will allow it to share printers installed on an Ubuntu server, whether locally or over the network.</w:t>
      </w:r>
    </w:p>
    <w:p>
      <w:pPr>
        <w:pStyle w:val="Normal"/>
      </w:pPr>
      <w:r>
        <w:t xml:space="preserve">Just as we did in </w:t>
      </w:r>
      <w:hyperlink w:anchor="page_305">
        <w:r>
          <w:rPr>
            <w:rStyle w:val="Text2"/>
          </w:rPr>
          <w:t>using Samba as a file server</w:t>
        </w:r>
      </w:hyperlink>
      <w:r>
        <w:t xml:space="preserve"> (page 304), this section will configure Samba to allow any client on the local network to use the installed printers without prompting for a username and password.</w:t>
      </w:r>
    </w:p>
    <w:p>
      <w:pPr>
        <w:pStyle w:val="Normal"/>
      </w:pPr>
      <w:r>
        <w:t xml:space="preserve">If your environment requires stricter Access Controls see </w:t>
      </w:r>
      <w:hyperlink w:anchor="page_309">
        <w:r>
          <w:rPr>
            <w:rStyle w:val="Text2"/>
          </w:rPr>
          <w:t>Share access controls</w:t>
        </w:r>
      </w:hyperlink>
      <w:r>
        <w:t xml:space="preserve"> (page 308).</w:t>
      </w:r>
    </w:p>
    <w:p>
      <w:pPr>
        <w:pStyle w:val="Para 17"/>
      </w:pPr>
      <w:r>
        <w:t/>
      </w:r>
    </w:p>
    <w:p>
      <w:pPr>
        <w:pStyle w:val="Para 01"/>
      </w:pPr>
      <w:r>
        <w:t>Install and configure CUPS</w:t>
      </w:r>
    </w:p>
    <w:p>
      <w:pPr>
        <w:pStyle w:val="Para 17"/>
      </w:pPr>
      <w:r>
        <w:t/>
      </w:r>
    </w:p>
    <w:p>
      <w:pPr>
        <w:pStyle w:val="Normal"/>
      </w:pPr>
      <w:r>
        <w:t>Before installing and configuring Samba as a print server, it is best to already have a working</w:t>
      </w:r>
    </w:p>
    <w:p>
      <w:pPr>
        <w:pStyle w:val="Normal"/>
      </w:pPr>
      <w:r>
        <w:t xml:space="preserve">CUPS installation. See </w:t>
      </w:r>
      <w:hyperlink w:anchor="page_337">
        <w:r>
          <w:rPr>
            <w:rStyle w:val="Text2"/>
          </w:rPr>
          <w:t>our guide on CUPS</w:t>
        </w:r>
      </w:hyperlink>
      <w:r>
        <w:t xml:space="preserve"> (page 336) for details.</w:t>
      </w:r>
    </w:p>
    <w:p>
      <w:pPr>
        <w:pStyle w:val="Para 17"/>
      </w:pPr>
      <w:r>
        <w:t/>
      </w:r>
    </w:p>
    <w:p>
      <w:pPr>
        <w:pStyle w:val="Para 01"/>
      </w:pPr>
      <w:r>
        <w:t>Install Samba</w:t>
      </w:r>
    </w:p>
    <w:p>
      <w:pPr>
        <w:pStyle w:val="Para 17"/>
      </w:pPr>
      <w:r>
        <w:t/>
      </w:r>
    </w:p>
    <w:p>
      <w:pPr>
        <w:pStyle w:val="Normal"/>
      </w:pPr>
      <w:r>
        <w:t>To install the samba package, run the following command in your terminal:</w:t>
      </w:r>
    </w:p>
    <w:p>
      <w:pPr>
        <w:pStyle w:val="Normal"/>
      </w:pPr>
      <w:r>
        <w:t>sudo apt install samba</w:t>
      </w:r>
    </w:p>
    <w:p>
      <w:pPr>
        <w:pStyle w:val="Para 17"/>
      </w:pPr>
      <w:r>
        <w:t/>
      </w:r>
    </w:p>
    <w:p>
      <w:pPr>
        <w:pStyle w:val="Para 01"/>
      </w:pPr>
      <w:r>
        <w:t>Configure Samba</w:t>
      </w:r>
    </w:p>
    <w:p>
      <w:pPr>
        <w:pStyle w:val="Para 17"/>
      </w:pPr>
      <w:r>
        <w:t/>
      </w:r>
    </w:p>
    <w:p>
      <w:pPr>
        <w:pStyle w:val="Normal"/>
      </w:pPr>
      <w:r>
        <w:t xml:space="preserve">After installing samba, edit /etc/samba/smb.conf. Change the </w:t>
      </w:r>
      <w:r>
        <w:rPr>
          <w:rStyle w:val="Text3"/>
        </w:rPr>
        <w:t>workgroup</w:t>
      </w:r>
      <w:r>
        <w:t xml:space="preserve"> attribute to what is appropriate for your network:</w:t>
      </w:r>
    </w:p>
    <w:p>
      <w:pPr>
        <w:pStyle w:val="Normal"/>
      </w:pPr>
      <w:r>
        <w:t>workgroup = EXAMPLE</w:t>
      </w:r>
    </w:p>
    <w:p>
      <w:pPr>
        <w:pStyle w:val="Para 17"/>
      </w:pPr>
      <w:r>
        <w:t/>
      </w:r>
    </w:p>
    <w:p>
      <w:pPr>
        <w:pStyle w:val="Normal"/>
      </w:pPr>
      <w:r>
        <w:t xml:space="preserve">In the </w:t>
      </w:r>
      <w:r>
        <w:rPr>
          <w:rStyle w:val="Text3"/>
        </w:rPr>
        <w:t>[printers]</w:t>
      </w:r>
      <w:r>
        <w:t xml:space="preserve"> section, change the </w:t>
      </w:r>
      <w:r>
        <w:rPr>
          <w:rStyle w:val="Text3"/>
        </w:rPr>
        <w:t>guest ok</w:t>
      </w:r>
      <w:r>
        <w:t xml:space="preserve"> option to ‘yes’:</w:t>
      </w:r>
    </w:p>
    <w:p>
      <w:pPr>
        <w:pStyle w:val="Normal"/>
      </w:pPr>
      <w:r>
        <w:t>browsable = yes</w:t>
      </w:r>
    </w:p>
    <w:p>
      <w:pPr>
        <w:pStyle w:val="Normal"/>
      </w:pPr>
      <w:r>
        <w:t>guest ok = yes</w:t>
      </w:r>
    </w:p>
    <w:p>
      <w:pPr>
        <w:pStyle w:val="Para 17"/>
      </w:pPr>
      <w:r>
        <w:t/>
      </w:r>
    </w:p>
    <w:p>
      <w:pPr>
        <w:pStyle w:val="Normal"/>
      </w:pPr>
      <w:r>
        <w:t>After editing smb.conf, restart Samba:</w:t>
      </w:r>
    </w:p>
    <w:p>
      <w:pPr>
        <w:pStyle w:val="Para 05"/>
      </w:pPr>
      <w:r>
        <w:rPr>
          <w:rStyle w:val="Text5"/>
        </w:rPr>
        <w:t>247</w:t>
      </w:r>
      <w:r>
        <w:rPr>
          <w:rStyle w:val="Text8"/>
        </w:rPr>
        <w:t xml:space="preserve"> </w:t>
      </w:r>
      <w:r>
        <w:t>https://www.samba.org/samba/docs/old/Samba3-HOWTO/</w:t>
      </w:r>
    </w:p>
    <w:p>
      <w:pPr>
        <w:pStyle w:val="Para 05"/>
      </w:pPr>
      <w:r>
        <w:rPr>
          <w:rStyle w:val="Text5"/>
        </w:rPr>
        <w:t>248</w:t>
      </w:r>
      <w:r>
        <w:rPr>
          <w:rStyle w:val="Text8"/>
        </w:rPr>
        <w:t xml:space="preserve"> </w:t>
      </w:r>
      <w:r>
        <w:t>https://www.amazon.com/exec/obidos/tg/detail/-/0131882228</w:t>
      </w:r>
    </w:p>
    <w:p>
      <w:pPr>
        <w:pStyle w:val="Para 05"/>
      </w:pPr>
      <w:r>
        <w:rPr>
          <w:rStyle w:val="Text5"/>
        </w:rPr>
        <w:t>249</w:t>
      </w:r>
      <w:r>
        <w:rPr>
          <w:rStyle w:val="Text8"/>
        </w:rPr>
        <w:t xml:space="preserve"> </w:t>
      </w:r>
      <w:r>
        <w:t>https://www.oreilly.com/library/view/using-samba-3rd/0596007698/</w:t>
      </w:r>
    </w:p>
    <w:p>
      <w:pPr>
        <w:pStyle w:val="Para 03"/>
      </w:pPr>
      <w:r>
        <w:rPr>
          <w:rStyle w:val="Text5"/>
        </w:rPr>
        <w:t>250</w:t>
      </w:r>
      <w:r>
        <w:t xml:space="preserve"> </w:t>
      </w:r>
      <w:r>
        <w:rPr>
          <w:rStyle w:val="Text6"/>
        </w:rPr>
        <w:t>https://help.ubuntu.com/community/Samba</w:t>
      </w:r>
      <w:r>
        <w:t xml:space="preserve"> </w:t>
        <w:t>sudo systemctl restart smbd.service nmbd.service</w:t>
      </w:r>
    </w:p>
    <w:p>
      <w:bookmarkStart w:id="439" w:name="page_3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4" name="index-309_1.png" descr="index-309_1.png"/>
            <wp:cNvGraphicFramePr>
              <a:graphicFrameLocks noChangeAspect="1"/>
            </wp:cNvGraphicFramePr>
            <a:graphic>
              <a:graphicData uri="http://schemas.openxmlformats.org/drawingml/2006/picture">
                <pic:pic>
                  <pic:nvPicPr>
                    <pic:cNvPr id="0" name="index-309_1.png" descr="index-309_1.png"/>
                    <pic:cNvPicPr/>
                  </pic:nvPicPr>
                  <pic:blipFill>
                    <a:blip r:embed="rId318"/>
                    <a:stretch>
                      <a:fillRect/>
                    </a:stretch>
                  </pic:blipFill>
                  <pic:spPr>
                    <a:xfrm>
                      <a:off x="0" y="0"/>
                      <a:ext cx="914400" cy="266700"/>
                    </a:xfrm>
                    <a:prstGeom prst="rect">
                      <a:avLst/>
                    </a:prstGeom>
                  </pic:spPr>
                </pic:pic>
              </a:graphicData>
            </a:graphic>
          </wp:anchor>
        </w:drawing>
      </w:r>
      <w:bookmarkEnd w:id="439"/>
    </w:p>
    <w:p>
      <w:pPr>
        <w:pStyle w:val="Para 17"/>
      </w:pPr>
      <w:r>
        <w:t/>
      </w:r>
    </w:p>
    <w:p>
      <w:pPr>
        <w:pStyle w:val="Normal"/>
      </w:pPr>
      <w:r>
        <w:t>The default Samba configuration will automatically share any printers installed. Now all you need to do is install the printer locally on your Windows clients.</w:t>
      </w:r>
    </w:p>
    <w:p>
      <w:pPr>
        <w:pStyle w:val="Para 17"/>
      </w:pPr>
      <w:r>
        <w:t/>
      </w:r>
    </w:p>
    <w:p>
      <w:pPr>
        <w:pStyle w:val="Para 01"/>
      </w:pPr>
      <w:r>
        <w:t>Further reading</w:t>
      </w:r>
    </w:p>
    <w:p>
      <w:pPr>
        <w:pStyle w:val="Para 17"/>
      </w:pPr>
      <w:r>
        <w:t/>
      </w:r>
    </w:p>
    <w:p>
      <w:pPr>
        <w:pStyle w:val="Para 04"/>
      </w:pPr>
      <w:r>
        <w:t xml:space="preserve">• For in-depth Samba configurations see the </w:t>
      </w:r>
      <w:hyperlink r:id="rId1242">
        <w:r>
          <w:rPr>
            <w:rStyle w:val="Text9"/>
          </w:rPr>
          <w:t>251</w:t>
        </w:r>
      </w:hyperlink>
      <w:hyperlink r:id="rId1242">
        <w:r>
          <w:rPr>
            <w:rStyle w:val="Text1"/>
          </w:rPr>
          <w:t xml:space="preserve"> Samba HOWTO Collection</w:t>
        </w:r>
      </w:hyperlink>
      <w:r>
        <w:t>.</w:t>
      </w:r>
    </w:p>
    <w:p>
      <w:pPr>
        <w:pStyle w:val="Para 04"/>
      </w:pPr>
      <w:r>
        <w:t xml:space="preserve">• The guide is also available in </w:t>
      </w:r>
      <w:hyperlink w:anchor="page_309">
        <w:r>
          <w:rPr>
            <w:rStyle w:val="Text9"/>
          </w:rPr>
          <w:t>252</w:t>
        </w:r>
      </w:hyperlink>
      <w:r>
        <w:t xml:space="preserve"> </w:t>
      </w:r>
      <w:hyperlink r:id="rId1247">
        <w:r>
          <w:rPr>
            <w:rStyle w:val="Text1"/>
          </w:rPr>
          <w:t>printed format</w:t>
        </w:r>
      </w:hyperlink>
      <w:r>
        <w:t>.</w:t>
      </w:r>
    </w:p>
    <w:p>
      <w:pPr>
        <w:pStyle w:val="Para 04"/>
      </w:pPr>
      <w:r>
        <w:t xml:space="preserve">• O’Reilly’s </w:t>
      </w:r>
      <w:hyperlink r:id="rId1248">
        <w:r>
          <w:rPr>
            <w:rStyle w:val="Text9"/>
          </w:rPr>
          <w:t>253</w:t>
        </w:r>
      </w:hyperlink>
      <w:hyperlink r:id="rId1248">
        <w:r>
          <w:rPr>
            <w:rStyle w:val="Text1"/>
          </w:rPr>
          <w:t xml:space="preserve"> Using Samba</w:t>
        </w:r>
      </w:hyperlink>
      <w:r>
        <w:t xml:space="preserve"> is another good reference.</w:t>
      </w:r>
    </w:p>
    <w:p>
      <w:pPr>
        <w:pStyle w:val="Para 04"/>
      </w:pPr>
      <w:r>
        <w:t xml:space="preserve">• Also, see the </w:t>
      </w:r>
      <w:hyperlink r:id="rId1249">
        <w:r>
          <w:rPr>
            <w:rStyle w:val="Text9"/>
          </w:rPr>
          <w:t>254</w:t>
        </w:r>
      </w:hyperlink>
      <w:hyperlink r:id="rId1249">
        <w:r>
          <w:rPr>
            <w:rStyle w:val="Text1"/>
          </w:rPr>
          <w:t xml:space="preserve"> CUPS Website</w:t>
        </w:r>
      </w:hyperlink>
      <w:r>
        <w:t xml:space="preserve"> for more information on configuring CUPS.</w:t>
      </w:r>
    </w:p>
    <w:p>
      <w:pPr>
        <w:pStyle w:val="Para 13"/>
      </w:pPr>
      <w:r>
        <w:rPr>
          <w:rStyle w:val="Text7"/>
        </w:rPr>
        <w:t xml:space="preserve">• The </w:t>
      </w:r>
      <w:hyperlink w:anchor="page_309">
        <w:r>
          <w:rPr>
            <w:rStyle w:val="Text10"/>
          </w:rPr>
          <w:t>255</w:t>
        </w:r>
      </w:hyperlink>
      <w:r>
        <w:rPr>
          <w:rStyle w:val="Text7"/>
        </w:rPr>
        <w:t xml:space="preserve"> </w:t>
      </w:r>
      <w:hyperlink r:id="rId1246">
        <w:r>
          <w:t>Ubuntu Wiki Samba</w:t>
        </w:r>
      </w:hyperlink>
      <w:r>
        <w:rPr>
          <w:rStyle w:val="Text7"/>
        </w:rPr>
        <w:t xml:space="preserve"> page.</w:t>
      </w:r>
    </w:p>
    <w:p>
      <w:pPr>
        <w:pStyle w:val="Para 17"/>
      </w:pPr>
      <w:r>
        <w:t/>
      </w:r>
    </w:p>
    <w:p>
      <w:pPr>
        <w:pStyle w:val="Para 01"/>
      </w:pPr>
      <w:r>
        <w:t>Access controls</w:t>
      </w:r>
    </w:p>
    <w:p>
      <w:pPr>
        <w:pStyle w:val="Para 17"/>
      </w:pPr>
      <w:r>
        <w:t/>
      </w:r>
    </w:p>
    <w:p>
      <w:pPr>
        <w:pStyle w:val="Para 01"/>
      </w:pPr>
      <w:r>
        <w:t>Share access controls</w:t>
      </w:r>
    </w:p>
    <w:p>
      <w:pPr>
        <w:pStyle w:val="Para 17"/>
      </w:pPr>
      <w:r>
        <w:t/>
      </w:r>
    </w:p>
    <w:p>
      <w:pPr>
        <w:pStyle w:val="Normal"/>
      </w:pPr>
      <w:r>
        <w:t xml:space="preserve">There are several options available to control access for each individual shared directory. Using the </w:t>
      </w:r>
      <w:r>
        <w:rPr>
          <w:rStyle w:val="Text3"/>
        </w:rPr>
        <w:t>[share]</w:t>
      </w:r>
      <w:r>
        <w:t xml:space="preserve"> example, this section will cover some common options.</w:t>
      </w:r>
    </w:p>
    <w:p>
      <w:pPr>
        <w:pStyle w:val="Normal"/>
      </w:pPr>
      <w:r>
        <w:t>Since most of these options will deal with user authentication, we first need to briefly address how that is done in Samba.</w:t>
      </w:r>
    </w:p>
    <w:p>
      <w:pPr>
        <w:pStyle w:val="Para 17"/>
      </w:pPr>
      <w:r>
        <w:t/>
      </w:r>
    </w:p>
    <w:p>
      <w:pPr>
        <w:pStyle w:val="Para 01"/>
      </w:pPr>
      <w:r>
        <w:t>Authenticating Samba users</w:t>
      </w:r>
    </w:p>
    <w:p>
      <w:pPr>
        <w:pStyle w:val="Para 17"/>
      </w:pPr>
      <w:r>
        <w:t/>
      </w:r>
    </w:p>
    <w:p>
      <w:pPr>
        <w:pStyle w:val="Normal"/>
      </w:pPr>
      <w:r>
        <w:t>Samba cannot authenticate existing Linux users using the its native protocols. This is just not compatible with the way Linux passwords are stored in the system (in /etc/shadow, for example). All local Linux users that the system may have are not automatically available as Samba users. To have a local Linux user available as a Samba user, they need to be created in the Samba credentials database. That means we will have two user databases: the Linux one, and the Samba one.</w:t>
      </w:r>
    </w:p>
    <w:p>
      <w:pPr>
        <w:pStyle w:val="Para 17"/>
      </w:pPr>
      <w:r>
        <w:t/>
      </w:r>
    </w:p>
    <w:p>
      <w:pPr>
        <w:pStyle w:val="Para 08"/>
      </w:pPr>
      <w:r>
        <w:rPr>
          <w:rStyle w:val="Text0"/>
        </w:rPr>
        <w:t xml:space="preserve">µ </w:t>
      </w:r>
      <w:r>
        <w:t>See also</w:t>
      </w:r>
    </w:p>
    <w:p>
      <w:pPr>
        <w:pStyle w:val="Para 03"/>
      </w:pPr>
      <w:r>
        <w:t xml:space="preserve">How to create and manage Linux users is covered in </w:t>
      </w:r>
      <w:hyperlink w:anchor="page_113">
        <w:r>
          <w:rPr>
            <w:rStyle w:val="Text2"/>
          </w:rPr>
          <w:t>Users and groups management</w:t>
        </w:r>
      </w:hyperlink>
    </w:p>
    <w:p>
      <w:pPr>
        <w:pStyle w:val="Para 03"/>
      </w:pPr>
      <w:r>
        <w:t>(page 112).</w:t>
      </w:r>
    </w:p>
    <w:p>
      <w:pPr>
        <w:pStyle w:val="Para 17"/>
      </w:pPr>
      <w:r>
        <w:t/>
      </w:r>
    </w:p>
    <w:p>
      <w:pPr>
        <w:pStyle w:val="Normal"/>
      </w:pPr>
      <w:r>
        <w:t>To add an existing Linux user to the Samba user database, the command smbpasswd is used. For example, here we are adding an existing Linux user called melissa to the Samba user database:</w:t>
      </w:r>
    </w:p>
    <w:p>
      <w:pPr>
        <w:pStyle w:val="Para 05"/>
      </w:pPr>
      <w:r>
        <w:rPr>
          <w:rStyle w:val="Text5"/>
        </w:rPr>
        <w:t>251</w:t>
      </w:r>
      <w:r>
        <w:rPr>
          <w:rStyle w:val="Text8"/>
        </w:rPr>
        <w:t xml:space="preserve"> </w:t>
      </w:r>
      <w:r>
        <w:t>https://www.samba.org/samba/docs/old/Samba3-HOWTO/</w:t>
      </w:r>
    </w:p>
    <w:p>
      <w:pPr>
        <w:pStyle w:val="Para 05"/>
      </w:pPr>
      <w:r>
        <w:rPr>
          <w:rStyle w:val="Text5"/>
        </w:rPr>
        <w:t>252</w:t>
      </w:r>
      <w:r>
        <w:rPr>
          <w:rStyle w:val="Text8"/>
        </w:rPr>
        <w:t xml:space="preserve"> </w:t>
      </w:r>
      <w:r>
        <w:t>http://www.amazon.com/exec/obidos/tg/detail/-/0131882228</w:t>
      </w:r>
    </w:p>
    <w:p>
      <w:pPr>
        <w:pStyle w:val="Para 05"/>
      </w:pPr>
      <w:r>
        <w:rPr>
          <w:rStyle w:val="Text5"/>
        </w:rPr>
        <w:t>253</w:t>
      </w:r>
      <w:r>
        <w:rPr>
          <w:rStyle w:val="Text8"/>
        </w:rPr>
        <w:t xml:space="preserve"> </w:t>
      </w:r>
      <w:r>
        <w:t>http://www.oreilly.com/catalog/9780596007690/</w:t>
      </w:r>
    </w:p>
    <w:p>
      <w:pPr>
        <w:pStyle w:val="Para 05"/>
      </w:pPr>
      <w:r>
        <w:rPr>
          <w:rStyle w:val="Text5"/>
        </w:rPr>
        <w:t>254</w:t>
      </w:r>
      <w:r>
        <w:rPr>
          <w:rStyle w:val="Text8"/>
        </w:rPr>
        <w:t xml:space="preserve"> </w:t>
      </w:r>
      <w:r>
        <w:t>http://www.cups.org/</w:t>
      </w:r>
    </w:p>
    <w:p>
      <w:pPr>
        <w:pStyle w:val="Para 05"/>
      </w:pPr>
      <w:r>
        <w:rPr>
          <w:rStyle w:val="Text5"/>
        </w:rPr>
        <w:t>255</w:t>
      </w:r>
      <w:r>
        <w:rPr>
          <w:rStyle w:val="Text8"/>
        </w:rPr>
        <w:t xml:space="preserve"> </w:t>
      </w:r>
      <w:r>
        <w:t>https://help.ubuntu.com/community/Samba</w:t>
      </w:r>
      <w:r>
        <w:rPr>
          <w:rStyle w:val="Text8"/>
        </w:rPr>
        <w:t xml:space="preserve"> </w:t>
        <w:t>sudo smbpasswd -a melissa</w:t>
      </w:r>
    </w:p>
    <w:p>
      <w:bookmarkStart w:id="440" w:name="page_3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5" name="index-310_1.png" descr="index-310_1.png"/>
            <wp:cNvGraphicFramePr>
              <a:graphicFrameLocks noChangeAspect="1"/>
            </wp:cNvGraphicFramePr>
            <a:graphic>
              <a:graphicData uri="http://schemas.openxmlformats.org/drawingml/2006/picture">
                <pic:pic>
                  <pic:nvPicPr>
                    <pic:cNvPr id="0" name="index-310_1.png" descr="index-310_1.png"/>
                    <pic:cNvPicPr/>
                  </pic:nvPicPr>
                  <pic:blipFill>
                    <a:blip r:embed="rId319"/>
                    <a:stretch>
                      <a:fillRect/>
                    </a:stretch>
                  </pic:blipFill>
                  <pic:spPr>
                    <a:xfrm>
                      <a:off x="0" y="0"/>
                      <a:ext cx="914400" cy="266700"/>
                    </a:xfrm>
                    <a:prstGeom prst="rect">
                      <a:avLst/>
                    </a:prstGeom>
                  </pic:spPr>
                </pic:pic>
              </a:graphicData>
            </a:graphic>
          </wp:anchor>
        </w:drawing>
      </w:r>
      <w:bookmarkEnd w:id="440"/>
    </w:p>
    <w:p>
      <w:pPr>
        <w:pStyle w:val="Para 17"/>
      </w:pPr>
      <w:r>
        <w:t/>
      </w:r>
    </w:p>
    <w:p>
      <w:pPr>
        <w:pStyle w:val="Normal"/>
      </w:pPr>
      <w:r>
        <w:t>The command will prompt for a password twice, for confirmation, and create the Samba user.</w:t>
      </w:r>
    </w:p>
    <w:p>
      <w:pPr>
        <w:pStyle w:val="Para 17"/>
      </w:pPr>
      <w:r>
        <w:t/>
      </w:r>
    </w:p>
    <w:p>
      <w:pPr>
        <w:pStyle w:val="Para 08"/>
      </w:pPr>
      <w:r>
        <w:t>Note:</w:t>
      </w:r>
    </w:p>
    <w:p>
      <w:pPr>
        <w:pStyle w:val="Para 03"/>
      </w:pPr>
      <w:r>
        <w:t>As this is a separate user database, the password selected for the Samba user does not</w:t>
      </w:r>
    </w:p>
    <w:p>
      <w:pPr>
        <w:pStyle w:val="Para 03"/>
      </w:pPr>
      <w:r>
        <w:t>need to be the same as the Linux password for that user. In fact, most Samba servers</w:t>
      </w:r>
    </w:p>
    <w:p>
      <w:pPr>
        <w:pStyle w:val="Para 03"/>
      </w:pPr>
      <w:r>
        <w:t>setup this way will have the Linux users setup without a valid password: these users only</w:t>
      </w:r>
    </w:p>
    <w:p>
      <w:pPr>
        <w:pStyle w:val="Para 03"/>
      </w:pPr>
      <w:r>
        <w:t>exist so that the corresponding Samba users can be created.</w:t>
      </w:r>
    </w:p>
    <w:p>
      <w:pPr>
        <w:pStyle w:val="Para 17"/>
      </w:pPr>
      <w:r>
        <w:t/>
      </w:r>
    </w:p>
    <w:p>
      <w:pPr>
        <w:pStyle w:val="Normal"/>
      </w:pPr>
      <w:r>
        <w:t>If this user does not exist in Linux, the smbpasswd command will fail. Samba users must first exist as Linux users.</w:t>
      </w:r>
    </w:p>
    <w:p>
      <w:pPr>
        <w:pStyle w:val="Normal"/>
      </w:pPr>
      <w:r>
        <w:t>To later change the password of an existing Samba user, the same command is used. For example:</w:t>
      </w:r>
    </w:p>
    <w:p>
      <w:pPr>
        <w:pStyle w:val="Normal"/>
      </w:pPr>
      <w:r>
        <w:t>sudo smbpasswd melissa</w:t>
      </w:r>
    </w:p>
    <w:p>
      <w:pPr>
        <w:pStyle w:val="Para 17"/>
      </w:pPr>
      <w:r>
        <w:t/>
      </w:r>
    </w:p>
    <w:p>
      <w:pPr>
        <w:pStyle w:val="Normal"/>
      </w:pPr>
      <w:r>
        <w:t>Samba also has the concept of Samba groups, but since there is no authentication going on, there is no need to create a separate group database just for Samba groups. We can use the normal Linux group, as long as the group members (the users) exist both in the Linux and Samba user database.</w:t>
      </w:r>
    </w:p>
    <w:p>
      <w:pPr>
        <w:pStyle w:val="Para 17"/>
      </w:pPr>
      <w:r>
        <w:t/>
      </w:r>
    </w:p>
    <w:p>
      <w:pPr>
        <w:pStyle w:val="Para 01"/>
      </w:pPr>
      <w:r>
        <w:t>Groups</w:t>
      </w:r>
    </w:p>
    <w:p>
      <w:pPr>
        <w:pStyle w:val="Para 17"/>
      </w:pPr>
      <w:r>
        <w:t/>
      </w:r>
    </w:p>
    <w:p>
      <w:pPr>
        <w:pStyle w:val="Normal"/>
      </w:pPr>
      <w:r>
        <w:rPr>
          <w:rStyle w:val="Text3"/>
        </w:rPr>
        <w:t>Groups</w:t>
      </w:r>
      <w:r>
        <w:t xml:space="preserve"> define a collection of users who have a common level of access to particular network resources. This provides granularity in controlling access to such resources. For example, let’s consider a group called “qa” is defined to contain the users </w:t>
      </w:r>
      <w:r>
        <w:rPr>
          <w:rStyle w:val="Text3"/>
        </w:rPr>
        <w:t>Freda</w:t>
      </w:r>
      <w:r>
        <w:t xml:space="preserve">, </w:t>
      </w:r>
      <w:r>
        <w:rPr>
          <w:rStyle w:val="Text3"/>
        </w:rPr>
        <w:t>Danika</w:t>
      </w:r>
      <w:r>
        <w:t xml:space="preserve">, and </w:t>
      </w:r>
      <w:r>
        <w:rPr>
          <w:rStyle w:val="Text3"/>
        </w:rPr>
        <w:t>Rob</w:t>
      </w:r>
      <w:r>
        <w:t xml:space="preserve">, and then a group called “support” is created containing the users </w:t>
      </w:r>
      <w:r>
        <w:rPr>
          <w:rStyle w:val="Text3"/>
        </w:rPr>
        <w:t>Danika</w:t>
      </w:r>
      <w:r>
        <w:t xml:space="preserve">, </w:t>
      </w:r>
      <w:r>
        <w:rPr>
          <w:rStyle w:val="Text3"/>
        </w:rPr>
        <w:t>Jeremy</w:t>
      </w:r>
      <w:r>
        <w:t xml:space="preserve">, and </w:t>
      </w:r>
      <w:r>
        <w:rPr>
          <w:rStyle w:val="Text3"/>
        </w:rPr>
        <w:t>Vincent</w:t>
      </w:r>
      <w:r>
        <w:t>. Any network resources configured to allow access by the “qa” group will be available to Freda, Danika, and Rob, but not Jeremy or Vincent. Danika can access resources available to both groups since she belongs to both the “qa” and “support” groups. All other users only have access to resources explicitly allowed to the group they are part of.</w:t>
      </w:r>
    </w:p>
    <w:p>
      <w:pPr>
        <w:pStyle w:val="Normal"/>
      </w:pPr>
      <w:r>
        <w:t xml:space="preserve">When mentioning groups in the Samba configuration file, /etc/samba/smb.conf, the recog-nized syntax is to preface the group name with an “@” symbol. For example, if you wished to use a group named </w:t>
      </w:r>
      <w:r>
        <w:rPr>
          <w:rStyle w:val="Text3"/>
        </w:rPr>
        <w:t>sysadmin</w:t>
      </w:r>
      <w:r>
        <w:t xml:space="preserve"> in a certain section of the /etc/samba/smb.conf, you would do so by entering the group name as @sysadmin. If a group name has a space in it, use double quotes, like "@LTS Releases".</w:t>
      </w:r>
    </w:p>
    <w:p>
      <w:pPr>
        <w:pStyle w:val="Para 17"/>
      </w:pPr>
      <w:r>
        <w:t/>
      </w:r>
    </w:p>
    <w:p>
      <w:pPr>
        <w:pStyle w:val="Para 01"/>
      </w:pPr>
      <w:r>
        <w:t>Read and write permissions</w:t>
      </w:r>
    </w:p>
    <w:p>
      <w:pPr>
        <w:pStyle w:val="Para 17"/>
      </w:pPr>
      <w:r>
        <w:t/>
      </w:r>
    </w:p>
    <w:p>
      <w:pPr>
        <w:pStyle w:val="Normal"/>
      </w:pPr>
      <w:r>
        <w:t>Read and write permissions define the explicit rights a computer or user has to a particular share. Such permissions may be defined by editing the /etc/samba/smb.conf file and specify-ing the explicit permissions inside a share.</w:t>
      </w:r>
    </w:p>
    <w:p>
      <w:pPr>
        <w:pStyle w:val="Normal"/>
      </w:pPr>
      <w:r>
        <w:t xml:space="preserve">For example, if you have defined a Samba share called </w:t>
      </w:r>
      <w:r>
        <w:rPr>
          <w:rStyle w:val="Text3"/>
        </w:rPr>
        <w:t>share</w:t>
      </w:r>
      <w:r>
        <w:t xml:space="preserve"> and wish to give read-only per-missions to the group of users known as “qa”, but wanted to allow writing to the share by the group called “sysadmin” </w:t>
      </w:r>
      <w:r>
        <w:rPr>
          <w:rStyle w:val="Text3"/>
        </w:rPr>
        <w:t>and</w:t>
      </w:r>
      <w:r>
        <w:t xml:space="preserve"> the user named “vincent”, then you could edit the /etc/samba/ smb.conf file and add the following entries under the </w:t>
      </w:r>
      <w:r>
        <w:rPr>
          <w:rStyle w:val="Text3"/>
        </w:rPr>
        <w:t>[share]</w:t>
      </w:r>
      <w:r>
        <w:t xml:space="preserve"> entry: </w:t>
        <w:t>read list = @qa</w:t>
      </w:r>
    </w:p>
    <w:p>
      <w:bookmarkStart w:id="441" w:name="page_3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6" name="index-311_1.png" descr="index-311_1.png"/>
            <wp:cNvGraphicFramePr>
              <a:graphicFrameLocks noChangeAspect="1"/>
            </wp:cNvGraphicFramePr>
            <a:graphic>
              <a:graphicData uri="http://schemas.openxmlformats.org/drawingml/2006/picture">
                <pic:pic>
                  <pic:nvPicPr>
                    <pic:cNvPr id="0" name="index-311_1.png" descr="index-311_1.png"/>
                    <pic:cNvPicPr/>
                  </pic:nvPicPr>
                  <pic:blipFill>
                    <a:blip r:embed="rId320"/>
                    <a:stretch>
                      <a:fillRect/>
                    </a:stretch>
                  </pic:blipFill>
                  <pic:spPr>
                    <a:xfrm>
                      <a:off x="0" y="0"/>
                      <a:ext cx="914400" cy="266700"/>
                    </a:xfrm>
                    <a:prstGeom prst="rect">
                      <a:avLst/>
                    </a:prstGeom>
                  </pic:spPr>
                </pic:pic>
              </a:graphicData>
            </a:graphic>
          </wp:anchor>
        </w:drawing>
      </w:r>
      <w:bookmarkEnd w:id="441"/>
    </w:p>
    <w:p>
      <w:pPr>
        <w:pStyle w:val="Normal"/>
      </w:pPr>
      <w:r>
        <w:t>write list = @sysadmin, vincent</w:t>
      </w:r>
    </w:p>
    <w:p>
      <w:pPr>
        <w:pStyle w:val="Para 17"/>
      </w:pPr>
      <w:r>
        <w:t/>
      </w:r>
    </w:p>
    <w:p>
      <w:pPr>
        <w:pStyle w:val="Normal"/>
      </w:pPr>
      <w:r>
        <w:t xml:space="preserve">Another possible Samba permission is to declare </w:t>
      </w:r>
      <w:r>
        <w:rPr>
          <w:rStyle w:val="Text3"/>
        </w:rPr>
        <w:t>administrative</w:t>
      </w:r>
      <w:r>
        <w:t xml:space="preserve"> permissions to a particular shared resource. Users having administrative permissions may read, write, or modify any information contained in the resource the user has been given explicit administrative per-missions to.</w:t>
      </w:r>
    </w:p>
    <w:p>
      <w:pPr>
        <w:pStyle w:val="Normal"/>
      </w:pPr>
      <w:r>
        <w:t xml:space="preserve">For example, if you wanted to give the user </w:t>
      </w:r>
      <w:r>
        <w:rPr>
          <w:rStyle w:val="Text3"/>
        </w:rPr>
        <w:t>Melissa</w:t>
      </w:r>
      <w:r>
        <w:t xml:space="preserve"> administrative permissions to the </w:t>
      </w:r>
      <w:r>
        <w:rPr>
          <w:rStyle w:val="Text3"/>
        </w:rPr>
        <w:t>share</w:t>
      </w:r>
      <w:r>
        <w:t xml:space="preserve"> example, you would edit the /etc/samba/smb.conf file, and add the following line under the </w:t>
      </w:r>
      <w:r>
        <w:rPr>
          <w:rStyle w:val="Text3"/>
        </w:rPr>
        <w:t>[share]</w:t>
      </w:r>
      <w:r>
        <w:t xml:space="preserve"> entry:</w:t>
      </w:r>
    </w:p>
    <w:p>
      <w:pPr>
        <w:pStyle w:val="Normal"/>
      </w:pPr>
      <w:r>
        <w:t>admin users = melissa</w:t>
      </w:r>
    </w:p>
    <w:p>
      <w:pPr>
        <w:pStyle w:val="Para 17"/>
      </w:pPr>
      <w:r>
        <w:t/>
      </w:r>
    </w:p>
    <w:p>
      <w:pPr>
        <w:pStyle w:val="Para 08"/>
      </w:pPr>
      <w:r>
        <w:t>Note:</w:t>
      </w:r>
    </w:p>
    <w:p>
      <w:pPr>
        <w:pStyle w:val="Para 03"/>
      </w:pPr>
      <w:r>
        <w:t>Remember that the users listed in smb.conf for these access controls need to exist both</w:t>
      </w:r>
    </w:p>
    <w:p>
      <w:pPr>
        <w:pStyle w:val="Para 03"/>
      </w:pPr>
      <w:r>
        <w:t>as Linux users, and Samba users.</w:t>
      </w:r>
    </w:p>
    <w:p>
      <w:pPr>
        <w:pStyle w:val="Para 17"/>
      </w:pPr>
      <w:r>
        <w:t/>
      </w:r>
    </w:p>
    <w:p>
      <w:pPr>
        <w:pStyle w:val="Normal"/>
      </w:pPr>
      <w:r>
        <w:t>After editing /etc/samba/smb.conf, reload Samba for the changes to take effect by running the following command:</w:t>
      </w:r>
    </w:p>
    <w:p>
      <w:pPr>
        <w:pStyle w:val="Normal"/>
      </w:pPr>
      <w:r>
        <w:t>sudo smbcontrol smbd reload-config</w:t>
      </w:r>
    </w:p>
    <w:p>
      <w:pPr>
        <w:pStyle w:val="Para 17"/>
      </w:pPr>
      <w:r>
        <w:t/>
      </w:r>
    </w:p>
    <w:p>
      <w:pPr>
        <w:pStyle w:val="Para 01"/>
      </w:pPr>
      <w:r>
        <w:t>Filesystem permissions</w:t>
      </w:r>
    </w:p>
    <w:p>
      <w:pPr>
        <w:pStyle w:val="Para 17"/>
      </w:pPr>
      <w:r>
        <w:t/>
      </w:r>
    </w:p>
    <w:p>
      <w:pPr>
        <w:pStyle w:val="Normal"/>
      </w:pPr>
      <w:r>
        <w:t>Now that Samba has been configured to limit which groups have access to the shared direc-</w:t>
      </w:r>
    </w:p>
    <w:p>
      <w:pPr>
        <w:pStyle w:val="Normal"/>
      </w:pPr>
      <w:r>
        <w:t xml:space="preserve">tory, the </w:t>
      </w:r>
      <w:hyperlink w:anchor="page_682">
        <w:r>
          <w:rPr>
            <w:rStyle w:val="Text2"/>
          </w:rPr>
          <w:t>filesystem</w:t>
        </w:r>
      </w:hyperlink>
      <w:r>
        <w:t xml:space="preserve"> permissions need to be checked.</w:t>
      </w:r>
    </w:p>
    <w:p>
      <w:pPr>
        <w:pStyle w:val="Normal"/>
      </w:pPr>
      <w:r>
        <w:t xml:space="preserve">Traditional Linux file permissions do not map well to Windows NT Access Control Lists </w:t>
      </w:r>
      <w:hyperlink w:anchor="page_668">
        <w:r>
          <w:rPr>
            <w:rStyle w:val="Text1"/>
          </w:rPr>
          <w:t>(</w:t>
        </w:r>
      </w:hyperlink>
      <w:hyperlink w:anchor="page_668">
        <w:r>
          <w:rPr>
            <w:rStyle w:val="Text2"/>
          </w:rPr>
          <w:t>ACL</w:t>
        </w:r>
      </w:hyperlink>
      <w:r>
        <w:t xml:space="preserve">s). Fortunately POSIX ACLs are available on Ubuntu servers, which provides more fine-grained control. For example, to enable ACLs on /srv in an EXT3 filesystem, edit /etc/fstab and add the </w:t>
      </w:r>
      <w:r>
        <w:rPr>
          <w:rStyle w:val="Text3"/>
        </w:rPr>
        <w:t>acl</w:t>
      </w:r>
      <w:r>
        <w:t xml:space="preserve"> option:</w:t>
      </w:r>
    </w:p>
    <w:p>
      <w:pPr>
        <w:pStyle w:val="Normal"/>
      </w:pPr>
      <w:r>
        <w:t>UUID=66bcdd2e-8861-4fb0-b7e4-e61c569fe17d /srv</w:t>
        <w:t xml:space="preserve"> </w:t>
        <w:t>ext3</w:t>
        <w:t xml:space="preserve"> </w:t>
        <w:t>noatime,relatime,acl 0</w:t>
        <w:t xml:space="preserve"> </w:t>
        <w:t>1</w:t>
      </w:r>
    </w:p>
    <w:p>
      <w:pPr>
        <w:pStyle w:val="Para 17"/>
      </w:pPr>
      <w:r>
        <w:t/>
      </w:r>
    </w:p>
    <w:p>
      <w:pPr>
        <w:pStyle w:val="Normal"/>
      </w:pPr>
      <w:r>
        <w:t>Then remount the partition:</w:t>
      </w:r>
    </w:p>
    <w:p>
      <w:pPr>
        <w:pStyle w:val="Normal"/>
      </w:pPr>
      <w:r>
        <w:t>sudo mount -v -o remount /srv</w:t>
      </w:r>
    </w:p>
    <w:p>
      <w:pPr>
        <w:pStyle w:val="Para 17"/>
      </w:pPr>
      <w:r>
        <w:t/>
      </w:r>
    </w:p>
    <w:p>
      <w:pPr>
        <w:pStyle w:val="Para 08"/>
      </w:pPr>
      <w:r>
        <w:t>Note:</w:t>
      </w:r>
    </w:p>
    <w:p>
      <w:pPr>
        <w:pStyle w:val="Para 03"/>
      </w:pPr>
      <w:r>
        <w:t>This example assumes /srv is on a separate partition. If /srv, or wherever you have con-</w:t>
      </w:r>
    </w:p>
    <w:p>
      <w:pPr>
        <w:pStyle w:val="Para 03"/>
      </w:pPr>
      <w:r>
        <w:t>figured your share path, is part of the / partition then a reboot may be required.</w:t>
      </w:r>
    </w:p>
    <w:p>
      <w:pPr>
        <w:pStyle w:val="Para 17"/>
      </w:pPr>
      <w:r>
        <w:t/>
      </w:r>
    </w:p>
    <w:p>
      <w:pPr>
        <w:pStyle w:val="Normal"/>
      </w:pPr>
      <w:r>
        <w:t>To match the Samba configuration above, the “sysadmin” group will be given read, write, and execute permissions to /srv/samba/share, the “qa” group will be given read and execute per-missions, and the files will be owned by the username “melissa”. Enter the following in a terminal:</w:t>
      </w:r>
    </w:p>
    <w:p>
      <w:bookmarkStart w:id="442" w:name="page_3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7" name="index-312_1.png" descr="index-312_1.png"/>
            <wp:cNvGraphicFramePr>
              <a:graphicFrameLocks noChangeAspect="1"/>
            </wp:cNvGraphicFramePr>
            <a:graphic>
              <a:graphicData uri="http://schemas.openxmlformats.org/drawingml/2006/picture">
                <pic:pic>
                  <pic:nvPicPr>
                    <pic:cNvPr id="0" name="index-312_1.png" descr="index-312_1.png"/>
                    <pic:cNvPicPr/>
                  </pic:nvPicPr>
                  <pic:blipFill>
                    <a:blip r:embed="rId321"/>
                    <a:stretch>
                      <a:fillRect/>
                    </a:stretch>
                  </pic:blipFill>
                  <pic:spPr>
                    <a:xfrm>
                      <a:off x="0" y="0"/>
                      <a:ext cx="914400" cy="266700"/>
                    </a:xfrm>
                    <a:prstGeom prst="rect">
                      <a:avLst/>
                    </a:prstGeom>
                  </pic:spPr>
                </pic:pic>
              </a:graphicData>
            </a:graphic>
          </wp:anchor>
        </w:drawing>
      </w:r>
      <w:bookmarkEnd w:id="442"/>
    </w:p>
    <w:p>
      <w:pPr>
        <w:pStyle w:val="Normal"/>
      </w:pPr>
      <w:r>
        <w:t>sudo chown -R melissa /srv/samba/share/</w:t>
      </w:r>
    </w:p>
    <w:p>
      <w:pPr>
        <w:pStyle w:val="Normal"/>
      </w:pPr>
      <w:r>
        <w:t>sudo chgrp -R sysadmin /srv/samba/share/</w:t>
      </w:r>
    </w:p>
    <w:p>
      <w:pPr>
        <w:pStyle w:val="Normal"/>
      </w:pPr>
      <w:r>
        <w:t>sudo setfacl -R -m g:qa:rx /srv/samba/share/</w:t>
      </w:r>
    </w:p>
    <w:p>
      <w:pPr>
        <w:pStyle w:val="Para 17"/>
      </w:pPr>
      <w:r>
        <w:t/>
      </w:r>
    </w:p>
    <w:p>
      <w:pPr>
        <w:pStyle w:val="Para 08"/>
      </w:pPr>
      <w:r>
        <w:t>Note:</w:t>
      </w:r>
    </w:p>
    <w:p>
      <w:pPr>
        <w:pStyle w:val="Para 03"/>
      </w:pPr>
      <w:r>
        <w:t xml:space="preserve">The setfacl command above gives </w:t>
      </w:r>
      <w:r>
        <w:rPr>
          <w:rStyle w:val="Text3"/>
        </w:rPr>
        <w:t>execute</w:t>
      </w:r>
      <w:r>
        <w:t xml:space="preserve"> permissions to all files in the /srv/samba/share</w:t>
      </w:r>
    </w:p>
    <w:p>
      <w:pPr>
        <w:pStyle w:val="Para 03"/>
      </w:pPr>
      <w:r>
        <w:t>directory, which you may or may not want.</w:t>
      </w:r>
    </w:p>
    <w:p>
      <w:pPr>
        <w:pStyle w:val="Para 17"/>
      </w:pPr>
      <w:r>
        <w:t/>
      </w:r>
    </w:p>
    <w:p>
      <w:pPr>
        <w:pStyle w:val="Normal"/>
      </w:pPr>
      <w:r>
        <w:t>Now from a Windows client you should notice the new file permissions are implemented. See</w:t>
      </w:r>
    </w:p>
    <w:p>
      <w:pPr>
        <w:pStyle w:val="Normal"/>
      </w:pPr>
      <w:r>
        <w:t xml:space="preserve">the </w:t>
      </w:r>
      <w:hyperlink r:id="rId1250">
        <w:r>
          <w:rPr>
            <w:rStyle w:val="Text9"/>
          </w:rPr>
          <w:t>256</w:t>
        </w:r>
      </w:hyperlink>
      <w:r>
        <w:t xml:space="preserve"> </w:t>
      </w:r>
      <w:hyperlink r:id="rId1251">
        <w:r>
          <w:rPr>
            <w:rStyle w:val="Text9"/>
          </w:rPr>
          <w:t>257</w:t>
        </w:r>
      </w:hyperlink>
      <w:hyperlink r:id="rId1251">
        <w:r>
          <w:rPr>
            <w:rStyle w:val="Text1"/>
          </w:rPr>
          <w:t xml:space="preserve"> </w:t>
        </w:r>
      </w:hyperlink>
      <w:hyperlink r:id="rId1251">
        <w:r>
          <w:rPr>
            <w:rStyle w:val="Text2"/>
          </w:rPr>
          <w:t>acl(5)</w:t>
        </w:r>
      </w:hyperlink>
      <w:r>
        <w:t xml:space="preserve"> and </w:t>
      </w:r>
      <w:hyperlink r:id="rId1251">
        <w:r>
          <w:rPr>
            <w:rStyle w:val="Text2"/>
          </w:rPr>
          <w:t>setfacl(1)</w:t>
        </w:r>
      </w:hyperlink>
      <w:r>
        <w:t xml:space="preserve"> manual pages for more information on POSIX ACLs.</w:t>
      </w:r>
    </w:p>
    <w:p>
      <w:pPr>
        <w:pStyle w:val="Para 17"/>
      </w:pPr>
      <w:r>
        <w:t/>
      </w:r>
    </w:p>
    <w:p>
      <w:pPr>
        <w:pStyle w:val="Para 01"/>
      </w:pPr>
      <w:r>
        <w:t>Further reading</w:t>
      </w:r>
    </w:p>
    <w:p>
      <w:pPr>
        <w:pStyle w:val="Para 17"/>
      </w:pPr>
      <w:r>
        <w:t/>
      </w:r>
    </w:p>
    <w:p>
      <w:pPr>
        <w:pStyle w:val="Para 04"/>
      </w:pPr>
      <w:r>
        <w:t xml:space="preserve">• For in-depth Samba configurations see the </w:t>
      </w:r>
      <w:hyperlink r:id="rId1242">
        <w:r>
          <w:rPr>
            <w:rStyle w:val="Text9"/>
          </w:rPr>
          <w:t>258</w:t>
        </w:r>
      </w:hyperlink>
      <w:hyperlink r:id="rId1242">
        <w:r>
          <w:rPr>
            <w:rStyle w:val="Text1"/>
          </w:rPr>
          <w:t xml:space="preserve"> Samba HOWTO Collection</w:t>
        </w:r>
      </w:hyperlink>
      <w:r>
        <w:t>.</w:t>
      </w:r>
    </w:p>
    <w:p>
      <w:pPr>
        <w:pStyle w:val="Para 04"/>
      </w:pPr>
      <w:r>
        <w:t xml:space="preserve">• The guide is also available in </w:t>
      </w:r>
      <w:hyperlink w:anchor="page_312">
        <w:r>
          <w:rPr>
            <w:rStyle w:val="Text9"/>
          </w:rPr>
          <w:t>259</w:t>
        </w:r>
      </w:hyperlink>
      <w:r>
        <w:t xml:space="preserve"> </w:t>
      </w:r>
      <w:hyperlink r:id="rId1247">
        <w:r>
          <w:rPr>
            <w:rStyle w:val="Text1"/>
          </w:rPr>
          <w:t>printed format</w:t>
        </w:r>
      </w:hyperlink>
      <w:r>
        <w:t>.</w:t>
      </w:r>
    </w:p>
    <w:p>
      <w:pPr>
        <w:pStyle w:val="Para 04"/>
      </w:pPr>
      <w:r>
        <w:t xml:space="preserve">• O’Reilly’s </w:t>
      </w:r>
      <w:hyperlink r:id="rId1248">
        <w:r>
          <w:rPr>
            <w:rStyle w:val="Text9"/>
          </w:rPr>
          <w:t>260</w:t>
        </w:r>
      </w:hyperlink>
      <w:hyperlink r:id="rId1248">
        <w:r>
          <w:rPr>
            <w:rStyle w:val="Text1"/>
          </w:rPr>
          <w:t xml:space="preserve"> Using Samba</w:t>
        </w:r>
      </w:hyperlink>
      <w:r>
        <w:t xml:space="preserve"> is also a good reference.</w:t>
      </w:r>
    </w:p>
    <w:p>
      <w:pPr>
        <w:pStyle w:val="Para 04"/>
      </w:pPr>
      <w:r>
        <w:t xml:space="preserve">• </w:t>
      </w:r>
      <w:hyperlink r:id="rId1252">
        <w:r>
          <w:rPr>
            <w:rStyle w:val="Text9"/>
          </w:rPr>
          <w:t>261</w:t>
        </w:r>
      </w:hyperlink>
      <w:hyperlink r:id="rId1252">
        <w:r>
          <w:rPr>
            <w:rStyle w:val="Text1"/>
          </w:rPr>
          <w:t xml:space="preserve"> Chapter 18</w:t>
        </w:r>
      </w:hyperlink>
      <w:r>
        <w:t xml:space="preserve"> of the Samba HOWTO Collection is devoted to security.</w:t>
      </w:r>
    </w:p>
    <w:p>
      <w:pPr>
        <w:pStyle w:val="Para 04"/>
      </w:pPr>
      <w:r>
        <w:t xml:space="preserve">• For more information on Samba and ACLs see the </w:t>
      </w:r>
      <w:hyperlink w:anchor="page_312">
        <w:r>
          <w:rPr>
            <w:rStyle w:val="Text9"/>
          </w:rPr>
          <w:t>262</w:t>
        </w:r>
      </w:hyperlink>
      <w:r>
        <w:t xml:space="preserve"> </w:t>
      </w:r>
      <w:hyperlink r:id="rId1253">
        <w:r>
          <w:rPr>
            <w:rStyle w:val="Text1"/>
          </w:rPr>
          <w:t>Samba ACLs page</w:t>
        </w:r>
      </w:hyperlink>
      <w:r>
        <w:t>.</w:t>
      </w:r>
    </w:p>
    <w:p>
      <w:pPr>
        <w:pStyle w:val="Para 13"/>
      </w:pPr>
      <w:r>
        <w:rPr>
          <w:rStyle w:val="Text7"/>
        </w:rPr>
        <w:t xml:space="preserve">• The </w:t>
      </w:r>
      <w:hyperlink w:anchor="page_312">
        <w:r>
          <w:rPr>
            <w:rStyle w:val="Text10"/>
          </w:rPr>
          <w:t>263</w:t>
        </w:r>
      </w:hyperlink>
      <w:r>
        <w:rPr>
          <w:rStyle w:val="Text7"/>
        </w:rPr>
        <w:t xml:space="preserve"> </w:t>
      </w:r>
      <w:hyperlink r:id="rId1246">
        <w:r>
          <w:t>Ubuntu Wiki Samba</w:t>
        </w:r>
      </w:hyperlink>
      <w:r>
        <w:rPr>
          <w:rStyle w:val="Text7"/>
        </w:rPr>
        <w:t xml:space="preserve"> page.</w:t>
      </w:r>
    </w:p>
    <w:p>
      <w:pPr>
        <w:pStyle w:val="Para 17"/>
      </w:pPr>
      <w:r>
        <w:t/>
      </w:r>
    </w:p>
    <w:p>
      <w:pPr>
        <w:pStyle w:val="Para 01"/>
      </w:pPr>
      <w:r>
        <w:t>Create a Samba AppArmor profile</w:t>
      </w:r>
    </w:p>
    <w:p>
      <w:pPr>
        <w:pStyle w:val="Para 17"/>
      </w:pPr>
      <w:r>
        <w:t/>
      </w:r>
    </w:p>
    <w:p>
      <w:pPr>
        <w:pStyle w:val="Normal"/>
      </w:pPr>
      <w:r>
        <w:t>Ubuntu comes with the AppArmor security module, which provides mandatory access con-trols. The default AppArmor profile for Samba may need to be adapted to your configuration.</w:t>
      </w:r>
    </w:p>
    <w:p>
      <w:pPr>
        <w:pStyle w:val="Normal"/>
      </w:pPr>
      <w:r>
        <w:t xml:space="preserve">More details on using AppArmor can be found </w:t>
      </w:r>
      <w:hyperlink w:anchor="page_312">
        <w:r>
          <w:rPr>
            <w:rStyle w:val="Text9"/>
          </w:rPr>
          <w:t>264</w:t>
        </w:r>
      </w:hyperlink>
      <w:r>
        <w:t xml:space="preserve"> </w:t>
      </w:r>
      <w:hyperlink r:id="rId1254">
        <w:r>
          <w:rPr>
            <w:rStyle w:val="Text1"/>
          </w:rPr>
          <w:t>in this guide</w:t>
        </w:r>
      </w:hyperlink>
      <w:r>
        <w:t>.</w:t>
      </w:r>
    </w:p>
    <w:p>
      <w:pPr>
        <w:pStyle w:val="Normal"/>
      </w:pPr>
      <w:r>
        <w:t>There are default AppArmor profiles for /usr/sbin/smbd and /usr/sbin/nmbd, the Samba dae-mon binaries, as part of the apparmor-profiles package.</w:t>
      </w:r>
    </w:p>
    <w:p>
      <w:pPr>
        <w:pStyle w:val="Para 05"/>
      </w:pPr>
      <w:r>
        <w:rPr>
          <w:rStyle w:val="Text5"/>
        </w:rPr>
        <w:t>256</w:t>
      </w:r>
      <w:r>
        <w:rPr>
          <w:rStyle w:val="Text8"/>
        </w:rPr>
        <w:t xml:space="preserve"> </w:t>
      </w:r>
      <w:r>
        <w:t>https://manpages.ubuntu.com/manpages/resolute/man5/acl.5.html</w:t>
      </w:r>
    </w:p>
    <w:p>
      <w:pPr>
        <w:pStyle w:val="Para 05"/>
      </w:pPr>
      <w:r>
        <w:rPr>
          <w:rStyle w:val="Text5"/>
        </w:rPr>
        <w:t>257</w:t>
      </w:r>
      <w:r>
        <w:rPr>
          <w:rStyle w:val="Text8"/>
        </w:rPr>
        <w:t xml:space="preserve"> </w:t>
      </w:r>
      <w:r>
        <w:t>https://manpages.ubuntu.com/manpages/resolute/man1/setfacl.1.html</w:t>
      </w:r>
    </w:p>
    <w:p>
      <w:pPr>
        <w:pStyle w:val="Para 05"/>
      </w:pPr>
      <w:r>
        <w:rPr>
          <w:rStyle w:val="Text5"/>
        </w:rPr>
        <w:t>258</w:t>
      </w:r>
      <w:r>
        <w:rPr>
          <w:rStyle w:val="Text8"/>
        </w:rPr>
        <w:t xml:space="preserve"> </w:t>
      </w:r>
      <w:r>
        <w:t>https://www.samba.org/samba/docs/old/Samba3-HOWTO/</w:t>
      </w:r>
    </w:p>
    <w:p>
      <w:pPr>
        <w:pStyle w:val="Para 05"/>
      </w:pPr>
      <w:r>
        <w:rPr>
          <w:rStyle w:val="Text5"/>
        </w:rPr>
        <w:t>259</w:t>
      </w:r>
      <w:r>
        <w:rPr>
          <w:rStyle w:val="Text8"/>
        </w:rPr>
        <w:t xml:space="preserve"> </w:t>
      </w:r>
      <w:r>
        <w:t>http://www.amazon.com/exec/obidos/tg/detail/-/0131882228</w:t>
      </w:r>
    </w:p>
    <w:p>
      <w:pPr>
        <w:pStyle w:val="Para 05"/>
      </w:pPr>
      <w:r>
        <w:rPr>
          <w:rStyle w:val="Text5"/>
        </w:rPr>
        <w:t>260</w:t>
      </w:r>
      <w:r>
        <w:rPr>
          <w:rStyle w:val="Text8"/>
        </w:rPr>
        <w:t xml:space="preserve"> </w:t>
      </w:r>
      <w:r>
        <w:t>http://www.oreilly.com/catalog/9780596007690/</w:t>
      </w:r>
    </w:p>
    <w:p>
      <w:pPr>
        <w:pStyle w:val="Para 05"/>
      </w:pPr>
      <w:r>
        <w:rPr>
          <w:rStyle w:val="Text5"/>
        </w:rPr>
        <w:t>261</w:t>
      </w:r>
      <w:r>
        <w:rPr>
          <w:rStyle w:val="Text8"/>
        </w:rPr>
        <w:t xml:space="preserve"> </w:t>
      </w:r>
      <w:r>
        <w:t>https://www.samba.org/samba/docs/old/Samba3-HOWTO/securing-samba.html</w:t>
      </w:r>
    </w:p>
    <w:p>
      <w:pPr>
        <w:pStyle w:val="Para 05"/>
      </w:pPr>
      <w:r>
        <w:rPr>
          <w:rStyle w:val="Text5"/>
        </w:rPr>
        <w:t>262</w:t>
      </w:r>
      <w:r>
        <w:rPr>
          <w:rStyle w:val="Text8"/>
        </w:rPr>
        <w:t xml:space="preserve"> </w:t>
      </w:r>
      <w:r>
        <w:t>https://www.samba.org/samba/docs/old/Samba3-HOWTO/AccessControls.html</w:t>
      </w:r>
    </w:p>
    <w:p>
      <w:pPr>
        <w:pStyle w:val="Para 05"/>
      </w:pPr>
      <w:r>
        <w:rPr>
          <w:rStyle w:val="Text5"/>
        </w:rPr>
        <w:t>263</w:t>
      </w:r>
      <w:r>
        <w:rPr>
          <w:rStyle w:val="Text8"/>
        </w:rPr>
        <w:t xml:space="preserve"> </w:t>
      </w:r>
      <w:r>
        <w:t>https://help.ubuntu.com/community/Samba</w:t>
      </w:r>
    </w:p>
    <w:p>
      <w:pPr>
        <w:pStyle w:val="Para 05"/>
      </w:pPr>
      <w:r>
        <w:rPr>
          <w:rStyle w:val="Text5"/>
        </w:rPr>
        <w:t>264</w:t>
      </w:r>
      <w:r>
        <w:rPr>
          <w:rStyle w:val="Text8"/>
        </w:rPr>
        <w:t xml:space="preserve"> </w:t>
      </w:r>
      <w:r>
        <w:t>https://ubuntu.com/server/docs/security-apparmor</w:t>
      </w:r>
    </w:p>
    <w:p>
      <w:bookmarkStart w:id="443" w:name="calibre_pb_65"/>
      <w:pPr>
        <w:pStyle w:val="0 Block"/>
      </w:pPr>
      <w:bookmarkEnd w:id="443"/>
    </w:p>
    <w:p>
      <w:bookmarkStart w:id="444" w:name="page_313"/>
      <w:bookmarkStart w:id="445" w:name="Top_of_index_split_06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8" name="index-313_1.png" descr="index-313_1.png"/>
            <wp:cNvGraphicFramePr>
              <a:graphicFrameLocks noChangeAspect="1"/>
            </wp:cNvGraphicFramePr>
            <a:graphic>
              <a:graphicData uri="http://schemas.openxmlformats.org/drawingml/2006/picture">
                <pic:pic>
                  <pic:nvPicPr>
                    <pic:cNvPr id="0" name="index-313_1.png" descr="index-313_1.png"/>
                    <pic:cNvPicPr/>
                  </pic:nvPicPr>
                  <pic:blipFill>
                    <a:blip r:embed="rId322"/>
                    <a:stretch>
                      <a:fillRect/>
                    </a:stretch>
                  </pic:blipFill>
                  <pic:spPr>
                    <a:xfrm>
                      <a:off x="0" y="0"/>
                      <a:ext cx="914400" cy="266700"/>
                    </a:xfrm>
                    <a:prstGeom prst="rect">
                      <a:avLst/>
                    </a:prstGeom>
                  </pic:spPr>
                </pic:pic>
              </a:graphicData>
            </a:graphic>
          </wp:anchor>
        </w:drawing>
      </w:r>
      <w:bookmarkEnd w:id="444"/>
      <w:bookmarkEnd w:id="445"/>
    </w:p>
    <w:p>
      <w:pPr>
        <w:pStyle w:val="Para 01"/>
      </w:pPr>
      <w:r>
        <w:t>Install apparmor-profiles</w:t>
      </w:r>
    </w:p>
    <w:p>
      <w:pPr>
        <w:pStyle w:val="Para 17"/>
      </w:pPr>
      <w:r>
        <w:t/>
      </w:r>
    </w:p>
    <w:p>
      <w:pPr>
        <w:pStyle w:val="Normal"/>
      </w:pPr>
      <w:r>
        <w:t>To install the package, enter the following command from a terminal prompt:</w:t>
      </w:r>
    </w:p>
    <w:p>
      <w:pPr>
        <w:pStyle w:val="Normal"/>
      </w:pPr>
      <w:r>
        <w:t>sudo apt install apparmor-profiles apparmor-utils</w:t>
      </w:r>
    </w:p>
    <w:p>
      <w:pPr>
        <w:pStyle w:val="Para 17"/>
      </w:pPr>
      <w:r>
        <w:t/>
      </w:r>
    </w:p>
    <w:p>
      <w:pPr>
        <w:pStyle w:val="Para 08"/>
      </w:pPr>
      <w:r>
        <w:t>Note:</w:t>
      </w:r>
    </w:p>
    <w:p>
      <w:pPr>
        <w:pStyle w:val="Para 03"/>
      </w:pPr>
      <w:r>
        <w:t>This package contains profiles for several other binaries.</w:t>
      </w:r>
    </w:p>
    <w:p>
      <w:pPr>
        <w:pStyle w:val="Para 17"/>
      </w:pPr>
      <w:r>
        <w:t/>
      </w:r>
    </w:p>
    <w:p>
      <w:pPr>
        <w:pStyle w:val="Para 01"/>
      </w:pPr>
      <w:r>
        <w:t>AppArmor profile modes</w:t>
      </w:r>
    </w:p>
    <w:p>
      <w:pPr>
        <w:pStyle w:val="Para 17"/>
      </w:pPr>
      <w:r>
        <w:t/>
      </w:r>
    </w:p>
    <w:p>
      <w:pPr>
        <w:pStyle w:val="Normal"/>
      </w:pPr>
      <w:r>
        <w:t>By default, the profiles for smbd and nmbd are set to ‘complain’ mode. In this mode, Samba can work without modifying the profile, and only logs errors or violations. There is no need to add exceptions for the shares, as the smbd service unit takes care of doing that automatically via a helper script.</w:t>
      </w:r>
    </w:p>
    <w:p>
      <w:pPr>
        <w:pStyle w:val="Normal"/>
      </w:pPr>
      <w:r>
        <w:t>This is what an ALLOWED message looks like. It means that, were the profile not in complain mode, this action would have been denied instead (formatted into multiple lines here for better visibility):</w:t>
      </w:r>
    </w:p>
    <w:p>
      <w:pPr>
        <w:pStyle w:val="Normal"/>
      </w:pPr>
      <w:r>
        <w:t>Jun 30 14:41:09 ubuntu kernel: [</w:t>
        <w:t xml:space="preserve"> </w:t>
        <w:t>621.478989] audit:</w:t>
        <w:t xml:space="preserve"> </w:t>
        <w:t>type=1400 audit(1656600069.123:418):</w:t>
      </w:r>
    </w:p>
    <w:p>
      <w:pPr>
        <w:pStyle w:val="Normal"/>
      </w:pPr>
      <w:r>
        <w:t>apparmor="ALLOWED" operation="exec" profile="smbd"</w:t>
      </w:r>
    </w:p>
    <w:p>
      <w:pPr>
        <w:pStyle w:val="Normal"/>
      </w:pPr>
      <w:r>
        <w:t>name="/usr/lib/x86_64-linux-gnu/samba/samba-bgqd" pid=4122 comm="smbd"</w:t>
        <w:t xml:space="preserve"> </w:t>
        <w:t>requested_mask="x" denied_mask="x" fsuid=0 ouid=0</w:t>
      </w:r>
    </w:p>
    <w:p>
      <w:pPr>
        <w:pStyle w:val="Normal"/>
      </w:pPr>
      <w:r>
        <w:t>target="smbd//null-/usr/lib/x86_64-linux-gnu/samba/samba-bgqd"</w:t>
      </w:r>
    </w:p>
    <w:p>
      <w:pPr>
        <w:pStyle w:val="Para 17"/>
      </w:pPr>
      <w:r>
        <w:t/>
      </w:r>
    </w:p>
    <w:p>
      <w:pPr>
        <w:pStyle w:val="Normal"/>
      </w:pPr>
      <w:r>
        <w:t>The alternative to ‘complain’ mode is ‘enforce’ mode, where any operations that violate policy are blocked. To place the profile into enforce mode and reload it, run:</w:t>
      </w:r>
    </w:p>
    <w:p>
      <w:pPr>
        <w:pStyle w:val="Normal"/>
      </w:pPr>
      <w:r>
        <w:t>sudo aa-enforce /usr/sbin/smbd</w:t>
      </w:r>
    </w:p>
    <w:p>
      <w:pPr>
        <w:pStyle w:val="Normal"/>
      </w:pPr>
      <w:r>
        <w:t>sudo apparmor_parser -r -W -T /etc/apparmor.d/usr.sbin.smbd</w:t>
      </w:r>
    </w:p>
    <w:p>
      <w:pPr>
        <w:pStyle w:val="Para 17"/>
      </w:pPr>
      <w:r>
        <w:t/>
      </w:r>
    </w:p>
    <w:p>
      <w:pPr>
        <w:pStyle w:val="Normal"/>
      </w:pPr>
      <w:r>
        <w:t>It’s advisable to monitor /var/log/syslog for audit entries that contain AppArmor DENIED messages, or /var/log/audit/audit.log if you are running the auditd daemon. Actions blocked by AppArmor may surface as odd or unrelated errors in the application.</w:t>
      </w:r>
    </w:p>
    <w:p>
      <w:pPr>
        <w:pStyle w:val="Para 17"/>
      </w:pPr>
      <w:r>
        <w:t/>
      </w:r>
    </w:p>
    <w:p>
      <w:pPr>
        <w:pStyle w:val="Para 01"/>
      </w:pPr>
      <w:r>
        <w:t>Further reading</w:t>
      </w:r>
    </w:p>
    <w:p>
      <w:pPr>
        <w:pStyle w:val="Para 17"/>
      </w:pPr>
      <w:r>
        <w:t/>
      </w:r>
    </w:p>
    <w:p>
      <w:pPr>
        <w:pStyle w:val="Para 04"/>
      </w:pPr>
      <w:r>
        <w:t>• For more information on how to use AppArmor, including details of the profile modes,</w:t>
      </w:r>
    </w:p>
    <w:p>
      <w:pPr>
        <w:pStyle w:val="Para 32"/>
      </w:pPr>
      <w:hyperlink r:id="rId1255">
        <w:r>
          <w:t>the Debian AppArmor guide</w:t>
        </w:r>
      </w:hyperlink>
      <w:hyperlink r:id="rId1255">
        <w:r>
          <w:rPr>
            <w:rStyle w:val="Text10"/>
          </w:rPr>
          <w:t>265</w:t>
        </w:r>
      </w:hyperlink>
      <w:r>
        <w:rPr>
          <w:rStyle w:val="Text7"/>
        </w:rPr>
        <w:t xml:space="preserve"> may be helpful.</w:t>
      </w:r>
    </w:p>
    <w:p>
      <w:pPr>
        <w:pStyle w:val="Para 05"/>
      </w:pPr>
      <w:r>
        <w:rPr>
          <w:rStyle w:val="Text5"/>
        </w:rPr>
        <w:t>265</w:t>
      </w:r>
      <w:r>
        <w:rPr>
          <w:rStyle w:val="Text8"/>
        </w:rPr>
        <w:t xml:space="preserve"> </w:t>
      </w:r>
      <w:r>
        <w:t>https://wiki.debian.org/AppArmor/HowToUse</w:t>
      </w:r>
    </w:p>
    <w:p>
      <w:bookmarkStart w:id="446" w:name="calibre_pb_66"/>
      <w:pPr>
        <w:pStyle w:val="0 Block"/>
      </w:pPr>
      <w:bookmarkEnd w:id="446"/>
    </w:p>
    <w:p>
      <w:bookmarkStart w:id="447" w:name="Top_of_index_split_067_html"/>
      <w:bookmarkStart w:id="448" w:name="page_31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19" name="index-314_1.png" descr="index-314_1.png"/>
            <wp:cNvGraphicFramePr>
              <a:graphicFrameLocks noChangeAspect="1"/>
            </wp:cNvGraphicFramePr>
            <a:graphic>
              <a:graphicData uri="http://schemas.openxmlformats.org/drawingml/2006/picture">
                <pic:pic>
                  <pic:nvPicPr>
                    <pic:cNvPr id="0" name="index-314_1.png" descr="index-314_1.png"/>
                    <pic:cNvPicPr/>
                  </pic:nvPicPr>
                  <pic:blipFill>
                    <a:blip r:embed="rId323"/>
                    <a:stretch>
                      <a:fillRect/>
                    </a:stretch>
                  </pic:blipFill>
                  <pic:spPr>
                    <a:xfrm>
                      <a:off x="0" y="0"/>
                      <a:ext cx="914400" cy="266700"/>
                    </a:xfrm>
                    <a:prstGeom prst="rect">
                      <a:avLst/>
                    </a:prstGeom>
                  </pic:spPr>
                </pic:pic>
              </a:graphicData>
            </a:graphic>
          </wp:anchor>
        </w:drawing>
      </w:r>
      <w:bookmarkEnd w:id="447"/>
      <w:bookmarkEnd w:id="448"/>
    </w:p>
    <w:p>
      <w:pPr>
        <w:pStyle w:val="Para 01"/>
      </w:pPr>
      <w:r>
        <w:t>How to mount CIFS shares permanently</w:t>
      </w:r>
    </w:p>
    <w:p>
      <w:pPr>
        <w:pStyle w:val="Para 17"/>
      </w:pPr>
      <w:r>
        <w:t/>
      </w:r>
    </w:p>
    <w:p>
      <w:pPr>
        <w:pStyle w:val="Normal"/>
      </w:pPr>
      <w:r>
        <w:t>Common Internet File System (CIFS) shares are a file-sharing protocol used (mainly) in Win-dows for accessing files and resources (such as printers) over a network.</w:t>
      </w:r>
    </w:p>
    <w:p>
      <w:pPr>
        <w:pStyle w:val="Normal"/>
      </w:pPr>
      <w:r>
        <w:t>Permanently mounting CIFS shares involves configuring your system to automatically con-nect to these shared resources when the system boots, which is useful when network users need consistent and regular access to them.</w:t>
      </w:r>
    </w:p>
    <w:p>
      <w:pPr>
        <w:pStyle w:val="Normal"/>
      </w:pPr>
      <w:r>
        <w:t>In this guide, we will show you how to permanently mount and access CIFS shares. The shares can be hosted on a Windows computer/server, or on a Linux/UNIX server running Samba. If</w:t>
      </w:r>
    </w:p>
    <w:p>
      <w:pPr>
        <w:pStyle w:val="Normal"/>
      </w:pPr>
      <w:r>
        <w:t xml:space="preserve">you want to know how to host shares, see </w:t>
      </w:r>
      <w:hyperlink w:anchor="page_828">
        <w:r>
          <w:rPr>
            <w:rStyle w:val="Text2"/>
          </w:rPr>
          <w:t>Introduction to Samba</w:t>
        </w:r>
      </w:hyperlink>
      <w:r>
        <w:t xml:space="preserve"> (page 827).</w:t>
      </w:r>
    </w:p>
    <w:p>
      <w:pPr>
        <w:pStyle w:val="Para 17"/>
      </w:pPr>
      <w:r>
        <w:t/>
      </w:r>
    </w:p>
    <w:p>
      <w:pPr>
        <w:pStyle w:val="Para 01"/>
      </w:pPr>
      <w:r>
        <w:t>Prerequisites</w:t>
      </w:r>
    </w:p>
    <w:p>
      <w:pPr>
        <w:pStyle w:val="Para 17"/>
      </w:pPr>
      <w:r>
        <w:t/>
      </w:r>
    </w:p>
    <w:p>
      <w:pPr>
        <w:pStyle w:val="Normal"/>
      </w:pPr>
      <w:r>
        <w:t>In order to use this guide, you will need to ensure that your network connections have been configured properly. Throughout this guide, we will use the following naming conventions:</w:t>
      </w:r>
    </w:p>
    <w:p>
      <w:pPr>
        <w:pStyle w:val="Para 04"/>
      </w:pPr>
      <w:r>
        <w:t>• The local (Ubuntu) username is ubuntuusername</w:t>
      </w:r>
    </w:p>
    <w:p>
      <w:pPr>
        <w:pStyle w:val="Para 04"/>
      </w:pPr>
      <w:r>
        <w:t>• The share username on the Windows computer is msusername</w:t>
      </w:r>
    </w:p>
    <w:p>
      <w:pPr>
        <w:pStyle w:val="Para 04"/>
      </w:pPr>
      <w:r>
        <w:t>• The share password on the Windows computer is mspassword</w:t>
      </w:r>
    </w:p>
    <w:p>
      <w:pPr>
        <w:pStyle w:val="Para 04"/>
      </w:pPr>
      <w:r>
        <w:t>• The Windows computer’s name is servername (this can be either an IP address or an</w:t>
      </w:r>
    </w:p>
    <w:p>
      <w:pPr>
        <w:pStyle w:val="Para 02"/>
      </w:pPr>
      <w:r>
        <w:t>assigned name)</w:t>
      </w:r>
    </w:p>
    <w:p>
      <w:pPr>
        <w:pStyle w:val="Para 04"/>
      </w:pPr>
      <w:r>
        <w:t>• The name of the share is sharename</w:t>
      </w:r>
    </w:p>
    <w:p>
      <w:pPr>
        <w:pStyle w:val="Para 04"/>
      </w:pPr>
      <w:r>
        <w:t>• The shares are to be mounted in /media/windowsshare</w:t>
      </w:r>
    </w:p>
    <w:p>
      <w:pPr>
        <w:pStyle w:val="Para 17"/>
      </w:pPr>
      <w:r>
        <w:t/>
      </w:r>
    </w:p>
    <w:p>
      <w:pPr>
        <w:pStyle w:val="Para 01"/>
      </w:pPr>
      <w:r>
        <w:t>Install CIFS</w:t>
      </w:r>
    </w:p>
    <w:p>
      <w:pPr>
        <w:pStyle w:val="Para 17"/>
      </w:pPr>
      <w:r>
        <w:t/>
      </w:r>
    </w:p>
    <w:p>
      <w:pPr>
        <w:pStyle w:val="Normal"/>
      </w:pPr>
      <w:r>
        <w:t>To install CIFS, run the following command:</w:t>
      </w:r>
    </w:p>
    <w:p>
      <w:pPr>
        <w:pStyle w:val="Normal"/>
      </w:pPr>
      <w:r>
        <w:t>sudo apt-get install cifs-utils</w:t>
      </w:r>
    </w:p>
    <w:p>
      <w:pPr>
        <w:pStyle w:val="Para 17"/>
      </w:pPr>
      <w:r>
        <w:t/>
      </w:r>
    </w:p>
    <w:p>
      <w:pPr>
        <w:pStyle w:val="Para 01"/>
      </w:pPr>
      <w:r>
        <w:t>Mount unprotected (guest) network folders</w:t>
      </w:r>
    </w:p>
    <w:p>
      <w:pPr>
        <w:pStyle w:val="Para 17"/>
      </w:pPr>
      <w:r>
        <w:t/>
      </w:r>
    </w:p>
    <w:p>
      <w:pPr>
        <w:pStyle w:val="Normal"/>
      </w:pPr>
      <w:r>
        <w:t>First, let’s create the mount directory. You will need a separate directory for each mount:</w:t>
      </w:r>
    </w:p>
    <w:p>
      <w:pPr>
        <w:pStyle w:val="Normal"/>
      </w:pPr>
      <w:r>
        <w:t>sudo mkdir /media/windowsshare</w:t>
      </w:r>
    </w:p>
    <w:p>
      <w:pPr>
        <w:pStyle w:val="Para 17"/>
      </w:pPr>
      <w:r>
        <w:t/>
      </w:r>
    </w:p>
    <w:p>
      <w:pPr>
        <w:pStyle w:val="Normal"/>
      </w:pPr>
      <w:r>
        <w:t>Then edit your /etc/fstab file (with root privileges) to add this line:</w:t>
      </w:r>
    </w:p>
    <w:p>
      <w:pPr>
        <w:pStyle w:val="Normal"/>
      </w:pPr>
      <w:r>
        <w:t>//servername/sharename /media/windowsshare cifs guest,uid=1000 0 0</w:t>
      </w:r>
    </w:p>
    <w:p>
      <w:pPr>
        <w:pStyle w:val="Para 17"/>
      </w:pPr>
      <w:r>
        <w:t/>
      </w:r>
    </w:p>
    <w:p>
      <w:pPr>
        <w:pStyle w:val="Normal"/>
      </w:pPr>
      <w:r>
        <w:t>Where:</w:t>
      </w:r>
    </w:p>
    <w:p>
      <w:pPr>
        <w:pStyle w:val="Para 04"/>
      </w:pPr>
      <w:r>
        <w:t xml:space="preserve">• servername is the server </w:t>
      </w:r>
      <w:hyperlink w:anchor="page_688">
        <w:r>
          <w:rPr>
            <w:rStyle w:val="Text2"/>
          </w:rPr>
          <w:t>hostname</w:t>
        </w:r>
      </w:hyperlink>
      <w:r>
        <w:t xml:space="preserve"> or IP address,</w:t>
      </w:r>
    </w:p>
    <w:p>
      <w:pPr>
        <w:pStyle w:val="Para 04"/>
      </w:pPr>
      <w:r>
        <w:t>• guest indicates you don’t need a password to access the share,</w:t>
      </w:r>
    </w:p>
    <w:p>
      <w:bookmarkStart w:id="449" w:name="page_3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0" name="index-315_1.png" descr="index-315_1.png"/>
            <wp:cNvGraphicFramePr>
              <a:graphicFrameLocks noChangeAspect="1"/>
            </wp:cNvGraphicFramePr>
            <a:graphic>
              <a:graphicData uri="http://schemas.openxmlformats.org/drawingml/2006/picture">
                <pic:pic>
                  <pic:nvPicPr>
                    <pic:cNvPr id="0" name="index-315_1.png" descr="index-315_1.png"/>
                    <pic:cNvPicPr/>
                  </pic:nvPicPr>
                  <pic:blipFill>
                    <a:blip r:embed="rId324"/>
                    <a:stretch>
                      <a:fillRect/>
                    </a:stretch>
                  </pic:blipFill>
                  <pic:spPr>
                    <a:xfrm>
                      <a:off x="0" y="0"/>
                      <a:ext cx="914400" cy="266700"/>
                    </a:xfrm>
                    <a:prstGeom prst="rect">
                      <a:avLst/>
                    </a:prstGeom>
                  </pic:spPr>
                </pic:pic>
              </a:graphicData>
            </a:graphic>
          </wp:anchor>
        </w:drawing>
      </w:r>
      <w:bookmarkEnd w:id="449"/>
    </w:p>
    <w:p>
      <w:pPr>
        <w:pStyle w:val="Para 04"/>
      </w:pPr>
      <w:r>
        <w:t>• uid=1000 makes the Linux user (specified by the ID) the owner of the mounted share,</w:t>
      </w:r>
    </w:p>
    <w:p>
      <w:pPr>
        <w:pStyle w:val="Para 02"/>
      </w:pPr>
      <w:r>
        <w:t>allowing them to rename files, and</w:t>
      </w:r>
    </w:p>
    <w:p>
      <w:pPr>
        <w:pStyle w:val="Para 04"/>
      </w:pPr>
      <w:r>
        <w:t>• If there is any space in the server path, you need to replace it by \040, for example:</w:t>
      </w:r>
    </w:p>
    <w:p>
      <w:pPr>
        <w:pStyle w:val="Para 02"/>
      </w:pPr>
      <w:r>
        <w:t>//servername/My\040Documents</w:t>
      </w:r>
    </w:p>
    <w:p>
      <w:pPr>
        <w:pStyle w:val="Normal"/>
      </w:pPr>
      <w:r>
        <w:t>After you add the entry to /etc/fstab, type:</w:t>
      </w:r>
    </w:p>
    <w:p>
      <w:pPr>
        <w:pStyle w:val="Normal"/>
      </w:pPr>
      <w:r>
        <w:t>sudo mount /media/windowsshare</w:t>
      </w:r>
    </w:p>
    <w:p>
      <w:pPr>
        <w:pStyle w:val="Para 17"/>
      </w:pPr>
      <w:r>
        <w:t/>
      </w:r>
    </w:p>
    <w:p>
      <w:pPr>
        <w:pStyle w:val="Para 01"/>
      </w:pPr>
      <w:r>
        <w:t>Mount password-protected network folders</w:t>
      </w:r>
    </w:p>
    <w:p>
      <w:pPr>
        <w:pStyle w:val="Para 17"/>
      </w:pPr>
      <w:r>
        <w:t/>
      </w:r>
    </w:p>
    <w:p>
      <w:pPr>
        <w:pStyle w:val="Normal"/>
      </w:pPr>
      <w:r>
        <w:t>To auto-mount a password-protected share, you can edit /etc/fstab (with root privileges), and add this line:</w:t>
      </w:r>
    </w:p>
    <w:p>
      <w:pPr>
        <w:pStyle w:val="Normal"/>
      </w:pPr>
      <w:r>
        <w:t>//servername/sharename /media/windowsshare cifs username=msusername,password=mspassword 0</w:t>
        <w:t xml:space="preserve"> </w:t>
        <w:t>0</w:t>
      </w:r>
    </w:p>
    <w:p>
      <w:pPr>
        <w:pStyle w:val="Para 17"/>
      </w:pPr>
      <w:r>
        <w:t/>
      </w:r>
    </w:p>
    <w:p>
      <w:pPr>
        <w:pStyle w:val="Normal"/>
      </w:pPr>
      <w:r>
        <w:t>This is not a good idea however: /etc/fstab is readable by everyone – and so is your Windows password within it. The way around this is to use a credentials file. This is a file that contains just the username and password.</w:t>
      </w:r>
    </w:p>
    <w:p>
      <w:pPr>
        <w:pStyle w:val="Para 17"/>
      </w:pPr>
      <w:r>
        <w:t/>
      </w:r>
    </w:p>
    <w:p>
      <w:pPr>
        <w:pStyle w:val="Para 01"/>
      </w:pPr>
      <w:r>
        <w:t>Create a credentials file</w:t>
      </w:r>
    </w:p>
    <w:p>
      <w:pPr>
        <w:pStyle w:val="Para 17"/>
      </w:pPr>
      <w:r>
        <w:t/>
      </w:r>
    </w:p>
    <w:p>
      <w:pPr>
        <w:pStyle w:val="Normal"/>
      </w:pPr>
      <w:r>
        <w:t>Using a text editor, create a file for your remote server’s logon credential:</w:t>
      </w:r>
    </w:p>
    <w:p>
      <w:pPr>
        <w:pStyle w:val="Normal"/>
      </w:pPr>
      <w:r>
        <w:t>gedit ~/.smbcredentials</w:t>
      </w:r>
    </w:p>
    <w:p>
      <w:pPr>
        <w:pStyle w:val="Para 17"/>
      </w:pPr>
      <w:r>
        <w:t/>
      </w:r>
    </w:p>
    <w:p>
      <w:pPr>
        <w:pStyle w:val="Normal"/>
      </w:pPr>
      <w:r>
        <w:t>Enter your Windows username and password in the file:</w:t>
      </w:r>
    </w:p>
    <w:p>
      <w:pPr>
        <w:pStyle w:val="Normal"/>
      </w:pPr>
      <w:r>
        <w:t>username=msusername</w:t>
      </w:r>
    </w:p>
    <w:p>
      <w:pPr>
        <w:pStyle w:val="Normal"/>
      </w:pPr>
      <w:r>
        <w:t>password=mspassword</w:t>
      </w:r>
    </w:p>
    <w:p>
      <w:pPr>
        <w:pStyle w:val="Para 17"/>
      </w:pPr>
      <w:r>
        <w:t/>
      </w:r>
    </w:p>
    <w:p>
      <w:pPr>
        <w:pStyle w:val="Normal"/>
      </w:pPr>
      <w:r>
        <w:t>Save the file and exit the editor.</w:t>
      </w:r>
    </w:p>
    <w:p>
      <w:pPr>
        <w:pStyle w:val="Normal"/>
      </w:pPr>
      <w:r>
        <w:t>Change the permissions of the file to prevent unwanted access to your credentials:</w:t>
      </w:r>
    </w:p>
    <w:p>
      <w:pPr>
        <w:pStyle w:val="Normal"/>
      </w:pPr>
      <w:r>
        <w:t>chmod</w:t>
        <w:t xml:space="preserve"> </w:t>
        <w:t>600</w:t>
        <w:t xml:space="preserve"> </w:t>
        <w:t>~/.smbcredentials</w:t>
      </w:r>
    </w:p>
    <w:p>
      <w:pPr>
        <w:pStyle w:val="Para 17"/>
      </w:pPr>
      <w:r>
        <w:t/>
      </w:r>
    </w:p>
    <w:p>
      <w:pPr>
        <w:pStyle w:val="Normal"/>
      </w:pPr>
      <w:r>
        <w:t>Then edit your /etc/fstab file (with root privileges) to add this line (replacing the insecure line in the example above, if you added it):</w:t>
      </w:r>
    </w:p>
    <w:p>
      <w:pPr>
        <w:pStyle w:val="Normal"/>
      </w:pPr>
      <w:r>
        <w:t>//servername/sharename /media/windowsshare cifs credentials=/home/ubuntuusername/.</w:t>
        <w:t xml:space="preserve"> </w:t>
        <w:t>smbcredentials 0 0</w:t>
      </w:r>
    </w:p>
    <w:p>
      <w:pPr>
        <w:pStyle w:val="Para 17"/>
      </w:pPr>
      <w:r>
        <w:t/>
      </w:r>
    </w:p>
    <w:p>
      <w:pPr>
        <w:pStyle w:val="Normal"/>
      </w:pPr>
      <w:r>
        <w:t>Save the file and exit the editor.</w:t>
      </w:r>
    </w:p>
    <w:p>
      <w:pPr>
        <w:pStyle w:val="Normal"/>
      </w:pPr>
      <w:r>
        <w:t>Finally, test mounting the share by running:</w:t>
      </w:r>
    </w:p>
    <w:p>
      <w:pPr>
        <w:pStyle w:val="Normal"/>
      </w:pPr>
      <w:r>
        <w:t>sudo mount /media/windowsshare</w:t>
      </w:r>
    </w:p>
    <w:p>
      <w:pPr>
        <w:pStyle w:val="Para 17"/>
      </w:pPr>
      <w:r>
        <w:t/>
      </w:r>
    </w:p>
    <w:p>
      <w:pPr>
        <w:pStyle w:val="Normal"/>
      </w:pPr>
      <w:r>
        <w:t>If there are no errors, you should test how it works after a reboot. Your remote share should mount automatically. However, if the remote server goes offline, the boot process could present errors because it won’t be possible to mount the share.</w:t>
      </w:r>
    </w:p>
    <w:p>
      <w:bookmarkStart w:id="450" w:name="page_3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1" name="index-316_1.png" descr="index-316_1.png"/>
            <wp:cNvGraphicFramePr>
              <a:graphicFrameLocks noChangeAspect="1"/>
            </wp:cNvGraphicFramePr>
            <a:graphic>
              <a:graphicData uri="http://schemas.openxmlformats.org/drawingml/2006/picture">
                <pic:pic>
                  <pic:nvPicPr>
                    <pic:cNvPr id="0" name="index-316_1.png" descr="index-316_1.png"/>
                    <pic:cNvPicPr/>
                  </pic:nvPicPr>
                  <pic:blipFill>
                    <a:blip r:embed="rId325"/>
                    <a:stretch>
                      <a:fillRect/>
                    </a:stretch>
                  </pic:blipFill>
                  <pic:spPr>
                    <a:xfrm>
                      <a:off x="0" y="0"/>
                      <a:ext cx="914400" cy="266700"/>
                    </a:xfrm>
                    <a:prstGeom prst="rect">
                      <a:avLst/>
                    </a:prstGeom>
                  </pic:spPr>
                </pic:pic>
              </a:graphicData>
            </a:graphic>
          </wp:anchor>
        </w:drawing>
      </w:r>
      <w:bookmarkEnd w:id="450"/>
    </w:p>
    <w:p>
      <w:pPr>
        <w:pStyle w:val="Para 01"/>
      </w:pPr>
      <w:r>
        <w:t>Changing the share ownership</w:t>
      </w:r>
    </w:p>
    <w:p>
      <w:pPr>
        <w:pStyle w:val="Para 17"/>
      </w:pPr>
      <w:r>
        <w:t/>
      </w:r>
    </w:p>
    <w:p>
      <w:pPr>
        <w:pStyle w:val="Normal"/>
      </w:pPr>
      <w:r>
        <w:t xml:space="preserve">If you need to change the owner of a share, you’ll need to add a </w:t>
      </w:r>
      <w:r>
        <w:rPr>
          <w:rStyle w:val="Text0"/>
        </w:rPr>
        <w:t>UID</w:t>
      </w:r>
      <w:r>
        <w:t xml:space="preserve"> (short for ‘User ID’) or</w:t>
      </w:r>
    </w:p>
    <w:p>
      <w:pPr>
        <w:pStyle w:val="Normal"/>
      </w:pPr>
      <w:hyperlink w:anchor="page_685">
        <w:r>
          <w:rPr>
            <w:rStyle w:val="Text13"/>
          </w:rPr>
          <w:t>GID</w:t>
        </w:r>
      </w:hyperlink>
      <w:r>
        <w:t xml:space="preserve"> (short for ‘Group ID’) parameter to the share’s mount options:</w:t>
      </w:r>
    </w:p>
    <w:p>
      <w:pPr>
        <w:pStyle w:val="Normal"/>
      </w:pPr>
      <w:r>
        <w:t>//servername/sharename /media/windowsshare cifs uid=ubuntuusername,credentials=/home/</w:t>
        <w:t xml:space="preserve"> </w:t>
        <w:t>ubuntuusername/.smbcredentials 0 0</w:t>
      </w:r>
    </w:p>
    <w:p>
      <w:pPr>
        <w:pStyle w:val="Para 17"/>
      </w:pPr>
      <w:r>
        <w:t/>
      </w:r>
    </w:p>
    <w:p>
      <w:pPr>
        <w:pStyle w:val="Para 01"/>
      </w:pPr>
      <w:r>
        <w:t>Mount network folders with authd</w:t>
      </w:r>
    </w:p>
    <w:p>
      <w:pPr>
        <w:pStyle w:val="Para 17"/>
      </w:pPr>
      <w:r>
        <w:t/>
      </w:r>
    </w:p>
    <w:p>
      <w:pPr>
        <w:pStyle w:val="Normal"/>
      </w:pPr>
      <w:r>
        <w:t>If you use Samba and authd at the same time, you must specify user and group mapping. Oth-erwise, you will encounter permission issues due to mismatched user and group identifiers.</w:t>
      </w:r>
    </w:p>
    <w:p>
      <w:pPr>
        <w:pStyle w:val="Normal"/>
      </w:pPr>
      <w:r>
        <w:t xml:space="preserve">If you </w:t>
      </w:r>
      <w:hyperlink r:id="rId1256">
        <w:r>
          <w:rPr>
            <w:rStyle w:val="Text9"/>
          </w:rPr>
          <w:t>266</w:t>
        </w:r>
      </w:hyperlink>
      <w:r>
        <w:t xml:space="preserve"> </w:t>
      </w:r>
      <w:r>
        <w:rPr>
          <w:rStyle w:val="Text3"/>
        </w:rPr>
        <w:t>are</w:t>
      </w:r>
      <w:r>
        <w:t xml:space="preserve"> using Samba with authd, follow the instructions in the </w:t>
      </w:r>
      <w:hyperlink r:id="rId1256">
        <w:r>
          <w:rPr>
            <w:rStyle w:val="Text1"/>
          </w:rPr>
          <w:t>steps for the client</w:t>
        </w:r>
      </w:hyperlink>
      <w:r>
        <w:t xml:space="preserve"> guide in the authd documentation.</w:t>
      </w:r>
    </w:p>
    <w:p>
      <w:pPr>
        <w:pStyle w:val="Para 17"/>
      </w:pPr>
      <w:r>
        <w:t/>
      </w:r>
    </w:p>
    <w:p>
      <w:pPr>
        <w:pStyle w:val="Para 01"/>
      </w:pPr>
      <w:r>
        <w:t>Mount password-protected shares using libpam-mount</w:t>
      </w:r>
    </w:p>
    <w:p>
      <w:pPr>
        <w:pStyle w:val="Para 17"/>
      </w:pPr>
      <w:r>
        <w:t/>
      </w:r>
    </w:p>
    <w:p>
      <w:pPr>
        <w:pStyle w:val="Normal"/>
      </w:pPr>
      <w:r>
        <w:t>In addition to the initial assumptions, we’re assuming here that your username and password are the same on both the Ubuntu machine and the network drive.</w:t>
      </w:r>
    </w:p>
    <w:p>
      <w:pPr>
        <w:pStyle w:val="Para 17"/>
      </w:pPr>
      <w:r>
        <w:t/>
      </w:r>
    </w:p>
    <w:p>
      <w:pPr>
        <w:pStyle w:val="Para 01"/>
      </w:pPr>
      <w:r>
        <w:t>Install libpam-mount</w:t>
      </w:r>
    </w:p>
    <w:p>
      <w:pPr>
        <w:pStyle w:val="Para 17"/>
      </w:pPr>
      <w:r>
        <w:t/>
      </w:r>
    </w:p>
    <w:p>
      <w:pPr>
        <w:pStyle w:val="Normal"/>
      </w:pPr>
      <w:r>
        <w:t>sudo apt-get install libpam-mount</w:t>
      </w:r>
    </w:p>
    <w:p>
      <w:pPr>
        <w:pStyle w:val="Para 17"/>
      </w:pPr>
      <w:r>
        <w:t/>
      </w:r>
    </w:p>
    <w:p>
      <w:pPr>
        <w:pStyle w:val="Normal"/>
      </w:pPr>
      <w:r>
        <w:t>Edit /etc/security/pam_mount.conf.xml using your preferred text editor.</w:t>
      </w:r>
    </w:p>
    <w:p>
      <w:pPr>
        <w:pStyle w:val="Normal"/>
      </w:pPr>
      <w:r>
        <w:t>sudo gedit /etc/security/pam_mount.conf.xml</w:t>
      </w:r>
    </w:p>
    <w:p>
      <w:pPr>
        <w:pStyle w:val="Para 17"/>
      </w:pPr>
      <w:r>
        <w:t/>
      </w:r>
    </w:p>
    <w:p>
      <w:pPr>
        <w:pStyle w:val="Normal"/>
      </w:pPr>
      <w:r>
        <w:t>First, we’re moving the user-specific config parts to a file which users can actually edit them-selves.</w:t>
      </w:r>
    </w:p>
    <w:p>
      <w:pPr>
        <w:pStyle w:val="Normal"/>
      </w:pPr>
      <w:r>
        <w:t>Remove the commenting tags (&lt;!--and--&gt;) surrounding the section called &lt;luserconf name=".pam_mount.conf.xml" /&gt;. We also need to enable some extra mount options to be used. For that, edit the “&lt;mntoptions allow=...” tag and add uid,gid,dir_mode,credentials to it.</w:t>
      </w:r>
    </w:p>
    <w:p>
      <w:pPr>
        <w:pStyle w:val="Normal"/>
      </w:pPr>
      <w:r>
        <w:t>Save the file when done. With this in place, users can create their own ~/.pam_mount.conf. xml.</w:t>
      </w:r>
    </w:p>
    <w:p>
      <w:pPr>
        <w:pStyle w:val="Normal"/>
      </w:pPr>
      <w:r>
        <w:t>gedit ~/.pam_mount.conf.xml</w:t>
      </w:r>
    </w:p>
    <w:p>
      <w:pPr>
        <w:pStyle w:val="Para 17"/>
      </w:pPr>
      <w:r>
        <w:t/>
      </w:r>
    </w:p>
    <w:p>
      <w:pPr>
        <w:pStyle w:val="Normal"/>
      </w:pPr>
      <w:r>
        <w:t>Add the following:</w:t>
      </w:r>
    </w:p>
    <w:p>
      <w:pPr>
        <w:pStyle w:val="Normal"/>
      </w:pPr>
      <w:r>
        <w:t>&lt;?xml version="1.0" encoding="utf-8" ?&gt;</w:t>
      </w:r>
    </w:p>
    <w:p>
      <w:pPr>
        <w:pStyle w:val="Normal"/>
      </w:pPr>
      <w:r>
        <w:t>&lt;pam_mount&gt;</w:t>
      </w:r>
    </w:p>
    <w:p>
      <w:pPr>
        <w:pStyle w:val="Normal"/>
      </w:pPr>
      <w:r>
        <w:t>&lt;volume options="uid=%(USER),gid=100,dir_mode=0700,credentials=/home/ubuntuusername/.</w:t>
      </w:r>
    </w:p>
    <w:p>
      <w:pPr>
        <w:pStyle w:val="Para 09"/>
      </w:pPr>
      <w:r>
        <w:t>(continues on next page)</w:t>
      </w:r>
    </w:p>
    <w:p>
      <w:pPr>
        <w:pStyle w:val="Para 05"/>
      </w:pPr>
      <w:r>
        <w:rPr>
          <w:rStyle w:val="Text5"/>
        </w:rPr>
        <w:t>266</w:t>
      </w:r>
      <w:r>
        <w:rPr>
          <w:rStyle w:val="Text8"/>
        </w:rPr>
        <w:t xml:space="preserve"> </w:t>
      </w:r>
      <w:r>
        <w:t>https://documentation.ubuntu.com/authd/edge-docs/howto/use-with-samba/#steps-for-the-client</w:t>
      </w:r>
    </w:p>
    <w:p>
      <w:bookmarkStart w:id="451" w:name="page_3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2" name="index-317_1.png" descr="index-317_1.png"/>
            <wp:cNvGraphicFramePr>
              <a:graphicFrameLocks noChangeAspect="1"/>
            </wp:cNvGraphicFramePr>
            <a:graphic>
              <a:graphicData uri="http://schemas.openxmlformats.org/drawingml/2006/picture">
                <pic:pic>
                  <pic:nvPicPr>
                    <pic:cNvPr id="0" name="index-317_1.png" descr="index-317_1.png"/>
                    <pic:cNvPicPr/>
                  </pic:nvPicPr>
                  <pic:blipFill>
                    <a:blip r:embed="rId326"/>
                    <a:stretch>
                      <a:fillRect/>
                    </a:stretch>
                  </pic:blipFill>
                  <pic:spPr>
                    <a:xfrm>
                      <a:off x="0" y="0"/>
                      <a:ext cx="914400" cy="266700"/>
                    </a:xfrm>
                    <a:prstGeom prst="rect">
                      <a:avLst/>
                    </a:prstGeom>
                  </pic:spPr>
                </pic:pic>
              </a:graphicData>
            </a:graphic>
          </wp:anchor>
        </w:drawing>
      </w:r>
      <w:bookmarkEnd w:id="451"/>
    </w:p>
    <w:p>
      <w:pPr>
        <w:pStyle w:val="Para 09"/>
      </w:pPr>
      <w:r>
        <w:t>(continued from previous page)</w:t>
      </w:r>
    </w:p>
    <w:p>
      <w:pPr>
        <w:pStyle w:val="Normal"/>
      </w:pPr>
      <w:r>
        <w:t>smbcredentials,nosuid,nodev" user="*" mountpoint="/media/windowsshare" path="sharename"</w:t>
        <w:t xml:space="preserve"> </w:t>
        <w:t>server="servername" fstype="cifs" /&gt;</w:t>
      </w:r>
    </w:p>
    <w:p>
      <w:pPr>
        <w:pStyle w:val="Normal"/>
      </w:pPr>
      <w:r>
        <w:t>&lt;/pam_mount&gt;</w:t>
      </w:r>
    </w:p>
    <w:p>
      <w:pPr>
        <w:pStyle w:val="Para 17"/>
      </w:pPr>
      <w:r>
        <w:t/>
      </w:r>
    </w:p>
    <w:p>
      <w:pPr>
        <w:pStyle w:val="Para 01"/>
      </w:pPr>
      <w:r>
        <w:t>Troubleshooting</w:t>
      </w:r>
    </w:p>
    <w:p>
      <w:pPr>
        <w:pStyle w:val="Para 17"/>
      </w:pPr>
      <w:r>
        <w:t/>
      </w:r>
    </w:p>
    <w:p>
      <w:pPr>
        <w:pStyle w:val="Para 01"/>
      </w:pPr>
      <w:r>
        <w:t>Login errors</w:t>
      </w:r>
    </w:p>
    <w:p>
      <w:pPr>
        <w:pStyle w:val="Para 17"/>
      </w:pPr>
      <w:r>
        <w:t/>
      </w:r>
    </w:p>
    <w:p>
      <w:pPr>
        <w:pStyle w:val="Normal"/>
      </w:pPr>
      <w:r>
        <w:t>If you get the error “mount error(13) permission denied”, then the server denied your access. Here are the first things to check:</w:t>
      </w:r>
    </w:p>
    <w:p>
      <w:pPr>
        <w:pStyle w:val="Para 04"/>
      </w:pPr>
      <w:r>
        <w:t>• Are you using a valid username and password? Does that account really have access to</w:t>
      </w:r>
    </w:p>
    <w:p>
      <w:pPr>
        <w:pStyle w:val="Para 02"/>
      </w:pPr>
      <w:r>
        <w:t>this folder?</w:t>
      </w:r>
    </w:p>
    <w:p>
      <w:pPr>
        <w:pStyle w:val="Para 04"/>
      </w:pPr>
      <w:r>
        <w:t>• Do you have blank space in your credentials file? It should be password=mspassword, not</w:t>
      </w:r>
    </w:p>
    <w:p>
      <w:pPr>
        <w:pStyle w:val="Para 02"/>
      </w:pPr>
      <w:r>
        <w:t>password = mspassword.</w:t>
      </w:r>
    </w:p>
    <w:p>
      <w:pPr>
        <w:pStyle w:val="Para 04"/>
      </w:pPr>
      <w:r>
        <w:t>• Do you need a domain? For example, if you are told that your username is SALES\</w:t>
      </w:r>
    </w:p>
    <w:p>
      <w:pPr>
        <w:pStyle w:val="Para 02"/>
      </w:pPr>
      <w:r>
        <w:t>sally, then actually your username is sally and your domain is SALES. You can add a domain=SALES line to the ~/.credentials file.</w:t>
      </w:r>
    </w:p>
    <w:p>
      <w:pPr>
        <w:pStyle w:val="Para 04"/>
      </w:pPr>
      <w:r>
        <w:t>• The security and version settings are interrelated. SMB1 is insecure and no longer sup-</w:t>
      </w:r>
    </w:p>
    <w:p>
      <w:pPr>
        <w:pStyle w:val="Para 02"/>
      </w:pPr>
      <w:r>
        <w:t>ported. At first, try to not specify either security or version: do not specify sec= or vers=. If you still have authentication errors then you may need to specify either sec=</w:t>
      </w:r>
    </w:p>
    <w:p>
      <w:pPr>
        <w:pStyle w:val="Para 02"/>
      </w:pPr>
      <w:r>
        <w:t xml:space="preserve">or </w:t>
      </w:r>
      <w:hyperlink r:id="rId1257">
        <w:r>
          <w:rPr>
            <w:rStyle w:val="Text9"/>
          </w:rPr>
          <w:t>267</w:t>
        </w:r>
      </w:hyperlink>
      <w:r>
        <w:t xml:space="preserve"> vers= or both. You can try the options listed at the </w:t>
      </w:r>
      <w:hyperlink r:id="rId1257">
        <w:r>
          <w:rPr>
            <w:rStyle w:val="Text2"/>
          </w:rPr>
          <w:t>mount.cifs(8)</w:t>
        </w:r>
      </w:hyperlink>
      <w:r>
        <w:t xml:space="preserve"> manual page.</w:t>
      </w:r>
    </w:p>
    <w:p>
      <w:pPr>
        <w:pStyle w:val="Para 17"/>
      </w:pPr>
      <w:r>
        <w:t/>
      </w:r>
    </w:p>
    <w:p>
      <w:pPr>
        <w:pStyle w:val="Para 01"/>
      </w:pPr>
      <w:r>
        <w:t>Mount after login instead of boot</w:t>
      </w:r>
    </w:p>
    <w:p>
      <w:pPr>
        <w:pStyle w:val="Para 17"/>
      </w:pPr>
      <w:r>
        <w:t/>
      </w:r>
    </w:p>
    <w:p>
      <w:pPr>
        <w:pStyle w:val="Normal"/>
      </w:pPr>
      <w:r>
        <w:t>If for some reason, such as networking problems, the automatic mounting during boot doesn’t work, you can add the noauto parameter to your CIFS fstab entry and then have the share mounted at login.</w:t>
      </w:r>
    </w:p>
    <w:p>
      <w:pPr>
        <w:pStyle w:val="Normal"/>
      </w:pPr>
      <w:r>
        <w:t>In /etc/fstab:</w:t>
      </w:r>
    </w:p>
    <w:p>
      <w:pPr>
        <w:pStyle w:val="Normal"/>
      </w:pPr>
      <w:r>
        <w:t>//servername/sharename /media/windowsshare cifs noauto,credentials=/home/ubuntuusername/.</w:t>
        <w:t xml:space="preserve"> </w:t>
        <w:t>smbpasswd 0 0</w:t>
      </w:r>
    </w:p>
    <w:p>
      <w:pPr>
        <w:pStyle w:val="Para 17"/>
      </w:pPr>
      <w:r>
        <w:t/>
      </w:r>
    </w:p>
    <w:p>
      <w:pPr>
        <w:pStyle w:val="Normal"/>
      </w:pPr>
      <w:r>
        <w:t>You can now manually mount the share after you log in. If you would like the share to be automatically mounted after each login, please see the section above about libpam-mount.</w:t>
      </w:r>
    </w:p>
    <w:p>
      <w:pPr>
        <w:pStyle w:val="Para 05"/>
      </w:pPr>
      <w:r>
        <w:rPr>
          <w:rStyle w:val="Text5"/>
        </w:rPr>
        <w:t>267</w:t>
      </w:r>
      <w:r>
        <w:rPr>
          <w:rStyle w:val="Text8"/>
        </w:rPr>
        <w:t xml:space="preserve"> </w:t>
      </w:r>
      <w:r>
        <w:t>https://manpages.ubuntu.com/manpages/resolute/man8/mount.cifs.8.html</w:t>
      </w:r>
    </w:p>
    <w:p>
      <w:bookmarkStart w:id="452" w:name="calibre_pb_67"/>
      <w:pPr>
        <w:pStyle w:val="0 Block"/>
      </w:pPr>
      <w:bookmarkEnd w:id="452"/>
    </w:p>
    <w:p>
      <w:bookmarkStart w:id="453" w:name="page_318"/>
      <w:bookmarkStart w:id="454" w:name="Top_of_index_split_06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3" name="index-318_1.png" descr="index-318_1.png"/>
            <wp:cNvGraphicFramePr>
              <a:graphicFrameLocks noChangeAspect="1"/>
            </wp:cNvGraphicFramePr>
            <a:graphic>
              <a:graphicData uri="http://schemas.openxmlformats.org/drawingml/2006/picture">
                <pic:pic>
                  <pic:nvPicPr>
                    <pic:cNvPr id="0" name="index-318_1.png" descr="index-318_1.png"/>
                    <pic:cNvPicPr/>
                  </pic:nvPicPr>
                  <pic:blipFill>
                    <a:blip r:embed="rId327"/>
                    <a:stretch>
                      <a:fillRect/>
                    </a:stretch>
                  </pic:blipFill>
                  <pic:spPr>
                    <a:xfrm>
                      <a:off x="0" y="0"/>
                      <a:ext cx="914400" cy="266700"/>
                    </a:xfrm>
                    <a:prstGeom prst="rect">
                      <a:avLst/>
                    </a:prstGeom>
                  </pic:spPr>
                </pic:pic>
              </a:graphicData>
            </a:graphic>
          </wp:anchor>
        </w:drawing>
      </w:r>
      <w:bookmarkEnd w:id="453"/>
      <w:bookmarkEnd w:id="454"/>
    </w:p>
    <w:p>
      <w:pPr>
        <w:pStyle w:val="Para 01"/>
      </w:pPr>
      <w:r>
        <w:t>Legacy options</w:t>
      </w:r>
    </w:p>
    <w:p>
      <w:pPr>
        <w:pStyle w:val="Para 17"/>
      </w:pPr>
      <w:r>
        <w:t/>
      </w:r>
    </w:p>
    <w:p>
      <w:pPr>
        <w:pStyle w:val="Normal"/>
      </w:pPr>
      <w:r>
        <w:t>These options are now deprecated, but still available.</w:t>
      </w:r>
    </w:p>
    <w:p>
      <w:pPr>
        <w:pStyle w:val="Para 17"/>
      </w:pPr>
      <w:r>
        <w:t/>
      </w:r>
    </w:p>
    <w:p>
      <w:pPr>
        <w:pStyle w:val="Para 01"/>
      </w:pPr>
      <w:r>
        <w:t>NT4 domain controller (legacy)</w:t>
      </w:r>
    </w:p>
    <w:p>
      <w:pPr>
        <w:pStyle w:val="Para 17"/>
      </w:pPr>
      <w:r>
        <w:t/>
      </w:r>
    </w:p>
    <w:p>
      <w:pPr>
        <w:pStyle w:val="Para 08"/>
      </w:pPr>
      <w:r>
        <w:t>Note:</w:t>
      </w:r>
    </w:p>
    <w:p>
      <w:pPr>
        <w:pStyle w:val="Para 03"/>
      </w:pPr>
      <w:r>
        <w:t xml:space="preserve">This section is flagged as </w:t>
      </w:r>
      <w:r>
        <w:rPr>
          <w:rStyle w:val="Text3"/>
        </w:rPr>
        <w:t>legacy</w:t>
      </w:r>
      <w:r>
        <w:t xml:space="preserve"> because nowadays, Samba can be deployed in full Active</w:t>
      </w:r>
    </w:p>
    <w:p>
      <w:pPr>
        <w:pStyle w:val="Para 03"/>
      </w:pPr>
      <w:r>
        <w:t>Directory domain controller mode, and the old-style NT4 Primary Domain Controller is</w:t>
      </w:r>
    </w:p>
    <w:p>
      <w:pPr>
        <w:pStyle w:val="Para 03"/>
      </w:pPr>
      <w:r>
        <w:t>deprecated.</w:t>
      </w:r>
    </w:p>
    <w:p>
      <w:pPr>
        <w:pStyle w:val="Para 17"/>
      </w:pPr>
      <w:r>
        <w:t/>
      </w:r>
    </w:p>
    <w:p>
      <w:pPr>
        <w:pStyle w:val="Normal"/>
      </w:pPr>
      <w:r>
        <w:t>A Samba server can be configured to appear as a Windows NT4-style domain controller. A major advantage of this configuration is the ability to centralise user and machine credentials. Samba can also use multiple backends to store the user information.</w:t>
      </w:r>
    </w:p>
    <w:p>
      <w:pPr>
        <w:pStyle w:val="Para 17"/>
      </w:pPr>
      <w:r>
        <w:t/>
      </w:r>
    </w:p>
    <w:p>
      <w:pPr>
        <w:pStyle w:val="Para 01"/>
      </w:pPr>
      <w:r>
        <w:t>Primary domain controller</w:t>
      </w:r>
    </w:p>
    <w:p>
      <w:pPr>
        <w:pStyle w:val="Para 17"/>
      </w:pPr>
      <w:r>
        <w:t/>
      </w:r>
    </w:p>
    <w:p>
      <w:pPr>
        <w:pStyle w:val="Normal"/>
      </w:pPr>
      <w:r>
        <w:t>In this section, we’ll install and configure Samba as a Primary Domain Controller (PDC) using the default smbpasswd backend.</w:t>
      </w:r>
    </w:p>
    <w:p>
      <w:pPr>
        <w:pStyle w:val="Para 17"/>
      </w:pPr>
      <w:r>
        <w:t/>
      </w:r>
    </w:p>
    <w:p>
      <w:pPr>
        <w:pStyle w:val="Para 01"/>
      </w:pPr>
      <w:r>
        <w:t>Install Samba</w:t>
      </w:r>
    </w:p>
    <w:p>
      <w:pPr>
        <w:pStyle w:val="Para 17"/>
      </w:pPr>
      <w:r>
        <w:t/>
      </w:r>
    </w:p>
    <w:p>
      <w:pPr>
        <w:pStyle w:val="Normal"/>
      </w:pPr>
      <w:r>
        <w:t>First, we’ll install Samba, and libpam-winbind (to sync the user accounts), by entering the following in a terminal prompt:</w:t>
      </w:r>
    </w:p>
    <w:p>
      <w:pPr>
        <w:pStyle w:val="Normal"/>
      </w:pPr>
      <w:r>
        <w:t>sudo apt install samba libpam-winbind</w:t>
      </w:r>
    </w:p>
    <w:p>
      <w:pPr>
        <w:pStyle w:val="Para 17"/>
      </w:pPr>
      <w:r>
        <w:t/>
      </w:r>
    </w:p>
    <w:p>
      <w:pPr>
        <w:pStyle w:val="Para 01"/>
      </w:pPr>
      <w:r>
        <w:t>Configure Samba</w:t>
      </w:r>
    </w:p>
    <w:p>
      <w:pPr>
        <w:pStyle w:val="Para 17"/>
      </w:pPr>
      <w:r>
        <w:t/>
      </w:r>
    </w:p>
    <w:p>
      <w:pPr>
        <w:pStyle w:val="Normal"/>
      </w:pPr>
      <w:r>
        <w:t xml:space="preserve">Next, we’ll configure Samba by editing /etc/samba/smb.conf. The </w:t>
      </w:r>
      <w:r>
        <w:rPr>
          <w:rStyle w:val="Text3"/>
        </w:rPr>
        <w:t>security</w:t>
      </w:r>
      <w:r>
        <w:t xml:space="preserve"> mode should be set to </w:t>
      </w:r>
      <w:r>
        <w:rPr>
          <w:rStyle w:val="Text3"/>
        </w:rPr>
        <w:t>user</w:t>
      </w:r>
      <w:r>
        <w:t xml:space="preserve">, and the </w:t>
      </w:r>
      <w:r>
        <w:rPr>
          <w:rStyle w:val="Text3"/>
        </w:rPr>
        <w:t>workgroup</w:t>
      </w:r>
      <w:r>
        <w:t xml:space="preserve"> should relate to your organization:</w:t>
      </w:r>
    </w:p>
    <w:p>
      <w:pPr>
        <w:pStyle w:val="Normal"/>
      </w:pPr>
      <w:r>
        <w:t>workgroup = EXAMPLE</w:t>
      </w:r>
    </w:p>
    <w:p>
      <w:pPr>
        <w:pStyle w:val="Normal"/>
      </w:pPr>
      <w:r>
        <w:t>...</w:t>
      </w:r>
    </w:p>
    <w:p>
      <w:pPr>
        <w:pStyle w:val="Normal"/>
      </w:pPr>
      <w:r>
        <w:t>security = user</w:t>
      </w:r>
    </w:p>
    <w:p>
      <w:pPr>
        <w:pStyle w:val="Para 17"/>
      </w:pPr>
      <w:r>
        <w:t/>
      </w:r>
    </w:p>
    <w:p>
      <w:pPr>
        <w:pStyle w:val="Normal"/>
      </w:pPr>
      <w:r>
        <w:t>In the commented “Domains” section, add or uncomment the following (the last line has been split to fit the format of this document):</w:t>
      </w:r>
    </w:p>
    <w:p>
      <w:pPr>
        <w:pStyle w:val="Normal"/>
      </w:pPr>
      <w:r>
        <w:t>domain logons = yes</w:t>
      </w:r>
    </w:p>
    <w:p>
      <w:pPr>
        <w:pStyle w:val="Normal"/>
      </w:pPr>
      <w:r>
        <w:t>logon path = \\%N\%U\profile</w:t>
      </w:r>
    </w:p>
    <w:p>
      <w:pPr>
        <w:pStyle w:val="Normal"/>
      </w:pPr>
      <w:r>
        <w:t>logon drive = H:</w:t>
      </w:r>
    </w:p>
    <w:p>
      <w:pPr>
        <w:pStyle w:val="Normal"/>
      </w:pPr>
      <w:r>
        <w:t>logon home = \\%N\%U</w:t>
      </w:r>
    </w:p>
    <w:p>
      <w:pPr>
        <w:pStyle w:val="Normal"/>
      </w:pPr>
      <w:r>
        <w:t>logon script = logon.cmd</w:t>
      </w:r>
    </w:p>
    <w:p>
      <w:pPr>
        <w:pStyle w:val="Normal"/>
      </w:pPr>
      <w:r>
        <w:t>add machine script = sudo /usr/sbin/useradd -N -g machines -c Machine -d</w:t>
      </w:r>
    </w:p>
    <w:p>
      <w:pPr>
        <w:pStyle w:val="Para 06"/>
      </w:pPr>
      <w:r>
        <w:t>/var/lib/samba -s /bin/false %u</w:t>
      </w:r>
    </w:p>
    <w:p>
      <w:bookmarkStart w:id="455" w:name="page_3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4" name="index-319_1.png" descr="index-319_1.png"/>
            <wp:cNvGraphicFramePr>
              <a:graphicFrameLocks noChangeAspect="1"/>
            </wp:cNvGraphicFramePr>
            <a:graphic>
              <a:graphicData uri="http://schemas.openxmlformats.org/drawingml/2006/picture">
                <pic:pic>
                  <pic:nvPicPr>
                    <pic:cNvPr id="0" name="index-319_1.png" descr="index-319_1.png"/>
                    <pic:cNvPicPr/>
                  </pic:nvPicPr>
                  <pic:blipFill>
                    <a:blip r:embed="rId328"/>
                    <a:stretch>
                      <a:fillRect/>
                    </a:stretch>
                  </pic:blipFill>
                  <pic:spPr>
                    <a:xfrm>
                      <a:off x="0" y="0"/>
                      <a:ext cx="914400" cy="266700"/>
                    </a:xfrm>
                    <a:prstGeom prst="rect">
                      <a:avLst/>
                    </a:prstGeom>
                  </pic:spPr>
                </pic:pic>
              </a:graphicData>
            </a:graphic>
          </wp:anchor>
        </w:drawing>
      </w:r>
      <w:bookmarkEnd w:id="455"/>
    </w:p>
    <w:p>
      <w:pPr>
        <w:pStyle w:val="Para 08"/>
      </w:pPr>
      <w:r>
        <w:t>Note:</w:t>
      </w:r>
    </w:p>
    <w:p>
      <w:pPr>
        <w:pStyle w:val="Para 03"/>
      </w:pPr>
      <w:r>
        <w:t xml:space="preserve">If you wish to not use </w:t>
      </w:r>
      <w:r>
        <w:rPr>
          <w:rStyle w:val="Text3"/>
        </w:rPr>
        <w:t>Roaming Profiles</w:t>
      </w:r>
      <w:r>
        <w:t xml:space="preserve"> leave the logon home and logon path options com-</w:t>
      </w:r>
    </w:p>
    <w:p>
      <w:pPr>
        <w:pStyle w:val="Para 03"/>
      </w:pPr>
      <w:r>
        <w:t>mented out.</w:t>
      </w:r>
    </w:p>
    <w:p>
      <w:pPr>
        <w:pStyle w:val="Para 04"/>
      </w:pPr>
      <w:r>
        <w:t>• domain logons Provides the netlogon service, causing Samba to act as a domain con-</w:t>
      </w:r>
    </w:p>
    <w:p>
      <w:pPr>
        <w:pStyle w:val="Para 02"/>
      </w:pPr>
      <w:r>
        <w:t>troller.</w:t>
      </w:r>
    </w:p>
    <w:p>
      <w:pPr>
        <w:pStyle w:val="Para 04"/>
      </w:pPr>
      <w:r>
        <w:t>• logon path Places the user’s Windows profile into their home directory. It is also possi-</w:t>
      </w:r>
    </w:p>
    <w:p>
      <w:pPr>
        <w:pStyle w:val="Para 17"/>
      </w:pPr>
      <w:r>
        <w:t xml:space="preserve">ble to configure a </w:t>
      </w:r>
      <w:r>
        <w:rPr>
          <w:rStyle w:val="Text3"/>
        </w:rPr>
        <w:t>[profiles]</w:t>
      </w:r>
      <w:r>
        <w:t xml:space="preserve"> share placing all profiles under a single directory.</w:t>
      </w:r>
    </w:p>
    <w:p>
      <w:pPr>
        <w:pStyle w:val="Para 04"/>
      </w:pPr>
      <w:r>
        <w:t>• logon drive Specifies the home directory local path.</w:t>
      </w:r>
    </w:p>
    <w:p>
      <w:pPr>
        <w:pStyle w:val="Para 04"/>
      </w:pPr>
      <w:r>
        <w:t>• logon home Specifies the home directory location.</w:t>
      </w:r>
    </w:p>
    <w:p>
      <w:pPr>
        <w:pStyle w:val="Para 04"/>
      </w:pPr>
      <w:r>
        <w:t>• logon script Determines the script to be run locally once a user has logged in. The</w:t>
      </w:r>
    </w:p>
    <w:p>
      <w:pPr>
        <w:pStyle w:val="Para 02"/>
      </w:pPr>
      <w:r>
        <w:t xml:space="preserve">script needs to be placed in the </w:t>
      </w:r>
      <w:r>
        <w:rPr>
          <w:rStyle w:val="Text3"/>
        </w:rPr>
        <w:t>[netlogon]</w:t>
      </w:r>
      <w:r>
        <w:t xml:space="preserve"> share.</w:t>
      </w:r>
    </w:p>
    <w:p>
      <w:pPr>
        <w:pStyle w:val="Para 04"/>
      </w:pPr>
      <w:r>
        <w:t xml:space="preserve">• add machine script A script that will automatically create the </w:t>
      </w:r>
      <w:r>
        <w:rPr>
          <w:rStyle w:val="Text3"/>
        </w:rPr>
        <w:t>Machine Trust Account</w:t>
      </w:r>
    </w:p>
    <w:p>
      <w:pPr>
        <w:pStyle w:val="Para 02"/>
      </w:pPr>
      <w:r>
        <w:t>needed for a workstation to join the domain.</w:t>
      </w:r>
    </w:p>
    <w:p>
      <w:pPr>
        <w:pStyle w:val="Normal"/>
      </w:pPr>
      <w:r>
        <w:t xml:space="preserve">In this example the </w:t>
      </w:r>
      <w:r>
        <w:rPr>
          <w:rStyle w:val="Text3"/>
        </w:rPr>
        <w:t>machines</w:t>
      </w:r>
      <w:r>
        <w:t xml:space="preserve"> group will need to be created using the addgroup utility (see</w:t>
      </w:r>
    </w:p>
    <w:p>
      <w:pPr>
        <w:pStyle w:val="Para 20"/>
      </w:pPr>
      <w:hyperlink w:anchor="page_113">
        <w:r>
          <w:t>Security - Users: Adding and Deleting Users</w:t>
        </w:r>
      </w:hyperlink>
      <w:r>
        <w:rPr>
          <w:rStyle w:val="Text4"/>
        </w:rPr>
        <w:t xml:space="preserve"> (page 112) for details).</w:t>
      </w:r>
    </w:p>
    <w:p>
      <w:pPr>
        <w:pStyle w:val="Para 17"/>
      </w:pPr>
      <w:r>
        <w:t/>
      </w:r>
    </w:p>
    <w:p>
      <w:pPr>
        <w:pStyle w:val="Para 01"/>
      </w:pPr>
      <w:r>
        <w:t>Mapping shares</w:t>
      </w:r>
    </w:p>
    <w:p>
      <w:pPr>
        <w:pStyle w:val="Para 17"/>
      </w:pPr>
      <w:r>
        <w:t/>
      </w:r>
    </w:p>
    <w:p>
      <w:pPr>
        <w:pStyle w:val="Normal"/>
      </w:pPr>
      <w:r>
        <w:t xml:space="preserve">Uncomment the </w:t>
      </w:r>
      <w:r>
        <w:rPr>
          <w:rStyle w:val="Text3"/>
        </w:rPr>
        <w:t>[homes]</w:t>
      </w:r>
      <w:r>
        <w:t xml:space="preserve"> share to allow the logon home to be mapped:</w:t>
      </w:r>
    </w:p>
    <w:p>
      <w:pPr>
        <w:pStyle w:val="Normal"/>
      </w:pPr>
      <w:r>
        <w:t>[homes]</w:t>
      </w:r>
    </w:p>
    <w:p>
      <w:pPr>
        <w:pStyle w:val="Para 02"/>
      </w:pPr>
      <w:r>
        <w:t>comment = Home Directories</w:t>
      </w:r>
    </w:p>
    <w:p>
      <w:pPr>
        <w:pStyle w:val="Para 02"/>
      </w:pPr>
      <w:r>
        <w:t>browseable = no</w:t>
      </w:r>
    </w:p>
    <w:p>
      <w:pPr>
        <w:pStyle w:val="Para 02"/>
      </w:pPr>
      <w:r>
        <w:t>read only = no</w:t>
      </w:r>
    </w:p>
    <w:p>
      <w:pPr>
        <w:pStyle w:val="Para 02"/>
      </w:pPr>
      <w:r>
        <w:t>create mask = 0700</w:t>
      </w:r>
    </w:p>
    <w:p>
      <w:pPr>
        <w:pStyle w:val="Para 02"/>
      </w:pPr>
      <w:r>
        <w:t>directory mask = 0700</w:t>
      </w:r>
    </w:p>
    <w:p>
      <w:pPr>
        <w:pStyle w:val="Para 02"/>
      </w:pPr>
      <w:r>
        <w:t>valid users = %S</w:t>
      </w:r>
    </w:p>
    <w:p>
      <w:pPr>
        <w:pStyle w:val="Para 17"/>
      </w:pPr>
      <w:r>
        <w:t/>
      </w:r>
    </w:p>
    <w:p>
      <w:pPr>
        <w:pStyle w:val="Normal"/>
      </w:pPr>
      <w:r>
        <w:t xml:space="preserve">When configured as a domain controller, a </w:t>
      </w:r>
      <w:r>
        <w:rPr>
          <w:rStyle w:val="Text3"/>
        </w:rPr>
        <w:t>[netlogon]</w:t>
      </w:r>
      <w:r>
        <w:t xml:space="preserve"> share needs to be configured. To en-able the share, uncomment:</w:t>
      </w:r>
    </w:p>
    <w:p>
      <w:pPr>
        <w:pStyle w:val="Normal"/>
      </w:pPr>
      <w:r>
        <w:t>[netlogon]</w:t>
      </w:r>
    </w:p>
    <w:p>
      <w:pPr>
        <w:pStyle w:val="Para 02"/>
      </w:pPr>
      <w:r>
        <w:t>comment = Network Logon Service</w:t>
      </w:r>
    </w:p>
    <w:p>
      <w:pPr>
        <w:pStyle w:val="Para 02"/>
      </w:pPr>
      <w:r>
        <w:t>path = /srv/samba/netlogon</w:t>
      </w:r>
    </w:p>
    <w:p>
      <w:pPr>
        <w:pStyle w:val="Para 02"/>
      </w:pPr>
      <w:r>
        <w:t>guest ok = yes</w:t>
      </w:r>
    </w:p>
    <w:p>
      <w:pPr>
        <w:pStyle w:val="Para 02"/>
      </w:pPr>
      <w:r>
        <w:t>read only = yes</w:t>
      </w:r>
    </w:p>
    <w:p>
      <w:pPr>
        <w:pStyle w:val="Para 02"/>
      </w:pPr>
      <w:r>
        <w:t>share modes = no</w:t>
      </w:r>
    </w:p>
    <w:p>
      <w:pPr>
        <w:pStyle w:val="Para 17"/>
      </w:pPr>
      <w:r>
        <w:t/>
      </w:r>
    </w:p>
    <w:p>
      <w:pPr>
        <w:pStyle w:val="Para 08"/>
      </w:pPr>
      <w:r>
        <w:t>Note:</w:t>
      </w:r>
    </w:p>
    <w:p>
      <w:pPr>
        <w:pStyle w:val="Para 03"/>
      </w:pPr>
      <w:r>
        <w:t xml:space="preserve">The original netlogon share path is /home/samba/netlogon, but according to the </w:t>
      </w:r>
      <w:hyperlink w:anchor="page_682">
        <w:r>
          <w:rPr>
            <w:rStyle w:val="Text2"/>
          </w:rPr>
          <w:t>Filesystem</w:t>
        </w:r>
      </w:hyperlink>
    </w:p>
    <w:p>
      <w:pPr>
        <w:pStyle w:val="Para 03"/>
      </w:pPr>
      <w:hyperlink w:anchor="page_682">
        <w:r>
          <w:rPr>
            <w:rStyle w:val="Text2"/>
          </w:rPr>
          <w:t>Hierarchy Standard (FHS)</w:t>
        </w:r>
      </w:hyperlink>
      <w:r>
        <w:t xml:space="preserve"> </w:t>
      </w:r>
      <w:hyperlink r:id="rId1243">
        <w:r>
          <w:rPr>
            <w:rStyle w:val="Text9"/>
          </w:rPr>
          <w:t>268</w:t>
        </w:r>
      </w:hyperlink>
      <w:r>
        <w:t xml:space="preserve"> , </w:t>
      </w:r>
      <w:hyperlink r:id="rId1243">
        <w:r>
          <w:rPr>
            <w:rStyle w:val="Text1"/>
          </w:rPr>
          <w:t>/srv</w:t>
        </w:r>
      </w:hyperlink>
      <w:r>
        <w:t xml:space="preserve"> </w:t>
      </w:r>
      <w:hyperlink r:id="rId1243">
        <w:r>
          <w:rPr>
            <w:rStyle w:val="Text1"/>
          </w:rPr>
          <w:t>is the correct location</w:t>
        </w:r>
      </w:hyperlink>
      <w:r>
        <w:t xml:space="preserve"> for site-specific data provided by</w:t>
      </w:r>
    </w:p>
    <w:p>
      <w:pPr>
        <w:pStyle w:val="Para 03"/>
      </w:pPr>
      <w:r>
        <w:t>the system.</w:t>
      </w:r>
    </w:p>
    <w:p>
      <w:pPr>
        <w:pStyle w:val="Para 05"/>
      </w:pPr>
      <w:r>
        <w:rPr>
          <w:rStyle w:val="Text5"/>
        </w:rPr>
        <w:t>268</w:t>
      </w:r>
      <w:r>
        <w:rPr>
          <w:rStyle w:val="Text8"/>
        </w:rPr>
        <w:t xml:space="preserve"> </w:t>
      </w:r>
      <w:r>
        <w:t>https://www.pathname.com/fhs/pub/fhs-2.3.html#SRVDATAFORSERVICESPROVIDEDBYSYSTEM</w:t>
      </w:r>
    </w:p>
    <w:p>
      <w:pPr>
        <w:pStyle w:val="Para 17"/>
      </w:pPr>
      <w:r>
        <w:t/>
      </w:r>
    </w:p>
    <w:p>
      <w:pPr>
        <w:pStyle w:val="Normal"/>
      </w:pPr>
      <w:r>
        <w:t xml:space="preserve">Now create the netlogon directory, and an empty (for now) logon.cmd script file: </w:t>
        <w:t>sudo mkdir -p /srv/samba/netlogon</w:t>
      </w:r>
    </w:p>
    <w:p>
      <w:bookmarkStart w:id="456" w:name="page_3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5" name="index-320_1.png" descr="index-320_1.png"/>
            <wp:cNvGraphicFramePr>
              <a:graphicFrameLocks noChangeAspect="1"/>
            </wp:cNvGraphicFramePr>
            <a:graphic>
              <a:graphicData uri="http://schemas.openxmlformats.org/drawingml/2006/picture">
                <pic:pic>
                  <pic:nvPicPr>
                    <pic:cNvPr id="0" name="index-320_1.png" descr="index-320_1.png"/>
                    <pic:cNvPicPr/>
                  </pic:nvPicPr>
                  <pic:blipFill>
                    <a:blip r:embed="rId329"/>
                    <a:stretch>
                      <a:fillRect/>
                    </a:stretch>
                  </pic:blipFill>
                  <pic:spPr>
                    <a:xfrm>
                      <a:off x="0" y="0"/>
                      <a:ext cx="914400" cy="266700"/>
                    </a:xfrm>
                    <a:prstGeom prst="rect">
                      <a:avLst/>
                    </a:prstGeom>
                  </pic:spPr>
                </pic:pic>
              </a:graphicData>
            </a:graphic>
          </wp:anchor>
        </w:drawing>
      </w:r>
      <w:bookmarkEnd w:id="456"/>
    </w:p>
    <w:p>
      <w:pPr>
        <w:pStyle w:val="Normal"/>
      </w:pPr>
      <w:r>
        <w:t>sudo touch /srv/samba/netlogon/logon.cmd</w:t>
      </w:r>
    </w:p>
    <w:p>
      <w:pPr>
        <w:pStyle w:val="Para 17"/>
      </w:pPr>
      <w:r>
        <w:t/>
      </w:r>
    </w:p>
    <w:p>
      <w:pPr>
        <w:pStyle w:val="Normal"/>
      </w:pPr>
      <w:r>
        <w:t>You can enter any normal Windows logon script commands in logon.cmd to customize the client’s environment.</w:t>
      </w:r>
    </w:p>
    <w:p>
      <w:pPr>
        <w:pStyle w:val="Normal"/>
      </w:pPr>
      <w:r>
        <w:t>Restart Samba to enable the new domain controller, using the following command:</w:t>
      </w:r>
    </w:p>
    <w:p>
      <w:pPr>
        <w:pStyle w:val="Normal"/>
      </w:pPr>
      <w:r>
        <w:t>sudo systemctl restart smbd.service nmbd.service</w:t>
      </w:r>
    </w:p>
    <w:p>
      <w:pPr>
        <w:pStyle w:val="Para 17"/>
      </w:pPr>
      <w:r>
        <w:t/>
      </w:r>
    </w:p>
    <w:p>
      <w:pPr>
        <w:pStyle w:val="Para 01"/>
      </w:pPr>
      <w:r>
        <w:t>Final setup tasks</w:t>
      </w:r>
    </w:p>
    <w:p>
      <w:pPr>
        <w:pStyle w:val="Para 17"/>
      </w:pPr>
      <w:r>
        <w:t/>
      </w:r>
    </w:p>
    <w:p>
      <w:pPr>
        <w:pStyle w:val="Normal"/>
      </w:pPr>
      <w:r>
        <w:t>Lastly, there are a few additional commands needed to set up the appropriate rights.</w:t>
      </w:r>
    </w:p>
    <w:p>
      <w:pPr>
        <w:pStyle w:val="Normal"/>
      </w:pPr>
      <w:r>
        <w:t xml:space="preserve">Since </w:t>
      </w:r>
      <w:r>
        <w:rPr>
          <w:rStyle w:val="Text3"/>
        </w:rPr>
        <w:t>root</w:t>
      </w:r>
      <w:r>
        <w:t xml:space="preserve"> is disabled by default, a system group needs to be mapped to the Windows </w:t>
      </w:r>
      <w:r>
        <w:rPr>
          <w:rStyle w:val="Text3"/>
        </w:rPr>
        <w:t>Do-main Admins</w:t>
      </w:r>
      <w:r>
        <w:t xml:space="preserve"> group in order to join a workstation to the domain. Using the net utility, from a terminal enter:</w:t>
      </w:r>
    </w:p>
    <w:p>
      <w:pPr>
        <w:pStyle w:val="Normal"/>
      </w:pPr>
      <w:r>
        <w:t>sudo net groupmap add</w:t>
        <w:t xml:space="preserve"> </w:t>
        <w:t>ntgroup</w:t>
        <w:t>=</w:t>
        <w:t>"Domain Admins"</w:t>
        <w:t xml:space="preserve"> </w:t>
        <w:t>unixgroup</w:t>
        <w:t>=</w:t>
        <w:t>sysadmin</w:t>
        <w:t xml:space="preserve"> </w:t>
        <w:t>rid</w:t>
        <w:t>=</w:t>
        <w:t>512</w:t>
        <w:t xml:space="preserve"> </w:t>
        <w:t>type</w:t>
        <w:t>=</w:t>
        <w:t>d</w:t>
      </w:r>
    </w:p>
    <w:p>
      <w:pPr>
        <w:pStyle w:val="Para 17"/>
      </w:pPr>
      <w:r>
        <w:t/>
      </w:r>
    </w:p>
    <w:p>
      <w:pPr>
        <w:pStyle w:val="Normal"/>
      </w:pPr>
      <w:r>
        <w:t xml:space="preserve">You should change </w:t>
      </w:r>
      <w:r>
        <w:rPr>
          <w:rStyle w:val="Text3"/>
        </w:rPr>
        <w:t>sysadmin</w:t>
      </w:r>
      <w:r>
        <w:t xml:space="preserve"> to whichever group you prefer. Also, the user joining the domain needs to be a member of the </w:t>
      </w:r>
      <w:r>
        <w:rPr>
          <w:rStyle w:val="Text3"/>
        </w:rPr>
        <w:t>sysadmin</w:t>
      </w:r>
      <w:r>
        <w:t xml:space="preserve"> group, as well as a member of the system </w:t>
      </w:r>
      <w:r>
        <w:rPr>
          <w:rStyle w:val="Text3"/>
        </w:rPr>
        <w:t>admin</w:t>
      </w:r>
      <w:r>
        <w:t xml:space="preserve"> group. The </w:t>
      </w:r>
      <w:r>
        <w:rPr>
          <w:rStyle w:val="Text3"/>
        </w:rPr>
        <w:t>admin</w:t>
      </w:r>
      <w:r>
        <w:t xml:space="preserve"> group allows sudo use.</w:t>
      </w:r>
    </w:p>
    <w:p>
      <w:pPr>
        <w:pStyle w:val="Normal"/>
      </w:pPr>
      <w:r>
        <w:t xml:space="preserve">If the user does not have Samba credentials yet, you can add them with the smbpasswd utility. Change the </w:t>
      </w:r>
      <w:r>
        <w:rPr>
          <w:rStyle w:val="Text3"/>
        </w:rPr>
        <w:t>sysadmin</w:t>
      </w:r>
      <w:r>
        <w:t xml:space="preserve"> username appropriately:</w:t>
      </w:r>
    </w:p>
    <w:p>
      <w:pPr>
        <w:pStyle w:val="Normal"/>
      </w:pPr>
      <w:r>
        <w:t>sudo smbpasswd -a sysadmin</w:t>
      </w:r>
    </w:p>
    <w:p>
      <w:pPr>
        <w:pStyle w:val="Para 17"/>
      </w:pPr>
      <w:r>
        <w:t/>
      </w:r>
    </w:p>
    <w:p>
      <w:pPr>
        <w:pStyle w:val="Normal"/>
      </w:pPr>
      <w:r>
        <w:t xml:space="preserve">Also, rights need to be explicitly provided to the </w:t>
      </w:r>
      <w:r>
        <w:rPr>
          <w:rStyle w:val="Text3"/>
        </w:rPr>
        <w:t>Domain Admins</w:t>
      </w:r>
      <w:r>
        <w:t xml:space="preserve"> group to allow the </w:t>
      </w:r>
      <w:r>
        <w:rPr>
          <w:rStyle w:val="Text3"/>
        </w:rPr>
        <w:t>add ma-chine script</w:t>
      </w:r>
      <w:r>
        <w:t xml:space="preserve"> (and other admin functions) to work. This is achieved by executing:</w:t>
      </w:r>
    </w:p>
    <w:p>
      <w:pPr>
        <w:pStyle w:val="Normal"/>
      </w:pPr>
      <w:r>
        <w:t>net rpc rights grant -U sysadmin</w:t>
        <w:t xml:space="preserve"> </w:t>
        <w:t>"EXAMPLE\Domain Admins"</w:t>
        <w:t xml:space="preserve"> </w:t>
        <w:t>SeMachineAccountPrivilege</w:t>
        <w:t xml:space="preserve"> </w:t>
      </w:r>
      <w:r>
        <w:rPr>
          <w:rStyle w:val="Text0"/>
        </w:rPr>
        <w:t>\</w:t>
      </w:r>
      <w:r>
        <w:t xml:space="preserve"> </w:t>
        <w:t>SePrintOperatorPrivilege SeAddUsersPrivilege SeDiskOperatorPrivilege</w:t>
        <w:t xml:space="preserve"> </w:t>
      </w:r>
      <w:r>
        <w:rPr>
          <w:rStyle w:val="Text0"/>
        </w:rPr>
        <w:t>\</w:t>
      </w:r>
      <w:r>
        <w:t xml:space="preserve"> </w:t>
        <w:t>SeRemoteShutdownPrivilege</w:t>
      </w:r>
    </w:p>
    <w:p>
      <w:pPr>
        <w:pStyle w:val="Para 17"/>
      </w:pPr>
      <w:r>
        <w:t/>
      </w:r>
    </w:p>
    <w:p>
      <w:pPr>
        <w:pStyle w:val="Normal"/>
      </w:pPr>
      <w:r>
        <w:t>You should now be able to join Windows clients to the Domain in the same manner as joining them to an NT4 domain running on a Windows server.</w:t>
      </w:r>
    </w:p>
    <w:p>
      <w:pPr>
        <w:pStyle w:val="Para 17"/>
      </w:pPr>
      <w:r>
        <w:t/>
      </w:r>
    </w:p>
    <w:p>
      <w:pPr>
        <w:pStyle w:val="Para 01"/>
      </w:pPr>
      <w:r>
        <w:t>Backup domain controller</w:t>
      </w:r>
    </w:p>
    <w:p>
      <w:pPr>
        <w:pStyle w:val="Para 17"/>
      </w:pPr>
      <w:r>
        <w:t/>
      </w:r>
    </w:p>
    <w:p>
      <w:pPr>
        <w:pStyle w:val="Normal"/>
      </w:pPr>
      <w:r>
        <w:t>With a Primary Domain Controller (PDC) on the network it is best to have a Backup Domain Controller (BDC) as well. This will allow clients to authenticate in case the PDC becomes unavailable.</w:t>
      </w:r>
    </w:p>
    <w:p>
      <w:pPr>
        <w:pStyle w:val="Normal"/>
      </w:pPr>
      <w:r>
        <w:t>When configuring Samba as a BDC you need a way to sync account information with the PDC. There are multiple ways of accomplishing this; secure copy protocol (SCP), rsync, or by using LDAP as the passdb backend.</w:t>
      </w:r>
    </w:p>
    <w:p>
      <w:pPr>
        <w:pStyle w:val="Normal"/>
      </w:pPr>
      <w:r>
        <w:t>Using LDAP is the most robust way to sync account information, because both domain con-trollers can use the same information in real time. However, setting up an LDAP server may</w:t>
      </w:r>
    </w:p>
    <w:p>
      <w:pPr>
        <w:pStyle w:val="Normal"/>
      </w:pPr>
      <w:r>
        <w:t xml:space="preserve">be overly complicated for a small number of user and computer accounts. See </w:t>
      </w:r>
      <w:hyperlink w:anchor="page_322">
        <w:r>
          <w:rPr>
            <w:rStyle w:val="Text2"/>
          </w:rPr>
          <w:t>Samba - OpenL-</w:t>
        </w:r>
      </w:hyperlink>
    </w:p>
    <w:p>
      <w:pPr>
        <w:pStyle w:val="Normal"/>
      </w:pPr>
      <w:hyperlink w:anchor="page_322">
        <w:r>
          <w:rPr>
            <w:rStyle w:val="Text2"/>
          </w:rPr>
          <w:t>DAP Backend</w:t>
        </w:r>
      </w:hyperlink>
      <w:r>
        <w:t xml:space="preserve"> (page 321) for details.</w:t>
      </w:r>
    </w:p>
    <w:p>
      <w:bookmarkStart w:id="457" w:name="page_3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6" name="index-321_1.png" descr="index-321_1.png"/>
            <wp:cNvGraphicFramePr>
              <a:graphicFrameLocks noChangeAspect="1"/>
            </wp:cNvGraphicFramePr>
            <a:graphic>
              <a:graphicData uri="http://schemas.openxmlformats.org/drawingml/2006/picture">
                <pic:pic>
                  <pic:nvPicPr>
                    <pic:cNvPr id="0" name="index-321_1.png" descr="index-321_1.png"/>
                    <pic:cNvPicPr/>
                  </pic:nvPicPr>
                  <pic:blipFill>
                    <a:blip r:embed="rId330"/>
                    <a:stretch>
                      <a:fillRect/>
                    </a:stretch>
                  </pic:blipFill>
                  <pic:spPr>
                    <a:xfrm>
                      <a:off x="0" y="0"/>
                      <a:ext cx="914400" cy="266700"/>
                    </a:xfrm>
                    <a:prstGeom prst="rect">
                      <a:avLst/>
                    </a:prstGeom>
                  </pic:spPr>
                </pic:pic>
              </a:graphicData>
            </a:graphic>
          </wp:anchor>
        </w:drawing>
      </w:r>
      <w:bookmarkEnd w:id="457"/>
    </w:p>
    <w:p>
      <w:pPr>
        <w:pStyle w:val="Normal"/>
      </w:pPr>
      <w:r>
        <w:t>First, install samba and libpam-winbind. From a terminal enter:</w:t>
      </w:r>
    </w:p>
    <w:p>
      <w:pPr>
        <w:pStyle w:val="Normal"/>
      </w:pPr>
      <w:r>
        <w:t>sudo apt install samba libpam-winbind</w:t>
      </w:r>
    </w:p>
    <w:p>
      <w:pPr>
        <w:pStyle w:val="Para 17"/>
      </w:pPr>
      <w:r>
        <w:t/>
      </w:r>
    </w:p>
    <w:p>
      <w:pPr>
        <w:pStyle w:val="Normal"/>
      </w:pPr>
      <w:r>
        <w:t xml:space="preserve">Now, edit /etc/samba/smb.conf and uncomment the following in the </w:t>
      </w:r>
      <w:r>
        <w:rPr>
          <w:rStyle w:val="Text3"/>
        </w:rPr>
        <w:t>[global]</w:t>
      </w:r>
      <w:r>
        <w:t xml:space="preserve"> :</w:t>
      </w:r>
    </w:p>
    <w:p>
      <w:pPr>
        <w:pStyle w:val="Normal"/>
      </w:pPr>
      <w:r>
        <w:t>workgroup = EXAMPLE</w:t>
      </w:r>
    </w:p>
    <w:p>
      <w:pPr>
        <w:pStyle w:val="Normal"/>
      </w:pPr>
      <w:r>
        <w:t>...</w:t>
      </w:r>
    </w:p>
    <w:p>
      <w:pPr>
        <w:pStyle w:val="Normal"/>
      </w:pPr>
      <w:r>
        <w:t>security = user</w:t>
      </w:r>
    </w:p>
    <w:p>
      <w:pPr>
        <w:pStyle w:val="Para 17"/>
      </w:pPr>
      <w:r>
        <w:t/>
      </w:r>
    </w:p>
    <w:p>
      <w:pPr>
        <w:pStyle w:val="Normal"/>
      </w:pPr>
      <w:r>
        <w:t xml:space="preserve">In the commented </w:t>
      </w:r>
      <w:r>
        <w:rPr>
          <w:rStyle w:val="Text3"/>
        </w:rPr>
        <w:t>Domains</w:t>
      </w:r>
      <w:r>
        <w:t xml:space="preserve"> uncomment or add:</w:t>
      </w:r>
    </w:p>
    <w:p>
      <w:pPr>
        <w:pStyle w:val="Normal"/>
      </w:pPr>
      <w:r>
        <w:t>domain logons = yes</w:t>
      </w:r>
    </w:p>
    <w:p>
      <w:pPr>
        <w:pStyle w:val="Normal"/>
      </w:pPr>
      <w:r>
        <w:t>domain master = no</w:t>
      </w:r>
    </w:p>
    <w:p>
      <w:pPr>
        <w:pStyle w:val="Para 17"/>
      </w:pPr>
      <w:r>
        <w:t/>
      </w:r>
    </w:p>
    <w:p>
      <w:pPr>
        <w:pStyle w:val="Normal"/>
      </w:pPr>
      <w:r>
        <w:t xml:space="preserve">Make sure a user has rights to read the files in /var/lib/samba. For example, to allow users in the </w:t>
      </w:r>
      <w:r>
        <w:rPr>
          <w:rStyle w:val="Text3"/>
        </w:rPr>
        <w:t>admin</w:t>
      </w:r>
      <w:r>
        <w:t xml:space="preserve"> group to SCP the files, enter:</w:t>
      </w:r>
    </w:p>
    <w:p>
      <w:pPr>
        <w:pStyle w:val="Normal"/>
      </w:pPr>
      <w:r>
        <w:t>sudo chgrp -R admin /var/lib/samba</w:t>
      </w:r>
    </w:p>
    <w:p>
      <w:pPr>
        <w:pStyle w:val="Para 17"/>
      </w:pPr>
      <w:r>
        <w:t/>
      </w:r>
    </w:p>
    <w:p>
      <w:pPr>
        <w:pStyle w:val="Normal"/>
      </w:pPr>
      <w:r>
        <w:t>Next, sync the user accounts, using SCP to copy the /var/lib/samba directory from the PDC:</w:t>
      </w:r>
    </w:p>
    <w:p>
      <w:pPr>
        <w:pStyle w:val="Normal"/>
      </w:pPr>
      <w:r>
        <w:t>sudo scp -r username@pdc:/var/lib/samba /var/lib</w:t>
      </w:r>
    </w:p>
    <w:p>
      <w:pPr>
        <w:pStyle w:val="Para 17"/>
      </w:pPr>
      <w:r>
        <w:t/>
      </w:r>
    </w:p>
    <w:p>
      <w:pPr>
        <w:pStyle w:val="Normal"/>
      </w:pPr>
      <w:r>
        <w:t xml:space="preserve">You can replace </w:t>
      </w:r>
      <w:r>
        <w:rPr>
          <w:rStyle w:val="Text3"/>
        </w:rPr>
        <w:t>username</w:t>
      </w:r>
      <w:r>
        <w:t xml:space="preserve"> with a valid username and </w:t>
      </w:r>
      <w:r>
        <w:rPr>
          <w:rStyle w:val="Text3"/>
        </w:rPr>
        <w:t>pdc</w:t>
      </w:r>
      <w:r>
        <w:t xml:space="preserve"> with the </w:t>
      </w:r>
      <w:hyperlink w:anchor="page_688">
        <w:r>
          <w:rPr>
            <w:rStyle w:val="Text2"/>
          </w:rPr>
          <w:t>hostname</w:t>
        </w:r>
      </w:hyperlink>
      <w:r>
        <w:t xml:space="preserve"> or IP address of your actual PDC.</w:t>
      </w:r>
    </w:p>
    <w:p>
      <w:pPr>
        <w:pStyle w:val="Normal"/>
      </w:pPr>
      <w:r>
        <w:t>Finally, restart samba:</w:t>
      </w:r>
    </w:p>
    <w:p>
      <w:pPr>
        <w:pStyle w:val="Normal"/>
      </w:pPr>
      <w:r>
        <w:t>sudo systemctl restart smbd.service nmbd.service</w:t>
      </w:r>
    </w:p>
    <w:p>
      <w:pPr>
        <w:pStyle w:val="Para 17"/>
      </w:pPr>
      <w:r>
        <w:t/>
      </w:r>
    </w:p>
    <w:p>
      <w:pPr>
        <w:pStyle w:val="Normal"/>
      </w:pPr>
      <w:r>
        <w:t>You can test that your Backup Domain Controller is working by first stopping the Samba dae-mon on the PDC – then try to log in to a Windows client joined to the domain.</w:t>
      </w:r>
    </w:p>
    <w:p>
      <w:pPr>
        <w:pStyle w:val="Normal"/>
      </w:pPr>
      <w:r>
        <w:t xml:space="preserve">Another thing to keep in mind is if you have configured the logon home option as a directory on the PDC, and the PDC becomes unavailable, access to the user’s </w:t>
      </w:r>
      <w:r>
        <w:rPr>
          <w:rStyle w:val="Text3"/>
        </w:rPr>
        <w:t>Home</w:t>
      </w:r>
      <w:r>
        <w:t xml:space="preserve"> drive will also be unavailable. For this reason it is best to configure the logon home to reside on a separate file server from the PDC and BDC.</w:t>
      </w:r>
    </w:p>
    <w:p>
      <w:pPr>
        <w:pStyle w:val="Para 17"/>
      </w:pPr>
      <w:r>
        <w:t/>
      </w:r>
    </w:p>
    <w:p>
      <w:pPr>
        <w:pStyle w:val="Para 01"/>
      </w:pPr>
      <w:r>
        <w:t>Further reading</w:t>
      </w:r>
    </w:p>
    <w:p>
      <w:pPr>
        <w:pStyle w:val="Para 17"/>
      </w:pPr>
      <w:r>
        <w:t/>
      </w:r>
    </w:p>
    <w:p>
      <w:pPr>
        <w:pStyle w:val="Para 04"/>
      </w:pPr>
      <w:r>
        <w:t xml:space="preserve">• For in depth Samba configurations see the </w:t>
      </w:r>
      <w:hyperlink r:id="rId1242">
        <w:r>
          <w:rPr>
            <w:rStyle w:val="Text9"/>
          </w:rPr>
          <w:t>269</w:t>
        </w:r>
      </w:hyperlink>
      <w:hyperlink r:id="rId1242">
        <w:r>
          <w:rPr>
            <w:rStyle w:val="Text1"/>
          </w:rPr>
          <w:t xml:space="preserve"> Samba HOWTO Collection</w:t>
        </w:r>
      </w:hyperlink>
      <w:r>
        <w:t>.</w:t>
      </w:r>
    </w:p>
    <w:p>
      <w:pPr>
        <w:pStyle w:val="Para 04"/>
      </w:pPr>
      <w:r>
        <w:t xml:space="preserve">• The guide is also available </w:t>
      </w:r>
      <w:hyperlink w:anchor="page_321">
        <w:r>
          <w:rPr>
            <w:rStyle w:val="Text9"/>
          </w:rPr>
          <w:t>270</w:t>
        </w:r>
      </w:hyperlink>
      <w:r>
        <w:t xml:space="preserve"> </w:t>
      </w:r>
      <w:hyperlink r:id="rId1244">
        <w:r>
          <w:rPr>
            <w:rStyle w:val="Text1"/>
          </w:rPr>
          <w:t>in printed format</w:t>
        </w:r>
      </w:hyperlink>
      <w:r>
        <w:t>.</w:t>
      </w:r>
    </w:p>
    <w:p>
      <w:pPr>
        <w:pStyle w:val="Para 04"/>
      </w:pPr>
      <w:r>
        <w:t xml:space="preserve">• O’Reilly’s </w:t>
      </w:r>
      <w:hyperlink r:id="rId1245">
        <w:r>
          <w:rPr>
            <w:rStyle w:val="Text9"/>
          </w:rPr>
          <w:t>271</w:t>
        </w:r>
      </w:hyperlink>
      <w:hyperlink r:id="rId1245">
        <w:r>
          <w:rPr>
            <w:rStyle w:val="Text1"/>
          </w:rPr>
          <w:t xml:space="preserve"> Using Samba</w:t>
        </w:r>
      </w:hyperlink>
      <w:r>
        <w:t xml:space="preserve"> is also a good reference.</w:t>
      </w:r>
    </w:p>
    <w:p>
      <w:pPr>
        <w:pStyle w:val="Para 04"/>
      </w:pPr>
      <w:r>
        <w:t xml:space="preserve">• </w:t>
      </w:r>
      <w:hyperlink r:id="rId1258">
        <w:r>
          <w:rPr>
            <w:rStyle w:val="Text9"/>
          </w:rPr>
          <w:t>272</w:t>
        </w:r>
      </w:hyperlink>
      <w:hyperlink r:id="rId1258">
        <w:r>
          <w:rPr>
            <w:rStyle w:val="Text1"/>
          </w:rPr>
          <w:t xml:space="preserve"> Chapter 4</w:t>
        </w:r>
      </w:hyperlink>
      <w:r>
        <w:t xml:space="preserve"> of the Samba HOWTO Collection explains setting up a Primary Domain</w:t>
      </w:r>
    </w:p>
    <w:p>
      <w:pPr>
        <w:pStyle w:val="Para 02"/>
      </w:pPr>
      <w:r>
        <w:t>Controller.</w:t>
      </w:r>
    </w:p>
    <w:p>
      <w:pPr>
        <w:pStyle w:val="Para 06"/>
      </w:pPr>
      <w:r>
        <w:rPr>
          <w:rStyle w:val="Text0"/>
        </w:rPr>
        <w:t>–</w:t>
      </w:r>
      <w:r>
        <w:t xml:space="preserve"> </w:t>
      </w:r>
      <w:hyperlink w:anchor="page_321">
        <w:r>
          <w:rPr>
            <w:rStyle w:val="Text9"/>
          </w:rPr>
          <w:t>273</w:t>
        </w:r>
      </w:hyperlink>
      <w:r>
        <w:t xml:space="preserve"> </w:t>
      </w:r>
      <w:hyperlink r:id="rId1259">
        <w:r>
          <w:rPr>
            <w:rStyle w:val="Text1"/>
          </w:rPr>
          <w:t>Chapter 5</w:t>
        </w:r>
      </w:hyperlink>
      <w:r>
        <w:t xml:space="preserve"> of the Samba HOWTO Collection explains setting up a Backup Domain</w:t>
      </w:r>
    </w:p>
    <w:p>
      <w:pPr>
        <w:pStyle w:val="Para 11"/>
      </w:pPr>
      <w:r>
        <w:t>Controller.</w:t>
      </w:r>
    </w:p>
    <w:p>
      <w:pPr>
        <w:pStyle w:val="Para 05"/>
      </w:pPr>
      <w:r>
        <w:rPr>
          <w:rStyle w:val="Text5"/>
        </w:rPr>
        <w:t>269</w:t>
      </w:r>
      <w:r>
        <w:rPr>
          <w:rStyle w:val="Text8"/>
        </w:rPr>
        <w:t xml:space="preserve"> </w:t>
      </w:r>
      <w:r>
        <w:t>https://www.samba.org/samba/docs/old/Samba3-HOWTO/</w:t>
      </w:r>
    </w:p>
    <w:p>
      <w:pPr>
        <w:pStyle w:val="Para 05"/>
      </w:pPr>
      <w:r>
        <w:rPr>
          <w:rStyle w:val="Text5"/>
        </w:rPr>
        <w:t>270</w:t>
      </w:r>
      <w:r>
        <w:rPr>
          <w:rStyle w:val="Text8"/>
        </w:rPr>
        <w:t xml:space="preserve"> </w:t>
      </w:r>
      <w:r>
        <w:t>https://www.amazon.com/exec/obidos/tg/detail/-/0131882228</w:t>
      </w:r>
    </w:p>
    <w:p>
      <w:pPr>
        <w:pStyle w:val="Para 05"/>
      </w:pPr>
      <w:r>
        <w:rPr>
          <w:rStyle w:val="Text5"/>
        </w:rPr>
        <w:t>271</w:t>
      </w:r>
      <w:r>
        <w:rPr>
          <w:rStyle w:val="Text8"/>
        </w:rPr>
        <w:t xml:space="preserve"> </w:t>
      </w:r>
      <w:r>
        <w:t>https://www.oreilly.com/library/view/using-samba-3rd/0596007698/</w:t>
      </w:r>
    </w:p>
    <w:p>
      <w:pPr>
        <w:pStyle w:val="Para 05"/>
      </w:pPr>
      <w:r>
        <w:rPr>
          <w:rStyle w:val="Text5"/>
        </w:rPr>
        <w:t>272</w:t>
      </w:r>
      <w:r>
        <w:rPr>
          <w:rStyle w:val="Text8"/>
        </w:rPr>
        <w:t xml:space="preserve"> </w:t>
      </w:r>
      <w:r>
        <w:t>https://www.samba.org/samba/docs/old/Samba3-HOWTO/samba-pdc.html</w:t>
      </w:r>
    </w:p>
    <w:p>
      <w:pPr>
        <w:pStyle w:val="Para 05"/>
      </w:pPr>
      <w:r>
        <w:rPr>
          <w:rStyle w:val="Text5"/>
        </w:rPr>
        <w:t>273</w:t>
      </w:r>
      <w:r>
        <w:rPr>
          <w:rStyle w:val="Text8"/>
        </w:rPr>
        <w:t xml:space="preserve"> </w:t>
      </w:r>
      <w:r>
        <w:t>https://www.samba.org/samba/docs/old/Samba3-HOWTO/samba-bdc.html</w:t>
      </w:r>
    </w:p>
    <w:p>
      <w:bookmarkStart w:id="458" w:name="page_3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7" name="index-322_1.png" descr="index-322_1.png"/>
            <wp:cNvGraphicFramePr>
              <a:graphicFrameLocks noChangeAspect="1"/>
            </wp:cNvGraphicFramePr>
            <a:graphic>
              <a:graphicData uri="http://schemas.openxmlformats.org/drawingml/2006/picture">
                <pic:pic>
                  <pic:nvPicPr>
                    <pic:cNvPr id="0" name="index-322_1.png" descr="index-322_1.png"/>
                    <pic:cNvPicPr/>
                  </pic:nvPicPr>
                  <pic:blipFill>
                    <a:blip r:embed="rId331"/>
                    <a:stretch>
                      <a:fillRect/>
                    </a:stretch>
                  </pic:blipFill>
                  <pic:spPr>
                    <a:xfrm>
                      <a:off x="0" y="0"/>
                      <a:ext cx="914400" cy="266700"/>
                    </a:xfrm>
                    <a:prstGeom prst="rect">
                      <a:avLst/>
                    </a:prstGeom>
                  </pic:spPr>
                </pic:pic>
              </a:graphicData>
            </a:graphic>
          </wp:anchor>
        </w:drawing>
      </w:r>
      <w:bookmarkEnd w:id="458"/>
    </w:p>
    <w:p>
      <w:pPr>
        <w:pStyle w:val="Para 27"/>
      </w:pPr>
      <w:r>
        <w:rPr>
          <w:rStyle w:val="Text18"/>
        </w:rPr>
        <w:t>–</w:t>
      </w:r>
      <w:r>
        <w:rPr>
          <w:rStyle w:val="Text7"/>
        </w:rPr>
        <w:t xml:space="preserve"> </w:t>
      </w:r>
      <w:hyperlink w:anchor="page_322">
        <w:r>
          <w:rPr>
            <w:rStyle w:val="Text10"/>
          </w:rPr>
          <w:t>274</w:t>
        </w:r>
      </w:hyperlink>
      <w:r>
        <w:rPr>
          <w:rStyle w:val="Text7"/>
        </w:rPr>
        <w:t xml:space="preserve"> The </w:t>
      </w:r>
      <w:hyperlink r:id="rId1246">
        <w:r>
          <w:t>Ubuntu Wiki Samba</w:t>
        </w:r>
      </w:hyperlink>
      <w:r>
        <w:rPr>
          <w:rStyle w:val="Text7"/>
        </w:rPr>
        <w:t xml:space="preserve"> page.</w:t>
      </w:r>
    </w:p>
    <w:p>
      <w:pPr>
        <w:pStyle w:val="Para 17"/>
      </w:pPr>
      <w:r>
        <w:t/>
      </w:r>
    </w:p>
    <w:p>
      <w:pPr>
        <w:pStyle w:val="Para 01"/>
      </w:pPr>
      <w:r>
        <w:t>OpenLDAP backend (legacy)</w:t>
      </w:r>
    </w:p>
    <w:p>
      <w:pPr>
        <w:pStyle w:val="Para 17"/>
      </w:pPr>
      <w:r>
        <w:t/>
      </w:r>
    </w:p>
    <w:p>
      <w:pPr>
        <w:pStyle w:val="Para 08"/>
      </w:pPr>
      <w:r>
        <w:t>Note:</w:t>
      </w:r>
    </w:p>
    <w:p>
      <w:pPr>
        <w:pStyle w:val="Para 03"/>
      </w:pPr>
      <w:r>
        <w:t xml:space="preserve">This section is flagged as </w:t>
      </w:r>
      <w:r>
        <w:rPr>
          <w:rStyle w:val="Text3"/>
        </w:rPr>
        <w:t>legacy</w:t>
      </w:r>
      <w:r>
        <w:t xml:space="preserve"> because nowadays, Samba 4 is best integrated with its</w:t>
      </w:r>
    </w:p>
    <w:p>
      <w:pPr>
        <w:pStyle w:val="Para 03"/>
      </w:pPr>
      <w:r>
        <w:t>own LDAP server in Active Directory mode. Integrating Samba with LDAP as described</w:t>
      </w:r>
    </w:p>
    <w:p>
      <w:pPr>
        <w:pStyle w:val="Para 03"/>
      </w:pPr>
      <w:r>
        <w:t>here covers the NT4 mode, which has been deprecated for many years.</w:t>
      </w:r>
    </w:p>
    <w:p>
      <w:pPr>
        <w:pStyle w:val="Para 17"/>
      </w:pPr>
      <w:r>
        <w:t/>
      </w:r>
    </w:p>
    <w:p>
      <w:pPr>
        <w:pStyle w:val="Normal"/>
      </w:pPr>
      <w:r>
        <w:t>This section covers the integration of Samba with LDAP. The Samba server’s role will be that of a “standalone” server and the LDAP directory will provide the authentication layer in addi-tion to containing the user, group, and machine account information that Samba requires in order to function (in any of its 3 possible roles). The pre-requisite is an OpenLDAP server con-</w:t>
      </w:r>
    </w:p>
    <w:p>
      <w:pPr>
        <w:pStyle w:val="Normal"/>
      </w:pPr>
      <w:r>
        <w:t xml:space="preserve">figured with a directory that can accept authentication requests. See </w:t>
      </w:r>
      <w:hyperlink w:anchor="page_372">
        <w:r>
          <w:rPr>
            <w:rStyle w:val="Text2"/>
          </w:rPr>
          <w:t>Install LDAP</w:t>
        </w:r>
      </w:hyperlink>
      <w:r>
        <w:t xml:space="preserve"> (page 371)</w:t>
      </w:r>
    </w:p>
    <w:p>
      <w:pPr>
        <w:pStyle w:val="Normal"/>
      </w:pPr>
      <w:r>
        <w:t xml:space="preserve">and </w:t>
      </w:r>
      <w:hyperlink w:anchor="page_397">
        <w:r>
          <w:rPr>
            <w:rStyle w:val="Text2"/>
          </w:rPr>
          <w:t>LDAP with Transport Layer Security</w:t>
        </w:r>
      </w:hyperlink>
      <w:r>
        <w:t xml:space="preserve"> (page 396) for details on fulfilling this requirement. Once those steps are completed, you will need to decide what specifically you want Samba to do for you and then configure it accordingly.</w:t>
      </w:r>
    </w:p>
    <w:p>
      <w:pPr>
        <w:pStyle w:val="Normal"/>
      </w:pPr>
      <w:r>
        <w:t xml:space="preserve">This guide will assume that the LDAP and Samba services are running on the same server and therefore use SASL EXTERNAL authentication whenever changing something under </w:t>
      </w:r>
      <w:r>
        <w:rPr>
          <w:rStyle w:val="Text3"/>
        </w:rPr>
        <w:t>cn=config</w:t>
      </w:r>
      <w:r>
        <w:t>. If that is not your scenario, you will have to run those LDAP commands on the LDAP server.</w:t>
      </w:r>
    </w:p>
    <w:p>
      <w:pPr>
        <w:pStyle w:val="Para 17"/>
      </w:pPr>
      <w:r>
        <w:t/>
      </w:r>
    </w:p>
    <w:p>
      <w:pPr>
        <w:pStyle w:val="Para 01"/>
      </w:pPr>
      <w:r>
        <w:t>Install the software</w:t>
      </w:r>
    </w:p>
    <w:p>
      <w:pPr>
        <w:pStyle w:val="Para 17"/>
      </w:pPr>
      <w:r>
        <w:t/>
      </w:r>
    </w:p>
    <w:p>
      <w:pPr>
        <w:pStyle w:val="Normal"/>
      </w:pPr>
      <w:r>
        <w:t>There are two packages needed when integrating Samba with LDAP: samba and smbldap-tools.</w:t>
      </w:r>
    </w:p>
    <w:p>
      <w:pPr>
        <w:pStyle w:val="Normal"/>
      </w:pPr>
      <w:r>
        <w:t>Strictly speaking, the smbldap-tools package isn’t needed, but unless you have some other way to manage the various Samba entities (users, groups, computers) in an LDAP context then you should install it.</w:t>
      </w:r>
    </w:p>
    <w:p>
      <w:pPr>
        <w:pStyle w:val="Normal"/>
      </w:pPr>
      <w:r>
        <w:t>Install these packages now:</w:t>
      </w:r>
    </w:p>
    <w:p>
      <w:pPr>
        <w:pStyle w:val="Normal"/>
      </w:pPr>
      <w:r>
        <w:t>sudo apt install samba smbldap-tools</w:t>
      </w:r>
    </w:p>
    <w:p>
      <w:pPr>
        <w:pStyle w:val="Para 17"/>
      </w:pPr>
      <w:r>
        <w:t/>
      </w:r>
    </w:p>
    <w:p>
      <w:pPr>
        <w:pStyle w:val="Para 01"/>
      </w:pPr>
      <w:r>
        <w:t>Configure LDAP</w:t>
      </w:r>
    </w:p>
    <w:p>
      <w:pPr>
        <w:pStyle w:val="Para 17"/>
      </w:pPr>
      <w:r>
        <w:t/>
      </w:r>
    </w:p>
    <w:p>
      <w:pPr>
        <w:pStyle w:val="Normal"/>
      </w:pPr>
      <w:r>
        <w:t>We will now configure the LDAP server so that it can accommodate Samba data. We will perform three tasks in this section:</w:t>
      </w:r>
    </w:p>
    <w:p>
      <w:pPr>
        <w:pStyle w:val="Para 04"/>
      </w:pPr>
      <w:r>
        <w:t>• Import a schema</w:t>
      </w:r>
    </w:p>
    <w:p>
      <w:pPr>
        <w:pStyle w:val="Para 04"/>
      </w:pPr>
      <w:r>
        <w:t>• Index some entries</w:t>
      </w:r>
    </w:p>
    <w:p>
      <w:pPr>
        <w:pStyle w:val="Para 04"/>
      </w:pPr>
      <w:r>
        <w:t>• Add objects</w:t>
      </w:r>
    </w:p>
    <w:p>
      <w:pPr>
        <w:pStyle w:val="Para 05"/>
      </w:pPr>
      <w:r>
        <w:rPr>
          <w:rStyle w:val="Text5"/>
        </w:rPr>
        <w:t>274</w:t>
      </w:r>
      <w:r>
        <w:rPr>
          <w:rStyle w:val="Text8"/>
        </w:rPr>
        <w:t xml:space="preserve"> </w:t>
      </w:r>
      <w:r>
        <w:t>https://help.ubuntu.com/community/Samba</w:t>
      </w:r>
    </w:p>
    <w:p>
      <w:bookmarkStart w:id="459" w:name="page_3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8" name="index-323_1.png" descr="index-323_1.png"/>
            <wp:cNvGraphicFramePr>
              <a:graphicFrameLocks noChangeAspect="1"/>
            </wp:cNvGraphicFramePr>
            <a:graphic>
              <a:graphicData uri="http://schemas.openxmlformats.org/drawingml/2006/picture">
                <pic:pic>
                  <pic:nvPicPr>
                    <pic:cNvPr id="0" name="index-323_1.png" descr="index-323_1.png"/>
                    <pic:cNvPicPr/>
                  </pic:nvPicPr>
                  <pic:blipFill>
                    <a:blip r:embed="rId332"/>
                    <a:stretch>
                      <a:fillRect/>
                    </a:stretch>
                  </pic:blipFill>
                  <pic:spPr>
                    <a:xfrm>
                      <a:off x="0" y="0"/>
                      <a:ext cx="914400" cy="266700"/>
                    </a:xfrm>
                    <a:prstGeom prst="rect">
                      <a:avLst/>
                    </a:prstGeom>
                  </pic:spPr>
                </pic:pic>
              </a:graphicData>
            </a:graphic>
          </wp:anchor>
        </w:drawing>
      </w:r>
      <w:bookmarkEnd w:id="459"/>
    </w:p>
    <w:p>
      <w:pPr>
        <w:pStyle w:val="Para 01"/>
      </w:pPr>
      <w:r>
        <w:t>Samba schema</w:t>
      </w:r>
    </w:p>
    <w:p>
      <w:pPr>
        <w:pStyle w:val="Para 17"/>
      </w:pPr>
      <w:r>
        <w:t/>
      </w:r>
    </w:p>
    <w:p>
      <w:pPr>
        <w:pStyle w:val="Normal"/>
      </w:pPr>
      <w:r>
        <w:t>In order for OpenLDAP to be used as a backend for Samba, the DIT will need to use attributes that can properly describe Samba data. Such attributes can be obtained by introducing a Samba LDAP schema. Let’s do this now.</w:t>
      </w:r>
    </w:p>
    <w:p>
      <w:pPr>
        <w:pStyle w:val="Normal"/>
      </w:pPr>
      <w:r>
        <w:t>The schema is found in the now-installed samba package and is already in the LDIF format. We can import it with one simple command:</w:t>
      </w:r>
    </w:p>
    <w:p>
      <w:pPr>
        <w:pStyle w:val="Normal"/>
      </w:pPr>
      <w:r>
        <w:t>sudo ldapadd -Q -Y EXTERNAL -H ldapi:/// -f /usr/share/doc/samba/examples/LDAP/samba.ldif</w:t>
      </w:r>
    </w:p>
    <w:p>
      <w:pPr>
        <w:pStyle w:val="Para 17"/>
      </w:pPr>
      <w:r>
        <w:t/>
      </w:r>
    </w:p>
    <w:p>
      <w:pPr>
        <w:pStyle w:val="Normal"/>
      </w:pPr>
      <w:r>
        <w:t>To query and view this new schema:</w:t>
      </w:r>
    </w:p>
    <w:p>
      <w:pPr>
        <w:pStyle w:val="Normal"/>
      </w:pPr>
      <w:r>
        <w:t>sudo ldapsearch -Q -LLL -Y EXTERNAL -H ldapi:/// -b</w:t>
        <w:t xml:space="preserve"> </w:t>
        <w:t>cn</w:t>
        <w:t>=</w:t>
        <w:t>schema,cn</w:t>
        <w:t>=</w:t>
        <w:t>config</w:t>
        <w:t xml:space="preserve"> </w:t>
        <w:t>'cn=*samba*'</w:t>
      </w:r>
    </w:p>
    <w:p>
      <w:pPr>
        <w:pStyle w:val="Para 17"/>
      </w:pPr>
      <w:r>
        <w:t/>
      </w:r>
    </w:p>
    <w:p>
      <w:pPr>
        <w:pStyle w:val="Para 01"/>
      </w:pPr>
      <w:r>
        <w:t>Samba indices</w:t>
      </w:r>
    </w:p>
    <w:p>
      <w:pPr>
        <w:pStyle w:val="Para 17"/>
      </w:pPr>
      <w:r>
        <w:t/>
      </w:r>
    </w:p>
    <w:p>
      <w:pPr>
        <w:pStyle w:val="Normal"/>
      </w:pPr>
      <w:r>
        <w:t>Now that slapd knows about the Samba attributes, we can set up some indices based on them. Indexing entries is a way to improve performance when a client performs a filtered search on the DIT.</w:t>
      </w:r>
    </w:p>
    <w:p>
      <w:pPr>
        <w:pStyle w:val="Normal"/>
      </w:pPr>
      <w:r>
        <w:t>Create the file samba_indices.ldif with the following contents:</w:t>
      </w:r>
    </w:p>
    <w:p>
      <w:pPr>
        <w:pStyle w:val="Normal"/>
      </w:pPr>
      <w:r>
        <w:t>dn: olcDatabase={1}mdb,cn=config</w:t>
      </w:r>
    </w:p>
    <w:p>
      <w:pPr>
        <w:pStyle w:val="Normal"/>
      </w:pPr>
      <w:r>
        <w:t>changetype: modify</w:t>
      </w:r>
    </w:p>
    <w:p>
      <w:pPr>
        <w:pStyle w:val="Normal"/>
      </w:pPr>
      <w:r>
        <w:t>replace: olcDbIndex</w:t>
      </w:r>
    </w:p>
    <w:p>
      <w:pPr>
        <w:pStyle w:val="Normal"/>
      </w:pPr>
      <w:r>
        <w:t>olcDbIndex: objectClass eq</w:t>
      </w:r>
    </w:p>
    <w:p>
      <w:pPr>
        <w:pStyle w:val="Normal"/>
      </w:pPr>
      <w:r>
        <w:t>olcDbIndex: uidNumber,gidNumber eq</w:t>
      </w:r>
    </w:p>
    <w:p>
      <w:pPr>
        <w:pStyle w:val="Normal"/>
      </w:pPr>
      <w:r>
        <w:t>olcDbIndex: loginShell eq</w:t>
      </w:r>
    </w:p>
    <w:p>
      <w:pPr>
        <w:pStyle w:val="Normal"/>
      </w:pPr>
      <w:r>
        <w:t>olcDbIndex: uid,cn eq,sub</w:t>
      </w:r>
    </w:p>
    <w:p>
      <w:pPr>
        <w:pStyle w:val="Normal"/>
      </w:pPr>
      <w:r>
        <w:t>olcDbIndex: memberUid eq,sub</w:t>
      </w:r>
    </w:p>
    <w:p>
      <w:pPr>
        <w:pStyle w:val="Normal"/>
      </w:pPr>
      <w:r>
        <w:t>olcDbIndex: member,uniqueMember eq</w:t>
      </w:r>
    </w:p>
    <w:p>
      <w:pPr>
        <w:pStyle w:val="Normal"/>
      </w:pPr>
      <w:r>
        <w:t>olcDbIndex: sambaSID eq</w:t>
      </w:r>
    </w:p>
    <w:p>
      <w:pPr>
        <w:pStyle w:val="Normal"/>
      </w:pPr>
      <w:r>
        <w:t>olcDbIndex: sambaPrimaryGroupSID eq</w:t>
      </w:r>
    </w:p>
    <w:p>
      <w:pPr>
        <w:pStyle w:val="Normal"/>
      </w:pPr>
      <w:r>
        <w:t>olcDbIndex: sambaGroupType eq</w:t>
      </w:r>
    </w:p>
    <w:p>
      <w:pPr>
        <w:pStyle w:val="Normal"/>
      </w:pPr>
      <w:r>
        <w:t>olcDbIndex: sambaSIDList eq</w:t>
      </w:r>
    </w:p>
    <w:p>
      <w:pPr>
        <w:pStyle w:val="Normal"/>
      </w:pPr>
      <w:r>
        <w:t>olcDbIndex: sambaDomainName eq</w:t>
      </w:r>
    </w:p>
    <w:p>
      <w:pPr>
        <w:pStyle w:val="Normal"/>
      </w:pPr>
      <w:r>
        <w:t>olcDbIndex: default sub,eq</w:t>
      </w:r>
    </w:p>
    <w:p>
      <w:pPr>
        <w:pStyle w:val="Para 17"/>
      </w:pPr>
      <w:r>
        <w:t/>
      </w:r>
    </w:p>
    <w:p>
      <w:pPr>
        <w:pStyle w:val="Normal"/>
      </w:pPr>
      <w:r>
        <w:t>Using the ldapmodify utility load the new indices:</w:t>
      </w:r>
    </w:p>
    <w:p>
      <w:pPr>
        <w:pStyle w:val="Normal"/>
      </w:pPr>
      <w:r>
        <w:t>sudo ldapmodify -Q -Y EXTERNAL -H ldapi:/// -f samba_indices.ldif</w:t>
      </w:r>
    </w:p>
    <w:p>
      <w:pPr>
        <w:pStyle w:val="Para 17"/>
      </w:pPr>
      <w:r>
        <w:t/>
      </w:r>
    </w:p>
    <w:p>
      <w:pPr>
        <w:pStyle w:val="Normal"/>
      </w:pPr>
      <w:r>
        <w:t>If all went well you should see the new indices when using ldapsearch:</w:t>
      </w:r>
    </w:p>
    <w:p>
      <w:pPr>
        <w:pStyle w:val="Normal"/>
      </w:pPr>
      <w:r>
        <w:t>sudo ldapsearch -Q -LLL -Y EXTERNAL -H</w:t>
        <w:t xml:space="preserve"> </w:t>
      </w:r>
      <w:r>
        <w:rPr>
          <w:rStyle w:val="Text0"/>
        </w:rPr>
        <w:t>\</w:t>
      </w:r>
      <w:r>
        <w:t xml:space="preserve"> </w:t>
        <w:t>ldapi:/// -b</w:t>
        <w:t xml:space="preserve"> </w:t>
        <w:t>cn</w:t>
        <w:t>=</w:t>
        <w:t>config</w:t>
        <w:t xml:space="preserve"> </w:t>
        <w:t>olcDatabase</w:t>
        <w:t>={</w:t>
        <w:t>1</w:t>
        <w:t>}</w:t>
        <w:t>mdb olcDbIndex</w:t>
      </w:r>
    </w:p>
    <w:p>
      <w:bookmarkStart w:id="460" w:name="calibre_pb_68"/>
      <w:pPr>
        <w:pStyle w:val="0 Block"/>
      </w:pPr>
      <w:bookmarkEnd w:id="460"/>
    </w:p>
    <w:p>
      <w:bookmarkStart w:id="461" w:name="Top_of_index_split_069_html"/>
      <w:bookmarkStart w:id="462" w:name="page_32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29" name="index-324_1.png" descr="index-324_1.png"/>
            <wp:cNvGraphicFramePr>
              <a:graphicFrameLocks noChangeAspect="1"/>
            </wp:cNvGraphicFramePr>
            <a:graphic>
              <a:graphicData uri="http://schemas.openxmlformats.org/drawingml/2006/picture">
                <pic:pic>
                  <pic:nvPicPr>
                    <pic:cNvPr id="0" name="index-324_1.png" descr="index-324_1.png"/>
                    <pic:cNvPicPr/>
                  </pic:nvPicPr>
                  <pic:blipFill>
                    <a:blip r:embed="rId333"/>
                    <a:stretch>
                      <a:fillRect/>
                    </a:stretch>
                  </pic:blipFill>
                  <pic:spPr>
                    <a:xfrm>
                      <a:off x="0" y="0"/>
                      <a:ext cx="914400" cy="266700"/>
                    </a:xfrm>
                    <a:prstGeom prst="rect">
                      <a:avLst/>
                    </a:prstGeom>
                  </pic:spPr>
                </pic:pic>
              </a:graphicData>
            </a:graphic>
          </wp:anchor>
        </w:drawing>
      </w:r>
      <w:bookmarkEnd w:id="461"/>
      <w:bookmarkEnd w:id="462"/>
    </w:p>
    <w:p>
      <w:pPr>
        <w:pStyle w:val="Para 01"/>
      </w:pPr>
      <w:r>
        <w:t>Adding Samba LDAP objects</w:t>
      </w:r>
    </w:p>
    <w:p>
      <w:pPr>
        <w:pStyle w:val="Para 17"/>
      </w:pPr>
      <w:r>
        <w:t/>
      </w:r>
    </w:p>
    <w:p>
      <w:pPr>
        <w:pStyle w:val="Normal"/>
      </w:pPr>
      <w:r>
        <w:t>Next, configure the smbldap-tools package to match your environment. The package comes with a configuration helper script called smbldap-config. Before running it, though, you should decide on two important configuration settings in /etc/samba/smb.conf:</w:t>
      </w:r>
    </w:p>
    <w:p>
      <w:pPr>
        <w:pStyle w:val="Para 04"/>
      </w:pPr>
      <w:r>
        <w:t xml:space="preserve">• </w:t>
      </w:r>
      <w:r>
        <w:rPr>
          <w:rStyle w:val="Text0"/>
        </w:rPr>
        <w:t>netbios name</w:t>
      </w:r>
      <w:r>
        <w:t xml:space="preserve"> How this server will be known. The default value is derived from the</w:t>
      </w:r>
    </w:p>
    <w:p>
      <w:pPr>
        <w:pStyle w:val="Para 02"/>
      </w:pPr>
      <w:r>
        <w:t xml:space="preserve">server’s </w:t>
      </w:r>
      <w:hyperlink w:anchor="page_688">
        <w:r>
          <w:rPr>
            <w:rStyle w:val="Text2"/>
          </w:rPr>
          <w:t>hostname</w:t>
        </w:r>
      </w:hyperlink>
      <w:r>
        <w:t>, but truncated at 15 characters.</w:t>
      </w:r>
    </w:p>
    <w:p>
      <w:pPr>
        <w:pStyle w:val="Para 04"/>
      </w:pPr>
      <w:r>
        <w:t xml:space="preserve">• </w:t>
      </w:r>
      <w:r>
        <w:rPr>
          <w:rStyle w:val="Text0"/>
        </w:rPr>
        <w:t>workgroup</w:t>
      </w:r>
      <w:r>
        <w:t xml:space="preserve"> The workgroup name for this server, or, if you later decide to make it a domain</w:t>
      </w:r>
    </w:p>
    <w:p>
      <w:pPr>
        <w:pStyle w:val="Para 02"/>
      </w:pPr>
      <w:r>
        <w:t>controller, this will be the domain.</w:t>
      </w:r>
    </w:p>
    <w:p>
      <w:pPr>
        <w:pStyle w:val="Normal"/>
      </w:pPr>
      <w:r>
        <w:t>It’s important to make these choices now because smbldap-config will use them to generate the config that will be later stored in the LDAP directory. If you run smbldap-config now and later change these values in /etc/samba/smb.conf there will be an inconsistency.</w:t>
      </w:r>
    </w:p>
    <w:p>
      <w:pPr>
        <w:pStyle w:val="Normal"/>
      </w:pPr>
      <w:r>
        <w:t>Once you are happy with netbios name and workgroup, proceed to generate the smbldap-tools configuration by running the configuration script which will ask you some questions:</w:t>
      </w:r>
    </w:p>
    <w:p>
      <w:pPr>
        <w:pStyle w:val="Normal"/>
      </w:pPr>
      <w:r>
        <w:t>sudo smbldap-config</w:t>
      </w:r>
    </w:p>
    <w:p>
      <w:pPr>
        <w:pStyle w:val="Para 17"/>
      </w:pPr>
      <w:r>
        <w:t/>
      </w:r>
    </w:p>
    <w:p>
      <w:pPr>
        <w:pStyle w:val="Normal"/>
      </w:pPr>
      <w:r>
        <w:t>Some of the more important ones:</w:t>
      </w:r>
    </w:p>
    <w:p>
      <w:pPr>
        <w:pStyle w:val="Para 04"/>
      </w:pPr>
      <w:r>
        <w:t xml:space="preserve">• </w:t>
      </w:r>
      <w:r>
        <w:rPr>
          <w:rStyle w:val="Text0"/>
        </w:rPr>
        <w:t>workgroup name</w:t>
      </w:r>
      <w:r>
        <w:t xml:space="preserve"> Has to match what you will configure in /etc/samba/smb.conf later on.</w:t>
      </w:r>
    </w:p>
    <w:p>
      <w:pPr>
        <w:pStyle w:val="Para 04"/>
      </w:pPr>
      <w:r>
        <w:t xml:space="preserve">• </w:t>
      </w:r>
      <w:r>
        <w:rPr>
          <w:rStyle w:val="Text0"/>
        </w:rPr>
        <w:t>ldap suffix</w:t>
      </w:r>
      <w:r>
        <w:t xml:space="preserve"> Has to match the LDAP suffix you chose when you configured the LDAP</w:t>
      </w:r>
    </w:p>
    <w:p>
      <w:pPr>
        <w:pStyle w:val="Para 02"/>
      </w:pPr>
      <w:r>
        <w:t>server.</w:t>
      </w:r>
    </w:p>
    <w:p>
      <w:pPr>
        <w:pStyle w:val="Para 04"/>
      </w:pPr>
      <w:r>
        <w:t xml:space="preserve">• </w:t>
      </w:r>
      <w:r>
        <w:rPr>
          <w:rStyle w:val="Text0"/>
        </w:rPr>
        <w:t>other ldap suffixes</w:t>
      </w:r>
      <w:r>
        <w:t xml:space="preserve"> They are all relative to ldap suffix above. For example, for ldap</w:t>
      </w:r>
    </w:p>
    <w:p>
      <w:pPr>
        <w:pStyle w:val="Para 02"/>
      </w:pPr>
      <w:r>
        <w:t>user suffix you should use ou=People, and for computer/machines, use ou=Computers.</w:t>
      </w:r>
    </w:p>
    <w:p>
      <w:pPr>
        <w:pStyle w:val="Para 04"/>
      </w:pPr>
      <w:r>
        <w:t xml:space="preserve">• </w:t>
      </w:r>
      <w:r>
        <w:rPr>
          <w:rStyle w:val="Text0"/>
        </w:rPr>
        <w:t>ldap master bind dn</w:t>
      </w:r>
      <w:r>
        <w:t xml:space="preserve"> and </w:t>
      </w:r>
      <w:r>
        <w:rPr>
          <w:rStyle w:val="Text0"/>
        </w:rPr>
        <w:t>bind password</w:t>
      </w:r>
      <w:r>
        <w:t xml:space="preserve"> Use the Root </w:t>
      </w:r>
      <w:hyperlink w:anchor="page_679">
        <w:r>
          <w:rPr>
            <w:rStyle w:val="Text2"/>
          </w:rPr>
          <w:t>DN</w:t>
        </w:r>
      </w:hyperlink>
      <w:r>
        <w:t xml:space="preserve"> credentials.</w:t>
      </w:r>
    </w:p>
    <w:p>
      <w:pPr>
        <w:pStyle w:val="Normal"/>
      </w:pPr>
      <w:r>
        <w:t>The smbldap-populate script will then add the LDAP objects required for Samba. It will ask you for a password for the “domain root” user, which is also the “root” user stored in LDAP:</w:t>
      </w:r>
    </w:p>
    <w:p>
      <w:pPr>
        <w:pStyle w:val="Normal"/>
      </w:pPr>
      <w:r>
        <w:t>sudo smbldap-populate -g</w:t>
        <w:t xml:space="preserve"> </w:t>
        <w:t>10000</w:t>
        <w:t>-u</w:t>
        <w:t xml:space="preserve"> </w:t>
        <w:t>10000</w:t>
        <w:t>-r</w:t>
        <w:t xml:space="preserve"> </w:t>
        <w:t>10000</w:t>
      </w:r>
    </w:p>
    <w:p>
      <w:pPr>
        <w:pStyle w:val="Para 17"/>
      </w:pPr>
      <w:r>
        <w:t/>
      </w:r>
    </w:p>
    <w:p>
      <w:pPr>
        <w:pStyle w:val="Normal"/>
      </w:pPr>
      <w:r>
        <w:t xml:space="preserve">The-g,-u and-r parameters tell smbldap-tools where to start the numeric uid and </w:t>
      </w:r>
      <w:hyperlink w:anchor="page_685">
        <w:r>
          <w:rPr>
            <w:rStyle w:val="Text2"/>
          </w:rPr>
          <w:t>gid</w:t>
        </w:r>
      </w:hyperlink>
      <w:r>
        <w:t xml:space="preserve"> allo-cation for the LDAP users. You should pick a range start that does not overlap with your local /etc/passwd users.</w:t>
      </w:r>
    </w:p>
    <w:p>
      <w:pPr>
        <w:pStyle w:val="Normal"/>
      </w:pPr>
      <w:r>
        <w:t>You can create a LDIF file containing the new Samba objects by executing sudo smbldap-populate -e samba.ldif. This allows you to look over the changes making sure everything is correct. If it is, rerun the script without the '-e' switch. Alternatively, you can take the LDIF file and import its data as per usual.</w:t>
      </w:r>
    </w:p>
    <w:p>
      <w:pPr>
        <w:pStyle w:val="Normal"/>
      </w:pPr>
      <w:r>
        <w:t>Your LDAP directory now has the necessary information to authenticate Samba users.</w:t>
      </w:r>
    </w:p>
    <w:p>
      <w:bookmarkStart w:id="463" w:name="calibre_pb_69"/>
      <w:pPr>
        <w:pStyle w:val="0 Block"/>
      </w:pPr>
      <w:bookmarkEnd w:id="463"/>
    </w:p>
    <w:p>
      <w:bookmarkStart w:id="464" w:name="Top_of_index_split_070_html"/>
      <w:bookmarkStart w:id="465" w:name="page_32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0" name="index-325_1.png" descr="index-325_1.png"/>
            <wp:cNvGraphicFramePr>
              <a:graphicFrameLocks noChangeAspect="1"/>
            </wp:cNvGraphicFramePr>
            <a:graphic>
              <a:graphicData uri="http://schemas.openxmlformats.org/drawingml/2006/picture">
                <pic:pic>
                  <pic:nvPicPr>
                    <pic:cNvPr id="0" name="index-325_1.png" descr="index-325_1.png"/>
                    <pic:cNvPicPr/>
                  </pic:nvPicPr>
                  <pic:blipFill>
                    <a:blip r:embed="rId334"/>
                    <a:stretch>
                      <a:fillRect/>
                    </a:stretch>
                  </pic:blipFill>
                  <pic:spPr>
                    <a:xfrm>
                      <a:off x="0" y="0"/>
                      <a:ext cx="914400" cy="266700"/>
                    </a:xfrm>
                    <a:prstGeom prst="rect">
                      <a:avLst/>
                    </a:prstGeom>
                  </pic:spPr>
                </pic:pic>
              </a:graphicData>
            </a:graphic>
          </wp:anchor>
        </w:drawing>
      </w:r>
      <w:bookmarkEnd w:id="464"/>
      <w:bookmarkEnd w:id="465"/>
    </w:p>
    <w:p>
      <w:pPr>
        <w:pStyle w:val="Para 01"/>
      </w:pPr>
      <w:r>
        <w:t>Samba configuration</w:t>
      </w:r>
    </w:p>
    <w:p>
      <w:pPr>
        <w:pStyle w:val="Para 17"/>
      </w:pPr>
      <w:r>
        <w:t/>
      </w:r>
    </w:p>
    <w:p>
      <w:pPr>
        <w:pStyle w:val="Normal"/>
      </w:pPr>
      <w:r>
        <w:t>To configure Samba to use LDAP, edit its configuration file /etc/samba/smb.conf commenting out the default passdb backend parameter and adding some LDAP-related ones. Make sure to use the same values you used when running smbldap-populate:</w:t>
      </w:r>
    </w:p>
    <w:p>
      <w:pPr>
        <w:pStyle w:val="Normal"/>
      </w:pPr>
      <w:r>
        <w:t>#</w:t>
        <w:t xml:space="preserve"> </w:t>
        <w:t>passdb backend = tdbsam</w:t>
      </w:r>
    </w:p>
    <w:p>
      <w:pPr>
        <w:pStyle w:val="Normal"/>
      </w:pPr>
      <w:r>
        <w:t>workgroup = EXAMPLE</w:t>
      </w:r>
    </w:p>
    <w:p>
      <w:pPr>
        <w:pStyle w:val="Normal"/>
      </w:pPr>
      <w:r>
        <w:t># LDAP Settings</w:t>
      </w:r>
    </w:p>
    <w:p>
      <w:pPr>
        <w:pStyle w:val="Normal"/>
      </w:pPr>
      <w:r>
        <w:t>passdb backend = ldapsam:ldap://ldap01.example.com</w:t>
      </w:r>
    </w:p>
    <w:p>
      <w:pPr>
        <w:pStyle w:val="Normal"/>
      </w:pPr>
      <w:r>
        <w:t>ldap suffix = dc=example,dc=com</w:t>
      </w:r>
    </w:p>
    <w:p>
      <w:pPr>
        <w:pStyle w:val="Normal"/>
      </w:pPr>
      <w:r>
        <w:t>ldap user suffix = ou=People</w:t>
      </w:r>
    </w:p>
    <w:p>
      <w:pPr>
        <w:pStyle w:val="Normal"/>
      </w:pPr>
      <w:r>
        <w:t>ldap group suffix = ou=Groups</w:t>
      </w:r>
    </w:p>
    <w:p>
      <w:pPr>
        <w:pStyle w:val="Normal"/>
      </w:pPr>
      <w:r>
        <w:t>ldap machine suffix = ou=Computers</w:t>
      </w:r>
    </w:p>
    <w:p>
      <w:pPr>
        <w:pStyle w:val="Normal"/>
      </w:pPr>
      <w:r>
        <w:t>ldap idmap suffix = ou=Idmap</w:t>
      </w:r>
    </w:p>
    <w:p>
      <w:pPr>
        <w:pStyle w:val="Normal"/>
      </w:pPr>
      <w:r>
        <w:t>ldap admin dn = cn=admin,dc=example,dc=com</w:t>
      </w:r>
    </w:p>
    <w:p>
      <w:pPr>
        <w:pStyle w:val="Normal"/>
      </w:pPr>
      <w:r>
        <w:t>ldap ssl = start tls</w:t>
      </w:r>
    </w:p>
    <w:p>
      <w:pPr>
        <w:pStyle w:val="Normal"/>
      </w:pPr>
      <w:r>
        <w:t>ldap passwd sync = yes</w:t>
      </w:r>
    </w:p>
    <w:p>
      <w:pPr>
        <w:pStyle w:val="Para 17"/>
      </w:pPr>
      <w:r>
        <w:t/>
      </w:r>
    </w:p>
    <w:p>
      <w:pPr>
        <w:pStyle w:val="Normal"/>
      </w:pPr>
      <w:r>
        <w:t>Change the values to match your environment.</w:t>
      </w:r>
    </w:p>
    <w:p>
      <w:pPr>
        <w:pStyle w:val="Para 08"/>
      </w:pPr>
      <w:r>
        <w:t>Note:</w:t>
      </w:r>
    </w:p>
    <w:p>
      <w:pPr>
        <w:pStyle w:val="Para 03"/>
      </w:pPr>
      <w:r>
        <w:t>The smb.conf as shipped by the package is quite long and has many configuration exam-</w:t>
      </w:r>
    </w:p>
    <w:p>
      <w:pPr>
        <w:pStyle w:val="Para 03"/>
      </w:pPr>
      <w:r>
        <w:t>ples. An easy way to visualize it without any comments is to run testparm -s.</w:t>
      </w:r>
    </w:p>
    <w:p>
      <w:pPr>
        <w:pStyle w:val="Para 17"/>
      </w:pPr>
      <w:r>
        <w:t/>
      </w:r>
    </w:p>
    <w:p>
      <w:pPr>
        <w:pStyle w:val="Normal"/>
      </w:pPr>
      <w:r>
        <w:t>Now inform Samba about the Root DN user’s password (the one set during the installation of the slapd package):</w:t>
      </w:r>
    </w:p>
    <w:p>
      <w:pPr>
        <w:pStyle w:val="Normal"/>
      </w:pPr>
      <w:r>
        <w:t>sudo smbpasswd -W</w:t>
      </w:r>
    </w:p>
    <w:p>
      <w:pPr>
        <w:pStyle w:val="Para 17"/>
      </w:pPr>
      <w:r>
        <w:t/>
      </w:r>
    </w:p>
    <w:p>
      <w:pPr>
        <w:pStyle w:val="Normal"/>
      </w:pPr>
      <w:r>
        <w:t>As a final step to have your LDAP users be able to connect to Samba and authenticate, we need these users to also show up in the system as “Unix” users. Use SSSD for that as detailed</w:t>
      </w:r>
    </w:p>
    <w:p>
      <w:pPr>
        <w:pStyle w:val="Para 20"/>
      </w:pPr>
      <w:r>
        <w:rPr>
          <w:rStyle w:val="Text4"/>
        </w:rPr>
        <w:t xml:space="preserve">in </w:t>
      </w:r>
      <w:hyperlink w:anchor="page_740">
        <w:r>
          <w:t>Network User Authentication with SSSD</w:t>
        </w:r>
      </w:hyperlink>
      <w:r>
        <w:rPr>
          <w:rStyle w:val="Text4"/>
        </w:rPr>
        <w:t xml:space="preserve"> (page 739).</w:t>
      </w:r>
    </w:p>
    <w:p>
      <w:pPr>
        <w:pStyle w:val="Normal"/>
      </w:pPr>
      <w:r>
        <w:t>Install sssd-ldap:</w:t>
      </w:r>
    </w:p>
    <w:p>
      <w:pPr>
        <w:pStyle w:val="Normal"/>
      </w:pPr>
      <w:r>
        <w:t>sudo apt install sssd-ldap</w:t>
      </w:r>
    </w:p>
    <w:p>
      <w:pPr>
        <w:pStyle w:val="Para 17"/>
      </w:pPr>
      <w:r>
        <w:t/>
      </w:r>
    </w:p>
    <w:p>
      <w:pPr>
        <w:pStyle w:val="Normal"/>
      </w:pPr>
      <w:r>
        <w:t>Configure /etc/sssd/sssd.conf:</w:t>
      </w:r>
    </w:p>
    <w:p>
      <w:pPr>
        <w:pStyle w:val="Normal"/>
      </w:pPr>
      <w:r>
        <w:t>[</w:t>
        <w:t>sssd</w:t>
        <w:t>]</w:t>
      </w:r>
    </w:p>
    <w:p>
      <w:pPr>
        <w:pStyle w:val="Normal"/>
      </w:pPr>
      <w:r>
        <w:t>config_file_version</w:t>
        <w:t xml:space="preserve"> </w:t>
        <w:t>=</w:t>
        <w:t xml:space="preserve"> </w:t>
        <w:t>2</w:t>
      </w:r>
    </w:p>
    <w:p>
      <w:pPr>
        <w:pStyle w:val="Normal"/>
      </w:pPr>
      <w:r>
        <w:t>domains</w:t>
        <w:t xml:space="preserve"> </w:t>
        <w:t>=</w:t>
        <w:t xml:space="preserve"> </w:t>
        <w:t>example.com</w:t>
      </w:r>
    </w:p>
    <w:p>
      <w:pPr>
        <w:pStyle w:val="Normal"/>
      </w:pPr>
      <w:r>
        <w:t>[</w:t>
        <w:t>domain/example.com</w:t>
        <w:t>]</w:t>
      </w:r>
    </w:p>
    <w:p>
      <w:pPr>
        <w:pStyle w:val="Normal"/>
      </w:pPr>
      <w:r>
        <w:t>id_provider</w:t>
        <w:t xml:space="preserve"> </w:t>
        <w:t>=</w:t>
        <w:t xml:space="preserve"> </w:t>
        <w:t>ldap</w:t>
      </w:r>
    </w:p>
    <w:p>
      <w:pPr>
        <w:pStyle w:val="Normal"/>
      </w:pPr>
      <w:r>
        <w:t>auth_provider</w:t>
        <w:t xml:space="preserve"> </w:t>
        <w:t>=</w:t>
        <w:t xml:space="preserve"> </w:t>
        <w:t>ldap</w:t>
      </w:r>
    </w:p>
    <w:p>
      <w:pPr>
        <w:pStyle w:val="Normal"/>
      </w:pPr>
      <w:r>
        <w:t>ldap_uri</w:t>
        <w:t xml:space="preserve"> </w:t>
        <w:t>=</w:t>
        <w:t xml:space="preserve"> </w:t>
        <w:t>ldap://ldap01.example.com</w:t>
      </w:r>
    </w:p>
    <w:p>
      <w:pPr>
        <w:pStyle w:val="Normal"/>
      </w:pPr>
      <w:r>
        <w:t>cache_credentials</w:t>
        <w:t xml:space="preserve"> </w:t>
        <w:t>=</w:t>
        <w:t xml:space="preserve"> </w:t>
        <w:t>True</w:t>
      </w:r>
    </w:p>
    <w:p>
      <w:pPr>
        <w:pStyle w:val="Normal"/>
      </w:pPr>
      <w:r>
        <w:t>ldap_search_base</w:t>
        <w:t xml:space="preserve"> </w:t>
        <w:t>=</w:t>
        <w:t xml:space="preserve"> </w:t>
        <w:t>dc</w:t>
        <w:t>=</w:t>
        <w:t>example,dc</w:t>
        <w:t>=</w:t>
        <w:t>com</w:t>
      </w:r>
    </w:p>
    <w:p>
      <w:pPr>
        <w:pStyle w:val="Para 17"/>
      </w:pPr>
      <w:r>
        <w:t/>
      </w:r>
    </w:p>
    <w:p>
      <w:pPr>
        <w:pStyle w:val="Normal"/>
      </w:pPr>
      <w:r>
        <w:t>Adjust permissions and start the service:</w:t>
      </w:r>
    </w:p>
    <w:p>
      <w:bookmarkStart w:id="466" w:name="page_3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1" name="index-326_1.png" descr="index-326_1.png"/>
            <wp:cNvGraphicFramePr>
              <a:graphicFrameLocks noChangeAspect="1"/>
            </wp:cNvGraphicFramePr>
            <a:graphic>
              <a:graphicData uri="http://schemas.openxmlformats.org/drawingml/2006/picture">
                <pic:pic>
                  <pic:nvPicPr>
                    <pic:cNvPr id="0" name="index-326_1.png" descr="index-326_1.png"/>
                    <pic:cNvPicPr/>
                  </pic:nvPicPr>
                  <pic:blipFill>
                    <a:blip r:embed="rId335"/>
                    <a:stretch>
                      <a:fillRect/>
                    </a:stretch>
                  </pic:blipFill>
                  <pic:spPr>
                    <a:xfrm>
                      <a:off x="0" y="0"/>
                      <a:ext cx="914400" cy="266700"/>
                    </a:xfrm>
                    <a:prstGeom prst="rect">
                      <a:avLst/>
                    </a:prstGeom>
                  </pic:spPr>
                </pic:pic>
              </a:graphicData>
            </a:graphic>
          </wp:anchor>
        </w:drawing>
      </w:r>
      <w:bookmarkEnd w:id="466"/>
    </w:p>
    <w:p>
      <w:pPr>
        <w:pStyle w:val="Normal"/>
      </w:pPr>
      <w:r>
        <w:t>sudo chmod</w:t>
        <w:t xml:space="preserve"> </w:t>
        <w:t>0600</w:t>
        <w:t xml:space="preserve"> </w:t>
        <w:t>/etc/sssd/sssd.conf</w:t>
      </w:r>
    </w:p>
    <w:p>
      <w:pPr>
        <w:pStyle w:val="Normal"/>
      </w:pPr>
      <w:r>
        <w:t>sudo chown root:root /etc/sssd/sssd.conf</w:t>
      </w:r>
    </w:p>
    <w:p>
      <w:pPr>
        <w:pStyle w:val="Normal"/>
      </w:pPr>
      <w:r>
        <w:t>sudo systemctl start sssd</w:t>
      </w:r>
    </w:p>
    <w:p>
      <w:pPr>
        <w:pStyle w:val="Para 17"/>
      </w:pPr>
      <w:r>
        <w:t/>
      </w:r>
    </w:p>
    <w:p>
      <w:pPr>
        <w:pStyle w:val="Normal"/>
      </w:pPr>
      <w:r>
        <w:t>Restart the Samba services:</w:t>
      </w:r>
    </w:p>
    <w:p>
      <w:pPr>
        <w:pStyle w:val="Normal"/>
      </w:pPr>
      <w:r>
        <w:t>sudo systemctl restart smbd.service nmbd.service</w:t>
      </w:r>
    </w:p>
    <w:p>
      <w:pPr>
        <w:pStyle w:val="Para 17"/>
      </w:pPr>
      <w:r>
        <w:t/>
      </w:r>
    </w:p>
    <w:p>
      <w:pPr>
        <w:pStyle w:val="Normal"/>
      </w:pPr>
      <w:r>
        <w:t>To quickly test the setup, see if getent can list the Samba groups:</w:t>
      </w:r>
    </w:p>
    <w:p>
      <w:pPr>
        <w:pStyle w:val="Normal"/>
      </w:pPr>
      <w:r>
        <w:t>$ getent group Replicators</w:t>
      </w:r>
    </w:p>
    <w:p>
      <w:pPr>
        <w:pStyle w:val="Normal"/>
      </w:pPr>
      <w:r>
        <w:t>Replicators:*:552:</w:t>
      </w:r>
    </w:p>
    <w:p>
      <w:pPr>
        <w:pStyle w:val="Para 17"/>
      </w:pPr>
      <w:r>
        <w:t/>
      </w:r>
    </w:p>
    <w:p>
      <w:pPr>
        <w:pStyle w:val="Para 08"/>
      </w:pPr>
      <w:r>
        <w:t>Note:</w:t>
      </w:r>
    </w:p>
    <w:p>
      <w:pPr>
        <w:pStyle w:val="Para 03"/>
      </w:pPr>
      <w:r>
        <w:t>The names are case sensitive!</w:t>
      </w:r>
    </w:p>
    <w:p>
      <w:pPr>
        <w:pStyle w:val="Normal"/>
      </w:pPr>
      <w:r>
        <w:t>If you have existing LDAP users that you want to include in your new LDAP-backed Samba they will, of course, also need to be given some of the extra Samba specific attributes. The smbpasswd utility can do this for you:</w:t>
      </w:r>
    </w:p>
    <w:p>
      <w:pPr>
        <w:pStyle w:val="Normal"/>
      </w:pPr>
      <w:r>
        <w:t>sudo smbpasswd -a username</w:t>
      </w:r>
    </w:p>
    <w:p>
      <w:pPr>
        <w:pStyle w:val="Para 17"/>
      </w:pPr>
      <w:r>
        <w:t/>
      </w:r>
    </w:p>
    <w:p>
      <w:pPr>
        <w:pStyle w:val="Normal"/>
      </w:pPr>
      <w:r>
        <w:t>You will be prompted to enter a password. It will be considered as the new password for that user. Making it the same as before is reasonable. Note that this command cannot be used to create a new user from scratch in LDAP (unless you are using ldapsam:trusted and ldapsam:editposix, which are not covered in this guide).</w:t>
      </w:r>
    </w:p>
    <w:p>
      <w:pPr>
        <w:pStyle w:val="Normal"/>
      </w:pPr>
      <w:r>
        <w:t>To manage user, group, and machine accounts use the utilities provided by the smbldap-tools package. Here are some examples:</w:t>
      </w:r>
    </w:p>
    <w:p>
      <w:pPr>
        <w:pStyle w:val="Para 04"/>
      </w:pPr>
      <w:r>
        <w:t>• To add a new user with a home directory:</w:t>
      </w:r>
    </w:p>
    <w:p>
      <w:pPr>
        <w:pStyle w:val="Para 02"/>
      </w:pPr>
      <w:r>
        <w:t>sudo smbldap-useradd -a -P -m username</w:t>
      </w:r>
    </w:p>
    <w:p>
      <w:pPr>
        <w:pStyle w:val="Para 17"/>
      </w:pPr>
      <w:r>
        <w:t/>
      </w:r>
    </w:p>
    <w:p>
      <w:pPr>
        <w:pStyle w:val="Para 02"/>
      </w:pPr>
      <w:r>
        <w:t>The-a option adds the Samba attributes, and the-P option calls the smbldap-passwd utility after the user is created allowing you to enter a password for the user. Finally,-m creates a local home directory. Test with the getent command:</w:t>
      </w:r>
    </w:p>
    <w:p>
      <w:pPr>
        <w:pStyle w:val="Para 02"/>
      </w:pPr>
      <w:r>
        <w:t>getent passwd username</w:t>
      </w:r>
    </w:p>
    <w:p>
      <w:pPr>
        <w:pStyle w:val="Para 17"/>
      </w:pPr>
      <w:r>
        <w:t/>
      </w:r>
    </w:p>
    <w:p>
      <w:pPr>
        <w:pStyle w:val="Para 04"/>
      </w:pPr>
      <w:r>
        <w:t>• To remove a user:</w:t>
      </w:r>
    </w:p>
    <w:p>
      <w:pPr>
        <w:pStyle w:val="Para 02"/>
      </w:pPr>
      <w:r>
        <w:t>sudo smbldap-userdel username</w:t>
      </w:r>
    </w:p>
    <w:p>
      <w:pPr>
        <w:pStyle w:val="Para 17"/>
      </w:pPr>
      <w:r>
        <w:t/>
      </w:r>
    </w:p>
    <w:p>
      <w:pPr>
        <w:pStyle w:val="Para 02"/>
      </w:pPr>
      <w:r>
        <w:t>In the above command, use the-r option to remove the user’s home directory.</w:t>
      </w:r>
    </w:p>
    <w:p>
      <w:pPr>
        <w:pStyle w:val="Para 04"/>
      </w:pPr>
      <w:r>
        <w:t>• To add a group:</w:t>
      </w:r>
    </w:p>
    <w:p>
      <w:pPr>
        <w:pStyle w:val="Para 02"/>
      </w:pPr>
      <w:r>
        <w:t>sudo smbldap-groupadd -a groupname</w:t>
      </w:r>
    </w:p>
    <w:p>
      <w:pPr>
        <w:pStyle w:val="Para 17"/>
      </w:pPr>
      <w:r>
        <w:t/>
      </w:r>
    </w:p>
    <w:p>
      <w:pPr>
        <w:pStyle w:val="Para 02"/>
      </w:pPr>
      <w:r>
        <w:t>As for smbldap-useradd, the-a adds the Samba attributes.</w:t>
      </w:r>
    </w:p>
    <w:p>
      <w:pPr>
        <w:pStyle w:val="Para 04"/>
      </w:pPr>
      <w:r>
        <w:t>• To make an existing user a member of a group:</w:t>
      </w:r>
    </w:p>
    <w:p>
      <w:bookmarkStart w:id="467" w:name="page_3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2" name="index-327_1.png" descr="index-327_1.png"/>
            <wp:cNvGraphicFramePr>
              <a:graphicFrameLocks noChangeAspect="1"/>
            </wp:cNvGraphicFramePr>
            <a:graphic>
              <a:graphicData uri="http://schemas.openxmlformats.org/drawingml/2006/picture">
                <pic:pic>
                  <pic:nvPicPr>
                    <pic:cNvPr id="0" name="index-327_1.png" descr="index-327_1.png"/>
                    <pic:cNvPicPr/>
                  </pic:nvPicPr>
                  <pic:blipFill>
                    <a:blip r:embed="rId336"/>
                    <a:stretch>
                      <a:fillRect/>
                    </a:stretch>
                  </pic:blipFill>
                  <pic:spPr>
                    <a:xfrm>
                      <a:off x="0" y="0"/>
                      <a:ext cx="914400" cy="266700"/>
                    </a:xfrm>
                    <a:prstGeom prst="rect">
                      <a:avLst/>
                    </a:prstGeom>
                  </pic:spPr>
                </pic:pic>
              </a:graphicData>
            </a:graphic>
          </wp:anchor>
        </w:drawing>
      </w:r>
      <w:bookmarkEnd w:id="467"/>
    </w:p>
    <w:p>
      <w:pPr>
        <w:pStyle w:val="Para 02"/>
      </w:pPr>
      <w:r>
        <w:t>sudo smbldap-groupmod -m username groupname</w:t>
      </w:r>
    </w:p>
    <w:p>
      <w:pPr>
        <w:pStyle w:val="Para 17"/>
      </w:pPr>
      <w:r>
        <w:t/>
      </w:r>
    </w:p>
    <w:p>
      <w:pPr>
        <w:pStyle w:val="Para 02"/>
      </w:pPr>
      <w:r>
        <w:t>The-m option can add more than one user at a time by listing them in comma-separated format.</w:t>
      </w:r>
    </w:p>
    <w:p>
      <w:pPr>
        <w:pStyle w:val="Para 04"/>
      </w:pPr>
      <w:r>
        <w:t>• To remove a user from a group:</w:t>
      </w:r>
    </w:p>
    <w:p>
      <w:pPr>
        <w:pStyle w:val="Para 02"/>
      </w:pPr>
      <w:r>
        <w:t>sudo smbldap-groupmod -x username groupname</w:t>
      </w:r>
    </w:p>
    <w:p>
      <w:pPr>
        <w:pStyle w:val="Para 17"/>
      </w:pPr>
      <w:r>
        <w:t/>
      </w:r>
    </w:p>
    <w:p>
      <w:pPr>
        <w:pStyle w:val="Para 04"/>
      </w:pPr>
      <w:r>
        <w:t>• To add a Samba machine account:</w:t>
      </w:r>
    </w:p>
    <w:p>
      <w:pPr>
        <w:pStyle w:val="Para 02"/>
      </w:pPr>
      <w:r>
        <w:t>sudo smbldap-useradd -t</w:t>
        <w:t xml:space="preserve"> </w:t>
        <w:t>0</w:t>
        <w:t>-w username</w:t>
      </w:r>
    </w:p>
    <w:p>
      <w:pPr>
        <w:pStyle w:val="Para 17"/>
      </w:pPr>
      <w:r>
        <w:t/>
      </w:r>
    </w:p>
    <w:p>
      <w:pPr>
        <w:pStyle w:val="Para 02"/>
      </w:pPr>
      <w:r>
        <w:t>Replace username with the name of the workstation. The-t 0 option creates the ma-chine account without a delay, while the-w option specifies the user as a machine ac-count.</w:t>
      </w:r>
    </w:p>
    <w:p>
      <w:pPr>
        <w:pStyle w:val="Para 17"/>
      </w:pPr>
      <w:r>
        <w:t/>
      </w:r>
    </w:p>
    <w:p>
      <w:pPr>
        <w:pStyle w:val="Para 01"/>
      </w:pPr>
      <w:r>
        <w:t>Further reading</w:t>
      </w:r>
    </w:p>
    <w:p>
      <w:pPr>
        <w:pStyle w:val="Para 17"/>
      </w:pPr>
      <w:r>
        <w:t/>
      </w:r>
    </w:p>
    <w:p>
      <w:pPr>
        <w:pStyle w:val="Para 13"/>
      </w:pPr>
      <w:r>
        <w:rPr>
          <w:rStyle w:val="Text7"/>
        </w:rPr>
        <w:t xml:space="preserve">• </w:t>
      </w:r>
      <w:hyperlink r:id="rId1260">
        <w:r>
          <w:rPr>
            <w:rStyle w:val="Text10"/>
          </w:rPr>
          <w:t>275</w:t>
        </w:r>
      </w:hyperlink>
      <w:hyperlink r:id="rId1260">
        <w:r>
          <w:t xml:space="preserve"> Upstream Samba documentation collection</w:t>
        </w:r>
      </w:hyperlink>
    </w:p>
    <w:p>
      <w:pPr>
        <w:pStyle w:val="Para 13"/>
      </w:pPr>
      <w:r>
        <w:rPr>
          <w:rStyle w:val="Text7"/>
        </w:rPr>
        <w:t xml:space="preserve">• </w:t>
      </w:r>
      <w:hyperlink w:anchor="page_327">
        <w:r>
          <w:rPr>
            <w:rStyle w:val="Text10"/>
          </w:rPr>
          <w:t>276</w:t>
        </w:r>
      </w:hyperlink>
      <w:r>
        <w:rPr>
          <w:rStyle w:val="Text7"/>
        </w:rPr>
        <w:t xml:space="preserve"> </w:t>
      </w:r>
      <w:hyperlink r:id="rId1261">
        <w:r>
          <w:t>Upstream Samba wiki</w:t>
        </w:r>
      </w:hyperlink>
    </w:p>
    <w:p>
      <w:pPr>
        <w:pStyle w:val="Para 17"/>
      </w:pPr>
      <w:r>
        <w:t/>
      </w:r>
    </w:p>
    <w:p>
      <w:pPr>
        <w:pStyle w:val="Para 01"/>
      </w:pPr>
      <w:r>
        <w:t>See also</w:t>
      </w:r>
    </w:p>
    <w:p>
      <w:pPr>
        <w:pStyle w:val="Para 17"/>
      </w:pPr>
      <w:r>
        <w:t/>
      </w:r>
    </w:p>
    <w:p>
      <w:pPr>
        <w:pStyle w:val="Para 04"/>
      </w:pPr>
      <w:r>
        <w:t xml:space="preserve">• Explanation: </w:t>
      </w:r>
      <w:hyperlink w:anchor="page_828">
        <w:r>
          <w:rPr>
            <w:rStyle w:val="Text2"/>
          </w:rPr>
          <w:t>Introduction to Samba</w:t>
        </w:r>
      </w:hyperlink>
      <w:r>
        <w:t xml:space="preserve"> (page 827)</w:t>
      </w:r>
    </w:p>
    <w:p>
      <w:pPr>
        <w:pStyle w:val="Para 17"/>
      </w:pPr>
      <w:r>
        <w:t/>
      </w:r>
    </w:p>
    <w:p>
      <w:pPr>
        <w:pStyle w:val="Para 01"/>
      </w:pPr>
      <w:r>
        <w:t>Active Directory integration</w:t>
      </w:r>
    </w:p>
    <w:p>
      <w:pPr>
        <w:pStyle w:val="Para 17"/>
      </w:pPr>
      <w:r>
        <w:t/>
      </w:r>
    </w:p>
    <w:p>
      <w:pPr>
        <w:pStyle w:val="Normal"/>
      </w:pPr>
      <w:r>
        <w:t>If you have a Microsoft Active Directory domain set up, you can join your Ubuntu Server to it. There are a number of choices you need to make about your setup before you can begin, so</w:t>
      </w:r>
    </w:p>
    <w:p>
      <w:pPr>
        <w:pStyle w:val="Normal"/>
      </w:pPr>
      <w:r>
        <w:t xml:space="preserve">you may want to refer to our </w:t>
      </w:r>
      <w:hyperlink w:anchor="page_830">
        <w:r>
          <w:rPr>
            <w:rStyle w:val="Text2"/>
          </w:rPr>
          <w:t>AD integration explanations</w:t>
        </w:r>
      </w:hyperlink>
      <w:r>
        <w:t xml:space="preserve"> (page 829) first.</w:t>
      </w:r>
    </w:p>
    <w:p>
      <w:pPr>
        <w:pStyle w:val="Para 17"/>
      </w:pPr>
      <w:r>
        <w:t/>
      </w:r>
    </w:p>
    <w:p>
      <w:pPr>
        <w:pStyle w:val="Para 01"/>
      </w:pPr>
      <w:r>
        <w:t>Join a domain with winbind: preparation</w:t>
      </w:r>
    </w:p>
    <w:p>
      <w:pPr>
        <w:pStyle w:val="Para 17"/>
      </w:pPr>
      <w:r>
        <w:t/>
      </w:r>
    </w:p>
    <w:p>
      <w:pPr>
        <w:pStyle w:val="Normal"/>
      </w:pPr>
      <w:r>
        <w:t>Choosing the identity mapping backend, and planning its ranges, is the first and most impor-tant aspect of joining a domain. To actually perform the join, however, a few more configura-tion steps are necessary. These steps are common to both backend types, the only difference being the actual idmap configuration.</w:t>
      </w:r>
    </w:p>
    <w:p>
      <w:pPr>
        <w:pStyle w:val="Normal"/>
      </w:pPr>
      <w:r>
        <w:t>To continue, this is the minimum set of packages that are needed:</w:t>
      </w:r>
    </w:p>
    <w:p>
      <w:pPr>
        <w:pStyle w:val="Normal"/>
      </w:pPr>
      <w:r>
        <w:t>sudo apt install winbind libnss-winbind libpam-winbind</w:t>
      </w:r>
    </w:p>
    <w:p>
      <w:pPr>
        <w:pStyle w:val="Para 17"/>
      </w:pPr>
      <w:r>
        <w:t/>
      </w:r>
    </w:p>
    <w:p>
      <w:pPr>
        <w:pStyle w:val="Normal"/>
      </w:pPr>
      <w:r>
        <w:t xml:space="preserve">Next, it will make everything much easier if the </w:t>
      </w:r>
      <w:hyperlink w:anchor="page_679">
        <w:r>
          <w:rPr>
            <w:rStyle w:val="Text2"/>
          </w:rPr>
          <w:t>DNS</w:t>
        </w:r>
      </w:hyperlink>
      <w:r>
        <w:t xml:space="preserve"> resolver is pointed at the Active Direc-</w:t>
      </w:r>
    </w:p>
    <w:p>
      <w:pPr>
        <w:pStyle w:val="Normal"/>
      </w:pPr>
      <w:r>
        <w:t xml:space="preserve">tory DNS server. If that is already the case as provided by the </w:t>
      </w:r>
      <w:hyperlink w:anchor="page_678">
        <w:r>
          <w:rPr>
            <w:rStyle w:val="Text2"/>
          </w:rPr>
          <w:t>DHCP</w:t>
        </w:r>
      </w:hyperlink>
      <w:r>
        <w:t xml:space="preserve"> server, this part can be skipped.</w:t>
      </w:r>
    </w:p>
    <w:p>
      <w:pPr>
        <w:pStyle w:val="Para 05"/>
      </w:pPr>
      <w:r>
        <w:rPr>
          <w:rStyle w:val="Text5"/>
        </w:rPr>
        <w:t>275</w:t>
      </w:r>
      <w:r>
        <w:rPr>
          <w:rStyle w:val="Text8"/>
        </w:rPr>
        <w:t xml:space="preserve"> </w:t>
      </w:r>
      <w:r>
        <w:t>https://www.samba.org/samba/docs/</w:t>
      </w:r>
    </w:p>
    <w:p>
      <w:pPr>
        <w:pStyle w:val="Para 03"/>
      </w:pPr>
      <w:r>
        <w:rPr>
          <w:rStyle w:val="Text5"/>
        </w:rPr>
        <w:t>276</w:t>
      </w:r>
      <w:r>
        <w:t xml:space="preserve"> </w:t>
      </w:r>
      <w:r>
        <w:rPr>
          <w:rStyle w:val="Text6"/>
        </w:rPr>
        <w:t>https://wiki.samba.org/index.php/Main_Page</w:t>
      </w:r>
      <w:r>
        <w:t xml:space="preserve"> For example, for a default netplan configuration file which looks like this:</w:t>
      </w:r>
    </w:p>
    <w:p>
      <w:bookmarkStart w:id="468" w:name="page_3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3" name="index-328_1.png" descr="index-328_1.png"/>
            <wp:cNvGraphicFramePr>
              <a:graphicFrameLocks noChangeAspect="1"/>
            </wp:cNvGraphicFramePr>
            <a:graphic>
              <a:graphicData uri="http://schemas.openxmlformats.org/drawingml/2006/picture">
                <pic:pic>
                  <pic:nvPicPr>
                    <pic:cNvPr id="0" name="index-328_1.png" descr="index-328_1.png"/>
                    <pic:cNvPicPr/>
                  </pic:nvPicPr>
                  <pic:blipFill>
                    <a:blip r:embed="rId337"/>
                    <a:stretch>
                      <a:fillRect/>
                    </a:stretch>
                  </pic:blipFill>
                  <pic:spPr>
                    <a:xfrm>
                      <a:off x="0" y="0"/>
                      <a:ext cx="914400" cy="266700"/>
                    </a:xfrm>
                    <a:prstGeom prst="rect">
                      <a:avLst/>
                    </a:prstGeom>
                  </pic:spPr>
                </pic:pic>
              </a:graphicData>
            </a:graphic>
          </wp:anchor>
        </w:drawing>
      </w:r>
      <w:bookmarkEnd w:id="468"/>
    </w:p>
    <w:p>
      <w:pPr>
        <w:pStyle w:val="Para 01"/>
      </w:pPr>
      <w:r>
        <w:t>network</w:t>
      </w:r>
      <w:r>
        <w:rPr>
          <w:rStyle w:val="Text0"/>
        </w:rPr>
        <w:t>:</w:t>
      </w:r>
    </w:p>
    <w:p>
      <w:pPr>
        <w:pStyle w:val="Para 08"/>
      </w:pPr>
      <w:r>
        <w:t>version</w:t>
      </w:r>
      <w:r>
        <w:rPr>
          <w:rStyle w:val="Text0"/>
        </w:rPr>
        <w:t>: 2</w:t>
      </w:r>
    </w:p>
    <w:p>
      <w:pPr>
        <w:pStyle w:val="Para 08"/>
      </w:pPr>
      <w:r>
        <w:t>ethernets</w:t>
      </w:r>
      <w:r>
        <w:rPr>
          <w:rStyle w:val="Text0"/>
        </w:rPr>
        <w:t>:</w:t>
      </w:r>
    </w:p>
    <w:p>
      <w:pPr>
        <w:pStyle w:val="Para 39"/>
      </w:pPr>
      <w:r>
        <w:t>eth0</w:t>
      </w:r>
      <w:r>
        <w:rPr>
          <w:rStyle w:val="Text0"/>
        </w:rPr>
        <w:t>:</w:t>
      </w:r>
    </w:p>
    <w:p>
      <w:pPr>
        <w:pStyle w:val="Para 06"/>
      </w:pPr>
      <w:r>
        <w:rPr>
          <w:rStyle w:val="Text0"/>
        </w:rPr>
        <w:t>dhcp4</w:t>
      </w:r>
      <w:r>
        <w:t>: true</w:t>
      </w:r>
    </w:p>
    <w:p>
      <w:pPr>
        <w:pStyle w:val="Para 17"/>
      </w:pPr>
      <w:r>
        <w:t/>
      </w:r>
    </w:p>
    <w:p>
      <w:pPr>
        <w:pStyle w:val="Normal"/>
      </w:pPr>
      <w:r>
        <w:t>You can add a nameservers block which will override the DNS options sent by the DHCP server. For example, if the DNS server is at 10.10.4.5 and the domain search value is example. internal, this would be the new configuration:</w:t>
      </w:r>
    </w:p>
    <w:p>
      <w:pPr>
        <w:pStyle w:val="Para 01"/>
      </w:pPr>
      <w:r>
        <w:t>network</w:t>
      </w:r>
      <w:r>
        <w:rPr>
          <w:rStyle w:val="Text0"/>
        </w:rPr>
        <w:t>:</w:t>
      </w:r>
    </w:p>
    <w:p>
      <w:pPr>
        <w:pStyle w:val="Para 08"/>
      </w:pPr>
      <w:r>
        <w:t>version</w:t>
      </w:r>
      <w:r>
        <w:rPr>
          <w:rStyle w:val="Text0"/>
        </w:rPr>
        <w:t>: 2</w:t>
      </w:r>
    </w:p>
    <w:p>
      <w:pPr>
        <w:pStyle w:val="Para 08"/>
      </w:pPr>
      <w:r>
        <w:t>ethernets</w:t>
      </w:r>
      <w:r>
        <w:rPr>
          <w:rStyle w:val="Text0"/>
        </w:rPr>
        <w:t>:</w:t>
      </w:r>
    </w:p>
    <w:p>
      <w:pPr>
        <w:pStyle w:val="Para 39"/>
      </w:pPr>
      <w:r>
        <w:t>eth0</w:t>
      </w:r>
      <w:r>
        <w:rPr>
          <w:rStyle w:val="Text0"/>
        </w:rPr>
        <w:t>:</w:t>
      </w:r>
    </w:p>
    <w:p>
      <w:pPr>
        <w:pStyle w:val="Para 06"/>
      </w:pPr>
      <w:r>
        <w:rPr>
          <w:rStyle w:val="Text0"/>
        </w:rPr>
        <w:t>dhcp4</w:t>
      </w:r>
      <w:r>
        <w:t>: true</w:t>
      </w:r>
    </w:p>
    <w:p>
      <w:pPr>
        <w:pStyle w:val="Para 23"/>
      </w:pPr>
      <w:r>
        <w:t>nameservers</w:t>
      </w:r>
      <w:r>
        <w:rPr>
          <w:rStyle w:val="Text0"/>
        </w:rPr>
        <w:t>:</w:t>
      </w:r>
    </w:p>
    <w:p>
      <w:pPr>
        <w:pStyle w:val="Para 06"/>
      </w:pPr>
      <w:r>
        <w:rPr>
          <w:rStyle w:val="Text0"/>
        </w:rPr>
        <w:t>addresses</w:t>
      </w:r>
      <w:r>
        <w:t>: [</w:t>
        <w:t>10.10.4.5</w:t>
        <w:t>]</w:t>
      </w:r>
    </w:p>
    <w:p>
      <w:pPr>
        <w:pStyle w:val="Para 06"/>
      </w:pPr>
      <w:r>
        <w:rPr>
          <w:rStyle w:val="Text0"/>
        </w:rPr>
        <w:t>search</w:t>
      </w:r>
      <w:r>
        <w:t>: [</w:t>
        <w:t>example.internal</w:t>
        <w:t>]</w:t>
      </w:r>
    </w:p>
    <w:p>
      <w:pPr>
        <w:pStyle w:val="Para 17"/>
      </w:pPr>
      <w:r>
        <w:t/>
      </w:r>
    </w:p>
    <w:p>
      <w:pPr>
        <w:pStyle w:val="Normal"/>
      </w:pPr>
      <w:r>
        <w:t>To make the changes effective, first make sure there are no syntax errors:</w:t>
      </w:r>
    </w:p>
    <w:p>
      <w:pPr>
        <w:pStyle w:val="Normal"/>
      </w:pPr>
      <w:r>
        <w:t>sudo netplan generate</w:t>
      </w:r>
    </w:p>
    <w:p>
      <w:pPr>
        <w:pStyle w:val="Para 17"/>
      </w:pPr>
      <w:r>
        <w:t/>
      </w:r>
    </w:p>
    <w:p>
      <w:pPr>
        <w:pStyle w:val="Normal"/>
      </w:pPr>
      <w:r>
        <w:t>If there are no complaints, the changes can be applied:</w:t>
      </w:r>
    </w:p>
    <w:p>
      <w:pPr>
        <w:pStyle w:val="Normal"/>
      </w:pPr>
      <w:r>
        <w:t>sudo netplan apply</w:t>
      </w:r>
    </w:p>
    <w:p>
      <w:pPr>
        <w:pStyle w:val="Para 17"/>
      </w:pPr>
      <w:r>
        <w:t/>
      </w:r>
    </w:p>
    <w:p>
      <w:pPr>
        <w:pStyle w:val="Para 08"/>
      </w:pPr>
      <w:r>
        <w:t>Note:</w:t>
      </w:r>
    </w:p>
    <w:p>
      <w:pPr>
        <w:pStyle w:val="Para 03"/>
      </w:pPr>
      <w:r>
        <w:t>Be careful whenever changing network parameters over an ssh connection. If there are</w:t>
      </w:r>
    </w:p>
    <w:p>
      <w:pPr>
        <w:pStyle w:val="Para 03"/>
      </w:pPr>
      <w:r>
        <w:t>any mistakes, you might lose remote access!</w:t>
      </w:r>
    </w:p>
    <w:p>
      <w:pPr>
        <w:pStyle w:val="Para 17"/>
      </w:pPr>
      <w:r>
        <w:t/>
      </w:r>
    </w:p>
    <w:p>
      <w:pPr>
        <w:pStyle w:val="Normal"/>
      </w:pPr>
      <w:r>
        <w:t>To check if the resolver was updated, run resolvectl status:</w:t>
      </w:r>
    </w:p>
    <w:p>
      <w:pPr>
        <w:pStyle w:val="Normal"/>
      </w:pPr>
      <w:r>
        <w:t>Global</w:t>
      </w:r>
    </w:p>
    <w:p>
      <w:pPr>
        <w:pStyle w:val="Para 11"/>
      </w:pPr>
      <w:r>
        <w:t>Protocols: -LLMNR -mDNS -DNSOverTLS DNSSEC=no/unsupported</w:t>
      </w:r>
    </w:p>
    <w:p>
      <w:pPr>
        <w:pStyle w:val="Para 03"/>
      </w:pPr>
      <w:r>
        <w:t>resolv.conf mode: stub</w:t>
      </w:r>
    </w:p>
    <w:p>
      <w:pPr>
        <w:pStyle w:val="Normal"/>
      </w:pPr>
      <w:r>
        <w:t>Link 281 (eth0)</w:t>
      </w:r>
    </w:p>
    <w:p>
      <w:pPr>
        <w:pStyle w:val="Para 02"/>
      </w:pPr>
      <w:r>
        <w:t>Current Scopes: DNS</w:t>
      </w:r>
    </w:p>
    <w:p>
      <w:pPr>
        <w:pStyle w:val="Para 17"/>
      </w:pPr>
      <w:r>
        <w:t>Protocols: +DefaultRoute -LLMNR -mDNS -DNSOverTLS DNSSEC=no/unsupported</w:t>
      </w:r>
    </w:p>
    <w:p>
      <w:pPr>
        <w:pStyle w:val="Para 06"/>
      </w:pPr>
      <w:r>
        <w:t>DNS Servers: 10.10.4.5 10.10.4.1</w:t>
      </w:r>
    </w:p>
    <w:p>
      <w:pPr>
        <w:pStyle w:val="Para 06"/>
      </w:pPr>
      <w:r>
        <w:t>DNS Domain: example.internal</w:t>
      </w:r>
    </w:p>
    <w:p>
      <w:pPr>
        <w:pStyle w:val="Para 17"/>
      </w:pPr>
      <w:r>
        <w:t/>
      </w:r>
    </w:p>
    <w:p>
      <w:pPr>
        <w:pStyle w:val="Normal"/>
      </w:pPr>
      <w:r>
        <w:t>Now we need to configure the system to also use the winbind NSS module to look for users and groups. In Ubuntu 24.04 LTS and later, this is done automatically, but for older LTS re-leases, edit the file /etc/nsswitch.conf and add winbind to the end of the passwd: and group: lines:</w:t>
      </w:r>
    </w:p>
    <w:p>
      <w:pPr>
        <w:pStyle w:val="Normal"/>
      </w:pPr>
      <w:r>
        <w:t># /etc/nsswitch.conf</w:t>
      </w:r>
    </w:p>
    <w:p>
      <w:pPr>
        <w:pStyle w:val="Normal"/>
      </w:pPr>
      <w:r>
        <w:t>#</w:t>
      </w:r>
    </w:p>
    <w:p>
      <w:pPr>
        <w:pStyle w:val="Normal"/>
      </w:pPr>
      <w:r>
        <w:t># Example configuration of GNU Name Service Switch functionality.</w:t>
        <w:t xml:space="preserve"> </w:t>
        <w:t># If you have the `glibc-doc-reference' and `info' packages installed, try:</w:t>
      </w:r>
    </w:p>
    <w:p>
      <w:pPr>
        <w:pStyle w:val="Para 09"/>
      </w:pPr>
      <w:r>
        <w:t>(continues on next page)</w:t>
      </w:r>
    </w:p>
    <w:p>
      <w:bookmarkStart w:id="469" w:name="page_3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4" name="index-329_1.png" descr="index-329_1.png"/>
            <wp:cNvGraphicFramePr>
              <a:graphicFrameLocks noChangeAspect="1"/>
            </wp:cNvGraphicFramePr>
            <a:graphic>
              <a:graphicData uri="http://schemas.openxmlformats.org/drawingml/2006/picture">
                <pic:pic>
                  <pic:nvPicPr>
                    <pic:cNvPr id="0" name="index-329_1.png" descr="index-329_1.png"/>
                    <pic:cNvPicPr/>
                  </pic:nvPicPr>
                  <pic:blipFill>
                    <a:blip r:embed="rId338"/>
                    <a:stretch>
                      <a:fillRect/>
                    </a:stretch>
                  </pic:blipFill>
                  <pic:spPr>
                    <a:xfrm>
                      <a:off x="0" y="0"/>
                      <a:ext cx="914400" cy="266700"/>
                    </a:xfrm>
                    <a:prstGeom prst="rect">
                      <a:avLst/>
                    </a:prstGeom>
                  </pic:spPr>
                </pic:pic>
              </a:graphicData>
            </a:graphic>
          </wp:anchor>
        </w:drawing>
      </w:r>
      <w:bookmarkEnd w:id="469"/>
    </w:p>
    <w:p>
      <w:pPr>
        <w:pStyle w:val="Para 09"/>
      </w:pPr>
      <w:r>
        <w:t>(continued from previous page)</w:t>
      </w:r>
    </w:p>
    <w:p>
      <w:pPr>
        <w:pStyle w:val="Normal"/>
      </w:pPr>
      <w:r>
        <w:t># `info libc "Name Service Switch"' for information about this file.</w:t>
      </w:r>
    </w:p>
    <w:p>
      <w:pPr>
        <w:pStyle w:val="Normal"/>
      </w:pPr>
      <w:r>
        <w:t>passwd:</w:t>
        <w:t xml:space="preserve"> </w:t>
        <w:t>files systemd winbind</w:t>
      </w:r>
    </w:p>
    <w:p>
      <w:pPr>
        <w:pStyle w:val="Normal"/>
      </w:pPr>
      <w:r>
        <w:t>group:</w:t>
        <w:t xml:space="preserve"> </w:t>
        <w:t>files systemd winbind</w:t>
      </w:r>
    </w:p>
    <w:p>
      <w:pPr>
        <w:pStyle w:val="Normal"/>
      </w:pPr>
      <w:r>
        <w:t>(...)</w:t>
      </w:r>
    </w:p>
    <w:p>
      <w:pPr>
        <w:pStyle w:val="Para 17"/>
      </w:pPr>
      <w:r>
        <w:t/>
      </w:r>
    </w:p>
    <w:p>
      <w:pPr>
        <w:pStyle w:val="Normal"/>
      </w:pPr>
      <w:r>
        <w:t>Finally, let’s enable automatic home directory creation for users as they login. Run the com-mand:</w:t>
      </w:r>
    </w:p>
    <w:p>
      <w:pPr>
        <w:pStyle w:val="Normal"/>
      </w:pPr>
      <w:r>
        <w:t>sudo pam-auth-update --enable mkhomedir</w:t>
      </w:r>
    </w:p>
    <w:p>
      <w:pPr>
        <w:pStyle w:val="Para 17"/>
      </w:pPr>
      <w:r>
        <w:t/>
      </w:r>
    </w:p>
    <w:p>
      <w:pPr>
        <w:pStyle w:val="Normal"/>
      </w:pPr>
      <w:r>
        <w:t>Now we are set to perform the final winbind configuration depending on the identity map-ping backend that was chosen, and actually join the domain.</w:t>
      </w:r>
    </w:p>
    <w:p>
      <w:pPr>
        <w:pStyle w:val="Para 17"/>
      </w:pPr>
      <w:r>
        <w:t/>
      </w:r>
    </w:p>
    <w:p>
      <w:pPr>
        <w:pStyle w:val="Para 01"/>
      </w:pPr>
      <w:r>
        <w:t>Join a simple domain with the rid backend</w:t>
      </w:r>
    </w:p>
    <w:p>
      <w:pPr>
        <w:pStyle w:val="Para 17"/>
      </w:pPr>
      <w:r>
        <w:t/>
      </w:r>
    </w:p>
    <w:p>
      <w:pPr>
        <w:pStyle w:val="Normal"/>
      </w:pPr>
      <w:r>
        <w:t xml:space="preserve">Let’s expand on the configuration we had for the </w:t>
      </w:r>
      <w:r>
        <w:rPr>
          <w:rStyle w:val="Text3"/>
        </w:rPr>
        <w:t>rid</w:t>
      </w:r>
      <w:r>
        <w:t xml:space="preserve"> backend and complete the /etc/samba/ smb.conf configuration file with the remaining details. We are joining a single domain called EXAMPLE.INTERNAL. The new configuration options were added at the end of the [global] section:</w:t>
      </w:r>
    </w:p>
    <w:p>
      <w:pPr>
        <w:pStyle w:val="Normal"/>
      </w:pPr>
      <w:r>
        <w:t>[global]</w:t>
      </w:r>
    </w:p>
    <w:p>
      <w:pPr>
        <w:pStyle w:val="Para 02"/>
      </w:pPr>
      <w:r>
        <w:t>security = ads</w:t>
      </w:r>
    </w:p>
    <w:p>
      <w:pPr>
        <w:pStyle w:val="Para 02"/>
      </w:pPr>
      <w:r>
        <w:t>realm = EXAMPLE.INTERNAL</w:t>
      </w:r>
    </w:p>
    <w:p>
      <w:pPr>
        <w:pStyle w:val="Para 02"/>
      </w:pPr>
      <w:r>
        <w:t>workgroup = EXAMPLE</w:t>
      </w:r>
    </w:p>
    <w:p>
      <w:pPr>
        <w:pStyle w:val="Para 02"/>
      </w:pPr>
      <w:r>
        <w:t>idmap config * : backend</w:t>
        <w:t xml:space="preserve"> </w:t>
        <w:t>= tdb</w:t>
        <w:t xml:space="preserve"> </w:t>
        <w:t>idmap config * : range</w:t>
        <w:t xml:space="preserve"> </w:t>
        <w:t>= 100000 - 199999</w:t>
        <w:t xml:space="preserve"> </w:t>
        <w:t>idmap config EXAMPLE : backend = rid</w:t>
      </w:r>
    </w:p>
    <w:p>
      <w:pPr>
        <w:pStyle w:val="Para 02"/>
      </w:pPr>
      <w:r>
        <w:t>idmap config EXAMPLE : range</w:t>
        <w:t xml:space="preserve"> </w:t>
        <w:t>= 1000000 - 1999999</w:t>
      </w:r>
    </w:p>
    <w:p>
      <w:pPr>
        <w:pStyle w:val="Para 02"/>
      </w:pPr>
      <w:r>
        <w:t># allow logins when the DC is unreachable</w:t>
      </w:r>
    </w:p>
    <w:p>
      <w:pPr>
        <w:pStyle w:val="Para 02"/>
      </w:pPr>
      <w:r>
        <w:t>winbind offline logon = yes</w:t>
      </w:r>
    </w:p>
    <w:p>
      <w:pPr>
        <w:pStyle w:val="Para 02"/>
      </w:pPr>
      <w:r>
        <w:t># this *can* be yes if there is absolute certainty that there is only a</w:t>
        <w:t xml:space="preserve"> </w:t>
        <w:t># single domain involved</w:t>
      </w:r>
    </w:p>
    <w:p>
      <w:pPr>
        <w:pStyle w:val="Para 02"/>
      </w:pPr>
      <w:r>
        <w:t>winbind use default domain = no</w:t>
      </w:r>
    </w:p>
    <w:p>
      <w:pPr>
        <w:pStyle w:val="Para 02"/>
      </w:pPr>
      <w:r>
        <w:t># setting these enumeration options to yes has a high performance impact</w:t>
        <w:t xml:space="preserve"> </w:t>
        <w:t># and can cause instabilities</w:t>
      </w:r>
    </w:p>
    <w:p>
      <w:pPr>
        <w:pStyle w:val="Para 02"/>
      </w:pPr>
      <w:r>
        <w:t>winbind enum groups = no</w:t>
      </w:r>
    </w:p>
    <w:p>
      <w:pPr>
        <w:pStyle w:val="Para 02"/>
      </w:pPr>
      <w:r>
        <w:t>winbind enum users = no</w:t>
      </w:r>
    </w:p>
    <w:p>
      <w:pPr>
        <w:pStyle w:val="Para 02"/>
      </w:pPr>
      <w:r>
        <w:t>winbind refresh tickets = yes</w:t>
      </w:r>
    </w:p>
    <w:p>
      <w:pPr>
        <w:pStyle w:val="Para 02"/>
      </w:pPr>
      <w:r>
        <w:t># if domain users should be allowed to login, they will need a login shell</w:t>
        <w:t xml:space="preserve"> </w:t>
        <w:t>template shell = /bin/bash</w:t>
      </w:r>
    </w:p>
    <w:p>
      <w:pPr>
        <w:pStyle w:val="Para 02"/>
      </w:pPr>
      <w:r>
        <w:t># the home directory template for domain users</w:t>
      </w:r>
    </w:p>
    <w:p>
      <w:pPr>
        <w:pStyle w:val="Para 02"/>
      </w:pPr>
      <w:r>
        <w:t>template homedir = /home/%D/%U</w:t>
      </w:r>
    </w:p>
    <w:p>
      <w:pPr>
        <w:pStyle w:val="Para 02"/>
      </w:pPr>
      <w:r>
        <w:t>kerberos method = secrets and keytab</w:t>
      </w:r>
    </w:p>
    <w:p>
      <w:pPr>
        <w:pStyle w:val="Para 17"/>
      </w:pPr>
      <w:r>
        <w:t/>
      </w:r>
    </w:p>
    <w:p>
      <w:pPr>
        <w:pStyle w:val="Normal"/>
      </w:pPr>
      <w:r>
        <w:t>Right after saving /etc/samba/smb.conf, it’s always good practice to run the testparm utility. It will perform a quick syntax check on the configuration file and alert you of any issues. Here is the output we get with the above configuration settings:</w:t>
      </w:r>
    </w:p>
    <w:p>
      <w:pPr>
        <w:pStyle w:val="Normal"/>
      </w:pPr>
      <w:r>
        <w:t>Load smb config files from /etc/samba/smb.conf</w:t>
      </w:r>
    </w:p>
    <w:p>
      <w:pPr>
        <w:pStyle w:val="Normal"/>
      </w:pPr>
      <w:r>
        <w:t>Loaded services file OK.</w:t>
      </w:r>
    </w:p>
    <w:p>
      <w:pPr>
        <w:pStyle w:val="Para 09"/>
      </w:pPr>
      <w:r>
        <w:t>(continues on next page)</w:t>
      </w:r>
    </w:p>
    <w:p>
      <w:bookmarkStart w:id="470" w:name="page_3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5" name="index-330_1.png" descr="index-330_1.png"/>
            <wp:cNvGraphicFramePr>
              <a:graphicFrameLocks noChangeAspect="1"/>
            </wp:cNvGraphicFramePr>
            <a:graphic>
              <a:graphicData uri="http://schemas.openxmlformats.org/drawingml/2006/picture">
                <pic:pic>
                  <pic:nvPicPr>
                    <pic:cNvPr id="0" name="index-330_1.png" descr="index-330_1.png"/>
                    <pic:cNvPicPr/>
                  </pic:nvPicPr>
                  <pic:blipFill>
                    <a:blip r:embed="rId339"/>
                    <a:stretch>
                      <a:fillRect/>
                    </a:stretch>
                  </pic:blipFill>
                  <pic:spPr>
                    <a:xfrm>
                      <a:off x="0" y="0"/>
                      <a:ext cx="914400" cy="266700"/>
                    </a:xfrm>
                    <a:prstGeom prst="rect">
                      <a:avLst/>
                    </a:prstGeom>
                  </pic:spPr>
                </pic:pic>
              </a:graphicData>
            </a:graphic>
          </wp:anchor>
        </w:drawing>
      </w:r>
      <w:bookmarkEnd w:id="470"/>
    </w:p>
    <w:p>
      <w:pPr>
        <w:pStyle w:val="Para 09"/>
      </w:pPr>
      <w:r>
        <w:t>(continued from previous page)</w:t>
      </w:r>
    </w:p>
    <w:p>
      <w:pPr>
        <w:pStyle w:val="Normal"/>
      </w:pPr>
      <w:r>
        <w:t>Weak crypto is allowed by GnuTLS (e.g. NTLM as a compatibility fallback)</w:t>
      </w:r>
    </w:p>
    <w:p>
      <w:pPr>
        <w:pStyle w:val="Normal"/>
      </w:pPr>
      <w:r>
        <w:t>Server role: ROLE_DOMAIN_MEMBER</w:t>
      </w:r>
    </w:p>
    <w:p>
      <w:pPr>
        <w:pStyle w:val="Normal"/>
      </w:pPr>
      <w:r>
        <w:t>Press enter to see a dump of your service definitions</w:t>
      </w:r>
    </w:p>
    <w:p>
      <w:pPr>
        <w:pStyle w:val="Normal"/>
      </w:pPr>
      <w:r>
        <w:t>(...)</w:t>
      </w:r>
    </w:p>
    <w:p>
      <w:pPr>
        <w:pStyle w:val="Para 17"/>
      </w:pPr>
      <w:r>
        <w:t/>
      </w:r>
    </w:p>
    <w:p>
      <w:pPr>
        <w:pStyle w:val="Normal"/>
      </w:pPr>
      <w:r>
        <w:t xml:space="preserve">During the domain join process, the tooling will attempt to update the </w:t>
      </w:r>
      <w:hyperlink w:anchor="page_679">
        <w:r>
          <w:rPr>
            <w:rStyle w:val="Text2"/>
          </w:rPr>
          <w:t>DNS</w:t>
        </w:r>
      </w:hyperlink>
      <w:r>
        <w:t xml:space="preserve"> server with the</w:t>
      </w:r>
    </w:p>
    <w:p>
      <w:pPr>
        <w:pStyle w:val="Normal"/>
      </w:pPr>
      <w:hyperlink w:anchor="page_688">
        <w:r>
          <w:rPr>
            <w:rStyle w:val="Text2"/>
          </w:rPr>
          <w:t>hostname</w:t>
        </w:r>
      </w:hyperlink>
      <w:r>
        <w:t xml:space="preserve"> of this system. Since its IP is likely not yet registered in DNS, that’s kind of a chicken</w:t>
      </w:r>
    </w:p>
    <w:p>
      <w:pPr>
        <w:pStyle w:val="Normal"/>
      </w:pPr>
      <w:r>
        <w:t xml:space="preserve">and egg problem. It helps to, beforehand, set the hostname manually to the </w:t>
      </w:r>
      <w:hyperlink w:anchor="page_683">
        <w:r>
          <w:rPr>
            <w:rStyle w:val="Text2"/>
          </w:rPr>
          <w:t>FQDN</w:t>
        </w:r>
      </w:hyperlink>
      <w:r>
        <w:t xml:space="preserve"> . For this example, we will use a host named n1 in the example.internal domain:</w:t>
      </w:r>
    </w:p>
    <w:p>
      <w:pPr>
        <w:pStyle w:val="Normal"/>
      </w:pPr>
      <w:r>
        <w:t>sudo hostnamectl hostname n1.example.internal</w:t>
      </w:r>
    </w:p>
    <w:p>
      <w:pPr>
        <w:pStyle w:val="Para 17"/>
      </w:pPr>
      <w:r>
        <w:t/>
      </w:r>
    </w:p>
    <w:p>
      <w:pPr>
        <w:pStyle w:val="Normal"/>
      </w:pPr>
      <w:r>
        <w:t>So that the output of hostname -f (and also just hostname) is n1.example.internal.</w:t>
      </w:r>
    </w:p>
    <w:p>
      <w:pPr>
        <w:pStyle w:val="Normal"/>
      </w:pPr>
      <w:r>
        <w:t>With the config file in place and checked, and all the other changes we made in the previous section, the domain join can be performed:</w:t>
      </w:r>
    </w:p>
    <w:p>
      <w:pPr>
        <w:pStyle w:val="Normal"/>
      </w:pPr>
      <w:r>
        <w:t>$ sudo net ads join -U Administrator</w:t>
      </w:r>
    </w:p>
    <w:p>
      <w:pPr>
        <w:pStyle w:val="Normal"/>
      </w:pPr>
      <w:r>
        <w:t>Password for [EXAMPLE\Administrator]:</w:t>
      </w:r>
    </w:p>
    <w:p>
      <w:pPr>
        <w:pStyle w:val="Normal"/>
      </w:pPr>
      <w:r>
        <w:t>Using short domain name -- EXAMPLE</w:t>
      </w:r>
    </w:p>
    <w:p>
      <w:pPr>
        <w:pStyle w:val="Normal"/>
      </w:pPr>
      <w:r>
        <w:t>Joined 'N1' to dns domain 'example.internal'</w:t>
      </w:r>
    </w:p>
    <w:p>
      <w:pPr>
        <w:pStyle w:val="Para 17"/>
      </w:pPr>
      <w:r>
        <w:t/>
      </w:r>
    </w:p>
    <w:p>
      <w:pPr>
        <w:pStyle w:val="Normal"/>
      </w:pPr>
      <w:r>
        <w:t>You can now revert the hostnamectl change from before, and set the hostname back to the short version, i.e., n1 in this example:</w:t>
      </w:r>
    </w:p>
    <w:p>
      <w:pPr>
        <w:pStyle w:val="Normal"/>
      </w:pPr>
      <w:r>
        <w:t>sudo hostnamectl hostname n1</w:t>
      </w:r>
    </w:p>
    <w:p>
      <w:pPr>
        <w:pStyle w:val="Para 17"/>
      </w:pPr>
      <w:r>
        <w:t/>
      </w:r>
    </w:p>
    <w:p>
      <w:pPr>
        <w:pStyle w:val="Normal"/>
      </w:pPr>
      <w:r>
        <w:t>As the last step of the process, the winbind service must be restarted:</w:t>
      </w:r>
    </w:p>
    <w:p>
      <w:pPr>
        <w:pStyle w:val="Normal"/>
      </w:pPr>
      <w:r>
        <w:t>sudo systemctl restart winbind.service</w:t>
      </w:r>
    </w:p>
    <w:p>
      <w:pPr>
        <w:pStyle w:val="Para 17"/>
      </w:pPr>
      <w:r>
        <w:t/>
      </w:r>
    </w:p>
    <w:p>
      <w:pPr>
        <w:pStyle w:val="Para 01"/>
      </w:pPr>
      <w:r>
        <w:t>Verifying the join</w:t>
      </w:r>
    </w:p>
    <w:p>
      <w:pPr>
        <w:pStyle w:val="Para 17"/>
      </w:pPr>
      <w:r>
        <w:t/>
      </w:r>
    </w:p>
    <w:p>
      <w:pPr>
        <w:pStyle w:val="Normal"/>
      </w:pPr>
      <w:r>
        <w:t>The quickest way to test the integrity of the domain join is via the wbinfo command:</w:t>
      </w:r>
    </w:p>
    <w:p>
      <w:pPr>
        <w:pStyle w:val="Normal"/>
      </w:pPr>
      <w:r>
        <w:t>$ sudo wbinfo -t</w:t>
      </w:r>
    </w:p>
    <w:p>
      <w:pPr>
        <w:pStyle w:val="Normal"/>
      </w:pPr>
      <w:r>
        <w:t>checking the trust secret for domain EXAMPLE via RPC calls succeeded</w:t>
      </w:r>
    </w:p>
    <w:p>
      <w:pPr>
        <w:pStyle w:val="Para 17"/>
      </w:pPr>
      <w:r>
        <w:t/>
      </w:r>
    </w:p>
    <w:p>
      <w:pPr>
        <w:pStyle w:val="Normal"/>
      </w:pPr>
      <w:r>
        <w:t>The next verification step should be to actually try to resolve an existing username from the domain. In the EXAMPLE.INTERNAL domain, for example, we have some test users we can check:</w:t>
      </w:r>
    </w:p>
    <w:p>
      <w:pPr>
        <w:pStyle w:val="Normal"/>
      </w:pPr>
      <w:r>
        <w:t>$ id jammy@example.internal</w:t>
      </w:r>
    </w:p>
    <w:p>
      <w:pPr>
        <w:pStyle w:val="Normal"/>
      </w:pPr>
      <w:r>
        <w:t>uid=1001103(EXAMPLE\jammy) gid=1000513(EXAMPLE\domain users) groups=1000513(EXAMPLE\domain</w:t>
        <w:t xml:space="preserve"> </w:t>
        <w:t>users),1001103(EXAMPLE\jammy)</w:t>
      </w:r>
    </w:p>
    <w:p>
      <w:pPr>
        <w:pStyle w:val="Para 17"/>
      </w:pPr>
      <w:r>
        <w:t/>
      </w:r>
    </w:p>
    <w:p>
      <w:pPr>
        <w:pStyle w:val="Normal"/>
      </w:pPr>
      <w:r>
        <w:t>Another valid syntax for domain users is prefixing the name with the domain, like this:</w:t>
      </w:r>
    </w:p>
    <w:p>
      <w:pPr>
        <w:pStyle w:val="Normal"/>
      </w:pPr>
      <w:r>
        <w:t>$ id EXAMPLE\\jammy</w:t>
      </w:r>
    </w:p>
    <w:p>
      <w:pPr>
        <w:pStyle w:val="Normal"/>
      </w:pPr>
      <w:r>
        <w:t>uid=1001103(EXAMPLE\jammy) gid=1000513(EXAMPLE\domain users) groups=1000513(EXAMPLE\domain</w:t>
        <w:t xml:space="preserve"> </w:t>
        <w:t>users),1001103(EXAMPLE\jammy)</w:t>
      </w:r>
    </w:p>
    <w:p>
      <w:pPr>
        <w:pStyle w:val="Para 17"/>
      </w:pPr>
      <w:r>
        <w:t/>
      </w:r>
    </w:p>
    <w:p>
      <w:pPr>
        <w:pStyle w:val="Normal"/>
      </w:pPr>
      <w:r>
        <w:t>And finally, attempt a console login:</w:t>
      </w:r>
    </w:p>
    <w:p>
      <w:bookmarkStart w:id="471" w:name="page_3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6" name="index-331_1.png" descr="index-331_1.png"/>
            <wp:cNvGraphicFramePr>
              <a:graphicFrameLocks noChangeAspect="1"/>
            </wp:cNvGraphicFramePr>
            <a:graphic>
              <a:graphicData uri="http://schemas.openxmlformats.org/drawingml/2006/picture">
                <pic:pic>
                  <pic:nvPicPr>
                    <pic:cNvPr id="0" name="index-331_1.png" descr="index-331_1.png"/>
                    <pic:cNvPicPr/>
                  </pic:nvPicPr>
                  <pic:blipFill>
                    <a:blip r:embed="rId340"/>
                    <a:stretch>
                      <a:fillRect/>
                    </a:stretch>
                  </pic:blipFill>
                  <pic:spPr>
                    <a:xfrm>
                      <a:off x="0" y="0"/>
                      <a:ext cx="914400" cy="266700"/>
                    </a:xfrm>
                    <a:prstGeom prst="rect">
                      <a:avLst/>
                    </a:prstGeom>
                  </pic:spPr>
                </pic:pic>
              </a:graphicData>
            </a:graphic>
          </wp:anchor>
        </w:drawing>
      </w:r>
      <w:bookmarkEnd w:id="471"/>
    </w:p>
    <w:p>
      <w:pPr>
        <w:pStyle w:val="Normal"/>
      </w:pPr>
      <w:r>
        <w:t>n1 login: jammy@example.internal</w:t>
      </w:r>
    </w:p>
    <w:p>
      <w:pPr>
        <w:pStyle w:val="Normal"/>
      </w:pPr>
      <w:r>
        <w:t>Password:</w:t>
      </w:r>
    </w:p>
    <w:p>
      <w:pPr>
        <w:pStyle w:val="Normal"/>
      </w:pPr>
      <w:r>
        <w:t>Welcome to Ubuntu 24.04 LTS (GNU/Linux 6.5.0-26-generic x86_64)</w:t>
        <w:t xml:space="preserve"> </w:t>
        <w:t>(...)</w:t>
      </w:r>
    </w:p>
    <w:p>
      <w:pPr>
        <w:pStyle w:val="Normal"/>
      </w:pPr>
      <w:r>
        <w:t>Creating directory '/home/EXAMPLE/jammy'.</w:t>
      </w:r>
    </w:p>
    <w:p>
      <w:pPr>
        <w:pStyle w:val="Normal"/>
      </w:pPr>
      <w:r>
        <w:t>EXAMPLE\jammy@n1:~$</w:t>
      </w:r>
    </w:p>
    <w:p>
      <w:pPr>
        <w:pStyle w:val="Para 17"/>
      </w:pPr>
      <w:r>
        <w:t/>
      </w:r>
    </w:p>
    <w:p>
      <w:pPr>
        <w:pStyle w:val="Normal"/>
      </w:pPr>
      <w:r>
        <w:t>The output above also shows the automatic on-demand home directory creation, according to the template defined in /etc/samba/smb.conf.</w:t>
      </w:r>
    </w:p>
    <w:p>
      <w:pPr>
        <w:pStyle w:val="Para 08"/>
      </w:pPr>
      <w:r>
        <w:t>Note:</w:t>
      </w:r>
    </w:p>
    <w:p>
      <w:pPr>
        <w:pStyle w:val="Para 03"/>
      </w:pPr>
      <w:r>
        <w:t>The actual login name used can have multiple formats: DOMAIN\user at the terminal login</w:t>
      </w:r>
    </w:p>
    <w:p>
      <w:pPr>
        <w:pStyle w:val="Para 03"/>
      </w:pPr>
      <w:r>
        <w:t>prompt, DOMAIN\\user when referred to in shell scripts (note the escaping of the ‘\’ char-</w:t>
      </w:r>
    </w:p>
    <w:p>
      <w:pPr>
        <w:pStyle w:val="Para 03"/>
      </w:pPr>
      <w:r>
        <w:t>acter), and user@domain is also accepted.</w:t>
      </w:r>
    </w:p>
    <w:p>
      <w:pPr>
        <w:pStyle w:val="Para 17"/>
      </w:pPr>
      <w:r>
        <w:t/>
      </w:r>
    </w:p>
    <w:p>
      <w:pPr>
        <w:pStyle w:val="Para 01"/>
      </w:pPr>
      <w:r>
        <w:t>Join a forest with the rid backend</w:t>
      </w:r>
    </w:p>
    <w:p>
      <w:pPr>
        <w:pStyle w:val="Para 17"/>
      </w:pPr>
      <w:r>
        <w:t/>
      </w:r>
    </w:p>
    <w:p>
      <w:pPr>
        <w:pStyle w:val="Normal"/>
      </w:pPr>
      <w:r>
        <w:t xml:space="preserve">It’s also possible to join an Active Directory forest using the </w:t>
      </w:r>
      <w:r>
        <w:rPr>
          <w:rStyle w:val="Text3"/>
        </w:rPr>
        <w:t>rid</w:t>
      </w:r>
      <w:r>
        <w:t xml:space="preserve"> identity mapping backend. To better understand what is involved, and why it is tricky, let’s reuse the example where we joined a single domain with this backend:</w:t>
      </w:r>
    </w:p>
    <w:p>
      <w:pPr>
        <w:pStyle w:val="Normal"/>
      </w:pPr>
      <w:r>
        <w:t>[global]</w:t>
      </w:r>
    </w:p>
    <w:p>
      <w:pPr>
        <w:pStyle w:val="Para 02"/>
      </w:pPr>
      <w:r>
        <w:t>security = ads</w:t>
      </w:r>
    </w:p>
    <w:p>
      <w:pPr>
        <w:pStyle w:val="Para 02"/>
      </w:pPr>
      <w:r>
        <w:t>realm = EXAMPLE.INTERNAL</w:t>
      </w:r>
    </w:p>
    <w:p>
      <w:pPr>
        <w:pStyle w:val="Para 02"/>
      </w:pPr>
      <w:r>
        <w:t>workgroup = EXAMPLE</w:t>
      </w:r>
    </w:p>
    <w:p>
      <w:pPr>
        <w:pStyle w:val="Para 02"/>
      </w:pPr>
      <w:r>
        <w:t>idmap config * : backend</w:t>
        <w:t xml:space="preserve"> </w:t>
        <w:t>= tdb</w:t>
        <w:t xml:space="preserve"> </w:t>
        <w:t># 100,000 - 199,999</w:t>
      </w:r>
    </w:p>
    <w:p>
      <w:pPr>
        <w:pStyle w:val="Para 02"/>
      </w:pPr>
      <w:r>
        <w:t>idmap config * : range</w:t>
        <w:t xml:space="preserve"> </w:t>
        <w:t>= 100000 - 199999</w:t>
        <w:t xml:space="preserve"> </w:t>
        <w:t>idmap config EXAMPLE : backend = rid</w:t>
      </w:r>
    </w:p>
    <w:p>
      <w:pPr>
        <w:pStyle w:val="Para 02"/>
      </w:pPr>
      <w:r>
        <w:t># 1,000,000 - 1,999,999</w:t>
      </w:r>
    </w:p>
    <w:p>
      <w:pPr>
        <w:pStyle w:val="Para 02"/>
      </w:pPr>
      <w:r>
        <w:t>idmap config EXAMPLE : range</w:t>
        <w:t xml:space="preserve"> </w:t>
        <w:t>= 1000000 - 1999999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723900"/>
            <wp:effectExtent l="0" r="0" t="0" b="0"/>
            <wp:wrapTopAndBottom/>
            <wp:docPr id="337" name="index-331_2.png" descr="index-331_2.png"/>
            <wp:cNvGraphicFramePr>
              <a:graphicFrameLocks noChangeAspect="1"/>
            </wp:cNvGraphicFramePr>
            <a:graphic>
              <a:graphicData uri="http://schemas.openxmlformats.org/drawingml/2006/picture">
                <pic:pic>
                  <pic:nvPicPr>
                    <pic:cNvPr id="0" name="index-331_2.png" descr="index-331_2.png"/>
                    <pic:cNvPicPr/>
                  </pic:nvPicPr>
                  <pic:blipFill>
                    <a:blip r:embed="rId341"/>
                    <a:stretch>
                      <a:fillRect/>
                    </a:stretch>
                  </pic:blipFill>
                  <pic:spPr>
                    <a:xfrm>
                      <a:off x="0" y="0"/>
                      <a:ext cx="1841500" cy="723900"/>
                    </a:xfrm>
                    <a:prstGeom prst="rect">
                      <a:avLst/>
                    </a:prstGeom>
                  </pic:spPr>
                </pic:pic>
              </a:graphicData>
            </a:graphic>
          </wp:anchor>
        </w:drawing>
      </w:r>
    </w:p>
    <w:p>
      <w:pPr>
        <w:pStyle w:val="Para 17"/>
      </w:pPr>
      <w:r>
        <w:t/>
      </w:r>
    </w:p>
    <w:p>
      <w:pPr>
        <w:pStyle w:val="Normal"/>
      </w:pPr>
      <w:r>
        <w:t xml:space="preserve">With this configuration, we are expected to join the </w:t>
      </w:r>
      <w:r>
        <w:rPr>
          <w:rStyle w:val="Text3"/>
        </w:rPr>
        <w:t>EXAMPLE.INTERNAL</w:t>
      </w:r>
      <w:r>
        <w:t xml:space="preserve"> domain, and have given it a range of 1 million IDs starting with the ID 1000000 (1,000,000). There is also the mandatory reserved range for the default domain, represented by the identity mapping con-figuration for “*”, which has a smaller range of 100,000 IDs, starting at 100000 (100,000).</w:t>
      </w:r>
    </w:p>
    <w:p>
      <w:pPr>
        <w:pStyle w:val="Normal"/>
      </w:pPr>
      <w:r>
        <w:t>The testparm utility is happy with this configuration, and there is no overlap of ID ranges:</w:t>
      </w:r>
    </w:p>
    <w:p>
      <w:pPr>
        <w:pStyle w:val="Normal"/>
      </w:pPr>
      <w:r>
        <w:t>$ testparm</w:t>
      </w:r>
    </w:p>
    <w:p>
      <w:pPr>
        <w:pStyle w:val="Normal"/>
      </w:pPr>
      <w:r>
        <w:t>Load smb config files from /etc/samba/smb.conf</w:t>
      </w:r>
    </w:p>
    <w:p>
      <w:pPr>
        <w:pStyle w:val="Normal"/>
      </w:pPr>
      <w:r>
        <w:t>Loaded services file OK.</w:t>
      </w:r>
    </w:p>
    <w:p>
      <w:pPr>
        <w:pStyle w:val="Normal"/>
      </w:pPr>
      <w:r>
        <w:t>Weak crypto is allowed by GnuTLS (e.g. NTLM as a compatibility fallback)</w:t>
      </w:r>
    </w:p>
    <w:p>
      <w:pPr>
        <w:pStyle w:val="Para 09"/>
      </w:pPr>
      <w:r>
        <w:t>(continues on next page)</w:t>
      </w:r>
    </w:p>
    <w:p>
      <w:bookmarkStart w:id="472" w:name="page_3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8" name="index-332_1.png" descr="index-332_1.png"/>
            <wp:cNvGraphicFramePr>
              <a:graphicFrameLocks noChangeAspect="1"/>
            </wp:cNvGraphicFramePr>
            <a:graphic>
              <a:graphicData uri="http://schemas.openxmlformats.org/drawingml/2006/picture">
                <pic:pic>
                  <pic:nvPicPr>
                    <pic:cNvPr id="0" name="index-332_1.png" descr="index-332_1.png"/>
                    <pic:cNvPicPr/>
                  </pic:nvPicPr>
                  <pic:blipFill>
                    <a:blip r:embed="rId342"/>
                    <a:stretch>
                      <a:fillRect/>
                    </a:stretch>
                  </pic:blipFill>
                  <pic:spPr>
                    <a:xfrm>
                      <a:off x="0" y="0"/>
                      <a:ext cx="914400" cy="266700"/>
                    </a:xfrm>
                    <a:prstGeom prst="rect">
                      <a:avLst/>
                    </a:prstGeom>
                  </pic:spPr>
                </pic:pic>
              </a:graphicData>
            </a:graphic>
          </wp:anchor>
        </w:drawing>
      </w:r>
      <w:bookmarkEnd w:id="472"/>
    </w:p>
    <w:p>
      <w:pPr>
        <w:pStyle w:val="Para 09"/>
      </w:pPr>
      <w:r>
        <w:t>(continued from previous page)</w:t>
      </w:r>
    </w:p>
    <w:p>
      <w:pPr>
        <w:pStyle w:val="Normal"/>
      </w:pPr>
      <w:r>
        <w:t>Server role: ROLE_DOMAIN_MEMBER</w:t>
      </w:r>
    </w:p>
    <w:p>
      <w:pPr>
        <w:pStyle w:val="Para 17"/>
      </w:pPr>
      <w:r>
        <w:t/>
      </w:r>
    </w:p>
    <w:p>
      <w:pPr>
        <w:pStyle w:val="Normal"/>
      </w:pPr>
      <w:r>
        <w:t xml:space="preserve">We next adjust the </w:t>
      </w:r>
      <w:hyperlink w:anchor="page_688">
        <w:r>
          <w:rPr>
            <w:rStyle w:val="Text2"/>
          </w:rPr>
          <w:t>hostname</w:t>
        </w:r>
      </w:hyperlink>
      <w:r>
        <w:t xml:space="preserve"> and perform the join:</w:t>
      </w:r>
    </w:p>
    <w:p>
      <w:pPr>
        <w:pStyle w:val="Normal"/>
      </w:pPr>
      <w:r>
        <w:t>$ sudo hostnamectl hostname n3.example.internal</w:t>
      </w:r>
    </w:p>
    <w:p>
      <w:pPr>
        <w:pStyle w:val="Normal"/>
      </w:pPr>
      <w:r>
        <w:t>$ hostname</w:t>
      </w:r>
    </w:p>
    <w:p>
      <w:pPr>
        <w:pStyle w:val="Normal"/>
      </w:pPr>
      <w:r>
        <w:t>n3.example.internal</w:t>
      </w:r>
    </w:p>
    <w:p>
      <w:pPr>
        <w:pStyle w:val="Normal"/>
      </w:pPr>
      <w:r>
        <w:t>$ hostname -f</w:t>
      </w:r>
    </w:p>
    <w:p>
      <w:pPr>
        <w:pStyle w:val="Normal"/>
      </w:pPr>
      <w:r>
        <w:t>n3.example.internal</w:t>
      </w:r>
    </w:p>
    <w:p>
      <w:pPr>
        <w:pStyle w:val="Normal"/>
      </w:pPr>
      <w:r>
        <w:t>$ sudo net ads join -U Administrator</w:t>
      </w:r>
    </w:p>
    <w:p>
      <w:pPr>
        <w:pStyle w:val="Normal"/>
      </w:pPr>
      <w:r>
        <w:t>Password for [EXAMPLE\Administrator]:</w:t>
      </w:r>
    </w:p>
    <w:p>
      <w:pPr>
        <w:pStyle w:val="Normal"/>
      </w:pPr>
      <w:r>
        <w:t>Using short domain name -- EXAMPLE</w:t>
      </w:r>
    </w:p>
    <w:p>
      <w:pPr>
        <w:pStyle w:val="Normal"/>
      </w:pPr>
      <w:r>
        <w:t>Joined 'N3' to dns domain 'example.internal'</w:t>
      </w:r>
    </w:p>
    <w:p>
      <w:pPr>
        <w:pStyle w:val="Normal"/>
      </w:pPr>
      <w:r>
        <w:t>$ sudo hostnamectl hostname n3</w:t>
      </w:r>
    </w:p>
    <w:p>
      <w:pPr>
        <w:pStyle w:val="Normal"/>
      </w:pPr>
      <w:r>
        <w:t>$ sudo systemctl restart winbind.service</w:t>
      </w:r>
    </w:p>
    <w:p>
      <w:pPr>
        <w:pStyle w:val="Para 17"/>
      </w:pPr>
      <w:r>
        <w:t/>
      </w:r>
    </w:p>
    <w:p>
      <w:pPr>
        <w:pStyle w:val="Normal"/>
      </w:pPr>
      <w:r>
        <w:t xml:space="preserve">A quick check shows that the users from </w:t>
      </w:r>
      <w:r>
        <w:rPr>
          <w:rStyle w:val="Text3"/>
        </w:rPr>
        <w:t>EXAMPLE.INTERNAL</w:t>
      </w:r>
      <w:r>
        <w:t xml:space="preserve"> are recognized:</w:t>
      </w:r>
    </w:p>
    <w:p>
      <w:pPr>
        <w:pStyle w:val="Normal"/>
      </w:pPr>
      <w:r>
        <w:t>$ id jammy@example.internal</w:t>
      </w:r>
    </w:p>
    <w:p>
      <w:pPr>
        <w:pStyle w:val="Normal"/>
      </w:pPr>
      <w:r>
        <w:t>uid=1001103(EXAMPLE\jammy) gid=1000513(EXAMPLE\domain users) groups=1000513(EXAMPLE\domain</w:t>
        <w:t xml:space="preserve"> </w:t>
        <w:t>users),1001103(EXAMPLE\jammy)</w:t>
      </w:r>
    </w:p>
    <w:p>
      <w:pPr>
        <w:pStyle w:val="Para 17"/>
      </w:pPr>
      <w:r>
        <w:t/>
      </w:r>
    </w:p>
    <w:p>
      <w:pPr>
        <w:pStyle w:val="Normal"/>
      </w:pPr>
      <w:r>
        <w:t>But what happens if this single domain establishes a trust relationship with another domain, and we don’t modify the /etc/samba/smb.conf file to cope with that? Where will the users from the new trusted domain get their IDs from? Since there is no specific idmap configura-tion for the new trusted domain, its users will get IDs from the default domain:</w:t>
      </w:r>
    </w:p>
    <w:p>
      <w:pPr>
        <w:pStyle w:val="Normal"/>
      </w:pPr>
      <w:r>
        <w:t>$ id noble@mydomain.internal</w:t>
      </w:r>
    </w:p>
    <w:p>
      <w:pPr>
        <w:pStyle w:val="Normal"/>
      </w:pPr>
      <w:r>
        <w:t>uid=100000(MYDOMAIN\noble) gid=100000(MYDOMAIN\domain users) groups=100000(MYDOMAIN\domain</w:t>
        <w:t xml:space="preserve"> </w:t>
        <w:t>users)</w:t>
      </w:r>
    </w:p>
    <w:p>
      <w:pPr>
        <w:pStyle w:val="Para 17"/>
      </w:pPr>
      <w:r>
        <w:t/>
      </w:r>
    </w:p>
    <w:p>
      <w:pPr>
        <w:pStyle w:val="Normal"/>
      </w:pPr>
      <w:r>
        <w:t>Oops. That is from the much smaller range 100,000 - 199,999, reserved for the catch-all de-fault domain. Furthermore, if yet another trust relationship is established, those users will also get their IDs from this range, mixing multiple domains up in the same ID range, in what-ever order they are being looked up.</w:t>
      </w:r>
    </w:p>
    <w:p>
      <w:pPr>
        <w:pStyle w:val="Normal"/>
      </w:pPr>
      <w:r>
        <w:t xml:space="preserve">If above we had looked up another user instead of </w:t>
      </w:r>
      <w:r>
        <w:rPr>
          <w:rStyle w:val="Text3"/>
        </w:rPr>
        <w:t>noble@mydomain.internal</w:t>
      </w:r>
      <w:r>
        <w:t xml:space="preserve">, that other user would have been given the ID 100000. There is no deterministic formula for the default do-main ID allocation, like there is for the </w:t>
      </w:r>
      <w:r>
        <w:rPr>
          <w:rStyle w:val="Text3"/>
        </w:rPr>
        <w:t>rid</w:t>
      </w:r>
      <w:r>
        <w:t xml:space="preserve"> backend. In the default domain, IDs are allocated on a first come, first serve basis.</w:t>
      </w:r>
    </w:p>
    <w:p>
      <w:pPr>
        <w:pStyle w:val="Normal"/>
      </w:pPr>
      <w:r>
        <w:t xml:space="preserve">To address this, we can add another </w:t>
      </w:r>
      <w:r>
        <w:rPr>
          <w:rStyle w:val="Text3"/>
        </w:rPr>
        <w:t>idmap config</w:t>
      </w:r>
      <w:r>
        <w:t xml:space="preserve"> configuration for the </w:t>
      </w:r>
      <w:r>
        <w:rPr>
          <w:rStyle w:val="Text3"/>
        </w:rPr>
        <w:t>rid</w:t>
      </w:r>
      <w:r>
        <w:t xml:space="preserve"> backend, giving the new domain a separate range:</w:t>
      </w:r>
    </w:p>
    <w:p>
      <w:pPr>
        <w:pStyle w:val="Normal"/>
      </w:pPr>
      <w:r>
        <w:t>[global]</w:t>
      </w:r>
    </w:p>
    <w:p>
      <w:pPr>
        <w:pStyle w:val="Para 02"/>
      </w:pPr>
      <w:r>
        <w:t>security = ads</w:t>
      </w:r>
    </w:p>
    <w:p>
      <w:pPr>
        <w:pStyle w:val="Para 02"/>
      </w:pPr>
      <w:r>
        <w:t>realm = EXAMPLE.INTERNAL</w:t>
      </w:r>
    </w:p>
    <w:p>
      <w:pPr>
        <w:pStyle w:val="Para 02"/>
      </w:pPr>
      <w:r>
        <w:t>workgroup = EXAMPLE</w:t>
      </w:r>
    </w:p>
    <w:p>
      <w:pPr>
        <w:pStyle w:val="Para 02"/>
      </w:pPr>
      <w:r>
        <w:t>idmap config * : backend</w:t>
        <w:t xml:space="preserve"> </w:t>
        <w:t>= tdb</w:t>
      </w:r>
    </w:p>
    <w:p>
      <w:pPr>
        <w:pStyle w:val="Para 09"/>
      </w:pPr>
      <w:r>
        <w:t>(continues on next page)</w:t>
      </w:r>
    </w:p>
    <w:p>
      <w:bookmarkStart w:id="473" w:name="page_3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39" name="index-333_1.png" descr="index-333_1.png"/>
            <wp:cNvGraphicFramePr>
              <a:graphicFrameLocks noChangeAspect="1"/>
            </wp:cNvGraphicFramePr>
            <a:graphic>
              <a:graphicData uri="http://schemas.openxmlformats.org/drawingml/2006/picture">
                <pic:pic>
                  <pic:nvPicPr>
                    <pic:cNvPr id="0" name="index-333_1.png" descr="index-333_1.png"/>
                    <pic:cNvPicPr/>
                  </pic:nvPicPr>
                  <pic:blipFill>
                    <a:blip r:embed="rId343"/>
                    <a:stretch>
                      <a:fillRect/>
                    </a:stretch>
                  </pic:blipFill>
                  <pic:spPr>
                    <a:xfrm>
                      <a:off x="0" y="0"/>
                      <a:ext cx="914400" cy="266700"/>
                    </a:xfrm>
                    <a:prstGeom prst="rect">
                      <a:avLst/>
                    </a:prstGeom>
                  </pic:spPr>
                </pic:pic>
              </a:graphicData>
            </a:graphic>
          </wp:anchor>
        </w:drawing>
      </w:r>
      <w:bookmarkEnd w:id="473"/>
    </w:p>
    <w:p>
      <w:pPr>
        <w:pStyle w:val="Para 09"/>
      </w:pPr>
      <w:r>
        <w:t>(continued from previous page)</w:t>
      </w:r>
    </w:p>
    <w:p>
      <w:pPr>
        <w:pStyle w:val="Para 02"/>
      </w:pPr>
      <w:r>
        <w:t># 100,000 - 199,999</w:t>
      </w:r>
    </w:p>
    <w:p>
      <w:pPr>
        <w:pStyle w:val="Para 02"/>
      </w:pPr>
      <w:r>
        <w:t>idmap config * : range</w:t>
        <w:t xml:space="preserve"> </w:t>
        <w:t>= 100000 - 199999</w:t>
        <w:t xml:space="preserve"> </w:t>
        <w:t>idmap config EXAMPLE : backend = rid</w:t>
      </w:r>
    </w:p>
    <w:p>
      <w:pPr>
        <w:pStyle w:val="Para 02"/>
      </w:pPr>
      <w:r>
        <w:t># 1,000,000 - 1,999,999</w:t>
      </w:r>
    </w:p>
    <w:p>
      <w:pPr>
        <w:pStyle w:val="Para 02"/>
      </w:pPr>
      <w:r>
        <w:t>idmap config EXAMPLE : range</w:t>
        <w:t xml:space="preserve"> </w:t>
        <w:t>= 1000000 - 1999999</w:t>
      </w:r>
    </w:p>
    <w:p>
      <w:pPr>
        <w:pStyle w:val="Para 02"/>
      </w:pPr>
      <w:r>
        <w:t># MYDOMAIN.INTERNAL idmap configuration</w:t>
      </w:r>
    </w:p>
    <w:p>
      <w:pPr>
        <w:pStyle w:val="Para 02"/>
      </w:pPr>
      <w:r>
        <w:t>idmap config MYDOMAIN : backend = rid</w:t>
      </w:r>
    </w:p>
    <w:p>
      <w:pPr>
        <w:pStyle w:val="Para 02"/>
      </w:pPr>
      <w:r>
        <w:t># 2,000,000 - 2,999,999</w:t>
      </w:r>
    </w:p>
    <w:p>
      <w:pPr>
        <w:pStyle w:val="Para 02"/>
      </w:pPr>
      <w:r>
        <w:t>idmap config MYDOMAIN : range</w:t>
        <w:t xml:space="preserve"> </w:t>
        <w:t>= 2000000 - 2999999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723900"/>
            <wp:effectExtent l="0" r="0" t="0" b="0"/>
            <wp:wrapTopAndBottom/>
            <wp:docPr id="340" name="index-333_2.png" descr="index-333_2.png"/>
            <wp:cNvGraphicFramePr>
              <a:graphicFrameLocks noChangeAspect="1"/>
            </wp:cNvGraphicFramePr>
            <a:graphic>
              <a:graphicData uri="http://schemas.openxmlformats.org/drawingml/2006/picture">
                <pic:pic>
                  <pic:nvPicPr>
                    <pic:cNvPr id="0" name="index-333_2.png" descr="index-333_2.png"/>
                    <pic:cNvPicPr/>
                  </pic:nvPicPr>
                  <pic:blipFill>
                    <a:blip r:embed="rId344"/>
                    <a:stretch>
                      <a:fillRect/>
                    </a:stretch>
                  </pic:blipFill>
                  <pic:spPr>
                    <a:xfrm>
                      <a:off x="0" y="0"/>
                      <a:ext cx="2451100" cy="723900"/>
                    </a:xfrm>
                    <a:prstGeom prst="rect">
                      <a:avLst/>
                    </a:prstGeom>
                  </pic:spPr>
                </pic:pic>
              </a:graphicData>
            </a:graphic>
          </wp:anchor>
        </w:drawing>
      </w:r>
    </w:p>
    <w:p>
      <w:pPr>
        <w:pStyle w:val="Para 17"/>
      </w:pPr>
      <w:r>
        <w:t/>
      </w:r>
    </w:p>
    <w:p>
      <w:pPr>
        <w:pStyle w:val="Normal"/>
      </w:pPr>
      <w:r>
        <w:t xml:space="preserve">With this configuration, nothing changed for the </w:t>
      </w:r>
      <w:r>
        <w:rPr>
          <w:rStyle w:val="Text3"/>
        </w:rPr>
        <w:t>EXAMPLE.INTERNAL</w:t>
      </w:r>
      <w:r>
        <w:t xml:space="preserve"> users, as expected:</w:t>
      </w:r>
    </w:p>
    <w:p>
      <w:pPr>
        <w:pStyle w:val="Normal"/>
      </w:pPr>
      <w:r>
        <w:t>$ id jammy@example.internal</w:t>
      </w:r>
    </w:p>
    <w:p>
      <w:pPr>
        <w:pStyle w:val="Normal"/>
      </w:pPr>
      <w:r>
        <w:t>uid=1001103(EXAMPLE\jammy) gid=1000513(EXAMPLE\domain users) groups=1000513(EXAMPLE\domain</w:t>
        <w:t xml:space="preserve"> </w:t>
        <w:t>users),1001103(EXAMPLE\jammy)</w:t>
      </w:r>
    </w:p>
    <w:p>
      <w:pPr>
        <w:pStyle w:val="Para 17"/>
      </w:pPr>
      <w:r>
        <w:t/>
      </w:r>
    </w:p>
    <w:p>
      <w:pPr>
        <w:pStyle w:val="Normal"/>
      </w:pPr>
      <w:r>
        <w:t xml:space="preserve">But the users from the trusted domain </w:t>
      </w:r>
      <w:r>
        <w:rPr>
          <w:rStyle w:val="Text3"/>
        </w:rPr>
        <w:t>MYDOMAIN.INTERNAL</w:t>
      </w:r>
      <w:r>
        <w:t xml:space="preserve"> will get their IDs allocated from the 2,000,000 - 2,999,999 range, instead of the default one:</w:t>
      </w:r>
    </w:p>
    <w:p>
      <w:pPr>
        <w:pStyle w:val="Normal"/>
      </w:pPr>
      <w:r>
        <w:t>$ id noble@mydomain.internal</w:t>
      </w:r>
    </w:p>
    <w:p>
      <w:pPr>
        <w:pStyle w:val="Normal"/>
      </w:pPr>
      <w:r>
        <w:t>uid=2001104(MYDOMAIN\noble) gid=2000513(MYDOMAIN\domain users) groups=2000513(MYDOMAIN\</w:t>
        <w:t xml:space="preserve"> </w:t>
        <w:t>domain users),2001104(MYDOMAIN\noble)</w:t>
      </w:r>
    </w:p>
    <w:p>
      <w:pPr>
        <w:pStyle w:val="Para 17"/>
      </w:pPr>
      <w:r>
        <w:t/>
      </w:r>
    </w:p>
    <w:p>
      <w:pPr>
        <w:pStyle w:val="Normal"/>
      </w:pPr>
      <w:r>
        <w:t xml:space="preserve">And this allocation, which is using the </w:t>
      </w:r>
      <w:r>
        <w:rPr>
          <w:rStyle w:val="Text3"/>
        </w:rPr>
        <w:t>rid</w:t>
      </w:r>
      <w:r>
        <w:t xml:space="preserve"> backend, is deterministic.</w:t>
      </w:r>
    </w:p>
    <w:p>
      <w:pPr>
        <w:pStyle w:val="Normal"/>
      </w:pPr>
      <w:r>
        <w:t>Problem solved! Well, until another trust relationship is established, then we have to allocate another range for it.</w:t>
      </w:r>
    </w:p>
    <w:p>
      <w:pPr>
        <w:pStyle w:val="Normal"/>
      </w:pPr>
      <w:r>
        <w:t xml:space="preserve">So is it possible to use the </w:t>
      </w:r>
      <w:r>
        <w:rPr>
          <w:rStyle w:val="Text3"/>
        </w:rPr>
        <w:t>rid</w:t>
      </w:r>
      <w:r>
        <w:t xml:space="preserve"> identity mapping backend with an Active Directory forest, with multiple domains? Yes, but following these steps </w:t>
      </w:r>
      <w:r>
        <w:rPr>
          <w:rStyle w:val="Text0"/>
        </w:rPr>
        <w:t>BEFORE</w:t>
      </w:r>
      <w:r>
        <w:t xml:space="preserve"> establishing any new trust rela-tionship:</w:t>
      </w:r>
    </w:p>
    <w:p>
      <w:pPr>
        <w:pStyle w:val="Para 04"/>
      </w:pPr>
      <w:r>
        <w:t>• plan an ID range for the new domain</w:t>
      </w:r>
    </w:p>
    <w:p>
      <w:pPr>
        <w:pStyle w:val="Para 04"/>
      </w:pPr>
      <w:r>
        <w:t xml:space="preserve">• update </w:t>
      </w:r>
      <w:r>
        <w:rPr>
          <w:rStyle w:val="Text0"/>
        </w:rPr>
        <w:t>ALL</w:t>
      </w:r>
      <w:r>
        <w:t xml:space="preserve"> systems that are using the </w:t>
      </w:r>
      <w:r>
        <w:rPr>
          <w:rStyle w:val="Text3"/>
        </w:rPr>
        <w:t>rid</w:t>
      </w:r>
      <w:r>
        <w:t xml:space="preserve"> idmap backend with the new range configu-</w:t>
      </w:r>
    </w:p>
    <w:p>
      <w:pPr>
        <w:pStyle w:val="Para 02"/>
      </w:pPr>
      <w:r>
        <w:t>ration for the new domain</w:t>
      </w:r>
    </w:p>
    <w:p>
      <w:pPr>
        <w:pStyle w:val="Para 04"/>
      </w:pPr>
      <w:r>
        <w:t xml:space="preserve">• restart winbind on </w:t>
      </w:r>
      <w:r>
        <w:rPr>
          <w:rStyle w:val="Text0"/>
        </w:rPr>
        <w:t>ALL</w:t>
      </w:r>
      <w:r>
        <w:t xml:space="preserve"> such systems</w:t>
      </w:r>
    </w:p>
    <w:p>
      <w:pPr>
        <w:pStyle w:val="Para 04"/>
      </w:pPr>
      <w:r>
        <w:t>• then the new trust relationship can be established</w:t>
      </w:r>
    </w:p>
    <w:p>
      <w:pPr>
        <w:pStyle w:val="Normal"/>
      </w:pPr>
      <w:r>
        <w:t xml:space="preserve">If a system is missed, and doesn’t have an idmap configuration entry for the new domain, the moment a user from that new domain is looked up, it will be assigned an ID from the default domain, which will be non-deterministic and different from the ID assigned to the same user in another system which had the new idmap configuration entry. Quite a mess. Unless the different ID is not important, in which case it’s much simpler to just use the </w:t>
      </w:r>
      <w:r>
        <w:rPr>
          <w:rStyle w:val="Text3"/>
        </w:rPr>
        <w:t>autorid</w:t>
      </w:r>
      <w:r>
        <w:t xml:space="preserve"> identity mapping backend.</w:t>
      </w:r>
    </w:p>
    <w:p>
      <w:bookmarkStart w:id="474" w:name="page_3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1" name="index-334_1.png" descr="index-334_1.png"/>
            <wp:cNvGraphicFramePr>
              <a:graphicFrameLocks noChangeAspect="1"/>
            </wp:cNvGraphicFramePr>
            <a:graphic>
              <a:graphicData uri="http://schemas.openxmlformats.org/drawingml/2006/picture">
                <pic:pic>
                  <pic:nvPicPr>
                    <pic:cNvPr id="0" name="index-334_1.png" descr="index-334_1.png"/>
                    <pic:cNvPicPr/>
                  </pic:nvPicPr>
                  <pic:blipFill>
                    <a:blip r:embed="rId345"/>
                    <a:stretch>
                      <a:fillRect/>
                    </a:stretch>
                  </pic:blipFill>
                  <pic:spPr>
                    <a:xfrm>
                      <a:off x="0" y="0"/>
                      <a:ext cx="914400" cy="266700"/>
                    </a:xfrm>
                    <a:prstGeom prst="rect">
                      <a:avLst/>
                    </a:prstGeom>
                  </pic:spPr>
                </pic:pic>
              </a:graphicData>
            </a:graphic>
          </wp:anchor>
        </w:drawing>
      </w:r>
      <w:bookmarkEnd w:id="474"/>
    </w:p>
    <w:p>
      <w:pPr>
        <w:pStyle w:val="Para 01"/>
      </w:pPr>
      <w:r>
        <w:t>Join a forest with the autorid backend</w:t>
      </w:r>
    </w:p>
    <w:p>
      <w:pPr>
        <w:pStyle w:val="Para 17"/>
      </w:pPr>
      <w:r>
        <w:t/>
      </w:r>
    </w:p>
    <w:p>
      <w:pPr>
        <w:pStyle w:val="Normal"/>
      </w:pPr>
      <w:r>
        <w:t>Joining a more complex Active Directory forest with the autorid backend is very similar to the rid backend. The only difference is in the idmap configuration in /etc/samba/smb.conf:</w:t>
      </w:r>
    </w:p>
    <w:p>
      <w:pPr>
        <w:pStyle w:val="Normal"/>
      </w:pPr>
      <w:r>
        <w:t>[global]</w:t>
      </w:r>
    </w:p>
    <w:p>
      <w:pPr>
        <w:pStyle w:val="Para 02"/>
      </w:pPr>
      <w:r>
        <w:t>security = ads</w:t>
      </w:r>
    </w:p>
    <w:p>
      <w:pPr>
        <w:pStyle w:val="Para 02"/>
      </w:pPr>
      <w:r>
        <w:t>realm = EXAMPLE.INTERNAL</w:t>
      </w:r>
    </w:p>
    <w:p>
      <w:pPr>
        <w:pStyle w:val="Para 02"/>
      </w:pPr>
      <w:r>
        <w:t>workgroup = EXAMPLE</w:t>
      </w:r>
    </w:p>
    <w:p>
      <w:pPr>
        <w:pStyle w:val="Para 02"/>
      </w:pPr>
      <w:r>
        <w:t>idmap config * : backend = autorid</w:t>
      </w:r>
    </w:p>
    <w:p>
      <w:pPr>
        <w:pStyle w:val="Para 02"/>
      </w:pPr>
      <w:r>
        <w:t># 1,000,000 - 19,999,999</w:t>
      </w:r>
    </w:p>
    <w:p>
      <w:pPr>
        <w:pStyle w:val="Para 02"/>
      </w:pPr>
      <w:r>
        <w:t>idmap config * : range</w:t>
        <w:t xml:space="preserve"> </w:t>
        <w:t>= 1000000 - 19999999</w:t>
        <w:t xml:space="preserve"> </w:t>
        <w:t># 1,000,000</w:t>
      </w:r>
    </w:p>
    <w:p>
      <w:pPr>
        <w:pStyle w:val="Para 02"/>
      </w:pPr>
      <w:r>
        <w:t>idmap config * : rangesize = 1000000</w:t>
      </w:r>
    </w:p>
    <w:p>
      <w:pPr>
        <w:pStyle w:val="Para 02"/>
      </w:pPr>
      <w:r>
        <w:t># allow logins when the DC is unreachable</w:t>
      </w:r>
    </w:p>
    <w:p>
      <w:pPr>
        <w:pStyle w:val="Para 02"/>
      </w:pPr>
      <w:r>
        <w:t>winbind offline logon = yes</w:t>
      </w:r>
    </w:p>
    <w:p>
      <w:pPr>
        <w:pStyle w:val="Para 02"/>
      </w:pPr>
      <w:r>
        <w:t># this *can* be yes if there is absolute certainty that there is only a</w:t>
        <w:t xml:space="preserve"> </w:t>
        <w:t># single domain involved</w:t>
      </w:r>
    </w:p>
    <w:p>
      <w:pPr>
        <w:pStyle w:val="Para 02"/>
      </w:pPr>
      <w:r>
        <w:t>winbind use default domain = no</w:t>
      </w:r>
    </w:p>
    <w:p>
      <w:pPr>
        <w:pStyle w:val="Para 02"/>
      </w:pPr>
      <w:r>
        <w:t># setting these enumeration options to yes has a high performance impact</w:t>
        <w:t xml:space="preserve"> </w:t>
        <w:t># and can cause instabilities</w:t>
      </w:r>
    </w:p>
    <w:p>
      <w:pPr>
        <w:pStyle w:val="Para 02"/>
      </w:pPr>
      <w:r>
        <w:t>winbind enum groups = no</w:t>
      </w:r>
    </w:p>
    <w:p>
      <w:pPr>
        <w:pStyle w:val="Para 02"/>
      </w:pPr>
      <w:r>
        <w:t>winbind enum users = no</w:t>
      </w:r>
    </w:p>
    <w:p>
      <w:pPr>
        <w:pStyle w:val="Para 02"/>
      </w:pPr>
      <w:r>
        <w:t>winbind refresh tickets = yes</w:t>
      </w:r>
    </w:p>
    <w:p>
      <w:pPr>
        <w:pStyle w:val="Para 02"/>
      </w:pPr>
      <w:r>
        <w:t># if domain users should be allowed to login, they will need a login shell</w:t>
        <w:t xml:space="preserve"> </w:t>
        <w:t>template shell = /bin/bash</w:t>
      </w:r>
    </w:p>
    <w:p>
      <w:pPr>
        <w:pStyle w:val="Para 02"/>
      </w:pPr>
      <w:r>
        <w:t># the home directory template for domain users</w:t>
      </w:r>
    </w:p>
    <w:p>
      <w:pPr>
        <w:pStyle w:val="Para 02"/>
      </w:pPr>
      <w:r>
        <w:t>template homedir = /home/%D/%U</w:t>
      </w:r>
    </w:p>
    <w:p>
      <w:pPr>
        <w:pStyle w:val="Para 02"/>
      </w:pPr>
      <w:r>
        <w:t>kerberos method = secrets and keytab</w:t>
      </w:r>
    </w:p>
    <w:p>
      <w:pPr>
        <w:pStyle w:val="Para 17"/>
      </w:pPr>
      <w:r>
        <w:t/>
      </w:r>
    </w:p>
    <w:p>
      <w:pPr>
        <w:pStyle w:val="Normal"/>
      </w:pPr>
      <w:r>
        <w:t>Note that there is no specific domain mentioned in the idmap configuration. That’s because the autorid backend does the allocations on demand, according to the defined slots. The configuration above defines the following:</w:t>
      </w:r>
    </w:p>
    <w:p>
      <w:pPr>
        <w:pStyle w:val="Para 04"/>
      </w:pPr>
      <w:r>
        <w:t>• 1 million IDs per slot</w:t>
      </w:r>
    </w:p>
    <w:p>
      <w:pPr>
        <w:pStyle w:val="Para 04"/>
      </w:pPr>
      <w:r>
        <w:t>• 19 slots (or domains)</w:t>
      </w:r>
    </w:p>
    <w:p>
      <w:pPr>
        <w:pStyle w:val="Para 04"/>
      </w:pPr>
      <w:r>
        <w:t>• full ID range, covering all slots, is from 1,000,000 to 19,999,999</w:t>
      </w:r>
    </w:p>
    <w:p>
      <w:pPr>
        <w:pStyle w:val="Normal"/>
      </w:pPr>
      <w:r>
        <w:t xml:space="preserve">That being said, the machine still needs to be joined to a specific domain of that forest, and in this example that will be </w:t>
      </w:r>
      <w:r>
        <w:rPr>
          <w:rStyle w:val="Text3"/>
        </w:rPr>
        <w:t>EXAMPLE.INTERNAL</w:t>
      </w:r>
      <w:r>
        <w:t>.</w:t>
      </w:r>
    </w:p>
    <w:p>
      <w:pPr>
        <w:pStyle w:val="Normal"/>
      </w:pPr>
      <w:r>
        <w:t>Running the recommended testparm command gives us confidence that the configuration is at least free from syntax and other logical errors:</w:t>
      </w:r>
    </w:p>
    <w:p>
      <w:pPr>
        <w:pStyle w:val="Normal"/>
      </w:pPr>
      <w:r>
        <w:t>$ testparm</w:t>
      </w:r>
    </w:p>
    <w:p>
      <w:pPr>
        <w:pStyle w:val="Normal"/>
      </w:pPr>
      <w:r>
        <w:t>Load smb config files from /etc/samba/smb.conf</w:t>
      </w:r>
    </w:p>
    <w:p>
      <w:pPr>
        <w:pStyle w:val="Normal"/>
      </w:pPr>
      <w:r>
        <w:t>Loaded services file OK.</w:t>
      </w:r>
    </w:p>
    <w:p>
      <w:pPr>
        <w:pStyle w:val="Normal"/>
      </w:pPr>
      <w:r>
        <w:t>Weak crypto is allowed by GnuTLS (e.g. NTLM as a compatibility fallback)</w:t>
      </w:r>
    </w:p>
    <w:p>
      <w:pPr>
        <w:pStyle w:val="Normal"/>
      </w:pPr>
      <w:r>
        <w:t>Server role: ROLE_DOMAIN_MEMBER</w:t>
      </w:r>
    </w:p>
    <w:p>
      <w:pPr>
        <w:pStyle w:val="Normal"/>
      </w:pPr>
      <w:r>
        <w:t>Press enter to see a dump of your service definitions</w:t>
      </w:r>
    </w:p>
    <w:p>
      <w:pPr>
        <w:pStyle w:val="Para 17"/>
      </w:pPr>
      <w:r>
        <w:t/>
      </w:r>
    </w:p>
    <w:p>
      <w:pPr>
        <w:pStyle w:val="Normal"/>
      </w:pPr>
      <w:r>
        <w:t xml:space="preserve">Like with the </w:t>
      </w:r>
      <w:r>
        <w:rPr>
          <w:rStyle w:val="Text3"/>
        </w:rPr>
        <w:t>rid</w:t>
      </w:r>
      <w:r>
        <w:t xml:space="preserve"> idmap backend, if this system is not yet in the AD </w:t>
      </w:r>
      <w:hyperlink w:anchor="page_679">
        <w:r>
          <w:rPr>
            <w:rStyle w:val="Text2"/>
          </w:rPr>
          <w:t>DNS</w:t>
        </w:r>
      </w:hyperlink>
      <w:r>
        <w:t xml:space="preserve"> server, it’s best to</w:t>
      </w:r>
    </w:p>
    <w:p>
      <w:bookmarkStart w:id="475" w:name="page_3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2" name="index-335_1.png" descr="index-335_1.png"/>
            <wp:cNvGraphicFramePr>
              <a:graphicFrameLocks noChangeAspect="1"/>
            </wp:cNvGraphicFramePr>
            <a:graphic>
              <a:graphicData uri="http://schemas.openxmlformats.org/drawingml/2006/picture">
                <pic:pic>
                  <pic:nvPicPr>
                    <pic:cNvPr id="0" name="index-335_1.png" descr="index-335_1.png"/>
                    <pic:cNvPicPr/>
                  </pic:nvPicPr>
                  <pic:blipFill>
                    <a:blip r:embed="rId346"/>
                    <a:stretch>
                      <a:fillRect/>
                    </a:stretch>
                  </pic:blipFill>
                  <pic:spPr>
                    <a:xfrm>
                      <a:off x="0" y="0"/>
                      <a:ext cx="914400" cy="266700"/>
                    </a:xfrm>
                    <a:prstGeom prst="rect">
                      <a:avLst/>
                    </a:prstGeom>
                  </pic:spPr>
                </pic:pic>
              </a:graphicData>
            </a:graphic>
          </wp:anchor>
        </w:drawing>
      </w:r>
      <w:bookmarkEnd w:id="475"/>
    </w:p>
    <w:p>
      <w:pPr>
        <w:pStyle w:val="Normal"/>
      </w:pPr>
      <w:r>
        <w:t xml:space="preserve">change its </w:t>
      </w:r>
      <w:hyperlink w:anchor="page_688">
        <w:r>
          <w:rPr>
            <w:rStyle w:val="Text2"/>
          </w:rPr>
          <w:t>hostname</w:t>
        </w:r>
      </w:hyperlink>
      <w:r>
        <w:t xml:space="preserve"> (including the short hostname) to be the fully qualified domain name (FQDN), as that will allow the joining procedure to also update the DNS records, if so allowed by the AD server (normally it is).</w:t>
      </w:r>
    </w:p>
    <w:p>
      <w:pPr>
        <w:pStyle w:val="Normal"/>
      </w:pPr>
      <w:r>
        <w:t>For this example, the system’s hostname is n2 in the example.internal domain, so the FQDN is n2.example.internal:</w:t>
      </w:r>
    </w:p>
    <w:p>
      <w:pPr>
        <w:pStyle w:val="Normal"/>
      </w:pPr>
      <w:r>
        <w:t>sudo hostnamectl hostname n2.example.internal</w:t>
      </w:r>
    </w:p>
    <w:p>
      <w:pPr>
        <w:pStyle w:val="Para 17"/>
      </w:pPr>
      <w:r>
        <w:t/>
      </w:r>
    </w:p>
    <w:p>
      <w:pPr>
        <w:pStyle w:val="Normal"/>
      </w:pPr>
      <w:r>
        <w:t>Now the domain join can be performed:</w:t>
      </w:r>
    </w:p>
    <w:p>
      <w:pPr>
        <w:pStyle w:val="Normal"/>
      </w:pPr>
      <w:r>
        <w:t>$ sudo net ads join -U Administrator</w:t>
      </w:r>
    </w:p>
    <w:p>
      <w:pPr>
        <w:pStyle w:val="Normal"/>
      </w:pPr>
      <w:r>
        <w:t>Password for [EXAMPLE\Administrator]:</w:t>
      </w:r>
    </w:p>
    <w:p>
      <w:pPr>
        <w:pStyle w:val="Normal"/>
      </w:pPr>
      <w:r>
        <w:t>Using short domain name -- EXAMPLE</w:t>
      </w:r>
    </w:p>
    <w:p>
      <w:pPr>
        <w:pStyle w:val="Normal"/>
      </w:pPr>
      <w:r>
        <w:t>Joined 'N2' to dns domain 'example.internal'</w:t>
      </w:r>
    </w:p>
    <w:p>
      <w:pPr>
        <w:pStyle w:val="Para 17"/>
      </w:pPr>
      <w:r>
        <w:t/>
      </w:r>
    </w:p>
    <w:p>
      <w:pPr>
        <w:pStyle w:val="Normal"/>
      </w:pPr>
      <w:r>
        <w:t>And we can revert the hostname change:</w:t>
      </w:r>
    </w:p>
    <w:p>
      <w:pPr>
        <w:pStyle w:val="Normal"/>
      </w:pPr>
      <w:r>
        <w:t>sudo hostnamectl hostname n2</w:t>
      </w:r>
    </w:p>
    <w:p>
      <w:pPr>
        <w:pStyle w:val="Para 17"/>
      </w:pPr>
      <w:r>
        <w:t/>
      </w:r>
    </w:p>
    <w:p>
      <w:pPr>
        <w:pStyle w:val="Normal"/>
      </w:pPr>
      <w:r>
        <w:t>If the DNS server was updated correctly (and there were no errors about that in the join output above), then the hostname should now be correctly set, even though we have just the short name in /etc/hostname:</w:t>
      </w:r>
    </w:p>
    <w:p>
      <w:pPr>
        <w:pStyle w:val="Normal"/>
      </w:pPr>
      <w:r>
        <w:t>$ hostname</w:t>
      </w:r>
    </w:p>
    <w:p>
      <w:pPr>
        <w:pStyle w:val="Normal"/>
      </w:pPr>
      <w:r>
        <w:t>n2</w:t>
      </w:r>
    </w:p>
    <w:p>
      <w:pPr>
        <w:pStyle w:val="Normal"/>
      </w:pPr>
      <w:r>
        <w:t>$ hostname -f</w:t>
      </w:r>
    </w:p>
    <w:p>
      <w:pPr>
        <w:pStyle w:val="Normal"/>
      </w:pPr>
      <w:r>
        <w:t>n2.example.internal</w:t>
      </w:r>
    </w:p>
    <w:p>
      <w:pPr>
        <w:pStyle w:val="Para 17"/>
      </w:pPr>
      <w:r>
        <w:t/>
      </w:r>
    </w:p>
    <w:p>
      <w:pPr>
        <w:pStyle w:val="Normal"/>
      </w:pPr>
      <w:r>
        <w:t xml:space="preserve">The last step is to restart the </w:t>
      </w:r>
      <w:r>
        <w:rPr>
          <w:rStyle w:val="Text3"/>
        </w:rPr>
        <w:t>winbind</w:t>
      </w:r>
      <w:r>
        <w:t xml:space="preserve"> service:</w:t>
      </w:r>
    </w:p>
    <w:p>
      <w:pPr>
        <w:pStyle w:val="Normal"/>
      </w:pPr>
      <w:r>
        <w:t>sudo systemctl restart winbind.service</w:t>
      </w:r>
    </w:p>
    <w:p>
      <w:pPr>
        <w:pStyle w:val="Para 17"/>
      </w:pPr>
      <w:r>
        <w:t/>
      </w:r>
    </w:p>
    <w:p>
      <w:pPr>
        <w:pStyle w:val="Para 01"/>
      </w:pPr>
      <w:r>
        <w:t>Verifying the join</w:t>
      </w:r>
    </w:p>
    <w:p>
      <w:pPr>
        <w:pStyle w:val="Para 17"/>
      </w:pPr>
      <w:r>
        <w:t/>
      </w:r>
    </w:p>
    <w:p>
      <w:pPr>
        <w:pStyle w:val="Normal"/>
      </w:pPr>
      <w:r>
        <w:t xml:space="preserve">The quickest way to test the integrity of the domain join is via the </w:t>
      </w:r>
      <w:r>
        <w:rPr>
          <w:rStyle w:val="Text3"/>
        </w:rPr>
        <w:t>wbinfo</w:t>
      </w:r>
      <w:r>
        <w:t xml:space="preserve"> command:</w:t>
      </w:r>
    </w:p>
    <w:p>
      <w:pPr>
        <w:pStyle w:val="Normal"/>
      </w:pPr>
      <w:r>
        <w:t>$ sudo wbinfo -t</w:t>
      </w:r>
    </w:p>
    <w:p>
      <w:pPr>
        <w:pStyle w:val="Normal"/>
      </w:pPr>
      <w:r>
        <w:t>checking the trust secret for domain EXAMPLE via RPC calls succeeded</w:t>
      </w:r>
    </w:p>
    <w:p>
      <w:pPr>
        <w:pStyle w:val="Para 17"/>
      </w:pPr>
      <w:r>
        <w:t/>
      </w:r>
    </w:p>
    <w:p>
      <w:pPr>
        <w:pStyle w:val="Normal"/>
      </w:pPr>
      <w:r>
        <w:t xml:space="preserve">The next verification step should be to actually try to resolve an existing username from the domain. In the </w:t>
      </w:r>
      <w:r>
        <w:rPr>
          <w:rStyle w:val="Text3"/>
        </w:rPr>
        <w:t>EXAMPLE.INTERNAL</w:t>
      </w:r>
      <w:r>
        <w:t xml:space="preserve"> domain, for example, we have some test users we can check:</w:t>
      </w:r>
    </w:p>
    <w:p>
      <w:pPr>
        <w:pStyle w:val="Normal"/>
      </w:pPr>
      <w:r>
        <w:t>$ id jammy@example.internal</w:t>
      </w:r>
    </w:p>
    <w:p>
      <w:pPr>
        <w:pStyle w:val="Normal"/>
      </w:pPr>
      <w:r>
        <w:t>uid=2001103(EXAMPLE\jammy) gid=2000513(EXAMPLE\domain users) groups=2000513(EXAMPLE\domain</w:t>
        <w:t xml:space="preserve"> </w:t>
        <w:t>users),2001103(EXAMPLE\jammy)</w:t>
      </w:r>
    </w:p>
    <w:p>
      <w:pPr>
        <w:pStyle w:val="Para 17"/>
      </w:pPr>
      <w:r>
        <w:t/>
      </w:r>
    </w:p>
    <w:p>
      <w:pPr>
        <w:pStyle w:val="Normal"/>
      </w:pPr>
      <w:r>
        <w:t xml:space="preserve">If you compare this with the </w:t>
      </w:r>
      <w:r>
        <w:rPr>
          <w:rStyle w:val="Text3"/>
        </w:rPr>
        <w:t>rid</w:t>
      </w:r>
      <w:r>
        <w:t xml:space="preserve"> domain join, note how the ID that the </w:t>
      </w:r>
      <w:r>
        <w:rPr>
          <w:rStyle w:val="Text3"/>
        </w:rPr>
        <w:t>jammy</w:t>
      </w:r>
      <w:r>
        <w:t xml:space="preserve"> user got is different. That’s why it’s important to correctly chose an idmap backend, and correctly assess if deterministic IDs are important for your use case or not.</w:t>
      </w:r>
    </w:p>
    <w:p>
      <w:pPr>
        <w:pStyle w:val="Normal"/>
      </w:pPr>
      <w:r>
        <w:t>Another valid syntax for domain users is prefixing the name with the domain, like this:</w:t>
      </w:r>
    </w:p>
    <w:p>
      <w:bookmarkStart w:id="476" w:name="page_3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3" name="index-336_1.png" descr="index-336_1.png"/>
            <wp:cNvGraphicFramePr>
              <a:graphicFrameLocks noChangeAspect="1"/>
            </wp:cNvGraphicFramePr>
            <a:graphic>
              <a:graphicData uri="http://schemas.openxmlformats.org/drawingml/2006/picture">
                <pic:pic>
                  <pic:nvPicPr>
                    <pic:cNvPr id="0" name="index-336_1.png" descr="index-336_1.png"/>
                    <pic:cNvPicPr/>
                  </pic:nvPicPr>
                  <pic:blipFill>
                    <a:blip r:embed="rId347"/>
                    <a:stretch>
                      <a:fillRect/>
                    </a:stretch>
                  </pic:blipFill>
                  <pic:spPr>
                    <a:xfrm>
                      <a:off x="0" y="0"/>
                      <a:ext cx="914400" cy="266700"/>
                    </a:xfrm>
                    <a:prstGeom prst="rect">
                      <a:avLst/>
                    </a:prstGeom>
                  </pic:spPr>
                </pic:pic>
              </a:graphicData>
            </a:graphic>
          </wp:anchor>
        </w:drawing>
      </w:r>
      <w:bookmarkEnd w:id="476"/>
    </w:p>
    <w:p>
      <w:pPr>
        <w:pStyle w:val="Normal"/>
      </w:pPr>
      <w:r>
        <w:t>$ id EXAMPLE\\jammy</w:t>
      </w:r>
    </w:p>
    <w:p>
      <w:pPr>
        <w:pStyle w:val="Normal"/>
      </w:pPr>
      <w:r>
        <w:t>uid=2001103(EXAMPLE\jammy) gid=2000513(EXAMPLE\domain users) groups=2000513(EXAMPLE\domain</w:t>
        <w:t xml:space="preserve"> </w:t>
        <w:t>users),2001103(EXAMPLE\jammy)</w:t>
      </w:r>
    </w:p>
    <w:p>
      <w:pPr>
        <w:pStyle w:val="Para 17"/>
      </w:pPr>
      <w:r>
        <w:t/>
      </w:r>
    </w:p>
    <w:p>
      <w:pPr>
        <w:pStyle w:val="Normal"/>
      </w:pPr>
      <w:r>
        <w:t>And here we try a console login:</w:t>
      </w:r>
    </w:p>
    <w:p>
      <w:pPr>
        <w:pStyle w:val="Normal"/>
      </w:pPr>
      <w:r>
        <w:t>n2 login: jammy@example.internal</w:t>
      </w:r>
    </w:p>
    <w:p>
      <w:pPr>
        <w:pStyle w:val="Normal"/>
      </w:pPr>
      <w:r>
        <w:t>Password:</w:t>
      </w:r>
    </w:p>
    <w:p>
      <w:pPr>
        <w:pStyle w:val="Normal"/>
      </w:pPr>
      <w:r>
        <w:t>Welcome to Ubuntu 24.04 LTS (GNU/Linux 6.5.0-26-generic x86_64)</w:t>
        <w:t xml:space="preserve"> </w:t>
        <w:t>(...)</w:t>
      </w:r>
    </w:p>
    <w:p>
      <w:pPr>
        <w:pStyle w:val="Normal"/>
      </w:pPr>
      <w:r>
        <w:t>Creating directory '/home/EXAMPLE/jammy'.</w:t>
      </w:r>
    </w:p>
    <w:p>
      <w:pPr>
        <w:pStyle w:val="Normal"/>
      </w:pPr>
      <w:r>
        <w:t>EXAMPLE\jammy@n1:~$</w:t>
      </w:r>
    </w:p>
    <w:p>
      <w:pPr>
        <w:pStyle w:val="Para 17"/>
      </w:pPr>
      <w:r>
        <w:t/>
      </w:r>
    </w:p>
    <w:p>
      <w:pPr>
        <w:pStyle w:val="Normal"/>
      </w:pPr>
      <w:r>
        <w:t>The output above also shows the automatic on-demand home directory creation, according to the template defined in /etc/samba/smb.conf.</w:t>
      </w:r>
    </w:p>
    <w:p>
      <w:pPr>
        <w:pStyle w:val="Normal"/>
      </w:pPr>
      <w:r>
        <w:t xml:space="preserve">Since we joined a forest, we should also be able to verify users from other domains in that forest. For example, in this example, the domain </w:t>
      </w:r>
      <w:r>
        <w:rPr>
          <w:rStyle w:val="Text3"/>
        </w:rPr>
        <w:t>MYDOMAIN.INTERNAL</w:t>
      </w:r>
      <w:r>
        <w:t xml:space="preserve"> is also part of the forest, and we can verify its users:</w:t>
      </w:r>
    </w:p>
    <w:p>
      <w:pPr>
        <w:pStyle w:val="Normal"/>
      </w:pPr>
      <w:r>
        <w:t>$ id noble@mydomain.internal</w:t>
      </w:r>
    </w:p>
    <w:p>
      <w:pPr>
        <w:pStyle w:val="Normal"/>
      </w:pPr>
      <w:r>
        <w:t>uid=3001104(MYDOMAIN\noble) gid=3000513(MYDOMAIN\domain users) groups=3000513(MYDOMAIN\</w:t>
        <w:t xml:space="preserve"> </w:t>
        <w:t>domain users),3001104(MYDOMAIN\noble)</w:t>
      </w:r>
    </w:p>
    <w:p>
      <w:pPr>
        <w:pStyle w:val="Normal"/>
      </w:pPr>
      <w:r>
        <w:t>$ id MYDOMAIN\\noble</w:t>
      </w:r>
    </w:p>
    <w:p>
      <w:pPr>
        <w:pStyle w:val="Normal"/>
      </w:pPr>
      <w:r>
        <w:t>uid=3001104(MYDOMAIN\noble) gid=3000513(MYDOMAIN\domain users) groups=3000513(MYDOMAIN\</w:t>
        <w:t xml:space="preserve"> </w:t>
        <w:t>domain users),3001104(MYDOMAIN\noble)</w:t>
      </w:r>
    </w:p>
    <w:p>
      <w:pPr>
        <w:pStyle w:val="Para 17"/>
      </w:pPr>
      <w:r>
        <w:t/>
      </w:r>
    </w:p>
    <w:p>
      <w:pPr>
        <w:pStyle w:val="Normal"/>
      </w:pPr>
      <w:r>
        <w:t>A console login also works:</w:t>
      </w:r>
    </w:p>
    <w:p>
      <w:pPr>
        <w:pStyle w:val="Normal"/>
      </w:pPr>
      <w:r>
        <w:t>n2 login: noble@mydomain.internal</w:t>
      </w:r>
    </w:p>
    <w:p>
      <w:pPr>
        <w:pStyle w:val="Normal"/>
      </w:pPr>
      <w:r>
        <w:t>Password:</w:t>
      </w:r>
    </w:p>
    <w:p>
      <w:pPr>
        <w:pStyle w:val="Normal"/>
      </w:pPr>
      <w:r>
        <w:t>Welcome to Ubuntu 24.04 LTS (GNU/Linux 6.8.0-31-generic x86_64)</w:t>
        <w:t xml:space="preserve"> </w:t>
        <w:t>(...)</w:t>
      </w:r>
    </w:p>
    <w:p>
      <w:pPr>
        <w:pStyle w:val="Normal"/>
      </w:pPr>
      <w:r>
        <w:t>Creating directory '/home/MYDOMAIN/noble'.</w:t>
      </w:r>
    </w:p>
    <w:p>
      <w:pPr>
        <w:pStyle w:val="Normal"/>
      </w:pPr>
      <w:r>
        <w:t>MYDOMAIN\noble@n2:~$</w:t>
      </w:r>
    </w:p>
    <w:p>
      <w:pPr>
        <w:pStyle w:val="Para 17"/>
      </w:pPr>
      <w:r>
        <w:t/>
      </w:r>
    </w:p>
    <w:p>
      <w:pPr>
        <w:pStyle w:val="Normal"/>
      </w:pPr>
      <w:r>
        <w:t>Notice how the domain name being part of the home directory path is useful: it separates the users from different domains, avoiding collisions for the same username.</w:t>
      </w:r>
    </w:p>
    <w:p>
      <w:pPr>
        <w:pStyle w:val="Para 17"/>
      </w:pPr>
      <w:r>
        <w:t/>
      </w:r>
    </w:p>
    <w:p>
      <w:pPr>
        <w:pStyle w:val="Para 08"/>
      </w:pPr>
      <w:r>
        <w:t>Note:</w:t>
      </w:r>
    </w:p>
    <w:p>
      <w:pPr>
        <w:pStyle w:val="Para 03"/>
      </w:pPr>
      <w:r>
        <w:t>The actual login name used can have multiple formats: DOMAIN\user at the terminal login</w:t>
      </w:r>
    </w:p>
    <w:p>
      <w:pPr>
        <w:pStyle w:val="Para 03"/>
      </w:pPr>
      <w:r>
        <w:t>prompt, DOMAIN\\user when referred to in shell scripts (note the escaping of the ‘\’ char-</w:t>
      </w:r>
    </w:p>
    <w:p>
      <w:pPr>
        <w:pStyle w:val="Para 03"/>
      </w:pPr>
      <w:r>
        <w:t>acter), and user@domain is also accepted.</w:t>
      </w:r>
    </w:p>
    <w:p>
      <w:bookmarkStart w:id="477" w:name="calibre_pb_70"/>
      <w:pPr>
        <w:pStyle w:val="0 Block"/>
      </w:pPr>
      <w:bookmarkEnd w:id="477"/>
    </w:p>
    <w:p>
      <w:bookmarkStart w:id="478" w:name="Top_of_index_split_071_html"/>
      <w:bookmarkStart w:id="479" w:name="page_33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4" name="index-337_1.png" descr="index-337_1.png"/>
            <wp:cNvGraphicFramePr>
              <a:graphicFrameLocks noChangeAspect="1"/>
            </wp:cNvGraphicFramePr>
            <a:graphic>
              <a:graphicData uri="http://schemas.openxmlformats.org/drawingml/2006/picture">
                <pic:pic>
                  <pic:nvPicPr>
                    <pic:cNvPr id="0" name="index-337_1.png" descr="index-337_1.png"/>
                    <pic:cNvPicPr/>
                  </pic:nvPicPr>
                  <pic:blipFill>
                    <a:blip r:embed="rId348"/>
                    <a:stretch>
                      <a:fillRect/>
                    </a:stretch>
                  </pic:blipFill>
                  <pic:spPr>
                    <a:xfrm>
                      <a:off x="0" y="0"/>
                      <a:ext cx="914400" cy="266700"/>
                    </a:xfrm>
                    <a:prstGeom prst="rect">
                      <a:avLst/>
                    </a:prstGeom>
                  </pic:spPr>
                </pic:pic>
              </a:graphicData>
            </a:graphic>
          </wp:anchor>
        </w:drawing>
      </w:r>
      <w:bookmarkEnd w:id="478"/>
      <w:bookmarkEnd w:id="479"/>
    </w:p>
    <w:p>
      <w:pPr>
        <w:pStyle w:val="Para 01"/>
      </w:pPr>
      <w:r>
        <w:t>See also</w:t>
      </w:r>
    </w:p>
    <w:p>
      <w:pPr>
        <w:pStyle w:val="Para 17"/>
      </w:pPr>
      <w:r>
        <w:t/>
      </w:r>
    </w:p>
    <w:p>
      <w:pPr>
        <w:pStyle w:val="Para 14"/>
      </w:pPr>
      <w:r>
        <w:rPr>
          <w:rStyle w:val="Text4"/>
        </w:rPr>
        <w:t xml:space="preserve">• Explanation: </w:t>
      </w:r>
      <w:hyperlink w:anchor="page_830">
        <w:r>
          <w:t>Introduction to Active Directory integration</w:t>
        </w:r>
      </w:hyperlink>
      <w:r>
        <w:rPr>
          <w:rStyle w:val="Text4"/>
        </w:rPr>
        <w:t xml:space="preserve"> (page 829)</w:t>
      </w:r>
    </w:p>
    <w:p>
      <w:pPr>
        <w:pStyle w:val="Para 04"/>
      </w:pPr>
      <w:r>
        <w:t xml:space="preserve">• </w:t>
      </w:r>
      <w:hyperlink w:anchor="page_293">
        <w:r>
          <w:rPr>
            <w:rStyle w:val="Text2"/>
          </w:rPr>
          <w:t>Samba</w:t>
        </w:r>
      </w:hyperlink>
      <w:r>
        <w:t xml:space="preserve"> (page 292)</w:t>
      </w:r>
    </w:p>
    <w:p>
      <w:pPr>
        <w:pStyle w:val="Para 14"/>
      </w:pPr>
      <w:r>
        <w:rPr>
          <w:rStyle w:val="Text4"/>
        </w:rPr>
        <w:t xml:space="preserve">• </w:t>
      </w:r>
      <w:hyperlink w:anchor="page_327">
        <w:r>
          <w:t>Active Directory integration</w:t>
        </w:r>
      </w:hyperlink>
      <w:r>
        <w:rPr>
          <w:rStyle w:val="Text4"/>
        </w:rPr>
        <w:t xml:space="preserve"> (page 326)</w:t>
      </w:r>
    </w:p>
    <w:p>
      <w:pPr>
        <w:pStyle w:val="Para 17"/>
      </w:pPr>
      <w:r>
        <w:t/>
      </w:r>
    </w:p>
    <w:p>
      <w:pPr>
        <w:pStyle w:val="Para 01"/>
      </w:pPr>
      <w:r>
        <w:t>Printing</w:t>
      </w:r>
    </w:p>
    <w:p>
      <w:pPr>
        <w:pStyle w:val="Para 17"/>
      </w:pPr>
      <w:r>
        <w:t/>
      </w:r>
    </w:p>
    <w:p>
      <w:pPr>
        <w:pStyle w:val="Normal"/>
      </w:pPr>
      <w:r>
        <w:t>The Common UNIX Printing System (CUPS) is the most common way to manage print services in Ubuntu.</w:t>
      </w:r>
    </w:p>
    <w:p>
      <w:pPr>
        <w:pStyle w:val="Para 17"/>
      </w:pPr>
      <w:r>
        <w:t/>
      </w:r>
    </w:p>
    <w:p>
      <w:pPr>
        <w:pStyle w:val="Para 01"/>
      </w:pPr>
      <w:r>
        <w:t>Install and configure a CUPS print server</w:t>
      </w:r>
    </w:p>
    <w:p>
      <w:pPr>
        <w:pStyle w:val="Para 17"/>
      </w:pPr>
      <w:r>
        <w:t/>
      </w:r>
    </w:p>
    <w:p>
      <w:pPr>
        <w:pStyle w:val="Normal"/>
      </w:pPr>
      <w:r>
        <w:t xml:space="preserve">The </w:t>
      </w:r>
      <w:hyperlink w:anchor="page_337">
        <w:r>
          <w:rPr>
            <w:rStyle w:val="Text9"/>
          </w:rPr>
          <w:t>277</w:t>
        </w:r>
      </w:hyperlink>
      <w:r>
        <w:t xml:space="preserve"> </w:t>
      </w:r>
      <w:hyperlink r:id="rId1262">
        <w:r>
          <w:rPr>
            <w:rStyle w:val="Text1"/>
          </w:rPr>
          <w:t>Common UNIX Printing System, or CUPS</w:t>
        </w:r>
      </w:hyperlink>
      <w:r>
        <w:t>, is the most widely-used way to manage print-ing and print services in Ubuntu. This freely-available printing system has become the stan-dard for printing in most Linux distributions, and uses the standard Internet Printing Protocol (IPP) to handle network printing.</w:t>
      </w:r>
    </w:p>
    <w:p>
      <w:pPr>
        <w:pStyle w:val="Normal"/>
      </w:pPr>
      <w:r>
        <w:t>CUPS manages print jobs and queues, and provides support for a wide range of printers, from dot-matrix to laser, and many in between. CUPS also supports PostScript Printer Description (PPD) and auto-detection of network printers, and features a simple web-based configura-tion and administration tool.</w:t>
      </w:r>
    </w:p>
    <w:p>
      <w:pPr>
        <w:pStyle w:val="Para 17"/>
      </w:pPr>
      <w:r>
        <w:t/>
      </w:r>
    </w:p>
    <w:p>
      <w:pPr>
        <w:pStyle w:val="Para 01"/>
      </w:pPr>
      <w:r>
        <w:t>Install CUPS</w:t>
      </w:r>
    </w:p>
    <w:p>
      <w:pPr>
        <w:pStyle w:val="Para 17"/>
      </w:pPr>
      <w:r>
        <w:t/>
      </w:r>
    </w:p>
    <w:p>
      <w:pPr>
        <w:pStyle w:val="Normal"/>
      </w:pPr>
      <w:r>
        <w:t>A complete CUPS install has many package dependencies, but they can all be specified on the same command line. To perform a basic installation of CUPS, enter the following command in your terminal:</w:t>
      </w:r>
    </w:p>
    <w:p>
      <w:pPr>
        <w:pStyle w:val="Normal"/>
      </w:pPr>
      <w:r>
        <w:t>sudo apt install cups</w:t>
      </w:r>
    </w:p>
    <w:p>
      <w:pPr>
        <w:pStyle w:val="Para 17"/>
      </w:pPr>
      <w:r>
        <w:t/>
      </w:r>
    </w:p>
    <w:p>
      <w:pPr>
        <w:pStyle w:val="Normal"/>
      </w:pPr>
      <w:r>
        <w:t>Once the download and installation have finished, the CUPS server will be started automati-cally.</w:t>
      </w:r>
    </w:p>
    <w:p>
      <w:pPr>
        <w:pStyle w:val="Para 17"/>
      </w:pPr>
      <w:r>
        <w:t/>
      </w:r>
    </w:p>
    <w:p>
      <w:pPr>
        <w:pStyle w:val="Para 01"/>
      </w:pPr>
      <w:r>
        <w:t>Configure the CUPS server</w:t>
      </w:r>
    </w:p>
    <w:p>
      <w:pPr>
        <w:pStyle w:val="Para 17"/>
      </w:pPr>
      <w:r>
        <w:t/>
      </w:r>
    </w:p>
    <w:p>
      <w:pPr>
        <w:pStyle w:val="Normal"/>
      </w:pPr>
      <w:r>
        <w:t>The CUPS server’s behavior is configured through directives found in the /etc/cups/cupsd. conf configuration file. This CUPS configuration file follows the same syntax as the main con-figuration file for the Apache HTTP server. Some examples of commonly-configured settings will be presented here.</w:t>
      </w:r>
    </w:p>
    <w:p>
      <w:pPr>
        <w:pStyle w:val="Para 05"/>
      </w:pPr>
      <w:r>
        <w:rPr>
          <w:rStyle w:val="Text5"/>
        </w:rPr>
        <w:t>277</w:t>
      </w:r>
      <w:r>
        <w:rPr>
          <w:rStyle w:val="Text8"/>
        </w:rPr>
        <w:t xml:space="preserve"> </w:t>
      </w:r>
      <w:r>
        <w:t>https://openprinting.github.io/cups/doc/overview.html</w:t>
      </w:r>
    </w:p>
    <w:p>
      <w:bookmarkStart w:id="480" w:name="calibre_pb_71"/>
      <w:pPr>
        <w:pStyle w:val="0 Block"/>
      </w:pPr>
      <w:bookmarkEnd w:id="480"/>
    </w:p>
    <w:p>
      <w:bookmarkStart w:id="481" w:name="page_338"/>
      <w:bookmarkStart w:id="482" w:name="Top_of_index_split_07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5" name="index-338_1.png" descr="index-338_1.png"/>
            <wp:cNvGraphicFramePr>
              <a:graphicFrameLocks noChangeAspect="1"/>
            </wp:cNvGraphicFramePr>
            <a:graphic>
              <a:graphicData uri="http://schemas.openxmlformats.org/drawingml/2006/picture">
                <pic:pic>
                  <pic:nvPicPr>
                    <pic:cNvPr id="0" name="index-338_1.png" descr="index-338_1.png"/>
                    <pic:cNvPicPr/>
                  </pic:nvPicPr>
                  <pic:blipFill>
                    <a:blip r:embed="rId349"/>
                    <a:stretch>
                      <a:fillRect/>
                    </a:stretch>
                  </pic:blipFill>
                  <pic:spPr>
                    <a:xfrm>
                      <a:off x="0" y="0"/>
                      <a:ext cx="914400" cy="266700"/>
                    </a:xfrm>
                    <a:prstGeom prst="rect">
                      <a:avLst/>
                    </a:prstGeom>
                  </pic:spPr>
                </pic:pic>
              </a:graphicData>
            </a:graphic>
          </wp:anchor>
        </w:drawing>
      </w:r>
      <w:bookmarkEnd w:id="481"/>
      <w:bookmarkEnd w:id="482"/>
    </w:p>
    <w:p>
      <w:pPr>
        <w:pStyle w:val="Para 01"/>
      </w:pPr>
      <w:r>
        <w:t>Make a copy of the configuration file</w:t>
      </w:r>
    </w:p>
    <w:p>
      <w:pPr>
        <w:pStyle w:val="Para 17"/>
      </w:pPr>
      <w:r>
        <w:t/>
      </w:r>
    </w:p>
    <w:p>
      <w:pPr>
        <w:pStyle w:val="Normal"/>
      </w:pPr>
      <w:r>
        <w:t>We recommend that you make a copy of the original CUPS configuration file and protect it from writing, before you start configuring CUPS. You will then have the original settings as a reference, which you can reuse or restore as necessary.</w:t>
      </w:r>
    </w:p>
    <w:p>
      <w:pPr>
        <w:pStyle w:val="Normal"/>
      </w:pPr>
      <w:r>
        <w:t>sudo cp /etc/cups/cupsd.conf /etc/cups/cupsd.conf.original</w:t>
        <w:t xml:space="preserve"> </w:t>
        <w:t>sudo chmod a-w /etc/cups/cupsd.conf.original</w:t>
      </w:r>
    </w:p>
    <w:p>
      <w:pPr>
        <w:pStyle w:val="Para 17"/>
      </w:pPr>
      <w:r>
        <w:t/>
      </w:r>
    </w:p>
    <w:p>
      <w:pPr>
        <w:pStyle w:val="Para 01"/>
      </w:pPr>
      <w:r>
        <w:t>Configure Server administrator</w:t>
      </w:r>
    </w:p>
    <w:p>
      <w:pPr>
        <w:pStyle w:val="Para 17"/>
      </w:pPr>
      <w:r>
        <w:t/>
      </w:r>
    </w:p>
    <w:p>
      <w:pPr>
        <w:pStyle w:val="Normal"/>
      </w:pPr>
      <w:r>
        <w:t xml:space="preserve">To configure the email address of the designated CUPS server administrator, edit the /etc/ cups/cupsd.conf configuration file with your preferred text editor, and add or modify the </w:t>
      </w:r>
      <w:r>
        <w:rPr>
          <w:rStyle w:val="Text0"/>
        </w:rPr>
        <w:t>ServerAdmin</w:t>
      </w:r>
      <w:r>
        <w:t xml:space="preserve"> line accordingly. For example, if you are the administrator for the CUPS server, and your e-mail address is bjoy@somebigco.com, then you would modify the ServerAdmin line to appear as follows:</w:t>
      </w:r>
    </w:p>
    <w:p>
      <w:pPr>
        <w:pStyle w:val="Normal"/>
      </w:pPr>
      <w:r>
        <w:t>ServerAdmin bjoy@somebigco.com</w:t>
      </w:r>
    </w:p>
    <w:p>
      <w:pPr>
        <w:pStyle w:val="Para 17"/>
      </w:pPr>
      <w:r>
        <w:t/>
      </w:r>
    </w:p>
    <w:p>
      <w:pPr>
        <w:pStyle w:val="Para 01"/>
      </w:pPr>
      <w:r>
        <w:t>Configure Listen</w:t>
      </w:r>
    </w:p>
    <w:p>
      <w:pPr>
        <w:pStyle w:val="Para 17"/>
      </w:pPr>
      <w:r>
        <w:t/>
      </w:r>
    </w:p>
    <w:p>
      <w:pPr>
        <w:pStyle w:val="Normal"/>
      </w:pPr>
      <w:r>
        <w:t>By default on Ubuntu, CUPS listens only on the loopback interface at IP address 127.0.0.1.</w:t>
      </w:r>
    </w:p>
    <w:p>
      <w:pPr>
        <w:pStyle w:val="Normal"/>
      </w:pPr>
      <w:r>
        <w:t>To instruct CUPS to listen on an actual network adapter’s IP address, you must specify either</w:t>
      </w:r>
    </w:p>
    <w:p>
      <w:pPr>
        <w:pStyle w:val="Normal"/>
      </w:pPr>
      <w:r>
        <w:t xml:space="preserve">a </w:t>
      </w:r>
      <w:hyperlink w:anchor="page_688">
        <w:r>
          <w:rPr>
            <w:rStyle w:val="Text2"/>
          </w:rPr>
          <w:t>hostname</w:t>
        </w:r>
      </w:hyperlink>
      <w:r>
        <w:t xml:space="preserve">, the IP address, or (optionally) an IP address/port pairing via the addition of a </w:t>
      </w:r>
      <w:r>
        <w:rPr>
          <w:rStyle w:val="Text0"/>
        </w:rPr>
        <w:t>Listen</w:t>
      </w:r>
      <w:r>
        <w:t xml:space="preserve"> directive.</w:t>
      </w:r>
    </w:p>
    <w:p>
      <w:pPr>
        <w:pStyle w:val="Normal"/>
      </w:pPr>
      <w:r>
        <w:t>For example, if your CUPS server resides on a local network at the IP address 192.168.10.250 and you’d like to make it accessible to the other systems on this subnetwork, you would edit the /etc/cups/cupsd.conf and add a Listen directive, as follows:</w:t>
      </w:r>
    </w:p>
    <w:p>
      <w:pPr>
        <w:pStyle w:val="Normal"/>
      </w:pPr>
      <w:r>
        <w:t>Listen 127.0.0.1:631</w:t>
        <w:t xml:space="preserve"> </w:t>
        <w:t># existing loopback Listen</w:t>
        <w:t xml:space="preserve"> </w:t>
        <w:t>Listen /var/run/cups/cups.sock # existing socket Listen</w:t>
        <w:t xml:space="preserve"> </w:t>
        <w:t>Listen 192.168.10.250:631</w:t>
        <w:t xml:space="preserve"> </w:t>
        <w:t># Listen on the LAN interface, Port 631 (IPP)</w:t>
      </w:r>
    </w:p>
    <w:p>
      <w:pPr>
        <w:pStyle w:val="Para 17"/>
      </w:pPr>
      <w:r>
        <w:t/>
      </w:r>
    </w:p>
    <w:p>
      <w:pPr>
        <w:pStyle w:val="Normal"/>
      </w:pPr>
      <w:r>
        <w:t>In the example above, you can comment out or remove the reference to the loopback address (127.0.0.1) if you do not want the CUPS daemon (cupsd) to listen on that interface, but would rather have it only listen on the Ethernet interfaces of the Local Area Network (LAN). To enable listening for all network interfaces for which a certain hostname is bound, including the loopback, you could create a Listen entry for the hostname socrates like this:</w:t>
      </w:r>
    </w:p>
    <w:p>
      <w:pPr>
        <w:pStyle w:val="Normal"/>
      </w:pPr>
      <w:r>
        <w:t>Listen socrates:631</w:t>
        <w:t xml:space="preserve"> </w:t>
        <w:t># Listen on all interfaces for the hostname 'socrates'</w:t>
      </w:r>
    </w:p>
    <w:p>
      <w:pPr>
        <w:pStyle w:val="Para 17"/>
      </w:pPr>
      <w:r>
        <w:t/>
      </w:r>
    </w:p>
    <w:p>
      <w:pPr>
        <w:pStyle w:val="Normal"/>
      </w:pPr>
      <w:r>
        <w:t xml:space="preserve">or by omitting the Listen directive and using </w:t>
      </w:r>
      <w:r>
        <w:rPr>
          <w:rStyle w:val="Text0"/>
        </w:rPr>
        <w:t>Port</w:t>
      </w:r>
      <w:r>
        <w:t xml:space="preserve"> instead, as in:</w:t>
      </w:r>
    </w:p>
    <w:p>
      <w:pPr>
        <w:pStyle w:val="Normal"/>
      </w:pPr>
      <w:r>
        <w:t>Port 631</w:t>
        <w:t xml:space="preserve"> </w:t>
        <w:t># Listen on port 631 on all interfaces</w:t>
      </w:r>
    </w:p>
    <w:p>
      <w:pPr>
        <w:pStyle w:val="Para 17"/>
      </w:pPr>
      <w:r>
        <w:t/>
      </w:r>
    </w:p>
    <w:p>
      <w:pPr>
        <w:pStyle w:val="Normal"/>
      </w:pPr>
      <w:r>
        <w:t xml:space="preserve">For more examples of configuration directives in the CUPS server configuration file, view the associated system manual page by entering the following command: </w:t>
        <w:t>man cupsd.conf</w:t>
      </w:r>
    </w:p>
    <w:p>
      <w:bookmarkStart w:id="483" w:name="page_3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6" name="index-339_1.png" descr="index-339_1.png"/>
            <wp:cNvGraphicFramePr>
              <a:graphicFrameLocks noChangeAspect="1"/>
            </wp:cNvGraphicFramePr>
            <a:graphic>
              <a:graphicData uri="http://schemas.openxmlformats.org/drawingml/2006/picture">
                <pic:pic>
                  <pic:nvPicPr>
                    <pic:cNvPr id="0" name="index-339_1.png" descr="index-339_1.png"/>
                    <pic:cNvPicPr/>
                  </pic:nvPicPr>
                  <pic:blipFill>
                    <a:blip r:embed="rId350"/>
                    <a:stretch>
                      <a:fillRect/>
                    </a:stretch>
                  </pic:blipFill>
                  <pic:spPr>
                    <a:xfrm>
                      <a:off x="0" y="0"/>
                      <a:ext cx="914400" cy="266700"/>
                    </a:xfrm>
                    <a:prstGeom prst="rect">
                      <a:avLst/>
                    </a:prstGeom>
                  </pic:spPr>
                </pic:pic>
              </a:graphicData>
            </a:graphic>
          </wp:anchor>
        </w:drawing>
      </w:r>
      <w:bookmarkEnd w:id="483"/>
    </w:p>
    <w:p>
      <w:pPr>
        <w:pStyle w:val="Para 17"/>
      </w:pPr>
      <w:r>
        <w:t/>
      </w:r>
    </w:p>
    <w:p>
      <w:pPr>
        <w:pStyle w:val="Para 01"/>
      </w:pPr>
      <w:r>
        <w:t>Configure network access</w:t>
      </w:r>
    </w:p>
    <w:p>
      <w:pPr>
        <w:pStyle w:val="Para 17"/>
      </w:pPr>
      <w:r>
        <w:t/>
      </w:r>
    </w:p>
    <w:p>
      <w:pPr>
        <w:pStyle w:val="Normal"/>
      </w:pPr>
      <w:r>
        <w:t xml:space="preserve">Configuring CUPS to listen on a network interface is not sufficient on its own to make it acces-sible from other hosts. CUPS also enforces access control through &lt;Location&gt; directives in cupsd.conf, which by default restrict access to localhost only. Without updating these direc-tives, remote hosts will receive a </w:t>
      </w:r>
      <w:r>
        <w:rPr>
          <w:rStyle w:val="Text0"/>
        </w:rPr>
        <w:t>“Forbidden”</w:t>
      </w:r>
      <w:r>
        <w:t xml:space="preserve"> error when trying to reach the web interface or submit print jobs.</w:t>
      </w:r>
    </w:p>
    <w:p>
      <w:pPr>
        <w:pStyle w:val="Normal"/>
      </w:pPr>
      <w:r>
        <w:t>To allow access from your local network add or update the &lt;Location&gt; blocks in /etc/cups/ cupsd.conf as follows:</w:t>
      </w:r>
    </w:p>
    <w:p>
      <w:pPr>
        <w:pStyle w:val="Normal"/>
      </w:pPr>
      <w:r>
        <w:t># Allow access to the web interface from the local network</w:t>
        <w:t xml:space="preserve"> </w:t>
        <w:t>&lt;Location /&gt;</w:t>
      </w:r>
    </w:p>
    <w:p>
      <w:pPr>
        <w:pStyle w:val="Para 03"/>
      </w:pPr>
      <w:r>
        <w:t>Order allow,deny</w:t>
      </w:r>
    </w:p>
    <w:p>
      <w:pPr>
        <w:pStyle w:val="Para 03"/>
      </w:pPr>
      <w:r>
        <w:t>Allow localhost</w:t>
      </w:r>
    </w:p>
    <w:p>
      <w:pPr>
        <w:pStyle w:val="Para 03"/>
      </w:pPr>
      <w:r>
        <w:t>Allow 192.168.10.*</w:t>
      </w:r>
    </w:p>
    <w:p>
      <w:pPr>
        <w:pStyle w:val="Normal"/>
      </w:pPr>
      <w:r>
        <w:t>&lt;/Location&gt;</w:t>
      </w:r>
    </w:p>
    <w:p>
      <w:pPr>
        <w:pStyle w:val="Normal"/>
      </w:pPr>
      <w:r>
        <w:t># Allow access to the administration pages from the local network</w:t>
        <w:t xml:space="preserve"> </w:t>
        <w:t>&lt;Location /admin&gt;</w:t>
      </w:r>
    </w:p>
    <w:p>
      <w:pPr>
        <w:pStyle w:val="Para 03"/>
      </w:pPr>
      <w:r>
        <w:t>Order allow,deny</w:t>
      </w:r>
    </w:p>
    <w:p>
      <w:pPr>
        <w:pStyle w:val="Para 03"/>
      </w:pPr>
      <w:r>
        <w:t>Allow localhost</w:t>
      </w:r>
    </w:p>
    <w:p>
      <w:pPr>
        <w:pStyle w:val="Para 03"/>
      </w:pPr>
      <w:r>
        <w:t>Allow 192.168.10.*</w:t>
      </w:r>
    </w:p>
    <w:p>
      <w:pPr>
        <w:pStyle w:val="Normal"/>
      </w:pPr>
      <w:r>
        <w:t>&lt;/Location&gt;</w:t>
      </w:r>
    </w:p>
    <w:p>
      <w:pPr>
        <w:pStyle w:val="Normal"/>
      </w:pPr>
      <w:r>
        <w:t># Allow access to the admin configuration from the local network</w:t>
        <w:t xml:space="preserve"> </w:t>
        <w:t>&lt;Location /admin/conf&gt;</w:t>
      </w:r>
    </w:p>
    <w:p>
      <w:pPr>
        <w:pStyle w:val="Para 03"/>
      </w:pPr>
      <w:r>
        <w:t>AuthType Default</w:t>
      </w:r>
    </w:p>
    <w:p>
      <w:pPr>
        <w:pStyle w:val="Para 03"/>
      </w:pPr>
      <w:r>
        <w:t>Require user @SYSTEM</w:t>
      </w:r>
    </w:p>
    <w:p>
      <w:pPr>
        <w:pStyle w:val="Para 03"/>
      </w:pPr>
      <w:r>
        <w:t>Order allow,deny</w:t>
      </w:r>
    </w:p>
    <w:p>
      <w:pPr>
        <w:pStyle w:val="Para 03"/>
      </w:pPr>
      <w:r>
        <w:t>Allow localhost</w:t>
      </w:r>
    </w:p>
    <w:p>
      <w:pPr>
        <w:pStyle w:val="Para 03"/>
      </w:pPr>
      <w:r>
        <w:t>Allow 192.168.10.*</w:t>
      </w:r>
    </w:p>
    <w:p>
      <w:pPr>
        <w:pStyle w:val="Normal"/>
      </w:pPr>
      <w:r>
        <w:t>&lt;/Location&gt;</w:t>
      </w:r>
    </w:p>
    <w:p>
      <w:pPr>
        <w:pStyle w:val="Para 17"/>
      </w:pPr>
      <w:r>
        <w:t/>
      </w:r>
    </w:p>
    <w:p>
      <w:pPr>
        <w:pStyle w:val="Normal"/>
      </w:pPr>
      <w:r>
        <w:t>Replace 192.168.10.* with the subnet of your local network.</w:t>
      </w:r>
    </w:p>
    <w:p>
      <w:pPr>
        <w:pStyle w:val="Normal"/>
      </w:pPr>
      <w:r>
        <w:t xml:space="preserve">If you have a </w:t>
      </w:r>
      <w:hyperlink w:anchor="page_121">
        <w:r>
          <w:rPr>
            <w:rStyle w:val="Text2"/>
          </w:rPr>
          <w:t>firewall</w:t>
        </w:r>
      </w:hyperlink>
      <w:r>
        <w:t xml:space="preserve"> (page 120) enabled (e.g. ufw), you must also open port 631 to allow incoming connections:</w:t>
      </w:r>
    </w:p>
    <w:p>
      <w:pPr>
        <w:pStyle w:val="Normal"/>
      </w:pPr>
      <w:r>
        <w:t>sudo ufw allow</w:t>
        <w:t xml:space="preserve"> </w:t>
        <w:t>631</w:t>
        <w:t>/tcp</w:t>
      </w:r>
    </w:p>
    <w:p>
      <w:pPr>
        <w:pStyle w:val="Para 17"/>
      </w:pPr>
      <w:r>
        <w:t/>
      </w:r>
    </w:p>
    <w:p>
      <w:pPr>
        <w:pStyle w:val="Para 01"/>
      </w:pPr>
      <w:r>
        <w:t>Post-configuration restart</w:t>
      </w:r>
    </w:p>
    <w:p>
      <w:pPr>
        <w:pStyle w:val="Para 17"/>
      </w:pPr>
      <w:r>
        <w:t/>
      </w:r>
    </w:p>
    <w:p>
      <w:pPr>
        <w:pStyle w:val="Normal"/>
      </w:pPr>
      <w:r>
        <w:t>Whenever you make changes to the /etc/cups/cupsd.conf configuration file, you’ll need to restart the CUPS server by typing the following command at a terminal prompt:</w:t>
      </w:r>
    </w:p>
    <w:p>
      <w:pPr>
        <w:pStyle w:val="Normal"/>
      </w:pPr>
      <w:r>
        <w:t>sudo systemctl restart cups.service</w:t>
      </w:r>
    </w:p>
    <w:p>
      <w:bookmarkStart w:id="484" w:name="page_3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7" name="index-340_1.png" descr="index-340_1.png"/>
            <wp:cNvGraphicFramePr>
              <a:graphicFrameLocks noChangeAspect="1"/>
            </wp:cNvGraphicFramePr>
            <a:graphic>
              <a:graphicData uri="http://schemas.openxmlformats.org/drawingml/2006/picture">
                <pic:pic>
                  <pic:nvPicPr>
                    <pic:cNvPr id="0" name="index-340_1.png" descr="index-340_1.png"/>
                    <pic:cNvPicPr/>
                  </pic:nvPicPr>
                  <pic:blipFill>
                    <a:blip r:embed="rId351"/>
                    <a:stretch>
                      <a:fillRect/>
                    </a:stretch>
                  </pic:blipFill>
                  <pic:spPr>
                    <a:xfrm>
                      <a:off x="0" y="0"/>
                      <a:ext cx="914400" cy="266700"/>
                    </a:xfrm>
                    <a:prstGeom prst="rect">
                      <a:avLst/>
                    </a:prstGeom>
                  </pic:spPr>
                </pic:pic>
              </a:graphicData>
            </a:graphic>
          </wp:anchor>
        </w:drawing>
      </w:r>
      <w:bookmarkEnd w:id="484"/>
    </w:p>
    <w:p>
      <w:pPr>
        <w:pStyle w:val="Para 01"/>
      </w:pPr>
      <w:r>
        <w:t>Web Interface</w:t>
      </w:r>
    </w:p>
    <w:p>
      <w:pPr>
        <w:pStyle w:val="Para 17"/>
      </w:pPr>
      <w:r>
        <w:t/>
      </w:r>
    </w:p>
    <w:p>
      <w:pPr>
        <w:pStyle w:val="Normal"/>
      </w:pPr>
      <w:r>
        <w:t>CUPS can be configured and monitored using a web interface, which by default is available at http://localhost:631/admin. The web interface can be used to perform all printer man-agement tasks.</w:t>
      </w:r>
    </w:p>
    <w:p>
      <w:pPr>
        <w:pStyle w:val="Normal"/>
      </w:pPr>
      <w:r>
        <w:t>To perform administrative tasks via the web interface, you must either have the root account enabled on your server, or authenticate as a user in the lpadmin group. For security reasons, CUPS won’t authenticate a user that doesn’t have a password.</w:t>
      </w:r>
    </w:p>
    <w:p>
      <w:pPr>
        <w:pStyle w:val="Normal"/>
      </w:pPr>
      <w:r>
        <w:t>To add a user to the lpadmin group, run at the terminal prompt:</w:t>
      </w:r>
    </w:p>
    <w:p>
      <w:pPr>
        <w:pStyle w:val="Normal"/>
      </w:pPr>
      <w:r>
        <w:t>sudo usermod -aG lpadmin username</w:t>
      </w:r>
    </w:p>
    <w:p>
      <w:pPr>
        <w:pStyle w:val="Para 17"/>
      </w:pPr>
      <w:r>
        <w:t/>
      </w:r>
    </w:p>
    <w:p>
      <w:pPr>
        <w:pStyle w:val="Normal"/>
      </w:pPr>
      <w:r>
        <w:t>Further documentation is available in the “Documentation/Help” tab of the web interface.</w:t>
      </w:r>
    </w:p>
    <w:p>
      <w:pPr>
        <w:pStyle w:val="Para 17"/>
      </w:pPr>
      <w:r>
        <w:t/>
      </w:r>
    </w:p>
    <w:p>
      <w:pPr>
        <w:pStyle w:val="Para 01"/>
      </w:pPr>
      <w:r>
        <w:t>Error logs</w:t>
      </w:r>
    </w:p>
    <w:p>
      <w:pPr>
        <w:pStyle w:val="Para 17"/>
      </w:pPr>
      <w:r>
        <w:t/>
      </w:r>
    </w:p>
    <w:p>
      <w:pPr>
        <w:pStyle w:val="Normal"/>
      </w:pPr>
      <w:r>
        <w:t xml:space="preserve">For troubleshooting purposes, you can access CUPS server errors via the error log file at: / var/log/cups/error_log. If the error log does not show enough information to troubleshoot any problems you encounter, the verbosity of the CUPS log can be increased by changing the </w:t>
      </w:r>
      <w:r>
        <w:rPr>
          <w:rStyle w:val="Text0"/>
        </w:rPr>
        <w:t>LogLevel</w:t>
      </w:r>
      <w:r>
        <w:t xml:space="preserve"> directive in the configuration file (discussed above) from the default of “info” to “debug” or even “debug2”, which logs everything.</w:t>
      </w:r>
    </w:p>
    <w:p>
      <w:pPr>
        <w:pStyle w:val="Normal"/>
      </w:pPr>
      <w:r>
        <w:t>If you make this change, remember to change it back once you’ve solved your problem, to prevent the log file from becoming overly large.</w:t>
      </w:r>
    </w:p>
    <w:p>
      <w:pPr>
        <w:pStyle w:val="Para 17"/>
      </w:pPr>
      <w:r>
        <w:t/>
      </w:r>
    </w:p>
    <w:p>
      <w:pPr>
        <w:pStyle w:val="Para 01"/>
      </w:pPr>
      <w:r>
        <w:t>References</w:t>
      </w:r>
    </w:p>
    <w:p>
      <w:pPr>
        <w:pStyle w:val="Para 17"/>
      </w:pPr>
      <w:r>
        <w:t/>
      </w:r>
    </w:p>
    <w:p>
      <w:pPr>
        <w:pStyle w:val="Para 13"/>
      </w:pPr>
      <w:r>
        <w:rPr>
          <w:rStyle w:val="Text7"/>
        </w:rPr>
        <w:t xml:space="preserve">• </w:t>
      </w:r>
      <w:hyperlink w:anchor="page_340">
        <w:r>
          <w:rPr>
            <w:rStyle w:val="Text10"/>
          </w:rPr>
          <w:t>278</w:t>
        </w:r>
      </w:hyperlink>
      <w:r>
        <w:rPr>
          <w:rStyle w:val="Text7"/>
        </w:rPr>
        <w:t xml:space="preserve"> </w:t>
      </w:r>
      <w:hyperlink r:id="rId1249">
        <w:r>
          <w:t>CUPS Website</w:t>
        </w:r>
      </w:hyperlink>
    </w:p>
    <w:p>
      <w:pPr>
        <w:pStyle w:val="Para 13"/>
      </w:pPr>
      <w:r>
        <w:rPr>
          <w:rStyle w:val="Text7"/>
        </w:rPr>
        <w:t xml:space="preserve">• </w:t>
      </w:r>
      <w:hyperlink w:anchor="page_340">
        <w:r>
          <w:rPr>
            <w:rStyle w:val="Text10"/>
          </w:rPr>
          <w:t>279</w:t>
        </w:r>
      </w:hyperlink>
      <w:r>
        <w:rPr>
          <w:rStyle w:val="Text7"/>
        </w:rPr>
        <w:t xml:space="preserve"> </w:t>
      </w:r>
      <w:hyperlink r:id="rId1263">
        <w:r>
          <w:t>Debian Printing Wiki</w:t>
        </w:r>
      </w:hyperlink>
    </w:p>
    <w:p>
      <w:pPr>
        <w:pStyle w:val="Para 17"/>
      </w:pPr>
      <w:r>
        <w:t/>
      </w:r>
    </w:p>
    <w:p>
      <w:pPr>
        <w:pStyle w:val="Para 01"/>
      </w:pPr>
      <w:r>
        <w:t>See also</w:t>
      </w:r>
    </w:p>
    <w:p>
      <w:pPr>
        <w:pStyle w:val="Para 17"/>
      </w:pPr>
      <w:r>
        <w:t/>
      </w:r>
    </w:p>
    <w:p>
      <w:pPr>
        <w:pStyle w:val="Para 04"/>
      </w:pPr>
      <w:r>
        <w:t xml:space="preserve">• Explanation: </w:t>
      </w:r>
      <w:hyperlink w:anchor="page_802">
        <w:r>
          <w:rPr>
            <w:rStyle w:val="Text2"/>
          </w:rPr>
          <w:t>Networking section</w:t>
        </w:r>
      </w:hyperlink>
      <w:r>
        <w:t xml:space="preserve"> (page 801)</w:t>
      </w:r>
    </w:p>
    <w:p>
      <w:pPr>
        <w:pStyle w:val="Para 24"/>
      </w:pPr>
      <w:r>
        <w:t>3.2.4. Managing software</w:t>
      </w:r>
    </w:p>
    <w:p>
      <w:pPr>
        <w:pStyle w:val="Normal"/>
      </w:pPr>
      <w:hyperlink w:anchor="page_341">
        <w:r>
          <w:rPr>
            <w:rStyle w:val="Text2"/>
          </w:rPr>
          <w:t>Managing software</w:t>
        </w:r>
      </w:hyperlink>
      <w:r>
        <w:t xml:space="preserve"> (page 340) provides guides on topics including:</w:t>
      </w:r>
    </w:p>
    <w:p>
      <w:pPr>
        <w:pStyle w:val="Para 04"/>
      </w:pPr>
      <w:r>
        <w:t xml:space="preserve">• </w:t>
      </w:r>
      <w:r>
        <w:rPr>
          <w:rStyle w:val="Text0"/>
        </w:rPr>
        <w:t>Software updates</w:t>
      </w:r>
      <w:r>
        <w:t xml:space="preserve"> and configuration</w:t>
      </w:r>
    </w:p>
    <w:p>
      <w:pPr>
        <w:pStyle w:val="Para 28"/>
      </w:pPr>
      <w:r>
        <w:rPr>
          <w:rStyle w:val="Text0"/>
        </w:rPr>
        <w:t xml:space="preserve">• </w:t>
      </w:r>
      <w:r>
        <w:t>Upgrading your Ubuntu release</w:t>
      </w:r>
    </w:p>
    <w:p>
      <w:pPr>
        <w:pStyle w:val="Para 28"/>
      </w:pPr>
      <w:r>
        <w:rPr>
          <w:rStyle w:val="Text0"/>
        </w:rPr>
        <w:t xml:space="preserve">• </w:t>
      </w:r>
      <w:r>
        <w:t>Bug reporting</w:t>
      </w:r>
    </w:p>
    <w:p>
      <w:pPr>
        <w:pStyle w:val="Para 05"/>
      </w:pPr>
      <w:r>
        <w:rPr>
          <w:rStyle w:val="Text5"/>
        </w:rPr>
        <w:t>278</w:t>
      </w:r>
      <w:r>
        <w:rPr>
          <w:rStyle w:val="Text8"/>
        </w:rPr>
        <w:t xml:space="preserve"> </w:t>
      </w:r>
      <w:r>
        <w:t>http://www.cups.org/</w:t>
      </w:r>
    </w:p>
    <w:p>
      <w:pPr>
        <w:pStyle w:val="Para 05"/>
      </w:pPr>
      <w:r>
        <w:rPr>
          <w:rStyle w:val="Text5"/>
        </w:rPr>
        <w:t>279</w:t>
      </w:r>
      <w:r>
        <w:rPr>
          <w:rStyle w:val="Text8"/>
        </w:rPr>
        <w:t xml:space="preserve"> </w:t>
      </w:r>
      <w:r>
        <w:t>https://wiki.debian.org/Printing</w:t>
      </w:r>
    </w:p>
    <w:p>
      <w:bookmarkStart w:id="485" w:name="page_3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8" name="index-341_1.png" descr="index-341_1.png"/>
            <wp:cNvGraphicFramePr>
              <a:graphicFrameLocks noChangeAspect="1"/>
            </wp:cNvGraphicFramePr>
            <a:graphic>
              <a:graphicData uri="http://schemas.openxmlformats.org/drawingml/2006/picture">
                <pic:pic>
                  <pic:nvPicPr>
                    <pic:cNvPr id="0" name="index-341_1.png" descr="index-341_1.png"/>
                    <pic:cNvPicPr/>
                  </pic:nvPicPr>
                  <pic:blipFill>
                    <a:blip r:embed="rId352"/>
                    <a:stretch>
                      <a:fillRect/>
                    </a:stretch>
                  </pic:blipFill>
                  <pic:spPr>
                    <a:xfrm>
                      <a:off x="0" y="0"/>
                      <a:ext cx="914400" cy="266700"/>
                    </a:xfrm>
                    <a:prstGeom prst="rect">
                      <a:avLst/>
                    </a:prstGeom>
                  </pic:spPr>
                </pic:pic>
              </a:graphicData>
            </a:graphic>
          </wp:anchor>
        </w:drawing>
      </w:r>
      <w:bookmarkEnd w:id="485"/>
    </w:p>
    <w:p>
      <w:pPr>
        <w:pStyle w:val="Para 01"/>
      </w:pPr>
      <w:r>
        <w:t>Managing software</w:t>
      </w:r>
    </w:p>
    <w:p>
      <w:pPr>
        <w:pStyle w:val="Para 17"/>
      </w:pPr>
      <w:r>
        <w:t/>
      </w:r>
    </w:p>
    <w:p>
      <w:pPr>
        <w:pStyle w:val="Para 01"/>
      </w:pPr>
      <w:r>
        <w:t>Install and manage packages</w:t>
      </w:r>
    </w:p>
    <w:p>
      <w:pPr>
        <w:pStyle w:val="Para 17"/>
      </w:pPr>
      <w:r>
        <w:t/>
      </w:r>
    </w:p>
    <w:p>
      <w:pPr>
        <w:pStyle w:val="Normal"/>
      </w:pPr>
      <w:r>
        <w:t>The recommended way to install Debian packages (“deb” files) is using the Advanced Pack-aging Tool (APT), which can be used on the command line using the apt utility.</w:t>
      </w:r>
    </w:p>
    <w:p>
      <w:pPr>
        <w:pStyle w:val="Normal"/>
      </w:pPr>
      <w:r>
        <w:t>The commands contained within apt provide the means to install new software packages, upgrade existing software packages, update the package list index, and even upgrade the entire Ubuntu system.</w:t>
      </w:r>
    </w:p>
    <w:p>
      <w:pPr>
        <w:pStyle w:val="Para 17"/>
      </w:pPr>
      <w:r>
        <w:t/>
      </w:r>
    </w:p>
    <w:p>
      <w:pPr>
        <w:pStyle w:val="Para 01"/>
      </w:pPr>
      <w:r>
        <w:t>Update the package index</w:t>
      </w:r>
    </w:p>
    <w:p>
      <w:pPr>
        <w:pStyle w:val="Para 17"/>
      </w:pPr>
      <w:r>
        <w:t/>
      </w:r>
    </w:p>
    <w:p>
      <w:pPr>
        <w:pStyle w:val="Normal"/>
      </w:pPr>
      <w:r>
        <w:t>The APT package index is a database of available packages from the repositories defined in the /etc/apt/sources.list.d directory. Ubuntu repositories are defined in the /etc/ apt/sources.list.d/ubuntu.sources file. To update the local package index with the latest changes made in the repositories, and thereby access the most up-to-date version of the package you’re interested in, run the following:</w:t>
      </w:r>
    </w:p>
    <w:p>
      <w:pPr>
        <w:pStyle w:val="Normal"/>
      </w:pPr>
      <w:r>
        <w:t>sudo apt update</w:t>
      </w:r>
    </w:p>
    <w:p>
      <w:pPr>
        <w:pStyle w:val="Para 17"/>
      </w:pPr>
      <w:r>
        <w:t/>
      </w:r>
    </w:p>
    <w:p>
      <w:pPr>
        <w:pStyle w:val="Para 08"/>
      </w:pPr>
      <w:r>
        <w:t>Note:</w:t>
      </w:r>
    </w:p>
    <w:p>
      <w:pPr>
        <w:pStyle w:val="Para 03"/>
      </w:pPr>
      <w:r>
        <w:t>Ubuntu releases prior to 24.04 LTS (Noble), which don’t use the deb822 standard by de-</w:t>
      </w:r>
    </w:p>
    <w:p>
      <w:pPr>
        <w:pStyle w:val="Para 03"/>
      </w:pPr>
      <w:r>
        <w:t>fault, have repository information defined in the /etc/apt/sources.list file.</w:t>
      </w:r>
    </w:p>
    <w:p>
      <w:pPr>
        <w:pStyle w:val="Para 17"/>
      </w:pPr>
      <w:r>
        <w:t/>
      </w:r>
    </w:p>
    <w:p>
      <w:pPr>
        <w:pStyle w:val="Para 01"/>
      </w:pPr>
      <w:r>
        <w:t>Install a package</w:t>
      </w:r>
    </w:p>
    <w:p>
      <w:pPr>
        <w:pStyle w:val="Para 17"/>
      </w:pPr>
      <w:r>
        <w:t/>
      </w:r>
    </w:p>
    <w:p>
      <w:pPr>
        <w:pStyle w:val="Normal"/>
      </w:pPr>
      <w:r>
        <w:t>As an example, to install the nmap network scanner, run the following command:</w:t>
      </w:r>
    </w:p>
    <w:p>
      <w:pPr>
        <w:pStyle w:val="Normal"/>
      </w:pPr>
      <w:r>
        <w:t>sudo apt install nmap</w:t>
      </w:r>
    </w:p>
    <w:p>
      <w:pPr>
        <w:pStyle w:val="Para 17"/>
      </w:pPr>
      <w:r>
        <w:t/>
      </w:r>
    </w:p>
    <w:p>
      <w:pPr>
        <w:pStyle w:val="Para 08"/>
      </w:pPr>
      <w:r>
        <w:t>Tip:</w:t>
      </w:r>
    </w:p>
    <w:p>
      <w:pPr>
        <w:pStyle w:val="Para 17"/>
      </w:pPr>
      <w:r>
        <w:t/>
      </w:r>
    </w:p>
    <w:p>
      <w:pPr>
        <w:pStyle w:val="Para 03"/>
      </w:pPr>
      <w:r>
        <w:t>You can install or remove multiple packages at once by separating them with spaces.</w:t>
      </w:r>
    </w:p>
    <w:p>
      <w:pPr>
        <w:pStyle w:val="Para 17"/>
      </w:pPr>
      <w:r>
        <w:t/>
      </w:r>
    </w:p>
    <w:p>
      <w:pPr>
        <w:pStyle w:val="Para 01"/>
      </w:pPr>
      <w:r>
        <w:t>Remove a package</w:t>
      </w:r>
    </w:p>
    <w:p>
      <w:pPr>
        <w:pStyle w:val="Para 17"/>
      </w:pPr>
      <w:r>
        <w:t/>
      </w:r>
    </w:p>
    <w:p>
      <w:pPr>
        <w:pStyle w:val="Normal"/>
      </w:pPr>
      <w:r>
        <w:t>To remove the package installed in the previous example, run the following:</w:t>
      </w:r>
    </w:p>
    <w:p>
      <w:pPr>
        <w:pStyle w:val="Normal"/>
      </w:pPr>
      <w:r>
        <w:t>sudo apt remove nmap</w:t>
      </w:r>
    </w:p>
    <w:p>
      <w:pPr>
        <w:pStyle w:val="Para 17"/>
      </w:pPr>
      <w:r>
        <w:t/>
      </w:r>
    </w:p>
    <w:p>
      <w:pPr>
        <w:pStyle w:val="Normal"/>
      </w:pPr>
      <w:r>
        <w:t>Adding the--purge option to apt remove will remove the package configuration files as well. This may or may not be what you want, so use it with caution.</w:t>
      </w:r>
    </w:p>
    <w:p>
      <w:bookmarkStart w:id="486" w:name="page_3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49" name="index-342_1.png" descr="index-342_1.png"/>
            <wp:cNvGraphicFramePr>
              <a:graphicFrameLocks noChangeAspect="1"/>
            </wp:cNvGraphicFramePr>
            <a:graphic>
              <a:graphicData uri="http://schemas.openxmlformats.org/drawingml/2006/picture">
                <pic:pic>
                  <pic:nvPicPr>
                    <pic:cNvPr id="0" name="index-342_1.png" descr="index-342_1.png"/>
                    <pic:cNvPicPr/>
                  </pic:nvPicPr>
                  <pic:blipFill>
                    <a:blip r:embed="rId353"/>
                    <a:stretch>
                      <a:fillRect/>
                    </a:stretch>
                  </pic:blipFill>
                  <pic:spPr>
                    <a:xfrm>
                      <a:off x="0" y="0"/>
                      <a:ext cx="914400" cy="266700"/>
                    </a:xfrm>
                    <a:prstGeom prst="rect">
                      <a:avLst/>
                    </a:prstGeom>
                  </pic:spPr>
                </pic:pic>
              </a:graphicData>
            </a:graphic>
          </wp:anchor>
        </w:drawing>
      </w:r>
      <w:bookmarkEnd w:id="486"/>
    </w:p>
    <w:p>
      <w:pPr>
        <w:pStyle w:val="Para 08"/>
      </w:pPr>
      <w:r>
        <w:t>Note:</w:t>
      </w:r>
    </w:p>
    <w:p>
      <w:pPr>
        <w:pStyle w:val="Para 03"/>
      </w:pPr>
      <w:r>
        <w:t>While apt is a command-line tool, it is intended to be used interactively, and not to be</w:t>
      </w:r>
    </w:p>
    <w:p>
      <w:pPr>
        <w:pStyle w:val="Para 03"/>
      </w:pPr>
      <w:r>
        <w:t>called from non-interactive scripts. The apt-get command should be used in scripts (per-</w:t>
      </w:r>
    </w:p>
    <w:p>
      <w:pPr>
        <w:pStyle w:val="Para 03"/>
      </w:pPr>
      <w:r>
        <w:t>haps with the--quiet flag). For basic commands the syntax of the two tools is identical.</w:t>
      </w:r>
    </w:p>
    <w:p>
      <w:pPr>
        <w:pStyle w:val="Para 17"/>
      </w:pPr>
      <w:r>
        <w:t/>
      </w:r>
    </w:p>
    <w:p>
      <w:pPr>
        <w:pStyle w:val="Para 01"/>
      </w:pPr>
      <w:r>
        <w:t>Upgrading packages</w:t>
      </w:r>
    </w:p>
    <w:p>
      <w:pPr>
        <w:pStyle w:val="Para 17"/>
      </w:pPr>
      <w:r>
        <w:t/>
      </w:r>
    </w:p>
    <w:p>
      <w:pPr>
        <w:pStyle w:val="Normal"/>
      </w:pPr>
      <w:r>
        <w:t>Installed packages on your computer may periodically have upgrades available from the pack-age repositories (e.g., security updates). To upgrade your system, first update your package index and then perform the upgrade – as follows:</w:t>
      </w:r>
    </w:p>
    <w:p>
      <w:pPr>
        <w:pStyle w:val="Normal"/>
      </w:pPr>
      <w:r>
        <w:t>sudo apt update</w:t>
      </w:r>
    </w:p>
    <w:p>
      <w:pPr>
        <w:pStyle w:val="Normal"/>
      </w:pPr>
      <w:r>
        <w:t>sudo apt upgrade</w:t>
      </w:r>
    </w:p>
    <w:p>
      <w:pPr>
        <w:pStyle w:val="Para 17"/>
      </w:pPr>
      <w:r>
        <w:t/>
      </w:r>
    </w:p>
    <w:p>
      <w:pPr>
        <w:pStyle w:val="Normal"/>
      </w:pPr>
      <w:r>
        <w:t xml:space="preserve">For details on how to upgrade to a new Ubuntu release, see our </w:t>
      </w:r>
      <w:hyperlink w:anchor="page_359">
        <w:r>
          <w:rPr>
            <w:rStyle w:val="Text2"/>
          </w:rPr>
          <w:t>guide on upgrading releases</w:t>
        </w:r>
      </w:hyperlink>
    </w:p>
    <w:p>
      <w:pPr>
        <w:pStyle w:val="Normal"/>
      </w:pPr>
      <w:r>
        <w:t xml:space="preserve">(page 358). For further information about using APT, read the comprehensive </w:t>
      </w:r>
      <w:hyperlink r:id="rId1264">
        <w:r>
          <w:rPr>
            <w:rStyle w:val="Text1"/>
          </w:rPr>
          <w:t>APT User’s</w:t>
        </w:r>
      </w:hyperlink>
    </w:p>
    <w:p>
      <w:pPr>
        <w:pStyle w:val="Normal"/>
      </w:pPr>
      <w:hyperlink r:id="rId1264">
        <w:r>
          <w:rPr>
            <w:rStyle w:val="Text1"/>
          </w:rPr>
          <w:t>Guide</w:t>
        </w:r>
      </w:hyperlink>
      <w:hyperlink w:anchor="page_342">
        <w:r>
          <w:rPr>
            <w:rStyle w:val="Text9"/>
          </w:rPr>
          <w:t>280</w:t>
        </w:r>
      </w:hyperlink>
      <w:r>
        <w:t>, or type apt help.</w:t>
      </w:r>
    </w:p>
    <w:p>
      <w:pPr>
        <w:pStyle w:val="Para 17"/>
      </w:pPr>
      <w:r>
        <w:t/>
      </w:r>
    </w:p>
    <w:p>
      <w:pPr>
        <w:pStyle w:val="Para 01"/>
      </w:pPr>
      <w:r>
        <w:t>Aptitude</w:t>
      </w:r>
    </w:p>
    <w:p>
      <w:pPr>
        <w:pStyle w:val="Para 17"/>
      </w:pPr>
      <w:r>
        <w:t/>
      </w:r>
    </w:p>
    <w:p>
      <w:pPr>
        <w:pStyle w:val="Normal"/>
      </w:pPr>
      <w:r>
        <w:t>Launching Aptitude with no command-line options will give you a menu-driven, text-based</w:t>
      </w:r>
    </w:p>
    <w:p>
      <w:pPr>
        <w:pStyle w:val="Normal"/>
      </w:pPr>
      <w:hyperlink w:anchor="page_683">
        <w:r>
          <w:rPr>
            <w:rStyle w:val="Text2"/>
          </w:rPr>
          <w:t>frontend</w:t>
        </w:r>
      </w:hyperlink>
      <w:r>
        <w:t xml:space="preserve"> to the APT system. Many of the common package management functions, such as installation, removal, and upgrade, can be performed in Aptitude with single-key commands, which are typically lowercase letters.</w:t>
      </w:r>
    </w:p>
    <w:p>
      <w:pPr>
        <w:pStyle w:val="Normal"/>
      </w:pPr>
      <w:r>
        <w:t>Aptitude is best suited for use in a non-graphical terminal environment to ensure the com-mand keys work properly.</w:t>
      </w:r>
    </w:p>
    <w:p>
      <w:pPr>
        <w:pStyle w:val="Normal"/>
      </w:pPr>
      <w:r>
        <w:t>Install Aptitude by running:</w:t>
      </w:r>
    </w:p>
    <w:p>
      <w:pPr>
        <w:pStyle w:val="Normal"/>
      </w:pPr>
      <w:r>
        <w:t>sudo apt install aptitude</w:t>
      </w:r>
    </w:p>
    <w:p>
      <w:pPr>
        <w:pStyle w:val="Para 17"/>
      </w:pPr>
      <w:r>
        <w:t/>
      </w:r>
    </w:p>
    <w:p>
      <w:pPr>
        <w:pStyle w:val="Normal"/>
      </w:pPr>
      <w:r>
        <w:t>You can start the menu-driven interface of Aptitude as a regular user by typing the following command at a terminal prompt:</w:t>
      </w:r>
    </w:p>
    <w:p>
      <w:pPr>
        <w:pStyle w:val="Normal"/>
      </w:pPr>
      <w:r>
        <w:t>sudo aptitude</w:t>
      </w:r>
    </w:p>
    <w:p>
      <w:pPr>
        <w:pStyle w:val="Para 17"/>
      </w:pPr>
      <w:r>
        <w:t/>
      </w:r>
    </w:p>
    <w:p>
      <w:pPr>
        <w:pStyle w:val="Normal"/>
      </w:pPr>
      <w:r>
        <w:t>When Aptitude starts, you will see a menu bar at the top of the screen and two panes be-low the menu bar. The top pane contains package categories, such as “New Packages” and “Not Installed Packages”. The bottom pane contains information related to the packages and package categories.</w:t>
      </w:r>
    </w:p>
    <w:p>
      <w:pPr>
        <w:pStyle w:val="Normal"/>
      </w:pPr>
      <w:r>
        <w:t>Using Aptitude for package management is relatively straightforward thanks to its user inter-face. The following are examples of common package management functions as performed in Aptitude:</w:t>
      </w:r>
    </w:p>
    <w:p>
      <w:pPr>
        <w:pStyle w:val="Para 05"/>
      </w:pPr>
      <w:r>
        <w:rPr>
          <w:rStyle w:val="Text5"/>
        </w:rPr>
        <w:t>280</w:t>
      </w:r>
      <w:r>
        <w:rPr>
          <w:rStyle w:val="Text8"/>
        </w:rPr>
        <w:t xml:space="preserve"> </w:t>
      </w:r>
      <w:r>
        <w:t>https://www.debian.org/doc/user-manuals#apt-guide</w:t>
      </w:r>
      <w:r>
        <w:rPr>
          <w:rStyle w:val="Text8"/>
        </w:rPr>
        <w:t xml:space="preserve"> </w:t>
      </w:r>
      <w:r>
        <w:rPr>
          <w:rStyle w:val="Text11"/>
        </w:rPr>
        <w:t>Installing packages</w:t>
      </w:r>
    </w:p>
    <w:p>
      <w:bookmarkStart w:id="487" w:name="page_3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0" name="index-343_1.png" descr="index-343_1.png"/>
            <wp:cNvGraphicFramePr>
              <a:graphicFrameLocks noChangeAspect="1"/>
            </wp:cNvGraphicFramePr>
            <a:graphic>
              <a:graphicData uri="http://schemas.openxmlformats.org/drawingml/2006/picture">
                <pic:pic>
                  <pic:nvPicPr>
                    <pic:cNvPr id="0" name="index-343_1.png" descr="index-343_1.png"/>
                    <pic:cNvPicPr/>
                  </pic:nvPicPr>
                  <pic:blipFill>
                    <a:blip r:embed="rId354"/>
                    <a:stretch>
                      <a:fillRect/>
                    </a:stretch>
                  </pic:blipFill>
                  <pic:spPr>
                    <a:xfrm>
                      <a:off x="0" y="0"/>
                      <a:ext cx="914400" cy="266700"/>
                    </a:xfrm>
                    <a:prstGeom prst="rect">
                      <a:avLst/>
                    </a:prstGeom>
                  </pic:spPr>
                </pic:pic>
              </a:graphicData>
            </a:graphic>
          </wp:anchor>
        </w:drawing>
      </w:r>
      <w:bookmarkEnd w:id="487"/>
    </w:p>
    <w:p>
      <w:pPr>
        <w:pStyle w:val="Para 17"/>
      </w:pPr>
      <w:r>
        <w:t/>
      </w:r>
    </w:p>
    <w:p>
      <w:pPr>
        <w:pStyle w:val="Normal"/>
      </w:pPr>
      <w:r>
        <w:t>To install a package, locate it in the “Not Installed Packages” category by using the keyboard arrow keys and the Enter key.</w:t>
      </w:r>
    </w:p>
    <w:p>
      <w:pPr>
        <w:pStyle w:val="Normal"/>
      </w:pPr>
      <w:r>
        <w:t xml:space="preserve">Highlight the desired package, then press the + key. The package entry should turn </w:t>
      </w:r>
      <w:r>
        <w:rPr>
          <w:rStyle w:val="Text0"/>
        </w:rPr>
        <w:t>green</w:t>
      </w:r>
      <w:r>
        <w:t>, which indicates it has been marked for installation. Now press g to be presented with a sum-mary of package actions. Press g again, and the package will be downloaded and installed. When finished, press Enter to return to the menu.</w:t>
      </w:r>
    </w:p>
    <w:p>
      <w:pPr>
        <w:pStyle w:val="Para 17"/>
      </w:pPr>
      <w:r>
        <w:t/>
      </w:r>
    </w:p>
    <w:p>
      <w:pPr>
        <w:pStyle w:val="Para 01"/>
      </w:pPr>
      <w:r>
        <w:t>Remove Packages</w:t>
      </w:r>
    </w:p>
    <w:p>
      <w:pPr>
        <w:pStyle w:val="Para 17"/>
      </w:pPr>
      <w:r>
        <w:t/>
      </w:r>
    </w:p>
    <w:p>
      <w:pPr>
        <w:pStyle w:val="Normal"/>
      </w:pPr>
      <w:r>
        <w:t>To remove a package, locate it in the “Installed Packages” category by using the keyboard arrow keys and the Enter key.</w:t>
      </w:r>
    </w:p>
    <w:p>
      <w:pPr>
        <w:pStyle w:val="Normal"/>
      </w:pPr>
      <w:r>
        <w:t xml:space="preserve">Highlight the package you want to remove, then press the - key. The package entry should turn </w:t>
      </w:r>
      <w:r>
        <w:rPr>
          <w:rStyle w:val="Text0"/>
        </w:rPr>
        <w:t>pink</w:t>
      </w:r>
      <w:r>
        <w:t>, indicating it has been marked for removal. Now press g to be presented with a summary of package actions. Press g again, and the package will be removed. When finished, press Enter to return to the menu.</w:t>
      </w:r>
    </w:p>
    <w:p>
      <w:pPr>
        <w:pStyle w:val="Para 17"/>
      </w:pPr>
      <w:r>
        <w:t/>
      </w:r>
    </w:p>
    <w:p>
      <w:pPr>
        <w:pStyle w:val="Para 01"/>
      </w:pPr>
      <w:r>
        <w:t>Updating the package index</w:t>
      </w:r>
    </w:p>
    <w:p>
      <w:pPr>
        <w:pStyle w:val="Para 17"/>
      </w:pPr>
      <w:r>
        <w:t/>
      </w:r>
    </w:p>
    <w:p>
      <w:pPr>
        <w:pStyle w:val="Normal"/>
      </w:pPr>
      <w:r>
        <w:t>To update the package index, press the u key.</w:t>
      </w:r>
    </w:p>
    <w:p>
      <w:pPr>
        <w:pStyle w:val="Para 17"/>
      </w:pPr>
      <w:r>
        <w:t/>
      </w:r>
    </w:p>
    <w:p>
      <w:pPr>
        <w:pStyle w:val="Para 01"/>
      </w:pPr>
      <w:r>
        <w:t>Upgrade packages</w:t>
      </w:r>
    </w:p>
    <w:p>
      <w:pPr>
        <w:pStyle w:val="Para 17"/>
      </w:pPr>
      <w:r>
        <w:t/>
      </w:r>
    </w:p>
    <w:p>
      <w:pPr>
        <w:pStyle w:val="Normal"/>
      </w:pPr>
      <w:r>
        <w:t>To upgrade packages, first update the package index as detailed above, and then press the U key to mark all packages with available updates. Now press g, which will present you with a summary of package actions. Press g again to begin the download and installation. When finished, press Enter to return to the menu.</w:t>
      </w:r>
    </w:p>
    <w:p>
      <w:pPr>
        <w:pStyle w:val="Normal"/>
      </w:pPr>
      <w:r>
        <w:t>The first column of information displayed in the package list (in the top pane) lists the cur-rent state of the package (when viewing packages). It uses the following key to describe the package state:</w:t>
      </w:r>
    </w:p>
    <w:p>
      <w:pPr>
        <w:pStyle w:val="Para 04"/>
      </w:pPr>
      <w:r>
        <w:t xml:space="preserve">• </w:t>
      </w:r>
      <w:r>
        <w:rPr>
          <w:rStyle w:val="Text0"/>
        </w:rPr>
        <w:t>i</w:t>
      </w:r>
      <w:r>
        <w:t xml:space="preserve"> : Installed package</w:t>
      </w:r>
    </w:p>
    <w:p>
      <w:pPr>
        <w:pStyle w:val="Para 04"/>
      </w:pPr>
      <w:r>
        <w:t xml:space="preserve">• </w:t>
      </w:r>
      <w:r>
        <w:rPr>
          <w:rStyle w:val="Text0"/>
        </w:rPr>
        <w:t>c</w:t>
      </w:r>
      <w:r>
        <w:t xml:space="preserve"> : Package not installed, but package configuration remains on the system</w:t>
      </w:r>
    </w:p>
    <w:p>
      <w:pPr>
        <w:pStyle w:val="Para 04"/>
      </w:pPr>
      <w:r>
        <w:t xml:space="preserve">• </w:t>
      </w:r>
      <w:r>
        <w:rPr>
          <w:rStyle w:val="Text0"/>
        </w:rPr>
        <w:t>p</w:t>
      </w:r>
      <w:r>
        <w:t xml:space="preserve"> : Purged from system</w:t>
      </w:r>
    </w:p>
    <w:p>
      <w:pPr>
        <w:pStyle w:val="Para 04"/>
      </w:pPr>
      <w:r>
        <w:t xml:space="preserve">• </w:t>
      </w:r>
      <w:r>
        <w:rPr>
          <w:rStyle w:val="Text0"/>
        </w:rPr>
        <w:t>v</w:t>
      </w:r>
      <w:r>
        <w:t xml:space="preserve"> : Virtual package</w:t>
      </w:r>
    </w:p>
    <w:p>
      <w:pPr>
        <w:pStyle w:val="Para 04"/>
      </w:pPr>
      <w:r>
        <w:t xml:space="preserve">• </w:t>
      </w:r>
      <w:r>
        <w:rPr>
          <w:rStyle w:val="Text0"/>
        </w:rPr>
        <w:t>B</w:t>
      </w:r>
      <w:r>
        <w:t xml:space="preserve"> : Broken package</w:t>
      </w:r>
    </w:p>
    <w:p>
      <w:pPr>
        <w:pStyle w:val="Para 04"/>
      </w:pPr>
      <w:r>
        <w:t xml:space="preserve">• </w:t>
      </w:r>
      <w:r>
        <w:rPr>
          <w:rStyle w:val="Text0"/>
        </w:rPr>
        <w:t>u</w:t>
      </w:r>
      <w:r>
        <w:t xml:space="preserve"> : Unpacked files, but package not yet configured</w:t>
      </w:r>
    </w:p>
    <w:p>
      <w:pPr>
        <w:pStyle w:val="Para 04"/>
      </w:pPr>
      <w:r>
        <w:t xml:space="preserve">• </w:t>
      </w:r>
      <w:r>
        <w:rPr>
          <w:rStyle w:val="Text0"/>
        </w:rPr>
        <w:t>C</w:t>
      </w:r>
      <w:r>
        <w:t xml:space="preserve"> : Half-configured - configuration failed and requires fix</w:t>
      </w:r>
    </w:p>
    <w:p>
      <w:pPr>
        <w:pStyle w:val="Para 04"/>
      </w:pPr>
      <w:r>
        <w:t xml:space="preserve">• </w:t>
      </w:r>
      <w:r>
        <w:rPr>
          <w:rStyle w:val="Text0"/>
        </w:rPr>
        <w:t>H</w:t>
      </w:r>
      <w:r>
        <w:t xml:space="preserve"> : Half-installed - removal failed and requires a fix</w:t>
      </w:r>
    </w:p>
    <w:p>
      <w:pPr>
        <w:pStyle w:val="Normal"/>
      </w:pPr>
      <w:r>
        <w:t>To exit Aptitude, simply press the q key and confirm you want to exit. Many other functions are available from the Aptitude menu by pressing the F10 key.</w:t>
      </w:r>
    </w:p>
    <w:p>
      <w:bookmarkStart w:id="488" w:name="page_3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1" name="index-344_1.png" descr="index-344_1.png"/>
            <wp:cNvGraphicFramePr>
              <a:graphicFrameLocks noChangeAspect="1"/>
            </wp:cNvGraphicFramePr>
            <a:graphic>
              <a:graphicData uri="http://schemas.openxmlformats.org/drawingml/2006/picture">
                <pic:pic>
                  <pic:nvPicPr>
                    <pic:cNvPr id="0" name="index-344_1.png" descr="index-344_1.png"/>
                    <pic:cNvPicPr/>
                  </pic:nvPicPr>
                  <pic:blipFill>
                    <a:blip r:embed="rId355"/>
                    <a:stretch>
                      <a:fillRect/>
                    </a:stretch>
                  </pic:blipFill>
                  <pic:spPr>
                    <a:xfrm>
                      <a:off x="0" y="0"/>
                      <a:ext cx="914400" cy="266700"/>
                    </a:xfrm>
                    <a:prstGeom prst="rect">
                      <a:avLst/>
                    </a:prstGeom>
                  </pic:spPr>
                </pic:pic>
              </a:graphicData>
            </a:graphic>
          </wp:anchor>
        </w:drawing>
      </w:r>
      <w:bookmarkEnd w:id="488"/>
    </w:p>
    <w:p>
      <w:pPr>
        <w:pStyle w:val="Para 01"/>
      </w:pPr>
      <w:r>
        <w:t>Command-line Aptitude</w:t>
      </w:r>
    </w:p>
    <w:p>
      <w:pPr>
        <w:pStyle w:val="Para 17"/>
      </w:pPr>
      <w:r>
        <w:t/>
      </w:r>
    </w:p>
    <w:p>
      <w:pPr>
        <w:pStyle w:val="Normal"/>
      </w:pPr>
      <w:r>
        <w:t>You can also use Aptitude as a command-line tool, similar to apt. To install the nmap pack-age with all necessary dependencies (as in the apt example), you would use the following command:</w:t>
      </w:r>
    </w:p>
    <w:p>
      <w:pPr>
        <w:pStyle w:val="Normal"/>
      </w:pPr>
      <w:r>
        <w:t>sudo aptitude install nmap</w:t>
      </w:r>
    </w:p>
    <w:p>
      <w:pPr>
        <w:pStyle w:val="Para 17"/>
      </w:pPr>
      <w:r>
        <w:t/>
      </w:r>
    </w:p>
    <w:p>
      <w:pPr>
        <w:pStyle w:val="Normal"/>
      </w:pPr>
      <w:r>
        <w:t>To remove the same package, you would use the command:</w:t>
      </w:r>
    </w:p>
    <w:p>
      <w:pPr>
        <w:pStyle w:val="Normal"/>
      </w:pPr>
      <w:r>
        <w:t>sudo aptitude remove nmap</w:t>
      </w:r>
    </w:p>
    <w:p>
      <w:pPr>
        <w:pStyle w:val="Para 17"/>
      </w:pPr>
      <w:r>
        <w:t/>
      </w:r>
    </w:p>
    <w:p>
      <w:pPr>
        <w:pStyle w:val="Normal"/>
      </w:pPr>
      <w:r>
        <w:t xml:space="preserve">Consult the </w:t>
      </w:r>
      <w:hyperlink w:anchor="page_344">
        <w:r>
          <w:rPr>
            <w:rStyle w:val="Text9"/>
          </w:rPr>
          <w:t>281</w:t>
        </w:r>
      </w:hyperlink>
      <w:r>
        <w:t xml:space="preserve"> </w:t>
      </w:r>
      <w:hyperlink r:id="rId1265">
        <w:r>
          <w:rPr>
            <w:rStyle w:val="Text2"/>
          </w:rPr>
          <w:t>Aptitude manual pages</w:t>
        </w:r>
      </w:hyperlink>
      <w:r>
        <w:t xml:space="preserve"> for full details of Aptitude’s command-line options.</w:t>
      </w:r>
    </w:p>
    <w:p>
      <w:pPr>
        <w:pStyle w:val="Para 17"/>
      </w:pPr>
      <w:r>
        <w:t/>
      </w:r>
    </w:p>
    <w:p>
      <w:pPr>
        <w:pStyle w:val="Para 01"/>
      </w:pPr>
      <w:r>
        <w:t>dpkg</w:t>
      </w:r>
    </w:p>
    <w:p>
      <w:pPr>
        <w:pStyle w:val="Para 17"/>
      </w:pPr>
      <w:r>
        <w:t/>
      </w:r>
    </w:p>
    <w:p>
      <w:pPr>
        <w:pStyle w:val="Normal"/>
      </w:pPr>
      <w:r>
        <w:t>dpkg is a package manager for Debian-based systems. It can install, remove, and build pack-ages, but unlike other package management systems, it cannot automatically download and install packages – or their dependencies.</w:t>
      </w:r>
    </w:p>
    <w:p>
      <w:pPr>
        <w:pStyle w:val="Normal"/>
      </w:pPr>
      <w:r>
        <w:t>APT and Aptitude are newer, and layer additional features on top of dpkg. This section covers using dpkg to manage locally installed packages.</w:t>
      </w:r>
    </w:p>
    <w:p>
      <w:pPr>
        <w:pStyle w:val="Para 17"/>
      </w:pPr>
      <w:r>
        <w:t/>
      </w:r>
    </w:p>
    <w:p>
      <w:pPr>
        <w:pStyle w:val="Para 01"/>
      </w:pPr>
      <w:r>
        <w:t>List packages</w:t>
      </w:r>
    </w:p>
    <w:p>
      <w:pPr>
        <w:pStyle w:val="Para 17"/>
      </w:pPr>
      <w:r>
        <w:t/>
      </w:r>
    </w:p>
    <w:p>
      <w:pPr>
        <w:pStyle w:val="Normal"/>
      </w:pPr>
      <w:r>
        <w:t xml:space="preserve">To list </w:t>
      </w:r>
      <w:r>
        <w:rPr>
          <w:rStyle w:val="Text3"/>
        </w:rPr>
        <w:t>all</w:t>
      </w:r>
      <w:r>
        <w:t xml:space="preserve"> packages in the system’s package database (both installed and uninstalled) run the following command from a terminal prompt:</w:t>
      </w:r>
    </w:p>
    <w:p>
      <w:pPr>
        <w:pStyle w:val="Normal"/>
      </w:pPr>
      <w:r>
        <w:t>dpkg -l</w:t>
      </w:r>
    </w:p>
    <w:p>
      <w:pPr>
        <w:pStyle w:val="Para 17"/>
      </w:pPr>
      <w:r>
        <w:t/>
      </w:r>
    </w:p>
    <w:p>
      <w:pPr>
        <w:pStyle w:val="Normal"/>
      </w:pPr>
      <w:r>
        <w:t>Depending on the number of packages on your system, this can generate a large amount of output. Pipe the output through grep to see if a specific package is installed:</w:t>
      </w:r>
    </w:p>
    <w:p>
      <w:pPr>
        <w:pStyle w:val="Normal"/>
      </w:pPr>
      <w:r>
        <w:t>dpkg -l | grep apache2</w:t>
      </w:r>
    </w:p>
    <w:p>
      <w:pPr>
        <w:pStyle w:val="Para 17"/>
      </w:pPr>
      <w:r>
        <w:t/>
      </w:r>
    </w:p>
    <w:p>
      <w:pPr>
        <w:pStyle w:val="Normal"/>
      </w:pPr>
      <w:r>
        <w:t>Replace apache2 with any package name, part of a package name, or a regular expression.</w:t>
      </w:r>
    </w:p>
    <w:p>
      <w:pPr>
        <w:pStyle w:val="Para 17"/>
      </w:pPr>
      <w:r>
        <w:t/>
      </w:r>
    </w:p>
    <w:p>
      <w:pPr>
        <w:pStyle w:val="Para 01"/>
      </w:pPr>
      <w:r>
        <w:t>List files</w:t>
      </w:r>
    </w:p>
    <w:p>
      <w:pPr>
        <w:pStyle w:val="Para 17"/>
      </w:pPr>
      <w:r>
        <w:t/>
      </w:r>
    </w:p>
    <w:p>
      <w:pPr>
        <w:pStyle w:val="Normal"/>
      </w:pPr>
      <w:r>
        <w:t>To list the files installed by a package, in this case the ufw package, enter:</w:t>
      </w:r>
    </w:p>
    <w:p>
      <w:pPr>
        <w:pStyle w:val="Normal"/>
      </w:pPr>
      <w:r>
        <w:t>dpkg -L ufw</w:t>
      </w:r>
    </w:p>
    <w:p>
      <w:pPr>
        <w:pStyle w:val="Para 17"/>
      </w:pPr>
      <w:r>
        <w:t/>
      </w:r>
    </w:p>
    <w:p>
      <w:pPr>
        <w:pStyle w:val="Normal"/>
      </w:pPr>
      <w:r>
        <w:t>If you are unsure which package installed a file, dpkg -S may be able to tell you. For example:</w:t>
      </w:r>
    </w:p>
    <w:p>
      <w:pPr>
        <w:pStyle w:val="Normal"/>
      </w:pPr>
      <w:r>
        <w:t>dpkg -S /etc/host.conf</w:t>
      </w:r>
    </w:p>
    <w:p>
      <w:pPr>
        <w:pStyle w:val="Normal"/>
      </w:pPr>
      <w:r>
        <w:t>base-files: /etc/host.conf</w:t>
      </w:r>
    </w:p>
    <w:p>
      <w:pPr>
        <w:pStyle w:val="Para 03"/>
      </w:pPr>
      <w:r>
        <w:rPr>
          <w:rStyle w:val="Text5"/>
        </w:rPr>
        <w:t>281</w:t>
      </w:r>
      <w:r>
        <w:t xml:space="preserve"> </w:t>
      </w:r>
      <w:r>
        <w:rPr>
          <w:rStyle w:val="Text6"/>
        </w:rPr>
        <w:t>https://manpages.ubuntu.com/manpages/resolute/man8/aptitude-curses.8.html</w:t>
      </w:r>
      <w:r>
        <w:t xml:space="preserve"> The output shows that the /etc/host.conf belongs to the base-files package.</w:t>
      </w:r>
    </w:p>
    <w:p>
      <w:bookmarkStart w:id="489" w:name="page_3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2" name="index-345_1.png" descr="index-345_1.png"/>
            <wp:cNvGraphicFramePr>
              <a:graphicFrameLocks noChangeAspect="1"/>
            </wp:cNvGraphicFramePr>
            <a:graphic>
              <a:graphicData uri="http://schemas.openxmlformats.org/drawingml/2006/picture">
                <pic:pic>
                  <pic:nvPicPr>
                    <pic:cNvPr id="0" name="index-345_1.png" descr="index-345_1.png"/>
                    <pic:cNvPicPr/>
                  </pic:nvPicPr>
                  <pic:blipFill>
                    <a:blip r:embed="rId356"/>
                    <a:stretch>
                      <a:fillRect/>
                    </a:stretch>
                  </pic:blipFill>
                  <pic:spPr>
                    <a:xfrm>
                      <a:off x="0" y="0"/>
                      <a:ext cx="914400" cy="266700"/>
                    </a:xfrm>
                    <a:prstGeom prst="rect">
                      <a:avLst/>
                    </a:prstGeom>
                  </pic:spPr>
                </pic:pic>
              </a:graphicData>
            </a:graphic>
          </wp:anchor>
        </w:drawing>
      </w:r>
      <w:bookmarkEnd w:id="489"/>
    </w:p>
    <w:p>
      <w:pPr>
        <w:pStyle w:val="Para 08"/>
      </w:pPr>
      <w:r>
        <w:t>Note:</w:t>
      </w:r>
    </w:p>
    <w:p>
      <w:pPr>
        <w:pStyle w:val="Para 03"/>
      </w:pPr>
      <w:r>
        <w:t>Many files are automatically generated during the package install process, and even</w:t>
      </w:r>
    </w:p>
    <w:p>
      <w:pPr>
        <w:pStyle w:val="Para 03"/>
      </w:pPr>
      <w:r>
        <w:t xml:space="preserve">though they are on the </w:t>
      </w:r>
      <w:hyperlink w:anchor="page_682">
        <w:r>
          <w:rPr>
            <w:rStyle w:val="Text2"/>
          </w:rPr>
          <w:t>filesystem</w:t>
        </w:r>
      </w:hyperlink>
      <w:r>
        <w:t>, dpkg -S may not know which package they belong to.</w:t>
      </w:r>
    </w:p>
    <w:p>
      <w:pPr>
        <w:pStyle w:val="Para 17"/>
      </w:pPr>
      <w:r>
        <w:t/>
      </w:r>
    </w:p>
    <w:p>
      <w:pPr>
        <w:pStyle w:val="Para 01"/>
      </w:pPr>
      <w:r>
        <w:t>Installing a deb file</w:t>
      </w:r>
    </w:p>
    <w:p>
      <w:pPr>
        <w:pStyle w:val="Para 17"/>
      </w:pPr>
      <w:r>
        <w:t/>
      </w:r>
    </w:p>
    <w:p>
      <w:pPr>
        <w:pStyle w:val="Normal"/>
      </w:pPr>
      <w:r>
        <w:t>You can install a local .deb file by entering:</w:t>
      </w:r>
    </w:p>
    <w:p>
      <w:pPr>
        <w:pStyle w:val="Normal"/>
      </w:pPr>
      <w:r>
        <w:t>sudo dpkg -i zip_3.0-4_amd64.deb</w:t>
      </w:r>
    </w:p>
    <w:p>
      <w:pPr>
        <w:pStyle w:val="Para 17"/>
      </w:pPr>
      <w:r>
        <w:t/>
      </w:r>
    </w:p>
    <w:p>
      <w:pPr>
        <w:pStyle w:val="Normal"/>
      </w:pPr>
      <w:r>
        <w:t>Change zip_3.0-4_amd64.deb to the actual file name of the local .deb file you wish to install.</w:t>
      </w:r>
    </w:p>
    <w:p>
      <w:pPr>
        <w:pStyle w:val="Para 17"/>
      </w:pPr>
      <w:r>
        <w:t/>
      </w:r>
    </w:p>
    <w:p>
      <w:pPr>
        <w:pStyle w:val="Para 01"/>
      </w:pPr>
      <w:r>
        <w:t>Uninstalling packages</w:t>
      </w:r>
    </w:p>
    <w:p>
      <w:pPr>
        <w:pStyle w:val="Para 17"/>
      </w:pPr>
      <w:r>
        <w:t/>
      </w:r>
    </w:p>
    <w:p>
      <w:pPr>
        <w:pStyle w:val="Normal"/>
      </w:pPr>
      <w:r>
        <w:t>You can uninstall a package by running:</w:t>
      </w:r>
    </w:p>
    <w:p>
      <w:pPr>
        <w:pStyle w:val="Normal"/>
      </w:pPr>
      <w:r>
        <w:t>sudo dpkg -r zip</w:t>
      </w:r>
    </w:p>
    <w:p>
      <w:pPr>
        <w:pStyle w:val="Para 17"/>
      </w:pPr>
      <w:r>
        <w:t/>
      </w:r>
    </w:p>
    <w:p>
      <w:pPr>
        <w:pStyle w:val="Para 08"/>
      </w:pPr>
      <w:r>
        <w:t>Caution:</w:t>
      </w:r>
    </w:p>
    <w:p>
      <w:pPr>
        <w:pStyle w:val="Para 03"/>
      </w:pPr>
      <w:r>
        <w:t xml:space="preserve">Uninstalling packages using dpkg, is </w:t>
      </w:r>
      <w:r>
        <w:rPr>
          <w:rStyle w:val="Text0"/>
        </w:rPr>
        <w:t>NOT</w:t>
      </w:r>
      <w:r>
        <w:t xml:space="preserve"> recommended in most cases. It is better to use a</w:t>
      </w:r>
    </w:p>
    <w:p>
      <w:pPr>
        <w:pStyle w:val="Para 03"/>
      </w:pPr>
      <w:r>
        <w:t>package manager that handles dependencies to ensure that the system is left in a consis-</w:t>
      </w:r>
    </w:p>
    <w:p>
      <w:pPr>
        <w:pStyle w:val="Para 03"/>
      </w:pPr>
      <w:r>
        <w:t>tent state. For example, using dpkg -r zip will remove the zip package, but any packages</w:t>
      </w:r>
    </w:p>
    <w:p>
      <w:pPr>
        <w:pStyle w:val="Para 03"/>
      </w:pPr>
      <w:r>
        <w:t>that depend on it will still be installed and may no longer function correctly as a result.</w:t>
      </w:r>
    </w:p>
    <w:p>
      <w:pPr>
        <w:pStyle w:val="Para 17"/>
      </w:pPr>
      <w:r>
        <w:t/>
      </w:r>
    </w:p>
    <w:p>
      <w:pPr>
        <w:pStyle w:val="Normal"/>
      </w:pPr>
      <w:r>
        <w:t xml:space="preserve">For more </w:t>
      </w:r>
      <w:hyperlink w:anchor="page_345">
        <w:r>
          <w:rPr>
            <w:rStyle w:val="Text9"/>
          </w:rPr>
          <w:t>282</w:t>
        </w:r>
      </w:hyperlink>
      <w:r>
        <w:t xml:space="preserve"> dpkg options see the </w:t>
      </w:r>
      <w:hyperlink r:id="rId1056">
        <w:r>
          <w:rPr>
            <w:rStyle w:val="Text2"/>
          </w:rPr>
          <w:t>dpkg(1)</w:t>
        </w:r>
      </w:hyperlink>
      <w:r>
        <w:t xml:space="preserve"> manual page: man dpkg.</w:t>
      </w:r>
    </w:p>
    <w:p>
      <w:pPr>
        <w:pStyle w:val="Para 17"/>
      </w:pPr>
      <w:r>
        <w:t/>
      </w:r>
    </w:p>
    <w:p>
      <w:pPr>
        <w:pStyle w:val="Para 01"/>
      </w:pPr>
      <w:r>
        <w:t>APT configuration</w:t>
      </w:r>
    </w:p>
    <w:p>
      <w:pPr>
        <w:pStyle w:val="Para 17"/>
      </w:pPr>
      <w:r>
        <w:t/>
      </w:r>
    </w:p>
    <w:p>
      <w:pPr>
        <w:pStyle w:val="Normal"/>
      </w:pPr>
      <w:r>
        <w:t>Configuration of the APT system repositories is stored in the /etc/apt/sources.list.d direc-tory. The Ubuntu repositories are stored in /etc/apt/sources.list.d/ubuntu.sources. You can edit this file to enable and disable repositories.</w:t>
      </w:r>
    </w:p>
    <w:p>
      <w:pPr>
        <w:pStyle w:val="Para 17"/>
      </w:pPr>
      <w:r>
        <w:t/>
      </w:r>
    </w:p>
    <w:p>
      <w:pPr>
        <w:pStyle w:val="Para 01"/>
      </w:pPr>
      <w:r>
        <w:t>Automatic updates</w:t>
      </w:r>
    </w:p>
    <w:p>
      <w:pPr>
        <w:pStyle w:val="Para 17"/>
      </w:pPr>
      <w:r>
        <w:t/>
      </w:r>
    </w:p>
    <w:p>
      <w:pPr>
        <w:pStyle w:val="Normal"/>
      </w:pPr>
      <w:r>
        <w:t>It’s possible to setup an Ubuntu system with Automatic Updates, such that certain types of upgrades are applied automatically. In fact, the default for Ubuntu Server is to automatically</w:t>
      </w:r>
    </w:p>
    <w:p>
      <w:pPr>
        <w:pStyle w:val="Normal"/>
      </w:pPr>
      <w:r>
        <w:t xml:space="preserve">apply security updates. Please see the </w:t>
      </w:r>
      <w:hyperlink w:anchor="page_347">
        <w:r>
          <w:rPr>
            <w:rStyle w:val="Text2"/>
          </w:rPr>
          <w:t>Automatic updates</w:t>
        </w:r>
      </w:hyperlink>
      <w:r>
        <w:t xml:space="preserve"> (page 346) section for details.</w:t>
      </w:r>
    </w:p>
    <w:p>
      <w:pPr>
        <w:pStyle w:val="Para 05"/>
      </w:pPr>
      <w:r>
        <w:rPr>
          <w:rStyle w:val="Text5"/>
        </w:rPr>
        <w:t>282</w:t>
      </w:r>
      <w:r>
        <w:rPr>
          <w:rStyle w:val="Text8"/>
        </w:rPr>
        <w:t xml:space="preserve"> </w:t>
      </w:r>
      <w:r>
        <w:t>https://manpages.ubuntu.com/manpages/resolute/man1/dpkg.1.html</w:t>
      </w:r>
      <w:r>
        <w:rPr>
          <w:rStyle w:val="Text8"/>
        </w:rPr>
        <w:t xml:space="preserve"> </w:t>
      </w:r>
      <w:r>
        <w:rPr>
          <w:rStyle w:val="Text11"/>
        </w:rPr>
        <w:t>Extra repositories</w:t>
      </w:r>
    </w:p>
    <w:p>
      <w:bookmarkStart w:id="490" w:name="page_3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3" name="index-346_1.png" descr="index-346_1.png"/>
            <wp:cNvGraphicFramePr>
              <a:graphicFrameLocks noChangeAspect="1"/>
            </wp:cNvGraphicFramePr>
            <a:graphic>
              <a:graphicData uri="http://schemas.openxmlformats.org/drawingml/2006/picture">
                <pic:pic>
                  <pic:nvPicPr>
                    <pic:cNvPr id="0" name="index-346_1.png" descr="index-346_1.png"/>
                    <pic:cNvPicPr/>
                  </pic:nvPicPr>
                  <pic:blipFill>
                    <a:blip r:embed="rId357"/>
                    <a:stretch>
                      <a:fillRect/>
                    </a:stretch>
                  </pic:blipFill>
                  <pic:spPr>
                    <a:xfrm>
                      <a:off x="0" y="0"/>
                      <a:ext cx="914400" cy="266700"/>
                    </a:xfrm>
                    <a:prstGeom prst="rect">
                      <a:avLst/>
                    </a:prstGeom>
                  </pic:spPr>
                </pic:pic>
              </a:graphicData>
            </a:graphic>
          </wp:anchor>
        </w:drawing>
      </w:r>
      <w:bookmarkEnd w:id="490"/>
    </w:p>
    <w:p>
      <w:pPr>
        <w:pStyle w:val="Para 17"/>
      </w:pPr>
      <w:r>
        <w:t/>
      </w:r>
    </w:p>
    <w:p>
      <w:pPr>
        <w:pStyle w:val="Normal"/>
      </w:pPr>
      <w:r>
        <w:t xml:space="preserve">In addition to the officially-supported package repositories available for Ubuntu, there are also community-maintained repositories which add thousands more packages for potential installation. Two of the most popular are the </w:t>
      </w:r>
      <w:r>
        <w:rPr>
          <w:rStyle w:val="Text3"/>
        </w:rPr>
        <w:t>Universe</w:t>
      </w:r>
      <w:r>
        <w:t xml:space="preserve"> and </w:t>
      </w:r>
      <w:r>
        <w:rPr>
          <w:rStyle w:val="Text3"/>
        </w:rPr>
        <w:t>Multiverse</w:t>
      </w:r>
      <w:r>
        <w:t xml:space="preserve"> repositories. These repositories are not officially supported by Ubuntu, but because they are maintained by the community they generally provide packages which are safe for use with your Ubuntu com-puter.</w:t>
      </w:r>
    </w:p>
    <w:p>
      <w:pPr>
        <w:pStyle w:val="Normal"/>
      </w:pPr>
      <w:r>
        <w:t xml:space="preserve">For more information, see our guide on </w:t>
      </w:r>
      <w:hyperlink w:anchor="page_839">
        <w:r>
          <w:rPr>
            <w:rStyle w:val="Text2"/>
          </w:rPr>
          <w:t>using third-party repositories</w:t>
        </w:r>
      </w:hyperlink>
      <w:r>
        <w:t xml:space="preserve"> (page 838).</w:t>
      </w:r>
    </w:p>
    <w:p>
      <w:pPr>
        <w:pStyle w:val="Para 17"/>
      </w:pPr>
      <w:r>
        <w:t/>
      </w:r>
    </w:p>
    <w:p>
      <w:pPr>
        <w:pStyle w:val="Para 08"/>
      </w:pPr>
      <w:r>
        <w:t>Warning:</w:t>
      </w:r>
    </w:p>
    <w:p>
      <w:pPr>
        <w:pStyle w:val="Para 17"/>
      </w:pPr>
      <w:r>
        <w:t/>
      </w:r>
    </w:p>
    <w:p>
      <w:pPr>
        <w:pStyle w:val="Para 03"/>
      </w:pPr>
      <w:r>
        <w:t>Be advised that packages in Universe and Multiverse are not officially supported and do</w:t>
      </w:r>
    </w:p>
    <w:p>
      <w:pPr>
        <w:pStyle w:val="Para 03"/>
      </w:pPr>
      <w:r>
        <w:t xml:space="preserve">not receive security patches, except through Ubuntu Pro’s </w:t>
      </w:r>
      <w:hyperlink r:id="rId1266">
        <w:r>
          <w:rPr>
            <w:rStyle w:val="Text1"/>
          </w:rPr>
          <w:t>Expanded Security Mainte-</w:t>
        </w:r>
      </w:hyperlink>
    </w:p>
    <w:p>
      <w:pPr>
        <w:pStyle w:val="Para 03"/>
      </w:pPr>
      <w:hyperlink r:id="rId1266">
        <w:r>
          <w:rPr>
            <w:rStyle w:val="Text1"/>
          </w:rPr>
          <w:t>nance</w:t>
        </w:r>
      </w:hyperlink>
      <w:hyperlink r:id="rId1266">
        <w:r>
          <w:rPr>
            <w:rStyle w:val="Text9"/>
          </w:rPr>
          <w:t>283</w:t>
        </w:r>
      </w:hyperlink>
      <w:r>
        <w:t xml:space="preserve"> </w:t>
      </w:r>
      <w:hyperlink r:id="rId1058">
        <w:r>
          <w:rPr>
            <w:rStyle w:val="Text9"/>
          </w:rPr>
          <w:t>284</w:t>
        </w:r>
      </w:hyperlink>
      <w:r>
        <w:t xml:space="preserve"> . A subscription to </w:t>
      </w:r>
      <w:hyperlink r:id="rId1058">
        <w:r>
          <w:rPr>
            <w:rStyle w:val="Text1"/>
          </w:rPr>
          <w:t>Ubuntu Pro</w:t>
        </w:r>
      </w:hyperlink>
      <w:r>
        <w:t xml:space="preserve"> is free for personal use on up to five machines.</w:t>
      </w:r>
    </w:p>
    <w:p>
      <w:pPr>
        <w:pStyle w:val="Para 05"/>
      </w:pPr>
      <w:r>
        <w:rPr>
          <w:rStyle w:val="Text5"/>
        </w:rPr>
        <w:t>283</w:t>
      </w:r>
      <w:r>
        <w:rPr>
          <w:rStyle w:val="Text8"/>
        </w:rPr>
        <w:t xml:space="preserve"> </w:t>
      </w:r>
      <w:r>
        <w:t>https://ubuntu.com/security/esm</w:t>
      </w:r>
    </w:p>
    <w:p>
      <w:pPr>
        <w:pStyle w:val="Para 05"/>
      </w:pPr>
      <w:r>
        <w:rPr>
          <w:rStyle w:val="Text5"/>
        </w:rPr>
        <w:t>284</w:t>
      </w:r>
      <w:r>
        <w:rPr>
          <w:rStyle w:val="Text8"/>
        </w:rPr>
        <w:t xml:space="preserve"> </w:t>
      </w:r>
      <w:r>
        <w:t>https://ubuntu.com/pro</w:t>
      </w:r>
    </w:p>
    <w:p>
      <w:pPr>
        <w:pStyle w:val="Para 17"/>
      </w:pPr>
      <w:r>
        <w:t/>
      </w:r>
    </w:p>
    <w:p>
      <w:pPr>
        <w:pStyle w:val="Para 03"/>
      </w:pPr>
      <w:r>
        <w:t xml:space="preserve">Packages in the </w:t>
      </w:r>
      <w:r>
        <w:rPr>
          <w:rStyle w:val="Text3"/>
        </w:rPr>
        <w:t>multiverse</w:t>
      </w:r>
      <w:r>
        <w:t xml:space="preserve"> repository often have licensing issues that prevent them from</w:t>
      </w:r>
    </w:p>
    <w:p>
      <w:pPr>
        <w:pStyle w:val="Para 03"/>
      </w:pPr>
      <w:r>
        <w:t>being distributed with a free operating system, and they may be illegal in your locality.</w:t>
      </w:r>
    </w:p>
    <w:p>
      <w:pPr>
        <w:pStyle w:val="Para 17"/>
      </w:pPr>
      <w:r>
        <w:t/>
      </w:r>
    </w:p>
    <w:p>
      <w:pPr>
        <w:pStyle w:val="Normal"/>
      </w:pPr>
      <w:r>
        <w:t>Many other package sources are available – sometimes even offering only one package, as in the case of packages provided by the developer of a single application. You should always be cautious when using non-standard package sources/repos, however. Research the packages and their origins carefully before performing any installation, as some packages could render your system unstable or non-functional in some respects.</w:t>
      </w:r>
    </w:p>
    <w:p>
      <w:pPr>
        <w:pStyle w:val="Normal"/>
      </w:pPr>
      <w:r>
        <w:t xml:space="preserve">By default, the </w:t>
      </w:r>
      <w:r>
        <w:rPr>
          <w:rStyle w:val="Text3"/>
        </w:rPr>
        <w:t>universe</w:t>
      </w:r>
      <w:r>
        <w:t xml:space="preserve"> and </w:t>
      </w:r>
      <w:r>
        <w:rPr>
          <w:rStyle w:val="Text3"/>
        </w:rPr>
        <w:t>multiverse</w:t>
      </w:r>
      <w:r>
        <w:t xml:space="preserve"> repositories are enabled. If you would like to disable them, edit /etc/apt/sources.list.d/ubuntu.sources and remove universe and multiverse from Components:</w:t>
      </w:r>
    </w:p>
    <w:p>
      <w:pPr>
        <w:pStyle w:val="Normal"/>
      </w:pPr>
      <w:r>
        <w:t>Types: deb</w:t>
      </w:r>
    </w:p>
    <w:p>
      <w:pPr>
        <w:pStyle w:val="Normal"/>
      </w:pPr>
      <w:r>
        <w:t>URIs: http://archive.ubuntu.com/ubuntu</w:t>
      </w:r>
    </w:p>
    <w:p>
      <w:pPr>
        <w:pStyle w:val="Normal"/>
      </w:pPr>
      <w:r>
        <w:t>Suites: DISTRO-SHORT-CODENAME DISTRO-SHORT-CODENAME-updates DISTRO-SHORT-CODENAME-</w:t>
        <w:t>backports</w:t>
      </w:r>
    </w:p>
    <w:p>
      <w:pPr>
        <w:pStyle w:val="Normal"/>
      </w:pPr>
      <w:r>
        <w:t>Components: main universe restricted multiverse</w:t>
      </w:r>
    </w:p>
    <w:p>
      <w:pPr>
        <w:pStyle w:val="Normal"/>
      </w:pPr>
      <w:r>
        <w:t>Signed-By: /usr/share/keyrings/ubuntu-archive-keyring.gpg</w:t>
      </w:r>
    </w:p>
    <w:p>
      <w:bookmarkStart w:id="491" w:name="calibre_pb_72"/>
      <w:pPr>
        <w:pStyle w:val="0 Block"/>
      </w:pPr>
      <w:bookmarkEnd w:id="491"/>
    </w:p>
    <w:p>
      <w:bookmarkStart w:id="492" w:name="page_347"/>
      <w:bookmarkStart w:id="493" w:name="Top_of_index_split_07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4" name="index-347_1.png" descr="index-347_1.png"/>
            <wp:cNvGraphicFramePr>
              <a:graphicFrameLocks noChangeAspect="1"/>
            </wp:cNvGraphicFramePr>
            <a:graphic>
              <a:graphicData uri="http://schemas.openxmlformats.org/drawingml/2006/picture">
                <pic:pic>
                  <pic:nvPicPr>
                    <pic:cNvPr id="0" name="index-347_1.png" descr="index-347_1.png"/>
                    <pic:cNvPicPr/>
                  </pic:nvPicPr>
                  <pic:blipFill>
                    <a:blip r:embed="rId358"/>
                    <a:stretch>
                      <a:fillRect/>
                    </a:stretch>
                  </pic:blipFill>
                  <pic:spPr>
                    <a:xfrm>
                      <a:off x="0" y="0"/>
                      <a:ext cx="914400" cy="266700"/>
                    </a:xfrm>
                    <a:prstGeom prst="rect">
                      <a:avLst/>
                    </a:prstGeom>
                  </pic:spPr>
                </pic:pic>
              </a:graphicData>
            </a:graphic>
          </wp:anchor>
        </w:drawing>
      </w:r>
      <w:bookmarkEnd w:id="492"/>
      <w:bookmarkEnd w:id="493"/>
    </w:p>
    <w:p>
      <w:pPr>
        <w:pStyle w:val="Para 01"/>
      </w:pPr>
      <w:r>
        <w:t>Logging</w:t>
      </w:r>
    </w:p>
    <w:p>
      <w:pPr>
        <w:pStyle w:val="Para 17"/>
      </w:pPr>
      <w:r>
        <w:t/>
      </w:r>
    </w:p>
    <w:p>
      <w:pPr>
        <w:pStyle w:val="Normal"/>
      </w:pPr>
      <w:r>
        <w:t>Actions of the apt command, such as installation and removal of packages, are logged in the /var/log/dpkg.log log file.</w:t>
      </w:r>
    </w:p>
    <w:p>
      <w:pPr>
        <w:pStyle w:val="Para 17"/>
      </w:pPr>
      <w:r>
        <w:t/>
      </w:r>
    </w:p>
    <w:p>
      <w:pPr>
        <w:pStyle w:val="Para 01"/>
      </w:pPr>
      <w:r>
        <w:t>Further reading</w:t>
      </w:r>
    </w:p>
    <w:p>
      <w:pPr>
        <w:pStyle w:val="Para 17"/>
      </w:pPr>
      <w:r>
        <w:t/>
      </w:r>
    </w:p>
    <w:p>
      <w:pPr>
        <w:pStyle w:val="Normal"/>
      </w:pPr>
      <w:r>
        <w:t>Most of the material covered in this chapter is available in the respective man pages, many of which are available online.</w:t>
      </w:r>
    </w:p>
    <w:p>
      <w:pPr>
        <w:pStyle w:val="Para 04"/>
      </w:pPr>
      <w:r>
        <w:t xml:space="preserve">• The </w:t>
      </w:r>
      <w:hyperlink w:anchor="page_347">
        <w:r>
          <w:rPr>
            <w:rStyle w:val="Text9"/>
          </w:rPr>
          <w:t>285</w:t>
        </w:r>
      </w:hyperlink>
      <w:r>
        <w:t xml:space="preserve"> </w:t>
      </w:r>
      <w:hyperlink r:id="rId1267">
        <w:r>
          <w:rPr>
            <w:rStyle w:val="Text1"/>
          </w:rPr>
          <w:t>Installing Software</w:t>
        </w:r>
      </w:hyperlink>
      <w:r>
        <w:t xml:space="preserve"> Ubuntu wiki page has more information.</w:t>
      </w:r>
    </w:p>
    <w:p>
      <w:pPr>
        <w:pStyle w:val="Para 04"/>
      </w:pPr>
      <w:r>
        <w:t xml:space="preserve">• The </w:t>
      </w:r>
      <w:hyperlink r:id="rId1264">
        <w:r>
          <w:rPr>
            <w:rStyle w:val="Text9"/>
          </w:rPr>
          <w:t>286</w:t>
        </w:r>
      </w:hyperlink>
      <w:hyperlink r:id="rId1264">
        <w:r>
          <w:rPr>
            <w:rStyle w:val="Text1"/>
          </w:rPr>
          <w:t xml:space="preserve"> APT User’s Guide</w:t>
        </w:r>
      </w:hyperlink>
      <w:r>
        <w:t xml:space="preserve"> contains useful information regarding APT usage.</w:t>
      </w:r>
    </w:p>
    <w:p>
      <w:pPr>
        <w:pStyle w:val="Para 04"/>
      </w:pPr>
      <w:r>
        <w:t xml:space="preserve">• For more information about systemd timer units (and systemd in general), visit the </w:t>
      </w:r>
      <w:hyperlink r:id="rId1115">
        <w:r>
          <w:rPr>
            <w:rStyle w:val="Text2"/>
          </w:rPr>
          <w:t>sys-</w:t>
        </w:r>
      </w:hyperlink>
    </w:p>
    <w:p>
      <w:pPr>
        <w:pStyle w:val="Para 02"/>
      </w:pPr>
      <w:hyperlink r:id="rId1115">
        <w:r>
          <w:rPr>
            <w:rStyle w:val="Text2"/>
          </w:rPr>
          <w:t>temd(1)</w:t>
        </w:r>
      </w:hyperlink>
      <w:hyperlink w:anchor="page_347">
        <w:r>
          <w:rPr>
            <w:rStyle w:val="Text9"/>
          </w:rPr>
          <w:t>287</w:t>
        </w:r>
      </w:hyperlink>
      <w:r>
        <w:t xml:space="preserve"> </w:t>
      </w:r>
      <w:hyperlink r:id="rId1268">
        <w:r>
          <w:rPr>
            <w:rStyle w:val="Text9"/>
          </w:rPr>
          <w:t>288</w:t>
        </w:r>
      </w:hyperlink>
      <w:r>
        <w:t xml:space="preserve"> manual page and </w:t>
      </w:r>
      <w:hyperlink r:id="rId1268">
        <w:r>
          <w:rPr>
            <w:rStyle w:val="Text2"/>
          </w:rPr>
          <w:t>systemd.timer(5)</w:t>
        </w:r>
      </w:hyperlink>
      <w:r>
        <w:t xml:space="preserve"> manual page</w:t>
      </w:r>
    </w:p>
    <w:p>
      <w:pPr>
        <w:pStyle w:val="Para 04"/>
      </w:pPr>
      <w:r>
        <w:t xml:space="preserve">• See the </w:t>
      </w:r>
      <w:hyperlink w:anchor="page_347">
        <w:r>
          <w:rPr>
            <w:rStyle w:val="Text9"/>
          </w:rPr>
          <w:t>289</w:t>
        </w:r>
      </w:hyperlink>
      <w:r>
        <w:t xml:space="preserve"> </w:t>
      </w:r>
      <w:hyperlink r:id="rId1269">
        <w:r>
          <w:rPr>
            <w:rStyle w:val="Text1"/>
          </w:rPr>
          <w:t>Aptitude user’s manual</w:t>
        </w:r>
      </w:hyperlink>
      <w:r>
        <w:t xml:space="preserve"> for more Aptitude options.</w:t>
      </w:r>
    </w:p>
    <w:p>
      <w:pPr>
        <w:pStyle w:val="Para 13"/>
      </w:pPr>
      <w:r>
        <w:rPr>
          <w:rStyle w:val="Text7"/>
        </w:rPr>
        <w:t xml:space="preserve">• The </w:t>
      </w:r>
      <w:hyperlink w:anchor="page_347">
        <w:r>
          <w:rPr>
            <w:rStyle w:val="Text10"/>
          </w:rPr>
          <w:t>290</w:t>
        </w:r>
      </w:hyperlink>
      <w:r>
        <w:rPr>
          <w:rStyle w:val="Text7"/>
        </w:rPr>
        <w:t xml:space="preserve"> </w:t>
      </w:r>
      <w:hyperlink r:id="rId1270">
        <w:r>
          <w:t>Adding Repositories HOWTO (Ubuntu Wiki)</w:t>
        </w:r>
      </w:hyperlink>
      <w:r>
        <w:rPr>
          <w:rStyle w:val="Text7"/>
        </w:rPr>
        <w:t xml:space="preserve"> page contains more details on</w:t>
      </w:r>
    </w:p>
    <w:p>
      <w:pPr>
        <w:pStyle w:val="Para 02"/>
      </w:pPr>
      <w:r>
        <w:t>adding repositories.</w:t>
      </w:r>
    </w:p>
    <w:p>
      <w:pPr>
        <w:pStyle w:val="Para 04"/>
      </w:pPr>
      <w:r>
        <w:t xml:space="preserve">• </w:t>
      </w:r>
      <w:hyperlink w:anchor="page_341">
        <w:r>
          <w:rPr>
            <w:rStyle w:val="Text2"/>
          </w:rPr>
          <w:t>Package management</w:t>
        </w:r>
      </w:hyperlink>
      <w:r>
        <w:t xml:space="preserve"> (page 340) shows you how to manage the software on your sys-</w:t>
      </w:r>
    </w:p>
    <w:p>
      <w:pPr>
        <w:pStyle w:val="Para 02"/>
      </w:pPr>
      <w:r>
        <w:t>tem using APT, dpkg, and other package managers</w:t>
      </w:r>
    </w:p>
    <w:p>
      <w:pPr>
        <w:pStyle w:val="Para 17"/>
      </w:pPr>
      <w:r>
        <w:t/>
      </w:r>
    </w:p>
    <w:p>
      <w:pPr>
        <w:pStyle w:val="Para 01"/>
      </w:pPr>
      <w:r>
        <w:t>Updates</w:t>
      </w:r>
    </w:p>
    <w:p>
      <w:pPr>
        <w:pStyle w:val="Para 17"/>
      </w:pPr>
      <w:r>
        <w:t/>
      </w:r>
    </w:p>
    <w:p>
      <w:pPr>
        <w:pStyle w:val="Para 01"/>
      </w:pPr>
      <w:r>
        <w:t>Automatic updates</w:t>
      </w:r>
    </w:p>
    <w:p>
      <w:pPr>
        <w:pStyle w:val="Para 17"/>
      </w:pPr>
      <w:r>
        <w:t/>
      </w:r>
    </w:p>
    <w:p>
      <w:pPr>
        <w:pStyle w:val="Normal"/>
      </w:pPr>
      <w:r>
        <w:t>Ubuntu will apply security updates automatically, without user interaction. This is done via the unattended-upgrades package, which is installed by default.</w:t>
      </w:r>
    </w:p>
    <w:p>
      <w:pPr>
        <w:pStyle w:val="Normal"/>
      </w:pPr>
      <w:r>
        <w:t>But as the name suggests, it can apply other types of updates, and with interesting options alongside. For example:</w:t>
      </w:r>
    </w:p>
    <w:p>
      <w:pPr>
        <w:pStyle w:val="Para 04"/>
      </w:pPr>
      <w:r>
        <w:t>• It can reboot the system, if an update warrants it.</w:t>
      </w:r>
    </w:p>
    <w:p>
      <w:pPr>
        <w:pStyle w:val="Para 04"/>
      </w:pPr>
      <w:r>
        <w:t>• It can apply other types of updates, not just security.</w:t>
      </w:r>
    </w:p>
    <w:p>
      <w:pPr>
        <w:pStyle w:val="Para 04"/>
      </w:pPr>
      <w:r>
        <w:t>• It can block certain updates from ever being applied automatically.</w:t>
      </w:r>
    </w:p>
    <w:p>
      <w:pPr>
        <w:pStyle w:val="Normal"/>
      </w:pPr>
      <w:r>
        <w:t>And more. Let’s explore some of these options.</w:t>
      </w:r>
    </w:p>
    <w:p>
      <w:pPr>
        <w:pStyle w:val="Para 08"/>
      </w:pPr>
      <w:r>
        <w:t>Important:</w:t>
      </w:r>
    </w:p>
    <w:p>
      <w:pPr>
        <w:pStyle w:val="Para 17"/>
      </w:pPr>
      <w:r>
        <w:t/>
      </w:r>
    </w:p>
    <w:p>
      <w:pPr>
        <w:pStyle w:val="Para 03"/>
      </w:pPr>
      <w:r>
        <w:t>Just adding another package repository to an Ubuntu system WILL NOT make unattended-</w:t>
      </w:r>
    </w:p>
    <w:p>
      <w:pPr>
        <w:pStyle w:val="Para 03"/>
      </w:pPr>
      <w:r>
        <w:t xml:space="preserve">upgrades consider it for updates! This is explained in </w:t>
      </w:r>
      <w:hyperlink w:anchor="page_349">
        <w:r>
          <w:rPr>
            <w:rStyle w:val="Text2"/>
          </w:rPr>
          <w:t>where to pick updates from</w:t>
        </w:r>
      </w:hyperlink>
      <w:r>
        <w:t xml:space="preserve"> (page 348)</w:t>
      </w:r>
    </w:p>
    <w:p>
      <w:pPr>
        <w:pStyle w:val="Para 03"/>
      </w:pPr>
      <w:r>
        <w:t>later in this document.</w:t>
      </w:r>
    </w:p>
    <w:p>
      <w:pPr>
        <w:pStyle w:val="Para 17"/>
      </w:pPr>
      <w:r>
        <w:t/>
      </w:r>
    </w:p>
    <w:p>
      <w:pPr>
        <w:pStyle w:val="Para 05"/>
      </w:pPr>
      <w:r>
        <w:rPr>
          <w:rStyle w:val="Text5"/>
        </w:rPr>
        <w:t>285</w:t>
      </w:r>
      <w:r>
        <w:rPr>
          <w:rStyle w:val="Text8"/>
        </w:rPr>
        <w:t xml:space="preserve"> </w:t>
      </w:r>
      <w:r>
        <w:t>https://help.ubuntu.com/community/InstallingSoftware</w:t>
      </w:r>
    </w:p>
    <w:p>
      <w:pPr>
        <w:pStyle w:val="Para 05"/>
      </w:pPr>
      <w:r>
        <w:rPr>
          <w:rStyle w:val="Text5"/>
        </w:rPr>
        <w:t>286</w:t>
      </w:r>
      <w:r>
        <w:rPr>
          <w:rStyle w:val="Text8"/>
        </w:rPr>
        <w:t xml:space="preserve"> </w:t>
      </w:r>
      <w:r>
        <w:t>https://www.debian.org/doc/user-manuals#apt-guide</w:t>
      </w:r>
    </w:p>
    <w:p>
      <w:pPr>
        <w:pStyle w:val="Para 05"/>
      </w:pPr>
      <w:r>
        <w:rPr>
          <w:rStyle w:val="Text5"/>
        </w:rPr>
        <w:t>287</w:t>
      </w:r>
      <w:r>
        <w:rPr>
          <w:rStyle w:val="Text8"/>
        </w:rPr>
        <w:t xml:space="preserve"> </w:t>
      </w:r>
      <w:r>
        <w:t>https://manpages.ubuntu.com/manpages/resolute/man1/systemd.1.html</w:t>
      </w:r>
    </w:p>
    <w:p>
      <w:pPr>
        <w:pStyle w:val="Para 05"/>
      </w:pPr>
      <w:r>
        <w:rPr>
          <w:rStyle w:val="Text5"/>
        </w:rPr>
        <w:t>288</w:t>
      </w:r>
      <w:r>
        <w:rPr>
          <w:rStyle w:val="Text8"/>
        </w:rPr>
        <w:t xml:space="preserve"> </w:t>
      </w:r>
      <w:r>
        <w:t>https://manpages.ubuntu.com/manpages/resolute/man5/systemd.timer.5.html</w:t>
      </w:r>
    </w:p>
    <w:p>
      <w:pPr>
        <w:pStyle w:val="Para 05"/>
      </w:pPr>
      <w:r>
        <w:rPr>
          <w:rStyle w:val="Text5"/>
        </w:rPr>
        <w:t>289</w:t>
      </w:r>
      <w:r>
        <w:rPr>
          <w:rStyle w:val="Text8"/>
        </w:rPr>
        <w:t xml:space="preserve"> </w:t>
      </w:r>
      <w:r>
        <w:t>https://www.debian.org/doc/user-manuals#aptitude</w:t>
      </w:r>
    </w:p>
    <w:p>
      <w:pPr>
        <w:pStyle w:val="Para 05"/>
      </w:pPr>
      <w:r>
        <w:rPr>
          <w:rStyle w:val="Text5"/>
        </w:rPr>
        <w:t>290</w:t>
      </w:r>
      <w:r>
        <w:rPr>
          <w:rStyle w:val="Text8"/>
        </w:rPr>
        <w:t xml:space="preserve"> </w:t>
      </w:r>
      <w:r>
        <w:t>https://help.ubuntu.com/community/Repositories/Ubuntu</w:t>
      </w:r>
      <w:r>
        <w:rPr>
          <w:rStyle w:val="Text8"/>
        </w:rPr>
        <w:t xml:space="preserve"> </w:t>
      </w:r>
      <w:r>
        <w:rPr>
          <w:rStyle w:val="Text11"/>
        </w:rPr>
        <w:t>Configuration layout</w:t>
      </w:r>
    </w:p>
    <w:p>
      <w:bookmarkStart w:id="494" w:name="page_3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5" name="index-348_1.png" descr="index-348_1.png"/>
            <wp:cNvGraphicFramePr>
              <a:graphicFrameLocks noChangeAspect="1"/>
            </wp:cNvGraphicFramePr>
            <a:graphic>
              <a:graphicData uri="http://schemas.openxmlformats.org/drawingml/2006/picture">
                <pic:pic>
                  <pic:nvPicPr>
                    <pic:cNvPr id="0" name="index-348_1.png" descr="index-348_1.png"/>
                    <pic:cNvPicPr/>
                  </pic:nvPicPr>
                  <pic:blipFill>
                    <a:blip r:embed="rId359"/>
                    <a:stretch>
                      <a:fillRect/>
                    </a:stretch>
                  </pic:blipFill>
                  <pic:spPr>
                    <a:xfrm>
                      <a:off x="0" y="0"/>
                      <a:ext cx="914400" cy="266700"/>
                    </a:xfrm>
                    <a:prstGeom prst="rect">
                      <a:avLst/>
                    </a:prstGeom>
                  </pic:spPr>
                </pic:pic>
              </a:graphicData>
            </a:graphic>
          </wp:anchor>
        </w:drawing>
      </w:r>
      <w:bookmarkEnd w:id="494"/>
    </w:p>
    <w:p>
      <w:pPr>
        <w:pStyle w:val="Para 17"/>
      </w:pPr>
      <w:r>
        <w:t/>
      </w:r>
    </w:p>
    <w:p>
      <w:pPr>
        <w:pStyle w:val="Normal"/>
      </w:pPr>
      <w:r>
        <w:t>If for some reason the package is not present, it can be installed with the following command:</w:t>
      </w:r>
    </w:p>
    <w:p>
      <w:pPr>
        <w:pStyle w:val="Normal"/>
      </w:pPr>
      <w:r>
        <w:t>sudo apt install unattended-upgrades</w:t>
      </w:r>
    </w:p>
    <w:p>
      <w:pPr>
        <w:pStyle w:val="Para 17"/>
      </w:pPr>
      <w:r>
        <w:t/>
      </w:r>
    </w:p>
    <w:p>
      <w:pPr>
        <w:pStyle w:val="Normal"/>
      </w:pPr>
      <w:r>
        <w:t>Important files and directories:</w:t>
      </w:r>
    </w:p>
    <w:p>
      <w:pPr>
        <w:pStyle w:val="Para 04"/>
      </w:pPr>
      <w:r>
        <w:t>• /etc/apt/apt.conf.d/50unattended-upgrades: This file contains the options that con-</w:t>
      </w:r>
    </w:p>
    <w:p>
      <w:pPr>
        <w:pStyle w:val="Para 02"/>
      </w:pPr>
      <w:r>
        <w:t>trol the behavior of the tool, such as if a reboot should be scheduled or not, or which packages are blocked from being upgraded.</w:t>
      </w:r>
    </w:p>
    <w:p>
      <w:pPr>
        <w:pStyle w:val="Para 04"/>
      </w:pPr>
      <w:r>
        <w:t>• /etc/apt/apt.conf.d/20auto-upgrades: This file is used to control whether the unat-</w:t>
      </w:r>
    </w:p>
    <w:p>
      <w:pPr>
        <w:pStyle w:val="Para 02"/>
      </w:pPr>
      <w:r>
        <w:t>tended upgrade should be enabled or not, and how often it should run.</w:t>
      </w:r>
    </w:p>
    <w:p>
      <w:pPr>
        <w:pStyle w:val="Para 04"/>
      </w:pPr>
      <w:r>
        <w:t>• /var/log/unattended-upgrades: This directory contains detailed logs of each unat-</w:t>
      </w:r>
    </w:p>
    <w:p>
      <w:pPr>
        <w:pStyle w:val="Para 02"/>
      </w:pPr>
      <w:r>
        <w:t>tended upgrade run.</w:t>
      </w:r>
    </w:p>
    <w:p>
      <w:pPr>
        <w:pStyle w:val="Normal"/>
      </w:pPr>
      <w:r>
        <w:t>Right after installation, automatic installation of security updates will be enabled, includ-</w:t>
      </w:r>
    </w:p>
    <w:p>
      <w:pPr>
        <w:pStyle w:val="Normal"/>
      </w:pPr>
      <w:r>
        <w:t xml:space="preserve">ing </w:t>
      </w:r>
      <w:hyperlink r:id="rId1266">
        <w:r>
          <w:rPr>
            <w:rStyle w:val="Text9"/>
          </w:rPr>
          <w:t>291</w:t>
        </w:r>
      </w:hyperlink>
      <w:hyperlink r:id="rId1266">
        <w:r>
          <w:rPr>
            <w:rStyle w:val="Text1"/>
          </w:rPr>
          <w:t xml:space="preserve"> Expanded Security Maintenance (ESM)</w:t>
        </w:r>
      </w:hyperlink>
      <w:r>
        <w:t xml:space="preserve"> if that is available on the system. By default, unattended-upgrades runs once per day.</w:t>
      </w:r>
    </w:p>
    <w:p>
      <w:pPr>
        <w:pStyle w:val="Para 17"/>
      </w:pPr>
      <w:r>
        <w:t/>
      </w:r>
    </w:p>
    <w:p>
      <w:pPr>
        <w:pStyle w:val="Para 01"/>
      </w:pPr>
      <w:r>
        <w:t>Enabling and disabling unattended upgrades</w:t>
      </w:r>
    </w:p>
    <w:p>
      <w:pPr>
        <w:pStyle w:val="Para 17"/>
      </w:pPr>
      <w:r>
        <w:t/>
      </w:r>
    </w:p>
    <w:p>
      <w:pPr>
        <w:pStyle w:val="Normal"/>
      </w:pPr>
      <w:r>
        <w:t xml:space="preserve">Unattended upgrades performs the equivalent of apt update and apt upgrade (see </w:t>
      </w:r>
      <w:hyperlink w:anchor="page_342">
        <w:r>
          <w:rPr>
            <w:rStyle w:val="Text2"/>
          </w:rPr>
          <w:t>Upgrading</w:t>
        </w:r>
      </w:hyperlink>
    </w:p>
    <w:p>
      <w:pPr>
        <w:pStyle w:val="Normal"/>
      </w:pPr>
      <w:hyperlink w:anchor="page_342">
        <w:r>
          <w:rPr>
            <w:rStyle w:val="Text2"/>
          </w:rPr>
          <w:t>packages</w:t>
        </w:r>
      </w:hyperlink>
      <w:r>
        <w:t xml:space="preserve"> (page 341) for details on these commands). First, it refreshes the package lists, to become aware of the new state of the package repositories. Then it checks which upgrades are available and applies them.</w:t>
      </w:r>
    </w:p>
    <w:p>
      <w:pPr>
        <w:pStyle w:val="Normal"/>
      </w:pPr>
      <w:r>
        <w:t>These two steps are controlled via the Update-Package-Lists and Unattended-Upgrade op-tions in /etc/apt/apt.conf.d/20auto-upgrades:</w:t>
      </w:r>
    </w:p>
    <w:p>
      <w:pPr>
        <w:pStyle w:val="Normal"/>
      </w:pPr>
      <w:r>
        <w:t>APT::Periodic::Update-Package-Lists "1";</w:t>
      </w:r>
    </w:p>
    <w:p>
      <w:pPr>
        <w:pStyle w:val="Normal"/>
      </w:pPr>
      <w:r>
        <w:t>APT::Periodic::Unattended-Upgrade "1";</w:t>
      </w:r>
    </w:p>
    <w:p>
      <w:pPr>
        <w:pStyle w:val="Para 17"/>
      </w:pPr>
      <w:r>
        <w:t/>
      </w:r>
    </w:p>
    <w:p>
      <w:pPr>
        <w:pStyle w:val="Normal"/>
      </w:pPr>
      <w:r>
        <w:t>Each option accepts a time-based value, representing the number of days. A value of 0 dis-ables the action. The default value, 1, executes the action daily. A value of 2 executes it every two days, and so forth.</w:t>
      </w:r>
    </w:p>
    <w:p>
      <w:pPr>
        <w:pStyle w:val="Normal"/>
      </w:pPr>
      <w:r>
        <w:t>Therefore, to disable unattended upgrades, set these options to zero:</w:t>
      </w:r>
    </w:p>
    <w:p>
      <w:pPr>
        <w:pStyle w:val="Normal"/>
      </w:pPr>
      <w:r>
        <w:t>APT::Periodic::Update-Package-Lists "0";</w:t>
      </w:r>
    </w:p>
    <w:p>
      <w:pPr>
        <w:pStyle w:val="Normal"/>
      </w:pPr>
      <w:r>
        <w:t>APT::Periodic::Unattended-Upgrade "0";</w:t>
      </w:r>
    </w:p>
    <w:p>
      <w:pPr>
        <w:pStyle w:val="Para 17"/>
      </w:pPr>
      <w:r>
        <w:t/>
      </w:r>
    </w:p>
    <w:p>
      <w:pPr>
        <w:pStyle w:val="Normal"/>
      </w:pPr>
      <w:r>
        <w:t>Systemd timer units, apt-daily.timer and apt-daily-upgrade.timer, trigger these actions at a scheduled time with a random delay. These timers activate services that execute the /usr/lib/apt/apt.systemd.daily script.</w:t>
      </w:r>
    </w:p>
    <w:p>
      <w:pPr>
        <w:pStyle w:val="Normal"/>
      </w:pPr>
      <w:r>
        <w:t>However, it may happen that if the machine is off at the time the timer unit elapses, the timer may be triggered immediately at the next startup (still subject to the RandomizedDelaySec value). As a result, unattended-upgrades may often run on system startup and thereby cause immediate activity and prevent other package operations from taking place at that time. For example, if another package has to be installed, it would have to wait until the upgrades are completed.</w:t>
      </w:r>
    </w:p>
    <w:p>
      <w:pPr>
        <w:pStyle w:val="Para 03"/>
      </w:pPr>
      <w:r>
        <w:rPr>
          <w:rStyle w:val="Text5"/>
        </w:rPr>
        <w:t>291</w:t>
      </w:r>
      <w:r>
        <w:t xml:space="preserve"> </w:t>
      </w:r>
      <w:r>
        <w:rPr>
          <w:rStyle w:val="Text6"/>
        </w:rPr>
        <w:t>https://ubuntu.com/security/esm</w:t>
      </w:r>
      <w:r>
        <w:t xml:space="preserve"> In many cases this is beneficial, but in some cases it might be counter-productive; examples are administrators with many shut-down machines or VM images that are only started for some quick action, which is delayed or even blocked by the unattended upgrades. To change this behavior, we can change/override the configuration of both APT’s timer units apt-daily-upgrade.timer and apt-daily.timer. To do so, use systemctl edit &lt;timer_unit&gt; and override the </w:t>
      </w:r>
      <w:r>
        <w:rPr>
          <w:rStyle w:val="Text3"/>
        </w:rPr>
        <w:t>Persistent</w:t>
      </w:r>
      <w:r>
        <w:t xml:space="preserve"> attribute setting it to </w:t>
      </w:r>
      <w:r>
        <w:rPr>
          <w:rStyle w:val="Text3"/>
        </w:rPr>
        <w:t>false</w:t>
      </w:r>
      <w:r>
        <w:t>:</w:t>
      </w:r>
    </w:p>
    <w:p>
      <w:bookmarkStart w:id="495" w:name="page_3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6" name="index-349_1.png" descr="index-349_1.png"/>
            <wp:cNvGraphicFramePr>
              <a:graphicFrameLocks noChangeAspect="1"/>
            </wp:cNvGraphicFramePr>
            <a:graphic>
              <a:graphicData uri="http://schemas.openxmlformats.org/drawingml/2006/picture">
                <pic:pic>
                  <pic:nvPicPr>
                    <pic:cNvPr id="0" name="index-349_1.png" descr="index-349_1.png"/>
                    <pic:cNvPicPr/>
                  </pic:nvPicPr>
                  <pic:blipFill>
                    <a:blip r:embed="rId360"/>
                    <a:stretch>
                      <a:fillRect/>
                    </a:stretch>
                  </pic:blipFill>
                  <pic:spPr>
                    <a:xfrm>
                      <a:off x="0" y="0"/>
                      <a:ext cx="914400" cy="266700"/>
                    </a:xfrm>
                    <a:prstGeom prst="rect">
                      <a:avLst/>
                    </a:prstGeom>
                  </pic:spPr>
                </pic:pic>
              </a:graphicData>
            </a:graphic>
          </wp:anchor>
        </w:drawing>
      </w:r>
      <w:bookmarkEnd w:id="495"/>
    </w:p>
    <w:p>
      <w:pPr>
        <w:pStyle w:val="Para 01"/>
      </w:pPr>
      <w:r>
        <w:t>[Timer]</w:t>
      </w:r>
    </w:p>
    <w:p>
      <w:pPr>
        <w:pStyle w:val="Normal"/>
      </w:pPr>
      <w:r>
        <w:t>Persistent</w:t>
        <w:t>=</w:t>
        <w:t>false</w:t>
      </w:r>
    </w:p>
    <w:p>
      <w:pPr>
        <w:pStyle w:val="Para 17"/>
      </w:pPr>
      <w:r>
        <w:t/>
      </w:r>
    </w:p>
    <w:p>
      <w:pPr>
        <w:pStyle w:val="Normal"/>
      </w:pPr>
      <w:r>
        <w:t>With this change, the timer will trigger the service only on the next scheduled time. In other words, it won’t catch up to the run it missed while the system was off. See the explanation</w:t>
      </w:r>
    </w:p>
    <w:p>
      <w:pPr>
        <w:pStyle w:val="Normal"/>
      </w:pPr>
      <w:r>
        <w:t xml:space="preserve">for the </w:t>
      </w:r>
      <w:hyperlink r:id="rId1268">
        <w:r>
          <w:rPr>
            <w:rStyle w:val="Text9"/>
          </w:rPr>
          <w:t>292</w:t>
        </w:r>
      </w:hyperlink>
      <w:r>
        <w:t xml:space="preserve"> </w:t>
      </w:r>
      <w:r>
        <w:rPr>
          <w:rStyle w:val="Text3"/>
        </w:rPr>
        <w:t>Persistent</w:t>
      </w:r>
      <w:r>
        <w:t xml:space="preserve"> option in </w:t>
      </w:r>
      <w:hyperlink r:id="rId1268">
        <w:r>
          <w:rPr>
            <w:rStyle w:val="Text2"/>
          </w:rPr>
          <w:t>systemd.timer(5)</w:t>
        </w:r>
      </w:hyperlink>
      <w:r>
        <w:t xml:space="preserve"> manual page for more details.</w:t>
      </w:r>
    </w:p>
    <w:p>
      <w:pPr>
        <w:pStyle w:val="Para 17"/>
      </w:pPr>
      <w:r>
        <w:t/>
      </w:r>
    </w:p>
    <w:p>
      <w:pPr>
        <w:pStyle w:val="Para 01"/>
      </w:pPr>
      <w:r>
        <w:t>Where to pick updates from</w:t>
      </w:r>
    </w:p>
    <w:p>
      <w:pPr>
        <w:pStyle w:val="Para 17"/>
      </w:pPr>
      <w:r>
        <w:t/>
      </w:r>
    </w:p>
    <w:p>
      <w:pPr>
        <w:pStyle w:val="Normal"/>
      </w:pPr>
      <w:r>
        <w:t>In /etc/apt/apt.conf.d/50unattended-upgrades, the Allowed-Origins section specifies</w:t>
      </w:r>
    </w:p>
    <w:p>
      <w:pPr>
        <w:pStyle w:val="Normal"/>
      </w:pPr>
      <w:r>
        <w:t xml:space="preserve">which repositories will be used to gather updates from. See the </w:t>
      </w:r>
      <w:hyperlink r:id="rId1271">
        <w:r>
          <w:rPr>
            <w:rStyle w:val="Text1"/>
          </w:rPr>
          <w:t>Ubuntu Project documenta-</w:t>
        </w:r>
      </w:hyperlink>
    </w:p>
    <w:p>
      <w:pPr>
        <w:pStyle w:val="Normal"/>
      </w:pPr>
      <w:hyperlink r:id="rId1271">
        <w:r>
          <w:rPr>
            <w:rStyle w:val="Text1"/>
          </w:rPr>
          <w:t>tion</w:t>
        </w:r>
      </w:hyperlink>
      <w:hyperlink r:id="rId1271">
        <w:r>
          <w:rPr>
            <w:rStyle w:val="Text9"/>
          </w:rPr>
          <w:t>293</w:t>
        </w:r>
      </w:hyperlink>
      <w:r>
        <w:t xml:space="preserve"> for additional information about each official repository that Ubuntu uses.</w:t>
      </w:r>
    </w:p>
    <w:p>
      <w:pPr>
        <w:pStyle w:val="Normal"/>
      </w:pPr>
      <w:r>
        <w:t>This is the default:</w:t>
      </w:r>
    </w:p>
    <w:p>
      <w:pPr>
        <w:pStyle w:val="Normal"/>
      </w:pPr>
      <w:r>
        <w:t>Unattended-Upgrade::Allowed-Origins {</w:t>
      </w:r>
    </w:p>
    <w:p>
      <w:pPr>
        <w:pStyle w:val="Para 02"/>
      </w:pPr>
      <w:r>
        <w:t>"${distro_id}:${distro_codename}";</w:t>
      </w:r>
    </w:p>
    <w:p>
      <w:pPr>
        <w:pStyle w:val="Para 02"/>
      </w:pPr>
      <w:r>
        <w:t>"${distro_id}:${distro_codename}-security";</w:t>
      </w:r>
    </w:p>
    <w:p>
      <w:pPr>
        <w:pStyle w:val="Para 02"/>
      </w:pPr>
      <w:r>
        <w:t>// Extended Security Maintenance; doesn't necessarily exist for</w:t>
        <w:t xml:space="preserve"> </w:t>
        <w:t>// every release and this system may not have it installed, but if</w:t>
        <w:t xml:space="preserve"> </w:t>
        <w:t>// available, the policy for updates is such that unattended-upgrades</w:t>
        <w:t xml:space="preserve"> </w:t>
        <w:t>// should also install from here by default.</w:t>
      </w:r>
    </w:p>
    <w:p>
      <w:pPr>
        <w:pStyle w:val="Para 02"/>
      </w:pPr>
      <w:r>
        <w:t>"${distro_id}ESMApps:${distro_codename}-apps-security";</w:t>
        <w:t xml:space="preserve"> </w:t>
        <w:t>"${distro_id}ESM:${distro_codename}-infra-security";</w:t>
      </w:r>
    </w:p>
    <w:p>
      <w:pPr>
        <w:pStyle w:val="Normal"/>
      </w:pPr>
      <w:r>
        <w:t>//</w:t>
        <w:t xml:space="preserve"> </w:t>
        <w:t>"${distro_id}:${distro_codename}-updates";</w:t>
        <w:t xml:space="preserve"> </w:t>
        <w:t>//</w:t>
        <w:t xml:space="preserve"> </w:t>
        <w:t>"${distro_id}:${distro_codename}-proposed";</w:t>
        <w:t xml:space="preserve"> </w:t>
        <w:t>//</w:t>
        <w:t xml:space="preserve"> </w:t>
        <w:t>"${distro_id}:${distro_codename}-backports";</w:t>
        <w:t xml:space="preserve"> </w:t>
        <w:t>};</w:t>
      </w:r>
    </w:p>
    <w:p>
      <w:pPr>
        <w:pStyle w:val="Para 17"/>
      </w:pPr>
      <w:r>
        <w:t/>
      </w:r>
    </w:p>
    <w:p>
      <w:pPr>
        <w:pStyle w:val="Para 08"/>
      </w:pPr>
      <w:r>
        <w:t>Note:</w:t>
      </w:r>
    </w:p>
    <w:p>
      <w:pPr>
        <w:pStyle w:val="Para 03"/>
      </w:pPr>
      <w:r>
        <w:t>The double “//” indicates a comment, so whatever follows “//” will not be evaluated.</w:t>
      </w:r>
    </w:p>
    <w:p>
      <w:pPr>
        <w:pStyle w:val="Para 17"/>
      </w:pPr>
      <w:r>
        <w:t/>
      </w:r>
    </w:p>
    <w:p>
      <w:pPr>
        <w:pStyle w:val="Normal"/>
      </w:pPr>
      <w:r>
        <w:t>If you want to also allow non-security updates to be applied automatically, then uncomment the line about-updates, like so:</w:t>
      </w:r>
    </w:p>
    <w:p>
      <w:pPr>
        <w:pStyle w:val="Normal"/>
      </w:pPr>
      <w:r>
        <w:t>Unattended-Upgrade::Allowed-Origins {</w:t>
      </w:r>
    </w:p>
    <w:p>
      <w:pPr>
        <w:pStyle w:val="Para 02"/>
      </w:pPr>
      <w:r>
        <w:t>"${distro_id}:${distro_codename}";</w:t>
      </w:r>
    </w:p>
    <w:p>
      <w:pPr>
        <w:pStyle w:val="Para 02"/>
      </w:pPr>
      <w:r>
        <w:t>"${distro_id}:${distro_codename}-security";</w:t>
      </w:r>
    </w:p>
    <w:p>
      <w:pPr>
        <w:pStyle w:val="Para 02"/>
      </w:pPr>
      <w:r>
        <w:t>// Extended Security Maintenance; doesn't necessarily exist for</w:t>
        <w:t xml:space="preserve"> </w:t>
        <w:t>// every release and this system may not have it installed, but if</w:t>
        <w:t xml:space="preserve"> </w:t>
        <w:t>// available, the policy for updates is such that unattended-upgrades</w:t>
        <w:t xml:space="preserve"> </w:t>
        <w:t>// should also install from here by default.</w:t>
      </w:r>
    </w:p>
    <w:p>
      <w:pPr>
        <w:pStyle w:val="Para 02"/>
      </w:pPr>
      <w:r>
        <w:t>"${distro_id}ESMApps:${distro_codename}-apps-security";</w:t>
      </w:r>
    </w:p>
    <w:p>
      <w:pPr>
        <w:pStyle w:val="Para 09"/>
      </w:pPr>
      <w:r>
        <w:t>(continues on next page)</w:t>
      </w:r>
    </w:p>
    <w:p>
      <w:pPr>
        <w:pStyle w:val="Para 05"/>
      </w:pPr>
      <w:r>
        <w:rPr>
          <w:rStyle w:val="Text5"/>
        </w:rPr>
        <w:t>292</w:t>
      </w:r>
      <w:r>
        <w:rPr>
          <w:rStyle w:val="Text8"/>
        </w:rPr>
        <w:t xml:space="preserve"> </w:t>
      </w:r>
      <w:r>
        <w:t>https://manpages.ubuntu.com/manpages/resolute/man5/systemd.timer.5.html</w:t>
      </w:r>
    </w:p>
    <w:p>
      <w:pPr>
        <w:pStyle w:val="Para 05"/>
      </w:pPr>
      <w:r>
        <w:rPr>
          <w:rStyle w:val="Text5"/>
        </w:rPr>
        <w:t>293</w:t>
      </w:r>
      <w:r>
        <w:rPr>
          <w:rStyle w:val="Text8"/>
        </w:rPr>
        <w:t xml:space="preserve"> </w:t>
      </w:r>
      <w:r>
        <w:t>https://documentation.ubuntu.com/project/how-ubuntu-is-made/concepts/package-archive/#pockets</w:t>
      </w:r>
    </w:p>
    <w:p>
      <w:bookmarkStart w:id="496" w:name="page_3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7" name="index-350_1.png" descr="index-350_1.png"/>
            <wp:cNvGraphicFramePr>
              <a:graphicFrameLocks noChangeAspect="1"/>
            </wp:cNvGraphicFramePr>
            <a:graphic>
              <a:graphicData uri="http://schemas.openxmlformats.org/drawingml/2006/picture">
                <pic:pic>
                  <pic:nvPicPr>
                    <pic:cNvPr id="0" name="index-350_1.png" descr="index-350_1.png"/>
                    <pic:cNvPicPr/>
                  </pic:nvPicPr>
                  <pic:blipFill>
                    <a:blip r:embed="rId361"/>
                    <a:stretch>
                      <a:fillRect/>
                    </a:stretch>
                  </pic:blipFill>
                  <pic:spPr>
                    <a:xfrm>
                      <a:off x="0" y="0"/>
                      <a:ext cx="914400" cy="266700"/>
                    </a:xfrm>
                    <a:prstGeom prst="rect">
                      <a:avLst/>
                    </a:prstGeom>
                  </pic:spPr>
                </pic:pic>
              </a:graphicData>
            </a:graphic>
          </wp:anchor>
        </w:drawing>
      </w:r>
      <w:bookmarkEnd w:id="496"/>
    </w:p>
    <w:p>
      <w:pPr>
        <w:pStyle w:val="Para 09"/>
      </w:pPr>
      <w:r>
        <w:t>(continued from previous page)</w:t>
      </w:r>
    </w:p>
    <w:p>
      <w:pPr>
        <w:pStyle w:val="Para 02"/>
      </w:pPr>
      <w:r>
        <w:t>"${distro_id}ESM:${distro_codename}-infra-security";</w:t>
      </w:r>
    </w:p>
    <w:p>
      <w:pPr>
        <w:pStyle w:val="Para 02"/>
      </w:pPr>
      <w:r>
        <w:t>"${distro_id}:${distro_codename}-updates";</w:t>
      </w:r>
    </w:p>
    <w:p>
      <w:pPr>
        <w:pStyle w:val="Normal"/>
      </w:pPr>
      <w:r>
        <w:t>//</w:t>
        <w:t xml:space="preserve"> </w:t>
        <w:t>"${distro_id}:${distro_codename}-proposed";</w:t>
        <w:t xml:space="preserve"> </w:t>
        <w:t>//</w:t>
        <w:t xml:space="preserve"> </w:t>
        <w:t>"${distro_id}:${distro_codename}-backports";</w:t>
        <w:t xml:space="preserve"> </w:t>
        <w:t>};</w:t>
      </w:r>
    </w:p>
    <w:p>
      <w:pPr>
        <w:pStyle w:val="Para 17"/>
      </w:pPr>
      <w:r>
        <w:t/>
      </w:r>
    </w:p>
    <w:p>
      <w:pPr>
        <w:pStyle w:val="Normal"/>
      </w:pPr>
      <w:r>
        <w:t xml:space="preserve">The Origin field is a standard field used in package repositories. By default, unattended-upgrades will ship with only official Ubuntu repositories configured, which is the configura-tion shown above. To have the system apply upgrades automatically from other repositories, its </w:t>
      </w:r>
      <w:r>
        <w:rPr>
          <w:rStyle w:val="Text3"/>
        </w:rPr>
        <w:t>Origin</w:t>
      </w:r>
      <w:r>
        <w:t xml:space="preserve"> needs to be added to this configuration option.</w:t>
      </w:r>
    </w:p>
    <w:p>
      <w:pPr>
        <w:pStyle w:val="Para 17"/>
      </w:pPr>
      <w:r>
        <w:t/>
      </w:r>
    </w:p>
    <w:p>
      <w:pPr>
        <w:pStyle w:val="Para 01"/>
      </w:pPr>
      <w:r>
        <w:t>Automatic upgrades from a PPA</w:t>
      </w:r>
    </w:p>
    <w:p>
      <w:pPr>
        <w:pStyle w:val="Para 17"/>
      </w:pPr>
      <w:r>
        <w:t/>
      </w:r>
    </w:p>
    <w:p>
      <w:pPr>
        <w:pStyle w:val="Normal"/>
      </w:pPr>
      <w:r>
        <w:t xml:space="preserve">A very popular package repository type is a </w:t>
      </w:r>
      <w:hyperlink w:anchor="page_350">
        <w:r>
          <w:rPr>
            <w:rStyle w:val="Text9"/>
          </w:rPr>
          <w:t>294</w:t>
        </w:r>
      </w:hyperlink>
      <w:r>
        <w:t xml:space="preserve"> </w:t>
      </w:r>
      <w:hyperlink r:id="rId1272">
        <w:r>
          <w:rPr>
            <w:rStyle w:val="Text1"/>
          </w:rPr>
          <w:t>Launchpad PPA</w:t>
        </w:r>
      </w:hyperlink>
      <w:r>
        <w:t>. PPAs are normally referred to</w:t>
      </w:r>
    </w:p>
    <w:p>
      <w:pPr>
        <w:pStyle w:val="Normal"/>
      </w:pPr>
      <w:r>
        <w:t xml:space="preserve">using the format ppa:\&lt;user\&gt;/\&lt;name\&gt;. For example, the PPA at </w:t>
      </w:r>
      <w:hyperlink r:id="rId1273">
        <w:r>
          <w:rPr>
            <w:rStyle w:val="Text1"/>
          </w:rPr>
          <w:t>https://launchpad.net/</w:t>
        </w:r>
      </w:hyperlink>
    </w:p>
    <w:p>
      <w:pPr>
        <w:pStyle w:val="Normal"/>
      </w:pPr>
      <w:hyperlink r:id="rId1273">
        <w:r>
          <w:rPr>
            <w:rStyle w:val="Text1"/>
          </w:rPr>
          <w:t>~canonical-server/+archive/ubuntu/server-backports</w:t>
        </w:r>
      </w:hyperlink>
      <w:r>
        <w:t xml:space="preserve"> is also referred to as ppa:canonical-server/server-backports.</w:t>
      </w:r>
    </w:p>
    <w:p>
      <w:pPr>
        <w:pStyle w:val="Normal"/>
      </w:pPr>
      <w:r>
        <w:t xml:space="preserve">To use a PPA in the </w:t>
      </w:r>
      <w:r>
        <w:rPr>
          <w:rStyle w:val="Text3"/>
        </w:rPr>
        <w:t>Allowed-Origins</w:t>
      </w:r>
      <w:r>
        <w:t xml:space="preserve"> configuration, we need its </w:t>
      </w:r>
      <w:r>
        <w:rPr>
          <w:rStyle w:val="Text3"/>
        </w:rPr>
        <w:t>Origin</w:t>
      </w:r>
      <w:r>
        <w:t xml:space="preserve"> field. For PPAs, it is in the format </w:t>
      </w:r>
      <w:r>
        <w:rPr>
          <w:rStyle w:val="Text3"/>
        </w:rPr>
        <w:t>LP-PPA-&lt;user&gt;-&lt;name&gt;</w:t>
      </w:r>
      <w:r>
        <w:t>. Adding it to the Allowed-Origins configuration would result in the following (continuing from the example above):</w:t>
      </w:r>
    </w:p>
    <w:p>
      <w:pPr>
        <w:pStyle w:val="Normal"/>
      </w:pPr>
      <w:r>
        <w:t>Unattended-Upgrade::Allowed-Origins {</w:t>
      </w:r>
    </w:p>
    <w:p>
      <w:pPr>
        <w:pStyle w:val="Para 02"/>
      </w:pPr>
      <w:r>
        <w:t>"${distro_id}:${distro_codename}";</w:t>
      </w:r>
    </w:p>
    <w:p>
      <w:pPr>
        <w:pStyle w:val="Para 02"/>
      </w:pPr>
      <w:r>
        <w:t>"${distro_id}:${distro_codename}-security";</w:t>
      </w:r>
    </w:p>
    <w:p>
      <w:pPr>
        <w:pStyle w:val="Para 02"/>
      </w:pPr>
      <w:r>
        <w:t>// Extended Security Maintenance; doesn't necessarily exist for</w:t>
        <w:t xml:space="preserve"> </w:t>
        <w:t>// every release and this system may not have it installed, but if</w:t>
        <w:t xml:space="preserve"> </w:t>
        <w:t>// available, the policy for updates is such that unattended-upgrades</w:t>
        <w:t xml:space="preserve"> </w:t>
        <w:t>// should also install from here by default.</w:t>
      </w:r>
    </w:p>
    <w:p>
      <w:pPr>
        <w:pStyle w:val="Para 02"/>
      </w:pPr>
      <w:r>
        <w:t>"${distro_id}ESMApps:${distro_codename}-apps-security";</w:t>
        <w:t xml:space="preserve"> </w:t>
        <w:t>"${distro_id}ESM:${distro_codename}-infra-security";</w:t>
      </w:r>
    </w:p>
    <w:p>
      <w:pPr>
        <w:pStyle w:val="Para 02"/>
      </w:pPr>
      <w:r>
        <w:t>"${distro_id}:${distro_codename}-updates";</w:t>
      </w:r>
    </w:p>
    <w:p>
      <w:pPr>
        <w:pStyle w:val="Normal"/>
      </w:pPr>
      <w:r>
        <w:t>//</w:t>
        <w:t xml:space="preserve"> </w:t>
        <w:t>"${distro_id}:${distro_codename}-proposed";</w:t>
        <w:t xml:space="preserve"> </w:t>
        <w:t>//</w:t>
        <w:t xml:space="preserve"> </w:t>
        <w:t>"${distro_id}:${distro_codename}-backports";</w:t>
      </w:r>
    </w:p>
    <w:p>
      <w:pPr>
        <w:pStyle w:val="Para 02"/>
      </w:pPr>
      <w:r>
        <w:t>"LP-PPA-canonical-server-server-backports:${distro_codename}";</w:t>
      </w:r>
    </w:p>
    <w:p>
      <w:pPr>
        <w:pStyle w:val="Normal"/>
      </w:pPr>
      <w:r>
        <w:t>};</w:t>
      </w:r>
    </w:p>
    <w:p>
      <w:pPr>
        <w:pStyle w:val="Para 17"/>
      </w:pPr>
      <w:r>
        <w:t/>
      </w:r>
    </w:p>
    <w:p>
      <w:pPr>
        <w:pStyle w:val="Normal"/>
      </w:pPr>
      <w:r>
        <w:t>Due to the hyphens acting as both separators and part of the name, the complete configu-ration can become visually confusing, making it difficult to immediately distinguish between the username and PPA name. But that’s ok, because it’s the whole text that matters.</w:t>
      </w:r>
    </w:p>
    <w:p>
      <w:pPr>
        <w:pStyle w:val="Normal"/>
      </w:pPr>
      <w:r>
        <w:t xml:space="preserve">Now when the tool runs, that PPA will be considered for upgrades and is listed in </w:t>
      </w:r>
      <w:r>
        <w:rPr>
          <w:rStyle w:val="Text3"/>
        </w:rPr>
        <w:t>Allowed origins</w:t>
      </w:r>
      <w:r>
        <w:t>:</w:t>
      </w:r>
    </w:p>
    <w:p>
      <w:pPr>
        <w:pStyle w:val="Normal"/>
      </w:pPr>
      <w:r>
        <w:t>2025-03-13 22:44:29,802 INFO Starting unattended upgrades script</w:t>
        <w:t xml:space="preserve"> </w:t>
        <w:t>2025-03-13 22:44:29,803 INFO Allowed origins are: o=Ubuntu,a=noble, o=Ubuntu,a=noble-</w:t>
        <w:t>security, o=UbuntuESMApps,a=noble-apps-security, o=UbuntuESM,a=noble-infra-security, o=LP-</w:t>
        <w:t>PPA-canonical-server-server-backports,a=noble</w:t>
      </w:r>
    </w:p>
    <w:p>
      <w:pPr>
        <w:pStyle w:val="Normal"/>
      </w:pPr>
      <w:r>
        <w:t>2025-03-13 22:44:29,803 INFO Initial blacklist:</w:t>
      </w:r>
    </w:p>
    <w:p>
      <w:pPr>
        <w:pStyle w:val="Normal"/>
      </w:pPr>
      <w:r>
        <w:t>2025-03-13 22:44:29,803 INFO Initial whitelist (not strict):</w:t>
        <w:t xml:space="preserve"> </w:t>
        <w:t>2025-03-13 22:44:33,029 INFO Option --dry-run given, *not* performing real actions</w:t>
      </w:r>
    </w:p>
    <w:p>
      <w:pPr>
        <w:pStyle w:val="Para 09"/>
      </w:pPr>
      <w:r>
        <w:t>(continues on next page)</w:t>
      </w:r>
    </w:p>
    <w:p>
      <w:pPr>
        <w:pStyle w:val="Para 05"/>
      </w:pPr>
      <w:r>
        <w:rPr>
          <w:rStyle w:val="Text5"/>
        </w:rPr>
        <w:t>294</w:t>
      </w:r>
      <w:r>
        <w:rPr>
          <w:rStyle w:val="Text8"/>
        </w:rPr>
        <w:t xml:space="preserve"> </w:t>
      </w:r>
      <w:r>
        <w:t>https://documentation.ubuntu.com/launchpad/user/Packaging/PPA/</w:t>
      </w:r>
    </w:p>
    <w:p>
      <w:bookmarkStart w:id="497" w:name="page_3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8" name="index-351_1.png" descr="index-351_1.png"/>
            <wp:cNvGraphicFramePr>
              <a:graphicFrameLocks noChangeAspect="1"/>
            </wp:cNvGraphicFramePr>
            <a:graphic>
              <a:graphicData uri="http://schemas.openxmlformats.org/drawingml/2006/picture">
                <pic:pic>
                  <pic:nvPicPr>
                    <pic:cNvPr id="0" name="index-351_1.png" descr="index-351_1.png"/>
                    <pic:cNvPicPr/>
                  </pic:nvPicPr>
                  <pic:blipFill>
                    <a:blip r:embed="rId362"/>
                    <a:stretch>
                      <a:fillRect/>
                    </a:stretch>
                  </pic:blipFill>
                  <pic:spPr>
                    <a:xfrm>
                      <a:off x="0" y="0"/>
                      <a:ext cx="914400" cy="266700"/>
                    </a:xfrm>
                    <a:prstGeom prst="rect">
                      <a:avLst/>
                    </a:prstGeom>
                  </pic:spPr>
                </pic:pic>
              </a:graphicData>
            </a:graphic>
          </wp:anchor>
        </w:drawing>
      </w:r>
      <w:bookmarkEnd w:id="497"/>
    </w:p>
    <w:p>
      <w:pPr>
        <w:pStyle w:val="Para 09"/>
      </w:pPr>
      <w:r>
        <w:t>(continued from previous page)</w:t>
      </w:r>
    </w:p>
    <w:p>
      <w:pPr>
        <w:pStyle w:val="Normal"/>
      </w:pPr>
      <w:r>
        <w:t>2025-03-13 22:44:33,029 INFO Packages that will be upgraded: ibverbs-providers libibverbs1</w:t>
        <w:t xml:space="preserve"> </w:t>
        <w:t>rdma-core</w:t>
      </w:r>
    </w:p>
    <w:p>
      <w:pPr>
        <w:pStyle w:val="Normal"/>
      </w:pPr>
      <w:r>
        <w:t>2025-03-13 22:44:33,029 INFO Writing dpkg log to /var/log/unattended-upgrades/unattended-</w:t>
        <w:t>upgrades-dpkg.log</w:t>
      </w:r>
    </w:p>
    <w:p>
      <w:pPr>
        <w:pStyle w:val="Normal"/>
      </w:pPr>
      <w:r>
        <w:t>2025-03-13 22:44:34,421 INFO All upgrades installed</w:t>
      </w:r>
    </w:p>
    <w:p>
      <w:pPr>
        <w:pStyle w:val="Normal"/>
      </w:pPr>
      <w:r>
        <w:t>2025-03-13 22:44:34,855 INFO The list of kept packages can't be calculated in dry-run</w:t>
        <w:t xml:space="preserve"> </w:t>
        <w:t>mode.</w:t>
      </w:r>
    </w:p>
    <w:p>
      <w:pPr>
        <w:pStyle w:val="Para 17"/>
      </w:pPr>
      <w:r>
        <w:t/>
      </w:r>
    </w:p>
    <w:p>
      <w:pPr>
        <w:pStyle w:val="Normal"/>
      </w:pPr>
      <w:r>
        <w:t xml:space="preserve">The correct </w:t>
      </w:r>
      <w:r>
        <w:rPr>
          <w:rStyle w:val="Text3"/>
        </w:rPr>
        <w:t>Origin</w:t>
      </w:r>
      <w:r>
        <w:t xml:space="preserve"> value to use is available in the repository’s InRelease (or, for older formats, the Release file), which can be found at the URL of the repository, or locally on the system after an apt update command was run. Locally these files are in the /var/lib/apt/lists/ directory. For example, for the PPA case, we have:</w:t>
      </w:r>
    </w:p>
    <w:p>
      <w:pPr>
        <w:pStyle w:val="Normal"/>
      </w:pPr>
      <w:r>
        <w:t>/var/lib/apt/lists/ppa.launchpadcontent.net_canonical-server_server-backports_ubuntu_</w:t>
        <w:t xml:space="preserve"> </w:t>
        <w:t>dists_noble_InRelease</w:t>
      </w:r>
    </w:p>
    <w:p>
      <w:pPr>
        <w:pStyle w:val="Para 17"/>
      </w:pPr>
      <w:r>
        <w:t/>
      </w:r>
    </w:p>
    <w:p>
      <w:pPr>
        <w:pStyle w:val="Normal"/>
      </w:pPr>
      <w:r>
        <w:t>Which has contents:</w:t>
      </w:r>
    </w:p>
    <w:p>
      <w:pPr>
        <w:pStyle w:val="Normal"/>
      </w:pPr>
      <w:r>
        <w:t>-----BEGIN PGP SIGNED MESSAGE-----</w:t>
      </w:r>
    </w:p>
    <w:p>
      <w:pPr>
        <w:pStyle w:val="Normal"/>
      </w:pPr>
      <w:r>
        <w:t>Hash: SHA512</w:t>
      </w:r>
    </w:p>
    <w:p>
      <w:pPr>
        <w:pStyle w:val="Normal"/>
      </w:pPr>
      <w:r>
        <w:t>Origin: LP-PPA-canonical-server-server-backports</w:t>
      </w:r>
    </w:p>
    <w:p>
      <w:pPr>
        <w:pStyle w:val="Normal"/>
      </w:pPr>
      <w:r>
        <w:t>Label: Server Team Backports</w:t>
      </w:r>
    </w:p>
    <w:p>
      <w:pPr>
        <w:pStyle w:val="Normal"/>
      </w:pPr>
      <w:r>
        <w:t>Suite: noble</w:t>
      </w:r>
    </w:p>
    <w:p>
      <w:pPr>
        <w:pStyle w:val="Normal"/>
      </w:pPr>
      <w:r>
        <w:t>Version: 24.04</w:t>
      </w:r>
    </w:p>
    <w:p>
      <w:pPr>
        <w:pStyle w:val="Normal"/>
      </w:pPr>
      <w:r>
        <w:t>Codename: noble</w:t>
      </w:r>
    </w:p>
    <w:p>
      <w:pPr>
        <w:pStyle w:val="Normal"/>
      </w:pPr>
      <w:r>
        <w:t>Date: Tue, 03 Dec 2024</w:t>
        <w:t xml:space="preserve"> </w:t>
        <w:t>6:00:43 UTC</w:t>
      </w:r>
    </w:p>
    <w:p>
      <w:pPr>
        <w:pStyle w:val="Normal"/>
      </w:pPr>
      <w:r>
        <w:t>Architectures: amd64 arm64 armhf i386 ppc64el riscv64 s390x</w:t>
        <w:t xml:space="preserve"> </w:t>
        <w:t>Components: main</w:t>
      </w:r>
    </w:p>
    <w:p>
      <w:pPr>
        <w:pStyle w:val="Normal"/>
      </w:pPr>
      <w:r>
        <w:t>Description: Ubuntu Noble 24.04</w:t>
      </w:r>
    </w:p>
    <w:p>
      <w:pPr>
        <w:pStyle w:val="Normal"/>
      </w:pPr>
      <w:r>
        <w:t>(...)</w:t>
      </w:r>
    </w:p>
    <w:p>
      <w:pPr>
        <w:pStyle w:val="Para 17"/>
      </w:pPr>
      <w:r>
        <w:t/>
      </w:r>
    </w:p>
    <w:p>
      <w:pPr>
        <w:pStyle w:val="Normal"/>
      </w:pPr>
      <w:r>
        <w:t xml:space="preserve">And there we can see the </w:t>
      </w:r>
      <w:r>
        <w:rPr>
          <w:rStyle w:val="Text3"/>
        </w:rPr>
        <w:t>Origin</w:t>
      </w:r>
      <w:r>
        <w:t>.</w:t>
      </w:r>
    </w:p>
    <w:p>
      <w:pPr>
        <w:pStyle w:val="Para 17"/>
      </w:pPr>
      <w:r>
        <w:t/>
      </w:r>
    </w:p>
    <w:p>
      <w:pPr>
        <w:pStyle w:val="Para 01"/>
      </w:pPr>
      <w:r>
        <w:t>How to block certain packages</w:t>
      </w:r>
    </w:p>
    <w:p>
      <w:pPr>
        <w:pStyle w:val="Para 17"/>
      </w:pPr>
      <w:r>
        <w:t/>
      </w:r>
    </w:p>
    <w:p>
      <w:pPr>
        <w:pStyle w:val="Normal"/>
      </w:pPr>
      <w:r>
        <w:t>Specific packages can also be excluded from an update. This is controlled via the Unattended-Upgrade::Package-Blacklist configuration option in /etc/apt/apt.conf.d/50unattended-</w:t>
      </w:r>
    </w:p>
    <w:p>
      <w:pPr>
        <w:pStyle w:val="Normal"/>
      </w:pPr>
      <w:r>
        <w:t xml:space="preserve">upgrades </w:t>
      </w:r>
      <w:hyperlink w:anchor="page_351">
        <w:r>
          <w:rPr>
            <w:rStyle w:val="Text9"/>
          </w:rPr>
          <w:t>295</w:t>
        </w:r>
      </w:hyperlink>
      <w:r>
        <w:t xml:space="preserve"> , which contains a list of </w:t>
      </w:r>
      <w:hyperlink r:id="rId1274">
        <w:r>
          <w:rPr>
            <w:rStyle w:val="Text1"/>
          </w:rPr>
          <w:t>Python Regular Expressions</w:t>
        </w:r>
      </w:hyperlink>
      <w:r>
        <w:t>. Each line of this list is checked against the available package updates, and if there is a match, that package is not upgraded.</w:t>
      </w:r>
    </w:p>
    <w:p>
      <w:pPr>
        <w:pStyle w:val="Para 17"/>
      </w:pPr>
      <w:r>
        <w:t/>
      </w:r>
    </w:p>
    <w:p>
      <w:pPr>
        <w:pStyle w:val="Para 08"/>
      </w:pPr>
      <w:r>
        <w:t>Note:</w:t>
      </w:r>
    </w:p>
    <w:p>
      <w:pPr>
        <w:pStyle w:val="Para 03"/>
      </w:pPr>
      <w:r>
        <w:t>Keep in mind that blocking a package might prevent other updates from being installed if</w:t>
      </w:r>
    </w:p>
    <w:p>
      <w:pPr>
        <w:pStyle w:val="Para 03"/>
      </w:pPr>
      <w:r>
        <w:t>they depend on the blocked package!</w:t>
      </w:r>
    </w:p>
    <w:p>
      <w:pPr>
        <w:pStyle w:val="Para 17"/>
      </w:pPr>
      <w:r>
        <w:t/>
      </w:r>
    </w:p>
    <w:p>
      <w:pPr>
        <w:pStyle w:val="Normal"/>
      </w:pPr>
      <w:r>
        <w:t>For example, this will block all packages that start with linux-from being automatically up-graded:</w:t>
      </w:r>
    </w:p>
    <w:p>
      <w:pPr>
        <w:pStyle w:val="Para 05"/>
      </w:pPr>
      <w:r>
        <w:rPr>
          <w:rStyle w:val="Text5"/>
        </w:rPr>
        <w:t>295</w:t>
      </w:r>
      <w:r>
        <w:rPr>
          <w:rStyle w:val="Text8"/>
        </w:rPr>
        <w:t xml:space="preserve"> </w:t>
      </w:r>
      <w:r>
        <w:t>https://docs.python.org/3/howto/regex.html</w:t>
      </w:r>
      <w:r>
        <w:rPr>
          <w:rStyle w:val="Text8"/>
        </w:rPr>
        <w:t xml:space="preserve"> </w:t>
        <w:t>Unattended-Upgrade::Package-Blacklist {</w:t>
      </w:r>
    </w:p>
    <w:p>
      <w:bookmarkStart w:id="498" w:name="page_3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59" name="index-352_1.png" descr="index-352_1.png"/>
            <wp:cNvGraphicFramePr>
              <a:graphicFrameLocks noChangeAspect="1"/>
            </wp:cNvGraphicFramePr>
            <a:graphic>
              <a:graphicData uri="http://schemas.openxmlformats.org/drawingml/2006/picture">
                <pic:pic>
                  <pic:nvPicPr>
                    <pic:cNvPr id="0" name="index-352_1.png" descr="index-352_1.png"/>
                    <pic:cNvPicPr/>
                  </pic:nvPicPr>
                  <pic:blipFill>
                    <a:blip r:embed="rId363"/>
                    <a:stretch>
                      <a:fillRect/>
                    </a:stretch>
                  </pic:blipFill>
                  <pic:spPr>
                    <a:xfrm>
                      <a:off x="0" y="0"/>
                      <a:ext cx="914400" cy="266700"/>
                    </a:xfrm>
                    <a:prstGeom prst="rect">
                      <a:avLst/>
                    </a:prstGeom>
                  </pic:spPr>
                </pic:pic>
              </a:graphicData>
            </a:graphic>
          </wp:anchor>
        </w:drawing>
      </w:r>
      <w:bookmarkEnd w:id="498"/>
    </w:p>
    <w:p>
      <w:pPr>
        <w:pStyle w:val="Para 02"/>
      </w:pPr>
      <w:r>
        <w:t>"linux-";</w:t>
      </w:r>
    </w:p>
    <w:p>
      <w:pPr>
        <w:pStyle w:val="Normal"/>
      </w:pPr>
      <w:r>
        <w:t>}</w:t>
      </w:r>
    </w:p>
    <w:p>
      <w:pPr>
        <w:pStyle w:val="Para 17"/>
      </w:pPr>
      <w:r>
        <w:t/>
      </w:r>
    </w:p>
    <w:p>
      <w:pPr>
        <w:pStyle w:val="Normal"/>
      </w:pPr>
      <w:r>
        <w:t>A more specific configuration like the one below will block only the libc6 and libc-bin pack-ages from being automatically upgraded:</w:t>
      </w:r>
    </w:p>
    <w:p>
      <w:pPr>
        <w:pStyle w:val="Normal"/>
      </w:pPr>
      <w:r>
        <w:t>Unattended-Upgrade::Package-Blacklist {</w:t>
      </w:r>
    </w:p>
    <w:p>
      <w:pPr>
        <w:pStyle w:val="Para 02"/>
      </w:pPr>
      <w:r>
        <w:t>"libc6$";</w:t>
      </w:r>
    </w:p>
    <w:p>
      <w:pPr>
        <w:pStyle w:val="Para 02"/>
      </w:pPr>
      <w:r>
        <w:t>"libc-bin$";</w:t>
      </w:r>
    </w:p>
    <w:p>
      <w:pPr>
        <w:pStyle w:val="Normal"/>
      </w:pPr>
      <w:r>
        <w:t>}</w:t>
      </w:r>
    </w:p>
    <w:p>
      <w:pPr>
        <w:pStyle w:val="Para 17"/>
      </w:pPr>
      <w:r>
        <w:t/>
      </w:r>
    </w:p>
    <w:p>
      <w:pPr>
        <w:pStyle w:val="Normal"/>
      </w:pPr>
      <w:r>
        <w:t>Here, the use of the $ character marks the end of the package name (in regular expression terms, it’s the end of the line, i.e., the end of the match).</w:t>
      </w:r>
    </w:p>
    <w:p>
      <w:pPr>
        <w:pStyle w:val="Para 08"/>
      </w:pPr>
      <w:r>
        <w:t>Note:</w:t>
      </w:r>
    </w:p>
    <w:p>
      <w:pPr>
        <w:pStyle w:val="Para 03"/>
      </w:pPr>
      <w:r>
        <w:t>The regular expressions used here behave as if the “^” character is present at the start,</w:t>
      </w:r>
    </w:p>
    <w:p>
      <w:pPr>
        <w:pStyle w:val="Para 03"/>
      </w:pPr>
      <w:r>
        <w:t>i.e., the libc6$ expression will match libc6, but will NOT match glibc6 for example.</w:t>
      </w:r>
    </w:p>
    <w:p>
      <w:pPr>
        <w:pStyle w:val="Para 17"/>
      </w:pPr>
      <w:r>
        <w:t/>
      </w:r>
    </w:p>
    <w:p>
      <w:pPr>
        <w:pStyle w:val="Normal"/>
      </w:pPr>
      <w:r>
        <w:t>Of course, this being a regular expression means we could also write the above like this:</w:t>
      </w:r>
    </w:p>
    <w:p>
      <w:pPr>
        <w:pStyle w:val="Normal"/>
      </w:pPr>
      <w:r>
        <w:t>Unattended-Upgrade::Package-Blacklist {</w:t>
      </w:r>
    </w:p>
    <w:p>
      <w:pPr>
        <w:pStyle w:val="Para 02"/>
      </w:pPr>
      <w:r>
        <w:t>"libc(6|-bin)$";</w:t>
      </w:r>
    </w:p>
    <w:p>
      <w:pPr>
        <w:pStyle w:val="Normal"/>
      </w:pPr>
      <w:r>
        <w:t>}</w:t>
      </w:r>
    </w:p>
    <w:p>
      <w:pPr>
        <w:pStyle w:val="Para 17"/>
      </w:pPr>
      <w:r>
        <w:t/>
      </w:r>
    </w:p>
    <w:p>
      <w:pPr>
        <w:pStyle w:val="Normal"/>
      </w:pPr>
      <w:r>
        <w:t>Just be careful to not overuse the power of regular expressions: readability is key.</w:t>
      </w:r>
    </w:p>
    <w:p>
      <w:pPr>
        <w:pStyle w:val="Para 17"/>
      </w:pPr>
      <w:r>
        <w:t/>
      </w:r>
    </w:p>
    <w:p>
      <w:pPr>
        <w:pStyle w:val="Para 01"/>
      </w:pPr>
      <w:r>
        <w:t>Notifications</w:t>
      </w:r>
    </w:p>
    <w:p>
      <w:pPr>
        <w:pStyle w:val="Para 17"/>
      </w:pPr>
      <w:r>
        <w:t/>
      </w:r>
    </w:p>
    <w:p>
      <w:pPr>
        <w:pStyle w:val="Normal"/>
      </w:pPr>
      <w:r>
        <w:t>Besides logging, unattended-upgrades can also send out reports via email. There are two options that control this behavior in /etc/apt/apt.conf.d/50unattended-upgrades:</w:t>
      </w:r>
    </w:p>
    <w:p>
      <w:pPr>
        <w:pStyle w:val="Para 04"/>
      </w:pPr>
      <w:r>
        <w:t>• Unattended-Upgrade::Mail "user@example.com";: If set to an email address, this option</w:t>
      </w:r>
    </w:p>
    <w:p>
      <w:pPr>
        <w:pStyle w:val="Para 02"/>
      </w:pPr>
      <w:r>
        <w:t>will trigger an email to this address containing an activity report. When this value is empty, or not set, (which is the default), no report is sent.</w:t>
      </w:r>
    </w:p>
    <w:p>
      <w:pPr>
        <w:pStyle w:val="Para 04"/>
      </w:pPr>
      <w:r>
        <w:t>• Unattended-Upgrade::MailReport "on-change";: This option controls when a report is</w:t>
      </w:r>
    </w:p>
    <w:p>
      <w:pPr>
        <w:pStyle w:val="Para 02"/>
      </w:pPr>
      <w:r>
        <w:t>sent:</w:t>
      </w:r>
    </w:p>
    <w:p>
      <w:pPr>
        <w:pStyle w:val="Para 06"/>
      </w:pPr>
      <w:r>
        <w:rPr>
          <w:rStyle w:val="Text0"/>
        </w:rPr>
        <w:t>–</w:t>
      </w:r>
      <w:r>
        <w:t xml:space="preserve"> always: Always send a report, regardless if upgrades were applied or not.</w:t>
      </w:r>
    </w:p>
    <w:p>
      <w:pPr>
        <w:pStyle w:val="Para 06"/>
      </w:pPr>
      <w:r>
        <w:rPr>
          <w:rStyle w:val="Text0"/>
        </w:rPr>
        <w:t>–</w:t>
      </w:r>
      <w:r>
        <w:t xml:space="preserve"> only-on-error: Only send a report if there was an error.</w:t>
      </w:r>
    </w:p>
    <w:p>
      <w:pPr>
        <w:pStyle w:val="Para 06"/>
      </w:pPr>
      <w:r>
        <w:rPr>
          <w:rStyle w:val="Text0"/>
        </w:rPr>
        <w:t>–</w:t>
      </w:r>
      <w:r>
        <w:t xml:space="preserve"> on-change: Only send a report if upgrades were applied. This is the default value.</w:t>
      </w:r>
    </w:p>
    <w:p>
      <w:pPr>
        <w:pStyle w:val="Para 17"/>
      </w:pPr>
      <w:r>
        <w:t/>
      </w:r>
    </w:p>
    <w:p>
      <w:pPr>
        <w:pStyle w:val="Para 08"/>
      </w:pPr>
      <w:r>
        <w:t>Note:</w:t>
      </w:r>
    </w:p>
    <w:p>
      <w:pPr>
        <w:pStyle w:val="Para 03"/>
      </w:pPr>
      <w:r>
        <w:t>Sending out emails like this requires the separate configuration of a package like</w:t>
      </w:r>
    </w:p>
    <w:p>
      <w:pPr>
        <w:pStyle w:val="Para 03"/>
      </w:pPr>
      <w:hyperlink r:id="rId1275">
        <w:r>
          <w:rPr>
            <w:rStyle w:val="Text2"/>
          </w:rPr>
          <w:t>ssmtp(8)</w:t>
        </w:r>
      </w:hyperlink>
      <w:hyperlink w:anchor="page_352">
        <w:r>
          <w:rPr>
            <w:rStyle w:val="Text9"/>
          </w:rPr>
          <w:t>296</w:t>
        </w:r>
      </w:hyperlink>
      <w:r>
        <w:t xml:space="preserve"> or another minimalistic mail client that is capable of sending messages to a</w:t>
      </w:r>
    </w:p>
    <w:p>
      <w:pPr>
        <w:pStyle w:val="Para 03"/>
      </w:pPr>
      <w:r>
        <w:t>mail server.</w:t>
      </w:r>
    </w:p>
    <w:p>
      <w:pPr>
        <w:pStyle w:val="Para 05"/>
      </w:pPr>
      <w:r>
        <w:rPr>
          <w:rStyle w:val="Text5"/>
        </w:rPr>
        <w:t>296</w:t>
      </w:r>
      <w:r>
        <w:rPr>
          <w:rStyle w:val="Text8"/>
        </w:rPr>
        <w:t xml:space="preserve"> </w:t>
      </w:r>
      <w:r>
        <w:t>https://manpages.ubuntu.com/manpages/resolute/man8/ssmtp.8.html</w:t>
      </w:r>
      <w:r>
        <w:rPr>
          <w:rStyle w:val="Text8"/>
        </w:rPr>
        <w:t xml:space="preserve"> </w:t>
      </w:r>
      <w:r>
        <w:rPr>
          <w:rStyle w:val="Text11"/>
        </w:rPr>
        <w:t>Notification examples</w:t>
      </w:r>
    </w:p>
    <w:p>
      <w:bookmarkStart w:id="499" w:name="page_3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0" name="index-353_1.png" descr="index-353_1.png"/>
            <wp:cNvGraphicFramePr>
              <a:graphicFrameLocks noChangeAspect="1"/>
            </wp:cNvGraphicFramePr>
            <a:graphic>
              <a:graphicData uri="http://schemas.openxmlformats.org/drawingml/2006/picture">
                <pic:pic>
                  <pic:nvPicPr>
                    <pic:cNvPr id="0" name="index-353_1.png" descr="index-353_1.png"/>
                    <pic:cNvPicPr/>
                  </pic:nvPicPr>
                  <pic:blipFill>
                    <a:blip r:embed="rId364"/>
                    <a:stretch>
                      <a:fillRect/>
                    </a:stretch>
                  </pic:blipFill>
                  <pic:spPr>
                    <a:xfrm>
                      <a:off x="0" y="0"/>
                      <a:ext cx="914400" cy="266700"/>
                    </a:xfrm>
                    <a:prstGeom prst="rect">
                      <a:avLst/>
                    </a:prstGeom>
                  </pic:spPr>
                </pic:pic>
              </a:graphicData>
            </a:graphic>
          </wp:anchor>
        </w:drawing>
      </w:r>
      <w:bookmarkEnd w:id="499"/>
    </w:p>
    <w:p>
      <w:pPr>
        <w:pStyle w:val="Para 17"/>
      </w:pPr>
      <w:r>
        <w:t/>
      </w:r>
    </w:p>
    <w:p>
      <w:pPr>
        <w:pStyle w:val="Normal"/>
      </w:pPr>
      <w:r>
        <w:t>Here are some email examples (lines wrapped for better legibility).</w:t>
      </w:r>
    </w:p>
    <w:p>
      <w:pPr>
        <w:pStyle w:val="Para 17"/>
      </w:pPr>
      <w:r>
        <w:t/>
      </w:r>
    </w:p>
    <w:p>
      <w:pPr>
        <w:pStyle w:val="Para 01"/>
      </w:pPr>
      <w:r>
        <w:t>No changes applied, no errors</w:t>
      </w:r>
    </w:p>
    <w:p>
      <w:pPr>
        <w:pStyle w:val="Para 17"/>
      </w:pPr>
      <w:r>
        <w:t/>
      </w:r>
    </w:p>
    <w:p>
      <w:pPr>
        <w:pStyle w:val="Normal"/>
      </w:pPr>
      <w:r>
        <w:t>This would only be sent if Unattended-Upgrade::MailReport is set to always:</w:t>
      </w:r>
    </w:p>
    <w:p>
      <w:pPr>
        <w:pStyle w:val="Normal"/>
      </w:pPr>
      <w:r>
        <w:rPr>
          <w:rStyle w:val="Text0"/>
        </w:rPr>
        <w:t>Subject:</w:t>
      </w:r>
      <w:r>
        <w:t xml:space="preserve"> </w:t>
        <w:t>unattended-upgrades result for &lt;hostname&gt;: SUCCESS</w:t>
      </w:r>
    </w:p>
    <w:p>
      <w:pPr>
        <w:pStyle w:val="Normal"/>
      </w:pPr>
      <w:r>
        <w:t>Unattended upgrade result: No packages found that can be upgraded</w:t>
      </w:r>
    </w:p>
    <w:p>
      <w:pPr>
        <w:pStyle w:val="Normal"/>
      </w:pPr>
      <w:r>
        <w:t>unattended and no pending auto-removals</w:t>
      </w:r>
    </w:p>
    <w:p>
      <w:pPr>
        <w:pStyle w:val="Normal"/>
      </w:pPr>
      <w:r>
        <w:t>Unattended-upgrades log:</w:t>
      </w:r>
    </w:p>
    <w:p>
      <w:pPr>
        <w:pStyle w:val="Normal"/>
      </w:pPr>
      <w:r>
        <w:t>Starting unattended upgrades script</w:t>
      </w:r>
    </w:p>
    <w:p>
      <w:pPr>
        <w:pStyle w:val="Normal"/>
      </w:pPr>
      <w:r>
        <w:t>Allowed origins are: o=Ubuntu,a=noble, o=Ubuntu,a=noble-security,</w:t>
      </w:r>
    </w:p>
    <w:p>
      <w:pPr>
        <w:pStyle w:val="Normal"/>
      </w:pPr>
      <w:r>
        <w:t>o=UbuntuESMApps,a=noble-apps-security,</w:t>
      </w:r>
    </w:p>
    <w:p>
      <w:pPr>
        <w:pStyle w:val="Normal"/>
      </w:pPr>
      <w:r>
        <w:t>o=UbuntuESM,a=noble-infra-security, o=Ubuntu,a=noble,</w:t>
      </w:r>
    </w:p>
    <w:p>
      <w:pPr>
        <w:pStyle w:val="Normal"/>
      </w:pPr>
      <w:r>
        <w:t>o=Ubuntu,a=noble-security, o=UbuntuESMApps,a=noble-apps-security,</w:t>
        <w:t xml:space="preserve"> </w:t>
        <w:t>o=UbuntuESM,a=noble-infra-security</w:t>
      </w:r>
    </w:p>
    <w:p>
      <w:pPr>
        <w:pStyle w:val="Normal"/>
      </w:pPr>
      <w:r>
        <w:t>Initial blacklist:</w:t>
      </w:r>
    </w:p>
    <w:p>
      <w:pPr>
        <w:pStyle w:val="Normal"/>
      </w:pPr>
      <w:r>
        <w:t>Initial whitelist (not strict):</w:t>
      </w:r>
    </w:p>
    <w:p>
      <w:pPr>
        <w:pStyle w:val="Normal"/>
      </w:pPr>
      <w:r>
        <w:t>No packages found that can be upgraded unattended and no pending auto-removals</w:t>
      </w:r>
    </w:p>
    <w:p>
      <w:pPr>
        <w:pStyle w:val="Para 17"/>
      </w:pPr>
      <w:r>
        <w:t/>
      </w:r>
    </w:p>
    <w:p>
      <w:pPr>
        <w:pStyle w:val="Para 01"/>
      </w:pPr>
      <w:r>
        <w:t>Upgrades applied, no errors</w:t>
      </w:r>
    </w:p>
    <w:p>
      <w:pPr>
        <w:pStyle w:val="Para 17"/>
      </w:pPr>
      <w:r>
        <w:t/>
      </w:r>
    </w:p>
    <w:p>
      <w:pPr>
        <w:pStyle w:val="Normal"/>
      </w:pPr>
      <w:r>
        <w:t>This is the default email report, when Unattended-Upgrade::MailReport is set to on-change :</w:t>
      </w:r>
    </w:p>
    <w:p>
      <w:pPr>
        <w:pStyle w:val="Normal"/>
      </w:pPr>
      <w:r>
        <w:rPr>
          <w:rStyle w:val="Text0"/>
        </w:rPr>
        <w:t>Subject:</w:t>
      </w:r>
      <w:r>
        <w:t xml:space="preserve"> </w:t>
        <w:t>unattended-upgrades result for nuc1: SUCCESS</w:t>
      </w:r>
    </w:p>
    <w:p>
      <w:pPr>
        <w:pStyle w:val="Normal"/>
      </w:pPr>
      <w:r>
        <w:t>Unattended upgrade result: All upgrades installed</w:t>
      </w:r>
    </w:p>
    <w:p>
      <w:pPr>
        <w:pStyle w:val="Normal"/>
      </w:pPr>
      <w:r>
        <w:t>Packages that were upgraded:</w:t>
      </w:r>
    </w:p>
    <w:p>
      <w:pPr>
        <w:pStyle w:val="Normal"/>
      </w:pPr>
      <w:r>
        <w:t>linux-firmware</w:t>
      </w:r>
    </w:p>
    <w:p>
      <w:pPr>
        <w:pStyle w:val="Normal"/>
      </w:pPr>
      <w:r>
        <w:t>Package installation log:</w:t>
      </w:r>
    </w:p>
    <w:p>
      <w:pPr>
        <w:pStyle w:val="Normal"/>
      </w:pPr>
      <w:r>
        <w:t>Log started: 2025-03-13</w:t>
        <w:t xml:space="preserve"> </w:t>
        <w:t>06:19:10</w:t>
      </w:r>
    </w:p>
    <w:p>
      <w:pPr>
        <w:pStyle w:val="Normal"/>
      </w:pPr>
      <w:r>
        <w:t>Preparing to unpack</w:t>
      </w:r>
    </w:p>
    <w:p>
      <w:pPr>
        <w:pStyle w:val="Normal"/>
      </w:pPr>
      <w:r>
        <w:t>.../linux-firmware_20240318.git3b128b60-0ubuntu2.10_amd64.deb ...</w:t>
      </w:r>
    </w:p>
    <w:p>
      <w:pPr>
        <w:pStyle w:val="Normal"/>
      </w:pPr>
      <w:r>
        <w:t>Unpacking linux-firmware (20240318.git3b128b60-0ubuntu2.10) over</w:t>
      </w:r>
    </w:p>
    <w:p>
      <w:pPr>
        <w:pStyle w:val="Normal"/>
      </w:pPr>
      <w:r>
        <w:t>(20240318.git3b128b60-0ubuntu2.9) ...</w:t>
      </w:r>
    </w:p>
    <w:p>
      <w:pPr>
        <w:pStyle w:val="Normal"/>
      </w:pPr>
      <w:r>
        <w:t>Setting up linux-firmware (20240318.git3b128b60-0ubuntu2.10) ...</w:t>
        <w:t xml:space="preserve"> </w:t>
        <w:t>Processing triggers for initramfs-tools (0.142ubuntu25.5) ...</w:t>
        <w:t xml:space="preserve"> </w:t>
        <w:t>update-initramfs: Generating /boot/initrd.img-6.8.0-55-generic</w:t>
      </w:r>
    </w:p>
    <w:p>
      <w:pPr>
        <w:pStyle w:val="Normal"/>
      </w:pPr>
      <w:r>
        <w:t>Running kernel seems to be up-to-date.</w:t>
      </w:r>
    </w:p>
    <w:p>
      <w:pPr>
        <w:pStyle w:val="Normal"/>
      </w:pPr>
      <w:r>
        <w:t>The processor microcode seems to be up-to-date.</w:t>
      </w:r>
    </w:p>
    <w:p>
      <w:pPr>
        <w:pStyle w:val="Normal"/>
      </w:pPr>
      <w:r>
        <w:t>No services need to be restarted.</w:t>
      </w:r>
    </w:p>
    <w:p>
      <w:pPr>
        <w:pStyle w:val="Normal"/>
      </w:pPr>
      <w:r>
        <w:t>No containers need to be restarted.</w:t>
      </w:r>
    </w:p>
    <w:p>
      <w:pPr>
        <w:pStyle w:val="Para 09"/>
      </w:pPr>
      <w:r>
        <w:t>(continues on next page)</w:t>
      </w:r>
    </w:p>
    <w:p>
      <w:bookmarkStart w:id="500" w:name="page_3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1" name="index-354_1.png" descr="index-354_1.png"/>
            <wp:cNvGraphicFramePr>
              <a:graphicFrameLocks noChangeAspect="1"/>
            </wp:cNvGraphicFramePr>
            <a:graphic>
              <a:graphicData uri="http://schemas.openxmlformats.org/drawingml/2006/picture">
                <pic:pic>
                  <pic:nvPicPr>
                    <pic:cNvPr id="0" name="index-354_1.png" descr="index-354_1.png"/>
                    <pic:cNvPicPr/>
                  </pic:nvPicPr>
                  <pic:blipFill>
                    <a:blip r:embed="rId365"/>
                    <a:stretch>
                      <a:fillRect/>
                    </a:stretch>
                  </pic:blipFill>
                  <pic:spPr>
                    <a:xfrm>
                      <a:off x="0" y="0"/>
                      <a:ext cx="914400" cy="266700"/>
                    </a:xfrm>
                    <a:prstGeom prst="rect">
                      <a:avLst/>
                    </a:prstGeom>
                  </pic:spPr>
                </pic:pic>
              </a:graphicData>
            </a:graphic>
          </wp:anchor>
        </w:drawing>
      </w:r>
      <w:bookmarkEnd w:id="500"/>
    </w:p>
    <w:p>
      <w:pPr>
        <w:pStyle w:val="Para 09"/>
      </w:pPr>
      <w:r>
        <w:t>(continued from previous page)</w:t>
      </w:r>
    </w:p>
    <w:p>
      <w:pPr>
        <w:pStyle w:val="Normal"/>
      </w:pPr>
      <w:r>
        <w:t>No user sessions are running outdated binaries.</w:t>
      </w:r>
    </w:p>
    <w:p>
      <w:pPr>
        <w:pStyle w:val="Normal"/>
      </w:pPr>
      <w:r>
        <w:t>No VM guests are running outdated hypervisor (qemu) binaries on this host.</w:t>
        <w:t xml:space="preserve"> </w:t>
        <w:t>Log ended: 2025-03-13</w:t>
        <w:t xml:space="preserve"> </w:t>
        <w:t>06:19:26</w:t>
      </w:r>
    </w:p>
    <w:p>
      <w:pPr>
        <w:pStyle w:val="Para 17"/>
      </w:pPr>
      <w:r>
        <w:t/>
      </w:r>
    </w:p>
    <w:p>
      <w:pPr>
        <w:pStyle w:val="Normal"/>
      </w:pPr>
      <w:r>
        <w:t>Unattended-upgrades log:</w:t>
      </w:r>
    </w:p>
    <w:p>
      <w:pPr>
        <w:pStyle w:val="Normal"/>
      </w:pPr>
      <w:r>
        <w:t>Starting unattended upgrades script</w:t>
      </w:r>
    </w:p>
    <w:p>
      <w:pPr>
        <w:pStyle w:val="Normal"/>
      </w:pPr>
      <w:r>
        <w:t>Allowed origins are: o=Ubuntu,a=noble, o=Ubuntu,a=noble-security,</w:t>
      </w:r>
    </w:p>
    <w:p>
      <w:pPr>
        <w:pStyle w:val="Normal"/>
      </w:pPr>
      <w:r>
        <w:t>o=UbuntuESMApps,a=noble-apps-security,</w:t>
      </w:r>
    </w:p>
    <w:p>
      <w:pPr>
        <w:pStyle w:val="Normal"/>
      </w:pPr>
      <w:r>
        <w:t>o=UbuntuESM,a=noble-infra-security, o=Ubuntu,a=noble,</w:t>
      </w:r>
    </w:p>
    <w:p>
      <w:pPr>
        <w:pStyle w:val="Normal"/>
      </w:pPr>
      <w:r>
        <w:t>o=Ubuntu,a=noble-security, o=UbuntuESMApps,a=noble-apps-security,</w:t>
        <w:t xml:space="preserve"> </w:t>
        <w:t>o=UbuntuESM,a=noble-infra-security</w:t>
      </w:r>
    </w:p>
    <w:p>
      <w:pPr>
        <w:pStyle w:val="Normal"/>
      </w:pPr>
      <w:r>
        <w:t>Initial blacklist:</w:t>
      </w:r>
    </w:p>
    <w:p>
      <w:pPr>
        <w:pStyle w:val="Normal"/>
      </w:pPr>
      <w:r>
        <w:t>Initial whitelist (not strict):</w:t>
      </w:r>
    </w:p>
    <w:p>
      <w:pPr>
        <w:pStyle w:val="Normal"/>
      </w:pPr>
      <w:r>
        <w:t>Packages that will be upgraded: linux-firmware</w:t>
      </w:r>
    </w:p>
    <w:p>
      <w:pPr>
        <w:pStyle w:val="Normal"/>
      </w:pPr>
      <w:r>
        <w:t>Writing dpkg log to /var/log/unattended-upgrades/unattended-upgrades-dpkg.log</w:t>
        <w:t xml:space="preserve"> </w:t>
        <w:t>All upgrades installed</w:t>
      </w:r>
    </w:p>
    <w:p>
      <w:pPr>
        <w:pStyle w:val="Para 17"/>
      </w:pPr>
      <w:r>
        <w:t/>
      </w:r>
    </w:p>
    <w:p>
      <w:pPr>
        <w:pStyle w:val="Para 01"/>
      </w:pPr>
      <w:r>
        <w:t>Reboots</w:t>
      </w:r>
    </w:p>
    <w:p>
      <w:pPr>
        <w:pStyle w:val="Para 17"/>
      </w:pPr>
      <w:r>
        <w:t/>
      </w:r>
    </w:p>
    <w:p>
      <w:pPr>
        <w:pStyle w:val="Normal"/>
      </w:pPr>
      <w:r>
        <w:t>Sometimes a system needs to be rebooted to fully apply an update. Such updates can use a mechanism in Ubuntu to let the system know that a reboot is recommended. unattended-upgrades can benefit from this mechanism and optionally reboot the system automatically when needed.</w:t>
      </w:r>
    </w:p>
    <w:p>
      <w:pPr>
        <w:pStyle w:val="Normal"/>
      </w:pPr>
      <w:r>
        <w:t>Reboots can be very disruptive, especially if the system fails to come back. There are some configuration options where this behavior can be adjusted:</w:t>
      </w:r>
    </w:p>
    <w:p>
      <w:pPr>
        <w:pStyle w:val="Para 04"/>
      </w:pPr>
      <w:r>
        <w:t>• Unattended-Upgrade::Automatic-Reboot "false";: If this option is set to true, the sys-</w:t>
      </w:r>
    </w:p>
    <w:p>
      <w:pPr>
        <w:pStyle w:val="Para 02"/>
      </w:pPr>
      <w:r>
        <w:t xml:space="preserve">tem will be rebooted </w:t>
      </w:r>
      <w:r>
        <w:rPr>
          <w:rStyle w:val="Text0"/>
        </w:rPr>
        <w:t>without confirmation</w:t>
      </w:r>
      <w:r>
        <w:t xml:space="preserve"> at the end of an upgrade run if a reboot was requested. The default value is false.</w:t>
      </w:r>
    </w:p>
    <w:p>
      <w:pPr>
        <w:pStyle w:val="Para 04"/>
      </w:pPr>
      <w:r>
        <w:t>• Unattended-Upgrade::Automatic-Reboot-WithUsers "true";: Automatically reboot</w:t>
      </w:r>
    </w:p>
    <w:p>
      <w:pPr>
        <w:pStyle w:val="Para 02"/>
      </w:pPr>
      <w:r>
        <w:t>even if there are users currently logged in when Unattended-Upgrade::Automatic-Reboot (the option above) is set to true. The default value is true.</w:t>
      </w:r>
    </w:p>
    <w:p>
      <w:pPr>
        <w:pStyle w:val="Para 04"/>
      </w:pPr>
      <w:r>
        <w:t>• Unattended-Upgrade::Automatic-Reboot-Time "now";: If automatic reboot is enabled</w:t>
      </w:r>
    </w:p>
    <w:p>
      <w:pPr>
        <w:pStyle w:val="Para 02"/>
      </w:pPr>
      <w:r>
        <w:t>and needed, reboot at the specific time instead of immediately. The time value is</w:t>
      </w:r>
    </w:p>
    <w:p>
      <w:pPr>
        <w:pStyle w:val="Para 02"/>
      </w:pPr>
      <w:r>
        <w:t xml:space="preserve">passed as-is to the </w:t>
      </w:r>
      <w:hyperlink r:id="rId1276">
        <w:r>
          <w:rPr>
            <w:rStyle w:val="Text9"/>
          </w:rPr>
          <w:t>297</w:t>
        </w:r>
      </w:hyperlink>
      <w:hyperlink r:id="rId1276">
        <w:r>
          <w:rPr>
            <w:rStyle w:val="Text1"/>
          </w:rPr>
          <w:t xml:space="preserve"> </w:t>
        </w:r>
      </w:hyperlink>
      <w:hyperlink r:id="rId1276">
        <w:r>
          <w:rPr>
            <w:rStyle w:val="Text2"/>
          </w:rPr>
          <w:t>shutdown(8)</w:t>
        </w:r>
      </w:hyperlink>
      <w:r>
        <w:t xml:space="preserve"> command. It can be the text “now” (which is the default), or in the format “hh:mm” (hours:minutes), or an offset in minutes specified like “+m”. Note that if using “hh:mm”, it will be in the local system’s timezone.</w:t>
      </w:r>
    </w:p>
    <w:p>
      <w:pPr>
        <w:pStyle w:val="Para 08"/>
      </w:pPr>
      <w:r>
        <w:t>Note:</w:t>
      </w:r>
    </w:p>
    <w:p>
      <w:pPr>
        <w:pStyle w:val="Para 03"/>
      </w:pPr>
      <w:r>
        <w:t>For more information about this time specification for the reboot, and other options like</w:t>
      </w:r>
    </w:p>
    <w:p>
      <w:pPr>
        <w:pStyle w:val="Para 03"/>
      </w:pPr>
      <w:r>
        <w:t xml:space="preserve">cancelling a scheduled reboot, see the </w:t>
      </w:r>
      <w:hyperlink r:id="rId1276">
        <w:r>
          <w:rPr>
            <w:rStyle w:val="Text9"/>
          </w:rPr>
          <w:t>298</w:t>
        </w:r>
      </w:hyperlink>
      <w:hyperlink r:id="rId1276">
        <w:r>
          <w:rPr>
            <w:rStyle w:val="Text1"/>
          </w:rPr>
          <w:t xml:space="preserve"> </w:t>
        </w:r>
      </w:hyperlink>
      <w:hyperlink r:id="rId1276">
        <w:r>
          <w:rPr>
            <w:rStyle w:val="Text2"/>
          </w:rPr>
          <w:t>shutdown(8)</w:t>
        </w:r>
      </w:hyperlink>
      <w:r>
        <w:t xml:space="preserve"> manpage.</w:t>
      </w:r>
    </w:p>
    <w:p>
      <w:pPr>
        <w:pStyle w:val="Para 05"/>
      </w:pPr>
      <w:r>
        <w:rPr>
          <w:rStyle w:val="Text5"/>
        </w:rPr>
        <w:t>298</w:t>
      </w:r>
      <w:r>
        <w:rPr>
          <w:rStyle w:val="Text8"/>
        </w:rPr>
        <w:t xml:space="preserve"> </w:t>
      </w:r>
      <w:r>
        <w:t>https://manpages.ubuntu.com/manpages/resolute/man8/shutdown.8.html</w:t>
      </w:r>
    </w:p>
    <w:p>
      <w:pPr>
        <w:pStyle w:val="Para 17"/>
      </w:pPr>
      <w:r>
        <w:t/>
      </w:r>
    </w:p>
    <w:p>
      <w:pPr>
        <w:pStyle w:val="Para 03"/>
      </w:pPr>
      <w:r>
        <w:rPr>
          <w:rStyle w:val="Text5"/>
        </w:rPr>
        <w:t>297</w:t>
      </w:r>
      <w:r>
        <w:t xml:space="preserve"> </w:t>
      </w:r>
      <w:r>
        <w:rPr>
          <w:rStyle w:val="Text6"/>
        </w:rPr>
        <w:t>https://manpages.ubuntu.com/manpages/resolute/man8/shutdown.8.html</w:t>
      </w:r>
      <w:r>
        <w:t xml:space="preserve"> Below are the logs of an unattended-upgrades run that started at 20:43. The tool installed the available upgrades and detected that a reboot was requested, which was scheduled using the configured Automatic-Reboot-Time (20:45 in this example):</w:t>
      </w:r>
    </w:p>
    <w:p>
      <w:bookmarkStart w:id="501" w:name="page_3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2" name="index-355_1.png" descr="index-355_1.png"/>
            <wp:cNvGraphicFramePr>
              <a:graphicFrameLocks noChangeAspect="1"/>
            </wp:cNvGraphicFramePr>
            <a:graphic>
              <a:graphicData uri="http://schemas.openxmlformats.org/drawingml/2006/picture">
                <pic:pic>
                  <pic:nvPicPr>
                    <pic:cNvPr id="0" name="index-355_1.png" descr="index-355_1.png"/>
                    <pic:cNvPicPr/>
                  </pic:nvPicPr>
                  <pic:blipFill>
                    <a:blip r:embed="rId366"/>
                    <a:stretch>
                      <a:fillRect/>
                    </a:stretch>
                  </pic:blipFill>
                  <pic:spPr>
                    <a:xfrm>
                      <a:off x="0" y="0"/>
                      <a:ext cx="914400" cy="266700"/>
                    </a:xfrm>
                    <a:prstGeom prst="rect">
                      <a:avLst/>
                    </a:prstGeom>
                  </pic:spPr>
                </pic:pic>
              </a:graphicData>
            </a:graphic>
          </wp:anchor>
        </w:drawing>
      </w:r>
      <w:bookmarkEnd w:id="501"/>
    </w:p>
    <w:p>
      <w:pPr>
        <w:pStyle w:val="Normal"/>
      </w:pPr>
      <w:r>
        <w:t>2025-03-13 20:43:25,923 INFO Starting unattended upgrades script</w:t>
        <w:t xml:space="preserve"> </w:t>
        <w:t>2025-03-13 20:43:25,924 INFO Allowed origins are: o=Ubuntu,a=noble, o=Ubuntu,a=noble-</w:t>
        <w:t>security, o=UbuntuESMApps,a=noble-apps-security, o=UbuntuESM,a=noble-infra-security</w:t>
        <w:t xml:space="preserve"> </w:t>
        <w:t>2025-03-13 20:43:25,924 INFO Initial blacklist:</w:t>
      </w:r>
    </w:p>
    <w:p>
      <w:pPr>
        <w:pStyle w:val="Normal"/>
      </w:pPr>
      <w:r>
        <w:t>2025-03-13 20:43:25,924 INFO Initial whitelist (not strict):</w:t>
        <w:t xml:space="preserve"> </w:t>
        <w:t>2025-03-13 20:43:29,082 INFO Packages that will be upgraded: libc6 python3-jinja2</w:t>
        <w:t xml:space="preserve"> </w:t>
        <w:t>2025-03-13 20:43:29,082 INFO Writing dpkg log to /var/log/unattended-upgrades/unattended-</w:t>
        <w:t>upgrades-dpkg.log</w:t>
      </w:r>
    </w:p>
    <w:p>
      <w:pPr>
        <w:pStyle w:val="Normal"/>
      </w:pPr>
      <w:r>
        <w:t>2025-03-13 20:43:39,532 INFO All upgrades installed</w:t>
      </w:r>
    </w:p>
    <w:p>
      <w:pPr>
        <w:pStyle w:val="Normal"/>
      </w:pPr>
      <w:r>
        <w:t>2025-03-13 20:43:40,201 WARNING Found /var/run/reboot-required, rebooting</w:t>
        <w:t xml:space="preserve"> </w:t>
        <w:t>2025-03-13 20:43:40,207 WARNING Shutdown msg: b"Reboot scheduled for Thu 2025-03-13</w:t>
        <w:t xml:space="preserve"> </w:t>
        <w:t>20:45:00 UTC, use 'shutdown -c' to cancel."</w:t>
      </w:r>
    </w:p>
    <w:p>
      <w:pPr>
        <w:pStyle w:val="Para 17"/>
      </w:pPr>
      <w:r>
        <w:t/>
      </w:r>
    </w:p>
    <w:p>
      <w:pPr>
        <w:pStyle w:val="Para 01"/>
      </w:pPr>
      <w:r>
        <w:t>When to consider disabling automatic updates</w:t>
      </w:r>
    </w:p>
    <w:p>
      <w:pPr>
        <w:pStyle w:val="Para 17"/>
      </w:pPr>
      <w:r>
        <w:t/>
      </w:r>
    </w:p>
    <w:p>
      <w:pPr>
        <w:pStyle w:val="Normal"/>
      </w:pPr>
      <w:r>
        <w:t>While automatic security updates are enabled in Ubuntu by default, in some situations it might make sense to disable this feature, or carefully limit its reach.</w:t>
      </w:r>
    </w:p>
    <w:p>
      <w:pPr>
        <w:pStyle w:val="Normal"/>
      </w:pPr>
      <w:r>
        <w:t>Here are some considerations.</w:t>
      </w:r>
    </w:p>
    <w:p>
      <w:pPr>
        <w:pStyle w:val="Para 17"/>
      </w:pPr>
      <w:r>
        <w:t/>
      </w:r>
    </w:p>
    <w:p>
      <w:pPr>
        <w:pStyle w:val="Para 01"/>
      </w:pPr>
      <w:r>
        <w:t>Systems which just get recreated</w:t>
      </w:r>
    </w:p>
    <w:p>
      <w:pPr>
        <w:pStyle w:val="Para 17"/>
      </w:pPr>
      <w:r>
        <w:t/>
      </w:r>
    </w:p>
    <w:p>
      <w:pPr>
        <w:pStyle w:val="Normal"/>
      </w:pPr>
      <w:r>
        <w:t>Some systems are designed to be redeployed from a new base image rather than receive up-dates. This is common in cloud and container-based applications, where outdated instances are destroyed and replaced with newer ones. These systems are typically very lean, focused solely on running specific applications, and so may lack self-update tools.</w:t>
      </w:r>
    </w:p>
    <w:p>
      <w:pPr>
        <w:pStyle w:val="Normal"/>
      </w:pPr>
      <w:r>
        <w:t>Keep in mind that the security exposure is still there: it’s only the update mechanism that is different, and comes in the form of a new deployment. The update still has to happen somewhere, it’s just not at runtime. Until that new deployment is done, outdated software might still be running.</w:t>
      </w:r>
    </w:p>
    <w:p>
      <w:pPr>
        <w:pStyle w:val="Para 17"/>
      </w:pPr>
      <w:r>
        <w:t/>
      </w:r>
    </w:p>
    <w:p>
      <w:pPr>
        <w:pStyle w:val="Para 01"/>
      </w:pPr>
      <w:r>
        <w:t>Manual steps required</w:t>
      </w:r>
    </w:p>
    <w:p>
      <w:pPr>
        <w:pStyle w:val="Para 17"/>
      </w:pPr>
      <w:r>
        <w:t/>
      </w:r>
    </w:p>
    <w:p>
      <w:pPr>
        <w:pStyle w:val="Normal"/>
      </w:pPr>
      <w:r>
        <w:t>While Ubuntu updates rarely require manual steps to complete an upgrade (at most a reboot can be required), it could be plausible that other applications require some manual steps after or before an update is applied. If that is the case, and if such steps cannot be safely automated, then maybe unattended-upgrades should be disabled on such systems.</w:t>
      </w:r>
    </w:p>
    <w:p>
      <w:pPr>
        <w:pStyle w:val="Normal"/>
      </w:pPr>
      <w:r>
        <w:t>Do consider block-listing such packages instead, if they are known to trigger such manual steps. In that case, the system can still benefit from all the other upgrades that might become available.</w:t>
      </w:r>
    </w:p>
    <w:p>
      <w:bookmarkStart w:id="502" w:name="calibre_pb_73"/>
      <w:pPr>
        <w:pStyle w:val="0 Block"/>
      </w:pPr>
      <w:bookmarkEnd w:id="502"/>
    </w:p>
    <w:p>
      <w:bookmarkStart w:id="503" w:name="Top_of_index_split_074_html"/>
      <w:bookmarkStart w:id="504" w:name="page_35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3" name="index-356_1.png" descr="index-356_1.png"/>
            <wp:cNvGraphicFramePr>
              <a:graphicFrameLocks noChangeAspect="1"/>
            </wp:cNvGraphicFramePr>
            <a:graphic>
              <a:graphicData uri="http://schemas.openxmlformats.org/drawingml/2006/picture">
                <pic:pic>
                  <pic:nvPicPr>
                    <pic:cNvPr id="0" name="index-356_1.png" descr="index-356_1.png"/>
                    <pic:cNvPicPr/>
                  </pic:nvPicPr>
                  <pic:blipFill>
                    <a:blip r:embed="rId367"/>
                    <a:stretch>
                      <a:fillRect/>
                    </a:stretch>
                  </pic:blipFill>
                  <pic:spPr>
                    <a:xfrm>
                      <a:off x="0" y="0"/>
                      <a:ext cx="914400" cy="266700"/>
                    </a:xfrm>
                    <a:prstGeom prst="rect">
                      <a:avLst/>
                    </a:prstGeom>
                  </pic:spPr>
                </pic:pic>
              </a:graphicData>
            </a:graphic>
          </wp:anchor>
        </w:drawing>
      </w:r>
      <w:bookmarkEnd w:id="503"/>
      <w:bookmarkEnd w:id="504"/>
    </w:p>
    <w:p>
      <w:pPr>
        <w:pStyle w:val="Para 01"/>
      </w:pPr>
      <w:r>
        <w:t>Too much of a risk</w:t>
      </w:r>
    </w:p>
    <w:p>
      <w:pPr>
        <w:pStyle w:val="Para 17"/>
      </w:pPr>
      <w:r>
        <w:t/>
      </w:r>
    </w:p>
    <w:p>
      <w:pPr>
        <w:pStyle w:val="Normal"/>
      </w:pPr>
      <w:r>
        <w:t>Even with all the care in the world, applying updates to a running system comes with risk. Ubuntu believes that risk to be less than the risk of NOT applying a security update, which is why unattended-upgrades will apply security updates by default. But for some specific sys-tems, the risk vs benefit equation might favor staying put and not applying an update unless specifically requested.</w:t>
      </w:r>
    </w:p>
    <w:p>
      <w:pPr>
        <w:pStyle w:val="Normal"/>
      </w:pPr>
      <w:r>
        <w:t>Always keep in mind, however, that specific packages can be blocked from receiving updates. For example, if a particular system runs a critical application that could break if certain li-braries on the system are updated, then perhaps an acceptable compromise is to block these library packages from receiving upgrades, instead of disabling the whole feature.</w:t>
      </w:r>
    </w:p>
    <w:p>
      <w:pPr>
        <w:pStyle w:val="Normal"/>
      </w:pPr>
      <w:r>
        <w:t>As a middle-ground solution, you can configure unattended-upgrades to postpone impend-</w:t>
      </w:r>
    </w:p>
    <w:p>
      <w:pPr>
        <w:pStyle w:val="Normal"/>
      </w:pPr>
      <w:r>
        <w:t xml:space="preserve">ing updates to a later time. Read how to configure this feature in the </w:t>
      </w:r>
      <w:hyperlink w:anchor="page_356">
        <w:r>
          <w:rPr>
            <w:rStyle w:val="Text2"/>
          </w:rPr>
          <w:t>Postponable updates</w:t>
        </w:r>
      </w:hyperlink>
      <w:r>
        <w:t xml:space="preserve"> (page 355) section.</w:t>
      </w:r>
    </w:p>
    <w:p>
      <w:pPr>
        <w:pStyle w:val="Para 17"/>
      </w:pPr>
      <w:r>
        <w:t/>
      </w:r>
    </w:p>
    <w:p>
      <w:pPr>
        <w:pStyle w:val="Para 01"/>
      </w:pPr>
      <w:r>
        <w:t>Fleet management</w:t>
      </w:r>
    </w:p>
    <w:p>
      <w:pPr>
        <w:pStyle w:val="Para 17"/>
      </w:pPr>
      <w:r>
        <w:t/>
      </w:r>
    </w:p>
    <w:p>
      <w:pPr>
        <w:pStyle w:val="Normal"/>
      </w:pPr>
      <w:r>
        <w:t>The unattended-upgrades feature is helpful, does its job, and even sends out reports. But it’s not intended to be a replacement for fleet management software. If a large number of Ubuntu systems needs to be kept updated, other solutions are better suited for the job. Such large deployments usually come with much stricter and wider requirements, like:</w:t>
      </w:r>
    </w:p>
    <w:p>
      <w:pPr>
        <w:pStyle w:val="Para 04"/>
      </w:pPr>
      <w:r>
        <w:t>• Compliance reports: How many systems are up-do-date, how many are still behind, for</w:t>
      </w:r>
    </w:p>
    <w:p>
      <w:pPr>
        <w:pStyle w:val="Para 02"/>
      </w:pPr>
      <w:r>
        <w:t>how long has a system been exposed to a known vulnerability, etc.</w:t>
      </w:r>
    </w:p>
    <w:p>
      <w:pPr>
        <w:pStyle w:val="Para 04"/>
      </w:pPr>
      <w:r>
        <w:t>• Maintenance windows: Different systems might require different maintenance win-</w:t>
      </w:r>
    </w:p>
    <w:p>
      <w:pPr>
        <w:pStyle w:val="Para 02"/>
      </w:pPr>
      <w:r>
        <w:t>dows. Some can be updated anytime, others only on weekends, etc.</w:t>
      </w:r>
    </w:p>
    <w:p>
      <w:pPr>
        <w:pStyle w:val="Para 04"/>
      </w:pPr>
      <w:r>
        <w:t>• Canary rollouts: The ability to rollout updates to an initial group of systems, and over</w:t>
      </w:r>
    </w:p>
    <w:p>
      <w:pPr>
        <w:pStyle w:val="Para 02"/>
      </w:pPr>
      <w:r>
        <w:t>time increase the number of systems that will receive the update.</w:t>
      </w:r>
    </w:p>
    <w:p>
      <w:pPr>
        <w:pStyle w:val="Normal"/>
      </w:pPr>
      <w:r>
        <w:t xml:space="preserve">An example of such a Fleet Management software for Ubuntu systems is </w:t>
      </w:r>
      <w:hyperlink r:id="rId1277">
        <w:r>
          <w:rPr>
            <w:rStyle w:val="Text9"/>
          </w:rPr>
          <w:t>299</w:t>
        </w:r>
      </w:hyperlink>
      <w:hyperlink r:id="rId1277">
        <w:r>
          <w:rPr>
            <w:rStyle w:val="Text1"/>
          </w:rPr>
          <w:t xml:space="preserve"> Landscape</w:t>
        </w:r>
      </w:hyperlink>
      <w:r>
        <w:t>.</w:t>
      </w:r>
    </w:p>
    <w:p>
      <w:pPr>
        <w:pStyle w:val="Para 17"/>
      </w:pPr>
      <w:r>
        <w:t/>
      </w:r>
    </w:p>
    <w:p>
      <w:pPr>
        <w:pStyle w:val="Para 01"/>
      </w:pPr>
      <w:r>
        <w:t>Postponable updates</w:t>
      </w:r>
    </w:p>
    <w:p>
      <w:pPr>
        <w:pStyle w:val="Para 17"/>
      </w:pPr>
      <w:r>
        <w:t/>
      </w:r>
    </w:p>
    <w:p>
      <w:pPr>
        <w:pStyle w:val="Normal"/>
      </w:pPr>
      <w:r>
        <w:t>By default, system updates are applied automatically in the background without any user interaction.</w:t>
      </w:r>
    </w:p>
    <w:p>
      <w:pPr>
        <w:pStyle w:val="Normal"/>
      </w:pPr>
      <w:r>
        <w:t>Starting with Ubuntu 25.04, a system administrator can allow users to postpone these au-tomatic updates for a limited number of days by setting the Unattended-Update::Postpone-For-Days option.</w:t>
      </w:r>
    </w:p>
    <w:p>
      <w:pPr>
        <w:pStyle w:val="Normal"/>
      </w:pPr>
      <w:r>
        <w:t>When this option is set, unattended-upgrade will run according to the cadence set by the ad-ministrator and check for updates. If there are updates available it will notify active users and prompt them to choose if they want to upgrade immediately, or postpone them. For example, if Unattended-Upgrade::Postpone-For-Days "3" is set, then the user can postpone upgrades for up to three days. After that, the next time unattended-updates runs the user will not be prompted and the upgrades will be applied to the system.</w:t>
      </w:r>
    </w:p>
    <w:p>
      <w:pPr>
        <w:pStyle w:val="Para 03"/>
      </w:pPr>
      <w:r>
        <w:rPr>
          <w:rStyle w:val="Text5"/>
        </w:rPr>
        <w:t>299</w:t>
      </w:r>
      <w:r>
        <w:t xml:space="preserve"> </w:t>
      </w:r>
      <w:r>
        <w:rPr>
          <w:rStyle w:val="Text6"/>
        </w:rPr>
        <w:t>https://ubuntu.com/landscape</w:t>
      </w:r>
      <w:r>
        <w:t xml:space="preserve"> To enable the feature, edit the /etc/apt/apt.conf.d/50unattended-upgrades file and set the number of days that a user is allowed to postpone the automatic updates for. To postpone for up to </w:t>
      </w:r>
      <w:r>
        <w:rPr>
          <w:rStyle w:val="Text0"/>
        </w:rPr>
        <w:t>3</w:t>
      </w:r>
      <w:r>
        <w:t xml:space="preserve"> days:</w:t>
      </w:r>
    </w:p>
    <w:p>
      <w:bookmarkStart w:id="505" w:name="page_3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4" name="index-357_1.png" descr="index-357_1.png"/>
            <wp:cNvGraphicFramePr>
              <a:graphicFrameLocks noChangeAspect="1"/>
            </wp:cNvGraphicFramePr>
            <a:graphic>
              <a:graphicData uri="http://schemas.openxmlformats.org/drawingml/2006/picture">
                <pic:pic>
                  <pic:nvPicPr>
                    <pic:cNvPr id="0" name="index-357_1.png" descr="index-357_1.png"/>
                    <pic:cNvPicPr/>
                  </pic:nvPicPr>
                  <pic:blipFill>
                    <a:blip r:embed="rId368"/>
                    <a:stretch>
                      <a:fillRect/>
                    </a:stretch>
                  </pic:blipFill>
                  <pic:spPr>
                    <a:xfrm>
                      <a:off x="0" y="0"/>
                      <a:ext cx="914400" cy="266700"/>
                    </a:xfrm>
                    <a:prstGeom prst="rect">
                      <a:avLst/>
                    </a:prstGeom>
                  </pic:spPr>
                </pic:pic>
              </a:graphicData>
            </a:graphic>
          </wp:anchor>
        </w:drawing>
      </w:r>
      <w:bookmarkEnd w:id="505"/>
    </w:p>
    <w:p>
      <w:pPr>
        <w:pStyle w:val="Normal"/>
      </w:pPr>
      <w:r>
        <w:t>Unattended-Upgrade::Postpone-For-Days "3";</w:t>
      </w:r>
    </w:p>
    <w:p>
      <w:pPr>
        <w:pStyle w:val="Para 17"/>
      </w:pPr>
      <w:r>
        <w:t/>
      </w:r>
    </w:p>
    <w:p>
      <w:pPr>
        <w:pStyle w:val="Normal"/>
      </w:pPr>
      <w:r>
        <w:t xml:space="preserve">To disable the feature, set the number of days to </w:t>
      </w:r>
      <w:r>
        <w:rPr>
          <w:rStyle w:val="Text0"/>
        </w:rPr>
        <w:t>0</w:t>
      </w:r>
      <w:r>
        <w:t>.</w:t>
      </w:r>
    </w:p>
    <w:p>
      <w:pPr>
        <w:pStyle w:val="Para 17"/>
      </w:pPr>
      <w:r>
        <w:t/>
      </w:r>
    </w:p>
    <w:p>
      <w:pPr>
        <w:pStyle w:val="Para 01"/>
      </w:pPr>
      <w:r>
        <w:t>Prompt duration</w:t>
      </w:r>
    </w:p>
    <w:p>
      <w:pPr>
        <w:pStyle w:val="Para 17"/>
      </w:pPr>
      <w:r>
        <w:t/>
      </w:r>
    </w:p>
    <w:p>
      <w:pPr>
        <w:pStyle w:val="Normal"/>
      </w:pPr>
      <w:r>
        <w:t>The Unattended-Upgrade::Postpone-Wait-Time configuration option controls the amount of time (in seconds) that a user has available to send a postpone request after being prompted. If no postpone request is received within the specified time, the updates will start being applied as normal.</w:t>
      </w:r>
    </w:p>
    <w:p>
      <w:pPr>
        <w:pStyle w:val="Para 17"/>
      </w:pPr>
      <w:r>
        <w:t/>
      </w:r>
    </w:p>
    <w:p>
      <w:pPr>
        <w:pStyle w:val="Para 01"/>
      </w:pPr>
      <w:r>
        <w:t>Who can postpone</w:t>
      </w:r>
    </w:p>
    <w:p>
      <w:pPr>
        <w:pStyle w:val="Para 17"/>
      </w:pPr>
      <w:r>
        <w:t/>
      </w:r>
    </w:p>
    <w:p>
      <w:pPr>
        <w:pStyle w:val="Normal"/>
      </w:pPr>
      <w:r>
        <w:t>The system administrator can restrict access to the postpone request by defining polkit rules for the com.ubuntu.UnattendedUpgrade.Pending.Postpone action. By default, access is</w:t>
      </w:r>
    </w:p>
    <w:p>
      <w:pPr>
        <w:pStyle w:val="Normal"/>
      </w:pPr>
      <w:r>
        <w:t xml:space="preserve">granted to users of an active session. See the </w:t>
      </w:r>
      <w:hyperlink w:anchor="page_357">
        <w:r>
          <w:rPr>
            <w:rStyle w:val="Text9"/>
          </w:rPr>
          <w:t>300</w:t>
        </w:r>
      </w:hyperlink>
      <w:r>
        <w:t xml:space="preserve"> </w:t>
      </w:r>
      <w:hyperlink r:id="rId1278">
        <w:r>
          <w:rPr>
            <w:rStyle w:val="Text1"/>
          </w:rPr>
          <w:t>polkit documentation</w:t>
        </w:r>
      </w:hyperlink>
      <w:r>
        <w:t xml:space="preserve"> for how to set up authorization rules.</w:t>
      </w:r>
    </w:p>
    <w:p>
      <w:pPr>
        <w:pStyle w:val="Para 17"/>
      </w:pPr>
      <w:r>
        <w:t/>
      </w:r>
    </w:p>
    <w:p>
      <w:pPr>
        <w:pStyle w:val="Para 01"/>
      </w:pPr>
      <w:r>
        <w:t>Notifications in different environments</w:t>
      </w:r>
    </w:p>
    <w:p>
      <w:pPr>
        <w:pStyle w:val="Para 17"/>
      </w:pPr>
      <w:r>
        <w:t/>
      </w:r>
    </w:p>
    <w:p>
      <w:pPr>
        <w:pStyle w:val="Normal"/>
      </w:pPr>
      <w:r>
        <w:t>The prompting functionality is implemented graphically on Ubuntu Desktop by the update-notifier program. The user is shown a notification with the option to postpone the updates. Then, while updates are being applied an icon is visible in the system tray area informing the user so they know when it is safe to resume critical activities that may be affected by the updates.</w:t>
      </w:r>
    </w:p>
    <w:p>
      <w:pPr>
        <w:pStyle w:val="Normal"/>
      </w:pPr>
      <w:r>
        <w:t>On other environments, such as Ubuntu Server, you can implement your own prompting client by listening for the AboutToStart signal on the system bus and send a call to the Post-pone() method. Read the /usr/share/dbus-1/interfaces/com.ubuntu.UnattendedUpgrade. Pending.xml interface specification for more details.</w:t>
      </w:r>
    </w:p>
    <w:p>
      <w:pPr>
        <w:pStyle w:val="Para 17"/>
      </w:pPr>
      <w:r>
        <w:t/>
      </w:r>
    </w:p>
    <w:p>
      <w:pPr>
        <w:pStyle w:val="Para 01"/>
      </w:pPr>
      <w:r>
        <w:t>Testing and troubleshooting</w:t>
      </w:r>
    </w:p>
    <w:p>
      <w:pPr>
        <w:pStyle w:val="Para 17"/>
      </w:pPr>
      <w:r>
        <w:t/>
      </w:r>
    </w:p>
    <w:p>
      <w:pPr>
        <w:pStyle w:val="Normal"/>
      </w:pPr>
      <w:r>
        <w:t>It’s possible to test some configuration changes to unattended-upgrade without having to</w:t>
      </w:r>
    </w:p>
    <w:p>
      <w:pPr>
        <w:pStyle w:val="Normal"/>
      </w:pPr>
      <w:r>
        <w:t xml:space="preserve">wait for the next time it would run. The </w:t>
      </w:r>
      <w:hyperlink r:id="rId1279">
        <w:r>
          <w:rPr>
            <w:rStyle w:val="Text9"/>
          </w:rPr>
          <w:t>301</w:t>
        </w:r>
      </w:hyperlink>
      <w:r>
        <w:t xml:space="preserve"> unattended-upgrade tool has a </w:t>
      </w:r>
      <w:hyperlink r:id="rId1279">
        <w:r>
          <w:rPr>
            <w:rStyle w:val="Text2"/>
          </w:rPr>
          <w:t>manual page</w:t>
        </w:r>
      </w:hyperlink>
      <w:r>
        <w:t xml:space="preserve"> that</w:t>
      </w:r>
    </w:p>
    <w:p>
      <w:pPr>
        <w:pStyle w:val="Normal"/>
      </w:pPr>
      <w:r>
        <w:t>explains all its command-line options. Here are the most useful ones for testing and trou-bleshooting:</w:t>
      </w:r>
    </w:p>
    <w:p>
      <w:pPr>
        <w:pStyle w:val="Para 04"/>
      </w:pPr>
      <w:r>
        <w:t>•-v: Show a more verbose output.</w:t>
      </w:r>
    </w:p>
    <w:p>
      <w:pPr>
        <w:pStyle w:val="Para 04"/>
      </w:pPr>
      <w:r>
        <w:t>•--dry-run: Just simulate what would happen, without actually making any changes.</w:t>
      </w:r>
    </w:p>
    <w:p>
      <w:pPr>
        <w:pStyle w:val="Para 05"/>
      </w:pPr>
      <w:r>
        <w:rPr>
          <w:rStyle w:val="Text5"/>
        </w:rPr>
        <w:t>300</w:t>
      </w:r>
      <w:r>
        <w:rPr>
          <w:rStyle w:val="Text8"/>
        </w:rPr>
        <w:t xml:space="preserve"> </w:t>
      </w:r>
      <w:r>
        <w:t>https://www.freedesktop.org/software/polkit/docs/latest/polkit.8.html</w:t>
      </w:r>
    </w:p>
    <w:p>
      <w:pPr>
        <w:pStyle w:val="Para 03"/>
      </w:pPr>
      <w:r>
        <w:rPr>
          <w:rStyle w:val="Text5"/>
        </w:rPr>
        <w:t>301</w:t>
      </w:r>
      <w:r>
        <w:t xml:space="preserve"> </w:t>
      </w:r>
      <w:r>
        <w:rPr>
          <w:rStyle w:val="Text6"/>
        </w:rPr>
        <w:t>https://manpages.ubuntu.com/manpages/resolute/man8/unattended-upgrade.8.html</w:t>
      </w:r>
      <w:r>
        <w:t xml:space="preserve"> For example, let’s say we want to check if the PPA origin was included correctly in the </w:t>
      </w:r>
      <w:r>
        <w:rPr>
          <w:rStyle w:val="Text3"/>
        </w:rPr>
        <w:t>Allowed-Origins</w:t>
      </w:r>
      <w:r>
        <w:t xml:space="preserve"> configuration, and if an update that we know is available would be considered.</w:t>
      </w:r>
    </w:p>
    <w:p>
      <w:bookmarkStart w:id="506" w:name="page_3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5" name="index-358_1.png" descr="index-358_1.png"/>
            <wp:cNvGraphicFramePr>
              <a:graphicFrameLocks noChangeAspect="1"/>
            </wp:cNvGraphicFramePr>
            <a:graphic>
              <a:graphicData uri="http://schemas.openxmlformats.org/drawingml/2006/picture">
                <pic:pic>
                  <pic:nvPicPr>
                    <pic:cNvPr id="0" name="index-358_1.png" descr="index-358_1.png"/>
                    <pic:cNvPicPr/>
                  </pic:nvPicPr>
                  <pic:blipFill>
                    <a:blip r:embed="rId369"/>
                    <a:stretch>
                      <a:fillRect/>
                    </a:stretch>
                  </pic:blipFill>
                  <pic:spPr>
                    <a:xfrm>
                      <a:off x="0" y="0"/>
                      <a:ext cx="914400" cy="266700"/>
                    </a:xfrm>
                    <a:prstGeom prst="rect">
                      <a:avLst/>
                    </a:prstGeom>
                  </pic:spPr>
                </pic:pic>
              </a:graphicData>
            </a:graphic>
          </wp:anchor>
        </w:drawing>
      </w:r>
      <w:bookmarkEnd w:id="506"/>
    </w:p>
    <w:p>
      <w:pPr>
        <w:pStyle w:val="Normal"/>
      </w:pPr>
      <w:r>
        <w:t xml:space="preserve">After we add "LP-PPA-canonical-server-server-backports:${distro_codename}"; to Allowed-Origins in /etc/apt/apt.conf.d/50unattended-upgrades, we can run the tool in </w:t>
      </w:r>
      <w:r>
        <w:rPr>
          <w:rStyle w:val="Text3"/>
        </w:rPr>
        <w:t>verbose</w:t>
      </w:r>
      <w:r>
        <w:t xml:space="preserve"> and </w:t>
      </w:r>
      <w:r>
        <w:rPr>
          <w:rStyle w:val="Text3"/>
        </w:rPr>
        <w:t>dry-run</w:t>
      </w:r>
      <w:r>
        <w:t xml:space="preserve"> modes to check what would happen:</w:t>
      </w:r>
    </w:p>
    <w:p>
      <w:pPr>
        <w:pStyle w:val="Normal"/>
      </w:pPr>
      <w:r>
        <w:t>sudo unattended-upgrade -v --dry-run</w:t>
      </w:r>
    </w:p>
    <w:p>
      <w:pPr>
        <w:pStyle w:val="Para 17"/>
      </w:pPr>
      <w:r>
        <w:t/>
      </w:r>
    </w:p>
    <w:p>
      <w:pPr>
        <w:pStyle w:val="Normal"/>
      </w:pPr>
      <w:r>
        <w:t>Which produces the following output, in this example scenario:</w:t>
      </w:r>
    </w:p>
    <w:p>
      <w:pPr>
        <w:pStyle w:val="Normal"/>
      </w:pPr>
      <w:r>
        <w:t>Starting unattended upgrades script</w:t>
      </w:r>
    </w:p>
    <w:p>
      <w:pPr>
        <w:pStyle w:val="Normal"/>
      </w:pPr>
      <w:r>
        <w:t>Allowed origins are: o=Ubuntu,a=noble, o=Ubuntu,a=noble-security, o=UbuntuESMApps,a=noble-</w:t>
        <w:t>apps-security, o=UbuntuESM,a=noble-infra-security, o=LP-PPA-canonical-server-server-</w:t>
        <w:t>backports,a=noble</w:t>
      </w:r>
    </w:p>
    <w:p>
      <w:pPr>
        <w:pStyle w:val="Normal"/>
      </w:pPr>
      <w:r>
        <w:t>Initial blacklist:</w:t>
      </w:r>
    </w:p>
    <w:p>
      <w:pPr>
        <w:pStyle w:val="Normal"/>
      </w:pPr>
      <w:r>
        <w:t>Initial whitelist (not strict):</w:t>
      </w:r>
    </w:p>
    <w:p>
      <w:pPr>
        <w:pStyle w:val="Normal"/>
      </w:pPr>
      <w:r>
        <w:t>Option --dry-run given, *not* performing real actions</w:t>
      </w:r>
    </w:p>
    <w:p>
      <w:pPr>
        <w:pStyle w:val="Normal"/>
      </w:pPr>
      <w:r>
        <w:t>Packages that will be upgraded: rdma-core</w:t>
      </w:r>
    </w:p>
    <w:p>
      <w:pPr>
        <w:pStyle w:val="Normal"/>
      </w:pPr>
      <w:r>
        <w:t>Writing dpkg log to /var/log/unattended-upgrades/unattended-upgrades-dpkg.log</w:t>
        <w:t xml:space="preserve"> </w:t>
        <w:t>/usr/bin/unattended-upgrade:567: DeprecationWarning: This process (pid=1213) is multi-</w:t>
        <w:t>threaded, use of fork() may lead to deadlocks in the child.</w:t>
      </w:r>
    </w:p>
    <w:p>
      <w:pPr>
        <w:pStyle w:val="Para 03"/>
      </w:pPr>
      <w:r>
        <w:t>pid = os.fork()</w:t>
      </w:r>
    </w:p>
    <w:p>
      <w:pPr>
        <w:pStyle w:val="Normal"/>
      </w:pPr>
      <w:r>
        <w:t>/usr/bin/dpkg --status-fd 10 --no-triggers --unpack --auto-deconfigure /var/cache/apt/</w:t>
        <w:t xml:space="preserve"> </w:t>
        <w:t>archives/rdma-core_52.0-2ubuntu1~backport24.04.202410192216~ubuntu24.04.1_amd64.deb</w:t>
        <w:t xml:space="preserve"> </w:t>
        <w:t>/usr/bin/dpkg --status-fd 10 --configure --pending</w:t>
      </w:r>
    </w:p>
    <w:p>
      <w:pPr>
        <w:pStyle w:val="Normal"/>
      </w:pPr>
      <w:r>
        <w:t>All upgrades installed</w:t>
      </w:r>
    </w:p>
    <w:p>
      <w:pPr>
        <w:pStyle w:val="Normal"/>
      </w:pPr>
      <w:r>
        <w:t>The list of kept packages can't be calculated in dry-run mode.</w:t>
      </w:r>
    </w:p>
    <w:p>
      <w:pPr>
        <w:pStyle w:val="Para 17"/>
      </w:pPr>
      <w:r>
        <w:t/>
      </w:r>
    </w:p>
    <w:p>
      <w:pPr>
        <w:pStyle w:val="Normal"/>
      </w:pPr>
      <w:r>
        <w:t>Of note, we see:</w:t>
      </w:r>
    </w:p>
    <w:p>
      <w:pPr>
        <w:pStyle w:val="Para 04"/>
      </w:pPr>
      <w:r>
        <w:t>• Allowed origins include o=LP-PPA-canonical-server-server-backports,a=noble,</w:t>
      </w:r>
    </w:p>
    <w:p>
      <w:pPr>
        <w:pStyle w:val="Para 02"/>
      </w:pPr>
      <w:r>
        <w:t>which is the PPA we included.</w:t>
      </w:r>
    </w:p>
    <w:p>
      <w:pPr>
        <w:pStyle w:val="Para 04"/>
      </w:pPr>
      <w:r>
        <w:t>• The rdma-core package would be updated.</w:t>
      </w:r>
    </w:p>
    <w:p>
      <w:pPr>
        <w:pStyle w:val="Normal"/>
      </w:pPr>
      <w:r>
        <w:t>Let’s check this rdma-core package with the command apt-cache policy rdma-core:</w:t>
      </w:r>
    </w:p>
    <w:p>
      <w:pPr>
        <w:pStyle w:val="Normal"/>
      </w:pPr>
      <w:r>
        <w:t>rdma-core:</w:t>
      </w:r>
    </w:p>
    <w:p>
      <w:pPr>
        <w:pStyle w:val="Para 03"/>
      </w:pPr>
      <w:r>
        <w:t>Installed: 50.0-2build2</w:t>
      </w:r>
    </w:p>
    <w:p>
      <w:pPr>
        <w:pStyle w:val="Para 03"/>
      </w:pPr>
      <w:r>
        <w:t>Candidate: 52.0-2ubuntu1~backport24.04.202410192216~ubuntu24.04.1</w:t>
      </w:r>
    </w:p>
    <w:p>
      <w:pPr>
        <w:pStyle w:val="Para 03"/>
      </w:pPr>
      <w:r>
        <w:t>Version table:</w:t>
      </w:r>
    </w:p>
    <w:p>
      <w:pPr>
        <w:pStyle w:val="Para 02"/>
      </w:pPr>
      <w:r>
        <w:t>52.0-2ubuntu1~backport24.04.202410192216~ubuntu24.04.1 500</w:t>
      </w:r>
    </w:p>
    <w:p>
      <w:pPr>
        <w:pStyle w:val="Para 17"/>
      </w:pPr>
      <w:r>
        <w:t>500 https://ppa.launchpadcontent.net/canonical-server/server-backports/ubuntu</w:t>
      </w:r>
    </w:p>
    <w:p>
      <w:pPr>
        <w:pStyle w:val="Normal"/>
      </w:pPr>
      <w:r>
        <w:t>noble/main amd64 Packages</w:t>
      </w:r>
    </w:p>
    <w:p>
      <w:pPr>
        <w:pStyle w:val="Normal"/>
      </w:pPr>
      <w:r>
        <w:t>*** 50.0-2build2 500</w:t>
      </w:r>
    </w:p>
    <w:p>
      <w:pPr>
        <w:pStyle w:val="Para 06"/>
      </w:pPr>
      <w:r>
        <w:t>500 http://br.archive.ubuntu.com/ubuntu noble/main amd64 Packages</w:t>
        <w:t xml:space="preserve"> </w:t>
        <w:t>100 /var/lib/dpkg/status</w:t>
      </w:r>
    </w:p>
    <w:p>
      <w:pPr>
        <w:pStyle w:val="Para 17"/>
      </w:pPr>
      <w:r>
        <w:t/>
      </w:r>
    </w:p>
    <w:p>
      <w:pPr>
        <w:pStyle w:val="Normal"/>
      </w:pPr>
      <w:r>
        <w:t>And indeed, there is an update available from that PPA, and the next time unattended-upgrade runs on its own, it will apply that update. In fact, if the--dry-run option is removed from the command-line we just ran, the update will be installed.</w:t>
      </w:r>
    </w:p>
    <w:p>
      <w:bookmarkStart w:id="507" w:name="calibre_pb_74"/>
      <w:pPr>
        <w:pStyle w:val="0 Block"/>
      </w:pPr>
      <w:bookmarkEnd w:id="507"/>
    </w:p>
    <w:p>
      <w:bookmarkStart w:id="508" w:name="Top_of_index_split_075_html"/>
      <w:bookmarkStart w:id="509" w:name="page_35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6" name="index-359_1.png" descr="index-359_1.png"/>
            <wp:cNvGraphicFramePr>
              <a:graphicFrameLocks noChangeAspect="1"/>
            </wp:cNvGraphicFramePr>
            <a:graphic>
              <a:graphicData uri="http://schemas.openxmlformats.org/drawingml/2006/picture">
                <pic:pic>
                  <pic:nvPicPr>
                    <pic:cNvPr id="0" name="index-359_1.png" descr="index-359_1.png"/>
                    <pic:cNvPicPr/>
                  </pic:nvPicPr>
                  <pic:blipFill>
                    <a:blip r:embed="rId370"/>
                    <a:stretch>
                      <a:fillRect/>
                    </a:stretch>
                  </pic:blipFill>
                  <pic:spPr>
                    <a:xfrm>
                      <a:off x="0" y="0"/>
                      <a:ext cx="914400" cy="266700"/>
                    </a:xfrm>
                    <a:prstGeom prst="rect">
                      <a:avLst/>
                    </a:prstGeom>
                  </pic:spPr>
                </pic:pic>
              </a:graphicData>
            </a:graphic>
          </wp:anchor>
        </w:drawing>
      </w:r>
      <w:bookmarkEnd w:id="508"/>
      <w:bookmarkEnd w:id="509"/>
    </w:p>
    <w:p>
      <w:pPr>
        <w:pStyle w:val="Para 01"/>
      </w:pPr>
      <w:r>
        <w:t>How to upgrade your Ubuntu release</w:t>
      </w:r>
    </w:p>
    <w:p>
      <w:pPr>
        <w:pStyle w:val="Para 17"/>
      </w:pPr>
      <w:r>
        <w:t/>
      </w:r>
    </w:p>
    <w:p>
      <w:pPr>
        <w:pStyle w:val="Normal"/>
      </w:pPr>
      <w:r>
        <w:t>In this page we show how to upgrade an Ubuntu Server or Ubuntu cloud image to the next major release. This is different from your regular software updates.</w:t>
      </w:r>
    </w:p>
    <w:p>
      <w:pPr>
        <w:pStyle w:val="Normal"/>
      </w:pPr>
      <w:r>
        <w:t>We recommend running a Long Term Support (LTS) release as it provides 5 years of standard support and security updates, whereas interim releases are only supported for nine months.</w:t>
      </w:r>
    </w:p>
    <w:p>
      <w:pPr>
        <w:pStyle w:val="Normal"/>
      </w:pPr>
      <w:r>
        <w:t>After the initial standard support period ends for an LTS release, an extended maintenance</w:t>
      </w:r>
    </w:p>
    <w:p>
      <w:pPr>
        <w:pStyle w:val="Normal"/>
      </w:pPr>
      <w:r>
        <w:t xml:space="preserve">period is available via an </w:t>
      </w:r>
      <w:hyperlink r:id="rId1058">
        <w:r>
          <w:rPr>
            <w:rStyle w:val="Text9"/>
          </w:rPr>
          <w:t>302</w:t>
        </w:r>
      </w:hyperlink>
      <w:hyperlink r:id="rId1058">
        <w:r>
          <w:rPr>
            <w:rStyle w:val="Text1"/>
          </w:rPr>
          <w:t xml:space="preserve"> Ubuntu Pro subscription</w:t>
        </w:r>
      </w:hyperlink>
      <w:r>
        <w:t>, which provides coverage for an addi-tional five years and is available for free on up to five machines. Find out more about the</w:t>
      </w:r>
    </w:p>
    <w:p>
      <w:pPr>
        <w:pStyle w:val="Para 18"/>
      </w:pPr>
      <w:hyperlink r:id="rId1063">
        <w:r>
          <w:t>release lifecycle and support period</w:t>
        </w:r>
      </w:hyperlink>
      <w:hyperlink w:anchor="page_359">
        <w:r>
          <w:rPr>
            <w:rStyle w:val="Text10"/>
          </w:rPr>
          <w:t>303</w:t>
        </w:r>
      </w:hyperlink>
      <w:r>
        <w:rPr>
          <w:rStyle w:val="Text7"/>
        </w:rPr>
        <w:t xml:space="preserve"> for your release.</w:t>
      </w:r>
    </w:p>
    <w:p>
      <w:pPr>
        <w:pStyle w:val="Para 17"/>
      </w:pPr>
      <w:r>
        <w:t/>
      </w:r>
    </w:p>
    <w:p>
      <w:pPr>
        <w:pStyle w:val="Para 01"/>
      </w:pPr>
      <w:r>
        <w:t>Understanding Upgrade Paths</w:t>
      </w:r>
    </w:p>
    <w:p>
      <w:pPr>
        <w:pStyle w:val="Para 17"/>
      </w:pPr>
      <w:r>
        <w:t/>
      </w:r>
    </w:p>
    <w:p>
      <w:pPr>
        <w:pStyle w:val="Normal"/>
      </w:pPr>
      <w:r>
        <w:t xml:space="preserve">You can only upgrade from one LTS release directly to the </w:t>
      </w:r>
      <w:r>
        <w:rPr>
          <w:rStyle w:val="Text0"/>
        </w:rPr>
        <w:t>next sequential LTS release</w:t>
      </w:r>
      <w:r>
        <w:t>. For example, if you are on Ubuntu 16.04 LTS, you can upgrade to Ubuntu 18.04 LTS. However, you cannot skip releases (e.g. jump from 16.04 LTS to 20.04 LTS).If you need to reach a later LTS, you will have to upgrade in stages: first to Ubuntu 18.04 LTS, then to Ubuntu 20.04 LTS, and so on.</w:t>
      </w:r>
    </w:p>
    <w:p>
      <w:pPr>
        <w:pStyle w:val="Para 17"/>
      </w:pPr>
      <w:r>
        <w:t/>
      </w:r>
    </w:p>
    <w:p>
      <w:pPr>
        <w:pStyle w:val="Para 01"/>
      </w:pPr>
      <w:r>
        <w:t>Pre-upgrade checklist</w:t>
      </w:r>
    </w:p>
    <w:p>
      <w:pPr>
        <w:pStyle w:val="Para 17"/>
      </w:pPr>
      <w:r>
        <w:t/>
      </w:r>
    </w:p>
    <w:p>
      <w:pPr>
        <w:pStyle w:val="Normal"/>
      </w:pPr>
      <w:r>
        <w:t>Before starting a major release upgrade, it’s important to prepare your system to ensure a smooth transition. This step is essential, so we need to review the following items:</w:t>
      </w:r>
    </w:p>
    <w:p>
      <w:pPr>
        <w:pStyle w:val="Para 04"/>
      </w:pPr>
      <w:r>
        <w:t xml:space="preserve">• </w:t>
      </w:r>
      <w:r>
        <w:rPr>
          <w:rStyle w:val="Text0"/>
        </w:rPr>
        <w:t>Review Releases notes:</w:t>
      </w:r>
      <w:r>
        <w:t xml:space="preserve"> Always check the </w:t>
      </w:r>
      <w:r>
        <w:rPr>
          <w:rStyle w:val="Text0"/>
        </w:rPr>
        <w:t>release notes</w:t>
      </w:r>
      <w:r>
        <w:t xml:space="preserve"> for the new Ubuntu version</w:t>
      </w:r>
    </w:p>
    <w:p>
      <w:pPr>
        <w:pStyle w:val="Para 02"/>
      </w:pPr>
      <w:r>
        <w:t xml:space="preserve">we are moving to. This can be found on the </w:t>
      </w:r>
      <w:hyperlink r:id="rId1280">
        <w:r>
          <w:rPr>
            <w:rStyle w:val="Text9"/>
          </w:rPr>
          <w:t>304</w:t>
        </w:r>
      </w:hyperlink>
      <w:hyperlink r:id="rId1280">
        <w:r>
          <w:rPr>
            <w:rStyle w:val="Text1"/>
          </w:rPr>
          <w:t xml:space="preserve"> Ubuntu Wiki Releases Page</w:t>
        </w:r>
      </w:hyperlink>
      <w:r>
        <w:t>.</w:t>
      </w:r>
    </w:p>
    <w:p>
      <w:pPr>
        <w:pStyle w:val="Para 04"/>
      </w:pPr>
      <w:r>
        <w:t xml:space="preserve">• </w:t>
      </w:r>
      <w:r>
        <w:rPr>
          <w:rStyle w:val="Text0"/>
        </w:rPr>
        <w:t>Fully update the current system:</w:t>
      </w:r>
      <w:r>
        <w:t xml:space="preserve"> The release upgrade process requires that the cur-</w:t>
      </w:r>
    </w:p>
    <w:p>
      <w:pPr>
        <w:pStyle w:val="Para 02"/>
      </w:pPr>
      <w:r>
        <w:t xml:space="preserve">rent system has all the latest updates installed. This is a full </w:t>
      </w:r>
      <w:r>
        <w:rPr>
          <w:rStyle w:val="Text0"/>
        </w:rPr>
        <w:t>package upgrade</w:t>
      </w:r>
      <w:r>
        <w:t xml:space="preserve"> because </w:t>
      </w:r>
      <w:r>
        <w:rPr>
          <w:rStyle w:val="Text0"/>
        </w:rPr>
        <w:t>apt update</w:t>
      </w:r>
      <w:r>
        <w:t xml:space="preserve"> will refresh the package index database, and </w:t>
      </w:r>
      <w:r>
        <w:rPr>
          <w:rStyle w:val="Text0"/>
        </w:rPr>
        <w:t>apt dist-upgrade</w:t>
      </w:r>
      <w:r>
        <w:t xml:space="preserve"> will down-load and install the latest versions of installed packages, pulling in new dependencies, updating existing ones, and potentially removing packages from the system to make sure all packages are in their most recent version. Phased packages may also block</w:t>
      </w:r>
    </w:p>
    <w:p>
      <w:pPr>
        <w:pStyle w:val="Para 02"/>
      </w:pPr>
      <w:r>
        <w:t xml:space="preserve">the release upgrade, and need to be installed (see the </w:t>
      </w:r>
      <w:hyperlink w:anchor="page_851">
        <w:r>
          <w:rPr>
            <w:rStyle w:val="Text2"/>
          </w:rPr>
          <w:t>explanation on phased updates</w:t>
        </w:r>
      </w:hyperlink>
      <w:r>
        <w:t xml:space="preserve"> (page 850) to know more).</w:t>
      </w:r>
    </w:p>
    <w:p>
      <w:pPr>
        <w:pStyle w:val="Para 06"/>
      </w:pPr>
      <w:r>
        <w:t>1. Run these commands to ensure everything is up to date:</w:t>
      </w:r>
    </w:p>
    <w:p>
      <w:pPr>
        <w:pStyle w:val="Para 11"/>
      </w:pPr>
      <w:r>
        <w:t>sudo apt update</w:t>
      </w:r>
    </w:p>
    <w:p>
      <w:pPr>
        <w:pStyle w:val="Para 11"/>
      </w:pPr>
      <w:r>
        <w:t>sudo apt dist-upgrade -o APT::Get::Always-Include-Phased-Updates</w:t>
        <w:t>=</w:t>
        <w:t>true</w:t>
      </w:r>
    </w:p>
    <w:p>
      <w:pPr>
        <w:pStyle w:val="Para 17"/>
      </w:pPr>
      <w:r>
        <w:t/>
      </w:r>
    </w:p>
    <w:p>
      <w:pPr>
        <w:pStyle w:val="Para 06"/>
      </w:pPr>
      <w:r>
        <w:t>2. Confirm both commands complete successfully and no further updates are avail-</w:t>
      </w:r>
    </w:p>
    <w:p>
      <w:pPr>
        <w:pStyle w:val="Para 11"/>
      </w:pPr>
      <w:r>
        <w:t>able.</w:t>
      </w:r>
    </w:p>
    <w:p>
      <w:pPr>
        <w:pStyle w:val="Para 06"/>
      </w:pPr>
      <w:r>
        <w:t xml:space="preserve">3. After applying all updates, it may be necessary to </w:t>
      </w:r>
      <w:r>
        <w:rPr>
          <w:rStyle w:val="Text0"/>
        </w:rPr>
        <w:t>reboot your system.</w:t>
      </w:r>
      <w:r>
        <w:t xml:space="preserve"> The release</w:t>
      </w:r>
    </w:p>
    <w:p>
      <w:pPr>
        <w:pStyle w:val="Para 11"/>
      </w:pPr>
      <w:r>
        <w:t>upgrade process will let you know if that’s needed, but you can also check manually before: if the file /run/reboot-required exists, then you will need to reboot.</w:t>
      </w:r>
    </w:p>
    <w:p>
      <w:pPr>
        <w:pStyle w:val="Para 05"/>
      </w:pPr>
      <w:r>
        <w:rPr>
          <w:rStyle w:val="Text5"/>
        </w:rPr>
        <w:t>302</w:t>
      </w:r>
      <w:r>
        <w:rPr>
          <w:rStyle w:val="Text8"/>
        </w:rPr>
        <w:t xml:space="preserve"> </w:t>
      </w:r>
      <w:r>
        <w:t>https://ubuntu.com/pro</w:t>
      </w:r>
    </w:p>
    <w:p>
      <w:pPr>
        <w:pStyle w:val="Para 05"/>
      </w:pPr>
      <w:r>
        <w:rPr>
          <w:rStyle w:val="Text5"/>
        </w:rPr>
        <w:t>303</w:t>
      </w:r>
      <w:r>
        <w:rPr>
          <w:rStyle w:val="Text8"/>
        </w:rPr>
        <w:t xml:space="preserve"> </w:t>
      </w:r>
      <w:r>
        <w:t>https://ubuntu.com/about/release-cycle</w:t>
      </w:r>
    </w:p>
    <w:p>
      <w:pPr>
        <w:pStyle w:val="Para 05"/>
      </w:pPr>
      <w:r>
        <w:rPr>
          <w:rStyle w:val="Text5"/>
        </w:rPr>
        <w:t>304</w:t>
      </w:r>
      <w:r>
        <w:rPr>
          <w:rStyle w:val="Text8"/>
        </w:rPr>
        <w:t xml:space="preserve"> </w:t>
      </w:r>
      <w:r>
        <w:t>https://wiki.ubuntu.com/Releases</w:t>
      </w:r>
    </w:p>
    <w:p>
      <w:bookmarkStart w:id="510" w:name="page_3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7" name="index-360_1.png" descr="index-360_1.png"/>
            <wp:cNvGraphicFramePr>
              <a:graphicFrameLocks noChangeAspect="1"/>
            </wp:cNvGraphicFramePr>
            <a:graphic>
              <a:graphicData uri="http://schemas.openxmlformats.org/drawingml/2006/picture">
                <pic:pic>
                  <pic:nvPicPr>
                    <pic:cNvPr id="0" name="index-360_1.png" descr="index-360_1.png"/>
                    <pic:cNvPicPr/>
                  </pic:nvPicPr>
                  <pic:blipFill>
                    <a:blip r:embed="rId371"/>
                    <a:stretch>
                      <a:fillRect/>
                    </a:stretch>
                  </pic:blipFill>
                  <pic:spPr>
                    <a:xfrm>
                      <a:off x="0" y="0"/>
                      <a:ext cx="914400" cy="266700"/>
                    </a:xfrm>
                    <a:prstGeom prst="rect">
                      <a:avLst/>
                    </a:prstGeom>
                  </pic:spPr>
                </pic:pic>
              </a:graphicData>
            </a:graphic>
          </wp:anchor>
        </w:drawing>
      </w:r>
      <w:bookmarkEnd w:id="510"/>
    </w:p>
    <w:p>
      <w:pPr>
        <w:pStyle w:val="Para 04"/>
      </w:pPr>
      <w:r>
        <w:t xml:space="preserve">• </w:t>
      </w:r>
      <w:r>
        <w:rPr>
          <w:rStyle w:val="Text0"/>
        </w:rPr>
        <w:t>Check that there is enough free space:</w:t>
      </w:r>
      <w:r>
        <w:t xml:space="preserve"> A release upgrade involves downloading hun-</w:t>
      </w:r>
    </w:p>
    <w:p>
      <w:pPr>
        <w:pStyle w:val="Para 02"/>
      </w:pPr>
      <w:r>
        <w:t>dreds of new packages, which can be several gigabytes. Make sure you have enough free disk space.</w:t>
      </w:r>
    </w:p>
    <w:p>
      <w:pPr>
        <w:pStyle w:val="Para 04"/>
      </w:pPr>
      <w:r>
        <w:t xml:space="preserve">• </w:t>
      </w:r>
      <w:r>
        <w:rPr>
          <w:rStyle w:val="Text0"/>
        </w:rPr>
        <w:t>Dedicate time for the upgrade:</w:t>
      </w:r>
      <w:r>
        <w:t xml:space="preserve"> This is an interactive process. The release upgrade will</w:t>
      </w:r>
    </w:p>
    <w:p>
      <w:pPr>
        <w:pStyle w:val="Para 02"/>
      </w:pPr>
      <w:r>
        <w:t>sometimes stop and ask questions, so you should monitor the upgrade and be available to respond.</w:t>
      </w:r>
    </w:p>
    <w:p>
      <w:pPr>
        <w:pStyle w:val="Para 04"/>
      </w:pPr>
      <w:r>
        <w:t xml:space="preserve">• </w:t>
      </w:r>
      <w:r>
        <w:rPr>
          <w:rStyle w:val="Text0"/>
        </w:rPr>
        <w:t>Understand Third-party repositories:</w:t>
      </w:r>
      <w:r>
        <w:t xml:space="preserve"> Third-party software repositories and Personal</w:t>
      </w:r>
    </w:p>
    <w:p>
      <w:pPr>
        <w:pStyle w:val="Para 17"/>
      </w:pPr>
      <w:r>
        <w:t>Package Archives (PPAs) are disabled during the release upgrade. While software in-stalled from these sources will not be removed, it’s the most common cause of upgrade issues. Be prepared to re-enable them or find updated versions after the upgrade.</w:t>
      </w:r>
    </w:p>
    <w:p>
      <w:pPr>
        <w:pStyle w:val="Para 04"/>
      </w:pPr>
      <w:r>
        <w:t xml:space="preserve">• </w:t>
      </w:r>
      <w:r>
        <w:rPr>
          <w:rStyle w:val="Text0"/>
        </w:rPr>
        <w:t>Backup all your data:</w:t>
      </w:r>
      <w:r>
        <w:t xml:space="preserve"> Although upgrades are normally safe, there is always a chance</w:t>
      </w:r>
    </w:p>
    <w:p>
      <w:pPr>
        <w:pStyle w:val="Para 02"/>
      </w:pPr>
      <w:r>
        <w:t>that something could go wrong. It is extremely important that the data is safely copied to a backup location to allow restoration if any problems occur.</w:t>
      </w:r>
    </w:p>
    <w:p>
      <w:pPr>
        <w:pStyle w:val="Para 17"/>
      </w:pPr>
      <w:r>
        <w:t/>
      </w:r>
    </w:p>
    <w:p>
      <w:pPr>
        <w:pStyle w:val="Para 01"/>
      </w:pPr>
      <w:r>
        <w:t>Upgrade the system</w:t>
      </w:r>
    </w:p>
    <w:p>
      <w:pPr>
        <w:pStyle w:val="Para 17"/>
      </w:pPr>
      <w:r>
        <w:t/>
      </w:r>
    </w:p>
    <w:p>
      <w:pPr>
        <w:pStyle w:val="Normal"/>
      </w:pPr>
      <w:r>
        <w:t>We recommend upgrading the system using the do-release-upgrade command on Server edition and cloud images. This command can handle system configuration changes that are sometimes needed between releases.</w:t>
      </w:r>
    </w:p>
    <w:p>
      <w:pPr>
        <w:pStyle w:val="Normal"/>
      </w:pPr>
      <w:r>
        <w:t>To start the process, run this command:</w:t>
      </w:r>
    </w:p>
    <w:p>
      <w:pPr>
        <w:pStyle w:val="Normal"/>
      </w:pPr>
      <w:r>
        <w:t>sudo</w:t>
        <w:t xml:space="preserve"> </w:t>
      </w:r>
      <w:r>
        <w:rPr>
          <w:rStyle w:val="Text0"/>
        </w:rPr>
        <w:t>do</w:t>
      </w:r>
      <w:r>
        <w:t>-release-upgrade</w:t>
      </w:r>
    </w:p>
    <w:p>
      <w:pPr>
        <w:pStyle w:val="Para 17"/>
      </w:pPr>
      <w:r>
        <w:t/>
      </w:r>
    </w:p>
    <w:p>
      <w:pPr>
        <w:pStyle w:val="Para 08"/>
      </w:pPr>
      <w:r>
        <w:t>Note:</w:t>
      </w:r>
    </w:p>
    <w:p>
      <w:pPr>
        <w:pStyle w:val="Para 03"/>
      </w:pPr>
      <w:r>
        <w:t>Upgrading to a development release of Ubuntu is available using the-d flag. However,</w:t>
      </w:r>
    </w:p>
    <w:p>
      <w:pPr>
        <w:pStyle w:val="Para 03"/>
      </w:pPr>
      <w:r>
        <w:t xml:space="preserve">using the development release (or the-d flag) is </w:t>
      </w:r>
      <w:r>
        <w:rPr>
          <w:rStyle w:val="Text0"/>
        </w:rPr>
        <w:t>not recommended</w:t>
      </w:r>
      <w:r>
        <w:t xml:space="preserve"> for production envi-</w:t>
      </w:r>
    </w:p>
    <w:p>
      <w:pPr>
        <w:pStyle w:val="Para 03"/>
      </w:pPr>
      <w:r>
        <w:t>ronments.</w:t>
      </w:r>
    </w:p>
    <w:p>
      <w:pPr>
        <w:pStyle w:val="Normal"/>
      </w:pPr>
      <w:r>
        <w:t>Upgrades from one LTS release to the next one are only available after the first point release. For example, Ubuntu 18.04 LTS will only upgrade to Ubuntu 20.04 LTS after the 20.04.1 point release. If users wish to update before the point release (e.g., on a subset of machines to evaluate the LTS upgrade) users can force the upgrade via the-d flag.</w:t>
      </w:r>
    </w:p>
    <w:p>
      <w:pPr>
        <w:pStyle w:val="Para 17"/>
      </w:pPr>
      <w:r>
        <w:t/>
      </w:r>
    </w:p>
    <w:p>
      <w:pPr>
        <w:pStyle w:val="Para 01"/>
      </w:pPr>
      <w:r>
        <w:t>Pre-upgrade summary</w:t>
      </w:r>
    </w:p>
    <w:p>
      <w:pPr>
        <w:pStyle w:val="Para 17"/>
      </w:pPr>
      <w:r>
        <w:t/>
      </w:r>
    </w:p>
    <w:p>
      <w:pPr>
        <w:pStyle w:val="Normal"/>
      </w:pPr>
      <w:r>
        <w:t>Before making any changes the command do-release-upgrade will first do some checks to verify the system is ready to upgrade, and provide a summary of the upgrade before pro-ceeding. If you accept the changes, the process will begin to update the system’s packages:</w:t>
      </w:r>
    </w:p>
    <w:p>
      <w:pPr>
        <w:pStyle w:val="Normal"/>
      </w:pPr>
      <w:r>
        <w:t>Do you want to start the upgrade?</w:t>
      </w:r>
    </w:p>
    <w:p>
      <w:pPr>
        <w:pStyle w:val="Para 17"/>
      </w:pPr>
      <w:r>
        <w:t/>
      </w:r>
    </w:p>
    <w:p>
      <w:pPr>
        <w:pStyle w:val="Normal"/>
      </w:pPr>
      <w:r>
        <w:t>5 installed packages are no longer supported by Canonical. You can</w:t>
        <w:t xml:space="preserve"> </w:t>
        <w:t>still get support from the community.</w:t>
      </w:r>
    </w:p>
    <w:p>
      <w:pPr>
        <w:pStyle w:val="Normal"/>
      </w:pPr>
      <w:r>
        <w:t>4 packages are going to be removed. 117 new packages are going to be</w:t>
        <w:t xml:space="preserve"> </w:t>
        <w:t>installed. 424 packages are going to be upgraded.</w:t>
      </w:r>
    </w:p>
    <w:p>
      <w:pPr>
        <w:pStyle w:val="Para 09"/>
      </w:pPr>
      <w:r>
        <w:t>(continues on next page)</w:t>
      </w:r>
    </w:p>
    <w:p>
      <w:bookmarkStart w:id="511" w:name="page_3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8" name="index-361_1.png" descr="index-361_1.png"/>
            <wp:cNvGraphicFramePr>
              <a:graphicFrameLocks noChangeAspect="1"/>
            </wp:cNvGraphicFramePr>
            <a:graphic>
              <a:graphicData uri="http://schemas.openxmlformats.org/drawingml/2006/picture">
                <pic:pic>
                  <pic:nvPicPr>
                    <pic:cNvPr id="0" name="index-361_1.png" descr="index-361_1.png"/>
                    <pic:cNvPicPr/>
                  </pic:nvPicPr>
                  <pic:blipFill>
                    <a:blip r:embed="rId372"/>
                    <a:stretch>
                      <a:fillRect/>
                    </a:stretch>
                  </pic:blipFill>
                  <pic:spPr>
                    <a:xfrm>
                      <a:off x="0" y="0"/>
                      <a:ext cx="914400" cy="266700"/>
                    </a:xfrm>
                    <a:prstGeom prst="rect">
                      <a:avLst/>
                    </a:prstGeom>
                  </pic:spPr>
                </pic:pic>
              </a:graphicData>
            </a:graphic>
          </wp:anchor>
        </w:drawing>
      </w:r>
      <w:bookmarkEnd w:id="511"/>
    </w:p>
    <w:p>
      <w:pPr>
        <w:pStyle w:val="Para 09"/>
      </w:pPr>
      <w:r>
        <w:t>(continued from previous page)</w:t>
      </w:r>
    </w:p>
    <w:p>
      <w:pPr>
        <w:pStyle w:val="Normal"/>
      </w:pPr>
      <w:r>
        <w:t>You have to download a total of 262 M. This download will take about</w:t>
        <w:t xml:space="preserve"> </w:t>
        <w:t>33 minutes with a 1Mbit DSL connection and about 10 hours with a 56k</w:t>
        <w:t xml:space="preserve"> </w:t>
        <w:t>modem.</w:t>
      </w:r>
    </w:p>
    <w:p>
      <w:pPr>
        <w:pStyle w:val="Normal"/>
      </w:pPr>
      <w:r>
        <w:t>Fetching and installing the upgrade can take several hours. Once the</w:t>
        <w:t xml:space="preserve"> </w:t>
        <w:t>download has finished, the process cannot be canceled.</w:t>
      </w:r>
    </w:p>
    <w:p>
      <w:pPr>
        <w:pStyle w:val="Normal"/>
      </w:pPr>
      <w:r>
        <w:t>Continue [yN]</w:t>
        <w:t xml:space="preserve"> </w:t>
        <w:t>Details [d]</w:t>
      </w:r>
    </w:p>
    <w:p>
      <w:pPr>
        <w:pStyle w:val="Para 17"/>
      </w:pPr>
      <w:r>
        <w:t/>
      </w:r>
    </w:p>
    <w:p>
      <w:pPr>
        <w:pStyle w:val="Para 01"/>
      </w:pPr>
      <w:r>
        <w:t>Configuration changes</w:t>
      </w:r>
    </w:p>
    <w:p>
      <w:pPr>
        <w:pStyle w:val="Para 17"/>
      </w:pPr>
      <w:r>
        <w:t/>
      </w:r>
    </w:p>
    <w:p>
      <w:pPr>
        <w:pStyle w:val="Normal"/>
      </w:pPr>
      <w:r>
        <w:t>During the upgrade process you may be presented with a message to make decisions about package updates. These prompts occur when there are existing configuration files (e.g. edited by the user) and the new package configuration file are different. Below is an example prompt:</w:t>
      </w:r>
    </w:p>
    <w:p>
      <w:pPr>
        <w:pStyle w:val="Normal"/>
      </w:pPr>
      <w:r>
        <w:t>Configuration file '/etc/ssh/ssh_config'</w:t>
      </w:r>
    </w:p>
    <w:p>
      <w:pPr>
        <w:pStyle w:val="Normal"/>
      </w:pPr>
      <w:r>
        <w:t>==&gt; Modified (by you or by a script) since installation.</w:t>
        <w:t xml:space="preserve"> </w:t>
        <w:t>==&gt; Package distributor has shipped an updated version.</w:t>
      </w:r>
    </w:p>
    <w:p>
      <w:pPr>
        <w:pStyle w:val="Para 02"/>
      </w:pPr>
      <w:r>
        <w:t>What would you like to do about it ?</w:t>
        <w:t xml:space="preserve"> </w:t>
        <w:t>Your options are:</w:t>
      </w:r>
    </w:p>
    <w:p>
      <w:pPr>
        <w:pStyle w:val="Para 02"/>
      </w:pPr>
      <w:r>
        <w:t>Y or I</w:t>
        <w:t xml:space="preserve"> </w:t>
        <w:t>: install the package maintainer's version</w:t>
        <w:t xml:space="preserve"> </w:t>
        <w:t>N or O</w:t>
        <w:t xml:space="preserve"> </w:t>
        <w:t>: keep your currently-installed version</w:t>
      </w:r>
    </w:p>
    <w:p>
      <w:pPr>
        <w:pStyle w:val="Para 06"/>
      </w:pPr>
      <w:r>
        <w:t>D</w:t>
        <w:t xml:space="preserve"> </w:t>
        <w:t>: show the differences between the versions</w:t>
        <w:t xml:space="preserve"> </w:t>
        <w:t>Z</w:t>
        <w:t xml:space="preserve"> </w:t>
        <w:t>: start a shell to examine the situation</w:t>
      </w:r>
    </w:p>
    <w:p>
      <w:pPr>
        <w:pStyle w:val="Normal"/>
      </w:pPr>
      <w:r>
        <w:t>The default action is to keep your current version.</w:t>
      </w:r>
    </w:p>
    <w:p>
      <w:pPr>
        <w:pStyle w:val="Normal"/>
      </w:pPr>
      <w:r>
        <w:t>*** ssh_config (Y/I/N/O/D/Z) [default=N] ?</w:t>
      </w:r>
    </w:p>
    <w:p>
      <w:pPr>
        <w:pStyle w:val="Para 17"/>
      </w:pPr>
      <w:r>
        <w:t/>
      </w:r>
    </w:p>
    <w:p>
      <w:pPr>
        <w:pStyle w:val="Normal"/>
      </w:pPr>
      <w:r>
        <w:t>You should look at the differences between the files and decide what to do. The default response is to keep the current version of the file. There are situations where accepting the new version, like with /boot/grub/menu.lst, is required for the system to boot correctly with the new kernel.</w:t>
      </w:r>
    </w:p>
    <w:p>
      <w:pPr>
        <w:pStyle w:val="Para 17"/>
      </w:pPr>
      <w:r>
        <w:t/>
      </w:r>
    </w:p>
    <w:p>
      <w:pPr>
        <w:pStyle w:val="Para 01"/>
      </w:pPr>
      <w:r>
        <w:t>Removing Obsolete Packages</w:t>
      </w:r>
    </w:p>
    <w:p>
      <w:pPr>
        <w:pStyle w:val="Para 17"/>
      </w:pPr>
      <w:r>
        <w:t/>
      </w:r>
    </w:p>
    <w:p>
      <w:pPr>
        <w:pStyle w:val="Normal"/>
      </w:pPr>
      <w:r>
        <w:t>After all packages are updated, you can choose to remove any obsolete packages that are no longer needed:</w:t>
      </w:r>
    </w:p>
    <w:p>
      <w:pPr>
        <w:pStyle w:val="Normal"/>
      </w:pPr>
      <w:r>
        <w:t>Remove obsolete packages?</w:t>
      </w:r>
    </w:p>
    <w:p>
      <w:pPr>
        <w:pStyle w:val="Para 17"/>
      </w:pPr>
      <w:r>
        <w:t/>
      </w:r>
    </w:p>
    <w:p>
      <w:pPr>
        <w:pStyle w:val="Normal"/>
      </w:pPr>
      <w:r>
        <w:t>30 packages are going to be removed.</w:t>
      </w:r>
    </w:p>
    <w:p>
      <w:pPr>
        <w:pStyle w:val="Normal"/>
      </w:pPr>
      <w:r>
        <w:t>Continue [yN]</w:t>
        <w:t xml:space="preserve"> </w:t>
        <w:t>Details [d]</w:t>
      </w:r>
    </w:p>
    <w:p>
      <w:bookmarkStart w:id="512" w:name="calibre_pb_75"/>
      <w:pPr>
        <w:pStyle w:val="0 Block"/>
      </w:pPr>
      <w:bookmarkEnd w:id="512"/>
    </w:p>
    <w:p>
      <w:bookmarkStart w:id="513" w:name="Top_of_index_split_076_html"/>
      <w:bookmarkStart w:id="514" w:name="page_36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69" name="index-362_1.png" descr="index-362_1.png"/>
            <wp:cNvGraphicFramePr>
              <a:graphicFrameLocks noChangeAspect="1"/>
            </wp:cNvGraphicFramePr>
            <a:graphic>
              <a:graphicData uri="http://schemas.openxmlformats.org/drawingml/2006/picture">
                <pic:pic>
                  <pic:nvPicPr>
                    <pic:cNvPr id="0" name="index-362_1.png" descr="index-362_1.png"/>
                    <pic:cNvPicPr/>
                  </pic:nvPicPr>
                  <pic:blipFill>
                    <a:blip r:embed="rId373"/>
                    <a:stretch>
                      <a:fillRect/>
                    </a:stretch>
                  </pic:blipFill>
                  <pic:spPr>
                    <a:xfrm>
                      <a:off x="0" y="0"/>
                      <a:ext cx="914400" cy="266700"/>
                    </a:xfrm>
                    <a:prstGeom prst="rect">
                      <a:avLst/>
                    </a:prstGeom>
                  </pic:spPr>
                </pic:pic>
              </a:graphicData>
            </a:graphic>
          </wp:anchor>
        </w:drawing>
      </w:r>
      <w:bookmarkEnd w:id="513"/>
      <w:bookmarkEnd w:id="514"/>
    </w:p>
    <w:p>
      <w:pPr>
        <w:pStyle w:val="Para 01"/>
      </w:pPr>
      <w:r>
        <w:t>Reboot</w:t>
      </w:r>
    </w:p>
    <w:p>
      <w:pPr>
        <w:pStyle w:val="Para 17"/>
      </w:pPr>
      <w:r>
        <w:t/>
      </w:r>
    </w:p>
    <w:p>
      <w:pPr>
        <w:pStyle w:val="Normal"/>
      </w:pPr>
      <w:r>
        <w:t>Finally, when the upgrade is complete you are prompted to reboot the system. The system is not considered upgraded until this reboot occurs:</w:t>
      </w:r>
    </w:p>
    <w:p>
      <w:pPr>
        <w:pStyle w:val="Normal"/>
      </w:pPr>
      <w:r>
        <w:t>System upgrade is complete.</w:t>
      </w:r>
    </w:p>
    <w:p>
      <w:pPr>
        <w:pStyle w:val="Normal"/>
      </w:pPr>
      <w:r>
        <w:t>Restart required</w:t>
      </w:r>
    </w:p>
    <w:p>
      <w:pPr>
        <w:pStyle w:val="Normal"/>
      </w:pPr>
      <w:r>
        <w:t>To finish the upgrade, a restart is required.</w:t>
      </w:r>
    </w:p>
    <w:p>
      <w:pPr>
        <w:pStyle w:val="Normal"/>
      </w:pPr>
      <w:r>
        <w:t>If you select 'y' the system will be restarted.</w:t>
      </w:r>
    </w:p>
    <w:p>
      <w:pPr>
        <w:pStyle w:val="Normal"/>
      </w:pPr>
      <w:r>
        <w:t>Continue [yN]</w:t>
      </w:r>
    </w:p>
    <w:p>
      <w:pPr>
        <w:pStyle w:val="Para 17"/>
      </w:pPr>
      <w:r>
        <w:t/>
      </w:r>
    </w:p>
    <w:p>
      <w:pPr>
        <w:pStyle w:val="Para 01"/>
      </w:pPr>
      <w:r>
        <w:t>Further reading</w:t>
      </w:r>
    </w:p>
    <w:p>
      <w:pPr>
        <w:pStyle w:val="Para 17"/>
      </w:pPr>
      <w:r>
        <w:t/>
      </w:r>
    </w:p>
    <w:p>
      <w:pPr>
        <w:pStyle w:val="Para 04"/>
      </w:pPr>
      <w:r>
        <w:t xml:space="preserve">• For a complete list of releases and current support status, see the </w:t>
      </w:r>
      <w:hyperlink r:id="rId1281">
        <w:r>
          <w:rPr>
            <w:rStyle w:val="Text9"/>
          </w:rPr>
          <w:t>305</w:t>
        </w:r>
      </w:hyperlink>
      <w:hyperlink r:id="rId1281">
        <w:r>
          <w:rPr>
            <w:rStyle w:val="Text1"/>
          </w:rPr>
          <w:t xml:space="preserve"> List of releases</w:t>
        </w:r>
      </w:hyperlink>
    </w:p>
    <w:p>
      <w:pPr>
        <w:pStyle w:val="Para 02"/>
      </w:pPr>
      <w:r>
        <w:t>page.</w:t>
      </w:r>
    </w:p>
    <w:p>
      <w:pPr>
        <w:pStyle w:val="Para 17"/>
      </w:pPr>
      <w:r>
        <w:t/>
      </w:r>
    </w:p>
    <w:p>
      <w:pPr>
        <w:pStyle w:val="Para 01"/>
      </w:pPr>
      <w:r>
        <w:t>How to use the Ubuntu snapshot service</w:t>
      </w:r>
    </w:p>
    <w:p>
      <w:pPr>
        <w:pStyle w:val="Para 17"/>
      </w:pPr>
      <w:r>
        <w:t/>
      </w:r>
    </w:p>
    <w:p>
      <w:pPr>
        <w:pStyle w:val="Normal"/>
      </w:pPr>
      <w:r>
        <w:t>The Ubuntu snapshot service allows you to access old packages in the Ubuntu archive based on past dates. Some of the use cases for this service include:</w:t>
      </w:r>
    </w:p>
    <w:p>
      <w:pPr>
        <w:pStyle w:val="Para 04"/>
      </w:pPr>
      <w:r>
        <w:t>• Installing a superseded version of a package as it existed at a particular date and time,</w:t>
      </w:r>
    </w:p>
    <w:p>
      <w:pPr>
        <w:pStyle w:val="Para 17"/>
      </w:pPr>
      <w:r>
        <w:t>which is useful to troubleshoot bugs or regressions, or to allow reproducibility.</w:t>
      </w:r>
    </w:p>
    <w:p>
      <w:pPr>
        <w:pStyle w:val="Para 04"/>
      </w:pPr>
      <w:r>
        <w:t>• Setting upgrades to known states, which can be useful to ensure homogeneity for a</w:t>
      </w:r>
    </w:p>
    <w:p>
      <w:pPr>
        <w:pStyle w:val="Para 02"/>
      </w:pPr>
      <w:r>
        <w:t>fleet of Ubuntu installations and to ensure predictability upon package upgrades (in-cluding unattended upgrades).</w:t>
      </w:r>
    </w:p>
    <w:p>
      <w:pPr>
        <w:pStyle w:val="Para 04"/>
      </w:pPr>
      <w:r>
        <w:t>• Support a structured update workflow by validating snapshots in different environ-</w:t>
      </w:r>
    </w:p>
    <w:p>
      <w:pPr>
        <w:pStyle w:val="Para 17"/>
      </w:pPr>
      <w:r>
        <w:t>ments or by rolling out package upgrades in stages for a large set of machines.</w:t>
      </w:r>
    </w:p>
    <w:p>
      <w:pPr>
        <w:pStyle w:val="Normal"/>
      </w:pPr>
      <w:r>
        <w:t>Here we show how to set up and use the snapshot service.</w:t>
      </w:r>
    </w:p>
    <w:p>
      <w:pPr>
        <w:pStyle w:val="Para 17"/>
      </w:pPr>
      <w:r>
        <w:t/>
      </w:r>
    </w:p>
    <w:p>
      <w:pPr>
        <w:pStyle w:val="Para 01"/>
      </w:pPr>
      <w:r>
        <w:t>Prerequisites</w:t>
      </w:r>
    </w:p>
    <w:p>
      <w:pPr>
        <w:pStyle w:val="Para 17"/>
      </w:pPr>
      <w:r>
        <w:t/>
      </w:r>
    </w:p>
    <w:p>
      <w:pPr>
        <w:pStyle w:val="Normal"/>
      </w:pPr>
      <w:r>
        <w:t>Snapshots are supported in Ubuntu 23.10 onward and on updated installations of Ubuntu 20.04 LTS (starting from apt 2.0.10) and Ubuntu 22.04 LTS (starting from apt 2.4.11).</w:t>
      </w:r>
    </w:p>
    <w:p>
      <w:pPr>
        <w:pStyle w:val="Normal"/>
      </w:pPr>
      <w:r>
        <w:t>In Ubuntu 24.04 LTS and later, apt will automatically detect whether a repository supports snapshots. Therefore, there is no need for additional configuration before you can start us-ing the Ubuntu snapshot service. For Ubuntu versions lower than 24.04, you need to set a snapshot option in the relevant entries of the /etc/apt/sources.list file. For instance:</w:t>
      </w:r>
    </w:p>
    <w:p>
      <w:pPr>
        <w:pStyle w:val="Normal"/>
      </w:pPr>
      <w:r>
        <w:t>If you have the following contents in the /etc/apt/sources.list file</w:t>
      </w:r>
    </w:p>
    <w:p>
      <w:pPr>
        <w:pStyle w:val="Para 17"/>
      </w:pPr>
      <w:r>
        <w:t/>
      </w:r>
    </w:p>
    <w:p>
      <w:pPr>
        <w:pStyle w:val="Para 03"/>
      </w:pPr>
      <w:r>
        <w:rPr>
          <w:rStyle w:val="Text5"/>
        </w:rPr>
        <w:t>305</w:t>
      </w:r>
      <w:r>
        <w:t xml:space="preserve"> </w:t>
      </w:r>
      <w:r>
        <w:rPr>
          <w:rStyle w:val="Text6"/>
        </w:rPr>
        <w:t>https://documentation.ubuntu.com/project/release-team/list-of-releases/</w:t>
      </w:r>
      <w:r>
        <w:t xml:space="preserve"> </w:t>
        <w:t>deb http:</w:t>
        <w:t>//</w:t>
        <w:t>archive</w:t>
        <w:t>.</w:t>
        <w:t>ubuntu</w:t>
        <w:t>.</w:t>
        <w:t>com</w:t>
        <w:t>/</w:t>
        <w:t>ubuntu jammy main universe restricted multiverse</w:t>
        <w:t xml:space="preserve"> </w:t>
        <w:t>deb http:</w:t>
        <w:t>//</w:t>
        <w:t>archive</w:t>
        <w:t>.</w:t>
        <w:t>ubuntu</w:t>
        <w:t>.</w:t>
        <w:t>com</w:t>
        <w:t>/</w:t>
        <w:t>ubuntu jammy</w:t>
        <w:t>-</w:t>
        <w:t>updates main universe restricted multiverse</w:t>
        <w:t xml:space="preserve"> </w:t>
        <w:t>deb http:</w:t>
        <w:t>//</w:t>
        <w:t>archive</w:t>
        <w:t>.</w:t>
        <w:t>ubuntu</w:t>
        <w:t>.</w:t>
        <w:t>com</w:t>
        <w:t>/</w:t>
        <w:t>ubuntu jammy</w:t>
        <w:t>-</w:t>
        <w:t>backports main restricted universe multiverse</w:t>
        <w:t xml:space="preserve"> </w:t>
        <w:t>deb http:</w:t>
        <w:t>//</w:t>
        <w:t>security</w:t>
        <w:t>.</w:t>
        <w:t>ubuntu</w:t>
        <w:t>.</w:t>
        <w:t>com</w:t>
        <w:t>/</w:t>
        <w:t>ubuntu jammy</w:t>
        <w:t>-</w:t>
        <w:t>security main restricted universe multiverse</w:t>
      </w:r>
    </w:p>
    <w:p>
      <w:bookmarkStart w:id="515" w:name="page_3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0" name="index-363_1.png" descr="index-363_1.png"/>
            <wp:cNvGraphicFramePr>
              <a:graphicFrameLocks noChangeAspect="1"/>
            </wp:cNvGraphicFramePr>
            <a:graphic>
              <a:graphicData uri="http://schemas.openxmlformats.org/drawingml/2006/picture">
                <pic:pic>
                  <pic:nvPicPr>
                    <pic:cNvPr id="0" name="index-363_1.png" descr="index-363_1.png"/>
                    <pic:cNvPicPr/>
                  </pic:nvPicPr>
                  <pic:blipFill>
                    <a:blip r:embed="rId374"/>
                    <a:stretch>
                      <a:fillRect/>
                    </a:stretch>
                  </pic:blipFill>
                  <pic:spPr>
                    <a:xfrm>
                      <a:off x="0" y="0"/>
                      <a:ext cx="914400" cy="266700"/>
                    </a:xfrm>
                    <a:prstGeom prst="rect">
                      <a:avLst/>
                    </a:prstGeom>
                  </pic:spPr>
                </pic:pic>
              </a:graphicData>
            </a:graphic>
          </wp:anchor>
        </w:drawing>
      </w:r>
      <w:bookmarkEnd w:id="515"/>
    </w:p>
    <w:p>
      <w:pPr>
        <w:pStyle w:val="Para 17"/>
      </w:pPr>
      <w:r>
        <w:t/>
      </w:r>
    </w:p>
    <w:p>
      <w:pPr>
        <w:pStyle w:val="Normal"/>
      </w:pPr>
      <w:r>
        <w:t xml:space="preserve">you can enable the snapshot service for </w:t>
      </w:r>
      <w:hyperlink r:id="rId1271">
        <w:r>
          <w:rPr>
            <w:rStyle w:val="Text9"/>
          </w:rPr>
          <w:t>306</w:t>
        </w:r>
      </w:hyperlink>
      <w:hyperlink r:id="rId1271">
        <w:r>
          <w:rPr>
            <w:rStyle w:val="Text1"/>
          </w:rPr>
          <w:t xml:space="preserve"> all components in all pockets</w:t>
        </w:r>
      </w:hyperlink>
      <w:r>
        <w:t xml:space="preserve"> by changing it to</w:t>
      </w:r>
    </w:p>
    <w:p>
      <w:pPr>
        <w:pStyle w:val="Normal"/>
      </w:pPr>
      <w:r>
        <w:t>deb [snapshot</w:t>
        <w:t>=</w:t>
        <w:t>yes] http:</w:t>
        <w:t>//</w:t>
        <w:t>archive</w:t>
        <w:t>.</w:t>
        <w:t>ubuntu</w:t>
        <w:t>.</w:t>
        <w:t>com</w:t>
        <w:t>/</w:t>
        <w:t>ubuntu jammy main universe restricted</w:t>
        <w:t xml:space="preserve"> </w:t>
        <w:t>multiverse</w:t>
      </w:r>
    </w:p>
    <w:p>
      <w:pPr>
        <w:pStyle w:val="Normal"/>
      </w:pPr>
      <w:r>
        <w:t>deb [snapshot</w:t>
        <w:t>=</w:t>
        <w:t>yes] http:</w:t>
        <w:t>//</w:t>
        <w:t>archive</w:t>
        <w:t>.</w:t>
        <w:t>ubuntu</w:t>
        <w:t>.</w:t>
        <w:t>com</w:t>
        <w:t>/</w:t>
        <w:t>ubuntu jammy</w:t>
        <w:t>-</w:t>
        <w:t>updates main universe restricted</w:t>
        <w:t xml:space="preserve"> </w:t>
        <w:t>multiverse</w:t>
      </w:r>
    </w:p>
    <w:p>
      <w:pPr>
        <w:pStyle w:val="Normal"/>
      </w:pPr>
      <w:r>
        <w:t>deb [snapshot</w:t>
        <w:t>=</w:t>
        <w:t>yes] http:</w:t>
        <w:t>//</w:t>
        <w:t>archive</w:t>
        <w:t>.</w:t>
        <w:t>ubuntu</w:t>
        <w:t>.</w:t>
        <w:t>com</w:t>
        <w:t>/</w:t>
        <w:t>ubuntu jammy</w:t>
        <w:t>-</w:t>
        <w:t>backports main restricted</w:t>
        <w:t xml:space="preserve"> </w:t>
        <w:t>universe multiverse</w:t>
      </w:r>
    </w:p>
    <w:p>
      <w:pPr>
        <w:pStyle w:val="Normal"/>
      </w:pPr>
      <w:r>
        <w:t>deb [snapshot</w:t>
        <w:t>=</w:t>
        <w:t>yes] http:</w:t>
        <w:t>//</w:t>
        <w:t>security</w:t>
        <w:t>.</w:t>
        <w:t>ubuntu</w:t>
        <w:t>.</w:t>
        <w:t>com</w:t>
        <w:t>/</w:t>
        <w:t>ubuntu jammy</w:t>
        <w:t>-</w:t>
        <w:t>security main restricted</w:t>
        <w:t xml:space="preserve"> </w:t>
        <w:t>universe multiverse</w:t>
      </w:r>
    </w:p>
    <w:p>
      <w:pPr>
        <w:pStyle w:val="Para 17"/>
      </w:pPr>
      <w:r>
        <w:t/>
      </w:r>
    </w:p>
    <w:p>
      <w:pPr>
        <w:pStyle w:val="Normal"/>
      </w:pPr>
      <w:r>
        <w:t>Without the setup shown above, apt will simply ignore snapshot related command line op-tions in Ubuntu releases lower than 24.04.</w:t>
      </w:r>
    </w:p>
    <w:p>
      <w:pPr>
        <w:pStyle w:val="Normal"/>
      </w:pPr>
      <w:r>
        <w:t>The following table describes whether the snapshot service can be used with each supported Ubuntu release, and whether or not it is necessary to configure the snapshot option in the sources.list file.</w:t>
      </w:r>
    </w:p>
    <w:p>
      <w:pPr>
        <w:pStyle w:val="Para 17"/>
      </w:pPr>
      <w:r>
        <w:t/>
      </w:r>
    </w:p>
    <w:p>
      <w:pPr>
        <w:pStyle w:val="Para 03"/>
      </w:pPr>
      <w:r>
        <w:t>Ubuntu Release Supports Snapshot Service? Need to configure sources.list?</w:t>
      </w:r>
    </w:p>
    <w:p>
      <w:pPr>
        <w:pStyle w:val="Para 03"/>
      </w:pPr>
      <w:r>
        <w:t>Next Ubuntu releases Yes No</w:t>
      </w:r>
    </w:p>
    <w:p>
      <w:pPr>
        <w:pStyle w:val="Para 03"/>
      </w:pPr>
      <w:r>
        <w:t>Ubuntu 25.10 Yes No</w:t>
      </w:r>
    </w:p>
    <w:p>
      <w:pPr>
        <w:pStyle w:val="Para 03"/>
      </w:pPr>
      <w:r>
        <w:t>Ubuntu 25.04 Yes No</w:t>
      </w:r>
    </w:p>
    <w:p>
      <w:pPr>
        <w:pStyle w:val="Para 03"/>
      </w:pPr>
      <w:r>
        <w:t>Ubuntu 24.04 LTS Yes No</w:t>
      </w:r>
    </w:p>
    <w:p>
      <w:pPr>
        <w:pStyle w:val="Para 03"/>
      </w:pPr>
      <w:r>
        <w:t>Ubuntu 22.04 LTS Yes (with apt &gt;= 2.4.11) Yes</w:t>
      </w:r>
    </w:p>
    <w:p>
      <w:pPr>
        <w:pStyle w:val="Para 03"/>
      </w:pPr>
      <w:r>
        <w:t>Ubuntu 20.04 LTS Yes (with apt &gt;= 2.0.10) Yes</w:t>
      </w:r>
    </w:p>
    <w:p>
      <w:pPr>
        <w:pStyle w:val="Para 17"/>
      </w:pPr>
      <w:r>
        <w:t/>
      </w:r>
    </w:p>
    <w:p>
      <w:pPr>
        <w:pStyle w:val="Para 01"/>
      </w:pPr>
      <w:r>
        <w:t>Quick start</w:t>
      </w:r>
    </w:p>
    <w:p>
      <w:pPr>
        <w:pStyle w:val="Para 17"/>
      </w:pPr>
      <w:r>
        <w:t/>
      </w:r>
    </w:p>
    <w:p>
      <w:pPr>
        <w:pStyle w:val="Normal"/>
      </w:pPr>
      <w:r>
        <w:t>You can start using the snapshot service right away by passing the--snapshot option to apt followed by a timestamp in the format shown below.</w:t>
      </w:r>
    </w:p>
    <w:p>
      <w:pPr>
        <w:pStyle w:val="Normal"/>
      </w:pPr>
      <w:r>
        <w:t>$ sudo apt install hello --update --snapshot 20240301T030400Z</w:t>
      </w:r>
    </w:p>
    <w:p>
      <w:pPr>
        <w:pStyle w:val="Para 17"/>
      </w:pPr>
      <w:r>
        <w:t/>
      </w:r>
    </w:p>
    <w:p>
      <w:pPr>
        <w:pStyle w:val="Normal"/>
      </w:pPr>
      <w:r>
        <w:t>The--snapshot option and the the timestamp format are discussed with more details in the next sections.</w:t>
      </w:r>
    </w:p>
    <w:p>
      <w:pPr>
        <w:pStyle w:val="Para 41"/>
      </w:pPr>
      <w:r>
        <w:rPr>
          <w:rStyle w:val="Text5"/>
        </w:rPr>
        <w:t>306</w:t>
      </w:r>
      <w:r>
        <w:rPr>
          <w:rStyle w:val="Text8"/>
        </w:rPr>
        <w:t xml:space="preserve"> </w:t>
      </w:r>
      <w:r>
        <w:t>https://documentation.ubuntu.com/project/how-ubuntu-is-made/concepts/package-archive/#pockets</w:t>
      </w:r>
    </w:p>
    <w:p>
      <w:bookmarkStart w:id="516" w:name="calibre_pb_76"/>
      <w:pPr>
        <w:pStyle w:val="0 Block"/>
      </w:pPr>
      <w:bookmarkEnd w:id="516"/>
    </w:p>
    <w:p>
      <w:bookmarkStart w:id="517" w:name="Top_of_index_split_077_html"/>
      <w:bookmarkStart w:id="518" w:name="page_36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1" name="index-364_1.png" descr="index-364_1.png"/>
            <wp:cNvGraphicFramePr>
              <a:graphicFrameLocks noChangeAspect="1"/>
            </wp:cNvGraphicFramePr>
            <a:graphic>
              <a:graphicData uri="http://schemas.openxmlformats.org/drawingml/2006/picture">
                <pic:pic>
                  <pic:nvPicPr>
                    <pic:cNvPr id="0" name="index-364_1.png" descr="index-364_1.png"/>
                    <pic:cNvPicPr/>
                  </pic:nvPicPr>
                  <pic:blipFill>
                    <a:blip r:embed="rId375"/>
                    <a:stretch>
                      <a:fillRect/>
                    </a:stretch>
                  </pic:blipFill>
                  <pic:spPr>
                    <a:xfrm>
                      <a:off x="0" y="0"/>
                      <a:ext cx="914400" cy="266700"/>
                    </a:xfrm>
                    <a:prstGeom prst="rect">
                      <a:avLst/>
                    </a:prstGeom>
                  </pic:spPr>
                </pic:pic>
              </a:graphicData>
            </a:graphic>
          </wp:anchor>
        </w:drawing>
      </w:r>
      <w:bookmarkEnd w:id="517"/>
      <w:bookmarkEnd w:id="518"/>
    </w:p>
    <w:p>
      <w:pPr>
        <w:pStyle w:val="Para 01"/>
      </w:pPr>
      <w:r>
        <w:t>Using the snapshot service</w:t>
      </w:r>
    </w:p>
    <w:p>
      <w:pPr>
        <w:pStyle w:val="Para 17"/>
      </w:pPr>
      <w:r>
        <w:t/>
      </w:r>
    </w:p>
    <w:p>
      <w:pPr>
        <w:pStyle w:val="Normal"/>
      </w:pPr>
      <w:r>
        <w:t>There are several options when it comes to setting up Ubuntu snapshot services. Here we present the most relevant, supported ones.</w:t>
      </w:r>
    </w:p>
    <w:p>
      <w:pPr>
        <w:pStyle w:val="Normal"/>
      </w:pPr>
      <w:r>
        <w:t>Below, we refer to the snapshot ID as $SNAPSHOT_ID. This is a UTC date and time formatted as YYYYMMDDTHHMMSSZ, e.g., 20240430T214500Z, which refers to the snapshot that repre-sents the state of the Ubuntu archive on April 30th, 2024, at 21:45:00 UTC.</w:t>
      </w:r>
    </w:p>
    <w:p>
      <w:pPr>
        <w:pStyle w:val="Normal"/>
      </w:pPr>
      <w:r>
        <w:t xml:space="preserve">Currently, the Ubuntu snapshot service provides snapshots for any date and time </w:t>
      </w:r>
      <w:r>
        <w:rPr>
          <w:rStyle w:val="Text0"/>
        </w:rPr>
        <w:t>after 1 March 2023</w:t>
      </w:r>
      <w:r>
        <w:t>.</w:t>
      </w:r>
    </w:p>
    <w:p>
      <w:pPr>
        <w:pStyle w:val="Para 17"/>
      </w:pPr>
      <w:r>
        <w:t/>
      </w:r>
    </w:p>
    <w:p>
      <w:pPr>
        <w:pStyle w:val="Para 01"/>
      </w:pPr>
      <w:r>
        <w:t>The--snapshot CLI option</w:t>
      </w:r>
    </w:p>
    <w:p>
      <w:pPr>
        <w:pStyle w:val="Para 17"/>
      </w:pPr>
      <w:r>
        <w:t/>
      </w:r>
    </w:p>
    <w:p>
      <w:pPr>
        <w:pStyle w:val="Normal"/>
      </w:pPr>
      <w:r>
        <w:t>The snapshot service can be used through the--snapshot (or-S) CLI option for apt, which receives a snapshot ID argument.</w:t>
      </w:r>
    </w:p>
    <w:p>
      <w:pPr>
        <w:pStyle w:val="Normal"/>
      </w:pPr>
      <w:r>
        <w:t>$ sudo apt update --snapshot $SNAPSHOT_ID</w:t>
      </w:r>
    </w:p>
    <w:p>
      <w:pPr>
        <w:pStyle w:val="Normal"/>
      </w:pPr>
      <w:r>
        <w:t>$ sudo apt install $PACKAGE_NAME --snapshot $SNAPSHOT_ID</w:t>
      </w:r>
    </w:p>
    <w:p>
      <w:pPr>
        <w:pStyle w:val="Para 17"/>
      </w:pPr>
      <w:r>
        <w:t/>
      </w:r>
    </w:p>
    <w:p>
      <w:pPr>
        <w:pStyle w:val="Normal"/>
      </w:pPr>
      <w:r>
        <w:t>You can also use the short, atomic version to merge the two actions above in a single com-mand, which will download the package information from the repository, then download and install the package:</w:t>
      </w:r>
    </w:p>
    <w:p>
      <w:pPr>
        <w:pStyle w:val="Normal"/>
      </w:pPr>
      <w:r>
        <w:t>$ sudo apt install $PACKAGE_NAME --update --snapshot $SNAPSHOT_ID</w:t>
      </w:r>
    </w:p>
    <w:p>
      <w:pPr>
        <w:pStyle w:val="Para 17"/>
      </w:pPr>
      <w:r>
        <w:t/>
      </w:r>
    </w:p>
    <w:p>
      <w:pPr>
        <w:pStyle w:val="Normal"/>
      </w:pPr>
      <w:r>
        <w:t>or using the short version of the snapshot option:</w:t>
      </w:r>
    </w:p>
    <w:p>
      <w:pPr>
        <w:pStyle w:val="Normal"/>
      </w:pPr>
      <w:r>
        <w:t>$ sudo apt install $PACKAGE_NAME --update -S $SNAPSHOT_ID</w:t>
      </w:r>
    </w:p>
    <w:p>
      <w:pPr>
        <w:pStyle w:val="Para 17"/>
      </w:pPr>
      <w:r>
        <w:t/>
      </w:r>
    </w:p>
    <w:p>
      <w:pPr>
        <w:pStyle w:val="Normal"/>
      </w:pPr>
      <w:r>
        <w:t>For instance, if you want to install Docker as it was released when Ubuntu 24.04 LTS first came out, you could try a snapshot from May 2025:</w:t>
      </w:r>
    </w:p>
    <w:p>
      <w:pPr>
        <w:pStyle w:val="Normal"/>
      </w:pPr>
      <w:r>
        <w:t>$ sudo apt update --snapshot 20240501T120000Z</w:t>
      </w:r>
    </w:p>
    <w:p>
      <w:pPr>
        <w:pStyle w:val="Para 17"/>
      </w:pPr>
      <w:r>
        <w:t/>
      </w:r>
    </w:p>
    <w:p>
      <w:pPr>
        <w:pStyle w:val="Normal"/>
      </w:pPr>
      <w:r>
        <w:t>Note that you will need to keep using the snapshot option to let apt operate over the snap-shot repositories. For example, if you want to check what versions of Docker are available with the snapshot:</w:t>
      </w:r>
    </w:p>
    <w:p>
      <w:pPr>
        <w:pStyle w:val="Normal"/>
      </w:pPr>
      <w:r>
        <w:t>$ apt policy docker.io --snapshot 20240501T120000Z</w:t>
      </w:r>
    </w:p>
    <w:p>
      <w:pPr>
        <w:pStyle w:val="Normal"/>
      </w:pPr>
      <w:r>
        <w:t>docker.io:</w:t>
      </w:r>
    </w:p>
    <w:p>
      <w:pPr>
        <w:pStyle w:val="Para 03"/>
      </w:pPr>
      <w:r>
        <w:t>Installed: (none)</w:t>
      </w:r>
    </w:p>
    <w:p>
      <w:pPr>
        <w:pStyle w:val="Para 03"/>
      </w:pPr>
      <w:r>
        <w:t>Candidate: 24.0.7-0ubuntu4</w:t>
      </w:r>
    </w:p>
    <w:p>
      <w:pPr>
        <w:pStyle w:val="Para 03"/>
      </w:pPr>
      <w:r>
        <w:t>Version table:</w:t>
      </w:r>
    </w:p>
    <w:p>
      <w:pPr>
        <w:pStyle w:val="Para 02"/>
      </w:pPr>
      <w:r>
        <w:t>24.0.7-0ubuntu4 500</w:t>
      </w:r>
    </w:p>
    <w:p>
      <w:pPr>
        <w:pStyle w:val="Para 17"/>
      </w:pPr>
      <w:r>
        <w:t>500 https://snapshot.ubuntu.com/ubuntu/20240501T120000Z noble/universe amd64</w:t>
      </w:r>
    </w:p>
    <w:p>
      <w:pPr>
        <w:pStyle w:val="Normal"/>
      </w:pPr>
      <w:r>
        <w:t>Packages</w:t>
      </w:r>
    </w:p>
    <w:p>
      <w:pPr>
        <w:pStyle w:val="Para 17"/>
      </w:pPr>
      <w:r>
        <w:t/>
      </w:r>
    </w:p>
    <w:p>
      <w:pPr>
        <w:pStyle w:val="Normal"/>
      </w:pPr>
      <w:r>
        <w:t>If you forget to use the snapshot option, apt will operate over the regular archive:</w:t>
      </w:r>
    </w:p>
    <w:p>
      <w:pPr>
        <w:pStyle w:val="Normal"/>
      </w:pPr>
      <w:r>
        <w:t>$ apt policy docker.io</w:t>
      </w:r>
    </w:p>
    <w:p>
      <w:pPr>
        <w:pStyle w:val="Normal"/>
      </w:pPr>
      <w:r>
        <w:t>docker.io:</w:t>
      </w:r>
    </w:p>
    <w:p>
      <w:pPr>
        <w:pStyle w:val="Para 03"/>
      </w:pPr>
      <w:r>
        <w:t>Installed: (none)</w:t>
      </w:r>
    </w:p>
    <w:p>
      <w:pPr>
        <w:pStyle w:val="Para 03"/>
      </w:pPr>
      <w:r>
        <w:t>Candidate: 28.2.2-0ubuntu1~24.04.1</w:t>
      </w:r>
    </w:p>
    <w:p>
      <w:pPr>
        <w:pStyle w:val="Para 09"/>
      </w:pPr>
      <w:r>
        <w:t>(continues on next page)</w:t>
      </w:r>
    </w:p>
    <w:p>
      <w:bookmarkStart w:id="519" w:name="page_3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2" name="index-365_1.png" descr="index-365_1.png"/>
            <wp:cNvGraphicFramePr>
              <a:graphicFrameLocks noChangeAspect="1"/>
            </wp:cNvGraphicFramePr>
            <a:graphic>
              <a:graphicData uri="http://schemas.openxmlformats.org/drawingml/2006/picture">
                <pic:pic>
                  <pic:nvPicPr>
                    <pic:cNvPr id="0" name="index-365_1.png" descr="index-365_1.png"/>
                    <pic:cNvPicPr/>
                  </pic:nvPicPr>
                  <pic:blipFill>
                    <a:blip r:embed="rId376"/>
                    <a:stretch>
                      <a:fillRect/>
                    </a:stretch>
                  </pic:blipFill>
                  <pic:spPr>
                    <a:xfrm>
                      <a:off x="0" y="0"/>
                      <a:ext cx="914400" cy="266700"/>
                    </a:xfrm>
                    <a:prstGeom prst="rect">
                      <a:avLst/>
                    </a:prstGeom>
                  </pic:spPr>
                </pic:pic>
              </a:graphicData>
            </a:graphic>
          </wp:anchor>
        </w:drawing>
      </w:r>
      <w:bookmarkEnd w:id="519"/>
    </w:p>
    <w:p>
      <w:pPr>
        <w:pStyle w:val="Para 09"/>
      </w:pPr>
      <w:r>
        <w:t>(continued from previous page)</w:t>
      </w:r>
    </w:p>
    <w:p>
      <w:pPr>
        <w:pStyle w:val="Para 03"/>
      </w:pPr>
      <w:r>
        <w:t>Version table:</w:t>
      </w:r>
    </w:p>
    <w:p>
      <w:pPr>
        <w:pStyle w:val="Para 02"/>
      </w:pPr>
      <w:r>
        <w:t>28.2.2-0ubuntu1~24.04.1 500</w:t>
      </w:r>
    </w:p>
    <w:p>
      <w:pPr>
        <w:pStyle w:val="Para 17"/>
      </w:pPr>
      <w:r>
        <w:t>500 http://archive.ubuntu.com/ubuntu noble-updates/universe amd64 Packages</w:t>
      </w:r>
    </w:p>
    <w:p>
      <w:pPr>
        <w:pStyle w:val="Para 02"/>
      </w:pPr>
      <w:r>
        <w:t>27.5.1-0ubuntu3~24.04.2 500</w:t>
      </w:r>
    </w:p>
    <w:p>
      <w:pPr>
        <w:pStyle w:val="Para 17"/>
      </w:pPr>
      <w:r>
        <w:t>500 http://security.ubuntu.com/ubuntu noble-security/universe amd64 Packages</w:t>
      </w:r>
    </w:p>
    <w:p>
      <w:pPr>
        <w:pStyle w:val="Para 02"/>
      </w:pPr>
      <w:r>
        <w:t>24.0.7-0ubuntu4 500</w:t>
      </w:r>
    </w:p>
    <w:p>
      <w:pPr>
        <w:pStyle w:val="Para 06"/>
      </w:pPr>
      <w:r>
        <w:t>500 http://archive.ubuntu.com/ubuntu noble/universe amd64 Packages</w:t>
      </w:r>
    </w:p>
    <w:p>
      <w:pPr>
        <w:pStyle w:val="Para 17"/>
      </w:pPr>
      <w:r>
        <w:t/>
      </w:r>
    </w:p>
    <w:p>
      <w:pPr>
        <w:pStyle w:val="Normal"/>
      </w:pPr>
      <w:r>
        <w:t>Then, you can install Docker from that snapshot:</w:t>
      </w:r>
    </w:p>
    <w:p>
      <w:pPr>
        <w:pStyle w:val="Normal"/>
      </w:pPr>
      <w:r>
        <w:t>$ sudo apt install docker.io --snapshot 20240501T120000Z</w:t>
        <w:t xml:space="preserve"> </w:t>
        <w:t>...</w:t>
      </w:r>
    </w:p>
    <w:p>
      <w:pPr>
        <w:pStyle w:val="Normal"/>
      </w:pPr>
      <w:r>
        <w:t>$ docker --version</w:t>
      </w:r>
    </w:p>
    <w:p>
      <w:pPr>
        <w:pStyle w:val="Normal"/>
      </w:pPr>
      <w:r>
        <w:t>Docker version 24.0.7, build 24.0.7-0ubuntu4</w:t>
      </w:r>
    </w:p>
    <w:p>
      <w:pPr>
        <w:pStyle w:val="Para 17"/>
      </w:pPr>
      <w:r>
        <w:t/>
      </w:r>
    </w:p>
    <w:p>
      <w:pPr>
        <w:pStyle w:val="Para 18"/>
      </w:pPr>
      <w:r>
        <w:rPr>
          <w:rStyle w:val="Text7"/>
        </w:rPr>
        <w:t xml:space="preserve">Now, let’s say you checked the </w:t>
      </w:r>
      <w:hyperlink w:anchor="page_365">
        <w:r>
          <w:rPr>
            <w:rStyle w:val="Text10"/>
          </w:rPr>
          <w:t>307</w:t>
        </w:r>
      </w:hyperlink>
      <w:r>
        <w:rPr>
          <w:rStyle w:val="Text7"/>
        </w:rPr>
        <w:t xml:space="preserve"> </w:t>
      </w:r>
      <w:hyperlink r:id="rId1282">
        <w:r>
          <w:t>Docker package publishing history in Launchpad</w:t>
        </w:r>
      </w:hyperlink>
      <w:r>
        <w:rPr>
          <w:rStyle w:val="Text7"/>
        </w:rPr>
        <w:t xml:space="preserve"> and</w:t>
      </w:r>
    </w:p>
    <w:p>
      <w:pPr>
        <w:pStyle w:val="Normal"/>
      </w:pPr>
      <w:r>
        <w:t>(for some reason) decided you want to install version 26.1.3-0ubuntu1~24.04.1, which, as inferred from the publishing history, superseded docker.io 24.0.7-0ubuntu4.1 in noble-updates on 2024-11-25. Then, 24.0.7-0ubuntu4.1 was removed from the-updates pocket on 2024-11-26.</w:t>
      </w:r>
    </w:p>
    <w:p>
      <w:pPr>
        <w:pStyle w:val="Normal"/>
      </w:pPr>
      <w:r>
        <w:t>You could then use 20241126T230000Z as the snapshot ID to get the target package (26.1.3-0ubuntu1~24.04.1):</w:t>
      </w:r>
    </w:p>
    <w:p>
      <w:pPr>
        <w:pStyle w:val="Normal"/>
      </w:pPr>
      <w:r>
        <w:t>$ sudo apt install docker.io --update --snapshot 20241126T230000Z</w:t>
        <w:t xml:space="preserve"> </w:t>
        <w:t>...</w:t>
      </w:r>
    </w:p>
    <w:p>
      <w:pPr>
        <w:pStyle w:val="Normal"/>
      </w:pPr>
      <w:r>
        <w:t>$ docker --version</w:t>
      </w:r>
    </w:p>
    <w:p>
      <w:pPr>
        <w:pStyle w:val="Normal"/>
      </w:pPr>
      <w:r>
        <w:t>Docker version 26.1.3, build 26.1.3-0ubuntu1~24.04.1</w:t>
      </w:r>
    </w:p>
    <w:p>
      <w:pPr>
        <w:pStyle w:val="Para 17"/>
      </w:pPr>
      <w:r>
        <w:t/>
      </w:r>
    </w:p>
    <w:p>
      <w:pPr>
        <w:pStyle w:val="Para 08"/>
      </w:pPr>
      <w:r>
        <w:t>Note:</w:t>
      </w:r>
    </w:p>
    <w:p>
      <w:pPr>
        <w:pStyle w:val="Para 03"/>
      </w:pPr>
      <w:r>
        <w:t xml:space="preserve">Note that, at the time of writing, the version of </w:t>
      </w:r>
      <w:hyperlink w:anchor="page_365">
        <w:r>
          <w:rPr>
            <w:rStyle w:val="Text9"/>
          </w:rPr>
          <w:t>308</w:t>
        </w:r>
      </w:hyperlink>
      <w:r>
        <w:t xml:space="preserve"> </w:t>
      </w:r>
      <w:hyperlink r:id="rId1283">
        <w:r>
          <w:rPr>
            <w:rStyle w:val="Text1"/>
          </w:rPr>
          <w:t>docker.io</w:t>
        </w:r>
      </w:hyperlink>
      <w:r>
        <w:t xml:space="preserve"> in the noble-security pocket</w:t>
      </w:r>
    </w:p>
    <w:p>
      <w:pPr>
        <w:pStyle w:val="Para 03"/>
      </w:pPr>
      <w:r>
        <w:t>is 27.5.1-0ubuntu3~24.04.2, i.e., the version used in the example above may be affected</w:t>
      </w:r>
    </w:p>
    <w:p>
      <w:pPr>
        <w:pStyle w:val="Para 03"/>
      </w:pPr>
      <w:r>
        <w:t>by known vulnerabilities. When using the snapshot service, do make sure to check the</w:t>
      </w:r>
    </w:p>
    <w:p>
      <w:pPr>
        <w:pStyle w:val="Para 03"/>
      </w:pPr>
      <w:r>
        <w:t>latest version available in your Ubuntu release’s-security pocket to make sure you are</w:t>
      </w:r>
    </w:p>
    <w:p>
      <w:pPr>
        <w:pStyle w:val="Para 03"/>
      </w:pPr>
      <w:r>
        <w:t>not installing a vulnerable package.</w:t>
      </w:r>
    </w:p>
    <w:p>
      <w:pPr>
        <w:pStyle w:val="Para 05"/>
      </w:pPr>
      <w:r>
        <w:rPr>
          <w:rStyle w:val="Text5"/>
        </w:rPr>
        <w:t>308</w:t>
      </w:r>
      <w:r>
        <w:rPr>
          <w:rStyle w:val="Text8"/>
        </w:rPr>
        <w:t xml:space="preserve"> </w:t>
      </w:r>
      <w:r>
        <w:t>http://docker.io</w:t>
      </w:r>
    </w:p>
    <w:p>
      <w:pPr>
        <w:pStyle w:val="Para 17"/>
      </w:pPr>
      <w:r>
        <w:t/>
      </w:r>
    </w:p>
    <w:p>
      <w:pPr>
        <w:pStyle w:val="Para 01"/>
      </w:pPr>
      <w:r>
        <w:t>Configuring the snapshot service for specific repositories</w:t>
      </w:r>
    </w:p>
    <w:p>
      <w:pPr>
        <w:pStyle w:val="Para 17"/>
      </w:pPr>
      <w:r>
        <w:t/>
      </w:r>
    </w:p>
    <w:p>
      <w:pPr>
        <w:pStyle w:val="Normal"/>
      </w:pPr>
      <w:r>
        <w:t>In your apt repositories configuration files, it is possible to specify snapshots to be used for each specific repository.</w:t>
      </w:r>
    </w:p>
    <w:p>
      <w:pPr>
        <w:pStyle w:val="Normal"/>
      </w:pPr>
      <w:r>
        <w:t>For Ubuntu 24.04 LTS and later, which uses the deb822 style by default, we add a Snapshot option to the relevant sources file in the following format:</w:t>
      </w:r>
    </w:p>
    <w:p>
      <w:pPr>
        <w:pStyle w:val="Normal"/>
      </w:pPr>
      <w:r>
        <w:t>Snapshot: $SNAPSHOT_ID</w:t>
      </w:r>
    </w:p>
    <w:p>
      <w:pPr>
        <w:pStyle w:val="Para 17"/>
      </w:pPr>
      <w:r>
        <w:t/>
      </w:r>
    </w:p>
    <w:p>
      <w:pPr>
        <w:pStyle w:val="Normal"/>
      </w:pPr>
      <w:r>
        <w:t>For Ubuntu series lower than 24.04, you change the value of the snapshot option in your sources file, i.e., if you had the following entry in your /etc/apt/sources.list file</w:t>
      </w:r>
    </w:p>
    <w:p>
      <w:pPr>
        <w:pStyle w:val="Para 05"/>
      </w:pPr>
      <w:r>
        <w:rPr>
          <w:rStyle w:val="Text5"/>
        </w:rPr>
        <w:t>307</w:t>
      </w:r>
      <w:r>
        <w:rPr>
          <w:rStyle w:val="Text8"/>
        </w:rPr>
        <w:t xml:space="preserve"> </w:t>
      </w:r>
      <w:r>
        <w:t>https://launchpad.net/ubuntu/+source/docker.io-app/+publishinghistory</w:t>
      </w:r>
      <w:r>
        <w:rPr>
          <w:rStyle w:val="Text8"/>
        </w:rPr>
        <w:t xml:space="preserve"> </w:t>
        <w:t>deb [snapshot</w:t>
        <w:t>=</w:t>
        <w:t>yes] http:</w:t>
        <w:t>//</w:t>
        <w:t>archive</w:t>
        <w:t>.</w:t>
        <w:t>ubuntu</w:t>
        <w:t>.</w:t>
        <w:t>com</w:t>
        <w:t>/</w:t>
        <w:t>ubuntu</w:t>
        <w:t xml:space="preserve"> </w:t>
        <w:t>...</w:t>
      </w:r>
    </w:p>
    <w:p>
      <w:bookmarkStart w:id="520" w:name="page_3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3" name="index-366_1.png" descr="index-366_1.png"/>
            <wp:cNvGraphicFramePr>
              <a:graphicFrameLocks noChangeAspect="1"/>
            </wp:cNvGraphicFramePr>
            <a:graphic>
              <a:graphicData uri="http://schemas.openxmlformats.org/drawingml/2006/picture">
                <pic:pic>
                  <pic:nvPicPr>
                    <pic:cNvPr id="0" name="index-366_1.png" descr="index-366_1.png"/>
                    <pic:cNvPicPr/>
                  </pic:nvPicPr>
                  <pic:blipFill>
                    <a:blip r:embed="rId377"/>
                    <a:stretch>
                      <a:fillRect/>
                    </a:stretch>
                  </pic:blipFill>
                  <pic:spPr>
                    <a:xfrm>
                      <a:off x="0" y="0"/>
                      <a:ext cx="914400" cy="266700"/>
                    </a:xfrm>
                    <a:prstGeom prst="rect">
                      <a:avLst/>
                    </a:prstGeom>
                  </pic:spPr>
                </pic:pic>
              </a:graphicData>
            </a:graphic>
          </wp:anchor>
        </w:drawing>
      </w:r>
      <w:bookmarkEnd w:id="520"/>
    </w:p>
    <w:p>
      <w:pPr>
        <w:pStyle w:val="Para 17"/>
      </w:pPr>
      <w:r>
        <w:t/>
      </w:r>
    </w:p>
    <w:p>
      <w:pPr>
        <w:pStyle w:val="Normal"/>
      </w:pPr>
      <w:r>
        <w:t>you replace the yes value with the snapshot ID:</w:t>
      </w:r>
    </w:p>
    <w:p>
      <w:pPr>
        <w:pStyle w:val="Normal"/>
      </w:pPr>
      <w:r>
        <w:t>deb [snapshot=$SNAPSHOT_ID] http://archive.ubuntu.com/ubuntu ...</w:t>
      </w:r>
    </w:p>
    <w:p>
      <w:pPr>
        <w:pStyle w:val="Para 17"/>
      </w:pPr>
      <w:r>
        <w:t/>
      </w:r>
    </w:p>
    <w:p>
      <w:pPr>
        <w:pStyle w:val="Normal"/>
      </w:pPr>
      <w:r>
        <w:t>Let’s say you want to pin a specific snapshot for all the pockets in your Ubuntu 24.04 LTS server. Then, you add the Snapshot options to /etc/apt/sources.list.d/ubuntu.sources:</w:t>
      </w:r>
    </w:p>
    <w:p>
      <w:pPr>
        <w:pStyle w:val="Normal"/>
      </w:pPr>
      <w:r>
        <w:t>Types: deb</w:t>
      </w:r>
    </w:p>
    <w:p>
      <w:pPr>
        <w:pStyle w:val="Normal"/>
      </w:pPr>
      <w:r>
        <w:t>URIs: http:</w:t>
        <w:t>//</w:t>
        <w:t>archive</w:t>
        <w:t>.</w:t>
        <w:t>ubuntu</w:t>
        <w:t>.</w:t>
        <w:t>com</w:t>
        <w:t>/</w:t>
        <w:t>ubuntu</w:t>
      </w:r>
    </w:p>
    <w:p>
      <w:pPr>
        <w:pStyle w:val="Normal"/>
      </w:pPr>
      <w:r>
        <w:t>Suites: noble noble</w:t>
        <w:t>-</w:t>
        <w:t>updates noble</w:t>
        <w:t>-</w:t>
        <w:t>backports</w:t>
        <w:t xml:space="preserve"> </w:t>
        <w:t>Components: main universe restricted multiverse</w:t>
      </w:r>
    </w:p>
    <w:p>
      <w:pPr>
        <w:pStyle w:val="Normal"/>
      </w:pPr>
      <w:r>
        <w:t>Signed</w:t>
        <w:t>-</w:t>
        <w:t>By:</w:t>
        <w:t xml:space="preserve"> </w:t>
        <w:t>/</w:t>
        <w:t>usr</w:t>
        <w:t>/</w:t>
        <w:t>share</w:t>
        <w:t>/</w:t>
        <w:t>keyrings</w:t>
        <w:t>/</w:t>
        <w:t>ubuntu</w:t>
        <w:t>-</w:t>
        <w:t>archive</w:t>
        <w:t>-</w:t>
        <w:t>keyring</w:t>
        <w:t>.</w:t>
        <w:t>gpg</w:t>
        <w:t xml:space="preserve"> </w:t>
        <w:t>Snapshot:</w:t>
        <w:t xml:space="preserve"> </w:t>
        <w:t>20250530</w:t>
        <w:t>T223000Z</w:t>
      </w:r>
    </w:p>
    <w:p>
      <w:pPr>
        <w:pStyle w:val="Normal"/>
      </w:pPr>
      <w:r>
        <w:t>Types: deb</w:t>
      </w:r>
    </w:p>
    <w:p>
      <w:pPr>
        <w:pStyle w:val="Normal"/>
      </w:pPr>
      <w:r>
        <w:t>URIs: http:</w:t>
        <w:t>//</w:t>
        <w:t>security</w:t>
        <w:t>.</w:t>
        <w:t>ubuntu</w:t>
        <w:t>.</w:t>
        <w:t>com</w:t>
        <w:t>/</w:t>
        <w:t>ubuntu</w:t>
      </w:r>
    </w:p>
    <w:p>
      <w:pPr>
        <w:pStyle w:val="Normal"/>
      </w:pPr>
      <w:r>
        <w:t>Suites: noble</w:t>
        <w:t>-</w:t>
        <w:t>security</w:t>
      </w:r>
    </w:p>
    <w:p>
      <w:pPr>
        <w:pStyle w:val="Normal"/>
      </w:pPr>
      <w:r>
        <w:t>Components: main universe restricted multiverse</w:t>
      </w:r>
    </w:p>
    <w:p>
      <w:pPr>
        <w:pStyle w:val="Normal"/>
      </w:pPr>
      <w:r>
        <w:t>Signed</w:t>
        <w:t>-</w:t>
        <w:t>By:</w:t>
        <w:t xml:space="preserve"> </w:t>
        <w:t>/</w:t>
        <w:t>usr</w:t>
        <w:t>/</w:t>
        <w:t>share</w:t>
        <w:t>/</w:t>
        <w:t>keyrings</w:t>
        <w:t>/</w:t>
        <w:t>ubuntu</w:t>
        <w:t>-</w:t>
        <w:t>archive</w:t>
        <w:t>-</w:t>
        <w:t>keyring</w:t>
        <w:t>.</w:t>
        <w:t>gpg</w:t>
        <w:t xml:space="preserve"> </w:t>
        <w:t>Snapshot:</w:t>
        <w:t xml:space="preserve"> </w:t>
        <w:t>20250530</w:t>
        <w:t>T223000Z</w:t>
      </w:r>
    </w:p>
    <w:p>
      <w:pPr>
        <w:pStyle w:val="Para 17"/>
      </w:pPr>
      <w:r>
        <w:t/>
      </w:r>
    </w:p>
    <w:p>
      <w:pPr>
        <w:pStyle w:val="Normal"/>
      </w:pPr>
      <w:r>
        <w:t>Afterwards, you can run the following commands to install the Docker version present in that snapshot:</w:t>
      </w:r>
    </w:p>
    <w:p>
      <w:pPr>
        <w:pStyle w:val="Normal"/>
      </w:pPr>
      <w:r>
        <w:t>$ sudo apt install --update docker.io</w:t>
      </w:r>
    </w:p>
    <w:p>
      <w:pPr>
        <w:pStyle w:val="Para 17"/>
      </w:pPr>
      <w:r>
        <w:t/>
      </w:r>
    </w:p>
    <w:p>
      <w:pPr>
        <w:pStyle w:val="Normal"/>
      </w:pPr>
      <w:r>
        <w:t>to install the Docker version present in that snapshot.</w:t>
      </w:r>
    </w:p>
    <w:p>
      <w:pPr>
        <w:pStyle w:val="Normal"/>
      </w:pPr>
      <w:r>
        <w:t>$ docker --version</w:t>
      </w:r>
    </w:p>
    <w:p>
      <w:pPr>
        <w:pStyle w:val="Normal"/>
      </w:pPr>
      <w:r>
        <w:t>Docker version 27.5.1, build 27.5.1-0ubuntu3~24.04.1</w:t>
      </w:r>
    </w:p>
    <w:p>
      <w:pPr>
        <w:pStyle w:val="Para 17"/>
      </w:pPr>
      <w:r>
        <w:t/>
      </w:r>
    </w:p>
    <w:p>
      <w:pPr>
        <w:pStyle w:val="Normal"/>
      </w:pPr>
      <w:r>
        <w:t>Note that, when you configure a repository to use a snapshot using the method described above, apt will always ignore the--snapshot option:</w:t>
      </w:r>
    </w:p>
    <w:p>
      <w:pPr>
        <w:pStyle w:val="Normal"/>
      </w:pPr>
      <w:r>
        <w:t>$ sudo apt install --update docker.io --snapshot 20251013T2300Z</w:t>
        <w:t xml:space="preserve"> </w:t>
        <w:t>...</w:t>
      </w:r>
    </w:p>
    <w:p>
      <w:pPr>
        <w:pStyle w:val="Normal"/>
      </w:pPr>
      <w:r>
        <w:t>Hit:5 https://snapshot.ubuntu.com/ubuntu/20250530T223000Z noble InRelease</w:t>
        <w:t xml:space="preserve"> </w:t>
        <w:t>Hit:6 https://snapshot.ubuntu.com/ubuntu/20250530T223000Z noble-updates InRelease</w:t>
        <w:t xml:space="preserve"> </w:t>
        <w:t>Hit:7 https://snapshot.ubuntu.com/ubuntu/20250530T223000Z noble-backports InRelease</w:t>
        <w:t xml:space="preserve"> </w:t>
        <w:t>Hit:8 https://snapshot.ubuntu.com/ubuntu/20250530T223000Z noble-security InRelease</w:t>
        <w:t xml:space="preserve"> </w:t>
        <w:t>...</w:t>
      </w:r>
    </w:p>
    <w:p>
      <w:pPr>
        <w:pStyle w:val="Normal"/>
      </w:pPr>
      <w:r>
        <w:t>docker.io is already the newest version (27.5.1-0ubuntu3~24.04.1).</w:t>
        <w:t xml:space="preserve"> </w:t>
        <w:t>0 upgraded, 0 newly installed, 0 to remove and 3 not upgraded.</w:t>
      </w:r>
    </w:p>
    <w:p>
      <w:pPr>
        <w:pStyle w:val="Para 17"/>
      </w:pPr>
      <w:r>
        <w:t/>
      </w:r>
    </w:p>
    <w:p>
      <w:pPr>
        <w:pStyle w:val="Normal"/>
      </w:pPr>
      <w:r>
        <w:t>As you can see from the logs above, apt is still using the snapshot configured in /etc/apt/ sources.list.d/ubuntu.sources, ignoring the--snapshot CLI option.</w:t>
      </w:r>
    </w:p>
    <w:p>
      <w:bookmarkStart w:id="521" w:name="calibre_pb_77"/>
      <w:pPr>
        <w:pStyle w:val="0 Block"/>
      </w:pPr>
      <w:bookmarkEnd w:id="521"/>
    </w:p>
    <w:p>
      <w:bookmarkStart w:id="522" w:name="Top_of_index_split_078_html"/>
      <w:bookmarkStart w:id="523" w:name="page_36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4" name="index-367_1.png" descr="index-367_1.png"/>
            <wp:cNvGraphicFramePr>
              <a:graphicFrameLocks noChangeAspect="1"/>
            </wp:cNvGraphicFramePr>
            <a:graphic>
              <a:graphicData uri="http://schemas.openxmlformats.org/drawingml/2006/picture">
                <pic:pic>
                  <pic:nvPicPr>
                    <pic:cNvPr id="0" name="index-367_1.png" descr="index-367_1.png"/>
                    <pic:cNvPicPr/>
                  </pic:nvPicPr>
                  <pic:blipFill>
                    <a:blip r:embed="rId378"/>
                    <a:stretch>
                      <a:fillRect/>
                    </a:stretch>
                  </pic:blipFill>
                  <pic:spPr>
                    <a:xfrm>
                      <a:off x="0" y="0"/>
                      <a:ext cx="914400" cy="266700"/>
                    </a:xfrm>
                    <a:prstGeom prst="rect">
                      <a:avLst/>
                    </a:prstGeom>
                  </pic:spPr>
                </pic:pic>
              </a:graphicData>
            </a:graphic>
          </wp:anchor>
        </w:drawing>
      </w:r>
      <w:bookmarkEnd w:id="522"/>
      <w:bookmarkEnd w:id="523"/>
    </w:p>
    <w:p>
      <w:pPr>
        <w:pStyle w:val="Para 01"/>
      </w:pPr>
      <w:r>
        <w:t>Configuring the snapshot service globally</w:t>
      </w:r>
    </w:p>
    <w:p>
      <w:pPr>
        <w:pStyle w:val="Para 17"/>
      </w:pPr>
      <w:r>
        <w:t/>
      </w:r>
    </w:p>
    <w:p>
      <w:pPr>
        <w:pStyle w:val="Normal"/>
      </w:pPr>
      <w:r>
        <w:t>As an alternative to configuring a specific snapshot for each individual repository, as de-scribed in the previous section, you can configure a snapshot globally for all repositories that have snapshots enabled.</w:t>
      </w:r>
    </w:p>
    <w:p>
      <w:pPr>
        <w:pStyle w:val="Para 17"/>
      </w:pPr>
      <w:r>
        <w:t/>
      </w:r>
    </w:p>
    <w:p>
      <w:pPr>
        <w:pStyle w:val="Para 08"/>
      </w:pPr>
      <w:r>
        <w:t>Warning:</w:t>
      </w:r>
    </w:p>
    <w:p>
      <w:pPr>
        <w:pStyle w:val="Para 17"/>
      </w:pPr>
      <w:r>
        <w:t/>
      </w:r>
    </w:p>
    <w:p>
      <w:pPr>
        <w:pStyle w:val="Para 03"/>
      </w:pPr>
      <w:r>
        <w:t>If you are following these examples until here, make sure to revert the changes to the</w:t>
      </w:r>
    </w:p>
    <w:p>
      <w:pPr>
        <w:pStyle w:val="Para 03"/>
      </w:pPr>
      <w:r>
        <w:t>sources configuration file made in the previous section.</w:t>
      </w:r>
    </w:p>
    <w:p>
      <w:pPr>
        <w:pStyle w:val="Para 17"/>
      </w:pPr>
      <w:r>
        <w:t/>
      </w:r>
    </w:p>
    <w:p>
      <w:pPr>
        <w:pStyle w:val="Normal"/>
      </w:pPr>
      <w:r>
        <w:t>Let’s configure apt to default to a specific snapshot by setting the APT::Snapshot option:</w:t>
      </w:r>
    </w:p>
    <w:p>
      <w:pPr>
        <w:pStyle w:val="Normal"/>
      </w:pPr>
      <w:r>
        <w:t>$ echo 'APT::Snapshot "20250801T111111Z";' | sudo tee /etc/apt/apt.conf.d/50snapshot</w:t>
      </w:r>
    </w:p>
    <w:p>
      <w:pPr>
        <w:pStyle w:val="Para 17"/>
      </w:pPr>
      <w:r>
        <w:t/>
      </w:r>
    </w:p>
    <w:p>
      <w:pPr>
        <w:pStyle w:val="Normal"/>
      </w:pPr>
      <w:r>
        <w:t>The system will now default to fetching packages from the configured snapshot:</w:t>
      </w:r>
    </w:p>
    <w:p>
      <w:pPr>
        <w:pStyle w:val="Normal"/>
      </w:pPr>
      <w:r>
        <w:t>$ sudo apt install docker.io --update</w:t>
      </w:r>
    </w:p>
    <w:p>
      <w:pPr>
        <w:pStyle w:val="Normal"/>
      </w:pPr>
      <w:r>
        <w:t>...</w:t>
      </w:r>
    </w:p>
    <w:p>
      <w:pPr>
        <w:pStyle w:val="Normal"/>
      </w:pPr>
      <w:r>
        <w:t>$ docker --version</w:t>
      </w:r>
    </w:p>
    <w:p>
      <w:pPr>
        <w:pStyle w:val="Normal"/>
      </w:pPr>
      <w:r>
        <w:t>Docker version 27.5.1, build 27.5.1-0ubuntu3~24.04.2</w:t>
      </w:r>
    </w:p>
    <w:p>
      <w:pPr>
        <w:pStyle w:val="Para 17"/>
      </w:pPr>
      <w:r>
        <w:t/>
      </w:r>
    </w:p>
    <w:p>
      <w:pPr>
        <w:pStyle w:val="Normal"/>
      </w:pPr>
      <w:r>
        <w:t>Note that, in contrast to repositories with snapshots configured in the sources file as shown in the previous section, configuring a snapshot globally will not make apt ignore the--snapshot CLI option:</w:t>
      </w:r>
    </w:p>
    <w:p>
      <w:pPr>
        <w:pStyle w:val="Normal"/>
      </w:pPr>
      <w:r>
        <w:t>$ sudo apt install docker.io --update --snapshot 20251013T120000Z</w:t>
        <w:t xml:space="preserve"> </w:t>
        <w:t>$ docker --version</w:t>
      </w:r>
    </w:p>
    <w:p>
      <w:pPr>
        <w:pStyle w:val="Normal"/>
      </w:pPr>
      <w:r>
        <w:t>Docker version 28.2.2, build 28.2.2-0ubuntu1~24.04.1</w:t>
      </w:r>
    </w:p>
    <w:p>
      <w:pPr>
        <w:pStyle w:val="Para 17"/>
      </w:pPr>
      <w:r>
        <w:t/>
      </w:r>
    </w:p>
    <w:p>
      <w:pPr>
        <w:pStyle w:val="Normal"/>
      </w:pPr>
      <w:r>
        <w:t>You can revert the global configuration by removing the file which added it:</w:t>
      </w:r>
    </w:p>
    <w:p>
      <w:pPr>
        <w:pStyle w:val="Normal"/>
      </w:pPr>
      <w:r>
        <w:t>$ sudo rm /etc/apt/apt.conf.d/50snapshot</w:t>
      </w:r>
    </w:p>
    <w:p>
      <w:pPr>
        <w:pStyle w:val="Para 17"/>
      </w:pPr>
      <w:r>
        <w:t/>
      </w:r>
    </w:p>
    <w:p>
      <w:pPr>
        <w:pStyle w:val="Para 01"/>
      </w:pPr>
      <w:r>
        <w:t>Further reading</w:t>
      </w:r>
    </w:p>
    <w:p>
      <w:pPr>
        <w:pStyle w:val="Para 17"/>
      </w:pPr>
      <w:r>
        <w:t/>
      </w:r>
    </w:p>
    <w:p>
      <w:pPr>
        <w:pStyle w:val="Para 13"/>
      </w:pPr>
      <w:r>
        <w:rPr>
          <w:rStyle w:val="Text7"/>
        </w:rPr>
        <w:t xml:space="preserve">• </w:t>
      </w:r>
      <w:hyperlink w:anchor="page_367">
        <w:r>
          <w:rPr>
            <w:rStyle w:val="Text10"/>
          </w:rPr>
          <w:t>309</w:t>
        </w:r>
      </w:hyperlink>
      <w:r>
        <w:rPr>
          <w:rStyle w:val="Text7"/>
        </w:rPr>
        <w:t xml:space="preserve"> </w:t>
      </w:r>
      <w:hyperlink r:id="rId1284">
        <w:r>
          <w:t>The Ubuntu snapshot service official page and documentation</w:t>
        </w:r>
      </w:hyperlink>
    </w:p>
    <w:p>
      <w:pPr>
        <w:pStyle w:val="Para 13"/>
      </w:pPr>
      <w:r>
        <w:rPr>
          <w:rStyle w:val="Text7"/>
        </w:rPr>
        <w:t xml:space="preserve">• </w:t>
      </w:r>
      <w:hyperlink w:anchor="page_367">
        <w:r>
          <w:rPr>
            <w:rStyle w:val="Text10"/>
          </w:rPr>
          <w:t>310</w:t>
        </w:r>
      </w:hyperlink>
      <w:r>
        <w:rPr>
          <w:rStyle w:val="Text7"/>
        </w:rPr>
        <w:t xml:space="preserve"> </w:t>
      </w:r>
      <w:hyperlink r:id="rId1285">
        <w:r>
          <w:t>Securing multiple Ubuntu instances while maximising uptime</w:t>
        </w:r>
      </w:hyperlink>
    </w:p>
    <w:p>
      <w:pPr>
        <w:pStyle w:val="Para 13"/>
      </w:pPr>
      <w:r>
        <w:rPr>
          <w:rStyle w:val="Text7"/>
        </w:rPr>
        <w:t xml:space="preserve">• </w:t>
      </w:r>
      <w:hyperlink r:id="rId1286">
        <w:r>
          <w:t>Integrating the Ubuntu Snapshot Service into systems management and update</w:t>
        </w:r>
      </w:hyperlink>
    </w:p>
    <w:p>
      <w:pPr>
        <w:pStyle w:val="Para 32"/>
      </w:pPr>
      <w:hyperlink r:id="rId1286">
        <w:r>
          <w:t>tools</w:t>
        </w:r>
      </w:hyperlink>
      <w:hyperlink w:anchor="page_367">
        <w:r>
          <w:rPr>
            <w:rStyle w:val="Text10"/>
          </w:rPr>
          <w:t>311</w:t>
        </w:r>
      </w:hyperlink>
    </w:p>
    <w:p>
      <w:pPr>
        <w:pStyle w:val="Para 04"/>
      </w:pPr>
      <w:r>
        <w:t xml:space="preserve">• </w:t>
      </w:r>
      <w:hyperlink w:anchor="page_347">
        <w:r>
          <w:rPr>
            <w:rStyle w:val="Text2"/>
          </w:rPr>
          <w:t>Automatic updates</w:t>
        </w:r>
      </w:hyperlink>
      <w:r>
        <w:t xml:space="preserve"> (page 346) shows you how to configure (or turn off) automatic up-</w:t>
      </w:r>
    </w:p>
    <w:p>
      <w:pPr>
        <w:pStyle w:val="Para 02"/>
      </w:pPr>
      <w:r>
        <w:t>dates</w:t>
      </w:r>
    </w:p>
    <w:p>
      <w:pPr>
        <w:pStyle w:val="Para 04"/>
      </w:pPr>
      <w:r>
        <w:t xml:space="preserve">• </w:t>
      </w:r>
      <w:hyperlink w:anchor="page_359">
        <w:r>
          <w:rPr>
            <w:rStyle w:val="Text2"/>
          </w:rPr>
          <w:t>Upgrade your release</w:t>
        </w:r>
      </w:hyperlink>
      <w:r>
        <w:t xml:space="preserve"> (page 358) shows you how to upgrade from one Ubuntu release</w:t>
      </w:r>
    </w:p>
    <w:p>
      <w:pPr>
        <w:pStyle w:val="Para 02"/>
      </w:pPr>
      <w:r>
        <w:t>to the next one</w:t>
      </w:r>
    </w:p>
    <w:p>
      <w:pPr>
        <w:pStyle w:val="Para 04"/>
      </w:pPr>
      <w:r>
        <w:t xml:space="preserve">• </w:t>
      </w:r>
      <w:hyperlink w:anchor="page_362">
        <w:r>
          <w:rPr>
            <w:rStyle w:val="Text2"/>
          </w:rPr>
          <w:t>Snapshot service</w:t>
        </w:r>
      </w:hyperlink>
      <w:r>
        <w:t xml:space="preserve"> (page 361) shows you how to use the Ubuntu Snapshot Service to up-</w:t>
      </w:r>
    </w:p>
    <w:p>
      <w:pPr>
        <w:pStyle w:val="Para 02"/>
      </w:pPr>
      <w:r>
        <w:t>date packages to time-specific archive states.</w:t>
      </w:r>
    </w:p>
    <w:p>
      <w:pPr>
        <w:pStyle w:val="Para 05"/>
      </w:pPr>
      <w:r>
        <w:rPr>
          <w:rStyle w:val="Text5"/>
        </w:rPr>
        <w:t>309</w:t>
      </w:r>
      <w:r>
        <w:rPr>
          <w:rStyle w:val="Text8"/>
        </w:rPr>
        <w:t xml:space="preserve"> </w:t>
      </w:r>
      <w:r>
        <w:t>https://snapshot.ubuntu.com/</w:t>
      </w:r>
    </w:p>
    <w:p>
      <w:pPr>
        <w:pStyle w:val="Para 05"/>
      </w:pPr>
      <w:r>
        <w:rPr>
          <w:rStyle w:val="Text5"/>
        </w:rPr>
        <w:t>310</w:t>
      </w:r>
      <w:r>
        <w:rPr>
          <w:rStyle w:val="Text8"/>
        </w:rPr>
        <w:t xml:space="preserve"> </w:t>
      </w:r>
      <w:r>
        <w:t>https://ubuntu.com/blog/securing-multiple-ubuntu-instances-while-maximising-uptime</w:t>
      </w:r>
    </w:p>
    <w:p>
      <w:pPr>
        <w:pStyle w:val="Para 05"/>
      </w:pPr>
      <w:r>
        <w:rPr>
          <w:rStyle w:val="Text5"/>
        </w:rPr>
        <w:t>311</w:t>
      </w:r>
      <w:r>
        <w:rPr>
          <w:rStyle w:val="Text8"/>
        </w:rPr>
        <w:t xml:space="preserve"> </w:t>
      </w:r>
      <w:r>
        <w:t>https://ubuntu.com/blog/integrating-the-ubuntu-snapshot-service-into-systems-management-and-update-tools</w:t>
      </w:r>
      <w:r>
        <w:rPr>
          <w:rStyle w:val="Text8"/>
        </w:rPr>
        <w:t xml:space="preserve"> </w:t>
      </w:r>
      <w:r>
        <w:rPr>
          <w:rStyle w:val="Text11"/>
        </w:rPr>
        <w:t>Troubleshooting</w:t>
      </w:r>
    </w:p>
    <w:p>
      <w:bookmarkStart w:id="524" w:name="page_3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5" name="index-368_1.png" descr="index-368_1.png"/>
            <wp:cNvGraphicFramePr>
              <a:graphicFrameLocks noChangeAspect="1"/>
            </wp:cNvGraphicFramePr>
            <a:graphic>
              <a:graphicData uri="http://schemas.openxmlformats.org/drawingml/2006/picture">
                <pic:pic>
                  <pic:nvPicPr>
                    <pic:cNvPr id="0" name="index-368_1.png" descr="index-368_1.png"/>
                    <pic:cNvPicPr/>
                  </pic:nvPicPr>
                  <pic:blipFill>
                    <a:blip r:embed="rId379"/>
                    <a:stretch>
                      <a:fillRect/>
                    </a:stretch>
                  </pic:blipFill>
                  <pic:spPr>
                    <a:xfrm>
                      <a:off x="0" y="0"/>
                      <a:ext cx="914400" cy="266700"/>
                    </a:xfrm>
                    <a:prstGeom prst="rect">
                      <a:avLst/>
                    </a:prstGeom>
                  </pic:spPr>
                </pic:pic>
              </a:graphicData>
            </a:graphic>
          </wp:anchor>
        </w:drawing>
      </w:r>
      <w:bookmarkEnd w:id="524"/>
    </w:p>
    <w:p>
      <w:pPr>
        <w:pStyle w:val="Para 17"/>
      </w:pPr>
      <w:r>
        <w:t/>
      </w:r>
    </w:p>
    <w:p>
      <w:pPr>
        <w:pStyle w:val="Para 04"/>
      </w:pPr>
      <w:r>
        <w:t xml:space="preserve">• </w:t>
      </w:r>
      <w:hyperlink w:anchor="page_368">
        <w:r>
          <w:rPr>
            <w:rStyle w:val="Text2"/>
          </w:rPr>
          <w:t>Reporting bugs</w:t>
        </w:r>
      </w:hyperlink>
      <w:r>
        <w:t xml:space="preserve"> (page 367) shows you how to report a bug using the Apport utility</w:t>
      </w:r>
    </w:p>
    <w:p>
      <w:pPr>
        <w:pStyle w:val="Para 17"/>
      </w:pPr>
      <w:r>
        <w:t/>
      </w:r>
    </w:p>
    <w:p>
      <w:pPr>
        <w:pStyle w:val="Para 01"/>
      </w:pPr>
      <w:r>
        <w:t>How to report a bug in Ubuntu Server</w:t>
      </w:r>
    </w:p>
    <w:p>
      <w:pPr>
        <w:pStyle w:val="Para 17"/>
      </w:pPr>
      <w:r>
        <w:t/>
      </w:r>
    </w:p>
    <w:p>
      <w:pPr>
        <w:pStyle w:val="Normal"/>
      </w:pPr>
      <w:r>
        <w:t xml:space="preserve">The Ubuntu project, including Ubuntu Server, </w:t>
      </w:r>
      <w:hyperlink w:anchor="page_368">
        <w:r>
          <w:rPr>
            <w:rStyle w:val="Text9"/>
          </w:rPr>
          <w:t>312</w:t>
        </w:r>
      </w:hyperlink>
      <w:r>
        <w:t xml:space="preserve"> </w:t>
      </w:r>
      <w:hyperlink r:id="rId1287">
        <w:r>
          <w:rPr>
            <w:rStyle w:val="Text1"/>
          </w:rPr>
          <w:t>uses Launchpad</w:t>
        </w:r>
      </w:hyperlink>
      <w:r>
        <w:t xml:space="preserve"> as its bug tracker. To file a bug, you will first need to create a Launchpad account.</w:t>
      </w:r>
    </w:p>
    <w:p>
      <w:pPr>
        <w:pStyle w:val="Para 17"/>
      </w:pPr>
      <w:r>
        <w:t/>
      </w:r>
    </w:p>
    <w:p>
      <w:pPr>
        <w:pStyle w:val="Para 01"/>
      </w:pPr>
      <w:r>
        <w:t>Report bugs with apport-cli</w:t>
      </w:r>
    </w:p>
    <w:p>
      <w:pPr>
        <w:pStyle w:val="Para 17"/>
      </w:pPr>
      <w:r>
        <w:t/>
      </w:r>
    </w:p>
    <w:p>
      <w:pPr>
        <w:pStyle w:val="Normal"/>
      </w:pPr>
      <w:r>
        <w:t>The preferred way to report a bug is with the apport-cli command. This command collects information from the machine on which it is run and publishes it to the bug report on Launch-pad.</w:t>
      </w:r>
    </w:p>
    <w:p>
      <w:pPr>
        <w:pStyle w:val="Normal"/>
      </w:pPr>
      <w:r>
        <w:t>Getting this information to Launchpad can be a challenge if the system is not running a desk-top environment with a browser (a common scenario with servers) or if it does not have In-ternet access. The steps to take in these situations are described below.</w:t>
      </w:r>
    </w:p>
    <w:p>
      <w:pPr>
        <w:pStyle w:val="Para 08"/>
      </w:pPr>
      <w:r>
        <w:t>Note:</w:t>
      </w:r>
    </w:p>
    <w:p>
      <w:pPr>
        <w:pStyle w:val="Para 03"/>
      </w:pPr>
      <w:r>
        <w:t>The commands apport-cli and ubuntu-bug should give the same results on a command-</w:t>
      </w:r>
    </w:p>
    <w:p>
      <w:pPr>
        <w:pStyle w:val="Para 03"/>
      </w:pPr>
      <w:r>
        <w:t>line interface (CLI) server. The latter is actually a symlink to apport-bug, which is intelligent</w:t>
      </w:r>
    </w:p>
    <w:p>
      <w:pPr>
        <w:pStyle w:val="Para 03"/>
      </w:pPr>
      <w:r>
        <w:t>enough to know whether a desktop environment is in use, and will choose apport-cli if</w:t>
      </w:r>
    </w:p>
    <w:p>
      <w:pPr>
        <w:pStyle w:val="Para 03"/>
      </w:pPr>
      <w:r>
        <w:t>not. Since server systems tend to be CLI-only, apport-cli was chosen from the outset in</w:t>
      </w:r>
    </w:p>
    <w:p>
      <w:pPr>
        <w:pStyle w:val="Para 03"/>
      </w:pPr>
      <w:r>
        <w:t>this guide.</w:t>
      </w:r>
    </w:p>
    <w:p>
      <w:pPr>
        <w:pStyle w:val="Para 17"/>
      </w:pPr>
      <w:r>
        <w:t/>
      </w:r>
    </w:p>
    <w:p>
      <w:pPr>
        <w:pStyle w:val="Normal"/>
      </w:pPr>
      <w:r>
        <w:t>Bug reports in Ubuntu need to be filed against a specific software package, so the name of the package (source package or program name/path) affected by the bug needs to be supplied to apport-cli:</w:t>
      </w:r>
    </w:p>
    <w:p>
      <w:pPr>
        <w:pStyle w:val="Normal"/>
      </w:pPr>
      <w:r>
        <w:t>apport-cli PACKAGENAME</w:t>
      </w:r>
    </w:p>
    <w:p>
      <w:pPr>
        <w:pStyle w:val="Para 17"/>
      </w:pPr>
      <w:r>
        <w:t/>
      </w:r>
    </w:p>
    <w:p>
      <w:pPr>
        <w:pStyle w:val="Normal"/>
      </w:pPr>
      <w:r>
        <w:t>Once apport-cli has finished gathering information you will be asked what to do with it. For instance, to report a bug against vim using apport-cli vim produces output like this:</w:t>
      </w:r>
    </w:p>
    <w:p>
      <w:pPr>
        <w:pStyle w:val="Normal"/>
      </w:pPr>
      <w:r>
        <w:t>*** Collecting problem information</w:t>
      </w:r>
    </w:p>
    <w:p>
      <w:pPr>
        <w:pStyle w:val="Normal"/>
      </w:pPr>
      <w:r>
        <w:t>The collected information can be sent to the developers to improve the</w:t>
        <w:t xml:space="preserve"> </w:t>
        <w:t>application. This might take a few minutes.</w:t>
      </w:r>
    </w:p>
    <w:p>
      <w:pPr>
        <w:pStyle w:val="Normal"/>
      </w:pPr>
      <w:r>
        <w:t>...</w:t>
      </w:r>
    </w:p>
    <w:p>
      <w:pPr>
        <w:pStyle w:val="Normal"/>
      </w:pPr>
      <w:r>
        <w:t>*** Send problem report to the developers?</w:t>
      </w:r>
    </w:p>
    <w:p>
      <w:pPr>
        <w:pStyle w:val="Normal"/>
      </w:pPr>
      <w:r>
        <w:t>After the problem report has been sent, please fill out the form in the</w:t>
        <w:t xml:space="preserve"> </w:t>
        <w:t>automatically opened web browser.</w:t>
      </w:r>
    </w:p>
    <w:p>
      <w:pPr>
        <w:pStyle w:val="Normal"/>
      </w:pPr>
      <w:r>
        <w:t>What would you like to do? Your options are:</w:t>
      </w:r>
    </w:p>
    <w:p>
      <w:pPr>
        <w:pStyle w:val="Para 03"/>
      </w:pPr>
      <w:r>
        <w:t>S: Send report (2.8 KB)</w:t>
      </w:r>
    </w:p>
    <w:p>
      <w:pPr>
        <w:pStyle w:val="Para 09"/>
      </w:pPr>
      <w:r>
        <w:t>(continues on next page)</w:t>
      </w:r>
    </w:p>
    <w:p>
      <w:pPr>
        <w:pStyle w:val="Para 05"/>
      </w:pPr>
      <w:r>
        <w:rPr>
          <w:rStyle w:val="Text5"/>
        </w:rPr>
        <w:t>312</w:t>
      </w:r>
      <w:r>
        <w:rPr>
          <w:rStyle w:val="Text8"/>
        </w:rPr>
        <w:t xml:space="preserve"> </w:t>
      </w:r>
      <w:r>
        <w:t>https://launchpad.net/</w:t>
      </w:r>
    </w:p>
    <w:p>
      <w:bookmarkStart w:id="525" w:name="page_3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6" name="index-369_1.png" descr="index-369_1.png"/>
            <wp:cNvGraphicFramePr>
              <a:graphicFrameLocks noChangeAspect="1"/>
            </wp:cNvGraphicFramePr>
            <a:graphic>
              <a:graphicData uri="http://schemas.openxmlformats.org/drawingml/2006/picture">
                <pic:pic>
                  <pic:nvPicPr>
                    <pic:cNvPr id="0" name="index-369_1.png" descr="index-369_1.png"/>
                    <pic:cNvPicPr/>
                  </pic:nvPicPr>
                  <pic:blipFill>
                    <a:blip r:embed="rId380"/>
                    <a:stretch>
                      <a:fillRect/>
                    </a:stretch>
                  </pic:blipFill>
                  <pic:spPr>
                    <a:xfrm>
                      <a:off x="0" y="0"/>
                      <a:ext cx="914400" cy="266700"/>
                    </a:xfrm>
                    <a:prstGeom prst="rect">
                      <a:avLst/>
                    </a:prstGeom>
                  </pic:spPr>
                </pic:pic>
              </a:graphicData>
            </a:graphic>
          </wp:anchor>
        </w:drawing>
      </w:r>
      <w:bookmarkEnd w:id="525"/>
    </w:p>
    <w:p>
      <w:pPr>
        <w:pStyle w:val="Para 09"/>
      </w:pPr>
      <w:r>
        <w:t>(continued from previous page)</w:t>
      </w:r>
    </w:p>
    <w:p>
      <w:pPr>
        <w:pStyle w:val="Para 03"/>
      </w:pPr>
      <w:r>
        <w:t>V: View report</w:t>
      </w:r>
    </w:p>
    <w:p>
      <w:pPr>
        <w:pStyle w:val="Para 03"/>
      </w:pPr>
      <w:r>
        <w:t>K: Keep report file for sending later or copying to somewhere else</w:t>
      </w:r>
    </w:p>
    <w:p>
      <w:pPr>
        <w:pStyle w:val="Para 03"/>
      </w:pPr>
      <w:r>
        <w:t>I: Cancel and ignore future crashes of this program version</w:t>
      </w:r>
    </w:p>
    <w:p>
      <w:pPr>
        <w:pStyle w:val="Para 03"/>
      </w:pPr>
      <w:r>
        <w:t>C: Cancel</w:t>
      </w:r>
    </w:p>
    <w:p>
      <w:pPr>
        <w:pStyle w:val="Normal"/>
      </w:pPr>
      <w:r>
        <w:t>Please choose (S/V/K/I/C):</w:t>
      </w:r>
    </w:p>
    <w:p>
      <w:pPr>
        <w:pStyle w:val="Para 17"/>
      </w:pPr>
      <w:r>
        <w:t/>
      </w:r>
    </w:p>
    <w:p>
      <w:pPr>
        <w:pStyle w:val="Normal"/>
      </w:pPr>
      <w:r>
        <w:t>The first three options are described below.</w:t>
      </w:r>
    </w:p>
    <w:p>
      <w:pPr>
        <w:pStyle w:val="Para 17"/>
      </w:pPr>
      <w:r>
        <w:t/>
      </w:r>
    </w:p>
    <w:p>
      <w:pPr>
        <w:pStyle w:val="Para 01"/>
      </w:pPr>
      <w:r>
        <w:t>S: Send report</w:t>
      </w:r>
    </w:p>
    <w:p>
      <w:pPr>
        <w:pStyle w:val="Para 17"/>
      </w:pPr>
      <w:r>
        <w:t/>
      </w:r>
    </w:p>
    <w:p>
      <w:pPr>
        <w:pStyle w:val="Normal"/>
      </w:pPr>
      <w:r>
        <w:t>Submits the collected information to Launchpad as part of the process of filing a new bug report. You will be given the opportunity to describe the bug in your own words.</w:t>
      </w:r>
    </w:p>
    <w:p>
      <w:pPr>
        <w:pStyle w:val="Normal"/>
      </w:pPr>
      <w:r>
        <w:t>*** Uploading problem information</w:t>
      </w:r>
    </w:p>
    <w:p>
      <w:pPr>
        <w:pStyle w:val="Normal"/>
      </w:pPr>
      <w:r>
        <w:t>The collected information is being sent to the bug tracking system.</w:t>
        <w:t xml:space="preserve"> </w:t>
        <w:t>This might take a few minutes.</w:t>
      </w:r>
    </w:p>
    <w:p>
      <w:pPr>
        <w:pStyle w:val="Normal"/>
      </w:pPr>
      <w:r>
        <w:t>94%</w:t>
      </w:r>
    </w:p>
    <w:p>
      <w:pPr>
        <w:pStyle w:val="Normal"/>
      </w:pPr>
      <w:r>
        <w:t>*** To continue, you must visit the following URL:</w:t>
      </w:r>
    </w:p>
    <w:p>
      <w:pPr>
        <w:pStyle w:val="Para 03"/>
      </w:pPr>
      <w:r>
        <w:t>https://bugs.launchpad.net/ubuntu/+source/vim/+filebug/09b2495a-e2ab-11e3-879b-</w:t>
      </w:r>
    </w:p>
    <w:p>
      <w:pPr>
        <w:pStyle w:val="Normal"/>
      </w:pPr>
      <w:r>
        <w:t>68b5996a96c8?</w:t>
      </w:r>
    </w:p>
    <w:p>
      <w:pPr>
        <w:pStyle w:val="Normal"/>
      </w:pPr>
      <w:r>
        <w:t>You can launch a browser now, or copy this URL into a browser on another computer.</w:t>
      </w:r>
    </w:p>
    <w:p>
      <w:pPr>
        <w:pStyle w:val="Para 17"/>
      </w:pPr>
      <w:r>
        <w:t/>
      </w:r>
    </w:p>
    <w:p>
      <w:pPr>
        <w:pStyle w:val="Normal"/>
      </w:pPr>
      <w:r>
        <w:t>Choices:</w:t>
      </w:r>
    </w:p>
    <w:p>
      <w:pPr>
        <w:pStyle w:val="Para 03"/>
      </w:pPr>
      <w:r>
        <w:t>1: Launch a browser now</w:t>
      </w:r>
    </w:p>
    <w:p>
      <w:pPr>
        <w:pStyle w:val="Para 03"/>
      </w:pPr>
      <w:r>
        <w:t>C: Cancel</w:t>
      </w:r>
    </w:p>
    <w:p>
      <w:pPr>
        <w:pStyle w:val="Normal"/>
      </w:pPr>
      <w:r>
        <w:t>Please choose (1/C):</w:t>
        <w:t xml:space="preserve"> </w:t>
        <w:t>1</w:t>
      </w:r>
    </w:p>
    <w:p>
      <w:pPr>
        <w:pStyle w:val="Para 17"/>
      </w:pPr>
      <w:r>
        <w:t/>
      </w:r>
    </w:p>
    <w:p>
      <w:pPr>
        <w:pStyle w:val="Normal"/>
      </w:pPr>
      <w:r>
        <w:t>The browser that will be used when choosing ‘1’ will be the one known on the system as www-</w:t>
      </w:r>
    </w:p>
    <w:p>
      <w:pPr>
        <w:pStyle w:val="Normal"/>
      </w:pPr>
      <w:r>
        <w:t xml:space="preserve">browser </w:t>
      </w:r>
      <w:hyperlink r:id="rId1288">
        <w:r>
          <w:rPr>
            <w:rStyle w:val="Text9"/>
          </w:rPr>
          <w:t>313</w:t>
        </w:r>
      </w:hyperlink>
      <w:r>
        <w:t xml:space="preserve"> via the </w:t>
      </w:r>
      <w:hyperlink r:id="rId1288">
        <w:r>
          <w:rPr>
            <w:rStyle w:val="Text2"/>
          </w:rPr>
          <w:t>Debian alternatives system</w:t>
        </w:r>
      </w:hyperlink>
      <w:r>
        <w:t>. Examples of text-based browsers to install</w:t>
      </w:r>
    </w:p>
    <w:p>
      <w:pPr>
        <w:pStyle w:val="Normal"/>
      </w:pPr>
      <w:r>
        <w:t xml:space="preserve">include links, </w:t>
      </w:r>
      <w:hyperlink w:anchor="page_681">
        <w:r>
          <w:rPr>
            <w:rStyle w:val="Text2"/>
          </w:rPr>
          <w:t>ELinks</w:t>
        </w:r>
      </w:hyperlink>
      <w:r>
        <w:t>, lynx, and w3m. You can also manually point an existing browser at the given URL.</w:t>
      </w:r>
    </w:p>
    <w:p>
      <w:pPr>
        <w:pStyle w:val="Para 17"/>
      </w:pPr>
      <w:r>
        <w:t/>
      </w:r>
    </w:p>
    <w:p>
      <w:pPr>
        <w:pStyle w:val="Para 01"/>
      </w:pPr>
      <w:r>
        <w:t>V: View</w:t>
      </w:r>
    </w:p>
    <w:p>
      <w:pPr>
        <w:pStyle w:val="Para 17"/>
      </w:pPr>
      <w:r>
        <w:t/>
      </w:r>
    </w:p>
    <w:p>
      <w:pPr>
        <w:pStyle w:val="Normal"/>
      </w:pPr>
      <w:r>
        <w:t>This displays the collected information on the screen for review. This can be a lot of infor-mation! Press Enter to scroll through the screens. Press q to quit and return to the choice menu.</w:t>
      </w:r>
    </w:p>
    <w:p>
      <w:pPr>
        <w:pStyle w:val="Para 05"/>
      </w:pPr>
      <w:r>
        <w:rPr>
          <w:rStyle w:val="Text5"/>
        </w:rPr>
        <w:t>313</w:t>
      </w:r>
      <w:r>
        <w:rPr>
          <w:rStyle w:val="Text8"/>
        </w:rPr>
        <w:t xml:space="preserve"> </w:t>
      </w:r>
      <w:r>
        <w:t>https://manpages.ubuntu.com/manpages/resolute/man1/update-alternatives.1.html</w:t>
      </w:r>
    </w:p>
    <w:p>
      <w:bookmarkStart w:id="526" w:name="calibre_pb_78"/>
      <w:pPr>
        <w:pStyle w:val="0 Block"/>
      </w:pPr>
      <w:bookmarkEnd w:id="526"/>
    </w:p>
    <w:p>
      <w:bookmarkStart w:id="527" w:name="Top_of_index_split_079_html"/>
      <w:bookmarkStart w:id="528" w:name="page_37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7" name="index-370_1.png" descr="index-370_1.png"/>
            <wp:cNvGraphicFramePr>
              <a:graphicFrameLocks noChangeAspect="1"/>
            </wp:cNvGraphicFramePr>
            <a:graphic>
              <a:graphicData uri="http://schemas.openxmlformats.org/drawingml/2006/picture">
                <pic:pic>
                  <pic:nvPicPr>
                    <pic:cNvPr id="0" name="index-370_1.png" descr="index-370_1.png"/>
                    <pic:cNvPicPr/>
                  </pic:nvPicPr>
                  <pic:blipFill>
                    <a:blip r:embed="rId381"/>
                    <a:stretch>
                      <a:fillRect/>
                    </a:stretch>
                  </pic:blipFill>
                  <pic:spPr>
                    <a:xfrm>
                      <a:off x="0" y="0"/>
                      <a:ext cx="914400" cy="266700"/>
                    </a:xfrm>
                    <a:prstGeom prst="rect">
                      <a:avLst/>
                    </a:prstGeom>
                  </pic:spPr>
                </pic:pic>
              </a:graphicData>
            </a:graphic>
          </wp:anchor>
        </w:drawing>
      </w:r>
      <w:bookmarkEnd w:id="527"/>
      <w:bookmarkEnd w:id="528"/>
    </w:p>
    <w:p>
      <w:pPr>
        <w:pStyle w:val="Para 01"/>
      </w:pPr>
      <w:r>
        <w:t>K: Keep</w:t>
      </w:r>
    </w:p>
    <w:p>
      <w:pPr>
        <w:pStyle w:val="Para 17"/>
      </w:pPr>
      <w:r>
        <w:t/>
      </w:r>
    </w:p>
    <w:p>
      <w:pPr>
        <w:pStyle w:val="Normal"/>
      </w:pPr>
      <w:r>
        <w:t>This writes the collected information to disk. The resulting file can be later used to file the bug report, typically after transferring it to another Ubuntu system.</w:t>
      </w:r>
    </w:p>
    <w:p>
      <w:pPr>
        <w:pStyle w:val="Normal"/>
      </w:pPr>
      <w:r>
        <w:t>What would you like to do? Your options are:</w:t>
      </w:r>
    </w:p>
    <w:p>
      <w:pPr>
        <w:pStyle w:val="Para 03"/>
      </w:pPr>
      <w:r>
        <w:t>S: Send report (2.8 KB)</w:t>
      </w:r>
    </w:p>
    <w:p>
      <w:pPr>
        <w:pStyle w:val="Para 03"/>
      </w:pPr>
      <w:r>
        <w:t>V: View report</w:t>
      </w:r>
    </w:p>
    <w:p>
      <w:pPr>
        <w:pStyle w:val="Para 03"/>
      </w:pPr>
      <w:r>
        <w:t>K: Keep report file for sending later or copying to somewhere else</w:t>
      </w:r>
    </w:p>
    <w:p>
      <w:pPr>
        <w:pStyle w:val="Para 03"/>
      </w:pPr>
      <w:r>
        <w:t>I: Cancel and ignore future crashes of this program version</w:t>
      </w:r>
    </w:p>
    <w:p>
      <w:pPr>
        <w:pStyle w:val="Para 03"/>
      </w:pPr>
      <w:r>
        <w:t>C: Cancel</w:t>
      </w:r>
    </w:p>
    <w:p>
      <w:pPr>
        <w:pStyle w:val="Normal"/>
      </w:pPr>
      <w:r>
        <w:t>Please choose (S/V/K/I/C): k</w:t>
      </w:r>
    </w:p>
    <w:p>
      <w:pPr>
        <w:pStyle w:val="Normal"/>
      </w:pPr>
      <w:r>
        <w:t>Problem report file: /tmp/apport.vim.1pg92p02.apport</w:t>
      </w:r>
    </w:p>
    <w:p>
      <w:pPr>
        <w:pStyle w:val="Para 17"/>
      </w:pPr>
      <w:r>
        <w:t/>
      </w:r>
    </w:p>
    <w:p>
      <w:pPr>
        <w:pStyle w:val="Normal"/>
      </w:pPr>
      <w:r>
        <w:t>To report the bug, get the file onto an Internet-enabled Ubuntu system and apply apport-cli to it. This will cause the menu to appear immediately (since the information is already collected). You should then press s to send:</w:t>
      </w:r>
    </w:p>
    <w:p>
      <w:pPr>
        <w:pStyle w:val="Normal"/>
      </w:pPr>
      <w:r>
        <w:t>apport-cli apport.vim.1pg92p02.apport</w:t>
      </w:r>
    </w:p>
    <w:p>
      <w:pPr>
        <w:pStyle w:val="Para 17"/>
      </w:pPr>
      <w:r>
        <w:t/>
      </w:r>
    </w:p>
    <w:p>
      <w:pPr>
        <w:pStyle w:val="Normal"/>
      </w:pPr>
      <w:r>
        <w:t>To directly save a report to disk (without menus) you can run:</w:t>
      </w:r>
    </w:p>
    <w:p>
      <w:pPr>
        <w:pStyle w:val="Normal"/>
      </w:pPr>
      <w:r>
        <w:t>apport-cli vim --save apport.vim.test.apport</w:t>
      </w:r>
    </w:p>
    <w:p>
      <w:pPr>
        <w:pStyle w:val="Para 17"/>
      </w:pPr>
      <w:r>
        <w:t/>
      </w:r>
    </w:p>
    <w:p>
      <w:pPr>
        <w:pStyle w:val="Normal"/>
      </w:pPr>
      <w:r>
        <w:t>Report names should end in .apport.</w:t>
      </w:r>
    </w:p>
    <w:p>
      <w:pPr>
        <w:pStyle w:val="Para 17"/>
      </w:pPr>
      <w:r>
        <w:t/>
      </w:r>
    </w:p>
    <w:p>
      <w:pPr>
        <w:pStyle w:val="Para 08"/>
      </w:pPr>
      <w:r>
        <w:t>Note:</w:t>
      </w:r>
    </w:p>
    <w:p>
      <w:pPr>
        <w:pStyle w:val="Para 03"/>
      </w:pPr>
      <w:r>
        <w:t>If this Internet-enabled system is non-Ubuntu/Debian, apport-cli is not available so the</w:t>
      </w:r>
    </w:p>
    <w:p>
      <w:pPr>
        <w:pStyle w:val="Para 03"/>
      </w:pPr>
      <w:r>
        <w:t>bug will need to be created manually. An apport report is also not to be included as an</w:t>
      </w:r>
    </w:p>
    <w:p>
      <w:pPr>
        <w:pStyle w:val="Para 03"/>
      </w:pPr>
      <w:r>
        <w:t>attachment to a bug either so it is completely useless in this scenario.</w:t>
      </w:r>
    </w:p>
    <w:p>
      <w:pPr>
        <w:pStyle w:val="Para 17"/>
      </w:pPr>
      <w:r>
        <w:t/>
      </w:r>
    </w:p>
    <w:p>
      <w:pPr>
        <w:pStyle w:val="Para 01"/>
      </w:pPr>
      <w:r>
        <w:t>Reporting application crashes</w:t>
      </w:r>
    </w:p>
    <w:p>
      <w:pPr>
        <w:pStyle w:val="Para 17"/>
      </w:pPr>
      <w:r>
        <w:t/>
      </w:r>
    </w:p>
    <w:p>
      <w:pPr>
        <w:pStyle w:val="Normal"/>
      </w:pPr>
      <w:r>
        <w:t>The software package that provides the apport-cli utility, apport, can be configured to au-tomatically capture the state of a crashed application. This is enabled by default in /etc/ default/apport.</w:t>
      </w:r>
    </w:p>
    <w:p>
      <w:pPr>
        <w:pStyle w:val="Normal"/>
      </w:pPr>
      <w:r>
        <w:t>After an application crashes, if enabled, apport will store a crash report under /var/crash:</w:t>
      </w:r>
    </w:p>
    <w:p>
      <w:pPr>
        <w:pStyle w:val="Normal"/>
      </w:pPr>
      <w:r>
        <w:t>-rw-r----- 1 peter</w:t>
        <w:t xml:space="preserve"> </w:t>
        <w:t>whoopsie 150K Jul 24 16:17 _usr_lib_x86_64-linux-gnu_libmenu-cache2_</w:t>
      </w:r>
    </w:p>
    <w:p>
      <w:pPr>
        <w:pStyle w:val="Normal"/>
      </w:pPr>
      <w:r>
        <w:t>libexec_menu-cached.1000.crash</w:t>
      </w:r>
    </w:p>
    <w:p>
      <w:pPr>
        <w:pStyle w:val="Para 17"/>
      </w:pPr>
      <w:r>
        <w:t/>
      </w:r>
    </w:p>
    <w:p>
      <w:pPr>
        <w:pStyle w:val="Normal"/>
      </w:pPr>
      <w:r>
        <w:t>Use the apport-cli command with no arguments to process any pending crash reports. It will offer to report them one by one, as in the following example:</w:t>
      </w:r>
    </w:p>
    <w:p>
      <w:pPr>
        <w:pStyle w:val="Normal"/>
      </w:pPr>
      <w:r>
        <w:t>apport-cli</w:t>
      </w:r>
    </w:p>
    <w:p>
      <w:pPr>
        <w:pStyle w:val="Para 17"/>
      </w:pPr>
      <w:r>
        <w:t/>
      </w:r>
    </w:p>
    <w:p>
      <w:pPr>
        <w:pStyle w:val="Normal"/>
      </w:pPr>
      <w:r>
        <w:t>*** Send problem report to the developers?</w:t>
      </w:r>
    </w:p>
    <w:p>
      <w:pPr>
        <w:pStyle w:val="Normal"/>
      </w:pPr>
      <w:r>
        <w:t>After the problem report has been sent, please fill out the form in the</w:t>
        <w:t xml:space="preserve"> </w:t>
        <w:t>automatically opened web browser.</w:t>
      </w:r>
    </w:p>
    <w:p>
      <w:pPr>
        <w:pStyle w:val="Para 09"/>
      </w:pPr>
      <w:r>
        <w:t>(continues on next page)</w:t>
      </w:r>
    </w:p>
    <w:p>
      <w:bookmarkStart w:id="529" w:name="page_3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8" name="index-371_1.png" descr="index-371_1.png"/>
            <wp:cNvGraphicFramePr>
              <a:graphicFrameLocks noChangeAspect="1"/>
            </wp:cNvGraphicFramePr>
            <a:graphic>
              <a:graphicData uri="http://schemas.openxmlformats.org/drawingml/2006/picture">
                <pic:pic>
                  <pic:nvPicPr>
                    <pic:cNvPr id="0" name="index-371_1.png" descr="index-371_1.png"/>
                    <pic:cNvPicPr/>
                  </pic:nvPicPr>
                  <pic:blipFill>
                    <a:blip r:embed="rId382"/>
                    <a:stretch>
                      <a:fillRect/>
                    </a:stretch>
                  </pic:blipFill>
                  <pic:spPr>
                    <a:xfrm>
                      <a:off x="0" y="0"/>
                      <a:ext cx="914400" cy="266700"/>
                    </a:xfrm>
                    <a:prstGeom prst="rect">
                      <a:avLst/>
                    </a:prstGeom>
                  </pic:spPr>
                </pic:pic>
              </a:graphicData>
            </a:graphic>
          </wp:anchor>
        </w:drawing>
      </w:r>
      <w:bookmarkEnd w:id="529"/>
    </w:p>
    <w:p>
      <w:pPr>
        <w:pStyle w:val="Para 09"/>
      </w:pPr>
      <w:r>
        <w:t>(continued from previous page)</w:t>
      </w:r>
    </w:p>
    <w:p>
      <w:pPr>
        <w:pStyle w:val="Normal"/>
      </w:pPr>
      <w:r>
        <w:t>What would you like to do? Your options are:</w:t>
      </w:r>
    </w:p>
    <w:p>
      <w:pPr>
        <w:pStyle w:val="Para 03"/>
      </w:pPr>
      <w:r>
        <w:t>S: Send report (153.0 KB)</w:t>
      </w:r>
    </w:p>
    <w:p>
      <w:pPr>
        <w:pStyle w:val="Para 03"/>
      </w:pPr>
      <w:r>
        <w:t>V: View report</w:t>
      </w:r>
    </w:p>
    <w:p>
      <w:pPr>
        <w:pStyle w:val="Para 03"/>
      </w:pPr>
      <w:r>
        <w:t>K: Keep report file for sending later or copying to somewhere else</w:t>
      </w:r>
    </w:p>
    <w:p>
      <w:pPr>
        <w:pStyle w:val="Para 03"/>
      </w:pPr>
      <w:r>
        <w:t>I: Cancel and ignore future crashes of this program version</w:t>
      </w:r>
    </w:p>
    <w:p>
      <w:pPr>
        <w:pStyle w:val="Para 03"/>
      </w:pPr>
      <w:r>
        <w:t>C: Cancel</w:t>
      </w:r>
    </w:p>
    <w:p>
      <w:pPr>
        <w:pStyle w:val="Normal"/>
      </w:pPr>
      <w:r>
        <w:t>Please choose (S/V/K/I/C): s</w:t>
      </w:r>
    </w:p>
    <w:p>
      <w:pPr>
        <w:pStyle w:val="Para 17"/>
      </w:pPr>
      <w:r>
        <w:t/>
      </w:r>
    </w:p>
    <w:p>
      <w:pPr>
        <w:pStyle w:val="Normal"/>
      </w:pPr>
      <w:r>
        <w:t>If you send the report, as was done above, the prompt will be returned immediately and the /var/crash directory will then contain 2 extra files:</w:t>
      </w:r>
    </w:p>
    <w:p>
      <w:pPr>
        <w:pStyle w:val="Normal"/>
      </w:pPr>
      <w:r>
        <w:t>-rw-r----- 1 peter</w:t>
        <w:t xml:space="preserve"> </w:t>
        <w:t>whoopsie 150K Jul 24 16:17 _usr_lib_x86_64-linux-gnu_libmenu-cache2_</w:t>
      </w:r>
    </w:p>
    <w:p>
      <w:pPr>
        <w:pStyle w:val="Normal"/>
      </w:pPr>
      <w:r>
        <w:t>libexec_menu-cached.1000.crash</w:t>
      </w:r>
    </w:p>
    <w:p>
      <w:pPr>
        <w:pStyle w:val="Normal"/>
      </w:pPr>
      <w:r>
        <w:t>-rw-rw-r-- 1 peter</w:t>
        <w:t xml:space="preserve"> </w:t>
        <w:t>whoopsie</w:t>
        <w:t xml:space="preserve"> </w:t>
        <w:t>0 Jul 24 16:37 _usr_lib_x86_64-linux-gnu_libmenu-cache2_</w:t>
        <w:t xml:space="preserve"> </w:t>
        <w:t>libexec_menu-cached.1000.upload</w:t>
      </w:r>
    </w:p>
    <w:p>
      <w:pPr>
        <w:pStyle w:val="Normal"/>
      </w:pPr>
      <w:r>
        <w:t>-rw------- 1 whoopsie whoopsie</w:t>
        <w:t xml:space="preserve"> </w:t>
        <w:t>0 Jul 24 16:37 _usr_lib_x86_64-linux-gnu_libmenu-cache2_</w:t>
      </w:r>
    </w:p>
    <w:p>
      <w:pPr>
        <w:pStyle w:val="Normal"/>
      </w:pPr>
      <w:r>
        <w:t>libexec_menu-cached.1000.uploaded</w:t>
      </w:r>
    </w:p>
    <w:p>
      <w:pPr>
        <w:pStyle w:val="Para 17"/>
      </w:pPr>
      <w:r>
        <w:t/>
      </w:r>
    </w:p>
    <w:p>
      <w:pPr>
        <w:pStyle w:val="Normal"/>
      </w:pPr>
      <w:r>
        <w:t>Sending in a crash report like this will not immediately result in the creation of a new public bug. The report will be made private on Launchpad, meaning that it will be visible to only a limited set of bug triagers. These triagers will then scan the report for possible private data before creating a public bug.</w:t>
      </w:r>
    </w:p>
    <w:p>
      <w:pPr>
        <w:pStyle w:val="Para 17"/>
      </w:pPr>
      <w:r>
        <w:t/>
      </w:r>
    </w:p>
    <w:p>
      <w:pPr>
        <w:pStyle w:val="Para 01"/>
      </w:pPr>
      <w:r>
        <w:t>Further reading</w:t>
      </w:r>
    </w:p>
    <w:p>
      <w:pPr>
        <w:pStyle w:val="Para 17"/>
      </w:pPr>
      <w:r>
        <w:t/>
      </w:r>
    </w:p>
    <w:p>
      <w:pPr>
        <w:pStyle w:val="Para 04"/>
      </w:pPr>
      <w:r>
        <w:t xml:space="preserve">• See the </w:t>
      </w:r>
      <w:hyperlink r:id="rId1289">
        <w:r>
          <w:rPr>
            <w:rStyle w:val="Text9"/>
          </w:rPr>
          <w:t>314</w:t>
        </w:r>
      </w:hyperlink>
      <w:hyperlink r:id="rId1289">
        <w:r>
          <w:rPr>
            <w:rStyle w:val="Text1"/>
          </w:rPr>
          <w:t xml:space="preserve"> Reporting Bugs</w:t>
        </w:r>
      </w:hyperlink>
      <w:r>
        <w:t xml:space="preserve"> Ubuntu wiki page.</w:t>
      </w:r>
    </w:p>
    <w:p>
      <w:pPr>
        <w:pStyle w:val="Para 04"/>
      </w:pPr>
      <w:r>
        <w:t xml:space="preserve">• Also, </w:t>
      </w:r>
      <w:hyperlink w:anchor="page_371">
        <w:r>
          <w:rPr>
            <w:rStyle w:val="Text9"/>
          </w:rPr>
          <w:t>315</w:t>
        </w:r>
      </w:hyperlink>
      <w:r>
        <w:t xml:space="preserve"> </w:t>
      </w:r>
      <w:hyperlink r:id="rId1290">
        <w:r>
          <w:rPr>
            <w:rStyle w:val="Text1"/>
          </w:rPr>
          <w:t>the Apport page</w:t>
        </w:r>
      </w:hyperlink>
      <w:r>
        <w:t xml:space="preserve"> has some useful information. Though some of it pertains to</w:t>
      </w:r>
    </w:p>
    <w:p>
      <w:pPr>
        <w:pStyle w:val="Para 02"/>
      </w:pPr>
      <w:r>
        <w:t xml:space="preserve">using a </w:t>
      </w:r>
      <w:hyperlink w:anchor="page_687">
        <w:r>
          <w:rPr>
            <w:rStyle w:val="Text2"/>
          </w:rPr>
          <w:t>GUI</w:t>
        </w:r>
      </w:hyperlink>
      <w:r>
        <w:t>.</w:t>
      </w:r>
    </w:p>
    <w:p>
      <w:pPr>
        <w:pStyle w:val="Para 17"/>
      </w:pPr>
      <w:r>
        <w:t/>
      </w:r>
    </w:p>
    <w:p>
      <w:pPr>
        <w:pStyle w:val="Para 01"/>
      </w:pPr>
      <w:r>
        <w:t>See also</w:t>
      </w:r>
    </w:p>
    <w:p>
      <w:pPr>
        <w:pStyle w:val="Para 17"/>
      </w:pPr>
      <w:r>
        <w:t/>
      </w:r>
    </w:p>
    <w:p>
      <w:pPr>
        <w:pStyle w:val="Para 04"/>
      </w:pPr>
      <w:r>
        <w:t xml:space="preserve">• Explanation: </w:t>
      </w:r>
      <w:hyperlink w:anchor="page_839">
        <w:r>
          <w:rPr>
            <w:rStyle w:val="Text2"/>
          </w:rPr>
          <w:t>Managing software</w:t>
        </w:r>
      </w:hyperlink>
      <w:r>
        <w:t xml:space="preserve"> (page 838)</w:t>
      </w:r>
    </w:p>
    <w:p>
      <w:pPr>
        <w:pStyle w:val="Para 24"/>
      </w:pPr>
      <w:r>
        <w:t>3.2.5. Data and storage</w:t>
      </w:r>
    </w:p>
    <w:p>
      <w:pPr>
        <w:pStyle w:val="Normal"/>
      </w:pPr>
      <w:hyperlink w:anchor="page_372">
        <w:r>
          <w:rPr>
            <w:rStyle w:val="Text2"/>
          </w:rPr>
          <w:t>The data and storage section</w:t>
        </w:r>
      </w:hyperlink>
      <w:r>
        <w:t xml:space="preserve"> (page 371) covers the following:</w:t>
      </w:r>
    </w:p>
    <w:p>
      <w:pPr>
        <w:pStyle w:val="Para 04"/>
      </w:pPr>
      <w:r>
        <w:t xml:space="preserve">• </w:t>
      </w:r>
      <w:r>
        <w:rPr>
          <w:rStyle w:val="Text0"/>
        </w:rPr>
        <w:t>Managing data</w:t>
      </w:r>
      <w:r>
        <w:t xml:space="preserve"> in the OpenLDAP and databases topics</w:t>
      </w:r>
    </w:p>
    <w:p>
      <w:pPr>
        <w:pStyle w:val="Para 04"/>
      </w:pPr>
      <w:r>
        <w:t xml:space="preserve">• </w:t>
      </w:r>
      <w:r>
        <w:rPr>
          <w:rStyle w:val="Text0"/>
        </w:rPr>
        <w:t>Storage and backups</w:t>
      </w:r>
      <w:r>
        <w:t>, including partitioning (with LVM), backup utilities, and version</w:t>
      </w:r>
    </w:p>
    <w:p>
      <w:pPr>
        <w:pStyle w:val="Para 02"/>
      </w:pPr>
      <w:r>
        <w:t>control</w:t>
      </w:r>
    </w:p>
    <w:p>
      <w:pPr>
        <w:pStyle w:val="Para 05"/>
      </w:pPr>
      <w:r>
        <w:rPr>
          <w:rStyle w:val="Text5"/>
        </w:rPr>
        <w:t>314</w:t>
      </w:r>
      <w:r>
        <w:rPr>
          <w:rStyle w:val="Text8"/>
        </w:rPr>
        <w:t xml:space="preserve"> </w:t>
      </w:r>
      <w:r>
        <w:t>https://help.ubuntu.com/community/ReportingBugs</w:t>
      </w:r>
    </w:p>
    <w:p>
      <w:pPr>
        <w:pStyle w:val="Para 05"/>
      </w:pPr>
      <w:r>
        <w:rPr>
          <w:rStyle w:val="Text5"/>
        </w:rPr>
        <w:t>315</w:t>
      </w:r>
      <w:r>
        <w:rPr>
          <w:rStyle w:val="Text8"/>
        </w:rPr>
        <w:t xml:space="preserve"> </w:t>
      </w:r>
      <w:r>
        <w:t>https://wiki.ubuntu.com/Apport</w:t>
      </w:r>
    </w:p>
    <w:p>
      <w:bookmarkStart w:id="530" w:name="calibre_pb_79"/>
      <w:pPr>
        <w:pStyle w:val="0 Block"/>
      </w:pPr>
      <w:bookmarkEnd w:id="530"/>
    </w:p>
    <w:p>
      <w:bookmarkStart w:id="531" w:name="Top_of_index_split_080_html"/>
      <w:bookmarkStart w:id="532" w:name="page_37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79" name="index-372_1.png" descr="index-372_1.png"/>
            <wp:cNvGraphicFramePr>
              <a:graphicFrameLocks noChangeAspect="1"/>
            </wp:cNvGraphicFramePr>
            <a:graphic>
              <a:graphicData uri="http://schemas.openxmlformats.org/drawingml/2006/picture">
                <pic:pic>
                  <pic:nvPicPr>
                    <pic:cNvPr id="0" name="index-372_1.png" descr="index-372_1.png"/>
                    <pic:cNvPicPr/>
                  </pic:nvPicPr>
                  <pic:blipFill>
                    <a:blip r:embed="rId383"/>
                    <a:stretch>
                      <a:fillRect/>
                    </a:stretch>
                  </pic:blipFill>
                  <pic:spPr>
                    <a:xfrm>
                      <a:off x="0" y="0"/>
                      <a:ext cx="914400" cy="266700"/>
                    </a:xfrm>
                    <a:prstGeom prst="rect">
                      <a:avLst/>
                    </a:prstGeom>
                  </pic:spPr>
                </pic:pic>
              </a:graphicData>
            </a:graphic>
          </wp:anchor>
        </w:drawing>
      </w:r>
      <w:bookmarkEnd w:id="531"/>
      <w:bookmarkEnd w:id="532"/>
    </w:p>
    <w:p>
      <w:pPr>
        <w:pStyle w:val="Para 01"/>
      </w:pPr>
      <w:r>
        <w:t>Data and storage</w:t>
      </w:r>
    </w:p>
    <w:p>
      <w:pPr>
        <w:pStyle w:val="Para 17"/>
      </w:pPr>
      <w:r>
        <w:t/>
      </w:r>
    </w:p>
    <w:p>
      <w:pPr>
        <w:pStyle w:val="Normal"/>
      </w:pPr>
      <w:r>
        <w:t>The following sections provide details on various topics related to storing, managing and accessing data.</w:t>
      </w:r>
    </w:p>
    <w:p>
      <w:pPr>
        <w:pStyle w:val="Para 17"/>
      </w:pPr>
      <w:r>
        <w:t/>
      </w:r>
    </w:p>
    <w:p>
      <w:pPr>
        <w:pStyle w:val="Para 01"/>
      </w:pPr>
      <w:r>
        <w:t>Data management</w:t>
      </w:r>
    </w:p>
    <w:p>
      <w:pPr>
        <w:pStyle w:val="Para 17"/>
      </w:pPr>
      <w:r>
        <w:t/>
      </w:r>
    </w:p>
    <w:p>
      <w:pPr>
        <w:pStyle w:val="Para 04"/>
      </w:pPr>
      <w:r>
        <w:t xml:space="preserve">• </w:t>
      </w:r>
      <w:hyperlink w:anchor="page_372">
        <w:r>
          <w:rPr>
            <w:rStyle w:val="Text2"/>
          </w:rPr>
          <w:t>OpenLDAP</w:t>
        </w:r>
      </w:hyperlink>
      <w:r>
        <w:t xml:space="preserve"> (page 371) shows how to set up and configure OpenLDAP</w:t>
      </w:r>
    </w:p>
    <w:p>
      <w:pPr>
        <w:pStyle w:val="Para 04"/>
      </w:pPr>
      <w:r>
        <w:t xml:space="preserve">• </w:t>
      </w:r>
      <w:hyperlink w:anchor="page_412">
        <w:r>
          <w:rPr>
            <w:rStyle w:val="Text2"/>
          </w:rPr>
          <w:t>Databases</w:t>
        </w:r>
      </w:hyperlink>
      <w:r>
        <w:t xml:space="preserve"> (page 411) provides details on two of the most common databases found in</w:t>
      </w:r>
    </w:p>
    <w:p>
      <w:pPr>
        <w:pStyle w:val="Para 02"/>
      </w:pPr>
      <w:r>
        <w:t>Ubuntu: MySQL and PostgreSQL</w:t>
      </w:r>
    </w:p>
    <w:p>
      <w:pPr>
        <w:pStyle w:val="Para 17"/>
      </w:pPr>
      <w:r>
        <w:t/>
      </w:r>
    </w:p>
    <w:p>
      <w:pPr>
        <w:pStyle w:val="Para 01"/>
      </w:pPr>
      <w:r>
        <w:t>OpenLDAP</w:t>
      </w:r>
    </w:p>
    <w:p>
      <w:pPr>
        <w:pStyle w:val="Para 17"/>
      </w:pPr>
      <w:r>
        <w:t/>
      </w:r>
    </w:p>
    <w:p>
      <w:pPr>
        <w:pStyle w:val="Normal"/>
      </w:pPr>
      <w:r>
        <w:t>The Lightweight Directory Access Protocol, or LDAP, is a protocol for managing hierarchical data and accessing directories. The open source implementation used in Ubuntu is OpenL-DAP.</w:t>
      </w:r>
    </w:p>
    <w:p>
      <w:pPr>
        <w:pStyle w:val="Normal"/>
      </w:pPr>
      <w:r>
        <w:t>These guides are intended to be sequential, so following them in the order presented below is suggested.</w:t>
      </w:r>
    </w:p>
    <w:p>
      <w:pPr>
        <w:pStyle w:val="Para 17"/>
      </w:pPr>
      <w:r>
        <w:t/>
      </w:r>
    </w:p>
    <w:p>
      <w:pPr>
        <w:pStyle w:val="Para 01"/>
      </w:pPr>
      <w:r>
        <w:t>Install and configure LDAP</w:t>
      </w:r>
    </w:p>
    <w:p>
      <w:pPr>
        <w:pStyle w:val="Para 17"/>
      </w:pPr>
      <w:r>
        <w:t/>
      </w:r>
    </w:p>
    <w:p>
      <w:pPr>
        <w:pStyle w:val="Normal"/>
      </w:pPr>
      <w:hyperlink r:id="rId1291">
        <w:r>
          <w:rPr>
            <w:rStyle w:val="Text1"/>
          </w:rPr>
          <w:t>Lightweight Directory Access Protocol</w:t>
        </w:r>
      </w:hyperlink>
      <w:hyperlink w:anchor="page_372">
        <w:r>
          <w:rPr>
            <w:rStyle w:val="Text9"/>
          </w:rPr>
          <w:t>316</w:t>
        </w:r>
      </w:hyperlink>
      <w:r>
        <w:t xml:space="preserve"> (LDAP) is a protocol used for managing hierarchical data. OpenLDAP is the open-source implementation of LDAP used in Ubuntu. For informa-</w:t>
      </w:r>
    </w:p>
    <w:p>
      <w:pPr>
        <w:pStyle w:val="Normal"/>
      </w:pPr>
      <w:r>
        <w:t xml:space="preserve">tion about OpenLDAP and explanations of the key terminology, see </w:t>
      </w:r>
      <w:hyperlink w:anchor="page_857">
        <w:r>
          <w:rPr>
            <w:rStyle w:val="Text2"/>
          </w:rPr>
          <w:t>Introduction to OpenL-</w:t>
        </w:r>
      </w:hyperlink>
    </w:p>
    <w:p>
      <w:pPr>
        <w:pStyle w:val="Normal"/>
      </w:pPr>
      <w:hyperlink w:anchor="page_857">
        <w:r>
          <w:rPr>
            <w:rStyle w:val="Text2"/>
          </w:rPr>
          <w:t>DAP</w:t>
        </w:r>
      </w:hyperlink>
      <w:r>
        <w:t xml:space="preserve"> (page 856).</w:t>
      </w:r>
    </w:p>
    <w:p>
      <w:pPr>
        <w:pStyle w:val="Normal"/>
      </w:pPr>
      <w:r>
        <w:t xml:space="preserve">Installing </w:t>
      </w:r>
      <w:hyperlink w:anchor="page_372">
        <w:r>
          <w:rPr>
            <w:rStyle w:val="Text9"/>
          </w:rPr>
          <w:t>317</w:t>
        </w:r>
      </w:hyperlink>
      <w:r>
        <w:t xml:space="preserve"> </w:t>
      </w:r>
      <w:hyperlink r:id="rId1292">
        <w:r>
          <w:rPr>
            <w:rStyle w:val="Text1"/>
          </w:rPr>
          <w:t>slapd (the Stand-alone LDAP Daemon)</w:t>
        </w:r>
      </w:hyperlink>
      <w:r>
        <w:t xml:space="preserve"> creates a minimal working configuration with a top level entry, and an administrator’s Distinguished Name (DN).</w:t>
      </w:r>
    </w:p>
    <w:p>
      <w:pPr>
        <w:pStyle w:val="Normal"/>
      </w:pPr>
      <w:r>
        <w:t xml:space="preserve">In particular, it creates a database instance that you can use to store your data. However, the </w:t>
      </w:r>
      <w:r>
        <w:rPr>
          <w:rStyle w:val="Text0"/>
        </w:rPr>
        <w:t>suffix</w:t>
      </w:r>
      <w:r>
        <w:t xml:space="preserve"> (or </w:t>
      </w:r>
      <w:r>
        <w:rPr>
          <w:rStyle w:val="Text0"/>
        </w:rPr>
        <w:t>base DN</w:t>
      </w:r>
      <w:r>
        <w:t>) of this instance will be determined from the domain name of the host. If you want something different, you can change it right after the installation (before it contains any useful data).</w:t>
      </w:r>
    </w:p>
    <w:p>
      <w:pPr>
        <w:pStyle w:val="Para 08"/>
      </w:pPr>
      <w:r>
        <w:t>Note:</w:t>
      </w:r>
    </w:p>
    <w:p>
      <w:pPr>
        <w:pStyle w:val="Para 03"/>
      </w:pPr>
      <w:r>
        <w:t xml:space="preserve">This guide will use a database suffix of </w:t>
      </w:r>
      <w:r>
        <w:rPr>
          <w:rStyle w:val="Text0"/>
        </w:rPr>
        <w:t>dc=example,dc=com</w:t>
      </w:r>
      <w:r>
        <w:t>. You can change this to match</w:t>
      </w:r>
    </w:p>
    <w:p>
      <w:pPr>
        <w:pStyle w:val="Para 03"/>
      </w:pPr>
      <w:r>
        <w:t>your particular setup.</w:t>
      </w:r>
    </w:p>
    <w:p>
      <w:pPr>
        <w:pStyle w:val="Para 17"/>
      </w:pPr>
      <w:r>
        <w:t/>
      </w:r>
    </w:p>
    <w:p>
      <w:pPr>
        <w:pStyle w:val="Para 05"/>
      </w:pPr>
      <w:r>
        <w:rPr>
          <w:rStyle w:val="Text5"/>
        </w:rPr>
        <w:t>316</w:t>
      </w:r>
      <w:r>
        <w:rPr>
          <w:rStyle w:val="Text8"/>
        </w:rPr>
        <w:t xml:space="preserve"> </w:t>
      </w:r>
      <w:r>
        <w:t>https://ldap.com/</w:t>
      </w:r>
    </w:p>
    <w:p>
      <w:pPr>
        <w:pStyle w:val="Para 05"/>
      </w:pPr>
      <w:r>
        <w:rPr>
          <w:rStyle w:val="Text5"/>
        </w:rPr>
        <w:t>317</w:t>
      </w:r>
      <w:r>
        <w:rPr>
          <w:rStyle w:val="Text8"/>
        </w:rPr>
        <w:t xml:space="preserve"> </w:t>
      </w:r>
      <w:r>
        <w:t>https://www.openldap.org/software/man.cgi?query=slapd</w:t>
      </w:r>
    </w:p>
    <w:p>
      <w:bookmarkStart w:id="533" w:name="calibre_pb_80"/>
      <w:pPr>
        <w:pStyle w:val="0 Block"/>
      </w:pPr>
      <w:bookmarkEnd w:id="533"/>
    </w:p>
    <w:p>
      <w:bookmarkStart w:id="534" w:name="Top_of_index_split_081_html"/>
      <w:bookmarkStart w:id="535" w:name="page_37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0" name="index-373_1.png" descr="index-373_1.png"/>
            <wp:cNvGraphicFramePr>
              <a:graphicFrameLocks noChangeAspect="1"/>
            </wp:cNvGraphicFramePr>
            <a:graphic>
              <a:graphicData uri="http://schemas.openxmlformats.org/drawingml/2006/picture">
                <pic:pic>
                  <pic:nvPicPr>
                    <pic:cNvPr id="0" name="index-373_1.png" descr="index-373_1.png"/>
                    <pic:cNvPicPr/>
                  </pic:nvPicPr>
                  <pic:blipFill>
                    <a:blip r:embed="rId384"/>
                    <a:stretch>
                      <a:fillRect/>
                    </a:stretch>
                  </pic:blipFill>
                  <pic:spPr>
                    <a:xfrm>
                      <a:off x="0" y="0"/>
                      <a:ext cx="914400" cy="266700"/>
                    </a:xfrm>
                    <a:prstGeom prst="rect">
                      <a:avLst/>
                    </a:prstGeom>
                  </pic:spPr>
                </pic:pic>
              </a:graphicData>
            </a:graphic>
          </wp:anchor>
        </w:drawing>
      </w:r>
      <w:bookmarkEnd w:id="534"/>
      <w:bookmarkEnd w:id="535"/>
    </w:p>
    <w:p>
      <w:pPr>
        <w:pStyle w:val="Para 01"/>
      </w:pPr>
      <w:r>
        <w:t>Install slapd</w:t>
      </w:r>
    </w:p>
    <w:p>
      <w:pPr>
        <w:pStyle w:val="Para 17"/>
      </w:pPr>
      <w:r>
        <w:t/>
      </w:r>
    </w:p>
    <w:p>
      <w:pPr>
        <w:pStyle w:val="Normal"/>
      </w:pPr>
      <w:r>
        <w:t>You can install the server and the main command line utilities with the following command:</w:t>
      </w:r>
    </w:p>
    <w:p>
      <w:pPr>
        <w:pStyle w:val="Normal"/>
      </w:pPr>
      <w:r>
        <w:t>sudo apt install slapd ldap-utils</w:t>
      </w:r>
    </w:p>
    <w:p>
      <w:pPr>
        <w:pStyle w:val="Para 17"/>
      </w:pPr>
      <w:r>
        <w:t/>
      </w:r>
    </w:p>
    <w:p>
      <w:pPr>
        <w:pStyle w:val="Para 01"/>
      </w:pPr>
      <w:r>
        <w:t>Change the instance suffix (optional)</w:t>
      </w:r>
    </w:p>
    <w:p>
      <w:pPr>
        <w:pStyle w:val="Para 17"/>
      </w:pPr>
      <w:r>
        <w:t/>
      </w:r>
    </w:p>
    <w:p>
      <w:pPr>
        <w:pStyle w:val="Normal"/>
      </w:pPr>
      <w:r>
        <w:t xml:space="preserve">If you want to change your Directory Information Tree </w:t>
      </w:r>
      <w:hyperlink w:anchor="page_678">
        <w:r>
          <w:rPr>
            <w:rStyle w:val="Text1"/>
          </w:rPr>
          <w:t>(</w:t>
        </w:r>
      </w:hyperlink>
      <w:hyperlink w:anchor="page_678">
        <w:r>
          <w:rPr>
            <w:rStyle w:val="Text2"/>
          </w:rPr>
          <w:t>DIT</w:t>
        </w:r>
      </w:hyperlink>
      <w:r>
        <w:t xml:space="preserve"> ) suffix, now would be a good time since changing it discards your existing one. To change the suffix, run the following command:</w:t>
      </w:r>
    </w:p>
    <w:p>
      <w:pPr>
        <w:pStyle w:val="Normal"/>
      </w:pPr>
      <w:r>
        <w:t>sudo dpkg-reconfigure slapd</w:t>
      </w:r>
    </w:p>
    <w:p>
      <w:pPr>
        <w:pStyle w:val="Para 17"/>
      </w:pPr>
      <w:r>
        <w:t/>
      </w:r>
    </w:p>
    <w:p>
      <w:pPr>
        <w:pStyle w:val="Normal"/>
      </w:pPr>
      <w:r>
        <w:t xml:space="preserve">To switch your DIT suffix to </w:t>
      </w:r>
      <w:r>
        <w:rPr>
          <w:rStyle w:val="Text0"/>
        </w:rPr>
        <w:t>dc=example,dc=com</w:t>
      </w:r>
      <w:r>
        <w:t>, for example, so you can follow this guide</w:t>
      </w:r>
    </w:p>
    <w:p>
      <w:pPr>
        <w:pStyle w:val="Normal"/>
      </w:pPr>
      <w:r>
        <w:t xml:space="preserve">more closely, answer example.com when asked about the </w:t>
      </w:r>
      <w:hyperlink w:anchor="page_679">
        <w:r>
          <w:rPr>
            <w:rStyle w:val="Text2"/>
          </w:rPr>
          <w:t>DNS</w:t>
        </w:r>
      </w:hyperlink>
      <w:r>
        <w:t xml:space="preserve"> domain name.</w:t>
      </w:r>
    </w:p>
    <w:p>
      <w:pPr>
        <w:pStyle w:val="Normal"/>
      </w:pPr>
      <w:r>
        <w:t>Throughout this guide we will issue many commands with the LDAP utilities. To save some typing, we can configure the OpenLDAP libraries with certain defaults in /etc/ldap/ldap. conf (adjust these entries for your server name and directory suffix):</w:t>
      </w:r>
    </w:p>
    <w:p>
      <w:pPr>
        <w:pStyle w:val="Normal"/>
      </w:pPr>
      <w:r>
        <w:t>BASE dc=example,dc=com</w:t>
      </w:r>
    </w:p>
    <w:p>
      <w:pPr>
        <w:pStyle w:val="Normal"/>
      </w:pPr>
      <w:r>
        <w:t>URI ldap://ldap01.example.com</w:t>
      </w:r>
    </w:p>
    <w:p>
      <w:pPr>
        <w:pStyle w:val="Para 17"/>
      </w:pPr>
      <w:r>
        <w:t/>
      </w:r>
    </w:p>
    <w:p>
      <w:pPr>
        <w:pStyle w:val="Para 01"/>
      </w:pPr>
      <w:r>
        <w:t>Default tree contents</w:t>
      </w:r>
    </w:p>
    <w:p>
      <w:pPr>
        <w:pStyle w:val="Para 17"/>
      </w:pPr>
      <w:r>
        <w:t/>
      </w:r>
    </w:p>
    <w:p>
      <w:pPr>
        <w:pStyle w:val="Normal"/>
      </w:pPr>
      <w:r>
        <w:t>slapd is designed to be configured within the service itself by dedicating a separate DIT for that purpose. This allows for dynamic configuration of slapd without needing to restart the service or edit config files. This configuration database consists of a collection of text-based LDIF files located under /etc/ldap/slapd.d, but these should never be edited directly. This way of working is known by several names: the “slapd-config” method, the “Real Time Con-figuration (RTC)” method, or the “cn=config” method. You can still use the traditional flat-file method (slapd.conf) but that will not be covered in this guide.</w:t>
      </w:r>
    </w:p>
    <w:p>
      <w:pPr>
        <w:pStyle w:val="Normal"/>
      </w:pPr>
      <w:r>
        <w:t>Right after installation, you will get two databases, or suffixes: one for your data, which is based on your host’s domain (</w:t>
      </w:r>
      <w:r>
        <w:rPr>
          <w:rStyle w:val="Text0"/>
        </w:rPr>
        <w:t>dc=example,dc=com</w:t>
      </w:r>
      <w:r>
        <w:t xml:space="preserve">), and one for your configuration, with its root at </w:t>
      </w:r>
      <w:r>
        <w:rPr>
          <w:rStyle w:val="Text0"/>
        </w:rPr>
        <w:t>cn=config</w:t>
      </w:r>
      <w:r>
        <w:t>. To change the data on each we need different credentials and access methods:</w:t>
      </w:r>
    </w:p>
    <w:p>
      <w:pPr>
        <w:pStyle w:val="Para 04"/>
      </w:pPr>
      <w:r>
        <w:t xml:space="preserve">• </w:t>
      </w:r>
      <w:r>
        <w:rPr>
          <w:rStyle w:val="Text0"/>
        </w:rPr>
        <w:t>dc=example,dc=com</w:t>
      </w:r>
      <w:r>
        <w:t xml:space="preserve"> The administrative user for this suffix is cn=admin,dc=example,</w:t>
      </w:r>
    </w:p>
    <w:p>
      <w:pPr>
        <w:pStyle w:val="Para 02"/>
      </w:pPr>
      <w:r>
        <w:t>dc=com and its password is the one selected during the installation of the slapd package.</w:t>
      </w:r>
    </w:p>
    <w:p>
      <w:pPr>
        <w:pStyle w:val="Para 04"/>
      </w:pPr>
      <w:r>
        <w:t xml:space="preserve">• </w:t>
      </w:r>
      <w:r>
        <w:rPr>
          <w:rStyle w:val="Text0"/>
        </w:rPr>
        <w:t>cn=config</w:t>
      </w:r>
      <w:r>
        <w:t xml:space="preserve"> The configuration of slapd itself is stored under this suffix. Reading and</w:t>
      </w:r>
    </w:p>
    <w:p>
      <w:pPr>
        <w:pStyle w:val="Para 02"/>
      </w:pPr>
      <w:r>
        <w:t xml:space="preserve">writing to it can be done by the special </w:t>
      </w:r>
      <w:hyperlink w:anchor="page_679">
        <w:r>
          <w:rPr>
            <w:rStyle w:val="Text2"/>
          </w:rPr>
          <w:t>DN</w:t>
        </w:r>
      </w:hyperlink>
      <w:r>
        <w:t xml:space="preserve"> gidNumber=0+uidNumber=0,cn=peercred, cn=external,cn=auth. This is how the local system’s root user (uid=0/gid=0) is seen by</w:t>
      </w:r>
    </w:p>
    <w:p>
      <w:pPr>
        <w:pStyle w:val="Para 02"/>
      </w:pPr>
      <w:r>
        <w:t xml:space="preserve">the directory when using </w:t>
      </w:r>
      <w:hyperlink w:anchor="page_704">
        <w:r>
          <w:rPr>
            <w:rStyle w:val="Text2"/>
          </w:rPr>
          <w:t>SASL</w:t>
        </w:r>
      </w:hyperlink>
      <w:r>
        <w:t xml:space="preserve"> EXTERNAL authentication through the ldapi:/// trans-port via the /run/slapd/ldapi Unix socket. Essentially what this means is that only the local root user can update the cn=config database. More details later. </w:t>
      </w:r>
      <w:r>
        <w:rPr>
          <w:rStyle w:val="Text0"/>
        </w:rPr>
        <w:t>Default configuration tree</w:t>
      </w:r>
    </w:p>
    <w:p>
      <w:bookmarkStart w:id="536" w:name="page_3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1" name="index-374_1.png" descr="index-374_1.png"/>
            <wp:cNvGraphicFramePr>
              <a:graphicFrameLocks noChangeAspect="1"/>
            </wp:cNvGraphicFramePr>
            <a:graphic>
              <a:graphicData uri="http://schemas.openxmlformats.org/drawingml/2006/picture">
                <pic:pic>
                  <pic:nvPicPr>
                    <pic:cNvPr id="0" name="index-374_1.png" descr="index-374_1.png"/>
                    <pic:cNvPicPr/>
                  </pic:nvPicPr>
                  <pic:blipFill>
                    <a:blip r:embed="rId385"/>
                    <a:stretch>
                      <a:fillRect/>
                    </a:stretch>
                  </pic:blipFill>
                  <pic:spPr>
                    <a:xfrm>
                      <a:off x="0" y="0"/>
                      <a:ext cx="914400" cy="266700"/>
                    </a:xfrm>
                    <a:prstGeom prst="rect">
                      <a:avLst/>
                    </a:prstGeom>
                  </pic:spPr>
                </pic:pic>
              </a:graphicData>
            </a:graphic>
          </wp:anchor>
        </w:drawing>
      </w:r>
      <w:bookmarkEnd w:id="536"/>
    </w:p>
    <w:p>
      <w:pPr>
        <w:pStyle w:val="Para 17"/>
      </w:pPr>
      <w:r>
        <w:t/>
      </w:r>
    </w:p>
    <w:p>
      <w:pPr>
        <w:pStyle w:val="Normal"/>
      </w:pPr>
      <w:r>
        <w:t>This is what the slapd-config DIT looks like via the LDAP protocol (listing only the DNs): To see what the slapd-config DIT looks like via the LDAP protocol, listing only the DNs, run this command:</w:t>
      </w:r>
    </w:p>
    <w:p>
      <w:pPr>
        <w:pStyle w:val="Normal"/>
      </w:pPr>
      <w:r>
        <w:t>sudo ldapsearch -Q -LLL -Y EXTERNAL -H ldapi:/// -b cn=config dn</w:t>
      </w:r>
    </w:p>
    <w:p>
      <w:pPr>
        <w:pStyle w:val="Para 17"/>
      </w:pPr>
      <w:r>
        <w:t/>
      </w:r>
    </w:p>
    <w:p>
      <w:pPr>
        <w:pStyle w:val="Normal"/>
      </w:pPr>
      <w:r>
        <w:t>The command-line options mean the following:</w:t>
      </w:r>
    </w:p>
    <w:p>
      <w:pPr>
        <w:pStyle w:val="Para 04"/>
      </w:pPr>
      <w:r>
        <w:t>•-Q: Quiet mode for the SASL authentication setup.</w:t>
      </w:r>
    </w:p>
    <w:p>
      <w:pPr>
        <w:pStyle w:val="Para 04"/>
      </w:pPr>
      <w:r>
        <w:t>•-LLL: Less verbose LDIF output. One “L” restricts output to LDIFv1; another disables</w:t>
      </w:r>
    </w:p>
    <w:p>
      <w:pPr>
        <w:pStyle w:val="Para 02"/>
      </w:pPr>
      <w:r>
        <w:t>comments; and the third one removes the LDIF version from the output.</w:t>
      </w:r>
    </w:p>
    <w:p>
      <w:pPr>
        <w:pStyle w:val="Para 04"/>
      </w:pPr>
      <w:r>
        <w:t>•-Y EXTERNAL: Select the EXTERNAL SASL mechanism for authentication.</w:t>
      </w:r>
    </w:p>
    <w:p>
      <w:pPr>
        <w:pStyle w:val="Para 04"/>
      </w:pPr>
      <w:r>
        <w:t>•-H ldapi:///: The URL to use to contact the server. In this case, it will use a local Unix</w:t>
      </w:r>
    </w:p>
    <w:p>
      <w:pPr>
        <w:pStyle w:val="Para 02"/>
      </w:pPr>
      <w:r>
        <w:t>socket.</w:t>
      </w:r>
    </w:p>
    <w:p>
      <w:pPr>
        <w:pStyle w:val="Para 04"/>
      </w:pPr>
      <w:r>
        <w:t>•-b cn=config: Start the search at the cn=config base.</w:t>
      </w:r>
    </w:p>
    <w:p>
      <w:pPr>
        <w:pStyle w:val="Para 04"/>
      </w:pPr>
      <w:r>
        <w:t>• dn: Only retrieve the dn attribute.</w:t>
      </w:r>
    </w:p>
    <w:p>
      <w:pPr>
        <w:pStyle w:val="Normal"/>
      </w:pPr>
      <w:r>
        <w:t>The output will be the similar to the following:</w:t>
      </w:r>
    </w:p>
    <w:p>
      <w:pPr>
        <w:pStyle w:val="Normal"/>
      </w:pPr>
      <w:r>
        <w:t>dn: cn=config</w:t>
      </w:r>
    </w:p>
    <w:p>
      <w:pPr>
        <w:pStyle w:val="Normal"/>
      </w:pPr>
      <w:r>
        <w:t>dn: cn=module{0},cn=config</w:t>
      </w:r>
    </w:p>
    <w:p>
      <w:pPr>
        <w:pStyle w:val="Normal"/>
      </w:pPr>
      <w:r>
        <w:t>dn: cn=schema,cn=config</w:t>
      </w:r>
    </w:p>
    <w:p>
      <w:pPr>
        <w:pStyle w:val="Normal"/>
      </w:pPr>
      <w:r>
        <w:t>dn: cn={0}core,cn=schema,cn=config</w:t>
      </w:r>
    </w:p>
    <w:p>
      <w:pPr>
        <w:pStyle w:val="Normal"/>
      </w:pPr>
      <w:r>
        <w:t>dn: cn={1}cosine,cn=schema,cn=config</w:t>
      </w:r>
    </w:p>
    <w:p>
      <w:pPr>
        <w:pStyle w:val="Normal"/>
      </w:pPr>
      <w:r>
        <w:t>dn: cn={2}nis,cn=schema,cn=config</w:t>
      </w:r>
    </w:p>
    <w:p>
      <w:pPr>
        <w:pStyle w:val="Normal"/>
      </w:pPr>
      <w:r>
        <w:t>dn: cn={3}inetorgperson,cn=schema,cn=config</w:t>
      </w:r>
    </w:p>
    <w:p>
      <w:pPr>
        <w:pStyle w:val="Normal"/>
      </w:pPr>
      <w:r>
        <w:t>dn: olcDatabase={-1}frontend,cn=config</w:t>
      </w:r>
    </w:p>
    <w:p>
      <w:pPr>
        <w:pStyle w:val="Normal"/>
      </w:pPr>
      <w:r>
        <w:t>dn: olcDatabase={0}config,cn=config</w:t>
      </w:r>
    </w:p>
    <w:p>
      <w:pPr>
        <w:pStyle w:val="Normal"/>
      </w:pPr>
      <w:r>
        <w:t>dn: olcDatabase={1}mdb,cn=config</w:t>
      </w:r>
    </w:p>
    <w:p>
      <w:pPr>
        <w:pStyle w:val="Para 17"/>
      </w:pPr>
      <w:r>
        <w:t/>
      </w:r>
    </w:p>
    <w:p>
      <w:pPr>
        <w:pStyle w:val="Normal"/>
      </w:pPr>
      <w:r>
        <w:t>Where the entries mean the following:</w:t>
      </w:r>
    </w:p>
    <w:p>
      <w:pPr>
        <w:pStyle w:val="Para 04"/>
      </w:pPr>
      <w:r>
        <w:t xml:space="preserve">• </w:t>
      </w:r>
      <w:r>
        <w:rPr>
          <w:rStyle w:val="Text0"/>
        </w:rPr>
        <w:t>cn=config</w:t>
      </w:r>
      <w:r>
        <w:t>: Global settings</w:t>
      </w:r>
    </w:p>
    <w:p>
      <w:pPr>
        <w:pStyle w:val="Para 04"/>
      </w:pPr>
      <w:r>
        <w:t xml:space="preserve">• </w:t>
      </w:r>
      <w:r>
        <w:rPr>
          <w:rStyle w:val="Text0"/>
        </w:rPr>
        <w:t>cn=module{0},cn=config</w:t>
      </w:r>
      <w:r>
        <w:t>: A dynamically loaded module</w:t>
      </w:r>
    </w:p>
    <w:p>
      <w:pPr>
        <w:pStyle w:val="Para 04"/>
      </w:pPr>
      <w:r>
        <w:t xml:space="preserve">• </w:t>
      </w:r>
      <w:r>
        <w:rPr>
          <w:rStyle w:val="Text0"/>
        </w:rPr>
        <w:t>cn=schema,cn=config</w:t>
      </w:r>
      <w:r>
        <w:t>: Contains hard-coded system-level schema</w:t>
      </w:r>
    </w:p>
    <w:p>
      <w:pPr>
        <w:pStyle w:val="Para 28"/>
      </w:pPr>
      <w:r>
        <w:rPr>
          <w:rStyle w:val="Text0"/>
        </w:rPr>
        <w:t xml:space="preserve">• </w:t>
      </w:r>
      <w:r>
        <w:t>cn={0}core,cn=schema,cn=config</w:t>
      </w:r>
      <w:r>
        <w:rPr>
          <w:rStyle w:val="Text0"/>
        </w:rPr>
        <w:t xml:space="preserve">: The hard-coded </w:t>
      </w:r>
      <w:r>
        <w:rPr>
          <w:rStyle w:val="Text17"/>
        </w:rPr>
        <w:t>core</w:t>
      </w:r>
      <w:r>
        <w:rPr>
          <w:rStyle w:val="Text0"/>
        </w:rPr>
        <w:t xml:space="preserve"> schema</w:t>
      </w:r>
    </w:p>
    <w:p>
      <w:pPr>
        <w:pStyle w:val="Para 28"/>
      </w:pPr>
      <w:r>
        <w:rPr>
          <w:rStyle w:val="Text0"/>
        </w:rPr>
        <w:t xml:space="preserve">• </w:t>
      </w:r>
      <w:r>
        <w:t>cn={1}cosine,cn=schema,cn=config</w:t>
      </w:r>
      <w:r>
        <w:rPr>
          <w:rStyle w:val="Text0"/>
        </w:rPr>
        <w:t>: The Cosine schema</w:t>
      </w:r>
    </w:p>
    <w:p>
      <w:pPr>
        <w:pStyle w:val="Para 04"/>
      </w:pPr>
      <w:r>
        <w:t xml:space="preserve">• </w:t>
      </w:r>
      <w:r>
        <w:rPr>
          <w:rStyle w:val="Text0"/>
        </w:rPr>
        <w:t>cn={2}nis,cn=schema,cn=config</w:t>
      </w:r>
      <w:r>
        <w:t>: The Network Information Services (NIS) schema</w:t>
      </w:r>
    </w:p>
    <w:p>
      <w:pPr>
        <w:pStyle w:val="Para 28"/>
      </w:pPr>
      <w:r>
        <w:rPr>
          <w:rStyle w:val="Text0"/>
        </w:rPr>
        <w:t xml:space="preserve">• </w:t>
      </w:r>
      <w:r>
        <w:t>cn={3}inetorgperson,cn=schema,cn=config</w:t>
      </w:r>
      <w:r>
        <w:rPr>
          <w:rStyle w:val="Text0"/>
        </w:rPr>
        <w:t>: The InetOrgPerson schema</w:t>
      </w:r>
    </w:p>
    <w:p>
      <w:pPr>
        <w:pStyle w:val="Para 04"/>
      </w:pPr>
      <w:r>
        <w:t xml:space="preserve">• </w:t>
      </w:r>
      <w:r>
        <w:rPr>
          <w:rStyle w:val="Text0"/>
        </w:rPr>
        <w:t>olcDatabase={-1}frontend,cn=config</w:t>
      </w:r>
      <w:r>
        <w:t xml:space="preserve">: </w:t>
      </w:r>
      <w:hyperlink w:anchor="page_683">
        <w:r>
          <w:rPr>
            <w:rStyle w:val="Text2"/>
          </w:rPr>
          <w:t>Frontend</w:t>
        </w:r>
      </w:hyperlink>
      <w:r>
        <w:t xml:space="preserve"> database, default settings for other</w:t>
      </w:r>
    </w:p>
    <w:p>
      <w:pPr>
        <w:pStyle w:val="Para 02"/>
      </w:pPr>
      <w:r>
        <w:t>databases</w:t>
      </w:r>
    </w:p>
    <w:p>
      <w:pPr>
        <w:pStyle w:val="Para 04"/>
      </w:pPr>
      <w:r>
        <w:t xml:space="preserve">• </w:t>
      </w:r>
      <w:r>
        <w:rPr>
          <w:rStyle w:val="Text0"/>
        </w:rPr>
        <w:t>olcDatabase={0}config,cn=config</w:t>
      </w:r>
      <w:r>
        <w:t>: slapd configuration database (cn=config)</w:t>
      </w:r>
    </w:p>
    <w:p>
      <w:pPr>
        <w:pStyle w:val="Para 04"/>
      </w:pPr>
      <w:r>
        <w:t xml:space="preserve">• </w:t>
      </w:r>
      <w:r>
        <w:rPr>
          <w:rStyle w:val="Text0"/>
        </w:rPr>
        <w:t>olcDatabase={1}mdb,cn=config</w:t>
      </w:r>
      <w:r>
        <w:t>: Your database instance (dc=example,dc=com)</w:t>
      </w:r>
    </w:p>
    <w:p>
      <w:pPr>
        <w:pStyle w:val="Normal"/>
      </w:pPr>
      <w:r>
        <w:t>Since the configuration is located under the cn=config suffix, we can use LDAP commands to inspect or modify it.</w:t>
      </w:r>
    </w:p>
    <w:p>
      <w:bookmarkStart w:id="537" w:name="page_3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2" name="index-375_1.png" descr="index-375_1.png"/>
            <wp:cNvGraphicFramePr>
              <a:graphicFrameLocks noChangeAspect="1"/>
            </wp:cNvGraphicFramePr>
            <a:graphic>
              <a:graphicData uri="http://schemas.openxmlformats.org/drawingml/2006/picture">
                <pic:pic>
                  <pic:nvPicPr>
                    <pic:cNvPr id="0" name="index-375_1.png" descr="index-375_1.png"/>
                    <pic:cNvPicPr/>
                  </pic:nvPicPr>
                  <pic:blipFill>
                    <a:blip r:embed="rId386"/>
                    <a:stretch>
                      <a:fillRect/>
                    </a:stretch>
                  </pic:blipFill>
                  <pic:spPr>
                    <a:xfrm>
                      <a:off x="0" y="0"/>
                      <a:ext cx="914400" cy="266700"/>
                    </a:xfrm>
                    <a:prstGeom prst="rect">
                      <a:avLst/>
                    </a:prstGeom>
                  </pic:spPr>
                </pic:pic>
              </a:graphicData>
            </a:graphic>
          </wp:anchor>
        </w:drawing>
      </w:r>
      <w:bookmarkEnd w:id="537"/>
    </w:p>
    <w:p>
      <w:pPr>
        <w:pStyle w:val="Normal"/>
      </w:pPr>
      <w:r>
        <w:t>To see all the configuration, run this command:</w:t>
      </w:r>
    </w:p>
    <w:p>
      <w:pPr>
        <w:pStyle w:val="Normal"/>
      </w:pPr>
      <w:r>
        <w:t>sudo ldapsearch -Q -LLL -Y EXTERNAL -H ldapi:/// -b cn=config</w:t>
      </w:r>
    </w:p>
    <w:p>
      <w:pPr>
        <w:pStyle w:val="Para 17"/>
      </w:pPr>
      <w:r>
        <w:t/>
      </w:r>
    </w:p>
    <w:p>
      <w:pPr>
        <w:pStyle w:val="Normal"/>
      </w:pPr>
      <w:r>
        <w:t>The output is too large to show here, but it will start like this:</w:t>
      </w:r>
    </w:p>
    <w:p>
      <w:pPr>
        <w:pStyle w:val="Normal"/>
      </w:pPr>
      <w:r>
        <w:t>dn: cn=config</w:t>
      </w:r>
    </w:p>
    <w:p>
      <w:pPr>
        <w:pStyle w:val="Normal"/>
      </w:pPr>
      <w:r>
        <w:t>objectClass: olcGlobal</w:t>
      </w:r>
    </w:p>
    <w:p>
      <w:pPr>
        <w:pStyle w:val="Normal"/>
      </w:pPr>
      <w:r>
        <w:t>cn: config</w:t>
      </w:r>
    </w:p>
    <w:p>
      <w:pPr>
        <w:pStyle w:val="Normal"/>
      </w:pPr>
      <w:r>
        <w:t>olcArgsFile: /var/run/slapd/slapd.args</w:t>
      </w:r>
    </w:p>
    <w:p>
      <w:pPr>
        <w:pStyle w:val="Normal"/>
      </w:pPr>
      <w:r>
        <w:t>olcLogLevel: none</w:t>
      </w:r>
    </w:p>
    <w:p>
      <w:pPr>
        <w:pStyle w:val="Normal"/>
      </w:pPr>
      <w:r>
        <w:t>...</w:t>
      </w:r>
    </w:p>
    <w:p>
      <w:pPr>
        <w:pStyle w:val="Para 17"/>
      </w:pPr>
      <w:r>
        <w:t/>
      </w:r>
    </w:p>
    <w:p>
      <w:pPr>
        <w:pStyle w:val="Para 01"/>
      </w:pPr>
      <w:r>
        <w:t>Default “data” tree</w:t>
      </w:r>
    </w:p>
    <w:p>
      <w:pPr>
        <w:pStyle w:val="Para 17"/>
      </w:pPr>
      <w:r>
        <w:t/>
      </w:r>
    </w:p>
    <w:p>
      <w:pPr>
        <w:pStyle w:val="Normal"/>
      </w:pPr>
      <w:r>
        <w:t>After installing the slapd package, a default data tree is configured, based on the detected domain name of the system. Assuming a domain of example.com, this command can be run to show what it looks like:</w:t>
      </w:r>
    </w:p>
    <w:p>
      <w:pPr>
        <w:pStyle w:val="Normal"/>
      </w:pPr>
      <w:r>
        <w:t>ldapsearch -x -LLL -H ldap:/// -b dc=example,dc=com dn</w:t>
      </w:r>
    </w:p>
    <w:p>
      <w:pPr>
        <w:pStyle w:val="Para 17"/>
      </w:pPr>
      <w:r>
        <w:t/>
      </w:r>
    </w:p>
    <w:p>
      <w:pPr>
        <w:pStyle w:val="Normal"/>
      </w:pPr>
      <w:r>
        <w:t>Here the only new command-line option is-x, and we have a new parameter for-H:</w:t>
      </w:r>
    </w:p>
    <w:p>
      <w:pPr>
        <w:pStyle w:val="Para 04"/>
      </w:pPr>
      <w:r>
        <w:t>•-x: Use simple authentication instead of SASL, which is essentially a plain text authenti-</w:t>
      </w:r>
    </w:p>
    <w:p>
      <w:pPr>
        <w:pStyle w:val="Para 02"/>
      </w:pPr>
      <w:r>
        <w:t xml:space="preserve">cation. Since no </w:t>
      </w:r>
      <w:r>
        <w:rPr>
          <w:rStyle w:val="Text0"/>
        </w:rPr>
        <w:t>bindDN</w:t>
      </w:r>
      <w:r>
        <w:t xml:space="preserve"> was provided (via-D), this becomes an </w:t>
      </w:r>
      <w:r>
        <w:rPr>
          <w:rStyle w:val="Text3"/>
        </w:rPr>
        <w:t>anonymous</w:t>
      </w:r>
      <w:r>
        <w:t xml:space="preserve"> bind. With-out-x, the default is to use a SASL bind.</w:t>
      </w:r>
    </w:p>
    <w:p>
      <w:pPr>
        <w:pStyle w:val="Para 04"/>
      </w:pPr>
      <w:r>
        <w:t>•-H ldap:///: Use the LDAP protocol over the network (and not over a Unix socket), and</w:t>
      </w:r>
    </w:p>
    <w:p>
      <w:pPr>
        <w:pStyle w:val="Para 02"/>
      </w:pPr>
      <w:r>
        <w:t>since no hostname was provided, it’s assumed to be localhost. To access a server on another host, one would use ldap://server.example.com/ as the URL, for example.</w:t>
      </w:r>
    </w:p>
    <w:p>
      <w:pPr>
        <w:pStyle w:val="Normal"/>
      </w:pPr>
      <w:r>
        <w:t>The output will be the top-level entry which represents the base of the DIT.</w:t>
      </w:r>
    </w:p>
    <w:p>
      <w:pPr>
        <w:pStyle w:val="Normal"/>
      </w:pPr>
      <w:r>
        <w:t>dn: dc=example,dc=com</w:t>
      </w:r>
    </w:p>
    <w:p>
      <w:pPr>
        <w:pStyle w:val="Para 17"/>
      </w:pPr>
      <w:r>
        <w:t/>
      </w:r>
    </w:p>
    <w:p>
      <w:pPr>
        <w:pStyle w:val="Para 01"/>
      </w:pPr>
      <w:r>
        <w:t>Who am I?</w:t>
      </w:r>
    </w:p>
    <w:p>
      <w:pPr>
        <w:pStyle w:val="Para 17"/>
      </w:pPr>
      <w:r>
        <w:t/>
      </w:r>
    </w:p>
    <w:p>
      <w:pPr>
        <w:pStyle w:val="Normal"/>
      </w:pPr>
      <w:r>
        <w:t>A very handy tool to verify the authentication is ldapwhoami, which can be used as follows:</w:t>
      </w:r>
    </w:p>
    <w:p>
      <w:pPr>
        <w:pStyle w:val="Normal"/>
      </w:pPr>
      <w:r>
        <w:t>ldapwhoami -x</w:t>
      </w:r>
    </w:p>
    <w:p>
      <w:pPr>
        <w:pStyle w:val="Para 17"/>
      </w:pPr>
      <w:r>
        <w:t/>
      </w:r>
    </w:p>
    <w:p>
      <w:pPr>
        <w:pStyle w:val="Normal"/>
      </w:pPr>
      <w:r>
        <w:t>The output will say who we connected as:</w:t>
      </w:r>
    </w:p>
    <w:p>
      <w:pPr>
        <w:pStyle w:val="Normal"/>
      </w:pPr>
      <w:r>
        <w:t>anonymous</w:t>
      </w:r>
    </w:p>
    <w:p>
      <w:pPr>
        <w:pStyle w:val="Para 17"/>
      </w:pPr>
      <w:r>
        <w:t/>
      </w:r>
    </w:p>
    <w:p>
      <w:pPr>
        <w:pStyle w:val="Normal"/>
      </w:pPr>
      <w:r>
        <w:t>Now let’s perform an authenticated call, via simple authentication:</w:t>
      </w:r>
    </w:p>
    <w:p>
      <w:pPr>
        <w:pStyle w:val="Normal"/>
      </w:pPr>
      <w:r>
        <w:t>ldapwhoami -x -D cn=admin,dc=example,dc=com -W</w:t>
      </w:r>
    </w:p>
    <w:p>
      <w:pPr>
        <w:pStyle w:val="Para 17"/>
      </w:pPr>
      <w:r>
        <w:t/>
      </w:r>
    </w:p>
    <w:p>
      <w:pPr>
        <w:pStyle w:val="Normal"/>
      </w:pPr>
      <w:r>
        <w:t>This time we will be shown our authentication DN, after the password prompt:</w:t>
      </w:r>
    </w:p>
    <w:p>
      <w:pPr>
        <w:pStyle w:val="Normal"/>
      </w:pPr>
      <w:r>
        <w:t>Enter LDAP Password:</w:t>
      </w:r>
    </w:p>
    <w:p>
      <w:pPr>
        <w:pStyle w:val="Normal"/>
      </w:pPr>
      <w:r>
        <w:t>dn:cn=admin,dc=example,dc=com</w:t>
        <w:t xml:space="preserve"> When you use simple bind (-x) and specify a Bind DN with-D as your authentication DN, the server will look for a userPassword attribute in the entry, and use that to verify the creden-tials. In this particular case above, we used the database </w:t>
      </w:r>
      <w:r>
        <w:rPr>
          <w:rStyle w:val="Text0"/>
        </w:rPr>
        <w:t>Root DN</w:t>
      </w:r>
      <w:r>
        <w:t xml:space="preserve"> entry, i.e., the actual ad-ministrator, and that is a special case whose password is set in the configuration when the package is installed.</w:t>
      </w:r>
    </w:p>
    <w:p>
      <w:bookmarkStart w:id="538" w:name="page_3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3" name="index-376_1.png" descr="index-376_1.png"/>
            <wp:cNvGraphicFramePr>
              <a:graphicFrameLocks noChangeAspect="1"/>
            </wp:cNvGraphicFramePr>
            <a:graphic>
              <a:graphicData uri="http://schemas.openxmlformats.org/drawingml/2006/picture">
                <pic:pic>
                  <pic:nvPicPr>
                    <pic:cNvPr id="0" name="index-376_1.png" descr="index-376_1.png"/>
                    <pic:cNvPicPr/>
                  </pic:nvPicPr>
                  <pic:blipFill>
                    <a:blip r:embed="rId387"/>
                    <a:stretch>
                      <a:fillRect/>
                    </a:stretch>
                  </pic:blipFill>
                  <pic:spPr>
                    <a:xfrm>
                      <a:off x="0" y="0"/>
                      <a:ext cx="914400" cy="266700"/>
                    </a:xfrm>
                    <a:prstGeom prst="rect">
                      <a:avLst/>
                    </a:prstGeom>
                  </pic:spPr>
                </pic:pic>
              </a:graphicData>
            </a:graphic>
          </wp:anchor>
        </w:drawing>
      </w:r>
      <w:bookmarkEnd w:id="538"/>
    </w:p>
    <w:p>
      <w:pPr>
        <w:pStyle w:val="Para 08"/>
      </w:pPr>
      <w:r>
        <w:t>Note:</w:t>
      </w:r>
    </w:p>
    <w:p>
      <w:pPr>
        <w:pStyle w:val="Para 03"/>
      </w:pPr>
      <w:r>
        <w:t xml:space="preserve">A simple bind without some sort of transport security mechanism is </w:t>
      </w:r>
      <w:r>
        <w:rPr>
          <w:rStyle w:val="Text0"/>
        </w:rPr>
        <w:t>clear text</w:t>
      </w:r>
      <w:r>
        <w:t>, meaning</w:t>
      </w:r>
    </w:p>
    <w:p>
      <w:pPr>
        <w:pStyle w:val="Para 03"/>
      </w:pPr>
      <w:r>
        <w:t xml:space="preserve">the credentials are transmitted in the clear. You should </w:t>
      </w:r>
      <w:hyperlink w:anchor="page_397">
        <w:r>
          <w:rPr>
            <w:rStyle w:val="Text2"/>
          </w:rPr>
          <w:t>add Transport Layer Security (TLS)</w:t>
        </w:r>
      </w:hyperlink>
    </w:p>
    <w:p>
      <w:pPr>
        <w:pStyle w:val="Para 03"/>
      </w:pPr>
      <w:hyperlink w:anchor="page_397">
        <w:r>
          <w:rPr>
            <w:rStyle w:val="Text2"/>
          </w:rPr>
          <w:t>support</w:t>
        </w:r>
      </w:hyperlink>
      <w:r>
        <w:t xml:space="preserve"> (page 396) to your OpenLDAP server as soon as possible.</w:t>
      </w:r>
    </w:p>
    <w:p>
      <w:pPr>
        <w:pStyle w:val="Para 17"/>
      </w:pPr>
      <w:r>
        <w:t/>
      </w:r>
    </w:p>
    <w:p>
      <w:pPr>
        <w:pStyle w:val="Normal"/>
      </w:pPr>
      <w:r>
        <w:t>Let’s try some SASL EXTERNAL authentication commands:</w:t>
      </w:r>
    </w:p>
    <w:p>
      <w:pPr>
        <w:pStyle w:val="Normal"/>
      </w:pPr>
      <w:r>
        <w:t>ldapwhoami -Y EXTERNAL -H ldapi:/// -Q</w:t>
      </w:r>
    </w:p>
    <w:p>
      <w:pPr>
        <w:pStyle w:val="Para 17"/>
      </w:pPr>
      <w:r>
        <w:t/>
      </w:r>
    </w:p>
    <w:p>
      <w:pPr>
        <w:pStyle w:val="Normal"/>
      </w:pPr>
      <w:r>
        <w:t>The authentication DN is quite different from the simple bind one from before:</w:t>
      </w:r>
    </w:p>
    <w:p>
      <w:pPr>
        <w:pStyle w:val="Normal"/>
      </w:pPr>
      <w:r>
        <w:t>dn:gidNumber=1000+uidNumber=1000,cn=peercred,cn=external,cn=auth</w:t>
      </w:r>
    </w:p>
    <w:p>
      <w:pPr>
        <w:pStyle w:val="Para 17"/>
      </w:pPr>
      <w:r>
        <w:t/>
      </w:r>
    </w:p>
    <w:p>
      <w:pPr>
        <w:pStyle w:val="Normal"/>
      </w:pPr>
      <w:r>
        <w:t>Let’s try as root:</w:t>
      </w:r>
    </w:p>
    <w:p>
      <w:pPr>
        <w:pStyle w:val="Normal"/>
      </w:pPr>
      <w:r>
        <w:t>sudo ldapwhoami -Y EXTERNAL -H ldapi:/// -Q</w:t>
      </w:r>
    </w:p>
    <w:p>
      <w:pPr>
        <w:pStyle w:val="Para 17"/>
      </w:pPr>
      <w:r>
        <w:t/>
      </w:r>
    </w:p>
    <w:p>
      <w:pPr>
        <w:pStyle w:val="Normal"/>
      </w:pPr>
      <w:r>
        <w:t>Notice how the uidNumber and gidNumber changed:</w:t>
      </w:r>
    </w:p>
    <w:p>
      <w:pPr>
        <w:pStyle w:val="Normal"/>
      </w:pPr>
      <w:r>
        <w:t>dn:gidNumber=0+uidNumber=0,cn=peercred,cn=external,cn=auth</w:t>
      </w:r>
    </w:p>
    <w:p>
      <w:pPr>
        <w:pStyle w:val="Para 17"/>
      </w:pPr>
      <w:r>
        <w:t/>
      </w:r>
    </w:p>
    <w:p>
      <w:pPr>
        <w:pStyle w:val="Normal"/>
      </w:pPr>
      <w:r>
        <w:t>When using SASL EXTERNAL via the ldapi:/// transport, the Bind DN becomes a com-</w:t>
      </w:r>
    </w:p>
    <w:p>
      <w:pPr>
        <w:pStyle w:val="Normal"/>
      </w:pPr>
      <w:r>
        <w:t xml:space="preserve">bination of the </w:t>
      </w:r>
      <w:hyperlink w:anchor="page_711">
        <w:r>
          <w:rPr>
            <w:rStyle w:val="Text2"/>
          </w:rPr>
          <w:t>uid</w:t>
        </w:r>
      </w:hyperlink>
      <w:r>
        <w:t xml:space="preserve"> and </w:t>
      </w:r>
      <w:hyperlink w:anchor="page_685">
        <w:r>
          <w:rPr>
            <w:rStyle w:val="Text2"/>
          </w:rPr>
          <w:t>gid</w:t>
        </w:r>
      </w:hyperlink>
      <w:r>
        <w:t xml:space="preserve"> of the connecting user, followed by the suffix cn=peercred, cn=external,cn=auth. The server ACLs know about this, and grant the local root user com-plete write access to cn=config via the SASL mechanism.</w:t>
      </w:r>
    </w:p>
    <w:p>
      <w:pPr>
        <w:pStyle w:val="Para 08"/>
      </w:pPr>
      <w:r>
        <w:t>Note:</w:t>
      </w:r>
    </w:p>
    <w:p>
      <w:pPr>
        <w:pStyle w:val="Para 03"/>
      </w:pPr>
      <w:r>
        <w:t xml:space="preserve">OpenLDAP ACLs are explained in </w:t>
      </w:r>
      <w:hyperlink w:anchor="page_383">
        <w:r>
          <w:rPr>
            <w:rStyle w:val="Text2"/>
          </w:rPr>
          <w:t>Set up access control</w:t>
        </w:r>
      </w:hyperlink>
      <w:r>
        <w:t xml:space="preserve"> (page 382)</w:t>
      </w:r>
    </w:p>
    <w:p>
      <w:pPr>
        <w:pStyle w:val="Para 17"/>
      </w:pPr>
      <w:r>
        <w:t/>
      </w:r>
    </w:p>
    <w:p>
      <w:pPr>
        <w:pStyle w:val="Para 01"/>
      </w:pPr>
      <w:r>
        <w:t>Populate the directory</w:t>
      </w:r>
    </w:p>
    <w:p>
      <w:pPr>
        <w:pStyle w:val="Para 17"/>
      </w:pPr>
      <w:r>
        <w:t/>
      </w:r>
    </w:p>
    <w:p>
      <w:pPr>
        <w:pStyle w:val="Normal"/>
      </w:pPr>
      <w:r>
        <w:t>Let’s introduce some content to our directory. We will add the following:</w:t>
      </w:r>
    </w:p>
    <w:p>
      <w:pPr>
        <w:pStyle w:val="Para 04"/>
      </w:pPr>
      <w:r>
        <w:t xml:space="preserve">• A node called </w:t>
      </w:r>
      <w:r>
        <w:rPr>
          <w:rStyle w:val="Text0"/>
        </w:rPr>
        <w:t>People</w:t>
      </w:r>
      <w:r>
        <w:t>, to store users</w:t>
      </w:r>
    </w:p>
    <w:p>
      <w:pPr>
        <w:pStyle w:val="Para 06"/>
      </w:pPr>
      <w:r>
        <w:rPr>
          <w:rStyle w:val="Text0"/>
        </w:rPr>
        <w:t>–</w:t>
      </w:r>
      <w:r>
        <w:t xml:space="preserve"> An entry for a user called </w:t>
      </w:r>
      <w:r>
        <w:rPr>
          <w:rStyle w:val="Text0"/>
        </w:rPr>
        <w:t>john</w:t>
      </w:r>
    </w:p>
    <w:p>
      <w:pPr>
        <w:pStyle w:val="Para 04"/>
      </w:pPr>
      <w:r>
        <w:t xml:space="preserve">• A node called </w:t>
      </w:r>
      <w:r>
        <w:rPr>
          <w:rStyle w:val="Text0"/>
        </w:rPr>
        <w:t>Groups</w:t>
      </w:r>
      <w:r>
        <w:t>, to store groups</w:t>
      </w:r>
    </w:p>
    <w:p>
      <w:pPr>
        <w:pStyle w:val="Para 06"/>
      </w:pPr>
      <w:r>
        <w:rPr>
          <w:rStyle w:val="Text0"/>
        </w:rPr>
        <w:t>–</w:t>
      </w:r>
      <w:r>
        <w:t xml:space="preserve"> An entry for a group called </w:t>
      </w:r>
      <w:r>
        <w:rPr>
          <w:rStyle w:val="Text0"/>
        </w:rPr>
        <w:t>miners</w:t>
      </w:r>
    </w:p>
    <w:p>
      <w:pPr>
        <w:pStyle w:val="Normal"/>
      </w:pPr>
      <w:r>
        <w:t>Create the following LDIF file and call it add_content.ldif:</w:t>
      </w:r>
    </w:p>
    <w:p>
      <w:pPr>
        <w:pStyle w:val="Normal"/>
      </w:pPr>
      <w:r>
        <w:t>dn: ou=People,dc=example,dc=com</w:t>
      </w:r>
    </w:p>
    <w:p>
      <w:pPr>
        <w:pStyle w:val="Normal"/>
      </w:pPr>
      <w:r>
        <w:t>objectClass: organizationalUnit</w:t>
      </w:r>
    </w:p>
    <w:p>
      <w:pPr>
        <w:pStyle w:val="Normal"/>
      </w:pPr>
      <w:r>
        <w:t>ou: People</w:t>
      </w:r>
    </w:p>
    <w:p>
      <w:pPr>
        <w:pStyle w:val="Para 09"/>
      </w:pPr>
      <w:r>
        <w:t>(continues on next page)</w:t>
      </w:r>
    </w:p>
    <w:p>
      <w:bookmarkStart w:id="539" w:name="page_3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4" name="index-377_1.png" descr="index-377_1.png"/>
            <wp:cNvGraphicFramePr>
              <a:graphicFrameLocks noChangeAspect="1"/>
            </wp:cNvGraphicFramePr>
            <a:graphic>
              <a:graphicData uri="http://schemas.openxmlformats.org/drawingml/2006/picture">
                <pic:pic>
                  <pic:nvPicPr>
                    <pic:cNvPr id="0" name="index-377_1.png" descr="index-377_1.png"/>
                    <pic:cNvPicPr/>
                  </pic:nvPicPr>
                  <pic:blipFill>
                    <a:blip r:embed="rId388"/>
                    <a:stretch>
                      <a:fillRect/>
                    </a:stretch>
                  </pic:blipFill>
                  <pic:spPr>
                    <a:xfrm>
                      <a:off x="0" y="0"/>
                      <a:ext cx="914400" cy="266700"/>
                    </a:xfrm>
                    <a:prstGeom prst="rect">
                      <a:avLst/>
                    </a:prstGeom>
                  </pic:spPr>
                </pic:pic>
              </a:graphicData>
            </a:graphic>
          </wp:anchor>
        </w:drawing>
      </w:r>
      <w:bookmarkEnd w:id="539"/>
    </w:p>
    <w:p>
      <w:pPr>
        <w:pStyle w:val="Para 09"/>
      </w:pPr>
      <w:r>
        <w:t>(continued from previous page)</w:t>
      </w:r>
    </w:p>
    <w:p>
      <w:pPr>
        <w:pStyle w:val="Normal"/>
      </w:pPr>
      <w:r>
        <w:t>dn: ou=Groups,dc=example,dc=com</w:t>
      </w:r>
    </w:p>
    <w:p>
      <w:pPr>
        <w:pStyle w:val="Normal"/>
      </w:pPr>
      <w:r>
        <w:t>objectClass: organizationalUnit</w:t>
      </w:r>
    </w:p>
    <w:p>
      <w:pPr>
        <w:pStyle w:val="Normal"/>
      </w:pPr>
      <w:r>
        <w:t>ou: Groups</w:t>
      </w:r>
    </w:p>
    <w:p>
      <w:pPr>
        <w:pStyle w:val="Normal"/>
      </w:pPr>
      <w:r>
        <w:t>dn: cn=miners,ou=Groups,dc=example,dc=com</w:t>
      </w:r>
    </w:p>
    <w:p>
      <w:pPr>
        <w:pStyle w:val="Normal"/>
      </w:pPr>
      <w:r>
        <w:t>objectClass: posixGroup</w:t>
      </w:r>
    </w:p>
    <w:p>
      <w:pPr>
        <w:pStyle w:val="Normal"/>
      </w:pPr>
      <w:r>
        <w:t>cn: miners</w:t>
      </w:r>
    </w:p>
    <w:p>
      <w:pPr>
        <w:pStyle w:val="Normal"/>
      </w:pPr>
      <w:r>
        <w:t>gidNumber: 5000</w:t>
      </w:r>
    </w:p>
    <w:p>
      <w:pPr>
        <w:pStyle w:val="Normal"/>
      </w:pPr>
      <w:r>
        <w:t>memberUid: john</w:t>
      </w:r>
    </w:p>
    <w:p>
      <w:pPr>
        <w:pStyle w:val="Normal"/>
      </w:pPr>
      <w:r>
        <w:t>dn: uid=john,ou=People,dc=example,dc=com</w:t>
      </w:r>
    </w:p>
    <w:p>
      <w:pPr>
        <w:pStyle w:val="Normal"/>
      </w:pPr>
      <w:r>
        <w:t>objectClass: inetOrgPerson</w:t>
      </w:r>
    </w:p>
    <w:p>
      <w:pPr>
        <w:pStyle w:val="Normal"/>
      </w:pPr>
      <w:r>
        <w:t>objectClass: posixAccount</w:t>
      </w:r>
    </w:p>
    <w:p>
      <w:pPr>
        <w:pStyle w:val="Normal"/>
      </w:pPr>
      <w:r>
        <w:t>objectClass: shadowAccount</w:t>
      </w:r>
    </w:p>
    <w:p>
      <w:pPr>
        <w:pStyle w:val="Normal"/>
      </w:pPr>
      <w:r>
        <w:t>uid: john</w:t>
      </w:r>
    </w:p>
    <w:p>
      <w:pPr>
        <w:pStyle w:val="Normal"/>
      </w:pPr>
      <w:r>
        <w:t>sn: Doe</w:t>
      </w:r>
    </w:p>
    <w:p>
      <w:pPr>
        <w:pStyle w:val="Normal"/>
      </w:pPr>
      <w:r>
        <w:t>givenName: John</w:t>
      </w:r>
    </w:p>
    <w:p>
      <w:pPr>
        <w:pStyle w:val="Normal"/>
      </w:pPr>
      <w:r>
        <w:t>cn: John Doe</w:t>
      </w:r>
    </w:p>
    <w:p>
      <w:pPr>
        <w:pStyle w:val="Normal"/>
      </w:pPr>
      <w:r>
        <w:t>displayName: John Doe</w:t>
      </w:r>
    </w:p>
    <w:p>
      <w:pPr>
        <w:pStyle w:val="Normal"/>
      </w:pPr>
      <w:r>
        <w:t>uidNumber: 10000</w:t>
      </w:r>
    </w:p>
    <w:p>
      <w:pPr>
        <w:pStyle w:val="Normal"/>
      </w:pPr>
      <w:r>
        <w:t>gidNumber: 5000</w:t>
      </w:r>
    </w:p>
    <w:p>
      <w:pPr>
        <w:pStyle w:val="Normal"/>
      </w:pPr>
      <w:r>
        <w:t>userPassword: {CRYPT}x</w:t>
      </w:r>
    </w:p>
    <w:p>
      <w:pPr>
        <w:pStyle w:val="Normal"/>
      </w:pPr>
      <w:r>
        <w:t>gecos: John Doe</w:t>
      </w:r>
    </w:p>
    <w:p>
      <w:pPr>
        <w:pStyle w:val="Normal"/>
      </w:pPr>
      <w:r>
        <w:t>loginShell: /bin/bash</w:t>
      </w:r>
    </w:p>
    <w:p>
      <w:pPr>
        <w:pStyle w:val="Normal"/>
      </w:pPr>
      <w:r>
        <w:t>homeDirectory: /home/john</w:t>
      </w:r>
    </w:p>
    <w:p>
      <w:pPr>
        <w:pStyle w:val="Para 17"/>
      </w:pPr>
      <w:r>
        <w:t/>
      </w:r>
    </w:p>
    <w:p>
      <w:pPr>
        <w:pStyle w:val="Para 08"/>
      </w:pPr>
      <w:r>
        <w:t>Note:</w:t>
      </w:r>
    </w:p>
    <w:p>
      <w:pPr>
        <w:pStyle w:val="Para 03"/>
      </w:pPr>
      <w:r>
        <w:t>It’s important that uid and gid values in your directory do not collide with local Linux users’</w:t>
      </w:r>
    </w:p>
    <w:p>
      <w:pPr>
        <w:pStyle w:val="Para 03"/>
      </w:pPr>
      <w:r>
        <w:t>values as defined in /etc/passwd and /etc/group. You can use higher number ranges, such</w:t>
      </w:r>
    </w:p>
    <w:p>
      <w:pPr>
        <w:pStyle w:val="Para 03"/>
      </w:pPr>
      <w:r>
        <w:t>as starting at 5000 or even higher.</w:t>
      </w:r>
    </w:p>
    <w:p>
      <w:pPr>
        <w:pStyle w:val="Para 17"/>
      </w:pPr>
      <w:r>
        <w:t/>
      </w:r>
    </w:p>
    <w:p>
      <w:pPr>
        <w:pStyle w:val="Normal"/>
      </w:pPr>
      <w:r>
        <w:t>Add the content:</w:t>
      </w:r>
    </w:p>
    <w:p>
      <w:pPr>
        <w:pStyle w:val="Normal"/>
      </w:pPr>
      <w:r>
        <w:t>ldapadd -x -D cn=admin,dc=example,dc=com -W -f add_content.ldif</w:t>
      </w:r>
    </w:p>
    <w:p>
      <w:pPr>
        <w:pStyle w:val="Para 17"/>
      </w:pPr>
      <w:r>
        <w:t/>
      </w:r>
    </w:p>
    <w:p>
      <w:pPr>
        <w:pStyle w:val="Normal"/>
      </w:pPr>
      <w:r>
        <w:t>The command will ask for the admin password, and then show the entries as they are being added:</w:t>
      </w:r>
    </w:p>
    <w:p>
      <w:pPr>
        <w:pStyle w:val="Normal"/>
      </w:pPr>
      <w:r>
        <w:t>Enter LDAP Password: ********</w:t>
      </w:r>
    </w:p>
    <w:p>
      <w:pPr>
        <w:pStyle w:val="Normal"/>
      </w:pPr>
      <w:r>
        <w:t>adding new entry "ou=People,dc=example,dc=com"</w:t>
      </w:r>
    </w:p>
    <w:p>
      <w:pPr>
        <w:pStyle w:val="Normal"/>
      </w:pPr>
      <w:r>
        <w:t>adding new entry "ou=Groups,dc=example,dc=com"</w:t>
      </w:r>
    </w:p>
    <w:p>
      <w:pPr>
        <w:pStyle w:val="Normal"/>
      </w:pPr>
      <w:r>
        <w:t>adding new entry "cn=miners,ou=Groups,dc=example,dc=com"</w:t>
      </w:r>
    </w:p>
    <w:p>
      <w:pPr>
        <w:pStyle w:val="Normal"/>
      </w:pPr>
      <w:r>
        <w:t>adding new entry "uid=john,ou=People,dc=example,dc=com"</w:t>
      </w:r>
    </w:p>
    <w:p>
      <w:pPr>
        <w:pStyle w:val="Para 17"/>
      </w:pPr>
      <w:r>
        <w:t/>
      </w:r>
    </w:p>
    <w:p>
      <w:pPr>
        <w:pStyle w:val="Normal"/>
      </w:pPr>
      <w:r>
        <w:t>We can check that the information has been correctly added with the ldapsearch utility. For example, let’s search for the “john” entry, and request the cn and gidnumber attributes:</w:t>
      </w:r>
    </w:p>
    <w:p>
      <w:pPr>
        <w:pStyle w:val="Normal"/>
      </w:pPr>
      <w:r>
        <w:t>ldapsearch -x -LLL -b dc=example,dc=com '(uid=john)' cn gidNumber</w:t>
      </w:r>
    </w:p>
    <w:p>
      <w:pPr>
        <w:pStyle w:val="Para 17"/>
      </w:pPr>
      <w:r>
        <w:t/>
      </w:r>
    </w:p>
    <w:p>
      <w:pPr>
        <w:pStyle w:val="Normal"/>
      </w:pPr>
      <w:r>
        <w:t xml:space="preserve">The output shows the DNs that matched the search criteria, and the requested attributes: </w:t>
        <w:t>dn: uid=john,ou=People,dc=example,dc=com</w:t>
      </w:r>
    </w:p>
    <w:p>
      <w:bookmarkStart w:id="540" w:name="page_3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5" name="index-378_1.png" descr="index-378_1.png"/>
            <wp:cNvGraphicFramePr>
              <a:graphicFrameLocks noChangeAspect="1"/>
            </wp:cNvGraphicFramePr>
            <a:graphic>
              <a:graphicData uri="http://schemas.openxmlformats.org/drawingml/2006/picture">
                <pic:pic>
                  <pic:nvPicPr>
                    <pic:cNvPr id="0" name="index-378_1.png" descr="index-378_1.png"/>
                    <pic:cNvPicPr/>
                  </pic:nvPicPr>
                  <pic:blipFill>
                    <a:blip r:embed="rId389"/>
                    <a:stretch>
                      <a:fillRect/>
                    </a:stretch>
                  </pic:blipFill>
                  <pic:spPr>
                    <a:xfrm>
                      <a:off x="0" y="0"/>
                      <a:ext cx="914400" cy="266700"/>
                    </a:xfrm>
                    <a:prstGeom prst="rect">
                      <a:avLst/>
                    </a:prstGeom>
                  </pic:spPr>
                </pic:pic>
              </a:graphicData>
            </a:graphic>
          </wp:anchor>
        </w:drawing>
      </w:r>
      <w:bookmarkEnd w:id="540"/>
    </w:p>
    <w:p>
      <w:pPr>
        <w:pStyle w:val="Normal"/>
      </w:pPr>
      <w:r>
        <w:t>cn: John Doe</w:t>
      </w:r>
    </w:p>
    <w:p>
      <w:pPr>
        <w:pStyle w:val="Normal"/>
      </w:pPr>
      <w:r>
        <w:t>gidNumber: 5000</w:t>
      </w:r>
    </w:p>
    <w:p>
      <w:pPr>
        <w:pStyle w:val="Para 17"/>
      </w:pPr>
      <w:r>
        <w:t/>
      </w:r>
    </w:p>
    <w:p>
      <w:pPr>
        <w:pStyle w:val="Normal"/>
      </w:pPr>
      <w:r>
        <w:t xml:space="preserve">Here we used an LDAP “filter”: (uid=john). LDAP filters are very flexible and can become complex. For example, to list the group names of which </w:t>
      </w:r>
      <w:r>
        <w:rPr>
          <w:rStyle w:val="Text0"/>
        </w:rPr>
        <w:t>john</w:t>
      </w:r>
      <w:r>
        <w:t xml:space="preserve"> is a member, we could use the following command:</w:t>
      </w:r>
    </w:p>
    <w:p>
      <w:pPr>
        <w:pStyle w:val="Normal"/>
      </w:pPr>
      <w:r>
        <w:t>ldapsearch -x -LLL -b dc=example,dc=com '(&amp;(objectClass=posixGroup)(memberUid=john))' cn</w:t>
        <w:t xml:space="preserve"> </w:t>
        <w:t>gidNumber</w:t>
      </w:r>
    </w:p>
    <w:p>
      <w:pPr>
        <w:pStyle w:val="Para 17"/>
      </w:pPr>
      <w:r>
        <w:t/>
      </w:r>
    </w:p>
    <w:p>
      <w:pPr>
        <w:pStyle w:val="Normal"/>
      </w:pPr>
      <w:r>
        <w:t>And the result tells us that “john” is a member of the “miners” group:</w:t>
      </w:r>
    </w:p>
    <w:p>
      <w:pPr>
        <w:pStyle w:val="Normal"/>
      </w:pPr>
      <w:r>
        <w:t>dn: cn=miners,ou=Groups,dc=example,dc=com</w:t>
      </w:r>
    </w:p>
    <w:p>
      <w:pPr>
        <w:pStyle w:val="Normal"/>
      </w:pPr>
      <w:r>
        <w:t>cn: miners</w:t>
      </w:r>
    </w:p>
    <w:p>
      <w:pPr>
        <w:pStyle w:val="Normal"/>
      </w:pPr>
      <w:r>
        <w:t>gidNumber: 5000</w:t>
      </w:r>
    </w:p>
    <w:p>
      <w:pPr>
        <w:pStyle w:val="Para 17"/>
      </w:pPr>
      <w:r>
        <w:t/>
      </w:r>
    </w:p>
    <w:p>
      <w:pPr>
        <w:pStyle w:val="Normal"/>
      </w:pPr>
      <w:r>
        <w:t>That filter is a logical “AND” (signalled by the “&amp;” character in the filter expression) between two attributes: objectClass=posixGroup AND memberUid=john. Filters are very important in LDAP and mastering their syntax is extremely helpful. They are used for simple queries like this, but can also select what content is to be replicated to a secondary server, or even in</w:t>
      </w:r>
    </w:p>
    <w:p>
      <w:pPr>
        <w:pStyle w:val="Normal"/>
      </w:pPr>
      <w:r>
        <w:t xml:space="preserve">complex ACLs. The full specification is defined in </w:t>
      </w:r>
      <w:hyperlink r:id="rId1293">
        <w:r>
          <w:rPr>
            <w:rStyle w:val="Text9"/>
          </w:rPr>
          <w:t>318</w:t>
        </w:r>
      </w:hyperlink>
      <w:hyperlink r:id="rId1293">
        <w:r>
          <w:rPr>
            <w:rStyle w:val="Text1"/>
          </w:rPr>
          <w:t xml:space="preserve"> RFC 4515</w:t>
        </w:r>
      </w:hyperlink>
      <w:r>
        <w:t>.</w:t>
      </w:r>
    </w:p>
    <w:p>
      <w:pPr>
        <w:pStyle w:val="Normal"/>
      </w:pPr>
      <w:r>
        <w:t>Notice we set the userPassword field for the “john” entry to the cryptic value {CRYPT}x. This essentially is an invalid password, because no hashing will produce just x. It’s a common pat-tern when adding a user entry without a default password. To change the password to some-thing valid, you can now use ldappasswd:</w:t>
      </w:r>
    </w:p>
    <w:p>
      <w:pPr>
        <w:pStyle w:val="Normal"/>
      </w:pPr>
      <w:r>
        <w:t>ldappasswd -x -D cn=admin,dc=example,dc=com -W -S uid=john,ou=people,dc=example,dc=com</w:t>
      </w:r>
    </w:p>
    <w:p>
      <w:pPr>
        <w:pStyle w:val="Para 17"/>
      </w:pPr>
      <w:r>
        <w:t/>
      </w:r>
    </w:p>
    <w:p>
      <w:pPr>
        <w:pStyle w:val="Normal"/>
      </w:pPr>
      <w:r>
        <w:t>We will be prompted for the new password twice, and at the end for the bind password cor-responding to the bind DN specified via-D:</w:t>
      </w:r>
    </w:p>
    <w:p>
      <w:pPr>
        <w:pStyle w:val="Normal"/>
      </w:pPr>
      <w:r>
        <w:t>New password:</w:t>
      </w:r>
    </w:p>
    <w:p>
      <w:pPr>
        <w:pStyle w:val="Normal"/>
      </w:pPr>
      <w:r>
        <w:t>Re-enter new password:</w:t>
      </w:r>
    </w:p>
    <w:p>
      <w:pPr>
        <w:pStyle w:val="Normal"/>
      </w:pPr>
      <w:r>
        <w:t>Enter LDAP Password:</w:t>
      </w:r>
    </w:p>
    <w:p>
      <w:pPr>
        <w:pStyle w:val="Para 17"/>
      </w:pPr>
      <w:r>
        <w:t/>
      </w:r>
    </w:p>
    <w:p>
      <w:pPr>
        <w:pStyle w:val="Normal"/>
      </w:pPr>
      <w:r>
        <w:t>To verify the change, we can use ldapwhoami with simple bind authentication using john’s DN as the bind DN:</w:t>
      </w:r>
    </w:p>
    <w:p>
      <w:pPr>
        <w:pStyle w:val="Normal"/>
      </w:pPr>
      <w:r>
        <w:t>ldapwhoami -x -D uid=john,ou=people,dc=example,dc=com -W</w:t>
      </w:r>
    </w:p>
    <w:p>
      <w:pPr>
        <w:pStyle w:val="Para 17"/>
      </w:pPr>
      <w:r>
        <w:t/>
      </w:r>
    </w:p>
    <w:p>
      <w:pPr>
        <w:pStyle w:val="Normal"/>
      </w:pPr>
      <w:r>
        <w:t>If the new password worked, the output will show that we authenticated as the uid=john, ou=People,dc=example,dc=com DN:</w:t>
      </w:r>
    </w:p>
    <w:p>
      <w:pPr>
        <w:pStyle w:val="Normal"/>
      </w:pPr>
      <w:r>
        <w:t>Enter LDAP Password:</w:t>
      </w:r>
    </w:p>
    <w:p>
      <w:pPr>
        <w:pStyle w:val="Normal"/>
      </w:pPr>
      <w:r>
        <w:t>dn:uid=john,ou=People,dc=example,dc=com</w:t>
      </w:r>
    </w:p>
    <w:p>
      <w:pPr>
        <w:pStyle w:val="Para 17"/>
      </w:pPr>
      <w:r>
        <w:t/>
      </w:r>
    </w:p>
    <w:p>
      <w:pPr>
        <w:pStyle w:val="Para 08"/>
      </w:pPr>
      <w:r>
        <w:t>Note:</w:t>
      </w:r>
    </w:p>
    <w:p>
      <w:pPr>
        <w:pStyle w:val="Para 03"/>
      </w:pPr>
      <w:r>
        <w:t xml:space="preserve">Remember that simple binds are insecure and you should </w:t>
      </w:r>
      <w:hyperlink w:anchor="page_397">
        <w:r>
          <w:rPr>
            <w:rStyle w:val="Text2"/>
          </w:rPr>
          <w:t>add TLS support</w:t>
        </w:r>
      </w:hyperlink>
      <w:r>
        <w:t xml:space="preserve"> (page 396) to</w:t>
      </w:r>
    </w:p>
    <w:p>
      <w:pPr>
        <w:pStyle w:val="Para 03"/>
      </w:pPr>
      <w:r>
        <w:t>your server as soon as possible!</w:t>
      </w:r>
    </w:p>
    <w:p>
      <w:pPr>
        <w:pStyle w:val="Para 17"/>
      </w:pPr>
      <w:r>
        <w:t/>
      </w:r>
    </w:p>
    <w:p>
      <w:pPr>
        <w:pStyle w:val="Para 05"/>
      </w:pPr>
      <w:r>
        <w:rPr>
          <w:rStyle w:val="Text5"/>
        </w:rPr>
        <w:t>318</w:t>
      </w:r>
      <w:r>
        <w:rPr>
          <w:rStyle w:val="Text8"/>
        </w:rPr>
        <w:t xml:space="preserve"> </w:t>
      </w:r>
      <w:r>
        <w:t>https://www.rfc-editor.org/rfc/rfc4515.txt</w:t>
      </w:r>
      <w:r>
        <w:rPr>
          <w:rStyle w:val="Text8"/>
        </w:rPr>
        <w:t xml:space="preserve"> </w:t>
      </w:r>
      <w:r>
        <w:rPr>
          <w:rStyle w:val="Text11"/>
        </w:rPr>
        <w:t>Change the configuration</w:t>
      </w:r>
    </w:p>
    <w:p>
      <w:bookmarkStart w:id="541" w:name="page_3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6" name="index-379_1.png" descr="index-379_1.png"/>
            <wp:cNvGraphicFramePr>
              <a:graphicFrameLocks noChangeAspect="1"/>
            </wp:cNvGraphicFramePr>
            <a:graphic>
              <a:graphicData uri="http://schemas.openxmlformats.org/drawingml/2006/picture">
                <pic:pic>
                  <pic:nvPicPr>
                    <pic:cNvPr id="0" name="index-379_1.png" descr="index-379_1.png"/>
                    <pic:cNvPicPr/>
                  </pic:nvPicPr>
                  <pic:blipFill>
                    <a:blip r:embed="rId390"/>
                    <a:stretch>
                      <a:fillRect/>
                    </a:stretch>
                  </pic:blipFill>
                  <pic:spPr>
                    <a:xfrm>
                      <a:off x="0" y="0"/>
                      <a:ext cx="914400" cy="266700"/>
                    </a:xfrm>
                    <a:prstGeom prst="rect">
                      <a:avLst/>
                    </a:prstGeom>
                  </pic:spPr>
                </pic:pic>
              </a:graphicData>
            </a:graphic>
          </wp:anchor>
        </w:drawing>
      </w:r>
      <w:bookmarkEnd w:id="541"/>
    </w:p>
    <w:p>
      <w:pPr>
        <w:pStyle w:val="Para 17"/>
      </w:pPr>
      <w:r>
        <w:t/>
      </w:r>
    </w:p>
    <w:p>
      <w:pPr>
        <w:pStyle w:val="Normal"/>
      </w:pPr>
      <w:r>
        <w:t>The slapd-config DIT can also be queried and modified. Here are some common operations.</w:t>
      </w:r>
    </w:p>
    <w:p>
      <w:pPr>
        <w:pStyle w:val="Para 17"/>
      </w:pPr>
      <w:r>
        <w:t/>
      </w:r>
    </w:p>
    <w:p>
      <w:pPr>
        <w:pStyle w:val="Para 01"/>
      </w:pPr>
      <w:r>
        <w:t>Which “admin” DN to use?</w:t>
      </w:r>
    </w:p>
    <w:p>
      <w:pPr>
        <w:pStyle w:val="Para 17"/>
      </w:pPr>
      <w:r>
        <w:t/>
      </w:r>
    </w:p>
    <w:p>
      <w:pPr>
        <w:pStyle w:val="Normal"/>
      </w:pPr>
      <w:r>
        <w:t>Throughout this guide so far, we have used two different authentication mechanisms to make changes to the directory. Which one is needed for what kind of change?</w:t>
      </w:r>
    </w:p>
    <w:p>
      <w:pPr>
        <w:pStyle w:val="Normal"/>
      </w:pPr>
      <w:r>
        <w:t>Each directory tree suffix has its own specific administrative DN. This is the DN that can make changes to the tree and is not subject to ACLs. It is stored in the olcRootDN attribute under the cn=config configuration tree, and the corresponding password is in the olcRootPW attribute.</w:t>
      </w:r>
    </w:p>
    <w:p>
      <w:pPr>
        <w:pStyle w:val="Normal"/>
      </w:pPr>
      <w:r>
        <w:t>Besides this specific administrator entry, ACLs can also grant such privileges to any other DN in the directory. All of this is setup by the slapd package when it is installed. This results in the following DNs that can be used to make changes to each directory suffix:</w:t>
      </w:r>
    </w:p>
    <w:p>
      <w:pPr>
        <w:pStyle w:val="Para 17"/>
      </w:pPr>
      <w:r>
        <w:t/>
      </w:r>
    </w:p>
    <w:p>
      <w:pPr>
        <w:pStyle w:val="Para 03"/>
      </w:pPr>
      <w:r>
        <w:t>Suffix DN for making changes Authentication mechanism</w:t>
      </w:r>
    </w:p>
    <w:p>
      <w:pPr>
        <w:pStyle w:val="Para 03"/>
      </w:pPr>
      <w:r>
        <w:t>cn=config cn=admin,cn=config Absent</w:t>
      </w:r>
    </w:p>
    <w:p>
      <w:pPr>
        <w:pStyle w:val="Para 03"/>
      </w:pPr>
      <w:r>
        <w:t>cn=config gidNumber=0+uidNumber=0, SASL EXTERNAL as root via</w:t>
      </w:r>
    </w:p>
    <w:p>
      <w:pPr>
        <w:pStyle w:val="Para 15"/>
      </w:pPr>
      <w:r>
        <w:t>&lt;br&gt;cn=peercred,cn=external, ldapi:// cn=auth</w:t>
      </w:r>
    </w:p>
    <w:p>
      <w:pPr>
        <w:pStyle w:val="Para 03"/>
      </w:pPr>
      <w:r>
        <w:t xml:space="preserve">dc=example, cn=admin,dc=example,dc=com </w:t>
        <w:t>Simple bind with passwordset dur-</w:t>
      </w:r>
    </w:p>
    <w:p>
      <w:pPr>
        <w:pStyle w:val="Para 03"/>
      </w:pPr>
      <w:r>
        <w:t>dc=com ing install or reconfigure</w:t>
      </w:r>
    </w:p>
    <w:p>
      <w:pPr>
        <w:pStyle w:val="Para 17"/>
      </w:pPr>
      <w:r>
        <w:t/>
      </w:r>
    </w:p>
    <w:p>
      <w:pPr>
        <w:pStyle w:val="Para 01"/>
      </w:pPr>
      <w:r>
        <w:t>Change the “admin” password</w:t>
      </w:r>
    </w:p>
    <w:p>
      <w:pPr>
        <w:pStyle w:val="Para 17"/>
      </w:pPr>
      <w:r>
        <w:t/>
      </w:r>
    </w:p>
    <w:p>
      <w:pPr>
        <w:pStyle w:val="Normal"/>
      </w:pPr>
      <w:r>
        <w:t>There is really only one administrative DN that has an associated password, and it’s the one created at install (or reconfigure) time. To locate it in the cn=config suffix, run this command:</w:t>
      </w:r>
    </w:p>
    <w:p>
      <w:pPr>
        <w:pStyle w:val="Normal"/>
      </w:pPr>
      <w:r>
        <w:t>sudo ldapsearch -Q -LLL -Y EXTERNAL -H ldapi:/// -b cn=config '(olcSuffix=dc=example,</w:t>
        <w:t xml:space="preserve"> </w:t>
        <w:t>dc=com)' olcSuffix olcRootDN olcRootPW</w:t>
      </w:r>
    </w:p>
    <w:p>
      <w:pPr>
        <w:pStyle w:val="Para 17"/>
      </w:pPr>
      <w:r>
        <w:t/>
      </w:r>
    </w:p>
    <w:p>
      <w:pPr>
        <w:pStyle w:val="Normal"/>
      </w:pPr>
      <w:r>
        <w:t>The output will be the configuration entry for the dc=example,dc=com suffix, and show only the selected attributes in the response:</w:t>
      </w:r>
    </w:p>
    <w:p>
      <w:pPr>
        <w:pStyle w:val="Normal"/>
      </w:pPr>
      <w:r>
        <w:t>dn: olcDatabase={1}mdb,cn=config</w:t>
      </w:r>
    </w:p>
    <w:p>
      <w:pPr>
        <w:pStyle w:val="Normal"/>
      </w:pPr>
      <w:r>
        <w:t>olcSuffix: dc=example,dc=com</w:t>
      </w:r>
    </w:p>
    <w:p>
      <w:pPr>
        <w:pStyle w:val="Normal"/>
      </w:pPr>
      <w:r>
        <w:t>olcRootDN: cn=admin,dc=example,dc=com</w:t>
      </w:r>
    </w:p>
    <w:p>
      <w:pPr>
        <w:pStyle w:val="Normal"/>
      </w:pPr>
      <w:r>
        <w:t>olcRootPW: {SSHA}Y0UjBUUmf08TC25ePVc6waI/mfvPNktk</w:t>
      </w:r>
    </w:p>
    <w:p>
      <w:pPr>
        <w:pStyle w:val="Para 17"/>
      </w:pPr>
      <w:r>
        <w:t/>
      </w:r>
    </w:p>
    <w:p>
      <w:pPr>
        <w:pStyle w:val="Normal"/>
      </w:pPr>
      <w:r>
        <w:t>Since the olcRootPW password attribute we want to change is located under the cn=config suffix, we will also have to use the SASL EXTERNAL authentication to modify it, according to the table shown earlier.</w:t>
      </w:r>
    </w:p>
    <w:p>
      <w:bookmarkStart w:id="542" w:name="page_3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7" name="index-380_1.png" descr="index-380_1.png"/>
            <wp:cNvGraphicFramePr>
              <a:graphicFrameLocks noChangeAspect="1"/>
            </wp:cNvGraphicFramePr>
            <a:graphic>
              <a:graphicData uri="http://schemas.openxmlformats.org/drawingml/2006/picture">
                <pic:pic>
                  <pic:nvPicPr>
                    <pic:cNvPr id="0" name="index-380_1.png" descr="index-380_1.png"/>
                    <pic:cNvPicPr/>
                  </pic:nvPicPr>
                  <pic:blipFill>
                    <a:blip r:embed="rId391"/>
                    <a:stretch>
                      <a:fillRect/>
                    </a:stretch>
                  </pic:blipFill>
                  <pic:spPr>
                    <a:xfrm>
                      <a:off x="0" y="0"/>
                      <a:ext cx="914400" cy="266700"/>
                    </a:xfrm>
                    <a:prstGeom prst="rect">
                      <a:avLst/>
                    </a:prstGeom>
                  </pic:spPr>
                </pic:pic>
              </a:graphicData>
            </a:graphic>
          </wp:anchor>
        </w:drawing>
      </w:r>
      <w:bookmarkEnd w:id="542"/>
    </w:p>
    <w:p>
      <w:pPr>
        <w:pStyle w:val="Para 08"/>
      </w:pPr>
      <w:r>
        <w:t>Note:</w:t>
      </w:r>
    </w:p>
    <w:p>
      <w:pPr>
        <w:pStyle w:val="Para 03"/>
      </w:pPr>
      <w:r>
        <w:t>Even though this olcRootDN is the administrative DN for the dc=example,dc=com suffix, it is</w:t>
      </w:r>
    </w:p>
    <w:p>
      <w:pPr>
        <w:pStyle w:val="Para 03"/>
      </w:pPr>
      <w:r>
        <w:t>stored under the cn=config suffix!</w:t>
      </w:r>
    </w:p>
    <w:p>
      <w:pPr>
        <w:pStyle w:val="Para 17"/>
      </w:pPr>
      <w:r>
        <w:t/>
      </w:r>
    </w:p>
    <w:p>
      <w:pPr>
        <w:pStyle w:val="Normal"/>
      </w:pPr>
      <w:r>
        <w:t>To change the password associated with the olcRootDN administrative DN, we need to replace the value of the olcRootPW attribute. That value is not the literal password, but the hash of the password, using a specific hash algorithm.</w:t>
      </w:r>
    </w:p>
    <w:p>
      <w:pPr>
        <w:pStyle w:val="Normal"/>
      </w:pPr>
      <w:r>
        <w:t>To obtain the hash of a password, suitable to be used as the value of olcRootPW, run the slap-passwd command and type the password you want, with a confirmation. The output will be the hash for that password, which we will need for the next step:</w:t>
      </w:r>
    </w:p>
    <w:p>
      <w:pPr>
        <w:pStyle w:val="Normal"/>
      </w:pPr>
      <w:r>
        <w:t>New password:</w:t>
      </w:r>
    </w:p>
    <w:p>
      <w:pPr>
        <w:pStyle w:val="Normal"/>
      </w:pPr>
      <w:r>
        <w:t>Re-enter new password:</w:t>
      </w:r>
    </w:p>
    <w:p>
      <w:pPr>
        <w:pStyle w:val="Normal"/>
      </w:pPr>
      <w:r>
        <w:t>{SSHA}VKrYMxlSKhONGRpC6rnASKNmXG2xHXFo</w:t>
      </w:r>
    </w:p>
    <w:p>
      <w:pPr>
        <w:pStyle w:val="Para 17"/>
      </w:pPr>
      <w:r>
        <w:t/>
      </w:r>
    </w:p>
    <w:p>
      <w:pPr>
        <w:pStyle w:val="Normal"/>
      </w:pPr>
      <w:r>
        <w:t>Now prepare a changerootpw.ldif file with this content, which includes the hashed password from the output above:</w:t>
      </w:r>
    </w:p>
    <w:p>
      <w:pPr>
        <w:pStyle w:val="Normal"/>
      </w:pPr>
      <w:r>
        <w:t>dn: olcDatabase={1}mdb,cn=config</w:t>
      </w:r>
    </w:p>
    <w:p>
      <w:pPr>
        <w:pStyle w:val="Normal"/>
      </w:pPr>
      <w:r>
        <w:t>changetype: modify</w:t>
      </w:r>
    </w:p>
    <w:p>
      <w:pPr>
        <w:pStyle w:val="Normal"/>
      </w:pPr>
      <w:r>
        <w:t>replace: olcRootPW</w:t>
      </w:r>
    </w:p>
    <w:p>
      <w:pPr>
        <w:pStyle w:val="Normal"/>
      </w:pPr>
      <w:r>
        <w:t>olcRootPW: {SSHA}VKrYMxlSKhONGRpC6rnASKNmXG2xHXFo</w:t>
      </w:r>
    </w:p>
    <w:p>
      <w:pPr>
        <w:pStyle w:val="Para 17"/>
      </w:pPr>
      <w:r>
        <w:t/>
      </w:r>
    </w:p>
    <w:p>
      <w:pPr>
        <w:pStyle w:val="Normal"/>
      </w:pPr>
      <w:r>
        <w:t>Finally, run the ldapmodify command on this file:</w:t>
      </w:r>
    </w:p>
    <w:p>
      <w:pPr>
        <w:pStyle w:val="Normal"/>
      </w:pPr>
      <w:r>
        <w:t>ldapmodify -Q -Y EXTERNAL -H ldapi:/// -f changerootpw.ldif</w:t>
      </w:r>
    </w:p>
    <w:p>
      <w:pPr>
        <w:pStyle w:val="Para 17"/>
      </w:pPr>
      <w:r>
        <w:t/>
      </w:r>
    </w:p>
    <w:p>
      <w:pPr>
        <w:pStyle w:val="Normal"/>
      </w:pPr>
      <w:r>
        <w:t>If successful, the output will show the entry that is being modified:</w:t>
      </w:r>
    </w:p>
    <w:p>
      <w:pPr>
        <w:pStyle w:val="Normal"/>
      </w:pPr>
      <w:r>
        <w:t>modifying entry</w:t>
        <w:t xml:space="preserve"> </w:t>
        <w:t>"olcDatabase=</w:t>
      </w:r>
      <w:r>
        <w:rPr>
          <w:rStyle w:val="Text3"/>
        </w:rPr>
        <w:t>{1}</w:t>
      </w:r>
      <w:r>
        <w:t>mdb,cn=config"</w:t>
      </w:r>
    </w:p>
    <w:p>
      <w:pPr>
        <w:pStyle w:val="Para 17"/>
      </w:pPr>
      <w:r>
        <w:t/>
      </w:r>
    </w:p>
    <w:p>
      <w:pPr>
        <w:pStyle w:val="Para 01"/>
      </w:pPr>
      <w:r>
        <w:t>Add an index</w:t>
      </w:r>
    </w:p>
    <w:p>
      <w:pPr>
        <w:pStyle w:val="Para 17"/>
      </w:pPr>
      <w:r>
        <w:t/>
      </w:r>
    </w:p>
    <w:p>
      <w:pPr>
        <w:pStyle w:val="Normal"/>
      </w:pPr>
      <w:r>
        <w:t>Like in other database types, having an index for attributes commonly used in searches can speed up such searches dramatically, specially on large trees. The default installation of OpenLDAP already creates several common indexes, but depending on your data and queries, other indexes might be helpful.</w:t>
      </w:r>
    </w:p>
    <w:p>
      <w:pPr>
        <w:pStyle w:val="Normal"/>
      </w:pPr>
      <w:r>
        <w:t xml:space="preserve">Use ldapmodify to add an “Index” to your {1}mdb,cn=config database definition (for </w:t>
      </w:r>
      <w:r>
        <w:rPr>
          <w:rStyle w:val="Text0"/>
        </w:rPr>
        <w:t>dc=example,dc=com</w:t>
      </w:r>
      <w:r>
        <w:t>). In this example, we will add an “equality” and a “sub-string” index to the mail attribute. Create a file called add_index.ldif, and add the following contents:</w:t>
      </w:r>
    </w:p>
    <w:p>
      <w:pPr>
        <w:pStyle w:val="Normal"/>
      </w:pPr>
      <w:r>
        <w:t>dn: olcDatabase={1}mdb,cn=config</w:t>
      </w:r>
    </w:p>
    <w:p>
      <w:pPr>
        <w:pStyle w:val="Normal"/>
      </w:pPr>
      <w:r>
        <w:t>add: olcDbIndex</w:t>
      </w:r>
    </w:p>
    <w:p>
      <w:pPr>
        <w:pStyle w:val="Normal"/>
      </w:pPr>
      <w:r>
        <w:t>olcDbIndex: mail eq,sub</w:t>
      </w:r>
    </w:p>
    <w:p>
      <w:pPr>
        <w:pStyle w:val="Para 17"/>
      </w:pPr>
      <w:r>
        <w:t/>
      </w:r>
    </w:p>
    <w:p>
      <w:pPr>
        <w:pStyle w:val="Normal"/>
      </w:pPr>
      <w:r>
        <w:t>Then issue the command:</w:t>
      </w:r>
    </w:p>
    <w:p>
      <w:pPr>
        <w:pStyle w:val="Normal"/>
      </w:pPr>
      <w:r>
        <w:t>sudo ldapmodify -Q -Y EXTERNAL -H ldapi:/// -f add_index.ldif</w:t>
      </w:r>
    </w:p>
    <w:p>
      <w:pPr>
        <w:pStyle w:val="Para 17"/>
      </w:pPr>
      <w:r>
        <w:t/>
      </w:r>
    </w:p>
    <w:p>
      <w:pPr>
        <w:pStyle w:val="Normal"/>
      </w:pPr>
      <w:r>
        <w:t>The output will show the modifications being done:</w:t>
      </w:r>
    </w:p>
    <w:p>
      <w:bookmarkStart w:id="543" w:name="page_3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8" name="index-381_1.png" descr="index-381_1.png"/>
            <wp:cNvGraphicFramePr>
              <a:graphicFrameLocks noChangeAspect="1"/>
            </wp:cNvGraphicFramePr>
            <a:graphic>
              <a:graphicData uri="http://schemas.openxmlformats.org/drawingml/2006/picture">
                <pic:pic>
                  <pic:nvPicPr>
                    <pic:cNvPr id="0" name="index-381_1.png" descr="index-381_1.png"/>
                    <pic:cNvPicPr/>
                  </pic:nvPicPr>
                  <pic:blipFill>
                    <a:blip r:embed="rId392"/>
                    <a:stretch>
                      <a:fillRect/>
                    </a:stretch>
                  </pic:blipFill>
                  <pic:spPr>
                    <a:xfrm>
                      <a:off x="0" y="0"/>
                      <a:ext cx="914400" cy="266700"/>
                    </a:xfrm>
                    <a:prstGeom prst="rect">
                      <a:avLst/>
                    </a:prstGeom>
                  </pic:spPr>
                </pic:pic>
              </a:graphicData>
            </a:graphic>
          </wp:anchor>
        </w:drawing>
      </w:r>
      <w:bookmarkEnd w:id="543"/>
    </w:p>
    <w:p>
      <w:pPr>
        <w:pStyle w:val="Normal"/>
      </w:pPr>
      <w:r>
        <w:t>modifying entry "olcDatabase={1}mdb,cn=config"</w:t>
      </w:r>
    </w:p>
    <w:p>
      <w:pPr>
        <w:pStyle w:val="Para 17"/>
      </w:pPr>
      <w:r>
        <w:t/>
      </w:r>
    </w:p>
    <w:p>
      <w:pPr>
        <w:pStyle w:val="Normal"/>
      </w:pPr>
      <w:r>
        <w:t>You can confirm the change with a search:</w:t>
      </w:r>
    </w:p>
    <w:p>
      <w:pPr>
        <w:pStyle w:val="Normal"/>
      </w:pPr>
      <w:r>
        <w:t>ldapsearch -Q -LLL -Y EXTERNAL -H ldapi:/// -b cn=config '(olcDatabase={1}mdb)' olcDbIndex</w:t>
      </w:r>
    </w:p>
    <w:p>
      <w:pPr>
        <w:pStyle w:val="Para 17"/>
      </w:pPr>
      <w:r>
        <w:t/>
      </w:r>
    </w:p>
    <w:p>
      <w:pPr>
        <w:pStyle w:val="Normal"/>
      </w:pPr>
      <w:r>
        <w:t>And the result will include all instances of the olcDbIndex attribute:</w:t>
      </w:r>
    </w:p>
    <w:p>
      <w:pPr>
        <w:pStyle w:val="Normal"/>
      </w:pPr>
      <w:r>
        <w:t>dn: olcDatabase={1}mdb,cn=config</w:t>
      </w:r>
    </w:p>
    <w:p>
      <w:pPr>
        <w:pStyle w:val="Normal"/>
      </w:pPr>
      <w:r>
        <w:t>olcDbIndex: objectClass eq</w:t>
      </w:r>
    </w:p>
    <w:p>
      <w:pPr>
        <w:pStyle w:val="Normal"/>
      </w:pPr>
      <w:r>
        <w:t>olcDbIndex: cn,uid eq</w:t>
      </w:r>
    </w:p>
    <w:p>
      <w:pPr>
        <w:pStyle w:val="Normal"/>
      </w:pPr>
      <w:r>
        <w:t>olcDbIndex: uidNumber,gidNumber eq</w:t>
      </w:r>
    </w:p>
    <w:p>
      <w:pPr>
        <w:pStyle w:val="Normal"/>
      </w:pPr>
      <w:r>
        <w:t>olcDbIndex: member,memberUid eq</w:t>
      </w:r>
    </w:p>
    <w:p>
      <w:pPr>
        <w:pStyle w:val="Normal"/>
      </w:pPr>
      <w:r>
        <w:t>olcDbIndex: mail eq,sub</w:t>
      </w:r>
    </w:p>
    <w:p>
      <w:pPr>
        <w:pStyle w:val="Para 17"/>
      </w:pPr>
      <w:r>
        <w:t/>
      </w:r>
    </w:p>
    <w:p>
      <w:pPr>
        <w:pStyle w:val="Para 08"/>
      </w:pPr>
      <w:r>
        <w:rPr>
          <w:rStyle w:val="Text0"/>
        </w:rPr>
        <w:t xml:space="preserve">µ </w:t>
      </w:r>
      <w:r>
        <w:t>See also</w:t>
      </w:r>
    </w:p>
    <w:p>
      <w:pPr>
        <w:pStyle w:val="Para 03"/>
      </w:pPr>
      <w:r>
        <w:t xml:space="preserve">To learn more about OpenLDAP indexes, check the upstream documentation at </w:t>
      </w:r>
      <w:hyperlink r:id="rId1294">
        <w:r>
          <w:rPr>
            <w:rStyle w:val="Text1"/>
          </w:rPr>
          <w:t>https:</w:t>
        </w:r>
      </w:hyperlink>
    </w:p>
    <w:p>
      <w:pPr>
        <w:pStyle w:val="Para 22"/>
      </w:pPr>
      <w:hyperlink r:id="rId1294">
        <w:r>
          <w:t>//www.openldap.org/doc/admin26/tuning.html#Indexes</w:t>
        </w:r>
      </w:hyperlink>
    </w:p>
    <w:p>
      <w:pPr>
        <w:pStyle w:val="Para 17"/>
      </w:pPr>
      <w:r>
        <w:t/>
      </w:r>
    </w:p>
    <w:p>
      <w:pPr>
        <w:pStyle w:val="Para 01"/>
      </w:pPr>
      <w:r>
        <w:t>Add a schema</w:t>
      </w:r>
    </w:p>
    <w:p>
      <w:pPr>
        <w:pStyle w:val="Para 17"/>
      </w:pPr>
      <w:r>
        <w:t/>
      </w:r>
    </w:p>
    <w:p>
      <w:pPr>
        <w:pStyle w:val="Normal"/>
      </w:pPr>
      <w:r>
        <w:t>Schemas can only be added to cn=config if they are in LDIF format. If not, they will first have to be converted. You can find unconverted schemas in addition to converted ones in the / etc/ldap/schema directory.</w:t>
      </w:r>
    </w:p>
    <w:p>
      <w:pPr>
        <w:pStyle w:val="Para 17"/>
      </w:pPr>
      <w:r>
        <w:t/>
      </w:r>
    </w:p>
    <w:p>
      <w:pPr>
        <w:pStyle w:val="Para 08"/>
      </w:pPr>
      <w:r>
        <w:t>Note:</w:t>
      </w:r>
    </w:p>
    <w:p>
      <w:pPr>
        <w:pStyle w:val="Para 03"/>
      </w:pPr>
      <w:r>
        <w:t>It is not trivial to remove a schema from the slapd-config database. Practice adding</w:t>
      </w:r>
    </w:p>
    <w:p>
      <w:pPr>
        <w:pStyle w:val="Para 03"/>
      </w:pPr>
      <w:r>
        <w:t>schemas on a test system.</w:t>
      </w:r>
    </w:p>
    <w:p>
      <w:pPr>
        <w:pStyle w:val="Para 17"/>
      </w:pPr>
      <w:r>
        <w:t/>
      </w:r>
    </w:p>
    <w:p>
      <w:pPr>
        <w:pStyle w:val="Normal"/>
      </w:pPr>
      <w:r>
        <w:t>In the following example we’ll add one of the pre-installed policy schemas in /etc/ldap/ schema/. The pre-installed schemas exists in both converted (.ldif) and native (.schema) for-mats, so we don’t have to convert them and can use ldapadd directly:</w:t>
      </w:r>
    </w:p>
    <w:p>
      <w:pPr>
        <w:pStyle w:val="Normal"/>
      </w:pPr>
      <w:r>
        <w:t>sudo ldapadd -Q -Y EXTERNAL -H ldapi:/// -f /etc/ldap/schema/corba.ldif</w:t>
      </w:r>
    </w:p>
    <w:p>
      <w:pPr>
        <w:pStyle w:val="Para 17"/>
      </w:pPr>
      <w:r>
        <w:t/>
      </w:r>
    </w:p>
    <w:p>
      <w:pPr>
        <w:pStyle w:val="Normal"/>
      </w:pPr>
      <w:r>
        <w:t>The output will confirm the new schema being added:</w:t>
      </w:r>
    </w:p>
    <w:p>
      <w:pPr>
        <w:pStyle w:val="Normal"/>
      </w:pPr>
      <w:r>
        <w:t>adding new entry</w:t>
        <w:t xml:space="preserve"> </w:t>
        <w:t>"cn=corba,cn=schema,cn=config"</w:t>
      </w:r>
    </w:p>
    <w:p>
      <w:pPr>
        <w:pStyle w:val="Para 17"/>
      </w:pPr>
      <w:r>
        <w:t/>
      </w:r>
    </w:p>
    <w:p>
      <w:pPr>
        <w:pStyle w:val="Normal"/>
      </w:pPr>
      <w:r>
        <w:t>If the schema you want to add does not exist in LDIF format, a nice conversion tool that can be used is provided in the schema2ldif package.</w:t>
      </w:r>
    </w:p>
    <w:p>
      <w:bookmarkStart w:id="544" w:name="calibre_pb_81"/>
      <w:pPr>
        <w:pStyle w:val="0 Block"/>
      </w:pPr>
      <w:bookmarkEnd w:id="544"/>
    </w:p>
    <w:p>
      <w:bookmarkStart w:id="545" w:name="Top_of_index_split_082_html"/>
      <w:bookmarkStart w:id="546" w:name="page_38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89" name="index-382_1.png" descr="index-382_1.png"/>
            <wp:cNvGraphicFramePr>
              <a:graphicFrameLocks noChangeAspect="1"/>
            </wp:cNvGraphicFramePr>
            <a:graphic>
              <a:graphicData uri="http://schemas.openxmlformats.org/drawingml/2006/picture">
                <pic:pic>
                  <pic:nvPicPr>
                    <pic:cNvPr id="0" name="index-382_1.png" descr="index-382_1.png"/>
                    <pic:cNvPicPr/>
                  </pic:nvPicPr>
                  <pic:blipFill>
                    <a:blip r:embed="rId393"/>
                    <a:stretch>
                      <a:fillRect/>
                    </a:stretch>
                  </pic:blipFill>
                  <pic:spPr>
                    <a:xfrm>
                      <a:off x="0" y="0"/>
                      <a:ext cx="914400" cy="266700"/>
                    </a:xfrm>
                    <a:prstGeom prst="rect">
                      <a:avLst/>
                    </a:prstGeom>
                  </pic:spPr>
                </pic:pic>
              </a:graphicData>
            </a:graphic>
          </wp:anchor>
        </w:drawing>
      </w:r>
      <w:bookmarkEnd w:id="545"/>
      <w:bookmarkEnd w:id="546"/>
    </w:p>
    <w:p>
      <w:pPr>
        <w:pStyle w:val="Para 01"/>
      </w:pPr>
      <w:r>
        <w:t>Logging</w:t>
      </w:r>
    </w:p>
    <w:p>
      <w:pPr>
        <w:pStyle w:val="Para 17"/>
      </w:pPr>
      <w:r>
        <w:t/>
      </w:r>
    </w:p>
    <w:p>
      <w:pPr>
        <w:pStyle w:val="Normal"/>
      </w:pPr>
      <w:r>
        <w:t>Activity logging for slapd is very useful when implementing an OpenLDAP-based solution – and it must be manually enabled after software installation. Otherwise, only rudimentary messages will appear in the logs. Logging, like any other such configuration, is enabled via the slapd-config database.</w:t>
      </w:r>
    </w:p>
    <w:p>
      <w:pPr>
        <w:pStyle w:val="Normal"/>
      </w:pPr>
      <w:r>
        <w:t>OpenLDAP comes with multiple logging levels, with each level containing the lower one (ad-</w:t>
      </w:r>
    </w:p>
    <w:p>
      <w:pPr>
        <w:pStyle w:val="Normal"/>
      </w:pPr>
      <w:r>
        <w:t xml:space="preserve">ditive). A good level to try is </w:t>
      </w:r>
      <w:hyperlink r:id="rId1295">
        <w:r>
          <w:rPr>
            <w:rStyle w:val="Text9"/>
          </w:rPr>
          <w:t>319</w:t>
        </w:r>
      </w:hyperlink>
      <w:r>
        <w:t xml:space="preserve"> </w:t>
      </w:r>
      <w:r>
        <w:rPr>
          <w:rStyle w:val="Text0"/>
        </w:rPr>
        <w:t>stats</w:t>
      </w:r>
      <w:r>
        <w:t xml:space="preserve"> . The </w:t>
      </w:r>
      <w:hyperlink r:id="rId1295">
        <w:r>
          <w:rPr>
            <w:rStyle w:val="Text2"/>
          </w:rPr>
          <w:t>slapd-config(5)</w:t>
        </w:r>
      </w:hyperlink>
      <w:r>
        <w:t xml:space="preserve"> manual page has more to say on the different subsystems.</w:t>
      </w:r>
    </w:p>
    <w:p>
      <w:pPr>
        <w:pStyle w:val="Para 17"/>
      </w:pPr>
      <w:r>
        <w:t/>
      </w:r>
    </w:p>
    <w:p>
      <w:pPr>
        <w:pStyle w:val="Para 01"/>
      </w:pPr>
      <w:r>
        <w:t>Example logging with the stats level</w:t>
      </w:r>
    </w:p>
    <w:p>
      <w:pPr>
        <w:pStyle w:val="Para 17"/>
      </w:pPr>
      <w:r>
        <w:t/>
      </w:r>
    </w:p>
    <w:p>
      <w:pPr>
        <w:pStyle w:val="Normal"/>
      </w:pPr>
      <w:r>
        <w:t>Create the file logging.ldif with the following contents:</w:t>
      </w:r>
    </w:p>
    <w:p>
      <w:pPr>
        <w:pStyle w:val="Normal"/>
      </w:pPr>
      <w:r>
        <w:t>dn: cn=config</w:t>
      </w:r>
    </w:p>
    <w:p>
      <w:pPr>
        <w:pStyle w:val="Normal"/>
      </w:pPr>
      <w:r>
        <w:t>changetype: modify</w:t>
      </w:r>
    </w:p>
    <w:p>
      <w:pPr>
        <w:pStyle w:val="Normal"/>
      </w:pPr>
      <w:r>
        <w:t>replace: olcLogLevel</w:t>
      </w:r>
    </w:p>
    <w:p>
      <w:pPr>
        <w:pStyle w:val="Normal"/>
      </w:pPr>
      <w:r>
        <w:t>olcLogLevel: stats</w:t>
      </w:r>
    </w:p>
    <w:p>
      <w:pPr>
        <w:pStyle w:val="Para 17"/>
      </w:pPr>
      <w:r>
        <w:t/>
      </w:r>
    </w:p>
    <w:p>
      <w:pPr>
        <w:pStyle w:val="Normal"/>
      </w:pPr>
      <w:r>
        <w:t>Run ldapmodify to implement the change:</w:t>
      </w:r>
    </w:p>
    <w:p>
      <w:pPr>
        <w:pStyle w:val="Normal"/>
      </w:pPr>
      <w:r>
        <w:t>sudo ldapmodify -Q -Y EXTERNAL -H ldapi:/// -f logging.ldif</w:t>
      </w:r>
    </w:p>
    <w:p>
      <w:pPr>
        <w:pStyle w:val="Para 17"/>
      </w:pPr>
      <w:r>
        <w:t/>
      </w:r>
    </w:p>
    <w:p>
      <w:pPr>
        <w:pStyle w:val="Normal"/>
      </w:pPr>
      <w:r>
        <w:t>Depending on how active your OpenLDAP server is, this will produce a significant amount of logging. It is recommended to revert back to a less verbose level once the need for this detailed logging isn’t there anymore.</w:t>
      </w:r>
    </w:p>
    <w:p>
      <w:pPr>
        <w:pStyle w:val="Normal"/>
      </w:pPr>
      <w:r>
        <w:t>While in this verbose mode your host’s syslog engine (rsyslog) may have a hard time keeping up. If you see log message like this, it means some messages were dropped:</w:t>
      </w:r>
    </w:p>
    <w:p>
      <w:pPr>
        <w:pStyle w:val="Normal"/>
      </w:pPr>
      <w:r>
        <w:t>rsyslogd-2177: imuxsock lost 228 messages from pid 2547 due to rate-limiting</w:t>
      </w:r>
    </w:p>
    <w:p>
      <w:pPr>
        <w:pStyle w:val="Para 17"/>
      </w:pPr>
      <w:r>
        <w:t/>
      </w:r>
    </w:p>
    <w:p>
      <w:pPr>
        <w:pStyle w:val="Normal"/>
      </w:pPr>
      <w:r>
        <w:t>You may consider a change to rsyslog’s configuration. In /etc/rsyslog.conf, add:</w:t>
      </w:r>
    </w:p>
    <w:p>
      <w:pPr>
        <w:pStyle w:val="Normal"/>
      </w:pPr>
      <w:r>
        <w:t># Disable rate limiting</w:t>
      </w:r>
    </w:p>
    <w:p>
      <w:pPr>
        <w:pStyle w:val="Normal"/>
      </w:pPr>
      <w:r>
        <w:t># (default is 200 messages in 5 seconds; below we make the 5 become 0)</w:t>
        <w:t xml:space="preserve"> </w:t>
        <w:t>$SystemLogRateLimitInterval 0</w:t>
      </w:r>
    </w:p>
    <w:p>
      <w:pPr>
        <w:pStyle w:val="Para 17"/>
      </w:pPr>
      <w:r>
        <w:t/>
      </w:r>
    </w:p>
    <w:p>
      <w:pPr>
        <w:pStyle w:val="Normal"/>
      </w:pPr>
      <w:r>
        <w:t>And then restart the rsyslog daemon:</w:t>
      </w:r>
    </w:p>
    <w:p>
      <w:pPr>
        <w:pStyle w:val="Normal"/>
      </w:pPr>
      <w:r>
        <w:t>sudo systemctl restart syslog.service</w:t>
      </w:r>
    </w:p>
    <w:p>
      <w:pPr>
        <w:pStyle w:val="Para 05"/>
      </w:pPr>
      <w:r>
        <w:rPr>
          <w:rStyle w:val="Text5"/>
        </w:rPr>
        <w:t>319</w:t>
      </w:r>
      <w:r>
        <w:rPr>
          <w:rStyle w:val="Text8"/>
        </w:rPr>
        <w:t xml:space="preserve"> </w:t>
      </w:r>
      <w:r>
        <w:t>https://manpages.ubuntu.com/manpages/resolute/man5/slapd-config.5.html</w:t>
      </w:r>
    </w:p>
    <w:p>
      <w:bookmarkStart w:id="547" w:name="calibre_pb_82"/>
      <w:pPr>
        <w:pStyle w:val="0 Block"/>
      </w:pPr>
      <w:bookmarkEnd w:id="547"/>
    </w:p>
    <w:p>
      <w:bookmarkStart w:id="548" w:name="Top_of_index_split_083_html"/>
      <w:bookmarkStart w:id="549" w:name="page_38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0" name="index-383_1.png" descr="index-383_1.png"/>
            <wp:cNvGraphicFramePr>
              <a:graphicFrameLocks noChangeAspect="1"/>
            </wp:cNvGraphicFramePr>
            <a:graphic>
              <a:graphicData uri="http://schemas.openxmlformats.org/drawingml/2006/picture">
                <pic:pic>
                  <pic:nvPicPr>
                    <pic:cNvPr id="0" name="index-383_1.png" descr="index-383_1.png"/>
                    <pic:cNvPicPr/>
                  </pic:nvPicPr>
                  <pic:blipFill>
                    <a:blip r:embed="rId394"/>
                    <a:stretch>
                      <a:fillRect/>
                    </a:stretch>
                  </pic:blipFill>
                  <pic:spPr>
                    <a:xfrm>
                      <a:off x="0" y="0"/>
                      <a:ext cx="914400" cy="266700"/>
                    </a:xfrm>
                    <a:prstGeom prst="rect">
                      <a:avLst/>
                    </a:prstGeom>
                  </pic:spPr>
                </pic:pic>
              </a:graphicData>
            </a:graphic>
          </wp:anchor>
        </w:drawing>
      </w:r>
      <w:bookmarkEnd w:id="548"/>
      <w:bookmarkEnd w:id="549"/>
    </w:p>
    <w:p>
      <w:pPr>
        <w:pStyle w:val="Para 01"/>
      </w:pPr>
      <w:r>
        <w:t>Next steps</w:t>
      </w:r>
    </w:p>
    <w:p>
      <w:pPr>
        <w:pStyle w:val="Para 17"/>
      </w:pPr>
      <w:r>
        <w:t/>
      </w:r>
    </w:p>
    <w:p>
      <w:pPr>
        <w:pStyle w:val="Normal"/>
      </w:pPr>
      <w:r>
        <w:t xml:space="preserve">Now that you have successfully installed LDAP, you may want to </w:t>
      </w:r>
      <w:hyperlink w:anchor="page_393">
        <w:r>
          <w:rPr>
            <w:rStyle w:val="Text2"/>
          </w:rPr>
          <w:t>set up users and groups</w:t>
        </w:r>
      </w:hyperlink>
    </w:p>
    <w:p>
      <w:pPr>
        <w:pStyle w:val="Normal"/>
      </w:pPr>
      <w:r>
        <w:t xml:space="preserve">(page 392), or find out more </w:t>
      </w:r>
      <w:hyperlink w:anchor="page_383">
        <w:r>
          <w:rPr>
            <w:rStyle w:val="Text2"/>
          </w:rPr>
          <w:t>about access control</w:t>
        </w:r>
      </w:hyperlink>
      <w:r>
        <w:t xml:space="preserve"> (page 382).</w:t>
      </w:r>
    </w:p>
    <w:p>
      <w:pPr>
        <w:pStyle w:val="Para 17"/>
      </w:pPr>
      <w:r>
        <w:t/>
      </w:r>
    </w:p>
    <w:p>
      <w:pPr>
        <w:pStyle w:val="Para 01"/>
      </w:pPr>
      <w:r>
        <w:t>Set up LDAP access control</w:t>
      </w:r>
    </w:p>
    <w:p>
      <w:pPr>
        <w:pStyle w:val="Para 17"/>
      </w:pPr>
      <w:r>
        <w:t/>
      </w:r>
    </w:p>
    <w:p>
      <w:pPr>
        <w:pStyle w:val="Normal"/>
      </w:pPr>
      <w:r>
        <w:t xml:space="preserve">The management of what type of access (read, write, etc) users should be granted for re-sources is known as </w:t>
      </w:r>
      <w:r>
        <w:rPr>
          <w:rStyle w:val="Text0"/>
        </w:rPr>
        <w:t>access control</w:t>
      </w:r>
      <w:r>
        <w:t xml:space="preserve">. The configuration directives involved are called </w:t>
      </w:r>
      <w:r>
        <w:rPr>
          <w:rStyle w:val="Text0"/>
        </w:rPr>
        <w:t>access</w:t>
      </w:r>
    </w:p>
    <w:p>
      <w:pPr>
        <w:pStyle w:val="Para 01"/>
      </w:pPr>
      <w:r>
        <w:t>control lists</w:t>
      </w:r>
      <w:r>
        <w:rPr>
          <w:rStyle w:val="Text0"/>
        </w:rPr>
        <w:t xml:space="preserve"> or </w:t>
      </w:r>
      <w:hyperlink w:anchor="page_668">
        <w:r>
          <w:rPr>
            <w:rStyle w:val="Text16"/>
          </w:rPr>
          <w:t>ACL</w:t>
        </w:r>
      </w:hyperlink>
      <w:r>
        <w:rPr>
          <w:rStyle w:val="Text0"/>
        </w:rPr>
        <w:t>s.</w:t>
      </w:r>
    </w:p>
    <w:p>
      <w:pPr>
        <w:pStyle w:val="Normal"/>
      </w:pPr>
      <w:r>
        <w:t xml:space="preserve">When we </w:t>
      </w:r>
      <w:hyperlink w:anchor="page_372">
        <w:r>
          <w:rPr>
            <w:rStyle w:val="Text2"/>
          </w:rPr>
          <w:t>installed the slapd package</w:t>
        </w:r>
      </w:hyperlink>
      <w:r>
        <w:t xml:space="preserve"> (page 371), various ACLs were set up automatically. We will look at a few important consequences of those defaults and, in so doing, we’ll get an idea of how ACLs work and how they’re configured.</w:t>
      </w:r>
    </w:p>
    <w:p>
      <w:pPr>
        <w:pStyle w:val="Normal"/>
      </w:pPr>
      <w:r>
        <w:t>To get the effective ACL for an LDAP query we need to look at the ACL entries of both the</w:t>
      </w:r>
    </w:p>
    <w:p>
      <w:pPr>
        <w:pStyle w:val="Normal"/>
      </w:pPr>
      <w:r>
        <w:t xml:space="preserve">database being queried, and those of the special </w:t>
      </w:r>
      <w:hyperlink w:anchor="page_683">
        <w:r>
          <w:rPr>
            <w:rStyle w:val="Text2"/>
          </w:rPr>
          <w:t>frontend</w:t>
        </w:r>
      </w:hyperlink>
      <w:r>
        <w:t xml:space="preserve"> database instance. Note that the ACLs belonging to the frontend database are always appended to the database-specific ACLs, and the first match ‘wins’.</w:t>
      </w:r>
    </w:p>
    <w:p>
      <w:pPr>
        <w:pStyle w:val="Para 17"/>
      </w:pPr>
      <w:r>
        <w:t/>
      </w:r>
    </w:p>
    <w:p>
      <w:pPr>
        <w:pStyle w:val="Para 01"/>
      </w:pPr>
      <w:r>
        <w:t>Getting the ACLs</w:t>
      </w:r>
    </w:p>
    <w:p>
      <w:pPr>
        <w:pStyle w:val="Para 17"/>
      </w:pPr>
      <w:r>
        <w:t/>
      </w:r>
    </w:p>
    <w:p>
      <w:pPr>
        <w:pStyle w:val="Normal"/>
      </w:pPr>
      <w:r>
        <w:t>The following commands will give, respectively, the ACLs of the mdb database (dc=example, dc=com) and those of the frontend database:</w:t>
      </w:r>
    </w:p>
    <w:p>
      <w:pPr>
        <w:pStyle w:val="Normal"/>
      </w:pPr>
      <w:r>
        <w:t>$ sudo ldapsearch -Q -LLL -Y EXTERNAL -H ldapi:/// -b</w:t>
        <w:t xml:space="preserve"> </w:t>
      </w:r>
      <w:r>
        <w:rPr>
          <w:rStyle w:val="Text0"/>
        </w:rPr>
        <w:t>\</w:t>
      </w:r>
      <w:r>
        <w:t xml:space="preserve"> </w:t>
        <w:t>cn</w:t>
        <w:t>=</w:t>
        <w:t>config</w:t>
        <w:t xml:space="preserve"> </w:t>
        <w:t>'(olcDatabase={1}mdb)'</w:t>
        <w:t xml:space="preserve"> </w:t>
        <w:t>olcAccess</w:t>
      </w:r>
    </w:p>
    <w:p>
      <w:pPr>
        <w:pStyle w:val="Normal"/>
      </w:pPr>
      <w:r>
        <w:t>dn:</w:t>
        <w:t xml:space="preserve"> </w:t>
        <w:t>olcDatabase</w:t>
        <w:t>={</w:t>
        <w:t>1</w:t>
        <w:t>}</w:t>
        <w:t>mdb,cn</w:t>
        <w:t>=</w:t>
        <w:t>config</w:t>
      </w:r>
    </w:p>
    <w:p>
      <w:pPr>
        <w:pStyle w:val="Normal"/>
      </w:pPr>
      <w:r>
        <w:t>olcAccess:</w:t>
        <w:t xml:space="preserve"> </w:t>
        <w:t>{</w:t>
        <w:t>0</w:t>
        <w:t>}</w:t>
        <w:t>to</w:t>
        <w:t xml:space="preserve"> </w:t>
        <w:t>attrs</w:t>
        <w:t>=</w:t>
        <w:t>userPassword by self write by anonymous auth by * none</w:t>
        <w:t xml:space="preserve"> </w:t>
        <w:t>olcAccess:</w:t>
        <w:t xml:space="preserve"> </w:t>
        <w:t>{</w:t>
        <w:t>1</w:t>
        <w:t>}</w:t>
        <w:t>to</w:t>
        <w:t xml:space="preserve"> </w:t>
        <w:t>attrs</w:t>
        <w:t>=</w:t>
        <w:t>shadowLastChange by self write by *</w:t>
        <w:t xml:space="preserve"> </w:t>
        <w:t>read</w:t>
        <w:t xml:space="preserve"> </w:t>
        <w:t>olcAccess:</w:t>
        <w:t xml:space="preserve"> </w:t>
        <w:t>{</w:t>
        <w:t>2</w:t>
        <w:t>}</w:t>
        <w:t>to * by *</w:t>
        <w:t xml:space="preserve"> </w:t>
        <w:t>read</w:t>
      </w:r>
    </w:p>
    <w:p>
      <w:pPr>
        <w:pStyle w:val="Normal"/>
      </w:pPr>
      <w:r>
        <w:t>$ sudo ldapsearch -Q -LLL -Y EXTERNAL -H ldapi:/// -b</w:t>
        <w:t xml:space="preserve"> </w:t>
      </w:r>
      <w:r>
        <w:rPr>
          <w:rStyle w:val="Text0"/>
        </w:rPr>
        <w:t>\</w:t>
      </w:r>
      <w:r>
        <w:t xml:space="preserve"> </w:t>
        <w:t>cn</w:t>
        <w:t>=</w:t>
        <w:t>config</w:t>
        <w:t xml:space="preserve"> </w:t>
        <w:t>'(olcDatabase={-1}frontend)'</w:t>
        <w:t xml:space="preserve"> </w:t>
        <w:t>olcAccess</w:t>
      </w:r>
    </w:p>
    <w:p>
      <w:pPr>
        <w:pStyle w:val="Normal"/>
      </w:pPr>
      <w:r>
        <w:t>dn:</w:t>
        <w:t xml:space="preserve"> </w:t>
        <w:t>olcDatabase</w:t>
        <w:t>={</w:t>
        <w:t>-1</w:t>
        <w:t>}</w:t>
        <w:t>frontend,cn</w:t>
        <w:t>=</w:t>
        <w:t>config</w:t>
      </w:r>
    </w:p>
    <w:p>
      <w:pPr>
        <w:pStyle w:val="Normal"/>
      </w:pPr>
      <w:r>
        <w:t>olcAccess:</w:t>
        <w:t xml:space="preserve"> </w:t>
        <w:t>{</w:t>
        <w:t>0</w:t>
        <w:t>}</w:t>
        <w:t>to * by dn.exact</w:t>
        <w:t>=</w:t>
        <w:t>gidNumber</w:t>
        <w:t>=</w:t>
        <w:t>0</w:t>
        <w:t>+uidNumber</w:t>
        <w:t>=</w:t>
        <w:t>0</w:t>
        <w:t>,cn</w:t>
        <w:t>=</w:t>
        <w:t>peercred,cn</w:t>
        <w:t>=</w:t>
        <w:t>external</w:t>
      </w:r>
    </w:p>
    <w:p>
      <w:pPr>
        <w:pStyle w:val="Normal"/>
      </w:pPr>
      <w:r>
        <w:t>,cn</w:t>
        <w:t>=</w:t>
        <w:t>auth manage by *</w:t>
        <w:t xml:space="preserve"> </w:t>
      </w:r>
      <w:r>
        <w:rPr>
          <w:rStyle w:val="Text0"/>
        </w:rPr>
        <w:t>break</w:t>
      </w:r>
    </w:p>
    <w:p>
      <w:pPr>
        <w:pStyle w:val="Normal"/>
      </w:pPr>
      <w:r>
        <w:t>olcAccess:</w:t>
        <w:t xml:space="preserve"> </w:t>
        <w:t>{</w:t>
        <w:t>1</w:t>
        <w:t>}</w:t>
        <w:t>to dn.exact</w:t>
        <w:t>=</w:t>
        <w:t>""</w:t>
        <w:t xml:space="preserve"> </w:t>
        <w:t>by *</w:t>
        <w:t xml:space="preserve"> </w:t>
        <w:t>read</w:t>
      </w:r>
    </w:p>
    <w:p>
      <w:pPr>
        <w:pStyle w:val="Normal"/>
      </w:pPr>
      <w:r>
        <w:t>olcAccess:</w:t>
        <w:t xml:space="preserve"> </w:t>
        <w:t>{</w:t>
        <w:t>2</w:t>
        <w:t>}</w:t>
        <w:t>to dn.base</w:t>
        <w:t>=</w:t>
        <w:t>"cn=Subschema"</w:t>
        <w:t xml:space="preserve"> </w:t>
        <w:t>by *</w:t>
        <w:t xml:space="preserve"> </w:t>
        <w:t>read</w:t>
      </w:r>
    </w:p>
    <w:p>
      <w:pPr>
        <w:pStyle w:val="Para 17"/>
      </w:pPr>
      <w:r>
        <w:t/>
      </w:r>
    </w:p>
    <w:p>
      <w:pPr>
        <w:pStyle w:val="Para 08"/>
      </w:pPr>
      <w:r>
        <w:t>Note:</w:t>
      </w:r>
    </w:p>
    <w:p>
      <w:pPr>
        <w:pStyle w:val="Para 03"/>
      </w:pPr>
      <w:r>
        <w:t xml:space="preserve">The Root </w:t>
      </w:r>
      <w:hyperlink w:anchor="page_679">
        <w:r>
          <w:rPr>
            <w:rStyle w:val="Text2"/>
          </w:rPr>
          <w:t>DN</w:t>
        </w:r>
      </w:hyperlink>
      <w:r>
        <w:t xml:space="preserve"> always has full rights to its database and does not need to be included in any</w:t>
      </w:r>
    </w:p>
    <w:p>
      <w:pPr>
        <w:pStyle w:val="Para 03"/>
      </w:pPr>
      <w:r>
        <w:t>ACL.</w:t>
      </w:r>
    </w:p>
    <w:p>
      <w:bookmarkStart w:id="550" w:name="calibre_pb_83"/>
      <w:pPr>
        <w:pStyle w:val="0 Block"/>
      </w:pPr>
      <w:bookmarkEnd w:id="550"/>
    </w:p>
    <w:p>
      <w:bookmarkStart w:id="551" w:name="Top_of_index_split_084_html"/>
      <w:bookmarkStart w:id="552" w:name="page_38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1" name="index-384_1.png" descr="index-384_1.png"/>
            <wp:cNvGraphicFramePr>
              <a:graphicFrameLocks noChangeAspect="1"/>
            </wp:cNvGraphicFramePr>
            <a:graphic>
              <a:graphicData uri="http://schemas.openxmlformats.org/drawingml/2006/picture">
                <pic:pic>
                  <pic:nvPicPr>
                    <pic:cNvPr id="0" name="index-384_1.png" descr="index-384_1.png"/>
                    <pic:cNvPicPr/>
                  </pic:nvPicPr>
                  <pic:blipFill>
                    <a:blip r:embed="rId395"/>
                    <a:stretch>
                      <a:fillRect/>
                    </a:stretch>
                  </pic:blipFill>
                  <pic:spPr>
                    <a:xfrm>
                      <a:off x="0" y="0"/>
                      <a:ext cx="914400" cy="266700"/>
                    </a:xfrm>
                    <a:prstGeom prst="rect">
                      <a:avLst/>
                    </a:prstGeom>
                  </pic:spPr>
                </pic:pic>
              </a:graphicData>
            </a:graphic>
          </wp:anchor>
        </w:drawing>
      </w:r>
      <w:bookmarkEnd w:id="551"/>
      <w:bookmarkEnd w:id="552"/>
    </w:p>
    <w:p>
      <w:pPr>
        <w:pStyle w:val="Para 01"/>
      </w:pPr>
      <w:r>
        <w:t>Interpreting the results</w:t>
      </w:r>
    </w:p>
    <w:p>
      <w:pPr>
        <w:pStyle w:val="Para 17"/>
      </w:pPr>
      <w:r>
        <w:t/>
      </w:r>
    </w:p>
    <w:p>
      <w:pPr>
        <w:pStyle w:val="Normal"/>
      </w:pPr>
      <w:r>
        <w:t>The first two ACLs are crucial:</w:t>
      </w:r>
    </w:p>
    <w:p>
      <w:pPr>
        <w:pStyle w:val="Normal"/>
      </w:pPr>
      <w:r>
        <w:t>olcAccess: {0}to attrs=userPassword by self write by anonymous auth by * none</w:t>
        <w:t xml:space="preserve"> </w:t>
        <w:t>olcAccess: {1}to attrs=shadowLastChange by self write by * read</w:t>
      </w:r>
    </w:p>
    <w:p>
      <w:pPr>
        <w:pStyle w:val="Para 17"/>
      </w:pPr>
      <w:r>
        <w:t/>
      </w:r>
    </w:p>
    <w:p>
      <w:pPr>
        <w:pStyle w:val="Normal"/>
      </w:pPr>
      <w:r>
        <w:t>This can be represented differently for easier reading:</w:t>
      </w:r>
    </w:p>
    <w:p>
      <w:pPr>
        <w:pStyle w:val="Normal"/>
      </w:pPr>
      <w:r>
        <w:t>to attrs=userPassword</w:t>
      </w:r>
    </w:p>
    <w:p>
      <w:pPr>
        <w:pStyle w:val="Para 02"/>
      </w:pPr>
      <w:r>
        <w:t>by self write</w:t>
      </w:r>
    </w:p>
    <w:p>
      <w:pPr>
        <w:pStyle w:val="Para 02"/>
      </w:pPr>
      <w:r>
        <w:t>by anonymous auth</w:t>
      </w:r>
    </w:p>
    <w:p>
      <w:pPr>
        <w:pStyle w:val="Para 02"/>
      </w:pPr>
      <w:r>
        <w:t>by * none</w:t>
      </w:r>
    </w:p>
    <w:p>
      <w:pPr>
        <w:pStyle w:val="Normal"/>
      </w:pPr>
      <w:r>
        <w:t>to attrs=shadowLastChange</w:t>
      </w:r>
    </w:p>
    <w:p>
      <w:pPr>
        <w:pStyle w:val="Para 02"/>
      </w:pPr>
      <w:r>
        <w:t>by self write</w:t>
      </w:r>
    </w:p>
    <w:p>
      <w:pPr>
        <w:pStyle w:val="Para 02"/>
      </w:pPr>
      <w:r>
        <w:t>by * read</w:t>
      </w:r>
    </w:p>
    <w:p>
      <w:pPr>
        <w:pStyle w:val="Para 17"/>
      </w:pPr>
      <w:r>
        <w:t/>
      </w:r>
    </w:p>
    <w:p>
      <w:pPr>
        <w:pStyle w:val="Normal"/>
      </w:pPr>
      <w:r>
        <w:t>These ACLs enforce the following:</w:t>
      </w:r>
    </w:p>
    <w:p>
      <w:pPr>
        <w:pStyle w:val="Para 04"/>
      </w:pPr>
      <w:r>
        <w:t xml:space="preserve">• Anonymous ‘auth’ access is provided to the </w:t>
      </w:r>
      <w:r>
        <w:rPr>
          <w:rStyle w:val="Text0"/>
        </w:rPr>
        <w:t>userPassword</w:t>
      </w:r>
      <w:r>
        <w:t xml:space="preserve"> attribute so that users can</w:t>
      </w:r>
    </w:p>
    <w:p>
      <w:pPr>
        <w:pStyle w:val="Para 02"/>
      </w:pPr>
      <w:r>
        <w:t xml:space="preserve">authenticate, or </w:t>
      </w:r>
      <w:r>
        <w:rPr>
          <w:rStyle w:val="Text0"/>
        </w:rPr>
        <w:t>bind</w:t>
      </w:r>
      <w:r>
        <w:t>. Perhaps counter-intuitively, ‘by anonymous auth’ is needed even</w:t>
      </w:r>
    </w:p>
    <w:p>
      <w:pPr>
        <w:pStyle w:val="Para 02"/>
      </w:pPr>
      <w:r>
        <w:t xml:space="preserve">when anonymous access to the </w:t>
      </w:r>
      <w:hyperlink w:anchor="page_678">
        <w:r>
          <w:rPr>
            <w:rStyle w:val="Text2"/>
          </w:rPr>
          <w:t>DIT</w:t>
        </w:r>
      </w:hyperlink>
      <w:r>
        <w:t xml:space="preserve"> is unwanted, otherwise this would be a chicken-and-egg problem: before authentication, all users are anonymous.</w:t>
      </w:r>
    </w:p>
    <w:p>
      <w:pPr>
        <w:pStyle w:val="Para 04"/>
      </w:pPr>
      <w:r>
        <w:t xml:space="preserve">• The ‘by self write’ ACL grants write access to the </w:t>
      </w:r>
      <w:r>
        <w:rPr>
          <w:rStyle w:val="Text0"/>
        </w:rPr>
        <w:t>userPassword</w:t>
      </w:r>
      <w:r>
        <w:t xml:space="preserve"> attribute to users who</w:t>
      </w:r>
    </w:p>
    <w:p>
      <w:pPr>
        <w:pStyle w:val="Para 02"/>
      </w:pPr>
      <w:r>
        <w:t xml:space="preserve">authenticated as the DN where the attribute lives. In other words, users can update the </w:t>
      </w:r>
      <w:r>
        <w:rPr>
          <w:rStyle w:val="Text0"/>
        </w:rPr>
        <w:t>userPassword</w:t>
      </w:r>
      <w:r>
        <w:t xml:space="preserve"> attribute of their own entries.</w:t>
      </w:r>
    </w:p>
    <w:p>
      <w:pPr>
        <w:pStyle w:val="Para 04"/>
      </w:pPr>
      <w:r>
        <w:t xml:space="preserve">• The </w:t>
      </w:r>
      <w:r>
        <w:rPr>
          <w:rStyle w:val="Text0"/>
        </w:rPr>
        <w:t>userPassword</w:t>
      </w:r>
      <w:r>
        <w:t xml:space="preserve"> attribute is otherwise inaccessible by all other users, with the excep-</w:t>
      </w:r>
    </w:p>
    <w:p>
      <w:pPr>
        <w:pStyle w:val="Para 02"/>
      </w:pPr>
      <w:r>
        <w:t>tion of the Root DN, who always has access and doesn’t need to be mentioned explicitly.</w:t>
      </w:r>
    </w:p>
    <w:p>
      <w:pPr>
        <w:pStyle w:val="Para 04"/>
      </w:pPr>
      <w:r>
        <w:t>• In order for users to change their own password, using passwd or other utilities, the</w:t>
      </w:r>
    </w:p>
    <w:p>
      <w:pPr>
        <w:pStyle w:val="Para 02"/>
      </w:pPr>
      <w:r>
        <w:t xml:space="preserve">user’s own </w:t>
      </w:r>
      <w:r>
        <w:rPr>
          <w:rStyle w:val="Text0"/>
        </w:rPr>
        <w:t>shadowLastChange</w:t>
      </w:r>
      <w:r>
        <w:t xml:space="preserve"> attribute needs to be writable. All other directory users get to read this attribute’s contents.</w:t>
      </w:r>
    </w:p>
    <w:p>
      <w:pPr>
        <w:pStyle w:val="Normal"/>
      </w:pPr>
      <w:r>
        <w:t>This DIT can be searched anonymously because of to * by * read in this ACL, which grants read access to everything else, by anyone (including anonymous):</w:t>
      </w:r>
    </w:p>
    <w:p>
      <w:pPr>
        <w:pStyle w:val="Normal"/>
      </w:pPr>
      <w:r>
        <w:t>to *</w:t>
      </w:r>
    </w:p>
    <w:p>
      <w:pPr>
        <w:pStyle w:val="Para 02"/>
      </w:pPr>
      <w:r>
        <w:t>by * read</w:t>
      </w:r>
    </w:p>
    <w:p>
      <w:pPr>
        <w:pStyle w:val="Para 17"/>
      </w:pPr>
      <w:r>
        <w:t/>
      </w:r>
    </w:p>
    <w:p>
      <w:pPr>
        <w:pStyle w:val="Normal"/>
      </w:pPr>
      <w:r>
        <w:t>If this is unwanted then you need to change the ACL. To force authentication during a bind request you can alternatively (or in combination with the modified ACL) use the olcRequire: authc directive.</w:t>
      </w:r>
    </w:p>
    <w:p>
      <w:bookmarkStart w:id="553" w:name="calibre_pb_84"/>
      <w:pPr>
        <w:pStyle w:val="0 Block"/>
      </w:pPr>
      <w:bookmarkEnd w:id="553"/>
    </w:p>
    <w:p>
      <w:bookmarkStart w:id="554" w:name="page_385"/>
      <w:bookmarkStart w:id="555" w:name="Top_of_index_split_08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2" name="index-385_1.png" descr="index-385_1.png"/>
            <wp:cNvGraphicFramePr>
              <a:graphicFrameLocks noChangeAspect="1"/>
            </wp:cNvGraphicFramePr>
            <a:graphic>
              <a:graphicData uri="http://schemas.openxmlformats.org/drawingml/2006/picture">
                <pic:pic>
                  <pic:nvPicPr>
                    <pic:cNvPr id="0" name="index-385_1.png" descr="index-385_1.png"/>
                    <pic:cNvPicPr/>
                  </pic:nvPicPr>
                  <pic:blipFill>
                    <a:blip r:embed="rId396"/>
                    <a:stretch>
                      <a:fillRect/>
                    </a:stretch>
                  </pic:blipFill>
                  <pic:spPr>
                    <a:xfrm>
                      <a:off x="0" y="0"/>
                      <a:ext cx="914400" cy="266700"/>
                    </a:xfrm>
                    <a:prstGeom prst="rect">
                      <a:avLst/>
                    </a:prstGeom>
                  </pic:spPr>
                </pic:pic>
              </a:graphicData>
            </a:graphic>
          </wp:anchor>
        </w:drawing>
      </w:r>
      <w:bookmarkEnd w:id="554"/>
      <w:bookmarkEnd w:id="555"/>
    </w:p>
    <w:p>
      <w:pPr>
        <w:pStyle w:val="Para 01"/>
      </w:pPr>
      <w:r>
        <w:t>SASL identity</w:t>
      </w:r>
    </w:p>
    <w:p>
      <w:pPr>
        <w:pStyle w:val="Para 17"/>
      </w:pPr>
      <w:r>
        <w:t/>
      </w:r>
    </w:p>
    <w:p>
      <w:pPr>
        <w:pStyle w:val="Normal"/>
      </w:pPr>
      <w:r>
        <w:t>There is no administrative account (“Root DN”) created for the slapd-config database. There is, however, a SASL identity that is granted full access to it. It represents the localhost’s su-peruser (root/sudo). Here it is:</w:t>
      </w:r>
    </w:p>
    <w:p>
      <w:pPr>
        <w:pStyle w:val="Normal"/>
      </w:pPr>
      <w:r>
        <w:t>dn.exact=gidNumber=0+uidNumber=0,cn=peercred,cn=external,cn=auth</w:t>
      </w:r>
    </w:p>
    <w:p>
      <w:pPr>
        <w:pStyle w:val="Para 17"/>
      </w:pPr>
      <w:r>
        <w:t/>
      </w:r>
    </w:p>
    <w:p>
      <w:pPr>
        <w:pStyle w:val="Normal"/>
      </w:pPr>
      <w:r>
        <w:t>The following command will display the ACLs of the slapd-config database:</w:t>
      </w:r>
    </w:p>
    <w:p>
      <w:pPr>
        <w:pStyle w:val="Normal"/>
      </w:pPr>
      <w:r>
        <w:t>$ sudo ldapsearch -Q -LLL -Y EXTERNAL -H ldapi:/// -b</w:t>
        <w:t xml:space="preserve"> </w:t>
      </w:r>
      <w:r>
        <w:rPr>
          <w:rStyle w:val="Text0"/>
        </w:rPr>
        <w:t>\</w:t>
      </w:r>
      <w:r>
        <w:t xml:space="preserve"> </w:t>
        <w:t>cn</w:t>
        <w:t>=</w:t>
        <w:t>config</w:t>
        <w:t xml:space="preserve"> </w:t>
        <w:t>'(olcDatabase={0}config)'</w:t>
        <w:t xml:space="preserve"> </w:t>
        <w:t>olcAccess</w:t>
      </w:r>
    </w:p>
    <w:p>
      <w:pPr>
        <w:pStyle w:val="Normal"/>
      </w:pPr>
      <w:r>
        <w:t>dn:</w:t>
        <w:t xml:space="preserve"> </w:t>
        <w:t>olcDatabase</w:t>
        <w:t>={</w:t>
        <w:t>0</w:t>
        <w:t>}</w:t>
        <w:t>config,cn</w:t>
        <w:t>=</w:t>
        <w:t>config</w:t>
      </w:r>
    </w:p>
    <w:p>
      <w:pPr>
        <w:pStyle w:val="Normal"/>
      </w:pPr>
      <w:r>
        <w:t>olcAccess:</w:t>
        <w:t xml:space="preserve"> </w:t>
        <w:t>{</w:t>
        <w:t>0</w:t>
        <w:t>}</w:t>
        <w:t>to * by dn.exact</w:t>
        <w:t>=</w:t>
        <w:t>gidNumber</w:t>
        <w:t>=</w:t>
        <w:t>0</w:t>
        <w:t>+uidNumber</w:t>
        <w:t>=</w:t>
        <w:t>0</w:t>
        <w:t>,cn</w:t>
        <w:t>=</w:t>
        <w:t>peercred,</w:t>
      </w:r>
    </w:p>
    <w:p>
      <w:pPr>
        <w:pStyle w:val="Para 12"/>
      </w:pPr>
      <w:r>
        <w:t>cn</w:t>
        <w:t>=</w:t>
        <w:t>external,cn</w:t>
        <w:t>=</w:t>
        <w:t>auth manage by *</w:t>
        <w:t xml:space="preserve"> </w:t>
      </w:r>
      <w:r>
        <w:rPr>
          <w:rStyle w:val="Text0"/>
        </w:rPr>
        <w:t>break</w:t>
      </w:r>
    </w:p>
    <w:p>
      <w:pPr>
        <w:pStyle w:val="Para 17"/>
      </w:pPr>
      <w:r>
        <w:t/>
      </w:r>
    </w:p>
    <w:p>
      <w:pPr>
        <w:pStyle w:val="Normal"/>
      </w:pPr>
      <w:r>
        <w:t xml:space="preserve">Since this is a SASL identity we need to use a SASL </w:t>
      </w:r>
      <w:r>
        <w:rPr>
          <w:rStyle w:val="Text0"/>
        </w:rPr>
        <w:t>mechanism</w:t>
      </w:r>
      <w:r>
        <w:t xml:space="preserve"> when invoking the LDAP utility in question – the </w:t>
      </w:r>
      <w:r>
        <w:rPr>
          <w:rStyle w:val="Text0"/>
        </w:rPr>
        <w:t>EXTERNAL</w:t>
      </w:r>
      <w:r>
        <w:t xml:space="preserve"> mechanism (see the previous command for an example). Note that:</w:t>
      </w:r>
    </w:p>
    <w:p>
      <w:pPr>
        <w:pStyle w:val="Para 04"/>
      </w:pPr>
      <w:r>
        <w:t>• You must use sudo to become the root identity in order for the ACL to match.</w:t>
      </w:r>
    </w:p>
    <w:p>
      <w:pPr>
        <w:pStyle w:val="Para 04"/>
      </w:pPr>
      <w:r>
        <w:t xml:space="preserve">• The EXTERNAL mechanism works via </w:t>
      </w:r>
      <w:r>
        <w:rPr>
          <w:rStyle w:val="Text0"/>
        </w:rPr>
        <w:t>Inter-process Communication</w:t>
      </w:r>
      <w:r>
        <w:t xml:space="preserve"> (IPC, UNIX domain</w:t>
      </w:r>
    </w:p>
    <w:p>
      <w:pPr>
        <w:pStyle w:val="Para 02"/>
      </w:pPr>
      <w:r>
        <w:t>sockets). This means you must use the ldapi URI format.</w:t>
      </w:r>
    </w:p>
    <w:p>
      <w:pPr>
        <w:pStyle w:val="Normal"/>
      </w:pPr>
      <w:r>
        <w:t>A succinct way to get all the ACLs is like this:</w:t>
      </w:r>
    </w:p>
    <w:p>
      <w:pPr>
        <w:pStyle w:val="Normal"/>
      </w:pPr>
      <w:r>
        <w:t>$ sudo ldapsearch -Q -LLL -Y EXTERNAL -H ldapi:/// -b</w:t>
        <w:t xml:space="preserve"> </w:t>
      </w:r>
      <w:r>
        <w:rPr>
          <w:rStyle w:val="Text0"/>
        </w:rPr>
        <w:t>\</w:t>
      </w:r>
      <w:r>
        <w:t xml:space="preserve"> </w:t>
        <w:t>cn</w:t>
        <w:t>=</w:t>
        <w:t>config</w:t>
        <w:t xml:space="preserve"> </w:t>
        <w:t>'(olcAccess=*)'</w:t>
        <w:t xml:space="preserve"> </w:t>
        <w:t>olcAccess olcSuffix</w:t>
      </w:r>
    </w:p>
    <w:p>
      <w:pPr>
        <w:pStyle w:val="Para 17"/>
      </w:pPr>
      <w:r>
        <w:t/>
      </w:r>
    </w:p>
    <w:p>
      <w:pPr>
        <w:pStyle w:val="Para 01"/>
      </w:pPr>
      <w:r>
        <w:t>Next steps</w:t>
      </w:r>
    </w:p>
    <w:p>
      <w:pPr>
        <w:pStyle w:val="Para 17"/>
      </w:pPr>
      <w:r>
        <w:t/>
      </w:r>
    </w:p>
    <w:p>
      <w:pPr>
        <w:pStyle w:val="Para 20"/>
      </w:pPr>
      <w:r>
        <w:rPr>
          <w:rStyle w:val="Text4"/>
        </w:rPr>
        <w:t xml:space="preserve">See how to </w:t>
      </w:r>
      <w:hyperlink w:anchor="page_393">
        <w:r>
          <w:t>set up LDAP users and groups</w:t>
        </w:r>
      </w:hyperlink>
      <w:r>
        <w:rPr>
          <w:rStyle w:val="Text4"/>
        </w:rPr>
        <w:t xml:space="preserve"> (page 392).</w:t>
      </w:r>
    </w:p>
    <w:p>
      <w:pPr>
        <w:pStyle w:val="Para 17"/>
      </w:pPr>
      <w:r>
        <w:t/>
      </w:r>
    </w:p>
    <w:p>
      <w:pPr>
        <w:pStyle w:val="Para 01"/>
      </w:pPr>
      <w:r>
        <w:t>Further reading</w:t>
      </w:r>
    </w:p>
    <w:p>
      <w:pPr>
        <w:pStyle w:val="Para 17"/>
      </w:pPr>
      <w:r>
        <w:t/>
      </w:r>
    </w:p>
    <w:p>
      <w:pPr>
        <w:pStyle w:val="Para 04"/>
      </w:pPr>
      <w:r>
        <w:t xml:space="preserve">• See the manual page for </w:t>
      </w:r>
      <w:hyperlink w:anchor="page_385">
        <w:r>
          <w:rPr>
            <w:rStyle w:val="Text9"/>
          </w:rPr>
          <w:t>320</w:t>
        </w:r>
      </w:hyperlink>
      <w:r>
        <w:t xml:space="preserve"> </w:t>
      </w:r>
      <w:hyperlink r:id="rId1296">
        <w:r>
          <w:rPr>
            <w:rStyle w:val="Text2"/>
          </w:rPr>
          <w:t>slapd.access(5)</w:t>
        </w:r>
      </w:hyperlink>
    </w:p>
    <w:p>
      <w:pPr>
        <w:pStyle w:val="Para 04"/>
      </w:pPr>
      <w:r>
        <w:t xml:space="preserve">• The </w:t>
      </w:r>
      <w:hyperlink w:anchor="page_385">
        <w:r>
          <w:rPr>
            <w:rStyle w:val="Text9"/>
          </w:rPr>
          <w:t>321</w:t>
        </w:r>
      </w:hyperlink>
      <w:r>
        <w:t xml:space="preserve"> </w:t>
      </w:r>
      <w:hyperlink r:id="rId1297">
        <w:r>
          <w:rPr>
            <w:rStyle w:val="Text1"/>
          </w:rPr>
          <w:t>access control topic</w:t>
        </w:r>
      </w:hyperlink>
      <w:r>
        <w:t xml:space="preserve"> in the OpenLDAP administrator’s guide.</w:t>
      </w:r>
    </w:p>
    <w:p>
      <w:pPr>
        <w:pStyle w:val="Para 05"/>
      </w:pPr>
      <w:r>
        <w:rPr>
          <w:rStyle w:val="Text5"/>
        </w:rPr>
        <w:t>320</w:t>
      </w:r>
      <w:r>
        <w:rPr>
          <w:rStyle w:val="Text8"/>
        </w:rPr>
        <w:t xml:space="preserve"> </w:t>
      </w:r>
      <w:r>
        <w:t>https://manpages.ubuntu.com/manpages/resolute/man5/slapd.access.5.html</w:t>
      </w:r>
    </w:p>
    <w:p>
      <w:pPr>
        <w:pStyle w:val="Para 05"/>
      </w:pPr>
      <w:r>
        <w:rPr>
          <w:rStyle w:val="Text5"/>
        </w:rPr>
        <w:t>321</w:t>
      </w:r>
      <w:r>
        <w:rPr>
          <w:rStyle w:val="Text8"/>
        </w:rPr>
        <w:t xml:space="preserve"> </w:t>
      </w:r>
      <w:r>
        <w:t>https://openldap.org/doc/admin25/guide.html#Access%20Control</w:t>
      </w:r>
    </w:p>
    <w:p>
      <w:bookmarkStart w:id="556" w:name="calibre_pb_85"/>
      <w:pPr>
        <w:pStyle w:val="0 Block"/>
      </w:pPr>
      <w:bookmarkEnd w:id="556"/>
    </w:p>
    <w:p>
      <w:bookmarkStart w:id="557" w:name="Top_of_index_split_086_html"/>
      <w:bookmarkStart w:id="558" w:name="page_3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3" name="index-386_1.png" descr="index-386_1.png"/>
            <wp:cNvGraphicFramePr>
              <a:graphicFrameLocks noChangeAspect="1"/>
            </wp:cNvGraphicFramePr>
            <a:graphic>
              <a:graphicData uri="http://schemas.openxmlformats.org/drawingml/2006/picture">
                <pic:pic>
                  <pic:nvPicPr>
                    <pic:cNvPr id="0" name="index-386_1.png" descr="index-386_1.png"/>
                    <pic:cNvPicPr/>
                  </pic:nvPicPr>
                  <pic:blipFill>
                    <a:blip r:embed="rId397"/>
                    <a:stretch>
                      <a:fillRect/>
                    </a:stretch>
                  </pic:blipFill>
                  <pic:spPr>
                    <a:xfrm>
                      <a:off x="0" y="0"/>
                      <a:ext cx="914400" cy="266700"/>
                    </a:xfrm>
                    <a:prstGeom prst="rect">
                      <a:avLst/>
                    </a:prstGeom>
                  </pic:spPr>
                </pic:pic>
              </a:graphicData>
            </a:graphic>
          </wp:anchor>
        </w:drawing>
      </w:r>
      <w:bookmarkEnd w:id="557"/>
      <w:bookmarkEnd w:id="558"/>
    </w:p>
    <w:p>
      <w:pPr>
        <w:pStyle w:val="Para 01"/>
      </w:pPr>
      <w:r>
        <w:t>OpenLDAP replication</w:t>
      </w:r>
    </w:p>
    <w:p>
      <w:pPr>
        <w:pStyle w:val="Para 17"/>
      </w:pPr>
      <w:r>
        <w:t/>
      </w:r>
    </w:p>
    <w:p>
      <w:pPr>
        <w:pStyle w:val="Normal"/>
      </w:pPr>
      <w:r>
        <w:t>The LDAP service becomes increasingly important as more networked systems begin to de-</w:t>
      </w:r>
    </w:p>
    <w:p>
      <w:pPr>
        <w:pStyle w:val="Normal"/>
      </w:pPr>
      <w:r>
        <w:t>pend on it. In such an environment, it is standard practice to build redundancy (</w:t>
      </w:r>
      <w:hyperlink w:anchor="page_688">
        <w:r>
          <w:rPr>
            <w:rStyle w:val="Text2"/>
          </w:rPr>
          <w:t>high avail-</w:t>
        </w:r>
      </w:hyperlink>
    </w:p>
    <w:p>
      <w:pPr>
        <w:pStyle w:val="Normal"/>
      </w:pPr>
      <w:hyperlink w:anchor="page_688">
        <w:r>
          <w:rPr>
            <w:rStyle w:val="Text2"/>
          </w:rPr>
          <w:t>ability</w:t>
        </w:r>
      </w:hyperlink>
      <w:r>
        <w:t xml:space="preserve">) into LDAP to prevent disruption should the LDAP server become unresponsive. This is done through </w:t>
      </w:r>
      <w:r>
        <w:rPr>
          <w:rStyle w:val="Text0"/>
        </w:rPr>
        <w:t>LDAP replication</w:t>
      </w:r>
      <w:r>
        <w:t>.</w:t>
      </w:r>
    </w:p>
    <w:p>
      <w:pPr>
        <w:pStyle w:val="Normal"/>
      </w:pPr>
      <w:r>
        <w:t xml:space="preserve">Replication is achieved via the Sync replication engine, </w:t>
      </w:r>
      <w:r>
        <w:rPr>
          <w:rStyle w:val="Text0"/>
        </w:rPr>
        <w:t>syncrepl</w:t>
      </w:r>
      <w:r>
        <w:t xml:space="preserve">. This allows changes to be synchronized using a </w:t>
      </w:r>
      <w:r>
        <w:rPr>
          <w:rStyle w:val="Text3"/>
        </w:rPr>
        <w:t>Consumer - Provider</w:t>
      </w:r>
      <w:r>
        <w:t xml:space="preserve"> model. A detailed description of this replication</w:t>
      </w:r>
    </w:p>
    <w:p>
      <w:pPr>
        <w:pStyle w:val="Normal"/>
      </w:pPr>
      <w:r>
        <w:t xml:space="preserve">mechanism can be found in the </w:t>
      </w:r>
      <w:hyperlink w:anchor="page_386">
        <w:r>
          <w:rPr>
            <w:rStyle w:val="Text9"/>
          </w:rPr>
          <w:t>322</w:t>
        </w:r>
      </w:hyperlink>
      <w:r>
        <w:t xml:space="preserve"> </w:t>
      </w:r>
      <w:hyperlink r:id="rId1298">
        <w:r>
          <w:rPr>
            <w:rStyle w:val="Text1"/>
          </w:rPr>
          <w:t>OpenLDAP administrator’s guide</w:t>
        </w:r>
      </w:hyperlink>
      <w:r>
        <w:t xml:space="preserve"> and in its defining </w:t>
      </w:r>
      <w:hyperlink r:id="rId1299">
        <w:r>
          <w:rPr>
            <w:rStyle w:val="Text1"/>
          </w:rPr>
          <w:t>RFC</w:t>
        </w:r>
      </w:hyperlink>
    </w:p>
    <w:p>
      <w:pPr>
        <w:pStyle w:val="Para 18"/>
      </w:pPr>
      <w:hyperlink r:id="rId1299">
        <w:r>
          <w:t>4533</w:t>
        </w:r>
      </w:hyperlink>
      <w:hyperlink r:id="rId1299">
        <w:r>
          <w:rPr>
            <w:rStyle w:val="Text10"/>
          </w:rPr>
          <w:t>323</w:t>
        </w:r>
      </w:hyperlink>
      <w:r>
        <w:rPr>
          <w:rStyle w:val="Text7"/>
        </w:rPr>
        <w:t>.</w:t>
      </w:r>
    </w:p>
    <w:p>
      <w:pPr>
        <w:pStyle w:val="Normal"/>
      </w:pPr>
      <w:r>
        <w:t>There are two ways to use this replication:</w:t>
      </w:r>
    </w:p>
    <w:p>
      <w:pPr>
        <w:pStyle w:val="Para 04"/>
      </w:pPr>
      <w:r>
        <w:t xml:space="preserve">• </w:t>
      </w:r>
      <w:r>
        <w:rPr>
          <w:rStyle w:val="Text0"/>
        </w:rPr>
        <w:t>Standard replication</w:t>
      </w:r>
      <w:r>
        <w:t>: Changed entries are sent to the consumer in their entirety. For</w:t>
      </w:r>
    </w:p>
    <w:p>
      <w:pPr>
        <w:pStyle w:val="Para 02"/>
      </w:pPr>
      <w:r>
        <w:t>example, if the userPassword attribute of the uid=john,ou=people,dc=example,dc=com entry changed, then the whole entry is sent to the consumer.</w:t>
      </w:r>
    </w:p>
    <w:p>
      <w:pPr>
        <w:pStyle w:val="Para 04"/>
      </w:pPr>
      <w:r>
        <w:t xml:space="preserve">• </w:t>
      </w:r>
      <w:r>
        <w:rPr>
          <w:rStyle w:val="Text0"/>
        </w:rPr>
        <w:t>Delta replication</w:t>
      </w:r>
      <w:r>
        <w:t>: Only the actual change is sent, instead of the whole entry.</w:t>
      </w:r>
    </w:p>
    <w:p>
      <w:pPr>
        <w:pStyle w:val="Normal"/>
      </w:pPr>
      <w:r>
        <w:t>The delta replication sends less data over the network, but is more complex to set up. We will show both in this guide.</w:t>
      </w:r>
    </w:p>
    <w:p>
      <w:pPr>
        <w:pStyle w:val="Para 08"/>
      </w:pPr>
      <w:r>
        <w:t>Important:</w:t>
      </w:r>
    </w:p>
    <w:p>
      <w:pPr>
        <w:pStyle w:val="Para 17"/>
      </w:pPr>
      <w:r>
        <w:t/>
      </w:r>
    </w:p>
    <w:p>
      <w:pPr>
        <w:pStyle w:val="Para 03"/>
      </w:pPr>
      <w:r>
        <w:t xml:space="preserve">You </w:t>
      </w:r>
      <w:r>
        <w:rPr>
          <w:rStyle w:val="Text0"/>
        </w:rPr>
        <w:t>must</w:t>
      </w:r>
      <w:r>
        <w:t xml:space="preserve"> have Transport Layer Security (TLS) enabled already before proceeding with this</w:t>
      </w:r>
    </w:p>
    <w:p>
      <w:pPr>
        <w:pStyle w:val="Para 03"/>
      </w:pPr>
      <w:r>
        <w:t xml:space="preserve">guide. Please consult the </w:t>
      </w:r>
      <w:hyperlink w:anchor="page_397">
        <w:r>
          <w:rPr>
            <w:rStyle w:val="Text2"/>
          </w:rPr>
          <w:t>LDAP with TLS guide</w:t>
        </w:r>
      </w:hyperlink>
      <w:r>
        <w:t xml:space="preserve"> (page 396) for details of how to set this up.</w:t>
      </w:r>
    </w:p>
    <w:p>
      <w:pPr>
        <w:pStyle w:val="Para 17"/>
      </w:pPr>
      <w:r>
        <w:t/>
      </w:r>
    </w:p>
    <w:p>
      <w:pPr>
        <w:pStyle w:val="Para 01"/>
      </w:pPr>
      <w:r>
        <w:t>Provider configuration - replication user</w:t>
      </w:r>
    </w:p>
    <w:p>
      <w:pPr>
        <w:pStyle w:val="Para 17"/>
      </w:pPr>
      <w:r>
        <w:t/>
      </w:r>
    </w:p>
    <w:p>
      <w:pPr>
        <w:pStyle w:val="Normal"/>
      </w:pPr>
      <w:r>
        <w:t xml:space="preserve">Both replication strategies will need a replication user, as well as updates to the </w:t>
      </w:r>
      <w:hyperlink w:anchor="page_668">
        <w:r>
          <w:rPr>
            <w:rStyle w:val="Text2"/>
          </w:rPr>
          <w:t>ACL</w:t>
        </w:r>
      </w:hyperlink>
      <w:r>
        <w:t>s and limits regarding this user. To create the replication user, save the following contents to a file called replicator.ldif:</w:t>
      </w:r>
    </w:p>
    <w:p>
      <w:pPr>
        <w:pStyle w:val="Normal"/>
      </w:pPr>
      <w:r>
        <w:t>dn: cn=replicator,dc=example,dc=com</w:t>
      </w:r>
    </w:p>
    <w:p>
      <w:pPr>
        <w:pStyle w:val="Normal"/>
      </w:pPr>
      <w:r>
        <w:t>objectClass: simpleSecurityObject</w:t>
      </w:r>
    </w:p>
    <w:p>
      <w:pPr>
        <w:pStyle w:val="Normal"/>
      </w:pPr>
      <w:r>
        <w:t>objectClass: organizationalRole</w:t>
      </w:r>
    </w:p>
    <w:p>
      <w:pPr>
        <w:pStyle w:val="Normal"/>
      </w:pPr>
      <w:r>
        <w:t>cn: replicator</w:t>
      </w:r>
    </w:p>
    <w:p>
      <w:pPr>
        <w:pStyle w:val="Normal"/>
      </w:pPr>
      <w:r>
        <w:t>description: Replication user</w:t>
      </w:r>
    </w:p>
    <w:p>
      <w:pPr>
        <w:pStyle w:val="Normal"/>
      </w:pPr>
      <w:r>
        <w:t>userPassword: {CRYPT}x</w:t>
      </w:r>
    </w:p>
    <w:p>
      <w:pPr>
        <w:pStyle w:val="Para 17"/>
      </w:pPr>
      <w:r>
        <w:t/>
      </w:r>
    </w:p>
    <w:p>
      <w:pPr>
        <w:pStyle w:val="Normal"/>
      </w:pPr>
      <w:r>
        <w:t>Then add it with ldapadd:</w:t>
      </w:r>
    </w:p>
    <w:p>
      <w:pPr>
        <w:pStyle w:val="Normal"/>
      </w:pPr>
      <w:r>
        <w:t>$ ldapadd -x -ZZ -H ldap://ldap01.example.com -D</w:t>
        <w:t xml:space="preserve"> </w:t>
        <w:t>cn</w:t>
        <w:t>=</w:t>
        <w:t>admin,dc</w:t>
        <w:t>=</w:t>
        <w:t>example,dc</w:t>
        <w:t>=</w:t>
        <w:t>com -W -f</w:t>
        <w:t xml:space="preserve"> </w:t>
        <w:t>replicator.ldif</w:t>
      </w:r>
    </w:p>
    <w:p>
      <w:pPr>
        <w:pStyle w:val="Normal"/>
      </w:pPr>
      <w:r>
        <w:t>Enter LDAP Password:</w:t>
      </w:r>
    </w:p>
    <w:p>
      <w:pPr>
        <w:pStyle w:val="Normal"/>
      </w:pPr>
      <w:r>
        <w:t>adding new entry</w:t>
        <w:t xml:space="preserve"> </w:t>
        <w:t>"cn=replicator,dc=example,dc=com"</w:t>
      </w:r>
    </w:p>
    <w:p>
      <w:pPr>
        <w:pStyle w:val="Para 17"/>
      </w:pPr>
      <w:r>
        <w:t/>
      </w:r>
    </w:p>
    <w:p>
      <w:pPr>
        <w:pStyle w:val="Normal"/>
      </w:pPr>
      <w:r>
        <w:t>Now set a password for it with ldappasswd:</w:t>
      </w:r>
    </w:p>
    <w:p>
      <w:pPr>
        <w:pStyle w:val="Para 17"/>
      </w:pPr>
      <w:r>
        <w:t/>
      </w:r>
    </w:p>
    <w:p>
      <w:pPr>
        <w:pStyle w:val="Para 05"/>
      </w:pPr>
      <w:r>
        <w:rPr>
          <w:rStyle w:val="Text5"/>
        </w:rPr>
        <w:t>322</w:t>
      </w:r>
      <w:r>
        <w:rPr>
          <w:rStyle w:val="Text8"/>
        </w:rPr>
        <w:t xml:space="preserve"> </w:t>
      </w:r>
      <w:r>
        <w:t>https://openldap.org/doc/admin24/guide.html#LDAP%20Sync%20Replication</w:t>
      </w:r>
    </w:p>
    <w:p>
      <w:pPr>
        <w:pStyle w:val="Para 03"/>
      </w:pPr>
      <w:r>
        <w:rPr>
          <w:rStyle w:val="Text5"/>
        </w:rPr>
        <w:t>323</w:t>
      </w:r>
      <w:r>
        <w:t xml:space="preserve"> </w:t>
      </w:r>
      <w:r>
        <w:rPr>
          <w:rStyle w:val="Text6"/>
        </w:rPr>
        <w:t>https://www.rfc-editor.org/rfc/rfc4533.txt</w:t>
      </w:r>
      <w:r>
        <w:t xml:space="preserve"> </w:t>
        <w:t>$ ldappasswd -x -ZZ -H ldap://ldap01.example.com -D</w:t>
        <w:t xml:space="preserve"> </w:t>
        <w:t>cn</w:t>
        <w:t>=</w:t>
        <w:t>admin,dc</w:t>
        <w:t>=</w:t>
        <w:t>example,dc</w:t>
        <w:t>=</w:t>
        <w:t>com -W -S</w:t>
        <w:t xml:space="preserve"> </w:t>
        <w:t>cn</w:t>
        <w:t>=</w:t>
        <w:t>replicator,dc</w:t>
        <w:t>=</w:t>
        <w:t>example,dc</w:t>
        <w:t>=</w:t>
        <w:t>com</w:t>
      </w:r>
    </w:p>
    <w:p>
      <w:bookmarkStart w:id="559" w:name="page_3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4" name="index-387_1.png" descr="index-387_1.png"/>
            <wp:cNvGraphicFramePr>
              <a:graphicFrameLocks noChangeAspect="1"/>
            </wp:cNvGraphicFramePr>
            <a:graphic>
              <a:graphicData uri="http://schemas.openxmlformats.org/drawingml/2006/picture">
                <pic:pic>
                  <pic:nvPicPr>
                    <pic:cNvPr id="0" name="index-387_1.png" descr="index-387_1.png"/>
                    <pic:cNvPicPr/>
                  </pic:nvPicPr>
                  <pic:blipFill>
                    <a:blip r:embed="rId398"/>
                    <a:stretch>
                      <a:fillRect/>
                    </a:stretch>
                  </pic:blipFill>
                  <pic:spPr>
                    <a:xfrm>
                      <a:off x="0" y="0"/>
                      <a:ext cx="914400" cy="266700"/>
                    </a:xfrm>
                    <a:prstGeom prst="rect">
                      <a:avLst/>
                    </a:prstGeom>
                  </pic:spPr>
                </pic:pic>
              </a:graphicData>
            </a:graphic>
          </wp:anchor>
        </w:drawing>
      </w:r>
      <w:bookmarkEnd w:id="559"/>
    </w:p>
    <w:p>
      <w:pPr>
        <w:pStyle w:val="Normal"/>
      </w:pPr>
      <w:r>
        <w:t>New password:</w:t>
      </w:r>
    </w:p>
    <w:p>
      <w:pPr>
        <w:pStyle w:val="Normal"/>
      </w:pPr>
      <w:r>
        <w:t>Re-enter new password:</w:t>
      </w:r>
    </w:p>
    <w:p>
      <w:pPr>
        <w:pStyle w:val="Normal"/>
      </w:pPr>
      <w:r>
        <w:t>Enter LDAP Password:</w:t>
      </w:r>
    </w:p>
    <w:p>
      <w:pPr>
        <w:pStyle w:val="Para 17"/>
      </w:pPr>
      <w:r>
        <w:t/>
      </w:r>
    </w:p>
    <w:p>
      <w:pPr>
        <w:pStyle w:val="Para 08"/>
      </w:pPr>
      <w:r>
        <w:t>Note:</w:t>
      </w:r>
    </w:p>
    <w:p>
      <w:pPr>
        <w:pStyle w:val="Para 03"/>
      </w:pPr>
      <w:r>
        <w:t>Please adjust the server URI in the-H parameter if needed to match your deployment.</w:t>
      </w:r>
    </w:p>
    <w:p>
      <w:pPr>
        <w:pStyle w:val="Para 17"/>
      </w:pPr>
      <w:r>
        <w:t/>
      </w:r>
    </w:p>
    <w:p>
      <w:pPr>
        <w:pStyle w:val="Normal"/>
      </w:pPr>
      <w:r>
        <w:t>The next step is to give this replication user the correct privileges, i.e.:</w:t>
      </w:r>
    </w:p>
    <w:p>
      <w:pPr>
        <w:pStyle w:val="Para 04"/>
      </w:pPr>
      <w:r>
        <w:t>• Read access to the content that we want replicated</w:t>
      </w:r>
    </w:p>
    <w:p>
      <w:pPr>
        <w:pStyle w:val="Para 04"/>
      </w:pPr>
      <w:r>
        <w:t>• No search limits on this content</w:t>
      </w:r>
    </w:p>
    <w:p>
      <w:pPr>
        <w:pStyle w:val="Normal"/>
      </w:pPr>
      <w:r>
        <w:t>For that we need to update the ACLs on the provider. Since ordering matters, first check what the existing ACLs look like on the dc=example,dc=com tree:</w:t>
      </w:r>
    </w:p>
    <w:p>
      <w:pPr>
        <w:pStyle w:val="Normal"/>
      </w:pPr>
      <w:r>
        <w:t>$ sudo ldapsearch -Q -Y EXTERNAL -H ldapi:/// -LLL -b</w:t>
        <w:t xml:space="preserve"> </w:t>
        <w:t>cn</w:t>
        <w:t>=</w:t>
        <w:t>config</w:t>
        <w:t xml:space="preserve"> </w:t>
        <w:t>'(olcSuffix=dc=example,</w:t>
        <w:t xml:space="preserve"> </w:t>
        <w:t>dc=com)'</w:t>
        <w:t xml:space="preserve"> </w:t>
        <w:t>olcAccess</w:t>
      </w:r>
    </w:p>
    <w:p>
      <w:pPr>
        <w:pStyle w:val="Normal"/>
      </w:pPr>
      <w:r>
        <w:t>dn:</w:t>
        <w:t xml:space="preserve"> </w:t>
        <w:t>olcDatabase</w:t>
        <w:t>={</w:t>
        <w:t>1</w:t>
        <w:t>}</w:t>
        <w:t>mdb,cn</w:t>
        <w:t>=</w:t>
        <w:t>config</w:t>
      </w:r>
    </w:p>
    <w:p>
      <w:pPr>
        <w:pStyle w:val="Normal"/>
      </w:pPr>
      <w:r>
        <w:t>olcAccess:</w:t>
        <w:t xml:space="preserve"> </w:t>
        <w:t>{</w:t>
        <w:t>0</w:t>
        <w:t>}</w:t>
        <w:t>to</w:t>
        <w:t xml:space="preserve"> </w:t>
        <w:t>attrs</w:t>
        <w:t>=</w:t>
        <w:t>userPassword by self write by anonymous auth by * none</w:t>
        <w:t xml:space="preserve"> </w:t>
        <w:t>olcAccess:</w:t>
        <w:t xml:space="preserve"> </w:t>
        <w:t>{</w:t>
        <w:t>1</w:t>
        <w:t>}</w:t>
        <w:t>to</w:t>
        <w:t xml:space="preserve"> </w:t>
        <w:t>attrs</w:t>
        <w:t>=</w:t>
        <w:t>shadowLastChange by self write by *</w:t>
        <w:t xml:space="preserve"> </w:t>
        <w:t>read</w:t>
        <w:t xml:space="preserve"> </w:t>
        <w:t>olcAccess:</w:t>
        <w:t xml:space="preserve"> </w:t>
        <w:t>{</w:t>
        <w:t>2</w:t>
        <w:t>}</w:t>
        <w:t>to * by *</w:t>
        <w:t xml:space="preserve"> </w:t>
        <w:t>read</w:t>
      </w:r>
    </w:p>
    <w:p>
      <w:pPr>
        <w:pStyle w:val="Para 17"/>
      </w:pPr>
      <w:r>
        <w:t/>
      </w:r>
    </w:p>
    <w:p>
      <w:pPr>
        <w:pStyle w:val="Normal"/>
      </w:pPr>
      <w:r>
        <w:t>What we need is to insert a new rule before the first one, and also adjust the limits for the replicator user. Prepare the replicator-acl-limits.ldif file with this content:</w:t>
      </w:r>
    </w:p>
    <w:p>
      <w:pPr>
        <w:pStyle w:val="Normal"/>
      </w:pPr>
      <w:r>
        <w:t>dn: olcDatabase={1}mdb,cn=config</w:t>
      </w:r>
    </w:p>
    <w:p>
      <w:pPr>
        <w:pStyle w:val="Normal"/>
      </w:pPr>
      <w:r>
        <w:t>changetype: modify</w:t>
      </w:r>
    </w:p>
    <w:p>
      <w:pPr>
        <w:pStyle w:val="Normal"/>
      </w:pPr>
      <w:r>
        <w:t>add: olcAccess</w:t>
      </w:r>
    </w:p>
    <w:p>
      <w:pPr>
        <w:pStyle w:val="Normal"/>
      </w:pPr>
      <w:r>
        <w:t>olcAccess: {0}to *</w:t>
      </w:r>
    </w:p>
    <w:p>
      <w:pPr>
        <w:pStyle w:val="Para 03"/>
      </w:pPr>
      <w:r>
        <w:t>by dn.exact="cn=replicator,dc=example,dc=com" read</w:t>
      </w:r>
    </w:p>
    <w:p>
      <w:pPr>
        <w:pStyle w:val="Para 03"/>
      </w:pPr>
      <w:r>
        <w:t>by * break</w:t>
      </w:r>
    </w:p>
    <w:p>
      <w:pPr>
        <w:pStyle w:val="Normal"/>
      </w:pPr>
      <w:r>
        <w:t>-</w:t>
      </w:r>
    </w:p>
    <w:p>
      <w:pPr>
        <w:pStyle w:val="Normal"/>
      </w:pPr>
      <w:r>
        <w:t>add: olcLimits</w:t>
      </w:r>
    </w:p>
    <w:p>
      <w:pPr>
        <w:pStyle w:val="Normal"/>
      </w:pPr>
      <w:r>
        <w:t>olcLimits: dn.exact="cn=replicator,dc=example,dc=com"</w:t>
      </w:r>
    </w:p>
    <w:p>
      <w:pPr>
        <w:pStyle w:val="Para 03"/>
      </w:pPr>
      <w:r>
        <w:t>time.soft=unlimited time.hard=unlimited</w:t>
      </w:r>
    </w:p>
    <w:p>
      <w:pPr>
        <w:pStyle w:val="Para 03"/>
      </w:pPr>
      <w:r>
        <w:t>size.soft=unlimited size.hard=unlimited</w:t>
      </w:r>
    </w:p>
    <w:p>
      <w:pPr>
        <w:pStyle w:val="Para 17"/>
      </w:pPr>
      <w:r>
        <w:t/>
      </w:r>
    </w:p>
    <w:p>
      <w:pPr>
        <w:pStyle w:val="Normal"/>
      </w:pPr>
      <w:r>
        <w:t>And add it to the server:</w:t>
      </w:r>
    </w:p>
    <w:p>
      <w:pPr>
        <w:pStyle w:val="Normal"/>
      </w:pPr>
      <w:r>
        <w:t>$ sudo ldapmodify -Q -Y EXTERNAL -H ldapi:/// -f replicator-acl-limits.ldif</w:t>
        <w:t xml:space="preserve"> </w:t>
        <w:t>modifying entry</w:t>
        <w:t xml:space="preserve"> </w:t>
        <w:t>"olcDatabase={1}mdb,cn=config"</w:t>
      </w:r>
    </w:p>
    <w:p>
      <w:bookmarkStart w:id="560" w:name="calibre_pb_86"/>
      <w:pPr>
        <w:pStyle w:val="0 Block"/>
      </w:pPr>
      <w:bookmarkEnd w:id="560"/>
    </w:p>
    <w:p>
      <w:bookmarkStart w:id="561" w:name="page_388"/>
      <w:bookmarkStart w:id="562" w:name="Top_of_index_split_08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5" name="index-388_1.png" descr="index-388_1.png"/>
            <wp:cNvGraphicFramePr>
              <a:graphicFrameLocks noChangeAspect="1"/>
            </wp:cNvGraphicFramePr>
            <a:graphic>
              <a:graphicData uri="http://schemas.openxmlformats.org/drawingml/2006/picture">
                <pic:pic>
                  <pic:nvPicPr>
                    <pic:cNvPr id="0" name="index-388_1.png" descr="index-388_1.png"/>
                    <pic:cNvPicPr/>
                  </pic:nvPicPr>
                  <pic:blipFill>
                    <a:blip r:embed="rId399"/>
                    <a:stretch>
                      <a:fillRect/>
                    </a:stretch>
                  </pic:blipFill>
                  <pic:spPr>
                    <a:xfrm>
                      <a:off x="0" y="0"/>
                      <a:ext cx="914400" cy="266700"/>
                    </a:xfrm>
                    <a:prstGeom prst="rect">
                      <a:avLst/>
                    </a:prstGeom>
                  </pic:spPr>
                </pic:pic>
              </a:graphicData>
            </a:graphic>
          </wp:anchor>
        </w:drawing>
      </w:r>
      <w:bookmarkEnd w:id="561"/>
      <w:bookmarkEnd w:id="562"/>
    </w:p>
    <w:p>
      <w:pPr>
        <w:pStyle w:val="Para 01"/>
      </w:pPr>
      <w:r>
        <w:t>Provider configuration - standard replication</w:t>
      </w:r>
    </w:p>
    <w:p>
      <w:pPr>
        <w:pStyle w:val="Para 17"/>
      </w:pPr>
      <w:r>
        <w:t/>
      </w:r>
    </w:p>
    <w:p>
      <w:pPr>
        <w:pStyle w:val="Normal"/>
      </w:pPr>
      <w:r>
        <w:t>The remaining configuration for the provider using standard replication is to add the syncprov overlay on top of the dc=example,dc=com database.</w:t>
      </w:r>
    </w:p>
    <w:p>
      <w:pPr>
        <w:pStyle w:val="Normal"/>
      </w:pPr>
      <w:r>
        <w:t>Create a file called provider_simple_sync.ldif with this content:</w:t>
      </w:r>
    </w:p>
    <w:p>
      <w:pPr>
        <w:pStyle w:val="Normal"/>
      </w:pPr>
      <w:r>
        <w:t># Add indexes to the frontend db.</w:t>
      </w:r>
    </w:p>
    <w:p>
      <w:pPr>
        <w:pStyle w:val="Normal"/>
      </w:pPr>
      <w:r>
        <w:t>dn: olcDatabase={1}mdb,cn=config</w:t>
      </w:r>
    </w:p>
    <w:p>
      <w:pPr>
        <w:pStyle w:val="Normal"/>
      </w:pPr>
      <w:r>
        <w:t>changetype: modify</w:t>
      </w:r>
    </w:p>
    <w:p>
      <w:pPr>
        <w:pStyle w:val="Normal"/>
      </w:pPr>
      <w:r>
        <w:t>add: olcDbIndex</w:t>
      </w:r>
    </w:p>
    <w:p>
      <w:pPr>
        <w:pStyle w:val="Normal"/>
      </w:pPr>
      <w:r>
        <w:t>olcDbIndex: entryCSN eq</w:t>
      </w:r>
    </w:p>
    <w:p>
      <w:pPr>
        <w:pStyle w:val="Normal"/>
      </w:pPr>
      <w:r>
        <w:t>-</w:t>
      </w:r>
    </w:p>
    <w:p>
      <w:pPr>
        <w:pStyle w:val="Normal"/>
      </w:pPr>
      <w:r>
        <w:t>add: olcDbIndex</w:t>
      </w:r>
    </w:p>
    <w:p>
      <w:pPr>
        <w:pStyle w:val="Normal"/>
      </w:pPr>
      <w:r>
        <w:t>olcDbIndex: entryUUID eq</w:t>
      </w:r>
    </w:p>
    <w:p>
      <w:pPr>
        <w:pStyle w:val="Normal"/>
      </w:pPr>
      <w:r>
        <w:t>#Load the syncprov module.</w:t>
      </w:r>
    </w:p>
    <w:p>
      <w:pPr>
        <w:pStyle w:val="Normal"/>
      </w:pPr>
      <w:r>
        <w:t>dn: cn=module{0},cn=config</w:t>
      </w:r>
    </w:p>
    <w:p>
      <w:pPr>
        <w:pStyle w:val="Normal"/>
      </w:pPr>
      <w:r>
        <w:t>changetype: modify</w:t>
      </w:r>
    </w:p>
    <w:p>
      <w:pPr>
        <w:pStyle w:val="Normal"/>
      </w:pPr>
      <w:r>
        <w:t>add: olcModuleLoad</w:t>
      </w:r>
    </w:p>
    <w:p>
      <w:pPr>
        <w:pStyle w:val="Normal"/>
      </w:pPr>
      <w:r>
        <w:t>olcModuleLoad: syncprov</w:t>
      </w:r>
    </w:p>
    <w:p>
      <w:pPr>
        <w:pStyle w:val="Normal"/>
      </w:pPr>
      <w:r>
        <w:t># syncrepl Provider for primary db</w:t>
      </w:r>
    </w:p>
    <w:p>
      <w:pPr>
        <w:pStyle w:val="Normal"/>
      </w:pPr>
      <w:r>
        <w:t>dn: olcOverlay=syncprov,olcDatabase={1}mdb,cn=config</w:t>
      </w:r>
    </w:p>
    <w:p>
      <w:pPr>
        <w:pStyle w:val="Normal"/>
      </w:pPr>
      <w:r>
        <w:t>changetype: add</w:t>
      </w:r>
    </w:p>
    <w:p>
      <w:pPr>
        <w:pStyle w:val="Normal"/>
      </w:pPr>
      <w:r>
        <w:t>objectClass: olcOverlayConfig</w:t>
      </w:r>
    </w:p>
    <w:p>
      <w:pPr>
        <w:pStyle w:val="Normal"/>
      </w:pPr>
      <w:r>
        <w:t>objectClass: olcSyncProvConfig</w:t>
      </w:r>
    </w:p>
    <w:p>
      <w:pPr>
        <w:pStyle w:val="Normal"/>
      </w:pPr>
      <w:r>
        <w:t>olcOverlay: syncprov</w:t>
      </w:r>
    </w:p>
    <w:p>
      <w:pPr>
        <w:pStyle w:val="Normal"/>
      </w:pPr>
      <w:r>
        <w:t>olcSpCheckpoint: 100 10</w:t>
      </w:r>
    </w:p>
    <w:p>
      <w:pPr>
        <w:pStyle w:val="Normal"/>
      </w:pPr>
      <w:r>
        <w:t>olcSpSessionLog: 100</w:t>
      </w:r>
    </w:p>
    <w:p>
      <w:pPr>
        <w:pStyle w:val="Para 17"/>
      </w:pPr>
      <w:r>
        <w:t/>
      </w:r>
    </w:p>
    <w:p>
      <w:pPr>
        <w:pStyle w:val="Para 08"/>
      </w:pPr>
      <w:r>
        <w:t>Warning:</w:t>
      </w:r>
    </w:p>
    <w:p>
      <w:pPr>
        <w:pStyle w:val="Para 17"/>
      </w:pPr>
      <w:r>
        <w:t/>
      </w:r>
    </w:p>
    <w:p>
      <w:pPr>
        <w:pStyle w:val="Para 03"/>
      </w:pPr>
      <w:r>
        <w:t>The LDIF above has some parameters that you should review before deploying in produc-</w:t>
      </w:r>
    </w:p>
    <w:p>
      <w:pPr>
        <w:pStyle w:val="Para 03"/>
      </w:pPr>
      <w:r>
        <w:t>tion on your directory. In particular – olcSpCheckpoint and olcSpSessionLog. Please see</w:t>
      </w:r>
    </w:p>
    <w:p>
      <w:pPr>
        <w:pStyle w:val="Para 03"/>
      </w:pPr>
      <w:r>
        <w:t xml:space="preserve">the </w:t>
      </w:r>
      <w:hyperlink r:id="rId1300">
        <w:r>
          <w:rPr>
            <w:rStyle w:val="Text9"/>
          </w:rPr>
          <w:t>324</w:t>
        </w:r>
      </w:hyperlink>
      <w:hyperlink r:id="rId1300">
        <w:r>
          <w:rPr>
            <w:rStyle w:val="Text1"/>
          </w:rPr>
          <w:t xml:space="preserve"> </w:t>
        </w:r>
      </w:hyperlink>
      <w:hyperlink r:id="rId1300">
        <w:r>
          <w:rPr>
            <w:rStyle w:val="Text2"/>
          </w:rPr>
          <w:t>slapo-syncprov(5)</w:t>
        </w:r>
      </w:hyperlink>
      <w:r>
        <w:t xml:space="preserve"> manual page. In general, olcSpSessionLog should be equal to</w:t>
      </w:r>
    </w:p>
    <w:p>
      <w:pPr>
        <w:pStyle w:val="Para 03"/>
      </w:pPr>
      <w:r>
        <w:t xml:space="preserve">(or preferably larger than) the number of entries in your directory. Also see </w:t>
      </w:r>
      <w:hyperlink w:anchor="page_388">
        <w:r>
          <w:rPr>
            <w:rStyle w:val="Text9"/>
          </w:rPr>
          <w:t>325</w:t>
        </w:r>
      </w:hyperlink>
      <w:r>
        <w:t xml:space="preserve"> </w:t>
      </w:r>
      <w:hyperlink r:id="rId1301">
        <w:r>
          <w:rPr>
            <w:rStyle w:val="Text1"/>
          </w:rPr>
          <w:t>ITS #8125</w:t>
        </w:r>
      </w:hyperlink>
    </w:p>
    <w:p>
      <w:pPr>
        <w:pStyle w:val="Para 03"/>
      </w:pPr>
      <w:r>
        <w:t>for details on an existing bug.</w:t>
      </w:r>
    </w:p>
    <w:p>
      <w:pPr>
        <w:pStyle w:val="Para 05"/>
      </w:pPr>
      <w:r>
        <w:rPr>
          <w:rStyle w:val="Text5"/>
        </w:rPr>
        <w:t>324</w:t>
      </w:r>
      <w:r>
        <w:rPr>
          <w:rStyle w:val="Text8"/>
        </w:rPr>
        <w:t xml:space="preserve"> </w:t>
      </w:r>
      <w:r>
        <w:t>https://manpages.ubuntu.com/manpages/resolute/man5/slapo-syncprov.5.html</w:t>
      </w:r>
    </w:p>
    <w:p>
      <w:pPr>
        <w:pStyle w:val="Para 05"/>
      </w:pPr>
      <w:r>
        <w:rPr>
          <w:rStyle w:val="Text5"/>
        </w:rPr>
        <w:t>325</w:t>
      </w:r>
      <w:r>
        <w:rPr>
          <w:rStyle w:val="Text8"/>
        </w:rPr>
        <w:t xml:space="preserve"> </w:t>
      </w:r>
      <w:r>
        <w:t>https://bugs.openldap.org/show_bug.cgi?id=8125</w:t>
      </w:r>
    </w:p>
    <w:p>
      <w:pPr>
        <w:pStyle w:val="Para 17"/>
      </w:pPr>
      <w:r>
        <w:t/>
      </w:r>
    </w:p>
    <w:p>
      <w:pPr>
        <w:pStyle w:val="Normal"/>
      </w:pPr>
      <w:r>
        <w:t>Add the new content:</w:t>
      </w:r>
    </w:p>
    <w:p>
      <w:pPr>
        <w:pStyle w:val="Normal"/>
      </w:pPr>
      <w:r>
        <w:t>sudo ldapadd -Q -Y EXTERNAL -H ldapi:/// -f provider_simple_sync.ldif</w:t>
      </w:r>
    </w:p>
    <w:p>
      <w:pPr>
        <w:pStyle w:val="Para 17"/>
      </w:pPr>
      <w:r>
        <w:t/>
      </w:r>
    </w:p>
    <w:p>
      <w:pPr>
        <w:pStyle w:val="Normal"/>
      </w:pPr>
      <w:r>
        <w:t>The Provider is now configured.</w:t>
      </w:r>
    </w:p>
    <w:p>
      <w:bookmarkStart w:id="563" w:name="calibre_pb_87"/>
      <w:pPr>
        <w:pStyle w:val="0 Block"/>
      </w:pPr>
      <w:bookmarkEnd w:id="563"/>
    </w:p>
    <w:p>
      <w:bookmarkStart w:id="564" w:name="page_389"/>
      <w:bookmarkStart w:id="565" w:name="Top_of_index_split_08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6" name="index-389_1.png" descr="index-389_1.png"/>
            <wp:cNvGraphicFramePr>
              <a:graphicFrameLocks noChangeAspect="1"/>
            </wp:cNvGraphicFramePr>
            <a:graphic>
              <a:graphicData uri="http://schemas.openxmlformats.org/drawingml/2006/picture">
                <pic:pic>
                  <pic:nvPicPr>
                    <pic:cNvPr id="0" name="index-389_1.png" descr="index-389_1.png"/>
                    <pic:cNvPicPr/>
                  </pic:nvPicPr>
                  <pic:blipFill>
                    <a:blip r:embed="rId400"/>
                    <a:stretch>
                      <a:fillRect/>
                    </a:stretch>
                  </pic:blipFill>
                  <pic:spPr>
                    <a:xfrm>
                      <a:off x="0" y="0"/>
                      <a:ext cx="914400" cy="266700"/>
                    </a:xfrm>
                    <a:prstGeom prst="rect">
                      <a:avLst/>
                    </a:prstGeom>
                  </pic:spPr>
                </pic:pic>
              </a:graphicData>
            </a:graphic>
          </wp:anchor>
        </w:drawing>
      </w:r>
      <w:bookmarkEnd w:id="564"/>
      <w:bookmarkEnd w:id="565"/>
    </w:p>
    <w:p>
      <w:pPr>
        <w:pStyle w:val="Para 01"/>
      </w:pPr>
      <w:r>
        <w:t>Consumer configuration - standard replication</w:t>
      </w:r>
    </w:p>
    <w:p>
      <w:pPr>
        <w:pStyle w:val="Para 17"/>
      </w:pPr>
      <w:r>
        <w:t/>
      </w:r>
    </w:p>
    <w:p>
      <w:pPr>
        <w:pStyle w:val="Normal"/>
      </w:pPr>
      <w:r>
        <w:t xml:space="preserve">Install the software by going through </w:t>
      </w:r>
      <w:hyperlink w:anchor="page_372">
        <w:r>
          <w:rPr>
            <w:rStyle w:val="Text2"/>
          </w:rPr>
          <w:t>the installation steps</w:t>
        </w:r>
      </w:hyperlink>
      <w:r>
        <w:t xml:space="preserve"> (page 371). Make sure schemas</w:t>
      </w:r>
    </w:p>
    <w:p>
      <w:pPr>
        <w:pStyle w:val="Normal"/>
      </w:pPr>
      <w:r>
        <w:t xml:space="preserve">and the database suffix are the same, and </w:t>
      </w:r>
      <w:hyperlink w:anchor="page_397">
        <w:r>
          <w:rPr>
            <w:rStyle w:val="Text2"/>
          </w:rPr>
          <w:t>enable TLS</w:t>
        </w:r>
      </w:hyperlink>
      <w:r>
        <w:t xml:space="preserve"> (page 396).</w:t>
      </w:r>
    </w:p>
    <w:p>
      <w:pPr>
        <w:pStyle w:val="Normal"/>
      </w:pPr>
      <w:r>
        <w:t>Create an LDIF file with the following contents and name it consumer_simple_sync.ldif:</w:t>
      </w:r>
    </w:p>
    <w:p>
      <w:pPr>
        <w:pStyle w:val="Normal"/>
      </w:pPr>
      <w:r>
        <w:t>dn: cn=module{0},cn=config</w:t>
      </w:r>
    </w:p>
    <w:p>
      <w:pPr>
        <w:pStyle w:val="Normal"/>
      </w:pPr>
      <w:r>
        <w:t>changetype: modify</w:t>
      </w:r>
    </w:p>
    <w:p>
      <w:pPr>
        <w:pStyle w:val="Normal"/>
      </w:pPr>
      <w:r>
        <w:t>add: olcModuleLoad</w:t>
      </w:r>
    </w:p>
    <w:p>
      <w:pPr>
        <w:pStyle w:val="Normal"/>
      </w:pPr>
      <w:r>
        <w:t>olcModuleLoad: syncprov</w:t>
      </w:r>
    </w:p>
    <w:p>
      <w:pPr>
        <w:pStyle w:val="Normal"/>
      </w:pPr>
      <w:r>
        <w:t>dn: olcDatabase={1}mdb,cn=config</w:t>
      </w:r>
    </w:p>
    <w:p>
      <w:pPr>
        <w:pStyle w:val="Normal"/>
      </w:pPr>
      <w:r>
        <w:t>changetype: modify</w:t>
      </w:r>
    </w:p>
    <w:p>
      <w:pPr>
        <w:pStyle w:val="Normal"/>
      </w:pPr>
      <w:r>
        <w:t>add: olcDbIndex</w:t>
      </w:r>
    </w:p>
    <w:p>
      <w:pPr>
        <w:pStyle w:val="Normal"/>
      </w:pPr>
      <w:r>
        <w:t>olcDbIndex: entryUUID eq</w:t>
      </w:r>
    </w:p>
    <w:p>
      <w:pPr>
        <w:pStyle w:val="Normal"/>
      </w:pPr>
      <w:r>
        <w:t>-</w:t>
      </w:r>
    </w:p>
    <w:p>
      <w:pPr>
        <w:pStyle w:val="Normal"/>
      </w:pPr>
      <w:r>
        <w:t>add: olcSyncrepl</w:t>
      </w:r>
    </w:p>
    <w:p>
      <w:pPr>
        <w:pStyle w:val="Normal"/>
      </w:pPr>
      <w:r>
        <w:t>olcSyncrepl: rid=0</w:t>
      </w:r>
    </w:p>
    <w:p>
      <w:pPr>
        <w:pStyle w:val="Para 03"/>
      </w:pPr>
      <w:r>
        <w:t>provider=ldap://ldap01.example.com</w:t>
      </w:r>
    </w:p>
    <w:p>
      <w:pPr>
        <w:pStyle w:val="Para 03"/>
      </w:pPr>
      <w:r>
        <w:t>bindmethod=simple</w:t>
      </w:r>
    </w:p>
    <w:p>
      <w:pPr>
        <w:pStyle w:val="Para 03"/>
      </w:pPr>
      <w:r>
        <w:t>binddn="cn=replicator,dc=example,dc=com" credentials=&lt;secret&gt;</w:t>
      </w:r>
    </w:p>
    <w:p>
      <w:pPr>
        <w:pStyle w:val="Para 03"/>
      </w:pPr>
      <w:r>
        <w:t>searchbase="dc=example,dc=com"</w:t>
      </w:r>
    </w:p>
    <w:p>
      <w:pPr>
        <w:pStyle w:val="Para 03"/>
      </w:pPr>
      <w:r>
        <w:t>schemachecking=on</w:t>
      </w:r>
    </w:p>
    <w:p>
      <w:pPr>
        <w:pStyle w:val="Para 03"/>
      </w:pPr>
      <w:r>
        <w:t>type=refreshAndPersist retry="60 +"</w:t>
      </w:r>
    </w:p>
    <w:p>
      <w:pPr>
        <w:pStyle w:val="Para 03"/>
      </w:pPr>
      <w:r>
        <w:t>starttls=critical tls_reqcert=demand</w:t>
      </w:r>
    </w:p>
    <w:p>
      <w:pPr>
        <w:pStyle w:val="Normal"/>
      </w:pPr>
      <w:r>
        <w:t>-</w:t>
      </w:r>
    </w:p>
    <w:p>
      <w:pPr>
        <w:pStyle w:val="Normal"/>
      </w:pPr>
      <w:r>
        <w:t>add: olcUpdateRef</w:t>
      </w:r>
    </w:p>
    <w:p>
      <w:pPr>
        <w:pStyle w:val="Normal"/>
      </w:pPr>
      <w:r>
        <w:t>olcUpdateRef: ldap://ldap01.example.com</w:t>
      </w:r>
    </w:p>
    <w:p>
      <w:pPr>
        <w:pStyle w:val="Para 17"/>
      </w:pPr>
      <w:r>
        <w:t/>
      </w:r>
    </w:p>
    <w:p>
      <w:pPr>
        <w:pStyle w:val="Normal"/>
      </w:pPr>
      <w:r>
        <w:t>Ensure the following attributes have the correct values:</w:t>
      </w:r>
    </w:p>
    <w:p>
      <w:pPr>
        <w:pStyle w:val="Para 04"/>
      </w:pPr>
      <w:r>
        <w:t xml:space="preserve">• </w:t>
      </w:r>
      <w:r>
        <w:rPr>
          <w:rStyle w:val="Text0"/>
        </w:rPr>
        <w:t>provider</w:t>
      </w:r>
      <w:r>
        <w:t xml:space="preserve">: Provider server’s </w:t>
      </w:r>
      <w:hyperlink w:anchor="page_688">
        <w:r>
          <w:rPr>
            <w:rStyle w:val="Text2"/>
          </w:rPr>
          <w:t>hostname</w:t>
        </w:r>
      </w:hyperlink>
      <w:r>
        <w:t xml:space="preserve"> – ldap01.example.com in this example – or IP ad-</w:t>
      </w:r>
    </w:p>
    <w:p>
      <w:pPr>
        <w:pStyle w:val="Para 02"/>
      </w:pPr>
      <w:r>
        <w:t>dress. It must match what is presented in the provider’s SSL certificate.</w:t>
      </w:r>
    </w:p>
    <w:p>
      <w:pPr>
        <w:pStyle w:val="Para 04"/>
      </w:pPr>
      <w:r>
        <w:t xml:space="preserve">• </w:t>
      </w:r>
      <w:r>
        <w:rPr>
          <w:rStyle w:val="Text0"/>
        </w:rPr>
        <w:t>binddn</w:t>
      </w:r>
      <w:r>
        <w:t xml:space="preserve">: The bind </w:t>
      </w:r>
      <w:hyperlink w:anchor="page_679">
        <w:r>
          <w:rPr>
            <w:rStyle w:val="Text2"/>
          </w:rPr>
          <w:t>DN</w:t>
        </w:r>
      </w:hyperlink>
      <w:r>
        <w:t xml:space="preserve"> for the replicator user.</w:t>
      </w:r>
    </w:p>
    <w:p>
      <w:pPr>
        <w:pStyle w:val="Para 04"/>
      </w:pPr>
      <w:r>
        <w:t xml:space="preserve">• </w:t>
      </w:r>
      <w:r>
        <w:rPr>
          <w:rStyle w:val="Text0"/>
        </w:rPr>
        <w:t>credentials</w:t>
      </w:r>
      <w:r>
        <w:t>: The password you selected for the replicator user.</w:t>
      </w:r>
    </w:p>
    <w:p>
      <w:pPr>
        <w:pStyle w:val="Para 04"/>
      </w:pPr>
      <w:r>
        <w:t xml:space="preserve">• </w:t>
      </w:r>
      <w:r>
        <w:rPr>
          <w:rStyle w:val="Text0"/>
        </w:rPr>
        <w:t>searchbase</w:t>
      </w:r>
      <w:r>
        <w:t>: The database suffix you’re using, i.e., content that is to be replicated.</w:t>
      </w:r>
    </w:p>
    <w:p>
      <w:pPr>
        <w:pStyle w:val="Para 04"/>
      </w:pPr>
      <w:r>
        <w:t xml:space="preserve">• </w:t>
      </w:r>
      <w:r>
        <w:rPr>
          <w:rStyle w:val="Text0"/>
        </w:rPr>
        <w:t>olcUpdateRef</w:t>
      </w:r>
      <w:r>
        <w:t>: Provider server’s hostname or IP address, given to clients if they try to</w:t>
      </w:r>
    </w:p>
    <w:p>
      <w:pPr>
        <w:pStyle w:val="Para 02"/>
      </w:pPr>
      <w:r>
        <w:t>write to this consumer.</w:t>
      </w:r>
    </w:p>
    <w:p>
      <w:pPr>
        <w:pStyle w:val="Para 04"/>
      </w:pPr>
      <w:r>
        <w:t xml:space="preserve">• </w:t>
      </w:r>
      <w:r>
        <w:rPr>
          <w:rStyle w:val="Text0"/>
        </w:rPr>
        <w:t>rid</w:t>
      </w:r>
      <w:r>
        <w:t>: Replica ID, a unique 3-digit ID that identifies the replica. Each consumer should</w:t>
      </w:r>
    </w:p>
    <w:p>
      <w:pPr>
        <w:pStyle w:val="Para 02"/>
      </w:pPr>
      <w:r>
        <w:t>have at least one rid.</w:t>
      </w:r>
    </w:p>
    <w:p>
      <w:pPr>
        <w:pStyle w:val="Para 08"/>
      </w:pPr>
      <w:r>
        <w:t>Note:</w:t>
      </w:r>
    </w:p>
    <w:p>
      <w:pPr>
        <w:pStyle w:val="Para 03"/>
      </w:pPr>
      <w:r>
        <w:t>A successful encrypted connection via START_TLS is being enforced in this configuration,</w:t>
      </w:r>
    </w:p>
    <w:p>
      <w:pPr>
        <w:pStyle w:val="Para 03"/>
      </w:pPr>
      <w:r>
        <w:t xml:space="preserve">to avoid sending the credentials in the clear across the network. See </w:t>
      </w:r>
      <w:hyperlink w:anchor="page_397">
        <w:r>
          <w:rPr>
            <w:rStyle w:val="Text2"/>
          </w:rPr>
          <w:t>LDAP with TLS</w:t>
        </w:r>
      </w:hyperlink>
    </w:p>
    <w:p>
      <w:pPr>
        <w:pStyle w:val="Para 03"/>
      </w:pPr>
      <w:r>
        <w:t>(page 396) for details on how to set up OpenLDAP with trusted SSL certificates.</w:t>
      </w:r>
    </w:p>
    <w:p>
      <w:pPr>
        <w:pStyle w:val="Para 17"/>
      </w:pPr>
      <w:r>
        <w:t/>
      </w:r>
    </w:p>
    <w:p>
      <w:pPr>
        <w:pStyle w:val="Normal"/>
      </w:pPr>
      <w:r>
        <w:t>Add the new configuration:</w:t>
      </w:r>
    </w:p>
    <w:p>
      <w:pPr>
        <w:pStyle w:val="Normal"/>
      </w:pPr>
      <w:r>
        <w:t>sudo ldapadd -Q -Y EXTERNAL -H ldapi:/// -f consumer_simple_sync.ldif</w:t>
      </w:r>
    </w:p>
    <w:p>
      <w:pPr>
        <w:pStyle w:val="Para 17"/>
      </w:pPr>
      <w:r>
        <w:t/>
      </w:r>
    </w:p>
    <w:p>
      <w:pPr>
        <w:pStyle w:val="Normal"/>
      </w:pPr>
      <w:r>
        <w:t xml:space="preserve">Now you’re done! The dc=example,dc=com tree should now be synchronising. </w:t>
      </w:r>
      <w:r>
        <w:rPr>
          <w:rStyle w:val="Text0"/>
        </w:rPr>
        <w:t>Provider configuration - delta replication</w:t>
      </w:r>
    </w:p>
    <w:p>
      <w:bookmarkStart w:id="566" w:name="page_3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7" name="index-390_1.png" descr="index-390_1.png"/>
            <wp:cNvGraphicFramePr>
              <a:graphicFrameLocks noChangeAspect="1"/>
            </wp:cNvGraphicFramePr>
            <a:graphic>
              <a:graphicData uri="http://schemas.openxmlformats.org/drawingml/2006/picture">
                <pic:pic>
                  <pic:nvPicPr>
                    <pic:cNvPr id="0" name="index-390_1.png" descr="index-390_1.png"/>
                    <pic:cNvPicPr/>
                  </pic:nvPicPr>
                  <pic:blipFill>
                    <a:blip r:embed="rId401"/>
                    <a:stretch>
                      <a:fillRect/>
                    </a:stretch>
                  </pic:blipFill>
                  <pic:spPr>
                    <a:xfrm>
                      <a:off x="0" y="0"/>
                      <a:ext cx="914400" cy="266700"/>
                    </a:xfrm>
                    <a:prstGeom prst="rect">
                      <a:avLst/>
                    </a:prstGeom>
                  </pic:spPr>
                </pic:pic>
              </a:graphicData>
            </a:graphic>
          </wp:anchor>
        </w:drawing>
      </w:r>
      <w:bookmarkEnd w:id="566"/>
    </w:p>
    <w:p>
      <w:pPr>
        <w:pStyle w:val="Para 17"/>
      </w:pPr>
      <w:r>
        <w:t/>
      </w:r>
    </w:p>
    <w:p>
      <w:pPr>
        <w:pStyle w:val="Normal"/>
      </w:pPr>
      <w:r>
        <w:t>The remaining provider configuration for delta replication is:</w:t>
      </w:r>
    </w:p>
    <w:p>
      <w:pPr>
        <w:pStyle w:val="Para 04"/>
      </w:pPr>
      <w:r>
        <w:t>• Create a new database called accesslog</w:t>
      </w:r>
    </w:p>
    <w:p>
      <w:pPr>
        <w:pStyle w:val="Para 04"/>
      </w:pPr>
      <w:r>
        <w:t>• Add the syncprov overlay on top of the accesslog and dc=example,dc=com databases</w:t>
      </w:r>
    </w:p>
    <w:p>
      <w:pPr>
        <w:pStyle w:val="Para 04"/>
      </w:pPr>
      <w:r>
        <w:t>• Add the accesslog overlay on top of the dc=example,dc=com database</w:t>
      </w:r>
    </w:p>
    <w:p>
      <w:pPr>
        <w:pStyle w:val="Para 17"/>
      </w:pPr>
      <w:r>
        <w:t/>
      </w:r>
    </w:p>
    <w:p>
      <w:pPr>
        <w:pStyle w:val="Para 01"/>
      </w:pPr>
      <w:r>
        <w:t>Add syncprov and accesslog overlays and DBs</w:t>
      </w:r>
    </w:p>
    <w:p>
      <w:pPr>
        <w:pStyle w:val="Para 17"/>
      </w:pPr>
      <w:r>
        <w:t/>
      </w:r>
    </w:p>
    <w:p>
      <w:pPr>
        <w:pStyle w:val="Normal"/>
      </w:pPr>
      <w:r>
        <w:t>Create an LDIF file with the following contents and name it provider_sync.ldif:</w:t>
      </w:r>
    </w:p>
    <w:p>
      <w:pPr>
        <w:pStyle w:val="Normal"/>
      </w:pPr>
      <w:r>
        <w:t># Add indexes to the frontend db.</w:t>
      </w:r>
    </w:p>
    <w:p>
      <w:pPr>
        <w:pStyle w:val="Normal"/>
      </w:pPr>
      <w:r>
        <w:t>dn: olcDatabase={1}mdb,cn=config</w:t>
      </w:r>
    </w:p>
    <w:p>
      <w:pPr>
        <w:pStyle w:val="Normal"/>
      </w:pPr>
      <w:r>
        <w:t>changetype: modify</w:t>
      </w:r>
    </w:p>
    <w:p>
      <w:pPr>
        <w:pStyle w:val="Normal"/>
      </w:pPr>
      <w:r>
        <w:t>add: olcDbIndex</w:t>
      </w:r>
    </w:p>
    <w:p>
      <w:pPr>
        <w:pStyle w:val="Normal"/>
      </w:pPr>
      <w:r>
        <w:t>olcDbIndex: entryCSN eq</w:t>
      </w:r>
    </w:p>
    <w:p>
      <w:pPr>
        <w:pStyle w:val="Normal"/>
      </w:pPr>
      <w:r>
        <w:t>-</w:t>
      </w:r>
    </w:p>
    <w:p>
      <w:pPr>
        <w:pStyle w:val="Normal"/>
      </w:pPr>
      <w:r>
        <w:t>add: olcDbIndex</w:t>
      </w:r>
    </w:p>
    <w:p>
      <w:pPr>
        <w:pStyle w:val="Normal"/>
      </w:pPr>
      <w:r>
        <w:t>olcDbIndex: entryUUID eq</w:t>
      </w:r>
    </w:p>
    <w:p>
      <w:pPr>
        <w:pStyle w:val="Normal"/>
      </w:pPr>
      <w:r>
        <w:t>#Load the syncprov and accesslog modules.</w:t>
      </w:r>
    </w:p>
    <w:p>
      <w:pPr>
        <w:pStyle w:val="Normal"/>
      </w:pPr>
      <w:r>
        <w:t>dn: cn=module{0},cn=config</w:t>
      </w:r>
    </w:p>
    <w:p>
      <w:pPr>
        <w:pStyle w:val="Normal"/>
      </w:pPr>
      <w:r>
        <w:t>changetype: modify</w:t>
      </w:r>
    </w:p>
    <w:p>
      <w:pPr>
        <w:pStyle w:val="Normal"/>
      </w:pPr>
      <w:r>
        <w:t>add: olcModuleLoad</w:t>
      </w:r>
    </w:p>
    <w:p>
      <w:pPr>
        <w:pStyle w:val="Normal"/>
      </w:pPr>
      <w:r>
        <w:t>olcModuleLoad: syncprov</w:t>
      </w:r>
    </w:p>
    <w:p>
      <w:pPr>
        <w:pStyle w:val="Normal"/>
      </w:pPr>
      <w:r>
        <w:t>-</w:t>
      </w:r>
    </w:p>
    <w:p>
      <w:pPr>
        <w:pStyle w:val="Normal"/>
      </w:pPr>
      <w:r>
        <w:t>add: olcModuleLoad</w:t>
      </w:r>
    </w:p>
    <w:p>
      <w:pPr>
        <w:pStyle w:val="Normal"/>
      </w:pPr>
      <w:r>
        <w:t>olcModuleLoad: accesslog</w:t>
      </w:r>
    </w:p>
    <w:p>
      <w:pPr>
        <w:pStyle w:val="Normal"/>
      </w:pPr>
      <w:r>
        <w:t># Accesslog database definitions</w:t>
      </w:r>
    </w:p>
    <w:p>
      <w:pPr>
        <w:pStyle w:val="Normal"/>
      </w:pPr>
      <w:r>
        <w:t>dn: olcDatabase={2}mdb,cn=config</w:t>
      </w:r>
    </w:p>
    <w:p>
      <w:pPr>
        <w:pStyle w:val="Normal"/>
      </w:pPr>
      <w:r>
        <w:t>objectClass: olcDatabaseConfig</w:t>
      </w:r>
    </w:p>
    <w:p>
      <w:pPr>
        <w:pStyle w:val="Normal"/>
      </w:pPr>
      <w:r>
        <w:t>objectClass: olcMdbConfig</w:t>
      </w:r>
    </w:p>
    <w:p>
      <w:pPr>
        <w:pStyle w:val="Normal"/>
      </w:pPr>
      <w:r>
        <w:t>olcDatabase: {2}mdb</w:t>
      </w:r>
    </w:p>
    <w:p>
      <w:pPr>
        <w:pStyle w:val="Normal"/>
      </w:pPr>
      <w:r>
        <w:t>olcDbDirectory: /var/lib/ldap/accesslog</w:t>
      </w:r>
    </w:p>
    <w:p>
      <w:pPr>
        <w:pStyle w:val="Normal"/>
      </w:pPr>
      <w:r>
        <w:t>olcSuffix: cn=accesslog</w:t>
      </w:r>
    </w:p>
    <w:p>
      <w:pPr>
        <w:pStyle w:val="Normal"/>
      </w:pPr>
      <w:r>
        <w:t>olcRootDN: cn=admin,dc=example,dc=com</w:t>
      </w:r>
    </w:p>
    <w:p>
      <w:pPr>
        <w:pStyle w:val="Normal"/>
      </w:pPr>
      <w:r>
        <w:t>olcDbIndex: default eq</w:t>
      </w:r>
    </w:p>
    <w:p>
      <w:pPr>
        <w:pStyle w:val="Normal"/>
      </w:pPr>
      <w:r>
        <w:t>olcDbIndex: entryCSN,objectClass,reqEnd,reqResult,reqStart</w:t>
        <w:t xml:space="preserve"> </w:t>
        <w:t>olcAccess: {0}to * by dn.exact="cn=replicator,dc=example,dc=com" read by * break</w:t>
        <w:t xml:space="preserve"> </w:t>
        <w:t>olcLimits: dn.exact="cn=replicator,dc=example,dc=com"</w:t>
      </w:r>
    </w:p>
    <w:p>
      <w:pPr>
        <w:pStyle w:val="Para 03"/>
      </w:pPr>
      <w:r>
        <w:t>time.soft=unlimited time.hard=unlimited</w:t>
      </w:r>
    </w:p>
    <w:p>
      <w:pPr>
        <w:pStyle w:val="Para 03"/>
      </w:pPr>
      <w:r>
        <w:t>size.soft=unlimited size.hard=unlimited</w:t>
      </w:r>
    </w:p>
    <w:p>
      <w:pPr>
        <w:pStyle w:val="Normal"/>
      </w:pPr>
      <w:r>
        <w:t># Accesslog db syncprov.</w:t>
      </w:r>
    </w:p>
    <w:p>
      <w:pPr>
        <w:pStyle w:val="Normal"/>
      </w:pPr>
      <w:r>
        <w:t>dn: olcOverlay=syncprov,olcDatabase={2}mdb,cn=config</w:t>
      </w:r>
    </w:p>
    <w:p>
      <w:pPr>
        <w:pStyle w:val="Normal"/>
      </w:pPr>
      <w:r>
        <w:t>changetype: add</w:t>
      </w:r>
    </w:p>
    <w:p>
      <w:pPr>
        <w:pStyle w:val="Normal"/>
      </w:pPr>
      <w:r>
        <w:t>objectClass: olcOverlayConfig</w:t>
      </w:r>
    </w:p>
    <w:p>
      <w:pPr>
        <w:pStyle w:val="Normal"/>
      </w:pPr>
      <w:r>
        <w:t>objectClass: olcSyncProvConfig</w:t>
      </w:r>
    </w:p>
    <w:p>
      <w:pPr>
        <w:pStyle w:val="Normal"/>
      </w:pPr>
      <w:r>
        <w:t>olcOverlay: syncprov</w:t>
      </w:r>
    </w:p>
    <w:p>
      <w:pPr>
        <w:pStyle w:val="Normal"/>
      </w:pPr>
      <w:r>
        <w:t>olcSpNoPresent: TRUE</w:t>
      </w:r>
    </w:p>
    <w:p>
      <w:pPr>
        <w:pStyle w:val="Normal"/>
      </w:pPr>
      <w:r>
        <w:t>olcSpReloadHint: TRUE</w:t>
      </w:r>
    </w:p>
    <w:p>
      <w:pPr>
        <w:pStyle w:val="Para 09"/>
      </w:pPr>
      <w:r>
        <w:t>(continues on next page)</w:t>
      </w:r>
    </w:p>
    <w:p>
      <w:bookmarkStart w:id="567" w:name="page_3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8" name="index-391_1.png" descr="index-391_1.png"/>
            <wp:cNvGraphicFramePr>
              <a:graphicFrameLocks noChangeAspect="1"/>
            </wp:cNvGraphicFramePr>
            <a:graphic>
              <a:graphicData uri="http://schemas.openxmlformats.org/drawingml/2006/picture">
                <pic:pic>
                  <pic:nvPicPr>
                    <pic:cNvPr id="0" name="index-391_1.png" descr="index-391_1.png"/>
                    <pic:cNvPicPr/>
                  </pic:nvPicPr>
                  <pic:blipFill>
                    <a:blip r:embed="rId402"/>
                    <a:stretch>
                      <a:fillRect/>
                    </a:stretch>
                  </pic:blipFill>
                  <pic:spPr>
                    <a:xfrm>
                      <a:off x="0" y="0"/>
                      <a:ext cx="914400" cy="266700"/>
                    </a:xfrm>
                    <a:prstGeom prst="rect">
                      <a:avLst/>
                    </a:prstGeom>
                  </pic:spPr>
                </pic:pic>
              </a:graphicData>
            </a:graphic>
          </wp:anchor>
        </w:drawing>
      </w:r>
      <w:bookmarkEnd w:id="567"/>
    </w:p>
    <w:p>
      <w:pPr>
        <w:pStyle w:val="Para 09"/>
      </w:pPr>
      <w:r>
        <w:t>(continued from previous page)</w:t>
      </w:r>
    </w:p>
    <w:p>
      <w:pPr>
        <w:pStyle w:val="Normal"/>
      </w:pPr>
      <w:r>
        <w:t># syncrepl Provider for primary db</w:t>
      </w:r>
    </w:p>
    <w:p>
      <w:pPr>
        <w:pStyle w:val="Normal"/>
      </w:pPr>
      <w:r>
        <w:t>dn: olcOverlay=syncprov,olcDatabase={1}mdb,cn=config</w:t>
      </w:r>
    </w:p>
    <w:p>
      <w:pPr>
        <w:pStyle w:val="Normal"/>
      </w:pPr>
      <w:r>
        <w:t>changetype: add</w:t>
      </w:r>
    </w:p>
    <w:p>
      <w:pPr>
        <w:pStyle w:val="Normal"/>
      </w:pPr>
      <w:r>
        <w:t>objectClass: olcOverlayConfig</w:t>
      </w:r>
    </w:p>
    <w:p>
      <w:pPr>
        <w:pStyle w:val="Normal"/>
      </w:pPr>
      <w:r>
        <w:t>objectClass: olcSyncProvConfig</w:t>
      </w:r>
    </w:p>
    <w:p>
      <w:pPr>
        <w:pStyle w:val="Normal"/>
      </w:pPr>
      <w:r>
        <w:t>olcOverlay: syncprov</w:t>
      </w:r>
    </w:p>
    <w:p>
      <w:pPr>
        <w:pStyle w:val="Normal"/>
      </w:pPr>
      <w:r>
        <w:t>olcSpCheckpoint: 100 10</w:t>
      </w:r>
    </w:p>
    <w:p>
      <w:pPr>
        <w:pStyle w:val="Normal"/>
      </w:pPr>
      <w:r>
        <w:t>olcSpSessionLog: 100</w:t>
      </w:r>
    </w:p>
    <w:p>
      <w:pPr>
        <w:pStyle w:val="Normal"/>
      </w:pPr>
      <w:r>
        <w:t># accesslog overlay definitions for primary db</w:t>
      </w:r>
    </w:p>
    <w:p>
      <w:pPr>
        <w:pStyle w:val="Normal"/>
      </w:pPr>
      <w:r>
        <w:t>dn: olcOverlay=accesslog,olcDatabase={1}mdb,cn=config</w:t>
      </w:r>
    </w:p>
    <w:p>
      <w:pPr>
        <w:pStyle w:val="Normal"/>
      </w:pPr>
      <w:r>
        <w:t>objectClass: olcOverlayConfig</w:t>
      </w:r>
    </w:p>
    <w:p>
      <w:pPr>
        <w:pStyle w:val="Normal"/>
      </w:pPr>
      <w:r>
        <w:t>objectClass: olcAccessLogConfig</w:t>
      </w:r>
    </w:p>
    <w:p>
      <w:pPr>
        <w:pStyle w:val="Normal"/>
      </w:pPr>
      <w:r>
        <w:t>olcOverlay: accesslog</w:t>
      </w:r>
    </w:p>
    <w:p>
      <w:pPr>
        <w:pStyle w:val="Normal"/>
      </w:pPr>
      <w:r>
        <w:t>olcAccessLogDB: cn=accesslog</w:t>
      </w:r>
    </w:p>
    <w:p>
      <w:pPr>
        <w:pStyle w:val="Normal"/>
      </w:pPr>
      <w:r>
        <w:t>olcAccessLogOps: writes</w:t>
      </w:r>
    </w:p>
    <w:p>
      <w:pPr>
        <w:pStyle w:val="Normal"/>
      </w:pPr>
      <w:r>
        <w:t>olcAccessLogSuccess: TRUE</w:t>
      </w:r>
    </w:p>
    <w:p>
      <w:pPr>
        <w:pStyle w:val="Normal"/>
      </w:pPr>
      <w:r>
        <w:t># scan the accesslog DB every day, and purge entries older than 7 days</w:t>
        <w:t xml:space="preserve"> </w:t>
        <w:t>olcAccessLogPurge: 07+00:00 01+00:00</w:t>
      </w:r>
    </w:p>
    <w:p>
      <w:pPr>
        <w:pStyle w:val="Para 17"/>
      </w:pPr>
      <w:r>
        <w:t/>
      </w:r>
    </w:p>
    <w:p>
      <w:pPr>
        <w:pStyle w:val="Para 08"/>
      </w:pPr>
      <w:r>
        <w:t>Warning:</w:t>
      </w:r>
    </w:p>
    <w:p>
      <w:pPr>
        <w:pStyle w:val="Para 17"/>
      </w:pPr>
      <w:r>
        <w:t/>
      </w:r>
    </w:p>
    <w:p>
      <w:pPr>
        <w:pStyle w:val="Para 03"/>
      </w:pPr>
      <w:r>
        <w:t>The LDIF above has some parameters that you should review before deploying in pro-</w:t>
      </w:r>
    </w:p>
    <w:p>
      <w:pPr>
        <w:pStyle w:val="Para 03"/>
      </w:pPr>
      <w:r>
        <w:t>duction on your directory. In particular – olcSpCheckpoint, olcSpSessionLog. Please</w:t>
      </w:r>
    </w:p>
    <w:p>
      <w:pPr>
        <w:pStyle w:val="Para 03"/>
      </w:pPr>
      <w:r>
        <w:t xml:space="preserve">see the </w:t>
      </w:r>
      <w:hyperlink w:anchor="page_391">
        <w:r>
          <w:rPr>
            <w:rStyle w:val="Text9"/>
          </w:rPr>
          <w:t>326</w:t>
        </w:r>
      </w:hyperlink>
      <w:r>
        <w:t xml:space="preserve"> </w:t>
      </w:r>
      <w:hyperlink r:id="rId1300">
        <w:r>
          <w:rPr>
            <w:rStyle w:val="Text2"/>
          </w:rPr>
          <w:t>slapo-syncprov(5)</w:t>
        </w:r>
      </w:hyperlink>
      <w:r>
        <w:t xml:space="preserve"> manpage. In general, olcSpSessionLog should be equal</w:t>
      </w:r>
    </w:p>
    <w:p>
      <w:pPr>
        <w:pStyle w:val="Para 03"/>
      </w:pPr>
      <w:r>
        <w:t xml:space="preserve">to (or preferably larger than) the number of entries in your directory. Also see </w:t>
      </w:r>
      <w:hyperlink r:id="rId1301">
        <w:r>
          <w:rPr>
            <w:rStyle w:val="Text1"/>
          </w:rPr>
          <w:t>ITS</w:t>
        </w:r>
      </w:hyperlink>
    </w:p>
    <w:p>
      <w:pPr>
        <w:pStyle w:val="Para 03"/>
      </w:pPr>
      <w:hyperlink r:id="rId1301">
        <w:r>
          <w:rPr>
            <w:rStyle w:val="Text1"/>
          </w:rPr>
          <w:t>#8125</w:t>
        </w:r>
      </w:hyperlink>
      <w:r>
        <w:t xml:space="preserve"> </w:t>
      </w:r>
      <w:hyperlink w:anchor="page_391">
        <w:r>
          <w:rPr>
            <w:rStyle w:val="Text9"/>
          </w:rPr>
          <w:t>327</w:t>
        </w:r>
      </w:hyperlink>
      <w:r>
        <w:t xml:space="preserve"> for details on an existing bug. For olcAccessLogPurge, please check the </w:t>
      </w:r>
      <w:hyperlink r:id="rId1302">
        <w:r>
          <w:rPr>
            <w:rStyle w:val="Text2"/>
          </w:rPr>
          <w:t>slapo-</w:t>
        </w:r>
      </w:hyperlink>
    </w:p>
    <w:p>
      <w:pPr>
        <w:pStyle w:val="Para 43"/>
      </w:pPr>
      <w:hyperlink r:id="rId1302">
        <w:r>
          <w:t>accesslog(5)</w:t>
        </w:r>
      </w:hyperlink>
      <w:hyperlink r:id="rId1302">
        <w:r>
          <w:rPr>
            <w:rStyle w:val="Text15"/>
          </w:rPr>
          <w:t>328</w:t>
        </w:r>
      </w:hyperlink>
      <w:r>
        <w:rPr>
          <w:rStyle w:val="Text4"/>
        </w:rPr>
        <w:t xml:space="preserve"> manpage.</w:t>
      </w:r>
    </w:p>
    <w:p>
      <w:pPr>
        <w:pStyle w:val="Para 05"/>
      </w:pPr>
      <w:r>
        <w:rPr>
          <w:rStyle w:val="Text5"/>
        </w:rPr>
        <w:t>326</w:t>
      </w:r>
      <w:r>
        <w:rPr>
          <w:rStyle w:val="Text8"/>
        </w:rPr>
        <w:t xml:space="preserve"> </w:t>
      </w:r>
      <w:r>
        <w:t>https://manpages.ubuntu.com/manpages/resolute/man5/slapo-syncprov.5.html</w:t>
      </w:r>
    </w:p>
    <w:p>
      <w:pPr>
        <w:pStyle w:val="Para 05"/>
      </w:pPr>
      <w:r>
        <w:rPr>
          <w:rStyle w:val="Text5"/>
        </w:rPr>
        <w:t>327</w:t>
      </w:r>
      <w:r>
        <w:rPr>
          <w:rStyle w:val="Text8"/>
        </w:rPr>
        <w:t xml:space="preserve"> </w:t>
      </w:r>
      <w:r>
        <w:t>https://bugs.openldap.org/show_bug.cgi?id=8125</w:t>
      </w:r>
    </w:p>
    <w:p>
      <w:pPr>
        <w:pStyle w:val="Para 05"/>
      </w:pPr>
      <w:r>
        <w:rPr>
          <w:rStyle w:val="Text5"/>
        </w:rPr>
        <w:t>328</w:t>
      </w:r>
      <w:r>
        <w:rPr>
          <w:rStyle w:val="Text8"/>
        </w:rPr>
        <w:t xml:space="preserve"> </w:t>
      </w:r>
      <w:r>
        <w:t>https://manpages.ubuntu.com/manpages/resolute/man5/slapo-accesslog.5.html</w:t>
      </w:r>
    </w:p>
    <w:p>
      <w:pPr>
        <w:pStyle w:val="Para 17"/>
      </w:pPr>
      <w:r>
        <w:t/>
      </w:r>
    </w:p>
    <w:p>
      <w:pPr>
        <w:pStyle w:val="Normal"/>
      </w:pPr>
      <w:r>
        <w:t>Create a directory:</w:t>
      </w:r>
    </w:p>
    <w:p>
      <w:pPr>
        <w:pStyle w:val="Normal"/>
      </w:pPr>
      <w:r>
        <w:t>sudo -u openldap mkdir /var/lib/ldap/accesslog</w:t>
      </w:r>
    </w:p>
    <w:p>
      <w:pPr>
        <w:pStyle w:val="Para 17"/>
      </w:pPr>
      <w:r>
        <w:t/>
      </w:r>
    </w:p>
    <w:p>
      <w:pPr>
        <w:pStyle w:val="Normal"/>
      </w:pPr>
      <w:r>
        <w:t>Add the new content:</w:t>
      </w:r>
    </w:p>
    <w:p>
      <w:pPr>
        <w:pStyle w:val="Normal"/>
      </w:pPr>
      <w:r>
        <w:t>sudo ldapadd -Q -Y EXTERNAL -H ldapi:/// -f provider_sync.ldif</w:t>
      </w:r>
    </w:p>
    <w:p>
      <w:pPr>
        <w:pStyle w:val="Para 17"/>
      </w:pPr>
      <w:r>
        <w:t/>
      </w:r>
    </w:p>
    <w:p>
      <w:pPr>
        <w:pStyle w:val="Normal"/>
      </w:pPr>
      <w:r>
        <w:t>The Provider is now configured.</w:t>
      </w:r>
    </w:p>
    <w:p>
      <w:pPr>
        <w:pStyle w:val="Para 17"/>
      </w:pPr>
      <w:r>
        <w:t/>
      </w:r>
    </w:p>
    <w:p>
      <w:pPr>
        <w:pStyle w:val="Para 01"/>
      </w:pPr>
      <w:r>
        <w:t>Consumer configuration</w:t>
      </w:r>
    </w:p>
    <w:p>
      <w:pPr>
        <w:pStyle w:val="Para 17"/>
      </w:pPr>
      <w:r>
        <w:t/>
      </w:r>
    </w:p>
    <w:p>
      <w:pPr>
        <w:pStyle w:val="Normal"/>
      </w:pPr>
      <w:r>
        <w:t xml:space="preserve">Install the software by going through </w:t>
      </w:r>
      <w:hyperlink w:anchor="page_372">
        <w:r>
          <w:rPr>
            <w:rStyle w:val="Text2"/>
          </w:rPr>
          <w:t>the installation steps</w:t>
        </w:r>
      </w:hyperlink>
      <w:r>
        <w:t xml:space="preserve"> (page 371). Make sure schemas</w:t>
      </w:r>
    </w:p>
    <w:p>
      <w:pPr>
        <w:pStyle w:val="Normal"/>
      </w:pPr>
      <w:r>
        <w:t xml:space="preserve">and the database suffix are the same, and </w:t>
      </w:r>
      <w:hyperlink w:anchor="page_397">
        <w:r>
          <w:rPr>
            <w:rStyle w:val="Text2"/>
          </w:rPr>
          <w:t>enable TLS</w:t>
        </w:r>
      </w:hyperlink>
      <w:r>
        <w:t xml:space="preserve"> (page 396).</w:t>
      </w:r>
    </w:p>
    <w:p>
      <w:pPr>
        <w:pStyle w:val="Normal"/>
      </w:pPr>
      <w:r>
        <w:t>Create an LDIF file with the following contents and name it consumer_sync.ldif:</w:t>
      </w:r>
    </w:p>
    <w:p>
      <w:pPr>
        <w:pStyle w:val="Normal"/>
      </w:pPr>
      <w:r>
        <w:t>dn: cn=module{0},cn=config</w:t>
      </w:r>
    </w:p>
    <w:p>
      <w:pPr>
        <w:pStyle w:val="Normal"/>
      </w:pPr>
      <w:r>
        <w:t>changetype: modify</w:t>
      </w:r>
    </w:p>
    <w:p>
      <w:pPr>
        <w:pStyle w:val="Para 09"/>
      </w:pPr>
      <w:r>
        <w:t>(continues on next page)</w:t>
      </w:r>
    </w:p>
    <w:p>
      <w:bookmarkStart w:id="568" w:name="page_3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399" name="index-392_1.png" descr="index-392_1.png"/>
            <wp:cNvGraphicFramePr>
              <a:graphicFrameLocks noChangeAspect="1"/>
            </wp:cNvGraphicFramePr>
            <a:graphic>
              <a:graphicData uri="http://schemas.openxmlformats.org/drawingml/2006/picture">
                <pic:pic>
                  <pic:nvPicPr>
                    <pic:cNvPr id="0" name="index-392_1.png" descr="index-392_1.png"/>
                    <pic:cNvPicPr/>
                  </pic:nvPicPr>
                  <pic:blipFill>
                    <a:blip r:embed="rId403"/>
                    <a:stretch>
                      <a:fillRect/>
                    </a:stretch>
                  </pic:blipFill>
                  <pic:spPr>
                    <a:xfrm>
                      <a:off x="0" y="0"/>
                      <a:ext cx="914400" cy="266700"/>
                    </a:xfrm>
                    <a:prstGeom prst="rect">
                      <a:avLst/>
                    </a:prstGeom>
                  </pic:spPr>
                </pic:pic>
              </a:graphicData>
            </a:graphic>
          </wp:anchor>
        </w:drawing>
      </w:r>
      <w:bookmarkEnd w:id="568"/>
    </w:p>
    <w:p>
      <w:pPr>
        <w:pStyle w:val="Para 09"/>
      </w:pPr>
      <w:r>
        <w:t>(continued from previous page)</w:t>
      </w:r>
    </w:p>
    <w:p>
      <w:pPr>
        <w:pStyle w:val="Normal"/>
      </w:pPr>
      <w:r>
        <w:t>add: olcModuleLoad</w:t>
      </w:r>
    </w:p>
    <w:p>
      <w:pPr>
        <w:pStyle w:val="Normal"/>
      </w:pPr>
      <w:r>
        <w:t>olcModuleLoad: syncprov</w:t>
      </w:r>
    </w:p>
    <w:p>
      <w:pPr>
        <w:pStyle w:val="Normal"/>
      </w:pPr>
      <w:r>
        <w:t>dn: olcDatabase={1}mdb,cn=config</w:t>
      </w:r>
    </w:p>
    <w:p>
      <w:pPr>
        <w:pStyle w:val="Normal"/>
      </w:pPr>
      <w:r>
        <w:t>changetype: modify</w:t>
      </w:r>
    </w:p>
    <w:p>
      <w:pPr>
        <w:pStyle w:val="Normal"/>
      </w:pPr>
      <w:r>
        <w:t>add: olcDbIndex</w:t>
      </w:r>
    </w:p>
    <w:p>
      <w:pPr>
        <w:pStyle w:val="Normal"/>
      </w:pPr>
      <w:r>
        <w:t>olcDbIndex: entryUUID eq</w:t>
      </w:r>
    </w:p>
    <w:p>
      <w:pPr>
        <w:pStyle w:val="Normal"/>
      </w:pPr>
      <w:r>
        <w:t>-</w:t>
      </w:r>
    </w:p>
    <w:p>
      <w:pPr>
        <w:pStyle w:val="Normal"/>
      </w:pPr>
      <w:r>
        <w:t>add: olcSyncrepl</w:t>
      </w:r>
    </w:p>
    <w:p>
      <w:pPr>
        <w:pStyle w:val="Normal"/>
      </w:pPr>
      <w:r>
        <w:t>olcSyncrepl: rid=0</w:t>
      </w:r>
    </w:p>
    <w:p>
      <w:pPr>
        <w:pStyle w:val="Para 03"/>
      </w:pPr>
      <w:r>
        <w:t>provider=ldap://ldap01.example.com</w:t>
      </w:r>
    </w:p>
    <w:p>
      <w:pPr>
        <w:pStyle w:val="Para 03"/>
      </w:pPr>
      <w:r>
        <w:t>bindmethod=simple</w:t>
      </w:r>
    </w:p>
    <w:p>
      <w:pPr>
        <w:pStyle w:val="Para 03"/>
      </w:pPr>
      <w:r>
        <w:t>binddn="cn=replicator,dc=example,dc=com" credentials=&lt;secret&gt;</w:t>
      </w:r>
    </w:p>
    <w:p>
      <w:pPr>
        <w:pStyle w:val="Para 03"/>
      </w:pPr>
      <w:r>
        <w:t>searchbase="dc=example,dc=com"</w:t>
      </w:r>
    </w:p>
    <w:p>
      <w:pPr>
        <w:pStyle w:val="Para 03"/>
      </w:pPr>
      <w:r>
        <w:t>logbase="cn=accesslog"</w:t>
      </w:r>
    </w:p>
    <w:p>
      <w:pPr>
        <w:pStyle w:val="Para 03"/>
      </w:pPr>
      <w:r>
        <w:t>logfilter="(&amp;(objectClass=auditWriteObject)(reqResult=0))"</w:t>
      </w:r>
    </w:p>
    <w:p>
      <w:pPr>
        <w:pStyle w:val="Para 03"/>
      </w:pPr>
      <w:r>
        <w:t>schemachecking=on</w:t>
      </w:r>
    </w:p>
    <w:p>
      <w:pPr>
        <w:pStyle w:val="Para 03"/>
      </w:pPr>
      <w:r>
        <w:t>type=refreshAndPersist retry="60 +"</w:t>
      </w:r>
    </w:p>
    <w:p>
      <w:pPr>
        <w:pStyle w:val="Para 03"/>
      </w:pPr>
      <w:r>
        <w:t>syncdata=accesslog</w:t>
      </w:r>
    </w:p>
    <w:p>
      <w:pPr>
        <w:pStyle w:val="Para 03"/>
      </w:pPr>
      <w:r>
        <w:t>starttls=critical tls_reqcert=demand</w:t>
      </w:r>
    </w:p>
    <w:p>
      <w:pPr>
        <w:pStyle w:val="Normal"/>
      </w:pPr>
      <w:r>
        <w:t>-</w:t>
      </w:r>
    </w:p>
    <w:p>
      <w:pPr>
        <w:pStyle w:val="Normal"/>
      </w:pPr>
      <w:r>
        <w:t>add: olcUpdateRef</w:t>
      </w:r>
    </w:p>
    <w:p>
      <w:pPr>
        <w:pStyle w:val="Normal"/>
      </w:pPr>
      <w:r>
        <w:t>olcUpdateRef: ldap://ldap01.example.com</w:t>
      </w:r>
    </w:p>
    <w:p>
      <w:pPr>
        <w:pStyle w:val="Para 17"/>
      </w:pPr>
      <w:r>
        <w:t/>
      </w:r>
    </w:p>
    <w:p>
      <w:pPr>
        <w:pStyle w:val="Normal"/>
      </w:pPr>
      <w:r>
        <w:t>Ensure the following attributes have the correct values:</w:t>
      </w:r>
    </w:p>
    <w:p>
      <w:pPr>
        <w:pStyle w:val="Para 04"/>
      </w:pPr>
      <w:r>
        <w:t xml:space="preserve">• </w:t>
      </w:r>
      <w:r>
        <w:rPr>
          <w:rStyle w:val="Text0"/>
        </w:rPr>
        <w:t>provider</w:t>
      </w:r>
      <w:r>
        <w:t>: Provider server’s hostname – ldap01.example.com in this example – or IP ad-</w:t>
      </w:r>
    </w:p>
    <w:p>
      <w:pPr>
        <w:pStyle w:val="Para 02"/>
      </w:pPr>
      <w:r>
        <w:t>dress. It must match what is presented in the provider’s SSL certificate.</w:t>
      </w:r>
    </w:p>
    <w:p>
      <w:pPr>
        <w:pStyle w:val="Para 04"/>
      </w:pPr>
      <w:r>
        <w:t xml:space="preserve">• </w:t>
      </w:r>
      <w:r>
        <w:rPr>
          <w:rStyle w:val="Text0"/>
        </w:rPr>
        <w:t>binddn</w:t>
      </w:r>
      <w:r>
        <w:t>: The bind DN for the replicator user.</w:t>
      </w:r>
    </w:p>
    <w:p>
      <w:pPr>
        <w:pStyle w:val="Para 04"/>
      </w:pPr>
      <w:r>
        <w:t xml:space="preserve">• </w:t>
      </w:r>
      <w:r>
        <w:rPr>
          <w:rStyle w:val="Text0"/>
        </w:rPr>
        <w:t>credentials</w:t>
      </w:r>
      <w:r>
        <w:t>: The password you selected for the replicator user.</w:t>
      </w:r>
    </w:p>
    <w:p>
      <w:pPr>
        <w:pStyle w:val="Para 04"/>
      </w:pPr>
      <w:r>
        <w:t xml:space="preserve">• </w:t>
      </w:r>
      <w:r>
        <w:rPr>
          <w:rStyle w:val="Text0"/>
        </w:rPr>
        <w:t>searchbase</w:t>
      </w:r>
      <w:r>
        <w:t>: The database suffix you’re using, i.e., content that is to be replicated.</w:t>
      </w:r>
    </w:p>
    <w:p>
      <w:pPr>
        <w:pStyle w:val="Para 04"/>
      </w:pPr>
      <w:r>
        <w:t xml:space="preserve">• </w:t>
      </w:r>
      <w:r>
        <w:rPr>
          <w:rStyle w:val="Text0"/>
        </w:rPr>
        <w:t>olcUpdateRef</w:t>
      </w:r>
      <w:r>
        <w:t>: Provider server’s hostname or IP address, given to clients if they try to</w:t>
      </w:r>
    </w:p>
    <w:p>
      <w:pPr>
        <w:pStyle w:val="Para 02"/>
      </w:pPr>
      <w:r>
        <w:t>write to this consumer.</w:t>
      </w:r>
    </w:p>
    <w:p>
      <w:pPr>
        <w:pStyle w:val="Para 04"/>
      </w:pPr>
      <w:r>
        <w:t xml:space="preserve">• </w:t>
      </w:r>
      <w:r>
        <w:rPr>
          <w:rStyle w:val="Text0"/>
        </w:rPr>
        <w:t>rid</w:t>
      </w:r>
      <w:r>
        <w:t>: Replica ID, a unique 3-digit ID that identifies the replica. Each consumer should</w:t>
      </w:r>
    </w:p>
    <w:p>
      <w:pPr>
        <w:pStyle w:val="Para 02"/>
      </w:pPr>
      <w:r>
        <w:t>have at least one rid.</w:t>
      </w:r>
    </w:p>
    <w:p>
      <w:pPr>
        <w:pStyle w:val="Para 08"/>
      </w:pPr>
      <w:r>
        <w:t>Note:</w:t>
      </w:r>
    </w:p>
    <w:p>
      <w:pPr>
        <w:pStyle w:val="Para 03"/>
      </w:pPr>
      <w:r>
        <w:t>Note that a successful encrypted connection via START_TLS is being enforced in this con-</w:t>
      </w:r>
    </w:p>
    <w:p>
      <w:pPr>
        <w:pStyle w:val="Para 03"/>
      </w:pPr>
      <w:r>
        <w:t xml:space="preserve">figuration, to avoid sending the credentials in the clear across the network. See </w:t>
      </w:r>
      <w:hyperlink w:anchor="page_397">
        <w:r>
          <w:rPr>
            <w:rStyle w:val="Text2"/>
          </w:rPr>
          <w:t>LDAP with</w:t>
        </w:r>
      </w:hyperlink>
    </w:p>
    <w:p>
      <w:pPr>
        <w:pStyle w:val="Para 03"/>
      </w:pPr>
      <w:hyperlink w:anchor="page_397">
        <w:r>
          <w:rPr>
            <w:rStyle w:val="Text2"/>
          </w:rPr>
          <w:t>TLS</w:t>
        </w:r>
      </w:hyperlink>
      <w:r>
        <w:t xml:space="preserve"> (page 396) for details on how to set up OpenLDAP with trusted SSL certificates.</w:t>
      </w:r>
    </w:p>
    <w:p>
      <w:pPr>
        <w:pStyle w:val="Para 17"/>
      </w:pPr>
      <w:r>
        <w:t/>
      </w:r>
    </w:p>
    <w:p>
      <w:pPr>
        <w:pStyle w:val="Normal"/>
      </w:pPr>
      <w:r>
        <w:t>Add the new configuration:</w:t>
      </w:r>
    </w:p>
    <w:p>
      <w:pPr>
        <w:pStyle w:val="Normal"/>
      </w:pPr>
      <w:r>
        <w:t>sudo ldapadd -Q -Y EXTERNAL -H ldapi:/// -f consumer_sync.ldif</w:t>
      </w:r>
    </w:p>
    <w:p>
      <w:pPr>
        <w:pStyle w:val="Para 17"/>
      </w:pPr>
      <w:r>
        <w:t/>
      </w:r>
    </w:p>
    <w:p>
      <w:pPr>
        <w:pStyle w:val="Normal"/>
      </w:pPr>
      <w:r>
        <w:t>You’re done! The dc=example,dc=com tree should now be synchronising.</w:t>
      </w:r>
    </w:p>
    <w:p>
      <w:bookmarkStart w:id="569" w:name="page_3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0" name="index-393_1.png" descr="index-393_1.png"/>
            <wp:cNvGraphicFramePr>
              <a:graphicFrameLocks noChangeAspect="1"/>
            </wp:cNvGraphicFramePr>
            <a:graphic>
              <a:graphicData uri="http://schemas.openxmlformats.org/drawingml/2006/picture">
                <pic:pic>
                  <pic:nvPicPr>
                    <pic:cNvPr id="0" name="index-393_1.png" descr="index-393_1.png"/>
                    <pic:cNvPicPr/>
                  </pic:nvPicPr>
                  <pic:blipFill>
                    <a:blip r:embed="rId404"/>
                    <a:stretch>
                      <a:fillRect/>
                    </a:stretch>
                  </pic:blipFill>
                  <pic:spPr>
                    <a:xfrm>
                      <a:off x="0" y="0"/>
                      <a:ext cx="914400" cy="266700"/>
                    </a:xfrm>
                    <a:prstGeom prst="rect">
                      <a:avLst/>
                    </a:prstGeom>
                  </pic:spPr>
                </pic:pic>
              </a:graphicData>
            </a:graphic>
          </wp:anchor>
        </w:drawing>
      </w:r>
      <w:bookmarkEnd w:id="569"/>
    </w:p>
    <w:p>
      <w:pPr>
        <w:pStyle w:val="Para 01"/>
      </w:pPr>
      <w:r>
        <w:t>Testing</w:t>
      </w:r>
    </w:p>
    <w:p>
      <w:pPr>
        <w:pStyle w:val="Para 17"/>
      </w:pPr>
      <w:r>
        <w:t/>
      </w:r>
    </w:p>
    <w:p>
      <w:pPr>
        <w:pStyle w:val="Normal"/>
      </w:pPr>
      <w:r>
        <w:t>Once replication starts, you can monitor it by running:</w:t>
      </w:r>
    </w:p>
    <w:p>
      <w:pPr>
        <w:pStyle w:val="Normal"/>
      </w:pPr>
      <w:r>
        <w:t>$ ldapsearch -z1 -LLL -x -s base -b</w:t>
        <w:t xml:space="preserve"> </w:t>
        <w:t>dc</w:t>
        <w:t>=</w:t>
        <w:t>example,dc</w:t>
        <w:t>=</w:t>
        <w:t>com contextCSN</w:t>
        <w:t xml:space="preserve"> </w:t>
        <w:t>dn:</w:t>
        <w:t xml:space="preserve"> </w:t>
        <w:t>dc</w:t>
        <w:t>=</w:t>
        <w:t>example,dc</w:t>
        <w:t>=</w:t>
        <w:t>com</w:t>
      </w:r>
    </w:p>
    <w:p>
      <w:pPr>
        <w:pStyle w:val="Normal"/>
      </w:pPr>
      <w:r>
        <w:t>contextCSN:</w:t>
        <w:t xml:space="preserve"> </w:t>
        <w:t>20200423222317</w:t>
        <w:t>.722667Z#000000#000#000000</w:t>
      </w:r>
    </w:p>
    <w:p>
      <w:pPr>
        <w:pStyle w:val="Para 17"/>
      </w:pPr>
      <w:r>
        <w:t/>
      </w:r>
    </w:p>
    <w:p>
      <w:pPr>
        <w:pStyle w:val="Normal"/>
      </w:pPr>
      <w:r>
        <w:t>On both the provider and the consumer. Once the contextCSN value for both match, both trees are in sync. Every time a change is done in the provider, this value will change and so should the one in the consumer(s).</w:t>
      </w:r>
    </w:p>
    <w:p>
      <w:pPr>
        <w:pStyle w:val="Normal"/>
      </w:pPr>
      <w:r>
        <w:t>If your connection is slow and/or your LDAP database large, it might take a while for the consumer’s contextCSN match the provider’s. But, you will know it is progressing since the consumer’s contextCSN will be steadily increasing.</w:t>
      </w:r>
    </w:p>
    <w:p>
      <w:pPr>
        <w:pStyle w:val="Normal"/>
      </w:pPr>
      <w:r>
        <w:t>If the consumer’s contextCSN is missing or does not match the provider, you should stop and figure out the issue before continuing. Try checking the slapd entries in /var/log/syslog in the provider to see if the consumer’s authentication requests were successful, or that its requests to retrieve data return no errors. In particular, verify that you can connect to the provider from the consumer as the replicator BindDN using START_TLS:</w:t>
      </w:r>
    </w:p>
    <w:p>
      <w:pPr>
        <w:pStyle w:val="Normal"/>
      </w:pPr>
      <w:r>
        <w:t>ldapwhoami -x -ZZ -H ldap://ldap01.example.com -D</w:t>
        <w:t xml:space="preserve"> </w:t>
        <w:t>cn</w:t>
        <w:t>=</w:t>
        <w:t>replicator,dc</w:t>
        <w:t>=</w:t>
        <w:t>example,dc</w:t>
        <w:t>=</w:t>
        <w:t>com -W</w:t>
      </w:r>
    </w:p>
    <w:p>
      <w:pPr>
        <w:pStyle w:val="Para 17"/>
      </w:pPr>
      <w:r>
        <w:t/>
      </w:r>
    </w:p>
    <w:p>
      <w:pPr>
        <w:pStyle w:val="Normal"/>
      </w:pPr>
      <w:r>
        <w:t>For our example, you should now see the john user in the replicated tree:</w:t>
      </w:r>
    </w:p>
    <w:p>
      <w:pPr>
        <w:pStyle w:val="Normal"/>
      </w:pPr>
      <w:r>
        <w:t>$ ldapsearch -x -LLL -H ldap://ldap02.example.com -b</w:t>
        <w:t xml:space="preserve"> </w:t>
        <w:t>dc</w:t>
        <w:t>=</w:t>
        <w:t>example,dc</w:t>
        <w:t>=</w:t>
        <w:t>com</w:t>
        <w:t xml:space="preserve"> </w:t>
        <w:t>'(uid=john)'</w:t>
        <w:t xml:space="preserve"> </w:t>
        <w:t>uid</w:t>
        <w:t xml:space="preserve"> </w:t>
        <w:t>dn:</w:t>
        <w:t xml:space="preserve"> </w:t>
        <w:t>uid</w:t>
        <w:t>=</w:t>
        <w:t>john,ou</w:t>
        <w:t>=</w:t>
        <w:t>People,dc</w:t>
        <w:t>=</w:t>
        <w:t>example,dc</w:t>
        <w:t>=</w:t>
        <w:t>com</w:t>
        <w:t xml:space="preserve"> </w:t>
        <w:t>uid: john</w:t>
      </w:r>
    </w:p>
    <w:p>
      <w:pPr>
        <w:pStyle w:val="Para 17"/>
      </w:pPr>
      <w:r>
        <w:t/>
      </w:r>
    </w:p>
    <w:p>
      <w:pPr>
        <w:pStyle w:val="Para 01"/>
      </w:pPr>
      <w:r>
        <w:t>References</w:t>
      </w:r>
    </w:p>
    <w:p>
      <w:pPr>
        <w:pStyle w:val="Para 17"/>
      </w:pPr>
      <w:r>
        <w:t/>
      </w:r>
    </w:p>
    <w:p>
      <w:pPr>
        <w:pStyle w:val="Para 13"/>
      </w:pPr>
      <w:r>
        <w:rPr>
          <w:rStyle w:val="Text7"/>
        </w:rPr>
        <w:t xml:space="preserve">• </w:t>
      </w:r>
      <w:hyperlink r:id="rId1303">
        <w:r>
          <w:rPr>
            <w:rStyle w:val="Text10"/>
          </w:rPr>
          <w:t>329</w:t>
        </w:r>
      </w:hyperlink>
      <w:hyperlink r:id="rId1303">
        <w:r>
          <w:t xml:space="preserve"> Replication types, OpenLDAP Administrator’s Guide</w:t>
        </w:r>
      </w:hyperlink>
    </w:p>
    <w:p>
      <w:pPr>
        <w:pStyle w:val="Para 13"/>
      </w:pPr>
      <w:r>
        <w:rPr>
          <w:rStyle w:val="Text7"/>
        </w:rPr>
        <w:t xml:space="preserve">• </w:t>
      </w:r>
      <w:hyperlink r:id="rId1298">
        <w:r>
          <w:rPr>
            <w:rStyle w:val="Text10"/>
          </w:rPr>
          <w:t>330</w:t>
        </w:r>
      </w:hyperlink>
      <w:hyperlink r:id="rId1298">
        <w:r>
          <w:t xml:space="preserve"> LDAP Sync Replication - OpenLDAP Administrator’s Guide</w:t>
        </w:r>
      </w:hyperlink>
    </w:p>
    <w:p>
      <w:pPr>
        <w:pStyle w:val="Para 13"/>
      </w:pPr>
      <w:r>
        <w:rPr>
          <w:rStyle w:val="Text7"/>
        </w:rPr>
        <w:t xml:space="preserve">• </w:t>
      </w:r>
      <w:hyperlink r:id="rId1299">
        <w:r>
          <w:rPr>
            <w:rStyle w:val="Text10"/>
          </w:rPr>
          <w:t>331</w:t>
        </w:r>
      </w:hyperlink>
      <w:hyperlink r:id="rId1299">
        <w:r>
          <w:t xml:space="preserve"> RFC 4533</w:t>
        </w:r>
      </w:hyperlink>
      <w:r>
        <w:rPr>
          <w:rStyle w:val="Text7"/>
        </w:rPr>
        <w:t>.</w:t>
      </w:r>
    </w:p>
    <w:p>
      <w:pPr>
        <w:pStyle w:val="Para 17"/>
      </w:pPr>
      <w:r>
        <w:t/>
      </w:r>
    </w:p>
    <w:p>
      <w:pPr>
        <w:pStyle w:val="Para 01"/>
      </w:pPr>
      <w:r>
        <w:t>How to set up LDAP users and groups</w:t>
      </w:r>
    </w:p>
    <w:p>
      <w:pPr>
        <w:pStyle w:val="Para 17"/>
      </w:pPr>
      <w:r>
        <w:t/>
      </w:r>
    </w:p>
    <w:p>
      <w:pPr>
        <w:pStyle w:val="Normal"/>
      </w:pPr>
      <w:r>
        <w:t xml:space="preserve">Once you </w:t>
      </w:r>
      <w:hyperlink w:anchor="page_372">
        <w:r>
          <w:rPr>
            <w:rStyle w:val="Text2"/>
          </w:rPr>
          <w:t>have a working LDAP server</w:t>
        </w:r>
      </w:hyperlink>
      <w:r>
        <w:t xml:space="preserve"> (page 371), you will need to install libraries on the client that know how and when to contact it. On Ubuntu, this was traditionally done by in-</w:t>
      </w:r>
    </w:p>
    <w:p>
      <w:pPr>
        <w:pStyle w:val="Normal"/>
      </w:pPr>
      <w:r>
        <w:t xml:space="preserve">stalling the libnss-ldap package, but nowadays you should use the </w:t>
      </w:r>
      <w:hyperlink w:anchor="page_740">
        <w:r>
          <w:rPr>
            <w:rStyle w:val="Text2"/>
          </w:rPr>
          <w:t>System Security Services</w:t>
        </w:r>
      </w:hyperlink>
    </w:p>
    <w:p>
      <w:pPr>
        <w:pStyle w:val="Normal"/>
      </w:pPr>
      <w:hyperlink w:anchor="page_740">
        <w:r>
          <w:rPr>
            <w:rStyle w:val="Text2"/>
          </w:rPr>
          <w:t>Daemon (SSSD)</w:t>
        </w:r>
      </w:hyperlink>
      <w:r>
        <w:t xml:space="preserve"> (page 739). To find out how to use LDAP with SSSD, refer to </w:t>
      </w:r>
      <w:hyperlink w:anchor="page_167">
        <w:r>
          <w:rPr>
            <w:rStyle w:val="Text2"/>
          </w:rPr>
          <w:t>our SSSD and</w:t>
        </w:r>
      </w:hyperlink>
    </w:p>
    <w:p>
      <w:pPr>
        <w:pStyle w:val="Normal"/>
      </w:pPr>
      <w:hyperlink w:anchor="page_167">
        <w:r>
          <w:rPr>
            <w:rStyle w:val="Text2"/>
          </w:rPr>
          <w:t>LDAP</w:t>
        </w:r>
      </w:hyperlink>
      <w:r>
        <w:t xml:space="preserve"> (page 166) guide.</w:t>
      </w:r>
    </w:p>
    <w:p>
      <w:pPr>
        <w:pStyle w:val="Para 05"/>
      </w:pPr>
      <w:r>
        <w:rPr>
          <w:rStyle w:val="Text5"/>
        </w:rPr>
        <w:t>329</w:t>
      </w:r>
      <w:r>
        <w:rPr>
          <w:rStyle w:val="Text8"/>
        </w:rPr>
        <w:t xml:space="preserve"> </w:t>
      </w:r>
      <w:r>
        <w:t>https://openldap.org/doc/admin24/guide.html#Configuring%20the%20different%20replication%20types</w:t>
      </w:r>
    </w:p>
    <w:p>
      <w:pPr>
        <w:pStyle w:val="Para 05"/>
      </w:pPr>
      <w:r>
        <w:rPr>
          <w:rStyle w:val="Text5"/>
        </w:rPr>
        <w:t>330</w:t>
      </w:r>
      <w:r>
        <w:rPr>
          <w:rStyle w:val="Text8"/>
        </w:rPr>
        <w:t xml:space="preserve"> </w:t>
      </w:r>
      <w:r>
        <w:t>https://openldap.org/doc/admin24/guide.html#LDAP%20Sync%20Replication</w:t>
      </w:r>
    </w:p>
    <w:p>
      <w:pPr>
        <w:pStyle w:val="Para 05"/>
      </w:pPr>
      <w:r>
        <w:rPr>
          <w:rStyle w:val="Text5"/>
        </w:rPr>
        <w:t>331</w:t>
      </w:r>
      <w:r>
        <w:rPr>
          <w:rStyle w:val="Text8"/>
        </w:rPr>
        <w:t xml:space="preserve"> </w:t>
      </w:r>
      <w:r>
        <w:t>https://www.rfc-editor.org/rfc/rfc4533.txt</w:t>
      </w:r>
      <w:r>
        <w:rPr>
          <w:rStyle w:val="Text8"/>
        </w:rPr>
        <w:t xml:space="preserve"> </w:t>
      </w:r>
      <w:r>
        <w:rPr>
          <w:rStyle w:val="Text11"/>
        </w:rPr>
        <w:t>User and group management -ldapscripts</w:t>
      </w:r>
    </w:p>
    <w:p>
      <w:bookmarkStart w:id="570" w:name="page_3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1" name="index-394_1.png" descr="index-394_1.png"/>
            <wp:cNvGraphicFramePr>
              <a:graphicFrameLocks noChangeAspect="1"/>
            </wp:cNvGraphicFramePr>
            <a:graphic>
              <a:graphicData uri="http://schemas.openxmlformats.org/drawingml/2006/picture">
                <pic:pic>
                  <pic:nvPicPr>
                    <pic:cNvPr id="0" name="index-394_1.png" descr="index-394_1.png"/>
                    <pic:cNvPicPr/>
                  </pic:nvPicPr>
                  <pic:blipFill>
                    <a:blip r:embed="rId405"/>
                    <a:stretch>
                      <a:fillRect/>
                    </a:stretch>
                  </pic:blipFill>
                  <pic:spPr>
                    <a:xfrm>
                      <a:off x="0" y="0"/>
                      <a:ext cx="914400" cy="266700"/>
                    </a:xfrm>
                    <a:prstGeom prst="rect">
                      <a:avLst/>
                    </a:prstGeom>
                  </pic:spPr>
                </pic:pic>
              </a:graphicData>
            </a:graphic>
          </wp:anchor>
        </w:drawing>
      </w:r>
      <w:bookmarkEnd w:id="570"/>
    </w:p>
    <w:p>
      <w:pPr>
        <w:pStyle w:val="Para 17"/>
      </w:pPr>
      <w:r>
        <w:t/>
      </w:r>
    </w:p>
    <w:p>
      <w:pPr>
        <w:pStyle w:val="Normal"/>
      </w:pPr>
      <w:r>
        <w:t>A common use case for an LDAP server is to store UNIX user and group information in the directory. There are many tools out there, and big deployments will usually develop their own. However, as a quick and easy way to get started with storing user and group information in OpenLDAP, you can use the ldapscripts package.</w:t>
      </w:r>
    </w:p>
    <w:p>
      <w:pPr>
        <w:pStyle w:val="Para 17"/>
      </w:pPr>
      <w:r>
        <w:t/>
      </w:r>
    </w:p>
    <w:p>
      <w:pPr>
        <w:pStyle w:val="Para 01"/>
      </w:pPr>
      <w:r>
        <w:t>Install ldapscripts</w:t>
      </w:r>
    </w:p>
    <w:p>
      <w:pPr>
        <w:pStyle w:val="Para 17"/>
      </w:pPr>
      <w:r>
        <w:t/>
      </w:r>
    </w:p>
    <w:p>
      <w:pPr>
        <w:pStyle w:val="Normal"/>
      </w:pPr>
      <w:r>
        <w:t>You can install ldapscripts by running the following command:</w:t>
      </w:r>
    </w:p>
    <w:p>
      <w:pPr>
        <w:pStyle w:val="Normal"/>
      </w:pPr>
      <w:r>
        <w:t>sudo apt install ldapscripts</w:t>
      </w:r>
    </w:p>
    <w:p>
      <w:pPr>
        <w:pStyle w:val="Para 17"/>
      </w:pPr>
      <w:r>
        <w:t/>
      </w:r>
    </w:p>
    <w:p>
      <w:pPr>
        <w:pStyle w:val="Normal"/>
      </w:pPr>
      <w:r>
        <w:t>Then edit the file /etc/ldapscripts/ldapscripts.conf to arrive at something similar to the following:</w:t>
      </w:r>
    </w:p>
    <w:p>
      <w:pPr>
        <w:pStyle w:val="Normal"/>
      </w:pPr>
      <w:r>
        <w:t>SERVER=ldap://ldap01.example.com</w:t>
      </w:r>
    </w:p>
    <w:p>
      <w:pPr>
        <w:pStyle w:val="Normal"/>
      </w:pPr>
      <w:r>
        <w:t>LDAPBINOPTS="-ZZ"</w:t>
      </w:r>
    </w:p>
    <w:p>
      <w:pPr>
        <w:pStyle w:val="Normal"/>
      </w:pPr>
      <w:r>
        <w:t>BINDDN='cn=admin,dc=example,dc=com'</w:t>
      </w:r>
    </w:p>
    <w:p>
      <w:pPr>
        <w:pStyle w:val="Normal"/>
      </w:pPr>
      <w:r>
        <w:t>BINDPWDFILE="/etc/ldapscripts/ldapscripts.passwd"</w:t>
      </w:r>
    </w:p>
    <w:p>
      <w:pPr>
        <w:pStyle w:val="Normal"/>
      </w:pPr>
      <w:r>
        <w:t>SUFFIX='dc=example,dc=com'</w:t>
      </w:r>
    </w:p>
    <w:p>
      <w:pPr>
        <w:pStyle w:val="Normal"/>
      </w:pPr>
      <w:r>
        <w:t>GSUFFIX='ou=Groups'</w:t>
      </w:r>
    </w:p>
    <w:p>
      <w:pPr>
        <w:pStyle w:val="Normal"/>
      </w:pPr>
      <w:r>
        <w:t>USUFFIX='ou=People'</w:t>
      </w:r>
    </w:p>
    <w:p>
      <w:pPr>
        <w:pStyle w:val="Normal"/>
      </w:pPr>
      <w:r>
        <w:t>MSUFFIX='ou=Computers'</w:t>
      </w:r>
    </w:p>
    <w:p>
      <w:pPr>
        <w:pStyle w:val="Para 17"/>
      </w:pPr>
      <w:r>
        <w:t/>
      </w:r>
    </w:p>
    <w:p>
      <w:pPr>
        <w:pStyle w:val="Para 08"/>
      </w:pPr>
      <w:r>
        <w:t>Note:</w:t>
      </w:r>
    </w:p>
    <w:p>
      <w:pPr>
        <w:pStyle w:val="Para 03"/>
      </w:pPr>
      <w:r>
        <w:t xml:space="preserve">Adjust </w:t>
      </w:r>
      <w:r>
        <w:rPr>
          <w:rStyle w:val="Text0"/>
        </w:rPr>
        <w:t>SERVER</w:t>
      </w:r>
      <w:r>
        <w:t xml:space="preserve"> and related </w:t>
      </w:r>
      <w:r>
        <w:rPr>
          <w:rStyle w:val="Text0"/>
        </w:rPr>
        <w:t>SUFFIX</w:t>
      </w:r>
      <w:r>
        <w:t xml:space="preserve"> options to suit your directory structure. Here, we are</w:t>
      </w:r>
    </w:p>
    <w:p>
      <w:pPr>
        <w:pStyle w:val="Para 03"/>
      </w:pPr>
      <w:r>
        <w:t xml:space="preserve">forcing use of </w:t>
      </w:r>
      <w:r>
        <w:rPr>
          <w:rStyle w:val="Text0"/>
        </w:rPr>
        <w:t>START_TLS</w:t>
      </w:r>
      <w:r>
        <w:t xml:space="preserve"> (-ZZ parameter). Refer to </w:t>
      </w:r>
      <w:hyperlink w:anchor="page_397">
        <w:r>
          <w:rPr>
            <w:rStyle w:val="Text2"/>
          </w:rPr>
          <w:t>LDAP with TLS</w:t>
        </w:r>
      </w:hyperlink>
      <w:r>
        <w:t xml:space="preserve"> (page 396) to learn</w:t>
      </w:r>
    </w:p>
    <w:p>
      <w:pPr>
        <w:pStyle w:val="Para 03"/>
      </w:pPr>
      <w:r>
        <w:t>how to set up the server with TLS support.</w:t>
      </w:r>
    </w:p>
    <w:p>
      <w:pPr>
        <w:pStyle w:val="Para 17"/>
      </w:pPr>
      <w:r>
        <w:t/>
      </w:r>
    </w:p>
    <w:p>
      <w:pPr>
        <w:pStyle w:val="Normal"/>
      </w:pPr>
      <w:r>
        <w:t xml:space="preserve">Store the cn=admin password in the /etc/ldapscripts/ldapscripts.passwd file and make sure it’s only readable by the </w:t>
      </w:r>
      <w:r>
        <w:rPr>
          <w:rStyle w:val="Text3"/>
        </w:rPr>
        <w:t>root</w:t>
      </w:r>
      <w:r>
        <w:t xml:space="preserve"> local user:</w:t>
      </w:r>
    </w:p>
    <w:p>
      <w:pPr>
        <w:pStyle w:val="Normal"/>
      </w:pPr>
      <w:r>
        <w:t>echo</w:t>
        <w:t>-n</w:t>
        <w:t xml:space="preserve"> </w:t>
        <w:t>'password'</w:t>
        <w:t xml:space="preserve"> </w:t>
        <w:t>| sudo tee /etc/ldapscripts/ldapscripts.passwd</w:t>
      </w:r>
    </w:p>
    <w:p>
      <w:pPr>
        <w:pStyle w:val="Normal"/>
      </w:pPr>
      <w:r>
        <w:t>sudo chmod</w:t>
        <w:t xml:space="preserve"> </w:t>
        <w:t>400</w:t>
        <w:t xml:space="preserve"> </w:t>
        <w:t>/etc/ldapscripts/ldapscripts.passwd</w:t>
      </w:r>
    </w:p>
    <w:p>
      <w:pPr>
        <w:pStyle w:val="Para 17"/>
      </w:pPr>
      <w:r>
        <w:t/>
      </w:r>
    </w:p>
    <w:p>
      <w:pPr>
        <w:pStyle w:val="Para 08"/>
      </w:pPr>
      <w:r>
        <w:t>Note:</w:t>
      </w:r>
    </w:p>
    <w:p>
      <w:pPr>
        <w:pStyle w:val="Para 03"/>
      </w:pPr>
      <w:r>
        <w:t>The password file must contain exactly and only the password characters, no end-of-line</w:t>
      </w:r>
    </w:p>
    <w:p>
      <w:pPr>
        <w:pStyle w:val="Para 03"/>
      </w:pPr>
      <w:r>
        <w:t>or anything else. The echo command above with the-n parameter achieves that by sup-</w:t>
      </w:r>
    </w:p>
    <w:p>
      <w:pPr>
        <w:pStyle w:val="Para 03"/>
      </w:pPr>
      <w:r>
        <w:t xml:space="preserve">pressing the </w:t>
      </w:r>
      <w:hyperlink w:anchor="page_681">
        <w:r>
          <w:rPr>
            <w:rStyle w:val="Text2"/>
          </w:rPr>
          <w:t>EOL</w:t>
        </w:r>
      </w:hyperlink>
      <w:r>
        <w:t xml:space="preserve"> character \n. And in order to prevent the password from appearing in</w:t>
      </w:r>
    </w:p>
    <w:p>
      <w:pPr>
        <w:pStyle w:val="Para 03"/>
      </w:pPr>
      <w:r>
        <w:t xml:space="preserve">the shell history, the </w:t>
      </w:r>
      <w:r>
        <w:rPr>
          <w:rStyle w:val="Text3"/>
        </w:rPr>
        <w:t>echo</w:t>
      </w:r>
      <w:r>
        <w:t xml:space="preserve"> command line is prefixed by a space.</w:t>
      </w:r>
    </w:p>
    <w:p>
      <w:pPr>
        <w:pStyle w:val="Para 17"/>
      </w:pPr>
      <w:r>
        <w:t/>
      </w:r>
    </w:p>
    <w:p>
      <w:pPr>
        <w:pStyle w:val="Normal"/>
      </w:pPr>
      <w:r>
        <w:t>The scripts are now ready to help manage your directory.</w:t>
      </w:r>
    </w:p>
    <w:p>
      <w:bookmarkStart w:id="571" w:name="calibre_pb_88"/>
      <w:pPr>
        <w:pStyle w:val="0 Block"/>
      </w:pPr>
      <w:bookmarkEnd w:id="571"/>
    </w:p>
    <w:p>
      <w:bookmarkStart w:id="572" w:name="page_395"/>
      <w:bookmarkStart w:id="573" w:name="Top_of_index_split_08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2" name="index-395_1.png" descr="index-395_1.png"/>
            <wp:cNvGraphicFramePr>
              <a:graphicFrameLocks noChangeAspect="1"/>
            </wp:cNvGraphicFramePr>
            <a:graphic>
              <a:graphicData uri="http://schemas.openxmlformats.org/drawingml/2006/picture">
                <pic:pic>
                  <pic:nvPicPr>
                    <pic:cNvPr id="0" name="index-395_1.png" descr="index-395_1.png"/>
                    <pic:cNvPicPr/>
                  </pic:nvPicPr>
                  <pic:blipFill>
                    <a:blip r:embed="rId406"/>
                    <a:stretch>
                      <a:fillRect/>
                    </a:stretch>
                  </pic:blipFill>
                  <pic:spPr>
                    <a:xfrm>
                      <a:off x="0" y="0"/>
                      <a:ext cx="914400" cy="266700"/>
                    </a:xfrm>
                    <a:prstGeom prst="rect">
                      <a:avLst/>
                    </a:prstGeom>
                  </pic:spPr>
                </pic:pic>
              </a:graphicData>
            </a:graphic>
          </wp:anchor>
        </w:drawing>
      </w:r>
      <w:bookmarkEnd w:id="572"/>
      <w:bookmarkEnd w:id="573"/>
    </w:p>
    <w:p>
      <w:pPr>
        <w:pStyle w:val="Para 01"/>
      </w:pPr>
      <w:r>
        <w:t>Manage users and groups with ldapscripts</w:t>
      </w:r>
    </w:p>
    <w:p>
      <w:pPr>
        <w:pStyle w:val="Para 17"/>
      </w:pPr>
      <w:r>
        <w:t/>
      </w:r>
    </w:p>
    <w:p>
      <w:pPr>
        <w:pStyle w:val="Normal"/>
      </w:pPr>
      <w:r>
        <w:t>Here are some brief examples you can use to manage users and groups using ldapscripts.</w:t>
      </w:r>
    </w:p>
    <w:p>
      <w:pPr>
        <w:pStyle w:val="Para 17"/>
      </w:pPr>
      <w:r>
        <w:t/>
      </w:r>
    </w:p>
    <w:p>
      <w:pPr>
        <w:pStyle w:val="Para 01"/>
      </w:pPr>
      <w:r>
        <w:t>Create a new user</w:t>
      </w:r>
    </w:p>
    <w:p>
      <w:pPr>
        <w:pStyle w:val="Para 17"/>
      </w:pPr>
      <w:r>
        <w:t/>
      </w:r>
    </w:p>
    <w:p>
      <w:pPr>
        <w:pStyle w:val="Normal"/>
      </w:pPr>
      <w:r>
        <w:t>sudo ldapaddgroup george</w:t>
      </w:r>
    </w:p>
    <w:p>
      <w:pPr>
        <w:pStyle w:val="Normal"/>
      </w:pPr>
      <w:r>
        <w:t>sudo ldapadduser george george</w:t>
      </w:r>
    </w:p>
    <w:p>
      <w:pPr>
        <w:pStyle w:val="Para 17"/>
      </w:pPr>
      <w:r>
        <w:t/>
      </w:r>
    </w:p>
    <w:p>
      <w:pPr>
        <w:pStyle w:val="Normal"/>
      </w:pPr>
      <w:r>
        <w:t>This will create a group and user with name “george” and set the user’s primary group (</w:t>
      </w:r>
      <w:hyperlink w:anchor="page_685">
        <w:r>
          <w:rPr>
            <w:rStyle w:val="Text1"/>
          </w:rPr>
          <w:t>GID)</w:t>
        </w:r>
      </w:hyperlink>
      <w:r>
        <w:t xml:space="preserve"> to “george” as well.</w:t>
      </w:r>
    </w:p>
    <w:p>
      <w:pPr>
        <w:pStyle w:val="Para 17"/>
      </w:pPr>
      <w:r>
        <w:t/>
      </w:r>
    </w:p>
    <w:p>
      <w:pPr>
        <w:pStyle w:val="Para 01"/>
      </w:pPr>
      <w:r>
        <w:t>Change a user’s password</w:t>
      </w:r>
    </w:p>
    <w:p>
      <w:pPr>
        <w:pStyle w:val="Para 17"/>
      </w:pPr>
      <w:r>
        <w:t/>
      </w:r>
    </w:p>
    <w:p>
      <w:pPr>
        <w:pStyle w:val="Normal"/>
      </w:pPr>
      <w:r>
        <w:t>$ sudo ldapsetpasswd george</w:t>
      </w:r>
    </w:p>
    <w:p>
      <w:pPr>
        <w:pStyle w:val="Normal"/>
      </w:pPr>
      <w:r>
        <w:t>Changing password</w:t>
        <w:t xml:space="preserve"> </w:t>
      </w:r>
      <w:r>
        <w:rPr>
          <w:rStyle w:val="Text0"/>
        </w:rPr>
        <w:t>for</w:t>
      </w:r>
      <w:r>
        <w:t xml:space="preserve"> </w:t>
        <w:t>user</w:t>
        <w:t xml:space="preserve"> </w:t>
        <w:t>uid</w:t>
        <w:t>=</w:t>
        <w:t>george,ou</w:t>
        <w:t>=</w:t>
        <w:t>People,dc</w:t>
        <w:t>=</w:t>
        <w:t>example,dc</w:t>
        <w:t>=</w:t>
        <w:t>com</w:t>
        <w:t xml:space="preserve"> </w:t>
        <w:t>New Password:</w:t>
      </w:r>
    </w:p>
    <w:p>
      <w:pPr>
        <w:pStyle w:val="Normal"/>
      </w:pPr>
      <w:r>
        <w:t>Retype New Password:</w:t>
      </w:r>
    </w:p>
    <w:p>
      <w:pPr>
        <w:pStyle w:val="Normal"/>
      </w:pPr>
      <w:r>
        <w:t>Successfully</w:t>
        <w:t xml:space="preserve"> </w:t>
        <w:t>set</w:t>
        <w:t xml:space="preserve"> </w:t>
        <w:t>password</w:t>
        <w:t xml:space="preserve"> </w:t>
      </w:r>
      <w:r>
        <w:rPr>
          <w:rStyle w:val="Text0"/>
        </w:rPr>
        <w:t>for</w:t>
      </w:r>
      <w:r>
        <w:t xml:space="preserve"> </w:t>
        <w:t>user</w:t>
        <w:t xml:space="preserve"> </w:t>
        <w:t>uid</w:t>
        <w:t>=</w:t>
        <w:t>george,ou</w:t>
        <w:t>=</w:t>
        <w:t>People,dc</w:t>
        <w:t>=</w:t>
        <w:t>example,dc</w:t>
        <w:t>=</w:t>
        <w:t>com</w:t>
      </w:r>
    </w:p>
    <w:p>
      <w:pPr>
        <w:pStyle w:val="Para 17"/>
      </w:pPr>
      <w:r>
        <w:t/>
      </w:r>
    </w:p>
    <w:p>
      <w:pPr>
        <w:pStyle w:val="Para 01"/>
      </w:pPr>
      <w:r>
        <w:t>Delete a user</w:t>
      </w:r>
    </w:p>
    <w:p>
      <w:pPr>
        <w:pStyle w:val="Para 17"/>
      </w:pPr>
      <w:r>
        <w:t/>
      </w:r>
    </w:p>
    <w:p>
      <w:pPr>
        <w:pStyle w:val="Normal"/>
      </w:pPr>
      <w:r>
        <w:t>sudo ldapdeleteuser george</w:t>
      </w:r>
    </w:p>
    <w:p>
      <w:pPr>
        <w:pStyle w:val="Para 17"/>
      </w:pPr>
      <w:r>
        <w:t/>
      </w:r>
    </w:p>
    <w:p>
      <w:pPr>
        <w:pStyle w:val="Normal"/>
      </w:pPr>
      <w:r>
        <w:t>Note that this won’t delete the user’s primary group, but will remove the user from supple-mentary ones.</w:t>
      </w:r>
    </w:p>
    <w:p>
      <w:pPr>
        <w:pStyle w:val="Para 17"/>
      </w:pPr>
      <w:r>
        <w:t/>
      </w:r>
    </w:p>
    <w:p>
      <w:pPr>
        <w:pStyle w:val="Para 01"/>
      </w:pPr>
      <w:r>
        <w:t>Add a group</w:t>
      </w:r>
    </w:p>
    <w:p>
      <w:pPr>
        <w:pStyle w:val="Para 17"/>
      </w:pPr>
      <w:r>
        <w:t/>
      </w:r>
    </w:p>
    <w:p>
      <w:pPr>
        <w:pStyle w:val="Normal"/>
      </w:pPr>
      <w:r>
        <w:t>sudo ldapaddgroup qa</w:t>
      </w:r>
    </w:p>
    <w:p>
      <w:pPr>
        <w:pStyle w:val="Para 17"/>
      </w:pPr>
      <w:r>
        <w:t/>
      </w:r>
    </w:p>
    <w:p>
      <w:pPr>
        <w:pStyle w:val="Para 01"/>
      </w:pPr>
      <w:r>
        <w:t>Delete a group</w:t>
      </w:r>
    </w:p>
    <w:p>
      <w:pPr>
        <w:pStyle w:val="Para 17"/>
      </w:pPr>
      <w:r>
        <w:t/>
      </w:r>
    </w:p>
    <w:p>
      <w:pPr>
        <w:pStyle w:val="Normal"/>
      </w:pPr>
      <w:r>
        <w:t>sudo ldapdeletegroup qa</w:t>
      </w:r>
    </w:p>
    <w:p>
      <w:bookmarkStart w:id="574" w:name="calibre_pb_89"/>
      <w:pPr>
        <w:pStyle w:val="0 Block"/>
      </w:pPr>
      <w:bookmarkEnd w:id="574"/>
    </w:p>
    <w:p>
      <w:bookmarkStart w:id="575" w:name="Top_of_index_split_090_html"/>
      <w:bookmarkStart w:id="576" w:name="page_39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3" name="index-396_1.png" descr="index-396_1.png"/>
            <wp:cNvGraphicFramePr>
              <a:graphicFrameLocks noChangeAspect="1"/>
            </wp:cNvGraphicFramePr>
            <a:graphic>
              <a:graphicData uri="http://schemas.openxmlformats.org/drawingml/2006/picture">
                <pic:pic>
                  <pic:nvPicPr>
                    <pic:cNvPr id="0" name="index-396_1.png" descr="index-396_1.png"/>
                    <pic:cNvPicPr/>
                  </pic:nvPicPr>
                  <pic:blipFill>
                    <a:blip r:embed="rId407"/>
                    <a:stretch>
                      <a:fillRect/>
                    </a:stretch>
                  </pic:blipFill>
                  <pic:spPr>
                    <a:xfrm>
                      <a:off x="0" y="0"/>
                      <a:ext cx="914400" cy="266700"/>
                    </a:xfrm>
                    <a:prstGeom prst="rect">
                      <a:avLst/>
                    </a:prstGeom>
                  </pic:spPr>
                </pic:pic>
              </a:graphicData>
            </a:graphic>
          </wp:anchor>
        </w:drawing>
      </w:r>
      <w:bookmarkEnd w:id="575"/>
      <w:bookmarkEnd w:id="576"/>
    </w:p>
    <w:p>
      <w:pPr>
        <w:pStyle w:val="Para 01"/>
      </w:pPr>
      <w:r>
        <w:t>Add a user to a group</w:t>
      </w:r>
    </w:p>
    <w:p>
      <w:pPr>
        <w:pStyle w:val="Para 17"/>
      </w:pPr>
      <w:r>
        <w:t/>
      </w:r>
    </w:p>
    <w:p>
      <w:pPr>
        <w:pStyle w:val="Normal"/>
      </w:pPr>
      <w:r>
        <w:t>sudo ldapaddusertogroup george qa</w:t>
      </w:r>
    </w:p>
    <w:p>
      <w:pPr>
        <w:pStyle w:val="Para 17"/>
      </w:pPr>
      <w:r>
        <w:t/>
      </w:r>
    </w:p>
    <w:p>
      <w:pPr>
        <w:pStyle w:val="Normal"/>
      </w:pPr>
      <w:r>
        <w:t>You should now see a memberUid attribute for the qa group with a value of george.</w:t>
      </w:r>
    </w:p>
    <w:p>
      <w:pPr>
        <w:pStyle w:val="Para 17"/>
      </w:pPr>
      <w:r>
        <w:t/>
      </w:r>
    </w:p>
    <w:p>
      <w:pPr>
        <w:pStyle w:val="Para 01"/>
      </w:pPr>
      <w:r>
        <w:t>Remove a user from a group</w:t>
      </w:r>
    </w:p>
    <w:p>
      <w:pPr>
        <w:pStyle w:val="Para 17"/>
      </w:pPr>
      <w:r>
        <w:t/>
      </w:r>
    </w:p>
    <w:p>
      <w:pPr>
        <w:pStyle w:val="Normal"/>
      </w:pPr>
      <w:r>
        <w:t>sudo ldapdeleteuserfromgroup george qa</w:t>
      </w:r>
    </w:p>
    <w:p>
      <w:pPr>
        <w:pStyle w:val="Para 17"/>
      </w:pPr>
      <w:r>
        <w:t/>
      </w:r>
    </w:p>
    <w:p>
      <w:pPr>
        <w:pStyle w:val="Normal"/>
      </w:pPr>
      <w:r>
        <w:t>The memberUid attribute should now be removed from the qa group.</w:t>
      </w:r>
    </w:p>
    <w:p>
      <w:pPr>
        <w:pStyle w:val="Para 17"/>
      </w:pPr>
      <w:r>
        <w:t/>
      </w:r>
    </w:p>
    <w:p>
      <w:pPr>
        <w:pStyle w:val="Para 01"/>
      </w:pPr>
      <w:r>
        <w:t>Manage user attributes with ldapmodifyuser</w:t>
      </w:r>
    </w:p>
    <w:p>
      <w:pPr>
        <w:pStyle w:val="Para 17"/>
      </w:pPr>
      <w:r>
        <w:t/>
      </w:r>
    </w:p>
    <w:p>
      <w:pPr>
        <w:pStyle w:val="Normal"/>
      </w:pPr>
      <w:r>
        <w:t>The ldapmodifyuser script allows you to add, remove, or replace a user’s attributes. The script uses the same syntax as the ldapmodify utility. For example:</w:t>
      </w:r>
    </w:p>
    <w:p>
      <w:pPr>
        <w:pStyle w:val="Normal"/>
      </w:pPr>
      <w:r>
        <w:t>sudo ldapmodifyuser george</w:t>
      </w:r>
    </w:p>
    <w:p>
      <w:pPr>
        <w:pStyle w:val="Para 10"/>
      </w:pPr>
      <w:r>
        <w:t># About to modify the following entry :</w:t>
      </w:r>
    </w:p>
    <w:p>
      <w:pPr>
        <w:pStyle w:val="Normal"/>
      </w:pPr>
      <w:r>
        <w:t>dn:</w:t>
        <w:t xml:space="preserve"> </w:t>
        <w:t>uid</w:t>
        <w:t>=</w:t>
        <w:t>george,ou</w:t>
        <w:t>=</w:t>
        <w:t>People,dc</w:t>
        <w:t>=</w:t>
        <w:t>example,dc</w:t>
        <w:t>=</w:t>
        <w:t>com</w:t>
        <w:t xml:space="preserve"> </w:t>
        <w:t>objectClass: account</w:t>
      </w:r>
    </w:p>
    <w:p>
      <w:pPr>
        <w:pStyle w:val="Normal"/>
      </w:pPr>
      <w:r>
        <w:t>objectClass: posixAccount</w:t>
      </w:r>
    </w:p>
    <w:p>
      <w:pPr>
        <w:pStyle w:val="Normal"/>
      </w:pPr>
      <w:r>
        <w:t>cn: george</w:t>
      </w:r>
    </w:p>
    <w:p>
      <w:pPr>
        <w:pStyle w:val="Normal"/>
      </w:pPr>
      <w:r>
        <w:t>uid: george</w:t>
      </w:r>
    </w:p>
    <w:p>
      <w:pPr>
        <w:pStyle w:val="Normal"/>
      </w:pPr>
      <w:r>
        <w:t>uidNumber:</w:t>
        <w:t xml:space="preserve"> </w:t>
        <w:t>10001</w:t>
      </w:r>
    </w:p>
    <w:p>
      <w:pPr>
        <w:pStyle w:val="Normal"/>
      </w:pPr>
      <w:r>
        <w:t>gidNumber:</w:t>
        <w:t xml:space="preserve"> </w:t>
        <w:t>10001</w:t>
      </w:r>
    </w:p>
    <w:p>
      <w:pPr>
        <w:pStyle w:val="Normal"/>
      </w:pPr>
      <w:r>
        <w:t>homeDirectory: /home/george</w:t>
      </w:r>
    </w:p>
    <w:p>
      <w:pPr>
        <w:pStyle w:val="Normal"/>
      </w:pPr>
      <w:r>
        <w:t>loginShell: /bin/bash</w:t>
      </w:r>
    </w:p>
    <w:p>
      <w:pPr>
        <w:pStyle w:val="Normal"/>
      </w:pPr>
      <w:r>
        <w:t>gecos: george</w:t>
      </w:r>
    </w:p>
    <w:p>
      <w:pPr>
        <w:pStyle w:val="Normal"/>
      </w:pPr>
      <w:r>
        <w:t>description: User account</w:t>
      </w:r>
    </w:p>
    <w:p>
      <w:pPr>
        <w:pStyle w:val="Normal"/>
      </w:pPr>
      <w:r>
        <w:t>userPassword::</w:t>
        <w:t xml:space="preserve"> </w:t>
        <w:t>e1NTSEF9eXFsTFcyWlhwWkF1eGUybVdFWHZKRzJVMjFTSG9vcHk</w:t>
        <w:t>=</w:t>
      </w:r>
    </w:p>
    <w:p>
      <w:pPr>
        <w:pStyle w:val="Para 10"/>
      </w:pPr>
      <w:r>
        <w:t># Enter your modifications here, end with CTRL-D.</w:t>
      </w:r>
    </w:p>
    <w:p>
      <w:pPr>
        <w:pStyle w:val="Normal"/>
      </w:pPr>
      <w:r>
        <w:t>dn:</w:t>
        <w:t xml:space="preserve"> </w:t>
        <w:t>uid</w:t>
        <w:t>=</w:t>
        <w:t>george,ou</w:t>
        <w:t>=</w:t>
        <w:t>People,dc</w:t>
        <w:t>=</w:t>
        <w:t>example,dc</w:t>
        <w:t>=</w:t>
        <w:t>com</w:t>
        <w:t xml:space="preserve"> </w:t>
        <w:t>replace: gecos</w:t>
      </w:r>
    </w:p>
    <w:p>
      <w:pPr>
        <w:pStyle w:val="Normal"/>
      </w:pPr>
      <w:r>
        <w:t>gecos: George Carlin</w:t>
      </w:r>
    </w:p>
    <w:p>
      <w:pPr>
        <w:pStyle w:val="Para 17"/>
      </w:pPr>
      <w:r>
        <w:t/>
      </w:r>
    </w:p>
    <w:p>
      <w:pPr>
        <w:pStyle w:val="Normal"/>
      </w:pPr>
      <w:r>
        <w:t>The user’s gecos should now be “George Carlin”.</w:t>
      </w:r>
    </w:p>
    <w:p>
      <w:pPr>
        <w:pStyle w:val="Para 17"/>
      </w:pPr>
      <w:r>
        <w:t/>
      </w:r>
    </w:p>
    <w:p>
      <w:pPr>
        <w:pStyle w:val="Para 01"/>
      </w:pPr>
      <w:r>
        <w:t>ldapscripts templates</w:t>
      </w:r>
    </w:p>
    <w:p>
      <w:pPr>
        <w:pStyle w:val="Para 17"/>
      </w:pPr>
      <w:r>
        <w:t/>
      </w:r>
    </w:p>
    <w:p>
      <w:pPr>
        <w:pStyle w:val="Normal"/>
      </w:pPr>
      <w:r>
        <w:t>A nice feature of ldapscripts is the template system. Templates allow you to customize the attributes of user, group, and machine objects. For example, to enable the user template, edit /etc/ldapscripts/ldapscripts.conf by changing:</w:t>
      </w:r>
    </w:p>
    <w:p>
      <w:pPr>
        <w:pStyle w:val="Normal"/>
      </w:pPr>
      <w:r>
        <w:t>UTEMPLATE="/etc/ldapscripts/ldapadduser.template"</w:t>
      </w:r>
    </w:p>
    <w:p>
      <w:pPr>
        <w:pStyle w:val="Para 17"/>
      </w:pPr>
      <w:r>
        <w:t/>
      </w:r>
    </w:p>
    <w:p>
      <w:pPr>
        <w:pStyle w:val="Normal"/>
      </w:pPr>
      <w:r>
        <w:t xml:space="preserve">There are sample templates in the /usr/share/doc/ldapscripts/examples directory. Copy or rename the ldapadduser.template.sample file to /etc/ldapscripts/ldapadduser.template: </w:t>
        <w:t>sudo cp /usr/share/doc/ldapscripts/examples/ldapadduser.template.sample</w:t>
        <w:t xml:space="preserve"> </w:t>
      </w:r>
      <w:r>
        <w:rPr>
          <w:rStyle w:val="Text0"/>
        </w:rPr>
        <w:t>\</w:t>
      </w:r>
      <w:r>
        <w:t xml:space="preserve"> </w:t>
        <w:t>/etc/ldapscripts/ldapadduser.template</w:t>
      </w:r>
    </w:p>
    <w:p>
      <w:bookmarkStart w:id="577" w:name="page_3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4" name="index-397_1.png" descr="index-397_1.png"/>
            <wp:cNvGraphicFramePr>
              <a:graphicFrameLocks noChangeAspect="1"/>
            </wp:cNvGraphicFramePr>
            <a:graphic>
              <a:graphicData uri="http://schemas.openxmlformats.org/drawingml/2006/picture">
                <pic:pic>
                  <pic:nvPicPr>
                    <pic:cNvPr id="0" name="index-397_1.png" descr="index-397_1.png"/>
                    <pic:cNvPicPr/>
                  </pic:nvPicPr>
                  <pic:blipFill>
                    <a:blip r:embed="rId408"/>
                    <a:stretch>
                      <a:fillRect/>
                    </a:stretch>
                  </pic:blipFill>
                  <pic:spPr>
                    <a:xfrm>
                      <a:off x="0" y="0"/>
                      <a:ext cx="914400" cy="266700"/>
                    </a:xfrm>
                    <a:prstGeom prst="rect">
                      <a:avLst/>
                    </a:prstGeom>
                  </pic:spPr>
                </pic:pic>
              </a:graphicData>
            </a:graphic>
          </wp:anchor>
        </w:drawing>
      </w:r>
      <w:bookmarkEnd w:id="577"/>
    </w:p>
    <w:p>
      <w:pPr>
        <w:pStyle w:val="Para 17"/>
      </w:pPr>
      <w:r>
        <w:t/>
      </w:r>
    </w:p>
    <w:p>
      <w:pPr>
        <w:pStyle w:val="Normal"/>
      </w:pPr>
      <w:r>
        <w:t>Edit the new template to add the desired attributes. The following will create new users with an objectClass of inetOrgPerson:</w:t>
      </w:r>
    </w:p>
    <w:p>
      <w:pPr>
        <w:pStyle w:val="Normal"/>
      </w:pPr>
      <w:r>
        <w:t>dn: uid=&lt;user&gt;,&lt;usuffix&gt;,&lt;suffix&gt;</w:t>
      </w:r>
    </w:p>
    <w:p>
      <w:pPr>
        <w:pStyle w:val="Normal"/>
      </w:pPr>
      <w:r>
        <w:t>objectClass: inetOrgPerson</w:t>
      </w:r>
    </w:p>
    <w:p>
      <w:pPr>
        <w:pStyle w:val="Normal"/>
      </w:pPr>
      <w:r>
        <w:t>objectClass: posixAccount</w:t>
      </w:r>
    </w:p>
    <w:p>
      <w:pPr>
        <w:pStyle w:val="Normal"/>
      </w:pPr>
      <w:r>
        <w:t>cn: &lt;user&gt;</w:t>
      </w:r>
    </w:p>
    <w:p>
      <w:pPr>
        <w:pStyle w:val="Normal"/>
      </w:pPr>
      <w:r>
        <w:t>sn: &lt;ask&gt;</w:t>
      </w:r>
    </w:p>
    <w:p>
      <w:pPr>
        <w:pStyle w:val="Normal"/>
      </w:pPr>
      <w:r>
        <w:t>uid: &lt;user&gt;</w:t>
      </w:r>
    </w:p>
    <w:p>
      <w:pPr>
        <w:pStyle w:val="Normal"/>
      </w:pPr>
      <w:r>
        <w:t>uidNumber: &lt;uid&gt;</w:t>
      </w:r>
    </w:p>
    <w:p>
      <w:pPr>
        <w:pStyle w:val="Normal"/>
      </w:pPr>
      <w:r>
        <w:t>gidNumber: &lt;gid&gt;</w:t>
      </w:r>
    </w:p>
    <w:p>
      <w:pPr>
        <w:pStyle w:val="Normal"/>
      </w:pPr>
      <w:r>
        <w:t>homeDirectory: &lt;home&gt;</w:t>
      </w:r>
    </w:p>
    <w:p>
      <w:pPr>
        <w:pStyle w:val="Normal"/>
      </w:pPr>
      <w:r>
        <w:t>loginShell: &lt;shell&gt;</w:t>
      </w:r>
    </w:p>
    <w:p>
      <w:pPr>
        <w:pStyle w:val="Normal"/>
      </w:pPr>
      <w:r>
        <w:t>gecos: &lt;user&gt;</w:t>
      </w:r>
    </w:p>
    <w:p>
      <w:pPr>
        <w:pStyle w:val="Normal"/>
      </w:pPr>
      <w:r>
        <w:t>description: User account</w:t>
      </w:r>
    </w:p>
    <w:p>
      <w:pPr>
        <w:pStyle w:val="Normal"/>
      </w:pPr>
      <w:r>
        <w:t>title: Employee</w:t>
      </w:r>
    </w:p>
    <w:p>
      <w:pPr>
        <w:pStyle w:val="Para 17"/>
      </w:pPr>
      <w:r>
        <w:t/>
      </w:r>
    </w:p>
    <w:p>
      <w:pPr>
        <w:pStyle w:val="Normal"/>
      </w:pPr>
      <w:r>
        <w:t xml:space="preserve">Notice the &lt;ask&gt; option used for the </w:t>
      </w:r>
      <w:r>
        <w:rPr>
          <w:rStyle w:val="Text0"/>
        </w:rPr>
        <w:t>sn</w:t>
      </w:r>
      <w:r>
        <w:t xml:space="preserve"> attribute. This will make ldapadduser prompt you for its value.</w:t>
      </w:r>
    </w:p>
    <w:p>
      <w:pPr>
        <w:pStyle w:val="Normal"/>
      </w:pPr>
      <w:r>
        <w:t>There are utilities in the package that were not covered here. This command will output a list of them:</w:t>
      </w:r>
    </w:p>
    <w:p>
      <w:pPr>
        <w:pStyle w:val="Normal"/>
      </w:pPr>
      <w:r>
        <w:t>dpkg -L ldapscripts | grep /usr/sbin</w:t>
      </w:r>
    </w:p>
    <w:p>
      <w:pPr>
        <w:pStyle w:val="Para 17"/>
      </w:pPr>
      <w:r>
        <w:t/>
      </w:r>
    </w:p>
    <w:p>
      <w:pPr>
        <w:pStyle w:val="Para 01"/>
      </w:pPr>
      <w:r>
        <w:t>Next steps</w:t>
      </w:r>
    </w:p>
    <w:p>
      <w:pPr>
        <w:pStyle w:val="Para 17"/>
      </w:pPr>
      <w:r>
        <w:t/>
      </w:r>
    </w:p>
    <w:p>
      <w:pPr>
        <w:pStyle w:val="Normal"/>
      </w:pPr>
      <w:r>
        <w:t>Now that you know how to set up and modify users and groups, it’s a good idea to secure</w:t>
      </w:r>
    </w:p>
    <w:p>
      <w:pPr>
        <w:pStyle w:val="Para 20"/>
      </w:pPr>
      <w:r>
        <w:rPr>
          <w:rStyle w:val="Text4"/>
        </w:rPr>
        <w:t xml:space="preserve">your LDAP communication by </w:t>
      </w:r>
      <w:hyperlink w:anchor="page_397">
        <w:r>
          <w:t>setting up Transport Layer Security (TLS)</w:t>
        </w:r>
      </w:hyperlink>
      <w:r>
        <w:rPr>
          <w:rStyle w:val="Text4"/>
        </w:rPr>
        <w:t xml:space="preserve"> (page 396).</w:t>
      </w:r>
    </w:p>
    <w:p>
      <w:pPr>
        <w:pStyle w:val="Para 17"/>
      </w:pPr>
      <w:r>
        <w:t/>
      </w:r>
    </w:p>
    <w:p>
      <w:pPr>
        <w:pStyle w:val="Para 01"/>
      </w:pPr>
      <w:r>
        <w:t>LDAP and Transport Layer Security (TLS)</w:t>
      </w:r>
    </w:p>
    <w:p>
      <w:pPr>
        <w:pStyle w:val="Para 17"/>
      </w:pPr>
      <w:r>
        <w:t/>
      </w:r>
    </w:p>
    <w:p>
      <w:pPr>
        <w:pStyle w:val="Normal"/>
      </w:pPr>
      <w:r>
        <w:t>When authenticating to an OpenLDAP server it is best to do so using an encrypted session. This can be accomplished using Transport Layer Security (TLS).</w:t>
      </w:r>
    </w:p>
    <w:p>
      <w:pPr>
        <w:pStyle w:val="Normal"/>
      </w:pPr>
      <w:r>
        <w:t>Here, we will be our own Certificate Authority (CA) and then create and sign our LDAP server certificate as that CA. This guide will use the certtool utility to complete these tasks. For simplicity, this is being done on the OpenLDAP server itself, but your real internal CA should be elsewhere.</w:t>
      </w:r>
    </w:p>
    <w:p>
      <w:pPr>
        <w:pStyle w:val="Normal"/>
      </w:pPr>
      <w:r>
        <w:t>Install the gnutls-bin and ssl-cert packages:</w:t>
      </w:r>
    </w:p>
    <w:p>
      <w:pPr>
        <w:pStyle w:val="Normal"/>
      </w:pPr>
      <w:r>
        <w:t>sudo apt install gnutls-bin ssl-cert</w:t>
      </w:r>
    </w:p>
    <w:p>
      <w:pPr>
        <w:pStyle w:val="Para 17"/>
      </w:pPr>
      <w:r>
        <w:t/>
      </w:r>
    </w:p>
    <w:p>
      <w:pPr>
        <w:pStyle w:val="Normal"/>
      </w:pPr>
      <w:r>
        <w:t>Create a private key for the Certificate Authority:</w:t>
      </w:r>
    </w:p>
    <w:p>
      <w:pPr>
        <w:pStyle w:val="Normal"/>
      </w:pPr>
      <w:r>
        <w:t>sudo certtool --generate-privkey --bits</w:t>
        <w:t xml:space="preserve"> </w:t>
        <w:t>4096</w:t>
        <w:t>--outfile /etc/ssl/private/mycakey.pem</w:t>
      </w:r>
    </w:p>
    <w:p>
      <w:pPr>
        <w:pStyle w:val="Para 17"/>
      </w:pPr>
      <w:r>
        <w:t/>
      </w:r>
    </w:p>
    <w:p>
      <w:pPr>
        <w:pStyle w:val="Normal"/>
      </w:pPr>
      <w:r>
        <w:t xml:space="preserve">Create the template/file /etc/ssl/ca.info to define the CA: </w:t>
        <w:t>cn = Example Company</w:t>
      </w:r>
    </w:p>
    <w:p>
      <w:bookmarkStart w:id="578" w:name="page_3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5" name="index-398_1.png" descr="index-398_1.png"/>
            <wp:cNvGraphicFramePr>
              <a:graphicFrameLocks noChangeAspect="1"/>
            </wp:cNvGraphicFramePr>
            <a:graphic>
              <a:graphicData uri="http://schemas.openxmlformats.org/drawingml/2006/picture">
                <pic:pic>
                  <pic:nvPicPr>
                    <pic:cNvPr id="0" name="index-398_1.png" descr="index-398_1.png"/>
                    <pic:cNvPicPr/>
                  </pic:nvPicPr>
                  <pic:blipFill>
                    <a:blip r:embed="rId409"/>
                    <a:stretch>
                      <a:fillRect/>
                    </a:stretch>
                  </pic:blipFill>
                  <pic:spPr>
                    <a:xfrm>
                      <a:off x="0" y="0"/>
                      <a:ext cx="914400" cy="266700"/>
                    </a:xfrm>
                    <a:prstGeom prst="rect">
                      <a:avLst/>
                    </a:prstGeom>
                  </pic:spPr>
                </pic:pic>
              </a:graphicData>
            </a:graphic>
          </wp:anchor>
        </w:drawing>
      </w:r>
      <w:bookmarkEnd w:id="578"/>
    </w:p>
    <w:p>
      <w:pPr>
        <w:pStyle w:val="Normal"/>
      </w:pPr>
      <w:r>
        <w:t>ca</w:t>
      </w:r>
    </w:p>
    <w:p>
      <w:pPr>
        <w:pStyle w:val="Normal"/>
      </w:pPr>
      <w:r>
        <w:t>cert_signing_key</w:t>
      </w:r>
    </w:p>
    <w:p>
      <w:pPr>
        <w:pStyle w:val="Normal"/>
      </w:pPr>
      <w:r>
        <w:t>expiration_days = 3650</w:t>
      </w:r>
    </w:p>
    <w:p>
      <w:pPr>
        <w:pStyle w:val="Para 17"/>
      </w:pPr>
      <w:r>
        <w:t/>
      </w:r>
    </w:p>
    <w:p>
      <w:pPr>
        <w:pStyle w:val="Normal"/>
      </w:pPr>
      <w:r>
        <w:t>Create the self-signed CA certificate:</w:t>
      </w:r>
    </w:p>
    <w:p>
      <w:pPr>
        <w:pStyle w:val="Normal"/>
      </w:pPr>
      <w:r>
        <w:t>sudo certtool --generate-self-signed</w:t>
        <w:t xml:space="preserve"> </w:t>
      </w:r>
      <w:r>
        <w:rPr>
          <w:rStyle w:val="Text0"/>
        </w:rPr>
        <w:t>\</w:t>
      </w:r>
    </w:p>
    <w:p>
      <w:pPr>
        <w:pStyle w:val="Normal"/>
      </w:pPr>
      <w:r>
        <w:t>--load-privkey /etc/ssl/private/mycakey.pem</w:t>
        <w:t xml:space="preserve"> </w:t>
      </w:r>
      <w:r>
        <w:rPr>
          <w:rStyle w:val="Text0"/>
        </w:rPr>
        <w:t>\</w:t>
      </w:r>
      <w:r>
        <w:t>--template /etc/ssl/ca.info</w:t>
        <w:t xml:space="preserve"> </w:t>
      </w:r>
      <w:r>
        <w:rPr>
          <w:rStyle w:val="Text0"/>
        </w:rPr>
        <w:t>\</w:t>
      </w:r>
    </w:p>
    <w:p>
      <w:pPr>
        <w:pStyle w:val="Normal"/>
      </w:pPr>
      <w:r>
        <w:t>--outfile /usr/local/share/ca-certificates/mycacert.crt</w:t>
      </w:r>
    </w:p>
    <w:p>
      <w:pPr>
        <w:pStyle w:val="Para 17"/>
      </w:pPr>
      <w:r>
        <w:t/>
      </w:r>
    </w:p>
    <w:p>
      <w:pPr>
        <w:pStyle w:val="Para 08"/>
      </w:pPr>
      <w:r>
        <w:t>Note:</w:t>
      </w:r>
    </w:p>
    <w:p>
      <w:pPr>
        <w:pStyle w:val="Para 03"/>
      </w:pPr>
      <w:r>
        <w:t>Yes, the--outfile path is correct. We are writing the CA certificate to /usr/local/share/</w:t>
      </w:r>
    </w:p>
    <w:p>
      <w:pPr>
        <w:pStyle w:val="Para 03"/>
      </w:pPr>
      <w:r>
        <w:t>ca-certificates . This is where update-ca-certificates will pick up trusted local CAs</w:t>
      </w:r>
    </w:p>
    <w:p>
      <w:pPr>
        <w:pStyle w:val="Para 03"/>
      </w:pPr>
      <w:r>
        <w:t>from. To pick up CAs from /usr/share/ca-certificates, a call to dpkg-reconfigure ca-</w:t>
      </w:r>
    </w:p>
    <w:p>
      <w:pPr>
        <w:pStyle w:val="Para 03"/>
      </w:pPr>
      <w:r>
        <w:t>certificates is necessary.</w:t>
      </w:r>
    </w:p>
    <w:p>
      <w:pPr>
        <w:pStyle w:val="Para 17"/>
      </w:pPr>
      <w:r>
        <w:t/>
      </w:r>
    </w:p>
    <w:p>
      <w:pPr>
        <w:pStyle w:val="Normal"/>
      </w:pPr>
      <w:r>
        <w:t>Run update-ca-certificates to add the new CA certificate to the list of trusted CAs. Note the one added CA:</w:t>
      </w:r>
    </w:p>
    <w:p>
      <w:pPr>
        <w:pStyle w:val="Normal"/>
      </w:pPr>
      <w:r>
        <w:t>$ sudo update-ca-certificates</w:t>
      </w:r>
    </w:p>
    <w:p>
      <w:pPr>
        <w:pStyle w:val="Normal"/>
      </w:pPr>
      <w:r>
        <w:t>Updating certificates</w:t>
        <w:t xml:space="preserve"> </w:t>
      </w:r>
      <w:r>
        <w:rPr>
          <w:rStyle w:val="Text0"/>
        </w:rPr>
        <w:t>in</w:t>
      </w:r>
      <w:r>
        <w:t xml:space="preserve"> </w:t>
        <w:t>/etc/ssl/certs...</w:t>
        <w:t xml:space="preserve"> </w:t>
        <w:t>1</w:t>
        <w:t xml:space="preserve"> </w:t>
        <w:t>added,</w:t>
        <w:t xml:space="preserve"> </w:t>
        <w:t>0</w:t>
        <w:t xml:space="preserve"> </w:t>
        <w:t>removed;</w:t>
        <w:t xml:space="preserve"> </w:t>
      </w:r>
      <w:r>
        <w:rPr>
          <w:rStyle w:val="Text0"/>
        </w:rPr>
        <w:t>done</w:t>
      </w:r>
      <w:r>
        <w:t>.</w:t>
      </w:r>
    </w:p>
    <w:p>
      <w:pPr>
        <w:pStyle w:val="Normal"/>
      </w:pPr>
      <w:r>
        <w:t>Running hooks</w:t>
        <w:t xml:space="preserve"> </w:t>
      </w:r>
      <w:r>
        <w:rPr>
          <w:rStyle w:val="Text0"/>
        </w:rPr>
        <w:t>in</w:t>
      </w:r>
      <w:r>
        <w:t xml:space="preserve"> </w:t>
        <w:t>/etc/ca-certificates/update.d...</w:t>
        <w:t xml:space="preserve"> </w:t>
      </w:r>
      <w:r>
        <w:rPr>
          <w:rStyle w:val="Text0"/>
        </w:rPr>
        <w:t>done</w:t>
      </w:r>
      <w:r>
        <w:t>.</w:t>
      </w:r>
    </w:p>
    <w:p>
      <w:pPr>
        <w:pStyle w:val="Para 17"/>
      </w:pPr>
      <w:r>
        <w:t/>
      </w:r>
    </w:p>
    <w:p>
      <w:pPr>
        <w:pStyle w:val="Normal"/>
      </w:pPr>
      <w:r>
        <w:t>This also creates a /etc/ssl/certs/mycacert.pem symlink pointing to the real file in /usr/ local/share/ca-certificates.</w:t>
      </w:r>
    </w:p>
    <w:p>
      <w:pPr>
        <w:pStyle w:val="Normal"/>
      </w:pPr>
      <w:r>
        <w:t>Make a private key for the server:</w:t>
      </w:r>
    </w:p>
    <w:p>
      <w:pPr>
        <w:pStyle w:val="Normal"/>
      </w:pPr>
      <w:r>
        <w:t>sudo certtool --generate-privkey</w:t>
        <w:t xml:space="preserve"> </w:t>
      </w:r>
      <w:r>
        <w:rPr>
          <w:rStyle w:val="Text0"/>
        </w:rPr>
        <w:t>\</w:t>
      </w:r>
    </w:p>
    <w:p>
      <w:pPr>
        <w:pStyle w:val="Normal"/>
      </w:pPr>
      <w:r>
        <w:t>--bits</w:t>
        <w:t xml:space="preserve"> </w:t>
        <w:t>2048</w:t>
        <w:t xml:space="preserve"> </w:t>
      </w:r>
      <w:r>
        <w:rPr>
          <w:rStyle w:val="Text0"/>
        </w:rPr>
        <w:t>\</w:t>
      </w:r>
    </w:p>
    <w:p>
      <w:pPr>
        <w:pStyle w:val="Normal"/>
      </w:pPr>
      <w:r>
        <w:t>--outfile /etc/ldap/ldap01_slapd_key.pem</w:t>
      </w:r>
    </w:p>
    <w:p>
      <w:pPr>
        <w:pStyle w:val="Para 17"/>
      </w:pPr>
      <w:r>
        <w:t/>
      </w:r>
    </w:p>
    <w:p>
      <w:pPr>
        <w:pStyle w:val="Para 08"/>
      </w:pPr>
      <w:r>
        <w:t>Note:</w:t>
      </w:r>
    </w:p>
    <w:p>
      <w:pPr>
        <w:pStyle w:val="Para 03"/>
      </w:pPr>
      <w:r>
        <w:t xml:space="preserve">Replace ldap01 in the filename with your server’s </w:t>
      </w:r>
      <w:hyperlink w:anchor="page_688">
        <w:r>
          <w:rPr>
            <w:rStyle w:val="Text2"/>
          </w:rPr>
          <w:t>hostname</w:t>
        </w:r>
      </w:hyperlink>
      <w:r>
        <w:t>. Naming the certificate and</w:t>
      </w:r>
    </w:p>
    <w:p>
      <w:pPr>
        <w:pStyle w:val="Para 03"/>
      </w:pPr>
      <w:r>
        <w:t>key for the host and service that will be using them will help keep things clear.</w:t>
      </w:r>
    </w:p>
    <w:p>
      <w:pPr>
        <w:pStyle w:val="Para 17"/>
      </w:pPr>
      <w:r>
        <w:t/>
      </w:r>
    </w:p>
    <w:p>
      <w:pPr>
        <w:pStyle w:val="Normal"/>
      </w:pPr>
      <w:r>
        <w:t>Create the /etc/ssl/ldap01.info info file containing:</w:t>
      </w:r>
    </w:p>
    <w:p>
      <w:pPr>
        <w:pStyle w:val="Normal"/>
      </w:pPr>
      <w:r>
        <w:t>organization = Example Company</w:t>
      </w:r>
    </w:p>
    <w:p>
      <w:pPr>
        <w:pStyle w:val="Normal"/>
      </w:pPr>
      <w:r>
        <w:t>cn = ldap01.example.com</w:t>
      </w:r>
    </w:p>
    <w:p>
      <w:pPr>
        <w:pStyle w:val="Normal"/>
      </w:pPr>
      <w:r>
        <w:t>tls_www_server</w:t>
      </w:r>
    </w:p>
    <w:p>
      <w:pPr>
        <w:pStyle w:val="Normal"/>
      </w:pPr>
      <w:r>
        <w:t>encryption_key</w:t>
      </w:r>
    </w:p>
    <w:p>
      <w:pPr>
        <w:pStyle w:val="Normal"/>
      </w:pPr>
      <w:r>
        <w:t>signing_key</w:t>
      </w:r>
    </w:p>
    <w:p>
      <w:pPr>
        <w:pStyle w:val="Normal"/>
      </w:pPr>
      <w:r>
        <w:t>expiration_days = 365</w:t>
      </w:r>
    </w:p>
    <w:p>
      <w:pPr>
        <w:pStyle w:val="Para 17"/>
      </w:pPr>
      <w:r>
        <w:t/>
      </w:r>
    </w:p>
    <w:p>
      <w:pPr>
        <w:pStyle w:val="Normal"/>
      </w:pPr>
      <w:r>
        <w:t>The above certificate is good for 1 year, and it’s valid only for the ldap01.example.com host-name. You can adjust this according to your needs.</w:t>
      </w:r>
    </w:p>
    <w:p>
      <w:pPr>
        <w:pStyle w:val="Normal"/>
      </w:pPr>
      <w:r>
        <w:t>Create the server’s certificate:</w:t>
      </w:r>
    </w:p>
    <w:p>
      <w:bookmarkStart w:id="579" w:name="page_3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6" name="index-399_1.png" descr="index-399_1.png"/>
            <wp:cNvGraphicFramePr>
              <a:graphicFrameLocks noChangeAspect="1"/>
            </wp:cNvGraphicFramePr>
            <a:graphic>
              <a:graphicData uri="http://schemas.openxmlformats.org/drawingml/2006/picture">
                <pic:pic>
                  <pic:nvPicPr>
                    <pic:cNvPr id="0" name="index-399_1.png" descr="index-399_1.png"/>
                    <pic:cNvPicPr/>
                  </pic:nvPicPr>
                  <pic:blipFill>
                    <a:blip r:embed="rId410"/>
                    <a:stretch>
                      <a:fillRect/>
                    </a:stretch>
                  </pic:blipFill>
                  <pic:spPr>
                    <a:xfrm>
                      <a:off x="0" y="0"/>
                      <a:ext cx="914400" cy="266700"/>
                    </a:xfrm>
                    <a:prstGeom prst="rect">
                      <a:avLst/>
                    </a:prstGeom>
                  </pic:spPr>
                </pic:pic>
              </a:graphicData>
            </a:graphic>
          </wp:anchor>
        </w:drawing>
      </w:r>
      <w:bookmarkEnd w:id="579"/>
    </w:p>
    <w:p>
      <w:pPr>
        <w:pStyle w:val="Normal"/>
      </w:pPr>
      <w:r>
        <w:t>sudo certtool --generate-certificate</w:t>
        <w:t xml:space="preserve"> </w:t>
      </w:r>
      <w:r>
        <w:rPr>
          <w:rStyle w:val="Text0"/>
        </w:rPr>
        <w:t>\</w:t>
      </w:r>
    </w:p>
    <w:p>
      <w:pPr>
        <w:pStyle w:val="Normal"/>
      </w:pPr>
      <w:r>
        <w:t>--load-privkey /etc/ldap/ldap01_slapd_key.pem</w:t>
        <w:t xml:space="preserve"> </w:t>
      </w:r>
      <w:r>
        <w:rPr>
          <w:rStyle w:val="Text0"/>
        </w:rPr>
        <w:t>\</w:t>
      </w:r>
      <w:r>
        <w:t>--load-ca-certificate /etc/ssl/certs/mycacert.pem</w:t>
        <w:t xml:space="preserve"> </w:t>
      </w:r>
      <w:r>
        <w:rPr>
          <w:rStyle w:val="Text0"/>
        </w:rPr>
        <w:t>\</w:t>
      </w:r>
      <w:r>
        <w:t>--load-ca-privkey /etc/ssl/private/mycakey.pem</w:t>
        <w:t xml:space="preserve"> </w:t>
      </w:r>
      <w:r>
        <w:rPr>
          <w:rStyle w:val="Text0"/>
        </w:rPr>
        <w:t>\</w:t>
      </w:r>
      <w:r>
        <w:t>--template /etc/ssl/ldap01.info</w:t>
        <w:t xml:space="preserve"> </w:t>
      </w:r>
      <w:r>
        <w:rPr>
          <w:rStyle w:val="Text0"/>
        </w:rPr>
        <w:t>\</w:t>
      </w:r>
    </w:p>
    <w:p>
      <w:pPr>
        <w:pStyle w:val="Normal"/>
      </w:pPr>
      <w:r>
        <w:t>--outfile /etc/ldap/ldap01_slapd_cert.pem</w:t>
      </w:r>
    </w:p>
    <w:p>
      <w:pPr>
        <w:pStyle w:val="Para 17"/>
      </w:pPr>
      <w:r>
        <w:t/>
      </w:r>
    </w:p>
    <w:p>
      <w:pPr>
        <w:pStyle w:val="Normal"/>
      </w:pPr>
      <w:r>
        <w:t>Adjust permissions and ownership:</w:t>
      </w:r>
    </w:p>
    <w:p>
      <w:pPr>
        <w:pStyle w:val="Normal"/>
      </w:pPr>
      <w:r>
        <w:t>sudo chgrp openldap /etc/ldap/ldap01_slapd_key.pem</w:t>
      </w:r>
    </w:p>
    <w:p>
      <w:pPr>
        <w:pStyle w:val="Normal"/>
      </w:pPr>
      <w:r>
        <w:t>sudo chmod</w:t>
        <w:t xml:space="preserve"> </w:t>
        <w:t>0640</w:t>
        <w:t xml:space="preserve"> </w:t>
        <w:t>/etc/ldap/ldap01_slapd_key.pem</w:t>
      </w:r>
    </w:p>
    <w:p>
      <w:pPr>
        <w:pStyle w:val="Para 17"/>
      </w:pPr>
      <w:r>
        <w:t/>
      </w:r>
    </w:p>
    <w:p>
      <w:pPr>
        <w:pStyle w:val="Normal"/>
      </w:pPr>
      <w:r>
        <w:t>Your server is now ready to accept the new TLS configuration.</w:t>
      </w:r>
    </w:p>
    <w:p>
      <w:pPr>
        <w:pStyle w:val="Normal"/>
      </w:pPr>
      <w:r>
        <w:t>Create the file certinfo.ldif with the following contents (adjust paths and filenames ac-cordingly):</w:t>
      </w:r>
    </w:p>
    <w:p>
      <w:pPr>
        <w:pStyle w:val="Normal"/>
      </w:pPr>
      <w:r>
        <w:t>dn: cn=config</w:t>
      </w:r>
    </w:p>
    <w:p>
      <w:pPr>
        <w:pStyle w:val="Normal"/>
      </w:pPr>
      <w:r>
        <w:t>add: olcTLSCACertificateFile</w:t>
      </w:r>
    </w:p>
    <w:p>
      <w:pPr>
        <w:pStyle w:val="Normal"/>
      </w:pPr>
      <w:r>
        <w:t>olcTLSCACertificateFile: /etc/ssl/certs/mycacert.pem</w:t>
      </w:r>
    </w:p>
    <w:p>
      <w:pPr>
        <w:pStyle w:val="Normal"/>
      </w:pPr>
      <w:r>
        <w:t>-</w:t>
      </w:r>
    </w:p>
    <w:p>
      <w:pPr>
        <w:pStyle w:val="Normal"/>
      </w:pPr>
      <w:r>
        <w:t>add: olcTLSCertificateFile</w:t>
      </w:r>
    </w:p>
    <w:p>
      <w:pPr>
        <w:pStyle w:val="Normal"/>
      </w:pPr>
      <w:r>
        <w:t>olcTLSCertificateFile: /etc/ldap/ldap01_slapd_cert.pem</w:t>
        <w:t>-</w:t>
      </w:r>
    </w:p>
    <w:p>
      <w:pPr>
        <w:pStyle w:val="Normal"/>
      </w:pPr>
      <w:r>
        <w:t>add: olcTLSCertificateKeyFile</w:t>
      </w:r>
    </w:p>
    <w:p>
      <w:pPr>
        <w:pStyle w:val="Normal"/>
      </w:pPr>
      <w:r>
        <w:t>olcTLSCertificateKeyFile: /etc/ldap/ldap01_slapd_key.pem</w:t>
      </w:r>
    </w:p>
    <w:p>
      <w:pPr>
        <w:pStyle w:val="Para 17"/>
      </w:pPr>
      <w:r>
        <w:t/>
      </w:r>
    </w:p>
    <w:p>
      <w:pPr>
        <w:pStyle w:val="Normal"/>
      </w:pPr>
      <w:r>
        <w:t>Use the ldapmodify command to tell slapd about our TLS work via the slapd-config database:</w:t>
      </w:r>
    </w:p>
    <w:p>
      <w:pPr>
        <w:pStyle w:val="Normal"/>
      </w:pPr>
      <w:r>
        <w:t>sudo ldapmodify -Y EXTERNAL -H ldapi:/// -f certinfo.ldif</w:t>
      </w:r>
    </w:p>
    <w:p>
      <w:pPr>
        <w:pStyle w:val="Para 17"/>
      </w:pPr>
      <w:r>
        <w:t/>
      </w:r>
    </w:p>
    <w:p>
      <w:pPr>
        <w:pStyle w:val="Normal"/>
      </w:pPr>
      <w:r>
        <w:t xml:space="preserve">If you need access to </w:t>
      </w:r>
      <w:r>
        <w:rPr>
          <w:rStyle w:val="Text0"/>
        </w:rPr>
        <w:t>LDAPS</w:t>
      </w:r>
      <w:r>
        <w:t xml:space="preserve"> (LDAP over SSL), then you need to edit /etc/default/slapd and include ldaps:/// in SLAPD_SERVICES like below:</w:t>
      </w:r>
    </w:p>
    <w:p>
      <w:pPr>
        <w:pStyle w:val="Normal"/>
      </w:pPr>
      <w:r>
        <w:t>SLAPD_SERVICES="ldap:/// ldapi:/// ldaps:///"</w:t>
      </w:r>
    </w:p>
    <w:p>
      <w:pPr>
        <w:pStyle w:val="Para 17"/>
      </w:pPr>
      <w:r>
        <w:t/>
      </w:r>
    </w:p>
    <w:p>
      <w:pPr>
        <w:pStyle w:val="Normal"/>
      </w:pPr>
      <w:r>
        <w:t>And restart slapd with:</w:t>
      </w:r>
    </w:p>
    <w:p>
      <w:pPr>
        <w:pStyle w:val="Normal"/>
      </w:pPr>
      <w:r>
        <w:t>sudo systemctl restart slapd</w:t>
      </w:r>
    </w:p>
    <w:p>
      <w:pPr>
        <w:pStyle w:val="Para 17"/>
      </w:pPr>
      <w:r>
        <w:t/>
      </w:r>
    </w:p>
    <w:p>
      <w:pPr>
        <w:pStyle w:val="Normal"/>
      </w:pPr>
      <w:r>
        <w:t xml:space="preserve">Note that </w:t>
      </w:r>
      <w:r>
        <w:rPr>
          <w:rStyle w:val="Text3"/>
        </w:rPr>
        <w:t>StartTLS</w:t>
      </w:r>
      <w:r>
        <w:t xml:space="preserve"> will be available without the change above, and does NOT need a slapd restart.</w:t>
      </w:r>
    </w:p>
    <w:p>
      <w:pPr>
        <w:pStyle w:val="Para 10"/>
      </w:pPr>
      <w:r>
        <w:rPr>
          <w:rStyle w:val="Text3"/>
        </w:rPr>
        <w:t xml:space="preserve">Test </w:t>
      </w:r>
      <w:r>
        <w:t>StartTLS</w:t>
      </w:r>
      <w:r>
        <w:rPr>
          <w:rStyle w:val="Text3"/>
        </w:rPr>
        <w:t xml:space="preserve"> :</w:t>
      </w:r>
    </w:p>
    <w:p>
      <w:pPr>
        <w:pStyle w:val="Normal"/>
      </w:pPr>
      <w:r>
        <w:t>$ ldapwhoami -x -ZZ -H ldap://ldap01.example.com</w:t>
      </w:r>
    </w:p>
    <w:p>
      <w:pPr>
        <w:pStyle w:val="Normal"/>
      </w:pPr>
      <w:r>
        <w:t>anonymous</w:t>
      </w:r>
    </w:p>
    <w:p>
      <w:pPr>
        <w:pStyle w:val="Para 17"/>
      </w:pPr>
      <w:r>
        <w:t/>
      </w:r>
    </w:p>
    <w:p>
      <w:pPr>
        <w:pStyle w:val="Normal"/>
      </w:pPr>
      <w:r>
        <w:t>Test LDAPS:</w:t>
      </w:r>
    </w:p>
    <w:p>
      <w:pPr>
        <w:pStyle w:val="Normal"/>
      </w:pPr>
      <w:r>
        <w:t>$ ldapwhoami -x -H ldaps://ldap01.example.com</w:t>
      </w:r>
    </w:p>
    <w:p>
      <w:pPr>
        <w:pStyle w:val="Normal"/>
      </w:pPr>
      <w:r>
        <w:t>anonymous</w:t>
      </w:r>
    </w:p>
    <w:p>
      <w:pPr>
        <w:pStyle w:val="Para 17"/>
      </w:pPr>
      <w:r>
        <w:t/>
      </w:r>
    </w:p>
    <w:p>
      <w:pPr>
        <w:pStyle w:val="Normal"/>
      </w:pPr>
      <w:r>
        <w:t xml:space="preserve">To generate a certificate pair for an OpenLDAP replica (consumer), create a holding directory (which will be used for the eventual transfer) and run the following: </w:t>
        <w:t>mkdir ldap02-ssl</w:t>
      </w:r>
    </w:p>
    <w:p>
      <w:bookmarkStart w:id="580" w:name="page_4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7" name="index-400_1.png" descr="index-400_1.png"/>
            <wp:cNvGraphicFramePr>
              <a:graphicFrameLocks noChangeAspect="1"/>
            </wp:cNvGraphicFramePr>
            <a:graphic>
              <a:graphicData uri="http://schemas.openxmlformats.org/drawingml/2006/picture">
                <pic:pic>
                  <pic:nvPicPr>
                    <pic:cNvPr id="0" name="index-400_1.png" descr="index-400_1.png"/>
                    <pic:cNvPicPr/>
                  </pic:nvPicPr>
                  <pic:blipFill>
                    <a:blip r:embed="rId411"/>
                    <a:stretch>
                      <a:fillRect/>
                    </a:stretch>
                  </pic:blipFill>
                  <pic:spPr>
                    <a:xfrm>
                      <a:off x="0" y="0"/>
                      <a:ext cx="914400" cy="266700"/>
                    </a:xfrm>
                    <a:prstGeom prst="rect">
                      <a:avLst/>
                    </a:prstGeom>
                  </pic:spPr>
                </pic:pic>
              </a:graphicData>
            </a:graphic>
          </wp:anchor>
        </w:drawing>
      </w:r>
      <w:bookmarkEnd w:id="580"/>
    </w:p>
    <w:p>
      <w:pPr>
        <w:pStyle w:val="Normal"/>
      </w:pPr>
      <w:r>
        <w:t>cd</w:t>
        <w:t xml:space="preserve"> </w:t>
        <w:t>ldap02-ssl</w:t>
      </w:r>
    </w:p>
    <w:p>
      <w:pPr>
        <w:pStyle w:val="Normal"/>
      </w:pPr>
      <w:r>
        <w:t>certtool --generate-privkey</w:t>
        <w:t xml:space="preserve"> </w:t>
      </w:r>
      <w:r>
        <w:rPr>
          <w:rStyle w:val="Text0"/>
        </w:rPr>
        <w:t>\</w:t>
      </w:r>
    </w:p>
    <w:p>
      <w:pPr>
        <w:pStyle w:val="Normal"/>
      </w:pPr>
      <w:r>
        <w:t>--bits</w:t>
        <w:t xml:space="preserve"> </w:t>
        <w:t>2048</w:t>
        <w:t xml:space="preserve"> </w:t>
      </w:r>
      <w:r>
        <w:rPr>
          <w:rStyle w:val="Text0"/>
        </w:rPr>
        <w:t>\</w:t>
      </w:r>
    </w:p>
    <w:p>
      <w:pPr>
        <w:pStyle w:val="Normal"/>
      </w:pPr>
      <w:r>
        <w:t>--outfile ldap02_slapd_key.pem</w:t>
      </w:r>
    </w:p>
    <w:p>
      <w:pPr>
        <w:pStyle w:val="Para 17"/>
      </w:pPr>
      <w:r>
        <w:t/>
      </w:r>
    </w:p>
    <w:p>
      <w:pPr>
        <w:pStyle w:val="Normal"/>
      </w:pPr>
      <w:r>
        <w:t>Create an info file, ldap02.info, for the Consumer server, adjusting its values according to your requirements:</w:t>
      </w:r>
    </w:p>
    <w:p>
      <w:pPr>
        <w:pStyle w:val="Normal"/>
      </w:pPr>
      <w:r>
        <w:t>organization</w:t>
        <w:t xml:space="preserve"> </w:t>
        <w:t>=</w:t>
        <w:t xml:space="preserve"> </w:t>
        <w:t>Example Company</w:t>
      </w:r>
    </w:p>
    <w:p>
      <w:pPr>
        <w:pStyle w:val="Normal"/>
      </w:pPr>
      <w:r>
        <w:t>cn</w:t>
        <w:t xml:space="preserve"> </w:t>
        <w:t>=</w:t>
        <w:t xml:space="preserve"> </w:t>
        <w:t>ldap02.example.com</w:t>
      </w:r>
    </w:p>
    <w:p>
      <w:pPr>
        <w:pStyle w:val="Normal"/>
      </w:pPr>
      <w:r>
        <w:t>tls_www_server</w:t>
      </w:r>
    </w:p>
    <w:p>
      <w:pPr>
        <w:pStyle w:val="Normal"/>
      </w:pPr>
      <w:r>
        <w:t>encryption_key</w:t>
      </w:r>
    </w:p>
    <w:p>
      <w:pPr>
        <w:pStyle w:val="Normal"/>
      </w:pPr>
      <w:r>
        <w:t>signing_key</w:t>
      </w:r>
    </w:p>
    <w:p>
      <w:pPr>
        <w:pStyle w:val="Normal"/>
      </w:pPr>
      <w:r>
        <w:t>expiration_days</w:t>
        <w:t xml:space="preserve"> </w:t>
        <w:t>=</w:t>
        <w:t xml:space="preserve"> </w:t>
        <w:t>365</w:t>
      </w:r>
    </w:p>
    <w:p>
      <w:pPr>
        <w:pStyle w:val="Para 17"/>
      </w:pPr>
      <w:r>
        <w:t/>
      </w:r>
    </w:p>
    <w:p>
      <w:pPr>
        <w:pStyle w:val="Normal"/>
      </w:pPr>
      <w:r>
        <w:t>Create the Consumer’s certificate:</w:t>
      </w:r>
    </w:p>
    <w:p>
      <w:pPr>
        <w:pStyle w:val="Para 02"/>
      </w:pPr>
      <w:r>
        <w:t>sudo certtool --generate-certificate</w:t>
        <w:t xml:space="preserve"> </w:t>
      </w:r>
      <w:r>
        <w:rPr>
          <w:rStyle w:val="Text0"/>
        </w:rPr>
        <w:t>\</w:t>
      </w:r>
      <w:r>
        <w:t>--load-privkey ldap02_slapd_key.pem</w:t>
        <w:t xml:space="preserve"> </w:t>
      </w:r>
      <w:r>
        <w:rPr>
          <w:rStyle w:val="Text0"/>
        </w:rPr>
        <w:t>\</w:t>
      </w:r>
      <w:r>
        <w:t>--load-ca-certificate /etc/ssl/certs/mycacert.pem</w:t>
        <w:t xml:space="preserve"> </w:t>
      </w:r>
      <w:r>
        <w:rPr>
          <w:rStyle w:val="Text0"/>
        </w:rPr>
        <w:t>\</w:t>
      </w:r>
      <w:r>
        <w:t>--load-ca-privkey /etc/ssl/private/mycakey.pem</w:t>
        <w:t xml:space="preserve"> </w:t>
      </w:r>
      <w:r>
        <w:rPr>
          <w:rStyle w:val="Text0"/>
        </w:rPr>
        <w:t>\</w:t>
      </w:r>
      <w:r>
        <w:t>--template ldap02.info</w:t>
        <w:t xml:space="preserve"> </w:t>
      </w:r>
      <w:r>
        <w:rPr>
          <w:rStyle w:val="Text0"/>
        </w:rPr>
        <w:t>\</w:t>
      </w:r>
    </w:p>
    <w:p>
      <w:pPr>
        <w:pStyle w:val="Para 02"/>
      </w:pPr>
      <w:r>
        <w:t>--outfile ldap02_slapd_cert.pem</w:t>
      </w:r>
    </w:p>
    <w:p>
      <w:pPr>
        <w:pStyle w:val="Para 17"/>
      </w:pPr>
      <w:r>
        <w:t/>
      </w:r>
    </w:p>
    <w:p>
      <w:pPr>
        <w:pStyle w:val="Para 08"/>
      </w:pPr>
      <w:r>
        <w:t>Note:</w:t>
      </w:r>
    </w:p>
    <w:p>
      <w:pPr>
        <w:pStyle w:val="Para 03"/>
      </w:pPr>
      <w:r>
        <w:t>We had to use sudo to get access to the CA’s private key. This means the generated cer-</w:t>
      </w:r>
    </w:p>
    <w:p>
      <w:pPr>
        <w:pStyle w:val="Para 03"/>
      </w:pPr>
      <w:r>
        <w:t>tificate file is owned by root. You should change that ownership back to your regular user</w:t>
      </w:r>
    </w:p>
    <w:p>
      <w:pPr>
        <w:pStyle w:val="Para 03"/>
      </w:pPr>
      <w:r>
        <w:t>before copying these files over to the Consumer.</w:t>
      </w:r>
    </w:p>
    <w:p>
      <w:pPr>
        <w:pStyle w:val="Para 17"/>
      </w:pPr>
      <w:r>
        <w:t/>
      </w:r>
    </w:p>
    <w:p>
      <w:pPr>
        <w:pStyle w:val="Normal"/>
      </w:pPr>
      <w:r>
        <w:t>Get a copy of the CA certificate:</w:t>
      </w:r>
    </w:p>
    <w:p>
      <w:pPr>
        <w:pStyle w:val="Normal"/>
      </w:pPr>
      <w:r>
        <w:t>cp /etc/ssl/certs/mycacert.pem .</w:t>
      </w:r>
    </w:p>
    <w:p>
      <w:pPr>
        <w:pStyle w:val="Para 17"/>
      </w:pPr>
      <w:r>
        <w:t/>
      </w:r>
    </w:p>
    <w:p>
      <w:pPr>
        <w:pStyle w:val="Normal"/>
      </w:pPr>
      <w:r>
        <w:t>We’re done. Now transfer the ldap02-ssl directory to the Consumer. Here we use scp (adjust accordingly):</w:t>
      </w:r>
    </w:p>
    <w:p>
      <w:pPr>
        <w:pStyle w:val="Normal"/>
      </w:pPr>
      <w:r>
        <w:t>cd</w:t>
        <w:t xml:space="preserve"> </w:t>
        <w:t>..</w:t>
      </w:r>
    </w:p>
    <w:p>
      <w:pPr>
        <w:pStyle w:val="Normal"/>
      </w:pPr>
      <w:r>
        <w:t>scp -r ldap02-ssl user@consumer:</w:t>
      </w:r>
    </w:p>
    <w:p>
      <w:pPr>
        <w:pStyle w:val="Para 17"/>
      </w:pPr>
      <w:r>
        <w:t/>
      </w:r>
    </w:p>
    <w:p>
      <w:pPr>
        <w:pStyle w:val="Normal"/>
      </w:pPr>
      <w:r>
        <w:t>On the Consumer side, install the certificate files you just transferred:</w:t>
      </w:r>
    </w:p>
    <w:p>
      <w:pPr>
        <w:pStyle w:val="Normal"/>
      </w:pPr>
      <w:r>
        <w:t>sudo cp ldap02_slapd_cert.pem ldap02_slapd_key.pem /etc/ldap</w:t>
        <w:t xml:space="preserve"> </w:t>
        <w:t>sudo chgrp openldap /etc/ldap/ldap02_slapd_key.pem</w:t>
      </w:r>
    </w:p>
    <w:p>
      <w:pPr>
        <w:pStyle w:val="Normal"/>
      </w:pPr>
      <w:r>
        <w:t>sudo chmod</w:t>
        <w:t xml:space="preserve"> </w:t>
        <w:t>0640</w:t>
        <w:t xml:space="preserve"> </w:t>
        <w:t>/etc/ldap/ldap02_slapd_key.pem</w:t>
        <w:t xml:space="preserve"> </w:t>
        <w:t>sudo cp mycacert.pem /usr/local/share/ca-certificates/mycacert.crt</w:t>
        <w:t xml:space="preserve"> </w:t>
        <w:t>sudo update-ca-certificates</w:t>
      </w:r>
    </w:p>
    <w:p>
      <w:pPr>
        <w:pStyle w:val="Para 17"/>
      </w:pPr>
      <w:r>
        <w:t/>
      </w:r>
    </w:p>
    <w:p>
      <w:pPr>
        <w:pStyle w:val="Normal"/>
      </w:pPr>
      <w:r>
        <w:t>Create the file certinfo.ldif with the following contents (adjust accordingly regarding paths and filenames, if needed):</w:t>
      </w:r>
    </w:p>
    <w:p>
      <w:pPr>
        <w:pStyle w:val="Normal"/>
      </w:pPr>
      <w:r>
        <w:t>dn: cn=config</w:t>
      </w:r>
    </w:p>
    <w:p>
      <w:pPr>
        <w:pStyle w:val="Normal"/>
      </w:pPr>
      <w:r>
        <w:t>add: olcTLSCACertificateFile</w:t>
      </w:r>
    </w:p>
    <w:p>
      <w:pPr>
        <w:pStyle w:val="Normal"/>
      </w:pPr>
      <w:r>
        <w:t>olcTLSCACertificateFile: /etc/ssl/certs/mycacert.pem</w:t>
      </w:r>
    </w:p>
    <w:p>
      <w:pPr>
        <w:pStyle w:val="Para 09"/>
      </w:pPr>
      <w:r>
        <w:t>(continues on next page)</w:t>
      </w:r>
    </w:p>
    <w:p>
      <w:bookmarkStart w:id="581" w:name="page_4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8" name="index-401_1.png" descr="index-401_1.png"/>
            <wp:cNvGraphicFramePr>
              <a:graphicFrameLocks noChangeAspect="1"/>
            </wp:cNvGraphicFramePr>
            <a:graphic>
              <a:graphicData uri="http://schemas.openxmlformats.org/drawingml/2006/picture">
                <pic:pic>
                  <pic:nvPicPr>
                    <pic:cNvPr id="0" name="index-401_1.png" descr="index-401_1.png"/>
                    <pic:cNvPicPr/>
                  </pic:nvPicPr>
                  <pic:blipFill>
                    <a:blip r:embed="rId412"/>
                    <a:stretch>
                      <a:fillRect/>
                    </a:stretch>
                  </pic:blipFill>
                  <pic:spPr>
                    <a:xfrm>
                      <a:off x="0" y="0"/>
                      <a:ext cx="914400" cy="266700"/>
                    </a:xfrm>
                    <a:prstGeom prst="rect">
                      <a:avLst/>
                    </a:prstGeom>
                  </pic:spPr>
                </pic:pic>
              </a:graphicData>
            </a:graphic>
          </wp:anchor>
        </w:drawing>
      </w:r>
      <w:bookmarkEnd w:id="581"/>
    </w:p>
    <w:p>
      <w:pPr>
        <w:pStyle w:val="Para 09"/>
      </w:pPr>
      <w:r>
        <w:t>(continued from previous page)</w:t>
      </w:r>
    </w:p>
    <w:p>
      <w:pPr>
        <w:pStyle w:val="Normal"/>
      </w:pPr>
      <w:r>
        <w:t>-</w:t>
      </w:r>
    </w:p>
    <w:p>
      <w:pPr>
        <w:pStyle w:val="Normal"/>
      </w:pPr>
      <w:r>
        <w:t>add: olcTLSCertificateFile</w:t>
      </w:r>
    </w:p>
    <w:p>
      <w:pPr>
        <w:pStyle w:val="Normal"/>
      </w:pPr>
      <w:r>
        <w:t>olcTLSCertificateFile: /etc/ldap/ldap02_slapd_cert.pem</w:t>
        <w:t>-</w:t>
      </w:r>
    </w:p>
    <w:p>
      <w:pPr>
        <w:pStyle w:val="Normal"/>
      </w:pPr>
      <w:r>
        <w:t>add: olcTLSCertificateKeyFile</w:t>
      </w:r>
    </w:p>
    <w:p>
      <w:pPr>
        <w:pStyle w:val="Normal"/>
      </w:pPr>
      <w:r>
        <w:t>olcTLSCertificateKeyFile: /etc/ldap/ldap02_slapd_key.pem</w:t>
      </w:r>
    </w:p>
    <w:p>
      <w:pPr>
        <w:pStyle w:val="Para 17"/>
      </w:pPr>
      <w:r>
        <w:t/>
      </w:r>
    </w:p>
    <w:p>
      <w:pPr>
        <w:pStyle w:val="Normal"/>
      </w:pPr>
      <w:r>
        <w:t>Configure the slapd-config database:</w:t>
      </w:r>
    </w:p>
    <w:p>
      <w:pPr>
        <w:pStyle w:val="Normal"/>
      </w:pPr>
      <w:r>
        <w:t>sudo ldapmodify -Y EXTERNAL -H ldapi:/// -f certinfo.ldif</w:t>
      </w:r>
    </w:p>
    <w:p>
      <w:pPr>
        <w:pStyle w:val="Para 17"/>
      </w:pPr>
      <w:r>
        <w:t/>
      </w:r>
    </w:p>
    <w:p>
      <w:pPr>
        <w:pStyle w:val="Normal"/>
      </w:pPr>
      <w:r>
        <w:t>Like before, if you want to enable LDAPS, edit /etc/default/slapd and add ldaps:/// to SLAPD_SERVICES, and then restart slapd.</w:t>
      </w:r>
    </w:p>
    <w:p>
      <w:pPr>
        <w:pStyle w:val="Para 10"/>
      </w:pPr>
      <w:r>
        <w:rPr>
          <w:rStyle w:val="Text3"/>
        </w:rPr>
        <w:t xml:space="preserve">Test </w:t>
      </w:r>
      <w:r>
        <w:t>StartTLS</w:t>
      </w:r>
      <w:r>
        <w:rPr>
          <w:rStyle w:val="Text3"/>
        </w:rPr>
        <w:t xml:space="preserve"> :</w:t>
      </w:r>
    </w:p>
    <w:p>
      <w:pPr>
        <w:pStyle w:val="Normal"/>
      </w:pPr>
      <w:r>
        <w:t>$ ldapwhoami -x -ZZ -H ldap://ldap02.example.com</w:t>
      </w:r>
    </w:p>
    <w:p>
      <w:pPr>
        <w:pStyle w:val="Normal"/>
      </w:pPr>
      <w:r>
        <w:t>anonymous</w:t>
      </w:r>
    </w:p>
    <w:p>
      <w:pPr>
        <w:pStyle w:val="Para 17"/>
      </w:pPr>
      <w:r>
        <w:t/>
      </w:r>
    </w:p>
    <w:p>
      <w:pPr>
        <w:pStyle w:val="Normal"/>
      </w:pPr>
      <w:r>
        <w:t>Test LDAPS:</w:t>
      </w:r>
    </w:p>
    <w:p>
      <w:pPr>
        <w:pStyle w:val="Normal"/>
      </w:pPr>
      <w:r>
        <w:t>$ ldapwhoami -x -H ldaps://ldap02.example.com</w:t>
      </w:r>
    </w:p>
    <w:p>
      <w:pPr>
        <w:pStyle w:val="Normal"/>
      </w:pPr>
      <w:r>
        <w:t>anonymous</w:t>
      </w:r>
    </w:p>
    <w:p>
      <w:pPr>
        <w:pStyle w:val="Para 17"/>
      </w:pPr>
      <w:r>
        <w:t/>
      </w:r>
    </w:p>
    <w:p>
      <w:pPr>
        <w:pStyle w:val="Para 01"/>
      </w:pPr>
      <w:r>
        <w:t>Backup and restore OpenLDAP</w:t>
      </w:r>
    </w:p>
    <w:p>
      <w:pPr>
        <w:pStyle w:val="Para 17"/>
      </w:pPr>
      <w:r>
        <w:t/>
      </w:r>
    </w:p>
    <w:p>
      <w:pPr>
        <w:pStyle w:val="Normal"/>
      </w:pPr>
      <w:r>
        <w:t>Now we have LDAP running just the way we want, it is time to ensure we can save all of our work and restore it as needed.</w:t>
      </w:r>
    </w:p>
    <w:p>
      <w:pPr>
        <w:pStyle w:val="Normal"/>
      </w:pPr>
      <w:r>
        <w:t>What we need is a way to back up the directory database(s) – specifically the configura-</w:t>
      </w:r>
    </w:p>
    <w:p>
      <w:pPr>
        <w:pStyle w:val="Normal"/>
      </w:pPr>
      <w:r>
        <w:t xml:space="preserve">tion backend (cn=config) and the </w:t>
      </w:r>
      <w:hyperlink w:anchor="page_678">
        <w:r>
          <w:rPr>
            <w:rStyle w:val="Text2"/>
          </w:rPr>
          <w:t>DIT</w:t>
        </w:r>
      </w:hyperlink>
      <w:r>
        <w:t xml:space="preserve"> (dc=example,dc=com). If we are going to backup those databases into, say, /export/backup, we could use slapcat as shown in the following script, called /usr/local/bin/ldapbackup:</w:t>
      </w:r>
    </w:p>
    <w:p>
      <w:pPr>
        <w:pStyle w:val="Para 10"/>
      </w:pPr>
      <w:r>
        <w:t>#!/bin/bash</w:t>
      </w:r>
    </w:p>
    <w:p>
      <w:pPr>
        <w:pStyle w:val="Normal"/>
      </w:pPr>
      <w:r>
        <w:t>set</w:t>
        <w:t>-e</w:t>
      </w:r>
    </w:p>
    <w:p>
      <w:pPr>
        <w:pStyle w:val="Normal"/>
      </w:pPr>
      <w:r>
        <w:t>BACKUP_PATH</w:t>
        <w:t>=</w:t>
        <w:t>/export/backup</w:t>
      </w:r>
    </w:p>
    <w:p>
      <w:pPr>
        <w:pStyle w:val="Normal"/>
      </w:pPr>
      <w:r>
        <w:t>SLAPCAT</w:t>
        <w:t>=</w:t>
        <w:t>/usr/sbin/slapcat</w:t>
      </w:r>
    </w:p>
    <w:p>
      <w:pPr>
        <w:pStyle w:val="Normal"/>
      </w:pPr>
      <w:r>
        <w:t>nice</w:t>
        <w:t xml:space="preserve"> </w:t>
      </w:r>
      <w:r>
        <w:rPr>
          <w:rStyle w:val="Text3"/>
        </w:rPr>
        <w:t>${</w:t>
      </w:r>
      <w:r>
        <w:t>SLAPCAT</w:t>
      </w:r>
      <w:r>
        <w:rPr>
          <w:rStyle w:val="Text3"/>
        </w:rPr>
        <w:t>}</w:t>
      </w:r>
      <w:r>
        <w:t>-b</w:t>
        <w:t xml:space="preserve"> </w:t>
        <w:t>cn</w:t>
        <w:t>=</w:t>
        <w:t>config &gt;</w:t>
        <w:t xml:space="preserve"> </w:t>
      </w:r>
      <w:r>
        <w:rPr>
          <w:rStyle w:val="Text3"/>
        </w:rPr>
        <w:t>${</w:t>
      </w:r>
      <w:r>
        <w:t>BACKUP_PATH</w:t>
      </w:r>
      <w:r>
        <w:rPr>
          <w:rStyle w:val="Text3"/>
        </w:rPr>
        <w:t>}</w:t>
      </w:r>
      <w:r>
        <w:t>/config.ldif</w:t>
        <w:t xml:space="preserve"> </w:t>
        <w:t>nice</w:t>
        <w:t xml:space="preserve"> </w:t>
      </w:r>
      <w:r>
        <w:rPr>
          <w:rStyle w:val="Text3"/>
        </w:rPr>
        <w:t>${</w:t>
      </w:r>
      <w:r>
        <w:t>SLAPCAT</w:t>
      </w:r>
      <w:r>
        <w:rPr>
          <w:rStyle w:val="Text3"/>
        </w:rPr>
        <w:t>}</w:t>
      </w:r>
      <w:r>
        <w:t>-b</w:t>
        <w:t xml:space="preserve"> </w:t>
        <w:t>dc</w:t>
        <w:t>=</w:t>
        <w:t>example,dc</w:t>
        <w:t>=</w:t>
        <w:t>com &gt;</w:t>
        <w:t xml:space="preserve"> </w:t>
      </w:r>
      <w:r>
        <w:rPr>
          <w:rStyle w:val="Text3"/>
        </w:rPr>
        <w:t>${</w:t>
      </w:r>
      <w:r>
        <w:t xml:space="preserve"> </w:t>
        <w:t>BACKUP_PATH</w:t>
      </w:r>
      <w:r>
        <w:rPr>
          <w:rStyle w:val="Text3"/>
        </w:rPr>
        <w:t>}</w:t>
      </w:r>
      <w:r>
        <w:t>/example.com.ldif</w:t>
        <w:t xml:space="preserve"> </w:t>
        <w:t>chown root:root</w:t>
        <w:t xml:space="preserve"> </w:t>
      </w:r>
      <w:r>
        <w:rPr>
          <w:rStyle w:val="Text3"/>
        </w:rPr>
        <w:t>${</w:t>
      </w:r>
      <w:r>
        <w:t>BACKUP_PATH</w:t>
      </w:r>
      <w:r>
        <w:rPr>
          <w:rStyle w:val="Text3"/>
        </w:rPr>
        <w:t>}</w:t>
      </w:r>
      <w:r>
        <w:t>/*</w:t>
      </w:r>
    </w:p>
    <w:p>
      <w:pPr>
        <w:pStyle w:val="Normal"/>
      </w:pPr>
      <w:r>
        <w:t>chmod</w:t>
        <w:t xml:space="preserve"> </w:t>
        <w:t>600</w:t>
        <w:t xml:space="preserve"> </w:t>
      </w:r>
      <w:r>
        <w:rPr>
          <w:rStyle w:val="Text3"/>
        </w:rPr>
        <w:t>${</w:t>
      </w:r>
      <w:r>
        <w:t>BACKUP_PATH</w:t>
      </w:r>
      <w:r>
        <w:rPr>
          <w:rStyle w:val="Text3"/>
        </w:rPr>
        <w:t>}</w:t>
      </w:r>
      <w:r>
        <w:t>/*.ldif</w:t>
      </w:r>
    </w:p>
    <w:p>
      <w:pPr>
        <w:pStyle w:val="Para 17"/>
      </w:pPr>
      <w:r>
        <w:t/>
      </w:r>
    </w:p>
    <w:p>
      <w:pPr>
        <w:pStyle w:val="Para 08"/>
      </w:pPr>
      <w:r>
        <w:t>Note:</w:t>
      </w:r>
    </w:p>
    <w:p>
      <w:pPr>
        <w:pStyle w:val="Para 03"/>
      </w:pPr>
      <w:r>
        <w:t>These files are uncompressed text files containing everything in your directory including</w:t>
      </w:r>
    </w:p>
    <w:p>
      <w:pPr>
        <w:pStyle w:val="Para 03"/>
      </w:pPr>
      <w:r>
        <w:t>the tree layout, usernames, and every password. So, you might want to consider making</w:t>
      </w:r>
    </w:p>
    <w:p>
      <w:pPr>
        <w:pStyle w:val="Para 03"/>
      </w:pPr>
      <w:r>
        <w:t>/export/backup an encrypted partition and even having the script encrypt those files as it</w:t>
      </w:r>
    </w:p>
    <w:p>
      <w:pPr>
        <w:pStyle w:val="Para 03"/>
      </w:pPr>
      <w:r>
        <w:t>creates them. Ideally you should do both, but that depends on your security requirements. Then, it is just a matter of having a cron script to run this program as often as you feel com-fortable with. For many, once a day suffices. For others, more often is required. Here is an example of a cron script called /etc/cron.d/ldapbackup that is run every night at 22:45h:</w:t>
      </w:r>
    </w:p>
    <w:p>
      <w:bookmarkStart w:id="582" w:name="page_4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09" name="index-402_1.png" descr="index-402_1.png"/>
            <wp:cNvGraphicFramePr>
              <a:graphicFrameLocks noChangeAspect="1"/>
            </wp:cNvGraphicFramePr>
            <a:graphic>
              <a:graphicData uri="http://schemas.openxmlformats.org/drawingml/2006/picture">
                <pic:pic>
                  <pic:nvPicPr>
                    <pic:cNvPr id="0" name="index-402_1.png" descr="index-402_1.png"/>
                    <pic:cNvPicPr/>
                  </pic:nvPicPr>
                  <pic:blipFill>
                    <a:blip r:embed="rId413"/>
                    <a:stretch>
                      <a:fillRect/>
                    </a:stretch>
                  </pic:blipFill>
                  <pic:spPr>
                    <a:xfrm>
                      <a:off x="0" y="0"/>
                      <a:ext cx="914400" cy="266700"/>
                    </a:xfrm>
                    <a:prstGeom prst="rect">
                      <a:avLst/>
                    </a:prstGeom>
                  </pic:spPr>
                </pic:pic>
              </a:graphicData>
            </a:graphic>
          </wp:anchor>
        </w:drawing>
      </w:r>
      <w:bookmarkEnd w:id="582"/>
    </w:p>
    <w:p>
      <w:pPr>
        <w:pStyle w:val="Normal"/>
      </w:pPr>
      <w:r>
        <w:t>MAILTO=backup-emails@domain.com</w:t>
      </w:r>
    </w:p>
    <w:p>
      <w:pPr>
        <w:pStyle w:val="Normal"/>
      </w:pPr>
      <w:r>
        <w:t>45 22 * * *</w:t>
        <w:t xml:space="preserve"> </w:t>
        <w:t>root</w:t>
        <w:t xml:space="preserve"> </w:t>
        <w:t>/usr/local/bin/ldapbackup</w:t>
      </w:r>
    </w:p>
    <w:p>
      <w:pPr>
        <w:pStyle w:val="Para 17"/>
      </w:pPr>
      <w:r>
        <w:t/>
      </w:r>
    </w:p>
    <w:p>
      <w:pPr>
        <w:pStyle w:val="Normal"/>
      </w:pPr>
      <w:r>
        <w:t>Now the files are created, they should be copied to a backup server.</w:t>
      </w:r>
    </w:p>
    <w:p>
      <w:pPr>
        <w:pStyle w:val="Normal"/>
      </w:pPr>
      <w:r>
        <w:t>Assuming we did a fresh reinstall of LDAP, the restore process could be something like this:</w:t>
      </w:r>
    </w:p>
    <w:p>
      <w:pPr>
        <w:pStyle w:val="Para 10"/>
      </w:pPr>
      <w:r>
        <w:t>#!/bin/bash</w:t>
      </w:r>
    </w:p>
    <w:p>
      <w:pPr>
        <w:pStyle w:val="Normal"/>
      </w:pPr>
      <w:r>
        <w:t>set</w:t>
        <w:t>-e</w:t>
      </w:r>
    </w:p>
    <w:p>
      <w:pPr>
        <w:pStyle w:val="Normal"/>
      </w:pPr>
      <w:r>
        <w:t>BACKUP_PATH</w:t>
        <w:t>=</w:t>
        <w:t>/export/backup</w:t>
      </w:r>
    </w:p>
    <w:p>
      <w:pPr>
        <w:pStyle w:val="Normal"/>
      </w:pPr>
      <w:r>
        <w:t>SLAPADD</w:t>
        <w:t>=</w:t>
        <w:t>/usr/sbin/slapadd</w:t>
      </w:r>
    </w:p>
    <w:p>
      <w:pPr>
        <w:pStyle w:val="Normal"/>
      </w:pPr>
      <w:r>
        <w:rPr>
          <w:rStyle w:val="Text0"/>
        </w:rPr>
        <w:t>if</w:t>
      </w:r>
      <w:r>
        <w:t xml:space="preserve"> </w:t>
        <w:t>[</w:t>
        <w:t>-n</w:t>
        <w:t xml:space="preserve"> </w:t>
        <w:t>"</w:t>
      </w:r>
      <w:r>
        <w:rPr>
          <w:rStyle w:val="Text0"/>
        </w:rPr>
        <w:t>$(</w:t>
      </w:r>
      <w:r>
        <w:t>ls -l /var/lib/ldap/*</w:t>
        <w:t xml:space="preserve"> </w:t>
        <w:t>2</w:t>
        <w:t>&gt;/dev/null</w:t>
      </w:r>
      <w:r>
        <w:rPr>
          <w:rStyle w:val="Text0"/>
        </w:rPr>
        <w:t>)</w:t>
      </w:r>
      <w:r>
        <w:t>"</w:t>
        <w:t>-o -n</w:t>
        <w:t xml:space="preserve"> </w:t>
        <w:t>"</w:t>
      </w:r>
      <w:r>
        <w:rPr>
          <w:rStyle w:val="Text0"/>
        </w:rPr>
        <w:t>$(</w:t>
      </w:r>
      <w:r>
        <w:t>ls -l /etc/ldap/slapd.d/*</w:t>
        <w:t xml:space="preserve"> </w:t>
        <w:t>2</w:t>
        <w:t>&gt;/dev/</w:t>
        <w:t xml:space="preserve"> </w:t>
        <w:t>null</w:t>
      </w:r>
      <w:r>
        <w:rPr>
          <w:rStyle w:val="Text0"/>
        </w:rPr>
        <w:t>)</w:t>
      </w:r>
      <w:r>
        <w:t>"</w:t>
        <w:t xml:space="preserve"> </w:t>
        <w:t>]</w:t>
        <w:t>;</w:t>
        <w:t xml:space="preserve"> </w:t>
      </w:r>
      <w:r>
        <w:rPr>
          <w:rStyle w:val="Text0"/>
        </w:rPr>
        <w:t>then</w:t>
      </w:r>
    </w:p>
    <w:p>
      <w:pPr>
        <w:pStyle w:val="Para 02"/>
      </w:pPr>
      <w:r>
        <w:t>echo</w:t>
        <w:t xml:space="preserve"> </w:t>
        <w:t>Run the following to remove the existing db:</w:t>
        <w:t xml:space="preserve"> </w:t>
        <w:t>echo</w:t>
        <w:t xml:space="preserve"> </w:t>
        <w:t>sudo systemctl stop slapd.service</w:t>
        <w:t xml:space="preserve"> </w:t>
        <w:t>echo</w:t>
        <w:t xml:space="preserve"> </w:t>
        <w:t>sudo rm -rf /etc/ldap/slapd.d/* /var/lib/ldap/*</w:t>
        <w:t xml:space="preserve"> </w:t>
        <w:t>exit</w:t>
        <w:t xml:space="preserve"> </w:t>
        <w:t>1</w:t>
      </w:r>
    </w:p>
    <w:p>
      <w:pPr>
        <w:pStyle w:val="Para 01"/>
      </w:pPr>
      <w:r>
        <w:t>fi</w:t>
      </w:r>
    </w:p>
    <w:p>
      <w:pPr>
        <w:pStyle w:val="Normal"/>
      </w:pPr>
      <w:r>
        <w:t>sudo systemctl stop slapd.service</w:t>
        <w:t xml:space="preserve"> </w:t>
        <w:t>||</w:t>
        <w:t xml:space="preserve"> </w:t>
        <w:t>:</w:t>
      </w:r>
    </w:p>
    <w:p>
      <w:pPr>
        <w:pStyle w:val="Normal"/>
      </w:pPr>
      <w:r>
        <w:t>sudo slapadd -F /etc/ldap/slapd.d -b</w:t>
        <w:t xml:space="preserve"> </w:t>
        <w:t>cn</w:t>
        <w:t>=</w:t>
        <w:t>config -l /export/backup/config.ldif</w:t>
        <w:t xml:space="preserve"> </w:t>
        <w:t>sudo slapadd -F /etc/ldap/slapd.d -b</w:t>
        <w:t xml:space="preserve"> </w:t>
        <w:t>dc</w:t>
        <w:t>=</w:t>
        <w:t>example,dc</w:t>
        <w:t>=</w:t>
        <w:t>com -l /export/backup/example.com.ldif</w:t>
        <w:t xml:space="preserve"> </w:t>
        <w:t>sudo chown -R openldap:openldap /etc/ldap/slapd.d/</w:t>
      </w:r>
    </w:p>
    <w:p>
      <w:pPr>
        <w:pStyle w:val="Normal"/>
      </w:pPr>
      <w:r>
        <w:t>sudo chown -R openldap:openldap /var/lib/ldap/</w:t>
      </w:r>
    </w:p>
    <w:p>
      <w:pPr>
        <w:pStyle w:val="Normal"/>
      </w:pPr>
      <w:r>
        <w:t>sudo systemctl start slapd.service</w:t>
      </w:r>
    </w:p>
    <w:p>
      <w:pPr>
        <w:pStyle w:val="Para 17"/>
      </w:pPr>
      <w:r>
        <w:t/>
      </w:r>
    </w:p>
    <w:p>
      <w:pPr>
        <w:pStyle w:val="Normal"/>
      </w:pPr>
      <w:r>
        <w:t>This is a simplistic backup strategy, of course. It’s being shown here as a reference for the basic tooling you can use for backups and restores.</w:t>
      </w:r>
    </w:p>
    <w:p>
      <w:pPr>
        <w:pStyle w:val="Para 17"/>
      </w:pPr>
      <w:r>
        <w:t/>
      </w:r>
    </w:p>
    <w:p>
      <w:pPr>
        <w:pStyle w:val="Para 01"/>
      </w:pPr>
      <w:r>
        <w:t>How to configure OpenLDAP with passthrough authentication</w:t>
      </w:r>
    </w:p>
    <w:p>
      <w:pPr>
        <w:pStyle w:val="Para 17"/>
      </w:pPr>
      <w:r>
        <w:t/>
      </w:r>
    </w:p>
    <w:p>
      <w:pPr>
        <w:pStyle w:val="Para 01"/>
      </w:pPr>
      <w:r>
        <w:t>Background</w:t>
      </w:r>
    </w:p>
    <w:p>
      <w:pPr>
        <w:pStyle w:val="Para 17"/>
      </w:pPr>
      <w:r>
        <w:t/>
      </w:r>
    </w:p>
    <w:p>
      <w:pPr>
        <w:pStyle w:val="Normal"/>
      </w:pPr>
      <w:r>
        <w:t>Managing large groups of users is great use case for OpenLDAP, and then allowing external applications to authenticate its users against this database allows the applications to offload user management to OpenLDAP. A sophisticated application can use a secure authentication</w:t>
      </w:r>
    </w:p>
    <w:p>
      <w:pPr>
        <w:pStyle w:val="Normal"/>
      </w:pPr>
      <w:r>
        <w:t xml:space="preserve">method such as </w:t>
      </w:r>
      <w:hyperlink r:id="rId1304">
        <w:r>
          <w:rPr>
            <w:rStyle w:val="Text9"/>
          </w:rPr>
          <w:t>332</w:t>
        </w:r>
      </w:hyperlink>
      <w:hyperlink r:id="rId1304">
        <w:r>
          <w:rPr>
            <w:rStyle w:val="Text1"/>
          </w:rPr>
          <w:t xml:space="preserve"> Generic Security Services Application Programming Interface</w:t>
        </w:r>
      </w:hyperlink>
      <w:r>
        <w:t xml:space="preserve"> (GSSAPI) to attempt to bind to the OpenLDAP server and obtain the authentication but a less sophis-ticated application may only be able to performs a simple bind request to OpenLDAP. This simple bind request supplies a username and password to OpenLDAP and then OpenLDAP checks the password against the hashed password it has stored internally and either accepts or rejects the bind. Obviously there is a security concern sending plain passwords over a net-</w:t>
      </w:r>
    </w:p>
    <w:p>
      <w:pPr>
        <w:pStyle w:val="Normal"/>
      </w:pPr>
      <w:r>
        <w:t xml:space="preserve">work so this technique must only be used over a TLS connection see </w:t>
      </w:r>
      <w:hyperlink w:anchor="page_397">
        <w:r>
          <w:rPr>
            <w:rStyle w:val="Text2"/>
          </w:rPr>
          <w:t>setting up Transport Layer</w:t>
        </w:r>
      </w:hyperlink>
    </w:p>
    <w:p>
      <w:pPr>
        <w:pStyle w:val="Para 20"/>
      </w:pPr>
      <w:hyperlink w:anchor="page_397">
        <w:r>
          <w:t>Security (TLS)</w:t>
        </w:r>
      </w:hyperlink>
      <w:r>
        <w:rPr>
          <w:rStyle w:val="Text4"/>
        </w:rPr>
        <w:t xml:space="preserve"> (page 396)</w:t>
      </w:r>
    </w:p>
    <w:p>
      <w:pPr>
        <w:pStyle w:val="Para 05"/>
      </w:pPr>
      <w:r>
        <w:rPr>
          <w:rStyle w:val="Text5"/>
        </w:rPr>
        <w:t>332</w:t>
      </w:r>
      <w:r>
        <w:rPr>
          <w:rStyle w:val="Text8"/>
        </w:rPr>
        <w:t xml:space="preserve"> </w:t>
      </w:r>
      <w:r>
        <w:t>https://www.openldap.org/doc/admin26/sasl.html#GSSAPI</w:t>
      </w:r>
    </w:p>
    <w:p>
      <w:bookmarkStart w:id="583" w:name="page_4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0" name="index-403_1.png" descr="index-403_1.png"/>
            <wp:cNvGraphicFramePr>
              <a:graphicFrameLocks noChangeAspect="1"/>
            </wp:cNvGraphicFramePr>
            <a:graphic>
              <a:graphicData uri="http://schemas.openxmlformats.org/drawingml/2006/picture">
                <pic:pic>
                  <pic:nvPicPr>
                    <pic:cNvPr id="0" name="index-403_1.png" descr="index-403_1.png"/>
                    <pic:cNvPicPr/>
                  </pic:nvPicPr>
                  <pic:blipFill>
                    <a:blip r:embed="rId414"/>
                    <a:stretch>
                      <a:fillRect/>
                    </a:stretch>
                  </pic:blipFill>
                  <pic:spPr>
                    <a:xfrm>
                      <a:off x="0" y="0"/>
                      <a:ext cx="914400" cy="266700"/>
                    </a:xfrm>
                    <a:prstGeom prst="rect">
                      <a:avLst/>
                    </a:prstGeom>
                  </pic:spPr>
                </pic:pic>
              </a:graphicData>
            </a:graphic>
          </wp:anchor>
        </w:drawing>
      </w:r>
      <w:bookmarkEnd w:id="583"/>
    </w:p>
    <w:p>
      <w:pPr>
        <w:pStyle w:val="Para 01"/>
      </w:pPr>
      <w:r>
        <w:t>What is passthrough authentication</w:t>
      </w:r>
    </w:p>
    <w:p>
      <w:pPr>
        <w:pStyle w:val="Para 17"/>
      </w:pPr>
      <w:r>
        <w:t/>
      </w:r>
    </w:p>
    <w:p>
      <w:pPr>
        <w:pStyle w:val="Normal"/>
      </w:pPr>
      <w:r>
        <w:t>A complication occurs when the passwords storage mechanism is outside of OpenLDAP. How can this simple bind process be used without storing the password in the OpenLDAP database. One solution to this problem to use use the Simple Authentication and Security Layer (SASL) library to pass though this bind request to the mechanism where the password is actually stored. The application that does this is the saslauthd daemon. This daemon can be configured to use various other authentication systems and will then pass back the au-thentication status to OpenLDAP which in turn passes it back to the calling application.</w:t>
      </w:r>
    </w:p>
    <w:p>
      <w:pPr>
        <w:pStyle w:val="Normal"/>
      </w:pPr>
      <w:r>
        <w:t>A graphic showing this process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683000"/>
            <wp:effectExtent l="0" r="0" t="0" b="0"/>
            <wp:wrapTopAndBottom/>
            <wp:docPr id="411" name="index-403_2.png" descr="index-403_2.png"/>
            <wp:cNvGraphicFramePr>
              <a:graphicFrameLocks noChangeAspect="1"/>
            </wp:cNvGraphicFramePr>
            <a:graphic>
              <a:graphicData uri="http://schemas.openxmlformats.org/drawingml/2006/picture">
                <pic:pic>
                  <pic:nvPicPr>
                    <pic:cNvPr id="0" name="index-403_2.png" descr="index-403_2.png"/>
                    <pic:cNvPicPr/>
                  </pic:nvPicPr>
                  <pic:blipFill>
                    <a:blip r:embed="rId415"/>
                    <a:stretch>
                      <a:fillRect/>
                    </a:stretch>
                  </pic:blipFill>
                  <pic:spPr>
                    <a:xfrm>
                      <a:off x="0" y="0"/>
                      <a:ext cx="3670300" cy="3683000"/>
                    </a:xfrm>
                    <a:prstGeom prst="rect">
                      <a:avLst/>
                    </a:prstGeom>
                  </pic:spPr>
                </pic:pic>
              </a:graphicData>
            </a:graphic>
          </wp:anchor>
        </w:drawing>
      </w:r>
    </w:p>
    <w:p>
      <w:bookmarkStart w:id="584" w:name="calibre_pb_90"/>
      <w:pPr>
        <w:pStyle w:val="0 Block"/>
      </w:pPr>
      <w:bookmarkEnd w:id="584"/>
    </w:p>
    <w:p>
      <w:bookmarkStart w:id="585" w:name="page_404"/>
      <w:bookmarkStart w:id="586" w:name="Top_of_index_split_09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2" name="index-404_1.png" descr="index-404_1.png"/>
            <wp:cNvGraphicFramePr>
              <a:graphicFrameLocks noChangeAspect="1"/>
            </wp:cNvGraphicFramePr>
            <a:graphic>
              <a:graphicData uri="http://schemas.openxmlformats.org/drawingml/2006/picture">
                <pic:pic>
                  <pic:nvPicPr>
                    <pic:cNvPr id="0" name="index-404_1.png" descr="index-404_1.png"/>
                    <pic:cNvPicPr/>
                  </pic:nvPicPr>
                  <pic:blipFill>
                    <a:blip r:embed="rId416"/>
                    <a:stretch>
                      <a:fillRect/>
                    </a:stretch>
                  </pic:blipFill>
                  <pic:spPr>
                    <a:xfrm>
                      <a:off x="0" y="0"/>
                      <a:ext cx="914400" cy="266700"/>
                    </a:xfrm>
                    <a:prstGeom prst="rect">
                      <a:avLst/>
                    </a:prstGeom>
                  </pic:spPr>
                </pic:pic>
              </a:graphicData>
            </a:graphic>
          </wp:anchor>
        </w:drawing>
      </w:r>
      <w:bookmarkEnd w:id="585"/>
      <w:bookmarkEnd w:id="586"/>
    </w:p>
    <w:p>
      <w:pPr>
        <w:pStyle w:val="Para 01"/>
      </w:pPr>
      <w:r>
        <w:t>Saslauthd authentication providers</w:t>
      </w:r>
    </w:p>
    <w:p>
      <w:pPr>
        <w:pStyle w:val="Para 17"/>
      </w:pPr>
      <w:r>
        <w:t/>
      </w:r>
    </w:p>
    <w:p>
      <w:pPr>
        <w:pStyle w:val="Normal"/>
      </w:pPr>
      <w:r>
        <w:t>Authentication providers that saslauthd can use are:</w:t>
      </w:r>
    </w:p>
    <w:p>
      <w:pPr>
        <w:pStyle w:val="Para 04"/>
      </w:pPr>
      <w:r>
        <w:t>• getpwent – use the getpwent() library function</w:t>
      </w:r>
    </w:p>
    <w:p>
      <w:pPr>
        <w:pStyle w:val="Para 04"/>
      </w:pPr>
      <w:r>
        <w:t>• kerberos5 – use Kerberos 5</w:t>
      </w:r>
    </w:p>
    <w:p>
      <w:pPr>
        <w:pStyle w:val="Para 04"/>
      </w:pPr>
      <w:r>
        <w:t>• pam – use PAM</w:t>
      </w:r>
    </w:p>
    <w:p>
      <w:pPr>
        <w:pStyle w:val="Para 04"/>
      </w:pPr>
      <w:r>
        <w:t>• rimap – use a remote IMAP server</w:t>
      </w:r>
    </w:p>
    <w:p>
      <w:pPr>
        <w:pStyle w:val="Para 04"/>
      </w:pPr>
      <w:r>
        <w:t>• shadow – use the local shadow password file</w:t>
      </w:r>
    </w:p>
    <w:p>
      <w:pPr>
        <w:pStyle w:val="Para 04"/>
      </w:pPr>
      <w:r>
        <w:t>• sasldb – use the local sasldb database file</w:t>
      </w:r>
    </w:p>
    <w:p>
      <w:pPr>
        <w:pStyle w:val="Para 04"/>
      </w:pPr>
      <w:r>
        <w:t>• ldap – use LDAP (configuration is in /etc/saslauthd.conf)</w:t>
      </w:r>
    </w:p>
    <w:p>
      <w:pPr>
        <w:pStyle w:val="Para 17"/>
      </w:pPr>
      <w:r>
        <w:t/>
      </w:r>
    </w:p>
    <w:p>
      <w:pPr>
        <w:pStyle w:val="Para 01"/>
      </w:pPr>
      <w:r>
        <w:t>Further reading</w:t>
      </w:r>
    </w:p>
    <w:p>
      <w:pPr>
        <w:pStyle w:val="Para 17"/>
      </w:pPr>
      <w:r>
        <w:t/>
      </w:r>
    </w:p>
    <w:p>
      <w:pPr>
        <w:pStyle w:val="Para 13"/>
      </w:pPr>
      <w:r>
        <w:rPr>
          <w:rStyle w:val="Text7"/>
        </w:rPr>
        <w:t xml:space="preserve">• </w:t>
      </w:r>
      <w:hyperlink r:id="rId1305">
        <w:r>
          <w:rPr>
            <w:rStyle w:val="Text10"/>
          </w:rPr>
          <w:t>333</w:t>
        </w:r>
      </w:hyperlink>
      <w:hyperlink r:id="rId1305">
        <w:r>
          <w:t xml:space="preserve"> OpenLDAP.org reference</w:t>
        </w:r>
      </w:hyperlink>
    </w:p>
    <w:p>
      <w:pPr>
        <w:pStyle w:val="Para 17"/>
      </w:pPr>
      <w:r>
        <w:t/>
      </w:r>
    </w:p>
    <w:p>
      <w:pPr>
        <w:pStyle w:val="Para 01"/>
      </w:pPr>
      <w:r>
        <w:t>How to configure OpenLDAP with passthrough SASL authentication using Kerberos</w:t>
      </w:r>
    </w:p>
    <w:p>
      <w:pPr>
        <w:pStyle w:val="Para 17"/>
      </w:pPr>
      <w:r>
        <w:t/>
      </w:r>
    </w:p>
    <w:p>
      <w:pPr>
        <w:pStyle w:val="Para 01"/>
      </w:pPr>
      <w:r>
        <w:t>Before you begin</w:t>
      </w:r>
    </w:p>
    <w:p>
      <w:pPr>
        <w:pStyle w:val="Para 17"/>
      </w:pPr>
      <w:r>
        <w:t/>
      </w:r>
    </w:p>
    <w:p>
      <w:pPr>
        <w:pStyle w:val="Normal"/>
      </w:pPr>
      <w:r>
        <w:t>This guide makes several assumptions about the OpenLDAP setup:</w:t>
      </w:r>
    </w:p>
    <w:p>
      <w:pPr>
        <w:pStyle w:val="Para 04"/>
      </w:pPr>
      <w:r>
        <w:t>• Working OpenLDAP server: it is assumed you are starting with a working OpenLDAP</w:t>
      </w:r>
    </w:p>
    <w:p>
      <w:pPr>
        <w:pStyle w:val="Para 02"/>
      </w:pPr>
      <w:r>
        <w:t xml:space="preserve">server, with a hostname of ldap-server.example.com. If not, follow this guide </w:t>
      </w:r>
      <w:hyperlink w:anchor="page_372">
        <w:r>
          <w:rPr>
            <w:rStyle w:val="Text2"/>
          </w:rPr>
          <w:t>Install</w:t>
        </w:r>
      </w:hyperlink>
    </w:p>
    <w:p>
      <w:pPr>
        <w:pStyle w:val="Para 02"/>
      </w:pPr>
      <w:hyperlink w:anchor="page_372">
        <w:r>
          <w:rPr>
            <w:rStyle w:val="Text2"/>
          </w:rPr>
          <w:t>and configure OpenLDAP</w:t>
        </w:r>
      </w:hyperlink>
      <w:r>
        <w:t xml:space="preserve"> (page 371) to set it up.</w:t>
      </w:r>
    </w:p>
    <w:p>
      <w:pPr>
        <w:pStyle w:val="Para 04"/>
      </w:pPr>
      <w:r>
        <w:t>• Working Kerberos realm: it is also assumed that the EXAMPLE.COM realm is set up, and</w:t>
      </w:r>
    </w:p>
    <w:p>
      <w:pPr>
        <w:pStyle w:val="Para 02"/>
      </w:pPr>
      <w:r>
        <w:t>the Kerberos client tools (krb5-user) are installed on the LDAP server. You will need to</w:t>
      </w:r>
    </w:p>
    <w:p>
      <w:pPr>
        <w:pStyle w:val="Para 02"/>
      </w:pPr>
      <w:r>
        <w:t xml:space="preserve">create an Ubuntu principal. See </w:t>
      </w:r>
      <w:hyperlink w:anchor="page_138">
        <w:r>
          <w:rPr>
            <w:rStyle w:val="Text2"/>
          </w:rPr>
          <w:t>How to install a Kerberos server</w:t>
        </w:r>
      </w:hyperlink>
      <w:r>
        <w:t xml:space="preserve"> (page 137).</w:t>
      </w:r>
    </w:p>
    <w:p>
      <w:pPr>
        <w:pStyle w:val="Para 04"/>
      </w:pPr>
      <w:r>
        <w:t xml:space="preserve">• Working </w:t>
      </w:r>
      <w:hyperlink w:anchor="page_710">
        <w:r>
          <w:rPr>
            <w:rStyle w:val="Text2"/>
          </w:rPr>
          <w:t>TLS</w:t>
        </w:r>
      </w:hyperlink>
      <w:r>
        <w:t xml:space="preserve"> setup for OpenLDAP: since simple binds and clear text passwords are in-</w:t>
      </w:r>
    </w:p>
    <w:p>
      <w:pPr>
        <w:pStyle w:val="Para 02"/>
      </w:pPr>
      <w:r>
        <w:t>volved, the OpenLDAP server must have a working TLS setup, and connections to it</w:t>
      </w:r>
    </w:p>
    <w:p>
      <w:pPr>
        <w:pStyle w:val="Para 02"/>
      </w:pPr>
      <w:r>
        <w:t xml:space="preserve">must be using TLS. Refer to </w:t>
      </w:r>
      <w:hyperlink w:anchor="page_397">
        <w:r>
          <w:rPr>
            <w:rStyle w:val="Text2"/>
          </w:rPr>
          <w:t>LDAP and Transport Layer Security (TLS)</w:t>
        </w:r>
      </w:hyperlink>
      <w:r>
        <w:t xml:space="preserve"> (page 396) to set it up.</w:t>
      </w:r>
    </w:p>
    <w:p>
      <w:pPr>
        <w:pStyle w:val="Para 04"/>
      </w:pPr>
      <w:r>
        <w:t xml:space="preserve">• You should also know how to create service principals. See </w:t>
      </w:r>
      <w:hyperlink w:anchor="page_141">
        <w:r>
          <w:rPr>
            <w:rStyle w:val="Text2"/>
          </w:rPr>
          <w:t>How to configure Kerberos</w:t>
        </w:r>
      </w:hyperlink>
    </w:p>
    <w:p>
      <w:pPr>
        <w:pStyle w:val="Para 31"/>
      </w:pPr>
      <w:hyperlink w:anchor="page_141">
        <w:r>
          <w:t>service principals</w:t>
        </w:r>
      </w:hyperlink>
      <w:r>
        <w:rPr>
          <w:rStyle w:val="Text4"/>
        </w:rPr>
        <w:t xml:space="preserve"> (page 140).</w:t>
      </w:r>
    </w:p>
    <w:p>
      <w:pPr>
        <w:pStyle w:val="Normal"/>
      </w:pPr>
      <w:r>
        <w:t>All the following configuration will be on ldap-server.example.com.</w:t>
      </w:r>
    </w:p>
    <w:p>
      <w:pPr>
        <w:pStyle w:val="Para 05"/>
      </w:pPr>
      <w:r>
        <w:rPr>
          <w:rStyle w:val="Text5"/>
        </w:rPr>
        <w:t>333</w:t>
      </w:r>
      <w:r>
        <w:rPr>
          <w:rStyle w:val="Text8"/>
        </w:rPr>
        <w:t xml:space="preserve"> </w:t>
      </w:r>
      <w:r>
        <w:t>https://www.openldap.org/doc/admin26/sasl.html</w:t>
      </w:r>
    </w:p>
    <w:p>
      <w:bookmarkStart w:id="587" w:name="calibre_pb_91"/>
      <w:pPr>
        <w:pStyle w:val="0 Block"/>
      </w:pPr>
      <w:bookmarkEnd w:id="587"/>
    </w:p>
    <w:p>
      <w:bookmarkStart w:id="588" w:name="page_405"/>
      <w:bookmarkStart w:id="589" w:name="Top_of_index_split_09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3" name="index-405_1.png" descr="index-405_1.png"/>
            <wp:cNvGraphicFramePr>
              <a:graphicFrameLocks noChangeAspect="1"/>
            </wp:cNvGraphicFramePr>
            <a:graphic>
              <a:graphicData uri="http://schemas.openxmlformats.org/drawingml/2006/picture">
                <pic:pic>
                  <pic:nvPicPr>
                    <pic:cNvPr id="0" name="index-405_1.png" descr="index-405_1.png"/>
                    <pic:cNvPicPr/>
                  </pic:nvPicPr>
                  <pic:blipFill>
                    <a:blip r:embed="rId417"/>
                    <a:stretch>
                      <a:fillRect/>
                    </a:stretch>
                  </pic:blipFill>
                  <pic:spPr>
                    <a:xfrm>
                      <a:off x="0" y="0"/>
                      <a:ext cx="914400" cy="266700"/>
                    </a:xfrm>
                    <a:prstGeom prst="rect">
                      <a:avLst/>
                    </a:prstGeom>
                  </pic:spPr>
                </pic:pic>
              </a:graphicData>
            </a:graphic>
          </wp:anchor>
        </w:drawing>
      </w:r>
      <w:bookmarkEnd w:id="588"/>
      <w:bookmarkEnd w:id="589"/>
    </w:p>
    <w:p>
      <w:pPr>
        <w:pStyle w:val="Para 08"/>
      </w:pPr>
      <w:r>
        <w:t>Note:</w:t>
      </w:r>
    </w:p>
    <w:p>
      <w:pPr>
        <w:pStyle w:val="Para 22"/>
      </w:pPr>
      <w:r>
        <w:rPr>
          <w:rStyle w:val="Text7"/>
        </w:rPr>
        <w:t xml:space="preserve">This process is not the same as using </w:t>
      </w:r>
      <w:hyperlink r:id="rId1304">
        <w:r>
          <w:t>Generic Security Services Application Programming</w:t>
        </w:r>
      </w:hyperlink>
    </w:p>
    <w:p>
      <w:pPr>
        <w:pStyle w:val="Para 03"/>
      </w:pPr>
      <w:hyperlink r:id="rId1304">
        <w:r>
          <w:rPr>
            <w:rStyle w:val="Text1"/>
          </w:rPr>
          <w:t>Interface</w:t>
        </w:r>
      </w:hyperlink>
      <w:hyperlink r:id="rId1304">
        <w:r>
          <w:rPr>
            <w:rStyle w:val="Text9"/>
          </w:rPr>
          <w:t>334</w:t>
        </w:r>
      </w:hyperlink>
      <w:r>
        <w:t xml:space="preserve"> (GSSAPI) to log into the LDAP server.</w:t>
      </w:r>
    </w:p>
    <w:p>
      <w:pPr>
        <w:pStyle w:val="Para 03"/>
      </w:pPr>
      <w:r>
        <w:t xml:space="preserve">Rather it is using </w:t>
      </w:r>
      <w:hyperlink r:id="rId1306">
        <w:r>
          <w:rPr>
            <w:rStyle w:val="Text9"/>
          </w:rPr>
          <w:t>335</w:t>
        </w:r>
      </w:hyperlink>
      <w:hyperlink r:id="rId1306">
        <w:r>
          <w:rPr>
            <w:rStyle w:val="Text1"/>
          </w:rPr>
          <w:t xml:space="preserve"> simple authentication</w:t>
        </w:r>
      </w:hyperlink>
      <w:r>
        <w:t xml:space="preserve"> with the OpenLDAP server so this should be</w:t>
      </w:r>
    </w:p>
    <w:p>
      <w:pPr>
        <w:pStyle w:val="Para 03"/>
      </w:pPr>
      <w:r>
        <w:t xml:space="preserve">over a </w:t>
      </w:r>
      <w:hyperlink r:id="rId1307">
        <w:r>
          <w:rPr>
            <w:rStyle w:val="Text9"/>
          </w:rPr>
          <w:t>336</w:t>
        </w:r>
      </w:hyperlink>
      <w:hyperlink r:id="rId1307">
        <w:r>
          <w:rPr>
            <w:rStyle w:val="Text1"/>
          </w:rPr>
          <w:t xml:space="preserve"> Transport Layer Security</w:t>
        </w:r>
      </w:hyperlink>
      <w:r>
        <w:t xml:space="preserve"> (TLS) connection.</w:t>
      </w:r>
    </w:p>
    <w:p>
      <w:pPr>
        <w:pStyle w:val="Para 03"/>
      </w:pPr>
      <w:r>
        <w:t>The test user we will be using is ubuntu@EXAMPLE.COM, which must exist in the Kerberos</w:t>
      </w:r>
    </w:p>
    <w:p>
      <w:pPr>
        <w:pStyle w:val="Para 03"/>
      </w:pPr>
      <w:r>
        <w:t>database</w:t>
      </w:r>
    </w:p>
    <w:p>
      <w:pPr>
        <w:pStyle w:val="Para 05"/>
      </w:pPr>
      <w:r>
        <w:rPr>
          <w:rStyle w:val="Text5"/>
        </w:rPr>
        <w:t>334</w:t>
      </w:r>
      <w:r>
        <w:rPr>
          <w:rStyle w:val="Text8"/>
        </w:rPr>
        <w:t xml:space="preserve"> </w:t>
      </w:r>
      <w:r>
        <w:t>https://www.openldap.org/doc/admin26/sasl.html#GSSAPI</w:t>
      </w:r>
    </w:p>
    <w:p>
      <w:pPr>
        <w:pStyle w:val="Para 05"/>
      </w:pPr>
      <w:r>
        <w:rPr>
          <w:rStyle w:val="Text5"/>
        </w:rPr>
        <w:t>335</w:t>
      </w:r>
      <w:r>
        <w:rPr>
          <w:rStyle w:val="Text8"/>
        </w:rPr>
        <w:t xml:space="preserve"> </w:t>
      </w:r>
      <w:r>
        <w:t>https://www.openldap.org/doc/admin26/security.html#%22simple%22%20method</w:t>
      </w:r>
    </w:p>
    <w:p>
      <w:pPr>
        <w:pStyle w:val="Para 05"/>
      </w:pPr>
      <w:r>
        <w:rPr>
          <w:rStyle w:val="Text5"/>
        </w:rPr>
        <w:t>336</w:t>
      </w:r>
      <w:r>
        <w:rPr>
          <w:rStyle w:val="Text8"/>
        </w:rPr>
        <w:t xml:space="preserve"> </w:t>
      </w:r>
      <w:r>
        <w:t>https://datatracker.ietf.org/wg/tls/documents/</w:t>
      </w:r>
    </w:p>
    <w:p>
      <w:pPr>
        <w:pStyle w:val="Para 17"/>
      </w:pPr>
      <w:r>
        <w:t/>
      </w:r>
    </w:p>
    <w:p>
      <w:pPr>
        <w:pStyle w:val="Para 01"/>
      </w:pPr>
      <w:r>
        <w:t>How the passthrough authentication will work</w:t>
      </w:r>
    </w:p>
    <w:p>
      <w:pPr>
        <w:pStyle w:val="Para 17"/>
      </w:pPr>
      <w:r>
        <w:t/>
      </w:r>
    </w:p>
    <w:p>
      <w:pPr>
        <w:pStyle w:val="Normal"/>
      </w:pPr>
      <w:r>
        <w:t>Here is a diagram showing how all the different pieces work together: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235200"/>
            <wp:effectExtent l="0" r="0" t="0" b="0"/>
            <wp:wrapTopAndBottom/>
            <wp:docPr id="414" name="index-405_2.png" descr="index-405_2.png"/>
            <wp:cNvGraphicFramePr>
              <a:graphicFrameLocks noChangeAspect="1"/>
            </wp:cNvGraphicFramePr>
            <a:graphic>
              <a:graphicData uri="http://schemas.openxmlformats.org/drawingml/2006/picture">
                <pic:pic>
                  <pic:nvPicPr>
                    <pic:cNvPr id="0" name="index-405_2.png" descr="index-405_2.png"/>
                    <pic:cNvPicPr/>
                  </pic:nvPicPr>
                  <pic:blipFill>
                    <a:blip r:embed="rId418"/>
                    <a:stretch>
                      <a:fillRect/>
                    </a:stretch>
                  </pic:blipFill>
                  <pic:spPr>
                    <a:xfrm>
                      <a:off x="0" y="0"/>
                      <a:ext cx="3670300" cy="2235200"/>
                    </a:xfrm>
                    <a:prstGeom prst="rect">
                      <a:avLst/>
                    </a:prstGeom>
                  </pic:spPr>
                </pic:pic>
              </a:graphicData>
            </a:graphic>
          </wp:anchor>
        </w:drawing>
      </w:r>
    </w:p>
    <w:p>
      <w:pPr>
        <w:pStyle w:val="Para 17"/>
      </w:pPr>
      <w:r>
        <w:t/>
      </w:r>
    </w:p>
    <w:p>
      <w:pPr>
        <w:pStyle w:val="Normal"/>
      </w:pPr>
      <w:r>
        <w:t>The diagram shows the overall picture of how passthrough authentication can be used with OpenLDAP.</w:t>
      </w:r>
    </w:p>
    <w:p>
      <w:pPr>
        <w:pStyle w:val="Normal"/>
      </w:pPr>
      <w:r>
        <w:t>It also highlights where the password is used in clear text format:</w:t>
      </w:r>
    </w:p>
    <w:p>
      <w:pPr>
        <w:pStyle w:val="Para 04"/>
      </w:pPr>
      <w:r>
        <w:t>• Between the application and OpenLDAP, since it’s a simple bind, the connection must</w:t>
      </w:r>
    </w:p>
    <w:p>
      <w:pPr>
        <w:pStyle w:val="Para 55"/>
      </w:pPr>
      <w:r>
        <w:rPr>
          <w:rStyle w:val="Text4"/>
        </w:rPr>
        <w:t xml:space="preserve">be protected via </w:t>
      </w:r>
      <w:hyperlink w:anchor="page_710">
        <w:r>
          <w:t>TLS</w:t>
        </w:r>
      </w:hyperlink>
      <w:r>
        <w:rPr>
          <w:rStyle w:val="Text4"/>
        </w:rPr>
        <w:t xml:space="preserve"> (see </w:t>
      </w:r>
      <w:hyperlink w:anchor="page_397">
        <w:r>
          <w:t>LDAP and Transport Layer Security (TLS)</w:t>
        </w:r>
      </w:hyperlink>
      <w:r>
        <w:rPr>
          <w:rStyle w:val="Text4"/>
        </w:rPr>
        <w:t xml:space="preserve"> (page 396)).</w:t>
      </w:r>
    </w:p>
    <w:p>
      <w:pPr>
        <w:pStyle w:val="Para 04"/>
      </w:pPr>
      <w:r>
        <w:t>• Between OpenLDAP and saslauthd, the credentials are passed via a UNIX local socket</w:t>
      </w:r>
    </w:p>
    <w:p>
      <w:pPr>
        <w:pStyle w:val="Para 02"/>
      </w:pPr>
      <w:r>
        <w:t>and protected via normal filesystem permissions. It’s still clear text and localhost (the traffic doesn’t go over the network), but only the root user, or the user under which saslauthd runs, can read that data.</w:t>
      </w:r>
    </w:p>
    <w:p>
      <w:pPr>
        <w:pStyle w:val="Para 04"/>
      </w:pPr>
      <w:r>
        <w:t>• Between saslauthd and the authentication mechanism that is chosen, it will depend on</w:t>
      </w:r>
    </w:p>
    <w:p>
      <w:pPr>
        <w:pStyle w:val="Para 02"/>
      </w:pPr>
      <w:r>
        <w:t>the mechanism. Here in this documentation, since we are using Kerberos, the traffic is</w:t>
      </w:r>
    </w:p>
    <w:p>
      <w:bookmarkStart w:id="590" w:name="page_4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5" name="index-406_1.png" descr="index-406_1.png"/>
            <wp:cNvGraphicFramePr>
              <a:graphicFrameLocks noChangeAspect="1"/>
            </wp:cNvGraphicFramePr>
            <a:graphic>
              <a:graphicData uri="http://schemas.openxmlformats.org/drawingml/2006/picture">
                <pic:pic>
                  <pic:nvPicPr>
                    <pic:cNvPr id="0" name="index-406_1.png" descr="index-406_1.png"/>
                    <pic:cNvPicPr/>
                  </pic:nvPicPr>
                  <pic:blipFill>
                    <a:blip r:embed="rId419"/>
                    <a:stretch>
                      <a:fillRect/>
                    </a:stretch>
                  </pic:blipFill>
                  <pic:spPr>
                    <a:xfrm>
                      <a:off x="0" y="0"/>
                      <a:ext cx="914400" cy="266700"/>
                    </a:xfrm>
                    <a:prstGeom prst="rect">
                      <a:avLst/>
                    </a:prstGeom>
                  </pic:spPr>
                </pic:pic>
              </a:graphicData>
            </a:graphic>
          </wp:anchor>
        </w:drawing>
      </w:r>
      <w:bookmarkEnd w:id="590"/>
    </w:p>
    <w:p>
      <w:pPr>
        <w:pStyle w:val="Para 02"/>
      </w:pPr>
      <w:r>
        <w:t>not clear text, so there is nothing else to do.</w:t>
      </w:r>
    </w:p>
    <w:p>
      <w:pPr>
        <w:pStyle w:val="Para 17"/>
      </w:pPr>
      <w:r>
        <w:t/>
      </w:r>
    </w:p>
    <w:p>
      <w:pPr>
        <w:pStyle w:val="Para 01"/>
      </w:pPr>
      <w:r>
        <w:t>Package installation</w:t>
      </w:r>
    </w:p>
    <w:p>
      <w:pPr>
        <w:pStyle w:val="Para 17"/>
      </w:pPr>
      <w:r>
        <w:t/>
      </w:r>
    </w:p>
    <w:p>
      <w:pPr>
        <w:pStyle w:val="Normal"/>
      </w:pPr>
      <w:r>
        <w:t>Install saslauthd on the OpenLDAP server (ldap-server.example.com in this document):</w:t>
      </w:r>
    </w:p>
    <w:p>
      <w:pPr>
        <w:pStyle w:val="Normal"/>
      </w:pPr>
      <w:r>
        <w:t>sudo apt install sasl2-bin</w:t>
      </w:r>
    </w:p>
    <w:p>
      <w:pPr>
        <w:pStyle w:val="Para 17"/>
      </w:pPr>
      <w:r>
        <w:t/>
      </w:r>
    </w:p>
    <w:p>
      <w:pPr>
        <w:pStyle w:val="Para 01"/>
      </w:pPr>
      <w:r>
        <w:t>Check the hostname</w:t>
      </w:r>
    </w:p>
    <w:p>
      <w:pPr>
        <w:pStyle w:val="Para 17"/>
      </w:pPr>
      <w:r>
        <w:t/>
      </w:r>
    </w:p>
    <w:p>
      <w:pPr>
        <w:pStyle w:val="Normal"/>
      </w:pPr>
      <w:r>
        <w:t>Get the hostname from the server:</w:t>
      </w:r>
    </w:p>
    <w:p>
      <w:pPr>
        <w:pStyle w:val="Normal"/>
      </w:pPr>
      <w:r>
        <w:t>hostname -f</w:t>
      </w:r>
    </w:p>
    <w:p>
      <w:pPr>
        <w:pStyle w:val="Para 17"/>
      </w:pPr>
      <w:r>
        <w:t/>
      </w:r>
    </w:p>
    <w:p>
      <w:pPr>
        <w:pStyle w:val="Normal"/>
      </w:pPr>
      <w:r>
        <w:t>Which should give you the hostname of:</w:t>
      </w:r>
    </w:p>
    <w:p>
      <w:pPr>
        <w:pStyle w:val="Normal"/>
      </w:pPr>
      <w:r>
        <w:t>ldap-server.example.com</w:t>
      </w:r>
    </w:p>
    <w:p>
      <w:pPr>
        <w:pStyle w:val="Para 17"/>
      </w:pPr>
      <w:r>
        <w:t/>
      </w:r>
    </w:p>
    <w:p>
      <w:pPr>
        <w:pStyle w:val="Normal"/>
      </w:pPr>
      <w:r>
        <w:t>Also check the hostname and domain using a reverse lookup with your IP. For example, if the IP address is 10.10.17.91:</w:t>
      </w:r>
    </w:p>
    <w:p>
      <w:pPr>
        <w:pStyle w:val="Normal"/>
      </w:pPr>
      <w:r>
        <w:t>nslookup 10.10.17.91</w:t>
      </w:r>
    </w:p>
    <w:p>
      <w:pPr>
        <w:pStyle w:val="Para 17"/>
      </w:pPr>
      <w:r>
        <w:t/>
      </w:r>
    </w:p>
    <w:p>
      <w:pPr>
        <w:pStyle w:val="Normal"/>
      </w:pPr>
      <w:r>
        <w:t>The reply should look like this:</w:t>
      </w:r>
    </w:p>
    <w:p>
      <w:pPr>
        <w:pStyle w:val="Normal"/>
      </w:pPr>
      <w:r>
        <w:t>91.17.10.10.in-addr.arpa</w:t>
        <w:t xml:space="preserve"> </w:t>
        <w:t>name = ldap-server.example.com.</w:t>
      </w:r>
    </w:p>
    <w:p>
      <w:pPr>
        <w:pStyle w:val="Para 17"/>
      </w:pPr>
      <w:r>
        <w:t/>
      </w:r>
    </w:p>
    <w:p>
      <w:pPr>
        <w:pStyle w:val="Normal"/>
      </w:pPr>
      <w:r>
        <w:t>If the result is the same as your host’s canonical name them all is well. If the domain is missing,</w:t>
      </w:r>
    </w:p>
    <w:p>
      <w:pPr>
        <w:pStyle w:val="Normal"/>
      </w:pPr>
      <w:r>
        <w:t xml:space="preserve">the </w:t>
      </w:r>
      <w:hyperlink r:id="rId1308">
        <w:r>
          <w:rPr>
            <w:rStyle w:val="Text9"/>
          </w:rPr>
          <w:t>337</w:t>
        </w:r>
      </w:hyperlink>
      <w:hyperlink r:id="rId1308">
        <w:r>
          <w:rPr>
            <w:rStyle w:val="Text1"/>
          </w:rPr>
          <w:t xml:space="preserve"> Fully Qualified Domain Name</w:t>
        </w:r>
      </w:hyperlink>
      <w:r>
        <w:t xml:space="preserve"> (FQDN) can be entered in the /etc/hosts file.</w:t>
      </w:r>
    </w:p>
    <w:p>
      <w:pPr>
        <w:pStyle w:val="Normal"/>
      </w:pPr>
      <w:r>
        <w:t>sudo vi /etc/hosts</w:t>
      </w:r>
    </w:p>
    <w:p>
      <w:pPr>
        <w:pStyle w:val="Para 17"/>
      </w:pPr>
      <w:r>
        <w:t/>
      </w:r>
    </w:p>
    <w:p>
      <w:pPr>
        <w:pStyle w:val="Normal"/>
      </w:pPr>
      <w:r>
        <w:t>Add the FQDN before the short hostname. Using the same IP as in the previous example, we would have:</w:t>
      </w:r>
    </w:p>
    <w:p>
      <w:pPr>
        <w:pStyle w:val="Normal"/>
      </w:pPr>
      <w:r>
        <w:t>10.10.17.91 ldap-server.example.com ldap-server</w:t>
      </w:r>
    </w:p>
    <w:p>
      <w:pPr>
        <w:pStyle w:val="Para 17"/>
      </w:pPr>
      <w:r>
        <w:t/>
      </w:r>
    </w:p>
    <w:p>
      <w:pPr>
        <w:pStyle w:val="Para 01"/>
      </w:pPr>
      <w:r>
        <w:t>Create the saslauthd principal</w:t>
      </w:r>
    </w:p>
    <w:p>
      <w:pPr>
        <w:pStyle w:val="Para 17"/>
      </w:pPr>
      <w:r>
        <w:t/>
      </w:r>
    </w:p>
    <w:p>
      <w:pPr>
        <w:pStyle w:val="Normal"/>
      </w:pPr>
      <w:r>
        <w:t>The saslauthd daemon needs a Kerberos service principal in order to authenticate itself to the Kerberos server. Such principals are created with a random password, and the resulting key is stored in /etc/krb5.keytab. For more information about Kerberos service principals,</w:t>
      </w:r>
    </w:p>
    <w:p>
      <w:pPr>
        <w:pStyle w:val="Para 20"/>
      </w:pPr>
      <w:r>
        <w:rPr>
          <w:rStyle w:val="Text4"/>
        </w:rPr>
        <w:t xml:space="preserve">please consult </w:t>
      </w:r>
      <w:hyperlink w:anchor="page_141">
        <w:r>
          <w:t>How to configure Kerberos service principals</w:t>
        </w:r>
      </w:hyperlink>
      <w:r>
        <w:rPr>
          <w:rStyle w:val="Text4"/>
        </w:rPr>
        <w:t xml:space="preserve"> (page 140).</w:t>
      </w:r>
    </w:p>
    <w:p>
      <w:pPr>
        <w:pStyle w:val="Normal"/>
      </w:pPr>
      <w:r>
        <w:t>The simplest way to create this principal, and extract the key safely, is to run the kadmin tool remotely, instead of on the Kerberos server. Since the key needs to be written to / etc/krb5.keytab, the tool needs to be run with root privileges. Additionally, since creating a new service principal, as well as extracting its key, are privileged operations, we need an /admin instance of a principal in order to be allowed these actions. In this example, we will use ubuntu/admin:</w:t>
      </w:r>
    </w:p>
    <w:p>
      <w:pPr>
        <w:pStyle w:val="Para 05"/>
      </w:pPr>
      <w:r>
        <w:rPr>
          <w:rStyle w:val="Text5"/>
        </w:rPr>
        <w:t>337</w:t>
      </w:r>
      <w:r>
        <w:rPr>
          <w:rStyle w:val="Text8"/>
        </w:rPr>
        <w:t xml:space="preserve"> </w:t>
      </w:r>
      <w:r>
        <w:t>https://en.wikipedia.org/wiki/Fully_qualified_domain_name</w:t>
      </w:r>
      <w:r>
        <w:rPr>
          <w:rStyle w:val="Text8"/>
        </w:rPr>
        <w:t xml:space="preserve"> </w:t>
        <w:t>sudo kadmin -p ubuntu/admin</w:t>
      </w:r>
    </w:p>
    <w:p>
      <w:bookmarkStart w:id="591" w:name="page_4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6" name="index-407_1.png" descr="index-407_1.png"/>
            <wp:cNvGraphicFramePr>
              <a:graphicFrameLocks noChangeAspect="1"/>
            </wp:cNvGraphicFramePr>
            <a:graphic>
              <a:graphicData uri="http://schemas.openxmlformats.org/drawingml/2006/picture">
                <pic:pic>
                  <pic:nvPicPr>
                    <pic:cNvPr id="0" name="index-407_1.png" descr="index-407_1.png"/>
                    <pic:cNvPicPr/>
                  </pic:nvPicPr>
                  <pic:blipFill>
                    <a:blip r:embed="rId420"/>
                    <a:stretch>
                      <a:fillRect/>
                    </a:stretch>
                  </pic:blipFill>
                  <pic:spPr>
                    <a:xfrm>
                      <a:off x="0" y="0"/>
                      <a:ext cx="914400" cy="266700"/>
                    </a:xfrm>
                    <a:prstGeom prst="rect">
                      <a:avLst/>
                    </a:prstGeom>
                  </pic:spPr>
                </pic:pic>
              </a:graphicData>
            </a:graphic>
          </wp:anchor>
        </w:drawing>
      </w:r>
      <w:bookmarkEnd w:id="591"/>
    </w:p>
    <w:p>
      <w:pPr>
        <w:pStyle w:val="Para 17"/>
      </w:pPr>
      <w:r>
        <w:t/>
      </w:r>
    </w:p>
    <w:p>
      <w:pPr>
        <w:pStyle w:val="Normal"/>
      </w:pPr>
      <w:r>
        <w:t>An interactive session will look like below. Note the two commands we are issuing at the kadmin: prompt: addprinc and ktadd:</w:t>
      </w:r>
    </w:p>
    <w:p>
      <w:pPr>
        <w:pStyle w:val="Normal"/>
      </w:pPr>
      <w:r>
        <w:t>Authenticating as principal ubuntu/admin with password.</w:t>
        <w:t xml:space="preserve"> </w:t>
        <w:t>Password for ubuntu/admin@EXAMPLE.COM</w:t>
      </w:r>
    </w:p>
    <w:p>
      <w:pPr>
        <w:pStyle w:val="Normal"/>
      </w:pPr>
      <w:r>
        <w:t>kadmin: addprinc -randkey host/ldap-server.example.com</w:t>
        <w:t xml:space="preserve"> </w:t>
        <w:t>No policy specified for host/ldap-server.example.com@EXAMPLE.COM; defaulting to no policy</w:t>
        <w:t xml:space="preserve"> </w:t>
        <w:t>Principal "host/ldap-server.example.com@EXAMPLE.COM" created.</w:t>
        <w:t xml:space="preserve"> </w:t>
        <w:t>kadmin: ktadd host/ldap-server.example.com</w:t>
      </w:r>
    </w:p>
    <w:p>
      <w:pPr>
        <w:pStyle w:val="Normal"/>
      </w:pPr>
      <w:r>
        <w:t>Entry for principal host/ldap-server.example.com with kvno 2, encryption type aes256-cts-</w:t>
        <w:t>hmac-sha1-96 added to keytab FILE:/etc/krb5.keytab.</w:t>
      </w:r>
    </w:p>
    <w:p>
      <w:pPr>
        <w:pStyle w:val="Normal"/>
      </w:pPr>
      <w:r>
        <w:t>Entry for principal host/ldap-server.example.com with kvno 2, encryption type aes128-cts-</w:t>
        <w:t>hmac-sha1-96 added to keytab FILE:/etc/krb5.keytab.</w:t>
      </w:r>
    </w:p>
    <w:p>
      <w:pPr>
        <w:pStyle w:val="Para 17"/>
      </w:pPr>
      <w:r>
        <w:t/>
      </w:r>
    </w:p>
    <w:p>
      <w:pPr>
        <w:pStyle w:val="Normal"/>
      </w:pPr>
      <w:r>
        <w:t>Alternatively, we can issue the commands directly:</w:t>
      </w:r>
    </w:p>
    <w:p>
      <w:pPr>
        <w:pStyle w:val="Normal"/>
      </w:pPr>
      <w:r>
        <w:t>kadmin -p ubuntu/admin -q "addprinc -randkey host/ldap-server.example.com"</w:t>
      </w:r>
    </w:p>
    <w:p>
      <w:pPr>
        <w:pStyle w:val="Para 17"/>
      </w:pPr>
      <w:r>
        <w:t/>
      </w:r>
    </w:p>
    <w:p>
      <w:pPr>
        <w:pStyle w:val="Para 08"/>
      </w:pPr>
      <w:r>
        <w:t>Note:</w:t>
      </w:r>
    </w:p>
    <w:p>
      <w:pPr>
        <w:pStyle w:val="Para 03"/>
      </w:pPr>
      <w:r>
        <w:t>sudo is not needed to remotely create a new principal.</w:t>
      </w:r>
    </w:p>
    <w:p>
      <w:pPr>
        <w:pStyle w:val="Para 17"/>
      </w:pPr>
      <w:r>
        <w:t/>
      </w:r>
    </w:p>
    <w:p>
      <w:pPr>
        <w:pStyle w:val="Normal"/>
      </w:pPr>
      <w:r>
        <w:t>And:</w:t>
      </w:r>
    </w:p>
    <w:p>
      <w:pPr>
        <w:pStyle w:val="Normal"/>
      </w:pPr>
      <w:r>
        <w:t>sudo kadmin -p ubuntu/admin -q "ktadd host/ldap-server.example.com"</w:t>
      </w:r>
    </w:p>
    <w:p>
      <w:pPr>
        <w:pStyle w:val="Para 17"/>
      </w:pPr>
      <w:r>
        <w:t/>
      </w:r>
    </w:p>
    <w:p>
      <w:pPr>
        <w:pStyle w:val="Normal"/>
      </w:pPr>
      <w:r>
        <w:t>To check that the service principal was added to /etc/krb5.keytab, run this command:</w:t>
      </w:r>
    </w:p>
    <w:p>
      <w:pPr>
        <w:pStyle w:val="Normal"/>
      </w:pPr>
      <w:r>
        <w:t>sudo klist -k</w:t>
      </w:r>
    </w:p>
    <w:p>
      <w:pPr>
        <w:pStyle w:val="Para 17"/>
      </w:pPr>
      <w:r>
        <w:t/>
      </w:r>
    </w:p>
    <w:p>
      <w:pPr>
        <w:pStyle w:val="Normal"/>
      </w:pPr>
      <w:r>
        <w:t>You should see the following:</w:t>
      </w:r>
    </w:p>
    <w:p>
      <w:pPr>
        <w:pStyle w:val="Normal"/>
      </w:pPr>
      <w:r>
        <w:t>Keytab name: FILE:/etc/krb5.keytab</w:t>
      </w:r>
    </w:p>
    <w:p>
      <w:pPr>
        <w:pStyle w:val="Normal"/>
      </w:pPr>
      <w:r>
        <w:t>KVNO Principal</w:t>
      </w:r>
    </w:p>
    <w:p>
      <w:pPr>
        <w:pStyle w:val="Normal"/>
      </w:pPr>
      <w:r>
        <w:t>---- --------------------------------------------------------------------------</w:t>
      </w:r>
    </w:p>
    <w:p>
      <w:pPr>
        <w:pStyle w:val="Para 02"/>
      </w:pPr>
      <w:r>
        <w:t>2 host/ldap-server.example.com@EXAMPLE.COM</w:t>
      </w:r>
    </w:p>
    <w:p>
      <w:pPr>
        <w:pStyle w:val="Para 02"/>
      </w:pPr>
      <w:r>
        <w:t>2 host/ldap-server.example.com@EXAMPLE.COM</w:t>
      </w:r>
    </w:p>
    <w:p>
      <w:pPr>
        <w:pStyle w:val="Para 17"/>
      </w:pPr>
      <w:r>
        <w:t/>
      </w:r>
    </w:p>
    <w:p>
      <w:pPr>
        <w:pStyle w:val="Para 01"/>
      </w:pPr>
      <w:r>
        <w:t>Configure saslauthd</w:t>
      </w:r>
    </w:p>
    <w:p>
      <w:pPr>
        <w:pStyle w:val="Para 17"/>
      </w:pPr>
      <w:r>
        <w:t/>
      </w:r>
    </w:p>
    <w:p>
      <w:pPr>
        <w:pStyle w:val="Normal"/>
      </w:pPr>
      <w:r>
        <w:t>We now need to configure saslauthd such that it uses Kerberos authentication. This is an option that is selected at startup time, via command-line options. The configuration file for such options is /etc/default/saslauthd. Only one change is needed in this file: update MECH-ANISMS to kerberos5:</w:t>
      </w:r>
    </w:p>
    <w:p>
      <w:pPr>
        <w:pStyle w:val="Normal"/>
      </w:pPr>
      <w:r>
        <w:t>sudo vi /etc/default/saslauthd</w:t>
      </w:r>
    </w:p>
    <w:p>
      <w:pPr>
        <w:pStyle w:val="Para 17"/>
      </w:pPr>
      <w:r>
        <w:t/>
      </w:r>
    </w:p>
    <w:p>
      <w:pPr>
        <w:pStyle w:val="Normal"/>
      </w:pPr>
      <w:r>
        <w:t>Make the following change:</w:t>
      </w:r>
    </w:p>
    <w:p>
      <w:bookmarkStart w:id="592" w:name="page_4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7" name="index-408_1.png" descr="index-408_1.png"/>
            <wp:cNvGraphicFramePr>
              <a:graphicFrameLocks noChangeAspect="1"/>
            </wp:cNvGraphicFramePr>
            <a:graphic>
              <a:graphicData uri="http://schemas.openxmlformats.org/drawingml/2006/picture">
                <pic:pic>
                  <pic:nvPicPr>
                    <pic:cNvPr id="0" name="index-408_1.png" descr="index-408_1.png"/>
                    <pic:cNvPicPr/>
                  </pic:nvPicPr>
                  <pic:blipFill>
                    <a:blip r:embed="rId421"/>
                    <a:stretch>
                      <a:fillRect/>
                    </a:stretch>
                  </pic:blipFill>
                  <pic:spPr>
                    <a:xfrm>
                      <a:off x="0" y="0"/>
                      <a:ext cx="914400" cy="266700"/>
                    </a:xfrm>
                    <a:prstGeom prst="rect">
                      <a:avLst/>
                    </a:prstGeom>
                  </pic:spPr>
                </pic:pic>
              </a:graphicData>
            </a:graphic>
          </wp:anchor>
        </w:drawing>
      </w:r>
      <w:bookmarkEnd w:id="592"/>
    </w:p>
    <w:p>
      <w:pPr>
        <w:pStyle w:val="Normal"/>
      </w:pPr>
      <w:r>
        <w:t>...</w:t>
      </w:r>
    </w:p>
    <w:p>
      <w:pPr>
        <w:pStyle w:val="Normal"/>
      </w:pPr>
      <w:r>
        <w:t># Which authentication mechanisms should saslauthd use? (default: pam)</w:t>
        <w:t xml:space="preserve"> </w:t>
        <w:t>#</w:t>
      </w:r>
    </w:p>
    <w:p>
      <w:pPr>
        <w:pStyle w:val="Normal"/>
      </w:pPr>
      <w:r>
        <w:t># Available options in this Debian package:</w:t>
      </w:r>
    </w:p>
    <w:p>
      <w:pPr>
        <w:pStyle w:val="Normal"/>
      </w:pPr>
      <w:r>
        <w:t># getpwent</w:t>
        <w:t>-- use the getpwent() library function</w:t>
        <w:t xml:space="preserve"> </w:t>
        <w:t># kerberos5 -- use Kerberos 5</w:t>
      </w:r>
    </w:p>
    <w:p>
      <w:pPr>
        <w:pStyle w:val="Normal"/>
      </w:pPr>
      <w:r>
        <w:t># pam</w:t>
        <w:t xml:space="preserve"> </w:t>
        <w:t>-- use PAM</w:t>
      </w:r>
    </w:p>
    <w:p>
      <w:pPr>
        <w:pStyle w:val="Normal"/>
      </w:pPr>
      <w:r>
        <w:t># rimap</w:t>
        <w:t xml:space="preserve"> </w:t>
        <w:t>-- use a remote IMAP server</w:t>
      </w:r>
    </w:p>
    <w:p>
      <w:pPr>
        <w:pStyle w:val="Normal"/>
      </w:pPr>
      <w:r>
        <w:t># shadow</w:t>
        <w:t xml:space="preserve"> </w:t>
        <w:t>-- use the local shadow password file</w:t>
        <w:t xml:space="preserve"> </w:t>
        <w:t># sasldb</w:t>
        <w:t xml:space="preserve"> </w:t>
        <w:t>-- use the local sasldb database file</w:t>
        <w:t xml:space="preserve"> </w:t>
        <w:t># ldap</w:t>
        <w:t xml:space="preserve"> </w:t>
        <w:t>-- use LDAP (configuration is in /etc/saslauthd.conf)</w:t>
        <w:t xml:space="preserve"> </w:t>
        <w:t>#</w:t>
      </w:r>
    </w:p>
    <w:p>
      <w:pPr>
        <w:pStyle w:val="Normal"/>
      </w:pPr>
      <w:r>
        <w:t># Only one option may be used at a time. See the saslauthd man page</w:t>
        <w:t xml:space="preserve"> </w:t>
        <w:t># for more information.</w:t>
      </w:r>
    </w:p>
    <w:p>
      <w:pPr>
        <w:pStyle w:val="Normal"/>
      </w:pPr>
      <w:r>
        <w:t>#</w:t>
      </w:r>
    </w:p>
    <w:p>
      <w:pPr>
        <w:pStyle w:val="Normal"/>
      </w:pPr>
      <w:r>
        <w:t># Example: MECHANISMS="pam"</w:t>
      </w:r>
    </w:p>
    <w:p>
      <w:pPr>
        <w:pStyle w:val="Normal"/>
      </w:pPr>
      <w:r>
        <w:t>MECHANISMS="kerberos5"</w:t>
      </w:r>
    </w:p>
    <w:p>
      <w:pPr>
        <w:pStyle w:val="Normal"/>
      </w:pPr>
      <w:r>
        <w:t>...</w:t>
      </w:r>
    </w:p>
    <w:p>
      <w:pPr>
        <w:pStyle w:val="Para 17"/>
      </w:pPr>
      <w:r>
        <w:t/>
      </w:r>
    </w:p>
    <w:p>
      <w:pPr>
        <w:pStyle w:val="Para 08"/>
      </w:pPr>
      <w:r>
        <w:t>Important:</w:t>
      </w:r>
    </w:p>
    <w:p>
      <w:pPr>
        <w:pStyle w:val="Para 17"/>
      </w:pPr>
      <w:r>
        <w:t/>
      </w:r>
    </w:p>
    <w:p>
      <w:pPr>
        <w:pStyle w:val="Para 03"/>
      </w:pPr>
      <w:r>
        <w:t>For Ubuntu version 22.04 and earlier “START=yes” must also be added to the default config</w:t>
      </w:r>
    </w:p>
    <w:p>
      <w:pPr>
        <w:pStyle w:val="Para 03"/>
      </w:pPr>
      <w:r>
        <w:t>file for saslauthd to start.</w:t>
      </w:r>
    </w:p>
    <w:p>
      <w:pPr>
        <w:pStyle w:val="Normal"/>
      </w:pPr>
      <w:r>
        <w:t>Save and exit the editor.</w:t>
      </w:r>
    </w:p>
    <w:p>
      <w:pPr>
        <w:pStyle w:val="Para 17"/>
      </w:pPr>
      <w:r>
        <w:t/>
      </w:r>
    </w:p>
    <w:p>
      <w:pPr>
        <w:pStyle w:val="Para 01"/>
      </w:pPr>
      <w:r>
        <w:t>Enable and start saslauthd</w:t>
      </w:r>
    </w:p>
    <w:p>
      <w:pPr>
        <w:pStyle w:val="Para 17"/>
      </w:pPr>
      <w:r>
        <w:t/>
      </w:r>
    </w:p>
    <w:p>
      <w:pPr>
        <w:pStyle w:val="Normal"/>
      </w:pPr>
      <w:r>
        <w:t>Continue by enabling and starting the saslauthd service.</w:t>
      </w:r>
    </w:p>
    <w:p>
      <w:pPr>
        <w:pStyle w:val="Normal"/>
      </w:pPr>
      <w:r>
        <w:t>sudo systemctl enable --now saslauthd</w:t>
      </w:r>
    </w:p>
    <w:p>
      <w:pPr>
        <w:pStyle w:val="Para 17"/>
      </w:pPr>
      <w:r>
        <w:t/>
      </w:r>
    </w:p>
    <w:p>
      <w:pPr>
        <w:pStyle w:val="Para 01"/>
      </w:pPr>
      <w:r>
        <w:t>Test saslauthd configuration</w:t>
      </w:r>
    </w:p>
    <w:p>
      <w:pPr>
        <w:pStyle w:val="Para 17"/>
      </w:pPr>
      <w:r>
        <w:t/>
      </w:r>
    </w:p>
    <w:p>
      <w:pPr>
        <w:pStyle w:val="Normal"/>
      </w:pPr>
      <w:r>
        <w:t>The saslauthd service can be tested with with the testsaslauthd command. For example, with the correct Kerberos password for the ubuntu principal:</w:t>
      </w:r>
    </w:p>
    <w:p>
      <w:pPr>
        <w:pStyle w:val="Normal"/>
      </w:pPr>
      <w:r>
        <w:t>testsaslauthd -u ubuntu -p ubuntusecret</w:t>
      </w:r>
    </w:p>
    <w:p>
      <w:pPr>
        <w:pStyle w:val="Normal"/>
      </w:pPr>
      <w:r>
        <w:t>0: OK "Success."</w:t>
      </w:r>
    </w:p>
    <w:p>
      <w:pPr>
        <w:pStyle w:val="Para 17"/>
      </w:pPr>
      <w:r>
        <w:t/>
      </w:r>
    </w:p>
    <w:p>
      <w:pPr>
        <w:pStyle w:val="Normal"/>
      </w:pPr>
      <w:r>
        <w:t>And with the wrong Kerberos password:</w:t>
      </w:r>
    </w:p>
    <w:p>
      <w:pPr>
        <w:pStyle w:val="Normal"/>
      </w:pPr>
      <w:r>
        <w:t>testsaslauthd -u ubuntu -p ubuntusecretwrong</w:t>
      </w:r>
    </w:p>
    <w:p>
      <w:pPr>
        <w:pStyle w:val="Normal"/>
      </w:pPr>
      <w:r>
        <w:t>0: NO "authentication failed"</w:t>
      </w:r>
    </w:p>
    <w:p>
      <w:pPr>
        <w:pStyle w:val="Para 17"/>
      </w:pPr>
      <w:r>
        <w:t/>
      </w:r>
    </w:p>
    <w:p>
      <w:pPr>
        <w:pStyle w:val="Para 08"/>
      </w:pPr>
      <w:r>
        <w:t>Note:</w:t>
      </w:r>
    </w:p>
    <w:p>
      <w:pPr>
        <w:pStyle w:val="Para 03"/>
      </w:pPr>
      <w:r>
        <w:t>In Ubuntu 22.04 LTS and earlier, the /run/saslauthd directory is restricted to members of</w:t>
      </w:r>
    </w:p>
    <w:p>
      <w:pPr>
        <w:pStyle w:val="Para 03"/>
      </w:pPr>
      <w:r>
        <w:t>the sasl group, so the testsaslauthd commands above need to be run as root (via sudo)</w:t>
      </w:r>
    </w:p>
    <w:p>
      <w:pPr>
        <w:pStyle w:val="Para 03"/>
      </w:pPr>
      <w:r>
        <w:t>or as a user who is in the sasl group.</w:t>
      </w:r>
    </w:p>
    <w:p>
      <w:bookmarkStart w:id="593" w:name="page_4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8" name="index-409_1.png" descr="index-409_1.png"/>
            <wp:cNvGraphicFramePr>
              <a:graphicFrameLocks noChangeAspect="1"/>
            </wp:cNvGraphicFramePr>
            <a:graphic>
              <a:graphicData uri="http://schemas.openxmlformats.org/drawingml/2006/picture">
                <pic:pic>
                  <pic:nvPicPr>
                    <pic:cNvPr id="0" name="index-409_1.png" descr="index-409_1.png"/>
                    <pic:cNvPicPr/>
                  </pic:nvPicPr>
                  <pic:blipFill>
                    <a:blip r:embed="rId422"/>
                    <a:stretch>
                      <a:fillRect/>
                    </a:stretch>
                  </pic:blipFill>
                  <pic:spPr>
                    <a:xfrm>
                      <a:off x="0" y="0"/>
                      <a:ext cx="914400" cy="266700"/>
                    </a:xfrm>
                    <a:prstGeom prst="rect">
                      <a:avLst/>
                    </a:prstGeom>
                  </pic:spPr>
                </pic:pic>
              </a:graphicData>
            </a:graphic>
          </wp:anchor>
        </w:drawing>
      </w:r>
      <w:bookmarkEnd w:id="593"/>
    </w:p>
    <w:p>
      <w:pPr>
        <w:pStyle w:val="Para 01"/>
      </w:pPr>
      <w:r>
        <w:t>Configure OpenLDAP</w:t>
      </w:r>
    </w:p>
    <w:p>
      <w:pPr>
        <w:pStyle w:val="Para 17"/>
      </w:pPr>
      <w:r>
        <w:t/>
      </w:r>
    </w:p>
    <w:p>
      <w:pPr>
        <w:pStyle w:val="Normal"/>
      </w:pPr>
      <w:r>
        <w:t>In order for OpenLDAP to perform passthrough authentication using saslauthd, we need to create the configuration file /etc/ldap/sasl2/slapd.conf with the following content:</w:t>
      </w:r>
    </w:p>
    <w:p>
      <w:pPr>
        <w:pStyle w:val="Normal"/>
      </w:pPr>
      <w:r>
        <w:t>pwcheck_method: saslauthd</w:t>
      </w:r>
    </w:p>
    <w:p>
      <w:pPr>
        <w:pStyle w:val="Para 17"/>
      </w:pPr>
      <w:r>
        <w:t/>
      </w:r>
    </w:p>
    <w:p>
      <w:pPr>
        <w:pStyle w:val="Normal"/>
      </w:pPr>
      <w:r>
        <w:t>This will direct OpenLDAP to use saslauthd as the password checking mechanism when per-forming passthrough authentication on behalf of a user.</w:t>
      </w:r>
    </w:p>
    <w:p>
      <w:pPr>
        <w:pStyle w:val="Normal"/>
      </w:pPr>
      <w:r>
        <w:t>In Ubuntu 22.04 LTS and earlier, the openldap system user needs to be added to the sasl group, or else it will not have permission to contact the saslauthd Unix socket in /run/ saslauthd/. To make this change, run:</w:t>
      </w:r>
    </w:p>
    <w:p>
      <w:pPr>
        <w:pStyle w:val="Normal"/>
      </w:pPr>
      <w:r>
        <w:t>sudo gpasswd</w:t>
        <w:t>-</w:t>
        <w:t>a openldap sasl</w:t>
      </w:r>
    </w:p>
    <w:p>
      <w:pPr>
        <w:pStyle w:val="Para 17"/>
      </w:pPr>
      <w:r>
        <w:t/>
      </w:r>
    </w:p>
    <w:p>
      <w:pPr>
        <w:pStyle w:val="Normal"/>
      </w:pPr>
      <w:r>
        <w:t>Finally, restart the OpenLDAP service:</w:t>
      </w:r>
    </w:p>
    <w:p>
      <w:pPr>
        <w:pStyle w:val="Normal"/>
      </w:pPr>
      <w:r>
        <w:t>sudo systemctl restart slapd</w:t>
        <w:t>.</w:t>
        <w:t>service</w:t>
      </w:r>
    </w:p>
    <w:p>
      <w:pPr>
        <w:pStyle w:val="Para 17"/>
      </w:pPr>
      <w:r>
        <w:t/>
      </w:r>
    </w:p>
    <w:p>
      <w:pPr>
        <w:pStyle w:val="Para 01"/>
      </w:pPr>
      <w:r>
        <w:t>Change the userPassword attribute</w:t>
      </w:r>
    </w:p>
    <w:p>
      <w:pPr>
        <w:pStyle w:val="Para 17"/>
      </w:pPr>
      <w:r>
        <w:t/>
      </w:r>
    </w:p>
    <w:p>
      <w:pPr>
        <w:pStyle w:val="Normal"/>
      </w:pPr>
      <w:r>
        <w:t>What triggers OpenLDAP to perform a passthrough authentication when processing a simple bind authentication request, is the special content of the userPassword attribute. Normally, that attribute contains some form of password hash, which is used to authenticate the re-quest. If, however, what it contains is in the format of {SASL}username@realm, then OpenL-DAP will delegate the authentication to the SASL library, whose configuration is in that file we just created above.</w:t>
      </w:r>
    </w:p>
    <w:p>
      <w:pPr>
        <w:pStyle w:val="Normal"/>
      </w:pPr>
      <w:r>
        <w:t>For example, let’s examine the directory entry below:</w:t>
      </w:r>
    </w:p>
    <w:p>
      <w:pPr>
        <w:pStyle w:val="Normal"/>
      </w:pPr>
      <w:r>
        <w:t>dn: uid=ubuntu,dc=example,dc=com</w:t>
      </w:r>
    </w:p>
    <w:p>
      <w:pPr>
        <w:pStyle w:val="Normal"/>
      </w:pPr>
      <w:r>
        <w:t>uid: ubuntu</w:t>
      </w:r>
    </w:p>
    <w:p>
      <w:pPr>
        <w:pStyle w:val="Normal"/>
      </w:pPr>
      <w:r>
        <w:t>objectClass: account</w:t>
      </w:r>
    </w:p>
    <w:p>
      <w:pPr>
        <w:pStyle w:val="Normal"/>
      </w:pPr>
      <w:r>
        <w:t>objectClass: simpleSecurityObject</w:t>
      </w:r>
    </w:p>
    <w:p>
      <w:pPr>
        <w:pStyle w:val="Normal"/>
      </w:pPr>
      <w:r>
        <w:t>userPassword: {SSHA}S+WlmGneLDFeCwErKnY4mJngnVJMZAM5</w:t>
      </w:r>
    </w:p>
    <w:p>
      <w:pPr>
        <w:pStyle w:val="Para 17"/>
      </w:pPr>
      <w:r>
        <w:t/>
      </w:r>
    </w:p>
    <w:p>
      <w:pPr>
        <w:pStyle w:val="Normal"/>
      </w:pPr>
      <w:r>
        <w:t>If a simple bind is performed using a bindDN of uid=ubuntu,dc=example,dc=com, the password will be checked against the hashed userPassword value as normal. That is, no passthrough authentication will be done at all.</w:t>
      </w:r>
    </w:p>
    <w:p>
      <w:pPr>
        <w:pStyle w:val="Normal"/>
      </w:pPr>
      <w:r>
        <w:t>However, if the userPassword attribute is in this format:</w:t>
      </w:r>
    </w:p>
    <w:p>
      <w:pPr>
        <w:pStyle w:val="Normal"/>
      </w:pPr>
      <w:r>
        <w:t>userPassword: {SASL}ubuntu@EXAMPLE.COM</w:t>
      </w:r>
    </w:p>
    <w:p>
      <w:pPr>
        <w:pStyle w:val="Para 17"/>
      </w:pPr>
      <w:r>
        <w:t/>
      </w:r>
    </w:p>
    <w:p>
      <w:pPr>
        <w:pStyle w:val="Normal"/>
      </w:pPr>
      <w:r>
        <w:t>That will trigger the passthrough authentication, because the userPassword attribute starts with the special prefix {SASL}. This will direct OpenLDAP to use saslauthd for the authenti-cation, and use the name provided in the userPassword attribute.</w:t>
      </w:r>
    </w:p>
    <w:p>
      <w:bookmarkStart w:id="594" w:name="calibre_pb_92"/>
      <w:pPr>
        <w:pStyle w:val="0 Block"/>
      </w:pPr>
      <w:bookmarkEnd w:id="594"/>
    </w:p>
    <w:p>
      <w:bookmarkStart w:id="595" w:name="page_410"/>
      <w:bookmarkStart w:id="596" w:name="Top_of_index_split_09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19" name="index-410_1.png" descr="index-410_1.png"/>
            <wp:cNvGraphicFramePr>
              <a:graphicFrameLocks noChangeAspect="1"/>
            </wp:cNvGraphicFramePr>
            <a:graphic>
              <a:graphicData uri="http://schemas.openxmlformats.org/drawingml/2006/picture">
                <pic:pic>
                  <pic:nvPicPr>
                    <pic:cNvPr id="0" name="index-410_1.png" descr="index-410_1.png"/>
                    <pic:cNvPicPr/>
                  </pic:nvPicPr>
                  <pic:blipFill>
                    <a:blip r:embed="rId423"/>
                    <a:stretch>
                      <a:fillRect/>
                    </a:stretch>
                  </pic:blipFill>
                  <pic:spPr>
                    <a:xfrm>
                      <a:off x="0" y="0"/>
                      <a:ext cx="914400" cy="266700"/>
                    </a:xfrm>
                    <a:prstGeom prst="rect">
                      <a:avLst/>
                    </a:prstGeom>
                  </pic:spPr>
                </pic:pic>
              </a:graphicData>
            </a:graphic>
          </wp:anchor>
        </w:drawing>
      </w:r>
      <w:bookmarkEnd w:id="595"/>
      <w:bookmarkEnd w:id="596"/>
    </w:p>
    <w:p>
      <w:pPr>
        <w:pStyle w:val="Para 08"/>
      </w:pPr>
      <w:r>
        <w:t>Important:</w:t>
      </w:r>
    </w:p>
    <w:p>
      <w:pPr>
        <w:pStyle w:val="Para 17"/>
      </w:pPr>
      <w:r>
        <w:t/>
      </w:r>
    </w:p>
    <w:p>
      <w:pPr>
        <w:pStyle w:val="Para 03"/>
      </w:pPr>
      <w:r>
        <w:t>Note how the username present in the userPassword attribute is independent of</w:t>
      </w:r>
    </w:p>
    <w:p>
      <w:pPr>
        <w:pStyle w:val="Para 03"/>
      </w:pPr>
      <w:r>
        <w:t>the bindDN used in the simple bind! If the userPassword attribute contained,</w:t>
      </w:r>
    </w:p>
    <w:p>
      <w:pPr>
        <w:pStyle w:val="Para 03"/>
      </w:pPr>
      <w:r>
        <w:t>say, {SASL}anotheruser@EXAMPLE.COM, OpenLDAP would ask saslauthd to authenticate</w:t>
      </w:r>
    </w:p>
    <w:p>
      <w:pPr>
        <w:pStyle w:val="Para 03"/>
      </w:pPr>
      <w:r>
        <w:t>anotheruser@EXAMPLE.COM, and not the user from the bindDN! Therefore, it’s important</w:t>
      </w:r>
    </w:p>
    <w:p>
      <w:pPr>
        <w:pStyle w:val="Para 03"/>
      </w:pPr>
      <w:r>
        <w:t>to use OpenLDAP ACLs to prevent users from changing the userPassword attribute when</w:t>
      </w:r>
    </w:p>
    <w:p>
      <w:pPr>
        <w:pStyle w:val="Para 03"/>
      </w:pPr>
      <w:r>
        <w:t>using passthrough authentication!</w:t>
      </w:r>
    </w:p>
    <w:p>
      <w:pPr>
        <w:pStyle w:val="Para 17"/>
      </w:pPr>
      <w:r>
        <w:t/>
      </w:r>
    </w:p>
    <w:p>
      <w:pPr>
        <w:pStyle w:val="Normal"/>
      </w:pPr>
      <w:r>
        <w:t>To continue with this how-to, let’s create the uid=ubuntu entry in the directory, which will use passthrough authentication. Note the usage of-ZZ, which forces the connection to use StartTLS and thus encrypt the traffic, including the simple bind credentials:</w:t>
      </w:r>
    </w:p>
    <w:p>
      <w:pPr>
        <w:pStyle w:val="Normal"/>
      </w:pPr>
      <w:r>
        <w:t>ldapadd -x -D cn=admin,dc=example,dc=com -W -ZZ &lt;&lt;LDIF</w:t>
        <w:t xml:space="preserve"> </w:t>
        <w:t>dn: uid=ubuntu,dc=example,dc=com</w:t>
      </w:r>
    </w:p>
    <w:p>
      <w:pPr>
        <w:pStyle w:val="Normal"/>
      </w:pPr>
      <w:r>
        <w:t>uid: ubuntu</w:t>
      </w:r>
    </w:p>
    <w:p>
      <w:pPr>
        <w:pStyle w:val="Normal"/>
      </w:pPr>
      <w:r>
        <w:t>objectClass: account</w:t>
      </w:r>
    </w:p>
    <w:p>
      <w:pPr>
        <w:pStyle w:val="Normal"/>
      </w:pPr>
      <w:r>
        <w:t>objectClass: simpleSecurityObject</w:t>
      </w:r>
    </w:p>
    <w:p>
      <w:pPr>
        <w:pStyle w:val="Normal"/>
      </w:pPr>
      <w:r>
        <w:t>userPassword: {SASL}ubuntu@EXAMPLE.COM</w:t>
      </w:r>
    </w:p>
    <w:p>
      <w:pPr>
        <w:pStyle w:val="Normal"/>
      </w:pPr>
      <w:r>
        <w:t>LDIF</w:t>
      </w:r>
    </w:p>
    <w:p>
      <w:pPr>
        <w:pStyle w:val="Para 17"/>
      </w:pPr>
      <w:r>
        <w:t/>
      </w:r>
    </w:p>
    <w:p>
      <w:pPr>
        <w:pStyle w:val="Para 08"/>
      </w:pPr>
      <w:r>
        <w:t>Note:</w:t>
      </w:r>
    </w:p>
    <w:p>
      <w:pPr>
        <w:pStyle w:val="Para 03"/>
      </w:pPr>
      <w:r>
        <w:t>Note how we don’t need to add the posix attributes like user id, home directory, group,</w:t>
      </w:r>
    </w:p>
    <w:p>
      <w:pPr>
        <w:pStyle w:val="Para 03"/>
      </w:pPr>
      <w:r>
        <w:t>etc. All we really need is a directory entry that contains a userPassword attribute.</w:t>
      </w:r>
    </w:p>
    <w:p>
      <w:pPr>
        <w:pStyle w:val="Para 17"/>
      </w:pPr>
      <w:r>
        <w:t/>
      </w:r>
    </w:p>
    <w:p>
      <w:pPr>
        <w:pStyle w:val="Para 01"/>
      </w:pPr>
      <w:r>
        <w:t>Test the authentication</w:t>
      </w:r>
    </w:p>
    <w:p>
      <w:pPr>
        <w:pStyle w:val="Para 17"/>
      </w:pPr>
      <w:r>
        <w:t/>
      </w:r>
    </w:p>
    <w:p>
      <w:pPr>
        <w:pStyle w:val="Normal"/>
      </w:pPr>
      <w:r>
        <w:t>To test that the simple bind is working, and using the Kerberos password for the ubuntu user, let’s use ldapwhoami:</w:t>
      </w:r>
    </w:p>
    <w:p>
      <w:pPr>
        <w:pStyle w:val="Normal"/>
      </w:pPr>
      <w:r>
        <w:t>ldapwhoami -D uid=ubuntu,dc=example,dc=com -W -x -ZZ</w:t>
      </w:r>
    </w:p>
    <w:p>
      <w:pPr>
        <w:pStyle w:val="Normal"/>
      </w:pPr>
      <w:r>
        <w:t>Enter LDAP Password:</w:t>
      </w:r>
    </w:p>
    <w:p>
      <w:pPr>
        <w:pStyle w:val="Para 17"/>
      </w:pPr>
      <w:r>
        <w:t/>
      </w:r>
    </w:p>
    <w:p>
      <w:pPr>
        <w:pStyle w:val="Normal"/>
      </w:pPr>
      <w:r>
        <w:t>A successful bind will look like:</w:t>
      </w:r>
    </w:p>
    <w:p>
      <w:pPr>
        <w:pStyle w:val="Normal"/>
      </w:pPr>
      <w:r>
        <w:t>dn:uid=ubuntu,dc=example,dc=com</w:t>
      </w:r>
    </w:p>
    <w:p>
      <w:pPr>
        <w:pStyle w:val="Para 17"/>
      </w:pPr>
      <w:r>
        <w:t/>
      </w:r>
    </w:p>
    <w:p>
      <w:pPr>
        <w:pStyle w:val="Normal"/>
      </w:pPr>
      <w:r>
        <w:t>A failed bind will look like:</w:t>
      </w:r>
    </w:p>
    <w:p>
      <w:pPr>
        <w:pStyle w:val="Normal"/>
      </w:pPr>
      <w:r>
        <w:t>ldap_bind: Invalid credentials (49)</w:t>
      </w:r>
    </w:p>
    <w:p>
      <w:pPr>
        <w:pStyle w:val="Para 17"/>
      </w:pPr>
      <w:r>
        <w:t/>
      </w:r>
    </w:p>
    <w:p>
      <w:pPr>
        <w:pStyle w:val="Normal"/>
      </w:pPr>
      <w:r>
        <w:t>These LDAP bind DNs can now be used with external applications that only support “simple” username and password authentication, and they will be authenticated against Kerberos be-hind the scenes.</w:t>
      </w:r>
    </w:p>
    <w:p>
      <w:bookmarkStart w:id="597" w:name="calibre_pb_93"/>
      <w:pPr>
        <w:pStyle w:val="0 Block"/>
      </w:pPr>
      <w:bookmarkEnd w:id="597"/>
    </w:p>
    <w:p>
      <w:bookmarkStart w:id="598" w:name="page_411"/>
      <w:bookmarkStart w:id="599" w:name="Top_of_index_split_09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0" name="index-411_1.png" descr="index-411_1.png"/>
            <wp:cNvGraphicFramePr>
              <a:graphicFrameLocks noChangeAspect="1"/>
            </wp:cNvGraphicFramePr>
            <a:graphic>
              <a:graphicData uri="http://schemas.openxmlformats.org/drawingml/2006/picture">
                <pic:pic>
                  <pic:nvPicPr>
                    <pic:cNvPr id="0" name="index-411_1.png" descr="index-411_1.png"/>
                    <pic:cNvPicPr/>
                  </pic:nvPicPr>
                  <pic:blipFill>
                    <a:blip r:embed="rId424"/>
                    <a:stretch>
                      <a:fillRect/>
                    </a:stretch>
                  </pic:blipFill>
                  <pic:spPr>
                    <a:xfrm>
                      <a:off x="0" y="0"/>
                      <a:ext cx="914400" cy="266700"/>
                    </a:xfrm>
                    <a:prstGeom prst="rect">
                      <a:avLst/>
                    </a:prstGeom>
                  </pic:spPr>
                </pic:pic>
              </a:graphicData>
            </a:graphic>
          </wp:anchor>
        </w:drawing>
      </w:r>
      <w:bookmarkEnd w:id="598"/>
      <w:bookmarkEnd w:id="599"/>
    </w:p>
    <w:p>
      <w:pPr>
        <w:pStyle w:val="Para 01"/>
      </w:pPr>
      <w:r>
        <w:t>Troubleshooting</w:t>
      </w:r>
    </w:p>
    <w:p>
      <w:pPr>
        <w:pStyle w:val="Para 17"/>
      </w:pPr>
      <w:r>
        <w:t/>
      </w:r>
    </w:p>
    <w:p>
      <w:pPr>
        <w:pStyle w:val="Normal"/>
      </w:pPr>
      <w:r>
        <w:t>Saslauthd can be run in debug mode for more verbose messages to aid in troubleshooting:</w:t>
      </w:r>
    </w:p>
    <w:p>
      <w:pPr>
        <w:pStyle w:val="Normal"/>
      </w:pPr>
      <w:r>
        <w:t>sudo systemctl stop saslauthd</w:t>
      </w:r>
    </w:p>
    <w:p>
      <w:pPr>
        <w:pStyle w:val="Normal"/>
      </w:pPr>
      <w:r>
        <w:t>sudo /usr/sbin/saslauthd -a kerberos5 -d -m /var/run/saslauthd -n 1</w:t>
      </w:r>
    </w:p>
    <w:p>
      <w:pPr>
        <w:pStyle w:val="Para 17"/>
      </w:pPr>
      <w:r>
        <w:t/>
      </w:r>
    </w:p>
    <w:p>
      <w:pPr>
        <w:pStyle w:val="Normal"/>
      </w:pPr>
      <w:r>
        <w:t>Also the /var/log/auth.log file can be checked for saslauthd log entries.</w:t>
      </w:r>
    </w:p>
    <w:p>
      <w:pPr>
        <w:pStyle w:val="Para 17"/>
      </w:pPr>
      <w:r>
        <w:t/>
      </w:r>
    </w:p>
    <w:p>
      <w:pPr>
        <w:pStyle w:val="Para 01"/>
      </w:pPr>
      <w:r>
        <w:t>Advanced options</w:t>
      </w:r>
    </w:p>
    <w:p>
      <w:pPr>
        <w:pStyle w:val="Para 17"/>
      </w:pPr>
      <w:r>
        <w:t/>
      </w:r>
    </w:p>
    <w:p>
      <w:pPr>
        <w:pStyle w:val="Normal"/>
      </w:pPr>
      <w:r>
        <w:t>Saslauthd can be configured in the /etc/saslauthd.conf file. The settings depend on the au-thorization mechanism configured in /etc/default/saslauthd, which in this case is kerberos5.</w:t>
      </w:r>
    </w:p>
    <w:p>
      <w:pPr>
        <w:pStyle w:val="Normal"/>
      </w:pPr>
      <w:r>
        <w:t>Some options are:</w:t>
      </w:r>
    </w:p>
    <w:p>
      <w:pPr>
        <w:pStyle w:val="Para 04"/>
      </w:pPr>
      <w:r>
        <w:t>• krb5_keytab: Override the default keytab file location of /etc/krb5.keytab.</w:t>
      </w:r>
    </w:p>
    <w:p>
      <w:pPr>
        <w:pStyle w:val="Para 04"/>
      </w:pPr>
      <w:r>
        <w:t>• krb5_verify_principal: Change the name of the Kerberos service principal used by</w:t>
      </w:r>
    </w:p>
    <w:p>
      <w:pPr>
        <w:pStyle w:val="Para 02"/>
      </w:pPr>
      <w:r>
        <w:t>saslauthd.</w:t>
      </w:r>
    </w:p>
    <w:p>
      <w:pPr>
        <w:pStyle w:val="Normal"/>
      </w:pPr>
      <w:r>
        <w:t>For example, with this content in /etc/saslauthd.conf:</w:t>
      </w:r>
    </w:p>
    <w:p>
      <w:pPr>
        <w:pStyle w:val="Normal"/>
      </w:pPr>
      <w:r>
        <w:t>krb5_keytab: /etc/saslauthd.keytab</w:t>
      </w:r>
    </w:p>
    <w:p>
      <w:pPr>
        <w:pStyle w:val="Normal"/>
      </w:pPr>
      <w:r>
        <w:t>krb5_verify_principal: saslauthd</w:t>
      </w:r>
    </w:p>
    <w:p>
      <w:pPr>
        <w:pStyle w:val="Para 17"/>
      </w:pPr>
      <w:r>
        <w:t/>
      </w:r>
    </w:p>
    <w:p>
      <w:pPr>
        <w:pStyle w:val="Normal"/>
      </w:pPr>
      <w:r>
        <w:t>We have changed the keytab file to /etc/saslauthd.keytab, and the service principal that saslauthd will use to authenticate itself with the Kerberos server becomes saslauthd/ldap-server.example.com@EXAMPLE.COM (following this how-to). Note how the domain and realm names remain the same in this service principal, and only the actual principal name is affected (changed from the default value of host to saslauthd).</w:t>
      </w:r>
    </w:p>
    <w:p>
      <w:pPr>
        <w:pStyle w:val="Para 17"/>
      </w:pPr>
      <w:r>
        <w:t/>
      </w:r>
    </w:p>
    <w:p>
      <w:pPr>
        <w:pStyle w:val="Para 01"/>
      </w:pPr>
      <w:r>
        <w:t>Further reading</w:t>
      </w:r>
    </w:p>
    <w:p>
      <w:pPr>
        <w:pStyle w:val="Para 17"/>
      </w:pPr>
      <w:r>
        <w:t/>
      </w:r>
    </w:p>
    <w:p>
      <w:pPr>
        <w:pStyle w:val="Para 13"/>
      </w:pPr>
      <w:r>
        <w:rPr>
          <w:rStyle w:val="Text7"/>
        </w:rPr>
        <w:t xml:space="preserve">• </w:t>
      </w:r>
      <w:hyperlink r:id="rId1309">
        <w:r>
          <w:rPr>
            <w:rStyle w:val="Text10"/>
          </w:rPr>
          <w:t>338</w:t>
        </w:r>
      </w:hyperlink>
      <w:hyperlink r:id="rId1309">
        <w:r>
          <w:t xml:space="preserve"> OpenLDAP Passthrough Authentication</w:t>
        </w:r>
      </w:hyperlink>
    </w:p>
    <w:p>
      <w:pPr>
        <w:pStyle w:val="Para 13"/>
      </w:pPr>
      <w:r>
        <w:rPr>
          <w:rStyle w:val="Text7"/>
        </w:rPr>
        <w:t xml:space="preserve">• </w:t>
      </w:r>
      <w:hyperlink w:anchor="page_411">
        <w:r>
          <w:rPr>
            <w:rStyle w:val="Text10"/>
          </w:rPr>
          <w:t>339</w:t>
        </w:r>
      </w:hyperlink>
      <w:r>
        <w:rPr>
          <w:rStyle w:val="Text7"/>
        </w:rPr>
        <w:t xml:space="preserve"> </w:t>
      </w:r>
      <w:hyperlink r:id="rId1310">
        <w:r>
          <w:t>Cyrus SASL Password Verification</w:t>
        </w:r>
      </w:hyperlink>
    </w:p>
    <w:p>
      <w:pPr>
        <w:pStyle w:val="Para 13"/>
      </w:pPr>
      <w:r>
        <w:rPr>
          <w:rStyle w:val="Text7"/>
        </w:rPr>
        <w:t xml:space="preserve">• </w:t>
      </w:r>
      <w:hyperlink w:anchor="page_411">
        <w:r>
          <w:rPr>
            <w:rStyle w:val="Text10"/>
          </w:rPr>
          <w:t>340</w:t>
        </w:r>
      </w:hyperlink>
      <w:r>
        <w:rPr>
          <w:rStyle w:val="Text7"/>
        </w:rPr>
        <w:t xml:space="preserve"> </w:t>
      </w:r>
      <w:hyperlink r:id="rId1311">
        <w:r>
          <w:t>Cyrus SASL slapd Configuration File</w:t>
        </w:r>
      </w:hyperlink>
    </w:p>
    <w:p>
      <w:pPr>
        <w:pStyle w:val="Para 13"/>
      </w:pPr>
      <w:r>
        <w:rPr>
          <w:rStyle w:val="Text7"/>
        </w:rPr>
        <w:t xml:space="preserve">• </w:t>
      </w:r>
      <w:hyperlink w:anchor="page_411">
        <w:r>
          <w:rPr>
            <w:rStyle w:val="Text10"/>
          </w:rPr>
          <w:t>341</w:t>
        </w:r>
      </w:hyperlink>
      <w:r>
        <w:rPr>
          <w:rStyle w:val="Text7"/>
        </w:rPr>
        <w:t xml:space="preserve"> </w:t>
      </w:r>
      <w:hyperlink r:id="rId1312">
        <w:r>
          <w:t>Kerberos Client Hostname Requirements</w:t>
        </w:r>
      </w:hyperlink>
    </w:p>
    <w:p>
      <w:pPr>
        <w:pStyle w:val="Para 05"/>
      </w:pPr>
      <w:r>
        <w:rPr>
          <w:rStyle w:val="Text5"/>
        </w:rPr>
        <w:t>338</w:t>
      </w:r>
      <w:r>
        <w:rPr>
          <w:rStyle w:val="Text8"/>
        </w:rPr>
        <w:t xml:space="preserve"> </w:t>
      </w:r>
      <w:r>
        <w:t>https://www.openldap.org/doc/admin26/security.html#Pass-Through%20authentication</w:t>
      </w:r>
    </w:p>
    <w:p>
      <w:pPr>
        <w:pStyle w:val="Para 05"/>
      </w:pPr>
      <w:r>
        <w:rPr>
          <w:rStyle w:val="Text5"/>
        </w:rPr>
        <w:t>339</w:t>
      </w:r>
      <w:r>
        <w:rPr>
          <w:rStyle w:val="Text8"/>
        </w:rPr>
        <w:t xml:space="preserve"> </w:t>
      </w:r>
      <w:r>
        <w:t>https://www.cyrusimap.org/sasl/sasl/components.html#password-verification-services</w:t>
      </w:r>
    </w:p>
    <w:p>
      <w:pPr>
        <w:pStyle w:val="Para 05"/>
      </w:pPr>
      <w:r>
        <w:rPr>
          <w:rStyle w:val="Text5"/>
        </w:rPr>
        <w:t>340</w:t>
      </w:r>
      <w:r>
        <w:rPr>
          <w:rStyle w:val="Text8"/>
        </w:rPr>
        <w:t xml:space="preserve"> </w:t>
      </w:r>
      <w:r>
        <w:t>https://www.cyrusimap.org/sasl/sasl/faqs/openldap-sasl-gssapi.html</w:t>
      </w:r>
    </w:p>
    <w:p>
      <w:pPr>
        <w:pStyle w:val="Para 05"/>
      </w:pPr>
      <w:r>
        <w:rPr>
          <w:rStyle w:val="Text5"/>
        </w:rPr>
        <w:t>341</w:t>
      </w:r>
      <w:r>
        <w:rPr>
          <w:rStyle w:val="Text8"/>
        </w:rPr>
        <w:t xml:space="preserve"> </w:t>
      </w:r>
      <w:r>
        <w:t>https://web.mit.edu/kerberos/krb5-1.12/doc/admin/princ_dns.html</w:t>
      </w:r>
    </w:p>
    <w:p>
      <w:bookmarkStart w:id="600" w:name="calibre_pb_94"/>
      <w:pPr>
        <w:pStyle w:val="0 Block"/>
      </w:pPr>
      <w:bookmarkEnd w:id="600"/>
    </w:p>
    <w:p>
      <w:bookmarkStart w:id="601" w:name="Top_of_index_split_095_html"/>
      <w:bookmarkStart w:id="602" w:name="page_4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1" name="index-412_1.png" descr="index-412_1.png"/>
            <wp:cNvGraphicFramePr>
              <a:graphicFrameLocks noChangeAspect="1"/>
            </wp:cNvGraphicFramePr>
            <a:graphic>
              <a:graphicData uri="http://schemas.openxmlformats.org/drawingml/2006/picture">
                <pic:pic>
                  <pic:nvPicPr>
                    <pic:cNvPr id="0" name="index-412_1.png" descr="index-412_1.png"/>
                    <pic:cNvPicPr/>
                  </pic:nvPicPr>
                  <pic:blipFill>
                    <a:blip r:embed="rId425"/>
                    <a:stretch>
                      <a:fillRect/>
                    </a:stretch>
                  </pic:blipFill>
                  <pic:spPr>
                    <a:xfrm>
                      <a:off x="0" y="0"/>
                      <a:ext cx="914400" cy="266700"/>
                    </a:xfrm>
                    <a:prstGeom prst="rect">
                      <a:avLst/>
                    </a:prstGeom>
                  </pic:spPr>
                </pic:pic>
              </a:graphicData>
            </a:graphic>
          </wp:anchor>
        </w:drawing>
      </w:r>
      <w:bookmarkEnd w:id="601"/>
      <w:bookmarkEnd w:id="602"/>
    </w:p>
    <w:p>
      <w:pPr>
        <w:pStyle w:val="Para 01"/>
      </w:pPr>
      <w:r>
        <w:t>See also</w:t>
      </w:r>
    </w:p>
    <w:p>
      <w:pPr>
        <w:pStyle w:val="Para 17"/>
      </w:pPr>
      <w:r>
        <w:t/>
      </w:r>
    </w:p>
    <w:p>
      <w:pPr>
        <w:pStyle w:val="Para 14"/>
      </w:pPr>
      <w:r>
        <w:rPr>
          <w:rStyle w:val="Text4"/>
        </w:rPr>
        <w:t xml:space="preserve">• How-to: </w:t>
      </w:r>
      <w:hyperlink w:anchor="page_167">
        <w:r>
          <w:t>How to set up SSSD with LDAP</w:t>
        </w:r>
      </w:hyperlink>
      <w:r>
        <w:rPr>
          <w:rStyle w:val="Text4"/>
        </w:rPr>
        <w:t xml:space="preserve"> (page 166)</w:t>
      </w:r>
    </w:p>
    <w:p>
      <w:pPr>
        <w:pStyle w:val="Para 04"/>
      </w:pPr>
      <w:r>
        <w:t xml:space="preserve">• Explanation: </w:t>
      </w:r>
      <w:hyperlink w:anchor="page_857">
        <w:r>
          <w:rPr>
            <w:rStyle w:val="Text2"/>
          </w:rPr>
          <w:t>Introduction to OpenLDAP</w:t>
        </w:r>
      </w:hyperlink>
      <w:r>
        <w:t xml:space="preserve"> (page 856)</w:t>
      </w:r>
    </w:p>
    <w:p>
      <w:pPr>
        <w:pStyle w:val="Para 17"/>
      </w:pPr>
      <w:r>
        <w:t/>
      </w:r>
    </w:p>
    <w:p>
      <w:pPr>
        <w:pStyle w:val="Para 01"/>
      </w:pPr>
      <w:r>
        <w:t>Databases</w:t>
      </w:r>
    </w:p>
    <w:p>
      <w:pPr>
        <w:pStyle w:val="Para 17"/>
      </w:pPr>
      <w:r>
        <w:t/>
      </w:r>
    </w:p>
    <w:p>
      <w:pPr>
        <w:pStyle w:val="Normal"/>
      </w:pPr>
      <w:r>
        <w:t>Ubuntu provides two popular database servers: MySQL and PostgreSQL. Both are popular choices with similar feature sets, and both are equally supported in Ubuntu.</w:t>
      </w:r>
    </w:p>
    <w:p>
      <w:pPr>
        <w:pStyle w:val="Normal"/>
      </w:pPr>
      <w:r>
        <w:t>These guides show you how to install and configure them.</w:t>
      </w:r>
    </w:p>
    <w:p>
      <w:pPr>
        <w:pStyle w:val="Para 17"/>
      </w:pPr>
      <w:r>
        <w:t/>
      </w:r>
    </w:p>
    <w:p>
      <w:pPr>
        <w:pStyle w:val="Para 01"/>
      </w:pPr>
      <w:r>
        <w:t>Install and configure a MySQL server</w:t>
      </w:r>
    </w:p>
    <w:p>
      <w:pPr>
        <w:pStyle w:val="Para 17"/>
      </w:pPr>
      <w:r>
        <w:t/>
      </w:r>
    </w:p>
    <w:p>
      <w:pPr>
        <w:pStyle w:val="Normal"/>
      </w:pPr>
      <w:hyperlink r:id="rId1313">
        <w:r>
          <w:rPr>
            <w:rStyle w:val="Text1"/>
          </w:rPr>
          <w:t>MySQL</w:t>
        </w:r>
      </w:hyperlink>
      <w:hyperlink w:anchor="page_412">
        <w:r>
          <w:rPr>
            <w:rStyle w:val="Text9"/>
          </w:rPr>
          <w:t>342</w:t>
        </w:r>
      </w:hyperlink>
      <w:r>
        <w:t xml:space="preserve"> is a fast, multi-threaded, multi-user, and robust SQL database server. It is intended for mission-critical, heavy-load production systems and mass-deployed software.</w:t>
      </w:r>
    </w:p>
    <w:p>
      <w:pPr>
        <w:pStyle w:val="Para 17"/>
      </w:pPr>
      <w:r>
        <w:t/>
      </w:r>
    </w:p>
    <w:p>
      <w:pPr>
        <w:pStyle w:val="Para 01"/>
      </w:pPr>
      <w:r>
        <w:t>Install MySQL</w:t>
      </w:r>
    </w:p>
    <w:p>
      <w:pPr>
        <w:pStyle w:val="Para 17"/>
      </w:pPr>
      <w:r>
        <w:t/>
      </w:r>
    </w:p>
    <w:p>
      <w:pPr>
        <w:pStyle w:val="Normal"/>
      </w:pPr>
      <w:r>
        <w:t>To install MySQL, run the following command from a terminal prompt:</w:t>
      </w:r>
    </w:p>
    <w:p>
      <w:pPr>
        <w:pStyle w:val="Normal"/>
      </w:pPr>
      <w:r>
        <w:t>sudo apt install mysql-server</w:t>
      </w:r>
    </w:p>
    <w:p>
      <w:pPr>
        <w:pStyle w:val="Para 17"/>
      </w:pPr>
      <w:r>
        <w:t/>
      </w:r>
    </w:p>
    <w:p>
      <w:pPr>
        <w:pStyle w:val="Normal"/>
      </w:pPr>
      <w:r>
        <w:t>Once the installation is complete, the MySQL server should be started automatically. You can quickly check its current status via systemd:</w:t>
      </w:r>
    </w:p>
    <w:p>
      <w:pPr>
        <w:pStyle w:val="Normal"/>
      </w:pPr>
      <w:r>
        <w:t>sudo service mysql status</w:t>
      </w:r>
    </w:p>
    <w:p>
      <w:pPr>
        <w:pStyle w:val="Para 17"/>
      </w:pPr>
      <w:r>
        <w:t/>
      </w:r>
    </w:p>
    <w:p>
      <w:pPr>
        <w:pStyle w:val="Normal"/>
      </w:pPr>
      <w:r>
        <w:t>Which should provide an output like the following:</w:t>
      </w:r>
    </w:p>
    <w:p>
      <w:pPr>
        <w:pStyle w:val="Normal"/>
      </w:pPr>
      <w:r>
        <w:t>� mysql.service - MySQL Community Server</w:t>
      </w:r>
    </w:p>
    <w:p>
      <w:pPr>
        <w:pStyle w:val="Para 04"/>
      </w:pPr>
      <w:r>
        <w:t>Loaded: loaded (/lib/systemd/system/mysql.service; enabled; vendor preset: enabled)</w:t>
      </w:r>
    </w:p>
    <w:p>
      <w:pPr>
        <w:pStyle w:val="Para 04"/>
      </w:pPr>
      <w:r>
        <w:t>Active: active (running) since Tue 2019-10-08 14:37:38 PDT; 2 weeks 5 days ago</w:t>
        <w:t xml:space="preserve"> </w:t>
        <w:t>Main PID: 2028 (mysqld)</w:t>
      </w:r>
    </w:p>
    <w:p>
      <w:pPr>
        <w:pStyle w:val="Para 02"/>
      </w:pPr>
      <w:r>
        <w:t>Tasks: 28 (limit: 4915)</w:t>
      </w:r>
    </w:p>
    <w:p>
      <w:pPr>
        <w:pStyle w:val="Para 04"/>
      </w:pPr>
      <w:r>
        <w:t>CGroup: /system.slice/mysql.service</w:t>
      </w:r>
    </w:p>
    <w:p>
      <w:pPr>
        <w:pStyle w:val="Para 17"/>
      </w:pPr>
      <w:r>
        <w:t>└─2028 /usr/sbin/mysqld --daemonize --pid-file=/run/mysqld/mysqld.pid</w:t>
      </w:r>
    </w:p>
    <w:p>
      <w:pPr>
        <w:pStyle w:val="Normal"/>
      </w:pPr>
      <w:r>
        <w:t>Oct 08 14:37:36 db.example.org systemd[1]: Starting MySQL Community Server...</w:t>
      </w:r>
    </w:p>
    <w:p>
      <w:pPr>
        <w:pStyle w:val="Normal"/>
      </w:pPr>
      <w:r>
        <w:t>Oct 08 14:37:38 db.example.org systemd[1]: Started MySQL Community Server.</w:t>
      </w:r>
    </w:p>
    <w:p>
      <w:pPr>
        <w:pStyle w:val="Para 17"/>
      </w:pPr>
      <w:r>
        <w:t/>
      </w:r>
    </w:p>
    <w:p>
      <w:pPr>
        <w:pStyle w:val="Normal"/>
      </w:pPr>
      <w:r>
        <w:t>The network status of the MySQL service can also be checked by running the ss command at the terminal prompt:</w:t>
      </w:r>
    </w:p>
    <w:p>
      <w:pPr>
        <w:pStyle w:val="Normal"/>
      </w:pPr>
      <w:r>
        <w:t>sudo ss -tap | grep mysql</w:t>
      </w:r>
    </w:p>
    <w:p>
      <w:pPr>
        <w:pStyle w:val="Para 17"/>
      </w:pPr>
      <w:r>
        <w:t/>
      </w:r>
    </w:p>
    <w:p>
      <w:pPr>
        <w:pStyle w:val="Normal"/>
      </w:pPr>
      <w:r>
        <w:t>When you run this command, you should see something similar to the following:</w:t>
      </w:r>
    </w:p>
    <w:p>
      <w:pPr>
        <w:pStyle w:val="Para 17"/>
      </w:pPr>
      <w:r>
        <w:t/>
      </w:r>
    </w:p>
    <w:p>
      <w:pPr>
        <w:pStyle w:val="Para 05"/>
      </w:pPr>
      <w:r>
        <w:rPr>
          <w:rStyle w:val="Text5"/>
        </w:rPr>
        <w:t>342</w:t>
      </w:r>
      <w:r>
        <w:rPr>
          <w:rStyle w:val="Text8"/>
        </w:rPr>
        <w:t xml:space="preserve"> </w:t>
      </w:r>
      <w:r>
        <w:t>https://www.mysql.com/</w:t>
      </w:r>
    </w:p>
    <w:p>
      <w:bookmarkStart w:id="603" w:name="page_4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2" name="index-413_1.png" descr="index-413_1.png"/>
            <wp:cNvGraphicFramePr>
              <a:graphicFrameLocks noChangeAspect="1"/>
            </wp:cNvGraphicFramePr>
            <a:graphic>
              <a:graphicData uri="http://schemas.openxmlformats.org/drawingml/2006/picture">
                <pic:pic>
                  <pic:nvPicPr>
                    <pic:cNvPr id="0" name="index-413_1.png" descr="index-413_1.png"/>
                    <pic:cNvPicPr/>
                  </pic:nvPicPr>
                  <pic:blipFill>
                    <a:blip r:embed="rId426"/>
                    <a:stretch>
                      <a:fillRect/>
                    </a:stretch>
                  </pic:blipFill>
                  <pic:spPr>
                    <a:xfrm>
                      <a:off x="0" y="0"/>
                      <a:ext cx="914400" cy="266700"/>
                    </a:xfrm>
                    <a:prstGeom prst="rect">
                      <a:avLst/>
                    </a:prstGeom>
                  </pic:spPr>
                </pic:pic>
              </a:graphicData>
            </a:graphic>
          </wp:anchor>
        </w:drawing>
      </w:r>
      <w:bookmarkEnd w:id="603"/>
    </w:p>
    <w:p>
      <w:pPr>
        <w:pStyle w:val="Normal"/>
      </w:pPr>
      <w:r>
        <w:t>LISTEN</w:t>
        <w:t xml:space="preserve"> </w:t>
        <w:t>0</w:t>
        <w:t xml:space="preserve"> </w:t>
        <w:t>151</w:t>
        <w:t xml:space="preserve"> </w:t>
        <w:t>127.0.0.1:mysql</w:t>
        <w:t xml:space="preserve"> </w:t>
        <w:t>0.0.0.0:*</w:t>
        <w:t xml:space="preserve"> </w:t>
        <w:t>users:((</w:t>
        <w:t xml:space="preserve"> </w:t>
        <w:t>"mysqld",pid=149190,fd=29))</w:t>
      </w:r>
    </w:p>
    <w:p>
      <w:pPr>
        <w:pStyle w:val="Normal"/>
      </w:pPr>
      <w:r>
        <w:t>LISTEN</w:t>
        <w:t xml:space="preserve"> </w:t>
        <w:t>0</w:t>
        <w:t xml:space="preserve"> </w:t>
        <w:t>70</w:t>
        <w:t xml:space="preserve"> </w:t>
        <w:t>*:33060</w:t>
        <w:t xml:space="preserve"> </w:t>
        <w:t>*:*</w:t>
        <w:t xml:space="preserve"> </w:t>
        <w:t>users:((</w:t>
        <w:t xml:space="preserve"> </w:t>
        <w:t>"mysqld",pid=149190,fd=32))</w:t>
      </w:r>
    </w:p>
    <w:p>
      <w:pPr>
        <w:pStyle w:val="Para 17"/>
      </w:pPr>
      <w:r>
        <w:t/>
      </w:r>
    </w:p>
    <w:p>
      <w:pPr>
        <w:pStyle w:val="Normal"/>
      </w:pPr>
      <w:r>
        <w:t>If the server is not running correctly, you can type the following command to start it:</w:t>
      </w:r>
    </w:p>
    <w:p>
      <w:pPr>
        <w:pStyle w:val="Normal"/>
      </w:pPr>
      <w:r>
        <w:t>sudo service mysql restart</w:t>
      </w:r>
    </w:p>
    <w:p>
      <w:pPr>
        <w:pStyle w:val="Para 17"/>
      </w:pPr>
      <w:r>
        <w:t/>
      </w:r>
    </w:p>
    <w:p>
      <w:pPr>
        <w:pStyle w:val="Normal"/>
      </w:pPr>
      <w:r>
        <w:t>A good starting point for troubleshooting problems is the systemd journal, which can be ac-cessed from the terminal prompt with this command:</w:t>
      </w:r>
    </w:p>
    <w:p>
      <w:pPr>
        <w:pStyle w:val="Normal"/>
      </w:pPr>
      <w:r>
        <w:t>sudo journalctl -u mysql</w:t>
      </w:r>
    </w:p>
    <w:p>
      <w:pPr>
        <w:pStyle w:val="Para 17"/>
      </w:pPr>
      <w:r>
        <w:t/>
      </w:r>
    </w:p>
    <w:p>
      <w:pPr>
        <w:pStyle w:val="Para 01"/>
      </w:pPr>
      <w:r>
        <w:t>Configure MySQL</w:t>
      </w:r>
    </w:p>
    <w:p>
      <w:pPr>
        <w:pStyle w:val="Para 17"/>
      </w:pPr>
      <w:r>
        <w:t/>
      </w:r>
    </w:p>
    <w:p>
      <w:pPr>
        <w:pStyle w:val="Normal"/>
      </w:pPr>
      <w:r>
        <w:t>You can edit the files in /etc/mysql/ to configure the basic settings – log file, port number, etc. For example, to configure MySQL to listen for connections from network hosts, in the file /etc/mysql/mysql.conf.d/mysqld.cnf, change the bind-address directive to the server’s IP address:</w:t>
      </w:r>
    </w:p>
    <w:p>
      <w:pPr>
        <w:pStyle w:val="Normal"/>
      </w:pPr>
      <w:r>
        <w:t>bind</w:t>
        <w:t>-</w:t>
        <w:t>address</w:t>
        <w:t xml:space="preserve"> </w:t>
        <w:t>=</w:t>
        <w:t xml:space="preserve"> </w:t>
        <w:t>192.168.0.5</w:t>
      </w:r>
    </w:p>
    <w:p>
      <w:pPr>
        <w:pStyle w:val="Para 17"/>
      </w:pPr>
      <w:r>
        <w:t/>
      </w:r>
    </w:p>
    <w:p>
      <w:pPr>
        <w:pStyle w:val="Para 08"/>
      </w:pPr>
      <w:r>
        <w:t>Note:</w:t>
      </w:r>
    </w:p>
    <w:p>
      <w:pPr>
        <w:pStyle w:val="Para 03"/>
      </w:pPr>
      <w:r>
        <w:t>Replace 192.168.0.5 with the appropriate address, which can be determined via the ip</w:t>
      </w:r>
    </w:p>
    <w:p>
      <w:pPr>
        <w:pStyle w:val="Para 03"/>
      </w:pPr>
      <w:r>
        <w:t>address show command.</w:t>
      </w:r>
    </w:p>
    <w:p>
      <w:pPr>
        <w:pStyle w:val="Normal"/>
      </w:pPr>
      <w:r>
        <w:t>After making a configuration change, the MySQL daemon will need to be restarted with the following command:</w:t>
      </w:r>
    </w:p>
    <w:p>
      <w:pPr>
        <w:pStyle w:val="Normal"/>
      </w:pPr>
      <w:r>
        <w:t>sudo systemctl restart mysql.service</w:t>
      </w:r>
    </w:p>
    <w:p>
      <w:pPr>
        <w:pStyle w:val="Para 17"/>
      </w:pPr>
      <w:r>
        <w:t/>
      </w:r>
    </w:p>
    <w:p>
      <w:pPr>
        <w:pStyle w:val="Para 01"/>
      </w:pPr>
      <w:r>
        <w:t>User setup</w:t>
      </w:r>
    </w:p>
    <w:p>
      <w:pPr>
        <w:pStyle w:val="Para 17"/>
      </w:pPr>
      <w:r>
        <w:t/>
      </w:r>
    </w:p>
    <w:p>
      <w:pPr>
        <w:pStyle w:val="Normal"/>
      </w:pPr>
      <w:r>
        <w:t>By default, mysql-server initially provides a 'root'@'localhost' user for managing the server locally. You can enter the MySQL command-line as this user by running:</w:t>
      </w:r>
    </w:p>
    <w:p>
      <w:pPr>
        <w:pStyle w:val="Normal"/>
      </w:pPr>
      <w:r>
        <w:t>sudo mysql -u root</w:t>
      </w:r>
    </w:p>
    <w:p>
      <w:pPr>
        <w:pStyle w:val="Para 17"/>
      </w:pPr>
      <w:r>
        <w:t/>
      </w:r>
    </w:p>
    <w:p>
      <w:pPr>
        <w:pStyle w:val="Normal"/>
      </w:pPr>
      <w:r>
        <w:t xml:space="preserve">No password is required by MySQL as it authenticates with </w:t>
      </w:r>
      <w:hyperlink w:anchor="page_413">
        <w:r>
          <w:rPr>
            <w:rStyle w:val="Text9"/>
          </w:rPr>
          <w:t>343</w:t>
        </w:r>
      </w:hyperlink>
      <w:r>
        <w:t xml:space="preserve"> </w:t>
      </w:r>
      <w:hyperlink r:id="rId1314">
        <w:r>
          <w:rPr>
            <w:rStyle w:val="Text1"/>
          </w:rPr>
          <w:t>auth_socket</w:t>
        </w:r>
      </w:hyperlink>
      <w:r>
        <w:t>.</w:t>
      </w:r>
    </w:p>
    <w:p>
      <w:pPr>
        <w:pStyle w:val="Para 05"/>
      </w:pPr>
      <w:r>
        <w:rPr>
          <w:rStyle w:val="Text5"/>
        </w:rPr>
        <w:t>343</w:t>
      </w:r>
      <w:r>
        <w:rPr>
          <w:rStyle w:val="Text8"/>
        </w:rPr>
        <w:t xml:space="preserve"> </w:t>
      </w:r>
      <w:r>
        <w:t>https://dev.mysql.com/doc/mysql-secure-deployment-guide/8.0/en/secure-deployment-configure-authentication.</w:t>
      </w:r>
    </w:p>
    <w:p>
      <w:pPr>
        <w:pStyle w:val="Para 16"/>
      </w:pPr>
      <w:r>
        <w:t>html</w:t>
      </w:r>
    </w:p>
    <w:p>
      <w:bookmarkStart w:id="604" w:name="calibre_pb_95"/>
      <w:pPr>
        <w:pStyle w:val="0 Block"/>
      </w:pPr>
      <w:bookmarkEnd w:id="604"/>
    </w:p>
    <w:p>
      <w:bookmarkStart w:id="605" w:name="Top_of_index_split_096_html"/>
      <w:bookmarkStart w:id="606" w:name="page_41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3" name="index-414_1.png" descr="index-414_1.png"/>
            <wp:cNvGraphicFramePr>
              <a:graphicFrameLocks noChangeAspect="1"/>
            </wp:cNvGraphicFramePr>
            <a:graphic>
              <a:graphicData uri="http://schemas.openxmlformats.org/drawingml/2006/picture">
                <pic:pic>
                  <pic:nvPicPr>
                    <pic:cNvPr id="0" name="index-414_1.png" descr="index-414_1.png"/>
                    <pic:cNvPicPr/>
                  </pic:nvPicPr>
                  <pic:blipFill>
                    <a:blip r:embed="rId427"/>
                    <a:stretch>
                      <a:fillRect/>
                    </a:stretch>
                  </pic:blipFill>
                  <pic:spPr>
                    <a:xfrm>
                      <a:off x="0" y="0"/>
                      <a:ext cx="914400" cy="266700"/>
                    </a:xfrm>
                    <a:prstGeom prst="rect">
                      <a:avLst/>
                    </a:prstGeom>
                  </pic:spPr>
                </pic:pic>
              </a:graphicData>
            </a:graphic>
          </wp:anchor>
        </w:drawing>
      </w:r>
      <w:bookmarkEnd w:id="605"/>
      <w:bookmarkEnd w:id="606"/>
    </w:p>
    <w:p>
      <w:pPr>
        <w:pStyle w:val="Para 01"/>
      </w:pPr>
      <w:r>
        <w:t>Create a new user</w:t>
      </w:r>
    </w:p>
    <w:p>
      <w:pPr>
        <w:pStyle w:val="Para 17"/>
      </w:pPr>
      <w:r>
        <w:t/>
      </w:r>
    </w:p>
    <w:p>
      <w:pPr>
        <w:pStyle w:val="Normal"/>
      </w:pPr>
      <w:r>
        <w:t>From the command-line, you can create additional MySQL users with different privileges us-ing the CREATE USER command. For authentication, the two main options are to use a pass-word or use a socket like the root user.</w:t>
      </w:r>
    </w:p>
    <w:p>
      <w:pPr>
        <w:pStyle w:val="Normal"/>
      </w:pPr>
      <w:r>
        <w:t>To create a user authenticated with a password, you can use MySQL’s provided caching_sha2_ password plugin. It can be invoked in the following way, providing the password in plain text:</w:t>
      </w:r>
    </w:p>
    <w:p>
      <w:pPr>
        <w:pStyle w:val="Normal"/>
      </w:pPr>
      <w:r>
        <w:t>CREATE USER 'username'@'localhost' IDENTIFIED WITH caching_sha2_password BY 'password';</w:t>
      </w:r>
    </w:p>
    <w:p>
      <w:pPr>
        <w:pStyle w:val="Para 17"/>
      </w:pPr>
      <w:r>
        <w:t/>
      </w:r>
    </w:p>
    <w:p>
      <w:pPr>
        <w:pStyle w:val="Normal"/>
      </w:pPr>
      <w:r>
        <w:t>A random password can also be generated here with:</w:t>
      </w:r>
    </w:p>
    <w:p>
      <w:pPr>
        <w:pStyle w:val="Normal"/>
      </w:pPr>
      <w:r>
        <w:t>CREATE USER 'username'@'localhost' IDENTIFIED WITH caching_sha2_password BY RANDOM</w:t>
        <w:t xml:space="preserve"> </w:t>
        <w:t>PASSWORD;</w:t>
      </w:r>
    </w:p>
    <w:p>
      <w:pPr>
        <w:pStyle w:val="Para 17"/>
      </w:pPr>
      <w:r>
        <w:t/>
      </w:r>
    </w:p>
    <w:p>
      <w:pPr>
        <w:pStyle w:val="Normal"/>
      </w:pPr>
      <w:hyperlink r:id="rId1315">
        <w:r>
          <w:rPr>
            <w:rStyle w:val="Text1"/>
          </w:rPr>
          <w:t>MySQL’s upstream documentation</w:t>
        </w:r>
      </w:hyperlink>
      <w:hyperlink w:anchor="page_414">
        <w:r>
          <w:rPr>
            <w:rStyle w:val="Text9"/>
          </w:rPr>
          <w:t>344</w:t>
        </w:r>
      </w:hyperlink>
      <w:r>
        <w:t xml:space="preserve"> provides an overview of additional options when cre-ating accounts with passwords.</w:t>
      </w:r>
    </w:p>
    <w:p>
      <w:pPr>
        <w:pStyle w:val="Normal"/>
      </w:pPr>
      <w:r>
        <w:t>Socket-based authentication is used to allow a local system user to access an account without entering a password. Invoke this with:</w:t>
      </w:r>
    </w:p>
    <w:p>
      <w:pPr>
        <w:pStyle w:val="Normal"/>
      </w:pPr>
      <w:r>
        <w:t>CREATE USER 'username'@'localhost' IDENTIFIED WITH auth_socket;</w:t>
      </w:r>
    </w:p>
    <w:p>
      <w:pPr>
        <w:pStyle w:val="Para 17"/>
      </w:pPr>
      <w:r>
        <w:t/>
      </w:r>
    </w:p>
    <w:p>
      <w:pPr>
        <w:pStyle w:val="Normal"/>
      </w:pPr>
      <w:r>
        <w:t>By default, only the system user with the matching username can access this account. If you want the MySQL account username to differ from the system user username, then use the AS option:</w:t>
      </w:r>
    </w:p>
    <w:p>
      <w:pPr>
        <w:pStyle w:val="Normal"/>
      </w:pPr>
      <w:r>
        <w:t>CREATE USER 'username'@'localhost' IDENTIFIED WITH auth_socket AS 'system-user-username';</w:t>
      </w:r>
    </w:p>
    <w:p>
      <w:pPr>
        <w:pStyle w:val="Para 17"/>
      </w:pPr>
      <w:r>
        <w:t/>
      </w:r>
    </w:p>
    <w:p>
      <w:pPr>
        <w:pStyle w:val="Para 01"/>
      </w:pPr>
      <w:r>
        <w:t>Adding user permissions</w:t>
      </w:r>
    </w:p>
    <w:p>
      <w:pPr>
        <w:pStyle w:val="Para 17"/>
      </w:pPr>
      <w:r>
        <w:t/>
      </w:r>
    </w:p>
    <w:p>
      <w:pPr>
        <w:pStyle w:val="Normal"/>
      </w:pPr>
      <w:r>
        <w:t>A newly created user will require privilege updates to interact with databases in any way. These are provided by the GRANT command alongside specified roles or operations. For ex-ample, to give your user the ability to view table entries using the SELECT operation on all databases, run the following:</w:t>
      </w:r>
    </w:p>
    <w:p>
      <w:pPr>
        <w:pStyle w:val="Normal"/>
      </w:pPr>
      <w:r>
        <w:t>GRANT SELECT on *.* TO 'username'@'localhost';</w:t>
      </w:r>
    </w:p>
    <w:p>
      <w:pPr>
        <w:pStyle w:val="Para 17"/>
      </w:pPr>
      <w:r>
        <w:t/>
      </w:r>
    </w:p>
    <w:p>
      <w:pPr>
        <w:pStyle w:val="Para 01"/>
      </w:pPr>
      <w:r>
        <w:t>Database engines</w:t>
      </w:r>
    </w:p>
    <w:p>
      <w:pPr>
        <w:pStyle w:val="Para 17"/>
      </w:pPr>
      <w:r>
        <w:t/>
      </w:r>
    </w:p>
    <w:p>
      <w:pPr>
        <w:pStyle w:val="Normal"/>
      </w:pPr>
      <w:r>
        <w:t>Whilst the default configuration of MySQL provided by the Ubuntu packages is perfectly functional and performs well there are things you may wish to consider before you proceed.</w:t>
      </w:r>
    </w:p>
    <w:p>
      <w:pPr>
        <w:pStyle w:val="Normal"/>
      </w:pPr>
      <w:r>
        <w:t>MySQL is designed to allow data to be stored in different ways. These methods are referred to as either database or storage engines. There are two main storage engines that you’ll be</w:t>
      </w:r>
    </w:p>
    <w:p>
      <w:pPr>
        <w:pStyle w:val="Normal"/>
      </w:pPr>
      <w:r>
        <w:t xml:space="preserve">interested in: </w:t>
      </w:r>
      <w:hyperlink r:id="rId1316">
        <w:r>
          <w:rPr>
            <w:rStyle w:val="Text9"/>
          </w:rPr>
          <w:t>345</w:t>
        </w:r>
      </w:hyperlink>
      <w:r>
        <w:t xml:space="preserve"> </w:t>
      </w:r>
      <w:hyperlink r:id="rId1317">
        <w:r>
          <w:rPr>
            <w:rStyle w:val="Text9"/>
          </w:rPr>
          <w:t>346</w:t>
        </w:r>
      </w:hyperlink>
      <w:hyperlink r:id="rId1317">
        <w:r>
          <w:rPr>
            <w:rStyle w:val="Text1"/>
          </w:rPr>
          <w:t xml:space="preserve"> InnoDB</w:t>
        </w:r>
      </w:hyperlink>
      <w:r>
        <w:t xml:space="preserve"> and </w:t>
      </w:r>
      <w:hyperlink r:id="rId1317">
        <w:r>
          <w:rPr>
            <w:rStyle w:val="Text1"/>
          </w:rPr>
          <w:t>MyISAM</w:t>
        </w:r>
      </w:hyperlink>
      <w:r>
        <w:t>. Storage engines are transparent to the end user.</w:t>
      </w:r>
    </w:p>
    <w:p>
      <w:pPr>
        <w:pStyle w:val="Para 41"/>
      </w:pPr>
      <w:r>
        <w:rPr>
          <w:rStyle w:val="Text5"/>
        </w:rPr>
        <w:t>344</w:t>
      </w:r>
      <w:r>
        <w:rPr>
          <w:rStyle w:val="Text8"/>
        </w:rPr>
        <w:t xml:space="preserve"> </w:t>
      </w:r>
      <w:r>
        <w:t>https://dev.mysql.com/doc/mysql-secure-deployment-guide/8.0/en/secure-deployment-user-accounts.</w:t>
      </w:r>
    </w:p>
    <w:p>
      <w:pPr>
        <w:pStyle w:val="Para 16"/>
      </w:pPr>
      <w:r>
        <w:t>html</w:t>
      </w:r>
    </w:p>
    <w:p>
      <w:pPr>
        <w:pStyle w:val="Para 05"/>
      </w:pPr>
      <w:r>
        <w:rPr>
          <w:rStyle w:val="Text5"/>
        </w:rPr>
        <w:t>345</w:t>
      </w:r>
      <w:r>
        <w:rPr>
          <w:rStyle w:val="Text8"/>
        </w:rPr>
        <w:t xml:space="preserve"> </w:t>
      </w:r>
      <w:r>
        <w:t>https://dev.mysql.com/doc/refman/8.0/en/innodb-storage-engine.html</w:t>
      </w:r>
    </w:p>
    <w:p>
      <w:pPr>
        <w:pStyle w:val="Para 03"/>
      </w:pPr>
      <w:r>
        <w:rPr>
          <w:rStyle w:val="Text5"/>
        </w:rPr>
        <w:t>346</w:t>
      </w:r>
      <w:r>
        <w:t xml:space="preserve"> </w:t>
      </w:r>
      <w:r>
        <w:rPr>
          <w:rStyle w:val="Text6"/>
        </w:rPr>
        <w:t>https://dev.mysql.com/doc/refman/8.0/en/myisam-storage-engine.html</w:t>
      </w:r>
      <w:r>
        <w:t xml:space="preserve"> MySQL will handle things differently under the surface, but regardless of which storage en-gine is in use, you will interact with the database in the same way.</w:t>
      </w:r>
    </w:p>
    <w:p>
      <w:bookmarkStart w:id="607" w:name="page_4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4" name="index-415_1.png" descr="index-415_1.png"/>
            <wp:cNvGraphicFramePr>
              <a:graphicFrameLocks noChangeAspect="1"/>
            </wp:cNvGraphicFramePr>
            <a:graphic>
              <a:graphicData uri="http://schemas.openxmlformats.org/drawingml/2006/picture">
                <pic:pic>
                  <pic:nvPicPr>
                    <pic:cNvPr id="0" name="index-415_1.png" descr="index-415_1.png"/>
                    <pic:cNvPicPr/>
                  </pic:nvPicPr>
                  <pic:blipFill>
                    <a:blip r:embed="rId428"/>
                    <a:stretch>
                      <a:fillRect/>
                    </a:stretch>
                  </pic:blipFill>
                  <pic:spPr>
                    <a:xfrm>
                      <a:off x="0" y="0"/>
                      <a:ext cx="914400" cy="266700"/>
                    </a:xfrm>
                    <a:prstGeom prst="rect">
                      <a:avLst/>
                    </a:prstGeom>
                  </pic:spPr>
                </pic:pic>
              </a:graphicData>
            </a:graphic>
          </wp:anchor>
        </w:drawing>
      </w:r>
      <w:bookmarkEnd w:id="607"/>
    </w:p>
    <w:p>
      <w:pPr>
        <w:pStyle w:val="Normal"/>
      </w:pPr>
      <w:r>
        <w:t>Each engine has its own advantages and disadvantages.</w:t>
      </w:r>
    </w:p>
    <w:p>
      <w:pPr>
        <w:pStyle w:val="Normal"/>
      </w:pPr>
      <w:r>
        <w:t>While it is possible (and may be advantageous) to mix and match database engines on a table level, doing so reduces the effectiveness of the performance tuning you can do as you’ll be splitting the resources between two engines instead of dedicating them to one.</w:t>
      </w:r>
    </w:p>
    <w:p>
      <w:pPr>
        <w:pStyle w:val="Para 17"/>
      </w:pPr>
      <w:r>
        <w:t/>
      </w:r>
    </w:p>
    <w:p>
      <w:pPr>
        <w:pStyle w:val="Para 01"/>
      </w:pPr>
      <w:r>
        <w:t>InnoDB</w:t>
      </w:r>
    </w:p>
    <w:p>
      <w:pPr>
        <w:pStyle w:val="Para 17"/>
      </w:pPr>
      <w:r>
        <w:t/>
      </w:r>
    </w:p>
    <w:p>
      <w:pPr>
        <w:pStyle w:val="Normal"/>
      </w:pPr>
      <w:r>
        <w:t>As of MySQL 5.5, InnoDB is the default engine, and is highly recommended over MyISAM unless you have specific needs for features unique to that engine.</w:t>
      </w:r>
    </w:p>
    <w:p>
      <w:pPr>
        <w:pStyle w:val="Normal"/>
      </w:pPr>
      <w:r>
        <w:t xml:space="preserve">InnoDB is a more modern database engine, designed to be </w:t>
      </w:r>
      <w:hyperlink r:id="rId1318">
        <w:r>
          <w:rPr>
            <w:rStyle w:val="Text9"/>
          </w:rPr>
          <w:t>347</w:t>
        </w:r>
      </w:hyperlink>
      <w:hyperlink r:id="rId1318">
        <w:r>
          <w:rPr>
            <w:rStyle w:val="Text1"/>
          </w:rPr>
          <w:t xml:space="preserve"> ACID compliant</w:t>
        </w:r>
      </w:hyperlink>
      <w:r>
        <w:t xml:space="preserve"> which guaran-tees database transactions are processed reliably. To meet ACID compliance all transactions are journaled independently of the main tables. This allows for much more reliable data re-covery as data consistency can be checked.</w:t>
      </w:r>
    </w:p>
    <w:p>
      <w:pPr>
        <w:pStyle w:val="Normal"/>
      </w:pPr>
      <w:r>
        <w:t>Write locking can occur on a row-level basis within a table. That means multiple updates can occur on a single table simultaneously. Data caching is also handled in memory within the database engine, allowing caching on a more efficient row-level basis rather than file block.</w:t>
      </w:r>
    </w:p>
    <w:p>
      <w:pPr>
        <w:pStyle w:val="Para 17"/>
      </w:pPr>
      <w:r>
        <w:t/>
      </w:r>
    </w:p>
    <w:p>
      <w:pPr>
        <w:pStyle w:val="Para 01"/>
      </w:pPr>
      <w:r>
        <w:t>MyISAM</w:t>
      </w:r>
    </w:p>
    <w:p>
      <w:pPr>
        <w:pStyle w:val="Para 17"/>
      </w:pPr>
      <w:r>
        <w:t/>
      </w:r>
    </w:p>
    <w:p>
      <w:pPr>
        <w:pStyle w:val="Normal"/>
      </w:pPr>
      <w:r>
        <w:t>MyISAM is the older of the two. It can be faster than InnoDB under certain circumstances and favors a read-only workload. Some web applications have been tuned around MyISAM (though that’s not to imply that they will be slower under InnoDB).</w:t>
      </w:r>
    </w:p>
    <w:p>
      <w:pPr>
        <w:pStyle w:val="Normal"/>
      </w:pPr>
      <w:r>
        <w:t xml:space="preserve">MyISAM also supports the </w:t>
      </w:r>
      <w:hyperlink w:anchor="page_684">
        <w:r>
          <w:rPr>
            <w:rStyle w:val="Text2"/>
          </w:rPr>
          <w:t>FULLTEXT</w:t>
        </w:r>
      </w:hyperlink>
      <w:r>
        <w:t xml:space="preserve"> index type, which allows very fast searches of large quantities of text data. However MyISAM is only capable of locking an entire table for writing. This means only one process can update a table at a time. As any application that uses the table scales this may prove to be a hindrance.</w:t>
      </w:r>
    </w:p>
    <w:p>
      <w:pPr>
        <w:pStyle w:val="Normal"/>
      </w:pPr>
      <w:r>
        <w:t>It also lacks journaling, which makes it harder for data to be recovered after a crash. The</w:t>
      </w:r>
    </w:p>
    <w:p>
      <w:pPr>
        <w:pStyle w:val="Normal"/>
      </w:pPr>
      <w:r>
        <w:t xml:space="preserve">following link provides some points for consideration about using </w:t>
      </w:r>
      <w:hyperlink r:id="rId1319">
        <w:r>
          <w:rPr>
            <w:rStyle w:val="Text1"/>
          </w:rPr>
          <w:t>MyISAM on a production</w:t>
        </w:r>
      </w:hyperlink>
    </w:p>
    <w:p>
      <w:pPr>
        <w:pStyle w:val="Para 18"/>
      </w:pPr>
      <w:hyperlink r:id="rId1319">
        <w:r>
          <w:t>database</w:t>
        </w:r>
      </w:hyperlink>
      <w:hyperlink r:id="rId1319">
        <w:r>
          <w:rPr>
            <w:rStyle w:val="Text10"/>
          </w:rPr>
          <w:t>348</w:t>
        </w:r>
      </w:hyperlink>
      <w:r>
        <w:rPr>
          <w:rStyle w:val="Text7"/>
        </w:rPr>
        <w:t>.</w:t>
      </w:r>
    </w:p>
    <w:p>
      <w:pPr>
        <w:pStyle w:val="Para 17"/>
      </w:pPr>
      <w:r>
        <w:t/>
      </w:r>
    </w:p>
    <w:p>
      <w:pPr>
        <w:pStyle w:val="Para 01"/>
      </w:pPr>
      <w:r>
        <w:t>Backups</w:t>
      </w:r>
    </w:p>
    <w:p>
      <w:pPr>
        <w:pStyle w:val="Para 17"/>
      </w:pPr>
      <w:r>
        <w:t/>
      </w:r>
    </w:p>
    <w:p>
      <w:pPr>
        <w:pStyle w:val="Normal"/>
      </w:pPr>
      <w:r>
        <w:t>MySQL databases should be backed up regularly. Backups can be accomplished through sev-eral methods, of which we’ll discuss three here.</w:t>
      </w:r>
    </w:p>
    <w:p>
      <w:pPr>
        <w:pStyle w:val="Normal"/>
      </w:pPr>
      <w:hyperlink w:anchor="page_416">
        <w:r>
          <w:rPr>
            <w:rStyle w:val="Text2"/>
          </w:rPr>
          <w:t>mysqldump</w:t>
        </w:r>
      </w:hyperlink>
      <w:r>
        <w:t xml:space="preserve"> (page 415) is included with mysql-server. It is useful for backing up smaller databases, allows backups to be edited prior to a restore, and can be used for exporting to CSV and XML.</w:t>
      </w:r>
    </w:p>
    <w:p>
      <w:pPr>
        <w:pStyle w:val="Normal"/>
      </w:pPr>
      <w:hyperlink w:anchor="page_416">
        <w:r>
          <w:rPr>
            <w:rStyle w:val="Text2"/>
          </w:rPr>
          <w:t>MySQL Shell’s Dump Utility</w:t>
        </w:r>
      </w:hyperlink>
      <w:r>
        <w:t xml:space="preserve"> (page 415) allows for backups of specific schema and tables, both to local files and remote secure servers. It is recommended for creating partial backups, and for integration with Python programs.</w:t>
      </w:r>
    </w:p>
    <w:p>
      <w:pPr>
        <w:pStyle w:val="Para 05"/>
      </w:pPr>
      <w:r>
        <w:rPr>
          <w:rStyle w:val="Text5"/>
        </w:rPr>
        <w:t>347</w:t>
      </w:r>
      <w:r>
        <w:rPr>
          <w:rStyle w:val="Text8"/>
        </w:rPr>
        <w:t xml:space="preserve"> </w:t>
      </w:r>
      <w:r>
        <w:t>https://en.wikipedia.org/wiki/ACID</w:t>
      </w:r>
    </w:p>
    <w:p>
      <w:pPr>
        <w:pStyle w:val="Para 05"/>
      </w:pPr>
      <w:r>
        <w:rPr>
          <w:rStyle w:val="Text5"/>
        </w:rPr>
        <w:t>348</w:t>
      </w:r>
      <w:r>
        <w:rPr>
          <w:rStyle w:val="Text8"/>
        </w:rPr>
        <w:t xml:space="preserve"> </w:t>
      </w:r>
      <w:r>
        <w:t>https://www.percona.com/blog/using-myisam-in-production/</w:t>
      </w:r>
    </w:p>
    <w:p>
      <w:bookmarkStart w:id="608" w:name="page_4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5" name="index-416_1.png" descr="index-416_1.png"/>
            <wp:cNvGraphicFramePr>
              <a:graphicFrameLocks noChangeAspect="1"/>
            </wp:cNvGraphicFramePr>
            <a:graphic>
              <a:graphicData uri="http://schemas.openxmlformats.org/drawingml/2006/picture">
                <pic:pic>
                  <pic:nvPicPr>
                    <pic:cNvPr id="0" name="index-416_1.png" descr="index-416_1.png"/>
                    <pic:cNvPicPr/>
                  </pic:nvPicPr>
                  <pic:blipFill>
                    <a:blip r:embed="rId429"/>
                    <a:stretch>
                      <a:fillRect/>
                    </a:stretch>
                  </pic:blipFill>
                  <pic:spPr>
                    <a:xfrm>
                      <a:off x="0" y="0"/>
                      <a:ext cx="914400" cy="266700"/>
                    </a:xfrm>
                    <a:prstGeom prst="rect">
                      <a:avLst/>
                    </a:prstGeom>
                  </pic:spPr>
                </pic:pic>
              </a:graphicData>
            </a:graphic>
          </wp:anchor>
        </w:drawing>
      </w:r>
      <w:bookmarkEnd w:id="608"/>
    </w:p>
    <w:p>
      <w:pPr>
        <w:pStyle w:val="Normal"/>
      </w:pPr>
      <w:hyperlink w:anchor="page_417">
        <w:r>
          <w:rPr>
            <w:rStyle w:val="Text2"/>
          </w:rPr>
          <w:t>Percona Xtrabackup</w:t>
        </w:r>
      </w:hyperlink>
      <w:r>
        <w:t xml:space="preserve"> (page 416) creates full backups with far greater performance than the former options. However, it lacks the ability to customize schema and tables. It is the recom-mended option for backing up large databases in a production environment.</w:t>
      </w:r>
    </w:p>
    <w:p>
      <w:pPr>
        <w:pStyle w:val="Para 17"/>
      </w:pPr>
      <w:r>
        <w:t/>
      </w:r>
    </w:p>
    <w:p>
      <w:pPr>
        <w:pStyle w:val="Para 01"/>
      </w:pPr>
      <w:r>
        <w:t>mysqldump</w:t>
      </w:r>
    </w:p>
    <w:p>
      <w:pPr>
        <w:pStyle w:val="Para 17"/>
      </w:pPr>
      <w:r>
        <w:t/>
      </w:r>
    </w:p>
    <w:p>
      <w:pPr>
        <w:pStyle w:val="Normal"/>
      </w:pPr>
      <w:r>
        <w:t xml:space="preserve">mysqldump </w:t>
      </w:r>
      <w:hyperlink r:id="rId1320">
        <w:r>
          <w:rPr>
            <w:rStyle w:val="Text9"/>
          </w:rPr>
          <w:t>349</w:t>
        </w:r>
      </w:hyperlink>
      <w:r>
        <w:t xml:space="preserve"> is a built-in tool that performs </w:t>
      </w:r>
      <w:hyperlink r:id="rId1320">
        <w:r>
          <w:rPr>
            <w:rStyle w:val="Text1"/>
          </w:rPr>
          <w:t>logical backups</w:t>
        </w:r>
      </w:hyperlink>
      <w:r>
        <w:t xml:space="preserve"> for MySQL.</w:t>
      </w:r>
    </w:p>
    <w:p>
      <w:pPr>
        <w:pStyle w:val="Normal"/>
      </w:pPr>
      <w:r>
        <w:t>To dump the data of a publicly available database on the local MySQL server into a file, run the following:</w:t>
      </w:r>
    </w:p>
    <w:p>
      <w:pPr>
        <w:pStyle w:val="Normal"/>
      </w:pPr>
      <w:r>
        <w:t>mysqldump</w:t>
        <w:t xml:space="preserve"> </w:t>
        <w:t>[</w:t>
        <w:t>database name</w:t>
        <w:t>]</w:t>
        <w:t xml:space="preserve"> </w:t>
        <w:t>&gt; dump.sql</w:t>
      </w:r>
    </w:p>
    <w:p>
      <w:pPr>
        <w:pStyle w:val="Para 17"/>
      </w:pPr>
      <w:r>
        <w:t/>
      </w:r>
    </w:p>
    <w:p>
      <w:pPr>
        <w:pStyle w:val="Normal"/>
      </w:pPr>
      <w:r>
        <w:t>For restricted databases, specify a user with the proper permissions using-u:</w:t>
      </w:r>
    </w:p>
    <w:p>
      <w:pPr>
        <w:pStyle w:val="Normal"/>
      </w:pPr>
      <w:r>
        <w:t>mysqldump -u root</w:t>
        <w:t xml:space="preserve"> </w:t>
        <w:t>[</w:t>
        <w:t>database name</w:t>
        <w:t>]</w:t>
        <w:t xml:space="preserve"> </w:t>
        <w:t>&gt; dump.sql</w:t>
      </w:r>
    </w:p>
    <w:p>
      <w:pPr>
        <w:pStyle w:val="Para 17"/>
      </w:pPr>
      <w:r>
        <w:t/>
      </w:r>
    </w:p>
    <w:p>
      <w:pPr>
        <w:pStyle w:val="Normal"/>
      </w:pPr>
      <w:r>
        <w:t>To restore a database from the backup file, run the mysql command and pipe the file through stdin:</w:t>
      </w:r>
    </w:p>
    <w:p>
      <w:pPr>
        <w:pStyle w:val="Normal"/>
      </w:pPr>
      <w:r>
        <w:t>mysql -u root</w:t>
        <w:t xml:space="preserve"> </w:t>
        <w:t>[</w:t>
        <w:t>database name</w:t>
        <w:t>]</w:t>
        <w:t xml:space="preserve"> </w:t>
        <w:t>&lt; dump.sql</w:t>
      </w:r>
    </w:p>
    <w:p>
      <w:pPr>
        <w:pStyle w:val="Para 17"/>
      </w:pPr>
      <w:r>
        <w:t/>
      </w:r>
    </w:p>
    <w:p>
      <w:pPr>
        <w:pStyle w:val="Normal"/>
      </w:pPr>
      <w:r>
        <w:t xml:space="preserve">See the </w:t>
      </w:r>
      <w:hyperlink w:anchor="page_416">
        <w:r>
          <w:rPr>
            <w:rStyle w:val="Text9"/>
          </w:rPr>
          <w:t>350</w:t>
        </w:r>
      </w:hyperlink>
      <w:r>
        <w:t xml:space="preserve"> </w:t>
      </w:r>
      <w:hyperlink r:id="rId1321">
        <w:r>
          <w:rPr>
            <w:rStyle w:val="Text1"/>
          </w:rPr>
          <w:t>upstream documentation</w:t>
        </w:r>
      </w:hyperlink>
      <w:r>
        <w:t xml:space="preserve"> for more information.</w:t>
      </w:r>
    </w:p>
    <w:p>
      <w:pPr>
        <w:pStyle w:val="Para 17"/>
      </w:pPr>
      <w:r>
        <w:t/>
      </w:r>
    </w:p>
    <w:p>
      <w:pPr>
        <w:pStyle w:val="Para 01"/>
      </w:pPr>
      <w:r>
        <w:t>MySQL Shell Dump Utility</w:t>
      </w:r>
    </w:p>
    <w:p>
      <w:pPr>
        <w:pStyle w:val="Para 17"/>
      </w:pPr>
      <w:r>
        <w:t/>
      </w:r>
    </w:p>
    <w:p>
      <w:pPr>
        <w:pStyle w:val="Normal"/>
      </w:pPr>
      <w:r>
        <w:t>MySQL Shell, supported in Ubuntu 24.04 LTS and later, contains a set of utilities for dumping, backing up, and restoring MySQL data. It provides a programmatic option for logical backups with filtering options.</w:t>
      </w:r>
    </w:p>
    <w:p>
      <w:pPr>
        <w:pStyle w:val="Normal"/>
      </w:pPr>
      <w:r>
        <w:t>To install MySQL Shell, run the following:</w:t>
      </w:r>
    </w:p>
    <w:p>
      <w:pPr>
        <w:pStyle w:val="Normal"/>
      </w:pPr>
      <w:r>
        <w:t>sudo apt install mysql-shell</w:t>
      </w:r>
    </w:p>
    <w:p>
      <w:pPr>
        <w:pStyle w:val="Para 17"/>
      </w:pPr>
      <w:r>
        <w:t/>
      </w:r>
    </w:p>
    <w:p>
      <w:pPr>
        <w:pStyle w:val="Normal"/>
      </w:pPr>
      <w:r>
        <w:t>Run the following to connect to the local MySQL server on Ubuntu with MySQL Shell in Python mode:</w:t>
      </w:r>
    </w:p>
    <w:p>
      <w:pPr>
        <w:pStyle w:val="Normal"/>
      </w:pPr>
      <w:r>
        <w:t>mysqlsh --socket</w:t>
        <w:t>=</w:t>
        <w:t>/var/run/mysqld/mysqld.sock --no-password --python</w:t>
      </w:r>
    </w:p>
    <w:p>
      <w:pPr>
        <w:pStyle w:val="Para 17"/>
      </w:pPr>
      <w:r>
        <w:t/>
      </w:r>
    </w:p>
    <w:p>
      <w:pPr>
        <w:pStyle w:val="Normal"/>
      </w:pPr>
      <w:r>
        <w:t>Initiate a local backup of all data in Python mode with:</w:t>
      </w:r>
    </w:p>
    <w:p>
      <w:pPr>
        <w:pStyle w:val="Normal"/>
      </w:pPr>
      <w:r>
        <w:t>util</w:t>
        <w:t>.</w:t>
        <w:t>dump_instance(</w:t>
        <w:t>"/tmp/worlddump"</w:t>
        <w:t>)</w:t>
      </w:r>
    </w:p>
    <w:p>
      <w:pPr>
        <w:pStyle w:val="Para 17"/>
      </w:pPr>
      <w:r>
        <w:t/>
      </w:r>
    </w:p>
    <w:p>
      <w:pPr>
        <w:pStyle w:val="Normal"/>
      </w:pPr>
      <w:r>
        <w:t>Dump a specific set of tables with dump_tables:</w:t>
      </w:r>
    </w:p>
    <w:p>
      <w:pPr>
        <w:pStyle w:val="Normal"/>
      </w:pPr>
      <w:r>
        <w:t>util</w:t>
        <w:t>.</w:t>
        <w:t>dump_tables(</w:t>
        <w:t>"database name"</w:t>
        <w:t>, [</w:t>
        <w:t>"table 1"</w:t>
        <w:t>,</w:t>
        <w:t xml:space="preserve"> </w:t>
        <w:t>"table 2"</w:t>
        <w:t>],</w:t>
        <w:t xml:space="preserve"> </w:t>
        <w:t>"/tmp/tabledump"</w:t>
        <w:t>)</w:t>
      </w:r>
    </w:p>
    <w:p>
      <w:pPr>
        <w:pStyle w:val="Para 17"/>
      </w:pPr>
      <w:r>
        <w:t/>
      </w:r>
    </w:p>
    <w:p>
      <w:pPr>
        <w:pStyle w:val="Normal"/>
      </w:pPr>
      <w:r>
        <w:t xml:space="preserve">To restore dumped data, use the </w:t>
      </w:r>
      <w:hyperlink r:id="rId1322">
        <w:r>
          <w:rPr>
            <w:rStyle w:val="Text9"/>
          </w:rPr>
          <w:t>351</w:t>
        </w:r>
      </w:hyperlink>
      <w:hyperlink r:id="rId1322">
        <w:r>
          <w:rPr>
            <w:rStyle w:val="Text1"/>
          </w:rPr>
          <w:t xml:space="preserve"> dump loading utility</w:t>
        </w:r>
      </w:hyperlink>
      <w:r>
        <w:t>.</w:t>
      </w:r>
    </w:p>
    <w:p>
      <w:pPr>
        <w:pStyle w:val="Para 17"/>
      </w:pPr>
      <w:r>
        <w:t/>
      </w:r>
    </w:p>
    <w:p>
      <w:pPr>
        <w:pStyle w:val="Para 05"/>
      </w:pPr>
      <w:r>
        <w:rPr>
          <w:rStyle w:val="Text5"/>
        </w:rPr>
        <w:t>349</w:t>
      </w:r>
      <w:r>
        <w:rPr>
          <w:rStyle w:val="Text8"/>
        </w:rPr>
        <w:t xml:space="preserve"> </w:t>
      </w:r>
      <w:r>
        <w:t>https://dev.mysql.com/doc/refman/8.4/en/glossary.html#glos_logical_backup</w:t>
      </w:r>
    </w:p>
    <w:p>
      <w:pPr>
        <w:pStyle w:val="Para 05"/>
      </w:pPr>
      <w:r>
        <w:rPr>
          <w:rStyle w:val="Text5"/>
        </w:rPr>
        <w:t>350</w:t>
      </w:r>
      <w:r>
        <w:rPr>
          <w:rStyle w:val="Text8"/>
        </w:rPr>
        <w:t xml:space="preserve"> </w:t>
      </w:r>
      <w:r>
        <w:t>https://dev.mysql.com/doc/refman/8.4/en/mysqldump.html</w:t>
      </w:r>
    </w:p>
    <w:p>
      <w:pPr>
        <w:pStyle w:val="Para 05"/>
      </w:pPr>
      <w:r>
        <w:rPr>
          <w:rStyle w:val="Text5"/>
        </w:rPr>
        <w:t>351</w:t>
      </w:r>
      <w:r>
        <w:rPr>
          <w:rStyle w:val="Text8"/>
        </w:rPr>
        <w:t xml:space="preserve"> </w:t>
      </w:r>
      <w:r>
        <w:t>https://dev.mysql.com/doc/mysql-shell/8.0/en/mysql-shell-utilities-load-dump.html</w:t>
      </w:r>
      <w:r>
        <w:rPr>
          <w:rStyle w:val="Text8"/>
        </w:rPr>
        <w:t xml:space="preserve"> </w:t>
        <w:t>util</w:t>
        <w:t>.</w:t>
        <w:t>load_dump(</w:t>
        <w:t>"/tmp/worlddump"</w:t>
        <w:t>)</w:t>
      </w:r>
    </w:p>
    <w:p>
      <w:bookmarkStart w:id="609" w:name="page_4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6" name="index-417_1.png" descr="index-417_1.png"/>
            <wp:cNvGraphicFramePr>
              <a:graphicFrameLocks noChangeAspect="1"/>
            </wp:cNvGraphicFramePr>
            <a:graphic>
              <a:graphicData uri="http://schemas.openxmlformats.org/drawingml/2006/picture">
                <pic:pic>
                  <pic:nvPicPr>
                    <pic:cNvPr id="0" name="index-417_1.png" descr="index-417_1.png"/>
                    <pic:cNvPicPr/>
                  </pic:nvPicPr>
                  <pic:blipFill>
                    <a:blip r:embed="rId430"/>
                    <a:stretch>
                      <a:fillRect/>
                    </a:stretch>
                  </pic:blipFill>
                  <pic:spPr>
                    <a:xfrm>
                      <a:off x="0" y="0"/>
                      <a:ext cx="914400" cy="266700"/>
                    </a:xfrm>
                    <a:prstGeom prst="rect">
                      <a:avLst/>
                    </a:prstGeom>
                  </pic:spPr>
                </pic:pic>
              </a:graphicData>
            </a:graphic>
          </wp:anchor>
        </w:drawing>
      </w:r>
      <w:bookmarkEnd w:id="609"/>
    </w:p>
    <w:p>
      <w:pPr>
        <w:pStyle w:val="Para 17"/>
      </w:pPr>
      <w:r>
        <w:t/>
      </w:r>
    </w:p>
    <w:p>
      <w:pPr>
        <w:pStyle w:val="Para 08"/>
      </w:pPr>
      <w:r>
        <w:t>Note:</w:t>
      </w:r>
    </w:p>
    <w:p>
      <w:pPr>
        <w:pStyle w:val="Para 03"/>
      </w:pPr>
      <w:r>
        <w:t>To restore data from a local file, local_infile needs to be enabled on the MySQL server.</w:t>
      </w:r>
    </w:p>
    <w:p>
      <w:pPr>
        <w:pStyle w:val="Para 03"/>
      </w:pPr>
      <w:r>
        <w:t>Activate this by accessing the server with the mysql command and entering SET GLOBAL</w:t>
      </w:r>
    </w:p>
    <w:p>
      <w:pPr>
        <w:pStyle w:val="Para 03"/>
      </w:pPr>
      <w:r>
        <w:t>local_infile=1; .</w:t>
      </w:r>
    </w:p>
    <w:p>
      <w:pPr>
        <w:pStyle w:val="Para 17"/>
      </w:pPr>
      <w:r>
        <w:t/>
      </w:r>
    </w:p>
    <w:p>
      <w:pPr>
        <w:pStyle w:val="Para 18"/>
      </w:pPr>
      <w:r>
        <w:rPr>
          <w:rStyle w:val="Text7"/>
        </w:rPr>
        <w:t xml:space="preserve">See the </w:t>
      </w:r>
      <w:hyperlink r:id="rId1323">
        <w:r>
          <w:rPr>
            <w:rStyle w:val="Text10"/>
          </w:rPr>
          <w:t>352</w:t>
        </w:r>
      </w:hyperlink>
      <w:hyperlink r:id="rId1323">
        <w:r>
          <w:t xml:space="preserve"> MySQL Shell dump documentation</w:t>
        </w:r>
      </w:hyperlink>
      <w:r>
        <w:rPr>
          <w:rStyle w:val="Text7"/>
        </w:rPr>
        <w:t xml:space="preserve"> for more information.</w:t>
      </w:r>
    </w:p>
    <w:p>
      <w:pPr>
        <w:pStyle w:val="Para 17"/>
      </w:pPr>
      <w:r>
        <w:t/>
      </w:r>
    </w:p>
    <w:p>
      <w:pPr>
        <w:pStyle w:val="Para 01"/>
      </w:pPr>
      <w:r>
        <w:t>Percona Xtrabackup</w:t>
      </w:r>
    </w:p>
    <w:p>
      <w:pPr>
        <w:pStyle w:val="Para 17"/>
      </w:pPr>
      <w:r>
        <w:t/>
      </w:r>
    </w:p>
    <w:p>
      <w:pPr>
        <w:pStyle w:val="Normal"/>
      </w:pPr>
      <w:r>
        <w:t xml:space="preserve">Also supported in Ubuntu 24.04 LTS and later, Percona Xtrabackup is a tool for creating </w:t>
      </w:r>
      <w:hyperlink r:id="rId1324">
        <w:r>
          <w:rPr>
            <w:rStyle w:val="Text1"/>
          </w:rPr>
          <w:t>phys-</w:t>
        </w:r>
      </w:hyperlink>
    </w:p>
    <w:p>
      <w:pPr>
        <w:pStyle w:val="Normal"/>
      </w:pPr>
      <w:hyperlink r:id="rId1324">
        <w:r>
          <w:rPr>
            <w:rStyle w:val="Text1"/>
          </w:rPr>
          <w:t>ical backups</w:t>
        </w:r>
      </w:hyperlink>
      <w:hyperlink w:anchor="page_417">
        <w:r>
          <w:rPr>
            <w:rStyle w:val="Text9"/>
          </w:rPr>
          <w:t>353</w:t>
        </w:r>
      </w:hyperlink>
      <w:hyperlink w:anchor="page_417">
        <w:r>
          <w:rPr>
            <w:rStyle w:val="Text1"/>
          </w:rPr>
          <w:t xml:space="preserve"> </w:t>
        </w:r>
      </w:hyperlink>
      <w:hyperlink w:anchor="page_417">
        <w:r>
          <w:rPr>
            <w:rStyle w:val="Text9"/>
          </w:rPr>
          <w:t>354</w:t>
        </w:r>
      </w:hyperlink>
      <w:r>
        <w:t xml:space="preserve"> . It is similar to the commercial offering of </w:t>
      </w:r>
      <w:hyperlink r:id="rId1325">
        <w:r>
          <w:rPr>
            <w:rStyle w:val="Text1"/>
          </w:rPr>
          <w:t>MySQL Enterprise Backup</w:t>
        </w:r>
      </w:hyperlink>
      <w:r>
        <w:t>.</w:t>
      </w:r>
    </w:p>
    <w:p>
      <w:pPr>
        <w:pStyle w:val="Normal"/>
      </w:pPr>
      <w:r>
        <w:t>To install Xtrabackup, run the following command from a terminal prompt:</w:t>
      </w:r>
    </w:p>
    <w:p>
      <w:pPr>
        <w:pStyle w:val="Normal"/>
      </w:pPr>
      <w:r>
        <w:t>sudo apt install percona-xtrabackup</w:t>
      </w:r>
    </w:p>
    <w:p>
      <w:pPr>
        <w:pStyle w:val="Para 17"/>
      </w:pPr>
      <w:r>
        <w:t/>
      </w:r>
    </w:p>
    <w:p>
      <w:pPr>
        <w:pStyle w:val="Normal"/>
      </w:pPr>
      <w:r>
        <w:t>Create a new backup with the xtrabackup command. This can be done while the server is running.</w:t>
      </w:r>
    </w:p>
    <w:p>
      <w:pPr>
        <w:pStyle w:val="Normal"/>
      </w:pPr>
      <w:r>
        <w:t>xtrabackup --backup --target-dir</w:t>
        <w:t>=</w:t>
        <w:t>/tmp/worlddump</w:t>
      </w:r>
    </w:p>
    <w:p>
      <w:pPr>
        <w:pStyle w:val="Para 17"/>
      </w:pPr>
      <w:r>
        <w:t/>
      </w:r>
    </w:p>
    <w:p>
      <w:pPr>
        <w:pStyle w:val="Normal"/>
      </w:pPr>
      <w:r>
        <w:t>To restore from a backup, service will need to be interrupted. This can be achieved with the following:</w:t>
      </w:r>
    </w:p>
    <w:p>
      <w:pPr>
        <w:pStyle w:val="Normal"/>
      </w:pPr>
      <w:r>
        <w:t>sudo systemctl stop mysql</w:t>
      </w:r>
    </w:p>
    <w:p>
      <w:pPr>
        <w:pStyle w:val="Normal"/>
      </w:pPr>
      <w:r>
        <w:t>xtrabackup --prepare --target-dir</w:t>
        <w:t>=</w:t>
        <w:t>/tmp/worlddump</w:t>
        <w:t xml:space="preserve"> </w:t>
        <w:t>sudo rm -rf /var/lib/mysql</w:t>
      </w:r>
    </w:p>
    <w:p>
      <w:pPr>
        <w:pStyle w:val="Normal"/>
      </w:pPr>
      <w:r>
        <w:t>sudo xtrabackup --copy-back --target-dir</w:t>
        <w:t>=</w:t>
        <w:t>/tmp/worlddump --datadir</w:t>
        <w:t>=</w:t>
        <w:t>/var/lib/mysql</w:t>
        <w:t xml:space="preserve"> </w:t>
        <w:t>sudo chown -R mysql:mysql /var/lib/mysql</w:t>
      </w:r>
    </w:p>
    <w:p>
      <w:pPr>
        <w:pStyle w:val="Normal"/>
      </w:pPr>
      <w:r>
        <w:t>sudo systemctl start mysql</w:t>
      </w:r>
    </w:p>
    <w:p>
      <w:pPr>
        <w:pStyle w:val="Para 17"/>
      </w:pPr>
      <w:r>
        <w:t/>
      </w:r>
    </w:p>
    <w:p>
      <w:pPr>
        <w:pStyle w:val="Para 18"/>
      </w:pPr>
      <w:r>
        <w:rPr>
          <w:rStyle w:val="Text7"/>
        </w:rPr>
        <w:t xml:space="preserve">For more information, see </w:t>
      </w:r>
      <w:hyperlink r:id="rId1326">
        <w:r>
          <w:rPr>
            <w:rStyle w:val="Text10"/>
          </w:rPr>
          <w:t>355</w:t>
        </w:r>
      </w:hyperlink>
      <w:hyperlink r:id="rId1326">
        <w:r>
          <w:t xml:space="preserve"> Percona’s upstream documentation</w:t>
        </w:r>
      </w:hyperlink>
      <w:r>
        <w:rPr>
          <w:rStyle w:val="Text7"/>
        </w:rPr>
        <w:t>.</w:t>
      </w:r>
    </w:p>
    <w:p>
      <w:pPr>
        <w:pStyle w:val="Para 17"/>
      </w:pPr>
      <w:r>
        <w:t/>
      </w:r>
    </w:p>
    <w:p>
      <w:pPr>
        <w:pStyle w:val="Para 01"/>
      </w:pPr>
      <w:r>
        <w:t>Advanced configuration</w:t>
      </w:r>
    </w:p>
    <w:p>
      <w:pPr>
        <w:pStyle w:val="Para 17"/>
      </w:pPr>
      <w:r>
        <w:t/>
      </w:r>
    </w:p>
    <w:p>
      <w:pPr>
        <w:pStyle w:val="Para 01"/>
      </w:pPr>
      <w:r>
        <w:t>Creating a tuned configuration</w:t>
      </w:r>
    </w:p>
    <w:p>
      <w:pPr>
        <w:pStyle w:val="Para 17"/>
      </w:pPr>
      <w:r>
        <w:t/>
      </w:r>
    </w:p>
    <w:p>
      <w:pPr>
        <w:pStyle w:val="Normal"/>
      </w:pPr>
      <w:r>
        <w:t>There are a number of parameters that can be adjusted within MySQL’s configuration files. This will allow you to improve the server’s performance over time.</w:t>
      </w:r>
    </w:p>
    <w:p>
      <w:pPr>
        <w:pStyle w:val="Normal"/>
      </w:pPr>
      <w:r>
        <w:t>Many parameters can be adjusted with the existing database, however some may affect the data layout and thus need more care to apply.</w:t>
      </w:r>
    </w:p>
    <w:p>
      <w:pPr>
        <w:pStyle w:val="Normal"/>
      </w:pPr>
      <w:r>
        <w:t>First, if you have existing data, you will first need to carry out a mysqldump and reload:</w:t>
      </w:r>
    </w:p>
    <w:p>
      <w:pPr>
        <w:pStyle w:val="Para 05"/>
      </w:pPr>
      <w:r>
        <w:rPr>
          <w:rStyle w:val="Text5"/>
        </w:rPr>
        <w:t>352</w:t>
      </w:r>
      <w:r>
        <w:rPr>
          <w:rStyle w:val="Text8"/>
        </w:rPr>
        <w:t xml:space="preserve"> </w:t>
      </w:r>
      <w:r>
        <w:t>https://dev.mysql.com/doc/mysql-shell/8.4/en/mysql-shell-utilities-dump-instance-schema.html</w:t>
      </w:r>
    </w:p>
    <w:p>
      <w:pPr>
        <w:pStyle w:val="Para 05"/>
      </w:pPr>
      <w:r>
        <w:rPr>
          <w:rStyle w:val="Text5"/>
        </w:rPr>
        <w:t>353</w:t>
      </w:r>
      <w:r>
        <w:rPr>
          <w:rStyle w:val="Text8"/>
        </w:rPr>
        <w:t xml:space="preserve"> </w:t>
      </w:r>
      <w:r>
        <w:t>https://dev.mysql.com/doc/refman/8.4/en/glossary.html#glos_physical_backup</w:t>
      </w:r>
    </w:p>
    <w:p>
      <w:pPr>
        <w:pStyle w:val="Para 05"/>
      </w:pPr>
      <w:r>
        <w:rPr>
          <w:rStyle w:val="Text5"/>
        </w:rPr>
        <w:t>354</w:t>
      </w:r>
      <w:r>
        <w:rPr>
          <w:rStyle w:val="Text8"/>
        </w:rPr>
        <w:t xml:space="preserve"> </w:t>
      </w:r>
      <w:r>
        <w:t>https://www.mysql.com/products/enterprise/backup.html</w:t>
      </w:r>
    </w:p>
    <w:p>
      <w:pPr>
        <w:pStyle w:val="Para 03"/>
      </w:pPr>
      <w:r>
        <w:rPr>
          <w:rStyle w:val="Text5"/>
        </w:rPr>
        <w:t>355</w:t>
      </w:r>
      <w:r>
        <w:t xml:space="preserve"> </w:t>
      </w:r>
      <w:r>
        <w:rPr>
          <w:rStyle w:val="Text6"/>
        </w:rPr>
        <w:t>https://docs.percona.com/percona-xtrabackup/8.0/</w:t>
      </w:r>
      <w:r>
        <w:t xml:space="preserve"> </w:t>
        <w:t>mysqldump --all-databases --routines -u root -p &gt; ~/fulldump.sql</w:t>
      </w:r>
    </w:p>
    <w:p>
      <w:bookmarkStart w:id="610" w:name="page_4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7" name="index-418_1.png" descr="index-418_1.png"/>
            <wp:cNvGraphicFramePr>
              <a:graphicFrameLocks noChangeAspect="1"/>
            </wp:cNvGraphicFramePr>
            <a:graphic>
              <a:graphicData uri="http://schemas.openxmlformats.org/drawingml/2006/picture">
                <pic:pic>
                  <pic:nvPicPr>
                    <pic:cNvPr id="0" name="index-418_1.png" descr="index-418_1.png"/>
                    <pic:cNvPicPr/>
                  </pic:nvPicPr>
                  <pic:blipFill>
                    <a:blip r:embed="rId431"/>
                    <a:stretch>
                      <a:fillRect/>
                    </a:stretch>
                  </pic:blipFill>
                  <pic:spPr>
                    <a:xfrm>
                      <a:off x="0" y="0"/>
                      <a:ext cx="914400" cy="266700"/>
                    </a:xfrm>
                    <a:prstGeom prst="rect">
                      <a:avLst/>
                    </a:prstGeom>
                  </pic:spPr>
                </pic:pic>
              </a:graphicData>
            </a:graphic>
          </wp:anchor>
        </w:drawing>
      </w:r>
      <w:bookmarkEnd w:id="610"/>
    </w:p>
    <w:p>
      <w:pPr>
        <w:pStyle w:val="Para 17"/>
      </w:pPr>
      <w:r>
        <w:t/>
      </w:r>
    </w:p>
    <w:p>
      <w:pPr>
        <w:pStyle w:val="Normal"/>
      </w:pPr>
      <w:r>
        <w:t>This will then prompt you for the root password before creating a copy of the data. It is advisable to make sure there are no other users or processes using the database while this takes place. Depending on how much data you’ve got in your database, this may take a while. You won’t see anything on the screen during the process.</w:t>
      </w:r>
    </w:p>
    <w:p>
      <w:pPr>
        <w:pStyle w:val="Normal"/>
      </w:pPr>
      <w:r>
        <w:t>Once the dump has been completed, shut down MySQL:</w:t>
      </w:r>
    </w:p>
    <w:p>
      <w:pPr>
        <w:pStyle w:val="Normal"/>
      </w:pPr>
      <w:r>
        <w:t>sudo service mysql stop</w:t>
      </w:r>
    </w:p>
    <w:p>
      <w:pPr>
        <w:pStyle w:val="Para 17"/>
      </w:pPr>
      <w:r>
        <w:t/>
      </w:r>
    </w:p>
    <w:p>
      <w:pPr>
        <w:pStyle w:val="Normal"/>
      </w:pPr>
      <w:r>
        <w:t>It’s also a good idea to backup the original configuration:</w:t>
      </w:r>
    </w:p>
    <w:p>
      <w:pPr>
        <w:pStyle w:val="Normal"/>
      </w:pPr>
      <w:r>
        <w:t>sudo rsync -avz /etc/mysql /root/mysql-backup</w:t>
      </w:r>
    </w:p>
    <w:p>
      <w:pPr>
        <w:pStyle w:val="Para 17"/>
      </w:pPr>
      <w:r>
        <w:t/>
      </w:r>
    </w:p>
    <w:p>
      <w:pPr>
        <w:pStyle w:val="Normal"/>
      </w:pPr>
      <w:r>
        <w:t>Next, make any desired configuration changes. Then, delete and re-initialize the database space and make sure ownership is correct before restarting MySQL:</w:t>
      </w:r>
    </w:p>
    <w:p>
      <w:pPr>
        <w:pStyle w:val="Normal"/>
      </w:pPr>
      <w:r>
        <w:t>sudo rm -rf /var/lib/mysql/*</w:t>
      </w:r>
    </w:p>
    <w:p>
      <w:pPr>
        <w:pStyle w:val="Normal"/>
      </w:pPr>
      <w:r>
        <w:t>sudo mysqld --initialize</w:t>
      </w:r>
    </w:p>
    <w:p>
      <w:pPr>
        <w:pStyle w:val="Normal"/>
      </w:pPr>
      <w:r>
        <w:t>sudo chown -R mysql: /var/lib/mysql</w:t>
      </w:r>
    </w:p>
    <w:p>
      <w:pPr>
        <w:pStyle w:val="Normal"/>
      </w:pPr>
      <w:r>
        <w:t>sudo service mysql start</w:t>
      </w:r>
    </w:p>
    <w:p>
      <w:pPr>
        <w:pStyle w:val="Para 17"/>
      </w:pPr>
      <w:r>
        <w:t/>
      </w:r>
    </w:p>
    <w:p>
      <w:pPr>
        <w:pStyle w:val="Normal"/>
      </w:pPr>
      <w:r>
        <w:t>The final step is re-importation of your data by piping your SQL commands to the database.</w:t>
      </w:r>
    </w:p>
    <w:p>
      <w:pPr>
        <w:pStyle w:val="Normal"/>
      </w:pPr>
      <w:r>
        <w:t>cat ~/fulldump.sql | mysql</w:t>
      </w:r>
    </w:p>
    <w:p>
      <w:pPr>
        <w:pStyle w:val="Para 17"/>
      </w:pPr>
      <w:r>
        <w:t/>
      </w:r>
    </w:p>
    <w:p>
      <w:pPr>
        <w:pStyle w:val="Normal"/>
      </w:pPr>
      <w:r>
        <w:t>For large data imports, the ‘Pipe Viewer’ utility can be useful to track import progress. Ignore any ETA times produced by pv; they’re based on the average time taken to handle each row of the file, but the speed of inserting can vary wildly from row to row with mysqldumps:</w:t>
      </w:r>
    </w:p>
    <w:p>
      <w:pPr>
        <w:pStyle w:val="Normal"/>
      </w:pPr>
      <w:r>
        <w:t>sudo apt install pv</w:t>
      </w:r>
    </w:p>
    <w:p>
      <w:pPr>
        <w:pStyle w:val="Normal"/>
      </w:pPr>
      <w:r>
        <w:t>pv ~/fulldump.sql | mysql</w:t>
      </w:r>
    </w:p>
    <w:p>
      <w:pPr>
        <w:pStyle w:val="Para 17"/>
      </w:pPr>
      <w:r>
        <w:t/>
      </w:r>
    </w:p>
    <w:p>
      <w:pPr>
        <w:pStyle w:val="Normal"/>
      </w:pPr>
      <w:r>
        <w:t>Once this step is complete, you are good to go!</w:t>
      </w:r>
    </w:p>
    <w:p>
      <w:pPr>
        <w:pStyle w:val="Para 17"/>
      </w:pPr>
      <w:r>
        <w:t/>
      </w:r>
    </w:p>
    <w:p>
      <w:pPr>
        <w:pStyle w:val="Para 08"/>
      </w:pPr>
      <w:r>
        <w:t>Note:</w:t>
      </w:r>
    </w:p>
    <w:p>
      <w:pPr>
        <w:pStyle w:val="Para 03"/>
      </w:pPr>
      <w:r>
        <w:t>This is not necessary for all my.cnf changes. Most of the variables you can change to im-</w:t>
      </w:r>
    </w:p>
    <w:p>
      <w:pPr>
        <w:pStyle w:val="Para 03"/>
      </w:pPr>
      <w:r>
        <w:t>prove performance are adjustable even whilst the server is running. As with anything,</w:t>
      </w:r>
    </w:p>
    <w:p>
      <w:pPr>
        <w:pStyle w:val="Para 03"/>
      </w:pPr>
      <w:r>
        <w:t>make sure to have a good backup copy of your config files and data before making changes.</w:t>
      </w:r>
    </w:p>
    <w:p>
      <w:pPr>
        <w:pStyle w:val="Para 17"/>
      </w:pPr>
      <w:r>
        <w:t/>
      </w:r>
    </w:p>
    <w:p>
      <w:pPr>
        <w:pStyle w:val="Para 01"/>
      </w:pPr>
      <w:r>
        <w:t>MySQL Tuner</w:t>
      </w:r>
    </w:p>
    <w:p>
      <w:pPr>
        <w:pStyle w:val="Para 17"/>
      </w:pPr>
      <w:r>
        <w:t/>
      </w:r>
    </w:p>
    <w:p>
      <w:pPr>
        <w:pStyle w:val="Normal"/>
      </w:pPr>
      <w:hyperlink r:id="rId1327">
        <w:r>
          <w:rPr>
            <w:rStyle w:val="Text1"/>
          </w:rPr>
          <w:t>MySQL Tuner</w:t>
        </w:r>
      </w:hyperlink>
      <w:hyperlink w:anchor="page_418">
        <w:r>
          <w:rPr>
            <w:rStyle w:val="Text9"/>
          </w:rPr>
          <w:t>356</w:t>
        </w:r>
      </w:hyperlink>
      <w:r>
        <w:t xml:space="preserve"> is a Perl script that connects to a running MySQL instance and offers configu-ration suggestions for optimising the database for your workload. The longer the server has been running, the better the advice mysqltuner can provide. In a production environment, consider waiting for at least 24 hours before running the tool. You can install mysqltuner with the following command:</w:t>
      </w:r>
    </w:p>
    <w:p>
      <w:pPr>
        <w:pStyle w:val="Para 17"/>
      </w:pPr>
      <w:r>
        <w:t/>
      </w:r>
    </w:p>
    <w:p>
      <w:pPr>
        <w:pStyle w:val="Para 05"/>
      </w:pPr>
      <w:r>
        <w:rPr>
          <w:rStyle w:val="Text5"/>
        </w:rPr>
        <w:t>356</w:t>
      </w:r>
      <w:r>
        <w:rPr>
          <w:rStyle w:val="Text8"/>
        </w:rPr>
        <w:t xml:space="preserve"> </w:t>
      </w:r>
      <w:r>
        <w:t>https://github.com/major/MySQLTuner-perl</w:t>
      </w:r>
      <w:r>
        <w:rPr>
          <w:rStyle w:val="Text8"/>
        </w:rPr>
        <w:t xml:space="preserve"> </w:t>
        <w:t>sudo apt install mysqltuner</w:t>
      </w:r>
    </w:p>
    <w:p>
      <w:bookmarkStart w:id="611" w:name="page_4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8" name="index-419_1.png" descr="index-419_1.png"/>
            <wp:cNvGraphicFramePr>
              <a:graphicFrameLocks noChangeAspect="1"/>
            </wp:cNvGraphicFramePr>
            <a:graphic>
              <a:graphicData uri="http://schemas.openxmlformats.org/drawingml/2006/picture">
                <pic:pic>
                  <pic:nvPicPr>
                    <pic:cNvPr id="0" name="index-419_1.png" descr="index-419_1.png"/>
                    <pic:cNvPicPr/>
                  </pic:nvPicPr>
                  <pic:blipFill>
                    <a:blip r:embed="rId432"/>
                    <a:stretch>
                      <a:fillRect/>
                    </a:stretch>
                  </pic:blipFill>
                  <pic:spPr>
                    <a:xfrm>
                      <a:off x="0" y="0"/>
                      <a:ext cx="914400" cy="266700"/>
                    </a:xfrm>
                    <a:prstGeom prst="rect">
                      <a:avLst/>
                    </a:prstGeom>
                  </pic:spPr>
                </pic:pic>
              </a:graphicData>
            </a:graphic>
          </wp:anchor>
        </w:drawing>
      </w:r>
      <w:bookmarkEnd w:id="611"/>
    </w:p>
    <w:p>
      <w:pPr>
        <w:pStyle w:val="Para 17"/>
      </w:pPr>
      <w:r>
        <w:t/>
      </w:r>
    </w:p>
    <w:p>
      <w:pPr>
        <w:pStyle w:val="Normal"/>
      </w:pPr>
      <w:r>
        <w:t>Then once it has been installed, simply run: mysqltuner – and wait for its final report.</w:t>
      </w:r>
    </w:p>
    <w:p>
      <w:pPr>
        <w:pStyle w:val="Normal"/>
      </w:pPr>
      <w:r>
        <w:t>The top section provides general information about the database server, and the bottom section provides tuning suggestions to alter in your my.cnf. Most of these can be altered live</w:t>
      </w:r>
    </w:p>
    <w:p>
      <w:pPr>
        <w:pStyle w:val="Normal"/>
      </w:pPr>
      <w:r>
        <w:t xml:space="preserve">on the server without restarting; look through the </w:t>
      </w:r>
      <w:hyperlink r:id="rId1328">
        <w:r>
          <w:rPr>
            <w:rStyle w:val="Text9"/>
          </w:rPr>
          <w:t>357</w:t>
        </w:r>
      </w:hyperlink>
      <w:hyperlink r:id="rId1328">
        <w:r>
          <w:rPr>
            <w:rStyle w:val="Text1"/>
          </w:rPr>
          <w:t xml:space="preserve"> official MySQL documentation</w:t>
        </w:r>
      </w:hyperlink>
      <w:r>
        <w:t xml:space="preserve"> for the relevant variables to change in production.</w:t>
      </w:r>
    </w:p>
    <w:p>
      <w:pPr>
        <w:pStyle w:val="Normal"/>
      </w:pPr>
      <w:r>
        <w:t>The following example is part of a report from a production database showing potential ben-efits from increasing the query cache:</w:t>
      </w:r>
    </w:p>
    <w:p>
      <w:pPr>
        <w:pStyle w:val="Normal"/>
      </w:pPr>
      <w:r>
        <w:t>-------- Recommendations -----------------------------------------------------</w:t>
        <w:t>General recommendations:</w:t>
      </w:r>
    </w:p>
    <w:p>
      <w:pPr>
        <w:pStyle w:val="Para 02"/>
      </w:pPr>
      <w:r>
        <w:t>Run OPTIMIZE TABLE to defragment tables for better performance</w:t>
        <w:t xml:space="preserve"> </w:t>
        <w:t>Increase table_cache gradually to avoid file descriptor limits</w:t>
      </w:r>
    </w:p>
    <w:p>
      <w:pPr>
        <w:pStyle w:val="Normal"/>
      </w:pPr>
      <w:r>
        <w:t>Variables to adjust:</w:t>
      </w:r>
    </w:p>
    <w:p>
      <w:pPr>
        <w:pStyle w:val="Para 02"/>
      </w:pPr>
      <w:r>
        <w:t>key_buffer_size (&gt; 1.4G)</w:t>
      </w:r>
    </w:p>
    <w:p>
      <w:pPr>
        <w:pStyle w:val="Para 02"/>
      </w:pPr>
      <w:r>
        <w:t>query_cache_size (&gt; 32M)</w:t>
      </w:r>
    </w:p>
    <w:p>
      <w:pPr>
        <w:pStyle w:val="Para 02"/>
      </w:pPr>
      <w:r>
        <w:t>table_cache (&gt; 64)</w:t>
      </w:r>
    </w:p>
    <w:p>
      <w:pPr>
        <w:pStyle w:val="Para 02"/>
      </w:pPr>
      <w:r>
        <w:t>innodb_buffer_pool_size (&gt;= 22G)</w:t>
      </w:r>
    </w:p>
    <w:p>
      <w:pPr>
        <w:pStyle w:val="Para 17"/>
      </w:pPr>
      <w:r>
        <w:t/>
      </w:r>
    </w:p>
    <w:p>
      <w:pPr>
        <w:pStyle w:val="Normal"/>
      </w:pPr>
      <w:r>
        <w:t>Obviously, performance optimisation strategies vary from application to application; what works best for WordPress might not be the best for Drupal or Joomla. Performance can depend on the types of queries, use of indexes, how efficient the database design is and so on.</w:t>
      </w:r>
    </w:p>
    <w:p>
      <w:pPr>
        <w:pStyle w:val="Normal"/>
      </w:pPr>
      <w:r>
        <w:t>You may find it useful to spend some time searching for database tuning tips based on the ap-plications you’re using. Once you’ve reached the point of diminishing returns from database configuration adjustments, look to the application itself for improvements, or invest in more powerful hardware and/or scale up the database environment.</w:t>
      </w:r>
    </w:p>
    <w:p>
      <w:pPr>
        <w:pStyle w:val="Para 17"/>
      </w:pPr>
      <w:r>
        <w:t/>
      </w:r>
    </w:p>
    <w:p>
      <w:pPr>
        <w:pStyle w:val="Para 01"/>
      </w:pPr>
      <w:r>
        <w:t>Further reading</w:t>
      </w:r>
    </w:p>
    <w:p>
      <w:pPr>
        <w:pStyle w:val="Para 17"/>
      </w:pPr>
      <w:r>
        <w:t/>
      </w:r>
    </w:p>
    <w:p>
      <w:pPr>
        <w:pStyle w:val="Para 04"/>
      </w:pPr>
      <w:r>
        <w:t xml:space="preserve">• Full documentation is available in both online and offline formats from the </w:t>
      </w:r>
      <w:hyperlink r:id="rId1328">
        <w:r>
          <w:rPr>
            <w:rStyle w:val="Text1"/>
          </w:rPr>
          <w:t>MySQL De-</w:t>
        </w:r>
      </w:hyperlink>
    </w:p>
    <w:p>
      <w:pPr>
        <w:pStyle w:val="Para 32"/>
      </w:pPr>
      <w:hyperlink r:id="rId1328">
        <w:r>
          <w:t>velopers portal</w:t>
        </w:r>
      </w:hyperlink>
      <w:hyperlink r:id="rId1328">
        <w:r>
          <w:rPr>
            <w:rStyle w:val="Text10"/>
          </w:rPr>
          <w:t>358</w:t>
        </w:r>
      </w:hyperlink>
    </w:p>
    <w:p>
      <w:pPr>
        <w:pStyle w:val="Para 04"/>
      </w:pPr>
      <w:r>
        <w:t xml:space="preserve">• For general SQL information see the O’Reilly books </w:t>
      </w:r>
      <w:hyperlink r:id="rId1329">
        <w:r>
          <w:rPr>
            <w:rStyle w:val="Text1"/>
          </w:rPr>
          <w:t>Getting Started with SQL: A Hands-</w:t>
        </w:r>
      </w:hyperlink>
    </w:p>
    <w:p>
      <w:pPr>
        <w:pStyle w:val="Para 02"/>
      </w:pPr>
      <w:hyperlink r:id="rId1329">
        <w:r>
          <w:rPr>
            <w:rStyle w:val="Text1"/>
          </w:rPr>
          <w:t>On Approach for Beginners</w:t>
        </w:r>
      </w:hyperlink>
      <w:hyperlink w:anchor="page_419">
        <w:r>
          <w:rPr>
            <w:rStyle w:val="Text9"/>
          </w:rPr>
          <w:t>359</w:t>
        </w:r>
      </w:hyperlink>
      <w:r>
        <w:t xml:space="preserve"> </w:t>
      </w:r>
      <w:hyperlink r:id="rId1330">
        <w:r>
          <w:rPr>
            <w:rStyle w:val="Text9"/>
          </w:rPr>
          <w:t>360</w:t>
        </w:r>
      </w:hyperlink>
      <w:r>
        <w:t xml:space="preserve"> by as an entry point and </w:t>
      </w:r>
      <w:hyperlink r:id="rId1330">
        <w:r>
          <w:rPr>
            <w:rStyle w:val="Text1"/>
          </w:rPr>
          <w:t>SQL in a Nutshell</w:t>
        </w:r>
      </w:hyperlink>
      <w:r>
        <w:t xml:space="preserve"> as a quick reference.</w:t>
      </w:r>
    </w:p>
    <w:p>
      <w:pPr>
        <w:pStyle w:val="Para 05"/>
      </w:pPr>
      <w:r>
        <w:rPr>
          <w:rStyle w:val="Text5"/>
        </w:rPr>
        <w:t>357</w:t>
      </w:r>
      <w:r>
        <w:rPr>
          <w:rStyle w:val="Text8"/>
        </w:rPr>
        <w:t xml:space="preserve"> </w:t>
      </w:r>
      <w:r>
        <w:t>https://dev.mysql.com/doc/</w:t>
      </w:r>
    </w:p>
    <w:p>
      <w:pPr>
        <w:pStyle w:val="Para 05"/>
      </w:pPr>
      <w:r>
        <w:rPr>
          <w:rStyle w:val="Text5"/>
        </w:rPr>
        <w:t>358</w:t>
      </w:r>
      <w:r>
        <w:rPr>
          <w:rStyle w:val="Text8"/>
        </w:rPr>
        <w:t xml:space="preserve"> </w:t>
      </w:r>
      <w:r>
        <w:t>https://dev.mysql.com/doc/</w:t>
      </w:r>
    </w:p>
    <w:p>
      <w:pPr>
        <w:pStyle w:val="Para 05"/>
      </w:pPr>
      <w:r>
        <w:rPr>
          <w:rStyle w:val="Text5"/>
        </w:rPr>
        <w:t>359</w:t>
      </w:r>
      <w:r>
        <w:rPr>
          <w:rStyle w:val="Text8"/>
        </w:rPr>
        <w:t xml:space="preserve"> </w:t>
      </w:r>
      <w:r>
        <w:t>https://www.oreilly.com/library/view/getting-started-with/9781491938607/</w:t>
      </w:r>
    </w:p>
    <w:p>
      <w:pPr>
        <w:pStyle w:val="Para 05"/>
      </w:pPr>
      <w:r>
        <w:rPr>
          <w:rStyle w:val="Text5"/>
        </w:rPr>
        <w:t>360</w:t>
      </w:r>
      <w:r>
        <w:rPr>
          <w:rStyle w:val="Text8"/>
        </w:rPr>
        <w:t xml:space="preserve"> </w:t>
      </w:r>
      <w:r>
        <w:t>https://www.oreilly.com/library/view/sql-in-a/9780596155322/</w:t>
      </w:r>
    </w:p>
    <w:p>
      <w:bookmarkStart w:id="612" w:name="calibre_pb_96"/>
      <w:pPr>
        <w:pStyle w:val="0 Block"/>
      </w:pPr>
      <w:bookmarkEnd w:id="612"/>
    </w:p>
    <w:p>
      <w:bookmarkStart w:id="613" w:name="page_420"/>
      <w:bookmarkStart w:id="614" w:name="Top_of_index_split_09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29" name="index-420_1.png" descr="index-420_1.png"/>
            <wp:cNvGraphicFramePr>
              <a:graphicFrameLocks noChangeAspect="1"/>
            </wp:cNvGraphicFramePr>
            <a:graphic>
              <a:graphicData uri="http://schemas.openxmlformats.org/drawingml/2006/picture">
                <pic:pic>
                  <pic:nvPicPr>
                    <pic:cNvPr id="0" name="index-420_1.png" descr="index-420_1.png"/>
                    <pic:cNvPicPr/>
                  </pic:nvPicPr>
                  <pic:blipFill>
                    <a:blip r:embed="rId433"/>
                    <a:stretch>
                      <a:fillRect/>
                    </a:stretch>
                  </pic:blipFill>
                  <pic:spPr>
                    <a:xfrm>
                      <a:off x="0" y="0"/>
                      <a:ext cx="914400" cy="266700"/>
                    </a:xfrm>
                    <a:prstGeom prst="rect">
                      <a:avLst/>
                    </a:prstGeom>
                  </pic:spPr>
                </pic:pic>
              </a:graphicData>
            </a:graphic>
          </wp:anchor>
        </w:drawing>
      </w:r>
      <w:bookmarkEnd w:id="613"/>
      <w:bookmarkEnd w:id="614"/>
    </w:p>
    <w:p>
      <w:pPr>
        <w:pStyle w:val="Para 01"/>
      </w:pPr>
      <w:r>
        <w:t>Install and configure PostgreSQL</w:t>
      </w:r>
    </w:p>
    <w:p>
      <w:pPr>
        <w:pStyle w:val="Para 17"/>
      </w:pPr>
      <w:r>
        <w:t/>
      </w:r>
    </w:p>
    <w:p>
      <w:pPr>
        <w:pStyle w:val="Normal"/>
      </w:pPr>
      <w:hyperlink r:id="rId1331">
        <w:r>
          <w:rPr>
            <w:rStyle w:val="Text1"/>
          </w:rPr>
          <w:t>PostgreSQL</w:t>
        </w:r>
      </w:hyperlink>
      <w:hyperlink r:id="rId1331">
        <w:r>
          <w:rPr>
            <w:rStyle w:val="Text9"/>
          </w:rPr>
          <w:t>361</w:t>
        </w:r>
      </w:hyperlink>
      <w:r>
        <w:t xml:space="preserve"> (commonly referred to as “”) is an object-relational database system that has all the features of traditional commercial database systems, but with enhancements to be found in next-generation database management systems (DBMS).</w:t>
      </w:r>
    </w:p>
    <w:p>
      <w:pPr>
        <w:pStyle w:val="Para 17"/>
      </w:pPr>
      <w:r>
        <w:t/>
      </w:r>
    </w:p>
    <w:p>
      <w:pPr>
        <w:pStyle w:val="Para 01"/>
      </w:pPr>
      <w:r>
        <w:t>Install PostgreSQL</w:t>
      </w:r>
    </w:p>
    <w:p>
      <w:pPr>
        <w:pStyle w:val="Para 17"/>
      </w:pPr>
      <w:r>
        <w:t/>
      </w:r>
    </w:p>
    <w:p>
      <w:pPr>
        <w:pStyle w:val="Normal"/>
      </w:pPr>
      <w:r>
        <w:t>To install PostgreSQL, run the following command in the command prompt:</w:t>
      </w:r>
    </w:p>
    <w:p>
      <w:pPr>
        <w:pStyle w:val="Normal"/>
      </w:pPr>
      <w:r>
        <w:t>sudo apt install postgresql</w:t>
      </w:r>
    </w:p>
    <w:p>
      <w:pPr>
        <w:pStyle w:val="Para 17"/>
      </w:pPr>
      <w:r>
        <w:t/>
      </w:r>
    </w:p>
    <w:p>
      <w:pPr>
        <w:pStyle w:val="Normal"/>
      </w:pPr>
      <w:r>
        <w:t>The database service is automatically configured with viable defaults, but can be customized based on your specific needs.</w:t>
      </w:r>
    </w:p>
    <w:p>
      <w:pPr>
        <w:pStyle w:val="Para 17"/>
      </w:pPr>
      <w:r>
        <w:t/>
      </w:r>
    </w:p>
    <w:p>
      <w:pPr>
        <w:pStyle w:val="Para 01"/>
      </w:pPr>
      <w:r>
        <w:t>Configure PostgreSQL</w:t>
      </w:r>
    </w:p>
    <w:p>
      <w:pPr>
        <w:pStyle w:val="Para 17"/>
      </w:pPr>
      <w:r>
        <w:t/>
      </w:r>
    </w:p>
    <w:p>
      <w:pPr>
        <w:pStyle w:val="Normal"/>
      </w:pPr>
      <w:r>
        <w:t>PostgreSQL supports multiple client authentication methods. In Ubuntu, peer is the default authentication method used for local connections, while scram-sha-256 is the default for</w:t>
      </w:r>
    </w:p>
    <w:p>
      <w:pPr>
        <w:pStyle w:val="Normal"/>
      </w:pPr>
      <w:r>
        <w:t xml:space="preserve">host connections (this used to be md5 until Ubuntu 21.10). Please refer to the </w:t>
      </w:r>
      <w:hyperlink r:id="rId1332">
        <w:r>
          <w:rPr>
            <w:rStyle w:val="Text1"/>
          </w:rPr>
          <w:t>PostgreSQL</w:t>
        </w:r>
      </w:hyperlink>
    </w:p>
    <w:p>
      <w:pPr>
        <w:pStyle w:val="Normal"/>
      </w:pPr>
      <w:hyperlink r:id="rId1332">
        <w:r>
          <w:rPr>
            <w:rStyle w:val="Text1"/>
          </w:rPr>
          <w:t>Administrator’s Guide</w:t>
        </w:r>
      </w:hyperlink>
      <w:hyperlink r:id="rId1332">
        <w:r>
          <w:rPr>
            <w:rStyle w:val="Text9"/>
          </w:rPr>
          <w:t>362</w:t>
        </w:r>
      </w:hyperlink>
      <w:r>
        <w:t xml:space="preserve"> if you would like to configure alternatives like Kerberos.</w:t>
      </w:r>
    </w:p>
    <w:p>
      <w:pPr>
        <w:pStyle w:val="Normal"/>
      </w:pPr>
      <w:r>
        <w:t>The following discussion assumes that you wish to enable TCP/IP connections and use the scram-sha-256 method for client authentication. PostgreSQL configuration files are stored in the /etc/postgresql/&lt;version&gt;/main directory. For example, if you install PostgreSQL 14, the configuration files are stored in the /etc/postgresql/14/main directory.</w:t>
      </w:r>
    </w:p>
    <w:p>
      <w:pPr>
        <w:pStyle w:val="Para 17"/>
      </w:pPr>
      <w:r>
        <w:t/>
      </w:r>
    </w:p>
    <w:p>
      <w:pPr>
        <w:pStyle w:val="Para 08"/>
      </w:pPr>
      <w:r>
        <w:t>Tip:</w:t>
      </w:r>
    </w:p>
    <w:p>
      <w:pPr>
        <w:pStyle w:val="Para 17"/>
      </w:pPr>
      <w:r>
        <w:t/>
      </w:r>
    </w:p>
    <w:p>
      <w:pPr>
        <w:pStyle w:val="Para 03"/>
      </w:pPr>
      <w:r>
        <w:t xml:space="preserve">To configure </w:t>
      </w:r>
      <w:r>
        <w:rPr>
          <w:rStyle w:val="Text3"/>
        </w:rPr>
        <w:t>IDENT</w:t>
      </w:r>
      <w:r>
        <w:t xml:space="preserve"> authentication, add entries to the /etc/postgresql/*/main/pg_ident.</w:t>
      </w:r>
    </w:p>
    <w:p>
      <w:pPr>
        <w:pStyle w:val="Para 03"/>
      </w:pPr>
      <w:r>
        <w:t>conf file. There are detailed comments in the file to guide you.</w:t>
      </w:r>
    </w:p>
    <w:p>
      <w:pPr>
        <w:pStyle w:val="Para 17"/>
      </w:pPr>
      <w:r>
        <w:t/>
      </w:r>
    </w:p>
    <w:p>
      <w:pPr>
        <w:pStyle w:val="Normal"/>
      </w:pPr>
      <w:r>
        <w:t xml:space="preserve">By default, only connections from the local system are allowed. To enable all other comput-ers to connect to your PostgreSQL server, edit the file /etc/postgresql/*/main/postgresql. conf. Locate the line: </w:t>
      </w:r>
      <w:r>
        <w:rPr>
          <w:rStyle w:val="Text3"/>
        </w:rPr>
        <w:t>#listen_addresses = ‘localhost’</w:t>
      </w:r>
      <w:r>
        <w:t xml:space="preserve"> and change it to *:</w:t>
      </w:r>
    </w:p>
    <w:p>
      <w:pPr>
        <w:pStyle w:val="Normal"/>
      </w:pPr>
      <w:r>
        <w:t>listen_addresses = '*'</w:t>
      </w:r>
    </w:p>
    <w:p>
      <w:pPr>
        <w:pStyle w:val="Para 17"/>
      </w:pPr>
      <w:r>
        <w:t/>
      </w:r>
    </w:p>
    <w:p>
      <w:pPr>
        <w:pStyle w:val="Para 08"/>
      </w:pPr>
      <w:r>
        <w:t>Note:</w:t>
      </w:r>
    </w:p>
    <w:p>
      <w:pPr>
        <w:pStyle w:val="Para 03"/>
      </w:pPr>
      <w:r>
        <w:t>To listen on all IPv4 interfaces, set listen_addresses to ‘0.0.0.0’, while ‘::’ will listen on</w:t>
      </w:r>
    </w:p>
    <w:p>
      <w:pPr>
        <w:pStyle w:val="Para 03"/>
      </w:pPr>
      <w:r>
        <w:t>all IPv6 interfaces. ‘*’ will cause PostgreSQL to listen on all available network interfaces,</w:t>
      </w:r>
    </w:p>
    <w:p>
      <w:pPr>
        <w:pStyle w:val="Para 03"/>
      </w:pPr>
      <w:r>
        <w:t>both IPv4 and IPv6.</w:t>
      </w:r>
    </w:p>
    <w:p>
      <w:pPr>
        <w:pStyle w:val="Normal"/>
      </w:pPr>
      <w:r>
        <w:t xml:space="preserve">For details on other parameters, refer to the configuration file or to the </w:t>
      </w:r>
      <w:hyperlink r:id="rId1333">
        <w:r>
          <w:rPr>
            <w:rStyle w:val="Text1"/>
          </w:rPr>
          <w:t>PostgreSQL docu-</w:t>
        </w:r>
      </w:hyperlink>
    </w:p>
    <w:p>
      <w:pPr>
        <w:pStyle w:val="Normal"/>
      </w:pPr>
      <w:hyperlink r:id="rId1333">
        <w:r>
          <w:rPr>
            <w:rStyle w:val="Text1"/>
          </w:rPr>
          <w:t>mentation</w:t>
        </w:r>
      </w:hyperlink>
      <w:hyperlink r:id="rId1333">
        <w:r>
          <w:rPr>
            <w:rStyle w:val="Text9"/>
          </w:rPr>
          <w:t>363</w:t>
        </w:r>
      </w:hyperlink>
      <w:r>
        <w:t xml:space="preserve"> for information on how they can be edited.</w:t>
      </w:r>
    </w:p>
    <w:p>
      <w:pPr>
        <w:pStyle w:val="Para 05"/>
      </w:pPr>
      <w:r>
        <w:rPr>
          <w:rStyle w:val="Text5"/>
        </w:rPr>
        <w:t>361</w:t>
      </w:r>
      <w:r>
        <w:rPr>
          <w:rStyle w:val="Text8"/>
        </w:rPr>
        <w:t xml:space="preserve"> </w:t>
      </w:r>
      <w:r>
        <w:t>https://www.postgresql.org/</w:t>
      </w:r>
    </w:p>
    <w:p>
      <w:pPr>
        <w:pStyle w:val="Para 05"/>
      </w:pPr>
      <w:r>
        <w:rPr>
          <w:rStyle w:val="Text5"/>
        </w:rPr>
        <w:t>362</w:t>
      </w:r>
      <w:r>
        <w:rPr>
          <w:rStyle w:val="Text8"/>
        </w:rPr>
        <w:t xml:space="preserve"> </w:t>
      </w:r>
      <w:r>
        <w:t>https://www.postgresql.org/docs/current/admin.html</w:t>
      </w:r>
    </w:p>
    <w:p>
      <w:pPr>
        <w:pStyle w:val="Para 05"/>
      </w:pPr>
      <w:r>
        <w:rPr>
          <w:rStyle w:val="Text5"/>
        </w:rPr>
        <w:t>363</w:t>
      </w:r>
      <w:r>
        <w:rPr>
          <w:rStyle w:val="Text8"/>
        </w:rPr>
        <w:t xml:space="preserve"> </w:t>
      </w:r>
      <w:r>
        <w:t>https://www.postgresql.org/docs/</w:t>
      </w:r>
    </w:p>
    <w:p>
      <w:bookmarkStart w:id="615" w:name="page_4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0" name="index-421_1.png" descr="index-421_1.png"/>
            <wp:cNvGraphicFramePr>
              <a:graphicFrameLocks noChangeAspect="1"/>
            </wp:cNvGraphicFramePr>
            <a:graphic>
              <a:graphicData uri="http://schemas.openxmlformats.org/drawingml/2006/picture">
                <pic:pic>
                  <pic:nvPicPr>
                    <pic:cNvPr id="0" name="index-421_1.png" descr="index-421_1.png"/>
                    <pic:cNvPicPr/>
                  </pic:nvPicPr>
                  <pic:blipFill>
                    <a:blip r:embed="rId434"/>
                    <a:stretch>
                      <a:fillRect/>
                    </a:stretch>
                  </pic:blipFill>
                  <pic:spPr>
                    <a:xfrm>
                      <a:off x="0" y="0"/>
                      <a:ext cx="914400" cy="266700"/>
                    </a:xfrm>
                    <a:prstGeom prst="rect">
                      <a:avLst/>
                    </a:prstGeom>
                  </pic:spPr>
                </pic:pic>
              </a:graphicData>
            </a:graphic>
          </wp:anchor>
        </w:drawing>
      </w:r>
      <w:bookmarkEnd w:id="615"/>
    </w:p>
    <w:p>
      <w:pPr>
        <w:pStyle w:val="Normal"/>
      </w:pPr>
      <w:r>
        <w:t>Now that we can connect to our PostgreSQL server, the next step is to set a password for the postgres user. Run the following command at a terminal prompt to connect to the default PostgreSQL template database:</w:t>
      </w:r>
    </w:p>
    <w:p>
      <w:pPr>
        <w:pStyle w:val="Normal"/>
      </w:pPr>
      <w:r>
        <w:t>sudo -u postgres psql template1</w:t>
      </w:r>
    </w:p>
    <w:p>
      <w:pPr>
        <w:pStyle w:val="Para 17"/>
      </w:pPr>
      <w:r>
        <w:t/>
      </w:r>
    </w:p>
    <w:p>
      <w:pPr>
        <w:pStyle w:val="Normal"/>
      </w:pPr>
      <w:r>
        <w:t>The above command connects to PostgreSQL database template1 as user postgres. Once you connect to the PostgreSQL server, you will be at an SQL prompt. You can run the following SQL command at the psql prompt to configure the password for the user postgres:</w:t>
      </w:r>
    </w:p>
    <w:p>
      <w:pPr>
        <w:pStyle w:val="Normal"/>
      </w:pPr>
      <w:r>
        <w:t>ALTER USER postgres with encrypted password</w:t>
        <w:t xml:space="preserve"> </w:t>
        <w:t>'your_password'</w:t>
        <w:t>;</w:t>
      </w:r>
    </w:p>
    <w:p>
      <w:pPr>
        <w:pStyle w:val="Para 17"/>
      </w:pPr>
      <w:r>
        <w:t/>
      </w:r>
    </w:p>
    <w:p>
      <w:pPr>
        <w:pStyle w:val="Normal"/>
      </w:pPr>
      <w:r>
        <w:t>After configuring the password, edit the file /etc/postgresql/*/main/pg_hba.conf to use scram-sha-256 authentication with the postgres user, allowed for the template1 database, from any system in the local network (which in the example is 192.168.1.1/24) :</w:t>
      </w:r>
    </w:p>
    <w:p>
      <w:pPr>
        <w:pStyle w:val="Normal"/>
      </w:pPr>
      <w:r>
        <w:t>hostssl template1</w:t>
        <w:t xml:space="preserve"> </w:t>
        <w:t>postgres</w:t>
        <w:t xml:space="preserve"> </w:t>
        <w:t>192.168.1.1/24</w:t>
        <w:t xml:space="preserve"> </w:t>
        <w:t>scram-sha-256</w:t>
      </w:r>
    </w:p>
    <w:p>
      <w:pPr>
        <w:pStyle w:val="Para 17"/>
      </w:pPr>
      <w:r>
        <w:t/>
      </w:r>
    </w:p>
    <w:p>
      <w:pPr>
        <w:pStyle w:val="Para 08"/>
      </w:pPr>
      <w:r>
        <w:t>Note:</w:t>
      </w:r>
    </w:p>
    <w:p>
      <w:pPr>
        <w:pStyle w:val="Para 03"/>
      </w:pPr>
      <w:r>
        <w:t>The config statement hostssl used here will reject TCP connections that would not use</w:t>
      </w:r>
    </w:p>
    <w:p>
      <w:pPr>
        <w:pStyle w:val="Para 03"/>
      </w:pPr>
      <w:r>
        <w:t>SSL. PostgreSQL in Ubuntu has the SSL feature built in and configured by default, so it</w:t>
      </w:r>
    </w:p>
    <w:p>
      <w:pPr>
        <w:pStyle w:val="Para 03"/>
      </w:pPr>
      <w:r>
        <w:t>works right away. On your PostgreSQL server this uses the certificate created by ssl-cert</w:t>
      </w:r>
    </w:p>
    <w:p>
      <w:pPr>
        <w:pStyle w:val="Para 03"/>
      </w:pPr>
      <w:r>
        <w:t>package which is great, but for production use you should consider updating that with a</w:t>
      </w:r>
    </w:p>
    <w:p>
      <w:pPr>
        <w:pStyle w:val="Para 03"/>
      </w:pPr>
      <w:r>
        <w:t>proper certificate from a recognized Certificate Authority (CA).</w:t>
      </w:r>
    </w:p>
    <w:p>
      <w:pPr>
        <w:pStyle w:val="Para 17"/>
      </w:pPr>
      <w:r>
        <w:t/>
      </w:r>
    </w:p>
    <w:p>
      <w:pPr>
        <w:pStyle w:val="Normal"/>
      </w:pPr>
      <w:r>
        <w:t>Finally, you should restart the PostgreSQL service to initialize the new configuration. From a terminal prompt enter the following to restart PostgreSQL:</w:t>
      </w:r>
    </w:p>
    <w:p>
      <w:pPr>
        <w:pStyle w:val="Normal"/>
      </w:pPr>
      <w:r>
        <w:t>sudo systemctl restart postgresql.service</w:t>
      </w:r>
    </w:p>
    <w:p>
      <w:pPr>
        <w:pStyle w:val="Para 17"/>
      </w:pPr>
      <w:r>
        <w:t/>
      </w:r>
    </w:p>
    <w:p>
      <w:pPr>
        <w:pStyle w:val="Para 08"/>
      </w:pPr>
      <w:r>
        <w:t>Warning:</w:t>
      </w:r>
    </w:p>
    <w:p>
      <w:pPr>
        <w:pStyle w:val="Para 17"/>
      </w:pPr>
      <w:r>
        <w:t/>
      </w:r>
    </w:p>
    <w:p>
      <w:pPr>
        <w:pStyle w:val="Para 03"/>
      </w:pPr>
      <w:r>
        <w:t xml:space="preserve">The above configuration is not complete by any means. Please refer to the </w:t>
      </w:r>
      <w:hyperlink r:id="rId1332">
        <w:r>
          <w:rPr>
            <w:rStyle w:val="Text1"/>
          </w:rPr>
          <w:t>PostgreSQL</w:t>
        </w:r>
      </w:hyperlink>
    </w:p>
    <w:p>
      <w:pPr>
        <w:pStyle w:val="Para 03"/>
      </w:pPr>
      <w:hyperlink r:id="rId1332">
        <w:r>
          <w:rPr>
            <w:rStyle w:val="Text1"/>
          </w:rPr>
          <w:t>Administrator’s Guide</w:t>
        </w:r>
      </w:hyperlink>
      <w:r>
        <w:t xml:space="preserve"> </w:t>
      </w:r>
      <w:hyperlink w:anchor="page_421">
        <w:r>
          <w:rPr>
            <w:rStyle w:val="Text9"/>
          </w:rPr>
          <w:t>364</w:t>
        </w:r>
      </w:hyperlink>
      <w:r>
        <w:t xml:space="preserve"> to configure more parameters.</w:t>
      </w:r>
    </w:p>
    <w:p>
      <w:pPr>
        <w:pStyle w:val="Para 05"/>
      </w:pPr>
      <w:r>
        <w:rPr>
          <w:rStyle w:val="Text5"/>
        </w:rPr>
        <w:t>364</w:t>
      </w:r>
      <w:r>
        <w:rPr>
          <w:rStyle w:val="Text8"/>
        </w:rPr>
        <w:t xml:space="preserve"> </w:t>
      </w:r>
      <w:r>
        <w:t>https://www.postgresql.org/docs/current/admin.html</w:t>
      </w:r>
    </w:p>
    <w:p>
      <w:pPr>
        <w:pStyle w:val="Para 17"/>
      </w:pPr>
      <w:r>
        <w:t/>
      </w:r>
    </w:p>
    <w:p>
      <w:pPr>
        <w:pStyle w:val="Normal"/>
      </w:pPr>
      <w:r>
        <w:t>You can test server connections from other machines by using the PostgreSQL client as fol-lows, replacing the domain name with your actual server domain name or IP address:</w:t>
      </w:r>
    </w:p>
    <w:p>
      <w:pPr>
        <w:pStyle w:val="Normal"/>
      </w:pPr>
      <w:r>
        <w:t>sudo apt install postgresql-client</w:t>
      </w:r>
    </w:p>
    <w:p>
      <w:pPr>
        <w:pStyle w:val="Normal"/>
      </w:pPr>
      <w:r>
        <w:t>psql --host your-servers-dns-or-ip --username postgres --password --dbname template1</w:t>
      </w:r>
    </w:p>
    <w:p>
      <w:bookmarkStart w:id="616" w:name="calibre_pb_97"/>
      <w:pPr>
        <w:pStyle w:val="0 Block"/>
      </w:pPr>
      <w:bookmarkEnd w:id="616"/>
    </w:p>
    <w:p>
      <w:bookmarkStart w:id="617" w:name="Top_of_index_split_098_html"/>
      <w:bookmarkStart w:id="618" w:name="page_42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1" name="index-422_1.png" descr="index-422_1.png"/>
            <wp:cNvGraphicFramePr>
              <a:graphicFrameLocks noChangeAspect="1"/>
            </wp:cNvGraphicFramePr>
            <a:graphic>
              <a:graphicData uri="http://schemas.openxmlformats.org/drawingml/2006/picture">
                <pic:pic>
                  <pic:nvPicPr>
                    <pic:cNvPr id="0" name="index-422_1.png" descr="index-422_1.png"/>
                    <pic:cNvPicPr/>
                  </pic:nvPicPr>
                  <pic:blipFill>
                    <a:blip r:embed="rId435"/>
                    <a:stretch>
                      <a:fillRect/>
                    </a:stretch>
                  </pic:blipFill>
                  <pic:spPr>
                    <a:xfrm>
                      <a:off x="0" y="0"/>
                      <a:ext cx="914400" cy="266700"/>
                    </a:xfrm>
                    <a:prstGeom prst="rect">
                      <a:avLst/>
                    </a:prstGeom>
                  </pic:spPr>
                </pic:pic>
              </a:graphicData>
            </a:graphic>
          </wp:anchor>
        </w:drawing>
      </w:r>
      <w:bookmarkEnd w:id="617"/>
      <w:bookmarkEnd w:id="618"/>
    </w:p>
    <w:p>
      <w:pPr>
        <w:pStyle w:val="Para 01"/>
      </w:pPr>
      <w:r>
        <w:t>Streaming replication</w:t>
      </w:r>
    </w:p>
    <w:p>
      <w:pPr>
        <w:pStyle w:val="Para 17"/>
      </w:pPr>
      <w:r>
        <w:t/>
      </w:r>
    </w:p>
    <w:p>
      <w:pPr>
        <w:pStyle w:val="Normal"/>
      </w:pPr>
      <w:r>
        <w:t xml:space="preserve">PostgreSQL has a nice feature called </w:t>
      </w:r>
      <w:r>
        <w:rPr>
          <w:rStyle w:val="Text0"/>
        </w:rPr>
        <w:t>streaming replication</w:t>
      </w:r>
      <w:r>
        <w:t xml:space="preserve"> which provides the ability to con-</w:t>
      </w:r>
    </w:p>
    <w:p>
      <w:pPr>
        <w:pStyle w:val="Normal"/>
      </w:pPr>
      <w:r>
        <w:t xml:space="preserve">tinuously ship and apply the Write-Ahead Log </w:t>
      </w:r>
      <w:hyperlink r:id="rId1334">
        <w:r>
          <w:rPr>
            <w:rStyle w:val="Text9"/>
          </w:rPr>
          <w:t>365</w:t>
        </w:r>
      </w:hyperlink>
      <w:hyperlink r:id="rId1334">
        <w:r>
          <w:rPr>
            <w:rStyle w:val="Text1"/>
          </w:rPr>
          <w:t xml:space="preserve"> (WAL) XLOG</w:t>
        </w:r>
      </w:hyperlink>
      <w:r>
        <w:t xml:space="preserve"> records to some number of standby servers to keep them current. Here is a simple way to replicate a PostgreSQL server (main) to a standby server.</w:t>
      </w:r>
    </w:p>
    <w:p>
      <w:pPr>
        <w:pStyle w:val="Normal"/>
      </w:pPr>
      <w:r>
        <w:t>First, create a replication user in the main server, to be used from the standby server:</w:t>
      </w:r>
    </w:p>
    <w:p>
      <w:pPr>
        <w:pStyle w:val="Normal"/>
      </w:pPr>
      <w:r>
        <w:t>sudo -u postgres createuser --replication -P -e replicator</w:t>
      </w:r>
    </w:p>
    <w:p>
      <w:pPr>
        <w:pStyle w:val="Para 17"/>
      </w:pPr>
      <w:r>
        <w:t/>
      </w:r>
    </w:p>
    <w:p>
      <w:pPr>
        <w:pStyle w:val="Normal"/>
      </w:pPr>
      <w:r>
        <w:t>Let’s configure the main server to turn on the streaming replication. Open the file /etc/ postgresql/*/main/postgresql.conf and make sure you have the following lines:</w:t>
      </w:r>
    </w:p>
    <w:p>
      <w:pPr>
        <w:pStyle w:val="Normal"/>
      </w:pPr>
      <w:r>
        <w:t>listen_addresses = '*'</w:t>
      </w:r>
    </w:p>
    <w:p>
      <w:pPr>
        <w:pStyle w:val="Normal"/>
      </w:pPr>
      <w:r>
        <w:t>wal_level = replica</w:t>
      </w:r>
    </w:p>
    <w:p>
      <w:pPr>
        <w:pStyle w:val="Para 17"/>
      </w:pPr>
      <w:r>
        <w:t/>
      </w:r>
    </w:p>
    <w:p>
      <w:pPr>
        <w:pStyle w:val="Normal"/>
      </w:pPr>
      <w:r>
        <w:t>Also edit the file /etc/postgresql/*/main/pg_hba.conf to add an extra line to allow the standby server connection for replication (that is a special keyword) using the replicator user:</w:t>
      </w:r>
    </w:p>
    <w:p>
      <w:pPr>
        <w:pStyle w:val="Normal"/>
      </w:pPr>
      <w:r>
        <w:t>host</w:t>
        <w:t xml:space="preserve"> </w:t>
        <w:t>replication</w:t>
        <w:t xml:space="preserve"> </w:t>
        <w:t>replicator</w:t>
        <w:t xml:space="preserve"> </w:t>
        <w:t>&lt;IP address of the standby&gt;</w:t>
        <w:t xml:space="preserve"> </w:t>
        <w:t>scram-sha-256</w:t>
      </w:r>
    </w:p>
    <w:p>
      <w:pPr>
        <w:pStyle w:val="Para 17"/>
      </w:pPr>
      <w:r>
        <w:t/>
      </w:r>
    </w:p>
    <w:p>
      <w:pPr>
        <w:pStyle w:val="Normal"/>
      </w:pPr>
      <w:r>
        <w:t>Restart the service to apply changes:</w:t>
      </w:r>
    </w:p>
    <w:p>
      <w:pPr>
        <w:pStyle w:val="Normal"/>
      </w:pPr>
      <w:r>
        <w:t>sudo systemctl restart postgresql</w:t>
      </w:r>
    </w:p>
    <w:p>
      <w:pPr>
        <w:pStyle w:val="Para 17"/>
      </w:pPr>
      <w:r>
        <w:t/>
      </w:r>
    </w:p>
    <w:p>
      <w:pPr>
        <w:pStyle w:val="Normal"/>
      </w:pPr>
      <w:r>
        <w:t>Now, in the standby server, let’s stop the PostgreSQL service:</w:t>
      </w:r>
    </w:p>
    <w:p>
      <w:pPr>
        <w:pStyle w:val="Normal"/>
      </w:pPr>
      <w:r>
        <w:t>sudo systemctl stop postgresql</w:t>
      </w:r>
    </w:p>
    <w:p>
      <w:pPr>
        <w:pStyle w:val="Para 17"/>
      </w:pPr>
      <w:r>
        <w:t/>
      </w:r>
    </w:p>
    <w:p>
      <w:pPr>
        <w:pStyle w:val="Normal"/>
      </w:pPr>
      <w:r>
        <w:t>Edit the /etc/postgresql/*/main/postgresql.conf to set up hot standby:</w:t>
      </w:r>
    </w:p>
    <w:p>
      <w:pPr>
        <w:pStyle w:val="Normal"/>
      </w:pPr>
      <w:r>
        <w:t>hot_standby = on</w:t>
      </w:r>
    </w:p>
    <w:p>
      <w:pPr>
        <w:pStyle w:val="Para 17"/>
      </w:pPr>
      <w:r>
        <w:t/>
      </w:r>
    </w:p>
    <w:p>
      <w:pPr>
        <w:pStyle w:val="Normal"/>
      </w:pPr>
      <w:r>
        <w:t>Back up the current state of the main server (those commands are still issued on the standby system):</w:t>
      </w:r>
    </w:p>
    <w:p>
      <w:pPr>
        <w:pStyle w:val="Normal"/>
      </w:pPr>
      <w:r>
        <w:t>sudo su - postgres</w:t>
      </w:r>
    </w:p>
    <w:p>
      <w:pPr>
        <w:pStyle w:val="Para 10"/>
      </w:pPr>
      <w:r>
        <w:t># backup the current content of the standby server (update the version of your postgres</w:t>
      </w:r>
      <w:r>
        <w:rPr>
          <w:rStyle w:val="Text3"/>
        </w:rPr>
        <w:t xml:space="preserve"> </w:t>
      </w:r>
      <w:r>
        <w:t>accordingly)</w:t>
      </w:r>
    </w:p>
    <w:p>
      <w:pPr>
        <w:pStyle w:val="Normal"/>
      </w:pPr>
      <w:r>
        <w:t>cp -R /var/lib/postgresql/14/main /var/lib/postgresql/14/main_bak</w:t>
        <w:t xml:space="preserve"> </w:t>
      </w:r>
      <w:r>
        <w:rPr>
          <w:rStyle w:val="Text3"/>
        </w:rPr>
        <w:t># remove all the files in the data directory</w:t>
      </w:r>
    </w:p>
    <w:p>
      <w:pPr>
        <w:pStyle w:val="Normal"/>
      </w:pPr>
      <w:r>
        <w:t>rm -rf /var/lib/postgresql/14/main/*</w:t>
      </w:r>
    </w:p>
    <w:p>
      <w:pPr>
        <w:pStyle w:val="Normal"/>
      </w:pPr>
      <w:r>
        <w:t>pg_basebackup -h &lt;IP address of the main server&gt; -D /var/lib/postgresql/14/main -U</w:t>
        <w:t xml:space="preserve"> </w:t>
        <w:t>replicator -P -v -R</w:t>
      </w:r>
    </w:p>
    <w:p>
      <w:pPr>
        <w:pStyle w:val="Para 17"/>
      </w:pPr>
      <w:r>
        <w:t/>
      </w:r>
    </w:p>
    <w:p>
      <w:pPr>
        <w:pStyle w:val="Normal"/>
      </w:pPr>
      <w:r>
        <w:t>After this, a full single pass will have been completed, copying the content of the main database onto the local system being the standby. In the pg_basebackup command the flags represent the following:</w:t>
      </w:r>
    </w:p>
    <w:p>
      <w:pPr>
        <w:pStyle w:val="Para 04"/>
      </w:pPr>
      <w:r>
        <w:t xml:space="preserve">•-h: The </w:t>
      </w:r>
      <w:hyperlink w:anchor="page_688">
        <w:r>
          <w:rPr>
            <w:rStyle w:val="Text2"/>
          </w:rPr>
          <w:t>hostname</w:t>
        </w:r>
      </w:hyperlink>
      <w:r>
        <w:t xml:space="preserve"> or IP address of the main server</w:t>
      </w:r>
    </w:p>
    <w:p>
      <w:pPr>
        <w:pStyle w:val="Para 04"/>
      </w:pPr>
      <w:r>
        <w:t>•-D: The data directory</w:t>
      </w:r>
    </w:p>
    <w:p>
      <w:pPr>
        <w:pStyle w:val="Para 05"/>
      </w:pPr>
      <w:r>
        <w:rPr>
          <w:rStyle w:val="Text5"/>
        </w:rPr>
        <w:t>365</w:t>
      </w:r>
      <w:r>
        <w:rPr>
          <w:rStyle w:val="Text8"/>
        </w:rPr>
        <w:t xml:space="preserve"> </w:t>
      </w:r>
      <w:r>
        <w:t>https://www.postgresql.org/docs/current/wal.html</w:t>
      </w:r>
    </w:p>
    <w:p>
      <w:bookmarkStart w:id="619" w:name="page_4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2" name="index-423_1.png" descr="index-423_1.png"/>
            <wp:cNvGraphicFramePr>
              <a:graphicFrameLocks noChangeAspect="1"/>
            </wp:cNvGraphicFramePr>
            <a:graphic>
              <a:graphicData uri="http://schemas.openxmlformats.org/drawingml/2006/picture">
                <pic:pic>
                  <pic:nvPicPr>
                    <pic:cNvPr id="0" name="index-423_1.png" descr="index-423_1.png"/>
                    <pic:cNvPicPr/>
                  </pic:nvPicPr>
                  <pic:blipFill>
                    <a:blip r:embed="rId436"/>
                    <a:stretch>
                      <a:fillRect/>
                    </a:stretch>
                  </pic:blipFill>
                  <pic:spPr>
                    <a:xfrm>
                      <a:off x="0" y="0"/>
                      <a:ext cx="914400" cy="266700"/>
                    </a:xfrm>
                    <a:prstGeom prst="rect">
                      <a:avLst/>
                    </a:prstGeom>
                  </pic:spPr>
                </pic:pic>
              </a:graphicData>
            </a:graphic>
          </wp:anchor>
        </w:drawing>
      </w:r>
      <w:bookmarkEnd w:id="619"/>
    </w:p>
    <w:p>
      <w:pPr>
        <w:pStyle w:val="Para 04"/>
      </w:pPr>
      <w:r>
        <w:t>•-U: The user to be used in the operation</w:t>
      </w:r>
    </w:p>
    <w:p>
      <w:pPr>
        <w:pStyle w:val="Para 04"/>
      </w:pPr>
      <w:r>
        <w:t>•-P: Turns on progress reporting</w:t>
      </w:r>
    </w:p>
    <w:p>
      <w:pPr>
        <w:pStyle w:val="Para 04"/>
      </w:pPr>
      <w:r>
        <w:t>•-v: Enables verbose mode</w:t>
      </w:r>
    </w:p>
    <w:p>
      <w:pPr>
        <w:pStyle w:val="Para 04"/>
      </w:pPr>
      <w:r>
        <w:t>•-R: Creates a standby.signal file and appends connection settings to postgresql.auto.</w:t>
      </w:r>
    </w:p>
    <w:p>
      <w:pPr>
        <w:pStyle w:val="Para 02"/>
      </w:pPr>
      <w:r>
        <w:t>conf</w:t>
      </w:r>
    </w:p>
    <w:p>
      <w:pPr>
        <w:pStyle w:val="Normal"/>
      </w:pPr>
      <w:r>
        <w:t>Finally, let’s start the PostgreSQL service on standby server:</w:t>
      </w:r>
    </w:p>
    <w:p>
      <w:pPr>
        <w:pStyle w:val="Normal"/>
      </w:pPr>
      <w:r>
        <w:t>sudo systemctl start postgresql</w:t>
      </w:r>
    </w:p>
    <w:p>
      <w:pPr>
        <w:pStyle w:val="Para 17"/>
      </w:pPr>
      <w:r>
        <w:t/>
      </w:r>
    </w:p>
    <w:p>
      <w:pPr>
        <w:pStyle w:val="Normal"/>
      </w:pPr>
      <w:r>
        <w:t>To make sure it is working, go to the main server and run the following command:</w:t>
      </w:r>
    </w:p>
    <w:p>
      <w:pPr>
        <w:pStyle w:val="Normal"/>
      </w:pPr>
      <w:r>
        <w:t>sudo -u postgres psql -c</w:t>
        <w:t xml:space="preserve"> </w:t>
        <w:t>"select * from pg_stat_replication;"</w:t>
      </w:r>
    </w:p>
    <w:p>
      <w:pPr>
        <w:pStyle w:val="Para 17"/>
      </w:pPr>
      <w:r>
        <w:t/>
      </w:r>
    </w:p>
    <w:p>
      <w:pPr>
        <w:pStyle w:val="Normal"/>
      </w:pPr>
      <w:r>
        <w:t>As mentioned, this is a very simple introduction, there are way more great details in the up-</w:t>
      </w:r>
    </w:p>
    <w:p>
      <w:pPr>
        <w:pStyle w:val="Normal"/>
      </w:pPr>
      <w:r>
        <w:t xml:space="preserve">stream documentation about the configuration of </w:t>
      </w:r>
      <w:hyperlink r:id="rId1335">
        <w:r>
          <w:rPr>
            <w:rStyle w:val="Text9"/>
          </w:rPr>
          <w:t>366</w:t>
        </w:r>
      </w:hyperlink>
      <w:hyperlink r:id="rId1335">
        <w:r>
          <w:rPr>
            <w:rStyle w:val="Text1"/>
          </w:rPr>
          <w:t xml:space="preserve"> replication</w:t>
        </w:r>
      </w:hyperlink>
      <w:r>
        <w:t xml:space="preserve"> as well as further </w:t>
      </w:r>
      <w:hyperlink r:id="rId1336">
        <w:r>
          <w:rPr>
            <w:rStyle w:val="Text1"/>
          </w:rPr>
          <w:t>High Avail-</w:t>
        </w:r>
      </w:hyperlink>
    </w:p>
    <w:p>
      <w:pPr>
        <w:pStyle w:val="Para 18"/>
      </w:pPr>
      <w:hyperlink r:id="rId1336">
        <w:r>
          <w:t>ability, Load Balancing, and Replication</w:t>
        </w:r>
      </w:hyperlink>
      <w:hyperlink w:anchor="page_423">
        <w:r>
          <w:rPr>
            <w:rStyle w:val="Text10"/>
          </w:rPr>
          <w:t>367</w:t>
        </w:r>
      </w:hyperlink>
      <w:r>
        <w:rPr>
          <w:rStyle w:val="Text7"/>
        </w:rPr>
        <w:t>.</w:t>
      </w:r>
    </w:p>
    <w:p>
      <w:pPr>
        <w:pStyle w:val="Normal"/>
      </w:pPr>
      <w:r>
        <w:t>To test the replication you can now create a test database in the main server and check if it is replicated in the standby server:</w:t>
      </w:r>
    </w:p>
    <w:p>
      <w:pPr>
        <w:pStyle w:val="Normal"/>
      </w:pPr>
      <w:r>
        <w:t>sudo -u postgres createdb</w:t>
        <w:t xml:space="preserve"> </w:t>
        <w:t>test</w:t>
        <w:t xml:space="preserve"> </w:t>
      </w:r>
      <w:r>
        <w:rPr>
          <w:rStyle w:val="Text3"/>
        </w:rPr>
        <w:t># on the main server</w:t>
      </w:r>
      <w:r>
        <w:t xml:space="preserve"> </w:t>
        <w:t>sudo -u postgres psql -c</w:t>
        <w:t xml:space="preserve"> </w:t>
        <w:t>"\l"</w:t>
        <w:t xml:space="preserve"> </w:t>
      </w:r>
      <w:r>
        <w:rPr>
          <w:rStyle w:val="Text3"/>
        </w:rPr>
        <w:t># on the standby server</w:t>
      </w:r>
    </w:p>
    <w:p>
      <w:pPr>
        <w:pStyle w:val="Para 17"/>
      </w:pPr>
      <w:r>
        <w:t/>
      </w:r>
    </w:p>
    <w:p>
      <w:pPr>
        <w:pStyle w:val="Normal"/>
      </w:pPr>
      <w:r>
        <w:t>You need to be able to see the test database, that was created on the main server, in the standby server.</w:t>
      </w:r>
    </w:p>
    <w:p>
      <w:pPr>
        <w:pStyle w:val="Para 17"/>
      </w:pPr>
      <w:r>
        <w:t/>
      </w:r>
    </w:p>
    <w:p>
      <w:pPr>
        <w:pStyle w:val="Para 01"/>
      </w:pPr>
      <w:r>
        <w:t>Backups</w:t>
      </w:r>
    </w:p>
    <w:p>
      <w:pPr>
        <w:pStyle w:val="Para 17"/>
      </w:pPr>
      <w:r>
        <w:t/>
      </w:r>
    </w:p>
    <w:p>
      <w:pPr>
        <w:pStyle w:val="Normal"/>
      </w:pPr>
      <w:r>
        <w:t xml:space="preserve">PostgreSQL databases should be backed up regularly. Refer to the </w:t>
      </w:r>
      <w:hyperlink r:id="rId1337">
        <w:r>
          <w:rPr>
            <w:rStyle w:val="Text1"/>
          </w:rPr>
          <w:t>PostgreSQL Administra-</w:t>
        </w:r>
      </w:hyperlink>
    </w:p>
    <w:p>
      <w:pPr>
        <w:pStyle w:val="Normal"/>
      </w:pPr>
      <w:hyperlink r:id="rId1337">
        <w:r>
          <w:rPr>
            <w:rStyle w:val="Text1"/>
          </w:rPr>
          <w:t>tor’s Guide</w:t>
        </w:r>
      </w:hyperlink>
      <w:hyperlink r:id="rId1337">
        <w:r>
          <w:rPr>
            <w:rStyle w:val="Text9"/>
          </w:rPr>
          <w:t>368</w:t>
        </w:r>
      </w:hyperlink>
      <w:r>
        <w:t xml:space="preserve"> for different approaches.</w:t>
      </w:r>
    </w:p>
    <w:p>
      <w:pPr>
        <w:pStyle w:val="Para 17"/>
      </w:pPr>
      <w:r>
        <w:t/>
      </w:r>
    </w:p>
    <w:p>
      <w:pPr>
        <w:pStyle w:val="Para 01"/>
      </w:pPr>
      <w:r>
        <w:t>Further reading</w:t>
      </w:r>
    </w:p>
    <w:p>
      <w:pPr>
        <w:pStyle w:val="Para 17"/>
      </w:pPr>
      <w:r>
        <w:t/>
      </w:r>
    </w:p>
    <w:p>
      <w:pPr>
        <w:pStyle w:val="Para 04"/>
      </w:pPr>
      <w:r>
        <w:t xml:space="preserve">• As mentioned above, the </w:t>
      </w:r>
      <w:hyperlink r:id="rId1332">
        <w:r>
          <w:rPr>
            <w:rStyle w:val="Text9"/>
          </w:rPr>
          <w:t>369</w:t>
        </w:r>
      </w:hyperlink>
      <w:hyperlink r:id="rId1332">
        <w:r>
          <w:rPr>
            <w:rStyle w:val="Text1"/>
          </w:rPr>
          <w:t xml:space="preserve"> PostgreSQL Administrator’s Guide</w:t>
        </w:r>
      </w:hyperlink>
      <w:r>
        <w:t xml:space="preserve"> is an excellent resource.</w:t>
      </w:r>
    </w:p>
    <w:p>
      <w:pPr>
        <w:pStyle w:val="Para 02"/>
      </w:pPr>
      <w:r>
        <w:t>The guide is also available in the postgresql-doc package. Execute the following in a terminal to install the package:</w:t>
      </w:r>
    </w:p>
    <w:p>
      <w:pPr>
        <w:pStyle w:val="Para 02"/>
      </w:pPr>
      <w:r>
        <w:t>sudo apt install postgresql-doc</w:t>
      </w:r>
    </w:p>
    <w:p>
      <w:pPr>
        <w:pStyle w:val="Para 17"/>
      </w:pPr>
      <w:r>
        <w:t/>
      </w:r>
    </w:p>
    <w:p>
      <w:pPr>
        <w:pStyle w:val="Para 02"/>
      </w:pPr>
      <w:r>
        <w:t xml:space="preserve">This package provides further manual pages on PostgreSQL </w:t>
      </w:r>
      <w:hyperlink w:anchor="page_677">
        <w:r>
          <w:rPr>
            <w:rStyle w:val="Text2"/>
          </w:rPr>
          <w:t>dblink</w:t>
        </w:r>
      </w:hyperlink>
      <w:r>
        <w:t xml:space="preserve"> and “server pro-gramming interface” as well as the upstream HTML guide. To view the guide enter xdg-open /usr/share/doc/postgresql-doc-*/html/index.html or point your browser at it.</w:t>
      </w:r>
    </w:p>
    <w:p>
      <w:pPr>
        <w:pStyle w:val="Para 05"/>
      </w:pPr>
      <w:r>
        <w:rPr>
          <w:rStyle w:val="Text5"/>
        </w:rPr>
        <w:t>366</w:t>
      </w:r>
      <w:r>
        <w:rPr>
          <w:rStyle w:val="Text8"/>
        </w:rPr>
        <w:t xml:space="preserve"> </w:t>
      </w:r>
      <w:r>
        <w:t>https://www.postgresql.org/docs/current/runtime-config-replication.html</w:t>
      </w:r>
    </w:p>
    <w:p>
      <w:pPr>
        <w:pStyle w:val="Para 05"/>
      </w:pPr>
      <w:r>
        <w:rPr>
          <w:rStyle w:val="Text5"/>
        </w:rPr>
        <w:t>367</w:t>
      </w:r>
      <w:r>
        <w:rPr>
          <w:rStyle w:val="Text8"/>
        </w:rPr>
        <w:t xml:space="preserve"> </w:t>
      </w:r>
      <w:r>
        <w:t>https://www.postgresql.org/docs/current/high-availability.html</w:t>
      </w:r>
    </w:p>
    <w:p>
      <w:pPr>
        <w:pStyle w:val="Para 05"/>
      </w:pPr>
      <w:r>
        <w:rPr>
          <w:rStyle w:val="Text5"/>
        </w:rPr>
        <w:t>368</w:t>
      </w:r>
      <w:r>
        <w:rPr>
          <w:rStyle w:val="Text8"/>
        </w:rPr>
        <w:t xml:space="preserve"> </w:t>
      </w:r>
      <w:r>
        <w:t>https://www.postgresql.org/docs/current/backup.html</w:t>
      </w:r>
    </w:p>
    <w:p>
      <w:pPr>
        <w:pStyle w:val="Para 05"/>
      </w:pPr>
      <w:r>
        <w:rPr>
          <w:rStyle w:val="Text5"/>
        </w:rPr>
        <w:t>369</w:t>
      </w:r>
      <w:r>
        <w:rPr>
          <w:rStyle w:val="Text8"/>
        </w:rPr>
        <w:t xml:space="preserve"> </w:t>
      </w:r>
      <w:r>
        <w:t>https://www.postgresql.org/docs/current/admin.html</w:t>
      </w:r>
      <w:r>
        <w:rPr>
          <w:rStyle w:val="Text8"/>
        </w:rPr>
        <w:t xml:space="preserve"> </w:t>
      </w:r>
      <w:r>
        <w:rPr>
          <w:rStyle w:val="Text11"/>
        </w:rPr>
        <w:t>Create the volume group</w:t>
      </w:r>
    </w:p>
    <w:p>
      <w:bookmarkStart w:id="620" w:name="page_4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3" name="index-424_1.png" descr="index-424_1.png"/>
            <wp:cNvGraphicFramePr>
              <a:graphicFrameLocks noChangeAspect="1"/>
            </wp:cNvGraphicFramePr>
            <a:graphic>
              <a:graphicData uri="http://schemas.openxmlformats.org/drawingml/2006/picture">
                <pic:pic>
                  <pic:nvPicPr>
                    <pic:cNvPr id="0" name="index-424_1.png" descr="index-424_1.png"/>
                    <pic:cNvPicPr/>
                  </pic:nvPicPr>
                  <pic:blipFill>
                    <a:blip r:embed="rId437"/>
                    <a:stretch>
                      <a:fillRect/>
                    </a:stretch>
                  </pic:blipFill>
                  <pic:spPr>
                    <a:xfrm>
                      <a:off x="0" y="0"/>
                      <a:ext cx="914400" cy="266700"/>
                    </a:xfrm>
                    <a:prstGeom prst="rect">
                      <a:avLst/>
                    </a:prstGeom>
                  </pic:spPr>
                </pic:pic>
              </a:graphicData>
            </a:graphic>
          </wp:anchor>
        </w:drawing>
      </w:r>
      <w:bookmarkEnd w:id="620"/>
    </w:p>
    <w:p>
      <w:pPr>
        <w:pStyle w:val="Para 04"/>
      </w:pPr>
      <w:r>
        <w:t xml:space="preserve">• For general SQL information see the O’Reilly books </w:t>
      </w:r>
      <w:hyperlink r:id="rId1329">
        <w:r>
          <w:rPr>
            <w:rStyle w:val="Text1"/>
          </w:rPr>
          <w:t>Getting Started with SQL: A Hands-</w:t>
        </w:r>
      </w:hyperlink>
    </w:p>
    <w:p>
      <w:pPr>
        <w:pStyle w:val="Para 02"/>
      </w:pPr>
      <w:hyperlink r:id="rId1329">
        <w:r>
          <w:rPr>
            <w:rStyle w:val="Text1"/>
          </w:rPr>
          <w:t>On Approach for Beginners</w:t>
        </w:r>
      </w:hyperlink>
      <w:hyperlink w:anchor="page_424">
        <w:r>
          <w:rPr>
            <w:rStyle w:val="Text9"/>
          </w:rPr>
          <w:t>370</w:t>
        </w:r>
      </w:hyperlink>
      <w:r>
        <w:t xml:space="preserve"> </w:t>
      </w:r>
      <w:hyperlink r:id="rId1330">
        <w:r>
          <w:rPr>
            <w:rStyle w:val="Text9"/>
          </w:rPr>
          <w:t>371</w:t>
        </w:r>
      </w:hyperlink>
      <w:r>
        <w:t xml:space="preserve"> by as an entry point and </w:t>
      </w:r>
      <w:hyperlink r:id="rId1330">
        <w:r>
          <w:rPr>
            <w:rStyle w:val="Text1"/>
          </w:rPr>
          <w:t>SQL in a Nutshell</w:t>
        </w:r>
      </w:hyperlink>
      <w:r>
        <w:t xml:space="preserve"> as a quick reference.</w:t>
      </w:r>
    </w:p>
    <w:p>
      <w:pPr>
        <w:pStyle w:val="Para 17"/>
      </w:pPr>
      <w:r>
        <w:t/>
      </w:r>
    </w:p>
    <w:p>
      <w:pPr>
        <w:pStyle w:val="Para 01"/>
      </w:pPr>
      <w:r>
        <w:t>See also</w:t>
      </w:r>
    </w:p>
    <w:p>
      <w:pPr>
        <w:pStyle w:val="Para 17"/>
      </w:pPr>
      <w:r>
        <w:t/>
      </w:r>
    </w:p>
    <w:p>
      <w:pPr>
        <w:pStyle w:val="Para 04"/>
      </w:pPr>
      <w:r>
        <w:t xml:space="preserve">• Explanation: </w:t>
      </w:r>
      <w:hyperlink w:anchor="page_859">
        <w:r>
          <w:rPr>
            <w:rStyle w:val="Text2"/>
          </w:rPr>
          <w:t>Introduction to databases</w:t>
        </w:r>
      </w:hyperlink>
      <w:r>
        <w:t xml:space="preserve"> (page 858)</w:t>
      </w:r>
    </w:p>
    <w:p>
      <w:pPr>
        <w:pStyle w:val="Para 17"/>
      </w:pPr>
      <w:r>
        <w:t/>
      </w:r>
    </w:p>
    <w:p>
      <w:pPr>
        <w:pStyle w:val="Para 01"/>
      </w:pPr>
      <w:r>
        <w:t>Storage and backups</w:t>
      </w:r>
    </w:p>
    <w:p>
      <w:pPr>
        <w:pStyle w:val="Para 17"/>
      </w:pPr>
      <w:r>
        <w:t/>
      </w:r>
    </w:p>
    <w:p>
      <w:pPr>
        <w:pStyle w:val="Para 04"/>
      </w:pPr>
      <w:r>
        <w:t xml:space="preserve">• </w:t>
      </w:r>
      <w:hyperlink w:anchor="page_424">
        <w:r>
          <w:rPr>
            <w:rStyle w:val="Text2"/>
          </w:rPr>
          <w:t>Storage</w:t>
        </w:r>
      </w:hyperlink>
      <w:r>
        <w:t xml:space="preserve"> (page 423) shows how to set up and manage Logical Volumes</w:t>
      </w:r>
    </w:p>
    <w:p>
      <w:pPr>
        <w:pStyle w:val="Para 04"/>
      </w:pPr>
      <w:r>
        <w:t xml:space="preserve">• </w:t>
      </w:r>
      <w:hyperlink w:anchor="page_437">
        <w:r>
          <w:rPr>
            <w:rStyle w:val="Text2"/>
          </w:rPr>
          <w:t>Backups and version control</w:t>
        </w:r>
      </w:hyperlink>
      <w:r>
        <w:t xml:space="preserve"> (page 436) presents common options for backing up your</w:t>
      </w:r>
    </w:p>
    <w:p>
      <w:pPr>
        <w:pStyle w:val="Para 02"/>
      </w:pPr>
      <w:r>
        <w:t>data and your system</w:t>
      </w:r>
    </w:p>
    <w:p>
      <w:pPr>
        <w:pStyle w:val="Para 17"/>
      </w:pPr>
      <w:r>
        <w:t/>
      </w:r>
    </w:p>
    <w:p>
      <w:pPr>
        <w:pStyle w:val="Para 01"/>
      </w:pPr>
      <w:r>
        <w:t>Storage</w:t>
      </w:r>
    </w:p>
    <w:p>
      <w:pPr>
        <w:pStyle w:val="Para 17"/>
      </w:pPr>
      <w:r>
        <w:t/>
      </w:r>
    </w:p>
    <w:p>
      <w:pPr>
        <w:pStyle w:val="Para 04"/>
      </w:pPr>
      <w:r>
        <w:t xml:space="preserve">• The Ubuntu Server installer can set up and install to </w:t>
      </w:r>
      <w:hyperlink w:anchor="page_424">
        <w:r>
          <w:rPr>
            <w:rStyle w:val="Text2"/>
          </w:rPr>
          <w:t>Logical Volume Management (LVM)</w:t>
        </w:r>
      </w:hyperlink>
    </w:p>
    <w:p>
      <w:pPr>
        <w:pStyle w:val="Para 02"/>
      </w:pPr>
      <w:r>
        <w:t>(page 423) partitions.</w:t>
      </w:r>
    </w:p>
    <w:p>
      <w:pPr>
        <w:pStyle w:val="Para 04"/>
      </w:pPr>
      <w:r>
        <w:t xml:space="preserve">• Ubuntu Server can be configured as both an </w:t>
      </w:r>
      <w:hyperlink w:anchor="page_427">
        <w:r>
          <w:rPr>
            <w:rStyle w:val="Text2"/>
          </w:rPr>
          <w:t>iSCSI initiator and an iSCSI target.</w:t>
        </w:r>
      </w:hyperlink>
      <w:r>
        <w:t xml:space="preserve"> (page 426)</w:t>
      </w:r>
    </w:p>
    <w:p>
      <w:pPr>
        <w:pStyle w:val="Para 17"/>
      </w:pPr>
      <w:r>
        <w:t/>
      </w:r>
    </w:p>
    <w:p>
      <w:pPr>
        <w:pStyle w:val="Para 01"/>
      </w:pPr>
      <w:r>
        <w:t>How to manage logical volumes</w:t>
      </w:r>
    </w:p>
    <w:p>
      <w:pPr>
        <w:pStyle w:val="Para 17"/>
      </w:pPr>
      <w:r>
        <w:t/>
      </w:r>
    </w:p>
    <w:p>
      <w:pPr>
        <w:pStyle w:val="Normal"/>
      </w:pPr>
      <w:r>
        <w:t>The Ubuntu Server installer has the ability to set up and install to LVM partitions, and this is the supported way of doing so. If you would like to know more about any of the topics in this</w:t>
      </w:r>
    </w:p>
    <w:p>
      <w:pPr>
        <w:pStyle w:val="Para 20"/>
      </w:pPr>
      <w:r>
        <w:rPr>
          <w:rStyle w:val="Text4"/>
        </w:rPr>
        <w:t xml:space="preserve">page, refer to our </w:t>
      </w:r>
      <w:hyperlink w:anchor="page_860">
        <w:r>
          <w:t>explanation of logical volume management (LVM)</w:t>
        </w:r>
      </w:hyperlink>
      <w:r>
        <w:rPr>
          <w:rStyle w:val="Text4"/>
        </w:rPr>
        <w:t xml:space="preserve"> (page 859).</w:t>
      </w:r>
    </w:p>
    <w:p>
      <w:pPr>
        <w:pStyle w:val="Para 17"/>
      </w:pPr>
      <w:r>
        <w:t/>
      </w:r>
    </w:p>
    <w:p>
      <w:pPr>
        <w:pStyle w:val="Para 01"/>
      </w:pPr>
      <w:r>
        <w:t>Create the physical volume</w:t>
      </w:r>
    </w:p>
    <w:p>
      <w:pPr>
        <w:pStyle w:val="Para 17"/>
      </w:pPr>
      <w:r>
        <w:t/>
      </w:r>
    </w:p>
    <w:p>
      <w:pPr>
        <w:pStyle w:val="Normal"/>
      </w:pPr>
      <w:r>
        <w:t>First, you need a physical volume. Typically you start with a hard disk, and create a regular partition whose type is “LVM” on it. You can create it with gparted or fdisk, and usually only want one LVM-type partition in the whole disk, since LVM will handle subdividing it into logical volumes. In gparted, you need to check the lvm flag when creating the partition, and with fdisk, tag the type with code 8e.</w:t>
      </w:r>
    </w:p>
    <w:p>
      <w:pPr>
        <w:pStyle w:val="Normal"/>
      </w:pPr>
      <w:r>
        <w:t>Once you have your LVM partition, you need to initialize it as a physical volume. Assuming this partition is /dev/sda1:</w:t>
      </w:r>
    </w:p>
    <w:p>
      <w:pPr>
        <w:pStyle w:val="Normal"/>
      </w:pPr>
      <w:r>
        <w:t>sudo pvcreate /dev/sda1</w:t>
      </w:r>
    </w:p>
    <w:p>
      <w:pPr>
        <w:pStyle w:val="Para 05"/>
      </w:pPr>
      <w:r>
        <w:rPr>
          <w:rStyle w:val="Text5"/>
        </w:rPr>
        <w:t>370</w:t>
      </w:r>
      <w:r>
        <w:rPr>
          <w:rStyle w:val="Text8"/>
        </w:rPr>
        <w:t xml:space="preserve"> </w:t>
      </w:r>
      <w:r>
        <w:t>https://www.oreilly.com/library/view/getting-started-with/9781491938607/</w:t>
      </w:r>
    </w:p>
    <w:p>
      <w:pPr>
        <w:pStyle w:val="Para 05"/>
      </w:pPr>
      <w:r>
        <w:rPr>
          <w:rStyle w:val="Text5"/>
        </w:rPr>
        <w:t>371</w:t>
      </w:r>
      <w:r>
        <w:rPr>
          <w:rStyle w:val="Text8"/>
        </w:rPr>
        <w:t xml:space="preserve"> </w:t>
      </w:r>
      <w:r>
        <w:t>https://www.oreilly.com/library/view/sql-in-a/9780596155322/</w:t>
      </w:r>
    </w:p>
    <w:p>
      <w:bookmarkStart w:id="621" w:name="calibre_pb_98"/>
      <w:pPr>
        <w:pStyle w:val="0 Block"/>
      </w:pPr>
      <w:bookmarkEnd w:id="621"/>
    </w:p>
    <w:p>
      <w:bookmarkStart w:id="622" w:name="page_425"/>
      <w:bookmarkStart w:id="623" w:name="Top_of_index_split_09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4" name="index-425_1.png" descr="index-425_1.png"/>
            <wp:cNvGraphicFramePr>
              <a:graphicFrameLocks noChangeAspect="1"/>
            </wp:cNvGraphicFramePr>
            <a:graphic>
              <a:graphicData uri="http://schemas.openxmlformats.org/drawingml/2006/picture">
                <pic:pic>
                  <pic:nvPicPr>
                    <pic:cNvPr id="0" name="index-425_1.png" descr="index-425_1.png"/>
                    <pic:cNvPicPr/>
                  </pic:nvPicPr>
                  <pic:blipFill>
                    <a:blip r:embed="rId438"/>
                    <a:stretch>
                      <a:fillRect/>
                    </a:stretch>
                  </pic:blipFill>
                  <pic:spPr>
                    <a:xfrm>
                      <a:off x="0" y="0"/>
                      <a:ext cx="914400" cy="266700"/>
                    </a:xfrm>
                    <a:prstGeom prst="rect">
                      <a:avLst/>
                    </a:prstGeom>
                  </pic:spPr>
                </pic:pic>
              </a:graphicData>
            </a:graphic>
          </wp:anchor>
        </w:drawing>
      </w:r>
      <w:bookmarkEnd w:id="622"/>
      <w:bookmarkEnd w:id="623"/>
    </w:p>
    <w:p>
      <w:pPr>
        <w:pStyle w:val="Para 17"/>
      </w:pPr>
      <w:r>
        <w:t/>
      </w:r>
    </w:p>
    <w:p>
      <w:pPr>
        <w:pStyle w:val="Normal"/>
      </w:pPr>
      <w:r>
        <w:t>After that, you can create a volume group; in our example, it will be named foo and uses only one physical volume:</w:t>
      </w:r>
    </w:p>
    <w:p>
      <w:pPr>
        <w:pStyle w:val="Normal"/>
      </w:pPr>
      <w:r>
        <w:t>sudo vgcreate foo /dev/sda1</w:t>
      </w:r>
    </w:p>
    <w:p>
      <w:pPr>
        <w:pStyle w:val="Para 17"/>
      </w:pPr>
      <w:r>
        <w:t/>
      </w:r>
    </w:p>
    <w:p>
      <w:pPr>
        <w:pStyle w:val="Para 01"/>
      </w:pPr>
      <w:r>
        <w:t>Create a logical volume</w:t>
      </w:r>
    </w:p>
    <w:p>
      <w:pPr>
        <w:pStyle w:val="Para 17"/>
      </w:pPr>
      <w:r>
        <w:t/>
      </w:r>
    </w:p>
    <w:p>
      <w:pPr>
        <w:pStyle w:val="Normal"/>
      </w:pPr>
      <w:r>
        <w:t>Now you want to create a logical volume from some of the free space in foo:</w:t>
      </w:r>
    </w:p>
    <w:p>
      <w:pPr>
        <w:pStyle w:val="Normal"/>
      </w:pPr>
      <w:r>
        <w:t>sudo lvcreate --name bar --size 5g foo</w:t>
      </w:r>
    </w:p>
    <w:p>
      <w:pPr>
        <w:pStyle w:val="Para 17"/>
      </w:pPr>
      <w:r>
        <w:t/>
      </w:r>
    </w:p>
    <w:p>
      <w:pPr>
        <w:pStyle w:val="Normal"/>
      </w:pPr>
      <w:r>
        <w:t>This creates a logical volume named bar in volume group foo using 5 GB of space. You can find the block device for this logical volume in /dev/foo/bar or dev/mapper/foo-bar.</w:t>
      </w:r>
    </w:p>
    <w:p>
      <w:pPr>
        <w:pStyle w:val="Normal"/>
      </w:pPr>
      <w:r>
        <w:t>You might also want to try the lvs and pvs commands, which list the logical volumes and physical volumes respectively, and their more detailed variants; lvdisplay and pvdisplay.</w:t>
      </w:r>
    </w:p>
    <w:p>
      <w:pPr>
        <w:pStyle w:val="Para 17"/>
      </w:pPr>
      <w:r>
        <w:t/>
      </w:r>
    </w:p>
    <w:p>
      <w:pPr>
        <w:pStyle w:val="Para 01"/>
      </w:pPr>
      <w:r>
        <w:t>Resize a partition</w:t>
      </w:r>
    </w:p>
    <w:p>
      <w:pPr>
        <w:pStyle w:val="Para 17"/>
      </w:pPr>
      <w:r>
        <w:t/>
      </w:r>
    </w:p>
    <w:p>
      <w:pPr>
        <w:pStyle w:val="Normal"/>
      </w:pPr>
      <w:r>
        <w:t>You can extend a logical volume with:</w:t>
      </w:r>
    </w:p>
    <w:p>
      <w:pPr>
        <w:pStyle w:val="Normal"/>
      </w:pPr>
      <w:r>
        <w:t>sudo lvextend --resizefs --size +5g foo/bar</w:t>
      </w:r>
    </w:p>
    <w:p>
      <w:pPr>
        <w:pStyle w:val="Para 17"/>
      </w:pPr>
      <w:r>
        <w:t/>
      </w:r>
    </w:p>
    <w:p>
      <w:pPr>
        <w:pStyle w:val="Normal"/>
      </w:pPr>
      <w:r>
        <w:t>This will add 5 GB to the bar logical volume in the foo volume group, and will automatically</w:t>
      </w:r>
    </w:p>
    <w:p>
      <w:pPr>
        <w:pStyle w:val="Normal"/>
      </w:pPr>
      <w:r>
        <w:t xml:space="preserve">resize the underlying </w:t>
      </w:r>
      <w:hyperlink w:anchor="page_682">
        <w:r>
          <w:rPr>
            <w:rStyle w:val="Text2"/>
          </w:rPr>
          <w:t>filesystem</w:t>
        </w:r>
      </w:hyperlink>
      <w:r>
        <w:t xml:space="preserve"> (if supported). The space is allocated from free space any-where in the bar volume group. You can specify an absolute size instead of a relative size if you want by omitting the leading +.</w:t>
      </w:r>
    </w:p>
    <w:p>
      <w:pPr>
        <w:pStyle w:val="Normal"/>
      </w:pPr>
      <w:r>
        <w:t>If you have multiple physical volumes you can add the names of one (or more) of them to the end of the command to limit which ones are used to fulfill the request.</w:t>
      </w:r>
    </w:p>
    <w:p>
      <w:pPr>
        <w:pStyle w:val="Para 17"/>
      </w:pPr>
      <w:r>
        <w:t/>
      </w:r>
    </w:p>
    <w:p>
      <w:pPr>
        <w:pStyle w:val="Para 01"/>
      </w:pPr>
      <w:r>
        <w:t>Move a partition</w:t>
      </w:r>
    </w:p>
    <w:p>
      <w:pPr>
        <w:pStyle w:val="Para 17"/>
      </w:pPr>
      <w:r>
        <w:t/>
      </w:r>
    </w:p>
    <w:p>
      <w:pPr>
        <w:pStyle w:val="Normal"/>
      </w:pPr>
      <w:r>
        <w:t>If you only have one physical volume then you are unlikely to ever need to move, but if you add a new disk, you might want to. To move the logical volume bar off of physical volume /dev/sda1, you can run:</w:t>
      </w:r>
    </w:p>
    <w:p>
      <w:pPr>
        <w:pStyle w:val="Normal"/>
      </w:pPr>
      <w:r>
        <w:t>sudo pvmove --name bar /dev/sda1</w:t>
      </w:r>
    </w:p>
    <w:p>
      <w:pPr>
        <w:pStyle w:val="Para 17"/>
      </w:pPr>
      <w:r>
        <w:t/>
      </w:r>
    </w:p>
    <w:p>
      <w:pPr>
        <w:pStyle w:val="Normal"/>
      </w:pPr>
      <w:r>
        <w:t>If you omit the--name bar argument, then all logical volumes on the /dev/sda1 physical vol-ume will be moved. If you only have one other physical volume then that is where it will be moved to. Otherwise you can add the name of one or more specific physical volumes that should be used to satisfy the request, instead of any physical volume in the volume group with free space.</w:t>
      </w:r>
    </w:p>
    <w:p>
      <w:pPr>
        <w:pStyle w:val="Normal"/>
      </w:pPr>
      <w:r>
        <w:t>This process can be resumed safely if interrupted by a crash or power failure, and can be done while the logical volume(s) in question are in use. You can also add--background to perform the move in the background and return immediately, or--interval s to have it print how much progress it has made every s seconds. If you background the move, you can check its progress with the lvs command.</w:t>
      </w:r>
    </w:p>
    <w:p>
      <w:bookmarkStart w:id="624" w:name="page_4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5" name="index-426_1.png" descr="index-426_1.png"/>
            <wp:cNvGraphicFramePr>
              <a:graphicFrameLocks noChangeAspect="1"/>
            </wp:cNvGraphicFramePr>
            <a:graphic>
              <a:graphicData uri="http://schemas.openxmlformats.org/drawingml/2006/picture">
                <pic:pic>
                  <pic:nvPicPr>
                    <pic:cNvPr id="0" name="index-426_1.png" descr="index-426_1.png"/>
                    <pic:cNvPicPr/>
                  </pic:nvPicPr>
                  <pic:blipFill>
                    <a:blip r:embed="rId439"/>
                    <a:stretch>
                      <a:fillRect/>
                    </a:stretch>
                  </pic:blipFill>
                  <pic:spPr>
                    <a:xfrm>
                      <a:off x="0" y="0"/>
                      <a:ext cx="914400" cy="266700"/>
                    </a:xfrm>
                    <a:prstGeom prst="rect">
                      <a:avLst/>
                    </a:prstGeom>
                  </pic:spPr>
                </pic:pic>
              </a:graphicData>
            </a:graphic>
          </wp:anchor>
        </w:drawing>
      </w:r>
      <w:bookmarkEnd w:id="624"/>
    </w:p>
    <w:p>
      <w:pPr>
        <w:pStyle w:val="Para 17"/>
      </w:pPr>
      <w:r>
        <w:t/>
      </w:r>
    </w:p>
    <w:p>
      <w:pPr>
        <w:pStyle w:val="Para 01"/>
      </w:pPr>
      <w:r>
        <w:t>Create a snapshot</w:t>
      </w:r>
    </w:p>
    <w:p>
      <w:pPr>
        <w:pStyle w:val="Para 17"/>
      </w:pPr>
      <w:r>
        <w:t/>
      </w:r>
    </w:p>
    <w:p>
      <w:pPr>
        <w:pStyle w:val="Normal"/>
      </w:pPr>
      <w:r>
        <w:t>When you create a snapshot, you create a new logical volume to act as a clone of the original logical volume.</w:t>
      </w:r>
    </w:p>
    <w:p>
      <w:pPr>
        <w:pStyle w:val="Normal"/>
      </w:pPr>
      <w:r>
        <w:t>The snapshot volume does not initially use any space, but as changes are made to the original volume, the changed blocks are copied to the snapshot volume before they are changed in order to preserve them. This means that the more changes you make to the origin, the more space the snapshot needs. If the snapshot volume uses all of the space allocated to it, then the snapshot is broken and can not be used any more, leaving you with only the modified origin.</w:t>
      </w:r>
    </w:p>
    <w:p>
      <w:pPr>
        <w:pStyle w:val="Normal"/>
      </w:pPr>
      <w:r>
        <w:t>The lvs command will tell you how much space has been used in a snapshot logical volume. If it starts to get full, you might want to extend it with the lvextend command. To create a snapshot of the bar logical volume and name it lv_snapshot, run:</w:t>
      </w:r>
    </w:p>
    <w:p>
      <w:pPr>
        <w:pStyle w:val="Normal"/>
      </w:pPr>
      <w:r>
        <w:t>sudo lvcreate --snapshot --name lv_snapshot --size 5g foo/bar</w:t>
      </w:r>
    </w:p>
    <w:p>
      <w:pPr>
        <w:pStyle w:val="Para 17"/>
      </w:pPr>
      <w:r>
        <w:t/>
      </w:r>
    </w:p>
    <w:p>
      <w:pPr>
        <w:pStyle w:val="Normal"/>
      </w:pPr>
      <w:r>
        <w:t>This will create a snapshot named lv_snapshot of the original logical volume bar and allocate 5 GB of space for it. Since the snapshot volume only stores the areas of the disk that have changed since it was created, it can be much smaller than the original volume.</w:t>
      </w:r>
    </w:p>
    <w:p>
      <w:pPr>
        <w:pStyle w:val="Normal"/>
      </w:pPr>
      <w:r>
        <w:t>While you have the snapshot, you can mount it if you wish to see the original filesystem as it appeared when you made the snapshot. In the above example you would mount the /dev/ foo/lv_snapshot device. You can modify the snapshot without affecting the original, and the original without affecting the snapshot. For example, if you take a snapshot of your root logical volume, make changes to your system, and then decide you would like to revert the system back to its previous state, you can merge the snapshot back into the original volume, which effectively reverts it to the state it was in when you made the snapshot. To do this, you can run:</w:t>
      </w:r>
    </w:p>
    <w:p>
      <w:pPr>
        <w:pStyle w:val="Normal"/>
      </w:pPr>
      <w:r>
        <w:t>sudo lvconvert --merge foo/lv_snapshot</w:t>
      </w:r>
    </w:p>
    <w:p>
      <w:pPr>
        <w:pStyle w:val="Para 17"/>
      </w:pPr>
      <w:r>
        <w:t/>
      </w:r>
    </w:p>
    <w:p>
      <w:pPr>
        <w:pStyle w:val="Normal"/>
      </w:pPr>
      <w:r>
        <w:t>If the origin volume of foo/lv_snapshot is in use, it will inform you that the merge will take place the next time the volumes are activated. If this is the root volume, then you will need to reboot for this to happen. At the next boot, the volume will be activated and the merge will begin in the background, so your system will boot up as if you had never made the changes since the snapshot was created, and the actual data movement will take place in the back-ground while you work.</w:t>
      </w:r>
    </w:p>
    <w:p>
      <w:bookmarkStart w:id="625" w:name="calibre_pb_99"/>
      <w:pPr>
        <w:pStyle w:val="0 Block"/>
      </w:pPr>
      <w:bookmarkEnd w:id="625"/>
    </w:p>
    <w:p>
      <w:bookmarkStart w:id="626" w:name="Top_of_index_split_100_html"/>
      <w:bookmarkStart w:id="627" w:name="page_42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6" name="index-427_1.png" descr="index-427_1.png"/>
            <wp:cNvGraphicFramePr>
              <a:graphicFrameLocks noChangeAspect="1"/>
            </wp:cNvGraphicFramePr>
            <a:graphic>
              <a:graphicData uri="http://schemas.openxmlformats.org/drawingml/2006/picture">
                <pic:pic>
                  <pic:nvPicPr>
                    <pic:cNvPr id="0" name="index-427_1.png" descr="index-427_1.png"/>
                    <pic:cNvPicPr/>
                  </pic:nvPicPr>
                  <pic:blipFill>
                    <a:blip r:embed="rId440"/>
                    <a:stretch>
                      <a:fillRect/>
                    </a:stretch>
                  </pic:blipFill>
                  <pic:spPr>
                    <a:xfrm>
                      <a:off x="0" y="0"/>
                      <a:ext cx="914400" cy="266700"/>
                    </a:xfrm>
                    <a:prstGeom prst="rect">
                      <a:avLst/>
                    </a:prstGeom>
                  </pic:spPr>
                </pic:pic>
              </a:graphicData>
            </a:graphic>
          </wp:anchor>
        </w:drawing>
      </w:r>
      <w:bookmarkEnd w:id="626"/>
      <w:bookmarkEnd w:id="627"/>
    </w:p>
    <w:p>
      <w:pPr>
        <w:pStyle w:val="Para 01"/>
      </w:pPr>
      <w:r>
        <w:t>iSCSI initiator (or client)</w:t>
      </w:r>
    </w:p>
    <w:p>
      <w:pPr>
        <w:pStyle w:val="Para 17"/>
      </w:pPr>
      <w:r>
        <w:t/>
      </w:r>
    </w:p>
    <w:p>
      <w:pPr>
        <w:pStyle w:val="Para 22"/>
      </w:pPr>
      <w:r>
        <w:rPr>
          <w:rStyle w:val="Text7"/>
        </w:rPr>
        <w:t xml:space="preserve">Wikipedia </w:t>
      </w:r>
      <w:hyperlink w:anchor="page_427">
        <w:r>
          <w:rPr>
            <w:rStyle w:val="Text10"/>
          </w:rPr>
          <w:t>372</w:t>
        </w:r>
      </w:hyperlink>
      <w:r>
        <w:rPr>
          <w:rStyle w:val="Text7"/>
        </w:rPr>
        <w:t xml:space="preserve"> </w:t>
      </w:r>
      <w:hyperlink r:id="rId1338">
        <w:r>
          <w:t>iSCSI Definition</w:t>
        </w:r>
      </w:hyperlink>
      <w:r>
        <w:rPr>
          <w:rStyle w:val="Text7"/>
        </w:rPr>
        <w:t>:</w:t>
      </w:r>
    </w:p>
    <w:p>
      <w:pPr>
        <w:pStyle w:val="Para 08"/>
      </w:pPr>
      <w:r>
        <w:rPr>
          <w:rStyle w:val="Text0"/>
        </w:rPr>
        <w:t xml:space="preserve">iSCSI an acronym for </w:t>
      </w:r>
      <w:r>
        <w:t>Internet Small Computer Systems Interface</w:t>
      </w:r>
      <w:r>
        <w:rPr>
          <w:rStyle w:val="Text0"/>
        </w:rPr>
        <w:t xml:space="preserve"> , an </w:t>
      </w:r>
      <w:hyperlink r:id="rId1339">
        <w:r>
          <w:rPr>
            <w:rStyle w:val="Text13"/>
          </w:rPr>
          <w:t>Internet Proto-</w:t>
        </w:r>
      </w:hyperlink>
    </w:p>
    <w:p>
      <w:pPr>
        <w:pStyle w:val="Para 03"/>
      </w:pPr>
      <w:hyperlink r:id="rId1339">
        <w:r>
          <w:rPr>
            <w:rStyle w:val="Text1"/>
          </w:rPr>
          <w:t>col</w:t>
        </w:r>
      </w:hyperlink>
      <w:r>
        <w:t xml:space="preserve"> </w:t>
      </w:r>
      <w:hyperlink w:anchor="page_427">
        <w:r>
          <w:rPr>
            <w:rStyle w:val="Text9"/>
          </w:rPr>
          <w:t>373</w:t>
        </w:r>
      </w:hyperlink>
      <w:r>
        <w:t xml:space="preserve"> (IP)-based storage networking standard for linking data storage facilities. It pro-</w:t>
      </w:r>
    </w:p>
    <w:p>
      <w:pPr>
        <w:pStyle w:val="Para 03"/>
      </w:pPr>
      <w:r>
        <w:t xml:space="preserve">vides </w:t>
      </w:r>
      <w:hyperlink w:anchor="page_427">
        <w:r>
          <w:rPr>
            <w:rStyle w:val="Text9"/>
          </w:rPr>
          <w:t>374</w:t>
        </w:r>
      </w:hyperlink>
      <w:r>
        <w:t xml:space="preserve"> </w:t>
      </w:r>
      <w:hyperlink r:id="rId1340">
        <w:r>
          <w:rPr>
            <w:rStyle w:val="Text9"/>
          </w:rPr>
          <w:t>375</w:t>
        </w:r>
      </w:hyperlink>
      <w:hyperlink r:id="rId1340">
        <w:r>
          <w:rPr>
            <w:rStyle w:val="Text1"/>
          </w:rPr>
          <w:t xml:space="preserve"> </w:t>
        </w:r>
      </w:hyperlink>
      <w:hyperlink r:id="rId1340">
        <w:r>
          <w:rPr>
            <w:rStyle w:val="Text9"/>
          </w:rPr>
          <w:t>376</w:t>
        </w:r>
      </w:hyperlink>
      <w:r>
        <w:t xml:space="preserve"> </w:t>
      </w:r>
      <w:hyperlink r:id="rId1341">
        <w:r>
          <w:rPr>
            <w:rStyle w:val="Text1"/>
          </w:rPr>
          <w:t>block-level access</w:t>
        </w:r>
      </w:hyperlink>
      <w:r>
        <w:t xml:space="preserve"> to </w:t>
      </w:r>
      <w:hyperlink r:id="rId1340">
        <w:r>
          <w:rPr>
            <w:rStyle w:val="Text1"/>
          </w:rPr>
          <w:t>storage devices</w:t>
        </w:r>
      </w:hyperlink>
      <w:r>
        <w:t xml:space="preserve"> by carrying </w:t>
      </w:r>
      <w:hyperlink r:id="rId1342">
        <w:r>
          <w:rPr>
            <w:rStyle w:val="Text1"/>
          </w:rPr>
          <w:t>SCSI</w:t>
        </w:r>
      </w:hyperlink>
      <w:r>
        <w:t xml:space="preserve"> commands over a</w:t>
      </w:r>
    </w:p>
    <w:p>
      <w:pPr>
        <w:pStyle w:val="Para 03"/>
      </w:pPr>
      <w:hyperlink r:id="rId1343">
        <w:r>
          <w:rPr>
            <w:rStyle w:val="Text1"/>
          </w:rPr>
          <w:t>TCP/IP</w:t>
        </w:r>
      </w:hyperlink>
      <w:r>
        <w:t xml:space="preserve"> </w:t>
      </w:r>
      <w:hyperlink w:anchor="page_427">
        <w:r>
          <w:rPr>
            <w:rStyle w:val="Text9"/>
          </w:rPr>
          <w:t>377</w:t>
        </w:r>
      </w:hyperlink>
      <w:r>
        <w:t xml:space="preserve"> network.</w:t>
      </w:r>
    </w:p>
    <w:p>
      <w:pPr>
        <w:pStyle w:val="Para 03"/>
      </w:pPr>
      <w:r>
        <w:t xml:space="preserve">iSCSI is used to facilitate data transfers over </w:t>
      </w:r>
      <w:hyperlink w:anchor="page_427">
        <w:r>
          <w:rPr>
            <w:rStyle w:val="Text9"/>
          </w:rPr>
          <w:t>378</w:t>
        </w:r>
      </w:hyperlink>
      <w:r>
        <w:t xml:space="preserve"> </w:t>
      </w:r>
      <w:hyperlink r:id="rId1344">
        <w:r>
          <w:rPr>
            <w:rStyle w:val="Text1"/>
          </w:rPr>
          <w:t>intranets</w:t>
        </w:r>
      </w:hyperlink>
      <w:r>
        <w:t xml:space="preserve"> and to manage storage over long</w:t>
      </w:r>
    </w:p>
    <w:p>
      <w:pPr>
        <w:pStyle w:val="Para 03"/>
      </w:pPr>
      <w:r>
        <w:t xml:space="preserve">distances. It can be used to transmit data over </w:t>
      </w:r>
      <w:hyperlink r:id="rId1345">
        <w:r>
          <w:rPr>
            <w:rStyle w:val="Text9"/>
          </w:rPr>
          <w:t>379</w:t>
        </w:r>
      </w:hyperlink>
      <w:hyperlink r:id="rId1345">
        <w:r>
          <w:rPr>
            <w:rStyle w:val="Text1"/>
          </w:rPr>
          <w:t xml:space="preserve"> local area networks</w:t>
        </w:r>
      </w:hyperlink>
      <w:r>
        <w:t xml:space="preserve"> (LANs), </w:t>
      </w:r>
      <w:hyperlink r:id="rId1346">
        <w:r>
          <w:rPr>
            <w:rStyle w:val="Text1"/>
          </w:rPr>
          <w:t>wide area</w:t>
        </w:r>
      </w:hyperlink>
    </w:p>
    <w:p>
      <w:pPr>
        <w:pStyle w:val="Para 03"/>
      </w:pPr>
      <w:hyperlink r:id="rId1346">
        <w:r>
          <w:rPr>
            <w:rStyle w:val="Text1"/>
          </w:rPr>
          <w:t>networks</w:t>
        </w:r>
      </w:hyperlink>
      <w:hyperlink w:anchor="page_427">
        <w:r>
          <w:rPr>
            <w:rStyle w:val="Text9"/>
          </w:rPr>
          <w:t>380</w:t>
        </w:r>
      </w:hyperlink>
      <w:hyperlink w:anchor="page_427">
        <w:r>
          <w:rPr>
            <w:rStyle w:val="Text1"/>
          </w:rPr>
          <w:t xml:space="preserve"> </w:t>
        </w:r>
      </w:hyperlink>
      <w:hyperlink w:anchor="page_427">
        <w:r>
          <w:rPr>
            <w:rStyle w:val="Text9"/>
          </w:rPr>
          <w:t>381</w:t>
        </w:r>
      </w:hyperlink>
      <w:r>
        <w:t xml:space="preserve"> (WANs), or the </w:t>
      </w:r>
      <w:hyperlink r:id="rId1347">
        <w:r>
          <w:rPr>
            <w:rStyle w:val="Text1"/>
          </w:rPr>
          <w:t>Internet</w:t>
        </w:r>
      </w:hyperlink>
      <w:r>
        <w:t xml:space="preserve"> and can enable location-independent data storage</w:t>
      </w:r>
    </w:p>
    <w:p>
      <w:pPr>
        <w:pStyle w:val="Para 03"/>
      </w:pPr>
      <w:r>
        <w:t>and retrieval.</w:t>
      </w:r>
    </w:p>
    <w:p>
      <w:pPr>
        <w:pStyle w:val="Para 03"/>
      </w:pPr>
      <w:r>
        <w:t xml:space="preserve">The </w:t>
      </w:r>
      <w:hyperlink w:anchor="page_427">
        <w:r>
          <w:rPr>
            <w:rStyle w:val="Text9"/>
          </w:rPr>
          <w:t>382</w:t>
        </w:r>
      </w:hyperlink>
      <w:hyperlink w:anchor="page_427">
        <w:r>
          <w:rPr>
            <w:rStyle w:val="Text1"/>
          </w:rPr>
          <w:t xml:space="preserve"> </w:t>
        </w:r>
      </w:hyperlink>
      <w:hyperlink w:anchor="page_427">
        <w:r>
          <w:rPr>
            <w:rStyle w:val="Text9"/>
          </w:rPr>
          <w:t>383</w:t>
        </w:r>
      </w:hyperlink>
      <w:r>
        <w:t xml:space="preserve"> </w:t>
      </w:r>
      <w:hyperlink r:id="rId1348">
        <w:r>
          <w:rPr>
            <w:rStyle w:val="Text1"/>
          </w:rPr>
          <w:t>protocol</w:t>
        </w:r>
      </w:hyperlink>
      <w:r>
        <w:t xml:space="preserve"> allows clients (called </w:t>
      </w:r>
      <w:r>
        <w:rPr>
          <w:rStyle w:val="Text3"/>
        </w:rPr>
        <w:t>initiators</w:t>
      </w:r>
      <w:r>
        <w:t xml:space="preserve"> ) to send SCSI commands ( </w:t>
      </w:r>
      <w:hyperlink r:id="rId1349">
        <w:r>
          <w:rPr>
            <w:rStyle w:val="Text2"/>
          </w:rPr>
          <w:t>CDBs</w:t>
        </w:r>
      </w:hyperlink>
      <w:r>
        <w:t>) to stor-</w:t>
      </w:r>
    </w:p>
    <w:p>
      <w:pPr>
        <w:pStyle w:val="Para 03"/>
      </w:pPr>
      <w:r>
        <w:t xml:space="preserve">age devices ( </w:t>
      </w:r>
      <w:hyperlink r:id="rId1350">
        <w:r>
          <w:rPr>
            <w:rStyle w:val="Text9"/>
          </w:rPr>
          <w:t>384</w:t>
        </w:r>
      </w:hyperlink>
      <w:r>
        <w:t xml:space="preserve"> </w:t>
      </w:r>
      <w:r>
        <w:rPr>
          <w:rStyle w:val="Text3"/>
        </w:rPr>
        <w:t>targets</w:t>
      </w:r>
      <w:r>
        <w:t xml:space="preserve"> ) on remote servers. It is a </w:t>
      </w:r>
      <w:hyperlink r:id="rId1350">
        <w:r>
          <w:rPr>
            <w:rStyle w:val="Text1"/>
          </w:rPr>
          <w:t>storage area network</w:t>
        </w:r>
      </w:hyperlink>
      <w:r>
        <w:t xml:space="preserve"> (SAN) protocol, al-</w:t>
      </w:r>
    </w:p>
    <w:p>
      <w:pPr>
        <w:pStyle w:val="Para 03"/>
      </w:pPr>
      <w:r>
        <w:t xml:space="preserve">lowing organizations to consolidate storage into </w:t>
      </w:r>
      <w:hyperlink r:id="rId1351">
        <w:r>
          <w:rPr>
            <w:rStyle w:val="Text9"/>
          </w:rPr>
          <w:t>385</w:t>
        </w:r>
      </w:hyperlink>
      <w:hyperlink r:id="rId1351">
        <w:r>
          <w:rPr>
            <w:rStyle w:val="Text1"/>
          </w:rPr>
          <w:t xml:space="preserve"> storage arrays</w:t>
        </w:r>
      </w:hyperlink>
      <w:r>
        <w:t xml:space="preserve"> while providing clients</w:t>
      </w:r>
    </w:p>
    <w:p>
      <w:pPr>
        <w:pStyle w:val="Para 03"/>
      </w:pPr>
      <w:r>
        <w:t>(such as database and web servers) with the illusion of locally attached SCSI disks.</w:t>
      </w:r>
    </w:p>
    <w:p>
      <w:pPr>
        <w:pStyle w:val="Para 03"/>
      </w:pPr>
      <w:r>
        <w:t xml:space="preserve">It mainly competes with </w:t>
      </w:r>
      <w:hyperlink r:id="rId1352">
        <w:r>
          <w:rPr>
            <w:rStyle w:val="Text9"/>
          </w:rPr>
          <w:t>386</w:t>
        </w:r>
      </w:hyperlink>
      <w:hyperlink r:id="rId1352">
        <w:r>
          <w:rPr>
            <w:rStyle w:val="Text1"/>
          </w:rPr>
          <w:t xml:space="preserve"> Fibre Channel</w:t>
        </w:r>
      </w:hyperlink>
      <w:r>
        <w:t xml:space="preserve">, but unlike traditional </w:t>
      </w:r>
      <w:hyperlink w:anchor="page_682">
        <w:r>
          <w:rPr>
            <w:rStyle w:val="Text2"/>
          </w:rPr>
          <w:t>Fibre Channel</w:t>
        </w:r>
      </w:hyperlink>
      <w:r>
        <w:t>, which usu-</w:t>
      </w:r>
    </w:p>
    <w:p>
      <w:pPr>
        <w:pStyle w:val="Para 03"/>
      </w:pPr>
      <w:r>
        <w:t>ally requires dedicated cabling, iSCSI can be run over long distances using existing network</w:t>
      </w:r>
    </w:p>
    <w:p>
      <w:pPr>
        <w:pStyle w:val="Para 03"/>
      </w:pPr>
      <w:r>
        <w:t>infrastructure.</w:t>
      </w:r>
    </w:p>
    <w:p>
      <w:pPr>
        <w:pStyle w:val="Para 05"/>
      </w:pPr>
      <w:r>
        <w:rPr>
          <w:rStyle w:val="Text5"/>
        </w:rPr>
        <w:t>372</w:t>
      </w:r>
      <w:r>
        <w:rPr>
          <w:rStyle w:val="Text8"/>
        </w:rPr>
        <w:t xml:space="preserve"> </w:t>
      </w:r>
      <w:r>
        <w:t>https://en.wikipedia.org/wiki/ISCSI</w:t>
      </w:r>
    </w:p>
    <w:p>
      <w:pPr>
        <w:pStyle w:val="Para 05"/>
      </w:pPr>
      <w:r>
        <w:rPr>
          <w:rStyle w:val="Text5"/>
        </w:rPr>
        <w:t>373</w:t>
      </w:r>
      <w:r>
        <w:rPr>
          <w:rStyle w:val="Text8"/>
        </w:rPr>
        <w:t xml:space="preserve"> </w:t>
      </w:r>
      <w:r>
        <w:t>https://en.wikipedia.org/wiki/Internet_Protocol</w:t>
      </w:r>
    </w:p>
    <w:p>
      <w:pPr>
        <w:pStyle w:val="Para 05"/>
      </w:pPr>
      <w:r>
        <w:rPr>
          <w:rStyle w:val="Text5"/>
        </w:rPr>
        <w:t>374</w:t>
      </w:r>
      <w:r>
        <w:rPr>
          <w:rStyle w:val="Text8"/>
        </w:rPr>
        <w:t xml:space="preserve"> </w:t>
      </w:r>
      <w:r>
        <w:t>https://en.wikipedia.org/wiki/Block-level_storage</w:t>
      </w:r>
    </w:p>
    <w:p>
      <w:pPr>
        <w:pStyle w:val="Para 05"/>
      </w:pPr>
      <w:r>
        <w:rPr>
          <w:rStyle w:val="Text5"/>
        </w:rPr>
        <w:t>375</w:t>
      </w:r>
      <w:r>
        <w:rPr>
          <w:rStyle w:val="Text8"/>
        </w:rPr>
        <w:t xml:space="preserve"> </w:t>
      </w:r>
      <w:r>
        <w:t>https://en.wikipedia.org/wiki/Computer_data_storage</w:t>
      </w:r>
    </w:p>
    <w:p>
      <w:pPr>
        <w:pStyle w:val="Para 05"/>
      </w:pPr>
      <w:r>
        <w:rPr>
          <w:rStyle w:val="Text5"/>
        </w:rPr>
        <w:t>376</w:t>
      </w:r>
      <w:r>
        <w:rPr>
          <w:rStyle w:val="Text8"/>
        </w:rPr>
        <w:t xml:space="preserve"> </w:t>
      </w:r>
      <w:r>
        <w:t>https://en.wikipedia.org/wiki/SCSI</w:t>
      </w:r>
    </w:p>
    <w:p>
      <w:pPr>
        <w:pStyle w:val="Para 05"/>
      </w:pPr>
      <w:r>
        <w:rPr>
          <w:rStyle w:val="Text5"/>
        </w:rPr>
        <w:t>377</w:t>
      </w:r>
      <w:r>
        <w:rPr>
          <w:rStyle w:val="Text8"/>
        </w:rPr>
        <w:t xml:space="preserve"> </w:t>
      </w:r>
      <w:r>
        <w:t>https://en.wikipedia.org/wiki/TCP/IP</w:t>
      </w:r>
    </w:p>
    <w:p>
      <w:pPr>
        <w:pStyle w:val="Para 05"/>
      </w:pPr>
      <w:r>
        <w:rPr>
          <w:rStyle w:val="Text5"/>
        </w:rPr>
        <w:t>378</w:t>
      </w:r>
      <w:r>
        <w:rPr>
          <w:rStyle w:val="Text8"/>
        </w:rPr>
        <w:t xml:space="preserve"> </w:t>
      </w:r>
      <w:r>
        <w:t>https://en.wikipedia.org/wiki/Intranet</w:t>
      </w:r>
    </w:p>
    <w:p>
      <w:pPr>
        <w:pStyle w:val="Para 05"/>
      </w:pPr>
      <w:r>
        <w:rPr>
          <w:rStyle w:val="Text5"/>
        </w:rPr>
        <w:t>379</w:t>
      </w:r>
      <w:r>
        <w:rPr>
          <w:rStyle w:val="Text8"/>
        </w:rPr>
        <w:t xml:space="preserve"> </w:t>
      </w:r>
      <w:r>
        <w:t>https://en.wikipedia.org/wiki/Local_area_network</w:t>
      </w:r>
    </w:p>
    <w:p>
      <w:pPr>
        <w:pStyle w:val="Para 05"/>
      </w:pPr>
      <w:r>
        <w:rPr>
          <w:rStyle w:val="Text5"/>
        </w:rPr>
        <w:t>380</w:t>
      </w:r>
      <w:r>
        <w:rPr>
          <w:rStyle w:val="Text8"/>
        </w:rPr>
        <w:t xml:space="preserve"> </w:t>
      </w:r>
      <w:r>
        <w:t>https://en.wikipedia.org/wiki/Wide_area_network</w:t>
      </w:r>
    </w:p>
    <w:p>
      <w:pPr>
        <w:pStyle w:val="Para 05"/>
      </w:pPr>
      <w:r>
        <w:rPr>
          <w:rStyle w:val="Text5"/>
        </w:rPr>
        <w:t>381</w:t>
      </w:r>
      <w:r>
        <w:rPr>
          <w:rStyle w:val="Text8"/>
        </w:rPr>
        <w:t xml:space="preserve"> </w:t>
      </w:r>
      <w:r>
        <w:t>https://en.wikipedia.org/wiki/Internet</w:t>
      </w:r>
    </w:p>
    <w:p>
      <w:pPr>
        <w:pStyle w:val="Para 05"/>
      </w:pPr>
      <w:r>
        <w:rPr>
          <w:rStyle w:val="Text5"/>
        </w:rPr>
        <w:t>382</w:t>
      </w:r>
      <w:r>
        <w:rPr>
          <w:rStyle w:val="Text8"/>
        </w:rPr>
        <w:t xml:space="preserve"> </w:t>
      </w:r>
      <w:r>
        <w:t>https://en.wikipedia.org/wiki/Protocol_(computing)</w:t>
      </w:r>
    </w:p>
    <w:p>
      <w:pPr>
        <w:pStyle w:val="Para 05"/>
      </w:pPr>
      <w:r>
        <w:rPr>
          <w:rStyle w:val="Text5"/>
        </w:rPr>
        <w:t>383</w:t>
      </w:r>
      <w:r>
        <w:rPr>
          <w:rStyle w:val="Text8"/>
        </w:rPr>
        <w:t xml:space="preserve"> </w:t>
      </w:r>
      <w:r>
        <w:t>https://en.wikipedia.org/wiki/SCSI_CDB</w:t>
      </w:r>
    </w:p>
    <w:p>
      <w:pPr>
        <w:pStyle w:val="Para 05"/>
      </w:pPr>
      <w:r>
        <w:rPr>
          <w:rStyle w:val="Text5"/>
        </w:rPr>
        <w:t>384</w:t>
      </w:r>
      <w:r>
        <w:rPr>
          <w:rStyle w:val="Text8"/>
        </w:rPr>
        <w:t xml:space="preserve"> </w:t>
      </w:r>
      <w:r>
        <w:t>https://en.wikipedia.org/wiki/Storage_area_network</w:t>
      </w:r>
    </w:p>
    <w:p>
      <w:pPr>
        <w:pStyle w:val="Para 05"/>
      </w:pPr>
      <w:r>
        <w:rPr>
          <w:rStyle w:val="Text5"/>
        </w:rPr>
        <w:t>385</w:t>
      </w:r>
      <w:r>
        <w:rPr>
          <w:rStyle w:val="Text8"/>
        </w:rPr>
        <w:t xml:space="preserve"> </w:t>
      </w:r>
      <w:r>
        <w:t>https://en.wikipedia.org/wiki/Storage_array</w:t>
      </w:r>
    </w:p>
    <w:p>
      <w:pPr>
        <w:pStyle w:val="Para 05"/>
      </w:pPr>
      <w:r>
        <w:rPr>
          <w:rStyle w:val="Text5"/>
        </w:rPr>
        <w:t>386</w:t>
      </w:r>
      <w:r>
        <w:rPr>
          <w:rStyle w:val="Text8"/>
        </w:rPr>
        <w:t xml:space="preserve"> </w:t>
      </w:r>
      <w:r>
        <w:t>https://en.wikipedia.org/wiki/Fibre_Channel</w:t>
      </w:r>
    </w:p>
    <w:p>
      <w:pPr>
        <w:pStyle w:val="Para 17"/>
      </w:pPr>
      <w:r>
        <w:t/>
      </w:r>
    </w:p>
    <w:p>
      <w:pPr>
        <w:pStyle w:val="Normal"/>
      </w:pPr>
      <w:r>
        <w:t xml:space="preserve">Ubuntu Server can be configured as both: </w:t>
      </w:r>
      <w:r>
        <w:rPr>
          <w:rStyle w:val="Text0"/>
        </w:rPr>
        <w:t>iSCSI initiator</w:t>
      </w:r>
      <w:r>
        <w:t xml:space="preserve"> and </w:t>
      </w:r>
      <w:r>
        <w:rPr>
          <w:rStyle w:val="Text0"/>
        </w:rPr>
        <w:t>iSCSI target</w:t>
      </w:r>
      <w:r>
        <w:t xml:space="preserve">. This guide pro-vides commands and configuration options to setup an </w:t>
      </w:r>
      <w:r>
        <w:rPr>
          <w:rStyle w:val="Text0"/>
        </w:rPr>
        <w:t>iSCSI initiator</w:t>
      </w:r>
      <w:r>
        <w:t xml:space="preserve"> (or Client).</w:t>
      </w:r>
    </w:p>
    <w:p>
      <w:pPr>
        <w:pStyle w:val="Para 17"/>
      </w:pPr>
      <w:r>
        <w:t/>
      </w:r>
    </w:p>
    <w:p>
      <w:pPr>
        <w:pStyle w:val="Para 08"/>
      </w:pPr>
      <w:r>
        <w:t>Note:</w:t>
      </w:r>
    </w:p>
    <w:p>
      <w:pPr>
        <w:pStyle w:val="Para 08"/>
      </w:pPr>
      <w:r>
        <w:rPr>
          <w:rStyle w:val="Text0"/>
        </w:rPr>
        <w:t xml:space="preserve">It is assumed that </w:t>
      </w:r>
      <w:r>
        <w:t>you already have an iSCSI target on your local network</w:t>
      </w:r>
      <w:r>
        <w:rPr>
          <w:rStyle w:val="Text0"/>
        </w:rPr>
        <w:t xml:space="preserve"> and have the</w:t>
      </w:r>
    </w:p>
    <w:p>
      <w:pPr>
        <w:pStyle w:val="Para 03"/>
      </w:pPr>
      <w:r>
        <w:t>appropriate rights to connect to it. The instructions for setting up a target vary greatly</w:t>
      </w:r>
    </w:p>
    <w:p>
      <w:pPr>
        <w:pStyle w:val="Para 03"/>
      </w:pPr>
      <w:r>
        <w:t>between hardware providers, so consult your vendor documentation to configure your</w:t>
      </w:r>
    </w:p>
    <w:p>
      <w:pPr>
        <w:pStyle w:val="Para 03"/>
      </w:pPr>
      <w:r>
        <w:t>specific iSCSI target.</w:t>
      </w:r>
    </w:p>
    <w:p>
      <w:bookmarkStart w:id="628" w:name="calibre_pb_100"/>
      <w:pPr>
        <w:pStyle w:val="0 Block"/>
      </w:pPr>
      <w:bookmarkEnd w:id="628"/>
    </w:p>
    <w:p>
      <w:bookmarkStart w:id="629" w:name="Top_of_index_split_101_html"/>
      <w:bookmarkStart w:id="630" w:name="page_4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7" name="index-428_1.png" descr="index-428_1.png"/>
            <wp:cNvGraphicFramePr>
              <a:graphicFrameLocks noChangeAspect="1"/>
            </wp:cNvGraphicFramePr>
            <a:graphic>
              <a:graphicData uri="http://schemas.openxmlformats.org/drawingml/2006/picture">
                <pic:pic>
                  <pic:nvPicPr>
                    <pic:cNvPr id="0" name="index-428_1.png" descr="index-428_1.png"/>
                    <pic:cNvPicPr/>
                  </pic:nvPicPr>
                  <pic:blipFill>
                    <a:blip r:embed="rId441"/>
                    <a:stretch>
                      <a:fillRect/>
                    </a:stretch>
                  </pic:blipFill>
                  <pic:spPr>
                    <a:xfrm>
                      <a:off x="0" y="0"/>
                      <a:ext cx="914400" cy="266700"/>
                    </a:xfrm>
                    <a:prstGeom prst="rect">
                      <a:avLst/>
                    </a:prstGeom>
                  </pic:spPr>
                </pic:pic>
              </a:graphicData>
            </a:graphic>
          </wp:anchor>
        </w:drawing>
      </w:r>
      <w:bookmarkEnd w:id="629"/>
      <w:bookmarkEnd w:id="630"/>
    </w:p>
    <w:p>
      <w:pPr>
        <w:pStyle w:val="Para 01"/>
      </w:pPr>
      <w:r>
        <w:t>Network Interfaces Configuration</w:t>
      </w:r>
    </w:p>
    <w:p>
      <w:pPr>
        <w:pStyle w:val="Para 17"/>
      </w:pPr>
      <w:r>
        <w:t/>
      </w:r>
    </w:p>
    <w:p>
      <w:pPr>
        <w:pStyle w:val="Normal"/>
      </w:pPr>
      <w:r>
        <w:t>Before start configuring iSCSI, make sure to have the network interfaces correctly set and configured in order to have open-iscsi package to behave appropriately, specially during boot</w:t>
      </w:r>
    </w:p>
    <w:p>
      <w:pPr>
        <w:pStyle w:val="Normal"/>
      </w:pPr>
      <w:r>
        <w:t xml:space="preserve">time. In Ubuntu 20.04 LTS, the default network configuration tool is </w:t>
      </w:r>
      <w:hyperlink w:anchor="page_428">
        <w:r>
          <w:rPr>
            <w:rStyle w:val="Text9"/>
          </w:rPr>
          <w:t>387</w:t>
        </w:r>
      </w:hyperlink>
      <w:r>
        <w:t xml:space="preserve"> </w:t>
      </w:r>
      <w:hyperlink r:id="rId1353">
        <w:r>
          <w:rPr>
            <w:rStyle w:val="Text1"/>
          </w:rPr>
          <w:t>netplan.io</w:t>
        </w:r>
      </w:hyperlink>
      <w:r>
        <w:t>.</w:t>
      </w:r>
    </w:p>
    <w:p>
      <w:pPr>
        <w:pStyle w:val="Normal"/>
      </w:pPr>
      <w:r>
        <w:t>For all the iSCSI examples below please consider the following netplan configuration for my iSCSI initiator:</w:t>
      </w:r>
    </w:p>
    <w:p>
      <w:pPr>
        <w:pStyle w:val="Para 17"/>
      </w:pPr>
      <w:r>
        <w:t/>
      </w:r>
    </w:p>
    <w:p>
      <w:pPr>
        <w:pStyle w:val="Para 35"/>
      </w:pPr>
      <w:r>
        <w:t>/etc/cloud/cloud.cfg.d/99-disable-network-config.cfg</w:t>
      </w:r>
    </w:p>
    <w:p>
      <w:pPr>
        <w:pStyle w:val="Para 03"/>
      </w:pPr>
      <w:r>
        <w:t>{config: disabled}</w:t>
      </w:r>
    </w:p>
    <w:p>
      <w:pPr>
        <w:pStyle w:val="Para 17"/>
      </w:pPr>
      <w:r>
        <w:t/>
      </w:r>
    </w:p>
    <w:p>
      <w:pPr>
        <w:pStyle w:val="Para 35"/>
      </w:pPr>
      <w:r>
        <w:t>/etc/netplan/50-cloud-init.yaml</w:t>
      </w:r>
    </w:p>
    <w:p>
      <w:pPr>
        <w:pStyle w:val="Para 03"/>
      </w:pPr>
      <w:r>
        <w:t>network:</w:t>
      </w:r>
    </w:p>
    <w:p>
      <w:pPr>
        <w:pStyle w:val="Para 02"/>
      </w:pPr>
      <w:r>
        <w:t>ethernets:</w:t>
      </w:r>
    </w:p>
    <w:p>
      <w:pPr>
        <w:pStyle w:val="Para 11"/>
      </w:pPr>
      <w:r>
        <w:t>enp5s0:</w:t>
      </w:r>
    </w:p>
    <w:p>
      <w:pPr>
        <w:pStyle w:val="Para 12"/>
      </w:pPr>
      <w:r>
        <w:t>match:</w:t>
      </w:r>
    </w:p>
    <w:p>
      <w:pPr>
        <w:pStyle w:val="Para 25"/>
      </w:pPr>
      <w:r>
        <w:t>macaddress:</w:t>
        <w:t xml:space="preserve"> </w:t>
        <w:t>00</w:t>
        <w:t>:</w:t>
        <w:t>16</w:t>
        <w:t>:</w:t>
        <w:t>3</w:t>
        <w:t>e:af:c4:d6</w:t>
      </w:r>
    </w:p>
    <w:p>
      <w:pPr>
        <w:pStyle w:val="Para 12"/>
      </w:pPr>
      <w:r>
        <w:t>set</w:t>
        <w:t>-</w:t>
        <w:t>name: eth0</w:t>
      </w:r>
    </w:p>
    <w:p>
      <w:pPr>
        <w:pStyle w:val="Para 12"/>
      </w:pPr>
      <w:r>
        <w:t>dhcp4: true</w:t>
      </w:r>
    </w:p>
    <w:p>
      <w:pPr>
        <w:pStyle w:val="Para 12"/>
      </w:pPr>
      <w:r>
        <w:t>dhcp</w:t>
        <w:t>-</w:t>
        <w:t>identifier: mac</w:t>
      </w:r>
    </w:p>
    <w:p>
      <w:pPr>
        <w:pStyle w:val="Para 11"/>
      </w:pPr>
      <w:r>
        <w:t>enp6s0:</w:t>
      </w:r>
    </w:p>
    <w:p>
      <w:pPr>
        <w:pStyle w:val="Para 12"/>
      </w:pPr>
      <w:r>
        <w:t>match:</w:t>
      </w:r>
    </w:p>
    <w:p>
      <w:pPr>
        <w:pStyle w:val="Para 25"/>
      </w:pPr>
      <w:r>
        <w:t>macaddress:</w:t>
        <w:t xml:space="preserve"> </w:t>
        <w:t>00</w:t>
        <w:t>:</w:t>
        <w:t>16</w:t>
        <w:t>:</w:t>
        <w:t>3</w:t>
        <w:t>e:</w:t>
        <w:t>50</w:t>
        <w:t>:</w:t>
        <w:t>11</w:t>
        <w:t>:</w:t>
        <w:t>9</w:t>
        <w:t>c</w:t>
      </w:r>
    </w:p>
    <w:p>
      <w:pPr>
        <w:pStyle w:val="Para 12"/>
      </w:pPr>
      <w:r>
        <w:t>set</w:t>
        <w:t>-</w:t>
        <w:t>name: iscsi01</w:t>
      </w:r>
    </w:p>
    <w:p>
      <w:pPr>
        <w:pStyle w:val="Para 12"/>
      </w:pPr>
      <w:r>
        <w:t>dhcp4: true</w:t>
      </w:r>
    </w:p>
    <w:p>
      <w:pPr>
        <w:pStyle w:val="Para 12"/>
      </w:pPr>
      <w:r>
        <w:t>dhcp</w:t>
        <w:t>-</w:t>
        <w:t>identifier: mac</w:t>
      </w:r>
    </w:p>
    <w:p>
      <w:pPr>
        <w:pStyle w:val="Para 12"/>
      </w:pPr>
      <w:r>
        <w:t>dhcp4</w:t>
        <w:t>-</w:t>
        <w:t>overrides:</w:t>
      </w:r>
    </w:p>
    <w:p>
      <w:pPr>
        <w:pStyle w:val="Para 15"/>
      </w:pPr>
      <w:r>
        <w:t>route</w:t>
        <w:t>-</w:t>
        <w:t>metric:</w:t>
        <w:t xml:space="preserve"> </w:t>
        <w:t>300</w:t>
      </w:r>
    </w:p>
    <w:p>
      <w:pPr>
        <w:pStyle w:val="Para 11"/>
      </w:pPr>
      <w:r>
        <w:t>enp7s0:</w:t>
      </w:r>
    </w:p>
    <w:p>
      <w:pPr>
        <w:pStyle w:val="Para 12"/>
      </w:pPr>
      <w:r>
        <w:t>match:</w:t>
      </w:r>
    </w:p>
    <w:p>
      <w:pPr>
        <w:pStyle w:val="Para 25"/>
      </w:pPr>
      <w:r>
        <w:t>macaddress:</w:t>
        <w:t xml:space="preserve"> </w:t>
        <w:t>00</w:t>
        <w:t>:</w:t>
        <w:t>16</w:t>
        <w:t>:</w:t>
        <w:t>3</w:t>
        <w:t>e:b3:cc:</w:t>
        <w:t>50</w:t>
      </w:r>
    </w:p>
    <w:p>
      <w:pPr>
        <w:pStyle w:val="Para 12"/>
      </w:pPr>
      <w:r>
        <w:t>set</w:t>
        <w:t>-</w:t>
        <w:t>name: iscsi02</w:t>
      </w:r>
    </w:p>
    <w:p>
      <w:pPr>
        <w:pStyle w:val="Para 12"/>
      </w:pPr>
      <w:r>
        <w:t>dhcp4: true</w:t>
      </w:r>
    </w:p>
    <w:p>
      <w:pPr>
        <w:pStyle w:val="Para 12"/>
      </w:pPr>
      <w:r>
        <w:t>dhcp</w:t>
        <w:t>-</w:t>
        <w:t>identifier: mac</w:t>
      </w:r>
    </w:p>
    <w:p>
      <w:pPr>
        <w:pStyle w:val="Para 12"/>
      </w:pPr>
      <w:r>
        <w:t>dhcp4</w:t>
        <w:t>-</w:t>
        <w:t>overrides:</w:t>
      </w:r>
    </w:p>
    <w:p>
      <w:pPr>
        <w:pStyle w:val="Para 15"/>
      </w:pPr>
      <w:r>
        <w:t>route</w:t>
        <w:t>-</w:t>
        <w:t>metric:</w:t>
        <w:t xml:space="preserve"> </w:t>
        <w:t>300</w:t>
      </w:r>
    </w:p>
    <w:p>
      <w:pPr>
        <w:pStyle w:val="Para 02"/>
      </w:pPr>
      <w:r>
        <w:t>version:</w:t>
        <w:t xml:space="preserve"> </w:t>
        <w:t>2</w:t>
      </w:r>
    </w:p>
    <w:p>
      <w:pPr>
        <w:pStyle w:val="Para 02"/>
      </w:pPr>
      <w:r>
        <w:t>renderer: networkd</w:t>
      </w:r>
    </w:p>
    <w:p>
      <w:pPr>
        <w:pStyle w:val="Para 17"/>
      </w:pPr>
      <w:r>
        <w:t/>
      </w:r>
    </w:p>
    <w:p>
      <w:pPr>
        <w:pStyle w:val="Normal"/>
      </w:pPr>
      <w:r>
        <w:t>With this configuration, the interfaces names change by matching their mac addresses. This makes it easier to manage them in a server containing multiple interfaces.</w:t>
      </w:r>
    </w:p>
    <w:p>
      <w:pPr>
        <w:pStyle w:val="Normal"/>
      </w:pPr>
      <w:r>
        <w:t xml:space="preserve">From this point and beyond, 2 interfaces are going to be mentioned: </w:t>
      </w:r>
      <w:r>
        <w:rPr>
          <w:rStyle w:val="Text0"/>
        </w:rPr>
        <w:t>iscsi01</w:t>
      </w:r>
      <w:r>
        <w:t xml:space="preserve"> and </w:t>
      </w:r>
      <w:r>
        <w:rPr>
          <w:rStyle w:val="Text0"/>
        </w:rPr>
        <w:t>iscsi02</w:t>
      </w:r>
      <w:r>
        <w:t>. This helps to demonstrate how to configure iSCSI in a multipath environment as well (check the Device Mapper Multipath session in this same Server Guide).</w:t>
      </w:r>
    </w:p>
    <w:p>
      <w:pPr>
        <w:pStyle w:val="Para 17"/>
      </w:pPr>
      <w:r>
        <w:t/>
      </w:r>
    </w:p>
    <w:p>
      <w:pPr>
        <w:pStyle w:val="Para 03"/>
      </w:pPr>
      <w:r>
        <w:t>If you have only a single interface for the iSCSI network, make sure to follow the same</w:t>
      </w:r>
    </w:p>
    <w:p>
      <w:pPr>
        <w:pStyle w:val="Para 03"/>
      </w:pPr>
      <w:r>
        <w:t xml:space="preserve">instructions, but only consider the </w:t>
      </w:r>
      <w:r>
        <w:rPr>
          <w:rStyle w:val="Text0"/>
        </w:rPr>
        <w:t>iscsi01</w:t>
      </w:r>
      <w:r>
        <w:t xml:space="preserve"> interface command line examples.</w:t>
      </w:r>
    </w:p>
    <w:p>
      <w:pPr>
        <w:pStyle w:val="Para 17"/>
      </w:pPr>
      <w:r>
        <w:t/>
      </w:r>
    </w:p>
    <w:p>
      <w:pPr>
        <w:pStyle w:val="Para 05"/>
      </w:pPr>
      <w:r>
        <w:rPr>
          <w:rStyle w:val="Text5"/>
        </w:rPr>
        <w:t>387</w:t>
      </w:r>
      <w:r>
        <w:rPr>
          <w:rStyle w:val="Text8"/>
        </w:rPr>
        <w:t xml:space="preserve"> </w:t>
      </w:r>
      <w:r>
        <w:t>https://netplan.readthedocs.io/en/latest/examples/</w:t>
      </w:r>
      <w:r>
        <w:rPr>
          <w:rStyle w:val="Text8"/>
        </w:rPr>
        <w:t xml:space="preserve"> </w:t>
      </w:r>
      <w:r>
        <w:rPr>
          <w:rStyle w:val="Text11"/>
        </w:rPr>
        <w:t>iSCSI Initiator Install</w:t>
      </w:r>
    </w:p>
    <w:p>
      <w:bookmarkStart w:id="631" w:name="page_4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8" name="index-429_1.png" descr="index-429_1.png"/>
            <wp:cNvGraphicFramePr>
              <a:graphicFrameLocks noChangeAspect="1"/>
            </wp:cNvGraphicFramePr>
            <a:graphic>
              <a:graphicData uri="http://schemas.openxmlformats.org/drawingml/2006/picture">
                <pic:pic>
                  <pic:nvPicPr>
                    <pic:cNvPr id="0" name="index-429_1.png" descr="index-429_1.png"/>
                    <pic:cNvPicPr/>
                  </pic:nvPicPr>
                  <pic:blipFill>
                    <a:blip r:embed="rId442"/>
                    <a:stretch>
                      <a:fillRect/>
                    </a:stretch>
                  </pic:blipFill>
                  <pic:spPr>
                    <a:xfrm>
                      <a:off x="0" y="0"/>
                      <a:ext cx="914400" cy="266700"/>
                    </a:xfrm>
                    <a:prstGeom prst="rect">
                      <a:avLst/>
                    </a:prstGeom>
                  </pic:spPr>
                </pic:pic>
              </a:graphicData>
            </a:graphic>
          </wp:anchor>
        </w:drawing>
      </w:r>
      <w:bookmarkEnd w:id="631"/>
    </w:p>
    <w:p>
      <w:pPr>
        <w:pStyle w:val="Para 17"/>
      </w:pPr>
      <w:r>
        <w:t/>
      </w:r>
    </w:p>
    <w:p>
      <w:pPr>
        <w:pStyle w:val="Normal"/>
      </w:pPr>
      <w:r>
        <w:t>To configure Ubuntu Server as an iSCSI initiator install the open-iscsi package. In a terminal enter:</w:t>
      </w:r>
    </w:p>
    <w:p>
      <w:pPr>
        <w:pStyle w:val="Normal"/>
      </w:pPr>
      <w:r>
        <w:t>$ sudo apt install open-iscsi</w:t>
      </w:r>
    </w:p>
    <w:p>
      <w:pPr>
        <w:pStyle w:val="Para 17"/>
      </w:pPr>
      <w:r>
        <w:t/>
      </w:r>
    </w:p>
    <w:p>
      <w:pPr>
        <w:pStyle w:val="Normal"/>
      </w:pPr>
      <w:r>
        <w:t>Once the package is installed you will find the following files:</w:t>
      </w:r>
    </w:p>
    <w:p>
      <w:pPr>
        <w:pStyle w:val="Para 04"/>
      </w:pPr>
      <w:r>
        <w:t>• /etc/iscsi/iscsid.conf</w:t>
      </w:r>
    </w:p>
    <w:p>
      <w:pPr>
        <w:pStyle w:val="Para 04"/>
      </w:pPr>
      <w:r>
        <w:t>• /etc/iscsi/initiatorname.iscsi</w:t>
      </w:r>
    </w:p>
    <w:p>
      <w:pPr>
        <w:pStyle w:val="Para 17"/>
      </w:pPr>
      <w:r>
        <w:t/>
      </w:r>
    </w:p>
    <w:p>
      <w:pPr>
        <w:pStyle w:val="Para 01"/>
      </w:pPr>
      <w:r>
        <w:t>iSCSI Initiator Configuration</w:t>
      </w:r>
    </w:p>
    <w:p>
      <w:pPr>
        <w:pStyle w:val="Para 17"/>
      </w:pPr>
      <w:r>
        <w:t/>
      </w:r>
    </w:p>
    <w:p>
      <w:pPr>
        <w:pStyle w:val="Normal"/>
      </w:pPr>
      <w:r>
        <w:t>Configure the main configuration file like the example below:</w:t>
      </w:r>
    </w:p>
    <w:p>
      <w:pPr>
        <w:pStyle w:val="Para 17"/>
      </w:pPr>
      <w:r>
        <w:t/>
      </w:r>
    </w:p>
    <w:p>
      <w:pPr>
        <w:pStyle w:val="Para 03"/>
      </w:pPr>
      <w:r>
        <w:t>/etc/iscsi/iscsid.conf</w:t>
      </w:r>
    </w:p>
    <w:p>
      <w:pPr>
        <w:pStyle w:val="Para 17"/>
      </w:pPr>
      <w:r>
        <w:t/>
      </w:r>
    </w:p>
    <w:p>
      <w:pPr>
        <w:pStyle w:val="Para 10"/>
      </w:pPr>
      <w:r>
        <w:t>### startup settings</w:t>
      </w:r>
    </w:p>
    <w:p>
      <w:pPr>
        <w:pStyle w:val="Para 10"/>
      </w:pPr>
      <w:r>
        <w:t>## will be controlled by systemd, leave as is</w:t>
      </w:r>
    </w:p>
    <w:p>
      <w:pPr>
        <w:pStyle w:val="Normal"/>
      </w:pPr>
      <w:r>
        <w:t>iscsid</w:t>
        <w:t>.</w:t>
        <w:t>startup</w:t>
        <w:t xml:space="preserve"> </w:t>
        <w:t>= /</w:t>
        <w:t>usr</w:t>
        <w:t>/</w:t>
        <w:t>sbin</w:t>
        <w:t>/</w:t>
        <w:t>iscsidnode</w:t>
        <w:t>.</w:t>
        <w:t>startup</w:t>
        <w:t xml:space="preserve"> </w:t>
        <w:t>=</w:t>
        <w:t xml:space="preserve"> </w:t>
        <w:t>manual</w:t>
      </w:r>
    </w:p>
    <w:p>
      <w:pPr>
        <w:pStyle w:val="Para 10"/>
      </w:pPr>
      <w:r>
        <w:t>### chap settings</w:t>
      </w:r>
    </w:p>
    <w:p>
      <w:pPr>
        <w:pStyle w:val="Para 10"/>
      </w:pPr>
      <w:r>
        <w:t># node.session.auth.authmethod = CHAP</w:t>
      </w:r>
    </w:p>
    <w:p>
      <w:pPr>
        <w:pStyle w:val="Para 10"/>
      </w:pPr>
      <w:r>
        <w:t>## authentication of initiator by target (session)</w:t>
      </w:r>
    </w:p>
    <w:p>
      <w:pPr>
        <w:pStyle w:val="Para 10"/>
      </w:pPr>
      <w:r>
        <w:t># node.session.auth.username = username</w:t>
      </w:r>
    </w:p>
    <w:p>
      <w:pPr>
        <w:pStyle w:val="Para 10"/>
      </w:pPr>
      <w:r>
        <w:t># node.session.auth.password = password</w:t>
      </w:r>
    </w:p>
    <w:p>
      <w:pPr>
        <w:pStyle w:val="Para 10"/>
      </w:pPr>
      <w:r>
        <w:t># discovery.sendtargets.auth.authmethod = CHAP</w:t>
      </w:r>
    </w:p>
    <w:p>
      <w:pPr>
        <w:pStyle w:val="Para 10"/>
      </w:pPr>
      <w:r>
        <w:t>## authentication of initiator by target (discovery)</w:t>
      </w:r>
    </w:p>
    <w:p>
      <w:pPr>
        <w:pStyle w:val="Para 10"/>
      </w:pPr>
      <w:r>
        <w:t># discovery.sendtargets.auth.username = username</w:t>
      </w:r>
    </w:p>
    <w:p>
      <w:pPr>
        <w:pStyle w:val="Para 10"/>
      </w:pPr>
      <w:r>
        <w:t># discovery.sendtargets.auth.password = password</w:t>
      </w:r>
    </w:p>
    <w:p>
      <w:pPr>
        <w:pStyle w:val="Para 10"/>
      </w:pPr>
      <w:r>
        <w:t>### timeouts</w:t>
      </w:r>
    </w:p>
    <w:p>
      <w:pPr>
        <w:pStyle w:val="Para 10"/>
      </w:pPr>
      <w:r>
        <w:t>## control how much time iscsi takes to propagate an error to the</w:t>
      </w:r>
      <w:r>
        <w:rPr>
          <w:rStyle w:val="Text3"/>
        </w:rPr>
        <w:t xml:space="preserve"> </w:t>
      </w:r>
      <w:r>
        <w:t>## upper layer. if using multipath, having 0 here is desirable</w:t>
      </w:r>
      <w:r>
        <w:rPr>
          <w:rStyle w:val="Text3"/>
        </w:rPr>
        <w:t xml:space="preserve"> </w:t>
      </w:r>
      <w:r>
        <w:t>## so multipath can handle path errors as quickly as possible</w:t>
      </w:r>
      <w:r>
        <w:rPr>
          <w:rStyle w:val="Text3"/>
        </w:rPr>
        <w:t xml:space="preserve"> </w:t>
      </w:r>
      <w:r>
        <w:t>## (and decide to queue or not if missing all paths)</w:t>
      </w:r>
    </w:p>
    <w:p>
      <w:pPr>
        <w:pStyle w:val="Normal"/>
      </w:pPr>
      <w:r>
        <w:t>node</w:t>
        <w:t>.</w:t>
        <w:t>session</w:t>
        <w:t>.</w:t>
        <w:t>timeo</w:t>
        <w:t>.</w:t>
        <w:t>replacement_timeout</w:t>
        <w:t xml:space="preserve"> </w:t>
        <w:t>=</w:t>
        <w:t xml:space="preserve"> </w:t>
        <w:t>0</w:t>
      </w:r>
    </w:p>
    <w:p>
      <w:pPr>
        <w:pStyle w:val="Normal"/>
      </w:pPr>
      <w:r>
        <w:t>node</w:t>
        <w:t>.</w:t>
        <w:t>conn[</w:t>
        <w:t>0</w:t>
        <w:t>]</w:t>
        <w:t>.</w:t>
        <w:t>timeo</w:t>
        <w:t>.</w:t>
        <w:t>login_timeout</w:t>
        <w:t xml:space="preserve"> </w:t>
        <w:t>=</w:t>
        <w:t xml:space="preserve"> </w:t>
        <w:t>15</w:t>
      </w:r>
    </w:p>
    <w:p>
      <w:pPr>
        <w:pStyle w:val="Normal"/>
      </w:pPr>
      <w:r>
        <w:t>node</w:t>
        <w:t>.</w:t>
        <w:t>conn[</w:t>
        <w:t>0</w:t>
        <w:t>]</w:t>
        <w:t>.</w:t>
        <w:t>timeo</w:t>
        <w:t>.</w:t>
        <w:t>logout_timeout</w:t>
        <w:t xml:space="preserve"> </w:t>
        <w:t>=</w:t>
        <w:t xml:space="preserve"> </w:t>
        <w:t>15</w:t>
      </w:r>
    </w:p>
    <w:p>
      <w:pPr>
        <w:pStyle w:val="Para 10"/>
      </w:pPr>
      <w:r>
        <w:t>## interval for a NOP-Out request (a ping to the target)</w:t>
      </w:r>
      <w:r>
        <w:rPr>
          <w:rStyle w:val="Text3"/>
        </w:rPr>
        <w:t xml:space="preserve"> </w:t>
        <w:t>node</w:t>
        <w:t>.</w:t>
        <w:t>conn[</w:t>
        <w:t>0</w:t>
        <w:t>]</w:t>
        <w:t>.</w:t>
        <w:t>timeo</w:t>
        <w:t>.</w:t>
        <w:t>noop_out_interval</w:t>
        <w:t xml:space="preserve"> </w:t>
        <w:t>=</w:t>
        <w:t xml:space="preserve"> </w:t>
        <w:t>5</w:t>
      </w:r>
    </w:p>
    <w:p>
      <w:pPr>
        <w:pStyle w:val="Para 10"/>
      </w:pPr>
      <w:r>
        <w:t>## and how much time to wait before declaring a timeout</w:t>
      </w:r>
      <w:r>
        <w:rPr>
          <w:rStyle w:val="Text3"/>
        </w:rPr>
        <w:t xml:space="preserve"> </w:t>
        <w:t>node</w:t>
        <w:t>.</w:t>
        <w:t>conn[</w:t>
        <w:t>0</w:t>
        <w:t>]</w:t>
        <w:t>.</w:t>
        <w:t>timeo</w:t>
        <w:t>.</w:t>
        <w:t>noop_out_timeout</w:t>
        <w:t xml:space="preserve"> </w:t>
        <w:t>=</w:t>
        <w:t xml:space="preserve"> </w:t>
        <w:t>5</w:t>
      </w:r>
    </w:p>
    <w:p>
      <w:pPr>
        <w:pStyle w:val="Para 09"/>
      </w:pPr>
      <w:r>
        <w:t>(continues on next page)</w:t>
      </w:r>
    </w:p>
    <w:p>
      <w:bookmarkStart w:id="632" w:name="page_4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39" name="index-430_1.png" descr="index-430_1.png"/>
            <wp:cNvGraphicFramePr>
              <a:graphicFrameLocks noChangeAspect="1"/>
            </wp:cNvGraphicFramePr>
            <a:graphic>
              <a:graphicData uri="http://schemas.openxmlformats.org/drawingml/2006/picture">
                <pic:pic>
                  <pic:nvPicPr>
                    <pic:cNvPr id="0" name="index-430_1.png" descr="index-430_1.png"/>
                    <pic:cNvPicPr/>
                  </pic:nvPicPr>
                  <pic:blipFill>
                    <a:blip r:embed="rId443"/>
                    <a:stretch>
                      <a:fillRect/>
                    </a:stretch>
                  </pic:blipFill>
                  <pic:spPr>
                    <a:xfrm>
                      <a:off x="0" y="0"/>
                      <a:ext cx="914400" cy="266700"/>
                    </a:xfrm>
                    <a:prstGeom prst="rect">
                      <a:avLst/>
                    </a:prstGeom>
                  </pic:spPr>
                </pic:pic>
              </a:graphicData>
            </a:graphic>
          </wp:anchor>
        </w:drawing>
      </w:r>
      <w:bookmarkEnd w:id="632"/>
    </w:p>
    <w:p>
      <w:pPr>
        <w:pStyle w:val="Para 09"/>
      </w:pPr>
      <w:r>
        <w:t>(continued from previous page)</w:t>
      </w:r>
    </w:p>
    <w:p>
      <w:pPr>
        <w:pStyle w:val="Normal"/>
      </w:pPr>
      <w:r>
        <w:rPr>
          <w:rStyle w:val="Text3"/>
        </w:rPr>
        <w:t>## default timeouts for error recovery logics (lu &amp; tgt resets)</w:t>
      </w:r>
      <w:r>
        <w:t xml:space="preserve"> </w:t>
        <w:t>node</w:t>
        <w:t>.</w:t>
        <w:t>session</w:t>
        <w:t>.</w:t>
        <w:t>err_timeo</w:t>
        <w:t>.</w:t>
        <w:t>abort_timeout</w:t>
        <w:t xml:space="preserve"> </w:t>
        <w:t>=</w:t>
        <w:t xml:space="preserve"> </w:t>
        <w:t>15</w:t>
        <w:t xml:space="preserve"> </w:t>
        <w:t>node</w:t>
        <w:t>.</w:t>
        <w:t>session</w:t>
        <w:t>.</w:t>
        <w:t>err_timeo</w:t>
        <w:t>.</w:t>
        <w:t>lu_reset_timeout</w:t>
        <w:t xml:space="preserve"> </w:t>
        <w:t>=</w:t>
        <w:t xml:space="preserve"> </w:t>
        <w:t>30</w:t>
        <w:t xml:space="preserve"> </w:t>
        <w:t>node</w:t>
        <w:t>.</w:t>
        <w:t>session</w:t>
        <w:t>.</w:t>
        <w:t>err_timeo</w:t>
        <w:t>.</w:t>
        <w:t>tgt_reset_timeout</w:t>
        <w:t xml:space="preserve"> </w:t>
        <w:t>=</w:t>
        <w:t xml:space="preserve"> </w:t>
        <w:t>30</w:t>
      </w:r>
    </w:p>
    <w:p>
      <w:pPr>
        <w:pStyle w:val="Para 10"/>
      </w:pPr>
      <w:r>
        <w:t>### retry</w:t>
      </w:r>
    </w:p>
    <w:p>
      <w:pPr>
        <w:pStyle w:val="Normal"/>
      </w:pPr>
      <w:r>
        <w:t>node</w:t>
        <w:t>.</w:t>
        <w:t>session</w:t>
        <w:t>.</w:t>
        <w:t>initial_login_retry_max</w:t>
        <w:t xml:space="preserve"> </w:t>
        <w:t>=</w:t>
        <w:t xml:space="preserve"> </w:t>
        <w:t>8</w:t>
      </w:r>
    </w:p>
    <w:p>
      <w:pPr>
        <w:pStyle w:val="Para 10"/>
      </w:pPr>
      <w:r>
        <w:t>### session and device queue depth</w:t>
      </w:r>
    </w:p>
    <w:p>
      <w:pPr>
        <w:pStyle w:val="Normal"/>
      </w:pPr>
      <w:r>
        <w:t>node</w:t>
        <w:t>.</w:t>
        <w:t>session</w:t>
        <w:t>.</w:t>
        <w:t>cmds_max</w:t>
        <w:t xml:space="preserve"> </w:t>
        <w:t>=</w:t>
        <w:t xml:space="preserve"> </w:t>
        <w:t>128</w:t>
      </w:r>
    </w:p>
    <w:p>
      <w:pPr>
        <w:pStyle w:val="Normal"/>
      </w:pPr>
      <w:r>
        <w:t>node</w:t>
        <w:t>.</w:t>
        <w:t>session</w:t>
        <w:t>.</w:t>
        <w:t>queue_depth</w:t>
        <w:t xml:space="preserve"> </w:t>
        <w:t>=</w:t>
        <w:t xml:space="preserve"> </w:t>
        <w:t>32</w:t>
      </w:r>
    </w:p>
    <w:p>
      <w:pPr>
        <w:pStyle w:val="Para 10"/>
      </w:pPr>
      <w:r>
        <w:t>### performance</w:t>
      </w:r>
    </w:p>
    <w:p>
      <w:pPr>
        <w:pStyle w:val="Normal"/>
      </w:pPr>
      <w:r>
        <w:t>node</w:t>
        <w:t>.</w:t>
        <w:t>session</w:t>
        <w:t>.</w:t>
        <w:t>xmit_thread_priority</w:t>
        <w:t xml:space="preserve"> </w:t>
        <w:t>= -</w:t>
        <w:t>20</w:t>
      </w:r>
    </w:p>
    <w:p>
      <w:pPr>
        <w:pStyle w:val="Para 17"/>
      </w:pPr>
      <w:r>
        <w:t/>
      </w:r>
    </w:p>
    <w:p>
      <w:pPr>
        <w:pStyle w:val="Normal"/>
      </w:pPr>
      <w:r>
        <w:t>and re-start the iSCSI daemon:</w:t>
      </w:r>
    </w:p>
    <w:p>
      <w:pPr>
        <w:pStyle w:val="Normal"/>
      </w:pPr>
      <w:r>
        <w:t>$ systemctl restart iscsid.service</w:t>
      </w:r>
    </w:p>
    <w:p>
      <w:pPr>
        <w:pStyle w:val="Para 17"/>
      </w:pPr>
      <w:r>
        <w:t/>
      </w:r>
    </w:p>
    <w:p>
      <w:pPr>
        <w:pStyle w:val="Normal"/>
      </w:pPr>
      <w:r>
        <w:t>This will set basic things up for the rest of configuration.</w:t>
      </w:r>
    </w:p>
    <w:p>
      <w:pPr>
        <w:pStyle w:val="Normal"/>
      </w:pPr>
      <w:r>
        <w:t>The other file mentioned:</w:t>
      </w:r>
    </w:p>
    <w:p>
      <w:pPr>
        <w:pStyle w:val="Para 17"/>
      </w:pPr>
      <w:r>
        <w:t/>
      </w:r>
    </w:p>
    <w:p>
      <w:pPr>
        <w:pStyle w:val="Para 03"/>
      </w:pPr>
      <w:r>
        <w:t>/etc/iscsi/initiatorname.iscsi</w:t>
      </w:r>
    </w:p>
    <w:p>
      <w:pPr>
        <w:pStyle w:val="Para 17"/>
      </w:pPr>
      <w:r>
        <w:t/>
      </w:r>
    </w:p>
    <w:p>
      <w:pPr>
        <w:pStyle w:val="Normal"/>
      </w:pPr>
      <w:r>
        <w:t>InitiatorName</w:t>
        <w:t>=</w:t>
        <w:t>iqn</w:t>
        <w:t>.2004</w:t>
        <w:t>-</w:t>
        <w:t>10.</w:t>
        <w:t>com</w:t>
        <w:t>.</w:t>
        <w:t>ubuntu:</w:t>
        <w:t>01</w:t>
        <w:t>:</w:t>
        <w:t>60</w:t>
        <w:t>f3517884c3</w:t>
      </w:r>
    </w:p>
    <w:p>
      <w:pPr>
        <w:pStyle w:val="Para 17"/>
      </w:pPr>
      <w:r>
        <w:t/>
      </w:r>
    </w:p>
    <w:p>
      <w:pPr>
        <w:pStyle w:val="Normal"/>
      </w:pPr>
      <w:r>
        <w:t>contains this node’s initiator name and is generated during open-iscsi package installation. If you modify this setting, make sure that you don’t have duplicates in the same iSCSI SAN (Storage Area Network).</w:t>
      </w:r>
    </w:p>
    <w:p>
      <w:pPr>
        <w:pStyle w:val="Para 17"/>
      </w:pPr>
      <w:r>
        <w:t/>
      </w:r>
    </w:p>
    <w:p>
      <w:pPr>
        <w:pStyle w:val="Para 01"/>
      </w:pPr>
      <w:r>
        <w:t>iSCSI Network Configuration</w:t>
      </w:r>
    </w:p>
    <w:p>
      <w:pPr>
        <w:pStyle w:val="Para 17"/>
      </w:pPr>
      <w:r>
        <w:t/>
      </w:r>
    </w:p>
    <w:p>
      <w:pPr>
        <w:pStyle w:val="Normal"/>
      </w:pPr>
      <w:r>
        <w:t>Before configuring the Logical Units that are going to be accessed by the initiator, it is im-portant to inform the iSCSI service what are the interfaces acting as paths.</w:t>
      </w:r>
    </w:p>
    <w:p>
      <w:pPr>
        <w:pStyle w:val="Normal"/>
      </w:pPr>
      <w:r>
        <w:t>A straightforward way to do that is by:</w:t>
      </w:r>
    </w:p>
    <w:p>
      <w:pPr>
        <w:pStyle w:val="Para 04"/>
      </w:pPr>
      <w:r>
        <w:t>• configuring the following environment variables</w:t>
      </w:r>
    </w:p>
    <w:p>
      <w:pPr>
        <w:pStyle w:val="Para 02"/>
      </w:pPr>
      <w:r>
        <w:t>$ iscsi01_ip=$(ip -4 -o addr show iscsi01 | sed -r 's:.* (([0-9]{1,3}\.){3}[0-9]{1,3}</w:t>
        <w:t xml:space="preserve"> </w:t>
        <w:t>)/.*:\1:')</w:t>
      </w:r>
    </w:p>
    <w:p>
      <w:pPr>
        <w:pStyle w:val="Para 02"/>
      </w:pPr>
      <w:r>
        <w:t>$ iscsi02_ip=$(ip -4 -o addr show iscsi02 | sed -r 's:.* (([0-9]{1,3}\.){3}[0-9]{1,3}</w:t>
        <w:t xml:space="preserve"> </w:t>
        <w:t>)/.*:\1:')</w:t>
      </w:r>
    </w:p>
    <w:p>
      <w:pPr>
        <w:pStyle w:val="Para 02"/>
      </w:pPr>
      <w:r>
        <w:t>$ iscsi01_mac=$(ip -o link show iscsi01 | sed -r 's:.*\s+link/ether (([0-f]{2}(\:|))</w:t>
        <w:t xml:space="preserve"> </w:t>
        <w:t>{6}).*:\1:g')</w:t>
      </w:r>
    </w:p>
    <w:p>
      <w:pPr>
        <w:pStyle w:val="Para 02"/>
      </w:pPr>
      <w:r>
        <w:t>$ iscsi02_mac=$(ip -o link show iscsi02 | sed -r 's:.*\s+link/ether (([0-f]{2}(\:|))</w:t>
        <w:t xml:space="preserve"> </w:t>
        <w:t>{6}).*:\1:g')</w:t>
      </w:r>
    </w:p>
    <w:p>
      <w:bookmarkStart w:id="633" w:name="page_4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0" name="index-431_1.png" descr="index-431_1.png"/>
            <wp:cNvGraphicFramePr>
              <a:graphicFrameLocks noChangeAspect="1"/>
            </wp:cNvGraphicFramePr>
            <a:graphic>
              <a:graphicData uri="http://schemas.openxmlformats.org/drawingml/2006/picture">
                <pic:pic>
                  <pic:nvPicPr>
                    <pic:cNvPr id="0" name="index-431_1.png" descr="index-431_1.png"/>
                    <pic:cNvPicPr/>
                  </pic:nvPicPr>
                  <pic:blipFill>
                    <a:blip r:embed="rId444"/>
                    <a:stretch>
                      <a:fillRect/>
                    </a:stretch>
                  </pic:blipFill>
                  <pic:spPr>
                    <a:xfrm>
                      <a:off x="0" y="0"/>
                      <a:ext cx="914400" cy="266700"/>
                    </a:xfrm>
                    <a:prstGeom prst="rect">
                      <a:avLst/>
                    </a:prstGeom>
                  </pic:spPr>
                </pic:pic>
              </a:graphicData>
            </a:graphic>
          </wp:anchor>
        </w:drawing>
      </w:r>
      <w:bookmarkEnd w:id="633"/>
    </w:p>
    <w:p>
      <w:pPr>
        <w:pStyle w:val="Para 04"/>
      </w:pPr>
      <w:r>
        <w:t xml:space="preserve">• configuring </w:t>
      </w:r>
      <w:r>
        <w:rPr>
          <w:rStyle w:val="Text0"/>
        </w:rPr>
        <w:t>iscsi01</w:t>
      </w:r>
      <w:r>
        <w:t xml:space="preserve"> interface</w:t>
      </w:r>
    </w:p>
    <w:p>
      <w:pPr>
        <w:pStyle w:val="Para 02"/>
      </w:pPr>
      <w:r>
        <w:t>$ sudo iscsiadm -m iface -I iscsi01 --op=new</w:t>
      </w:r>
    </w:p>
    <w:p>
      <w:pPr>
        <w:pStyle w:val="Para 02"/>
      </w:pPr>
      <w:r>
        <w:t>New interface iscsi01 added</w:t>
      </w:r>
    </w:p>
    <w:p>
      <w:pPr>
        <w:pStyle w:val="Para 02"/>
      </w:pPr>
      <w:r>
        <w:t>$ sudo iscsiadm -m iface -I iscsi01 --op=update -n iface.hwaddress -v $iscsi01_mac</w:t>
        <w:t xml:space="preserve"> </w:t>
        <w:t>iscsi01 updated.</w:t>
      </w:r>
    </w:p>
    <w:p>
      <w:pPr>
        <w:pStyle w:val="Para 02"/>
      </w:pPr>
      <w:r>
        <w:t>$ sudo iscsiadm -m iface -I iscsi01 --op=update -n iface.ipaddress -v $iscsi01_ip</w:t>
        <w:t xml:space="preserve"> </w:t>
        <w:t>iscsi01 updated.</w:t>
      </w:r>
    </w:p>
    <w:p>
      <w:pPr>
        <w:pStyle w:val="Para 17"/>
      </w:pPr>
      <w:r>
        <w:t/>
      </w:r>
    </w:p>
    <w:p>
      <w:pPr>
        <w:pStyle w:val="Para 04"/>
      </w:pPr>
      <w:r>
        <w:t xml:space="preserve">• configuring </w:t>
      </w:r>
      <w:r>
        <w:rPr>
          <w:rStyle w:val="Text0"/>
        </w:rPr>
        <w:t>iscsi02</w:t>
      </w:r>
      <w:r>
        <w:t xml:space="preserve"> interface</w:t>
      </w:r>
    </w:p>
    <w:p>
      <w:pPr>
        <w:pStyle w:val="Para 02"/>
      </w:pPr>
      <w:r>
        <w:t>$ sudo iscsiadm -m iface -I iscsi02 --op=new</w:t>
      </w:r>
    </w:p>
    <w:p>
      <w:pPr>
        <w:pStyle w:val="Para 02"/>
      </w:pPr>
      <w:r>
        <w:t>New interface iscsi02 added</w:t>
      </w:r>
    </w:p>
    <w:p>
      <w:pPr>
        <w:pStyle w:val="Para 02"/>
      </w:pPr>
      <w:r>
        <w:t>$ sudo iscsiadm -m iface -I iscsi02 --op=update -n iface.hwaddress -v $iscsi02_mac</w:t>
        <w:t xml:space="preserve"> </w:t>
        <w:t>iscsi02 updated.</w:t>
      </w:r>
    </w:p>
    <w:p>
      <w:pPr>
        <w:pStyle w:val="Para 02"/>
      </w:pPr>
      <w:r>
        <w:t>$ sudo iscsiadm -m iface -I iscsi02 --op=update -n iface.ipaddress -v $iscsi02_ip</w:t>
        <w:t xml:space="preserve"> </w:t>
        <w:t>iscsi02 updated.</w:t>
      </w:r>
    </w:p>
    <w:p>
      <w:pPr>
        <w:pStyle w:val="Para 17"/>
      </w:pPr>
      <w:r>
        <w:t/>
      </w:r>
    </w:p>
    <w:p>
      <w:pPr>
        <w:pStyle w:val="Para 04"/>
      </w:pPr>
      <w:r>
        <w:t xml:space="preserve">• discovering the </w:t>
      </w:r>
      <w:r>
        <w:rPr>
          <w:rStyle w:val="Text0"/>
        </w:rPr>
        <w:t>targets</w:t>
      </w:r>
    </w:p>
    <w:p>
      <w:pPr>
        <w:pStyle w:val="Para 02"/>
      </w:pPr>
      <w:r>
        <w:t>$ sudo iscsiadm -m discovery -I iscsi01 --op=new --op=del --type sendtargets --portal</w:t>
        <w:t xml:space="preserve"> </w:t>
        <w:t>storage.iscsi01</w:t>
      </w:r>
    </w:p>
    <w:p>
      <w:pPr>
        <w:pStyle w:val="Para 02"/>
      </w:pPr>
      <w:r>
        <w:t>10.250.94.99:3260,1 iqn.2003-01.org.linux-iscsi.storage.x8664:sn.2c084c8320ca</w:t>
      </w:r>
    </w:p>
    <w:p>
      <w:pPr>
        <w:pStyle w:val="Para 02"/>
      </w:pPr>
      <w:r>
        <w:t>$ sudo iscsiadm -m discovery -I iscsi02 --op=new --op=del --type sendtargets --portal</w:t>
        <w:t xml:space="preserve"> </w:t>
        <w:t>storage.iscsi02</w:t>
      </w:r>
    </w:p>
    <w:p>
      <w:pPr>
        <w:pStyle w:val="Para 02"/>
      </w:pPr>
      <w:r>
        <w:t>10.250.93.99:3260,1 iqn.2003-01.org.linux-iscsi.storage.x8664:sn.2c084c8320ca</w:t>
      </w:r>
    </w:p>
    <w:p>
      <w:pPr>
        <w:pStyle w:val="Para 17"/>
      </w:pPr>
      <w:r>
        <w:t/>
      </w:r>
    </w:p>
    <w:p>
      <w:pPr>
        <w:pStyle w:val="Para 28"/>
      </w:pPr>
      <w:r>
        <w:rPr>
          <w:rStyle w:val="Text0"/>
        </w:rPr>
        <w:t xml:space="preserve">• configuring </w:t>
      </w:r>
      <w:r>
        <w:t>automatic login</w:t>
      </w:r>
    </w:p>
    <w:p>
      <w:pPr>
        <w:pStyle w:val="Para 02"/>
      </w:pPr>
      <w:r>
        <w:t>$ sudo iscsiadm -m node --op=update -n node.conn[0].startup -v automatic</w:t>
        <w:t xml:space="preserve"> </w:t>
        <w:t>$ sudo iscsiadm -m node --op=update -n node.startup -v automatic</w:t>
      </w:r>
    </w:p>
    <w:p>
      <w:pPr>
        <w:pStyle w:val="Para 17"/>
      </w:pPr>
      <w:r>
        <w:t/>
      </w:r>
    </w:p>
    <w:p>
      <w:pPr>
        <w:pStyle w:val="Para 04"/>
      </w:pPr>
      <w:r>
        <w:t xml:space="preserve">• make sure needed </w:t>
      </w:r>
      <w:r>
        <w:rPr>
          <w:rStyle w:val="Text0"/>
        </w:rPr>
        <w:t>services</w:t>
      </w:r>
      <w:r>
        <w:t xml:space="preserve"> are enabled during OS initialization:</w:t>
      </w:r>
    </w:p>
    <w:p>
      <w:pPr>
        <w:pStyle w:val="Para 02"/>
      </w:pPr>
      <w:r>
        <w:t>$ systemctl enable open-iscsi</w:t>
      </w:r>
    </w:p>
    <w:p>
      <w:pPr>
        <w:pStyle w:val="Para 02"/>
      </w:pPr>
      <w:r>
        <w:t>Synchronizing state of open-iscsi.service with SysV service script with /lib/systemd/</w:t>
        <w:t xml:space="preserve"> </w:t>
        <w:t>systemd-sysv-install.</w:t>
      </w:r>
    </w:p>
    <w:p>
      <w:pPr>
        <w:pStyle w:val="Para 02"/>
      </w:pPr>
      <w:r>
        <w:t>Executing: /lib/systemd/systemd-sysv-install enable open-iscsi</w:t>
        <w:t xml:space="preserve"> </w:t>
        <w:t>Created symlink /etc/systemd/system/iscsi.service � /lib/systemd/system/open-iscsi.</w:t>
        <w:t xml:space="preserve"> </w:t>
        <w:t>service.</w:t>
      </w:r>
    </w:p>
    <w:p>
      <w:pPr>
        <w:pStyle w:val="Para 02"/>
      </w:pPr>
      <w:r>
        <w:t>Created symlink /etc/systemd/system/sysinit.target.wants/open-iscsi.service � /lib/</w:t>
        <w:t xml:space="preserve"> </w:t>
        <w:t>systemd/system/open-iscsi.service.</w:t>
      </w:r>
    </w:p>
    <w:p>
      <w:pPr>
        <w:pStyle w:val="Para 02"/>
      </w:pPr>
      <w:r>
        <w:t>$ systemctl enable iscsid</w:t>
      </w:r>
    </w:p>
    <w:p>
      <w:pPr>
        <w:pStyle w:val="Para 02"/>
      </w:pPr>
      <w:r>
        <w:t>Synchronizing state of iscsid.service with SysV service script with /lib/systemd/</w:t>
        <w:t xml:space="preserve"> </w:t>
        <w:t>systemd-sysv-install.</w:t>
      </w:r>
    </w:p>
    <w:p>
      <w:pPr>
        <w:pStyle w:val="Para 02"/>
      </w:pPr>
      <w:r>
        <w:t>Executing: /lib/systemd/systemd-sysv-install enable iscsid</w:t>
        <w:t xml:space="preserve"> </w:t>
        <w:t>Created symlink /etc/systemd/system/sysinit.target.wants/iscsid.service � /lib/</w:t>
        <w:t xml:space="preserve"> </w:t>
        <w:t>systemd/system/iscsid.service.</w:t>
      </w:r>
    </w:p>
    <w:p>
      <w:pPr>
        <w:pStyle w:val="Para 17"/>
      </w:pPr>
      <w:r>
        <w:t/>
      </w:r>
    </w:p>
    <w:p>
      <w:pPr>
        <w:pStyle w:val="Para 04"/>
      </w:pPr>
      <w:r>
        <w:t xml:space="preserve">• restarting </w:t>
      </w:r>
      <w:r>
        <w:rPr>
          <w:rStyle w:val="Text0"/>
        </w:rPr>
        <w:t>iscsid</w:t>
      </w:r>
      <w:r>
        <w:t xml:space="preserve"> service</w:t>
      </w:r>
    </w:p>
    <w:p>
      <w:pPr>
        <w:pStyle w:val="Para 02"/>
      </w:pPr>
      <w:r>
        <w:t>$ systemctl restart iscsid.service</w:t>
      </w:r>
    </w:p>
    <w:p>
      <w:pPr>
        <w:pStyle w:val="Para 17"/>
      </w:pPr>
      <w:r>
        <w:t/>
      </w:r>
    </w:p>
    <w:p>
      <w:pPr>
        <w:pStyle w:val="Para 04"/>
      </w:pPr>
      <w:r>
        <w:t xml:space="preserve">• and, finally, </w:t>
      </w:r>
      <w:r>
        <w:rPr>
          <w:rStyle w:val="Text0"/>
        </w:rPr>
        <w:t>login in</w:t>
      </w:r>
      <w:r>
        <w:t xml:space="preserve"> discovered logical units</w:t>
      </w:r>
    </w:p>
    <w:p>
      <w:bookmarkStart w:id="634" w:name="page_4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1" name="index-432_1.png" descr="index-432_1.png"/>
            <wp:cNvGraphicFramePr>
              <a:graphicFrameLocks noChangeAspect="1"/>
            </wp:cNvGraphicFramePr>
            <a:graphic>
              <a:graphicData uri="http://schemas.openxmlformats.org/drawingml/2006/picture">
                <pic:pic>
                  <pic:nvPicPr>
                    <pic:cNvPr id="0" name="index-432_1.png" descr="index-432_1.png"/>
                    <pic:cNvPicPr/>
                  </pic:nvPicPr>
                  <pic:blipFill>
                    <a:blip r:embed="rId445"/>
                    <a:stretch>
                      <a:fillRect/>
                    </a:stretch>
                  </pic:blipFill>
                  <pic:spPr>
                    <a:xfrm>
                      <a:off x="0" y="0"/>
                      <a:ext cx="914400" cy="266700"/>
                    </a:xfrm>
                    <a:prstGeom prst="rect">
                      <a:avLst/>
                    </a:prstGeom>
                  </pic:spPr>
                </pic:pic>
              </a:graphicData>
            </a:graphic>
          </wp:anchor>
        </w:drawing>
      </w:r>
      <w:bookmarkEnd w:id="634"/>
    </w:p>
    <w:p>
      <w:pPr>
        <w:pStyle w:val="Para 02"/>
      </w:pPr>
      <w:r>
        <w:t>$ sudo iscsiadm -m node --loginall=automatic</w:t>
      </w:r>
    </w:p>
    <w:p>
      <w:pPr>
        <w:pStyle w:val="Para 02"/>
      </w:pPr>
      <w:r>
        <w:t>Logging in to [iface: iscsi02, target: iqn.2003-01.org.linux-iscsi.storage.x8664:sn.</w:t>
        <w:t xml:space="preserve"> </w:t>
        <w:t>2c084c8320ca, portal: 10.250.93.99,3260] (multiple)</w:t>
      </w:r>
    </w:p>
    <w:p>
      <w:pPr>
        <w:pStyle w:val="Para 02"/>
      </w:pPr>
      <w:r>
        <w:t>Logging in to [iface: iscsi01, target: iqn.2003-01.org.linux-iscsi.storage.x8664:sn.</w:t>
        <w:t xml:space="preserve"> </w:t>
        <w:t>2c084c8320ca, portal: 10.250.94.99,3260] (multiple)</w:t>
      </w:r>
    </w:p>
    <w:p>
      <w:pPr>
        <w:pStyle w:val="Para 02"/>
      </w:pPr>
      <w:r>
        <w:t>Login to [iface: iscsi02, target: iqn.2003-01.org.linux-iscsi.storage.x8664:sn.</w:t>
        <w:t xml:space="preserve"> </w:t>
        <w:t>2c084c8320ca, portal: 10.250.93.99,3260] successful.</w:t>
      </w:r>
    </w:p>
    <w:p>
      <w:pPr>
        <w:pStyle w:val="Para 02"/>
      </w:pPr>
      <w:r>
        <w:t>Login to [iface: iscsi01, target: iqn.2003-01.org.linux-iscsi.storage.x8664:sn.</w:t>
        <w:t xml:space="preserve"> </w:t>
        <w:t>2c084c8320ca, portal: 10.250.94.99,3260] successful.</w:t>
      </w:r>
    </w:p>
    <w:p>
      <w:pPr>
        <w:pStyle w:val="Para 17"/>
      </w:pPr>
      <w:r>
        <w:t/>
      </w:r>
    </w:p>
    <w:p>
      <w:pPr>
        <w:pStyle w:val="Para 01"/>
      </w:pPr>
      <w:r>
        <w:t>Accessing the Logical Units (or LUNs)</w:t>
      </w:r>
    </w:p>
    <w:p>
      <w:pPr>
        <w:pStyle w:val="Para 17"/>
      </w:pPr>
      <w:r>
        <w:t/>
      </w:r>
    </w:p>
    <w:p>
      <w:pPr>
        <w:pStyle w:val="Normal"/>
      </w:pPr>
      <w:r>
        <w:t xml:space="preserve">Check </w:t>
      </w:r>
      <w:hyperlink w:anchor="page_679">
        <w:r>
          <w:rPr>
            <w:rStyle w:val="Text2"/>
          </w:rPr>
          <w:t>dmesg</w:t>
        </w:r>
      </w:hyperlink>
      <w:r>
        <w:t xml:space="preserve"> to make sure that the new disks have been detected:</w:t>
      </w:r>
    </w:p>
    <w:p>
      <w:pPr>
        <w:pStyle w:val="Para 17"/>
      </w:pPr>
      <w:r>
        <w:t/>
      </w:r>
    </w:p>
    <w:p>
      <w:pPr>
        <w:pStyle w:val="Para 03"/>
      </w:pPr>
      <w:r>
        <w:t>dmesg</w:t>
      </w:r>
    </w:p>
    <w:p>
      <w:pPr>
        <w:pStyle w:val="Para 17"/>
      </w:pPr>
      <w:r>
        <w:t/>
      </w:r>
    </w:p>
    <w:p>
      <w:pPr>
        <w:pStyle w:val="Normal"/>
      </w:pPr>
      <w:r>
        <w:t>[</w:t>
        <w:t xml:space="preserve"> </w:t>
        <w:t>166.840694</w:t>
        <w:t>] scsi</w:t>
        <w:t xml:space="preserve"> </w:t>
        <w:t>7</w:t>
        <w:t>:</w:t>
        <w:t>0</w:t>
        <w:t>:</w:t>
        <w:t>0</w:t>
        <w:t>:</w:t>
        <w:t>4</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166.840892</w:t>
        <w:t>] scsi</w:t>
        <w:t xml:space="preserve"> </w:t>
        <w:t>8</w:t>
        <w:t>:</w:t>
        <w:t>0</w:t>
        <w:t>:</w:t>
        <w:t>0</w:t>
        <w:t>:</w:t>
        <w:t>4</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166.841741</w:t>
        <w:t>] sd</w:t>
        <w:t xml:space="preserve"> </w:t>
        <w:t>7</w:t>
        <w:t>:</w:t>
        <w:t>0</w:t>
        <w:t>:</w:t>
        <w:t>0</w:t>
        <w:t>:</w:t>
        <w:t>4</w:t>
        <w:t>: Attached scsi generic sg2</w:t>
        <w:t xml:space="preserve"> </w:t>
        <w:t>type</w:t>
        <w:t xml:space="preserve"> </w:t>
        <w:t>0</w:t>
        <w:t xml:space="preserve"> </w:t>
        <w:t>[</w:t>
        <w:t xml:space="preserve"> </w:t>
        <w:t>166.841808</w:t>
        <w:t>] sd</w:t>
        <w:t xml:space="preserve"> </w:t>
        <w:t>8</w:t>
        <w:t>:</w:t>
        <w:t>0</w:t>
        <w:t>:</w:t>
        <w:t>0</w:t>
        <w:t>:</w:t>
        <w:t>4</w:t>
        <w:t>: Attached scsi generic sg3</w:t>
        <w:t xml:space="preserve"> </w:t>
        <w:t>type</w:t>
        <w:t xml:space="preserve"> </w:t>
        <w:t>0</w:t>
        <w:t xml:space="preserve"> </w:t>
        <w:t>[</w:t>
        <w:t xml:space="preserve"> </w:t>
        <w:t>166.842278</w:t>
        <w:t>] scsi</w:t>
        <w:t xml:space="preserve"> </w:t>
        <w:t>7</w:t>
        <w:t>:</w:t>
        <w:t>0</w:t>
        <w:t>:</w:t>
        <w:t>0</w:t>
        <w:t>:</w:t>
        <w:t>3</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166.842571</w:t>
        <w:t>] scsi</w:t>
        <w:t xml:space="preserve"> </w:t>
        <w:t>8</w:t>
        <w:t>:</w:t>
        <w:t>0</w:t>
        <w:t>:</w:t>
        <w:t>0</w:t>
        <w:t>:</w:t>
        <w:t>3</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166.843482</w:t>
        <w:t>] sd</w:t>
        <w:t xml:space="preserve"> </w:t>
        <w:t>8</w:t>
        <w:t>:</w:t>
        <w:t>0</w:t>
        <w:t>:</w:t>
        <w:t>0</w:t>
        <w:t>:</w:t>
        <w:t>3</w:t>
        <w:t>: Attached scsi generic sg4</w:t>
        <w:t xml:space="preserve"> </w:t>
        <w:t>type</w:t>
        <w:t xml:space="preserve"> </w:t>
        <w:t>0</w:t>
        <w:t xml:space="preserve"> </w:t>
        <w:t>[</w:t>
        <w:t xml:space="preserve"> </w:t>
        <w:t>166.843681</w:t>
        <w:t>] sd</w:t>
        <w:t xml:space="preserve"> </w:t>
        <w:t>7</w:t>
        <w:t>:</w:t>
        <w:t>0</w:t>
        <w:t>:</w:t>
        <w:t>0</w:t>
        <w:t>:</w:t>
        <w:t>3</w:t>
        <w:t>: Attached scsi generic sg5</w:t>
        <w:t xml:space="preserve"> </w:t>
        <w:t>type</w:t>
        <w:t xml:space="preserve"> </w:t>
        <w:t>0</w:t>
        <w:t xml:space="preserve"> </w:t>
        <w:t>[</w:t>
        <w:t xml:space="preserve"> </w:t>
        <w:t>166.843706</w:t>
        <w:t>] sd</w:t>
        <w:t xml:space="preserve"> </w:t>
        <w:t>8</w:t>
        <w:t>:</w:t>
        <w:t>0</w:t>
        <w:t>:</w:t>
        <w:t>0</w:t>
        <w:t>:</w:t>
        <w:t>4</w:t>
        <w:t>: [sdd]</w:t>
        <w:t xml:space="preserve"> </w:t>
        <w:t>2097152 512</w:t>
        <w:t>-</w:t>
        <w:t>byte logical blocks:</w:t>
        <w:t xml:space="preserve"> </w:t>
        <w:t>&gt;</w:t>
        <w:t xml:space="preserve"> </w:t>
        <w:t>(</w:t>
        <w:t>1.07</w:t>
        <w:t xml:space="preserve"> </w:t>
        <w:t>GB</w:t>
        <w:t>/</w:t>
        <w:t>1.00</w:t>
        <w:t xml:space="preserve"> </w:t>
        <w:t>GiB)</w:t>
        <w:t xml:space="preserve"> </w:t>
        <w:t>[</w:t>
        <w:t xml:space="preserve"> </w:t>
        <w:t>166.843884</w:t>
        <w:t>] scsi</w:t>
        <w:t xml:space="preserve"> </w:t>
        <w:t>8</w:t>
        <w:t>:</w:t>
        <w:t>0</w:t>
        <w:t>:</w:t>
        <w:t>0</w:t>
        <w:t>:</w:t>
        <w:t>2</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166.843971</w:t>
        <w:t>] sd</w:t>
        <w:t xml:space="preserve"> </w:t>
        <w:t>8</w:t>
        <w:t>:</w:t>
        <w:t>0</w:t>
        <w:t>:</w:t>
        <w:t>0</w:t>
        <w:t>:</w:t>
        <w:t>4</w:t>
        <w:t>: [sdd] Write Protect</w:t>
        <w:t xml:space="preserve"> </w:t>
      </w:r>
      <w:r>
        <w:rPr>
          <w:rStyle w:val="Text0"/>
        </w:rPr>
        <w:t>is</w:t>
      </w:r>
      <w:r>
        <w:t xml:space="preserve"> </w:t>
        <w:t>off</w:t>
        <w:t xml:space="preserve"> </w:t>
        <w:t>[</w:t>
        <w:t xml:space="preserve"> </w:t>
        <w:t>166.843972</w:t>
        <w:t>] sd</w:t>
        <w:t xml:space="preserve"> </w:t>
        <w:t>8</w:t>
        <w:t>:</w:t>
        <w:t>0</w:t>
        <w:t>:</w:t>
        <w:t>0</w:t>
        <w:t>:</w:t>
        <w:t>4</w:t>
        <w:t>: [sdd] Mode Sense:</w:t>
        <w:t xml:space="preserve"> </w:t>
        <w:t>2</w:t>
        <w:t>f</w:t>
        <w:t xml:space="preserve"> </w:t>
        <w:t>00 00 00</w:t>
        <w:t xml:space="preserve"> </w:t>
        <w:t>[</w:t>
        <w:t xml:space="preserve"> </w:t>
        <w:t>166.844127</w:t>
        <w:t>] scsi</w:t>
        <w:t xml:space="preserve"> </w:t>
        <w:t>7</w:t>
        <w:t>:</w:t>
        <w:t>0</w:t>
        <w:t>:</w:t>
        <w:t>0</w:t>
        <w:t>:</w:t>
        <w:t>2</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166.844232</w:t>
        <w:t>] sd</w:t>
        <w:t xml:space="preserve"> </w:t>
        <w:t>7</w:t>
        <w:t>:</w:t>
        <w:t>0</w:t>
        <w:t>:</w:t>
        <w:t>0</w:t>
        <w:t>:</w:t>
        <w:t>4</w:t>
        <w:t>: [sdc]</w:t>
        <w:t xml:space="preserve"> </w:t>
        <w:t>2097152 512</w:t>
        <w:t>-</w:t>
        <w:t>byte logical blocks:</w:t>
        <w:t xml:space="preserve"> </w:t>
        <w:t>&gt;</w:t>
        <w:t xml:space="preserve"> </w:t>
        <w:t>(</w:t>
        <w:t>1.07</w:t>
        <w:t xml:space="preserve"> </w:t>
        <w:t>GB</w:t>
        <w:t>/</w:t>
        <w:t>1.00</w:t>
        <w:t xml:space="preserve"> </w:t>
        <w:t>GiB)</w:t>
        <w:t xml:space="preserve"> </w:t>
        <w:t>[</w:t>
        <w:t xml:space="preserve"> </w:t>
        <w:t>166.844421</w:t>
        <w:t>] sd</w:t>
        <w:t xml:space="preserve"> </w:t>
        <w:t>8</w:t>
        <w:t>:</w:t>
        <w:t>0</w:t>
        <w:t>:</w:t>
        <w:t>0</w:t>
        <w:t>:</w:t>
        <w:t>4</w:t>
        <w:t>: [sdd] Write cache: enabled, read cache:</w:t>
        <w:t xml:space="preserve"> </w:t>
        <w:t>&gt;</w:t>
        <w:t xml:space="preserve"> </w:t>
        <w:t>enabled, doesn</w:t>
        <w:t>'t</w:t>
        <w:t xml:space="preserve"> </w:t>
        <w:t>support DPO or FUA</w:t>
      </w:r>
    </w:p>
    <w:p>
      <w:pPr>
        <w:pStyle w:val="Normal"/>
      </w:pPr>
      <w:r>
        <w:t>[</w:t>
        <w:t xml:space="preserve"> </w:t>
        <w:t>166.844566</w:t>
        <w:t>] sd</w:t>
        <w:t xml:space="preserve"> </w:t>
        <w:t>7</w:t>
        <w:t>:</w:t>
        <w:t>0</w:t>
        <w:t>:</w:t>
        <w:t>0</w:t>
        <w:t>:</w:t>
        <w:t>4</w:t>
        <w:t>: [sdc] Write Protect</w:t>
        <w:t xml:space="preserve"> </w:t>
      </w:r>
      <w:r>
        <w:rPr>
          <w:rStyle w:val="Text0"/>
        </w:rPr>
        <w:t>is</w:t>
      </w:r>
      <w:r>
        <w:t xml:space="preserve"> </w:t>
        <w:t>off</w:t>
        <w:t xml:space="preserve"> </w:t>
        <w:t>[</w:t>
        <w:t xml:space="preserve"> </w:t>
        <w:t>166.844568</w:t>
        <w:t>] sd</w:t>
        <w:t xml:space="preserve"> </w:t>
        <w:t>7</w:t>
        <w:t>:</w:t>
        <w:t>0</w:t>
        <w:t>:</w:t>
        <w:t>0</w:t>
        <w:t>:</w:t>
        <w:t>4</w:t>
        <w:t>: [sdc] Mode Sense:</w:t>
        <w:t xml:space="preserve"> </w:t>
        <w:t>2</w:t>
        <w:t>f</w:t>
        <w:t xml:space="preserve"> </w:t>
        <w:t>00 00 00</w:t>
        <w:t xml:space="preserve"> </w:t>
        <w:t>[</w:t>
        <w:t xml:space="preserve"> </w:t>
        <w:t>166.844846</w:t>
        <w:t>] sd</w:t>
        <w:t xml:space="preserve"> </w:t>
        <w:t>8</w:t>
        <w:t>:</w:t>
        <w:t>0</w:t>
        <w:t>:</w:t>
        <w:t>0</w:t>
        <w:t>:</w:t>
        <w:t>2</w:t>
        <w:t>: Attached scsi generic sg6</w:t>
        <w:t xml:space="preserve"> </w:t>
        <w:t>type</w:t>
        <w:t xml:space="preserve"> </w:t>
        <w:t>0</w:t>
        <w:t xml:space="preserve"> </w:t>
        <w:t>[</w:t>
        <w:t xml:space="preserve"> </w:t>
        <w:t>166.845147</w:t>
        <w:t>] sd</w:t>
        <w:t xml:space="preserve"> </w:t>
        <w:t>7</w:t>
        <w:t>:</w:t>
        <w:t>0</w:t>
        <w:t>:</w:t>
        <w:t>0</w:t>
        <w:t>:</w:t>
        <w:t>4</w:t>
        <w:t>: [sdc] Write cache: enabled, read cache:</w:t>
        <w:t xml:space="preserve"> </w:t>
        <w:t>&gt;</w:t>
        <w:t xml:space="preserve"> </w:t>
        <w:t>enabled, doesn</w:t>
        <w:t>'t</w:t>
        <w:t xml:space="preserve"> </w:t>
        <w:t>support DPO or FUA</w:t>
      </w:r>
    </w:p>
    <w:p>
      <w:pPr>
        <w:pStyle w:val="Normal"/>
      </w:pPr>
      <w:r>
        <w:t>[</w:t>
        <w:t xml:space="preserve"> </w:t>
        <w:t>166.845188</w:t>
        <w:t>] sd</w:t>
        <w:t xml:space="preserve"> </w:t>
        <w:t>8</w:t>
        <w:t>:</w:t>
        <w:t>0</w:t>
        <w:t>:</w:t>
        <w:t>0</w:t>
        <w:t>:</w:t>
        <w:t>4</w:t>
        <w:t>: [sdd] Optimal transfer size</w:t>
        <w:t xml:space="preserve"> </w:t>
        <w:t>65536</w:t>
        <w:t xml:space="preserve"> </w:t>
        <w:t>bytes</w:t>
        <w:t xml:space="preserve"> </w:t>
        <w:t>[</w:t>
        <w:t xml:space="preserve"> </w:t>
        <w:t>166.845527</w:t>
        <w:t>] sd</w:t>
        <w:t xml:space="preserve"> </w:t>
        <w:t>7</w:t>
        <w:t>:</w:t>
        <w:t>0</w:t>
        <w:t>:</w:t>
        <w:t>0</w:t>
        <w:t>:</w:t>
        <w:t>2</w:t>
        <w:t>: Attached scsi generic sg7</w:t>
        <w:t xml:space="preserve"> </w:t>
        <w:t>type</w:t>
        <w:t xml:space="preserve"> </w:t>
        <w:t>0</w:t>
        <w:t xml:space="preserve"> </w:t>
        <w:t>[</w:t>
        <w:t xml:space="preserve"> </w:t>
        <w:t>166.845678</w:t>
        <w:t>] sd</w:t>
        <w:t xml:space="preserve"> </w:t>
        <w:t>8</w:t>
        <w:t>:</w:t>
        <w:t>0</w:t>
        <w:t>:</w:t>
        <w:t>0</w:t>
        <w:t>:</w:t>
        <w:t>3</w:t>
        <w:t>: [sde]</w:t>
        <w:t xml:space="preserve"> </w:t>
        <w:t>2097152 512</w:t>
        <w:t>-</w:t>
        <w:t>byte logical blocks:</w:t>
        <w:t xml:space="preserve"> </w:t>
        <w:t>&gt;</w:t>
        <w:t xml:space="preserve"> </w:t>
        <w:t>(</w:t>
        <w:t>1.07</w:t>
        <w:t xml:space="preserve"> </w:t>
        <w:t>GB</w:t>
        <w:t>/</w:t>
        <w:t>1.00</w:t>
        <w:t xml:space="preserve"> </w:t>
        <w:t>GiB)</w:t>
        <w:t xml:space="preserve"> </w:t>
        <w:t>[</w:t>
        <w:t xml:space="preserve"> </w:t>
        <w:t>166.845785</w:t>
        <w:t>] scsi</w:t>
        <w:t xml:space="preserve"> </w:t>
        <w:t>8</w:t>
        <w:t>:</w:t>
        <w:t>0</w:t>
        <w:t>:</w:t>
        <w:t>0</w:t>
        <w:t>:</w:t>
        <w:t>1</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166.845799</w:t>
        <w:t>] sd</w:t>
        <w:t xml:space="preserve"> </w:t>
        <w:t>7</w:t>
        <w:t>:</w:t>
        <w:t>0</w:t>
        <w:t>:</w:t>
        <w:t>0</w:t>
        <w:t>:</w:t>
        <w:t>4</w:t>
        <w:t>: [sdc] Optimal transfer size</w:t>
        <w:t xml:space="preserve"> </w:t>
        <w:t>65536</w:t>
        <w:t xml:space="preserve"> </w:t>
        <w:t>bytes</w:t>
        <w:t xml:space="preserve"> </w:t>
        <w:t>[</w:t>
        <w:t xml:space="preserve"> </w:t>
        <w:t>166.845931</w:t>
        <w:t>] sd</w:t>
        <w:t xml:space="preserve"> </w:t>
        <w:t>8</w:t>
        <w:t>:</w:t>
        <w:t>0</w:t>
        <w:t>:</w:t>
        <w:t>0</w:t>
        <w:t>:</w:t>
        <w:t>3</w:t>
        <w:t>: [sde] Write Protect</w:t>
        <w:t xml:space="preserve"> </w:t>
      </w:r>
      <w:r>
        <w:rPr>
          <w:rStyle w:val="Text0"/>
        </w:rPr>
        <w:t>is</w:t>
      </w:r>
      <w:r>
        <w:t xml:space="preserve"> </w:t>
        <w:t>off</w:t>
        <w:t xml:space="preserve"> </w:t>
        <w:t>[</w:t>
        <w:t xml:space="preserve"> </w:t>
        <w:t>166.845933</w:t>
        <w:t>] sd</w:t>
        <w:t xml:space="preserve"> </w:t>
        <w:t>8</w:t>
        <w:t>:</w:t>
        <w:t>0</w:t>
        <w:t>:</w:t>
        <w:t>0</w:t>
        <w:t>:</w:t>
        <w:t>3</w:t>
        <w:t>: [sde] Mode Sense:</w:t>
        <w:t xml:space="preserve"> </w:t>
        <w:t>2</w:t>
        <w:t>f</w:t>
        <w:t xml:space="preserve"> </w:t>
        <w:t>00 00 00</w:t>
        <w:t xml:space="preserve"> </w:t>
        <w:t>[</w:t>
        <w:t xml:space="preserve"> </w:t>
        <w:t>166.846424</w:t>
        <w:t>] scsi</w:t>
        <w:t xml:space="preserve"> </w:t>
        <w:t>7</w:t>
        <w:t>:</w:t>
        <w:t>0</w:t>
        <w:t>:</w:t>
        <w:t>0</w:t>
        <w:t>:</w:t>
        <w:t>1</w:t>
        <w:t>: Direct</w:t>
        <w:t>-</w:t>
        <w:t>Access</w:t>
        <w:t xml:space="preserve"> </w:t>
        <w:t>LIO</w:t>
        <w:t>-</w:t>
        <w:t>ORG</w:t>
        <w:t xml:space="preserve"> </w:t>
        <w:t>TCMU device</w:t>
        <w:t xml:space="preserve"> </w:t>
        <w:t>&gt;</w:t>
        <w:t xml:space="preserve"> </w:t>
        <w:t>0002</w:t>
        <w:t xml:space="preserve"> </w:t>
        <w:t>PQ:</w:t>
        <w:t xml:space="preserve"> </w:t>
        <w:t>0</w:t>
        <w:t xml:space="preserve"> </w:t>
        <w:t>ANSI:</w:t>
        <w:t xml:space="preserve"> </w:t>
        <w:t>5</w:t>
      </w:r>
    </w:p>
    <w:p>
      <w:pPr>
        <w:pStyle w:val="Normal"/>
      </w:pPr>
      <w:r>
        <w:t>[</w:t>
        <w:t xml:space="preserve"> </w:t>
        <w:t>166.846552</w:t>
        <w:t>] sd</w:t>
        <w:t xml:space="preserve"> </w:t>
        <w:t>8</w:t>
        <w:t>:</w:t>
        <w:t>0</w:t>
        <w:t>:</w:t>
        <w:t>0</w:t>
        <w:t>:</w:t>
        <w:t>3</w:t>
        <w:t>: [sde] Write cache: enabled, read cache:</w:t>
        <w:t xml:space="preserve"> </w:t>
        <w:t>&gt;</w:t>
        <w:t xml:space="preserve"> </w:t>
        <w:t>enabled, doesn</w:t>
        <w:t>'t</w:t>
      </w:r>
    </w:p>
    <w:p>
      <w:pPr>
        <w:pStyle w:val="Para 09"/>
      </w:pPr>
      <w:r>
        <w:t>(continues on next page)</w:t>
      </w:r>
    </w:p>
    <w:p>
      <w:bookmarkStart w:id="635" w:name="page_4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2" name="index-433_1.png" descr="index-433_1.png"/>
            <wp:cNvGraphicFramePr>
              <a:graphicFrameLocks noChangeAspect="1"/>
            </wp:cNvGraphicFramePr>
            <a:graphic>
              <a:graphicData uri="http://schemas.openxmlformats.org/drawingml/2006/picture">
                <pic:pic>
                  <pic:nvPicPr>
                    <pic:cNvPr id="0" name="index-433_1.png" descr="index-433_1.png"/>
                    <pic:cNvPicPr/>
                  </pic:nvPicPr>
                  <pic:blipFill>
                    <a:blip r:embed="rId446"/>
                    <a:stretch>
                      <a:fillRect/>
                    </a:stretch>
                  </pic:blipFill>
                  <pic:spPr>
                    <a:xfrm>
                      <a:off x="0" y="0"/>
                      <a:ext cx="914400" cy="266700"/>
                    </a:xfrm>
                    <a:prstGeom prst="rect">
                      <a:avLst/>
                    </a:prstGeom>
                  </pic:spPr>
                </pic:pic>
              </a:graphicData>
            </a:graphic>
          </wp:anchor>
        </w:drawing>
      </w:r>
      <w:bookmarkEnd w:id="635"/>
    </w:p>
    <w:p>
      <w:pPr>
        <w:pStyle w:val="Para 09"/>
      </w:pPr>
      <w:r>
        <w:t>(continued from previous page)</w:t>
      </w:r>
    </w:p>
    <w:p>
      <w:pPr>
        <w:pStyle w:val="Normal"/>
      </w:pPr>
      <w:r>
        <w:t>support DPO or FUA</w:t>
      </w:r>
    </w:p>
    <w:p>
      <w:pPr>
        <w:pStyle w:val="Normal"/>
      </w:pPr>
      <w:r>
        <w:t>[</w:t>
        <w:t xml:space="preserve"> </w:t>
        <w:t>166.846708</w:t>
        <w:t>] sd</w:t>
        <w:t xml:space="preserve"> </w:t>
        <w:t>7</w:t>
        <w:t>:</w:t>
        <w:t>0</w:t>
        <w:t>:</w:t>
        <w:t>0</w:t>
        <w:t>:</w:t>
        <w:t>3</w:t>
        <w:t>: [sdf]</w:t>
        <w:t xml:space="preserve"> </w:t>
        <w:t>2097152 512</w:t>
        <w:t>-</w:t>
        <w:t>byte logical blocks:</w:t>
        <w:t xml:space="preserve"> </w:t>
        <w:t>&gt;</w:t>
        <w:t xml:space="preserve"> </w:t>
        <w:t>(</w:t>
        <w:t>1.07</w:t>
        <w:t xml:space="preserve"> </w:t>
        <w:t>GB</w:t>
        <w:t>/</w:t>
        <w:t>1.00</w:t>
        <w:t xml:space="preserve"> </w:t>
        <w:t>GiB)</w:t>
        <w:t xml:space="preserve"> </w:t>
        <w:t>[</w:t>
        <w:t xml:space="preserve"> </w:t>
        <w:t>166.847024</w:t>
        <w:t>] sd</w:t>
        <w:t xml:space="preserve"> </w:t>
        <w:t>8</w:t>
        <w:t>:</w:t>
        <w:t>0</w:t>
        <w:t>:</w:t>
        <w:t>0</w:t>
        <w:t>:</w:t>
        <w:t>1</w:t>
        <w:t>: Attached scsi generic sg8</w:t>
        <w:t xml:space="preserve"> </w:t>
        <w:t>type</w:t>
        <w:t xml:space="preserve"> </w:t>
        <w:t>0</w:t>
        <w:t xml:space="preserve"> </w:t>
        <w:t>[</w:t>
        <w:t xml:space="preserve"> </w:t>
        <w:t>166.847029</w:t>
        <w:t>] sd</w:t>
        <w:t xml:space="preserve"> </w:t>
        <w:t>7</w:t>
        <w:t>:</w:t>
        <w:t>0</w:t>
        <w:t>:</w:t>
        <w:t>0</w:t>
        <w:t>:</w:t>
        <w:t>3</w:t>
        <w:t>: [sdf] Write Protect</w:t>
        <w:t xml:space="preserve"> </w:t>
      </w:r>
      <w:r>
        <w:rPr>
          <w:rStyle w:val="Text0"/>
        </w:rPr>
        <w:t>is</w:t>
      </w:r>
      <w:r>
        <w:t xml:space="preserve"> </w:t>
        <w:t>off</w:t>
        <w:t xml:space="preserve"> </w:t>
        <w:t>[</w:t>
        <w:t xml:space="preserve"> </w:t>
        <w:t>166.847031</w:t>
        <w:t>] sd</w:t>
        <w:t xml:space="preserve"> </w:t>
        <w:t>7</w:t>
        <w:t>:</w:t>
        <w:t>0</w:t>
        <w:t>:</w:t>
        <w:t>0</w:t>
        <w:t>:</w:t>
        <w:t>3</w:t>
        <w:t>: [sdf] Mode Sense:</w:t>
        <w:t xml:space="preserve"> </w:t>
        <w:t>2</w:t>
        <w:t>f</w:t>
        <w:t xml:space="preserve"> </w:t>
        <w:t>00 00 00</w:t>
        <w:t xml:space="preserve"> </w:t>
        <w:t>[</w:t>
        <w:t xml:space="preserve"> </w:t>
        <w:t>166.847043</w:t>
        <w:t>] sd</w:t>
        <w:t xml:space="preserve"> </w:t>
        <w:t>8</w:t>
        <w:t>:</w:t>
        <w:t>0</w:t>
        <w:t>:</w:t>
        <w:t>0</w:t>
        <w:t>:</w:t>
        <w:t>3</w:t>
        <w:t>: [sde] Optimal transfer size</w:t>
        <w:t xml:space="preserve"> </w:t>
        <w:t>65536</w:t>
        <w:t xml:space="preserve"> </w:t>
        <w:t>bytes</w:t>
        <w:t xml:space="preserve"> </w:t>
        <w:t>[</w:t>
        <w:t xml:space="preserve"> </w:t>
        <w:t>166.847133</w:t>
        <w:t>] sd</w:t>
        <w:t xml:space="preserve"> </w:t>
        <w:t>8</w:t>
        <w:t>:</w:t>
        <w:t>0</w:t>
        <w:t>:</w:t>
        <w:t>0</w:t>
        <w:t>:</w:t>
        <w:t>2</w:t>
        <w:t>: [sdg]</w:t>
        <w:t xml:space="preserve"> </w:t>
        <w:t>2097152 512</w:t>
        <w:t>-</w:t>
        <w:t>byte logical blocks:</w:t>
        <w:t xml:space="preserve"> </w:t>
        <w:t>&gt;</w:t>
        <w:t xml:space="preserve"> </w:t>
        <w:t>(</w:t>
        <w:t>1.07</w:t>
        <w:t xml:space="preserve"> </w:t>
        <w:t>GB</w:t>
        <w:t>/</w:t>
        <w:t>1.00</w:t>
        <w:t xml:space="preserve"> </w:t>
        <w:t>GiB)</w:t>
        <w:t xml:space="preserve"> </w:t>
        <w:t>[</w:t>
        <w:t xml:space="preserve"> </w:t>
        <w:t>166.849212</w:t>
        <w:t>] sd</w:t>
        <w:t xml:space="preserve"> </w:t>
        <w:t>8</w:t>
        <w:t>:</w:t>
        <w:t>0</w:t>
        <w:t>:</w:t>
        <w:t>0</w:t>
        <w:t>:</w:t>
        <w:t>2</w:t>
        <w:t>: [sdg] Write Protect</w:t>
        <w:t xml:space="preserve"> </w:t>
      </w:r>
      <w:r>
        <w:rPr>
          <w:rStyle w:val="Text0"/>
        </w:rPr>
        <w:t>is</w:t>
      </w:r>
      <w:r>
        <w:t xml:space="preserve"> </w:t>
        <w:t>off</w:t>
        <w:t xml:space="preserve"> </w:t>
        <w:t>[</w:t>
        <w:t xml:space="preserve"> </w:t>
        <w:t>166.849214</w:t>
        <w:t>] sd</w:t>
        <w:t xml:space="preserve"> </w:t>
        <w:t>8</w:t>
        <w:t>:</w:t>
        <w:t>0</w:t>
        <w:t>:</w:t>
        <w:t>0</w:t>
        <w:t>:</w:t>
        <w:t>2</w:t>
        <w:t>: [sdg] Mode Sense:</w:t>
        <w:t xml:space="preserve"> </w:t>
        <w:t>2</w:t>
        <w:t>f</w:t>
        <w:t xml:space="preserve"> </w:t>
        <w:t>00 00 00</w:t>
        <w:t xml:space="preserve"> </w:t>
        <w:t>[</w:t>
        <w:t xml:space="preserve"> </w:t>
        <w:t>166.849711</w:t>
        <w:t>] sd</w:t>
        <w:t xml:space="preserve"> </w:t>
        <w:t>7</w:t>
        <w:t>:</w:t>
        <w:t>0</w:t>
        <w:t>:</w:t>
        <w:t>0</w:t>
        <w:t>:</w:t>
        <w:t>3</w:t>
        <w:t>: [sdf] Write cache: enabled, read cache:</w:t>
        <w:t xml:space="preserve"> </w:t>
        <w:t>&gt;</w:t>
        <w:t xml:space="preserve"> </w:t>
        <w:t>enabled, doesn</w:t>
        <w:t>'t</w:t>
        <w:t xml:space="preserve"> </w:t>
        <w:t>support DPO or FUA</w:t>
      </w:r>
    </w:p>
    <w:p>
      <w:pPr>
        <w:pStyle w:val="Normal"/>
      </w:pPr>
      <w:r>
        <w:t>[</w:t>
        <w:t xml:space="preserve"> </w:t>
        <w:t>166.849718</w:t>
        <w:t>] sd</w:t>
        <w:t xml:space="preserve"> </w:t>
        <w:t>7</w:t>
        <w:t>:</w:t>
        <w:t>0</w:t>
        <w:t>:</w:t>
        <w:t>0</w:t>
        <w:t>:</w:t>
        <w:t>1</w:t>
        <w:t>: Attached scsi generic sg9</w:t>
        <w:t xml:space="preserve"> </w:t>
        <w:t>type</w:t>
        <w:t xml:space="preserve"> </w:t>
        <w:t>0</w:t>
        <w:t xml:space="preserve"> </w:t>
        <w:t>[</w:t>
        <w:t xml:space="preserve"> </w:t>
        <w:t>166.849721</w:t>
        <w:t>] sd</w:t>
        <w:t xml:space="preserve"> </w:t>
        <w:t>7</w:t>
        <w:t>:</w:t>
        <w:t>0</w:t>
        <w:t>:</w:t>
        <w:t>0</w:t>
        <w:t>:</w:t>
        <w:t>2</w:t>
        <w:t>: [sdh]</w:t>
        <w:t xml:space="preserve"> </w:t>
        <w:t>2097152 512</w:t>
        <w:t>-</w:t>
        <w:t>byte logical blocks:</w:t>
        <w:t xml:space="preserve"> </w:t>
        <w:t>&gt;</w:t>
        <w:t xml:space="preserve"> </w:t>
        <w:t>(</w:t>
        <w:t>1.07</w:t>
        <w:t xml:space="preserve"> </w:t>
        <w:t>GB</w:t>
        <w:t>/</w:t>
        <w:t>1.00</w:t>
        <w:t xml:space="preserve"> </w:t>
        <w:t>GiB)</w:t>
        <w:t xml:space="preserve"> </w:t>
        <w:t>[</w:t>
        <w:t xml:space="preserve"> </w:t>
        <w:t>166.853296</w:t>
        <w:t>] sd</w:t>
        <w:t xml:space="preserve"> </w:t>
        <w:t>8</w:t>
        <w:t>:</w:t>
        <w:t>0</w:t>
        <w:t>:</w:t>
        <w:t>0</w:t>
        <w:t>:</w:t>
        <w:t>2</w:t>
        <w:t>: [sdg] Write cache: enabled, read cache:</w:t>
        <w:t xml:space="preserve"> </w:t>
        <w:t>&gt;</w:t>
        <w:t xml:space="preserve"> </w:t>
        <w:t>enabled, doesn</w:t>
        <w:t>'t</w:t>
        <w:t xml:space="preserve"> </w:t>
        <w:t>support DPO or FUA</w:t>
      </w:r>
    </w:p>
    <w:p>
      <w:pPr>
        <w:pStyle w:val="Normal"/>
      </w:pPr>
      <w:r>
        <w:t>[</w:t>
        <w:t xml:space="preserve"> </w:t>
        <w:t>166.853721</w:t>
        <w:t>] sd</w:t>
        <w:t xml:space="preserve"> </w:t>
        <w:t>8</w:t>
        <w:t>:</w:t>
        <w:t>0</w:t>
        <w:t>:</w:t>
        <w:t>0</w:t>
        <w:t>:</w:t>
        <w:t>2</w:t>
        <w:t>: [sdg] Optimal transfer size</w:t>
        <w:t xml:space="preserve"> </w:t>
        <w:t>65536</w:t>
        <w:t xml:space="preserve"> </w:t>
        <w:t>bytes</w:t>
        <w:t xml:space="preserve"> </w:t>
        <w:t>[</w:t>
        <w:t xml:space="preserve"> </w:t>
        <w:t>166.853810</w:t>
        <w:t>] sd</w:t>
        <w:t xml:space="preserve"> </w:t>
        <w:t>7</w:t>
        <w:t>:</w:t>
        <w:t>0</w:t>
        <w:t>:</w:t>
        <w:t>0</w:t>
        <w:t>:</w:t>
        <w:t>2</w:t>
        <w:t>: [sdh] Write Protect</w:t>
        <w:t xml:space="preserve"> </w:t>
      </w:r>
      <w:r>
        <w:rPr>
          <w:rStyle w:val="Text0"/>
        </w:rPr>
        <w:t>is</w:t>
      </w:r>
      <w:r>
        <w:t xml:space="preserve"> </w:t>
        <w:t>off</w:t>
        <w:t xml:space="preserve"> </w:t>
        <w:t>[</w:t>
        <w:t xml:space="preserve"> </w:t>
        <w:t>166.853812</w:t>
        <w:t>] sd</w:t>
        <w:t xml:space="preserve"> </w:t>
        <w:t>7</w:t>
        <w:t>:</w:t>
        <w:t>0</w:t>
        <w:t>:</w:t>
        <w:t>0</w:t>
        <w:t>:</w:t>
        <w:t>2</w:t>
        <w:t>: [sdh] Mode Sense:</w:t>
        <w:t xml:space="preserve"> </w:t>
        <w:t>2</w:t>
        <w:t>f</w:t>
        <w:t xml:space="preserve"> </w:t>
        <w:t>00 00 00</w:t>
        <w:t xml:space="preserve"> </w:t>
        <w:t>[</w:t>
        <w:t xml:space="preserve"> </w:t>
        <w:t>166.854026</w:t>
        <w:t>] sd</w:t>
        <w:t xml:space="preserve"> </w:t>
        <w:t>7</w:t>
        <w:t>:</w:t>
        <w:t>0</w:t>
        <w:t>:</w:t>
        <w:t>0</w:t>
        <w:t>:</w:t>
        <w:t>3</w:t>
        <w:t>: [sdf] Optimal transfer size</w:t>
        <w:t xml:space="preserve"> </w:t>
        <w:t>65536</w:t>
        <w:t xml:space="preserve"> </w:t>
        <w:t>bytes</w:t>
        <w:t xml:space="preserve"> </w:t>
        <w:t>[</w:t>
        <w:t xml:space="preserve"> </w:t>
        <w:t>166.854431</w:t>
        <w:t>] sd</w:t>
        <w:t xml:space="preserve"> </w:t>
        <w:t>7</w:t>
        <w:t>:</w:t>
        <w:t>0</w:t>
        <w:t>:</w:t>
        <w:t>0</w:t>
        <w:t>:</w:t>
        <w:t>2</w:t>
        <w:t>: [sdh] Write cache: enabled, read cache:</w:t>
        <w:t xml:space="preserve"> </w:t>
        <w:t>&gt;</w:t>
        <w:t xml:space="preserve"> </w:t>
        <w:t>enabled, doesn</w:t>
        <w:t>'t</w:t>
        <w:t xml:space="preserve"> </w:t>
        <w:t>support DPO or FUA</w:t>
      </w:r>
    </w:p>
    <w:p>
      <w:pPr>
        <w:pStyle w:val="Normal"/>
      </w:pPr>
      <w:r>
        <w:t>[</w:t>
        <w:t xml:space="preserve"> </w:t>
        <w:t>166.854625</w:t>
        <w:t>] sd</w:t>
        <w:t xml:space="preserve"> </w:t>
        <w:t>8</w:t>
        <w:t>:</w:t>
        <w:t>0</w:t>
        <w:t>:</w:t>
        <w:t>0</w:t>
        <w:t>:</w:t>
        <w:t>1</w:t>
        <w:t>: [sdi]</w:t>
        <w:t xml:space="preserve"> </w:t>
        <w:t>2097152 512</w:t>
        <w:t>-</w:t>
        <w:t>byte logical blocks:</w:t>
        <w:t xml:space="preserve"> </w:t>
        <w:t>&gt;</w:t>
        <w:t xml:space="preserve"> </w:t>
        <w:t>(</w:t>
        <w:t>1.07</w:t>
        <w:t xml:space="preserve"> </w:t>
        <w:t>GB</w:t>
        <w:t>/</w:t>
        <w:t>1.00</w:t>
        <w:t xml:space="preserve"> </w:t>
        <w:t>GiB)</w:t>
        <w:t xml:space="preserve"> </w:t>
        <w:t>[</w:t>
        <w:t xml:space="preserve"> </w:t>
        <w:t>166.854898</w:t>
        <w:t>] sd</w:t>
        <w:t xml:space="preserve"> </w:t>
        <w:t>8</w:t>
        <w:t>:</w:t>
        <w:t>0</w:t>
        <w:t>:</w:t>
        <w:t>0</w:t>
        <w:t>:</w:t>
        <w:t>1</w:t>
        <w:t>: [sdi] Write Protect</w:t>
        <w:t xml:space="preserve"> </w:t>
      </w:r>
      <w:r>
        <w:rPr>
          <w:rStyle w:val="Text0"/>
        </w:rPr>
        <w:t>is</w:t>
      </w:r>
      <w:r>
        <w:t xml:space="preserve"> </w:t>
        <w:t>off</w:t>
        <w:t xml:space="preserve"> </w:t>
        <w:t>[</w:t>
        <w:t xml:space="preserve"> </w:t>
        <w:t>166.854900</w:t>
        <w:t>] sd</w:t>
        <w:t xml:space="preserve"> </w:t>
        <w:t>8</w:t>
        <w:t>:</w:t>
        <w:t>0</w:t>
        <w:t>:</w:t>
        <w:t>0</w:t>
        <w:t>:</w:t>
        <w:t>1</w:t>
        <w:t>: [sdi] Mode Sense:</w:t>
        <w:t xml:space="preserve"> </w:t>
        <w:t>2</w:t>
        <w:t>f</w:t>
        <w:t xml:space="preserve"> </w:t>
        <w:t>00 00 00</w:t>
        <w:t xml:space="preserve"> </w:t>
        <w:t>[</w:t>
        <w:t xml:space="preserve"> </w:t>
        <w:t>166.855022</w:t>
        <w:t>] sd</w:t>
        <w:t xml:space="preserve"> </w:t>
        <w:t>7</w:t>
        <w:t>:</w:t>
        <w:t>0</w:t>
        <w:t>:</w:t>
        <w:t>0</w:t>
        <w:t>:</w:t>
        <w:t>2</w:t>
        <w:t>: [sdh] Optimal transfer size</w:t>
        <w:t xml:space="preserve"> </w:t>
        <w:t>65536</w:t>
        <w:t xml:space="preserve"> </w:t>
        <w:t>bytes</w:t>
        <w:t xml:space="preserve"> </w:t>
        <w:t>[</w:t>
        <w:t xml:space="preserve"> </w:t>
        <w:t>166.855465</w:t>
        <w:t>] sd</w:t>
        <w:t xml:space="preserve"> </w:t>
        <w:t>8</w:t>
        <w:t>:</w:t>
        <w:t>0</w:t>
        <w:t>:</w:t>
        <w:t>0</w:t>
        <w:t>:</w:t>
        <w:t>1</w:t>
        <w:t>: [sdi] Write cache: enabled, read cache:</w:t>
        <w:t xml:space="preserve"> </w:t>
        <w:t>&gt;</w:t>
        <w:t xml:space="preserve"> </w:t>
        <w:t>enabled, doesn</w:t>
        <w:t>'t</w:t>
        <w:t xml:space="preserve"> </w:t>
        <w:t>support DPO or FUA</w:t>
      </w:r>
    </w:p>
    <w:p>
      <w:pPr>
        <w:pStyle w:val="Normal"/>
      </w:pPr>
      <w:r>
        <w:t>[</w:t>
        <w:t xml:space="preserve"> </w:t>
        <w:t>166.855578</w:t>
        <w:t>] sd</w:t>
        <w:t xml:space="preserve"> </w:t>
        <w:t>7</w:t>
        <w:t>:</w:t>
        <w:t>0</w:t>
        <w:t>:</w:t>
        <w:t>0</w:t>
        <w:t>:</w:t>
        <w:t>1</w:t>
        <w:t>: [sdj]</w:t>
        <w:t xml:space="preserve"> </w:t>
        <w:t>2097152 512</w:t>
        <w:t>-</w:t>
        <w:t>byte logical blocks:</w:t>
        <w:t xml:space="preserve"> </w:t>
        <w:t>&gt;</w:t>
        <w:t xml:space="preserve"> </w:t>
        <w:t>(</w:t>
        <w:t>1.07</w:t>
        <w:t xml:space="preserve"> </w:t>
        <w:t>GB</w:t>
        <w:t>/</w:t>
        <w:t>1.00</w:t>
        <w:t xml:space="preserve"> </w:t>
        <w:t>GiB)</w:t>
        <w:t xml:space="preserve"> </w:t>
        <w:t>[</w:t>
        <w:t xml:space="preserve"> </w:t>
        <w:t>166.855845</w:t>
        <w:t>] sd</w:t>
        <w:t xml:space="preserve"> </w:t>
        <w:t>7</w:t>
        <w:t>:</w:t>
        <w:t>0</w:t>
        <w:t>:</w:t>
        <w:t>0</w:t>
        <w:t>:</w:t>
        <w:t>1</w:t>
        <w:t>: [sdj] Write Protect</w:t>
        <w:t xml:space="preserve"> </w:t>
      </w:r>
      <w:r>
        <w:rPr>
          <w:rStyle w:val="Text0"/>
        </w:rPr>
        <w:t>is</w:t>
      </w:r>
      <w:r>
        <w:t xml:space="preserve"> </w:t>
        <w:t>off</w:t>
        <w:t xml:space="preserve"> </w:t>
        <w:t>[</w:t>
        <w:t xml:space="preserve"> </w:t>
        <w:t>166.855847</w:t>
        <w:t>] sd</w:t>
        <w:t xml:space="preserve"> </w:t>
        <w:t>7</w:t>
        <w:t>:</w:t>
        <w:t>0</w:t>
        <w:t>:</w:t>
        <w:t>0</w:t>
        <w:t>:</w:t>
        <w:t>1</w:t>
        <w:t>: [sdj] Mode Sense:</w:t>
        <w:t xml:space="preserve"> </w:t>
        <w:t>2</w:t>
        <w:t>f</w:t>
        <w:t xml:space="preserve"> </w:t>
        <w:t>00 00 00</w:t>
        <w:t xml:space="preserve"> </w:t>
        <w:t>[</w:t>
        <w:t xml:space="preserve"> </w:t>
        <w:t>166.855978</w:t>
        <w:t>] sd</w:t>
        <w:t xml:space="preserve"> </w:t>
        <w:t>8</w:t>
        <w:t>:</w:t>
        <w:t>0</w:t>
        <w:t>:</w:t>
        <w:t>0</w:t>
        <w:t>:</w:t>
        <w:t>1</w:t>
        <w:t>: [sdi] Optimal transfer size</w:t>
        <w:t xml:space="preserve"> </w:t>
        <w:t>65536</w:t>
        <w:t xml:space="preserve"> </w:t>
        <w:t>bytes</w:t>
        <w:t xml:space="preserve"> </w:t>
        <w:t>[</w:t>
        <w:t xml:space="preserve"> </w:t>
        <w:t>166.856305</w:t>
        <w:t>] sd</w:t>
        <w:t xml:space="preserve"> </w:t>
        <w:t>7</w:t>
        <w:t>:</w:t>
        <w:t>0</w:t>
        <w:t>:</w:t>
        <w:t>0</w:t>
        <w:t>:</w:t>
        <w:t>1</w:t>
        <w:t>: [sdj] Write cache: enabled, read cache:</w:t>
        <w:t xml:space="preserve"> </w:t>
        <w:t>&gt;</w:t>
        <w:t xml:space="preserve"> </w:t>
        <w:t>enabled, doesn</w:t>
        <w:t>'t</w:t>
        <w:t xml:space="preserve"> </w:t>
        <w:t>support DPO or FUA</w:t>
      </w:r>
    </w:p>
    <w:p>
      <w:pPr>
        <w:pStyle w:val="Normal"/>
      </w:pPr>
      <w:r>
        <w:t>[</w:t>
        <w:t xml:space="preserve"> </w:t>
        <w:t>166.856701</w:t>
        <w:t>] sd</w:t>
        <w:t xml:space="preserve"> </w:t>
        <w:t>7</w:t>
        <w:t>:</w:t>
        <w:t>0</w:t>
        <w:t>:</w:t>
        <w:t>0</w:t>
        <w:t>:</w:t>
        <w:t>1</w:t>
        <w:t>: [sdj] Optimal transfer size</w:t>
        <w:t xml:space="preserve"> </w:t>
        <w:t>65536</w:t>
        <w:t xml:space="preserve"> </w:t>
        <w:t>bytes</w:t>
        <w:t xml:space="preserve"> </w:t>
        <w:t>[</w:t>
        <w:t xml:space="preserve"> </w:t>
        <w:t>166.859624</w:t>
        <w:t>] sd</w:t>
        <w:t xml:space="preserve"> </w:t>
        <w:t>8</w:t>
        <w:t>:</w:t>
        <w:t>0</w:t>
        <w:t>:</w:t>
        <w:t>0</w:t>
        <w:t>:</w:t>
        <w:t>4</w:t>
        <w:t>: [sdd] Attached SCSI disk</w:t>
        <w:t xml:space="preserve"> </w:t>
        <w:t>[</w:t>
        <w:t xml:space="preserve"> </w:t>
        <w:t>166.861304</w:t>
        <w:t>] sd</w:t>
        <w:t xml:space="preserve"> </w:t>
        <w:t>7</w:t>
        <w:t>:</w:t>
        <w:t>0</w:t>
        <w:t>:</w:t>
        <w:t>0</w:t>
        <w:t>:</w:t>
        <w:t>4</w:t>
        <w:t>: [sdc] Attached SCSI disk</w:t>
        <w:t xml:space="preserve"> </w:t>
        <w:t>[</w:t>
        <w:t xml:space="preserve"> </w:t>
        <w:t>166.864409</w:t>
        <w:t>] sd</w:t>
        <w:t xml:space="preserve"> </w:t>
        <w:t>8</w:t>
        <w:t>:</w:t>
        <w:t>0</w:t>
        <w:t>:</w:t>
        <w:t>0</w:t>
        <w:t>:</w:t>
        <w:t>3</w:t>
        <w:t>: [sde] Attached SCSI disk</w:t>
        <w:t xml:space="preserve"> </w:t>
        <w:t>[</w:t>
        <w:t xml:space="preserve"> </w:t>
        <w:t>166.864833</w:t>
        <w:t>] sd</w:t>
        <w:t xml:space="preserve"> </w:t>
        <w:t>7</w:t>
        <w:t>:</w:t>
        <w:t>0</w:t>
        <w:t>:</w:t>
        <w:t>0</w:t>
        <w:t>:</w:t>
        <w:t>3</w:t>
        <w:t>: [sdf] Attached SCSI disk</w:t>
        <w:t xml:space="preserve"> </w:t>
        <w:t>[</w:t>
        <w:t xml:space="preserve"> </w:t>
        <w:t>166.867906</w:t>
        <w:t>] sd</w:t>
        <w:t xml:space="preserve"> </w:t>
        <w:t>8</w:t>
        <w:t>:</w:t>
        <w:t>0</w:t>
        <w:t>:</w:t>
        <w:t>0</w:t>
        <w:t>:</w:t>
        <w:t>2</w:t>
        <w:t>: [sdg] Attached SCSI disk</w:t>
        <w:t xml:space="preserve"> </w:t>
        <w:t>[</w:t>
        <w:t xml:space="preserve"> </w:t>
        <w:t>166.868446</w:t>
        <w:t>] sd</w:t>
        <w:t xml:space="preserve"> </w:t>
        <w:t>8</w:t>
        <w:t>:</w:t>
        <w:t>0</w:t>
        <w:t>:</w:t>
        <w:t>0</w:t>
        <w:t>:</w:t>
        <w:t>1</w:t>
        <w:t>: [sdi] Attached SCSI disk</w:t>
        <w:t xml:space="preserve"> </w:t>
        <w:t>[</w:t>
        <w:t xml:space="preserve"> </w:t>
        <w:t>166.871588</w:t>
        <w:t>] sd</w:t>
        <w:t xml:space="preserve"> </w:t>
        <w:t>7</w:t>
        <w:t>:</w:t>
        <w:t>0</w:t>
        <w:t>:</w:t>
        <w:t>0</w:t>
        <w:t>:</w:t>
        <w:t>1</w:t>
        <w:t>: [sdj] Attached SCSI disk</w:t>
        <w:t xml:space="preserve"> </w:t>
        <w:t>[</w:t>
        <w:t xml:space="preserve"> </w:t>
        <w:t>166.871773</w:t>
        <w:t>] sd</w:t>
        <w:t xml:space="preserve"> </w:t>
        <w:t>7</w:t>
        <w:t>:</w:t>
        <w:t>0</w:t>
        <w:t>:</w:t>
        <w:t>0</w:t>
        <w:t>:</w:t>
        <w:t>2</w:t>
        <w:t>: [sdh] Attached SCSI disk</w:t>
      </w:r>
    </w:p>
    <w:p>
      <w:pPr>
        <w:pStyle w:val="Para 17"/>
      </w:pPr>
      <w:r>
        <w:t/>
      </w:r>
    </w:p>
    <w:p>
      <w:pPr>
        <w:pStyle w:val="Normal"/>
      </w:pPr>
      <w:r>
        <w:t xml:space="preserve">In the output above you will find </w:t>
      </w:r>
      <w:r>
        <w:rPr>
          <w:rStyle w:val="Text0"/>
        </w:rPr>
        <w:t>8 x SCSI disks</w:t>
      </w:r>
      <w:r>
        <w:t xml:space="preserve"> recognized. The storage server is mapping </w:t>
      </w:r>
      <w:r>
        <w:rPr>
          <w:rStyle w:val="Text0"/>
        </w:rPr>
        <w:t>4 x LUNs</w:t>
      </w:r>
      <w:r>
        <w:t xml:space="preserve"> to this node, AND the node has </w:t>
      </w:r>
      <w:r>
        <w:rPr>
          <w:rStyle w:val="Text0"/>
        </w:rPr>
        <w:t>2 x PATHs</w:t>
      </w:r>
      <w:r>
        <w:t xml:space="preserve"> to each LUN. The OS recognizes each path to each device as 1 SCSI device.</w:t>
      </w:r>
    </w:p>
    <w:p>
      <w:pPr>
        <w:pStyle w:val="Normal"/>
      </w:pPr>
      <w:r>
        <w:t>You will find different output depending on the storage server your node is mapping the LUNs from, and the amount of LUNs being mapped as well.</w:t>
      </w:r>
    </w:p>
    <w:p>
      <w:pPr>
        <w:pStyle w:val="Normal"/>
      </w:pPr>
      <w:r>
        <w:t>Although not the objective of this session, let’s find the 4 mapped LUNs using multipath-tools.</w:t>
      </w:r>
    </w:p>
    <w:p>
      <w:pPr>
        <w:pStyle w:val="Normal"/>
      </w:pPr>
      <w:r>
        <w:t xml:space="preserve">You will find further details about multipath in </w:t>
      </w:r>
      <w:hyperlink w:anchor="page_861">
        <w:r>
          <w:rPr>
            <w:rStyle w:val="Text2"/>
          </w:rPr>
          <w:t>Introduction to device mapper multipathing</w:t>
        </w:r>
      </w:hyperlink>
    </w:p>
    <w:p>
      <w:pPr>
        <w:pStyle w:val="Para 20"/>
      </w:pPr>
      <w:hyperlink w:anchor="page_861">
        <w:r>
          <w:t>(“multipath”)</w:t>
        </w:r>
      </w:hyperlink>
      <w:r>
        <w:rPr>
          <w:rStyle w:val="Text4"/>
        </w:rPr>
        <w:t xml:space="preserve"> (page 860).</w:t>
      </w:r>
    </w:p>
    <w:p>
      <w:bookmarkStart w:id="636" w:name="page_4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3" name="index-434_1.png" descr="index-434_1.png"/>
            <wp:cNvGraphicFramePr>
              <a:graphicFrameLocks noChangeAspect="1"/>
            </wp:cNvGraphicFramePr>
            <a:graphic>
              <a:graphicData uri="http://schemas.openxmlformats.org/drawingml/2006/picture">
                <pic:pic>
                  <pic:nvPicPr>
                    <pic:cNvPr id="0" name="index-434_1.png" descr="index-434_1.png"/>
                    <pic:cNvPicPr/>
                  </pic:nvPicPr>
                  <pic:blipFill>
                    <a:blip r:embed="rId447"/>
                    <a:stretch>
                      <a:fillRect/>
                    </a:stretch>
                  </pic:blipFill>
                  <pic:spPr>
                    <a:xfrm>
                      <a:off x="0" y="0"/>
                      <a:ext cx="914400" cy="266700"/>
                    </a:xfrm>
                    <a:prstGeom prst="rect">
                      <a:avLst/>
                    </a:prstGeom>
                  </pic:spPr>
                </pic:pic>
              </a:graphicData>
            </a:graphic>
          </wp:anchor>
        </w:drawing>
      </w:r>
      <w:bookmarkEnd w:id="636"/>
    </w:p>
    <w:p>
      <w:pPr>
        <w:pStyle w:val="Normal"/>
      </w:pPr>
      <w:r>
        <w:t>$ apt-get install multipath-tools</w:t>
      </w:r>
    </w:p>
    <w:p>
      <w:pPr>
        <w:pStyle w:val="Para 17"/>
      </w:pPr>
      <w:r>
        <w:t/>
      </w:r>
    </w:p>
    <w:p>
      <w:pPr>
        <w:pStyle w:val="Normal"/>
      </w:pPr>
      <w:r>
        <w:t>$ sudo multipath -r</w:t>
      </w:r>
    </w:p>
    <w:p>
      <w:pPr>
        <w:pStyle w:val="Para 17"/>
      </w:pPr>
      <w:r>
        <w:t/>
      </w:r>
    </w:p>
    <w:p>
      <w:pPr>
        <w:pStyle w:val="Normal"/>
      </w:pPr>
      <w:r>
        <w:t>$ sudo multipath -ll</w:t>
      </w:r>
    </w:p>
    <w:p>
      <w:pPr>
        <w:pStyle w:val="Normal"/>
      </w:pPr>
      <w:r>
        <w:t>mpathd (360014051a042fb7c41c4249af9f2cfbc) dm-3 LIO-ORG,TCMU device</w:t>
        <w:t xml:space="preserve"> </w:t>
        <w:t>size=1.0G features='0' hwhandler='0' wp=rw</w:t>
      </w:r>
    </w:p>
    <w:p>
      <w:pPr>
        <w:pStyle w:val="Normal"/>
      </w:pPr>
      <w:r>
        <w:t>|-+- policy='service-time 0' prio=1 status=active</w:t>
      </w:r>
    </w:p>
    <w:p>
      <w:pPr>
        <w:pStyle w:val="Normal"/>
      </w:pPr>
      <w:r>
        <w:t>| `- 7:0:0:4 sde 8:64</w:t>
        <w:t xml:space="preserve"> </w:t>
        <w:t>active ready running</w:t>
        <w:t xml:space="preserve"> </w:t>
        <w:t>`-+- policy='service-time 0' prio=1 status=enabled</w:t>
      </w:r>
    </w:p>
    <w:p>
      <w:pPr>
        <w:pStyle w:val="Para 03"/>
      </w:pPr>
      <w:r>
        <w:t>`- 8:0:0:4 sdc 8:32</w:t>
        <w:t xml:space="preserve"> </w:t>
        <w:t>active ready running</w:t>
      </w:r>
    </w:p>
    <w:p>
      <w:pPr>
        <w:pStyle w:val="Normal"/>
      </w:pPr>
      <w:r>
        <w:t>mpathc (360014050d6871110232471d8bcd155a3) dm-2 LIO-ORG,TCMU device</w:t>
        <w:t xml:space="preserve"> </w:t>
        <w:t>size=1.0G features='0' hwhandler='0' wp=rw</w:t>
      </w:r>
    </w:p>
    <w:p>
      <w:pPr>
        <w:pStyle w:val="Normal"/>
      </w:pPr>
      <w:r>
        <w:t>|-+- policy='service-time 0' prio=1 status=active</w:t>
      </w:r>
    </w:p>
    <w:p>
      <w:pPr>
        <w:pStyle w:val="Normal"/>
      </w:pPr>
      <w:r>
        <w:t>| `- 7:0:0:3 sdf 8:80</w:t>
        <w:t xml:space="preserve"> </w:t>
        <w:t>active ready running</w:t>
        <w:t xml:space="preserve"> </w:t>
        <w:t>`-+- policy='service-time 0' prio=1 status=enabled</w:t>
      </w:r>
    </w:p>
    <w:p>
      <w:pPr>
        <w:pStyle w:val="Para 03"/>
      </w:pPr>
      <w:r>
        <w:t>`- 8:0:0:3 sdd 8:48</w:t>
        <w:t xml:space="preserve"> </w:t>
        <w:t>active ready running</w:t>
      </w:r>
    </w:p>
    <w:p>
      <w:pPr>
        <w:pStyle w:val="Normal"/>
      </w:pPr>
      <w:r>
        <w:t>mpathb (360014051f65c6cb11b74541b703ce1d4) dm-1 LIO-ORG,TCMU device</w:t>
        <w:t xml:space="preserve"> </w:t>
        <w:t>size=1.0G features='0' hwhandler='0' wp=rw</w:t>
      </w:r>
    </w:p>
    <w:p>
      <w:pPr>
        <w:pStyle w:val="Normal"/>
      </w:pPr>
      <w:r>
        <w:t>|-+- policy='service-time 0' prio=1 status=active</w:t>
      </w:r>
    </w:p>
    <w:p>
      <w:pPr>
        <w:pStyle w:val="Normal"/>
      </w:pPr>
      <w:r>
        <w:t>| `- 7:0:0:2 sdh 8:112 active ready running</w:t>
      </w:r>
    </w:p>
    <w:p>
      <w:pPr>
        <w:pStyle w:val="Normal"/>
      </w:pPr>
      <w:r>
        <w:t>`-+- policy='service-time 0' prio=1 status=enabled</w:t>
      </w:r>
    </w:p>
    <w:p>
      <w:pPr>
        <w:pStyle w:val="Para 03"/>
      </w:pPr>
      <w:r>
        <w:t>`- 8:0:0:2 sdg 8:96</w:t>
        <w:t xml:space="preserve"> </w:t>
        <w:t>active ready running</w:t>
      </w:r>
    </w:p>
    <w:p>
      <w:pPr>
        <w:pStyle w:val="Normal"/>
      </w:pPr>
      <w:r>
        <w:t>mpatha (36001405b816e24fcab64fb88332a3fc9) dm-0 LIO-ORG,TCMU device</w:t>
        <w:t xml:space="preserve"> </w:t>
        <w:t>size=1.0G features='0' hwhandler='0' wp=rw</w:t>
      </w:r>
    </w:p>
    <w:p>
      <w:pPr>
        <w:pStyle w:val="Normal"/>
      </w:pPr>
      <w:r>
        <w:t>|-+- policy='service-time 0' prio=1 status=active</w:t>
      </w:r>
    </w:p>
    <w:p>
      <w:pPr>
        <w:pStyle w:val="Normal"/>
      </w:pPr>
      <w:r>
        <w:t>| `- 7:0:0:1 sdj 8:144 active ready running</w:t>
      </w:r>
    </w:p>
    <w:p>
      <w:pPr>
        <w:pStyle w:val="Normal"/>
      </w:pPr>
      <w:r>
        <w:t>`-+- policy='service-time 0' prio=1 status=enabled</w:t>
      </w:r>
    </w:p>
    <w:p>
      <w:pPr>
        <w:pStyle w:val="Para 03"/>
      </w:pPr>
      <w:r>
        <w:t>`- 8:0:0:1 sdi 8:128 active ready running</w:t>
      </w:r>
    </w:p>
    <w:p>
      <w:pPr>
        <w:pStyle w:val="Para 17"/>
      </w:pPr>
      <w:r>
        <w:t/>
      </w:r>
    </w:p>
    <w:p>
      <w:pPr>
        <w:pStyle w:val="Normal"/>
      </w:pPr>
      <w:r>
        <w:t>Now it is much easier to understand each recognized SCSI device and common paths to same LUNs in the storage server. With the output above one can easily see that:</w:t>
      </w:r>
    </w:p>
    <w:p>
      <w:pPr>
        <w:pStyle w:val="Para 04"/>
      </w:pPr>
      <w:r>
        <w:t xml:space="preserve">• </w:t>
      </w:r>
      <w:r>
        <w:rPr>
          <w:rStyle w:val="Text0"/>
        </w:rPr>
        <w:t>mpatha device</w:t>
      </w:r>
      <w:r>
        <w:t xml:space="preserve"> (/dev/mapper/mpatha) is a multipath device for:</w:t>
      </w:r>
    </w:p>
    <w:p>
      <w:pPr>
        <w:pStyle w:val="Para 06"/>
      </w:pPr>
      <w:r>
        <w:rPr>
          <w:rStyle w:val="Text0"/>
        </w:rPr>
        <w:t>–</w:t>
      </w:r>
      <w:r>
        <w:t xml:space="preserve"> /dev/sdj</w:t>
      </w:r>
    </w:p>
    <w:p>
      <w:pPr>
        <w:pStyle w:val="Para 06"/>
      </w:pPr>
      <w:r>
        <w:rPr>
          <w:rStyle w:val="Text0"/>
        </w:rPr>
        <w:t>–</w:t>
      </w:r>
      <w:r>
        <w:t xml:space="preserve"> /dev/dsi</w:t>
      </w:r>
    </w:p>
    <w:p>
      <w:pPr>
        <w:pStyle w:val="Para 04"/>
      </w:pPr>
      <w:r>
        <w:t xml:space="preserve">• </w:t>
      </w:r>
      <w:r>
        <w:rPr>
          <w:rStyle w:val="Text0"/>
        </w:rPr>
        <w:t>mpathb device</w:t>
      </w:r>
      <w:r>
        <w:t xml:space="preserve"> (/dev/mapper/mpathb) is a multipath device for:</w:t>
      </w:r>
    </w:p>
    <w:p>
      <w:pPr>
        <w:pStyle w:val="Para 06"/>
      </w:pPr>
      <w:r>
        <w:rPr>
          <w:rStyle w:val="Text0"/>
        </w:rPr>
        <w:t>–</w:t>
      </w:r>
      <w:r>
        <w:t xml:space="preserve"> /dev/sdh</w:t>
      </w:r>
    </w:p>
    <w:p>
      <w:pPr>
        <w:pStyle w:val="Para 06"/>
      </w:pPr>
      <w:r>
        <w:rPr>
          <w:rStyle w:val="Text0"/>
        </w:rPr>
        <w:t>–</w:t>
      </w:r>
      <w:r>
        <w:t xml:space="preserve"> /dev/dsg</w:t>
      </w:r>
    </w:p>
    <w:p>
      <w:pPr>
        <w:pStyle w:val="Para 04"/>
      </w:pPr>
      <w:r>
        <w:t xml:space="preserve">• </w:t>
      </w:r>
      <w:r>
        <w:rPr>
          <w:rStyle w:val="Text0"/>
        </w:rPr>
        <w:t>mpathc device</w:t>
      </w:r>
      <w:r>
        <w:t xml:space="preserve"> (/dev/mapper/mpathc) is a multipath device for:</w:t>
      </w:r>
    </w:p>
    <w:p>
      <w:pPr>
        <w:pStyle w:val="Para 06"/>
      </w:pPr>
      <w:r>
        <w:rPr>
          <w:rStyle w:val="Text0"/>
        </w:rPr>
        <w:t>–</w:t>
      </w:r>
      <w:r>
        <w:t xml:space="preserve"> /dev/sdf</w:t>
      </w:r>
    </w:p>
    <w:p>
      <w:pPr>
        <w:pStyle w:val="Para 06"/>
      </w:pPr>
      <w:r>
        <w:rPr>
          <w:rStyle w:val="Text0"/>
        </w:rPr>
        <w:t>–</w:t>
      </w:r>
      <w:r>
        <w:t xml:space="preserve"> /dev/sdd</w:t>
      </w:r>
    </w:p>
    <w:p>
      <w:pPr>
        <w:pStyle w:val="Para 04"/>
      </w:pPr>
      <w:r>
        <w:t xml:space="preserve">• </w:t>
      </w:r>
      <w:r>
        <w:rPr>
          <w:rStyle w:val="Text0"/>
        </w:rPr>
        <w:t>mpathd device</w:t>
      </w:r>
      <w:r>
        <w:t xml:space="preserve"> (/dev/mapper/mpathd) is a multipath device for:</w:t>
      </w:r>
    </w:p>
    <w:p>
      <w:pPr>
        <w:pStyle w:val="Para 06"/>
      </w:pPr>
      <w:r>
        <w:rPr>
          <w:rStyle w:val="Text0"/>
        </w:rPr>
        <w:t>–</w:t>
      </w:r>
      <w:r>
        <w:t xml:space="preserve"> /dev/sde</w:t>
      </w:r>
    </w:p>
    <w:p>
      <w:pPr>
        <w:pStyle w:val="Para 06"/>
      </w:pPr>
      <w:r>
        <w:rPr>
          <w:rStyle w:val="Text0"/>
        </w:rPr>
        <w:t>–</w:t>
      </w:r>
      <w:r>
        <w:t xml:space="preserve"> /dev/sdc</w:t>
      </w:r>
    </w:p>
    <w:p>
      <w:bookmarkStart w:id="637" w:name="page_4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4" name="index-435_1.png" descr="index-435_1.png"/>
            <wp:cNvGraphicFramePr>
              <a:graphicFrameLocks noChangeAspect="1"/>
            </wp:cNvGraphicFramePr>
            <a:graphic>
              <a:graphicData uri="http://schemas.openxmlformats.org/drawingml/2006/picture">
                <pic:pic>
                  <pic:nvPicPr>
                    <pic:cNvPr id="0" name="index-435_1.png" descr="index-435_1.png"/>
                    <pic:cNvPicPr/>
                  </pic:nvPicPr>
                  <pic:blipFill>
                    <a:blip r:embed="rId448"/>
                    <a:stretch>
                      <a:fillRect/>
                    </a:stretch>
                  </pic:blipFill>
                  <pic:spPr>
                    <a:xfrm>
                      <a:off x="0" y="0"/>
                      <a:ext cx="914400" cy="266700"/>
                    </a:xfrm>
                    <a:prstGeom prst="rect">
                      <a:avLst/>
                    </a:prstGeom>
                  </pic:spPr>
                </pic:pic>
              </a:graphicData>
            </a:graphic>
          </wp:anchor>
        </w:drawing>
      </w:r>
      <w:bookmarkEnd w:id="637"/>
    </w:p>
    <w:p>
      <w:pPr>
        <w:pStyle w:val="Para 08"/>
      </w:pPr>
      <w:r>
        <w:t>Warning:</w:t>
      </w:r>
    </w:p>
    <w:p>
      <w:pPr>
        <w:pStyle w:val="Para 17"/>
      </w:pPr>
      <w:r>
        <w:t/>
      </w:r>
    </w:p>
    <w:p>
      <w:pPr>
        <w:pStyle w:val="Para 03"/>
      </w:pPr>
      <w:r>
        <w:rPr>
          <w:rStyle w:val="Text0"/>
        </w:rPr>
        <w:t>Do not use this in production</w:t>
      </w:r>
      <w:r>
        <w:t xml:space="preserve"> without checking appropriate multipath configuration op-</w:t>
      </w:r>
    </w:p>
    <w:p>
      <w:pPr>
        <w:pStyle w:val="Para 35"/>
      </w:pPr>
      <w:r>
        <w:rPr>
          <w:rStyle w:val="Text3"/>
        </w:rPr>
        <w:t xml:space="preserve">tions in the </w:t>
      </w:r>
      <w:r>
        <w:rPr>
          <w:rStyle w:val="Text17"/>
        </w:rPr>
        <w:t>Device Mapper Multipathing</w:t>
      </w:r>
      <w:r>
        <w:rPr>
          <w:rStyle w:val="Text3"/>
        </w:rPr>
        <w:t xml:space="preserve"> section. The </w:t>
      </w:r>
      <w:r>
        <w:t>default multipath configuration</w:t>
      </w:r>
      <w:r>
        <w:rPr>
          <w:rStyle w:val="Text3"/>
        </w:rPr>
        <w:t xml:space="preserve"> is</w:t>
      </w:r>
    </w:p>
    <w:p>
      <w:pPr>
        <w:pStyle w:val="Para 03"/>
      </w:pPr>
      <w:r>
        <w:t>sub-optimal for regular usage.</w:t>
      </w:r>
    </w:p>
    <w:p>
      <w:pPr>
        <w:pStyle w:val="Para 17"/>
      </w:pPr>
      <w:r>
        <w:t/>
      </w:r>
    </w:p>
    <w:p>
      <w:pPr>
        <w:pStyle w:val="Normal"/>
      </w:pPr>
      <w:r>
        <w:t>Finally, to access the LUN (or remote iSCSI disk) you will:</w:t>
      </w:r>
    </w:p>
    <w:p>
      <w:pPr>
        <w:pStyle w:val="Para 04"/>
      </w:pPr>
      <w:r>
        <w:t>• If accessing through a single network interface:</w:t>
      </w:r>
    </w:p>
    <w:p>
      <w:pPr>
        <w:pStyle w:val="Para 06"/>
      </w:pPr>
      <w:r>
        <w:rPr>
          <w:rStyle w:val="Text0"/>
        </w:rPr>
        <w:t>–</w:t>
      </w:r>
      <w:r>
        <w:t xml:space="preserve"> access it through /dev/sdX where X is a letter given by the OS</w:t>
      </w:r>
    </w:p>
    <w:p>
      <w:pPr>
        <w:pStyle w:val="Para 04"/>
      </w:pPr>
      <w:r>
        <w:t>• If accessing through multiple network interfaces:</w:t>
      </w:r>
    </w:p>
    <w:p>
      <w:pPr>
        <w:pStyle w:val="Para 06"/>
      </w:pPr>
      <w:r>
        <w:rPr>
          <w:rStyle w:val="Text0"/>
        </w:rPr>
        <w:t>–</w:t>
      </w:r>
      <w:r>
        <w:t xml:space="preserve"> configure multipath and access the device through /dev/mapper/X</w:t>
      </w:r>
    </w:p>
    <w:p>
      <w:pPr>
        <w:pStyle w:val="Normal"/>
      </w:pPr>
      <w:r>
        <w:t>For everything else, the created devices are block devices and all commands used with local disks should work the same way:</w:t>
      </w:r>
    </w:p>
    <w:p>
      <w:pPr>
        <w:pStyle w:val="Para 04"/>
      </w:pPr>
      <w:r>
        <w:t>• Creating a partition:</w:t>
      </w:r>
    </w:p>
    <w:p>
      <w:pPr>
        <w:pStyle w:val="Para 02"/>
      </w:pPr>
      <w:r>
        <w:t>$ sudo fdisk /dev/mapper/mpatha</w:t>
      </w:r>
    </w:p>
    <w:p>
      <w:pPr>
        <w:pStyle w:val="Para 02"/>
      </w:pPr>
      <w:r>
        <w:t>Welcome to fdisk (util-linux 2.34).</w:t>
      </w:r>
    </w:p>
    <w:p>
      <w:pPr>
        <w:pStyle w:val="Para 02"/>
      </w:pPr>
      <w:r>
        <w:t>Changes will remain in memory only, until you decide to write them.</w:t>
        <w:t xml:space="preserve"> </w:t>
        <w:t>Be careful before using the write command.</w:t>
      </w:r>
    </w:p>
    <w:p>
      <w:pPr>
        <w:pStyle w:val="Para 02"/>
      </w:pPr>
      <w:r>
        <w:t>Device does not contain a recognized partition table.</w:t>
      </w:r>
    </w:p>
    <w:p>
      <w:pPr>
        <w:pStyle w:val="Para 02"/>
      </w:pPr>
      <w:r>
        <w:t>Created a new DOS disklabel with disk identifier 0x92c0322a.</w:t>
      </w:r>
    </w:p>
    <w:p>
      <w:pPr>
        <w:pStyle w:val="Para 02"/>
      </w:pPr>
      <w:r>
        <w:t>Command (m for help): p</w:t>
      </w:r>
    </w:p>
    <w:p>
      <w:pPr>
        <w:pStyle w:val="Para 02"/>
      </w:pPr>
      <w:r>
        <w:t>Disk /dev/mapper/mpatha: 1 GiB, 1073741824 bytes, 2097152 sectors</w:t>
        <w:t xml:space="preserve"> </w:t>
        <w:t>Units: sectors of 1 * 512 = 512 bytes</w:t>
      </w:r>
    </w:p>
    <w:p>
      <w:pPr>
        <w:pStyle w:val="Para 02"/>
      </w:pPr>
      <w:r>
        <w:t>Sector size (logical/physical): 512 bytes / 512 bytes</w:t>
      </w:r>
    </w:p>
    <w:p>
      <w:pPr>
        <w:pStyle w:val="Para 02"/>
      </w:pPr>
      <w:r>
        <w:t>I/O size (minimum/optimal): 512 bytes / 65536 bytes</w:t>
      </w:r>
    </w:p>
    <w:p>
      <w:pPr>
        <w:pStyle w:val="Para 02"/>
      </w:pPr>
      <w:r>
        <w:t>Disklabel type: dos</w:t>
      </w:r>
    </w:p>
    <w:p>
      <w:pPr>
        <w:pStyle w:val="Para 02"/>
      </w:pPr>
      <w:r>
        <w:t>Disk identifier: 0x92c0322a</w:t>
      </w:r>
    </w:p>
    <w:p>
      <w:pPr>
        <w:pStyle w:val="Para 02"/>
      </w:pPr>
      <w:r>
        <w:t>Command (m for help): n</w:t>
      </w:r>
    </w:p>
    <w:p>
      <w:pPr>
        <w:pStyle w:val="Para 02"/>
      </w:pPr>
      <w:r>
        <w:t>Partition type</w:t>
      </w:r>
    </w:p>
    <w:p>
      <w:pPr>
        <w:pStyle w:val="Para 06"/>
      </w:pPr>
      <w:r>
        <w:t>p</w:t>
        <w:t xml:space="preserve"> </w:t>
        <w:t>primary (0 primary, 0 extended, 4 free)</w:t>
        <w:t xml:space="preserve"> </w:t>
        <w:t>e</w:t>
        <w:t xml:space="preserve"> </w:t>
        <w:t>extended (container for logical partitions)</w:t>
      </w:r>
    </w:p>
    <w:p>
      <w:pPr>
        <w:pStyle w:val="Para 02"/>
      </w:pPr>
      <w:r>
        <w:t>Select (default p): p</w:t>
      </w:r>
    </w:p>
    <w:p>
      <w:pPr>
        <w:pStyle w:val="Para 02"/>
      </w:pPr>
      <w:r>
        <w:t>Partition number (1-4, default 1):</w:t>
      </w:r>
    </w:p>
    <w:p>
      <w:pPr>
        <w:pStyle w:val="Para 02"/>
      </w:pPr>
      <w:r>
        <w:t>First sector (2048-2097151, default 2048):</w:t>
      </w:r>
    </w:p>
    <w:p>
      <w:pPr>
        <w:pStyle w:val="Para 02"/>
      </w:pPr>
      <w:r>
        <w:t>Last sector, +/-sectors or +/-size{K,M,G,T,P} (2048-2097151, default 2097151):</w:t>
      </w:r>
    </w:p>
    <w:p>
      <w:pPr>
        <w:pStyle w:val="Para 02"/>
      </w:pPr>
      <w:r>
        <w:t>Created a new partition 1 of type 'Linux' and of size 1023 MiB.</w:t>
      </w:r>
    </w:p>
    <w:p>
      <w:pPr>
        <w:pStyle w:val="Para 02"/>
      </w:pPr>
      <w:r>
        <w:t>Command (m for help): w</w:t>
      </w:r>
    </w:p>
    <w:p>
      <w:pPr>
        <w:pStyle w:val="Para 02"/>
      </w:pPr>
      <w:r>
        <w:t>The partition table has been altered.</w:t>
      </w:r>
    </w:p>
    <w:p>
      <w:pPr>
        <w:pStyle w:val="Para 17"/>
      </w:pPr>
      <w:r>
        <w:t/>
      </w:r>
    </w:p>
    <w:p>
      <w:pPr>
        <w:pStyle w:val="Para 04"/>
      </w:pPr>
      <w:r>
        <w:t xml:space="preserve">• Creating a </w:t>
      </w:r>
      <w:hyperlink w:anchor="page_682">
        <w:r>
          <w:rPr>
            <w:rStyle w:val="Text2"/>
          </w:rPr>
          <w:t>filesystem</w:t>
        </w:r>
      </w:hyperlink>
      <w:r>
        <w:t>:</w:t>
      </w:r>
    </w:p>
    <w:p>
      <w:pPr>
        <w:pStyle w:val="Para 02"/>
      </w:pPr>
      <w:r>
        <w:t>$ sudo mkfs.ext4 /dev/mapper/mpatha-part1</w:t>
      </w:r>
    </w:p>
    <w:p>
      <w:pPr>
        <w:pStyle w:val="Para 02"/>
      </w:pPr>
      <w:r>
        <w:t>mke2fs 1.45.5 (07-Jan-2020)</w:t>
      </w:r>
    </w:p>
    <w:p>
      <w:pPr>
        <w:pStyle w:val="Para 02"/>
      </w:pPr>
      <w:r>
        <w:t>Creating filesystem with 261888 4k blocks and 65536 inodes</w:t>
      </w:r>
    </w:p>
    <w:p>
      <w:pPr>
        <w:pStyle w:val="Para 09"/>
      </w:pPr>
      <w:r>
        <w:t>(continues on next page)</w:t>
      </w:r>
    </w:p>
    <w:p>
      <w:bookmarkStart w:id="638" w:name="page_4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5" name="index-436_1.png" descr="index-436_1.png"/>
            <wp:cNvGraphicFramePr>
              <a:graphicFrameLocks noChangeAspect="1"/>
            </wp:cNvGraphicFramePr>
            <a:graphic>
              <a:graphicData uri="http://schemas.openxmlformats.org/drawingml/2006/picture">
                <pic:pic>
                  <pic:nvPicPr>
                    <pic:cNvPr id="0" name="index-436_1.png" descr="index-436_1.png"/>
                    <pic:cNvPicPr/>
                  </pic:nvPicPr>
                  <pic:blipFill>
                    <a:blip r:embed="rId449"/>
                    <a:stretch>
                      <a:fillRect/>
                    </a:stretch>
                  </pic:blipFill>
                  <pic:spPr>
                    <a:xfrm>
                      <a:off x="0" y="0"/>
                      <a:ext cx="914400" cy="266700"/>
                    </a:xfrm>
                    <a:prstGeom prst="rect">
                      <a:avLst/>
                    </a:prstGeom>
                  </pic:spPr>
                </pic:pic>
              </a:graphicData>
            </a:graphic>
          </wp:anchor>
        </w:drawing>
      </w:r>
      <w:bookmarkEnd w:id="638"/>
    </w:p>
    <w:p>
      <w:pPr>
        <w:pStyle w:val="Para 09"/>
      </w:pPr>
      <w:r>
        <w:t>(continued from previous page)</w:t>
      </w:r>
    </w:p>
    <w:p>
      <w:pPr>
        <w:pStyle w:val="Para 02"/>
      </w:pPr>
      <w:r>
        <w:t>Filesystem UUID: cdb70b1e-c47c-47fd-9c4a-03db6f038988</w:t>
      </w:r>
    </w:p>
    <w:p>
      <w:pPr>
        <w:pStyle w:val="Para 02"/>
      </w:pPr>
      <w:r>
        <w:t>Superblock backups stored on blocks:</w:t>
      </w:r>
    </w:p>
    <w:p>
      <w:pPr>
        <w:pStyle w:val="Para 12"/>
      </w:pPr>
      <w:r>
        <w:t>32768, 98304, 163840, 229376</w:t>
      </w:r>
    </w:p>
    <w:p>
      <w:pPr>
        <w:pStyle w:val="Para 02"/>
      </w:pPr>
      <w:r>
        <w:t>Allocating group tables: done</w:t>
      </w:r>
    </w:p>
    <w:p>
      <w:pPr>
        <w:pStyle w:val="Para 02"/>
      </w:pPr>
      <w:r>
        <w:t>Writing inode tables: done</w:t>
      </w:r>
    </w:p>
    <w:p>
      <w:pPr>
        <w:pStyle w:val="Para 02"/>
      </w:pPr>
      <w:r>
        <w:t>Creating journal (4096 blocks): done</w:t>
      </w:r>
    </w:p>
    <w:p>
      <w:pPr>
        <w:pStyle w:val="Para 02"/>
      </w:pPr>
      <w:r>
        <w:t>Writing superblocks and filesystem accounting information: done</w:t>
      </w:r>
    </w:p>
    <w:p>
      <w:pPr>
        <w:pStyle w:val="Para 17"/>
      </w:pPr>
      <w:r>
        <w:t/>
      </w:r>
    </w:p>
    <w:p>
      <w:pPr>
        <w:pStyle w:val="Para 04"/>
      </w:pPr>
      <w:r>
        <w:t>• Mounting the block device:</w:t>
      </w:r>
    </w:p>
    <w:p>
      <w:pPr>
        <w:pStyle w:val="Para 02"/>
      </w:pPr>
      <w:r>
        <w:t>$ sudo mount /dev/mapper/mpatha-part1 /mnt</w:t>
      </w:r>
    </w:p>
    <w:p>
      <w:pPr>
        <w:pStyle w:val="Para 17"/>
      </w:pPr>
      <w:r>
        <w:t/>
      </w:r>
    </w:p>
    <w:p>
      <w:pPr>
        <w:pStyle w:val="Para 04"/>
      </w:pPr>
      <w:r>
        <w:t>• Accessing the data:</w:t>
      </w:r>
    </w:p>
    <w:p>
      <w:pPr>
        <w:pStyle w:val="Para 02"/>
      </w:pPr>
      <w:r>
        <w:t>$ ls /mnt</w:t>
      </w:r>
    </w:p>
    <w:p>
      <w:pPr>
        <w:pStyle w:val="Para 02"/>
      </w:pPr>
      <w:r>
        <w:t>lost+found</w:t>
      </w:r>
    </w:p>
    <w:p>
      <w:pPr>
        <w:pStyle w:val="Para 17"/>
      </w:pPr>
      <w:r>
        <w:t/>
      </w:r>
    </w:p>
    <w:p>
      <w:pPr>
        <w:pStyle w:val="Normal"/>
      </w:pPr>
      <w:r>
        <w:t>Make sure to read other important sessions in Ubuntu Server Guide to follow up with con-cepts explored in this one.</w:t>
      </w:r>
    </w:p>
    <w:p>
      <w:pPr>
        <w:pStyle w:val="Para 17"/>
      </w:pPr>
      <w:r>
        <w:t/>
      </w:r>
    </w:p>
    <w:p>
      <w:pPr>
        <w:pStyle w:val="Para 01"/>
      </w:pPr>
      <w:r>
        <w:t>Further reading</w:t>
      </w:r>
    </w:p>
    <w:p>
      <w:pPr>
        <w:pStyle w:val="Para 17"/>
      </w:pPr>
      <w:r>
        <w:t/>
      </w:r>
    </w:p>
    <w:p>
      <w:pPr>
        <w:pStyle w:val="Para 22"/>
      </w:pPr>
      <w:r>
        <w:rPr>
          <w:rStyle w:val="Text7"/>
        </w:rPr>
        <w:t xml:space="preserve">1. </w:t>
      </w:r>
      <w:hyperlink w:anchor="page_436">
        <w:r>
          <w:rPr>
            <w:rStyle w:val="Text10"/>
          </w:rPr>
          <w:t>388</w:t>
        </w:r>
      </w:hyperlink>
      <w:r>
        <w:rPr>
          <w:rStyle w:val="Text7"/>
        </w:rPr>
        <w:t xml:space="preserve"> </w:t>
      </w:r>
      <w:hyperlink r:id="rId1354">
        <w:r>
          <w:t>iscsid</w:t>
        </w:r>
      </w:hyperlink>
    </w:p>
    <w:p>
      <w:pPr>
        <w:pStyle w:val="Para 22"/>
      </w:pPr>
      <w:r>
        <w:rPr>
          <w:rStyle w:val="Text7"/>
        </w:rPr>
        <w:t xml:space="preserve">2. </w:t>
      </w:r>
      <w:hyperlink r:id="rId1355">
        <w:r>
          <w:rPr>
            <w:rStyle w:val="Text10"/>
          </w:rPr>
          <w:t>389</w:t>
        </w:r>
      </w:hyperlink>
      <w:hyperlink r:id="rId1355">
        <w:r>
          <w:t xml:space="preserve"> iscsi.conf</w:t>
        </w:r>
      </w:hyperlink>
    </w:p>
    <w:p>
      <w:pPr>
        <w:pStyle w:val="Para 22"/>
      </w:pPr>
      <w:r>
        <w:rPr>
          <w:rStyle w:val="Text7"/>
        </w:rPr>
        <w:t xml:space="preserve">3. </w:t>
      </w:r>
      <w:hyperlink r:id="rId1356">
        <w:r>
          <w:rPr>
            <w:rStyle w:val="Text10"/>
          </w:rPr>
          <w:t>390</w:t>
        </w:r>
      </w:hyperlink>
      <w:hyperlink r:id="rId1356">
        <w:r>
          <w:t xml:space="preserve"> iscsid.conf</w:t>
        </w:r>
      </w:hyperlink>
    </w:p>
    <w:p>
      <w:pPr>
        <w:pStyle w:val="Para 22"/>
      </w:pPr>
      <w:r>
        <w:rPr>
          <w:rStyle w:val="Text7"/>
        </w:rPr>
        <w:t xml:space="preserve">4. </w:t>
      </w:r>
      <w:hyperlink w:anchor="page_436">
        <w:r>
          <w:rPr>
            <w:rStyle w:val="Text10"/>
          </w:rPr>
          <w:t>391</w:t>
        </w:r>
      </w:hyperlink>
      <w:r>
        <w:rPr>
          <w:rStyle w:val="Text7"/>
        </w:rPr>
        <w:t xml:space="preserve"> </w:t>
      </w:r>
      <w:hyperlink r:id="rId1357">
        <w:r>
          <w:t>iscsi.service</w:t>
        </w:r>
      </w:hyperlink>
    </w:p>
    <w:p>
      <w:pPr>
        <w:pStyle w:val="Para 22"/>
      </w:pPr>
      <w:r>
        <w:rPr>
          <w:rStyle w:val="Text7"/>
        </w:rPr>
        <w:t xml:space="preserve">5. </w:t>
      </w:r>
      <w:hyperlink w:anchor="page_436">
        <w:r>
          <w:rPr>
            <w:rStyle w:val="Text10"/>
          </w:rPr>
          <w:t>392</w:t>
        </w:r>
      </w:hyperlink>
      <w:r>
        <w:rPr>
          <w:rStyle w:val="Text7"/>
        </w:rPr>
        <w:t xml:space="preserve"> </w:t>
      </w:r>
      <w:hyperlink r:id="rId1358">
        <w:r>
          <w:t>iscsid.service</w:t>
        </w:r>
      </w:hyperlink>
    </w:p>
    <w:p>
      <w:pPr>
        <w:pStyle w:val="Para 22"/>
      </w:pPr>
      <w:r>
        <w:rPr>
          <w:rStyle w:val="Text7"/>
        </w:rPr>
        <w:t xml:space="preserve">6. </w:t>
      </w:r>
      <w:hyperlink r:id="rId1359">
        <w:r>
          <w:rPr>
            <w:rStyle w:val="Text10"/>
          </w:rPr>
          <w:t>393</w:t>
        </w:r>
      </w:hyperlink>
      <w:hyperlink r:id="rId1359">
        <w:r>
          <w:t xml:space="preserve"> Open-iSCSI</w:t>
        </w:r>
      </w:hyperlink>
    </w:p>
    <w:p>
      <w:pPr>
        <w:pStyle w:val="Para 22"/>
      </w:pPr>
      <w:r>
        <w:rPr>
          <w:rStyle w:val="Text7"/>
        </w:rPr>
        <w:t xml:space="preserve">7. </w:t>
      </w:r>
      <w:hyperlink w:anchor="page_436">
        <w:r>
          <w:rPr>
            <w:rStyle w:val="Text10"/>
          </w:rPr>
          <w:t>394</w:t>
        </w:r>
      </w:hyperlink>
      <w:r>
        <w:rPr>
          <w:rStyle w:val="Text7"/>
        </w:rPr>
        <w:t xml:space="preserve"> </w:t>
      </w:r>
      <w:hyperlink r:id="rId1360">
        <w:r>
          <w:t>Debian Open-iSCSI</w:t>
        </w:r>
      </w:hyperlink>
    </w:p>
    <w:p>
      <w:pPr>
        <w:pStyle w:val="Para 17"/>
      </w:pPr>
      <w:r>
        <w:t/>
      </w:r>
    </w:p>
    <w:p>
      <w:pPr>
        <w:pStyle w:val="Para 01"/>
      </w:pPr>
      <w:r>
        <w:t>See also</w:t>
      </w:r>
    </w:p>
    <w:p>
      <w:pPr>
        <w:pStyle w:val="Para 17"/>
      </w:pPr>
      <w:r>
        <w:t/>
      </w:r>
    </w:p>
    <w:p>
      <w:pPr>
        <w:pStyle w:val="Para 14"/>
      </w:pPr>
      <w:r>
        <w:rPr>
          <w:rStyle w:val="Text4"/>
        </w:rPr>
        <w:t xml:space="preserve">• Explanation: </w:t>
      </w:r>
      <w:hyperlink w:anchor="page_860">
        <w:r>
          <w:t>About Logical Volume Management (LVM)</w:t>
        </w:r>
      </w:hyperlink>
      <w:r>
        <w:rPr>
          <w:rStyle w:val="Text4"/>
        </w:rPr>
        <w:t xml:space="preserve"> (page 859)</w:t>
      </w:r>
    </w:p>
    <w:p>
      <w:pPr>
        <w:pStyle w:val="Para 05"/>
      </w:pPr>
      <w:r>
        <w:rPr>
          <w:rStyle w:val="Text5"/>
        </w:rPr>
        <w:t>388</w:t>
      </w:r>
      <w:r>
        <w:rPr>
          <w:rStyle w:val="Text8"/>
        </w:rPr>
        <w:t xml:space="preserve"> </w:t>
      </w:r>
      <w:r>
        <w:t>https://linux.die.net/man/8/iscsid</w:t>
      </w:r>
    </w:p>
    <w:p>
      <w:pPr>
        <w:pStyle w:val="Para 05"/>
      </w:pPr>
      <w:r>
        <w:rPr>
          <w:rStyle w:val="Text5"/>
        </w:rPr>
        <w:t>389</w:t>
      </w:r>
      <w:r>
        <w:rPr>
          <w:rStyle w:val="Text8"/>
        </w:rPr>
        <w:t xml:space="preserve"> </w:t>
      </w:r>
      <w:r>
        <w:t>https://linux.die.net/man/5/iscsi.conf</w:t>
      </w:r>
    </w:p>
    <w:p>
      <w:pPr>
        <w:pStyle w:val="Para 05"/>
      </w:pPr>
      <w:r>
        <w:rPr>
          <w:rStyle w:val="Text5"/>
        </w:rPr>
        <w:t>390</w:t>
      </w:r>
      <w:r>
        <w:rPr>
          <w:rStyle w:val="Text8"/>
        </w:rPr>
        <w:t xml:space="preserve"> </w:t>
      </w:r>
      <w:r>
        <w:t>https://github.com/open-iscsi/open-iscsi/blob/master/etc/iscsid.conf</w:t>
      </w:r>
    </w:p>
    <w:p>
      <w:pPr>
        <w:pStyle w:val="Para 05"/>
      </w:pPr>
      <w:r>
        <w:rPr>
          <w:rStyle w:val="Text5"/>
        </w:rPr>
        <w:t>391</w:t>
      </w:r>
      <w:r>
        <w:rPr>
          <w:rStyle w:val="Text8"/>
        </w:rPr>
        <w:t xml:space="preserve"> </w:t>
      </w:r>
      <w:r>
        <w:t>https://github.com/open-iscsi/open-iscsi/blob/master/etc/systemd/iscsi.service.template</w:t>
      </w:r>
    </w:p>
    <w:p>
      <w:pPr>
        <w:pStyle w:val="Para 05"/>
      </w:pPr>
      <w:r>
        <w:rPr>
          <w:rStyle w:val="Text5"/>
        </w:rPr>
        <w:t>392</w:t>
      </w:r>
      <w:r>
        <w:rPr>
          <w:rStyle w:val="Text8"/>
        </w:rPr>
        <w:t xml:space="preserve"> </w:t>
      </w:r>
      <w:r>
        <w:t>https://github.com/open-iscsi/open-iscsi/blob/master/etc/systemd/iscsid.service.template</w:t>
      </w:r>
    </w:p>
    <w:p>
      <w:pPr>
        <w:pStyle w:val="Para 05"/>
      </w:pPr>
      <w:r>
        <w:rPr>
          <w:rStyle w:val="Text5"/>
        </w:rPr>
        <w:t>393</w:t>
      </w:r>
      <w:r>
        <w:rPr>
          <w:rStyle w:val="Text8"/>
        </w:rPr>
        <w:t xml:space="preserve"> </w:t>
      </w:r>
      <w:r>
        <w:t>http://www.open-iscsi.com/</w:t>
      </w:r>
    </w:p>
    <w:p>
      <w:pPr>
        <w:pStyle w:val="Para 05"/>
      </w:pPr>
      <w:r>
        <w:rPr>
          <w:rStyle w:val="Text5"/>
        </w:rPr>
        <w:t>394</w:t>
      </w:r>
      <w:r>
        <w:rPr>
          <w:rStyle w:val="Text8"/>
        </w:rPr>
        <w:t xml:space="preserve"> </w:t>
      </w:r>
      <w:r>
        <w:t>https://wiki.debian.org/SAN/iSCSI/open-iscsi</w:t>
      </w:r>
    </w:p>
    <w:p>
      <w:bookmarkStart w:id="639" w:name="calibre_pb_101"/>
      <w:pPr>
        <w:pStyle w:val="0 Block"/>
      </w:pPr>
      <w:bookmarkEnd w:id="639"/>
    </w:p>
    <w:p>
      <w:bookmarkStart w:id="640" w:name="page_437"/>
      <w:bookmarkStart w:id="641" w:name="Top_of_index_split_10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6" name="index-437_1.png" descr="index-437_1.png"/>
            <wp:cNvGraphicFramePr>
              <a:graphicFrameLocks noChangeAspect="1"/>
            </wp:cNvGraphicFramePr>
            <a:graphic>
              <a:graphicData uri="http://schemas.openxmlformats.org/drawingml/2006/picture">
                <pic:pic>
                  <pic:nvPicPr>
                    <pic:cNvPr id="0" name="index-437_1.png" descr="index-437_1.png"/>
                    <pic:cNvPicPr/>
                  </pic:nvPicPr>
                  <pic:blipFill>
                    <a:blip r:embed="rId450"/>
                    <a:stretch>
                      <a:fillRect/>
                    </a:stretch>
                  </pic:blipFill>
                  <pic:spPr>
                    <a:xfrm>
                      <a:off x="0" y="0"/>
                      <a:ext cx="914400" cy="266700"/>
                    </a:xfrm>
                    <a:prstGeom prst="rect">
                      <a:avLst/>
                    </a:prstGeom>
                  </pic:spPr>
                </pic:pic>
              </a:graphicData>
            </a:graphic>
          </wp:anchor>
        </w:drawing>
      </w:r>
      <w:bookmarkEnd w:id="640"/>
      <w:bookmarkEnd w:id="641"/>
    </w:p>
    <w:p>
      <w:pPr>
        <w:pStyle w:val="Para 01"/>
      </w:pPr>
      <w:r>
        <w:t>Backups and version control</w:t>
      </w:r>
    </w:p>
    <w:p>
      <w:pPr>
        <w:pStyle w:val="Para 17"/>
      </w:pPr>
      <w:r>
        <w:t/>
      </w:r>
    </w:p>
    <w:p>
      <w:pPr>
        <w:pStyle w:val="Normal"/>
      </w:pPr>
      <w:r>
        <w:t>It’s important to back up your Ubuntu installation so you can recover quickly if you experience data loss. You can create redundancy by using multiple back-up methods. Redundant data is useful if the primary back-up fails.</w:t>
      </w:r>
    </w:p>
    <w:p>
      <w:pPr>
        <w:pStyle w:val="Normal"/>
      </w:pPr>
      <w:r>
        <w:t>It is important to develop a backup plan that consists of:</w:t>
      </w:r>
    </w:p>
    <w:p>
      <w:pPr>
        <w:pStyle w:val="Para 04"/>
      </w:pPr>
      <w:r>
        <w:t>• What should be backed up</w:t>
      </w:r>
    </w:p>
    <w:p>
      <w:pPr>
        <w:pStyle w:val="Para 04"/>
      </w:pPr>
      <w:r>
        <w:t>• How often to back it up</w:t>
      </w:r>
    </w:p>
    <w:p>
      <w:pPr>
        <w:pStyle w:val="Para 04"/>
      </w:pPr>
      <w:r>
        <w:t>• Where backups should be stored</w:t>
      </w:r>
    </w:p>
    <w:p>
      <w:pPr>
        <w:pStyle w:val="Para 04"/>
      </w:pPr>
      <w:r>
        <w:t>• How to restore your backups</w:t>
      </w:r>
    </w:p>
    <w:p>
      <w:pPr>
        <w:pStyle w:val="Normal"/>
      </w:pPr>
      <w:r>
        <w:t>It is good practice to store important backup media off-site in case of a disaster. Physical backup media like removable hard drives or tape can be moved off-site manually. When it is either impossible or impractical to move media, backups can be copied over a WAN link to a server in another location.</w:t>
      </w:r>
    </w:p>
    <w:p>
      <w:pPr>
        <w:pStyle w:val="Normal"/>
      </w:pPr>
      <w:r>
        <w:t xml:space="preserve">On Ubuntu, two primary ways of backing up your system are </w:t>
      </w:r>
      <w:r>
        <w:rPr>
          <w:rStyle w:val="Text0"/>
        </w:rPr>
        <w:t>backup utilities</w:t>
      </w:r>
      <w:r>
        <w:t xml:space="preserve"> and </w:t>
      </w:r>
      <w:r>
        <w:rPr>
          <w:rStyle w:val="Text0"/>
        </w:rPr>
        <w:t>shell scripts</w:t>
      </w:r>
      <w:r>
        <w:t>. For additional protection, you can combine backup methods.</w:t>
      </w:r>
    </w:p>
    <w:p>
      <w:pPr>
        <w:pStyle w:val="Para 17"/>
      </w:pPr>
      <w:r>
        <w:t/>
      </w:r>
    </w:p>
    <w:p>
      <w:pPr>
        <w:pStyle w:val="Para 01"/>
      </w:pPr>
      <w:r>
        <w:t>Backup utilities</w:t>
      </w:r>
    </w:p>
    <w:p>
      <w:pPr>
        <w:pStyle w:val="Para 17"/>
      </w:pPr>
      <w:r>
        <w:t/>
      </w:r>
    </w:p>
    <w:p>
      <w:pPr>
        <w:pStyle w:val="Normal"/>
      </w:pPr>
      <w:r>
        <w:t xml:space="preserve">The easiest way to create backups is to use a dedicated tool like </w:t>
      </w:r>
      <w:hyperlink r:id="rId1361">
        <w:r>
          <w:rPr>
            <w:rStyle w:val="Text9"/>
          </w:rPr>
          <w:t>395</w:t>
        </w:r>
      </w:hyperlink>
      <w:r>
        <w:t xml:space="preserve"> </w:t>
      </w:r>
      <w:hyperlink r:id="rId1362">
        <w:r>
          <w:rPr>
            <w:rStyle w:val="Text9"/>
          </w:rPr>
          <w:t>396</w:t>
        </w:r>
      </w:hyperlink>
      <w:hyperlink r:id="rId1362">
        <w:r>
          <w:rPr>
            <w:rStyle w:val="Text1"/>
          </w:rPr>
          <w:t xml:space="preserve"> Bacula</w:t>
        </w:r>
      </w:hyperlink>
      <w:r>
        <w:t xml:space="preserve"> or </w:t>
      </w:r>
      <w:hyperlink r:id="rId1362">
        <w:r>
          <w:rPr>
            <w:rStyle w:val="Text1"/>
          </w:rPr>
          <w:t>rsnapshot</w:t>
        </w:r>
      </w:hyperlink>
      <w:r>
        <w:t>.</w:t>
      </w:r>
    </w:p>
    <w:p>
      <w:pPr>
        <w:pStyle w:val="Normal"/>
      </w:pPr>
      <w:r>
        <w:t>These tools have easy-to-use interface or CLI to help simplify the backup management pro-cess. They have powerful features such as automation, compression, data recovery, encryp-tion and incremental backups. Incremental backups only store changes made since the last backup which can significantly decrease storage space needs and backup time.</w:t>
      </w:r>
    </w:p>
    <w:p>
      <w:pPr>
        <w:pStyle w:val="Normal"/>
      </w:pPr>
      <w:r>
        <w:t>Bacula’s advanced features and support for additional customization make it a good choice for enterprise systems or users with complex needs. rsnapshot is ideal for individual users or small-scale organizations who want a simple and efficient solution.</w:t>
      </w:r>
    </w:p>
    <w:p>
      <w:pPr>
        <w:pStyle w:val="Para 17"/>
      </w:pPr>
      <w:r>
        <w:t/>
      </w:r>
    </w:p>
    <w:p>
      <w:pPr>
        <w:pStyle w:val="Para 08"/>
      </w:pPr>
      <w:r>
        <w:t>Tool</w:t>
      </w:r>
      <w:r>
        <w:rPr>
          <w:rStyle w:val="Text0"/>
        </w:rPr>
        <w:t xml:space="preserve"> </w:t>
      </w:r>
      <w:r>
        <w:t>Back up</w:t>
      </w:r>
      <w:r>
        <w:rPr>
          <w:rStyle w:val="Text0"/>
        </w:rPr>
        <w:t xml:space="preserve"> </w:t>
      </w:r>
      <w:r>
        <w:t>Backup Method</w:t>
      </w:r>
      <w:r>
        <w:rPr>
          <w:rStyle w:val="Text0"/>
        </w:rPr>
        <w:t xml:space="preserve"> </w:t>
      </w:r>
      <w:r>
        <w:t>Install and configure</w:t>
      </w:r>
    </w:p>
    <w:p>
      <w:pPr>
        <w:pStyle w:val="Para 03"/>
      </w:pPr>
      <w:r>
        <w:rPr>
          <w:rStyle w:val="Text0"/>
        </w:rPr>
        <w:t>Bac-</w:t>
      </w:r>
      <w:r>
        <w:t xml:space="preserve"> Multiple systems Incremental backups </w:t>
      </w:r>
      <w:hyperlink w:anchor="page_438">
        <w:r>
          <w:rPr>
            <w:rStyle w:val="Text2"/>
          </w:rPr>
          <w:t>how to install and configure</w:t>
        </w:r>
      </w:hyperlink>
    </w:p>
    <w:p>
      <w:pPr>
        <w:pStyle w:val="Para 03"/>
      </w:pPr>
      <w:r>
        <w:rPr>
          <w:rStyle w:val="Text0"/>
        </w:rPr>
        <w:t>ula</w:t>
      </w:r>
      <w:r>
        <w:t xml:space="preserve"> over a network </w:t>
      </w:r>
      <w:hyperlink w:anchor="page_438">
        <w:r>
          <w:rPr>
            <w:rStyle w:val="Text2"/>
          </w:rPr>
          <w:t>Bacula</w:t>
        </w:r>
      </w:hyperlink>
      <w:r>
        <w:t xml:space="preserve"> (page 437)</w:t>
      </w:r>
    </w:p>
    <w:p>
      <w:pPr>
        <w:pStyle w:val="Para 03"/>
      </w:pPr>
      <w:r>
        <w:rPr>
          <w:rStyle w:val="Text0"/>
        </w:rPr>
        <w:t>rsnap-</w:t>
      </w:r>
      <w:r>
        <w:t xml:space="preserve">Single system Periodic “snapshots” of files lo- </w:t>
      </w:r>
      <w:hyperlink w:anchor="page_458">
        <w:r>
          <w:rPr>
            <w:rStyle w:val="Text2"/>
          </w:rPr>
          <w:t>how to install and configure</w:t>
        </w:r>
      </w:hyperlink>
    </w:p>
    <w:p>
      <w:pPr>
        <w:pStyle w:val="Para 03"/>
      </w:pPr>
      <w:r>
        <w:rPr>
          <w:rStyle w:val="Text0"/>
        </w:rPr>
        <w:t>shot</w:t>
      </w:r>
      <w:r>
        <w:t xml:space="preserve"> cally or remotely with SSH </w:t>
      </w:r>
      <w:hyperlink w:anchor="page_458">
        <w:r>
          <w:rPr>
            <w:rStyle w:val="Text2"/>
          </w:rPr>
          <w:t>rsnapshot</w:t>
        </w:r>
      </w:hyperlink>
      <w:r>
        <w:t xml:space="preserve"> (page 457)</w:t>
      </w:r>
    </w:p>
    <w:p>
      <w:pPr>
        <w:pStyle w:val="Para 05"/>
      </w:pPr>
      <w:r>
        <w:rPr>
          <w:rStyle w:val="Text5"/>
        </w:rPr>
        <w:t>395</w:t>
      </w:r>
      <w:r>
        <w:rPr>
          <w:rStyle w:val="Text8"/>
        </w:rPr>
        <w:t xml:space="preserve"> </w:t>
      </w:r>
      <w:r>
        <w:t>https://www.bacula.org/</w:t>
      </w:r>
    </w:p>
    <w:p>
      <w:pPr>
        <w:pStyle w:val="Para 05"/>
      </w:pPr>
      <w:r>
        <w:rPr>
          <w:rStyle w:val="Text5"/>
        </w:rPr>
        <w:t>396</w:t>
      </w:r>
      <w:r>
        <w:rPr>
          <w:rStyle w:val="Text8"/>
        </w:rPr>
        <w:t xml:space="preserve"> </w:t>
      </w:r>
      <w:r>
        <w:t>https://rsnapshot.org/</w:t>
      </w:r>
    </w:p>
    <w:p>
      <w:bookmarkStart w:id="642" w:name="calibre_pb_102"/>
      <w:pPr>
        <w:pStyle w:val="0 Block"/>
      </w:pPr>
      <w:bookmarkEnd w:id="642"/>
    </w:p>
    <w:p>
      <w:bookmarkStart w:id="643" w:name="page_438"/>
      <w:bookmarkStart w:id="644" w:name="Top_of_index_split_10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7" name="index-438_1.png" descr="index-438_1.png"/>
            <wp:cNvGraphicFramePr>
              <a:graphicFrameLocks noChangeAspect="1"/>
            </wp:cNvGraphicFramePr>
            <a:graphic>
              <a:graphicData uri="http://schemas.openxmlformats.org/drawingml/2006/picture">
                <pic:pic>
                  <pic:nvPicPr>
                    <pic:cNvPr id="0" name="index-438_1.png" descr="index-438_1.png"/>
                    <pic:cNvPicPr/>
                  </pic:nvPicPr>
                  <pic:blipFill>
                    <a:blip r:embed="rId451"/>
                    <a:stretch>
                      <a:fillRect/>
                    </a:stretch>
                  </pic:blipFill>
                  <pic:spPr>
                    <a:xfrm>
                      <a:off x="0" y="0"/>
                      <a:ext cx="914400" cy="266700"/>
                    </a:xfrm>
                    <a:prstGeom prst="rect">
                      <a:avLst/>
                    </a:prstGeom>
                  </pic:spPr>
                </pic:pic>
              </a:graphicData>
            </a:graphic>
          </wp:anchor>
        </w:drawing>
      </w:r>
      <w:bookmarkEnd w:id="643"/>
      <w:bookmarkEnd w:id="644"/>
    </w:p>
    <w:p>
      <w:pPr>
        <w:pStyle w:val="Para 01"/>
      </w:pPr>
      <w:r>
        <w:t>How to install and configure Bacula</w:t>
      </w:r>
    </w:p>
    <w:p>
      <w:pPr>
        <w:pStyle w:val="Para 17"/>
      </w:pPr>
      <w:r>
        <w:t/>
      </w:r>
    </w:p>
    <w:p>
      <w:pPr>
        <w:pStyle w:val="Normal"/>
      </w:pPr>
      <w:hyperlink r:id="rId1361">
        <w:r>
          <w:rPr>
            <w:rStyle w:val="Text1"/>
          </w:rPr>
          <w:t>Bacula</w:t>
        </w:r>
      </w:hyperlink>
      <w:hyperlink w:anchor="page_438">
        <w:r>
          <w:rPr>
            <w:rStyle w:val="Text9"/>
          </w:rPr>
          <w:t>397</w:t>
        </w:r>
      </w:hyperlink>
      <w:r>
        <w:t xml:space="preserve"> is a backup management tool that enables you to backup, restore, and verify data across your network. There are Bacula clients for Linux, Windows, and Mac OS X – making it a cross-platform and network-wide solution.</w:t>
      </w:r>
    </w:p>
    <w:p>
      <w:pPr>
        <w:pStyle w:val="Para 17"/>
      </w:pPr>
      <w:r>
        <w:t/>
      </w:r>
    </w:p>
    <w:p>
      <w:pPr>
        <w:pStyle w:val="Para 01"/>
      </w:pPr>
      <w:r>
        <w:t>Bacula components</w:t>
      </w:r>
    </w:p>
    <w:p>
      <w:pPr>
        <w:pStyle w:val="Para 17"/>
      </w:pPr>
      <w:r>
        <w:t/>
      </w:r>
    </w:p>
    <w:p>
      <w:pPr>
        <w:pStyle w:val="Normal"/>
      </w:pPr>
      <w:r>
        <w:t>Bacula is made up of several components and services that are used to manage backup files and locations:</w:t>
      </w:r>
    </w:p>
    <w:p>
      <w:pPr>
        <w:pStyle w:val="Para 04"/>
      </w:pPr>
      <w:r>
        <w:t xml:space="preserve">• </w:t>
      </w:r>
      <w:r>
        <w:rPr>
          <w:rStyle w:val="Text0"/>
        </w:rPr>
        <w:t>Bacula Director</w:t>
      </w:r>
      <w:r>
        <w:t>: A service that controls all backup, restore, verify, and archive opera-</w:t>
      </w:r>
    </w:p>
    <w:p>
      <w:pPr>
        <w:pStyle w:val="Para 02"/>
      </w:pPr>
      <w:r>
        <w:t>tions.</w:t>
      </w:r>
    </w:p>
    <w:p>
      <w:pPr>
        <w:pStyle w:val="Para 04"/>
      </w:pPr>
      <w:r>
        <w:t xml:space="preserve">• </w:t>
      </w:r>
      <w:r>
        <w:rPr>
          <w:rStyle w:val="Text0"/>
        </w:rPr>
        <w:t>Bacula Console</w:t>
      </w:r>
      <w:r>
        <w:t>: An application that allows communication with the Director.</w:t>
      </w:r>
    </w:p>
    <w:p>
      <w:pPr>
        <w:pStyle w:val="Para 04"/>
      </w:pPr>
      <w:r>
        <w:t xml:space="preserve">• </w:t>
      </w:r>
      <w:r>
        <w:rPr>
          <w:rStyle w:val="Text0"/>
        </w:rPr>
        <w:t>Bacula File</w:t>
      </w:r>
      <w:r>
        <w:t>: This application is installed on machines to be backed up, and is responsible</w:t>
      </w:r>
    </w:p>
    <w:p>
      <w:pPr>
        <w:pStyle w:val="Para 02"/>
      </w:pPr>
      <w:r>
        <w:t>for handling data requested by the Director.</w:t>
      </w:r>
    </w:p>
    <w:p>
      <w:pPr>
        <w:pStyle w:val="Para 04"/>
      </w:pPr>
      <w:r>
        <w:t xml:space="preserve">• </w:t>
      </w:r>
      <w:r>
        <w:rPr>
          <w:rStyle w:val="Text0"/>
        </w:rPr>
        <w:t>Bacula Storage</w:t>
      </w:r>
      <w:r>
        <w:t>: The program that performs the storage of data onto, and recovery of</w:t>
      </w:r>
    </w:p>
    <w:p>
      <w:pPr>
        <w:pStyle w:val="Para 02"/>
      </w:pPr>
      <w:r>
        <w:t>data from, the physical media.</w:t>
      </w:r>
    </w:p>
    <w:p>
      <w:pPr>
        <w:pStyle w:val="Para 04"/>
      </w:pPr>
      <w:r>
        <w:t xml:space="preserve">• </w:t>
      </w:r>
      <w:r>
        <w:rPr>
          <w:rStyle w:val="Text0"/>
        </w:rPr>
        <w:t>Bacula Catalog</w:t>
      </w:r>
      <w:r>
        <w:t>: Responsible for maintaining the file indices and volume databases for</w:t>
      </w:r>
    </w:p>
    <w:p>
      <w:pPr>
        <w:pStyle w:val="Para 02"/>
      </w:pPr>
      <w:r>
        <w:t>all backed-up files. This enables rapid location and restoration of archived files. The Catalog supports three different databases: MySQL, PostgreSQL, and SQLite.</w:t>
      </w:r>
    </w:p>
    <w:p>
      <w:pPr>
        <w:pStyle w:val="Para 04"/>
      </w:pPr>
      <w:r>
        <w:t xml:space="preserve">• </w:t>
      </w:r>
      <w:r>
        <w:rPr>
          <w:rStyle w:val="Text0"/>
        </w:rPr>
        <w:t>Bacula Monitor</w:t>
      </w:r>
      <w:r>
        <w:t>: This is a graphical tray monitor for the Bacula backup system.</w:t>
      </w:r>
    </w:p>
    <w:p>
      <w:pPr>
        <w:pStyle w:val="Normal"/>
      </w:pPr>
      <w:r>
        <w:t>These services and applications can be run on multiple servers and clients, or they can be installed on one machine if backing up a single disk or volume.</w:t>
      </w:r>
    </w:p>
    <w:p>
      <w:pPr>
        <w:pStyle w:val="Normal"/>
      </w:pPr>
      <w:r>
        <w:t>In this documentation, we will deploy a Bacula Director, with a backup job for the Director itself, and also install the Bacula File service on a workstation, to remotely backup its data.</w:t>
      </w:r>
    </w:p>
    <w:p>
      <w:pPr>
        <w:pStyle w:val="Para 17"/>
      </w:pPr>
      <w:r>
        <w:t/>
      </w:r>
    </w:p>
    <w:p>
      <w:pPr>
        <w:pStyle w:val="Para 01"/>
      </w:pPr>
      <w:r>
        <w:t>Installing the Server Components</w:t>
      </w:r>
    </w:p>
    <w:p>
      <w:pPr>
        <w:pStyle w:val="Para 17"/>
      </w:pPr>
      <w:r>
        <w:t/>
      </w:r>
    </w:p>
    <w:p>
      <w:pPr>
        <w:pStyle w:val="Normal"/>
      </w:pPr>
      <w:r>
        <w:t>The Bacula components can be installed on multiple systems, or they can be grouped to-gether where it makes sense. A fully distributed installation might be appealing and is more scalable, but is also harder to configure. Here we will pick something in between:</w:t>
      </w:r>
    </w:p>
    <w:p>
      <w:pPr>
        <w:pStyle w:val="Para 04"/>
      </w:pPr>
      <w:r>
        <w:t>• A Bacula “server”, where we will install the following Bacula components: Director,</w:t>
      </w:r>
    </w:p>
    <w:p>
      <w:pPr>
        <w:pStyle w:val="Para 02"/>
      </w:pPr>
      <w:r>
        <w:t>Catalog with an SQL database, Storage, File, Console. The server itself should also be backed up, hence why components typically installed on clients are also installed here.</w:t>
      </w:r>
    </w:p>
    <w:p>
      <w:pPr>
        <w:pStyle w:val="Para 04"/>
      </w:pPr>
      <w:r>
        <w:t>• A Bacula “client”, which is just a system to be backed up. It will have only the File com-</w:t>
      </w:r>
    </w:p>
    <w:p>
      <w:pPr>
        <w:pStyle w:val="Para 02"/>
      </w:pPr>
      <w:r>
        <w:t>ponent installed. Any system that needs to be backed up will have to have the File component installed.</w:t>
      </w:r>
    </w:p>
    <w:p>
      <w:pPr>
        <w:pStyle w:val="Normal"/>
      </w:pPr>
      <w:r>
        <w:t>To begin with, we have to start with installing the database that will be used by the Catalog. The choices are:</w:t>
      </w:r>
    </w:p>
    <w:p>
      <w:pPr>
        <w:pStyle w:val="Para 04"/>
      </w:pPr>
      <w:r>
        <w:t>• SQLite: Should only be used for test or development deployments of Bacula.</w:t>
      </w:r>
    </w:p>
    <w:p>
      <w:pPr>
        <w:pStyle w:val="Para 04"/>
      </w:pPr>
      <w:r>
        <w:t>• PostgreSQL</w:t>
      </w:r>
    </w:p>
    <w:p>
      <w:pPr>
        <w:pStyle w:val="Para 05"/>
      </w:pPr>
      <w:r>
        <w:rPr>
          <w:rStyle w:val="Text5"/>
        </w:rPr>
        <w:t>397</w:t>
      </w:r>
      <w:r>
        <w:rPr>
          <w:rStyle w:val="Text8"/>
        </w:rPr>
        <w:t xml:space="preserve"> </w:t>
      </w:r>
      <w:r>
        <w:t>https://www.bacula.org/</w:t>
      </w:r>
    </w:p>
    <w:p>
      <w:bookmarkStart w:id="645" w:name="page_4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8" name="index-439_1.png" descr="index-439_1.png"/>
            <wp:cNvGraphicFramePr>
              <a:graphicFrameLocks noChangeAspect="1"/>
            </wp:cNvGraphicFramePr>
            <a:graphic>
              <a:graphicData uri="http://schemas.openxmlformats.org/drawingml/2006/picture">
                <pic:pic>
                  <pic:nvPicPr>
                    <pic:cNvPr id="0" name="index-439_1.png" descr="index-439_1.png"/>
                    <pic:cNvPicPr/>
                  </pic:nvPicPr>
                  <pic:blipFill>
                    <a:blip r:embed="rId452"/>
                    <a:stretch>
                      <a:fillRect/>
                    </a:stretch>
                  </pic:blipFill>
                  <pic:spPr>
                    <a:xfrm>
                      <a:off x="0" y="0"/>
                      <a:ext cx="914400" cy="266700"/>
                    </a:xfrm>
                    <a:prstGeom prst="rect">
                      <a:avLst/>
                    </a:prstGeom>
                  </pic:spPr>
                </pic:pic>
              </a:graphicData>
            </a:graphic>
          </wp:anchor>
        </w:drawing>
      </w:r>
      <w:bookmarkEnd w:id="645"/>
    </w:p>
    <w:p>
      <w:pPr>
        <w:pStyle w:val="Para 04"/>
      </w:pPr>
      <w:r>
        <w:t>• MySQL</w:t>
      </w:r>
    </w:p>
    <w:p>
      <w:pPr>
        <w:pStyle w:val="Normal"/>
      </w:pPr>
      <w:r>
        <w:t>Either SQL database is suitable. For this document, we will use PostgreSQL:</w:t>
      </w:r>
    </w:p>
    <w:p>
      <w:pPr>
        <w:pStyle w:val="Normal"/>
      </w:pPr>
      <w:r>
        <w:t>sudo apt install postgresql</w:t>
      </w:r>
    </w:p>
    <w:p>
      <w:pPr>
        <w:pStyle w:val="Para 17"/>
      </w:pPr>
      <w:r>
        <w:t/>
      </w:r>
    </w:p>
    <w:p>
      <w:pPr>
        <w:pStyle w:val="Para 08"/>
      </w:pPr>
      <w:r>
        <w:t>Note:</w:t>
      </w:r>
    </w:p>
    <w:p>
      <w:pPr>
        <w:pStyle w:val="Para 03"/>
      </w:pPr>
      <w:r>
        <w:t xml:space="preserve">Refer to </w:t>
      </w:r>
      <w:hyperlink w:anchor="page_412">
        <w:r>
          <w:rPr>
            <w:rStyle w:val="Text2"/>
          </w:rPr>
          <w:t>MySQL databases</w:t>
        </w:r>
      </w:hyperlink>
      <w:r>
        <w:t xml:space="preserve"> (page 411) and </w:t>
      </w:r>
      <w:hyperlink w:anchor="page_420">
        <w:r>
          <w:rPr>
            <w:rStyle w:val="Text2"/>
          </w:rPr>
          <w:t>PostgreSQL databases</w:t>
        </w:r>
      </w:hyperlink>
      <w:r>
        <w:t xml:space="preserve"> (page 419) for more de-</w:t>
      </w:r>
    </w:p>
    <w:p>
      <w:pPr>
        <w:pStyle w:val="Para 03"/>
      </w:pPr>
      <w:r>
        <w:t>tails on these powerful databases.</w:t>
      </w:r>
    </w:p>
    <w:p>
      <w:pPr>
        <w:pStyle w:val="Para 17"/>
      </w:pPr>
      <w:r>
        <w:t/>
      </w:r>
    </w:p>
    <w:p>
      <w:pPr>
        <w:pStyle w:val="Normal"/>
      </w:pPr>
      <w:r>
        <w:t>Next we can install Bacula. The bacula package has the necessary dependencies and will pull in what is needed for our deployment scenario:</w:t>
      </w:r>
    </w:p>
    <w:p>
      <w:pPr>
        <w:pStyle w:val="Normal"/>
      </w:pPr>
      <w:r>
        <w:t>sudo apt install bacula</w:t>
      </w:r>
    </w:p>
    <w:p>
      <w:pPr>
        <w:pStyle w:val="Para 17"/>
      </w:pPr>
      <w:r>
        <w:t/>
      </w:r>
    </w:p>
    <w:p>
      <w:pPr>
        <w:pStyle w:val="Normal"/>
      </w:pPr>
      <w:r>
        <w:t xml:space="preserve">During the install process you will be asked to supply a password for the </w:t>
      </w:r>
      <w:r>
        <w:rPr>
          <w:rStyle w:val="Text3"/>
        </w:rPr>
        <w:t>database owner</w:t>
      </w:r>
      <w:r>
        <w:t xml:space="preserve"> of the </w:t>
      </w:r>
      <w:r>
        <w:rPr>
          <w:rStyle w:val="Text3"/>
        </w:rPr>
        <w:t>Bacula database</w:t>
      </w:r>
      <w:r>
        <w:t>. If left blank, a random password will be used.</w:t>
      </w:r>
    </w:p>
    <w:p>
      <w:pPr>
        <w:pStyle w:val="Para 17"/>
      </w:pPr>
      <w:r>
        <w:t/>
      </w:r>
    </w:p>
    <w:p>
      <w:pPr>
        <w:pStyle w:val="Para 01"/>
      </w:pPr>
      <w:r>
        <w:t>Configuring the Server</w:t>
      </w:r>
    </w:p>
    <w:p>
      <w:pPr>
        <w:pStyle w:val="Para 17"/>
      </w:pPr>
      <w:r>
        <w:t/>
      </w:r>
    </w:p>
    <w:p>
      <w:pPr>
        <w:pStyle w:val="Normal"/>
      </w:pPr>
      <w:r>
        <w:t>Several components were installed on this system by the bacula package. Each one has its own configuration file:</w:t>
      </w:r>
    </w:p>
    <w:p>
      <w:pPr>
        <w:pStyle w:val="Para 04"/>
      </w:pPr>
      <w:r>
        <w:t>• Director: /etc/bacula/bacula-dir.conf</w:t>
      </w:r>
    </w:p>
    <w:p>
      <w:pPr>
        <w:pStyle w:val="Para 04"/>
      </w:pPr>
      <w:r>
        <w:t>• Storage: /etc/bacula/bacula-sd.conf</w:t>
      </w:r>
    </w:p>
    <w:p>
      <w:pPr>
        <w:pStyle w:val="Para 04"/>
      </w:pPr>
      <w:r>
        <w:t>• File: /etc/bacula/bacula-fd.conf</w:t>
      </w:r>
    </w:p>
    <w:p>
      <w:pPr>
        <w:pStyle w:val="Para 04"/>
      </w:pPr>
      <w:r>
        <w:t>• Console: /etc/bacula/bconsole.conf</w:t>
      </w:r>
    </w:p>
    <w:p>
      <w:pPr>
        <w:pStyle w:val="Normal"/>
      </w:pPr>
      <w:r>
        <w:t>All these components need to eventually talk to each other, and the authentication is per-formed via passwords that were automatically generated at install time. These passwords are stored in the /etc/bacula/common_default_passwords file. If a new component is installed on this system, it can benefit from this file to automatically be ready to authenticate itself, but in general, after everything is installed and configured, this file isn’t needed anymore.</w:t>
      </w:r>
    </w:p>
    <w:p>
      <w:pPr>
        <w:pStyle w:val="Para 17"/>
      </w:pPr>
      <w:r>
        <w:t/>
      </w:r>
    </w:p>
    <w:p>
      <w:pPr>
        <w:pStyle w:val="Para 01"/>
      </w:pPr>
      <w:r>
        <w:t>Director</w:t>
      </w:r>
    </w:p>
    <w:p>
      <w:pPr>
        <w:pStyle w:val="Para 17"/>
      </w:pPr>
      <w:r>
        <w:t/>
      </w:r>
    </w:p>
    <w:p>
      <w:pPr>
        <w:pStyle w:val="Normal"/>
      </w:pPr>
      <w:r>
        <w:t>The Bacula Director is the central component of the system. This is where we:</w:t>
      </w:r>
    </w:p>
    <w:p>
      <w:pPr>
        <w:pStyle w:val="Para 04"/>
      </w:pPr>
      <w:r>
        <w:t>• Register the clients;</w:t>
      </w:r>
    </w:p>
    <w:p>
      <w:pPr>
        <w:pStyle w:val="Para 04"/>
      </w:pPr>
      <w:r>
        <w:t>• Define the schedules;</w:t>
      </w:r>
    </w:p>
    <w:p>
      <w:pPr>
        <w:pStyle w:val="Para 04"/>
      </w:pPr>
      <w:r>
        <w:t>• Define the file sets to be backed up;</w:t>
      </w:r>
    </w:p>
    <w:p>
      <w:pPr>
        <w:pStyle w:val="Para 04"/>
      </w:pPr>
      <w:r>
        <w:t>• Define storage pools;</w:t>
      </w:r>
    </w:p>
    <w:p>
      <w:pPr>
        <w:pStyle w:val="Para 04"/>
      </w:pPr>
      <w:r>
        <w:t>• Define the backup jobs;</w:t>
      </w:r>
    </w:p>
    <w:p>
      <w:pPr>
        <w:pStyle w:val="Normal"/>
      </w:pPr>
      <w:r>
        <w:t xml:space="preserve">Bacula configuration files are formatted based on </w:t>
      </w:r>
      <w:r>
        <w:rPr>
          <w:rStyle w:val="Text0"/>
        </w:rPr>
        <w:t>resources</w:t>
      </w:r>
      <w:r>
        <w:t xml:space="preserve"> composed of </w:t>
      </w:r>
      <w:r>
        <w:rPr>
          <w:rStyle w:val="Text0"/>
        </w:rPr>
        <w:t>directives</w:t>
      </w:r>
      <w:r>
        <w:t xml:space="preserve"> sur-rounded by curly “{}” braces. Each Bacula component has an individual file in the /etc/bacula directory.</w:t>
      </w:r>
    </w:p>
    <w:p>
      <w:bookmarkStart w:id="646" w:name="page_4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49" name="index-440_1.png" descr="index-440_1.png"/>
            <wp:cNvGraphicFramePr>
              <a:graphicFrameLocks noChangeAspect="1"/>
            </wp:cNvGraphicFramePr>
            <a:graphic>
              <a:graphicData uri="http://schemas.openxmlformats.org/drawingml/2006/picture">
                <pic:pic>
                  <pic:nvPicPr>
                    <pic:cNvPr id="0" name="index-440_1.png" descr="index-440_1.png"/>
                    <pic:cNvPicPr/>
                  </pic:nvPicPr>
                  <pic:blipFill>
                    <a:blip r:embed="rId453"/>
                    <a:stretch>
                      <a:fillRect/>
                    </a:stretch>
                  </pic:blipFill>
                  <pic:spPr>
                    <a:xfrm>
                      <a:off x="0" y="0"/>
                      <a:ext cx="914400" cy="266700"/>
                    </a:xfrm>
                    <a:prstGeom prst="rect">
                      <a:avLst/>
                    </a:prstGeom>
                  </pic:spPr>
                </pic:pic>
              </a:graphicData>
            </a:graphic>
          </wp:anchor>
        </w:drawing>
      </w:r>
      <w:bookmarkEnd w:id="646"/>
    </w:p>
    <w:p>
      <w:pPr>
        <w:pStyle w:val="Normal"/>
      </w:pPr>
      <w:r>
        <w:t>The default installation of the several bacula components will create configuration files in / etc/bacula/ with some choices and examples. That is a good reference, but it does not apply to all cases.</w:t>
      </w:r>
    </w:p>
    <w:p>
      <w:pPr>
        <w:pStyle w:val="Normal"/>
      </w:pPr>
      <w:r>
        <w:t>All the following sections involve the /etc/bacula/bacula-dir.conf Director configuration file, unless stated otherwise.</w:t>
      </w:r>
    </w:p>
    <w:p>
      <w:pPr>
        <w:pStyle w:val="Para 17"/>
      </w:pPr>
      <w:r>
        <w:t/>
      </w:r>
    </w:p>
    <w:p>
      <w:pPr>
        <w:pStyle w:val="Para 01"/>
      </w:pPr>
      <w:r>
        <w:t>The Director resource</w:t>
      </w:r>
    </w:p>
    <w:p>
      <w:pPr>
        <w:pStyle w:val="Para 17"/>
      </w:pPr>
      <w:r>
        <w:t/>
      </w:r>
    </w:p>
    <w:p>
      <w:pPr>
        <w:pStyle w:val="Normal"/>
      </w:pPr>
      <w:r>
        <w:t>This block defines the attributes of the Director service:</w:t>
      </w:r>
    </w:p>
    <w:p>
      <w:pPr>
        <w:pStyle w:val="Normal"/>
      </w:pPr>
      <w:r>
        <w:t>Director {</w:t>
      </w:r>
    </w:p>
    <w:p>
      <w:pPr>
        <w:pStyle w:val="Para 03"/>
      </w:pPr>
      <w:r>
        <w:t>Name</w:t>
        <w:t xml:space="preserve"> </w:t>
        <w:t>=</w:t>
        <w:t xml:space="preserve"> </w:t>
        <w:t>bacula</w:t>
        <w:t>-</w:t>
        <w:t>server</w:t>
        <w:t>-</w:t>
        <w:t>dir</w:t>
      </w:r>
    </w:p>
    <w:p>
      <w:pPr>
        <w:pStyle w:val="Para 03"/>
      </w:pPr>
      <w:r>
        <w:t>DIRport</w:t>
        <w:t xml:space="preserve"> </w:t>
        <w:t>=</w:t>
        <w:t xml:space="preserve"> </w:t>
        <w:t>9101</w:t>
      </w:r>
    </w:p>
    <w:p>
      <w:pPr>
        <w:pStyle w:val="Para 03"/>
      </w:pPr>
      <w:r>
        <w:t>QueryFile</w:t>
        <w:t xml:space="preserve"> </w:t>
        <w:t>=</w:t>
        <w:t xml:space="preserve"> </w:t>
        <w:t>"/etc/bacula/scripts/query.sql"</w:t>
      </w:r>
    </w:p>
    <w:p>
      <w:pPr>
        <w:pStyle w:val="Para 03"/>
      </w:pPr>
      <w:r>
        <w:t>WorkingDirectory</w:t>
        <w:t xml:space="preserve"> </w:t>
        <w:t>=</w:t>
        <w:t xml:space="preserve"> </w:t>
        <w:t>"/var/lib/bacula"</w:t>
      </w:r>
    </w:p>
    <w:p>
      <w:pPr>
        <w:pStyle w:val="Para 03"/>
      </w:pPr>
      <w:r>
        <w:t>PidDirectory</w:t>
        <w:t xml:space="preserve"> </w:t>
        <w:t>=</w:t>
        <w:t xml:space="preserve"> </w:t>
        <w:t>"/run/bacula"</w:t>
      </w:r>
    </w:p>
    <w:p>
      <w:pPr>
        <w:pStyle w:val="Para 03"/>
      </w:pPr>
      <w:r>
        <w:t>Maximum Concurrent Jobs</w:t>
        <w:t xml:space="preserve"> </w:t>
        <w:t>=</w:t>
        <w:t xml:space="preserve"> </w:t>
        <w:t>20</w:t>
      </w:r>
    </w:p>
    <w:p>
      <w:pPr>
        <w:pStyle w:val="Para 03"/>
      </w:pPr>
      <w:r>
        <w:t>Password</w:t>
        <w:t xml:space="preserve"> </w:t>
        <w:t>=</w:t>
        <w:t xml:space="preserve"> </w:t>
        <w:t>"&lt;randomly generated&gt;"</w:t>
      </w:r>
    </w:p>
    <w:p>
      <w:pPr>
        <w:pStyle w:val="Para 03"/>
      </w:pPr>
      <w:r>
        <w:t>Messages</w:t>
        <w:t xml:space="preserve"> </w:t>
        <w:t>=</w:t>
        <w:t xml:space="preserve"> </w:t>
        <w:t>Daemon</w:t>
      </w:r>
    </w:p>
    <w:p>
      <w:pPr>
        <w:pStyle w:val="Para 35"/>
      </w:pPr>
      <w:r>
        <w:t>#DirAddress = 127.0.0.1</w:t>
      </w:r>
    </w:p>
    <w:p>
      <w:pPr>
        <w:pStyle w:val="Normal"/>
      </w:pPr>
      <w:r>
        <w:t>}</w:t>
      </w:r>
    </w:p>
    <w:p>
      <w:pPr>
        <w:pStyle w:val="Para 17"/>
      </w:pPr>
      <w:r>
        <w:t/>
      </w:r>
    </w:p>
    <w:p>
      <w:pPr>
        <w:pStyle w:val="Normal"/>
      </w:pPr>
      <w:r>
        <w:t>What you should inspect and change:</w:t>
      </w:r>
    </w:p>
    <w:p>
      <w:pPr>
        <w:pStyle w:val="Para 04"/>
      </w:pPr>
      <w:r>
        <w:t>• Name: it’s common to use the format $hostname-dir for the director. For example, if the</w:t>
      </w:r>
    </w:p>
    <w:p>
      <w:pPr>
        <w:pStyle w:val="Para 02"/>
      </w:pPr>
      <w:r>
        <w:t>hostname is “bacula-server”, the name here would be bacula-server-dir. By sticking to this pattern, less changes will have to be made to the config, as this is what the de-fault installation already assumes.</w:t>
      </w:r>
    </w:p>
    <w:p>
      <w:pPr>
        <w:pStyle w:val="Para 04"/>
      </w:pPr>
      <w:r>
        <w:t>• DirAddress: by default this is set to the localhost address. In order to be able to perform</w:t>
      </w:r>
    </w:p>
    <w:p>
      <w:pPr>
        <w:pStyle w:val="Para 02"/>
      </w:pPr>
      <w:r>
        <w:t>remote backups, though, the director needs to be accessible on the network. To do that, simply remove or comment this parameter: in that case, the service will listen on all network interfaces available on the system.</w:t>
      </w:r>
    </w:p>
    <w:p>
      <w:pPr>
        <w:pStyle w:val="Para 04"/>
      </w:pPr>
      <w:r>
        <w:t>• Password: a random password will have been created for this installation, so it doesn’t</w:t>
      </w:r>
    </w:p>
    <w:p>
      <w:pPr>
        <w:pStyle w:val="Para 02"/>
      </w:pPr>
      <w:r>
        <w:t>need to be changed, unless you would rather pick a different one.</w:t>
      </w:r>
    </w:p>
    <w:p>
      <w:pPr>
        <w:pStyle w:val="Para 17"/>
      </w:pPr>
      <w:r>
        <w:t/>
      </w:r>
    </w:p>
    <w:p>
      <w:pPr>
        <w:pStyle w:val="Para 08"/>
      </w:pPr>
      <w:r>
        <w:t>Tip:</w:t>
      </w:r>
    </w:p>
    <w:p>
      <w:pPr>
        <w:pStyle w:val="Para 17"/>
      </w:pPr>
      <w:r>
        <w:t/>
      </w:r>
    </w:p>
    <w:p>
      <w:pPr>
        <w:pStyle w:val="Para 03"/>
      </w:pPr>
      <w:r>
        <w:t>For more details about all the options of the Director resource, please check the upstream</w:t>
      </w:r>
    </w:p>
    <w:p>
      <w:pPr>
        <w:pStyle w:val="Para 22"/>
      </w:pPr>
      <w:hyperlink r:id="rId1363">
        <w:r>
          <w:t>Director Resource</w:t>
        </w:r>
      </w:hyperlink>
      <w:r>
        <w:rPr>
          <w:rStyle w:val="Text7"/>
        </w:rPr>
        <w:t xml:space="preserve"> </w:t>
      </w:r>
      <w:hyperlink w:anchor="page_440">
        <w:r>
          <w:rPr>
            <w:rStyle w:val="Text10"/>
          </w:rPr>
          <w:t>398</w:t>
        </w:r>
      </w:hyperlink>
      <w:r>
        <w:rPr>
          <w:rStyle w:val="Text7"/>
        </w:rPr>
        <w:t xml:space="preserve"> documentation.</w:t>
      </w:r>
    </w:p>
    <w:p>
      <w:pPr>
        <w:pStyle w:val="Para 05"/>
      </w:pPr>
      <w:r>
        <w:rPr>
          <w:rStyle w:val="Text5"/>
        </w:rPr>
        <w:t>398</w:t>
      </w:r>
      <w:r>
        <w:rPr>
          <w:rStyle w:val="Text8"/>
        </w:rPr>
        <w:t xml:space="preserve"> </w:t>
      </w:r>
      <w:r>
        <w:t>https://www.bacula.org/15.0.x-manuals/en/main/Configuring_Director.html#</w:t>
      </w:r>
    </w:p>
    <w:p>
      <w:pPr>
        <w:pStyle w:val="Para 05"/>
      </w:pPr>
      <w:r>
        <w:t>SECTION0023200000000000000000</w:t>
      </w:r>
    </w:p>
    <w:p>
      <w:bookmarkStart w:id="647" w:name="calibre_pb_103"/>
      <w:pPr>
        <w:pStyle w:val="0 Block"/>
      </w:pPr>
      <w:bookmarkEnd w:id="647"/>
    </w:p>
    <w:p>
      <w:bookmarkStart w:id="648" w:name="Top_of_index_split_104_html"/>
      <w:bookmarkStart w:id="649" w:name="page_44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0" name="index-441_1.png" descr="index-441_1.png"/>
            <wp:cNvGraphicFramePr>
              <a:graphicFrameLocks noChangeAspect="1"/>
            </wp:cNvGraphicFramePr>
            <a:graphic>
              <a:graphicData uri="http://schemas.openxmlformats.org/drawingml/2006/picture">
                <pic:pic>
                  <pic:nvPicPr>
                    <pic:cNvPr id="0" name="index-441_1.png" descr="index-441_1.png"/>
                    <pic:cNvPicPr/>
                  </pic:nvPicPr>
                  <pic:blipFill>
                    <a:blip r:embed="rId454"/>
                    <a:stretch>
                      <a:fillRect/>
                    </a:stretch>
                  </pic:blipFill>
                  <pic:spPr>
                    <a:xfrm>
                      <a:off x="0" y="0"/>
                      <a:ext cx="914400" cy="266700"/>
                    </a:xfrm>
                    <a:prstGeom prst="rect">
                      <a:avLst/>
                    </a:prstGeom>
                  </pic:spPr>
                </pic:pic>
              </a:graphicData>
            </a:graphic>
          </wp:anchor>
        </w:drawing>
      </w:r>
      <w:bookmarkEnd w:id="648"/>
      <w:bookmarkEnd w:id="649"/>
    </w:p>
    <w:p>
      <w:pPr>
        <w:pStyle w:val="Para 01"/>
      </w:pPr>
      <w:r>
        <w:t>The FileSet resource</w:t>
      </w:r>
    </w:p>
    <w:p>
      <w:pPr>
        <w:pStyle w:val="Para 17"/>
      </w:pPr>
      <w:r>
        <w:t/>
      </w:r>
    </w:p>
    <w:p>
      <w:pPr>
        <w:pStyle w:val="Normal"/>
      </w:pPr>
      <w:r>
        <w:t>Let’s define what we want to backup. There will likely be multiple file sets defined in a pro-duction server, but as an example, here we will define a set for backing up the home directory:</w:t>
      </w:r>
    </w:p>
    <w:p>
      <w:pPr>
        <w:pStyle w:val="Normal"/>
      </w:pPr>
      <w:r>
        <w:t>FileSet {</w:t>
      </w:r>
    </w:p>
    <w:p>
      <w:pPr>
        <w:pStyle w:val="Para 03"/>
      </w:pPr>
      <w:r>
        <w:t>Name</w:t>
        <w:t xml:space="preserve"> </w:t>
        <w:t>=</w:t>
        <w:t xml:space="preserve"> </w:t>
        <w:t>"Home Set"</w:t>
      </w:r>
    </w:p>
    <w:p>
      <w:pPr>
        <w:pStyle w:val="Para 03"/>
      </w:pPr>
      <w:r>
        <w:t>Include {</w:t>
      </w:r>
    </w:p>
    <w:p>
      <w:pPr>
        <w:pStyle w:val="Para 02"/>
      </w:pPr>
      <w:r>
        <w:t>Options {</w:t>
      </w:r>
    </w:p>
    <w:p>
      <w:pPr>
        <w:pStyle w:val="Para 06"/>
      </w:pPr>
      <w:r>
        <w:t>signature</w:t>
        <w:t xml:space="preserve"> </w:t>
        <w:t>=</w:t>
        <w:t xml:space="preserve"> </w:t>
        <w:t>SHA256</w:t>
      </w:r>
    </w:p>
    <w:p>
      <w:pPr>
        <w:pStyle w:val="Para 06"/>
      </w:pPr>
      <w:r>
        <w:t>aclsupport</w:t>
        <w:t xml:space="preserve"> </w:t>
        <w:t>=</w:t>
        <w:t xml:space="preserve"> </w:t>
        <w:t>yes</w:t>
      </w:r>
    </w:p>
    <w:p>
      <w:pPr>
        <w:pStyle w:val="Para 06"/>
      </w:pPr>
      <w:r>
        <w:t>xattrsupport</w:t>
        <w:t xml:space="preserve"> </w:t>
        <w:t>=</w:t>
        <w:t xml:space="preserve"> </w:t>
        <w:t>yes</w:t>
      </w:r>
    </w:p>
    <w:p>
      <w:pPr>
        <w:pStyle w:val="Para 02"/>
      </w:pPr>
      <w:r>
        <w:t>}</w:t>
      </w:r>
    </w:p>
    <w:p>
      <w:pPr>
        <w:pStyle w:val="Para 02"/>
      </w:pPr>
      <w:r>
        <w:t>Options {</w:t>
      </w:r>
    </w:p>
    <w:p>
      <w:pPr>
        <w:pStyle w:val="Para 06"/>
      </w:pPr>
      <w:r>
        <w:t>wilddir</w:t>
        <w:t xml:space="preserve"> </w:t>
        <w:t>=</w:t>
        <w:t xml:space="preserve"> </w:t>
        <w:t>"/home/*/Downloads"</w:t>
      </w:r>
    </w:p>
    <w:p>
      <w:pPr>
        <w:pStyle w:val="Para 06"/>
      </w:pPr>
      <w:r>
        <w:t>wildfile</w:t>
        <w:t xml:space="preserve"> </w:t>
        <w:t>=</w:t>
        <w:t xml:space="preserve"> </w:t>
        <w:t>"*.iso"</w:t>
      </w:r>
    </w:p>
    <w:p>
      <w:pPr>
        <w:pStyle w:val="Para 06"/>
      </w:pPr>
      <w:r>
        <w:t>exclude</w:t>
        <w:t xml:space="preserve"> </w:t>
        <w:t>=</w:t>
        <w:t xml:space="preserve"> </w:t>
        <w:t>yes</w:t>
      </w:r>
    </w:p>
    <w:p>
      <w:pPr>
        <w:pStyle w:val="Para 02"/>
      </w:pPr>
      <w:r>
        <w:t>}</w:t>
      </w:r>
    </w:p>
    <w:p>
      <w:pPr>
        <w:pStyle w:val="Para 02"/>
      </w:pPr>
      <w:r>
        <w:t>File</w:t>
        <w:t xml:space="preserve"> </w:t>
        <w:t>= /</w:t>
        <w:t>home</w:t>
      </w:r>
    </w:p>
    <w:p>
      <w:pPr>
        <w:pStyle w:val="Para 03"/>
      </w:pPr>
      <w:r>
        <w:t>}</w:t>
      </w:r>
    </w:p>
    <w:p>
      <w:pPr>
        <w:pStyle w:val="Normal"/>
      </w:pPr>
      <w:r>
        <w:t>}</w:t>
      </w:r>
    </w:p>
    <w:p>
      <w:pPr>
        <w:pStyle w:val="Para 17"/>
      </w:pPr>
      <w:r>
        <w:t/>
      </w:r>
    </w:p>
    <w:p>
      <w:pPr>
        <w:pStyle w:val="Normal"/>
      </w:pPr>
      <w:r>
        <w:t>This example illustrates some interesting points, and shows the type of flexibility he have in defining File Sets:</w:t>
      </w:r>
    </w:p>
    <w:p>
      <w:pPr>
        <w:pStyle w:val="Para 04"/>
      </w:pPr>
      <w:r>
        <w:t>• Name: This defines the name of this file set, and will be referenced by other configura-</w:t>
      </w:r>
    </w:p>
    <w:p>
      <w:pPr>
        <w:pStyle w:val="Para 02"/>
      </w:pPr>
      <w:r>
        <w:t>tion blocks.</w:t>
      </w:r>
    </w:p>
    <w:p>
      <w:pPr>
        <w:pStyle w:val="Para 04"/>
      </w:pPr>
      <w:r>
        <w:t xml:space="preserve">• </w:t>
      </w:r>
      <w:r>
        <w:rPr>
          <w:rStyle w:val="Text3"/>
        </w:rPr>
        <w:t>Include Options</w:t>
      </w:r>
      <w:r>
        <w:t>: the Options block can be used several times inside the Include block.</w:t>
      </w:r>
    </w:p>
    <w:p>
      <w:pPr>
        <w:pStyle w:val="Para 02"/>
      </w:pPr>
      <w:r>
        <w:t>Here we define that we want to include POSIX ACLs support, and extended attributes, and use the SHA256 hash algorithm, but perhaps more interesting is how we select which files to exclude from the set:</w:t>
      </w:r>
    </w:p>
    <w:p>
      <w:pPr>
        <w:pStyle w:val="Para 06"/>
      </w:pPr>
      <w:r>
        <w:rPr>
          <w:rStyle w:val="Text0"/>
        </w:rPr>
        <w:t>–</w:t>
      </w:r>
      <w:r>
        <w:t xml:space="preserve"> wilddir, wildfile: these parameters specify globbing expressions of directories</w:t>
      </w:r>
    </w:p>
    <w:p>
      <w:pPr>
        <w:pStyle w:val="Para 17"/>
      </w:pPr>
      <w:r>
        <w:t>and files to exclude from the set (because we also set exclude = yes). In this ex-ample, we are excluding potentially large files. Unfortunately there is no direct way to exclude files from a set based on their size, so we have to make some edu-cated guesses using standard file extensions and directory locations.</w:t>
      </w:r>
    </w:p>
    <w:p>
      <w:pPr>
        <w:pStyle w:val="Para 04"/>
      </w:pPr>
      <w:r>
        <w:t>• File: This parameter can be specified multiple times, and it’s additive. In this example</w:t>
      </w:r>
    </w:p>
    <w:p>
      <w:pPr>
        <w:pStyle w:val="Para 02"/>
      </w:pPr>
      <w:r>
        <w:t>we have it only used once, to select the /home directory and its subdirectories, subject to the exclusions defined in the Options block.</w:t>
      </w:r>
    </w:p>
    <w:p>
      <w:pPr>
        <w:pStyle w:val="Para 17"/>
      </w:pPr>
      <w:r>
        <w:t/>
      </w:r>
    </w:p>
    <w:p>
      <w:pPr>
        <w:pStyle w:val="Para 08"/>
      </w:pPr>
      <w:r>
        <w:t>Tip:</w:t>
      </w:r>
    </w:p>
    <w:p>
      <w:pPr>
        <w:pStyle w:val="Para 17"/>
      </w:pPr>
      <w:r>
        <w:t/>
      </w:r>
    </w:p>
    <w:p>
      <w:pPr>
        <w:pStyle w:val="Para 03"/>
      </w:pPr>
      <w:r>
        <w:t>For more details about all the options of the FileSet resource, please check the upstream</w:t>
      </w:r>
    </w:p>
    <w:p>
      <w:pPr>
        <w:pStyle w:val="Para 22"/>
      </w:pPr>
      <w:hyperlink r:id="rId1364">
        <w:r>
          <w:t>FileSet Resource</w:t>
        </w:r>
      </w:hyperlink>
      <w:r>
        <w:rPr>
          <w:rStyle w:val="Text7"/>
        </w:rPr>
        <w:t xml:space="preserve"> </w:t>
      </w:r>
      <w:hyperlink w:anchor="page_441">
        <w:r>
          <w:rPr>
            <w:rStyle w:val="Text10"/>
          </w:rPr>
          <w:t>399</w:t>
        </w:r>
      </w:hyperlink>
      <w:r>
        <w:rPr>
          <w:rStyle w:val="Text7"/>
        </w:rPr>
        <w:t xml:space="preserve"> documentation.</w:t>
      </w:r>
    </w:p>
    <w:p>
      <w:pPr>
        <w:pStyle w:val="Para 05"/>
      </w:pPr>
      <w:r>
        <w:rPr>
          <w:rStyle w:val="Text5"/>
        </w:rPr>
        <w:t>399</w:t>
      </w:r>
      <w:r>
        <w:rPr>
          <w:rStyle w:val="Text8"/>
        </w:rPr>
        <w:t xml:space="preserve"> </w:t>
      </w:r>
      <w:r>
        <w:t>https://www.bacula.org/15.0.x-manuals/en/main/Configuring_Director.html#</w:t>
      </w:r>
    </w:p>
    <w:p>
      <w:pPr>
        <w:pStyle w:val="Para 05"/>
      </w:pPr>
      <w:r>
        <w:t>SECTION0023700000000000000000</w:t>
      </w:r>
    </w:p>
    <w:p>
      <w:bookmarkStart w:id="650" w:name="calibre_pb_104"/>
      <w:pPr>
        <w:pStyle w:val="0 Block"/>
      </w:pPr>
      <w:bookmarkEnd w:id="650"/>
    </w:p>
    <w:p>
      <w:bookmarkStart w:id="651" w:name="Top_of_index_split_105_html"/>
      <w:bookmarkStart w:id="652" w:name="page_44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1" name="index-442_1.png" descr="index-442_1.png"/>
            <wp:cNvGraphicFramePr>
              <a:graphicFrameLocks noChangeAspect="1"/>
            </wp:cNvGraphicFramePr>
            <a:graphic>
              <a:graphicData uri="http://schemas.openxmlformats.org/drawingml/2006/picture">
                <pic:pic>
                  <pic:nvPicPr>
                    <pic:cNvPr id="0" name="index-442_1.png" descr="index-442_1.png"/>
                    <pic:cNvPicPr/>
                  </pic:nvPicPr>
                  <pic:blipFill>
                    <a:blip r:embed="rId455"/>
                    <a:stretch>
                      <a:fillRect/>
                    </a:stretch>
                  </pic:blipFill>
                  <pic:spPr>
                    <a:xfrm>
                      <a:off x="0" y="0"/>
                      <a:ext cx="914400" cy="266700"/>
                    </a:xfrm>
                    <a:prstGeom prst="rect">
                      <a:avLst/>
                    </a:prstGeom>
                  </pic:spPr>
                </pic:pic>
              </a:graphicData>
            </a:graphic>
          </wp:anchor>
        </w:drawing>
      </w:r>
      <w:bookmarkEnd w:id="651"/>
      <w:bookmarkEnd w:id="652"/>
    </w:p>
    <w:p>
      <w:pPr>
        <w:pStyle w:val="Para 01"/>
      </w:pPr>
      <w:r>
        <w:t>The Client resource</w:t>
      </w:r>
    </w:p>
    <w:p>
      <w:pPr>
        <w:pStyle w:val="Para 17"/>
      </w:pPr>
      <w:r>
        <w:t/>
      </w:r>
    </w:p>
    <w:p>
      <w:pPr>
        <w:pStyle w:val="Normal"/>
      </w:pPr>
      <w:r>
        <w:t>The Client resource is used to define a system to be backed up. That system will have at least the File Daemon installed, and will be contacted by the Director whenever there is a backup job for it.</w:t>
      </w:r>
    </w:p>
    <w:p>
      <w:pPr>
        <w:pStyle w:val="Normal"/>
      </w:pPr>
      <w:r>
        <w:t>The default installation will have defined this resource already, and it should be similar to the following:</w:t>
      </w:r>
    </w:p>
    <w:p>
      <w:pPr>
        <w:pStyle w:val="Para 10"/>
      </w:pPr>
      <w:r>
        <w:t># Client (File Services) to backup</w:t>
      </w:r>
    </w:p>
    <w:p>
      <w:pPr>
        <w:pStyle w:val="Normal"/>
      </w:pPr>
      <w:r>
        <w:t>Client {</w:t>
      </w:r>
    </w:p>
    <w:p>
      <w:pPr>
        <w:pStyle w:val="Para 03"/>
      </w:pPr>
      <w:r>
        <w:t>Name</w:t>
        <w:t xml:space="preserve"> </w:t>
        <w:t>=</w:t>
        <w:t xml:space="preserve"> </w:t>
        <w:t>bacula</w:t>
        <w:t>-</w:t>
        <w:t>server</w:t>
        <w:t>-</w:t>
        <w:t>fd</w:t>
      </w:r>
    </w:p>
    <w:p>
      <w:pPr>
        <w:pStyle w:val="Para 35"/>
      </w:pPr>
      <w:r>
        <w:rPr>
          <w:rStyle w:val="Text3"/>
        </w:rPr>
        <w:t>Address</w:t>
        <w:t xml:space="preserve"> </w:t>
        <w:t>=</w:t>
        <w:t xml:space="preserve"> </w:t>
        <w:t>bacula</w:t>
        <w:t>-</w:t>
        <w:t>server</w:t>
        <w:t>.</w:t>
        <w:t>lxd</w:t>
        <w:t xml:space="preserve"> </w:t>
      </w:r>
      <w:r>
        <w:t># use the real hostname instead of "localhost"</w:t>
      </w:r>
    </w:p>
    <w:p>
      <w:pPr>
        <w:pStyle w:val="Para 03"/>
      </w:pPr>
      <w:r>
        <w:t>FDPort</w:t>
        <w:t xml:space="preserve"> </w:t>
        <w:t>=</w:t>
        <w:t xml:space="preserve"> </w:t>
        <w:t>9102</w:t>
      </w:r>
    </w:p>
    <w:p>
      <w:pPr>
        <w:pStyle w:val="Para 03"/>
      </w:pPr>
      <w:r>
        <w:t>Catalog</w:t>
        <w:t xml:space="preserve"> </w:t>
        <w:t>=</w:t>
        <w:t xml:space="preserve"> </w:t>
        <w:t>MyCatalog</w:t>
      </w:r>
    </w:p>
    <w:p>
      <w:pPr>
        <w:pStyle w:val="Para 03"/>
      </w:pPr>
      <w:r>
        <w:t>Password</w:t>
        <w:t xml:space="preserve"> </w:t>
        <w:t>=</w:t>
        <w:t xml:space="preserve"> </w:t>
        <w:t>"&lt;randomly generated&gt;"</w:t>
      </w:r>
    </w:p>
    <w:p>
      <w:pPr>
        <w:pStyle w:val="Para 03"/>
      </w:pPr>
      <w:r>
        <w:t>File Retention</w:t>
        <w:t xml:space="preserve"> </w:t>
        <w:t>=</w:t>
        <w:t xml:space="preserve"> </w:t>
        <w:t>60</w:t>
        <w:t xml:space="preserve"> </w:t>
        <w:t>days</w:t>
      </w:r>
    </w:p>
    <w:p>
      <w:pPr>
        <w:pStyle w:val="Para 03"/>
      </w:pPr>
      <w:r>
        <w:t>Job Retention</w:t>
        <w:t xml:space="preserve"> </w:t>
        <w:t>=</w:t>
        <w:t xml:space="preserve"> </w:t>
        <w:t>6</w:t>
        <w:t xml:space="preserve"> </w:t>
        <w:t>months</w:t>
      </w:r>
    </w:p>
    <w:p>
      <w:pPr>
        <w:pStyle w:val="Para 03"/>
      </w:pPr>
      <w:r>
        <w:t>AutoPrune</w:t>
        <w:t xml:space="preserve"> </w:t>
        <w:t>=</w:t>
        <w:t xml:space="preserve"> </w:t>
        <w:t>yes</w:t>
      </w:r>
    </w:p>
    <w:p>
      <w:pPr>
        <w:pStyle w:val="Normal"/>
      </w:pPr>
      <w:r>
        <w:t>}</w:t>
      </w:r>
    </w:p>
    <w:p>
      <w:pPr>
        <w:pStyle w:val="Para 17"/>
      </w:pPr>
      <w:r>
        <w:t/>
      </w:r>
    </w:p>
    <w:p>
      <w:pPr>
        <w:pStyle w:val="Normal"/>
      </w:pPr>
      <w:r>
        <w:t>Of note in this definition we have:</w:t>
      </w:r>
    </w:p>
    <w:p>
      <w:pPr>
        <w:pStyle w:val="Para 04"/>
      </w:pPr>
      <w:r>
        <w:t>• Name: As with other similar resources, the default name uses the format $hostname-fd</w:t>
      </w:r>
    </w:p>
    <w:p>
      <w:pPr>
        <w:pStyle w:val="Para 02"/>
      </w:pPr>
      <w:r>
        <w:t xml:space="preserve">(where fd stands for </w:t>
      </w:r>
      <w:r>
        <w:rPr>
          <w:rStyle w:val="Text3"/>
        </w:rPr>
        <w:t>File Daemon</w:t>
      </w:r>
      <w:r>
        <w:t>).</w:t>
      </w:r>
    </w:p>
    <w:p>
      <w:pPr>
        <w:pStyle w:val="Para 04"/>
      </w:pPr>
      <w:r>
        <w:t>• Address: The default will be localhost, but we should be in the habit of using a real</w:t>
      </w:r>
    </w:p>
    <w:p>
      <w:pPr>
        <w:pStyle w:val="Para 02"/>
      </w:pPr>
      <w:r>
        <w:t>hostname, because in a more distributed installation, these hostnames will be sent to other services in other machines, and “localhost” will then be incorrect.</w:t>
      </w:r>
    </w:p>
    <w:p>
      <w:pPr>
        <w:pStyle w:val="Para 04"/>
      </w:pPr>
      <w:r>
        <w:t>• Password: The password was automatically generated, and should be kept as is unless</w:t>
      </w:r>
    </w:p>
    <w:p>
      <w:pPr>
        <w:pStyle w:val="Para 02"/>
      </w:pPr>
      <w:r>
        <w:t>you want to use another one.</w:t>
      </w:r>
    </w:p>
    <w:p>
      <w:pPr>
        <w:pStyle w:val="Para 04"/>
      </w:pPr>
      <w:r>
        <w:t>• File Retention, Job Retention: these should be adjusted according to your particular</w:t>
      </w:r>
    </w:p>
    <w:p>
      <w:pPr>
        <w:pStyle w:val="Para 02"/>
      </w:pPr>
      <w:r>
        <w:t>needs for each client. By default, the backup job named BackupClient1 is configured to archive the Bacula Catalog. If you plan on using the server to back up more than one client you should change the name of this job to something more descriptive. To change the name, edit /etc/bacula/bacula-dir.conf:</w:t>
      </w:r>
    </w:p>
    <w:p>
      <w:pPr>
        <w:pStyle w:val="Para 04"/>
      </w:pPr>
      <w:r>
        <w:t>• AutoPrune: This setting makes Bacula automatically apply the retention parameters at</w:t>
      </w:r>
    </w:p>
    <w:p>
      <w:pPr>
        <w:pStyle w:val="Para 02"/>
      </w:pPr>
      <w:r>
        <w:t>the end of a backup job. It is enabled by default.</w:t>
      </w:r>
    </w:p>
    <w:p>
      <w:pPr>
        <w:pStyle w:val="Para 17"/>
      </w:pPr>
      <w:r>
        <w:t/>
      </w:r>
    </w:p>
    <w:p>
      <w:pPr>
        <w:pStyle w:val="Para 08"/>
      </w:pPr>
      <w:r>
        <w:t>Tip:</w:t>
      </w:r>
    </w:p>
    <w:p>
      <w:pPr>
        <w:pStyle w:val="Para 17"/>
      </w:pPr>
      <w:r>
        <w:t/>
      </w:r>
    </w:p>
    <w:p>
      <w:pPr>
        <w:pStyle w:val="Para 03"/>
      </w:pPr>
      <w:r>
        <w:t>For more details about all the options of the Client resource, please check the upstream</w:t>
      </w:r>
    </w:p>
    <w:p>
      <w:pPr>
        <w:pStyle w:val="Para 03"/>
      </w:pPr>
      <w:hyperlink r:id="rId1365">
        <w:r>
          <w:rPr>
            <w:rStyle w:val="Text1"/>
          </w:rPr>
          <w:t>Client Resource</w:t>
        </w:r>
      </w:hyperlink>
      <w:r>
        <w:t xml:space="preserve"> </w:t>
      </w:r>
      <w:hyperlink w:anchor="page_442">
        <w:r>
          <w:rPr>
            <w:rStyle w:val="Text9"/>
          </w:rPr>
          <w:t>400</w:t>
        </w:r>
      </w:hyperlink>
      <w:r>
        <w:t xml:space="preserve"> documentation.</w:t>
      </w:r>
    </w:p>
    <w:p>
      <w:pPr>
        <w:pStyle w:val="Para 05"/>
      </w:pPr>
      <w:r>
        <w:rPr>
          <w:rStyle w:val="Text5"/>
        </w:rPr>
        <w:t>400</w:t>
      </w:r>
      <w:r>
        <w:rPr>
          <w:rStyle w:val="Text8"/>
        </w:rPr>
        <w:t xml:space="preserve"> </w:t>
      </w:r>
      <w:r>
        <w:t>https://www.bacula.org/15.0.x-manuals/en/main/Configuring_Director.html#</w:t>
      </w:r>
    </w:p>
    <w:p>
      <w:pPr>
        <w:pStyle w:val="Para 05"/>
      </w:pPr>
      <w:r>
        <w:t>SECTION00231300000000000000000</w:t>
      </w:r>
    </w:p>
    <w:p>
      <w:bookmarkStart w:id="653" w:name="calibre_pb_105"/>
      <w:pPr>
        <w:pStyle w:val="0 Block"/>
      </w:pPr>
      <w:bookmarkEnd w:id="653"/>
    </w:p>
    <w:p>
      <w:bookmarkStart w:id="654" w:name="Top_of_index_split_106_html"/>
      <w:bookmarkStart w:id="655" w:name="page_44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2" name="index-443_1.png" descr="index-443_1.png"/>
            <wp:cNvGraphicFramePr>
              <a:graphicFrameLocks noChangeAspect="1"/>
            </wp:cNvGraphicFramePr>
            <a:graphic>
              <a:graphicData uri="http://schemas.openxmlformats.org/drawingml/2006/picture">
                <pic:pic>
                  <pic:nvPicPr>
                    <pic:cNvPr id="0" name="index-443_1.png" descr="index-443_1.png"/>
                    <pic:cNvPicPr/>
                  </pic:nvPicPr>
                  <pic:blipFill>
                    <a:blip r:embed="rId456"/>
                    <a:stretch>
                      <a:fillRect/>
                    </a:stretch>
                  </pic:blipFill>
                  <pic:spPr>
                    <a:xfrm>
                      <a:off x="0" y="0"/>
                      <a:ext cx="914400" cy="266700"/>
                    </a:xfrm>
                    <a:prstGeom prst="rect">
                      <a:avLst/>
                    </a:prstGeom>
                  </pic:spPr>
                </pic:pic>
              </a:graphicData>
            </a:graphic>
          </wp:anchor>
        </w:drawing>
      </w:r>
      <w:bookmarkEnd w:id="654"/>
      <w:bookmarkEnd w:id="655"/>
    </w:p>
    <w:p>
      <w:pPr>
        <w:pStyle w:val="Para 01"/>
      </w:pPr>
      <w:r>
        <w:t>The Pool resource</w:t>
      </w:r>
    </w:p>
    <w:p>
      <w:pPr>
        <w:pStyle w:val="Para 17"/>
      </w:pPr>
      <w:r>
        <w:t/>
      </w:r>
    </w:p>
    <w:p>
      <w:pPr>
        <w:pStyle w:val="Normal"/>
      </w:pPr>
      <w:r>
        <w:t xml:space="preserve">A </w:t>
      </w:r>
      <w:r>
        <w:rPr>
          <w:rStyle w:val="Text3"/>
        </w:rPr>
        <w:t>Pool</w:t>
      </w:r>
      <w:r>
        <w:t xml:space="preserve"> in Bacula represents a collection of volumes. A </w:t>
      </w:r>
      <w:r>
        <w:rPr>
          <w:rStyle w:val="Text3"/>
        </w:rPr>
        <w:t>Volume</w:t>
      </w:r>
      <w:r>
        <w:t xml:space="preserve"> is a single physical tape, or a file on disk, and is where Bacula will write the backup data.</w:t>
      </w:r>
    </w:p>
    <w:p>
      <w:pPr>
        <w:pStyle w:val="Normal"/>
      </w:pPr>
      <w:r>
        <w:t xml:space="preserve">The default configuration file will have defined several </w:t>
      </w:r>
      <w:r>
        <w:rPr>
          <w:rStyle w:val="Text3"/>
        </w:rPr>
        <w:t>Pools</w:t>
      </w:r>
      <w:r>
        <w:t xml:space="preserve"> already. For this documenta-tion, we are interested in the File pool:</w:t>
      </w:r>
    </w:p>
    <w:p>
      <w:pPr>
        <w:pStyle w:val="Normal"/>
      </w:pPr>
      <w:r>
        <w:t>Pool {</w:t>
      </w:r>
    </w:p>
    <w:p>
      <w:pPr>
        <w:pStyle w:val="Para 03"/>
      </w:pPr>
      <w:r>
        <w:t>Name</w:t>
        <w:t xml:space="preserve"> </w:t>
        <w:t>=</w:t>
        <w:t xml:space="preserve"> </w:t>
        <w:t>File</w:t>
      </w:r>
    </w:p>
    <w:p>
      <w:pPr>
        <w:pStyle w:val="Para 03"/>
      </w:pPr>
      <w:r>
        <w:t>Pool Type</w:t>
        <w:t xml:space="preserve"> </w:t>
        <w:t>=</w:t>
        <w:t xml:space="preserve"> </w:t>
        <w:t>Backup</w:t>
      </w:r>
    </w:p>
    <w:p>
      <w:pPr>
        <w:pStyle w:val="Para 35"/>
      </w:pPr>
      <w:r>
        <w:rPr>
          <w:rStyle w:val="Text3"/>
        </w:rPr>
        <w:t>Recycle</w:t>
        <w:t xml:space="preserve"> </w:t>
        <w:t>=</w:t>
        <w:t xml:space="preserve"> </w:t>
        <w:t>yes</w:t>
        <w:t xml:space="preserve"> </w:t>
      </w:r>
      <w:r>
        <w:t># Bacula can automatically recycle Volumes</w:t>
      </w:r>
    </w:p>
    <w:p>
      <w:pPr>
        <w:pStyle w:val="Para 35"/>
      </w:pPr>
      <w:r>
        <w:rPr>
          <w:rStyle w:val="Text3"/>
        </w:rPr>
        <w:t>AutoPrune</w:t>
        <w:t xml:space="preserve"> </w:t>
        <w:t>=</w:t>
        <w:t xml:space="preserve"> </w:t>
        <w:t>yes</w:t>
        <w:t xml:space="preserve"> </w:t>
      </w:r>
      <w:r>
        <w:t># Prune expired volumes</w:t>
      </w:r>
    </w:p>
    <w:p>
      <w:pPr>
        <w:pStyle w:val="Para 03"/>
      </w:pPr>
      <w:r>
        <w:t>Volume Retention</w:t>
        <w:t xml:space="preserve"> </w:t>
        <w:t>=</w:t>
        <w:t xml:space="preserve"> </w:t>
        <w:t>365</w:t>
        <w:t xml:space="preserve"> </w:t>
        <w:t>days</w:t>
        <w:t xml:space="preserve"> </w:t>
      </w:r>
      <w:r>
        <w:rPr>
          <w:rStyle w:val="Text3"/>
        </w:rPr>
        <w:t># one year</w:t>
      </w:r>
    </w:p>
    <w:p>
      <w:pPr>
        <w:pStyle w:val="Para 03"/>
      </w:pPr>
      <w:r>
        <w:t>Maximum Volume Bytes</w:t>
        <w:t xml:space="preserve"> </w:t>
        <w:t>=</w:t>
        <w:t xml:space="preserve"> </w:t>
        <w:t>50</w:t>
        <w:t>G</w:t>
        <w:t xml:space="preserve"> </w:t>
      </w:r>
      <w:r>
        <w:rPr>
          <w:rStyle w:val="Text3"/>
        </w:rPr>
        <w:t># Limit Volume size</w:t>
      </w:r>
    </w:p>
    <w:p>
      <w:pPr>
        <w:pStyle w:val="Para 35"/>
      </w:pPr>
      <w:r>
        <w:rPr>
          <w:rStyle w:val="Text3"/>
        </w:rPr>
        <w:t>Maximum Volumes</w:t>
        <w:t xml:space="preserve"> </w:t>
        <w:t>=</w:t>
        <w:t xml:space="preserve"> </w:t>
        <w:t>100</w:t>
        <w:t xml:space="preserve"> </w:t>
      </w:r>
      <w:r>
        <w:t># Limit number of Volumes in Pool</w:t>
      </w:r>
    </w:p>
    <w:p>
      <w:pPr>
        <w:pStyle w:val="Para 03"/>
      </w:pPr>
      <w:r>
        <w:t>Label Format</w:t>
        <w:t xml:space="preserve"> </w:t>
        <w:t>=</w:t>
        <w:t xml:space="preserve"> </w:t>
        <w:t>"Vol-"</w:t>
        <w:t xml:space="preserve"> </w:t>
      </w:r>
      <w:r>
        <w:rPr>
          <w:rStyle w:val="Text3"/>
        </w:rPr>
        <w:t># Auto label</w:t>
      </w:r>
    </w:p>
    <w:p>
      <w:pPr>
        <w:pStyle w:val="Normal"/>
      </w:pPr>
      <w:r>
        <w:t>}</w:t>
      </w:r>
    </w:p>
    <w:p>
      <w:pPr>
        <w:pStyle w:val="Para 17"/>
      </w:pPr>
      <w:r>
        <w:t/>
      </w:r>
    </w:p>
    <w:p>
      <w:pPr>
        <w:pStyle w:val="Normal"/>
      </w:pPr>
      <w:r>
        <w:t>We will use this pool to backup to a directory on the server (which will usually be the mount point for a big storage device). The pool resource has some definitions that affect how large the backups can become, so these have to be checked:</w:t>
      </w:r>
    </w:p>
    <w:p>
      <w:pPr>
        <w:pStyle w:val="Para 04"/>
      </w:pPr>
      <w:r>
        <w:t>• Name: The name of the pool, which will be referenced in other resources.</w:t>
      </w:r>
    </w:p>
    <w:p>
      <w:pPr>
        <w:pStyle w:val="Para 04"/>
      </w:pPr>
      <w:r>
        <w:t>• Volume Retention: For how long volumes are kept.</w:t>
      </w:r>
    </w:p>
    <w:p>
      <w:pPr>
        <w:pStyle w:val="Para 04"/>
      </w:pPr>
      <w:r>
        <w:t>• Maximum Volume Bytes: What is the maximum size of each volume file.</w:t>
      </w:r>
    </w:p>
    <w:p>
      <w:pPr>
        <w:pStyle w:val="Para 04"/>
      </w:pPr>
      <w:r>
        <w:t>• Maximum Volumes: How many volume files are we going to keep at most.</w:t>
      </w:r>
    </w:p>
    <w:p>
      <w:pPr>
        <w:pStyle w:val="Para 04"/>
      </w:pPr>
      <w:r>
        <w:t>• Label Format: The prefix that each volume file will get. In this example, the files will be</w:t>
      </w:r>
    </w:p>
    <w:p>
      <w:pPr>
        <w:pStyle w:val="Para 02"/>
      </w:pPr>
      <w:r>
        <w:t>automatically named Vol-0001, Vol-0002, and so on.</w:t>
      </w:r>
    </w:p>
    <w:p>
      <w:pPr>
        <w:pStyle w:val="Normal"/>
      </w:pPr>
      <w:r>
        <w:t>With the values in the example above, we will be storing at most 50G * 100 = 5000GB in this pool.</w:t>
      </w:r>
    </w:p>
    <w:p>
      <w:pPr>
        <w:pStyle w:val="Para 17"/>
      </w:pPr>
      <w:r>
        <w:t/>
      </w:r>
    </w:p>
    <w:p>
      <w:pPr>
        <w:pStyle w:val="Para 08"/>
      </w:pPr>
      <w:r>
        <w:t>Tip:</w:t>
      </w:r>
    </w:p>
    <w:p>
      <w:pPr>
        <w:pStyle w:val="Para 17"/>
      </w:pPr>
      <w:r>
        <w:t/>
      </w:r>
    </w:p>
    <w:p>
      <w:pPr>
        <w:pStyle w:val="Para 03"/>
      </w:pPr>
      <w:r>
        <w:t>For more details about all the options of the Pool resource, please check the upstream</w:t>
      </w:r>
    </w:p>
    <w:p>
      <w:pPr>
        <w:pStyle w:val="Para 03"/>
      </w:pPr>
      <w:hyperlink r:id="rId1366">
        <w:r>
          <w:rPr>
            <w:rStyle w:val="Text1"/>
          </w:rPr>
          <w:t>Pool Resource</w:t>
        </w:r>
      </w:hyperlink>
      <w:hyperlink r:id="rId1366">
        <w:r>
          <w:rPr>
            <w:rStyle w:val="Text9"/>
          </w:rPr>
          <w:t>401</w:t>
        </w:r>
      </w:hyperlink>
      <w:r>
        <w:t xml:space="preserve"> documentation.</w:t>
      </w:r>
    </w:p>
    <w:p>
      <w:pPr>
        <w:pStyle w:val="Para 05"/>
      </w:pPr>
      <w:r>
        <w:rPr>
          <w:rStyle w:val="Text5"/>
        </w:rPr>
        <w:t>401</w:t>
      </w:r>
      <w:r>
        <w:rPr>
          <w:rStyle w:val="Text8"/>
        </w:rPr>
        <w:t xml:space="preserve"> </w:t>
      </w:r>
      <w:r>
        <w:t>https://www.bacula.org/15.0.x-manuals/en/main/Configuring_Director.html#</w:t>
      </w:r>
    </w:p>
    <w:p>
      <w:pPr>
        <w:pStyle w:val="Para 05"/>
      </w:pPr>
      <w:r>
        <w:t>SECTION00231600000000000000000</w:t>
      </w:r>
    </w:p>
    <w:p>
      <w:pPr>
        <w:pStyle w:val="Para 17"/>
      </w:pPr>
      <w:r>
        <w:t/>
      </w:r>
    </w:p>
    <w:p>
      <w:pPr>
        <w:pStyle w:val="Para 01"/>
      </w:pPr>
      <w:r>
        <w:t>The Storage resource</w:t>
      </w:r>
    </w:p>
    <w:p>
      <w:pPr>
        <w:pStyle w:val="Para 17"/>
      </w:pPr>
      <w:r>
        <w:t/>
      </w:r>
    </w:p>
    <w:p>
      <w:pPr>
        <w:pStyle w:val="Normal"/>
      </w:pPr>
      <w:r>
        <w:t xml:space="preserve">The </w:t>
      </w:r>
      <w:r>
        <w:rPr>
          <w:rStyle w:val="Text3"/>
        </w:rPr>
        <w:t>Storage</w:t>
      </w:r>
      <w:r>
        <w:t xml:space="preserve"> resource in the bacula Director configuration file points at the system where the Storage component is running.</w:t>
      </w:r>
    </w:p>
    <w:p>
      <w:pPr>
        <w:pStyle w:val="Normal"/>
      </w:pPr>
      <w:r>
        <w:t xml:space="preserve">In our current setup, that’s the same system where the Director is running, but we </w:t>
      </w:r>
      <w:r>
        <w:rPr>
          <w:rStyle w:val="Text0"/>
        </w:rPr>
        <w:t>MUST NOT</w:t>
      </w:r>
      <w:r>
        <w:t xml:space="preserve"> use localhost in the definition, because this configuration is also sent to the File component on other systems. In another system, localhost will mean itself, but the Storage daemon is not running over there.</w:t>
      </w:r>
    </w:p>
    <w:p>
      <w:bookmarkStart w:id="656" w:name="page_4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3" name="index-444_1.png" descr="index-444_1.png"/>
            <wp:cNvGraphicFramePr>
              <a:graphicFrameLocks noChangeAspect="1"/>
            </wp:cNvGraphicFramePr>
            <a:graphic>
              <a:graphicData uri="http://schemas.openxmlformats.org/drawingml/2006/picture">
                <pic:pic>
                  <pic:nvPicPr>
                    <pic:cNvPr id="0" name="index-444_1.png" descr="index-444_1.png"/>
                    <pic:cNvPicPr/>
                  </pic:nvPicPr>
                  <pic:blipFill>
                    <a:blip r:embed="rId457"/>
                    <a:stretch>
                      <a:fillRect/>
                    </a:stretch>
                  </pic:blipFill>
                  <pic:spPr>
                    <a:xfrm>
                      <a:off x="0" y="0"/>
                      <a:ext cx="914400" cy="266700"/>
                    </a:xfrm>
                    <a:prstGeom prst="rect">
                      <a:avLst/>
                    </a:prstGeom>
                  </pic:spPr>
                </pic:pic>
              </a:graphicData>
            </a:graphic>
          </wp:anchor>
        </w:drawing>
      </w:r>
      <w:bookmarkEnd w:id="656"/>
    </w:p>
    <w:p>
      <w:pPr>
        <w:pStyle w:val="Normal"/>
      </w:pPr>
      <w:r>
        <w:t>This time we will have to change two configuration files: the Director one, and the Storage one. Let’s begin by defining a Storage resource on /etc/bacula/bacula-dir.conf, the Direc-tor configuration file:</w:t>
      </w:r>
    </w:p>
    <w:p>
      <w:pPr>
        <w:pStyle w:val="Normal"/>
      </w:pPr>
      <w:r>
        <w:t>Storage {</w:t>
      </w:r>
    </w:p>
    <w:p>
      <w:pPr>
        <w:pStyle w:val="Para 03"/>
      </w:pPr>
      <w:r>
        <w:t>Name</w:t>
        <w:t xml:space="preserve"> </w:t>
        <w:t>=</w:t>
        <w:t xml:space="preserve"> </w:t>
        <w:t>FileBackup</w:t>
      </w:r>
    </w:p>
    <w:p>
      <w:pPr>
        <w:pStyle w:val="Para 03"/>
      </w:pPr>
      <w:r>
        <w:t>Address</w:t>
        <w:t xml:space="preserve"> </w:t>
        <w:t>=</w:t>
        <w:t xml:space="preserve"> </w:t>
        <w:t>bacula</w:t>
        <w:t>-</w:t>
        <w:t>server</w:t>
        <w:t>.</w:t>
        <w:t>lxd</w:t>
      </w:r>
    </w:p>
    <w:p>
      <w:pPr>
        <w:pStyle w:val="Para 03"/>
      </w:pPr>
      <w:r>
        <w:t>SDPort</w:t>
        <w:t xml:space="preserve"> </w:t>
        <w:t>=</w:t>
        <w:t xml:space="preserve"> </w:t>
        <w:t>9103</w:t>
      </w:r>
    </w:p>
    <w:p>
      <w:pPr>
        <w:pStyle w:val="Para 35"/>
      </w:pPr>
      <w:r>
        <w:t># For this password, use:</w:t>
      </w:r>
    </w:p>
    <w:p>
      <w:pPr>
        <w:pStyle w:val="Para 35"/>
      </w:pPr>
      <w:r>
        <w:t># sudo grep ^SDPASSWD /etc/bacula/common_default_passwords</w:t>
      </w:r>
    </w:p>
    <w:p>
      <w:pPr>
        <w:pStyle w:val="Para 03"/>
      </w:pPr>
      <w:r>
        <w:t>Password</w:t>
        <w:t xml:space="preserve"> </w:t>
        <w:t>=</w:t>
        <w:t xml:space="preserve"> </w:t>
        <w:t>"&lt;SDPASSWD value&gt;"</w:t>
      </w:r>
    </w:p>
    <w:p>
      <w:pPr>
        <w:pStyle w:val="Para 03"/>
      </w:pPr>
      <w:r>
        <w:t>Device</w:t>
        <w:t xml:space="preserve"> </w:t>
        <w:t>=</w:t>
        <w:t xml:space="preserve"> </w:t>
        <w:t>FileBackup</w:t>
      </w:r>
    </w:p>
    <w:p>
      <w:pPr>
        <w:pStyle w:val="Para 03"/>
      </w:pPr>
      <w:r>
        <w:t>Media Type</w:t>
        <w:t xml:space="preserve"> </w:t>
        <w:t>=</w:t>
        <w:t xml:space="preserve"> </w:t>
        <w:t>File</w:t>
      </w:r>
    </w:p>
    <w:p>
      <w:pPr>
        <w:pStyle w:val="Normal"/>
      </w:pPr>
      <w:r>
        <w:t>}</w:t>
      </w:r>
    </w:p>
    <w:p>
      <w:pPr>
        <w:pStyle w:val="Para 17"/>
      </w:pPr>
      <w:r>
        <w:t/>
      </w:r>
    </w:p>
    <w:p>
      <w:pPr>
        <w:pStyle w:val="Normal"/>
      </w:pPr>
      <w:r>
        <w:t>Here is what we have defined with the block above:</w:t>
      </w:r>
    </w:p>
    <w:p>
      <w:pPr>
        <w:pStyle w:val="Para 04"/>
      </w:pPr>
      <w:r>
        <w:t>• Name: The name of this Storage resource, which will be referenced in other places.</w:t>
      </w:r>
    </w:p>
    <w:p>
      <w:pPr>
        <w:pStyle w:val="Para 04"/>
      </w:pPr>
      <w:r>
        <w:t>• Address: The name of the system where the Storage daemon is running. Again, never</w:t>
      </w:r>
    </w:p>
    <w:p>
      <w:pPr>
        <w:pStyle w:val="Para 17"/>
      </w:pPr>
      <w:r>
        <w:t>use localhost here, even if it’s the same system where the Director is running.</w:t>
      </w:r>
    </w:p>
    <w:p>
      <w:pPr>
        <w:pStyle w:val="Para 04"/>
      </w:pPr>
      <w:r>
        <w:t>• Password: The password that should be used when connecting to the Storage daemon.</w:t>
      </w:r>
    </w:p>
    <w:p>
      <w:pPr>
        <w:pStyle w:val="Para 02"/>
      </w:pPr>
      <w:r>
        <w:t>The installation of the packages will have generated a random password. It can be found either in the existing Autochanger definitions in /etc/bacula/bacula-dir.conf, or in /etc/bacula/common_default_passwords in the line for SDPASSWD, or in the Storage daemon configuration file /etc/bacula/bacula-sd.conf.</w:t>
      </w:r>
    </w:p>
    <w:p>
      <w:pPr>
        <w:pStyle w:val="Para 04"/>
      </w:pPr>
      <w:r>
        <w:t>• Device: This must match an existing Device definition in the Storage daemon’s config-</w:t>
      </w:r>
    </w:p>
    <w:p>
      <w:pPr>
        <w:pStyle w:val="Para 02"/>
      </w:pPr>
      <w:r>
        <w:t>uration file (which will be covered next).</w:t>
      </w:r>
    </w:p>
    <w:p>
      <w:pPr>
        <w:pStyle w:val="Para 04"/>
      </w:pPr>
      <w:r>
        <w:t>• Media Type: Likewise, this must also match the same Media Type defined in the Storage</w:t>
      </w:r>
    </w:p>
    <w:p>
      <w:pPr>
        <w:pStyle w:val="Para 02"/>
      </w:pPr>
      <w:r>
        <w:t>daemon’s configuration file.</w:t>
      </w:r>
    </w:p>
    <w:p>
      <w:pPr>
        <w:pStyle w:val="Para 17"/>
      </w:pPr>
      <w:r>
        <w:t/>
      </w:r>
    </w:p>
    <w:p>
      <w:pPr>
        <w:pStyle w:val="Para 08"/>
      </w:pPr>
      <w:r>
        <w:t>Tip:</w:t>
      </w:r>
    </w:p>
    <w:p>
      <w:pPr>
        <w:pStyle w:val="Para 17"/>
      </w:pPr>
      <w:r>
        <w:t/>
      </w:r>
    </w:p>
    <w:p>
      <w:pPr>
        <w:pStyle w:val="Para 03"/>
      </w:pPr>
      <w:r>
        <w:t>For more details about all the options of the Pool resource, please check the upstream</w:t>
      </w:r>
    </w:p>
    <w:p>
      <w:pPr>
        <w:pStyle w:val="Para 22"/>
      </w:pPr>
      <w:hyperlink r:id="rId1367">
        <w:r>
          <w:t>Storage Resource</w:t>
        </w:r>
      </w:hyperlink>
      <w:r>
        <w:rPr>
          <w:rStyle w:val="Text7"/>
        </w:rPr>
        <w:t xml:space="preserve"> </w:t>
      </w:r>
      <w:hyperlink w:anchor="page_444">
        <w:r>
          <w:rPr>
            <w:rStyle w:val="Text10"/>
          </w:rPr>
          <w:t>402</w:t>
        </w:r>
      </w:hyperlink>
      <w:r>
        <w:rPr>
          <w:rStyle w:val="Text7"/>
        </w:rPr>
        <w:t xml:space="preserve"> documentation.</w:t>
      </w:r>
    </w:p>
    <w:p>
      <w:pPr>
        <w:pStyle w:val="Para 41"/>
      </w:pPr>
      <w:r>
        <w:rPr>
          <w:rStyle w:val="Text5"/>
        </w:rPr>
        <w:t>402</w:t>
      </w:r>
      <w:r>
        <w:rPr>
          <w:rStyle w:val="Text8"/>
        </w:rPr>
        <w:t xml:space="preserve"> </w:t>
      </w:r>
      <w:r>
        <w:t>https://www.bacula.org/15.0.x-manuals/en/main/Configuring_Director.html#blb:StorageResource</w:t>
      </w:r>
    </w:p>
    <w:p>
      <w:pPr>
        <w:pStyle w:val="Para 17"/>
      </w:pPr>
      <w:r>
        <w:t/>
      </w:r>
    </w:p>
    <w:p>
      <w:pPr>
        <w:pStyle w:val="Normal"/>
      </w:pPr>
      <w:r>
        <w:t>Next we need to edit the corresponding Storage daemon configuration in /etc/bacula/ bacula-sd.conf.</w:t>
      </w:r>
    </w:p>
    <w:p>
      <w:pPr>
        <w:pStyle w:val="Normal"/>
      </w:pPr>
      <w:r>
        <w:t>First, remove or comment out the SDAddress configuration, so that the daemon will listen on all network interfaces it finds:</w:t>
      </w:r>
    </w:p>
    <w:p>
      <w:pPr>
        <w:pStyle w:val="Normal"/>
      </w:pPr>
      <w:r>
        <w:t>Storage {</w:t>
      </w:r>
    </w:p>
    <w:p>
      <w:pPr>
        <w:pStyle w:val="Para 03"/>
      </w:pPr>
      <w:r>
        <w:t>Name</w:t>
        <w:t xml:space="preserve"> </w:t>
        <w:t>=</w:t>
        <w:t xml:space="preserve"> </w:t>
        <w:t>bacula</w:t>
        <w:t>-</w:t>
        <w:t>server</w:t>
        <w:t>-</w:t>
        <w:t>sd</w:t>
      </w:r>
    </w:p>
    <w:p>
      <w:pPr>
        <w:pStyle w:val="Para 03"/>
      </w:pPr>
      <w:r>
        <w:t>SDPort</w:t>
        <w:t xml:space="preserve"> </w:t>
        <w:t>=</w:t>
        <w:t xml:space="preserve"> </w:t>
        <w:t>9103</w:t>
      </w:r>
    </w:p>
    <w:p>
      <w:pPr>
        <w:pStyle w:val="Para 03"/>
      </w:pPr>
      <w:r>
        <w:t>WorkingDirectory</w:t>
        <w:t xml:space="preserve"> </w:t>
        <w:t>=</w:t>
        <w:t xml:space="preserve"> </w:t>
        <w:t>"/var/lib/bacula"</w:t>
      </w:r>
    </w:p>
    <w:p>
      <w:pPr>
        <w:pStyle w:val="Para 03"/>
      </w:pPr>
      <w:r>
        <w:t>Pid Directory</w:t>
        <w:t xml:space="preserve"> </w:t>
        <w:t>=</w:t>
        <w:t xml:space="preserve"> </w:t>
        <w:t>"/run/bacula"</w:t>
      </w:r>
    </w:p>
    <w:p>
      <w:pPr>
        <w:pStyle w:val="Para 03"/>
      </w:pPr>
      <w:r>
        <w:t>Plugin Directory</w:t>
        <w:t xml:space="preserve"> </w:t>
        <w:t>=</w:t>
        <w:t xml:space="preserve"> </w:t>
        <w:t>"/usr/lib/bacula"</w:t>
      </w:r>
    </w:p>
    <w:p>
      <w:pPr>
        <w:pStyle w:val="Para 03"/>
      </w:pPr>
      <w:r>
        <w:t>Maximum Concurrent Jobs</w:t>
        <w:t xml:space="preserve"> </w:t>
        <w:t>=</w:t>
        <w:t xml:space="preserve"> </w:t>
        <w:t>20</w:t>
      </w:r>
    </w:p>
    <w:p>
      <w:pPr>
        <w:pStyle w:val="Para 03"/>
      </w:pPr>
      <w:r>
        <w:t>Encryption Command</w:t>
        <w:t xml:space="preserve"> </w:t>
        <w:t>=</w:t>
        <w:t xml:space="preserve"> </w:t>
        <w:t>"/etc/bacula/scripts/key-manager.py getkey"</w:t>
      </w:r>
    </w:p>
    <w:p>
      <w:pPr>
        <w:pStyle w:val="Para 35"/>
      </w:pPr>
      <w:r>
        <w:t>#SDAddress = 127.0.0.1</w:t>
      </w:r>
    </w:p>
    <w:p>
      <w:pPr>
        <w:pStyle w:val="Normal"/>
      </w:pPr>
      <w:r>
        <w:t>}</w:t>
      </w:r>
    </w:p>
    <w:p>
      <w:bookmarkStart w:id="657" w:name="page_4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4" name="index-445_1.png" descr="index-445_1.png"/>
            <wp:cNvGraphicFramePr>
              <a:graphicFrameLocks noChangeAspect="1"/>
            </wp:cNvGraphicFramePr>
            <a:graphic>
              <a:graphicData uri="http://schemas.openxmlformats.org/drawingml/2006/picture">
                <pic:pic>
                  <pic:nvPicPr>
                    <pic:cNvPr id="0" name="index-445_1.png" descr="index-445_1.png"/>
                    <pic:cNvPicPr/>
                  </pic:nvPicPr>
                  <pic:blipFill>
                    <a:blip r:embed="rId458"/>
                    <a:stretch>
                      <a:fillRect/>
                    </a:stretch>
                  </pic:blipFill>
                  <pic:spPr>
                    <a:xfrm>
                      <a:off x="0" y="0"/>
                      <a:ext cx="914400" cy="266700"/>
                    </a:xfrm>
                    <a:prstGeom prst="rect">
                      <a:avLst/>
                    </a:prstGeom>
                  </pic:spPr>
                </pic:pic>
              </a:graphicData>
            </a:graphic>
          </wp:anchor>
        </w:drawing>
      </w:r>
      <w:bookmarkEnd w:id="657"/>
    </w:p>
    <w:p>
      <w:pPr>
        <w:pStyle w:val="Normal"/>
      </w:pPr>
      <w:r>
        <w:t>Important points for the config above:</w:t>
      </w:r>
    </w:p>
    <w:p>
      <w:pPr>
        <w:pStyle w:val="Para 04"/>
      </w:pPr>
      <w:r>
        <w:t>• Name: It’s standard for Bacula systems to suffix the name of the system where a compo-</w:t>
      </w:r>
    </w:p>
    <w:p>
      <w:pPr>
        <w:pStyle w:val="Para 02"/>
      </w:pPr>
      <w:r>
        <w:t>nent is running with the abbreviation of that component. In this case, the name of the system is bacula-server, and the component we are defining is the Storage Daemon, hence the-sd suffix.</w:t>
      </w:r>
    </w:p>
    <w:p>
      <w:pPr>
        <w:pStyle w:val="Para 04"/>
      </w:pPr>
      <w:r>
        <w:t>• SDAddress: We need this daemon to listen on all interfaces so it’s reachable from other</w:t>
      </w:r>
    </w:p>
    <w:p>
      <w:pPr>
        <w:pStyle w:val="Para 02"/>
      </w:pPr>
      <w:r>
        <w:t>systems, so we comment this line out and rely on the default which it to listen on all interfaces.</w:t>
      </w:r>
    </w:p>
    <w:p>
      <w:pPr>
        <w:pStyle w:val="Normal"/>
      </w:pPr>
      <w:r>
        <w:t>Next, let’s define a Device, also in /etc/bacula/bacula-sd.conf:</w:t>
      </w:r>
    </w:p>
    <w:p>
      <w:pPr>
        <w:pStyle w:val="Normal"/>
      </w:pPr>
      <w:r>
        <w:t>Device {</w:t>
      </w:r>
    </w:p>
    <w:p>
      <w:pPr>
        <w:pStyle w:val="Para 02"/>
      </w:pPr>
      <w:r>
        <w:t>Name</w:t>
        <w:t xml:space="preserve"> </w:t>
        <w:t>=</w:t>
        <w:t xml:space="preserve"> </w:t>
        <w:t>FileBackup</w:t>
      </w:r>
    </w:p>
    <w:p>
      <w:pPr>
        <w:pStyle w:val="Para 02"/>
      </w:pPr>
      <w:r>
        <w:t>Media Type</w:t>
        <w:t xml:space="preserve"> </w:t>
        <w:t>=</w:t>
        <w:t xml:space="preserve"> </w:t>
        <w:t>File</w:t>
      </w:r>
    </w:p>
    <w:p>
      <w:pPr>
        <w:pStyle w:val="Para 02"/>
      </w:pPr>
      <w:r>
        <w:t>Archive Device</w:t>
        <w:t xml:space="preserve"> </w:t>
        <w:t>= /</w:t>
        <w:t>storage</w:t>
        <w:t>/</w:t>
        <w:t>backups</w:t>
      </w:r>
    </w:p>
    <w:p>
      <w:pPr>
        <w:pStyle w:val="Para 02"/>
      </w:pPr>
      <w:r>
        <w:t>Random Access</w:t>
        <w:t xml:space="preserve"> </w:t>
        <w:t>=</w:t>
        <w:t xml:space="preserve"> </w:t>
        <w:t>yes</w:t>
      </w:r>
    </w:p>
    <w:p>
      <w:pPr>
        <w:pStyle w:val="Para 02"/>
      </w:pPr>
      <w:r>
        <w:t>Automatic Mount</w:t>
        <w:t xml:space="preserve"> </w:t>
        <w:t>=</w:t>
        <w:t xml:space="preserve"> </w:t>
        <w:t>yes</w:t>
      </w:r>
    </w:p>
    <w:p>
      <w:pPr>
        <w:pStyle w:val="Para 02"/>
      </w:pPr>
      <w:r>
        <w:t>Removable Media</w:t>
        <w:t xml:space="preserve"> </w:t>
        <w:t>=</w:t>
        <w:t xml:space="preserve"> </w:t>
        <w:t>no</w:t>
      </w:r>
    </w:p>
    <w:p>
      <w:pPr>
        <w:pStyle w:val="Para 02"/>
      </w:pPr>
      <w:r>
        <w:t>Always Open</w:t>
        <w:t xml:space="preserve"> </w:t>
        <w:t>=</w:t>
        <w:t xml:space="preserve"> </w:t>
        <w:t>no</w:t>
      </w:r>
    </w:p>
    <w:p>
      <w:pPr>
        <w:pStyle w:val="Para 02"/>
      </w:pPr>
      <w:r>
        <w:t>Label Media</w:t>
        <w:t xml:space="preserve"> </w:t>
        <w:t>=</w:t>
        <w:t xml:space="preserve"> </w:t>
        <w:t>yes</w:t>
      </w:r>
    </w:p>
    <w:p>
      <w:pPr>
        <w:pStyle w:val="Normal"/>
      </w:pPr>
      <w:r>
        <w:t>}</w:t>
      </w:r>
    </w:p>
    <w:p>
      <w:pPr>
        <w:pStyle w:val="Para 17"/>
      </w:pPr>
      <w:r>
        <w:t/>
      </w:r>
    </w:p>
    <w:p>
      <w:pPr>
        <w:pStyle w:val="Normal"/>
      </w:pPr>
      <w:r>
        <w:t>What we need to pay close attention to here is:</w:t>
      </w:r>
    </w:p>
    <w:p>
      <w:pPr>
        <w:pStyle w:val="Para 04"/>
      </w:pPr>
      <w:r>
        <w:t>• Name: This has to match the name this device will be referred to in other services. In our</w:t>
      </w:r>
    </w:p>
    <w:p>
      <w:pPr>
        <w:pStyle w:val="Para 02"/>
      </w:pPr>
      <w:r>
        <w:t>case, it matches the name we are using in the Device entry of the Storage definition we added to the Director configuration file /etc/bacula/bacula-dir.conf earlier.</w:t>
      </w:r>
    </w:p>
    <w:p>
      <w:pPr>
        <w:pStyle w:val="Para 04"/>
      </w:pPr>
      <w:r>
        <w:t>• Media Type: Likewise, this has to match the entry we used in the Storage definition in</w:t>
      </w:r>
    </w:p>
    <w:p>
      <w:pPr>
        <w:pStyle w:val="Para 02"/>
      </w:pPr>
      <w:r>
        <w:t>the Director.</w:t>
      </w:r>
    </w:p>
    <w:p>
      <w:pPr>
        <w:pStyle w:val="Para 04"/>
      </w:pPr>
      <w:r>
        <w:t>• Archive Device: Since we are going to store backups as files, and not as tapes, the</w:t>
      </w:r>
    </w:p>
    <w:p>
      <w:pPr>
        <w:pStyle w:val="Para 02"/>
      </w:pPr>
      <w:r>
        <w:t>Archive Device configuration points to a directory. Here we are using /storage/ backups, which can be the mount point of an external storage for example. This is the target directory of all backup jobs what will refer to this device of this storage server.</w:t>
      </w:r>
    </w:p>
    <w:p>
      <w:pPr>
        <w:pStyle w:val="Para 04"/>
      </w:pPr>
      <w:r>
        <w:t>• Label Media: Since we are using files and not real tapes, we want the Storage daemon</w:t>
      </w:r>
    </w:p>
    <w:p>
      <w:pPr>
        <w:pStyle w:val="Para 02"/>
      </w:pPr>
      <w:r>
        <w:t>to actually name the files for us. This configuration option allows it to do so.</w:t>
      </w:r>
    </w:p>
    <w:p>
      <w:pPr>
        <w:pStyle w:val="Normal"/>
      </w:pPr>
      <w:r>
        <w:t>Lastly, the Storage component needs to be told about the Director. This is done with a Di-rector resource in /etc/bacula/bacula-sd.conf. No changes should be needed here because we installed the Storage component on the same host as the Director, but it’s best to check:</w:t>
      </w:r>
    </w:p>
    <w:p>
      <w:pPr>
        <w:pStyle w:val="Normal"/>
      </w:pPr>
      <w:r>
        <w:t>Director {</w:t>
      </w:r>
    </w:p>
    <w:p>
      <w:pPr>
        <w:pStyle w:val="Para 02"/>
      </w:pPr>
      <w:r>
        <w:t>Name</w:t>
        <w:t xml:space="preserve"> </w:t>
        <w:t>=</w:t>
        <w:t xml:space="preserve"> </w:t>
        <w:t>bacula</w:t>
        <w:t>-</w:t>
        <w:t>server</w:t>
        <w:t>-</w:t>
        <w:t>dir</w:t>
      </w:r>
    </w:p>
    <w:p>
      <w:pPr>
        <w:pStyle w:val="Para 02"/>
      </w:pPr>
      <w:r>
        <w:t>Password</w:t>
        <w:t xml:space="preserve"> </w:t>
        <w:t>=</w:t>
        <w:t xml:space="preserve"> </w:t>
        <w:t>"&lt;randomly generated&gt;"</w:t>
      </w:r>
    </w:p>
    <w:p>
      <w:pPr>
        <w:pStyle w:val="Normal"/>
      </w:pPr>
      <w:r>
        <w:t>}</w:t>
      </w:r>
    </w:p>
    <w:p>
      <w:pPr>
        <w:pStyle w:val="Para 17"/>
      </w:pPr>
      <w:r>
        <w:t/>
      </w:r>
    </w:p>
    <w:p>
      <w:pPr>
        <w:pStyle w:val="Normal"/>
      </w:pPr>
      <w:r>
        <w:t>These two options need to match the following:</w:t>
      </w:r>
    </w:p>
    <w:p>
      <w:pPr>
        <w:pStyle w:val="Para 04"/>
      </w:pPr>
      <w:r>
        <w:t>• Name: This names which Director is allowed to use this Storage component, and there-</w:t>
      </w:r>
    </w:p>
    <w:p>
      <w:pPr>
        <w:pStyle w:val="Para 02"/>
      </w:pPr>
      <w:r>
        <w:t>fore needs to match the Name defined in the Director resource in /etc/bacula/bacula-dir.conf on the Director system.</w:t>
      </w:r>
    </w:p>
    <w:p>
      <w:pPr>
        <w:pStyle w:val="Para 04"/>
      </w:pPr>
      <w:r>
        <w:t>• Password: The password that the Director needs to use to authenticate against this Stor-</w:t>
      </w:r>
    </w:p>
    <w:p>
      <w:pPr>
        <w:pStyle w:val="Para 02"/>
      </w:pPr>
      <w:r>
        <w:t>age component. This needs to match the Password set in the Storage resource in /etc/ bacula/bacula-dir.conf on the Directory system.</w:t>
      </w:r>
    </w:p>
    <w:p>
      <w:bookmarkStart w:id="658" w:name="page_4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5" name="index-446_1.png" descr="index-446_1.png"/>
            <wp:cNvGraphicFramePr>
              <a:graphicFrameLocks noChangeAspect="1"/>
            </wp:cNvGraphicFramePr>
            <a:graphic>
              <a:graphicData uri="http://schemas.openxmlformats.org/drawingml/2006/picture">
                <pic:pic>
                  <pic:nvPicPr>
                    <pic:cNvPr id="0" name="index-446_1.png" descr="index-446_1.png"/>
                    <pic:cNvPicPr/>
                  </pic:nvPicPr>
                  <pic:blipFill>
                    <a:blip r:embed="rId459"/>
                    <a:stretch>
                      <a:fillRect/>
                    </a:stretch>
                  </pic:blipFill>
                  <pic:spPr>
                    <a:xfrm>
                      <a:off x="0" y="0"/>
                      <a:ext cx="914400" cy="266700"/>
                    </a:xfrm>
                    <a:prstGeom prst="rect">
                      <a:avLst/>
                    </a:prstGeom>
                  </pic:spPr>
                </pic:pic>
              </a:graphicData>
            </a:graphic>
          </wp:anchor>
        </w:drawing>
      </w:r>
      <w:bookmarkEnd w:id="658"/>
    </w:p>
    <w:p>
      <w:pPr>
        <w:pStyle w:val="Normal"/>
      </w:pPr>
      <w:r>
        <w:t>After making all changes to the bacula-sd.conf configuration file, restart the Storage Dae-mon:</w:t>
      </w:r>
    </w:p>
    <w:p>
      <w:pPr>
        <w:pStyle w:val="Normal"/>
      </w:pPr>
      <w:r>
        <w:t>sudo systemctl restart bacula-sd.service</w:t>
      </w:r>
    </w:p>
    <w:p>
      <w:pPr>
        <w:pStyle w:val="Para 17"/>
      </w:pPr>
      <w:r>
        <w:t/>
      </w:r>
    </w:p>
    <w:p>
      <w:pPr>
        <w:pStyle w:val="Para 01"/>
      </w:pPr>
      <w:r>
        <w:t>The Job resource</w:t>
      </w:r>
    </w:p>
    <w:p>
      <w:pPr>
        <w:pStyle w:val="Para 17"/>
      </w:pPr>
      <w:r>
        <w:t/>
      </w:r>
    </w:p>
    <w:p>
      <w:pPr>
        <w:pStyle w:val="Normal"/>
      </w:pPr>
      <w:r>
        <w:t>The Job resource is the basic unit in Bacula, and ties everything together:</w:t>
      </w:r>
    </w:p>
    <w:p>
      <w:pPr>
        <w:pStyle w:val="Para 04"/>
      </w:pPr>
      <w:r>
        <w:t>• Who is being backed up (Client).</w:t>
      </w:r>
    </w:p>
    <w:p>
      <w:pPr>
        <w:pStyle w:val="Para 04"/>
      </w:pPr>
      <w:r>
        <w:t>• What should be backed up (FileSet).</w:t>
      </w:r>
    </w:p>
    <w:p>
      <w:pPr>
        <w:pStyle w:val="Para 04"/>
      </w:pPr>
      <w:r>
        <w:t>• Where should the data be stored (Storage, Pool), and where to record the job (Catalog)</w:t>
      </w:r>
    </w:p>
    <w:p>
      <w:pPr>
        <w:pStyle w:val="Para 04"/>
      </w:pPr>
      <w:r>
        <w:t>• When should the job run (Schedule)</w:t>
      </w:r>
    </w:p>
    <w:p>
      <w:pPr>
        <w:pStyle w:val="Normal"/>
      </w:pPr>
      <w:r>
        <w:t>The default Director configuration file includes a default Job resource, and more Jobs can inherit from that.</w:t>
      </w:r>
    </w:p>
    <w:p>
      <w:pPr>
        <w:pStyle w:val="Normal"/>
      </w:pPr>
      <w:r>
        <w:t>Let’s go over the Default Job resource first in /etc/bacula/bacula-dir.conf and change it a little bit:</w:t>
      </w:r>
    </w:p>
    <w:p>
      <w:pPr>
        <w:pStyle w:val="Normal"/>
      </w:pPr>
      <w:r>
        <w:t>JobDefs {</w:t>
      </w:r>
    </w:p>
    <w:p>
      <w:pPr>
        <w:pStyle w:val="Para 03"/>
      </w:pPr>
      <w:r>
        <w:t>Name</w:t>
        <w:t xml:space="preserve"> </w:t>
        <w:t>=</w:t>
        <w:t xml:space="preserve"> </w:t>
        <w:t>"DefaultJob"</w:t>
      </w:r>
    </w:p>
    <w:p>
      <w:pPr>
        <w:pStyle w:val="Para 03"/>
      </w:pPr>
      <w:r>
        <w:t>Type</w:t>
        <w:t xml:space="preserve"> </w:t>
        <w:t>=</w:t>
        <w:t xml:space="preserve"> </w:t>
        <w:t>Backup</w:t>
      </w:r>
    </w:p>
    <w:p>
      <w:pPr>
        <w:pStyle w:val="Para 03"/>
      </w:pPr>
      <w:r>
        <w:t>Level</w:t>
        <w:t xml:space="preserve"> </w:t>
        <w:t>=</w:t>
        <w:t xml:space="preserve"> </w:t>
        <w:t>Incremental</w:t>
      </w:r>
    </w:p>
    <w:p>
      <w:pPr>
        <w:pStyle w:val="Para 03"/>
      </w:pPr>
      <w:r>
        <w:t>Client</w:t>
        <w:t xml:space="preserve"> </w:t>
        <w:t>=</w:t>
        <w:t xml:space="preserve"> </w:t>
        <w:t>bacula</w:t>
        <w:t>-</w:t>
        <w:t>server</w:t>
        <w:t>-</w:t>
        <w:t>fd</w:t>
      </w:r>
    </w:p>
    <w:p>
      <w:pPr>
        <w:pStyle w:val="Para 03"/>
      </w:pPr>
      <w:r>
        <w:t>FileSet</w:t>
        <w:t xml:space="preserve"> </w:t>
        <w:t>=</w:t>
        <w:t xml:space="preserve"> </w:t>
        <w:t>"Home Set"</w:t>
      </w:r>
    </w:p>
    <w:p>
      <w:pPr>
        <w:pStyle w:val="Para 03"/>
      </w:pPr>
      <w:r>
        <w:t>Schedule</w:t>
        <w:t xml:space="preserve"> </w:t>
        <w:t>=</w:t>
        <w:t xml:space="preserve"> </w:t>
        <w:t>"WeeklyCycle"</w:t>
      </w:r>
    </w:p>
    <w:p>
      <w:pPr>
        <w:pStyle w:val="Para 03"/>
      </w:pPr>
      <w:r>
        <w:t>Storage</w:t>
        <w:t xml:space="preserve"> </w:t>
        <w:t>=</w:t>
        <w:t xml:space="preserve"> </w:t>
        <w:t>FileBackup</w:t>
      </w:r>
    </w:p>
    <w:p>
      <w:pPr>
        <w:pStyle w:val="Para 03"/>
      </w:pPr>
      <w:r>
        <w:t>Messages</w:t>
        <w:t xml:space="preserve"> </w:t>
        <w:t>=</w:t>
        <w:t xml:space="preserve"> </w:t>
        <w:t>Standard</w:t>
      </w:r>
    </w:p>
    <w:p>
      <w:pPr>
        <w:pStyle w:val="Para 03"/>
      </w:pPr>
      <w:r>
        <w:t>Pool</w:t>
        <w:t xml:space="preserve"> </w:t>
        <w:t>=</w:t>
        <w:t xml:space="preserve"> </w:t>
        <w:t>File</w:t>
      </w:r>
    </w:p>
    <w:p>
      <w:pPr>
        <w:pStyle w:val="Para 03"/>
      </w:pPr>
      <w:r>
        <w:t>SpoolAttributes</w:t>
        <w:t xml:space="preserve"> </w:t>
        <w:t>=</w:t>
        <w:t xml:space="preserve"> </w:t>
        <w:t>yes</w:t>
      </w:r>
    </w:p>
    <w:p>
      <w:pPr>
        <w:pStyle w:val="Para 03"/>
      </w:pPr>
      <w:r>
        <w:t>Priority</w:t>
        <w:t xml:space="preserve"> </w:t>
        <w:t>=</w:t>
        <w:t xml:space="preserve"> </w:t>
        <w:t>10</w:t>
      </w:r>
    </w:p>
    <w:p>
      <w:pPr>
        <w:pStyle w:val="Para 03"/>
      </w:pPr>
      <w:r>
        <w:t>Write Bootstrap</w:t>
        <w:t xml:space="preserve"> </w:t>
        <w:t>=</w:t>
        <w:t xml:space="preserve"> </w:t>
        <w:t>"/var/lib/bacula/</w:t>
      </w:r>
      <w:r>
        <w:rPr>
          <w:rStyle w:val="Text3"/>
        </w:rPr>
        <w:t>%c</w:t>
      </w:r>
      <w:r>
        <w:t>.bsr"</w:t>
      </w:r>
    </w:p>
    <w:p>
      <w:pPr>
        <w:pStyle w:val="Normal"/>
      </w:pPr>
      <w:r>
        <w:t>}</w:t>
      </w:r>
    </w:p>
    <w:p>
      <w:pPr>
        <w:pStyle w:val="Para 17"/>
      </w:pPr>
      <w:r>
        <w:t/>
      </w:r>
    </w:p>
    <w:p>
      <w:pPr>
        <w:pStyle w:val="Normal"/>
      </w:pPr>
      <w:r>
        <w:t>This configuration is selecting some defaults:</w:t>
      </w:r>
    </w:p>
    <w:p>
      <w:pPr>
        <w:pStyle w:val="Para 04"/>
      </w:pPr>
      <w:r>
        <w:t>• Name: The name of this Job.</w:t>
      </w:r>
    </w:p>
    <w:p>
      <w:pPr>
        <w:pStyle w:val="Para 04"/>
      </w:pPr>
      <w:r>
        <w:t>• Client: To which client it applies. This must match an existing Client {} resource defi-</w:t>
      </w:r>
    </w:p>
    <w:p>
      <w:pPr>
        <w:pStyle w:val="Para 02"/>
      </w:pPr>
      <w:r>
        <w:t>nition.</w:t>
      </w:r>
    </w:p>
    <w:p>
      <w:pPr>
        <w:pStyle w:val="Para 04"/>
      </w:pPr>
      <w:r>
        <w:t>• FileSet: The name of the FileSet resource that defines the data to be backed up. We</w:t>
      </w:r>
    </w:p>
    <w:p>
      <w:pPr>
        <w:pStyle w:val="Para 02"/>
      </w:pPr>
      <w:r>
        <w:t>changed it to Home Set in this example.</w:t>
      </w:r>
    </w:p>
    <w:p>
      <w:pPr>
        <w:pStyle w:val="Para 04"/>
      </w:pPr>
      <w:r>
        <w:t>• Schedule: The name of the Schedule resource that defines when this job should run.</w:t>
      </w:r>
    </w:p>
    <w:p>
      <w:pPr>
        <w:pStyle w:val="Para 04"/>
      </w:pPr>
      <w:r>
        <w:t>• Storage: Which Storage resource this job should use. We changed it to FileBackup in</w:t>
      </w:r>
    </w:p>
    <w:p>
      <w:pPr>
        <w:pStyle w:val="Para 02"/>
      </w:pPr>
      <w:r>
        <w:t>this example.</w:t>
      </w:r>
    </w:p>
    <w:p>
      <w:pPr>
        <w:pStyle w:val="Para 04"/>
      </w:pPr>
      <w:r>
        <w:t>• Pool: Which Pool resource this job should use.</w:t>
      </w:r>
    </w:p>
    <w:p>
      <w:pPr>
        <w:pStyle w:val="Normal"/>
      </w:pPr>
      <w:r>
        <w:t>We can now take advantage of this set of defaults, and define a new Job resource with mini-mal config:</w:t>
      </w:r>
    </w:p>
    <w:p>
      <w:bookmarkStart w:id="659" w:name="page_4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6" name="index-447_1.png" descr="index-447_1.png"/>
            <wp:cNvGraphicFramePr>
              <a:graphicFrameLocks noChangeAspect="1"/>
            </wp:cNvGraphicFramePr>
            <a:graphic>
              <a:graphicData uri="http://schemas.openxmlformats.org/drawingml/2006/picture">
                <pic:pic>
                  <pic:nvPicPr>
                    <pic:cNvPr id="0" name="index-447_1.png" descr="index-447_1.png"/>
                    <pic:cNvPicPr/>
                  </pic:nvPicPr>
                  <pic:blipFill>
                    <a:blip r:embed="rId460"/>
                    <a:stretch>
                      <a:fillRect/>
                    </a:stretch>
                  </pic:blipFill>
                  <pic:spPr>
                    <a:xfrm>
                      <a:off x="0" y="0"/>
                      <a:ext cx="914400" cy="266700"/>
                    </a:xfrm>
                    <a:prstGeom prst="rect">
                      <a:avLst/>
                    </a:prstGeom>
                  </pic:spPr>
                </pic:pic>
              </a:graphicData>
            </a:graphic>
          </wp:anchor>
        </w:drawing>
      </w:r>
      <w:bookmarkEnd w:id="659"/>
    </w:p>
    <w:p>
      <w:pPr>
        <w:pStyle w:val="Normal"/>
      </w:pPr>
      <w:r>
        <w:t>Job {</w:t>
      </w:r>
    </w:p>
    <w:p>
      <w:pPr>
        <w:pStyle w:val="Para 02"/>
      </w:pPr>
      <w:r>
        <w:t>Name</w:t>
        <w:t xml:space="preserve"> </w:t>
        <w:t>=</w:t>
        <w:t xml:space="preserve"> </w:t>
        <w:t>"DirectorHomeBackup"</w:t>
      </w:r>
    </w:p>
    <w:p>
      <w:pPr>
        <w:pStyle w:val="Para 02"/>
      </w:pPr>
      <w:r>
        <w:t>JobDefs</w:t>
        <w:t xml:space="preserve"> </w:t>
        <w:t>=</w:t>
        <w:t xml:space="preserve"> </w:t>
        <w:t>"DefaultJob"</w:t>
      </w:r>
    </w:p>
    <w:p>
      <w:pPr>
        <w:pStyle w:val="Normal"/>
      </w:pPr>
      <w:r>
        <w:t>}</w:t>
      </w:r>
    </w:p>
    <w:p>
      <w:pPr>
        <w:pStyle w:val="Para 17"/>
      </w:pPr>
      <w:r>
        <w:t/>
      </w:r>
    </w:p>
    <w:p>
      <w:pPr>
        <w:pStyle w:val="Para 08"/>
      </w:pPr>
      <w:r>
        <w:t>Tip:</w:t>
      </w:r>
    </w:p>
    <w:p>
      <w:pPr>
        <w:pStyle w:val="Para 17"/>
      </w:pPr>
      <w:r>
        <w:t/>
      </w:r>
    </w:p>
    <w:p>
      <w:pPr>
        <w:pStyle w:val="Para 03"/>
      </w:pPr>
      <w:r>
        <w:t>A job has many attributes that can only be specified once. This means that jobs are pretty</w:t>
      </w:r>
    </w:p>
    <w:p>
      <w:pPr>
        <w:pStyle w:val="Para 03"/>
      </w:pPr>
      <w:r>
        <w:t>much specific to what is being backed up, and from where, among other things. It there-</w:t>
      </w:r>
    </w:p>
    <w:p>
      <w:pPr>
        <w:pStyle w:val="Para 03"/>
      </w:pPr>
      <w:r>
        <w:t>fore helps to come up with a naming convention.</w:t>
      </w:r>
    </w:p>
    <w:p>
      <w:pPr>
        <w:pStyle w:val="Para 03"/>
      </w:pPr>
      <w:r>
        <w:t xml:space="preserve">The upstream documentation has a section about </w:t>
      </w:r>
      <w:hyperlink r:id="rId1368">
        <w:r>
          <w:rPr>
            <w:rStyle w:val="Text9"/>
          </w:rPr>
          <w:t>403</w:t>
        </w:r>
      </w:hyperlink>
      <w:hyperlink r:id="rId1368">
        <w:r>
          <w:rPr>
            <w:rStyle w:val="Text1"/>
          </w:rPr>
          <w:t xml:space="preserve"> Naming Resources</w:t>
        </w:r>
      </w:hyperlink>
      <w:r>
        <w:t xml:space="preserve"> with some sug-</w:t>
      </w:r>
    </w:p>
    <w:p>
      <w:pPr>
        <w:pStyle w:val="Para 03"/>
      </w:pPr>
      <w:r>
        <w:t>gestions.</w:t>
      </w:r>
    </w:p>
    <w:p>
      <w:pPr>
        <w:pStyle w:val="Para 41"/>
      </w:pPr>
      <w:r>
        <w:rPr>
          <w:rStyle w:val="Text5"/>
        </w:rPr>
        <w:t>403</w:t>
      </w:r>
      <w:r>
        <w:rPr>
          <w:rStyle w:val="Text8"/>
        </w:rPr>
        <w:t xml:space="preserve"> </w:t>
      </w:r>
      <w:r>
        <w:t>https://docs.baculasystems.com/BEPlanningAndPreparation/BackupPolicy/NamingResources/index.</w:t>
      </w:r>
    </w:p>
    <w:p>
      <w:pPr>
        <w:pStyle w:val="Para 05"/>
      </w:pPr>
      <w:r>
        <w:t>html</w:t>
      </w:r>
    </w:p>
    <w:p>
      <w:pPr>
        <w:pStyle w:val="Para 17"/>
      </w:pPr>
      <w:r>
        <w:t/>
      </w:r>
    </w:p>
    <w:p>
      <w:pPr>
        <w:pStyle w:val="Normal"/>
      </w:pPr>
      <w:r>
        <w:t>We also need a Job definition for the restore task. The default configuration file will have a definition for this already, but it needs to be changed:</w:t>
      </w:r>
    </w:p>
    <w:p>
      <w:pPr>
        <w:pStyle w:val="Normal"/>
      </w:pPr>
      <w:r>
        <w:t>Job {</w:t>
      </w:r>
    </w:p>
    <w:p>
      <w:pPr>
        <w:pStyle w:val="Para 02"/>
      </w:pPr>
      <w:r>
        <w:t>Name</w:t>
        <w:t xml:space="preserve"> </w:t>
        <w:t>=</w:t>
        <w:t xml:space="preserve"> </w:t>
        <w:t>"RestoreFiles"</w:t>
      </w:r>
    </w:p>
    <w:p>
      <w:pPr>
        <w:pStyle w:val="Para 02"/>
      </w:pPr>
      <w:r>
        <w:t>Type</w:t>
        <w:t xml:space="preserve"> </w:t>
        <w:t>=</w:t>
        <w:t xml:space="preserve"> </w:t>
        <w:t>Restore</w:t>
      </w:r>
    </w:p>
    <w:p>
      <w:pPr>
        <w:pStyle w:val="Para 02"/>
      </w:pPr>
      <w:r>
        <w:t>Client</w:t>
        <w:t xml:space="preserve"> </w:t>
        <w:t>=</w:t>
        <w:t xml:space="preserve"> </w:t>
        <w:t>bacula</w:t>
        <w:t>-</w:t>
        <w:t>server</w:t>
        <w:t>-</w:t>
        <w:t>fd</w:t>
      </w:r>
    </w:p>
    <w:p>
      <w:pPr>
        <w:pStyle w:val="Para 02"/>
      </w:pPr>
      <w:r>
        <w:t>Storage</w:t>
        <w:t xml:space="preserve"> </w:t>
        <w:t>=</w:t>
        <w:t xml:space="preserve"> </w:t>
        <w:t>FileBackup</w:t>
      </w:r>
    </w:p>
    <w:p>
      <w:pPr>
        <w:pStyle w:val="Para 07"/>
      </w:pPr>
      <w:r>
        <w:t># The FileSet and Pool directives are not used by Restore Jobs</w:t>
      </w:r>
      <w:r>
        <w:rPr>
          <w:rStyle w:val="Text3"/>
        </w:rPr>
        <w:t xml:space="preserve"> </w:t>
      </w:r>
      <w:r>
        <w:t># but must not be removed</w:t>
      </w:r>
    </w:p>
    <w:p>
      <w:pPr>
        <w:pStyle w:val="Para 02"/>
      </w:pPr>
      <w:r>
        <w:t>FileSet</w:t>
        <w:t xml:space="preserve"> </w:t>
        <w:t>=</w:t>
        <w:t xml:space="preserve"> </w:t>
        <w:t>"Home Set"</w:t>
      </w:r>
    </w:p>
    <w:p>
      <w:pPr>
        <w:pStyle w:val="Para 02"/>
      </w:pPr>
      <w:r>
        <w:t>Pool</w:t>
        <w:t xml:space="preserve"> </w:t>
        <w:t>=</w:t>
        <w:t xml:space="preserve"> </w:t>
        <w:t>File</w:t>
      </w:r>
    </w:p>
    <w:p>
      <w:pPr>
        <w:pStyle w:val="Para 02"/>
      </w:pPr>
      <w:r>
        <w:t>Messages</w:t>
        <w:t xml:space="preserve"> </w:t>
        <w:t>=</w:t>
        <w:t xml:space="preserve"> </w:t>
        <w:t>Standard</w:t>
      </w:r>
    </w:p>
    <w:p>
      <w:pPr>
        <w:pStyle w:val="Para 02"/>
      </w:pPr>
      <w:r>
        <w:t>Where</w:t>
        <w:t xml:space="preserve"> </w:t>
        <w:t>= /</w:t>
        <w:t>storage</w:t>
        <w:t>/</w:t>
        <w:t>restore</w:t>
      </w:r>
    </w:p>
    <w:p>
      <w:pPr>
        <w:pStyle w:val="Normal"/>
      </w:pPr>
      <w:r>
        <w:t>}</w:t>
      </w:r>
    </w:p>
    <w:p>
      <w:pPr>
        <w:pStyle w:val="Para 17"/>
      </w:pPr>
      <w:r>
        <w:t/>
      </w:r>
    </w:p>
    <w:p>
      <w:pPr>
        <w:pStyle w:val="Normal"/>
      </w:pPr>
      <w:r>
        <w:t>Important parameters defined above:</w:t>
      </w:r>
    </w:p>
    <w:p>
      <w:pPr>
        <w:pStyle w:val="Para 04"/>
      </w:pPr>
      <w:r>
        <w:t>• Name: The name of this job.</w:t>
      </w:r>
    </w:p>
    <w:p>
      <w:pPr>
        <w:pStyle w:val="Para 04"/>
      </w:pPr>
      <w:r>
        <w:t>• Type: This is a job that restores backups (Restore).</w:t>
      </w:r>
    </w:p>
    <w:p>
      <w:pPr>
        <w:pStyle w:val="Para 04"/>
      </w:pPr>
      <w:r>
        <w:t>• Client: Where the files should be restored to. This can be overridden when the job is</w:t>
      </w:r>
    </w:p>
    <w:p>
      <w:pPr>
        <w:pStyle w:val="Para 02"/>
      </w:pPr>
      <w:r>
        <w:t>invoked.</w:t>
      </w:r>
    </w:p>
    <w:p>
      <w:pPr>
        <w:pStyle w:val="Para 04"/>
      </w:pPr>
      <w:r>
        <w:t>• Storage: The storage from where the backup should be restored. We changed it to</w:t>
      </w:r>
    </w:p>
    <w:p>
      <w:pPr>
        <w:pStyle w:val="Para 02"/>
      </w:pPr>
      <w:r>
        <w:t>FileBackup in this example.</w:t>
      </w:r>
    </w:p>
    <w:p>
      <w:pPr>
        <w:pStyle w:val="Para 04"/>
      </w:pPr>
      <w:r>
        <w:t>• FileSet and Pool: These are not used, but must be present and point to valid resources.</w:t>
      </w:r>
    </w:p>
    <w:p>
      <w:pPr>
        <w:pStyle w:val="Para 02"/>
      </w:pPr>
      <w:r>
        <w:t>We changed FileSet to Home Set in this example.</w:t>
      </w:r>
    </w:p>
    <w:p>
      <w:pPr>
        <w:pStyle w:val="Para 04"/>
      </w:pPr>
      <w:r>
        <w:t>• Where: The path where the restored files should be placed. This can also be overridden</w:t>
      </w:r>
    </w:p>
    <w:p>
      <w:pPr>
        <w:pStyle w:val="Para 02"/>
      </w:pPr>
      <w:r>
        <w:t>when the job is invoked. We changed it to /storage/restore in this example.</w:t>
      </w:r>
    </w:p>
    <w:p>
      <w:pPr>
        <w:pStyle w:val="Para 17"/>
      </w:pPr>
      <w:r>
        <w:t/>
      </w:r>
    </w:p>
    <w:p>
      <w:pPr>
        <w:pStyle w:val="Para 08"/>
      </w:pPr>
      <w:r>
        <w:t>Tip:</w:t>
      </w:r>
    </w:p>
    <w:p>
      <w:pPr>
        <w:pStyle w:val="Para 17"/>
      </w:pPr>
      <w:r>
        <w:t/>
      </w:r>
    </w:p>
    <w:p>
      <w:pPr>
        <w:pStyle w:val="Para 03"/>
      </w:pPr>
      <w:r>
        <w:t xml:space="preserve">For more details about all the options of the Job resource, please check the upstream </w:t>
      </w:r>
      <w:hyperlink r:id="rId1369">
        <w:r>
          <w:rPr>
            <w:rStyle w:val="Text1"/>
          </w:rPr>
          <w:t>Job</w:t>
        </w:r>
      </w:hyperlink>
    </w:p>
    <w:p>
      <w:pPr>
        <w:pStyle w:val="Para 03"/>
      </w:pPr>
      <w:hyperlink r:id="rId1369">
        <w:r>
          <w:rPr>
            <w:rStyle w:val="Text1"/>
          </w:rPr>
          <w:t>Resource</w:t>
        </w:r>
      </w:hyperlink>
      <w:r>
        <w:t xml:space="preserve"> </w:t>
      </w:r>
      <w:hyperlink w:anchor="page_447">
        <w:r>
          <w:rPr>
            <w:rStyle w:val="Text9"/>
          </w:rPr>
          <w:t>404</w:t>
        </w:r>
      </w:hyperlink>
      <w:r>
        <w:t xml:space="preserve"> documentation.</w:t>
      </w:r>
    </w:p>
    <w:p>
      <w:pPr>
        <w:pStyle w:val="Para 05"/>
      </w:pPr>
      <w:r>
        <w:rPr>
          <w:rStyle w:val="Text5"/>
        </w:rPr>
        <w:t>404</w:t>
      </w:r>
      <w:r>
        <w:rPr>
          <w:rStyle w:val="Text8"/>
        </w:rPr>
        <w:t xml:space="preserve"> </w:t>
      </w:r>
      <w:r>
        <w:t>https://www.bacula.org/15.0.x-manuals/en/main/Configuring_Director.html#blb:JobResource</w:t>
      </w:r>
      <w:r>
        <w:rPr>
          <w:rStyle w:val="Text8"/>
        </w:rPr>
        <w:t xml:space="preserve"> </w:t>
      </w:r>
      <w:r>
        <w:rPr>
          <w:rStyle w:val="Text11"/>
        </w:rPr>
        <w:t>Storage daemon</w:t>
      </w:r>
    </w:p>
    <w:p>
      <w:bookmarkStart w:id="660" w:name="page_4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7" name="index-448_1.png" descr="index-448_1.png"/>
            <wp:cNvGraphicFramePr>
              <a:graphicFrameLocks noChangeAspect="1"/>
            </wp:cNvGraphicFramePr>
            <a:graphic>
              <a:graphicData uri="http://schemas.openxmlformats.org/drawingml/2006/picture">
                <pic:pic>
                  <pic:nvPicPr>
                    <pic:cNvPr id="0" name="index-448_1.png" descr="index-448_1.png"/>
                    <pic:cNvPicPr/>
                  </pic:nvPicPr>
                  <pic:blipFill>
                    <a:blip r:embed="rId461"/>
                    <a:stretch>
                      <a:fillRect/>
                    </a:stretch>
                  </pic:blipFill>
                  <pic:spPr>
                    <a:xfrm>
                      <a:off x="0" y="0"/>
                      <a:ext cx="914400" cy="266700"/>
                    </a:xfrm>
                    <a:prstGeom prst="rect">
                      <a:avLst/>
                    </a:prstGeom>
                  </pic:spPr>
                </pic:pic>
              </a:graphicData>
            </a:graphic>
          </wp:anchor>
        </w:drawing>
      </w:r>
      <w:bookmarkEnd w:id="660"/>
    </w:p>
    <w:p>
      <w:pPr>
        <w:pStyle w:val="Para 17"/>
      </w:pPr>
      <w:r>
        <w:t/>
      </w:r>
    </w:p>
    <w:p>
      <w:pPr>
        <w:pStyle w:val="Normal"/>
      </w:pPr>
      <w:r>
        <w:t>There isn’t much more to configure for the Storage daemon after the Director configuration steps done earlier, but we still need to create the directories for the backup and restore jobs:</w:t>
      </w:r>
    </w:p>
    <w:p>
      <w:pPr>
        <w:pStyle w:val="Normal"/>
      </w:pPr>
      <w:r>
        <w:t>sudo mkdir -m 0700 /storage /storage/backups /storage/restore</w:t>
        <w:t xml:space="preserve"> </w:t>
        <w:t>sudo chown bacula: -R /storage</w:t>
      </w:r>
    </w:p>
    <w:p>
      <w:pPr>
        <w:pStyle w:val="Para 17"/>
      </w:pPr>
      <w:r>
        <w:t/>
      </w:r>
    </w:p>
    <w:p>
      <w:pPr>
        <w:pStyle w:val="Normal"/>
      </w:pPr>
      <w:r>
        <w:t>This will allow bacula, and only bacula, to read and write to the storage path. You can, of course, adjust the permissions and ownership to something that suits your deployment. Just be mindful that the bacula user needs to be able to create and remove files from the / storage/backups and /storage/restore paths, and that regular users should not be allowed to read those.</w:t>
      </w:r>
    </w:p>
    <w:p>
      <w:pPr>
        <w:pStyle w:val="Para 17"/>
      </w:pPr>
      <w:r>
        <w:t/>
      </w:r>
    </w:p>
    <w:p>
      <w:pPr>
        <w:pStyle w:val="Para 08"/>
      </w:pPr>
      <w:r>
        <w:t>Tip:</w:t>
      </w:r>
    </w:p>
    <w:p>
      <w:pPr>
        <w:pStyle w:val="Para 17"/>
      </w:pPr>
      <w:r>
        <w:t/>
      </w:r>
    </w:p>
    <w:p>
      <w:pPr>
        <w:pStyle w:val="Para 03"/>
      </w:pPr>
      <w:r>
        <w:t>For more details about the Storage daemon configuration options, please check the up-</w:t>
      </w:r>
    </w:p>
    <w:p>
      <w:pPr>
        <w:pStyle w:val="Para 03"/>
      </w:pPr>
      <w:r>
        <w:t xml:space="preserve">stream </w:t>
      </w:r>
      <w:hyperlink r:id="rId1370">
        <w:r>
          <w:rPr>
            <w:rStyle w:val="Text9"/>
          </w:rPr>
          <w:t>405</w:t>
        </w:r>
      </w:hyperlink>
      <w:hyperlink r:id="rId1370">
        <w:r>
          <w:rPr>
            <w:rStyle w:val="Text1"/>
          </w:rPr>
          <w:t xml:space="preserve"> Storage Daemon</w:t>
        </w:r>
      </w:hyperlink>
      <w:r>
        <w:t xml:space="preserve"> documentation.</w:t>
      </w:r>
    </w:p>
    <w:p>
      <w:pPr>
        <w:pStyle w:val="Para 05"/>
      </w:pPr>
      <w:r>
        <w:rPr>
          <w:rStyle w:val="Text5"/>
        </w:rPr>
        <w:t>405</w:t>
      </w:r>
      <w:r>
        <w:rPr>
          <w:rStyle w:val="Text8"/>
        </w:rPr>
        <w:t xml:space="preserve"> </w:t>
      </w:r>
      <w:r>
        <w:t>https://www.bacula.org/15.0.x-manuals/en/main/Storage_Daemon_Configuratio.html</w:t>
      </w:r>
    </w:p>
    <w:p>
      <w:pPr>
        <w:pStyle w:val="Para 17"/>
      </w:pPr>
      <w:r>
        <w:t/>
      </w:r>
    </w:p>
    <w:p>
      <w:pPr>
        <w:pStyle w:val="Para 01"/>
      </w:pPr>
      <w:r>
        <w:t>File daemon</w:t>
      </w:r>
    </w:p>
    <w:p>
      <w:pPr>
        <w:pStyle w:val="Para 17"/>
      </w:pPr>
      <w:r>
        <w:t/>
      </w:r>
    </w:p>
    <w:p>
      <w:pPr>
        <w:pStyle w:val="Normal"/>
      </w:pPr>
      <w:r>
        <w:t>The File daemon configuration is located in the /etc/bacula/bacula-fd.conf file, and the only remaining task is to make sure it listens on the network. To be fair, in this particular deployment layout, this is not strictly needed, as both the Director and Storage daemons are located on the same system, but making this change allows for those components to be split off to different systems should that need arise.</w:t>
      </w:r>
    </w:p>
    <w:p>
      <w:pPr>
        <w:pStyle w:val="Normal"/>
      </w:pPr>
      <w:r>
        <w:t>To make this change, we are going to remove or comment out the FDAddress option in the FileDaemon resource in /etc/bacula/bacula-fd.conf file:</w:t>
      </w:r>
    </w:p>
    <w:p>
      <w:pPr>
        <w:pStyle w:val="Normal"/>
      </w:pPr>
      <w:r>
        <w:t>FileDaemon {</w:t>
      </w:r>
    </w:p>
    <w:p>
      <w:pPr>
        <w:pStyle w:val="Para 03"/>
      </w:pPr>
      <w:r>
        <w:t>Name</w:t>
        <w:t xml:space="preserve"> </w:t>
        <w:t>=</w:t>
        <w:t xml:space="preserve"> </w:t>
        <w:t>bacula</w:t>
        <w:t>-</w:t>
        <w:t>server</w:t>
        <w:t>-</w:t>
        <w:t>fd</w:t>
      </w:r>
    </w:p>
    <w:p>
      <w:pPr>
        <w:pStyle w:val="Para 03"/>
      </w:pPr>
      <w:r>
        <w:t>FDport</w:t>
        <w:t xml:space="preserve"> </w:t>
        <w:t>=</w:t>
        <w:t xml:space="preserve"> </w:t>
        <w:t>9102</w:t>
      </w:r>
    </w:p>
    <w:p>
      <w:pPr>
        <w:pStyle w:val="Para 03"/>
      </w:pPr>
      <w:r>
        <w:t>WorkingDirectory</w:t>
        <w:t xml:space="preserve"> </w:t>
        <w:t>= /</w:t>
        <w:t>var</w:t>
        <w:t>/</w:t>
        <w:t>lib</w:t>
        <w:t>/</w:t>
        <w:t>bacula</w:t>
      </w:r>
    </w:p>
    <w:p>
      <w:pPr>
        <w:pStyle w:val="Para 03"/>
      </w:pPr>
      <w:r>
        <w:t>Pid Directory</w:t>
        <w:t xml:space="preserve"> </w:t>
        <w:t>= /</w:t>
        <w:t>run</w:t>
        <w:t>/</w:t>
        <w:t>bacula</w:t>
      </w:r>
    </w:p>
    <w:p>
      <w:pPr>
        <w:pStyle w:val="Para 03"/>
      </w:pPr>
      <w:r>
        <w:t>Maximum Concurrent Jobs</w:t>
        <w:t xml:space="preserve"> </w:t>
        <w:t>=</w:t>
        <w:t xml:space="preserve"> </w:t>
        <w:t>20</w:t>
      </w:r>
    </w:p>
    <w:p>
      <w:pPr>
        <w:pStyle w:val="Para 03"/>
      </w:pPr>
      <w:r>
        <w:t>Plugin Directory</w:t>
        <w:t xml:space="preserve"> </w:t>
        <w:t>= /</w:t>
        <w:t>usr</w:t>
        <w:t>/</w:t>
        <w:t>lib</w:t>
        <w:t>/</w:t>
        <w:t>bacula</w:t>
      </w:r>
    </w:p>
    <w:p>
      <w:pPr>
        <w:pStyle w:val="Para 35"/>
      </w:pPr>
      <w:r>
        <w:t>#FDAddress = 127.0.0.1</w:t>
      </w:r>
    </w:p>
    <w:p>
      <w:pPr>
        <w:pStyle w:val="Normal"/>
      </w:pPr>
      <w:r>
        <w:t>}</w:t>
      </w:r>
    </w:p>
    <w:p>
      <w:pPr>
        <w:pStyle w:val="Para 17"/>
      </w:pPr>
      <w:r>
        <w:t/>
      </w:r>
    </w:p>
    <w:p>
      <w:pPr>
        <w:pStyle w:val="Normal"/>
      </w:pPr>
      <w:r>
        <w:t>After making the change and saving the file, restart the File daemon service:</w:t>
      </w:r>
    </w:p>
    <w:p>
      <w:pPr>
        <w:pStyle w:val="Normal"/>
      </w:pPr>
      <w:r>
        <w:t>sudo systemctl restart bacula-fd.service</w:t>
      </w:r>
    </w:p>
    <w:p>
      <w:pPr>
        <w:pStyle w:val="Para 17"/>
      </w:pPr>
      <w:r>
        <w:t/>
      </w:r>
    </w:p>
    <w:p>
      <w:pPr>
        <w:pStyle w:val="Para 08"/>
      </w:pPr>
      <w:r>
        <w:t>Tip:</w:t>
      </w:r>
    </w:p>
    <w:p>
      <w:pPr>
        <w:pStyle w:val="Para 17"/>
      </w:pPr>
      <w:r>
        <w:t/>
      </w:r>
    </w:p>
    <w:p>
      <w:pPr>
        <w:pStyle w:val="Para 03"/>
      </w:pPr>
      <w:r>
        <w:t xml:space="preserve">For more details about the File daemon configuration, please check the upstream </w:t>
      </w:r>
      <w:hyperlink r:id="rId1371">
        <w:r>
          <w:rPr>
            <w:rStyle w:val="Text1"/>
          </w:rPr>
          <w:t>File Dae-</w:t>
        </w:r>
      </w:hyperlink>
    </w:p>
    <w:p>
      <w:pPr>
        <w:pStyle w:val="Para 03"/>
      </w:pPr>
      <w:hyperlink r:id="rId1371">
        <w:r>
          <w:rPr>
            <w:rStyle w:val="Text1"/>
          </w:rPr>
          <w:t>mon</w:t>
        </w:r>
      </w:hyperlink>
      <w:hyperlink r:id="rId1371">
        <w:r>
          <w:rPr>
            <w:rStyle w:val="Text9"/>
          </w:rPr>
          <w:t>406</w:t>
        </w:r>
      </w:hyperlink>
      <w:r>
        <w:t xml:space="preserve"> documentation.</w:t>
      </w:r>
    </w:p>
    <w:p>
      <w:pPr>
        <w:pStyle w:val="Para 05"/>
      </w:pPr>
      <w:r>
        <w:rPr>
          <w:rStyle w:val="Text5"/>
        </w:rPr>
        <w:t>406</w:t>
      </w:r>
      <w:r>
        <w:rPr>
          <w:rStyle w:val="Text8"/>
        </w:rPr>
        <w:t xml:space="preserve"> </w:t>
      </w:r>
      <w:r>
        <w:t>https://www.bacula.org/15.0.x-manuals/en/main/Client_File_daemon_Configur.html</w:t>
      </w:r>
      <w:r>
        <w:rPr>
          <w:rStyle w:val="Text8"/>
        </w:rPr>
        <w:t xml:space="preserve"> </w:t>
      </w:r>
      <w:r>
        <w:rPr>
          <w:rStyle w:val="Text11"/>
        </w:rPr>
        <w:t>Console</w:t>
      </w:r>
    </w:p>
    <w:p>
      <w:bookmarkStart w:id="661" w:name="page_4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8" name="index-449_1.png" descr="index-449_1.png"/>
            <wp:cNvGraphicFramePr>
              <a:graphicFrameLocks noChangeAspect="1"/>
            </wp:cNvGraphicFramePr>
            <a:graphic>
              <a:graphicData uri="http://schemas.openxmlformats.org/drawingml/2006/picture">
                <pic:pic>
                  <pic:nvPicPr>
                    <pic:cNvPr id="0" name="index-449_1.png" descr="index-449_1.png"/>
                    <pic:cNvPicPr/>
                  </pic:nvPicPr>
                  <pic:blipFill>
                    <a:blip r:embed="rId462"/>
                    <a:stretch>
                      <a:fillRect/>
                    </a:stretch>
                  </pic:blipFill>
                  <pic:spPr>
                    <a:xfrm>
                      <a:off x="0" y="0"/>
                      <a:ext cx="914400" cy="266700"/>
                    </a:xfrm>
                    <a:prstGeom prst="rect">
                      <a:avLst/>
                    </a:prstGeom>
                  </pic:spPr>
                </pic:pic>
              </a:graphicData>
            </a:graphic>
          </wp:anchor>
        </w:drawing>
      </w:r>
      <w:bookmarkEnd w:id="661"/>
    </w:p>
    <w:p>
      <w:pPr>
        <w:pStyle w:val="Para 17"/>
      </w:pPr>
      <w:r>
        <w:t/>
      </w:r>
    </w:p>
    <w:p>
      <w:pPr>
        <w:pStyle w:val="Normal"/>
      </w:pPr>
      <w:r>
        <w:t>There is no further configuration to be done for the Console at this time. The defaults se-lected and adjusted by the package install are sufficient. The configuration file is /etc/</w:t>
      </w:r>
    </w:p>
    <w:p>
      <w:pPr>
        <w:pStyle w:val="Normal"/>
      </w:pPr>
      <w:r>
        <w:t xml:space="preserve">bacula/bconsole.conf, and more details are available in the upstream </w:t>
      </w:r>
      <w:hyperlink r:id="rId1372">
        <w:r>
          <w:rPr>
            <w:rStyle w:val="Text1"/>
          </w:rPr>
          <w:t>Console Configura-</w:t>
        </w:r>
      </w:hyperlink>
    </w:p>
    <w:p>
      <w:pPr>
        <w:pStyle w:val="Normal"/>
      </w:pPr>
      <w:hyperlink r:id="rId1372">
        <w:r>
          <w:rPr>
            <w:rStyle w:val="Text1"/>
          </w:rPr>
          <w:t>tion</w:t>
        </w:r>
      </w:hyperlink>
      <w:hyperlink r:id="rId1372">
        <w:r>
          <w:rPr>
            <w:rStyle w:val="Text9"/>
          </w:rPr>
          <w:t>407</w:t>
        </w:r>
      </w:hyperlink>
      <w:r>
        <w:t xml:space="preserve"> documentation.</w:t>
      </w:r>
    </w:p>
    <w:p>
      <w:pPr>
        <w:pStyle w:val="Normal"/>
      </w:pPr>
      <w:r>
        <w:t xml:space="preserve">The Console can be used to query the Director about jobs, but to use the Console with a </w:t>
      </w:r>
      <w:r>
        <w:rPr>
          <w:rStyle w:val="Text3"/>
        </w:rPr>
        <w:t>non-root</w:t>
      </w:r>
      <w:r>
        <w:t xml:space="preserve"> user, the user needs to be in the </w:t>
      </w:r>
      <w:r>
        <w:rPr>
          <w:rStyle w:val="Text0"/>
        </w:rPr>
        <w:t>Bacula group</w:t>
      </w:r>
      <w:r>
        <w:t>. To add a user to the Bacula group, run the following command from a terminal:</w:t>
      </w:r>
    </w:p>
    <w:p>
      <w:pPr>
        <w:pStyle w:val="Normal"/>
      </w:pPr>
      <w:r>
        <w:t>sudo adduser &lt;username&gt; bacula</w:t>
      </w:r>
    </w:p>
    <w:p>
      <w:pPr>
        <w:pStyle w:val="Para 17"/>
      </w:pPr>
      <w:r>
        <w:t/>
      </w:r>
    </w:p>
    <w:p>
      <w:pPr>
        <w:pStyle w:val="Normal"/>
      </w:pPr>
      <w:r>
        <w:t>Replace &lt;username&gt; with the actual username. Also, if you are adding the current user to the group you should log out and back in for the new permissions to take effect.</w:t>
      </w:r>
    </w:p>
    <w:p>
      <w:pPr>
        <w:pStyle w:val="Para 17"/>
      </w:pPr>
      <w:r>
        <w:t/>
      </w:r>
    </w:p>
    <w:p>
      <w:pPr>
        <w:pStyle w:val="Para 08"/>
      </w:pPr>
      <w:r>
        <w:t>Warning:</w:t>
      </w:r>
    </w:p>
    <w:p>
      <w:pPr>
        <w:pStyle w:val="Para 17"/>
      </w:pPr>
      <w:r>
        <w:t/>
      </w:r>
    </w:p>
    <w:p>
      <w:pPr>
        <w:pStyle w:val="Para 03"/>
      </w:pPr>
      <w:r>
        <w:t>Be mindful of who is added to the bacula group: members of this group are able to read</w:t>
      </w:r>
    </w:p>
    <w:p>
      <w:pPr>
        <w:pStyle w:val="Para 03"/>
      </w:pPr>
      <w:r>
        <w:t>all the data that is being backed up!</w:t>
      </w:r>
    </w:p>
    <w:p>
      <w:pPr>
        <w:pStyle w:val="Para 17"/>
      </w:pPr>
      <w:r>
        <w:t/>
      </w:r>
    </w:p>
    <w:p>
      <w:pPr>
        <w:pStyle w:val="Para 01"/>
      </w:pPr>
      <w:r>
        <w:t>Cleaning up</w:t>
      </w:r>
    </w:p>
    <w:p>
      <w:pPr>
        <w:pStyle w:val="Para 17"/>
      </w:pPr>
      <w:r>
        <w:t/>
      </w:r>
    </w:p>
    <w:p>
      <w:pPr>
        <w:pStyle w:val="Normal"/>
      </w:pPr>
      <w:r>
        <w:t>We have added new resources to some Bacula components, and changed some existing ones. There are also resources we didn’t touch, but they will show up in the console or logs. Op-tionally, we can remove them to cleanup our config files.</w:t>
      </w:r>
    </w:p>
    <w:p>
      <w:pPr>
        <w:pStyle w:val="Normal"/>
      </w:pPr>
      <w:r>
        <w:t>In /etc/bacula/bacula-dir.conf:</w:t>
      </w:r>
    </w:p>
    <w:p>
      <w:pPr>
        <w:pStyle w:val="Para 04"/>
      </w:pPr>
      <w:r>
        <w:t>• All the Autochanger resources can be removed, since they are not referred to by any</w:t>
      </w:r>
    </w:p>
    <w:p>
      <w:pPr>
        <w:pStyle w:val="Para 02"/>
      </w:pPr>
      <w:r>
        <w:t>other resource.</w:t>
      </w:r>
    </w:p>
    <w:p>
      <w:pPr>
        <w:pStyle w:val="Normal"/>
      </w:pPr>
      <w:r>
        <w:t>In /etc/bacula/bacula-sd.conf:</w:t>
      </w:r>
    </w:p>
    <w:p>
      <w:pPr>
        <w:pStyle w:val="Para 04"/>
      </w:pPr>
      <w:r>
        <w:t>• The Autochanger resources can be removed, as it’s not being used.</w:t>
      </w:r>
    </w:p>
    <w:p>
      <w:pPr>
        <w:pStyle w:val="Para 04"/>
      </w:pPr>
      <w:r>
        <w:t>• The FileChgr1-Dev1, FileChgr1-Dev2, FileChgr2-Dev1, and FileChgr2-Dev2 Devices, re-</w:t>
      </w:r>
    </w:p>
    <w:p>
      <w:pPr>
        <w:pStyle w:val="Para 02"/>
      </w:pPr>
      <w:r>
        <w:t>ferred to by the Autochangers above, should then also be removed.</w:t>
      </w:r>
    </w:p>
    <w:p>
      <w:pPr>
        <w:pStyle w:val="Normal"/>
      </w:pPr>
      <w:r>
        <w:t>We made many changes to a few configuration files, so let’s restart all the related services:</w:t>
      </w:r>
    </w:p>
    <w:p>
      <w:pPr>
        <w:pStyle w:val="Normal"/>
      </w:pPr>
      <w:r>
        <w:t>sudo systemctl restart bacula-dir.service bacula-fd.service bacula-sd.service</w:t>
      </w:r>
    </w:p>
    <w:p>
      <w:pPr>
        <w:pStyle w:val="Para 05"/>
      </w:pPr>
      <w:r>
        <w:rPr>
          <w:rStyle w:val="Text5"/>
        </w:rPr>
        <w:t>407</w:t>
      </w:r>
      <w:r>
        <w:rPr>
          <w:rStyle w:val="Text8"/>
        </w:rPr>
        <w:t xml:space="preserve"> </w:t>
      </w:r>
      <w:r>
        <w:t>https://www.bacula.org/15.0.x-manuals/en/main/Console_Configuration.html</w:t>
      </w:r>
    </w:p>
    <w:p>
      <w:bookmarkStart w:id="662" w:name="calibre_pb_106"/>
      <w:pPr>
        <w:pStyle w:val="0 Block"/>
      </w:pPr>
      <w:bookmarkEnd w:id="662"/>
    </w:p>
    <w:p>
      <w:bookmarkStart w:id="663" w:name="page_450"/>
      <w:bookmarkStart w:id="664" w:name="Top_of_index_split_10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59" name="index-450_1.png" descr="index-450_1.png"/>
            <wp:cNvGraphicFramePr>
              <a:graphicFrameLocks noChangeAspect="1"/>
            </wp:cNvGraphicFramePr>
            <a:graphic>
              <a:graphicData uri="http://schemas.openxmlformats.org/drawingml/2006/picture">
                <pic:pic>
                  <pic:nvPicPr>
                    <pic:cNvPr id="0" name="index-450_1.png" descr="index-450_1.png"/>
                    <pic:cNvPicPr/>
                  </pic:nvPicPr>
                  <pic:blipFill>
                    <a:blip r:embed="rId463"/>
                    <a:stretch>
                      <a:fillRect/>
                    </a:stretch>
                  </pic:blipFill>
                  <pic:spPr>
                    <a:xfrm>
                      <a:off x="0" y="0"/>
                      <a:ext cx="914400" cy="266700"/>
                    </a:xfrm>
                    <a:prstGeom prst="rect">
                      <a:avLst/>
                    </a:prstGeom>
                  </pic:spPr>
                </pic:pic>
              </a:graphicData>
            </a:graphic>
          </wp:anchor>
        </w:drawing>
      </w:r>
      <w:bookmarkEnd w:id="663"/>
      <w:bookmarkEnd w:id="664"/>
    </w:p>
    <w:p>
      <w:pPr>
        <w:pStyle w:val="Para 01"/>
      </w:pPr>
      <w:r>
        <w:t>Running a backup job</w:t>
      </w:r>
    </w:p>
    <w:p>
      <w:pPr>
        <w:pStyle w:val="Para 17"/>
      </w:pPr>
      <w:r>
        <w:t/>
      </w:r>
    </w:p>
    <w:p>
      <w:pPr>
        <w:pStyle w:val="Normal"/>
      </w:pPr>
      <w:r>
        <w:t>We now have everything in place to run our first backup job.</w:t>
      </w:r>
    </w:p>
    <w:p>
      <w:pPr>
        <w:pStyle w:val="Normal"/>
      </w:pPr>
      <w:r>
        <w:t>On the Bacula Director system, run the bconsole command as root to enter the Bacula Con-sole:</w:t>
      </w:r>
    </w:p>
    <w:p>
      <w:pPr>
        <w:pStyle w:val="Normal"/>
      </w:pPr>
      <w:r>
        <w:t>sudo bconsole</w:t>
      </w:r>
    </w:p>
    <w:p>
      <w:pPr>
        <w:pStyle w:val="Para 17"/>
      </w:pPr>
      <w:r>
        <w:t/>
      </w:r>
    </w:p>
    <w:p>
      <w:pPr>
        <w:pStyle w:val="Normal"/>
      </w:pPr>
      <w:r>
        <w:t>The command will connect to the the local Director, and open up an interactive prompt:</w:t>
      </w:r>
    </w:p>
    <w:p>
      <w:pPr>
        <w:pStyle w:val="Normal"/>
      </w:pPr>
      <w:r>
        <w:t>Connecting to Director localhost:9101</w:t>
      </w:r>
    </w:p>
    <w:p>
      <w:pPr>
        <w:pStyle w:val="Normal"/>
      </w:pPr>
      <w:r>
        <w:t>1000 OK: 10002 bacula-server-dir Version: 15.0.3 (25 March 2025)</w:t>
        <w:t xml:space="preserve"> </w:t>
        <w:t>Enter a period to cancel a command.</w:t>
      </w:r>
    </w:p>
    <w:p>
      <w:pPr>
        <w:pStyle w:val="Normal"/>
      </w:pPr>
      <w:r>
        <w:t>*</w:t>
      </w:r>
    </w:p>
    <w:p>
      <w:pPr>
        <w:pStyle w:val="Para 17"/>
      </w:pPr>
      <w:r>
        <w:t/>
      </w:r>
    </w:p>
    <w:p>
      <w:pPr>
        <w:pStyle w:val="Normal"/>
      </w:pPr>
      <w:r>
        <w:t>You can type help for a full list of all the available commands, and help &lt;command&gt; for more detailed information about the specific &lt;command&gt;.</w:t>
      </w:r>
    </w:p>
    <w:p>
      <w:pPr>
        <w:pStyle w:val="Normal"/>
      </w:pPr>
      <w:r>
        <w:t>For example, to obtain help text about the run command, type help run to obtain the follow-ing output:</w:t>
      </w:r>
    </w:p>
    <w:p>
      <w:pPr>
        <w:pStyle w:val="Para 03"/>
      </w:pPr>
      <w:r>
        <w:t>Command</w:t>
        <w:t xml:space="preserve"> </w:t>
        <w:t>Description</w:t>
      </w:r>
    </w:p>
    <w:p>
      <w:pPr>
        <w:pStyle w:val="Para 03"/>
      </w:pPr>
      <w:r>
        <w:t>=======</w:t>
        <w:t xml:space="preserve"> </w:t>
        <w:t>===========</w:t>
      </w:r>
    </w:p>
    <w:p>
      <w:pPr>
        <w:pStyle w:val="Para 03"/>
      </w:pPr>
      <w:r>
        <w:t>run</w:t>
        <w:t xml:space="preserve"> </w:t>
        <w:t>Run a job</w:t>
      </w:r>
    </w:p>
    <w:p>
      <w:pPr>
        <w:pStyle w:val="Normal"/>
      </w:pPr>
      <w:r>
        <w:t>Arguments:</w:t>
      </w:r>
    </w:p>
    <w:p>
      <w:pPr>
        <w:pStyle w:val="Para 03"/>
      </w:pPr>
      <w:r>
        <w:t>job=&lt;job-name&gt; client=&lt;client-name&gt;</w:t>
      </w:r>
    </w:p>
    <w:p>
      <w:pPr>
        <w:pStyle w:val="Para 03"/>
      </w:pPr>
      <w:r>
        <w:t>fileset=&lt;FileSet-name&gt; level=&lt;level-keyword&gt;</w:t>
      </w:r>
    </w:p>
    <w:p>
      <w:pPr>
        <w:pStyle w:val="Para 03"/>
      </w:pPr>
      <w:r>
        <w:t>storage=&lt;storage-name&gt; where=&lt;directory-prefix&gt;</w:t>
      </w:r>
    </w:p>
    <w:p>
      <w:pPr>
        <w:pStyle w:val="Para 03"/>
      </w:pPr>
      <w:r>
        <w:t>when=&lt;universal-time-specification&gt; pool=&lt;pool-name&gt;</w:t>
      </w:r>
    </w:p>
    <w:p>
      <w:pPr>
        <w:pStyle w:val="Para 03"/>
      </w:pPr>
      <w:r>
        <w:t>nextpool=&lt;next-pool-name&gt; comment=&lt;text&gt; accurate=&lt;bool&gt; spooldata=&lt;bool&gt; yes</w:t>
      </w:r>
    </w:p>
    <w:p>
      <w:pPr>
        <w:pStyle w:val="Normal"/>
      </w:pPr>
      <w:r>
        <w:t>When at a prompt, entering a period cancels the command.</w:t>
      </w:r>
    </w:p>
    <w:p>
      <w:pPr>
        <w:pStyle w:val="Para 17"/>
      </w:pPr>
      <w:r>
        <w:t/>
      </w:r>
    </w:p>
    <w:p>
      <w:pPr>
        <w:pStyle w:val="Normal"/>
      </w:pPr>
      <w:r>
        <w:t>Let’s interactively run a backup job. The output below will show the run command and all the replies that were typed in response to the console prompts:</w:t>
      </w:r>
    </w:p>
    <w:p>
      <w:pPr>
        <w:pStyle w:val="Normal"/>
      </w:pPr>
      <w:r>
        <w:t>*run</w:t>
      </w:r>
    </w:p>
    <w:p>
      <w:pPr>
        <w:pStyle w:val="Normal"/>
      </w:pPr>
      <w:r>
        <w:t>Using Catalog "MyCatalog"</w:t>
      </w:r>
    </w:p>
    <w:p>
      <w:pPr>
        <w:pStyle w:val="Normal"/>
      </w:pPr>
      <w:r>
        <w:t>A job name must be specified.</w:t>
      </w:r>
    </w:p>
    <w:p>
      <w:pPr>
        <w:pStyle w:val="Normal"/>
      </w:pPr>
      <w:r>
        <w:t>The defined Job resources are:</w:t>
      </w:r>
    </w:p>
    <w:p>
      <w:pPr>
        <w:pStyle w:val="Para 02"/>
      </w:pPr>
      <w:r>
        <w:t>1: HomeBackup</w:t>
      </w:r>
    </w:p>
    <w:p>
      <w:pPr>
        <w:pStyle w:val="Para 02"/>
      </w:pPr>
      <w:r>
        <w:t>2: BackupCatalog</w:t>
      </w:r>
    </w:p>
    <w:p>
      <w:pPr>
        <w:pStyle w:val="Para 02"/>
      </w:pPr>
      <w:r>
        <w:t>3: RestoreFiles</w:t>
      </w:r>
    </w:p>
    <w:p>
      <w:pPr>
        <w:pStyle w:val="Normal"/>
      </w:pPr>
      <w:r>
        <w:t>Select Job resource (1-3): 1</w:t>
      </w:r>
    </w:p>
    <w:p>
      <w:pPr>
        <w:pStyle w:val="Normal"/>
      </w:pPr>
      <w:r>
        <w:t>Run Backup job</w:t>
      </w:r>
    </w:p>
    <w:p>
      <w:pPr>
        <w:pStyle w:val="Normal"/>
      </w:pPr>
      <w:r>
        <w:t>JobName:</w:t>
        <w:t xml:space="preserve"> </w:t>
        <w:t>HomeBackup</w:t>
      </w:r>
    </w:p>
    <w:p>
      <w:pPr>
        <w:pStyle w:val="Normal"/>
      </w:pPr>
      <w:r>
        <w:t>Level:</w:t>
        <w:t xml:space="preserve"> </w:t>
        <w:t>Incremental</w:t>
      </w:r>
    </w:p>
    <w:p>
      <w:pPr>
        <w:pStyle w:val="Normal"/>
      </w:pPr>
      <w:r>
        <w:t>Client:</w:t>
        <w:t xml:space="preserve"> </w:t>
        <w:t>bacula-server-fd</w:t>
      </w:r>
    </w:p>
    <w:p>
      <w:pPr>
        <w:pStyle w:val="Normal"/>
      </w:pPr>
      <w:r>
        <w:t>FileSet:</w:t>
        <w:t xml:space="preserve"> </w:t>
        <w:t>Home Set</w:t>
      </w:r>
    </w:p>
    <w:p>
      <w:pPr>
        <w:pStyle w:val="Normal"/>
      </w:pPr>
      <w:r>
        <w:t>Pool:</w:t>
        <w:t xml:space="preserve"> </w:t>
        <w:t>File (From Job resource)</w:t>
      </w:r>
    </w:p>
    <w:p>
      <w:pPr>
        <w:pStyle w:val="Normal"/>
      </w:pPr>
      <w:r>
        <w:t>Storage:</w:t>
        <w:t xml:space="preserve"> </w:t>
        <w:t>FileBackup (From Job resource)</w:t>
        <w:t xml:space="preserve"> </w:t>
        <w:t>When:</w:t>
        <w:t xml:space="preserve"> </w:t>
        <w:t>2025-10-20 20:21:03</w:t>
      </w:r>
    </w:p>
    <w:p>
      <w:pPr>
        <w:pStyle w:val="Normal"/>
      </w:pPr>
      <w:r>
        <w:t>Priority: 10</w:t>
      </w:r>
    </w:p>
    <w:p>
      <w:pPr>
        <w:pStyle w:val="Normal"/>
      </w:pPr>
      <w:r>
        <w:t>OK to run? (Yes/mod/no): yes</w:t>
      </w:r>
    </w:p>
    <w:p>
      <w:pPr>
        <w:pStyle w:val="Normal"/>
      </w:pPr>
      <w:r>
        <w:t>Job queued. JobId=7</w:t>
      </w:r>
    </w:p>
    <w:p>
      <w:bookmarkStart w:id="665" w:name="page_4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0" name="index-451_1.png" descr="index-451_1.png"/>
            <wp:cNvGraphicFramePr>
              <a:graphicFrameLocks noChangeAspect="1"/>
            </wp:cNvGraphicFramePr>
            <a:graphic>
              <a:graphicData uri="http://schemas.openxmlformats.org/drawingml/2006/picture">
                <pic:pic>
                  <pic:nvPicPr>
                    <pic:cNvPr id="0" name="index-451_1.png" descr="index-451_1.png"/>
                    <pic:cNvPicPr/>
                  </pic:nvPicPr>
                  <pic:blipFill>
                    <a:blip r:embed="rId464"/>
                    <a:stretch>
                      <a:fillRect/>
                    </a:stretch>
                  </pic:blipFill>
                  <pic:spPr>
                    <a:xfrm>
                      <a:off x="0" y="0"/>
                      <a:ext cx="914400" cy="266700"/>
                    </a:xfrm>
                    <a:prstGeom prst="rect">
                      <a:avLst/>
                    </a:prstGeom>
                  </pic:spPr>
                </pic:pic>
              </a:graphicData>
            </a:graphic>
          </wp:anchor>
        </w:drawing>
      </w:r>
      <w:bookmarkEnd w:id="665"/>
    </w:p>
    <w:p>
      <w:pPr>
        <w:pStyle w:val="Normal"/>
      </w:pPr>
      <w:r>
        <w:t>Let’s unpack this:</w:t>
      </w:r>
    </w:p>
    <w:p>
      <w:pPr>
        <w:pStyle w:val="Para 04"/>
      </w:pPr>
      <w:r>
        <w:t>• run: This is the command. Since no parameters were given, Bacula will ask for what’s</w:t>
      </w:r>
    </w:p>
    <w:p>
      <w:pPr>
        <w:pStyle w:val="Para 02"/>
      </w:pPr>
      <w:r>
        <w:t>missing.</w:t>
      </w:r>
    </w:p>
    <w:p>
      <w:pPr>
        <w:pStyle w:val="Para 04"/>
      </w:pPr>
      <w:r>
        <w:t>• Which job should be run: HomeBackup is the job we defined in this how-to, and we select</w:t>
      </w:r>
    </w:p>
    <w:p>
      <w:pPr>
        <w:pStyle w:val="Para 02"/>
      </w:pPr>
      <w:r>
        <w:t>it by its index number.</w:t>
      </w:r>
    </w:p>
    <w:p>
      <w:pPr>
        <w:pStyle w:val="Para 04"/>
      </w:pPr>
      <w:r>
        <w:t>• Summary: at the end, we are given a summary of the job. Here we can still change</w:t>
      </w:r>
    </w:p>
    <w:p>
      <w:pPr>
        <w:pStyle w:val="Para 17"/>
      </w:pPr>
      <w:r>
        <w:t>values via the mod reply, but for now let’s just accept those values and reply yes.</w:t>
      </w:r>
    </w:p>
    <w:p>
      <w:pPr>
        <w:pStyle w:val="Para 04"/>
      </w:pPr>
      <w:r>
        <w:t>• JobId: the job is accepted, and we are given an ID. In this case, it was “7”.</w:t>
      </w:r>
    </w:p>
    <w:p>
      <w:pPr>
        <w:pStyle w:val="Normal"/>
      </w:pPr>
      <w:r>
        <w:t>To check the result of a job, there are several methods:</w:t>
      </w:r>
    </w:p>
    <w:p>
      <w:pPr>
        <w:pStyle w:val="Para 04"/>
      </w:pPr>
      <w:r>
        <w:t>• Messages: right after scheduling the job, it’s likely something will be logged. You can</w:t>
      </w:r>
    </w:p>
    <w:p>
      <w:pPr>
        <w:pStyle w:val="Para 02"/>
      </w:pPr>
      <w:r>
        <w:t>run the messages command, and it will show the latest unread messages (and also mark them as read, so you can only benefit from this once).</w:t>
      </w:r>
    </w:p>
    <w:p>
      <w:pPr>
        <w:pStyle w:val="Para 04"/>
      </w:pPr>
      <w:r>
        <w:t>• The list jobs command, to list all jobs, or, more specifically, list jobid=7 to list a</w:t>
      </w:r>
    </w:p>
    <w:p>
      <w:pPr>
        <w:pStyle w:val="Para 02"/>
      </w:pPr>
      <w:r>
        <w:t>particular job.</w:t>
      </w:r>
    </w:p>
    <w:p>
      <w:pPr>
        <w:pStyle w:val="Para 04"/>
      </w:pPr>
      <w:r>
        <w:t>• Inspect the full log of that particular job, via the list joblog jobid=&lt;N&gt; command.</w:t>
      </w:r>
    </w:p>
    <w:p>
      <w:pPr>
        <w:pStyle w:val="Para 04"/>
      </w:pPr>
      <w:r>
        <w:t>• Server log: you can inspect the server log at /var/log/bacula/bacula.log.</w:t>
      </w:r>
    </w:p>
    <w:p>
      <w:pPr>
        <w:pStyle w:val="Normal"/>
      </w:pPr>
      <w:r>
        <w:t>For example, if we run list jobid=7, this is the output:</w:t>
      </w:r>
    </w:p>
    <w:p>
      <w:pPr>
        <w:pStyle w:val="Normal"/>
      </w:pPr>
      <w:r>
        <w:t>+-------+------------+---------------------+------+-------+----------+----------+---------</w:t>
        <w:t>--+</w:t>
      </w:r>
    </w:p>
    <w:p>
      <w:pPr>
        <w:pStyle w:val="Normal"/>
      </w:pPr>
      <w:r>
        <w:t>| jobid | name</w:t>
        <w:t xml:space="preserve"> </w:t>
        <w:t>| starttime</w:t>
        <w:t xml:space="preserve"> </w:t>
        <w:t>| type | level | jobfiles | jobbytes |</w:t>
        <w:t xml:space="preserve"> </w:t>
        <w:t>jobstatus |</w:t>
      </w:r>
    </w:p>
    <w:p>
      <w:pPr>
        <w:pStyle w:val="Normal"/>
      </w:pPr>
      <w:r>
        <w:t>+-------+------------+---------------------+------+-------+----------+----------+---------</w:t>
        <w:t>--+</w:t>
      </w:r>
    </w:p>
    <w:p>
      <w:pPr>
        <w:pStyle w:val="Normal"/>
      </w:pPr>
      <w:r>
        <w:t>|</w:t>
        <w:t xml:space="preserve"> </w:t>
        <w:t>7 | HomeBackup | 2025-10-20 20:21:11 | B</w:t>
        <w:t xml:space="preserve"> </w:t>
        <w:t>| I</w:t>
        <w:t xml:space="preserve"> </w:t>
        <w:t>|</w:t>
        <w:t xml:space="preserve"> </w:t>
        <w:t>0 |</w:t>
        <w:t xml:space="preserve"> </w:t>
        <w:t>0 | T</w:t>
      </w:r>
    </w:p>
    <w:p>
      <w:pPr>
        <w:pStyle w:val="Normal"/>
      </w:pPr>
      <w:r>
        <w:t>|</w:t>
      </w:r>
    </w:p>
    <w:p>
      <w:pPr>
        <w:pStyle w:val="Normal"/>
      </w:pPr>
      <w:r>
        <w:t>+-------+------------+---------------------+------+-------+----------+----------+---------</w:t>
        <w:t>--+</w:t>
      </w:r>
    </w:p>
    <w:p>
      <w:pPr>
        <w:pStyle w:val="Para 17"/>
      </w:pPr>
      <w:r>
        <w:t/>
      </w:r>
    </w:p>
    <w:p>
      <w:pPr>
        <w:pStyle w:val="Normal"/>
      </w:pPr>
      <w:r>
        <w:t>That tells us some details about this job, in particular that it finished correctly (the T code).</w:t>
      </w:r>
    </w:p>
    <w:p>
      <w:pPr>
        <w:pStyle w:val="Para 17"/>
      </w:pPr>
      <w:r>
        <w:t/>
      </w:r>
    </w:p>
    <w:p>
      <w:pPr>
        <w:pStyle w:val="Para 08"/>
      </w:pPr>
      <w:r>
        <w:t>Tip:</w:t>
      </w:r>
    </w:p>
    <w:p>
      <w:pPr>
        <w:pStyle w:val="Para 17"/>
      </w:pPr>
      <w:r>
        <w:t/>
      </w:r>
    </w:p>
    <w:p>
      <w:pPr>
        <w:pStyle w:val="Para 03"/>
      </w:pPr>
      <w:r>
        <w:t xml:space="preserve">For a list of status and error codes, check the upstream </w:t>
      </w:r>
      <w:hyperlink r:id="rId1373">
        <w:r>
          <w:rPr>
            <w:rStyle w:val="Text1"/>
          </w:rPr>
          <w:t>Job status and Error codes ta-</w:t>
        </w:r>
      </w:hyperlink>
    </w:p>
    <w:p>
      <w:pPr>
        <w:pStyle w:val="Para 22"/>
      </w:pPr>
      <w:hyperlink r:id="rId1373">
        <w:r>
          <w:t>bles</w:t>
        </w:r>
      </w:hyperlink>
      <w:r>
        <w:rPr>
          <w:rStyle w:val="Text7"/>
        </w:rPr>
        <w:t xml:space="preserve"> </w:t>
      </w:r>
      <w:hyperlink w:anchor="page_451">
        <w:r>
          <w:rPr>
            <w:rStyle w:val="Text10"/>
          </w:rPr>
          <w:t>408</w:t>
        </w:r>
      </w:hyperlink>
      <w:r>
        <w:rPr>
          <w:rStyle w:val="Text7"/>
        </w:rPr>
        <w:t>.</w:t>
      </w:r>
    </w:p>
    <w:p>
      <w:pPr>
        <w:pStyle w:val="Para 41"/>
      </w:pPr>
      <w:r>
        <w:rPr>
          <w:rStyle w:val="Text5"/>
        </w:rPr>
        <w:t>408</w:t>
      </w:r>
      <w:r>
        <w:rPr>
          <w:rStyle w:val="Text8"/>
        </w:rPr>
        <w:t xml:space="preserve"> </w:t>
      </w:r>
      <w:r>
        <w:t>https://www.bacula.org/15.0.x-manuals/en/main/Job_status_Error_codes.html#blb:director:job:status</w:t>
      </w:r>
    </w:p>
    <w:p>
      <w:pPr>
        <w:pStyle w:val="Para 17"/>
      </w:pPr>
      <w:r>
        <w:t/>
      </w:r>
    </w:p>
    <w:p>
      <w:pPr>
        <w:pStyle w:val="Normal"/>
      </w:pPr>
      <w:r>
        <w:t>To see the full log of this specific job, we can use the list joblog jobid=7 command. This is quite detailed, and the output below is truncated for brevity:</w:t>
      </w:r>
    </w:p>
    <w:p>
      <w:pPr>
        <w:pStyle w:val="Normal"/>
      </w:pPr>
      <w:r>
        <w:t>+-----------------------------------------------------------------------------------------</w:t>
        <w:t>-----------+</w:t>
      </w:r>
    </w:p>
    <w:p>
      <w:pPr>
        <w:pStyle w:val="Normal"/>
      </w:pPr>
      <w:r>
        <w:t>| logtext</w:t>
      </w:r>
    </w:p>
    <w:p>
      <w:pPr>
        <w:pStyle w:val="Para 12"/>
      </w:pPr>
      <w:r>
        <w:t>|</w:t>
      </w:r>
    </w:p>
    <w:p>
      <w:pPr>
        <w:pStyle w:val="Normal"/>
      </w:pPr>
      <w:r>
        <w:t>+-----------------------------------------------------------------------------------------</w:t>
        <w:t>-----------+</w:t>
      </w:r>
    </w:p>
    <w:p>
      <w:pPr>
        <w:pStyle w:val="Normal"/>
      </w:pPr>
      <w:r>
        <w:t>| bacula-server-dir JobId 7: Start Backup JobId 7, Job=HomeBackup.2025-10-20_20.21.08_03</w:t>
      </w:r>
    </w:p>
    <w:p>
      <w:pPr>
        <w:pStyle w:val="Para 09"/>
      </w:pPr>
      <w:r>
        <w:t>(continues on next page)</w:t>
      </w:r>
    </w:p>
    <w:p>
      <w:bookmarkStart w:id="666" w:name="page_4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1" name="index-452_1.png" descr="index-452_1.png"/>
            <wp:cNvGraphicFramePr>
              <a:graphicFrameLocks noChangeAspect="1"/>
            </wp:cNvGraphicFramePr>
            <a:graphic>
              <a:graphicData uri="http://schemas.openxmlformats.org/drawingml/2006/picture">
                <pic:pic>
                  <pic:nvPicPr>
                    <pic:cNvPr id="0" name="index-452_1.png" descr="index-452_1.png"/>
                    <pic:cNvPicPr/>
                  </pic:nvPicPr>
                  <pic:blipFill>
                    <a:blip r:embed="rId465"/>
                    <a:stretch>
                      <a:fillRect/>
                    </a:stretch>
                  </pic:blipFill>
                  <pic:spPr>
                    <a:xfrm>
                      <a:off x="0" y="0"/>
                      <a:ext cx="914400" cy="266700"/>
                    </a:xfrm>
                    <a:prstGeom prst="rect">
                      <a:avLst/>
                    </a:prstGeom>
                  </pic:spPr>
                </pic:pic>
              </a:graphicData>
            </a:graphic>
          </wp:anchor>
        </w:drawing>
      </w:r>
      <w:bookmarkEnd w:id="666"/>
    </w:p>
    <w:p>
      <w:pPr>
        <w:pStyle w:val="Para 09"/>
      </w:pPr>
      <w:r>
        <w:t>(continued from previous page)</w:t>
      </w:r>
    </w:p>
    <w:p>
      <w:pPr>
        <w:pStyle w:val="Para 12"/>
      </w:pPr>
      <w:r>
        <w:t>|</w:t>
      </w:r>
    </w:p>
    <w:p>
      <w:pPr>
        <w:pStyle w:val="Normal"/>
      </w:pPr>
      <w:r>
        <w:t>| bacula-server-dir JobId 7: Connected to Storage "FileBackup" at bacula-server.lxd:9103</w:t>
        <w:t xml:space="preserve"> </w:t>
        <w:t>with TLS</w:t>
        <w:t xml:space="preserve"> </w:t>
        <w:t>|</w:t>
      </w:r>
    </w:p>
    <w:p>
      <w:pPr>
        <w:pStyle w:val="Normal"/>
      </w:pPr>
      <w:r>
        <w:t>| bacula-server-dir JobId 7: Using Device "FileBackup" to write.</w:t>
      </w:r>
    </w:p>
    <w:p>
      <w:pPr>
        <w:pStyle w:val="Para 12"/>
      </w:pPr>
      <w:r>
        <w:t>|</w:t>
      </w:r>
    </w:p>
    <w:p>
      <w:pPr>
        <w:pStyle w:val="Normal"/>
      </w:pPr>
      <w:r>
        <w:t>...</w:t>
      </w:r>
    </w:p>
    <w:p>
      <w:pPr>
        <w:pStyle w:val="Para 03"/>
      </w:pPr>
      <w:r>
        <w:t>Build OS:</w:t>
        <w:t xml:space="preserve"> </w:t>
        <w:t>x86_64-pc-linux-gnu ubuntu 25.10</w:t>
      </w:r>
    </w:p>
    <w:p>
      <w:pPr>
        <w:pStyle w:val="Para 03"/>
      </w:pPr>
      <w:r>
        <w:t>JobId:</w:t>
        <w:t xml:space="preserve"> </w:t>
        <w:t>7</w:t>
      </w:r>
    </w:p>
    <w:p>
      <w:pPr>
        <w:pStyle w:val="Para 03"/>
      </w:pPr>
      <w:r>
        <w:t>Job:</w:t>
        <w:t xml:space="preserve"> </w:t>
        <w:t>HomeBackup.2025-10-20_20.21.08_03</w:t>
      </w:r>
    </w:p>
    <w:p>
      <w:pPr>
        <w:pStyle w:val="Para 03"/>
      </w:pPr>
      <w:r>
        <w:t>Backup Level:</w:t>
        <w:t xml:space="preserve"> </w:t>
        <w:t>Incremental, since=2025-10-20 18:11:00</w:t>
      </w:r>
    </w:p>
    <w:p>
      <w:pPr>
        <w:pStyle w:val="Para 03"/>
      </w:pPr>
      <w:r>
        <w:t>Client:</w:t>
        <w:t xml:space="preserve"> </w:t>
        <w:t>"bacula-server-fd" 15.0.3 (25Mar25) x86_64-pc-linux-gnu,ubuntu,</w:t>
      </w:r>
    </w:p>
    <w:p>
      <w:pPr>
        <w:pStyle w:val="Normal"/>
      </w:pPr>
      <w:r>
        <w:t>25.10</w:t>
      </w:r>
    </w:p>
    <w:p>
      <w:pPr>
        <w:pStyle w:val="Para 03"/>
      </w:pPr>
      <w:r>
        <w:t>FileSet:</w:t>
        <w:t xml:space="preserve"> </w:t>
        <w:t>"Home Set" 2025-10-20 16:27:31</w:t>
      </w:r>
    </w:p>
    <w:p>
      <w:pPr>
        <w:pStyle w:val="Para 03"/>
      </w:pPr>
      <w:r>
        <w:t>Pool:</w:t>
        <w:t xml:space="preserve"> </w:t>
        <w:t>"File" (From Job resource)</w:t>
      </w:r>
    </w:p>
    <w:p>
      <w:pPr>
        <w:pStyle w:val="Para 03"/>
      </w:pPr>
      <w:r>
        <w:t>Catalog:</w:t>
        <w:t xml:space="preserve"> </w:t>
        <w:t>"MyCatalog" (From Client resource)</w:t>
      </w:r>
    </w:p>
    <w:p>
      <w:pPr>
        <w:pStyle w:val="Para 03"/>
      </w:pPr>
      <w:r>
        <w:t>Storage:</w:t>
        <w:t xml:space="preserve"> </w:t>
        <w:t>"FileBackup" (From Job resource)</w:t>
      </w:r>
    </w:p>
    <w:p>
      <w:pPr>
        <w:pStyle w:val="Normal"/>
      </w:pPr>
      <w:r>
        <w:t>...</w:t>
      </w:r>
    </w:p>
    <w:p>
      <w:pPr>
        <w:pStyle w:val="Para 03"/>
      </w:pPr>
      <w:r>
        <w:t>Non-fatal FD errors:</w:t>
        <w:t xml:space="preserve"> </w:t>
        <w:t>0</w:t>
      </w:r>
    </w:p>
    <w:p>
      <w:pPr>
        <w:pStyle w:val="Para 03"/>
      </w:pPr>
      <w:r>
        <w:t>SD Errors:</w:t>
        <w:t xml:space="preserve"> </w:t>
        <w:t>0</w:t>
      </w:r>
    </w:p>
    <w:p>
      <w:pPr>
        <w:pStyle w:val="Para 03"/>
      </w:pPr>
      <w:r>
        <w:t>FD termination status:</w:t>
        <w:t xml:space="preserve"> </w:t>
        <w:t>OK</w:t>
      </w:r>
    </w:p>
    <w:p>
      <w:pPr>
        <w:pStyle w:val="Para 03"/>
      </w:pPr>
      <w:r>
        <w:t>SD termination status:</w:t>
        <w:t xml:space="preserve"> </w:t>
        <w:t>OK</w:t>
      </w:r>
    </w:p>
    <w:p>
      <w:pPr>
        <w:pStyle w:val="Para 03"/>
      </w:pPr>
      <w:r>
        <w:t>Termination:</w:t>
        <w:t xml:space="preserve"> </w:t>
        <w:t>Backup OK</w:t>
      </w:r>
    </w:p>
    <w:p>
      <w:pPr>
        <w:pStyle w:val="Para 12"/>
      </w:pPr>
      <w:r>
        <w:t>|</w:t>
      </w:r>
    </w:p>
    <w:p>
      <w:pPr>
        <w:pStyle w:val="Normal"/>
      </w:pPr>
      <w:r>
        <w:t>...</w:t>
      </w:r>
    </w:p>
    <w:p>
      <w:pPr>
        <w:pStyle w:val="Para 17"/>
      </w:pPr>
      <w:r>
        <w:t/>
      </w:r>
    </w:p>
    <w:p>
      <w:pPr>
        <w:pStyle w:val="Normal"/>
      </w:pPr>
      <w:r>
        <w:t>If we inspect the backup target location on the Storage server (which in this deployment is the same as the Director), we can see that a volume file was created:</w:t>
      </w:r>
    </w:p>
    <w:p>
      <w:pPr>
        <w:pStyle w:val="Normal"/>
      </w:pPr>
      <w:r>
        <w:t>-</w:t>
        <w:t>rw</w:t>
        <w:t>-</w:t>
        <w:t>r</w:t>
        <w:t>-----</w:t>
        <w:t>1</w:t>
        <w:t xml:space="preserve"> </w:t>
        <w:t>bacula tape</w:t>
        <w:t xml:space="preserve"> </w:t>
        <w:t>345</w:t>
        <w:t>K Oct</w:t>
        <w:t xml:space="preserve"> </w:t>
        <w:t>20 20</w:t>
        <w:t>:</w:t>
        <w:t>21</w:t>
        <w:t xml:space="preserve"> </w:t>
        <w:t>/</w:t>
        <w:t>storage</w:t>
        <w:t>/</w:t>
        <w:t>backups</w:t>
        <w:t>/</w:t>
        <w:t>Vol</w:t>
        <w:t>-</w:t>
        <w:t>0001</w:t>
      </w:r>
    </w:p>
    <w:p>
      <w:pPr>
        <w:pStyle w:val="Para 17"/>
      </w:pPr>
      <w:r>
        <w:t/>
      </w:r>
    </w:p>
    <w:p>
      <w:pPr>
        <w:pStyle w:val="Para 01"/>
      </w:pPr>
      <w:r>
        <w:t>Restoring a backup</w:t>
      </w:r>
    </w:p>
    <w:p>
      <w:pPr>
        <w:pStyle w:val="Para 17"/>
      </w:pPr>
      <w:r>
        <w:t/>
      </w:r>
    </w:p>
    <w:p>
      <w:pPr>
        <w:pStyle w:val="Normal"/>
      </w:pPr>
      <w:r>
        <w:t>So what is it that was backed up? This job used the Home Set, so we expect to see files from the /home directory. To see what are the contents of that backup job, we can use the restore command (the RestoreFiles job should never be executed directly). Below is the output of an interactive restore session where we selected the option “Select the most recent backup for a client”:</w:t>
      </w:r>
    </w:p>
    <w:p>
      <w:pPr>
        <w:pStyle w:val="Normal"/>
      </w:pPr>
      <w:r>
        <w:t>First you select one or more JobIds that contain files</w:t>
        <w:t xml:space="preserve"> </w:t>
        <w:t>to be restored. You will be presented several methods</w:t>
      </w:r>
    </w:p>
    <w:p>
      <w:pPr>
        <w:pStyle w:val="Normal"/>
      </w:pPr>
      <w:r>
        <w:t>of specifying the JobIds. Then you will be allowed to</w:t>
      </w:r>
    </w:p>
    <w:p>
      <w:pPr>
        <w:pStyle w:val="Normal"/>
      </w:pPr>
      <w:r>
        <w:t>select which files from those JobIds are to be restored.</w:t>
      </w:r>
    </w:p>
    <w:p>
      <w:pPr>
        <w:pStyle w:val="Normal"/>
      </w:pPr>
      <w:r>
        <w:t>To select the JobIds, you have the following choices:</w:t>
      </w:r>
    </w:p>
    <w:p>
      <w:pPr>
        <w:pStyle w:val="Para 02"/>
      </w:pPr>
      <w:r>
        <w:t>1: List last 20 Jobs run</w:t>
      </w:r>
    </w:p>
    <w:p>
      <w:pPr>
        <w:pStyle w:val="Normal"/>
      </w:pPr>
      <w:r>
        <w:t>...</w:t>
      </w:r>
    </w:p>
    <w:p>
      <w:pPr>
        <w:pStyle w:val="Para 02"/>
      </w:pPr>
      <w:r>
        <w:t>5: Select the most recent backup for a client</w:t>
      </w:r>
    </w:p>
    <w:p>
      <w:pPr>
        <w:pStyle w:val="Normal"/>
      </w:pPr>
      <w:r>
        <w:t>...</w:t>
      </w:r>
    </w:p>
    <w:p>
      <w:pPr>
        <w:pStyle w:val="Normal"/>
      </w:pPr>
      <w:r>
        <w:t>Select item:</w:t>
        <w:t xml:space="preserve"> </w:t>
        <w:t>(1-14): 5</w:t>
      </w:r>
    </w:p>
    <w:p>
      <w:pPr>
        <w:pStyle w:val="Normal"/>
      </w:pPr>
      <w:r>
        <w:t>Automatically selected Client: bacula-server-fd</w:t>
      </w:r>
    </w:p>
    <w:p>
      <w:pPr>
        <w:pStyle w:val="Normal"/>
      </w:pPr>
      <w:r>
        <w:t>Automatically selected FileSet: Home Set</w:t>
      </w:r>
    </w:p>
    <w:p>
      <w:pPr>
        <w:pStyle w:val="Normal"/>
      </w:pPr>
      <w:r>
        <w:t>+-------+-------+----------+----------+---------------------+------------+</w:t>
        <w:t xml:space="preserve"> </w:t>
        <w:t>| jobid | level | jobfiles | jobbytes | starttime</w:t>
        <w:t xml:space="preserve"> </w:t>
        <w:t>| volumename |</w:t>
      </w:r>
    </w:p>
    <w:p>
      <w:pPr>
        <w:pStyle w:val="Para 09"/>
      </w:pPr>
      <w:r>
        <w:t>(continues on next page)</w:t>
      </w:r>
    </w:p>
    <w:p>
      <w:bookmarkStart w:id="667" w:name="page_4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2" name="index-453_1.png" descr="index-453_1.png"/>
            <wp:cNvGraphicFramePr>
              <a:graphicFrameLocks noChangeAspect="1"/>
            </wp:cNvGraphicFramePr>
            <a:graphic>
              <a:graphicData uri="http://schemas.openxmlformats.org/drawingml/2006/picture">
                <pic:pic>
                  <pic:nvPicPr>
                    <pic:cNvPr id="0" name="index-453_1.png" descr="index-453_1.png"/>
                    <pic:cNvPicPr/>
                  </pic:nvPicPr>
                  <pic:blipFill>
                    <a:blip r:embed="rId466"/>
                    <a:stretch>
                      <a:fillRect/>
                    </a:stretch>
                  </pic:blipFill>
                  <pic:spPr>
                    <a:xfrm>
                      <a:off x="0" y="0"/>
                      <a:ext cx="914400" cy="266700"/>
                    </a:xfrm>
                    <a:prstGeom prst="rect">
                      <a:avLst/>
                    </a:prstGeom>
                  </pic:spPr>
                </pic:pic>
              </a:graphicData>
            </a:graphic>
          </wp:anchor>
        </w:drawing>
      </w:r>
      <w:bookmarkEnd w:id="667"/>
    </w:p>
    <w:p>
      <w:pPr>
        <w:pStyle w:val="Para 09"/>
      </w:pPr>
      <w:r>
        <w:t>(continued from previous page)</w:t>
      </w:r>
    </w:p>
    <w:p>
      <w:pPr>
        <w:pStyle w:val="Normal"/>
      </w:pPr>
      <w:r>
        <w:t>+-------+-------+----------+----------+---------------------+------------+</w:t>
        <w:t xml:space="preserve"> </w:t>
        <w:t>|</w:t>
        <w:t xml:space="preserve"> </w:t>
        <w:t>4 | F</w:t>
        <w:t xml:space="preserve"> </w:t>
        <w:t>|</w:t>
        <w:t xml:space="preserve"> </w:t>
        <w:t>266 |</w:t>
        <w:t xml:space="preserve"> </w:t>
        <w:t>312,756 | 2025-10-20 17:34:43 | Vol-0001</w:t>
        <w:t xml:space="preserve"> </w:t>
        <w:t>|</w:t>
        <w:t xml:space="preserve"> </w:t>
        <w:t>|</w:t>
        <w:t xml:space="preserve"> </w:t>
        <w:t>5 | I</w:t>
        <w:t xml:space="preserve"> </w:t>
        <w:t>|</w:t>
        <w:t xml:space="preserve"> </w:t>
        <w:t>3 |</w:t>
        <w:t xml:space="preserve"> </w:t>
        <w:t>32 | 2025-10-20 18:11:00 | Vol-0001</w:t>
        <w:t xml:space="preserve"> </w:t>
        <w:t>|</w:t>
        <w:t xml:space="preserve"> </w:t>
        <w:t>+-------+-------+----------+----------+---------------------+------------+</w:t>
        <w:t xml:space="preserve"> </w:t>
        <w:t>You have selected the following JobIds: 4,5</w:t>
      </w:r>
    </w:p>
    <w:p>
      <w:pPr>
        <w:pStyle w:val="Normal"/>
      </w:pPr>
      <w:r>
        <w:t>...</w:t>
      </w:r>
    </w:p>
    <w:p>
      <w:pPr>
        <w:pStyle w:val="Normal"/>
      </w:pPr>
      <w:r>
        <w:t>You are now entering file selection mode where you add (mark) and</w:t>
        <w:t xml:space="preserve"> </w:t>
        <w:t>remove (unmark) files to be restored. No files are initially added, unless</w:t>
        <w:t xml:space="preserve"> </w:t>
        <w:t>you used the "all" keyword on the command line.</w:t>
      </w:r>
    </w:p>
    <w:p>
      <w:pPr>
        <w:pStyle w:val="Normal"/>
      </w:pPr>
      <w:r>
        <w:t>Enter "done" to leave this mode.</w:t>
      </w:r>
    </w:p>
    <w:p>
      <w:pPr>
        <w:pStyle w:val="Normal"/>
      </w:pPr>
      <w:r>
        <w:t>cwd is: /</w:t>
      </w:r>
    </w:p>
    <w:p>
      <w:pPr>
        <w:pStyle w:val="Normal"/>
      </w:pPr>
      <w:r>
        <w:t>$</w:t>
      </w:r>
    </w:p>
    <w:p>
      <w:pPr>
        <w:pStyle w:val="Para 17"/>
      </w:pPr>
      <w:r>
        <w:t/>
      </w:r>
    </w:p>
    <w:p>
      <w:pPr>
        <w:pStyle w:val="Normal"/>
      </w:pPr>
      <w:r>
        <w:t>Here we can navigate the filesystem and inspect which files are part of the backup:</w:t>
      </w:r>
    </w:p>
    <w:p>
      <w:pPr>
        <w:pStyle w:val="Normal"/>
      </w:pPr>
      <w:r>
        <w:t>$ dir</w:t>
      </w:r>
    </w:p>
    <w:p>
      <w:pPr>
        <w:pStyle w:val="Normal"/>
      </w:pPr>
      <w:r>
        <w:t>drwxr-xr-x</w:t>
        <w:t xml:space="preserve"> </w:t>
        <w:t>1 root</w:t>
        <w:t xml:space="preserve"> </w:t>
        <w:t>root</w:t>
        <w:t xml:space="preserve"> </w:t>
        <w:t>12</w:t>
        <w:t xml:space="preserve"> </w:t>
        <w:t>2025-10-20 14:03:44</w:t>
        <w:t xml:space="preserve"> </w:t>
        <w:t>/home/</w:t>
        <w:t xml:space="preserve"> </w:t>
        <w:t>$ cd home/ubuntu</w:t>
      </w:r>
    </w:p>
    <w:p>
      <w:pPr>
        <w:pStyle w:val="Normal"/>
      </w:pPr>
      <w:r>
        <w:t>cwd is: /home/ubuntu/</w:t>
      </w:r>
    </w:p>
    <w:p>
      <w:pPr>
        <w:pStyle w:val="Normal"/>
      </w:pPr>
      <w:r>
        <w:t>$ dir</w:t>
      </w:r>
    </w:p>
    <w:p>
      <w:pPr>
        <w:pStyle w:val="Normal"/>
      </w:pPr>
      <w:r>
        <w:t>-rw-------</w:t>
        <w:t xml:space="preserve"> </w:t>
        <w:t>1 ubuntu</w:t>
        <w:t xml:space="preserve"> </w:t>
        <w:t>ubuntu</w:t>
        <w:t xml:space="preserve"> </w:t>
        <w:t>32</w:t>
        <w:t xml:space="preserve"> </w:t>
        <w:t>2025-10-20 18:10:51</w:t>
        <w:t xml:space="preserve"> </w:t>
        <w:t>/home/ubuntu/.bash_</w:t>
        <w:t xml:space="preserve"> </w:t>
        <w:t>history</w:t>
      </w:r>
    </w:p>
    <w:p>
      <w:pPr>
        <w:pStyle w:val="Normal"/>
      </w:pPr>
      <w:r>
        <w:t>-rw-r--r--</w:t>
        <w:t xml:space="preserve"> </w:t>
        <w:t>1 ubuntu</w:t>
        <w:t xml:space="preserve"> </w:t>
        <w:t>ubuntu</w:t>
        <w:t xml:space="preserve"> </w:t>
        <w:t>220</w:t>
        <w:t xml:space="preserve"> </w:t>
        <w:t>2025-10-20 14:03:50</w:t>
        <w:t xml:space="preserve"> </w:t>
        <w:t>/home/ubuntu/.bash_</w:t>
        <w:t xml:space="preserve"> </w:t>
        <w:t>logout</w:t>
      </w:r>
    </w:p>
    <w:p>
      <w:pPr>
        <w:pStyle w:val="Normal"/>
      </w:pPr>
      <w:r>
        <w:t>-rw-r--r--</w:t>
        <w:t xml:space="preserve"> </w:t>
        <w:t>1 ubuntu</w:t>
        <w:t xml:space="preserve"> </w:t>
        <w:t>ubuntu</w:t>
        <w:t xml:space="preserve"> </w:t>
        <w:t>3830</w:t>
        <w:t xml:space="preserve"> </w:t>
        <w:t>2025-10-20 14:03:50</w:t>
        <w:t xml:space="preserve"> </w:t>
        <w:t>/home/ubuntu/.bashrc</w:t>
        <w:t>-rw-r--r--</w:t>
        <w:t xml:space="preserve"> </w:t>
        <w:t>1 ubuntu</w:t>
        <w:t xml:space="preserve"> </w:t>
        <w:t>ubuntu</w:t>
        <w:t xml:space="preserve"> </w:t>
        <w:t>807</w:t>
        <w:t xml:space="preserve"> </w:t>
        <w:t>2025-10-20 14:03:44</w:t>
        <w:t xml:space="preserve"> </w:t>
        <w:t>/home/ubuntu/.profile</w:t>
        <w:t xml:space="preserve"> </w:t>
        <w:t>drwx------</w:t>
        <w:t xml:space="preserve"> </w:t>
        <w:t>1 ubuntu</w:t>
        <w:t xml:space="preserve"> </w:t>
        <w:t>ubuntu</w:t>
        <w:t xml:space="preserve"> </w:t>
        <w:t>30</w:t>
        <w:t xml:space="preserve"> </w:t>
        <w:t>2025-10-20 14:03:45</w:t>
        <w:t xml:space="preserve"> </w:t>
        <w:t>/home/ubuntu/.ssh/</w:t>
        <w:t>-rw-rw-r--</w:t>
        <w:t xml:space="preserve"> </w:t>
        <w:t>1 ubuntu</w:t>
        <w:t xml:space="preserve"> </w:t>
        <w:t>ubuntu</w:t>
        <w:t xml:space="preserve"> </w:t>
        <w:t>0</w:t>
        <w:t xml:space="preserve"> </w:t>
        <w:t>2025-10-20 18:10:50</w:t>
        <w:t xml:space="preserve"> </w:t>
        <w:t>/home/ubuntu/this-is-</w:t>
        <w:t>on-the-server.txt</w:t>
      </w:r>
    </w:p>
    <w:p>
      <w:pPr>
        <w:pStyle w:val="Para 17"/>
      </w:pPr>
      <w:r>
        <w:t/>
      </w:r>
    </w:p>
    <w:p>
      <w:pPr>
        <w:pStyle w:val="Normal"/>
      </w:pPr>
      <w:r>
        <w:t>To restore a file, we use the mark command on it. For example, let’s restore /home/ubuntu/. tmux.conf:</w:t>
      </w:r>
    </w:p>
    <w:p>
      <w:pPr>
        <w:pStyle w:val="Normal"/>
      </w:pPr>
      <w:r>
        <w:t>$ mark .tmux.conf</w:t>
      </w:r>
    </w:p>
    <w:p>
      <w:pPr>
        <w:pStyle w:val="Normal"/>
      </w:pPr>
      <w:r>
        <w:t>1 file marked.</w:t>
      </w:r>
    </w:p>
    <w:p>
      <w:pPr>
        <w:pStyle w:val="Normal"/>
      </w:pPr>
      <w:r>
        <w:t>$ done</w:t>
      </w:r>
    </w:p>
    <w:p>
      <w:pPr>
        <w:pStyle w:val="Normal"/>
      </w:pPr>
      <w:r>
        <w:t>Bootstrap records written to /var/lib/bacula/bacula-server-dir.restore.1.bsr</w:t>
      </w:r>
    </w:p>
    <w:p>
      <w:pPr>
        <w:pStyle w:val="Normal"/>
      </w:pPr>
      <w:r>
        <w:t>The Job will require the following (*=&gt;InChanger):</w:t>
      </w:r>
    </w:p>
    <w:p>
      <w:pPr>
        <w:pStyle w:val="Para 02"/>
      </w:pPr>
      <w:r>
        <w:t>Volume(s)</w:t>
        <w:t xml:space="preserve"> </w:t>
        <w:t>Storage(s)</w:t>
        <w:t xml:space="preserve"> </w:t>
        <w:t>SD Device(s)</w:t>
      </w:r>
    </w:p>
    <w:p>
      <w:pPr>
        <w:pStyle w:val="Normal"/>
      </w:pPr>
      <w:r>
        <w:t>===========================================================================</w:t>
      </w:r>
    </w:p>
    <w:p>
      <w:pPr>
        <w:pStyle w:val="Para 02"/>
      </w:pPr>
      <w:r>
        <w:t>Vol-0001</w:t>
        <w:t xml:space="preserve"> </w:t>
        <w:t>FileBackup</w:t>
        <w:t xml:space="preserve"> </w:t>
        <w:t>FileBackup</w:t>
      </w:r>
    </w:p>
    <w:p>
      <w:pPr>
        <w:pStyle w:val="Normal"/>
      </w:pPr>
      <w:r>
        <w:t>Volumes marked with "*" are in the Autochanger.</w:t>
      </w:r>
    </w:p>
    <w:p>
      <w:pPr>
        <w:pStyle w:val="Para 17"/>
      </w:pPr>
      <w:r>
        <w:t/>
      </w:r>
    </w:p>
    <w:p>
      <w:pPr>
        <w:pStyle w:val="Normal"/>
      </w:pPr>
      <w:r>
        <w:t>1 file selected to be restored.</w:t>
      </w:r>
    </w:p>
    <w:p>
      <w:pPr>
        <w:pStyle w:val="Normal"/>
      </w:pPr>
      <w:r>
        <w:t>Run Restore job</w:t>
      </w:r>
    </w:p>
    <w:p>
      <w:pPr>
        <w:pStyle w:val="Normal"/>
      </w:pPr>
      <w:r>
        <w:t>JobName:</w:t>
        <w:t xml:space="preserve"> </w:t>
        <w:t>RestoreFiles</w:t>
      </w:r>
    </w:p>
    <w:p>
      <w:pPr>
        <w:pStyle w:val="Normal"/>
      </w:pPr>
      <w:r>
        <w:t>Bootstrap:</w:t>
        <w:t xml:space="preserve"> </w:t>
        <w:t>/var/lib/bacula/bacula-server-dir.restore.1.bsr</w:t>
        <w:t xml:space="preserve"> </w:t>
        <w:t>Where:</w:t>
        <w:t xml:space="preserve"> </w:t>
        <w:t>/storage/restore</w:t>
      </w:r>
    </w:p>
    <w:p>
      <w:pPr>
        <w:pStyle w:val="Normal"/>
      </w:pPr>
      <w:r>
        <w:t>Replace:</w:t>
        <w:t xml:space="preserve"> </w:t>
        <w:t>Always</w:t>
      </w:r>
    </w:p>
    <w:p>
      <w:pPr>
        <w:pStyle w:val="Normal"/>
      </w:pPr>
      <w:r>
        <w:t>FileSet:</w:t>
        <w:t xml:space="preserve"> </w:t>
        <w:t>Home Set</w:t>
      </w:r>
    </w:p>
    <w:p>
      <w:pPr>
        <w:pStyle w:val="Para 09"/>
      </w:pPr>
      <w:r>
        <w:t>(continues on next page)</w:t>
      </w:r>
    </w:p>
    <w:p>
      <w:bookmarkStart w:id="668" w:name="page_4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3" name="index-454_1.png" descr="index-454_1.png"/>
            <wp:cNvGraphicFramePr>
              <a:graphicFrameLocks noChangeAspect="1"/>
            </wp:cNvGraphicFramePr>
            <a:graphic>
              <a:graphicData uri="http://schemas.openxmlformats.org/drawingml/2006/picture">
                <pic:pic>
                  <pic:nvPicPr>
                    <pic:cNvPr id="0" name="index-454_1.png" descr="index-454_1.png"/>
                    <pic:cNvPicPr/>
                  </pic:nvPicPr>
                  <pic:blipFill>
                    <a:blip r:embed="rId467"/>
                    <a:stretch>
                      <a:fillRect/>
                    </a:stretch>
                  </pic:blipFill>
                  <pic:spPr>
                    <a:xfrm>
                      <a:off x="0" y="0"/>
                      <a:ext cx="914400" cy="266700"/>
                    </a:xfrm>
                    <a:prstGeom prst="rect">
                      <a:avLst/>
                    </a:prstGeom>
                  </pic:spPr>
                </pic:pic>
              </a:graphicData>
            </a:graphic>
          </wp:anchor>
        </w:drawing>
      </w:r>
      <w:bookmarkEnd w:id="668"/>
    </w:p>
    <w:p>
      <w:pPr>
        <w:pStyle w:val="Para 09"/>
      </w:pPr>
      <w:r>
        <w:t>(continued from previous page)</w:t>
      </w:r>
    </w:p>
    <w:p>
      <w:pPr>
        <w:pStyle w:val="Normal"/>
      </w:pPr>
      <w:r>
        <w:t>Backup Client:</w:t>
        <w:t xml:space="preserve"> </w:t>
        <w:t>bacula-server-fd</w:t>
      </w:r>
    </w:p>
    <w:p>
      <w:pPr>
        <w:pStyle w:val="Normal"/>
      </w:pPr>
      <w:r>
        <w:t>Restore Client:</w:t>
        <w:t xml:space="preserve"> </w:t>
        <w:t>bacula-server-fd</w:t>
      </w:r>
    </w:p>
    <w:p>
      <w:pPr>
        <w:pStyle w:val="Normal"/>
      </w:pPr>
      <w:r>
        <w:t>Storage:</w:t>
        <w:t xml:space="preserve"> </w:t>
        <w:t>FileBackup</w:t>
      </w:r>
    </w:p>
    <w:p>
      <w:pPr>
        <w:pStyle w:val="Normal"/>
      </w:pPr>
      <w:r>
        <w:t>When:</w:t>
        <w:t xml:space="preserve"> </w:t>
        <w:t>2025-10-20 21:02:37</w:t>
      </w:r>
    </w:p>
    <w:p>
      <w:pPr>
        <w:pStyle w:val="Normal"/>
      </w:pPr>
      <w:r>
        <w:t>Catalog:</w:t>
        <w:t xml:space="preserve"> </w:t>
        <w:t>MyCatalog</w:t>
      </w:r>
    </w:p>
    <w:p>
      <w:pPr>
        <w:pStyle w:val="Normal"/>
      </w:pPr>
      <w:r>
        <w:t>Priority:</w:t>
        <w:t xml:space="preserve"> </w:t>
        <w:t>10</w:t>
      </w:r>
    </w:p>
    <w:p>
      <w:pPr>
        <w:pStyle w:val="Normal"/>
      </w:pPr>
      <w:r>
        <w:t>Plugin Options:</w:t>
        <w:t xml:space="preserve"> </w:t>
        <w:t>*None*</w:t>
      </w:r>
    </w:p>
    <w:p>
      <w:pPr>
        <w:pStyle w:val="Normal"/>
      </w:pPr>
      <w:r>
        <w:t>OK to run? (Yes/mod/no):</w:t>
      </w:r>
    </w:p>
    <w:p>
      <w:pPr>
        <w:pStyle w:val="Para 17"/>
      </w:pPr>
      <w:r>
        <w:t/>
      </w:r>
    </w:p>
    <w:p>
      <w:pPr>
        <w:pStyle w:val="Normal"/>
      </w:pPr>
      <w:r>
        <w:t>Now we have some choices. Notice how the RestoreFiles job was automatically selected. That’s the only job of the type Restore that we defined in the Director configuration earlier. It has certain default values, and we can either accept those (by replying yes), or modify them (by replying mod).</w:t>
      </w:r>
    </w:p>
    <w:p>
      <w:pPr>
        <w:pStyle w:val="Normal"/>
      </w:pPr>
      <w:r>
        <w:t>If we accept these default, the marked files will be restored to the /storage/restore path on the bacula-server-fd system:</w:t>
      </w:r>
    </w:p>
    <w:p>
      <w:pPr>
        <w:pStyle w:val="Normal"/>
      </w:pPr>
      <w:r>
        <w:t>OK to run? (Yes/mod/no): yes</w:t>
      </w:r>
    </w:p>
    <w:p>
      <w:pPr>
        <w:pStyle w:val="Normal"/>
      </w:pPr>
      <w:r>
        <w:t>Job queued. JobId=8</w:t>
      </w:r>
    </w:p>
    <w:p>
      <w:pPr>
        <w:pStyle w:val="Normal"/>
      </w:pPr>
      <w:r>
        <w:t>*</w:t>
      </w:r>
    </w:p>
    <w:p>
      <w:pPr>
        <w:pStyle w:val="Para 17"/>
      </w:pPr>
      <w:r>
        <w:t/>
      </w:r>
    </w:p>
    <w:p>
      <w:pPr>
        <w:pStyle w:val="Normal"/>
      </w:pPr>
      <w:r>
        <w:t>And indeed, if we inspect that location, we see the file that we marked for restoration:</w:t>
      </w:r>
    </w:p>
    <w:p>
      <w:pPr>
        <w:pStyle w:val="Normal"/>
      </w:pPr>
      <w:r>
        <w:t>-rw-r--r-- 1 ubuntu ubuntu 2.4K Oct 20 14:03 /storage/restore/home/ubuntu/.tmux.conf</w:t>
      </w:r>
    </w:p>
    <w:p>
      <w:pPr>
        <w:pStyle w:val="Para 17"/>
      </w:pPr>
      <w:r>
        <w:t/>
      </w:r>
    </w:p>
    <w:p>
      <w:pPr>
        <w:pStyle w:val="Normal"/>
      </w:pPr>
      <w:r>
        <w:t>If we wanted to restore it to its original place, for example, if the user mistakenly deleted it and wanted it back, we would select the mod option to change where the file should be placed:</w:t>
      </w:r>
    </w:p>
    <w:p>
      <w:pPr>
        <w:pStyle w:val="Normal"/>
      </w:pPr>
      <w:r>
        <w:t>OK to run? (Yes/mod/no): mod</w:t>
      </w:r>
    </w:p>
    <w:p>
      <w:pPr>
        <w:pStyle w:val="Normal"/>
      </w:pPr>
      <w:r>
        <w:t>Parameters to modify:</w:t>
      </w:r>
    </w:p>
    <w:p>
      <w:pPr>
        <w:pStyle w:val="Para 02"/>
      </w:pPr>
      <w:r>
        <w:t>1: Level</w:t>
      </w:r>
    </w:p>
    <w:p>
      <w:pPr>
        <w:pStyle w:val="Para 02"/>
      </w:pPr>
      <w:r>
        <w:t>2: Storage</w:t>
      </w:r>
    </w:p>
    <w:p>
      <w:pPr>
        <w:pStyle w:val="Para 02"/>
      </w:pPr>
      <w:r>
        <w:t>3: Job</w:t>
      </w:r>
    </w:p>
    <w:p>
      <w:pPr>
        <w:pStyle w:val="Para 02"/>
      </w:pPr>
      <w:r>
        <w:t>4: FileSet</w:t>
      </w:r>
    </w:p>
    <w:p>
      <w:pPr>
        <w:pStyle w:val="Para 02"/>
      </w:pPr>
      <w:r>
        <w:t>5: Restore Client</w:t>
      </w:r>
    </w:p>
    <w:p>
      <w:pPr>
        <w:pStyle w:val="Para 02"/>
      </w:pPr>
      <w:r>
        <w:t>6: When</w:t>
      </w:r>
    </w:p>
    <w:p>
      <w:pPr>
        <w:pStyle w:val="Para 02"/>
      </w:pPr>
      <w:r>
        <w:t>7: Priority</w:t>
      </w:r>
    </w:p>
    <w:p>
      <w:pPr>
        <w:pStyle w:val="Para 02"/>
      </w:pPr>
      <w:r>
        <w:t>8: Bootstrap</w:t>
      </w:r>
    </w:p>
    <w:p>
      <w:pPr>
        <w:pStyle w:val="Para 02"/>
      </w:pPr>
      <w:r>
        <w:t>9: Where</w:t>
      </w:r>
    </w:p>
    <w:p>
      <w:pPr>
        <w:pStyle w:val="Para 02"/>
      </w:pPr>
      <w:r>
        <w:t>10: File Relocation</w:t>
      </w:r>
    </w:p>
    <w:p>
      <w:pPr>
        <w:pStyle w:val="Para 02"/>
      </w:pPr>
      <w:r>
        <w:t>11: Replace</w:t>
      </w:r>
    </w:p>
    <w:p>
      <w:pPr>
        <w:pStyle w:val="Para 02"/>
      </w:pPr>
      <w:r>
        <w:t>12: JobId</w:t>
      </w:r>
    </w:p>
    <w:p>
      <w:pPr>
        <w:pStyle w:val="Para 02"/>
      </w:pPr>
      <w:r>
        <w:t>13: Plugin Options</w:t>
      </w:r>
    </w:p>
    <w:p>
      <w:pPr>
        <w:pStyle w:val="Normal"/>
      </w:pPr>
      <w:r>
        <w:t>Select parameter to modify (1-13): 9</w:t>
      </w:r>
    </w:p>
    <w:p>
      <w:pPr>
        <w:pStyle w:val="Normal"/>
      </w:pPr>
      <w:r>
        <w:t>Please enter the full path prefix for restore (/ for none): /</w:t>
        <w:t xml:space="preserve"> </w:t>
        <w:t>Run Restore job</w:t>
      </w:r>
    </w:p>
    <w:p>
      <w:pPr>
        <w:pStyle w:val="Normal"/>
      </w:pPr>
      <w:r>
        <w:t>JobName:</w:t>
        <w:t xml:space="preserve"> </w:t>
        <w:t>RestoreFiles</w:t>
      </w:r>
    </w:p>
    <w:p>
      <w:pPr>
        <w:pStyle w:val="Normal"/>
      </w:pPr>
      <w:r>
        <w:t>Bootstrap:</w:t>
        <w:t xml:space="preserve"> </w:t>
        <w:t>/var/lib/bacula/bacula-server-dir.restore.2.bsr</w:t>
        <w:t xml:space="preserve"> </w:t>
        <w:t>Where:</w:t>
      </w:r>
    </w:p>
    <w:p>
      <w:pPr>
        <w:pStyle w:val="Normal"/>
      </w:pPr>
      <w:r>
        <w:t>Replace:</w:t>
        <w:t xml:space="preserve"> </w:t>
        <w:t>Always</w:t>
      </w:r>
    </w:p>
    <w:p>
      <w:pPr>
        <w:pStyle w:val="Normal"/>
      </w:pPr>
      <w:r>
        <w:t>FileSet:</w:t>
        <w:t xml:space="preserve"> </w:t>
        <w:t>Home Set</w:t>
      </w:r>
    </w:p>
    <w:p>
      <w:pPr>
        <w:pStyle w:val="Normal"/>
      </w:pPr>
      <w:r>
        <w:t>Backup Client:</w:t>
        <w:t xml:space="preserve"> </w:t>
        <w:t>bacula-server-fd</w:t>
      </w:r>
    </w:p>
    <w:p>
      <w:pPr>
        <w:pStyle w:val="Normal"/>
      </w:pPr>
      <w:r>
        <w:t>Restore Client:</w:t>
        <w:t xml:space="preserve"> </w:t>
        <w:t>bacula-server-fd</w:t>
      </w:r>
    </w:p>
    <w:p>
      <w:pPr>
        <w:pStyle w:val="Normal"/>
      </w:pPr>
      <w:r>
        <w:t>Storage:</w:t>
        <w:t xml:space="preserve"> </w:t>
        <w:t>FileBackup</w:t>
      </w:r>
    </w:p>
    <w:p>
      <w:pPr>
        <w:pStyle w:val="Para 09"/>
      </w:pPr>
      <w:r>
        <w:t>(continues on next page)</w:t>
      </w:r>
    </w:p>
    <w:p>
      <w:bookmarkStart w:id="669" w:name="page_4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4" name="index-455_1.png" descr="index-455_1.png"/>
            <wp:cNvGraphicFramePr>
              <a:graphicFrameLocks noChangeAspect="1"/>
            </wp:cNvGraphicFramePr>
            <a:graphic>
              <a:graphicData uri="http://schemas.openxmlformats.org/drawingml/2006/picture">
                <pic:pic>
                  <pic:nvPicPr>
                    <pic:cNvPr id="0" name="index-455_1.png" descr="index-455_1.png"/>
                    <pic:cNvPicPr/>
                  </pic:nvPicPr>
                  <pic:blipFill>
                    <a:blip r:embed="rId468"/>
                    <a:stretch>
                      <a:fillRect/>
                    </a:stretch>
                  </pic:blipFill>
                  <pic:spPr>
                    <a:xfrm>
                      <a:off x="0" y="0"/>
                      <a:ext cx="914400" cy="266700"/>
                    </a:xfrm>
                    <a:prstGeom prst="rect">
                      <a:avLst/>
                    </a:prstGeom>
                  </pic:spPr>
                </pic:pic>
              </a:graphicData>
            </a:graphic>
          </wp:anchor>
        </w:drawing>
      </w:r>
      <w:bookmarkEnd w:id="669"/>
    </w:p>
    <w:p>
      <w:pPr>
        <w:pStyle w:val="Para 09"/>
      </w:pPr>
      <w:r>
        <w:t>(continued from previous page)</w:t>
      </w:r>
    </w:p>
    <w:p>
      <w:pPr>
        <w:pStyle w:val="Normal"/>
      </w:pPr>
      <w:r>
        <w:t>When:</w:t>
        <w:t xml:space="preserve"> </w:t>
        <w:t>2025-10-20 21:11:55</w:t>
      </w:r>
    </w:p>
    <w:p>
      <w:pPr>
        <w:pStyle w:val="Normal"/>
      </w:pPr>
      <w:r>
        <w:t>Catalog:</w:t>
        <w:t xml:space="preserve"> </w:t>
        <w:t>MyCatalog</w:t>
      </w:r>
    </w:p>
    <w:p>
      <w:pPr>
        <w:pStyle w:val="Normal"/>
      </w:pPr>
      <w:r>
        <w:t>Priority:</w:t>
        <w:t xml:space="preserve"> </w:t>
        <w:t>10</w:t>
      </w:r>
    </w:p>
    <w:p>
      <w:pPr>
        <w:pStyle w:val="Normal"/>
      </w:pPr>
      <w:r>
        <w:t>Plugin Options:</w:t>
        <w:t xml:space="preserve"> </w:t>
        <w:t>*None*</w:t>
      </w:r>
    </w:p>
    <w:p>
      <w:pPr>
        <w:pStyle w:val="Normal"/>
      </w:pPr>
      <w:r>
        <w:t>OK to run? (Yes/mod/no): yes</w:t>
      </w:r>
    </w:p>
    <w:p>
      <w:pPr>
        <w:pStyle w:val="Normal"/>
      </w:pPr>
      <w:r>
        <w:t>Job queued. JobId=9</w:t>
      </w:r>
    </w:p>
    <w:p>
      <w:pPr>
        <w:pStyle w:val="Para 17"/>
      </w:pPr>
      <w:r>
        <w:t/>
      </w:r>
    </w:p>
    <w:p>
      <w:pPr>
        <w:pStyle w:val="Normal"/>
      </w:pPr>
      <w:r>
        <w:t>By giving a restoration prefix of /, we are essentially asking to restore the file at its original full path.</w:t>
      </w:r>
    </w:p>
    <w:p>
      <w:pPr>
        <w:pStyle w:val="Para 17"/>
      </w:pPr>
      <w:r>
        <w:t/>
      </w:r>
    </w:p>
    <w:p>
      <w:pPr>
        <w:pStyle w:val="Para 01"/>
      </w:pPr>
      <w:r>
        <w:t>Adding a client</w:t>
      </w:r>
    </w:p>
    <w:p>
      <w:pPr>
        <w:pStyle w:val="Para 17"/>
      </w:pPr>
      <w:r>
        <w:t/>
      </w:r>
    </w:p>
    <w:p>
      <w:pPr>
        <w:pStyle w:val="Normal"/>
      </w:pPr>
      <w:r>
        <w:t>If we want to start backing up a new system, we need to install the File Daemon on that system and include it in the Bacula Director. In this example, the new system we are adding is called workstation1.</w:t>
      </w:r>
    </w:p>
    <w:p>
      <w:pPr>
        <w:pStyle w:val="Normal"/>
      </w:pPr>
      <w:r>
        <w:t>First, on the system that we want to add, let’s install the client portion of Bacula, which is the File Daemon component:</w:t>
      </w:r>
    </w:p>
    <w:p>
      <w:pPr>
        <w:pStyle w:val="Normal"/>
      </w:pPr>
      <w:r>
        <w:t>sudo apt install bacula-fd</w:t>
      </w:r>
    </w:p>
    <w:p>
      <w:pPr>
        <w:pStyle w:val="Para 17"/>
      </w:pPr>
      <w:r>
        <w:t/>
      </w:r>
    </w:p>
    <w:p>
      <w:pPr>
        <w:pStyle w:val="Normal"/>
      </w:pPr>
      <w:r>
        <w:t>Next, update the Director resource in /etc/bacula/bacula-fd.conf to point at the existing Director we have already deployed:</w:t>
      </w:r>
    </w:p>
    <w:p>
      <w:pPr>
        <w:pStyle w:val="Normal"/>
      </w:pPr>
      <w:r>
        <w:t>Director {</w:t>
      </w:r>
    </w:p>
    <w:p>
      <w:pPr>
        <w:pStyle w:val="Para 35"/>
      </w:pPr>
      <w:r>
        <w:rPr>
          <w:rStyle w:val="Text3"/>
        </w:rPr>
        <w:t>Name</w:t>
        <w:t xml:space="preserve"> </w:t>
        <w:t>=</w:t>
        <w:t xml:space="preserve"> </w:t>
        <w:t>bacula</w:t>
        <w:t>-</w:t>
        <w:t>server</w:t>
        <w:t>-</w:t>
        <w:t>dir</w:t>
        <w:t xml:space="preserve"> </w:t>
      </w:r>
      <w:r>
        <w:t># same as Director's Name on the Director server</w:t>
      </w:r>
    </w:p>
    <w:p>
      <w:pPr>
        <w:pStyle w:val="Para 03"/>
      </w:pPr>
      <w:r>
        <w:t>Password</w:t>
        <w:t xml:space="preserve"> </w:t>
        <w:t>=</w:t>
        <w:t xml:space="preserve"> </w:t>
        <w:t>"&lt;randomly generated&gt;"</w:t>
      </w:r>
    </w:p>
    <w:p>
      <w:pPr>
        <w:pStyle w:val="Normal"/>
      </w:pPr>
      <w:r>
        <w:t>}</w:t>
      </w:r>
    </w:p>
    <w:p>
      <w:pPr>
        <w:pStyle w:val="Para 17"/>
      </w:pPr>
      <w:r>
        <w:t/>
      </w:r>
    </w:p>
    <w:p>
      <w:pPr>
        <w:pStyle w:val="Normal"/>
      </w:pPr>
      <w:r>
        <w:t>Notes:</w:t>
      </w:r>
    </w:p>
    <w:p>
      <w:pPr>
        <w:pStyle w:val="Para 04"/>
      </w:pPr>
      <w:r>
        <w:t>• Name: This has to be the same name set on the Director’s /etc/bacula/bacula-dir.conf</w:t>
      </w:r>
    </w:p>
    <w:p>
      <w:pPr>
        <w:pStyle w:val="Para 02"/>
      </w:pPr>
      <w:r>
        <w:t>file, in the Director resource over there. It’s not the hostname.</w:t>
      </w:r>
    </w:p>
    <w:p>
      <w:pPr>
        <w:pStyle w:val="Para 04"/>
      </w:pPr>
      <w:r>
        <w:t>• Password: The password was randomly generated when the bacula-fd package was in-</w:t>
      </w:r>
    </w:p>
    <w:p>
      <w:pPr>
        <w:pStyle w:val="Para 02"/>
      </w:pPr>
      <w:r>
        <w:t>stalled. This password has to match the password in the new Client resource that we will add to the Director next, so keep note of it.</w:t>
      </w:r>
    </w:p>
    <w:p>
      <w:pPr>
        <w:pStyle w:val="Normal"/>
      </w:pPr>
      <w:r>
        <w:t>Also in /etc/bacula/bacula-fd.conf, we have to remove or comment out the FDAddress pa-rameter in the FileDaemon resource, so that this service will listen on all available network interfaces, and not just localhost:</w:t>
      </w:r>
    </w:p>
    <w:p>
      <w:pPr>
        <w:pStyle w:val="Normal"/>
      </w:pPr>
      <w:r>
        <w:t>FileDaemon {</w:t>
      </w:r>
    </w:p>
    <w:p>
      <w:pPr>
        <w:pStyle w:val="Para 03"/>
      </w:pPr>
      <w:r>
        <w:t>Name</w:t>
        <w:t xml:space="preserve"> </w:t>
        <w:t>=</w:t>
        <w:t xml:space="preserve"> </w:t>
        <w:t>workstation1</w:t>
        <w:t>-</w:t>
        <w:t>fd</w:t>
      </w:r>
    </w:p>
    <w:p>
      <w:pPr>
        <w:pStyle w:val="Para 35"/>
      </w:pPr>
      <w:r>
        <w:rPr>
          <w:rStyle w:val="Text3"/>
        </w:rPr>
        <w:t>FDport</w:t>
        <w:t xml:space="preserve"> </w:t>
        <w:t>=</w:t>
        <w:t xml:space="preserve"> </w:t>
        <w:t>9102</w:t>
        <w:t xml:space="preserve"> </w:t>
      </w:r>
      <w:r>
        <w:t># where we listen for the director</w:t>
      </w:r>
    </w:p>
    <w:p>
      <w:pPr>
        <w:pStyle w:val="Para 03"/>
      </w:pPr>
      <w:r>
        <w:t>WorkingDirectory</w:t>
        <w:t xml:space="preserve"> </w:t>
        <w:t>= /</w:t>
        <w:t>var</w:t>
        <w:t>/</w:t>
        <w:t>lib</w:t>
        <w:t>/</w:t>
        <w:t>bacula</w:t>
      </w:r>
    </w:p>
    <w:p>
      <w:pPr>
        <w:pStyle w:val="Para 03"/>
      </w:pPr>
      <w:r>
        <w:t>Pid Directory</w:t>
        <w:t xml:space="preserve"> </w:t>
        <w:t>= /</w:t>
        <w:t>run</w:t>
        <w:t>/</w:t>
        <w:t>bacula</w:t>
      </w:r>
    </w:p>
    <w:p>
      <w:pPr>
        <w:pStyle w:val="Para 03"/>
      </w:pPr>
      <w:r>
        <w:t>Maximum Concurrent Jobs</w:t>
        <w:t xml:space="preserve"> </w:t>
        <w:t>=</w:t>
        <w:t xml:space="preserve"> </w:t>
        <w:t>20</w:t>
      </w:r>
    </w:p>
    <w:p>
      <w:pPr>
        <w:pStyle w:val="Para 03"/>
      </w:pPr>
      <w:r>
        <w:t>Plugin Directory</w:t>
        <w:t xml:space="preserve"> </w:t>
        <w:t>= /</w:t>
        <w:t>usr</w:t>
        <w:t>/</w:t>
        <w:t>lib</w:t>
        <w:t>/</w:t>
        <w:t>bacula</w:t>
      </w:r>
    </w:p>
    <w:p>
      <w:pPr>
        <w:pStyle w:val="Para 35"/>
      </w:pPr>
      <w:r>
        <w:t>#FDAddress = 127.0.0.1</w:t>
      </w:r>
      <w:r>
        <w:rPr>
          <w:rStyle w:val="Text3"/>
        </w:rPr>
        <w:t xml:space="preserve"> </w:t>
      </w:r>
      <w:r>
        <w:t># default is to listen on all interfaces</w:t>
      </w:r>
    </w:p>
    <w:p>
      <w:pPr>
        <w:pStyle w:val="Normal"/>
      </w:pPr>
      <w:r>
        <w:t>}</w:t>
      </w:r>
    </w:p>
    <w:p>
      <w:pPr>
        <w:pStyle w:val="Para 17"/>
      </w:pPr>
      <w:r>
        <w:t/>
      </w:r>
    </w:p>
    <w:p>
      <w:pPr>
        <w:pStyle w:val="Normal"/>
      </w:pPr>
      <w:r>
        <w:t>And finally, in the same file, update the Messages resource and update the Director name in there as well:</w:t>
      </w:r>
    </w:p>
    <w:p>
      <w:bookmarkStart w:id="670" w:name="page_4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5" name="index-456_1.png" descr="index-456_1.png"/>
            <wp:cNvGraphicFramePr>
              <a:graphicFrameLocks noChangeAspect="1"/>
            </wp:cNvGraphicFramePr>
            <a:graphic>
              <a:graphicData uri="http://schemas.openxmlformats.org/drawingml/2006/picture">
                <pic:pic>
                  <pic:nvPicPr>
                    <pic:cNvPr id="0" name="index-456_1.png" descr="index-456_1.png"/>
                    <pic:cNvPicPr/>
                  </pic:nvPicPr>
                  <pic:blipFill>
                    <a:blip r:embed="rId469"/>
                    <a:stretch>
                      <a:fillRect/>
                    </a:stretch>
                  </pic:blipFill>
                  <pic:spPr>
                    <a:xfrm>
                      <a:off x="0" y="0"/>
                      <a:ext cx="914400" cy="266700"/>
                    </a:xfrm>
                    <a:prstGeom prst="rect">
                      <a:avLst/>
                    </a:prstGeom>
                  </pic:spPr>
                </pic:pic>
              </a:graphicData>
            </a:graphic>
          </wp:anchor>
        </w:drawing>
      </w:r>
      <w:bookmarkEnd w:id="670"/>
    </w:p>
    <w:p>
      <w:pPr>
        <w:pStyle w:val="Normal"/>
      </w:pPr>
      <w:r>
        <w:t>Messages {</w:t>
      </w:r>
    </w:p>
    <w:p>
      <w:pPr>
        <w:pStyle w:val="Para 02"/>
      </w:pPr>
      <w:r>
        <w:t>Name = Standard</w:t>
      </w:r>
    </w:p>
    <w:p>
      <w:pPr>
        <w:pStyle w:val="Para 02"/>
      </w:pPr>
      <w:r>
        <w:t>director = bacula-server-dir = all, !skipped, !restored, !verified, !saved</w:t>
      </w:r>
    </w:p>
    <w:p>
      <w:pPr>
        <w:pStyle w:val="Normal"/>
      </w:pPr>
      <w:r>
        <w:t>}</w:t>
      </w:r>
    </w:p>
    <w:p>
      <w:pPr>
        <w:pStyle w:val="Para 17"/>
      </w:pPr>
      <w:r>
        <w:t/>
      </w:r>
    </w:p>
    <w:p>
      <w:pPr>
        <w:pStyle w:val="Normal"/>
      </w:pPr>
      <w:r>
        <w:t>With these changes done, restart the File Daemon:</w:t>
      </w:r>
    </w:p>
    <w:p>
      <w:pPr>
        <w:pStyle w:val="Normal"/>
      </w:pPr>
      <w:r>
        <w:t>sudo systemctl restart bacula-fd.service</w:t>
      </w:r>
    </w:p>
    <w:p>
      <w:pPr>
        <w:pStyle w:val="Para 17"/>
      </w:pPr>
      <w:r>
        <w:t/>
      </w:r>
    </w:p>
    <w:p>
      <w:pPr>
        <w:pStyle w:val="Normal"/>
      </w:pPr>
      <w:r>
        <w:t>Now we switch to the Director system, where we have to let it know about this new Client that we just provisioned.</w:t>
      </w:r>
    </w:p>
    <w:p>
      <w:pPr>
        <w:pStyle w:val="Normal"/>
      </w:pPr>
      <w:r>
        <w:t>In /etc/bacula/bacula-dir.conf, add a new Client resource:</w:t>
      </w:r>
    </w:p>
    <w:p>
      <w:pPr>
        <w:pStyle w:val="Normal"/>
      </w:pPr>
      <w:r>
        <w:t>Client {</w:t>
      </w:r>
    </w:p>
    <w:p>
      <w:pPr>
        <w:pStyle w:val="Para 02"/>
      </w:pPr>
      <w:r>
        <w:t>Name</w:t>
        <w:t xml:space="preserve"> </w:t>
        <w:t>=</w:t>
        <w:t xml:space="preserve"> </w:t>
        <w:t>workstation1</w:t>
        <w:t>-</w:t>
        <w:t>fd</w:t>
      </w:r>
    </w:p>
    <w:p>
      <w:pPr>
        <w:pStyle w:val="Para 02"/>
      </w:pPr>
      <w:r>
        <w:t>Address</w:t>
        <w:t xml:space="preserve"> </w:t>
        <w:t>=</w:t>
        <w:t xml:space="preserve"> </w:t>
        <w:t>workstation1</w:t>
        <w:t>.</w:t>
        <w:t>lxd</w:t>
      </w:r>
    </w:p>
    <w:p>
      <w:pPr>
        <w:pStyle w:val="Para 02"/>
      </w:pPr>
      <w:r>
        <w:t>FDPort</w:t>
        <w:t xml:space="preserve"> </w:t>
        <w:t>=</w:t>
        <w:t xml:space="preserve"> </w:t>
        <w:t>9102</w:t>
      </w:r>
    </w:p>
    <w:p>
      <w:pPr>
        <w:pStyle w:val="Para 02"/>
      </w:pPr>
      <w:r>
        <w:t>Catalog</w:t>
        <w:t xml:space="preserve"> </w:t>
        <w:t>=</w:t>
        <w:t xml:space="preserve"> </w:t>
        <w:t>MyCatalog</w:t>
      </w:r>
    </w:p>
    <w:p>
      <w:pPr>
        <w:pStyle w:val="Para 02"/>
      </w:pPr>
      <w:r>
        <w:t>Password</w:t>
        <w:t xml:space="preserve"> </w:t>
        <w:t>=</w:t>
        <w:t xml:space="preserve"> </w:t>
        <w:t>"&lt;to be filled in&gt;"</w:t>
        <w:t xml:space="preserve"> </w:t>
      </w:r>
      <w:r>
        <w:rPr>
          <w:rStyle w:val="Text3"/>
        </w:rPr>
        <w:t># password from bacula-fd.conf on workstation1-fd</w:t>
      </w:r>
      <w:r>
        <w:t xml:space="preserve"> </w:t>
        <w:t>File Retention</w:t>
        <w:t xml:space="preserve"> </w:t>
        <w:t>=</w:t>
        <w:t xml:space="preserve"> </w:t>
        <w:t>60</w:t>
        <w:t xml:space="preserve"> </w:t>
        <w:t>days</w:t>
      </w:r>
    </w:p>
    <w:p>
      <w:pPr>
        <w:pStyle w:val="Para 02"/>
      </w:pPr>
      <w:r>
        <w:t>Job Retention</w:t>
        <w:t xml:space="preserve"> </w:t>
        <w:t>=</w:t>
        <w:t xml:space="preserve"> </w:t>
        <w:t>6</w:t>
        <w:t xml:space="preserve"> </w:t>
        <w:t>months</w:t>
      </w:r>
    </w:p>
    <w:p>
      <w:pPr>
        <w:pStyle w:val="Para 02"/>
      </w:pPr>
      <w:r>
        <w:t>AutoPrune</w:t>
        <w:t xml:space="preserve"> </w:t>
        <w:t>=</w:t>
        <w:t xml:space="preserve"> </w:t>
        <w:t>yes</w:t>
      </w:r>
    </w:p>
    <w:p>
      <w:pPr>
        <w:pStyle w:val="Normal"/>
      </w:pPr>
      <w:r>
        <w:t>}</w:t>
      </w:r>
    </w:p>
    <w:p>
      <w:pPr>
        <w:pStyle w:val="Para 17"/>
      </w:pPr>
      <w:r>
        <w:t/>
      </w:r>
    </w:p>
    <w:p>
      <w:pPr>
        <w:pStyle w:val="Normal"/>
      </w:pPr>
      <w:r>
        <w:t>Notes:</w:t>
      </w:r>
    </w:p>
    <w:p>
      <w:pPr>
        <w:pStyle w:val="Para 04"/>
      </w:pPr>
      <w:r>
        <w:t>• Name: The name has to match the name defined in the FileDaemon resource from /etc/</w:t>
      </w:r>
    </w:p>
    <w:p>
      <w:pPr>
        <w:pStyle w:val="Para 02"/>
      </w:pPr>
      <w:r>
        <w:t>bacula/bacula-fd.conf of the system we just added.</w:t>
      </w:r>
    </w:p>
    <w:p>
      <w:pPr>
        <w:pStyle w:val="Para 04"/>
      </w:pPr>
      <w:r>
        <w:t>• Password: The password has to be the same as the one defined in the Director resource</w:t>
      </w:r>
    </w:p>
    <w:p>
      <w:pPr>
        <w:pStyle w:val="Para 02"/>
      </w:pPr>
      <w:r>
        <w:t>from /etc/bacula/bacula-fd.conf of that system.</w:t>
      </w:r>
    </w:p>
    <w:p>
      <w:pPr>
        <w:pStyle w:val="Para 04"/>
      </w:pPr>
      <w:r>
        <w:t>• Address: The hostname or IP of the system we added.</w:t>
      </w:r>
    </w:p>
    <w:p>
      <w:pPr>
        <w:pStyle w:val="Normal"/>
      </w:pPr>
      <w:r>
        <w:t>This makes the Director know how to reach the new client.</w:t>
      </w:r>
    </w:p>
    <w:p>
      <w:pPr>
        <w:pStyle w:val="Normal"/>
      </w:pPr>
      <w:r>
        <w:t>Now we have to define a new job to backup files from this new client. Again on /etc/bacula/ bacula-dir.conf on the Director, let’s add a new Job resource:</w:t>
      </w:r>
    </w:p>
    <w:p>
      <w:pPr>
        <w:pStyle w:val="Normal"/>
      </w:pPr>
      <w:r>
        <w:t>Job {</w:t>
      </w:r>
    </w:p>
    <w:p>
      <w:pPr>
        <w:pStyle w:val="Para 02"/>
      </w:pPr>
      <w:r>
        <w:t>Name</w:t>
        <w:t xml:space="preserve"> </w:t>
        <w:t>=</w:t>
        <w:t xml:space="preserve"> </w:t>
        <w:t>"BackupWorkstation"</w:t>
      </w:r>
    </w:p>
    <w:p>
      <w:pPr>
        <w:pStyle w:val="Para 02"/>
      </w:pPr>
      <w:r>
        <w:t>JobDefs</w:t>
        <w:t xml:space="preserve"> </w:t>
        <w:t>=</w:t>
        <w:t xml:space="preserve"> </w:t>
        <w:t>"DefaultJob"</w:t>
      </w:r>
    </w:p>
    <w:p>
      <w:pPr>
        <w:pStyle w:val="Para 02"/>
      </w:pPr>
      <w:r>
        <w:t>Client</w:t>
        <w:t xml:space="preserve"> </w:t>
        <w:t>=</w:t>
        <w:t xml:space="preserve"> </w:t>
        <w:t>workstation1</w:t>
        <w:t>-</w:t>
        <w:t>fd</w:t>
      </w:r>
    </w:p>
    <w:p>
      <w:pPr>
        <w:pStyle w:val="Normal"/>
      </w:pPr>
      <w:r>
        <w:t>}</w:t>
      </w:r>
    </w:p>
    <w:p>
      <w:pPr>
        <w:pStyle w:val="Para 17"/>
      </w:pPr>
      <w:r>
        <w:t/>
      </w:r>
    </w:p>
    <w:p>
      <w:pPr>
        <w:pStyle w:val="Normal"/>
      </w:pPr>
      <w:r>
        <w:t>This job inherits all parameters from the DefaultJob, and just overrides the client.</w:t>
      </w:r>
    </w:p>
    <w:p>
      <w:pPr>
        <w:pStyle w:val="Normal"/>
      </w:pPr>
      <w:r>
        <w:t>With this done, we can restart the Director:</w:t>
      </w:r>
    </w:p>
    <w:p>
      <w:pPr>
        <w:pStyle w:val="Normal"/>
      </w:pPr>
      <w:r>
        <w:t>sudo systemctl restart bacula-dir.service</w:t>
      </w:r>
    </w:p>
    <w:p>
      <w:pPr>
        <w:pStyle w:val="Para 17"/>
      </w:pPr>
      <w:r>
        <w:t/>
      </w:r>
    </w:p>
    <w:p>
      <w:pPr>
        <w:pStyle w:val="Normal"/>
      </w:pPr>
      <w:r>
        <w:t>If we now enter the Bacula console, we should be able to list the new client, and run its new backup job:</w:t>
      </w:r>
    </w:p>
    <w:p>
      <w:pPr>
        <w:pStyle w:val="Normal"/>
      </w:pPr>
      <w:r>
        <w:t>*list clients</w:t>
      </w:r>
    </w:p>
    <w:p>
      <w:pPr>
        <w:pStyle w:val="Normal"/>
      </w:pPr>
      <w:r>
        <w:t>Automatically selected Catalog: MyCatalog</w:t>
      </w:r>
    </w:p>
    <w:p>
      <w:pPr>
        <w:pStyle w:val="Normal"/>
      </w:pPr>
      <w:r>
        <w:t>Using Catalog "MyCatalog"</w:t>
      </w:r>
    </w:p>
    <w:p>
      <w:pPr>
        <w:pStyle w:val="Para 09"/>
      </w:pPr>
      <w:r>
        <w:t>(continues on next page)</w:t>
      </w:r>
    </w:p>
    <w:p>
      <w:bookmarkStart w:id="671" w:name="page_4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6" name="index-457_1.png" descr="index-457_1.png"/>
            <wp:cNvGraphicFramePr>
              <a:graphicFrameLocks noChangeAspect="1"/>
            </wp:cNvGraphicFramePr>
            <a:graphic>
              <a:graphicData uri="http://schemas.openxmlformats.org/drawingml/2006/picture">
                <pic:pic>
                  <pic:nvPicPr>
                    <pic:cNvPr id="0" name="index-457_1.png" descr="index-457_1.png"/>
                    <pic:cNvPicPr/>
                  </pic:nvPicPr>
                  <pic:blipFill>
                    <a:blip r:embed="rId470"/>
                    <a:stretch>
                      <a:fillRect/>
                    </a:stretch>
                  </pic:blipFill>
                  <pic:spPr>
                    <a:xfrm>
                      <a:off x="0" y="0"/>
                      <a:ext cx="914400" cy="266700"/>
                    </a:xfrm>
                    <a:prstGeom prst="rect">
                      <a:avLst/>
                    </a:prstGeom>
                  </pic:spPr>
                </pic:pic>
              </a:graphicData>
            </a:graphic>
          </wp:anchor>
        </w:drawing>
      </w:r>
      <w:bookmarkEnd w:id="671"/>
    </w:p>
    <w:p>
      <w:pPr>
        <w:pStyle w:val="Para 09"/>
      </w:pPr>
      <w:r>
        <w:t>(continued from previous page)</w:t>
      </w:r>
    </w:p>
    <w:p>
      <w:pPr>
        <w:pStyle w:val="Normal"/>
      </w:pPr>
      <w:r>
        <w:t>+----------+------------------+---------------+--------------+</w:t>
        <w:t xml:space="preserve"> </w:t>
        <w:t>| clientid | name</w:t>
        <w:t xml:space="preserve"> </w:t>
        <w:t>| fileretention | jobretention |</w:t>
        <w:t xml:space="preserve"> </w:t>
        <w:t>+----------+------------------+---------------+--------------+</w:t>
        <w:t xml:space="preserve"> </w:t>
        <w:t>|</w:t>
        <w:t xml:space="preserve"> </w:t>
        <w:t>1 | bacula-server-fd |</w:t>
        <w:t xml:space="preserve"> </w:t>
        <w:t>5,184,000 |</w:t>
        <w:t xml:space="preserve"> </w:t>
        <w:t>15,552,000 |</w:t>
        <w:t xml:space="preserve"> </w:t>
        <w:t>|</w:t>
        <w:t xml:space="preserve"> </w:t>
        <w:t>2 | workstation1-fd</w:t>
        <w:t xml:space="preserve"> </w:t>
        <w:t>|</w:t>
        <w:t xml:space="preserve"> </w:t>
        <w:t>5,184,000 |</w:t>
        <w:t xml:space="preserve"> </w:t>
        <w:t>15,552,000 |</w:t>
        <w:t xml:space="preserve"> </w:t>
        <w:t>+----------+------------------+---------------+--------------+</w:t>
      </w:r>
    </w:p>
    <w:p>
      <w:pPr>
        <w:pStyle w:val="Para 17"/>
      </w:pPr>
      <w:r>
        <w:t/>
      </w:r>
    </w:p>
    <w:p>
      <w:pPr>
        <w:pStyle w:val="Normal"/>
      </w:pPr>
      <w:r>
        <w:t>Let’s run the new BackupWorkstation job:</w:t>
      </w:r>
    </w:p>
    <w:p>
      <w:pPr>
        <w:pStyle w:val="Normal"/>
      </w:pPr>
      <w:r>
        <w:t>*run</w:t>
      </w:r>
    </w:p>
    <w:p>
      <w:pPr>
        <w:pStyle w:val="Normal"/>
      </w:pPr>
      <w:r>
        <w:t>Using Catalog "MyCatalog"</w:t>
      </w:r>
    </w:p>
    <w:p>
      <w:pPr>
        <w:pStyle w:val="Normal"/>
      </w:pPr>
      <w:r>
        <w:t>A job name must be specified.</w:t>
      </w:r>
    </w:p>
    <w:p>
      <w:pPr>
        <w:pStyle w:val="Normal"/>
      </w:pPr>
      <w:r>
        <w:t>The defined Job resources are:</w:t>
      </w:r>
    </w:p>
    <w:p>
      <w:pPr>
        <w:pStyle w:val="Para 02"/>
      </w:pPr>
      <w:r>
        <w:t>1: HomeBackup</w:t>
      </w:r>
    </w:p>
    <w:p>
      <w:pPr>
        <w:pStyle w:val="Para 02"/>
      </w:pPr>
      <w:r>
        <w:t>2: BackupWorkstation</w:t>
      </w:r>
    </w:p>
    <w:p>
      <w:pPr>
        <w:pStyle w:val="Para 02"/>
      </w:pPr>
      <w:r>
        <w:t>3: BackupCatalog</w:t>
      </w:r>
    </w:p>
    <w:p>
      <w:pPr>
        <w:pStyle w:val="Para 02"/>
      </w:pPr>
      <w:r>
        <w:t>4: RestoreFiles</w:t>
      </w:r>
    </w:p>
    <w:p>
      <w:pPr>
        <w:pStyle w:val="Normal"/>
      </w:pPr>
      <w:r>
        <w:t>Select Job resource (1-4): 2</w:t>
      </w:r>
    </w:p>
    <w:p>
      <w:pPr>
        <w:pStyle w:val="Normal"/>
      </w:pPr>
      <w:r>
        <w:t>Run Backup job</w:t>
      </w:r>
    </w:p>
    <w:p>
      <w:pPr>
        <w:pStyle w:val="Normal"/>
      </w:pPr>
      <w:r>
        <w:t>JobName:</w:t>
        <w:t xml:space="preserve"> </w:t>
        <w:t>BackupWorkstation</w:t>
      </w:r>
    </w:p>
    <w:p>
      <w:pPr>
        <w:pStyle w:val="Normal"/>
      </w:pPr>
      <w:r>
        <w:t>Level:</w:t>
        <w:t xml:space="preserve"> </w:t>
        <w:t>Incremental</w:t>
      </w:r>
    </w:p>
    <w:p>
      <w:pPr>
        <w:pStyle w:val="Normal"/>
      </w:pPr>
      <w:r>
        <w:t>Client:</w:t>
        <w:t xml:space="preserve"> </w:t>
        <w:t>workstation1-fd</w:t>
      </w:r>
    </w:p>
    <w:p>
      <w:pPr>
        <w:pStyle w:val="Normal"/>
      </w:pPr>
      <w:r>
        <w:t>FileSet:</w:t>
        <w:t xml:space="preserve"> </w:t>
        <w:t>Home Set</w:t>
      </w:r>
    </w:p>
    <w:p>
      <w:pPr>
        <w:pStyle w:val="Normal"/>
      </w:pPr>
      <w:r>
        <w:t>Pool:</w:t>
        <w:t xml:space="preserve"> </w:t>
        <w:t>File (From Job resource)</w:t>
      </w:r>
    </w:p>
    <w:p>
      <w:pPr>
        <w:pStyle w:val="Normal"/>
      </w:pPr>
      <w:r>
        <w:t>Storage:</w:t>
        <w:t xml:space="preserve"> </w:t>
        <w:t>FileBackup (From Job resource)</w:t>
        <w:t xml:space="preserve"> </w:t>
        <w:t>When:</w:t>
        <w:t xml:space="preserve"> </w:t>
        <w:t>2025-10-21 21:02:48</w:t>
      </w:r>
    </w:p>
    <w:p>
      <w:pPr>
        <w:pStyle w:val="Normal"/>
      </w:pPr>
      <w:r>
        <w:t>Priority: 10</w:t>
      </w:r>
    </w:p>
    <w:p>
      <w:pPr>
        <w:pStyle w:val="Normal"/>
      </w:pPr>
      <w:r>
        <w:t>OK to run? (Yes/mod/no): yes</w:t>
      </w:r>
    </w:p>
    <w:p>
      <w:pPr>
        <w:pStyle w:val="Normal"/>
      </w:pPr>
      <w:r>
        <w:t>Job queued. JobId=14</w:t>
      </w:r>
    </w:p>
    <w:p>
      <w:pPr>
        <w:pStyle w:val="Normal"/>
      </w:pPr>
      <w:r>
        <w:t>You have messages.</w:t>
      </w:r>
    </w:p>
    <w:p>
      <w:pPr>
        <w:pStyle w:val="Para 17"/>
      </w:pPr>
      <w:r>
        <w:t/>
      </w:r>
    </w:p>
    <w:p>
      <w:pPr>
        <w:pStyle w:val="Normal"/>
      </w:pPr>
      <w:r>
        <w:t>And for a quick check of the contents (for testing, there was a file called this-is-workstation1.txt in /home/ubuntu on that system):</w:t>
      </w:r>
    </w:p>
    <w:p>
      <w:pPr>
        <w:pStyle w:val="Normal"/>
      </w:pPr>
      <w:r>
        <w:t>*restore</w:t>
      </w:r>
    </w:p>
    <w:p>
      <w:pPr>
        <w:pStyle w:val="Normal"/>
      </w:pPr>
      <w:r>
        <w:t>...</w:t>
      </w:r>
    </w:p>
    <w:p>
      <w:pPr>
        <w:pStyle w:val="Para 02"/>
      </w:pPr>
      <w:r>
        <w:t>5: Select the most recent backup for a client</w:t>
      </w:r>
    </w:p>
    <w:p>
      <w:pPr>
        <w:pStyle w:val="Normal"/>
      </w:pPr>
      <w:r>
        <w:t>...</w:t>
      </w:r>
    </w:p>
    <w:p>
      <w:pPr>
        <w:pStyle w:val="Normal"/>
      </w:pPr>
      <w:r>
        <w:t>Select item:</w:t>
        <w:t xml:space="preserve"> </w:t>
        <w:t>(1-14): 5</w:t>
      </w:r>
    </w:p>
    <w:p>
      <w:pPr>
        <w:pStyle w:val="Normal"/>
      </w:pPr>
      <w:r>
        <w:t>Defined Clients:</w:t>
      </w:r>
    </w:p>
    <w:p>
      <w:pPr>
        <w:pStyle w:val="Para 02"/>
      </w:pPr>
      <w:r>
        <w:t>1: bacula-server-fd</w:t>
      </w:r>
    </w:p>
    <w:p>
      <w:pPr>
        <w:pStyle w:val="Para 02"/>
      </w:pPr>
      <w:r>
        <w:t>2: workstation1-fd</w:t>
      </w:r>
    </w:p>
    <w:p>
      <w:pPr>
        <w:pStyle w:val="Normal"/>
      </w:pPr>
      <w:r>
        <w:t>Select the Client (1-2): 2</w:t>
      </w:r>
    </w:p>
    <w:p>
      <w:pPr>
        <w:pStyle w:val="Normal"/>
      </w:pPr>
      <w:r>
        <w:t>...</w:t>
      </w:r>
    </w:p>
    <w:p>
      <w:pPr>
        <w:pStyle w:val="Normal"/>
      </w:pPr>
      <w:r>
        <w:t>$ cd home/ubuntu</w:t>
      </w:r>
    </w:p>
    <w:p>
      <w:pPr>
        <w:pStyle w:val="Normal"/>
      </w:pPr>
      <w:r>
        <w:t>cwd is: /home/ubuntu/</w:t>
      </w:r>
    </w:p>
    <w:p>
      <w:pPr>
        <w:pStyle w:val="Normal"/>
      </w:pPr>
      <w:r>
        <w:t>$ dir this*</w:t>
      </w:r>
    </w:p>
    <w:p>
      <w:pPr>
        <w:pStyle w:val="Normal"/>
      </w:pPr>
      <w:r>
        <w:t>-rw-rw-r--</w:t>
        <w:t xml:space="preserve"> </w:t>
        <w:t>1 ubuntu</w:t>
        <w:t xml:space="preserve"> </w:t>
        <w:t>ubuntu</w:t>
        <w:t xml:space="preserve"> </w:t>
        <w:t>0</w:t>
        <w:t xml:space="preserve"> </w:t>
        <w:t>2025-10-21 21:02:08</w:t>
        <w:t xml:space="preserve"> </w:t>
        <w:t>/home/ubuntu/this-is-</w:t>
        <w:t>workstation1.txt</w:t>
      </w:r>
    </w:p>
    <w:p>
      <w:bookmarkStart w:id="672" w:name="calibre_pb_107"/>
      <w:pPr>
        <w:pStyle w:val="0 Block"/>
      </w:pPr>
      <w:bookmarkEnd w:id="672"/>
    </w:p>
    <w:p>
      <w:bookmarkStart w:id="673" w:name="Top_of_index_split_108_html"/>
      <w:bookmarkStart w:id="674" w:name="page_45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7" name="index-458_1.png" descr="index-458_1.png"/>
            <wp:cNvGraphicFramePr>
              <a:graphicFrameLocks noChangeAspect="1"/>
            </wp:cNvGraphicFramePr>
            <a:graphic>
              <a:graphicData uri="http://schemas.openxmlformats.org/drawingml/2006/picture">
                <pic:pic>
                  <pic:nvPicPr>
                    <pic:cNvPr id="0" name="index-458_1.png" descr="index-458_1.png"/>
                    <pic:cNvPicPr/>
                  </pic:nvPicPr>
                  <pic:blipFill>
                    <a:blip r:embed="rId471"/>
                    <a:stretch>
                      <a:fillRect/>
                    </a:stretch>
                  </pic:blipFill>
                  <pic:spPr>
                    <a:xfrm>
                      <a:off x="0" y="0"/>
                      <a:ext cx="914400" cy="266700"/>
                    </a:xfrm>
                    <a:prstGeom prst="rect">
                      <a:avLst/>
                    </a:prstGeom>
                  </pic:spPr>
                </pic:pic>
              </a:graphicData>
            </a:graphic>
          </wp:anchor>
        </w:drawing>
      </w:r>
      <w:bookmarkEnd w:id="673"/>
      <w:bookmarkEnd w:id="674"/>
    </w:p>
    <w:p>
      <w:pPr>
        <w:pStyle w:val="Para 01"/>
      </w:pPr>
      <w:r>
        <w:t>Further reading</w:t>
      </w:r>
    </w:p>
    <w:p>
      <w:pPr>
        <w:pStyle w:val="Para 17"/>
      </w:pPr>
      <w:r>
        <w:t/>
      </w:r>
    </w:p>
    <w:p>
      <w:pPr>
        <w:pStyle w:val="Para 04"/>
      </w:pPr>
      <w:r>
        <w:t xml:space="preserve">• For more Bacula configuration options, refer to the </w:t>
      </w:r>
      <w:hyperlink r:id="rId1374">
        <w:r>
          <w:rPr>
            <w:rStyle w:val="Text9"/>
          </w:rPr>
          <w:t>409</w:t>
        </w:r>
      </w:hyperlink>
      <w:hyperlink r:id="rId1374">
        <w:r>
          <w:rPr>
            <w:rStyle w:val="Text1"/>
          </w:rPr>
          <w:t xml:space="preserve"> Bacula documentation</w:t>
        </w:r>
      </w:hyperlink>
      <w:r>
        <w:t>.</w:t>
      </w:r>
    </w:p>
    <w:p>
      <w:pPr>
        <w:pStyle w:val="Para 04"/>
      </w:pPr>
      <w:r>
        <w:t xml:space="preserve">• The </w:t>
      </w:r>
      <w:hyperlink w:anchor="page_458">
        <w:r>
          <w:rPr>
            <w:rStyle w:val="Text9"/>
          </w:rPr>
          <w:t>410</w:t>
        </w:r>
      </w:hyperlink>
      <w:r>
        <w:t xml:space="preserve"> </w:t>
      </w:r>
      <w:hyperlink r:id="rId1361">
        <w:r>
          <w:rPr>
            <w:rStyle w:val="Text1"/>
          </w:rPr>
          <w:t>Bacula home page</w:t>
        </w:r>
      </w:hyperlink>
      <w:r>
        <w:t xml:space="preserve"> contains the latest Bacula news and developments.</w:t>
      </w:r>
    </w:p>
    <w:p>
      <w:pPr>
        <w:pStyle w:val="Para 17"/>
      </w:pPr>
      <w:r>
        <w:t/>
      </w:r>
    </w:p>
    <w:p>
      <w:pPr>
        <w:pStyle w:val="Para 01"/>
      </w:pPr>
      <w:r>
        <w:t>How to install and configure rsnapshot</w:t>
      </w:r>
    </w:p>
    <w:p>
      <w:pPr>
        <w:pStyle w:val="Para 17"/>
      </w:pPr>
      <w:r>
        <w:t/>
      </w:r>
    </w:p>
    <w:p>
      <w:pPr>
        <w:pStyle w:val="Normal"/>
      </w:pPr>
      <w:hyperlink r:id="rId1362">
        <w:r>
          <w:rPr>
            <w:rStyle w:val="Text1"/>
          </w:rPr>
          <w:t>rsnapshot</w:t>
        </w:r>
      </w:hyperlink>
      <w:hyperlink r:id="rId1362">
        <w:r>
          <w:rPr>
            <w:rStyle w:val="Text9"/>
          </w:rPr>
          <w:t>411</w:t>
        </w:r>
      </w:hyperlink>
      <w:r>
        <w:t xml:space="preserve"> is an rsync-based </w:t>
      </w:r>
      <w:hyperlink w:anchor="page_682">
        <w:r>
          <w:rPr>
            <w:rStyle w:val="Text2"/>
          </w:rPr>
          <w:t>filesystem</w:t>
        </w:r>
      </w:hyperlink>
      <w:r>
        <w:t xml:space="preserve"> snapshot utility. It can take incremental backups of local and remote filesystems for any number of machines. rsnapshot makes extensive use of hard links, so disk space is only used when absolutely necessary. It leverages the power of rsync to create scheduled, incremental backups.</w:t>
      </w:r>
    </w:p>
    <w:p>
      <w:pPr>
        <w:pStyle w:val="Para 17"/>
      </w:pPr>
      <w:r>
        <w:t/>
      </w:r>
    </w:p>
    <w:p>
      <w:pPr>
        <w:pStyle w:val="Para 01"/>
      </w:pPr>
      <w:r>
        <w:t>Install rsnapshot</w:t>
      </w:r>
    </w:p>
    <w:p>
      <w:pPr>
        <w:pStyle w:val="Para 17"/>
      </w:pPr>
      <w:r>
        <w:t/>
      </w:r>
    </w:p>
    <w:p>
      <w:pPr>
        <w:pStyle w:val="Normal"/>
      </w:pPr>
      <w:r>
        <w:t>To install rsnapshot open a terminal shell and run:</w:t>
      </w:r>
    </w:p>
    <w:p>
      <w:pPr>
        <w:pStyle w:val="Normal"/>
      </w:pPr>
      <w:r>
        <w:t>sudo apt-get install rsnapshot</w:t>
      </w:r>
    </w:p>
    <w:p>
      <w:pPr>
        <w:pStyle w:val="Para 17"/>
      </w:pPr>
      <w:r>
        <w:t/>
      </w:r>
    </w:p>
    <w:p>
      <w:pPr>
        <w:pStyle w:val="Normal"/>
      </w:pPr>
      <w:r>
        <w:t>If you want to backup a remote filesystem, the rsnapshot server needs to be able to access the target machine over SSH without password. For more information on how to enable this</w:t>
      </w:r>
    </w:p>
    <w:p>
      <w:pPr>
        <w:pStyle w:val="Normal"/>
      </w:pPr>
      <w:r>
        <w:t xml:space="preserve">please see </w:t>
      </w:r>
      <w:hyperlink w:anchor="page_186">
        <w:r>
          <w:rPr>
            <w:rStyle w:val="Text2"/>
          </w:rPr>
          <w:t>OpenSSH documentation</w:t>
        </w:r>
      </w:hyperlink>
      <w:r>
        <w:t xml:space="preserve"> (page 185). If the backup target is a local filesystem there is no need to set up OpenSSH.</w:t>
      </w:r>
    </w:p>
    <w:p>
      <w:pPr>
        <w:pStyle w:val="Para 17"/>
      </w:pPr>
      <w:r>
        <w:t/>
      </w:r>
    </w:p>
    <w:p>
      <w:pPr>
        <w:pStyle w:val="Para 01"/>
      </w:pPr>
      <w:r>
        <w:t>Configure rsnapshot</w:t>
      </w:r>
    </w:p>
    <w:p>
      <w:pPr>
        <w:pStyle w:val="Para 17"/>
      </w:pPr>
      <w:r>
        <w:t/>
      </w:r>
    </w:p>
    <w:p>
      <w:pPr>
        <w:pStyle w:val="Normal"/>
      </w:pPr>
      <w:r>
        <w:t>The rsnapshot configuration resides in /etc/rsnapshot.conf. Below you can find some of the options available there.</w:t>
      </w:r>
    </w:p>
    <w:p>
      <w:pPr>
        <w:pStyle w:val="Normal"/>
      </w:pPr>
      <w:r>
        <w:t>The root directory where all snapshots will be stored is found at:</w:t>
      </w:r>
    </w:p>
    <w:p>
      <w:pPr>
        <w:pStyle w:val="Normal"/>
      </w:pPr>
      <w:r>
        <w:t>snapshot_root</w:t>
        <w:t xml:space="preserve"> </w:t>
        <w:t>/var/cache/rsnapshot/</w:t>
      </w:r>
    </w:p>
    <w:p>
      <w:pPr>
        <w:pStyle w:val="Para 17"/>
      </w:pPr>
      <w:r>
        <w:t/>
      </w:r>
    </w:p>
    <w:p>
      <w:pPr>
        <w:pStyle w:val="Para 01"/>
      </w:pPr>
      <w:r>
        <w:t>Number of backups to keep</w:t>
      </w:r>
    </w:p>
    <w:p>
      <w:pPr>
        <w:pStyle w:val="Para 17"/>
      </w:pPr>
      <w:r>
        <w:t/>
      </w:r>
    </w:p>
    <w:p>
      <w:pPr>
        <w:pStyle w:val="Normal"/>
      </w:pPr>
      <w:r>
        <w:t>Since rsnapshot uses incremental backups, we can afford to keep older backups for a while before removing them. You set these up under the BACKUP LEVELS / INTERVALS section. You can tell rsnapshot to retain a specific number of backups of each kind of interval.</w:t>
      </w:r>
    </w:p>
    <w:p>
      <w:pPr>
        <w:pStyle w:val="Normal"/>
      </w:pPr>
      <w:r>
        <w:t>retain</w:t>
        <w:t xml:space="preserve"> </w:t>
        <w:t>daily</w:t>
        <w:t xml:space="preserve"> </w:t>
        <w:t>6</w:t>
      </w:r>
    </w:p>
    <w:p>
      <w:pPr>
        <w:pStyle w:val="Normal"/>
      </w:pPr>
      <w:r>
        <w:t>retain</w:t>
        <w:t xml:space="preserve"> </w:t>
        <w:t>weekly</w:t>
        <w:t xml:space="preserve"> </w:t>
        <w:t>7</w:t>
      </w:r>
    </w:p>
    <w:p>
      <w:pPr>
        <w:pStyle w:val="Normal"/>
      </w:pPr>
      <w:r>
        <w:t>retain</w:t>
        <w:t xml:space="preserve"> </w:t>
        <w:t>monthly</w:t>
        <w:t xml:space="preserve"> </w:t>
        <w:t>4</w:t>
      </w:r>
    </w:p>
    <w:p>
      <w:pPr>
        <w:pStyle w:val="Para 17"/>
      </w:pPr>
      <w:r>
        <w:t/>
      </w:r>
    </w:p>
    <w:p>
      <w:pPr>
        <w:pStyle w:val="Normal"/>
      </w:pPr>
      <w:r>
        <w:t>In this example we will keep 6 snapshots of our daily strategy, 7 snapshots of our weekly strategy, and 4 snapshots of our monthly strategy. These data will guide the rotation made by rsnapshot.</w:t>
      </w:r>
    </w:p>
    <w:p>
      <w:pPr>
        <w:pStyle w:val="Para 05"/>
      </w:pPr>
      <w:r>
        <w:rPr>
          <w:rStyle w:val="Text5"/>
        </w:rPr>
        <w:t>409</w:t>
      </w:r>
      <w:r>
        <w:rPr>
          <w:rStyle w:val="Text8"/>
        </w:rPr>
        <w:t xml:space="preserve"> </w:t>
      </w:r>
      <w:r>
        <w:t>https://www.bacula.org/documentation/documentation/</w:t>
      </w:r>
    </w:p>
    <w:p>
      <w:pPr>
        <w:pStyle w:val="Para 05"/>
      </w:pPr>
      <w:r>
        <w:rPr>
          <w:rStyle w:val="Text5"/>
        </w:rPr>
        <w:t>410</w:t>
      </w:r>
      <w:r>
        <w:rPr>
          <w:rStyle w:val="Text8"/>
        </w:rPr>
        <w:t xml:space="preserve"> </w:t>
      </w:r>
      <w:r>
        <w:t>https://www.bacula.org/</w:t>
      </w:r>
    </w:p>
    <w:p>
      <w:pPr>
        <w:pStyle w:val="Para 05"/>
      </w:pPr>
      <w:r>
        <w:rPr>
          <w:rStyle w:val="Text5"/>
        </w:rPr>
        <w:t>411</w:t>
      </w:r>
      <w:r>
        <w:rPr>
          <w:rStyle w:val="Text8"/>
        </w:rPr>
        <w:t xml:space="preserve"> </w:t>
      </w:r>
      <w:r>
        <w:t>https://rsnapshot.org/</w:t>
      </w:r>
    </w:p>
    <w:p>
      <w:bookmarkStart w:id="675" w:name="page_4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8" name="index-459_1.png" descr="index-459_1.png"/>
            <wp:cNvGraphicFramePr>
              <a:graphicFrameLocks noChangeAspect="1"/>
            </wp:cNvGraphicFramePr>
            <a:graphic>
              <a:graphicData uri="http://schemas.openxmlformats.org/drawingml/2006/picture">
                <pic:pic>
                  <pic:nvPicPr>
                    <pic:cNvPr id="0" name="index-459_1.png" descr="index-459_1.png"/>
                    <pic:cNvPicPr/>
                  </pic:nvPicPr>
                  <pic:blipFill>
                    <a:blip r:embed="rId472"/>
                    <a:stretch>
                      <a:fillRect/>
                    </a:stretch>
                  </pic:blipFill>
                  <pic:spPr>
                    <a:xfrm>
                      <a:off x="0" y="0"/>
                      <a:ext cx="914400" cy="266700"/>
                    </a:xfrm>
                    <a:prstGeom prst="rect">
                      <a:avLst/>
                    </a:prstGeom>
                  </pic:spPr>
                </pic:pic>
              </a:graphicData>
            </a:graphic>
          </wp:anchor>
        </w:drawing>
      </w:r>
      <w:bookmarkEnd w:id="675"/>
    </w:p>
    <w:p>
      <w:pPr>
        <w:pStyle w:val="Para 01"/>
      </w:pPr>
      <w:r>
        <w:t>Remote machine access</w:t>
      </w:r>
    </w:p>
    <w:p>
      <w:pPr>
        <w:pStyle w:val="Para 17"/>
      </w:pPr>
      <w:r>
        <w:t/>
      </w:r>
    </w:p>
    <w:p>
      <w:pPr>
        <w:pStyle w:val="Normal"/>
      </w:pPr>
      <w:r>
        <w:t>If you are accessing a remote machine over SSH and the port to bind is not the default (port 22), you need to set the following variable with the port number:</w:t>
      </w:r>
    </w:p>
    <w:p>
      <w:pPr>
        <w:pStyle w:val="Normal"/>
      </w:pPr>
      <w:r>
        <w:t>ssh_args</w:t>
        <w:t xml:space="preserve"> </w:t>
        <w:t>-p</w:t>
        <w:t xml:space="preserve"> </w:t>
        <w:t>22222</w:t>
      </w:r>
    </w:p>
    <w:p>
      <w:pPr>
        <w:pStyle w:val="Para 17"/>
      </w:pPr>
      <w:r>
        <w:t/>
      </w:r>
    </w:p>
    <w:p>
      <w:pPr>
        <w:pStyle w:val="Para 01"/>
      </w:pPr>
      <w:r>
        <w:t>What to backup</w:t>
      </w:r>
    </w:p>
    <w:p>
      <w:pPr>
        <w:pStyle w:val="Para 17"/>
      </w:pPr>
      <w:r>
        <w:t/>
      </w:r>
    </w:p>
    <w:p>
      <w:pPr>
        <w:pStyle w:val="Normal"/>
      </w:pPr>
      <w:r>
        <w:t>Now the most important part; you need to decide what you would like to backup.</w:t>
      </w:r>
    </w:p>
    <w:p>
      <w:pPr>
        <w:pStyle w:val="Normal"/>
      </w:pPr>
      <w:r>
        <w:t>If you are backing up locally to the same machine, this is as easy as specifying the directories that you want to save and following it with localhost/ which will be a sub-directory in the snapshot_root that you set up earlier.</w:t>
      </w:r>
    </w:p>
    <w:p>
      <w:pPr>
        <w:pStyle w:val="Normal"/>
      </w:pPr>
      <w:r>
        <w:t>backup</w:t>
        <w:t xml:space="preserve"> </w:t>
        <w:t>/home/</w:t>
        <w:t xml:space="preserve"> </w:t>
        <w:t>localhost/</w:t>
      </w:r>
    </w:p>
    <w:p>
      <w:pPr>
        <w:pStyle w:val="Normal"/>
      </w:pPr>
      <w:r>
        <w:t>backup</w:t>
        <w:t xml:space="preserve"> </w:t>
        <w:t>/etc/</w:t>
        <w:t xml:space="preserve"> </w:t>
        <w:t>localhost/</w:t>
      </w:r>
    </w:p>
    <w:p>
      <w:pPr>
        <w:pStyle w:val="Normal"/>
      </w:pPr>
      <w:r>
        <w:t>backup</w:t>
        <w:t xml:space="preserve"> </w:t>
        <w:t>/usr/local/</w:t>
        <w:t xml:space="preserve"> </w:t>
        <w:t>localhost/</w:t>
      </w:r>
    </w:p>
    <w:p>
      <w:pPr>
        <w:pStyle w:val="Para 17"/>
      </w:pPr>
      <w:r>
        <w:t/>
      </w:r>
    </w:p>
    <w:p>
      <w:pPr>
        <w:pStyle w:val="Normal"/>
      </w:pPr>
      <w:r>
        <w:t>If you are backing up a remote machine you just need to tell rsnapshot where the server is and which directories you would like to back up.</w:t>
      </w:r>
    </w:p>
    <w:p>
      <w:pPr>
        <w:pStyle w:val="Normal"/>
      </w:pPr>
      <w:r>
        <w:t>backup root@example.com:/home/ example.com/</w:t>
        <w:t xml:space="preserve"> </w:t>
        <w:t>+rsync_long_args</w:t>
        <w:t>=</w:t>
        <w:t>--bwlimit</w:t>
        <w:t>=</w:t>
        <w:t>16</w:t>
        <w:t>,exclude</w:t>
        <w:t>=</w:t>
        <w:t>core</w:t>
        <w:t xml:space="preserve"> </w:t>
        <w:t>backup root@example.com:/etc/</w:t>
        <w:t xml:space="preserve"> </w:t>
        <w:t>example.com/</w:t>
        <w:t xml:space="preserve"> </w:t>
        <w:t>exclude</w:t>
        <w:t>=</w:t>
        <w:t>mtab,exclude</w:t>
        <w:t>=</w:t>
        <w:t>core</w:t>
      </w:r>
    </w:p>
    <w:p>
      <w:pPr>
        <w:pStyle w:val="Para 17"/>
      </w:pPr>
      <w:r>
        <w:t/>
      </w:r>
    </w:p>
    <w:p>
      <w:pPr>
        <w:pStyle w:val="Normal"/>
      </w:pPr>
      <w:r>
        <w:t>As you can see, you can pass extra rsync parameters (the + appends the parameter to the default list – if you remove the + sign you override it) and also exclude directories.</w:t>
      </w:r>
    </w:p>
    <w:p>
      <w:pPr>
        <w:pStyle w:val="Normal"/>
      </w:pPr>
      <w:r>
        <w:t xml:space="preserve">You can check the comments in </w:t>
      </w:r>
      <w:hyperlink w:anchor="page_459">
        <w:r>
          <w:rPr>
            <w:rStyle w:val="Text9"/>
          </w:rPr>
          <w:t>412</w:t>
        </w:r>
      </w:hyperlink>
      <w:r>
        <w:t xml:space="preserve"> /etc/rsnapshot.conf and the </w:t>
      </w:r>
      <w:hyperlink r:id="rId1375">
        <w:r>
          <w:rPr>
            <w:rStyle w:val="Text2"/>
          </w:rPr>
          <w:t>rsnapshot(1)</w:t>
        </w:r>
      </w:hyperlink>
      <w:r>
        <w:t xml:space="preserve"> manual page for more options.</w:t>
      </w:r>
    </w:p>
    <w:p>
      <w:pPr>
        <w:pStyle w:val="Para 17"/>
      </w:pPr>
      <w:r>
        <w:t/>
      </w:r>
    </w:p>
    <w:p>
      <w:pPr>
        <w:pStyle w:val="Para 01"/>
      </w:pPr>
      <w:r>
        <w:t>Test configuration</w:t>
      </w:r>
    </w:p>
    <w:p>
      <w:pPr>
        <w:pStyle w:val="Para 17"/>
      </w:pPr>
      <w:r>
        <w:t/>
      </w:r>
    </w:p>
    <w:p>
      <w:pPr>
        <w:pStyle w:val="Normal"/>
      </w:pPr>
      <w:r>
        <w:t>After modifying the configuration file, it is good practice to check if the syntax is OK:</w:t>
      </w:r>
    </w:p>
    <w:p>
      <w:pPr>
        <w:pStyle w:val="Normal"/>
      </w:pPr>
      <w:r>
        <w:t>sudo rsnapshot configtest</w:t>
      </w:r>
    </w:p>
    <w:p>
      <w:pPr>
        <w:pStyle w:val="Para 17"/>
      </w:pPr>
      <w:r>
        <w:t/>
      </w:r>
    </w:p>
    <w:p>
      <w:pPr>
        <w:pStyle w:val="Normal"/>
      </w:pPr>
      <w:r>
        <w:t>You can also test your backup levels with the following command:</w:t>
      </w:r>
    </w:p>
    <w:p>
      <w:pPr>
        <w:pStyle w:val="Normal"/>
      </w:pPr>
      <w:r>
        <w:t>sudo rsnapshot -t daily</w:t>
      </w:r>
    </w:p>
    <w:p>
      <w:pPr>
        <w:pStyle w:val="Para 17"/>
      </w:pPr>
      <w:r>
        <w:t/>
      </w:r>
    </w:p>
    <w:p>
      <w:pPr>
        <w:pStyle w:val="Normal"/>
      </w:pPr>
      <w:r>
        <w:t>If you are happy with the output and want to see it in action you can run:</w:t>
      </w:r>
    </w:p>
    <w:p>
      <w:pPr>
        <w:pStyle w:val="Normal"/>
      </w:pPr>
      <w:r>
        <w:t>sudo rsnapshot daily</w:t>
      </w:r>
    </w:p>
    <w:p>
      <w:pPr>
        <w:pStyle w:val="Para 05"/>
      </w:pPr>
      <w:r>
        <w:rPr>
          <w:rStyle w:val="Text5"/>
        </w:rPr>
        <w:t>412</w:t>
      </w:r>
      <w:r>
        <w:rPr>
          <w:rStyle w:val="Text8"/>
        </w:rPr>
        <w:t xml:space="preserve"> </w:t>
      </w:r>
      <w:r>
        <w:t>https://manpages.ubuntu.com/manpages/resolute/man1/rsnapshot.1.html</w:t>
      </w:r>
    </w:p>
    <w:p>
      <w:bookmarkStart w:id="676" w:name="calibre_pb_108"/>
      <w:pPr>
        <w:pStyle w:val="0 Block"/>
      </w:pPr>
      <w:bookmarkEnd w:id="676"/>
    </w:p>
    <w:p>
      <w:bookmarkStart w:id="677" w:name="page_460"/>
      <w:bookmarkStart w:id="678" w:name="Top_of_index_split_10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69" name="index-460_1.png" descr="index-460_1.png"/>
            <wp:cNvGraphicFramePr>
              <a:graphicFrameLocks noChangeAspect="1"/>
            </wp:cNvGraphicFramePr>
            <a:graphic>
              <a:graphicData uri="http://schemas.openxmlformats.org/drawingml/2006/picture">
                <pic:pic>
                  <pic:nvPicPr>
                    <pic:cNvPr id="0" name="index-460_1.png" descr="index-460_1.png"/>
                    <pic:cNvPicPr/>
                  </pic:nvPicPr>
                  <pic:blipFill>
                    <a:blip r:embed="rId473"/>
                    <a:stretch>
                      <a:fillRect/>
                    </a:stretch>
                  </pic:blipFill>
                  <pic:spPr>
                    <a:xfrm>
                      <a:off x="0" y="0"/>
                      <a:ext cx="914400" cy="266700"/>
                    </a:xfrm>
                    <a:prstGeom prst="rect">
                      <a:avLst/>
                    </a:prstGeom>
                  </pic:spPr>
                </pic:pic>
              </a:graphicData>
            </a:graphic>
          </wp:anchor>
        </w:drawing>
      </w:r>
      <w:bookmarkEnd w:id="677"/>
      <w:bookmarkEnd w:id="678"/>
    </w:p>
    <w:p>
      <w:pPr>
        <w:pStyle w:val="Para 01"/>
      </w:pPr>
      <w:r>
        <w:t>Scheduling backups</w:t>
      </w:r>
    </w:p>
    <w:p>
      <w:pPr>
        <w:pStyle w:val="Para 17"/>
      </w:pPr>
      <w:r>
        <w:t/>
      </w:r>
    </w:p>
    <w:p>
      <w:pPr>
        <w:pStyle w:val="Normal"/>
      </w:pPr>
      <w:r>
        <w:t>With rsnapshot working correctly with the current configuration, the only thing left to do is schedule it to run at certain intervals. We will use cron to make this happen since rsnapshot includes a default cron file in /etc/cron.d/rsnapshot. If you open this file there are some entries commented out as reference.</w:t>
      </w:r>
    </w:p>
    <w:p>
      <w:pPr>
        <w:pStyle w:val="Normal"/>
      </w:pPr>
      <w:r>
        <w:t>0 4</w:t>
        <w:t xml:space="preserve"> </w:t>
        <w:t>* * *</w:t>
        <w:t xml:space="preserve"> </w:t>
        <w:t>root</w:t>
        <w:t xml:space="preserve"> </w:t>
        <w:t>/usr/bin/rsnapshot daily</w:t>
        <w:t xml:space="preserve"> </w:t>
        <w:t>0 3</w:t>
        <w:t xml:space="preserve"> </w:t>
        <w:t>* * 1</w:t>
        <w:t xml:space="preserve"> </w:t>
        <w:t>root</w:t>
        <w:t xml:space="preserve"> </w:t>
        <w:t>/usr/bin/rsnapshot weekly</w:t>
        <w:t xml:space="preserve"> </w:t>
        <w:t>0 2</w:t>
        <w:t xml:space="preserve"> </w:t>
        <w:t>1 * *</w:t>
        <w:t xml:space="preserve"> </w:t>
        <w:t>root</w:t>
        <w:t xml:space="preserve"> </w:t>
        <w:t>/usr/bin/rsnapshot monthly</w:t>
      </w:r>
    </w:p>
    <w:p>
      <w:pPr>
        <w:pStyle w:val="Para 17"/>
      </w:pPr>
      <w:r>
        <w:t/>
      </w:r>
    </w:p>
    <w:p>
      <w:pPr>
        <w:pStyle w:val="Normal"/>
      </w:pPr>
      <w:r>
        <w:t>The settings above added to /etc/cron.d/rsnapshot run:</w:t>
      </w:r>
    </w:p>
    <w:p>
      <w:pPr>
        <w:pStyle w:val="Para 04"/>
      </w:pPr>
      <w:r>
        <w:t xml:space="preserve">• The </w:t>
      </w:r>
      <w:r>
        <w:rPr>
          <w:rStyle w:val="Text0"/>
        </w:rPr>
        <w:t>daily snapshot</w:t>
      </w:r>
      <w:r>
        <w:t xml:space="preserve"> everyday at 4:00 am</w:t>
      </w:r>
    </w:p>
    <w:p>
      <w:pPr>
        <w:pStyle w:val="Para 04"/>
      </w:pPr>
      <w:r>
        <w:t xml:space="preserve">• The </w:t>
      </w:r>
      <w:r>
        <w:rPr>
          <w:rStyle w:val="Text0"/>
        </w:rPr>
        <w:t>weekly snapshot</w:t>
      </w:r>
      <w:r>
        <w:t xml:space="preserve"> every Monday at 3:00 am</w:t>
      </w:r>
    </w:p>
    <w:p>
      <w:pPr>
        <w:pStyle w:val="Para 04"/>
      </w:pPr>
      <w:r>
        <w:t xml:space="preserve">• The </w:t>
      </w:r>
      <w:r>
        <w:rPr>
          <w:rStyle w:val="Text0"/>
        </w:rPr>
        <w:t>monthly snapshot</w:t>
      </w:r>
      <w:r>
        <w:t xml:space="preserve"> on the first of every month at 2:00 am</w:t>
      </w:r>
    </w:p>
    <w:p>
      <w:pPr>
        <w:pStyle w:val="Normal"/>
      </w:pPr>
      <w:r>
        <w:t>For more information on how to schedule a backup using cron please take a look at the Exe-</w:t>
      </w:r>
    </w:p>
    <w:p>
      <w:pPr>
        <w:pStyle w:val="Normal"/>
      </w:pPr>
      <w:r>
        <w:t xml:space="preserve">cuting with cron section in </w:t>
      </w:r>
      <w:hyperlink w:anchor="page_461">
        <w:r>
          <w:rPr>
            <w:rStyle w:val="Text2"/>
          </w:rPr>
          <w:t>Backups - Shell Scripts</w:t>
        </w:r>
      </w:hyperlink>
      <w:r>
        <w:t xml:space="preserve"> (page 460).</w:t>
      </w:r>
    </w:p>
    <w:p>
      <w:pPr>
        <w:pStyle w:val="Para 17"/>
      </w:pPr>
      <w:r>
        <w:t/>
      </w:r>
    </w:p>
    <w:p>
      <w:pPr>
        <w:pStyle w:val="Para 01"/>
      </w:pPr>
      <w:r>
        <w:t>Further reading</w:t>
      </w:r>
    </w:p>
    <w:p>
      <w:pPr>
        <w:pStyle w:val="Para 17"/>
      </w:pPr>
      <w:r>
        <w:t/>
      </w:r>
    </w:p>
    <w:p>
      <w:pPr>
        <w:pStyle w:val="Para 13"/>
      </w:pPr>
      <w:r>
        <w:rPr>
          <w:rStyle w:val="Text7"/>
        </w:rPr>
        <w:t xml:space="preserve">• </w:t>
      </w:r>
      <w:hyperlink r:id="rId1362">
        <w:r>
          <w:rPr>
            <w:rStyle w:val="Text10"/>
          </w:rPr>
          <w:t>413</w:t>
        </w:r>
      </w:hyperlink>
      <w:hyperlink r:id="rId1362">
        <w:r>
          <w:t xml:space="preserve"> rsnapshot official web page</w:t>
        </w:r>
      </w:hyperlink>
    </w:p>
    <w:p>
      <w:pPr>
        <w:pStyle w:val="Para 04"/>
      </w:pPr>
      <w:r>
        <w:t xml:space="preserve">• </w:t>
      </w:r>
      <w:hyperlink w:anchor="page_460">
        <w:r>
          <w:rPr>
            <w:rStyle w:val="Text9"/>
          </w:rPr>
          <w:t>414</w:t>
        </w:r>
      </w:hyperlink>
      <w:r>
        <w:t xml:space="preserve"> </w:t>
      </w:r>
      <w:hyperlink r:id="rId1375">
        <w:r>
          <w:rPr>
            <w:rStyle w:val="Text2"/>
          </w:rPr>
          <w:t>rsnapshot(1)</w:t>
        </w:r>
      </w:hyperlink>
      <w:r>
        <w:t xml:space="preserve"> manual page</w:t>
      </w:r>
    </w:p>
    <w:p>
      <w:pPr>
        <w:pStyle w:val="Para 04"/>
      </w:pPr>
      <w:r>
        <w:t xml:space="preserve">• </w:t>
      </w:r>
      <w:hyperlink w:anchor="page_460">
        <w:r>
          <w:rPr>
            <w:rStyle w:val="Text9"/>
          </w:rPr>
          <w:t>415</w:t>
        </w:r>
      </w:hyperlink>
      <w:r>
        <w:t xml:space="preserve"> </w:t>
      </w:r>
      <w:hyperlink r:id="rId1376">
        <w:r>
          <w:rPr>
            <w:rStyle w:val="Text2"/>
          </w:rPr>
          <w:t>rsync(1)</w:t>
        </w:r>
      </w:hyperlink>
      <w:r>
        <w:t xml:space="preserve"> manual page</w:t>
      </w:r>
    </w:p>
    <w:p>
      <w:pPr>
        <w:pStyle w:val="Para 17"/>
      </w:pPr>
      <w:r>
        <w:t/>
      </w:r>
    </w:p>
    <w:p>
      <w:pPr>
        <w:pStyle w:val="Para 01"/>
      </w:pPr>
      <w:r>
        <w:t>Shell scripts</w:t>
      </w:r>
    </w:p>
    <w:p>
      <w:pPr>
        <w:pStyle w:val="Para 17"/>
      </w:pPr>
      <w:r>
        <w:t/>
      </w:r>
    </w:p>
    <w:p>
      <w:pPr>
        <w:pStyle w:val="Normal"/>
      </w:pPr>
      <w:r>
        <w:t xml:space="preserve">Usually laying out such base concepts as the </w:t>
      </w:r>
      <w:r>
        <w:rPr>
          <w:rStyle w:val="Text3"/>
        </w:rPr>
        <w:t>Backup utilities</w:t>
      </w:r>
      <w:r>
        <w:t xml:space="preserve"> above do, forces the implemen-tation to follow some best practices and generally is recommended. But if you are looking for full flexibility and customization, another option is to use shell scripts around the most basic tools.</w:t>
      </w:r>
    </w:p>
    <w:p>
      <w:pPr>
        <w:pStyle w:val="Normal"/>
      </w:pPr>
      <w:r>
        <w:t>Here are a few examples:</w:t>
      </w:r>
    </w:p>
    <w:p>
      <w:pPr>
        <w:pStyle w:val="Para 14"/>
      </w:pPr>
      <w:r>
        <w:rPr>
          <w:rStyle w:val="Text4"/>
        </w:rPr>
        <w:t xml:space="preserve">• </w:t>
      </w:r>
      <w:hyperlink w:anchor="page_461">
        <w:r>
          <w:t>how to use shell scripts for backups</w:t>
        </w:r>
      </w:hyperlink>
      <w:r>
        <w:rPr>
          <w:rStyle w:val="Text4"/>
        </w:rPr>
        <w:t xml:space="preserve"> (page 460)</w:t>
      </w:r>
    </w:p>
    <w:p>
      <w:pPr>
        <w:pStyle w:val="Para 14"/>
      </w:pPr>
      <w:r>
        <w:rPr>
          <w:rStyle w:val="Text4"/>
        </w:rPr>
        <w:t xml:space="preserve">• </w:t>
      </w:r>
      <w:hyperlink w:anchor="page_464">
        <w:r>
          <w:t>An example of archive rotation with shell scripts</w:t>
        </w:r>
      </w:hyperlink>
      <w:r>
        <w:rPr>
          <w:rStyle w:val="Text4"/>
        </w:rPr>
        <w:t xml:space="preserve"> (page 463)</w:t>
      </w:r>
    </w:p>
    <w:p>
      <w:pPr>
        <w:pStyle w:val="Para 05"/>
      </w:pPr>
      <w:r>
        <w:rPr>
          <w:rStyle w:val="Text5"/>
        </w:rPr>
        <w:t>413</w:t>
      </w:r>
      <w:r>
        <w:rPr>
          <w:rStyle w:val="Text8"/>
        </w:rPr>
        <w:t xml:space="preserve"> </w:t>
      </w:r>
      <w:r>
        <w:t>https://rsnapshot.org/</w:t>
      </w:r>
    </w:p>
    <w:p>
      <w:pPr>
        <w:pStyle w:val="Para 05"/>
      </w:pPr>
      <w:r>
        <w:rPr>
          <w:rStyle w:val="Text5"/>
        </w:rPr>
        <w:t>414</w:t>
      </w:r>
      <w:r>
        <w:rPr>
          <w:rStyle w:val="Text8"/>
        </w:rPr>
        <w:t xml:space="preserve"> </w:t>
      </w:r>
      <w:r>
        <w:t>https://manpages.ubuntu.com/manpages/resolute/man1/rsnapshot.1.html</w:t>
      </w:r>
    </w:p>
    <w:p>
      <w:pPr>
        <w:pStyle w:val="Para 05"/>
      </w:pPr>
      <w:r>
        <w:rPr>
          <w:rStyle w:val="Text5"/>
        </w:rPr>
        <w:t>415</w:t>
      </w:r>
      <w:r>
        <w:rPr>
          <w:rStyle w:val="Text8"/>
        </w:rPr>
        <w:t xml:space="preserve"> </w:t>
      </w:r>
      <w:r>
        <w:t>https://manpages.ubuntu.com/manpages/resolute/man1/rsync.1.html</w:t>
      </w:r>
    </w:p>
    <w:p>
      <w:bookmarkStart w:id="679" w:name="calibre_pb_109"/>
      <w:pPr>
        <w:pStyle w:val="0 Block"/>
      </w:pPr>
      <w:bookmarkEnd w:id="679"/>
    </w:p>
    <w:p>
      <w:bookmarkStart w:id="680" w:name="page_461"/>
      <w:bookmarkStart w:id="681" w:name="Top_of_index_split_11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0" name="index-461_1.png" descr="index-461_1.png"/>
            <wp:cNvGraphicFramePr>
              <a:graphicFrameLocks noChangeAspect="1"/>
            </wp:cNvGraphicFramePr>
            <a:graphic>
              <a:graphicData uri="http://schemas.openxmlformats.org/drawingml/2006/picture">
                <pic:pic>
                  <pic:nvPicPr>
                    <pic:cNvPr id="0" name="index-461_1.png" descr="index-461_1.png"/>
                    <pic:cNvPicPr/>
                  </pic:nvPicPr>
                  <pic:blipFill>
                    <a:blip r:embed="rId474"/>
                    <a:stretch>
                      <a:fillRect/>
                    </a:stretch>
                  </pic:blipFill>
                  <pic:spPr>
                    <a:xfrm>
                      <a:off x="0" y="0"/>
                      <a:ext cx="914400" cy="266700"/>
                    </a:xfrm>
                    <a:prstGeom prst="rect">
                      <a:avLst/>
                    </a:prstGeom>
                  </pic:spPr>
                </pic:pic>
              </a:graphicData>
            </a:graphic>
          </wp:anchor>
        </w:drawing>
      </w:r>
      <w:bookmarkEnd w:id="680"/>
      <w:bookmarkEnd w:id="681"/>
    </w:p>
    <w:p>
      <w:pPr>
        <w:pStyle w:val="Para 01"/>
      </w:pPr>
      <w:r>
        <w:t>How to back up using shell scripts</w:t>
      </w:r>
    </w:p>
    <w:p>
      <w:pPr>
        <w:pStyle w:val="Para 17"/>
      </w:pPr>
      <w:r>
        <w:t/>
      </w:r>
    </w:p>
    <w:p>
      <w:pPr>
        <w:pStyle w:val="Normal"/>
      </w:pPr>
      <w:r>
        <w:t>In general, a shell script configures which directories to backup, and passes those directories as arguments to the tar utility, which creates an archive file. The archive file can then be moved or copied to another location. The archive can also be created on a remote file system</w:t>
      </w:r>
    </w:p>
    <w:p>
      <w:pPr>
        <w:pStyle w:val="Normal"/>
      </w:pPr>
      <w:r>
        <w:t xml:space="preserve">such as a </w:t>
      </w:r>
      <w:hyperlink w:anchor="page_285">
        <w:r>
          <w:rPr>
            <w:rStyle w:val="Text2"/>
          </w:rPr>
          <w:t>Network File System (NFS)</w:t>
        </w:r>
      </w:hyperlink>
      <w:r>
        <w:t xml:space="preserve"> (page 284) mount.</w:t>
      </w:r>
    </w:p>
    <w:p>
      <w:pPr>
        <w:pStyle w:val="Normal"/>
      </w:pPr>
      <w:r>
        <w:t>The tar utility creates one archive file out of many files or directories. tar can also filter the files through compression utilities, thus reducing the size of the archive file.</w:t>
      </w:r>
    </w:p>
    <w:p>
      <w:pPr>
        <w:pStyle w:val="Normal"/>
      </w:pPr>
      <w:r>
        <w:t>In this guide, we will walk through how to use a shell script for backing up files, and how to restore files from the archive we create. The later sections will modify it to rotate archives or use tape.</w:t>
      </w:r>
    </w:p>
    <w:p>
      <w:pPr>
        <w:pStyle w:val="Para 17"/>
      </w:pPr>
      <w:r>
        <w:t/>
      </w:r>
    </w:p>
    <w:p>
      <w:pPr>
        <w:pStyle w:val="Para 01"/>
      </w:pPr>
      <w:r>
        <w:t>The shell script</w:t>
      </w:r>
    </w:p>
    <w:p>
      <w:pPr>
        <w:pStyle w:val="Para 17"/>
      </w:pPr>
      <w:r>
        <w:t/>
      </w:r>
    </w:p>
    <w:p>
      <w:pPr>
        <w:pStyle w:val="Normal"/>
      </w:pPr>
      <w:r>
        <w:t>The following example shell script uses tar to create an archive file on a remotely mounted NFS file system. The archive filename is determined using additional command line utilities.</w:t>
      </w:r>
    </w:p>
    <w:p>
      <w:pPr>
        <w:pStyle w:val="Normal"/>
      </w:pPr>
      <w:r>
        <w:t>This example is for the purpose of this explanation intentionally rather brief; however there are many options that can be included in such a script. For more information on shell scripting</w:t>
      </w:r>
    </w:p>
    <w:p>
      <w:pPr>
        <w:pStyle w:val="Para 18"/>
      </w:pPr>
      <w:r>
        <w:rPr>
          <w:rStyle w:val="Text7"/>
        </w:rPr>
        <w:t xml:space="preserve">see the </w:t>
      </w:r>
      <w:hyperlink w:anchor="page_461">
        <w:r>
          <w:rPr>
            <w:rStyle w:val="Text10"/>
          </w:rPr>
          <w:t>416</w:t>
        </w:r>
      </w:hyperlink>
      <w:r>
        <w:rPr>
          <w:rStyle w:val="Text7"/>
        </w:rPr>
        <w:t xml:space="preserve"> </w:t>
      </w:r>
      <w:hyperlink r:id="rId1377">
        <w:r>
          <w:t>Advanced Bash-Scripting Guide</w:t>
        </w:r>
      </w:hyperlink>
      <w:r>
        <w:rPr>
          <w:rStyle w:val="Text7"/>
        </w:rPr>
        <w:t>.</w:t>
      </w:r>
    </w:p>
    <w:p>
      <w:pPr>
        <w:pStyle w:val="Normal"/>
      </w:pPr>
      <w:r>
        <w:t>Conceptually this example uses:</w:t>
      </w:r>
    </w:p>
    <w:p>
      <w:pPr>
        <w:pStyle w:val="Para 04"/>
      </w:pPr>
      <w:r>
        <w:t>• $backup_files: A variable listing which directories you would like to backup. The list</w:t>
      </w:r>
    </w:p>
    <w:p>
      <w:pPr>
        <w:pStyle w:val="Para 02"/>
      </w:pPr>
      <w:r>
        <w:t>should be customized to fit your needs.</w:t>
      </w:r>
    </w:p>
    <w:p>
      <w:pPr>
        <w:pStyle w:val="Para 04"/>
      </w:pPr>
      <w:r>
        <w:t>• $day: A variable holding the day of the week (Monday, Tuesday, Wednesday, etc). This is</w:t>
      </w:r>
    </w:p>
    <w:p>
      <w:pPr>
        <w:pStyle w:val="Para 02"/>
      </w:pPr>
      <w:r>
        <w:t>used to create an archive file for each day of the week, giving a backup history of seven days. There are other ways to accomplish this including using the date utility.</w:t>
      </w:r>
    </w:p>
    <w:p>
      <w:pPr>
        <w:pStyle w:val="Para 04"/>
      </w:pPr>
      <w:r>
        <w:t xml:space="preserve">• $hostname: A variable containing the </w:t>
      </w:r>
      <w:r>
        <w:rPr>
          <w:rStyle w:val="Text3"/>
        </w:rPr>
        <w:t>short</w:t>
      </w:r>
      <w:r>
        <w:t xml:space="preserve"> hostname of the system. Using the hostname</w:t>
      </w:r>
    </w:p>
    <w:p>
      <w:pPr>
        <w:pStyle w:val="Para 02"/>
      </w:pPr>
      <w:r>
        <w:t>in the archive filename gives you the option of placing daily archive files from multiple systems in the same directory.</w:t>
      </w:r>
    </w:p>
    <w:p>
      <w:pPr>
        <w:pStyle w:val="Para 04"/>
      </w:pPr>
      <w:r>
        <w:t>• $archive_file: The full archive filename.</w:t>
      </w:r>
    </w:p>
    <w:p>
      <w:pPr>
        <w:pStyle w:val="Para 04"/>
      </w:pPr>
      <w:r>
        <w:t>• $dest: Destination of the archive file. The directory needs to be created and in this case</w:t>
      </w:r>
    </w:p>
    <w:p>
      <w:pPr>
        <w:pStyle w:val="Para 02"/>
      </w:pPr>
      <w:r>
        <w:rPr>
          <w:rStyle w:val="Text3"/>
        </w:rPr>
        <w:t>mounted</w:t>
      </w:r>
      <w:r>
        <w:t xml:space="preserve"> before executing the backup script. See </w:t>
      </w:r>
      <w:hyperlink w:anchor="page_285">
        <w:r>
          <w:rPr>
            <w:rStyle w:val="Text2"/>
          </w:rPr>
          <w:t>Network File System (NFS)</w:t>
        </w:r>
      </w:hyperlink>
      <w:r>
        <w:t xml:space="preserve"> (page 284) for details of using NFS.</w:t>
      </w:r>
    </w:p>
    <w:p>
      <w:pPr>
        <w:pStyle w:val="Para 04"/>
      </w:pPr>
      <w:r>
        <w:t>• status messages: Optional messages printed to the console using the echo utility.</w:t>
      </w:r>
    </w:p>
    <w:p>
      <w:pPr>
        <w:pStyle w:val="Para 04"/>
      </w:pPr>
      <w:r>
        <w:t>• tar czf $dest/$archive_file $backup_files: The tar command used to create the</w:t>
      </w:r>
    </w:p>
    <w:p>
      <w:pPr>
        <w:pStyle w:val="Para 02"/>
      </w:pPr>
      <w:r>
        <w:t>archive file.</w:t>
      </w:r>
    </w:p>
    <w:p>
      <w:pPr>
        <w:pStyle w:val="Para 06"/>
      </w:pPr>
      <w:r>
        <w:rPr>
          <w:rStyle w:val="Text0"/>
        </w:rPr>
        <w:t>–</w:t>
      </w:r>
      <w:r>
        <w:t xml:space="preserve"> c: Creates an archive.</w:t>
      </w:r>
    </w:p>
    <w:p>
      <w:pPr>
        <w:pStyle w:val="Para 06"/>
      </w:pPr>
      <w:r>
        <w:rPr>
          <w:rStyle w:val="Text0"/>
        </w:rPr>
        <w:t>–</w:t>
      </w:r>
      <w:r>
        <w:t xml:space="preserve"> z: Filter the archive through the gzip utility, compressing the archive.</w:t>
      </w:r>
    </w:p>
    <w:p>
      <w:pPr>
        <w:pStyle w:val="Para 06"/>
      </w:pPr>
      <w:r>
        <w:rPr>
          <w:rStyle w:val="Text0"/>
        </w:rPr>
        <w:t>–</w:t>
      </w:r>
      <w:r>
        <w:t xml:space="preserve"> f: Output to an archive file. Otherwise the tar output will be sent to STDOUT.</w:t>
      </w:r>
    </w:p>
    <w:p>
      <w:pPr>
        <w:pStyle w:val="Para 04"/>
      </w:pPr>
      <w:r>
        <w:t>• ls -lh $dest: Optional statement prints a-l long listing in-h human-readable format</w:t>
      </w:r>
    </w:p>
    <w:p>
      <w:pPr>
        <w:pStyle w:val="Para 02"/>
      </w:pPr>
      <w:r>
        <w:t>of the destination directory. This is useful for a quick file size check of the archive file. This check should not replace testing the archive file.</w:t>
      </w:r>
    </w:p>
    <w:p>
      <w:pPr>
        <w:pStyle w:val="Para 05"/>
      </w:pPr>
      <w:r>
        <w:rPr>
          <w:rStyle w:val="Text5"/>
        </w:rPr>
        <w:t>416</w:t>
      </w:r>
      <w:r>
        <w:rPr>
          <w:rStyle w:val="Text8"/>
        </w:rPr>
        <w:t xml:space="preserve"> </w:t>
      </w:r>
      <w:r>
        <w:t>https://tldp.org/LDP/abs/html/</w:t>
      </w:r>
    </w:p>
    <w:p>
      <w:bookmarkStart w:id="682" w:name="page_4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1" name="index-462_1.png" descr="index-462_1.png"/>
            <wp:cNvGraphicFramePr>
              <a:graphicFrameLocks noChangeAspect="1"/>
            </wp:cNvGraphicFramePr>
            <a:graphic>
              <a:graphicData uri="http://schemas.openxmlformats.org/drawingml/2006/picture">
                <pic:pic>
                  <pic:nvPicPr>
                    <pic:cNvPr id="0" name="index-462_1.png" descr="index-462_1.png"/>
                    <pic:cNvPicPr/>
                  </pic:nvPicPr>
                  <pic:blipFill>
                    <a:blip r:embed="rId475"/>
                    <a:stretch>
                      <a:fillRect/>
                    </a:stretch>
                  </pic:blipFill>
                  <pic:spPr>
                    <a:xfrm>
                      <a:off x="0" y="0"/>
                      <a:ext cx="914400" cy="266700"/>
                    </a:xfrm>
                    <a:prstGeom prst="rect">
                      <a:avLst/>
                    </a:prstGeom>
                  </pic:spPr>
                </pic:pic>
              </a:graphicData>
            </a:graphic>
          </wp:anchor>
        </w:drawing>
      </w:r>
      <w:bookmarkEnd w:id="682"/>
    </w:p>
    <w:p>
      <w:pPr>
        <w:pStyle w:val="Para 10"/>
      </w:pPr>
      <w:r>
        <w:t>#!/bin/bash</w:t>
      </w:r>
    </w:p>
    <w:p>
      <w:pPr>
        <w:pStyle w:val="Para 10"/>
      </w:pPr>
      <w:r>
        <w:t>####################################</w:t>
      </w:r>
    </w:p>
    <w:p>
      <w:pPr>
        <w:pStyle w:val="Para 10"/>
      </w:pPr>
      <w:r>
        <w:t>#</w:t>
      </w:r>
    </w:p>
    <w:p>
      <w:pPr>
        <w:pStyle w:val="Para 10"/>
      </w:pPr>
      <w:r>
        <w:t># Backup to NFS mount script.</w:t>
      </w:r>
    </w:p>
    <w:p>
      <w:pPr>
        <w:pStyle w:val="Para 10"/>
      </w:pPr>
      <w:r>
        <w:t>#</w:t>
      </w:r>
    </w:p>
    <w:p>
      <w:pPr>
        <w:pStyle w:val="Para 10"/>
      </w:pPr>
      <w:r>
        <w:t>####################################</w:t>
      </w:r>
    </w:p>
    <w:p>
      <w:pPr>
        <w:pStyle w:val="Para 10"/>
      </w:pPr>
      <w:r>
        <w:t># What to backup.</w:t>
      </w:r>
    </w:p>
    <w:p>
      <w:pPr>
        <w:pStyle w:val="Normal"/>
      </w:pPr>
      <w:r>
        <w:t>backup_files</w:t>
        <w:t>=</w:t>
        <w:t>"/home /var/spool/mail /etc /root /boot /opt"</w:t>
      </w:r>
    </w:p>
    <w:p>
      <w:pPr>
        <w:pStyle w:val="Para 10"/>
      </w:pPr>
      <w:r>
        <w:t># Where to backup to.</w:t>
      </w:r>
    </w:p>
    <w:p>
      <w:pPr>
        <w:pStyle w:val="Normal"/>
      </w:pPr>
      <w:r>
        <w:t>dest</w:t>
        <w:t>=</w:t>
        <w:t>"/mnt/backup"</w:t>
      </w:r>
    </w:p>
    <w:p>
      <w:pPr>
        <w:pStyle w:val="Para 10"/>
      </w:pPr>
      <w:r>
        <w:t># Create archive filename.</w:t>
      </w:r>
    </w:p>
    <w:p>
      <w:pPr>
        <w:pStyle w:val="Normal"/>
      </w:pPr>
      <w:r>
        <w:t>day</w:t>
        <w:t>=</w:t>
      </w:r>
      <w:r>
        <w:rPr>
          <w:rStyle w:val="Text0"/>
        </w:rPr>
        <w:t>$(</w:t>
      </w:r>
      <w:r>
        <w:t>date +%A</w:t>
      </w:r>
      <w:r>
        <w:rPr>
          <w:rStyle w:val="Text0"/>
        </w:rPr>
        <w:t>)</w:t>
      </w:r>
    </w:p>
    <w:p>
      <w:pPr>
        <w:pStyle w:val="Normal"/>
      </w:pPr>
      <w:r>
        <w:t>hostname</w:t>
        <w:t>=</w:t>
      </w:r>
      <w:r>
        <w:rPr>
          <w:rStyle w:val="Text0"/>
        </w:rPr>
        <w:t>$(</w:t>
      </w:r>
      <w:r>
        <w:t>hostname -s</w:t>
      </w:r>
      <w:r>
        <w:rPr>
          <w:rStyle w:val="Text0"/>
        </w:rPr>
        <w:t>)</w:t>
      </w:r>
    </w:p>
    <w:p>
      <w:pPr>
        <w:pStyle w:val="Normal"/>
      </w:pPr>
      <w:r>
        <w:t>archive_file</w:t>
        <w:t>=</w:t>
        <w:t>"</w:t>
        <w:t>$hostname</w:t>
        <w:t>-</w:t>
        <w:t>$day</w:t>
        <w:t>.tgz"</w:t>
      </w:r>
    </w:p>
    <w:p>
      <w:pPr>
        <w:pStyle w:val="Para 10"/>
      </w:pPr>
      <w:r>
        <w:t># Print start status message.</w:t>
      </w:r>
    </w:p>
    <w:p>
      <w:pPr>
        <w:pStyle w:val="Normal"/>
      </w:pPr>
      <w:r>
        <w:t>echo</w:t>
        <w:t xml:space="preserve"> </w:t>
        <w:t>"Backing up</w:t>
        <w:t xml:space="preserve"> </w:t>
        <w:t>$backup_files</w:t>
        <w:t xml:space="preserve"> </w:t>
        <w:t>to</w:t>
        <w:t xml:space="preserve"> </w:t>
        <w:t>$dest</w:t>
        <w:t>/</w:t>
        <w:t>$archive_file</w:t>
        <w:t>"</w:t>
        <w:t xml:space="preserve"> </w:t>
        <w:t>date</w:t>
      </w:r>
    </w:p>
    <w:p>
      <w:pPr>
        <w:pStyle w:val="Normal"/>
      </w:pPr>
      <w:r>
        <w:t>echo</w:t>
      </w:r>
    </w:p>
    <w:p>
      <w:pPr>
        <w:pStyle w:val="Para 10"/>
      </w:pPr>
      <w:r>
        <w:t># Backup the files using tar.</w:t>
      </w:r>
    </w:p>
    <w:p>
      <w:pPr>
        <w:pStyle w:val="Normal"/>
      </w:pPr>
      <w:r>
        <w:t>tar czf</w:t>
        <w:t xml:space="preserve"> </w:t>
        <w:t>$dest</w:t>
        <w:t>/</w:t>
        <w:t>$archive_file $backup_files</w:t>
      </w:r>
    </w:p>
    <w:p>
      <w:pPr>
        <w:pStyle w:val="Para 10"/>
      </w:pPr>
      <w:r>
        <w:t># Print end status message.</w:t>
      </w:r>
    </w:p>
    <w:p>
      <w:pPr>
        <w:pStyle w:val="Normal"/>
      </w:pPr>
      <w:r>
        <w:t>echo</w:t>
      </w:r>
    </w:p>
    <w:p>
      <w:pPr>
        <w:pStyle w:val="Normal"/>
      </w:pPr>
      <w:r>
        <w:t>echo</w:t>
        <w:t xml:space="preserve"> </w:t>
        <w:t>"Backup finished"</w:t>
      </w:r>
    </w:p>
    <w:p>
      <w:pPr>
        <w:pStyle w:val="Normal"/>
      </w:pPr>
      <w:r>
        <w:t>date</w:t>
      </w:r>
    </w:p>
    <w:p>
      <w:pPr>
        <w:pStyle w:val="Para 10"/>
      </w:pPr>
      <w:r>
        <w:t># Long listing of files in $dest to check file sizes.</w:t>
      </w:r>
    </w:p>
    <w:p>
      <w:pPr>
        <w:pStyle w:val="Normal"/>
      </w:pPr>
      <w:r>
        <w:t>ls -lh</w:t>
        <w:t xml:space="preserve"> </w:t>
        <w:t>$dest</w:t>
      </w:r>
    </w:p>
    <w:p>
      <w:pPr>
        <w:pStyle w:val="Para 17"/>
      </w:pPr>
      <w:r>
        <w:t/>
      </w:r>
    </w:p>
    <w:p>
      <w:pPr>
        <w:pStyle w:val="Para 01"/>
      </w:pPr>
      <w:r>
        <w:t>Running the script</w:t>
      </w:r>
    </w:p>
    <w:p>
      <w:pPr>
        <w:pStyle w:val="Para 17"/>
      </w:pPr>
      <w:r>
        <w:t/>
      </w:r>
    </w:p>
    <w:p>
      <w:pPr>
        <w:pStyle w:val="Para 01"/>
      </w:pPr>
      <w:r>
        <w:t>Run from a terminal</w:t>
      </w:r>
    </w:p>
    <w:p>
      <w:pPr>
        <w:pStyle w:val="Para 17"/>
      </w:pPr>
      <w:r>
        <w:t/>
      </w:r>
    </w:p>
    <w:p>
      <w:pPr>
        <w:pStyle w:val="Normal"/>
      </w:pPr>
      <w:r>
        <w:t>The simplest way to use the above backup script is to copy and paste the contents into a file (called backup.sh, for example). The file must be made executable:</w:t>
      </w:r>
    </w:p>
    <w:p>
      <w:pPr>
        <w:pStyle w:val="Normal"/>
      </w:pPr>
      <w:r>
        <w:t>chmod u+x backup.sh</w:t>
      </w:r>
    </w:p>
    <w:p>
      <w:pPr>
        <w:pStyle w:val="Para 17"/>
      </w:pPr>
      <w:r>
        <w:t/>
      </w:r>
    </w:p>
    <w:p>
      <w:pPr>
        <w:pStyle w:val="Normal"/>
      </w:pPr>
      <w:r>
        <w:t>Then from a terminal prompt, run the following command:</w:t>
      </w:r>
    </w:p>
    <w:p>
      <w:pPr>
        <w:pStyle w:val="Normal"/>
      </w:pPr>
      <w:r>
        <w:t>sudo ./backup.sh</w:t>
      </w:r>
    </w:p>
    <w:p>
      <w:pPr>
        <w:pStyle w:val="Para 17"/>
      </w:pPr>
      <w:r>
        <w:t/>
      </w:r>
    </w:p>
    <w:p>
      <w:pPr>
        <w:pStyle w:val="Normal"/>
      </w:pPr>
      <w:r>
        <w:t>This is a great way to test the script to make sure everything works as expected.</w:t>
      </w:r>
    </w:p>
    <w:p>
      <w:bookmarkStart w:id="683" w:name="calibre_pb_110"/>
      <w:pPr>
        <w:pStyle w:val="0 Block"/>
      </w:pPr>
      <w:bookmarkEnd w:id="683"/>
    </w:p>
    <w:p>
      <w:bookmarkStart w:id="684" w:name="page_463"/>
      <w:bookmarkStart w:id="685" w:name="Top_of_index_split_11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2" name="index-463_1.png" descr="index-463_1.png"/>
            <wp:cNvGraphicFramePr>
              <a:graphicFrameLocks noChangeAspect="1"/>
            </wp:cNvGraphicFramePr>
            <a:graphic>
              <a:graphicData uri="http://schemas.openxmlformats.org/drawingml/2006/picture">
                <pic:pic>
                  <pic:nvPicPr>
                    <pic:cNvPr id="0" name="index-463_1.png" descr="index-463_1.png"/>
                    <pic:cNvPicPr/>
                  </pic:nvPicPr>
                  <pic:blipFill>
                    <a:blip r:embed="rId476"/>
                    <a:stretch>
                      <a:fillRect/>
                    </a:stretch>
                  </pic:blipFill>
                  <pic:spPr>
                    <a:xfrm>
                      <a:off x="0" y="0"/>
                      <a:ext cx="914400" cy="266700"/>
                    </a:xfrm>
                    <a:prstGeom prst="rect">
                      <a:avLst/>
                    </a:prstGeom>
                  </pic:spPr>
                </pic:pic>
              </a:graphicData>
            </a:graphic>
          </wp:anchor>
        </w:drawing>
      </w:r>
      <w:bookmarkEnd w:id="684"/>
      <w:bookmarkEnd w:id="685"/>
    </w:p>
    <w:p>
      <w:pPr>
        <w:pStyle w:val="Para 01"/>
      </w:pPr>
      <w:r>
        <w:t>Run with cron</w:t>
      </w:r>
    </w:p>
    <w:p>
      <w:pPr>
        <w:pStyle w:val="Para 17"/>
      </w:pPr>
      <w:r>
        <w:t/>
      </w:r>
    </w:p>
    <w:p>
      <w:pPr>
        <w:pStyle w:val="Normal"/>
      </w:pPr>
      <w:r>
        <w:t>The cron utility can be used to automate use of the script. The cron daemon allows scripts, or commands, to be run at a specified time and date.</w:t>
      </w:r>
    </w:p>
    <w:p>
      <w:pPr>
        <w:pStyle w:val="Normal"/>
      </w:pPr>
      <w:r>
        <w:t>cron is configured through entries in a crontab file. crontab files are separated into fields:</w:t>
      </w:r>
    </w:p>
    <w:p>
      <w:pPr>
        <w:pStyle w:val="Para 10"/>
      </w:pPr>
      <w:r>
        <w:t># m h dom mon dow</w:t>
      </w:r>
      <w:r>
        <w:rPr>
          <w:rStyle w:val="Text3"/>
        </w:rPr>
        <w:t xml:space="preserve"> </w:t>
      </w:r>
      <w:r>
        <w:t>command</w:t>
      </w:r>
    </w:p>
    <w:p>
      <w:pPr>
        <w:pStyle w:val="Para 17"/>
      </w:pPr>
      <w:r>
        <w:t/>
      </w:r>
    </w:p>
    <w:p>
      <w:pPr>
        <w:pStyle w:val="Normal"/>
      </w:pPr>
      <w:r>
        <w:t>Where:</w:t>
      </w:r>
    </w:p>
    <w:p>
      <w:pPr>
        <w:pStyle w:val="Para 04"/>
      </w:pPr>
      <w:r>
        <w:t>• m: The minute the command executes on, between 0 and 59.</w:t>
      </w:r>
    </w:p>
    <w:p>
      <w:pPr>
        <w:pStyle w:val="Para 04"/>
      </w:pPr>
      <w:r>
        <w:t>• h: The hour the command executes on, between 0 and 23.</w:t>
      </w:r>
    </w:p>
    <w:p>
      <w:pPr>
        <w:pStyle w:val="Para 04"/>
      </w:pPr>
      <w:r>
        <w:t>• dom: The day of the month the command executes on.</w:t>
      </w:r>
    </w:p>
    <w:p>
      <w:pPr>
        <w:pStyle w:val="Para 04"/>
      </w:pPr>
      <w:r>
        <w:t>• mon: The month the command executes on, between 1 and 12.</w:t>
      </w:r>
    </w:p>
    <w:p>
      <w:pPr>
        <w:pStyle w:val="Para 04"/>
      </w:pPr>
      <w:r>
        <w:t>• dow: The day of the week the command executes on, between 0 and 7. Sunday may be</w:t>
      </w:r>
    </w:p>
    <w:p>
      <w:pPr>
        <w:pStyle w:val="Para 02"/>
      </w:pPr>
      <w:r>
        <w:t>specified by using 0 or 7, both values are valid.</w:t>
      </w:r>
    </w:p>
    <w:p>
      <w:pPr>
        <w:pStyle w:val="Para 04"/>
      </w:pPr>
      <w:r>
        <w:t>• command: The command to run.</w:t>
      </w:r>
    </w:p>
    <w:p>
      <w:pPr>
        <w:pStyle w:val="Normal"/>
      </w:pPr>
      <w:r>
        <w:t>To add or change entries in a crontab file the crontab -e command should be used. Also note the contents of a crontab file can be viewed using the crontab -l command.</w:t>
      </w:r>
    </w:p>
    <w:p>
      <w:pPr>
        <w:pStyle w:val="Normal"/>
      </w:pPr>
      <w:r>
        <w:t>To run the backup.sh script listed above using cron, enter the following from a terminal prompt:</w:t>
      </w:r>
    </w:p>
    <w:p>
      <w:pPr>
        <w:pStyle w:val="Normal"/>
      </w:pPr>
      <w:r>
        <w:t>sudo crontab -e</w:t>
      </w:r>
    </w:p>
    <w:p>
      <w:pPr>
        <w:pStyle w:val="Para 17"/>
      </w:pPr>
      <w:r>
        <w:t/>
      </w:r>
    </w:p>
    <w:p>
      <w:pPr>
        <w:pStyle w:val="Para 08"/>
      </w:pPr>
      <w:r>
        <w:t>Note:</w:t>
      </w:r>
    </w:p>
    <w:p>
      <w:pPr>
        <w:pStyle w:val="Para 03"/>
      </w:pPr>
      <w:r>
        <w:t xml:space="preserve">Using sudo with the crontab -e command edits the </w:t>
      </w:r>
      <w:r>
        <w:rPr>
          <w:rStyle w:val="Text3"/>
        </w:rPr>
        <w:t>root</w:t>
      </w:r>
      <w:r>
        <w:t xml:space="preserve"> user’s crontab. This is necessary</w:t>
      </w:r>
    </w:p>
    <w:p>
      <w:pPr>
        <w:pStyle w:val="Para 03"/>
      </w:pPr>
      <w:r>
        <w:t>if you are backing up directories only the root user has access to.</w:t>
      </w:r>
    </w:p>
    <w:p>
      <w:pPr>
        <w:pStyle w:val="Para 17"/>
      </w:pPr>
      <w:r>
        <w:t/>
      </w:r>
    </w:p>
    <w:p>
      <w:pPr>
        <w:pStyle w:val="Normal"/>
      </w:pPr>
      <w:r>
        <w:t>As an example, if we add the following entry to the crontab file:</w:t>
      </w:r>
    </w:p>
    <w:p>
      <w:pPr>
        <w:pStyle w:val="Para 10"/>
      </w:pPr>
      <w:r>
        <w:t># m h dom mon dow</w:t>
      </w:r>
      <w:r>
        <w:rPr>
          <w:rStyle w:val="Text3"/>
        </w:rPr>
        <w:t xml:space="preserve"> </w:t>
      </w:r>
      <w:r>
        <w:t>command</w:t>
      </w:r>
    </w:p>
    <w:p>
      <w:pPr>
        <w:pStyle w:val="Normal"/>
      </w:pPr>
      <w:r>
        <w:t>0 0</w:t>
        <w:t xml:space="preserve"> </w:t>
        <w:t>* * * bash /usr/local/bin/backup.sh</w:t>
      </w:r>
    </w:p>
    <w:p>
      <w:pPr>
        <w:pStyle w:val="Para 17"/>
      </w:pPr>
      <w:r>
        <w:t/>
      </w:r>
    </w:p>
    <w:p>
      <w:pPr>
        <w:pStyle w:val="Normal"/>
      </w:pPr>
      <w:r>
        <w:t>The backup.sh script would be run every day at 12:00 pm.</w:t>
      </w:r>
    </w:p>
    <w:p>
      <w:pPr>
        <w:pStyle w:val="Para 08"/>
      </w:pPr>
      <w:r>
        <w:t>Note:</w:t>
      </w:r>
    </w:p>
    <w:p>
      <w:pPr>
        <w:pStyle w:val="Para 03"/>
      </w:pPr>
      <w:r>
        <w:t>The backup.sh script will need to be copied to the /usr/local/bin/ directory in order for</w:t>
      </w:r>
    </w:p>
    <w:p>
      <w:pPr>
        <w:pStyle w:val="Para 03"/>
      </w:pPr>
      <w:r>
        <w:t>this entry to run properly. The script can reside anywhere on the file system, simply change</w:t>
      </w:r>
    </w:p>
    <w:p>
      <w:pPr>
        <w:pStyle w:val="Para 03"/>
      </w:pPr>
      <w:r>
        <w:t>the script path appropriately.</w:t>
      </w:r>
    </w:p>
    <w:p>
      <w:bookmarkStart w:id="686" w:name="calibre_pb_111"/>
      <w:pPr>
        <w:pStyle w:val="0 Block"/>
      </w:pPr>
      <w:bookmarkEnd w:id="686"/>
    </w:p>
    <w:p>
      <w:bookmarkStart w:id="687" w:name="page_464"/>
      <w:bookmarkStart w:id="688" w:name="Top_of_index_split_11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3" name="index-464_1.png" descr="index-464_1.png"/>
            <wp:cNvGraphicFramePr>
              <a:graphicFrameLocks noChangeAspect="1"/>
            </wp:cNvGraphicFramePr>
            <a:graphic>
              <a:graphicData uri="http://schemas.openxmlformats.org/drawingml/2006/picture">
                <pic:pic>
                  <pic:nvPicPr>
                    <pic:cNvPr id="0" name="index-464_1.png" descr="index-464_1.png"/>
                    <pic:cNvPicPr/>
                  </pic:nvPicPr>
                  <pic:blipFill>
                    <a:blip r:embed="rId477"/>
                    <a:stretch>
                      <a:fillRect/>
                    </a:stretch>
                  </pic:blipFill>
                  <pic:spPr>
                    <a:xfrm>
                      <a:off x="0" y="0"/>
                      <a:ext cx="914400" cy="266700"/>
                    </a:xfrm>
                    <a:prstGeom prst="rect">
                      <a:avLst/>
                    </a:prstGeom>
                  </pic:spPr>
                </pic:pic>
              </a:graphicData>
            </a:graphic>
          </wp:anchor>
        </w:drawing>
      </w:r>
      <w:bookmarkEnd w:id="687"/>
      <w:bookmarkEnd w:id="688"/>
    </w:p>
    <w:p>
      <w:pPr>
        <w:pStyle w:val="Para 01"/>
      </w:pPr>
      <w:r>
        <w:t>Restoring from the archive</w:t>
      </w:r>
    </w:p>
    <w:p>
      <w:pPr>
        <w:pStyle w:val="Para 17"/>
      </w:pPr>
      <w:r>
        <w:t/>
      </w:r>
    </w:p>
    <w:p>
      <w:pPr>
        <w:pStyle w:val="Normal"/>
      </w:pPr>
      <w:r>
        <w:t xml:space="preserve">Once an archive has been created, it is important to test the archive. The archive can be tested by listing the files it contains, but the best test is to </w:t>
      </w:r>
      <w:r>
        <w:rPr>
          <w:rStyle w:val="Text0"/>
        </w:rPr>
        <w:t>restore</w:t>
      </w:r>
      <w:r>
        <w:t xml:space="preserve"> a file from the archive.</w:t>
      </w:r>
    </w:p>
    <w:p>
      <w:pPr>
        <w:pStyle w:val="Para 04"/>
      </w:pPr>
      <w:r>
        <w:t>• To see a listing of the archive contents, run the following command from a terminal:</w:t>
      </w:r>
    </w:p>
    <w:p>
      <w:pPr>
        <w:pStyle w:val="Para 02"/>
      </w:pPr>
      <w:r>
        <w:t>tar -tzvf /mnt/backup/host-Monday.tgz</w:t>
      </w:r>
    </w:p>
    <w:p>
      <w:pPr>
        <w:pStyle w:val="Para 17"/>
      </w:pPr>
      <w:r>
        <w:t/>
      </w:r>
    </w:p>
    <w:p>
      <w:pPr>
        <w:pStyle w:val="Para 04"/>
      </w:pPr>
      <w:r>
        <w:t>• To restore a file from the archive back to a different directory, enter:</w:t>
      </w:r>
    </w:p>
    <w:p>
      <w:pPr>
        <w:pStyle w:val="Para 02"/>
      </w:pPr>
      <w:r>
        <w:t>tar -xzvf /mnt/backup/host-Monday.tgz -C /tmp etc/hosts</w:t>
      </w:r>
    </w:p>
    <w:p>
      <w:pPr>
        <w:pStyle w:val="Para 17"/>
      </w:pPr>
      <w:r>
        <w:t/>
      </w:r>
    </w:p>
    <w:p>
      <w:pPr>
        <w:pStyle w:val="Para 02"/>
      </w:pPr>
      <w:r>
        <w:t>The-C option to tar redirects the extracted files to the specified directory. The above example will extract the /etc/hosts file to /tmp/etc/hosts. tar recreates the directory structure that it contains. Also, notice the leading “/” is left off the path of the file to restore.</w:t>
      </w:r>
    </w:p>
    <w:p>
      <w:pPr>
        <w:pStyle w:val="Para 04"/>
      </w:pPr>
      <w:r>
        <w:t>• To restore all files in the archive enter the following:</w:t>
      </w:r>
    </w:p>
    <w:p>
      <w:pPr>
        <w:pStyle w:val="Para 02"/>
      </w:pPr>
      <w:r>
        <w:t>cd</w:t>
        <w:t xml:space="preserve"> </w:t>
        <w:t>/</w:t>
      </w:r>
    </w:p>
    <w:p>
      <w:pPr>
        <w:pStyle w:val="Para 02"/>
      </w:pPr>
      <w:r>
        <w:t>sudo tar -xzvf /mnt/backup/host-Monday.tgz</w:t>
      </w:r>
    </w:p>
    <w:p>
      <w:pPr>
        <w:pStyle w:val="Para 17"/>
      </w:pPr>
      <w:r>
        <w:t/>
      </w:r>
    </w:p>
    <w:p>
      <w:pPr>
        <w:pStyle w:val="Para 23"/>
      </w:pPr>
      <w:r>
        <w:t>Note:</w:t>
      </w:r>
    </w:p>
    <w:p>
      <w:pPr>
        <w:pStyle w:val="Para 06"/>
      </w:pPr>
      <w:r>
        <w:t>This will overwrite the files currently on the file system.</w:t>
      </w:r>
    </w:p>
    <w:p>
      <w:pPr>
        <w:pStyle w:val="Para 17"/>
      </w:pPr>
      <w:r>
        <w:t/>
      </w:r>
    </w:p>
    <w:p>
      <w:pPr>
        <w:pStyle w:val="Para 01"/>
      </w:pPr>
      <w:r>
        <w:t>Archive rotation shell script</w:t>
      </w:r>
    </w:p>
    <w:p>
      <w:pPr>
        <w:pStyle w:val="Para 17"/>
      </w:pPr>
      <w:r>
        <w:t/>
      </w:r>
    </w:p>
    <w:p>
      <w:pPr>
        <w:pStyle w:val="Normal"/>
      </w:pPr>
      <w:r>
        <w:t xml:space="preserve">The </w:t>
      </w:r>
      <w:hyperlink w:anchor="page_461">
        <w:r>
          <w:rPr>
            <w:rStyle w:val="Text2"/>
          </w:rPr>
          <w:t>simple backup shell script</w:t>
        </w:r>
      </w:hyperlink>
      <w:r>
        <w:t xml:space="preserve"> (page 460) above only allows for seven different archives to be retained, afterwards the weekdays will repeat and overwrite the former content. For a server whose data doesn’t change often or needs no long term retention, this may be enough. One could use the date instead of a weekday, but that would create and retain a lot of backup files. To get such potentially large amounts of data under control, a more complex rotation scheme should be considered.</w:t>
      </w:r>
    </w:p>
    <w:p>
      <w:pPr>
        <w:pStyle w:val="Para 17"/>
      </w:pPr>
      <w:r>
        <w:t/>
      </w:r>
    </w:p>
    <w:p>
      <w:pPr>
        <w:pStyle w:val="Para 01"/>
      </w:pPr>
      <w:r>
        <w:t>Rotating NFS archives</w:t>
      </w:r>
    </w:p>
    <w:p>
      <w:pPr>
        <w:pStyle w:val="Para 17"/>
      </w:pPr>
      <w:r>
        <w:t/>
      </w:r>
    </w:p>
    <w:p>
      <w:pPr>
        <w:pStyle w:val="Normal"/>
      </w:pPr>
      <w:r>
        <w:t>Here, the shell script is slightly modified to implement a grandparent-parent-child rotation scheme (monthly-weekly-daily):</w:t>
      </w:r>
    </w:p>
    <w:p>
      <w:pPr>
        <w:pStyle w:val="Para 04"/>
      </w:pPr>
      <w:r>
        <w:t xml:space="preserve">• The rotation will do a </w:t>
      </w:r>
      <w:r>
        <w:rPr>
          <w:rStyle w:val="Text3"/>
        </w:rPr>
        <w:t>daily</w:t>
      </w:r>
      <w:r>
        <w:t xml:space="preserve"> backup from Sunday to Friday.</w:t>
      </w:r>
    </w:p>
    <w:p>
      <w:pPr>
        <w:pStyle w:val="Para 04"/>
      </w:pPr>
      <w:r>
        <w:t xml:space="preserve">• On Saturday, a </w:t>
      </w:r>
      <w:r>
        <w:rPr>
          <w:rStyle w:val="Text3"/>
        </w:rPr>
        <w:t>weekly</w:t>
      </w:r>
      <w:r>
        <w:t xml:space="preserve"> backup is done – giving four weekly backups per month.</w:t>
      </w:r>
    </w:p>
    <w:p>
      <w:pPr>
        <w:pStyle w:val="Para 04"/>
      </w:pPr>
      <w:r>
        <w:t xml:space="preserve">• The </w:t>
      </w:r>
      <w:r>
        <w:rPr>
          <w:rStyle w:val="Text3"/>
        </w:rPr>
        <w:t>monthly</w:t>
      </w:r>
      <w:r>
        <w:t xml:space="preserve"> backup is done on the first day of the month, rotating two monthly backups</w:t>
      </w:r>
    </w:p>
    <w:p>
      <w:pPr>
        <w:pStyle w:val="Para 02"/>
      </w:pPr>
      <w:r>
        <w:t>based on whether the month is odd or even.</w:t>
      </w:r>
    </w:p>
    <w:p>
      <w:pPr>
        <w:pStyle w:val="Normal"/>
      </w:pPr>
      <w:r>
        <w:t>Here is the new script:</w:t>
      </w:r>
    </w:p>
    <w:p>
      <w:bookmarkStart w:id="689" w:name="page_4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4" name="index-465_1.png" descr="index-465_1.png"/>
            <wp:cNvGraphicFramePr>
              <a:graphicFrameLocks noChangeAspect="1"/>
            </wp:cNvGraphicFramePr>
            <a:graphic>
              <a:graphicData uri="http://schemas.openxmlformats.org/drawingml/2006/picture">
                <pic:pic>
                  <pic:nvPicPr>
                    <pic:cNvPr id="0" name="index-465_1.png" descr="index-465_1.png"/>
                    <pic:cNvPicPr/>
                  </pic:nvPicPr>
                  <pic:blipFill>
                    <a:blip r:embed="rId478"/>
                    <a:stretch>
                      <a:fillRect/>
                    </a:stretch>
                  </pic:blipFill>
                  <pic:spPr>
                    <a:xfrm>
                      <a:off x="0" y="0"/>
                      <a:ext cx="914400" cy="266700"/>
                    </a:xfrm>
                    <a:prstGeom prst="rect">
                      <a:avLst/>
                    </a:prstGeom>
                  </pic:spPr>
                </pic:pic>
              </a:graphicData>
            </a:graphic>
          </wp:anchor>
        </w:drawing>
      </w:r>
      <w:bookmarkEnd w:id="689"/>
    </w:p>
    <w:p>
      <w:pPr>
        <w:pStyle w:val="Para 10"/>
      </w:pPr>
      <w:r>
        <w:t>#!/bin/bash</w:t>
      </w:r>
    </w:p>
    <w:p>
      <w:pPr>
        <w:pStyle w:val="Para 10"/>
      </w:pPr>
      <w:r>
        <w:t>####################################</w:t>
      </w:r>
    </w:p>
    <w:p>
      <w:pPr>
        <w:pStyle w:val="Para 10"/>
      </w:pPr>
      <w:r>
        <w:t>#</w:t>
      </w:r>
    </w:p>
    <w:p>
      <w:pPr>
        <w:pStyle w:val="Para 10"/>
      </w:pPr>
      <w:r>
        <w:t># Backup to NFS mount script with</w:t>
      </w:r>
    </w:p>
    <w:p>
      <w:pPr>
        <w:pStyle w:val="Para 10"/>
      </w:pPr>
      <w:r>
        <w:t># grandparent-parent-child rotation.</w:t>
      </w:r>
    </w:p>
    <w:p>
      <w:pPr>
        <w:pStyle w:val="Para 10"/>
      </w:pPr>
      <w:r>
        <w:t>#</w:t>
      </w:r>
    </w:p>
    <w:p>
      <w:pPr>
        <w:pStyle w:val="Para 10"/>
      </w:pPr>
      <w:r>
        <w:t>####################################</w:t>
      </w:r>
    </w:p>
    <w:p>
      <w:pPr>
        <w:pStyle w:val="Para 10"/>
      </w:pPr>
      <w:r>
        <w:t># What to backup.</w:t>
      </w:r>
    </w:p>
    <w:p>
      <w:pPr>
        <w:pStyle w:val="Normal"/>
      </w:pPr>
      <w:r>
        <w:t>backup_files</w:t>
        <w:t>=</w:t>
        <w:t>"/home /var/spool/mail /etc /root /boot /opt"</w:t>
      </w:r>
    </w:p>
    <w:p>
      <w:pPr>
        <w:pStyle w:val="Para 10"/>
      </w:pPr>
      <w:r>
        <w:t># Where to backup to.</w:t>
      </w:r>
    </w:p>
    <w:p>
      <w:pPr>
        <w:pStyle w:val="Normal"/>
      </w:pPr>
      <w:r>
        <w:t>dest</w:t>
        <w:t>=</w:t>
        <w:t>"/mnt/backup"</w:t>
      </w:r>
    </w:p>
    <w:p>
      <w:pPr>
        <w:pStyle w:val="Para 10"/>
      </w:pPr>
      <w:r>
        <w:t># Setup variables for the archive filename.</w:t>
      </w:r>
    </w:p>
    <w:p>
      <w:pPr>
        <w:pStyle w:val="Normal"/>
      </w:pPr>
      <w:r>
        <w:t>day</w:t>
        <w:t>=</w:t>
      </w:r>
      <w:r>
        <w:rPr>
          <w:rStyle w:val="Text0"/>
        </w:rPr>
        <w:t>$(</w:t>
      </w:r>
      <w:r>
        <w:t>date +%A</w:t>
      </w:r>
      <w:r>
        <w:rPr>
          <w:rStyle w:val="Text0"/>
        </w:rPr>
        <w:t>)</w:t>
      </w:r>
    </w:p>
    <w:p>
      <w:pPr>
        <w:pStyle w:val="Normal"/>
      </w:pPr>
      <w:r>
        <w:t>hostname</w:t>
        <w:t>=</w:t>
      </w:r>
      <w:r>
        <w:rPr>
          <w:rStyle w:val="Text0"/>
        </w:rPr>
        <w:t>$(</w:t>
      </w:r>
      <w:r>
        <w:t>hostname -s</w:t>
      </w:r>
      <w:r>
        <w:rPr>
          <w:rStyle w:val="Text0"/>
        </w:rPr>
        <w:t>)</w:t>
      </w:r>
    </w:p>
    <w:p>
      <w:pPr>
        <w:pStyle w:val="Para 10"/>
      </w:pPr>
      <w:r>
        <w:t># Find which week of the month 1-4 it is.</w:t>
      </w:r>
    </w:p>
    <w:p>
      <w:pPr>
        <w:pStyle w:val="Normal"/>
      </w:pPr>
      <w:r>
        <w:t>day_num</w:t>
        <w:t>=</w:t>
      </w:r>
      <w:r>
        <w:rPr>
          <w:rStyle w:val="Text0"/>
        </w:rPr>
        <w:t>$(</w:t>
      </w:r>
      <w:r>
        <w:t>date +%-d</w:t>
      </w:r>
      <w:r>
        <w:rPr>
          <w:rStyle w:val="Text0"/>
        </w:rPr>
        <w:t>)</w:t>
      </w:r>
    </w:p>
    <w:p>
      <w:pPr>
        <w:pStyle w:val="Normal"/>
      </w:pPr>
      <w:r>
        <w:rPr>
          <w:rStyle w:val="Text0"/>
        </w:rPr>
        <w:t>if</w:t>
      </w:r>
      <w:r>
        <w:t xml:space="preserve"> </w:t>
        <w:t>((</w:t>
        <w:t xml:space="preserve"> </w:t>
        <w:t>$day_num</w:t>
        <w:t xml:space="preserve"> </w:t>
        <w:t>&lt;</w:t>
        <w:t>=</w:t>
        <w:t xml:space="preserve"> </w:t>
        <w:t>7</w:t>
        <w:t xml:space="preserve"> </w:t>
        <w:t>))</w:t>
        <w:t>;</w:t>
        <w:t xml:space="preserve"> </w:t>
      </w:r>
      <w:r>
        <w:rPr>
          <w:rStyle w:val="Text0"/>
        </w:rPr>
        <w:t>then</w:t>
      </w:r>
    </w:p>
    <w:p>
      <w:pPr>
        <w:pStyle w:val="Para 06"/>
      </w:pPr>
      <w:r>
        <w:t>week_file</w:t>
        <w:t>=</w:t>
        <w:t>"</w:t>
        <w:t>$hostname</w:t>
        <w:t>-week1.tgz"</w:t>
      </w:r>
    </w:p>
    <w:p>
      <w:pPr>
        <w:pStyle w:val="Normal"/>
      </w:pPr>
      <w:r>
        <w:rPr>
          <w:rStyle w:val="Text0"/>
        </w:rPr>
        <w:t>elif</w:t>
      </w:r>
      <w:r>
        <w:t xml:space="preserve"> </w:t>
        <w:t>((</w:t>
        <w:t xml:space="preserve"> </w:t>
        <w:t>$day_num</w:t>
        <w:t xml:space="preserve"> </w:t>
        <w:t>&gt;</w:t>
        <w:t xml:space="preserve"> </w:t>
        <w:t>7</w:t>
        <w:t xml:space="preserve"> </w:t>
        <w:t>&amp;&amp;</w:t>
        <w:t xml:space="preserve"> </w:t>
        <w:t>$day_num</w:t>
        <w:t xml:space="preserve"> </w:t>
        <w:t>&lt;</w:t>
        <w:t>=</w:t>
        <w:t xml:space="preserve"> </w:t>
        <w:t>14</w:t>
        <w:t xml:space="preserve"> </w:t>
        <w:t>))</w:t>
        <w:t>;</w:t>
        <w:t xml:space="preserve"> </w:t>
      </w:r>
      <w:r>
        <w:rPr>
          <w:rStyle w:val="Text0"/>
        </w:rPr>
        <w:t>then</w:t>
      </w:r>
    </w:p>
    <w:p>
      <w:pPr>
        <w:pStyle w:val="Para 06"/>
      </w:pPr>
      <w:r>
        <w:t>week_file</w:t>
        <w:t>=</w:t>
        <w:t>"</w:t>
        <w:t>$hostname</w:t>
        <w:t>-week2.tgz"</w:t>
      </w:r>
    </w:p>
    <w:p>
      <w:pPr>
        <w:pStyle w:val="Normal"/>
      </w:pPr>
      <w:r>
        <w:rPr>
          <w:rStyle w:val="Text0"/>
        </w:rPr>
        <w:t>elif</w:t>
      </w:r>
      <w:r>
        <w:t xml:space="preserve"> </w:t>
        <w:t>((</w:t>
        <w:t xml:space="preserve"> </w:t>
        <w:t>$day_num</w:t>
        <w:t xml:space="preserve"> </w:t>
        <w:t>&gt;</w:t>
        <w:t xml:space="preserve"> </w:t>
        <w:t>14</w:t>
        <w:t xml:space="preserve"> </w:t>
        <w:t>&amp;&amp;</w:t>
        <w:t xml:space="preserve"> </w:t>
        <w:t>$day_num</w:t>
        <w:t xml:space="preserve"> </w:t>
        <w:t>&lt;</w:t>
        <w:t>=</w:t>
        <w:t xml:space="preserve"> </w:t>
        <w:t>21</w:t>
        <w:t xml:space="preserve"> </w:t>
        <w:t>))</w:t>
        <w:t>;</w:t>
        <w:t xml:space="preserve"> </w:t>
      </w:r>
      <w:r>
        <w:rPr>
          <w:rStyle w:val="Text0"/>
        </w:rPr>
        <w:t>then</w:t>
      </w:r>
    </w:p>
    <w:p>
      <w:pPr>
        <w:pStyle w:val="Para 06"/>
      </w:pPr>
      <w:r>
        <w:t>week_file</w:t>
        <w:t>=</w:t>
        <w:t>"</w:t>
        <w:t>$hostname</w:t>
        <w:t>-week3.tgz"</w:t>
      </w:r>
    </w:p>
    <w:p>
      <w:pPr>
        <w:pStyle w:val="Normal"/>
      </w:pPr>
      <w:r>
        <w:rPr>
          <w:rStyle w:val="Text0"/>
        </w:rPr>
        <w:t>elif</w:t>
      </w:r>
      <w:r>
        <w:t xml:space="preserve"> </w:t>
        <w:t>((</w:t>
        <w:t xml:space="preserve"> </w:t>
        <w:t>$day_num</w:t>
        <w:t xml:space="preserve"> </w:t>
        <w:t>&gt;</w:t>
        <w:t xml:space="preserve"> </w:t>
        <w:t>21</w:t>
        <w:t xml:space="preserve"> </w:t>
        <w:t>&amp;&amp;</w:t>
        <w:t xml:space="preserve"> </w:t>
        <w:t>$day_num</w:t>
        <w:t xml:space="preserve"> </w:t>
        <w:t>&lt;</w:t>
        <w:t xml:space="preserve"> </w:t>
        <w:t>32</w:t>
        <w:t xml:space="preserve"> </w:t>
        <w:t>))</w:t>
        <w:t>;</w:t>
        <w:t xml:space="preserve"> </w:t>
      </w:r>
      <w:r>
        <w:rPr>
          <w:rStyle w:val="Text0"/>
        </w:rPr>
        <w:t>then</w:t>
      </w:r>
    </w:p>
    <w:p>
      <w:pPr>
        <w:pStyle w:val="Para 06"/>
      </w:pPr>
      <w:r>
        <w:t>week_file</w:t>
        <w:t>=</w:t>
        <w:t>"</w:t>
        <w:t>$hostname</w:t>
        <w:t>-week4.tgz"</w:t>
      </w:r>
    </w:p>
    <w:p>
      <w:pPr>
        <w:pStyle w:val="Para 01"/>
      </w:pPr>
      <w:r>
        <w:t>fi</w:t>
      </w:r>
    </w:p>
    <w:p>
      <w:pPr>
        <w:pStyle w:val="Para 10"/>
      </w:pPr>
      <w:r>
        <w:t># Find if the Month is odd or even.</w:t>
      </w:r>
    </w:p>
    <w:p>
      <w:pPr>
        <w:pStyle w:val="Normal"/>
      </w:pPr>
      <w:r>
        <w:t>month_num</w:t>
        <w:t>=</w:t>
      </w:r>
      <w:r>
        <w:rPr>
          <w:rStyle w:val="Text0"/>
        </w:rPr>
        <w:t>$(</w:t>
      </w:r>
      <w:r>
        <w:t>date +%m</w:t>
      </w:r>
      <w:r>
        <w:rPr>
          <w:rStyle w:val="Text0"/>
        </w:rPr>
        <w:t>)</w:t>
      </w:r>
    </w:p>
    <w:p>
      <w:pPr>
        <w:pStyle w:val="Normal"/>
      </w:pPr>
      <w:r>
        <w:t>month</w:t>
        <w:t>=</w:t>
      </w:r>
      <w:r>
        <w:rPr>
          <w:rStyle w:val="Text0"/>
        </w:rPr>
        <w:t>$(</w:t>
      </w:r>
      <w:r>
        <w:t>expr</w:t>
        <w:t xml:space="preserve"> </w:t>
        <w:t>$month_num</w:t>
        <w:t xml:space="preserve"> </w:t>
        <w:t>%</w:t>
        <w:t xml:space="preserve"> </w:t>
        <w:t>2</w:t>
      </w:r>
      <w:r>
        <w:rPr>
          <w:rStyle w:val="Text0"/>
        </w:rPr>
        <w:t>)</w:t>
      </w:r>
    </w:p>
    <w:p>
      <w:pPr>
        <w:pStyle w:val="Normal"/>
      </w:pPr>
      <w:r>
        <w:rPr>
          <w:rStyle w:val="Text0"/>
        </w:rPr>
        <w:t>if</w:t>
      </w:r>
      <w:r>
        <w:t xml:space="preserve"> </w:t>
        <w:t>[</w:t>
        <w:t xml:space="preserve"> </w:t>
        <w:t>$month</w:t>
        <w:t>-eq</w:t>
        <w:t xml:space="preserve"> </w:t>
        <w:t>0</w:t>
        <w:t xml:space="preserve"> </w:t>
        <w:t>]</w:t>
        <w:t>;</w:t>
        <w:t xml:space="preserve"> </w:t>
      </w:r>
      <w:r>
        <w:rPr>
          <w:rStyle w:val="Text0"/>
        </w:rPr>
        <w:t>then</w:t>
      </w:r>
    </w:p>
    <w:p>
      <w:pPr>
        <w:pStyle w:val="Para 06"/>
      </w:pPr>
      <w:r>
        <w:t>month_file</w:t>
        <w:t>=</w:t>
        <w:t>"</w:t>
        <w:t>$hostname</w:t>
        <w:t>-month2.tgz"</w:t>
      </w:r>
    </w:p>
    <w:p>
      <w:pPr>
        <w:pStyle w:val="Para 01"/>
      </w:pPr>
      <w:r>
        <w:t>else</w:t>
      </w:r>
    </w:p>
    <w:p>
      <w:pPr>
        <w:pStyle w:val="Para 06"/>
      </w:pPr>
      <w:r>
        <w:t>month_file</w:t>
        <w:t>=</w:t>
        <w:t>"</w:t>
        <w:t>$hostname</w:t>
        <w:t>-month1.tgz"</w:t>
      </w:r>
    </w:p>
    <w:p>
      <w:pPr>
        <w:pStyle w:val="Para 01"/>
      </w:pPr>
      <w:r>
        <w:t>fi</w:t>
      </w:r>
    </w:p>
    <w:p>
      <w:pPr>
        <w:pStyle w:val="Para 10"/>
      </w:pPr>
      <w:r>
        <w:t># Create archive filename.</w:t>
      </w:r>
    </w:p>
    <w:p>
      <w:pPr>
        <w:pStyle w:val="Normal"/>
      </w:pPr>
      <w:r>
        <w:rPr>
          <w:rStyle w:val="Text0"/>
        </w:rPr>
        <w:t>if</w:t>
      </w:r>
      <w:r>
        <w:t xml:space="preserve"> </w:t>
        <w:t>[</w:t>
        <w:t xml:space="preserve"> </w:t>
        <w:t>$day_num</w:t>
        <w:t xml:space="preserve"> </w:t>
        <w:t>==</w:t>
        <w:t xml:space="preserve"> </w:t>
        <w:t>1</w:t>
        <w:t xml:space="preserve"> </w:t>
        <w:t>]</w:t>
        <w:t>;</w:t>
        <w:t xml:space="preserve"> </w:t>
      </w:r>
      <w:r>
        <w:rPr>
          <w:rStyle w:val="Text0"/>
        </w:rPr>
        <w:t>then</w:t>
      </w:r>
    </w:p>
    <w:p>
      <w:pPr>
        <w:pStyle w:val="Para 06"/>
      </w:pPr>
      <w:r>
        <w:t>archive_file</w:t>
        <w:t>=</w:t>
        <w:t>$month_file</w:t>
      </w:r>
    </w:p>
    <w:p>
      <w:pPr>
        <w:pStyle w:val="Normal"/>
      </w:pPr>
      <w:r>
        <w:rPr>
          <w:rStyle w:val="Text0"/>
        </w:rPr>
        <w:t>elif</w:t>
      </w:r>
      <w:r>
        <w:t xml:space="preserve"> </w:t>
        <w:t>[</w:t>
        <w:t xml:space="preserve"> </w:t>
        <w:t>$day</w:t>
        <w:t xml:space="preserve"> </w:t>
        <w:t>!</w:t>
        <w:t>=</w:t>
        <w:t xml:space="preserve"> </w:t>
        <w:t>"Saturday"</w:t>
        <w:t xml:space="preserve"> </w:t>
        <w:t>]</w:t>
        <w:t>;</w:t>
        <w:t xml:space="preserve"> </w:t>
      </w:r>
      <w:r>
        <w:rPr>
          <w:rStyle w:val="Text0"/>
        </w:rPr>
        <w:t>then</w:t>
      </w:r>
    </w:p>
    <w:p>
      <w:pPr>
        <w:pStyle w:val="Para 06"/>
      </w:pPr>
      <w:r>
        <w:t>archive_file</w:t>
        <w:t>=</w:t>
        <w:t>"</w:t>
        <w:t>$hostname</w:t>
        <w:t>-</w:t>
        <w:t>$day</w:t>
        <w:t>.tgz"</w:t>
      </w:r>
    </w:p>
    <w:p>
      <w:pPr>
        <w:pStyle w:val="Para 01"/>
      </w:pPr>
      <w:r>
        <w:t>else</w:t>
      </w:r>
    </w:p>
    <w:p>
      <w:pPr>
        <w:pStyle w:val="Para 06"/>
      </w:pPr>
      <w:r>
        <w:t>archive_file</w:t>
        <w:t>=</w:t>
        <w:t>$week_file</w:t>
      </w:r>
    </w:p>
    <w:p>
      <w:pPr>
        <w:pStyle w:val="Para 01"/>
      </w:pPr>
      <w:r>
        <w:t>fi</w:t>
      </w:r>
    </w:p>
    <w:p>
      <w:pPr>
        <w:pStyle w:val="Para 10"/>
      </w:pPr>
      <w:r>
        <w:t># Print start status message.</w:t>
      </w:r>
    </w:p>
    <w:p>
      <w:pPr>
        <w:pStyle w:val="Normal"/>
      </w:pPr>
      <w:r>
        <w:t>echo</w:t>
        <w:t xml:space="preserve"> </w:t>
        <w:t>"Backing up</w:t>
        <w:t xml:space="preserve"> </w:t>
        <w:t>$backup_files</w:t>
        <w:t xml:space="preserve"> </w:t>
        <w:t>to</w:t>
        <w:t xml:space="preserve"> </w:t>
        <w:t>$dest</w:t>
        <w:t>/</w:t>
        <w:t>$archive_file</w:t>
        <w:t>"</w:t>
        <w:t xml:space="preserve"> </w:t>
        <w:t>date</w:t>
      </w:r>
    </w:p>
    <w:p>
      <w:pPr>
        <w:pStyle w:val="Normal"/>
      </w:pPr>
      <w:r>
        <w:t>echo</w:t>
      </w:r>
    </w:p>
    <w:p>
      <w:pPr>
        <w:pStyle w:val="Para 10"/>
      </w:pPr>
      <w:r>
        <w:t># Backup the files using tar.</w:t>
      </w:r>
    </w:p>
    <w:p>
      <w:pPr>
        <w:pStyle w:val="Normal"/>
      </w:pPr>
      <w:r>
        <w:t>tar czf</w:t>
        <w:t xml:space="preserve"> </w:t>
        <w:t>$dest</w:t>
        <w:t>/</w:t>
        <w:t>$archive_file $backup_files</w:t>
      </w:r>
    </w:p>
    <w:p>
      <w:pPr>
        <w:pStyle w:val="Para 10"/>
      </w:pPr>
      <w:r>
        <w:t># Print end status message.</w:t>
      </w:r>
    </w:p>
    <w:p>
      <w:pPr>
        <w:pStyle w:val="Para 09"/>
      </w:pPr>
      <w:r>
        <w:t>(continues on next page)</w:t>
      </w:r>
    </w:p>
    <w:p>
      <w:bookmarkStart w:id="690" w:name="page_4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5" name="index-466_1.png" descr="index-466_1.png"/>
            <wp:cNvGraphicFramePr>
              <a:graphicFrameLocks noChangeAspect="1"/>
            </wp:cNvGraphicFramePr>
            <a:graphic>
              <a:graphicData uri="http://schemas.openxmlformats.org/drawingml/2006/picture">
                <pic:pic>
                  <pic:nvPicPr>
                    <pic:cNvPr id="0" name="index-466_1.png" descr="index-466_1.png"/>
                    <pic:cNvPicPr/>
                  </pic:nvPicPr>
                  <pic:blipFill>
                    <a:blip r:embed="rId479"/>
                    <a:stretch>
                      <a:fillRect/>
                    </a:stretch>
                  </pic:blipFill>
                  <pic:spPr>
                    <a:xfrm>
                      <a:off x="0" y="0"/>
                      <a:ext cx="914400" cy="266700"/>
                    </a:xfrm>
                    <a:prstGeom prst="rect">
                      <a:avLst/>
                    </a:prstGeom>
                  </pic:spPr>
                </pic:pic>
              </a:graphicData>
            </a:graphic>
          </wp:anchor>
        </w:drawing>
      </w:r>
      <w:bookmarkEnd w:id="690"/>
    </w:p>
    <w:p>
      <w:pPr>
        <w:pStyle w:val="Para 09"/>
      </w:pPr>
      <w:r>
        <w:t>(continued from previous page)</w:t>
      </w:r>
    </w:p>
    <w:p>
      <w:pPr>
        <w:pStyle w:val="Normal"/>
      </w:pPr>
      <w:r>
        <w:t>echo</w:t>
      </w:r>
    </w:p>
    <w:p>
      <w:pPr>
        <w:pStyle w:val="Normal"/>
      </w:pPr>
      <w:r>
        <w:t>echo</w:t>
        <w:t xml:space="preserve"> </w:t>
        <w:t>"Backup finished"</w:t>
      </w:r>
    </w:p>
    <w:p>
      <w:pPr>
        <w:pStyle w:val="Normal"/>
      </w:pPr>
      <w:r>
        <w:t>date</w:t>
      </w:r>
    </w:p>
    <w:p>
      <w:pPr>
        <w:pStyle w:val="Para 10"/>
      </w:pPr>
      <w:r>
        <w:t># Long listing of files in $dest to check file sizes.</w:t>
      </w:r>
    </w:p>
    <w:p>
      <w:pPr>
        <w:pStyle w:val="Normal"/>
      </w:pPr>
      <w:r>
        <w:t>ls -lh</w:t>
        <w:t xml:space="preserve"> </w:t>
        <w:t>$dest</w:t>
        <w:t>/</w:t>
      </w:r>
    </w:p>
    <w:p>
      <w:pPr>
        <w:pStyle w:val="Para 17"/>
      </w:pPr>
      <w:r>
        <w:t/>
      </w:r>
    </w:p>
    <w:p>
      <w:pPr>
        <w:pStyle w:val="Normal"/>
      </w:pPr>
      <w:r>
        <w:t>This modified script can be executed using the same methods already outlined in section</w:t>
      </w:r>
    </w:p>
    <w:p>
      <w:pPr>
        <w:pStyle w:val="Para 20"/>
      </w:pPr>
      <w:hyperlink w:anchor="page_462">
        <w:r>
          <w:t>Running the script</w:t>
        </w:r>
      </w:hyperlink>
      <w:r>
        <w:rPr>
          <w:rStyle w:val="Text4"/>
        </w:rPr>
        <w:t xml:space="preserve"> (page 461).</w:t>
      </w:r>
    </w:p>
    <w:p>
      <w:pPr>
        <w:pStyle w:val="Para 17"/>
      </w:pPr>
      <w:r>
        <w:t/>
      </w:r>
    </w:p>
    <w:p>
      <w:pPr>
        <w:pStyle w:val="Para 01"/>
      </w:pPr>
      <w:r>
        <w:t>Backing up to tape drives</w:t>
      </w:r>
    </w:p>
    <w:p>
      <w:pPr>
        <w:pStyle w:val="Para 17"/>
      </w:pPr>
      <w:r>
        <w:t/>
      </w:r>
    </w:p>
    <w:p>
      <w:pPr>
        <w:pStyle w:val="Normal"/>
      </w:pPr>
      <w:r>
        <w:t>A tape drive attached to the server can be used instead of an NFS share. Using a tape drive simplifies archive rotation, and makes taking the media off-site easier as well.</w:t>
      </w:r>
    </w:p>
    <w:p>
      <w:pPr>
        <w:pStyle w:val="Normal"/>
      </w:pPr>
      <w:r>
        <w:t xml:space="preserve">When using a tape drive, the filename portions of the script aren’t needed because the data is sent directly to the tape device. Some commands to manipulate the tape </w:t>
      </w:r>
      <w:r>
        <w:rPr>
          <w:rStyle w:val="Text3"/>
        </w:rPr>
        <w:t>are</w:t>
      </w:r>
      <w:r>
        <w:t xml:space="preserve"> needed, how-ever. This is accomplished using mt, a magnetic tape control utility – part of the cpio package.</w:t>
      </w:r>
    </w:p>
    <w:p>
      <w:pPr>
        <w:pStyle w:val="Normal"/>
      </w:pPr>
      <w:r>
        <w:t>Here is the shell script modified to use a tape drive:</w:t>
      </w:r>
    </w:p>
    <w:p>
      <w:pPr>
        <w:pStyle w:val="Para 10"/>
      </w:pPr>
      <w:r>
        <w:t>#!/bin/bash</w:t>
      </w:r>
    </w:p>
    <w:p>
      <w:pPr>
        <w:pStyle w:val="Para 10"/>
      </w:pPr>
      <w:r>
        <w:t>####################################</w:t>
      </w:r>
    </w:p>
    <w:p>
      <w:pPr>
        <w:pStyle w:val="Para 10"/>
      </w:pPr>
      <w:r>
        <w:t>#</w:t>
      </w:r>
    </w:p>
    <w:p>
      <w:pPr>
        <w:pStyle w:val="Para 10"/>
      </w:pPr>
      <w:r>
        <w:t># Backup to tape drive script.</w:t>
      </w:r>
    </w:p>
    <w:p>
      <w:pPr>
        <w:pStyle w:val="Para 10"/>
      </w:pPr>
      <w:r>
        <w:t>#</w:t>
      </w:r>
    </w:p>
    <w:p>
      <w:pPr>
        <w:pStyle w:val="Para 10"/>
      </w:pPr>
      <w:r>
        <w:t>####################################</w:t>
      </w:r>
    </w:p>
    <w:p>
      <w:pPr>
        <w:pStyle w:val="Para 10"/>
      </w:pPr>
      <w:r>
        <w:t># What to backup.</w:t>
      </w:r>
    </w:p>
    <w:p>
      <w:pPr>
        <w:pStyle w:val="Normal"/>
      </w:pPr>
      <w:r>
        <w:t>backup_files</w:t>
        <w:t>=</w:t>
        <w:t>"/home /var/spool/mail /etc /root /boot /opt"</w:t>
      </w:r>
    </w:p>
    <w:p>
      <w:pPr>
        <w:pStyle w:val="Para 10"/>
      </w:pPr>
      <w:r>
        <w:t># Where to backup to.</w:t>
      </w:r>
    </w:p>
    <w:p>
      <w:pPr>
        <w:pStyle w:val="Normal"/>
      </w:pPr>
      <w:r>
        <w:t>dest</w:t>
        <w:t>=</w:t>
        <w:t>"/dev/st0"</w:t>
      </w:r>
    </w:p>
    <w:p>
      <w:pPr>
        <w:pStyle w:val="Para 10"/>
      </w:pPr>
      <w:r>
        <w:t># Print start status message.</w:t>
      </w:r>
    </w:p>
    <w:p>
      <w:pPr>
        <w:pStyle w:val="Normal"/>
      </w:pPr>
      <w:r>
        <w:t>echo</w:t>
        <w:t xml:space="preserve"> </w:t>
        <w:t>"Backing up</w:t>
        <w:t xml:space="preserve"> </w:t>
        <w:t>$backup_files</w:t>
        <w:t xml:space="preserve"> </w:t>
        <w:t>to</w:t>
        <w:t xml:space="preserve"> </w:t>
        <w:t>$dest</w:t>
        <w:t>"</w:t>
        <w:t xml:space="preserve"> </w:t>
        <w:t>date</w:t>
      </w:r>
    </w:p>
    <w:p>
      <w:pPr>
        <w:pStyle w:val="Normal"/>
      </w:pPr>
      <w:r>
        <w:t>echo</w:t>
      </w:r>
    </w:p>
    <w:p>
      <w:pPr>
        <w:pStyle w:val="Para 10"/>
      </w:pPr>
      <w:r>
        <w:t># Make sure the tape is rewound.</w:t>
      </w:r>
    </w:p>
    <w:p>
      <w:pPr>
        <w:pStyle w:val="Normal"/>
      </w:pPr>
      <w:r>
        <w:t>mt -f</w:t>
        <w:t xml:space="preserve"> </w:t>
        <w:t>$dest</w:t>
        <w:t xml:space="preserve"> </w:t>
        <w:t>rewind</w:t>
      </w:r>
    </w:p>
    <w:p>
      <w:pPr>
        <w:pStyle w:val="Para 10"/>
      </w:pPr>
      <w:r>
        <w:t># Backup the files using tar.</w:t>
      </w:r>
    </w:p>
    <w:p>
      <w:pPr>
        <w:pStyle w:val="Normal"/>
      </w:pPr>
      <w:r>
        <w:t>tar czf</w:t>
        <w:t xml:space="preserve"> </w:t>
        <w:t>$dest $backup_files</w:t>
      </w:r>
    </w:p>
    <w:p>
      <w:pPr>
        <w:pStyle w:val="Para 10"/>
      </w:pPr>
      <w:r>
        <w:t># Rewind and eject the tape.</w:t>
      </w:r>
    </w:p>
    <w:p>
      <w:pPr>
        <w:pStyle w:val="Normal"/>
      </w:pPr>
      <w:r>
        <w:t>mt -f</w:t>
        <w:t xml:space="preserve"> </w:t>
        <w:t>$dest</w:t>
        <w:t xml:space="preserve"> </w:t>
        <w:t>rewoffl</w:t>
      </w:r>
    </w:p>
    <w:p>
      <w:pPr>
        <w:pStyle w:val="Para 10"/>
      </w:pPr>
      <w:r>
        <w:t># Print end status message.</w:t>
      </w:r>
    </w:p>
    <w:p>
      <w:pPr>
        <w:pStyle w:val="Normal"/>
      </w:pPr>
      <w:r>
        <w:t>echo</w:t>
      </w:r>
    </w:p>
    <w:p>
      <w:pPr>
        <w:pStyle w:val="Normal"/>
      </w:pPr>
      <w:r>
        <w:t>echo</w:t>
        <w:t xml:space="preserve"> </w:t>
        <w:t>"Backup finished"</w:t>
      </w:r>
    </w:p>
    <w:p>
      <w:pPr>
        <w:pStyle w:val="Normal"/>
      </w:pPr>
      <w:r>
        <w:t>date</w:t>
      </w:r>
    </w:p>
    <w:p>
      <w:bookmarkStart w:id="691" w:name="page_4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6" name="index-467_1.png" descr="index-467_1.png"/>
            <wp:cNvGraphicFramePr>
              <a:graphicFrameLocks noChangeAspect="1"/>
            </wp:cNvGraphicFramePr>
            <a:graphic>
              <a:graphicData uri="http://schemas.openxmlformats.org/drawingml/2006/picture">
                <pic:pic>
                  <pic:nvPicPr>
                    <pic:cNvPr id="0" name="index-467_1.png" descr="index-467_1.png"/>
                    <pic:cNvPicPr/>
                  </pic:nvPicPr>
                  <pic:blipFill>
                    <a:blip r:embed="rId480"/>
                    <a:stretch>
                      <a:fillRect/>
                    </a:stretch>
                  </pic:blipFill>
                  <pic:spPr>
                    <a:xfrm>
                      <a:off x="0" y="0"/>
                      <a:ext cx="914400" cy="266700"/>
                    </a:xfrm>
                    <a:prstGeom prst="rect">
                      <a:avLst/>
                    </a:prstGeom>
                  </pic:spPr>
                </pic:pic>
              </a:graphicData>
            </a:graphic>
          </wp:anchor>
        </w:drawing>
      </w:r>
      <w:bookmarkEnd w:id="691"/>
    </w:p>
    <w:p>
      <w:pPr>
        <w:pStyle w:val="Para 08"/>
      </w:pPr>
      <w:r>
        <w:t>Note:</w:t>
      </w:r>
    </w:p>
    <w:p>
      <w:pPr>
        <w:pStyle w:val="Para 03"/>
      </w:pPr>
      <w:r>
        <w:t>The default device name for a SCSI tape drive is /dev/st0. Use the appropriate device path</w:t>
      </w:r>
    </w:p>
    <w:p>
      <w:pPr>
        <w:pStyle w:val="Para 03"/>
      </w:pPr>
      <w:r>
        <w:t>for your system.</w:t>
      </w:r>
    </w:p>
    <w:p>
      <w:pPr>
        <w:pStyle w:val="Para 17"/>
      </w:pPr>
      <w:r>
        <w:t/>
      </w:r>
    </w:p>
    <w:p>
      <w:pPr>
        <w:pStyle w:val="Normal"/>
      </w:pPr>
      <w:r>
        <w:t>Restoring from a tape drive is basically the same as restoring from a file. Simply rewind the tape and use the device path instead of a file path. For example, to restore the /etc/hosts file to /tmp/etc/hosts:</w:t>
      </w:r>
    </w:p>
    <w:p>
      <w:pPr>
        <w:pStyle w:val="Normal"/>
      </w:pPr>
      <w:r>
        <w:t>mt -f /dev/st0 rewind</w:t>
      </w:r>
    </w:p>
    <w:p>
      <w:pPr>
        <w:pStyle w:val="Normal"/>
      </w:pPr>
      <w:r>
        <w:t>tar -xzf /dev/st0 -C /tmp etc/hosts</w:t>
      </w:r>
    </w:p>
    <w:p>
      <w:pPr>
        <w:pStyle w:val="Para 17"/>
      </w:pPr>
      <w:r>
        <w:t/>
      </w:r>
    </w:p>
    <w:p>
      <w:pPr>
        <w:pStyle w:val="Para 01"/>
      </w:pPr>
      <w:r>
        <w:t>Further reading</w:t>
      </w:r>
    </w:p>
    <w:p>
      <w:pPr>
        <w:pStyle w:val="Para 17"/>
      </w:pPr>
      <w:r>
        <w:t/>
      </w:r>
    </w:p>
    <w:p>
      <w:pPr>
        <w:pStyle w:val="Para 04"/>
      </w:pPr>
      <w:r>
        <w:t xml:space="preserve">• For more information on shell scripting see the </w:t>
      </w:r>
      <w:hyperlink w:anchor="page_467">
        <w:r>
          <w:rPr>
            <w:rStyle w:val="Text9"/>
          </w:rPr>
          <w:t>417</w:t>
        </w:r>
      </w:hyperlink>
      <w:r>
        <w:t xml:space="preserve"> </w:t>
      </w:r>
      <w:hyperlink r:id="rId1377">
        <w:r>
          <w:rPr>
            <w:rStyle w:val="Text1"/>
          </w:rPr>
          <w:t>Advanced Bash-Scripting Guide</w:t>
        </w:r>
      </w:hyperlink>
      <w:r>
        <w:t>.</w:t>
      </w:r>
    </w:p>
    <w:p>
      <w:pPr>
        <w:pStyle w:val="Para 04"/>
      </w:pPr>
      <w:r>
        <w:t xml:space="preserve">• The </w:t>
      </w:r>
      <w:hyperlink w:anchor="page_467">
        <w:r>
          <w:rPr>
            <w:rStyle w:val="Text9"/>
          </w:rPr>
          <w:t>418</w:t>
        </w:r>
      </w:hyperlink>
      <w:r>
        <w:t xml:space="preserve"> </w:t>
      </w:r>
      <w:hyperlink r:id="rId1378">
        <w:r>
          <w:rPr>
            <w:rStyle w:val="Text1"/>
          </w:rPr>
          <w:t>cron</w:t>
        </w:r>
      </w:hyperlink>
      <w:r>
        <w:t xml:space="preserve"> </w:t>
      </w:r>
      <w:hyperlink r:id="rId1378">
        <w:r>
          <w:rPr>
            <w:rStyle w:val="Text1"/>
          </w:rPr>
          <w:t>how-to wiki page</w:t>
        </w:r>
      </w:hyperlink>
      <w:r>
        <w:t xml:space="preserve"> contains details on advanced cron options.</w:t>
      </w:r>
    </w:p>
    <w:p>
      <w:pPr>
        <w:pStyle w:val="Para 04"/>
      </w:pPr>
      <w:r>
        <w:t xml:space="preserve">• See the </w:t>
      </w:r>
      <w:hyperlink w:anchor="page_467">
        <w:r>
          <w:rPr>
            <w:rStyle w:val="Text9"/>
          </w:rPr>
          <w:t>419</w:t>
        </w:r>
      </w:hyperlink>
      <w:r>
        <w:t xml:space="preserve"> </w:t>
      </w:r>
      <w:hyperlink r:id="rId1379">
        <w:r>
          <w:rPr>
            <w:rStyle w:val="Text1"/>
          </w:rPr>
          <w:t>GNU</w:t>
        </w:r>
      </w:hyperlink>
      <w:r>
        <w:t xml:space="preserve"> </w:t>
      </w:r>
      <w:hyperlink r:id="rId1379">
        <w:r>
          <w:rPr>
            <w:rStyle w:val="Text1"/>
          </w:rPr>
          <w:t>tar</w:t>
        </w:r>
      </w:hyperlink>
      <w:r>
        <w:t xml:space="preserve"> </w:t>
      </w:r>
      <w:hyperlink r:id="rId1379">
        <w:r>
          <w:rPr>
            <w:rStyle w:val="Text1"/>
          </w:rPr>
          <w:t>manual</w:t>
        </w:r>
      </w:hyperlink>
      <w:r>
        <w:t xml:space="preserve"> for more tar options.</w:t>
      </w:r>
    </w:p>
    <w:p>
      <w:pPr>
        <w:pStyle w:val="Para 04"/>
      </w:pPr>
      <w:r>
        <w:t xml:space="preserve">• The Wikipedia </w:t>
      </w:r>
      <w:hyperlink w:anchor="page_467">
        <w:r>
          <w:rPr>
            <w:rStyle w:val="Text9"/>
          </w:rPr>
          <w:t>420</w:t>
        </w:r>
      </w:hyperlink>
      <w:r>
        <w:t xml:space="preserve"> </w:t>
      </w:r>
      <w:hyperlink r:id="rId1380">
        <w:r>
          <w:rPr>
            <w:rStyle w:val="Text1"/>
          </w:rPr>
          <w:t>Backup Rotation Scheme</w:t>
        </w:r>
      </w:hyperlink>
      <w:r>
        <w:t xml:space="preserve"> article contains information on other backup</w:t>
      </w:r>
    </w:p>
    <w:p>
      <w:pPr>
        <w:pStyle w:val="Para 02"/>
      </w:pPr>
      <w:r>
        <w:t>rotation schemes.</w:t>
      </w:r>
    </w:p>
    <w:p>
      <w:pPr>
        <w:pStyle w:val="Para 04"/>
      </w:pPr>
      <w:r>
        <w:t>• The shell script uses tar to create the archive, but there many other command line util-</w:t>
      </w:r>
    </w:p>
    <w:p>
      <w:pPr>
        <w:pStyle w:val="Para 02"/>
      </w:pPr>
      <w:r>
        <w:t>ities that can be used. For example:</w:t>
      </w:r>
    </w:p>
    <w:p>
      <w:pPr>
        <w:pStyle w:val="Para 06"/>
      </w:pPr>
      <w:r>
        <w:rPr>
          <w:rStyle w:val="Text0"/>
        </w:rPr>
        <w:t>–</w:t>
      </w:r>
      <w:r>
        <w:t xml:space="preserve"> </w:t>
      </w:r>
      <w:hyperlink r:id="rId1381">
        <w:r>
          <w:rPr>
            <w:rStyle w:val="Text9"/>
          </w:rPr>
          <w:t>421</w:t>
        </w:r>
      </w:hyperlink>
      <w:r>
        <w:t xml:space="preserve"> </w:t>
      </w:r>
      <w:hyperlink r:id="rId1381">
        <w:r>
          <w:rPr>
            <w:rStyle w:val="Text1"/>
          </w:rPr>
          <w:t>cpio</w:t>
        </w:r>
      </w:hyperlink>
      <w:r>
        <w:t>: used to copy files to and from archives.</w:t>
      </w:r>
    </w:p>
    <w:p>
      <w:pPr>
        <w:pStyle w:val="Para 06"/>
      </w:pPr>
      <w:r>
        <w:rPr>
          <w:rStyle w:val="Text0"/>
        </w:rPr>
        <w:t>–</w:t>
      </w:r>
      <w:r>
        <w:t xml:space="preserve"> </w:t>
      </w:r>
      <w:hyperlink w:anchor="page_467">
        <w:r>
          <w:rPr>
            <w:rStyle w:val="Text9"/>
          </w:rPr>
          <w:t>422</w:t>
        </w:r>
      </w:hyperlink>
      <w:r>
        <w:t xml:space="preserve"> </w:t>
      </w:r>
      <w:hyperlink r:id="rId1382">
        <w:r>
          <w:rPr>
            <w:rStyle w:val="Text1"/>
          </w:rPr>
          <w:t>dd</w:t>
        </w:r>
      </w:hyperlink>
      <w:r>
        <w:t>: part of the coreutils package. A low level utility that can copy data from</w:t>
      </w:r>
    </w:p>
    <w:p>
      <w:pPr>
        <w:pStyle w:val="Para 11"/>
      </w:pPr>
      <w:r>
        <w:t>one format to another.</w:t>
      </w:r>
    </w:p>
    <w:p>
      <w:pPr>
        <w:pStyle w:val="Para 06"/>
      </w:pPr>
      <w:r>
        <w:rPr>
          <w:rStyle w:val="Text0"/>
        </w:rPr>
        <w:t>–</w:t>
      </w:r>
      <w:r>
        <w:t xml:space="preserve"> </w:t>
      </w:r>
      <w:hyperlink r:id="rId1362">
        <w:r>
          <w:rPr>
            <w:rStyle w:val="Text9"/>
          </w:rPr>
          <w:t>423</w:t>
        </w:r>
      </w:hyperlink>
      <w:r>
        <w:t xml:space="preserve"> </w:t>
      </w:r>
      <w:hyperlink r:id="rId1362">
        <w:r>
          <w:rPr>
            <w:rStyle w:val="Text1"/>
          </w:rPr>
          <w:t>rsnapshot</w:t>
        </w:r>
      </w:hyperlink>
      <w:r>
        <w:t>: a file system snapshot utility used to create copies of an entire file</w:t>
      </w:r>
    </w:p>
    <w:p>
      <w:pPr>
        <w:pStyle w:val="Para 17"/>
      </w:pPr>
      <w:r>
        <w:t xml:space="preserve">system. Also check the </w:t>
      </w:r>
      <w:hyperlink w:anchor="page_458">
        <w:r>
          <w:rPr>
            <w:rStyle w:val="Text2"/>
          </w:rPr>
          <w:t>Tools - rsnapshot</w:t>
        </w:r>
      </w:hyperlink>
      <w:r>
        <w:t xml:space="preserve"> (page 457) for some information.</w:t>
      </w:r>
    </w:p>
    <w:p>
      <w:pPr>
        <w:pStyle w:val="Para 17"/>
      </w:pPr>
      <w:r>
        <w:rPr>
          <w:rStyle w:val="Text0"/>
        </w:rPr>
        <w:t>–</w:t>
      </w:r>
      <w:r>
        <w:t xml:space="preserve"> </w:t>
      </w:r>
      <w:hyperlink w:anchor="page_467">
        <w:r>
          <w:rPr>
            <w:rStyle w:val="Text9"/>
          </w:rPr>
          <w:t>424</w:t>
        </w:r>
      </w:hyperlink>
      <w:r>
        <w:t xml:space="preserve"> </w:t>
      </w:r>
      <w:hyperlink r:id="rId1376">
        <w:r>
          <w:rPr>
            <w:rStyle w:val="Text2"/>
          </w:rPr>
          <w:t>rsync(1)</w:t>
        </w:r>
      </w:hyperlink>
      <w:r>
        <w:t>: a flexible utility used to create incremental copies of files.</w:t>
      </w:r>
    </w:p>
    <w:p>
      <w:pPr>
        <w:pStyle w:val="Para 17"/>
      </w:pPr>
      <w:r>
        <w:t/>
      </w:r>
    </w:p>
    <w:p>
      <w:pPr>
        <w:pStyle w:val="Para 01"/>
      </w:pPr>
      <w:r>
        <w:t>Version control</w:t>
      </w:r>
    </w:p>
    <w:p>
      <w:pPr>
        <w:pStyle w:val="Para 17"/>
      </w:pPr>
      <w:r>
        <w:t/>
      </w:r>
    </w:p>
    <w:p>
      <w:pPr>
        <w:pStyle w:val="Para 04"/>
      </w:pPr>
      <w:r>
        <w:t xml:space="preserve">• </w:t>
      </w:r>
      <w:hyperlink w:anchor="page_468">
        <w:r>
          <w:rPr>
            <w:rStyle w:val="Text2"/>
          </w:rPr>
          <w:t>etckeeper</w:t>
        </w:r>
      </w:hyperlink>
      <w:r>
        <w:t xml:space="preserve"> (page 467) stores the contents of /etc in a Version Control System (VCS)</w:t>
      </w:r>
    </w:p>
    <w:p>
      <w:pPr>
        <w:pStyle w:val="Para 02"/>
      </w:pPr>
      <w:r>
        <w:t>repository</w:t>
      </w:r>
    </w:p>
    <w:p>
      <w:pPr>
        <w:pStyle w:val="Para 04"/>
      </w:pPr>
      <w:r>
        <w:t xml:space="preserve">• </w:t>
      </w:r>
      <w:hyperlink w:anchor="page_470">
        <w:r>
          <w:rPr>
            <w:rStyle w:val="Text2"/>
          </w:rPr>
          <w:t>Install gitolite</w:t>
        </w:r>
      </w:hyperlink>
      <w:r>
        <w:t xml:space="preserve"> (page 469) for a traditional source control management server for git,</w:t>
      </w:r>
    </w:p>
    <w:p>
      <w:pPr>
        <w:pStyle w:val="Para 02"/>
      </w:pPr>
      <w:r>
        <w:t>including multiple users and access rights management</w:t>
      </w:r>
    </w:p>
    <w:p>
      <w:pPr>
        <w:pStyle w:val="Para 05"/>
      </w:pPr>
      <w:r>
        <w:rPr>
          <w:rStyle w:val="Text5"/>
        </w:rPr>
        <w:t>417</w:t>
      </w:r>
      <w:r>
        <w:rPr>
          <w:rStyle w:val="Text8"/>
        </w:rPr>
        <w:t xml:space="preserve"> </w:t>
      </w:r>
      <w:r>
        <w:t>https://tldp.org/LDP/abs/html/</w:t>
      </w:r>
    </w:p>
    <w:p>
      <w:pPr>
        <w:pStyle w:val="Para 05"/>
      </w:pPr>
      <w:r>
        <w:rPr>
          <w:rStyle w:val="Text5"/>
        </w:rPr>
        <w:t>418</w:t>
      </w:r>
      <w:r>
        <w:rPr>
          <w:rStyle w:val="Text8"/>
        </w:rPr>
        <w:t xml:space="preserve"> </w:t>
      </w:r>
      <w:r>
        <w:t>https://help.ubuntu.com/community/CronHowto</w:t>
      </w:r>
    </w:p>
    <w:p>
      <w:pPr>
        <w:pStyle w:val="Para 05"/>
      </w:pPr>
      <w:r>
        <w:rPr>
          <w:rStyle w:val="Text5"/>
        </w:rPr>
        <w:t>419</w:t>
      </w:r>
      <w:r>
        <w:rPr>
          <w:rStyle w:val="Text8"/>
        </w:rPr>
        <w:t xml:space="preserve"> </w:t>
      </w:r>
      <w:r>
        <w:t>http://www.gnu.org/software/tar/manual/index.html</w:t>
      </w:r>
    </w:p>
    <w:p>
      <w:pPr>
        <w:pStyle w:val="Para 05"/>
      </w:pPr>
      <w:r>
        <w:rPr>
          <w:rStyle w:val="Text5"/>
        </w:rPr>
        <w:t>420</w:t>
      </w:r>
      <w:r>
        <w:rPr>
          <w:rStyle w:val="Text8"/>
        </w:rPr>
        <w:t xml:space="preserve"> </w:t>
      </w:r>
      <w:r>
        <w:t>http://en.wikipedia.org/wiki/Backup_rotation_scheme</w:t>
      </w:r>
    </w:p>
    <w:p>
      <w:pPr>
        <w:pStyle w:val="Para 05"/>
      </w:pPr>
      <w:r>
        <w:rPr>
          <w:rStyle w:val="Text5"/>
        </w:rPr>
        <w:t>421</w:t>
      </w:r>
      <w:r>
        <w:rPr>
          <w:rStyle w:val="Text8"/>
        </w:rPr>
        <w:t xml:space="preserve"> </w:t>
      </w:r>
      <w:r>
        <w:t>http://www.gnu.org/software/cpio/</w:t>
      </w:r>
    </w:p>
    <w:p>
      <w:pPr>
        <w:pStyle w:val="Para 05"/>
      </w:pPr>
      <w:r>
        <w:rPr>
          <w:rStyle w:val="Text5"/>
        </w:rPr>
        <w:t>422</w:t>
      </w:r>
      <w:r>
        <w:rPr>
          <w:rStyle w:val="Text8"/>
        </w:rPr>
        <w:t xml:space="preserve"> </w:t>
      </w:r>
      <w:r>
        <w:t>http://www.gnu.org/software/coreutils/</w:t>
      </w:r>
    </w:p>
    <w:p>
      <w:pPr>
        <w:pStyle w:val="Para 05"/>
      </w:pPr>
      <w:r>
        <w:rPr>
          <w:rStyle w:val="Text5"/>
        </w:rPr>
        <w:t>423</w:t>
      </w:r>
      <w:r>
        <w:rPr>
          <w:rStyle w:val="Text8"/>
        </w:rPr>
        <w:t xml:space="preserve"> </w:t>
      </w:r>
      <w:r>
        <w:t>https://rsnapshot.org/</w:t>
      </w:r>
    </w:p>
    <w:p>
      <w:pPr>
        <w:pStyle w:val="Para 05"/>
      </w:pPr>
      <w:r>
        <w:rPr>
          <w:rStyle w:val="Text5"/>
        </w:rPr>
        <w:t>424</w:t>
      </w:r>
      <w:r>
        <w:rPr>
          <w:rStyle w:val="Text8"/>
        </w:rPr>
        <w:t xml:space="preserve"> </w:t>
      </w:r>
      <w:r>
        <w:t>https://manpages.ubuntu.com/manpages/resolute/man1/rsync.1.html</w:t>
      </w:r>
      <w:r>
        <w:rPr>
          <w:rStyle w:val="Text8"/>
        </w:rPr>
        <w:t xml:space="preserve"> </w:t>
      </w:r>
      <w:r>
        <w:rPr>
          <w:rStyle w:val="Text11"/>
        </w:rPr>
        <w:t>etckeeper</w:t>
      </w:r>
    </w:p>
    <w:p>
      <w:bookmarkStart w:id="692" w:name="page_4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7" name="index-468_1.png" descr="index-468_1.png"/>
            <wp:cNvGraphicFramePr>
              <a:graphicFrameLocks noChangeAspect="1"/>
            </wp:cNvGraphicFramePr>
            <a:graphic>
              <a:graphicData uri="http://schemas.openxmlformats.org/drawingml/2006/picture">
                <pic:pic>
                  <pic:nvPicPr>
                    <pic:cNvPr id="0" name="index-468_1.png" descr="index-468_1.png"/>
                    <pic:cNvPicPr/>
                  </pic:nvPicPr>
                  <pic:blipFill>
                    <a:blip r:embed="rId481"/>
                    <a:stretch>
                      <a:fillRect/>
                    </a:stretch>
                  </pic:blipFill>
                  <pic:spPr>
                    <a:xfrm>
                      <a:off x="0" y="0"/>
                      <a:ext cx="914400" cy="266700"/>
                    </a:xfrm>
                    <a:prstGeom prst="rect">
                      <a:avLst/>
                    </a:prstGeom>
                  </pic:spPr>
                </pic:pic>
              </a:graphicData>
            </a:graphic>
          </wp:anchor>
        </w:drawing>
      </w:r>
      <w:bookmarkEnd w:id="692"/>
    </w:p>
    <w:p>
      <w:pPr>
        <w:pStyle w:val="Para 17"/>
      </w:pPr>
      <w:r>
        <w:t/>
      </w:r>
    </w:p>
    <w:p>
      <w:pPr>
        <w:pStyle w:val="Normal"/>
      </w:pPr>
      <w:hyperlink r:id="rId1383">
        <w:r>
          <w:rPr>
            <w:rStyle w:val="Text1"/>
          </w:rPr>
          <w:t>etckeeper</w:t>
        </w:r>
      </w:hyperlink>
      <w:hyperlink r:id="rId1383">
        <w:r>
          <w:rPr>
            <w:rStyle w:val="Text9"/>
          </w:rPr>
          <w:t>425</w:t>
        </w:r>
      </w:hyperlink>
      <w:r>
        <w:t xml:space="preserve"> allows the contents of /etc to be stored in a Version Control System (VCS) repository. It integrates with APT and automatically commits changes to /etc when pack-ages are installed or upgraded.</w:t>
      </w:r>
    </w:p>
    <w:p>
      <w:pPr>
        <w:pStyle w:val="Normal"/>
      </w:pPr>
      <w:r>
        <w:t>Placing /etc under version control is considered an industry best practice, and the goal of etckeeper is to make this process as painless as possible.</w:t>
      </w:r>
    </w:p>
    <w:p>
      <w:pPr>
        <w:pStyle w:val="Para 17"/>
      </w:pPr>
      <w:r>
        <w:t/>
      </w:r>
    </w:p>
    <w:p>
      <w:pPr>
        <w:pStyle w:val="Para 01"/>
      </w:pPr>
      <w:r>
        <w:t>Install etckeeper</w:t>
      </w:r>
    </w:p>
    <w:p>
      <w:pPr>
        <w:pStyle w:val="Para 17"/>
      </w:pPr>
      <w:r>
        <w:t/>
      </w:r>
    </w:p>
    <w:p>
      <w:pPr>
        <w:pStyle w:val="Normal"/>
      </w:pPr>
      <w:r>
        <w:t>Install etckeeper by entering the following in a terminal:</w:t>
      </w:r>
    </w:p>
    <w:p>
      <w:pPr>
        <w:pStyle w:val="Normal"/>
      </w:pPr>
      <w:r>
        <w:t>sudo apt install etckeeper</w:t>
      </w:r>
    </w:p>
    <w:p>
      <w:pPr>
        <w:pStyle w:val="Para 17"/>
      </w:pPr>
      <w:r>
        <w:t/>
      </w:r>
    </w:p>
    <w:p>
      <w:pPr>
        <w:pStyle w:val="Para 01"/>
      </w:pPr>
      <w:r>
        <w:t>Initialize etckeeper</w:t>
      </w:r>
    </w:p>
    <w:p>
      <w:pPr>
        <w:pStyle w:val="Para 17"/>
      </w:pPr>
      <w:r>
        <w:t/>
      </w:r>
    </w:p>
    <w:p>
      <w:pPr>
        <w:pStyle w:val="Normal"/>
      </w:pPr>
      <w:r>
        <w:t>The main configuration file, /etc/etckeeper/etckeeper.conf, is fairly simple. The main option defines which VCS to use, and by default etckeeper is configured to use git.</w:t>
      </w:r>
    </w:p>
    <w:p>
      <w:pPr>
        <w:pStyle w:val="Normal"/>
      </w:pPr>
      <w:r>
        <w:t>The repository is automatically initialized (and committed for the first time) during package installation.</w:t>
      </w:r>
    </w:p>
    <w:p>
      <w:pPr>
        <w:pStyle w:val="Para 08"/>
      </w:pPr>
      <w:r>
        <w:t>Note:</w:t>
      </w:r>
    </w:p>
    <w:p>
      <w:pPr>
        <w:pStyle w:val="Para 03"/>
      </w:pPr>
      <w:r>
        <w:t>It is possible to undo this by entering the following command:</w:t>
      </w:r>
    </w:p>
    <w:p>
      <w:pPr>
        <w:pStyle w:val="Para 03"/>
      </w:pPr>
      <w:r>
        <w:t>sudo etckeeper uninit</w:t>
      </w:r>
    </w:p>
    <w:p>
      <w:pPr>
        <w:pStyle w:val="Para 17"/>
      </w:pPr>
      <w:r>
        <w:t/>
      </w:r>
    </w:p>
    <w:p>
      <w:pPr>
        <w:pStyle w:val="Para 01"/>
      </w:pPr>
      <w:r>
        <w:t>Configure autocommit frequency</w:t>
      </w:r>
    </w:p>
    <w:p>
      <w:pPr>
        <w:pStyle w:val="Para 17"/>
      </w:pPr>
      <w:r>
        <w:t/>
      </w:r>
    </w:p>
    <w:p>
      <w:pPr>
        <w:pStyle w:val="Normal"/>
      </w:pPr>
      <w:r>
        <w:t>By default, etckeeper will commit uncommitted changes made to /etc on a daily basis. This can be disabled using the AVOID_DAILY_AUTOCOMMITS configuration option.</w:t>
      </w:r>
    </w:p>
    <w:p>
      <w:pPr>
        <w:pStyle w:val="Normal"/>
      </w:pPr>
      <w:r>
        <w:t>It will also automatically commit changes before and after package installation. For a more precise tracking of changes, it is recommended to commit your changes manually, together with a commit message, using:</w:t>
      </w:r>
    </w:p>
    <w:p>
      <w:pPr>
        <w:pStyle w:val="Normal"/>
      </w:pPr>
      <w:r>
        <w:t>sudo etckeeper commit</w:t>
        <w:t xml:space="preserve"> </w:t>
        <w:t>"Reason for configuration change"</w:t>
      </w:r>
    </w:p>
    <w:p>
      <w:pPr>
        <w:pStyle w:val="Para 17"/>
      </w:pPr>
      <w:r>
        <w:t/>
      </w:r>
    </w:p>
    <w:p>
      <w:pPr>
        <w:pStyle w:val="Normal"/>
      </w:pPr>
      <w:r>
        <w:t>The vcs etckeeper command provides access to any subcommand of the VCS that etckeeper is configured to run. It will be run in /etc. For example, in the case of git:</w:t>
      </w:r>
    </w:p>
    <w:p>
      <w:pPr>
        <w:pStyle w:val="Normal"/>
      </w:pPr>
      <w:r>
        <w:t>sudo etckeeper vcs log /etc/passwd</w:t>
      </w:r>
    </w:p>
    <w:p>
      <w:pPr>
        <w:pStyle w:val="Para 17"/>
      </w:pPr>
      <w:r>
        <w:t/>
      </w:r>
    </w:p>
    <w:p>
      <w:pPr>
        <w:pStyle w:val="Normal"/>
      </w:pPr>
      <w:r>
        <w:t>To demonstrate the integration with the package management system (APT), install postfix:</w:t>
      </w:r>
    </w:p>
    <w:p>
      <w:pPr>
        <w:pStyle w:val="Para 17"/>
      </w:pPr>
      <w:r>
        <w:t/>
      </w:r>
    </w:p>
    <w:p>
      <w:pPr>
        <w:pStyle w:val="Para 05"/>
      </w:pPr>
      <w:r>
        <w:rPr>
          <w:rStyle w:val="Text5"/>
        </w:rPr>
        <w:t>425</w:t>
      </w:r>
      <w:r>
        <w:rPr>
          <w:rStyle w:val="Text8"/>
        </w:rPr>
        <w:t xml:space="preserve"> </w:t>
      </w:r>
      <w:r>
        <w:t>https://etckeeper.branchable.com/</w:t>
      </w:r>
    </w:p>
    <w:p>
      <w:bookmarkStart w:id="693" w:name="page_4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8" name="index-469_1.png" descr="index-469_1.png"/>
            <wp:cNvGraphicFramePr>
              <a:graphicFrameLocks noChangeAspect="1"/>
            </wp:cNvGraphicFramePr>
            <a:graphic>
              <a:graphicData uri="http://schemas.openxmlformats.org/drawingml/2006/picture">
                <pic:pic>
                  <pic:nvPicPr>
                    <pic:cNvPr id="0" name="index-469_1.png" descr="index-469_1.png"/>
                    <pic:cNvPicPr/>
                  </pic:nvPicPr>
                  <pic:blipFill>
                    <a:blip r:embed="rId482"/>
                    <a:stretch>
                      <a:fillRect/>
                    </a:stretch>
                  </pic:blipFill>
                  <pic:spPr>
                    <a:xfrm>
                      <a:off x="0" y="0"/>
                      <a:ext cx="914400" cy="266700"/>
                    </a:xfrm>
                    <a:prstGeom prst="rect">
                      <a:avLst/>
                    </a:prstGeom>
                  </pic:spPr>
                </pic:pic>
              </a:graphicData>
            </a:graphic>
          </wp:anchor>
        </w:drawing>
      </w:r>
      <w:bookmarkEnd w:id="693"/>
    </w:p>
    <w:p>
      <w:pPr>
        <w:pStyle w:val="Normal"/>
      </w:pPr>
      <w:r>
        <w:t>sudo apt install postfix</w:t>
      </w:r>
    </w:p>
    <w:p>
      <w:pPr>
        <w:pStyle w:val="Para 17"/>
      </w:pPr>
      <w:r>
        <w:t/>
      </w:r>
    </w:p>
    <w:p>
      <w:pPr>
        <w:pStyle w:val="Normal"/>
      </w:pPr>
      <w:r>
        <w:t>When the installation is finished, all the postfix configuration files should be committed to the repository:</w:t>
      </w:r>
    </w:p>
    <w:p>
      <w:pPr>
        <w:pStyle w:val="Normal"/>
      </w:pPr>
      <w:r>
        <w:t>[master 5a16a0d] committing changes in /etc made by "apt install postfix"</w:t>
      </w:r>
    </w:p>
    <w:p>
      <w:pPr>
        <w:pStyle w:val="Normal"/>
      </w:pPr>
      <w:r>
        <w:t>Author: Your Name &lt;xyz@example.com&gt;</w:t>
      </w:r>
    </w:p>
    <w:p>
      <w:pPr>
        <w:pStyle w:val="Normal"/>
      </w:pPr>
      <w:r>
        <w:t>36 files changed, 2987 insertions(+), 4 deletions(-)</w:t>
      </w:r>
    </w:p>
    <w:p>
      <w:pPr>
        <w:pStyle w:val="Normal"/>
      </w:pPr>
      <w:r>
        <w:t>create mode 100755 init.d/postfix</w:t>
      </w:r>
    </w:p>
    <w:p>
      <w:pPr>
        <w:pStyle w:val="Normal"/>
      </w:pPr>
      <w:r>
        <w:t>create mode 100644 insserv.conf.d/postfix</w:t>
      </w:r>
    </w:p>
    <w:p>
      <w:pPr>
        <w:pStyle w:val="Normal"/>
      </w:pPr>
      <w:r>
        <w:t>create mode 100755 network/if-down.d/postfix</w:t>
      </w:r>
    </w:p>
    <w:p>
      <w:pPr>
        <w:pStyle w:val="Normal"/>
      </w:pPr>
      <w:r>
        <w:t>create mode 100755 network/if-up.d/postfix</w:t>
      </w:r>
    </w:p>
    <w:p>
      <w:pPr>
        <w:pStyle w:val="Normal"/>
      </w:pPr>
      <w:r>
        <w:t>create mode 100644 postfix/dynamicmaps.cf</w:t>
      </w:r>
    </w:p>
    <w:p>
      <w:pPr>
        <w:pStyle w:val="Normal"/>
      </w:pPr>
      <w:r>
        <w:t>create mode 100644 postfix/main.cf</w:t>
      </w:r>
    </w:p>
    <w:p>
      <w:pPr>
        <w:pStyle w:val="Normal"/>
      </w:pPr>
      <w:r>
        <w:t>create mode 100644 postfix/main.cf.proto</w:t>
      </w:r>
    </w:p>
    <w:p>
      <w:pPr>
        <w:pStyle w:val="Normal"/>
      </w:pPr>
      <w:r>
        <w:t>create mode 120000 postfix/makedefs.out</w:t>
      </w:r>
    </w:p>
    <w:p>
      <w:pPr>
        <w:pStyle w:val="Normal"/>
      </w:pPr>
      <w:r>
        <w:t>create mode 100644 postfix/master.cf</w:t>
      </w:r>
    </w:p>
    <w:p>
      <w:pPr>
        <w:pStyle w:val="Normal"/>
      </w:pPr>
      <w:r>
        <w:t>create mode 100644 postfix/master.cf.proto</w:t>
      </w:r>
    </w:p>
    <w:p>
      <w:pPr>
        <w:pStyle w:val="Normal"/>
      </w:pPr>
      <w:r>
        <w:t>create mode 100755 postfix/post-install</w:t>
      </w:r>
    </w:p>
    <w:p>
      <w:pPr>
        <w:pStyle w:val="Normal"/>
      </w:pPr>
      <w:r>
        <w:t>create mode 100644 postfix/postfix-files</w:t>
      </w:r>
    </w:p>
    <w:p>
      <w:pPr>
        <w:pStyle w:val="Normal"/>
      </w:pPr>
      <w:r>
        <w:t>create mode 100755 postfix/postfix-script</w:t>
      </w:r>
    </w:p>
    <w:p>
      <w:pPr>
        <w:pStyle w:val="Normal"/>
      </w:pPr>
      <w:r>
        <w:t>create mode 100755 ppp/ip-down.d/postfix</w:t>
      </w:r>
    </w:p>
    <w:p>
      <w:pPr>
        <w:pStyle w:val="Normal"/>
      </w:pPr>
      <w:r>
        <w:t>create mode 100755 ppp/ip-up.d/postfix</w:t>
      </w:r>
    </w:p>
    <w:p>
      <w:pPr>
        <w:pStyle w:val="Normal"/>
      </w:pPr>
      <w:r>
        <w:t>create mode 120000 rc0.d/K01postfix</w:t>
      </w:r>
    </w:p>
    <w:p>
      <w:pPr>
        <w:pStyle w:val="Normal"/>
      </w:pPr>
      <w:r>
        <w:t>create mode 120000 rc1.d/K01postfix</w:t>
      </w:r>
    </w:p>
    <w:p>
      <w:pPr>
        <w:pStyle w:val="Normal"/>
      </w:pPr>
      <w:r>
        <w:t>create mode 120000 rc2.d/S01postfix</w:t>
      </w:r>
    </w:p>
    <w:p>
      <w:pPr>
        <w:pStyle w:val="Normal"/>
      </w:pPr>
      <w:r>
        <w:t>create mode 120000 rc3.d/S01postfix</w:t>
      </w:r>
    </w:p>
    <w:p>
      <w:pPr>
        <w:pStyle w:val="Normal"/>
      </w:pPr>
      <w:r>
        <w:t>create mode 120000 rc4.d/S01postfix</w:t>
      </w:r>
    </w:p>
    <w:p>
      <w:pPr>
        <w:pStyle w:val="Normal"/>
      </w:pPr>
      <w:r>
        <w:t>create mode 120000 rc5.d/S01postfix</w:t>
      </w:r>
    </w:p>
    <w:p>
      <w:pPr>
        <w:pStyle w:val="Para 02"/>
      </w:pPr>
      <w:r>
        <w:t>create mode 120000 rc6.d/K01postfix</w:t>
      </w:r>
    </w:p>
    <w:p>
      <w:pPr>
        <w:pStyle w:val="Para 02"/>
      </w:pPr>
      <w:r>
        <w:t>create mode 100755 resolvconf/update-libc.d/postfix</w:t>
      </w:r>
    </w:p>
    <w:p>
      <w:pPr>
        <w:pStyle w:val="Para 02"/>
      </w:pPr>
      <w:r>
        <w:t>create mode 100644 rsyslog.d/postfix.conf</w:t>
      </w:r>
    </w:p>
    <w:p>
      <w:pPr>
        <w:pStyle w:val="Para 02"/>
      </w:pPr>
      <w:r>
        <w:t>create mode 120000 systemd/system/multi-user.target.wants/postfix.service</w:t>
        <w:t xml:space="preserve"> </w:t>
        <w:t>create mode 100644 ufw/applications.d/postfix</w:t>
      </w:r>
    </w:p>
    <w:p>
      <w:pPr>
        <w:pStyle w:val="Para 17"/>
      </w:pPr>
      <w:r>
        <w:t/>
      </w:r>
    </w:p>
    <w:p>
      <w:pPr>
        <w:pStyle w:val="Normal"/>
      </w:pPr>
      <w:r>
        <w:t>For an example of how etckeeper tracks manual changes, add new a host to /etc/hosts. Using git you can see which files have been modified:</w:t>
      </w:r>
    </w:p>
    <w:p>
      <w:pPr>
        <w:pStyle w:val="Normal"/>
      </w:pPr>
      <w:r>
        <w:t>sudo etckeeper vcs status</w:t>
      </w:r>
    </w:p>
    <w:p>
      <w:pPr>
        <w:pStyle w:val="Para 17"/>
      </w:pPr>
      <w:r>
        <w:t/>
      </w:r>
    </w:p>
    <w:p>
      <w:pPr>
        <w:pStyle w:val="Normal"/>
      </w:pPr>
      <w:r>
        <w:t>and how:</w:t>
      </w:r>
    </w:p>
    <w:p>
      <w:pPr>
        <w:pStyle w:val="Normal"/>
      </w:pPr>
      <w:r>
        <w:t>sudo etckeeper vcs diff</w:t>
      </w:r>
    </w:p>
    <w:p>
      <w:pPr>
        <w:pStyle w:val="Para 17"/>
      </w:pPr>
      <w:r>
        <w:t/>
      </w:r>
    </w:p>
    <w:p>
      <w:pPr>
        <w:pStyle w:val="Normal"/>
      </w:pPr>
      <w:r>
        <w:t>If you are happy with the changes you can now commit them:</w:t>
      </w:r>
    </w:p>
    <w:p>
      <w:pPr>
        <w:pStyle w:val="Normal"/>
      </w:pPr>
      <w:r>
        <w:t>sudo etckeeper commit</w:t>
        <w:t xml:space="preserve"> </w:t>
        <w:t>"added new host"</w:t>
      </w:r>
    </w:p>
    <w:p>
      <w:bookmarkStart w:id="694" w:name="calibre_pb_112"/>
      <w:pPr>
        <w:pStyle w:val="0 Block"/>
      </w:pPr>
      <w:bookmarkEnd w:id="694"/>
    </w:p>
    <w:p>
      <w:bookmarkStart w:id="695" w:name="page_470"/>
      <w:bookmarkStart w:id="696" w:name="Top_of_index_split_11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79" name="index-470_1.png" descr="index-470_1.png"/>
            <wp:cNvGraphicFramePr>
              <a:graphicFrameLocks noChangeAspect="1"/>
            </wp:cNvGraphicFramePr>
            <a:graphic>
              <a:graphicData uri="http://schemas.openxmlformats.org/drawingml/2006/picture">
                <pic:pic>
                  <pic:nvPicPr>
                    <pic:cNvPr id="0" name="index-470_1.png" descr="index-470_1.png"/>
                    <pic:cNvPicPr/>
                  </pic:nvPicPr>
                  <pic:blipFill>
                    <a:blip r:embed="rId483"/>
                    <a:stretch>
                      <a:fillRect/>
                    </a:stretch>
                  </pic:blipFill>
                  <pic:spPr>
                    <a:xfrm>
                      <a:off x="0" y="0"/>
                      <a:ext cx="914400" cy="266700"/>
                    </a:xfrm>
                    <a:prstGeom prst="rect">
                      <a:avLst/>
                    </a:prstGeom>
                  </pic:spPr>
                </pic:pic>
              </a:graphicData>
            </a:graphic>
          </wp:anchor>
        </w:drawing>
      </w:r>
      <w:bookmarkEnd w:id="695"/>
      <w:bookmarkEnd w:id="696"/>
    </w:p>
    <w:p>
      <w:pPr>
        <w:pStyle w:val="Para 01"/>
      </w:pPr>
      <w:r>
        <w:t>Resources</w:t>
      </w:r>
    </w:p>
    <w:p>
      <w:pPr>
        <w:pStyle w:val="Para 17"/>
      </w:pPr>
      <w:r>
        <w:t/>
      </w:r>
    </w:p>
    <w:p>
      <w:pPr>
        <w:pStyle w:val="Para 04"/>
      </w:pPr>
      <w:r>
        <w:t xml:space="preserve">• See the </w:t>
      </w:r>
      <w:hyperlink w:anchor="page_470">
        <w:r>
          <w:rPr>
            <w:rStyle w:val="Text9"/>
          </w:rPr>
          <w:t>426</w:t>
        </w:r>
      </w:hyperlink>
      <w:r>
        <w:t xml:space="preserve"> </w:t>
      </w:r>
      <w:hyperlink r:id="rId1383">
        <w:r>
          <w:rPr>
            <w:rStyle w:val="Text1"/>
          </w:rPr>
          <w:t>etckeeper</w:t>
        </w:r>
      </w:hyperlink>
      <w:r>
        <w:t xml:space="preserve"> site for more details on using etckeeper.</w:t>
      </w:r>
    </w:p>
    <w:p>
      <w:pPr>
        <w:pStyle w:val="Para 04"/>
      </w:pPr>
      <w:r>
        <w:t xml:space="preserve">• For documentation on the git VCS tool see </w:t>
      </w:r>
      <w:hyperlink r:id="rId1384">
        <w:r>
          <w:rPr>
            <w:rStyle w:val="Text9"/>
          </w:rPr>
          <w:t>427</w:t>
        </w:r>
      </w:hyperlink>
      <w:hyperlink r:id="rId1384">
        <w:r>
          <w:rPr>
            <w:rStyle w:val="Text1"/>
          </w:rPr>
          <w:t xml:space="preserve"> the Git website</w:t>
        </w:r>
      </w:hyperlink>
      <w:r>
        <w:t>.</w:t>
      </w:r>
    </w:p>
    <w:p>
      <w:pPr>
        <w:pStyle w:val="Para 17"/>
      </w:pPr>
      <w:r>
        <w:t/>
      </w:r>
    </w:p>
    <w:p>
      <w:pPr>
        <w:pStyle w:val="Para 01"/>
      </w:pPr>
      <w:r>
        <w:t>How to set up Gitolite</w:t>
      </w:r>
    </w:p>
    <w:p>
      <w:pPr>
        <w:pStyle w:val="Para 17"/>
      </w:pPr>
      <w:r>
        <w:t/>
      </w:r>
    </w:p>
    <w:p>
      <w:pPr>
        <w:pStyle w:val="Normal"/>
      </w:pPr>
      <w:hyperlink w:anchor="page_685">
        <w:r>
          <w:rPr>
            <w:rStyle w:val="Text2"/>
          </w:rPr>
          <w:t>Gitolite</w:t>
        </w:r>
      </w:hyperlink>
      <w:r>
        <w:t xml:space="preserve"> allows you to setup git hosting on a central server, with fine-grained access control and many more powerful features.</w:t>
      </w:r>
    </w:p>
    <w:p>
      <w:pPr>
        <w:pStyle w:val="Normal"/>
      </w:pPr>
      <w:r>
        <w:t>You can use your served repositories as git remote in the form of git@yourserver:some/repo/ path.</w:t>
      </w:r>
    </w:p>
    <w:p>
      <w:pPr>
        <w:pStyle w:val="Normal"/>
      </w:pPr>
      <w:r>
        <w:t xml:space="preserve">Gitolite stores </w:t>
      </w:r>
      <w:hyperlink r:id="rId1385">
        <w:r>
          <w:rPr>
            <w:rStyle w:val="Text9"/>
          </w:rPr>
          <w:t>428</w:t>
        </w:r>
      </w:hyperlink>
      <w:hyperlink r:id="rId1385">
        <w:r>
          <w:rPr>
            <w:rStyle w:val="Text1"/>
          </w:rPr>
          <w:t xml:space="preserve"> “bare git”</w:t>
        </w:r>
      </w:hyperlink>
      <w:r>
        <w:t xml:space="preserve"> repositories at a location of your choice, usually /home/git. It has</w:t>
      </w:r>
    </w:p>
    <w:p>
      <w:pPr>
        <w:pStyle w:val="Normal"/>
      </w:pPr>
      <w:r>
        <w:t xml:space="preserve">its independent user realm, each user is created by assigning their </w:t>
      </w:r>
      <w:hyperlink w:anchor="page_707">
        <w:r>
          <w:rPr>
            <w:rStyle w:val="Text2"/>
          </w:rPr>
          <w:t>SSH-key</w:t>
        </w:r>
      </w:hyperlink>
      <w:r>
        <w:t>. The repositories itself are owned by one system user of your choice, usually git.</w:t>
      </w:r>
    </w:p>
    <w:p>
      <w:pPr>
        <w:pStyle w:val="Para 17"/>
      </w:pPr>
      <w:r>
        <w:t/>
      </w:r>
    </w:p>
    <w:p>
      <w:pPr>
        <w:pStyle w:val="Para 01"/>
      </w:pPr>
      <w:r>
        <w:t>Install a Gitolite server</w:t>
      </w:r>
    </w:p>
    <w:p>
      <w:pPr>
        <w:pStyle w:val="Para 17"/>
      </w:pPr>
      <w:r>
        <w:t/>
      </w:r>
    </w:p>
    <w:p>
      <w:pPr>
        <w:pStyle w:val="Normal"/>
      </w:pPr>
      <w:r>
        <w:t>Gitolite can be installed with the following command.</w:t>
      </w:r>
    </w:p>
    <w:p>
      <w:pPr>
        <w:pStyle w:val="Normal"/>
      </w:pPr>
      <w:r>
        <w:t>sudo apt install gitolite3</w:t>
      </w:r>
    </w:p>
    <w:p>
      <w:pPr>
        <w:pStyle w:val="Para 17"/>
      </w:pPr>
      <w:r>
        <w:t/>
      </w:r>
    </w:p>
    <w:p>
      <w:pPr>
        <w:pStyle w:val="Normal"/>
      </w:pPr>
      <w:r>
        <w:t>The install automation will ask for a path or content of your admin SSH key. For a better control &amp; understanding of your setup we recommend to leave that prompt empty (so you can use git as the username instead of the default gitolite3, and customize the storage path).</w:t>
      </w:r>
    </w:p>
    <w:p>
      <w:pPr>
        <w:pStyle w:val="Para 17"/>
      </w:pPr>
      <w:r>
        <w:t/>
      </w:r>
    </w:p>
    <w:p>
      <w:pPr>
        <w:pStyle w:val="Para 01"/>
      </w:pPr>
      <w:r>
        <w:t>Configure Gitolite</w:t>
      </w:r>
    </w:p>
    <w:p>
      <w:pPr>
        <w:pStyle w:val="Para 17"/>
      </w:pPr>
      <w:r>
        <w:t/>
      </w:r>
    </w:p>
    <w:p>
      <w:pPr>
        <w:pStyle w:val="Normal"/>
      </w:pPr>
      <w:r>
        <w:t>Gitolite stores its configuration in a git repository (called gitolite-admin), so there’s no con-figuration in /etc. This configuration repository manages all other git repositories, users and their permissions.</w:t>
      </w:r>
    </w:p>
    <w:p>
      <w:pPr>
        <w:pStyle w:val="Normal"/>
      </w:pPr>
      <w:r>
        <w:t>Create a git user for Gitolite to use for the service (you can adjust the git repository storage path as the--home directory):</w:t>
      </w:r>
    </w:p>
    <w:p>
      <w:pPr>
        <w:pStyle w:val="Normal"/>
      </w:pPr>
      <w:r>
        <w:t>sudo useradd --system --home /home/git --create-home git</w:t>
      </w:r>
    </w:p>
    <w:p>
      <w:pPr>
        <w:pStyle w:val="Para 17"/>
      </w:pPr>
      <w:r>
        <w:t/>
      </w:r>
    </w:p>
    <w:p>
      <w:pPr>
        <w:pStyle w:val="Normal"/>
      </w:pPr>
      <w:r>
        <w:t xml:space="preserve">To access the config repository, we now register the administrator’s public </w:t>
      </w:r>
      <w:hyperlink w:anchor="page_707">
        <w:r>
          <w:rPr>
            <w:rStyle w:val="Text2"/>
          </w:rPr>
          <w:t>SSH-key</w:t>
        </w:r>
      </w:hyperlink>
      <w:r>
        <w:t xml:space="preserve"> to Gito-</w:t>
      </w:r>
    </w:p>
    <w:p>
      <w:pPr>
        <w:pStyle w:val="Normal"/>
      </w:pPr>
      <w:r>
        <w:t xml:space="preserve">lite. If you have not yet configured an SSH key, refer to the section on </w:t>
      </w:r>
      <w:hyperlink w:anchor="page_186">
        <w:r>
          <w:rPr>
            <w:rStyle w:val="Text2"/>
          </w:rPr>
          <w:t>SSH keys in our OpenSSH</w:t>
        </w:r>
      </w:hyperlink>
    </w:p>
    <w:p>
      <w:pPr>
        <w:pStyle w:val="Normal"/>
      </w:pPr>
      <w:hyperlink w:anchor="page_186">
        <w:r>
          <w:rPr>
            <w:rStyle w:val="Text2"/>
          </w:rPr>
          <w:t>guide</w:t>
        </w:r>
      </w:hyperlink>
      <w:r>
        <w:t xml:space="preserve"> (page 185).</w:t>
      </w:r>
    </w:p>
    <w:p>
      <w:pPr>
        <w:pStyle w:val="Normal"/>
      </w:pPr>
      <w:r>
        <w:t>We copy it to /tmp so our new git user is allowed to read the file to import it. Please adjust</w:t>
      </w:r>
    </w:p>
    <w:p>
      <w:pPr>
        <w:pStyle w:val="Normal"/>
      </w:pPr>
      <w:r>
        <w:t xml:space="preserve">the path to the desired admin user’s </w:t>
      </w:r>
      <w:hyperlink w:anchor="page_707">
        <w:r>
          <w:rPr>
            <w:rStyle w:val="Text2"/>
          </w:rPr>
          <w:t>SSH-key</w:t>
        </w:r>
      </w:hyperlink>
      <w:r>
        <w:t xml:space="preserve"> (and algorithm, like id_rsa.pub).</w:t>
      </w:r>
    </w:p>
    <w:p>
      <w:pPr>
        <w:pStyle w:val="Para 17"/>
      </w:pPr>
      <w:r>
        <w:t/>
      </w:r>
    </w:p>
    <w:p>
      <w:pPr>
        <w:pStyle w:val="Para 05"/>
      </w:pPr>
      <w:r>
        <w:rPr>
          <w:rStyle w:val="Text5"/>
        </w:rPr>
        <w:t>426</w:t>
      </w:r>
      <w:r>
        <w:rPr>
          <w:rStyle w:val="Text8"/>
        </w:rPr>
        <w:t xml:space="preserve"> </w:t>
      </w:r>
      <w:r>
        <w:t>https://etckeeper.branchable.com/</w:t>
      </w:r>
    </w:p>
    <w:p>
      <w:pPr>
        <w:pStyle w:val="Para 05"/>
      </w:pPr>
      <w:r>
        <w:rPr>
          <w:rStyle w:val="Text5"/>
        </w:rPr>
        <w:t>427</w:t>
      </w:r>
      <w:r>
        <w:rPr>
          <w:rStyle w:val="Text8"/>
        </w:rPr>
        <w:t xml:space="preserve"> </w:t>
      </w:r>
      <w:r>
        <w:t>https://git-scm.com/</w:t>
      </w:r>
    </w:p>
    <w:p>
      <w:pPr>
        <w:pStyle w:val="Para 05"/>
      </w:pPr>
      <w:r>
        <w:rPr>
          <w:rStyle w:val="Text5"/>
        </w:rPr>
        <w:t>428</w:t>
      </w:r>
      <w:r>
        <w:rPr>
          <w:rStyle w:val="Text8"/>
        </w:rPr>
        <w:t xml:space="preserve"> </w:t>
      </w:r>
      <w:r>
        <w:t>https://git-scm.com/docs/gitglossary#Documentation/gitglossary.txt-aiddefbarerepositoryabarerepository</w:t>
      </w:r>
      <w:r>
        <w:rPr>
          <w:rStyle w:val="Text8"/>
        </w:rPr>
        <w:t xml:space="preserve"> </w:t>
        <w:t>cp ~/.ssh/id_ed25519.pub /tmp/admin.pub</w:t>
      </w:r>
    </w:p>
    <w:p>
      <w:bookmarkStart w:id="697" w:name="page_4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0" name="index-471_1.png" descr="index-471_1.png"/>
            <wp:cNvGraphicFramePr>
              <a:graphicFrameLocks noChangeAspect="1"/>
            </wp:cNvGraphicFramePr>
            <a:graphic>
              <a:graphicData uri="http://schemas.openxmlformats.org/drawingml/2006/picture">
                <pic:pic>
                  <pic:nvPicPr>
                    <pic:cNvPr id="0" name="index-471_1.png" descr="index-471_1.png"/>
                    <pic:cNvPicPr/>
                  </pic:nvPicPr>
                  <pic:blipFill>
                    <a:blip r:embed="rId484"/>
                    <a:stretch>
                      <a:fillRect/>
                    </a:stretch>
                  </pic:blipFill>
                  <pic:spPr>
                    <a:xfrm>
                      <a:off x="0" y="0"/>
                      <a:ext cx="914400" cy="266700"/>
                    </a:xfrm>
                    <a:prstGeom prst="rect">
                      <a:avLst/>
                    </a:prstGeom>
                  </pic:spPr>
                </pic:pic>
              </a:graphicData>
            </a:graphic>
          </wp:anchor>
        </w:drawing>
      </w:r>
      <w:bookmarkEnd w:id="697"/>
    </w:p>
    <w:p>
      <w:pPr>
        <w:pStyle w:val="Para 17"/>
      </w:pPr>
      <w:r>
        <w:t/>
      </w:r>
    </w:p>
    <w:p>
      <w:pPr>
        <w:pStyle w:val="Normal"/>
      </w:pPr>
      <w:r>
        <w:t>As the git user, proceed to import the administrator’s key into Gitolite (it will get the admin username due to that key’s filename).</w:t>
      </w:r>
    </w:p>
    <w:p>
      <w:pPr>
        <w:pStyle w:val="Normal"/>
      </w:pPr>
      <w:r>
        <w:t>sudo -i -u git gitolite setup -pk /tmp/admin.pub</w:t>
      </w:r>
    </w:p>
    <w:p>
      <w:pPr>
        <w:pStyle w:val="Para 17"/>
      </w:pPr>
      <w:r>
        <w:t/>
      </w:r>
    </w:p>
    <w:p>
      <w:pPr>
        <w:pStyle w:val="Normal"/>
      </w:pPr>
      <w:r>
        <w:t>This command creates several files in git’s home directory:</w:t>
      </w:r>
    </w:p>
    <w:p>
      <w:pPr>
        <w:pStyle w:val="Para 04"/>
      </w:pPr>
      <w:r>
        <w:t>• A global config in ~git/.gitolite.rc</w:t>
      </w:r>
    </w:p>
    <w:p>
      <w:pPr>
        <w:pStyle w:val="Para 04"/>
      </w:pPr>
      <w:r>
        <w:t>• ~git/projects.list as repository overview</w:t>
      </w:r>
    </w:p>
    <w:p>
      <w:pPr>
        <w:pStyle w:val="Para 04"/>
      </w:pPr>
      <w:r>
        <w:t>• ~git/.ssh/authorized_keys with command= to force running Gitolite in ssh connections</w:t>
      </w:r>
    </w:p>
    <w:p>
      <w:pPr>
        <w:pStyle w:val="Para 06"/>
      </w:pPr>
      <w:r>
        <w:rPr>
          <w:rStyle w:val="Text0"/>
        </w:rPr>
        <w:t>–</w:t>
      </w:r>
      <w:r>
        <w:t xml:space="preserve"> Later it will contain the ssh public key for each user you configured</w:t>
      </w:r>
    </w:p>
    <w:p>
      <w:pPr>
        <w:pStyle w:val="Para 04"/>
      </w:pPr>
      <w:r>
        <w:t>• The ‘bare’ management repository in ~git/repositories/gitolite-admin.git</w:t>
      </w:r>
    </w:p>
    <w:p>
      <w:pPr>
        <w:pStyle w:val="Para 04"/>
      </w:pPr>
      <w:r>
        <w:t>• ~git/.gitolite: current configuration, logs, and latest state of gitolite-admin</w:t>
      </w:r>
    </w:p>
    <w:p>
      <w:pPr>
        <w:pStyle w:val="Normal"/>
      </w:pPr>
      <w:r>
        <w:t>You should not change these files - as they are managed through a cloned copy of gitolite-admin (see below).</w:t>
      </w:r>
    </w:p>
    <w:p>
      <w:pPr>
        <w:pStyle w:val="Normal"/>
      </w:pPr>
      <w:r>
        <w:t xml:space="preserve">To try if the setup worked, try ssh as the user owning the admin key we just added, so see the </w:t>
      </w:r>
      <w:r>
        <w:rPr>
          <w:rStyle w:val="Text3"/>
        </w:rPr>
        <w:t>Gitolite repository overview</w:t>
      </w:r>
      <w:r>
        <w:t xml:space="preserve"> :</w:t>
      </w:r>
    </w:p>
    <w:p>
      <w:pPr>
        <w:pStyle w:val="Normal"/>
      </w:pPr>
      <w:r>
        <w:t>ssh git@</w:t>
        <w:t>$yourserver</w:t>
      </w:r>
    </w:p>
    <w:p>
      <w:pPr>
        <w:pStyle w:val="Para 17"/>
      </w:pPr>
      <w:r>
        <w:t/>
      </w:r>
    </w:p>
    <w:p>
      <w:pPr>
        <w:pStyle w:val="Normal"/>
      </w:pPr>
      <w:r>
        <w:t>hello admin, this</w:t>
        <w:t xml:space="preserve"> </w:t>
      </w:r>
      <w:r>
        <w:rPr>
          <w:rStyle w:val="Text0"/>
        </w:rPr>
        <w:t>is</w:t>
      </w:r>
      <w:r>
        <w:t xml:space="preserve"> </w:t>
        <w:t>git</w:t>
      </w:r>
      <w:r>
        <w:rPr>
          <w:rStyle w:val="Text0"/>
        </w:rPr>
        <w:t>@your</w:t>
      </w:r>
      <w:r>
        <w:t>-</w:t>
        <w:t>gitolite</w:t>
        <w:t>-</w:t>
        <w:t>server running gitolite3</w:t>
      </w:r>
    </w:p>
    <w:p>
      <w:pPr>
        <w:pStyle w:val="Normal"/>
      </w:pPr>
      <w:r>
        <w:t>R W</w:t>
        <w:t xml:space="preserve"> </w:t>
        <w:t>gitolite</w:t>
        <w:t>-</w:t>
        <w:t>admin</w:t>
      </w:r>
    </w:p>
    <w:p>
      <w:pPr>
        <w:pStyle w:val="Normal"/>
      </w:pPr>
      <w:r>
        <w:t>R W</w:t>
        <w:t xml:space="preserve"> </w:t>
        <w:t>testing</w:t>
      </w:r>
    </w:p>
    <w:p>
      <w:pPr>
        <w:pStyle w:val="Para 17"/>
      </w:pPr>
      <w:r>
        <w:t/>
      </w:r>
    </w:p>
    <w:p>
      <w:pPr>
        <w:pStyle w:val="Para 01"/>
      </w:pPr>
      <w:r>
        <w:t>Managing Gitolite users and repositories</w:t>
      </w:r>
    </w:p>
    <w:p>
      <w:pPr>
        <w:pStyle w:val="Para 17"/>
      </w:pPr>
      <w:r>
        <w:t/>
      </w:r>
    </w:p>
    <w:p>
      <w:pPr>
        <w:pStyle w:val="Normal"/>
      </w:pPr>
      <w:r>
        <w:t>To configure Gitolite users, repositories and permissions, clone the configuration repository. $yourserver can be an IP address, hostname, or just localhost for your current machine.</w:t>
      </w:r>
    </w:p>
    <w:p>
      <w:pPr>
        <w:pStyle w:val="Normal"/>
      </w:pPr>
      <w:r>
        <w:t>git clone git@</w:t>
        <w:t>$yourserver</w:t>
        <w:t>:gitolite-admin.git</w:t>
      </w:r>
    </w:p>
    <w:p>
      <w:pPr>
        <w:pStyle w:val="Para 17"/>
      </w:pPr>
      <w:r>
        <w:t/>
      </w:r>
    </w:p>
    <w:p>
      <w:pPr>
        <w:pStyle w:val="Normal"/>
      </w:pPr>
      <w:r>
        <w:t xml:space="preserve">To apply configuration change, commit them in the repository and </w:t>
      </w:r>
      <w:r>
        <w:rPr>
          <w:rStyle w:val="Text0"/>
        </w:rPr>
        <w:t>push the changes</w:t>
      </w:r>
      <w:r>
        <w:t xml:space="preserve"> back to the server with:</w:t>
      </w:r>
    </w:p>
    <w:p>
      <w:pPr>
        <w:pStyle w:val="Normal"/>
      </w:pPr>
      <w:r>
        <w:t>git commit</w:t>
      </w:r>
    </w:p>
    <w:p>
      <w:pPr>
        <w:pStyle w:val="Normal"/>
      </w:pPr>
      <w:r>
        <w:t>git push</w:t>
      </w:r>
    </w:p>
    <w:p>
      <w:pPr>
        <w:pStyle w:val="Para 17"/>
      </w:pPr>
      <w:r>
        <w:t/>
      </w:r>
    </w:p>
    <w:p>
      <w:pPr>
        <w:pStyle w:val="Normal"/>
      </w:pPr>
      <w:r>
        <w:t>The gitolite-admin contains two subdirectories:</w:t>
      </w:r>
    </w:p>
    <w:p>
      <w:pPr>
        <w:pStyle w:val="Para 04"/>
      </w:pPr>
      <w:r>
        <w:t xml:space="preserve">• </w:t>
      </w:r>
      <w:r>
        <w:rPr>
          <w:rStyle w:val="Text0"/>
        </w:rPr>
        <w:t>keydir</w:t>
      </w:r>
      <w:r>
        <w:t xml:space="preserve"> (which contains the list of users’ public SSH keys)</w:t>
      </w:r>
    </w:p>
    <w:p>
      <w:pPr>
        <w:pStyle w:val="Para 04"/>
      </w:pPr>
      <w:r>
        <w:t xml:space="preserve">• </w:t>
      </w:r>
      <w:r>
        <w:rPr>
          <w:rStyle w:val="Text0"/>
        </w:rPr>
        <w:t>conf</w:t>
      </w:r>
      <w:r>
        <w:t xml:space="preserve"> (which contains configuration files)</w:t>
      </w:r>
    </w:p>
    <w:p>
      <w:bookmarkStart w:id="698" w:name="page_4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1" name="index-472_1.png" descr="index-472_1.png"/>
            <wp:cNvGraphicFramePr>
              <a:graphicFrameLocks noChangeAspect="1"/>
            </wp:cNvGraphicFramePr>
            <a:graphic>
              <a:graphicData uri="http://schemas.openxmlformats.org/drawingml/2006/picture">
                <pic:pic>
                  <pic:nvPicPr>
                    <pic:cNvPr id="0" name="index-472_1.png" descr="index-472_1.png"/>
                    <pic:cNvPicPr/>
                  </pic:nvPicPr>
                  <pic:blipFill>
                    <a:blip r:embed="rId485"/>
                    <a:stretch>
                      <a:fillRect/>
                    </a:stretch>
                  </pic:blipFill>
                  <pic:spPr>
                    <a:xfrm>
                      <a:off x="0" y="0"/>
                      <a:ext cx="914400" cy="266700"/>
                    </a:xfrm>
                    <a:prstGeom prst="rect">
                      <a:avLst/>
                    </a:prstGeom>
                  </pic:spPr>
                </pic:pic>
              </a:graphicData>
            </a:graphic>
          </wp:anchor>
        </w:drawing>
      </w:r>
      <w:bookmarkEnd w:id="698"/>
    </w:p>
    <w:p>
      <w:pPr>
        <w:pStyle w:val="Para 01"/>
      </w:pPr>
      <w:r>
        <w:t>Adding a Gitolite user</w:t>
      </w:r>
    </w:p>
    <w:p>
      <w:pPr>
        <w:pStyle w:val="Para 17"/>
      </w:pPr>
      <w:r>
        <w:t/>
      </w:r>
    </w:p>
    <w:p>
      <w:pPr>
        <w:pStyle w:val="Normal"/>
      </w:pPr>
      <w:r>
        <w:t xml:space="preserve">Gitolite users are virtual - they are not a system username (from </w:t>
      </w:r>
      <w:hyperlink w:anchor="page_697">
        <w:r>
          <w:rPr>
            <w:rStyle w:val="Text2"/>
          </w:rPr>
          <w:t>nsswitch</w:t>
        </w:r>
      </w:hyperlink>
      <w:hyperlink w:anchor="page_697">
        <w:r>
          <w:rPr>
            <w:rStyle w:val="Text1"/>
          </w:rPr>
          <w:t>).</w:t>
        </w:r>
      </w:hyperlink>
    </w:p>
    <w:p>
      <w:pPr>
        <w:pStyle w:val="Normal"/>
      </w:pPr>
      <w:r>
        <w:t>Obtain their SSH public key (from their machine in ~user/.ssh/id_&lt;name&gt;.pub) and add it to the keydir directory as &lt;desired-username&gt;.pub in the gitolite-admin repository, then com-mit and push the changes.</w:t>
      </w:r>
    </w:p>
    <w:p>
      <w:pPr>
        <w:pStyle w:val="Para 17"/>
      </w:pPr>
      <w:r>
        <w:t/>
      </w:r>
    </w:p>
    <w:p>
      <w:pPr>
        <w:pStyle w:val="Para 01"/>
      </w:pPr>
      <w:r>
        <w:t>Deleting a Gitolite user</w:t>
      </w:r>
    </w:p>
    <w:p>
      <w:pPr>
        <w:pStyle w:val="Para 17"/>
      </w:pPr>
      <w:r>
        <w:t/>
      </w:r>
    </w:p>
    <w:p>
      <w:pPr>
        <w:pStyle w:val="Normal"/>
      </w:pPr>
      <w:r>
        <w:t>You only need to delete their public key files in the gitolite-admin repository under keydir/. Commit and push the changes.</w:t>
      </w:r>
    </w:p>
    <w:p>
      <w:pPr>
        <w:pStyle w:val="Para 17"/>
      </w:pPr>
      <w:r>
        <w:t/>
      </w:r>
    </w:p>
    <w:p>
      <w:pPr>
        <w:pStyle w:val="Para 01"/>
      </w:pPr>
      <w:r>
        <w:t>Managing repositories</w:t>
      </w:r>
    </w:p>
    <w:p>
      <w:pPr>
        <w:pStyle w:val="Para 17"/>
      </w:pPr>
      <w:r>
        <w:t/>
      </w:r>
    </w:p>
    <w:p>
      <w:pPr>
        <w:pStyle w:val="Normal"/>
      </w:pPr>
      <w:r>
        <w:t>To manage repositories and groups, change the gitolite-admin repository in conf/gitolite. conf. You can specify the list of repositories followed by some access rules. When you commit and push your changes, gitolite applies them.</w:t>
      </w:r>
    </w:p>
    <w:p>
      <w:pPr>
        <w:pStyle w:val="Para 17"/>
      </w:pPr>
      <w:r>
        <w:t/>
      </w:r>
    </w:p>
    <w:p>
      <w:pPr>
        <w:pStyle w:val="Para 01"/>
      </w:pPr>
      <w:r>
        <w:t>Example configuration</w:t>
      </w:r>
    </w:p>
    <w:p>
      <w:pPr>
        <w:pStyle w:val="Para 17"/>
      </w:pPr>
      <w:r>
        <w:t/>
      </w:r>
    </w:p>
    <w:p>
      <w:pPr>
        <w:pStyle w:val="Para 10"/>
      </w:pPr>
      <w:r>
        <w:t># Gitolite config</w:t>
      </w:r>
    </w:p>
    <w:p>
      <w:pPr>
        <w:pStyle w:val="Para 10"/>
      </w:pPr>
      <w:r>
        <w:t># Users are created by having their public key in keydir/$username.pub</w:t>
      </w:r>
    </w:p>
    <w:p>
      <w:pPr>
        <w:pStyle w:val="Para 10"/>
      </w:pPr>
      <w:r>
        <w:t># Group creation</w:t>
      </w:r>
    </w:p>
    <w:p>
      <w:pPr>
        <w:pStyle w:val="Normal"/>
      </w:pPr>
      <w:r>
        <w:t>@bestproject</w:t>
        <w:t xml:space="preserve"> </w:t>
        <w:t>=</w:t>
        <w:t xml:space="preserve"> </w:t>
        <w:t>name1 name2</w:t>
      </w:r>
    </w:p>
    <w:p>
      <w:pPr>
        <w:pStyle w:val="Normal"/>
      </w:pPr>
      <w:r>
        <w:t>@projectwatchers</w:t>
        <w:t xml:space="preserve"> </w:t>
        <w:t>=</w:t>
        <w:t xml:space="preserve"> </w:t>
        <w:t>name3 @bestproject</w:t>
      </w:r>
    </w:p>
    <w:p>
      <w:pPr>
        <w:pStyle w:val="Para 10"/>
      </w:pPr>
      <w:r>
        <w:t># This repo itself</w:t>
      </w:r>
    </w:p>
    <w:p>
      <w:pPr>
        <w:pStyle w:val="Normal"/>
      </w:pPr>
      <w:r>
        <w:t>repo</w:t>
        <w:t xml:space="preserve"> </w:t>
        <w:t>gitolite-admin</w:t>
      </w:r>
    </w:p>
    <w:p>
      <w:pPr>
        <w:pStyle w:val="Para 06"/>
      </w:pPr>
      <w:r>
        <w:t>RW+</w:t>
        <w:t xml:space="preserve"> </w:t>
        <w:t>=</w:t>
        <w:t xml:space="preserve"> </w:t>
        <w:t>admin</w:t>
      </w:r>
    </w:p>
    <w:p>
      <w:pPr>
        <w:pStyle w:val="Para 06"/>
      </w:pPr>
      <w:r>
        <w:t>R</w:t>
        <w:t xml:space="preserve"> </w:t>
        <w:t>=</w:t>
        <w:t xml:space="preserve"> </w:t>
        <w:t>alice</w:t>
      </w:r>
    </w:p>
    <w:p>
      <w:pPr>
        <w:pStyle w:val="Para 10"/>
      </w:pPr>
      <w:r>
        <w:t># A repo with access to anybody</w:t>
      </w:r>
    </w:p>
    <w:p>
      <w:pPr>
        <w:pStyle w:val="Normal"/>
      </w:pPr>
      <w:r>
        <w:t>repo</w:t>
        <w:t xml:space="preserve"> </w:t>
        <w:t>testing</w:t>
      </w:r>
    </w:p>
    <w:p>
      <w:pPr>
        <w:pStyle w:val="Para 06"/>
      </w:pPr>
      <w:r>
        <w:t>RW+</w:t>
        <w:t xml:space="preserve"> </w:t>
        <w:t>=</w:t>
        <w:t xml:space="preserve"> </w:t>
        <w:t>@all</w:t>
      </w:r>
    </w:p>
    <w:p>
      <w:pPr>
        <w:pStyle w:val="Para 10"/>
      </w:pPr>
      <w:r>
        <w:t># A repo with special privileges, to tags and branches</w:t>
      </w:r>
      <w:r>
        <w:rPr>
          <w:rStyle w:val="Text3"/>
        </w:rPr>
        <w:t xml:space="preserve"> </w:t>
        <w:t>repo</w:t>
        <w:t xml:space="preserve"> </w:t>
        <w:t>some/awesome/project</w:t>
      </w:r>
    </w:p>
    <w:p>
      <w:pPr>
        <w:pStyle w:val="Para 06"/>
      </w:pPr>
      <w:r>
        <w:t>RW</w:t>
        <w:t xml:space="preserve"> </w:t>
        <w:t>=</w:t>
        <w:t xml:space="preserve"> </w:t>
        <w:t>alice @bestproject</w:t>
        <w:t xml:space="preserve"> </w:t>
        <w:t>RW+</w:t>
        <w:t xml:space="preserve"> </w:t>
        <w:t>=</w:t>
        <w:t xml:space="preserve"> </w:t>
        <w:t>bob</w:t>
      </w:r>
    </w:p>
    <w:p>
      <w:pPr>
        <w:pStyle w:val="Para 06"/>
      </w:pPr>
      <w:r>
        <w:t>RW+</w:t>
        <w:t xml:space="preserve"> </w:t>
        <w:t>dev/</w:t>
        <w:t xml:space="preserve"> </w:t>
        <w:t>=</w:t>
        <w:t xml:space="preserve"> </w:t>
        <w:t>@bestproject</w:t>
        <w:t xml:space="preserve"> </w:t>
        <w:t>R</w:t>
        <w:t xml:space="preserve"> </w:t>
        <w:t>=</w:t>
        <w:t xml:space="preserve"> </w:t>
        <w:t>@projectwatchers carol</w:t>
      </w:r>
    </w:p>
    <w:p>
      <w:pPr>
        <w:pStyle w:val="Para 10"/>
      </w:pPr>
      <w:r>
        <w:t># bestproject members and alice can push code (but not force-push)</w:t>
      </w:r>
      <w:r>
        <w:rPr>
          <w:rStyle w:val="Text3"/>
        </w:rPr>
        <w:t xml:space="preserve"> </w:t>
      </w:r>
      <w:r>
        <w:t># bestproject members can force-push branches starting with dev/</w:t>
      </w:r>
      <w:r>
        <w:rPr>
          <w:rStyle w:val="Text3"/>
        </w:rPr>
        <w:t xml:space="preserve"> </w:t>
      </w:r>
      <w:r>
        <w:t># bob can forcepush anything</w:t>
      </w:r>
    </w:p>
    <w:p>
      <w:pPr>
        <w:pStyle w:val="Para 10"/>
      </w:pPr>
      <w:r>
        <w:t># projectwatchers and carol have readonly access</w:t>
      </w:r>
    </w:p>
    <w:p>
      <w:pPr>
        <w:pStyle w:val="Para 17"/>
      </w:pPr>
      <w:r>
        <w:t/>
      </w:r>
    </w:p>
    <w:p>
      <w:pPr>
        <w:pStyle w:val="Normal"/>
      </w:pPr>
      <w:r>
        <w:t>For more advanced permission configuration (restricting tags, branches, …), please see the</w:t>
      </w:r>
    </w:p>
    <w:p>
      <w:bookmarkStart w:id="699" w:name="page_4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2" name="index-473_1.png" descr="index-473_1.png"/>
            <wp:cNvGraphicFramePr>
              <a:graphicFrameLocks noChangeAspect="1"/>
            </wp:cNvGraphicFramePr>
            <a:graphic>
              <a:graphicData uri="http://schemas.openxmlformats.org/drawingml/2006/picture">
                <pic:pic>
                  <pic:nvPicPr>
                    <pic:cNvPr id="0" name="index-473_1.png" descr="index-473_1.png"/>
                    <pic:cNvPicPr/>
                  </pic:nvPicPr>
                  <pic:blipFill>
                    <a:blip r:embed="rId486"/>
                    <a:stretch>
                      <a:fillRect/>
                    </a:stretch>
                  </pic:blipFill>
                  <pic:spPr>
                    <a:xfrm>
                      <a:off x="0" y="0"/>
                      <a:ext cx="914400" cy="266700"/>
                    </a:xfrm>
                    <a:prstGeom prst="rect">
                      <a:avLst/>
                    </a:prstGeom>
                  </pic:spPr>
                </pic:pic>
              </a:graphicData>
            </a:graphic>
          </wp:anchor>
        </w:drawing>
      </w:r>
      <w:bookmarkEnd w:id="699"/>
    </w:p>
    <w:p>
      <w:pPr>
        <w:pStyle w:val="Normal"/>
      </w:pPr>
      <w:r>
        <w:t xml:space="preserve">examples in the upstream documentation </w:t>
      </w:r>
      <w:hyperlink r:id="rId1386">
        <w:r>
          <w:rPr>
            <w:rStyle w:val="Text9"/>
          </w:rPr>
          <w:t>429</w:t>
        </w:r>
      </w:hyperlink>
      <w:r>
        <w:t xml:space="preserve"> </w:t>
      </w:r>
      <w:hyperlink r:id="rId1387">
        <w:r>
          <w:rPr>
            <w:rStyle w:val="Text9"/>
          </w:rPr>
          <w:t>430</w:t>
        </w:r>
      </w:hyperlink>
      <w:hyperlink r:id="rId1387">
        <w:r>
          <w:rPr>
            <w:rStyle w:val="Text1"/>
          </w:rPr>
          <w:t xml:space="preserve"> page 1</w:t>
        </w:r>
      </w:hyperlink>
      <w:r>
        <w:t xml:space="preserve"> and </w:t>
      </w:r>
      <w:hyperlink r:id="rId1387">
        <w:r>
          <w:rPr>
            <w:rStyle w:val="Text1"/>
          </w:rPr>
          <w:t>page 2</w:t>
        </w:r>
      </w:hyperlink>
      <w:r>
        <w:t>.</w:t>
      </w:r>
    </w:p>
    <w:p>
      <w:pPr>
        <w:pStyle w:val="Para 17"/>
      </w:pPr>
      <w:r>
        <w:t/>
      </w:r>
    </w:p>
    <w:p>
      <w:pPr>
        <w:pStyle w:val="Para 01"/>
      </w:pPr>
      <w:r>
        <w:t>Using your server</w:t>
      </w:r>
    </w:p>
    <w:p>
      <w:pPr>
        <w:pStyle w:val="Para 17"/>
      </w:pPr>
      <w:r>
        <w:t/>
      </w:r>
    </w:p>
    <w:p>
      <w:pPr>
        <w:pStyle w:val="Normal"/>
      </w:pPr>
      <w:r>
        <w:t>Now you can use your newly set up Gitolite server as a regular git remote.</w:t>
      </w:r>
    </w:p>
    <w:p>
      <w:pPr>
        <w:pStyle w:val="Normal"/>
      </w:pPr>
      <w:r>
        <w:t>Once a user is created and has permissions, they can access the repositories.</w:t>
      </w:r>
    </w:p>
    <w:p>
      <w:pPr>
        <w:pStyle w:val="Normal"/>
      </w:pPr>
      <w:r>
        <w:t>As a fresh clone:</w:t>
      </w:r>
    </w:p>
    <w:p>
      <w:pPr>
        <w:pStyle w:val="Normal"/>
      </w:pPr>
      <w:r>
        <w:t>git clone git@</w:t>
        <w:t>$server</w:t>
        <w:t>:some/awesome/project.git</w:t>
      </w:r>
    </w:p>
    <w:p>
      <w:pPr>
        <w:pStyle w:val="Para 17"/>
      </w:pPr>
      <w:r>
        <w:t/>
      </w:r>
    </w:p>
    <w:p>
      <w:pPr>
        <w:pStyle w:val="Normal"/>
      </w:pPr>
      <w:r>
        <w:t>Or as a remote to an existing repository:</w:t>
      </w:r>
    </w:p>
    <w:p>
      <w:pPr>
        <w:pStyle w:val="Normal"/>
      </w:pPr>
      <w:r>
        <w:t>git remote add</w:t>
        <w:t xml:space="preserve"> </w:t>
        <w:t>$somename</w:t>
        <w:t xml:space="preserve"> </w:t>
        <w:t>git@</w:t>
        <w:t>$server</w:t>
        <w:t>:some/awesome/project.git</w:t>
      </w:r>
    </w:p>
    <w:p>
      <w:pPr>
        <w:pStyle w:val="Para 17"/>
      </w:pPr>
      <w:r>
        <w:t/>
      </w:r>
    </w:p>
    <w:p>
      <w:pPr>
        <w:pStyle w:val="Para 01"/>
      </w:pPr>
      <w:r>
        <w:t>Further reading</w:t>
      </w:r>
    </w:p>
    <w:p>
      <w:pPr>
        <w:pStyle w:val="Para 17"/>
      </w:pPr>
      <w:r>
        <w:t/>
      </w:r>
    </w:p>
    <w:p>
      <w:pPr>
        <w:pStyle w:val="Para 04"/>
      </w:pPr>
      <w:r>
        <w:t xml:space="preserve">• </w:t>
      </w:r>
      <w:hyperlink r:id="rId1388">
        <w:r>
          <w:rPr>
            <w:rStyle w:val="Text9"/>
          </w:rPr>
          <w:t>431</w:t>
        </w:r>
      </w:hyperlink>
      <w:hyperlink r:id="rId1388">
        <w:r>
          <w:rPr>
            <w:rStyle w:val="Text1"/>
          </w:rPr>
          <w:t xml:space="preserve"> Gitolite’s code repository</w:t>
        </w:r>
      </w:hyperlink>
      <w:r>
        <w:t xml:space="preserve"> provides access to source code</w:t>
      </w:r>
    </w:p>
    <w:p>
      <w:pPr>
        <w:pStyle w:val="Para 04"/>
      </w:pPr>
      <w:r>
        <w:t xml:space="preserve">• </w:t>
      </w:r>
      <w:hyperlink w:anchor="page_473">
        <w:r>
          <w:rPr>
            <w:rStyle w:val="Text9"/>
          </w:rPr>
          <w:t>432</w:t>
        </w:r>
      </w:hyperlink>
      <w:r>
        <w:t xml:space="preserve"> </w:t>
      </w:r>
      <w:hyperlink r:id="rId1389">
        <w:r>
          <w:rPr>
            <w:rStyle w:val="Text1"/>
          </w:rPr>
          <w:t>Gitolite’s documentation</w:t>
        </w:r>
      </w:hyperlink>
      <w:r>
        <w:t xml:space="preserve"> includes more detailed configuration guides and a “fool-</w:t>
      </w:r>
    </w:p>
    <w:p>
      <w:pPr>
        <w:pStyle w:val="Para 02"/>
      </w:pPr>
      <w:r>
        <w:t>proof setup”, with how-tos for common tasks</w:t>
      </w:r>
    </w:p>
    <w:p>
      <w:pPr>
        <w:pStyle w:val="Para 04"/>
      </w:pPr>
      <w:r>
        <w:t xml:space="preserve">• Gitolite’s maintainer has written a book, </w:t>
      </w:r>
      <w:hyperlink r:id="rId1390">
        <w:r>
          <w:rPr>
            <w:rStyle w:val="Text9"/>
          </w:rPr>
          <w:t>433</w:t>
        </w:r>
      </w:hyperlink>
      <w:hyperlink r:id="rId1390">
        <w:r>
          <w:rPr>
            <w:rStyle w:val="Text1"/>
          </w:rPr>
          <w:t xml:space="preserve"> Gitolite Essentials</w:t>
        </w:r>
      </w:hyperlink>
      <w:r>
        <w:t>, for more in-depth infor-</w:t>
      </w:r>
    </w:p>
    <w:p>
      <w:pPr>
        <w:pStyle w:val="Para 02"/>
      </w:pPr>
      <w:r>
        <w:t>mation about the software</w:t>
      </w:r>
    </w:p>
    <w:p>
      <w:pPr>
        <w:pStyle w:val="Para 04"/>
      </w:pPr>
      <w:r>
        <w:t xml:space="preserve">• General information about </w:t>
      </w:r>
      <w:hyperlink r:id="rId1384">
        <w:r>
          <w:rPr>
            <w:rStyle w:val="Text9"/>
          </w:rPr>
          <w:t>434</w:t>
        </w:r>
      </w:hyperlink>
      <w:r>
        <w:t xml:space="preserve"> git itself can be found at the </w:t>
      </w:r>
      <w:hyperlink r:id="rId1384">
        <w:r>
          <w:rPr>
            <w:rStyle w:val="Text1"/>
          </w:rPr>
          <w:t>Git homepage</w:t>
        </w:r>
      </w:hyperlink>
    </w:p>
    <w:p>
      <w:pPr>
        <w:pStyle w:val="Para 17"/>
      </w:pPr>
      <w:r>
        <w:t/>
      </w:r>
    </w:p>
    <w:p>
      <w:pPr>
        <w:pStyle w:val="Para 01"/>
      </w:pPr>
      <w:r>
        <w:t>See also</w:t>
      </w:r>
    </w:p>
    <w:p>
      <w:pPr>
        <w:pStyle w:val="Para 17"/>
      </w:pPr>
      <w:r>
        <w:t/>
      </w:r>
    </w:p>
    <w:p>
      <w:pPr>
        <w:pStyle w:val="Para 04"/>
      </w:pPr>
      <w:r>
        <w:t>• Sometimes backup is quite application-specific, an example of that is described in</w:t>
      </w:r>
    </w:p>
    <w:p>
      <w:pPr>
        <w:pStyle w:val="Para 31"/>
      </w:pPr>
      <w:hyperlink w:anchor="page_401">
        <w:r>
          <w:t>Backup and restore OpenLDAP</w:t>
        </w:r>
      </w:hyperlink>
      <w:r>
        <w:rPr>
          <w:rStyle w:val="Text4"/>
        </w:rPr>
        <w:t xml:space="preserve"> (page 400)</w:t>
      </w:r>
    </w:p>
    <w:p>
      <w:pPr>
        <w:pStyle w:val="Para 17"/>
      </w:pPr>
      <w:r>
        <w:t/>
      </w:r>
    </w:p>
    <w:p>
      <w:pPr>
        <w:pStyle w:val="Para 01"/>
      </w:pPr>
      <w:r>
        <w:t>See also</w:t>
      </w:r>
    </w:p>
    <w:p>
      <w:pPr>
        <w:pStyle w:val="Para 17"/>
      </w:pPr>
      <w:r>
        <w:t/>
      </w:r>
    </w:p>
    <w:p>
      <w:pPr>
        <w:pStyle w:val="Para 04"/>
      </w:pPr>
      <w:r>
        <w:t xml:space="preserve">• Explanation: </w:t>
      </w:r>
      <w:hyperlink w:anchor="page_857">
        <w:r>
          <w:rPr>
            <w:rStyle w:val="Text2"/>
          </w:rPr>
          <w:t>Data and storage</w:t>
        </w:r>
      </w:hyperlink>
      <w:r>
        <w:t xml:space="preserve"> (page 856)</w:t>
      </w:r>
    </w:p>
    <w:p>
      <w:pPr>
        <w:pStyle w:val="Para 05"/>
      </w:pPr>
      <w:r>
        <w:rPr>
          <w:rStyle w:val="Text5"/>
        </w:rPr>
        <w:t>429</w:t>
      </w:r>
      <w:r>
        <w:rPr>
          <w:rStyle w:val="Text8"/>
        </w:rPr>
        <w:t xml:space="preserve"> </w:t>
      </w:r>
      <w:r>
        <w:t>https://gitolite.com/gitolite/conf.html</w:t>
      </w:r>
    </w:p>
    <w:p>
      <w:pPr>
        <w:pStyle w:val="Para 05"/>
      </w:pPr>
      <w:r>
        <w:rPr>
          <w:rStyle w:val="Text5"/>
        </w:rPr>
        <w:t>430</w:t>
      </w:r>
      <w:r>
        <w:rPr>
          <w:rStyle w:val="Text8"/>
        </w:rPr>
        <w:t xml:space="preserve"> </w:t>
      </w:r>
      <w:r>
        <w:t>https://gitolite.com/gitolite/conf-2.html</w:t>
      </w:r>
    </w:p>
    <w:p>
      <w:pPr>
        <w:pStyle w:val="Para 05"/>
      </w:pPr>
      <w:r>
        <w:rPr>
          <w:rStyle w:val="Text5"/>
        </w:rPr>
        <w:t>431</w:t>
      </w:r>
      <w:r>
        <w:rPr>
          <w:rStyle w:val="Text8"/>
        </w:rPr>
        <w:t xml:space="preserve"> </w:t>
      </w:r>
      <w:r>
        <w:t>https://github.com/sitaramc/gitolite</w:t>
      </w:r>
    </w:p>
    <w:p>
      <w:pPr>
        <w:pStyle w:val="Para 05"/>
      </w:pPr>
      <w:r>
        <w:rPr>
          <w:rStyle w:val="Text5"/>
        </w:rPr>
        <w:t>432</w:t>
      </w:r>
      <w:r>
        <w:rPr>
          <w:rStyle w:val="Text8"/>
        </w:rPr>
        <w:t xml:space="preserve"> </w:t>
      </w:r>
      <w:r>
        <w:t>https://gitolite.com/gitolite/</w:t>
      </w:r>
    </w:p>
    <w:p>
      <w:pPr>
        <w:pStyle w:val="Para 05"/>
      </w:pPr>
      <w:r>
        <w:rPr>
          <w:rStyle w:val="Text5"/>
        </w:rPr>
        <w:t>433</w:t>
      </w:r>
      <w:r>
        <w:rPr>
          <w:rStyle w:val="Text8"/>
        </w:rPr>
        <w:t xml:space="preserve"> </w:t>
      </w:r>
      <w:r>
        <w:t>https://www.packtpub.com/en-us/product/gitolite-essentials-9781783282388</w:t>
      </w:r>
    </w:p>
    <w:p>
      <w:pPr>
        <w:pStyle w:val="Para 05"/>
      </w:pPr>
      <w:r>
        <w:rPr>
          <w:rStyle w:val="Text5"/>
        </w:rPr>
        <w:t>434</w:t>
      </w:r>
      <w:r>
        <w:rPr>
          <w:rStyle w:val="Text8"/>
        </w:rPr>
        <w:t xml:space="preserve"> </w:t>
      </w:r>
      <w:r>
        <w:t>https://git-scm.com/</w:t>
      </w:r>
    </w:p>
    <w:p>
      <w:bookmarkStart w:id="700" w:name="calibre_pb_113"/>
      <w:pPr>
        <w:pStyle w:val="0 Block"/>
      </w:pPr>
      <w:bookmarkEnd w:id="700"/>
    </w:p>
    <w:p>
      <w:bookmarkStart w:id="701" w:name="page_474"/>
      <w:bookmarkStart w:id="702" w:name="Top_of_index_split_11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3" name="index-474_1.png" descr="index-474_1.png"/>
            <wp:cNvGraphicFramePr>
              <a:graphicFrameLocks noChangeAspect="1"/>
            </wp:cNvGraphicFramePr>
            <a:graphic>
              <a:graphicData uri="http://schemas.openxmlformats.org/drawingml/2006/picture">
                <pic:pic>
                  <pic:nvPicPr>
                    <pic:cNvPr id="0" name="index-474_1.png" descr="index-474_1.png"/>
                    <pic:cNvPicPr/>
                  </pic:nvPicPr>
                  <pic:blipFill>
                    <a:blip r:embed="rId487"/>
                    <a:stretch>
                      <a:fillRect/>
                    </a:stretch>
                  </pic:blipFill>
                  <pic:spPr>
                    <a:xfrm>
                      <a:off x="0" y="0"/>
                      <a:ext cx="914400" cy="266700"/>
                    </a:xfrm>
                    <a:prstGeom prst="rect">
                      <a:avLst/>
                    </a:prstGeom>
                  </pic:spPr>
                </pic:pic>
              </a:graphicData>
            </a:graphic>
          </wp:anchor>
        </w:drawing>
      </w:r>
      <w:bookmarkEnd w:id="701"/>
      <w:bookmarkEnd w:id="702"/>
    </w:p>
    <w:p>
      <w:pPr>
        <w:pStyle w:val="Para 24"/>
      </w:pPr>
      <w:r>
        <w:t>3.2.6. Mail services</w:t>
      </w:r>
    </w:p>
    <w:p>
      <w:pPr>
        <w:pStyle w:val="Normal"/>
      </w:pPr>
      <w:r>
        <w:t xml:space="preserve">Our </w:t>
      </w:r>
      <w:hyperlink w:anchor="page_474">
        <w:r>
          <w:rPr>
            <w:rStyle w:val="Text2"/>
          </w:rPr>
          <w:t>Mail services</w:t>
        </w:r>
      </w:hyperlink>
      <w:r>
        <w:t xml:space="preserve"> (page 473) section shows you how to set up:</w:t>
      </w:r>
    </w:p>
    <w:p>
      <w:pPr>
        <w:pStyle w:val="Para 04"/>
      </w:pPr>
      <w:r>
        <w:t xml:space="preserve">• </w:t>
      </w:r>
      <w:r>
        <w:rPr>
          <w:rStyle w:val="Text0"/>
        </w:rPr>
        <w:t>Mail User Agents</w:t>
      </w:r>
      <w:r>
        <w:t xml:space="preserve"> (Thunderbird)</w:t>
      </w:r>
    </w:p>
    <w:p>
      <w:pPr>
        <w:pStyle w:val="Para 04"/>
      </w:pPr>
      <w:r>
        <w:t xml:space="preserve">• </w:t>
      </w:r>
      <w:r>
        <w:rPr>
          <w:rStyle w:val="Text0"/>
        </w:rPr>
        <w:t>Mail Transfer Agents</w:t>
      </w:r>
      <w:r>
        <w:t xml:space="preserve"> (Postfix and Exim4)</w:t>
      </w:r>
    </w:p>
    <w:p>
      <w:pPr>
        <w:pStyle w:val="Para 28"/>
      </w:pPr>
      <w:r>
        <w:rPr>
          <w:rStyle w:val="Text0"/>
        </w:rPr>
        <w:t xml:space="preserve">• </w:t>
      </w:r>
      <w:r>
        <w:t>Mail Delivery Agents</w:t>
      </w:r>
      <w:r>
        <w:rPr>
          <w:rStyle w:val="Text0"/>
        </w:rPr>
        <w:t xml:space="preserve"> (Dovecot)</w:t>
      </w:r>
    </w:p>
    <w:p>
      <w:pPr>
        <w:pStyle w:val="Para 17"/>
      </w:pPr>
      <w:r>
        <w:t/>
      </w:r>
    </w:p>
    <w:p>
      <w:pPr>
        <w:pStyle w:val="Para 01"/>
      </w:pPr>
      <w:r>
        <w:t>Mail services</w:t>
      </w:r>
    </w:p>
    <w:p>
      <w:pPr>
        <w:pStyle w:val="Para 17"/>
      </w:pPr>
      <w:r>
        <w:t/>
      </w:r>
    </w:p>
    <w:p>
      <w:pPr>
        <w:pStyle w:val="Normal"/>
      </w:pPr>
      <w:r>
        <w:t>Sending email from one person to another over a network or the Internet requires:</w:t>
      </w:r>
    </w:p>
    <w:p>
      <w:pPr>
        <w:pStyle w:val="Para 03"/>
      </w:pPr>
      <w:r>
        <w:t>1. The sender’s email client (</w:t>
      </w:r>
      <w:r>
        <w:rPr>
          <w:rStyle w:val="Text0"/>
        </w:rPr>
        <w:t>Mail User Agent</w:t>
      </w:r>
      <w:r>
        <w:t>) sends the message.</w:t>
      </w:r>
    </w:p>
    <w:p>
      <w:pPr>
        <w:pStyle w:val="Para 03"/>
      </w:pPr>
      <w:r>
        <w:t xml:space="preserve">2. One or more </w:t>
      </w:r>
      <w:r>
        <w:rPr>
          <w:rStyle w:val="Text0"/>
        </w:rPr>
        <w:t>Mail Transfer Agents</w:t>
      </w:r>
      <w:r>
        <w:t xml:space="preserve"> (MTA) to transfer the message.</w:t>
      </w:r>
    </w:p>
    <w:p>
      <w:pPr>
        <w:pStyle w:val="Para 03"/>
      </w:pPr>
      <w:r>
        <w:t xml:space="preserve">3. The final MTA sends the message to a </w:t>
      </w:r>
      <w:r>
        <w:rPr>
          <w:rStyle w:val="Text0"/>
        </w:rPr>
        <w:t>Mail Delivery Agent</w:t>
      </w:r>
      <w:r>
        <w:t xml:space="preserve"> (MDA) for delivery to the</w:t>
      </w:r>
    </w:p>
    <w:p>
      <w:pPr>
        <w:pStyle w:val="Para 02"/>
      </w:pPr>
      <w:r>
        <w:t>recipient’s inbox.</w:t>
      </w:r>
    </w:p>
    <w:p>
      <w:pPr>
        <w:pStyle w:val="Para 03"/>
      </w:pPr>
      <w:r>
        <w:t xml:space="preserve">4. Finally, the recipient’s email client retrieves the message, usually via a </w:t>
      </w:r>
      <w:r>
        <w:rPr>
          <w:rStyle w:val="Text0"/>
        </w:rPr>
        <w:t>POP3</w:t>
      </w:r>
      <w:r>
        <w:t xml:space="preserve"> or </w:t>
      </w:r>
      <w:r>
        <w:rPr>
          <w:rStyle w:val="Text0"/>
        </w:rPr>
        <w:t>IMAP</w:t>
      </w:r>
    </w:p>
    <w:p>
      <w:pPr>
        <w:pStyle w:val="Para 02"/>
      </w:pPr>
      <w:r>
        <w:t>server.</w:t>
      </w:r>
    </w:p>
    <w:p>
      <w:pPr>
        <w:pStyle w:val="Normal"/>
      </w:pPr>
      <w:r>
        <w:t>These systems must all be configured correctly to successfully deliver a message.</w:t>
      </w:r>
    </w:p>
    <w:p>
      <w:pPr>
        <w:pStyle w:val="Para 17"/>
      </w:pPr>
      <w:r>
        <w:t/>
      </w:r>
    </w:p>
    <w:p>
      <w:pPr>
        <w:pStyle w:val="Para 01"/>
      </w:pPr>
      <w:r>
        <w:t>Mail User Agent</w:t>
      </w:r>
    </w:p>
    <w:p>
      <w:pPr>
        <w:pStyle w:val="Para 17"/>
      </w:pPr>
      <w:r>
        <w:t/>
      </w:r>
    </w:p>
    <w:p>
      <w:pPr>
        <w:pStyle w:val="Normal"/>
      </w:pPr>
      <w:hyperlink r:id="rId1391">
        <w:r>
          <w:rPr>
            <w:rStyle w:val="Text1"/>
          </w:rPr>
          <w:t>Thunderbird</w:t>
        </w:r>
      </w:hyperlink>
      <w:hyperlink w:anchor="page_474">
        <w:r>
          <w:rPr>
            <w:rStyle w:val="Text9"/>
          </w:rPr>
          <w:t>435</w:t>
        </w:r>
      </w:hyperlink>
      <w:r>
        <w:t xml:space="preserve"> is the default Mail User Agent (email client) used by Ubuntu. It comes pre-installed on all Ubuntu machines from Ubuntu 16.04 LTS (Xenial) onward.</w:t>
      </w:r>
    </w:p>
    <w:p>
      <w:pPr>
        <w:pStyle w:val="Normal"/>
      </w:pPr>
      <w:r>
        <w:t xml:space="preserve">If you need to install Thunderbird manually, </w:t>
      </w:r>
      <w:hyperlink r:id="rId1392">
        <w:r>
          <w:rPr>
            <w:rStyle w:val="Text9"/>
          </w:rPr>
          <w:t>436</w:t>
        </w:r>
      </w:hyperlink>
      <w:hyperlink r:id="rId1392">
        <w:r>
          <w:rPr>
            <w:rStyle w:val="Text1"/>
          </w:rPr>
          <w:t xml:space="preserve"> this short guide</w:t>
        </w:r>
      </w:hyperlink>
      <w:r>
        <w:t xml:space="preserve"> will walk you through the steps.</w:t>
      </w:r>
    </w:p>
    <w:p>
      <w:pPr>
        <w:pStyle w:val="Para 17"/>
      </w:pPr>
      <w:r>
        <w:t/>
      </w:r>
    </w:p>
    <w:p>
      <w:pPr>
        <w:pStyle w:val="Para 01"/>
      </w:pPr>
      <w:r>
        <w:t>Mail Transfer Agent</w:t>
      </w:r>
    </w:p>
    <w:p>
      <w:pPr>
        <w:pStyle w:val="Para 17"/>
      </w:pPr>
      <w:r>
        <w:t/>
      </w:r>
    </w:p>
    <w:p>
      <w:pPr>
        <w:pStyle w:val="Normal"/>
      </w:pPr>
      <w:r>
        <w:t xml:space="preserve">On Ubuntu, </w:t>
      </w:r>
      <w:hyperlink w:anchor="page_474">
        <w:r>
          <w:rPr>
            <w:rStyle w:val="Text9"/>
          </w:rPr>
          <w:t>437</w:t>
        </w:r>
      </w:hyperlink>
      <w:r>
        <w:t xml:space="preserve"> </w:t>
      </w:r>
      <w:hyperlink r:id="rId1393">
        <w:r>
          <w:rPr>
            <w:rStyle w:val="Text9"/>
          </w:rPr>
          <w:t>438</w:t>
        </w:r>
      </w:hyperlink>
      <w:r>
        <w:t xml:space="preserve"> </w:t>
      </w:r>
      <w:hyperlink r:id="rId1394">
        <w:r>
          <w:rPr>
            <w:rStyle w:val="Text1"/>
          </w:rPr>
          <w:t>Postfix</w:t>
        </w:r>
      </w:hyperlink>
      <w:r>
        <w:t xml:space="preserve"> is the default supported MTA. It is compatible with the </w:t>
      </w:r>
      <w:hyperlink r:id="rId1393">
        <w:r>
          <w:rPr>
            <w:rStyle w:val="Text1"/>
          </w:rPr>
          <w:t>sendmail</w:t>
        </w:r>
      </w:hyperlink>
    </w:p>
    <w:p>
      <w:pPr>
        <w:pStyle w:val="Normal"/>
      </w:pPr>
      <w:r>
        <w:t>MTA.</w:t>
      </w:r>
    </w:p>
    <w:p>
      <w:pPr>
        <w:pStyle w:val="Para 04"/>
      </w:pPr>
      <w:r>
        <w:t xml:space="preserve">• </w:t>
      </w:r>
      <w:hyperlink w:anchor="page_475">
        <w:r>
          <w:rPr>
            <w:rStyle w:val="Text2"/>
          </w:rPr>
          <w:t>Install Postfix</w:t>
        </w:r>
      </w:hyperlink>
      <w:r>
        <w:t xml:space="preserve"> (page 474) explains how to install and configure Postfix, including how to</w:t>
      </w:r>
    </w:p>
    <w:p>
      <w:pPr>
        <w:pStyle w:val="Para 02"/>
      </w:pPr>
      <w:r>
        <w:t>configure SMTP for secure communications.</w:t>
      </w:r>
    </w:p>
    <w:p>
      <w:pPr>
        <w:pStyle w:val="Normal"/>
      </w:pPr>
      <w:hyperlink r:id="rId1395">
        <w:r>
          <w:rPr>
            <w:rStyle w:val="Text1"/>
          </w:rPr>
          <w:t>Exim4</w:t>
        </w:r>
      </w:hyperlink>
      <w:hyperlink w:anchor="page_474">
        <w:r>
          <w:rPr>
            <w:rStyle w:val="Text9"/>
          </w:rPr>
          <w:t>439</w:t>
        </w:r>
      </w:hyperlink>
      <w:r>
        <w:t xml:space="preserve"> can be installed in place of sendmail, although its configuration is quite different.</w:t>
      </w:r>
    </w:p>
    <w:p>
      <w:pPr>
        <w:pStyle w:val="Para 04"/>
      </w:pPr>
      <w:r>
        <w:t xml:space="preserve">• </w:t>
      </w:r>
      <w:hyperlink w:anchor="page_482">
        <w:r>
          <w:rPr>
            <w:rStyle w:val="Text2"/>
          </w:rPr>
          <w:t>Install Exim4</w:t>
        </w:r>
      </w:hyperlink>
      <w:r>
        <w:t xml:space="preserve"> (page 481) explains how to install and configure Exim4 on Ubuntu.</w:t>
      </w:r>
    </w:p>
    <w:p>
      <w:pPr>
        <w:pStyle w:val="Para 05"/>
      </w:pPr>
      <w:r>
        <w:rPr>
          <w:rStyle w:val="Text5"/>
        </w:rPr>
        <w:t>435</w:t>
      </w:r>
      <w:r>
        <w:rPr>
          <w:rStyle w:val="Text8"/>
        </w:rPr>
        <w:t xml:space="preserve"> </w:t>
      </w:r>
      <w:r>
        <w:t>https://www.thunderbird.net/</w:t>
      </w:r>
    </w:p>
    <w:p>
      <w:pPr>
        <w:pStyle w:val="Para 05"/>
      </w:pPr>
      <w:r>
        <w:rPr>
          <w:rStyle w:val="Text5"/>
        </w:rPr>
        <w:t>436</w:t>
      </w:r>
      <w:r>
        <w:rPr>
          <w:rStyle w:val="Text8"/>
        </w:rPr>
        <w:t xml:space="preserve"> </w:t>
      </w:r>
      <w:r>
        <w:t>https://snapcraft.io/install/thunderbird/ubuntu</w:t>
      </w:r>
    </w:p>
    <w:p>
      <w:pPr>
        <w:pStyle w:val="Para 05"/>
      </w:pPr>
      <w:r>
        <w:rPr>
          <w:rStyle w:val="Text5"/>
        </w:rPr>
        <w:t>437</w:t>
      </w:r>
      <w:r>
        <w:rPr>
          <w:rStyle w:val="Text8"/>
        </w:rPr>
        <w:t xml:space="preserve"> </w:t>
      </w:r>
      <w:r>
        <w:t>https://www.postfix.org/</w:t>
      </w:r>
    </w:p>
    <w:p>
      <w:pPr>
        <w:pStyle w:val="Para 05"/>
      </w:pPr>
      <w:r>
        <w:rPr>
          <w:rStyle w:val="Text5"/>
        </w:rPr>
        <w:t>438</w:t>
      </w:r>
      <w:r>
        <w:rPr>
          <w:rStyle w:val="Text8"/>
        </w:rPr>
        <w:t xml:space="preserve"> </w:t>
      </w:r>
      <w:r>
        <w:t>https://www.authsmtp.com/sendmail/index.html</w:t>
      </w:r>
    </w:p>
    <w:p>
      <w:pPr>
        <w:pStyle w:val="Para 05"/>
      </w:pPr>
      <w:r>
        <w:rPr>
          <w:rStyle w:val="Text5"/>
        </w:rPr>
        <w:t>439</w:t>
      </w:r>
      <w:r>
        <w:rPr>
          <w:rStyle w:val="Text8"/>
        </w:rPr>
        <w:t xml:space="preserve"> </w:t>
      </w:r>
      <w:r>
        <w:t>https://www.exim.org/</w:t>
      </w:r>
    </w:p>
    <w:p>
      <w:bookmarkStart w:id="703" w:name="calibre_pb_114"/>
      <w:pPr>
        <w:pStyle w:val="0 Block"/>
      </w:pPr>
      <w:bookmarkEnd w:id="703"/>
    </w:p>
    <w:p>
      <w:bookmarkStart w:id="704" w:name="page_475"/>
      <w:bookmarkStart w:id="705" w:name="Top_of_index_split_11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4" name="index-475_1.png" descr="index-475_1.png"/>
            <wp:cNvGraphicFramePr>
              <a:graphicFrameLocks noChangeAspect="1"/>
            </wp:cNvGraphicFramePr>
            <a:graphic>
              <a:graphicData uri="http://schemas.openxmlformats.org/drawingml/2006/picture">
                <pic:pic>
                  <pic:nvPicPr>
                    <pic:cNvPr id="0" name="index-475_1.png" descr="index-475_1.png"/>
                    <pic:cNvPicPr/>
                  </pic:nvPicPr>
                  <pic:blipFill>
                    <a:blip r:embed="rId488"/>
                    <a:stretch>
                      <a:fillRect/>
                    </a:stretch>
                  </pic:blipFill>
                  <pic:spPr>
                    <a:xfrm>
                      <a:off x="0" y="0"/>
                      <a:ext cx="914400" cy="266700"/>
                    </a:xfrm>
                    <a:prstGeom prst="rect">
                      <a:avLst/>
                    </a:prstGeom>
                  </pic:spPr>
                </pic:pic>
              </a:graphicData>
            </a:graphic>
          </wp:anchor>
        </w:drawing>
      </w:r>
      <w:bookmarkEnd w:id="704"/>
      <w:bookmarkEnd w:id="705"/>
    </w:p>
    <w:p>
      <w:pPr>
        <w:pStyle w:val="Para 01"/>
      </w:pPr>
      <w:r>
        <w:t>Install and configure Postfix</w:t>
      </w:r>
    </w:p>
    <w:p>
      <w:pPr>
        <w:pStyle w:val="Para 17"/>
      </w:pPr>
      <w:r>
        <w:t/>
      </w:r>
    </w:p>
    <w:p>
      <w:pPr>
        <w:pStyle w:val="Para 08"/>
      </w:pPr>
      <w:r>
        <w:t>Note:</w:t>
      </w:r>
    </w:p>
    <w:p>
      <w:pPr>
        <w:pStyle w:val="Para 03"/>
      </w:pPr>
      <w:r>
        <w:t xml:space="preserve">This guide does not cover setting up Postfix </w:t>
      </w:r>
      <w:r>
        <w:rPr>
          <w:rStyle w:val="Text3"/>
        </w:rPr>
        <w:t>Virtual Domains</w:t>
      </w:r>
      <w:r>
        <w:t>. For information on Virtual</w:t>
      </w:r>
    </w:p>
    <w:p>
      <w:pPr>
        <w:pStyle w:val="Para 03"/>
      </w:pPr>
      <w:r>
        <w:t>Domains and other advanced configurations see the references list at the end of this page.</w:t>
      </w:r>
    </w:p>
    <w:p>
      <w:pPr>
        <w:pStyle w:val="Para 17"/>
      </w:pPr>
      <w:r>
        <w:t/>
      </w:r>
    </w:p>
    <w:p>
      <w:pPr>
        <w:pStyle w:val="Para 01"/>
      </w:pPr>
      <w:r>
        <w:t>Install Postfix</w:t>
      </w:r>
    </w:p>
    <w:p>
      <w:pPr>
        <w:pStyle w:val="Para 17"/>
      </w:pPr>
      <w:r>
        <w:t/>
      </w:r>
    </w:p>
    <w:p>
      <w:pPr>
        <w:pStyle w:val="Normal"/>
      </w:pPr>
      <w:r>
        <w:t xml:space="preserve">To install </w:t>
      </w:r>
      <w:hyperlink w:anchor="page_475">
        <w:r>
          <w:rPr>
            <w:rStyle w:val="Text9"/>
          </w:rPr>
          <w:t>440</w:t>
        </w:r>
      </w:hyperlink>
      <w:r>
        <w:t xml:space="preserve"> </w:t>
      </w:r>
      <w:hyperlink r:id="rId1394">
        <w:r>
          <w:rPr>
            <w:rStyle w:val="Text1"/>
          </w:rPr>
          <w:t>Postfix</w:t>
        </w:r>
      </w:hyperlink>
      <w:r>
        <w:t xml:space="preserve"> run the following command:</w:t>
      </w:r>
    </w:p>
    <w:p>
      <w:pPr>
        <w:pStyle w:val="Normal"/>
      </w:pPr>
      <w:r>
        <w:t>sudo apt install postfix</w:t>
      </w:r>
    </w:p>
    <w:p>
      <w:pPr>
        <w:pStyle w:val="Para 17"/>
      </w:pPr>
      <w:r>
        <w:t/>
      </w:r>
    </w:p>
    <w:p>
      <w:pPr>
        <w:pStyle w:val="Normal"/>
      </w:pPr>
      <w:r>
        <w:t>It is OK to accept defaults initially by pressing return for each question. Some of the config-uration options will be investigated in greater detail in the configuration stage.</w:t>
      </w:r>
    </w:p>
    <w:p>
      <w:pPr>
        <w:pStyle w:val="Para 17"/>
      </w:pPr>
      <w:r>
        <w:t/>
      </w:r>
    </w:p>
    <w:p>
      <w:pPr>
        <w:pStyle w:val="Para 08"/>
      </w:pPr>
      <w:r>
        <w:t>Warning:</w:t>
      </w:r>
    </w:p>
    <w:p>
      <w:pPr>
        <w:pStyle w:val="Para 17"/>
      </w:pPr>
      <w:r>
        <w:t/>
      </w:r>
    </w:p>
    <w:p>
      <w:pPr>
        <w:pStyle w:val="Para 03"/>
      </w:pPr>
      <w:r>
        <w:t>The mail-stack-delivery metapackage has been deprecated in Focal. The package still</w:t>
      </w:r>
    </w:p>
    <w:p>
      <w:pPr>
        <w:pStyle w:val="Para 03"/>
      </w:pPr>
      <w:r>
        <w:t>exists for compatibility reasons, but won’t setup a working email system.</w:t>
      </w:r>
    </w:p>
    <w:p>
      <w:pPr>
        <w:pStyle w:val="Para 17"/>
      </w:pPr>
      <w:r>
        <w:t/>
      </w:r>
    </w:p>
    <w:p>
      <w:pPr>
        <w:pStyle w:val="Para 01"/>
      </w:pPr>
      <w:r>
        <w:t>Configure Postfix</w:t>
      </w:r>
    </w:p>
    <w:p>
      <w:pPr>
        <w:pStyle w:val="Para 17"/>
      </w:pPr>
      <w:r>
        <w:t/>
      </w:r>
    </w:p>
    <w:p>
      <w:pPr>
        <w:pStyle w:val="Normal"/>
      </w:pPr>
      <w:r>
        <w:t>There are four things you should decide before configuring:</w:t>
      </w:r>
    </w:p>
    <w:p>
      <w:pPr>
        <w:pStyle w:val="Para 04"/>
      </w:pPr>
      <w:r>
        <w:t xml:space="preserve">• The &lt;Domain&gt; for which you’ll accept email (we’ll use </w:t>
      </w:r>
      <w:r>
        <w:rPr>
          <w:rStyle w:val="Text0"/>
        </w:rPr>
        <w:t>mail.example.com</w:t>
      </w:r>
      <w:r>
        <w:t xml:space="preserve"> in our example)</w:t>
      </w:r>
    </w:p>
    <w:p>
      <w:pPr>
        <w:pStyle w:val="Para 04"/>
      </w:pPr>
      <w:r>
        <w:t xml:space="preserve">• The network and class range of your mail server (we’ll use </w:t>
      </w:r>
      <w:r>
        <w:rPr>
          <w:rStyle w:val="Text0"/>
        </w:rPr>
        <w:t>192.168.0.0/24</w:t>
      </w:r>
      <w:r>
        <w:t>)</w:t>
      </w:r>
    </w:p>
    <w:p>
      <w:pPr>
        <w:pStyle w:val="Para 04"/>
      </w:pPr>
      <w:r>
        <w:t xml:space="preserve">• The username (we’re using </w:t>
      </w:r>
      <w:r>
        <w:rPr>
          <w:rStyle w:val="Text0"/>
        </w:rPr>
        <w:t>steve</w:t>
      </w:r>
      <w:r>
        <w:t>)</w:t>
      </w:r>
    </w:p>
    <w:p>
      <w:pPr>
        <w:pStyle w:val="Para 04"/>
      </w:pPr>
      <w:r>
        <w:t>• Type of mailbox format (</w:t>
      </w:r>
      <w:r>
        <w:rPr>
          <w:rStyle w:val="Text3"/>
        </w:rPr>
        <w:t>mbox</w:t>
      </w:r>
      <w:r>
        <w:t xml:space="preserve"> is the default, but we’ll use the alternative, </w:t>
      </w:r>
      <w:r>
        <w:rPr>
          <w:rStyle w:val="Text0"/>
        </w:rPr>
        <w:t>Maildir</w:t>
      </w:r>
      <w:r>
        <w:t>)</w:t>
      </w:r>
    </w:p>
    <w:p>
      <w:pPr>
        <w:pStyle w:val="Normal"/>
      </w:pPr>
      <w:r>
        <w:t>To configure postfix, run the following command:</w:t>
      </w:r>
    </w:p>
    <w:p>
      <w:pPr>
        <w:pStyle w:val="Normal"/>
      </w:pPr>
      <w:r>
        <w:t>sudo dpkg-reconfigure postfix</w:t>
      </w:r>
    </w:p>
    <w:p>
      <w:pPr>
        <w:pStyle w:val="Para 17"/>
      </w:pPr>
      <w:r>
        <w:t/>
      </w:r>
    </w:p>
    <w:p>
      <w:pPr>
        <w:pStyle w:val="Normal"/>
      </w:pPr>
      <w:r>
        <w:t>The user interface will be displayed. On each screen, select the following values:</w:t>
      </w:r>
    </w:p>
    <w:p>
      <w:pPr>
        <w:pStyle w:val="Para 04"/>
      </w:pPr>
      <w:r>
        <w:t>• Internet Site</w:t>
      </w:r>
    </w:p>
    <w:p>
      <w:pPr>
        <w:pStyle w:val="Para 28"/>
      </w:pPr>
      <w:r>
        <w:rPr>
          <w:rStyle w:val="Text0"/>
        </w:rPr>
        <w:t xml:space="preserve">• </w:t>
      </w:r>
      <w:r>
        <w:t>mail.example.com</w:t>
      </w:r>
    </w:p>
    <w:p>
      <w:pPr>
        <w:pStyle w:val="Para 28"/>
      </w:pPr>
      <w:r>
        <w:rPr>
          <w:rStyle w:val="Text0"/>
        </w:rPr>
        <w:t xml:space="preserve">• </w:t>
      </w:r>
      <w:r>
        <w:t>steve</w:t>
      </w:r>
    </w:p>
    <w:p>
      <w:pPr>
        <w:pStyle w:val="Para 04"/>
      </w:pPr>
      <w:r>
        <w:t xml:space="preserve">• </w:t>
      </w:r>
      <w:r>
        <w:rPr>
          <w:rStyle w:val="Text0"/>
        </w:rPr>
        <w:t>mail.example.com</w:t>
      </w:r>
      <w:r>
        <w:t>, localhost.localdomain, localhost</w:t>
      </w:r>
    </w:p>
    <w:p>
      <w:pPr>
        <w:pStyle w:val="Para 04"/>
      </w:pPr>
      <w:r>
        <w:t>• No</w:t>
      </w:r>
    </w:p>
    <w:p>
      <w:pPr>
        <w:pStyle w:val="Para 04"/>
      </w:pPr>
      <w:r>
        <w:t xml:space="preserve">• 127.0.0.0/8 \[::ffff:127.0.0.0\]/104 \[::1\]/128 </w:t>
      </w:r>
      <w:r>
        <w:rPr>
          <w:rStyle w:val="Text0"/>
        </w:rPr>
        <w:t>192.168.0.0/24</w:t>
      </w:r>
    </w:p>
    <w:p>
      <w:pPr>
        <w:pStyle w:val="Para 04"/>
      </w:pPr>
      <w:r>
        <w:t>• 0</w:t>
      </w:r>
    </w:p>
    <w:p>
      <w:pPr>
        <w:pStyle w:val="Para 05"/>
      </w:pPr>
      <w:r>
        <w:rPr>
          <w:rStyle w:val="Text5"/>
        </w:rPr>
        <w:t>440</w:t>
      </w:r>
      <w:r>
        <w:rPr>
          <w:rStyle w:val="Text8"/>
        </w:rPr>
        <w:t xml:space="preserve"> </w:t>
      </w:r>
      <w:r>
        <w:t>https://www.postfix.org/</w:t>
      </w:r>
    </w:p>
    <w:p>
      <w:bookmarkStart w:id="706" w:name="page_4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5" name="index-476_1.png" descr="index-476_1.png"/>
            <wp:cNvGraphicFramePr>
              <a:graphicFrameLocks noChangeAspect="1"/>
            </wp:cNvGraphicFramePr>
            <a:graphic>
              <a:graphicData uri="http://schemas.openxmlformats.org/drawingml/2006/picture">
                <pic:pic>
                  <pic:nvPicPr>
                    <pic:cNvPr id="0" name="index-476_1.png" descr="index-476_1.png"/>
                    <pic:cNvPicPr/>
                  </pic:nvPicPr>
                  <pic:blipFill>
                    <a:blip r:embed="rId489"/>
                    <a:stretch>
                      <a:fillRect/>
                    </a:stretch>
                  </pic:blipFill>
                  <pic:spPr>
                    <a:xfrm>
                      <a:off x="0" y="0"/>
                      <a:ext cx="914400" cy="266700"/>
                    </a:xfrm>
                    <a:prstGeom prst="rect">
                      <a:avLst/>
                    </a:prstGeom>
                  </pic:spPr>
                </pic:pic>
              </a:graphicData>
            </a:graphic>
          </wp:anchor>
        </w:drawing>
      </w:r>
      <w:bookmarkEnd w:id="706"/>
    </w:p>
    <w:p>
      <w:pPr>
        <w:pStyle w:val="Para 04"/>
      </w:pPr>
      <w:r>
        <w:t>• +</w:t>
      </w:r>
    </w:p>
    <w:p>
      <w:pPr>
        <w:pStyle w:val="Para 04"/>
      </w:pPr>
      <w:r>
        <w:t>• all</w:t>
      </w:r>
    </w:p>
    <w:p>
      <w:pPr>
        <w:pStyle w:val="Normal"/>
      </w:pPr>
      <w:r>
        <w:t>To set the mailbox format, you can either edit the configuration file directly, or use the post-conf command. In either case, the configuration parameters will be stored in /etc/postfix/ main.cf file. Later if you wish to re-configure a particular parameter, you can either run the command or change it manually in the file.</w:t>
      </w:r>
    </w:p>
    <w:p>
      <w:pPr>
        <w:pStyle w:val="Para 17"/>
      </w:pPr>
      <w:r>
        <w:t/>
      </w:r>
    </w:p>
    <w:p>
      <w:pPr>
        <w:pStyle w:val="Para 01"/>
      </w:pPr>
      <w:r>
        <w:t>Configure mailbox format</w:t>
      </w:r>
    </w:p>
    <w:p>
      <w:pPr>
        <w:pStyle w:val="Para 17"/>
      </w:pPr>
      <w:r>
        <w:t/>
      </w:r>
    </w:p>
    <w:p>
      <w:pPr>
        <w:pStyle w:val="Normal"/>
      </w:pPr>
      <w:r>
        <w:t xml:space="preserve">To configure the mailbox format for </w:t>
      </w:r>
      <w:r>
        <w:rPr>
          <w:rStyle w:val="Text0"/>
        </w:rPr>
        <w:t>Maildir</w:t>
      </w:r>
      <w:r>
        <w:t>:</w:t>
      </w:r>
    </w:p>
    <w:p>
      <w:pPr>
        <w:pStyle w:val="Normal"/>
      </w:pPr>
      <w:r>
        <w:t>sudo postconf -e</w:t>
        <w:t xml:space="preserve"> </w:t>
        <w:t>'home_mailbox = Maildir/'</w:t>
      </w:r>
    </w:p>
    <w:p>
      <w:pPr>
        <w:pStyle w:val="Para 17"/>
      </w:pPr>
      <w:r>
        <w:t/>
      </w:r>
    </w:p>
    <w:p>
      <w:pPr>
        <w:pStyle w:val="Normal"/>
      </w:pPr>
      <w:r>
        <w:t>This will place new mail in /home/&lt;username&gt;/Maildir so you will need to configure your Mail Delivery Agent (MDA) to use the same path.</w:t>
      </w:r>
    </w:p>
    <w:p>
      <w:pPr>
        <w:pStyle w:val="Para 17"/>
      </w:pPr>
      <w:r>
        <w:t/>
      </w:r>
    </w:p>
    <w:p>
      <w:pPr>
        <w:pStyle w:val="Para 01"/>
      </w:pPr>
      <w:r>
        <w:t>SMTP authentication</w:t>
      </w:r>
    </w:p>
    <w:p>
      <w:pPr>
        <w:pStyle w:val="Para 17"/>
      </w:pPr>
      <w:r>
        <w:t/>
      </w:r>
    </w:p>
    <w:p>
      <w:pPr>
        <w:pStyle w:val="Normal"/>
      </w:pPr>
      <w:r>
        <w:t>SMTP-AUTH allows a client to identify itself through the Simple Authentication and Security Layer (SASL) authentication mechanism, using Transport Layer Security (TLS) to encrypt the authentication process. Once it has been authenticated, the SMTP server will allow the client to relay mail.</w:t>
      </w:r>
    </w:p>
    <w:p>
      <w:pPr>
        <w:pStyle w:val="Para 17"/>
      </w:pPr>
      <w:r>
        <w:t/>
      </w:r>
    </w:p>
    <w:p>
      <w:pPr>
        <w:pStyle w:val="Para 01"/>
      </w:pPr>
      <w:r>
        <w:t>Configure SMTP authentication</w:t>
      </w:r>
    </w:p>
    <w:p>
      <w:pPr>
        <w:pStyle w:val="Para 17"/>
      </w:pPr>
      <w:r>
        <w:t/>
      </w:r>
    </w:p>
    <w:p>
      <w:pPr>
        <w:pStyle w:val="Normal"/>
      </w:pPr>
      <w:r>
        <w:t>To configure Postfix for SMTP-AUTH using SASL (Dovecot SASL), run these commands at a terminal prompt:</w:t>
      </w:r>
    </w:p>
    <w:p>
      <w:pPr>
        <w:pStyle w:val="Normal"/>
      </w:pPr>
      <w:r>
        <w:t>sudo postconf -e</w:t>
        <w:t xml:space="preserve"> </w:t>
        <w:t>'smtpd_sasl_type = dovecot'</w:t>
        <w:t xml:space="preserve"> </w:t>
        <w:t>sudo postconf -e</w:t>
        <w:t xml:space="preserve"> </w:t>
        <w:t>'smtpd_sasl_path = private/auth'</w:t>
        <w:t xml:space="preserve"> </w:t>
        <w:t>sudo postconf -e</w:t>
        <w:t xml:space="preserve"> </w:t>
        <w:t>'smtpd_sasl_local_domain ='</w:t>
        <w:t xml:space="preserve"> </w:t>
        <w:t>sudo postconf -e</w:t>
        <w:t xml:space="preserve"> </w:t>
        <w:t>'smtpd_sasl_security_options = noanonymous'</w:t>
        <w:t xml:space="preserve"> </w:t>
        <w:t>sudo postconf -e</w:t>
        <w:t xml:space="preserve"> </w:t>
        <w:t>'broken_sasl_auth_clients = yes'</w:t>
        <w:t xml:space="preserve"> </w:t>
        <w:t>sudo postconf -e</w:t>
        <w:t xml:space="preserve"> </w:t>
        <w:t>'smtpd_sasl_auth_enable = yes'</w:t>
        <w:t xml:space="preserve"> </w:t>
        <w:t>sudo postconf -e</w:t>
        <w:t xml:space="preserve"> </w:t>
        <w:t>'smtpd_recipient_restrictions = \</w:t>
        <w:t xml:space="preserve"> </w:t>
        <w:t>permit_sasl_authenticated,permit_mynetworks,reject_unauth_destination'</w:t>
      </w:r>
    </w:p>
    <w:p>
      <w:pPr>
        <w:pStyle w:val="Para 17"/>
      </w:pPr>
      <w:r>
        <w:t/>
      </w:r>
    </w:p>
    <w:p>
      <w:pPr>
        <w:pStyle w:val="Para 08"/>
      </w:pPr>
      <w:r>
        <w:t>Note:</w:t>
      </w:r>
    </w:p>
    <w:p>
      <w:pPr>
        <w:pStyle w:val="Para 03"/>
      </w:pPr>
      <w:r>
        <w:t>The smtpd_sasl_path config parameter is a path relative to the Postfix queue directory.</w:t>
      </w:r>
    </w:p>
    <w:p>
      <w:pPr>
        <w:pStyle w:val="Para 17"/>
      </w:pPr>
      <w:r>
        <w:t/>
      </w:r>
    </w:p>
    <w:p>
      <w:pPr>
        <w:pStyle w:val="Normal"/>
      </w:pPr>
      <w:r>
        <w:t>There are several SASL mechanism properties worth evaluating to improve the security of your deployment. The option “noanonymous” prevents the use of mechanisms that permit anonymous authentication.</w:t>
      </w:r>
    </w:p>
    <w:p>
      <w:bookmarkStart w:id="707" w:name="page_4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6" name="index-477_1.png" descr="index-477_1.png"/>
            <wp:cNvGraphicFramePr>
              <a:graphicFrameLocks noChangeAspect="1"/>
            </wp:cNvGraphicFramePr>
            <a:graphic>
              <a:graphicData uri="http://schemas.openxmlformats.org/drawingml/2006/picture">
                <pic:pic>
                  <pic:nvPicPr>
                    <pic:cNvPr id="0" name="index-477_1.png" descr="index-477_1.png"/>
                    <pic:cNvPicPr/>
                  </pic:nvPicPr>
                  <pic:blipFill>
                    <a:blip r:embed="rId490"/>
                    <a:stretch>
                      <a:fillRect/>
                    </a:stretch>
                  </pic:blipFill>
                  <pic:spPr>
                    <a:xfrm>
                      <a:off x="0" y="0"/>
                      <a:ext cx="914400" cy="266700"/>
                    </a:xfrm>
                    <a:prstGeom prst="rect">
                      <a:avLst/>
                    </a:prstGeom>
                  </pic:spPr>
                </pic:pic>
              </a:graphicData>
            </a:graphic>
          </wp:anchor>
        </w:drawing>
      </w:r>
      <w:bookmarkEnd w:id="707"/>
    </w:p>
    <w:p>
      <w:pPr>
        <w:pStyle w:val="Para 01"/>
      </w:pPr>
      <w:r>
        <w:t>Configure TLS</w:t>
      </w:r>
    </w:p>
    <w:p>
      <w:pPr>
        <w:pStyle w:val="Para 17"/>
      </w:pPr>
      <w:r>
        <w:t/>
      </w:r>
    </w:p>
    <w:p>
      <w:pPr>
        <w:pStyle w:val="Normal"/>
      </w:pPr>
      <w:r>
        <w:t>Next, generate or obtain a digital certificate for TLS. MUAs connecting to your mail server via TLS will need to recognize the certificate used for TLS. This can either be done using a certificate from Let’s Encrypt, from a commercial CA or with a self-signed certificate that users manually install/accept.</w:t>
      </w:r>
    </w:p>
    <w:p>
      <w:pPr>
        <w:pStyle w:val="Normal"/>
      </w:pPr>
      <w:r>
        <w:t>For MTA-to-MTA, TLS certificates are never validated without prior agreement from the af-fected organizations. For MTA-to-MTA TLS, there is no reason not to use a self-signed certifi-</w:t>
      </w:r>
    </w:p>
    <w:p>
      <w:pPr>
        <w:pStyle w:val="Normal"/>
      </w:pPr>
      <w:r>
        <w:t xml:space="preserve">cate unless local policy requires it. See our </w:t>
      </w:r>
      <w:hyperlink w:anchor="page_791">
        <w:r>
          <w:rPr>
            <w:rStyle w:val="Text2"/>
          </w:rPr>
          <w:t>guide on security certificates</w:t>
        </w:r>
      </w:hyperlink>
      <w:r>
        <w:t xml:space="preserve"> (page 790) for details about generating digital certificates and setting up your own Certificate Authority (CA).</w:t>
      </w:r>
    </w:p>
    <w:p>
      <w:pPr>
        <w:pStyle w:val="Normal"/>
      </w:pPr>
      <w:r>
        <w:t>Once you have a certificate, configure Postfix to provide TLS encryption for both incoming and outgoing mail:</w:t>
      </w:r>
    </w:p>
    <w:p>
      <w:pPr>
        <w:pStyle w:val="Normal"/>
      </w:pPr>
      <w:r>
        <w:t>sudo postconf -e</w:t>
        <w:t xml:space="preserve"> </w:t>
        <w:t>'smtp_tls_security_level = may'</w:t>
        <w:t xml:space="preserve"> </w:t>
        <w:t>sudo postconf -e</w:t>
        <w:t xml:space="preserve"> </w:t>
        <w:t>'smtpd_tls_security_level = may'</w:t>
        <w:t xml:space="preserve"> </w:t>
        <w:t>sudo postconf -e</w:t>
        <w:t xml:space="preserve"> </w:t>
        <w:t>'smtp_tls_note_starttls_offer = yes'</w:t>
        <w:t xml:space="preserve"> </w:t>
        <w:t>sudo postconf -e</w:t>
        <w:t xml:space="preserve"> </w:t>
        <w:t>'smtpd_tls_chain_files = /etc/ssl/private/server.key,/etc/ssl/certs/</w:t>
        <w:t xml:space="preserve"> </w:t>
        <w:t>server.crt'</w:t>
      </w:r>
    </w:p>
    <w:p>
      <w:pPr>
        <w:pStyle w:val="Normal"/>
      </w:pPr>
      <w:r>
        <w:t>sudo postconf -e</w:t>
        <w:t xml:space="preserve"> </w:t>
        <w:t>'smtpd_tls_loglevel = 1'</w:t>
        <w:t xml:space="preserve"> </w:t>
        <w:t>sudo postconf -e</w:t>
        <w:t xml:space="preserve"> </w:t>
        <w:t>'smtpd_tls_received_header = yes'</w:t>
        <w:t xml:space="preserve"> </w:t>
        <w:t>sudo postconf -e</w:t>
        <w:t xml:space="preserve"> </w:t>
        <w:t>'myhostname = mail.example.com'</w:t>
      </w:r>
    </w:p>
    <w:p>
      <w:pPr>
        <w:pStyle w:val="Para 17"/>
      </w:pPr>
      <w:r>
        <w:t/>
      </w:r>
    </w:p>
    <w:p>
      <w:pPr>
        <w:pStyle w:val="Normal"/>
      </w:pPr>
      <w:r>
        <w:t>If you are using your own Certificate Authority to sign the certificate, enter:</w:t>
      </w:r>
    </w:p>
    <w:p>
      <w:pPr>
        <w:pStyle w:val="Normal"/>
      </w:pPr>
      <w:r>
        <w:t>sudo postconf -e</w:t>
        <w:t xml:space="preserve"> </w:t>
        <w:t>'smtpd_tls_CAfile = /etc/ssl/certs/cacert.pem'</w:t>
      </w:r>
    </w:p>
    <w:p>
      <w:pPr>
        <w:pStyle w:val="Para 17"/>
      </w:pPr>
      <w:r>
        <w:t/>
      </w:r>
    </w:p>
    <w:p>
      <w:pPr>
        <w:pStyle w:val="Normal"/>
      </w:pPr>
      <w:r>
        <w:t xml:space="preserve">Again, for more details about certificates see our </w:t>
      </w:r>
      <w:hyperlink w:anchor="page_791">
        <w:r>
          <w:rPr>
            <w:rStyle w:val="Text2"/>
          </w:rPr>
          <w:t>security certificates guide</w:t>
        </w:r>
      </w:hyperlink>
      <w:r>
        <w:t xml:space="preserve"> (page 790).</w:t>
      </w:r>
    </w:p>
    <w:p>
      <w:pPr>
        <w:pStyle w:val="Para 17"/>
      </w:pPr>
      <w:r>
        <w:t/>
      </w:r>
    </w:p>
    <w:p>
      <w:pPr>
        <w:pStyle w:val="Para 01"/>
      </w:pPr>
      <w:r>
        <w:t>Outcome of initial configuration</w:t>
      </w:r>
    </w:p>
    <w:p>
      <w:pPr>
        <w:pStyle w:val="Para 17"/>
      </w:pPr>
      <w:r>
        <w:t/>
      </w:r>
    </w:p>
    <w:p>
      <w:pPr>
        <w:pStyle w:val="Normal"/>
      </w:pPr>
      <w:r>
        <w:t>After running all the above commands, Postfix will be configured for SMTP-AUTH with a self-signed certificate for TLS encryption.</w:t>
      </w:r>
    </w:p>
    <w:p>
      <w:pPr>
        <w:pStyle w:val="Normal"/>
      </w:pPr>
      <w:r>
        <w:t>Now, the file /etc/postfix/main.cf should look like this:</w:t>
      </w:r>
    </w:p>
    <w:p>
      <w:pPr>
        <w:pStyle w:val="Normal"/>
      </w:pPr>
      <w:r>
        <w:t># See /usr/share/postfix/main.cf.dist for a commented, more complete</w:t>
        <w:t xml:space="preserve"> </w:t>
        <w:t># version</w:t>
      </w:r>
    </w:p>
    <w:p>
      <w:pPr>
        <w:pStyle w:val="Normal"/>
      </w:pPr>
      <w:r>
        <w:t>smtpd_banner = $myhostname ESMTP $mail_name (Ubuntu)</w:t>
      </w:r>
    </w:p>
    <w:p>
      <w:pPr>
        <w:pStyle w:val="Normal"/>
      </w:pPr>
      <w:r>
        <w:t>biff = no</w:t>
      </w:r>
    </w:p>
    <w:p>
      <w:pPr>
        <w:pStyle w:val="Normal"/>
      </w:pPr>
      <w:r>
        <w:t># appending .domain is the MUA's job.</w:t>
      </w:r>
    </w:p>
    <w:p>
      <w:pPr>
        <w:pStyle w:val="Normal"/>
      </w:pPr>
      <w:r>
        <w:t>append_dot_mydomain = no</w:t>
      </w:r>
    </w:p>
    <w:p>
      <w:pPr>
        <w:pStyle w:val="Normal"/>
      </w:pPr>
      <w:r>
        <w:t># Uncomment the next line to generate "delayed mail" warnings</w:t>
        <w:t xml:space="preserve"> </w:t>
        <w:t>#delay_warning_time = 4h</w:t>
      </w:r>
    </w:p>
    <w:p>
      <w:pPr>
        <w:pStyle w:val="Normal"/>
      </w:pPr>
      <w:r>
        <w:t>myhostname = server1.example.com</w:t>
      </w:r>
    </w:p>
    <w:p>
      <w:pPr>
        <w:pStyle w:val="Normal"/>
      </w:pPr>
      <w:r>
        <w:t>alias_maps = hash:/etc/aliases</w:t>
      </w:r>
    </w:p>
    <w:p>
      <w:pPr>
        <w:pStyle w:val="Normal"/>
      </w:pPr>
      <w:r>
        <w:t>alias_database = hash:/etc/aliases</w:t>
      </w:r>
    </w:p>
    <w:p>
      <w:pPr>
        <w:pStyle w:val="Normal"/>
      </w:pPr>
      <w:r>
        <w:t>myorigin = /etc/mailname</w:t>
      </w:r>
    </w:p>
    <w:p>
      <w:pPr>
        <w:pStyle w:val="Normal"/>
      </w:pPr>
      <w:r>
        <w:t>mydestination = server1.example.com, localhost.example.com, localhost</w:t>
        <w:t xml:space="preserve"> </w:t>
        <w:t>relayhost =</w:t>
      </w:r>
    </w:p>
    <w:p>
      <w:pPr>
        <w:pStyle w:val="Para 09"/>
      </w:pPr>
      <w:r>
        <w:t>(continues on next page)</w:t>
      </w:r>
    </w:p>
    <w:p>
      <w:bookmarkStart w:id="708" w:name="page_4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7" name="index-478_1.png" descr="index-478_1.png"/>
            <wp:cNvGraphicFramePr>
              <a:graphicFrameLocks noChangeAspect="1"/>
            </wp:cNvGraphicFramePr>
            <a:graphic>
              <a:graphicData uri="http://schemas.openxmlformats.org/drawingml/2006/picture">
                <pic:pic>
                  <pic:nvPicPr>
                    <pic:cNvPr id="0" name="index-478_1.png" descr="index-478_1.png"/>
                    <pic:cNvPicPr/>
                  </pic:nvPicPr>
                  <pic:blipFill>
                    <a:blip r:embed="rId491"/>
                    <a:stretch>
                      <a:fillRect/>
                    </a:stretch>
                  </pic:blipFill>
                  <pic:spPr>
                    <a:xfrm>
                      <a:off x="0" y="0"/>
                      <a:ext cx="914400" cy="266700"/>
                    </a:xfrm>
                    <a:prstGeom prst="rect">
                      <a:avLst/>
                    </a:prstGeom>
                  </pic:spPr>
                </pic:pic>
              </a:graphicData>
            </a:graphic>
          </wp:anchor>
        </w:drawing>
      </w:r>
      <w:bookmarkEnd w:id="708"/>
    </w:p>
    <w:p>
      <w:pPr>
        <w:pStyle w:val="Para 09"/>
      </w:pPr>
      <w:r>
        <w:t>(continued from previous page)</w:t>
      </w:r>
    </w:p>
    <w:p>
      <w:pPr>
        <w:pStyle w:val="Normal"/>
      </w:pPr>
      <w:r>
        <w:t>mynetworks = 127.0.0.0/8</w:t>
      </w:r>
    </w:p>
    <w:p>
      <w:pPr>
        <w:pStyle w:val="Normal"/>
      </w:pPr>
      <w:r>
        <w:t>mailbox_command = procmail -a "$EXTENSION"</w:t>
      </w:r>
    </w:p>
    <w:p>
      <w:pPr>
        <w:pStyle w:val="Normal"/>
      </w:pPr>
      <w:r>
        <w:t>mailbox_size_limit = 0</w:t>
      </w:r>
    </w:p>
    <w:p>
      <w:pPr>
        <w:pStyle w:val="Normal"/>
      </w:pPr>
      <w:r>
        <w:t>recipient_delimiter = +</w:t>
      </w:r>
    </w:p>
    <w:p>
      <w:pPr>
        <w:pStyle w:val="Normal"/>
      </w:pPr>
      <w:r>
        <w:t>inet_interfaces = all</w:t>
      </w:r>
    </w:p>
    <w:p>
      <w:pPr>
        <w:pStyle w:val="Normal"/>
      </w:pPr>
      <w:r>
        <w:t>smtpd_sasl_local_domain =</w:t>
      </w:r>
    </w:p>
    <w:p>
      <w:pPr>
        <w:pStyle w:val="Normal"/>
      </w:pPr>
      <w:r>
        <w:t>smtpd_sasl_auth_enable = yes</w:t>
      </w:r>
    </w:p>
    <w:p>
      <w:pPr>
        <w:pStyle w:val="Normal"/>
      </w:pPr>
      <w:r>
        <w:t>smtpd_sasl_security_options = noanonymous</w:t>
      </w:r>
    </w:p>
    <w:p>
      <w:pPr>
        <w:pStyle w:val="Normal"/>
      </w:pPr>
      <w:r>
        <w:t>broken_sasl_auth_clients = yes</w:t>
      </w:r>
    </w:p>
    <w:p>
      <w:pPr>
        <w:pStyle w:val="Normal"/>
      </w:pPr>
      <w:r>
        <w:t>smtpd_recipient_restrictions =</w:t>
      </w:r>
    </w:p>
    <w:p>
      <w:pPr>
        <w:pStyle w:val="Normal"/>
      </w:pPr>
      <w:r>
        <w:t>permit_sasl_authenticated,permit_mynetworks,reject _unauth_destination</w:t>
        <w:t xml:space="preserve"> </w:t>
        <w:t>smtpd_tls_auth_only = no</w:t>
      </w:r>
    </w:p>
    <w:p>
      <w:pPr>
        <w:pStyle w:val="Normal"/>
      </w:pPr>
      <w:r>
        <w:t>smtp_tls_security_level = may</w:t>
      </w:r>
    </w:p>
    <w:p>
      <w:pPr>
        <w:pStyle w:val="Normal"/>
      </w:pPr>
      <w:r>
        <w:t>smtpd_tls_security_level = may</w:t>
      </w:r>
    </w:p>
    <w:p>
      <w:pPr>
        <w:pStyle w:val="Normal"/>
      </w:pPr>
      <w:r>
        <w:t>smtp_tls_note_starttls_offer = yes</w:t>
      </w:r>
    </w:p>
    <w:p>
      <w:pPr>
        <w:pStyle w:val="Normal"/>
      </w:pPr>
      <w:r>
        <w:t>smtpd_tls_key_file = /etc/ssl/private/smtpd.key</w:t>
      </w:r>
    </w:p>
    <w:p>
      <w:pPr>
        <w:pStyle w:val="Normal"/>
      </w:pPr>
      <w:r>
        <w:t>smtpd_tls_cert_file = /etc/ssl/certs/smtpd.crt</w:t>
      </w:r>
    </w:p>
    <w:p>
      <w:pPr>
        <w:pStyle w:val="Normal"/>
      </w:pPr>
      <w:r>
        <w:t>smtpd_tls_CAfile = /etc/ssl/certs/cacert.pem</w:t>
      </w:r>
    </w:p>
    <w:p>
      <w:pPr>
        <w:pStyle w:val="Normal"/>
      </w:pPr>
      <w:r>
        <w:t>smtpd_tls_loglevel = 1</w:t>
      </w:r>
    </w:p>
    <w:p>
      <w:pPr>
        <w:pStyle w:val="Normal"/>
      </w:pPr>
      <w:r>
        <w:t>smtpd_tls_received_header = yes</w:t>
      </w:r>
    </w:p>
    <w:p>
      <w:pPr>
        <w:pStyle w:val="Normal"/>
      </w:pPr>
      <w:r>
        <w:t>smtpd_tls_session_cache_timeout = 3600s</w:t>
      </w:r>
    </w:p>
    <w:p>
      <w:pPr>
        <w:pStyle w:val="Normal"/>
      </w:pPr>
      <w:r>
        <w:t>tls_random_source = dev:/dev/urandom</w:t>
      </w:r>
    </w:p>
    <w:p>
      <w:pPr>
        <w:pStyle w:val="Para 17"/>
      </w:pPr>
      <w:r>
        <w:t/>
      </w:r>
    </w:p>
    <w:p>
      <w:pPr>
        <w:pStyle w:val="Normal"/>
      </w:pPr>
      <w:r>
        <w:t>The Postfix initial configuration is now complete. Run the following command to restart the Postfix daemon:</w:t>
      </w:r>
    </w:p>
    <w:p>
      <w:pPr>
        <w:pStyle w:val="Normal"/>
      </w:pPr>
      <w:r>
        <w:t>sudo systemctl restart postfix.service</w:t>
      </w:r>
    </w:p>
    <w:p>
      <w:pPr>
        <w:pStyle w:val="Para 17"/>
      </w:pPr>
      <w:r>
        <w:t/>
      </w:r>
    </w:p>
    <w:p>
      <w:pPr>
        <w:pStyle w:val="Para 01"/>
      </w:pPr>
      <w:r>
        <w:t>SASL</w:t>
      </w:r>
    </w:p>
    <w:p>
      <w:pPr>
        <w:pStyle w:val="Para 17"/>
      </w:pPr>
      <w:r>
        <w:t/>
      </w:r>
    </w:p>
    <w:p>
      <w:pPr>
        <w:pStyle w:val="Normal"/>
      </w:pPr>
      <w:r>
        <w:t xml:space="preserve">Postfix supports SMTP-AUTH as defined in </w:t>
      </w:r>
      <w:hyperlink r:id="rId1396">
        <w:r>
          <w:rPr>
            <w:rStyle w:val="Text9"/>
          </w:rPr>
          <w:t>441</w:t>
        </w:r>
      </w:hyperlink>
      <w:r>
        <w:t xml:space="preserve"> </w:t>
      </w:r>
      <w:hyperlink r:id="rId1397">
        <w:r>
          <w:rPr>
            <w:rStyle w:val="Text9"/>
          </w:rPr>
          <w:t>442</w:t>
        </w:r>
      </w:hyperlink>
      <w:hyperlink r:id="rId1397">
        <w:r>
          <w:rPr>
            <w:rStyle w:val="Text1"/>
          </w:rPr>
          <w:t xml:space="preserve"> RFC2554</w:t>
        </w:r>
      </w:hyperlink>
      <w:r>
        <w:t xml:space="preserve"> . It is based on </w:t>
      </w:r>
      <w:hyperlink r:id="rId1397">
        <w:r>
          <w:rPr>
            <w:rStyle w:val="Text1"/>
          </w:rPr>
          <w:t>SASL</w:t>
        </w:r>
      </w:hyperlink>
      <w:r>
        <w:t>. However it is still necessary to set up SASL authentication before you can use SMTP-AUTH.</w:t>
      </w:r>
    </w:p>
    <w:p>
      <w:pPr>
        <w:pStyle w:val="Normal"/>
      </w:pPr>
      <w:r>
        <w:t>When using IPv6, the mynetworks parameter may need to be modified to allow IPv6 addresses, for example:</w:t>
      </w:r>
    </w:p>
    <w:p>
      <w:pPr>
        <w:pStyle w:val="Normal"/>
      </w:pPr>
      <w:r>
        <w:t>mynetworks = 127.0.0.0/8, [::1]/128</w:t>
      </w:r>
    </w:p>
    <w:p>
      <w:pPr>
        <w:pStyle w:val="Para 17"/>
      </w:pPr>
      <w:r>
        <w:t/>
      </w:r>
    </w:p>
    <w:p>
      <w:pPr>
        <w:pStyle w:val="Para 01"/>
      </w:pPr>
      <w:r>
        <w:t>Configure SASL</w:t>
      </w:r>
    </w:p>
    <w:p>
      <w:pPr>
        <w:pStyle w:val="Para 17"/>
      </w:pPr>
      <w:r>
        <w:t/>
      </w:r>
    </w:p>
    <w:p>
      <w:pPr>
        <w:pStyle w:val="Normal"/>
      </w:pPr>
      <w:r>
        <w:t xml:space="preserve">Postfix supports two SASL implementations: </w:t>
      </w:r>
      <w:r>
        <w:rPr>
          <w:rStyle w:val="Text0"/>
        </w:rPr>
        <w:t>Cyrus SASL</w:t>
      </w:r>
      <w:r>
        <w:t xml:space="preserve"> and </w:t>
      </w:r>
      <w:r>
        <w:rPr>
          <w:rStyle w:val="Text0"/>
        </w:rPr>
        <w:t>Dovecot SASL</w:t>
      </w:r>
      <w:r>
        <w:t>.</w:t>
      </w:r>
    </w:p>
    <w:p>
      <w:pPr>
        <w:pStyle w:val="Normal"/>
      </w:pPr>
      <w:r>
        <w:t>To enable Dovecot SASL the dovecot-core package will need to be installed:</w:t>
      </w:r>
    </w:p>
    <w:p>
      <w:pPr>
        <w:pStyle w:val="Normal"/>
      </w:pPr>
      <w:r>
        <w:t>sudo apt install dovecot-core</w:t>
      </w:r>
    </w:p>
    <w:p>
      <w:pPr>
        <w:pStyle w:val="Para 17"/>
      </w:pPr>
      <w:r>
        <w:t/>
      </w:r>
    </w:p>
    <w:p>
      <w:pPr>
        <w:pStyle w:val="Normal"/>
      </w:pPr>
      <w:r>
        <w:t>Next, edit /etc/dovecot/conf.d/10-master.conf and change the following:</w:t>
      </w:r>
    </w:p>
    <w:p>
      <w:pPr>
        <w:pStyle w:val="Para 17"/>
      </w:pPr>
      <w:r>
        <w:t/>
      </w:r>
    </w:p>
    <w:p>
      <w:pPr>
        <w:pStyle w:val="Para 05"/>
      </w:pPr>
      <w:r>
        <w:rPr>
          <w:rStyle w:val="Text5"/>
        </w:rPr>
        <w:t>441</w:t>
      </w:r>
      <w:r>
        <w:rPr>
          <w:rStyle w:val="Text8"/>
        </w:rPr>
        <w:t xml:space="preserve"> </w:t>
      </w:r>
      <w:r>
        <w:t>https://www.ietf.org/rfc/rfc2554.txt</w:t>
      </w:r>
    </w:p>
    <w:p>
      <w:pPr>
        <w:pStyle w:val="Para 05"/>
      </w:pPr>
      <w:r>
        <w:rPr>
          <w:rStyle w:val="Text5"/>
        </w:rPr>
        <w:t>442</w:t>
      </w:r>
      <w:r>
        <w:rPr>
          <w:rStyle w:val="Text8"/>
        </w:rPr>
        <w:t xml:space="preserve"> </w:t>
      </w:r>
      <w:r>
        <w:t>https://www.ietf.org/rfc/rfc2222.txt</w:t>
      </w:r>
    </w:p>
    <w:p>
      <w:bookmarkStart w:id="709" w:name="page_4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8" name="index-479_1.png" descr="index-479_1.png"/>
            <wp:cNvGraphicFramePr>
              <a:graphicFrameLocks noChangeAspect="1"/>
            </wp:cNvGraphicFramePr>
            <a:graphic>
              <a:graphicData uri="http://schemas.openxmlformats.org/drawingml/2006/picture">
                <pic:pic>
                  <pic:nvPicPr>
                    <pic:cNvPr id="0" name="index-479_1.png" descr="index-479_1.png"/>
                    <pic:cNvPicPr/>
                  </pic:nvPicPr>
                  <pic:blipFill>
                    <a:blip r:embed="rId492"/>
                    <a:stretch>
                      <a:fillRect/>
                    </a:stretch>
                  </pic:blipFill>
                  <pic:spPr>
                    <a:xfrm>
                      <a:off x="0" y="0"/>
                      <a:ext cx="914400" cy="266700"/>
                    </a:xfrm>
                    <a:prstGeom prst="rect">
                      <a:avLst/>
                    </a:prstGeom>
                  </pic:spPr>
                </pic:pic>
              </a:graphicData>
            </a:graphic>
          </wp:anchor>
        </w:drawing>
      </w:r>
      <w:bookmarkEnd w:id="709"/>
    </w:p>
    <w:p>
      <w:pPr>
        <w:pStyle w:val="Normal"/>
      </w:pPr>
      <w:r>
        <w:t>service auth {</w:t>
      </w:r>
    </w:p>
    <w:p>
      <w:pPr>
        <w:pStyle w:val="Para 03"/>
      </w:pPr>
      <w:r>
        <w:t># auth_socket_path points to this userdb socket by default. It's typically</w:t>
      </w:r>
    </w:p>
    <w:p>
      <w:pPr>
        <w:pStyle w:val="Para 03"/>
      </w:pPr>
      <w:r>
        <w:t># used by dovecot-lda, doveadm, possibly imap process, etc. Its default</w:t>
      </w:r>
    </w:p>
    <w:p>
      <w:pPr>
        <w:pStyle w:val="Para 03"/>
      </w:pPr>
      <w:r>
        <w:t># permissions make it readable only by root, but you may need to relax these</w:t>
      </w:r>
    </w:p>
    <w:p>
      <w:pPr>
        <w:pStyle w:val="Para 03"/>
      </w:pPr>
      <w:r>
        <w:t># permissions. Users that have access to this socket are able to get a list</w:t>
      </w:r>
    </w:p>
    <w:p>
      <w:pPr>
        <w:pStyle w:val="Para 03"/>
      </w:pPr>
      <w:r>
        <w:t># of all usernames and get results of everyone's userdb lookups.</w:t>
      </w:r>
    </w:p>
    <w:p>
      <w:pPr>
        <w:pStyle w:val="Para 03"/>
      </w:pPr>
      <w:r>
        <w:t>unix_listener auth-userdb {</w:t>
      </w:r>
    </w:p>
    <w:p>
      <w:pPr>
        <w:pStyle w:val="Para 02"/>
      </w:pPr>
      <w:r>
        <w:t>#mode = 0600</w:t>
      </w:r>
    </w:p>
    <w:p>
      <w:pPr>
        <w:pStyle w:val="Para 02"/>
      </w:pPr>
      <w:r>
        <w:t>#user =</w:t>
      </w:r>
    </w:p>
    <w:p>
      <w:pPr>
        <w:pStyle w:val="Para 02"/>
      </w:pPr>
      <w:r>
        <w:t>#group =</w:t>
      </w:r>
    </w:p>
    <w:p>
      <w:pPr>
        <w:pStyle w:val="Para 03"/>
      </w:pPr>
      <w:r>
        <w:t>}</w:t>
      </w:r>
    </w:p>
    <w:p>
      <w:pPr>
        <w:pStyle w:val="Para 03"/>
      </w:pPr>
      <w:r>
        <w:t># Postfix smtp-auth</w:t>
      </w:r>
    </w:p>
    <w:p>
      <w:pPr>
        <w:pStyle w:val="Para 03"/>
      </w:pPr>
      <w:r>
        <w:t>unix_listener /var/spool/postfix/private/auth {</w:t>
      </w:r>
    </w:p>
    <w:p>
      <w:pPr>
        <w:pStyle w:val="Para 02"/>
      </w:pPr>
      <w:r>
        <w:t>mode = 0660</w:t>
      </w:r>
    </w:p>
    <w:p>
      <w:pPr>
        <w:pStyle w:val="Para 02"/>
      </w:pPr>
      <w:r>
        <w:t>user = postfix</w:t>
      </w:r>
    </w:p>
    <w:p>
      <w:pPr>
        <w:pStyle w:val="Para 02"/>
      </w:pPr>
      <w:r>
        <w:t>group = postfix</w:t>
      </w:r>
    </w:p>
    <w:p>
      <w:pPr>
        <w:pStyle w:val="Para 03"/>
      </w:pPr>
      <w:r>
        <w:t>}</w:t>
      </w:r>
    </w:p>
    <w:p>
      <w:pPr>
        <w:pStyle w:val="Normal"/>
      </w:pPr>
      <w:r>
        <w:t>}</w:t>
      </w:r>
    </w:p>
    <w:p>
      <w:pPr>
        <w:pStyle w:val="Para 17"/>
      </w:pPr>
      <w:r>
        <w:t/>
      </w:r>
    </w:p>
    <w:p>
      <w:pPr>
        <w:pStyle w:val="Normal"/>
      </w:pPr>
      <w:r>
        <w:t xml:space="preserve">To permit use of SMTP-AUTH by Outlook clients, change the following line in the </w:t>
      </w:r>
      <w:r>
        <w:rPr>
          <w:rStyle w:val="Text0"/>
        </w:rPr>
        <w:t>authenti-cation mechanisms</w:t>
      </w:r>
      <w:r>
        <w:t xml:space="preserve"> section of /etc/dovecot/conf.d/10-auth.conf from:</w:t>
      </w:r>
    </w:p>
    <w:p>
      <w:pPr>
        <w:pStyle w:val="Normal"/>
      </w:pPr>
      <w:r>
        <w:t>auth_mechanisms = plain</w:t>
      </w:r>
    </w:p>
    <w:p>
      <w:pPr>
        <w:pStyle w:val="Para 17"/>
      </w:pPr>
      <w:r>
        <w:t/>
      </w:r>
    </w:p>
    <w:p>
      <w:pPr>
        <w:pStyle w:val="Normal"/>
      </w:pPr>
      <w:r>
        <w:t>to this:</w:t>
      </w:r>
    </w:p>
    <w:p>
      <w:pPr>
        <w:pStyle w:val="Normal"/>
      </w:pPr>
      <w:r>
        <w:t>auth_mechanisms = plain login</w:t>
      </w:r>
    </w:p>
    <w:p>
      <w:pPr>
        <w:pStyle w:val="Para 17"/>
      </w:pPr>
      <w:r>
        <w:t/>
      </w:r>
    </w:p>
    <w:p>
      <w:pPr>
        <w:pStyle w:val="Normal"/>
      </w:pPr>
      <w:r>
        <w:t>Once you have configured Dovecot, restart it with:</w:t>
      </w:r>
    </w:p>
    <w:p>
      <w:pPr>
        <w:pStyle w:val="Normal"/>
      </w:pPr>
      <w:r>
        <w:t>sudo systemctl restart dovecot.service</w:t>
      </w:r>
    </w:p>
    <w:p>
      <w:pPr>
        <w:pStyle w:val="Para 17"/>
      </w:pPr>
      <w:r>
        <w:t/>
      </w:r>
    </w:p>
    <w:p>
      <w:pPr>
        <w:pStyle w:val="Para 01"/>
      </w:pPr>
      <w:r>
        <w:t>Test your setup</w:t>
      </w:r>
    </w:p>
    <w:p>
      <w:pPr>
        <w:pStyle w:val="Para 17"/>
      </w:pPr>
      <w:r>
        <w:t/>
      </w:r>
    </w:p>
    <w:p>
      <w:pPr>
        <w:pStyle w:val="Normal"/>
      </w:pPr>
      <w:r>
        <w:t>SMTP-AUTH configuration is complete – now it is time to test the setup. To see if SMTP-AUTH and TLS work properly, run the following command:</w:t>
      </w:r>
    </w:p>
    <w:p>
      <w:pPr>
        <w:pStyle w:val="Normal"/>
      </w:pPr>
      <w:r>
        <w:t>telnet mail.example.com</w:t>
        <w:t xml:space="preserve"> </w:t>
        <w:t>25</w:t>
      </w:r>
    </w:p>
    <w:p>
      <w:pPr>
        <w:pStyle w:val="Para 17"/>
      </w:pPr>
      <w:r>
        <w:t/>
      </w:r>
    </w:p>
    <w:p>
      <w:pPr>
        <w:pStyle w:val="Normal"/>
      </w:pPr>
      <w:r>
        <w:t>After you have established the connection to the Postfix mail server, type:</w:t>
      </w:r>
    </w:p>
    <w:p>
      <w:pPr>
        <w:pStyle w:val="Normal"/>
      </w:pPr>
      <w:r>
        <w:t>ehlo mail.example.com</w:t>
      </w:r>
    </w:p>
    <w:p>
      <w:pPr>
        <w:pStyle w:val="Para 17"/>
      </w:pPr>
      <w:r>
        <w:t/>
      </w:r>
    </w:p>
    <w:p>
      <w:pPr>
        <w:pStyle w:val="Normal"/>
      </w:pPr>
      <w:r>
        <w:t>If you see the following in the output, then everything is working perfectly. Type quit to exit.</w:t>
      </w:r>
    </w:p>
    <w:p>
      <w:pPr>
        <w:pStyle w:val="Normal"/>
      </w:pPr>
      <w:r>
        <w:t>250-STARTTLS</w:t>
      </w:r>
    </w:p>
    <w:p>
      <w:pPr>
        <w:pStyle w:val="Normal"/>
      </w:pPr>
      <w:r>
        <w:t>250-AUTH LOGIN PLAIN</w:t>
      </w:r>
    </w:p>
    <w:p>
      <w:pPr>
        <w:pStyle w:val="Normal"/>
      </w:pPr>
      <w:r>
        <w:t>250-AUTH=LOGIN PLAIN</w:t>
      </w:r>
    </w:p>
    <w:p>
      <w:pPr>
        <w:pStyle w:val="Normal"/>
      </w:pPr>
      <w:r>
        <w:t>250 8BITMIME</w:t>
      </w:r>
    </w:p>
    <w:p>
      <w:bookmarkStart w:id="710" w:name="page_4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89" name="index-480_1.png" descr="index-480_1.png"/>
            <wp:cNvGraphicFramePr>
              <a:graphicFrameLocks noChangeAspect="1"/>
            </wp:cNvGraphicFramePr>
            <a:graphic>
              <a:graphicData uri="http://schemas.openxmlformats.org/drawingml/2006/picture">
                <pic:pic>
                  <pic:nvPicPr>
                    <pic:cNvPr id="0" name="index-480_1.png" descr="index-480_1.png"/>
                    <pic:cNvPicPr/>
                  </pic:nvPicPr>
                  <pic:blipFill>
                    <a:blip r:embed="rId493"/>
                    <a:stretch>
                      <a:fillRect/>
                    </a:stretch>
                  </pic:blipFill>
                  <pic:spPr>
                    <a:xfrm>
                      <a:off x="0" y="0"/>
                      <a:ext cx="914400" cy="266700"/>
                    </a:xfrm>
                    <a:prstGeom prst="rect">
                      <a:avLst/>
                    </a:prstGeom>
                  </pic:spPr>
                </pic:pic>
              </a:graphicData>
            </a:graphic>
          </wp:anchor>
        </w:drawing>
      </w:r>
      <w:bookmarkEnd w:id="710"/>
    </w:p>
    <w:p>
      <w:pPr>
        <w:pStyle w:val="Para 01"/>
      </w:pPr>
      <w:r>
        <w:t>Troubleshooting</w:t>
      </w:r>
    </w:p>
    <w:p>
      <w:pPr>
        <w:pStyle w:val="Para 17"/>
      </w:pPr>
      <w:r>
        <w:t/>
      </w:r>
    </w:p>
    <w:p>
      <w:pPr>
        <w:pStyle w:val="Normal"/>
      </w:pPr>
      <w:r>
        <w:t>When problems arise, there are a few common ways to diagnose the cause.</w:t>
      </w:r>
    </w:p>
    <w:p>
      <w:pPr>
        <w:pStyle w:val="Para 17"/>
      </w:pPr>
      <w:r>
        <w:t/>
      </w:r>
    </w:p>
    <w:p>
      <w:pPr>
        <w:pStyle w:val="Para 01"/>
      </w:pPr>
      <w:r>
        <w:t>Escaping chroot</w:t>
      </w:r>
    </w:p>
    <w:p>
      <w:pPr>
        <w:pStyle w:val="Para 17"/>
      </w:pPr>
      <w:r>
        <w:t/>
      </w:r>
    </w:p>
    <w:p>
      <w:pPr>
        <w:pStyle w:val="Normal"/>
      </w:pPr>
      <w:r>
        <w:t>The Ubuntu Postfix package will, by default, install into a chroot environment for security reasons. This can add greater complexity when troubleshooting problems.</w:t>
      </w:r>
    </w:p>
    <w:p>
      <w:pPr>
        <w:pStyle w:val="Normal"/>
      </w:pPr>
      <w:r>
        <w:t>To turn off the chroot usage, locate the following line in the /etc/postfix/master.cf config-uration file:</w:t>
      </w:r>
    </w:p>
    <w:p>
      <w:pPr>
        <w:pStyle w:val="Normal"/>
      </w:pPr>
      <w:r>
        <w:t>smtp</w:t>
        <w:t xml:space="preserve"> </w:t>
        <w:t>inet</w:t>
        <w:t xml:space="preserve"> </w:t>
        <w:t>n</w:t>
        <w:t xml:space="preserve"> </w:t>
        <w:t>-</w:t>
        <w:t xml:space="preserve"> </w:t>
        <w:t>-</w:t>
        <w:t xml:space="preserve"> </w:t>
        <w:t>-</w:t>
        <w:t xml:space="preserve"> </w:t>
        <w:t>-</w:t>
        <w:t xml:space="preserve"> </w:t>
        <w:t>smtpd</w:t>
      </w:r>
    </w:p>
    <w:p>
      <w:pPr>
        <w:pStyle w:val="Para 17"/>
      </w:pPr>
      <w:r>
        <w:t/>
      </w:r>
    </w:p>
    <w:p>
      <w:pPr>
        <w:pStyle w:val="Normal"/>
      </w:pPr>
      <w:r>
        <w:t>Modify it as follows:</w:t>
      </w:r>
    </w:p>
    <w:p>
      <w:pPr>
        <w:pStyle w:val="Normal"/>
      </w:pPr>
      <w:r>
        <w:t>smtp</w:t>
        <w:t xml:space="preserve"> </w:t>
        <w:t>inet</w:t>
        <w:t xml:space="preserve"> </w:t>
        <w:t>n</w:t>
        <w:t xml:space="preserve"> </w:t>
        <w:t>-</w:t>
        <w:t xml:space="preserve"> </w:t>
        <w:t>n</w:t>
        <w:t xml:space="preserve"> </w:t>
        <w:t>-</w:t>
        <w:t xml:space="preserve"> </w:t>
        <w:t>-</w:t>
        <w:t xml:space="preserve"> </w:t>
        <w:t>smtpd</w:t>
      </w:r>
    </w:p>
    <w:p>
      <w:pPr>
        <w:pStyle w:val="Para 17"/>
      </w:pPr>
      <w:r>
        <w:t/>
      </w:r>
    </w:p>
    <w:p>
      <w:pPr>
        <w:pStyle w:val="Normal"/>
      </w:pPr>
      <w:r>
        <w:t>You will then need to restart Postfix to use the new configuration. From a terminal prompt enter:</w:t>
      </w:r>
    </w:p>
    <w:p>
      <w:pPr>
        <w:pStyle w:val="Normal"/>
      </w:pPr>
      <w:r>
        <w:t>sudo service postfix restart</w:t>
      </w:r>
    </w:p>
    <w:p>
      <w:pPr>
        <w:pStyle w:val="Para 17"/>
      </w:pPr>
      <w:r>
        <w:t/>
      </w:r>
    </w:p>
    <w:p>
      <w:pPr>
        <w:pStyle w:val="Para 01"/>
      </w:pPr>
      <w:r>
        <w:t>SMTPS</w:t>
      </w:r>
    </w:p>
    <w:p>
      <w:pPr>
        <w:pStyle w:val="Para 17"/>
      </w:pPr>
      <w:r>
        <w:t/>
      </w:r>
    </w:p>
    <w:p>
      <w:pPr>
        <w:pStyle w:val="Normal"/>
      </w:pPr>
      <w:r>
        <w:t>If you need secure SMTP, edit /etc/postfix/master.cf and uncomment the following line:</w:t>
      </w:r>
    </w:p>
    <w:p>
      <w:pPr>
        <w:pStyle w:val="Normal"/>
      </w:pPr>
      <w:r>
        <w:t>smtps</w:t>
        <w:t xml:space="preserve"> </w:t>
        <w:t>inet</w:t>
        <w:t xml:space="preserve"> </w:t>
        <w:t>n</w:t>
        <w:t xml:space="preserve"> </w:t>
        <w:t>-</w:t>
        <w:t xml:space="preserve"> </w:t>
        <w:t>-</w:t>
        <w:t xml:space="preserve"> </w:t>
        <w:t>-</w:t>
        <w:t xml:space="preserve"> </w:t>
        <w:t>-</w:t>
        <w:t xml:space="preserve"> </w:t>
        <w:t>smtpd</w:t>
      </w:r>
    </w:p>
    <w:p>
      <w:pPr>
        <w:pStyle w:val="Para 03"/>
      </w:pPr>
      <w:r>
        <w:t>-o smtpd_tls_wrappermode=yes</w:t>
      </w:r>
    </w:p>
    <w:p>
      <w:pPr>
        <w:pStyle w:val="Para 03"/>
      </w:pPr>
      <w:r>
        <w:t>-o smtpd_sasl_auth_enable=yes</w:t>
      </w:r>
    </w:p>
    <w:p>
      <w:pPr>
        <w:pStyle w:val="Para 03"/>
      </w:pPr>
      <w:r>
        <w:t>-o smtpd_client_restrictions=permit_sasl_authenticated,reject</w:t>
      </w:r>
    </w:p>
    <w:p>
      <w:pPr>
        <w:pStyle w:val="Para 03"/>
      </w:pPr>
      <w:r>
        <w:t>-o milter_macro_daemon_name=ORIGINATING</w:t>
      </w:r>
    </w:p>
    <w:p>
      <w:pPr>
        <w:pStyle w:val="Para 17"/>
      </w:pPr>
      <w:r>
        <w:t/>
      </w:r>
    </w:p>
    <w:p>
      <w:pPr>
        <w:pStyle w:val="Para 01"/>
      </w:pPr>
      <w:r>
        <w:t>Log viewing</w:t>
      </w:r>
    </w:p>
    <w:p>
      <w:pPr>
        <w:pStyle w:val="Para 17"/>
      </w:pPr>
      <w:r>
        <w:t/>
      </w:r>
    </w:p>
    <w:p>
      <w:pPr>
        <w:pStyle w:val="Normal"/>
      </w:pPr>
      <w:r>
        <w:t>Postfix sends all log messages to /var/log/mail.log. However, error and warning messages can sometimes get lost in the normal log output so they are also logged to /var/log/mail.err and /var/log/mail.warn respectively.</w:t>
      </w:r>
    </w:p>
    <w:p>
      <w:pPr>
        <w:pStyle w:val="Normal"/>
      </w:pPr>
      <w:r>
        <w:t>To see messages entered into the logs in real time you can use the tail -f command:</w:t>
      </w:r>
    </w:p>
    <w:p>
      <w:pPr>
        <w:pStyle w:val="Normal"/>
      </w:pPr>
      <w:r>
        <w:t>tail -f /var/log/mail.err</w:t>
      </w:r>
    </w:p>
    <w:p>
      <w:bookmarkStart w:id="711" w:name="calibre_pb_115"/>
      <w:pPr>
        <w:pStyle w:val="0 Block"/>
      </w:pPr>
      <w:bookmarkEnd w:id="711"/>
    </w:p>
    <w:p>
      <w:bookmarkStart w:id="712" w:name="Top_of_index_split_116_html"/>
      <w:bookmarkStart w:id="713" w:name="page_48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0" name="index-481_1.png" descr="index-481_1.png"/>
            <wp:cNvGraphicFramePr>
              <a:graphicFrameLocks noChangeAspect="1"/>
            </wp:cNvGraphicFramePr>
            <a:graphic>
              <a:graphicData uri="http://schemas.openxmlformats.org/drawingml/2006/picture">
                <pic:pic>
                  <pic:nvPicPr>
                    <pic:cNvPr id="0" name="index-481_1.png" descr="index-481_1.png"/>
                    <pic:cNvPicPr/>
                  </pic:nvPicPr>
                  <pic:blipFill>
                    <a:blip r:embed="rId494"/>
                    <a:stretch>
                      <a:fillRect/>
                    </a:stretch>
                  </pic:blipFill>
                  <pic:spPr>
                    <a:xfrm>
                      <a:off x="0" y="0"/>
                      <a:ext cx="914400" cy="266700"/>
                    </a:xfrm>
                    <a:prstGeom prst="rect">
                      <a:avLst/>
                    </a:prstGeom>
                  </pic:spPr>
                </pic:pic>
              </a:graphicData>
            </a:graphic>
          </wp:anchor>
        </w:drawing>
      </w:r>
      <w:bookmarkEnd w:id="712"/>
      <w:bookmarkEnd w:id="713"/>
    </w:p>
    <w:p>
      <w:pPr>
        <w:pStyle w:val="Para 01"/>
      </w:pPr>
      <w:r>
        <w:t>Increase logging detail</w:t>
      </w:r>
    </w:p>
    <w:p>
      <w:pPr>
        <w:pStyle w:val="Para 17"/>
      </w:pPr>
      <w:r>
        <w:t/>
      </w:r>
    </w:p>
    <w:p>
      <w:pPr>
        <w:pStyle w:val="Normal"/>
      </w:pPr>
      <w:r>
        <w:t>The amount of detail recorded in the logs can be increased via the configuration options. For example, to increase TLS activity logging set the smtpd_tls_loglevel option to a value from 1 to 4.</w:t>
      </w:r>
    </w:p>
    <w:p>
      <w:pPr>
        <w:pStyle w:val="Normal"/>
      </w:pPr>
      <w:r>
        <w:t>sudo postconf -e</w:t>
        <w:t xml:space="preserve"> </w:t>
        <w:t>'smtpd_tls_loglevel = 4'</w:t>
      </w:r>
    </w:p>
    <w:p>
      <w:pPr>
        <w:pStyle w:val="Para 17"/>
      </w:pPr>
      <w:r>
        <w:t/>
      </w:r>
    </w:p>
    <w:p>
      <w:pPr>
        <w:pStyle w:val="Normal"/>
      </w:pPr>
      <w:r>
        <w:t>Reload the service after any configuration change, to activate the new config:</w:t>
      </w:r>
    </w:p>
    <w:p>
      <w:pPr>
        <w:pStyle w:val="Normal"/>
      </w:pPr>
      <w:r>
        <w:t>sudo systemctl reload postfix.service</w:t>
      </w:r>
    </w:p>
    <w:p>
      <w:pPr>
        <w:pStyle w:val="Para 17"/>
      </w:pPr>
      <w:r>
        <w:t/>
      </w:r>
    </w:p>
    <w:p>
      <w:pPr>
        <w:pStyle w:val="Para 01"/>
      </w:pPr>
      <w:r>
        <w:t>Logging mail delivery</w:t>
      </w:r>
    </w:p>
    <w:p>
      <w:pPr>
        <w:pStyle w:val="Para 17"/>
      </w:pPr>
      <w:r>
        <w:t/>
      </w:r>
    </w:p>
    <w:p>
      <w:pPr>
        <w:pStyle w:val="Normal"/>
      </w:pPr>
      <w:r>
        <w:t>If you are having trouble sending or receiving mail from a specific domain you can add the domain to the debug_peer_list parameter.</w:t>
      </w:r>
    </w:p>
    <w:p>
      <w:pPr>
        <w:pStyle w:val="Normal"/>
      </w:pPr>
      <w:r>
        <w:t>sudo postconf -e</w:t>
        <w:t xml:space="preserve"> </w:t>
        <w:t>'debug_peer_list = problem.domain'</w:t>
        <w:t xml:space="preserve"> </w:t>
        <w:t>sudo systemctl reload postfix.service</w:t>
      </w:r>
    </w:p>
    <w:p>
      <w:pPr>
        <w:pStyle w:val="Para 17"/>
      </w:pPr>
      <w:r>
        <w:t/>
      </w:r>
    </w:p>
    <w:p>
      <w:pPr>
        <w:pStyle w:val="Para 01"/>
      </w:pPr>
      <w:r>
        <w:t>Increase daemon verbosity</w:t>
      </w:r>
    </w:p>
    <w:p>
      <w:pPr>
        <w:pStyle w:val="Para 17"/>
      </w:pPr>
      <w:r>
        <w:t/>
      </w:r>
    </w:p>
    <w:p>
      <w:pPr>
        <w:pStyle w:val="Normal"/>
      </w:pPr>
      <w:r>
        <w:t>You can increase the verbosity of any Postfix daemon process by editing the /etc/postfix/ master.cf and adding a-v after the entry. For example, edit the smtp entry:</w:t>
      </w:r>
    </w:p>
    <w:p>
      <w:pPr>
        <w:pStyle w:val="Normal"/>
      </w:pPr>
      <w:r>
        <w:t>smtp</w:t>
        <w:t xml:space="preserve"> </w:t>
        <w:t>unix</w:t>
        <w:t>-</w:t>
        <w:t xml:space="preserve"> </w:t>
        <w:t>-</w:t>
        <w:t xml:space="preserve"> </w:t>
        <w:t>-</w:t>
        <w:t xml:space="preserve"> </w:t>
        <w:t>-</w:t>
        <w:t xml:space="preserve"> </w:t>
        <w:t>-</w:t>
        <w:t xml:space="preserve"> </w:t>
        <w:t>smtp -v</w:t>
      </w:r>
    </w:p>
    <w:p>
      <w:pPr>
        <w:pStyle w:val="Para 17"/>
      </w:pPr>
      <w:r>
        <w:t/>
      </w:r>
    </w:p>
    <w:p>
      <w:pPr>
        <w:pStyle w:val="Normal"/>
      </w:pPr>
      <w:r>
        <w:t>Then, reload the service as usual:</w:t>
      </w:r>
    </w:p>
    <w:p>
      <w:pPr>
        <w:pStyle w:val="Normal"/>
      </w:pPr>
      <w:r>
        <w:t>sudo systemctl reload postfix.service</w:t>
      </w:r>
    </w:p>
    <w:p>
      <w:pPr>
        <w:pStyle w:val="Para 17"/>
      </w:pPr>
      <w:r>
        <w:t/>
      </w:r>
    </w:p>
    <w:p>
      <w:pPr>
        <w:pStyle w:val="Para 01"/>
      </w:pPr>
      <w:r>
        <w:t>Log SASL debug info</w:t>
      </w:r>
    </w:p>
    <w:p>
      <w:pPr>
        <w:pStyle w:val="Para 17"/>
      </w:pPr>
      <w:r>
        <w:t/>
      </w:r>
    </w:p>
    <w:p>
      <w:pPr>
        <w:pStyle w:val="Normal"/>
      </w:pPr>
      <w:r>
        <w:t>To increase the amount of information logged when troubleshooting SASL issues you can set the following options in /etc/dovecot/conf.d/10-logging.conf</w:t>
      </w:r>
    </w:p>
    <w:p>
      <w:pPr>
        <w:pStyle w:val="Normal"/>
      </w:pPr>
      <w:r>
        <w:t>auth_debug</w:t>
        <w:t>=</w:t>
        <w:t>yes</w:t>
      </w:r>
    </w:p>
    <w:p>
      <w:pPr>
        <w:pStyle w:val="Normal"/>
      </w:pPr>
      <w:r>
        <w:t>auth_debug_passwords</w:t>
        <w:t>=</w:t>
        <w:t>yes</w:t>
      </w:r>
    </w:p>
    <w:p>
      <w:pPr>
        <w:pStyle w:val="Para 17"/>
      </w:pPr>
      <w:r>
        <w:t/>
      </w:r>
    </w:p>
    <w:p>
      <w:pPr>
        <w:pStyle w:val="Normal"/>
      </w:pPr>
      <w:r>
        <w:t>As with Postfix, if you change a Dovecot configuration the process will need to be reloaded:</w:t>
      </w:r>
    </w:p>
    <w:p>
      <w:pPr>
        <w:pStyle w:val="Normal"/>
      </w:pPr>
      <w:r>
        <w:t>sudo systemctl reload dovecot.service</w:t>
      </w:r>
    </w:p>
    <w:p>
      <w:pPr>
        <w:pStyle w:val="Para 17"/>
      </w:pPr>
      <w:r>
        <w:t/>
      </w:r>
    </w:p>
    <w:p>
      <w:pPr>
        <w:pStyle w:val="Para 08"/>
      </w:pPr>
      <w:r>
        <w:t>Note:</w:t>
      </w:r>
    </w:p>
    <w:p>
      <w:pPr>
        <w:pStyle w:val="Para 03"/>
      </w:pPr>
      <w:r>
        <w:t>Some of the options above can drastically increase the amount of information sent to the</w:t>
      </w:r>
    </w:p>
    <w:p>
      <w:pPr>
        <w:pStyle w:val="Para 03"/>
      </w:pPr>
      <w:r>
        <w:t>log files. Remember to return the log level back to normal after you have corrected the</w:t>
      </w:r>
    </w:p>
    <w:p>
      <w:pPr>
        <w:pStyle w:val="Para 03"/>
      </w:pPr>
      <w:r>
        <w:t xml:space="preserve">problem – then reload the appropriate daemon for the new configuration to take effect. </w:t>
      </w:r>
      <w:r>
        <w:rPr>
          <w:rStyle w:val="Text0"/>
        </w:rPr>
        <w:t>Further reading</w:t>
      </w:r>
    </w:p>
    <w:p>
      <w:bookmarkStart w:id="714" w:name="page_4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1" name="index-482_1.png" descr="index-482_1.png"/>
            <wp:cNvGraphicFramePr>
              <a:graphicFrameLocks noChangeAspect="1"/>
            </wp:cNvGraphicFramePr>
            <a:graphic>
              <a:graphicData uri="http://schemas.openxmlformats.org/drawingml/2006/picture">
                <pic:pic>
                  <pic:nvPicPr>
                    <pic:cNvPr id="0" name="index-482_1.png" descr="index-482_1.png"/>
                    <pic:cNvPicPr/>
                  </pic:nvPicPr>
                  <pic:blipFill>
                    <a:blip r:embed="rId495"/>
                    <a:stretch>
                      <a:fillRect/>
                    </a:stretch>
                  </pic:blipFill>
                  <pic:spPr>
                    <a:xfrm>
                      <a:off x="0" y="0"/>
                      <a:ext cx="914400" cy="266700"/>
                    </a:xfrm>
                    <a:prstGeom prst="rect">
                      <a:avLst/>
                    </a:prstGeom>
                  </pic:spPr>
                </pic:pic>
              </a:graphicData>
            </a:graphic>
          </wp:anchor>
        </w:drawing>
      </w:r>
      <w:bookmarkEnd w:id="714"/>
    </w:p>
    <w:p>
      <w:pPr>
        <w:pStyle w:val="Para 17"/>
      </w:pPr>
      <w:r>
        <w:t/>
      </w:r>
    </w:p>
    <w:p>
      <w:pPr>
        <w:pStyle w:val="Normal"/>
      </w:pPr>
      <w:r>
        <w:t>Administering a Postfix server can be a very complicated task. At some point you may need to turn to the Ubuntu community for more experienced help.</w:t>
      </w:r>
    </w:p>
    <w:p>
      <w:pPr>
        <w:pStyle w:val="Para 04"/>
      </w:pPr>
      <w:r>
        <w:t xml:space="preserve">• The </w:t>
      </w:r>
      <w:hyperlink r:id="rId1398">
        <w:r>
          <w:rPr>
            <w:rStyle w:val="Text9"/>
          </w:rPr>
          <w:t>443</w:t>
        </w:r>
      </w:hyperlink>
      <w:hyperlink r:id="rId1398">
        <w:r>
          <w:rPr>
            <w:rStyle w:val="Text1"/>
          </w:rPr>
          <w:t xml:space="preserve"> Postfix website</w:t>
        </w:r>
      </w:hyperlink>
      <w:r>
        <w:t xml:space="preserve"> documents all available configuration options.</w:t>
      </w:r>
    </w:p>
    <w:p>
      <w:pPr>
        <w:pStyle w:val="Para 04"/>
      </w:pPr>
      <w:r>
        <w:t xml:space="preserve">• O’Reilly’s </w:t>
      </w:r>
      <w:hyperlink w:anchor="page_482">
        <w:r>
          <w:rPr>
            <w:rStyle w:val="Text9"/>
          </w:rPr>
          <w:t>444</w:t>
        </w:r>
      </w:hyperlink>
      <w:r>
        <w:t xml:space="preserve"> </w:t>
      </w:r>
      <w:hyperlink r:id="rId1399">
        <w:r>
          <w:rPr>
            <w:rStyle w:val="Text1"/>
          </w:rPr>
          <w:t>Postfix: The Definitive Guide</w:t>
        </w:r>
      </w:hyperlink>
      <w:r>
        <w:t xml:space="preserve"> is rather dated but provides deep background</w:t>
      </w:r>
    </w:p>
    <w:p>
      <w:pPr>
        <w:pStyle w:val="Para 02"/>
      </w:pPr>
      <w:r>
        <w:t>information about configuration options.</w:t>
      </w:r>
    </w:p>
    <w:p>
      <w:pPr>
        <w:pStyle w:val="Para 04"/>
      </w:pPr>
      <w:r>
        <w:t xml:space="preserve">• The </w:t>
      </w:r>
      <w:hyperlink r:id="rId1400">
        <w:r>
          <w:rPr>
            <w:rStyle w:val="Text9"/>
          </w:rPr>
          <w:t>445</w:t>
        </w:r>
      </w:hyperlink>
      <w:hyperlink r:id="rId1400">
        <w:r>
          <w:rPr>
            <w:rStyle w:val="Text1"/>
          </w:rPr>
          <w:t xml:space="preserve"> Ubuntu Wiki Postfix</w:t>
        </w:r>
      </w:hyperlink>
      <w:r>
        <w:t xml:space="preserve"> page has more information from an Ubuntu context.</w:t>
      </w:r>
    </w:p>
    <w:p>
      <w:pPr>
        <w:pStyle w:val="Para 04"/>
      </w:pPr>
      <w:r>
        <w:t xml:space="preserve">• There is also a </w:t>
      </w:r>
      <w:hyperlink w:anchor="page_482">
        <w:r>
          <w:rPr>
            <w:rStyle w:val="Text9"/>
          </w:rPr>
          <w:t>446</w:t>
        </w:r>
      </w:hyperlink>
      <w:r>
        <w:t xml:space="preserve"> </w:t>
      </w:r>
      <w:hyperlink r:id="rId1401">
        <w:r>
          <w:rPr>
            <w:rStyle w:val="Text1"/>
          </w:rPr>
          <w:t>Debian Wiki Postfix</w:t>
        </w:r>
      </w:hyperlink>
      <w:r>
        <w:t xml:space="preserve"> page that’s a bit more up to date; they also have</w:t>
      </w:r>
    </w:p>
    <w:p>
      <w:pPr>
        <w:pStyle w:val="Para 02"/>
      </w:pPr>
      <w:r>
        <w:t xml:space="preserve">a set of </w:t>
      </w:r>
      <w:hyperlink w:anchor="page_482">
        <w:r>
          <w:rPr>
            <w:rStyle w:val="Text9"/>
          </w:rPr>
          <w:t>447</w:t>
        </w:r>
      </w:hyperlink>
      <w:r>
        <w:t xml:space="preserve"> </w:t>
      </w:r>
      <w:hyperlink r:id="rId1402">
        <w:r>
          <w:rPr>
            <w:rStyle w:val="Text1"/>
          </w:rPr>
          <w:t>Postfix Tutorials</w:t>
        </w:r>
      </w:hyperlink>
      <w:r>
        <w:t xml:space="preserve"> for different Debian versions.</w:t>
      </w:r>
    </w:p>
    <w:p>
      <w:pPr>
        <w:pStyle w:val="Para 13"/>
      </w:pPr>
      <w:r>
        <w:rPr>
          <w:rStyle w:val="Text7"/>
        </w:rPr>
        <w:t xml:space="preserve">• Info on how to </w:t>
      </w:r>
      <w:hyperlink r:id="rId1403">
        <w:r>
          <w:rPr>
            <w:rStyle w:val="Text10"/>
          </w:rPr>
          <w:t>448</w:t>
        </w:r>
      </w:hyperlink>
      <w:hyperlink r:id="rId1403">
        <w:r>
          <w:t xml:space="preserve"> set up mailman3 with postfix</w:t>
        </w:r>
      </w:hyperlink>
      <w:r>
        <w:rPr>
          <w:rStyle w:val="Text7"/>
        </w:rPr>
        <w:t>.</w:t>
      </w:r>
    </w:p>
    <w:p>
      <w:pPr>
        <w:pStyle w:val="Para 17"/>
      </w:pPr>
      <w:r>
        <w:t/>
      </w:r>
    </w:p>
    <w:p>
      <w:pPr>
        <w:pStyle w:val="Para 01"/>
      </w:pPr>
      <w:r>
        <w:t>Install and configure Exim4</w:t>
      </w:r>
    </w:p>
    <w:p>
      <w:pPr>
        <w:pStyle w:val="Para 17"/>
      </w:pPr>
      <w:r>
        <w:t/>
      </w:r>
    </w:p>
    <w:p>
      <w:pPr>
        <w:pStyle w:val="Para 01"/>
      </w:pPr>
      <w:r>
        <w:t>Install Exim4</w:t>
      </w:r>
    </w:p>
    <w:p>
      <w:pPr>
        <w:pStyle w:val="Para 17"/>
      </w:pPr>
      <w:r>
        <w:t/>
      </w:r>
    </w:p>
    <w:p>
      <w:pPr>
        <w:pStyle w:val="Normal"/>
      </w:pPr>
      <w:r>
        <w:t xml:space="preserve">To install </w:t>
      </w:r>
      <w:hyperlink r:id="rId1395">
        <w:r>
          <w:rPr>
            <w:rStyle w:val="Text9"/>
          </w:rPr>
          <w:t>449</w:t>
        </w:r>
      </w:hyperlink>
      <w:hyperlink r:id="rId1395">
        <w:r>
          <w:rPr>
            <w:rStyle w:val="Text1"/>
          </w:rPr>
          <w:t xml:space="preserve"> Exim4</w:t>
        </w:r>
      </w:hyperlink>
      <w:r>
        <w:t>, run the following command:</w:t>
      </w:r>
    </w:p>
    <w:p>
      <w:pPr>
        <w:pStyle w:val="Normal"/>
      </w:pPr>
      <w:r>
        <w:t>sudo apt install exim4</w:t>
      </w:r>
    </w:p>
    <w:p>
      <w:pPr>
        <w:pStyle w:val="Para 17"/>
      </w:pPr>
      <w:r>
        <w:t/>
      </w:r>
    </w:p>
    <w:p>
      <w:pPr>
        <w:pStyle w:val="Para 01"/>
      </w:pPr>
      <w:r>
        <w:t>Configure Exim4</w:t>
      </w:r>
    </w:p>
    <w:p>
      <w:pPr>
        <w:pStyle w:val="Para 17"/>
      </w:pPr>
      <w:r>
        <w:t/>
      </w:r>
    </w:p>
    <w:p>
      <w:pPr>
        <w:pStyle w:val="Normal"/>
      </w:pPr>
      <w:r>
        <w:t>To configure Exim4, run the following command:</w:t>
      </w:r>
    </w:p>
    <w:p>
      <w:pPr>
        <w:pStyle w:val="Normal"/>
      </w:pPr>
      <w:r>
        <w:t>sudo dpkg-reconfigure exim4-config</w:t>
      </w:r>
    </w:p>
    <w:p>
      <w:pPr>
        <w:pStyle w:val="Para 17"/>
      </w:pPr>
      <w:r>
        <w:t/>
      </w:r>
    </w:p>
    <w:p>
      <w:pPr>
        <w:pStyle w:val="Normal"/>
      </w:pPr>
      <w:r>
        <w:t>This displays a “wizard” user interface for configuring the software. One important question in this configuration is whether Exim4 should split the configuration over multiple files, or use a single configuration file.</w:t>
      </w:r>
    </w:p>
    <w:p>
      <w:pPr>
        <w:pStyle w:val="Para 08"/>
      </w:pPr>
      <w:r>
        <w:t>Note:</w:t>
      </w:r>
    </w:p>
    <w:p>
      <w:pPr>
        <w:pStyle w:val="Para 03"/>
      </w:pPr>
      <w:r>
        <w:t>The default configuration layout for Exim4 is the single configuration file one.</w:t>
      </w:r>
    </w:p>
    <w:p>
      <w:pPr>
        <w:pStyle w:val="Para 17"/>
      </w:pPr>
      <w:r>
        <w:t/>
      </w:r>
    </w:p>
    <w:p>
      <w:pPr>
        <w:pStyle w:val="Normal"/>
      </w:pPr>
      <w:r>
        <w:t>If using multiple configuration files, then the configuration will be split in a directory struc-ture under /etc/exim4/conf.d, like so:</w:t>
      </w:r>
    </w:p>
    <w:p>
      <w:pPr>
        <w:pStyle w:val="Normal"/>
      </w:pPr>
      <w:r>
        <w:t>/etc/exim4/</w:t>
      </w:r>
    </w:p>
    <w:p>
      <w:pPr>
        <w:pStyle w:val="Normal"/>
      </w:pPr>
      <w:r>
        <w:t>└── conf.d</w:t>
      </w:r>
    </w:p>
    <w:p>
      <w:pPr>
        <w:pStyle w:val="Para 02"/>
      </w:pPr>
      <w:r>
        <w:t>├── acl</w:t>
      </w:r>
    </w:p>
    <w:p>
      <w:pPr>
        <w:pStyle w:val="Para 09"/>
      </w:pPr>
      <w:r>
        <w:t>(continues on next page)</w:t>
      </w:r>
    </w:p>
    <w:p>
      <w:pPr>
        <w:pStyle w:val="Para 05"/>
      </w:pPr>
      <w:r>
        <w:rPr>
          <w:rStyle w:val="Text5"/>
        </w:rPr>
        <w:t>443</w:t>
      </w:r>
      <w:r>
        <w:rPr>
          <w:rStyle w:val="Text8"/>
        </w:rPr>
        <w:t xml:space="preserve"> </w:t>
      </w:r>
      <w:r>
        <w:t>http://www.postfix.org/documentation.html</w:t>
      </w:r>
    </w:p>
    <w:p>
      <w:pPr>
        <w:pStyle w:val="Para 05"/>
      </w:pPr>
      <w:r>
        <w:rPr>
          <w:rStyle w:val="Text5"/>
        </w:rPr>
        <w:t>444</w:t>
      </w:r>
      <w:r>
        <w:rPr>
          <w:rStyle w:val="Text8"/>
        </w:rPr>
        <w:t xml:space="preserve"> </w:t>
      </w:r>
      <w:r>
        <w:t>https://www.oreilly.com/library/view/postfix-the-definitive/0596002122/</w:t>
      </w:r>
    </w:p>
    <w:p>
      <w:pPr>
        <w:pStyle w:val="Para 05"/>
      </w:pPr>
      <w:r>
        <w:rPr>
          <w:rStyle w:val="Text5"/>
        </w:rPr>
        <w:t>445</w:t>
      </w:r>
      <w:r>
        <w:rPr>
          <w:rStyle w:val="Text8"/>
        </w:rPr>
        <w:t xml:space="preserve"> </w:t>
      </w:r>
      <w:r>
        <w:t>https://help.ubuntu.com/community/Postfix</w:t>
      </w:r>
    </w:p>
    <w:p>
      <w:pPr>
        <w:pStyle w:val="Para 05"/>
      </w:pPr>
      <w:r>
        <w:rPr>
          <w:rStyle w:val="Text5"/>
        </w:rPr>
        <w:t>446</w:t>
      </w:r>
      <w:r>
        <w:rPr>
          <w:rStyle w:val="Text8"/>
        </w:rPr>
        <w:t xml:space="preserve"> </w:t>
      </w:r>
      <w:r>
        <w:t>https://wiki.debian.org/Postfix</w:t>
      </w:r>
    </w:p>
    <w:p>
      <w:pPr>
        <w:pStyle w:val="Para 05"/>
      </w:pPr>
      <w:r>
        <w:rPr>
          <w:rStyle w:val="Text5"/>
        </w:rPr>
        <w:t>447</w:t>
      </w:r>
      <w:r>
        <w:rPr>
          <w:rStyle w:val="Text8"/>
        </w:rPr>
        <w:t xml:space="preserve"> </w:t>
      </w:r>
      <w:r>
        <w:t>https://wiki.debian.org/Postfix/Tutorials</w:t>
      </w:r>
    </w:p>
    <w:p>
      <w:pPr>
        <w:pStyle w:val="Para 05"/>
      </w:pPr>
      <w:r>
        <w:rPr>
          <w:rStyle w:val="Text5"/>
        </w:rPr>
        <w:t>448</w:t>
      </w:r>
      <w:r>
        <w:rPr>
          <w:rStyle w:val="Text8"/>
        </w:rPr>
        <w:t xml:space="preserve"> </w:t>
      </w:r>
      <w:r>
        <w:t>https://docs.mailman3.org/projects/mailman/en/latest/src/mailman/docs/mta.html</w:t>
      </w:r>
    </w:p>
    <w:p>
      <w:pPr>
        <w:pStyle w:val="Para 05"/>
      </w:pPr>
      <w:r>
        <w:rPr>
          <w:rStyle w:val="Text5"/>
        </w:rPr>
        <w:t>449</w:t>
      </w:r>
      <w:r>
        <w:rPr>
          <w:rStyle w:val="Text8"/>
        </w:rPr>
        <w:t xml:space="preserve"> </w:t>
      </w:r>
      <w:r>
        <w:t>https://www.exim.org/</w:t>
      </w:r>
    </w:p>
    <w:p>
      <w:bookmarkStart w:id="715" w:name="page_4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2" name="index-483_1.png" descr="index-483_1.png"/>
            <wp:cNvGraphicFramePr>
              <a:graphicFrameLocks noChangeAspect="1"/>
            </wp:cNvGraphicFramePr>
            <a:graphic>
              <a:graphicData uri="http://schemas.openxmlformats.org/drawingml/2006/picture">
                <pic:pic>
                  <pic:nvPicPr>
                    <pic:cNvPr id="0" name="index-483_1.png" descr="index-483_1.png"/>
                    <pic:cNvPicPr/>
                  </pic:nvPicPr>
                  <pic:blipFill>
                    <a:blip r:embed="rId496"/>
                    <a:stretch>
                      <a:fillRect/>
                    </a:stretch>
                  </pic:blipFill>
                  <pic:spPr>
                    <a:xfrm>
                      <a:off x="0" y="0"/>
                      <a:ext cx="914400" cy="266700"/>
                    </a:xfrm>
                    <a:prstGeom prst="rect">
                      <a:avLst/>
                    </a:prstGeom>
                  </pic:spPr>
                </pic:pic>
              </a:graphicData>
            </a:graphic>
          </wp:anchor>
        </w:drawing>
      </w:r>
      <w:bookmarkEnd w:id="715"/>
    </w:p>
    <w:p>
      <w:pPr>
        <w:pStyle w:val="Para 09"/>
      </w:pPr>
      <w:r>
        <w:t>(continued from previous page)</w:t>
      </w:r>
    </w:p>
    <w:p>
      <w:pPr>
        <w:pStyle w:val="Para 02"/>
      </w:pPr>
      <w:r>
        <w:t>├── auth</w:t>
      </w:r>
    </w:p>
    <w:p>
      <w:pPr>
        <w:pStyle w:val="Para 02"/>
      </w:pPr>
      <w:r>
        <w:t>├── main</w:t>
      </w:r>
    </w:p>
    <w:p>
      <w:pPr>
        <w:pStyle w:val="Para 02"/>
      </w:pPr>
      <w:r>
        <w:t>├── retry</w:t>
      </w:r>
    </w:p>
    <w:p>
      <w:pPr>
        <w:pStyle w:val="Para 02"/>
      </w:pPr>
      <w:r>
        <w:t>├── rewrite</w:t>
      </w:r>
    </w:p>
    <w:p>
      <w:pPr>
        <w:pStyle w:val="Para 02"/>
      </w:pPr>
      <w:r>
        <w:t>├── router</w:t>
      </w:r>
    </w:p>
    <w:p>
      <w:pPr>
        <w:pStyle w:val="Para 02"/>
      </w:pPr>
      <w:r>
        <w:t>└── transport</w:t>
      </w:r>
    </w:p>
    <w:p>
      <w:pPr>
        <w:pStyle w:val="Para 17"/>
      </w:pPr>
      <w:r>
        <w:t/>
      </w:r>
    </w:p>
    <w:p>
      <w:pPr>
        <w:pStyle w:val="Normal"/>
      </w:pPr>
      <w:r>
        <w:t>Each subdirectory contains one or more individual configuration files.</w:t>
      </w:r>
    </w:p>
    <w:p>
      <w:pPr>
        <w:pStyle w:val="Normal"/>
      </w:pPr>
      <w:r>
        <w:t>If, however, Exim4 was set up to use a single configuration file, then that file will be /etc/ exim4/exim4.conf.template. It will essentially be as if all individual configuration files from the previous layout were concatenated into one file.</w:t>
      </w:r>
    </w:p>
    <w:p>
      <w:pPr>
        <w:pStyle w:val="Normal"/>
      </w:pPr>
      <w:r>
        <w:t>In any of these scenarios, after making a change to the configuration, the following command must be executed to update the actual configuration file that Exim4 will use:</w:t>
      </w:r>
    </w:p>
    <w:p>
      <w:pPr>
        <w:pStyle w:val="Normal"/>
      </w:pPr>
      <w:r>
        <w:t>sudo update-exim4.conf</w:t>
      </w:r>
    </w:p>
    <w:p>
      <w:pPr>
        <w:pStyle w:val="Para 17"/>
      </w:pPr>
      <w:r>
        <w:t/>
      </w:r>
    </w:p>
    <w:p>
      <w:pPr>
        <w:pStyle w:val="Normal"/>
      </w:pPr>
      <w:r>
        <w:t>The update-exim4.conf command will update the auto-generated configuration file stored in /var/lib/exim4/config.autogenerated. This is the actual configuration file that Exim4 uses.</w:t>
      </w:r>
    </w:p>
    <w:p>
      <w:pPr>
        <w:pStyle w:val="Para 17"/>
      </w:pPr>
      <w:r>
        <w:t/>
      </w:r>
    </w:p>
    <w:p>
      <w:pPr>
        <w:pStyle w:val="Para 08"/>
      </w:pPr>
      <w:r>
        <w:t>Warning:</w:t>
      </w:r>
    </w:p>
    <w:p>
      <w:pPr>
        <w:pStyle w:val="Para 17"/>
      </w:pPr>
      <w:r>
        <w:t/>
      </w:r>
    </w:p>
    <w:p>
      <w:pPr>
        <w:pStyle w:val="Para 03"/>
      </w:pPr>
      <w:r>
        <w:t>You should never manually edit the configuration file /var/lib/exim4/config.</w:t>
      </w:r>
    </w:p>
    <w:p>
      <w:pPr>
        <w:pStyle w:val="Para 03"/>
      </w:pPr>
      <w:r>
        <w:t>autogenerated, because it is updated automatically every time you run update-exim4.conf.</w:t>
      </w:r>
    </w:p>
    <w:p>
      <w:pPr>
        <w:pStyle w:val="Para 03"/>
      </w:pPr>
      <w:r>
        <w:t>Any changes you make to it will eventually be lost.</w:t>
      </w:r>
    </w:p>
    <w:p>
      <w:pPr>
        <w:pStyle w:val="Para 17"/>
      </w:pPr>
      <w:r>
        <w:t/>
      </w:r>
    </w:p>
    <w:p>
      <w:pPr>
        <w:pStyle w:val="Normal"/>
      </w:pPr>
      <w:r>
        <w:t>If configuration changes were made, the service should also be restarted:</w:t>
      </w:r>
    </w:p>
    <w:p>
      <w:pPr>
        <w:pStyle w:val="Normal"/>
      </w:pPr>
      <w:r>
        <w:t>sudo systemctl restart exim4</w:t>
      </w:r>
    </w:p>
    <w:p>
      <w:pPr>
        <w:pStyle w:val="Para 17"/>
      </w:pPr>
      <w:r>
        <w:t/>
      </w:r>
    </w:p>
    <w:p>
      <w:pPr>
        <w:pStyle w:val="Normal"/>
      </w:pPr>
      <w:r>
        <w:t>All the choices made via dpkg-reconfigure exim4-config are stored in the /etc/exim4/ update-exim4.conf.conf file. To re-configure the software you can either re-run dpkg-reconfigure as before, or manually edit this file using your preferred editor.</w:t>
      </w:r>
    </w:p>
    <w:p>
      <w:pPr>
        <w:pStyle w:val="Para 17"/>
      </w:pPr>
      <w:r>
        <w:t/>
      </w:r>
    </w:p>
    <w:p>
      <w:pPr>
        <w:pStyle w:val="Para 01"/>
      </w:pPr>
      <w:r>
        <w:t>Start the Exim4 daemon</w:t>
      </w:r>
    </w:p>
    <w:p>
      <w:pPr>
        <w:pStyle w:val="Para 17"/>
      </w:pPr>
      <w:r>
        <w:t/>
      </w:r>
    </w:p>
    <w:p>
      <w:pPr>
        <w:pStyle w:val="Normal"/>
      </w:pPr>
      <w:r>
        <w:t>The following command will start the Exim4 daemon:</w:t>
      </w:r>
    </w:p>
    <w:p>
      <w:pPr>
        <w:pStyle w:val="Normal"/>
      </w:pPr>
      <w:r>
        <w:t>sudo service exim4 start</w:t>
      </w:r>
    </w:p>
    <w:p>
      <w:pPr>
        <w:pStyle w:val="Para 17"/>
      </w:pPr>
      <w:r>
        <w:t/>
      </w:r>
    </w:p>
    <w:p>
      <w:pPr>
        <w:pStyle w:val="Para 01"/>
      </w:pPr>
      <w:r>
        <w:t>SMTP authentication</w:t>
      </w:r>
    </w:p>
    <w:p>
      <w:pPr>
        <w:pStyle w:val="Para 17"/>
      </w:pPr>
      <w:r>
        <w:t/>
      </w:r>
    </w:p>
    <w:p>
      <w:pPr>
        <w:pStyle w:val="Normal"/>
      </w:pPr>
      <w:r>
        <w:t>There are multiple authentication options available for Exim4. Here we will document two methods:</w:t>
      </w:r>
    </w:p>
    <w:p>
      <w:pPr>
        <w:pStyle w:val="Para 04"/>
      </w:pPr>
      <w:r>
        <w:t>• Authenticate Linux users present in the local shadow file (/etc/shadow), via saslauthd</w:t>
      </w:r>
    </w:p>
    <w:p>
      <w:pPr>
        <w:pStyle w:val="Para 02"/>
      </w:pPr>
      <w:r>
        <w:t>and PAM.</w:t>
      </w:r>
    </w:p>
    <w:p>
      <w:pPr>
        <w:pStyle w:val="Para 04"/>
      </w:pPr>
      <w:r>
        <w:t>• Authenticate arbitrary users against a custom Exim4 password database (/etc/exim4/</w:t>
      </w:r>
    </w:p>
    <w:p>
      <w:pPr>
        <w:pStyle w:val="Para 02"/>
      </w:pPr>
      <w:r>
        <w:t>passwd).</w:t>
      </w:r>
    </w:p>
    <w:p>
      <w:bookmarkStart w:id="716" w:name="page_4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3" name="index-484_1.png" descr="index-484_1.png"/>
            <wp:cNvGraphicFramePr>
              <a:graphicFrameLocks noChangeAspect="1"/>
            </wp:cNvGraphicFramePr>
            <a:graphic>
              <a:graphicData uri="http://schemas.openxmlformats.org/drawingml/2006/picture">
                <pic:pic>
                  <pic:nvPicPr>
                    <pic:cNvPr id="0" name="index-484_1.png" descr="index-484_1.png"/>
                    <pic:cNvPicPr/>
                  </pic:nvPicPr>
                  <pic:blipFill>
                    <a:blip r:embed="rId497"/>
                    <a:stretch>
                      <a:fillRect/>
                    </a:stretch>
                  </pic:blipFill>
                  <pic:spPr>
                    <a:xfrm>
                      <a:off x="0" y="0"/>
                      <a:ext cx="914400" cy="266700"/>
                    </a:xfrm>
                    <a:prstGeom prst="rect">
                      <a:avLst/>
                    </a:prstGeom>
                  </pic:spPr>
                </pic:pic>
              </a:graphicData>
            </a:graphic>
          </wp:anchor>
        </w:drawing>
      </w:r>
      <w:bookmarkEnd w:id="716"/>
    </w:p>
    <w:p>
      <w:pPr>
        <w:pStyle w:val="Normal"/>
      </w:pPr>
      <w:r>
        <w:t>Both of these methods use clear text passwords transmitted over the network, so they need to be protected by Transport Layer Security (TLS).</w:t>
      </w:r>
    </w:p>
    <w:p>
      <w:pPr>
        <w:pStyle w:val="Para 17"/>
      </w:pPr>
      <w:r>
        <w:t/>
      </w:r>
    </w:p>
    <w:p>
      <w:pPr>
        <w:pStyle w:val="Para 08"/>
      </w:pPr>
      <w:r>
        <w:t>Warning:</w:t>
      </w:r>
    </w:p>
    <w:p>
      <w:pPr>
        <w:pStyle w:val="Para 17"/>
      </w:pPr>
      <w:r>
        <w:t/>
      </w:r>
    </w:p>
    <w:p>
      <w:pPr>
        <w:pStyle w:val="Para 03"/>
      </w:pPr>
      <w:r>
        <w:t>All configuration steps shown from now on will assume a split-configuration mode for</w:t>
      </w:r>
    </w:p>
    <w:p>
      <w:pPr>
        <w:pStyle w:val="Para 03"/>
      </w:pPr>
      <w:r>
        <w:t>Exim4. If you have selected the non-split mode, then all commands that edit a configu-</w:t>
      </w:r>
    </w:p>
    <w:p>
      <w:pPr>
        <w:pStyle w:val="Para 03"/>
      </w:pPr>
      <w:r>
        <w:t>ration file under /etc/exim4/conf.d in the sections below should be replaced with editing</w:t>
      </w:r>
    </w:p>
    <w:p>
      <w:pPr>
        <w:pStyle w:val="Para 03"/>
      </w:pPr>
      <w:r>
        <w:t>the single file /etc/exim4/exim4.conf.template.</w:t>
      </w:r>
    </w:p>
    <w:p>
      <w:pPr>
        <w:pStyle w:val="Para 17"/>
      </w:pPr>
      <w:r>
        <w:t/>
      </w:r>
    </w:p>
    <w:p>
      <w:pPr>
        <w:pStyle w:val="Para 01"/>
      </w:pPr>
      <w:r>
        <w:t>Enabling TLS</w:t>
      </w:r>
    </w:p>
    <w:p>
      <w:pPr>
        <w:pStyle w:val="Para 17"/>
      </w:pPr>
      <w:r>
        <w:t/>
      </w:r>
    </w:p>
    <w:p>
      <w:pPr>
        <w:pStyle w:val="Normal"/>
      </w:pPr>
      <w:r>
        <w:t>First, enter the following into a terminal prompt to create a certificate for use with TLS:</w:t>
      </w:r>
    </w:p>
    <w:p>
      <w:pPr>
        <w:pStyle w:val="Normal"/>
      </w:pPr>
      <w:r>
        <w:t>sudo /usr/share/doc/exim4-base/examples/exim-gencert</w:t>
      </w:r>
    </w:p>
    <w:p>
      <w:pPr>
        <w:pStyle w:val="Para 17"/>
      </w:pPr>
      <w:r>
        <w:t/>
      </w:r>
    </w:p>
    <w:p>
      <w:pPr>
        <w:pStyle w:val="Normal"/>
      </w:pPr>
      <w:r>
        <w:t xml:space="preserve">This command will ask some questions about the certificate, like country, city, and others. The most important one, and that must be correct otherwise TLS won’t work for this server, is the “Server name” one. It </w:t>
      </w:r>
      <w:r>
        <w:rPr>
          <w:rStyle w:val="Text0"/>
        </w:rPr>
        <w:t>MUST</w:t>
      </w:r>
      <w:r>
        <w:t xml:space="preserve"> match the fully qualified hostname (FQDN) of the system where Exim4 is deployed.</w:t>
      </w:r>
    </w:p>
    <w:p>
      <w:pPr>
        <w:pStyle w:val="Para 17"/>
      </w:pPr>
      <w:r>
        <w:t/>
      </w:r>
    </w:p>
    <w:p>
      <w:pPr>
        <w:pStyle w:val="Para 08"/>
      </w:pPr>
      <w:r>
        <w:t>Warning:</w:t>
      </w:r>
    </w:p>
    <w:p>
      <w:pPr>
        <w:pStyle w:val="Para 17"/>
      </w:pPr>
      <w:r>
        <w:t/>
      </w:r>
    </w:p>
    <w:p>
      <w:pPr>
        <w:pStyle w:val="Para 03"/>
      </w:pPr>
      <w:r>
        <w:t>This will install a self-signed certificate. If deploying this system in production, you must</w:t>
      </w:r>
    </w:p>
    <w:p>
      <w:pPr>
        <w:pStyle w:val="Para 03"/>
      </w:pPr>
      <w:r>
        <w:t>get a proper certificate signed by a recognized Certificate Authority (CA), or, if using an</w:t>
      </w:r>
    </w:p>
    <w:p>
      <w:pPr>
        <w:pStyle w:val="Para 03"/>
      </w:pPr>
      <w:r>
        <w:t>internal, you will have to distribute the CA to all clients expected to connect to this server.</w:t>
      </w:r>
    </w:p>
    <w:p>
      <w:pPr>
        <w:pStyle w:val="Para 17"/>
      </w:pPr>
      <w:r>
        <w:t/>
      </w:r>
    </w:p>
    <w:p>
      <w:pPr>
        <w:pStyle w:val="Normal"/>
      </w:pPr>
      <w:r>
        <w:t>Configure Exim4 for TLS by editing the /etc/exim4/conf.d/main/03_exim4-config_ tlsoptions file and adding the following:</w:t>
      </w:r>
    </w:p>
    <w:p>
      <w:pPr>
        <w:pStyle w:val="Normal"/>
      </w:pPr>
      <w:r>
        <w:t>MAIN_TLS_ENABLE = yes</w:t>
      </w:r>
    </w:p>
    <w:p>
      <w:pPr>
        <w:pStyle w:val="Para 17"/>
      </w:pPr>
      <w:r>
        <w:t/>
      </w:r>
    </w:p>
    <w:p>
      <w:pPr>
        <w:pStyle w:val="Para 01"/>
      </w:pPr>
      <w:r>
        <w:t>Authenticating existing Linux users</w:t>
      </w:r>
    </w:p>
    <w:p>
      <w:pPr>
        <w:pStyle w:val="Para 17"/>
      </w:pPr>
      <w:r>
        <w:t/>
      </w:r>
    </w:p>
    <w:p>
      <w:pPr>
        <w:pStyle w:val="Normal"/>
      </w:pPr>
      <w:r>
        <w:t>To authenticate existing Linux users, that is, users who already have accounts on this system, we will use the saslauthd service.</w:t>
      </w:r>
    </w:p>
    <w:p>
      <w:pPr>
        <w:pStyle w:val="Para 17"/>
      </w:pPr>
      <w:r>
        <w:t/>
      </w:r>
    </w:p>
    <w:p>
      <w:pPr>
        <w:pStyle w:val="Para 08"/>
      </w:pPr>
      <w:r>
        <w:t>Note:</w:t>
      </w:r>
    </w:p>
    <w:p>
      <w:pPr>
        <w:pStyle w:val="Para 03"/>
      </w:pPr>
      <w:r>
        <w:t xml:space="preserve">To manage local Linux users, please refer to </w:t>
      </w:r>
      <w:hyperlink w:anchor="page_113">
        <w:r>
          <w:rPr>
            <w:rStyle w:val="Text2"/>
          </w:rPr>
          <w:t>User management</w:t>
        </w:r>
      </w:hyperlink>
      <w:r>
        <w:t xml:space="preserve"> (page 112).</w:t>
      </w:r>
    </w:p>
    <w:p>
      <w:pPr>
        <w:pStyle w:val="Para 17"/>
      </w:pPr>
      <w:r>
        <w:t/>
      </w:r>
    </w:p>
    <w:p>
      <w:pPr>
        <w:pStyle w:val="Normal"/>
      </w:pPr>
      <w:r>
        <w:t>Configure Exim4 to use the saslauthd daemon for authentication by editing /etc/ exim4/conf.d/auth/30_exim4-config_examples – uncomment the plain_saslauthd_server and login_saslauthd_server sections:</w:t>
      </w:r>
    </w:p>
    <w:p>
      <w:pPr>
        <w:pStyle w:val="Normal"/>
      </w:pPr>
      <w:r>
        <w:t>plain_saslauthd_server:</w:t>
      </w:r>
    </w:p>
    <w:p>
      <w:pPr>
        <w:pStyle w:val="Para 03"/>
      </w:pPr>
      <w:r>
        <w:t>driver = plaintext</w:t>
      </w:r>
    </w:p>
    <w:p>
      <w:pPr>
        <w:pStyle w:val="Para 03"/>
      </w:pPr>
      <w:r>
        <w:t>public_name = PLAIN</w:t>
      </w:r>
    </w:p>
    <w:p>
      <w:pPr>
        <w:pStyle w:val="Para 03"/>
      </w:pPr>
      <w:r>
        <w:t>server_condition = ${if saslauthd{{$auth2}{$auth3}}{1}{0}}</w:t>
      </w:r>
    </w:p>
    <w:p>
      <w:pPr>
        <w:pStyle w:val="Para 09"/>
      </w:pPr>
      <w:r>
        <w:t>(continues on next page)</w:t>
      </w:r>
    </w:p>
    <w:p>
      <w:bookmarkStart w:id="717" w:name="page_4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4" name="index-485_1.png" descr="index-485_1.png"/>
            <wp:cNvGraphicFramePr>
              <a:graphicFrameLocks noChangeAspect="1"/>
            </wp:cNvGraphicFramePr>
            <a:graphic>
              <a:graphicData uri="http://schemas.openxmlformats.org/drawingml/2006/picture">
                <pic:pic>
                  <pic:nvPicPr>
                    <pic:cNvPr id="0" name="index-485_1.png" descr="index-485_1.png"/>
                    <pic:cNvPicPr/>
                  </pic:nvPicPr>
                  <pic:blipFill>
                    <a:blip r:embed="rId498"/>
                    <a:stretch>
                      <a:fillRect/>
                    </a:stretch>
                  </pic:blipFill>
                  <pic:spPr>
                    <a:xfrm>
                      <a:off x="0" y="0"/>
                      <a:ext cx="914400" cy="266700"/>
                    </a:xfrm>
                    <a:prstGeom prst="rect">
                      <a:avLst/>
                    </a:prstGeom>
                  </pic:spPr>
                </pic:pic>
              </a:graphicData>
            </a:graphic>
          </wp:anchor>
        </w:drawing>
      </w:r>
      <w:bookmarkEnd w:id="717"/>
    </w:p>
    <w:p>
      <w:pPr>
        <w:pStyle w:val="Para 09"/>
      </w:pPr>
      <w:r>
        <w:t>(continued from previous page)</w:t>
      </w:r>
    </w:p>
    <w:p>
      <w:pPr>
        <w:pStyle w:val="Para 03"/>
      </w:pPr>
      <w:r>
        <w:t>server_set_id = $auth2</w:t>
      </w:r>
    </w:p>
    <w:p>
      <w:pPr>
        <w:pStyle w:val="Para 03"/>
      </w:pPr>
      <w:r>
        <w:t>server_prompts = :</w:t>
      </w:r>
    </w:p>
    <w:p>
      <w:pPr>
        <w:pStyle w:val="Para 03"/>
      </w:pPr>
      <w:r>
        <w:t>.ifndef AUTH_SERVER_ALLOW_NOTLS_PASSWORDS</w:t>
      </w:r>
    </w:p>
    <w:p>
      <w:pPr>
        <w:pStyle w:val="Para 03"/>
      </w:pPr>
      <w:r>
        <w:t>server_advertise_condition = ${if eq{$tls_cipher}{}{}{*}}</w:t>
      </w:r>
    </w:p>
    <w:p>
      <w:pPr>
        <w:pStyle w:val="Para 03"/>
      </w:pPr>
      <w:r>
        <w:t>.endif</w:t>
      </w:r>
    </w:p>
    <w:p>
      <w:pPr>
        <w:pStyle w:val="Normal"/>
      </w:pPr>
      <w:r>
        <w:t>login_saslauthd_server:</w:t>
      </w:r>
    </w:p>
    <w:p>
      <w:pPr>
        <w:pStyle w:val="Para 03"/>
      </w:pPr>
      <w:r>
        <w:t>driver = plaintext</w:t>
      </w:r>
    </w:p>
    <w:p>
      <w:pPr>
        <w:pStyle w:val="Para 03"/>
      </w:pPr>
      <w:r>
        <w:t>public_name = LOGIN</w:t>
      </w:r>
    </w:p>
    <w:p>
      <w:pPr>
        <w:pStyle w:val="Para 03"/>
      </w:pPr>
      <w:r>
        <w:t>server_prompts = "Username:: : Password::"</w:t>
      </w:r>
    </w:p>
    <w:p>
      <w:pPr>
        <w:pStyle w:val="Para 03"/>
      </w:pPr>
      <w:r>
        <w:t># don't send system passwords over unencrypted connections</w:t>
      </w:r>
    </w:p>
    <w:p>
      <w:pPr>
        <w:pStyle w:val="Para 03"/>
      </w:pPr>
      <w:r>
        <w:t>server_condition = ${if saslauthd{{$auth1}{$auth2}}{1}{0}}</w:t>
      </w:r>
    </w:p>
    <w:p>
      <w:pPr>
        <w:pStyle w:val="Para 03"/>
      </w:pPr>
      <w:r>
        <w:t>server_set_id = $auth1</w:t>
      </w:r>
    </w:p>
    <w:p>
      <w:pPr>
        <w:pStyle w:val="Para 03"/>
      </w:pPr>
      <w:r>
        <w:t>.ifndef AUTH_SERVER_ALLOW_NOTLS_PASSWORDS</w:t>
      </w:r>
    </w:p>
    <w:p>
      <w:pPr>
        <w:pStyle w:val="Para 03"/>
      </w:pPr>
      <w:r>
        <w:t>server_advertise_condition = ${if eq{$tls_cipher}{}{}{*}}</w:t>
      </w:r>
    </w:p>
    <w:p>
      <w:pPr>
        <w:pStyle w:val="Para 03"/>
      </w:pPr>
      <w:r>
        <w:t>.endif</w:t>
      </w:r>
    </w:p>
    <w:p>
      <w:pPr>
        <w:pStyle w:val="Para 17"/>
      </w:pPr>
      <w:r>
        <w:t/>
      </w:r>
    </w:p>
    <w:p>
      <w:pPr>
        <w:pStyle w:val="Normal"/>
      </w:pPr>
      <w:r>
        <w:t>This enables the PLAIN and LOGIN authentication mechanisms via saslauthd.</w:t>
      </w:r>
    </w:p>
    <w:p>
      <w:pPr>
        <w:pStyle w:val="Normal"/>
      </w:pPr>
      <w:r>
        <w:t>For Ubuntu 22.04 and earlier, of it you plan to use authentication mechanisms that will need read access to /etc/sasldb2 (not covered in this guide), you need to add the Debian-exim user to the sasl group:</w:t>
      </w:r>
    </w:p>
    <w:p>
      <w:pPr>
        <w:pStyle w:val="Normal"/>
      </w:pPr>
      <w:r>
        <w:t>sudo gpasswd -a Debian-exim sasl</w:t>
      </w:r>
    </w:p>
    <w:p>
      <w:pPr>
        <w:pStyle w:val="Para 17"/>
      </w:pPr>
      <w:r>
        <w:t/>
      </w:r>
    </w:p>
    <w:p>
      <w:pPr>
        <w:pStyle w:val="Normal"/>
      </w:pPr>
      <w:r>
        <w:t>To make all these changes effective, the main configuration file needs to be updated, and Exim4 restarted:</w:t>
      </w:r>
    </w:p>
    <w:p>
      <w:pPr>
        <w:pStyle w:val="Normal"/>
      </w:pPr>
      <w:r>
        <w:t>sudo update-exim4.conf</w:t>
      </w:r>
    </w:p>
    <w:p>
      <w:pPr>
        <w:pStyle w:val="Normal"/>
      </w:pPr>
      <w:r>
        <w:t>sudo systemctl restart exim4</w:t>
      </w:r>
    </w:p>
    <w:p>
      <w:pPr>
        <w:pStyle w:val="Para 17"/>
      </w:pPr>
      <w:r>
        <w:t/>
      </w:r>
    </w:p>
    <w:p>
      <w:pPr>
        <w:pStyle w:val="Normal"/>
      </w:pPr>
      <w:r>
        <w:t>This concludes the Exim4 side of the configuration. Next, the sasl2-bin package needs to be installed:</w:t>
      </w:r>
    </w:p>
    <w:p>
      <w:pPr>
        <w:pStyle w:val="Normal"/>
      </w:pPr>
      <w:r>
        <w:t>sudo apt install sasl2-bin</w:t>
      </w:r>
    </w:p>
    <w:p>
      <w:pPr>
        <w:pStyle w:val="Para 17"/>
      </w:pPr>
      <w:r>
        <w:t/>
      </w:r>
    </w:p>
    <w:p>
      <w:pPr>
        <w:pStyle w:val="Normal"/>
      </w:pPr>
      <w:r>
        <w:t>The main configuration for saslauthd is in the /etc/default/saslauthd file. What needs to be verified is the MECHANISMS setting, which we want to be PAM:</w:t>
      </w:r>
    </w:p>
    <w:p>
      <w:pPr>
        <w:pStyle w:val="Normal"/>
      </w:pPr>
      <w:r>
        <w:t>MECHANISMS</w:t>
        <w:t>=</w:t>
        <w:t>"pam"</w:t>
      </w:r>
    </w:p>
    <w:p>
      <w:pPr>
        <w:pStyle w:val="Para 17"/>
      </w:pPr>
      <w:r>
        <w:t/>
      </w:r>
    </w:p>
    <w:p>
      <w:pPr>
        <w:pStyle w:val="Para 08"/>
      </w:pPr>
      <w:r>
        <w:t>Note:</w:t>
      </w:r>
    </w:p>
    <w:p>
      <w:pPr>
        <w:pStyle w:val="Para 03"/>
      </w:pPr>
      <w:r>
        <w:t>In Ubuntu 22.04 Jammy and earlier, we also need to add START="yes" to /etc/default/</w:t>
      </w:r>
    </w:p>
    <w:p>
      <w:pPr>
        <w:pStyle w:val="Para 03"/>
      </w:pPr>
      <w:r>
        <w:t>saslauthd .</w:t>
      </w:r>
    </w:p>
    <w:p>
      <w:pPr>
        <w:pStyle w:val="Normal"/>
      </w:pPr>
      <w:r>
        <w:t>Finally, enable and start the saslauthd service:</w:t>
      </w:r>
    </w:p>
    <w:p>
      <w:pPr>
        <w:pStyle w:val="Normal"/>
      </w:pPr>
      <w:r>
        <w:t>sudo systemctl enable saslauthd</w:t>
      </w:r>
    </w:p>
    <w:p>
      <w:pPr>
        <w:pStyle w:val="Normal"/>
      </w:pPr>
      <w:r>
        <w:t>sudo systemctl start saslauthd</w:t>
      </w:r>
    </w:p>
    <w:p>
      <w:pPr>
        <w:pStyle w:val="Para 17"/>
      </w:pPr>
      <w:r>
        <w:t/>
      </w:r>
    </w:p>
    <w:p>
      <w:pPr>
        <w:pStyle w:val="Normal"/>
      </w:pPr>
      <w:r>
        <w:t xml:space="preserve">Exim4 is now configured with SMTP-AUTH using TLS authenticating local Linux users via PAM. </w:t>
      </w:r>
      <w:r>
        <w:rPr>
          <w:rStyle w:val="Text0"/>
        </w:rPr>
        <w:t>Authenticating arbitrary users</w:t>
      </w:r>
    </w:p>
    <w:p>
      <w:bookmarkStart w:id="718" w:name="page_48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5" name="index-486_1.png" descr="index-486_1.png"/>
            <wp:cNvGraphicFramePr>
              <a:graphicFrameLocks noChangeAspect="1"/>
            </wp:cNvGraphicFramePr>
            <a:graphic>
              <a:graphicData uri="http://schemas.openxmlformats.org/drawingml/2006/picture">
                <pic:pic>
                  <pic:nvPicPr>
                    <pic:cNvPr id="0" name="index-486_1.png" descr="index-486_1.png"/>
                    <pic:cNvPicPr/>
                  </pic:nvPicPr>
                  <pic:blipFill>
                    <a:blip r:embed="rId499"/>
                    <a:stretch>
                      <a:fillRect/>
                    </a:stretch>
                  </pic:blipFill>
                  <pic:spPr>
                    <a:xfrm>
                      <a:off x="0" y="0"/>
                      <a:ext cx="914400" cy="266700"/>
                    </a:xfrm>
                    <a:prstGeom prst="rect">
                      <a:avLst/>
                    </a:prstGeom>
                  </pic:spPr>
                </pic:pic>
              </a:graphicData>
            </a:graphic>
          </wp:anchor>
        </w:drawing>
      </w:r>
      <w:bookmarkEnd w:id="718"/>
    </w:p>
    <w:p>
      <w:pPr>
        <w:pStyle w:val="Para 17"/>
      </w:pPr>
      <w:r>
        <w:t/>
      </w:r>
    </w:p>
    <w:p>
      <w:pPr>
        <w:pStyle w:val="Normal"/>
      </w:pPr>
      <w:r>
        <w:t>Exim4 can also be configured to authenticate arbitrary users, that is, users that do note exist on the local system. These mechanisms are called plain_server and login_server. Edit /etc/ exim4/conf.d/auth/30_exim4-config_examples and uncomment these sections:</w:t>
      </w:r>
    </w:p>
    <w:p>
      <w:pPr>
        <w:pStyle w:val="Normal"/>
      </w:pPr>
      <w:r>
        <w:t>plain_server:</w:t>
      </w:r>
    </w:p>
    <w:p>
      <w:pPr>
        <w:pStyle w:val="Para 03"/>
      </w:pPr>
      <w:r>
        <w:t>driver = plaintext</w:t>
      </w:r>
    </w:p>
    <w:p>
      <w:pPr>
        <w:pStyle w:val="Para 03"/>
      </w:pPr>
      <w:r>
        <w:t>public_name = PLAIN</w:t>
      </w:r>
    </w:p>
    <w:p>
      <w:pPr>
        <w:pStyle w:val="Para 03"/>
      </w:pPr>
      <w:r>
        <w:t>server_condition = "${if crypteq{$auth3}{${extract{1}{:}{${lookup{$auth2}lsearch</w:t>
      </w:r>
    </w:p>
    <w:p>
      <w:pPr>
        <w:pStyle w:val="Normal"/>
      </w:pPr>
      <w:r>
        <w:t>{CONFDIR/passwd}{$value}{*:*}}}}}{1}{0}}"</w:t>
      </w:r>
    </w:p>
    <w:p>
      <w:pPr>
        <w:pStyle w:val="Para 03"/>
      </w:pPr>
      <w:r>
        <w:t>server_set_id = $auth2</w:t>
      </w:r>
    </w:p>
    <w:p>
      <w:pPr>
        <w:pStyle w:val="Para 03"/>
      </w:pPr>
      <w:r>
        <w:t>server_prompts = :</w:t>
      </w:r>
    </w:p>
    <w:p>
      <w:pPr>
        <w:pStyle w:val="Para 03"/>
      </w:pPr>
      <w:r>
        <w:t>.ifndef AUTH_SERVER_ALLOW_NOTLS_PASSWORDS</w:t>
      </w:r>
    </w:p>
    <w:p>
      <w:pPr>
        <w:pStyle w:val="Para 03"/>
      </w:pPr>
      <w:r>
        <w:t>server_advertise_condition = ${if eq{$tls_in_cipher}{}{}{*}}</w:t>
      </w:r>
    </w:p>
    <w:p>
      <w:pPr>
        <w:pStyle w:val="Para 03"/>
      </w:pPr>
      <w:r>
        <w:t>.endif</w:t>
      </w:r>
    </w:p>
    <w:p>
      <w:pPr>
        <w:pStyle w:val="Normal"/>
      </w:pPr>
      <w:r>
        <w:t>login_server:</w:t>
      </w:r>
    </w:p>
    <w:p>
      <w:pPr>
        <w:pStyle w:val="Para 03"/>
      </w:pPr>
      <w:r>
        <w:t>driver = plaintext</w:t>
      </w:r>
    </w:p>
    <w:p>
      <w:pPr>
        <w:pStyle w:val="Para 03"/>
      </w:pPr>
      <w:r>
        <w:t>public_name = LOGIN</w:t>
      </w:r>
    </w:p>
    <w:p>
      <w:pPr>
        <w:pStyle w:val="Para 03"/>
      </w:pPr>
      <w:r>
        <w:t>server_prompts = "Username:: : Password::"</w:t>
      </w:r>
    </w:p>
    <w:p>
      <w:pPr>
        <w:pStyle w:val="Para 03"/>
      </w:pPr>
      <w:r>
        <w:t>server_condition = "${if crypteq{$auth2}{${extract{1}{:}{${lookup{$auth1}lsearch</w:t>
      </w:r>
    </w:p>
    <w:p>
      <w:pPr>
        <w:pStyle w:val="Normal"/>
      </w:pPr>
      <w:r>
        <w:t>{CONFDIR/passwd}{$value}{*:*}}}}}{1}{0}}"</w:t>
      </w:r>
    </w:p>
    <w:p>
      <w:pPr>
        <w:pStyle w:val="Para 03"/>
      </w:pPr>
      <w:r>
        <w:t>server_set_id = $auth1</w:t>
      </w:r>
    </w:p>
    <w:p>
      <w:pPr>
        <w:pStyle w:val="Para 03"/>
      </w:pPr>
      <w:r>
        <w:t>.ifndef AUTH_SERVER_ALLOW_NOTLS_PASSWORDS</w:t>
      </w:r>
    </w:p>
    <w:p>
      <w:pPr>
        <w:pStyle w:val="Para 03"/>
      </w:pPr>
      <w:r>
        <w:t>server_advertise_condition = ${if eq{$tls_in_cipher}{}{}{*}}</w:t>
      </w:r>
    </w:p>
    <w:p>
      <w:pPr>
        <w:pStyle w:val="Para 03"/>
      </w:pPr>
      <w:r>
        <w:t>.endif</w:t>
      </w:r>
    </w:p>
    <w:p>
      <w:pPr>
        <w:pStyle w:val="Para 17"/>
      </w:pPr>
      <w:r>
        <w:t/>
      </w:r>
    </w:p>
    <w:p>
      <w:pPr>
        <w:pStyle w:val="Para 08"/>
      </w:pPr>
      <w:r>
        <w:t>Warning:</w:t>
      </w:r>
    </w:p>
    <w:p>
      <w:pPr>
        <w:pStyle w:val="Para 17"/>
      </w:pPr>
      <w:r>
        <w:t/>
      </w:r>
    </w:p>
    <w:p>
      <w:pPr>
        <w:pStyle w:val="Para 03"/>
      </w:pPr>
      <w:r>
        <w:t>DO NOT enable both these and the _saslauthd_server variants (from “Authenticating ex-</w:t>
      </w:r>
    </w:p>
    <w:p>
      <w:pPr>
        <w:pStyle w:val="Para 03"/>
      </w:pPr>
      <w:r>
        <w:t>isting Linux users” above) at the same time!</w:t>
      </w:r>
    </w:p>
    <w:p>
      <w:pPr>
        <w:pStyle w:val="Para 17"/>
      </w:pPr>
      <w:r>
        <w:t/>
      </w:r>
    </w:p>
    <w:p>
      <w:pPr>
        <w:pStyle w:val="Normal"/>
      </w:pPr>
      <w:r>
        <w:t>These mechanisms will lookup usernames and passwords in the /etc/exim4/passwd file, which has to be created and populated. The format of this file is:</w:t>
      </w:r>
    </w:p>
    <w:p>
      <w:pPr>
        <w:pStyle w:val="Normal"/>
      </w:pPr>
      <w:r>
        <w:t>username:crypted-password:cleartext-password</w:t>
      </w:r>
    </w:p>
    <w:p>
      <w:pPr>
        <w:pStyle w:val="Para 17"/>
      </w:pPr>
      <w:r>
        <w:t/>
      </w:r>
    </w:p>
    <w:p>
      <w:pPr>
        <w:pStyle w:val="Normal"/>
      </w:pPr>
      <w:r>
        <w:t>The Exim4 installation ships a helper script that can populate this file. It is a simple interactive script that can be run like this:</w:t>
      </w:r>
    </w:p>
    <w:p>
      <w:pPr>
        <w:pStyle w:val="Normal"/>
      </w:pPr>
      <w:r>
        <w:t>sudo /usr/share/doc/exim4-base/examples/exim-adduser</w:t>
      </w:r>
    </w:p>
    <w:p>
      <w:pPr>
        <w:pStyle w:val="Para 17"/>
      </w:pPr>
      <w:r>
        <w:t/>
      </w:r>
    </w:p>
    <w:p>
      <w:pPr>
        <w:pStyle w:val="Normal"/>
      </w:pPr>
      <w:r>
        <w:t>It will prompt for a username and password. In this example we are creating an ubuntu entry with the password ubuntusecret:</w:t>
      </w:r>
    </w:p>
    <w:p>
      <w:pPr>
        <w:pStyle w:val="Normal"/>
      </w:pPr>
      <w:r>
        <w:t>User: ubuntu</w:t>
      </w:r>
    </w:p>
    <w:p>
      <w:pPr>
        <w:pStyle w:val="Normal"/>
      </w:pPr>
      <w:r>
        <w:t>Password: ubuntusecret</w:t>
      </w:r>
    </w:p>
    <w:p>
      <w:pPr>
        <w:pStyle w:val="Para 17"/>
      </w:pPr>
      <w:r>
        <w:t/>
      </w:r>
    </w:p>
    <w:p>
      <w:pPr>
        <w:pStyle w:val="Normal"/>
      </w:pPr>
      <w:r>
        <w:t>After that, we will have a /etc/exim4/passwd file, owned by root:root and mode 0644, with contents similar to this:</w:t>
      </w:r>
    </w:p>
    <w:p>
      <w:pPr>
        <w:pStyle w:val="Normal"/>
      </w:pPr>
      <w:r>
        <w:t>ubuntu:$1$ZvPA$HTddFobmJD1vURtJHBmbw/:ubuntusecret</w:t>
        <w:t xml:space="preserve"> Since this file contains secrets, it should be protected, and Exim4 has to be allowed to read it:</w:t>
      </w:r>
    </w:p>
    <w:p>
      <w:bookmarkStart w:id="719" w:name="page_4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6" name="index-487_1.png" descr="index-487_1.png"/>
            <wp:cNvGraphicFramePr>
              <a:graphicFrameLocks noChangeAspect="1"/>
            </wp:cNvGraphicFramePr>
            <a:graphic>
              <a:graphicData uri="http://schemas.openxmlformats.org/drawingml/2006/picture">
                <pic:pic>
                  <pic:nvPicPr>
                    <pic:cNvPr id="0" name="index-487_1.png" descr="index-487_1.png"/>
                    <pic:cNvPicPr/>
                  </pic:nvPicPr>
                  <pic:blipFill>
                    <a:blip r:embed="rId500"/>
                    <a:stretch>
                      <a:fillRect/>
                    </a:stretch>
                  </pic:blipFill>
                  <pic:spPr>
                    <a:xfrm>
                      <a:off x="0" y="0"/>
                      <a:ext cx="914400" cy="266700"/>
                    </a:xfrm>
                    <a:prstGeom prst="rect">
                      <a:avLst/>
                    </a:prstGeom>
                  </pic:spPr>
                </pic:pic>
              </a:graphicData>
            </a:graphic>
          </wp:anchor>
        </w:drawing>
      </w:r>
      <w:bookmarkEnd w:id="719"/>
    </w:p>
    <w:p>
      <w:pPr>
        <w:pStyle w:val="Normal"/>
      </w:pPr>
      <w:r>
        <w:t>sudo chown root:Debian-exim /etc/exim4/passwd</w:t>
      </w:r>
    </w:p>
    <w:p>
      <w:pPr>
        <w:pStyle w:val="Normal"/>
      </w:pPr>
      <w:r>
        <w:t>sudo chmod 0640 /etc/exim4/passwd</w:t>
      </w:r>
    </w:p>
    <w:p>
      <w:pPr>
        <w:pStyle w:val="Para 17"/>
      </w:pPr>
      <w:r>
        <w:t/>
      </w:r>
    </w:p>
    <w:p>
      <w:pPr>
        <w:pStyle w:val="Normal"/>
      </w:pPr>
      <w:r>
        <w:t>The same script can also be used to manage users in this passwd file:</w:t>
      </w:r>
    </w:p>
    <w:p>
      <w:pPr>
        <w:pStyle w:val="Para 04"/>
      </w:pPr>
      <w:r>
        <w:t>• To change the password of an existing user, edit the passwd file, delete the line corre-</w:t>
      </w:r>
    </w:p>
    <w:p>
      <w:pPr>
        <w:pStyle w:val="Para 02"/>
      </w:pPr>
      <w:r>
        <w:t>sponding to the user, save the file, and run the script again to provide the new pass-word.</w:t>
      </w:r>
    </w:p>
    <w:p>
      <w:pPr>
        <w:pStyle w:val="Para 04"/>
      </w:pPr>
      <w:r>
        <w:t>• To add another user, run the script and provide the new user name, and their password.</w:t>
      </w:r>
    </w:p>
    <w:p>
      <w:pPr>
        <w:pStyle w:val="Para 04"/>
      </w:pPr>
      <w:r>
        <w:t>• To remove a user, edit the file with a text editor and delete the line corresponding to</w:t>
      </w:r>
    </w:p>
    <w:p>
      <w:pPr>
        <w:pStyle w:val="Para 02"/>
      </w:pPr>
      <w:r>
        <w:t>the user that should be removed.</w:t>
      </w:r>
    </w:p>
    <w:p>
      <w:pPr>
        <w:pStyle w:val="Para 17"/>
      </w:pPr>
      <w:r>
        <w:t/>
      </w:r>
    </w:p>
    <w:p>
      <w:pPr>
        <w:pStyle w:val="Para 08"/>
      </w:pPr>
      <w:r>
        <w:t>Warning:</w:t>
      </w:r>
    </w:p>
    <w:p>
      <w:pPr>
        <w:pStyle w:val="Para 17"/>
      </w:pPr>
      <w:r>
        <w:t/>
      </w:r>
    </w:p>
    <w:p>
      <w:pPr>
        <w:pStyle w:val="Para 03"/>
      </w:pPr>
      <w:r>
        <w:t>The /usr/share/doc/exim4-base/examples/exim-adduser serves mostly as an example and</w:t>
      </w:r>
    </w:p>
    <w:p>
      <w:pPr>
        <w:pStyle w:val="Para 03"/>
      </w:pPr>
      <w:r>
        <w:t>is not able to handle many scenarios. For example, it won’t check if the username you are</w:t>
      </w:r>
    </w:p>
    <w:p>
      <w:pPr>
        <w:pStyle w:val="Para 03"/>
      </w:pPr>
      <w:r>
        <w:t>providing already exists in the passwd file, which can lead to multiple entries for the same</w:t>
      </w:r>
    </w:p>
    <w:p>
      <w:pPr>
        <w:pStyle w:val="Para 03"/>
      </w:pPr>
      <w:r>
        <w:t>user, with unpredictable results.</w:t>
      </w:r>
    </w:p>
    <w:p>
      <w:pPr>
        <w:pStyle w:val="Para 17"/>
      </w:pPr>
      <w:r>
        <w:t/>
      </w:r>
    </w:p>
    <w:p>
      <w:pPr>
        <w:pStyle w:val="Normal"/>
      </w:pPr>
      <w:r>
        <w:t>Finally, update the Exim4 configuration and restart the service:</w:t>
      </w:r>
    </w:p>
    <w:p>
      <w:pPr>
        <w:pStyle w:val="Normal"/>
      </w:pPr>
      <w:r>
        <w:t>sudo update-exim4.conf</w:t>
      </w:r>
    </w:p>
    <w:p>
      <w:pPr>
        <w:pStyle w:val="Normal"/>
      </w:pPr>
      <w:r>
        <w:t>sudo systemctl restart exim4</w:t>
      </w:r>
    </w:p>
    <w:p>
      <w:pPr>
        <w:pStyle w:val="Para 17"/>
      </w:pPr>
      <w:r>
        <w:t/>
      </w:r>
    </w:p>
    <w:p>
      <w:pPr>
        <w:pStyle w:val="Para 08"/>
      </w:pPr>
      <w:r>
        <w:t>Note:</w:t>
      </w:r>
    </w:p>
    <w:p>
      <w:pPr>
        <w:pStyle w:val="Para 03"/>
      </w:pPr>
      <w:r>
        <w:t>There is no need to restart Exim4 after making changes to the /etc/exim4/passwd file.</w:t>
      </w:r>
    </w:p>
    <w:p>
      <w:pPr>
        <w:pStyle w:val="Para 17"/>
      </w:pPr>
      <w:r>
        <w:t/>
      </w:r>
    </w:p>
    <w:p>
      <w:pPr>
        <w:pStyle w:val="Para 01"/>
      </w:pPr>
      <w:r>
        <w:t>Troubleshooting</w:t>
      </w:r>
    </w:p>
    <w:p>
      <w:pPr>
        <w:pStyle w:val="Para 17"/>
      </w:pPr>
      <w:r>
        <w:t/>
      </w:r>
    </w:p>
    <w:p>
      <w:pPr>
        <w:pStyle w:val="Normal"/>
      </w:pPr>
      <w:r>
        <w:t>Exim4 has logs in its own directory in /var/log/exim4/mainlog. Whenever troubleshooting the service, always look at that log file.</w:t>
      </w:r>
    </w:p>
    <w:p>
      <w:pPr>
        <w:pStyle w:val="Normal"/>
      </w:pPr>
      <w:r>
        <w:t>A quick test to verify if saslauthd is working can be performed with the testsaslauthd com-mand. Assuming you have a local user called ubuntu with a password of ubuntusecret, this command can be used to test the authentication on the Exim4 server:</w:t>
      </w:r>
    </w:p>
    <w:p>
      <w:pPr>
        <w:pStyle w:val="Normal"/>
      </w:pPr>
      <w:r>
        <w:t>testsaslauthd -u ubuntu -p ubuntusecret</w:t>
      </w:r>
    </w:p>
    <w:p>
      <w:pPr>
        <w:pStyle w:val="Para 17"/>
      </w:pPr>
      <w:r>
        <w:t/>
      </w:r>
    </w:p>
    <w:p>
      <w:pPr>
        <w:pStyle w:val="Normal"/>
      </w:pPr>
      <w:r>
        <w:t>The result should be OK:</w:t>
      </w:r>
    </w:p>
    <w:p>
      <w:pPr>
        <w:pStyle w:val="Normal"/>
      </w:pPr>
      <w:r>
        <w:t>0: OK "Success."</w:t>
      </w:r>
    </w:p>
    <w:p>
      <w:pPr>
        <w:pStyle w:val="Para 17"/>
      </w:pPr>
      <w:r>
        <w:t/>
      </w:r>
    </w:p>
    <w:p>
      <w:pPr>
        <w:pStyle w:val="Normal"/>
      </w:pPr>
      <w:r>
        <w:t xml:space="preserve">Note that this tests only the saslauthd service, not the Exim4 integration with it. For that we need to actually connect to the SMTP service and try out the authentication. A good helper tool for this is shipped in the cyrus-clients package. Since this is part of another email system, it’s best to install it on another machine, and not on the same machine as Exim4. </w:t>
        <w:t>sudo apt install cyrus-clients --no-install-recommends</w:t>
      </w:r>
    </w:p>
    <w:p>
      <w:bookmarkStart w:id="720" w:name="page_4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7" name="index-488_1.png" descr="index-488_1.png"/>
            <wp:cNvGraphicFramePr>
              <a:graphicFrameLocks noChangeAspect="1"/>
            </wp:cNvGraphicFramePr>
            <a:graphic>
              <a:graphicData uri="http://schemas.openxmlformats.org/drawingml/2006/picture">
                <pic:pic>
                  <pic:nvPicPr>
                    <pic:cNvPr id="0" name="index-488_1.png" descr="index-488_1.png"/>
                    <pic:cNvPicPr/>
                  </pic:nvPicPr>
                  <pic:blipFill>
                    <a:blip r:embed="rId501"/>
                    <a:stretch>
                      <a:fillRect/>
                    </a:stretch>
                  </pic:blipFill>
                  <pic:spPr>
                    <a:xfrm>
                      <a:off x="0" y="0"/>
                      <a:ext cx="914400" cy="266700"/>
                    </a:xfrm>
                    <a:prstGeom prst="rect">
                      <a:avLst/>
                    </a:prstGeom>
                  </pic:spPr>
                </pic:pic>
              </a:graphicData>
            </a:graphic>
          </wp:anchor>
        </w:drawing>
      </w:r>
      <w:bookmarkEnd w:id="720"/>
    </w:p>
    <w:p>
      <w:pPr>
        <w:pStyle w:val="Para 17"/>
      </w:pPr>
      <w:r>
        <w:t/>
      </w:r>
    </w:p>
    <w:p>
      <w:pPr>
        <w:pStyle w:val="Normal"/>
      </w:pPr>
      <w:r>
        <w:t>Here we are using the extra--no-install-recommends option because we don’t need all the other components of the Cyrus email system.</w:t>
      </w:r>
    </w:p>
    <w:p>
      <w:pPr>
        <w:pStyle w:val="Normal"/>
      </w:pPr>
      <w:r>
        <w:t>The tool we are interested in is called smtptest, and its documentation can be inspected in</w:t>
      </w:r>
    </w:p>
    <w:p>
      <w:pPr>
        <w:pStyle w:val="Normal"/>
      </w:pPr>
      <w:r>
        <w:t xml:space="preserve">its manual page at </w:t>
      </w:r>
      <w:hyperlink r:id="rId1404">
        <w:r>
          <w:rPr>
            <w:rStyle w:val="Text9"/>
          </w:rPr>
          <w:t>450</w:t>
        </w:r>
      </w:hyperlink>
      <w:hyperlink r:id="rId1404">
        <w:r>
          <w:rPr>
            <w:rStyle w:val="Text1"/>
          </w:rPr>
          <w:t xml:space="preserve"> </w:t>
        </w:r>
      </w:hyperlink>
      <w:hyperlink r:id="rId1404">
        <w:r>
          <w:rPr>
            <w:rStyle w:val="Text2"/>
          </w:rPr>
          <w:t>cyrus-smtptest(1)</w:t>
        </w:r>
      </w:hyperlink>
      <w:r>
        <w:t>.</w:t>
      </w:r>
    </w:p>
    <w:p>
      <w:pPr>
        <w:pStyle w:val="Normal"/>
      </w:pPr>
      <w:r>
        <w:t>For our purposes, we will run it like this, assuming an ubuntu user with the ubuntusecret pass-word, and that the Exim4 server is running on the n-exim.lxd system:</w:t>
      </w:r>
    </w:p>
    <w:p>
      <w:pPr>
        <w:pStyle w:val="Normal"/>
      </w:pPr>
      <w:r>
        <w:t>/usr/lib/cyrus/bin/smtptest -t "" -a ubuntu -w ubuntusecret n-exim.lxd</w:t>
      </w:r>
    </w:p>
    <w:p>
      <w:pPr>
        <w:pStyle w:val="Para 17"/>
      </w:pPr>
      <w:r>
        <w:t/>
      </w:r>
    </w:p>
    <w:p>
      <w:pPr>
        <w:pStyle w:val="Normal"/>
      </w:pPr>
      <w:r>
        <w:t>The command-line parameters are:</w:t>
      </w:r>
    </w:p>
    <w:p>
      <w:pPr>
        <w:pStyle w:val="Para 04"/>
      </w:pPr>
      <w:r>
        <w:t>•-t "": Enable TLS.</w:t>
      </w:r>
    </w:p>
    <w:p>
      <w:pPr>
        <w:pStyle w:val="Para 04"/>
      </w:pPr>
      <w:r>
        <w:t>•-a ubuntu: Use ubuntu as the authenticating user.</w:t>
      </w:r>
    </w:p>
    <w:p>
      <w:pPr>
        <w:pStyle w:val="Para 04"/>
      </w:pPr>
      <w:r>
        <w:t>•-w ubuntusecret: Authenticate using the ubuntusecret password.</w:t>
      </w:r>
    </w:p>
    <w:p>
      <w:pPr>
        <w:pStyle w:val="Para 04"/>
      </w:pPr>
      <w:r>
        <w:t>• n-exim.lxd: The hostname of the Exim4 server to connect to.</w:t>
      </w:r>
    </w:p>
    <w:p>
      <w:pPr>
        <w:pStyle w:val="Normal"/>
      </w:pPr>
      <w:r>
        <w:t>If all works well, the output will be similar to this, showing that the connection was switched to TLS, and the authentication worked:</w:t>
      </w:r>
    </w:p>
    <w:p>
      <w:pPr>
        <w:pStyle w:val="Normal"/>
      </w:pPr>
      <w:r>
        <w:t>S: 220 n-exim ESMTP Exim 4.97 Ubuntu Mon, 23 Jun 2025 21:11:59 +0000</w:t>
        <w:t xml:space="preserve"> </w:t>
        <w:t>C: EHLO smtptest</w:t>
      </w:r>
    </w:p>
    <w:p>
      <w:pPr>
        <w:pStyle w:val="Normal"/>
      </w:pPr>
      <w:r>
        <w:t>S: 250-n-exim Hello n-exim.lxd [10.10.17.9]</w:t>
      </w:r>
    </w:p>
    <w:p>
      <w:pPr>
        <w:pStyle w:val="Normal"/>
      </w:pPr>
      <w:r>
        <w:t>S: 250-SIZE 52428800</w:t>
      </w:r>
    </w:p>
    <w:p>
      <w:pPr>
        <w:pStyle w:val="Normal"/>
      </w:pPr>
      <w:r>
        <w:t>S: 250-8BITMIME</w:t>
      </w:r>
    </w:p>
    <w:p>
      <w:pPr>
        <w:pStyle w:val="Normal"/>
      </w:pPr>
      <w:r>
        <w:t>S: 250-PIPELINING</w:t>
      </w:r>
    </w:p>
    <w:p>
      <w:pPr>
        <w:pStyle w:val="Normal"/>
      </w:pPr>
      <w:r>
        <w:t>S: 250-PIPECONNECT</w:t>
      </w:r>
    </w:p>
    <w:p>
      <w:pPr>
        <w:pStyle w:val="Normal"/>
      </w:pPr>
      <w:r>
        <w:t>S: 250-CHUNKING</w:t>
      </w:r>
    </w:p>
    <w:p>
      <w:pPr>
        <w:pStyle w:val="Normal"/>
      </w:pPr>
      <w:r>
        <w:t>S: 250-STARTTLS</w:t>
      </w:r>
    </w:p>
    <w:p>
      <w:pPr>
        <w:pStyle w:val="Normal"/>
      </w:pPr>
      <w:r>
        <w:t>S: 250-PRDR</w:t>
      </w:r>
    </w:p>
    <w:p>
      <w:pPr>
        <w:pStyle w:val="Normal"/>
      </w:pPr>
      <w:r>
        <w:t>S: 250 HELP</w:t>
      </w:r>
    </w:p>
    <w:p>
      <w:pPr>
        <w:pStyle w:val="Normal"/>
      </w:pPr>
      <w:r>
        <w:t>C: STARTTLS</w:t>
      </w:r>
    </w:p>
    <w:p>
      <w:pPr>
        <w:pStyle w:val="Normal"/>
      </w:pPr>
      <w:r>
        <w:t>S: 220 TLS go ahead</w:t>
      </w:r>
    </w:p>
    <w:p>
      <w:pPr>
        <w:pStyle w:val="Normal"/>
      </w:pPr>
      <w:r>
        <w:t>verify error:num=18:self-signed certificate</w:t>
      </w:r>
    </w:p>
    <w:p>
      <w:pPr>
        <w:pStyle w:val="Normal"/>
      </w:pPr>
      <w:r>
        <w:t>TLS connection established: TLSv1.3 with cipher TLS_AES_256_GCM_SHA384 (256/256 bits)</w:t>
        <w:t xml:space="preserve"> </w:t>
        <w:t>C: EHLO smtptest</w:t>
      </w:r>
    </w:p>
    <w:p>
      <w:pPr>
        <w:pStyle w:val="Normal"/>
      </w:pPr>
      <w:r>
        <w:t>S: 250-n-exim Hello n-exim.lxd [10.10.17.9]</w:t>
      </w:r>
    </w:p>
    <w:p>
      <w:pPr>
        <w:pStyle w:val="Normal"/>
      </w:pPr>
      <w:r>
        <w:t>S: 250-SIZE 52428800</w:t>
      </w:r>
    </w:p>
    <w:p>
      <w:pPr>
        <w:pStyle w:val="Normal"/>
      </w:pPr>
      <w:r>
        <w:t>S: 250-8BITMIME</w:t>
      </w:r>
    </w:p>
    <w:p>
      <w:pPr>
        <w:pStyle w:val="Normal"/>
      </w:pPr>
      <w:r>
        <w:t>S: 250-PIPELINING</w:t>
      </w:r>
    </w:p>
    <w:p>
      <w:pPr>
        <w:pStyle w:val="Normal"/>
      </w:pPr>
      <w:r>
        <w:t>S: 250-PIPECONNECT</w:t>
      </w:r>
    </w:p>
    <w:p>
      <w:pPr>
        <w:pStyle w:val="Normal"/>
      </w:pPr>
      <w:r>
        <w:t>S: 250-AUTH PLAIN LOGIN</w:t>
      </w:r>
    </w:p>
    <w:p>
      <w:pPr>
        <w:pStyle w:val="Normal"/>
      </w:pPr>
      <w:r>
        <w:t>S: 250-CHUNKING</w:t>
      </w:r>
    </w:p>
    <w:p>
      <w:pPr>
        <w:pStyle w:val="Normal"/>
      </w:pPr>
      <w:r>
        <w:t>S: 250-PRDR</w:t>
      </w:r>
    </w:p>
    <w:p>
      <w:pPr>
        <w:pStyle w:val="Normal"/>
      </w:pPr>
      <w:r>
        <w:t>S: 250 HELP</w:t>
      </w:r>
    </w:p>
    <w:p>
      <w:pPr>
        <w:pStyle w:val="Normal"/>
      </w:pPr>
      <w:r>
        <w:t>C: AUTH LOGIN</w:t>
      </w:r>
    </w:p>
    <w:p>
      <w:pPr>
        <w:pStyle w:val="Normal"/>
      </w:pPr>
      <w:r>
        <w:t>S: 334 VXNlcm5hbWU6</w:t>
      </w:r>
    </w:p>
    <w:p>
      <w:pPr>
        <w:pStyle w:val="Normal"/>
      </w:pPr>
      <w:r>
        <w:t>C: dWJ1bnR1</w:t>
      </w:r>
    </w:p>
    <w:p>
      <w:pPr>
        <w:pStyle w:val="Normal"/>
      </w:pPr>
      <w:r>
        <w:t>S: 334 UGFzc3dvcmQ6</w:t>
      </w:r>
    </w:p>
    <w:p>
      <w:pPr>
        <w:pStyle w:val="Normal"/>
      </w:pPr>
      <w:r>
        <w:t>C: dWJ1bnR1c2VjcmV0</w:t>
      </w:r>
    </w:p>
    <w:p>
      <w:pPr>
        <w:pStyle w:val="Para 09"/>
      </w:pPr>
      <w:r>
        <w:t>(continues on next page)</w:t>
      </w:r>
    </w:p>
    <w:p>
      <w:pPr>
        <w:pStyle w:val="Para 05"/>
      </w:pPr>
      <w:r>
        <w:rPr>
          <w:rStyle w:val="Text5"/>
        </w:rPr>
        <w:t>450</w:t>
      </w:r>
      <w:r>
        <w:rPr>
          <w:rStyle w:val="Text8"/>
        </w:rPr>
        <w:t xml:space="preserve"> </w:t>
      </w:r>
      <w:r>
        <w:t>https://manpages.ubuntu.com/manpages/resolute/man1/cyrus-smtptest.1.html</w:t>
      </w:r>
    </w:p>
    <w:p>
      <w:bookmarkStart w:id="721" w:name="page_4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8" name="index-489_1.png" descr="index-489_1.png"/>
            <wp:cNvGraphicFramePr>
              <a:graphicFrameLocks noChangeAspect="1"/>
            </wp:cNvGraphicFramePr>
            <a:graphic>
              <a:graphicData uri="http://schemas.openxmlformats.org/drawingml/2006/picture">
                <pic:pic>
                  <pic:nvPicPr>
                    <pic:cNvPr id="0" name="index-489_1.png" descr="index-489_1.png"/>
                    <pic:cNvPicPr/>
                  </pic:nvPicPr>
                  <pic:blipFill>
                    <a:blip r:embed="rId502"/>
                    <a:stretch>
                      <a:fillRect/>
                    </a:stretch>
                  </pic:blipFill>
                  <pic:spPr>
                    <a:xfrm>
                      <a:off x="0" y="0"/>
                      <a:ext cx="914400" cy="266700"/>
                    </a:xfrm>
                    <a:prstGeom prst="rect">
                      <a:avLst/>
                    </a:prstGeom>
                  </pic:spPr>
                </pic:pic>
              </a:graphicData>
            </a:graphic>
          </wp:anchor>
        </w:drawing>
      </w:r>
      <w:bookmarkEnd w:id="721"/>
    </w:p>
    <w:p>
      <w:pPr>
        <w:pStyle w:val="Para 09"/>
      </w:pPr>
      <w:r>
        <w:t>(continued from previous page)</w:t>
      </w:r>
    </w:p>
    <w:p>
      <w:pPr>
        <w:pStyle w:val="Normal"/>
      </w:pPr>
      <w:r>
        <w:t>S: 235 Authentication succeeded</w:t>
      </w:r>
    </w:p>
    <w:p>
      <w:pPr>
        <w:pStyle w:val="Normal"/>
      </w:pPr>
      <w:r>
        <w:t>Authenticated.</w:t>
      </w:r>
    </w:p>
    <w:p>
      <w:pPr>
        <w:pStyle w:val="Normal"/>
      </w:pPr>
      <w:r>
        <w:t>Security strength factor: 256</w:t>
      </w:r>
    </w:p>
    <w:p>
      <w:pPr>
        <w:pStyle w:val="Para 17"/>
      </w:pPr>
      <w:r>
        <w:t/>
      </w:r>
    </w:p>
    <w:p>
      <w:pPr>
        <w:pStyle w:val="Normal"/>
      </w:pPr>
      <w:r>
        <w:t>It will appear to freeze at this point, but it’s just waiting for the SMTP commands, i.e., receive an email. You can exit by typing QUIT followed by pressing enter.</w:t>
      </w:r>
    </w:p>
    <w:p>
      <w:pPr>
        <w:pStyle w:val="Normal"/>
      </w:pPr>
      <w:r>
        <w:t>Interesting points to note in the output above:</w:t>
      </w:r>
    </w:p>
    <w:p>
      <w:pPr>
        <w:pStyle w:val="Para 04"/>
      </w:pPr>
      <w:r>
        <w:t>• No authentication was offered before the connection was switched to TLS. That’s be-</w:t>
      </w:r>
    </w:p>
    <w:p>
      <w:pPr>
        <w:pStyle w:val="Para 02"/>
      </w:pPr>
      <w:r>
        <w:t>cause the only mechanisms which are configured are plain-text ones. Without TLS, the password would be exposed on the network.</w:t>
      </w:r>
    </w:p>
    <w:p>
      <w:pPr>
        <w:pStyle w:val="Para 04"/>
      </w:pPr>
      <w:r>
        <w:t>• Since this documentation used a self-signed certificate, that was highlighted right be-</w:t>
      </w:r>
    </w:p>
    <w:p>
      <w:pPr>
        <w:pStyle w:val="Para 02"/>
      </w:pPr>
      <w:r>
        <w:t>fore the TLS session was established. A real email client would probably abort the con-nection at this point.</w:t>
      </w:r>
    </w:p>
    <w:p>
      <w:pPr>
        <w:pStyle w:val="Para 04"/>
      </w:pPr>
      <w:r>
        <w:t>• After TLS was established, the LOGIN mechanism was chosen.</w:t>
      </w:r>
    </w:p>
    <w:p>
      <w:pPr>
        <w:pStyle w:val="Para 04"/>
      </w:pPr>
      <w:r>
        <w:t>• The username and password are sent base64 encoded. Do not mistake that for encryp-</w:t>
      </w:r>
    </w:p>
    <w:p>
      <w:pPr>
        <w:pStyle w:val="Para 02"/>
      </w:pPr>
      <w:r>
        <w:t>tion: this is just an encoding mechanism!</w:t>
      </w:r>
    </w:p>
    <w:p>
      <w:pPr>
        <w:pStyle w:val="Para 17"/>
      </w:pPr>
      <w:r>
        <w:t/>
      </w:r>
    </w:p>
    <w:p>
      <w:pPr>
        <w:pStyle w:val="Para 08"/>
      </w:pPr>
      <w:r>
        <w:t>Tip:</w:t>
      </w:r>
    </w:p>
    <w:p>
      <w:pPr>
        <w:pStyle w:val="Para 17"/>
      </w:pPr>
      <w:r>
        <w:t/>
      </w:r>
    </w:p>
    <w:p>
      <w:pPr>
        <w:pStyle w:val="Para 03"/>
      </w:pPr>
      <w:r>
        <w:t>Want to obtain the original username and password back from the base64 encoded values?</w:t>
      </w:r>
    </w:p>
    <w:p>
      <w:pPr>
        <w:pStyle w:val="Para 03"/>
      </w:pPr>
      <w:r>
        <w:t>Feed those values to the base64 -d tool. Example, using the value from the session above:</w:t>
      </w:r>
    </w:p>
    <w:p>
      <w:pPr>
        <w:pStyle w:val="Para 03"/>
      </w:pPr>
      <w:r>
        <w:t>$ echo -n dWJ1bnR1c2VjcmV0 | base64 -d; echo</w:t>
      </w:r>
    </w:p>
    <w:p>
      <w:pPr>
        <w:pStyle w:val="Para 03"/>
      </w:pPr>
      <w:r>
        <w:t>ubuntusecret</w:t>
      </w:r>
    </w:p>
    <w:p>
      <w:pPr>
        <w:pStyle w:val="Para 17"/>
      </w:pPr>
      <w:r>
        <w:t/>
      </w:r>
    </w:p>
    <w:p>
      <w:pPr>
        <w:pStyle w:val="Normal"/>
      </w:pPr>
      <w:r>
        <w:t>To test the PLAIN mechanism, add the-m plain command-line option:</w:t>
      </w:r>
    </w:p>
    <w:p>
      <w:pPr>
        <w:pStyle w:val="Normal"/>
      </w:pPr>
      <w:r>
        <w:t>/usr/lib/cyrus/bin/smtptest -t "" -a ubuntu -w ubuntusecret -m plain n-exim.lxd</w:t>
      </w:r>
    </w:p>
    <w:p>
      <w:pPr>
        <w:pStyle w:val="Para 17"/>
      </w:pPr>
      <w:r>
        <w:t/>
      </w:r>
    </w:p>
    <w:p>
      <w:pPr>
        <w:pStyle w:val="Normal"/>
      </w:pPr>
      <w:r>
        <w:t>In the new output, PLAIN was selected:</w:t>
      </w:r>
    </w:p>
    <w:p>
      <w:pPr>
        <w:pStyle w:val="Normal"/>
      </w:pPr>
      <w:r>
        <w:t>S: 220 n-exim ESMTP Exim 4.97 Ubuntu Mon, 23 Jun 2025 21:15:39 +0000</w:t>
        <w:t xml:space="preserve"> </w:t>
        <w:t>C: EHLO smtptest</w:t>
      </w:r>
    </w:p>
    <w:p>
      <w:pPr>
        <w:pStyle w:val="Normal"/>
      </w:pPr>
      <w:r>
        <w:t>S: 250-n-exim Hello n-exim.lxd [10.10.17.9]</w:t>
      </w:r>
    </w:p>
    <w:p>
      <w:pPr>
        <w:pStyle w:val="Normal"/>
      </w:pPr>
      <w:r>
        <w:t>S: 250-SIZE 52428800</w:t>
      </w:r>
    </w:p>
    <w:p>
      <w:pPr>
        <w:pStyle w:val="Normal"/>
      </w:pPr>
      <w:r>
        <w:t>S: 250-8BITMIME</w:t>
      </w:r>
    </w:p>
    <w:p>
      <w:pPr>
        <w:pStyle w:val="Normal"/>
      </w:pPr>
      <w:r>
        <w:t>S: 250-PIPELINING</w:t>
      </w:r>
    </w:p>
    <w:p>
      <w:pPr>
        <w:pStyle w:val="Normal"/>
      </w:pPr>
      <w:r>
        <w:t>S: 250-PIPECONNECT</w:t>
      </w:r>
    </w:p>
    <w:p>
      <w:pPr>
        <w:pStyle w:val="Normal"/>
      </w:pPr>
      <w:r>
        <w:t>S: 250-CHUNKING</w:t>
      </w:r>
    </w:p>
    <w:p>
      <w:pPr>
        <w:pStyle w:val="Normal"/>
      </w:pPr>
      <w:r>
        <w:t>S: 250-STARTTLS</w:t>
      </w:r>
    </w:p>
    <w:p>
      <w:pPr>
        <w:pStyle w:val="Normal"/>
      </w:pPr>
      <w:r>
        <w:t>S: 250-PRDR</w:t>
      </w:r>
    </w:p>
    <w:p>
      <w:pPr>
        <w:pStyle w:val="Normal"/>
      </w:pPr>
      <w:r>
        <w:t>S: 250 HELP</w:t>
      </w:r>
    </w:p>
    <w:p>
      <w:pPr>
        <w:pStyle w:val="Normal"/>
      </w:pPr>
      <w:r>
        <w:t>C: STARTTLS</w:t>
      </w:r>
    </w:p>
    <w:p>
      <w:pPr>
        <w:pStyle w:val="Normal"/>
      </w:pPr>
      <w:r>
        <w:t>S: 220 TLS go ahead</w:t>
      </w:r>
    </w:p>
    <w:p>
      <w:pPr>
        <w:pStyle w:val="Normal"/>
      </w:pPr>
      <w:r>
        <w:t>verify error:num=18:self-signed certificate</w:t>
      </w:r>
    </w:p>
    <w:p>
      <w:pPr>
        <w:pStyle w:val="Normal"/>
      </w:pPr>
      <w:r>
        <w:t>TLS connection established: TLSv1.3 with cipher TLS_AES_256_GCM_SHA384 (256/256 bits)</w:t>
        <w:t xml:space="preserve"> </w:t>
        <w:t>C: EHLO smtptest</w:t>
      </w:r>
    </w:p>
    <w:p>
      <w:pPr>
        <w:pStyle w:val="Normal"/>
      </w:pPr>
      <w:r>
        <w:t>S: 250-n-exim Hello n-exim.lxd [10.10.17.9]</w:t>
      </w:r>
    </w:p>
    <w:p>
      <w:pPr>
        <w:pStyle w:val="Normal"/>
      </w:pPr>
      <w:r>
        <w:t>S: 250-SIZE 52428800</w:t>
      </w:r>
    </w:p>
    <w:p>
      <w:pPr>
        <w:pStyle w:val="Normal"/>
      </w:pPr>
      <w:r>
        <w:t>S: 250-8BITMIME</w:t>
      </w:r>
    </w:p>
    <w:p>
      <w:pPr>
        <w:pStyle w:val="Para 09"/>
      </w:pPr>
      <w:r>
        <w:t>(continues on next page)</w:t>
      </w:r>
    </w:p>
    <w:p>
      <w:bookmarkStart w:id="722" w:name="page_4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499" name="index-490_1.png" descr="index-490_1.png"/>
            <wp:cNvGraphicFramePr>
              <a:graphicFrameLocks noChangeAspect="1"/>
            </wp:cNvGraphicFramePr>
            <a:graphic>
              <a:graphicData uri="http://schemas.openxmlformats.org/drawingml/2006/picture">
                <pic:pic>
                  <pic:nvPicPr>
                    <pic:cNvPr id="0" name="index-490_1.png" descr="index-490_1.png"/>
                    <pic:cNvPicPr/>
                  </pic:nvPicPr>
                  <pic:blipFill>
                    <a:blip r:embed="rId503"/>
                    <a:stretch>
                      <a:fillRect/>
                    </a:stretch>
                  </pic:blipFill>
                  <pic:spPr>
                    <a:xfrm>
                      <a:off x="0" y="0"/>
                      <a:ext cx="914400" cy="266700"/>
                    </a:xfrm>
                    <a:prstGeom prst="rect">
                      <a:avLst/>
                    </a:prstGeom>
                  </pic:spPr>
                </pic:pic>
              </a:graphicData>
            </a:graphic>
          </wp:anchor>
        </w:drawing>
      </w:r>
      <w:bookmarkEnd w:id="722"/>
    </w:p>
    <w:p>
      <w:pPr>
        <w:pStyle w:val="Para 09"/>
      </w:pPr>
      <w:r>
        <w:t>(continued from previous page)</w:t>
      </w:r>
    </w:p>
    <w:p>
      <w:pPr>
        <w:pStyle w:val="Normal"/>
      </w:pPr>
      <w:r>
        <w:t>S: 250-PIPELINING</w:t>
      </w:r>
    </w:p>
    <w:p>
      <w:pPr>
        <w:pStyle w:val="Normal"/>
      </w:pPr>
      <w:r>
        <w:t>S: 250-PIPECONNECT</w:t>
      </w:r>
    </w:p>
    <w:p>
      <w:pPr>
        <w:pStyle w:val="Normal"/>
      </w:pPr>
      <w:r>
        <w:t>S: 250-AUTH PLAIN LOGIN</w:t>
      </w:r>
    </w:p>
    <w:p>
      <w:pPr>
        <w:pStyle w:val="Normal"/>
      </w:pPr>
      <w:r>
        <w:t>S: 250-CHUNKING</w:t>
      </w:r>
    </w:p>
    <w:p>
      <w:pPr>
        <w:pStyle w:val="Normal"/>
      </w:pPr>
      <w:r>
        <w:t>S: 250-PRDR</w:t>
      </w:r>
    </w:p>
    <w:p>
      <w:pPr>
        <w:pStyle w:val="Normal"/>
      </w:pPr>
      <w:r>
        <w:t>S: 250 HELP</w:t>
      </w:r>
    </w:p>
    <w:p>
      <w:pPr>
        <w:pStyle w:val="Normal"/>
      </w:pPr>
      <w:r>
        <w:t>C: AUTH PLAIN AHVidW50dQB1YnVudHVzZWNyZXQ=</w:t>
      </w:r>
    </w:p>
    <w:p>
      <w:pPr>
        <w:pStyle w:val="Normal"/>
      </w:pPr>
      <w:r>
        <w:t>S: 235 Authentication succeeded</w:t>
      </w:r>
    </w:p>
    <w:p>
      <w:pPr>
        <w:pStyle w:val="Normal"/>
      </w:pPr>
      <w:r>
        <w:t>Authenticated.</w:t>
      </w:r>
    </w:p>
    <w:p>
      <w:pPr>
        <w:pStyle w:val="Normal"/>
      </w:pPr>
      <w:r>
        <w:t>Security strength factor: 256</w:t>
      </w:r>
    </w:p>
    <w:p>
      <w:pPr>
        <w:pStyle w:val="Para 17"/>
      </w:pPr>
      <w:r>
        <w:t/>
      </w:r>
    </w:p>
    <w:p>
      <w:pPr>
        <w:pStyle w:val="Para 01"/>
      </w:pPr>
      <w:r>
        <w:t>Troubleshooting tips</w:t>
      </w:r>
    </w:p>
    <w:p>
      <w:pPr>
        <w:pStyle w:val="Para 17"/>
      </w:pPr>
      <w:r>
        <w:t/>
      </w:r>
    </w:p>
    <w:p>
      <w:pPr>
        <w:pStyle w:val="Normal"/>
      </w:pPr>
      <w:r>
        <w:t>Here are some troubleshooting tips.</w:t>
      </w:r>
    </w:p>
    <w:p>
      <w:pPr>
        <w:pStyle w:val="Para 17"/>
      </w:pPr>
      <w:r>
        <w:t/>
      </w:r>
    </w:p>
    <w:p>
      <w:pPr>
        <w:pStyle w:val="Para 01"/>
      </w:pPr>
      <w:r>
        <w:t>Permissions</w:t>
      </w:r>
    </w:p>
    <w:p>
      <w:pPr>
        <w:pStyle w:val="Para 17"/>
      </w:pPr>
      <w:r>
        <w:t/>
      </w:r>
    </w:p>
    <w:p>
      <w:pPr>
        <w:pStyle w:val="Para 04"/>
      </w:pPr>
      <w:r>
        <w:t>• If using saslauthd: Can the Debian-exim user read and write to the saslauthd socket in</w:t>
      </w:r>
    </w:p>
    <w:p>
      <w:pPr>
        <w:pStyle w:val="Para 02"/>
      </w:pPr>
      <w:r>
        <w:t>/run/saslauthd/mux socket?</w:t>
      </w:r>
    </w:p>
    <w:p>
      <w:pPr>
        <w:pStyle w:val="Para 04"/>
      </w:pPr>
      <w:r>
        <w:t>• If using /etc/exim4/passwd: Can the Debian-exim user read this file?</w:t>
      </w:r>
    </w:p>
    <w:p>
      <w:pPr>
        <w:pStyle w:val="Para 17"/>
      </w:pPr>
      <w:r>
        <w:t/>
      </w:r>
    </w:p>
    <w:p>
      <w:pPr>
        <w:pStyle w:val="Para 01"/>
      </w:pPr>
      <w:r>
        <w:t>Config</w:t>
      </w:r>
    </w:p>
    <w:p>
      <w:pPr>
        <w:pStyle w:val="Para 17"/>
      </w:pPr>
      <w:r>
        <w:t/>
      </w:r>
    </w:p>
    <w:p>
      <w:pPr>
        <w:pStyle w:val="Para 04"/>
      </w:pPr>
      <w:r>
        <w:t>• If changing a configuration file under /etc/exim4/conf.d/, make sure to be using the</w:t>
      </w:r>
    </w:p>
    <w:p>
      <w:pPr>
        <w:pStyle w:val="Para 02"/>
      </w:pPr>
      <w:r>
        <w:t>split-config mode! Check the /etc/exim4/update-exim4.conf.conf file to see which mode is in use.</w:t>
      </w:r>
    </w:p>
    <w:p>
      <w:pPr>
        <w:pStyle w:val="Para 04"/>
      </w:pPr>
      <w:r>
        <w:t>• Similarly, if changing the configuration file /etc/exim4/exim4.conf.template, make</w:t>
      </w:r>
    </w:p>
    <w:p>
      <w:pPr>
        <w:pStyle w:val="Para 02"/>
      </w:pPr>
      <w:r>
        <w:t>sure to be using the non-split mode.</w:t>
      </w:r>
    </w:p>
    <w:p>
      <w:pPr>
        <w:pStyle w:val="Para 04"/>
      </w:pPr>
      <w:r>
        <w:t>• After any configuration file change, be it split mode or not, be sure to run sudo update-</w:t>
      </w:r>
    </w:p>
    <w:p>
      <w:pPr>
        <w:pStyle w:val="Para 02"/>
      </w:pPr>
      <w:r>
        <w:t>exim4.conf and restart the exim4 service.</w:t>
      </w:r>
    </w:p>
    <w:p>
      <w:pPr>
        <w:pStyle w:val="Para 17"/>
      </w:pPr>
      <w:r>
        <w:t/>
      </w:r>
    </w:p>
    <w:p>
      <w:pPr>
        <w:pStyle w:val="Para 01"/>
      </w:pPr>
      <w:r>
        <w:t>Further reading</w:t>
      </w:r>
    </w:p>
    <w:p>
      <w:pPr>
        <w:pStyle w:val="Para 17"/>
      </w:pPr>
      <w:r>
        <w:t/>
      </w:r>
    </w:p>
    <w:p>
      <w:pPr>
        <w:pStyle w:val="Para 04"/>
      </w:pPr>
      <w:r>
        <w:t xml:space="preserve">• See </w:t>
      </w:r>
      <w:hyperlink r:id="rId1395">
        <w:r>
          <w:rPr>
            <w:rStyle w:val="Text9"/>
          </w:rPr>
          <w:t>451</w:t>
        </w:r>
      </w:hyperlink>
      <w:hyperlink r:id="rId1395">
        <w:r>
          <w:rPr>
            <w:rStyle w:val="Text1"/>
          </w:rPr>
          <w:t xml:space="preserve"> exim.org</w:t>
        </w:r>
      </w:hyperlink>
      <w:r>
        <w:t xml:space="preserve"> for more information.</w:t>
      </w:r>
    </w:p>
    <w:p>
      <w:pPr>
        <w:pStyle w:val="Para 04"/>
      </w:pPr>
      <w:r>
        <w:t xml:space="preserve">• Another resource is the </w:t>
      </w:r>
      <w:hyperlink w:anchor="page_490">
        <w:r>
          <w:rPr>
            <w:rStyle w:val="Text9"/>
          </w:rPr>
          <w:t>452</w:t>
        </w:r>
      </w:hyperlink>
      <w:r>
        <w:t xml:space="preserve"> </w:t>
      </w:r>
      <w:hyperlink r:id="rId1405">
        <w:r>
          <w:rPr>
            <w:rStyle w:val="Text1"/>
          </w:rPr>
          <w:t>Exim4 Ubuntu Wiki</w:t>
        </w:r>
      </w:hyperlink>
      <w:r>
        <w:t xml:space="preserve"> page.</w:t>
      </w:r>
    </w:p>
    <w:p>
      <w:pPr>
        <w:pStyle w:val="Para 13"/>
      </w:pPr>
      <w:r>
        <w:rPr>
          <w:rStyle w:val="Text7"/>
        </w:rPr>
        <w:t xml:space="preserve">• Further resources to </w:t>
      </w:r>
      <w:hyperlink r:id="rId1406">
        <w:r>
          <w:rPr>
            <w:rStyle w:val="Text10"/>
          </w:rPr>
          <w:t>453</w:t>
        </w:r>
      </w:hyperlink>
      <w:hyperlink r:id="rId1406">
        <w:r>
          <w:t xml:space="preserve"> set up mailman3 with Exim4</w:t>
        </w:r>
      </w:hyperlink>
      <w:r>
        <w:rPr>
          <w:rStyle w:val="Text7"/>
        </w:rPr>
        <w:t>.</w:t>
      </w:r>
    </w:p>
    <w:p>
      <w:pPr>
        <w:pStyle w:val="Para 05"/>
      </w:pPr>
      <w:r>
        <w:rPr>
          <w:rStyle w:val="Text5"/>
        </w:rPr>
        <w:t>451</w:t>
      </w:r>
      <w:r>
        <w:rPr>
          <w:rStyle w:val="Text8"/>
        </w:rPr>
        <w:t xml:space="preserve"> </w:t>
      </w:r>
      <w:r>
        <w:t>https://www.exim.org/</w:t>
      </w:r>
    </w:p>
    <w:p>
      <w:pPr>
        <w:pStyle w:val="Para 05"/>
      </w:pPr>
      <w:r>
        <w:rPr>
          <w:rStyle w:val="Text5"/>
        </w:rPr>
        <w:t>452</w:t>
      </w:r>
      <w:r>
        <w:rPr>
          <w:rStyle w:val="Text8"/>
        </w:rPr>
        <w:t xml:space="preserve"> </w:t>
      </w:r>
      <w:r>
        <w:t>https://help.ubuntu.com/community/Exim4</w:t>
      </w:r>
    </w:p>
    <w:p>
      <w:pPr>
        <w:pStyle w:val="Para 05"/>
      </w:pPr>
      <w:r>
        <w:rPr>
          <w:rStyle w:val="Text5"/>
        </w:rPr>
        <w:t>453</w:t>
      </w:r>
      <w:r>
        <w:rPr>
          <w:rStyle w:val="Text8"/>
        </w:rPr>
        <w:t xml:space="preserve"> </w:t>
      </w:r>
      <w:r>
        <w:t>https://docs.mailman3.org/projects/mailman/en/latest/src/mailman/docs/mta.html#exim</w:t>
      </w:r>
    </w:p>
    <w:p>
      <w:bookmarkStart w:id="723" w:name="calibre_pb_116"/>
      <w:pPr>
        <w:pStyle w:val="0 Block"/>
      </w:pPr>
      <w:bookmarkEnd w:id="723"/>
    </w:p>
    <w:p>
      <w:bookmarkStart w:id="724" w:name="page_491"/>
      <w:bookmarkStart w:id="725" w:name="Top_of_index_split_11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0" name="index-491_1.png" descr="index-491_1.png"/>
            <wp:cNvGraphicFramePr>
              <a:graphicFrameLocks noChangeAspect="1"/>
            </wp:cNvGraphicFramePr>
            <a:graphic>
              <a:graphicData uri="http://schemas.openxmlformats.org/drawingml/2006/picture">
                <pic:pic>
                  <pic:nvPicPr>
                    <pic:cNvPr id="0" name="index-491_1.png" descr="index-491_1.png"/>
                    <pic:cNvPicPr/>
                  </pic:nvPicPr>
                  <pic:blipFill>
                    <a:blip r:embed="rId504"/>
                    <a:stretch>
                      <a:fillRect/>
                    </a:stretch>
                  </pic:blipFill>
                  <pic:spPr>
                    <a:xfrm>
                      <a:off x="0" y="0"/>
                      <a:ext cx="914400" cy="266700"/>
                    </a:xfrm>
                    <a:prstGeom prst="rect">
                      <a:avLst/>
                    </a:prstGeom>
                  </pic:spPr>
                </pic:pic>
              </a:graphicData>
            </a:graphic>
          </wp:anchor>
        </w:drawing>
      </w:r>
      <w:bookmarkEnd w:id="724"/>
      <w:bookmarkEnd w:id="725"/>
    </w:p>
    <w:p>
      <w:pPr>
        <w:pStyle w:val="Para 01"/>
      </w:pPr>
      <w:r>
        <w:t>Mail Delivery Agent</w:t>
      </w:r>
    </w:p>
    <w:p>
      <w:pPr>
        <w:pStyle w:val="Para 17"/>
      </w:pPr>
      <w:r>
        <w:t/>
      </w:r>
    </w:p>
    <w:p>
      <w:pPr>
        <w:pStyle w:val="Normal"/>
      </w:pPr>
      <w:hyperlink r:id="rId1407">
        <w:r>
          <w:rPr>
            <w:rStyle w:val="Text1"/>
          </w:rPr>
          <w:t>Dovecot</w:t>
        </w:r>
      </w:hyperlink>
      <w:hyperlink r:id="rId1407">
        <w:r>
          <w:rPr>
            <w:rStyle w:val="Text9"/>
          </w:rPr>
          <w:t>454</w:t>
        </w:r>
      </w:hyperlink>
      <w:r>
        <w:t xml:space="preserve"> </w:t>
      </w:r>
      <w:hyperlink r:id="rId1408">
        <w:r>
          <w:rPr>
            <w:rStyle w:val="Text9"/>
          </w:rPr>
          <w:t>455</w:t>
        </w:r>
      </w:hyperlink>
      <w:r>
        <w:t xml:space="preserve"> is an MDA written with security primarily in mind. It supports the </w:t>
      </w:r>
      <w:hyperlink r:id="rId1408">
        <w:r>
          <w:rPr>
            <w:rStyle w:val="Text1"/>
          </w:rPr>
          <w:t>mbox</w:t>
        </w:r>
      </w:hyperlink>
      <w:r>
        <w:t xml:space="preserve"> and</w:t>
      </w:r>
    </w:p>
    <w:p>
      <w:pPr>
        <w:pStyle w:val="Normal"/>
      </w:pPr>
      <w:hyperlink r:id="rId1409">
        <w:r>
          <w:rPr>
            <w:rStyle w:val="Text1"/>
          </w:rPr>
          <w:t>Maildir</w:t>
        </w:r>
      </w:hyperlink>
      <w:hyperlink w:anchor="page_491">
        <w:r>
          <w:rPr>
            <w:rStyle w:val="Text9"/>
          </w:rPr>
          <w:t>456</w:t>
        </w:r>
      </w:hyperlink>
      <w:r>
        <w:t xml:space="preserve"> mailbox formats.</w:t>
      </w:r>
    </w:p>
    <w:p>
      <w:pPr>
        <w:pStyle w:val="Para 04"/>
      </w:pPr>
      <w:r>
        <w:t xml:space="preserve">• </w:t>
      </w:r>
      <w:hyperlink w:anchor="page_491">
        <w:r>
          <w:rPr>
            <w:rStyle w:val="Text2"/>
          </w:rPr>
          <w:t>Install Dovecot</w:t>
        </w:r>
      </w:hyperlink>
      <w:r>
        <w:t xml:space="preserve"> (page 490) explains how to set up Dovecot as an IMAP or POP3 server</w:t>
      </w:r>
    </w:p>
    <w:p>
      <w:pPr>
        <w:pStyle w:val="Para 17"/>
      </w:pPr>
      <w:r>
        <w:t/>
      </w:r>
    </w:p>
    <w:p>
      <w:pPr>
        <w:pStyle w:val="Para 01"/>
      </w:pPr>
      <w:r>
        <w:t>Install and configure Dovecot</w:t>
      </w:r>
    </w:p>
    <w:p>
      <w:pPr>
        <w:pStyle w:val="Para 17"/>
      </w:pPr>
      <w:r>
        <w:t/>
      </w:r>
    </w:p>
    <w:p>
      <w:pPr>
        <w:pStyle w:val="Para 01"/>
      </w:pPr>
      <w:r>
        <w:t>Install Dovecot</w:t>
      </w:r>
    </w:p>
    <w:p>
      <w:pPr>
        <w:pStyle w:val="Para 17"/>
      </w:pPr>
      <w:r>
        <w:t/>
      </w:r>
    </w:p>
    <w:p>
      <w:pPr>
        <w:pStyle w:val="Normal"/>
      </w:pPr>
      <w:r>
        <w:t>To install a basic Dovecot server with common POP3 and IMAP functions, run the following command:</w:t>
      </w:r>
    </w:p>
    <w:p>
      <w:pPr>
        <w:pStyle w:val="Normal"/>
      </w:pPr>
      <w:r>
        <w:t>sudo apt install dovecot-imapd dovecot-pop3d</w:t>
      </w:r>
    </w:p>
    <w:p>
      <w:pPr>
        <w:pStyle w:val="Para 17"/>
      </w:pPr>
      <w:r>
        <w:t/>
      </w:r>
    </w:p>
    <w:p>
      <w:pPr>
        <w:pStyle w:val="Normal"/>
      </w:pPr>
      <w:r>
        <w:t>There are various other Dovecot modules including dovecot-sieve (mail filtering), dovecot-solr (full text search), dovecot-antispam (spam filter training), dovecot-ldap (user directory).</w:t>
      </w:r>
    </w:p>
    <w:p>
      <w:pPr>
        <w:pStyle w:val="Para 17"/>
      </w:pPr>
      <w:r>
        <w:t/>
      </w:r>
    </w:p>
    <w:p>
      <w:pPr>
        <w:pStyle w:val="Para 01"/>
      </w:pPr>
      <w:r>
        <w:t>Configure Dovecot</w:t>
      </w:r>
    </w:p>
    <w:p>
      <w:pPr>
        <w:pStyle w:val="Para 17"/>
      </w:pPr>
      <w:r>
        <w:t/>
      </w:r>
    </w:p>
    <w:p>
      <w:pPr>
        <w:pStyle w:val="Normal"/>
      </w:pPr>
      <w:r>
        <w:t xml:space="preserve">To configure Dovecot, edit the file /etc/dovecot/dovecot.conf and its included config files in /etc/dovecot/conf.d/. By default, all installed protocols will be enabled via an </w:t>
      </w:r>
      <w:r>
        <w:rPr>
          <w:rStyle w:val="Text3"/>
        </w:rPr>
        <w:t>include</w:t>
      </w:r>
      <w:r>
        <w:t xml:space="preserve"> directive in /etc/dovecot/dovecot.conf.</w:t>
      </w:r>
    </w:p>
    <w:p>
      <w:pPr>
        <w:pStyle w:val="Normal"/>
      </w:pPr>
      <w:r>
        <w:t>!include_try /usr/share/dovecot/protocols.d/*.protocol</w:t>
      </w:r>
    </w:p>
    <w:p>
      <w:pPr>
        <w:pStyle w:val="Para 17"/>
      </w:pPr>
      <w:r>
        <w:t/>
      </w:r>
    </w:p>
    <w:p>
      <w:pPr>
        <w:pStyle w:val="Normal"/>
      </w:pPr>
      <w:r>
        <w:t>IMAPS and POP3S are more secure because they use SSL encryption to connect. A basic self-signed SSL certificate is automatically set up by package ssl-cert and used by Dovecot in /etc/dovecot/conf.d/10-ssl.conf.</w:t>
      </w:r>
    </w:p>
    <w:p>
      <w:pPr>
        <w:pStyle w:val="Normal"/>
      </w:pPr>
      <w:r>
        <w:t>Mbox format is configured by default, but you can also use Maildir if required. More details</w:t>
      </w:r>
    </w:p>
    <w:p>
      <w:pPr>
        <w:pStyle w:val="Normal"/>
      </w:pPr>
      <w:r>
        <w:t xml:space="preserve">can be found in the comments in /etc/dovecot/conf.d/10-mail.conf. Also see </w:t>
      </w:r>
      <w:hyperlink r:id="rId1410">
        <w:r>
          <w:rPr>
            <w:rStyle w:val="Text1"/>
          </w:rPr>
          <w:t>the Dovecot</w:t>
        </w:r>
      </w:hyperlink>
    </w:p>
    <w:p>
      <w:pPr>
        <w:pStyle w:val="Normal"/>
      </w:pPr>
      <w:hyperlink r:id="rId1410">
        <w:r>
          <w:rPr>
            <w:rStyle w:val="Text1"/>
          </w:rPr>
          <w:t>web site</w:t>
        </w:r>
      </w:hyperlink>
      <w:hyperlink w:anchor="page_491">
        <w:r>
          <w:rPr>
            <w:rStyle w:val="Text9"/>
          </w:rPr>
          <w:t>457</w:t>
        </w:r>
      </w:hyperlink>
      <w:r>
        <w:t xml:space="preserve"> to learn about further benefits and details.</w:t>
      </w:r>
    </w:p>
    <w:p>
      <w:pPr>
        <w:pStyle w:val="Normal"/>
      </w:pPr>
      <w:r>
        <w:t>Make sure to also configure your chosen Mail Transport Agent (MTA) to transfer the incoming mail to the selected type of mailbox.</w:t>
      </w:r>
    </w:p>
    <w:p>
      <w:pPr>
        <w:pStyle w:val="Para 05"/>
      </w:pPr>
      <w:r>
        <w:rPr>
          <w:rStyle w:val="Text5"/>
        </w:rPr>
        <w:t>454</w:t>
      </w:r>
      <w:r>
        <w:rPr>
          <w:rStyle w:val="Text8"/>
        </w:rPr>
        <w:t xml:space="preserve"> </w:t>
      </w:r>
      <w:r>
        <w:t>https://dovecot.org/</w:t>
      </w:r>
    </w:p>
    <w:p>
      <w:pPr>
        <w:pStyle w:val="Para 05"/>
      </w:pPr>
      <w:r>
        <w:rPr>
          <w:rStyle w:val="Text5"/>
        </w:rPr>
        <w:t>455</w:t>
      </w:r>
      <w:r>
        <w:rPr>
          <w:rStyle w:val="Text8"/>
        </w:rPr>
        <w:t xml:space="preserve"> </w:t>
      </w:r>
      <w:r>
        <w:t>https://en.wikipedia.org/wiki/Mbox</w:t>
      </w:r>
    </w:p>
    <w:p>
      <w:pPr>
        <w:pStyle w:val="Para 05"/>
      </w:pPr>
      <w:r>
        <w:rPr>
          <w:rStyle w:val="Text5"/>
        </w:rPr>
        <w:t>456</w:t>
      </w:r>
      <w:r>
        <w:rPr>
          <w:rStyle w:val="Text8"/>
        </w:rPr>
        <w:t xml:space="preserve"> </w:t>
      </w:r>
      <w:r>
        <w:t>https://en.wikipedia.org/wiki/Maildir</w:t>
      </w:r>
    </w:p>
    <w:p>
      <w:pPr>
        <w:pStyle w:val="Para 05"/>
      </w:pPr>
      <w:r>
        <w:rPr>
          <w:rStyle w:val="Text5"/>
        </w:rPr>
        <w:t>457</w:t>
      </w:r>
      <w:r>
        <w:rPr>
          <w:rStyle w:val="Text8"/>
        </w:rPr>
        <w:t xml:space="preserve"> </w:t>
      </w:r>
      <w:r>
        <w:t>https://doc.dovecot.org/main/</w:t>
      </w:r>
    </w:p>
    <w:p>
      <w:bookmarkStart w:id="726" w:name="calibre_pb_117"/>
      <w:pPr>
        <w:pStyle w:val="0 Block"/>
      </w:pPr>
      <w:bookmarkEnd w:id="726"/>
    </w:p>
    <w:p>
      <w:bookmarkStart w:id="727" w:name="page_492"/>
      <w:bookmarkStart w:id="728" w:name="Top_of_index_split_11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1" name="index-492_1.png" descr="index-492_1.png"/>
            <wp:cNvGraphicFramePr>
              <a:graphicFrameLocks noChangeAspect="1"/>
            </wp:cNvGraphicFramePr>
            <a:graphic>
              <a:graphicData uri="http://schemas.openxmlformats.org/drawingml/2006/picture">
                <pic:pic>
                  <pic:nvPicPr>
                    <pic:cNvPr id="0" name="index-492_1.png" descr="index-492_1.png"/>
                    <pic:cNvPicPr/>
                  </pic:nvPicPr>
                  <pic:blipFill>
                    <a:blip r:embed="rId505"/>
                    <a:stretch>
                      <a:fillRect/>
                    </a:stretch>
                  </pic:blipFill>
                  <pic:spPr>
                    <a:xfrm>
                      <a:off x="0" y="0"/>
                      <a:ext cx="914400" cy="266700"/>
                    </a:xfrm>
                    <a:prstGeom prst="rect">
                      <a:avLst/>
                    </a:prstGeom>
                  </pic:spPr>
                </pic:pic>
              </a:graphicData>
            </a:graphic>
          </wp:anchor>
        </w:drawing>
      </w:r>
      <w:bookmarkEnd w:id="727"/>
      <w:bookmarkEnd w:id="728"/>
    </w:p>
    <w:p>
      <w:pPr>
        <w:pStyle w:val="Para 01"/>
      </w:pPr>
      <w:r>
        <w:t>Restart the Dovecot daemon</w:t>
      </w:r>
    </w:p>
    <w:p>
      <w:pPr>
        <w:pStyle w:val="Para 17"/>
      </w:pPr>
      <w:r>
        <w:t/>
      </w:r>
    </w:p>
    <w:p>
      <w:pPr>
        <w:pStyle w:val="Normal"/>
      </w:pPr>
      <w:r>
        <w:t>Once you have configured Dovecot, restart its daemon in order to test your setup using the following command:</w:t>
      </w:r>
    </w:p>
    <w:p>
      <w:pPr>
        <w:pStyle w:val="Normal"/>
      </w:pPr>
      <w:r>
        <w:t>sudo service dovecot restart</w:t>
      </w:r>
    </w:p>
    <w:p>
      <w:pPr>
        <w:pStyle w:val="Para 17"/>
      </w:pPr>
      <w:r>
        <w:t/>
      </w:r>
    </w:p>
    <w:p>
      <w:pPr>
        <w:pStyle w:val="Normal"/>
      </w:pPr>
      <w:r>
        <w:t>Try to log in with the commands telnet localhost pop3 (for POP3) or telnet localhost imap2 (for IMAP). You should see something like the following:</w:t>
      </w:r>
    </w:p>
    <w:p>
      <w:pPr>
        <w:pStyle w:val="Normal"/>
      </w:pPr>
      <w:r>
        <w:t>bhuvan@rainbow:~$ telnet localhost pop3</w:t>
      </w:r>
    </w:p>
    <w:p>
      <w:pPr>
        <w:pStyle w:val="Normal"/>
      </w:pPr>
      <w:r>
        <w:t>Trying 127.0.0.1...</w:t>
      </w:r>
    </w:p>
    <w:p>
      <w:pPr>
        <w:pStyle w:val="Normal"/>
      </w:pPr>
      <w:r>
        <w:t>Connected to localhost.localdomain.</w:t>
      </w:r>
    </w:p>
    <w:p>
      <w:pPr>
        <w:pStyle w:val="Normal"/>
      </w:pPr>
      <w:r>
        <w:t>Escape character is '^]'.</w:t>
      </w:r>
    </w:p>
    <w:p>
      <w:pPr>
        <w:pStyle w:val="Normal"/>
      </w:pPr>
      <w:r>
        <w:t>+OK Dovecot ready.</w:t>
      </w:r>
    </w:p>
    <w:p>
      <w:pPr>
        <w:pStyle w:val="Para 17"/>
      </w:pPr>
      <w:r>
        <w:t/>
      </w:r>
    </w:p>
    <w:p>
      <w:pPr>
        <w:pStyle w:val="Para 01"/>
      </w:pPr>
      <w:r>
        <w:t>Dovecot SSL configuration</w:t>
      </w:r>
    </w:p>
    <w:p>
      <w:pPr>
        <w:pStyle w:val="Para 17"/>
      </w:pPr>
      <w:r>
        <w:t/>
      </w:r>
    </w:p>
    <w:p>
      <w:pPr>
        <w:pStyle w:val="Normal"/>
      </w:pPr>
      <w:r>
        <w:t>By default, Dovecot is configured to use SSL automatically using the package ssl-cert which provides a self signed certificate.</w:t>
      </w:r>
    </w:p>
    <w:p>
      <w:pPr>
        <w:pStyle w:val="Normal"/>
      </w:pPr>
      <w:r>
        <w:t>You can instead generate your own custom certificate for Dovecot using openssh, for exam-ple:</w:t>
      </w:r>
    </w:p>
    <w:p>
      <w:pPr>
        <w:pStyle w:val="Normal"/>
      </w:pPr>
      <w:r>
        <w:t>sudo openssl req -new -x509 -days</w:t>
        <w:t xml:space="preserve"> </w:t>
        <w:t>1000</w:t>
        <w:t>-nodes -out</w:t>
        <w:t xml:space="preserve"> </w:t>
        <w:t>"/etc/dovecot/dovecot.pem"</w:t>
        <w:t xml:space="preserve"> </w:t>
      </w:r>
      <w:r>
        <w:rPr>
          <w:rStyle w:val="Text0"/>
        </w:rPr>
        <w:t>\</w:t>
      </w:r>
    </w:p>
    <w:p>
      <w:pPr>
        <w:pStyle w:val="Para 02"/>
      </w:pPr>
      <w:r>
        <w:t>-keyout</w:t>
        <w:t xml:space="preserve"> </w:t>
        <w:t>"/etc/dovecot/private/dovecot.pem"</w:t>
      </w:r>
    </w:p>
    <w:p>
      <w:pPr>
        <w:pStyle w:val="Para 17"/>
      </w:pPr>
      <w:r>
        <w:t/>
      </w:r>
    </w:p>
    <w:p>
      <w:pPr>
        <w:pStyle w:val="Normal"/>
      </w:pPr>
      <w:r>
        <w:t>Next, edit /etc/dovecot/conf.d/10-ssl.conf and amend following lines to specify that Dove-cot should use these custom certificates :</w:t>
      </w:r>
    </w:p>
    <w:p>
      <w:pPr>
        <w:pStyle w:val="Normal"/>
      </w:pPr>
      <w:r>
        <w:t>ssl_cert = &lt;/etc/dovecot/private/dovecot.pem</w:t>
      </w:r>
    </w:p>
    <w:p>
      <w:pPr>
        <w:pStyle w:val="Normal"/>
      </w:pPr>
      <w:r>
        <w:t>ssl_key = &lt;/etc/dovecot/private/dovecot.key</w:t>
      </w:r>
    </w:p>
    <w:p>
      <w:pPr>
        <w:pStyle w:val="Para 17"/>
      </w:pPr>
      <w:r>
        <w:t/>
      </w:r>
    </w:p>
    <w:p>
      <w:pPr>
        <w:pStyle w:val="Normal"/>
      </w:pPr>
      <w:r>
        <w:t>You can get the SSL certificate from a Certificate Issuing Authority or you can create self-signed one. Once you create the certificate, you will have a key file and a certificate file that you want to make known in the config shown above.</w:t>
      </w:r>
    </w:p>
    <w:p>
      <w:pPr>
        <w:pStyle w:val="Para 17"/>
      </w:pPr>
      <w:r>
        <w:t/>
      </w:r>
    </w:p>
    <w:p>
      <w:pPr>
        <w:pStyle w:val="Para 08"/>
      </w:pPr>
      <w:r>
        <w:rPr>
          <w:rStyle w:val="Text0"/>
        </w:rPr>
        <w:t xml:space="preserve">µ </w:t>
      </w:r>
      <w:r>
        <w:t>See also</w:t>
      </w:r>
    </w:p>
    <w:p>
      <w:pPr>
        <w:pStyle w:val="Para 03"/>
      </w:pPr>
      <w:r>
        <w:t xml:space="preserve">For more details on creating custom certificates, see our guide on </w:t>
      </w:r>
      <w:hyperlink w:anchor="page_791">
        <w:r>
          <w:rPr>
            <w:rStyle w:val="Text2"/>
          </w:rPr>
          <w:t>security certificates</w:t>
        </w:r>
      </w:hyperlink>
    </w:p>
    <w:p>
      <w:pPr>
        <w:pStyle w:val="Para 03"/>
      </w:pPr>
      <w:r>
        <w:t>(page 790).</w:t>
      </w:r>
    </w:p>
    <w:p>
      <w:bookmarkStart w:id="729" w:name="calibre_pb_118"/>
      <w:pPr>
        <w:pStyle w:val="0 Block"/>
      </w:pPr>
      <w:bookmarkEnd w:id="729"/>
    </w:p>
    <w:p>
      <w:bookmarkStart w:id="730" w:name="page_493"/>
      <w:bookmarkStart w:id="731" w:name="Top_of_index_split_11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2" name="index-493_1.png" descr="index-493_1.png"/>
            <wp:cNvGraphicFramePr>
              <a:graphicFrameLocks noChangeAspect="1"/>
            </wp:cNvGraphicFramePr>
            <a:graphic>
              <a:graphicData uri="http://schemas.openxmlformats.org/drawingml/2006/picture">
                <pic:pic>
                  <pic:nvPicPr>
                    <pic:cNvPr id="0" name="index-493_1.png" descr="index-493_1.png"/>
                    <pic:cNvPicPr/>
                  </pic:nvPicPr>
                  <pic:blipFill>
                    <a:blip r:embed="rId506"/>
                    <a:stretch>
                      <a:fillRect/>
                    </a:stretch>
                  </pic:blipFill>
                  <pic:spPr>
                    <a:xfrm>
                      <a:off x="0" y="0"/>
                      <a:ext cx="914400" cy="266700"/>
                    </a:xfrm>
                    <a:prstGeom prst="rect">
                      <a:avLst/>
                    </a:prstGeom>
                  </pic:spPr>
                </pic:pic>
              </a:graphicData>
            </a:graphic>
          </wp:anchor>
        </w:drawing>
      </w:r>
      <w:bookmarkEnd w:id="730"/>
      <w:bookmarkEnd w:id="731"/>
    </w:p>
    <w:p>
      <w:pPr>
        <w:pStyle w:val="Para 01"/>
      </w:pPr>
      <w:r>
        <w:t>Configure a firewall for an email server</w:t>
      </w:r>
    </w:p>
    <w:p>
      <w:pPr>
        <w:pStyle w:val="Para 17"/>
      </w:pPr>
      <w:r>
        <w:t/>
      </w:r>
    </w:p>
    <w:p>
      <w:pPr>
        <w:pStyle w:val="Normal"/>
      </w:pPr>
      <w:r>
        <w:t>To access your mail server from another computer, you must configure your firewall to allow connections to the server on the necessary ports.</w:t>
      </w:r>
    </w:p>
    <w:p>
      <w:pPr>
        <w:pStyle w:val="Para 04"/>
      </w:pPr>
      <w:r>
        <w:t>• IMAP - 143</w:t>
      </w:r>
    </w:p>
    <w:p>
      <w:pPr>
        <w:pStyle w:val="Para 04"/>
      </w:pPr>
      <w:r>
        <w:t>• IMAPS - 993</w:t>
      </w:r>
    </w:p>
    <w:p>
      <w:pPr>
        <w:pStyle w:val="Para 04"/>
      </w:pPr>
      <w:r>
        <w:t>• POP3 - 110</w:t>
      </w:r>
    </w:p>
    <w:p>
      <w:pPr>
        <w:pStyle w:val="Para 04"/>
      </w:pPr>
      <w:r>
        <w:t>• POP3S - 995</w:t>
      </w:r>
    </w:p>
    <w:p>
      <w:pPr>
        <w:pStyle w:val="Para 17"/>
      </w:pPr>
      <w:r>
        <w:t/>
      </w:r>
    </w:p>
    <w:p>
      <w:pPr>
        <w:pStyle w:val="Para 01"/>
      </w:pPr>
      <w:r>
        <w:t>Further reading</w:t>
      </w:r>
    </w:p>
    <w:p>
      <w:pPr>
        <w:pStyle w:val="Para 17"/>
      </w:pPr>
      <w:r>
        <w:t/>
      </w:r>
    </w:p>
    <w:p>
      <w:pPr>
        <w:pStyle w:val="Para 04"/>
      </w:pPr>
      <w:r>
        <w:t xml:space="preserve">• The </w:t>
      </w:r>
      <w:hyperlink r:id="rId1407">
        <w:r>
          <w:rPr>
            <w:rStyle w:val="Text9"/>
          </w:rPr>
          <w:t>458</w:t>
        </w:r>
      </w:hyperlink>
      <w:hyperlink r:id="rId1407">
        <w:r>
          <w:rPr>
            <w:rStyle w:val="Text1"/>
          </w:rPr>
          <w:t xml:space="preserve"> Dovecot website</w:t>
        </w:r>
      </w:hyperlink>
      <w:r>
        <w:t xml:space="preserve"> has more general information about Dovecot.</w:t>
      </w:r>
    </w:p>
    <w:p>
      <w:pPr>
        <w:pStyle w:val="Para 04"/>
      </w:pPr>
      <w:r>
        <w:t xml:space="preserve">• The </w:t>
      </w:r>
      <w:hyperlink w:anchor="page_493">
        <w:r>
          <w:rPr>
            <w:rStyle w:val="Text9"/>
          </w:rPr>
          <w:t>459</w:t>
        </w:r>
      </w:hyperlink>
      <w:r>
        <w:t xml:space="preserve"> </w:t>
      </w:r>
      <w:hyperlink r:id="rId1411">
        <w:r>
          <w:rPr>
            <w:rStyle w:val="Text1"/>
          </w:rPr>
          <w:t>Dovecot manual</w:t>
        </w:r>
      </w:hyperlink>
      <w:r>
        <w:t xml:space="preserve"> provides full documentation for Dovecot use.</w:t>
      </w:r>
    </w:p>
    <w:p>
      <w:pPr>
        <w:pStyle w:val="Para 04"/>
      </w:pPr>
      <w:r>
        <w:t xml:space="preserve">• The </w:t>
      </w:r>
      <w:hyperlink r:id="rId1412">
        <w:r>
          <w:rPr>
            <w:rStyle w:val="Text9"/>
          </w:rPr>
          <w:t>460</w:t>
        </w:r>
      </w:hyperlink>
      <w:hyperlink r:id="rId1412">
        <w:r>
          <w:rPr>
            <w:rStyle w:val="Text1"/>
          </w:rPr>
          <w:t xml:space="preserve"> Dovecot Ubuntu Wiki</w:t>
        </w:r>
      </w:hyperlink>
      <w:r>
        <w:t xml:space="preserve"> page has more details on configuration.</w:t>
      </w:r>
    </w:p>
    <w:p>
      <w:pPr>
        <w:pStyle w:val="Para 24"/>
      </w:pPr>
      <w:r>
        <w:t>3.2.7. Web services</w:t>
      </w:r>
    </w:p>
    <w:p>
      <w:pPr>
        <w:pStyle w:val="Normal"/>
      </w:pPr>
      <w:r>
        <w:t xml:space="preserve">Our </w:t>
      </w:r>
      <w:hyperlink w:anchor="page_493">
        <w:r>
          <w:rPr>
            <w:rStyle w:val="Text2"/>
          </w:rPr>
          <w:t>Web services section</w:t>
        </w:r>
      </w:hyperlink>
      <w:r>
        <w:t xml:space="preserve"> (page 492) shows how to set up the different components of web servers, including:</w:t>
      </w:r>
    </w:p>
    <w:p>
      <w:pPr>
        <w:pStyle w:val="Para 28"/>
      </w:pPr>
      <w:r>
        <w:rPr>
          <w:rStyle w:val="Text0"/>
        </w:rPr>
        <w:t xml:space="preserve">• </w:t>
      </w:r>
      <w:r>
        <w:t>Apache2</w:t>
      </w:r>
      <w:r>
        <w:rPr>
          <w:rStyle w:val="Text0"/>
        </w:rPr>
        <w:t xml:space="preserve"> and </w:t>
      </w:r>
      <w:r>
        <w:t>nginx</w:t>
      </w:r>
    </w:p>
    <w:p>
      <w:pPr>
        <w:pStyle w:val="Para 28"/>
      </w:pPr>
      <w:r>
        <w:rPr>
          <w:rStyle w:val="Text0"/>
        </w:rPr>
        <w:t xml:space="preserve">• </w:t>
      </w:r>
      <w:r>
        <w:t>Squid proxy servers</w:t>
      </w:r>
    </w:p>
    <w:p>
      <w:pPr>
        <w:pStyle w:val="Para 04"/>
      </w:pPr>
      <w:r>
        <w:t xml:space="preserve">• </w:t>
      </w:r>
      <w:r>
        <w:rPr>
          <w:rStyle w:val="Text0"/>
        </w:rPr>
        <w:t>Web programming</w:t>
      </w:r>
      <w:r>
        <w:t xml:space="preserve"> (PHP and Ruby)</w:t>
      </w:r>
    </w:p>
    <w:p>
      <w:pPr>
        <w:pStyle w:val="Para 17"/>
      </w:pPr>
      <w:r>
        <w:t/>
      </w:r>
    </w:p>
    <w:p>
      <w:pPr>
        <w:pStyle w:val="Para 01"/>
      </w:pPr>
      <w:r>
        <w:t>Web services</w:t>
      </w:r>
    </w:p>
    <w:p>
      <w:pPr>
        <w:pStyle w:val="Para 17"/>
      </w:pPr>
      <w:r>
        <w:t/>
      </w:r>
    </w:p>
    <w:p>
      <w:pPr>
        <w:pStyle w:val="Normal"/>
      </w:pPr>
      <w:r>
        <w:t>Web servers are used to serve content over a network (or the Internet). If you want more of an introduction to the different types of web servers available in Ubuntu, check out our</w:t>
      </w:r>
    </w:p>
    <w:p>
      <w:pPr>
        <w:pStyle w:val="Para 20"/>
      </w:pPr>
      <w:hyperlink w:anchor="page_888">
        <w:r>
          <w:t>Introduction to web services</w:t>
        </w:r>
      </w:hyperlink>
      <w:r>
        <w:rPr>
          <w:rStyle w:val="Text4"/>
        </w:rPr>
        <w:t xml:space="preserve"> (page 887).</w:t>
      </w:r>
    </w:p>
    <w:p>
      <w:pPr>
        <w:pStyle w:val="Para 17"/>
      </w:pPr>
      <w:r>
        <w:t/>
      </w:r>
    </w:p>
    <w:p>
      <w:pPr>
        <w:pStyle w:val="Para 01"/>
      </w:pPr>
      <w:r>
        <w:t>Proxy servers</w:t>
      </w:r>
    </w:p>
    <w:p>
      <w:pPr>
        <w:pStyle w:val="Para 17"/>
      </w:pPr>
      <w:r>
        <w:t/>
      </w:r>
    </w:p>
    <w:p>
      <w:pPr>
        <w:pStyle w:val="Normal"/>
      </w:pPr>
      <w:r>
        <w:t>This section shows how to set up a Squid proxy caching server.</w:t>
      </w:r>
    </w:p>
    <w:p>
      <w:pPr>
        <w:pStyle w:val="Para 05"/>
      </w:pPr>
      <w:r>
        <w:rPr>
          <w:rStyle w:val="Text5"/>
        </w:rPr>
        <w:t>458</w:t>
      </w:r>
      <w:r>
        <w:rPr>
          <w:rStyle w:val="Text8"/>
        </w:rPr>
        <w:t xml:space="preserve"> </w:t>
      </w:r>
      <w:r>
        <w:t>https://dovecot.org/</w:t>
      </w:r>
    </w:p>
    <w:p>
      <w:pPr>
        <w:pStyle w:val="Para 05"/>
      </w:pPr>
      <w:r>
        <w:rPr>
          <w:rStyle w:val="Text5"/>
        </w:rPr>
        <w:t>459</w:t>
      </w:r>
      <w:r>
        <w:rPr>
          <w:rStyle w:val="Text8"/>
        </w:rPr>
        <w:t xml:space="preserve"> </w:t>
      </w:r>
      <w:r>
        <w:t>https://doc.dovecot.org/latest/</w:t>
      </w:r>
    </w:p>
    <w:p>
      <w:pPr>
        <w:pStyle w:val="Para 05"/>
      </w:pPr>
      <w:r>
        <w:rPr>
          <w:rStyle w:val="Text5"/>
        </w:rPr>
        <w:t>460</w:t>
      </w:r>
      <w:r>
        <w:rPr>
          <w:rStyle w:val="Text8"/>
        </w:rPr>
        <w:t xml:space="preserve"> </w:t>
      </w:r>
      <w:r>
        <w:t>https://help.ubuntu.com/community/Dovecot</w:t>
      </w:r>
    </w:p>
    <w:p>
      <w:bookmarkStart w:id="732" w:name="calibre_pb_119"/>
      <w:pPr>
        <w:pStyle w:val="0 Block"/>
      </w:pPr>
      <w:bookmarkEnd w:id="732"/>
    </w:p>
    <w:p>
      <w:bookmarkStart w:id="733" w:name="page_494"/>
      <w:bookmarkStart w:id="734" w:name="Top_of_index_split_12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3" name="index-494_1.png" descr="index-494_1.png"/>
            <wp:cNvGraphicFramePr>
              <a:graphicFrameLocks noChangeAspect="1"/>
            </wp:cNvGraphicFramePr>
            <a:graphic>
              <a:graphicData uri="http://schemas.openxmlformats.org/drawingml/2006/picture">
                <pic:pic>
                  <pic:nvPicPr>
                    <pic:cNvPr id="0" name="index-494_1.png" descr="index-494_1.png"/>
                    <pic:cNvPicPr/>
                  </pic:nvPicPr>
                  <pic:blipFill>
                    <a:blip r:embed="rId507"/>
                    <a:stretch>
                      <a:fillRect/>
                    </a:stretch>
                  </pic:blipFill>
                  <pic:spPr>
                    <a:xfrm>
                      <a:off x="0" y="0"/>
                      <a:ext cx="914400" cy="266700"/>
                    </a:xfrm>
                    <a:prstGeom prst="rect">
                      <a:avLst/>
                    </a:prstGeom>
                  </pic:spPr>
                </pic:pic>
              </a:graphicData>
            </a:graphic>
          </wp:anchor>
        </w:drawing>
      </w:r>
      <w:bookmarkEnd w:id="733"/>
      <w:bookmarkEnd w:id="734"/>
    </w:p>
    <w:p>
      <w:pPr>
        <w:pStyle w:val="Para 01"/>
      </w:pPr>
      <w:r>
        <w:t>How to install a Squid server</w:t>
      </w:r>
    </w:p>
    <w:p>
      <w:pPr>
        <w:pStyle w:val="Para 17"/>
      </w:pPr>
      <w:r>
        <w:t/>
      </w:r>
    </w:p>
    <w:p>
      <w:pPr>
        <w:pStyle w:val="Normal"/>
      </w:pPr>
      <w:r>
        <w:t>Squid is a filtering and caching mechanism for web servers that can optimise bandwidth and</w:t>
      </w:r>
    </w:p>
    <w:p>
      <w:pPr>
        <w:pStyle w:val="Normal"/>
      </w:pPr>
      <w:r>
        <w:t xml:space="preserve">performance. For more information about Squid proxy servers, </w:t>
      </w:r>
      <w:hyperlink w:anchor="page_890">
        <w:r>
          <w:rPr>
            <w:rStyle w:val="Text2"/>
          </w:rPr>
          <w:t>refer to this guide</w:t>
        </w:r>
      </w:hyperlink>
      <w:r>
        <w:t xml:space="preserve"> (page 889).</w:t>
      </w:r>
    </w:p>
    <w:p>
      <w:pPr>
        <w:pStyle w:val="Para 17"/>
      </w:pPr>
      <w:r>
        <w:t/>
      </w:r>
    </w:p>
    <w:p>
      <w:pPr>
        <w:pStyle w:val="Para 01"/>
      </w:pPr>
      <w:r>
        <w:t>Install Squid</w:t>
      </w:r>
    </w:p>
    <w:p>
      <w:pPr>
        <w:pStyle w:val="Para 17"/>
      </w:pPr>
      <w:r>
        <w:t/>
      </w:r>
    </w:p>
    <w:p>
      <w:pPr>
        <w:pStyle w:val="Normal"/>
      </w:pPr>
      <w:r>
        <w:t>At a terminal prompt, enter the following command to install the Squid server:</w:t>
      </w:r>
    </w:p>
    <w:p>
      <w:pPr>
        <w:pStyle w:val="Normal"/>
      </w:pPr>
      <w:r>
        <w:t>sudo apt install squid</w:t>
      </w:r>
    </w:p>
    <w:p>
      <w:pPr>
        <w:pStyle w:val="Para 17"/>
      </w:pPr>
      <w:r>
        <w:t/>
      </w:r>
    </w:p>
    <w:p>
      <w:pPr>
        <w:pStyle w:val="Para 01"/>
      </w:pPr>
      <w:r>
        <w:t>Configure Squid</w:t>
      </w:r>
    </w:p>
    <w:p>
      <w:pPr>
        <w:pStyle w:val="Para 17"/>
      </w:pPr>
      <w:r>
        <w:t/>
      </w:r>
    </w:p>
    <w:p>
      <w:pPr>
        <w:pStyle w:val="Normal"/>
      </w:pPr>
      <w:r>
        <w:t>Squid is configured by editing directives in the /etc/squid/squid.conf configuration file. The following examples illustrate a sample of directives that can be modified to configure the Squid server’s behavior. For more in-depth configuration details, see the links at the bottom of the page.</w:t>
      </w:r>
    </w:p>
    <w:p>
      <w:pPr>
        <w:pStyle w:val="Para 17"/>
      </w:pPr>
      <w:r>
        <w:t/>
      </w:r>
    </w:p>
    <w:p>
      <w:pPr>
        <w:pStyle w:val="Para 01"/>
      </w:pPr>
      <w:r>
        <w:t>Protect the original config file</w:t>
      </w:r>
    </w:p>
    <w:p>
      <w:pPr>
        <w:pStyle w:val="Para 17"/>
      </w:pPr>
      <w:r>
        <w:t/>
      </w:r>
    </w:p>
    <w:p>
      <w:pPr>
        <w:pStyle w:val="Normal"/>
      </w:pPr>
      <w:r>
        <w:t>Before editing the configuration file, you should make a copy of the original and protect it from writing. You will then have the original settings as a reference, and can reuse it when needed. Run the following commands to make a copy of the original configuration file and protect it from being written to:</w:t>
      </w:r>
    </w:p>
    <w:p>
      <w:pPr>
        <w:pStyle w:val="Normal"/>
      </w:pPr>
      <w:r>
        <w:t>sudo cp /etc/squid/squid.conf /etc/squid/squid.conf.original</w:t>
        <w:t xml:space="preserve"> </w:t>
        <w:t>sudo chmod a-w /etc/squid/squid.conf.original</w:t>
      </w:r>
    </w:p>
    <w:p>
      <w:pPr>
        <w:pStyle w:val="Para 17"/>
      </w:pPr>
      <w:r>
        <w:t/>
      </w:r>
    </w:p>
    <w:p>
      <w:pPr>
        <w:pStyle w:val="Para 01"/>
      </w:pPr>
      <w:r>
        <w:t>Change TCP port</w:t>
      </w:r>
    </w:p>
    <w:p>
      <w:pPr>
        <w:pStyle w:val="Para 17"/>
      </w:pPr>
      <w:r>
        <w:t/>
      </w:r>
    </w:p>
    <w:p>
      <w:pPr>
        <w:pStyle w:val="Normal"/>
      </w:pPr>
      <w:r>
        <w:t xml:space="preserve">To set your Squid server to listen on TCP port 8888 instead of the default TCP port 3128, change the </w:t>
      </w:r>
      <w:r>
        <w:rPr>
          <w:rStyle w:val="Text0"/>
        </w:rPr>
        <w:t>http_port</w:t>
      </w:r>
      <w:r>
        <w:t xml:space="preserve"> directive as such:</w:t>
      </w:r>
    </w:p>
    <w:p>
      <w:pPr>
        <w:pStyle w:val="Normal"/>
      </w:pPr>
      <w:r>
        <w:t>http_port 8888</w:t>
      </w:r>
    </w:p>
    <w:p>
      <w:pPr>
        <w:pStyle w:val="Para 17"/>
      </w:pPr>
      <w:r>
        <w:t/>
      </w:r>
    </w:p>
    <w:p>
      <w:pPr>
        <w:pStyle w:val="Para 01"/>
      </w:pPr>
      <w:r>
        <w:t>Set the hostname</w:t>
      </w:r>
    </w:p>
    <w:p>
      <w:pPr>
        <w:pStyle w:val="Para 17"/>
      </w:pPr>
      <w:r>
        <w:t/>
      </w:r>
    </w:p>
    <w:p>
      <w:pPr>
        <w:pStyle w:val="Normal"/>
      </w:pPr>
      <w:r>
        <w:t xml:space="preserve">Change the </w:t>
      </w:r>
      <w:r>
        <w:rPr>
          <w:rStyle w:val="Text0"/>
        </w:rPr>
        <w:t>visible_hostname</w:t>
      </w:r>
      <w:r>
        <w:t xml:space="preserve"> directive to give the Squid server a specific </w:t>
      </w:r>
      <w:hyperlink w:anchor="page_688">
        <w:r>
          <w:rPr>
            <w:rStyle w:val="Text2"/>
          </w:rPr>
          <w:t>hostname</w:t>
        </w:r>
      </w:hyperlink>
      <w:r>
        <w:t>. This hostname does not need to be the same as the computer’s hostname. In this example it is set to weezie:</w:t>
      </w:r>
    </w:p>
    <w:p>
      <w:pPr>
        <w:pStyle w:val="Normal"/>
      </w:pPr>
      <w:r>
        <w:t>visible_hostname weezie</w:t>
      </w:r>
    </w:p>
    <w:p>
      <w:bookmarkStart w:id="735" w:name="page_4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4" name="index-495_1.png" descr="index-495_1.png"/>
            <wp:cNvGraphicFramePr>
              <a:graphicFrameLocks noChangeAspect="1"/>
            </wp:cNvGraphicFramePr>
            <a:graphic>
              <a:graphicData uri="http://schemas.openxmlformats.org/drawingml/2006/picture">
                <pic:pic>
                  <pic:nvPicPr>
                    <pic:cNvPr id="0" name="index-495_1.png" descr="index-495_1.png"/>
                    <pic:cNvPicPr/>
                  </pic:nvPicPr>
                  <pic:blipFill>
                    <a:blip r:embed="rId508"/>
                    <a:stretch>
                      <a:fillRect/>
                    </a:stretch>
                  </pic:blipFill>
                  <pic:spPr>
                    <a:xfrm>
                      <a:off x="0" y="0"/>
                      <a:ext cx="914400" cy="266700"/>
                    </a:xfrm>
                    <a:prstGeom prst="rect">
                      <a:avLst/>
                    </a:prstGeom>
                  </pic:spPr>
                </pic:pic>
              </a:graphicData>
            </a:graphic>
          </wp:anchor>
        </w:drawing>
      </w:r>
      <w:bookmarkEnd w:id="735"/>
    </w:p>
    <w:p>
      <w:pPr>
        <w:pStyle w:val="Para 01"/>
      </w:pPr>
      <w:r>
        <w:t>Configure the memory cache</w:t>
      </w:r>
    </w:p>
    <w:p>
      <w:pPr>
        <w:pStyle w:val="Para 17"/>
      </w:pPr>
      <w:r>
        <w:t/>
      </w:r>
    </w:p>
    <w:p>
      <w:pPr>
        <w:pStyle w:val="Normal"/>
      </w:pPr>
      <w:r>
        <w:t>The default setting is to use on-memory cache. This example tells squid to use up to 512MB of memory, erasing the last recently used content when the cache is full to free space for new items:</w:t>
      </w:r>
    </w:p>
    <w:p>
      <w:pPr>
        <w:pStyle w:val="Normal"/>
      </w:pPr>
      <w:r>
        <w:t>cache_mem 512 MB</w:t>
      </w:r>
    </w:p>
    <w:p>
      <w:pPr>
        <w:pStyle w:val="Normal"/>
      </w:pPr>
      <w:r>
        <w:t>memory_replacement_policy lru</w:t>
      </w:r>
    </w:p>
    <w:p>
      <w:pPr>
        <w:pStyle w:val="Para 17"/>
      </w:pPr>
      <w:r>
        <w:t/>
      </w:r>
    </w:p>
    <w:p>
      <w:pPr>
        <w:pStyle w:val="Para 01"/>
      </w:pPr>
      <w:r>
        <w:t>Configure on-disk cache</w:t>
      </w:r>
    </w:p>
    <w:p>
      <w:pPr>
        <w:pStyle w:val="Para 17"/>
      </w:pPr>
      <w:r>
        <w:t/>
      </w:r>
    </w:p>
    <w:p>
      <w:pPr>
        <w:pStyle w:val="Normal"/>
      </w:pPr>
      <w:r>
        <w:t xml:space="preserve">By changing the </w:t>
      </w:r>
      <w:r>
        <w:rPr>
          <w:rStyle w:val="Text0"/>
        </w:rPr>
        <w:t>cache_dir</w:t>
      </w:r>
      <w:r>
        <w:t xml:space="preserve"> directive you can configure use of an on-disk cache. The cache_dir directive takes the following arguments:</w:t>
      </w:r>
    </w:p>
    <w:p>
      <w:pPr>
        <w:pStyle w:val="Normal"/>
      </w:pPr>
      <w:r>
        <w:t>cache_dir &lt;Type&gt; &lt;Directory-Name&gt; &lt;Size-in-MB&gt; &lt;L1-Dirs&gt; &lt;L2-Dirs&gt; [options]</w:t>
      </w:r>
    </w:p>
    <w:p>
      <w:pPr>
        <w:pStyle w:val="Para 17"/>
      </w:pPr>
      <w:r>
        <w:t/>
      </w:r>
    </w:p>
    <w:p>
      <w:pPr>
        <w:pStyle w:val="Normal"/>
      </w:pPr>
      <w:r>
        <w:t>In this example we set the cache configuration to use a ufs storage in /var/spool/squid, up to 10GB, with 16 directories on the first level of the hierarchy, each of those containing 256 directories for organization.</w:t>
      </w:r>
    </w:p>
    <w:p>
      <w:pPr>
        <w:pStyle w:val="Normal"/>
      </w:pPr>
      <w:r>
        <w:t>cache_dir ufs /var/spool/squid 10000 16 256</w:t>
      </w:r>
    </w:p>
    <w:p>
      <w:pPr>
        <w:pStyle w:val="Para 17"/>
      </w:pPr>
      <w:r>
        <w:t/>
      </w:r>
    </w:p>
    <w:p>
      <w:pPr>
        <w:pStyle w:val="Normal"/>
      </w:pPr>
      <w:r>
        <w:t>The available storage types are:</w:t>
      </w:r>
    </w:p>
    <w:p>
      <w:pPr>
        <w:pStyle w:val="Para 04"/>
      </w:pPr>
      <w:r>
        <w:t>• ufs: This is the common Squid storage format, good for general use.</w:t>
      </w:r>
    </w:p>
    <w:p>
      <w:pPr>
        <w:pStyle w:val="Para 04"/>
      </w:pPr>
      <w:r>
        <w:t>• aufs: Uses the same storage format as ufs, using POSIX-threads to avoid blocking the</w:t>
      </w:r>
    </w:p>
    <w:p>
      <w:pPr>
        <w:pStyle w:val="Para 17"/>
      </w:pPr>
      <w:r>
        <w:t>main Squid process on disk-I/O. This was formerly known in Squid as async-io.</w:t>
      </w:r>
    </w:p>
    <w:p>
      <w:pPr>
        <w:pStyle w:val="Para 04"/>
      </w:pPr>
      <w:r>
        <w:t>• diskd: Uses the same storage format as ufs, using a separate process to avoid blocking</w:t>
      </w:r>
    </w:p>
    <w:p>
      <w:pPr>
        <w:pStyle w:val="Para 02"/>
      </w:pPr>
      <w:r>
        <w:t>the main Squid process on disk-I/O.</w:t>
      </w:r>
    </w:p>
    <w:p>
      <w:pPr>
        <w:pStyle w:val="Para 04"/>
      </w:pPr>
      <w:r>
        <w:t>• rock: This is a database-style storage. All cached entries are stored in a “database” file,</w:t>
      </w:r>
    </w:p>
    <w:p>
      <w:pPr>
        <w:pStyle w:val="Para 02"/>
      </w:pPr>
      <w:r>
        <w:t>using fixed-size slots. A single entry occupies one or more slots.</w:t>
      </w:r>
    </w:p>
    <w:p>
      <w:pPr>
        <w:pStyle w:val="Para 17"/>
      </w:pPr>
      <w:r>
        <w:t/>
      </w:r>
    </w:p>
    <w:p>
      <w:pPr>
        <w:pStyle w:val="Para 01"/>
      </w:pPr>
      <w:r>
        <w:t>Configure cached objects size limits</w:t>
      </w:r>
    </w:p>
    <w:p>
      <w:pPr>
        <w:pStyle w:val="Para 17"/>
      </w:pPr>
      <w:r>
        <w:t/>
      </w:r>
    </w:p>
    <w:p>
      <w:pPr>
        <w:pStyle w:val="Normal"/>
      </w:pPr>
      <w:r>
        <w:t>The following configuration directives control which objects get cached based on their size, for space optimization, both on disk and in memory:</w:t>
      </w:r>
    </w:p>
    <w:p>
      <w:pPr>
        <w:pStyle w:val="Normal"/>
      </w:pPr>
      <w:r>
        <w:t>maximum_object_size 512 MB</w:t>
      </w:r>
    </w:p>
    <w:p>
      <w:pPr>
        <w:pStyle w:val="Normal"/>
      </w:pPr>
      <w:r>
        <w:t>minimum_object_size 0 KB</w:t>
      </w:r>
    </w:p>
    <w:p>
      <w:pPr>
        <w:pStyle w:val="Normal"/>
      </w:pPr>
      <w:r>
        <w:t>maximum_object_size_in_memory 512 KB</w:t>
      </w:r>
    </w:p>
    <w:p>
      <w:bookmarkStart w:id="736" w:name="calibre_pb_120"/>
      <w:pPr>
        <w:pStyle w:val="0 Block"/>
      </w:pPr>
      <w:bookmarkEnd w:id="736"/>
    </w:p>
    <w:p>
      <w:bookmarkStart w:id="737" w:name="page_496"/>
      <w:bookmarkStart w:id="738" w:name="Top_of_index_split_12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5" name="index-496_1.png" descr="index-496_1.png"/>
            <wp:cNvGraphicFramePr>
              <a:graphicFrameLocks noChangeAspect="1"/>
            </wp:cNvGraphicFramePr>
            <a:graphic>
              <a:graphicData uri="http://schemas.openxmlformats.org/drawingml/2006/picture">
                <pic:pic>
                  <pic:nvPicPr>
                    <pic:cNvPr id="0" name="index-496_1.png" descr="index-496_1.png"/>
                    <pic:cNvPicPr/>
                  </pic:nvPicPr>
                  <pic:blipFill>
                    <a:blip r:embed="rId509"/>
                    <a:stretch>
                      <a:fillRect/>
                    </a:stretch>
                  </pic:blipFill>
                  <pic:spPr>
                    <a:xfrm>
                      <a:off x="0" y="0"/>
                      <a:ext cx="914400" cy="266700"/>
                    </a:xfrm>
                    <a:prstGeom prst="rect">
                      <a:avLst/>
                    </a:prstGeom>
                  </pic:spPr>
                </pic:pic>
              </a:graphicData>
            </a:graphic>
          </wp:anchor>
        </w:drawing>
      </w:r>
      <w:bookmarkEnd w:id="737"/>
      <w:bookmarkEnd w:id="738"/>
    </w:p>
    <w:p>
      <w:pPr>
        <w:pStyle w:val="Para 01"/>
      </w:pPr>
      <w:r>
        <w:t>Configure cached objects lifetime</w:t>
      </w:r>
    </w:p>
    <w:p>
      <w:pPr>
        <w:pStyle w:val="Para 17"/>
      </w:pPr>
      <w:r>
        <w:t/>
      </w:r>
    </w:p>
    <w:p>
      <w:pPr>
        <w:pStyle w:val="Normal"/>
      </w:pPr>
      <w:r>
        <w:t>Using the refresh_pattern configuration directive controls how long cached objects stay fresh before they need to be re-validated with the origin server. It is configured as:</w:t>
      </w:r>
    </w:p>
    <w:p>
      <w:pPr>
        <w:pStyle w:val="Normal"/>
      </w:pPr>
      <w:r>
        <w:t>refresh_pattern regex min percent max [options]</w:t>
      </w:r>
    </w:p>
    <w:p>
      <w:pPr>
        <w:pStyle w:val="Para 17"/>
      </w:pPr>
      <w:r>
        <w:t/>
      </w:r>
    </w:p>
    <w:p>
      <w:pPr>
        <w:pStyle w:val="Normal"/>
      </w:pPr>
      <w:r>
        <w:t>where regex needs to match against the filename, min and max set the time limits in minutes for freshness, and a percent of the object’s age to calculate the refresh threshold.</w:t>
      </w:r>
    </w:p>
    <w:p>
      <w:pPr>
        <w:pStyle w:val="Normal"/>
      </w:pPr>
      <w:r>
        <w:t>In the following example, static web assets (such as images, css and scripts) are configured to be kept for 7 to 30 days + 90% of their age, based on the Last-Modified header, while everything else is kept up to 3 days + 20% of their age.</w:t>
      </w:r>
    </w:p>
    <w:p>
      <w:pPr>
        <w:pStyle w:val="Normal"/>
      </w:pPr>
      <w:r>
        <w:t>refresh_pattern -i \.(gif|jpg|png|css|js)$</w:t>
        <w:t xml:space="preserve"> </w:t>
        <w:t>10080</w:t>
        <w:t xml:space="preserve"> </w:t>
        <w:t>90%</w:t>
        <w:t xml:space="preserve"> </w:t>
        <w:t>43200</w:t>
        <w:t xml:space="preserve"> </w:t>
        <w:t>refresh_pattern .</w:t>
        <w:t xml:space="preserve"> </w:t>
        <w:t>0</w:t>
        <w:t xml:space="preserve"> </w:t>
        <w:t>20%</w:t>
        <w:t xml:space="preserve"> </w:t>
        <w:t>4320</w:t>
      </w:r>
    </w:p>
    <w:p>
      <w:pPr>
        <w:pStyle w:val="Para 17"/>
      </w:pPr>
      <w:r>
        <w:t/>
      </w:r>
    </w:p>
    <w:p>
      <w:pPr>
        <w:pStyle w:val="Para 01"/>
      </w:pPr>
      <w:r>
        <w:t>Caching HTTPS content</w:t>
      </w:r>
    </w:p>
    <w:p>
      <w:pPr>
        <w:pStyle w:val="Para 17"/>
      </w:pPr>
      <w:r>
        <w:t/>
      </w:r>
    </w:p>
    <w:p>
      <w:pPr>
        <w:pStyle w:val="Normal"/>
      </w:pPr>
      <w:r>
        <w:t>By default, Squid can’t cache HTTPS because the traffic is encrypted. There are different strategies for enabling HTTPS caching, such as TLS interception via CONNECT requests, origin server caching based on Cache-Control and ETag headers, or access-control only solutions.</w:t>
      </w:r>
    </w:p>
    <w:p>
      <w:pPr>
        <w:pStyle w:val="Normal"/>
      </w:pPr>
      <w:r>
        <w:t xml:space="preserve">Please refer to the </w:t>
      </w:r>
      <w:hyperlink r:id="rId1413">
        <w:r>
          <w:rPr>
            <w:rStyle w:val="Text9"/>
          </w:rPr>
          <w:t>461</w:t>
        </w:r>
      </w:hyperlink>
      <w:hyperlink r:id="rId1413">
        <w:r>
          <w:rPr>
            <w:rStyle w:val="Text1"/>
          </w:rPr>
          <w:t xml:space="preserve"> Squid HTTPS documentation</w:t>
        </w:r>
      </w:hyperlink>
      <w:r>
        <w:t xml:space="preserve"> to learn more.</w:t>
      </w:r>
    </w:p>
    <w:p>
      <w:pPr>
        <w:pStyle w:val="Para 17"/>
      </w:pPr>
      <w:r>
        <w:t/>
      </w:r>
    </w:p>
    <w:p>
      <w:pPr>
        <w:pStyle w:val="Para 01"/>
      </w:pPr>
      <w:r>
        <w:t>Other caching configuration options</w:t>
      </w:r>
    </w:p>
    <w:p>
      <w:pPr>
        <w:pStyle w:val="Para 17"/>
      </w:pPr>
      <w:r>
        <w:t/>
      </w:r>
    </w:p>
    <w:p>
      <w:pPr>
        <w:pStyle w:val="Normal"/>
      </w:pPr>
      <w:r>
        <w:t>Different options can be used to fine-tune the caching behavior overall, by determining how squid stores files in the hierarchy, the algorithm for the replacement policy, DNS cache set-tings, compatibility with different scenarios, and more.</w:t>
      </w:r>
    </w:p>
    <w:p>
      <w:pPr>
        <w:pStyle w:val="Normal"/>
      </w:pPr>
      <w:r>
        <w:t xml:space="preserve">For a full list of configuration entries, please refer to the </w:t>
      </w:r>
      <w:hyperlink w:anchor="page_496">
        <w:r>
          <w:rPr>
            <w:rStyle w:val="Text9"/>
          </w:rPr>
          <w:t>462</w:t>
        </w:r>
      </w:hyperlink>
      <w:r>
        <w:t xml:space="preserve"> </w:t>
      </w:r>
      <w:hyperlink r:id="rId1414">
        <w:r>
          <w:rPr>
            <w:rStyle w:val="Text1"/>
          </w:rPr>
          <w:t>Squid configuration guide</w:t>
        </w:r>
      </w:hyperlink>
      <w:r>
        <w:t>.</w:t>
      </w:r>
    </w:p>
    <w:p>
      <w:pPr>
        <w:pStyle w:val="Para 17"/>
      </w:pPr>
      <w:r>
        <w:t/>
      </w:r>
    </w:p>
    <w:p>
      <w:pPr>
        <w:pStyle w:val="Para 01"/>
      </w:pPr>
      <w:r>
        <w:t>Access control</w:t>
      </w:r>
    </w:p>
    <w:p>
      <w:pPr>
        <w:pStyle w:val="Para 17"/>
      </w:pPr>
      <w:r>
        <w:t/>
      </w:r>
    </w:p>
    <w:p>
      <w:pPr>
        <w:pStyle w:val="Normal"/>
      </w:pPr>
      <w:r>
        <w:t>Using Squid’s access control, you can configure use of Squid-proxied Internet services to be available only to users with certain Internet Protocol (IP) addresses. For example, we will illustrate access by users of the 192.168.42.0/24 subnetwork only:</w:t>
      </w:r>
    </w:p>
    <w:p>
      <w:pPr>
        <w:pStyle w:val="Para 04"/>
      </w:pPr>
      <w:r>
        <w:t xml:space="preserve">• Add the following to the </w:t>
      </w:r>
      <w:r>
        <w:rPr>
          <w:rStyle w:val="Text0"/>
        </w:rPr>
        <w:t>bottom</w:t>
      </w:r>
      <w:r>
        <w:t xml:space="preserve"> of the </w:t>
      </w:r>
      <w:hyperlink w:anchor="page_668">
        <w:r>
          <w:rPr>
            <w:rStyle w:val="Text2"/>
          </w:rPr>
          <w:t>ACL</w:t>
        </w:r>
      </w:hyperlink>
      <w:r>
        <w:t xml:space="preserve"> section of your /etc/squid/squid.conf file:</w:t>
      </w:r>
    </w:p>
    <w:p>
      <w:pPr>
        <w:pStyle w:val="Para 02"/>
      </w:pPr>
      <w:r>
        <w:t>acl fortytwo_network src 192.168.42.0/24</w:t>
      </w:r>
    </w:p>
    <w:p>
      <w:pPr>
        <w:pStyle w:val="Para 17"/>
      </w:pPr>
      <w:r>
        <w:t/>
      </w:r>
    </w:p>
    <w:p>
      <w:pPr>
        <w:pStyle w:val="Para 04"/>
      </w:pPr>
      <w:r>
        <w:t xml:space="preserve">• Then, add the following to the </w:t>
      </w:r>
      <w:r>
        <w:rPr>
          <w:rStyle w:val="Text0"/>
        </w:rPr>
        <w:t>top</w:t>
      </w:r>
      <w:r>
        <w:t xml:space="preserve"> of the http_access section of your /etc/squid/</w:t>
      </w:r>
    </w:p>
    <w:p>
      <w:pPr>
        <w:pStyle w:val="Para 02"/>
      </w:pPr>
      <w:r>
        <w:t>squid.conf file:</w:t>
      </w:r>
    </w:p>
    <w:p>
      <w:pPr>
        <w:pStyle w:val="Para 02"/>
      </w:pPr>
      <w:r>
        <w:t>http_access allow fortytwo_network</w:t>
      </w:r>
    </w:p>
    <w:p>
      <w:pPr>
        <w:pStyle w:val="Para 05"/>
      </w:pPr>
      <w:r>
        <w:rPr>
          <w:rStyle w:val="Text5"/>
        </w:rPr>
        <w:t>461</w:t>
      </w:r>
      <w:r>
        <w:rPr>
          <w:rStyle w:val="Text8"/>
        </w:rPr>
        <w:t xml:space="preserve"> </w:t>
      </w:r>
      <w:r>
        <w:t>https://wiki.squid-cache.org/Features/HTTPS</w:t>
      </w:r>
    </w:p>
    <w:p>
      <w:pPr>
        <w:pStyle w:val="Para 05"/>
      </w:pPr>
      <w:r>
        <w:rPr>
          <w:rStyle w:val="Text5"/>
        </w:rPr>
        <w:t>462</w:t>
      </w:r>
      <w:r>
        <w:rPr>
          <w:rStyle w:val="Text8"/>
        </w:rPr>
        <w:t xml:space="preserve"> </w:t>
      </w:r>
      <w:r>
        <w:t>https://www.squid-cache.org/Doc/config/</w:t>
      </w:r>
    </w:p>
    <w:p>
      <w:bookmarkStart w:id="739" w:name="page_4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6" name="index-497_1.png" descr="index-497_1.png"/>
            <wp:cNvGraphicFramePr>
              <a:graphicFrameLocks noChangeAspect="1"/>
            </wp:cNvGraphicFramePr>
            <a:graphic>
              <a:graphicData uri="http://schemas.openxmlformats.org/drawingml/2006/picture">
                <pic:pic>
                  <pic:nvPicPr>
                    <pic:cNvPr id="0" name="index-497_1.png" descr="index-497_1.png"/>
                    <pic:cNvPicPr/>
                  </pic:nvPicPr>
                  <pic:blipFill>
                    <a:blip r:embed="rId510"/>
                    <a:stretch>
                      <a:fillRect/>
                    </a:stretch>
                  </pic:blipFill>
                  <pic:spPr>
                    <a:xfrm>
                      <a:off x="0" y="0"/>
                      <a:ext cx="914400" cy="266700"/>
                    </a:xfrm>
                    <a:prstGeom prst="rect">
                      <a:avLst/>
                    </a:prstGeom>
                  </pic:spPr>
                </pic:pic>
              </a:graphicData>
            </a:graphic>
          </wp:anchor>
        </w:drawing>
      </w:r>
      <w:bookmarkEnd w:id="739"/>
    </w:p>
    <w:p>
      <w:pPr>
        <w:pStyle w:val="Normal"/>
      </w:pPr>
      <w:r>
        <w:t>Using Squid’s access control features, you can configure Squid-proxied Internet services to only be available during normal business hours. As an example, we’ll illustrate access by em-ployees of a business which is operating between 9:00AM and 5:00PM, Monday through Fri-day, and which uses the 10.1.42.0/24 subnetwork:</w:t>
      </w:r>
    </w:p>
    <w:p>
      <w:pPr>
        <w:pStyle w:val="Para 04"/>
      </w:pPr>
      <w:r>
        <w:t xml:space="preserve">• Add the following to the </w:t>
      </w:r>
      <w:r>
        <w:rPr>
          <w:rStyle w:val="Text0"/>
        </w:rPr>
        <w:t>bottom</w:t>
      </w:r>
      <w:r>
        <w:t xml:space="preserve"> of the ACL section of your /etc/squid/squid.conf file:</w:t>
      </w:r>
    </w:p>
    <w:p>
      <w:pPr>
        <w:pStyle w:val="Para 02"/>
      </w:pPr>
      <w:r>
        <w:t>acl biz_network src 10.1.42.0/24</w:t>
      </w:r>
    </w:p>
    <w:p>
      <w:pPr>
        <w:pStyle w:val="Para 02"/>
      </w:pPr>
      <w:r>
        <w:t>acl biz_hours time M T W T F 9:00-17:00</w:t>
      </w:r>
    </w:p>
    <w:p>
      <w:pPr>
        <w:pStyle w:val="Para 17"/>
      </w:pPr>
      <w:r>
        <w:t/>
      </w:r>
    </w:p>
    <w:p>
      <w:pPr>
        <w:pStyle w:val="Para 04"/>
      </w:pPr>
      <w:r>
        <w:t xml:space="preserve">• Then, add the following to the </w:t>
      </w:r>
      <w:r>
        <w:rPr>
          <w:rStyle w:val="Text0"/>
        </w:rPr>
        <w:t>top</w:t>
      </w:r>
      <w:r>
        <w:t xml:space="preserve"> of the http_access section of your /etc/squid/</w:t>
      </w:r>
    </w:p>
    <w:p>
      <w:pPr>
        <w:pStyle w:val="Para 02"/>
      </w:pPr>
      <w:r>
        <w:t>squid.conf file:</w:t>
      </w:r>
    </w:p>
    <w:p>
      <w:pPr>
        <w:pStyle w:val="Para 02"/>
      </w:pPr>
      <w:r>
        <w:t>http_access allow biz_network biz_hours</w:t>
      </w:r>
    </w:p>
    <w:p>
      <w:pPr>
        <w:pStyle w:val="Para 17"/>
      </w:pPr>
      <w:r>
        <w:t/>
      </w:r>
    </w:p>
    <w:p>
      <w:pPr>
        <w:pStyle w:val="Para 01"/>
      </w:pPr>
      <w:r>
        <w:t>Restart the Squid server</w:t>
      </w:r>
    </w:p>
    <w:p>
      <w:pPr>
        <w:pStyle w:val="Para 17"/>
      </w:pPr>
      <w:r>
        <w:t/>
      </w:r>
    </w:p>
    <w:p>
      <w:pPr>
        <w:pStyle w:val="Normal"/>
      </w:pPr>
      <w:r>
        <w:t>After making any changes to the /etc/squid/squid.conf file, you will need to save the file and restart the squid server application.</w:t>
      </w:r>
    </w:p>
    <w:p>
      <w:pPr>
        <w:pStyle w:val="Normal"/>
      </w:pPr>
      <w:r>
        <w:t>First, you can verify the syntax of your configuration file by running:</w:t>
      </w:r>
    </w:p>
    <w:p>
      <w:pPr>
        <w:pStyle w:val="Normal"/>
      </w:pPr>
      <w:r>
        <w:t>sudo squid -k parse</w:t>
      </w:r>
    </w:p>
    <w:p>
      <w:pPr>
        <w:pStyle w:val="Para 17"/>
      </w:pPr>
      <w:r>
        <w:t/>
      </w:r>
    </w:p>
    <w:p>
      <w:pPr>
        <w:pStyle w:val="Normal"/>
      </w:pPr>
      <w:r>
        <w:t>You can restart the server using the following command:</w:t>
      </w:r>
    </w:p>
    <w:p>
      <w:pPr>
        <w:pStyle w:val="Normal"/>
      </w:pPr>
      <w:r>
        <w:t>sudo systemctl restart squid.service</w:t>
      </w:r>
    </w:p>
    <w:p>
      <w:pPr>
        <w:pStyle w:val="Para 17"/>
      </w:pPr>
      <w:r>
        <w:t/>
      </w:r>
    </w:p>
    <w:p>
      <w:pPr>
        <w:pStyle w:val="Para 08"/>
      </w:pPr>
      <w:r>
        <w:t>Note:</w:t>
      </w:r>
    </w:p>
    <w:p>
      <w:pPr>
        <w:pStyle w:val="Para 03"/>
      </w:pPr>
      <w:r>
        <w:t>If a formerly customized squid3 was used to set up the spool at /var/log/squid3 to be</w:t>
      </w:r>
    </w:p>
    <w:p>
      <w:pPr>
        <w:pStyle w:val="Para 03"/>
      </w:pPr>
      <w:r>
        <w:t>a mount point, but otherwise kept the default configuration, the upgrade will fail. The</w:t>
      </w:r>
    </w:p>
    <w:p>
      <w:pPr>
        <w:pStyle w:val="Para 03"/>
      </w:pPr>
      <w:r>
        <w:t>upgrade tries to rename/move files as needed, but it can’t do so for an active mount point.</w:t>
      </w:r>
    </w:p>
    <w:p>
      <w:pPr>
        <w:pStyle w:val="Para 03"/>
      </w:pPr>
      <w:r>
        <w:t>In that case you will need to adapt either the mount point or the config in /etc/squid/</w:t>
      </w:r>
    </w:p>
    <w:p>
      <w:pPr>
        <w:pStyle w:val="Para 03"/>
      </w:pPr>
      <w:r>
        <w:t xml:space="preserve">squid.conf so that they match. The same applies if the </w:t>
      </w:r>
      <w:r>
        <w:rPr>
          <w:rStyle w:val="Text0"/>
        </w:rPr>
        <w:t>include</w:t>
      </w:r>
      <w:r>
        <w:t xml:space="preserve"> config statement was used</w:t>
      </w:r>
    </w:p>
    <w:p>
      <w:pPr>
        <w:pStyle w:val="Para 03"/>
      </w:pPr>
      <w:r>
        <w:t>to pull in more files from the old path at /etc/squid3/. In those cases you should move</w:t>
      </w:r>
    </w:p>
    <w:p>
      <w:pPr>
        <w:pStyle w:val="Para 03"/>
      </w:pPr>
      <w:r>
        <w:t>and adapt your configuration accordingly.</w:t>
      </w:r>
    </w:p>
    <w:p>
      <w:pPr>
        <w:pStyle w:val="Para 17"/>
      </w:pPr>
      <w:r>
        <w:t/>
      </w:r>
    </w:p>
    <w:p>
      <w:pPr>
        <w:pStyle w:val="Para 01"/>
      </w:pPr>
      <w:r>
        <w:t>Troubleshooting</w:t>
      </w:r>
    </w:p>
    <w:p>
      <w:pPr>
        <w:pStyle w:val="Para 17"/>
      </w:pPr>
      <w:r>
        <w:t/>
      </w:r>
    </w:p>
    <w:p>
      <w:pPr>
        <w:pStyle w:val="Normal"/>
      </w:pPr>
      <w:r>
        <w:t>To monitor Squid behavior and check for potential errors and problems, there are useful com-mands to be executed and files to be checked.</w:t>
      </w:r>
    </w:p>
    <w:p>
      <w:pPr>
        <w:pStyle w:val="Normal"/>
      </w:pPr>
      <w:r>
        <w:t>Squid version and status can be checked with:</w:t>
      </w:r>
    </w:p>
    <w:p>
      <w:pPr>
        <w:pStyle w:val="Normal"/>
      </w:pPr>
      <w:r>
        <w:t>sudo squid -v</w:t>
      </w:r>
    </w:p>
    <w:p>
      <w:pPr>
        <w:pStyle w:val="Normal"/>
      </w:pPr>
      <w:r>
        <w:t>sudo systemctl status squid</w:t>
      </w:r>
    </w:p>
    <w:p>
      <w:pPr>
        <w:pStyle w:val="Para 17"/>
      </w:pPr>
      <w:r>
        <w:t/>
      </w:r>
    </w:p>
    <w:p>
      <w:pPr>
        <w:pStyle w:val="Normal"/>
      </w:pPr>
      <w:r>
        <w:t>Checking or watching the log files may be useful to see potential errors, and to verify cache hits and misses:</w:t>
      </w:r>
    </w:p>
    <w:p>
      <w:bookmarkStart w:id="740" w:name="page_4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7" name="index-498_1.png" descr="index-498_1.png"/>
            <wp:cNvGraphicFramePr>
              <a:graphicFrameLocks noChangeAspect="1"/>
            </wp:cNvGraphicFramePr>
            <a:graphic>
              <a:graphicData uri="http://schemas.openxmlformats.org/drawingml/2006/picture">
                <pic:pic>
                  <pic:nvPicPr>
                    <pic:cNvPr id="0" name="index-498_1.png" descr="index-498_1.png"/>
                    <pic:cNvPicPr/>
                  </pic:nvPicPr>
                  <pic:blipFill>
                    <a:blip r:embed="rId511"/>
                    <a:stretch>
                      <a:fillRect/>
                    </a:stretch>
                  </pic:blipFill>
                  <pic:spPr>
                    <a:xfrm>
                      <a:off x="0" y="0"/>
                      <a:ext cx="914400" cy="266700"/>
                    </a:xfrm>
                    <a:prstGeom prst="rect">
                      <a:avLst/>
                    </a:prstGeom>
                  </pic:spPr>
                </pic:pic>
              </a:graphicData>
            </a:graphic>
          </wp:anchor>
        </w:drawing>
      </w:r>
      <w:bookmarkEnd w:id="740"/>
    </w:p>
    <w:p>
      <w:pPr>
        <w:pStyle w:val="Normal"/>
      </w:pPr>
      <w:r>
        <w:t>sudo cat /var/log/squid/cache.log</w:t>
      </w:r>
    </w:p>
    <w:p>
      <w:pPr>
        <w:pStyle w:val="Normal"/>
      </w:pPr>
      <w:r>
        <w:t>sudo cat /var/log/squid/access.log</w:t>
      </w:r>
    </w:p>
    <w:p>
      <w:pPr>
        <w:pStyle w:val="Para 17"/>
      </w:pPr>
      <w:r>
        <w:t/>
      </w:r>
    </w:p>
    <w:p>
      <w:pPr>
        <w:pStyle w:val="Normal"/>
      </w:pPr>
      <w:r>
        <w:t>For a status summary containing runtime statistics and configuration, run:</w:t>
      </w:r>
    </w:p>
    <w:p>
      <w:pPr>
        <w:pStyle w:val="Normal"/>
      </w:pPr>
      <w:r>
        <w:t>curl http://localhost:8888/squid-internal-mgr/info</w:t>
      </w:r>
    </w:p>
    <w:p>
      <w:pPr>
        <w:pStyle w:val="Para 17"/>
      </w:pPr>
      <w:r>
        <w:t/>
      </w:r>
    </w:p>
    <w:p>
      <w:pPr>
        <w:pStyle w:val="Normal"/>
      </w:pPr>
      <w:r>
        <w:t>While monitoring the log files, these cache status indicators can help identifying what is hap-pening with requests:</w:t>
      </w:r>
    </w:p>
    <w:p>
      <w:pPr>
        <w:pStyle w:val="Para 04"/>
      </w:pPr>
      <w:r>
        <w:t>• TCP_MISS: Content not in cache, fetched from origin</w:t>
      </w:r>
    </w:p>
    <w:p>
      <w:pPr>
        <w:pStyle w:val="Para 04"/>
      </w:pPr>
      <w:r>
        <w:t>• TCP_HIT: Content served from disk cache</w:t>
      </w:r>
    </w:p>
    <w:p>
      <w:pPr>
        <w:pStyle w:val="Para 04"/>
      </w:pPr>
      <w:r>
        <w:t>• TCP_MEM_HIT: Content served from memory cache</w:t>
      </w:r>
    </w:p>
    <w:p>
      <w:pPr>
        <w:pStyle w:val="Para 04"/>
      </w:pPr>
      <w:r>
        <w:t>• TCP_REFRESH_HIT: Cached content re-validated with origin</w:t>
      </w:r>
    </w:p>
    <w:p>
      <w:pPr>
        <w:pStyle w:val="Para 04"/>
      </w:pPr>
      <w:r>
        <w:t>• TCP_TUNNEL: HTTPS traffic (not cached by default)</w:t>
      </w:r>
    </w:p>
    <w:p>
      <w:pPr>
        <w:pStyle w:val="Normal"/>
      </w:pPr>
      <w:r>
        <w:t>A healthy cache should show increasing hit ratios over time, of non-zero size, and a growing number of cached objects.</w:t>
      </w:r>
    </w:p>
    <w:p>
      <w:pPr>
        <w:pStyle w:val="Para 17"/>
      </w:pPr>
      <w:r>
        <w:t/>
      </w:r>
    </w:p>
    <w:p>
      <w:pPr>
        <w:pStyle w:val="Para 01"/>
      </w:pPr>
      <w:r>
        <w:t>Further reading</w:t>
      </w:r>
    </w:p>
    <w:p>
      <w:pPr>
        <w:pStyle w:val="Para 17"/>
      </w:pPr>
      <w:r>
        <w:t/>
      </w:r>
    </w:p>
    <w:p>
      <w:pPr>
        <w:pStyle w:val="Para 13"/>
      </w:pPr>
      <w:r>
        <w:rPr>
          <w:rStyle w:val="Text7"/>
        </w:rPr>
        <w:t xml:space="preserve">• </w:t>
      </w:r>
      <w:hyperlink w:anchor="page_498">
        <w:r>
          <w:rPr>
            <w:rStyle w:val="Text10"/>
          </w:rPr>
          <w:t>463</w:t>
        </w:r>
      </w:hyperlink>
      <w:r>
        <w:rPr>
          <w:rStyle w:val="Text7"/>
        </w:rPr>
        <w:t xml:space="preserve"> </w:t>
      </w:r>
      <w:hyperlink r:id="rId1415">
        <w:r>
          <w:t>The Squid Website</w:t>
        </w:r>
      </w:hyperlink>
    </w:p>
    <w:p>
      <w:pPr>
        <w:pStyle w:val="Para 13"/>
      </w:pPr>
      <w:r>
        <w:rPr>
          <w:rStyle w:val="Text7"/>
        </w:rPr>
        <w:t xml:space="preserve">• </w:t>
      </w:r>
      <w:hyperlink w:anchor="page_498">
        <w:r>
          <w:rPr>
            <w:rStyle w:val="Text10"/>
          </w:rPr>
          <w:t>464</w:t>
        </w:r>
      </w:hyperlink>
      <w:r>
        <w:rPr>
          <w:rStyle w:val="Text7"/>
        </w:rPr>
        <w:t xml:space="preserve"> </w:t>
      </w:r>
      <w:hyperlink r:id="rId1416">
        <w:r>
          <w:t>Ubuntu Wiki page on Squid</w:t>
        </w:r>
      </w:hyperlink>
      <w:r>
        <w:rPr>
          <w:rStyle w:val="Text7"/>
        </w:rPr>
        <w:t>.</w:t>
      </w:r>
    </w:p>
    <w:p>
      <w:pPr>
        <w:pStyle w:val="Para 17"/>
      </w:pPr>
      <w:r>
        <w:t/>
      </w:r>
    </w:p>
    <w:p>
      <w:pPr>
        <w:pStyle w:val="Para 01"/>
      </w:pPr>
      <w:r>
        <w:t>Web servers</w:t>
      </w:r>
    </w:p>
    <w:p>
      <w:pPr>
        <w:pStyle w:val="Para 17"/>
      </w:pPr>
      <w:r>
        <w:t/>
      </w:r>
    </w:p>
    <w:p>
      <w:pPr>
        <w:pStyle w:val="Normal"/>
      </w:pPr>
      <w:r>
        <w:t>Two of the most popular web servers in Ubuntu are Apache2 and nginx. This section covers the installation, configuration and extension of both.</w:t>
      </w:r>
    </w:p>
    <w:p>
      <w:pPr>
        <w:pStyle w:val="Para 17"/>
      </w:pPr>
      <w:r>
        <w:t/>
      </w:r>
    </w:p>
    <w:p>
      <w:pPr>
        <w:pStyle w:val="Para 01"/>
      </w:pPr>
      <w:r>
        <w:t>Apache2</w:t>
      </w:r>
    </w:p>
    <w:p>
      <w:pPr>
        <w:pStyle w:val="Para 17"/>
      </w:pPr>
      <w:r>
        <w:t/>
      </w:r>
    </w:p>
    <w:p>
      <w:pPr>
        <w:pStyle w:val="Para 01"/>
      </w:pPr>
      <w:r>
        <w:t>How to install Apache2</w:t>
      </w:r>
    </w:p>
    <w:p>
      <w:pPr>
        <w:pStyle w:val="Para 17"/>
      </w:pPr>
      <w:r>
        <w:t/>
      </w:r>
    </w:p>
    <w:p>
      <w:pPr>
        <w:pStyle w:val="Normal"/>
      </w:pPr>
      <w:hyperlink r:id="rId1054">
        <w:r>
          <w:rPr>
            <w:rStyle w:val="Text1"/>
          </w:rPr>
          <w:t>The Apache HTTP Server</w:t>
        </w:r>
      </w:hyperlink>
      <w:hyperlink w:anchor="page_498">
        <w:r>
          <w:rPr>
            <w:rStyle w:val="Text9"/>
          </w:rPr>
          <w:t>465</w:t>
        </w:r>
      </w:hyperlink>
      <w:r>
        <w:t xml:space="preserve"> (“httpd”) is a widely used web server on Linux systems, and is often used as part of the LAMP configuration (Linux + Apache + MySQL + PHP/Perl/Python). In this guide, we will show you how to install and configure Apache2, which is the current release of “httpd”.</w:t>
      </w:r>
    </w:p>
    <w:p>
      <w:pPr>
        <w:pStyle w:val="Para 05"/>
      </w:pPr>
      <w:r>
        <w:rPr>
          <w:rStyle w:val="Text5"/>
        </w:rPr>
        <w:t>463</w:t>
      </w:r>
      <w:r>
        <w:rPr>
          <w:rStyle w:val="Text8"/>
        </w:rPr>
        <w:t xml:space="preserve"> </w:t>
      </w:r>
      <w:r>
        <w:t>http://www.squid-cache.org/</w:t>
      </w:r>
    </w:p>
    <w:p>
      <w:pPr>
        <w:pStyle w:val="Para 05"/>
      </w:pPr>
      <w:r>
        <w:rPr>
          <w:rStyle w:val="Text5"/>
        </w:rPr>
        <w:t>464</w:t>
      </w:r>
      <w:r>
        <w:rPr>
          <w:rStyle w:val="Text8"/>
        </w:rPr>
        <w:t xml:space="preserve"> </w:t>
      </w:r>
      <w:r>
        <w:t>https://help.ubuntu.com/community/Squid</w:t>
      </w:r>
    </w:p>
    <w:p>
      <w:pPr>
        <w:pStyle w:val="Para 05"/>
      </w:pPr>
      <w:r>
        <w:rPr>
          <w:rStyle w:val="Text5"/>
        </w:rPr>
        <w:t>465</w:t>
      </w:r>
      <w:r>
        <w:rPr>
          <w:rStyle w:val="Text8"/>
        </w:rPr>
        <w:t xml:space="preserve"> </w:t>
      </w:r>
      <w:r>
        <w:t>https://httpd.apache.org/</w:t>
      </w:r>
    </w:p>
    <w:p>
      <w:bookmarkStart w:id="741" w:name="calibre_pb_121"/>
      <w:pPr>
        <w:pStyle w:val="0 Block"/>
      </w:pPr>
      <w:bookmarkEnd w:id="741"/>
    </w:p>
    <w:p>
      <w:bookmarkStart w:id="742" w:name="Top_of_index_split_122_html"/>
      <w:bookmarkStart w:id="743" w:name="page_49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8" name="index-499_1.png" descr="index-499_1.png"/>
            <wp:cNvGraphicFramePr>
              <a:graphicFrameLocks noChangeAspect="1"/>
            </wp:cNvGraphicFramePr>
            <a:graphic>
              <a:graphicData uri="http://schemas.openxmlformats.org/drawingml/2006/picture">
                <pic:pic>
                  <pic:nvPicPr>
                    <pic:cNvPr id="0" name="index-499_1.png" descr="index-499_1.png"/>
                    <pic:cNvPicPr/>
                  </pic:nvPicPr>
                  <pic:blipFill>
                    <a:blip r:embed="rId512"/>
                    <a:stretch>
                      <a:fillRect/>
                    </a:stretch>
                  </pic:blipFill>
                  <pic:spPr>
                    <a:xfrm>
                      <a:off x="0" y="0"/>
                      <a:ext cx="914400" cy="266700"/>
                    </a:xfrm>
                    <a:prstGeom prst="rect">
                      <a:avLst/>
                    </a:prstGeom>
                  </pic:spPr>
                </pic:pic>
              </a:graphicData>
            </a:graphic>
          </wp:anchor>
        </w:drawing>
      </w:r>
      <w:bookmarkEnd w:id="742"/>
      <w:bookmarkEnd w:id="743"/>
    </w:p>
    <w:p>
      <w:pPr>
        <w:pStyle w:val="Para 01"/>
      </w:pPr>
      <w:r>
        <w:t>Install apache2</w:t>
      </w:r>
    </w:p>
    <w:p>
      <w:pPr>
        <w:pStyle w:val="Para 17"/>
      </w:pPr>
      <w:r>
        <w:t/>
      </w:r>
    </w:p>
    <w:p>
      <w:pPr>
        <w:pStyle w:val="Normal"/>
      </w:pPr>
      <w:r>
        <w:t>To install Apache2, enter the following command at the terminal prompt:</w:t>
      </w:r>
    </w:p>
    <w:p>
      <w:pPr>
        <w:pStyle w:val="Normal"/>
      </w:pPr>
      <w:r>
        <w:t>sudo apt install apache2</w:t>
      </w:r>
    </w:p>
    <w:p>
      <w:pPr>
        <w:pStyle w:val="Para 17"/>
      </w:pPr>
      <w:r>
        <w:t/>
      </w:r>
    </w:p>
    <w:p>
      <w:pPr>
        <w:pStyle w:val="Para 01"/>
      </w:pPr>
      <w:r>
        <w:t>Configure apache2</w:t>
      </w:r>
    </w:p>
    <w:p>
      <w:pPr>
        <w:pStyle w:val="Para 17"/>
      </w:pPr>
      <w:r>
        <w:t/>
      </w:r>
    </w:p>
    <w:p>
      <w:pPr>
        <w:pStyle w:val="Normal"/>
      </w:pPr>
      <w:r>
        <w:t xml:space="preserve">Apache2 is configured by placing </w:t>
      </w:r>
      <w:r>
        <w:rPr>
          <w:rStyle w:val="Text0"/>
        </w:rPr>
        <w:t>directives</w:t>
      </w:r>
      <w:r>
        <w:t xml:space="preserve"> in plain text configuration files in /etc/apache2/. These </w:t>
      </w:r>
      <w:r>
        <w:rPr>
          <w:rStyle w:val="Text3"/>
        </w:rPr>
        <w:t>directives</w:t>
      </w:r>
      <w:r>
        <w:t xml:space="preserve"> are separated between the following files and directories:</w:t>
      </w:r>
    </w:p>
    <w:p>
      <w:pPr>
        <w:pStyle w:val="Para 17"/>
      </w:pPr>
      <w:r>
        <w:t/>
      </w:r>
    </w:p>
    <w:p>
      <w:pPr>
        <w:pStyle w:val="Para 01"/>
      </w:pPr>
      <w:r>
        <w:t>Files</w:t>
      </w:r>
    </w:p>
    <w:p>
      <w:pPr>
        <w:pStyle w:val="Para 17"/>
      </w:pPr>
      <w:r>
        <w:t/>
      </w:r>
    </w:p>
    <w:p>
      <w:pPr>
        <w:pStyle w:val="Para 04"/>
      </w:pPr>
      <w:r>
        <w:t xml:space="preserve">• apache2.conf The main Apache2 configuration file. Contains settings that are </w:t>
      </w:r>
      <w:r>
        <w:rPr>
          <w:rStyle w:val="Text0"/>
        </w:rPr>
        <w:t>global</w:t>
      </w:r>
      <w:r>
        <w:t xml:space="preserve"> to</w:t>
      </w:r>
    </w:p>
    <w:p>
      <w:pPr>
        <w:pStyle w:val="Para 02"/>
      </w:pPr>
      <w:r>
        <w:t>Apache2.</w:t>
      </w:r>
    </w:p>
    <w:p>
      <w:pPr>
        <w:pStyle w:val="Para 23"/>
      </w:pPr>
      <w:r>
        <w:t>Note:</w:t>
      </w:r>
    </w:p>
    <w:p>
      <w:pPr>
        <w:pStyle w:val="Para 06"/>
      </w:pPr>
      <w:r>
        <w:t>Historically, the main Apache2 configuration file was httpd.conf, named after the “httpd” daemon. In other distributions (or older versions of Ubuntu), the file might be present. In modern releases of Ubuntu, all configuration options have been moved to apache2.conf and the below referenced directories and httpd.conf no longer exists.</w:t>
      </w:r>
    </w:p>
    <w:p>
      <w:pPr>
        <w:pStyle w:val="Para 17"/>
      </w:pPr>
      <w:r>
        <w:t/>
      </w:r>
    </w:p>
    <w:p>
      <w:pPr>
        <w:pStyle w:val="Para 04"/>
      </w:pPr>
      <w:r>
        <w:t xml:space="preserve">• envvars File where Apache2 </w:t>
      </w:r>
      <w:r>
        <w:rPr>
          <w:rStyle w:val="Text0"/>
        </w:rPr>
        <w:t>environment</w:t>
      </w:r>
      <w:r>
        <w:t xml:space="preserve"> variables are set.</w:t>
      </w:r>
    </w:p>
    <w:p>
      <w:pPr>
        <w:pStyle w:val="Para 04"/>
      </w:pPr>
      <w:r>
        <w:t>• magic Instructions for determining MIME type based on the first few bytes of a file.</w:t>
      </w:r>
    </w:p>
    <w:p>
      <w:pPr>
        <w:pStyle w:val="Para 04"/>
      </w:pPr>
      <w:r>
        <w:t>• ports.conf Houses the directives that determine which TCP ports Apache2 is listening</w:t>
      </w:r>
    </w:p>
    <w:p>
      <w:pPr>
        <w:pStyle w:val="Para 02"/>
      </w:pPr>
      <w:r>
        <w:t>on.</w:t>
      </w:r>
    </w:p>
    <w:p>
      <w:pPr>
        <w:pStyle w:val="Normal"/>
      </w:pPr>
      <w:r>
        <w:t xml:space="preserve">In addition, other configuration files may be added using the </w:t>
      </w:r>
      <w:r>
        <w:rPr>
          <w:rStyle w:val="Text0"/>
        </w:rPr>
        <w:t>Include</w:t>
      </w:r>
      <w:r>
        <w:t xml:space="preserve"> directive, and wildcards can be used to include many configuration files. Any directive may be placed in any of these configuration files. Changes to the main configuration files are only recognized by Apache2 when it is started or restarted.</w:t>
      </w:r>
    </w:p>
    <w:p>
      <w:pPr>
        <w:pStyle w:val="Normal"/>
      </w:pPr>
      <w:r>
        <w:t xml:space="preserve">The server also reads a file containing MIME document types; the filename is set by the </w:t>
      </w:r>
      <w:r>
        <w:rPr>
          <w:rStyle w:val="Text0"/>
        </w:rPr>
        <w:t>Type-sConfig</w:t>
      </w:r>
      <w:r>
        <w:t xml:space="preserve"> directive, typically via /etc/apache2/mods-available/mime.conf, which might also in-clude additions and overrides, and is /etc/mime.types by default.</w:t>
      </w:r>
    </w:p>
    <w:p>
      <w:pPr>
        <w:pStyle w:val="Para 17"/>
      </w:pPr>
      <w:r>
        <w:t/>
      </w:r>
    </w:p>
    <w:p>
      <w:pPr>
        <w:pStyle w:val="Para 01"/>
      </w:pPr>
      <w:r>
        <w:t>Directories</w:t>
      </w:r>
    </w:p>
    <w:p>
      <w:pPr>
        <w:pStyle w:val="Para 17"/>
      </w:pPr>
      <w:r>
        <w:t/>
      </w:r>
    </w:p>
    <w:p>
      <w:pPr>
        <w:pStyle w:val="Para 04"/>
      </w:pPr>
      <w:r>
        <w:t>• conf-available This directory contains available configuration files. All files that were</w:t>
      </w:r>
    </w:p>
    <w:p>
      <w:pPr>
        <w:pStyle w:val="Para 02"/>
      </w:pPr>
      <w:r>
        <w:t>previously in /etc/apache2/conf.d should be moved to /etc/apache2/conf-available.</w:t>
      </w:r>
    </w:p>
    <w:p>
      <w:pPr>
        <w:pStyle w:val="Para 04"/>
      </w:pPr>
      <w:r>
        <w:t xml:space="preserve">• conf-enabled Holds </w:t>
      </w:r>
      <w:r>
        <w:rPr>
          <w:rStyle w:val="Text0"/>
        </w:rPr>
        <w:t>symlinks</w:t>
      </w:r>
      <w:r>
        <w:t xml:space="preserve"> to the files in /etc/apache2/conf-available. When a con-</w:t>
      </w:r>
    </w:p>
    <w:p>
      <w:pPr>
        <w:pStyle w:val="Para 17"/>
      </w:pPr>
      <w:r>
        <w:t>figuration file is symlinked, it will be enabled the next time Apache2 is restarted.</w:t>
      </w:r>
    </w:p>
    <w:p>
      <w:pPr>
        <w:pStyle w:val="Para 04"/>
      </w:pPr>
      <w:r>
        <w:t xml:space="preserve">• mods-available This directory contains configuration files to both load </w:t>
      </w:r>
      <w:r>
        <w:rPr>
          <w:rStyle w:val="Text0"/>
        </w:rPr>
        <w:t>modules</w:t>
      </w:r>
      <w:r>
        <w:t xml:space="preserve"> and</w:t>
      </w:r>
    </w:p>
    <w:p>
      <w:pPr>
        <w:pStyle w:val="Para 17"/>
      </w:pPr>
      <w:r>
        <w:t>configure them. Not all modules will have specific configuration files, however.</w:t>
      </w:r>
    </w:p>
    <w:p>
      <w:bookmarkStart w:id="744" w:name="page_5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09" name="index-500_1.png" descr="index-500_1.png"/>
            <wp:cNvGraphicFramePr>
              <a:graphicFrameLocks noChangeAspect="1"/>
            </wp:cNvGraphicFramePr>
            <a:graphic>
              <a:graphicData uri="http://schemas.openxmlformats.org/drawingml/2006/picture">
                <pic:pic>
                  <pic:nvPicPr>
                    <pic:cNvPr id="0" name="index-500_1.png" descr="index-500_1.png"/>
                    <pic:cNvPicPr/>
                  </pic:nvPicPr>
                  <pic:blipFill>
                    <a:blip r:embed="rId513"/>
                    <a:stretch>
                      <a:fillRect/>
                    </a:stretch>
                  </pic:blipFill>
                  <pic:spPr>
                    <a:xfrm>
                      <a:off x="0" y="0"/>
                      <a:ext cx="914400" cy="266700"/>
                    </a:xfrm>
                    <a:prstGeom prst="rect">
                      <a:avLst/>
                    </a:prstGeom>
                  </pic:spPr>
                </pic:pic>
              </a:graphicData>
            </a:graphic>
          </wp:anchor>
        </w:drawing>
      </w:r>
      <w:bookmarkEnd w:id="744"/>
    </w:p>
    <w:p>
      <w:pPr>
        <w:pStyle w:val="Para 04"/>
      </w:pPr>
      <w:r>
        <w:t>• mods-enabled Holds symlinks to the files in /etc/apache2/mods-available. When a mod-</w:t>
      </w:r>
    </w:p>
    <w:p>
      <w:pPr>
        <w:pStyle w:val="Para 02"/>
      </w:pPr>
      <w:r>
        <w:t>ule configuration file is symlinked it will be enabled the next time Apache2 is restarted.</w:t>
      </w:r>
    </w:p>
    <w:p>
      <w:pPr>
        <w:pStyle w:val="Para 04"/>
      </w:pPr>
      <w:r>
        <w:t xml:space="preserve">• sites-available This directory has configuration files for Apache2 </w:t>
      </w:r>
      <w:r>
        <w:rPr>
          <w:rStyle w:val="Text0"/>
        </w:rPr>
        <w:t>Virtual Hosts</w:t>
      </w:r>
      <w:r>
        <w:t>. Vir-</w:t>
      </w:r>
    </w:p>
    <w:p>
      <w:pPr>
        <w:pStyle w:val="Para 02"/>
      </w:pPr>
      <w:r>
        <w:t>tual Hosts allow Apache2 to be configured for multiple sites that have separate config-urations.</w:t>
      </w:r>
    </w:p>
    <w:p>
      <w:pPr>
        <w:pStyle w:val="Para 04"/>
      </w:pPr>
      <w:r>
        <w:t>• sites-enabled Like mods-enabled, sites-enabled contains symlinks to the /etc/</w:t>
      </w:r>
    </w:p>
    <w:p>
      <w:pPr>
        <w:pStyle w:val="Para 02"/>
      </w:pPr>
      <w:r>
        <w:t>apache2/sites-available directory. Similarly, when a configuration file in sites-available is symlinked, the site configured by it will be active once Apache2 is restarted.</w:t>
      </w:r>
    </w:p>
    <w:p>
      <w:pPr>
        <w:pStyle w:val="Para 17"/>
      </w:pPr>
      <w:r>
        <w:t/>
      </w:r>
    </w:p>
    <w:p>
      <w:pPr>
        <w:pStyle w:val="Para 01"/>
      </w:pPr>
      <w:r>
        <w:t>Detailed configuration</w:t>
      </w:r>
    </w:p>
    <w:p>
      <w:pPr>
        <w:pStyle w:val="Para 17"/>
      </w:pPr>
      <w:r>
        <w:t/>
      </w:r>
    </w:p>
    <w:p>
      <w:pPr>
        <w:pStyle w:val="Normal"/>
      </w:pPr>
      <w:r>
        <w:t>For more detailed information on configuring Apache2, check out our follow-up guides.</w:t>
      </w:r>
    </w:p>
    <w:p>
      <w:pPr>
        <w:pStyle w:val="Para 14"/>
      </w:pPr>
      <w:r>
        <w:rPr>
          <w:rStyle w:val="Text4"/>
        </w:rPr>
        <w:t xml:space="preserve">• Part 2: </w:t>
      </w:r>
      <w:hyperlink w:anchor="page_500">
        <w:r>
          <w:t>Apache2 configuration settings</w:t>
        </w:r>
      </w:hyperlink>
      <w:r>
        <w:rPr>
          <w:rStyle w:val="Text4"/>
        </w:rPr>
        <w:t xml:space="preserve"> (page 499)</w:t>
      </w:r>
    </w:p>
    <w:p>
      <w:pPr>
        <w:pStyle w:val="Para 04"/>
      </w:pPr>
      <w:r>
        <w:t xml:space="preserve">• Part 3: </w:t>
      </w:r>
      <w:hyperlink w:anchor="page_506">
        <w:r>
          <w:rPr>
            <w:rStyle w:val="Text2"/>
          </w:rPr>
          <w:t>how to extend Apache2</w:t>
        </w:r>
      </w:hyperlink>
      <w:r>
        <w:t xml:space="preserve"> (page 505) with modules.</w:t>
      </w:r>
    </w:p>
    <w:p>
      <w:pPr>
        <w:pStyle w:val="Para 17"/>
      </w:pPr>
      <w:r>
        <w:t/>
      </w:r>
    </w:p>
    <w:p>
      <w:pPr>
        <w:pStyle w:val="Para 01"/>
      </w:pPr>
      <w:r>
        <w:t>Further reading</w:t>
      </w:r>
    </w:p>
    <w:p>
      <w:pPr>
        <w:pStyle w:val="Para 17"/>
      </w:pPr>
      <w:r>
        <w:t/>
      </w:r>
    </w:p>
    <w:p>
      <w:pPr>
        <w:pStyle w:val="Para 04"/>
      </w:pPr>
      <w:r>
        <w:t xml:space="preserve">• </w:t>
      </w:r>
      <w:hyperlink w:anchor="page_500">
        <w:r>
          <w:rPr>
            <w:rStyle w:val="Text9"/>
          </w:rPr>
          <w:t>466</w:t>
        </w:r>
      </w:hyperlink>
      <w:r>
        <w:t xml:space="preserve"> </w:t>
      </w:r>
      <w:hyperlink r:id="rId1417">
        <w:r>
          <w:rPr>
            <w:rStyle w:val="Text1"/>
          </w:rPr>
          <w:t>Apache2 Documentation</w:t>
        </w:r>
      </w:hyperlink>
      <w:r>
        <w:t xml:space="preserve"> contains in depth information on Apache2 configuration</w:t>
      </w:r>
    </w:p>
    <w:p>
      <w:pPr>
        <w:pStyle w:val="Para 02"/>
      </w:pPr>
      <w:r>
        <w:t>directives. Also, see the apache2-doc package for the official Apache2 docs.</w:t>
      </w:r>
    </w:p>
    <w:p>
      <w:pPr>
        <w:pStyle w:val="Para 04"/>
      </w:pPr>
      <w:r>
        <w:t xml:space="preserve">• O’Reilly’s </w:t>
      </w:r>
      <w:hyperlink r:id="rId1418">
        <w:r>
          <w:rPr>
            <w:rStyle w:val="Text9"/>
          </w:rPr>
          <w:t>467</w:t>
        </w:r>
      </w:hyperlink>
      <w:hyperlink r:id="rId1418">
        <w:r>
          <w:rPr>
            <w:rStyle w:val="Text1"/>
          </w:rPr>
          <w:t xml:space="preserve"> Apache Cookbook</w:t>
        </w:r>
      </w:hyperlink>
      <w:r>
        <w:t xml:space="preserve"> is a good resource for accomplishing specific Apache2</w:t>
      </w:r>
    </w:p>
    <w:p>
      <w:pPr>
        <w:pStyle w:val="Para 02"/>
      </w:pPr>
      <w:r>
        <w:t>configurations.</w:t>
      </w:r>
    </w:p>
    <w:p>
      <w:pPr>
        <w:pStyle w:val="Para 04"/>
      </w:pPr>
      <w:r>
        <w:t xml:space="preserve">• For Ubuntu-specific Apache2 questions, ask in the </w:t>
      </w:r>
      <w:hyperlink r:id="rId1034">
        <w:r>
          <w:rPr>
            <w:rStyle w:val="Text9"/>
          </w:rPr>
          <w:t>468</w:t>
        </w:r>
      </w:hyperlink>
      <w:hyperlink r:id="rId1034">
        <w:r>
          <w:rPr>
            <w:rStyle w:val="Text1"/>
          </w:rPr>
          <w:t xml:space="preserve"> Ubuntu Server</w:t>
        </w:r>
      </w:hyperlink>
      <w:r>
        <w:t xml:space="preserve"> Matrix channel.</w:t>
      </w:r>
    </w:p>
    <w:p>
      <w:pPr>
        <w:pStyle w:val="Para 17"/>
      </w:pPr>
      <w:r>
        <w:t/>
      </w:r>
    </w:p>
    <w:p>
      <w:pPr>
        <w:pStyle w:val="Para 01"/>
      </w:pPr>
      <w:r>
        <w:t>How to configure Apache2 settings</w:t>
      </w:r>
    </w:p>
    <w:p>
      <w:pPr>
        <w:pStyle w:val="Para 17"/>
      </w:pPr>
      <w:r>
        <w:t/>
      </w:r>
    </w:p>
    <w:p>
      <w:pPr>
        <w:pStyle w:val="Normal"/>
      </w:pPr>
      <w:r>
        <w:t xml:space="preserve">After you have </w:t>
      </w:r>
      <w:hyperlink w:anchor="page_498">
        <w:r>
          <w:rPr>
            <w:rStyle w:val="Text2"/>
          </w:rPr>
          <w:t>installed Apache2</w:t>
        </w:r>
      </w:hyperlink>
      <w:r>
        <w:t xml:space="preserve"> (page 497), you will likely need to configure it. In this ex-planatory guide, we will explain the Apache2 server essential configuration parameters.</w:t>
      </w:r>
    </w:p>
    <w:p>
      <w:pPr>
        <w:pStyle w:val="Para 17"/>
      </w:pPr>
      <w:r>
        <w:t/>
      </w:r>
    </w:p>
    <w:p>
      <w:pPr>
        <w:pStyle w:val="Para 01"/>
      </w:pPr>
      <w:r>
        <w:t>Basic directives</w:t>
      </w:r>
    </w:p>
    <w:p>
      <w:pPr>
        <w:pStyle w:val="Para 17"/>
      </w:pPr>
      <w:r>
        <w:t/>
      </w:r>
    </w:p>
    <w:p>
      <w:pPr>
        <w:pStyle w:val="Normal"/>
      </w:pPr>
      <w:r>
        <w:t xml:space="preserve">Apache2 ships with a “virtual-host-friendly” default configuration – it is configured with a single default virtual host (using the </w:t>
      </w:r>
      <w:r>
        <w:rPr>
          <w:rStyle w:val="Text0"/>
        </w:rPr>
        <w:t>VirtualHost</w:t>
      </w:r>
      <w:r>
        <w:t xml:space="preserve"> directive) which can be modified or used as-is if you have a single site, or used as a template for additional virtual hosts if you have multiple sites.</w:t>
      </w:r>
    </w:p>
    <w:p>
      <w:pPr>
        <w:pStyle w:val="Normal"/>
      </w:pPr>
      <w:r>
        <w:t xml:space="preserve">If left alone, the default virtual host will serve as your default site, or the site users will see if the URL they enter does not match the </w:t>
      </w:r>
      <w:r>
        <w:rPr>
          <w:rStyle w:val="Text0"/>
        </w:rPr>
        <w:t>ServerName</w:t>
      </w:r>
      <w:r>
        <w:t xml:space="preserve"> directive of any of your custom sites. To modify the default virtual host, edit the file /etc/apache2/sites-available/000-default. conf.</w:t>
      </w:r>
    </w:p>
    <w:p>
      <w:pPr>
        <w:pStyle w:val="Para 05"/>
      </w:pPr>
      <w:r>
        <w:rPr>
          <w:rStyle w:val="Text5"/>
        </w:rPr>
        <w:t>466</w:t>
      </w:r>
      <w:r>
        <w:rPr>
          <w:rStyle w:val="Text8"/>
        </w:rPr>
        <w:t xml:space="preserve"> </w:t>
      </w:r>
      <w:r>
        <w:t>https://httpd.apache.org/docs/2.4/</w:t>
      </w:r>
    </w:p>
    <w:p>
      <w:pPr>
        <w:pStyle w:val="Para 05"/>
      </w:pPr>
      <w:r>
        <w:rPr>
          <w:rStyle w:val="Text5"/>
        </w:rPr>
        <w:t>467</w:t>
      </w:r>
      <w:r>
        <w:rPr>
          <w:rStyle w:val="Text8"/>
        </w:rPr>
        <w:t xml:space="preserve"> </w:t>
      </w:r>
      <w:r>
        <w:t>https://www.oreilly.com/library/view/apache-cookbook-2nd/9780596529949/</w:t>
      </w:r>
    </w:p>
    <w:p>
      <w:pPr>
        <w:pStyle w:val="Para 05"/>
      </w:pPr>
      <w:r>
        <w:rPr>
          <w:rStyle w:val="Text5"/>
        </w:rPr>
        <w:t>468</w:t>
      </w:r>
      <w:r>
        <w:rPr>
          <w:rStyle w:val="Text8"/>
        </w:rPr>
        <w:t xml:space="preserve"> </w:t>
      </w:r>
      <w:r>
        <w:t>https://matrix.to/#/#server:ubuntu.com</w:t>
      </w:r>
    </w:p>
    <w:p>
      <w:bookmarkStart w:id="745" w:name="page_5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0" name="index-501_1.png" descr="index-501_1.png"/>
            <wp:cNvGraphicFramePr>
              <a:graphicFrameLocks noChangeAspect="1"/>
            </wp:cNvGraphicFramePr>
            <a:graphic>
              <a:graphicData uri="http://schemas.openxmlformats.org/drawingml/2006/picture">
                <pic:pic>
                  <pic:nvPicPr>
                    <pic:cNvPr id="0" name="index-501_1.png" descr="index-501_1.png"/>
                    <pic:cNvPicPr/>
                  </pic:nvPicPr>
                  <pic:blipFill>
                    <a:blip r:embed="rId514"/>
                    <a:stretch>
                      <a:fillRect/>
                    </a:stretch>
                  </pic:blipFill>
                  <pic:spPr>
                    <a:xfrm>
                      <a:off x="0" y="0"/>
                      <a:ext cx="914400" cy="266700"/>
                    </a:xfrm>
                    <a:prstGeom prst="rect">
                      <a:avLst/>
                    </a:prstGeom>
                  </pic:spPr>
                </pic:pic>
              </a:graphicData>
            </a:graphic>
          </wp:anchor>
        </w:drawing>
      </w:r>
      <w:bookmarkEnd w:id="745"/>
    </w:p>
    <w:p>
      <w:pPr>
        <w:pStyle w:val="Para 08"/>
      </w:pPr>
      <w:r>
        <w:t>Note:</w:t>
      </w:r>
    </w:p>
    <w:p>
      <w:pPr>
        <w:pStyle w:val="Para 03"/>
      </w:pPr>
      <w:r>
        <w:t>The directives set for a virtual host only apply to that particular virtual host. If a directive</w:t>
      </w:r>
    </w:p>
    <w:p>
      <w:pPr>
        <w:pStyle w:val="Para 03"/>
      </w:pPr>
      <w:r>
        <w:t>is set server-wide and not defined in the virtual host settings, the default setting is used.</w:t>
      </w:r>
    </w:p>
    <w:p>
      <w:pPr>
        <w:pStyle w:val="Para 03"/>
      </w:pPr>
      <w:r>
        <w:t>For example, you can define a Webmaster email address and not define individual email</w:t>
      </w:r>
    </w:p>
    <w:p>
      <w:pPr>
        <w:pStyle w:val="Para 03"/>
      </w:pPr>
      <w:r>
        <w:t>addresses for each virtual host.</w:t>
      </w:r>
    </w:p>
    <w:p>
      <w:pPr>
        <w:pStyle w:val="Normal"/>
      </w:pPr>
      <w:r>
        <w:t>If you want to configure a new virtual host or site, copy the 000-default.conf file into the same directory with a name you choose. For example:</w:t>
      </w:r>
    </w:p>
    <w:p>
      <w:pPr>
        <w:pStyle w:val="Normal"/>
      </w:pPr>
      <w:r>
        <w:t>sudo cp /etc/apache2/sites-available/000-default.conf /etc/apache2/sites-available/</w:t>
        <w:t xml:space="preserve"> </w:t>
        <w:t>mynewsite.conf</w:t>
      </w:r>
    </w:p>
    <w:p>
      <w:pPr>
        <w:pStyle w:val="Para 17"/>
      </w:pPr>
      <w:r>
        <w:t/>
      </w:r>
    </w:p>
    <w:p>
      <w:pPr>
        <w:pStyle w:val="Normal"/>
      </w:pPr>
      <w:r>
        <w:t>Edit the new file to configure the new site using some of the directives described below:</w:t>
      </w:r>
    </w:p>
    <w:p>
      <w:pPr>
        <w:pStyle w:val="Para 17"/>
      </w:pPr>
      <w:r>
        <w:t/>
      </w:r>
    </w:p>
    <w:p>
      <w:pPr>
        <w:pStyle w:val="Para 01"/>
      </w:pPr>
      <w:r>
        <w:t>The ServerAdmin directive</w:t>
      </w:r>
    </w:p>
    <w:p>
      <w:pPr>
        <w:pStyle w:val="Para 17"/>
      </w:pPr>
      <w:r>
        <w:t/>
      </w:r>
    </w:p>
    <w:p>
      <w:pPr>
        <w:pStyle w:val="Para 03"/>
      </w:pPr>
      <w:r>
        <w:t>Found in /etc/apache2/sites-available</w:t>
      </w:r>
    </w:p>
    <w:p>
      <w:pPr>
        <w:pStyle w:val="Para 17"/>
      </w:pPr>
      <w:r>
        <w:t/>
      </w:r>
    </w:p>
    <w:p>
      <w:pPr>
        <w:pStyle w:val="Normal"/>
      </w:pPr>
      <w:r>
        <w:t>Specifies the email address to be advertised for the server’s administrator. The default value is webmaster@localhost. This should be changed to an email address that is delivered to you (if you are the server’s administrator). If your website has a problem, Apache2 will display an error message containing this email address to report the problem to.</w:t>
      </w:r>
    </w:p>
    <w:p>
      <w:pPr>
        <w:pStyle w:val="Para 17"/>
      </w:pPr>
      <w:r>
        <w:t/>
      </w:r>
    </w:p>
    <w:p>
      <w:pPr>
        <w:pStyle w:val="Para 01"/>
      </w:pPr>
      <w:r>
        <w:t>The Listen directive</w:t>
      </w:r>
    </w:p>
    <w:p>
      <w:pPr>
        <w:pStyle w:val="Para 17"/>
      </w:pPr>
      <w:r>
        <w:t/>
      </w:r>
    </w:p>
    <w:p>
      <w:pPr>
        <w:pStyle w:val="Para 03"/>
      </w:pPr>
      <w:r>
        <w:t>Found in /etc/apache2/ports.conf</w:t>
      </w:r>
    </w:p>
    <w:p>
      <w:pPr>
        <w:pStyle w:val="Para 17"/>
      </w:pPr>
      <w:r>
        <w:t/>
      </w:r>
    </w:p>
    <w:p>
      <w:pPr>
        <w:pStyle w:val="Normal"/>
      </w:pPr>
      <w:r>
        <w:t xml:space="preserve">Specifies the port, and optionally the IP address, Apache2 should listen on. If the IP address is not specified, Apache2 will listen on all IP addresses assigned to the machine it runs on. The default value for the </w:t>
      </w:r>
      <w:r>
        <w:rPr>
          <w:rStyle w:val="Text0"/>
        </w:rPr>
        <w:t>Listen</w:t>
      </w:r>
      <w:r>
        <w:t xml:space="preserve"> directive is 80. Change this to:</w:t>
      </w:r>
    </w:p>
    <w:p>
      <w:pPr>
        <w:pStyle w:val="Para 04"/>
      </w:pPr>
      <w:r>
        <w:t>• 127.0.0.1:80 to make Apache2 listen only on your loopback interface so that it will not</w:t>
      </w:r>
    </w:p>
    <w:p>
      <w:pPr>
        <w:pStyle w:val="Para 02"/>
      </w:pPr>
      <w:r>
        <w:t>be available to the Internet,</w:t>
      </w:r>
    </w:p>
    <w:p>
      <w:pPr>
        <w:pStyle w:val="Para 04"/>
      </w:pPr>
      <w:r>
        <w:t>• to e.g. 81 to change the port that it listens on,</w:t>
      </w:r>
    </w:p>
    <w:p>
      <w:pPr>
        <w:pStyle w:val="Para 04"/>
      </w:pPr>
      <w:r>
        <w:t>• or leave it as is for normal operation.</w:t>
      </w:r>
    </w:p>
    <w:p>
      <w:pPr>
        <w:pStyle w:val="Para 17"/>
      </w:pPr>
      <w:r>
        <w:t/>
      </w:r>
    </w:p>
    <w:p>
      <w:pPr>
        <w:pStyle w:val="Para 01"/>
      </w:pPr>
      <w:r>
        <w:t>The ServerName directive (optional)</w:t>
      </w:r>
    </w:p>
    <w:p>
      <w:pPr>
        <w:pStyle w:val="Para 17"/>
      </w:pPr>
      <w:r>
        <w:t/>
      </w:r>
    </w:p>
    <w:p>
      <w:pPr>
        <w:pStyle w:val="Normal"/>
      </w:pPr>
      <w:r>
        <w:t xml:space="preserve">Specifies what </w:t>
      </w:r>
      <w:hyperlink w:anchor="page_683">
        <w:r>
          <w:rPr>
            <w:rStyle w:val="Text2"/>
          </w:rPr>
          <w:t>FQDN</w:t>
        </w:r>
      </w:hyperlink>
      <w:r>
        <w:t xml:space="preserve"> your site should answer to. The default virtual host has no </w:t>
      </w:r>
      <w:r>
        <w:rPr>
          <w:rStyle w:val="Text0"/>
        </w:rPr>
        <w:t>ServerName</w:t>
      </w:r>
      <w:r>
        <w:t xml:space="preserve"> directive specified, so it will respond to all requests that do not match a ServerName directive in another virtual host. If you have just acquired the domain name mynewsite.com and wish to host it on your Ubuntu server, the value of the ServerName directive in your virtual host configuration file should be mynewsite.com.</w:t>
      </w:r>
    </w:p>
    <w:p>
      <w:pPr>
        <w:pStyle w:val="Normal"/>
      </w:pPr>
      <w:r>
        <w:t>Add this directive to the new virtual host file you created earlier (/etc/apache2/sites-available/mynewsite.conf).</w:t>
      </w:r>
    </w:p>
    <w:p>
      <w:bookmarkStart w:id="746" w:name="page_5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1" name="index-502_1.png" descr="index-502_1.png"/>
            <wp:cNvGraphicFramePr>
              <a:graphicFrameLocks noChangeAspect="1"/>
            </wp:cNvGraphicFramePr>
            <a:graphic>
              <a:graphicData uri="http://schemas.openxmlformats.org/drawingml/2006/picture">
                <pic:pic>
                  <pic:nvPicPr>
                    <pic:cNvPr id="0" name="index-502_1.png" descr="index-502_1.png"/>
                    <pic:cNvPicPr/>
                  </pic:nvPicPr>
                  <pic:blipFill>
                    <a:blip r:embed="rId515"/>
                    <a:stretch>
                      <a:fillRect/>
                    </a:stretch>
                  </pic:blipFill>
                  <pic:spPr>
                    <a:xfrm>
                      <a:off x="0" y="0"/>
                      <a:ext cx="914400" cy="266700"/>
                    </a:xfrm>
                    <a:prstGeom prst="rect">
                      <a:avLst/>
                    </a:prstGeom>
                  </pic:spPr>
                </pic:pic>
              </a:graphicData>
            </a:graphic>
          </wp:anchor>
        </w:drawing>
      </w:r>
      <w:bookmarkEnd w:id="746"/>
    </w:p>
    <w:p>
      <w:pPr>
        <w:pStyle w:val="Para 01"/>
      </w:pPr>
      <w:r>
        <w:t>The ServerAlias directive</w:t>
      </w:r>
    </w:p>
    <w:p>
      <w:pPr>
        <w:pStyle w:val="Para 17"/>
      </w:pPr>
      <w:r>
        <w:t/>
      </w:r>
    </w:p>
    <w:p>
      <w:pPr>
        <w:pStyle w:val="Normal"/>
      </w:pPr>
      <w:r>
        <w:t xml:space="preserve">You may also want your site to respond to www.mynewsite.com, since many users will assume the www prefix is appropriate – use the </w:t>
      </w:r>
      <w:r>
        <w:rPr>
          <w:rStyle w:val="Text3"/>
        </w:rPr>
        <w:t>ServerAlias</w:t>
      </w:r>
      <w:r>
        <w:t xml:space="preserve"> directive for this. You may also use wild-cards in the ServerAlias directive.</w:t>
      </w:r>
    </w:p>
    <w:p>
      <w:pPr>
        <w:pStyle w:val="Normal"/>
      </w:pPr>
      <w:r>
        <w:t xml:space="preserve">For example, the following configuration will cause your site to respond to any domain re-quest ending in </w:t>
      </w:r>
      <w:r>
        <w:rPr>
          <w:rStyle w:val="Text3"/>
        </w:rPr>
        <w:t>.mynewsite.com</w:t>
      </w:r>
      <w:r>
        <w:t>.</w:t>
      </w:r>
    </w:p>
    <w:p>
      <w:pPr>
        <w:pStyle w:val="Normal"/>
      </w:pPr>
      <w:r>
        <w:t>ServerAlias *.mynewsite.com</w:t>
      </w:r>
    </w:p>
    <w:p>
      <w:pPr>
        <w:pStyle w:val="Para 17"/>
      </w:pPr>
      <w:r>
        <w:t/>
      </w:r>
    </w:p>
    <w:p>
      <w:pPr>
        <w:pStyle w:val="Para 01"/>
      </w:pPr>
      <w:r>
        <w:t>The DocumentRoot directive</w:t>
      </w:r>
    </w:p>
    <w:p>
      <w:pPr>
        <w:pStyle w:val="Para 17"/>
      </w:pPr>
      <w:r>
        <w:t/>
      </w:r>
    </w:p>
    <w:p>
      <w:pPr>
        <w:pStyle w:val="Normal"/>
      </w:pPr>
      <w:r>
        <w:t>Specifies where Apache2 should look for the files that make up the site. The default value is /var/www/html, as specified in /etc/apache2/sites-available/000-default.conf. If desired, change this value in your site’s virtual host file, and remember to create that directory if necessary!</w:t>
      </w:r>
    </w:p>
    <w:p>
      <w:pPr>
        <w:pStyle w:val="Normal"/>
      </w:pPr>
      <w:r>
        <w:t xml:space="preserve">Enable the new </w:t>
      </w:r>
      <w:r>
        <w:rPr>
          <w:rStyle w:val="Text3"/>
        </w:rPr>
        <w:t>VirtualHost</w:t>
      </w:r>
      <w:r>
        <w:t xml:space="preserve"> using the a2ensite utility and restart Apache2:</w:t>
      </w:r>
    </w:p>
    <w:p>
      <w:pPr>
        <w:pStyle w:val="Normal"/>
      </w:pPr>
      <w:r>
        <w:t>sudo a2ensite mynewsite</w:t>
      </w:r>
    </w:p>
    <w:p>
      <w:pPr>
        <w:pStyle w:val="Normal"/>
      </w:pPr>
      <w:r>
        <w:t>sudo systemctl restart apache2.service</w:t>
      </w:r>
    </w:p>
    <w:p>
      <w:pPr>
        <w:pStyle w:val="Para 17"/>
      </w:pPr>
      <w:r>
        <w:t/>
      </w:r>
    </w:p>
    <w:p>
      <w:pPr>
        <w:pStyle w:val="Para 08"/>
      </w:pPr>
      <w:r>
        <w:t>Note:</w:t>
      </w:r>
    </w:p>
    <w:p>
      <w:pPr>
        <w:pStyle w:val="Para 03"/>
      </w:pPr>
      <w:r>
        <w:t>Be sure to replace mynewsite with a more descriptive name for the VirtualHost. One</w:t>
      </w:r>
    </w:p>
    <w:p>
      <w:pPr>
        <w:pStyle w:val="Para 03"/>
      </w:pPr>
      <w:r>
        <w:t xml:space="preserve">method is to name the file after the </w:t>
      </w:r>
      <w:r>
        <w:rPr>
          <w:rStyle w:val="Text0"/>
        </w:rPr>
        <w:t>ServerName</w:t>
      </w:r>
      <w:r>
        <w:t xml:space="preserve"> directive of the VirtualHost.</w:t>
      </w:r>
    </w:p>
    <w:p>
      <w:pPr>
        <w:pStyle w:val="Normal"/>
      </w:pPr>
      <w:r>
        <w:t>Similarly, use the a2dissite utility to disable sites. This is can be useful when troubleshooting configuration problems with multiple virtual hosts:</w:t>
      </w:r>
    </w:p>
    <w:p>
      <w:pPr>
        <w:pStyle w:val="Normal"/>
      </w:pPr>
      <w:r>
        <w:t>sudo a2dissite mynewsite</w:t>
      </w:r>
    </w:p>
    <w:p>
      <w:pPr>
        <w:pStyle w:val="Normal"/>
      </w:pPr>
      <w:r>
        <w:t>sudo systemctl restart apache2.service</w:t>
      </w:r>
    </w:p>
    <w:p>
      <w:bookmarkStart w:id="747" w:name="calibre_pb_122"/>
      <w:pPr>
        <w:pStyle w:val="0 Block"/>
      </w:pPr>
      <w:bookmarkEnd w:id="747"/>
    </w:p>
    <w:p>
      <w:bookmarkStart w:id="748" w:name="page_503"/>
      <w:bookmarkStart w:id="749" w:name="Top_of_index_split_12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2" name="index-503_1.png" descr="index-503_1.png"/>
            <wp:cNvGraphicFramePr>
              <a:graphicFrameLocks noChangeAspect="1"/>
            </wp:cNvGraphicFramePr>
            <a:graphic>
              <a:graphicData uri="http://schemas.openxmlformats.org/drawingml/2006/picture">
                <pic:pic>
                  <pic:nvPicPr>
                    <pic:cNvPr id="0" name="index-503_1.png" descr="index-503_1.png"/>
                    <pic:cNvPicPr/>
                  </pic:nvPicPr>
                  <pic:blipFill>
                    <a:blip r:embed="rId516"/>
                    <a:stretch>
                      <a:fillRect/>
                    </a:stretch>
                  </pic:blipFill>
                  <pic:spPr>
                    <a:xfrm>
                      <a:off x="0" y="0"/>
                      <a:ext cx="914400" cy="266700"/>
                    </a:xfrm>
                    <a:prstGeom prst="rect">
                      <a:avLst/>
                    </a:prstGeom>
                  </pic:spPr>
                </pic:pic>
              </a:graphicData>
            </a:graphic>
          </wp:anchor>
        </w:drawing>
      </w:r>
      <w:bookmarkEnd w:id="748"/>
      <w:bookmarkEnd w:id="749"/>
    </w:p>
    <w:p>
      <w:pPr>
        <w:pStyle w:val="Para 01"/>
      </w:pPr>
      <w:r>
        <w:t>Apache2 server default settings</w:t>
      </w:r>
    </w:p>
    <w:p>
      <w:pPr>
        <w:pStyle w:val="Para 17"/>
      </w:pPr>
      <w:r>
        <w:t/>
      </w:r>
    </w:p>
    <w:p>
      <w:pPr>
        <w:pStyle w:val="Normal"/>
      </w:pPr>
      <w:r>
        <w:t>This section explains configuration of the Apache2 server default settings. For example, if you add a virtual host, the settings you configure for the virtual host take precedence for that virtual host. For a directive not defined within the virtual host settings, the default value is used.</w:t>
      </w:r>
    </w:p>
    <w:p>
      <w:pPr>
        <w:pStyle w:val="Para 17"/>
      </w:pPr>
      <w:r>
        <w:t/>
      </w:r>
    </w:p>
    <w:p>
      <w:pPr>
        <w:pStyle w:val="Para 01"/>
      </w:pPr>
      <w:r>
        <w:t>The DirectoryIndex</w:t>
      </w:r>
    </w:p>
    <w:p>
      <w:pPr>
        <w:pStyle w:val="Para 17"/>
      </w:pPr>
      <w:r>
        <w:t/>
      </w:r>
    </w:p>
    <w:p>
      <w:pPr>
        <w:pStyle w:val="Normal"/>
      </w:pPr>
      <w:r>
        <w:t xml:space="preserve">The </w:t>
      </w:r>
      <w:r>
        <w:rPr>
          <w:rStyle w:val="Text0"/>
        </w:rPr>
        <w:t>DirectoryIndex</w:t>
      </w:r>
      <w:r>
        <w:t xml:space="preserve"> is the default page served by the server when a user requests an index of a directory by specifying a forward slash (/) at the end of the directory name.</w:t>
      </w:r>
    </w:p>
    <w:p>
      <w:pPr>
        <w:pStyle w:val="Normal"/>
      </w:pPr>
      <w:r>
        <w:t>For example, when a user requests the page http://www.example.com/this_directory/, they will get either the DirectoryIndex page (if it exists), a server-generated directory list (if it does not and the Indexes option is specified), or a Permission Denied page if neither is true.</w:t>
      </w:r>
    </w:p>
    <w:p>
      <w:pPr>
        <w:pStyle w:val="Normal"/>
      </w:pPr>
      <w:r>
        <w:t xml:space="preserve">The server will try to find one of the files listed in the DirectoryIndex directive and will return the first one it finds. If it does not find any of these files and if </w:t>
      </w:r>
      <w:r>
        <w:rPr>
          <w:rStyle w:val="Text0"/>
        </w:rPr>
        <w:t>Options Indexes</w:t>
      </w:r>
      <w:r>
        <w:t xml:space="preserve"> is set for that directory, the server will generate and return a list, in HTML format, of the subdirectories and files in the directory. The default value, found in /etc/apache2/mods-available/dir.conf is “index.html index.cgi index.pl index.php index.xhtml index.htm”. Thus, if Apache2 finds a file in a requested directory matching any of these names, the first will be displayed.</w:t>
      </w:r>
    </w:p>
    <w:p>
      <w:pPr>
        <w:pStyle w:val="Para 17"/>
      </w:pPr>
      <w:r>
        <w:t/>
      </w:r>
    </w:p>
    <w:p>
      <w:pPr>
        <w:pStyle w:val="Para 01"/>
      </w:pPr>
      <w:r>
        <w:t>The ErrorDocument</w:t>
      </w:r>
    </w:p>
    <w:p>
      <w:pPr>
        <w:pStyle w:val="Para 17"/>
      </w:pPr>
      <w:r>
        <w:t/>
      </w:r>
    </w:p>
    <w:p>
      <w:pPr>
        <w:pStyle w:val="Normal"/>
      </w:pPr>
      <w:r>
        <w:t xml:space="preserve">The </w:t>
      </w:r>
      <w:r>
        <w:rPr>
          <w:rStyle w:val="Text0"/>
        </w:rPr>
        <w:t>ErrorDocument</w:t>
      </w:r>
      <w:r>
        <w:t xml:space="preserve"> directive allows you to specify a file for Apache2 to use for specific error events. For example, if a user requests a resource that does not exist, a 404 error will occur.</w:t>
      </w:r>
    </w:p>
    <w:p>
      <w:pPr>
        <w:pStyle w:val="Normal"/>
      </w:pPr>
      <w:r>
        <w:t>By default, Apache2 will return a HTTP 404 Return code. Read /etc/apache2/conf-available/localized-error-pages.conf for detailed instructions on using ErrorDocument, including locations of example files.</w:t>
      </w:r>
    </w:p>
    <w:p>
      <w:pPr>
        <w:pStyle w:val="Para 17"/>
      </w:pPr>
      <w:r>
        <w:t/>
      </w:r>
    </w:p>
    <w:p>
      <w:pPr>
        <w:pStyle w:val="Para 01"/>
      </w:pPr>
      <w:r>
        <w:t>CustomLog and ErrorLog</w:t>
      </w:r>
    </w:p>
    <w:p>
      <w:pPr>
        <w:pStyle w:val="Para 17"/>
      </w:pPr>
      <w:r>
        <w:t/>
      </w:r>
    </w:p>
    <w:p>
      <w:pPr>
        <w:pStyle w:val="Normal"/>
      </w:pPr>
      <w:r>
        <w:t xml:space="preserve">By default, the server writes the transfer log to the file /var/log/apache2/access.log. You can change this on a per-site basis in your virtual host configuration files with the </w:t>
      </w:r>
      <w:r>
        <w:rPr>
          <w:rStyle w:val="Text0"/>
        </w:rPr>
        <w:t>CustomLog</w:t>
      </w:r>
      <w:r>
        <w:t xml:space="preserve"> directive, or omit it to accept the default, specified in /etc/apache2/conf-available/other-vhosts-access-log.conf.</w:t>
      </w:r>
    </w:p>
    <w:p>
      <w:pPr>
        <w:pStyle w:val="Normal"/>
      </w:pPr>
      <w:r>
        <w:t xml:space="preserve">You can also specify the file to which errors are logged, via the </w:t>
      </w:r>
      <w:r>
        <w:rPr>
          <w:rStyle w:val="Text0"/>
        </w:rPr>
        <w:t>ErrorLog</w:t>
      </w:r>
      <w:r>
        <w:t xml:space="preserve"> directive, whose de-fault is /var/log/apache2/error.log. These are kept separate from the transfer logs to aid in troubleshooting problems with your Apache2 server. You may also specify the </w:t>
      </w:r>
      <w:r>
        <w:rPr>
          <w:rStyle w:val="Text0"/>
        </w:rPr>
        <w:t>LogLevel</w:t>
      </w:r>
      <w:r>
        <w:t xml:space="preserve"> (the default value is “warn”) and the </w:t>
      </w:r>
      <w:r>
        <w:rPr>
          <w:rStyle w:val="Text0"/>
        </w:rPr>
        <w:t>LogFormat</w:t>
      </w:r>
      <w:r>
        <w:t xml:space="preserve"> (see /etc/apache2/apache2.conf for the default value).</w:t>
      </w:r>
    </w:p>
    <w:p>
      <w:bookmarkStart w:id="750" w:name="calibre_pb_123"/>
      <w:pPr>
        <w:pStyle w:val="0 Block"/>
      </w:pPr>
      <w:bookmarkEnd w:id="750"/>
    </w:p>
    <w:p>
      <w:bookmarkStart w:id="751" w:name="page_504"/>
      <w:bookmarkStart w:id="752" w:name="Top_of_index_split_12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3" name="index-504_1.png" descr="index-504_1.png"/>
            <wp:cNvGraphicFramePr>
              <a:graphicFrameLocks noChangeAspect="1"/>
            </wp:cNvGraphicFramePr>
            <a:graphic>
              <a:graphicData uri="http://schemas.openxmlformats.org/drawingml/2006/picture">
                <pic:pic>
                  <pic:nvPicPr>
                    <pic:cNvPr id="0" name="index-504_1.png" descr="index-504_1.png"/>
                    <pic:cNvPicPr/>
                  </pic:nvPicPr>
                  <pic:blipFill>
                    <a:blip r:embed="rId517"/>
                    <a:stretch>
                      <a:fillRect/>
                    </a:stretch>
                  </pic:blipFill>
                  <pic:spPr>
                    <a:xfrm>
                      <a:off x="0" y="0"/>
                      <a:ext cx="914400" cy="266700"/>
                    </a:xfrm>
                    <a:prstGeom prst="rect">
                      <a:avLst/>
                    </a:prstGeom>
                  </pic:spPr>
                </pic:pic>
              </a:graphicData>
            </a:graphic>
          </wp:anchor>
        </w:drawing>
      </w:r>
      <w:bookmarkEnd w:id="751"/>
      <w:bookmarkEnd w:id="752"/>
    </w:p>
    <w:p>
      <w:pPr>
        <w:pStyle w:val="Para 01"/>
      </w:pPr>
      <w:r>
        <w:t>The Options directive</w:t>
      </w:r>
    </w:p>
    <w:p>
      <w:pPr>
        <w:pStyle w:val="Para 17"/>
      </w:pPr>
      <w:r>
        <w:t/>
      </w:r>
    </w:p>
    <w:p>
      <w:pPr>
        <w:pStyle w:val="Normal"/>
      </w:pPr>
      <w:r>
        <w:t xml:space="preserve">Some options are specified on a per-directory basis rather than per-server. </w:t>
      </w:r>
      <w:r>
        <w:rPr>
          <w:rStyle w:val="Text0"/>
        </w:rPr>
        <w:t>Options</w:t>
      </w:r>
      <w:r>
        <w:t xml:space="preserve"> is one of these directives. A Directory stanza is enclosed in XML-like tags, like so:</w:t>
      </w:r>
    </w:p>
    <w:p>
      <w:pPr>
        <w:pStyle w:val="Normal"/>
      </w:pPr>
      <w:r>
        <w:t>&lt;Directory /var/www/html/mynewsite&gt;</w:t>
      </w:r>
    </w:p>
    <w:p>
      <w:pPr>
        <w:pStyle w:val="Normal"/>
      </w:pPr>
      <w:r>
        <w:t>...</w:t>
      </w:r>
    </w:p>
    <w:p>
      <w:pPr>
        <w:pStyle w:val="Normal"/>
      </w:pPr>
      <w:r>
        <w:t>&lt;/Directory&gt;</w:t>
      </w:r>
    </w:p>
    <w:p>
      <w:pPr>
        <w:pStyle w:val="Para 17"/>
      </w:pPr>
      <w:r>
        <w:t/>
      </w:r>
    </w:p>
    <w:p>
      <w:pPr>
        <w:pStyle w:val="Normal"/>
      </w:pPr>
      <w:r>
        <w:t>The Options directive within a Directory stanza accepts one or more of the following values (among others), separated by spaces:</w:t>
      </w:r>
    </w:p>
    <w:p>
      <w:pPr>
        <w:pStyle w:val="Para 04"/>
      </w:pPr>
      <w:r>
        <w:t xml:space="preserve">• </w:t>
      </w:r>
      <w:r>
        <w:rPr>
          <w:rStyle w:val="Text0"/>
        </w:rPr>
        <w:t>ExecCGI</w:t>
      </w:r>
      <w:r>
        <w:t xml:space="preserve"> Allow CGI scripts to be run. CGI scripts are not run if this option is not chosen.</w:t>
      </w:r>
    </w:p>
    <w:p>
      <w:pPr>
        <w:pStyle w:val="Para 17"/>
      </w:pPr>
      <w:r>
        <w:t/>
      </w:r>
    </w:p>
    <w:p>
      <w:pPr>
        <w:pStyle w:val="Para 23"/>
      </w:pPr>
      <w:r>
        <w:t>Caution:</w:t>
      </w:r>
    </w:p>
    <w:p>
      <w:pPr>
        <w:pStyle w:val="Para 06"/>
      </w:pPr>
      <w:r>
        <w:t xml:space="preserve">Most files should not be run as CGI scripts. This would be very dangerous. CGI scripts should be kept in a directory separate from and outside your </w:t>
      </w:r>
      <w:r>
        <w:rPr>
          <w:rStyle w:val="Text0"/>
        </w:rPr>
        <w:t>DocumentRoot</w:t>
      </w:r>
      <w:r>
        <w:t>, and only this directory should have the ExecCGI option set. This is the default, and the default location for CGI scripts is /usr/lib/cgi-bin.</w:t>
      </w:r>
    </w:p>
    <w:p>
      <w:pPr>
        <w:pStyle w:val="Para 17"/>
      </w:pPr>
      <w:r>
        <w:t/>
      </w:r>
    </w:p>
    <w:p>
      <w:pPr>
        <w:pStyle w:val="Para 04"/>
      </w:pPr>
      <w:r>
        <w:t xml:space="preserve">• </w:t>
      </w:r>
      <w:r>
        <w:rPr>
          <w:rStyle w:val="Text0"/>
        </w:rPr>
        <w:t>Includes</w:t>
      </w:r>
      <w:r>
        <w:t xml:space="preserve"> Allow </w:t>
      </w:r>
      <w:r>
        <w:rPr>
          <w:rStyle w:val="Text0"/>
        </w:rPr>
        <w:t>server-side includes</w:t>
      </w:r>
      <w:r>
        <w:t xml:space="preserve">. Server-side includes allow an HTML file to </w:t>
      </w:r>
      <w:r>
        <w:rPr>
          <w:rStyle w:val="Text3"/>
        </w:rPr>
        <w:t>include</w:t>
      </w:r>
    </w:p>
    <w:p>
      <w:pPr>
        <w:pStyle w:val="Para 32"/>
      </w:pPr>
      <w:r>
        <w:rPr>
          <w:rStyle w:val="Text7"/>
        </w:rPr>
        <w:t xml:space="preserve">other files. See </w:t>
      </w:r>
      <w:hyperlink r:id="rId1419">
        <w:r>
          <w:rPr>
            <w:rStyle w:val="Text10"/>
          </w:rPr>
          <w:t>469</w:t>
        </w:r>
      </w:hyperlink>
      <w:hyperlink r:id="rId1419">
        <w:r>
          <w:t xml:space="preserve"> Apache SSI documentation (Ubuntu community)</w:t>
        </w:r>
      </w:hyperlink>
      <w:r>
        <w:rPr>
          <w:rStyle w:val="Text7"/>
        </w:rPr>
        <w:t xml:space="preserve"> for more informa-tion.</w:t>
      </w:r>
    </w:p>
    <w:p>
      <w:pPr>
        <w:pStyle w:val="Para 04"/>
      </w:pPr>
      <w:r>
        <w:t xml:space="preserve">• </w:t>
      </w:r>
      <w:r>
        <w:rPr>
          <w:rStyle w:val="Text0"/>
        </w:rPr>
        <w:t>IncludesNOEXEC</w:t>
      </w:r>
      <w:r>
        <w:t xml:space="preserve"> Allow server-side includes, but disable the #exec and #include com-</w:t>
      </w:r>
    </w:p>
    <w:p>
      <w:pPr>
        <w:pStyle w:val="Para 02"/>
      </w:pPr>
      <w:r>
        <w:t>mands in CGI scripts.</w:t>
      </w:r>
    </w:p>
    <w:p>
      <w:pPr>
        <w:pStyle w:val="Para 04"/>
      </w:pPr>
      <w:r>
        <w:t xml:space="preserve">• </w:t>
      </w:r>
      <w:r>
        <w:rPr>
          <w:rStyle w:val="Text0"/>
        </w:rPr>
        <w:t>Indexes</w:t>
      </w:r>
      <w:r>
        <w:t xml:space="preserve"> Display a formatted list of the directory’s contents, if no DirectoryIndex (such</w:t>
      </w:r>
    </w:p>
    <w:p>
      <w:pPr>
        <w:pStyle w:val="Para 02"/>
      </w:pPr>
      <w:r>
        <w:t>as index.html) exists in the requested directory.</w:t>
      </w:r>
    </w:p>
    <w:p>
      <w:pPr>
        <w:pStyle w:val="Para 17"/>
      </w:pPr>
      <w:r>
        <w:t/>
      </w:r>
    </w:p>
    <w:p>
      <w:pPr>
        <w:pStyle w:val="Para 23"/>
      </w:pPr>
      <w:r>
        <w:t>Caution:</w:t>
      </w:r>
    </w:p>
    <w:p>
      <w:pPr>
        <w:pStyle w:val="Para 06"/>
      </w:pPr>
      <w:r>
        <w:t xml:space="preserve">For security reasons, this should usually not be set, and certainly should not be set on your DocumentRoot directory. Enable this option carefully on a per-directory basis </w:t>
      </w:r>
      <w:r>
        <w:rPr>
          <w:rStyle w:val="Text0"/>
        </w:rPr>
        <w:t>only</w:t>
      </w:r>
      <w:r>
        <w:t xml:space="preserve"> if you are certain you want users to see the entire contents of the directory.</w:t>
      </w:r>
    </w:p>
    <w:p>
      <w:pPr>
        <w:pStyle w:val="Para 17"/>
      </w:pPr>
      <w:r>
        <w:t/>
      </w:r>
    </w:p>
    <w:p>
      <w:pPr>
        <w:pStyle w:val="Para 04"/>
      </w:pPr>
      <w:r>
        <w:t xml:space="preserve">• </w:t>
      </w:r>
      <w:r>
        <w:rPr>
          <w:rStyle w:val="Text0"/>
        </w:rPr>
        <w:t>Multiview</w:t>
      </w:r>
      <w:r>
        <w:t xml:space="preserve"> Support content-negotiated multiviews; this option is disabled by default</w:t>
      </w:r>
    </w:p>
    <w:p>
      <w:pPr>
        <w:pStyle w:val="Para 32"/>
      </w:pPr>
      <w:r>
        <w:rPr>
          <w:rStyle w:val="Text7"/>
        </w:rPr>
        <w:t xml:space="preserve">for security reasons. See the </w:t>
      </w:r>
      <w:hyperlink w:anchor="page_504">
        <w:r>
          <w:rPr>
            <w:rStyle w:val="Text10"/>
          </w:rPr>
          <w:t>470</w:t>
        </w:r>
      </w:hyperlink>
      <w:r>
        <w:rPr>
          <w:rStyle w:val="Text7"/>
        </w:rPr>
        <w:t xml:space="preserve"> </w:t>
      </w:r>
      <w:hyperlink r:id="rId1420">
        <w:r>
          <w:t>Apache2 documentation on this option</w:t>
        </w:r>
      </w:hyperlink>
      <w:r>
        <w:rPr>
          <w:rStyle w:val="Text7"/>
        </w:rPr>
        <w:t>.</w:t>
      </w:r>
    </w:p>
    <w:p>
      <w:pPr>
        <w:pStyle w:val="Para 04"/>
      </w:pPr>
      <w:r>
        <w:t xml:space="preserve">• </w:t>
      </w:r>
      <w:r>
        <w:rPr>
          <w:rStyle w:val="Text0"/>
        </w:rPr>
        <w:t>SymLinksIfOwnerMatch</w:t>
      </w:r>
      <w:r>
        <w:t xml:space="preserve"> Only follow symbolic links if the target file or directory has</w:t>
      </w:r>
    </w:p>
    <w:p>
      <w:pPr>
        <w:pStyle w:val="Para 02"/>
      </w:pPr>
      <w:r>
        <w:t>the same owner as the link.</w:t>
      </w:r>
    </w:p>
    <w:p>
      <w:pPr>
        <w:pStyle w:val="Para 05"/>
      </w:pPr>
      <w:r>
        <w:rPr>
          <w:rStyle w:val="Text5"/>
        </w:rPr>
        <w:t>469</w:t>
      </w:r>
      <w:r>
        <w:rPr>
          <w:rStyle w:val="Text8"/>
        </w:rPr>
        <w:t xml:space="preserve"> </w:t>
      </w:r>
      <w:r>
        <w:t>https://help.ubuntu.com/community/ServerSideIncludes</w:t>
      </w:r>
    </w:p>
    <w:p>
      <w:pPr>
        <w:pStyle w:val="Para 05"/>
      </w:pPr>
      <w:r>
        <w:rPr>
          <w:rStyle w:val="Text5"/>
        </w:rPr>
        <w:t>470</w:t>
      </w:r>
      <w:r>
        <w:rPr>
          <w:rStyle w:val="Text8"/>
        </w:rPr>
        <w:t xml:space="preserve"> </w:t>
      </w:r>
      <w:r>
        <w:t>https://httpd.apache.org/docs/2.4/mod/mod_negotiation.html#multiviews</w:t>
      </w:r>
    </w:p>
    <w:p>
      <w:bookmarkStart w:id="753" w:name="calibre_pb_124"/>
      <w:pPr>
        <w:pStyle w:val="0 Block"/>
      </w:pPr>
      <w:bookmarkEnd w:id="753"/>
    </w:p>
    <w:p>
      <w:bookmarkStart w:id="754" w:name="Top_of_index_split_125_html"/>
      <w:bookmarkStart w:id="755" w:name="page_50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4" name="index-505_1.png" descr="index-505_1.png"/>
            <wp:cNvGraphicFramePr>
              <a:graphicFrameLocks noChangeAspect="1"/>
            </wp:cNvGraphicFramePr>
            <a:graphic>
              <a:graphicData uri="http://schemas.openxmlformats.org/drawingml/2006/picture">
                <pic:pic>
                  <pic:nvPicPr>
                    <pic:cNvPr id="0" name="index-505_1.png" descr="index-505_1.png"/>
                    <pic:cNvPicPr/>
                  </pic:nvPicPr>
                  <pic:blipFill>
                    <a:blip r:embed="rId518"/>
                    <a:stretch>
                      <a:fillRect/>
                    </a:stretch>
                  </pic:blipFill>
                  <pic:spPr>
                    <a:xfrm>
                      <a:off x="0" y="0"/>
                      <a:ext cx="914400" cy="266700"/>
                    </a:xfrm>
                    <a:prstGeom prst="rect">
                      <a:avLst/>
                    </a:prstGeom>
                  </pic:spPr>
                </pic:pic>
              </a:graphicData>
            </a:graphic>
          </wp:anchor>
        </w:drawing>
      </w:r>
      <w:bookmarkEnd w:id="754"/>
      <w:bookmarkEnd w:id="755"/>
    </w:p>
    <w:p>
      <w:pPr>
        <w:pStyle w:val="Para 01"/>
      </w:pPr>
      <w:r>
        <w:t>Apache2 daemon settings</w:t>
      </w:r>
    </w:p>
    <w:p>
      <w:pPr>
        <w:pStyle w:val="Para 17"/>
      </w:pPr>
      <w:r>
        <w:t/>
      </w:r>
    </w:p>
    <w:p>
      <w:pPr>
        <w:pStyle w:val="Normal"/>
      </w:pPr>
      <w:r>
        <w:t>This section briefly explains some basic Apache2 daemon configuration settings.</w:t>
      </w:r>
    </w:p>
    <w:p>
      <w:pPr>
        <w:pStyle w:val="Para 04"/>
      </w:pPr>
      <w:r>
        <w:t xml:space="preserve">• </w:t>
      </w:r>
      <w:r>
        <w:rPr>
          <w:rStyle w:val="Text0"/>
        </w:rPr>
        <w:t>LockFile</w:t>
      </w:r>
      <w:r>
        <w:t xml:space="preserve"> The </w:t>
      </w:r>
      <w:r>
        <w:rPr>
          <w:rStyle w:val="Text0"/>
        </w:rPr>
        <w:t>LockFile</w:t>
      </w:r>
      <w:r>
        <w:t xml:space="preserve"> directive sets the path to the lockfile used when the server is</w:t>
      </w:r>
    </w:p>
    <w:p>
      <w:pPr>
        <w:pStyle w:val="Para 02"/>
      </w:pPr>
      <w:r>
        <w:t>compiled with either USE_FCNTL_SERIALIZED_ACCEPT or USE_FLOCK_SERIALIZED_ACCEPT. It must be stored on the local disk. It should be left to the default value unless the logs directory is located on an NFS share. If this is the case, the default value should be changed to a location on the local disk and to a directory that is readable only by root.</w:t>
      </w:r>
    </w:p>
    <w:p>
      <w:pPr>
        <w:pStyle w:val="Para 04"/>
      </w:pPr>
      <w:r>
        <w:t xml:space="preserve">• </w:t>
      </w:r>
      <w:r>
        <w:rPr>
          <w:rStyle w:val="Text0"/>
        </w:rPr>
        <w:t>PidFile</w:t>
      </w:r>
      <w:r>
        <w:t xml:space="preserve"> The </w:t>
      </w:r>
      <w:r>
        <w:rPr>
          <w:rStyle w:val="Text0"/>
        </w:rPr>
        <w:t>PidFile</w:t>
      </w:r>
      <w:r>
        <w:t xml:space="preserve"> directive sets the file in which the server records its process ID (pid).</w:t>
      </w:r>
    </w:p>
    <w:p>
      <w:pPr>
        <w:pStyle w:val="Para 02"/>
      </w:pPr>
      <w:r>
        <w:t>This file should only be readable by root. In most cases, it should be left to the default value.</w:t>
      </w:r>
    </w:p>
    <w:p>
      <w:pPr>
        <w:pStyle w:val="Para 04"/>
      </w:pPr>
      <w:r>
        <w:t xml:space="preserve">• </w:t>
      </w:r>
      <w:r>
        <w:rPr>
          <w:rStyle w:val="Text0"/>
        </w:rPr>
        <w:t>User</w:t>
      </w:r>
      <w:r>
        <w:t xml:space="preserve"> The </w:t>
      </w:r>
      <w:r>
        <w:rPr>
          <w:rStyle w:val="Text0"/>
        </w:rPr>
        <w:t>User</w:t>
      </w:r>
      <w:r>
        <w:t xml:space="preserve"> directive sets the user ID used by the server to answer requests. This</w:t>
      </w:r>
    </w:p>
    <w:p>
      <w:pPr>
        <w:pStyle w:val="Para 02"/>
      </w:pPr>
      <w:r>
        <w:t>setting determines the server’s access. Any files inaccessible to this user will also be inaccessible to your website’s visitors. The default value for User is “www-data”.</w:t>
      </w:r>
    </w:p>
    <w:p>
      <w:pPr>
        <w:pStyle w:val="Para 17"/>
      </w:pPr>
      <w:r>
        <w:t/>
      </w:r>
    </w:p>
    <w:p>
      <w:pPr>
        <w:pStyle w:val="Para 23"/>
      </w:pPr>
      <w:r>
        <w:t>Warning:</w:t>
      </w:r>
    </w:p>
    <w:p>
      <w:pPr>
        <w:pStyle w:val="Para 17"/>
      </w:pPr>
      <w:r>
        <w:t/>
      </w:r>
    </w:p>
    <w:p>
      <w:pPr>
        <w:pStyle w:val="Para 06"/>
      </w:pPr>
      <w:r>
        <w:t>Unless you know exactly what you are doing, do not set the User directive to root. Using root as the User will create large security holes for your Web server.</w:t>
      </w:r>
    </w:p>
    <w:p>
      <w:pPr>
        <w:pStyle w:val="Para 17"/>
      </w:pPr>
      <w:r>
        <w:t/>
      </w:r>
    </w:p>
    <w:p>
      <w:pPr>
        <w:pStyle w:val="Para 04"/>
      </w:pPr>
      <w:r>
        <w:t xml:space="preserve">• </w:t>
      </w:r>
      <w:r>
        <w:rPr>
          <w:rStyle w:val="Text0"/>
        </w:rPr>
        <w:t>Group</w:t>
      </w:r>
      <w:r>
        <w:t xml:space="preserve"> The </w:t>
      </w:r>
      <w:r>
        <w:rPr>
          <w:rStyle w:val="Text0"/>
        </w:rPr>
        <w:t>Group</w:t>
      </w:r>
      <w:r>
        <w:t xml:space="preserve"> directive is similar to the User directive. Group sets the group under</w:t>
      </w:r>
    </w:p>
    <w:p>
      <w:pPr>
        <w:pStyle w:val="Para 17"/>
      </w:pPr>
      <w:r>
        <w:t>which the server will answer requests. The default group is also “www-data”.</w:t>
      </w:r>
    </w:p>
    <w:p>
      <w:pPr>
        <w:pStyle w:val="Para 17"/>
      </w:pPr>
      <w:r>
        <w:t/>
      </w:r>
    </w:p>
    <w:p>
      <w:pPr>
        <w:pStyle w:val="Para 01"/>
      </w:pPr>
      <w:r>
        <w:t>Extending Apache2</w:t>
      </w:r>
    </w:p>
    <w:p>
      <w:pPr>
        <w:pStyle w:val="Para 17"/>
      </w:pPr>
      <w:r>
        <w:t/>
      </w:r>
    </w:p>
    <w:p>
      <w:pPr>
        <w:pStyle w:val="Normal"/>
      </w:pPr>
      <w:r>
        <w:t xml:space="preserve">Now that you know how to configure Apache2, you may also want to know </w:t>
      </w:r>
      <w:hyperlink w:anchor="page_506">
        <w:r>
          <w:rPr>
            <w:rStyle w:val="Text2"/>
          </w:rPr>
          <w:t>how to extend</w:t>
        </w:r>
      </w:hyperlink>
    </w:p>
    <w:p>
      <w:pPr>
        <w:pStyle w:val="Normal"/>
      </w:pPr>
      <w:hyperlink w:anchor="page_506">
        <w:r>
          <w:rPr>
            <w:rStyle w:val="Text2"/>
          </w:rPr>
          <w:t>Apache2</w:t>
        </w:r>
      </w:hyperlink>
      <w:r>
        <w:t xml:space="preserve"> (page 505) with modules.</w:t>
      </w:r>
    </w:p>
    <w:p>
      <w:pPr>
        <w:pStyle w:val="Para 17"/>
      </w:pPr>
      <w:r>
        <w:t/>
      </w:r>
    </w:p>
    <w:p>
      <w:pPr>
        <w:pStyle w:val="Para 01"/>
      </w:pPr>
      <w:r>
        <w:t>Further reading</w:t>
      </w:r>
    </w:p>
    <w:p>
      <w:pPr>
        <w:pStyle w:val="Para 17"/>
      </w:pPr>
      <w:r>
        <w:t/>
      </w:r>
    </w:p>
    <w:p>
      <w:pPr>
        <w:pStyle w:val="Para 04"/>
      </w:pPr>
      <w:r>
        <w:t xml:space="preserve">• The </w:t>
      </w:r>
      <w:hyperlink r:id="rId1417">
        <w:r>
          <w:rPr>
            <w:rStyle w:val="Text9"/>
          </w:rPr>
          <w:t>471</w:t>
        </w:r>
      </w:hyperlink>
      <w:hyperlink r:id="rId1417">
        <w:r>
          <w:rPr>
            <w:rStyle w:val="Text1"/>
          </w:rPr>
          <w:t xml:space="preserve"> Apache2 Documentation</w:t>
        </w:r>
      </w:hyperlink>
      <w:r>
        <w:t xml:space="preserve"> contains in depth information on Apache2 configura-</w:t>
      </w:r>
    </w:p>
    <w:p>
      <w:pPr>
        <w:pStyle w:val="Para 17"/>
      </w:pPr>
      <w:r>
        <w:t>tion directives. Also, see the apache2-doc package for the official Apache2 docs.</w:t>
      </w:r>
    </w:p>
    <w:p>
      <w:pPr>
        <w:pStyle w:val="Para 04"/>
      </w:pPr>
      <w:r>
        <w:t xml:space="preserve">• O’Reilly’s </w:t>
      </w:r>
      <w:hyperlink r:id="rId1418">
        <w:r>
          <w:rPr>
            <w:rStyle w:val="Text9"/>
          </w:rPr>
          <w:t>472</w:t>
        </w:r>
      </w:hyperlink>
      <w:hyperlink r:id="rId1418">
        <w:r>
          <w:rPr>
            <w:rStyle w:val="Text1"/>
          </w:rPr>
          <w:t xml:space="preserve"> Apache Cookbook</w:t>
        </w:r>
      </w:hyperlink>
      <w:r>
        <w:t xml:space="preserve"> is a good resource for accomplishing specific Apache2</w:t>
      </w:r>
    </w:p>
    <w:p>
      <w:pPr>
        <w:pStyle w:val="Para 02"/>
      </w:pPr>
      <w:r>
        <w:t>configurations.</w:t>
      </w:r>
    </w:p>
    <w:p>
      <w:pPr>
        <w:pStyle w:val="Para 04"/>
      </w:pPr>
      <w:r>
        <w:t xml:space="preserve">• For Ubuntu-specific Apache2 questions, ask in the </w:t>
      </w:r>
      <w:hyperlink r:id="rId1034">
        <w:r>
          <w:rPr>
            <w:rStyle w:val="Text9"/>
          </w:rPr>
          <w:t>473</w:t>
        </w:r>
      </w:hyperlink>
      <w:hyperlink r:id="rId1034">
        <w:r>
          <w:rPr>
            <w:rStyle w:val="Text1"/>
          </w:rPr>
          <w:t xml:space="preserve"> Ubuntu Server</w:t>
        </w:r>
      </w:hyperlink>
      <w:r>
        <w:t xml:space="preserve"> Matrix channel.</w:t>
      </w:r>
    </w:p>
    <w:p>
      <w:pPr>
        <w:pStyle w:val="Para 05"/>
      </w:pPr>
      <w:r>
        <w:rPr>
          <w:rStyle w:val="Text5"/>
        </w:rPr>
        <w:t>471</w:t>
      </w:r>
      <w:r>
        <w:rPr>
          <w:rStyle w:val="Text8"/>
        </w:rPr>
        <w:t xml:space="preserve"> </w:t>
      </w:r>
      <w:r>
        <w:t>https://httpd.apache.org/docs/2.4/</w:t>
      </w:r>
    </w:p>
    <w:p>
      <w:pPr>
        <w:pStyle w:val="Para 05"/>
      </w:pPr>
      <w:r>
        <w:rPr>
          <w:rStyle w:val="Text5"/>
        </w:rPr>
        <w:t>472</w:t>
      </w:r>
      <w:r>
        <w:rPr>
          <w:rStyle w:val="Text8"/>
        </w:rPr>
        <w:t xml:space="preserve"> </w:t>
      </w:r>
      <w:r>
        <w:t>https://www.oreilly.com/library/view/apache-cookbook-2nd/9780596529949/</w:t>
      </w:r>
    </w:p>
    <w:p>
      <w:pPr>
        <w:pStyle w:val="Para 05"/>
      </w:pPr>
      <w:r>
        <w:rPr>
          <w:rStyle w:val="Text5"/>
        </w:rPr>
        <w:t>473</w:t>
      </w:r>
      <w:r>
        <w:rPr>
          <w:rStyle w:val="Text8"/>
        </w:rPr>
        <w:t xml:space="preserve"> </w:t>
      </w:r>
      <w:r>
        <w:t>https://matrix.to/#/#server:ubuntu.com</w:t>
      </w:r>
    </w:p>
    <w:p>
      <w:bookmarkStart w:id="756" w:name="calibre_pb_125"/>
      <w:pPr>
        <w:pStyle w:val="0 Block"/>
      </w:pPr>
      <w:bookmarkEnd w:id="756"/>
    </w:p>
    <w:p>
      <w:bookmarkStart w:id="757" w:name="Top_of_index_split_126_html"/>
      <w:bookmarkStart w:id="758" w:name="page_50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5" name="index-506_1.png" descr="index-506_1.png"/>
            <wp:cNvGraphicFramePr>
              <a:graphicFrameLocks noChangeAspect="1"/>
            </wp:cNvGraphicFramePr>
            <a:graphic>
              <a:graphicData uri="http://schemas.openxmlformats.org/drawingml/2006/picture">
                <pic:pic>
                  <pic:nvPicPr>
                    <pic:cNvPr id="0" name="index-506_1.png" descr="index-506_1.png"/>
                    <pic:cNvPicPr/>
                  </pic:nvPicPr>
                  <pic:blipFill>
                    <a:blip r:embed="rId519"/>
                    <a:stretch>
                      <a:fillRect/>
                    </a:stretch>
                  </pic:blipFill>
                  <pic:spPr>
                    <a:xfrm>
                      <a:off x="0" y="0"/>
                      <a:ext cx="914400" cy="266700"/>
                    </a:xfrm>
                    <a:prstGeom prst="rect">
                      <a:avLst/>
                    </a:prstGeom>
                  </pic:spPr>
                </pic:pic>
              </a:graphicData>
            </a:graphic>
          </wp:anchor>
        </w:drawing>
      </w:r>
      <w:bookmarkEnd w:id="757"/>
      <w:bookmarkEnd w:id="758"/>
    </w:p>
    <w:p>
      <w:pPr>
        <w:pStyle w:val="Para 01"/>
      </w:pPr>
      <w:r>
        <w:t>How to use Apache2 modules</w:t>
      </w:r>
    </w:p>
    <w:p>
      <w:pPr>
        <w:pStyle w:val="Para 17"/>
      </w:pPr>
      <w:r>
        <w:t/>
      </w:r>
    </w:p>
    <w:p>
      <w:pPr>
        <w:pStyle w:val="Normal"/>
      </w:pPr>
      <w:r>
        <w:t>Apache2 is a modular server. This implies that only the most basic functionality is included in the core server. Extended features are available through modules which can be loaded into Apache2.</w:t>
      </w:r>
    </w:p>
    <w:p>
      <w:pPr>
        <w:pStyle w:val="Normal"/>
      </w:pPr>
      <w:r>
        <w:t xml:space="preserve">By default, a base set of modules is included in the server at compile-time. If the server is compiled to use dynamically loaded modules, then modules can be compiled separately, and added at any time using the </w:t>
      </w:r>
      <w:r>
        <w:rPr>
          <w:rStyle w:val="Text0"/>
        </w:rPr>
        <w:t>LoadModule</w:t>
      </w:r>
      <w:r>
        <w:t xml:space="preserve"> directive. Otherwise, Apache2 must be recompiled to add or remove modules.</w:t>
      </w:r>
    </w:p>
    <w:p>
      <w:pPr>
        <w:pStyle w:val="Normal"/>
      </w:pPr>
      <w:r>
        <w:t>Ubuntu compiles Apache2 to allow the dynamic loading of modules. Configuration directives may be conditionally included on the presence of a particular module by enclosing them in an &lt;IfModule&gt; block.</w:t>
      </w:r>
    </w:p>
    <w:p>
      <w:pPr>
        <w:pStyle w:val="Para 17"/>
      </w:pPr>
      <w:r>
        <w:t/>
      </w:r>
    </w:p>
    <w:p>
      <w:pPr>
        <w:pStyle w:val="Para 01"/>
      </w:pPr>
      <w:r>
        <w:t>Installing and handling modules</w:t>
      </w:r>
    </w:p>
    <w:p>
      <w:pPr>
        <w:pStyle w:val="Para 17"/>
      </w:pPr>
      <w:r>
        <w:t/>
      </w:r>
    </w:p>
    <w:p>
      <w:pPr>
        <w:pStyle w:val="Normal"/>
      </w:pPr>
      <w:r>
        <w:t>You can install additional Apache2 modules and use them with your web server. For example, run the following command at a terminal prompt to install the Python 3 WSGI module:</w:t>
      </w:r>
    </w:p>
    <w:p>
      <w:pPr>
        <w:pStyle w:val="Normal"/>
      </w:pPr>
      <w:r>
        <w:t>sudo apt install libapache2-mod-wsgi-py3</w:t>
      </w:r>
    </w:p>
    <w:p>
      <w:pPr>
        <w:pStyle w:val="Para 17"/>
      </w:pPr>
      <w:r>
        <w:t/>
      </w:r>
    </w:p>
    <w:p>
      <w:pPr>
        <w:pStyle w:val="Normal"/>
      </w:pPr>
      <w:r>
        <w:t>The installation will enable the module automatically, but we can disable it with a2dismod:</w:t>
      </w:r>
    </w:p>
    <w:p>
      <w:pPr>
        <w:pStyle w:val="Normal"/>
      </w:pPr>
      <w:r>
        <w:t>sudo a2dismod wsgi</w:t>
      </w:r>
    </w:p>
    <w:p>
      <w:pPr>
        <w:pStyle w:val="Normal"/>
      </w:pPr>
      <w:r>
        <w:t>sudo systemctl restart apache2.service</w:t>
      </w:r>
    </w:p>
    <w:p>
      <w:pPr>
        <w:pStyle w:val="Para 17"/>
      </w:pPr>
      <w:r>
        <w:t/>
      </w:r>
    </w:p>
    <w:p>
      <w:pPr>
        <w:pStyle w:val="Normal"/>
      </w:pPr>
      <w:r>
        <w:t>And then use the a2enmod utility to re-enable it:</w:t>
      </w:r>
    </w:p>
    <w:p>
      <w:pPr>
        <w:pStyle w:val="Normal"/>
      </w:pPr>
      <w:r>
        <w:t>sudo a2enmod wsgi</w:t>
      </w:r>
    </w:p>
    <w:p>
      <w:pPr>
        <w:pStyle w:val="Normal"/>
      </w:pPr>
      <w:r>
        <w:t>sudo systemctl restart apache2.service</w:t>
      </w:r>
    </w:p>
    <w:p>
      <w:pPr>
        <w:pStyle w:val="Para 17"/>
      </w:pPr>
      <w:r>
        <w:t/>
      </w:r>
    </w:p>
    <w:p>
      <w:pPr>
        <w:pStyle w:val="Normal"/>
      </w:pPr>
      <w:r>
        <w:t>See the /etc/apache2/mods-available directory for additional modules already available on your system.</w:t>
      </w:r>
    </w:p>
    <w:p>
      <w:pPr>
        <w:pStyle w:val="Para 17"/>
      </w:pPr>
      <w:r>
        <w:t/>
      </w:r>
    </w:p>
    <w:p>
      <w:pPr>
        <w:pStyle w:val="Para 01"/>
      </w:pPr>
      <w:r>
        <w:t>Configure Apache2 for HTTPS</w:t>
      </w:r>
    </w:p>
    <w:p>
      <w:pPr>
        <w:pStyle w:val="Para 17"/>
      </w:pPr>
      <w:r>
        <w:t/>
      </w:r>
    </w:p>
    <w:p>
      <w:pPr>
        <w:pStyle w:val="Normal"/>
      </w:pPr>
      <w:r>
        <w:t>The mod_ssl module adds an important feature to the Apache2 server - the ability to encrypt communications. Thus, when your browser is communicating using SSL, the https:// prefix is used at the beginning of the Uniform Resource Locator (URL) in the browser navigation bar.</w:t>
      </w:r>
    </w:p>
    <w:p>
      <w:pPr>
        <w:pStyle w:val="Normal"/>
      </w:pPr>
      <w:r>
        <w:t>The mod_ssl module is available in the apache2-common package. Run the following command at a terminal prompt to enable the mod_ssl module:</w:t>
      </w:r>
    </w:p>
    <w:p>
      <w:pPr>
        <w:pStyle w:val="Normal"/>
      </w:pPr>
      <w:r>
        <w:t>sudo a2enmod ssl</w:t>
      </w:r>
    </w:p>
    <w:p>
      <w:pPr>
        <w:pStyle w:val="Para 17"/>
      </w:pPr>
      <w:r>
        <w:t/>
      </w:r>
    </w:p>
    <w:p>
      <w:pPr>
        <w:pStyle w:val="Normal"/>
      </w:pPr>
      <w:r>
        <w:t xml:space="preserve">There is a default HTTPS configuration file in /etc/apache2/sites-available/default-ssl. conf. In order for Apache2 to provide HTTPS, a </w:t>
      </w:r>
      <w:r>
        <w:rPr>
          <w:rStyle w:val="Text0"/>
        </w:rPr>
        <w:t>certificate</w:t>
      </w:r>
      <w:r>
        <w:t xml:space="preserve"> and </w:t>
      </w:r>
      <w:r>
        <w:rPr>
          <w:rStyle w:val="Text0"/>
        </w:rPr>
        <w:t>key</w:t>
      </w:r>
      <w:r>
        <w:t xml:space="preserve"> file are also needed. The default HTTPS configuration will use a certificate and key generated by the ssl-cert package. They are good for testing, but the auto-generated certificate and key should be replaced by a certificate specific to the site or server.</w:t>
      </w:r>
    </w:p>
    <w:p>
      <w:bookmarkStart w:id="759" w:name="page_5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6" name="index-507_1.png" descr="index-507_1.png"/>
            <wp:cNvGraphicFramePr>
              <a:graphicFrameLocks noChangeAspect="1"/>
            </wp:cNvGraphicFramePr>
            <a:graphic>
              <a:graphicData uri="http://schemas.openxmlformats.org/drawingml/2006/picture">
                <pic:pic>
                  <pic:nvPicPr>
                    <pic:cNvPr id="0" name="index-507_1.png" descr="index-507_1.png"/>
                    <pic:cNvPicPr/>
                  </pic:nvPicPr>
                  <pic:blipFill>
                    <a:blip r:embed="rId520"/>
                    <a:stretch>
                      <a:fillRect/>
                    </a:stretch>
                  </pic:blipFill>
                  <pic:spPr>
                    <a:xfrm>
                      <a:off x="0" y="0"/>
                      <a:ext cx="914400" cy="266700"/>
                    </a:xfrm>
                    <a:prstGeom prst="rect">
                      <a:avLst/>
                    </a:prstGeom>
                  </pic:spPr>
                </pic:pic>
              </a:graphicData>
            </a:graphic>
          </wp:anchor>
        </w:drawing>
      </w:r>
      <w:bookmarkEnd w:id="759"/>
    </w:p>
    <w:p>
      <w:pPr>
        <w:pStyle w:val="Para 08"/>
      </w:pPr>
      <w:r>
        <w:t>Note:</w:t>
      </w:r>
    </w:p>
    <w:p>
      <w:pPr>
        <w:pStyle w:val="Para 03"/>
      </w:pPr>
      <w:r>
        <w:t xml:space="preserve">For more information on generating a key and obtaining a certificate see </w:t>
      </w:r>
      <w:hyperlink w:anchor="page_791">
        <w:r>
          <w:rPr>
            <w:rStyle w:val="Text2"/>
          </w:rPr>
          <w:t>Certificates</w:t>
        </w:r>
      </w:hyperlink>
    </w:p>
    <w:p>
      <w:pPr>
        <w:pStyle w:val="Para 03"/>
      </w:pPr>
      <w:r>
        <w:t>(page 790).</w:t>
      </w:r>
    </w:p>
    <w:p>
      <w:pPr>
        <w:pStyle w:val="Para 17"/>
      </w:pPr>
      <w:r>
        <w:t/>
      </w:r>
    </w:p>
    <w:p>
      <w:pPr>
        <w:pStyle w:val="Normal"/>
      </w:pPr>
      <w:r>
        <w:t>To configure Apache2 for HTTPS, enter the following:</w:t>
      </w:r>
    </w:p>
    <w:p>
      <w:pPr>
        <w:pStyle w:val="Normal"/>
      </w:pPr>
      <w:r>
        <w:t>sudo a2ensite default-ssl</w:t>
      </w:r>
    </w:p>
    <w:p>
      <w:pPr>
        <w:pStyle w:val="Para 17"/>
      </w:pPr>
      <w:r>
        <w:t/>
      </w:r>
    </w:p>
    <w:p>
      <w:pPr>
        <w:pStyle w:val="Para 08"/>
      </w:pPr>
      <w:r>
        <w:t>Note:</w:t>
      </w:r>
    </w:p>
    <w:p>
      <w:pPr>
        <w:pStyle w:val="Para 03"/>
      </w:pPr>
      <w:r>
        <w:t>The directories /etc/ssl/certs and /etc/ssl/private are the default locations. If you in-</w:t>
      </w:r>
    </w:p>
    <w:p>
      <w:pPr>
        <w:pStyle w:val="Para 03"/>
      </w:pPr>
      <w:r>
        <w:t xml:space="preserve">stall the certificate and key in another directory make sure to change </w:t>
      </w:r>
      <w:r>
        <w:rPr>
          <w:rStyle w:val="Text3"/>
        </w:rPr>
        <w:t>SSLCertificateFile</w:t>
      </w:r>
    </w:p>
    <w:p>
      <w:pPr>
        <w:pStyle w:val="Para 35"/>
      </w:pPr>
      <w:r>
        <w:rPr>
          <w:rStyle w:val="Text3"/>
        </w:rPr>
        <w:t xml:space="preserve">and </w:t>
      </w:r>
      <w:r>
        <w:t>SSLCertificateKeyFile</w:t>
      </w:r>
      <w:r>
        <w:rPr>
          <w:rStyle w:val="Text3"/>
        </w:rPr>
        <w:t xml:space="preserve"> appropriately.</w:t>
      </w:r>
    </w:p>
    <w:p>
      <w:pPr>
        <w:pStyle w:val="Para 17"/>
      </w:pPr>
      <w:r>
        <w:t/>
      </w:r>
    </w:p>
    <w:p>
      <w:pPr>
        <w:pStyle w:val="Normal"/>
      </w:pPr>
      <w:r>
        <w:t>With Apache2 now configured for HTTPS, restart the service to enable the new settings:</w:t>
      </w:r>
    </w:p>
    <w:p>
      <w:pPr>
        <w:pStyle w:val="Normal"/>
      </w:pPr>
      <w:r>
        <w:t>sudo systemctl restart apache2.service</w:t>
      </w:r>
    </w:p>
    <w:p>
      <w:pPr>
        <w:pStyle w:val="Para 17"/>
      </w:pPr>
      <w:r>
        <w:t/>
      </w:r>
    </w:p>
    <w:p>
      <w:pPr>
        <w:pStyle w:val="Normal"/>
      </w:pPr>
      <w:r>
        <w:t>Note that depending on how you obtained your certificate, you may need to enter a passphrase when Apache2 restarts.</w:t>
      </w:r>
    </w:p>
    <w:p>
      <w:pPr>
        <w:pStyle w:val="Normal"/>
      </w:pPr>
      <w:r>
        <w:t>You can access the secure server pages by typing https://your_hostname/url/ in your browser address bar.</w:t>
      </w:r>
    </w:p>
    <w:p>
      <w:pPr>
        <w:pStyle w:val="Para 17"/>
      </w:pPr>
      <w:r>
        <w:t/>
      </w:r>
    </w:p>
    <w:p>
      <w:pPr>
        <w:pStyle w:val="Para 01"/>
      </w:pPr>
      <w:r>
        <w:t>Sharing write permission</w:t>
      </w:r>
    </w:p>
    <w:p>
      <w:pPr>
        <w:pStyle w:val="Para 17"/>
      </w:pPr>
      <w:r>
        <w:t/>
      </w:r>
    </w:p>
    <w:p>
      <w:pPr>
        <w:pStyle w:val="Normal"/>
      </w:pPr>
      <w:r>
        <w:t>For more than one user to be able to write to the same directory you will need to grant write permission to a group they share in common. The following example grants shared write permission to /var/www/html to the group “webmasters”.</w:t>
      </w:r>
    </w:p>
    <w:p>
      <w:pPr>
        <w:pStyle w:val="Normal"/>
      </w:pPr>
      <w:r>
        <w:t>sudo chgrp -R webmasters /var/www/html</w:t>
      </w:r>
    </w:p>
    <w:p>
      <w:pPr>
        <w:pStyle w:val="Normal"/>
      </w:pPr>
      <w:r>
        <w:t>sudo chmod -R</w:t>
        <w:t xml:space="preserve"> </w:t>
        <w:t>g</w:t>
        <w:t>=</w:t>
        <w:t>rwX /var/www/html/</w:t>
      </w:r>
    </w:p>
    <w:p>
      <w:pPr>
        <w:pStyle w:val="Para 17"/>
      </w:pPr>
      <w:r>
        <w:t/>
      </w:r>
    </w:p>
    <w:p>
      <w:pPr>
        <w:pStyle w:val="Normal"/>
      </w:pPr>
      <w:r>
        <w:t>These commands recursively set the group permission on all files and directories in /var/www/ html to allow reading, writing and searching of directories. Many admins find this useful for allowing multiple users to edit files in a directory tree.</w:t>
      </w:r>
    </w:p>
    <w:p>
      <w:pPr>
        <w:pStyle w:val="Para 17"/>
      </w:pPr>
      <w:r>
        <w:t/>
      </w:r>
    </w:p>
    <w:p>
      <w:pPr>
        <w:pStyle w:val="Para 08"/>
      </w:pPr>
      <w:r>
        <w:t>Warning:</w:t>
      </w:r>
    </w:p>
    <w:p>
      <w:pPr>
        <w:pStyle w:val="Para 17"/>
      </w:pPr>
      <w:r>
        <w:t/>
      </w:r>
    </w:p>
    <w:p>
      <w:pPr>
        <w:pStyle w:val="Para 03"/>
      </w:pPr>
      <w:r>
        <w:t>The apache2 daemon will run as the www-data user, which has a corresponding www-data</w:t>
      </w:r>
    </w:p>
    <w:p>
      <w:pPr>
        <w:pStyle w:val="Para 03"/>
      </w:pPr>
      <w:r>
        <w:t xml:space="preserve">group. These </w:t>
      </w:r>
      <w:r>
        <w:rPr>
          <w:rStyle w:val="Text0"/>
        </w:rPr>
        <w:t>should not</w:t>
      </w:r>
      <w:r>
        <w:t xml:space="preserve"> be granted write access to the document root, as this would</w:t>
      </w:r>
    </w:p>
    <w:p>
      <w:pPr>
        <w:pStyle w:val="Para 03"/>
      </w:pPr>
      <w:r>
        <w:t>mean that vulnerabilities in Apache or the applications it is serving would allow attackers</w:t>
      </w:r>
    </w:p>
    <w:p>
      <w:pPr>
        <w:pStyle w:val="Para 03"/>
      </w:pPr>
      <w:r>
        <w:t>to overwrite the served content.</w:t>
      </w:r>
    </w:p>
    <w:p>
      <w:bookmarkStart w:id="760" w:name="calibre_pb_126"/>
      <w:pPr>
        <w:pStyle w:val="0 Block"/>
      </w:pPr>
      <w:bookmarkEnd w:id="760"/>
    </w:p>
    <w:p>
      <w:bookmarkStart w:id="761" w:name="Top_of_index_split_127_html"/>
      <w:bookmarkStart w:id="762" w:name="page_50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7" name="index-508_1.png" descr="index-508_1.png"/>
            <wp:cNvGraphicFramePr>
              <a:graphicFrameLocks noChangeAspect="1"/>
            </wp:cNvGraphicFramePr>
            <a:graphic>
              <a:graphicData uri="http://schemas.openxmlformats.org/drawingml/2006/picture">
                <pic:pic>
                  <pic:nvPicPr>
                    <pic:cNvPr id="0" name="index-508_1.png" descr="index-508_1.png"/>
                    <pic:cNvPicPr/>
                  </pic:nvPicPr>
                  <pic:blipFill>
                    <a:blip r:embed="rId521"/>
                    <a:stretch>
                      <a:fillRect/>
                    </a:stretch>
                  </pic:blipFill>
                  <pic:spPr>
                    <a:xfrm>
                      <a:off x="0" y="0"/>
                      <a:ext cx="914400" cy="266700"/>
                    </a:xfrm>
                    <a:prstGeom prst="rect">
                      <a:avLst/>
                    </a:prstGeom>
                  </pic:spPr>
                </pic:pic>
              </a:graphicData>
            </a:graphic>
          </wp:anchor>
        </w:drawing>
      </w:r>
      <w:bookmarkEnd w:id="761"/>
      <w:bookmarkEnd w:id="762"/>
    </w:p>
    <w:p>
      <w:pPr>
        <w:pStyle w:val="Para 01"/>
      </w:pPr>
      <w:r>
        <w:t>Further reading</w:t>
      </w:r>
    </w:p>
    <w:p>
      <w:pPr>
        <w:pStyle w:val="Para 17"/>
      </w:pPr>
      <w:r>
        <w:t/>
      </w:r>
    </w:p>
    <w:p>
      <w:pPr>
        <w:pStyle w:val="Para 04"/>
      </w:pPr>
      <w:r>
        <w:t xml:space="preserve">• The </w:t>
      </w:r>
      <w:hyperlink r:id="rId1417">
        <w:r>
          <w:rPr>
            <w:rStyle w:val="Text9"/>
          </w:rPr>
          <w:t>474</w:t>
        </w:r>
      </w:hyperlink>
      <w:hyperlink r:id="rId1417">
        <w:r>
          <w:rPr>
            <w:rStyle w:val="Text1"/>
          </w:rPr>
          <w:t xml:space="preserve"> Apache2 Documentation</w:t>
        </w:r>
      </w:hyperlink>
      <w:r>
        <w:t xml:space="preserve"> contains in depth information on Apache2 configura-</w:t>
      </w:r>
    </w:p>
    <w:p>
      <w:pPr>
        <w:pStyle w:val="Para 17"/>
      </w:pPr>
      <w:r>
        <w:t>tion directives. Also, see the apache2-doc package for the official Apache2 docs.</w:t>
      </w:r>
    </w:p>
    <w:p>
      <w:pPr>
        <w:pStyle w:val="Para 04"/>
      </w:pPr>
      <w:r>
        <w:t xml:space="preserve">• O’Reilly’s </w:t>
      </w:r>
      <w:hyperlink r:id="rId1421">
        <w:r>
          <w:rPr>
            <w:rStyle w:val="Text9"/>
          </w:rPr>
          <w:t>475</w:t>
        </w:r>
      </w:hyperlink>
      <w:hyperlink r:id="rId1421">
        <w:r>
          <w:rPr>
            <w:rStyle w:val="Text1"/>
          </w:rPr>
          <w:t xml:space="preserve"> Apache Cookbook</w:t>
        </w:r>
      </w:hyperlink>
      <w:r>
        <w:t xml:space="preserve"> is a good resource for accomplishing specific Apache2</w:t>
      </w:r>
    </w:p>
    <w:p>
      <w:pPr>
        <w:pStyle w:val="Para 02"/>
      </w:pPr>
      <w:r>
        <w:t>configurations.</w:t>
      </w:r>
    </w:p>
    <w:p>
      <w:pPr>
        <w:pStyle w:val="Para 04"/>
      </w:pPr>
      <w:r>
        <w:t xml:space="preserve">• For Ubuntu specific Apache2 questions, ask in the </w:t>
      </w:r>
      <w:hyperlink r:id="rId1034">
        <w:r>
          <w:rPr>
            <w:rStyle w:val="Text9"/>
          </w:rPr>
          <w:t>476</w:t>
        </w:r>
      </w:hyperlink>
      <w:hyperlink r:id="rId1034">
        <w:r>
          <w:rPr>
            <w:rStyle w:val="Text1"/>
          </w:rPr>
          <w:t xml:space="preserve"> Ubuntu Server</w:t>
        </w:r>
      </w:hyperlink>
      <w:r>
        <w:t xml:space="preserve"> Matrix channel.</w:t>
      </w:r>
    </w:p>
    <w:p>
      <w:pPr>
        <w:pStyle w:val="Para 14"/>
      </w:pPr>
      <w:r>
        <w:rPr>
          <w:rStyle w:val="Text4"/>
        </w:rPr>
        <w:t xml:space="preserve">• </w:t>
      </w:r>
      <w:hyperlink w:anchor="page_498">
        <w:r>
          <w:t>Install Apache2</w:t>
        </w:r>
      </w:hyperlink>
      <w:r>
        <w:rPr>
          <w:rStyle w:val="Text4"/>
        </w:rPr>
        <w:t xml:space="preserve"> (page 497)</w:t>
      </w:r>
    </w:p>
    <w:p>
      <w:pPr>
        <w:pStyle w:val="Para 14"/>
      </w:pPr>
      <w:r>
        <w:rPr>
          <w:rStyle w:val="Text4"/>
        </w:rPr>
        <w:t xml:space="preserve">• </w:t>
      </w:r>
      <w:hyperlink w:anchor="page_500">
        <w:r>
          <w:t>Configure Apache2</w:t>
        </w:r>
      </w:hyperlink>
      <w:r>
        <w:rPr>
          <w:rStyle w:val="Text4"/>
        </w:rPr>
        <w:t xml:space="preserve"> (page 499)</w:t>
      </w:r>
    </w:p>
    <w:p>
      <w:pPr>
        <w:pStyle w:val="Para 14"/>
      </w:pPr>
      <w:r>
        <w:rPr>
          <w:rStyle w:val="Text4"/>
        </w:rPr>
        <w:t xml:space="preserve">• </w:t>
      </w:r>
      <w:hyperlink w:anchor="page_506">
        <w:r>
          <w:t>Extend Apache2 with modules</w:t>
        </w:r>
      </w:hyperlink>
      <w:r>
        <w:rPr>
          <w:rStyle w:val="Text4"/>
        </w:rPr>
        <w:t xml:space="preserve"> (page 505)</w:t>
      </w:r>
    </w:p>
    <w:p>
      <w:pPr>
        <w:pStyle w:val="Para 17"/>
      </w:pPr>
      <w:r>
        <w:t/>
      </w:r>
    </w:p>
    <w:p>
      <w:pPr>
        <w:pStyle w:val="Para 01"/>
      </w:pPr>
      <w:r>
        <w:t>Nginx</w:t>
      </w:r>
    </w:p>
    <w:p>
      <w:pPr>
        <w:pStyle w:val="Para 17"/>
      </w:pPr>
      <w:r>
        <w:t/>
      </w:r>
    </w:p>
    <w:p>
      <w:pPr>
        <w:pStyle w:val="Para 01"/>
      </w:pPr>
      <w:r>
        <w:t>How to install nginx</w:t>
      </w:r>
    </w:p>
    <w:p>
      <w:pPr>
        <w:pStyle w:val="Para 17"/>
      </w:pPr>
      <w:r>
        <w:t/>
      </w:r>
    </w:p>
    <w:p>
      <w:pPr>
        <w:pStyle w:val="Normal"/>
      </w:pPr>
      <w:r>
        <w:t xml:space="preserve">The nginx HTTP server is a powerful alternative to </w:t>
      </w:r>
      <w:hyperlink w:anchor="page_498">
        <w:r>
          <w:rPr>
            <w:rStyle w:val="Text2"/>
          </w:rPr>
          <w:t>Apache</w:t>
        </w:r>
      </w:hyperlink>
      <w:r>
        <w:t xml:space="preserve"> (page 497). In this guide, we will demonstrate how to install and use nginx for web services.</w:t>
      </w:r>
    </w:p>
    <w:p>
      <w:pPr>
        <w:pStyle w:val="Para 17"/>
      </w:pPr>
      <w:r>
        <w:t/>
      </w:r>
    </w:p>
    <w:p>
      <w:pPr>
        <w:pStyle w:val="Para 01"/>
      </w:pPr>
      <w:r>
        <w:t>Install nginx</w:t>
      </w:r>
    </w:p>
    <w:p>
      <w:pPr>
        <w:pStyle w:val="Para 17"/>
      </w:pPr>
      <w:r>
        <w:t/>
      </w:r>
    </w:p>
    <w:p>
      <w:pPr>
        <w:pStyle w:val="Normal"/>
      </w:pPr>
      <w:r>
        <w:t>To install nginx, enter the following command at the terminal prompt:</w:t>
      </w:r>
    </w:p>
    <w:p>
      <w:pPr>
        <w:pStyle w:val="Normal"/>
      </w:pPr>
      <w:r>
        <w:t>$ sudo apt update</w:t>
      </w:r>
    </w:p>
    <w:p>
      <w:pPr>
        <w:pStyle w:val="Normal"/>
      </w:pPr>
      <w:r>
        <w:t>$ sudo apt install nginx</w:t>
      </w:r>
    </w:p>
    <w:p>
      <w:pPr>
        <w:pStyle w:val="Para 17"/>
      </w:pPr>
      <w:r>
        <w:t/>
      </w:r>
    </w:p>
    <w:p>
      <w:pPr>
        <w:pStyle w:val="Normal"/>
      </w:pPr>
      <w:r>
        <w:t>This will also install any required dependency packages, and some common mods for your server, and then start the nginx web server.</w:t>
      </w:r>
    </w:p>
    <w:p>
      <w:pPr>
        <w:pStyle w:val="Para 17"/>
      </w:pPr>
      <w:r>
        <w:t/>
      </w:r>
    </w:p>
    <w:p>
      <w:pPr>
        <w:pStyle w:val="Para 01"/>
      </w:pPr>
      <w:r>
        <w:t>Verify nginx is running</w:t>
      </w:r>
    </w:p>
    <w:p>
      <w:pPr>
        <w:pStyle w:val="Para 17"/>
      </w:pPr>
      <w:r>
        <w:t/>
      </w:r>
    </w:p>
    <w:p>
      <w:pPr>
        <w:pStyle w:val="Normal"/>
      </w:pPr>
      <w:r>
        <w:t>You can verify that nginx is running via this command:</w:t>
      </w:r>
    </w:p>
    <w:p>
      <w:pPr>
        <w:pStyle w:val="Normal"/>
      </w:pPr>
      <w:r>
        <w:t>$ sudo systemctl status nginx</w:t>
      </w:r>
    </w:p>
    <w:p>
      <w:pPr>
        <w:pStyle w:val="Para 03"/>
      </w:pPr>
      <w:r>
        <w:t>� nginx.service - A high performance web server and a reverse proxy server</w:t>
      </w:r>
    </w:p>
    <w:p>
      <w:pPr>
        <w:pStyle w:val="Para 06"/>
      </w:pPr>
      <w:r>
        <w:t>Loaded: loaded</w:t>
        <w:t xml:space="preserve"> </w:t>
        <w:t>(</w:t>
        <w:t>/lib/systemd/system/nginx.service; enabled; vendor preset: enabled</w:t>
        <w:t>)</w:t>
        <w:t xml:space="preserve"> </w:t>
        <w:t>Active: active</w:t>
        <w:t xml:space="preserve"> </w:t>
        <w:t>(</w:t>
        <w:t>running</w:t>
        <w:t>)</w:t>
        <w:t xml:space="preserve"> </w:t>
        <w:t>since Sun</w:t>
        <w:t xml:space="preserve"> </w:t>
        <w:t>2023</w:t>
        <w:t>-08-20</w:t>
        <w:t xml:space="preserve"> </w:t>
        <w:t>01</w:t>
        <w:t>:04:22 UTC; 53s ago</w:t>
      </w:r>
    </w:p>
    <w:p>
      <w:pPr>
        <w:pStyle w:val="Para 11"/>
      </w:pPr>
      <w:r>
        <w:t>Docs: man:nginx</w:t>
        <w:t>(</w:t>
        <w:t>8</w:t>
        <w:t>)</w:t>
      </w:r>
    </w:p>
    <w:p>
      <w:pPr>
        <w:pStyle w:val="Para 06"/>
      </w:pPr>
      <w:r>
        <w:t>Process:</w:t>
        <w:t xml:space="preserve"> </w:t>
        <w:t>28210</w:t>
        <w:t xml:space="preserve"> </w:t>
        <w:t>ExecStartPre</w:t>
        <w:t>=</w:t>
        <w:t>/usr/sbin/nginx -t -q -g daemon on; master_process on;</w:t>
      </w:r>
    </w:p>
    <w:p>
      <w:pPr>
        <w:pStyle w:val="Normal"/>
      </w:pPr>
      <w:r>
        <w:t>(</w:t>
        <w:t>code</w:t>
        <w:t>=</w:t>
        <w:t>exited,</w:t>
        <w:t xml:space="preserve"> </w:t>
        <w:t>status</w:t>
        <w:t>=</w:t>
        <w:t>0</w:t>
        <w:t>/SU</w:t>
      </w:r>
      <w:r>
        <w:rPr>
          <w:rStyle w:val="Text0"/>
        </w:rPr>
        <w:t>\</w:t>
      </w:r>
    </w:p>
    <w:p>
      <w:pPr>
        <w:pStyle w:val="Para 02"/>
      </w:pPr>
      <w:r>
        <w:t>CCESS</w:t>
        <w:t>)</w:t>
      </w:r>
    </w:p>
    <w:p>
      <w:pPr>
        <w:pStyle w:val="Para 06"/>
      </w:pPr>
      <w:r>
        <w:t>Process:</w:t>
        <w:t xml:space="preserve"> </w:t>
        <w:t>28211</w:t>
        <w:t xml:space="preserve"> </w:t>
        <w:t>ExecStart</w:t>
        <w:t>=</w:t>
        <w:t>/usr/sbin/nginx -g daemon on; master_process on;</w:t>
      </w:r>
    </w:p>
    <w:p>
      <w:pPr>
        <w:pStyle w:val="Normal"/>
      </w:pPr>
      <w:r>
        <w:t>(</w:t>
        <w:t>code</w:t>
        <w:t>=</w:t>
        <w:t>exited,</w:t>
        <w:t xml:space="preserve"> </w:t>
        <w:t>status</w:t>
        <w:t>=</w:t>
        <w:t>0</w:t>
        <w:t>/SUCCESS</w:t>
        <w:t>)</w:t>
      </w:r>
    </w:p>
    <w:p>
      <w:pPr>
        <w:pStyle w:val="Para 09"/>
      </w:pPr>
      <w:r>
        <w:t>(continues on next page)</w:t>
      </w:r>
    </w:p>
    <w:p>
      <w:pPr>
        <w:pStyle w:val="Para 05"/>
      </w:pPr>
      <w:r>
        <w:rPr>
          <w:rStyle w:val="Text5"/>
        </w:rPr>
        <w:t>474</w:t>
      </w:r>
      <w:r>
        <w:rPr>
          <w:rStyle w:val="Text8"/>
        </w:rPr>
        <w:t xml:space="preserve"> </w:t>
      </w:r>
      <w:r>
        <w:t>https://httpd.apache.org/docs/2.4/</w:t>
      </w:r>
    </w:p>
    <w:p>
      <w:pPr>
        <w:pStyle w:val="Para 05"/>
      </w:pPr>
      <w:r>
        <w:rPr>
          <w:rStyle w:val="Text5"/>
        </w:rPr>
        <w:t>475</w:t>
      </w:r>
      <w:r>
        <w:rPr>
          <w:rStyle w:val="Text8"/>
        </w:rPr>
        <w:t xml:space="preserve"> </w:t>
      </w:r>
      <w:r>
        <w:t>http://shop.oreilly.com/product/9780596529949.do</w:t>
      </w:r>
    </w:p>
    <w:p>
      <w:pPr>
        <w:pStyle w:val="Para 05"/>
      </w:pPr>
      <w:r>
        <w:rPr>
          <w:rStyle w:val="Text5"/>
        </w:rPr>
        <w:t>476</w:t>
      </w:r>
      <w:r>
        <w:rPr>
          <w:rStyle w:val="Text8"/>
        </w:rPr>
        <w:t xml:space="preserve"> </w:t>
      </w:r>
      <w:r>
        <w:t>https://matrix.to/#/#server:ubuntu.com</w:t>
      </w:r>
    </w:p>
    <w:p>
      <w:bookmarkStart w:id="763" w:name="page_5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8" name="index-509_1.png" descr="index-509_1.png"/>
            <wp:cNvGraphicFramePr>
              <a:graphicFrameLocks noChangeAspect="1"/>
            </wp:cNvGraphicFramePr>
            <a:graphic>
              <a:graphicData uri="http://schemas.openxmlformats.org/drawingml/2006/picture">
                <pic:pic>
                  <pic:nvPicPr>
                    <pic:cNvPr id="0" name="index-509_1.png" descr="index-509_1.png"/>
                    <pic:cNvPicPr/>
                  </pic:nvPicPr>
                  <pic:blipFill>
                    <a:blip r:embed="rId522"/>
                    <a:stretch>
                      <a:fillRect/>
                    </a:stretch>
                  </pic:blipFill>
                  <pic:spPr>
                    <a:xfrm>
                      <a:off x="0" y="0"/>
                      <a:ext cx="914400" cy="266700"/>
                    </a:xfrm>
                    <a:prstGeom prst="rect">
                      <a:avLst/>
                    </a:prstGeom>
                  </pic:spPr>
                </pic:pic>
              </a:graphicData>
            </a:graphic>
          </wp:anchor>
        </w:drawing>
      </w:r>
      <w:bookmarkEnd w:id="763"/>
    </w:p>
    <w:p>
      <w:pPr>
        <w:pStyle w:val="Para 09"/>
      </w:pPr>
      <w:r>
        <w:t>(continued from previous page)</w:t>
      </w:r>
    </w:p>
    <w:p>
      <w:pPr>
        <w:pStyle w:val="Para 02"/>
      </w:pPr>
      <w:r>
        <w:t>Main PID:</w:t>
        <w:t xml:space="preserve"> </w:t>
        <w:t>28312</w:t>
        <w:t xml:space="preserve"> </w:t>
        <w:t>(</w:t>
        <w:t>nginx</w:t>
        <w:t>)</w:t>
      </w:r>
    </w:p>
    <w:p>
      <w:pPr>
        <w:pStyle w:val="Para 06"/>
      </w:pPr>
      <w:r>
        <w:t>Tasks:</w:t>
        <w:t xml:space="preserve"> </w:t>
        <w:t>13</w:t>
        <w:t xml:space="preserve"> </w:t>
        <w:t>(</w:t>
        <w:t>limit:</w:t>
        <w:t xml:space="preserve"> </w:t>
        <w:t>76969</w:t>
        <w:t>)</w:t>
      </w:r>
    </w:p>
    <w:p>
      <w:pPr>
        <w:pStyle w:val="Para 06"/>
      </w:pPr>
      <w:r>
        <w:t>Memory:</w:t>
        <w:t xml:space="preserve"> </w:t>
        <w:t>13</w:t>
        <w:t>.1M</w:t>
      </w:r>
    </w:p>
    <w:p>
      <w:pPr>
        <w:pStyle w:val="Para 11"/>
      </w:pPr>
      <w:r>
        <w:t>CPU: 105ms</w:t>
      </w:r>
    </w:p>
    <w:p>
      <w:pPr>
        <w:pStyle w:val="Para 06"/>
      </w:pPr>
      <w:r>
        <w:t>CGroup: /system.slice/nginx.service</w:t>
      </w:r>
    </w:p>
    <w:p>
      <w:pPr>
        <w:pStyle w:val="Para 21"/>
      </w:pPr>
      <w:r>
        <w:t>├─28312</w:t>
        <w:t xml:space="preserve"> </w:t>
        <w:t>"nginx: master process /usr/sbin/nginx -g daemon on; master_process</w:t>
      </w:r>
    </w:p>
    <w:p>
      <w:pPr>
        <w:pStyle w:val="Normal"/>
      </w:pPr>
      <w:r>
        <w:t>on;"</w:t>
      </w:r>
    </w:p>
    <w:p>
      <w:pPr>
        <w:pStyle w:val="Para 21"/>
      </w:pPr>
      <w:r>
        <w:t>├─28314</w:t>
        <w:t xml:space="preserve"> </w:t>
        <w:t>"nginx: worker process" "" "" "" "" "" "" "" "" "" "" "" "" "" "" "</w:t>
      </w:r>
    </w:p>
    <w:p>
      <w:pPr>
        <w:pStyle w:val="Normal"/>
      </w:pPr>
      <w:r>
        <w:t>" "" ""</w:t>
      </w:r>
    </w:p>
    <w:p>
      <w:pPr>
        <w:pStyle w:val="Para 15"/>
      </w:pPr>
      <w:r>
        <w:t>...</w:t>
      </w:r>
    </w:p>
    <w:p>
      <w:pPr>
        <w:pStyle w:val="Para 17"/>
      </w:pPr>
      <w:r>
        <w:t/>
      </w:r>
    </w:p>
    <w:p>
      <w:pPr>
        <w:pStyle w:val="Para 01"/>
      </w:pPr>
      <w:r>
        <w:t>Restarting nginx</w:t>
      </w:r>
    </w:p>
    <w:p>
      <w:pPr>
        <w:pStyle w:val="Para 17"/>
      </w:pPr>
      <w:r>
        <w:t/>
      </w:r>
    </w:p>
    <w:p>
      <w:pPr>
        <w:pStyle w:val="Normal"/>
      </w:pPr>
      <w:r>
        <w:t>To restart nginx, run:</w:t>
      </w:r>
    </w:p>
    <w:p>
      <w:pPr>
        <w:pStyle w:val="Normal"/>
      </w:pPr>
      <w:r>
        <w:t>$ sudo systemctl restart nginx</w:t>
      </w:r>
    </w:p>
    <w:p>
      <w:pPr>
        <w:pStyle w:val="Para 17"/>
      </w:pPr>
      <w:r>
        <w:t/>
      </w:r>
    </w:p>
    <w:p>
      <w:pPr>
        <w:pStyle w:val="Para 01"/>
      </w:pPr>
      <w:r>
        <w:t>Enable/disable nginx manually</w:t>
      </w:r>
    </w:p>
    <w:p>
      <w:pPr>
        <w:pStyle w:val="Para 17"/>
      </w:pPr>
      <w:r>
        <w:t/>
      </w:r>
    </w:p>
    <w:p>
      <w:pPr>
        <w:pStyle w:val="Normal"/>
      </w:pPr>
      <w:r>
        <w:t>By default, Nginx will automatically start at boot time. To disable this behavior so that you can start it up manually, you can disable it:</w:t>
      </w:r>
    </w:p>
    <w:p>
      <w:pPr>
        <w:pStyle w:val="Normal"/>
      </w:pPr>
      <w:r>
        <w:t>$ sudo systemctl disable nginx</w:t>
      </w:r>
    </w:p>
    <w:p>
      <w:pPr>
        <w:pStyle w:val="Para 17"/>
      </w:pPr>
      <w:r>
        <w:t/>
      </w:r>
    </w:p>
    <w:p>
      <w:pPr>
        <w:pStyle w:val="Normal"/>
      </w:pPr>
      <w:r>
        <w:t>Then, to re-enable it, run:</w:t>
      </w:r>
    </w:p>
    <w:p>
      <w:pPr>
        <w:pStyle w:val="Normal"/>
      </w:pPr>
      <w:r>
        <w:t>$ sudo systemctl</w:t>
        <w:t xml:space="preserve"> </w:t>
        <w:t>enable</w:t>
        <w:t xml:space="preserve"> </w:t>
        <w:t>nginx</w:t>
      </w:r>
    </w:p>
    <w:p>
      <w:pPr>
        <w:pStyle w:val="Para 17"/>
      </w:pPr>
      <w:r>
        <w:t/>
      </w:r>
    </w:p>
    <w:p>
      <w:pPr>
        <w:pStyle w:val="Para 01"/>
      </w:pPr>
      <w:r>
        <w:t>The default nginx homepage</w:t>
      </w:r>
    </w:p>
    <w:p>
      <w:pPr>
        <w:pStyle w:val="Para 17"/>
      </w:pPr>
      <w:r>
        <w:t/>
      </w:r>
    </w:p>
    <w:p>
      <w:pPr>
        <w:pStyle w:val="Normal"/>
      </w:pPr>
      <w:r>
        <w:t>A default nginx home page is also set up during the installation process. You can load this page in your web browser using your web server’s IP address; http://your_server_ip.</w:t>
      </w:r>
    </w:p>
    <w:p>
      <w:pPr>
        <w:pStyle w:val="Normal"/>
      </w:pPr>
      <w:r>
        <w:t>The default home page should look similar to:</w:t>
      </w:r>
    </w:p>
    <w:p>
      <w:pPr>
        <w:pStyle w:val="Para 17"/>
      </w:pPr>
      <w:r>
        <w:t/>
      </w:r>
    </w:p>
    <w:p>
      <w:pPr>
        <w:pStyle w:val="Normal"/>
      </w:pPr>
      <w:r>
        <w:t>Welcome to nginx!</w:t>
      </w:r>
    </w:p>
    <w:p>
      <w:pPr>
        <w:pStyle w:val="Para 47"/>
      </w:pPr>
      <w:r>
        <w:t>Welcome to nginx!</w:t>
      </w:r>
    </w:p>
    <w:p>
      <w:pPr>
        <w:pStyle w:val="Normal"/>
      </w:pPr>
      <w:r>
        <w:t>If you see this page, the nginx web server is successfully installed and working. Further</w:t>
        <w:t xml:space="preserve"> </w:t>
        <w:t>configuration is</w:t>
      </w:r>
    </w:p>
    <w:p>
      <w:pPr>
        <w:pStyle w:val="Normal"/>
      </w:pPr>
      <w:r>
        <w:t>required.</w:t>
      </w:r>
    </w:p>
    <w:p>
      <w:pPr>
        <w:pStyle w:val="Normal"/>
      </w:pPr>
      <w:r>
        <w:t>For online documentation and support please refer to nginx.org.</w:t>
        <w:t xml:space="preserve"> </w:t>
        <w:t>Commercial support is available at nginx.com.</w:t>
      </w:r>
    </w:p>
    <w:p>
      <w:pPr>
        <w:pStyle w:val="Normal"/>
      </w:pPr>
      <w:r>
        <w:t>Thank you for using nginx.</w:t>
      </w:r>
    </w:p>
    <w:p>
      <w:bookmarkStart w:id="764" w:name="page_5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19" name="index-510_1.png" descr="index-510_1.png"/>
            <wp:cNvGraphicFramePr>
              <a:graphicFrameLocks noChangeAspect="1"/>
            </wp:cNvGraphicFramePr>
            <a:graphic>
              <a:graphicData uri="http://schemas.openxmlformats.org/drawingml/2006/picture">
                <pic:pic>
                  <pic:nvPicPr>
                    <pic:cNvPr id="0" name="index-510_1.png" descr="index-510_1.png"/>
                    <pic:cNvPicPr/>
                  </pic:nvPicPr>
                  <pic:blipFill>
                    <a:blip r:embed="rId523"/>
                    <a:stretch>
                      <a:fillRect/>
                    </a:stretch>
                  </pic:blipFill>
                  <pic:spPr>
                    <a:xfrm>
                      <a:off x="0" y="0"/>
                      <a:ext cx="914400" cy="266700"/>
                    </a:xfrm>
                    <a:prstGeom prst="rect">
                      <a:avLst/>
                    </a:prstGeom>
                  </pic:spPr>
                </pic:pic>
              </a:graphicData>
            </a:graphic>
          </wp:anchor>
        </w:drawing>
      </w:r>
      <w:bookmarkEnd w:id="764"/>
    </w:p>
    <w:p>
      <w:pPr>
        <w:pStyle w:val="Para 01"/>
      </w:pPr>
      <w:r>
        <w:t>Setting up nginx</w:t>
      </w:r>
    </w:p>
    <w:p>
      <w:pPr>
        <w:pStyle w:val="Para 17"/>
      </w:pPr>
      <w:r>
        <w:t/>
      </w:r>
    </w:p>
    <w:p>
      <w:pPr>
        <w:pStyle w:val="Normal"/>
      </w:pPr>
      <w:r>
        <w:t>For more information on customizing nginx for your needs, see these follow-up guides:</w:t>
      </w:r>
    </w:p>
    <w:p>
      <w:pPr>
        <w:pStyle w:val="Para 14"/>
      </w:pPr>
      <w:r>
        <w:rPr>
          <w:rStyle w:val="Text4"/>
        </w:rPr>
        <w:t xml:space="preserve">• Part 2: </w:t>
      </w:r>
      <w:hyperlink w:anchor="page_510">
        <w:r>
          <w:t>How to configure nginx</w:t>
        </w:r>
      </w:hyperlink>
      <w:r>
        <w:rPr>
          <w:rStyle w:val="Text4"/>
        </w:rPr>
        <w:t xml:space="preserve"> (page 509)</w:t>
      </w:r>
    </w:p>
    <w:p>
      <w:pPr>
        <w:pStyle w:val="Para 14"/>
      </w:pPr>
      <w:r>
        <w:rPr>
          <w:rStyle w:val="Text4"/>
        </w:rPr>
        <w:t xml:space="preserve">• Part 3: </w:t>
      </w:r>
      <w:hyperlink w:anchor="page_513">
        <w:r>
          <w:t>How to use nginx modules</w:t>
        </w:r>
      </w:hyperlink>
      <w:r>
        <w:rPr>
          <w:rStyle w:val="Text4"/>
        </w:rPr>
        <w:t xml:space="preserve"> (page 512)</w:t>
      </w:r>
    </w:p>
    <w:p>
      <w:pPr>
        <w:pStyle w:val="Para 17"/>
      </w:pPr>
      <w:r>
        <w:t/>
      </w:r>
    </w:p>
    <w:p>
      <w:pPr>
        <w:pStyle w:val="Para 01"/>
      </w:pPr>
      <w:r>
        <w:t>Further reading</w:t>
      </w:r>
    </w:p>
    <w:p>
      <w:pPr>
        <w:pStyle w:val="Para 17"/>
      </w:pPr>
      <w:r>
        <w:t/>
      </w:r>
    </w:p>
    <w:p>
      <w:pPr>
        <w:pStyle w:val="Para 04"/>
      </w:pPr>
      <w:r>
        <w:t xml:space="preserve">• The </w:t>
      </w:r>
      <w:hyperlink r:id="rId1422">
        <w:r>
          <w:rPr>
            <w:rStyle w:val="Text9"/>
          </w:rPr>
          <w:t>477</w:t>
        </w:r>
      </w:hyperlink>
      <w:hyperlink r:id="rId1422">
        <w:r>
          <w:rPr>
            <w:rStyle w:val="Text1"/>
          </w:rPr>
          <w:t xml:space="preserve"> nginx documentation</w:t>
        </w:r>
      </w:hyperlink>
      <w:r>
        <w:t xml:space="preserve"> provides detailed explanations of configuration direc-</w:t>
      </w:r>
    </w:p>
    <w:p>
      <w:pPr>
        <w:pStyle w:val="Para 02"/>
      </w:pPr>
      <w:r>
        <w:t>tives.</w:t>
      </w:r>
    </w:p>
    <w:p>
      <w:pPr>
        <w:pStyle w:val="Para 04"/>
      </w:pPr>
      <w:r>
        <w:t>• O’Reilly’s nginx cookbook provides guidance on solving specific needs</w:t>
      </w:r>
    </w:p>
    <w:p>
      <w:pPr>
        <w:pStyle w:val="Para 04"/>
      </w:pPr>
      <w:r>
        <w:t xml:space="preserve">• For Ubuntu-specific nginx questions, ask in the </w:t>
      </w:r>
      <w:hyperlink w:anchor="page_510">
        <w:r>
          <w:rPr>
            <w:rStyle w:val="Text9"/>
          </w:rPr>
          <w:t>478</w:t>
        </w:r>
      </w:hyperlink>
      <w:r>
        <w:t xml:space="preserve"> </w:t>
      </w:r>
      <w:hyperlink r:id="rId1034">
        <w:r>
          <w:rPr>
            <w:rStyle w:val="Text1"/>
          </w:rPr>
          <w:t>Ubuntu Server</w:t>
        </w:r>
      </w:hyperlink>
      <w:r>
        <w:t xml:space="preserve"> Matrix channel.</w:t>
      </w:r>
    </w:p>
    <w:p>
      <w:pPr>
        <w:pStyle w:val="Para 17"/>
      </w:pPr>
      <w:r>
        <w:t/>
      </w:r>
    </w:p>
    <w:p>
      <w:pPr>
        <w:pStyle w:val="Para 01"/>
      </w:pPr>
      <w:r>
        <w:t>How to configure nginx</w:t>
      </w:r>
    </w:p>
    <w:p>
      <w:pPr>
        <w:pStyle w:val="Para 17"/>
      </w:pPr>
      <w:r>
        <w:t/>
      </w:r>
    </w:p>
    <w:p>
      <w:pPr>
        <w:pStyle w:val="Normal"/>
      </w:pPr>
      <w:r>
        <w:t xml:space="preserve">Once you have </w:t>
      </w:r>
      <w:hyperlink w:anchor="page_508">
        <w:r>
          <w:rPr>
            <w:rStyle w:val="Text2"/>
          </w:rPr>
          <w:t>installed nginx</w:t>
        </w:r>
      </w:hyperlink>
      <w:r>
        <w:t xml:space="preserve"> (page 507), you can customize it for your use with the configu-ration options explained in this guide.</w:t>
      </w:r>
    </w:p>
    <w:p>
      <w:pPr>
        <w:pStyle w:val="Para 17"/>
      </w:pPr>
      <w:r>
        <w:t/>
      </w:r>
    </w:p>
    <w:p>
      <w:pPr>
        <w:pStyle w:val="Para 01"/>
      </w:pPr>
      <w:r>
        <w:t>Server blocks</w:t>
      </w:r>
    </w:p>
    <w:p>
      <w:pPr>
        <w:pStyle w:val="Para 17"/>
      </w:pPr>
      <w:r>
        <w:t/>
      </w:r>
    </w:p>
    <w:p>
      <w:pPr>
        <w:pStyle w:val="Normal"/>
      </w:pPr>
      <w:r>
        <w:t xml:space="preserve">nginx organizes sets of site-specific configuration details into </w:t>
      </w:r>
      <w:r>
        <w:rPr>
          <w:rStyle w:val="Text0"/>
        </w:rPr>
        <w:t>server blocks</w:t>
      </w:r>
      <w:r>
        <w:t>, and by default comes pre-configured for single-site operation. This can either be used “as-is”, or as a starting template for serving multiple sites.</w:t>
      </w:r>
    </w:p>
    <w:p>
      <w:pPr>
        <w:pStyle w:val="Normal"/>
      </w:pPr>
      <w:r>
        <w:t>The single-site configuration serves files out of /var/www/html, as defined by the server block and as provided by /etc/nginx/sites-enabled/default:</w:t>
      </w:r>
    </w:p>
    <w:p>
      <w:pPr>
        <w:pStyle w:val="Normal"/>
      </w:pPr>
      <w:r>
        <w:t>server {</w:t>
      </w:r>
    </w:p>
    <w:p>
      <w:pPr>
        <w:pStyle w:val="Para 06"/>
      </w:pPr>
      <w:r>
        <w:t>listen 80 default_server;</w:t>
      </w:r>
    </w:p>
    <w:p>
      <w:pPr>
        <w:pStyle w:val="Para 06"/>
      </w:pPr>
      <w:r>
        <w:t>listen [::]:80 default_server;</w:t>
      </w:r>
    </w:p>
    <w:p>
      <w:pPr>
        <w:pStyle w:val="Para 06"/>
      </w:pPr>
      <w:r>
        <w:t>root /var/www/html;</w:t>
      </w:r>
    </w:p>
    <w:p>
      <w:pPr>
        <w:pStyle w:val="Para 06"/>
      </w:pPr>
      <w:r>
        <w:t># Add index.php to the list if you are using PHP</w:t>
      </w:r>
    </w:p>
    <w:p>
      <w:pPr>
        <w:pStyle w:val="Para 06"/>
      </w:pPr>
      <w:r>
        <w:t>index index.html index.htm index.nginx-debian.html;</w:t>
      </w:r>
    </w:p>
    <w:p>
      <w:pPr>
        <w:pStyle w:val="Para 06"/>
      </w:pPr>
      <w:r>
        <w:t>server_name _;</w:t>
      </w:r>
    </w:p>
    <w:p>
      <w:pPr>
        <w:pStyle w:val="Para 06"/>
      </w:pPr>
      <w:r>
        <w:t>location / {</w:t>
      </w:r>
    </w:p>
    <w:p>
      <w:pPr>
        <w:pStyle w:val="Para 15"/>
      </w:pPr>
      <w:r>
        <w:t># First attempt to serve request as file, then</w:t>
      </w:r>
    </w:p>
    <w:p>
      <w:pPr>
        <w:pStyle w:val="Para 15"/>
      </w:pPr>
      <w:r>
        <w:t># as directory, then fall back to displaying a 404.</w:t>
      </w:r>
    </w:p>
    <w:p>
      <w:pPr>
        <w:pStyle w:val="Para 15"/>
      </w:pPr>
      <w:r>
        <w:t>try_files $uri $uri/ =404;</w:t>
      </w:r>
    </w:p>
    <w:p>
      <w:pPr>
        <w:pStyle w:val="Para 06"/>
      </w:pPr>
      <w:r>
        <w:t>}</w:t>
      </w:r>
    </w:p>
    <w:p>
      <w:pPr>
        <w:pStyle w:val="Normal"/>
      </w:pPr>
      <w:r>
        <w:t>}</w:t>
      </w:r>
    </w:p>
    <w:p>
      <w:pPr>
        <w:pStyle w:val="Para 05"/>
      </w:pPr>
      <w:r>
        <w:rPr>
          <w:rStyle w:val="Text5"/>
        </w:rPr>
        <w:t>477</w:t>
      </w:r>
      <w:r>
        <w:rPr>
          <w:rStyle w:val="Text8"/>
        </w:rPr>
        <w:t xml:space="preserve"> </w:t>
      </w:r>
      <w:r>
        <w:t>https://nginx.org/en/docs/</w:t>
      </w:r>
    </w:p>
    <w:p>
      <w:pPr>
        <w:pStyle w:val="Para 03"/>
      </w:pPr>
      <w:r>
        <w:rPr>
          <w:rStyle w:val="Text5"/>
        </w:rPr>
        <w:t>478</w:t>
      </w:r>
      <w:r>
        <w:t xml:space="preserve"> </w:t>
      </w:r>
      <w:r>
        <w:rPr>
          <w:rStyle w:val="Text6"/>
        </w:rPr>
        <w:t>https://matrix.to/#/#server:ubuntu.com</w:t>
      </w:r>
      <w:r>
        <w:t xml:space="preserve"> Even for a single-site configuration, while you can place your website at /var/www/html, you</w:t>
      </w:r>
    </w:p>
    <w:p>
      <w:bookmarkStart w:id="765" w:name="page_5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0" name="index-511_1.png" descr="index-511_1.png"/>
            <wp:cNvGraphicFramePr>
              <a:graphicFrameLocks noChangeAspect="1"/>
            </wp:cNvGraphicFramePr>
            <a:graphic>
              <a:graphicData uri="http://schemas.openxmlformats.org/drawingml/2006/picture">
                <pic:pic>
                  <pic:nvPicPr>
                    <pic:cNvPr id="0" name="index-511_1.png" descr="index-511_1.png"/>
                    <pic:cNvPicPr/>
                  </pic:nvPicPr>
                  <pic:blipFill>
                    <a:blip r:embed="rId524"/>
                    <a:stretch>
                      <a:fillRect/>
                    </a:stretch>
                  </pic:blipFill>
                  <pic:spPr>
                    <a:xfrm>
                      <a:off x="0" y="0"/>
                      <a:ext cx="914400" cy="266700"/>
                    </a:xfrm>
                    <a:prstGeom prst="rect">
                      <a:avLst/>
                    </a:prstGeom>
                  </pic:spPr>
                </pic:pic>
              </a:graphicData>
            </a:graphic>
          </wp:anchor>
        </w:drawing>
      </w:r>
      <w:bookmarkEnd w:id="765"/>
    </w:p>
    <w:p>
      <w:pPr>
        <w:pStyle w:val="Normal"/>
      </w:pPr>
      <w:r>
        <w:t xml:space="preserve">may want to place the website’s files at a different location in your </w:t>
      </w:r>
      <w:hyperlink w:anchor="page_682">
        <w:r>
          <w:rPr>
            <w:rStyle w:val="Text2"/>
          </w:rPr>
          <w:t>filesystem</w:t>
        </w:r>
      </w:hyperlink>
      <w:r>
        <w:t>. For example, if you were hosting www.my-site.org from /srv/my-site/html you might edit the above file to look like this:</w:t>
      </w:r>
    </w:p>
    <w:p>
      <w:pPr>
        <w:pStyle w:val="Normal"/>
      </w:pPr>
      <w:r>
        <w:t>server {</w:t>
      </w:r>
    </w:p>
    <w:p>
      <w:pPr>
        <w:pStyle w:val="Para 06"/>
      </w:pPr>
      <w:r>
        <w:t>listen</w:t>
        <w:t xml:space="preserve"> </w:t>
        <w:t>80;</w:t>
      </w:r>
    </w:p>
    <w:p>
      <w:pPr>
        <w:pStyle w:val="Para 06"/>
      </w:pPr>
      <w:r>
        <w:t>root</w:t>
        <w:t xml:space="preserve"> </w:t>
        <w:t>/srv/my-site/html;</w:t>
        <w:t xml:space="preserve"> </w:t>
        <w:t>index</w:t>
        <w:t xml:space="preserve"> </w:t>
        <w:t>index.html;</w:t>
        <w:t xml:space="preserve"> </w:t>
        <w:t>server_name</w:t>
        <w:t xml:space="preserve"> </w:t>
        <w:t>my-site.org www.my-site.org;</w:t>
      </w:r>
    </w:p>
    <w:p>
      <w:pPr>
        <w:pStyle w:val="Para 06"/>
      </w:pPr>
      <w:r>
        <w:t>location / {</w:t>
      </w:r>
    </w:p>
    <w:p>
      <w:pPr>
        <w:pStyle w:val="Para 15"/>
      </w:pPr>
      <w:r>
        <w:t>try_files $uri $uri/ =404;</w:t>
      </w:r>
    </w:p>
    <w:p>
      <w:pPr>
        <w:pStyle w:val="Para 06"/>
      </w:pPr>
      <w:r>
        <w:t>}</w:t>
      </w:r>
    </w:p>
    <w:p>
      <w:pPr>
        <w:pStyle w:val="Normal"/>
      </w:pPr>
      <w:r>
        <w:t>}</w:t>
      </w:r>
    </w:p>
    <w:p>
      <w:pPr>
        <w:pStyle w:val="Para 17"/>
      </w:pPr>
      <w:r>
        <w:t/>
      </w:r>
    </w:p>
    <w:p>
      <w:pPr>
        <w:pStyle w:val="Normal"/>
      </w:pPr>
      <w:r>
        <w:t>Make sure to create your web root directory structure:</w:t>
      </w:r>
    </w:p>
    <w:p>
      <w:pPr>
        <w:pStyle w:val="Normal"/>
      </w:pPr>
      <w:r>
        <w:t>$ sudo mkdir -p /srv/my-site/html</w:t>
      </w:r>
    </w:p>
    <w:p>
      <w:pPr>
        <w:pStyle w:val="Normal"/>
      </w:pPr>
      <w:r>
        <w:t>$ sudo chmod -R</w:t>
        <w:t xml:space="preserve"> </w:t>
        <w:t>755</w:t>
        <w:t xml:space="preserve"> </w:t>
        <w:t>/srv/my-site/html</w:t>
      </w:r>
    </w:p>
    <w:p>
      <w:pPr>
        <w:pStyle w:val="Normal"/>
      </w:pPr>
      <w:r>
        <w:t>$</w:t>
        <w:t xml:space="preserve"> </w:t>
        <w:t>echo</w:t>
        <w:t xml:space="preserve"> </w:t>
        <w:t>"&lt;html&gt;&lt;body&gt;&lt;h1&gt;My Site!&lt;/h1&gt;&lt;/body&gt;&lt;/html&gt;"</w:t>
        <w:t xml:space="preserve"> </w:t>
        <w:t>&gt; /srv/my-site/html/index.html</w:t>
      </w:r>
    </w:p>
    <w:p>
      <w:pPr>
        <w:pStyle w:val="Para 17"/>
      </w:pPr>
      <w:r>
        <w:t/>
      </w:r>
    </w:p>
    <w:p>
      <w:pPr>
        <w:pStyle w:val="Normal"/>
      </w:pPr>
      <w:r>
        <w:t>Then, to make nginx reload its configuration, run:</w:t>
      </w:r>
    </w:p>
    <w:p>
      <w:pPr>
        <w:pStyle w:val="Normal"/>
      </w:pPr>
      <w:r>
        <w:t>$ sudo systemctl reload nginx</w:t>
      </w:r>
    </w:p>
    <w:p>
      <w:pPr>
        <w:pStyle w:val="Para 17"/>
      </w:pPr>
      <w:r>
        <w:t/>
      </w:r>
    </w:p>
    <w:p>
      <w:pPr>
        <w:pStyle w:val="Normal"/>
      </w:pPr>
      <w:r>
        <w:t>Check that the settings have taken effect using your web browser:</w:t>
      </w:r>
    </w:p>
    <w:p>
      <w:pPr>
        <w:pStyle w:val="Normal"/>
      </w:pPr>
      <w:r>
        <w:t>$ www-browser www.my-site.org</w:t>
      </w:r>
    </w:p>
    <w:p>
      <w:pPr>
        <w:pStyle w:val="Para 17"/>
      </w:pPr>
      <w:r>
        <w:t/>
      </w:r>
    </w:p>
    <w:p>
      <w:pPr>
        <w:pStyle w:val="Para 01"/>
      </w:pPr>
      <w:r>
        <w:t>Multi-site hosting</w:t>
      </w:r>
    </w:p>
    <w:p>
      <w:pPr>
        <w:pStyle w:val="Para 17"/>
      </w:pPr>
      <w:r>
        <w:t/>
      </w:r>
    </w:p>
    <w:p>
      <w:pPr>
        <w:pStyle w:val="Normal"/>
      </w:pPr>
      <w:r>
        <w:t>Similar to Apache, nginx uses the sites-available and sites-enabled directories for the con-figurations of multiple websites. Unlike with Apache, you’ll need to handle the enablement manually.</w:t>
      </w:r>
    </w:p>
    <w:p>
      <w:pPr>
        <w:pStyle w:val="Normal"/>
      </w:pPr>
      <w:r>
        <w:t>To do that, first create a new server block in a configuration file as above, and save it to /etc/ nginx/sites-available/&lt;your-domain&gt;. Make sure to give each site a unique server_name and a different listen port number.</w:t>
      </w:r>
    </w:p>
    <w:p>
      <w:pPr>
        <w:pStyle w:val="Normal"/>
      </w:pPr>
      <w:r>
        <w:t>Next, enable the site by creating a symlink to it from the sites-enabled directory:</w:t>
      </w:r>
    </w:p>
    <w:p>
      <w:pPr>
        <w:pStyle w:val="Normal"/>
      </w:pPr>
      <w:r>
        <w:t>$ sudo ln -s /etc/nginx/sites-available/&lt;your-domain&gt; /etc/nginx/sites-enabled/</w:t>
      </w:r>
    </w:p>
    <w:p>
      <w:pPr>
        <w:pStyle w:val="Para 17"/>
      </w:pPr>
      <w:r>
        <w:t/>
      </w:r>
    </w:p>
    <w:p>
      <w:pPr>
        <w:pStyle w:val="Normal"/>
      </w:pPr>
      <w:r>
        <w:t>To disable a website, you can delete the symlink in sites-enabled. For example, once you have your new site(s) configured and no longer need the default site configuration:</w:t>
      </w:r>
    </w:p>
    <w:p>
      <w:pPr>
        <w:pStyle w:val="Normal"/>
      </w:pPr>
      <w:r>
        <w:t>$ sudo rm /etc/nginx/sites-enabled/default</w:t>
      </w:r>
    </w:p>
    <w:p>
      <w:bookmarkStart w:id="766" w:name="calibre_pb_127"/>
      <w:pPr>
        <w:pStyle w:val="0 Block"/>
      </w:pPr>
      <w:bookmarkEnd w:id="766"/>
    </w:p>
    <w:p>
      <w:bookmarkStart w:id="767" w:name="page_512"/>
      <w:bookmarkStart w:id="768" w:name="Top_of_index_split_12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1" name="index-512_1.png" descr="index-512_1.png"/>
            <wp:cNvGraphicFramePr>
              <a:graphicFrameLocks noChangeAspect="1"/>
            </wp:cNvGraphicFramePr>
            <a:graphic>
              <a:graphicData uri="http://schemas.openxmlformats.org/drawingml/2006/picture">
                <pic:pic>
                  <pic:nvPicPr>
                    <pic:cNvPr id="0" name="index-512_1.png" descr="index-512_1.png"/>
                    <pic:cNvPicPr/>
                  </pic:nvPicPr>
                  <pic:blipFill>
                    <a:blip r:embed="rId525"/>
                    <a:stretch>
                      <a:fillRect/>
                    </a:stretch>
                  </pic:blipFill>
                  <pic:spPr>
                    <a:xfrm>
                      <a:off x="0" y="0"/>
                      <a:ext cx="914400" cy="266700"/>
                    </a:xfrm>
                    <a:prstGeom prst="rect">
                      <a:avLst/>
                    </a:prstGeom>
                  </pic:spPr>
                </pic:pic>
              </a:graphicData>
            </a:graphic>
          </wp:anchor>
        </w:drawing>
      </w:r>
      <w:bookmarkEnd w:id="767"/>
      <w:bookmarkEnd w:id="768"/>
    </w:p>
    <w:p>
      <w:pPr>
        <w:pStyle w:val="Para 01"/>
      </w:pPr>
      <w:r>
        <w:t>SSL and HTTPS</w:t>
      </w:r>
    </w:p>
    <w:p>
      <w:pPr>
        <w:pStyle w:val="Para 17"/>
      </w:pPr>
      <w:r>
        <w:t/>
      </w:r>
    </w:p>
    <w:p>
      <w:pPr>
        <w:pStyle w:val="Normal"/>
      </w:pPr>
      <w:r>
        <w:t>While establishing an HTTP website on port 80 is a good starting point (and perhaps adequate for static content), production systems will want HTTPS, such as serving on port 443 with SSL enabled via cert files. A server block with such a configuration might look like this, with HTTP-to-HTTPS redirection handled in the first block, and HTTPS in the second block:</w:t>
      </w:r>
    </w:p>
    <w:p>
      <w:pPr>
        <w:pStyle w:val="Normal"/>
      </w:pPr>
      <w:r>
        <w:t>server {</w:t>
      </w:r>
    </w:p>
    <w:p>
      <w:pPr>
        <w:pStyle w:val="Para 06"/>
      </w:pPr>
      <w:r>
        <w:t>listen</w:t>
        <w:t xml:space="preserve"> </w:t>
        <w:t>80;</w:t>
      </w:r>
    </w:p>
    <w:p>
      <w:pPr>
        <w:pStyle w:val="Para 06"/>
      </w:pPr>
      <w:r>
        <w:t>server_name</w:t>
        <w:t xml:space="preserve"> </w:t>
        <w:t>our-site.org www.our-site.org;</w:t>
        <w:t xml:space="preserve"> </w:t>
        <w:t>return</w:t>
        <w:t xml:space="preserve"> </w:t>
        <w:t>301 https://$host$request_uri;</w:t>
      </w:r>
    </w:p>
    <w:p>
      <w:pPr>
        <w:pStyle w:val="Normal"/>
      </w:pPr>
      <w:r>
        <w:t>}</w:t>
      </w:r>
    </w:p>
    <w:p>
      <w:pPr>
        <w:pStyle w:val="Normal"/>
      </w:pPr>
      <w:r>
        <w:t>server {</w:t>
      </w:r>
    </w:p>
    <w:p>
      <w:pPr>
        <w:pStyle w:val="Para 06"/>
      </w:pPr>
      <w:r>
        <w:t>listen</w:t>
        <w:t xml:space="preserve"> </w:t>
        <w:t>443 ssl;</w:t>
      </w:r>
    </w:p>
    <w:p>
      <w:pPr>
        <w:pStyle w:val="Para 06"/>
      </w:pPr>
      <w:r>
        <w:t>root</w:t>
        <w:t xml:space="preserve"> </w:t>
        <w:t>/srv/our-site/html;</w:t>
        <w:t xml:space="preserve"> </w:t>
        <w:t>index</w:t>
        <w:t xml:space="preserve"> </w:t>
        <w:t>index.html;</w:t>
      </w:r>
    </w:p>
    <w:p>
      <w:pPr>
        <w:pStyle w:val="Para 06"/>
      </w:pPr>
      <w:r>
        <w:t>server_name</w:t>
        <w:t xml:space="preserve"> </w:t>
        <w:t>our-site.org www.our-site.org;</w:t>
      </w:r>
    </w:p>
    <w:p>
      <w:pPr>
        <w:pStyle w:val="Para 06"/>
      </w:pPr>
      <w:r>
        <w:t>ssl_certificate</w:t>
        <w:t xml:space="preserve"> </w:t>
        <w:t>our-site.org.crt;</w:t>
        <w:t xml:space="preserve"> </w:t>
        <w:t>ssl_certificate_key</w:t>
        <w:t xml:space="preserve"> </w:t>
        <w:t>our-site.org.key;</w:t>
        <w:t xml:space="preserve"> </w:t>
        <w:t>ssl_protocols</w:t>
        <w:t xml:space="preserve"> </w:t>
        <w:t>TLSv1 TLSv1.1 TLSv1.2 TLSv1.3;</w:t>
        <w:t xml:space="preserve"> </w:t>
        <w:t>ssl_ciphers</w:t>
        <w:t xml:space="preserve"> </w:t>
        <w:t>HIGH:!aNULL:!MD5;</w:t>
        <w:t xml:space="preserve"> </w:t>
        <w:t>ssl_session_timeout</w:t>
        <w:t xml:space="preserve"> </w:t>
        <w:t>15m;</w:t>
      </w:r>
    </w:p>
    <w:p>
      <w:pPr>
        <w:pStyle w:val="Para 06"/>
      </w:pPr>
      <w:r>
        <w:t>location / {</w:t>
      </w:r>
    </w:p>
    <w:p>
      <w:pPr>
        <w:pStyle w:val="Para 15"/>
      </w:pPr>
      <w:r>
        <w:t>try_files $uri $uri/ =404;</w:t>
      </w:r>
    </w:p>
    <w:p>
      <w:pPr>
        <w:pStyle w:val="Para 06"/>
      </w:pPr>
      <w:r>
        <w:t>}</w:t>
      </w:r>
    </w:p>
    <w:p>
      <w:pPr>
        <w:pStyle w:val="Normal"/>
      </w:pPr>
      <w:r>
        <w:t>}</w:t>
      </w:r>
    </w:p>
    <w:p>
      <w:pPr>
        <w:pStyle w:val="Para 17"/>
      </w:pPr>
      <w:r>
        <w:t/>
      </w:r>
    </w:p>
    <w:p>
      <w:pPr>
        <w:pStyle w:val="Normal"/>
      </w:pPr>
      <w:r>
        <w:t>Thanks to the return 301 line in the above configuration, anyone visiting the site on port 80 via an HTTP URL will get automatically redirected to the equivalent secure HTTPS URL.</w:t>
      </w:r>
    </w:p>
    <w:p>
      <w:pPr>
        <w:pStyle w:val="Normal"/>
      </w:pPr>
      <w:r>
        <w:t xml:space="preserve">Refer to the </w:t>
      </w:r>
      <w:hyperlink w:anchor="page_791">
        <w:r>
          <w:rPr>
            <w:rStyle w:val="Text2"/>
          </w:rPr>
          <w:t>security - certificates</w:t>
        </w:r>
      </w:hyperlink>
      <w:r>
        <w:t xml:space="preserve"> (page 790) page in this manual for details on how to create</w:t>
      </w:r>
    </w:p>
    <w:p>
      <w:pPr>
        <w:pStyle w:val="Normal"/>
      </w:pPr>
      <w:r>
        <w:t xml:space="preserve">and manage certificates, and the </w:t>
      </w:r>
      <w:hyperlink w:anchor="page_756">
        <w:r>
          <w:rPr>
            <w:rStyle w:val="Text2"/>
          </w:rPr>
          <w:t>OpenSSL</w:t>
        </w:r>
      </w:hyperlink>
      <w:r>
        <w:t xml:space="preserve"> (page 755) page for additional details on configur-</w:t>
      </w:r>
    </w:p>
    <w:p>
      <w:pPr>
        <w:pStyle w:val="Normal"/>
      </w:pPr>
      <w:r>
        <w:t xml:space="preserve">ing and using that service. The </w:t>
      </w:r>
      <w:hyperlink w:anchor="page_763">
        <w:r>
          <w:rPr>
            <w:rStyle w:val="Text2"/>
          </w:rPr>
          <w:t>GnuTLS</w:t>
        </w:r>
      </w:hyperlink>
      <w:r>
        <w:t xml:space="preserve"> (page 762) section explains how to configure different SSL protocol versions and their associated ciphers.</w:t>
      </w:r>
    </w:p>
    <w:p>
      <w:pPr>
        <w:pStyle w:val="Normal"/>
      </w:pPr>
      <w:r>
        <w:t>For example, to generate a self-signed certificate, you might run a set of commands similar to these:</w:t>
      </w:r>
    </w:p>
    <w:p>
      <w:pPr>
        <w:pStyle w:val="Normal"/>
      </w:pPr>
      <w:r>
        <w:t>$ sudo openssl genrsa -out our-site.org.key</w:t>
        <w:t xml:space="preserve"> </w:t>
        <w:t>2048</w:t>
      </w:r>
    </w:p>
    <w:p>
      <w:pPr>
        <w:pStyle w:val="Normal"/>
      </w:pPr>
      <w:r>
        <w:t>$ openssl req -nodes -new -key our-site.org.key -out ca.csr</w:t>
      </w:r>
    </w:p>
    <w:p>
      <w:pPr>
        <w:pStyle w:val="Normal"/>
      </w:pPr>
      <w:r>
        <w:t>$ openssl x509 -req -days</w:t>
        <w:t xml:space="preserve"> </w:t>
        <w:t>365</w:t>
        <w:t>-in our-site.org.csr -signkey our-site.org.key -out our-</w:t>
        <w:t>site.org.crt</w:t>
      </w:r>
    </w:p>
    <w:p>
      <w:pPr>
        <w:pStyle w:val="Normal"/>
      </w:pPr>
      <w:r>
        <w:t>$ mkdir /etc/apache2/ssl</w:t>
      </w:r>
    </w:p>
    <w:p>
      <w:pPr>
        <w:pStyle w:val="Normal"/>
      </w:pPr>
      <w:r>
        <w:t>$ cp our-site.org.crt our-site.org.key our-site.org.csr /etc/apache2/ssl/</w:t>
      </w:r>
    </w:p>
    <w:p>
      <w:bookmarkStart w:id="769" w:name="page_5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2" name="index-513_1.png" descr="index-513_1.png"/>
            <wp:cNvGraphicFramePr>
              <a:graphicFrameLocks noChangeAspect="1"/>
            </wp:cNvGraphicFramePr>
            <a:graphic>
              <a:graphicData uri="http://schemas.openxmlformats.org/drawingml/2006/picture">
                <pic:pic>
                  <pic:nvPicPr>
                    <pic:cNvPr id="0" name="index-513_1.png" descr="index-513_1.png"/>
                    <pic:cNvPicPr/>
                  </pic:nvPicPr>
                  <pic:blipFill>
                    <a:blip r:embed="rId526"/>
                    <a:stretch>
                      <a:fillRect/>
                    </a:stretch>
                  </pic:blipFill>
                  <pic:spPr>
                    <a:xfrm>
                      <a:off x="0" y="0"/>
                      <a:ext cx="914400" cy="266700"/>
                    </a:xfrm>
                    <a:prstGeom prst="rect">
                      <a:avLst/>
                    </a:prstGeom>
                  </pic:spPr>
                </pic:pic>
              </a:graphicData>
            </a:graphic>
          </wp:anchor>
        </w:drawing>
      </w:r>
      <w:bookmarkEnd w:id="769"/>
    </w:p>
    <w:p>
      <w:pPr>
        <w:pStyle w:val="Para 01"/>
      </w:pPr>
      <w:r>
        <w:t>Setting up nginx</w:t>
      </w:r>
    </w:p>
    <w:p>
      <w:pPr>
        <w:pStyle w:val="Para 17"/>
      </w:pPr>
      <w:r>
        <w:t/>
      </w:r>
    </w:p>
    <w:p>
      <w:pPr>
        <w:pStyle w:val="Normal"/>
      </w:pPr>
      <w:r>
        <w:t>Beyond the settings outlined above, nginx can be further customized through the use of modules. Please see the next guide in this series for details of how to do that.</w:t>
      </w:r>
    </w:p>
    <w:p>
      <w:pPr>
        <w:pStyle w:val="Para 14"/>
      </w:pPr>
      <w:r>
        <w:rPr>
          <w:rStyle w:val="Text4"/>
        </w:rPr>
        <w:t xml:space="preserve">• Part 3: </w:t>
      </w:r>
      <w:hyperlink w:anchor="page_513">
        <w:r>
          <w:t>How to use nginx modules</w:t>
        </w:r>
      </w:hyperlink>
      <w:r>
        <w:rPr>
          <w:rStyle w:val="Text4"/>
        </w:rPr>
        <w:t xml:space="preserve"> (page 512)</w:t>
      </w:r>
    </w:p>
    <w:p>
      <w:pPr>
        <w:pStyle w:val="Para 17"/>
      </w:pPr>
      <w:r>
        <w:t/>
      </w:r>
    </w:p>
    <w:p>
      <w:pPr>
        <w:pStyle w:val="Para 01"/>
      </w:pPr>
      <w:r>
        <w:t>Further reading</w:t>
      </w:r>
    </w:p>
    <w:p>
      <w:pPr>
        <w:pStyle w:val="Para 17"/>
      </w:pPr>
      <w:r>
        <w:t/>
      </w:r>
    </w:p>
    <w:p>
      <w:pPr>
        <w:pStyle w:val="Para 04"/>
      </w:pPr>
      <w:r>
        <w:t xml:space="preserve">• </w:t>
      </w:r>
      <w:hyperlink w:anchor="page_513">
        <w:r>
          <w:rPr>
            <w:rStyle w:val="Text9"/>
          </w:rPr>
          <w:t>479</w:t>
        </w:r>
      </w:hyperlink>
      <w:r>
        <w:t xml:space="preserve"> </w:t>
      </w:r>
      <w:hyperlink r:id="rId1423">
        <w:r>
          <w:rPr>
            <w:rStyle w:val="Text1"/>
          </w:rPr>
          <w:t>nginx’s beginner’s guide</w:t>
        </w:r>
      </w:hyperlink>
      <w:r>
        <w:t xml:space="preserve"> covers use cases such as proxy servers, </w:t>
      </w:r>
      <w:hyperlink w:anchor="page_682">
        <w:r>
          <w:rPr>
            <w:rStyle w:val="Text2"/>
          </w:rPr>
          <w:t>FastCGI</w:t>
        </w:r>
      </w:hyperlink>
      <w:r>
        <w:t xml:space="preserve"> for use with</w:t>
      </w:r>
    </w:p>
    <w:p>
      <w:pPr>
        <w:pStyle w:val="Para 02"/>
      </w:pPr>
      <w:r>
        <w:t>PHP and other frameworks, and optimising the handling of static content.</w:t>
      </w:r>
    </w:p>
    <w:p>
      <w:pPr>
        <w:pStyle w:val="Para 04"/>
      </w:pPr>
      <w:r>
        <w:t xml:space="preserve">• The </w:t>
      </w:r>
      <w:hyperlink r:id="rId1424">
        <w:r>
          <w:rPr>
            <w:rStyle w:val="Text9"/>
          </w:rPr>
          <w:t>480</w:t>
        </w:r>
      </w:hyperlink>
      <w:hyperlink r:id="rId1424">
        <w:r>
          <w:rPr>
            <w:rStyle w:val="Text1"/>
          </w:rPr>
          <w:t xml:space="preserve"> nginx documentation</w:t>
        </w:r>
      </w:hyperlink>
      <w:r>
        <w:t xml:space="preserve"> describes HTTPS server configuration in greater detail, in-</w:t>
      </w:r>
    </w:p>
    <w:p>
      <w:pPr>
        <w:pStyle w:val="Para 02"/>
      </w:pPr>
      <w:r>
        <w:t>cluding certificate chains, disambiguating various multi-site certificate situations, per-formance optimisations and compatibility issues.</w:t>
      </w:r>
    </w:p>
    <w:p>
      <w:pPr>
        <w:pStyle w:val="Para 04"/>
      </w:pPr>
      <w:r>
        <w:t xml:space="preserve">• For Ubuntu-specific nginx questions, ask in the </w:t>
      </w:r>
      <w:hyperlink w:anchor="page_513">
        <w:r>
          <w:rPr>
            <w:rStyle w:val="Text9"/>
          </w:rPr>
          <w:t>481</w:t>
        </w:r>
      </w:hyperlink>
      <w:r>
        <w:t xml:space="preserve"> </w:t>
      </w:r>
      <w:hyperlink r:id="rId1034">
        <w:r>
          <w:rPr>
            <w:rStyle w:val="Text1"/>
          </w:rPr>
          <w:t>Ubuntu Server</w:t>
        </w:r>
      </w:hyperlink>
      <w:r>
        <w:t xml:space="preserve"> Matrix channel.</w:t>
      </w:r>
    </w:p>
    <w:p>
      <w:pPr>
        <w:pStyle w:val="Para 17"/>
      </w:pPr>
      <w:r>
        <w:t/>
      </w:r>
    </w:p>
    <w:p>
      <w:pPr>
        <w:pStyle w:val="Para 01"/>
      </w:pPr>
      <w:r>
        <w:t>How to use nginx modules</w:t>
      </w:r>
    </w:p>
    <w:p>
      <w:pPr>
        <w:pStyle w:val="Para 17"/>
      </w:pPr>
      <w:r>
        <w:t/>
      </w:r>
    </w:p>
    <w:p>
      <w:pPr>
        <w:pStyle w:val="Normal"/>
      </w:pPr>
      <w:r>
        <w:t>Like other web servers, nginx supports dynamically loaded modules to provide in-server sup-port for programming languages, security mechanisms, and so on. Ubuntu provides a number of these modules as separate packages that are either installed simultaneously with nginx, or can be installed separately.</w:t>
      </w:r>
    </w:p>
    <w:p>
      <w:pPr>
        <w:pStyle w:val="Para 17"/>
      </w:pPr>
      <w:r>
        <w:t/>
      </w:r>
    </w:p>
    <w:p>
      <w:pPr>
        <w:pStyle w:val="Para 01"/>
      </w:pPr>
      <w:r>
        <w:t>Available modules</w:t>
      </w:r>
    </w:p>
    <w:p>
      <w:pPr>
        <w:pStyle w:val="Para 17"/>
      </w:pPr>
      <w:r>
        <w:t/>
      </w:r>
    </w:p>
    <w:p>
      <w:pPr>
        <w:pStyle w:val="Normal"/>
      </w:pPr>
      <w:r>
        <w:t>nginx will report the modules it has been built with via its-V option. A quick and dirty way to list the available modules is thus:</w:t>
      </w:r>
    </w:p>
    <w:p>
      <w:pPr>
        <w:pStyle w:val="Normal"/>
      </w:pPr>
      <w:r>
        <w:t>$ nginx -V</w:t>
        <w:t xml:space="preserve"> </w:t>
        <w:t>2</w:t>
        <w:t>&gt;&amp;</w:t>
        <w:t>1</w:t>
        <w:t xml:space="preserve"> </w:t>
        <w:t>| tr -- -</w:t>
        <w:t>'\n'</w:t>
        <w:t xml:space="preserve"> </w:t>
        <w:t>| grep _module</w:t>
      </w:r>
    </w:p>
    <w:p>
      <w:pPr>
        <w:pStyle w:val="Normal"/>
      </w:pPr>
      <w:r>
        <w:t>http_ssl_module</w:t>
      </w:r>
    </w:p>
    <w:p>
      <w:pPr>
        <w:pStyle w:val="Normal"/>
      </w:pPr>
      <w:r>
        <w:t>http_stub_status_module</w:t>
      </w:r>
    </w:p>
    <w:p>
      <w:pPr>
        <w:pStyle w:val="Normal"/>
      </w:pPr>
      <w:r>
        <w:t>http_realip_module</w:t>
      </w:r>
    </w:p>
    <w:p>
      <w:pPr>
        <w:pStyle w:val="Normal"/>
      </w:pPr>
      <w:r>
        <w:t>...</w:t>
      </w:r>
    </w:p>
    <w:p>
      <w:pPr>
        <w:pStyle w:val="Normal"/>
      </w:pPr>
      <w:r>
        <w:t>http_image_filter_module</w:t>
        <w:t>=</w:t>
        <w:t>dynamic</w:t>
      </w:r>
    </w:p>
    <w:p>
      <w:pPr>
        <w:pStyle w:val="Normal"/>
      </w:pPr>
      <w:r>
        <w:t>http_perl_module</w:t>
        <w:t>=</w:t>
        <w:t>dynamic</w:t>
      </w:r>
    </w:p>
    <w:p>
      <w:pPr>
        <w:pStyle w:val="Normal"/>
      </w:pPr>
      <w:r>
        <w:t>http_xslt_module</w:t>
        <w:t>=</w:t>
        <w:t>dynamic</w:t>
      </w:r>
    </w:p>
    <w:p>
      <w:pPr>
        <w:pStyle w:val="Normal"/>
      </w:pPr>
      <w:r>
        <w:t>stream_geoip_module</w:t>
        <w:t>=</w:t>
        <w:t>dynamic</w:t>
      </w:r>
    </w:p>
    <w:p>
      <w:pPr>
        <w:pStyle w:val="Para 05"/>
      </w:pPr>
      <w:r>
        <w:rPr>
          <w:rStyle w:val="Text5"/>
        </w:rPr>
        <w:t>479</w:t>
      </w:r>
      <w:r>
        <w:rPr>
          <w:rStyle w:val="Text8"/>
        </w:rPr>
        <w:t xml:space="preserve"> </w:t>
      </w:r>
      <w:r>
        <w:t>https://nginx.org/en/docs/beginners_guide.html</w:t>
      </w:r>
    </w:p>
    <w:p>
      <w:pPr>
        <w:pStyle w:val="Para 05"/>
      </w:pPr>
      <w:r>
        <w:rPr>
          <w:rStyle w:val="Text5"/>
        </w:rPr>
        <w:t>480</w:t>
      </w:r>
      <w:r>
        <w:rPr>
          <w:rStyle w:val="Text8"/>
        </w:rPr>
        <w:t xml:space="preserve"> </w:t>
      </w:r>
      <w:r>
        <w:t>https://nginx.org/en/docs/http/configuring_https_servers.html</w:t>
      </w:r>
    </w:p>
    <w:p>
      <w:pPr>
        <w:pStyle w:val="Para 03"/>
      </w:pPr>
      <w:r>
        <w:rPr>
          <w:rStyle w:val="Text5"/>
        </w:rPr>
        <w:t>481</w:t>
      </w:r>
      <w:r>
        <w:t xml:space="preserve"> </w:t>
      </w:r>
      <w:r>
        <w:rPr>
          <w:rStyle w:val="Text6"/>
        </w:rPr>
        <w:t>https://matrix.to/#/#server:ubuntu.com</w:t>
      </w:r>
      <w:r>
        <w:t xml:space="preserve"> Many of these modules are built-in and thus are always available with nginx, but some exist as separate packages whose installation status can be checked via apt. For example:</w:t>
      </w:r>
    </w:p>
    <w:p>
      <w:bookmarkStart w:id="770" w:name="page_5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3" name="index-514_1.png" descr="index-514_1.png"/>
            <wp:cNvGraphicFramePr>
              <a:graphicFrameLocks noChangeAspect="1"/>
            </wp:cNvGraphicFramePr>
            <a:graphic>
              <a:graphicData uri="http://schemas.openxmlformats.org/drawingml/2006/picture">
                <pic:pic>
                  <pic:nvPicPr>
                    <pic:cNvPr id="0" name="index-514_1.png" descr="index-514_1.png"/>
                    <pic:cNvPicPr/>
                  </pic:nvPicPr>
                  <pic:blipFill>
                    <a:blip r:embed="rId527"/>
                    <a:stretch>
                      <a:fillRect/>
                    </a:stretch>
                  </pic:blipFill>
                  <pic:spPr>
                    <a:xfrm>
                      <a:off x="0" y="0"/>
                      <a:ext cx="914400" cy="266700"/>
                    </a:xfrm>
                    <a:prstGeom prst="rect">
                      <a:avLst/>
                    </a:prstGeom>
                  </pic:spPr>
                </pic:pic>
              </a:graphicData>
            </a:graphic>
          </wp:anchor>
        </w:drawing>
      </w:r>
      <w:bookmarkEnd w:id="770"/>
    </w:p>
    <w:p>
      <w:pPr>
        <w:pStyle w:val="Normal"/>
      </w:pPr>
      <w:r>
        <w:t>$ apt policy libnginx-mod-http-image-filter</w:t>
      </w:r>
    </w:p>
    <w:p>
      <w:pPr>
        <w:pStyle w:val="Normal"/>
      </w:pPr>
      <w:r>
        <w:t>libnginx-mod-http-image-filter:</w:t>
      </w:r>
    </w:p>
    <w:p>
      <w:pPr>
        <w:pStyle w:val="Para 03"/>
      </w:pPr>
      <w:r>
        <w:t>Installed:</w:t>
        <w:t xml:space="preserve"> </w:t>
        <w:t>(</w:t>
        <w:t>none</w:t>
        <w:t>)</w:t>
      </w:r>
    </w:p>
    <w:p>
      <w:pPr>
        <w:pStyle w:val="Para 03"/>
      </w:pPr>
      <w:r>
        <w:t>Candidate:</w:t>
        <w:t xml:space="preserve"> </w:t>
        <w:t>1</w:t>
        <w:t>.24.0-1ubuntu1</w:t>
      </w:r>
    </w:p>
    <w:p>
      <w:pPr>
        <w:pStyle w:val="Para 03"/>
      </w:pPr>
      <w:r>
        <w:t>Version table:</w:t>
      </w:r>
    </w:p>
    <w:p>
      <w:pPr>
        <w:pStyle w:val="Para 02"/>
      </w:pPr>
      <w:r>
        <w:t>1</w:t>
        <w:t>.24.0-1ubuntu1</w:t>
        <w:t xml:space="preserve"> </w:t>
        <w:t>500</w:t>
      </w:r>
    </w:p>
    <w:p>
      <w:pPr>
        <w:pStyle w:val="Para 06"/>
      </w:pPr>
      <w:r>
        <w:t>500</w:t>
        <w:t xml:space="preserve"> </w:t>
        <w:t>http://archive.ubuntu.com/ubuntu mantic/main amd64 Packages</w:t>
      </w:r>
    </w:p>
    <w:p>
      <w:pPr>
        <w:pStyle w:val="Para 17"/>
      </w:pPr>
      <w:r>
        <w:t/>
      </w:r>
    </w:p>
    <w:p>
      <w:pPr>
        <w:pStyle w:val="Normal"/>
      </w:pPr>
      <w:r>
        <w:t>apt can also be used to install the desired dynamic module:</w:t>
      </w:r>
    </w:p>
    <w:p>
      <w:pPr>
        <w:pStyle w:val="Normal"/>
      </w:pPr>
      <w:r>
        <w:t>$ sudo apt install libnginx-mod-http-image-filter</w:t>
      </w:r>
    </w:p>
    <w:p>
      <w:pPr>
        <w:pStyle w:val="Normal"/>
      </w:pPr>
      <w:r>
        <w:t>...</w:t>
      </w:r>
    </w:p>
    <w:p>
      <w:pPr>
        <w:pStyle w:val="Normal"/>
      </w:pPr>
      <w:r>
        <w:t>The following NEW packages will be installed:</w:t>
      </w:r>
    </w:p>
    <w:p>
      <w:pPr>
        <w:pStyle w:val="Para 03"/>
      </w:pPr>
      <w:r>
        <w:t>libnginx-mod-http-image-filter</w:t>
      </w:r>
    </w:p>
    <w:p>
      <w:pPr>
        <w:pStyle w:val="Normal"/>
      </w:pPr>
      <w:r>
        <w:t>0</w:t>
        <w:t xml:space="preserve"> </w:t>
        <w:t>upgraded,</w:t>
        <w:t xml:space="preserve"> </w:t>
        <w:t>1</w:t>
        <w:t xml:space="preserve"> </w:t>
        <w:t>newly installed,</w:t>
        <w:t xml:space="preserve"> </w:t>
        <w:t>0</w:t>
        <w:t xml:space="preserve"> </w:t>
        <w:t>to remove and</w:t>
        <w:t xml:space="preserve"> </w:t>
        <w:t>34</w:t>
        <w:t xml:space="preserve"> </w:t>
        <w:t>not upgraded.</w:t>
      </w:r>
    </w:p>
    <w:p>
      <w:pPr>
        <w:pStyle w:val="Normal"/>
      </w:pPr>
      <w:r>
        <w:t>...</w:t>
      </w:r>
    </w:p>
    <w:p>
      <w:pPr>
        <w:pStyle w:val="Normal"/>
      </w:pPr>
      <w:r>
        <w:t>Triggering nginx reload</w:t>
      </w:r>
    </w:p>
    <w:p>
      <w:pPr>
        <w:pStyle w:val="Normal"/>
      </w:pPr>
      <w:r>
        <w:t>...</w:t>
      </w:r>
    </w:p>
    <w:p>
      <w:pPr>
        <w:pStyle w:val="Para 17"/>
      </w:pPr>
      <w:r>
        <w:t/>
      </w:r>
    </w:p>
    <w:p>
      <w:pPr>
        <w:pStyle w:val="Para 01"/>
      </w:pPr>
      <w:r>
        <w:t>Enabling and disabling dynamic modules</w:t>
      </w:r>
    </w:p>
    <w:p>
      <w:pPr>
        <w:pStyle w:val="Para 17"/>
      </w:pPr>
      <w:r>
        <w:t/>
      </w:r>
    </w:p>
    <w:p>
      <w:pPr>
        <w:pStyle w:val="Normal"/>
      </w:pPr>
      <w:r>
        <w:t>Dynamic modules are automatically enabled and get reloaded by nginx on installation. If you need to manually disable an installed module, remove its file from the /etc/nginx/modules-enabled directory, for example:</w:t>
      </w:r>
    </w:p>
    <w:p>
      <w:pPr>
        <w:pStyle w:val="Normal"/>
      </w:pPr>
      <w:r>
        <w:t>$ ls /etc/nginx/modules-*</w:t>
      </w:r>
    </w:p>
    <w:p>
      <w:pPr>
        <w:pStyle w:val="Normal"/>
      </w:pPr>
      <w:r>
        <w:t>/etc/nginx/modules-available:</w:t>
      </w:r>
    </w:p>
    <w:p>
      <w:pPr>
        <w:pStyle w:val="Para 17"/>
      </w:pPr>
      <w:r>
        <w:t/>
      </w:r>
    </w:p>
    <w:p>
      <w:pPr>
        <w:pStyle w:val="Normal"/>
      </w:pPr>
      <w:r>
        <w:t>/etc/nginx/modules-enabled:</w:t>
      </w:r>
    </w:p>
    <w:p>
      <w:pPr>
        <w:pStyle w:val="Normal"/>
      </w:pPr>
      <w:r>
        <w:t>50</w:t>
        <w:t>-mod-http-image-filter.conf</w:t>
      </w:r>
    </w:p>
    <w:p>
      <w:pPr>
        <w:pStyle w:val="Normal"/>
      </w:pPr>
      <w:r>
        <w:t>$ sudo mv /etc/nginx/modules-enabled/50-mod-http-image-filter.conf /etc/nginx/modules-</w:t>
        <w:t>available/</w:t>
      </w:r>
    </w:p>
    <w:p>
      <w:pPr>
        <w:pStyle w:val="Normal"/>
      </w:pPr>
      <w:r>
        <w:t>$ service nginx restart</w:t>
        <w:t xml:space="preserve"> Note that built-in modules cannot be disabled/enabled.</w:t>
      </w:r>
    </w:p>
    <w:p>
      <w:bookmarkStart w:id="771" w:name="page_5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4" name="index-515_1.png" descr="index-515_1.png"/>
            <wp:cNvGraphicFramePr>
              <a:graphicFrameLocks noChangeAspect="1"/>
            </wp:cNvGraphicFramePr>
            <a:graphic>
              <a:graphicData uri="http://schemas.openxmlformats.org/drawingml/2006/picture">
                <pic:pic>
                  <pic:nvPicPr>
                    <pic:cNvPr id="0" name="index-515_1.png" descr="index-515_1.png"/>
                    <pic:cNvPicPr/>
                  </pic:nvPicPr>
                  <pic:blipFill>
                    <a:blip r:embed="rId528"/>
                    <a:stretch>
                      <a:fillRect/>
                    </a:stretch>
                  </pic:blipFill>
                  <pic:spPr>
                    <a:xfrm>
                      <a:off x="0" y="0"/>
                      <a:ext cx="914400" cy="266700"/>
                    </a:xfrm>
                    <a:prstGeom prst="rect">
                      <a:avLst/>
                    </a:prstGeom>
                  </pic:spPr>
                </pic:pic>
              </a:graphicData>
            </a:graphic>
          </wp:anchor>
        </w:drawing>
      </w:r>
      <w:bookmarkEnd w:id="771"/>
    </w:p>
    <w:p>
      <w:pPr>
        <w:pStyle w:val="Para 17"/>
      </w:pPr>
      <w:r>
        <w:t/>
      </w:r>
    </w:p>
    <w:p>
      <w:pPr>
        <w:pStyle w:val="Para 01"/>
      </w:pPr>
      <w:r>
        <w:t>Configuring modules</w:t>
      </w:r>
    </w:p>
    <w:p>
      <w:pPr>
        <w:pStyle w:val="Para 17"/>
      </w:pPr>
      <w:r>
        <w:t/>
      </w:r>
    </w:p>
    <w:p>
      <w:pPr>
        <w:pStyle w:val="Normal"/>
      </w:pPr>
      <w:r>
        <w:t>The installed configuration file for an nginx module mainly consists of the dynamically-loaded binary library:</w:t>
      </w:r>
    </w:p>
    <w:p>
      <w:pPr>
        <w:pStyle w:val="Normal"/>
      </w:pPr>
      <w:r>
        <w:t>## /etc/nginx/modules-enabled/50-mod-http-image-filter.conf</w:t>
        <w:t xml:space="preserve"> </w:t>
        <w:t>load_module modules/ngx_http_image_filter_module.so;</w:t>
      </w:r>
    </w:p>
    <w:p>
      <w:pPr>
        <w:pStyle w:val="Para 17"/>
      </w:pPr>
      <w:r>
        <w:t/>
      </w:r>
    </w:p>
    <w:p>
      <w:pPr>
        <w:pStyle w:val="Normal"/>
      </w:pPr>
      <w:r>
        <w:t>Note that you can also use the load_module parameter in your /etc/nginx/nginx.conf at the top level, if preferred for some reason.</w:t>
      </w:r>
    </w:p>
    <w:p>
      <w:pPr>
        <w:pStyle w:val="Normal"/>
      </w:pPr>
      <w:r>
        <w:t>To use a module for your website, its settings are specified in your server block. For example:</w:t>
      </w:r>
    </w:p>
    <w:p>
      <w:pPr>
        <w:pStyle w:val="Normal"/>
      </w:pPr>
      <w:r>
        <w:t>location /img/ {</w:t>
      </w:r>
    </w:p>
    <w:p>
      <w:pPr>
        <w:pStyle w:val="Para 02"/>
      </w:pPr>
      <w:r>
        <w:t>image_filter resize 240 360;</w:t>
      </w:r>
    </w:p>
    <w:p>
      <w:pPr>
        <w:pStyle w:val="Para 02"/>
      </w:pPr>
      <w:r>
        <w:t>image_filter rotate 180;</w:t>
      </w:r>
    </w:p>
    <w:p>
      <w:pPr>
        <w:pStyle w:val="Para 02"/>
      </w:pPr>
      <w:r>
        <w:t>image_filter_buffer 16M;</w:t>
      </w:r>
    </w:p>
    <w:p>
      <w:pPr>
        <w:pStyle w:val="Para 02"/>
      </w:pPr>
      <w:r>
        <w:t>error_page</w:t>
        <w:t xml:space="preserve"> </w:t>
        <w:t>415 = /415.html;</w:t>
      </w:r>
    </w:p>
    <w:p>
      <w:pPr>
        <w:pStyle w:val="Normal"/>
      </w:pPr>
      <w:r>
        <w:t>}</w:t>
      </w:r>
    </w:p>
    <w:p>
      <w:pPr>
        <w:pStyle w:val="Para 17"/>
      </w:pPr>
      <w:r>
        <w:t/>
      </w:r>
    </w:p>
    <w:p>
      <w:pPr>
        <w:pStyle w:val="Para 01"/>
      </w:pPr>
      <w:r>
        <w:t>Further reading</w:t>
      </w:r>
    </w:p>
    <w:p>
      <w:pPr>
        <w:pStyle w:val="Para 17"/>
      </w:pPr>
      <w:r>
        <w:t/>
      </w:r>
    </w:p>
    <w:p>
      <w:pPr>
        <w:pStyle w:val="Normal"/>
      </w:pPr>
      <w:r>
        <w:t>You’ve completed the nginx guide! See the following resources for more in-depth informa-tion on further extending nginx’s capabilities:</w:t>
      </w:r>
    </w:p>
    <w:p>
      <w:pPr>
        <w:pStyle w:val="Para 04"/>
      </w:pPr>
      <w:r>
        <w:t xml:space="preserve">• The </w:t>
      </w:r>
      <w:hyperlink r:id="rId1422">
        <w:r>
          <w:rPr>
            <w:rStyle w:val="Text9"/>
          </w:rPr>
          <w:t>482</w:t>
        </w:r>
      </w:hyperlink>
      <w:hyperlink r:id="rId1422">
        <w:r>
          <w:rPr>
            <w:rStyle w:val="Text1"/>
          </w:rPr>
          <w:t xml:space="preserve"> nginx documentation</w:t>
        </w:r>
      </w:hyperlink>
      <w:r>
        <w:t xml:space="preserve"> provides detailed explanations of configuration direc-</w:t>
      </w:r>
    </w:p>
    <w:p>
      <w:pPr>
        <w:pStyle w:val="Para 02"/>
      </w:pPr>
      <w:r>
        <w:t>tives.</w:t>
      </w:r>
    </w:p>
    <w:p>
      <w:pPr>
        <w:pStyle w:val="Para 04"/>
      </w:pPr>
      <w:r>
        <w:t>• O’Reilly’s nginx cookbook provides guidance on solving specific needs.</w:t>
      </w:r>
    </w:p>
    <w:p>
      <w:pPr>
        <w:pStyle w:val="Para 04"/>
      </w:pPr>
      <w:r>
        <w:t xml:space="preserve">• For Ubuntu-specific nginx questions, ask in the </w:t>
      </w:r>
      <w:hyperlink w:anchor="page_515">
        <w:r>
          <w:rPr>
            <w:rStyle w:val="Text9"/>
          </w:rPr>
          <w:t>483</w:t>
        </w:r>
      </w:hyperlink>
      <w:r>
        <w:t xml:space="preserve"> </w:t>
      </w:r>
      <w:hyperlink r:id="rId1034">
        <w:r>
          <w:rPr>
            <w:rStyle w:val="Text1"/>
          </w:rPr>
          <w:t>Ubuntu Server</w:t>
        </w:r>
      </w:hyperlink>
      <w:r>
        <w:t xml:space="preserve"> Matrix channel.</w:t>
      </w:r>
    </w:p>
    <w:p>
      <w:pPr>
        <w:pStyle w:val="Para 04"/>
      </w:pPr>
      <w:r>
        <w:t xml:space="preserve">• </w:t>
      </w:r>
      <w:hyperlink w:anchor="page_508">
        <w:r>
          <w:rPr>
            <w:rStyle w:val="Text2"/>
          </w:rPr>
          <w:t>Install nginx</w:t>
        </w:r>
      </w:hyperlink>
      <w:r>
        <w:t xml:space="preserve"> (page 507)</w:t>
      </w:r>
    </w:p>
    <w:p>
      <w:pPr>
        <w:pStyle w:val="Para 14"/>
      </w:pPr>
      <w:r>
        <w:rPr>
          <w:rStyle w:val="Text4"/>
        </w:rPr>
        <w:t xml:space="preserve">• </w:t>
      </w:r>
      <w:hyperlink w:anchor="page_510">
        <w:r>
          <w:t>Configure nginx</w:t>
        </w:r>
      </w:hyperlink>
      <w:r>
        <w:rPr>
          <w:rStyle w:val="Text4"/>
        </w:rPr>
        <w:t xml:space="preserve"> (page 509)</w:t>
      </w:r>
    </w:p>
    <w:p>
      <w:pPr>
        <w:pStyle w:val="Para 14"/>
      </w:pPr>
      <w:r>
        <w:rPr>
          <w:rStyle w:val="Text4"/>
        </w:rPr>
        <w:t xml:space="preserve">• </w:t>
      </w:r>
      <w:hyperlink w:anchor="page_513">
        <w:r>
          <w:t>Extend nginx with modules</w:t>
        </w:r>
      </w:hyperlink>
      <w:r>
        <w:rPr>
          <w:rStyle w:val="Text4"/>
        </w:rPr>
        <w:t xml:space="preserve"> (page 512)</w:t>
      </w:r>
    </w:p>
    <w:p>
      <w:pPr>
        <w:pStyle w:val="Para 17"/>
      </w:pPr>
      <w:r>
        <w:t/>
      </w:r>
    </w:p>
    <w:p>
      <w:pPr>
        <w:pStyle w:val="Para 01"/>
      </w:pPr>
      <w:r>
        <w:t>Web programming</w:t>
      </w:r>
    </w:p>
    <w:p>
      <w:pPr>
        <w:pStyle w:val="Para 17"/>
      </w:pPr>
      <w:r>
        <w:t/>
      </w:r>
    </w:p>
    <w:p>
      <w:pPr>
        <w:pStyle w:val="Normal"/>
      </w:pPr>
      <w:r>
        <w:t>It is common to set up server-side scripting languages to support the creation of dynamic web content. Whichever scripting language you choose, you will need to have installed and configured your web and database servers beforehand.</w:t>
      </w:r>
    </w:p>
    <w:p>
      <w:pPr>
        <w:pStyle w:val="Para 05"/>
      </w:pPr>
      <w:r>
        <w:rPr>
          <w:rStyle w:val="Text5"/>
        </w:rPr>
        <w:t>482</w:t>
      </w:r>
      <w:r>
        <w:rPr>
          <w:rStyle w:val="Text8"/>
        </w:rPr>
        <w:t xml:space="preserve"> </w:t>
      </w:r>
      <w:r>
        <w:t>https://nginx.org/en/docs/</w:t>
      </w:r>
    </w:p>
    <w:p>
      <w:pPr>
        <w:pStyle w:val="Para 05"/>
      </w:pPr>
      <w:r>
        <w:rPr>
          <w:rStyle w:val="Text5"/>
        </w:rPr>
        <w:t>483</w:t>
      </w:r>
      <w:r>
        <w:rPr>
          <w:rStyle w:val="Text8"/>
        </w:rPr>
        <w:t xml:space="preserve"> </w:t>
      </w:r>
      <w:r>
        <w:t>https://matrix.to/#/#server:ubuntu.com</w:t>
      </w:r>
    </w:p>
    <w:p>
      <w:bookmarkStart w:id="772" w:name="calibre_pb_128"/>
      <w:pPr>
        <w:pStyle w:val="0 Block"/>
      </w:pPr>
      <w:bookmarkEnd w:id="772"/>
    </w:p>
    <w:p>
      <w:bookmarkStart w:id="773" w:name="page_516"/>
      <w:bookmarkStart w:id="774" w:name="Top_of_index_split_12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5" name="index-516_1.png" descr="index-516_1.png"/>
            <wp:cNvGraphicFramePr>
              <a:graphicFrameLocks noChangeAspect="1"/>
            </wp:cNvGraphicFramePr>
            <a:graphic>
              <a:graphicData uri="http://schemas.openxmlformats.org/drawingml/2006/picture">
                <pic:pic>
                  <pic:nvPicPr>
                    <pic:cNvPr id="0" name="index-516_1.png" descr="index-516_1.png"/>
                    <pic:cNvPicPr/>
                  </pic:nvPicPr>
                  <pic:blipFill>
                    <a:blip r:embed="rId529"/>
                    <a:stretch>
                      <a:fillRect/>
                    </a:stretch>
                  </pic:blipFill>
                  <pic:spPr>
                    <a:xfrm>
                      <a:off x="0" y="0"/>
                      <a:ext cx="914400" cy="266700"/>
                    </a:xfrm>
                    <a:prstGeom prst="rect">
                      <a:avLst/>
                    </a:prstGeom>
                  </pic:spPr>
                </pic:pic>
              </a:graphicData>
            </a:graphic>
          </wp:anchor>
        </w:drawing>
      </w:r>
      <w:bookmarkEnd w:id="773"/>
      <w:bookmarkEnd w:id="774"/>
    </w:p>
    <w:p>
      <w:pPr>
        <w:pStyle w:val="Para 01"/>
      </w:pPr>
      <w:r>
        <w:t>How to install and configure PHP</w:t>
      </w:r>
    </w:p>
    <w:p>
      <w:pPr>
        <w:pStyle w:val="Para 17"/>
      </w:pPr>
      <w:r>
        <w:t/>
      </w:r>
    </w:p>
    <w:p>
      <w:pPr>
        <w:pStyle w:val="Normal"/>
      </w:pPr>
      <w:hyperlink r:id="rId1425">
        <w:r>
          <w:rPr>
            <w:rStyle w:val="Text1"/>
          </w:rPr>
          <w:t>PHP</w:t>
        </w:r>
      </w:hyperlink>
      <w:hyperlink w:anchor="page_516">
        <w:r>
          <w:rPr>
            <w:rStyle w:val="Text9"/>
          </w:rPr>
          <w:t>484</w:t>
        </w:r>
      </w:hyperlink>
      <w:r>
        <w:t xml:space="preserve"> is a general-purpose scripting language well-suited for Web development since PHP scripts can be embedded into HTML. This guide explains how to install and configure PHP in an Ubuntu System with Apache2 and MySQL.</w:t>
      </w:r>
    </w:p>
    <w:p>
      <w:pPr>
        <w:pStyle w:val="Para 17"/>
      </w:pPr>
      <w:r>
        <w:t/>
      </w:r>
    </w:p>
    <w:p>
      <w:pPr>
        <w:pStyle w:val="Para 01"/>
      </w:pPr>
      <w:r>
        <w:t>Prerequisites</w:t>
      </w:r>
    </w:p>
    <w:p>
      <w:pPr>
        <w:pStyle w:val="Para 17"/>
      </w:pPr>
      <w:r>
        <w:t/>
      </w:r>
    </w:p>
    <w:p>
      <w:pPr>
        <w:pStyle w:val="Normal"/>
      </w:pPr>
      <w:r>
        <w:t>Before installing PHP you should install Apache (or a preferred web server) and a database service such as MySQL.</w:t>
      </w:r>
    </w:p>
    <w:p>
      <w:pPr>
        <w:pStyle w:val="Para 04"/>
      </w:pPr>
      <w:r>
        <w:t xml:space="preserve">• To install the Apache package, please refer to </w:t>
      </w:r>
      <w:hyperlink w:anchor="page_498">
        <w:r>
          <w:rPr>
            <w:rStyle w:val="Text2"/>
          </w:rPr>
          <w:t>our Apache guide</w:t>
        </w:r>
      </w:hyperlink>
      <w:r>
        <w:t xml:space="preserve"> (page 497).</w:t>
      </w:r>
    </w:p>
    <w:p>
      <w:pPr>
        <w:pStyle w:val="Para 04"/>
      </w:pPr>
      <w:r>
        <w:t xml:space="preserve">• To install and configure a MySQL database service, refer to </w:t>
      </w:r>
      <w:hyperlink w:anchor="page_412">
        <w:r>
          <w:rPr>
            <w:rStyle w:val="Text2"/>
          </w:rPr>
          <w:t>our MySQL guide</w:t>
        </w:r>
      </w:hyperlink>
      <w:r>
        <w:t xml:space="preserve"> (page 411).</w:t>
      </w:r>
    </w:p>
    <w:p>
      <w:pPr>
        <w:pStyle w:val="Para 17"/>
      </w:pPr>
      <w:r>
        <w:t/>
      </w:r>
    </w:p>
    <w:p>
      <w:pPr>
        <w:pStyle w:val="Para 01"/>
      </w:pPr>
      <w:r>
        <w:t>Install PHP</w:t>
      </w:r>
    </w:p>
    <w:p>
      <w:pPr>
        <w:pStyle w:val="Para 17"/>
      </w:pPr>
      <w:r>
        <w:t/>
      </w:r>
    </w:p>
    <w:p>
      <w:pPr>
        <w:pStyle w:val="Normal"/>
      </w:pPr>
      <w:r>
        <w:t>PHP is available on Ubuntu Linux, but unlike Python (which comes pre-installed), must be manually installed.</w:t>
      </w:r>
    </w:p>
    <w:p>
      <w:pPr>
        <w:pStyle w:val="Normal"/>
      </w:pPr>
      <w:r>
        <w:t>To install PHP – and the Apache PHP module – you can enter the following command into a terminal prompt:</w:t>
      </w:r>
    </w:p>
    <w:p>
      <w:pPr>
        <w:pStyle w:val="Normal"/>
      </w:pPr>
      <w:r>
        <w:t>sudo apt install php libapache2-mod-php</w:t>
      </w:r>
    </w:p>
    <w:p>
      <w:pPr>
        <w:pStyle w:val="Para 17"/>
      </w:pPr>
      <w:r>
        <w:t/>
      </w:r>
    </w:p>
    <w:p>
      <w:pPr>
        <w:pStyle w:val="Para 01"/>
      </w:pPr>
      <w:r>
        <w:t>Install optional packages</w:t>
      </w:r>
    </w:p>
    <w:p>
      <w:pPr>
        <w:pStyle w:val="Para 17"/>
      </w:pPr>
      <w:r>
        <w:t/>
      </w:r>
    </w:p>
    <w:p>
      <w:pPr>
        <w:pStyle w:val="Normal"/>
      </w:pPr>
      <w:r>
        <w:t>The following packages are optional, and can be installed if you need them for your setup.</w:t>
      </w:r>
    </w:p>
    <w:p>
      <w:pPr>
        <w:pStyle w:val="Para 04"/>
      </w:pPr>
      <w:r>
        <w:t xml:space="preserve">• </w:t>
      </w:r>
      <w:r>
        <w:rPr>
          <w:rStyle w:val="Text0"/>
        </w:rPr>
        <w:t>PHP-CLI</w:t>
      </w:r>
      <w:r>
        <w:t xml:space="preserve"> You can run PHP scripts via the Command Line Interface (CLI). To do this, you</w:t>
      </w:r>
    </w:p>
    <w:p>
      <w:pPr>
        <w:pStyle w:val="Para 02"/>
      </w:pPr>
      <w:r>
        <w:t>must first install the php-cli package. You can install it by running the following com-mand:</w:t>
      </w:r>
    </w:p>
    <w:p>
      <w:pPr>
        <w:pStyle w:val="Para 02"/>
      </w:pPr>
      <w:r>
        <w:t>sudo apt install php-cli</w:t>
      </w:r>
    </w:p>
    <w:p>
      <w:pPr>
        <w:pStyle w:val="Para 17"/>
      </w:pPr>
      <w:r>
        <w:t/>
      </w:r>
    </w:p>
    <w:p>
      <w:pPr>
        <w:pStyle w:val="Para 04"/>
      </w:pPr>
      <w:r>
        <w:t xml:space="preserve">• </w:t>
      </w:r>
      <w:r>
        <w:rPr>
          <w:rStyle w:val="Text0"/>
        </w:rPr>
        <w:t>PHP-CGI</w:t>
      </w:r>
      <w:r>
        <w:t xml:space="preserve"> You can also execute PHP scripts without installing the Apache PHP module.</w:t>
      </w:r>
    </w:p>
    <w:p>
      <w:pPr>
        <w:pStyle w:val="Para 02"/>
      </w:pPr>
      <w:r>
        <w:t>To accomplish this, you should install the php-cgi package via this command:</w:t>
      </w:r>
    </w:p>
    <w:p>
      <w:pPr>
        <w:pStyle w:val="Para 02"/>
      </w:pPr>
      <w:r>
        <w:t>sudo apt install php-cgi</w:t>
      </w:r>
    </w:p>
    <w:p>
      <w:pPr>
        <w:pStyle w:val="Para 17"/>
      </w:pPr>
      <w:r>
        <w:t/>
      </w:r>
    </w:p>
    <w:p>
      <w:pPr>
        <w:pStyle w:val="Para 04"/>
      </w:pPr>
      <w:r>
        <w:t xml:space="preserve">• </w:t>
      </w:r>
      <w:r>
        <w:rPr>
          <w:rStyle w:val="Text0"/>
        </w:rPr>
        <w:t>PHP-MySQL</w:t>
      </w:r>
      <w:r>
        <w:t xml:space="preserve"> To use MySQL with PHP you should install the php-mysql package, like so:</w:t>
      </w:r>
    </w:p>
    <w:p>
      <w:pPr>
        <w:pStyle w:val="Para 02"/>
      </w:pPr>
      <w:r>
        <w:t>sudo apt install php-mysql</w:t>
      </w:r>
    </w:p>
    <w:p>
      <w:pPr>
        <w:pStyle w:val="Para 17"/>
      </w:pPr>
      <w:r>
        <w:t/>
      </w:r>
    </w:p>
    <w:p>
      <w:pPr>
        <w:pStyle w:val="Para 04"/>
      </w:pPr>
      <w:r>
        <w:t xml:space="preserve">• </w:t>
      </w:r>
      <w:r>
        <w:rPr>
          <w:rStyle w:val="Text0"/>
        </w:rPr>
        <w:t>PHP-PgSQL</w:t>
      </w:r>
      <w:r>
        <w:t xml:space="preserve"> Similarly, to use PostgreSQL with PHP you should install the php-pgsql</w:t>
      </w:r>
    </w:p>
    <w:p>
      <w:pPr>
        <w:pStyle w:val="Para 02"/>
      </w:pPr>
      <w:r>
        <w:t>package:</w:t>
      </w:r>
    </w:p>
    <w:p>
      <w:pPr>
        <w:pStyle w:val="Para 02"/>
      </w:pPr>
      <w:r>
        <w:t>sudo apt install php-pgsql</w:t>
      </w:r>
    </w:p>
    <w:p>
      <w:pPr>
        <w:pStyle w:val="Para 05"/>
      </w:pPr>
      <w:r>
        <w:rPr>
          <w:rStyle w:val="Text5"/>
        </w:rPr>
        <w:t>484</w:t>
      </w:r>
      <w:r>
        <w:rPr>
          <w:rStyle w:val="Text8"/>
        </w:rPr>
        <w:t xml:space="preserve"> </w:t>
      </w:r>
      <w:r>
        <w:t>https://www.php.net/</w:t>
      </w:r>
    </w:p>
    <w:p>
      <w:bookmarkStart w:id="775" w:name="page_5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6" name="index-517_1.png" descr="index-517_1.png"/>
            <wp:cNvGraphicFramePr>
              <a:graphicFrameLocks noChangeAspect="1"/>
            </wp:cNvGraphicFramePr>
            <a:graphic>
              <a:graphicData uri="http://schemas.openxmlformats.org/drawingml/2006/picture">
                <pic:pic>
                  <pic:nvPicPr>
                    <pic:cNvPr id="0" name="index-517_1.png" descr="index-517_1.png"/>
                    <pic:cNvPicPr/>
                  </pic:nvPicPr>
                  <pic:blipFill>
                    <a:blip r:embed="rId530"/>
                    <a:stretch>
                      <a:fillRect/>
                    </a:stretch>
                  </pic:blipFill>
                  <pic:spPr>
                    <a:xfrm>
                      <a:off x="0" y="0"/>
                      <a:ext cx="914400" cy="266700"/>
                    </a:xfrm>
                    <a:prstGeom prst="rect">
                      <a:avLst/>
                    </a:prstGeom>
                  </pic:spPr>
                </pic:pic>
              </a:graphicData>
            </a:graphic>
          </wp:anchor>
        </w:drawing>
      </w:r>
      <w:bookmarkEnd w:id="775"/>
    </w:p>
    <w:p>
      <w:pPr>
        <w:pStyle w:val="Para 01"/>
      </w:pPr>
      <w:r>
        <w:t>Configure PHP</w:t>
      </w:r>
    </w:p>
    <w:p>
      <w:pPr>
        <w:pStyle w:val="Para 17"/>
      </w:pPr>
      <w:r>
        <w:t/>
      </w:r>
    </w:p>
    <w:p>
      <w:pPr>
        <w:pStyle w:val="Normal"/>
      </w:pPr>
      <w:r>
        <w:t>If you have installed the libapache2-mod-php or php-cgi packages, you can run PHP scripts from your web browser. If you have installed the php-cli package, you can run PHP scripts at a terminal prompt.</w:t>
      </w:r>
    </w:p>
    <w:p>
      <w:pPr>
        <w:pStyle w:val="Normal"/>
      </w:pPr>
      <w:r>
        <w:t>By default, when libapache2-mod-php is installed, the Apache2 web server is configured to run PHP scripts using this module. First, verify if the files /etc/apache2/mods-enabled/php8. *.conf and /etc/apache2/mods-enabled/php8.*.load exist. If they do not exist, you can en-able the module using the a2enmod command.</w:t>
      </w:r>
    </w:p>
    <w:p>
      <w:pPr>
        <w:pStyle w:val="Normal"/>
      </w:pPr>
      <w:r>
        <w:t>Once you have installed the PHP-related packages and enabled the Apache PHP module, you should restart the Apache2 web server to run PHP scripts, by running the following command:</w:t>
      </w:r>
    </w:p>
    <w:p>
      <w:pPr>
        <w:pStyle w:val="Normal"/>
      </w:pPr>
      <w:r>
        <w:t>sudo systemctl restart apache2.service</w:t>
      </w:r>
    </w:p>
    <w:p>
      <w:pPr>
        <w:pStyle w:val="Para 17"/>
      </w:pPr>
      <w:r>
        <w:t/>
      </w:r>
    </w:p>
    <w:p>
      <w:pPr>
        <w:pStyle w:val="Para 01"/>
      </w:pPr>
      <w:r>
        <w:t>Test your setup</w:t>
      </w:r>
    </w:p>
    <w:p>
      <w:pPr>
        <w:pStyle w:val="Para 17"/>
      </w:pPr>
      <w:r>
        <w:t/>
      </w:r>
    </w:p>
    <w:p>
      <w:pPr>
        <w:pStyle w:val="Normal"/>
      </w:pPr>
      <w:r>
        <w:t>To verify your installation, you can run the following PHP phpinfo script:</w:t>
      </w:r>
    </w:p>
    <w:p>
      <w:pPr>
        <w:pStyle w:val="Para 10"/>
      </w:pPr>
      <w:r>
        <w:t>&lt;?php</w:t>
      </w:r>
    </w:p>
    <w:p>
      <w:pPr>
        <w:pStyle w:val="Para 03"/>
      </w:pPr>
      <w:r>
        <w:t>phpinfo</w:t>
        <w:t>();</w:t>
      </w:r>
    </w:p>
    <w:p>
      <w:pPr>
        <w:pStyle w:val="Para 10"/>
      </w:pPr>
      <w:r>
        <w:t>?&gt;</w:t>
      </w:r>
    </w:p>
    <w:p>
      <w:pPr>
        <w:pStyle w:val="Para 17"/>
      </w:pPr>
      <w:r>
        <w:t/>
      </w:r>
    </w:p>
    <w:p>
      <w:pPr>
        <w:pStyle w:val="Normal"/>
      </w:pPr>
      <w:r>
        <w:t xml:space="preserve">You can save the content in a file – phpinfo.php for example – and place it under the </w:t>
      </w:r>
      <w:hyperlink w:anchor="page_679">
        <w:r>
          <w:rPr>
            <w:rStyle w:val="Text2"/>
          </w:rPr>
          <w:t>Docu-</w:t>
        </w:r>
      </w:hyperlink>
    </w:p>
    <w:p>
      <w:pPr>
        <w:pStyle w:val="Normal"/>
      </w:pPr>
      <w:hyperlink w:anchor="page_679">
        <w:r>
          <w:rPr>
            <w:rStyle w:val="Text2"/>
          </w:rPr>
          <w:t>mentRoot</w:t>
        </w:r>
      </w:hyperlink>
      <w:r>
        <w:t xml:space="preserve"> directory of the Apache2 web server. Pointing your browser to http://hostname/ phpinfo.php will display the values of various PHP configuration parameters.</w:t>
      </w:r>
    </w:p>
    <w:p>
      <w:pPr>
        <w:pStyle w:val="Para 17"/>
      </w:pPr>
      <w:r>
        <w:t/>
      </w:r>
    </w:p>
    <w:p>
      <w:pPr>
        <w:pStyle w:val="Para 01"/>
      </w:pPr>
      <w:r>
        <w:t>Further reading</w:t>
      </w:r>
    </w:p>
    <w:p>
      <w:pPr>
        <w:pStyle w:val="Para 17"/>
      </w:pPr>
      <w:r>
        <w:t/>
      </w:r>
    </w:p>
    <w:p>
      <w:pPr>
        <w:pStyle w:val="Para 04"/>
      </w:pPr>
      <w:r>
        <w:t xml:space="preserve">• For more in depth information see </w:t>
      </w:r>
      <w:hyperlink w:anchor="page_517">
        <w:r>
          <w:rPr>
            <w:rStyle w:val="Text9"/>
          </w:rPr>
          <w:t>485</w:t>
        </w:r>
      </w:hyperlink>
      <w:r>
        <w:t xml:space="preserve"> </w:t>
      </w:r>
      <w:hyperlink r:id="rId1426">
        <w:r>
          <w:rPr>
            <w:rStyle w:val="Text1"/>
          </w:rPr>
          <w:t>the php.net documentation</w:t>
        </w:r>
      </w:hyperlink>
      <w:r>
        <w:t>.</w:t>
      </w:r>
    </w:p>
    <w:p>
      <w:pPr>
        <w:pStyle w:val="Para 04"/>
      </w:pPr>
      <w:r>
        <w:t>• There are a plethora of books on PHP 7 and PHP 8. A good book from O’Reilly is “Learn-</w:t>
      </w:r>
    </w:p>
    <w:p>
      <w:pPr>
        <w:pStyle w:val="Para 17"/>
      </w:pPr>
      <w:r>
        <w:t>ing PHP”, which includes an exploration of PHP 7’s enhancements to the language.</w:t>
      </w:r>
    </w:p>
    <w:p>
      <w:pPr>
        <w:pStyle w:val="Para 04"/>
      </w:pPr>
      <w:r>
        <w:t xml:space="preserve">• Also, see the </w:t>
      </w:r>
      <w:hyperlink r:id="rId1427">
        <w:r>
          <w:rPr>
            <w:rStyle w:val="Text9"/>
          </w:rPr>
          <w:t>486</w:t>
        </w:r>
      </w:hyperlink>
      <w:hyperlink r:id="rId1427">
        <w:r>
          <w:rPr>
            <w:rStyle w:val="Text1"/>
          </w:rPr>
          <w:t xml:space="preserve"> Apache MySQL PHP Ubuntu Wiki</w:t>
        </w:r>
      </w:hyperlink>
      <w:r>
        <w:t xml:space="preserve"> page for more information.</w:t>
      </w:r>
    </w:p>
    <w:p>
      <w:pPr>
        <w:pStyle w:val="Para 17"/>
      </w:pPr>
      <w:r>
        <w:t/>
      </w:r>
    </w:p>
    <w:p>
      <w:pPr>
        <w:pStyle w:val="Para 01"/>
      </w:pPr>
      <w:r>
        <w:t>How to install and configure Ruby on Rails</w:t>
      </w:r>
    </w:p>
    <w:p>
      <w:pPr>
        <w:pStyle w:val="Para 17"/>
      </w:pPr>
      <w:r>
        <w:t/>
      </w:r>
    </w:p>
    <w:p>
      <w:pPr>
        <w:pStyle w:val="Normal"/>
      </w:pPr>
      <w:hyperlink r:id="rId1428">
        <w:r>
          <w:rPr>
            <w:rStyle w:val="Text1"/>
          </w:rPr>
          <w:t>Ruby on Rails</w:t>
        </w:r>
      </w:hyperlink>
      <w:hyperlink r:id="rId1428">
        <w:r>
          <w:rPr>
            <w:rStyle w:val="Text9"/>
          </w:rPr>
          <w:t>487</w:t>
        </w:r>
      </w:hyperlink>
      <w:r>
        <w:t xml:space="preserve"> is an open source web framework for developing database-backed web ap-plications. It is optimized for sustainable productivity of the programmer since it lets the programmer to write code by favoring convention over configuration. This guide explains how to install and configure Ruby on Rails for an Ubuntu system with Apache2 and MySQL.</w:t>
      </w:r>
    </w:p>
    <w:p>
      <w:pPr>
        <w:pStyle w:val="Para 05"/>
      </w:pPr>
      <w:r>
        <w:rPr>
          <w:rStyle w:val="Text5"/>
        </w:rPr>
        <w:t>485</w:t>
      </w:r>
      <w:r>
        <w:rPr>
          <w:rStyle w:val="Text8"/>
        </w:rPr>
        <w:t xml:space="preserve"> </w:t>
      </w:r>
      <w:r>
        <w:t>https://www.php.net/docs.php</w:t>
      </w:r>
    </w:p>
    <w:p>
      <w:pPr>
        <w:pStyle w:val="Para 05"/>
      </w:pPr>
      <w:r>
        <w:rPr>
          <w:rStyle w:val="Text5"/>
        </w:rPr>
        <w:t>486</w:t>
      </w:r>
      <w:r>
        <w:rPr>
          <w:rStyle w:val="Text8"/>
        </w:rPr>
        <w:t xml:space="preserve"> </w:t>
      </w:r>
      <w:r>
        <w:t>https://help.ubuntu.com/community/ApacheMySQLPHP</w:t>
      </w:r>
    </w:p>
    <w:p>
      <w:pPr>
        <w:pStyle w:val="Para 05"/>
      </w:pPr>
      <w:r>
        <w:rPr>
          <w:rStyle w:val="Text5"/>
        </w:rPr>
        <w:t>487</w:t>
      </w:r>
      <w:r>
        <w:rPr>
          <w:rStyle w:val="Text8"/>
        </w:rPr>
        <w:t xml:space="preserve"> </w:t>
      </w:r>
      <w:r>
        <w:t>https://rubyonrails.org/</w:t>
      </w:r>
    </w:p>
    <w:p>
      <w:bookmarkStart w:id="776" w:name="page_5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7" name="index-518_1.png" descr="index-518_1.png"/>
            <wp:cNvGraphicFramePr>
              <a:graphicFrameLocks noChangeAspect="1"/>
            </wp:cNvGraphicFramePr>
            <a:graphic>
              <a:graphicData uri="http://schemas.openxmlformats.org/drawingml/2006/picture">
                <pic:pic>
                  <pic:nvPicPr>
                    <pic:cNvPr id="0" name="index-518_1.png" descr="index-518_1.png"/>
                    <pic:cNvPicPr/>
                  </pic:nvPicPr>
                  <pic:blipFill>
                    <a:blip r:embed="rId531"/>
                    <a:stretch>
                      <a:fillRect/>
                    </a:stretch>
                  </pic:blipFill>
                  <pic:spPr>
                    <a:xfrm>
                      <a:off x="0" y="0"/>
                      <a:ext cx="914400" cy="266700"/>
                    </a:xfrm>
                    <a:prstGeom prst="rect">
                      <a:avLst/>
                    </a:prstGeom>
                  </pic:spPr>
                </pic:pic>
              </a:graphicData>
            </a:graphic>
          </wp:anchor>
        </w:drawing>
      </w:r>
      <w:bookmarkEnd w:id="776"/>
    </w:p>
    <w:p>
      <w:pPr>
        <w:pStyle w:val="Para 01"/>
      </w:pPr>
      <w:r>
        <w:t>Prerequisites</w:t>
      </w:r>
    </w:p>
    <w:p>
      <w:pPr>
        <w:pStyle w:val="Para 17"/>
      </w:pPr>
      <w:r>
        <w:t/>
      </w:r>
    </w:p>
    <w:p>
      <w:pPr>
        <w:pStyle w:val="Normal"/>
      </w:pPr>
      <w:r>
        <w:t>Before installing Rails you should install Apache (or a preferred web server) and a database service such as MySQL.</w:t>
      </w:r>
    </w:p>
    <w:p>
      <w:pPr>
        <w:pStyle w:val="Para 04"/>
      </w:pPr>
      <w:r>
        <w:t xml:space="preserve">• To install the Apache package, please refer to </w:t>
      </w:r>
      <w:hyperlink w:anchor="page_498">
        <w:r>
          <w:rPr>
            <w:rStyle w:val="Text2"/>
          </w:rPr>
          <w:t>our Apache guide</w:t>
        </w:r>
      </w:hyperlink>
      <w:r>
        <w:t xml:space="preserve"> (page 497).</w:t>
      </w:r>
    </w:p>
    <w:p>
      <w:pPr>
        <w:pStyle w:val="Para 04"/>
      </w:pPr>
      <w:r>
        <w:t xml:space="preserve">• To install and configure a MySQL database service, refer to </w:t>
      </w:r>
      <w:hyperlink w:anchor="page_412">
        <w:r>
          <w:rPr>
            <w:rStyle w:val="Text2"/>
          </w:rPr>
          <w:t>our MySQL guide</w:t>
        </w:r>
      </w:hyperlink>
      <w:r>
        <w:t xml:space="preserve"> (page 411).</w:t>
      </w:r>
    </w:p>
    <w:p>
      <w:pPr>
        <w:pStyle w:val="Para 17"/>
      </w:pPr>
      <w:r>
        <w:t/>
      </w:r>
    </w:p>
    <w:p>
      <w:pPr>
        <w:pStyle w:val="Para 01"/>
      </w:pPr>
      <w:r>
        <w:t>Install rails</w:t>
      </w:r>
    </w:p>
    <w:p>
      <w:pPr>
        <w:pStyle w:val="Para 17"/>
      </w:pPr>
      <w:r>
        <w:t/>
      </w:r>
    </w:p>
    <w:p>
      <w:pPr>
        <w:pStyle w:val="Normal"/>
      </w:pPr>
      <w:r>
        <w:t>Once you have a web server and a database service installed and configured, you are ready to install the Ruby on Rails package, rails, by entering the following in the terminal prompt.</w:t>
      </w:r>
    </w:p>
    <w:p>
      <w:pPr>
        <w:pStyle w:val="Normal"/>
      </w:pPr>
      <w:r>
        <w:t>sudo apt install rails</w:t>
      </w:r>
    </w:p>
    <w:p>
      <w:pPr>
        <w:pStyle w:val="Para 17"/>
      </w:pPr>
      <w:r>
        <w:t/>
      </w:r>
    </w:p>
    <w:p>
      <w:pPr>
        <w:pStyle w:val="Normal"/>
      </w:pPr>
      <w:r>
        <w:t>This will install both the Ruby base packages, and Ruby on Rails.</w:t>
      </w:r>
    </w:p>
    <w:p>
      <w:pPr>
        <w:pStyle w:val="Normal"/>
      </w:pPr>
      <w:r>
        <w:t>Alternatively, you may want to install it with the--no-install-recommends flag to skip pulling in browser related dependencies, which may require additional steps in certain containerized environments.</w:t>
      </w:r>
    </w:p>
    <w:p>
      <w:pPr>
        <w:pStyle w:val="Normal"/>
      </w:pPr>
      <w:r>
        <w:t>sudo apt install --no-install-recommends rails</w:t>
      </w:r>
    </w:p>
    <w:p>
      <w:pPr>
        <w:pStyle w:val="Para 17"/>
      </w:pPr>
      <w:r>
        <w:t/>
      </w:r>
    </w:p>
    <w:p>
      <w:pPr>
        <w:pStyle w:val="Para 01"/>
      </w:pPr>
      <w:r>
        <w:t>Configure the web server</w:t>
      </w:r>
    </w:p>
    <w:p>
      <w:pPr>
        <w:pStyle w:val="Para 17"/>
      </w:pPr>
      <w:r>
        <w:t/>
      </w:r>
    </w:p>
    <w:p>
      <w:pPr>
        <w:pStyle w:val="Normal"/>
      </w:pPr>
      <w:r>
        <w:t>You will need to modify the /etc/apache2/sites-available/000-default.conf configuration file to set up your domains.</w:t>
      </w:r>
    </w:p>
    <w:p>
      <w:pPr>
        <w:pStyle w:val="Normal"/>
      </w:pPr>
      <w:r>
        <w:t xml:space="preserve">The first thing to change is the </w:t>
      </w:r>
      <w:hyperlink w:anchor="page_679">
        <w:r>
          <w:rPr>
            <w:rStyle w:val="Text2"/>
          </w:rPr>
          <w:t>DocumentRoot</w:t>
        </w:r>
      </w:hyperlink>
      <w:r>
        <w:t xml:space="preserve"> directive:</w:t>
      </w:r>
    </w:p>
    <w:p>
      <w:pPr>
        <w:pStyle w:val="Normal"/>
      </w:pPr>
      <w:r>
        <w:t>DocumentRoot /path/to/rails/application/public</w:t>
      </w:r>
    </w:p>
    <w:p>
      <w:pPr>
        <w:pStyle w:val="Para 17"/>
      </w:pPr>
      <w:r>
        <w:t/>
      </w:r>
    </w:p>
    <w:p>
      <w:pPr>
        <w:pStyle w:val="Normal"/>
      </w:pPr>
      <w:r>
        <w:t>Next, change the &lt;Directory "/path/to/rails/application/public"&gt; directive:</w:t>
      </w:r>
    </w:p>
    <w:p>
      <w:pPr>
        <w:pStyle w:val="Normal"/>
      </w:pPr>
      <w:r>
        <w:t>&lt;Directory "/path/to/rails/application/public"&gt;</w:t>
      </w:r>
    </w:p>
    <w:p>
      <w:pPr>
        <w:pStyle w:val="Para 06"/>
      </w:pPr>
      <w:r>
        <w:t>Options Indexes FollowSymLinks MultiViews ExecCGI</w:t>
      </w:r>
    </w:p>
    <w:p>
      <w:pPr>
        <w:pStyle w:val="Para 06"/>
      </w:pPr>
      <w:r>
        <w:t>AllowOverride All</w:t>
      </w:r>
    </w:p>
    <w:p>
      <w:pPr>
        <w:pStyle w:val="Para 06"/>
      </w:pPr>
      <w:r>
        <w:t>Order allow,deny</w:t>
      </w:r>
    </w:p>
    <w:p>
      <w:pPr>
        <w:pStyle w:val="Para 06"/>
      </w:pPr>
      <w:r>
        <w:t>allow from all</w:t>
      </w:r>
    </w:p>
    <w:p>
      <w:pPr>
        <w:pStyle w:val="Para 06"/>
      </w:pPr>
      <w:r>
        <w:t>AddHandler cgi-script .cgi</w:t>
      </w:r>
    </w:p>
    <w:p>
      <w:pPr>
        <w:pStyle w:val="Normal"/>
      </w:pPr>
      <w:r>
        <w:t>&lt;/Directory&gt;</w:t>
      </w:r>
    </w:p>
    <w:p>
      <w:pPr>
        <w:pStyle w:val="Para 17"/>
      </w:pPr>
      <w:r>
        <w:t/>
      </w:r>
    </w:p>
    <w:p>
      <w:pPr>
        <w:pStyle w:val="Normal"/>
      </w:pPr>
      <w:r>
        <w:t>You should also enable the mod_rewrite module for Apache. To enable the mod_rewrite mod-ule, enter the following command into a terminal prompt:</w:t>
      </w:r>
    </w:p>
    <w:p>
      <w:pPr>
        <w:pStyle w:val="Normal"/>
      </w:pPr>
      <w:r>
        <w:t>sudo a2enmod rewrite</w:t>
      </w:r>
    </w:p>
    <w:p>
      <w:pPr>
        <w:pStyle w:val="Para 17"/>
      </w:pPr>
      <w:r>
        <w:t/>
      </w:r>
    </w:p>
    <w:p>
      <w:pPr>
        <w:pStyle w:val="Normal"/>
      </w:pPr>
      <w:r>
        <w:t>Finally, you will need to change the ownership of the /path/to/rails/application/public and /path/to/rails/application/tmp directories to the user that will be used to run the Apache process:</w:t>
      </w:r>
    </w:p>
    <w:p>
      <w:bookmarkStart w:id="777" w:name="page_5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8" name="index-519_1.png" descr="index-519_1.png"/>
            <wp:cNvGraphicFramePr>
              <a:graphicFrameLocks noChangeAspect="1"/>
            </wp:cNvGraphicFramePr>
            <a:graphic>
              <a:graphicData uri="http://schemas.openxmlformats.org/drawingml/2006/picture">
                <pic:pic>
                  <pic:nvPicPr>
                    <pic:cNvPr id="0" name="index-519_1.png" descr="index-519_1.png"/>
                    <pic:cNvPicPr/>
                  </pic:nvPicPr>
                  <pic:blipFill>
                    <a:blip r:embed="rId532"/>
                    <a:stretch>
                      <a:fillRect/>
                    </a:stretch>
                  </pic:blipFill>
                  <pic:spPr>
                    <a:xfrm>
                      <a:off x="0" y="0"/>
                      <a:ext cx="914400" cy="266700"/>
                    </a:xfrm>
                    <a:prstGeom prst="rect">
                      <a:avLst/>
                    </a:prstGeom>
                  </pic:spPr>
                </pic:pic>
              </a:graphicData>
            </a:graphic>
          </wp:anchor>
        </w:drawing>
      </w:r>
      <w:bookmarkEnd w:id="777"/>
    </w:p>
    <w:p>
      <w:pPr>
        <w:pStyle w:val="Normal"/>
      </w:pPr>
      <w:r>
        <w:t>sudo chown -R www-data:www-data /path/to/rails/application/public</w:t>
        <w:t xml:space="preserve"> </w:t>
        <w:t>sudo chown -R www-data:www-data /path/to/rails/application/tmp</w:t>
      </w:r>
    </w:p>
    <w:p>
      <w:pPr>
        <w:pStyle w:val="Para 17"/>
      </w:pPr>
      <w:r>
        <w:t/>
      </w:r>
    </w:p>
    <w:p>
      <w:pPr>
        <w:pStyle w:val="Normal"/>
      </w:pPr>
      <w:r>
        <w:t>If you need to compile your application assets run the following command in your application directory:</w:t>
      </w:r>
    </w:p>
    <w:p>
      <w:pPr>
        <w:pStyle w:val="Normal"/>
      </w:pPr>
      <w:r>
        <w:t>RAILS_ENV</w:t>
        <w:t>=</w:t>
        <w:t>production rake assets:precompile</w:t>
      </w:r>
    </w:p>
    <w:p>
      <w:pPr>
        <w:pStyle w:val="Para 17"/>
      </w:pPr>
      <w:r>
        <w:t/>
      </w:r>
    </w:p>
    <w:p>
      <w:pPr>
        <w:pStyle w:val="Para 01"/>
      </w:pPr>
      <w:r>
        <w:t>Configure the database</w:t>
      </w:r>
    </w:p>
    <w:p>
      <w:pPr>
        <w:pStyle w:val="Para 17"/>
      </w:pPr>
      <w:r>
        <w:t/>
      </w:r>
    </w:p>
    <w:p>
      <w:pPr>
        <w:pStyle w:val="Normal"/>
      </w:pPr>
      <w:r>
        <w:t>With your database service in place, you need to make sure your app database configuration is also correct. For example, if you are using MySQL the your config/database.yml should look like this:</w:t>
      </w:r>
    </w:p>
    <w:p>
      <w:pPr>
        <w:pStyle w:val="Normal"/>
      </w:pPr>
      <w:r>
        <w:t># Mysql</w:t>
      </w:r>
    </w:p>
    <w:p>
      <w:pPr>
        <w:pStyle w:val="Normal"/>
      </w:pPr>
      <w:r>
        <w:t>production:</w:t>
      </w:r>
    </w:p>
    <w:p>
      <w:pPr>
        <w:pStyle w:val="Para 03"/>
      </w:pPr>
      <w:r>
        <w:t>adapter: mysql2</w:t>
      </w:r>
    </w:p>
    <w:p>
      <w:pPr>
        <w:pStyle w:val="Para 03"/>
      </w:pPr>
      <w:r>
        <w:t>username: user</w:t>
      </w:r>
    </w:p>
    <w:p>
      <w:pPr>
        <w:pStyle w:val="Para 03"/>
      </w:pPr>
      <w:r>
        <w:t>password: password</w:t>
      </w:r>
    </w:p>
    <w:p>
      <w:pPr>
        <w:pStyle w:val="Para 03"/>
      </w:pPr>
      <w:r>
        <w:t>host: 127.0.0.1</w:t>
      </w:r>
    </w:p>
    <w:p>
      <w:pPr>
        <w:pStyle w:val="Para 03"/>
      </w:pPr>
      <w:r>
        <w:t>database: app</w:t>
      </w:r>
    </w:p>
    <w:p>
      <w:pPr>
        <w:pStyle w:val="Para 17"/>
      </w:pPr>
      <w:r>
        <w:t/>
      </w:r>
    </w:p>
    <w:p>
      <w:pPr>
        <w:pStyle w:val="Normal"/>
      </w:pPr>
      <w:r>
        <w:t>To finally create your application database and apply its migrations you can run the following commands from your app directory:</w:t>
      </w:r>
    </w:p>
    <w:p>
      <w:pPr>
        <w:pStyle w:val="Normal"/>
      </w:pPr>
      <w:r>
        <w:t>RAILS_ENV</w:t>
        <w:t>=</w:t>
        <w:t>production rake db:create</w:t>
      </w:r>
    </w:p>
    <w:p>
      <w:pPr>
        <w:pStyle w:val="Normal"/>
      </w:pPr>
      <w:r>
        <w:t>RAILS_ENV</w:t>
        <w:t>=</w:t>
        <w:t>production rake db:migrate</w:t>
      </w:r>
    </w:p>
    <w:p>
      <w:pPr>
        <w:pStyle w:val="Para 17"/>
      </w:pPr>
      <w:r>
        <w:t/>
      </w:r>
    </w:p>
    <w:p>
      <w:pPr>
        <w:pStyle w:val="Normal"/>
      </w:pPr>
      <w:r>
        <w:t xml:space="preserve">That’s it! Now your Server is ready for your Ruby on Rails application. You can </w:t>
      </w:r>
      <w:hyperlink w:anchor="page_676">
        <w:r>
          <w:rPr>
            <w:rStyle w:val="Text2"/>
          </w:rPr>
          <w:t>daemonize</w:t>
        </w:r>
      </w:hyperlink>
      <w:r>
        <w:t xml:space="preserve"> your application as you want.</w:t>
      </w:r>
    </w:p>
    <w:p>
      <w:pPr>
        <w:pStyle w:val="Para 17"/>
      </w:pPr>
      <w:r>
        <w:t/>
      </w:r>
    </w:p>
    <w:p>
      <w:pPr>
        <w:pStyle w:val="Para 01"/>
      </w:pPr>
      <w:r>
        <w:t>Further reading</w:t>
      </w:r>
    </w:p>
    <w:p>
      <w:pPr>
        <w:pStyle w:val="Para 17"/>
      </w:pPr>
      <w:r>
        <w:t/>
      </w:r>
    </w:p>
    <w:p>
      <w:pPr>
        <w:pStyle w:val="Para 04"/>
      </w:pPr>
      <w:r>
        <w:t xml:space="preserve">• See the </w:t>
      </w:r>
      <w:hyperlink w:anchor="page_519">
        <w:r>
          <w:rPr>
            <w:rStyle w:val="Text9"/>
          </w:rPr>
          <w:t>488</w:t>
        </w:r>
      </w:hyperlink>
      <w:r>
        <w:t xml:space="preserve"> </w:t>
      </w:r>
      <w:hyperlink r:id="rId1428">
        <w:r>
          <w:rPr>
            <w:rStyle w:val="Text1"/>
          </w:rPr>
          <w:t>Ruby on Rails</w:t>
        </w:r>
      </w:hyperlink>
      <w:r>
        <w:t xml:space="preserve"> website for more information.</w:t>
      </w:r>
    </w:p>
    <w:p>
      <w:pPr>
        <w:pStyle w:val="Para 04"/>
      </w:pPr>
      <w:r>
        <w:t xml:space="preserve">• </w:t>
      </w:r>
      <w:hyperlink w:anchor="page_519">
        <w:r>
          <w:rPr>
            <w:rStyle w:val="Text9"/>
          </w:rPr>
          <w:t>489</w:t>
        </w:r>
      </w:hyperlink>
      <w:r>
        <w:t xml:space="preserve"> </w:t>
      </w:r>
      <w:hyperlink r:id="rId1429">
        <w:r>
          <w:rPr>
            <w:rStyle w:val="Text1"/>
          </w:rPr>
          <w:t>Agile Development with Rails</w:t>
        </w:r>
      </w:hyperlink>
      <w:r>
        <w:t xml:space="preserve"> is also a great resource.</w:t>
      </w:r>
    </w:p>
    <w:p>
      <w:pPr>
        <w:pStyle w:val="Para 17"/>
      </w:pPr>
      <w:r>
        <w:t/>
      </w:r>
    </w:p>
    <w:p>
      <w:pPr>
        <w:pStyle w:val="Para 01"/>
      </w:pPr>
      <w:r>
        <w:t>See also</w:t>
      </w:r>
    </w:p>
    <w:p>
      <w:pPr>
        <w:pStyle w:val="Para 17"/>
      </w:pPr>
      <w:r>
        <w:t/>
      </w:r>
    </w:p>
    <w:p>
      <w:pPr>
        <w:pStyle w:val="Para 04"/>
      </w:pPr>
      <w:r>
        <w:t xml:space="preserve">• Explanation: </w:t>
      </w:r>
      <w:hyperlink w:anchor="page_887">
        <w:r>
          <w:rPr>
            <w:rStyle w:val="Text2"/>
          </w:rPr>
          <w:t>Web services</w:t>
        </w:r>
      </w:hyperlink>
      <w:r>
        <w:t xml:space="preserve"> (page 886)</w:t>
      </w:r>
    </w:p>
    <w:p>
      <w:pPr>
        <w:pStyle w:val="Para 05"/>
      </w:pPr>
      <w:r>
        <w:rPr>
          <w:rStyle w:val="Text5"/>
        </w:rPr>
        <w:t>488</w:t>
      </w:r>
      <w:r>
        <w:rPr>
          <w:rStyle w:val="Text8"/>
        </w:rPr>
        <w:t xml:space="preserve"> </w:t>
      </w:r>
      <w:r>
        <w:t>https://rubyonrails.org/</w:t>
      </w:r>
    </w:p>
    <w:p>
      <w:pPr>
        <w:pStyle w:val="Para 05"/>
      </w:pPr>
      <w:r>
        <w:rPr>
          <w:rStyle w:val="Text5"/>
        </w:rPr>
        <w:t>489</w:t>
      </w:r>
      <w:r>
        <w:rPr>
          <w:rStyle w:val="Text8"/>
        </w:rPr>
        <w:t xml:space="preserve"> </w:t>
      </w:r>
      <w:r>
        <w:t>https://pragprog.com/titles/rails7/agile-web-development-with-rails-7/</w:t>
      </w:r>
    </w:p>
    <w:p>
      <w:bookmarkStart w:id="778" w:name="calibre_pb_129"/>
      <w:pPr>
        <w:pStyle w:val="0 Block"/>
      </w:pPr>
      <w:bookmarkEnd w:id="778"/>
    </w:p>
    <w:p>
      <w:bookmarkStart w:id="779" w:name="Top_of_index_split_130_html"/>
      <w:bookmarkStart w:id="780" w:name="page_52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29" name="index-520_1.png" descr="index-520_1.png"/>
            <wp:cNvGraphicFramePr>
              <a:graphicFrameLocks noChangeAspect="1"/>
            </wp:cNvGraphicFramePr>
            <a:graphic>
              <a:graphicData uri="http://schemas.openxmlformats.org/drawingml/2006/picture">
                <pic:pic>
                  <pic:nvPicPr>
                    <pic:cNvPr id="0" name="index-520_1.png" descr="index-520_1.png"/>
                    <pic:cNvPicPr/>
                  </pic:nvPicPr>
                  <pic:blipFill>
                    <a:blip r:embed="rId533"/>
                    <a:stretch>
                      <a:fillRect/>
                    </a:stretch>
                  </pic:blipFill>
                  <pic:spPr>
                    <a:xfrm>
                      <a:off x="0" y="0"/>
                      <a:ext cx="914400" cy="266700"/>
                    </a:xfrm>
                    <a:prstGeom prst="rect">
                      <a:avLst/>
                    </a:prstGeom>
                  </pic:spPr>
                </pic:pic>
              </a:graphicData>
            </a:graphic>
          </wp:anchor>
        </w:drawing>
      </w:r>
      <w:bookmarkEnd w:id="779"/>
      <w:bookmarkEnd w:id="780"/>
    </w:p>
    <w:p>
      <w:pPr>
        <w:pStyle w:val="Para 24"/>
      </w:pPr>
      <w:r>
        <w:t>3.2.8. Graphics</w:t>
      </w:r>
    </w:p>
    <w:p>
      <w:pPr>
        <w:pStyle w:val="Normal"/>
      </w:pPr>
      <w:r>
        <w:t xml:space="preserve">The </w:t>
      </w:r>
      <w:hyperlink w:anchor="page_520">
        <w:r>
          <w:rPr>
            <w:rStyle w:val="Text2"/>
          </w:rPr>
          <w:t>Graphics</w:t>
        </w:r>
      </w:hyperlink>
      <w:r>
        <w:t xml:space="preserve"> (page 519) section contains guides on how to set up both on-system and virtual GPU.</w:t>
      </w:r>
    </w:p>
    <w:p>
      <w:pPr>
        <w:pStyle w:val="Para 17"/>
      </w:pPr>
      <w:r>
        <w:t/>
      </w:r>
    </w:p>
    <w:p>
      <w:pPr>
        <w:pStyle w:val="Para 01"/>
      </w:pPr>
      <w:r>
        <w:t>Graphics</w:t>
      </w:r>
    </w:p>
    <w:p>
      <w:pPr>
        <w:pStyle w:val="Para 17"/>
      </w:pPr>
      <w:r>
        <w:t/>
      </w:r>
    </w:p>
    <w:p>
      <w:pPr>
        <w:pStyle w:val="Para 01"/>
      </w:pPr>
      <w:r>
        <w:t>On-system GPU</w:t>
      </w:r>
    </w:p>
    <w:p>
      <w:pPr>
        <w:pStyle w:val="Para 17"/>
      </w:pPr>
      <w:r>
        <w:t/>
      </w:r>
    </w:p>
    <w:p>
      <w:pPr>
        <w:pStyle w:val="Para 01"/>
      </w:pPr>
      <w:r>
        <w:t>NVIDIA drivers installation</w:t>
      </w:r>
    </w:p>
    <w:p>
      <w:pPr>
        <w:pStyle w:val="Para 17"/>
      </w:pPr>
      <w:r>
        <w:t/>
      </w:r>
    </w:p>
    <w:p>
      <w:pPr>
        <w:pStyle w:val="Normal"/>
      </w:pPr>
      <w:r>
        <w:t>This page shows how to install the NVIDIA drivers from the command line, using either the ubuntu-drivers tool (recommended), or APT.</w:t>
      </w:r>
    </w:p>
    <w:p>
      <w:pPr>
        <w:pStyle w:val="Para 17"/>
      </w:pPr>
      <w:r>
        <w:t/>
      </w:r>
    </w:p>
    <w:p>
      <w:pPr>
        <w:pStyle w:val="Para 03"/>
      </w:pPr>
      <w:r>
        <w:rPr>
          <w:rStyle w:val="Text0"/>
        </w:rPr>
        <w:t>Warning</w:t>
      </w:r>
      <w:r>
        <w:t>: NVIDIA drivers installed from sources outside of those listed in this guide could</w:t>
      </w:r>
    </w:p>
    <w:p>
      <w:pPr>
        <w:pStyle w:val="Para 03"/>
      </w:pPr>
      <w:r>
        <w:t>potentially overwrite those provided by ubuntu-drivers and may break secure boot.</w:t>
      </w:r>
    </w:p>
    <w:p>
      <w:pPr>
        <w:pStyle w:val="Para 17"/>
      </w:pPr>
      <w:r>
        <w:t/>
      </w:r>
    </w:p>
    <w:p>
      <w:pPr>
        <w:pStyle w:val="Para 01"/>
      </w:pPr>
      <w:r>
        <w:t>NVIDIA drivers releases</w:t>
      </w:r>
    </w:p>
    <w:p>
      <w:pPr>
        <w:pStyle w:val="Para 17"/>
      </w:pPr>
      <w:r>
        <w:t/>
      </w:r>
    </w:p>
    <w:p>
      <w:pPr>
        <w:pStyle w:val="Normal"/>
      </w:pPr>
      <w:r>
        <w:t>We package two types of NVIDIA drivers:</w:t>
      </w:r>
    </w:p>
    <w:p>
      <w:pPr>
        <w:pStyle w:val="Para 03"/>
      </w:pPr>
      <w:r>
        <w:t xml:space="preserve">1. </w:t>
      </w:r>
      <w:r>
        <w:rPr>
          <w:rStyle w:val="Text0"/>
        </w:rPr>
        <w:t>Unified Driver Architecture (UDA)</w:t>
      </w:r>
      <w:r>
        <w:t xml:space="preserve"> drivers - which are recommended for the generic</w:t>
      </w:r>
    </w:p>
    <w:p>
      <w:pPr>
        <w:pStyle w:val="Para 02"/>
      </w:pPr>
      <w:r>
        <w:t xml:space="preserve">desktop use, and which you can also find </w:t>
      </w:r>
      <w:hyperlink w:anchor="page_520">
        <w:r>
          <w:rPr>
            <w:rStyle w:val="Text9"/>
          </w:rPr>
          <w:t>490</w:t>
        </w:r>
      </w:hyperlink>
      <w:r>
        <w:t xml:space="preserve"> </w:t>
      </w:r>
      <w:hyperlink r:id="rId1430">
        <w:r>
          <w:rPr>
            <w:rStyle w:val="Text1"/>
          </w:rPr>
          <w:t>on the NVIDIA website</w:t>
        </w:r>
      </w:hyperlink>
      <w:r>
        <w:t>.</w:t>
      </w:r>
    </w:p>
    <w:p>
      <w:pPr>
        <w:pStyle w:val="Para 03"/>
      </w:pPr>
      <w:r>
        <w:t xml:space="preserve">2. </w:t>
      </w:r>
      <w:r>
        <w:rPr>
          <w:rStyle w:val="Text0"/>
        </w:rPr>
        <w:t>Enterprise Ready Drivers</w:t>
      </w:r>
      <w:r>
        <w:t xml:space="preserve"> (</w:t>
      </w:r>
      <w:hyperlink w:anchor="page_681">
        <w:r>
          <w:rPr>
            <w:rStyle w:val="Text2"/>
          </w:rPr>
          <w:t>ERD</w:t>
        </w:r>
      </w:hyperlink>
      <w:r>
        <w:t>) - which are recommended on servers and for comput-</w:t>
      </w:r>
    </w:p>
    <w:p>
      <w:pPr>
        <w:pStyle w:val="Para 02"/>
      </w:pPr>
      <w:r>
        <w:t>ing tasks. Their packages can be recognized by the-server suffix. You can read more</w:t>
      </w:r>
    </w:p>
    <w:p>
      <w:pPr>
        <w:pStyle w:val="Para 32"/>
      </w:pPr>
      <w:r>
        <w:rPr>
          <w:rStyle w:val="Text7"/>
        </w:rPr>
        <w:t xml:space="preserve">about these drivers </w:t>
      </w:r>
      <w:hyperlink w:anchor="page_520">
        <w:r>
          <w:rPr>
            <w:rStyle w:val="Text10"/>
          </w:rPr>
          <w:t>491</w:t>
        </w:r>
      </w:hyperlink>
      <w:r>
        <w:rPr>
          <w:rStyle w:val="Text7"/>
        </w:rPr>
        <w:t xml:space="preserve"> </w:t>
      </w:r>
      <w:hyperlink r:id="rId1431">
        <w:r>
          <w:t>in the NVIDIA documentation</w:t>
        </w:r>
      </w:hyperlink>
      <w:r>
        <w:rPr>
          <w:rStyle w:val="Text7"/>
        </w:rPr>
        <w:t>.</w:t>
      </w:r>
    </w:p>
    <w:p>
      <w:pPr>
        <w:pStyle w:val="Normal"/>
      </w:pPr>
      <w:r>
        <w:t xml:space="preserve">Additionally, we package the </w:t>
      </w:r>
      <w:r>
        <w:rPr>
          <w:rStyle w:val="Text0"/>
        </w:rPr>
        <w:t>NVIDIA Fabric Manager</w:t>
      </w:r>
      <w:r>
        <w:t xml:space="preserve"> and the </w:t>
      </w:r>
      <w:r>
        <w:rPr>
          <w:rStyle w:val="Text0"/>
        </w:rPr>
        <w:t>NVIDIA Switch Configuration and Query (NSCQ) Library</w:t>
      </w:r>
      <w:r>
        <w:t>, which you will only need if you have NVswitch hardware. The Fabric Manager and NSCQ library are only available with the ERDs or-server driver versions.</w:t>
      </w:r>
    </w:p>
    <w:p>
      <w:pPr>
        <w:pStyle w:val="Para 17"/>
      </w:pPr>
      <w:r>
        <w:t/>
      </w:r>
    </w:p>
    <w:p>
      <w:pPr>
        <w:pStyle w:val="Para 01"/>
      </w:pPr>
      <w:r>
        <w:t>Check driver versions</w:t>
      </w:r>
    </w:p>
    <w:p>
      <w:pPr>
        <w:pStyle w:val="Para 17"/>
      </w:pPr>
      <w:r>
        <w:t/>
      </w:r>
    </w:p>
    <w:p>
      <w:pPr>
        <w:pStyle w:val="Normal"/>
      </w:pPr>
      <w:r>
        <w:t>To check the version of your currently running driver:</w:t>
      </w:r>
    </w:p>
    <w:p>
      <w:pPr>
        <w:pStyle w:val="Normal"/>
      </w:pPr>
      <w:r>
        <w:t>cat /proc/driver/nvidia/version</w:t>
      </w:r>
    </w:p>
    <w:p>
      <w:pPr>
        <w:pStyle w:val="Para 05"/>
      </w:pPr>
      <w:r>
        <w:rPr>
          <w:rStyle w:val="Text5"/>
        </w:rPr>
        <w:t>490</w:t>
      </w:r>
      <w:r>
        <w:rPr>
          <w:rStyle w:val="Text8"/>
        </w:rPr>
        <w:t xml:space="preserve"> </w:t>
      </w:r>
      <w:r>
        <w:t>https://www.nvidia.com/en-us/drivers/unix/</w:t>
      </w:r>
    </w:p>
    <w:p>
      <w:pPr>
        <w:pStyle w:val="Para 05"/>
      </w:pPr>
      <w:r>
        <w:rPr>
          <w:rStyle w:val="Text5"/>
        </w:rPr>
        <w:t>491</w:t>
      </w:r>
      <w:r>
        <w:rPr>
          <w:rStyle w:val="Text8"/>
        </w:rPr>
        <w:t xml:space="preserve"> </w:t>
      </w:r>
      <w:r>
        <w:t>https://docs.nvidia.com/datacenter/tesla/index.html</w:t>
      </w:r>
    </w:p>
    <w:p>
      <w:bookmarkStart w:id="781" w:name="calibre_pb_130"/>
      <w:pPr>
        <w:pStyle w:val="0 Block"/>
      </w:pPr>
      <w:bookmarkEnd w:id="781"/>
    </w:p>
    <w:p>
      <w:bookmarkStart w:id="782" w:name="page_521"/>
      <w:bookmarkStart w:id="783" w:name="Top_of_index_split_13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0" name="index-521_1.png" descr="index-521_1.png"/>
            <wp:cNvGraphicFramePr>
              <a:graphicFrameLocks noChangeAspect="1"/>
            </wp:cNvGraphicFramePr>
            <a:graphic>
              <a:graphicData uri="http://schemas.openxmlformats.org/drawingml/2006/picture">
                <pic:pic>
                  <pic:nvPicPr>
                    <pic:cNvPr id="0" name="index-521_1.png" descr="index-521_1.png"/>
                    <pic:cNvPicPr/>
                  </pic:nvPicPr>
                  <pic:blipFill>
                    <a:blip r:embed="rId534"/>
                    <a:stretch>
                      <a:fillRect/>
                    </a:stretch>
                  </pic:blipFill>
                  <pic:spPr>
                    <a:xfrm>
                      <a:off x="0" y="0"/>
                      <a:ext cx="914400" cy="266700"/>
                    </a:xfrm>
                    <a:prstGeom prst="rect">
                      <a:avLst/>
                    </a:prstGeom>
                  </pic:spPr>
                </pic:pic>
              </a:graphicData>
            </a:graphic>
          </wp:anchor>
        </w:drawing>
      </w:r>
      <w:bookmarkEnd w:id="782"/>
      <w:bookmarkEnd w:id="783"/>
    </w:p>
    <w:p>
      <w:pPr>
        <w:pStyle w:val="Para 01"/>
      </w:pPr>
      <w:r>
        <w:t>The recommended way (ubuntu-drivers tool)</w:t>
      </w:r>
    </w:p>
    <w:p>
      <w:pPr>
        <w:pStyle w:val="Para 17"/>
      </w:pPr>
      <w:r>
        <w:t/>
      </w:r>
    </w:p>
    <w:p>
      <w:pPr>
        <w:pStyle w:val="Normal"/>
      </w:pPr>
      <w:r>
        <w:t>The ubuntu-drivers tool relies on the same logic as the “Additional Drivers” graphical tool, and allows more flexibility on desktops and on servers.</w:t>
      </w:r>
    </w:p>
    <w:p>
      <w:pPr>
        <w:pStyle w:val="Normal"/>
      </w:pPr>
      <w:r>
        <w:t>The ubuntu-drivers tool is recommended if your computer uses Secure Boot, since it will, by default, only install the pre-built, signed drivers which are known to work with Secure Boot. (Refer to “Building your own kernel modules using the NVIDIA DKMS package” later in this page if you have a specific use case that requires the DKMS drivers.)</w:t>
      </w:r>
    </w:p>
    <w:p>
      <w:pPr>
        <w:pStyle w:val="Normal"/>
      </w:pPr>
      <w:r>
        <w:t>Note that if you currently have a version of the Nvidia drivers installed that conflicts with those being installed by ubuntu-drivers, ubuntu-drivers will uninstall your original drivers before installing the new drivers.</w:t>
      </w:r>
    </w:p>
    <w:p>
      <w:pPr>
        <w:pStyle w:val="Para 17"/>
      </w:pPr>
      <w:r>
        <w:t/>
      </w:r>
    </w:p>
    <w:p>
      <w:pPr>
        <w:pStyle w:val="Para 01"/>
      </w:pPr>
      <w:r>
        <w:t>Ensure your system and kernel is up-to-date</w:t>
      </w:r>
    </w:p>
    <w:p>
      <w:pPr>
        <w:pStyle w:val="Para 17"/>
      </w:pPr>
      <w:r>
        <w:t/>
      </w:r>
    </w:p>
    <w:p>
      <w:pPr>
        <w:pStyle w:val="Normal"/>
      </w:pPr>
      <w:r>
        <w:t>sudo apt update</w:t>
        <w:t xml:space="preserve"> </w:t>
        <w:t>&amp;&amp;</w:t>
        <w:t xml:space="preserve"> </w:t>
        <w:t>sudo apt upgrade</w:t>
      </w:r>
    </w:p>
    <w:p>
      <w:pPr>
        <w:pStyle w:val="Para 17"/>
      </w:pPr>
      <w:r>
        <w:t/>
      </w:r>
    </w:p>
    <w:p>
      <w:pPr>
        <w:pStyle w:val="Normal"/>
      </w:pPr>
      <w:r>
        <w:t>After the update is complete, reboot your system.</w:t>
      </w:r>
    </w:p>
    <w:p>
      <w:pPr>
        <w:pStyle w:val="Para 17"/>
      </w:pPr>
      <w:r>
        <w:t/>
      </w:r>
    </w:p>
    <w:p>
      <w:pPr>
        <w:pStyle w:val="Para 01"/>
      </w:pPr>
      <w:r>
        <w:t>Check the available drivers for your hardware</w:t>
      </w:r>
    </w:p>
    <w:p>
      <w:pPr>
        <w:pStyle w:val="Para 17"/>
      </w:pPr>
      <w:r>
        <w:t/>
      </w:r>
    </w:p>
    <w:p>
      <w:pPr>
        <w:pStyle w:val="Normal"/>
      </w:pPr>
      <w:r>
        <w:t>For desktop:</w:t>
      </w:r>
    </w:p>
    <w:p>
      <w:pPr>
        <w:pStyle w:val="Normal"/>
      </w:pPr>
      <w:r>
        <w:t>sudo ubuntu-drivers list</w:t>
      </w:r>
    </w:p>
    <w:p>
      <w:pPr>
        <w:pStyle w:val="Para 17"/>
      </w:pPr>
      <w:r>
        <w:t/>
      </w:r>
    </w:p>
    <w:p>
      <w:pPr>
        <w:pStyle w:val="Normal"/>
      </w:pPr>
      <w:r>
        <w:t>or, for servers:</w:t>
      </w:r>
    </w:p>
    <w:p>
      <w:pPr>
        <w:pStyle w:val="Normal"/>
      </w:pPr>
      <w:r>
        <w:t>sudo ubuntu-drivers list --gpgpu</w:t>
      </w:r>
    </w:p>
    <w:p>
      <w:pPr>
        <w:pStyle w:val="Para 17"/>
      </w:pPr>
      <w:r>
        <w:t/>
      </w:r>
    </w:p>
    <w:p>
      <w:pPr>
        <w:pStyle w:val="Normal"/>
      </w:pPr>
      <w:r>
        <w:t>You should see a list such as the following:</w:t>
      </w:r>
    </w:p>
    <w:p>
      <w:pPr>
        <w:pStyle w:val="Normal"/>
      </w:pPr>
      <w:r>
        <w:t>nvidia-driver-470</w:t>
      </w:r>
    </w:p>
    <w:p>
      <w:pPr>
        <w:pStyle w:val="Normal"/>
      </w:pPr>
      <w:r>
        <w:t>nvidia-driver-470-server</w:t>
      </w:r>
    </w:p>
    <w:p>
      <w:pPr>
        <w:pStyle w:val="Normal"/>
      </w:pPr>
      <w:r>
        <w:t>nvidia-driver-535</w:t>
      </w:r>
    </w:p>
    <w:p>
      <w:pPr>
        <w:pStyle w:val="Normal"/>
      </w:pPr>
      <w:r>
        <w:t>nvidia-driver-535-open</w:t>
      </w:r>
    </w:p>
    <w:p>
      <w:pPr>
        <w:pStyle w:val="Normal"/>
      </w:pPr>
      <w:r>
        <w:t>nvidia-driver-535-server</w:t>
      </w:r>
    </w:p>
    <w:p>
      <w:pPr>
        <w:pStyle w:val="Normal"/>
      </w:pPr>
      <w:r>
        <w:t>nvidia-driver-535-server-open</w:t>
      </w:r>
    </w:p>
    <w:p>
      <w:pPr>
        <w:pStyle w:val="Normal"/>
      </w:pPr>
      <w:r>
        <w:t>nvidia-driver-550</w:t>
      </w:r>
    </w:p>
    <w:p>
      <w:pPr>
        <w:pStyle w:val="Normal"/>
      </w:pPr>
      <w:r>
        <w:t>nvidia-driver-550-open</w:t>
      </w:r>
    </w:p>
    <w:p>
      <w:pPr>
        <w:pStyle w:val="Normal"/>
      </w:pPr>
      <w:r>
        <w:t>nvidia-driver-550-server</w:t>
      </w:r>
    </w:p>
    <w:p>
      <w:pPr>
        <w:pStyle w:val="Normal"/>
      </w:pPr>
      <w:r>
        <w:t>nvidia-driver-550-server-open</w:t>
      </w:r>
    </w:p>
    <w:p>
      <w:bookmarkStart w:id="784" w:name="calibre_pb_131"/>
      <w:pPr>
        <w:pStyle w:val="0 Block"/>
      </w:pPr>
      <w:bookmarkEnd w:id="784"/>
    </w:p>
    <w:p>
      <w:bookmarkStart w:id="785" w:name="page_522"/>
      <w:bookmarkStart w:id="786" w:name="Top_of_index_split_13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1" name="index-522_1.png" descr="index-522_1.png"/>
            <wp:cNvGraphicFramePr>
              <a:graphicFrameLocks noChangeAspect="1"/>
            </wp:cNvGraphicFramePr>
            <a:graphic>
              <a:graphicData uri="http://schemas.openxmlformats.org/drawingml/2006/picture">
                <pic:pic>
                  <pic:nvPicPr>
                    <pic:cNvPr id="0" name="index-522_1.png" descr="index-522_1.png"/>
                    <pic:cNvPicPr/>
                  </pic:nvPicPr>
                  <pic:blipFill>
                    <a:blip r:embed="rId535"/>
                    <a:stretch>
                      <a:fillRect/>
                    </a:stretch>
                  </pic:blipFill>
                  <pic:spPr>
                    <a:xfrm>
                      <a:off x="0" y="0"/>
                      <a:ext cx="914400" cy="266700"/>
                    </a:xfrm>
                    <a:prstGeom prst="rect">
                      <a:avLst/>
                    </a:prstGeom>
                  </pic:spPr>
                </pic:pic>
              </a:graphicData>
            </a:graphic>
          </wp:anchor>
        </w:drawing>
      </w:r>
      <w:bookmarkEnd w:id="785"/>
      <w:bookmarkEnd w:id="786"/>
    </w:p>
    <w:p>
      <w:pPr>
        <w:pStyle w:val="Para 01"/>
      </w:pPr>
      <w:r>
        <w:t>Installing the drivers for generic use (e.g. desktop and gaming)</w:t>
      </w:r>
    </w:p>
    <w:p>
      <w:pPr>
        <w:pStyle w:val="Para 17"/>
      </w:pPr>
      <w:r>
        <w:t/>
      </w:r>
    </w:p>
    <w:p>
      <w:pPr>
        <w:pStyle w:val="Normal"/>
      </w:pPr>
      <w:r>
        <w:t>You can either rely on automatic detection, which will install the driver that is considered the best match for your hardware:</w:t>
      </w:r>
    </w:p>
    <w:p>
      <w:pPr>
        <w:pStyle w:val="Normal"/>
      </w:pPr>
      <w:r>
        <w:t>sudo ubuntu-drivers install</w:t>
      </w:r>
    </w:p>
    <w:p>
      <w:pPr>
        <w:pStyle w:val="Para 17"/>
      </w:pPr>
      <w:r>
        <w:t/>
      </w:r>
    </w:p>
    <w:p>
      <w:pPr>
        <w:pStyle w:val="Normal"/>
      </w:pPr>
      <w:r>
        <w:t>Or you can tell the ubuntu-drivers tool which driver you would like installed. If this is the case, you will have to use the driver version (such as 535) that you saw when you used the ubuntu-drivers list command.</w:t>
      </w:r>
    </w:p>
    <w:p>
      <w:pPr>
        <w:pStyle w:val="Normal"/>
      </w:pPr>
      <w:r>
        <w:t>Let’s assume we want to install the 535 driver:</w:t>
      </w:r>
    </w:p>
    <w:p>
      <w:pPr>
        <w:pStyle w:val="Normal"/>
      </w:pPr>
      <w:r>
        <w:t>sudo ubuntu-drivers install nvidia:535</w:t>
      </w:r>
    </w:p>
    <w:p>
      <w:pPr>
        <w:pStyle w:val="Para 17"/>
      </w:pPr>
      <w:r>
        <w:t/>
      </w:r>
    </w:p>
    <w:p>
      <w:pPr>
        <w:pStyle w:val="Para 01"/>
      </w:pPr>
      <w:r>
        <w:t>Installing the drivers on servers and/or for computing purposes</w:t>
      </w:r>
    </w:p>
    <w:p>
      <w:pPr>
        <w:pStyle w:val="Para 17"/>
      </w:pPr>
      <w:r>
        <w:t/>
      </w:r>
    </w:p>
    <w:p>
      <w:pPr>
        <w:pStyle w:val="Normal"/>
      </w:pPr>
      <w:r>
        <w:t>You can either rely on automatic detection, which will install the driver that is considered the best match for your hardware:</w:t>
      </w:r>
    </w:p>
    <w:p>
      <w:pPr>
        <w:pStyle w:val="Normal"/>
      </w:pPr>
      <w:r>
        <w:t>sudo ubuntu-drivers install --gpgpu</w:t>
      </w:r>
    </w:p>
    <w:p>
      <w:pPr>
        <w:pStyle w:val="Para 17"/>
      </w:pPr>
      <w:r>
        <w:t/>
      </w:r>
    </w:p>
    <w:p>
      <w:pPr>
        <w:pStyle w:val="Normal"/>
      </w:pPr>
      <w:r>
        <w:t>Or you can tell the ubuntu-drivers tool which driver you would like installed. If this is the case, you will have to use the driver version (such as 535) and the-server suffix that you saw when you used the ubuntu-drivers list --gpgpu command.</w:t>
      </w:r>
    </w:p>
    <w:p>
      <w:pPr>
        <w:pStyle w:val="Normal"/>
      </w:pPr>
      <w:r>
        <w:t>Let’s assume we want to install the 535-server driver (listed as nvidia-driver-535-server):</w:t>
      </w:r>
    </w:p>
    <w:p>
      <w:pPr>
        <w:pStyle w:val="Normal"/>
      </w:pPr>
      <w:r>
        <w:t>sudo ubuntu-drivers install --gpgpu nvidia:535-server</w:t>
      </w:r>
    </w:p>
    <w:p>
      <w:pPr>
        <w:pStyle w:val="Para 17"/>
      </w:pPr>
      <w:r>
        <w:t/>
      </w:r>
    </w:p>
    <w:p>
      <w:pPr>
        <w:pStyle w:val="Normal"/>
      </w:pPr>
      <w:r>
        <w:t>You will also want to install the following additional components:</w:t>
      </w:r>
    </w:p>
    <w:p>
      <w:pPr>
        <w:pStyle w:val="Normal"/>
      </w:pPr>
      <w:r>
        <w:t>sudo apt install nvidia-utils-535-server</w:t>
      </w:r>
    </w:p>
    <w:p>
      <w:pPr>
        <w:pStyle w:val="Para 17"/>
      </w:pPr>
      <w:r>
        <w:t/>
      </w:r>
    </w:p>
    <w:p>
      <w:pPr>
        <w:pStyle w:val="Para 01"/>
      </w:pPr>
      <w:r>
        <w:t>Optional step</w:t>
      </w:r>
    </w:p>
    <w:p>
      <w:pPr>
        <w:pStyle w:val="Para 17"/>
      </w:pPr>
      <w:r>
        <w:t/>
      </w:r>
    </w:p>
    <w:p>
      <w:pPr>
        <w:pStyle w:val="Normal"/>
      </w:pPr>
      <w:r>
        <w:t>If your system comes with NVswitch hardware, then you will want to install Fabric Manager and the NVSwitch Configuration and Query library. You can do so by running the following:</w:t>
      </w:r>
    </w:p>
    <w:p>
      <w:pPr>
        <w:pStyle w:val="Normal"/>
      </w:pPr>
      <w:r>
        <w:t>sudo apt install nvidia-fabricmanager-535 libnvidia-nscq-535</w:t>
      </w:r>
    </w:p>
    <w:p>
      <w:pPr>
        <w:pStyle w:val="Para 17"/>
      </w:pPr>
      <w:r>
        <w:t/>
      </w:r>
    </w:p>
    <w:p>
      <w:pPr>
        <w:pStyle w:val="Para 08"/>
      </w:pPr>
      <w:r>
        <w:t>Note:</w:t>
      </w:r>
    </w:p>
    <w:p>
      <w:pPr>
        <w:pStyle w:val="Para 03"/>
      </w:pPr>
      <w:r>
        <w:t>While nvidia-fabricmanager and libnvidia-nscq do not have the same-server label in</w:t>
      </w:r>
    </w:p>
    <w:p>
      <w:pPr>
        <w:pStyle w:val="Para 03"/>
      </w:pPr>
      <w:r>
        <w:t>their name, they are really meant to match the-server drivers in the Ubuntu archive.</w:t>
      </w:r>
    </w:p>
    <w:p>
      <w:pPr>
        <w:pStyle w:val="Para 03"/>
      </w:pPr>
      <w:r>
        <w:t>For example, nvidia-fabricmanager-535 will match the nvidia-driver-535-server pack-</w:t>
      </w:r>
    </w:p>
    <w:p>
      <w:pPr>
        <w:pStyle w:val="Para 03"/>
      </w:pPr>
      <w:r>
        <w:t>age version (not the nvidia-driver-535 package).</w:t>
      </w:r>
    </w:p>
    <w:p>
      <w:bookmarkStart w:id="787" w:name="page_5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2" name="index-523_1.png" descr="index-523_1.png"/>
            <wp:cNvGraphicFramePr>
              <a:graphicFrameLocks noChangeAspect="1"/>
            </wp:cNvGraphicFramePr>
            <a:graphic>
              <a:graphicData uri="http://schemas.openxmlformats.org/drawingml/2006/picture">
                <pic:pic>
                  <pic:nvPicPr>
                    <pic:cNvPr id="0" name="index-523_1.png" descr="index-523_1.png"/>
                    <pic:cNvPicPr/>
                  </pic:nvPicPr>
                  <pic:blipFill>
                    <a:blip r:embed="rId536"/>
                    <a:stretch>
                      <a:fillRect/>
                    </a:stretch>
                  </pic:blipFill>
                  <pic:spPr>
                    <a:xfrm>
                      <a:off x="0" y="0"/>
                      <a:ext cx="914400" cy="266700"/>
                    </a:xfrm>
                    <a:prstGeom prst="rect">
                      <a:avLst/>
                    </a:prstGeom>
                  </pic:spPr>
                </pic:pic>
              </a:graphicData>
            </a:graphic>
          </wp:anchor>
        </w:drawing>
      </w:r>
      <w:bookmarkEnd w:id="787"/>
    </w:p>
    <w:p>
      <w:pPr>
        <w:pStyle w:val="Para 01"/>
      </w:pPr>
      <w:r>
        <w:t>Manual driver installation (using APT)</w:t>
      </w:r>
    </w:p>
    <w:p>
      <w:pPr>
        <w:pStyle w:val="Para 17"/>
      </w:pPr>
      <w:r>
        <w:t/>
      </w:r>
    </w:p>
    <w:p>
      <w:pPr>
        <w:pStyle w:val="Normal"/>
      </w:pPr>
      <w:r>
        <w:t>Installing the NVIDIA driver manually means installing the correct kernel modules first, then installing the metapackage for the driver series.</w:t>
      </w:r>
    </w:p>
    <w:p>
      <w:pPr>
        <w:pStyle w:val="Para 17"/>
      </w:pPr>
      <w:r>
        <w:t/>
      </w:r>
    </w:p>
    <w:p>
      <w:pPr>
        <w:pStyle w:val="Para 01"/>
      </w:pPr>
      <w:r>
        <w:t>Installing the kernel modules</w:t>
      </w:r>
    </w:p>
    <w:p>
      <w:pPr>
        <w:pStyle w:val="Para 17"/>
      </w:pPr>
      <w:r>
        <w:t/>
      </w:r>
    </w:p>
    <w:p>
      <w:pPr>
        <w:pStyle w:val="Normal"/>
      </w:pPr>
      <w:r>
        <w:t>If your system uses Secure Boot (as most x86 modern systems do), your kernel will require the kernel modules to be signed. There are two (mutually exclusive) ways to achieve this.</w:t>
      </w:r>
    </w:p>
    <w:p>
      <w:pPr>
        <w:pStyle w:val="Para 17"/>
      </w:pPr>
      <w:r>
        <w:t/>
      </w:r>
    </w:p>
    <w:p>
      <w:pPr>
        <w:pStyle w:val="Para 01"/>
      </w:pPr>
      <w:r>
        <w:t>Installing the pre-compiled NVIDIA modules for your kernel</w:t>
      </w:r>
    </w:p>
    <w:p>
      <w:pPr>
        <w:pStyle w:val="Para 17"/>
      </w:pPr>
      <w:r>
        <w:t/>
      </w:r>
    </w:p>
    <w:p>
      <w:pPr>
        <w:pStyle w:val="Normal"/>
      </w:pPr>
      <w:r>
        <w:t>Install the metapackage for your kernel flavour (e.g. generic, lowlatency, etc) which is spe-cific to the driver branch (e.g. 535) that you want to install, and whether you want the com-pute vs. general display driver (e.g.-server or not):</w:t>
      </w:r>
    </w:p>
    <w:p>
      <w:pPr>
        <w:pStyle w:val="Normal"/>
      </w:pPr>
      <w:r>
        <w:t>sudo apt install linux-modules-nvidia-</w:t>
      </w:r>
      <w:r>
        <w:rPr>
          <w:rStyle w:val="Text3"/>
        </w:rPr>
        <w:t>${</w:t>
      </w:r>
      <w:r>
        <w:t>DRIVER_BRANCH</w:t>
      </w:r>
      <w:r>
        <w:rPr>
          <w:rStyle w:val="Text3"/>
        </w:rPr>
        <w:t>}${</w:t>
      </w:r>
      <w:r>
        <w:t xml:space="preserve"> </w:t>
        <w:t>SERVER</w:t>
      </w:r>
      <w:r>
        <w:rPr>
          <w:rStyle w:val="Text3"/>
        </w:rPr>
        <w:t>}</w:t>
      </w:r>
      <w:r>
        <w:t>-</w:t>
      </w:r>
      <w:r>
        <w:rPr>
          <w:rStyle w:val="Text3"/>
        </w:rPr>
        <w:t>${</w:t>
      </w:r>
      <w:r>
        <w:t>LINUX_FLAVOUR</w:t>
      </w:r>
      <w:r>
        <w:rPr>
          <w:rStyle w:val="Text3"/>
        </w:rPr>
        <w:t>}</w:t>
      </w:r>
    </w:p>
    <w:p>
      <w:pPr>
        <w:pStyle w:val="Para 17"/>
      </w:pPr>
      <w:r>
        <w:t/>
      </w:r>
    </w:p>
    <w:p>
      <w:pPr>
        <w:pStyle w:val="Normal"/>
      </w:pPr>
      <w:r>
        <w:t>(e.g. linux-modules-nvidia-535-generic)</w:t>
      </w:r>
    </w:p>
    <w:p>
      <w:pPr>
        <w:pStyle w:val="Normal"/>
      </w:pPr>
      <w:r>
        <w:t>Check that the modules for your specific kernel/</w:t>
      </w:r>
      <w:hyperlink w:anchor="page_668">
        <w:r>
          <w:rPr>
            <w:rStyle w:val="Text2"/>
          </w:rPr>
          <w:t>ABI</w:t>
        </w:r>
      </w:hyperlink>
      <w:r>
        <w:t xml:space="preserve"> were installed by the metapackage:</w:t>
      </w:r>
    </w:p>
    <w:p>
      <w:pPr>
        <w:pStyle w:val="Normal"/>
      </w:pPr>
      <w:r>
        <w:t>sudo apt-cache policy linux-modules-nvidia-</w:t>
      </w:r>
      <w:r>
        <w:rPr>
          <w:rStyle w:val="Text3"/>
        </w:rPr>
        <w:t>${</w:t>
      </w:r>
      <w:r>
        <w:t>DRIVER_BRANCH</w:t>
      </w:r>
      <w:r>
        <w:rPr>
          <w:rStyle w:val="Text3"/>
        </w:rPr>
        <w:t>}${</w:t>
      </w:r>
      <w:r>
        <w:t xml:space="preserve"> </w:t>
        <w:t>SERVER</w:t>
      </w:r>
      <w:r>
        <w:rPr>
          <w:rStyle w:val="Text3"/>
        </w:rPr>
        <w:t>}</w:t>
      </w:r>
      <w:r>
        <w:t>-</w:t>
      </w:r>
      <w:r>
        <w:rPr>
          <w:rStyle w:val="Text0"/>
        </w:rPr>
        <w:t>$(</w:t>
      </w:r>
      <w:r>
        <w:t>uname -r</w:t>
      </w:r>
      <w:r>
        <w:rPr>
          <w:rStyle w:val="Text0"/>
        </w:rPr>
        <w:t>)</w:t>
      </w:r>
    </w:p>
    <w:p>
      <w:pPr>
        <w:pStyle w:val="Para 17"/>
      </w:pPr>
      <w:r>
        <w:t/>
      </w:r>
    </w:p>
    <w:p>
      <w:pPr>
        <w:pStyle w:val="Normal"/>
      </w:pPr>
      <w:r>
        <w:t>(e.g. sudo apt-cache policy linux-modules-nvidia-535-$(uname -r))</w:t>
      </w:r>
    </w:p>
    <w:p>
      <w:pPr>
        <w:pStyle w:val="Normal"/>
      </w:pPr>
      <w:r>
        <w:t>If the modules were not installed for your current running kernel, upgrade to the latest kernel or install them by specifying the running kernel version:</w:t>
      </w:r>
    </w:p>
    <w:p>
      <w:pPr>
        <w:pStyle w:val="Normal"/>
      </w:pPr>
      <w:r>
        <w:t>sudo apt install linux-modules-nvidia-</w:t>
      </w:r>
      <w:r>
        <w:rPr>
          <w:rStyle w:val="Text3"/>
        </w:rPr>
        <w:t>${</w:t>
      </w:r>
      <w:r>
        <w:t>DRIVER_BRANCH</w:t>
      </w:r>
      <w:r>
        <w:rPr>
          <w:rStyle w:val="Text3"/>
        </w:rPr>
        <w:t>}${</w:t>
      </w:r>
      <w:r>
        <w:t xml:space="preserve"> </w:t>
        <w:t>SERVER</w:t>
      </w:r>
      <w:r>
        <w:rPr>
          <w:rStyle w:val="Text3"/>
        </w:rPr>
        <w:t>}</w:t>
      </w:r>
      <w:r>
        <w:t>-</w:t>
      </w:r>
      <w:r>
        <w:rPr>
          <w:rStyle w:val="Text0"/>
        </w:rPr>
        <w:t>$(</w:t>
      </w:r>
      <w:r>
        <w:t>uname -r</w:t>
      </w:r>
      <w:r>
        <w:rPr>
          <w:rStyle w:val="Text0"/>
        </w:rPr>
        <w:t>)</w:t>
      </w:r>
    </w:p>
    <w:p>
      <w:pPr>
        <w:pStyle w:val="Para 17"/>
      </w:pPr>
      <w:r>
        <w:t/>
      </w:r>
    </w:p>
    <w:p>
      <w:pPr>
        <w:pStyle w:val="Normal"/>
      </w:pPr>
      <w:r>
        <w:t>(e.g. sudo apt install linux-modules-nvidia-535-$(uname -r))</w:t>
      </w:r>
    </w:p>
    <w:p>
      <w:pPr>
        <w:pStyle w:val="Para 17"/>
      </w:pPr>
      <w:r>
        <w:t/>
      </w:r>
    </w:p>
    <w:p>
      <w:pPr>
        <w:pStyle w:val="Para 01"/>
      </w:pPr>
      <w:r>
        <w:t>Building your own kernel modules using the NVIDIA DKMS package</w:t>
      </w:r>
    </w:p>
    <w:p>
      <w:pPr>
        <w:pStyle w:val="Para 17"/>
      </w:pPr>
      <w:r>
        <w:t/>
      </w:r>
    </w:p>
    <w:p>
      <w:pPr>
        <w:pStyle w:val="Normal"/>
      </w:pPr>
      <w:r>
        <w:t>Note: We don’t recommend using the DKMS modules unless you are running a custom kernel for which the prebuilt drivers are not supported. This is because the DKMS drivers are not signed with Canonical’s key and thus do not support secure boot.</w:t>
      </w:r>
    </w:p>
    <w:p>
      <w:pPr>
        <w:pStyle w:val="Normal"/>
      </w:pPr>
      <w:r>
        <w:t xml:space="preserve">Install the relevant NVIDIA </w:t>
      </w:r>
      <w:hyperlink w:anchor="page_678">
        <w:r>
          <w:rPr>
            <w:rStyle w:val="Text2"/>
          </w:rPr>
          <w:t>DKMS</w:t>
        </w:r>
      </w:hyperlink>
      <w:r>
        <w:t xml:space="preserve"> package and linux-headers to build the kernel modules, and enroll your own key to sign the modules.</w:t>
      </w:r>
    </w:p>
    <w:p>
      <w:pPr>
        <w:pStyle w:val="Normal"/>
      </w:pPr>
      <w:r>
        <w:t>Install the linux-headers metapackage for your kernel flavour (e.g. generic, lowlatency, etc):</w:t>
      </w:r>
    </w:p>
    <w:p>
      <w:pPr>
        <w:pStyle w:val="Normal"/>
      </w:pPr>
      <w:r>
        <w:t>sudo apt install linux-headers-</w:t>
      </w:r>
      <w:r>
        <w:rPr>
          <w:rStyle w:val="Text3"/>
        </w:rPr>
        <w:t>${</w:t>
      </w:r>
      <w:r>
        <w:t>LINUX_FLAVOUR</w:t>
      </w:r>
      <w:r>
        <w:rPr>
          <w:rStyle w:val="Text3"/>
        </w:rPr>
        <w:t>}</w:t>
      </w:r>
    </w:p>
    <w:p>
      <w:pPr>
        <w:pStyle w:val="Para 17"/>
      </w:pPr>
      <w:r>
        <w:t/>
      </w:r>
    </w:p>
    <w:p>
      <w:pPr>
        <w:pStyle w:val="Normal"/>
      </w:pPr>
      <w:r>
        <w:t>Check that the headers for your specific kernel were installed by the metapackage:</w:t>
      </w:r>
    </w:p>
    <w:p>
      <w:pPr>
        <w:pStyle w:val="Normal"/>
      </w:pPr>
      <w:r>
        <w:t>sudo apt-cache policy linux-headers-</w:t>
      </w:r>
      <w:r>
        <w:rPr>
          <w:rStyle w:val="Text0"/>
        </w:rPr>
        <w:t>$(</w:t>
      </w:r>
      <w:r>
        <w:t>uname -r</w:t>
      </w:r>
      <w:r>
        <w:rPr>
          <w:rStyle w:val="Text0"/>
        </w:rPr>
        <w:t>)</w:t>
      </w:r>
    </w:p>
    <w:p>
      <w:pPr>
        <w:pStyle w:val="Para 17"/>
      </w:pPr>
      <w:r>
        <w:t/>
      </w:r>
    </w:p>
    <w:p>
      <w:pPr>
        <w:pStyle w:val="Normal"/>
      </w:pPr>
      <w:r>
        <w:t>If the headers for your current running kernel were not installed, install them by specifying the running kernel version:</w:t>
      </w:r>
    </w:p>
    <w:p>
      <w:bookmarkStart w:id="788" w:name="page_5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3" name="index-524_1.png" descr="index-524_1.png"/>
            <wp:cNvGraphicFramePr>
              <a:graphicFrameLocks noChangeAspect="1"/>
            </wp:cNvGraphicFramePr>
            <a:graphic>
              <a:graphicData uri="http://schemas.openxmlformats.org/drawingml/2006/picture">
                <pic:pic>
                  <pic:nvPicPr>
                    <pic:cNvPr id="0" name="index-524_1.png" descr="index-524_1.png"/>
                    <pic:cNvPicPr/>
                  </pic:nvPicPr>
                  <pic:blipFill>
                    <a:blip r:embed="rId537"/>
                    <a:stretch>
                      <a:fillRect/>
                    </a:stretch>
                  </pic:blipFill>
                  <pic:spPr>
                    <a:xfrm>
                      <a:off x="0" y="0"/>
                      <a:ext cx="914400" cy="266700"/>
                    </a:xfrm>
                    <a:prstGeom prst="rect">
                      <a:avLst/>
                    </a:prstGeom>
                  </pic:spPr>
                </pic:pic>
              </a:graphicData>
            </a:graphic>
          </wp:anchor>
        </w:drawing>
      </w:r>
      <w:bookmarkEnd w:id="788"/>
    </w:p>
    <w:p>
      <w:pPr>
        <w:pStyle w:val="Normal"/>
      </w:pPr>
      <w:r>
        <w:t>sudo apt install linux-headers-</w:t>
      </w:r>
      <w:r>
        <w:rPr>
          <w:rStyle w:val="Text0"/>
        </w:rPr>
        <w:t>$(</w:t>
      </w:r>
      <w:r>
        <w:t>uname -r</w:t>
      </w:r>
      <w:r>
        <w:rPr>
          <w:rStyle w:val="Text0"/>
        </w:rPr>
        <w:t>)</w:t>
      </w:r>
    </w:p>
    <w:p>
      <w:pPr>
        <w:pStyle w:val="Para 17"/>
      </w:pPr>
      <w:r>
        <w:t/>
      </w:r>
    </w:p>
    <w:p>
      <w:pPr>
        <w:pStyle w:val="Normal"/>
      </w:pPr>
      <w:r>
        <w:t>Finally, install the NVIDIA DKMS package for your desired driver series (this may automati-cally guide you through creating and enrolling a new key for Secure Boot):</w:t>
      </w:r>
    </w:p>
    <w:p>
      <w:pPr>
        <w:pStyle w:val="Normal"/>
      </w:pPr>
      <w:r>
        <w:t>sudo apt install nvidia-dkms-</w:t>
      </w:r>
      <w:r>
        <w:rPr>
          <w:rStyle w:val="Text3"/>
        </w:rPr>
        <w:t>${</w:t>
      </w:r>
      <w:r>
        <w:t>DRIVER_BRANCH</w:t>
      </w:r>
      <w:r>
        <w:rPr>
          <w:rStyle w:val="Text3"/>
        </w:rPr>
        <w:t>}${</w:t>
      </w:r>
      <w:r>
        <w:t>SERVER</w:t>
      </w:r>
      <w:r>
        <w:rPr>
          <w:rStyle w:val="Text3"/>
        </w:rPr>
        <w:t>}</w:t>
      </w:r>
    </w:p>
    <w:p>
      <w:pPr>
        <w:pStyle w:val="Para 17"/>
      </w:pPr>
      <w:r>
        <w:t/>
      </w:r>
    </w:p>
    <w:p>
      <w:pPr>
        <w:pStyle w:val="Normal"/>
      </w:pPr>
      <w:r>
        <w:t>Alternatively, you can use ubuntu-drivers to automatically select an appropriate dkms driver branch:</w:t>
      </w:r>
    </w:p>
    <w:p>
      <w:pPr>
        <w:pStyle w:val="Normal"/>
      </w:pPr>
      <w:r>
        <w:t>sudo ubuntu-drivers install --include-dkms</w:t>
      </w:r>
    </w:p>
    <w:p>
      <w:pPr>
        <w:pStyle w:val="Para 17"/>
      </w:pPr>
      <w:r>
        <w:t/>
      </w:r>
    </w:p>
    <w:p>
      <w:pPr>
        <w:pStyle w:val="Para 01"/>
      </w:pPr>
      <w:r>
        <w:t>Installing the user-space drivers and the driver libraries</w:t>
      </w:r>
    </w:p>
    <w:p>
      <w:pPr>
        <w:pStyle w:val="Para 17"/>
      </w:pPr>
      <w:r>
        <w:t/>
      </w:r>
    </w:p>
    <w:p>
      <w:pPr>
        <w:pStyle w:val="Normal"/>
      </w:pPr>
      <w:r>
        <w:t>After installing the correct kernel modules (see the relevant section of this document), install the correct driver metapackage:</w:t>
      </w:r>
    </w:p>
    <w:p>
      <w:pPr>
        <w:pStyle w:val="Normal"/>
      </w:pPr>
      <w:r>
        <w:t>sudo apt install nvidia-driver-</w:t>
      </w:r>
      <w:r>
        <w:rPr>
          <w:rStyle w:val="Text3"/>
        </w:rPr>
        <w:t>${</w:t>
      </w:r>
      <w:r>
        <w:t>DRIVER_BRANCH</w:t>
      </w:r>
      <w:r>
        <w:rPr>
          <w:rStyle w:val="Text3"/>
        </w:rPr>
        <w:t>}${</w:t>
      </w:r>
      <w:r>
        <w:t>SERVER</w:t>
      </w:r>
      <w:r>
        <w:rPr>
          <w:rStyle w:val="Text3"/>
        </w:rPr>
        <w:t>}</w:t>
      </w:r>
    </w:p>
    <w:p>
      <w:pPr>
        <w:pStyle w:val="Para 17"/>
      </w:pPr>
      <w:r>
        <w:t/>
      </w:r>
    </w:p>
    <w:p>
      <w:pPr>
        <w:pStyle w:val="Para 01"/>
      </w:pPr>
      <w:r>
        <w:t>(Optional) Installing Fabric Manager and the NSCQ library</w:t>
      </w:r>
    </w:p>
    <w:p>
      <w:pPr>
        <w:pStyle w:val="Para 17"/>
      </w:pPr>
      <w:r>
        <w:t/>
      </w:r>
    </w:p>
    <w:p>
      <w:pPr>
        <w:pStyle w:val="Normal"/>
      </w:pPr>
      <w:r>
        <w:t>If your system comes with NVswitch hardware, then you will want to install Fabric Manager and the NVSwitch Configuration and Query library. You can do so by running the following:</w:t>
      </w:r>
    </w:p>
    <w:p>
      <w:pPr>
        <w:pStyle w:val="Normal"/>
      </w:pPr>
      <w:r>
        <w:t>sudo apt install nvidia-fabricmanager-</w:t>
      </w:r>
      <w:r>
        <w:rPr>
          <w:rStyle w:val="Text3"/>
        </w:rPr>
        <w:t>${</w:t>
      </w:r>
      <w:r>
        <w:t>DRIVER_BRANCH</w:t>
      </w:r>
      <w:r>
        <w:rPr>
          <w:rStyle w:val="Text3"/>
        </w:rPr>
        <w:t>}</w:t>
      </w:r>
      <w:r>
        <w:t xml:space="preserve"> </w:t>
        <w:t>libnvidia-nscq-</w:t>
      </w:r>
      <w:r>
        <w:rPr>
          <w:rStyle w:val="Text3"/>
        </w:rPr>
        <w:t>${</w:t>
      </w:r>
      <w:r>
        <w:t>DRIVER_BRANCH</w:t>
      </w:r>
      <w:r>
        <w:rPr>
          <w:rStyle w:val="Text3"/>
        </w:rPr>
        <w:t>}</w:t>
      </w:r>
    </w:p>
    <w:p>
      <w:pPr>
        <w:pStyle w:val="Para 17"/>
      </w:pPr>
      <w:r>
        <w:t/>
      </w:r>
    </w:p>
    <w:p>
      <w:pPr>
        <w:pStyle w:val="Para 08"/>
      </w:pPr>
      <w:r>
        <w:t>Note:</w:t>
      </w:r>
    </w:p>
    <w:p>
      <w:pPr>
        <w:pStyle w:val="Para 03"/>
      </w:pPr>
      <w:r>
        <w:t>While nvidia-fabricmanager and libnvidia-nscq do not have the same-server label in</w:t>
      </w:r>
    </w:p>
    <w:p>
      <w:pPr>
        <w:pStyle w:val="Para 03"/>
      </w:pPr>
      <w:r>
        <w:t>their name, they are really meant to match the-server drivers in the Ubuntu archive.</w:t>
      </w:r>
    </w:p>
    <w:p>
      <w:pPr>
        <w:pStyle w:val="Para 03"/>
      </w:pPr>
      <w:r>
        <w:t>For example, nvidia-fabricmanager-535 will match the nvidia-driver-535-server pack-</w:t>
      </w:r>
    </w:p>
    <w:p>
      <w:pPr>
        <w:pStyle w:val="Para 03"/>
      </w:pPr>
      <w:r>
        <w:t>age version (not the nvidia-driver-535 package).</w:t>
      </w:r>
    </w:p>
    <w:p>
      <w:pPr>
        <w:pStyle w:val="Para 17"/>
      </w:pPr>
      <w:r>
        <w:t/>
      </w:r>
    </w:p>
    <w:p>
      <w:pPr>
        <w:pStyle w:val="Para 01"/>
      </w:pPr>
      <w:r>
        <w:t>Switching between pre-compiled and DKMS modules</w:t>
      </w:r>
    </w:p>
    <w:p>
      <w:pPr>
        <w:pStyle w:val="Para 17"/>
      </w:pPr>
      <w:r>
        <w:t/>
      </w:r>
    </w:p>
    <w:p>
      <w:pPr>
        <w:pStyle w:val="Para 03"/>
      </w:pPr>
      <w:r>
        <w:t>1. Uninstalling the NVIDIA drivers (below)</w:t>
      </w:r>
    </w:p>
    <w:p>
      <w:pPr>
        <w:pStyle w:val="Para 03"/>
      </w:pPr>
      <w:r>
        <w:t>2. Manual driver installation using APT</w:t>
      </w:r>
    </w:p>
    <w:p>
      <w:bookmarkStart w:id="789" w:name="calibre_pb_132"/>
      <w:pPr>
        <w:pStyle w:val="0 Block"/>
      </w:pPr>
      <w:bookmarkEnd w:id="789"/>
    </w:p>
    <w:p>
      <w:bookmarkStart w:id="790" w:name="Top_of_index_split_133_html"/>
      <w:bookmarkStart w:id="791" w:name="page_52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4" name="index-525_1.png" descr="index-525_1.png"/>
            <wp:cNvGraphicFramePr>
              <a:graphicFrameLocks noChangeAspect="1"/>
            </wp:cNvGraphicFramePr>
            <a:graphic>
              <a:graphicData uri="http://schemas.openxmlformats.org/drawingml/2006/picture">
                <pic:pic>
                  <pic:nvPicPr>
                    <pic:cNvPr id="0" name="index-525_1.png" descr="index-525_1.png"/>
                    <pic:cNvPicPr/>
                  </pic:nvPicPr>
                  <pic:blipFill>
                    <a:blip r:embed="rId538"/>
                    <a:stretch>
                      <a:fillRect/>
                    </a:stretch>
                  </pic:blipFill>
                  <pic:spPr>
                    <a:xfrm>
                      <a:off x="0" y="0"/>
                      <a:ext cx="914400" cy="266700"/>
                    </a:xfrm>
                    <a:prstGeom prst="rect">
                      <a:avLst/>
                    </a:prstGeom>
                  </pic:spPr>
                </pic:pic>
              </a:graphicData>
            </a:graphic>
          </wp:anchor>
        </w:drawing>
      </w:r>
      <w:bookmarkEnd w:id="790"/>
      <w:bookmarkEnd w:id="791"/>
    </w:p>
    <w:p>
      <w:pPr>
        <w:pStyle w:val="Para 01"/>
      </w:pPr>
      <w:r>
        <w:t>Uninstalling the NVIDIA drivers</w:t>
      </w:r>
    </w:p>
    <w:p>
      <w:pPr>
        <w:pStyle w:val="Para 17"/>
      </w:pPr>
      <w:r>
        <w:t/>
      </w:r>
    </w:p>
    <w:p>
      <w:pPr>
        <w:pStyle w:val="Normal"/>
      </w:pPr>
      <w:r>
        <w:t>Remove any NVIDIA packages from your system:</w:t>
      </w:r>
    </w:p>
    <w:p>
      <w:pPr>
        <w:pStyle w:val="Normal"/>
      </w:pPr>
      <w:r>
        <w:t>sudo apt --purge remove</w:t>
        <w:t xml:space="preserve"> </w:t>
        <w:t>'*nvidia*${DRIVER_BRANCH}*'</w:t>
      </w:r>
    </w:p>
    <w:p>
      <w:pPr>
        <w:pStyle w:val="Para 17"/>
      </w:pPr>
      <w:r>
        <w:t/>
      </w:r>
    </w:p>
    <w:p>
      <w:pPr>
        <w:pStyle w:val="Normal"/>
      </w:pPr>
      <w:r>
        <w:t>If you are unsure which ${DRIVER_BRANCH} to pick for removal you might look at the installed nvidia packages and see the different ${DRIVER_BRANCH} numbers that are present on your system. Since autoremove will take care of all indirect dependencies it is sufficient to list those that have been directly installed by using apt-mark.</w:t>
      </w:r>
    </w:p>
    <w:p>
      <w:pPr>
        <w:pStyle w:val="Normal"/>
      </w:pPr>
      <w:r>
        <w:t>apt-mark showmanual | grep nvidia</w:t>
        <w:t>`</w:t>
        <w:t>.</w:t>
      </w:r>
    </w:p>
    <w:p>
      <w:pPr>
        <w:pStyle w:val="Para 17"/>
      </w:pPr>
      <w:r>
        <w:t/>
      </w:r>
    </w:p>
    <w:p>
      <w:pPr>
        <w:pStyle w:val="Normal"/>
      </w:pPr>
      <w:r>
        <w:t>Remove any additional packages that may have been installed as a dependency (e.g. the i386 libraries on amd64 systems) and which were not caught by the previous command:</w:t>
      </w:r>
    </w:p>
    <w:p>
      <w:pPr>
        <w:pStyle w:val="Normal"/>
      </w:pPr>
      <w:r>
        <w:t>sudo apt autoremove</w:t>
      </w:r>
    </w:p>
    <w:p>
      <w:pPr>
        <w:pStyle w:val="Para 17"/>
      </w:pPr>
      <w:r>
        <w:t/>
      </w:r>
    </w:p>
    <w:p>
      <w:pPr>
        <w:pStyle w:val="Para 01"/>
      </w:pPr>
      <w:r>
        <w:t>Transitional packages to new driver branches</w:t>
      </w:r>
    </w:p>
    <w:p>
      <w:pPr>
        <w:pStyle w:val="Para 17"/>
      </w:pPr>
      <w:r>
        <w:t/>
      </w:r>
    </w:p>
    <w:p>
      <w:pPr>
        <w:pStyle w:val="Normal"/>
      </w:pPr>
      <w:r>
        <w:t>When NVIDIA stops support on a driver branch, then Canonical will transition you to the next supported driver branch automatically if you try to install that driver branch.</w:t>
      </w:r>
    </w:p>
    <w:p>
      <w:pPr>
        <w:pStyle w:val="Normal"/>
      </w:pPr>
      <w:r>
        <w:t xml:space="preserve">See NVIDIA’s </w:t>
      </w:r>
      <w:hyperlink w:anchor="page_525">
        <w:r>
          <w:rPr>
            <w:rStyle w:val="Text9"/>
          </w:rPr>
          <w:t>492</w:t>
        </w:r>
      </w:hyperlink>
      <w:r>
        <w:t xml:space="preserve"> </w:t>
      </w:r>
      <w:hyperlink r:id="rId1432">
        <w:r>
          <w:rPr>
            <w:rStyle w:val="Text1"/>
          </w:rPr>
          <w:t>current support matrix</w:t>
        </w:r>
      </w:hyperlink>
      <w:r>
        <w:t xml:space="preserve"> in their documentation.</w:t>
      </w:r>
    </w:p>
    <w:p>
      <w:pPr>
        <w:pStyle w:val="Para 17"/>
      </w:pPr>
      <w:r>
        <w:t/>
      </w:r>
    </w:p>
    <w:p>
      <w:pPr>
        <w:pStyle w:val="Para 01"/>
      </w:pPr>
      <w:r>
        <w:t>Troubleshooting</w:t>
      </w:r>
    </w:p>
    <w:p>
      <w:pPr>
        <w:pStyle w:val="Para 17"/>
      </w:pPr>
      <w:r>
        <w:t/>
      </w:r>
    </w:p>
    <w:p>
      <w:pPr>
        <w:pStyle w:val="Para 01"/>
      </w:pPr>
      <w:r>
        <w:t>Driver/library version mismatch error</w:t>
      </w:r>
    </w:p>
    <w:p>
      <w:pPr>
        <w:pStyle w:val="Para 17"/>
      </w:pPr>
      <w:r>
        <w:t/>
      </w:r>
    </w:p>
    <w:p>
      <w:pPr>
        <w:pStyle w:val="Normal"/>
      </w:pPr>
      <w:r>
        <w:t xml:space="preserve">If you encounter the following error when running the </w:t>
      </w:r>
      <w:hyperlink w:anchor="page_525">
        <w:r>
          <w:rPr>
            <w:rStyle w:val="Text9"/>
          </w:rPr>
          <w:t>493</w:t>
        </w:r>
      </w:hyperlink>
      <w:r>
        <w:t xml:space="preserve"> </w:t>
      </w:r>
      <w:hyperlink r:id="rId1433">
        <w:r>
          <w:rPr>
            <w:rStyle w:val="Text1"/>
          </w:rPr>
          <w:t>nvidia-smi</w:t>
        </w:r>
      </w:hyperlink>
      <w:r>
        <w:t xml:space="preserve"> command:</w:t>
      </w:r>
    </w:p>
    <w:p>
      <w:pPr>
        <w:pStyle w:val="Normal"/>
      </w:pPr>
      <w:r>
        <w:t>Failed to initialize NVML: Driver/library version mismatch</w:t>
      </w:r>
    </w:p>
    <w:p>
      <w:pPr>
        <w:pStyle w:val="Para 17"/>
      </w:pPr>
      <w:r>
        <w:t/>
      </w:r>
    </w:p>
    <w:p>
      <w:pPr>
        <w:pStyle w:val="Normal"/>
      </w:pPr>
      <w:r>
        <w:t>This typically indicates that the userspace driver packages were upgraded while the kernel module is still on the older version (for example, the client reports one driver version while the kernel module reports another). This situation often occurs after a system upgrade. To verify this, check the kernel logs:</w:t>
      </w:r>
    </w:p>
    <w:p>
      <w:pPr>
        <w:pStyle w:val="Normal"/>
      </w:pPr>
      <w:r>
        <w:t>sudo dmesg</w:t>
      </w:r>
    </w:p>
    <w:p>
      <w:pPr>
        <w:pStyle w:val="Para 17"/>
      </w:pPr>
      <w:r>
        <w:t/>
      </w:r>
    </w:p>
    <w:p>
      <w:pPr>
        <w:pStyle w:val="Normal"/>
      </w:pPr>
      <w:r>
        <w:t>Look for error messages similar to:</w:t>
      </w:r>
    </w:p>
    <w:p>
      <w:pPr>
        <w:pStyle w:val="Normal"/>
      </w:pPr>
      <w:r>
        <w:t>NVRM: API mismatch: the client has the version 570.172.08, but</w:t>
        <w:t xml:space="preserve"> </w:t>
        <w:t>NVRM: this kernel module has the version 570.158.01.</w:t>
        <w:t xml:space="preserve"> </w:t>
        <w:t>Please</w:t>
        <w:t xml:space="preserve"> </w:t>
        <w:t>NVRM: make sure that this kernel module and all NVIDIA driver</w:t>
        <w:t xml:space="preserve"> </w:t>
        <w:t>NVRM: components have the same version.</w:t>
      </w:r>
    </w:p>
    <w:p>
      <w:pPr>
        <w:pStyle w:val="Para 17"/>
      </w:pPr>
      <w:r>
        <w:t/>
      </w:r>
    </w:p>
    <w:p>
      <w:pPr>
        <w:pStyle w:val="Normal"/>
      </w:pPr>
      <w:r>
        <w:rPr>
          <w:rStyle w:val="Text0"/>
        </w:rPr>
        <w:t>Solution</w:t>
      </w:r>
      <w:r>
        <w:t>: Rebooting the system will load the updated kernel module and bring the versions back in sync.</w:t>
      </w:r>
    </w:p>
    <w:p>
      <w:pPr>
        <w:pStyle w:val="Para 05"/>
      </w:pPr>
      <w:r>
        <w:rPr>
          <w:rStyle w:val="Text5"/>
        </w:rPr>
        <w:t>492</w:t>
      </w:r>
      <w:r>
        <w:rPr>
          <w:rStyle w:val="Text8"/>
        </w:rPr>
        <w:t xml:space="preserve"> </w:t>
      </w:r>
      <w:r>
        <w:t>https://docs.nvidia.com/datacenter/tesla/drivers/index.html</w:t>
      </w:r>
    </w:p>
    <w:p>
      <w:pPr>
        <w:pStyle w:val="Para 05"/>
      </w:pPr>
      <w:r>
        <w:rPr>
          <w:rStyle w:val="Text5"/>
        </w:rPr>
        <w:t>493</w:t>
      </w:r>
      <w:r>
        <w:rPr>
          <w:rStyle w:val="Text8"/>
        </w:rPr>
        <w:t xml:space="preserve"> </w:t>
      </w:r>
      <w:r>
        <w:t>https://developer.nvidia.com/system-management-interface</w:t>
      </w:r>
      <w:r>
        <w:rPr>
          <w:rStyle w:val="Text8"/>
        </w:rPr>
        <w:t xml:space="preserve"> </w:t>
      </w:r>
      <w:r>
        <w:rPr>
          <w:rStyle w:val="Text11"/>
        </w:rPr>
        <w:t>No devices were found error</w:t>
      </w:r>
    </w:p>
    <w:p>
      <w:bookmarkStart w:id="792" w:name="page_5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5" name="index-526_1.png" descr="index-526_1.png"/>
            <wp:cNvGraphicFramePr>
              <a:graphicFrameLocks noChangeAspect="1"/>
            </wp:cNvGraphicFramePr>
            <a:graphic>
              <a:graphicData uri="http://schemas.openxmlformats.org/drawingml/2006/picture">
                <pic:pic>
                  <pic:nvPicPr>
                    <pic:cNvPr id="0" name="index-526_1.png" descr="index-526_1.png"/>
                    <pic:cNvPicPr/>
                  </pic:nvPicPr>
                  <pic:blipFill>
                    <a:blip r:embed="rId539"/>
                    <a:stretch>
                      <a:fillRect/>
                    </a:stretch>
                  </pic:blipFill>
                  <pic:spPr>
                    <a:xfrm>
                      <a:off x="0" y="0"/>
                      <a:ext cx="914400" cy="266700"/>
                    </a:xfrm>
                    <a:prstGeom prst="rect">
                      <a:avLst/>
                    </a:prstGeom>
                  </pic:spPr>
                </pic:pic>
              </a:graphicData>
            </a:graphic>
          </wp:anchor>
        </w:drawing>
      </w:r>
      <w:bookmarkEnd w:id="792"/>
    </w:p>
    <w:p>
      <w:pPr>
        <w:pStyle w:val="Para 17"/>
      </w:pPr>
      <w:r>
        <w:t/>
      </w:r>
    </w:p>
    <w:p>
      <w:pPr>
        <w:pStyle w:val="Normal"/>
      </w:pPr>
      <w:r>
        <w:t xml:space="preserve">If you encounter the following error when running the </w:t>
      </w:r>
      <w:hyperlink w:anchor="page_526">
        <w:r>
          <w:rPr>
            <w:rStyle w:val="Text9"/>
          </w:rPr>
          <w:t>494</w:t>
        </w:r>
      </w:hyperlink>
      <w:r>
        <w:t xml:space="preserve"> </w:t>
      </w:r>
      <w:hyperlink r:id="rId1433">
        <w:r>
          <w:rPr>
            <w:rStyle w:val="Text1"/>
          </w:rPr>
          <w:t>nvidia-smi</w:t>
        </w:r>
      </w:hyperlink>
      <w:r>
        <w:t xml:space="preserve"> command:</w:t>
      </w:r>
    </w:p>
    <w:p>
      <w:pPr>
        <w:pStyle w:val="Normal"/>
      </w:pPr>
      <w:r>
        <w:t>No devices were found</w:t>
      </w:r>
    </w:p>
    <w:p>
      <w:pPr>
        <w:pStyle w:val="Para 17"/>
      </w:pPr>
      <w:r>
        <w:t/>
      </w:r>
    </w:p>
    <w:p>
      <w:pPr>
        <w:pStyle w:val="Normal"/>
      </w:pPr>
      <w:r>
        <w:t xml:space="preserve">This may occur if the open-source NVIDIA kernel driver </w:t>
      </w:r>
      <w:hyperlink w:anchor="page_526">
        <w:r>
          <w:rPr>
            <w:rStyle w:val="Text9"/>
          </w:rPr>
          <w:t>495</w:t>
        </w:r>
      </w:hyperlink>
      <w:r>
        <w:t xml:space="preserve"> </w:t>
      </w:r>
      <w:hyperlink r:id="rId1434">
        <w:r>
          <w:rPr>
            <w:rStyle w:val="Text1"/>
          </w:rPr>
          <w:t>nouveau</w:t>
        </w:r>
      </w:hyperlink>
      <w:r>
        <w:t xml:space="preserve"> is pre-installed and loaded, which conflicts with the proprietary NVIDIA driver. To check whether nouveau is loaded:</w:t>
      </w:r>
    </w:p>
    <w:p>
      <w:pPr>
        <w:pStyle w:val="Normal"/>
      </w:pPr>
      <w:r>
        <w:t>lsmod | grep nouveau</w:t>
      </w:r>
    </w:p>
    <w:p>
      <w:pPr>
        <w:pStyle w:val="Para 17"/>
      </w:pPr>
      <w:r>
        <w:t/>
      </w:r>
    </w:p>
    <w:p>
      <w:pPr>
        <w:pStyle w:val="Normal"/>
      </w:pPr>
      <w:r>
        <w:rPr>
          <w:rStyle w:val="Text0"/>
        </w:rPr>
        <w:t>Solution</w:t>
      </w:r>
      <w:r>
        <w:t>: If nouveau kernel module is loaded, blocklist it and rebuild the initramfs:</w:t>
      </w:r>
    </w:p>
    <w:p>
      <w:pPr>
        <w:pStyle w:val="Normal"/>
      </w:pPr>
      <w:r>
        <w:t>echo "blacklist nouveau" | sudo tee /etc/modprobe.d/disable-nouveau.conf</w:t>
        <w:t xml:space="preserve"> </w:t>
        <w:t>echo "options nouveau modeset=0" | sudo tee -a /etc/modprobe.d/disable-nouveau.conf</w:t>
        <w:t xml:space="preserve"> </w:t>
        <w:t>sudo rmmod nouveau || true</w:t>
      </w:r>
    </w:p>
    <w:p>
      <w:pPr>
        <w:pStyle w:val="Normal"/>
      </w:pPr>
      <w:r>
        <w:t>sudo update-initramfs -u</w:t>
      </w:r>
    </w:p>
    <w:p>
      <w:pPr>
        <w:pStyle w:val="Para 17"/>
      </w:pPr>
      <w:r>
        <w:t/>
      </w:r>
    </w:p>
    <w:p>
      <w:pPr>
        <w:pStyle w:val="Normal"/>
      </w:pPr>
      <w:r>
        <w:t>Then reboot the system for the changes to take effect.</w:t>
      </w:r>
    </w:p>
    <w:p>
      <w:pPr>
        <w:pStyle w:val="Para 17"/>
      </w:pPr>
      <w:r>
        <w:t/>
      </w:r>
    </w:p>
    <w:p>
      <w:pPr>
        <w:pStyle w:val="Para 01"/>
      </w:pPr>
      <w:r>
        <w:t>Virtual GPU</w:t>
      </w:r>
    </w:p>
    <w:p>
      <w:pPr>
        <w:pStyle w:val="Para 17"/>
      </w:pPr>
      <w:r>
        <w:t/>
      </w:r>
    </w:p>
    <w:p>
      <w:pPr>
        <w:pStyle w:val="Normal"/>
      </w:pPr>
      <w:r>
        <w:t>A virtual GPU (vGPU) partitions a physical GPU to enable GPU-accelerated workloads in virtu-alized environments.</w:t>
      </w:r>
    </w:p>
    <w:p>
      <w:pPr>
        <w:pStyle w:val="Para 17"/>
      </w:pPr>
      <w:r>
        <w:t/>
      </w:r>
    </w:p>
    <w:p>
      <w:pPr>
        <w:pStyle w:val="Para 01"/>
      </w:pPr>
      <w:r>
        <w:t>GPU virtualisation with QEMU/KVM</w:t>
      </w:r>
    </w:p>
    <w:p>
      <w:pPr>
        <w:pStyle w:val="Para 17"/>
      </w:pPr>
      <w:r>
        <w:t/>
      </w:r>
    </w:p>
    <w:p>
      <w:pPr>
        <w:pStyle w:val="Para 01"/>
      </w:pPr>
      <w:r>
        <w:t>Graphics</w:t>
      </w:r>
    </w:p>
    <w:p>
      <w:pPr>
        <w:pStyle w:val="Para 17"/>
      </w:pPr>
      <w:r>
        <w:t/>
      </w:r>
    </w:p>
    <w:p>
      <w:pPr>
        <w:pStyle w:val="Normal"/>
      </w:pPr>
      <w:r>
        <w:t xml:space="preserve">Graphics for QEMU/KVM always comes in two pieces: a </w:t>
      </w:r>
      <w:hyperlink w:anchor="page_683">
        <w:r>
          <w:rPr>
            <w:rStyle w:val="Text2"/>
          </w:rPr>
          <w:t>frontend</w:t>
        </w:r>
      </w:hyperlink>
      <w:r>
        <w:t xml:space="preserve"> and a backend.</w:t>
      </w:r>
    </w:p>
    <w:p>
      <w:pPr>
        <w:pStyle w:val="Para 04"/>
      </w:pPr>
      <w:r>
        <w:t>• frontend: Controlled via the-vga argument, which is provided to the guest. Usually one</w:t>
      </w:r>
    </w:p>
    <w:p>
      <w:pPr>
        <w:pStyle w:val="Para 02"/>
      </w:pPr>
      <w:r>
        <w:t>of cirrus, std, qxl, or virtio. The default these days is qxl which strikes a good balance between guest compatibility and performance. The guest needs a driver for whichever option is selected – this is the most common reason to not use the default (e.g., on very old Windows versions).</w:t>
      </w:r>
    </w:p>
    <w:p>
      <w:pPr>
        <w:pStyle w:val="Para 04"/>
      </w:pPr>
      <w:r>
        <w:t>• backend: Controlled via the-display argument. This is what the host uses to actually</w:t>
      </w:r>
    </w:p>
    <w:p>
      <w:pPr>
        <w:pStyle w:val="Para 17"/>
      </w:pPr>
      <w:r>
        <w:t>display the graphical content, which can be an application window via gtk or a vnc.</w:t>
      </w:r>
    </w:p>
    <w:p>
      <w:pPr>
        <w:pStyle w:val="Normal"/>
      </w:pPr>
      <w:r>
        <w:t>In addition, one can enable the-spice back end (which can be done in addition to vnc). This can be faster and provides more authentication methods than vnc.</w:t>
      </w:r>
    </w:p>
    <w:p>
      <w:pPr>
        <w:pStyle w:val="Normal"/>
      </w:pPr>
      <w:r>
        <w:t>If you want no graphical output at all, you can save some memory and CPU cycles by setting-nographic.</w:t>
      </w:r>
    </w:p>
    <w:p>
      <w:pPr>
        <w:pStyle w:val="Normal"/>
      </w:pPr>
      <w:r>
        <w:t>If you run with spice or vnc you can use native vnc tools or virtualization-focused tools like</w:t>
      </w:r>
    </w:p>
    <w:p>
      <w:pPr>
        <w:pStyle w:val="Normal"/>
      </w:pPr>
      <w:r>
        <w:t xml:space="preserve">virt-viewer. You can read more about these in the </w:t>
      </w:r>
      <w:hyperlink w:anchor="page_564">
        <w:r>
          <w:rPr>
            <w:rStyle w:val="Text2"/>
          </w:rPr>
          <w:t>libvirt section</w:t>
        </w:r>
      </w:hyperlink>
      <w:r>
        <w:t xml:space="preserve"> (page 563).</w:t>
      </w:r>
    </w:p>
    <w:p>
      <w:pPr>
        <w:pStyle w:val="Para 05"/>
      </w:pPr>
      <w:r>
        <w:rPr>
          <w:rStyle w:val="Text5"/>
        </w:rPr>
        <w:t>494</w:t>
      </w:r>
      <w:r>
        <w:rPr>
          <w:rStyle w:val="Text8"/>
        </w:rPr>
        <w:t xml:space="preserve"> </w:t>
      </w:r>
      <w:r>
        <w:t>https://developer.nvidia.com/system-management-interface</w:t>
      </w:r>
    </w:p>
    <w:p>
      <w:pPr>
        <w:pStyle w:val="Para 05"/>
      </w:pPr>
      <w:r>
        <w:rPr>
          <w:rStyle w:val="Text5"/>
        </w:rPr>
        <w:t>495</w:t>
      </w:r>
      <w:r>
        <w:rPr>
          <w:rStyle w:val="Text8"/>
        </w:rPr>
        <w:t xml:space="preserve"> </w:t>
      </w:r>
      <w:r>
        <w:t>https://nouveau.freedesktop.org/</w:t>
      </w:r>
    </w:p>
    <w:p>
      <w:bookmarkStart w:id="793" w:name="page_5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6" name="index-527_1.png" descr="index-527_1.png"/>
            <wp:cNvGraphicFramePr>
              <a:graphicFrameLocks noChangeAspect="1"/>
            </wp:cNvGraphicFramePr>
            <a:graphic>
              <a:graphicData uri="http://schemas.openxmlformats.org/drawingml/2006/picture">
                <pic:pic>
                  <pic:nvPicPr>
                    <pic:cNvPr id="0" name="index-527_1.png" descr="index-527_1.png"/>
                    <pic:cNvPicPr/>
                  </pic:nvPicPr>
                  <pic:blipFill>
                    <a:blip r:embed="rId540"/>
                    <a:stretch>
                      <a:fillRect/>
                    </a:stretch>
                  </pic:blipFill>
                  <pic:spPr>
                    <a:xfrm>
                      <a:off x="0" y="0"/>
                      <a:ext cx="914400" cy="266700"/>
                    </a:xfrm>
                    <a:prstGeom prst="rect">
                      <a:avLst/>
                    </a:prstGeom>
                  </pic:spPr>
                </pic:pic>
              </a:graphicData>
            </a:graphic>
          </wp:anchor>
        </w:drawing>
      </w:r>
      <w:bookmarkEnd w:id="793"/>
    </w:p>
    <w:p>
      <w:pPr>
        <w:pStyle w:val="Normal"/>
      </w:pPr>
      <w:r>
        <w:t>All these options are considered basic usage of graphics, but there are also advanced options</w:t>
      </w:r>
    </w:p>
    <w:p>
      <w:pPr>
        <w:pStyle w:val="Normal"/>
      </w:pPr>
      <w:r>
        <w:t xml:space="preserve">for more specific use-cases. Those cases usually differ in their </w:t>
      </w:r>
      <w:hyperlink r:id="rId1435">
        <w:r>
          <w:rPr>
            <w:rStyle w:val="Text9"/>
          </w:rPr>
          <w:t>496</w:t>
        </w:r>
      </w:hyperlink>
      <w:hyperlink r:id="rId1435">
        <w:r>
          <w:rPr>
            <w:rStyle w:val="Text1"/>
          </w:rPr>
          <w:t xml:space="preserve"> ease-of-use and capability</w:t>
        </w:r>
      </w:hyperlink>
      <w:r>
        <w:t>, such as:</w:t>
      </w:r>
    </w:p>
    <w:p>
      <w:pPr>
        <w:pStyle w:val="Para 04"/>
      </w:pPr>
      <w:r>
        <w:t xml:space="preserve">• </w:t>
      </w:r>
      <w:r>
        <w:rPr>
          <w:rStyle w:val="Text3"/>
        </w:rPr>
        <w:t>Need 3D acceleration</w:t>
      </w:r>
      <w:r>
        <w:t xml:space="preserve">: Use-vga virtio with a local display having a </w:t>
      </w:r>
      <w:hyperlink w:anchor="page_685">
        <w:r>
          <w:rPr>
            <w:rStyle w:val="Text2"/>
          </w:rPr>
          <w:t>GL</w:t>
        </w:r>
      </w:hyperlink>
      <w:r>
        <w:t xml:space="preserve"> context-display</w:t>
      </w:r>
    </w:p>
    <w:p>
      <w:pPr>
        <w:pStyle w:val="Para 02"/>
      </w:pPr>
      <w:r>
        <w:t xml:space="preserve">gtk,gl=on </w:t>
      </w:r>
      <w:hyperlink w:anchor="page_527">
        <w:r>
          <w:rPr>
            <w:rStyle w:val="Text9"/>
          </w:rPr>
          <w:t>497</w:t>
        </w:r>
      </w:hyperlink>
      <w:r>
        <w:t xml:space="preserve"> . This will use </w:t>
      </w:r>
      <w:hyperlink r:id="rId1436">
        <w:r>
          <w:rPr>
            <w:rStyle w:val="Text1"/>
          </w:rPr>
          <w:t>virgil3d</w:t>
        </w:r>
      </w:hyperlink>
      <w:r>
        <w:t xml:space="preserve"> on the host, and guest drivers are needed (which are</w:t>
      </w:r>
    </w:p>
    <w:p>
      <w:pPr>
        <w:pStyle w:val="Para 02"/>
      </w:pPr>
      <w:r>
        <w:t xml:space="preserve">common in Linux since </w:t>
      </w:r>
      <w:hyperlink w:anchor="page_527">
        <w:r>
          <w:rPr>
            <w:rStyle w:val="Text9"/>
          </w:rPr>
          <w:t>498</w:t>
        </w:r>
      </w:hyperlink>
      <w:r>
        <w:t xml:space="preserve"> </w:t>
      </w:r>
      <w:hyperlink r:id="rId1437">
        <w:r>
          <w:rPr>
            <w:rStyle w:val="Text1"/>
          </w:rPr>
          <w:t>Kernels &gt;= 4.4</w:t>
        </w:r>
      </w:hyperlink>
      <w:r>
        <w:t xml:space="preserve"> but can be hard to come by for other cases). While not as fast as the next two options, the major benefit is that it can be used with-out additional hardware and without a proper input-output memory management unit</w:t>
      </w:r>
    </w:p>
    <w:p>
      <w:pPr>
        <w:pStyle w:val="Para 32"/>
      </w:pPr>
      <w:r>
        <w:rPr>
          <w:rStyle w:val="Text7"/>
        </w:rPr>
        <w:t xml:space="preserve">(IOMMU) </w:t>
      </w:r>
      <w:hyperlink w:anchor="page_527">
        <w:r>
          <w:rPr>
            <w:rStyle w:val="Text10"/>
          </w:rPr>
          <w:t>499</w:t>
        </w:r>
      </w:hyperlink>
      <w:r>
        <w:rPr>
          <w:rStyle w:val="Text7"/>
        </w:rPr>
        <w:t xml:space="preserve"> </w:t>
      </w:r>
      <w:hyperlink r:id="rId1438">
        <w:r>
          <w:t>set up for device passthrough</w:t>
        </w:r>
      </w:hyperlink>
      <w:r>
        <w:rPr>
          <w:rStyle w:val="Text7"/>
        </w:rPr>
        <w:t>.</w:t>
      </w:r>
    </w:p>
    <w:p>
      <w:pPr>
        <w:pStyle w:val="Para 04"/>
      </w:pPr>
      <w:r>
        <w:t xml:space="preserve">• </w:t>
      </w:r>
      <w:r>
        <w:rPr>
          <w:rStyle w:val="Text3"/>
        </w:rPr>
        <w:t>Need native performance</w:t>
      </w:r>
      <w:r>
        <w:t xml:space="preserve">: Use PCI passthrough of additional </w:t>
      </w:r>
      <w:hyperlink w:anchor="page_686">
        <w:r>
          <w:rPr>
            <w:rStyle w:val="Text2"/>
          </w:rPr>
          <w:t>GPUs</w:t>
        </w:r>
      </w:hyperlink>
      <w:r>
        <w:t xml:space="preserve"> in the system. You’ll</w:t>
      </w:r>
    </w:p>
    <w:p>
      <w:pPr>
        <w:pStyle w:val="Para 02"/>
      </w:pPr>
      <w:r>
        <w:t xml:space="preserve">need an </w:t>
      </w:r>
      <w:hyperlink w:anchor="page_690">
        <w:r>
          <w:rPr>
            <w:rStyle w:val="Text2"/>
          </w:rPr>
          <w:t>IOMMU</w:t>
        </w:r>
      </w:hyperlink>
      <w:r>
        <w:t xml:space="preserve"> set up, and you’ll need to unbind the cards from the host before you can pass it through, like so:</w:t>
      </w:r>
    </w:p>
    <w:p>
      <w:pPr>
        <w:pStyle w:val="Para 02"/>
      </w:pPr>
      <w:r>
        <w:t>-device vfio-pci,host</w:t>
        <w:t>=</w:t>
        <w:t>05</w:t>
        <w:t>:00.0,bus</w:t>
        <w:t>=</w:t>
        <w:t>1</w:t>
        <w:t>,addr</w:t>
        <w:t>=</w:t>
        <w:t>00</w:t>
        <w:t>.0,multifunction</w:t>
        <w:t>=</w:t>
        <w:t>on,x-vga</w:t>
        <w:t>=</w:t>
        <w:t>on -device vfio-</w:t>
        <w:t>pci,host</w:t>
        <w:t>=</w:t>
        <w:t>05</w:t>
        <w:t>:00.1,bus</w:t>
        <w:t>=</w:t>
        <w:t>1</w:t>
        <w:t>,addr</w:t>
        <w:t>=</w:t>
        <w:t>00</w:t>
        <w:t>.1</w:t>
      </w:r>
    </w:p>
    <w:p>
      <w:pPr>
        <w:pStyle w:val="Para 17"/>
      </w:pPr>
      <w:r>
        <w:t/>
      </w:r>
    </w:p>
    <w:p>
      <w:pPr>
        <w:pStyle w:val="Para 63"/>
      </w:pPr>
      <w:r>
        <w:rPr>
          <w:rStyle w:val="Text3"/>
        </w:rPr>
        <w:t xml:space="preserve">• </w:t>
      </w:r>
      <w:r>
        <w:t>Need native performance, but multiple guests per card</w:t>
      </w:r>
      <w:r>
        <w:rPr>
          <w:rStyle w:val="Text3"/>
        </w:rPr>
        <w:t xml:space="preserve"> : Like with PCI passthrough, but</w:t>
      </w:r>
    </w:p>
    <w:p>
      <w:pPr>
        <w:pStyle w:val="Para 02"/>
      </w:pPr>
      <w:r>
        <w:t>using mediated devices to shard a card on the host into multiple devices, then passing those:</w:t>
      </w:r>
    </w:p>
    <w:p>
      <w:pPr>
        <w:pStyle w:val="Para 02"/>
      </w:pPr>
      <w:r>
        <w:t>-display gtk,gl</w:t>
        <w:t>=</w:t>
        <w:t>on -device vfio-pci,sysfsdev</w:t>
        <w:t>=</w:t>
        <w:t>/sys/bus/pci/devices/0000:00:02.0/</w:t>
        <w:t xml:space="preserve"> </w:t>
        <w:t>4dd511f6-ec08-11e8-b839-2f163ddee3b3,display</w:t>
        <w:t>=</w:t>
        <w:t>on,rombar</w:t>
        <w:t>=</w:t>
        <w:t>0</w:t>
      </w:r>
    </w:p>
    <w:p>
      <w:pPr>
        <w:pStyle w:val="Para 17"/>
      </w:pPr>
      <w:r>
        <w:t/>
      </w:r>
    </w:p>
    <w:p>
      <w:pPr>
        <w:pStyle w:val="Para 02"/>
      </w:pPr>
      <w:r>
        <w:t xml:space="preserve">You can read more </w:t>
      </w:r>
      <w:hyperlink w:anchor="page_527">
        <w:r>
          <w:rPr>
            <w:rStyle w:val="Text9"/>
          </w:rPr>
          <w:t>500</w:t>
        </w:r>
      </w:hyperlink>
      <w:r>
        <w:t xml:space="preserve"> </w:t>
      </w:r>
      <w:hyperlink r:id="rId1435">
        <w:r>
          <w:rPr>
            <w:rStyle w:val="Text9"/>
          </w:rPr>
          <w:t>501</w:t>
        </w:r>
      </w:hyperlink>
      <w:r>
        <w:t xml:space="preserve"> </w:t>
      </w:r>
      <w:hyperlink r:id="rId1439">
        <w:r>
          <w:rPr>
            <w:rStyle w:val="Text1"/>
          </w:rPr>
          <w:t>about vGPU at</w:t>
        </w:r>
      </w:hyperlink>
      <w:r>
        <w:t xml:space="preserve"> and </w:t>
      </w:r>
      <w:hyperlink r:id="rId1435">
        <w:r>
          <w:rPr>
            <w:rStyle w:val="Text1"/>
          </w:rPr>
          <w:t>Ubuntu GPU</w:t>
        </w:r>
      </w:hyperlink>
      <w:r>
        <w:t xml:space="preserve"> </w:t>
      </w:r>
      <w:hyperlink r:id="rId1435">
        <w:r>
          <w:rPr>
            <w:rStyle w:val="Text1"/>
          </w:rPr>
          <w:t>mdev</w:t>
        </w:r>
      </w:hyperlink>
      <w:r>
        <w:t xml:space="preserve"> </w:t>
      </w:r>
      <w:hyperlink r:id="rId1435">
        <w:r>
          <w:rPr>
            <w:rStyle w:val="Text1"/>
          </w:rPr>
          <w:t>evaluation</w:t>
        </w:r>
      </w:hyperlink>
      <w:r>
        <w:t>. The shard-</w:t>
      </w:r>
    </w:p>
    <w:p>
      <w:pPr>
        <w:pStyle w:val="Para 02"/>
      </w:pPr>
      <w:r>
        <w:t xml:space="preserve">ing of the cards is driver-specific and therefore will differ per manufacturer – </w:t>
      </w:r>
      <w:hyperlink r:id="rId1440">
        <w:r>
          <w:rPr>
            <w:rStyle w:val="Text9"/>
          </w:rPr>
          <w:t>502</w:t>
        </w:r>
      </w:hyperlink>
      <w:hyperlink r:id="rId1440">
        <w:r>
          <w:rPr>
            <w:rStyle w:val="Text1"/>
          </w:rPr>
          <w:t xml:space="preserve"> Intel</w:t>
        </w:r>
      </w:hyperlink>
      <w:r>
        <w:t>,</w:t>
      </w:r>
    </w:p>
    <w:p>
      <w:pPr>
        <w:pStyle w:val="Para 02"/>
      </w:pPr>
      <w:hyperlink r:id="rId1441">
        <w:r>
          <w:rPr>
            <w:rStyle w:val="Text1"/>
          </w:rPr>
          <w:t>Nvidia</w:t>
        </w:r>
      </w:hyperlink>
      <w:r>
        <w:t xml:space="preserve"> </w:t>
      </w:r>
      <w:hyperlink w:anchor="page_527">
        <w:r>
          <w:rPr>
            <w:rStyle w:val="Text9"/>
          </w:rPr>
          <w:t>503</w:t>
        </w:r>
      </w:hyperlink>
      <w:r>
        <w:t xml:space="preserve">, or </w:t>
      </w:r>
      <w:hyperlink w:anchor="page_669">
        <w:r>
          <w:rPr>
            <w:rStyle w:val="Text2"/>
          </w:rPr>
          <w:t>AMD</w:t>
        </w:r>
      </w:hyperlink>
      <w:r>
        <w:t>.</w:t>
      </w:r>
    </w:p>
    <w:p>
      <w:pPr>
        <w:pStyle w:val="Normal"/>
      </w:pPr>
      <w:r>
        <w:t>The advanced cases in particular can get pretty complex – it is recommended to use QEMU</w:t>
      </w:r>
    </w:p>
    <w:p>
      <w:pPr>
        <w:pStyle w:val="Normal"/>
      </w:pPr>
      <w:r>
        <w:t xml:space="preserve">through </w:t>
      </w:r>
      <w:hyperlink w:anchor="page_564">
        <w:r>
          <w:rPr>
            <w:rStyle w:val="Text2"/>
          </w:rPr>
          <w:t>libvirt section</w:t>
        </w:r>
      </w:hyperlink>
      <w:r>
        <w:t xml:space="preserve"> (page 563) for those cases. libvirt will take care of all but the host kernel/BIOS tasks of such configurations. Below are the common basic actions needed for faster options (i.e., passthrough and mediated devices passthrough).</w:t>
      </w:r>
    </w:p>
    <w:p>
      <w:pPr>
        <w:pStyle w:val="Normal"/>
      </w:pPr>
      <w:r>
        <w:t>The initial step for both options is the same; you want to ensure your system has its IOMMU enabled and the device to pass should be in a group of its own. Enabling the VT-d and IOMMU is usually a BIOS action and thereby manufacturer dependent.</w:t>
      </w:r>
    </w:p>
    <w:p>
      <w:pPr>
        <w:pStyle w:val="Para 05"/>
      </w:pPr>
      <w:r>
        <w:rPr>
          <w:rStyle w:val="Text5"/>
        </w:rPr>
        <w:t>496</w:t>
      </w:r>
      <w:r>
        <w:rPr>
          <w:rStyle w:val="Text8"/>
        </w:rPr>
        <w:t xml:space="preserve"> </w:t>
      </w:r>
      <w:r>
        <w:t>https://cpaelzer.github.io/blogs/006-mediated-device-to-pass-parts-of-your-gpu-to-a-guest/</w:t>
      </w:r>
    </w:p>
    <w:p>
      <w:pPr>
        <w:pStyle w:val="Para 05"/>
      </w:pPr>
      <w:r>
        <w:rPr>
          <w:rStyle w:val="Text5"/>
        </w:rPr>
        <w:t>497</w:t>
      </w:r>
      <w:r>
        <w:rPr>
          <w:rStyle w:val="Text8"/>
        </w:rPr>
        <w:t xml:space="preserve"> </w:t>
      </w:r>
      <w:r>
        <w:t>https://virgil3d.github.io/</w:t>
      </w:r>
    </w:p>
    <w:p>
      <w:pPr>
        <w:pStyle w:val="Para 05"/>
      </w:pPr>
      <w:r>
        <w:rPr>
          <w:rStyle w:val="Text5"/>
        </w:rPr>
        <w:t>498</w:t>
      </w:r>
      <w:r>
        <w:rPr>
          <w:rStyle w:val="Text8"/>
        </w:rPr>
        <w:t xml:space="preserve"> </w:t>
      </w:r>
      <w:r>
        <w:t>https://www.kraxel.org/blog/2016/09/using-virtio-gpu-with-libvirt-and-spice/</w:t>
      </w:r>
    </w:p>
    <w:p>
      <w:pPr>
        <w:pStyle w:val="Para 05"/>
      </w:pPr>
      <w:r>
        <w:rPr>
          <w:rStyle w:val="Text5"/>
        </w:rPr>
        <w:t>499</w:t>
      </w:r>
      <w:r>
        <w:rPr>
          <w:rStyle w:val="Text8"/>
        </w:rPr>
        <w:t xml:space="preserve"> </w:t>
      </w:r>
      <w:r>
        <w:t>https://www.kernel.org/doc/Documentation/vfio-mediated-device.txt</w:t>
      </w:r>
    </w:p>
    <w:p>
      <w:pPr>
        <w:pStyle w:val="Para 05"/>
      </w:pPr>
      <w:r>
        <w:rPr>
          <w:rStyle w:val="Text5"/>
        </w:rPr>
        <w:t>500</w:t>
      </w:r>
      <w:r>
        <w:rPr>
          <w:rStyle w:val="Text8"/>
        </w:rPr>
        <w:t xml:space="preserve"> </w:t>
      </w:r>
      <w:r>
        <w:t>https://www.kraxel.org/blog/2018/04/vgpu-display-support-finally-merged-upstream/</w:t>
      </w:r>
    </w:p>
    <w:p>
      <w:pPr>
        <w:pStyle w:val="Para 05"/>
      </w:pPr>
      <w:r>
        <w:rPr>
          <w:rStyle w:val="Text5"/>
        </w:rPr>
        <w:t>501</w:t>
      </w:r>
      <w:r>
        <w:rPr>
          <w:rStyle w:val="Text8"/>
        </w:rPr>
        <w:t xml:space="preserve"> </w:t>
      </w:r>
      <w:r>
        <w:t>https://cpaelzer.github.io/blogs/006-mediated-device-to-pass-parts-of-your-gpu-to-a-guest/</w:t>
      </w:r>
    </w:p>
    <w:p>
      <w:pPr>
        <w:pStyle w:val="Para 05"/>
      </w:pPr>
      <w:r>
        <w:rPr>
          <w:rStyle w:val="Text5"/>
        </w:rPr>
        <w:t>502</w:t>
      </w:r>
      <w:r>
        <w:rPr>
          <w:rStyle w:val="Text8"/>
        </w:rPr>
        <w:t xml:space="preserve"> </w:t>
      </w:r>
      <w:r>
        <w:t>https://github.com/intel/gvt-linux/wiki/GVTg_Setup_Guide</w:t>
      </w:r>
    </w:p>
    <w:p>
      <w:pPr>
        <w:pStyle w:val="Para 05"/>
      </w:pPr>
      <w:r>
        <w:rPr>
          <w:rStyle w:val="Text5"/>
        </w:rPr>
        <w:t>503</w:t>
      </w:r>
      <w:r>
        <w:rPr>
          <w:rStyle w:val="Text8"/>
        </w:rPr>
        <w:t xml:space="preserve"> </w:t>
      </w:r>
      <w:r>
        <w:t>https://docs.nvidia.com/vgpu/latest/grid-vgpu-user-guide/index.html</w:t>
      </w:r>
    </w:p>
    <w:p>
      <w:bookmarkStart w:id="794" w:name="calibre_pb_133"/>
      <w:pPr>
        <w:pStyle w:val="0 Block"/>
      </w:pPr>
      <w:bookmarkEnd w:id="794"/>
    </w:p>
    <w:p>
      <w:bookmarkStart w:id="795" w:name="Top_of_index_split_134_html"/>
      <w:bookmarkStart w:id="796" w:name="page_5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7" name="index-528_1.png" descr="index-528_1.png"/>
            <wp:cNvGraphicFramePr>
              <a:graphicFrameLocks noChangeAspect="1"/>
            </wp:cNvGraphicFramePr>
            <a:graphic>
              <a:graphicData uri="http://schemas.openxmlformats.org/drawingml/2006/picture">
                <pic:pic>
                  <pic:nvPicPr>
                    <pic:cNvPr id="0" name="index-528_1.png" descr="index-528_1.png"/>
                    <pic:cNvPicPr/>
                  </pic:nvPicPr>
                  <pic:blipFill>
                    <a:blip r:embed="rId541"/>
                    <a:stretch>
                      <a:fillRect/>
                    </a:stretch>
                  </pic:blipFill>
                  <pic:spPr>
                    <a:xfrm>
                      <a:off x="0" y="0"/>
                      <a:ext cx="914400" cy="266700"/>
                    </a:xfrm>
                    <a:prstGeom prst="rect">
                      <a:avLst/>
                    </a:prstGeom>
                  </pic:spPr>
                </pic:pic>
              </a:graphicData>
            </a:graphic>
          </wp:anchor>
        </w:drawing>
      </w:r>
      <w:bookmarkEnd w:id="795"/>
      <w:bookmarkEnd w:id="796"/>
    </w:p>
    <w:p>
      <w:pPr>
        <w:pStyle w:val="Para 01"/>
      </w:pPr>
      <w:r>
        <w:t>Preparing the input-output memory management unit (IOMMU)</w:t>
      </w:r>
    </w:p>
    <w:p>
      <w:pPr>
        <w:pStyle w:val="Para 17"/>
      </w:pPr>
      <w:r>
        <w:t/>
      </w:r>
    </w:p>
    <w:p>
      <w:pPr>
        <w:pStyle w:val="Normal"/>
      </w:pPr>
      <w:r>
        <w:t xml:space="preserve">On the kernel side, there are various </w:t>
      </w:r>
      <w:hyperlink r:id="rId1442">
        <w:r>
          <w:rPr>
            <w:rStyle w:val="Text9"/>
          </w:rPr>
          <w:t>504</w:t>
        </w:r>
      </w:hyperlink>
      <w:hyperlink r:id="rId1442">
        <w:r>
          <w:rPr>
            <w:rStyle w:val="Text1"/>
          </w:rPr>
          <w:t xml:space="preserve"> options you can enable/configure</w:t>
        </w:r>
      </w:hyperlink>
      <w:r>
        <w:t xml:space="preserve"> for the </w:t>
      </w:r>
      <w:hyperlink r:id="rId1443">
        <w:r>
          <w:rPr>
            <w:rStyle w:val="Text1"/>
          </w:rPr>
          <w:t>IOMMU fea-</w:t>
        </w:r>
      </w:hyperlink>
    </w:p>
    <w:p>
      <w:pPr>
        <w:pStyle w:val="Normal"/>
      </w:pPr>
      <w:hyperlink r:id="rId1443">
        <w:r>
          <w:rPr>
            <w:rStyle w:val="Text1"/>
          </w:rPr>
          <w:t>ture</w:t>
        </w:r>
      </w:hyperlink>
      <w:hyperlink w:anchor="page_528">
        <w:r>
          <w:rPr>
            <w:rStyle w:val="Text9"/>
          </w:rPr>
          <w:t>505</w:t>
        </w:r>
      </w:hyperlink>
      <w:r>
        <w:t>. In recent Ubuntu kernels (&gt;=5.4 =&gt; Focal or Bionic-HWE kernels) everything usually works by default, unless your hardware setup makes you need any of those tuning options.</w:t>
      </w:r>
    </w:p>
    <w:p>
      <w:pPr>
        <w:pStyle w:val="Para 08"/>
      </w:pPr>
      <w:r>
        <w:t>Note:</w:t>
      </w:r>
    </w:p>
    <w:p>
      <w:pPr>
        <w:pStyle w:val="Para 03"/>
      </w:pPr>
      <w:r>
        <w:t>The card used in all examples below e.g. when filtering for or assigning PCI IDs, is an</w:t>
      </w:r>
    </w:p>
    <w:p>
      <w:pPr>
        <w:pStyle w:val="Para 03"/>
      </w:pPr>
      <w:r>
        <w:t>NVIDIA V100 on PCI ID 41.00.0</w:t>
      </w:r>
    </w:p>
    <w:p>
      <w:pPr>
        <w:pStyle w:val="Para 03"/>
      </w:pPr>
      <w:r>
        <w:t>$ lspci | grep 3D</w:t>
      </w:r>
    </w:p>
    <w:p>
      <w:pPr>
        <w:pStyle w:val="Para 03"/>
      </w:pPr>
      <w:r>
        <w:t>41</w:t>
        <w:t>:00.0 3D controller: NVIDIA Corporation GV100GL</w:t>
        <w:t xml:space="preserve"> </w:t>
        <w:t>[</w:t>
        <w:t>Tesla V100 PCIe 16GB</w:t>
        <w:t>] (</w:t>
        <w:t>rev a1</w:t>
        <w:t>)</w:t>
      </w:r>
    </w:p>
    <w:p>
      <w:pPr>
        <w:pStyle w:val="Para 17"/>
      </w:pPr>
      <w:r>
        <w:t/>
      </w:r>
    </w:p>
    <w:p>
      <w:pPr>
        <w:pStyle w:val="Normal"/>
      </w:pPr>
      <w:r>
        <w:t>You can check your boot-up kernel messages for IOMMU</w:t>
      </w:r>
      <w:hyperlink w:anchor="page_679">
        <w:r>
          <w:rPr>
            <w:rStyle w:val="Text1"/>
          </w:rPr>
          <w:t>/</w:t>
        </w:r>
      </w:hyperlink>
      <w:hyperlink w:anchor="page_679">
        <w:r>
          <w:rPr>
            <w:rStyle w:val="Text2"/>
          </w:rPr>
          <w:t>DMAR</w:t>
        </w:r>
      </w:hyperlink>
      <w:r>
        <w:t xml:space="preserve"> messages or even filter it for a particular PCI ID.</w:t>
      </w:r>
    </w:p>
    <w:p>
      <w:pPr>
        <w:pStyle w:val="Normal"/>
      </w:pPr>
      <w:r>
        <w:t>To list all:</w:t>
      </w:r>
    </w:p>
    <w:p>
      <w:pPr>
        <w:pStyle w:val="Normal"/>
      </w:pPr>
      <w:r>
        <w:t>dmesg | grep -i -e DMAR -e IOMMU</w:t>
      </w:r>
    </w:p>
    <w:p>
      <w:pPr>
        <w:pStyle w:val="Para 17"/>
      </w:pPr>
      <w:r>
        <w:t/>
      </w:r>
    </w:p>
    <w:p>
      <w:pPr>
        <w:pStyle w:val="Normal"/>
      </w:pPr>
      <w:r>
        <w:t>Which produces an output like this:</w:t>
      </w:r>
    </w:p>
    <w:p>
      <w:pPr>
        <w:pStyle w:val="Normal"/>
      </w:pPr>
      <w:r>
        <w:t>[</w:t>
        <w:t xml:space="preserve"> </w:t>
        <w:t>3.509232] iommu: Default domain type: Translated</w:t>
        <w:t xml:space="preserve"> </w:t>
        <w:t>...</w:t>
      </w:r>
    </w:p>
    <w:p>
      <w:pPr>
        <w:pStyle w:val="Normal"/>
      </w:pPr>
      <w:r>
        <w:t>[</w:t>
        <w:t xml:space="preserve"> </w:t>
        <w:t>4.516995] pci 0000:00:01.0: Adding to iommu group 0</w:t>
        <w:t xml:space="preserve"> </w:t>
        <w:t>...</w:t>
      </w:r>
    </w:p>
    <w:p>
      <w:pPr>
        <w:pStyle w:val="Normal"/>
      </w:pPr>
      <w:r>
        <w:t>[</w:t>
        <w:t xml:space="preserve"> </w:t>
        <w:t>4.702729] perf/amd_iommu: Detected AMD IOMMU #0 (2 banks, 4 counters/bank).</w:t>
      </w:r>
    </w:p>
    <w:p>
      <w:pPr>
        <w:pStyle w:val="Para 17"/>
      </w:pPr>
      <w:r>
        <w:t/>
      </w:r>
    </w:p>
    <w:p>
      <w:pPr>
        <w:pStyle w:val="Normal"/>
      </w:pPr>
      <w:r>
        <w:t>To filter for the installed 3D card:</w:t>
      </w:r>
    </w:p>
    <w:p>
      <w:pPr>
        <w:pStyle w:val="Normal"/>
      </w:pPr>
      <w:r>
        <w:t>dmesg | grep -i -e DMAR -e IOMMU | grep</w:t>
        <w:t xml:space="preserve"> </w:t>
      </w:r>
      <w:r>
        <w:rPr>
          <w:rStyle w:val="Text0"/>
        </w:rPr>
        <w:t>$(</w:t>
      </w:r>
      <w:r>
        <w:t>lspci | awk</w:t>
        <w:t xml:space="preserve"> </w:t>
        <w:t>'/ 3D / {print $1}'</w:t>
        <w:t xml:space="preserve"> </w:t>
      </w:r>
      <w:r>
        <w:rPr>
          <w:rStyle w:val="Text0"/>
        </w:rPr>
        <w:t>)</w:t>
      </w:r>
    </w:p>
    <w:p>
      <w:pPr>
        <w:pStyle w:val="Para 17"/>
      </w:pPr>
      <w:r>
        <w:t/>
      </w:r>
    </w:p>
    <w:p>
      <w:pPr>
        <w:pStyle w:val="Normal"/>
      </w:pPr>
      <w:r>
        <w:t>Which shows the following output:</w:t>
      </w:r>
    </w:p>
    <w:p>
      <w:pPr>
        <w:pStyle w:val="Normal"/>
      </w:pPr>
      <w:r>
        <w:t>[</w:t>
        <w:t xml:space="preserve"> </w:t>
        <w:t>4.598150] pci 0000:41:00.0: Adding to iommu group 66</w:t>
      </w:r>
    </w:p>
    <w:p>
      <w:pPr>
        <w:pStyle w:val="Para 17"/>
      </w:pPr>
      <w:r>
        <w:t/>
      </w:r>
    </w:p>
    <w:p>
      <w:pPr>
        <w:pStyle w:val="Normal"/>
      </w:pPr>
      <w:r>
        <w:t>If you have a particular device and want to check for its group you can do that via sysfs. If you have multiple cards or want the full list you can traverse the same sysfs paths for that.</w:t>
      </w:r>
    </w:p>
    <w:p>
      <w:pPr>
        <w:pStyle w:val="Normal"/>
      </w:pPr>
      <w:r>
        <w:t>For example, to find the group for our example card:</w:t>
      </w:r>
    </w:p>
    <w:p>
      <w:pPr>
        <w:pStyle w:val="Normal"/>
      </w:pPr>
      <w:r>
        <w:t>find /sys/kernel/iommu_groups/ -name</w:t>
        <w:t xml:space="preserve"> </w:t>
        <w:t>"*</w:t>
      </w:r>
      <w:r>
        <w:rPr>
          <w:rStyle w:val="Text0"/>
        </w:rPr>
        <w:t>$(</w:t>
      </w:r>
      <w:r>
        <w:t>lspci | awk</w:t>
        <w:t xml:space="preserve"> </w:t>
        <w:t>'/ 3D / {print $1}'</w:t>
      </w:r>
      <w:r>
        <w:rPr>
          <w:rStyle w:val="Text0"/>
        </w:rPr>
        <w:t>)</w:t>
      </w:r>
      <w:r>
        <w:t>*"</w:t>
      </w:r>
    </w:p>
    <w:p>
      <w:pPr>
        <w:pStyle w:val="Para 17"/>
      </w:pPr>
      <w:r>
        <w:t/>
      </w:r>
    </w:p>
    <w:p>
      <w:pPr>
        <w:pStyle w:val="Normal"/>
      </w:pPr>
      <w:r>
        <w:t>Which it tells us is found here:</w:t>
      </w:r>
    </w:p>
    <w:p>
      <w:pPr>
        <w:pStyle w:val="Normal"/>
      </w:pPr>
      <w:r>
        <w:t>/sys/kernel/iommu_groups/66/devices/0000:41:00.0</w:t>
      </w:r>
    </w:p>
    <w:p>
      <w:pPr>
        <w:pStyle w:val="Para 17"/>
      </w:pPr>
      <w:r>
        <w:t/>
      </w:r>
    </w:p>
    <w:p>
      <w:pPr>
        <w:pStyle w:val="Normal"/>
      </w:pPr>
      <w:r>
        <w:t>We can also check if there are other devices in this group:</w:t>
      </w:r>
    </w:p>
    <w:p>
      <w:pPr>
        <w:pStyle w:val="Normal"/>
      </w:pPr>
      <w:r>
        <w:t>ll</w:t>
        <w:t xml:space="preserve"> </w:t>
        <w:t>/</w:t>
        <w:t>sys</w:t>
        <w:t>/</w:t>
        <w:t>kernel</w:t>
        <w:t>/</w:t>
        <w:t>iommu_groups</w:t>
        <w:t>/</w:t>
        <w:t>66</w:t>
        <w:t>/</w:t>
        <w:t>devices</w:t>
        <w:t>/</w:t>
      </w:r>
    </w:p>
    <w:p>
      <w:pPr>
        <w:pStyle w:val="Normal"/>
      </w:pPr>
      <w:r>
        <w:t>lrwxrwxrwx</w:t>
        <w:t xml:space="preserve"> </w:t>
        <w:t>1</w:t>
        <w:t xml:space="preserve"> </w:t>
        <w:t>root root</w:t>
        <w:t xml:space="preserve"> </w:t>
        <w:t>0</w:t>
        <w:t xml:space="preserve"> </w:t>
        <w:t>Jan</w:t>
        <w:t xml:space="preserve"> </w:t>
        <w:t>3 06</w:t>
        <w:t>:</w:t>
        <w:t>57 0000</w:t>
        <w:t>:</w:t>
        <w:t>41</w:t>
        <w:t>:</w:t>
        <w:t>00.0</w:t>
        <w:t>-&gt; ../../../../</w:t>
        <w:t>devices</w:t>
        <w:t>/</w:t>
        <w:t>pci0000:</w:t>
        <w:t>40</w:t>
        <w:t>/</w:t>
        <w:t xml:space="preserve"> </w:t>
        <w:t>0000</w:t>
        <w:t>:</w:t>
        <w:t>40</w:t>
        <w:t>:</w:t>
        <w:t>03.1</w:t>
        <w:t>/</w:t>
        <w:t>0000</w:t>
        <w:t>:</w:t>
        <w:t>41</w:t>
        <w:t>:</w:t>
        <w:t>00.0</w:t>
        <w:t>/</w:t>
      </w:r>
    </w:p>
    <w:p>
      <w:pPr>
        <w:pStyle w:val="Para 05"/>
      </w:pPr>
      <w:r>
        <w:rPr>
          <w:rStyle w:val="Text5"/>
        </w:rPr>
        <w:t>504</w:t>
      </w:r>
      <w:r>
        <w:rPr>
          <w:rStyle w:val="Text8"/>
        </w:rPr>
        <w:t xml:space="preserve"> </w:t>
      </w:r>
      <w:r>
        <w:t>https://www.kernel.org/doc/html/latest/admin-guide/kernel-parameters.html?highlight=iommu</w:t>
      </w:r>
    </w:p>
    <w:p>
      <w:pPr>
        <w:pStyle w:val="Para 03"/>
      </w:pPr>
      <w:r>
        <w:rPr>
          <w:rStyle w:val="Text5"/>
        </w:rPr>
        <w:t>505</w:t>
      </w:r>
      <w:r>
        <w:t xml:space="preserve"> </w:t>
      </w:r>
      <w:r>
        <w:rPr>
          <w:rStyle w:val="Text6"/>
        </w:rPr>
        <w:t>https://www.kernel.org/doc/html/latest/arch/x86/iommu.html</w:t>
      </w:r>
      <w:r>
        <w:t xml:space="preserve"> Another useful tool for this stage (although the details are beyond the scope of this arti-cle) can be virsh node*, especially virsh nodedev-list --tree and virsh nodedev-dumpxml &lt;pcidev&gt;.</w:t>
      </w:r>
    </w:p>
    <w:p>
      <w:bookmarkStart w:id="797" w:name="page_5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8" name="index-529_1.png" descr="index-529_1.png"/>
            <wp:cNvGraphicFramePr>
              <a:graphicFrameLocks noChangeAspect="1"/>
            </wp:cNvGraphicFramePr>
            <a:graphic>
              <a:graphicData uri="http://schemas.openxmlformats.org/drawingml/2006/picture">
                <pic:pic>
                  <pic:nvPicPr>
                    <pic:cNvPr id="0" name="index-529_1.png" descr="index-529_1.png"/>
                    <pic:cNvPicPr/>
                  </pic:nvPicPr>
                  <pic:blipFill>
                    <a:blip r:embed="rId542"/>
                    <a:stretch>
                      <a:fillRect/>
                    </a:stretch>
                  </pic:blipFill>
                  <pic:spPr>
                    <a:xfrm>
                      <a:off x="0" y="0"/>
                      <a:ext cx="914400" cy="266700"/>
                    </a:xfrm>
                    <a:prstGeom prst="rect">
                      <a:avLst/>
                    </a:prstGeom>
                  </pic:spPr>
                </pic:pic>
              </a:graphicData>
            </a:graphic>
          </wp:anchor>
        </w:drawing>
      </w:r>
      <w:bookmarkEnd w:id="797"/>
    </w:p>
    <w:p>
      <w:pPr>
        <w:pStyle w:val="Para 17"/>
      </w:pPr>
      <w:r>
        <w:t/>
      </w:r>
    </w:p>
    <w:p>
      <w:pPr>
        <w:pStyle w:val="Para 08"/>
      </w:pPr>
      <w:r>
        <w:t>Note:</w:t>
      </w:r>
    </w:p>
    <w:p>
      <w:pPr>
        <w:pStyle w:val="Para 03"/>
      </w:pPr>
      <w:r>
        <w:t>Some older or non-server boards tend to group devices in one IOMMU group, which isn’t</w:t>
      </w:r>
    </w:p>
    <w:p>
      <w:pPr>
        <w:pStyle w:val="Para 03"/>
      </w:pPr>
      <w:r>
        <w:t>very useful as it means you’ll need to pass “all or none of them” to the same guest.</w:t>
      </w:r>
    </w:p>
    <w:p>
      <w:pPr>
        <w:pStyle w:val="Para 17"/>
      </w:pPr>
      <w:r>
        <w:t/>
      </w:r>
    </w:p>
    <w:p>
      <w:pPr>
        <w:pStyle w:val="Para 01"/>
      </w:pPr>
      <w:r>
        <w:t>Preparations for PCI and mediated devices pass-through – block host drivers</w:t>
      </w:r>
    </w:p>
    <w:p>
      <w:pPr>
        <w:pStyle w:val="Para 17"/>
      </w:pPr>
      <w:r>
        <w:t/>
      </w:r>
    </w:p>
    <w:p>
      <w:pPr>
        <w:pStyle w:val="Normal"/>
      </w:pPr>
      <w:r>
        <w:t>For both, you’ll want to ensure the normal driver isn’t loaded. In some cases you can do that at runtime via virsh nodedev-detach &lt;pcidevice&gt;. libvirt will even do that automatically if, on the passthrough configuration, you have set &lt;hostdev mode='subsystem' type='pci' managed='yes'&gt;.</w:t>
      </w:r>
    </w:p>
    <w:p>
      <w:pPr>
        <w:pStyle w:val="Normal"/>
      </w:pPr>
      <w:r>
        <w:t>This usually works fine for e.g. network cards, but some other devices like GPUs do not like to be unassigned, so there the required step usually is block loading the drivers you do not want to be loaded. In our GPU example the nouveau driver would load and that has to be blocked. To do so you can create a modprobe blocklist.</w:t>
      </w:r>
    </w:p>
    <w:p>
      <w:pPr>
        <w:pStyle w:val="Normal"/>
      </w:pPr>
      <w:r>
        <w:t>echo</w:t>
        <w:t xml:space="preserve"> </w:t>
        <w:t>"blacklist nouveau"</w:t>
        <w:t xml:space="preserve"> </w:t>
        <w:t>| sudo tee /etc/modprobe.d/blacklist-nouveau.conf</w:t>
        <w:t xml:space="preserve"> </w:t>
        <w:t>echo</w:t>
        <w:t xml:space="preserve"> </w:t>
        <w:t>"options nouveau modeset=0"</w:t>
        <w:t xml:space="preserve"> </w:t>
        <w:t>| sudo tee -a /etc/modprobe.d/blacklist-nouveau.conf</w:t>
        <w:t xml:space="preserve"> </w:t>
        <w:t>sudo update-initramfs -u</w:t>
      </w:r>
    </w:p>
    <w:p>
      <w:pPr>
        <w:pStyle w:val="Normal"/>
      </w:pPr>
      <w:r>
        <w:t>sudo reboot</w:t>
      </w:r>
    </w:p>
    <w:p>
      <w:pPr>
        <w:pStyle w:val="Para 17"/>
      </w:pPr>
      <w:r>
        <w:t/>
      </w:r>
    </w:p>
    <w:p>
      <w:pPr>
        <w:pStyle w:val="Normal"/>
      </w:pPr>
      <w:r>
        <w:t>You can check which kernel modules are loaded and available via lspci -v:</w:t>
      </w:r>
    </w:p>
    <w:p>
      <w:pPr>
        <w:pStyle w:val="Normal"/>
      </w:pPr>
      <w:r>
        <w:t>lspci -v | grep -A</w:t>
        <w:t xml:space="preserve"> </w:t>
        <w:t>10</w:t>
        <w:t xml:space="preserve"> </w:t>
        <w:t>" 3D "</w:t>
      </w:r>
    </w:p>
    <w:p>
      <w:pPr>
        <w:pStyle w:val="Para 17"/>
      </w:pPr>
      <w:r>
        <w:t/>
      </w:r>
    </w:p>
    <w:p>
      <w:pPr>
        <w:pStyle w:val="Normal"/>
      </w:pPr>
      <w:r>
        <w:t>Which in our example shows:</w:t>
      </w:r>
    </w:p>
    <w:p>
      <w:pPr>
        <w:pStyle w:val="Normal"/>
      </w:pPr>
      <w:r>
        <w:t>41:00.0 3D controller: NVIDIA Corporation GV100GL [Tesla V100 PCIe 16GB] (rev a1)</w:t>
        <w:t xml:space="preserve"> </w:t>
        <w:t>...</w:t>
      </w:r>
    </w:p>
    <w:p>
      <w:pPr>
        <w:pStyle w:val="Normal"/>
      </w:pPr>
      <w:r>
        <w:t>Kernel modules: nvidiafb, nouveau</w:t>
      </w:r>
    </w:p>
    <w:p>
      <w:pPr>
        <w:pStyle w:val="Para 17"/>
      </w:pPr>
      <w:r>
        <w:t/>
      </w:r>
    </w:p>
    <w:p>
      <w:pPr>
        <w:pStyle w:val="Normal"/>
      </w:pPr>
      <w:r>
        <w:t>If the configuration did not work instead it would show:</w:t>
      </w:r>
    </w:p>
    <w:p>
      <w:pPr>
        <w:pStyle w:val="Normal"/>
      </w:pPr>
      <w:r>
        <w:t>Kernel driver in use: nouveau</w:t>
      </w:r>
    </w:p>
    <w:p>
      <w:pPr>
        <w:pStyle w:val="Para 17"/>
      </w:pPr>
      <w:r>
        <w:t/>
      </w:r>
    </w:p>
    <w:p>
      <w:pPr>
        <w:pStyle w:val="Para 01"/>
      </w:pPr>
      <w:r>
        <w:t>Preparations for mediated devices pass-through - driver</w:t>
      </w:r>
    </w:p>
    <w:p>
      <w:pPr>
        <w:pStyle w:val="Para 17"/>
      </w:pPr>
      <w:r>
        <w:t/>
      </w:r>
    </w:p>
    <w:p>
      <w:pPr>
        <w:pStyle w:val="Normal"/>
      </w:pPr>
      <w:r>
        <w:t>For PCI passthrough, the above steps would be all the preparation needed, but for mediated devices one also needs to install and set up the host driver. The example here continues with</w:t>
      </w:r>
    </w:p>
    <w:p>
      <w:pPr>
        <w:pStyle w:val="Para 18"/>
      </w:pPr>
      <w:r>
        <w:rPr>
          <w:rStyle w:val="Text7"/>
        </w:rPr>
        <w:t xml:space="preserve">our NVIDIA V100 which is </w:t>
      </w:r>
      <w:hyperlink w:anchor="page_529">
        <w:r>
          <w:rPr>
            <w:rStyle w:val="Text10"/>
          </w:rPr>
          <w:t>506</w:t>
        </w:r>
      </w:hyperlink>
      <w:r>
        <w:rPr>
          <w:rStyle w:val="Text7"/>
        </w:rPr>
        <w:t xml:space="preserve"> </w:t>
      </w:r>
      <w:hyperlink r:id="rId1444">
        <w:r>
          <w:t>supported and available from Nvidia</w:t>
        </w:r>
      </w:hyperlink>
      <w:r>
        <w:rPr>
          <w:rStyle w:val="Text7"/>
        </w:rPr>
        <w:t>.</w:t>
      </w:r>
    </w:p>
    <w:p>
      <w:pPr>
        <w:pStyle w:val="Normal"/>
      </w:pPr>
      <w:r>
        <w:t xml:space="preserve">There is also an Nvidia document about the same steps available on </w:t>
      </w:r>
      <w:hyperlink r:id="rId1445">
        <w:r>
          <w:rPr>
            <w:rStyle w:val="Text1"/>
          </w:rPr>
          <w:t>installation and configu-</w:t>
        </w:r>
      </w:hyperlink>
    </w:p>
    <w:p>
      <w:pPr>
        <w:pStyle w:val="Para 18"/>
      </w:pPr>
      <w:hyperlink r:id="rId1445">
        <w:r>
          <w:t>ration of vGPU on Ubuntu</w:t>
        </w:r>
      </w:hyperlink>
      <w:hyperlink r:id="rId1445">
        <w:r>
          <w:rPr>
            <w:rStyle w:val="Text10"/>
          </w:rPr>
          <w:t>507</w:t>
        </w:r>
      </w:hyperlink>
      <w:r>
        <w:rPr>
          <w:rStyle w:val="Text7"/>
        </w:rPr>
        <w:t>.</w:t>
      </w:r>
    </w:p>
    <w:p>
      <w:pPr>
        <w:pStyle w:val="Para 05"/>
      </w:pPr>
      <w:r>
        <w:rPr>
          <w:rStyle w:val="Text5"/>
        </w:rPr>
        <w:t>506</w:t>
      </w:r>
      <w:r>
        <w:rPr>
          <w:rStyle w:val="Text8"/>
        </w:rPr>
        <w:t xml:space="preserve"> </w:t>
      </w:r>
      <w:r>
        <w:t>https://docs.nvidia.com/vgpu/latest/product-support-matrix/ubuntu.html</w:t>
      </w:r>
    </w:p>
    <w:p>
      <w:pPr>
        <w:pStyle w:val="Para 03"/>
      </w:pPr>
      <w:r>
        <w:rPr>
          <w:rStyle w:val="Text5"/>
        </w:rPr>
        <w:t>507</w:t>
      </w:r>
      <w:r>
        <w:t xml:space="preserve"> </w:t>
      </w:r>
      <w:r>
        <w:rPr>
          <w:rStyle w:val="Text6"/>
        </w:rPr>
        <w:t>https://docs.nvidia.com/vgpu/latest/grid-vgpu-user-guide/index.html#ubuntu-install-configure-vgpu</w:t>
      </w:r>
      <w:r>
        <w:t xml:space="preserve"> Once you have the drivers from Nvidia, like nvidia-vgpu-ubuntu-470_470.68_amd64.deb, then install them and check (as above) that the driver is loaded. The one you need to see is nvidia_ vgpu_vfio:</w:t>
      </w:r>
    </w:p>
    <w:p>
      <w:bookmarkStart w:id="798" w:name="page_5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39" name="index-530_1.png" descr="index-530_1.png"/>
            <wp:cNvGraphicFramePr>
              <a:graphicFrameLocks noChangeAspect="1"/>
            </wp:cNvGraphicFramePr>
            <a:graphic>
              <a:graphicData uri="http://schemas.openxmlformats.org/drawingml/2006/picture">
                <pic:pic>
                  <pic:nvPicPr>
                    <pic:cNvPr id="0" name="index-530_1.png" descr="index-530_1.png"/>
                    <pic:cNvPicPr/>
                  </pic:nvPicPr>
                  <pic:blipFill>
                    <a:blip r:embed="rId543"/>
                    <a:stretch>
                      <a:fillRect/>
                    </a:stretch>
                  </pic:blipFill>
                  <pic:spPr>
                    <a:xfrm>
                      <a:off x="0" y="0"/>
                      <a:ext cx="914400" cy="266700"/>
                    </a:xfrm>
                    <a:prstGeom prst="rect">
                      <a:avLst/>
                    </a:prstGeom>
                  </pic:spPr>
                </pic:pic>
              </a:graphicData>
            </a:graphic>
          </wp:anchor>
        </w:drawing>
      </w:r>
      <w:bookmarkEnd w:id="798"/>
    </w:p>
    <w:p>
      <w:pPr>
        <w:pStyle w:val="Normal"/>
      </w:pPr>
      <w:r>
        <w:t>lsmod | grep nvidia</w:t>
      </w:r>
    </w:p>
    <w:p>
      <w:pPr>
        <w:pStyle w:val="Para 17"/>
      </w:pPr>
      <w:r>
        <w:t/>
      </w:r>
    </w:p>
    <w:p>
      <w:pPr>
        <w:pStyle w:val="Normal"/>
      </w:pPr>
      <w:r>
        <w:t>Which we can see in the output:</w:t>
      </w:r>
    </w:p>
    <w:p>
      <w:pPr>
        <w:pStyle w:val="Normal"/>
      </w:pPr>
      <w:r>
        <w:t>nvidia_vgpu_vfio</w:t>
        <w:t xml:space="preserve"> </w:t>
        <w:t>53248</w:t>
        <w:t xml:space="preserve"> </w:t>
        <w:t>38</w:t>
      </w:r>
    </w:p>
    <w:p>
      <w:pPr>
        <w:pStyle w:val="Normal"/>
      </w:pPr>
      <w:r>
        <w:t>nvidia</w:t>
        <w:t xml:space="preserve"> </w:t>
        <w:t>35282944</w:t>
        <w:t xml:space="preserve"> </w:t>
        <w:t>586 nvidia_vgpu_vfio</w:t>
        <w:t xml:space="preserve"> </w:t>
        <w:t>mdev</w:t>
        <w:t xml:space="preserve"> </w:t>
        <w:t>24576</w:t>
        <w:t xml:space="preserve"> </w:t>
        <w:t>2 vfio_mdev,nvidia_vgpu_vfio</w:t>
        <w:t xml:space="preserve"> </w:t>
        <w:t>drm</w:t>
        <w:t xml:space="preserve"> </w:t>
        <w:t>491520</w:t>
        <w:t xml:space="preserve"> </w:t>
        <w:t>6 drm_kms_helper,drm_vram_helper,nvidia</w:t>
      </w:r>
    </w:p>
    <w:p>
      <w:pPr>
        <w:pStyle w:val="Para 17"/>
      </w:pPr>
      <w:r>
        <w:t/>
      </w:r>
    </w:p>
    <w:p>
      <w:pPr>
        <w:pStyle w:val="Para 08"/>
      </w:pPr>
      <w:r>
        <w:t>Note:</w:t>
      </w:r>
    </w:p>
    <w:p>
      <w:pPr>
        <w:pStyle w:val="Para 03"/>
      </w:pPr>
      <w:r>
        <w:t>While it works without a vGPU manager, to get the full capabilities you’ll need to con-</w:t>
      </w:r>
    </w:p>
    <w:p>
      <w:pPr>
        <w:pStyle w:val="Para 22"/>
      </w:pPr>
      <w:r>
        <w:rPr>
          <w:rStyle w:val="Text7"/>
        </w:rPr>
        <w:t xml:space="preserve">figure the </w:t>
      </w:r>
      <w:hyperlink w:anchor="page_530">
        <w:r>
          <w:rPr>
            <w:rStyle w:val="Text10"/>
          </w:rPr>
          <w:t>508</w:t>
        </w:r>
      </w:hyperlink>
      <w:r>
        <w:rPr>
          <w:rStyle w:val="Text7"/>
        </w:rPr>
        <w:t xml:space="preserve"> </w:t>
      </w:r>
      <w:hyperlink r:id="rId1446">
        <w:r>
          <w:t>vGPU manager (that came with above package)</w:t>
        </w:r>
      </w:hyperlink>
      <w:r>
        <w:rPr>
          <w:rStyle w:val="Text7"/>
        </w:rPr>
        <w:t xml:space="preserve"> and a license server so that</w:t>
      </w:r>
    </w:p>
    <w:p>
      <w:pPr>
        <w:pStyle w:val="Para 03"/>
      </w:pPr>
      <w:r>
        <w:t xml:space="preserve">each guest can get a license for the vGPU provided to it. Please see </w:t>
      </w:r>
      <w:hyperlink r:id="rId1447">
        <w:r>
          <w:rPr>
            <w:rStyle w:val="Text1"/>
          </w:rPr>
          <w:t>Nvidia’s documenta-</w:t>
        </w:r>
      </w:hyperlink>
    </w:p>
    <w:p>
      <w:pPr>
        <w:pStyle w:val="Para 03"/>
      </w:pPr>
      <w:hyperlink r:id="rId1447">
        <w:r>
          <w:rPr>
            <w:rStyle w:val="Text1"/>
          </w:rPr>
          <w:t>tion for the license server</w:t>
        </w:r>
      </w:hyperlink>
      <w:r>
        <w:t xml:space="preserve"> </w:t>
      </w:r>
      <w:hyperlink w:anchor="page_530">
        <w:r>
          <w:rPr>
            <w:rStyle w:val="Text9"/>
          </w:rPr>
          <w:t>509</w:t>
        </w:r>
      </w:hyperlink>
      <w:r>
        <w:t>. While not officially supported on Linux (as of Q1 2022), it’s</w:t>
      </w:r>
    </w:p>
    <w:p>
      <w:pPr>
        <w:pStyle w:val="Para 03"/>
      </w:pPr>
      <w:r>
        <w:t>worthwhile to note that it runs fine on Ubuntu with sudo apt install unzip default-jre</w:t>
      </w:r>
    </w:p>
    <w:p>
      <w:pPr>
        <w:pStyle w:val="Para 03"/>
      </w:pPr>
      <w:r>
        <w:t>tomcat9 liblog4j2-java libslf4j-java using /var/lib/tomcat9 as the server path in the</w:t>
      </w:r>
    </w:p>
    <w:p>
      <w:pPr>
        <w:pStyle w:val="Para 03"/>
      </w:pPr>
      <w:r>
        <w:t>license server installer.</w:t>
      </w:r>
    </w:p>
    <w:p>
      <w:pPr>
        <w:pStyle w:val="Para 03"/>
      </w:pPr>
      <w:r>
        <w:t xml:space="preserve">It’s also worth mentioning that the Nvidia license server went </w:t>
      </w:r>
      <w:hyperlink r:id="rId1448">
        <w:r>
          <w:rPr>
            <w:rStyle w:val="Text9"/>
          </w:rPr>
          <w:t>510</w:t>
        </w:r>
      </w:hyperlink>
      <w:hyperlink r:id="rId1448">
        <w:r>
          <w:rPr>
            <w:rStyle w:val="Text1"/>
          </w:rPr>
          <w:t xml:space="preserve"> </w:t>
        </w:r>
      </w:hyperlink>
      <w:hyperlink r:id="rId1448">
        <w:r>
          <w:rPr>
            <w:rStyle w:val="Text2"/>
          </w:rPr>
          <w:t>EOL</w:t>
        </w:r>
      </w:hyperlink>
      <w:hyperlink r:id="rId1448">
        <w:r>
          <w:rPr>
            <w:rStyle w:val="Text1"/>
          </w:rPr>
          <w:t xml:space="preserve"> on 31 July 2023</w:t>
        </w:r>
      </w:hyperlink>
      <w:r>
        <w:t>. At</w:t>
      </w:r>
    </w:p>
    <w:p>
      <w:pPr>
        <w:pStyle w:val="Para 03"/>
      </w:pPr>
      <w:r>
        <w:t xml:space="preserve">that time, it was replaced by the </w:t>
      </w:r>
      <w:hyperlink w:anchor="page_530">
        <w:r>
          <w:rPr>
            <w:rStyle w:val="Text9"/>
          </w:rPr>
          <w:t>511</w:t>
        </w:r>
      </w:hyperlink>
      <w:r>
        <w:t xml:space="preserve"> </w:t>
      </w:r>
      <w:hyperlink r:id="rId1449">
        <w:r>
          <w:rPr>
            <w:rStyle w:val="Text1"/>
          </w:rPr>
          <w:t>NVIDIA License System</w:t>
        </w:r>
      </w:hyperlink>
      <w:r>
        <w:t>.</w:t>
      </w:r>
    </w:p>
    <w:p>
      <w:pPr>
        <w:pStyle w:val="Para 05"/>
      </w:pPr>
      <w:r>
        <w:rPr>
          <w:rStyle w:val="Text5"/>
        </w:rPr>
        <w:t>508</w:t>
      </w:r>
      <w:r>
        <w:rPr>
          <w:rStyle w:val="Text8"/>
        </w:rPr>
        <w:t xml:space="preserve"> </w:t>
      </w:r>
      <w:r>
        <w:t>https://docs.nvidia.com/vgpu/latest/grid-vgpu-user-guide/index.html#install-vgpu-package-ubuntu</w:t>
      </w:r>
    </w:p>
    <w:p>
      <w:pPr>
        <w:pStyle w:val="Para 05"/>
      </w:pPr>
      <w:r>
        <w:rPr>
          <w:rStyle w:val="Text5"/>
        </w:rPr>
        <w:t>509</w:t>
      </w:r>
      <w:r>
        <w:rPr>
          <w:rStyle w:val="Text8"/>
        </w:rPr>
        <w:t xml:space="preserve"> </w:t>
      </w:r>
      <w:r>
        <w:t>https://docs.nvidia.com/vgpu/ls/latest/grid-license-server-user-guide/index.html</w:t>
      </w:r>
    </w:p>
    <w:p>
      <w:pPr>
        <w:pStyle w:val="Para 05"/>
      </w:pPr>
      <w:r>
        <w:rPr>
          <w:rStyle w:val="Text5"/>
        </w:rPr>
        <w:t>510</w:t>
      </w:r>
      <w:r>
        <w:rPr>
          <w:rStyle w:val="Text8"/>
        </w:rPr>
        <w:t xml:space="preserve"> </w:t>
      </w:r>
      <w:r>
        <w:t>https://docs.nvidia.com/vgpu/news/vgpu-software-license-server-eol-notice/index.html</w:t>
      </w:r>
    </w:p>
    <w:p>
      <w:pPr>
        <w:pStyle w:val="Para 05"/>
      </w:pPr>
      <w:r>
        <w:rPr>
          <w:rStyle w:val="Text5"/>
        </w:rPr>
        <w:t>511</w:t>
      </w:r>
      <w:r>
        <w:rPr>
          <w:rStyle w:val="Text8"/>
        </w:rPr>
        <w:t xml:space="preserve"> </w:t>
      </w:r>
      <w:r>
        <w:t>https://docs.nvidia.com/license-system/latest/nvidia-license-system-quick-start-guide/index.html</w:t>
      </w:r>
    </w:p>
    <w:p>
      <w:pPr>
        <w:pStyle w:val="Para 17"/>
      </w:pPr>
      <w:r>
        <w:t/>
      </w:r>
    </w:p>
    <w:p>
      <w:pPr>
        <w:pStyle w:val="Normal"/>
      </w:pPr>
      <w:r>
        <w:t>Here is an example of those when running fine:</w:t>
      </w:r>
    </w:p>
    <w:p>
      <w:pPr>
        <w:pStyle w:val="Normal"/>
      </w:pPr>
      <w:r>
        <w:t># general status</w:t>
      </w:r>
    </w:p>
    <w:p>
      <w:pPr>
        <w:pStyle w:val="Normal"/>
      </w:pPr>
      <w:r>
        <w:t>$ systemctl status nvidia-vgpu-mgr</w:t>
      </w:r>
    </w:p>
    <w:p>
      <w:pPr>
        <w:pStyle w:val="Para 02"/>
      </w:pPr>
      <w:r>
        <w:t>Loaded: loaded (/lib/systemd/system/nvidia-vgpu-mgr.service; enabled; vendor preset:</w:t>
      </w:r>
    </w:p>
    <w:p>
      <w:pPr>
        <w:pStyle w:val="Normal"/>
      </w:pPr>
      <w:r>
        <w:t>enabled)</w:t>
      </w:r>
    </w:p>
    <w:p>
      <w:pPr>
        <w:pStyle w:val="Para 02"/>
      </w:pPr>
      <w:r>
        <w:t>Active: active (running) since Tue 2021-09-14 07:30:19 UTC; 3min 58s ago</w:t>
      </w:r>
    </w:p>
    <w:p>
      <w:pPr>
        <w:pStyle w:val="Para 17"/>
      </w:pPr>
      <w:r>
        <w:t>Process: 1559 ExecStart=/usr/bin/nvidia-vgpu-mgr (code=exited, status=0/SUCCESS)</w:t>
      </w:r>
    </w:p>
    <w:p>
      <w:pPr>
        <w:pStyle w:val="Para 04"/>
      </w:pPr>
      <w:r>
        <w:t>Main PID: 1564 (nvidia-vgpu-mgr)</w:t>
      </w:r>
    </w:p>
    <w:p>
      <w:pPr>
        <w:pStyle w:val="Para 06"/>
      </w:pPr>
      <w:r>
        <w:t>Tasks: 1 (limit: 309020)</w:t>
      </w:r>
    </w:p>
    <w:p>
      <w:pPr>
        <w:pStyle w:val="Para 02"/>
      </w:pPr>
      <w:r>
        <w:t>Memory: 1.1M</w:t>
      </w:r>
    </w:p>
    <w:p>
      <w:pPr>
        <w:pStyle w:val="Para 02"/>
      </w:pPr>
      <w:r>
        <w:t>CGroup: /system.slice/nvidia-vgpu-mgr.service</w:t>
      </w:r>
    </w:p>
    <w:p>
      <w:pPr>
        <w:pStyle w:val="Para 12"/>
      </w:pPr>
      <w:r>
        <w:t>└─1564 /usr/bin/nvidia-vgpu-mgr</w:t>
      </w:r>
    </w:p>
    <w:p>
      <w:pPr>
        <w:pStyle w:val="Normal"/>
      </w:pPr>
      <w:r>
        <w:t>Sep 14 07:30:19 node-watt systemd[1]: Starting NVIDIA vGPU Manager Daemon...</w:t>
        <w:t xml:space="preserve"> </w:t>
        <w:t>Sep 14 07:30:19 node-watt systemd[1]: Started NVIDIA vGPU Manager Daemon.</w:t>
        <w:t xml:space="preserve"> </w:t>
        <w:t>Sep 14 07:30:20 node-watt nvidia-vgpu-mgr[1564]: notice: vmiop_env_log: nvidia-vgpu-mgr</w:t>
        <w:t xml:space="preserve"> </w:t>
        <w:t>daemon started</w:t>
      </w:r>
    </w:p>
    <w:p>
      <w:pPr>
        <w:pStyle w:val="Normal"/>
      </w:pPr>
      <w:r>
        <w:t># Entries when a guest gets a vGPU passed</w:t>
      </w:r>
    </w:p>
    <w:p>
      <w:pPr>
        <w:pStyle w:val="Normal"/>
      </w:pPr>
      <w:r>
        <w:t>Sep 14 08:29:50 node-watt nvidia-vgpu-mgr[2866]: notice: vmiop_log: (0x0): gpu-pci-id :</w:t>
        <w:t xml:space="preserve"> </w:t>
        <w:t>0x4100</w:t>
      </w:r>
    </w:p>
    <w:p>
      <w:pPr>
        <w:pStyle w:val="Normal"/>
      </w:pPr>
      <w:r>
        <w:t>Sep 14 08:29:50 node-watt nvidia-vgpu-mgr[2866]: notice: vmiop_log: (0x0): vgpu_type :</w:t>
        <w:t xml:space="preserve"> </w:t>
        <w:t>Quadro</w:t>
      </w:r>
    </w:p>
    <w:p>
      <w:pPr>
        <w:pStyle w:val="Normal"/>
      </w:pPr>
      <w:r>
        <w:t>Sep 14 08:29:50 node-watt nvidia-vgpu-mgr[2866]: notice: vmiop_log: (0x0): Framebuffer:</w:t>
      </w:r>
    </w:p>
    <w:p>
      <w:pPr>
        <w:pStyle w:val="Para 09"/>
      </w:pPr>
      <w:r>
        <w:t>(continues on next page)</w:t>
      </w:r>
    </w:p>
    <w:p>
      <w:bookmarkStart w:id="799" w:name="page_5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0" name="index-531_1.png" descr="index-531_1.png"/>
            <wp:cNvGraphicFramePr>
              <a:graphicFrameLocks noChangeAspect="1"/>
            </wp:cNvGraphicFramePr>
            <a:graphic>
              <a:graphicData uri="http://schemas.openxmlformats.org/drawingml/2006/picture">
                <pic:pic>
                  <pic:nvPicPr>
                    <pic:cNvPr id="0" name="index-531_1.png" descr="index-531_1.png"/>
                    <pic:cNvPicPr/>
                  </pic:nvPicPr>
                  <pic:blipFill>
                    <a:blip r:embed="rId544"/>
                    <a:stretch>
                      <a:fillRect/>
                    </a:stretch>
                  </pic:blipFill>
                  <pic:spPr>
                    <a:xfrm>
                      <a:off x="0" y="0"/>
                      <a:ext cx="914400" cy="266700"/>
                    </a:xfrm>
                    <a:prstGeom prst="rect">
                      <a:avLst/>
                    </a:prstGeom>
                  </pic:spPr>
                </pic:pic>
              </a:graphicData>
            </a:graphic>
          </wp:anchor>
        </w:drawing>
      </w:r>
      <w:bookmarkEnd w:id="799"/>
    </w:p>
    <w:p>
      <w:pPr>
        <w:pStyle w:val="Para 09"/>
      </w:pPr>
      <w:r>
        <w:t>(continued from previous page)</w:t>
      </w:r>
    </w:p>
    <w:p>
      <w:pPr>
        <w:pStyle w:val="Normal"/>
      </w:pPr>
      <w:r>
        <w:t>0x1dc000000</w:t>
      </w:r>
    </w:p>
    <w:p>
      <w:pPr>
        <w:pStyle w:val="Normal"/>
      </w:pPr>
      <w:r>
        <w:t>Sep 14 08:29:50 node-watt nvidia-vgpu-mgr[2866]: notice: vmiop_log: (0x0): Virtual Device</w:t>
        <w:t xml:space="preserve"> </w:t>
        <w:t>Id: 0x1db4:0x1252</w:t>
      </w:r>
    </w:p>
    <w:p>
      <w:pPr>
        <w:pStyle w:val="Normal"/>
      </w:pPr>
      <w:r>
        <w:t>Sep 14 08:29:50 node-watt nvidia-vgpu-mgr[2866]: notice: vmiop_log: (0x0): FRL Value: 60</w:t>
        <w:t xml:space="preserve"> </w:t>
        <w:t>FPS</w:t>
      </w:r>
    </w:p>
    <w:p>
      <w:pPr>
        <w:pStyle w:val="Normal"/>
      </w:pPr>
      <w:r>
        <w:t>Sep 14 08:29:50 node-watt nvidia-vgpu-mgr[2866]: notice: vmiop_log: ######## vGPU Manager</w:t>
        <w:t xml:space="preserve"> </w:t>
        <w:t>Information: ########</w:t>
      </w:r>
    </w:p>
    <w:p>
      <w:pPr>
        <w:pStyle w:val="Normal"/>
      </w:pPr>
      <w:r>
        <w:t>Sep 14 08:29:50 node-watt nvidia-vgpu-mgr[2866]: notice: vmiop_log: Driver Version: 470.68</w:t>
        <w:t xml:space="preserve"> </w:t>
        <w:t>Sep 14 08:29:50 node-watt nvidia-vgpu-mgr[2866]: notice: vmiop_log: (0x0): vGPU supported</w:t>
        <w:t xml:space="preserve"> </w:t>
        <w:t>range: (0x70001, 0xb0001)</w:t>
      </w:r>
    </w:p>
    <w:p>
      <w:pPr>
        <w:pStyle w:val="Normal"/>
      </w:pPr>
      <w:r>
        <w:t>Sep 14 08:29:50 node-watt nvidia-vgpu-mgr[2866]: notice: vmiop_log: (0x0): Init frame copy</w:t>
        <w:t xml:space="preserve"> </w:t>
        <w:t>engine: syncing...</w:t>
      </w:r>
    </w:p>
    <w:p>
      <w:pPr>
        <w:pStyle w:val="Normal"/>
      </w:pPr>
      <w:r>
        <w:t>Sep 14 08:29:50 node-watt nvidia-vgpu-mgr[2866]: notice: vmiop_log: (0x0): vGPU migration</w:t>
        <w:t xml:space="preserve"> </w:t>
        <w:t>enabled</w:t>
      </w:r>
    </w:p>
    <w:p>
      <w:pPr>
        <w:pStyle w:val="Normal"/>
      </w:pPr>
      <w:r>
        <w:t>Sep 14 08:29:50 node-watt nvidia-vgpu-mgr[2866]: notice: vmiop_log: display_init inst: 0</w:t>
        <w:t xml:space="preserve"> </w:t>
        <w:t>successful</w:t>
      </w:r>
    </w:p>
    <w:p>
      <w:pPr>
        <w:pStyle w:val="Normal"/>
      </w:pPr>
      <w:r>
        <w:t># Entries when a guest grabs a license</w:t>
      </w:r>
    </w:p>
    <w:p>
      <w:pPr>
        <w:pStyle w:val="Normal"/>
      </w:pPr>
      <w:r>
        <w:t>Sep 15 06:55:50 node-watt nvidia-vgpu-mgr[4260]: notice: vmiop_log: (0x0): vGPU license</w:t>
        <w:t xml:space="preserve"> </w:t>
        <w:t>state: Unlicensed (Unrestricted)</w:t>
      </w:r>
    </w:p>
    <w:p>
      <w:pPr>
        <w:pStyle w:val="Normal"/>
      </w:pPr>
      <w:r>
        <w:t>Sep 15 06:55:52 node-watt nvidia-vgpu-mgr[4260]: notice: vmiop_log: (0x0): vGPU license</w:t>
        <w:t xml:space="preserve"> </w:t>
        <w:t>state: Licensed</w:t>
      </w:r>
    </w:p>
    <w:p>
      <w:pPr>
        <w:pStyle w:val="Normal"/>
      </w:pPr>
      <w:r>
        <w:t># In the guest the card is then fully recognized and enabled</w:t>
        <w:t xml:space="preserve"> </w:t>
        <w:t>$ nvidia-smi -a | grep -A 2 "Licensed Product"</w:t>
      </w:r>
    </w:p>
    <w:p>
      <w:pPr>
        <w:pStyle w:val="Para 02"/>
      </w:pPr>
      <w:r>
        <w:t>vGPU Software Licensed Product</w:t>
      </w:r>
    </w:p>
    <w:p>
      <w:pPr>
        <w:pStyle w:val="Para 06"/>
      </w:pPr>
      <w:r>
        <w:t>Product Name</w:t>
        <w:t xml:space="preserve"> </w:t>
        <w:t>: NVIDIA RTX Virtual Workstation</w:t>
        <w:t xml:space="preserve"> </w:t>
        <w:t>License Status</w:t>
        <w:t xml:space="preserve"> </w:t>
        <w:t>: Licensed</w:t>
      </w:r>
    </w:p>
    <w:p>
      <w:pPr>
        <w:pStyle w:val="Para 17"/>
      </w:pPr>
      <w:r>
        <w:t/>
      </w:r>
    </w:p>
    <w:p>
      <w:pPr>
        <w:pStyle w:val="Normal"/>
      </w:pPr>
      <w:r>
        <w:t xml:space="preserve">A </w:t>
      </w:r>
      <w:hyperlink r:id="rId1450">
        <w:r>
          <w:rPr>
            <w:rStyle w:val="Text9"/>
          </w:rPr>
          <w:t>512</w:t>
        </w:r>
      </w:hyperlink>
      <w:hyperlink r:id="rId1450">
        <w:r>
          <w:rPr>
            <w:rStyle w:val="Text1"/>
          </w:rPr>
          <w:t xml:space="preserve"> mediated device</w:t>
        </w:r>
      </w:hyperlink>
      <w:r>
        <w:t xml:space="preserve"> is essentially the partitioning of a hardware device using </w:t>
      </w:r>
      <w:hyperlink w:anchor="page_684">
        <w:r>
          <w:rPr>
            <w:rStyle w:val="Text2"/>
          </w:rPr>
          <w:t>firmware</w:t>
        </w:r>
      </w:hyperlink>
      <w:r>
        <w:t xml:space="preserve"> and host driver features. This brings a lot of flexibility and options; in our example we can split our 16G GPU into 2x8G, 4x4G, 8x2G or 16x1G just as we need it. The following gives an example of how to split it into two 8G cards for a compute profile and pass those to guests.</w:t>
      </w:r>
    </w:p>
    <w:p>
      <w:pPr>
        <w:pStyle w:val="Normal"/>
      </w:pPr>
      <w:r>
        <w:t xml:space="preserve">Please refer to the </w:t>
      </w:r>
      <w:hyperlink r:id="rId1445">
        <w:r>
          <w:rPr>
            <w:rStyle w:val="Text9"/>
          </w:rPr>
          <w:t>513</w:t>
        </w:r>
      </w:hyperlink>
      <w:hyperlink r:id="rId1445">
        <w:r>
          <w:rPr>
            <w:rStyle w:val="Text1"/>
          </w:rPr>
          <w:t xml:space="preserve"> NVIDIA documentation</w:t>
        </w:r>
      </w:hyperlink>
      <w:r>
        <w:t xml:space="preserve"> for advanced tunings and different card pro-files.</w:t>
      </w:r>
    </w:p>
    <w:p>
      <w:pPr>
        <w:pStyle w:val="Normal"/>
      </w:pPr>
      <w:r>
        <w:t>The tool for listing and configuring these mediated devices is mdevctl:</w:t>
      </w:r>
    </w:p>
    <w:p>
      <w:pPr>
        <w:pStyle w:val="Normal"/>
      </w:pPr>
      <w:r>
        <w:t>sudo mdevctl types</w:t>
      </w:r>
    </w:p>
    <w:p>
      <w:pPr>
        <w:pStyle w:val="Para 17"/>
      </w:pPr>
      <w:r>
        <w:t/>
      </w:r>
    </w:p>
    <w:p>
      <w:pPr>
        <w:pStyle w:val="Normal"/>
      </w:pPr>
      <w:r>
        <w:t>Which will list the available types:</w:t>
      </w:r>
    </w:p>
    <w:p>
      <w:pPr>
        <w:pStyle w:val="Normal"/>
      </w:pPr>
      <w:r>
        <w:t>...</w:t>
      </w:r>
    </w:p>
    <w:p>
      <w:pPr>
        <w:pStyle w:val="Para 03"/>
      </w:pPr>
      <w:r>
        <w:t>nvidia-300</w:t>
      </w:r>
    </w:p>
    <w:p>
      <w:pPr>
        <w:pStyle w:val="Para 02"/>
      </w:pPr>
      <w:r>
        <w:t>Available instances: 0</w:t>
      </w:r>
    </w:p>
    <w:p>
      <w:pPr>
        <w:pStyle w:val="Para 02"/>
      </w:pPr>
      <w:r>
        <w:t>Device API: vfio-pci</w:t>
      </w:r>
    </w:p>
    <w:p>
      <w:pPr>
        <w:pStyle w:val="Para 02"/>
      </w:pPr>
      <w:r>
        <w:t>Name: GRID V100-8C</w:t>
      </w:r>
    </w:p>
    <w:p>
      <w:pPr>
        <w:pStyle w:val="Para 02"/>
      </w:pPr>
      <w:r>
        <w:t>Description: num_heads=1, frl_config=60, framebuffer=8192M, max_resolution=4096x2160,</w:t>
      </w:r>
    </w:p>
    <w:p>
      <w:pPr>
        <w:pStyle w:val="Normal"/>
      </w:pPr>
      <w:r>
        <w:t>max_instance=2</w:t>
      </w:r>
    </w:p>
    <w:p>
      <w:pPr>
        <w:pStyle w:val="Para 17"/>
      </w:pPr>
      <w:r>
        <w:t/>
      </w:r>
    </w:p>
    <w:p>
      <w:pPr>
        <w:pStyle w:val="Normal"/>
      </w:pPr>
      <w:r>
        <w:t>Knowing the PCI ID (0000:41:00.0) and the mediated device type we want (nvidia-300) we can now create those mediated devices:</w:t>
      </w:r>
    </w:p>
    <w:p>
      <w:pPr>
        <w:pStyle w:val="Para 05"/>
      </w:pPr>
      <w:r>
        <w:rPr>
          <w:rStyle w:val="Text5"/>
        </w:rPr>
        <w:t>512</w:t>
      </w:r>
      <w:r>
        <w:rPr>
          <w:rStyle w:val="Text8"/>
        </w:rPr>
        <w:t xml:space="preserve"> </w:t>
      </w:r>
      <w:r>
        <w:t>https://www.kernel.org/doc/html/latest/driver-api/vfio-mediated-device.html</w:t>
      </w:r>
    </w:p>
    <w:p>
      <w:pPr>
        <w:pStyle w:val="Para 03"/>
      </w:pPr>
      <w:r>
        <w:rPr>
          <w:rStyle w:val="Text5"/>
        </w:rPr>
        <w:t>513</w:t>
      </w:r>
      <w:r>
        <w:t xml:space="preserve"> </w:t>
      </w:r>
      <w:r>
        <w:rPr>
          <w:rStyle w:val="Text6"/>
        </w:rPr>
        <w:t>https://docs.nvidia.com/vgpu/latest/grid-vgpu-user-guide/index.html#ubuntu-install-configure-vgpu</w:t>
      </w:r>
      <w:r>
        <w:t xml:space="preserve"> </w:t>
        <w:t>$ sudo mdevctl define --parent 0000:41:00.0 --type nvidia-300</w:t>
        <w:t xml:space="preserve"> </w:t>
        <w:t>bc127e23-aaaa-4d06-a7aa-88db2dd538e0</w:t>
      </w:r>
    </w:p>
    <w:p>
      <w:bookmarkStart w:id="800" w:name="page_5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1" name="index-532_1.png" descr="index-532_1.png"/>
            <wp:cNvGraphicFramePr>
              <a:graphicFrameLocks noChangeAspect="1"/>
            </wp:cNvGraphicFramePr>
            <a:graphic>
              <a:graphicData uri="http://schemas.openxmlformats.org/drawingml/2006/picture">
                <pic:pic>
                  <pic:nvPicPr>
                    <pic:cNvPr id="0" name="index-532_1.png" descr="index-532_1.png"/>
                    <pic:cNvPicPr/>
                  </pic:nvPicPr>
                  <pic:blipFill>
                    <a:blip r:embed="rId545"/>
                    <a:stretch>
                      <a:fillRect/>
                    </a:stretch>
                  </pic:blipFill>
                  <pic:spPr>
                    <a:xfrm>
                      <a:off x="0" y="0"/>
                      <a:ext cx="914400" cy="266700"/>
                    </a:xfrm>
                    <a:prstGeom prst="rect">
                      <a:avLst/>
                    </a:prstGeom>
                  </pic:spPr>
                </pic:pic>
              </a:graphicData>
            </a:graphic>
          </wp:anchor>
        </w:drawing>
      </w:r>
      <w:bookmarkEnd w:id="800"/>
    </w:p>
    <w:p>
      <w:pPr>
        <w:pStyle w:val="Normal"/>
      </w:pPr>
      <w:r>
        <w:t>$ sudo mdevctl define --parent 0000:41:00.0 --type nvidia-300</w:t>
        <w:t xml:space="preserve"> </w:t>
        <w:t>1360ce4b-2ed2-4f63-abb6-8cdb92100085</w:t>
      </w:r>
    </w:p>
    <w:p>
      <w:pPr>
        <w:pStyle w:val="Normal"/>
      </w:pPr>
      <w:r>
        <w:t>$ sudo mdevctl start --parent 0000:41:00.0 --uuid bc127e23-aaaa-4d06-a7aa-88db2dd538e0</w:t>
        <w:t xml:space="preserve"> </w:t>
        <w:t>$ sudo mdevctl start --parent 0000:41:00.0 --uuid 1360ce4b-2ed2-4f63-abb6-8cdb92100085</w:t>
      </w:r>
    </w:p>
    <w:p>
      <w:pPr>
        <w:pStyle w:val="Para 17"/>
      </w:pPr>
      <w:r>
        <w:t/>
      </w:r>
    </w:p>
    <w:p>
      <w:pPr>
        <w:pStyle w:val="Normal"/>
      </w:pPr>
      <w:r>
        <w:t>After that, you can check the UUID of your ready mediated devices:</w:t>
      </w:r>
    </w:p>
    <w:p>
      <w:pPr>
        <w:pStyle w:val="Normal"/>
      </w:pPr>
      <w:r>
        <w:t>$ sudo mdevctl list -d</w:t>
      </w:r>
    </w:p>
    <w:p>
      <w:pPr>
        <w:pStyle w:val="Normal"/>
      </w:pPr>
      <w:r>
        <w:t>bc127e23-aaaa-4d06-a7aa-88db2dd538e0 0000:41:00.0 nvidia-108 manual (active)</w:t>
        <w:t xml:space="preserve"> </w:t>
        <w:t>1360ce4b-2ed2-4f63-abb6-8cdb92100085 0000:41:00.0 nvidia-108 manual (active)</w:t>
      </w:r>
    </w:p>
    <w:p>
      <w:pPr>
        <w:pStyle w:val="Para 17"/>
      </w:pPr>
      <w:r>
        <w:t/>
      </w:r>
    </w:p>
    <w:p>
      <w:pPr>
        <w:pStyle w:val="Normal"/>
      </w:pPr>
      <w:r>
        <w:t>Those UUIDs can then be used to pass the mediated devices to the guest - which from here is rather similar to the pass through of a full PCI device.</w:t>
      </w:r>
    </w:p>
    <w:p>
      <w:pPr>
        <w:pStyle w:val="Para 17"/>
      </w:pPr>
      <w:r>
        <w:t/>
      </w:r>
    </w:p>
    <w:p>
      <w:pPr>
        <w:pStyle w:val="Para 01"/>
      </w:pPr>
      <w:r>
        <w:t>Passing through PCI or mediated devices</w:t>
      </w:r>
    </w:p>
    <w:p>
      <w:pPr>
        <w:pStyle w:val="Para 17"/>
      </w:pPr>
      <w:r>
        <w:t/>
      </w:r>
    </w:p>
    <w:p>
      <w:pPr>
        <w:pStyle w:val="Normal"/>
      </w:pPr>
      <w:r>
        <w:t>After the above setup is ready one can pass through those devices, in libvirt for a PCI passthrough that looks like:</w:t>
      </w:r>
    </w:p>
    <w:p>
      <w:pPr>
        <w:pStyle w:val="Normal"/>
      </w:pPr>
      <w:r>
        <w:t>&lt;</w:t>
        <w:t>hostdev mode</w:t>
        <w:t>=</w:t>
        <w:t>'subsystem'</w:t>
        <w:t xml:space="preserve"> </w:t>
        <w:t>type</w:t>
        <w:t>=</w:t>
        <w:t>'pci'</w:t>
        <w:t xml:space="preserve"> </w:t>
        <w:t>managed</w:t>
        <w:t>=</w:t>
        <w:t>'yes'</w:t>
        <w:t>&gt;</w:t>
      </w:r>
    </w:p>
    <w:p>
      <w:pPr>
        <w:pStyle w:val="Para 03"/>
      </w:pPr>
      <w:r>
        <w:t>&lt;</w:t>
        <w:t>source</w:t>
        <w:t>&gt;</w:t>
      </w:r>
    </w:p>
    <w:p>
      <w:pPr>
        <w:pStyle w:val="Para 02"/>
      </w:pPr>
      <w:r>
        <w:t>&lt;</w:t>
        <w:t>address domain</w:t>
        <w:t>=</w:t>
        <w:t>'0x0000'</w:t>
        <w:t xml:space="preserve"> </w:t>
        <w:t>bus</w:t>
        <w:t>=</w:t>
        <w:t>'0x41'</w:t>
        <w:t xml:space="preserve"> </w:t>
        <w:t>slot</w:t>
        <w:t>=</w:t>
        <w:t>'0x00'</w:t>
        <w:t xml:space="preserve"> </w:t>
        <w:t>function</w:t>
        <w:t>=</w:t>
        <w:t>'0x0'</w:t>
        <w:t>/&gt;</w:t>
      </w:r>
    </w:p>
    <w:p>
      <w:pPr>
        <w:pStyle w:val="Para 03"/>
      </w:pPr>
      <w:r>
        <w:t>&lt;/</w:t>
        <w:t>source</w:t>
        <w:t>&gt;</w:t>
      </w:r>
    </w:p>
    <w:p>
      <w:pPr>
        <w:pStyle w:val="Normal"/>
      </w:pPr>
      <w:r>
        <w:t>&lt;/</w:t>
        <w:t>hostdev</w:t>
        <w:t>&gt;</w:t>
      </w:r>
    </w:p>
    <w:p>
      <w:pPr>
        <w:pStyle w:val="Para 17"/>
      </w:pPr>
      <w:r>
        <w:t/>
      </w:r>
    </w:p>
    <w:p>
      <w:pPr>
        <w:pStyle w:val="Normal"/>
      </w:pPr>
      <w:r>
        <w:t>And for mediated devices, the format is quite similar, but uses the UUID.</w:t>
      </w:r>
    </w:p>
    <w:p>
      <w:pPr>
        <w:pStyle w:val="Normal"/>
      </w:pPr>
      <w:r>
        <w:t>&lt;</w:t>
        <w:t>hostdev mode</w:t>
        <w:t>=</w:t>
        <w:t>'subsystem'</w:t>
        <w:t xml:space="preserve"> </w:t>
        <w:t>type</w:t>
        <w:t>=</w:t>
        <w:t>'mdev'</w:t>
        <w:t xml:space="preserve"> </w:t>
        <w:t>managed</w:t>
        <w:t>=</w:t>
        <w:t>'no'</w:t>
        <w:t xml:space="preserve"> </w:t>
        <w:t>model</w:t>
        <w:t>=</w:t>
        <w:t>'vfio-pci'</w:t>
        <w:t xml:space="preserve"> </w:t>
        <w:t>display</w:t>
        <w:t>=</w:t>
        <w:t>'on'</w:t>
        <w:t>&gt;</w:t>
      </w:r>
    </w:p>
    <w:p>
      <w:pPr>
        <w:pStyle w:val="Para 03"/>
      </w:pPr>
      <w:r>
        <w:t>&lt;</w:t>
        <w:t>source</w:t>
        <w:t>&gt;</w:t>
      </w:r>
    </w:p>
    <w:p>
      <w:pPr>
        <w:pStyle w:val="Para 02"/>
      </w:pPr>
      <w:r>
        <w:t>&lt;</w:t>
        <w:t>address uuid</w:t>
        <w:t>=</w:t>
        <w:t>'634fc146-50a3-4960-ac30-f09e5cedc674'</w:t>
        <w:t>/&gt;</w:t>
      </w:r>
    </w:p>
    <w:p>
      <w:pPr>
        <w:pStyle w:val="Para 03"/>
      </w:pPr>
      <w:r>
        <w:t>&lt;/</w:t>
        <w:t>source</w:t>
        <w:t>&gt;</w:t>
      </w:r>
    </w:p>
    <w:p>
      <w:pPr>
        <w:pStyle w:val="Normal"/>
      </w:pPr>
      <w:r>
        <w:t>&lt;/</w:t>
        <w:t>hostdev</w:t>
        <w:t>&gt;</w:t>
      </w:r>
    </w:p>
    <w:p>
      <w:pPr>
        <w:pStyle w:val="Para 17"/>
      </w:pPr>
      <w:r>
        <w:t/>
      </w:r>
    </w:p>
    <w:p>
      <w:pPr>
        <w:pStyle w:val="Normal"/>
      </w:pPr>
      <w:r>
        <w:t xml:space="preserve">Those sections can be </w:t>
      </w:r>
      <w:hyperlink r:id="rId1451">
        <w:r>
          <w:rPr>
            <w:rStyle w:val="Text9"/>
          </w:rPr>
          <w:t>514</w:t>
        </w:r>
      </w:hyperlink>
      <w:hyperlink r:id="rId1451">
        <w:r>
          <w:rPr>
            <w:rStyle w:val="Text1"/>
          </w:rPr>
          <w:t xml:space="preserve"> part of the guest definition</w:t>
        </w:r>
      </w:hyperlink>
      <w:r>
        <w:t xml:space="preserve"> itself, to be added on guest startup and freed on guest shutdown. Or they can be in a file and used by for hot-add and remove if the hardware device and its drivers support it virsh attach-device.</w:t>
      </w:r>
    </w:p>
    <w:p>
      <w:pPr>
        <w:pStyle w:val="Para 17"/>
      </w:pPr>
      <w:r>
        <w:t/>
      </w:r>
    </w:p>
    <w:p>
      <w:pPr>
        <w:pStyle w:val="Para 08"/>
      </w:pPr>
      <w:r>
        <w:t>Note:</w:t>
      </w:r>
    </w:p>
    <w:p>
      <w:pPr>
        <w:pStyle w:val="Para 03"/>
      </w:pPr>
      <w:r>
        <w:t>This works great on Focal, but type='none' as well as display='off' weren’t available on</w:t>
      </w:r>
    </w:p>
    <w:p>
      <w:pPr>
        <w:pStyle w:val="Para 03"/>
      </w:pPr>
      <w:r>
        <w:t xml:space="preserve">Bionic. If this level of control is required one would need to consider using the </w:t>
      </w:r>
      <w:hyperlink r:id="rId1452">
        <w:r>
          <w:rPr>
            <w:rStyle w:val="Text1"/>
          </w:rPr>
          <w:t>Ubuntu</w:t>
        </w:r>
      </w:hyperlink>
    </w:p>
    <w:p>
      <w:pPr>
        <w:pStyle w:val="Para 03"/>
      </w:pPr>
      <w:hyperlink r:id="rId1452">
        <w:r>
          <w:rPr>
            <w:rStyle w:val="Text1"/>
          </w:rPr>
          <w:t>Cloud Archive</w:t>
        </w:r>
      </w:hyperlink>
      <w:hyperlink r:id="rId1452">
        <w:r>
          <w:rPr>
            <w:rStyle w:val="Text9"/>
          </w:rPr>
          <w:t>515</w:t>
        </w:r>
      </w:hyperlink>
      <w:r>
        <w:t xml:space="preserve"> </w:t>
      </w:r>
      <w:hyperlink w:anchor="page_532">
        <w:r>
          <w:rPr>
            <w:rStyle w:val="Text9"/>
          </w:rPr>
          <w:t>516</w:t>
        </w:r>
      </w:hyperlink>
      <w:r>
        <w:t xml:space="preserve"> or </w:t>
      </w:r>
      <w:hyperlink r:id="rId1273">
        <w:r>
          <w:rPr>
            <w:rStyle w:val="Text1"/>
          </w:rPr>
          <w:t>Server-Backports</w:t>
        </w:r>
      </w:hyperlink>
      <w:r>
        <w:t xml:space="preserve"> for a newer stack of the virtualisation compo-</w:t>
      </w:r>
    </w:p>
    <w:p>
      <w:pPr>
        <w:pStyle w:val="Para 03"/>
      </w:pPr>
      <w:r>
        <w:t>nents.</w:t>
      </w:r>
    </w:p>
    <w:p>
      <w:pPr>
        <w:pStyle w:val="Para 05"/>
      </w:pPr>
      <w:r>
        <w:rPr>
          <w:rStyle w:val="Text5"/>
        </w:rPr>
        <w:t>515</w:t>
      </w:r>
      <w:r>
        <w:rPr>
          <w:rStyle w:val="Text8"/>
        </w:rPr>
        <w:t xml:space="preserve"> </w:t>
      </w:r>
      <w:r>
        <w:t>https://wiki.ubuntu.com/OpenStack/CloudArchive</w:t>
      </w:r>
    </w:p>
    <w:p>
      <w:pPr>
        <w:pStyle w:val="Para 05"/>
      </w:pPr>
      <w:r>
        <w:rPr>
          <w:rStyle w:val="Text5"/>
        </w:rPr>
        <w:t>516</w:t>
      </w:r>
      <w:r>
        <w:rPr>
          <w:rStyle w:val="Text8"/>
        </w:rPr>
        <w:t xml:space="preserve"> </w:t>
      </w:r>
      <w:r>
        <w:t>https://launchpad.net/~canonical-server/+archive/ubuntu/server-backports</w:t>
      </w:r>
    </w:p>
    <w:p>
      <w:pPr>
        <w:pStyle w:val="Para 17"/>
      </w:pPr>
      <w:r>
        <w:t/>
      </w:r>
    </w:p>
    <w:p>
      <w:pPr>
        <w:pStyle w:val="Normal"/>
      </w:pPr>
      <w:r>
        <w:t>And finally, it might be worth noting that while mediated devices are becoming more com-mon and known for vGPU handling, they are a general infrastructure also used (for example)</w:t>
      </w:r>
    </w:p>
    <w:p>
      <w:pPr>
        <w:pStyle w:val="Para 18"/>
      </w:pPr>
      <w:r>
        <w:rPr>
          <w:rStyle w:val="Text7"/>
        </w:rPr>
        <w:t xml:space="preserve">for </w:t>
      </w:r>
      <w:hyperlink r:id="rId1453">
        <w:r>
          <w:rPr>
            <w:rStyle w:val="Text10"/>
          </w:rPr>
          <w:t>517</w:t>
        </w:r>
      </w:hyperlink>
      <w:hyperlink r:id="rId1453">
        <w:r>
          <w:t xml:space="preserve"> s390x vfio-ccw</w:t>
        </w:r>
      </w:hyperlink>
      <w:r>
        <w:rPr>
          <w:rStyle w:val="Text7"/>
        </w:rPr>
        <w:t>.</w:t>
      </w:r>
    </w:p>
    <w:p>
      <w:pPr>
        <w:pStyle w:val="Para 05"/>
      </w:pPr>
      <w:r>
        <w:rPr>
          <w:rStyle w:val="Text5"/>
        </w:rPr>
        <w:t>514</w:t>
      </w:r>
      <w:r>
        <w:rPr>
          <w:rStyle w:val="Text8"/>
        </w:rPr>
        <w:t xml:space="preserve"> </w:t>
      </w:r>
      <w:r>
        <w:t>https://libvirt.org/formatdomain.html#usb-pci-scsi-devices</w:t>
      </w:r>
    </w:p>
    <w:p>
      <w:pPr>
        <w:pStyle w:val="Para 05"/>
      </w:pPr>
      <w:r>
        <w:rPr>
          <w:rStyle w:val="Text5"/>
        </w:rPr>
        <w:t>517</w:t>
      </w:r>
      <w:r>
        <w:rPr>
          <w:rStyle w:val="Text8"/>
        </w:rPr>
        <w:t xml:space="preserve"> </w:t>
      </w:r>
      <w:r>
        <w:t>https://docs.kernel.org/arch/s390/vfio-ccw.html</w:t>
      </w:r>
    </w:p>
    <w:p>
      <w:bookmarkStart w:id="801" w:name="page_5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2" name="index-533_1.png" descr="index-533_1.png"/>
            <wp:cNvGraphicFramePr>
              <a:graphicFrameLocks noChangeAspect="1"/>
            </wp:cNvGraphicFramePr>
            <a:graphic>
              <a:graphicData uri="http://schemas.openxmlformats.org/drawingml/2006/picture">
                <pic:pic>
                  <pic:nvPicPr>
                    <pic:cNvPr id="0" name="index-533_1.png" descr="index-533_1.png"/>
                    <pic:cNvPicPr/>
                  </pic:nvPicPr>
                  <pic:blipFill>
                    <a:blip r:embed="rId546"/>
                    <a:stretch>
                      <a:fillRect/>
                    </a:stretch>
                  </pic:blipFill>
                  <pic:spPr>
                    <a:xfrm>
                      <a:off x="0" y="0"/>
                      <a:ext cx="914400" cy="266700"/>
                    </a:xfrm>
                    <a:prstGeom prst="rect">
                      <a:avLst/>
                    </a:prstGeom>
                  </pic:spPr>
                </pic:pic>
              </a:graphicData>
            </a:graphic>
          </wp:anchor>
        </w:drawing>
      </w:r>
      <w:bookmarkEnd w:id="801"/>
    </w:p>
    <w:p>
      <w:pPr>
        <w:pStyle w:val="Para 14"/>
      </w:pPr>
      <w:r>
        <w:rPr>
          <w:rStyle w:val="Text4"/>
        </w:rPr>
        <w:t xml:space="preserve">• </w:t>
      </w:r>
      <w:hyperlink w:anchor="page_526">
        <w:r>
          <w:t>Virtual GPU (vGPU) with QEMU/KVM</w:t>
        </w:r>
      </w:hyperlink>
      <w:r>
        <w:rPr>
          <w:rStyle w:val="Text4"/>
        </w:rPr>
        <w:t xml:space="preserve"> (page 525)</w:t>
      </w:r>
    </w:p>
    <w:p>
      <w:pPr>
        <w:pStyle w:val="Para 24"/>
      </w:pPr>
      <w:r>
        <w:t>3.2.9. Virtualisation</w:t>
      </w:r>
    </w:p>
    <w:p>
      <w:pPr>
        <w:pStyle w:val="Normal"/>
      </w:pPr>
      <w:r>
        <w:t xml:space="preserve">Our </w:t>
      </w:r>
      <w:hyperlink w:anchor="page_533">
        <w:r>
          <w:rPr>
            <w:rStyle w:val="Text2"/>
          </w:rPr>
          <w:t>Virtualisation</w:t>
        </w:r>
      </w:hyperlink>
      <w:r>
        <w:t xml:space="preserve"> (page 532) section contains installation and usage guides for common vir-tualization tools available in Ubuntu, across various layers of abstraction, from Multipass to QEMU.</w:t>
      </w:r>
    </w:p>
    <w:p>
      <w:pPr>
        <w:pStyle w:val="Para 17"/>
      </w:pPr>
      <w:r>
        <w:t/>
      </w:r>
    </w:p>
    <w:p>
      <w:pPr>
        <w:pStyle w:val="Para 01"/>
      </w:pPr>
      <w:r>
        <w:t>Virtualisation</w:t>
      </w:r>
    </w:p>
    <w:p>
      <w:pPr>
        <w:pStyle w:val="Para 17"/>
      </w:pPr>
      <w:r>
        <w:t/>
      </w:r>
    </w:p>
    <w:p>
      <w:pPr>
        <w:pStyle w:val="Normal"/>
      </w:pPr>
      <w:r>
        <w:t>In this section we show how to install, configure and use various options for creating virtual machines (VMs). For more information about these options, you may want to refer to our</w:t>
      </w:r>
    </w:p>
    <w:p>
      <w:pPr>
        <w:pStyle w:val="Para 20"/>
      </w:pPr>
      <w:hyperlink w:anchor="page_892">
        <w:r>
          <w:t>Introduction to virtualization</w:t>
        </w:r>
      </w:hyperlink>
      <w:r>
        <w:rPr>
          <w:rStyle w:val="Text4"/>
        </w:rPr>
        <w:t xml:space="preserve"> (page 891)</w:t>
      </w:r>
    </w:p>
    <w:p>
      <w:pPr>
        <w:pStyle w:val="Para 17"/>
      </w:pPr>
      <w:r>
        <w:t/>
      </w:r>
    </w:p>
    <w:p>
      <w:pPr>
        <w:pStyle w:val="Para 01"/>
      </w:pPr>
      <w:r>
        <w:t>Virtual machines</w:t>
      </w:r>
    </w:p>
    <w:p>
      <w:pPr>
        <w:pStyle w:val="Para 17"/>
      </w:pPr>
      <w:r>
        <w:t/>
      </w:r>
    </w:p>
    <w:p>
      <w:pPr>
        <w:pStyle w:val="Para 01"/>
      </w:pPr>
      <w:r>
        <w:t>LXD containers and virtual machines</w:t>
      </w:r>
    </w:p>
    <w:p>
      <w:pPr>
        <w:pStyle w:val="Para 17"/>
      </w:pPr>
      <w:r>
        <w:t/>
      </w:r>
    </w:p>
    <w:p>
      <w:pPr>
        <w:pStyle w:val="Normal"/>
      </w:pPr>
      <w:hyperlink r:id="rId1454">
        <w:r>
          <w:rPr>
            <w:rStyle w:val="Text1"/>
          </w:rPr>
          <w:t>LXD</w:t>
        </w:r>
      </w:hyperlink>
      <w:hyperlink r:id="rId1454">
        <w:r>
          <w:rPr>
            <w:rStyle w:val="Text9"/>
          </w:rPr>
          <w:t>518</w:t>
        </w:r>
      </w:hyperlink>
      <w:r>
        <w:t xml:space="preserve"> (pronounced lex-dee) is a modern, secure, and powerful system container and virtual machine manager.</w:t>
      </w:r>
    </w:p>
    <w:p>
      <w:pPr>
        <w:pStyle w:val="Normal"/>
      </w:pPr>
      <w:r>
        <w:t>It provides a unified experience for running and managing full Linux systems inside contain-</w:t>
      </w:r>
    </w:p>
    <w:p>
      <w:pPr>
        <w:pStyle w:val="Normal"/>
      </w:pPr>
      <w:r>
        <w:t xml:space="preserve">ers or virtual machines. You can access it via the command line, its </w:t>
      </w:r>
      <w:hyperlink r:id="rId1455">
        <w:r>
          <w:rPr>
            <w:rStyle w:val="Text1"/>
          </w:rPr>
          <w:t>built-in graphical user</w:t>
        </w:r>
      </w:hyperlink>
    </w:p>
    <w:p>
      <w:pPr>
        <w:pStyle w:val="Normal"/>
      </w:pPr>
      <w:hyperlink r:id="rId1455">
        <w:r>
          <w:rPr>
            <w:rStyle w:val="Text1"/>
          </w:rPr>
          <w:t>interface</w:t>
        </w:r>
      </w:hyperlink>
      <w:hyperlink w:anchor="page_533">
        <w:r>
          <w:rPr>
            <w:rStyle w:val="Text9"/>
          </w:rPr>
          <w:t>519</w:t>
        </w:r>
      </w:hyperlink>
      <w:r>
        <w:t xml:space="preserve"> </w:t>
      </w:r>
      <w:hyperlink r:id="rId1456">
        <w:r>
          <w:rPr>
            <w:rStyle w:val="Text9"/>
          </w:rPr>
          <w:t>520</w:t>
        </w:r>
      </w:hyperlink>
      <w:r>
        <w:t xml:space="preserve"> , or a set of powerful </w:t>
      </w:r>
      <w:hyperlink r:id="rId1456">
        <w:r>
          <w:rPr>
            <w:rStyle w:val="Text1"/>
          </w:rPr>
          <w:t>REST APIs</w:t>
        </w:r>
      </w:hyperlink>
      <w:r>
        <w:t>.</w:t>
      </w:r>
    </w:p>
    <w:p>
      <w:pPr>
        <w:pStyle w:val="Normal"/>
      </w:pPr>
      <w:r>
        <w:t xml:space="preserve">LXD scales from one instance on a single machine </w:t>
      </w:r>
      <w:hyperlink r:id="rId1457">
        <w:r>
          <w:rPr>
            <w:rStyle w:val="Text9"/>
          </w:rPr>
          <w:t>521</w:t>
        </w:r>
      </w:hyperlink>
      <w:hyperlink r:id="rId1457">
        <w:r>
          <w:rPr>
            <w:rStyle w:val="Text1"/>
          </w:rPr>
          <w:t xml:space="preserve"> to a cluster</w:t>
        </w:r>
      </w:hyperlink>
      <w:r>
        <w:t xml:space="preserve"> in a full data center rack, making it suitable for both development and production workloads. You can even use LXD</w:t>
      </w:r>
    </w:p>
    <w:p>
      <w:pPr>
        <w:pStyle w:val="Normal"/>
      </w:pPr>
      <w:r>
        <w:t xml:space="preserve">to set up a small, scalable private cloud, </w:t>
      </w:r>
      <w:hyperlink w:anchor="page_533">
        <w:r>
          <w:rPr>
            <w:rStyle w:val="Text9"/>
          </w:rPr>
          <w:t>522</w:t>
        </w:r>
      </w:hyperlink>
      <w:r>
        <w:t xml:space="preserve"> </w:t>
      </w:r>
      <w:hyperlink r:id="rId1458">
        <w:r>
          <w:rPr>
            <w:rStyle w:val="Text1"/>
          </w:rPr>
          <w:t>such as a MicroCloud</w:t>
        </w:r>
      </w:hyperlink>
      <w:r>
        <w:t>.</w:t>
      </w:r>
    </w:p>
    <w:p>
      <w:pPr>
        <w:pStyle w:val="Normal"/>
      </w:pPr>
      <w:r>
        <w:t>This document will focus on how to configure and administer LXD on Ubuntu systems using the command line. On Ubuntu Server Cloud images, LXD comes pre-installed.</w:t>
      </w:r>
    </w:p>
    <w:p>
      <w:pPr>
        <w:pStyle w:val="Para 17"/>
      </w:pPr>
      <w:r>
        <w:t/>
      </w:r>
    </w:p>
    <w:p>
      <w:pPr>
        <w:pStyle w:val="Para 01"/>
      </w:pPr>
      <w:r>
        <w:t>Online resources</w:t>
      </w:r>
    </w:p>
    <w:p>
      <w:pPr>
        <w:pStyle w:val="Para 17"/>
      </w:pPr>
      <w:r>
        <w:t/>
      </w:r>
    </w:p>
    <w:p>
      <w:pPr>
        <w:pStyle w:val="Normal"/>
      </w:pPr>
      <w:r>
        <w:t xml:space="preserve">You can visit </w:t>
      </w:r>
      <w:hyperlink r:id="rId1459">
        <w:r>
          <w:rPr>
            <w:rStyle w:val="Text9"/>
          </w:rPr>
          <w:t>523</w:t>
        </w:r>
      </w:hyperlink>
      <w:hyperlink r:id="rId1459">
        <w:r>
          <w:rPr>
            <w:rStyle w:val="Text1"/>
          </w:rPr>
          <w:t xml:space="preserve"> the official LXD documentation</w:t>
        </w:r>
      </w:hyperlink>
      <w:r>
        <w:t>, or get in touch with the LXD team in their</w:t>
      </w:r>
    </w:p>
    <w:p>
      <w:pPr>
        <w:pStyle w:val="Normal"/>
      </w:pPr>
      <w:hyperlink r:id="rId1460">
        <w:r>
          <w:rPr>
            <w:rStyle w:val="Text1"/>
          </w:rPr>
          <w:t>Ubuntu Discourse forum</w:t>
        </w:r>
      </w:hyperlink>
      <w:hyperlink r:id="rId1460">
        <w:r>
          <w:rPr>
            <w:rStyle w:val="Text9"/>
          </w:rPr>
          <w:t>524</w:t>
        </w:r>
      </w:hyperlink>
      <w:r>
        <w:t xml:space="preserve"> </w:t>
      </w:r>
      <w:hyperlink w:anchor="page_533">
        <w:r>
          <w:rPr>
            <w:rStyle w:val="Text9"/>
          </w:rPr>
          <w:t>525</w:t>
        </w:r>
      </w:hyperlink>
      <w:r>
        <w:t xml:space="preserve"> . The team also maintains a </w:t>
      </w:r>
      <w:hyperlink r:id="rId1461">
        <w:r>
          <w:rPr>
            <w:rStyle w:val="Text1"/>
          </w:rPr>
          <w:t>YouTube channel</w:t>
        </w:r>
      </w:hyperlink>
      <w:r>
        <w:t xml:space="preserve"> with helpful videos.</w:t>
      </w:r>
    </w:p>
    <w:p>
      <w:pPr>
        <w:pStyle w:val="Para 05"/>
      </w:pPr>
      <w:r>
        <w:rPr>
          <w:rStyle w:val="Text5"/>
        </w:rPr>
        <w:t>518</w:t>
      </w:r>
      <w:r>
        <w:rPr>
          <w:rStyle w:val="Text8"/>
        </w:rPr>
        <w:t xml:space="preserve"> </w:t>
      </w:r>
      <w:r>
        <w:t>https://canonical.com/lxd</w:t>
      </w:r>
    </w:p>
    <w:p>
      <w:pPr>
        <w:pStyle w:val="Para 05"/>
      </w:pPr>
      <w:r>
        <w:rPr>
          <w:rStyle w:val="Text5"/>
        </w:rPr>
        <w:t>519</w:t>
      </w:r>
      <w:r>
        <w:rPr>
          <w:rStyle w:val="Text8"/>
        </w:rPr>
        <w:t xml:space="preserve"> </w:t>
      </w:r>
      <w:r>
        <w:t>https://documentation.ubuntu.com/lxd/latest/howto/access_ui/</w:t>
      </w:r>
    </w:p>
    <w:p>
      <w:pPr>
        <w:pStyle w:val="Para 05"/>
      </w:pPr>
      <w:r>
        <w:rPr>
          <w:rStyle w:val="Text5"/>
        </w:rPr>
        <w:t>520</w:t>
      </w:r>
      <w:r>
        <w:rPr>
          <w:rStyle w:val="Text8"/>
        </w:rPr>
        <w:t xml:space="preserve"> </w:t>
      </w:r>
      <w:r>
        <w:t>https://documentation.ubuntu.com/lxd/latest/restapi_landing/</w:t>
      </w:r>
    </w:p>
    <w:p>
      <w:pPr>
        <w:pStyle w:val="Para 05"/>
      </w:pPr>
      <w:r>
        <w:rPr>
          <w:rStyle w:val="Text5"/>
        </w:rPr>
        <w:t>521</w:t>
      </w:r>
      <w:r>
        <w:rPr>
          <w:rStyle w:val="Text8"/>
        </w:rPr>
        <w:t xml:space="preserve"> </w:t>
      </w:r>
      <w:r>
        <w:t>https://documentation.ubuntu.com/lxd/latest/explanation/clusters/</w:t>
      </w:r>
    </w:p>
    <w:p>
      <w:pPr>
        <w:pStyle w:val="Para 05"/>
      </w:pPr>
      <w:r>
        <w:rPr>
          <w:rStyle w:val="Text5"/>
        </w:rPr>
        <w:t>522</w:t>
      </w:r>
      <w:r>
        <w:rPr>
          <w:rStyle w:val="Text8"/>
        </w:rPr>
        <w:t xml:space="preserve"> </w:t>
      </w:r>
      <w:r>
        <w:t>https://canonical.com/microcloud</w:t>
      </w:r>
    </w:p>
    <w:p>
      <w:pPr>
        <w:pStyle w:val="Para 05"/>
      </w:pPr>
      <w:r>
        <w:rPr>
          <w:rStyle w:val="Text5"/>
        </w:rPr>
        <w:t>523</w:t>
      </w:r>
      <w:r>
        <w:rPr>
          <w:rStyle w:val="Text8"/>
        </w:rPr>
        <w:t xml:space="preserve"> </w:t>
      </w:r>
      <w:r>
        <w:t>https://documentation.ubuntu.com/lxd/</w:t>
      </w:r>
    </w:p>
    <w:p>
      <w:pPr>
        <w:pStyle w:val="Para 05"/>
      </w:pPr>
      <w:r>
        <w:rPr>
          <w:rStyle w:val="Text5"/>
        </w:rPr>
        <w:t>524</w:t>
      </w:r>
      <w:r>
        <w:rPr>
          <w:rStyle w:val="Text8"/>
        </w:rPr>
        <w:t xml:space="preserve"> </w:t>
      </w:r>
      <w:r>
        <w:t>https://discourse.ubuntu.com/c/lxd/126</w:t>
      </w:r>
    </w:p>
    <w:p>
      <w:pPr>
        <w:pStyle w:val="Para 05"/>
      </w:pPr>
      <w:r>
        <w:rPr>
          <w:rStyle w:val="Text5"/>
        </w:rPr>
        <w:t>525</w:t>
      </w:r>
      <w:r>
        <w:rPr>
          <w:rStyle w:val="Text8"/>
        </w:rPr>
        <w:t xml:space="preserve"> </w:t>
      </w:r>
      <w:r>
        <w:t>https://www.youtube.com/c/LXDvideos</w:t>
      </w:r>
    </w:p>
    <w:p>
      <w:bookmarkStart w:id="802" w:name="calibre_pb_134"/>
      <w:pPr>
        <w:pStyle w:val="0 Block"/>
      </w:pPr>
      <w:bookmarkEnd w:id="802"/>
    </w:p>
    <w:p>
      <w:bookmarkStart w:id="803" w:name="page_534"/>
      <w:bookmarkStart w:id="804" w:name="Top_of_index_split_13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3" name="index-534_1.png" descr="index-534_1.png"/>
            <wp:cNvGraphicFramePr>
              <a:graphicFrameLocks noChangeAspect="1"/>
            </wp:cNvGraphicFramePr>
            <a:graphic>
              <a:graphicData uri="http://schemas.openxmlformats.org/drawingml/2006/picture">
                <pic:pic>
                  <pic:nvPicPr>
                    <pic:cNvPr id="0" name="index-534_1.png" descr="index-534_1.png"/>
                    <pic:cNvPicPr/>
                  </pic:nvPicPr>
                  <pic:blipFill>
                    <a:blip r:embed="rId547"/>
                    <a:stretch>
                      <a:fillRect/>
                    </a:stretch>
                  </pic:blipFill>
                  <pic:spPr>
                    <a:xfrm>
                      <a:off x="0" y="0"/>
                      <a:ext cx="914400" cy="266700"/>
                    </a:xfrm>
                    <a:prstGeom prst="rect">
                      <a:avLst/>
                    </a:prstGeom>
                  </pic:spPr>
                </pic:pic>
              </a:graphicData>
            </a:graphic>
          </wp:anchor>
        </w:drawing>
      </w:r>
      <w:bookmarkEnd w:id="803"/>
      <w:bookmarkEnd w:id="804"/>
    </w:p>
    <w:p>
      <w:pPr>
        <w:pStyle w:val="Para 01"/>
      </w:pPr>
      <w:r>
        <w:t>Installation</w:t>
      </w:r>
    </w:p>
    <w:p>
      <w:pPr>
        <w:pStyle w:val="Para 17"/>
      </w:pPr>
      <w:r>
        <w:t/>
      </w:r>
    </w:p>
    <w:p>
      <w:pPr>
        <w:pStyle w:val="Normal"/>
      </w:pPr>
      <w:r>
        <w:t>LXD is pre-installed on Ubuntu Server cloud images. On other systems, the lxd package can be installed using:</w:t>
      </w:r>
    </w:p>
    <w:p>
      <w:pPr>
        <w:pStyle w:val="Normal"/>
      </w:pPr>
      <w:r>
        <w:t>sudo snap install lxd</w:t>
      </w:r>
    </w:p>
    <w:p>
      <w:pPr>
        <w:pStyle w:val="Para 17"/>
      </w:pPr>
      <w:r>
        <w:t/>
      </w:r>
    </w:p>
    <w:p>
      <w:pPr>
        <w:pStyle w:val="Normal"/>
      </w:pPr>
      <w:r>
        <w:t>This will install the self-contained LXD snap package.</w:t>
      </w:r>
    </w:p>
    <w:p>
      <w:pPr>
        <w:pStyle w:val="Para 17"/>
      </w:pPr>
      <w:r>
        <w:t/>
      </w:r>
    </w:p>
    <w:p>
      <w:pPr>
        <w:pStyle w:val="Para 01"/>
      </w:pPr>
      <w:r>
        <w:t>Configuration</w:t>
      </w:r>
    </w:p>
    <w:p>
      <w:pPr>
        <w:pStyle w:val="Para 17"/>
      </w:pPr>
      <w:r>
        <w:t/>
      </w:r>
    </w:p>
    <w:p>
      <w:pPr>
        <w:pStyle w:val="Normal"/>
      </w:pPr>
      <w:r>
        <w:t>In order to use LXD, some basic settings need to be configured first. This is done by running:</w:t>
      </w:r>
    </w:p>
    <w:p>
      <w:pPr>
        <w:pStyle w:val="Normal"/>
      </w:pPr>
      <w:r>
        <w:t>lxd init</w:t>
      </w:r>
    </w:p>
    <w:p>
      <w:pPr>
        <w:pStyle w:val="Para 17"/>
      </w:pPr>
      <w:r>
        <w:t/>
      </w:r>
    </w:p>
    <w:p>
      <w:pPr>
        <w:pStyle w:val="Normal"/>
      </w:pPr>
      <w:r>
        <w:t>This will allow you to choose:</w:t>
      </w:r>
    </w:p>
    <w:p>
      <w:pPr>
        <w:pStyle w:val="Para 04"/>
      </w:pPr>
      <w:r>
        <w:t xml:space="preserve">• Directory, </w:t>
      </w:r>
      <w:hyperlink r:id="rId1462">
        <w:r>
          <w:rPr>
            <w:rStyle w:val="Text9"/>
          </w:rPr>
          <w:t>526</w:t>
        </w:r>
      </w:hyperlink>
      <w:r>
        <w:t xml:space="preserve"> </w:t>
      </w:r>
      <w:hyperlink w:anchor="page_534">
        <w:r>
          <w:rPr>
            <w:rStyle w:val="Text9"/>
          </w:rPr>
          <w:t>527</w:t>
        </w:r>
      </w:hyperlink>
      <w:hyperlink w:anchor="page_534">
        <w:r>
          <w:rPr>
            <w:rStyle w:val="Text1"/>
          </w:rPr>
          <w:t xml:space="preserve"> Btrfs</w:t>
        </w:r>
      </w:hyperlink>
      <w:r>
        <w:t xml:space="preserve"> , or </w:t>
      </w:r>
      <w:hyperlink r:id="rId1463">
        <w:r>
          <w:rPr>
            <w:rStyle w:val="Text1"/>
          </w:rPr>
          <w:t>ZFS</w:t>
        </w:r>
      </w:hyperlink>
      <w:r>
        <w:t xml:space="preserve"> container backend. If you choose ZFS, you can choose</w:t>
      </w:r>
    </w:p>
    <w:p>
      <w:pPr>
        <w:pStyle w:val="Para 02"/>
      </w:pPr>
      <w:r>
        <w:t>which block devices to use, or the size of a file to use as backing store.</w:t>
      </w:r>
    </w:p>
    <w:p>
      <w:pPr>
        <w:pStyle w:val="Para 04"/>
      </w:pPr>
      <w:r>
        <w:t>• Availability over the network.</w:t>
      </w:r>
    </w:p>
    <w:p>
      <w:pPr>
        <w:pStyle w:val="Para 04"/>
      </w:pPr>
      <w:r>
        <w:t>• A ‘trust password’ used by remote clients to vouch for their client certificate.</w:t>
      </w:r>
    </w:p>
    <w:p>
      <w:pPr>
        <w:pStyle w:val="Normal"/>
      </w:pPr>
      <w:r>
        <w:t>You must run lxd init as root. lxc commands can be run as any user who is a member of group lxd. If user joe is not a member of group lxd, you may run:</w:t>
      </w:r>
    </w:p>
    <w:p>
      <w:pPr>
        <w:pStyle w:val="Normal"/>
      </w:pPr>
      <w:r>
        <w:t>gpasswd</w:t>
        <w:t>-</w:t>
        <w:t>a joe lxd</w:t>
      </w:r>
    </w:p>
    <w:p>
      <w:pPr>
        <w:pStyle w:val="Para 17"/>
      </w:pPr>
      <w:r>
        <w:t/>
      </w:r>
    </w:p>
    <w:p>
      <w:pPr>
        <w:pStyle w:val="Normal"/>
      </w:pPr>
      <w:r>
        <w:t>as root to change it. The new membership will take effect on the next login, or after running newgrp lxd from an existing login.</w:t>
      </w:r>
    </w:p>
    <w:p>
      <w:pPr>
        <w:pStyle w:val="Normal"/>
      </w:pPr>
      <w:r>
        <w:t xml:space="preserve">See </w:t>
      </w:r>
      <w:hyperlink w:anchor="page_534">
        <w:r>
          <w:rPr>
            <w:rStyle w:val="Text9"/>
          </w:rPr>
          <w:t>528</w:t>
        </w:r>
      </w:hyperlink>
      <w:r>
        <w:t xml:space="preserve"> </w:t>
      </w:r>
      <w:hyperlink r:id="rId1464">
        <w:r>
          <w:rPr>
            <w:rStyle w:val="Text1"/>
          </w:rPr>
          <w:t>How to initialize LXD</w:t>
        </w:r>
      </w:hyperlink>
      <w:r>
        <w:t xml:space="preserve"> in the LXD documentation for more information on the configu-ration settings. Also, refer to the definitive configuration provided with the source code for the server, container, profile, and device configuration.</w:t>
      </w:r>
    </w:p>
    <w:p>
      <w:pPr>
        <w:pStyle w:val="Para 17"/>
      </w:pPr>
      <w:r>
        <w:t/>
      </w:r>
    </w:p>
    <w:p>
      <w:pPr>
        <w:pStyle w:val="Para 01"/>
      </w:pPr>
      <w:r>
        <w:t>Creating your first container</w:t>
      </w:r>
    </w:p>
    <w:p>
      <w:pPr>
        <w:pStyle w:val="Para 17"/>
      </w:pPr>
      <w:r>
        <w:t/>
      </w:r>
    </w:p>
    <w:p>
      <w:pPr>
        <w:pStyle w:val="Normal"/>
      </w:pPr>
      <w:r>
        <w:t>This section will describe the simplest container tasks.</w:t>
      </w:r>
    </w:p>
    <w:p>
      <w:pPr>
        <w:pStyle w:val="Para 05"/>
      </w:pPr>
      <w:r>
        <w:rPr>
          <w:rStyle w:val="Text5"/>
        </w:rPr>
        <w:t>526</w:t>
      </w:r>
      <w:r>
        <w:rPr>
          <w:rStyle w:val="Text8"/>
        </w:rPr>
        <w:t xml:space="preserve"> </w:t>
      </w:r>
      <w:r>
        <w:t>https://btrfs.readthedocs.io/</w:t>
      </w:r>
    </w:p>
    <w:p>
      <w:pPr>
        <w:pStyle w:val="Para 05"/>
      </w:pPr>
      <w:r>
        <w:rPr>
          <w:rStyle w:val="Text5"/>
        </w:rPr>
        <w:t>527</w:t>
      </w:r>
      <w:r>
        <w:rPr>
          <w:rStyle w:val="Text8"/>
        </w:rPr>
        <w:t xml:space="preserve"> </w:t>
      </w:r>
      <w:r>
        <w:t>https://openzfs.org/wiki/Main_Page</w:t>
      </w:r>
    </w:p>
    <w:p>
      <w:pPr>
        <w:pStyle w:val="Para 05"/>
      </w:pPr>
      <w:r>
        <w:rPr>
          <w:rStyle w:val="Text5"/>
        </w:rPr>
        <w:t>528</w:t>
      </w:r>
      <w:r>
        <w:rPr>
          <w:rStyle w:val="Text8"/>
        </w:rPr>
        <w:t xml:space="preserve"> </w:t>
      </w:r>
      <w:r>
        <w:t>https://documentation.ubuntu.com/lxd/latest/howto/initialize/</w:t>
      </w:r>
    </w:p>
    <w:p>
      <w:bookmarkStart w:id="805" w:name="calibre_pb_135"/>
      <w:pPr>
        <w:pStyle w:val="0 Block"/>
      </w:pPr>
      <w:bookmarkEnd w:id="805"/>
    </w:p>
    <w:p>
      <w:bookmarkStart w:id="806" w:name="Top_of_index_split_136_html"/>
      <w:bookmarkStart w:id="807" w:name="page_53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4" name="index-535_1.png" descr="index-535_1.png"/>
            <wp:cNvGraphicFramePr>
              <a:graphicFrameLocks noChangeAspect="1"/>
            </wp:cNvGraphicFramePr>
            <a:graphic>
              <a:graphicData uri="http://schemas.openxmlformats.org/drawingml/2006/picture">
                <pic:pic>
                  <pic:nvPicPr>
                    <pic:cNvPr id="0" name="index-535_1.png" descr="index-535_1.png"/>
                    <pic:cNvPicPr/>
                  </pic:nvPicPr>
                  <pic:blipFill>
                    <a:blip r:embed="rId548"/>
                    <a:stretch>
                      <a:fillRect/>
                    </a:stretch>
                  </pic:blipFill>
                  <pic:spPr>
                    <a:xfrm>
                      <a:off x="0" y="0"/>
                      <a:ext cx="914400" cy="266700"/>
                    </a:xfrm>
                    <a:prstGeom prst="rect">
                      <a:avLst/>
                    </a:prstGeom>
                  </pic:spPr>
                </pic:pic>
              </a:graphicData>
            </a:graphic>
          </wp:anchor>
        </w:drawing>
      </w:r>
      <w:bookmarkEnd w:id="806"/>
      <w:bookmarkEnd w:id="807"/>
    </w:p>
    <w:p>
      <w:pPr>
        <w:pStyle w:val="Para 01"/>
      </w:pPr>
      <w:r>
        <w:t>Creating a container</w:t>
      </w:r>
    </w:p>
    <w:p>
      <w:pPr>
        <w:pStyle w:val="Para 17"/>
      </w:pPr>
      <w:r>
        <w:t/>
      </w:r>
    </w:p>
    <w:p>
      <w:pPr>
        <w:pStyle w:val="Normal"/>
      </w:pPr>
      <w:r>
        <w:t>Every new container is created based on either an image, an existing container, or a container snapshot. At install time, LXD is configured with the following image servers:</w:t>
      </w:r>
    </w:p>
    <w:p>
      <w:pPr>
        <w:pStyle w:val="Para 04"/>
      </w:pPr>
      <w:r>
        <w:t>• ubuntu: this serves official Ubuntu cloud image releases.</w:t>
      </w:r>
    </w:p>
    <w:p>
      <w:pPr>
        <w:pStyle w:val="Para 04"/>
      </w:pPr>
      <w:r>
        <w:t>• ubuntu-daily: this serves official Ubuntu cloud images of the daily development re-</w:t>
      </w:r>
    </w:p>
    <w:p>
      <w:pPr>
        <w:pStyle w:val="Para 02"/>
      </w:pPr>
      <w:r>
        <w:t>leases.</w:t>
      </w:r>
    </w:p>
    <w:p>
      <w:pPr>
        <w:pStyle w:val="Para 04"/>
      </w:pPr>
      <w:r>
        <w:t>• ubuntu-minimal: this serves official Ubuntu Minimal cloud image releases.</w:t>
      </w:r>
    </w:p>
    <w:p>
      <w:pPr>
        <w:pStyle w:val="Para 04"/>
      </w:pPr>
      <w:r>
        <w:t>• images: this server provides unofficial images for a variety of Linux distributions. This</w:t>
      </w:r>
    </w:p>
    <w:p>
      <w:pPr>
        <w:pStyle w:val="Para 02"/>
      </w:pPr>
      <w:r>
        <w:t>is not the recommended server for Ubuntu images.</w:t>
      </w:r>
    </w:p>
    <w:p>
      <w:pPr>
        <w:pStyle w:val="Normal"/>
      </w:pPr>
      <w:r>
        <w:t>The command to create and start a container is:</w:t>
      </w:r>
    </w:p>
    <w:p>
      <w:pPr>
        <w:pStyle w:val="Normal"/>
      </w:pPr>
      <w:r>
        <w:t>lxc launch remote:image containername</w:t>
      </w:r>
    </w:p>
    <w:p>
      <w:pPr>
        <w:pStyle w:val="Para 17"/>
      </w:pPr>
      <w:r>
        <w:t/>
      </w:r>
    </w:p>
    <w:p>
      <w:pPr>
        <w:pStyle w:val="Normal"/>
      </w:pPr>
      <w:r>
        <w:t>To create a virtual machine instead of a container, use:</w:t>
      </w:r>
    </w:p>
    <w:p>
      <w:pPr>
        <w:pStyle w:val="Normal"/>
      </w:pPr>
      <w:r>
        <w:t>lxc launch</w:t>
        <w:t>--</w:t>
        <w:t>vm remote:image vmname</w:t>
      </w:r>
    </w:p>
    <w:p>
      <w:pPr>
        <w:pStyle w:val="Para 17"/>
      </w:pPr>
      <w:r>
        <w:t/>
      </w:r>
    </w:p>
    <w:p>
      <w:pPr>
        <w:pStyle w:val="Normal"/>
      </w:pPr>
      <w:r>
        <w:t>Alternatively, you can create a container without starting it using:</w:t>
      </w:r>
    </w:p>
    <w:p>
      <w:pPr>
        <w:pStyle w:val="Normal"/>
      </w:pPr>
      <w:r>
        <w:t>lxc init remote:image containername</w:t>
      </w:r>
    </w:p>
    <w:p>
      <w:pPr>
        <w:pStyle w:val="Para 17"/>
      </w:pPr>
      <w:r>
        <w:t/>
      </w:r>
    </w:p>
    <w:p>
      <w:pPr>
        <w:pStyle w:val="Normal"/>
      </w:pPr>
      <w:r>
        <w:t>Images are identified by their hash, but are also aliased. A list of all images available from the Ubuntu Server can be seen using:</w:t>
      </w:r>
    </w:p>
    <w:p>
      <w:pPr>
        <w:pStyle w:val="Normal"/>
      </w:pPr>
      <w:r>
        <w:t>lxc image</w:t>
        <w:t xml:space="preserve"> </w:t>
        <w:t>list</w:t>
        <w:t xml:space="preserve"> </w:t>
        <w:t>ubuntu:</w:t>
      </w:r>
    </w:p>
    <w:p>
      <w:pPr>
        <w:pStyle w:val="Para 17"/>
      </w:pPr>
      <w:r>
        <w:t/>
      </w:r>
    </w:p>
    <w:p>
      <w:pPr>
        <w:pStyle w:val="Normal"/>
      </w:pPr>
      <w:r>
        <w:t>To see more information about a particular image, including all the aliases it is known by, you can use:</w:t>
      </w:r>
    </w:p>
    <w:p>
      <w:pPr>
        <w:pStyle w:val="Normal"/>
      </w:pPr>
      <w:r>
        <w:t>lxc image info ubuntu:noble</w:t>
      </w:r>
    </w:p>
    <w:p>
      <w:pPr>
        <w:pStyle w:val="Para 17"/>
      </w:pPr>
      <w:r>
        <w:t/>
      </w:r>
    </w:p>
    <w:p>
      <w:pPr>
        <w:pStyle w:val="Normal"/>
      </w:pPr>
      <w:r>
        <w:t>You can generally refer to an Ubuntu image using the release name (noble) or the release number (24.04). The ubuntu remote knows many aliases such as 24.04, noble, and lts which is an alias for the latest supported LTS release. To choose a different architecture, you can specify the desired architecture:</w:t>
      </w:r>
    </w:p>
    <w:p>
      <w:pPr>
        <w:pStyle w:val="Normal"/>
      </w:pPr>
      <w:r>
        <w:t>lxc image info ubuntu:lts</w:t>
        <w:t>/</w:t>
        <w:t>arm64</w:t>
      </w:r>
    </w:p>
    <w:p>
      <w:pPr>
        <w:pStyle w:val="Para 17"/>
      </w:pPr>
      <w:r>
        <w:t/>
      </w:r>
    </w:p>
    <w:p>
      <w:pPr>
        <w:pStyle w:val="Normal"/>
      </w:pPr>
      <w:r>
        <w:t>Now, let’s start our first container:</w:t>
      </w:r>
    </w:p>
    <w:p>
      <w:pPr>
        <w:pStyle w:val="Normal"/>
      </w:pPr>
      <w:r>
        <w:t>lxc launch ubuntu:noble n1</w:t>
      </w:r>
    </w:p>
    <w:p>
      <w:pPr>
        <w:pStyle w:val="Para 17"/>
      </w:pPr>
      <w:r>
        <w:t/>
      </w:r>
    </w:p>
    <w:p>
      <w:pPr>
        <w:pStyle w:val="Normal"/>
      </w:pPr>
      <w:r>
        <w:t>This will download the official current Noble cloud image for your current architecture, then create a container named n1 using that image, and finally start it. Once the command returns, you can see it using:</w:t>
      </w:r>
    </w:p>
    <w:p>
      <w:pPr>
        <w:pStyle w:val="Normal"/>
      </w:pPr>
      <w:r>
        <w:t>lxc</w:t>
        <w:t xml:space="preserve"> </w:t>
        <w:t>list</w:t>
      </w:r>
    </w:p>
    <w:p>
      <w:pPr>
        <w:pStyle w:val="Normal"/>
      </w:pPr>
      <w:r>
        <w:t>lxc info n1</w:t>
      </w:r>
    </w:p>
    <w:p>
      <w:pPr>
        <w:pStyle w:val="Para 17"/>
      </w:pPr>
      <w:r>
        <w:t/>
      </w:r>
    </w:p>
    <w:p>
      <w:pPr>
        <w:pStyle w:val="Normal"/>
      </w:pPr>
      <w:r>
        <w:t>and open a shell in it using:</w:t>
      </w:r>
    </w:p>
    <w:p>
      <w:bookmarkStart w:id="808" w:name="page_5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5" name="index-536_1.png" descr="index-536_1.png"/>
            <wp:cNvGraphicFramePr>
              <a:graphicFrameLocks noChangeAspect="1"/>
            </wp:cNvGraphicFramePr>
            <a:graphic>
              <a:graphicData uri="http://schemas.openxmlformats.org/drawingml/2006/picture">
                <pic:pic>
                  <pic:nvPicPr>
                    <pic:cNvPr id="0" name="index-536_1.png" descr="index-536_1.png"/>
                    <pic:cNvPicPr/>
                  </pic:nvPicPr>
                  <pic:blipFill>
                    <a:blip r:embed="rId549"/>
                    <a:stretch>
                      <a:fillRect/>
                    </a:stretch>
                  </pic:blipFill>
                  <pic:spPr>
                    <a:xfrm>
                      <a:off x="0" y="0"/>
                      <a:ext cx="914400" cy="266700"/>
                    </a:xfrm>
                    <a:prstGeom prst="rect">
                      <a:avLst/>
                    </a:prstGeom>
                  </pic:spPr>
                </pic:pic>
              </a:graphicData>
            </a:graphic>
          </wp:anchor>
        </w:drawing>
      </w:r>
      <w:bookmarkEnd w:id="808"/>
    </w:p>
    <w:p>
      <w:pPr>
        <w:pStyle w:val="Normal"/>
      </w:pPr>
      <w:r>
        <w:t>lxc exec n1</w:t>
        <w:t>--</w:t>
        <w:t>sudo</w:t>
        <w:t>-</w:t>
        <w:t>i</w:t>
        <w:t>-</w:t>
        <w:t>u ubuntu</w:t>
      </w:r>
    </w:p>
    <w:p>
      <w:pPr>
        <w:pStyle w:val="Para 17"/>
      </w:pPr>
      <w:r>
        <w:t/>
      </w:r>
    </w:p>
    <w:p>
      <w:pPr>
        <w:pStyle w:val="Normal"/>
      </w:pPr>
      <w:r>
        <w:t>This command provides a proper login shell with full session initialization, including PTY own-ership and systemd user session setup.</w:t>
      </w:r>
    </w:p>
    <w:p>
      <w:pPr>
        <w:pStyle w:val="Normal"/>
      </w:pPr>
      <w:r>
        <w:t>A convenient alias that opens a shell without the full login process is:</w:t>
      </w:r>
    </w:p>
    <w:p>
      <w:pPr>
        <w:pStyle w:val="Normal"/>
      </w:pPr>
      <w:r>
        <w:t>lxc shell n1</w:t>
      </w:r>
    </w:p>
    <w:p>
      <w:pPr>
        <w:pStyle w:val="Para 17"/>
      </w:pPr>
      <w:r>
        <w:t/>
      </w:r>
    </w:p>
    <w:p>
      <w:pPr>
        <w:pStyle w:val="Normal"/>
      </w:pPr>
      <w:r>
        <w:t>The try-it page mentioned above gives a full synopsis of the commands you can use to ad-minister containers.</w:t>
      </w:r>
    </w:p>
    <w:p>
      <w:pPr>
        <w:pStyle w:val="Normal"/>
      </w:pPr>
      <w:r>
        <w:t>Now that the noble image has been downloaded, it will be kept in sync until no new containers have been created based on it for (by default) 10 days. After that, it will be deleted.</w:t>
      </w:r>
    </w:p>
    <w:p>
      <w:pPr>
        <w:pStyle w:val="Para 17"/>
      </w:pPr>
      <w:r>
        <w:t/>
      </w:r>
    </w:p>
    <w:p>
      <w:pPr>
        <w:pStyle w:val="Para 01"/>
      </w:pPr>
      <w:r>
        <w:t>LXD server configuration</w:t>
      </w:r>
    </w:p>
    <w:p>
      <w:pPr>
        <w:pStyle w:val="Para 17"/>
      </w:pPr>
      <w:r>
        <w:t/>
      </w:r>
    </w:p>
    <w:p>
      <w:pPr>
        <w:pStyle w:val="Normal"/>
      </w:pPr>
      <w:r>
        <w:t>By default, LXD is socket activated and configured to listen only on a local UNIX socket. While LXD may not be running when you first look at the process listing, any LXC command will start it up. For instance:</w:t>
      </w:r>
    </w:p>
    <w:p>
      <w:pPr>
        <w:pStyle w:val="Normal"/>
      </w:pPr>
      <w:r>
        <w:t>lxc</w:t>
        <w:t xml:space="preserve"> </w:t>
        <w:t>list</w:t>
      </w:r>
    </w:p>
    <w:p>
      <w:pPr>
        <w:pStyle w:val="Para 17"/>
      </w:pPr>
      <w:r>
        <w:t/>
      </w:r>
    </w:p>
    <w:p>
      <w:pPr>
        <w:pStyle w:val="Normal"/>
      </w:pPr>
      <w:r>
        <w:t>This will create your client certificate and contact the LXD server for a list of containers. To make the server accessible over the network you can set the http port using:</w:t>
      </w:r>
    </w:p>
    <w:p>
      <w:pPr>
        <w:pStyle w:val="Normal"/>
      </w:pPr>
      <w:r>
        <w:t>lxc config</w:t>
        <w:t xml:space="preserve"> </w:t>
        <w:t>set</w:t>
        <w:t xml:space="preserve"> </w:t>
        <w:t>core</w:t>
        <w:t>.</w:t>
        <w:t>https_address :</w:t>
        <w:t>8443</w:t>
      </w:r>
    </w:p>
    <w:p>
      <w:pPr>
        <w:pStyle w:val="Para 17"/>
      </w:pPr>
      <w:r>
        <w:t/>
      </w:r>
    </w:p>
    <w:p>
      <w:pPr>
        <w:pStyle w:val="Normal"/>
      </w:pPr>
      <w:r>
        <w:t>This will tell LXD to listen to port 8443 on all addresses.</w:t>
      </w:r>
    </w:p>
    <w:p>
      <w:pPr>
        <w:pStyle w:val="Para 17"/>
      </w:pPr>
      <w:r>
        <w:t/>
      </w:r>
    </w:p>
    <w:p>
      <w:pPr>
        <w:pStyle w:val="Para 01"/>
      </w:pPr>
      <w:r>
        <w:t>Authentication</w:t>
      </w:r>
    </w:p>
    <w:p>
      <w:pPr>
        <w:pStyle w:val="Para 17"/>
      </w:pPr>
      <w:r>
        <w:t/>
      </w:r>
    </w:p>
    <w:p>
      <w:pPr>
        <w:pStyle w:val="Normal"/>
      </w:pPr>
      <w:r>
        <w:t>By default, LXD will allow all members of group lxd to talk to it over the UNIX socket. Com-munication over the network is authorized using server and client certificates.</w:t>
      </w:r>
    </w:p>
    <w:p>
      <w:pPr>
        <w:pStyle w:val="Normal"/>
      </w:pPr>
      <w:r>
        <w:t>Before client c1 wishes to use remote r1, r1 must be registered using:</w:t>
      </w:r>
    </w:p>
    <w:p>
      <w:pPr>
        <w:pStyle w:val="Normal"/>
      </w:pPr>
      <w:r>
        <w:t>lxc remote add r1 r1</w:t>
        <w:t>.</w:t>
        <w:t>example</w:t>
        <w:t>.</w:t>
        <w:t>com:</w:t>
        <w:t>8443</w:t>
      </w:r>
    </w:p>
    <w:p>
      <w:pPr>
        <w:pStyle w:val="Para 17"/>
      </w:pPr>
      <w:r>
        <w:t/>
      </w:r>
    </w:p>
    <w:p>
      <w:pPr>
        <w:pStyle w:val="Normal"/>
      </w:pPr>
      <w:r>
        <w:t>The fingerprint of r1’s certificate will be shown, to allow the user at c1 to reject a false cer-tificate. The server in turn will verify that c1 may be trusted in one of two ways. The first is to register it in advance from any already-registered client, using:</w:t>
      </w:r>
    </w:p>
    <w:p>
      <w:pPr>
        <w:pStyle w:val="Normal"/>
      </w:pPr>
      <w:r>
        <w:t>lxc config trust add r1 certfile</w:t>
        <w:t>.</w:t>
        <w:t>crt</w:t>
      </w:r>
    </w:p>
    <w:p>
      <w:pPr>
        <w:pStyle w:val="Para 17"/>
      </w:pPr>
      <w:r>
        <w:t/>
      </w:r>
    </w:p>
    <w:p>
      <w:pPr>
        <w:pStyle w:val="Normal"/>
      </w:pPr>
      <w:r>
        <w:t>Now when the client adds r1 as a known remote, it will not need to provide a password as it is already trusted by the server.</w:t>
      </w:r>
    </w:p>
    <w:p>
      <w:bookmarkStart w:id="809" w:name="calibre_pb_136"/>
      <w:pPr>
        <w:pStyle w:val="0 Block"/>
      </w:pPr>
      <w:bookmarkEnd w:id="809"/>
    </w:p>
    <w:p>
      <w:bookmarkStart w:id="810" w:name="Top_of_index_split_137_html"/>
      <w:bookmarkStart w:id="811" w:name="page_53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6" name="index-537_1.png" descr="index-537_1.png"/>
            <wp:cNvGraphicFramePr>
              <a:graphicFrameLocks noChangeAspect="1"/>
            </wp:cNvGraphicFramePr>
            <a:graphic>
              <a:graphicData uri="http://schemas.openxmlformats.org/drawingml/2006/picture">
                <pic:pic>
                  <pic:nvPicPr>
                    <pic:cNvPr id="0" name="index-537_1.png" descr="index-537_1.png"/>
                    <pic:cNvPicPr/>
                  </pic:nvPicPr>
                  <pic:blipFill>
                    <a:blip r:embed="rId550"/>
                    <a:stretch>
                      <a:fillRect/>
                    </a:stretch>
                  </pic:blipFill>
                  <pic:spPr>
                    <a:xfrm>
                      <a:off x="0" y="0"/>
                      <a:ext cx="914400" cy="266700"/>
                    </a:xfrm>
                    <a:prstGeom prst="rect">
                      <a:avLst/>
                    </a:prstGeom>
                  </pic:spPr>
                </pic:pic>
              </a:graphicData>
            </a:graphic>
          </wp:anchor>
        </w:drawing>
      </w:r>
      <w:bookmarkEnd w:id="810"/>
      <w:bookmarkEnd w:id="811"/>
    </w:p>
    <w:p>
      <w:pPr>
        <w:pStyle w:val="Para 01"/>
      </w:pPr>
      <w:r>
        <w:t>Backing store</w:t>
      </w:r>
    </w:p>
    <w:p>
      <w:pPr>
        <w:pStyle w:val="Para 17"/>
      </w:pPr>
      <w:r>
        <w:t/>
      </w:r>
    </w:p>
    <w:p>
      <w:pPr>
        <w:pStyle w:val="Normal"/>
      </w:pPr>
      <w:r>
        <w:t>LXD supports several backing stores. The recommended and the default backing store is zfs. If you already have a ZFS pool configured, you can tell LXD to use it during the lxd init procedure, otherwise a file-backed zpool will be created automatically. With ZFS, launching</w:t>
      </w:r>
    </w:p>
    <w:p>
      <w:pPr>
        <w:pStyle w:val="Normal"/>
      </w:pPr>
      <w:r>
        <w:t xml:space="preserve">a new container is fast because the </w:t>
      </w:r>
      <w:hyperlink w:anchor="page_682">
        <w:r>
          <w:rPr>
            <w:rStyle w:val="Text2"/>
          </w:rPr>
          <w:t>filesystem</w:t>
        </w:r>
      </w:hyperlink>
      <w:r>
        <w:t xml:space="preserve"> starts as a copy on write clone of the images’ filesystem. Note that unless the container is privileged (see below) LXD will need to change ownership of all files before the container can start, however this is fast and change very little of the actual filesystem data.</w:t>
      </w:r>
    </w:p>
    <w:p>
      <w:pPr>
        <w:pStyle w:val="Normal"/>
      </w:pPr>
      <w:r>
        <w:t xml:space="preserve">The other supported backing stores are described in detail in the </w:t>
      </w:r>
      <w:hyperlink r:id="rId1465">
        <w:r>
          <w:rPr>
            <w:rStyle w:val="Text9"/>
          </w:rPr>
          <w:t>529</w:t>
        </w:r>
      </w:hyperlink>
      <w:hyperlink r:id="rId1465">
        <w:r>
          <w:rPr>
            <w:rStyle w:val="Text1"/>
          </w:rPr>
          <w:t xml:space="preserve"> Storage configuration</w:t>
        </w:r>
      </w:hyperlink>
      <w:r>
        <w:t xml:space="preserve"> section of the LXD documentation.</w:t>
      </w:r>
    </w:p>
    <w:p>
      <w:pPr>
        <w:pStyle w:val="Para 17"/>
      </w:pPr>
      <w:r>
        <w:t/>
      </w:r>
    </w:p>
    <w:p>
      <w:pPr>
        <w:pStyle w:val="Para 01"/>
      </w:pPr>
      <w:r>
        <w:t>Container configuration</w:t>
      </w:r>
    </w:p>
    <w:p>
      <w:pPr>
        <w:pStyle w:val="Para 17"/>
      </w:pPr>
      <w:r>
        <w:t/>
      </w:r>
    </w:p>
    <w:p>
      <w:pPr>
        <w:pStyle w:val="Normal"/>
      </w:pPr>
      <w:r>
        <w:t>Containers are configured according to a set of profiles, described in the next section, and a set of container-specific configuration. Profiles are applied first, so that container specific configuration can override profile configuration.</w:t>
      </w:r>
    </w:p>
    <w:p>
      <w:pPr>
        <w:pStyle w:val="Normal"/>
      </w:pPr>
      <w:r>
        <w:t>Container configuration includes properties like the architecture, limits on resources such as CPU and RAM, security details including AppArmor restriction overrides, and devices to apply to the container.</w:t>
      </w:r>
    </w:p>
    <w:p>
      <w:pPr>
        <w:pStyle w:val="Normal"/>
      </w:pPr>
      <w:r>
        <w:t>Devices can be of several types, including UNIX character, UNIX block, network interface, or disk. In order to insert a host mount into a container, a ‘disk’ device type would be used. For instance, to mount /opt in container c1 at /opt, you could use:</w:t>
      </w:r>
    </w:p>
    <w:p>
      <w:pPr>
        <w:pStyle w:val="Normal"/>
      </w:pPr>
      <w:r>
        <w:t>lxc config device add c1 opt</w:t>
        <w:t>-</w:t>
        <w:t>mount disk source</w:t>
        <w:t>=/</w:t>
        <w:t>opt path</w:t>
        <w:t>=/</w:t>
        <w:t>opt</w:t>
      </w:r>
    </w:p>
    <w:p>
      <w:pPr>
        <w:pStyle w:val="Para 17"/>
      </w:pPr>
      <w:r>
        <w:t/>
      </w:r>
    </w:p>
    <w:p>
      <w:pPr>
        <w:pStyle w:val="Normal"/>
      </w:pPr>
      <w:r>
        <w:t>See:</w:t>
      </w:r>
    </w:p>
    <w:p>
      <w:pPr>
        <w:pStyle w:val="Normal"/>
      </w:pPr>
      <w:r>
        <w:t>lxc help config</w:t>
      </w:r>
    </w:p>
    <w:p>
      <w:pPr>
        <w:pStyle w:val="Para 17"/>
      </w:pPr>
      <w:r>
        <w:t/>
      </w:r>
    </w:p>
    <w:p>
      <w:pPr>
        <w:pStyle w:val="Normal"/>
      </w:pPr>
      <w:r>
        <w:t>for more information about editing container configurations. You may also use:</w:t>
      </w:r>
    </w:p>
    <w:p>
      <w:pPr>
        <w:pStyle w:val="Normal"/>
      </w:pPr>
      <w:r>
        <w:t>lxc config edit c1</w:t>
      </w:r>
    </w:p>
    <w:p>
      <w:pPr>
        <w:pStyle w:val="Para 17"/>
      </w:pPr>
      <w:r>
        <w:t/>
      </w:r>
    </w:p>
    <w:p>
      <w:pPr>
        <w:pStyle w:val="Normal"/>
      </w:pPr>
      <w:r>
        <w:t>to edit the whole of c1’s configuration. Comments at the top of the configuration will show examples of correct syntax to help administrators hit the ground running. If the edited con-figuration is not valid when the editor is exited, then the editor will be restarted.</w:t>
      </w:r>
    </w:p>
    <w:p>
      <w:pPr>
        <w:pStyle w:val="Para 17"/>
      </w:pPr>
      <w:r>
        <w:t/>
      </w:r>
    </w:p>
    <w:p>
      <w:pPr>
        <w:pStyle w:val="Para 01"/>
      </w:pPr>
      <w:r>
        <w:t>Profiles</w:t>
      </w:r>
    </w:p>
    <w:p>
      <w:pPr>
        <w:pStyle w:val="Para 17"/>
      </w:pPr>
      <w:r>
        <w:t/>
      </w:r>
    </w:p>
    <w:p>
      <w:pPr>
        <w:pStyle w:val="Normal"/>
      </w:pPr>
      <w:r>
        <w:t>Profiles are named collections of configurations which may be applied to more than one con-tainer. For instance, all containers created with lxc launch, by default, include the default profile, which provides a network interface eth0.</w:t>
      </w:r>
    </w:p>
    <w:p>
      <w:pPr>
        <w:pStyle w:val="Normal"/>
      </w:pPr>
      <w:r>
        <w:t>To mask a device which would be inherited from a profile but which should not be in the final container, define a device by the same name but of type ‘none’:</w:t>
      </w:r>
    </w:p>
    <w:p>
      <w:pPr>
        <w:pStyle w:val="Para 05"/>
      </w:pPr>
      <w:r>
        <w:rPr>
          <w:rStyle w:val="Text5"/>
        </w:rPr>
        <w:t>529</w:t>
      </w:r>
      <w:r>
        <w:rPr>
          <w:rStyle w:val="Text8"/>
        </w:rPr>
        <w:t xml:space="preserve"> </w:t>
      </w:r>
      <w:r>
        <w:t>https://documentation.ubuntu.com/lxd/latest/explanation/storage/</w:t>
      </w:r>
      <w:r>
        <w:rPr>
          <w:rStyle w:val="Text8"/>
        </w:rPr>
        <w:t xml:space="preserve"> </w:t>
        <w:t>lxc config device add c1 eth1 none</w:t>
      </w:r>
    </w:p>
    <w:p>
      <w:bookmarkStart w:id="812" w:name="page_5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7" name="index-538_1.png" descr="index-538_1.png"/>
            <wp:cNvGraphicFramePr>
              <a:graphicFrameLocks noChangeAspect="1"/>
            </wp:cNvGraphicFramePr>
            <a:graphic>
              <a:graphicData uri="http://schemas.openxmlformats.org/drawingml/2006/picture">
                <pic:pic>
                  <pic:nvPicPr>
                    <pic:cNvPr id="0" name="index-538_1.png" descr="index-538_1.png"/>
                    <pic:cNvPicPr/>
                  </pic:nvPicPr>
                  <pic:blipFill>
                    <a:blip r:embed="rId551"/>
                    <a:stretch>
                      <a:fillRect/>
                    </a:stretch>
                  </pic:blipFill>
                  <pic:spPr>
                    <a:xfrm>
                      <a:off x="0" y="0"/>
                      <a:ext cx="914400" cy="266700"/>
                    </a:xfrm>
                    <a:prstGeom prst="rect">
                      <a:avLst/>
                    </a:prstGeom>
                  </pic:spPr>
                </pic:pic>
              </a:graphicData>
            </a:graphic>
          </wp:anchor>
        </w:drawing>
      </w:r>
      <w:bookmarkEnd w:id="812"/>
    </w:p>
    <w:p>
      <w:pPr>
        <w:pStyle w:val="Para 17"/>
      </w:pPr>
      <w:r>
        <w:t/>
      </w:r>
    </w:p>
    <w:p>
      <w:pPr>
        <w:pStyle w:val="Para 01"/>
      </w:pPr>
      <w:r>
        <w:t>Nesting</w:t>
      </w:r>
    </w:p>
    <w:p>
      <w:pPr>
        <w:pStyle w:val="Para 17"/>
      </w:pPr>
      <w:r>
        <w:t/>
      </w:r>
    </w:p>
    <w:p>
      <w:pPr>
        <w:pStyle w:val="Normal"/>
      </w:pPr>
      <w:r>
        <w:t>Containers all share the same host kernel. This means that there is always an inherent trade-off between features exposed to the container and host security from malicious containers. Containers by default are therefore restricted from features needed to nest child containers. In order to run lxc or lxd containers under a lxd container, the security.nesting feature must be set to true:</w:t>
      </w:r>
    </w:p>
    <w:p>
      <w:pPr>
        <w:pStyle w:val="Normal"/>
      </w:pPr>
      <w:r>
        <w:t>lxc config</w:t>
        <w:t xml:space="preserve"> </w:t>
        <w:t>set</w:t>
        <w:t xml:space="preserve"> </w:t>
        <w:t>container1 security</w:t>
        <w:t>.</w:t>
        <w:t>nesting true</w:t>
      </w:r>
    </w:p>
    <w:p>
      <w:pPr>
        <w:pStyle w:val="Para 17"/>
      </w:pPr>
      <w:r>
        <w:t/>
      </w:r>
    </w:p>
    <w:p>
      <w:pPr>
        <w:pStyle w:val="Normal"/>
      </w:pPr>
      <w:r>
        <w:t>Once this is done, container1 will be able to start sub-containers.</w:t>
      </w:r>
    </w:p>
    <w:p>
      <w:pPr>
        <w:pStyle w:val="Normal"/>
      </w:pPr>
      <w:r>
        <w:t>In order to run unprivileged (the default in LXD) containers nested under an unprivileged container, you will need to ensure a wide enough UID mapping. Please see the ‘UID mapping’ section below.</w:t>
      </w:r>
    </w:p>
    <w:p>
      <w:pPr>
        <w:pStyle w:val="Para 17"/>
      </w:pPr>
      <w:r>
        <w:t/>
      </w:r>
    </w:p>
    <w:p>
      <w:pPr>
        <w:pStyle w:val="Para 01"/>
      </w:pPr>
      <w:r>
        <w:t>Limits</w:t>
      </w:r>
    </w:p>
    <w:p>
      <w:pPr>
        <w:pStyle w:val="Para 17"/>
      </w:pPr>
      <w:r>
        <w:t/>
      </w:r>
    </w:p>
    <w:p>
      <w:pPr>
        <w:pStyle w:val="Normal"/>
      </w:pPr>
      <w:r>
        <w:t>LXD supports flexible constraints on the resources which containers can consume. The limits come in the following categories:</w:t>
      </w:r>
    </w:p>
    <w:p>
      <w:pPr>
        <w:pStyle w:val="Para 04"/>
      </w:pPr>
      <w:r>
        <w:t>• CPU: limit CPU available to the container in several ways</w:t>
      </w:r>
    </w:p>
    <w:p>
      <w:pPr>
        <w:pStyle w:val="Para 04"/>
      </w:pPr>
      <w:r>
        <w:t>• Disk: configure the priority of I/O requests under load</w:t>
      </w:r>
    </w:p>
    <w:p>
      <w:pPr>
        <w:pStyle w:val="Para 04"/>
      </w:pPr>
      <w:r>
        <w:t>• RAM: configure memory and swap availability</w:t>
      </w:r>
    </w:p>
    <w:p>
      <w:pPr>
        <w:pStyle w:val="Para 04"/>
      </w:pPr>
      <w:r>
        <w:t>• Network: configure the network priority under load</w:t>
      </w:r>
    </w:p>
    <w:p>
      <w:pPr>
        <w:pStyle w:val="Para 04"/>
      </w:pPr>
      <w:r>
        <w:t>• Processes: limit the number of concurrent processes in the container</w:t>
      </w:r>
    </w:p>
    <w:p>
      <w:pPr>
        <w:pStyle w:val="Normal"/>
      </w:pPr>
      <w:r>
        <w:t xml:space="preserve">For a full list of limits known to LXD, see </w:t>
      </w:r>
      <w:hyperlink r:id="rId1466">
        <w:r>
          <w:rPr>
            <w:rStyle w:val="Text9"/>
          </w:rPr>
          <w:t>530</w:t>
        </w:r>
      </w:hyperlink>
      <w:hyperlink r:id="rId1466">
        <w:r>
          <w:rPr>
            <w:rStyle w:val="Text1"/>
          </w:rPr>
          <w:t xml:space="preserve"> the configuration documentation</w:t>
        </w:r>
      </w:hyperlink>
      <w:r>
        <w:t>.</w:t>
      </w:r>
    </w:p>
    <w:p>
      <w:pPr>
        <w:pStyle w:val="Para 17"/>
      </w:pPr>
      <w:r>
        <w:t/>
      </w:r>
    </w:p>
    <w:p>
      <w:pPr>
        <w:pStyle w:val="Para 01"/>
      </w:pPr>
      <w:r>
        <w:t>UID mappings and privileged containers</w:t>
      </w:r>
    </w:p>
    <w:p>
      <w:pPr>
        <w:pStyle w:val="Para 17"/>
      </w:pPr>
      <w:r>
        <w:t/>
      </w:r>
    </w:p>
    <w:p>
      <w:pPr>
        <w:pStyle w:val="Normal"/>
      </w:pPr>
      <w:r>
        <w:t>By default, LXD creates unprivileged containers. This means that root in the container is a non-root UID on the host. It is privileged against the resources owned by the container, but unprivileged with respect to the host, making root in a container roughly equivalent to an unprivileged user on the host. (The main exception is the increased attack surface exposed through the system call interface)</w:t>
      </w:r>
    </w:p>
    <w:p>
      <w:pPr>
        <w:pStyle w:val="Normal"/>
      </w:pPr>
      <w:r>
        <w:t>Briefly, in an unprivileged container, 65536 UIDs are ‘shifted’ into the container. For instance, UID 0 in the container may be 100000 on the host, UID 1 in the container is 100001, etc, up to</w:t>
      </w:r>
    </w:p>
    <w:p>
      <w:pPr>
        <w:pStyle w:val="Normal"/>
      </w:pPr>
      <w:r>
        <w:t xml:space="preserve">165535. The starting value for UIDs and </w:t>
      </w:r>
      <w:hyperlink w:anchor="page_685">
        <w:r>
          <w:rPr>
            <w:rStyle w:val="Text2"/>
          </w:rPr>
          <w:t>GIDs</w:t>
        </w:r>
      </w:hyperlink>
      <w:r>
        <w:t>, respectively, is determined by the ‘root’ entry</w:t>
      </w:r>
    </w:p>
    <w:p>
      <w:pPr>
        <w:pStyle w:val="Normal"/>
      </w:pPr>
      <w:r>
        <w:t xml:space="preserve">the </w:t>
      </w:r>
      <w:hyperlink r:id="rId1467">
        <w:r>
          <w:rPr>
            <w:rStyle w:val="Text9"/>
          </w:rPr>
          <w:t>531</w:t>
        </w:r>
      </w:hyperlink>
      <w:r>
        <w:t xml:space="preserve"> /etc/subuid and /etc/subgid files. (See the </w:t>
      </w:r>
      <w:hyperlink r:id="rId1467">
        <w:r>
          <w:rPr>
            <w:rStyle w:val="Text2"/>
          </w:rPr>
          <w:t>subuid(5)</w:t>
        </w:r>
      </w:hyperlink>
      <w:r>
        <w:t>) manual page.)</w:t>
      </w:r>
    </w:p>
    <w:p>
      <w:pPr>
        <w:pStyle w:val="Normal"/>
      </w:pPr>
      <w:r>
        <w:t>It is possible to request a container to run without a UID mapping by setting the security. privileged flag to true:</w:t>
      </w:r>
    </w:p>
    <w:p>
      <w:pPr>
        <w:pStyle w:val="Para 05"/>
      </w:pPr>
      <w:r>
        <w:rPr>
          <w:rStyle w:val="Text5"/>
        </w:rPr>
        <w:t>530</w:t>
      </w:r>
      <w:r>
        <w:rPr>
          <w:rStyle w:val="Text8"/>
        </w:rPr>
        <w:t xml:space="preserve"> </w:t>
      </w:r>
      <w:r>
        <w:t>https://documentation.ubuntu.com/lxd/latest/reference/instance_options/</w:t>
      </w:r>
    </w:p>
    <w:p>
      <w:pPr>
        <w:pStyle w:val="Para 05"/>
      </w:pPr>
      <w:r>
        <w:rPr>
          <w:rStyle w:val="Text5"/>
        </w:rPr>
        <w:t>531</w:t>
      </w:r>
      <w:r>
        <w:rPr>
          <w:rStyle w:val="Text8"/>
        </w:rPr>
        <w:t xml:space="preserve"> </w:t>
      </w:r>
      <w:r>
        <w:t>https://manpages.ubuntu.com/manpages/resolute/man5/subuid.5.html</w:t>
      </w:r>
      <w:r>
        <w:rPr>
          <w:rStyle w:val="Text8"/>
        </w:rPr>
        <w:t xml:space="preserve"> </w:t>
        <w:t>lxc config</w:t>
        <w:t xml:space="preserve"> </w:t>
        <w:t>set</w:t>
        <w:t xml:space="preserve"> </w:t>
        <w:t>c1 security</w:t>
        <w:t>.</w:t>
        <w:t>privileged true</w:t>
      </w:r>
    </w:p>
    <w:p>
      <w:bookmarkStart w:id="813" w:name="page_5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8" name="index-539_1.png" descr="index-539_1.png"/>
            <wp:cNvGraphicFramePr>
              <a:graphicFrameLocks noChangeAspect="1"/>
            </wp:cNvGraphicFramePr>
            <a:graphic>
              <a:graphicData uri="http://schemas.openxmlformats.org/drawingml/2006/picture">
                <pic:pic>
                  <pic:nvPicPr>
                    <pic:cNvPr id="0" name="index-539_1.png" descr="index-539_1.png"/>
                    <pic:cNvPicPr/>
                  </pic:nvPicPr>
                  <pic:blipFill>
                    <a:blip r:embed="rId552"/>
                    <a:stretch>
                      <a:fillRect/>
                    </a:stretch>
                  </pic:blipFill>
                  <pic:spPr>
                    <a:xfrm>
                      <a:off x="0" y="0"/>
                      <a:ext cx="914400" cy="266700"/>
                    </a:xfrm>
                    <a:prstGeom prst="rect">
                      <a:avLst/>
                    </a:prstGeom>
                  </pic:spPr>
                </pic:pic>
              </a:graphicData>
            </a:graphic>
          </wp:anchor>
        </w:drawing>
      </w:r>
      <w:bookmarkEnd w:id="813"/>
    </w:p>
    <w:p>
      <w:pPr>
        <w:pStyle w:val="Para 17"/>
      </w:pPr>
      <w:r>
        <w:t/>
      </w:r>
    </w:p>
    <w:p>
      <w:pPr>
        <w:pStyle w:val="Normal"/>
      </w:pPr>
      <w:r>
        <w:t>Note however that in this case the root user in the container is the root user on the host.</w:t>
      </w:r>
    </w:p>
    <w:p>
      <w:pPr>
        <w:pStyle w:val="Para 17"/>
      </w:pPr>
      <w:r>
        <w:t/>
      </w:r>
    </w:p>
    <w:p>
      <w:pPr>
        <w:pStyle w:val="Para 01"/>
      </w:pPr>
      <w:r>
        <w:t>AppArmor</w:t>
      </w:r>
    </w:p>
    <w:p>
      <w:pPr>
        <w:pStyle w:val="Para 17"/>
      </w:pPr>
      <w:r>
        <w:t/>
      </w:r>
    </w:p>
    <w:p>
      <w:pPr>
        <w:pStyle w:val="Normal"/>
      </w:pPr>
      <w:r>
        <w:t>LXD confines containers by default with an AppArmor profile which protects containers from each other and the host from containers. For instance this will prevent root in one container from signaling root in another container, even though they have the same UID mapping. It also prevents writing to dangerous, un-namespaced files such as many sysctls and /proc/ sysrq-trigger.</w:t>
      </w:r>
    </w:p>
    <w:p>
      <w:pPr>
        <w:pStyle w:val="Normal"/>
      </w:pPr>
      <w:r>
        <w:t>If the AppArmor policy for a container needs to be modified for a container c1, specific Ap-pArmor policy lines can be added in the raw.apparmor configuration key.</w:t>
      </w:r>
    </w:p>
    <w:p>
      <w:pPr>
        <w:pStyle w:val="Para 17"/>
      </w:pPr>
      <w:r>
        <w:t/>
      </w:r>
    </w:p>
    <w:p>
      <w:pPr>
        <w:pStyle w:val="Para 01"/>
      </w:pPr>
      <w:r>
        <w:t>Seccomp</w:t>
      </w:r>
    </w:p>
    <w:p>
      <w:pPr>
        <w:pStyle w:val="Para 17"/>
      </w:pPr>
      <w:r>
        <w:t/>
      </w:r>
    </w:p>
    <w:p>
      <w:pPr>
        <w:pStyle w:val="Normal"/>
      </w:pPr>
      <w:r>
        <w:t>All containers are confined by a default seccomp policy. This policy prevents some danger-ous actions such as forced unmounts, kernel module loading and unloading, kexec, and the open_by_handle_at system call. The seccomp configuration cannot be modified, however a completely different seccomp policy – or none – can be requested using raw.lxc (see below).</w:t>
      </w:r>
    </w:p>
    <w:p>
      <w:pPr>
        <w:pStyle w:val="Para 17"/>
      </w:pPr>
      <w:r>
        <w:t/>
      </w:r>
    </w:p>
    <w:p>
      <w:pPr>
        <w:pStyle w:val="Para 01"/>
      </w:pPr>
      <w:r>
        <w:t>Raw LXC configuration</w:t>
      </w:r>
    </w:p>
    <w:p>
      <w:pPr>
        <w:pStyle w:val="Para 17"/>
      </w:pPr>
      <w:r>
        <w:t/>
      </w:r>
    </w:p>
    <w:p>
      <w:pPr>
        <w:pStyle w:val="Normal"/>
      </w:pPr>
      <w:r>
        <w:t>LXD configures containers for the best balance of host safety and container usability. When-ever possible it is highly recommended to use the defaults, and use the LXD configuration keys to request LXD to modify as needed. Sometimes, however, it may be necessary to talk to the underlying lxc driver itself. This can be done by specifying LXC configuration items in</w:t>
      </w:r>
    </w:p>
    <w:p>
      <w:pPr>
        <w:pStyle w:val="Normal"/>
      </w:pPr>
      <w:r>
        <w:t xml:space="preserve">the ‘raw.lxc’ LXD configuration key. These must be valid items as documented in the </w:t>
      </w:r>
      <w:hyperlink r:id="rId1468">
        <w:r>
          <w:rPr>
            <w:rStyle w:val="Text2"/>
          </w:rPr>
          <w:t>lxc.</w:t>
        </w:r>
      </w:hyperlink>
    </w:p>
    <w:p>
      <w:pPr>
        <w:pStyle w:val="Para 20"/>
      </w:pPr>
      <w:hyperlink r:id="rId1468">
        <w:r>
          <w:t>container.conf(5)</w:t>
        </w:r>
      </w:hyperlink>
      <w:hyperlink w:anchor="page_539">
        <w:r>
          <w:rPr>
            <w:rStyle w:val="Text15"/>
          </w:rPr>
          <w:t>532</w:t>
        </w:r>
      </w:hyperlink>
      <w:r>
        <w:rPr>
          <w:rStyle w:val="Text4"/>
        </w:rPr>
        <w:t xml:space="preserve"> manual page.</w:t>
      </w:r>
    </w:p>
    <w:p>
      <w:pPr>
        <w:pStyle w:val="Para 17"/>
      </w:pPr>
      <w:r>
        <w:t/>
      </w:r>
    </w:p>
    <w:p>
      <w:pPr>
        <w:pStyle w:val="Para 01"/>
      </w:pPr>
      <w:r>
        <w:t>Snapshots</w:t>
      </w:r>
    </w:p>
    <w:p>
      <w:pPr>
        <w:pStyle w:val="Para 17"/>
      </w:pPr>
      <w:r>
        <w:t/>
      </w:r>
    </w:p>
    <w:p>
      <w:pPr>
        <w:pStyle w:val="Normal"/>
      </w:pPr>
      <w:r>
        <w:t>Containers can be renamed and live-migrated using the lxc move command:</w:t>
      </w:r>
    </w:p>
    <w:p>
      <w:pPr>
        <w:pStyle w:val="Normal"/>
      </w:pPr>
      <w:r>
        <w:t>lxc move c1 final</w:t>
        <w:t>-</w:t>
        <w:t>beta</w:t>
      </w:r>
    </w:p>
    <w:p>
      <w:pPr>
        <w:pStyle w:val="Para 17"/>
      </w:pPr>
      <w:r>
        <w:t/>
      </w:r>
    </w:p>
    <w:p>
      <w:pPr>
        <w:pStyle w:val="Normal"/>
      </w:pPr>
      <w:r>
        <w:t>They can also be snapshotted:</w:t>
      </w:r>
    </w:p>
    <w:p>
      <w:pPr>
        <w:pStyle w:val="Normal"/>
      </w:pPr>
      <w:r>
        <w:t>lxc snapshot c1 snapshot</w:t>
        <w:t>-</w:t>
        <w:t>name</w:t>
      </w:r>
    </w:p>
    <w:p>
      <w:pPr>
        <w:pStyle w:val="Para 17"/>
      </w:pPr>
      <w:r>
        <w:t/>
      </w:r>
    </w:p>
    <w:p>
      <w:pPr>
        <w:pStyle w:val="Normal"/>
      </w:pPr>
      <w:r>
        <w:t>Later changes to c1 can then be reverted by restoring the snapshot:</w:t>
      </w:r>
    </w:p>
    <w:p>
      <w:pPr>
        <w:pStyle w:val="Normal"/>
      </w:pPr>
      <w:r>
        <w:t>lxc restore c1 snapshot</w:t>
        <w:t>-</w:t>
        <w:t>name</w:t>
      </w:r>
    </w:p>
    <w:p>
      <w:pPr>
        <w:pStyle w:val="Para 17"/>
      </w:pPr>
      <w:r>
        <w:t/>
      </w:r>
    </w:p>
    <w:p>
      <w:pPr>
        <w:pStyle w:val="Normal"/>
      </w:pPr>
      <w:r>
        <w:t>New containers can also be created by copying a container or snapshot:</w:t>
      </w:r>
    </w:p>
    <w:p>
      <w:pPr>
        <w:pStyle w:val="Para 05"/>
      </w:pPr>
      <w:r>
        <w:rPr>
          <w:rStyle w:val="Text5"/>
        </w:rPr>
        <w:t>532</w:t>
      </w:r>
      <w:r>
        <w:rPr>
          <w:rStyle w:val="Text8"/>
        </w:rPr>
        <w:t xml:space="preserve"> </w:t>
      </w:r>
      <w:r>
        <w:t>https://manpages.ubuntu.com/manpages/resolute/man5/lxc.container.conf.5.html</w:t>
      </w:r>
      <w:r>
        <w:rPr>
          <w:rStyle w:val="Text8"/>
        </w:rPr>
        <w:t xml:space="preserve"> </w:t>
        <w:t>lxc copy c1</w:t>
        <w:t>/</w:t>
        <w:t>snapshot</w:t>
        <w:t>-</w:t>
        <w:t>name new</w:t>
        <w:t>-</w:t>
        <w:t>container</w:t>
      </w:r>
    </w:p>
    <w:p>
      <w:bookmarkStart w:id="814" w:name="page_5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49" name="index-540_1.png" descr="index-540_1.png"/>
            <wp:cNvGraphicFramePr>
              <a:graphicFrameLocks noChangeAspect="1"/>
            </wp:cNvGraphicFramePr>
            <a:graphic>
              <a:graphicData uri="http://schemas.openxmlformats.org/drawingml/2006/picture">
                <pic:pic>
                  <pic:nvPicPr>
                    <pic:cNvPr id="0" name="index-540_1.png" descr="index-540_1.png"/>
                    <pic:cNvPicPr/>
                  </pic:nvPicPr>
                  <pic:blipFill>
                    <a:blip r:embed="rId553"/>
                    <a:stretch>
                      <a:fillRect/>
                    </a:stretch>
                  </pic:blipFill>
                  <pic:spPr>
                    <a:xfrm>
                      <a:off x="0" y="0"/>
                      <a:ext cx="914400" cy="266700"/>
                    </a:xfrm>
                    <a:prstGeom prst="rect">
                      <a:avLst/>
                    </a:prstGeom>
                  </pic:spPr>
                </pic:pic>
              </a:graphicData>
            </a:graphic>
          </wp:anchor>
        </w:drawing>
      </w:r>
      <w:bookmarkEnd w:id="814"/>
    </w:p>
    <w:p>
      <w:pPr>
        <w:pStyle w:val="Para 17"/>
      </w:pPr>
      <w:r>
        <w:t/>
      </w:r>
    </w:p>
    <w:p>
      <w:pPr>
        <w:pStyle w:val="Para 01"/>
      </w:pPr>
      <w:r>
        <w:t>Publishing images</w:t>
      </w:r>
    </w:p>
    <w:p>
      <w:pPr>
        <w:pStyle w:val="Para 17"/>
      </w:pPr>
      <w:r>
        <w:t/>
      </w:r>
    </w:p>
    <w:p>
      <w:pPr>
        <w:pStyle w:val="Normal"/>
      </w:pPr>
      <w:r>
        <w:t>When a container or container snapshot is ready for consumption by others, it can be pub-lished as a new image using;</w:t>
      </w:r>
    </w:p>
    <w:p>
      <w:pPr>
        <w:pStyle w:val="Normal"/>
      </w:pPr>
      <w:r>
        <w:t>lxc publish c1</w:t>
        <w:t>/</w:t>
        <w:t>snapshot</w:t>
        <w:t>-</w:t>
        <w:t>name</w:t>
        <w:t>--</w:t>
        <w:t>alias foo</w:t>
        <w:t>-</w:t>
        <w:t>2.0</w:t>
      </w:r>
    </w:p>
    <w:p>
      <w:pPr>
        <w:pStyle w:val="Para 17"/>
      </w:pPr>
      <w:r>
        <w:t/>
      </w:r>
    </w:p>
    <w:p>
      <w:pPr>
        <w:pStyle w:val="Normal"/>
      </w:pPr>
      <w:r>
        <w:t>The published image will be private by default, meaning that LXD will not allow clients with-out a trusted certificate to see them. If the image is safe for public viewing (i.e. contains no private information), then the ‘public’ flag can be set, either at publish time using</w:t>
      </w:r>
    </w:p>
    <w:p>
      <w:pPr>
        <w:pStyle w:val="Normal"/>
      </w:pPr>
      <w:r>
        <w:t>lxc publish c1</w:t>
        <w:t>/</w:t>
        <w:t>snapshot</w:t>
        <w:t>-</w:t>
        <w:t>name</w:t>
        <w:t>--</w:t>
        <w:t>alias foo</w:t>
        <w:t>-</w:t>
        <w:t>2.0</w:t>
        <w:t xml:space="preserve"> </w:t>
        <w:t>public</w:t>
        <w:t>=</w:t>
        <w:t>true</w:t>
      </w:r>
    </w:p>
    <w:p>
      <w:pPr>
        <w:pStyle w:val="Para 17"/>
      </w:pPr>
      <w:r>
        <w:t/>
      </w:r>
    </w:p>
    <w:p>
      <w:pPr>
        <w:pStyle w:val="Normal"/>
      </w:pPr>
      <w:r>
        <w:t>or after the fact using</w:t>
      </w:r>
    </w:p>
    <w:p>
      <w:pPr>
        <w:pStyle w:val="Normal"/>
      </w:pPr>
      <w:r>
        <w:t>lxc image edit foo</w:t>
        <w:t>-</w:t>
        <w:t>2.0</w:t>
      </w:r>
    </w:p>
    <w:p>
      <w:pPr>
        <w:pStyle w:val="Para 17"/>
      </w:pPr>
      <w:r>
        <w:t/>
      </w:r>
    </w:p>
    <w:p>
      <w:pPr>
        <w:pStyle w:val="Normal"/>
      </w:pPr>
      <w:r>
        <w:t>and changing the value of the public field.</w:t>
      </w:r>
    </w:p>
    <w:p>
      <w:pPr>
        <w:pStyle w:val="Para 17"/>
      </w:pPr>
      <w:r>
        <w:t/>
      </w:r>
    </w:p>
    <w:p>
      <w:pPr>
        <w:pStyle w:val="Para 01"/>
      </w:pPr>
      <w:r>
        <w:t>Image export and import</w:t>
      </w:r>
    </w:p>
    <w:p>
      <w:pPr>
        <w:pStyle w:val="Para 17"/>
      </w:pPr>
      <w:r>
        <w:t/>
      </w:r>
    </w:p>
    <w:p>
      <w:pPr>
        <w:pStyle w:val="Normal"/>
      </w:pPr>
      <w:r>
        <w:t>Images can be exported as, and imported from, tarballs:</w:t>
      </w:r>
    </w:p>
    <w:p>
      <w:pPr>
        <w:pStyle w:val="Normal"/>
      </w:pPr>
      <w:r>
        <w:t>lxc image export foo</w:t>
        <w:t>-</w:t>
        <w:t>2.0</w:t>
        <w:t xml:space="preserve"> </w:t>
        <w:t>foo</w:t>
        <w:t>-</w:t>
        <w:t>2.0</w:t>
        <w:t>.</w:t>
        <w:t>tar</w:t>
        <w:t>.</w:t>
        <w:t>gz</w:t>
      </w:r>
    </w:p>
    <w:p>
      <w:pPr>
        <w:pStyle w:val="Normal"/>
      </w:pPr>
      <w:r>
        <w:t>lxc image</w:t>
        <w:t xml:space="preserve"> </w:t>
      </w:r>
      <w:r>
        <w:rPr>
          <w:rStyle w:val="Text0"/>
        </w:rPr>
        <w:t>import</w:t>
      </w:r>
      <w:r>
        <w:t xml:space="preserve"> </w:t>
      </w:r>
      <w:r>
        <w:rPr>
          <w:rStyle w:val="Text0"/>
        </w:rPr>
        <w:t>foo</w:t>
      </w:r>
      <w:r>
        <w:t>-</w:t>
        <w:t>2.0</w:t>
        <w:t>.</w:t>
        <w:t>tar</w:t>
        <w:t>.</w:t>
        <w:t>gz</w:t>
        <w:t>--</w:t>
        <w:t>alias foo</w:t>
        <w:t>-</w:t>
        <w:t>2.0</w:t>
        <w:t>--</w:t>
        <w:t>public</w:t>
      </w:r>
    </w:p>
    <w:p>
      <w:pPr>
        <w:pStyle w:val="Para 17"/>
      </w:pPr>
      <w:r>
        <w:t/>
      </w:r>
    </w:p>
    <w:p>
      <w:pPr>
        <w:pStyle w:val="Para 01"/>
      </w:pPr>
      <w:r>
        <w:t>Troubleshooting</w:t>
      </w:r>
    </w:p>
    <w:p>
      <w:pPr>
        <w:pStyle w:val="Para 17"/>
      </w:pPr>
      <w:r>
        <w:t/>
      </w:r>
    </w:p>
    <w:p>
      <w:pPr>
        <w:pStyle w:val="Normal"/>
      </w:pPr>
      <w:r>
        <w:t>To view debug information about LXD itself, on a systemd based host use</w:t>
      </w:r>
    </w:p>
    <w:p>
      <w:pPr>
        <w:pStyle w:val="Normal"/>
      </w:pPr>
      <w:r>
        <w:t>journalctl</w:t>
        <w:t>-</w:t>
        <w:t>u lxd</w:t>
      </w:r>
    </w:p>
    <w:p>
      <w:pPr>
        <w:pStyle w:val="Para 17"/>
      </w:pPr>
      <w:r>
        <w:t/>
      </w:r>
    </w:p>
    <w:p>
      <w:pPr>
        <w:pStyle w:val="Normal"/>
      </w:pPr>
      <w:r>
        <w:t>Container log files for container c1 may be seen using:</w:t>
      </w:r>
    </w:p>
    <w:p>
      <w:pPr>
        <w:pStyle w:val="Normal"/>
      </w:pPr>
      <w:r>
        <w:t>lxc info c1</w:t>
        <w:t>--</w:t>
        <w:t>show</w:t>
        <w:t>-</w:t>
        <w:t>log</w:t>
      </w:r>
    </w:p>
    <w:p>
      <w:pPr>
        <w:pStyle w:val="Para 17"/>
      </w:pPr>
      <w:r>
        <w:t/>
      </w:r>
    </w:p>
    <w:p>
      <w:pPr>
        <w:pStyle w:val="Normal"/>
      </w:pPr>
      <w:r>
        <w:t>The configuration file which was used may be found under /var/log/lxd/c1/lxc.conf while AppArmor profiles can be found in /var/lib/lxd/security/apparmor/profiles/c1 and sec-comp profiles in /var/lib/lxd/security/seccomp/c1.</w:t>
      </w:r>
    </w:p>
    <w:p>
      <w:bookmarkStart w:id="815" w:name="calibre_pb_137"/>
      <w:pPr>
        <w:pStyle w:val="0 Block"/>
      </w:pPr>
      <w:bookmarkEnd w:id="815"/>
    </w:p>
    <w:p>
      <w:bookmarkStart w:id="816" w:name="Top_of_index_split_138_html"/>
      <w:bookmarkStart w:id="817" w:name="page_54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0" name="index-541_1.png" descr="index-541_1.png"/>
            <wp:cNvGraphicFramePr>
              <a:graphicFrameLocks noChangeAspect="1"/>
            </wp:cNvGraphicFramePr>
            <a:graphic>
              <a:graphicData uri="http://schemas.openxmlformats.org/drawingml/2006/picture">
                <pic:pic>
                  <pic:nvPicPr>
                    <pic:cNvPr id="0" name="index-541_1.png" descr="index-541_1.png"/>
                    <pic:cNvPicPr/>
                  </pic:nvPicPr>
                  <pic:blipFill>
                    <a:blip r:embed="rId554"/>
                    <a:stretch>
                      <a:fillRect/>
                    </a:stretch>
                  </pic:blipFill>
                  <pic:spPr>
                    <a:xfrm>
                      <a:off x="0" y="0"/>
                      <a:ext cx="914400" cy="266700"/>
                    </a:xfrm>
                    <a:prstGeom prst="rect">
                      <a:avLst/>
                    </a:prstGeom>
                  </pic:spPr>
                </pic:pic>
              </a:graphicData>
            </a:graphic>
          </wp:anchor>
        </w:drawing>
      </w:r>
      <w:bookmarkEnd w:id="816"/>
      <w:bookmarkEnd w:id="817"/>
    </w:p>
    <w:p>
      <w:pPr>
        <w:pStyle w:val="Para 01"/>
      </w:pPr>
      <w:r>
        <w:t>How to create a VM with Multipass</w:t>
      </w:r>
    </w:p>
    <w:p>
      <w:pPr>
        <w:pStyle w:val="Para 17"/>
      </w:pPr>
      <w:r>
        <w:t/>
      </w:r>
    </w:p>
    <w:p>
      <w:pPr>
        <w:pStyle w:val="Normal"/>
      </w:pPr>
      <w:hyperlink r:id="rId1469">
        <w:r>
          <w:rPr>
            <w:rStyle w:val="Text1"/>
          </w:rPr>
          <w:t>Multipass</w:t>
        </w:r>
      </w:hyperlink>
      <w:hyperlink r:id="rId1469">
        <w:r>
          <w:rPr>
            <w:rStyle w:val="Text9"/>
          </w:rPr>
          <w:t>533</w:t>
        </w:r>
      </w:hyperlink>
      <w:r>
        <w:t xml:space="preserve"> is the recommended method for creating Ubuntu VMs on Ubuntu. It’s designed for developers who want a fresh Ubuntu environment with a single command, and it works on Linux, Windows and macOS.</w:t>
      </w:r>
    </w:p>
    <w:p>
      <w:pPr>
        <w:pStyle w:val="Normal"/>
      </w:pPr>
      <w:r>
        <w:t>On Linux it’s available as a snap:</w:t>
      </w:r>
    </w:p>
    <w:p>
      <w:pPr>
        <w:pStyle w:val="Normal"/>
      </w:pPr>
      <w:r>
        <w:t>sudo snap install multipass</w:t>
      </w:r>
    </w:p>
    <w:p>
      <w:pPr>
        <w:pStyle w:val="Para 17"/>
      </w:pPr>
      <w:r>
        <w:t/>
      </w:r>
    </w:p>
    <w:p>
      <w:pPr>
        <w:pStyle w:val="Normal"/>
      </w:pPr>
      <w:r>
        <w:t>If you’re running an older version of Ubuntu where snapd isn’t pre-installed, you will need to install it first:</w:t>
      </w:r>
    </w:p>
    <w:p>
      <w:pPr>
        <w:pStyle w:val="Normal"/>
      </w:pPr>
      <w:r>
        <w:t>sudo apt update</w:t>
      </w:r>
    </w:p>
    <w:p>
      <w:pPr>
        <w:pStyle w:val="Normal"/>
      </w:pPr>
      <w:r>
        <w:t>sudo apt install snapd</w:t>
      </w:r>
    </w:p>
    <w:p>
      <w:pPr>
        <w:pStyle w:val="Para 17"/>
      </w:pPr>
      <w:r>
        <w:t/>
      </w:r>
    </w:p>
    <w:p>
      <w:pPr>
        <w:pStyle w:val="Para 01"/>
      </w:pPr>
      <w:r>
        <w:t>Find available images</w:t>
      </w:r>
    </w:p>
    <w:p>
      <w:pPr>
        <w:pStyle w:val="Para 17"/>
      </w:pPr>
      <w:r>
        <w:t/>
      </w:r>
    </w:p>
    <w:p>
      <w:pPr>
        <w:pStyle w:val="Normal"/>
      </w:pPr>
      <w:r>
        <w:t>To find available images you can use the multipass find command, which will produce a list like this:</w:t>
      </w:r>
    </w:p>
    <w:p>
      <w:pPr>
        <w:pStyle w:val="Normal"/>
      </w:pPr>
      <w:r>
        <w:t>Image</w:t>
        <w:t xml:space="preserve"> </w:t>
        <w:t>Aliases</w:t>
        <w:t xml:space="preserve"> </w:t>
        <w:t>Version</w:t>
        <w:t xml:space="preserve"> </w:t>
        <w:t>Description</w:t>
        <w:t xml:space="preserve"> </w:t>
        <w:t>snapcraft:core18</w:t>
        <w:t xml:space="preserve"> </w:t>
        <w:t>18.04</w:t>
        <w:t xml:space="preserve"> </w:t>
        <w:t>20201111</w:t>
        <w:t xml:space="preserve"> </w:t>
        <w:t>Snapcraft builder for Core</w:t>
        <w:t xml:space="preserve"> </w:t>
        <w:t>18</w:t>
      </w:r>
    </w:p>
    <w:p>
      <w:pPr>
        <w:pStyle w:val="Normal"/>
      </w:pPr>
      <w:r>
        <w:t>snapcraft:core20</w:t>
        <w:t xml:space="preserve"> </w:t>
        <w:t>20.04</w:t>
        <w:t xml:space="preserve"> </w:t>
        <w:t>20210921</w:t>
        <w:t xml:space="preserve"> </w:t>
        <w:t>Snapcraft builder for Core</w:t>
        <w:t xml:space="preserve"> </w:t>
        <w:t>20</w:t>
      </w:r>
    </w:p>
    <w:p>
      <w:pPr>
        <w:pStyle w:val="Normal"/>
      </w:pPr>
      <w:r>
        <w:t>snapcraft:core22</w:t>
        <w:t xml:space="preserve"> </w:t>
        <w:t>22.04</w:t>
        <w:t xml:space="preserve"> </w:t>
        <w:t>20220426</w:t>
        <w:t xml:space="preserve"> </w:t>
        <w:t>Snapcraft builder for Core</w:t>
        <w:t xml:space="preserve"> </w:t>
        <w:t>22</w:t>
      </w:r>
    </w:p>
    <w:p>
      <w:pPr>
        <w:pStyle w:val="Normal"/>
      </w:pPr>
      <w:r>
        <w:t>snapcraft:devel</w:t>
        <w:t xml:space="preserve"> </w:t>
        <w:t>20221128</w:t>
        <w:t xml:space="preserve"> </w:t>
        <w:t>Snapcraft builder for the</w:t>
        <w:t xml:space="preserve"> </w:t>
        <w:t>devel series</w:t>
      </w:r>
    </w:p>
    <w:p>
      <w:pPr>
        <w:pStyle w:val="Normal"/>
      </w:pPr>
      <w:r>
        <w:t>core</w:t>
        <w:t xml:space="preserve"> </w:t>
        <w:t>core16</w:t>
        <w:t xml:space="preserve"> </w:t>
        <w:t>20200818</w:t>
        <w:t xml:space="preserve"> </w:t>
        <w:t>Ubuntu Core 16</w:t>
        <w:t xml:space="preserve"> </w:t>
        <w:t>core18</w:t>
        <w:t xml:space="preserve"> </w:t>
        <w:t>20211124</w:t>
        <w:t xml:space="preserve"> </w:t>
        <w:t>Ubuntu Core 18</w:t>
        <w:t xml:space="preserve"> </w:t>
        <w:t>18.04</w:t>
        <w:t xml:space="preserve"> </w:t>
        <w:t>bionic</w:t>
        <w:t xml:space="preserve"> </w:t>
        <w:t>20221117</w:t>
        <w:t xml:space="preserve"> </w:t>
        <w:t>Ubuntu 18.04 LTS</w:t>
        <w:t xml:space="preserve"> </w:t>
        <w:t>20.04</w:t>
        <w:t xml:space="preserve"> </w:t>
        <w:t>focal</w:t>
        <w:t xml:space="preserve"> </w:t>
        <w:t>20221115.1</w:t>
        <w:t xml:space="preserve"> </w:t>
        <w:t>Ubuntu 20.04 LTS</w:t>
        <w:t xml:space="preserve"> </w:t>
        <w:t>22.04</w:t>
        <w:t xml:space="preserve"> </w:t>
        <w:t>jammy,lts</w:t>
        <w:t xml:space="preserve"> </w:t>
        <w:t>20221117</w:t>
        <w:t xml:space="preserve"> </w:t>
        <w:t>Ubuntu 22.04 LTS</w:t>
        <w:t xml:space="preserve"> </w:t>
        <w:t>22.10</w:t>
        <w:t xml:space="preserve"> </w:t>
        <w:t>kinetic</w:t>
        <w:t xml:space="preserve"> </w:t>
        <w:t>20221101</w:t>
        <w:t xml:space="preserve"> </w:t>
        <w:t>Ubuntu 22.10</w:t>
        <w:t xml:space="preserve"> </w:t>
        <w:t>daily:23.04</w:t>
        <w:t xml:space="preserve"> </w:t>
        <w:t>devel,lunar</w:t>
        <w:t xml:space="preserve"> </w:t>
        <w:t>20221127</w:t>
        <w:t xml:space="preserve"> </w:t>
        <w:t>Ubuntu 23.04</w:t>
        <w:t xml:space="preserve"> </w:t>
        <w:t>appliance:adguard-home</w:t>
        <w:t xml:space="preserve"> </w:t>
        <w:t>20200812</w:t>
        <w:t xml:space="preserve"> </w:t>
        <w:t>Ubuntu AdGuard Home</w:t>
        <w:t xml:space="preserve"> </w:t>
        <w:t>Appliance</w:t>
      </w:r>
    </w:p>
    <w:p>
      <w:pPr>
        <w:pStyle w:val="Normal"/>
      </w:pPr>
      <w:r>
        <w:t>appliance:mosquitto</w:t>
        <w:t xml:space="preserve"> </w:t>
        <w:t>20200812</w:t>
        <w:t xml:space="preserve"> </w:t>
        <w:t>Ubuntu Mosquitto Appliance</w:t>
        <w:t xml:space="preserve"> </w:t>
        <w:t>appliance:nextcloud</w:t>
        <w:t xml:space="preserve"> </w:t>
        <w:t>20200812</w:t>
        <w:t xml:space="preserve"> </w:t>
        <w:t>Ubuntu Nextcloud Appliance</w:t>
        <w:t xml:space="preserve"> </w:t>
        <w:t>appliance:openhab</w:t>
        <w:t xml:space="preserve"> </w:t>
        <w:t>20200812</w:t>
        <w:t xml:space="preserve"> </w:t>
        <w:t>Ubuntu openHAB Home</w:t>
        <w:t xml:space="preserve"> </w:t>
        <w:t>Appliance</w:t>
      </w:r>
    </w:p>
    <w:p>
      <w:pPr>
        <w:pStyle w:val="Normal"/>
      </w:pPr>
      <w:r>
        <w:t>appliance:plexmediaserver</w:t>
        <w:t xml:space="preserve"> </w:t>
        <w:t>20200812</w:t>
        <w:t xml:space="preserve"> </w:t>
        <w:t>Ubuntu Plex Media Server</w:t>
        <w:t xml:space="preserve"> </w:t>
        <w:t>Appliance</w:t>
      </w:r>
    </w:p>
    <w:p>
      <w:pPr>
        <w:pStyle w:val="Normal"/>
      </w:pPr>
      <w:r>
        <w:t>anbox-cloud-appliance</w:t>
        <w:t xml:space="preserve"> </w:t>
        <w:t>latest</w:t>
        <w:t xml:space="preserve"> </w:t>
        <w:t>Anbox Cloud Appliance</w:t>
        <w:t xml:space="preserve"> </w:t>
        <w:t>charm-dev</w:t>
        <w:t xml:space="preserve"> </w:t>
        <w:t>latest</w:t>
        <w:t xml:space="preserve"> </w:t>
        <w:t>A development and testing</w:t>
        <w:t xml:space="preserve"> </w:t>
        <w:t>environment for charmers</w:t>
      </w:r>
    </w:p>
    <w:p>
      <w:pPr>
        <w:pStyle w:val="Normal"/>
      </w:pPr>
      <w:r>
        <w:t>docker</w:t>
        <w:t xml:space="preserve"> </w:t>
        <w:t>latest</w:t>
        <w:t xml:space="preserve"> </w:t>
        <w:t>A Docker environment with</w:t>
        <w:t xml:space="preserve"> </w:t>
        <w:t>Portainer and related tools</w:t>
      </w:r>
    </w:p>
    <w:p>
      <w:pPr>
        <w:pStyle w:val="Normal"/>
      </w:pPr>
      <w:r>
        <w:t>jellyfin</w:t>
        <w:t xml:space="preserve"> </w:t>
        <w:t>latest</w:t>
        <w:t xml:space="preserve"> </w:t>
        <w:t>Jellyfin is a Free Software</w:t>
        <w:t xml:space="preserve"> </w:t>
        <w:t>Media System that puts you in control of managing and streaming your media.</w:t>
      </w:r>
    </w:p>
    <w:p>
      <w:pPr>
        <w:pStyle w:val="Para 09"/>
      </w:pPr>
      <w:r>
        <w:t>(continues on next page)</w:t>
      </w:r>
    </w:p>
    <w:p>
      <w:pPr>
        <w:pStyle w:val="Para 05"/>
      </w:pPr>
      <w:r>
        <w:rPr>
          <w:rStyle w:val="Text5"/>
        </w:rPr>
        <w:t>533</w:t>
      </w:r>
      <w:r>
        <w:rPr>
          <w:rStyle w:val="Text8"/>
        </w:rPr>
        <w:t xml:space="preserve"> </w:t>
      </w:r>
      <w:r>
        <w:t>https://canonical.com/multipass</w:t>
      </w:r>
    </w:p>
    <w:p>
      <w:bookmarkStart w:id="818" w:name="page_5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1" name="index-542_1.png" descr="index-542_1.png"/>
            <wp:cNvGraphicFramePr>
              <a:graphicFrameLocks noChangeAspect="1"/>
            </wp:cNvGraphicFramePr>
            <a:graphic>
              <a:graphicData uri="http://schemas.openxmlformats.org/drawingml/2006/picture">
                <pic:pic>
                  <pic:nvPicPr>
                    <pic:cNvPr id="0" name="index-542_1.png" descr="index-542_1.png"/>
                    <pic:cNvPicPr/>
                  </pic:nvPicPr>
                  <pic:blipFill>
                    <a:blip r:embed="rId555"/>
                    <a:stretch>
                      <a:fillRect/>
                    </a:stretch>
                  </pic:blipFill>
                  <pic:spPr>
                    <a:xfrm>
                      <a:off x="0" y="0"/>
                      <a:ext cx="914400" cy="266700"/>
                    </a:xfrm>
                    <a:prstGeom prst="rect">
                      <a:avLst/>
                    </a:prstGeom>
                  </pic:spPr>
                </pic:pic>
              </a:graphicData>
            </a:graphic>
          </wp:anchor>
        </w:drawing>
      </w:r>
      <w:bookmarkEnd w:id="818"/>
    </w:p>
    <w:p>
      <w:pPr>
        <w:pStyle w:val="Para 09"/>
      </w:pPr>
      <w:r>
        <w:t>(continued from previous page)</w:t>
      </w:r>
    </w:p>
    <w:p>
      <w:pPr>
        <w:pStyle w:val="Normal"/>
      </w:pPr>
      <w:r>
        <w:t>minikube</w:t>
        <w:t xml:space="preserve"> </w:t>
        <w:t>latest</w:t>
        <w:t xml:space="preserve"> </w:t>
        <w:t>minikube is local</w:t>
        <w:t xml:space="preserve"> </w:t>
        <w:t>Kubernetes</w:t>
      </w:r>
    </w:p>
    <w:p>
      <w:pPr>
        <w:pStyle w:val="Para 17"/>
      </w:pPr>
      <w:r>
        <w:t/>
      </w:r>
    </w:p>
    <w:p>
      <w:pPr>
        <w:pStyle w:val="Para 01"/>
      </w:pPr>
      <w:r>
        <w:t>Launch a fresh instance of the Ubuntu Jammy (22.04) LTS</w:t>
      </w:r>
    </w:p>
    <w:p>
      <w:pPr>
        <w:pStyle w:val="Para 17"/>
      </w:pPr>
      <w:r>
        <w:t/>
      </w:r>
    </w:p>
    <w:p>
      <w:pPr>
        <w:pStyle w:val="Normal"/>
      </w:pPr>
      <w:r>
        <w:t>You can launch a fresh instance by specifying either the image name from the list (in this example, 22.04) or using an alias, if the image has one.</w:t>
      </w:r>
    </w:p>
    <w:p>
      <w:pPr>
        <w:pStyle w:val="Normal"/>
      </w:pPr>
      <w:r>
        <w:t>$ multipass launch</w:t>
        <w:t xml:space="preserve"> </w:t>
        <w:t>22</w:t>
        <w:t>.04</w:t>
      </w:r>
    </w:p>
    <w:p>
      <w:pPr>
        <w:pStyle w:val="Normal"/>
      </w:pPr>
      <w:r>
        <w:t>Launched: cleansing-guanaco</w:t>
      </w:r>
    </w:p>
    <w:p>
      <w:pPr>
        <w:pStyle w:val="Para 17"/>
      </w:pPr>
      <w:r>
        <w:t/>
      </w:r>
    </w:p>
    <w:p>
      <w:pPr>
        <w:pStyle w:val="Normal"/>
      </w:pPr>
      <w:r>
        <w:t>This command is equivalent to: multipass launch jammy or multipass launch lts in the list above. It will launch an instance based on the specified image, and provide it with a random name – in this case, cleansing-guanaco.</w:t>
      </w:r>
    </w:p>
    <w:p>
      <w:pPr>
        <w:pStyle w:val="Para 17"/>
      </w:pPr>
      <w:r>
        <w:t/>
      </w:r>
    </w:p>
    <w:p>
      <w:pPr>
        <w:pStyle w:val="Para 01"/>
      </w:pPr>
      <w:r>
        <w:t>Check out the running instances</w:t>
      </w:r>
    </w:p>
    <w:p>
      <w:pPr>
        <w:pStyle w:val="Para 17"/>
      </w:pPr>
      <w:r>
        <w:t/>
      </w:r>
    </w:p>
    <w:p>
      <w:pPr>
        <w:pStyle w:val="Normal"/>
      </w:pPr>
      <w:r>
        <w:t>You can check out the currently running instance(s) by using the multipass list command:</w:t>
      </w:r>
    </w:p>
    <w:p>
      <w:pPr>
        <w:pStyle w:val="Normal"/>
      </w:pPr>
      <w:r>
        <w:t>$ multipass list</w:t>
      </w:r>
    </w:p>
    <w:p>
      <w:pPr>
        <w:pStyle w:val="Normal"/>
      </w:pPr>
      <w:r>
        <w:t>Name</w:t>
        <w:t xml:space="preserve"> </w:t>
        <w:t>State</w:t>
        <w:t xml:space="preserve"> </w:t>
        <w:t>IPv4</w:t>
        <w:t xml:space="preserve"> </w:t>
        <w:t>Image</w:t>
        <w:t xml:space="preserve"> </w:t>
        <w:t>cleansing-guanaco</w:t>
        <w:t xml:space="preserve"> </w:t>
        <w:t>Running</w:t>
        <w:t xml:space="preserve"> </w:t>
        <w:t>10</w:t>
        <w:t>.140.26.17</w:t>
        <w:t xml:space="preserve"> </w:t>
        <w:t>Ubuntu</w:t>
        <w:t xml:space="preserve"> </w:t>
        <w:t>22</w:t>
        <w:t>.04 LTS</w:t>
      </w:r>
    </w:p>
    <w:p>
      <w:pPr>
        <w:pStyle w:val="Para 17"/>
      </w:pPr>
      <w:r>
        <w:t/>
      </w:r>
    </w:p>
    <w:p>
      <w:pPr>
        <w:pStyle w:val="Para 01"/>
      </w:pPr>
      <w:r>
        <w:t>Learn more about the VM instance you just launched</w:t>
      </w:r>
    </w:p>
    <w:p>
      <w:pPr>
        <w:pStyle w:val="Para 17"/>
      </w:pPr>
      <w:r>
        <w:t/>
      </w:r>
    </w:p>
    <w:p>
      <w:pPr>
        <w:pStyle w:val="Normal"/>
      </w:pPr>
      <w:r>
        <w:t>You can use the multipass info command to find out more details about the VM instance parameters:</w:t>
      </w:r>
    </w:p>
    <w:p>
      <w:pPr>
        <w:pStyle w:val="Normal"/>
      </w:pPr>
      <w:r>
        <w:t>$ multipass info cleansing-guanaco</w:t>
      </w:r>
    </w:p>
    <w:p>
      <w:pPr>
        <w:pStyle w:val="Normal"/>
      </w:pPr>
      <w:r>
        <w:t>Name:</w:t>
        <w:t xml:space="preserve"> </w:t>
        <w:t>cleansing-guanaco</w:t>
      </w:r>
    </w:p>
    <w:p>
      <w:pPr>
        <w:pStyle w:val="Normal"/>
      </w:pPr>
      <w:r>
        <w:t>State:</w:t>
        <w:t xml:space="preserve"> </w:t>
        <w:t>Running</w:t>
      </w:r>
    </w:p>
    <w:p>
      <w:pPr>
        <w:pStyle w:val="Normal"/>
      </w:pPr>
      <w:r>
        <w:t>IPv4:</w:t>
        <w:t xml:space="preserve"> </w:t>
        <w:t>10</w:t>
        <w:t>.140.26.17</w:t>
      </w:r>
    </w:p>
    <w:p>
      <w:pPr>
        <w:pStyle w:val="Normal"/>
      </w:pPr>
      <w:r>
        <w:t>Release:</w:t>
        <w:t xml:space="preserve"> </w:t>
        <w:t>Ubuntu</w:t>
        <w:t xml:space="preserve"> </w:t>
        <w:t>22</w:t>
        <w:t>.04.1 LTS</w:t>
      </w:r>
    </w:p>
    <w:p>
      <w:pPr>
        <w:pStyle w:val="Normal"/>
      </w:pPr>
      <w:r>
        <w:t>Image hash:</w:t>
        <w:t xml:space="preserve"> </w:t>
        <w:t>dc5b5a43c267</w:t>
        <w:t xml:space="preserve"> </w:t>
        <w:t>(</w:t>
        <w:t>Ubuntu</w:t>
        <w:t xml:space="preserve"> </w:t>
        <w:t>22</w:t>
        <w:t>.04 LTS</w:t>
        <w:t>)</w:t>
        <w:t xml:space="preserve"> </w:t>
        <w:t>Load:</w:t>
        <w:t xml:space="preserve"> </w:t>
        <w:t>0</w:t>
        <w:t>.45</w:t>
        <w:t xml:space="preserve"> </w:t>
        <w:t>0</w:t>
        <w:t>.19</w:t>
        <w:t xml:space="preserve"> </w:t>
        <w:t>0</w:t>
        <w:t>.07</w:t>
      </w:r>
    </w:p>
    <w:p>
      <w:pPr>
        <w:pStyle w:val="Normal"/>
      </w:pPr>
      <w:r>
        <w:t>Disk usage:</w:t>
        <w:t xml:space="preserve"> </w:t>
        <w:t>1</w:t>
        <w:t>.4G out of</w:t>
        <w:t xml:space="preserve"> </w:t>
        <w:t>4</w:t>
        <w:t>.7G</w:t>
      </w:r>
    </w:p>
    <w:p>
      <w:pPr>
        <w:pStyle w:val="Normal"/>
      </w:pPr>
      <w:r>
        <w:t>Memory usage:</w:t>
        <w:t xml:space="preserve"> </w:t>
        <w:t>168</w:t>
        <w:t>.3M out of</w:t>
        <w:t xml:space="preserve"> </w:t>
        <w:t>969</w:t>
        <w:t>.5M</w:t>
      </w:r>
    </w:p>
    <w:p>
      <w:pPr>
        <w:pStyle w:val="Normal"/>
      </w:pPr>
      <w:r>
        <w:t>Mounts:</w:t>
        <w:t xml:space="preserve"> </w:t>
        <w:t>--</w:t>
      </w:r>
    </w:p>
    <w:p>
      <w:bookmarkStart w:id="819" w:name="calibre_pb_138"/>
      <w:pPr>
        <w:pStyle w:val="0 Block"/>
      </w:pPr>
      <w:bookmarkEnd w:id="819"/>
    </w:p>
    <w:p>
      <w:bookmarkStart w:id="820" w:name="Top_of_index_split_139_html"/>
      <w:bookmarkStart w:id="821" w:name="page_54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2" name="index-543_1.png" descr="index-543_1.png"/>
            <wp:cNvGraphicFramePr>
              <a:graphicFrameLocks noChangeAspect="1"/>
            </wp:cNvGraphicFramePr>
            <a:graphic>
              <a:graphicData uri="http://schemas.openxmlformats.org/drawingml/2006/picture">
                <pic:pic>
                  <pic:nvPicPr>
                    <pic:cNvPr id="0" name="index-543_1.png" descr="index-543_1.png"/>
                    <pic:cNvPicPr/>
                  </pic:nvPicPr>
                  <pic:blipFill>
                    <a:blip r:embed="rId556"/>
                    <a:stretch>
                      <a:fillRect/>
                    </a:stretch>
                  </pic:blipFill>
                  <pic:spPr>
                    <a:xfrm>
                      <a:off x="0" y="0"/>
                      <a:ext cx="914400" cy="266700"/>
                    </a:xfrm>
                    <a:prstGeom prst="rect">
                      <a:avLst/>
                    </a:prstGeom>
                  </pic:spPr>
                </pic:pic>
              </a:graphicData>
            </a:graphic>
          </wp:anchor>
        </w:drawing>
      </w:r>
      <w:bookmarkEnd w:id="820"/>
      <w:bookmarkEnd w:id="821"/>
    </w:p>
    <w:p>
      <w:pPr>
        <w:pStyle w:val="Para 01"/>
      </w:pPr>
      <w:r>
        <w:t>Connect to a running instance</w:t>
      </w:r>
    </w:p>
    <w:p>
      <w:pPr>
        <w:pStyle w:val="Para 17"/>
      </w:pPr>
      <w:r>
        <w:t/>
      </w:r>
    </w:p>
    <w:p>
      <w:pPr>
        <w:pStyle w:val="Normal"/>
      </w:pPr>
      <w:r>
        <w:t>To enter the VM you created, use the shell command:</w:t>
      </w:r>
    </w:p>
    <w:p>
      <w:pPr>
        <w:pStyle w:val="Normal"/>
      </w:pPr>
      <w:r>
        <w:t>$ multipass shell cleansing-guanaco</w:t>
      </w:r>
    </w:p>
    <w:p>
      <w:pPr>
        <w:pStyle w:val="Normal"/>
      </w:pPr>
      <w:r>
        <w:t>Welcome to Ubuntu</w:t>
        <w:t xml:space="preserve"> </w:t>
        <w:t>22</w:t>
        <w:t>.04.1 LTS</w:t>
        <w:t xml:space="preserve"> </w:t>
        <w:t>(</w:t>
        <w:t>GNU/Linux</w:t>
        <w:t xml:space="preserve"> </w:t>
        <w:t>5</w:t>
        <w:t>.15.0-53-generic x86_64</w:t>
        <w:t>)</w:t>
        <w:t xml:space="preserve"> </w:t>
        <w:t>(</w:t>
        <w:t>...</w:t>
        <w:t>)</w:t>
      </w:r>
    </w:p>
    <w:p>
      <w:pPr>
        <w:pStyle w:val="Normal"/>
      </w:pPr>
      <w:r>
        <w:t>ubuntu@cleansing-guanaco:~$</w:t>
      </w:r>
    </w:p>
    <w:p>
      <w:pPr>
        <w:pStyle w:val="Para 17"/>
      </w:pPr>
      <w:r>
        <w:t/>
      </w:r>
    </w:p>
    <w:p>
      <w:pPr>
        <w:pStyle w:val="Para 01"/>
      </w:pPr>
      <w:r>
        <w:t>Disconnect from the instance</w:t>
      </w:r>
    </w:p>
    <w:p>
      <w:pPr>
        <w:pStyle w:val="Para 17"/>
      </w:pPr>
      <w:r>
        <w:t/>
      </w:r>
    </w:p>
    <w:p>
      <w:pPr>
        <w:pStyle w:val="Normal"/>
      </w:pPr>
      <w:r>
        <w:t>Don’t forget to log out (or Ctrl + D) when you are done, or you may find yourself heading all the way down the Inception levels…</w:t>
      </w:r>
    </w:p>
    <w:p>
      <w:pPr>
        <w:pStyle w:val="Para 17"/>
      </w:pPr>
      <w:r>
        <w:t/>
      </w:r>
    </w:p>
    <w:p>
      <w:pPr>
        <w:pStyle w:val="Para 01"/>
      </w:pPr>
      <w:r>
        <w:t>Run commands inside an instance from outside</w:t>
      </w:r>
    </w:p>
    <w:p>
      <w:pPr>
        <w:pStyle w:val="Para 17"/>
      </w:pPr>
      <w:r>
        <w:t/>
      </w:r>
    </w:p>
    <w:p>
      <w:pPr>
        <w:pStyle w:val="Normal"/>
      </w:pPr>
      <w:r>
        <w:t>$ multipass</w:t>
        <w:t xml:space="preserve"> </w:t>
        <w:t>exec</w:t>
        <w:t xml:space="preserve"> </w:t>
        <w:t>cleansing-guanaco -- lsb_release -a</w:t>
        <w:t xml:space="preserve"> </w:t>
        <w:t>No LSB modules are available.</w:t>
      </w:r>
    </w:p>
    <w:p>
      <w:pPr>
        <w:pStyle w:val="Normal"/>
      </w:pPr>
      <w:r>
        <w:t>Distributor ID:</w:t>
        <w:t xml:space="preserve"> </w:t>
        <w:t>Ubuntu</w:t>
      </w:r>
    </w:p>
    <w:p>
      <w:pPr>
        <w:pStyle w:val="Normal"/>
      </w:pPr>
      <w:r>
        <w:t>Description:</w:t>
        <w:t xml:space="preserve"> </w:t>
        <w:t>Ubuntu</w:t>
        <w:t xml:space="preserve"> </w:t>
        <w:t>22</w:t>
        <w:t>.04.1 LTS</w:t>
      </w:r>
    </w:p>
    <w:p>
      <w:pPr>
        <w:pStyle w:val="Normal"/>
      </w:pPr>
      <w:r>
        <w:t>Release:</w:t>
        <w:t xml:space="preserve"> </w:t>
        <w:t>22</w:t>
        <w:t>.04</w:t>
      </w:r>
    </w:p>
    <w:p>
      <w:pPr>
        <w:pStyle w:val="Normal"/>
      </w:pPr>
      <w:r>
        <w:t>Codename:</w:t>
        <w:t xml:space="preserve"> </w:t>
        <w:t>jammy</w:t>
      </w:r>
    </w:p>
    <w:p>
      <w:pPr>
        <w:pStyle w:val="Para 17"/>
      </w:pPr>
      <w:r>
        <w:t/>
      </w:r>
    </w:p>
    <w:p>
      <w:pPr>
        <w:pStyle w:val="Para 01"/>
      </w:pPr>
      <w:r>
        <w:t>Stop or start an instance</w:t>
      </w:r>
    </w:p>
    <w:p>
      <w:pPr>
        <w:pStyle w:val="Para 17"/>
      </w:pPr>
      <w:r>
        <w:t/>
      </w:r>
    </w:p>
    <w:p>
      <w:pPr>
        <w:pStyle w:val="Normal"/>
      </w:pPr>
      <w:r>
        <w:t>You can stop an instance to save resources using the stop command:</w:t>
      </w:r>
    </w:p>
    <w:p>
      <w:pPr>
        <w:pStyle w:val="Normal"/>
      </w:pPr>
      <w:r>
        <w:t>$ multipass stop cleansing-guanaco</w:t>
      </w:r>
    </w:p>
    <w:p>
      <w:pPr>
        <w:pStyle w:val="Para 17"/>
      </w:pPr>
      <w:r>
        <w:t/>
      </w:r>
    </w:p>
    <w:p>
      <w:pPr>
        <w:pStyle w:val="Normal"/>
      </w:pPr>
      <w:r>
        <w:t>You can start it back up again using the start command:</w:t>
      </w:r>
    </w:p>
    <w:p>
      <w:pPr>
        <w:pStyle w:val="Normal"/>
      </w:pPr>
      <w:r>
        <w:t>$ multipass start cleansing-guanaco</w:t>
      </w:r>
    </w:p>
    <w:p>
      <w:pPr>
        <w:pStyle w:val="Para 17"/>
      </w:pPr>
      <w:r>
        <w:t/>
      </w:r>
    </w:p>
    <w:p>
      <w:pPr>
        <w:pStyle w:val="Para 01"/>
      </w:pPr>
      <w:r>
        <w:t>Delete the instance</w:t>
      </w:r>
    </w:p>
    <w:p>
      <w:pPr>
        <w:pStyle w:val="Para 17"/>
      </w:pPr>
      <w:r>
        <w:t/>
      </w:r>
    </w:p>
    <w:p>
      <w:pPr>
        <w:pStyle w:val="Normal"/>
      </w:pPr>
      <w:r>
        <w:t>Once you are finished with the instance, you can delete it as follows:</w:t>
      </w:r>
    </w:p>
    <w:p>
      <w:pPr>
        <w:pStyle w:val="Normal"/>
      </w:pPr>
      <w:r>
        <w:t>$ multipass delete cleansing-guanaco</w:t>
      </w:r>
    </w:p>
    <w:p>
      <w:pPr>
        <w:pStyle w:val="Para 17"/>
      </w:pPr>
      <w:r>
        <w:t/>
      </w:r>
    </w:p>
    <w:p>
      <w:pPr>
        <w:pStyle w:val="Normal"/>
      </w:pPr>
      <w:r>
        <w:t>It will now show up as deleted when you use the list command:</w:t>
      </w:r>
    </w:p>
    <w:p>
      <w:pPr>
        <w:pStyle w:val="Normal"/>
      </w:pPr>
      <w:r>
        <w:t>$ multipass list</w:t>
      </w:r>
    </w:p>
    <w:p>
      <w:pPr>
        <w:pStyle w:val="Normal"/>
      </w:pPr>
      <w:r>
        <w:t>Name</w:t>
        <w:t xml:space="preserve"> </w:t>
        <w:t>State</w:t>
        <w:t xml:space="preserve"> </w:t>
        <w:t>IPv4</w:t>
        <w:t xml:space="preserve"> </w:t>
        <w:t>Image</w:t>
        <w:t xml:space="preserve"> </w:t>
        <w:t>cleansing-guanaco</w:t>
        <w:t xml:space="preserve"> </w:t>
        <w:t>Deleted</w:t>
        <w:t xml:space="preserve"> </w:t>
        <w:t>--</w:t>
        <w:t xml:space="preserve"> </w:t>
        <w:t>Not Available</w:t>
      </w:r>
    </w:p>
    <w:p>
      <w:pPr>
        <w:pStyle w:val="Para 17"/>
      </w:pPr>
      <w:r>
        <w:t/>
      </w:r>
    </w:p>
    <w:p>
      <w:pPr>
        <w:pStyle w:val="Normal"/>
      </w:pPr>
      <w:r>
        <w:t>And when you want to completely get rid of it (and any other deleted instances), you can use the purge command:</w:t>
      </w:r>
    </w:p>
    <w:p>
      <w:bookmarkStart w:id="822" w:name="page_5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3" name="index-544_1.png" descr="index-544_1.png"/>
            <wp:cNvGraphicFramePr>
              <a:graphicFrameLocks noChangeAspect="1"/>
            </wp:cNvGraphicFramePr>
            <a:graphic>
              <a:graphicData uri="http://schemas.openxmlformats.org/drawingml/2006/picture">
                <pic:pic>
                  <pic:nvPicPr>
                    <pic:cNvPr id="0" name="index-544_1.png" descr="index-544_1.png"/>
                    <pic:cNvPicPr/>
                  </pic:nvPicPr>
                  <pic:blipFill>
                    <a:blip r:embed="rId557"/>
                    <a:stretch>
                      <a:fillRect/>
                    </a:stretch>
                  </pic:blipFill>
                  <pic:spPr>
                    <a:xfrm>
                      <a:off x="0" y="0"/>
                      <a:ext cx="914400" cy="266700"/>
                    </a:xfrm>
                    <a:prstGeom prst="rect">
                      <a:avLst/>
                    </a:prstGeom>
                  </pic:spPr>
                </pic:pic>
              </a:graphicData>
            </a:graphic>
          </wp:anchor>
        </w:drawing>
      </w:r>
      <w:bookmarkEnd w:id="822"/>
    </w:p>
    <w:p>
      <w:pPr>
        <w:pStyle w:val="Normal"/>
      </w:pPr>
      <w:r>
        <w:t>$ multipass purge</w:t>
      </w:r>
    </w:p>
    <w:p>
      <w:pPr>
        <w:pStyle w:val="Para 17"/>
      </w:pPr>
      <w:r>
        <w:t/>
      </w:r>
    </w:p>
    <w:p>
      <w:pPr>
        <w:pStyle w:val="Normal"/>
      </w:pPr>
      <w:r>
        <w:t>Which we can check again using list:</w:t>
      </w:r>
    </w:p>
    <w:p>
      <w:pPr>
        <w:pStyle w:val="Normal"/>
      </w:pPr>
      <w:r>
        <w:t>$ multipass list</w:t>
      </w:r>
    </w:p>
    <w:p>
      <w:pPr>
        <w:pStyle w:val="Normal"/>
      </w:pPr>
      <w:r>
        <w:t>No instances found.</w:t>
      </w:r>
    </w:p>
    <w:p>
      <w:pPr>
        <w:pStyle w:val="Para 17"/>
      </w:pPr>
      <w:r>
        <w:t/>
      </w:r>
    </w:p>
    <w:p>
      <w:pPr>
        <w:pStyle w:val="Para 01"/>
      </w:pPr>
      <w:r>
        <w:t>Integrate with the rest of your virtualisation</w:t>
      </w:r>
    </w:p>
    <w:p>
      <w:pPr>
        <w:pStyle w:val="Para 17"/>
      </w:pPr>
      <w:r>
        <w:t/>
      </w:r>
    </w:p>
    <w:p>
      <w:pPr>
        <w:pStyle w:val="Normal"/>
      </w:pPr>
      <w:r>
        <w:t xml:space="preserve">If you already have a hypervisor interacting with </w:t>
      </w:r>
      <w:hyperlink w:anchor="page_564">
        <w:r>
          <w:rPr>
            <w:rStyle w:val="Text2"/>
          </w:rPr>
          <w:t>Libvirt</w:t>
        </w:r>
      </w:hyperlink>
      <w:r>
        <w:t xml:space="preserve"> (page 563), such as </w:t>
      </w:r>
      <w:hyperlink w:anchor="page_701">
        <w:r>
          <w:rPr>
            <w:rStyle w:val="Text2"/>
          </w:rPr>
          <w:t>QEMU</w:t>
        </w:r>
      </w:hyperlink>
      <w:r>
        <w:t xml:space="preserve">, </w:t>
      </w:r>
      <w:hyperlink w:anchor="page_692">
        <w:r>
          <w:rPr>
            <w:rStyle w:val="Text2"/>
          </w:rPr>
          <w:t>KVM</w:t>
        </w:r>
      </w:hyperlink>
      <w:r>
        <w:t>, or</w:t>
      </w:r>
    </w:p>
    <w:p>
      <w:pPr>
        <w:pStyle w:val="Normal"/>
      </w:pPr>
      <w:hyperlink w:anchor="page_681">
        <w:r>
          <w:rPr>
            <w:rStyle w:val="Text2"/>
          </w:rPr>
          <w:t>ESXi</w:t>
        </w:r>
      </w:hyperlink>
      <w:r>
        <w:t xml:space="preserve"> </w:t>
      </w:r>
      <w:hyperlink w:anchor="page_544">
        <w:r>
          <w:rPr>
            <w:rStyle w:val="Text9"/>
          </w:rPr>
          <w:t>534</w:t>
        </w:r>
      </w:hyperlink>
      <w:r>
        <w:t xml:space="preserve"> , you might be managing virtual machines through tools like </w:t>
      </w:r>
      <w:hyperlink r:id="rId1470">
        <w:r>
          <w:rPr>
            <w:rStyle w:val="Text1"/>
          </w:rPr>
          <w:t>virt-manager</w:t>
        </w:r>
      </w:hyperlink>
      <w:r>
        <w:t xml:space="preserve"> or the older</w:t>
      </w:r>
    </w:p>
    <w:p>
      <w:pPr>
        <w:pStyle w:val="Normal"/>
      </w:pPr>
      <w:hyperlink w:anchor="page_545">
        <w:r>
          <w:rPr>
            <w:rStyle w:val="Text2"/>
          </w:rPr>
          <w:t>uvtool</w:t>
        </w:r>
      </w:hyperlink>
      <w:r>
        <w:t xml:space="preserve"> (page 544).</w:t>
      </w:r>
    </w:p>
    <w:p>
      <w:pPr>
        <w:pStyle w:val="Normal"/>
      </w:pPr>
      <w:r>
        <w:t>In that case, integrating Multipass with your existing setup would allow VMs to share the same network bridge for communication and be managed using virsh. However, Multipass runs as a headless system, so you don’t have direct GUI access through virt-viewer. Follow</w:t>
      </w:r>
    </w:p>
    <w:p>
      <w:pPr>
        <w:pStyle w:val="Normal"/>
      </w:pPr>
      <w:r>
        <w:t xml:space="preserve">this </w:t>
      </w:r>
      <w:hyperlink r:id="rId1471">
        <w:r>
          <w:rPr>
            <w:rStyle w:val="Text9"/>
          </w:rPr>
          <w:t>535</w:t>
        </w:r>
      </w:hyperlink>
      <w:hyperlink r:id="rId1471">
        <w:r>
          <w:rPr>
            <w:rStyle w:val="Text1"/>
          </w:rPr>
          <w:t xml:space="preserve"> guide</w:t>
        </w:r>
      </w:hyperlink>
      <w:r>
        <w:t xml:space="preserve"> to set up a GUI.</w:t>
      </w:r>
    </w:p>
    <w:p>
      <w:pPr>
        <w:pStyle w:val="Normal"/>
      </w:pPr>
      <w:r>
        <w:t>To begin, integrate Multipass into your existing setup by selecting libvirt as your local driver:</w:t>
      </w:r>
    </w:p>
    <w:p>
      <w:pPr>
        <w:pStyle w:val="Normal"/>
      </w:pPr>
      <w:r>
        <w:t>$ sudo multipass</w:t>
        <w:t xml:space="preserve"> </w:t>
        <w:t>set</w:t>
        <w:t xml:space="preserve"> </w:t>
        <w:t>local.driver</w:t>
        <w:t>=</w:t>
        <w:t>libvirt</w:t>
      </w:r>
    </w:p>
    <w:p>
      <w:pPr>
        <w:pStyle w:val="Para 17"/>
      </w:pPr>
      <w:r>
        <w:t/>
      </w:r>
    </w:p>
    <w:p>
      <w:pPr>
        <w:pStyle w:val="Para 08"/>
      </w:pPr>
      <w:r>
        <w:t>Note:</w:t>
      </w:r>
    </w:p>
    <w:p>
      <w:pPr>
        <w:pStyle w:val="Para 03"/>
      </w:pPr>
      <w:r>
        <w:t>If you are having issues interacting with Multipass after switching to the libvirt driver,</w:t>
      </w:r>
    </w:p>
    <w:p>
      <w:pPr>
        <w:pStyle w:val="Para 03"/>
      </w:pPr>
      <w:r>
        <w:t xml:space="preserve">check if there is a restriction by </w:t>
      </w:r>
      <w:hyperlink w:anchor="page_671">
        <w:r>
          <w:rPr>
            <w:rStyle w:val="Text2"/>
          </w:rPr>
          <w:t>AppArmor</w:t>
        </w:r>
      </w:hyperlink>
      <w:r>
        <w:t xml:space="preserve"> , for example. AppArmor may have a default</w:t>
      </w:r>
    </w:p>
    <w:p>
      <w:pPr>
        <w:pStyle w:val="Para 03"/>
      </w:pPr>
      <w:r>
        <w:t xml:space="preserve">policy which restricts the multipass service from interacting with the </w:t>
      </w:r>
      <w:hyperlink w:anchor="page_544">
        <w:r>
          <w:rPr>
            <w:rStyle w:val="Text9"/>
          </w:rPr>
          <w:t>536</w:t>
        </w:r>
      </w:hyperlink>
      <w:r>
        <w:t xml:space="preserve"> </w:t>
      </w:r>
      <w:hyperlink r:id="rId1472">
        <w:r>
          <w:rPr>
            <w:rStyle w:val="Text1"/>
          </w:rPr>
          <w:t>libvert service</w:t>
        </w:r>
      </w:hyperlink>
      <w:r>
        <w:t>. So</w:t>
      </w:r>
    </w:p>
    <w:p>
      <w:pPr>
        <w:pStyle w:val="Para 03"/>
      </w:pPr>
      <w:r>
        <w:t>you need to add an explicit permission that allows it.</w:t>
      </w:r>
    </w:p>
    <w:p>
      <w:pPr>
        <w:pStyle w:val="Para 05"/>
      </w:pPr>
      <w:r>
        <w:rPr>
          <w:rStyle w:val="Text5"/>
        </w:rPr>
        <w:t>536</w:t>
      </w:r>
      <w:r>
        <w:rPr>
          <w:rStyle w:val="Text8"/>
        </w:rPr>
        <w:t xml:space="preserve"> </w:t>
      </w:r>
      <w:r>
        <w:t>https://libvirt.org/daemons.html</w:t>
      </w:r>
    </w:p>
    <w:p>
      <w:pPr>
        <w:pStyle w:val="Para 17"/>
      </w:pPr>
      <w:r>
        <w:t/>
      </w:r>
    </w:p>
    <w:p>
      <w:pPr>
        <w:pStyle w:val="Normal"/>
      </w:pPr>
      <w:r>
        <w:t xml:space="preserve">Start a guest, and access it via tools like </w:t>
      </w:r>
      <w:hyperlink w:anchor="page_544">
        <w:r>
          <w:rPr>
            <w:rStyle w:val="Text9"/>
          </w:rPr>
          <w:t>537</w:t>
        </w:r>
      </w:hyperlink>
      <w:r>
        <w:t xml:space="preserve"> </w:t>
      </w:r>
      <w:hyperlink r:id="rId1470">
        <w:r>
          <w:rPr>
            <w:rStyle w:val="Text1"/>
          </w:rPr>
          <w:t>virt-manager</w:t>
        </w:r>
      </w:hyperlink>
      <w:r>
        <w:t xml:space="preserve"> or virsh:</w:t>
      </w:r>
    </w:p>
    <w:p>
      <w:pPr>
        <w:pStyle w:val="Normal"/>
      </w:pPr>
      <w:r>
        <w:t>$ multipass launch lts</w:t>
      </w:r>
    </w:p>
    <w:p>
      <w:pPr>
        <w:pStyle w:val="Normal"/>
      </w:pPr>
      <w:r>
        <w:t>Launched: engaged-amberjack</w:t>
      </w:r>
    </w:p>
    <w:p>
      <w:pPr>
        <w:pStyle w:val="Normal"/>
      </w:pPr>
      <w:r>
        <w:t>$ virsh list</w:t>
      </w:r>
    </w:p>
    <w:p>
      <w:pPr>
        <w:pStyle w:val="Normal"/>
      </w:pPr>
      <w:r>
        <w:t>Id</w:t>
        <w:t xml:space="preserve"> </w:t>
        <w:t>Name</w:t>
        <w:t xml:space="preserve"> </w:t>
        <w:t>State</w:t>
      </w:r>
    </w:p>
    <w:p>
      <w:pPr>
        <w:pStyle w:val="Normal"/>
      </w:pPr>
      <w:r>
        <w:t>----------------------------------------------------</w:t>
      </w:r>
    </w:p>
    <w:p>
      <w:pPr>
        <w:pStyle w:val="Normal"/>
      </w:pPr>
      <w:r>
        <w:t>15</w:t>
        <w:t xml:space="preserve"> </w:t>
        <w:t>engaged-amberjack</w:t>
        <w:t xml:space="preserve"> </w:t>
        <w:t>running</w:t>
      </w:r>
    </w:p>
    <w:p>
      <w:pPr>
        <w:pStyle w:val="Para 17"/>
      </w:pPr>
      <w:r>
        <w:t/>
      </w:r>
    </w:p>
    <w:p>
      <w:pPr>
        <w:pStyle w:val="Normal"/>
      </w:pPr>
      <w:r>
        <w:t xml:space="preserve">For more detailed and comprehensive instructions on changing your drivers, refer to the </w:t>
      </w:r>
      <w:hyperlink r:id="rId1473">
        <w:r>
          <w:rPr>
            <w:rStyle w:val="Text1"/>
          </w:rPr>
          <w:t>Mul-</w:t>
        </w:r>
      </w:hyperlink>
    </w:p>
    <w:p>
      <w:pPr>
        <w:pStyle w:val="Para 18"/>
      </w:pPr>
      <w:hyperlink r:id="rId1473">
        <w:r>
          <w:t>tipass drivers documentation</w:t>
        </w:r>
      </w:hyperlink>
      <w:hyperlink r:id="rId1473">
        <w:r>
          <w:rPr>
            <w:rStyle w:val="Text10"/>
          </w:rPr>
          <w:t>538</w:t>
        </w:r>
      </w:hyperlink>
      <w:r>
        <w:rPr>
          <w:rStyle w:val="Text7"/>
        </w:rPr>
        <w:t>.</w:t>
      </w:r>
    </w:p>
    <w:p>
      <w:pPr>
        <w:pStyle w:val="Para 05"/>
      </w:pPr>
      <w:r>
        <w:rPr>
          <w:rStyle w:val="Text5"/>
        </w:rPr>
        <w:t>534</w:t>
      </w:r>
      <w:r>
        <w:rPr>
          <w:rStyle w:val="Text8"/>
        </w:rPr>
        <w:t xml:space="preserve"> </w:t>
      </w:r>
      <w:r>
        <w:t>https://virt-manager.org/</w:t>
      </w:r>
    </w:p>
    <w:p>
      <w:pPr>
        <w:pStyle w:val="Para 05"/>
      </w:pPr>
      <w:r>
        <w:rPr>
          <w:rStyle w:val="Text5"/>
        </w:rPr>
        <w:t>535</w:t>
      </w:r>
      <w:r>
        <w:rPr>
          <w:rStyle w:val="Text8"/>
        </w:rPr>
        <w:t xml:space="preserve"> </w:t>
      </w:r>
      <w:r>
        <w:t>https://documentation.ubuntu.com/multipass/latest/how-to-guides/customise-multipass/</w:t>
      </w:r>
    </w:p>
    <w:p>
      <w:pPr>
        <w:pStyle w:val="Para 16"/>
      </w:pPr>
      <w:r>
        <w:t>set-up-a-graphical-interface/</w:t>
      </w:r>
    </w:p>
    <w:p>
      <w:pPr>
        <w:pStyle w:val="Para 05"/>
      </w:pPr>
      <w:r>
        <w:rPr>
          <w:rStyle w:val="Text5"/>
        </w:rPr>
        <w:t>537</w:t>
      </w:r>
      <w:r>
        <w:rPr>
          <w:rStyle w:val="Text8"/>
        </w:rPr>
        <w:t xml:space="preserve"> </w:t>
      </w:r>
      <w:r>
        <w:t>https://virt-manager.org/</w:t>
      </w:r>
    </w:p>
    <w:p>
      <w:pPr>
        <w:pStyle w:val="Para 05"/>
      </w:pPr>
      <w:r>
        <w:rPr>
          <w:rStyle w:val="Text5"/>
        </w:rPr>
        <w:t>538</w:t>
      </w:r>
      <w:r>
        <w:rPr>
          <w:rStyle w:val="Text8"/>
        </w:rPr>
        <w:t xml:space="preserve"> </w:t>
      </w:r>
      <w:r>
        <w:t>https://documentation.ubuntu.com/multipass/latest/how-to-guides/customise-multipass/</w:t>
      </w:r>
    </w:p>
    <w:p>
      <w:pPr>
        <w:pStyle w:val="Para 16"/>
      </w:pPr>
      <w:r>
        <w:t>set-up-the-driver/</w:t>
      </w:r>
    </w:p>
    <w:p>
      <w:bookmarkStart w:id="823" w:name="page_5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4" name="index-545_1.png" descr="index-545_1.png"/>
            <wp:cNvGraphicFramePr>
              <a:graphicFrameLocks noChangeAspect="1"/>
            </wp:cNvGraphicFramePr>
            <a:graphic>
              <a:graphicData uri="http://schemas.openxmlformats.org/drawingml/2006/picture">
                <pic:pic>
                  <pic:nvPicPr>
                    <pic:cNvPr id="0" name="index-545_1.png" descr="index-545_1.png"/>
                    <pic:cNvPicPr/>
                  </pic:nvPicPr>
                  <pic:blipFill>
                    <a:blip r:embed="rId558"/>
                    <a:stretch>
                      <a:fillRect/>
                    </a:stretch>
                  </pic:blipFill>
                  <pic:spPr>
                    <a:xfrm>
                      <a:off x="0" y="0"/>
                      <a:ext cx="914400" cy="266700"/>
                    </a:xfrm>
                    <a:prstGeom prst="rect">
                      <a:avLst/>
                    </a:prstGeom>
                  </pic:spPr>
                </pic:pic>
              </a:graphicData>
            </a:graphic>
          </wp:anchor>
        </w:drawing>
      </w:r>
      <w:bookmarkEnd w:id="823"/>
    </w:p>
    <w:p>
      <w:pPr>
        <w:pStyle w:val="Para 01"/>
      </w:pPr>
      <w:r>
        <w:t>Get help</w:t>
      </w:r>
    </w:p>
    <w:p>
      <w:pPr>
        <w:pStyle w:val="Para 17"/>
      </w:pPr>
      <w:r>
        <w:t/>
      </w:r>
    </w:p>
    <w:p>
      <w:pPr>
        <w:pStyle w:val="Normal"/>
      </w:pPr>
      <w:r>
        <w:t>You can use the following commands on the CLI:</w:t>
      </w:r>
    </w:p>
    <w:p>
      <w:pPr>
        <w:pStyle w:val="Normal"/>
      </w:pPr>
      <w:r>
        <w:t>multipass</w:t>
        <w:t xml:space="preserve"> </w:t>
        <w:t>help</w:t>
      </w:r>
    </w:p>
    <w:p>
      <w:pPr>
        <w:pStyle w:val="Normal"/>
      </w:pPr>
      <w:r>
        <w:t>multipass</w:t>
        <w:t xml:space="preserve"> </w:t>
        <w:t>help</w:t>
        <w:t xml:space="preserve"> </w:t>
        <w:t>&lt;command&gt;</w:t>
      </w:r>
    </w:p>
    <w:p>
      <w:pPr>
        <w:pStyle w:val="Normal"/>
      </w:pPr>
      <w:r>
        <w:t>multipass</w:t>
        <w:t xml:space="preserve"> </w:t>
        <w:t>help</w:t>
        <w:t>--all</w:t>
      </w:r>
    </w:p>
    <w:p>
      <w:pPr>
        <w:pStyle w:val="Para 17"/>
      </w:pPr>
      <w:r>
        <w:t/>
      </w:r>
    </w:p>
    <w:p>
      <w:pPr>
        <w:pStyle w:val="Normal"/>
      </w:pPr>
      <w:r>
        <w:t xml:space="preserve">Or, check out the </w:t>
      </w:r>
      <w:hyperlink w:anchor="page_545">
        <w:r>
          <w:rPr>
            <w:rStyle w:val="Text9"/>
          </w:rPr>
          <w:t>539</w:t>
        </w:r>
      </w:hyperlink>
      <w:r>
        <w:t xml:space="preserve"> </w:t>
      </w:r>
      <w:hyperlink r:id="rId1474">
        <w:r>
          <w:rPr>
            <w:rStyle w:val="Text1"/>
          </w:rPr>
          <w:t>Multipass documentation</w:t>
        </w:r>
      </w:hyperlink>
      <w:r>
        <w:t xml:space="preserve"> for more details on how to use it.</w:t>
      </w:r>
    </w:p>
    <w:p>
      <w:pPr>
        <w:pStyle w:val="Para 17"/>
      </w:pPr>
      <w:r>
        <w:t/>
      </w:r>
    </w:p>
    <w:p>
      <w:pPr>
        <w:pStyle w:val="Para 01"/>
      </w:pPr>
      <w:r>
        <w:t>Create cloud image VMs with UVtool</w:t>
      </w:r>
    </w:p>
    <w:p>
      <w:pPr>
        <w:pStyle w:val="Para 17"/>
      </w:pPr>
      <w:r>
        <w:t/>
      </w:r>
    </w:p>
    <w:p>
      <w:pPr>
        <w:pStyle w:val="Normal"/>
      </w:pPr>
      <w:r>
        <w:t>With Ubuntu being one of the most popular operating systems on many cloud platforms, the availability of stable and secure cloud images has become very important. Since Ubuntu 12.04, the use of cloud images outside of a cloud infrastructure has been improved so that it is now possible to use those images to create a virtual machine without needing a complete installation.</w:t>
      </w:r>
    </w:p>
    <w:p>
      <w:pPr>
        <w:pStyle w:val="Para 17"/>
      </w:pPr>
      <w:r>
        <w:t/>
      </w:r>
    </w:p>
    <w:p>
      <w:pPr>
        <w:pStyle w:val="Para 01"/>
      </w:pPr>
      <w:r>
        <w:t>Creating virtual machines using uvtool</w:t>
      </w:r>
    </w:p>
    <w:p>
      <w:pPr>
        <w:pStyle w:val="Para 17"/>
      </w:pPr>
      <w:r>
        <w:t/>
      </w:r>
    </w:p>
    <w:p>
      <w:pPr>
        <w:pStyle w:val="Normal"/>
      </w:pPr>
      <w:r>
        <w:t>Starting with Ubuntu 14.04 LTS, a tool called uvtool has greatly facilitated the creation of virtual machines (VMs) using cloud images. uvtool provides a simple mechanism for synchro-nizing cloud images locally and using them to create new VMs in minutes.</w:t>
      </w:r>
    </w:p>
    <w:p>
      <w:pPr>
        <w:pStyle w:val="Para 17"/>
      </w:pPr>
      <w:r>
        <w:t/>
      </w:r>
    </w:p>
    <w:p>
      <w:pPr>
        <w:pStyle w:val="Para 01"/>
      </w:pPr>
      <w:r>
        <w:t>Install uvtool packages</w:t>
      </w:r>
    </w:p>
    <w:p>
      <w:pPr>
        <w:pStyle w:val="Para 17"/>
      </w:pPr>
      <w:r>
        <w:t/>
      </w:r>
    </w:p>
    <w:p>
      <w:pPr>
        <w:pStyle w:val="Normal"/>
      </w:pPr>
      <w:r>
        <w:t>The following packages and their dependencies are required in order to use uvtool:</w:t>
      </w:r>
    </w:p>
    <w:p>
      <w:pPr>
        <w:pStyle w:val="Para 04"/>
      </w:pPr>
      <w:r>
        <w:t>• uvtool</w:t>
      </w:r>
    </w:p>
    <w:p>
      <w:pPr>
        <w:pStyle w:val="Para 04"/>
      </w:pPr>
      <w:r>
        <w:t>• uvtool-libvirt</w:t>
      </w:r>
    </w:p>
    <w:p>
      <w:pPr>
        <w:pStyle w:val="Normal"/>
      </w:pPr>
      <w:r>
        <w:t>To install uvtool, run:</w:t>
      </w:r>
    </w:p>
    <w:p>
      <w:pPr>
        <w:pStyle w:val="Normal"/>
      </w:pPr>
      <w:r>
        <w:t>sudo apt -y install uvtool uvtool-libvirt</w:t>
      </w:r>
    </w:p>
    <w:p>
      <w:pPr>
        <w:pStyle w:val="Para 17"/>
      </w:pPr>
      <w:r>
        <w:t/>
      </w:r>
    </w:p>
    <w:p>
      <w:pPr>
        <w:pStyle w:val="Normal"/>
      </w:pPr>
      <w:r>
        <w:t>This will install uvtool’s main commands, uvt-simplestreams-libvirt and uvt-kvm.</w:t>
      </w:r>
    </w:p>
    <w:p>
      <w:pPr>
        <w:pStyle w:val="Para 08"/>
      </w:pPr>
      <w:r>
        <w:t>Note:</w:t>
      </w:r>
    </w:p>
    <w:p>
      <w:pPr>
        <w:pStyle w:val="Para 03"/>
      </w:pPr>
      <w:r>
        <w:t>You might need to log out and log in again to use libvirt without root privilege. If not, you</w:t>
      </w:r>
    </w:p>
    <w:p>
      <w:pPr>
        <w:pStyle w:val="Para 03"/>
      </w:pPr>
      <w:r>
        <w:t>might encounter a Permission denied error in the later steps.</w:t>
      </w:r>
    </w:p>
    <w:p>
      <w:pPr>
        <w:pStyle w:val="Para 17"/>
      </w:pPr>
      <w:r>
        <w:t/>
      </w:r>
    </w:p>
    <w:p>
      <w:pPr>
        <w:pStyle w:val="Para 05"/>
      </w:pPr>
      <w:r>
        <w:rPr>
          <w:rStyle w:val="Text5"/>
        </w:rPr>
        <w:t>539</w:t>
      </w:r>
      <w:r>
        <w:rPr>
          <w:rStyle w:val="Text8"/>
        </w:rPr>
        <w:t xml:space="preserve"> </w:t>
      </w:r>
      <w:r>
        <w:t>https://documentation.ubuntu.com/multipass/latest/</w:t>
      </w:r>
    </w:p>
    <w:p>
      <w:bookmarkStart w:id="824" w:name="calibre_pb_139"/>
      <w:pPr>
        <w:pStyle w:val="0 Block"/>
      </w:pPr>
      <w:bookmarkEnd w:id="824"/>
    </w:p>
    <w:p>
      <w:bookmarkStart w:id="825" w:name="Top_of_index_split_140_html"/>
      <w:bookmarkStart w:id="826" w:name="page_54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5" name="index-546_1.png" descr="index-546_1.png"/>
            <wp:cNvGraphicFramePr>
              <a:graphicFrameLocks noChangeAspect="1"/>
            </wp:cNvGraphicFramePr>
            <a:graphic>
              <a:graphicData uri="http://schemas.openxmlformats.org/drawingml/2006/picture">
                <pic:pic>
                  <pic:nvPicPr>
                    <pic:cNvPr id="0" name="index-546_1.png" descr="index-546_1.png"/>
                    <pic:cNvPicPr/>
                  </pic:nvPicPr>
                  <pic:blipFill>
                    <a:blip r:embed="rId559"/>
                    <a:stretch>
                      <a:fillRect/>
                    </a:stretch>
                  </pic:blipFill>
                  <pic:spPr>
                    <a:xfrm>
                      <a:off x="0" y="0"/>
                      <a:ext cx="914400" cy="266700"/>
                    </a:xfrm>
                    <a:prstGeom prst="rect">
                      <a:avLst/>
                    </a:prstGeom>
                  </pic:spPr>
                </pic:pic>
              </a:graphicData>
            </a:graphic>
          </wp:anchor>
        </w:drawing>
      </w:r>
      <w:bookmarkEnd w:id="825"/>
      <w:bookmarkEnd w:id="826"/>
    </w:p>
    <w:p>
      <w:pPr>
        <w:pStyle w:val="Para 01"/>
      </w:pPr>
      <w:r>
        <w:t>Get the Ubuntu cloud image with uvt-simplestreams-libvirt</w:t>
      </w:r>
    </w:p>
    <w:p>
      <w:pPr>
        <w:pStyle w:val="Para 17"/>
      </w:pPr>
      <w:r>
        <w:t/>
      </w:r>
    </w:p>
    <w:p>
      <w:pPr>
        <w:pStyle w:val="Normal"/>
      </w:pPr>
      <w:r>
        <w:t>This is one of the major simplifications that uvtool provides. It knows where to find the cloud images so you only need one command to get a new cloud image. For instance, if you want to synchronize all cloud images for the amd64 architecture, the uvtool command would be:</w:t>
      </w:r>
    </w:p>
    <w:p>
      <w:pPr>
        <w:pStyle w:val="Normal"/>
      </w:pPr>
      <w:r>
        <w:t>uvt-simplestreams-libvirt --verbose sync</w:t>
        <w:t xml:space="preserve"> </w:t>
        <w:t>arch</w:t>
        <w:t>=</w:t>
        <w:t>amd64</w:t>
      </w:r>
    </w:p>
    <w:p>
      <w:pPr>
        <w:pStyle w:val="Para 17"/>
      </w:pPr>
      <w:r>
        <w:t/>
      </w:r>
    </w:p>
    <w:p>
      <w:pPr>
        <w:pStyle w:val="Normal"/>
      </w:pPr>
      <w:r>
        <w:t>After all the images have been downloaded from the Internet, you will have a complete set of locally-stored cloud images. To see what has been downloaded, use the following command:</w:t>
      </w:r>
    </w:p>
    <w:p>
      <w:pPr>
        <w:pStyle w:val="Normal"/>
      </w:pPr>
      <w:r>
        <w:t>uvt-simplestreams-libvirt query</w:t>
      </w:r>
    </w:p>
    <w:p>
      <w:pPr>
        <w:pStyle w:val="Para 17"/>
      </w:pPr>
      <w:r>
        <w:t/>
      </w:r>
    </w:p>
    <w:p>
      <w:pPr>
        <w:pStyle w:val="Normal"/>
      </w:pPr>
      <w:r>
        <w:t>Which will provide you with a list like this:</w:t>
      </w:r>
    </w:p>
    <w:p>
      <w:pPr>
        <w:pStyle w:val="Normal"/>
      </w:pPr>
      <w:r>
        <w:t>release=bionic arch=amd64 label=daily (20191107)</w:t>
      </w:r>
    </w:p>
    <w:p>
      <w:pPr>
        <w:pStyle w:val="Normal"/>
      </w:pPr>
      <w:r>
        <w:t>release=focal arch=amd64 label=daily (20191029)</w:t>
      </w:r>
    </w:p>
    <w:p>
      <w:pPr>
        <w:pStyle w:val="Normal"/>
      </w:pPr>
      <w:r>
        <w:t>...</w:t>
      </w:r>
    </w:p>
    <w:p>
      <w:pPr>
        <w:pStyle w:val="Para 17"/>
      </w:pPr>
      <w:r>
        <w:t/>
      </w:r>
    </w:p>
    <w:p>
      <w:pPr>
        <w:pStyle w:val="Normal"/>
      </w:pPr>
      <w:r>
        <w:t>In the case where you want to synchronize only one specific cloud image, you need to use the release= and arch= filters to identify which image needs to be synchronized.</w:t>
      </w:r>
    </w:p>
    <w:p>
      <w:pPr>
        <w:pStyle w:val="Normal"/>
      </w:pPr>
      <w:r>
        <w:t>uvt-simplestreams-libvirt sync</w:t>
        <w:t xml:space="preserve"> </w:t>
        <w:t>release</w:t>
        <w:t>=</w:t>
        <w:t>DISTRO-SHORT-CODENAME</w:t>
        <w:t xml:space="preserve"> </w:t>
        <w:t>arch</w:t>
        <w:t>=</w:t>
        <w:t>amd64</w:t>
      </w:r>
    </w:p>
    <w:p>
      <w:pPr>
        <w:pStyle w:val="Para 17"/>
      </w:pPr>
      <w:r>
        <w:t/>
      </w:r>
    </w:p>
    <w:p>
      <w:pPr>
        <w:pStyle w:val="Normal"/>
      </w:pPr>
      <w:r>
        <w:t>Furthermore, you can provide an alternative URL to fetch images from. A common case is the daily image, which helps you get the very latest images, or if you need access to the not-yet-released development release of Ubuntu. As an example:</w:t>
      </w:r>
    </w:p>
    <w:p>
      <w:pPr>
        <w:pStyle w:val="Normal"/>
      </w:pPr>
      <w:r>
        <w:t>uvt-simplestreams-libvirt sync --source http://cloud-images.ubuntu.com/daily</w:t>
        <w:t xml:space="preserve"> </w:t>
        <w:t>[</w:t>
        <w:t>... further</w:t>
        <w:t xml:space="preserve"> </w:t>
        <w:t>options</w:t>
        <w:t>]</w:t>
      </w:r>
    </w:p>
    <w:p>
      <w:pPr>
        <w:pStyle w:val="Para 17"/>
      </w:pPr>
      <w:r>
        <w:t/>
      </w:r>
    </w:p>
    <w:p>
      <w:pPr>
        <w:pStyle w:val="Para 01"/>
      </w:pPr>
      <w:r>
        <w:t>Create a valid SSH key</w:t>
      </w:r>
    </w:p>
    <w:p>
      <w:pPr>
        <w:pStyle w:val="Para 17"/>
      </w:pPr>
      <w:r>
        <w:t/>
      </w:r>
    </w:p>
    <w:p>
      <w:pPr>
        <w:pStyle w:val="Normal"/>
      </w:pPr>
      <w:r>
        <w:t>To connect to the virtual machine once it has been created, you must first have a valid SSH key available for the Ubuntu user. If your environment does not have an SSH key, you can create one using the ssh-keygen command, which will produce similar output to this:</w:t>
      </w:r>
    </w:p>
    <w:p>
      <w:pPr>
        <w:pStyle w:val="Normal"/>
      </w:pPr>
      <w:r>
        <w:t>Generating public/private rsa key pair.</w:t>
      </w:r>
    </w:p>
    <w:p>
      <w:pPr>
        <w:pStyle w:val="Normal"/>
      </w:pPr>
      <w:r>
        <w:t>Enter file in which to save the key (/home/ubuntu/.ssh/id_rsa):</w:t>
        <w:t xml:space="preserve"> </w:t>
        <w:t>Enter passphrase (empty for no passphrase):</w:t>
      </w:r>
    </w:p>
    <w:p>
      <w:pPr>
        <w:pStyle w:val="Normal"/>
      </w:pPr>
      <w:r>
        <w:t>Enter same passphrase again:</w:t>
      </w:r>
    </w:p>
    <w:p>
      <w:pPr>
        <w:pStyle w:val="Normal"/>
      </w:pPr>
      <w:r>
        <w:t>Your identification has been saved in /home/ubuntu/.ssh/id_rsa.</w:t>
        <w:t xml:space="preserve"> </w:t>
        <w:t>Your public key has been saved in /home/ubuntu/.ssh/id_rsa.pub.</w:t>
        <w:t xml:space="preserve"> </w:t>
        <w:t>The key fingerprint is:</w:t>
      </w:r>
    </w:p>
    <w:p>
      <w:pPr>
        <w:pStyle w:val="Normal"/>
      </w:pPr>
      <w:r>
        <w:t>4d:ba:5d:57:c9:49:ef:b5:ab:71:14:56:6e:2b:ad:9b ubuntu@DISTRO-SHORT-CODENAMES</w:t>
        <w:t xml:space="preserve"> </w:t>
        <w:t>The key's randomart image is:</w:t>
      </w:r>
    </w:p>
    <w:p>
      <w:pPr>
        <w:pStyle w:val="Normal"/>
      </w:pPr>
      <w:r>
        <w:t>+--[ RSA 2048]----+</w:t>
      </w:r>
    </w:p>
    <w:p>
      <w:pPr>
        <w:pStyle w:val="Normal"/>
      </w:pPr>
      <w:r>
        <w:t>|</w:t>
        <w:t xml:space="preserve"> </w:t>
        <w:t>..|</w:t>
      </w:r>
    </w:p>
    <w:p>
      <w:pPr>
        <w:pStyle w:val="Normal"/>
      </w:pPr>
      <w:r>
        <w:t>|</w:t>
        <w:t xml:space="preserve"> </w:t>
        <w:t>o.=|</w:t>
      </w:r>
    </w:p>
    <w:p>
      <w:pPr>
        <w:pStyle w:val="Normal"/>
      </w:pPr>
      <w:r>
        <w:t>|</w:t>
        <w:t xml:space="preserve"> </w:t>
        <w:t>.</w:t>
        <w:t xml:space="preserve"> </w:t>
        <w:t>**|</w:t>
      </w:r>
    </w:p>
    <w:p>
      <w:pPr>
        <w:pStyle w:val="Normal"/>
      </w:pPr>
      <w:r>
        <w:t>|</w:t>
        <w:t xml:space="preserve"> </w:t>
        <w:t>+</w:t>
        <w:t xml:space="preserve"> </w:t>
        <w:t>o+=|</w:t>
      </w:r>
    </w:p>
    <w:p>
      <w:pPr>
        <w:pStyle w:val="Normal"/>
      </w:pPr>
      <w:r>
        <w:t>|</w:t>
        <w:t xml:space="preserve"> </w:t>
        <w:t>S . ...=.|</w:t>
      </w:r>
    </w:p>
    <w:p>
      <w:pPr>
        <w:pStyle w:val="Normal"/>
      </w:pPr>
      <w:r>
        <w:t>|</w:t>
        <w:t xml:space="preserve"> </w:t>
        <w:t>o . .+ .|</w:t>
      </w:r>
    </w:p>
    <w:p>
      <w:pPr>
        <w:pStyle w:val="Para 09"/>
      </w:pPr>
      <w:r>
        <w:t>(continues on next page)</w:t>
      </w:r>
    </w:p>
    <w:p>
      <w:bookmarkStart w:id="827" w:name="page_5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6" name="index-547_1.png" descr="index-547_1.png"/>
            <wp:cNvGraphicFramePr>
              <a:graphicFrameLocks noChangeAspect="1"/>
            </wp:cNvGraphicFramePr>
            <a:graphic>
              <a:graphicData uri="http://schemas.openxmlformats.org/drawingml/2006/picture">
                <pic:pic>
                  <pic:nvPicPr>
                    <pic:cNvPr id="0" name="index-547_1.png" descr="index-547_1.png"/>
                    <pic:cNvPicPr/>
                  </pic:nvPicPr>
                  <pic:blipFill>
                    <a:blip r:embed="rId560"/>
                    <a:stretch>
                      <a:fillRect/>
                    </a:stretch>
                  </pic:blipFill>
                  <pic:spPr>
                    <a:xfrm>
                      <a:off x="0" y="0"/>
                      <a:ext cx="914400" cy="266700"/>
                    </a:xfrm>
                    <a:prstGeom prst="rect">
                      <a:avLst/>
                    </a:prstGeom>
                  </pic:spPr>
                </pic:pic>
              </a:graphicData>
            </a:graphic>
          </wp:anchor>
        </w:drawing>
      </w:r>
      <w:bookmarkEnd w:id="827"/>
    </w:p>
    <w:p>
      <w:pPr>
        <w:pStyle w:val="Para 09"/>
      </w:pPr>
      <w:r>
        <w:t>(continued from previous page)</w:t>
      </w:r>
    </w:p>
    <w:p>
      <w:pPr>
        <w:pStyle w:val="Normal"/>
      </w:pPr>
      <w:r>
        <w:t>|</w:t>
        <w:t xml:space="preserve"> </w:t>
        <w:t>. .</w:t>
        <w:t xml:space="preserve"> </w:t>
        <w:t>o o |</w:t>
      </w:r>
    </w:p>
    <w:p>
      <w:pPr>
        <w:pStyle w:val="Normal"/>
      </w:pPr>
      <w:r>
        <w:t>|</w:t>
        <w:t xml:space="preserve"> </w:t>
        <w:t>*</w:t>
        <w:t xml:space="preserve"> </w:t>
        <w:t>|</w:t>
      </w:r>
    </w:p>
    <w:p>
      <w:pPr>
        <w:pStyle w:val="Normal"/>
      </w:pPr>
      <w:r>
        <w:t>|</w:t>
        <w:t xml:space="preserve"> </w:t>
        <w:t>E</w:t>
        <w:t xml:space="preserve"> </w:t>
        <w:t>|</w:t>
      </w:r>
    </w:p>
    <w:p>
      <w:pPr>
        <w:pStyle w:val="Normal"/>
      </w:pPr>
      <w:r>
        <w:t>+-----------------+</w:t>
      </w:r>
    </w:p>
    <w:p>
      <w:pPr>
        <w:pStyle w:val="Para 17"/>
      </w:pPr>
      <w:r>
        <w:t/>
      </w:r>
    </w:p>
    <w:p>
      <w:pPr>
        <w:pStyle w:val="Para 01"/>
      </w:pPr>
      <w:r>
        <w:t>Create the VM using uvt-kvm</w:t>
      </w:r>
    </w:p>
    <w:p>
      <w:pPr>
        <w:pStyle w:val="Para 17"/>
      </w:pPr>
      <w:r>
        <w:t/>
      </w:r>
    </w:p>
    <w:p>
      <w:pPr>
        <w:pStyle w:val="Normal"/>
      </w:pPr>
      <w:r>
        <w:t>To create a new virtual machine using uvtool, run the following in a terminal:</w:t>
      </w:r>
    </w:p>
    <w:p>
      <w:pPr>
        <w:pStyle w:val="Normal"/>
      </w:pPr>
      <w:r>
        <w:t>uvt-kvm create firsttest</w:t>
      </w:r>
    </w:p>
    <w:p>
      <w:pPr>
        <w:pStyle w:val="Para 17"/>
      </w:pPr>
      <w:r>
        <w:t/>
      </w:r>
    </w:p>
    <w:p>
      <w:pPr>
        <w:pStyle w:val="Normal"/>
      </w:pPr>
      <w:r>
        <w:t>This will create a VM named firsttest using the current locally-available LTS cloud image. If you want to specify a release to be used to create the VM, you need to use the release= filter, and the short codename of the release, e.g. “jammy”:</w:t>
      </w:r>
    </w:p>
    <w:p>
      <w:pPr>
        <w:pStyle w:val="Normal"/>
      </w:pPr>
      <w:r>
        <w:t>uvt-kvm create secondtest</w:t>
        <w:t xml:space="preserve"> </w:t>
        <w:t>release</w:t>
        <w:t>=</w:t>
        <w:t>DISTRO-SHORT-CODENAME</w:t>
      </w:r>
    </w:p>
    <w:p>
      <w:pPr>
        <w:pStyle w:val="Para 17"/>
      </w:pPr>
      <w:r>
        <w:t/>
      </w:r>
    </w:p>
    <w:p>
      <w:pPr>
        <w:pStyle w:val="Normal"/>
      </w:pPr>
      <w:r>
        <w:t>The uvt-kvm wait command can be used to wait until the creation of the VM has completed:</w:t>
      </w:r>
    </w:p>
    <w:p>
      <w:pPr>
        <w:pStyle w:val="Normal"/>
      </w:pPr>
      <w:r>
        <w:t>uvt-kvm</w:t>
        <w:t xml:space="preserve"> </w:t>
        <w:t>wait</w:t>
        <w:t xml:space="preserve"> </w:t>
        <w:t>secondttest</w:t>
      </w:r>
    </w:p>
    <w:p>
      <w:pPr>
        <w:pStyle w:val="Para 17"/>
      </w:pPr>
      <w:r>
        <w:t/>
      </w:r>
    </w:p>
    <w:p>
      <w:pPr>
        <w:pStyle w:val="Para 01"/>
      </w:pPr>
      <w:r>
        <w:t>Connect to the running VM</w:t>
      </w:r>
    </w:p>
    <w:p>
      <w:pPr>
        <w:pStyle w:val="Para 17"/>
      </w:pPr>
      <w:r>
        <w:t/>
      </w:r>
    </w:p>
    <w:p>
      <w:pPr>
        <w:pStyle w:val="Normal"/>
      </w:pPr>
      <w:r>
        <w:t>Once the virtual machine creation is completed, you can connect to it using SSH:</w:t>
      </w:r>
    </w:p>
    <w:p>
      <w:pPr>
        <w:pStyle w:val="Normal"/>
      </w:pPr>
      <w:r>
        <w:t>uvt-kvm ssh secondtest</w:t>
      </w:r>
    </w:p>
    <w:p>
      <w:pPr>
        <w:pStyle w:val="Para 17"/>
      </w:pPr>
      <w:r>
        <w:t/>
      </w:r>
    </w:p>
    <w:p>
      <w:pPr>
        <w:pStyle w:val="Normal"/>
      </w:pPr>
      <w:r>
        <w:t>You can also connect to your VM using a regular SSH session using the IP address of the VM. The address can be queried using the following command:</w:t>
      </w:r>
    </w:p>
    <w:p>
      <w:pPr>
        <w:pStyle w:val="Normal"/>
      </w:pPr>
      <w:r>
        <w:t>$ uvt-kvm ip secondtest</w:t>
      </w:r>
    </w:p>
    <w:p>
      <w:pPr>
        <w:pStyle w:val="Normal"/>
      </w:pPr>
      <w:r>
        <w:t>192</w:t>
        <w:t>.168.122.199</w:t>
      </w:r>
    </w:p>
    <w:p>
      <w:pPr>
        <w:pStyle w:val="Normal"/>
      </w:pPr>
      <w:r>
        <w:t>$ ssh -i ~/.ssh/id_rsa ubuntu@192.168.122.199</w:t>
      </w:r>
    </w:p>
    <w:p>
      <w:pPr>
        <w:pStyle w:val="Normal"/>
      </w:pPr>
      <w:r>
        <w:t>[</w:t>
        <w:t>...</w:t>
        <w:t>]</w:t>
      </w:r>
    </w:p>
    <w:p>
      <w:pPr>
        <w:pStyle w:val="Normal"/>
      </w:pPr>
      <w:r>
        <w:t>To run a</w:t>
        <w:t xml:space="preserve"> </w:t>
        <w:t>command</w:t>
        <w:t xml:space="preserve"> </w:t>
        <w:t>as administrator</w:t>
        <w:t xml:space="preserve"> </w:t>
        <w:t>(</w:t>
        <w:t>user</w:t>
        <w:t xml:space="preserve"> </w:t>
        <w:t>"root"</w:t>
        <w:t>)</w:t>
        <w:t>, use</w:t>
        <w:t xml:space="preserve"> </w:t>
        <w:t>"sudo &lt;command&gt;"</w:t>
        <w:t>.</w:t>
        <w:t xml:space="preserve"> </w:t>
        <w:t>See</w:t>
        <w:t xml:space="preserve"> </w:t>
        <w:t>"man sudo_root"</w:t>
        <w:t xml:space="preserve"> </w:t>
      </w:r>
      <w:r>
        <w:rPr>
          <w:rStyle w:val="Text0"/>
        </w:rPr>
        <w:t>for</w:t>
      </w:r>
      <w:r>
        <w:t xml:space="preserve"> </w:t>
        <w:t>details.</w:t>
      </w:r>
    </w:p>
    <w:p>
      <w:pPr>
        <w:pStyle w:val="Normal"/>
      </w:pPr>
      <w:r>
        <w:t>ubuntu@secondtest:~$</w:t>
      </w:r>
    </w:p>
    <w:p>
      <w:pPr>
        <w:pStyle w:val="Para 17"/>
      </w:pPr>
      <w:r>
        <w:t/>
      </w:r>
    </w:p>
    <w:p>
      <w:pPr>
        <w:pStyle w:val="Para 01"/>
      </w:pPr>
      <w:r>
        <w:t>Get the list of running VMs</w:t>
      </w:r>
    </w:p>
    <w:p>
      <w:pPr>
        <w:pStyle w:val="Para 17"/>
      </w:pPr>
      <w:r>
        <w:t/>
      </w:r>
    </w:p>
    <w:p>
      <w:pPr>
        <w:pStyle w:val="Normal"/>
      </w:pPr>
      <w:r>
        <w:t>You can get the list of VMs running on your system with the uvt-kvm list command.</w:t>
      </w:r>
    </w:p>
    <w:p>
      <w:bookmarkStart w:id="828" w:name="calibre_pb_140"/>
      <w:pPr>
        <w:pStyle w:val="0 Block"/>
      </w:pPr>
      <w:bookmarkEnd w:id="828"/>
    </w:p>
    <w:p>
      <w:bookmarkStart w:id="829" w:name="page_548"/>
      <w:bookmarkStart w:id="830" w:name="Top_of_index_split_14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7" name="index-548_1.png" descr="index-548_1.png"/>
            <wp:cNvGraphicFramePr>
              <a:graphicFrameLocks noChangeAspect="1"/>
            </wp:cNvGraphicFramePr>
            <a:graphic>
              <a:graphicData uri="http://schemas.openxmlformats.org/drawingml/2006/picture">
                <pic:pic>
                  <pic:nvPicPr>
                    <pic:cNvPr id="0" name="index-548_1.png" descr="index-548_1.png"/>
                    <pic:cNvPicPr/>
                  </pic:nvPicPr>
                  <pic:blipFill>
                    <a:blip r:embed="rId561"/>
                    <a:stretch>
                      <a:fillRect/>
                    </a:stretch>
                  </pic:blipFill>
                  <pic:spPr>
                    <a:xfrm>
                      <a:off x="0" y="0"/>
                      <a:ext cx="914400" cy="266700"/>
                    </a:xfrm>
                    <a:prstGeom prst="rect">
                      <a:avLst/>
                    </a:prstGeom>
                  </pic:spPr>
                </pic:pic>
              </a:graphicData>
            </a:graphic>
          </wp:anchor>
        </w:drawing>
      </w:r>
      <w:bookmarkEnd w:id="829"/>
      <w:bookmarkEnd w:id="830"/>
    </w:p>
    <w:p>
      <w:pPr>
        <w:pStyle w:val="Para 01"/>
      </w:pPr>
      <w:r>
        <w:t>Destroy your VM</w:t>
      </w:r>
    </w:p>
    <w:p>
      <w:pPr>
        <w:pStyle w:val="Para 17"/>
      </w:pPr>
      <w:r>
        <w:t/>
      </w:r>
    </w:p>
    <w:p>
      <w:pPr>
        <w:pStyle w:val="Normal"/>
      </w:pPr>
      <w:r>
        <w:t>Once you are finished with your VM, you can destroy it with:</w:t>
      </w:r>
    </w:p>
    <w:p>
      <w:pPr>
        <w:pStyle w:val="Normal"/>
      </w:pPr>
      <w:r>
        <w:t>uvt-kvm destroy secondtest</w:t>
      </w:r>
    </w:p>
    <w:p>
      <w:pPr>
        <w:pStyle w:val="Para 17"/>
      </w:pPr>
      <w:r>
        <w:t/>
      </w:r>
    </w:p>
    <w:p>
      <w:pPr>
        <w:pStyle w:val="Para 08"/>
      </w:pPr>
      <w:r>
        <w:t>Note:</w:t>
      </w:r>
    </w:p>
    <w:p>
      <w:pPr>
        <w:pStyle w:val="Para 03"/>
      </w:pPr>
      <w:r>
        <w:t>Unlike libvirt’s destroy or undefine actions, this will (by default) also remove the associated</w:t>
      </w:r>
    </w:p>
    <w:p>
      <w:pPr>
        <w:pStyle w:val="Para 03"/>
      </w:pPr>
      <w:r>
        <w:t>virtual storage files.</w:t>
      </w:r>
    </w:p>
    <w:p>
      <w:pPr>
        <w:pStyle w:val="Para 17"/>
      </w:pPr>
      <w:r>
        <w:t/>
      </w:r>
    </w:p>
    <w:p>
      <w:pPr>
        <w:pStyle w:val="Para 01"/>
      </w:pPr>
      <w:r>
        <w:t>More uvt-kvm options</w:t>
      </w:r>
    </w:p>
    <w:p>
      <w:pPr>
        <w:pStyle w:val="Para 17"/>
      </w:pPr>
      <w:r>
        <w:t/>
      </w:r>
    </w:p>
    <w:p>
      <w:pPr>
        <w:pStyle w:val="Normal"/>
      </w:pPr>
      <w:r>
        <w:t>The following options can be used to change some of the characteristics of the VM that you are creating:</w:t>
      </w:r>
    </w:p>
    <w:p>
      <w:pPr>
        <w:pStyle w:val="Para 04"/>
      </w:pPr>
      <w:r>
        <w:t>•--memory : Amount of RAM in megabytes. Default: 512.</w:t>
      </w:r>
    </w:p>
    <w:p>
      <w:pPr>
        <w:pStyle w:val="Para 04"/>
      </w:pPr>
      <w:r>
        <w:t>•--disk : Size of the OS disk in gigabytes. Default: 8.</w:t>
      </w:r>
    </w:p>
    <w:p>
      <w:pPr>
        <w:pStyle w:val="Para 04"/>
      </w:pPr>
      <w:r>
        <w:t>•--cpu : Number of CPU cores. Default: 1.</w:t>
      </w:r>
    </w:p>
    <w:p>
      <w:pPr>
        <w:pStyle w:val="Normal"/>
      </w:pPr>
      <w:r>
        <w:t>Some other parameters will have an impact on the cloud-init configuration:</w:t>
      </w:r>
    </w:p>
    <w:p>
      <w:pPr>
        <w:pStyle w:val="Para 04"/>
      </w:pPr>
      <w:r>
        <w:t>•--password &lt;password&gt; : Allows logging into the VM using the Ubuntu account and this</w:t>
      </w:r>
    </w:p>
    <w:p>
      <w:pPr>
        <w:pStyle w:val="Para 02"/>
      </w:pPr>
      <w:r>
        <w:t>provided password.</w:t>
      </w:r>
    </w:p>
    <w:p>
      <w:pPr>
        <w:pStyle w:val="Para 04"/>
      </w:pPr>
      <w:r>
        <w:t>•--run-script-once &lt;script_file&gt; : Run script_file as root on the VM the first time it</w:t>
      </w:r>
    </w:p>
    <w:p>
      <w:pPr>
        <w:pStyle w:val="Para 02"/>
      </w:pPr>
      <w:r>
        <w:t>is booted, but never again.</w:t>
      </w:r>
    </w:p>
    <w:p>
      <w:pPr>
        <w:pStyle w:val="Para 04"/>
      </w:pPr>
      <w:r>
        <w:t>•--packages &lt;package_list&gt; : Install the comma-separated packages specified in</w:t>
      </w:r>
    </w:p>
    <w:p>
      <w:pPr>
        <w:pStyle w:val="Para 02"/>
      </w:pPr>
      <w:r>
        <w:t>package_list on first boot.</w:t>
      </w:r>
    </w:p>
    <w:p>
      <w:pPr>
        <w:pStyle w:val="Normal"/>
      </w:pPr>
      <w:r>
        <w:t xml:space="preserve">A complete description of all available modifiers is available in the </w:t>
      </w:r>
      <w:hyperlink r:id="rId1475">
        <w:r>
          <w:rPr>
            <w:rStyle w:val="Text9"/>
          </w:rPr>
          <w:t>540</w:t>
        </w:r>
      </w:hyperlink>
      <w:hyperlink r:id="rId1475">
        <w:r>
          <w:rPr>
            <w:rStyle w:val="Text1"/>
          </w:rPr>
          <w:t xml:space="preserve"> </w:t>
        </w:r>
      </w:hyperlink>
      <w:hyperlink r:id="rId1475">
        <w:r>
          <w:rPr>
            <w:rStyle w:val="Text2"/>
          </w:rPr>
          <w:t>uvt-kvm(1)</w:t>
        </w:r>
      </w:hyperlink>
      <w:r>
        <w:t xml:space="preserve"> manual pages.</w:t>
      </w:r>
    </w:p>
    <w:p>
      <w:pPr>
        <w:pStyle w:val="Para 17"/>
      </w:pPr>
      <w:r>
        <w:t/>
      </w:r>
    </w:p>
    <w:p>
      <w:pPr>
        <w:pStyle w:val="Para 01"/>
      </w:pPr>
      <w:r>
        <w:t>Resources</w:t>
      </w:r>
    </w:p>
    <w:p>
      <w:pPr>
        <w:pStyle w:val="Para 17"/>
      </w:pPr>
      <w:r>
        <w:t/>
      </w:r>
    </w:p>
    <w:p>
      <w:pPr>
        <w:pStyle w:val="Normal"/>
      </w:pPr>
      <w:r>
        <w:t>If you are interested in learning more, have questions or suggestions, please contact the Ubuntu Server Team at:</w:t>
      </w:r>
    </w:p>
    <w:p>
      <w:pPr>
        <w:pStyle w:val="Para 13"/>
      </w:pPr>
      <w:r>
        <w:rPr>
          <w:rStyle w:val="Text7"/>
        </w:rPr>
        <w:t xml:space="preserve">• </w:t>
      </w:r>
      <w:hyperlink w:anchor="page_548">
        <w:r>
          <w:rPr>
            <w:rStyle w:val="Text10"/>
          </w:rPr>
          <w:t>541</w:t>
        </w:r>
      </w:hyperlink>
      <w:r>
        <w:rPr>
          <w:rStyle w:val="Text7"/>
        </w:rPr>
        <w:t xml:space="preserve"> </w:t>
      </w:r>
      <w:hyperlink r:id="rId1034">
        <w:r>
          <w:t>#server in Ubuntu Matrix</w:t>
        </w:r>
      </w:hyperlink>
    </w:p>
    <w:p>
      <w:pPr>
        <w:pStyle w:val="Para 13"/>
      </w:pPr>
      <w:r>
        <w:rPr>
          <w:rStyle w:val="Text7"/>
        </w:rPr>
        <w:t xml:space="preserve">• Mailing list: </w:t>
      </w:r>
      <w:hyperlink r:id="rId1476">
        <w:r>
          <w:rPr>
            <w:rStyle w:val="Text10"/>
          </w:rPr>
          <w:t>542</w:t>
        </w:r>
      </w:hyperlink>
      <w:hyperlink r:id="rId1476">
        <w:r>
          <w:t xml:space="preserve"> ubuntu-server at lists.ubuntu.com</w:t>
        </w:r>
      </w:hyperlink>
    </w:p>
    <w:p>
      <w:pPr>
        <w:pStyle w:val="Para 05"/>
      </w:pPr>
      <w:r>
        <w:rPr>
          <w:rStyle w:val="Text5"/>
        </w:rPr>
        <w:t>540</w:t>
      </w:r>
      <w:r>
        <w:rPr>
          <w:rStyle w:val="Text8"/>
        </w:rPr>
        <w:t xml:space="preserve"> </w:t>
      </w:r>
      <w:r>
        <w:t>https://manpages.ubuntu.com/manpages/resolute/man1/uvt-kvm.1.html</w:t>
      </w:r>
    </w:p>
    <w:p>
      <w:pPr>
        <w:pStyle w:val="Para 05"/>
      </w:pPr>
      <w:r>
        <w:rPr>
          <w:rStyle w:val="Text5"/>
        </w:rPr>
        <w:t>541</w:t>
      </w:r>
      <w:r>
        <w:rPr>
          <w:rStyle w:val="Text8"/>
        </w:rPr>
        <w:t xml:space="preserve"> </w:t>
      </w:r>
      <w:r>
        <w:t>https://matrix.to/#/#server:ubuntu.com</w:t>
      </w:r>
    </w:p>
    <w:p>
      <w:pPr>
        <w:pStyle w:val="Para 05"/>
      </w:pPr>
      <w:r>
        <w:rPr>
          <w:rStyle w:val="Text5"/>
        </w:rPr>
        <w:t>542</w:t>
      </w:r>
      <w:r>
        <w:rPr>
          <w:rStyle w:val="Text8"/>
        </w:rPr>
        <w:t xml:space="preserve"> </w:t>
      </w:r>
      <w:r>
        <w:t>https://lists.ubuntu.com/mailman/listinfo/ubuntu-server</w:t>
      </w:r>
    </w:p>
    <w:p>
      <w:bookmarkStart w:id="831" w:name="calibre_pb_141"/>
      <w:pPr>
        <w:pStyle w:val="0 Block"/>
      </w:pPr>
      <w:bookmarkEnd w:id="831"/>
    </w:p>
    <w:p>
      <w:bookmarkStart w:id="832" w:name="Top_of_index_split_142_html"/>
      <w:bookmarkStart w:id="833" w:name="page_54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8" name="index-549_1.png" descr="index-549_1.png"/>
            <wp:cNvGraphicFramePr>
              <a:graphicFrameLocks noChangeAspect="1"/>
            </wp:cNvGraphicFramePr>
            <a:graphic>
              <a:graphicData uri="http://schemas.openxmlformats.org/drawingml/2006/picture">
                <pic:pic>
                  <pic:nvPicPr>
                    <pic:cNvPr id="0" name="index-549_1.png" descr="index-549_1.png"/>
                    <pic:cNvPicPr/>
                  </pic:nvPicPr>
                  <pic:blipFill>
                    <a:blip r:embed="rId562"/>
                    <a:stretch>
                      <a:fillRect/>
                    </a:stretch>
                  </pic:blipFill>
                  <pic:spPr>
                    <a:xfrm>
                      <a:off x="0" y="0"/>
                      <a:ext cx="914400" cy="266700"/>
                    </a:xfrm>
                    <a:prstGeom prst="rect">
                      <a:avLst/>
                    </a:prstGeom>
                  </pic:spPr>
                </pic:pic>
              </a:graphicData>
            </a:graphic>
          </wp:anchor>
        </w:drawing>
      </w:r>
      <w:bookmarkEnd w:id="832"/>
      <w:bookmarkEnd w:id="833"/>
    </w:p>
    <w:p>
      <w:bookmarkStart w:id="834" w:name="QEMU"/>
      <w:bookmarkStart w:id="835" w:name="Top_of_index_split_143_html"/>
      <w:pPr>
        <w:pStyle w:val="Heading 1"/>
        <w:pageBreakBefore w:val="on"/>
      </w:pPr>
      <w:r>
        <w:t>QEMU</w:t>
      </w:r>
      <w:bookmarkEnd w:id="834"/>
      <w:bookmarkEnd w:id="835"/>
    </w:p>
    <w:p>
      <w:pPr>
        <w:pStyle w:val="Para 17"/>
      </w:pPr>
      <w:r>
        <w:t/>
      </w:r>
    </w:p>
    <w:p>
      <w:pPr>
        <w:pStyle w:val="Para 08"/>
      </w:pPr>
      <w:r>
        <w:t>Note:</w:t>
      </w:r>
    </w:p>
    <w:p>
      <w:pPr>
        <w:pStyle w:val="Para 03"/>
      </w:pPr>
      <w:r>
        <w:t>Please bear in mind that invoking QEMU manually may sometimes require your user to be</w:t>
      </w:r>
    </w:p>
    <w:p>
      <w:pPr>
        <w:pStyle w:val="Para 03"/>
      </w:pPr>
      <w:r>
        <w:t>part of the kvm group.</w:t>
      </w:r>
    </w:p>
    <w:p>
      <w:pPr>
        <w:pStyle w:val="Para 17"/>
      </w:pPr>
      <w:r>
        <w:t/>
      </w:r>
    </w:p>
    <w:p>
      <w:pPr>
        <w:pStyle w:val="Para 01"/>
      </w:pPr>
      <w:r>
        <w:t>Virtualisation with QEMU</w:t>
      </w:r>
    </w:p>
    <w:p>
      <w:pPr>
        <w:pStyle w:val="Para 17"/>
      </w:pPr>
      <w:r>
        <w:t/>
      </w:r>
    </w:p>
    <w:p>
      <w:pPr>
        <w:pStyle w:val="Normal"/>
      </w:pPr>
      <w:hyperlink r:id="rId1477">
        <w:r>
          <w:rPr>
            <w:rStyle w:val="Text1"/>
          </w:rPr>
          <w:t>QEMU</w:t>
        </w:r>
      </w:hyperlink>
      <w:hyperlink r:id="rId1477">
        <w:r>
          <w:rPr>
            <w:rStyle w:val="Text9"/>
          </w:rPr>
          <w:t>543</w:t>
        </w:r>
      </w:hyperlink>
      <w:r>
        <w:t xml:space="preserve"> is a machine emulator that can run operating systems and programs for one ma-chine on a different machine. However, it is more often used as a virtualizer in collaboration</w:t>
      </w:r>
    </w:p>
    <w:p>
      <w:pPr>
        <w:pStyle w:val="Normal"/>
      </w:pPr>
      <w:r>
        <w:t xml:space="preserve">with </w:t>
      </w:r>
      <w:hyperlink w:anchor="page_549">
        <w:r>
          <w:rPr>
            <w:rStyle w:val="Text9"/>
          </w:rPr>
          <w:t>544</w:t>
        </w:r>
      </w:hyperlink>
      <w:r>
        <w:t xml:space="preserve"> </w:t>
      </w:r>
      <w:hyperlink r:id="rId1478">
        <w:r>
          <w:rPr>
            <w:rStyle w:val="Text1"/>
          </w:rPr>
          <w:t>KVM</w:t>
        </w:r>
      </w:hyperlink>
      <w:r>
        <w:t xml:space="preserve"> kernel components. In that case it uses the hardware virtualization technology to virtualize guests.</w:t>
      </w:r>
    </w:p>
    <w:p>
      <w:pPr>
        <w:pStyle w:val="Normal"/>
      </w:pPr>
      <w:r>
        <w:t xml:space="preserve">Although QEMU has a </w:t>
      </w:r>
      <w:hyperlink r:id="rId1479">
        <w:r>
          <w:rPr>
            <w:rStyle w:val="Text9"/>
          </w:rPr>
          <w:t>545</w:t>
        </w:r>
      </w:hyperlink>
      <w:r>
        <w:t xml:space="preserve"> </w:t>
      </w:r>
      <w:hyperlink r:id="rId1480">
        <w:r>
          <w:rPr>
            <w:rStyle w:val="Text9"/>
          </w:rPr>
          <w:t>546</w:t>
        </w:r>
      </w:hyperlink>
      <w:hyperlink r:id="rId1480">
        <w:r>
          <w:rPr>
            <w:rStyle w:val="Text1"/>
          </w:rPr>
          <w:t xml:space="preserve"> command line interface</w:t>
        </w:r>
      </w:hyperlink>
      <w:r>
        <w:t xml:space="preserve"> and a </w:t>
      </w:r>
      <w:hyperlink r:id="rId1480">
        <w:r>
          <w:rPr>
            <w:rStyle w:val="Text1"/>
          </w:rPr>
          <w:t>monitor</w:t>
        </w:r>
      </w:hyperlink>
      <w:r>
        <w:t xml:space="preserve"> to interact with running</w:t>
      </w:r>
    </w:p>
    <w:p>
      <w:pPr>
        <w:pStyle w:val="Normal"/>
      </w:pPr>
      <w:r>
        <w:t xml:space="preserve">guests, they are typically only used for development purposes. On the other hand, </w:t>
      </w:r>
      <w:hyperlink w:anchor="page_564">
        <w:r>
          <w:rPr>
            <w:rStyle w:val="Text2"/>
          </w:rPr>
          <w:t>libvirt</w:t>
        </w:r>
      </w:hyperlink>
      <w:r>
        <w:t xml:space="preserve"> (page 563) provides an abstraction from specific versions and hypervisors, and encapsulates some workarounds and best practices.</w:t>
      </w:r>
    </w:p>
    <w:p>
      <w:pPr>
        <w:pStyle w:val="Para 17"/>
      </w:pPr>
      <w:r>
        <w:t/>
      </w:r>
    </w:p>
    <w:p>
      <w:pPr>
        <w:pStyle w:val="Para 01"/>
      </w:pPr>
      <w:r>
        <w:t>Install QEMU/KVM</w:t>
      </w:r>
    </w:p>
    <w:p>
      <w:pPr>
        <w:pStyle w:val="Para 17"/>
      </w:pPr>
      <w:r>
        <w:t/>
      </w:r>
    </w:p>
    <w:p>
      <w:pPr>
        <w:pStyle w:val="Normal"/>
      </w:pPr>
      <w:r>
        <w:t>The first step to using QEMU/KVM on Ubuntu is to check if your system supports KVM.</w:t>
      </w:r>
    </w:p>
    <w:p>
      <w:pPr>
        <w:pStyle w:val="Normal"/>
      </w:pPr>
      <w:r>
        <w:t>kvm-ok</w:t>
      </w:r>
    </w:p>
    <w:p>
      <w:pPr>
        <w:pStyle w:val="Para 17"/>
      </w:pPr>
      <w:r>
        <w:t/>
      </w:r>
    </w:p>
    <w:p>
      <w:pPr>
        <w:pStyle w:val="Para 08"/>
      </w:pPr>
      <w:r>
        <w:t>Note:</w:t>
      </w:r>
    </w:p>
    <w:p>
      <w:pPr>
        <w:pStyle w:val="Para 03"/>
      </w:pPr>
      <w:r>
        <w:t>The command kvm-ok is part of the cpu-checker package. Install it with sudo apt install</w:t>
      </w:r>
    </w:p>
    <w:p>
      <w:pPr>
        <w:pStyle w:val="Para 03"/>
      </w:pPr>
      <w:r>
        <w:t>cpu-checker if it is not already present.</w:t>
      </w:r>
    </w:p>
    <w:p>
      <w:pPr>
        <w:pStyle w:val="Para 17"/>
      </w:pPr>
      <w:r>
        <w:t/>
      </w:r>
    </w:p>
    <w:p>
      <w:pPr>
        <w:pStyle w:val="Normal"/>
      </w:pPr>
      <w:r>
        <w:t>You should get an output saying KVM acceleration can be used.</w:t>
      </w:r>
    </w:p>
    <w:p>
      <w:pPr>
        <w:pStyle w:val="Normal"/>
      </w:pPr>
      <w:r>
        <w:t>The next step is to install QEMU.</w:t>
      </w:r>
    </w:p>
    <w:p>
      <w:pPr>
        <w:pStyle w:val="Normal"/>
      </w:pPr>
      <w:r>
        <w:t>sudo apt-get install qemu-system</w:t>
      </w:r>
    </w:p>
    <w:p>
      <w:pPr>
        <w:pStyle w:val="Para 05"/>
      </w:pPr>
      <w:r>
        <w:rPr>
          <w:rStyle w:val="Text5"/>
        </w:rPr>
        <w:t>543</w:t>
      </w:r>
      <w:r>
        <w:rPr>
          <w:rStyle w:val="Text8"/>
        </w:rPr>
        <w:t xml:space="preserve"> </w:t>
      </w:r>
      <w:r>
        <w:t>https://wiki.qemu.org/Main_Page</w:t>
      </w:r>
    </w:p>
    <w:p>
      <w:pPr>
        <w:pStyle w:val="Para 05"/>
      </w:pPr>
      <w:r>
        <w:rPr>
          <w:rStyle w:val="Text5"/>
        </w:rPr>
        <w:t>544</w:t>
      </w:r>
      <w:r>
        <w:rPr>
          <w:rStyle w:val="Text8"/>
        </w:rPr>
        <w:t xml:space="preserve"> </w:t>
      </w:r>
      <w:r>
        <w:t>https://www.linux-kvm.org/page/Main_Page</w:t>
      </w:r>
    </w:p>
    <w:p>
      <w:pPr>
        <w:pStyle w:val="Para 05"/>
      </w:pPr>
      <w:r>
        <w:rPr>
          <w:rStyle w:val="Text5"/>
        </w:rPr>
        <w:t>545</w:t>
      </w:r>
      <w:r>
        <w:rPr>
          <w:rStyle w:val="Text8"/>
        </w:rPr>
        <w:t xml:space="preserve"> </w:t>
      </w:r>
      <w:r>
        <w:t>https://qemu-project.gitlab.io/qemu/system/invocation.html</w:t>
      </w:r>
    </w:p>
    <w:p>
      <w:pPr>
        <w:pStyle w:val="Para 05"/>
      </w:pPr>
      <w:r>
        <w:rPr>
          <w:rStyle w:val="Text5"/>
        </w:rPr>
        <w:t>546</w:t>
      </w:r>
      <w:r>
        <w:rPr>
          <w:rStyle w:val="Text8"/>
        </w:rPr>
        <w:t xml:space="preserve"> </w:t>
      </w:r>
      <w:r>
        <w:t>https://qemu-project.gitlab.io/qemu/system/monitor.html</w:t>
      </w:r>
    </w:p>
    <w:p>
      <w:bookmarkStart w:id="836" w:name="calibre_pb_143"/>
      <w:pPr>
        <w:pStyle w:val="0 Block"/>
      </w:pPr>
      <w:bookmarkEnd w:id="836"/>
    </w:p>
    <w:p>
      <w:bookmarkStart w:id="837" w:name="page_550"/>
      <w:bookmarkStart w:id="838" w:name="Top_of_index_split_14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59" name="index-550_1.png" descr="index-550_1.png"/>
            <wp:cNvGraphicFramePr>
              <a:graphicFrameLocks noChangeAspect="1"/>
            </wp:cNvGraphicFramePr>
            <a:graphic>
              <a:graphicData uri="http://schemas.openxmlformats.org/drawingml/2006/picture">
                <pic:pic>
                  <pic:nvPicPr>
                    <pic:cNvPr id="0" name="index-550_1.png" descr="index-550_1.png"/>
                    <pic:cNvPicPr/>
                  </pic:nvPicPr>
                  <pic:blipFill>
                    <a:blip r:embed="rId563"/>
                    <a:stretch>
                      <a:fillRect/>
                    </a:stretch>
                  </pic:blipFill>
                  <pic:spPr>
                    <a:xfrm>
                      <a:off x="0" y="0"/>
                      <a:ext cx="914400" cy="266700"/>
                    </a:xfrm>
                    <a:prstGeom prst="rect">
                      <a:avLst/>
                    </a:prstGeom>
                  </pic:spPr>
                </pic:pic>
              </a:graphicData>
            </a:graphic>
          </wp:anchor>
        </w:drawing>
      </w:r>
      <w:bookmarkEnd w:id="837"/>
      <w:bookmarkEnd w:id="838"/>
    </w:p>
    <w:p>
      <w:pPr>
        <w:pStyle w:val="Para 01"/>
      </w:pPr>
      <w:r>
        <w:t>Boot a VM</w:t>
      </w:r>
    </w:p>
    <w:p>
      <w:pPr>
        <w:pStyle w:val="Para 17"/>
      </w:pPr>
      <w:r>
        <w:t/>
      </w:r>
    </w:p>
    <w:p>
      <w:pPr>
        <w:pStyle w:val="Normal"/>
      </w:pPr>
      <w:r>
        <w:t>The quickest way to get started with QEMU is by booting a VM directly from a live ISO. You can achieve this by running the following command:</w:t>
      </w:r>
    </w:p>
    <w:p>
      <w:pPr>
        <w:pStyle w:val="Normal"/>
      </w:pPr>
      <w:r>
        <w:t>qemu-system-x86_64 -m 4G -enable-kvm -cdrom http://releases.ubuntu.com/noble/ubuntu-24.04.</w:t>
        <w:t xml:space="preserve"> </w:t>
        <w:t>3-live-server-amd64.iso</w:t>
      </w:r>
    </w:p>
    <w:p>
      <w:pPr>
        <w:pStyle w:val="Para 17"/>
      </w:pPr>
      <w:r>
        <w:t/>
      </w:r>
    </w:p>
    <w:p>
      <w:pPr>
        <w:pStyle w:val="Para 08"/>
      </w:pPr>
      <w:r>
        <w:t>Caution:</w:t>
      </w:r>
    </w:p>
    <w:p>
      <w:pPr>
        <w:pStyle w:val="Para 03"/>
      </w:pPr>
      <w:r>
        <w:t>This example is just for illustration purposes - it is not generally recommended without</w:t>
      </w:r>
    </w:p>
    <w:p>
      <w:pPr>
        <w:pStyle w:val="Para 03"/>
      </w:pPr>
      <w:r>
        <w:t xml:space="preserve">verifying the checksums. </w:t>
      </w:r>
      <w:hyperlink w:anchor="page_541">
        <w:r>
          <w:rPr>
            <w:rStyle w:val="Text2"/>
          </w:rPr>
          <w:t>Multipass</w:t>
        </w:r>
      </w:hyperlink>
      <w:r>
        <w:t xml:space="preserve"> (page 540) and </w:t>
      </w:r>
      <w:hyperlink w:anchor="page_545">
        <w:r>
          <w:rPr>
            <w:rStyle w:val="Text2"/>
          </w:rPr>
          <w:t>UVTool</w:t>
        </w:r>
      </w:hyperlink>
      <w:r>
        <w:t xml:space="preserve"> (page 544) are much better</w:t>
      </w:r>
    </w:p>
    <w:p>
      <w:pPr>
        <w:pStyle w:val="Para 03"/>
      </w:pPr>
      <w:r>
        <w:t>ways to get actual guests easily.</w:t>
      </w:r>
    </w:p>
    <w:p>
      <w:pPr>
        <w:pStyle w:val="Para 17"/>
      </w:pPr>
      <w:r>
        <w:t/>
      </w:r>
    </w:p>
    <w:p>
      <w:pPr>
        <w:pStyle w:val="Normal"/>
      </w:pPr>
      <w:r>
        <w:t>If you are testing this example on a headless system, specify an alternative display method</w:t>
      </w:r>
    </w:p>
    <w:p>
      <w:pPr>
        <w:pStyle w:val="Normal"/>
      </w:pPr>
      <w:r>
        <w:t xml:space="preserve">such as </w:t>
      </w:r>
      <w:hyperlink w:anchor="page_714">
        <w:r>
          <w:rPr>
            <w:rStyle w:val="Text2"/>
          </w:rPr>
          <w:t>VNC</w:t>
        </w:r>
      </w:hyperlink>
      <w:r>
        <w:t xml:space="preserve"> .</w:t>
      </w:r>
    </w:p>
    <w:p>
      <w:pPr>
        <w:pStyle w:val="Para 17"/>
      </w:pPr>
      <w:r>
        <w:t/>
      </w:r>
    </w:p>
    <w:p>
      <w:pPr>
        <w:pStyle w:val="Para 01"/>
      </w:pPr>
      <w:r>
        <w:t>Create a virtual disk</w:t>
      </w:r>
    </w:p>
    <w:p>
      <w:pPr>
        <w:pStyle w:val="Para 17"/>
      </w:pPr>
      <w:r>
        <w:t/>
      </w:r>
    </w:p>
    <w:p>
      <w:pPr>
        <w:pStyle w:val="Normal"/>
      </w:pPr>
      <w:r>
        <w:t>The command in the previous sub-section boots the system entirely in RAM without persis-tent storage. To maintain the OS state across reboots or install the OS, you should attach a disk to the VM:</w:t>
      </w:r>
    </w:p>
    <w:p>
      <w:pPr>
        <w:pStyle w:val="Normal"/>
      </w:pPr>
      <w:r>
        <w:t>qemu-img create -f qcow2 disk.qcow 5G</w:t>
      </w:r>
    </w:p>
    <w:p>
      <w:pPr>
        <w:pStyle w:val="Para 17"/>
      </w:pPr>
      <w:r>
        <w:t/>
      </w:r>
    </w:p>
    <w:p>
      <w:pPr>
        <w:pStyle w:val="Normal"/>
      </w:pPr>
      <w:r>
        <w:t>The disk can then be added to the VM by using the argument:-drive file=disk.qcow, format=qcow2.</w:t>
      </w:r>
    </w:p>
    <w:p>
      <w:pPr>
        <w:pStyle w:val="Normal"/>
      </w:pPr>
      <w:r>
        <w:t>These tools can do much more, as you will discover in their respective (long) manual pages. They can also be made more consumable for specific use cases and needs through a vast</w:t>
      </w:r>
    </w:p>
    <w:p>
      <w:pPr>
        <w:pStyle w:val="Normal"/>
      </w:pPr>
      <w:r>
        <w:t xml:space="preserve">selection of auxiliary tools - for example </w:t>
      </w:r>
      <w:hyperlink w:anchor="page_550">
        <w:r>
          <w:rPr>
            <w:rStyle w:val="Text9"/>
          </w:rPr>
          <w:t>547</w:t>
        </w:r>
      </w:hyperlink>
      <w:r>
        <w:t xml:space="preserve"> </w:t>
      </w:r>
      <w:hyperlink r:id="rId1481">
        <w:r>
          <w:rPr>
            <w:rStyle w:val="Text9"/>
          </w:rPr>
          <w:t>548</w:t>
        </w:r>
      </w:hyperlink>
      <w:r>
        <w:t xml:space="preserve"> </w:t>
      </w:r>
      <w:hyperlink r:id="rId1470">
        <w:r>
          <w:rPr>
            <w:rStyle w:val="Text1"/>
          </w:rPr>
          <w:t>virt-manager</w:t>
        </w:r>
      </w:hyperlink>
      <w:r>
        <w:t xml:space="preserve"> for UI-driven use through </w:t>
      </w:r>
      <w:hyperlink r:id="rId1481">
        <w:r>
          <w:rPr>
            <w:rStyle w:val="Text1"/>
          </w:rPr>
          <w:t>libvirt</w:t>
        </w:r>
      </w:hyperlink>
      <w:r>
        <w:t>.</w:t>
      </w:r>
    </w:p>
    <w:p>
      <w:pPr>
        <w:pStyle w:val="Normal"/>
      </w:pPr>
      <w:r>
        <w:t>But in general, it comes down to:</w:t>
      </w:r>
    </w:p>
    <w:p>
      <w:pPr>
        <w:pStyle w:val="Normal"/>
      </w:pPr>
      <w:r>
        <w:t>qemu-system-x86_64 options image</w:t>
        <w:t>[</w:t>
        <w:t>s</w:t>
        <w:t>]</w:t>
      </w:r>
    </w:p>
    <w:p>
      <w:pPr>
        <w:pStyle w:val="Para 17"/>
      </w:pPr>
      <w:r>
        <w:t/>
      </w:r>
    </w:p>
    <w:p>
      <w:pPr>
        <w:pStyle w:val="Normal"/>
      </w:pPr>
      <w:r>
        <w:t xml:space="preserve">So take a look at the </w:t>
      </w:r>
      <w:hyperlink w:anchor="page_550">
        <w:r>
          <w:rPr>
            <w:rStyle w:val="Text9"/>
          </w:rPr>
          <w:t>549</w:t>
        </w:r>
      </w:hyperlink>
      <w:hyperlink w:anchor="page_550">
        <w:r>
          <w:rPr>
            <w:rStyle w:val="Text1"/>
          </w:rPr>
          <w:t xml:space="preserve"> </w:t>
        </w:r>
      </w:hyperlink>
      <w:hyperlink w:anchor="page_550">
        <w:r>
          <w:rPr>
            <w:rStyle w:val="Text9"/>
          </w:rPr>
          <w:t>550</w:t>
        </w:r>
      </w:hyperlink>
      <w:hyperlink w:anchor="page_550">
        <w:r>
          <w:rPr>
            <w:rStyle w:val="Text1"/>
          </w:rPr>
          <w:t xml:space="preserve"> </w:t>
        </w:r>
      </w:hyperlink>
      <w:hyperlink w:anchor="page_550">
        <w:r>
          <w:rPr>
            <w:rStyle w:val="Text9"/>
          </w:rPr>
          <w:t>551</w:t>
        </w:r>
      </w:hyperlink>
      <w:r>
        <w:t xml:space="preserve"> </w:t>
      </w:r>
      <w:hyperlink r:id="rId1482">
        <w:r>
          <w:rPr>
            <w:rStyle w:val="Text2"/>
          </w:rPr>
          <w:t>QEMU manpage</w:t>
        </w:r>
      </w:hyperlink>
      <w:r>
        <w:t xml:space="preserve"> , </w:t>
      </w:r>
      <w:hyperlink r:id="rId1483">
        <w:r>
          <w:rPr>
            <w:rStyle w:val="Text2"/>
          </w:rPr>
          <w:t>qemu-img(1)</w:t>
        </w:r>
      </w:hyperlink>
      <w:r>
        <w:t xml:space="preserve"> and the </w:t>
      </w:r>
      <w:hyperlink r:id="rId1484">
        <w:r>
          <w:rPr>
            <w:rStyle w:val="Text1"/>
          </w:rPr>
          <w:t>QEMU documentation</w:t>
        </w:r>
      </w:hyperlink>
      <w:r>
        <w:t xml:space="preserve"> and</w:t>
      </w:r>
    </w:p>
    <w:p>
      <w:pPr>
        <w:pStyle w:val="Normal"/>
      </w:pPr>
      <w:r>
        <w:t>see which options best suit your needs.</w:t>
      </w:r>
    </w:p>
    <w:p>
      <w:pPr>
        <w:pStyle w:val="Normal"/>
      </w:pPr>
      <w:r>
        <w:t>While a standard QEMU configuration works for most use cases, some scenarios demand high-vCPU VMs. In the next section, we’ll cover how to create QEMU virtual machines with up to 1024 vCPUs.</w:t>
      </w:r>
    </w:p>
    <w:p>
      <w:pPr>
        <w:pStyle w:val="Para 05"/>
      </w:pPr>
      <w:r>
        <w:rPr>
          <w:rStyle w:val="Text5"/>
        </w:rPr>
        <w:t>547</w:t>
      </w:r>
      <w:r>
        <w:rPr>
          <w:rStyle w:val="Text8"/>
        </w:rPr>
        <w:t xml:space="preserve"> </w:t>
      </w:r>
      <w:r>
        <w:t>https://virt-manager.org/</w:t>
      </w:r>
    </w:p>
    <w:p>
      <w:pPr>
        <w:pStyle w:val="Para 05"/>
      </w:pPr>
      <w:r>
        <w:rPr>
          <w:rStyle w:val="Text5"/>
        </w:rPr>
        <w:t>548</w:t>
      </w:r>
      <w:r>
        <w:rPr>
          <w:rStyle w:val="Text8"/>
        </w:rPr>
        <w:t xml:space="preserve"> </w:t>
      </w:r>
      <w:r>
        <w:t>https://libvirt.org/</w:t>
      </w:r>
    </w:p>
    <w:p>
      <w:pPr>
        <w:pStyle w:val="Para 05"/>
      </w:pPr>
      <w:r>
        <w:rPr>
          <w:rStyle w:val="Text5"/>
        </w:rPr>
        <w:t>549</w:t>
      </w:r>
      <w:r>
        <w:rPr>
          <w:rStyle w:val="Text8"/>
        </w:rPr>
        <w:t xml:space="preserve"> </w:t>
      </w:r>
      <w:r>
        <w:t>https://manpages.ubuntu.com/manpages/resolute/man1/qemu-system.1.html</w:t>
      </w:r>
    </w:p>
    <w:p>
      <w:pPr>
        <w:pStyle w:val="Para 05"/>
      </w:pPr>
      <w:r>
        <w:rPr>
          <w:rStyle w:val="Text5"/>
        </w:rPr>
        <w:t>550</w:t>
      </w:r>
      <w:r>
        <w:rPr>
          <w:rStyle w:val="Text8"/>
        </w:rPr>
        <w:t xml:space="preserve"> </w:t>
      </w:r>
      <w:r>
        <w:t>https://manpages.ubuntu.com/manpages/resolute/man1/qemu-img.1.html</w:t>
      </w:r>
    </w:p>
    <w:p>
      <w:pPr>
        <w:pStyle w:val="Para 05"/>
      </w:pPr>
      <w:r>
        <w:rPr>
          <w:rStyle w:val="Text5"/>
        </w:rPr>
        <w:t>551</w:t>
      </w:r>
      <w:r>
        <w:rPr>
          <w:rStyle w:val="Text8"/>
        </w:rPr>
        <w:t xml:space="preserve"> </w:t>
      </w:r>
      <w:r>
        <w:t>https://www.qemu.org/documentation/</w:t>
      </w:r>
    </w:p>
    <w:p>
      <w:bookmarkStart w:id="839" w:name="calibre_pb_144"/>
      <w:pPr>
        <w:pStyle w:val="0 Block"/>
      </w:pPr>
      <w:bookmarkEnd w:id="839"/>
    </w:p>
    <w:p>
      <w:bookmarkStart w:id="840" w:name="page_551"/>
      <w:bookmarkStart w:id="841" w:name="Top_of_index_split_14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0" name="index-551_1.png" descr="index-551_1.png"/>
            <wp:cNvGraphicFramePr>
              <a:graphicFrameLocks noChangeAspect="1"/>
            </wp:cNvGraphicFramePr>
            <a:graphic>
              <a:graphicData uri="http://schemas.openxmlformats.org/drawingml/2006/picture">
                <pic:pic>
                  <pic:nvPicPr>
                    <pic:cNvPr id="0" name="index-551_1.png" descr="index-551_1.png"/>
                    <pic:cNvPicPr/>
                  </pic:nvPicPr>
                  <pic:blipFill>
                    <a:blip r:embed="rId564"/>
                    <a:stretch>
                      <a:fillRect/>
                    </a:stretch>
                  </pic:blipFill>
                  <pic:spPr>
                    <a:xfrm>
                      <a:off x="0" y="0"/>
                      <a:ext cx="914400" cy="266700"/>
                    </a:xfrm>
                    <a:prstGeom prst="rect">
                      <a:avLst/>
                    </a:prstGeom>
                  </pic:spPr>
                </pic:pic>
              </a:graphicData>
            </a:graphic>
          </wp:anchor>
        </w:drawing>
      </w:r>
      <w:bookmarkEnd w:id="840"/>
      <w:bookmarkEnd w:id="841"/>
    </w:p>
    <w:p>
      <w:pPr>
        <w:pStyle w:val="Para 01"/>
      </w:pPr>
      <w:r>
        <w:t>Create QEMU VMs with up to 1024 vCPUs</w:t>
      </w:r>
    </w:p>
    <w:p>
      <w:pPr>
        <w:pStyle w:val="Para 17"/>
      </w:pPr>
      <w:r>
        <w:t/>
      </w:r>
    </w:p>
    <w:p>
      <w:pPr>
        <w:pStyle w:val="Normal"/>
      </w:pPr>
      <w:r>
        <w:t>For a long time, QEMU only supported launching virtual machines with 288 vCPUs or fewer. While this was acceptable a decade ago, nowadays it is more common to see processors with 300+ physical cores available. For this reason, QEMU has been modified to support virtual machines with up to 1024 vCPUs. The caveat is that the user has to provide a few specific (and not trivial to guess) command line options to enable such a feature, and that is the gap that this document aims to fill.</w:t>
      </w:r>
    </w:p>
    <w:p>
      <w:pPr>
        <w:pStyle w:val="Para 17"/>
      </w:pPr>
      <w:r>
        <w:t/>
      </w:r>
    </w:p>
    <w:p>
      <w:pPr>
        <w:pStyle w:val="Para 01"/>
      </w:pPr>
      <w:r>
        <w:t>Requirement</w:t>
      </w:r>
    </w:p>
    <w:p>
      <w:pPr>
        <w:pStyle w:val="Para 17"/>
      </w:pPr>
      <w:r>
        <w:t/>
      </w:r>
    </w:p>
    <w:p>
      <w:pPr>
        <w:pStyle w:val="Normal"/>
      </w:pPr>
      <w:r>
        <w:t>To support more than 288 vCPUs, some QEMU versions are only compatible with special ma-chine types.</w:t>
      </w:r>
    </w:p>
    <w:p>
      <w:pPr>
        <w:pStyle w:val="Para 17"/>
      </w:pPr>
      <w:r>
        <w:t/>
      </w:r>
    </w:p>
    <w:p>
      <w:pPr>
        <w:pStyle w:val="Para 03"/>
      </w:pPr>
      <w:r>
        <w:t>QEMU Ubuntu release Supported machine types</w:t>
      </w:r>
    </w:p>
    <w:p>
      <w:pPr>
        <w:pStyle w:val="Para 03"/>
      </w:pPr>
      <w:r>
        <w:t>version</w:t>
      </w:r>
    </w:p>
    <w:p>
      <w:pPr>
        <w:pStyle w:val="Para 03"/>
      </w:pPr>
      <w:r>
        <w:t>QEMU Ubuntu 24.04 LTS ubuntu (Native support, also supports Jammy and Mantic</w:t>
      </w:r>
    </w:p>
    <w:p>
      <w:pPr>
        <w:pStyle w:val="Para 03"/>
      </w:pPr>
      <w:r>
        <w:t>8.2.1+ (Noble) machine types)</w:t>
      </w:r>
    </w:p>
    <w:p>
      <w:pPr>
        <w:pStyle w:val="Para 03"/>
      </w:pPr>
      <w:r>
        <w:t>QEMU Ubuntu 23.10 pc-q35-mantic-maxcpus, pc-i440fx-mantic-maxcpus (Also</w:t>
      </w:r>
    </w:p>
    <w:p>
      <w:pPr>
        <w:pStyle w:val="Para 03"/>
      </w:pPr>
      <w:r>
        <w:t>8.0.4 (Mantic) supports Jammy machine types)</w:t>
      </w:r>
    </w:p>
    <w:p>
      <w:pPr>
        <w:pStyle w:val="Para 03"/>
      </w:pPr>
      <w:r>
        <w:t>QEMU Ubuntu 22.04 LTS pc-q35-jammy-maxcpus, pc-i440fx-jammy-maxcpus</w:t>
      </w:r>
    </w:p>
    <w:p>
      <w:pPr>
        <w:pStyle w:val="Para 03"/>
      </w:pPr>
      <w:r>
        <w:t>6.2 (Jammy)</w:t>
      </w:r>
    </w:p>
    <w:p>
      <w:pPr>
        <w:pStyle w:val="Para 17"/>
      </w:pPr>
      <w:r>
        <w:t/>
      </w:r>
    </w:p>
    <w:p>
      <w:pPr>
        <w:pStyle w:val="Para 01"/>
      </w:pPr>
      <w:r>
        <w:t>Configuration by Ubuntu release</w:t>
      </w:r>
    </w:p>
    <w:p>
      <w:pPr>
        <w:pStyle w:val="Para 17"/>
      </w:pPr>
      <w:r>
        <w:t/>
      </w:r>
    </w:p>
    <w:p>
      <w:pPr>
        <w:pStyle w:val="Para 01"/>
      </w:pPr>
      <w:r>
        <w:t>24.04 Noble</w:t>
      </w:r>
    </w:p>
    <w:p>
      <w:pPr>
        <w:pStyle w:val="Para 17"/>
      </w:pPr>
      <w:r>
        <w:t/>
      </w:r>
    </w:p>
    <w:p>
      <w:pPr>
        <w:pStyle w:val="Normal"/>
      </w:pPr>
      <w:r>
        <w:t>From Noble onward, the regular ubuntu machine type supports up to 1024 vCPUs out of the box, which simplifies the command used to create such virtual machines:</w:t>
      </w:r>
    </w:p>
    <w:p>
      <w:pPr>
        <w:pStyle w:val="Normal"/>
      </w:pPr>
      <w:r>
        <w:t>qemu</w:t>
        <w:t>-</w:t>
        <w:t>system</w:t>
        <w:t>-</w:t>
        <w:t>x86_64</w:t>
        <w:t>-</w:t>
        <w:t>M ubuntu,accel</w:t>
        <w:t>=</w:t>
        <w:t>kvm,kernel</w:t>
        <w:t>-</w:t>
        <w:t>irqchip</w:t>
        <w:t>=</w:t>
        <w:t>split</w:t>
        <w:t>-</w:t>
        <w:t>device intel</w:t>
        <w:t>-</w:t>
        <w:t>iommu,</w:t>
        <w:t xml:space="preserve"> </w:t>
        <w:t>intremap</w:t>
        <w:t>=</w:t>
        <w:t>on</w:t>
        <w:t>-</w:t>
        <w:t>smp cpus</w:t>
        <w:t>=</w:t>
        <w:t>300</w:t>
        <w:t>,maxcpus</w:t>
        <w:t>=</w:t>
        <w:t>300</w:t>
        <w:t xml:space="preserve"> </w:t>
        <w:t>...</w:t>
      </w:r>
    </w:p>
    <w:p>
      <w:pPr>
        <w:pStyle w:val="Para 17"/>
      </w:pPr>
      <w:r>
        <w:t/>
      </w:r>
    </w:p>
    <w:p>
      <w:pPr>
        <w:pStyle w:val="Normal"/>
      </w:pPr>
      <w:r>
        <w:t>Although the regular machine type can now be used to launch the virtual machine, it is still necessary to provide some special command line options to make sure that the VM is created with a virtual IOMMU with interrupt mapping.</w:t>
      </w:r>
    </w:p>
    <w:p>
      <w:pPr>
        <w:pStyle w:val="Normal"/>
      </w:pPr>
      <w:r>
        <w:t>Now that we’ve covered high-vCPU configurations for x86_64 VMs, let’s look at how to boot ARM64 virtual machines on QEMU.</w:t>
      </w:r>
    </w:p>
    <w:p>
      <w:bookmarkStart w:id="842" w:name="calibre_pb_145"/>
      <w:pPr>
        <w:pStyle w:val="0 Block"/>
      </w:pPr>
      <w:bookmarkEnd w:id="842"/>
    </w:p>
    <w:p>
      <w:bookmarkStart w:id="843" w:name="page_552"/>
      <w:bookmarkStart w:id="844" w:name="Top_of_index_split_14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1" name="index-552_1.png" descr="index-552_1.png"/>
            <wp:cNvGraphicFramePr>
              <a:graphicFrameLocks noChangeAspect="1"/>
            </wp:cNvGraphicFramePr>
            <a:graphic>
              <a:graphicData uri="http://schemas.openxmlformats.org/drawingml/2006/picture">
                <pic:pic>
                  <pic:nvPicPr>
                    <pic:cNvPr id="0" name="index-552_1.png" descr="index-552_1.png"/>
                    <pic:cNvPicPr/>
                  </pic:nvPicPr>
                  <pic:blipFill>
                    <a:blip r:embed="rId565"/>
                    <a:stretch>
                      <a:fillRect/>
                    </a:stretch>
                  </pic:blipFill>
                  <pic:spPr>
                    <a:xfrm>
                      <a:off x="0" y="0"/>
                      <a:ext cx="914400" cy="266700"/>
                    </a:xfrm>
                    <a:prstGeom prst="rect">
                      <a:avLst/>
                    </a:prstGeom>
                  </pic:spPr>
                </pic:pic>
              </a:graphicData>
            </a:graphic>
          </wp:anchor>
        </w:drawing>
      </w:r>
      <w:bookmarkEnd w:id="843"/>
      <w:bookmarkEnd w:id="844"/>
    </w:p>
    <w:p>
      <w:pPr>
        <w:pStyle w:val="Para 01"/>
      </w:pPr>
      <w:r>
        <w:t>23.10 Mantic</w:t>
      </w:r>
    </w:p>
    <w:p>
      <w:pPr>
        <w:pStyle w:val="Para 17"/>
      </w:pPr>
      <w:r>
        <w:t/>
      </w:r>
    </w:p>
    <w:p>
      <w:pPr>
        <w:pStyle w:val="Normal"/>
      </w:pPr>
      <w:r>
        <w:t>If you are using QEMU on Mantic, the special machine types are named in a similar fashion to Jammy’s: pc-q35-mantic-maxcpus or pc-i440fx-mantic-maxcpus. Therefore, your command line to create a virtual machine with support for more than 288 vCPUs on Mantic should start with:</w:t>
      </w:r>
    </w:p>
    <w:p>
      <w:pPr>
        <w:pStyle w:val="Normal"/>
      </w:pPr>
      <w:r>
        <w:t>qemu</w:t>
        <w:t>-</w:t>
        <w:t>system</w:t>
        <w:t>-</w:t>
        <w:t>x86_64</w:t>
        <w:t>-</w:t>
        <w:t>M pc</w:t>
        <w:t>-</w:t>
        <w:t>q35</w:t>
        <w:t>-</w:t>
        <w:t>mantic</w:t>
        <w:t>-</w:t>
        <w:t>maxcpus,accel</w:t>
        <w:t>=</w:t>
        <w:t>kvm,kernel</w:t>
        <w:t>-</w:t>
        <w:t>irqchip</w:t>
        <w:t>=</w:t>
        <w:t>split</w:t>
        <w:t>-</w:t>
        <w:t>device intel</w:t>
        <w:t>-</w:t>
        <w:t>iommu,intremap</w:t>
        <w:t>=</w:t>
        <w:t>on</w:t>
        <w:t>-</w:t>
        <w:t>smp cpus</w:t>
        <w:t>=</w:t>
        <w:t>300</w:t>
        <w:t>,maxcpus</w:t>
        <w:t>=</w:t>
        <w:t>300</w:t>
        <w:t xml:space="preserve"> </w:t>
        <w:t>...</w:t>
      </w:r>
    </w:p>
    <w:p>
      <w:pPr>
        <w:pStyle w:val="Para 17"/>
      </w:pPr>
      <w:r>
        <w:t/>
      </w:r>
    </w:p>
    <w:p>
      <w:pPr>
        <w:pStyle w:val="Normal"/>
      </w:pPr>
      <w:r>
        <w:t>In the example above, the virtual machine will be launched using 300 vCPUs and a pc-q35-mantic-maxcpus machine type. You can adjust the option according to your use case.</w:t>
      </w:r>
    </w:p>
    <w:p>
      <w:pPr>
        <w:pStyle w:val="Normal"/>
      </w:pPr>
      <w:r>
        <w:t>The kernel-irqchip=split -device intel-iommu,intremap=on command line options are re-quired, to make sure that the VM is created with a virtual IOMMU with interrupt mapping. This is needed due to some idiosyncrasies present in this scenario.</w:t>
      </w:r>
    </w:p>
    <w:p>
      <w:pPr>
        <w:pStyle w:val="Normal"/>
      </w:pPr>
      <w:r>
        <w:t>Note that both machine types for Mantic are supported in subsequent versions of Ubuntu, so you should be able to migrate your virtual machines to newer QEMU versions without problems. As noted in the previous section, it is also possible to create virtual machines using the special Jammy machine types on Mantic.</w:t>
      </w:r>
    </w:p>
    <w:p>
      <w:pPr>
        <w:pStyle w:val="Para 17"/>
      </w:pPr>
      <w:r>
        <w:t/>
      </w:r>
    </w:p>
    <w:p>
      <w:pPr>
        <w:pStyle w:val="Para 01"/>
      </w:pPr>
      <w:r>
        <w:t>22.04 Jammy</w:t>
      </w:r>
    </w:p>
    <w:p>
      <w:pPr>
        <w:pStyle w:val="Para 17"/>
      </w:pPr>
      <w:r>
        <w:t/>
      </w:r>
    </w:p>
    <w:p>
      <w:pPr>
        <w:pStyle w:val="Normal"/>
      </w:pPr>
      <w:r>
        <w:t>If you are using QEMU on Jammy and want to create VMs with more than 288 vCPUs, you will need to use either of the special pc-q35-jammy-maxcpus or pc-i440fx-jammy-maxcpus machine types.</w:t>
      </w:r>
    </w:p>
    <w:p>
      <w:pPr>
        <w:pStyle w:val="Normal"/>
      </w:pPr>
      <w:r>
        <w:t>The command line needs to start with:</w:t>
      </w:r>
    </w:p>
    <w:p>
      <w:pPr>
        <w:pStyle w:val="Normal"/>
      </w:pPr>
      <w:r>
        <w:t>qemu</w:t>
        <w:t>-</w:t>
        <w:t>system</w:t>
        <w:t>-</w:t>
        <w:t>x86_64</w:t>
        <w:t>-</w:t>
        <w:t>M pc</w:t>
        <w:t>-</w:t>
        <w:t>q35</w:t>
        <w:t>-</w:t>
        <w:t>jammy</w:t>
        <w:t>-</w:t>
        <w:t>maxcpus,accel</w:t>
        <w:t>=</w:t>
        <w:t>kvm,kernel</w:t>
        <w:t>-</w:t>
        <w:t>irqchip</w:t>
        <w:t>=</w:t>
        <w:t>split</w:t>
        <w:t>-</w:t>
        <w:t>device intel</w:t>
        <w:t>-</w:t>
        <w:t>iommu,intremap</w:t>
        <w:t>=</w:t>
        <w:t>on</w:t>
        <w:t>-</w:t>
        <w:t>smp cpus</w:t>
        <w:t>=</w:t>
        <w:t>300</w:t>
        <w:t>,maxcpus</w:t>
        <w:t>=</w:t>
        <w:t>300</w:t>
        <w:t xml:space="preserve"> </w:t>
        <w:t>...</w:t>
      </w:r>
    </w:p>
    <w:p>
      <w:pPr>
        <w:pStyle w:val="Para 17"/>
      </w:pPr>
      <w:r>
        <w:t/>
      </w:r>
    </w:p>
    <w:p>
      <w:pPr>
        <w:pStyle w:val="Normal"/>
      </w:pPr>
      <w:r>
        <w:t>In the example above, the virtual machine will be launched using 300 vCPUs and a pc-q35-jammy-maxcpus machine type. You can adjust the option according to your use case.</w:t>
      </w:r>
    </w:p>
    <w:p>
      <w:pPr>
        <w:pStyle w:val="Normal"/>
      </w:pPr>
      <w:r>
        <w:t>The kernel-irqchip=split -device intel-iommu,intremap=on command line options are re-quired, to make sure that the VM is created with a virtual IOMMU with interrupt mapping. This is needed due to some idiosyncrasies present in this scenario.</w:t>
      </w:r>
    </w:p>
    <w:p>
      <w:pPr>
        <w:pStyle w:val="Normal"/>
      </w:pPr>
      <w:r>
        <w:t>Note that both machine types for Jammy are supported in subsequent versions of Ubuntu, so you should be able to migrate your virtual machines to newer QEMU versions without problems.</w:t>
      </w:r>
    </w:p>
    <w:p>
      <w:pPr>
        <w:pStyle w:val="Para 17"/>
      </w:pPr>
      <w:r>
        <w:t/>
      </w:r>
    </w:p>
    <w:p>
      <w:pPr>
        <w:pStyle w:val="Para 01"/>
      </w:pPr>
      <w:r>
        <w:t>Boot ARM64 virtual machines on QEMU</w:t>
      </w:r>
    </w:p>
    <w:p>
      <w:pPr>
        <w:pStyle w:val="Para 17"/>
      </w:pPr>
      <w:r>
        <w:t/>
      </w:r>
    </w:p>
    <w:p>
      <w:pPr>
        <w:pStyle w:val="Normal"/>
      </w:pPr>
      <w:r>
        <w:t>Ubuntu ARM64 images can run inside QEMU. You can either do this fully emulated (e.g. on an x86 host) or accelerated with KVM if you have an ARM64 host. This page describes how to do both.</w:t>
      </w:r>
    </w:p>
    <w:p>
      <w:pPr>
        <w:pStyle w:val="Para 17"/>
      </w:pPr>
      <w:r>
        <w:t/>
      </w:r>
    </w:p>
    <w:p>
      <w:pPr>
        <w:pStyle w:val="Para 08"/>
      </w:pPr>
      <w:r>
        <w:t>Note:</w:t>
      </w:r>
    </w:p>
    <w:p>
      <w:pPr>
        <w:pStyle w:val="Para 08"/>
      </w:pPr>
      <w:r>
        <w:rPr>
          <w:rStyle w:val="Text0"/>
        </w:rPr>
        <w:t xml:space="preserve">This requires Ubuntu 20.04 or greater </w:t>
      </w:r>
      <w:r>
        <w:t>Install QEMU to run ARM64 virtual machines</w:t>
      </w:r>
    </w:p>
    <w:p>
      <w:bookmarkStart w:id="845" w:name="page_5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2" name="index-553_1.png" descr="index-553_1.png"/>
            <wp:cNvGraphicFramePr>
              <a:graphicFrameLocks noChangeAspect="1"/>
            </wp:cNvGraphicFramePr>
            <a:graphic>
              <a:graphicData uri="http://schemas.openxmlformats.org/drawingml/2006/picture">
                <pic:pic>
                  <pic:nvPicPr>
                    <pic:cNvPr id="0" name="index-553_1.png" descr="index-553_1.png"/>
                    <pic:cNvPicPr/>
                  </pic:nvPicPr>
                  <pic:blipFill>
                    <a:blip r:embed="rId566"/>
                    <a:stretch>
                      <a:fillRect/>
                    </a:stretch>
                  </pic:blipFill>
                  <pic:spPr>
                    <a:xfrm>
                      <a:off x="0" y="0"/>
                      <a:ext cx="914400" cy="266700"/>
                    </a:xfrm>
                    <a:prstGeom prst="rect">
                      <a:avLst/>
                    </a:prstGeom>
                  </pic:spPr>
                </pic:pic>
              </a:graphicData>
            </a:graphic>
          </wp:anchor>
        </w:drawing>
      </w:r>
      <w:bookmarkEnd w:id="845"/>
    </w:p>
    <w:p>
      <w:pPr>
        <w:pStyle w:val="Para 17"/>
      </w:pPr>
      <w:r>
        <w:t/>
      </w:r>
    </w:p>
    <w:p>
      <w:pPr>
        <w:pStyle w:val="Normal"/>
      </w:pPr>
      <w:r>
        <w:t>The first step is to install the qemu-system-arm package, which needs to be done regardless of where the ARM64 virtual machine will run:</w:t>
      </w:r>
    </w:p>
    <w:p>
      <w:pPr>
        <w:pStyle w:val="Normal"/>
      </w:pPr>
      <w:r>
        <w:t>sudo apt install qemu-system-arm</w:t>
      </w:r>
    </w:p>
    <w:p>
      <w:pPr>
        <w:pStyle w:val="Para 17"/>
      </w:pPr>
      <w:r>
        <w:t/>
      </w:r>
    </w:p>
    <w:p>
      <w:pPr>
        <w:pStyle w:val="Para 01"/>
      </w:pPr>
      <w:r>
        <w:t>Create necessary support files</w:t>
      </w:r>
    </w:p>
    <w:p>
      <w:pPr>
        <w:pStyle w:val="Para 17"/>
      </w:pPr>
      <w:r>
        <w:t/>
      </w:r>
    </w:p>
    <w:p>
      <w:pPr>
        <w:pStyle w:val="Normal"/>
      </w:pPr>
      <w:r>
        <w:t>Next, create a VM-specific flash volume for storing NVRAM variables, which are necessary</w:t>
      </w:r>
    </w:p>
    <w:p>
      <w:pPr>
        <w:pStyle w:val="Normal"/>
      </w:pPr>
      <w:r>
        <w:t xml:space="preserve">when booting </w:t>
      </w:r>
      <w:hyperlink w:anchor="page_681">
        <w:r>
          <w:rPr>
            <w:rStyle w:val="Text2"/>
          </w:rPr>
          <w:t>EFI</w:t>
        </w:r>
      </w:hyperlink>
      <w:r>
        <w:t xml:space="preserve"> firmware:</w:t>
      </w:r>
    </w:p>
    <w:p>
      <w:pPr>
        <w:pStyle w:val="Normal"/>
      </w:pPr>
      <w:r>
        <w:t>truncate -s 64m varstore.img</w:t>
      </w:r>
    </w:p>
    <w:p>
      <w:pPr>
        <w:pStyle w:val="Para 17"/>
      </w:pPr>
      <w:r>
        <w:t/>
      </w:r>
    </w:p>
    <w:p>
      <w:pPr>
        <w:pStyle w:val="Normal"/>
      </w:pPr>
      <w:r>
        <w:t>We also need to copy the ARM UEFI firmware into a bigger file:</w:t>
      </w:r>
    </w:p>
    <w:p>
      <w:pPr>
        <w:pStyle w:val="Normal"/>
      </w:pPr>
      <w:r>
        <w:t>truncate -s 64m efi.img</w:t>
      </w:r>
    </w:p>
    <w:p>
      <w:pPr>
        <w:pStyle w:val="Normal"/>
      </w:pPr>
      <w:r>
        <w:t>dd</w:t>
        <w:t xml:space="preserve"> </w:t>
      </w:r>
      <w:r>
        <w:rPr>
          <w:rStyle w:val="Text0"/>
        </w:rPr>
        <w:t>if</w:t>
      </w:r>
      <w:r>
        <w:t>=</w:t>
        <w:t>/usr/share/qemu-efi-aarch64/QEMU_EFI.fd</w:t>
        <w:t xml:space="preserve"> </w:t>
        <w:t>of</w:t>
        <w:t>=</w:t>
        <w:t>efi.img</w:t>
        <w:t xml:space="preserve"> </w:t>
        <w:t>conv</w:t>
        <w:t>=</w:t>
        <w:t>notrunc</w:t>
      </w:r>
    </w:p>
    <w:p>
      <w:pPr>
        <w:pStyle w:val="Para 17"/>
      </w:pPr>
      <w:r>
        <w:t/>
      </w:r>
    </w:p>
    <w:p>
      <w:pPr>
        <w:pStyle w:val="Para 01"/>
      </w:pPr>
      <w:r>
        <w:t>Fetch the Ubuntu cloud image</w:t>
      </w:r>
    </w:p>
    <w:p>
      <w:pPr>
        <w:pStyle w:val="Para 17"/>
      </w:pPr>
      <w:r>
        <w:t/>
      </w:r>
    </w:p>
    <w:p>
      <w:pPr>
        <w:pStyle w:val="Normal"/>
      </w:pPr>
      <w:r>
        <w:t>You need to fetch the ARM64 variant of the Ubuntu cloud image you would like to use in the</w:t>
      </w:r>
    </w:p>
    <w:p>
      <w:pPr>
        <w:pStyle w:val="Normal"/>
      </w:pPr>
      <w:r>
        <w:t xml:space="preserve">virtual machine. You can go to the official </w:t>
      </w:r>
      <w:hyperlink w:anchor="page_553">
        <w:r>
          <w:rPr>
            <w:rStyle w:val="Text9"/>
          </w:rPr>
          <w:t>552</w:t>
        </w:r>
      </w:hyperlink>
      <w:r>
        <w:t xml:space="preserve"> </w:t>
      </w:r>
      <w:hyperlink r:id="rId1485">
        <w:r>
          <w:rPr>
            <w:rStyle w:val="Text1"/>
          </w:rPr>
          <w:t>Ubuntu cloud image</w:t>
        </w:r>
      </w:hyperlink>
      <w:r>
        <w:t xml:space="preserve"> website, select the Ubuntu release, and then download the variant whose filename ends in-arm64.img. For example, if you want to use the latest Jammy cloud image, you should download the file named jammy-server-cloudimg-arm64.img.</w:t>
      </w:r>
    </w:p>
    <w:p>
      <w:pPr>
        <w:pStyle w:val="Para 17"/>
      </w:pPr>
      <w:r>
        <w:t/>
      </w:r>
    </w:p>
    <w:p>
      <w:pPr>
        <w:pStyle w:val="Para 01"/>
      </w:pPr>
      <w:r>
        <w:t>Run QEMU natively on an ARM64 host</w:t>
      </w:r>
    </w:p>
    <w:p>
      <w:pPr>
        <w:pStyle w:val="Para 17"/>
      </w:pPr>
      <w:r>
        <w:t/>
      </w:r>
    </w:p>
    <w:p>
      <w:pPr>
        <w:pStyle w:val="Normal"/>
      </w:pPr>
      <w:r>
        <w:t>If you have access to an ARM64 host, you should be able to create and launch an ARM64 virtual machine there. Note that the command below assumes that you have already set up a network bridge to be used by the virtual machine.</w:t>
      </w:r>
    </w:p>
    <w:p>
      <w:pPr>
        <w:pStyle w:val="Normal"/>
      </w:pPr>
      <w:r>
        <w:t>qemu-system-aarch64</w:t>
        <w:t xml:space="preserve"> </w:t>
      </w:r>
      <w:r>
        <w:rPr>
          <w:rStyle w:val="Text0"/>
        </w:rPr>
        <w:t>\</w:t>
      </w:r>
    </w:p>
    <w:p>
      <w:pPr>
        <w:pStyle w:val="Normal"/>
      </w:pPr>
      <w:r>
        <w:t>-enable-kvm</w:t>
        <w:t xml:space="preserve"> </w:t>
      </w:r>
      <w:r>
        <w:rPr>
          <w:rStyle w:val="Text0"/>
        </w:rPr>
        <w:t>\</w:t>
      </w:r>
    </w:p>
    <w:p>
      <w:pPr>
        <w:pStyle w:val="Normal"/>
      </w:pPr>
      <w:r>
        <w:t>-m</w:t>
        <w:t xml:space="preserve"> </w:t>
        <w:t>1024</w:t>
        <w:t xml:space="preserve"> </w:t>
      </w:r>
      <w:r>
        <w:rPr>
          <w:rStyle w:val="Text0"/>
        </w:rPr>
        <w:t>\</w:t>
      </w:r>
    </w:p>
    <w:p>
      <w:pPr>
        <w:pStyle w:val="Normal"/>
      </w:pPr>
      <w:r>
        <w:t>-cpu host</w:t>
        <w:t xml:space="preserve"> </w:t>
      </w:r>
      <w:r>
        <w:rPr>
          <w:rStyle w:val="Text0"/>
        </w:rPr>
        <w:t>\</w:t>
      </w:r>
    </w:p>
    <w:p>
      <w:pPr>
        <w:pStyle w:val="Normal"/>
      </w:pPr>
      <w:r>
        <w:t>-M virt</w:t>
        <w:t xml:space="preserve"> </w:t>
      </w:r>
      <w:r>
        <w:rPr>
          <w:rStyle w:val="Text0"/>
        </w:rPr>
        <w:t>\</w:t>
      </w:r>
    </w:p>
    <w:p>
      <w:pPr>
        <w:pStyle w:val="Normal"/>
      </w:pPr>
      <w:r>
        <w:t>-nographic</w:t>
        <w:t xml:space="preserve"> </w:t>
      </w:r>
      <w:r>
        <w:rPr>
          <w:rStyle w:val="Text0"/>
        </w:rPr>
        <w:t>\</w:t>
      </w:r>
    </w:p>
    <w:p>
      <w:pPr>
        <w:pStyle w:val="Normal"/>
      </w:pPr>
      <w:r>
        <w:t>-drive</w:t>
        <w:t xml:space="preserve"> </w:t>
      </w:r>
      <w:r>
        <w:rPr>
          <w:rStyle w:val="Text0"/>
        </w:rPr>
        <w:t>if</w:t>
      </w:r>
      <w:r>
        <w:t>=</w:t>
        <w:t>pflash,format</w:t>
        <w:t>=</w:t>
        <w:t>raw,file</w:t>
        <w:t>=</w:t>
        <w:t>efi.img,readonly</w:t>
        <w:t>=</w:t>
        <w:t>on</w:t>
        <w:t xml:space="preserve"> </w:t>
      </w:r>
      <w:r>
        <w:rPr>
          <w:rStyle w:val="Text0"/>
        </w:rPr>
        <w:t>\</w:t>
      </w:r>
      <w:r>
        <w:t>-drive</w:t>
        <w:t xml:space="preserve"> </w:t>
      </w:r>
      <w:r>
        <w:rPr>
          <w:rStyle w:val="Text0"/>
        </w:rPr>
        <w:t>if</w:t>
      </w:r>
      <w:r>
        <w:t>=</w:t>
        <w:t>pflash,format</w:t>
        <w:t>=</w:t>
        <w:t>raw,file</w:t>
        <w:t>=</w:t>
        <w:t>varstore.img</w:t>
        <w:t xml:space="preserve"> </w:t>
      </w:r>
      <w:r>
        <w:rPr>
          <w:rStyle w:val="Text0"/>
        </w:rPr>
        <w:t>\</w:t>
      </w:r>
      <w:r>
        <w:t>-drive</w:t>
        <w:t xml:space="preserve"> </w:t>
      </w:r>
      <w:r>
        <w:rPr>
          <w:rStyle w:val="Text0"/>
        </w:rPr>
        <w:t>if</w:t>
      </w:r>
      <w:r>
        <w:t>=</w:t>
        <w:t>none,file</w:t>
        <w:t>=</w:t>
        <w:t>jammy-server-cloudimg-arm64.img,id</w:t>
        <w:t>=</w:t>
        <w:t>hd0</w:t>
        <w:t xml:space="preserve"> </w:t>
      </w:r>
      <w:r>
        <w:rPr>
          <w:rStyle w:val="Text0"/>
        </w:rPr>
        <w:t>\</w:t>
      </w:r>
      <w:r>
        <w:t>-device virtio-blk-device,drive</w:t>
        <w:t>=</w:t>
        <w:t>hd0 -netdev</w:t>
        <w:t xml:space="preserve"> </w:t>
        <w:t>type</w:t>
        <w:t>=</w:t>
        <w:t>tap,id</w:t>
        <w:t>=</w:t>
        <w:t>net0</w:t>
        <w:t xml:space="preserve"> </w:t>
      </w:r>
      <w:r>
        <w:rPr>
          <w:rStyle w:val="Text0"/>
        </w:rPr>
        <w:t>\</w:t>
      </w:r>
      <w:r>
        <w:t>-device virtio-net-device,netdev</w:t>
        <w:t>=</w:t>
        <w:t>net0</w:t>
      </w:r>
    </w:p>
    <w:p>
      <w:pPr>
        <w:pStyle w:val="Para 05"/>
      </w:pPr>
      <w:r>
        <w:rPr>
          <w:rStyle w:val="Text5"/>
        </w:rPr>
        <w:t>552</w:t>
      </w:r>
      <w:r>
        <w:rPr>
          <w:rStyle w:val="Text8"/>
        </w:rPr>
        <w:t xml:space="preserve"> </w:t>
      </w:r>
      <w:r>
        <w:t>https://cloud-images.ubuntu.com/</w:t>
      </w:r>
    </w:p>
    <w:p>
      <w:bookmarkStart w:id="846" w:name="page_5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3" name="index-554_1.png" descr="index-554_1.png"/>
            <wp:cNvGraphicFramePr>
              <a:graphicFrameLocks noChangeAspect="1"/>
            </wp:cNvGraphicFramePr>
            <a:graphic>
              <a:graphicData uri="http://schemas.openxmlformats.org/drawingml/2006/picture">
                <pic:pic>
                  <pic:nvPicPr>
                    <pic:cNvPr id="0" name="index-554_1.png" descr="index-554_1.png"/>
                    <pic:cNvPicPr/>
                  </pic:nvPicPr>
                  <pic:blipFill>
                    <a:blip r:embed="rId567"/>
                    <a:stretch>
                      <a:fillRect/>
                    </a:stretch>
                  </pic:blipFill>
                  <pic:spPr>
                    <a:xfrm>
                      <a:off x="0" y="0"/>
                      <a:ext cx="914400" cy="266700"/>
                    </a:xfrm>
                    <a:prstGeom prst="rect">
                      <a:avLst/>
                    </a:prstGeom>
                  </pic:spPr>
                </pic:pic>
              </a:graphicData>
            </a:graphic>
          </wp:anchor>
        </w:drawing>
      </w:r>
      <w:bookmarkEnd w:id="846"/>
    </w:p>
    <w:p>
      <w:pPr>
        <w:pStyle w:val="Para 01"/>
      </w:pPr>
      <w:r>
        <w:t>Run an emulated ARM64 VM on x86</w:t>
      </w:r>
    </w:p>
    <w:p>
      <w:pPr>
        <w:pStyle w:val="Para 17"/>
      </w:pPr>
      <w:r>
        <w:t/>
      </w:r>
    </w:p>
    <w:p>
      <w:pPr>
        <w:pStyle w:val="Normal"/>
      </w:pPr>
      <w:r>
        <w:t>You can also emulate an ARM64 virtual machine on an x86 host. To do that:</w:t>
      </w:r>
    </w:p>
    <w:p>
      <w:pPr>
        <w:pStyle w:val="Normal"/>
      </w:pPr>
      <w:r>
        <w:t>qemu-system-aarch64</w:t>
        <w:t xml:space="preserve"> </w:t>
      </w:r>
      <w:r>
        <w:rPr>
          <w:rStyle w:val="Text0"/>
        </w:rPr>
        <w:t>\</w:t>
      </w:r>
    </w:p>
    <w:p>
      <w:pPr>
        <w:pStyle w:val="Normal"/>
      </w:pPr>
      <w:r>
        <w:t>-m</w:t>
        <w:t xml:space="preserve"> </w:t>
        <w:t>2048</w:t>
      </w:r>
      <w:r>
        <w:rPr>
          <w:rStyle w:val="Text0"/>
        </w:rPr>
        <w:t>\</w:t>
      </w:r>
    </w:p>
    <w:p>
      <w:pPr>
        <w:pStyle w:val="Normal"/>
      </w:pPr>
      <w:r>
        <w:t>-cpu max</w:t>
        <w:t xml:space="preserve"> </w:t>
      </w:r>
      <w:r>
        <w:rPr>
          <w:rStyle w:val="Text0"/>
        </w:rPr>
        <w:t>\</w:t>
      </w:r>
    </w:p>
    <w:p>
      <w:pPr>
        <w:pStyle w:val="Normal"/>
      </w:pPr>
      <w:r>
        <w:t>-M virt</w:t>
        <w:t xml:space="preserve"> </w:t>
      </w:r>
      <w:r>
        <w:rPr>
          <w:rStyle w:val="Text0"/>
        </w:rPr>
        <w:t>\</w:t>
      </w:r>
    </w:p>
    <w:p>
      <w:pPr>
        <w:pStyle w:val="Normal"/>
      </w:pPr>
      <w:r>
        <w:t>-nographic</w:t>
        <w:t xml:space="preserve"> </w:t>
      </w:r>
      <w:r>
        <w:rPr>
          <w:rStyle w:val="Text0"/>
        </w:rPr>
        <w:t>\</w:t>
      </w:r>
    </w:p>
    <w:p>
      <w:pPr>
        <w:pStyle w:val="Normal"/>
      </w:pPr>
      <w:r>
        <w:t>-drive</w:t>
        <w:t xml:space="preserve"> </w:t>
      </w:r>
      <w:r>
        <w:rPr>
          <w:rStyle w:val="Text0"/>
        </w:rPr>
        <w:t>if</w:t>
      </w:r>
      <w:r>
        <w:t>=</w:t>
        <w:t>pflash,format</w:t>
        <w:t>=</w:t>
        <w:t>raw,file</w:t>
        <w:t>=</w:t>
        <w:t>efi.img,readonly</w:t>
        <w:t>=</w:t>
        <w:t>on</w:t>
        <w:t xml:space="preserve"> </w:t>
      </w:r>
      <w:r>
        <w:rPr>
          <w:rStyle w:val="Text0"/>
        </w:rPr>
        <w:t>\</w:t>
      </w:r>
      <w:r>
        <w:t>-drive</w:t>
        <w:t xml:space="preserve"> </w:t>
      </w:r>
      <w:r>
        <w:rPr>
          <w:rStyle w:val="Text0"/>
        </w:rPr>
        <w:t>if</w:t>
      </w:r>
      <w:r>
        <w:t>=</w:t>
        <w:t>pflash,format</w:t>
        <w:t>=</w:t>
        <w:t>raw,file</w:t>
        <w:t>=</w:t>
        <w:t>varstore.img</w:t>
        <w:t xml:space="preserve"> </w:t>
      </w:r>
      <w:r>
        <w:rPr>
          <w:rStyle w:val="Text0"/>
        </w:rPr>
        <w:t>\</w:t>
      </w:r>
      <w:r>
        <w:t>-drive</w:t>
        <w:t xml:space="preserve"> </w:t>
      </w:r>
      <w:r>
        <w:rPr>
          <w:rStyle w:val="Text0"/>
        </w:rPr>
        <w:t>if</w:t>
      </w:r>
      <w:r>
        <w:t>=</w:t>
        <w:t>none,file</w:t>
        <w:t>=</w:t>
        <w:t>jammy-server-cloudimg-arm64.img,id</w:t>
        <w:t>=</w:t>
        <w:t>hd0</w:t>
        <w:t xml:space="preserve"> </w:t>
      </w:r>
      <w:r>
        <w:rPr>
          <w:rStyle w:val="Text0"/>
        </w:rPr>
        <w:t>\</w:t>
      </w:r>
      <w:r>
        <w:t>-device virtio-blk-device,drive</w:t>
        <w:t>=</w:t>
        <w:t>hd0</w:t>
        <w:t xml:space="preserve"> </w:t>
      </w:r>
      <w:r>
        <w:rPr>
          <w:rStyle w:val="Text0"/>
        </w:rPr>
        <w:t>\</w:t>
      </w:r>
    </w:p>
    <w:p>
      <w:pPr>
        <w:pStyle w:val="Normal"/>
      </w:pPr>
      <w:r>
        <w:t>-netdev</w:t>
        <w:t xml:space="preserve"> </w:t>
        <w:t>type</w:t>
        <w:t>=</w:t>
        <w:t>tap,id</w:t>
        <w:t>=</w:t>
        <w:t>net0</w:t>
        <w:t xml:space="preserve"> </w:t>
      </w:r>
      <w:r>
        <w:rPr>
          <w:rStyle w:val="Text0"/>
        </w:rPr>
        <w:t>\</w:t>
      </w:r>
    </w:p>
    <w:p>
      <w:pPr>
        <w:pStyle w:val="Normal"/>
      </w:pPr>
      <w:r>
        <w:t>-device virtio-net-device,netdev</w:t>
        <w:t>=</w:t>
        <w:t>net0</w:t>
      </w:r>
    </w:p>
    <w:p>
      <w:pPr>
        <w:pStyle w:val="Para 17"/>
      </w:pPr>
      <w:r>
        <w:t/>
      </w:r>
    </w:p>
    <w:p>
      <w:pPr>
        <w:pStyle w:val="Para 01"/>
      </w:pPr>
      <w:r>
        <w:t>Troubleshooting</w:t>
      </w:r>
    </w:p>
    <w:p>
      <w:pPr>
        <w:pStyle w:val="Para 17"/>
      </w:pPr>
      <w:r>
        <w:t/>
      </w:r>
    </w:p>
    <w:p>
      <w:pPr>
        <w:pStyle w:val="Para 01"/>
      </w:pPr>
      <w:r>
        <w:t>No output and no response</w:t>
      </w:r>
    </w:p>
    <w:p>
      <w:pPr>
        <w:pStyle w:val="Para 17"/>
      </w:pPr>
      <w:r>
        <w:t/>
      </w:r>
    </w:p>
    <w:p>
      <w:pPr>
        <w:pStyle w:val="Normal"/>
      </w:pPr>
      <w:r>
        <w:t>If you get no output from the QEMU command above, aligning your host and guest release versions may help. For example, if you generated efi.img on Focal but want to emulate Jammy (with the Jammy cloud image), the firmware may not be fully compatible. Generating efi.img on Jammy when emulating Jammy with the Jammy cloud image may help.</w:t>
      </w:r>
    </w:p>
    <w:p>
      <w:pPr>
        <w:pStyle w:val="Para 17"/>
      </w:pPr>
      <w:r>
        <w:t/>
      </w:r>
    </w:p>
    <w:p>
      <w:pPr>
        <w:pStyle w:val="Para 01"/>
      </w:pPr>
      <w:r>
        <w:t>Further reading</w:t>
      </w:r>
    </w:p>
    <w:p>
      <w:pPr>
        <w:pStyle w:val="Para 17"/>
      </w:pPr>
      <w:r>
        <w:t/>
      </w:r>
    </w:p>
    <w:p>
      <w:pPr>
        <w:pStyle w:val="Normal"/>
      </w:pPr>
      <w:r>
        <w:t>QEMU can be extended in many different ways. If you’d like to take QEMU further, you might want to explore these additional resources:</w:t>
      </w:r>
    </w:p>
    <w:p>
      <w:pPr>
        <w:pStyle w:val="Para 14"/>
      </w:pPr>
      <w:r>
        <w:rPr>
          <w:rStyle w:val="Text4"/>
        </w:rPr>
        <w:t xml:space="preserve">• </w:t>
      </w:r>
      <w:hyperlink w:anchor="page_526">
        <w:r>
          <w:t>Virtualizing graphics using QEMU/KVM</w:t>
        </w:r>
      </w:hyperlink>
      <w:r>
        <w:rPr>
          <w:rStyle w:val="Text4"/>
        </w:rPr>
        <w:t xml:space="preserve"> (page 525)</w:t>
      </w:r>
    </w:p>
    <w:p>
      <w:pPr>
        <w:pStyle w:val="Para 14"/>
      </w:pPr>
      <w:r>
        <w:rPr>
          <w:rStyle w:val="Text4"/>
        </w:rPr>
        <w:t xml:space="preserve">• </w:t>
      </w:r>
      <w:hyperlink w:anchor="page_895">
        <w:r>
          <w:t>Using QEMU to create a microvm</w:t>
        </w:r>
      </w:hyperlink>
      <w:r>
        <w:rPr>
          <w:rStyle w:val="Text4"/>
        </w:rPr>
        <w:t xml:space="preserve"> (page 894).</w:t>
      </w:r>
    </w:p>
    <w:p>
      <w:pPr>
        <w:pStyle w:val="Para 17"/>
      </w:pPr>
      <w:r>
        <w:t/>
      </w:r>
    </w:p>
    <w:p>
      <w:pPr>
        <w:pStyle w:val="Para 01"/>
      </w:pPr>
      <w:r>
        <w:t>Confidential Computing with AMD</w:t>
      </w:r>
    </w:p>
    <w:p>
      <w:pPr>
        <w:pStyle w:val="Para 17"/>
      </w:pPr>
      <w:r>
        <w:t/>
      </w:r>
    </w:p>
    <w:p>
      <w:pPr>
        <w:pStyle w:val="Normal"/>
      </w:pPr>
      <w:r>
        <w:t>AMD offers a suite of security features designed to protect virtual machine workloads from unauthorized access by the host operating system and hypervisor. These technologies form a progression of capabilities, with each building upon previous generations:</w:t>
      </w:r>
    </w:p>
    <w:p>
      <w:pPr>
        <w:pStyle w:val="Para 04"/>
      </w:pPr>
      <w:r>
        <w:t xml:space="preserve">• </w:t>
      </w:r>
      <w:hyperlink w:anchor="page_669">
        <w:r>
          <w:rPr>
            <w:rStyle w:val="Text2"/>
          </w:rPr>
          <w:t>AMD-SME</w:t>
        </w:r>
      </w:hyperlink>
      <w:r>
        <w:t xml:space="preserve"> : </w:t>
      </w:r>
      <w:r>
        <w:rPr>
          <w:rStyle w:val="Text0"/>
        </w:rPr>
        <w:t>AMD Secure Memory Encryption (SME)</w:t>
      </w:r>
      <w:r>
        <w:t xml:space="preserve"> is the foundation, providing trans-</w:t>
      </w:r>
    </w:p>
    <w:p>
      <w:pPr>
        <w:pStyle w:val="Para 02"/>
      </w:pPr>
      <w:r>
        <w:t>parent encryption of physical memory for both the host OS and guest VMs. It protects against physical attacks on memory but doesn’t prevent the hypervisor from accessing VM memory contents.</w:t>
      </w:r>
    </w:p>
    <w:p>
      <w:pPr>
        <w:pStyle w:val="Para 04"/>
      </w:pPr>
      <w:r>
        <w:t xml:space="preserve">• </w:t>
      </w:r>
      <w:hyperlink w:anchor="page_669">
        <w:r>
          <w:rPr>
            <w:rStyle w:val="Text2"/>
          </w:rPr>
          <w:t>AMD-SEV</w:t>
        </w:r>
      </w:hyperlink>
      <w:r>
        <w:t xml:space="preserve"> : </w:t>
      </w:r>
      <w:r>
        <w:rPr>
          <w:rStyle w:val="Text0"/>
        </w:rPr>
        <w:t>Secure Encrypted Virtualization (SEV)</w:t>
      </w:r>
      <w:r>
        <w:t xml:space="preserve"> extends SME specifically to virtual</w:t>
      </w:r>
    </w:p>
    <w:p>
      <w:pPr>
        <w:pStyle w:val="Para 02"/>
      </w:pPr>
      <w:r>
        <w:t>machines, encrypting each VM’s memory with its own key. This prevents the hypervisor from reading or modifying VM memory, but the hypervisor can still access unencrypted CPU registers and state.</w:t>
      </w:r>
    </w:p>
    <w:p>
      <w:bookmarkStart w:id="847" w:name="page_5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4" name="index-555_1.png" descr="index-555_1.png"/>
            <wp:cNvGraphicFramePr>
              <a:graphicFrameLocks noChangeAspect="1"/>
            </wp:cNvGraphicFramePr>
            <a:graphic>
              <a:graphicData uri="http://schemas.openxmlformats.org/drawingml/2006/picture">
                <pic:pic>
                  <pic:nvPicPr>
                    <pic:cNvPr id="0" name="index-555_1.png" descr="index-555_1.png"/>
                    <pic:cNvPicPr/>
                  </pic:nvPicPr>
                  <pic:blipFill>
                    <a:blip r:embed="rId568"/>
                    <a:stretch>
                      <a:fillRect/>
                    </a:stretch>
                  </pic:blipFill>
                  <pic:spPr>
                    <a:xfrm>
                      <a:off x="0" y="0"/>
                      <a:ext cx="914400" cy="266700"/>
                    </a:xfrm>
                    <a:prstGeom prst="rect">
                      <a:avLst/>
                    </a:prstGeom>
                  </pic:spPr>
                </pic:pic>
              </a:graphicData>
            </a:graphic>
          </wp:anchor>
        </w:drawing>
      </w:r>
      <w:bookmarkEnd w:id="847"/>
    </w:p>
    <w:p>
      <w:pPr>
        <w:pStyle w:val="Para 04"/>
      </w:pPr>
      <w:r>
        <w:t xml:space="preserve">• </w:t>
      </w:r>
      <w:hyperlink w:anchor="page_669">
        <w:r>
          <w:rPr>
            <w:rStyle w:val="Text2"/>
          </w:rPr>
          <w:t>AMD-SEV-ES</w:t>
        </w:r>
      </w:hyperlink>
      <w:r>
        <w:t xml:space="preserve">: </w:t>
      </w:r>
      <w:r>
        <w:rPr>
          <w:rStyle w:val="Text0"/>
        </w:rPr>
        <w:t>SEV with Encrypted State (SEV-ES)</w:t>
      </w:r>
      <w:r>
        <w:t xml:space="preserve"> enhances SEV by also encrypting</w:t>
      </w:r>
    </w:p>
    <w:p>
      <w:pPr>
        <w:pStyle w:val="Para 02"/>
      </w:pPr>
      <w:r>
        <w:t>the VM’s CPU registers and sensitive state information, preventing the hypervisor from reading or tampering with the guest’s execution state during initial VM setup and op-eration.</w:t>
      </w:r>
    </w:p>
    <w:p>
      <w:pPr>
        <w:pStyle w:val="Para 28"/>
      </w:pPr>
      <w:r>
        <w:rPr>
          <w:rStyle w:val="Text0"/>
        </w:rPr>
        <w:t xml:space="preserve">• </w:t>
      </w:r>
      <w:hyperlink w:anchor="page_670">
        <w:r>
          <w:rPr>
            <w:rStyle w:val="Text16"/>
          </w:rPr>
          <w:t>AMD-SEV-SNP</w:t>
        </w:r>
      </w:hyperlink>
      <w:r>
        <w:rPr>
          <w:rStyle w:val="Text0"/>
        </w:rPr>
        <w:t xml:space="preserve"> : </w:t>
      </w:r>
      <w:r>
        <w:t>SEV with Secure Nested Paging (SEV-SNP)</w:t>
      </w:r>
      <w:r>
        <w:rPr>
          <w:rStyle w:val="Text0"/>
        </w:rPr>
        <w:t xml:space="preserve"> represents the most com-</w:t>
      </w:r>
    </w:p>
    <w:p>
      <w:pPr>
        <w:pStyle w:val="Para 02"/>
      </w:pPr>
      <w:r>
        <w:t>prehensive protection, adding memory integrity verification to SEV-ES. SEV-SNP pre-vents the hypervisor from manipulating the memory mapping and encrypts guest mem-ory pages with per-page authentication tags, ensuring data integrity and preventing rollback attacks. These features are available on the latest AMD EPYC CPUs (start-ing from “Rome”). While using Ubuntu as a guest OS on SEV-SNP VMs has been sup-ported since Ubuntu 24.04 LTS, the host enablement (QEMU and OVMF support) was only added later with Ubuntu 25.04.</w:t>
      </w:r>
    </w:p>
    <w:p>
      <w:pPr>
        <w:pStyle w:val="Normal"/>
      </w:pPr>
      <w:r>
        <w:t xml:space="preserve">This documentation focuses only on </w:t>
      </w:r>
      <w:hyperlink w:anchor="page_670">
        <w:r>
          <w:rPr>
            <w:rStyle w:val="Text2"/>
          </w:rPr>
          <w:t>AMD-SEV-SNP</w:t>
        </w:r>
      </w:hyperlink>
      <w:r>
        <w:t>, the latest generation of the AMD Confi-dential Computing technologies.</w:t>
      </w:r>
    </w:p>
    <w:p>
      <w:pPr>
        <w:pStyle w:val="Para 17"/>
      </w:pPr>
      <w:r>
        <w:t/>
      </w:r>
    </w:p>
    <w:p>
      <w:pPr>
        <w:pStyle w:val="Para 01"/>
      </w:pPr>
      <w:r>
        <w:t>Host configuration</w:t>
      </w:r>
    </w:p>
    <w:p>
      <w:pPr>
        <w:pStyle w:val="Para 17"/>
      </w:pPr>
      <w:r>
        <w:t/>
      </w:r>
    </w:p>
    <w:p>
      <w:pPr>
        <w:pStyle w:val="Normal"/>
      </w:pPr>
      <w:r>
        <w:t>To enable SEV-SNP on the host, first enable memory-encryption features and SNP in the firmware settings, then allocate Address-Space Identifiers (ASIDs) for SNP use. For further</w:t>
      </w:r>
    </w:p>
    <w:p>
      <w:pPr>
        <w:pStyle w:val="Normal"/>
      </w:pPr>
      <w:r>
        <w:t xml:space="preserve">details, see </w:t>
      </w:r>
      <w:hyperlink w:anchor="page_555">
        <w:r>
          <w:rPr>
            <w:rStyle w:val="Text9"/>
          </w:rPr>
          <w:t>553</w:t>
        </w:r>
      </w:hyperlink>
      <w:r>
        <w:t xml:space="preserve"> </w:t>
      </w:r>
      <w:hyperlink r:id="rId1486">
        <w:r>
          <w:rPr>
            <w:rStyle w:val="Text1"/>
          </w:rPr>
          <w:t>AMD’s documentation</w:t>
        </w:r>
      </w:hyperlink>
      <w:r>
        <w:t xml:space="preserve"> and consult the documentation for your specific moth-erboard or Baseboard Management Controller (BMC).</w:t>
      </w:r>
    </w:p>
    <w:p>
      <w:pPr>
        <w:pStyle w:val="Normal"/>
      </w:pPr>
      <w:r>
        <w:t>To check if the host supports SEV-SNP:</w:t>
      </w:r>
    </w:p>
    <w:p>
      <w:pPr>
        <w:pStyle w:val="Normal"/>
      </w:pPr>
      <w:r>
        <w:t>$ cat /sys/module/kvm_amd/parameters/sev</w:t>
      </w:r>
    </w:p>
    <w:p>
      <w:pPr>
        <w:pStyle w:val="Normal"/>
      </w:pPr>
      <w:r>
        <w:t>Y</w:t>
      </w:r>
    </w:p>
    <w:p>
      <w:pPr>
        <w:pStyle w:val="Normal"/>
      </w:pPr>
      <w:r>
        <w:t>$ cpuid -1 -l 0x8000001f</w:t>
      </w:r>
    </w:p>
    <w:p>
      <w:pPr>
        <w:pStyle w:val="Normal"/>
      </w:pPr>
      <w:r>
        <w:t>CPU:</w:t>
      </w:r>
    </w:p>
    <w:p>
      <w:pPr>
        <w:pStyle w:val="Para 02"/>
      </w:pPr>
      <w:r>
        <w:t>AMD Secure Encryption</w:t>
        <w:t xml:space="preserve"> </w:t>
        <w:t>(</w:t>
        <w:t>0x8000001f</w:t>
        <w:t>)</w:t>
        <w:t>:</w:t>
      </w:r>
    </w:p>
    <w:p>
      <w:pPr>
        <w:pStyle w:val="Para 06"/>
      </w:pPr>
      <w:r>
        <w:t>SME: secure memory encryption</w:t>
        <w:t xml:space="preserve"> </w:t>
        <w:t>support</w:t>
        <w:t xml:space="preserve"> </w:t>
        <w:t>=</w:t>
        <w:t xml:space="preserve"> </w:t>
        <w:t>true</w:t>
        <w:t xml:space="preserve"> </w:t>
        <w:t>SEV: secure encrypted virtualize</w:t>
        <w:t xml:space="preserve"> </w:t>
        <w:t>support</w:t>
        <w:t xml:space="preserve"> </w:t>
        <w:t>=</w:t>
        <w:t xml:space="preserve"> </w:t>
        <w:t>true</w:t>
        <w:t xml:space="preserve"> </w:t>
        <w:t>VM page flush MSR</w:t>
        <w:t xml:space="preserve"> </w:t>
        <w:t>support</w:t>
        <w:t xml:space="preserve"> </w:t>
        <w:t>=</w:t>
        <w:t xml:space="preserve"> </w:t>
        <w:t>false</w:t>
        <w:t xml:space="preserve"> </w:t>
        <w:t>SEV-ES: SEV encrypted state</w:t>
        <w:t xml:space="preserve"> </w:t>
        <w:t>support</w:t>
        <w:t xml:space="preserve"> </w:t>
        <w:t>=</w:t>
        <w:t xml:space="preserve"> </w:t>
        <w:t>true</w:t>
        <w:t xml:space="preserve"> </w:t>
        <w:t>SEV-SNP: SEV secure nested</w:t>
        <w:t xml:space="preserve"> </w:t>
        <w:t>paging</w:t>
        <w:t xml:space="preserve"> </w:t>
        <w:t>=</w:t>
        <w:t xml:space="preserve"> </w:t>
        <w:t>true</w:t>
      </w:r>
    </w:p>
    <w:p>
      <w:pPr>
        <w:pStyle w:val="Para 17"/>
      </w:pPr>
      <w:r>
        <w:t/>
      </w:r>
    </w:p>
    <w:p>
      <w:pPr>
        <w:pStyle w:val="Normal"/>
      </w:pPr>
      <w:r>
        <w:t>To launch a SEV-SNP-enabled VM using QEMU, first install qemu-system-x86_64 and launch a VM with the following parameters:</w:t>
      </w:r>
    </w:p>
    <w:p>
      <w:pPr>
        <w:pStyle w:val="Normal"/>
      </w:pPr>
      <w:r>
        <w:t>qemu-system-x86_64</w:t>
        <w:t xml:space="preserve"> </w:t>
      </w:r>
      <w:r>
        <w:rPr>
          <w:rStyle w:val="Text0"/>
        </w:rPr>
        <w:t>\</w:t>
      </w:r>
    </w:p>
    <w:p>
      <w:pPr>
        <w:pStyle w:val="Para 03"/>
      </w:pPr>
      <w:r>
        <w:t>-enable-kvm</w:t>
        <w:t xml:space="preserve"> </w:t>
      </w:r>
      <w:r>
        <w:rPr>
          <w:rStyle w:val="Text0"/>
        </w:rPr>
        <w:t>\</w:t>
      </w:r>
    </w:p>
    <w:p>
      <w:pPr>
        <w:pStyle w:val="Para 03"/>
      </w:pPr>
      <w:r>
        <w:t>-nographic</w:t>
        <w:t xml:space="preserve"> </w:t>
      </w:r>
      <w:r>
        <w:rPr>
          <w:rStyle w:val="Text0"/>
        </w:rPr>
        <w:t>\</w:t>
      </w:r>
    </w:p>
    <w:p>
      <w:pPr>
        <w:pStyle w:val="Para 03"/>
      </w:pPr>
      <w:r>
        <w:t>-machine q35 -smp</w:t>
        <w:t xml:space="preserve"> </w:t>
        <w:t>6</w:t>
        <w:t>-m 6G</w:t>
        <w:t xml:space="preserve"> </w:t>
      </w:r>
      <w:r>
        <w:rPr>
          <w:rStyle w:val="Text0"/>
        </w:rPr>
        <w:t>\</w:t>
      </w:r>
    </w:p>
    <w:p>
      <w:pPr>
        <w:pStyle w:val="Para 03"/>
      </w:pPr>
      <w:r>
        <w:t>-drive</w:t>
        <w:t xml:space="preserve"> </w:t>
        <w:t>"if=virtio,format=qcow2,file=disk.img"</w:t>
        <w:t xml:space="preserve"> </w:t>
      </w:r>
      <w:r>
        <w:rPr>
          <w:rStyle w:val="Text0"/>
        </w:rPr>
        <w:t>\</w:t>
      </w:r>
    </w:p>
    <w:p>
      <w:pPr>
        <w:pStyle w:val="Para 03"/>
      </w:pPr>
      <w:r>
        <w:t>-net nic,model</w:t>
        <w:t>=</w:t>
        <w:t>e1000 -net user,hostfwd</w:t>
        <w:t>=</w:t>
        <w:t>tcp::2222-:22</w:t>
        <w:t xml:space="preserve"> </w:t>
      </w:r>
      <w:r>
        <w:rPr>
          <w:rStyle w:val="Text0"/>
        </w:rPr>
        <w:t>\</w:t>
      </w:r>
    </w:p>
    <w:p>
      <w:pPr>
        <w:pStyle w:val="Para 03"/>
      </w:pPr>
      <w:r>
        <w:t>-cpu EPYC-v4</w:t>
        <w:t xml:space="preserve"> </w:t>
      </w:r>
      <w:r>
        <w:rPr>
          <w:rStyle w:val="Text0"/>
        </w:rPr>
        <w:t>\</w:t>
      </w:r>
    </w:p>
    <w:p>
      <w:pPr>
        <w:pStyle w:val="Para 03"/>
      </w:pPr>
      <w:r>
        <w:t>-machine memory-encryption</w:t>
        <w:t>=</w:t>
        <w:t>sev0,vmport</w:t>
        <w:t>=</w:t>
        <w:t>off</w:t>
        <w:t xml:space="preserve"> </w:t>
      </w:r>
      <w:r>
        <w:rPr>
          <w:rStyle w:val="Text0"/>
        </w:rPr>
        <w:t>\</w:t>
      </w:r>
    </w:p>
    <w:p>
      <w:pPr>
        <w:pStyle w:val="Para 03"/>
      </w:pPr>
      <w:r>
        <w:t>-object memory-backend-memfd,id</w:t>
        <w:t>=</w:t>
        <w:t>ram1,size</w:t>
        <w:t>=</w:t>
        <w:t>6G,share</w:t>
        <w:t>=</w:t>
        <w:t>true,prealloc</w:t>
        <w:t>=</w:t>
        <w:t>false</w:t>
        <w:t xml:space="preserve"> </w:t>
      </w:r>
      <w:r>
        <w:rPr>
          <w:rStyle w:val="Text0"/>
        </w:rPr>
        <w:t>\</w:t>
      </w:r>
    </w:p>
    <w:p>
      <w:pPr>
        <w:pStyle w:val="Para 03"/>
      </w:pPr>
      <w:r>
        <w:t>-machine memory-backend</w:t>
        <w:t>=</w:t>
        <w:t>ram1</w:t>
        <w:t xml:space="preserve"> </w:t>
      </w:r>
      <w:r>
        <w:rPr>
          <w:rStyle w:val="Text0"/>
        </w:rPr>
        <w:t>\</w:t>
      </w:r>
    </w:p>
    <w:p>
      <w:pPr>
        <w:pStyle w:val="Para 03"/>
      </w:pPr>
      <w:r>
        <w:t>-object sev-snp-guest,id</w:t>
        <w:t>=</w:t>
        <w:t>sev0,cbitpos</w:t>
        <w:t>=</w:t>
        <w:t>47</w:t>
        <w:t>,reduced-phys-bits</w:t>
        <w:t>=</w:t>
        <w:t>1</w:t>
        <w:t>,kernel-hashes</w:t>
        <w:t>=</w:t>
        <w:t>on,</w:t>
      </w:r>
    </w:p>
    <w:p>
      <w:pPr>
        <w:pStyle w:val="Normal"/>
      </w:pPr>
      <w:r>
        <w:t>policy</w:t>
        <w:t>=</w:t>
        <w:t>0x30000</w:t>
        <w:t xml:space="preserve"> </w:t>
      </w:r>
      <w:r>
        <w:rPr>
          <w:rStyle w:val="Text0"/>
        </w:rPr>
        <w:t>\</w:t>
      </w:r>
    </w:p>
    <w:p>
      <w:pPr>
        <w:pStyle w:val="Para 03"/>
      </w:pPr>
      <w:r>
        <w:t>-kernel ./vmlinuz</w:t>
        <w:t xml:space="preserve"> </w:t>
      </w:r>
      <w:r>
        <w:rPr>
          <w:rStyle w:val="Text0"/>
        </w:rPr>
        <w:t>\</w:t>
      </w:r>
    </w:p>
    <w:p>
      <w:pPr>
        <w:pStyle w:val="Para 09"/>
      </w:pPr>
      <w:r>
        <w:t>(continues on next page)</w:t>
      </w:r>
    </w:p>
    <w:p>
      <w:pPr>
        <w:pStyle w:val="Para 05"/>
      </w:pPr>
      <w:r>
        <w:rPr>
          <w:rStyle w:val="Text5"/>
        </w:rPr>
        <w:t>553</w:t>
      </w:r>
      <w:r>
        <w:rPr>
          <w:rStyle w:val="Text8"/>
        </w:rPr>
        <w:t xml:space="preserve"> </w:t>
      </w:r>
      <w:r>
        <w:t>https://docs.amd.com/v/u/en-US/58207-using-sev-with-amd-epyc-processors</w:t>
      </w:r>
    </w:p>
    <w:p>
      <w:bookmarkStart w:id="848" w:name="page_5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5" name="index-556_1.png" descr="index-556_1.png"/>
            <wp:cNvGraphicFramePr>
              <a:graphicFrameLocks noChangeAspect="1"/>
            </wp:cNvGraphicFramePr>
            <a:graphic>
              <a:graphicData uri="http://schemas.openxmlformats.org/drawingml/2006/picture">
                <pic:pic>
                  <pic:nvPicPr>
                    <pic:cNvPr id="0" name="index-556_1.png" descr="index-556_1.png"/>
                    <pic:cNvPicPr/>
                  </pic:nvPicPr>
                  <pic:blipFill>
                    <a:blip r:embed="rId569"/>
                    <a:stretch>
                      <a:fillRect/>
                    </a:stretch>
                  </pic:blipFill>
                  <pic:spPr>
                    <a:xfrm>
                      <a:off x="0" y="0"/>
                      <a:ext cx="914400" cy="266700"/>
                    </a:xfrm>
                    <a:prstGeom prst="rect">
                      <a:avLst/>
                    </a:prstGeom>
                  </pic:spPr>
                </pic:pic>
              </a:graphicData>
            </a:graphic>
          </wp:anchor>
        </w:drawing>
      </w:r>
      <w:bookmarkEnd w:id="848"/>
    </w:p>
    <w:p>
      <w:pPr>
        <w:pStyle w:val="Para 09"/>
      </w:pPr>
      <w:r>
        <w:t>(continued from previous page)</w:t>
      </w:r>
    </w:p>
    <w:p>
      <w:pPr>
        <w:pStyle w:val="Para 03"/>
      </w:pPr>
      <w:r>
        <w:t>-append</w:t>
        <w:t xml:space="preserve"> </w:t>
        <w:t>"root=/dev/vda1 console=ttyS0"</w:t>
        <w:t xml:space="preserve"> </w:t>
      </w:r>
      <w:r>
        <w:rPr>
          <w:rStyle w:val="Text0"/>
        </w:rPr>
        <w:t>\</w:t>
      </w:r>
    </w:p>
    <w:p>
      <w:pPr>
        <w:pStyle w:val="Para 03"/>
      </w:pPr>
      <w:r>
        <w:t>-bios /usr/share/ovmf/OVMF.amdsev.fd</w:t>
      </w:r>
    </w:p>
    <w:p>
      <w:pPr>
        <w:pStyle w:val="Para 17"/>
      </w:pPr>
      <w:r>
        <w:t/>
      </w:r>
    </w:p>
    <w:p>
      <w:pPr>
        <w:pStyle w:val="Para 04"/>
      </w:pPr>
      <w:r>
        <w:t xml:space="preserve">• </w:t>
      </w:r>
      <w:hyperlink r:id="rId1487">
        <w:r>
          <w:rPr>
            <w:rStyle w:val="Text9"/>
          </w:rPr>
          <w:t>554</w:t>
        </w:r>
      </w:hyperlink>
      <w:r>
        <w:t xml:space="preserve"> OVMF.amdsev.fd is a specific version of </w:t>
      </w:r>
      <w:hyperlink r:id="rId1487">
        <w:r>
          <w:rPr>
            <w:rStyle w:val="Text1"/>
          </w:rPr>
          <w:t>EDK II</w:t>
        </w:r>
      </w:hyperlink>
      <w:r>
        <w:t>.</w:t>
      </w:r>
    </w:p>
    <w:p>
      <w:pPr>
        <w:pStyle w:val="Normal"/>
      </w:pPr>
      <w:r>
        <w:t>The important argument that tells QEMU that this VM is a SEV-SNP VM is:</w:t>
      </w:r>
    </w:p>
    <w:p>
      <w:pPr>
        <w:pStyle w:val="Para 03"/>
      </w:pPr>
      <w:r>
        <w:t>-object sev-snp-guest,id</w:t>
        <w:t>=</w:t>
        <w:t>sev0,cbitpos</w:t>
        <w:t>=</w:t>
        <w:t>47</w:t>
        <w:t>,reduced-phys-bits</w:t>
        <w:t>=</w:t>
        <w:t>1</w:t>
        <w:t>,kernel-hashes</w:t>
        <w:t>=</w:t>
        <w:t>on</w:t>
        <w:t xml:space="preserve"> </w:t>
      </w:r>
      <w:r>
        <w:rPr>
          <w:rStyle w:val="Text0"/>
        </w:rPr>
        <w:t>\</w:t>
      </w:r>
    </w:p>
    <w:p>
      <w:pPr>
        <w:pStyle w:val="Para 17"/>
      </w:pPr>
      <w:r>
        <w:t/>
      </w:r>
    </w:p>
    <w:p>
      <w:pPr>
        <w:pStyle w:val="Para 04"/>
      </w:pPr>
      <w:r>
        <w:t>• cbitpos: Specifies the position of the C-bit in the physical address. This is a platform-</w:t>
      </w:r>
    </w:p>
    <w:p>
      <w:pPr>
        <w:pStyle w:val="Para 02"/>
      </w:pPr>
      <w:r>
        <w:t>specific value required for SEV to operate correctly.</w:t>
      </w:r>
    </w:p>
    <w:p>
      <w:pPr>
        <w:pStyle w:val="Para 04"/>
      </w:pPr>
      <w:r>
        <w:t>• reduced-phys-bits: Informs the hypervisor that one bit of the physical address space</w:t>
      </w:r>
    </w:p>
    <w:p>
      <w:pPr>
        <w:pStyle w:val="Para 02"/>
      </w:pPr>
      <w:r>
        <w:t>is reserved for memory encryption state (the C-bit) and therefore cannot be used for addressing. As a result, the usable physical address space is reduced by one bit; this is commonly set to 1.</w:t>
      </w:r>
    </w:p>
    <w:p>
      <w:pPr>
        <w:pStyle w:val="Para 04"/>
      </w:pPr>
      <w:r>
        <w:t>• kernel-hashes=on: Ensures that the kernel, initramfs, and kernel command line are mea-</w:t>
      </w:r>
    </w:p>
    <w:p>
      <w:pPr>
        <w:pStyle w:val="Para 02"/>
      </w:pPr>
      <w:r>
        <w:t>sured at VM launch. This option can be disabled; however, when enabled, the kernel must be supplied explicitly using the-kernel option.</w:t>
      </w:r>
    </w:p>
    <w:p>
      <w:pPr>
        <w:pStyle w:val="Para 04"/>
      </w:pPr>
      <w:r>
        <w:t>• policy: Defines the SEV-SNP guest security policy enforced at launch. This bitmask</w:t>
      </w:r>
    </w:p>
    <w:p>
      <w:pPr>
        <w:pStyle w:val="Para 02"/>
      </w:pPr>
      <w:r>
        <w:t>controls which features and restrictions are enabled for the guest, such as whether de-bugging is permitted, whether SMT is allowed, or whether migration is restricted. The policy must be compatible with both the platform firmware and the guest workload, as it directly affects guest capabilities and security guarantees. For further details, see</w:t>
      </w:r>
    </w:p>
    <w:p>
      <w:pPr>
        <w:pStyle w:val="Para 32"/>
      </w:pPr>
      <w:r>
        <w:rPr>
          <w:rStyle w:val="Text7"/>
        </w:rPr>
        <w:t xml:space="preserve">the </w:t>
      </w:r>
      <w:hyperlink r:id="rId1488">
        <w:r>
          <w:rPr>
            <w:rStyle w:val="Text10"/>
          </w:rPr>
          <w:t>555</w:t>
        </w:r>
      </w:hyperlink>
      <w:hyperlink r:id="rId1488">
        <w:r>
          <w:t xml:space="preserve"> QEMU documentation</w:t>
        </w:r>
      </w:hyperlink>
      <w:r>
        <w:rPr>
          <w:rStyle w:val="Text7"/>
        </w:rPr>
        <w:t>.</w:t>
      </w:r>
    </w:p>
    <w:p>
      <w:pPr>
        <w:pStyle w:val="Normal"/>
      </w:pPr>
      <w:r>
        <w:t xml:space="preserve">For more details about these parameters, refer to QEMU documentation pages for </w:t>
      </w:r>
      <w:hyperlink r:id="rId1489">
        <w:r>
          <w:rPr>
            <w:rStyle w:val="Text1"/>
          </w:rPr>
          <w:t>invoca-</w:t>
        </w:r>
      </w:hyperlink>
    </w:p>
    <w:p>
      <w:pPr>
        <w:pStyle w:val="Para 18"/>
      </w:pPr>
      <w:hyperlink r:id="rId1489">
        <w:r>
          <w:t>tion</w:t>
        </w:r>
      </w:hyperlink>
      <w:hyperlink r:id="rId1489">
        <w:r>
          <w:rPr>
            <w:rStyle w:val="Text10"/>
          </w:rPr>
          <w:t>556</w:t>
        </w:r>
      </w:hyperlink>
      <w:r>
        <w:rPr>
          <w:rStyle w:val="Text7"/>
        </w:rPr>
        <w:t xml:space="preserve"> </w:t>
      </w:r>
      <w:hyperlink w:anchor="page_556">
        <w:r>
          <w:rPr>
            <w:rStyle w:val="Text10"/>
          </w:rPr>
          <w:t>557</w:t>
        </w:r>
      </w:hyperlink>
      <w:r>
        <w:rPr>
          <w:rStyle w:val="Text7"/>
        </w:rPr>
        <w:t xml:space="preserve"> and </w:t>
      </w:r>
      <w:hyperlink r:id="rId1490">
        <w:r>
          <w:t>AMD SEV</w:t>
        </w:r>
      </w:hyperlink>
      <w:r>
        <w:rPr>
          <w:rStyle w:val="Text7"/>
        </w:rPr>
        <w:t>.</w:t>
      </w:r>
    </w:p>
    <w:p>
      <w:pPr>
        <w:pStyle w:val="Para 17"/>
      </w:pPr>
      <w:r>
        <w:t/>
      </w:r>
    </w:p>
    <w:p>
      <w:pPr>
        <w:pStyle w:val="Para 01"/>
      </w:pPr>
      <w:r>
        <w:t>Guest configuration</w:t>
      </w:r>
    </w:p>
    <w:p>
      <w:pPr>
        <w:pStyle w:val="Para 17"/>
      </w:pPr>
      <w:r>
        <w:t/>
      </w:r>
    </w:p>
    <w:p>
      <w:pPr>
        <w:pStyle w:val="Normal"/>
      </w:pPr>
      <w:r>
        <w:t>On the guest side, Ubuntu 24.04 LTS and newer fully support AMD SEV-SNP. You can down-load the disk image and kernel for your VM from cloud-images.ubuntu.com. The latest image and kernel can be found here:</w:t>
      </w:r>
    </w:p>
    <w:p>
      <w:pPr>
        <w:pStyle w:val="Para 13"/>
      </w:pPr>
      <w:r>
        <w:rPr>
          <w:rStyle w:val="Text7"/>
        </w:rPr>
        <w:t xml:space="preserve">• </w:t>
      </w:r>
      <w:hyperlink r:id="rId1491">
        <w:r>
          <w:t>https://cloud-images.ubuntu.com/releases/noble/release/ubuntu-24.</w:t>
        </w:r>
      </w:hyperlink>
    </w:p>
    <w:p>
      <w:pPr>
        <w:pStyle w:val="Para 32"/>
      </w:pPr>
      <w:hyperlink r:id="rId1491">
        <w:r>
          <w:t>04-server-cloudimg-amd64.img</w:t>
        </w:r>
      </w:hyperlink>
    </w:p>
    <w:p>
      <w:pPr>
        <w:pStyle w:val="Para 13"/>
      </w:pPr>
      <w:r>
        <w:rPr>
          <w:rStyle w:val="Text7"/>
        </w:rPr>
        <w:t xml:space="preserve">• </w:t>
      </w:r>
      <w:hyperlink r:id="rId1492">
        <w:r>
          <w:t>https://cloud-images.ubuntu.com/releases/noble/release/unpacked/</w:t>
        </w:r>
      </w:hyperlink>
    </w:p>
    <w:p>
      <w:pPr>
        <w:pStyle w:val="Normal"/>
      </w:pPr>
      <w:r>
        <w:t>Once the VM is launched, install linux-generic to get the sev-guest module and insert it with modprobe sev-guest. This will create a new character device on the guest that can be used to generate attestation reports from the TEE: /dev/sev-guest. Finally, you can use AMD’s</w:t>
      </w:r>
    </w:p>
    <w:p>
      <w:pPr>
        <w:pStyle w:val="Normal"/>
      </w:pPr>
      <w:hyperlink r:id="rId1493">
        <w:r>
          <w:rPr>
            <w:rStyle w:val="Text1"/>
          </w:rPr>
          <w:t>snpguest</w:t>
        </w:r>
      </w:hyperlink>
      <w:hyperlink w:anchor="page_556">
        <w:r>
          <w:rPr>
            <w:rStyle w:val="Text9"/>
          </w:rPr>
          <w:t>558</w:t>
        </w:r>
      </w:hyperlink>
      <w:r>
        <w:t xml:space="preserve"> to generate an attestation report that can be used for a remote attestation:</w:t>
      </w:r>
    </w:p>
    <w:p>
      <w:pPr>
        <w:pStyle w:val="Normal"/>
      </w:pPr>
      <w:r>
        <w:t>sudo ./snpguest report --random attestation-report.bin request-file.txt</w:t>
      </w:r>
    </w:p>
    <w:p>
      <w:pPr>
        <w:pStyle w:val="Para 05"/>
      </w:pPr>
      <w:r>
        <w:rPr>
          <w:rStyle w:val="Text5"/>
        </w:rPr>
        <w:t>554</w:t>
      </w:r>
      <w:r>
        <w:rPr>
          <w:rStyle w:val="Text8"/>
        </w:rPr>
        <w:t xml:space="preserve"> </w:t>
      </w:r>
      <w:r>
        <w:t>https://en.wikipedia.org/wiki/TianoCore_EDK_II</w:t>
      </w:r>
    </w:p>
    <w:p>
      <w:pPr>
        <w:pStyle w:val="Para 05"/>
      </w:pPr>
      <w:r>
        <w:rPr>
          <w:rStyle w:val="Text5"/>
        </w:rPr>
        <w:t>555</w:t>
      </w:r>
      <w:r>
        <w:rPr>
          <w:rStyle w:val="Text8"/>
        </w:rPr>
        <w:t xml:space="preserve"> </w:t>
      </w:r>
      <w:r>
        <w:t>https://www.qemu.org/docs/master/system/i386/amd-memory-encryption.html</w:t>
      </w:r>
    </w:p>
    <w:p>
      <w:pPr>
        <w:pStyle w:val="Para 05"/>
      </w:pPr>
      <w:r>
        <w:rPr>
          <w:rStyle w:val="Text5"/>
        </w:rPr>
        <w:t>556</w:t>
      </w:r>
      <w:r>
        <w:rPr>
          <w:rStyle w:val="Text8"/>
        </w:rPr>
        <w:t xml:space="preserve"> </w:t>
      </w:r>
      <w:r>
        <w:t>https://www.qemu.org/docs/master/system/invocation.html</w:t>
      </w:r>
    </w:p>
    <w:p>
      <w:pPr>
        <w:pStyle w:val="Para 05"/>
      </w:pPr>
      <w:r>
        <w:rPr>
          <w:rStyle w:val="Text5"/>
        </w:rPr>
        <w:t>557</w:t>
      </w:r>
      <w:r>
        <w:rPr>
          <w:rStyle w:val="Text8"/>
        </w:rPr>
        <w:t xml:space="preserve"> </w:t>
      </w:r>
      <w:r>
        <w:t>https://www.qemu.org/docs/master/system/i386/amd-memory-encryption.html#sevapi</w:t>
      </w:r>
    </w:p>
    <w:p>
      <w:pPr>
        <w:pStyle w:val="Para 08"/>
      </w:pPr>
      <w:r>
        <w:rPr>
          <w:rStyle w:val="Text19"/>
        </w:rPr>
        <w:t>558</w:t>
      </w:r>
      <w:r>
        <w:rPr>
          <w:rStyle w:val="Text0"/>
        </w:rPr>
        <w:t xml:space="preserve"> </w:t>
      </w:r>
      <w:r>
        <w:rPr>
          <w:rStyle w:val="Text14"/>
        </w:rPr>
        <w:t>https://github.com/virtee/snpguest</w:t>
      </w:r>
      <w:r>
        <w:rPr>
          <w:rStyle w:val="Text0"/>
        </w:rPr>
        <w:t xml:space="preserve"> </w:t>
      </w:r>
      <w:r>
        <w:t>Confidential Computing with Intel Trust Domain Extensions (TDX)</w:t>
      </w:r>
    </w:p>
    <w:p>
      <w:bookmarkStart w:id="849" w:name="page_5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6" name="index-557_1.png" descr="index-557_1.png"/>
            <wp:cNvGraphicFramePr>
              <a:graphicFrameLocks noChangeAspect="1"/>
            </wp:cNvGraphicFramePr>
            <a:graphic>
              <a:graphicData uri="http://schemas.openxmlformats.org/drawingml/2006/picture">
                <pic:pic>
                  <pic:nvPicPr>
                    <pic:cNvPr id="0" name="index-557_1.png" descr="index-557_1.png"/>
                    <pic:cNvPicPr/>
                  </pic:nvPicPr>
                  <pic:blipFill>
                    <a:blip r:embed="rId570"/>
                    <a:stretch>
                      <a:fillRect/>
                    </a:stretch>
                  </pic:blipFill>
                  <pic:spPr>
                    <a:xfrm>
                      <a:off x="0" y="0"/>
                      <a:ext cx="914400" cy="266700"/>
                    </a:xfrm>
                    <a:prstGeom prst="rect">
                      <a:avLst/>
                    </a:prstGeom>
                  </pic:spPr>
                </pic:pic>
              </a:graphicData>
            </a:graphic>
          </wp:anchor>
        </w:drawing>
      </w:r>
      <w:bookmarkEnd w:id="849"/>
    </w:p>
    <w:p>
      <w:pPr>
        <w:pStyle w:val="Para 17"/>
      </w:pPr>
      <w:r>
        <w:t/>
      </w:r>
    </w:p>
    <w:p>
      <w:pPr>
        <w:pStyle w:val="Normal"/>
      </w:pPr>
      <w:hyperlink r:id="rId1494">
        <w:r>
          <w:rPr>
            <w:rStyle w:val="Text1"/>
          </w:rPr>
          <w:t>Intel TDX</w:t>
        </w:r>
      </w:hyperlink>
      <w:hyperlink r:id="rId1494">
        <w:r>
          <w:rPr>
            <w:rStyle w:val="Text9"/>
          </w:rPr>
          <w:t>559</w:t>
        </w:r>
      </w:hyperlink>
      <w:r>
        <w:t xml:space="preserve"> is a Confidential Computing technology. It deploys hardware-isolated Virtual Machines (VMs) called Trust Domains (TDs), and protects them from a broad range of soft-ware attacks by isolating them from the Virtual Machine Manager (VMM), hypervisor, and other non-TD software on the host platform. This enhances a platform user’s control of data security and IP protection. It also enhances a Cloud Service Providers’ (CSP) ability to provide managed cloud services without exposing tenant data to adversaries.</w:t>
      </w:r>
    </w:p>
    <w:p>
      <w:pPr>
        <w:pStyle w:val="Normal"/>
      </w:pPr>
      <w:r>
        <w:t>Ubuntu supports Intel TDX for both host and guest operating systems. Guest support is avail-able from Ubuntu 24.04 LTS onwards, while host support begins with Ubuntu 25.10.</w:t>
      </w:r>
    </w:p>
    <w:p>
      <w:pPr>
        <w:pStyle w:val="Para 17"/>
      </w:pPr>
      <w:r>
        <w:t/>
      </w:r>
    </w:p>
    <w:p>
      <w:pPr>
        <w:pStyle w:val="Para 01"/>
      </w:pPr>
      <w:r>
        <w:t>Supported hardware</w:t>
      </w:r>
    </w:p>
    <w:p>
      <w:pPr>
        <w:pStyle w:val="Para 17"/>
      </w:pPr>
      <w:r>
        <w:t/>
      </w:r>
    </w:p>
    <w:p>
      <w:pPr>
        <w:pStyle w:val="Normal"/>
      </w:pPr>
      <w:r>
        <w:t>This table lists Intel Xeon processors that support Intel TDX:</w:t>
      </w:r>
    </w:p>
    <w:p>
      <w:pPr>
        <w:pStyle w:val="Para 17"/>
      </w:pPr>
      <w:r>
        <w:t/>
      </w:r>
    </w:p>
    <w:p>
      <w:pPr>
        <w:pStyle w:val="Para 17"/>
      </w:pPr>
      <w:r>
        <w:t>Processor Code Name TDX Module</w:t>
      </w:r>
    </w:p>
    <w:p>
      <w:pPr>
        <w:pStyle w:val="Para 21"/>
      </w:pPr>
      <w:r>
        <w:t>Version</w:t>
      </w:r>
    </w:p>
    <w:p>
      <w:pPr>
        <w:pStyle w:val="Para 03"/>
      </w:pPr>
      <w:r>
        <w:t>4th Gen Intel Xeon Scalable Processors (select SKUs Sapphire 1.5.x</w:t>
      </w:r>
    </w:p>
    <w:p>
      <w:pPr>
        <w:pStyle w:val="Para 03"/>
      </w:pPr>
      <w:r>
        <w:t>with Intel TDX) Rapids</w:t>
      </w:r>
    </w:p>
    <w:p>
      <w:pPr>
        <w:pStyle w:val="Para 03"/>
      </w:pPr>
      <w:r>
        <w:t>5th Gen Intel Xeon Scalable Processors Emerald 1.5.x</w:t>
      </w:r>
    </w:p>
    <w:p>
      <w:pPr>
        <w:pStyle w:val="Para 56"/>
      </w:pPr>
      <w:r>
        <w:t>Rapids</w:t>
      </w:r>
    </w:p>
    <w:p>
      <w:pPr>
        <w:pStyle w:val="Para 03"/>
      </w:pPr>
      <w:r>
        <w:t>Intel Xeon 6 Processors with E-Cores Sierra Forest 1.5.x</w:t>
      </w:r>
    </w:p>
    <w:p>
      <w:pPr>
        <w:pStyle w:val="Para 03"/>
      </w:pPr>
      <w:r>
        <w:t>Intel Xeon 6 Processors with P-Cores Granite 2.0.x</w:t>
      </w:r>
    </w:p>
    <w:p>
      <w:pPr>
        <w:pStyle w:val="Para 56"/>
      </w:pPr>
      <w:r>
        <w:t>Rapids</w:t>
      </w:r>
    </w:p>
    <w:p>
      <w:pPr>
        <w:pStyle w:val="Para 17"/>
      </w:pPr>
      <w:r>
        <w:t/>
      </w:r>
    </w:p>
    <w:p>
      <w:pPr>
        <w:pStyle w:val="Para 01"/>
      </w:pPr>
      <w:r>
        <w:t>Configure host</w:t>
      </w:r>
    </w:p>
    <w:p>
      <w:pPr>
        <w:pStyle w:val="Para 17"/>
      </w:pPr>
      <w:r>
        <w:t/>
      </w:r>
    </w:p>
    <w:p>
      <w:pPr>
        <w:pStyle w:val="Normal"/>
      </w:pPr>
      <w:r>
        <w:t>To enable Intel TDX on the host, BIOS and host OS configurations are required. First, enable Intel TDX settings in the BIOS.</w:t>
      </w:r>
    </w:p>
    <w:p>
      <w:pPr>
        <w:pStyle w:val="Para 08"/>
      </w:pPr>
      <w:r>
        <w:t>Note:</w:t>
      </w:r>
    </w:p>
    <w:p>
      <w:pPr>
        <w:pStyle w:val="Para 03"/>
      </w:pPr>
      <w:r>
        <w:t>The following is a sample BIOS configuration. The necessary BIOS settings or menus may</w:t>
      </w:r>
    </w:p>
    <w:p>
      <w:pPr>
        <w:pStyle w:val="Para 03"/>
      </w:pPr>
      <w:r>
        <w:t>differ based on the platform used. Reach out to your OEM/ODM or independent BIOS</w:t>
      </w:r>
    </w:p>
    <w:p>
      <w:pPr>
        <w:pStyle w:val="Para 03"/>
      </w:pPr>
      <w:r>
        <w:t>vendor for platform-specific instructions.</w:t>
      </w:r>
    </w:p>
    <w:p>
      <w:pPr>
        <w:pStyle w:val="Para 17"/>
      </w:pPr>
      <w:r>
        <w:t/>
      </w:r>
    </w:p>
    <w:p>
      <w:pPr>
        <w:pStyle w:val="Para 10"/>
      </w:pPr>
      <w:r>
        <w:rPr>
          <w:rStyle w:val="Text3"/>
        </w:rPr>
        <w:t xml:space="preserve">Navigate to </w:t>
      </w:r>
      <w:r>
        <w:t>Socket Configuration � Processor Configuration � TME, TME-MT, TDX</w:t>
      </w:r>
      <w:r>
        <w:rPr>
          <w:rStyle w:val="Text3"/>
        </w:rPr>
        <w:t xml:space="preserve"> and configure:</w:t>
      </w:r>
    </w:p>
    <w:p>
      <w:pPr>
        <w:pStyle w:val="Para 04"/>
      </w:pPr>
      <w:r>
        <w:t>• Set Memory Encryption (TME) to Enable</w:t>
      </w:r>
    </w:p>
    <w:p>
      <w:pPr>
        <w:pStyle w:val="Para 04"/>
      </w:pPr>
      <w:r>
        <w:t>• Set Total Memory Encryption Bypass to Enable (optional setting for best host OS and</w:t>
      </w:r>
    </w:p>
    <w:p>
      <w:pPr>
        <w:pStyle w:val="Para 02"/>
      </w:pPr>
      <w:r>
        <w:t>regular VM performance)</w:t>
      </w:r>
    </w:p>
    <w:p>
      <w:pPr>
        <w:pStyle w:val="Para 04"/>
      </w:pPr>
      <w:r>
        <w:t>• Set Total Memory Encryption Multi-Tenant (TME-MT) to Enable</w:t>
      </w:r>
    </w:p>
    <w:p>
      <w:pPr>
        <w:pStyle w:val="Para 05"/>
      </w:pPr>
      <w:r>
        <w:rPr>
          <w:rStyle w:val="Text5"/>
        </w:rPr>
        <w:t>559</w:t>
      </w:r>
      <w:r>
        <w:rPr>
          <w:rStyle w:val="Text8"/>
        </w:rPr>
        <w:t xml:space="preserve"> </w:t>
      </w:r>
      <w:r>
        <w:t>https://www.intel.com/content/www/us/en/developer/tools/trust-domain-extensions/overview.html</w:t>
      </w:r>
    </w:p>
    <w:p>
      <w:bookmarkStart w:id="850" w:name="page_5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7" name="index-558_1.png" descr="index-558_1.png"/>
            <wp:cNvGraphicFramePr>
              <a:graphicFrameLocks noChangeAspect="1"/>
            </wp:cNvGraphicFramePr>
            <a:graphic>
              <a:graphicData uri="http://schemas.openxmlformats.org/drawingml/2006/picture">
                <pic:pic>
                  <pic:nvPicPr>
                    <pic:cNvPr id="0" name="index-558_1.png" descr="index-558_1.png"/>
                    <pic:cNvPicPr/>
                  </pic:nvPicPr>
                  <pic:blipFill>
                    <a:blip r:embed="rId571"/>
                    <a:stretch>
                      <a:fillRect/>
                    </a:stretch>
                  </pic:blipFill>
                  <pic:spPr>
                    <a:xfrm>
                      <a:off x="0" y="0"/>
                      <a:ext cx="914400" cy="266700"/>
                    </a:xfrm>
                    <a:prstGeom prst="rect">
                      <a:avLst/>
                    </a:prstGeom>
                  </pic:spPr>
                </pic:pic>
              </a:graphicData>
            </a:graphic>
          </wp:anchor>
        </w:drawing>
      </w:r>
      <w:bookmarkEnd w:id="850"/>
    </w:p>
    <w:p>
      <w:pPr>
        <w:pStyle w:val="Para 04"/>
      </w:pPr>
      <w:r>
        <w:t>• Set TME-MT memory integrity to Disable</w:t>
      </w:r>
    </w:p>
    <w:p>
      <w:pPr>
        <w:pStyle w:val="Para 04"/>
      </w:pPr>
      <w:r>
        <w:t>• Set Trust Domain Extension (TDX) to Enable</w:t>
      </w:r>
    </w:p>
    <w:p>
      <w:pPr>
        <w:pStyle w:val="Para 04"/>
      </w:pPr>
      <w:r>
        <w:t>• Set TDX Secure Arbitration Mode Loader (SEAM Loader) to Enable (allows loading Intel</w:t>
      </w:r>
    </w:p>
    <w:p>
      <w:pPr>
        <w:pStyle w:val="Para 02"/>
      </w:pPr>
      <w:r>
        <w:t>TDX Loader and Intel TDX Module from the ESP or BIOS)</w:t>
      </w:r>
    </w:p>
    <w:p>
      <w:pPr>
        <w:pStyle w:val="Para 04"/>
      </w:pPr>
      <w:r>
        <w:t>• Set TME-MT/TDX key split to a non-zero value</w:t>
      </w:r>
    </w:p>
    <w:p>
      <w:pPr>
        <w:pStyle w:val="Para 10"/>
      </w:pPr>
      <w:r>
        <w:rPr>
          <w:rStyle w:val="Text3"/>
        </w:rPr>
        <w:t xml:space="preserve">Navigate to </w:t>
      </w:r>
      <w:r>
        <w:t>Socket Configuration � Processor Configuration � Software Guard Extension (SGX)</w:t>
      </w:r>
      <w:r>
        <w:rPr>
          <w:rStyle w:val="Text3"/>
        </w:rPr>
        <w:t xml:space="preserve"> and configure:</w:t>
      </w:r>
    </w:p>
    <w:p>
      <w:pPr>
        <w:pStyle w:val="Para 04"/>
      </w:pPr>
      <w:r>
        <w:t>• Set SW Guard Extensions (SGX) to Enable</w:t>
      </w:r>
    </w:p>
    <w:p>
      <w:pPr>
        <w:pStyle w:val="Normal"/>
      </w:pPr>
      <w:r>
        <w:t>Save the BIOS settings and reboot.</w:t>
      </w:r>
    </w:p>
    <w:p>
      <w:pPr>
        <w:pStyle w:val="Normal"/>
      </w:pPr>
      <w:r>
        <w:t>Now, add the nohibernate kvm_intel.tdx=1 kernel parameters to GRUB_CMDLINE_LINUX_ DEFAULT in /etc/default/grub, run sudo update-grub, and then reboot again. After rebooting, verify that the parameters have been applied:</w:t>
      </w:r>
    </w:p>
    <w:p>
      <w:pPr>
        <w:pStyle w:val="Normal"/>
      </w:pPr>
      <w:r>
        <w:t>cat /proc/cmdline</w:t>
      </w:r>
    </w:p>
    <w:p>
      <w:pPr>
        <w:pStyle w:val="Para 17"/>
      </w:pPr>
      <w:r>
        <w:t/>
      </w:r>
    </w:p>
    <w:p>
      <w:pPr>
        <w:pStyle w:val="Normal"/>
      </w:pPr>
      <w:r>
        <w:t>You should see something like:</w:t>
      </w:r>
    </w:p>
    <w:p>
      <w:pPr>
        <w:pStyle w:val="Normal"/>
      </w:pPr>
      <w:r>
        <w:t>BOOT_IMAGE=/boot/vmlinuz-6.19.0-3-generic root=UUID=f6ce4201-d6d1-4505-bdf5-019ee4fe842e</w:t>
        <w:t xml:space="preserve"> </w:t>
        <w:t>ro nohibernate kvm_intel.tdx=1</w:t>
      </w:r>
    </w:p>
    <w:p>
      <w:pPr>
        <w:pStyle w:val="Para 17"/>
      </w:pPr>
      <w:r>
        <w:t/>
      </w:r>
    </w:p>
    <w:p>
      <w:pPr>
        <w:pStyle w:val="Normal"/>
      </w:pPr>
      <w:r>
        <w:t>Next, confirm that Intel TDX has been successfully enabled:</w:t>
      </w:r>
    </w:p>
    <w:p>
      <w:pPr>
        <w:pStyle w:val="Normal"/>
      </w:pPr>
      <w:r>
        <w:t>sudo dmesg | grep -i tdx</w:t>
      </w:r>
    </w:p>
    <w:p>
      <w:pPr>
        <w:pStyle w:val="Para 17"/>
      </w:pPr>
      <w:r>
        <w:t/>
      </w:r>
    </w:p>
    <w:p>
      <w:pPr>
        <w:pStyle w:val="Normal"/>
      </w:pPr>
      <w:r>
        <w:t>Which produces output like this:</w:t>
      </w:r>
    </w:p>
    <w:p>
      <w:pPr>
        <w:pStyle w:val="Normal"/>
      </w:pPr>
      <w:r>
        <w:t>[</w:t>
        <w:t xml:space="preserve"> </w:t>
        <w:t>1.824045] virt/tdx: BIOS enabled: private KeyID range [32, 64)</w:t>
        <w:t xml:space="preserve"> </w:t>
        <w:t>[</w:t>
        <w:t xml:space="preserve"> </w:t>
        <w:t>1.824049] virt/tdx: Disable ACPI S3. Turn off Intel TDX in the BIOS to use ACPI S3.</w:t>
      </w:r>
    </w:p>
    <w:p>
      <w:pPr>
        <w:pStyle w:val="Normal"/>
      </w:pPr>
      <w:r>
        <w:t>[</w:t>
        <w:t xml:space="preserve"> </w:t>
        <w:t>24.195089] virt/tdx: 1050644 KB allocated for PAMT</w:t>
        <w:t xml:space="preserve"> </w:t>
        <w:t>[</w:t>
        <w:t xml:space="preserve"> </w:t>
        <w:t>24.195098] virt/tdx: module initialized</w:t>
      </w:r>
    </w:p>
    <w:p>
      <w:pPr>
        <w:pStyle w:val="Para 17"/>
      </w:pPr>
      <w:r>
        <w:t/>
      </w:r>
    </w:p>
    <w:p>
      <w:pPr>
        <w:pStyle w:val="Normal"/>
      </w:pPr>
      <w:r>
        <w:t>The message virt/tdx: module initialized tells us that TDX has indeed been enabled.</w:t>
      </w:r>
    </w:p>
    <w:p>
      <w:pPr>
        <w:pStyle w:val="Para 17"/>
      </w:pPr>
      <w:r>
        <w:t/>
      </w:r>
    </w:p>
    <w:p>
      <w:pPr>
        <w:pStyle w:val="Para 01"/>
      </w:pPr>
      <w:r>
        <w:t>Install virtualization stack</w:t>
      </w:r>
    </w:p>
    <w:p>
      <w:pPr>
        <w:pStyle w:val="Para 17"/>
      </w:pPr>
      <w:r>
        <w:t/>
      </w:r>
    </w:p>
    <w:p>
      <w:pPr>
        <w:pStyle w:val="Normal"/>
      </w:pPr>
      <w:r>
        <w:t>The next step is to install the virtualization components required to run TDs.</w:t>
      </w:r>
    </w:p>
    <w:p>
      <w:pPr>
        <w:pStyle w:val="Normal"/>
      </w:pPr>
      <w:r>
        <w:t>sudo apt update</w:t>
      </w:r>
    </w:p>
    <w:p>
      <w:pPr>
        <w:pStyle w:val="Normal"/>
      </w:pPr>
      <w:r>
        <w:t>sudo apt install</w:t>
        <w:t xml:space="preserve"> </w:t>
      </w:r>
      <w:r>
        <w:rPr>
          <w:rStyle w:val="Text0"/>
        </w:rPr>
        <w:t>\</w:t>
      </w:r>
    </w:p>
    <w:p>
      <w:pPr>
        <w:pStyle w:val="Para 03"/>
      </w:pPr>
      <w:r>
        <w:t>qemu-system-x86</w:t>
        <w:t xml:space="preserve"> </w:t>
      </w:r>
      <w:r>
        <w:rPr>
          <w:rStyle w:val="Text0"/>
        </w:rPr>
        <w:t>\</w:t>
      </w:r>
    </w:p>
    <w:p>
      <w:pPr>
        <w:pStyle w:val="Para 03"/>
      </w:pPr>
      <w:r>
        <w:t>ovmf-inteltdx</w:t>
        <w:t xml:space="preserve"> </w:t>
      </w:r>
      <w:r>
        <w:rPr>
          <w:rStyle w:val="Text0"/>
        </w:rPr>
        <w:t>\</w:t>
      </w:r>
    </w:p>
    <w:p>
      <w:pPr>
        <w:pStyle w:val="Para 03"/>
      </w:pPr>
      <w:r>
        <w:t>libvirt-daemon-system</w:t>
        <w:t xml:space="preserve"> </w:t>
      </w:r>
      <w:r>
        <w:rPr>
          <w:rStyle w:val="Text0"/>
        </w:rPr>
        <w:t>\</w:t>
      </w:r>
    </w:p>
    <w:p>
      <w:pPr>
        <w:pStyle w:val="Para 03"/>
      </w:pPr>
      <w:r>
        <w:t>libvirt-clients</w:t>
      </w:r>
    </w:p>
    <w:p>
      <w:pPr>
        <w:pStyle w:val="Para 17"/>
      </w:pPr>
      <w:r>
        <w:t/>
      </w:r>
    </w:p>
    <w:p>
      <w:pPr>
        <w:pStyle w:val="Normal"/>
      </w:pPr>
      <w:r>
        <w:t>This installs:</w:t>
      </w:r>
    </w:p>
    <w:p>
      <w:pPr>
        <w:pStyle w:val="Para 04"/>
      </w:pPr>
      <w:r>
        <w:t>• qemu-system-x86- QEMU emulator for x86_64 with Intel TDX support</w:t>
      </w:r>
    </w:p>
    <w:p>
      <w:pPr>
        <w:pStyle w:val="Para 04"/>
      </w:pPr>
      <w:r>
        <w:t>• ovmf-inteltdx- EDK II UEFI firmware with Intel TDX-capable OVMF builds</w:t>
      </w:r>
    </w:p>
    <w:p>
      <w:pPr>
        <w:pStyle w:val="Para 04"/>
      </w:pPr>
      <w:r>
        <w:t>• libvirt-daemon-system- Libvirt daemon for managing VMs</w:t>
      </w:r>
    </w:p>
    <w:p>
      <w:bookmarkStart w:id="851" w:name="page_5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8" name="index-559_1.png" descr="index-559_1.png"/>
            <wp:cNvGraphicFramePr>
              <a:graphicFrameLocks noChangeAspect="1"/>
            </wp:cNvGraphicFramePr>
            <a:graphic>
              <a:graphicData uri="http://schemas.openxmlformats.org/drawingml/2006/picture">
                <pic:pic>
                  <pic:nvPicPr>
                    <pic:cNvPr id="0" name="index-559_1.png" descr="index-559_1.png"/>
                    <pic:cNvPicPr/>
                  </pic:nvPicPr>
                  <pic:blipFill>
                    <a:blip r:embed="rId572"/>
                    <a:stretch>
                      <a:fillRect/>
                    </a:stretch>
                  </pic:blipFill>
                  <pic:spPr>
                    <a:xfrm>
                      <a:off x="0" y="0"/>
                      <a:ext cx="914400" cy="266700"/>
                    </a:xfrm>
                    <a:prstGeom prst="rect">
                      <a:avLst/>
                    </a:prstGeom>
                  </pic:spPr>
                </pic:pic>
              </a:graphicData>
            </a:graphic>
          </wp:anchor>
        </w:drawing>
      </w:r>
      <w:bookmarkEnd w:id="851"/>
    </w:p>
    <w:p>
      <w:pPr>
        <w:pStyle w:val="Para 04"/>
      </w:pPr>
      <w:r>
        <w:t>• libvirt-clients- Command-line tools for libvirt (virsh, etc.)</w:t>
      </w:r>
    </w:p>
    <w:p>
      <w:pPr>
        <w:pStyle w:val="Normal"/>
      </w:pPr>
      <w:r>
        <w:t>After installation, verify the Intel TDX-capable OVMF firmware is available:</w:t>
      </w:r>
    </w:p>
    <w:p>
      <w:pPr>
        <w:pStyle w:val="Normal"/>
      </w:pPr>
      <w:r>
        <w:t>$ ls -l /usr/share/ovmf/OVMF.inteltdx.ms.fd</w:t>
      </w:r>
    </w:p>
    <w:p>
      <w:pPr>
        <w:pStyle w:val="Normal"/>
      </w:pPr>
      <w:r>
        <w:t>-rw-r--r--</w:t>
        <w:t>1</w:t>
        <w:t xml:space="preserve"> </w:t>
        <w:t>root root</w:t>
        <w:t xml:space="preserve"> </w:t>
        <w:t>4194304</w:t>
        <w:t xml:space="preserve"> </w:t>
        <w:t>Jan</w:t>
        <w:t xml:space="preserve"> </w:t>
        <w:t>15 12</w:t>
        <w:t>:00 /usr/share/ovmf/OVMF.inteltdx.ms.fd</w:t>
      </w:r>
    </w:p>
    <w:p>
      <w:pPr>
        <w:pStyle w:val="Para 17"/>
      </w:pPr>
      <w:r>
        <w:t/>
      </w:r>
    </w:p>
    <w:p>
      <w:pPr>
        <w:pStyle w:val="Para 01"/>
      </w:pPr>
      <w:r>
        <w:t>Create a guest image</w:t>
      </w:r>
    </w:p>
    <w:p>
      <w:pPr>
        <w:pStyle w:val="Para 17"/>
      </w:pPr>
      <w:r>
        <w:t/>
      </w:r>
    </w:p>
    <w:p>
      <w:pPr>
        <w:pStyle w:val="Normal"/>
      </w:pPr>
      <w:r>
        <w:t>Download a cloud image (Ubuntu 26.04 LTS in this example):</w:t>
      </w:r>
    </w:p>
    <w:p>
      <w:pPr>
        <w:pStyle w:val="Normal"/>
      </w:pPr>
      <w:r>
        <w:t>wget https://cloud-images.ubuntu.com/resolute/current/resolute-server-cloudimg-amd64.img</w:t>
      </w:r>
    </w:p>
    <w:p>
      <w:pPr>
        <w:pStyle w:val="Para 17"/>
      </w:pPr>
      <w:r>
        <w:t/>
      </w:r>
    </w:p>
    <w:p>
      <w:pPr>
        <w:pStyle w:val="Normal"/>
      </w:pPr>
      <w:r>
        <w:t>Next, install the required tool:</w:t>
      </w:r>
    </w:p>
    <w:p>
      <w:pPr>
        <w:pStyle w:val="Normal"/>
      </w:pPr>
      <w:r>
        <w:t>sudo apt install cloud-image-utils</w:t>
      </w:r>
    </w:p>
    <w:p>
      <w:pPr>
        <w:pStyle w:val="Para 17"/>
      </w:pPr>
      <w:r>
        <w:t/>
      </w:r>
    </w:p>
    <w:p>
      <w:pPr>
        <w:pStyle w:val="Normal"/>
      </w:pPr>
      <w:r>
        <w:t>Create a cloud-init configuration file:</w:t>
      </w:r>
    </w:p>
    <w:p>
      <w:pPr>
        <w:pStyle w:val="Normal"/>
      </w:pPr>
      <w:r>
        <w:t>cat &gt; user-data.yaml</w:t>
        <w:t xml:space="preserve"> </w:t>
        <w:t>&lt;&lt; 'EOF'</w:t>
      </w:r>
    </w:p>
    <w:p>
      <w:pPr>
        <w:pStyle w:val="Normal"/>
      </w:pPr>
      <w:r>
        <w:t>#cloud-config</w:t>
      </w:r>
    </w:p>
    <w:p>
      <w:pPr>
        <w:pStyle w:val="Normal"/>
      </w:pPr>
      <w:r>
        <w:t>chpasswd:</w:t>
      </w:r>
    </w:p>
    <w:p>
      <w:pPr>
        <w:pStyle w:val="Para 03"/>
      </w:pPr>
      <w:r>
        <w:t>list: |</w:t>
      </w:r>
    </w:p>
    <w:p>
      <w:pPr>
        <w:pStyle w:val="Para 02"/>
      </w:pPr>
      <w:r>
        <w:t>root:root</w:t>
      </w:r>
    </w:p>
    <w:p>
      <w:pPr>
        <w:pStyle w:val="Para 03"/>
      </w:pPr>
      <w:r>
        <w:t>expire: False</w:t>
      </w:r>
    </w:p>
    <w:p>
      <w:pPr>
        <w:pStyle w:val="Normal"/>
      </w:pPr>
      <w:r>
        <w:t>ssh_pwauth: True</w:t>
      </w:r>
    </w:p>
    <w:p>
      <w:pPr>
        <w:pStyle w:val="Normal"/>
      </w:pPr>
      <w:r>
        <w:t>disable_root: false</w:t>
      </w:r>
    </w:p>
    <w:p>
      <w:pPr>
        <w:pStyle w:val="Normal"/>
      </w:pPr>
      <w:r>
        <w:t>EOF</w:t>
      </w:r>
    </w:p>
    <w:p>
      <w:pPr>
        <w:pStyle w:val="Para 17"/>
      </w:pPr>
      <w:r>
        <w:t/>
      </w:r>
    </w:p>
    <w:p>
      <w:pPr>
        <w:pStyle w:val="Normal"/>
      </w:pPr>
      <w:r>
        <w:t>From that, create a cloud-init ISO:</w:t>
      </w:r>
    </w:p>
    <w:p>
      <w:pPr>
        <w:pStyle w:val="Normal"/>
      </w:pPr>
      <w:r>
        <w:t>cloud-localds user-data.img user-data.yaml</w:t>
      </w:r>
    </w:p>
    <w:p>
      <w:pPr>
        <w:pStyle w:val="Para 17"/>
      </w:pPr>
      <w:r>
        <w:t/>
      </w:r>
    </w:p>
    <w:p>
      <w:pPr>
        <w:pStyle w:val="Normal"/>
      </w:pPr>
      <w:r>
        <w:t>The user-data.img will be attached to the VM to apply the configuration.</w:t>
      </w:r>
    </w:p>
    <w:p>
      <w:pPr>
        <w:pStyle w:val="Para 17"/>
      </w:pPr>
      <w:r>
        <w:t/>
      </w:r>
    </w:p>
    <w:p>
      <w:pPr>
        <w:pStyle w:val="Para 08"/>
      </w:pPr>
      <w:r>
        <w:t>Note:</w:t>
      </w:r>
    </w:p>
    <w:p>
      <w:pPr>
        <w:pStyle w:val="Para 03"/>
      </w:pPr>
      <w:r>
        <w:t>For production use, set a strong password and configure SSH key-based authentication</w:t>
      </w:r>
    </w:p>
    <w:p>
      <w:pPr>
        <w:pStyle w:val="Para 03"/>
      </w:pPr>
      <w:r>
        <w:t>instead of password authentication.</w:t>
      </w:r>
    </w:p>
    <w:p>
      <w:pPr>
        <w:pStyle w:val="Para 17"/>
      </w:pPr>
      <w:r>
        <w:t/>
      </w:r>
    </w:p>
    <w:p>
      <w:pPr>
        <w:pStyle w:val="Para 01"/>
      </w:pPr>
      <w:r>
        <w:t>Launch a TD guest using QEMU</w:t>
      </w:r>
    </w:p>
    <w:p>
      <w:pPr>
        <w:pStyle w:val="Para 17"/>
      </w:pPr>
      <w:r>
        <w:t/>
      </w:r>
    </w:p>
    <w:p>
      <w:pPr>
        <w:pStyle w:val="Normal"/>
      </w:pPr>
      <w:r>
        <w:t>Using QEMU, we can now launch a TD with the prepared image:</w:t>
      </w:r>
    </w:p>
    <w:p>
      <w:pPr>
        <w:pStyle w:val="Normal"/>
      </w:pPr>
      <w:r>
        <w:t>qemu-system-x86_64</w:t>
        <w:t xml:space="preserve"> </w:t>
      </w:r>
      <w:r>
        <w:rPr>
          <w:rStyle w:val="Text0"/>
        </w:rPr>
        <w:t>\</w:t>
      </w:r>
    </w:p>
    <w:p>
      <w:pPr>
        <w:pStyle w:val="Para 03"/>
      </w:pPr>
      <w:r>
        <w:t>-accel kvm</w:t>
        <w:t xml:space="preserve"> </w:t>
      </w:r>
      <w:r>
        <w:rPr>
          <w:rStyle w:val="Text0"/>
        </w:rPr>
        <w:t>\</w:t>
      </w:r>
    </w:p>
    <w:p>
      <w:pPr>
        <w:pStyle w:val="Para 03"/>
      </w:pPr>
      <w:r>
        <w:t>-smp</w:t>
        <w:t xml:space="preserve"> </w:t>
        <w:t>32</w:t>
        <w:t xml:space="preserve"> </w:t>
      </w:r>
      <w:r>
        <w:rPr>
          <w:rStyle w:val="Text0"/>
        </w:rPr>
        <w:t>\</w:t>
      </w:r>
    </w:p>
    <w:p>
      <w:pPr>
        <w:pStyle w:val="Para 03"/>
      </w:pPr>
      <w:r>
        <w:t>-m 16G</w:t>
        <w:t xml:space="preserve"> </w:t>
      </w:r>
      <w:r>
        <w:rPr>
          <w:rStyle w:val="Text0"/>
        </w:rPr>
        <w:t>\</w:t>
      </w:r>
    </w:p>
    <w:p>
      <w:pPr>
        <w:pStyle w:val="Para 03"/>
      </w:pPr>
      <w:r>
        <w:t>-cpu host</w:t>
        <w:t xml:space="preserve"> </w:t>
      </w:r>
      <w:r>
        <w:rPr>
          <w:rStyle w:val="Text0"/>
        </w:rPr>
        <w:t>\</w:t>
      </w:r>
    </w:p>
    <w:p>
      <w:pPr>
        <w:pStyle w:val="Para 03"/>
      </w:pPr>
      <w:r>
        <w:t>-object</w:t>
        <w:t xml:space="preserve"> </w:t>
        <w:t>'{"qom-type":"tdx-guest","id":"tdx","quote-generation-socket":{"type": "vsock",</w:t>
      </w:r>
    </w:p>
    <w:p>
      <w:pPr>
        <w:pStyle w:val="Normal"/>
      </w:pPr>
      <w:r>
        <w:t>"cid":"2","port":"4050"}}'</w:t>
        <w:t xml:space="preserve"> </w:t>
      </w:r>
      <w:r>
        <w:rPr>
          <w:rStyle w:val="Text0"/>
        </w:rPr>
        <w:t>\</w:t>
      </w:r>
    </w:p>
    <w:p>
      <w:pPr>
        <w:pStyle w:val="Para 09"/>
      </w:pPr>
      <w:r>
        <w:t>(continues on next page)</w:t>
      </w:r>
    </w:p>
    <w:p>
      <w:bookmarkStart w:id="852" w:name="page_5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69" name="index-560_1.png" descr="index-560_1.png"/>
            <wp:cNvGraphicFramePr>
              <a:graphicFrameLocks noChangeAspect="1"/>
            </wp:cNvGraphicFramePr>
            <a:graphic>
              <a:graphicData uri="http://schemas.openxmlformats.org/drawingml/2006/picture">
                <pic:pic>
                  <pic:nvPicPr>
                    <pic:cNvPr id="0" name="index-560_1.png" descr="index-560_1.png"/>
                    <pic:cNvPicPr/>
                  </pic:nvPicPr>
                  <pic:blipFill>
                    <a:blip r:embed="rId573"/>
                    <a:stretch>
                      <a:fillRect/>
                    </a:stretch>
                  </pic:blipFill>
                  <pic:spPr>
                    <a:xfrm>
                      <a:off x="0" y="0"/>
                      <a:ext cx="914400" cy="266700"/>
                    </a:xfrm>
                    <a:prstGeom prst="rect">
                      <a:avLst/>
                    </a:prstGeom>
                  </pic:spPr>
                </pic:pic>
              </a:graphicData>
            </a:graphic>
          </wp:anchor>
        </w:drawing>
      </w:r>
      <w:bookmarkEnd w:id="852"/>
    </w:p>
    <w:p>
      <w:pPr>
        <w:pStyle w:val="Para 09"/>
      </w:pPr>
      <w:r>
        <w:t>(continued from previous page)</w:t>
      </w:r>
    </w:p>
    <w:p>
      <w:pPr>
        <w:pStyle w:val="Para 03"/>
      </w:pPr>
      <w:r>
        <w:t>-object memory-backend-ram,id</w:t>
        <w:t>=</w:t>
        <w:t>mem0,size</w:t>
        <w:t>=</w:t>
        <w:t>16G</w:t>
        <w:t xml:space="preserve"> </w:t>
      </w:r>
      <w:r>
        <w:rPr>
          <w:rStyle w:val="Text0"/>
        </w:rPr>
        <w:t>\</w:t>
      </w:r>
    </w:p>
    <w:p>
      <w:pPr>
        <w:pStyle w:val="Para 03"/>
      </w:pPr>
      <w:r>
        <w:t>-machine q35,kernel_irqchip</w:t>
        <w:t>=</w:t>
        <w:t>split,confidential-guest-support</w:t>
        <w:t>=</w:t>
        <w:t>tdx,memory-backend</w:t>
        <w:t>=</w:t>
        <w:t>mem0</w:t>
        <w:t xml:space="preserve"> </w:t>
      </w:r>
      <w:r>
        <w:rPr>
          <w:rStyle w:val="Text0"/>
        </w:rPr>
        <w:t>\</w:t>
      </w:r>
    </w:p>
    <w:p>
      <w:pPr>
        <w:pStyle w:val="Para 03"/>
      </w:pPr>
      <w:r>
        <w:t>-bios /usr/share/ovmf/OVMF.inteltdx.ms.fd</w:t>
        <w:t xml:space="preserve"> </w:t>
      </w:r>
      <w:r>
        <w:rPr>
          <w:rStyle w:val="Text0"/>
        </w:rPr>
        <w:t>\</w:t>
      </w:r>
    </w:p>
    <w:p>
      <w:pPr>
        <w:pStyle w:val="Para 03"/>
      </w:pPr>
      <w:r>
        <w:t>-nographic</w:t>
        <w:t xml:space="preserve"> </w:t>
      </w:r>
      <w:r>
        <w:rPr>
          <w:rStyle w:val="Text0"/>
        </w:rPr>
        <w:t>\</w:t>
      </w:r>
    </w:p>
    <w:p>
      <w:pPr>
        <w:pStyle w:val="Para 03"/>
      </w:pPr>
      <w:r>
        <w:t>-nodefaults</w:t>
        <w:t xml:space="preserve"> </w:t>
      </w:r>
      <w:r>
        <w:rPr>
          <w:rStyle w:val="Text0"/>
        </w:rPr>
        <w:t>\</w:t>
      </w:r>
    </w:p>
    <w:p>
      <w:pPr>
        <w:pStyle w:val="Para 03"/>
      </w:pPr>
      <w:r>
        <w:t>-vga none</w:t>
        <w:t xml:space="preserve"> </w:t>
      </w:r>
      <w:r>
        <w:rPr>
          <w:rStyle w:val="Text0"/>
        </w:rPr>
        <w:t>\</w:t>
      </w:r>
    </w:p>
    <w:p>
      <w:pPr>
        <w:pStyle w:val="Para 03"/>
      </w:pPr>
      <w:r>
        <w:t>-drive</w:t>
        <w:t xml:space="preserve"> </w:t>
        <w:t>file</w:t>
        <w:t>=</w:t>
        <w:t>resolute-server-cloudimg-amd64.img,if</w:t>
        <w:t>=</w:t>
        <w:t>none,id</w:t>
        <w:t>=</w:t>
        <w:t>virtio-disk0</w:t>
        <w:t xml:space="preserve"> </w:t>
      </w:r>
      <w:r>
        <w:rPr>
          <w:rStyle w:val="Text0"/>
        </w:rPr>
        <w:t>\</w:t>
      </w:r>
    </w:p>
    <w:p>
      <w:pPr>
        <w:pStyle w:val="Para 03"/>
      </w:pPr>
      <w:r>
        <w:t>-device virtio-blk-pci,drive</w:t>
        <w:t>=</w:t>
        <w:t>virtio-disk0</w:t>
        <w:t xml:space="preserve"> </w:t>
      </w:r>
      <w:r>
        <w:rPr>
          <w:rStyle w:val="Text0"/>
        </w:rPr>
        <w:t>\</w:t>
      </w:r>
    </w:p>
    <w:p>
      <w:pPr>
        <w:pStyle w:val="Para 03"/>
      </w:pPr>
      <w:r>
        <w:t>-drive</w:t>
        <w:t xml:space="preserve"> </w:t>
        <w:t>file</w:t>
        <w:t>=</w:t>
        <w:t>user-data.img,if</w:t>
        <w:t>=</w:t>
        <w:t>none,id</w:t>
        <w:t>=</w:t>
        <w:t>cloud-init,format</w:t>
        <w:t>=</w:t>
        <w:t>raw</w:t>
        <w:t xml:space="preserve"> </w:t>
      </w:r>
      <w:r>
        <w:rPr>
          <w:rStyle w:val="Text0"/>
        </w:rPr>
        <w:t>\</w:t>
      </w:r>
    </w:p>
    <w:p>
      <w:pPr>
        <w:pStyle w:val="Para 03"/>
      </w:pPr>
      <w:r>
        <w:t>-device virtio-blk-pci,drive</w:t>
        <w:t>=</w:t>
        <w:t>cloud-init</w:t>
        <w:t xml:space="preserve"> </w:t>
      </w:r>
      <w:r>
        <w:rPr>
          <w:rStyle w:val="Text0"/>
        </w:rPr>
        <w:t>\</w:t>
      </w:r>
    </w:p>
    <w:p>
      <w:pPr>
        <w:pStyle w:val="Para 03"/>
      </w:pPr>
      <w:r>
        <w:t>-serial stdio</w:t>
      </w:r>
    </w:p>
    <w:p>
      <w:pPr>
        <w:pStyle w:val="Para 17"/>
      </w:pPr>
      <w:r>
        <w:t/>
      </w:r>
    </w:p>
    <w:p>
      <w:pPr>
        <w:pStyle w:val="Normal"/>
      </w:pPr>
      <w:r>
        <w:t>Key Intel TDX-specific parameters:</w:t>
      </w:r>
    </w:p>
    <w:p>
      <w:pPr>
        <w:pStyle w:val="Para 04"/>
      </w:pPr>
      <w:r>
        <w:t>•-object '{"qom-type":"tdx-guest","id":"tdx",...}': Creates the TDX guest object</w:t>
      </w:r>
    </w:p>
    <w:p>
      <w:pPr>
        <w:pStyle w:val="Para 02"/>
      </w:pPr>
      <w:r>
        <w:t>that enables confidential computing capabilities. The quote-generation-socket con-figures the vsock channel (CID 2, port 4050) for remote attestation quote generation.</w:t>
      </w:r>
    </w:p>
    <w:p>
      <w:pPr>
        <w:pStyle w:val="Para 04"/>
      </w:pPr>
      <w:r>
        <w:t xml:space="preserve">•-machine </w:t>
        <w:t>q35,kernel_irqchip=split,confidential-guest-support=tdx,memory-</w:t>
      </w:r>
    </w:p>
    <w:p>
      <w:pPr>
        <w:pStyle w:val="Para 02"/>
      </w:pPr>
      <w:r>
        <w:t>backend=mem0:</w:t>
      </w:r>
    </w:p>
    <w:p>
      <w:pPr>
        <w:pStyle w:val="Para 06"/>
      </w:pPr>
      <w:r>
        <w:rPr>
          <w:rStyle w:val="Text0"/>
        </w:rPr>
        <w:t>–</w:t>
      </w:r>
      <w:r>
        <w:t xml:space="preserve"> kernel_irqchip=split: Required for Intel TDX to properly isolate interrupt han-</w:t>
      </w:r>
    </w:p>
    <w:p>
      <w:pPr>
        <w:pStyle w:val="Para 11"/>
      </w:pPr>
      <w:r>
        <w:t>dling between host and guest</w:t>
      </w:r>
    </w:p>
    <w:p>
      <w:pPr>
        <w:pStyle w:val="Para 06"/>
      </w:pPr>
      <w:r>
        <w:rPr>
          <w:rStyle w:val="Text0"/>
        </w:rPr>
        <w:t>–</w:t>
      </w:r>
      <w:r>
        <w:t xml:space="preserve"> confidential-guest-support=tdx: Links the machine to the Intel TDX guest object</w:t>
      </w:r>
    </w:p>
    <w:p>
      <w:pPr>
        <w:pStyle w:val="Para 06"/>
      </w:pPr>
      <w:r>
        <w:rPr>
          <w:rStyle w:val="Text0"/>
        </w:rPr>
        <w:t>–</w:t>
      </w:r>
      <w:r>
        <w:t xml:space="preserve"> memory-backend=mem0: Associates the machine with the Intel TDX-protected mem-</w:t>
      </w:r>
    </w:p>
    <w:p>
      <w:pPr>
        <w:pStyle w:val="Para 11"/>
      </w:pPr>
      <w:r>
        <w:t>ory backend</w:t>
      </w:r>
    </w:p>
    <w:p>
      <w:pPr>
        <w:pStyle w:val="Para 04"/>
      </w:pPr>
      <w:r>
        <w:t>•-object memory-backend-ram,id=mem0,size=16G: Defines the memory backend that will</w:t>
      </w:r>
    </w:p>
    <w:p>
      <w:pPr>
        <w:pStyle w:val="Para 02"/>
      </w:pPr>
      <w:r>
        <w:t>be encrypted by Intel TDX</w:t>
      </w:r>
    </w:p>
    <w:p>
      <w:pPr>
        <w:pStyle w:val="Para 04"/>
      </w:pPr>
      <w:r>
        <w:t>•-bios /usr/share/ovmf/OVMF.inteltdx.ms.fd: Specifies the Intel TDX-capable UEFI</w:t>
      </w:r>
    </w:p>
    <w:p>
      <w:pPr>
        <w:pStyle w:val="Para 02"/>
      </w:pPr>
      <w:r>
        <w:t>firmware with Microsoft Secure Boot keys</w:t>
      </w:r>
    </w:p>
    <w:p>
      <w:pPr>
        <w:pStyle w:val="Para 04"/>
      </w:pPr>
      <w:r>
        <w:t>•-cpu host: Uses the host CPU model to expose Intel TDX capabilities to the guest</w:t>
      </w:r>
    </w:p>
    <w:p>
      <w:pPr>
        <w:pStyle w:val="Normal"/>
      </w:pPr>
      <w:r>
        <w:t xml:space="preserve">For more details about these parameters, refer to the </w:t>
      </w:r>
      <w:hyperlink r:id="rId1495">
        <w:r>
          <w:rPr>
            <w:rStyle w:val="Text9"/>
          </w:rPr>
          <w:t>560</w:t>
        </w:r>
      </w:hyperlink>
      <w:hyperlink r:id="rId1495">
        <w:r>
          <w:rPr>
            <w:rStyle w:val="Text1"/>
          </w:rPr>
          <w:t xml:space="preserve"> QEMU documentation</w:t>
        </w:r>
      </w:hyperlink>
      <w:r>
        <w:t>.</w:t>
      </w:r>
    </w:p>
    <w:p>
      <w:pPr>
        <w:pStyle w:val="Para 17"/>
      </w:pPr>
      <w:r>
        <w:t/>
      </w:r>
    </w:p>
    <w:p>
      <w:pPr>
        <w:pStyle w:val="Para 01"/>
      </w:pPr>
      <w:r>
        <w:t>Verify Intel TDX enablement in the guest</w:t>
      </w:r>
    </w:p>
    <w:p>
      <w:pPr>
        <w:pStyle w:val="Para 17"/>
      </w:pPr>
      <w:r>
        <w:t/>
      </w:r>
    </w:p>
    <w:p>
      <w:pPr>
        <w:pStyle w:val="Normal"/>
      </w:pPr>
      <w:r>
        <w:t>Once the TD is launched, verify that Intel TDX is enabled by checking the kernel logs:</w:t>
      </w:r>
    </w:p>
    <w:p>
      <w:pPr>
        <w:pStyle w:val="Normal"/>
      </w:pPr>
      <w:r>
        <w:t>sudo dmesg | grep tdx</w:t>
      </w:r>
    </w:p>
    <w:p>
      <w:pPr>
        <w:pStyle w:val="Para 17"/>
      </w:pPr>
      <w:r>
        <w:t/>
      </w:r>
    </w:p>
    <w:p>
      <w:pPr>
        <w:pStyle w:val="Normal"/>
      </w:pPr>
      <w:r>
        <w:t>You should see something like:</w:t>
      </w:r>
    </w:p>
    <w:p>
      <w:pPr>
        <w:pStyle w:val="Normal"/>
      </w:pPr>
      <w:r>
        <w:t>[</w:t>
        <w:t xml:space="preserve"> </w:t>
        <w:t>0.000000] tdx: Guest detected</w:t>
      </w:r>
    </w:p>
    <w:p>
      <w:pPr>
        <w:pStyle w:val="Normal"/>
      </w:pPr>
      <w:r>
        <w:t>[</w:t>
        <w:t xml:space="preserve"> </w:t>
        <w:t>11.162378] systemd[1]: Detected confidential virtualization tdx.</w:t>
      </w:r>
    </w:p>
    <w:p>
      <w:pPr>
        <w:pStyle w:val="Para 17"/>
      </w:pPr>
      <w:r>
        <w:t/>
      </w:r>
    </w:p>
    <w:p>
      <w:pPr>
        <w:pStyle w:val="Normal"/>
      </w:pPr>
      <w:r>
        <w:t>You can also check the Intel TDX guest device:</w:t>
      </w:r>
    </w:p>
    <w:p>
      <w:pPr>
        <w:pStyle w:val="Normal"/>
      </w:pPr>
      <w:r>
        <w:t>$ ls -l /dev/tdx_guest</w:t>
      </w:r>
    </w:p>
    <w:p>
      <w:pPr>
        <w:pStyle w:val="Normal"/>
      </w:pPr>
      <w:r>
        <w:t>crw-------</w:t>
        <w:t>1</w:t>
        <w:t xml:space="preserve"> </w:t>
        <w:t>root root</w:t>
        <w:t xml:space="preserve"> </w:t>
        <w:t>10</w:t>
        <w:t>,</w:t>
        <w:t xml:space="preserve"> </w:t>
        <w:t>125</w:t>
        <w:t xml:space="preserve"> </w:t>
        <w:t>Jan</w:t>
        <w:t xml:space="preserve"> </w:t>
        <w:t>1 00</w:t>
        <w:t>:00 /dev/tdx_guest</w:t>
      </w:r>
    </w:p>
    <w:p>
      <w:pPr>
        <w:pStyle w:val="Para 05"/>
      </w:pPr>
      <w:r>
        <w:rPr>
          <w:rStyle w:val="Text5"/>
        </w:rPr>
        <w:t>560</w:t>
      </w:r>
      <w:r>
        <w:rPr>
          <w:rStyle w:val="Text8"/>
        </w:rPr>
        <w:t xml:space="preserve"> </w:t>
      </w:r>
      <w:r>
        <w:t>https://www.qemu.org/docs/master/system/i386/tdx.html</w:t>
      </w:r>
      <w:r>
        <w:rPr>
          <w:rStyle w:val="Text8"/>
        </w:rPr>
        <w:t xml:space="preserve"> </w:t>
      </w:r>
      <w:r>
        <w:rPr>
          <w:rStyle w:val="Text11"/>
        </w:rPr>
        <w:t>Launch a TDX VM with libvirt</w:t>
      </w:r>
    </w:p>
    <w:p>
      <w:bookmarkStart w:id="853" w:name="page_5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0" name="index-561_1.png" descr="index-561_1.png"/>
            <wp:cNvGraphicFramePr>
              <a:graphicFrameLocks noChangeAspect="1"/>
            </wp:cNvGraphicFramePr>
            <a:graphic>
              <a:graphicData uri="http://schemas.openxmlformats.org/drawingml/2006/picture">
                <pic:pic>
                  <pic:nvPicPr>
                    <pic:cNvPr id="0" name="index-561_1.png" descr="index-561_1.png"/>
                    <pic:cNvPicPr/>
                  </pic:nvPicPr>
                  <pic:blipFill>
                    <a:blip r:embed="rId574"/>
                    <a:stretch>
                      <a:fillRect/>
                    </a:stretch>
                  </pic:blipFill>
                  <pic:spPr>
                    <a:xfrm>
                      <a:off x="0" y="0"/>
                      <a:ext cx="914400" cy="266700"/>
                    </a:xfrm>
                    <a:prstGeom prst="rect">
                      <a:avLst/>
                    </a:prstGeom>
                  </pic:spPr>
                </pic:pic>
              </a:graphicData>
            </a:graphic>
          </wp:anchor>
        </w:drawing>
      </w:r>
      <w:bookmarkEnd w:id="853"/>
    </w:p>
    <w:p>
      <w:pPr>
        <w:pStyle w:val="Para 17"/>
      </w:pPr>
      <w:r>
        <w:t/>
      </w:r>
    </w:p>
    <w:p>
      <w:pPr>
        <w:pStyle w:val="Normal"/>
      </w:pPr>
      <w:r>
        <w:t>Intel TDX VM can be managed by libvirt. For this, the domain definition must be modified to contain certain necessary information about the confidential VM. Here is a domain definition sample for Intel TDX VM:</w:t>
      </w:r>
    </w:p>
    <w:p>
      <w:pPr>
        <w:pStyle w:val="Normal"/>
      </w:pPr>
      <w:r>
        <w:t>cat &gt; tdx-vm.xml</w:t>
        <w:t xml:space="preserve"> </w:t>
        <w:t>&lt;&lt; 'EOF'</w:t>
      </w:r>
    </w:p>
    <w:p>
      <w:pPr>
        <w:pStyle w:val="Normal"/>
      </w:pPr>
      <w:r>
        <w:t>&lt;domain type='kvm' xmlns:qemu='http://libvirt.org/schemas/domain/qemu/1.0'&gt;</w:t>
      </w:r>
    </w:p>
    <w:p>
      <w:pPr>
        <w:pStyle w:val="Para 03"/>
      </w:pPr>
      <w:r>
        <w:t>&lt;name&gt;tdx-guest&lt;/name&gt;</w:t>
      </w:r>
    </w:p>
    <w:p>
      <w:pPr>
        <w:pStyle w:val="Para 03"/>
      </w:pPr>
      <w:r>
        <w:t>&lt;memory unit='GiB'&gt;16&lt;/memory&gt;</w:t>
      </w:r>
    </w:p>
    <w:p>
      <w:pPr>
        <w:pStyle w:val="Para 03"/>
      </w:pPr>
      <w:r>
        <w:t>&lt;memoryBacking&gt;</w:t>
      </w:r>
    </w:p>
    <w:p>
      <w:pPr>
        <w:pStyle w:val="Para 02"/>
      </w:pPr>
      <w:r>
        <w:t>&lt;source type="anonymous"/&gt;</w:t>
      </w:r>
    </w:p>
    <w:p>
      <w:pPr>
        <w:pStyle w:val="Para 02"/>
      </w:pPr>
      <w:r>
        <w:t>&lt;access mode="private"/&gt;</w:t>
      </w:r>
    </w:p>
    <w:p>
      <w:pPr>
        <w:pStyle w:val="Para 03"/>
      </w:pPr>
      <w:r>
        <w:t>&lt;/memoryBacking&gt;</w:t>
      </w:r>
    </w:p>
    <w:p>
      <w:pPr>
        <w:pStyle w:val="Para 03"/>
      </w:pPr>
      <w:r>
        <w:t>&lt;vcpu placement="static"&gt;16&lt;/vcpu&gt;</w:t>
      </w:r>
    </w:p>
    <w:p>
      <w:pPr>
        <w:pStyle w:val="Para 03"/>
      </w:pPr>
      <w:r>
        <w:t>&lt;os&gt;</w:t>
      </w:r>
    </w:p>
    <w:p>
      <w:pPr>
        <w:pStyle w:val="Para 02"/>
      </w:pPr>
      <w:r>
        <w:t>&lt;type arch='x86_64' machine='q35'&gt;hvm&lt;/type&gt;</w:t>
      </w:r>
    </w:p>
    <w:p>
      <w:pPr>
        <w:pStyle w:val="Para 02"/>
      </w:pPr>
      <w:r>
        <w:t>&lt;loader type='rom' readonly='yes'&gt;/usr/share/ovmf/OVMF.inteltdx.ms.fd&lt;/loader&gt;</w:t>
        <w:t xml:space="preserve"> </w:t>
        <w:t>&lt;boot dev='hd'/&gt;</w:t>
      </w:r>
    </w:p>
    <w:p>
      <w:pPr>
        <w:pStyle w:val="Para 03"/>
      </w:pPr>
      <w:r>
        <w:t>&lt;/os&gt;</w:t>
      </w:r>
    </w:p>
    <w:p>
      <w:pPr>
        <w:pStyle w:val="Para 03"/>
      </w:pPr>
      <w:r>
        <w:t>&lt;features&gt;</w:t>
      </w:r>
    </w:p>
    <w:p>
      <w:pPr>
        <w:pStyle w:val="Para 02"/>
      </w:pPr>
      <w:r>
        <w:t>&lt;acpi/&gt;</w:t>
      </w:r>
    </w:p>
    <w:p>
      <w:pPr>
        <w:pStyle w:val="Para 02"/>
      </w:pPr>
      <w:r>
        <w:t>&lt;apic/&gt;</w:t>
      </w:r>
    </w:p>
    <w:p>
      <w:pPr>
        <w:pStyle w:val="Para 02"/>
      </w:pPr>
      <w:r>
        <w:t>&lt;ioapic driver='qemu'/&gt;</w:t>
      </w:r>
    </w:p>
    <w:p>
      <w:pPr>
        <w:pStyle w:val="Para 03"/>
      </w:pPr>
      <w:r>
        <w:t>&lt;/features&gt;</w:t>
      </w:r>
    </w:p>
    <w:p>
      <w:pPr>
        <w:pStyle w:val="Para 03"/>
      </w:pPr>
      <w:r>
        <w:t>&lt;clock offset='utc'&gt;</w:t>
      </w:r>
    </w:p>
    <w:p>
      <w:pPr>
        <w:pStyle w:val="Para 02"/>
      </w:pPr>
      <w:r>
        <w:t>&lt;timer name='hpet' present='no'/&gt;</w:t>
      </w:r>
    </w:p>
    <w:p>
      <w:pPr>
        <w:pStyle w:val="Para 03"/>
      </w:pPr>
      <w:r>
        <w:t>&lt;/clock&gt;</w:t>
      </w:r>
    </w:p>
    <w:p>
      <w:pPr>
        <w:pStyle w:val="Para 03"/>
      </w:pPr>
      <w:r>
        <w:t>&lt;cpu mode='host-passthrough'&gt;</w:t>
      </w:r>
    </w:p>
    <w:p>
      <w:pPr>
        <w:pStyle w:val="Para 02"/>
      </w:pPr>
      <w:r>
        <w:t>&lt;topology sockets='1' cores='16' threads='1'/&gt;</w:t>
      </w:r>
    </w:p>
    <w:p>
      <w:pPr>
        <w:pStyle w:val="Para 03"/>
      </w:pPr>
      <w:r>
        <w:t>&lt;/cpu&gt;</w:t>
      </w:r>
    </w:p>
    <w:p>
      <w:pPr>
        <w:pStyle w:val="Para 03"/>
      </w:pPr>
      <w:r>
        <w:t>&lt;devices&gt;</w:t>
      </w:r>
    </w:p>
    <w:p>
      <w:pPr>
        <w:pStyle w:val="Para 02"/>
      </w:pPr>
      <w:r>
        <w:t>&lt;emulator&gt;/usr/bin/qemu-system-x86_64&lt;/emulator&gt;</w:t>
      </w:r>
    </w:p>
    <w:p>
      <w:pPr>
        <w:pStyle w:val="Para 02"/>
      </w:pPr>
      <w:r>
        <w:t>&lt;disk type="file" device="disk"&gt;</w:t>
      </w:r>
    </w:p>
    <w:p>
      <w:pPr>
        <w:pStyle w:val="Para 06"/>
      </w:pPr>
      <w:r>
        <w:t>&lt;driver name="qemu" type="qcow2"/&gt;</w:t>
      </w:r>
    </w:p>
    <w:p>
      <w:pPr>
        <w:pStyle w:val="Para 06"/>
      </w:pPr>
      <w:r>
        <w:t>&lt;source file="/var/lib/libvirt/images/resolute-server-cloudimg-amd64.img"/&gt;</w:t>
        <w:t xml:space="preserve"> </w:t>
        <w:t>&lt;target dev="vda" bus="virtio"/&gt;</w:t>
      </w:r>
    </w:p>
    <w:p>
      <w:pPr>
        <w:pStyle w:val="Para 02"/>
      </w:pPr>
      <w:r>
        <w:t>&lt;/disk&gt;</w:t>
      </w:r>
    </w:p>
    <w:p>
      <w:pPr>
        <w:pStyle w:val="Para 02"/>
      </w:pPr>
      <w:r>
        <w:t>&lt;console type='pty'&gt;</w:t>
      </w:r>
    </w:p>
    <w:p>
      <w:pPr>
        <w:pStyle w:val="Para 06"/>
      </w:pPr>
      <w:r>
        <w:t>&lt;target type='virtio' port='1'/&gt;</w:t>
      </w:r>
    </w:p>
    <w:p>
      <w:pPr>
        <w:pStyle w:val="Para 02"/>
      </w:pPr>
      <w:r>
        <w:t>&lt;/console&gt;</w:t>
      </w:r>
    </w:p>
    <w:p>
      <w:pPr>
        <w:pStyle w:val="Para 03"/>
      </w:pPr>
      <w:r>
        <w:t>&lt;/devices&gt;</w:t>
      </w:r>
    </w:p>
    <w:p>
      <w:pPr>
        <w:pStyle w:val="Para 03"/>
      </w:pPr>
      <w:r>
        <w:t>&lt;launchSecurity type='tdx'&gt;</w:t>
      </w:r>
    </w:p>
    <w:p>
      <w:pPr>
        <w:pStyle w:val="Para 02"/>
      </w:pPr>
      <w:r>
        <w:t>&lt;policy&gt;0x10000000&lt;/policy&gt;</w:t>
      </w:r>
    </w:p>
    <w:p>
      <w:pPr>
        <w:pStyle w:val="Para 02"/>
      </w:pPr>
      <w:r>
        <w:t>&lt;quoteGenerationService&gt;</w:t>
      </w:r>
    </w:p>
    <w:p>
      <w:pPr>
        <w:pStyle w:val="Para 06"/>
      </w:pPr>
      <w:r>
        <w:t>&lt;SocketAddress type='vsock' cid='2' port='4050'/&gt;</w:t>
      </w:r>
    </w:p>
    <w:p>
      <w:pPr>
        <w:pStyle w:val="Para 02"/>
      </w:pPr>
      <w:r>
        <w:t>&lt;/quoteGenerationService&gt;</w:t>
      </w:r>
    </w:p>
    <w:p>
      <w:pPr>
        <w:pStyle w:val="Para 03"/>
      </w:pPr>
      <w:r>
        <w:t>&lt;/launchSecurity&gt;</w:t>
      </w:r>
    </w:p>
    <w:p>
      <w:pPr>
        <w:pStyle w:val="Normal"/>
      </w:pPr>
      <w:r>
        <w:t>&lt;/domain&gt;</w:t>
      </w:r>
    </w:p>
    <w:p>
      <w:pPr>
        <w:pStyle w:val="Normal"/>
      </w:pPr>
      <w:r>
        <w:t>EOF</w:t>
      </w:r>
    </w:p>
    <w:p>
      <w:pPr>
        <w:pStyle w:val="Para 17"/>
      </w:pPr>
      <w:r>
        <w:t/>
      </w:r>
    </w:p>
    <w:p>
      <w:pPr>
        <w:pStyle w:val="Normal"/>
      </w:pPr>
      <w:r>
        <w:t>Next, define the VM:</w:t>
      </w:r>
    </w:p>
    <w:p>
      <w:pPr>
        <w:pStyle w:val="Normal"/>
      </w:pPr>
      <w:r>
        <w:t>sudo virsh define tdx-vm.xml</w:t>
      </w:r>
    </w:p>
    <w:p>
      <w:pPr>
        <w:pStyle w:val="Para 17"/>
      </w:pPr>
      <w:r>
        <w:t/>
      </w:r>
    </w:p>
    <w:p>
      <w:pPr>
        <w:pStyle w:val="Normal"/>
      </w:pPr>
      <w:r>
        <w:t>Start the VM:</w:t>
      </w:r>
    </w:p>
    <w:p>
      <w:bookmarkStart w:id="854" w:name="page_5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1" name="index-562_1.png" descr="index-562_1.png"/>
            <wp:cNvGraphicFramePr>
              <a:graphicFrameLocks noChangeAspect="1"/>
            </wp:cNvGraphicFramePr>
            <a:graphic>
              <a:graphicData uri="http://schemas.openxmlformats.org/drawingml/2006/picture">
                <pic:pic>
                  <pic:nvPicPr>
                    <pic:cNvPr id="0" name="index-562_1.png" descr="index-562_1.png"/>
                    <pic:cNvPicPr/>
                  </pic:nvPicPr>
                  <pic:blipFill>
                    <a:blip r:embed="rId575"/>
                    <a:stretch>
                      <a:fillRect/>
                    </a:stretch>
                  </pic:blipFill>
                  <pic:spPr>
                    <a:xfrm>
                      <a:off x="0" y="0"/>
                      <a:ext cx="914400" cy="266700"/>
                    </a:xfrm>
                    <a:prstGeom prst="rect">
                      <a:avLst/>
                    </a:prstGeom>
                  </pic:spPr>
                </pic:pic>
              </a:graphicData>
            </a:graphic>
          </wp:anchor>
        </w:drawing>
      </w:r>
      <w:bookmarkEnd w:id="854"/>
    </w:p>
    <w:p>
      <w:pPr>
        <w:pStyle w:val="Normal"/>
      </w:pPr>
      <w:r>
        <w:t>sudo virsh start tdx-guest</w:t>
      </w:r>
    </w:p>
    <w:p>
      <w:pPr>
        <w:pStyle w:val="Para 17"/>
      </w:pPr>
      <w:r>
        <w:t/>
      </w:r>
    </w:p>
    <w:p>
      <w:pPr>
        <w:pStyle w:val="Normal"/>
      </w:pPr>
      <w:r>
        <w:t>Connect to the console:</w:t>
      </w:r>
    </w:p>
    <w:p>
      <w:pPr>
        <w:pStyle w:val="Normal"/>
      </w:pPr>
      <w:r>
        <w:t>sudo virsh console tdx-guest</w:t>
      </w:r>
    </w:p>
    <w:p>
      <w:pPr>
        <w:pStyle w:val="Para 17"/>
      </w:pPr>
      <w:r>
        <w:t/>
      </w:r>
    </w:p>
    <w:p>
      <w:pPr>
        <w:pStyle w:val="Normal"/>
      </w:pPr>
      <w:r>
        <w:t>Key libvirt configuration elements for TDX:</w:t>
      </w:r>
    </w:p>
    <w:p>
      <w:pPr>
        <w:pStyle w:val="Para 04"/>
      </w:pPr>
      <w:r>
        <w:t>• &lt;launchSecurity type='tdx'&gt;: Enables TDX confidential computing for the VM</w:t>
      </w:r>
    </w:p>
    <w:p>
      <w:pPr>
        <w:pStyle w:val="Para 04"/>
      </w:pPr>
      <w:r>
        <w:t>• &lt;policy&gt;0x10000001&lt;/policy&gt;: TDX policy controlling debug and other TD features</w:t>
      </w:r>
    </w:p>
    <w:p>
      <w:pPr>
        <w:pStyle w:val="Para 04"/>
      </w:pPr>
      <w:r>
        <w:t>• &lt;quote-generation-service&gt;: Configures the vsock channel for remote attestation</w:t>
      </w:r>
    </w:p>
    <w:p>
      <w:pPr>
        <w:pStyle w:val="Para 04"/>
      </w:pPr>
      <w:r>
        <w:t>• &lt;memoryBacking&gt;: Uses shared memory with memfd backend required for TDX</w:t>
      </w:r>
    </w:p>
    <w:p>
      <w:pPr>
        <w:pStyle w:val="Para 04"/>
      </w:pPr>
      <w:r>
        <w:t>• &lt;loader&gt;: Specifies the TDX-capable OVMF firmware</w:t>
      </w:r>
    </w:p>
    <w:p>
      <w:pPr>
        <w:pStyle w:val="Para 17"/>
      </w:pPr>
      <w:r>
        <w:t/>
      </w:r>
    </w:p>
    <w:p>
      <w:pPr>
        <w:pStyle w:val="Para 01"/>
      </w:pPr>
      <w:r>
        <w:t>Manage the VM</w:t>
      </w:r>
    </w:p>
    <w:p>
      <w:pPr>
        <w:pStyle w:val="Para 17"/>
      </w:pPr>
      <w:r>
        <w:t/>
      </w:r>
    </w:p>
    <w:p>
      <w:pPr>
        <w:pStyle w:val="Normal"/>
      </w:pPr>
      <w:r>
        <w:t>List all VMs:</w:t>
      </w:r>
    </w:p>
    <w:p>
      <w:pPr>
        <w:pStyle w:val="Normal"/>
      </w:pPr>
      <w:r>
        <w:t>sudo virsh list --all</w:t>
      </w:r>
    </w:p>
    <w:p>
      <w:pPr>
        <w:pStyle w:val="Para 17"/>
      </w:pPr>
      <w:r>
        <w:t/>
      </w:r>
    </w:p>
    <w:p>
      <w:pPr>
        <w:pStyle w:val="Normal"/>
      </w:pPr>
      <w:r>
        <w:t>Stop the VM:</w:t>
      </w:r>
    </w:p>
    <w:p>
      <w:pPr>
        <w:pStyle w:val="Normal"/>
      </w:pPr>
      <w:r>
        <w:t>sudo virsh shutdown tdx-guest</w:t>
      </w:r>
    </w:p>
    <w:p>
      <w:pPr>
        <w:pStyle w:val="Para 17"/>
      </w:pPr>
      <w:r>
        <w:t/>
      </w:r>
    </w:p>
    <w:p>
      <w:pPr>
        <w:pStyle w:val="Normal"/>
      </w:pPr>
      <w:r>
        <w:t>Force stop the VM:</w:t>
      </w:r>
    </w:p>
    <w:p>
      <w:pPr>
        <w:pStyle w:val="Normal"/>
      </w:pPr>
      <w:r>
        <w:t>sudo virsh destroy tdx-guest</w:t>
      </w:r>
    </w:p>
    <w:p>
      <w:pPr>
        <w:pStyle w:val="Para 17"/>
      </w:pPr>
      <w:r>
        <w:t/>
      </w:r>
    </w:p>
    <w:p>
      <w:pPr>
        <w:pStyle w:val="Normal"/>
      </w:pPr>
      <w:r>
        <w:t>Remove the VM definition:</w:t>
      </w:r>
    </w:p>
    <w:p>
      <w:pPr>
        <w:pStyle w:val="Normal"/>
      </w:pPr>
      <w:r>
        <w:t>sudo virsh undefine tdx-guest</w:t>
      </w:r>
    </w:p>
    <w:p>
      <w:pPr>
        <w:pStyle w:val="Para 17"/>
      </w:pPr>
      <w:r>
        <w:t/>
      </w:r>
    </w:p>
    <w:p>
      <w:pPr>
        <w:pStyle w:val="Para 01"/>
      </w:pPr>
      <w:r>
        <w:t>Troubleshooting Intel TDX</w:t>
      </w:r>
    </w:p>
    <w:p>
      <w:pPr>
        <w:pStyle w:val="Para 17"/>
      </w:pPr>
      <w:r>
        <w:t/>
      </w:r>
    </w:p>
    <w:p>
      <w:pPr>
        <w:pStyle w:val="Para 01"/>
      </w:pPr>
      <w:r>
        <w:t>Intel TDX is not enabled on the host</w:t>
      </w:r>
    </w:p>
    <w:p>
      <w:pPr>
        <w:pStyle w:val="Normal"/>
      </w:pPr>
      <w:r>
        <w:t>Ensure BIOS settings are correct and kernel parameters are enabled. Confirm the following MSR checks.</w:t>
      </w:r>
    </w:p>
    <w:p>
      <w:pPr>
        <w:pStyle w:val="Para 04"/>
      </w:pPr>
      <w:r>
        <w:t>• Install the MSR tools package:</w:t>
      </w:r>
    </w:p>
    <w:p>
      <w:pPr>
        <w:pStyle w:val="Para 02"/>
      </w:pPr>
      <w:r>
        <w:t>sudo apt install msr-tools</w:t>
      </w:r>
    </w:p>
    <w:p>
      <w:pPr>
        <w:pStyle w:val="Para 17"/>
      </w:pPr>
      <w:r>
        <w:t/>
      </w:r>
    </w:p>
    <w:p>
      <w:pPr>
        <w:pStyle w:val="Para 04"/>
      </w:pPr>
      <w:r>
        <w:t>• Verify that Multi-Key Total Memory Encryption (MK-TME) is enabled by checking bit 1</w:t>
      </w:r>
    </w:p>
    <w:p>
      <w:pPr>
        <w:pStyle w:val="Para 02"/>
      </w:pPr>
      <w:r>
        <w:t>of MSR 0x982:</w:t>
      </w:r>
    </w:p>
    <w:p>
      <w:pPr>
        <w:pStyle w:val="Para 02"/>
      </w:pPr>
      <w:r>
        <w:t>sudo rdmsr 0x982 -f</w:t>
        <w:t xml:space="preserve"> </w:t>
        <w:t>1</w:t>
        <w:t>:1</w:t>
        <w:t xml:space="preserve"> </w:t>
        <w:t>1</w:t>
      </w:r>
    </w:p>
    <w:p>
      <w:pPr>
        <w:pStyle w:val="Para 17"/>
      </w:pPr>
      <w:r>
        <w:t/>
      </w:r>
    </w:p>
    <w:p>
      <w:pPr>
        <w:pStyle w:val="Para 02"/>
      </w:pPr>
      <w:r>
        <w:t>Expected value of 1 indicates MK-TME is enabled in BIOS.</w:t>
      </w:r>
    </w:p>
    <w:p>
      <w:bookmarkStart w:id="855" w:name="page_5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2" name="index-563_1.png" descr="index-563_1.png"/>
            <wp:cNvGraphicFramePr>
              <a:graphicFrameLocks noChangeAspect="1"/>
            </wp:cNvGraphicFramePr>
            <a:graphic>
              <a:graphicData uri="http://schemas.openxmlformats.org/drawingml/2006/picture">
                <pic:pic>
                  <pic:nvPicPr>
                    <pic:cNvPr id="0" name="index-563_1.png" descr="index-563_1.png"/>
                    <pic:cNvPicPr/>
                  </pic:nvPicPr>
                  <pic:blipFill>
                    <a:blip r:embed="rId576"/>
                    <a:stretch>
                      <a:fillRect/>
                    </a:stretch>
                  </pic:blipFill>
                  <pic:spPr>
                    <a:xfrm>
                      <a:off x="0" y="0"/>
                      <a:ext cx="914400" cy="266700"/>
                    </a:xfrm>
                    <a:prstGeom prst="rect">
                      <a:avLst/>
                    </a:prstGeom>
                  </pic:spPr>
                </pic:pic>
              </a:graphicData>
            </a:graphic>
          </wp:anchor>
        </w:drawing>
      </w:r>
      <w:bookmarkEnd w:id="855"/>
    </w:p>
    <w:p>
      <w:pPr>
        <w:pStyle w:val="Para 04"/>
      </w:pPr>
      <w:r>
        <w:t>• Verify Intel TDX support by checking bit 11 of MSR 0x1401 (enable bit for SEAMRR–SEAM</w:t>
      </w:r>
    </w:p>
    <w:p>
      <w:pPr>
        <w:pStyle w:val="Para 02"/>
      </w:pPr>
      <w:r>
        <w:t>Range Registers):</w:t>
      </w:r>
    </w:p>
    <w:p>
      <w:pPr>
        <w:pStyle w:val="Para 02"/>
      </w:pPr>
      <w:r>
        <w:t>sudo rdmsr 0x1401 -f</w:t>
        <w:t xml:space="preserve"> </w:t>
        <w:t>11</w:t>
        <w:t>:11</w:t>
        <w:t xml:space="preserve"> </w:t>
        <w:t>1</w:t>
      </w:r>
    </w:p>
    <w:p>
      <w:pPr>
        <w:pStyle w:val="Para 17"/>
      </w:pPr>
      <w:r>
        <w:t/>
      </w:r>
    </w:p>
    <w:p>
      <w:pPr>
        <w:pStyle w:val="Para 02"/>
      </w:pPr>
      <w:r>
        <w:t>Expected value of 1 indicates SEAMRR is enabled.</w:t>
      </w:r>
    </w:p>
    <w:p>
      <w:pPr>
        <w:pStyle w:val="Para 04"/>
      </w:pPr>
      <w:r>
        <w:t>• Verify the number of private keys allocated to TDs by checking bits 63:32 of IA32_TME_</w:t>
      </w:r>
    </w:p>
    <w:p>
      <w:pPr>
        <w:pStyle w:val="Para 02"/>
      </w:pPr>
      <w:r>
        <w:t>CAPABILITY MSR:</w:t>
      </w:r>
    </w:p>
    <w:p>
      <w:pPr>
        <w:pStyle w:val="Para 02"/>
      </w:pPr>
      <w:r>
        <w:t>echo</w:t>
        <w:t xml:space="preserve"> </w:t>
      </w:r>
      <w:r>
        <w:rPr>
          <w:rStyle w:val="Text0"/>
        </w:rPr>
        <w:t>$((</w:t>
      </w:r>
      <w:r>
        <w:t>0</w:t>
        <w:t>x</w:t>
      </w:r>
      <w:r>
        <w:rPr>
          <w:rStyle w:val="Text0"/>
        </w:rPr>
        <w:t>$(</w:t>
      </w:r>
      <w:r>
        <w:t>sudo rdmsr 0x87 -f</w:t>
        <w:t xml:space="preserve"> </w:t>
        <w:t>63</w:t>
        <w:t>:32</w:t>
      </w:r>
      <w:r>
        <w:rPr>
          <w:rStyle w:val="Text0"/>
        </w:rPr>
        <w:t>)))</w:t>
      </w:r>
    </w:p>
    <w:p>
      <w:pPr>
        <w:pStyle w:val="Para 17"/>
      </w:pPr>
      <w:r>
        <w:t/>
      </w:r>
    </w:p>
    <w:p>
      <w:pPr>
        <w:pStyle w:val="Para 02"/>
      </w:pPr>
      <w:r>
        <w:t>This shows the number of private keys available for Trust Domains (NUM_TDX_PRIV_KEYS) in decimal format. A non-zero value indicates keys are allocated for Intel TDX.</w:t>
      </w:r>
    </w:p>
    <w:p>
      <w:pPr>
        <w:pStyle w:val="Para 04"/>
      </w:pPr>
      <w:r>
        <w:t>• Verify the number of private keys allocated to TDs by checking bits 63:32 of IA32_TME_</w:t>
      </w:r>
    </w:p>
    <w:p>
      <w:pPr>
        <w:pStyle w:val="Para 02"/>
      </w:pPr>
      <w:r>
        <w:t>CAPABILITY MSR:</w:t>
      </w:r>
    </w:p>
    <w:p>
      <w:pPr>
        <w:pStyle w:val="Para 02"/>
      </w:pPr>
      <w:r>
        <w:t>echo</w:t>
        <w:t xml:space="preserve"> </w:t>
      </w:r>
      <w:r>
        <w:rPr>
          <w:rStyle w:val="Text0"/>
        </w:rPr>
        <w:t>$((</w:t>
      </w:r>
      <w:r>
        <w:t>0</w:t>
        <w:t>x</w:t>
      </w:r>
      <w:r>
        <w:rPr>
          <w:rStyle w:val="Text0"/>
        </w:rPr>
        <w:t>$(</w:t>
      </w:r>
      <w:r>
        <w:t>sudo rdmsr 0x87 -f</w:t>
        <w:t xml:space="preserve"> </w:t>
        <w:t>63</w:t>
        <w:t>:32</w:t>
      </w:r>
      <w:r>
        <w:rPr>
          <w:rStyle w:val="Text0"/>
        </w:rPr>
        <w:t>)))</w:t>
      </w:r>
    </w:p>
    <w:p>
      <w:pPr>
        <w:pStyle w:val="Para 17"/>
      </w:pPr>
      <w:r>
        <w:t/>
      </w:r>
    </w:p>
    <w:p>
      <w:pPr>
        <w:pStyle w:val="Para 02"/>
      </w:pPr>
      <w:r>
        <w:t>This shows the number of private keys available for Trust Domains (NUM_TDX_PRIV_KEYS) in decimal format. A non-zero value indicates keys are allocated for Intel TDX.</w:t>
      </w:r>
    </w:p>
    <w:p>
      <w:pPr>
        <w:pStyle w:val="Para 04"/>
      </w:pPr>
      <w:r>
        <w:t>• Verify the Intel SGX and MCHECK status.</w:t>
      </w:r>
    </w:p>
    <w:p>
      <w:pPr>
        <w:pStyle w:val="Para 02"/>
      </w:pPr>
      <w:r>
        <w:t>sudo rdmsr 0xa0</w:t>
      </w:r>
    </w:p>
    <w:p>
      <w:pPr>
        <w:pStyle w:val="Para 17"/>
      </w:pPr>
      <w:r>
        <w:t/>
      </w:r>
    </w:p>
    <w:p>
      <w:pPr>
        <w:pStyle w:val="Para 02"/>
      </w:pPr>
      <w:r>
        <w:t>Expected value of 1 indicates it is enabled. A value of 1861 indicates SGX registration UEFI variables maybe corrupt. Boot into the BIOS and set SGX Factory Reset to Enable. This will result in two new keys.</w:t>
      </w:r>
    </w:p>
    <w:p>
      <w:pPr>
        <w:pStyle w:val="Para 01"/>
      </w:pPr>
      <w:r>
        <w:t>sudo dmesg | grep -i tdx shows virt/tdx: module initialization failed (-5)</w:t>
      </w:r>
    </w:p>
    <w:p>
      <w:pPr>
        <w:pStyle w:val="Normal"/>
      </w:pPr>
      <w:r>
        <w:t xml:space="preserve">You may have an old and unsupported Intel TDX Module. Try </w:t>
      </w:r>
      <w:hyperlink r:id="rId1496">
        <w:r>
          <w:rPr>
            <w:rStyle w:val="Text1"/>
          </w:rPr>
          <w:t>updating to the latest Intel TDX</w:t>
        </w:r>
      </w:hyperlink>
    </w:p>
    <w:p>
      <w:pPr>
        <w:pStyle w:val="Para 18"/>
      </w:pPr>
      <w:hyperlink r:id="rId1496">
        <w:r>
          <w:t>Module</w:t>
        </w:r>
      </w:hyperlink>
      <w:hyperlink r:id="rId1496">
        <w:r>
          <w:rPr>
            <w:rStyle w:val="Text10"/>
          </w:rPr>
          <w:t>561</w:t>
        </w:r>
      </w:hyperlink>
      <w:r>
        <w:rPr>
          <w:rStyle w:val="Text7"/>
        </w:rPr>
        <w:t>.</w:t>
      </w:r>
    </w:p>
    <w:p>
      <w:pPr>
        <w:pStyle w:val="Para 08"/>
      </w:pPr>
      <w:r>
        <w:t>Note:</w:t>
      </w:r>
    </w:p>
    <w:p>
      <w:pPr>
        <w:pStyle w:val="Para 03"/>
      </w:pPr>
      <w:r>
        <w:t>If you chose to “Update Intel TDX Module via Binary Deployment”, make sure you’re us-</w:t>
      </w:r>
    </w:p>
    <w:p>
      <w:pPr>
        <w:pStyle w:val="Para 03"/>
      </w:pPr>
      <w:r>
        <w:t xml:space="preserve">ing the correct Intel TDX Module version for your hardware. See the </w:t>
      </w:r>
      <w:hyperlink w:anchor="page_557">
        <w:r>
          <w:rPr>
            <w:rStyle w:val="Text2"/>
          </w:rPr>
          <w:t>Supported hardware</w:t>
        </w:r>
      </w:hyperlink>
    </w:p>
    <w:p>
      <w:pPr>
        <w:pStyle w:val="Para 03"/>
      </w:pPr>
      <w:r>
        <w:t>(page 556) table.</w:t>
      </w:r>
    </w:p>
    <w:p>
      <w:pPr>
        <w:pStyle w:val="Para 17"/>
      </w:pPr>
      <w:r>
        <w:t/>
      </w:r>
    </w:p>
    <w:p>
      <w:pPr>
        <w:pStyle w:val="Para 01"/>
      </w:pPr>
      <w:r>
        <w:t>I rebooted my TD, but it shuts down instead</w:t>
      </w:r>
    </w:p>
    <w:p>
      <w:pPr>
        <w:pStyle w:val="Normal"/>
      </w:pPr>
      <w:r>
        <w:t>Legacy (non-TDX) guests support reboot by resetting vCPU context. However, TD guests do not allow it for security reasons. You must power it down and boot it up again.</w:t>
      </w:r>
    </w:p>
    <w:p>
      <w:pPr>
        <w:pStyle w:val="Para 14"/>
      </w:pPr>
      <w:r>
        <w:rPr>
          <w:rStyle w:val="Text4"/>
        </w:rPr>
        <w:t xml:space="preserve">• </w:t>
      </w:r>
      <w:hyperlink w:anchor="page_533">
        <w:r>
          <w:t>LXD containers and virtual machines</w:t>
        </w:r>
      </w:hyperlink>
      <w:r>
        <w:rPr>
          <w:rStyle w:val="Text4"/>
        </w:rPr>
        <w:t xml:space="preserve"> (page 532)</w:t>
      </w:r>
    </w:p>
    <w:p>
      <w:pPr>
        <w:pStyle w:val="Para 14"/>
      </w:pPr>
      <w:r>
        <w:rPr>
          <w:rStyle w:val="Text4"/>
        </w:rPr>
        <w:t xml:space="preserve">• </w:t>
      </w:r>
      <w:hyperlink w:anchor="page_541">
        <w:r>
          <w:t>Create VMs with Multipass</w:t>
        </w:r>
      </w:hyperlink>
      <w:r>
        <w:rPr>
          <w:rStyle w:val="Text4"/>
        </w:rPr>
        <w:t xml:space="preserve"> (page 540)</w:t>
      </w:r>
    </w:p>
    <w:p>
      <w:pPr>
        <w:pStyle w:val="Para 14"/>
      </w:pPr>
      <w:r>
        <w:rPr>
          <w:rStyle w:val="Text4"/>
        </w:rPr>
        <w:t xml:space="preserve">• </w:t>
      </w:r>
      <w:hyperlink w:anchor="page_545">
        <w:r>
          <w:t>Create cloud image VMs with UVtool</w:t>
        </w:r>
      </w:hyperlink>
      <w:r>
        <w:rPr>
          <w:rStyle w:val="Text4"/>
        </w:rPr>
        <w:t xml:space="preserve"> (page 544)</w:t>
      </w:r>
    </w:p>
    <w:p>
      <w:pPr>
        <w:pStyle w:val="Para 04"/>
      </w:pPr>
      <w:r>
        <w:t xml:space="preserve">• </w:t>
      </w:r>
      <w:hyperlink w:anchor="page_549">
        <w:r>
          <w:rPr>
            <w:rStyle w:val="Text2"/>
          </w:rPr>
          <w:t>QEMU</w:t>
        </w:r>
      </w:hyperlink>
      <w:r>
        <w:t xml:space="preserve"> (page 548)</w:t>
      </w:r>
    </w:p>
    <w:p>
      <w:pPr>
        <w:pStyle w:val="Para 14"/>
      </w:pPr>
      <w:r>
        <w:rPr>
          <w:rStyle w:val="Text4"/>
        </w:rPr>
        <w:t xml:space="preserve">• </w:t>
      </w:r>
      <w:hyperlink w:anchor="page_554">
        <w:r>
          <w:t>Confidential Computing with AMD</w:t>
        </w:r>
      </w:hyperlink>
      <w:r>
        <w:rPr>
          <w:rStyle w:val="Text4"/>
        </w:rPr>
        <w:t xml:space="preserve"> (page 553)</w:t>
      </w:r>
    </w:p>
    <w:p>
      <w:pPr>
        <w:pStyle w:val="Para 05"/>
      </w:pPr>
      <w:r>
        <w:rPr>
          <w:rStyle w:val="Text5"/>
        </w:rPr>
        <w:t>561</w:t>
      </w:r>
      <w:r>
        <w:rPr>
          <w:rStyle w:val="Text8"/>
        </w:rPr>
        <w:t xml:space="preserve"> </w:t>
      </w:r>
      <w:r>
        <w:t>https://cc-enabling.trustedservices.intel.com/intel-tdx-enabling-guide/04/hardware_setup/</w:t>
      </w:r>
    </w:p>
    <w:p>
      <w:pPr>
        <w:pStyle w:val="Para 16"/>
      </w:pPr>
      <w:r>
        <w:t>#deploy-specific-intel-tdx-module-version</w:t>
      </w:r>
    </w:p>
    <w:p>
      <w:bookmarkStart w:id="856" w:name="page_5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3" name="index-564_1.png" descr="index-564_1.png"/>
            <wp:cNvGraphicFramePr>
              <a:graphicFrameLocks noChangeAspect="1"/>
            </wp:cNvGraphicFramePr>
            <a:graphic>
              <a:graphicData uri="http://schemas.openxmlformats.org/drawingml/2006/picture">
                <pic:pic>
                  <pic:nvPicPr>
                    <pic:cNvPr id="0" name="index-564_1.png" descr="index-564_1.png"/>
                    <pic:cNvPicPr/>
                  </pic:nvPicPr>
                  <pic:blipFill>
                    <a:blip r:embed="rId577"/>
                    <a:stretch>
                      <a:fillRect/>
                    </a:stretch>
                  </pic:blipFill>
                  <pic:spPr>
                    <a:xfrm>
                      <a:off x="0" y="0"/>
                      <a:ext cx="914400" cy="266700"/>
                    </a:xfrm>
                    <a:prstGeom prst="rect">
                      <a:avLst/>
                    </a:prstGeom>
                  </pic:spPr>
                </pic:pic>
              </a:graphicData>
            </a:graphic>
          </wp:anchor>
        </w:drawing>
      </w:r>
      <w:bookmarkEnd w:id="856"/>
    </w:p>
    <w:p>
      <w:pPr>
        <w:pStyle w:val="Para 14"/>
      </w:pPr>
      <w:r>
        <w:rPr>
          <w:rStyle w:val="Text4"/>
        </w:rPr>
        <w:t xml:space="preserve">• </w:t>
      </w:r>
      <w:hyperlink w:anchor="page_557">
        <w:r>
          <w:t>Confidential Computing with Intel</w:t>
        </w:r>
      </w:hyperlink>
      <w:r>
        <w:rPr>
          <w:rStyle w:val="Text4"/>
        </w:rPr>
        <w:t xml:space="preserve"> (page 556)</w:t>
      </w:r>
    </w:p>
    <w:p>
      <w:pPr>
        <w:pStyle w:val="Para 17"/>
      </w:pPr>
      <w:r>
        <w:t/>
      </w:r>
    </w:p>
    <w:p>
      <w:pPr>
        <w:pStyle w:val="Para 01"/>
      </w:pPr>
      <w:r>
        <w:t>VM tooling</w:t>
      </w:r>
    </w:p>
    <w:p>
      <w:pPr>
        <w:pStyle w:val="Para 17"/>
      </w:pPr>
      <w:r>
        <w:t/>
      </w:r>
    </w:p>
    <w:p>
      <w:pPr>
        <w:pStyle w:val="Para 01"/>
      </w:pPr>
      <w:r>
        <w:t>Libvirt</w:t>
      </w:r>
    </w:p>
    <w:p>
      <w:pPr>
        <w:pStyle w:val="Para 17"/>
      </w:pPr>
      <w:r>
        <w:t/>
      </w:r>
    </w:p>
    <w:p>
      <w:pPr>
        <w:pStyle w:val="Normal"/>
      </w:pPr>
      <w:r>
        <w:t xml:space="preserve">The </w:t>
      </w:r>
      <w:hyperlink r:id="rId1481">
        <w:r>
          <w:rPr>
            <w:rStyle w:val="Text9"/>
          </w:rPr>
          <w:t>562</w:t>
        </w:r>
      </w:hyperlink>
      <w:hyperlink r:id="rId1481">
        <w:r>
          <w:rPr>
            <w:rStyle w:val="Text1"/>
          </w:rPr>
          <w:t xml:space="preserve"> libvirt library</w:t>
        </w:r>
      </w:hyperlink>
      <w:r>
        <w:t xml:space="preserve"> interfaces with many different virtualisation technologies. Before get-ting started with libvirt, verify that your hardware supports the necessary virtualisation ex-</w:t>
      </w:r>
    </w:p>
    <w:p>
      <w:pPr>
        <w:pStyle w:val="Normal"/>
      </w:pPr>
      <w:r>
        <w:t xml:space="preserve">tensions for </w:t>
      </w:r>
      <w:hyperlink r:id="rId1478">
        <w:r>
          <w:rPr>
            <w:rStyle w:val="Text9"/>
          </w:rPr>
          <w:t>563</w:t>
        </w:r>
      </w:hyperlink>
      <w:hyperlink r:id="rId1478">
        <w:r>
          <w:rPr>
            <w:rStyle w:val="Text1"/>
          </w:rPr>
          <w:t xml:space="preserve"> Kernel-based Virtual Machine (KVM)</w:t>
        </w:r>
      </w:hyperlink>
      <w:r>
        <w:t>. To check this, enter the following from a terminal prompt:</w:t>
      </w:r>
    </w:p>
    <w:p>
      <w:pPr>
        <w:pStyle w:val="Normal"/>
      </w:pPr>
      <w:r>
        <w:t>kvm-ok</w:t>
      </w:r>
    </w:p>
    <w:p>
      <w:pPr>
        <w:pStyle w:val="Para 17"/>
      </w:pPr>
      <w:r>
        <w:t/>
      </w:r>
    </w:p>
    <w:p>
      <w:pPr>
        <w:pStyle w:val="Para 08"/>
      </w:pPr>
      <w:r>
        <w:t>Note:</w:t>
      </w:r>
    </w:p>
    <w:p>
      <w:pPr>
        <w:pStyle w:val="Para 03"/>
      </w:pPr>
      <w:r>
        <w:t>This command is part of the package cpu-checker, you might need to install it because it</w:t>
      </w:r>
    </w:p>
    <w:p>
      <w:pPr>
        <w:pStyle w:val="Para 03"/>
      </w:pPr>
      <w:r>
        <w:t>is not installed by default.</w:t>
      </w:r>
    </w:p>
    <w:p>
      <w:pPr>
        <w:pStyle w:val="Para 17"/>
      </w:pPr>
      <w:r>
        <w:t/>
      </w:r>
    </w:p>
    <w:p>
      <w:pPr>
        <w:pStyle w:val="Normal"/>
      </w:pPr>
      <w:r>
        <w:t>This command prints a message informing you whether your CPU supports hardware virtual-isation.</w:t>
      </w:r>
    </w:p>
    <w:p>
      <w:pPr>
        <w:pStyle w:val="Para 08"/>
      </w:pPr>
      <w:r>
        <w:t>Note:</w:t>
      </w:r>
    </w:p>
    <w:p>
      <w:pPr>
        <w:pStyle w:val="Para 03"/>
      </w:pPr>
      <w:r>
        <w:t>On many computers with processors supporting hardware-assisted virtualisation, you</w:t>
      </w:r>
    </w:p>
    <w:p>
      <w:pPr>
        <w:pStyle w:val="Para 03"/>
      </w:pPr>
      <w:r>
        <w:t>must activate an option in the BIOS to enable it.</w:t>
      </w:r>
    </w:p>
    <w:p>
      <w:pPr>
        <w:pStyle w:val="Para 17"/>
      </w:pPr>
      <w:r>
        <w:t/>
      </w:r>
    </w:p>
    <w:p>
      <w:pPr>
        <w:pStyle w:val="Para 01"/>
      </w:pPr>
      <w:r>
        <w:t>Virtual networking</w:t>
      </w:r>
    </w:p>
    <w:p>
      <w:pPr>
        <w:pStyle w:val="Para 17"/>
      </w:pPr>
      <w:r>
        <w:t/>
      </w:r>
    </w:p>
    <w:p>
      <w:pPr>
        <w:pStyle w:val="Normal"/>
      </w:pPr>
      <w:r>
        <w:t xml:space="preserve">Virtual machines can access the external network in several ways. The default virtual network configuration includes </w:t>
      </w:r>
      <w:r>
        <w:rPr>
          <w:rStyle w:val="Text0"/>
        </w:rPr>
        <w:t>bridging</w:t>
      </w:r>
      <w:r>
        <w:t xml:space="preserve"> and </w:t>
      </w:r>
      <w:r>
        <w:rPr>
          <w:rStyle w:val="Text0"/>
        </w:rPr>
        <w:t>iptables</w:t>
      </w:r>
      <w:r>
        <w:t xml:space="preserve"> rules implementing </w:t>
      </w:r>
      <w:r>
        <w:rPr>
          <w:rStyle w:val="Text0"/>
        </w:rPr>
        <w:t>usermode</w:t>
      </w:r>
      <w:r>
        <w:t xml:space="preserve"> networking,</w:t>
      </w:r>
    </w:p>
    <w:p>
      <w:pPr>
        <w:pStyle w:val="Normal"/>
      </w:pPr>
      <w:r>
        <w:t xml:space="preserve">which uses the </w:t>
      </w:r>
      <w:hyperlink r:id="rId1497">
        <w:r>
          <w:rPr>
            <w:rStyle w:val="Text9"/>
          </w:rPr>
          <w:t>564</w:t>
        </w:r>
      </w:hyperlink>
      <w:hyperlink r:id="rId1497">
        <w:r>
          <w:rPr>
            <w:rStyle w:val="Text1"/>
          </w:rPr>
          <w:t xml:space="preserve"> SLiRP</w:t>
        </w:r>
      </w:hyperlink>
      <w:r>
        <w:t xml:space="preserve"> protocol. Traffic is Network Address Translation (NAT)-ed through the host interface to the outside network.</w:t>
      </w:r>
    </w:p>
    <w:p>
      <w:pPr>
        <w:pStyle w:val="Normal"/>
      </w:pPr>
      <w:r>
        <w:t xml:space="preserve">To enable external hosts to directly access services on virtual machines, configure a different type of </w:t>
      </w:r>
      <w:r>
        <w:rPr>
          <w:rStyle w:val="Text3"/>
        </w:rPr>
        <w:t>bridge</w:t>
      </w:r>
      <w:r>
        <w:t xml:space="preserve"> than the default. This allows the virtual interfaces to connect to the outside network through the physical interface, making them appear as normal hosts to the rest of the network.</w:t>
      </w:r>
    </w:p>
    <w:p>
      <w:pPr>
        <w:pStyle w:val="Normal"/>
      </w:pPr>
      <w:r>
        <w:t xml:space="preserve">There is a great example of </w:t>
      </w:r>
      <w:hyperlink r:id="rId1498">
        <w:r>
          <w:rPr>
            <w:rStyle w:val="Text9"/>
          </w:rPr>
          <w:t>565</w:t>
        </w:r>
      </w:hyperlink>
      <w:hyperlink r:id="rId1498">
        <w:r>
          <w:rPr>
            <w:rStyle w:val="Text1"/>
          </w:rPr>
          <w:t xml:space="preserve"> how to configure a bridge</w:t>
        </w:r>
      </w:hyperlink>
      <w:r>
        <w:t xml:space="preserve"> and combine it with libvirt so that</w:t>
      </w:r>
    </w:p>
    <w:p>
      <w:pPr>
        <w:pStyle w:val="Normal"/>
      </w:pPr>
      <w:r>
        <w:t xml:space="preserve">guests will use it at the </w:t>
      </w:r>
      <w:hyperlink r:id="rId1499">
        <w:r>
          <w:rPr>
            <w:rStyle w:val="Text9"/>
          </w:rPr>
          <w:t>566</w:t>
        </w:r>
      </w:hyperlink>
      <w:hyperlink r:id="rId1499">
        <w:r>
          <w:rPr>
            <w:rStyle w:val="Text1"/>
          </w:rPr>
          <w:t xml:space="preserve"> netplan.io documentation</w:t>
        </w:r>
      </w:hyperlink>
      <w:r>
        <w:t>.</w:t>
      </w:r>
    </w:p>
    <w:p>
      <w:pPr>
        <w:pStyle w:val="Para 05"/>
      </w:pPr>
      <w:r>
        <w:rPr>
          <w:rStyle w:val="Text5"/>
        </w:rPr>
        <w:t>562</w:t>
      </w:r>
      <w:r>
        <w:rPr>
          <w:rStyle w:val="Text8"/>
        </w:rPr>
        <w:t xml:space="preserve"> </w:t>
      </w:r>
      <w:r>
        <w:t>https://libvirt.org/</w:t>
      </w:r>
    </w:p>
    <w:p>
      <w:pPr>
        <w:pStyle w:val="Para 05"/>
      </w:pPr>
      <w:r>
        <w:rPr>
          <w:rStyle w:val="Text5"/>
        </w:rPr>
        <w:t>563</w:t>
      </w:r>
      <w:r>
        <w:rPr>
          <w:rStyle w:val="Text8"/>
        </w:rPr>
        <w:t xml:space="preserve"> </w:t>
      </w:r>
      <w:r>
        <w:t>https://www.linux-kvm.org/page/Main_Page</w:t>
      </w:r>
    </w:p>
    <w:p>
      <w:pPr>
        <w:pStyle w:val="Para 05"/>
      </w:pPr>
      <w:r>
        <w:rPr>
          <w:rStyle w:val="Text5"/>
        </w:rPr>
        <w:t>564</w:t>
      </w:r>
      <w:r>
        <w:rPr>
          <w:rStyle w:val="Text8"/>
        </w:rPr>
        <w:t xml:space="preserve"> </w:t>
      </w:r>
      <w:r>
        <w:t>https://en.wikipedia.org/wiki/Slirp</w:t>
      </w:r>
    </w:p>
    <w:p>
      <w:pPr>
        <w:pStyle w:val="Para 05"/>
      </w:pPr>
      <w:r>
        <w:rPr>
          <w:rStyle w:val="Text5"/>
        </w:rPr>
        <w:t>565</w:t>
      </w:r>
      <w:r>
        <w:rPr>
          <w:rStyle w:val="Text8"/>
        </w:rPr>
        <w:t xml:space="preserve"> </w:t>
      </w:r>
      <w:r>
        <w:t>https://netplan.readthedocs.io/en/latest/netplan-yaml/#properties-for-device-type-bridges</w:t>
      </w:r>
    </w:p>
    <w:p>
      <w:pPr>
        <w:pStyle w:val="Para 05"/>
      </w:pPr>
      <w:r>
        <w:rPr>
          <w:rStyle w:val="Text5"/>
        </w:rPr>
        <w:t>566</w:t>
      </w:r>
      <w:r>
        <w:rPr>
          <w:rStyle w:val="Text8"/>
        </w:rPr>
        <w:t xml:space="preserve"> </w:t>
      </w:r>
      <w:r>
        <w:t>https://netplan.readthedocs.io/en/latest/</w:t>
      </w:r>
    </w:p>
    <w:p>
      <w:bookmarkStart w:id="857" w:name="page_5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4" name="index-565_1.png" descr="index-565_1.png"/>
            <wp:cNvGraphicFramePr>
              <a:graphicFrameLocks noChangeAspect="1"/>
            </wp:cNvGraphicFramePr>
            <a:graphic>
              <a:graphicData uri="http://schemas.openxmlformats.org/drawingml/2006/picture">
                <pic:pic>
                  <pic:nvPicPr>
                    <pic:cNvPr id="0" name="index-565_1.png" descr="index-565_1.png"/>
                    <pic:cNvPicPr/>
                  </pic:nvPicPr>
                  <pic:blipFill>
                    <a:blip r:embed="rId578"/>
                    <a:stretch>
                      <a:fillRect/>
                    </a:stretch>
                  </pic:blipFill>
                  <pic:spPr>
                    <a:xfrm>
                      <a:off x="0" y="0"/>
                      <a:ext cx="914400" cy="266700"/>
                    </a:xfrm>
                    <a:prstGeom prst="rect">
                      <a:avLst/>
                    </a:prstGeom>
                  </pic:spPr>
                </pic:pic>
              </a:graphicData>
            </a:graphic>
          </wp:anchor>
        </w:drawing>
      </w:r>
      <w:bookmarkEnd w:id="857"/>
    </w:p>
    <w:p>
      <w:pPr>
        <w:pStyle w:val="Para 01"/>
      </w:pPr>
      <w:r>
        <w:t>Install libvirt</w:t>
      </w:r>
    </w:p>
    <w:p>
      <w:pPr>
        <w:pStyle w:val="Para 17"/>
      </w:pPr>
      <w:r>
        <w:t/>
      </w:r>
    </w:p>
    <w:p>
      <w:pPr>
        <w:pStyle w:val="Normal"/>
      </w:pPr>
      <w:r>
        <w:t>To install the necessary packages, from a terminal prompt enter:</w:t>
      </w:r>
    </w:p>
    <w:p>
      <w:pPr>
        <w:pStyle w:val="Normal"/>
      </w:pPr>
      <w:r>
        <w:t>sudo apt update</w:t>
      </w:r>
    </w:p>
    <w:p>
      <w:pPr>
        <w:pStyle w:val="Normal"/>
      </w:pPr>
      <w:r>
        <w:t>sudo apt install qemu-kvm libvirt-daemon-system</w:t>
      </w:r>
    </w:p>
    <w:p>
      <w:pPr>
        <w:pStyle w:val="Para 17"/>
      </w:pPr>
      <w:r>
        <w:t/>
      </w:r>
    </w:p>
    <w:p>
      <w:pPr>
        <w:pStyle w:val="Normal"/>
      </w:pPr>
      <w:r>
        <w:t xml:space="preserve">After installing libvirt-daemon-system, add the user who will manage virtual machines to the </w:t>
      </w:r>
      <w:r>
        <w:rPr>
          <w:rStyle w:val="Text3"/>
        </w:rPr>
        <w:t>libvirt</w:t>
      </w:r>
      <w:r>
        <w:t xml:space="preserve"> group. Members of the </w:t>
      </w:r>
      <w:r>
        <w:rPr>
          <w:rStyle w:val="Text3"/>
        </w:rPr>
        <w:t>sudo</w:t>
      </w:r>
      <w:r>
        <w:t xml:space="preserve"> group are added automatically, but you must manually add other users who need access to system-wide libvirt resources. This grants the user access to advanced networking options.</w:t>
      </w:r>
    </w:p>
    <w:p>
      <w:pPr>
        <w:pStyle w:val="Normal"/>
      </w:pPr>
      <w:r>
        <w:t>In a terminal enter:</w:t>
      </w:r>
    </w:p>
    <w:p>
      <w:pPr>
        <w:pStyle w:val="Normal"/>
      </w:pPr>
      <w:r>
        <w:t>sudo adduser</w:t>
        <w:t xml:space="preserve"> </w:t>
        <w:t>$USER</w:t>
        <w:t xml:space="preserve"> </w:t>
        <w:t>libvirt</w:t>
      </w:r>
    </w:p>
    <w:p>
      <w:pPr>
        <w:pStyle w:val="Para 17"/>
      </w:pPr>
      <w:r>
        <w:t/>
      </w:r>
    </w:p>
    <w:p>
      <w:pPr>
        <w:pStyle w:val="Para 08"/>
      </w:pPr>
      <w:r>
        <w:t>Note:</w:t>
      </w:r>
    </w:p>
    <w:p>
      <w:pPr>
        <w:pStyle w:val="Para 03"/>
      </w:pPr>
      <w:r>
        <w:t>If you add the current user, log out and back in for the new group membership to take</w:t>
      </w:r>
    </w:p>
    <w:p>
      <w:pPr>
        <w:pStyle w:val="Para 03"/>
      </w:pPr>
      <w:r>
        <w:t>effect.</w:t>
      </w:r>
    </w:p>
    <w:p>
      <w:pPr>
        <w:pStyle w:val="Normal"/>
      </w:pPr>
      <w:r>
        <w:t xml:space="preserve">You are now ready to install a </w:t>
      </w:r>
      <w:r>
        <w:rPr>
          <w:rStyle w:val="Text3"/>
        </w:rPr>
        <w:t>Guest</w:t>
      </w:r>
      <w:r>
        <w:t xml:space="preserve"> operating system. Installing a virtual machine follows the same process as installing the operating system directly on the hardware.</w:t>
      </w:r>
    </w:p>
    <w:p>
      <w:pPr>
        <w:pStyle w:val="Normal"/>
      </w:pPr>
      <w:r>
        <w:t xml:space="preserve">Use </w:t>
      </w:r>
      <w:r>
        <w:rPr>
          <w:rStyle w:val="Text0"/>
        </w:rPr>
        <w:t>one</w:t>
      </w:r>
      <w:r>
        <w:t xml:space="preserve"> of the following:</w:t>
      </w:r>
    </w:p>
    <w:p>
      <w:pPr>
        <w:pStyle w:val="Para 04"/>
      </w:pPr>
      <w:r>
        <w:t>• A way to automate the installation.</w:t>
      </w:r>
    </w:p>
    <w:p>
      <w:pPr>
        <w:pStyle w:val="Para 04"/>
      </w:pPr>
      <w:r>
        <w:t>• A keyboard and monitor attached to the physical machine.</w:t>
      </w:r>
    </w:p>
    <w:p>
      <w:pPr>
        <w:pStyle w:val="Para 04"/>
      </w:pPr>
      <w:r>
        <w:t xml:space="preserve">• To use cloud images which are meant to self-initialize (see </w:t>
      </w:r>
      <w:hyperlink w:anchor="page_541">
        <w:r>
          <w:rPr>
            <w:rStyle w:val="Text2"/>
          </w:rPr>
          <w:t>Multipass</w:t>
        </w:r>
      </w:hyperlink>
      <w:r>
        <w:t xml:space="preserve"> (page 540) and</w:t>
      </w:r>
    </w:p>
    <w:p>
      <w:pPr>
        <w:pStyle w:val="Para 02"/>
      </w:pPr>
      <w:hyperlink w:anchor="page_545">
        <w:r>
          <w:rPr>
            <w:rStyle w:val="Text2"/>
          </w:rPr>
          <w:t>UVTool</w:t>
        </w:r>
      </w:hyperlink>
      <w:r>
        <w:t xml:space="preserve"> (page 544)).</w:t>
      </w:r>
    </w:p>
    <w:p>
      <w:pPr>
        <w:pStyle w:val="Normal"/>
      </w:pPr>
      <w:r>
        <w:t xml:space="preserve">In the case of virtual machines, a </w:t>
      </w:r>
      <w:hyperlink w:anchor="page_687">
        <w:r>
          <w:rPr>
            <w:rStyle w:val="Text2"/>
          </w:rPr>
          <w:t>Graphical User Interface (GUI)</w:t>
        </w:r>
      </w:hyperlink>
      <w:r>
        <w:t xml:space="preserve"> is analogous to using a physical keyboard and mouse on a real computer. Instead of installing a GUI, use the virt-viewer or</w:t>
      </w:r>
    </w:p>
    <w:p>
      <w:pPr>
        <w:pStyle w:val="Normal"/>
      </w:pPr>
      <w:r>
        <w:t xml:space="preserve">virt-manager application to connect to a virtual machine’s console using VNC. See </w:t>
      </w:r>
      <w:hyperlink w:anchor="page_576">
        <w:r>
          <w:rPr>
            <w:rStyle w:val="Text2"/>
          </w:rPr>
          <w:t>Virtual</w:t>
        </w:r>
      </w:hyperlink>
    </w:p>
    <w:p>
      <w:pPr>
        <w:pStyle w:val="Normal"/>
      </w:pPr>
      <w:hyperlink w:anchor="page_576">
        <w:r>
          <w:rPr>
            <w:rStyle w:val="Text2"/>
          </w:rPr>
          <w:t>Machine Manager / Viewer</w:t>
        </w:r>
      </w:hyperlink>
      <w:r>
        <w:t xml:space="preserve"> (page 575) for more information.</w:t>
      </w:r>
    </w:p>
    <w:p>
      <w:pPr>
        <w:pStyle w:val="Para 17"/>
      </w:pPr>
      <w:r>
        <w:t/>
      </w:r>
    </w:p>
    <w:p>
      <w:pPr>
        <w:pStyle w:val="Para 01"/>
      </w:pPr>
      <w:r>
        <w:t>Virtual machine management</w:t>
      </w:r>
    </w:p>
    <w:p>
      <w:pPr>
        <w:pStyle w:val="Para 17"/>
      </w:pPr>
      <w:r>
        <w:t/>
      </w:r>
    </w:p>
    <w:p>
      <w:pPr>
        <w:pStyle w:val="Normal"/>
      </w:pPr>
      <w:r>
        <w:t>The following section covers virsh, a virtual machine management tool that is a part of libvirt. But there are other tools available at different levels of complexities and feature-sets, like:</w:t>
      </w:r>
    </w:p>
    <w:p>
      <w:pPr>
        <w:pStyle w:val="Para 04"/>
      </w:pPr>
      <w:r>
        <w:t xml:space="preserve">• </w:t>
      </w:r>
      <w:hyperlink w:anchor="page_541">
        <w:r>
          <w:rPr>
            <w:rStyle w:val="Text2"/>
          </w:rPr>
          <w:t>Multipass</w:t>
        </w:r>
      </w:hyperlink>
      <w:r>
        <w:t xml:space="preserve"> (page 540)</w:t>
      </w:r>
    </w:p>
    <w:p>
      <w:pPr>
        <w:pStyle w:val="Para 04"/>
      </w:pPr>
      <w:r>
        <w:t xml:space="preserve">• </w:t>
      </w:r>
      <w:hyperlink w:anchor="page_545">
        <w:r>
          <w:rPr>
            <w:rStyle w:val="Text2"/>
          </w:rPr>
          <w:t>UVTool</w:t>
        </w:r>
      </w:hyperlink>
      <w:r>
        <w:t xml:space="preserve"> (page 544)</w:t>
      </w:r>
    </w:p>
    <w:p>
      <w:pPr>
        <w:pStyle w:val="Para 04"/>
      </w:pPr>
      <w:r>
        <w:t xml:space="preserve">• </w:t>
      </w:r>
      <w:hyperlink w:anchor="page_576">
        <w:r>
          <w:rPr>
            <w:rStyle w:val="Text2"/>
          </w:rPr>
          <w:t>virt-* tools</w:t>
        </w:r>
      </w:hyperlink>
      <w:r>
        <w:t xml:space="preserve"> (page 575)</w:t>
      </w:r>
    </w:p>
    <w:p>
      <w:pPr>
        <w:pStyle w:val="Para 13"/>
      </w:pPr>
      <w:r>
        <w:rPr>
          <w:rStyle w:val="Text7"/>
        </w:rPr>
        <w:t xml:space="preserve">• </w:t>
      </w:r>
      <w:hyperlink r:id="rId1500">
        <w:r>
          <w:rPr>
            <w:rStyle w:val="Text10"/>
          </w:rPr>
          <w:t>567</w:t>
        </w:r>
      </w:hyperlink>
      <w:hyperlink r:id="rId1500">
        <w:r>
          <w:t xml:space="preserve"> OpenStack</w:t>
        </w:r>
      </w:hyperlink>
    </w:p>
    <w:p>
      <w:pPr>
        <w:pStyle w:val="Para 05"/>
      </w:pPr>
      <w:r>
        <w:rPr>
          <w:rStyle w:val="Text5"/>
        </w:rPr>
        <w:t>567</w:t>
      </w:r>
      <w:r>
        <w:rPr>
          <w:rStyle w:val="Text8"/>
        </w:rPr>
        <w:t xml:space="preserve"> </w:t>
      </w:r>
      <w:r>
        <w:t>https://ubuntu.com/openstack</w:t>
      </w:r>
    </w:p>
    <w:p>
      <w:bookmarkStart w:id="858" w:name="page_5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5" name="index-566_1.png" descr="index-566_1.png"/>
            <wp:cNvGraphicFramePr>
              <a:graphicFrameLocks noChangeAspect="1"/>
            </wp:cNvGraphicFramePr>
            <a:graphic>
              <a:graphicData uri="http://schemas.openxmlformats.org/drawingml/2006/picture">
                <pic:pic>
                  <pic:nvPicPr>
                    <pic:cNvPr id="0" name="index-566_1.png" descr="index-566_1.png"/>
                    <pic:cNvPicPr/>
                  </pic:nvPicPr>
                  <pic:blipFill>
                    <a:blip r:embed="rId579"/>
                    <a:stretch>
                      <a:fillRect/>
                    </a:stretch>
                  </pic:blipFill>
                  <pic:spPr>
                    <a:xfrm>
                      <a:off x="0" y="0"/>
                      <a:ext cx="914400" cy="266700"/>
                    </a:xfrm>
                    <a:prstGeom prst="rect">
                      <a:avLst/>
                    </a:prstGeom>
                  </pic:spPr>
                </pic:pic>
              </a:graphicData>
            </a:graphic>
          </wp:anchor>
        </w:drawing>
      </w:r>
      <w:bookmarkEnd w:id="858"/>
    </w:p>
    <w:p>
      <w:pPr>
        <w:pStyle w:val="Para 01"/>
      </w:pPr>
      <w:r>
        <w:t>Manage VMs with virsh</w:t>
      </w:r>
    </w:p>
    <w:p>
      <w:pPr>
        <w:pStyle w:val="Para 17"/>
      </w:pPr>
      <w:r>
        <w:t/>
      </w:r>
    </w:p>
    <w:p>
      <w:pPr>
        <w:pStyle w:val="Normal"/>
      </w:pPr>
      <w:r>
        <w:t>Several utilities are available to manage virtual machines and libvirt. libvirt comes with the command line utility virsh, which allows you to interact with the libvirt daemon to manage VMs. Some examples:</w:t>
      </w:r>
    </w:p>
    <w:p>
      <w:pPr>
        <w:pStyle w:val="Para 04"/>
      </w:pPr>
      <w:r>
        <w:t>• To list running virtual machines:</w:t>
      </w:r>
    </w:p>
    <w:p>
      <w:pPr>
        <w:pStyle w:val="Para 02"/>
      </w:pPr>
      <w:r>
        <w:t>virsh list</w:t>
      </w:r>
    </w:p>
    <w:p>
      <w:pPr>
        <w:pStyle w:val="Para 17"/>
      </w:pPr>
      <w:r>
        <w:t/>
      </w:r>
    </w:p>
    <w:p>
      <w:pPr>
        <w:pStyle w:val="Para 04"/>
      </w:pPr>
      <w:r>
        <w:t>• To start a virtual machine:</w:t>
      </w:r>
    </w:p>
    <w:p>
      <w:pPr>
        <w:pStyle w:val="Para 02"/>
      </w:pPr>
      <w:r>
        <w:t>virsh start &lt;guestname&gt;</w:t>
      </w:r>
    </w:p>
    <w:p>
      <w:pPr>
        <w:pStyle w:val="Para 17"/>
      </w:pPr>
      <w:r>
        <w:t/>
      </w:r>
    </w:p>
    <w:p>
      <w:pPr>
        <w:pStyle w:val="Para 04"/>
      </w:pPr>
      <w:r>
        <w:t>• Similarly, to start a virtual machine at boot:</w:t>
      </w:r>
    </w:p>
    <w:p>
      <w:pPr>
        <w:pStyle w:val="Para 02"/>
      </w:pPr>
      <w:r>
        <w:t>virsh autostart &lt;guestname&gt;</w:t>
      </w:r>
    </w:p>
    <w:p>
      <w:pPr>
        <w:pStyle w:val="Para 17"/>
      </w:pPr>
      <w:r>
        <w:t/>
      </w:r>
    </w:p>
    <w:p>
      <w:pPr>
        <w:pStyle w:val="Para 04"/>
      </w:pPr>
      <w:r>
        <w:t>• Reboot a virtual machine with:</w:t>
      </w:r>
    </w:p>
    <w:p>
      <w:pPr>
        <w:pStyle w:val="Para 02"/>
      </w:pPr>
      <w:r>
        <w:t>virsh reboot &lt;guestname&gt;</w:t>
      </w:r>
    </w:p>
    <w:p>
      <w:pPr>
        <w:pStyle w:val="Para 17"/>
      </w:pPr>
      <w:r>
        <w:t/>
      </w:r>
    </w:p>
    <w:p>
      <w:pPr>
        <w:pStyle w:val="Para 04"/>
      </w:pPr>
      <w:r>
        <w:t xml:space="preserve">• Save the </w:t>
      </w:r>
      <w:r>
        <w:rPr>
          <w:rStyle w:val="Text0"/>
        </w:rPr>
        <w:t>state</w:t>
      </w:r>
      <w:r>
        <w:t xml:space="preserve"> of virtual machines to a file to restore later. The following command</w:t>
      </w:r>
    </w:p>
    <w:p>
      <w:pPr>
        <w:pStyle w:val="Para 02"/>
      </w:pPr>
      <w:r>
        <w:t>saves the virtual machine state into a file:</w:t>
      </w:r>
    </w:p>
    <w:p>
      <w:pPr>
        <w:pStyle w:val="Para 02"/>
      </w:pPr>
      <w:r>
        <w:t>virsh save &lt;guestname&gt; save-my.state</w:t>
      </w:r>
    </w:p>
    <w:p>
      <w:pPr>
        <w:pStyle w:val="Para 17"/>
      </w:pPr>
      <w:r>
        <w:t/>
      </w:r>
    </w:p>
    <w:p>
      <w:pPr>
        <w:pStyle w:val="Para 02"/>
      </w:pPr>
      <w:r>
        <w:t>Once saved, the virtual machine stops running.</w:t>
      </w:r>
    </w:p>
    <w:p>
      <w:pPr>
        <w:pStyle w:val="Para 04"/>
      </w:pPr>
      <w:r>
        <w:t>• Restore a saved virtual machine using:</w:t>
      </w:r>
    </w:p>
    <w:p>
      <w:pPr>
        <w:pStyle w:val="Para 02"/>
      </w:pPr>
      <w:r>
        <w:t>virsh restore save-my.state</w:t>
      </w:r>
    </w:p>
    <w:p>
      <w:pPr>
        <w:pStyle w:val="Para 17"/>
      </w:pPr>
      <w:r>
        <w:t/>
      </w:r>
    </w:p>
    <w:p>
      <w:pPr>
        <w:pStyle w:val="Para 04"/>
      </w:pPr>
      <w:r>
        <w:t>• To shut down a virtual machine you can do:</w:t>
      </w:r>
    </w:p>
    <w:p>
      <w:pPr>
        <w:pStyle w:val="Para 02"/>
      </w:pPr>
      <w:r>
        <w:t>virsh shutdown &lt;guestname&gt;</w:t>
      </w:r>
    </w:p>
    <w:p>
      <w:pPr>
        <w:pStyle w:val="Para 17"/>
      </w:pPr>
      <w:r>
        <w:t/>
      </w:r>
    </w:p>
    <w:p>
      <w:pPr>
        <w:pStyle w:val="Para 04"/>
      </w:pPr>
      <w:r>
        <w:t>• Mount a CD-ROM device in a virtual machine:</w:t>
      </w:r>
    </w:p>
    <w:p>
      <w:pPr>
        <w:pStyle w:val="Para 02"/>
      </w:pPr>
      <w:r>
        <w:t>virsh attach-disk &lt;guestname&gt; /dev/cdrom /media/cdrom</w:t>
      </w:r>
    </w:p>
    <w:p>
      <w:pPr>
        <w:pStyle w:val="Para 17"/>
      </w:pPr>
      <w:r>
        <w:t/>
      </w:r>
    </w:p>
    <w:p>
      <w:pPr>
        <w:pStyle w:val="Para 04"/>
      </w:pPr>
      <w:r>
        <w:t>• To change the definition of a guest, virsh exposes the domain via:</w:t>
      </w:r>
    </w:p>
    <w:p>
      <w:pPr>
        <w:pStyle w:val="Para 02"/>
      </w:pPr>
      <w:r>
        <w:t>virsh edit &lt;guestname&gt;</w:t>
      </w:r>
    </w:p>
    <w:p>
      <w:pPr>
        <w:pStyle w:val="Para 17"/>
      </w:pPr>
      <w:r>
        <w:t/>
      </w:r>
    </w:p>
    <w:p>
      <w:pPr>
        <w:pStyle w:val="Normal"/>
      </w:pPr>
      <w:r>
        <w:t xml:space="preserve">This allows you to edit the </w:t>
      </w:r>
      <w:hyperlink w:anchor="page_566">
        <w:r>
          <w:rPr>
            <w:rStyle w:val="Text9"/>
          </w:rPr>
          <w:t>568</w:t>
        </w:r>
      </w:hyperlink>
      <w:r>
        <w:t xml:space="preserve"> </w:t>
      </w:r>
      <w:hyperlink r:id="rId1501">
        <w:r>
          <w:rPr>
            <w:rStyle w:val="Text1"/>
          </w:rPr>
          <w:t>XML representation that defines the guest</w:t>
        </w:r>
      </w:hyperlink>
      <w:r>
        <w:t>. When saving, the system applies format and integrity checks on these definitions.</w:t>
      </w:r>
    </w:p>
    <w:p>
      <w:pPr>
        <w:pStyle w:val="Normal"/>
      </w:pPr>
      <w:r>
        <w:t>Editing the XML directly is the most powerful method, but also the most complex. Tools</w:t>
      </w:r>
    </w:p>
    <w:p>
      <w:pPr>
        <w:pStyle w:val="Normal"/>
      </w:pPr>
      <w:r>
        <w:t xml:space="preserve">like </w:t>
      </w:r>
      <w:hyperlink w:anchor="page_576">
        <w:r>
          <w:rPr>
            <w:rStyle w:val="Text2"/>
          </w:rPr>
          <w:t>Virtual Machine Manager / Viewer</w:t>
        </w:r>
      </w:hyperlink>
      <w:r>
        <w:t xml:space="preserve"> (page 575) can help inexperienced users perform most common tasks.</w:t>
      </w:r>
    </w:p>
    <w:p>
      <w:pPr>
        <w:pStyle w:val="Para 05"/>
      </w:pPr>
      <w:r>
        <w:rPr>
          <w:rStyle w:val="Text5"/>
        </w:rPr>
        <w:t>568</w:t>
      </w:r>
      <w:r>
        <w:rPr>
          <w:rStyle w:val="Text8"/>
        </w:rPr>
        <w:t xml:space="preserve"> </w:t>
      </w:r>
      <w:r>
        <w:t>https://libvirt.org/formatdomain.html</w:t>
      </w:r>
    </w:p>
    <w:p>
      <w:bookmarkStart w:id="859" w:name="page_5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6" name="index-567_1.png" descr="index-567_1.png"/>
            <wp:cNvGraphicFramePr>
              <a:graphicFrameLocks noChangeAspect="1"/>
            </wp:cNvGraphicFramePr>
            <a:graphic>
              <a:graphicData uri="http://schemas.openxmlformats.org/drawingml/2006/picture">
                <pic:pic>
                  <pic:nvPicPr>
                    <pic:cNvPr id="0" name="index-567_1.png" descr="index-567_1.png"/>
                    <pic:cNvPicPr/>
                  </pic:nvPicPr>
                  <pic:blipFill>
                    <a:blip r:embed="rId580"/>
                    <a:stretch>
                      <a:fillRect/>
                    </a:stretch>
                  </pic:blipFill>
                  <pic:spPr>
                    <a:xfrm>
                      <a:off x="0" y="0"/>
                      <a:ext cx="914400" cy="266700"/>
                    </a:xfrm>
                    <a:prstGeom prst="rect">
                      <a:avLst/>
                    </a:prstGeom>
                  </pic:spPr>
                </pic:pic>
              </a:graphicData>
            </a:graphic>
          </wp:anchor>
        </w:drawing>
      </w:r>
      <w:bookmarkEnd w:id="859"/>
    </w:p>
    <w:p>
      <w:pPr>
        <w:pStyle w:val="Para 08"/>
      </w:pPr>
      <w:r>
        <w:t>Note:</w:t>
      </w:r>
    </w:p>
    <w:p>
      <w:pPr>
        <w:pStyle w:val="Para 03"/>
      </w:pPr>
      <w:r>
        <w:t>If virsh (or other vir* tools) connects to something other than the default qemu-</w:t>
      </w:r>
    </w:p>
    <w:p>
      <w:pPr>
        <w:pStyle w:val="Para 03"/>
      </w:pPr>
      <w:r>
        <w:t>kvm /system hypervisor, you can find alternatives for the--connect option using man virsh</w:t>
      </w:r>
    </w:p>
    <w:p>
      <w:pPr>
        <w:pStyle w:val="Para 22"/>
      </w:pPr>
      <w:r>
        <w:rPr>
          <w:rStyle w:val="Text7"/>
        </w:rPr>
        <w:t xml:space="preserve">or the </w:t>
      </w:r>
      <w:hyperlink w:anchor="page_567">
        <w:r>
          <w:rPr>
            <w:rStyle w:val="Text10"/>
          </w:rPr>
          <w:t>569</w:t>
        </w:r>
      </w:hyperlink>
      <w:r>
        <w:rPr>
          <w:rStyle w:val="Text7"/>
        </w:rPr>
        <w:t xml:space="preserve"> </w:t>
      </w:r>
      <w:hyperlink r:id="rId1502">
        <w:r>
          <w:t>libvirt docs</w:t>
        </w:r>
      </w:hyperlink>
      <w:r>
        <w:rPr>
          <w:rStyle w:val="Text7"/>
        </w:rPr>
        <w:t>.</w:t>
      </w:r>
    </w:p>
    <w:p>
      <w:pPr>
        <w:pStyle w:val="Para 05"/>
      </w:pPr>
      <w:r>
        <w:rPr>
          <w:rStyle w:val="Text5"/>
        </w:rPr>
        <w:t>569</w:t>
      </w:r>
      <w:r>
        <w:rPr>
          <w:rStyle w:val="Text8"/>
        </w:rPr>
        <w:t xml:space="preserve"> </w:t>
      </w:r>
      <w:r>
        <w:t>https://libvirt.org/uri.html</w:t>
      </w:r>
    </w:p>
    <w:p>
      <w:pPr>
        <w:pStyle w:val="Para 17"/>
      </w:pPr>
      <w:r>
        <w:t/>
      </w:r>
    </w:p>
    <w:p>
      <w:pPr>
        <w:pStyle w:val="Para 01"/>
      </w:pPr>
      <w:r>
        <w:t>system and session scope</w:t>
      </w:r>
    </w:p>
    <w:p>
      <w:pPr>
        <w:pStyle w:val="Para 17"/>
      </w:pPr>
      <w:r>
        <w:t/>
      </w:r>
    </w:p>
    <w:p>
      <w:pPr>
        <w:pStyle w:val="Normal"/>
      </w:pPr>
      <w:r>
        <w:t>You can pass connection strings to virsh- as well as to most other tools for managing virtu-alisation.</w:t>
      </w:r>
    </w:p>
    <w:p>
      <w:pPr>
        <w:pStyle w:val="Normal"/>
      </w:pPr>
      <w:r>
        <w:t>virsh --connect qemu:///system</w:t>
      </w:r>
    </w:p>
    <w:p>
      <w:pPr>
        <w:pStyle w:val="Para 17"/>
      </w:pPr>
      <w:r>
        <w:t/>
      </w:r>
    </w:p>
    <w:p>
      <w:pPr>
        <w:pStyle w:val="Normal"/>
      </w:pPr>
      <w:r>
        <w:t>There are two options for the connection.</w:t>
      </w:r>
    </w:p>
    <w:p>
      <w:pPr>
        <w:pStyle w:val="Para 04"/>
      </w:pPr>
      <w:r>
        <w:t xml:space="preserve">• qemu:///system- connect locally as </w:t>
      </w:r>
      <w:r>
        <w:rPr>
          <w:rStyle w:val="Text0"/>
        </w:rPr>
        <w:t>root</w:t>
      </w:r>
      <w:r>
        <w:t xml:space="preserve"> to the daemon supervising QEMU and KVM</w:t>
      </w:r>
    </w:p>
    <w:p>
      <w:pPr>
        <w:pStyle w:val="Para 02"/>
      </w:pPr>
      <w:r>
        <w:t>domains</w:t>
      </w:r>
    </w:p>
    <w:p>
      <w:pPr>
        <w:pStyle w:val="Para 04"/>
      </w:pPr>
      <w:r>
        <w:t xml:space="preserve">• qemu:///session- connect locally as a </w:t>
      </w:r>
      <w:r>
        <w:rPr>
          <w:rStyle w:val="Text0"/>
        </w:rPr>
        <w:t>normal user</w:t>
      </w:r>
      <w:r>
        <w:t xml:space="preserve"> to their own set of QEMU and KVM</w:t>
      </w:r>
    </w:p>
    <w:p>
      <w:pPr>
        <w:pStyle w:val="Para 02"/>
      </w:pPr>
      <w:r>
        <w:t>domains</w:t>
      </w:r>
    </w:p>
    <w:p>
      <w:pPr>
        <w:pStyle w:val="Normal"/>
      </w:pPr>
      <w:r>
        <w:t xml:space="preserve">The </w:t>
      </w:r>
      <w:r>
        <w:rPr>
          <w:rStyle w:val="Text3"/>
        </w:rPr>
        <w:t>default</w:t>
      </w:r>
      <w:r>
        <w:t xml:space="preserve"> is qemu:///system, which is the behavior most users expect. However, qemu:/// session has some benefits (and drawbacks) to consider.</w:t>
      </w:r>
    </w:p>
    <w:p>
      <w:pPr>
        <w:pStyle w:val="Normal"/>
      </w:pPr>
      <w:r>
        <w:t>qemu:///session is per user and can – on a multi-user system – separate users. Most impor-tantly, processes run under the permissions of the user, which means no permission struggle on the downloaded image in your $HOME or the attached USB stick.</w:t>
      </w:r>
    </w:p>
    <w:p>
      <w:pPr>
        <w:pStyle w:val="Normal"/>
      </w:pPr>
      <w:r>
        <w:t>On the other hand, it cannot access system resources well, which includes network setup that</w:t>
      </w:r>
    </w:p>
    <w:p>
      <w:pPr>
        <w:pStyle w:val="Normal"/>
      </w:pPr>
      <w:r>
        <w:t xml:space="preserve">is difficult with </w:t>
      </w:r>
      <w:hyperlink w:anchor="page_567">
        <w:r>
          <w:rPr>
            <w:rStyle w:val="Text9"/>
          </w:rPr>
          <w:t>570</w:t>
        </w:r>
      </w:hyperlink>
      <w:r>
        <w:t xml:space="preserve"> qemu:///session . It falls back to </w:t>
      </w:r>
      <w:hyperlink r:id="rId1497">
        <w:r>
          <w:rPr>
            <w:rStyle w:val="Text1"/>
          </w:rPr>
          <w:t>SLiRP networking</w:t>
        </w:r>
      </w:hyperlink>
      <w:r>
        <w:t>, which is functional but slow and prevents the VM from being reached from other systems.</w:t>
      </w:r>
    </w:p>
    <w:p>
      <w:pPr>
        <w:pStyle w:val="Normal"/>
      </w:pPr>
      <w:r>
        <w:t>qemu:///system is different in that the global system-wide libvirt runs it and can arbitrate resources as needed. However, you might need to mv and/or chown files to the right places and change permissions to make them usable.</w:t>
      </w:r>
    </w:p>
    <w:p>
      <w:pPr>
        <w:pStyle w:val="Normal"/>
      </w:pPr>
      <w:r>
        <w:t>Applications will usually decide on their primary use-case. Desktop-centric applications often choose qemu:///session while most solutions that involve an administrator anyway continue to default to qemu:///system.</w:t>
      </w:r>
    </w:p>
    <w:p>
      <w:pPr>
        <w:pStyle w:val="Para 17"/>
      </w:pPr>
      <w:r>
        <w:t/>
      </w:r>
    </w:p>
    <w:p>
      <w:pPr>
        <w:pStyle w:val="Para 08"/>
      </w:pPr>
      <w:r>
        <w:rPr>
          <w:rStyle w:val="Text0"/>
        </w:rPr>
        <w:t xml:space="preserve">µ </w:t>
      </w:r>
      <w:r>
        <w:t>See also</w:t>
      </w:r>
    </w:p>
    <w:p>
      <w:pPr>
        <w:pStyle w:val="Para 03"/>
      </w:pPr>
      <w:r>
        <w:t xml:space="preserve">There is more information about this topic in the </w:t>
      </w:r>
      <w:hyperlink w:anchor="page_567">
        <w:r>
          <w:rPr>
            <w:rStyle w:val="Text9"/>
          </w:rPr>
          <w:t>571</w:t>
        </w:r>
      </w:hyperlink>
      <w:hyperlink w:anchor="page_567">
        <w:r>
          <w:rPr>
            <w:rStyle w:val="Text1"/>
          </w:rPr>
          <w:t xml:space="preserve"> </w:t>
        </w:r>
      </w:hyperlink>
      <w:hyperlink w:anchor="page_567">
        <w:r>
          <w:rPr>
            <w:rStyle w:val="Text9"/>
          </w:rPr>
          <w:t>572</w:t>
        </w:r>
      </w:hyperlink>
      <w:r>
        <w:t xml:space="preserve"> </w:t>
      </w:r>
      <w:hyperlink r:id="rId1503">
        <w:r>
          <w:rPr>
            <w:rStyle w:val="Text1"/>
          </w:rPr>
          <w:t>libvirt FAQ</w:t>
        </w:r>
      </w:hyperlink>
      <w:r>
        <w:t xml:space="preserve"> and this </w:t>
      </w:r>
      <w:hyperlink r:id="rId1504">
        <w:r>
          <w:rPr>
            <w:rStyle w:val="Text1"/>
          </w:rPr>
          <w:t>blog post</w:t>
        </w:r>
      </w:hyperlink>
      <w:r>
        <w:t xml:space="preserve"> about</w:t>
      </w:r>
    </w:p>
    <w:p>
      <w:pPr>
        <w:pStyle w:val="Para 03"/>
      </w:pPr>
      <w:r>
        <w:t>the topic.</w:t>
      </w:r>
    </w:p>
    <w:p>
      <w:pPr>
        <w:pStyle w:val="Para 05"/>
      </w:pPr>
      <w:r>
        <w:rPr>
          <w:rStyle w:val="Text5"/>
        </w:rPr>
        <w:t>570</w:t>
      </w:r>
      <w:r>
        <w:rPr>
          <w:rStyle w:val="Text8"/>
        </w:rPr>
        <w:t xml:space="preserve"> </w:t>
      </w:r>
      <w:r>
        <w:t>https://en.wikipedia.org/wiki/Slirp</w:t>
      </w:r>
    </w:p>
    <w:p>
      <w:pPr>
        <w:pStyle w:val="Para 05"/>
      </w:pPr>
      <w:r>
        <w:rPr>
          <w:rStyle w:val="Text5"/>
        </w:rPr>
        <w:t>571</w:t>
      </w:r>
      <w:r>
        <w:rPr>
          <w:rStyle w:val="Text8"/>
        </w:rPr>
        <w:t xml:space="preserve"> </w:t>
      </w:r>
      <w:r>
        <w:t>https://wiki.libvirt.org/FAQ.html#what-is-the-difference-between-qemu-system-and-qemu-session-which-one-should-i-use</w:t>
      </w:r>
    </w:p>
    <w:p>
      <w:pPr>
        <w:pStyle w:val="Para 05"/>
      </w:pPr>
      <w:r>
        <w:rPr>
          <w:rStyle w:val="Text5"/>
        </w:rPr>
        <w:t>572</w:t>
      </w:r>
      <w:r>
        <w:rPr>
          <w:rStyle w:val="Text8"/>
        </w:rPr>
        <w:t xml:space="preserve"> </w:t>
      </w:r>
      <w:r>
        <w:t>https://blog.wikichoon.com/2016/01/qemusystem-vs-qemusession.html</w:t>
      </w:r>
    </w:p>
    <w:p>
      <w:bookmarkStart w:id="860" w:name="page_5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7" name="index-568_1.png" descr="index-568_1.png"/>
            <wp:cNvGraphicFramePr>
              <a:graphicFrameLocks noChangeAspect="1"/>
            </wp:cNvGraphicFramePr>
            <a:graphic>
              <a:graphicData uri="http://schemas.openxmlformats.org/drawingml/2006/picture">
                <pic:pic>
                  <pic:nvPicPr>
                    <pic:cNvPr id="0" name="index-568_1.png" descr="index-568_1.png"/>
                    <pic:cNvPicPr/>
                  </pic:nvPicPr>
                  <pic:blipFill>
                    <a:blip r:embed="rId581"/>
                    <a:stretch>
                      <a:fillRect/>
                    </a:stretch>
                  </pic:blipFill>
                  <pic:spPr>
                    <a:xfrm>
                      <a:off x="0" y="0"/>
                      <a:ext cx="914400" cy="266700"/>
                    </a:xfrm>
                    <a:prstGeom prst="rect">
                      <a:avLst/>
                    </a:prstGeom>
                  </pic:spPr>
                </pic:pic>
              </a:graphicData>
            </a:graphic>
          </wp:anchor>
        </w:drawing>
      </w:r>
      <w:bookmarkEnd w:id="860"/>
    </w:p>
    <w:p>
      <w:pPr>
        <w:pStyle w:val="Para 01"/>
      </w:pPr>
      <w:r>
        <w:t>Migration</w:t>
      </w:r>
    </w:p>
    <w:p>
      <w:pPr>
        <w:pStyle w:val="Para 17"/>
      </w:pPr>
      <w:r>
        <w:t/>
      </w:r>
    </w:p>
    <w:p>
      <w:pPr>
        <w:pStyle w:val="Normal"/>
      </w:pPr>
      <w:r>
        <w:t>Different types of migration are available depending on the versions of libvirt and the hyper-visor being used. In general those types are:</w:t>
      </w:r>
    </w:p>
    <w:p>
      <w:pPr>
        <w:pStyle w:val="Para 13"/>
      </w:pPr>
      <w:r>
        <w:rPr>
          <w:rStyle w:val="Text7"/>
        </w:rPr>
        <w:t xml:space="preserve">• </w:t>
      </w:r>
      <w:hyperlink r:id="rId1505">
        <w:r>
          <w:rPr>
            <w:rStyle w:val="Text10"/>
          </w:rPr>
          <w:t>573</w:t>
        </w:r>
      </w:hyperlink>
      <w:hyperlink r:id="rId1505">
        <w:r>
          <w:t xml:space="preserve"> Offline migration</w:t>
        </w:r>
      </w:hyperlink>
    </w:p>
    <w:p>
      <w:pPr>
        <w:pStyle w:val="Para 13"/>
      </w:pPr>
      <w:r>
        <w:rPr>
          <w:rStyle w:val="Text7"/>
        </w:rPr>
        <w:t xml:space="preserve">• </w:t>
      </w:r>
      <w:hyperlink r:id="rId1506">
        <w:r>
          <w:rPr>
            <w:rStyle w:val="Text10"/>
          </w:rPr>
          <w:t>574</w:t>
        </w:r>
      </w:hyperlink>
      <w:hyperlink r:id="rId1506">
        <w:r>
          <w:t xml:space="preserve"> Live migration</w:t>
        </w:r>
      </w:hyperlink>
    </w:p>
    <w:p>
      <w:pPr>
        <w:pStyle w:val="Para 13"/>
      </w:pPr>
      <w:r>
        <w:rPr>
          <w:rStyle w:val="Text7"/>
        </w:rPr>
        <w:t xml:space="preserve">• </w:t>
      </w:r>
      <w:hyperlink r:id="rId1507">
        <w:r>
          <w:rPr>
            <w:rStyle w:val="Text10"/>
          </w:rPr>
          <w:t>575</w:t>
        </w:r>
      </w:hyperlink>
      <w:hyperlink r:id="rId1507">
        <w:r>
          <w:t xml:space="preserve"> Postcopy migration</w:t>
        </w:r>
      </w:hyperlink>
    </w:p>
    <w:p>
      <w:pPr>
        <w:pStyle w:val="Normal"/>
      </w:pPr>
      <w:r>
        <w:t>Various options exist for these methods, but the entry point for all of them is virsh migrate. Read the integrated help for more detail.</w:t>
      </w:r>
    </w:p>
    <w:p>
      <w:pPr>
        <w:pStyle w:val="Normal"/>
      </w:pPr>
      <w:r>
        <w:t>virsh migrate --help</w:t>
      </w:r>
    </w:p>
    <w:p>
      <w:pPr>
        <w:pStyle w:val="Para 17"/>
      </w:pPr>
      <w:r>
        <w:t/>
      </w:r>
    </w:p>
    <w:p>
      <w:pPr>
        <w:pStyle w:val="Normal"/>
      </w:pPr>
      <w:r>
        <w:t xml:space="preserve">For constraints and considerations of live migration, see the </w:t>
      </w:r>
      <w:hyperlink r:id="rId1508">
        <w:r>
          <w:rPr>
            <w:rStyle w:val="Text1"/>
          </w:rPr>
          <w:t>Ubuntu Wiki documentation on</w:t>
        </w:r>
      </w:hyperlink>
    </w:p>
    <w:p>
      <w:pPr>
        <w:pStyle w:val="Para 18"/>
      </w:pPr>
      <w:hyperlink r:id="rId1508">
        <w:r>
          <w:t>KVM migration</w:t>
        </w:r>
      </w:hyperlink>
      <w:hyperlink r:id="rId1508">
        <w:r>
          <w:rPr>
            <w:rStyle w:val="Text10"/>
          </w:rPr>
          <w:t>576</w:t>
        </w:r>
      </w:hyperlink>
      <w:r>
        <w:rPr>
          <w:rStyle w:val="Text7"/>
        </w:rPr>
        <w:t>.</w:t>
      </w:r>
    </w:p>
    <w:p>
      <w:pPr>
        <w:pStyle w:val="Para 17"/>
      </w:pPr>
      <w:r>
        <w:t/>
      </w:r>
    </w:p>
    <w:p>
      <w:pPr>
        <w:pStyle w:val="Para 01"/>
      </w:pPr>
      <w:r>
        <w:t>CPU model and topology</w:t>
      </w:r>
    </w:p>
    <w:p>
      <w:pPr>
        <w:pStyle w:val="Para 17"/>
      </w:pPr>
      <w:r>
        <w:t/>
      </w:r>
    </w:p>
    <w:p>
      <w:pPr>
        <w:pStyle w:val="Normal"/>
      </w:pPr>
      <w:r>
        <w:t>libvirt abstracts CPU configuration and provides several options to specify the VM CPU model in the domain definition:</w:t>
      </w:r>
    </w:p>
    <w:p>
      <w:pPr>
        <w:pStyle w:val="Para 04"/>
      </w:pPr>
      <w:r>
        <w:t>• custom</w:t>
      </w:r>
    </w:p>
    <w:p>
      <w:pPr>
        <w:pStyle w:val="Para 04"/>
      </w:pPr>
      <w:r>
        <w:t>• host-model</w:t>
      </w:r>
    </w:p>
    <w:p>
      <w:pPr>
        <w:pStyle w:val="Para 04"/>
      </w:pPr>
      <w:r>
        <w:t>• host-passthrough</w:t>
      </w:r>
    </w:p>
    <w:p>
      <w:pPr>
        <w:pStyle w:val="Para 04"/>
      </w:pPr>
      <w:r>
        <w:t>• maximum</w:t>
      </w:r>
    </w:p>
    <w:p>
      <w:pPr>
        <w:pStyle w:val="Normal"/>
      </w:pPr>
      <w:r>
        <w:t>While most of these modes are straightforward, the behavior of host-model is more subtle and the source of many common misunderstandings. There is no direct translation of host-model into a single QEMU-cpu argument. Instead, libvirt selects a baseline CPU model and appends a list of features:</w:t>
      </w:r>
    </w:p>
    <w:p>
      <w:pPr>
        <w:pStyle w:val="Normal"/>
      </w:pPr>
      <w:r>
        <w:rPr>
          <w:rStyle w:val="Text3"/>
        </w:rPr>
        <w:t># example snippet from qemu command line generated by libvirt</w:t>
      </w:r>
      <w:r>
        <w:t xml:space="preserve"> </w:t>
        <w:t>... -cpu Haswell-noTSX-IBRS,vmx</w:t>
        <w:t>=</w:t>
        <w:t>on,pdcm</w:t>
        <w:t>=</w:t>
        <w:t>off,...,vmx-entry-load-efer</w:t>
        <w:t>=</w:t>
        <w:t>on,vmx-eptp-</w:t>
        <w:t>switching</w:t>
        <w:t>=</w:t>
        <w:t>on ...</w:t>
      </w:r>
    </w:p>
    <w:p>
      <w:pPr>
        <w:pStyle w:val="Para 17"/>
      </w:pPr>
      <w:r>
        <w:t/>
      </w:r>
    </w:p>
    <w:p>
      <w:pPr>
        <w:pStyle w:val="Normal"/>
      </w:pPr>
      <w:r>
        <w:t>Because libvirt cannot include every known CPU model and variant, it chooses the model that shares the largest set of features with the host’s physical CPU and then lists the remaining features explicitly. In many cases, libvirt therefore cannot detect the exact host CPU model. At first this may seem like a flaw, but in practice, knowing the exact model is not necessary.</w:t>
      </w:r>
    </w:p>
    <w:p>
      <w:pPr>
        <w:pStyle w:val="Normal"/>
      </w:pPr>
      <w:r>
        <w:t xml:space="preserve">For example, running virsh capabilities on a host with an Intel </w:t>
      </w:r>
      <w:r>
        <w:rPr>
          <w:rStyle w:val="Text0"/>
        </w:rPr>
        <w:t>Broadwell CPU</w:t>
      </w:r>
      <w:r>
        <w:t xml:space="preserve"> may produce the following output, where libvirt uses </w:t>
      </w:r>
      <w:r>
        <w:rPr>
          <w:rStyle w:val="Text0"/>
        </w:rPr>
        <w:t>Haswell-noTSX-IBRS</w:t>
      </w:r>
      <w:r>
        <w:t xml:space="preserve"> as the baseline:</w:t>
      </w:r>
    </w:p>
    <w:p>
      <w:pPr>
        <w:pStyle w:val="Para 01"/>
      </w:pPr>
      <w:r>
        <w:t>&lt;capabilities&gt;</w:t>
      </w:r>
    </w:p>
    <w:p>
      <w:pPr>
        <w:pStyle w:val="Para 08"/>
      </w:pPr>
      <w:r>
        <w:t>&lt;host&gt;</w:t>
      </w:r>
    </w:p>
    <w:p>
      <w:pPr>
        <w:pStyle w:val="Para 02"/>
      </w:pPr>
      <w:r>
        <w:rPr>
          <w:rStyle w:val="Text0"/>
        </w:rPr>
        <w:t>&lt;uuid&gt;</w:t>
      </w:r>
      <w:r>
        <w:t>30303837-3831-584d-5135-323430354a38</w:t>
      </w:r>
      <w:r>
        <w:rPr>
          <w:rStyle w:val="Text0"/>
        </w:rPr>
        <w:t>&lt;/uuid&gt;</w:t>
      </w:r>
    </w:p>
    <w:p>
      <w:pPr>
        <w:pStyle w:val="Para 09"/>
      </w:pPr>
      <w:r>
        <w:t>(continues on next page)</w:t>
      </w:r>
    </w:p>
    <w:p>
      <w:pPr>
        <w:pStyle w:val="Para 05"/>
      </w:pPr>
      <w:r>
        <w:rPr>
          <w:rStyle w:val="Text5"/>
        </w:rPr>
        <w:t>573</w:t>
      </w:r>
      <w:r>
        <w:rPr>
          <w:rStyle w:val="Text8"/>
        </w:rPr>
        <w:t xml:space="preserve"> </w:t>
      </w:r>
      <w:r>
        <w:t>https://libvirt.org/migration.html#offline-migration</w:t>
      </w:r>
    </w:p>
    <w:p>
      <w:pPr>
        <w:pStyle w:val="Para 05"/>
      </w:pPr>
      <w:r>
        <w:rPr>
          <w:rStyle w:val="Text5"/>
        </w:rPr>
        <w:t>574</w:t>
      </w:r>
      <w:r>
        <w:rPr>
          <w:rStyle w:val="Text8"/>
        </w:rPr>
        <w:t xml:space="preserve"> </w:t>
      </w:r>
      <w:r>
        <w:t>https://libvirt.org/migration.html</w:t>
      </w:r>
    </w:p>
    <w:p>
      <w:pPr>
        <w:pStyle w:val="Para 05"/>
      </w:pPr>
      <w:r>
        <w:rPr>
          <w:rStyle w:val="Text5"/>
        </w:rPr>
        <w:t>575</w:t>
      </w:r>
      <w:r>
        <w:rPr>
          <w:rStyle w:val="Text8"/>
        </w:rPr>
        <w:t xml:space="preserve"> </w:t>
      </w:r>
      <w:r>
        <w:t>https://wiki.qemu.org/Features/PostCopyLiveMigration</w:t>
      </w:r>
    </w:p>
    <w:p>
      <w:pPr>
        <w:pStyle w:val="Para 05"/>
      </w:pPr>
      <w:r>
        <w:rPr>
          <w:rStyle w:val="Text5"/>
        </w:rPr>
        <w:t>576</w:t>
      </w:r>
      <w:r>
        <w:rPr>
          <w:rStyle w:val="Text8"/>
        </w:rPr>
        <w:t xml:space="preserve"> </w:t>
      </w:r>
      <w:r>
        <w:t>https://wiki.ubuntu.com/QemuKVMMigration</w:t>
      </w:r>
    </w:p>
    <w:p>
      <w:bookmarkStart w:id="861" w:name="page_5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8" name="index-569_1.png" descr="index-569_1.png"/>
            <wp:cNvGraphicFramePr>
              <a:graphicFrameLocks noChangeAspect="1"/>
            </wp:cNvGraphicFramePr>
            <a:graphic>
              <a:graphicData uri="http://schemas.openxmlformats.org/drawingml/2006/picture">
                <pic:pic>
                  <pic:nvPicPr>
                    <pic:cNvPr id="0" name="index-569_1.png" descr="index-569_1.png"/>
                    <pic:cNvPicPr/>
                  </pic:nvPicPr>
                  <pic:blipFill>
                    <a:blip r:embed="rId582"/>
                    <a:stretch>
                      <a:fillRect/>
                    </a:stretch>
                  </pic:blipFill>
                  <pic:spPr>
                    <a:xfrm>
                      <a:off x="0" y="0"/>
                      <a:ext cx="914400" cy="266700"/>
                    </a:xfrm>
                    <a:prstGeom prst="rect">
                      <a:avLst/>
                    </a:prstGeom>
                  </pic:spPr>
                </pic:pic>
              </a:graphicData>
            </a:graphic>
          </wp:anchor>
        </w:drawing>
      </w:r>
      <w:bookmarkEnd w:id="861"/>
    </w:p>
    <w:p>
      <w:pPr>
        <w:pStyle w:val="Para 09"/>
      </w:pPr>
      <w:r>
        <w:t>(continued from previous page)</w:t>
      </w:r>
    </w:p>
    <w:p>
      <w:pPr>
        <w:pStyle w:val="Para 39"/>
      </w:pPr>
      <w:r>
        <w:t>&lt;cpu&gt;</w:t>
      </w:r>
    </w:p>
    <w:p>
      <w:pPr>
        <w:pStyle w:val="Para 23"/>
      </w:pPr>
      <w:r>
        <w:t>&lt;arch&gt;</w:t>
      </w:r>
      <w:r>
        <w:rPr>
          <w:rStyle w:val="Text0"/>
        </w:rPr>
        <w:t>x86_64</w:t>
      </w:r>
      <w:r>
        <w:t>&lt;/arch&gt;</w:t>
      </w:r>
    </w:p>
    <w:p>
      <w:pPr>
        <w:pStyle w:val="Para 06"/>
      </w:pPr>
      <w:r>
        <w:rPr>
          <w:rStyle w:val="Text0"/>
        </w:rPr>
        <w:t>&lt;model&gt;</w:t>
      </w:r>
      <w:r>
        <w:t>Haswell-noTSX-IBRS</w:t>
      </w:r>
      <w:r>
        <w:rPr>
          <w:rStyle w:val="Text0"/>
        </w:rPr>
        <w:t>&lt;/model&gt;</w:t>
      </w:r>
    </w:p>
    <w:p>
      <w:pPr>
        <w:pStyle w:val="Para 23"/>
      </w:pPr>
      <w:r>
        <w:t>&lt;vendor&gt;</w:t>
      </w:r>
      <w:r>
        <w:rPr>
          <w:rStyle w:val="Text0"/>
        </w:rPr>
        <w:t>Intel</w:t>
      </w:r>
      <w:r>
        <w:t>&lt;/vendor&gt;</w:t>
      </w:r>
    </w:p>
    <w:p>
      <w:pPr>
        <w:pStyle w:val="Para 06"/>
      </w:pPr>
      <w:r>
        <w:rPr>
          <w:rStyle w:val="Text0"/>
        </w:rPr>
        <w:t>&lt;microcode</w:t>
      </w:r>
      <w:r>
        <w:t xml:space="preserve"> </w:t>
        <w:t>version='73'</w:t>
      </w:r>
      <w:r>
        <w:rPr>
          <w:rStyle w:val="Text0"/>
        </w:rPr>
        <w:t>/&gt;</w:t>
      </w:r>
    </w:p>
    <w:p>
      <w:pPr>
        <w:pStyle w:val="Para 06"/>
      </w:pPr>
      <w:r>
        <w:rPr>
          <w:rStyle w:val="Text0"/>
        </w:rPr>
        <w:t>&lt;signature</w:t>
      </w:r>
      <w:r>
        <w:t xml:space="preserve"> </w:t>
        <w:t>family='6' model='63' stepping='2'</w:t>
      </w:r>
      <w:r>
        <w:rPr>
          <w:rStyle w:val="Text0"/>
        </w:rPr>
        <w:t>/&gt;</w:t>
      </w:r>
      <w:r>
        <w:t xml:space="preserve"> </w:t>
      </w:r>
      <w:r>
        <w:rPr>
          <w:rStyle w:val="Text0"/>
        </w:rPr>
        <w:t>&lt;counter</w:t>
      </w:r>
      <w:r>
        <w:t xml:space="preserve"> </w:t>
        <w:t>name='tsc' frequency='2397195000' scaling='no'</w:t>
      </w:r>
      <w:r>
        <w:rPr>
          <w:rStyle w:val="Text0"/>
        </w:rPr>
        <w:t>/&gt;</w:t>
      </w:r>
      <w:r>
        <w:t xml:space="preserve"> </w:t>
      </w:r>
      <w:r>
        <w:rPr>
          <w:rStyle w:val="Text0"/>
        </w:rPr>
        <w:t>&lt;topology</w:t>
      </w:r>
      <w:r>
        <w:t xml:space="preserve"> </w:t>
        <w:t>sockets='1' dies='1' cores='6' threads='2'</w:t>
      </w:r>
      <w:r>
        <w:rPr>
          <w:rStyle w:val="Text0"/>
        </w:rPr>
        <w:t>/&gt;</w:t>
      </w:r>
      <w:r>
        <w:t xml:space="preserve"> </w:t>
      </w:r>
      <w:r>
        <w:rPr>
          <w:rStyle w:val="Text0"/>
        </w:rPr>
        <w:t>&lt;maxphysaddr</w:t>
      </w:r>
      <w:r>
        <w:t xml:space="preserve"> </w:t>
        <w:t>mode='emulate' bits='46'</w:t>
      </w:r>
      <w:r>
        <w:rPr>
          <w:rStyle w:val="Text0"/>
        </w:rPr>
        <w:t>/&gt;</w:t>
      </w:r>
      <w:r>
        <w:t xml:space="preserve"> </w:t>
      </w:r>
      <w:r>
        <w:rPr>
          <w:rStyle w:val="Text0"/>
        </w:rPr>
        <w:t>&lt;feature</w:t>
      </w:r>
      <w:r>
        <w:t xml:space="preserve"> </w:t>
        <w:t>name='vme'</w:t>
      </w:r>
      <w:r>
        <w:rPr>
          <w:rStyle w:val="Text0"/>
        </w:rPr>
        <w:t>/&gt;</w:t>
      </w:r>
    </w:p>
    <w:p>
      <w:pPr>
        <w:pStyle w:val="Para 23"/>
      </w:pPr>
      <w:r>
        <w:t>&lt;feature</w:t>
      </w:r>
      <w:r>
        <w:rPr>
          <w:rStyle w:val="Text0"/>
        </w:rPr>
        <w:t xml:space="preserve"> </w:t>
        <w:t>name='ds'</w:t>
      </w:r>
      <w:r>
        <w:t>/&gt;</w:t>
      </w:r>
    </w:p>
    <w:p>
      <w:pPr>
        <w:pStyle w:val="Para 06"/>
      </w:pPr>
      <w:r>
        <w:rPr>
          <w:rStyle w:val="Text0"/>
        </w:rPr>
        <w:t>&lt;feature</w:t>
      </w:r>
      <w:r>
        <w:t xml:space="preserve"> </w:t>
        <w:t>name='acpi'</w:t>
      </w:r>
      <w:r>
        <w:rPr>
          <w:rStyle w:val="Text0"/>
        </w:rPr>
        <w:t>/&gt;</w:t>
      </w:r>
    </w:p>
    <w:p>
      <w:pPr>
        <w:pStyle w:val="Para 23"/>
      </w:pPr>
      <w:r>
        <w:t>&lt;feature</w:t>
      </w:r>
      <w:r>
        <w:rPr>
          <w:rStyle w:val="Text0"/>
        </w:rPr>
        <w:t xml:space="preserve"> </w:t>
        <w:t>name='ss'</w:t>
      </w:r>
      <w:r>
        <w:t>/&gt;</w:t>
      </w:r>
    </w:p>
    <w:p>
      <w:pPr>
        <w:pStyle w:val="Para 17"/>
      </w:pPr>
      <w:r>
        <w:t/>
      </w:r>
    </w:p>
    <w:p>
      <w:pPr>
        <w:pStyle w:val="Normal"/>
      </w:pPr>
      <w:r>
        <w:t>This mismatch between the baseline model reported by libvirt and the actual physical CPU model is not a bug and you can safely ignore it.</w:t>
      </w:r>
    </w:p>
    <w:p>
      <w:pPr>
        <w:pStyle w:val="Para 18"/>
      </w:pPr>
      <w:r>
        <w:rPr>
          <w:rStyle w:val="Text7"/>
        </w:rPr>
        <w:t xml:space="preserve">For more details, refer to the </w:t>
      </w:r>
      <w:hyperlink r:id="rId1509">
        <w:r>
          <w:rPr>
            <w:rStyle w:val="Text10"/>
          </w:rPr>
          <w:t>577</w:t>
        </w:r>
      </w:hyperlink>
      <w:hyperlink r:id="rId1509">
        <w:r>
          <w:t xml:space="preserve"> upstream CPU model and features documentation</w:t>
        </w:r>
      </w:hyperlink>
      <w:r>
        <w:rPr>
          <w:rStyle w:val="Text7"/>
        </w:rPr>
        <w:t>.</w:t>
      </w:r>
    </w:p>
    <w:p>
      <w:pPr>
        <w:pStyle w:val="Para 17"/>
      </w:pPr>
      <w:r>
        <w:t/>
      </w:r>
    </w:p>
    <w:p>
      <w:pPr>
        <w:pStyle w:val="Para 01"/>
      </w:pPr>
      <w:r>
        <w:t>Host CPU capabilities</w:t>
      </w:r>
    </w:p>
    <w:p>
      <w:pPr>
        <w:pStyle w:val="Para 17"/>
      </w:pPr>
      <w:r>
        <w:t/>
      </w:r>
    </w:p>
    <w:p>
      <w:pPr>
        <w:pStyle w:val="Para 01"/>
      </w:pPr>
      <w:r>
        <w:t>Device passthrough/hotplug</w:t>
      </w:r>
    </w:p>
    <w:p>
      <w:pPr>
        <w:pStyle w:val="Para 17"/>
      </w:pPr>
      <w:r>
        <w:t/>
      </w:r>
    </w:p>
    <w:p>
      <w:pPr>
        <w:pStyle w:val="Normal"/>
      </w:pPr>
      <w:r>
        <w:t xml:space="preserve">To pass through a device rather than using the hotplugging method described here, add the XML content of the device to your static guest XML representation via virsh edit &lt;guestname&gt;. In that case, you won’t need to use </w:t>
      </w:r>
      <w:r>
        <w:rPr>
          <w:rStyle w:val="Text3"/>
        </w:rPr>
        <w:t>attach/detach</w:t>
      </w:r>
      <w:r>
        <w:t>. Different kinds of passthrough exist, and the types available to you depend on your hardware and software setup.</w:t>
      </w:r>
    </w:p>
    <w:p>
      <w:pPr>
        <w:pStyle w:val="Para 04"/>
      </w:pPr>
      <w:r>
        <w:t xml:space="preserve">• USB </w:t>
      </w:r>
      <w:hyperlink w:anchor="page_688">
        <w:r>
          <w:rPr>
            <w:rStyle w:val="Text2"/>
          </w:rPr>
          <w:t>hotplug</w:t>
        </w:r>
      </w:hyperlink>
      <w:r>
        <w:t>/passthrough</w:t>
      </w:r>
    </w:p>
    <w:p>
      <w:pPr>
        <w:pStyle w:val="Para 04"/>
      </w:pPr>
      <w:r>
        <w:t>• VF hotplug/Passthrough</w:t>
      </w:r>
    </w:p>
    <w:p>
      <w:pPr>
        <w:pStyle w:val="Normal"/>
      </w:pPr>
      <w:r>
        <w:t>Handle both kinds in a similar way. While there are various ways to do it (e.g., also via QEMU monitor), using libvirt is recommended. This way, libvirt can manage all sorts of special cases for you and also masks version differences.</w:t>
      </w:r>
    </w:p>
    <w:p>
      <w:pPr>
        <w:pStyle w:val="Normal"/>
      </w:pPr>
      <w:r>
        <w:t>In general, when driving hotplug via libvirt, you create an XML snippet that describes the</w:t>
      </w:r>
    </w:p>
    <w:p>
      <w:pPr>
        <w:pStyle w:val="Normal"/>
      </w:pPr>
      <w:r>
        <w:t xml:space="preserve">device as you would in a static </w:t>
      </w:r>
      <w:hyperlink w:anchor="page_569">
        <w:r>
          <w:rPr>
            <w:rStyle w:val="Text9"/>
          </w:rPr>
          <w:t>578</w:t>
        </w:r>
      </w:hyperlink>
      <w:r>
        <w:t xml:space="preserve"> </w:t>
      </w:r>
      <w:hyperlink r:id="rId1501">
        <w:r>
          <w:rPr>
            <w:rStyle w:val="Text1"/>
          </w:rPr>
          <w:t>guest description</w:t>
        </w:r>
      </w:hyperlink>
      <w:r>
        <w:t>. Identify a USB device by vendor/product ID:</w:t>
      </w:r>
    </w:p>
    <w:p>
      <w:pPr>
        <w:pStyle w:val="Normal"/>
      </w:pPr>
      <w:r>
        <w:rPr>
          <w:rStyle w:val="Text0"/>
        </w:rPr>
        <w:t>&lt;hostdev</w:t>
      </w:r>
      <w:r>
        <w:t xml:space="preserve"> </w:t>
        <w:t>mode='subsystem' type='usb' managed='yes'</w:t>
      </w:r>
      <w:r>
        <w:rPr>
          <w:rStyle w:val="Text0"/>
        </w:rPr>
        <w:t>&gt;</w:t>
      </w:r>
    </w:p>
    <w:p>
      <w:pPr>
        <w:pStyle w:val="Para 08"/>
      </w:pPr>
      <w:r>
        <w:t>&lt;source&gt;</w:t>
      </w:r>
    </w:p>
    <w:p>
      <w:pPr>
        <w:pStyle w:val="Para 02"/>
      </w:pPr>
      <w:r>
        <w:rPr>
          <w:rStyle w:val="Text0"/>
        </w:rPr>
        <w:t>&lt;vendor</w:t>
      </w:r>
      <w:r>
        <w:t xml:space="preserve"> </w:t>
        <w:t>id='0x0b6d'</w:t>
      </w:r>
      <w:r>
        <w:rPr>
          <w:rStyle w:val="Text0"/>
        </w:rPr>
        <w:t>/&gt;</w:t>
      </w:r>
    </w:p>
    <w:p>
      <w:pPr>
        <w:pStyle w:val="Para 02"/>
      </w:pPr>
      <w:r>
        <w:rPr>
          <w:rStyle w:val="Text0"/>
        </w:rPr>
        <w:t>&lt;product</w:t>
      </w:r>
      <w:r>
        <w:t xml:space="preserve"> </w:t>
        <w:t>id='0x3880'</w:t>
      </w:r>
      <w:r>
        <w:rPr>
          <w:rStyle w:val="Text0"/>
        </w:rPr>
        <w:t>/&gt;</w:t>
      </w:r>
    </w:p>
    <w:p>
      <w:pPr>
        <w:pStyle w:val="Para 08"/>
      </w:pPr>
      <w:r>
        <w:t>&lt;/source&gt;</w:t>
      </w:r>
    </w:p>
    <w:p>
      <w:pPr>
        <w:pStyle w:val="Para 01"/>
      </w:pPr>
      <w:r>
        <w:t>&lt;/hostdev&gt;</w:t>
      </w:r>
    </w:p>
    <w:p>
      <w:pPr>
        <w:pStyle w:val="Para 17"/>
      </w:pPr>
      <w:r>
        <w:t/>
      </w:r>
    </w:p>
    <w:p>
      <w:pPr>
        <w:pStyle w:val="Normal"/>
      </w:pPr>
      <w:r>
        <w:t>Assign virtual functions via their PCI ID (domain, bus, slot, and function).</w:t>
      </w:r>
    </w:p>
    <w:p>
      <w:pPr>
        <w:pStyle w:val="Para 17"/>
      </w:pPr>
      <w:r>
        <w:t/>
      </w:r>
    </w:p>
    <w:p>
      <w:pPr>
        <w:pStyle w:val="Para 05"/>
      </w:pPr>
      <w:r>
        <w:rPr>
          <w:rStyle w:val="Text5"/>
        </w:rPr>
        <w:t>577</w:t>
      </w:r>
      <w:r>
        <w:rPr>
          <w:rStyle w:val="Text8"/>
        </w:rPr>
        <w:t xml:space="preserve"> </w:t>
      </w:r>
      <w:r>
        <w:t>https://libvirt.org/formatcaps.html#host-cpu-model-and-features</w:t>
      </w:r>
    </w:p>
    <w:p>
      <w:pPr>
        <w:pStyle w:val="Para 03"/>
      </w:pPr>
      <w:r>
        <w:rPr>
          <w:rStyle w:val="Text5"/>
        </w:rPr>
        <w:t>578</w:t>
      </w:r>
      <w:r>
        <w:t xml:space="preserve"> </w:t>
      </w:r>
      <w:r>
        <w:rPr>
          <w:rStyle w:val="Text6"/>
        </w:rPr>
        <w:t>https://libvirt.org/formatdomain.html</w:t>
      </w:r>
      <w:r>
        <w:t xml:space="preserve"> </w:t>
      </w:r>
      <w:r>
        <w:rPr>
          <w:rStyle w:val="Text0"/>
        </w:rPr>
        <w:t>&lt;hostdev</w:t>
      </w:r>
      <w:r>
        <w:t xml:space="preserve"> </w:t>
        <w:t>mode='subsystem' type='pci' managed='yes'</w:t>
      </w:r>
      <w:r>
        <w:rPr>
          <w:rStyle w:val="Text0"/>
        </w:rPr>
        <w:t>&gt;</w:t>
      </w:r>
    </w:p>
    <w:p>
      <w:bookmarkStart w:id="862" w:name="page_5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79" name="index-570_1.png" descr="index-570_1.png"/>
            <wp:cNvGraphicFramePr>
              <a:graphicFrameLocks noChangeAspect="1"/>
            </wp:cNvGraphicFramePr>
            <a:graphic>
              <a:graphicData uri="http://schemas.openxmlformats.org/drawingml/2006/picture">
                <pic:pic>
                  <pic:nvPicPr>
                    <pic:cNvPr id="0" name="index-570_1.png" descr="index-570_1.png"/>
                    <pic:cNvPicPr/>
                  </pic:nvPicPr>
                  <pic:blipFill>
                    <a:blip r:embed="rId583"/>
                    <a:stretch>
                      <a:fillRect/>
                    </a:stretch>
                  </pic:blipFill>
                  <pic:spPr>
                    <a:xfrm>
                      <a:off x="0" y="0"/>
                      <a:ext cx="914400" cy="266700"/>
                    </a:xfrm>
                    <a:prstGeom prst="rect">
                      <a:avLst/>
                    </a:prstGeom>
                  </pic:spPr>
                </pic:pic>
              </a:graphicData>
            </a:graphic>
          </wp:anchor>
        </w:drawing>
      </w:r>
      <w:bookmarkEnd w:id="862"/>
    </w:p>
    <w:p>
      <w:pPr>
        <w:pStyle w:val="Para 08"/>
      </w:pPr>
      <w:r>
        <w:t>&lt;source&gt;</w:t>
      </w:r>
    </w:p>
    <w:p>
      <w:pPr>
        <w:pStyle w:val="Para 02"/>
      </w:pPr>
      <w:r>
        <w:rPr>
          <w:rStyle w:val="Text0"/>
        </w:rPr>
        <w:t>&lt;address</w:t>
      </w:r>
      <w:r>
        <w:t xml:space="preserve"> </w:t>
        <w:t>domain='0x0000' bus='0x04' slot='0x10' function='0x0'</w:t>
      </w:r>
      <w:r>
        <w:rPr>
          <w:rStyle w:val="Text0"/>
        </w:rPr>
        <w:t>/&gt;</w:t>
      </w:r>
    </w:p>
    <w:p>
      <w:pPr>
        <w:pStyle w:val="Para 08"/>
      </w:pPr>
      <w:r>
        <w:t>&lt;/source&gt;</w:t>
      </w:r>
    </w:p>
    <w:p>
      <w:pPr>
        <w:pStyle w:val="Para 01"/>
      </w:pPr>
      <w:r>
        <w:t>&lt;/hostdev&gt;</w:t>
      </w:r>
    </w:p>
    <w:p>
      <w:pPr>
        <w:pStyle w:val="Para 17"/>
      </w:pPr>
      <w:r>
        <w:t/>
      </w:r>
    </w:p>
    <w:p>
      <w:pPr>
        <w:pStyle w:val="Para 08"/>
      </w:pPr>
      <w:r>
        <w:t>Note:</w:t>
      </w:r>
    </w:p>
    <w:p>
      <w:pPr>
        <w:pStyle w:val="Para 03"/>
      </w:pPr>
      <w:r>
        <w:t>Getting the virtual function is device-dependent and cannot be fully covered here. In gen-</w:t>
      </w:r>
    </w:p>
    <w:p>
      <w:pPr>
        <w:pStyle w:val="Para 03"/>
      </w:pPr>
      <w:r>
        <w:t xml:space="preserve">eral, it involves setting up an </w:t>
      </w:r>
      <w:hyperlink w:anchor="page_570">
        <w:r>
          <w:rPr>
            <w:rStyle w:val="Text9"/>
          </w:rPr>
          <w:t>579</w:t>
        </w:r>
      </w:hyperlink>
      <w:r>
        <w:t xml:space="preserve"> </w:t>
      </w:r>
      <w:hyperlink w:anchor="page_690">
        <w:r>
          <w:rPr>
            <w:rStyle w:val="Text2"/>
          </w:rPr>
          <w:t>IOMMU</w:t>
        </w:r>
      </w:hyperlink>
      <w:r>
        <w:t xml:space="preserve"> , registering via </w:t>
      </w:r>
      <w:hyperlink r:id="rId1510">
        <w:r>
          <w:rPr>
            <w:rStyle w:val="Text1"/>
          </w:rPr>
          <w:t>VFIO</w:t>
        </w:r>
      </w:hyperlink>
      <w:r>
        <w:t>, and sometimes requesting</w:t>
      </w:r>
    </w:p>
    <w:p>
      <w:pPr>
        <w:pStyle w:val="Para 03"/>
      </w:pPr>
      <w:r>
        <w:t>a number of VFs.</w:t>
      </w:r>
    </w:p>
    <w:p>
      <w:pPr>
        <w:pStyle w:val="Para 05"/>
      </w:pPr>
      <w:r>
        <w:rPr>
          <w:rStyle w:val="Text5"/>
        </w:rPr>
        <w:t>579</w:t>
      </w:r>
      <w:r>
        <w:rPr>
          <w:rStyle w:val="Text8"/>
        </w:rPr>
        <w:t xml:space="preserve"> </w:t>
      </w:r>
      <w:r>
        <w:t>https://www.kernel.org/doc/Documentation/vfio.txt</w:t>
      </w:r>
    </w:p>
    <w:p>
      <w:pPr>
        <w:pStyle w:val="Para 17"/>
      </w:pPr>
      <w:r>
        <w:t/>
      </w:r>
    </w:p>
    <w:p>
      <w:pPr>
        <w:pStyle w:val="Normal"/>
      </w:pPr>
      <w:r>
        <w:t xml:space="preserve">Here is an example of configuring a </w:t>
      </w:r>
      <w:hyperlink r:id="rId1511">
        <w:r>
          <w:rPr>
            <w:rStyle w:val="Text9"/>
          </w:rPr>
          <w:t>580</w:t>
        </w:r>
      </w:hyperlink>
      <w:hyperlink r:id="rId1511">
        <w:r>
          <w:rPr>
            <w:rStyle w:val="Text1"/>
          </w:rPr>
          <w:t xml:space="preserve"> ppc64el</w:t>
        </w:r>
      </w:hyperlink>
      <w:r>
        <w:t xml:space="preserve"> system to create four VFs on a device:</w:t>
      </w:r>
    </w:p>
    <w:p>
      <w:pPr>
        <w:pStyle w:val="Normal"/>
      </w:pPr>
      <w:r>
        <w:t>$ sudo modprobe vfio-pci</w:t>
      </w:r>
    </w:p>
    <w:p>
      <w:pPr>
        <w:pStyle w:val="Para 10"/>
      </w:pPr>
      <w:r>
        <w:t># identify device</w:t>
      </w:r>
    </w:p>
    <w:p>
      <w:pPr>
        <w:pStyle w:val="Normal"/>
      </w:pPr>
      <w:r>
        <w:t>$ lspci -n -s</w:t>
        <w:t xml:space="preserve"> </w:t>
        <w:t>0005</w:t>
        <w:t>:01:01.3</w:t>
      </w:r>
    </w:p>
    <w:p>
      <w:pPr>
        <w:pStyle w:val="Normal"/>
      </w:pPr>
      <w:r>
        <w:t>0005</w:t>
        <w:t>:01:01.3</w:t>
        <w:t xml:space="preserve"> </w:t>
        <w:t>0200</w:t>
        <w:t>: 10df:e228</w:t>
        <w:t xml:space="preserve"> </w:t>
        <w:t>(</w:t>
        <w:t>rev</w:t>
        <w:t xml:space="preserve"> </w:t>
        <w:t>10</w:t>
        <w:t>)</w:t>
      </w:r>
    </w:p>
    <w:p>
      <w:pPr>
        <w:pStyle w:val="Para 10"/>
      </w:pPr>
      <w:r>
        <w:t># register and request VFs</w:t>
      </w:r>
    </w:p>
    <w:p>
      <w:pPr>
        <w:pStyle w:val="Normal"/>
      </w:pPr>
      <w:r>
        <w:t>$</w:t>
        <w:t xml:space="preserve"> </w:t>
        <w:t>echo</w:t>
        <w:t xml:space="preserve"> </w:t>
        <w:t>10df e228 | sudo tee /sys/bus/pci/drivers/vfio-pci/new_id</w:t>
        <w:t xml:space="preserve"> </w:t>
        <w:t>$</w:t>
        <w:t xml:space="preserve"> </w:t>
        <w:t>echo</w:t>
        <w:t xml:space="preserve"> </w:t>
        <w:t>4</w:t>
        <w:t xml:space="preserve"> </w:t>
        <w:t>| sudo tee /sys/bus/pci/devices/0005</w:t>
      </w:r>
      <w:r>
        <w:rPr>
          <w:rStyle w:val="Text0"/>
        </w:rPr>
        <w:t>\:</w:t>
      </w:r>
      <w:r>
        <w:t>01</w:t>
      </w:r>
      <w:r>
        <w:rPr>
          <w:rStyle w:val="Text0"/>
        </w:rPr>
        <w:t>\:</w:t>
      </w:r>
      <w:r>
        <w:t>00</w:t>
        <w:t>.0/sriov_numvfs</w:t>
      </w:r>
    </w:p>
    <w:p>
      <w:pPr>
        <w:pStyle w:val="Para 17"/>
      </w:pPr>
      <w:r>
        <w:t/>
      </w:r>
    </w:p>
    <w:p>
      <w:pPr>
        <w:pStyle w:val="Normal"/>
      </w:pPr>
      <w:r>
        <w:t>You then attach or detach the device via libvirt by relating the guest with the XML snippet.</w:t>
      </w:r>
    </w:p>
    <w:p>
      <w:pPr>
        <w:pStyle w:val="Normal"/>
      </w:pPr>
      <w:r>
        <w:t>virsh attach-device &lt;guestname&gt; &lt;device-xml&gt;</w:t>
      </w:r>
    </w:p>
    <w:p>
      <w:pPr>
        <w:pStyle w:val="Para 10"/>
      </w:pPr>
      <w:r>
        <w:t># Use the Device in the Guest</w:t>
      </w:r>
    </w:p>
    <w:p>
      <w:pPr>
        <w:pStyle w:val="Normal"/>
      </w:pPr>
      <w:r>
        <w:t>virsh detach-device &lt;guestname&gt; &lt;device-xml&gt;</w:t>
      </w:r>
    </w:p>
    <w:p>
      <w:pPr>
        <w:pStyle w:val="Para 17"/>
      </w:pPr>
      <w:r>
        <w:t/>
      </w:r>
    </w:p>
    <w:p>
      <w:pPr>
        <w:pStyle w:val="Para 01"/>
      </w:pPr>
      <w:r>
        <w:t>Access QEMU Monitor via libvirt</w:t>
      </w:r>
    </w:p>
    <w:p>
      <w:pPr>
        <w:pStyle w:val="Para 17"/>
      </w:pPr>
      <w:r>
        <w:t/>
      </w:r>
    </w:p>
    <w:p>
      <w:pPr>
        <w:pStyle w:val="Normal"/>
      </w:pPr>
      <w:r>
        <w:t xml:space="preserve">The </w:t>
      </w:r>
      <w:hyperlink r:id="rId1512">
        <w:r>
          <w:rPr>
            <w:rStyle w:val="Text9"/>
          </w:rPr>
          <w:t>581</w:t>
        </w:r>
      </w:hyperlink>
      <w:hyperlink r:id="rId1512">
        <w:r>
          <w:rPr>
            <w:rStyle w:val="Text1"/>
          </w:rPr>
          <w:t xml:space="preserve"> QEMU Monitor</w:t>
        </w:r>
      </w:hyperlink>
      <w:r>
        <w:t xml:space="preserve"> is the way to interact with QEMU/KVM while a guest is running. This interface has many powerful features for experienced users. When running under libvirt, the monitor interface is bound by libvirt itself for management purposes, but you can still run QEMU monitor commands via libvirt. The general syntax is virsh qemu-monitor-command [options] [guest] 'command'.</w:t>
      </w:r>
    </w:p>
    <w:p>
      <w:pPr>
        <w:pStyle w:val="Normal"/>
      </w:pPr>
      <w:r>
        <w:t>Libvirt covers most needed use cases, but if you need to work around libvirt or tweak special options, you can, for example, add a device as follows:</w:t>
      </w:r>
    </w:p>
    <w:p>
      <w:pPr>
        <w:pStyle w:val="Normal"/>
      </w:pPr>
      <w:r>
        <w:t>virsh qemu-monitor-command --hmp focal-test-log</w:t>
        <w:t xml:space="preserve"> </w:t>
        <w:t>'drive_add 0 if=none,file=/var/lib/</w:t>
        <w:t xml:space="preserve"> </w:t>
        <w:t>libvirt/images/test.img,format=raw,id=disk1'</w:t>
      </w:r>
    </w:p>
    <w:p>
      <w:pPr>
        <w:pStyle w:val="Para 17"/>
      </w:pPr>
      <w:r>
        <w:t/>
      </w:r>
    </w:p>
    <w:p>
      <w:pPr>
        <w:pStyle w:val="Normal"/>
      </w:pPr>
      <w:r>
        <w:t>The monitor is a powerful tool, especially for debugging. For example, you can use the mon-itor to show the guest registers:</w:t>
      </w:r>
    </w:p>
    <w:p>
      <w:pPr>
        <w:pStyle w:val="Normal"/>
      </w:pPr>
      <w:r>
        <w:t>$ virsh qemu-monitor-command --hmp y-ipns</w:t>
        <w:t xml:space="preserve"> </w:t>
        <w:t>'info registers'</w:t>
      </w:r>
    </w:p>
    <w:p>
      <w:pPr>
        <w:pStyle w:val="Normal"/>
      </w:pPr>
      <w:r>
        <w:t>RAX</w:t>
        <w:t>=</w:t>
        <w:t>00ffffc000000000</w:t>
        <w:t xml:space="preserve"> </w:t>
        <w:t>RBX</w:t>
        <w:t>=</w:t>
        <w:t>ffff8f0f5d5c7e48</w:t>
        <w:t xml:space="preserve"> </w:t>
        <w:t>RCX</w:t>
        <w:t>=</w:t>
        <w:t>0000000000000000</w:t>
        <w:t xml:space="preserve"> </w:t>
        <w:t>RDX</w:t>
        <w:t>=</w:t>
        <w:t>ffffea00007571c0</w:t>
      </w:r>
    </w:p>
    <w:p>
      <w:pPr>
        <w:pStyle w:val="Para 09"/>
      </w:pPr>
      <w:r>
        <w:t>(continues on next page)</w:t>
      </w:r>
    </w:p>
    <w:p>
      <w:pPr>
        <w:pStyle w:val="Para 05"/>
      </w:pPr>
      <w:r>
        <w:rPr>
          <w:rStyle w:val="Text5"/>
        </w:rPr>
        <w:t>580</w:t>
      </w:r>
      <w:r>
        <w:rPr>
          <w:rStyle w:val="Text8"/>
        </w:rPr>
        <w:t xml:space="preserve"> </w:t>
      </w:r>
      <w:r>
        <w:t>https://wiki.debian.org/ppc64el</w:t>
      </w:r>
    </w:p>
    <w:p>
      <w:pPr>
        <w:pStyle w:val="Para 05"/>
      </w:pPr>
      <w:r>
        <w:rPr>
          <w:rStyle w:val="Text5"/>
        </w:rPr>
        <w:t>581</w:t>
      </w:r>
      <w:r>
        <w:rPr>
          <w:rStyle w:val="Text8"/>
        </w:rPr>
        <w:t xml:space="preserve"> </w:t>
      </w:r>
      <w:r>
        <w:t>https://en.wikibooks.org/wiki/QEMU/Monitor</w:t>
      </w:r>
    </w:p>
    <w:p>
      <w:bookmarkStart w:id="863" w:name="page_5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0" name="index-571_1.png" descr="index-571_1.png"/>
            <wp:cNvGraphicFramePr>
              <a:graphicFrameLocks noChangeAspect="1"/>
            </wp:cNvGraphicFramePr>
            <a:graphic>
              <a:graphicData uri="http://schemas.openxmlformats.org/drawingml/2006/picture">
                <pic:pic>
                  <pic:nvPicPr>
                    <pic:cNvPr id="0" name="index-571_1.png" descr="index-571_1.png"/>
                    <pic:cNvPicPr/>
                  </pic:nvPicPr>
                  <pic:blipFill>
                    <a:blip r:embed="rId584"/>
                    <a:stretch>
                      <a:fillRect/>
                    </a:stretch>
                  </pic:blipFill>
                  <pic:spPr>
                    <a:xfrm>
                      <a:off x="0" y="0"/>
                      <a:ext cx="914400" cy="266700"/>
                    </a:xfrm>
                    <a:prstGeom prst="rect">
                      <a:avLst/>
                    </a:prstGeom>
                  </pic:spPr>
                </pic:pic>
              </a:graphicData>
            </a:graphic>
          </wp:anchor>
        </w:drawing>
      </w:r>
      <w:bookmarkEnd w:id="863"/>
    </w:p>
    <w:p>
      <w:pPr>
        <w:pStyle w:val="Para 09"/>
      </w:pPr>
      <w:r>
        <w:t>(continued from previous page)</w:t>
      </w:r>
    </w:p>
    <w:p>
      <w:pPr>
        <w:pStyle w:val="Normal"/>
      </w:pPr>
      <w:r>
        <w:t>RSI</w:t>
        <w:t>=</w:t>
        <w:t>0000000000000000</w:t>
        <w:t xml:space="preserve"> </w:t>
        <w:t>RDI</w:t>
        <w:t>=</w:t>
        <w:t>ffff8f0fdd5c7e48</w:t>
        <w:t xml:space="preserve"> </w:t>
        <w:t>RBP</w:t>
        <w:t>=</w:t>
        <w:t>ffff8f0f5d5c7e18</w:t>
        <w:t xml:space="preserve"> </w:t>
        <w:t>RSP</w:t>
        <w:t>=</w:t>
        <w:t>ffff8f0f5d5c7df8</w:t>
        <w:t xml:space="preserve"> </w:t>
        <w:t>[</w:t>
        <w:t>...</w:t>
        <w:t>]</w:t>
      </w:r>
    </w:p>
    <w:p>
      <w:pPr>
        <w:pStyle w:val="Para 17"/>
      </w:pPr>
      <w:r>
        <w:t/>
      </w:r>
    </w:p>
    <w:p>
      <w:pPr>
        <w:pStyle w:val="Para 01"/>
      </w:pPr>
      <w:r>
        <w:t>Huge pages</w:t>
      </w:r>
    </w:p>
    <w:p>
      <w:pPr>
        <w:pStyle w:val="Para 17"/>
      </w:pPr>
      <w:r>
        <w:t/>
      </w:r>
    </w:p>
    <w:p>
      <w:pPr>
        <w:pStyle w:val="Normal"/>
      </w:pPr>
      <w:r>
        <w:t>Let’s start with a summary of the allocation and structuring of memory in an OS, and its rela-</w:t>
      </w:r>
    </w:p>
    <w:p>
      <w:pPr>
        <w:pStyle w:val="Normal"/>
      </w:pPr>
      <w:r>
        <w:t xml:space="preserve">tionship to transparent huge pages and </w:t>
      </w:r>
      <w:hyperlink w:anchor="page_689">
        <w:r>
          <w:rPr>
            <w:rStyle w:val="Text2"/>
          </w:rPr>
          <w:t>huge pages</w:t>
        </w:r>
      </w:hyperlink>
      <w:r>
        <w:t>.</w:t>
      </w:r>
    </w:p>
    <w:p>
      <w:pPr>
        <w:pStyle w:val="Normal"/>
      </w:pPr>
      <w:r>
        <w:t xml:space="preserve">When you launch an application, the OS allocates virtual memory to it as a range of virtual addresses. The virtual memory is not </w:t>
      </w:r>
      <w:r>
        <w:rPr>
          <w:rStyle w:val="Text3"/>
        </w:rPr>
        <w:t>truly</w:t>
      </w:r>
      <w:r>
        <w:t xml:space="preserve"> allocated on the physical memory; it allows the application to appear to have more memory than what’s physically available.</w:t>
      </w:r>
    </w:p>
    <w:p>
      <w:pPr>
        <w:pStyle w:val="Normal"/>
      </w:pPr>
      <w:r>
        <w:t>However, the CPU architecture will determine the amount of virtual memory allocated to the</w:t>
      </w:r>
    </w:p>
    <w:p>
      <w:pPr>
        <w:pStyle w:val="Normal"/>
      </w:pPr>
      <w:r>
        <w:t xml:space="preserve">application; </w:t>
      </w:r>
      <w:hyperlink w:anchor="page_571">
        <w:r>
          <w:rPr>
            <w:rStyle w:val="Text9"/>
          </w:rPr>
          <w:t>582</w:t>
        </w:r>
      </w:hyperlink>
      <w:hyperlink w:anchor="page_571">
        <w:r>
          <w:rPr>
            <w:rStyle w:val="Text1"/>
          </w:rPr>
          <w:t xml:space="preserve"> </w:t>
        </w:r>
      </w:hyperlink>
      <w:hyperlink w:anchor="page_571">
        <w:r>
          <w:rPr>
            <w:rStyle w:val="Text9"/>
          </w:rPr>
          <w:t>583</w:t>
        </w:r>
      </w:hyperlink>
      <w:r>
        <w:t xml:space="preserve"> </w:t>
      </w:r>
      <w:hyperlink r:id="rId1513">
        <w:r>
          <w:rPr>
            <w:rStyle w:val="Text9"/>
          </w:rPr>
          <w:t>584</w:t>
        </w:r>
      </w:hyperlink>
      <w:r>
        <w:t xml:space="preserve"> </w:t>
      </w:r>
      <w:hyperlink r:id="rId1514">
        <w:r>
          <w:rPr>
            <w:rStyle w:val="Text1"/>
          </w:rPr>
          <w:t>64-bit CPUs</w:t>
        </w:r>
      </w:hyperlink>
      <w:r>
        <w:t xml:space="preserve"> support 16 EB, whereas </w:t>
      </w:r>
      <w:hyperlink r:id="rId1515">
        <w:r>
          <w:rPr>
            <w:rStyle w:val="Text1"/>
          </w:rPr>
          <w:t>32-bit CPUs</w:t>
        </w:r>
      </w:hyperlink>
      <w:r>
        <w:t xml:space="preserve"> support 4 GB. </w:t>
      </w:r>
      <w:hyperlink r:id="rId1513">
        <w:r>
          <w:rPr>
            <w:rStyle w:val="Text1"/>
          </w:rPr>
          <w:t>x86_64</w:t>
        </w:r>
      </w:hyperlink>
      <w:r>
        <w:t>,</w:t>
      </w:r>
    </w:p>
    <w:p>
      <w:pPr>
        <w:pStyle w:val="Normal"/>
      </w:pPr>
      <w:r>
        <w:t>however, typically supports only 256 TB of virtual memory.</w:t>
      </w:r>
    </w:p>
    <w:p>
      <w:pPr>
        <w:pStyle w:val="Normal"/>
      </w:pPr>
      <w:r>
        <w:t>The OS splits the virtual memory into pages (4 KB each). A page contains several virtual ad-</w:t>
      </w:r>
    </w:p>
    <w:p>
      <w:pPr>
        <w:pStyle w:val="Normal"/>
      </w:pPr>
      <w:r>
        <w:t xml:space="preserve">dresses </w:t>
      </w:r>
      <w:hyperlink r:id="rId1516">
        <w:r>
          <w:rPr>
            <w:rStyle w:val="Text1"/>
          </w:rPr>
          <w:t xml:space="preserve">( </w:t>
        </w:r>
      </w:hyperlink>
      <w:hyperlink r:id="rId1516">
        <w:r>
          <w:rPr>
            <w:rStyle w:val="Text9"/>
          </w:rPr>
          <w:t>585</w:t>
        </w:r>
      </w:hyperlink>
      <w:hyperlink r:id="rId1516">
        <w:r>
          <w:rPr>
            <w:rStyle w:val="Text1"/>
          </w:rPr>
          <w:t xml:space="preserve"> 1 byte each</w:t>
        </w:r>
      </w:hyperlink>
      <w:r>
        <w:t>). These pages contain different parts of the application, like the code, data, stack, and heap. The OS maps these pages to real memory (RAM) because the virtual memory is not physical.</w:t>
      </w:r>
    </w:p>
    <w:p>
      <w:pPr>
        <w:pStyle w:val="Normal"/>
      </w:pPr>
      <w:r>
        <w:t>Although the OS allocates the virtual memory, the CPU generates the range of virtual ad-dresses whenever the application accesses memory (e.g., reading a variable, fetching an in-</w:t>
      </w:r>
    </w:p>
    <w:p>
      <w:pPr>
        <w:pStyle w:val="Normal"/>
      </w:pPr>
      <w:r>
        <w:t xml:space="preserve">struction, or writing data). The </w:t>
      </w:r>
      <w:hyperlink w:anchor="page_571">
        <w:r>
          <w:rPr>
            <w:rStyle w:val="Text9"/>
          </w:rPr>
          <w:t>586</w:t>
        </w:r>
      </w:hyperlink>
      <w:r>
        <w:t xml:space="preserve"> </w:t>
      </w:r>
      <w:hyperlink r:id="rId1517">
        <w:r>
          <w:rPr>
            <w:rStyle w:val="Text1"/>
          </w:rPr>
          <w:t>Memory Management Unit (MMU)</w:t>
        </w:r>
      </w:hyperlink>
      <w:r>
        <w:t xml:space="preserve"> receives these virtual addresses and uses the page table to convert them into physical addresses.</w:t>
      </w:r>
    </w:p>
    <w:p>
      <w:pPr>
        <w:pStyle w:val="Normal"/>
      </w:pPr>
      <w:r>
        <w:t>With a 4 KB page size in the table, a large application (200 MB, for example) could have thou-sands of pages. Constantly looking up the page table in RAM would be slow. To address this,</w:t>
      </w:r>
    </w:p>
    <w:p>
      <w:pPr>
        <w:pStyle w:val="Normal"/>
      </w:pPr>
      <w:r>
        <w:t xml:space="preserve">the CPU uses a </w:t>
      </w:r>
      <w:hyperlink w:anchor="page_709">
        <w:r>
          <w:rPr>
            <w:rStyle w:val="Text2"/>
          </w:rPr>
          <w:t>Translation Lookaside Buffer (TLB)</w:t>
        </w:r>
      </w:hyperlink>
      <w:r>
        <w:t xml:space="preserve"> to cache recent page table entries to speed up memory access. However, the TLB can hold a limited number of entries.</w:t>
      </w:r>
    </w:p>
    <w:p>
      <w:pPr>
        <w:pStyle w:val="Normal"/>
      </w:pPr>
      <w:r>
        <w:t>To reduce this overhead, you can use huge pages, which increase the page size from 4 KB to larger sizes (e.g., 2 MB or 1 GB). This reduces the number of page table entries in the TLB, making lookups faster.</w:t>
      </w:r>
    </w:p>
    <w:p>
      <w:pPr>
        <w:pStyle w:val="Normal"/>
      </w:pPr>
      <w:r>
        <w:t xml:space="preserve">Huge pages must typically be </w:t>
      </w:r>
      <w:hyperlink w:anchor="page_572">
        <w:r>
          <w:rPr>
            <w:rStyle w:val="Text2"/>
          </w:rPr>
          <w:t>pre-allocated</w:t>
        </w:r>
      </w:hyperlink>
      <w:r>
        <w:t xml:space="preserve"> (page 571) on the host for Libvirt to </w:t>
      </w:r>
      <w:hyperlink w:anchor="page_573">
        <w:r>
          <w:rPr>
            <w:rStyle w:val="Text2"/>
          </w:rPr>
          <w:t>map the VM’s</w:t>
        </w:r>
      </w:hyperlink>
    </w:p>
    <w:p>
      <w:pPr>
        <w:pStyle w:val="Normal"/>
      </w:pPr>
      <w:hyperlink w:anchor="page_573">
        <w:r>
          <w:rPr>
            <w:rStyle w:val="Text2"/>
          </w:rPr>
          <w:t>memory to the host</w:t>
        </w:r>
      </w:hyperlink>
      <w:r>
        <w:t xml:space="preserve"> (page 572). This is because VMs rely on two layers of address translation — one for the VM and one for the host — making memory lookups CPU-intensive. Since you can configure huge pages on Libvirt, the page table entries are reduced, speeding up memory access from the VM.</w:t>
      </w:r>
    </w:p>
    <w:p>
      <w:pPr>
        <w:pStyle w:val="Normal"/>
      </w:pPr>
      <w:r>
        <w:t>It’s now clear how huge pages can lessen page table entries and TLB overhead.</w:t>
      </w:r>
    </w:p>
    <w:p>
      <w:pPr>
        <w:pStyle w:val="Normal"/>
      </w:pPr>
      <w:r>
        <w:t>Huge pages can have some disadvantages too, as they frequently require manual setup. To</w:t>
      </w:r>
    </w:p>
    <w:p>
      <w:pPr>
        <w:pStyle w:val="Normal"/>
      </w:pPr>
      <w:r>
        <w:t xml:space="preserve">address this, </w:t>
      </w:r>
      <w:hyperlink r:id="rId1518">
        <w:r>
          <w:rPr>
            <w:rStyle w:val="Text9"/>
          </w:rPr>
          <w:t>587</w:t>
        </w:r>
      </w:hyperlink>
      <w:hyperlink r:id="rId1518">
        <w:r>
          <w:rPr>
            <w:rStyle w:val="Text1"/>
          </w:rPr>
          <w:t xml:space="preserve"> transparent huge pages</w:t>
        </w:r>
      </w:hyperlink>
      <w:r>
        <w:t xml:space="preserve"> are used to manage pages dynamically.</w:t>
      </w:r>
    </w:p>
    <w:p>
      <w:pPr>
        <w:pStyle w:val="Normal"/>
      </w:pPr>
      <w:r>
        <w:t>Dynamic page resizing can be an issue when using libvirt since huge pages must be pre-allocated. If huge pages are preferred, making them explicit usually provides performance</w:t>
      </w:r>
    </w:p>
    <w:p>
      <w:pPr>
        <w:pStyle w:val="Para 05"/>
      </w:pPr>
      <w:r>
        <w:rPr>
          <w:rStyle w:val="Text5"/>
        </w:rPr>
        <w:t>582</w:t>
      </w:r>
      <w:r>
        <w:rPr>
          <w:rStyle w:val="Text8"/>
        </w:rPr>
        <w:t xml:space="preserve"> </w:t>
      </w:r>
      <w:r>
        <w:t>https://en.wikipedia.org/wiki/64-bit_computing</w:t>
      </w:r>
    </w:p>
    <w:p>
      <w:pPr>
        <w:pStyle w:val="Para 05"/>
      </w:pPr>
      <w:r>
        <w:rPr>
          <w:rStyle w:val="Text5"/>
        </w:rPr>
        <w:t>583</w:t>
      </w:r>
      <w:r>
        <w:rPr>
          <w:rStyle w:val="Text8"/>
        </w:rPr>
        <w:t xml:space="preserve"> </w:t>
      </w:r>
      <w:r>
        <w:t>https://en.wikipedia.org/wiki/32-bit_computing</w:t>
      </w:r>
    </w:p>
    <w:p>
      <w:pPr>
        <w:pStyle w:val="Para 05"/>
      </w:pPr>
      <w:r>
        <w:rPr>
          <w:rStyle w:val="Text5"/>
        </w:rPr>
        <w:t>584</w:t>
      </w:r>
      <w:r>
        <w:rPr>
          <w:rStyle w:val="Text8"/>
        </w:rPr>
        <w:t xml:space="preserve"> </w:t>
      </w:r>
      <w:r>
        <w:t>https://en.wikipedia.org/wiki/X86-64</w:t>
      </w:r>
    </w:p>
    <w:p>
      <w:pPr>
        <w:pStyle w:val="Para 05"/>
      </w:pPr>
      <w:r>
        <w:rPr>
          <w:rStyle w:val="Text5"/>
        </w:rPr>
        <w:t>585</w:t>
      </w:r>
      <w:r>
        <w:rPr>
          <w:rStyle w:val="Text8"/>
        </w:rPr>
        <w:t xml:space="preserve"> </w:t>
      </w:r>
      <w:r>
        <w:t>https://en.wikipedia.org/wiki/Memory_address</w:t>
      </w:r>
    </w:p>
    <w:p>
      <w:pPr>
        <w:pStyle w:val="Para 05"/>
      </w:pPr>
      <w:r>
        <w:rPr>
          <w:rStyle w:val="Text5"/>
        </w:rPr>
        <w:t>586</w:t>
      </w:r>
      <w:r>
        <w:rPr>
          <w:rStyle w:val="Text8"/>
        </w:rPr>
        <w:t xml:space="preserve"> </w:t>
      </w:r>
      <w:r>
        <w:t>https://en.wikipedia.org/wiki/Memory_management_unit</w:t>
      </w:r>
    </w:p>
    <w:p>
      <w:pPr>
        <w:pStyle w:val="Para 05"/>
      </w:pPr>
      <w:r>
        <w:rPr>
          <w:rStyle w:val="Text5"/>
        </w:rPr>
        <w:t>587</w:t>
      </w:r>
      <w:r>
        <w:rPr>
          <w:rStyle w:val="Text8"/>
        </w:rPr>
        <w:t xml:space="preserve"> </w:t>
      </w:r>
      <w:r>
        <w:t>https://www.kernel.org/doc/html/next/admin-guide/mm/transhuge.html</w:t>
      </w:r>
      <w:r>
        <w:rPr>
          <w:rStyle w:val="Text8"/>
        </w:rPr>
        <w:t xml:space="preserve"> gains.</w:t>
      </w:r>
    </w:p>
    <w:p>
      <w:bookmarkStart w:id="864" w:name="page_5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1" name="index-572_1.png" descr="index-572_1.png"/>
            <wp:cNvGraphicFramePr>
              <a:graphicFrameLocks noChangeAspect="1"/>
            </wp:cNvGraphicFramePr>
            <a:graphic>
              <a:graphicData uri="http://schemas.openxmlformats.org/drawingml/2006/picture">
                <pic:pic>
                  <pic:nvPicPr>
                    <pic:cNvPr id="0" name="index-572_1.png" descr="index-572_1.png"/>
                    <pic:cNvPicPr/>
                  </pic:nvPicPr>
                  <pic:blipFill>
                    <a:blip r:embed="rId585"/>
                    <a:stretch>
                      <a:fillRect/>
                    </a:stretch>
                  </pic:blipFill>
                  <pic:spPr>
                    <a:xfrm>
                      <a:off x="0" y="0"/>
                      <a:ext cx="914400" cy="266700"/>
                    </a:xfrm>
                    <a:prstGeom prst="rect">
                      <a:avLst/>
                    </a:prstGeom>
                  </pic:spPr>
                </pic:pic>
              </a:graphicData>
            </a:graphic>
          </wp:anchor>
        </w:drawing>
      </w:r>
      <w:bookmarkEnd w:id="864"/>
    </w:p>
    <w:p>
      <w:pPr>
        <w:pStyle w:val="Normal"/>
      </w:pPr>
      <w:r>
        <w:t>Huge pages are harder to manage (especially later in the system’s lifetime if memory is frag-mented), but they provide a useful boost, especially for large guests.</w:t>
      </w:r>
    </w:p>
    <w:p>
      <w:pPr>
        <w:pStyle w:val="Para 17"/>
      </w:pPr>
      <w:r>
        <w:t/>
      </w:r>
    </w:p>
    <w:p>
      <w:pPr>
        <w:pStyle w:val="Para 08"/>
      </w:pPr>
      <w:r>
        <w:t>Tip:</w:t>
      </w:r>
    </w:p>
    <w:p>
      <w:pPr>
        <w:pStyle w:val="Para 17"/>
      </w:pPr>
      <w:r>
        <w:t/>
      </w:r>
    </w:p>
    <w:p>
      <w:pPr>
        <w:pStyle w:val="Para 03"/>
      </w:pPr>
      <w:r>
        <w:t>When using device passthrough on very large guests, there is an extra benefit of using</w:t>
      </w:r>
    </w:p>
    <w:p>
      <w:pPr>
        <w:pStyle w:val="Para 03"/>
      </w:pPr>
      <w:r>
        <w:t xml:space="preserve">huge pages, as it is faster to do the initial memory clear on the VFIO </w:t>
      </w:r>
      <w:hyperlink w:anchor="page_678">
        <w:r>
          <w:rPr>
            <w:rStyle w:val="Text2"/>
          </w:rPr>
          <w:t>DMA</w:t>
        </w:r>
      </w:hyperlink>
      <w:r>
        <w:t xml:space="preserve"> pin.</w:t>
      </w:r>
    </w:p>
    <w:p>
      <w:pPr>
        <w:pStyle w:val="Para 17"/>
      </w:pPr>
      <w:r>
        <w:t/>
      </w:r>
    </w:p>
    <w:p>
      <w:pPr>
        <w:pStyle w:val="Para 01"/>
      </w:pPr>
      <w:r>
        <w:t>Huge page allocation</w:t>
      </w:r>
    </w:p>
    <w:p>
      <w:pPr>
        <w:pStyle w:val="Para 17"/>
      </w:pPr>
      <w:r>
        <w:t/>
      </w:r>
    </w:p>
    <w:p>
      <w:pPr>
        <w:pStyle w:val="Normal"/>
      </w:pPr>
      <w:r>
        <w:t xml:space="preserve">Huge pages come in different sizes. A </w:t>
      </w:r>
      <w:r>
        <w:rPr>
          <w:rStyle w:val="Text3"/>
        </w:rPr>
        <w:t>normal</w:t>
      </w:r>
      <w:r>
        <w:t xml:space="preserve"> page is usually 4k and huge pages are either 2M or 1G, but depending on the architecture, other options are possible.</w:t>
      </w:r>
    </w:p>
    <w:p>
      <w:pPr>
        <w:pStyle w:val="Normal"/>
      </w:pPr>
      <w:r>
        <w:t>The simplest yet least reliable way to allocate some huge pages is to just echo a value to sysfs:</w:t>
      </w:r>
    </w:p>
    <w:p>
      <w:pPr>
        <w:pStyle w:val="Normal"/>
      </w:pPr>
      <w:r>
        <w:t>echo</w:t>
        <w:t xml:space="preserve"> </w:t>
        <w:t>256</w:t>
        <w:t xml:space="preserve"> </w:t>
        <w:t>| sudo tee /sys/kernel/mm/hugepages/hugepages-2048kB/nr_hugepages</w:t>
      </w:r>
    </w:p>
    <w:p>
      <w:pPr>
        <w:pStyle w:val="Para 17"/>
      </w:pPr>
      <w:r>
        <w:t/>
      </w:r>
    </w:p>
    <w:p>
      <w:pPr>
        <w:pStyle w:val="Normal"/>
      </w:pPr>
      <w:r>
        <w:t>Be sure to re-check if it worked:</w:t>
      </w:r>
    </w:p>
    <w:p>
      <w:pPr>
        <w:pStyle w:val="Normal"/>
      </w:pPr>
      <w:r>
        <w:t>$ cat /sys/kernel/mm/hugepages/hugepages-2048kB/nr_hugepages</w:t>
      </w:r>
    </w:p>
    <w:p>
      <w:pPr>
        <w:pStyle w:val="Normal"/>
      </w:pPr>
      <w:r>
        <w:t>256</w:t>
      </w:r>
    </w:p>
    <w:p>
      <w:pPr>
        <w:pStyle w:val="Para 17"/>
      </w:pPr>
      <w:r>
        <w:t/>
      </w:r>
    </w:p>
    <w:p>
      <w:pPr>
        <w:pStyle w:val="Normal"/>
      </w:pPr>
      <w:r>
        <w:t>One of these sizes is the “default huge page size”, which is used in the auto-mounted /dev/</w:t>
      </w:r>
    </w:p>
    <w:p>
      <w:pPr>
        <w:pStyle w:val="Normal"/>
      </w:pPr>
      <w:r>
        <w:t xml:space="preserve">hugepages </w:t>
      </w:r>
      <w:hyperlink r:id="rId1519">
        <w:r>
          <w:rPr>
            <w:rStyle w:val="Text9"/>
          </w:rPr>
          <w:t>588</w:t>
        </w:r>
      </w:hyperlink>
      <w:r>
        <w:t xml:space="preserve"> . Changing the default size requires a reboot and is set via </w:t>
      </w:r>
      <w:hyperlink r:id="rId1519">
        <w:r>
          <w:rPr>
            <w:rStyle w:val="Text1"/>
          </w:rPr>
          <w:t>default_hugepagesz</w:t>
        </w:r>
      </w:hyperlink>
      <w:r>
        <w:t>.</w:t>
      </w:r>
    </w:p>
    <w:p>
      <w:pPr>
        <w:pStyle w:val="Normal"/>
      </w:pPr>
      <w:r>
        <w:t>You can check the current default size:</w:t>
      </w:r>
    </w:p>
    <w:p>
      <w:pPr>
        <w:pStyle w:val="Normal"/>
      </w:pPr>
      <w:r>
        <w:t>$ grep Hugepagesize /proc/meminfo</w:t>
      </w:r>
    </w:p>
    <w:p>
      <w:pPr>
        <w:pStyle w:val="Normal"/>
      </w:pPr>
      <w:r>
        <w:t>Hugepagesize:</w:t>
        <w:t xml:space="preserve"> </w:t>
        <w:t>2048</w:t>
        <w:t xml:space="preserve"> </w:t>
        <w:t>kB</w:t>
      </w:r>
    </w:p>
    <w:p>
      <w:pPr>
        <w:pStyle w:val="Para 17"/>
      </w:pPr>
      <w:r>
        <w:t/>
      </w:r>
    </w:p>
    <w:p>
      <w:pPr>
        <w:pStyle w:val="Normal"/>
      </w:pPr>
      <w:r>
        <w:t>However, more than one size can exist at the same time, so it’s a good idea to check:</w:t>
      </w:r>
    </w:p>
    <w:p>
      <w:pPr>
        <w:pStyle w:val="Normal"/>
      </w:pPr>
      <w:r>
        <w:t>$ tail /sys/kernel/mm/hugepages/hugepages-*/nr_hugepages</w:t>
        <w:t>`</w:t>
        <w:t xml:space="preserve"> </w:t>
        <w:t>==</w:t>
        <w:t>&gt; /sys/kernel/mm/hugepages/hugepages-1048576kB/nr_hugepages &lt;</w:t>
        <w:t>==</w:t>
        <w:t xml:space="preserve"> </w:t>
        <w:t>0</w:t>
      </w:r>
    </w:p>
    <w:p>
      <w:pPr>
        <w:pStyle w:val="Normal"/>
      </w:pPr>
      <w:r>
        <w:t>==</w:t>
        <w:t>&gt; /sys/kernel/mm/hugepages/hugepages-2048kB/nr_hugepages &lt;</w:t>
        <w:t>==</w:t>
        <w:t xml:space="preserve"> </w:t>
        <w:t>2</w:t>
      </w:r>
    </w:p>
    <w:p>
      <w:pPr>
        <w:pStyle w:val="Para 17"/>
      </w:pPr>
      <w:r>
        <w:t/>
      </w:r>
    </w:p>
    <w:p>
      <w:pPr>
        <w:pStyle w:val="Normal"/>
      </w:pPr>
      <w:r>
        <w:t xml:space="preserve">On larger systems, this can be further split per </w:t>
      </w:r>
      <w:hyperlink r:id="rId1520">
        <w:r>
          <w:rPr>
            <w:rStyle w:val="Text9"/>
          </w:rPr>
          <w:t>589</w:t>
        </w:r>
      </w:hyperlink>
      <w:hyperlink r:id="rId1520">
        <w:r>
          <w:rPr>
            <w:rStyle w:val="Text1"/>
          </w:rPr>
          <w:t xml:space="preserve"> Numa node</w:t>
        </w:r>
      </w:hyperlink>
      <w:r>
        <w:t>.</w:t>
      </w:r>
    </w:p>
    <w:p>
      <w:pPr>
        <w:pStyle w:val="Normal"/>
      </w:pPr>
      <w:r>
        <w:t xml:space="preserve">You can allocate huge pages at </w:t>
      </w:r>
      <w:hyperlink r:id="rId1521">
        <w:r>
          <w:rPr>
            <w:rStyle w:val="Text9"/>
          </w:rPr>
          <w:t>590</w:t>
        </w:r>
      </w:hyperlink>
      <w:hyperlink r:id="rId1521">
        <w:r>
          <w:rPr>
            <w:rStyle w:val="Text1"/>
          </w:rPr>
          <w:t xml:space="preserve"> boot or runtime</w:t>
        </w:r>
      </w:hyperlink>
      <w:r>
        <w:t>, but due to fragmentation there is no</w:t>
      </w:r>
    </w:p>
    <w:p>
      <w:pPr>
        <w:pStyle w:val="Normal"/>
      </w:pPr>
      <w:r>
        <w:t xml:space="preserve">guarantee that it works later. The </w:t>
      </w:r>
      <w:hyperlink w:anchor="page_572">
        <w:r>
          <w:rPr>
            <w:rStyle w:val="Text9"/>
          </w:rPr>
          <w:t>591</w:t>
        </w:r>
      </w:hyperlink>
      <w:r>
        <w:t xml:space="preserve"> </w:t>
      </w:r>
      <w:hyperlink r:id="rId1521">
        <w:r>
          <w:rPr>
            <w:rStyle w:val="Text1"/>
          </w:rPr>
          <w:t>kernel documentation</w:t>
        </w:r>
      </w:hyperlink>
      <w:r>
        <w:t xml:space="preserve"> lists details on both ways.</w:t>
      </w:r>
    </w:p>
    <w:p>
      <w:pPr>
        <w:pStyle w:val="Normal"/>
      </w:pPr>
      <w:r>
        <w:t>The kernel must allocate huge pages as mentioned above, but to be consumable, they must also be mounted. By default, systemd makes /dev/hugepages available for the default huge page size.</w:t>
      </w:r>
    </w:p>
    <w:p>
      <w:pPr>
        <w:pStyle w:val="Para 05"/>
      </w:pPr>
      <w:r>
        <w:rPr>
          <w:rStyle w:val="Text5"/>
        </w:rPr>
        <w:t>588</w:t>
      </w:r>
      <w:r>
        <w:rPr>
          <w:rStyle w:val="Text8"/>
        </w:rPr>
        <w:t xml:space="preserve"> </w:t>
      </w:r>
      <w:r>
        <w:t>https://www.kernel.org/doc/html/v5.4/admin-guide/kernel-parameters.html</w:t>
      </w:r>
    </w:p>
    <w:p>
      <w:pPr>
        <w:pStyle w:val="Para 05"/>
      </w:pPr>
      <w:r>
        <w:rPr>
          <w:rStyle w:val="Text5"/>
        </w:rPr>
        <w:t>589</w:t>
      </w:r>
      <w:r>
        <w:rPr>
          <w:rStyle w:val="Text8"/>
        </w:rPr>
        <w:t xml:space="preserve"> </w:t>
      </w:r>
      <w:r>
        <w:t>https://www.kernel.org/doc/html/v5.4/vm/numa.html</w:t>
      </w:r>
    </w:p>
    <w:p>
      <w:pPr>
        <w:pStyle w:val="Para 05"/>
      </w:pPr>
      <w:r>
        <w:rPr>
          <w:rStyle w:val="Text5"/>
        </w:rPr>
        <w:t>590</w:t>
      </w:r>
      <w:r>
        <w:rPr>
          <w:rStyle w:val="Text8"/>
        </w:rPr>
        <w:t xml:space="preserve"> </w:t>
      </w:r>
      <w:r>
        <w:t>https://www.kernel.org/doc/Documentation/vm/hugetlbpage.txt</w:t>
      </w:r>
    </w:p>
    <w:p>
      <w:pPr>
        <w:pStyle w:val="Para 05"/>
      </w:pPr>
      <w:r>
        <w:rPr>
          <w:rStyle w:val="Text5"/>
        </w:rPr>
        <w:t>591</w:t>
      </w:r>
      <w:r>
        <w:rPr>
          <w:rStyle w:val="Text8"/>
        </w:rPr>
        <w:t xml:space="preserve"> </w:t>
      </w:r>
      <w:r>
        <w:t>https://www.kernel.org/doc/Documentation/vm/hugetlbpage.txt</w:t>
      </w:r>
    </w:p>
    <w:p>
      <w:bookmarkStart w:id="865" w:name="page_5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2" name="index-573_1.png" descr="index-573_1.png"/>
            <wp:cNvGraphicFramePr>
              <a:graphicFrameLocks noChangeAspect="1"/>
            </wp:cNvGraphicFramePr>
            <a:graphic>
              <a:graphicData uri="http://schemas.openxmlformats.org/drawingml/2006/picture">
                <pic:pic>
                  <pic:nvPicPr>
                    <pic:cNvPr id="0" name="index-573_1.png" descr="index-573_1.png"/>
                    <pic:cNvPicPr/>
                  </pic:nvPicPr>
                  <pic:blipFill>
                    <a:blip r:embed="rId586"/>
                    <a:stretch>
                      <a:fillRect/>
                    </a:stretch>
                  </pic:blipFill>
                  <pic:spPr>
                    <a:xfrm>
                      <a:off x="0" y="0"/>
                      <a:ext cx="914400" cy="266700"/>
                    </a:xfrm>
                    <a:prstGeom prst="rect">
                      <a:avLst/>
                    </a:prstGeom>
                  </pic:spPr>
                </pic:pic>
              </a:graphicData>
            </a:graphic>
          </wp:anchor>
        </w:drawing>
      </w:r>
      <w:bookmarkEnd w:id="865"/>
    </w:p>
    <w:p>
      <w:pPr>
        <w:pStyle w:val="Normal"/>
      </w:pPr>
      <w:r>
        <w:t xml:space="preserve">Add more mount points if you need different sized ones. Query an overview with </w:t>
      </w:r>
      <w:hyperlink r:id="rId1522">
        <w:r>
          <w:rPr>
            <w:rStyle w:val="Text9"/>
          </w:rPr>
          <w:t>592</w:t>
        </w:r>
      </w:hyperlink>
      <w:hyperlink r:id="rId1522">
        <w:r>
          <w:rPr>
            <w:rStyle w:val="Text1"/>
          </w:rPr>
          <w:t xml:space="preserve"> hugeadm</w:t>
        </w:r>
      </w:hyperlink>
      <w:r>
        <w:t>:</w:t>
      </w:r>
    </w:p>
    <w:p>
      <w:pPr>
        <w:pStyle w:val="Normal"/>
      </w:pPr>
      <w:r>
        <w:t>$ apt install libhugetlbfs-bin</w:t>
      </w:r>
    </w:p>
    <w:p>
      <w:pPr>
        <w:pStyle w:val="Normal"/>
      </w:pPr>
      <w:r>
        <w:t>$ hugeadm --list-all-mounts</w:t>
      </w:r>
    </w:p>
    <w:p>
      <w:pPr>
        <w:pStyle w:val="Normal"/>
      </w:pPr>
      <w:r>
        <w:t>Mount Point</w:t>
        <w:t xml:space="preserve"> </w:t>
        <w:t>Options</w:t>
      </w:r>
    </w:p>
    <w:p>
      <w:pPr>
        <w:pStyle w:val="Normal"/>
      </w:pPr>
      <w:r>
        <w:t>/dev/hugepages</w:t>
        <w:t xml:space="preserve"> </w:t>
        <w:t>rw,relatime,pagesize</w:t>
        <w:t>=</w:t>
        <w:t>2M</w:t>
      </w:r>
    </w:p>
    <w:p>
      <w:pPr>
        <w:pStyle w:val="Para 17"/>
      </w:pPr>
      <w:r>
        <w:t/>
      </w:r>
    </w:p>
    <w:p>
      <w:pPr>
        <w:pStyle w:val="Normal"/>
      </w:pPr>
      <w:r>
        <w:t>A one-stop info for the overall huge page status of the system can be reported with:</w:t>
      </w:r>
    </w:p>
    <w:p>
      <w:pPr>
        <w:pStyle w:val="Normal"/>
      </w:pPr>
      <w:r>
        <w:t>hugeadm --explain</w:t>
      </w:r>
    </w:p>
    <w:p>
      <w:pPr>
        <w:pStyle w:val="Para 17"/>
      </w:pPr>
      <w:r>
        <w:t/>
      </w:r>
    </w:p>
    <w:p>
      <w:pPr>
        <w:pStyle w:val="Para 01"/>
      </w:pPr>
      <w:r>
        <w:t>Huge page usage in libvirt</w:t>
      </w:r>
    </w:p>
    <w:p>
      <w:pPr>
        <w:pStyle w:val="Para 17"/>
      </w:pPr>
      <w:r>
        <w:t/>
      </w:r>
    </w:p>
    <w:p>
      <w:pPr>
        <w:pStyle w:val="Normal"/>
      </w:pPr>
      <w:r>
        <w:t>With the above in place, libvirt can map guest memory to huge pages. In a guest definition add the most simple form of:</w:t>
      </w:r>
    </w:p>
    <w:p>
      <w:pPr>
        <w:pStyle w:val="Para 01"/>
      </w:pPr>
      <w:r>
        <w:t>&lt;memoryBacking&gt;</w:t>
      </w:r>
    </w:p>
    <w:p>
      <w:pPr>
        <w:pStyle w:val="Para 08"/>
      </w:pPr>
      <w:r>
        <w:t>&lt;hugepages/&gt;</w:t>
      </w:r>
    </w:p>
    <w:p>
      <w:pPr>
        <w:pStyle w:val="Para 01"/>
      </w:pPr>
      <w:r>
        <w:t>&lt;/memoryBacking&gt;</w:t>
      </w:r>
    </w:p>
    <w:p>
      <w:pPr>
        <w:pStyle w:val="Para 17"/>
      </w:pPr>
      <w:r>
        <w:t/>
      </w:r>
    </w:p>
    <w:p>
      <w:pPr>
        <w:pStyle w:val="Normal"/>
      </w:pPr>
      <w:r>
        <w:t>This allocates the huge pages using the default huge page size from an auto-detected mount</w:t>
      </w:r>
    </w:p>
    <w:p>
      <w:pPr>
        <w:pStyle w:val="Normal"/>
      </w:pPr>
      <w:r>
        <w:t xml:space="preserve">point. For more control, e.g., how memory is spread over </w:t>
      </w:r>
      <w:hyperlink r:id="rId1520">
        <w:r>
          <w:rPr>
            <w:rStyle w:val="Text9"/>
          </w:rPr>
          <w:t>593</w:t>
        </w:r>
      </w:hyperlink>
      <w:hyperlink r:id="rId1520">
        <w:r>
          <w:rPr>
            <w:rStyle w:val="Text1"/>
          </w:rPr>
          <w:t xml:space="preserve"> Numa nodes</w:t>
        </w:r>
      </w:hyperlink>
      <w:r>
        <w:t xml:space="preserve"> or which page size</w:t>
      </w:r>
    </w:p>
    <w:p>
      <w:pPr>
        <w:pStyle w:val="Para 18"/>
      </w:pPr>
      <w:r>
        <w:rPr>
          <w:rStyle w:val="Text7"/>
        </w:rPr>
        <w:t xml:space="preserve">to use, see the </w:t>
      </w:r>
      <w:hyperlink w:anchor="page_573">
        <w:r>
          <w:rPr>
            <w:rStyle w:val="Text10"/>
          </w:rPr>
          <w:t>594</w:t>
        </w:r>
      </w:hyperlink>
      <w:r>
        <w:rPr>
          <w:rStyle w:val="Text7"/>
        </w:rPr>
        <w:t xml:space="preserve"> </w:t>
      </w:r>
      <w:hyperlink r:id="rId1523">
        <w:r>
          <w:t>libvirt memory backing documentation</w:t>
        </w:r>
      </w:hyperlink>
      <w:r>
        <w:rPr>
          <w:rStyle w:val="Text7"/>
        </w:rPr>
        <w:t>.</w:t>
      </w:r>
    </w:p>
    <w:p>
      <w:pPr>
        <w:pStyle w:val="Para 17"/>
      </w:pPr>
      <w:r>
        <w:t/>
      </w:r>
    </w:p>
    <w:p>
      <w:pPr>
        <w:pStyle w:val="Para 01"/>
      </w:pPr>
      <w:r>
        <w:t>Controlling addressing bits</w:t>
      </w:r>
    </w:p>
    <w:p>
      <w:pPr>
        <w:pStyle w:val="Para 17"/>
      </w:pPr>
      <w:r>
        <w:t/>
      </w:r>
    </w:p>
    <w:p>
      <w:pPr>
        <w:pStyle w:val="Normal"/>
      </w:pPr>
      <w:r>
        <w:t>This is a topic that rarely matters on a single computer with virtual machines for generic use; libvirt will automatically use the hypervisor default, which in the case of QEMU is 40 bits. This default aims for compatibility since it will be the same on all systems, which simplifies migration between them and usually is compatible even with older hardware.</w:t>
      </w:r>
    </w:p>
    <w:p>
      <w:pPr>
        <w:pStyle w:val="Normal"/>
      </w:pPr>
      <w:r>
        <w:t>However, it can be very important when driving more advanced use cases. If you need larger guest sizes with more than a terabyte of memory, then controlling the addressing bits is crucial.</w:t>
      </w:r>
    </w:p>
    <w:p>
      <w:pPr>
        <w:pStyle w:val="Para 17"/>
      </w:pPr>
      <w:r>
        <w:t/>
      </w:r>
    </w:p>
    <w:p>
      <w:pPr>
        <w:pStyle w:val="Para 01"/>
      </w:pPr>
      <w:r>
        <w:t>-hpb machine types</w:t>
      </w:r>
    </w:p>
    <w:p>
      <w:pPr>
        <w:pStyle w:val="Para 17"/>
      </w:pPr>
      <w:r>
        <w:t/>
      </w:r>
    </w:p>
    <w:p>
      <w:pPr>
        <w:pStyle w:val="Normal"/>
      </w:pPr>
      <w:r>
        <w:t xml:space="preserve">Since Ubuntu 18.04, the QEMU in Ubuntu has </w:t>
      </w:r>
      <w:hyperlink w:anchor="page_573">
        <w:r>
          <w:rPr>
            <w:rStyle w:val="Text9"/>
          </w:rPr>
          <w:t>595</w:t>
        </w:r>
      </w:hyperlink>
      <w:r>
        <w:t xml:space="preserve"> </w:t>
      </w:r>
      <w:hyperlink r:id="rId1524">
        <w:r>
          <w:rPr>
            <w:rStyle w:val="Text1"/>
          </w:rPr>
          <w:t>provided special machine-types</w:t>
        </w:r>
      </w:hyperlink>
      <w:r>
        <w:t>. These in-</w:t>
      </w:r>
    </w:p>
    <w:p>
      <w:pPr>
        <w:pStyle w:val="Normal"/>
      </w:pPr>
      <w:r>
        <w:t xml:space="preserve">clude machine types like pc-q35-jammy or pc-i440fx-jammy, but with a-hpb suffix. The </w:t>
      </w:r>
      <w:hyperlink w:anchor="page_688">
        <w:r>
          <w:rPr>
            <w:rStyle w:val="Text1"/>
          </w:rPr>
          <w:t>“</w:t>
        </w:r>
      </w:hyperlink>
      <w:hyperlink w:anchor="page_688">
        <w:r>
          <w:rPr>
            <w:rStyle w:val="Text2"/>
          </w:rPr>
          <w:t>HPB</w:t>
        </w:r>
      </w:hyperlink>
      <w:r>
        <w:t>” abbreviation stands for “host-physical-bits”, which is the QEMU option that this represents.</w:t>
      </w:r>
    </w:p>
    <w:p>
      <w:pPr>
        <w:pStyle w:val="Normal"/>
      </w:pPr>
      <w:r>
        <w:t>For example, by using pc-q35-jammy-hpb, the guest would use the number of physical bits that the Host CPU has available.</w:t>
      </w:r>
    </w:p>
    <w:p>
      <w:pPr>
        <w:pStyle w:val="Normal"/>
      </w:pPr>
      <w:r>
        <w:t>Providing the configuration that a guest should use more address bits as a machine type has the benefit that many higher-level management stacks (for example, OpenStack) can already control it through libvirt.</w:t>
      </w:r>
    </w:p>
    <w:p>
      <w:pPr>
        <w:pStyle w:val="Para 05"/>
      </w:pPr>
      <w:r>
        <w:rPr>
          <w:rStyle w:val="Text5"/>
        </w:rPr>
        <w:t>592</w:t>
      </w:r>
      <w:r>
        <w:rPr>
          <w:rStyle w:val="Text8"/>
        </w:rPr>
        <w:t xml:space="preserve"> </w:t>
      </w:r>
      <w:r>
        <w:t>https://linux.die.net/man/8/hugeadm</w:t>
      </w:r>
    </w:p>
    <w:p>
      <w:pPr>
        <w:pStyle w:val="Para 05"/>
      </w:pPr>
      <w:r>
        <w:rPr>
          <w:rStyle w:val="Text5"/>
        </w:rPr>
        <w:t>593</w:t>
      </w:r>
      <w:r>
        <w:rPr>
          <w:rStyle w:val="Text8"/>
        </w:rPr>
        <w:t xml:space="preserve"> </w:t>
      </w:r>
      <w:r>
        <w:t>https://www.kernel.org/doc/html/v5.4/vm/numa.html</w:t>
      </w:r>
    </w:p>
    <w:p>
      <w:pPr>
        <w:pStyle w:val="Para 05"/>
      </w:pPr>
      <w:r>
        <w:rPr>
          <w:rStyle w:val="Text5"/>
        </w:rPr>
        <w:t>594</w:t>
      </w:r>
      <w:r>
        <w:rPr>
          <w:rStyle w:val="Text8"/>
        </w:rPr>
        <w:t xml:space="preserve"> </w:t>
      </w:r>
      <w:r>
        <w:t>https://libvirt.org/formatdomain.html#memory-backing</w:t>
      </w:r>
    </w:p>
    <w:p>
      <w:pPr>
        <w:pStyle w:val="Para 05"/>
      </w:pPr>
      <w:r>
        <w:rPr>
          <w:rStyle w:val="Text5"/>
        </w:rPr>
        <w:t>595</w:t>
      </w:r>
      <w:r>
        <w:rPr>
          <w:rStyle w:val="Text8"/>
        </w:rPr>
        <w:t xml:space="preserve"> </w:t>
      </w:r>
      <w:r>
        <w:t>https://bugs.launchpad.net/bugs/1776189</w:t>
      </w:r>
    </w:p>
    <w:p>
      <w:bookmarkStart w:id="866" w:name="page_5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3" name="index-574_1.png" descr="index-574_1.png"/>
            <wp:cNvGraphicFramePr>
              <a:graphicFrameLocks noChangeAspect="1"/>
            </wp:cNvGraphicFramePr>
            <a:graphic>
              <a:graphicData uri="http://schemas.openxmlformats.org/drawingml/2006/picture">
                <pic:pic>
                  <pic:nvPicPr>
                    <pic:cNvPr id="0" name="index-574_1.png" descr="index-574_1.png"/>
                    <pic:cNvPicPr/>
                  </pic:nvPicPr>
                  <pic:blipFill>
                    <a:blip r:embed="rId587"/>
                    <a:stretch>
                      <a:fillRect/>
                    </a:stretch>
                  </pic:blipFill>
                  <pic:spPr>
                    <a:xfrm>
                      <a:off x="0" y="0"/>
                      <a:ext cx="914400" cy="266700"/>
                    </a:xfrm>
                    <a:prstGeom prst="rect">
                      <a:avLst/>
                    </a:prstGeom>
                  </pic:spPr>
                </pic:pic>
              </a:graphicData>
            </a:graphic>
          </wp:anchor>
        </w:drawing>
      </w:r>
      <w:bookmarkEnd w:id="866"/>
    </w:p>
    <w:p>
      <w:pPr>
        <w:pStyle w:val="Normal"/>
      </w:pPr>
      <w:r>
        <w:t>You can check the bits available to a given CPU via the procfs:</w:t>
      </w:r>
    </w:p>
    <w:p>
      <w:pPr>
        <w:pStyle w:val="Normal"/>
      </w:pPr>
      <w:r>
        <w:t>$ cat /proc/cpuinfo | grep</w:t>
        <w:t xml:space="preserve"> </w:t>
        <w:t>'^address sizes'</w:t>
        <w:t xml:space="preserve"> </w:t>
        <w:t>...</w:t>
      </w:r>
    </w:p>
    <w:p>
      <w:pPr>
        <w:pStyle w:val="Para 10"/>
      </w:pPr>
      <w:r>
        <w:t># an older server with a E5-2620</w:t>
      </w:r>
    </w:p>
    <w:p>
      <w:pPr>
        <w:pStyle w:val="Normal"/>
      </w:pPr>
      <w:r>
        <w:t>address sizes</w:t>
        <w:t xml:space="preserve"> </w:t>
        <w:t>:</w:t>
        <w:t xml:space="preserve"> </w:t>
        <w:t>46</w:t>
        <w:t xml:space="preserve"> </w:t>
        <w:t>bits physical,</w:t>
        <w:t xml:space="preserve"> </w:t>
        <w:t>48</w:t>
        <w:t xml:space="preserve"> </w:t>
        <w:t>bits virtual</w:t>
        <w:t xml:space="preserve"> </w:t>
      </w:r>
      <w:r>
        <w:rPr>
          <w:rStyle w:val="Text3"/>
        </w:rPr>
        <w:t># a laptop with an i7-8550U</w:t>
      </w:r>
    </w:p>
    <w:p>
      <w:pPr>
        <w:pStyle w:val="Normal"/>
      </w:pPr>
      <w:r>
        <w:t>address sizes</w:t>
        <w:t xml:space="preserve"> </w:t>
        <w:t>:</w:t>
        <w:t xml:space="preserve"> </w:t>
        <w:t>39</w:t>
        <w:t xml:space="preserve"> </w:t>
        <w:t>bits physical,</w:t>
        <w:t xml:space="preserve"> </w:t>
        <w:t>48</w:t>
        <w:t xml:space="preserve"> </w:t>
        <w:t>bits virtual</w:t>
      </w:r>
    </w:p>
    <w:p>
      <w:pPr>
        <w:pStyle w:val="Para 17"/>
      </w:pPr>
      <w:r>
        <w:t/>
      </w:r>
    </w:p>
    <w:p>
      <w:pPr>
        <w:pStyle w:val="Para 01"/>
      </w:pPr>
      <w:r>
        <w:t>maxphysaddr guest configuration</w:t>
      </w:r>
    </w:p>
    <w:p>
      <w:pPr>
        <w:pStyle w:val="Para 17"/>
      </w:pPr>
      <w:r>
        <w:t/>
      </w:r>
    </w:p>
    <w:p>
      <w:pPr>
        <w:pStyle w:val="Normal"/>
      </w:pPr>
      <w:r>
        <w:t xml:space="preserve">Since libvirt version 8.7.0 (&gt;= Ubuntu 22.10 Lunar), you can control maxphysaddr via the </w:t>
      </w:r>
      <w:hyperlink r:id="rId1525">
        <w:r>
          <w:rPr>
            <w:rStyle w:val="Text1"/>
          </w:rPr>
          <w:t>CPU</w:t>
        </w:r>
      </w:hyperlink>
    </w:p>
    <w:p>
      <w:pPr>
        <w:pStyle w:val="Normal"/>
      </w:pPr>
      <w:hyperlink r:id="rId1525">
        <w:r>
          <w:rPr>
            <w:rStyle w:val="Text1"/>
          </w:rPr>
          <w:t>model and topology section</w:t>
        </w:r>
      </w:hyperlink>
      <w:hyperlink w:anchor="page_574">
        <w:r>
          <w:rPr>
            <w:rStyle w:val="Text9"/>
          </w:rPr>
          <w:t>596</w:t>
        </w:r>
      </w:hyperlink>
      <w:r>
        <w:t xml:space="preserve"> of the guest configuration. If you need a large guest (as with the-hpb types), use the following libvirt guest xml configuration:</w:t>
      </w:r>
    </w:p>
    <w:p>
      <w:pPr>
        <w:pStyle w:val="Para 03"/>
      </w:pPr>
      <w:r>
        <w:rPr>
          <w:rStyle w:val="Text0"/>
        </w:rPr>
        <w:t>&lt;maxphysaddr</w:t>
      </w:r>
      <w:r>
        <w:t xml:space="preserve"> </w:t>
        <w:t>mode='passthrough'</w:t>
        <w:t xml:space="preserve"> </w:t>
      </w:r>
      <w:r>
        <w:rPr>
          <w:rStyle w:val="Text0"/>
        </w:rPr>
        <w:t>/&gt;</w:t>
      </w:r>
    </w:p>
    <w:p>
      <w:pPr>
        <w:pStyle w:val="Para 17"/>
      </w:pPr>
      <w:r>
        <w:t/>
      </w:r>
    </w:p>
    <w:p>
      <w:pPr>
        <w:pStyle w:val="Normal"/>
      </w:pPr>
      <w:r>
        <w:t>Since libvirt 9.2.0 and 9.3.0 (&gt;= Ubuntu 23.10 Mantic), you can specify an explicit number of emulated bits or a limit to the passthrough. Combined, this pairing is useful for computing clusters where the CPUs have different hardware physical addressing bits. Without these features, guests could be large but potentially unable to migrate freely between all nodes since not all systems support the same number of addressing bits.</w:t>
      </w:r>
    </w:p>
    <w:p>
      <w:pPr>
        <w:pStyle w:val="Normal"/>
      </w:pPr>
      <w:r>
        <w:t>You can either set a fixed value of addressing bits:</w:t>
      </w:r>
    </w:p>
    <w:p>
      <w:pPr>
        <w:pStyle w:val="Para 03"/>
      </w:pPr>
      <w:r>
        <w:rPr>
          <w:rStyle w:val="Text0"/>
        </w:rPr>
        <w:t>&lt;maxphysaddr</w:t>
      </w:r>
      <w:r>
        <w:t xml:space="preserve"> </w:t>
        <w:t>mode='emulate' bits='42'</w:t>
      </w:r>
      <w:r>
        <w:rPr>
          <w:rStyle w:val="Text0"/>
        </w:rPr>
        <w:t>/&gt;</w:t>
      </w:r>
    </w:p>
    <w:p>
      <w:pPr>
        <w:pStyle w:val="Para 17"/>
      </w:pPr>
      <w:r>
        <w:t/>
      </w:r>
    </w:p>
    <w:p>
      <w:pPr>
        <w:pStyle w:val="Normal"/>
      </w:pPr>
      <w:r>
        <w:t>Or, use the best available by a given hardware without exceeding a certain limit to retain some compute node compatibility.</w:t>
      </w:r>
    </w:p>
    <w:p>
      <w:pPr>
        <w:pStyle w:val="Para 03"/>
      </w:pPr>
      <w:r>
        <w:rPr>
          <w:rStyle w:val="Text0"/>
        </w:rPr>
        <w:t>&lt;maxphysaddr</w:t>
      </w:r>
      <w:r>
        <w:t xml:space="preserve"> </w:t>
        <w:t>mode='passthrough' limit='41/</w:t>
      </w:r>
      <w:r>
        <w:rPr>
          <w:rStyle w:val="Text0"/>
        </w:rPr>
        <w:t>&gt;</w:t>
      </w:r>
    </w:p>
    <w:p>
      <w:pPr>
        <w:pStyle w:val="Para 17"/>
      </w:pPr>
      <w:r>
        <w:t/>
      </w:r>
    </w:p>
    <w:p>
      <w:pPr>
        <w:pStyle w:val="Para 01"/>
      </w:pPr>
      <w:r>
        <w:t>AppArmor isolation</w:t>
      </w:r>
    </w:p>
    <w:p>
      <w:pPr>
        <w:pStyle w:val="Para 17"/>
      </w:pPr>
      <w:r>
        <w:t/>
      </w:r>
    </w:p>
    <w:p>
      <w:pPr>
        <w:pStyle w:val="Normal"/>
      </w:pPr>
      <w:r>
        <w:t>By default, libvirt will spawn QEMU guests using AppArmor isolation for enhanced security.</w:t>
      </w:r>
    </w:p>
    <w:p>
      <w:pPr>
        <w:pStyle w:val="Normal"/>
      </w:pPr>
      <w:r>
        <w:t xml:space="preserve">The </w:t>
      </w:r>
      <w:hyperlink w:anchor="page_574">
        <w:r>
          <w:rPr>
            <w:rStyle w:val="Text9"/>
          </w:rPr>
          <w:t>597</w:t>
        </w:r>
      </w:hyperlink>
      <w:r>
        <w:t xml:space="preserve"> </w:t>
      </w:r>
      <w:hyperlink r:id="rId1526">
        <w:r>
          <w:rPr>
            <w:rStyle w:val="Text1"/>
          </w:rPr>
          <w:t>AppArmor rules for a guest</w:t>
        </w:r>
      </w:hyperlink>
      <w:r>
        <w:t xml:space="preserve"> will consist of multiple elements:</w:t>
      </w:r>
    </w:p>
    <w:p>
      <w:pPr>
        <w:pStyle w:val="Para 04"/>
      </w:pPr>
      <w:r>
        <w:t>• A static part that all guests share =&gt; /etc/apparmor.d/abstractions/libvirt-qemu</w:t>
      </w:r>
    </w:p>
    <w:p>
      <w:pPr>
        <w:pStyle w:val="Para 04"/>
      </w:pPr>
      <w:r>
        <w:t>• A dynamic part created at guest start time and modified on hotplug/unplug =&gt; /etc/</w:t>
      </w:r>
    </w:p>
    <w:p>
      <w:pPr>
        <w:pStyle w:val="Para 02"/>
      </w:pPr>
      <w:r>
        <w:t>apparmor.d/libvirt/libvirt-f9533e35-6b63-45f5-96be-7cccc9696d5e.files</w:t>
      </w:r>
    </w:p>
    <w:p>
      <w:pPr>
        <w:pStyle w:val="Normal"/>
      </w:pPr>
      <w:r>
        <w:t>Of the above, the libvirt-daemon package provides and updates the former, and the system generates the latter on guest start. Do not manually edit either of these files. By default, they cover the vast majority of use cases and work fine. However, certain cases exist where users want to:</w:t>
      </w:r>
    </w:p>
    <w:p>
      <w:pPr>
        <w:pStyle w:val="Para 04"/>
      </w:pPr>
      <w:r>
        <w:t>• Further lock down the guest, e.g. by explicitly denying access that usually would be</w:t>
      </w:r>
    </w:p>
    <w:p>
      <w:pPr>
        <w:pStyle w:val="Para 02"/>
      </w:pPr>
      <w:r>
        <w:t>allowed.</w:t>
      </w:r>
    </w:p>
    <w:p>
      <w:pPr>
        <w:pStyle w:val="Para 05"/>
      </w:pPr>
      <w:r>
        <w:rPr>
          <w:rStyle w:val="Text5"/>
        </w:rPr>
        <w:t>596</w:t>
      </w:r>
      <w:r>
        <w:rPr>
          <w:rStyle w:val="Text8"/>
        </w:rPr>
        <w:t xml:space="preserve"> </w:t>
      </w:r>
      <w:r>
        <w:t>https://libvirt.org/formatdomain.html#cpu-model-and-topology</w:t>
      </w:r>
    </w:p>
    <w:p>
      <w:pPr>
        <w:pStyle w:val="Para 05"/>
      </w:pPr>
      <w:r>
        <w:rPr>
          <w:rStyle w:val="Text5"/>
        </w:rPr>
        <w:t>597</w:t>
      </w:r>
      <w:r>
        <w:rPr>
          <w:rStyle w:val="Text8"/>
        </w:rPr>
        <w:t xml:space="preserve"> </w:t>
      </w:r>
      <w:r>
        <w:t>https://gitlab.com/apparmor/apparmor/-/wikis/Libvirt#implementation-overview</w:t>
      </w:r>
    </w:p>
    <w:p>
      <w:bookmarkStart w:id="867" w:name="page_5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4" name="index-575_1.png" descr="index-575_1.png"/>
            <wp:cNvGraphicFramePr>
              <a:graphicFrameLocks noChangeAspect="1"/>
            </wp:cNvGraphicFramePr>
            <a:graphic>
              <a:graphicData uri="http://schemas.openxmlformats.org/drawingml/2006/picture">
                <pic:pic>
                  <pic:nvPicPr>
                    <pic:cNvPr id="0" name="index-575_1.png" descr="index-575_1.png"/>
                    <pic:cNvPicPr/>
                  </pic:nvPicPr>
                  <pic:blipFill>
                    <a:blip r:embed="rId588"/>
                    <a:stretch>
                      <a:fillRect/>
                    </a:stretch>
                  </pic:blipFill>
                  <pic:spPr>
                    <a:xfrm>
                      <a:off x="0" y="0"/>
                      <a:ext cx="914400" cy="266700"/>
                    </a:xfrm>
                    <a:prstGeom prst="rect">
                      <a:avLst/>
                    </a:prstGeom>
                  </pic:spPr>
                </pic:pic>
              </a:graphicData>
            </a:graphic>
          </wp:anchor>
        </w:drawing>
      </w:r>
      <w:bookmarkEnd w:id="867"/>
    </w:p>
    <w:p>
      <w:pPr>
        <w:pStyle w:val="Para 04"/>
      </w:pPr>
      <w:r>
        <w:t>• Open up the guest isolation. Most of the time this is needed if the setup on the local</w:t>
      </w:r>
    </w:p>
    <w:p>
      <w:pPr>
        <w:pStyle w:val="Para 02"/>
      </w:pPr>
      <w:r>
        <w:t>machine does not follow the commonly used paths.</w:t>
      </w:r>
    </w:p>
    <w:p>
      <w:pPr>
        <w:pStyle w:val="Normal"/>
      </w:pPr>
      <w:r>
        <w:t>Two files are available for this purpose. Both are local overrides which allow you to modify them without getting them clobbered or seeing file prompts on package upgrades.</w:t>
      </w:r>
    </w:p>
    <w:p>
      <w:pPr>
        <w:pStyle w:val="Para 04"/>
      </w:pPr>
      <w:r>
        <w:t>• /etc/apparmor.d/local/abstractions/libvirt-qemu This will be applied to every guest.</w:t>
      </w:r>
    </w:p>
    <w:p>
      <w:pPr>
        <w:pStyle w:val="Para 02"/>
      </w:pPr>
      <w:r>
        <w:t xml:space="preserve">Therefore, it is a powerful (if rather blunt) tool and a useful place to add additional </w:t>
      </w:r>
      <w:hyperlink r:id="rId1527">
        <w:r>
          <w:rPr>
            <w:rStyle w:val="Text1"/>
          </w:rPr>
          <w:t>deny</w:t>
        </w:r>
      </w:hyperlink>
    </w:p>
    <w:p>
      <w:pPr>
        <w:pStyle w:val="Para 32"/>
      </w:pPr>
      <w:hyperlink r:id="rId1527">
        <w:r>
          <w:t>rules</w:t>
        </w:r>
      </w:hyperlink>
      <w:hyperlink r:id="rId1527">
        <w:r>
          <w:rPr>
            <w:rStyle w:val="Text10"/>
          </w:rPr>
          <w:t>598</w:t>
        </w:r>
      </w:hyperlink>
      <w:r>
        <w:rPr>
          <w:rStyle w:val="Text7"/>
        </w:rPr>
        <w:t>.</w:t>
      </w:r>
    </w:p>
    <w:p>
      <w:pPr>
        <w:pStyle w:val="Para 04"/>
      </w:pPr>
      <w:r>
        <w:t xml:space="preserve">• /etc/apparmor.d/local/usr.lib.libvirt.virt-aa-helper The above-mentioned </w:t>
      </w:r>
      <w:r>
        <w:rPr>
          <w:rStyle w:val="Text3"/>
        </w:rPr>
        <w:t>dy-</w:t>
      </w:r>
    </w:p>
    <w:p>
      <w:pPr>
        <w:pStyle w:val="Para 02"/>
      </w:pPr>
      <w:r>
        <w:rPr>
          <w:rStyle w:val="Text3"/>
        </w:rPr>
        <w:t>namic part</w:t>
      </w:r>
      <w:r>
        <w:t xml:space="preserve"> that is individual per guest is generated by a tool called libvirt.virt-aa-helper. That is under AppArmor isolation as well. This is most commonly used if you want to use uncommon paths as it allows one to have those uncommon paths in the</w:t>
      </w:r>
    </w:p>
    <w:p>
      <w:pPr>
        <w:pStyle w:val="Para 02"/>
      </w:pPr>
      <w:hyperlink r:id="rId1501">
        <w:r>
          <w:rPr>
            <w:rStyle w:val="Text1"/>
          </w:rPr>
          <w:t>guest XML</w:t>
        </w:r>
      </w:hyperlink>
      <w:hyperlink r:id="rId1501">
        <w:r>
          <w:rPr>
            <w:rStyle w:val="Text9"/>
          </w:rPr>
          <w:t>599</w:t>
        </w:r>
      </w:hyperlink>
      <w:r>
        <w:t xml:space="preserve"> (see virsh edit) and have those paths rendered to the per-guest dynamic rules.</w:t>
      </w:r>
    </w:p>
    <w:p>
      <w:pPr>
        <w:pStyle w:val="Para 17"/>
      </w:pPr>
      <w:r>
        <w:t/>
      </w:r>
    </w:p>
    <w:p>
      <w:pPr>
        <w:pStyle w:val="Para 01"/>
      </w:pPr>
      <w:r>
        <w:t>Sharing files between Host&lt;-&gt;Guest</w:t>
      </w:r>
    </w:p>
    <w:p>
      <w:pPr>
        <w:pStyle w:val="Para 17"/>
      </w:pPr>
      <w:r>
        <w:t/>
      </w:r>
    </w:p>
    <w:p>
      <w:pPr>
        <w:pStyle w:val="Normal"/>
      </w:pPr>
      <w:r>
        <w:t>To be able to exchange data, allocate the guest memory as “shared”. To do so, add the fol-lowing to the guest config:</w:t>
      </w:r>
    </w:p>
    <w:p>
      <w:pPr>
        <w:pStyle w:val="Para 01"/>
      </w:pPr>
      <w:r>
        <w:t>&lt;memoryBacking&gt;</w:t>
      </w:r>
    </w:p>
    <w:p>
      <w:pPr>
        <w:pStyle w:val="Para 03"/>
      </w:pPr>
      <w:r>
        <w:rPr>
          <w:rStyle w:val="Text0"/>
        </w:rPr>
        <w:t>&lt;access</w:t>
      </w:r>
      <w:r>
        <w:t xml:space="preserve"> </w:t>
        <w:t>mode='shared'</w:t>
      </w:r>
      <w:r>
        <w:rPr>
          <w:rStyle w:val="Text0"/>
        </w:rPr>
        <w:t>/&gt;</w:t>
      </w:r>
    </w:p>
    <w:p>
      <w:pPr>
        <w:pStyle w:val="Para 01"/>
      </w:pPr>
      <w:r>
        <w:t>&lt;/memoryBacking&gt;</w:t>
      </w:r>
    </w:p>
    <w:p>
      <w:pPr>
        <w:pStyle w:val="Para 17"/>
      </w:pPr>
      <w:r>
        <w:t/>
      </w:r>
    </w:p>
    <w:p>
      <w:pPr>
        <w:pStyle w:val="Normal"/>
      </w:pPr>
      <w:r>
        <w:t>For performance reasons (it helps virtiofs, but is generally wise to consider), using huge pages is recommended, which would look like:</w:t>
      </w:r>
    </w:p>
    <w:p>
      <w:pPr>
        <w:pStyle w:val="Para 01"/>
      </w:pPr>
      <w:r>
        <w:t>&lt;memoryBacking&gt;</w:t>
      </w:r>
    </w:p>
    <w:p>
      <w:pPr>
        <w:pStyle w:val="Para 08"/>
      </w:pPr>
      <w:r>
        <w:t>&lt;hugepages&gt;</w:t>
      </w:r>
    </w:p>
    <w:p>
      <w:pPr>
        <w:pStyle w:val="Para 02"/>
      </w:pPr>
      <w:r>
        <w:rPr>
          <w:rStyle w:val="Text0"/>
        </w:rPr>
        <w:t>&lt;page</w:t>
      </w:r>
      <w:r>
        <w:t xml:space="preserve"> </w:t>
        <w:t>size='2048' unit='KiB'</w:t>
      </w:r>
      <w:r>
        <w:rPr>
          <w:rStyle w:val="Text0"/>
        </w:rPr>
        <w:t>/&gt;</w:t>
      </w:r>
    </w:p>
    <w:p>
      <w:pPr>
        <w:pStyle w:val="Para 08"/>
      </w:pPr>
      <w:r>
        <w:t>&lt;/hugepages&gt;</w:t>
      </w:r>
    </w:p>
    <w:p>
      <w:pPr>
        <w:pStyle w:val="Para 03"/>
      </w:pPr>
      <w:r>
        <w:rPr>
          <w:rStyle w:val="Text0"/>
        </w:rPr>
        <w:t>&lt;access</w:t>
      </w:r>
      <w:r>
        <w:t xml:space="preserve"> </w:t>
        <w:t>mode='shared'</w:t>
      </w:r>
      <w:r>
        <w:rPr>
          <w:rStyle w:val="Text0"/>
        </w:rPr>
        <w:t>/&gt;</w:t>
      </w:r>
    </w:p>
    <w:p>
      <w:pPr>
        <w:pStyle w:val="Para 01"/>
      </w:pPr>
      <w:r>
        <w:t>&lt;/memoryBacking&gt;</w:t>
      </w:r>
    </w:p>
    <w:p>
      <w:pPr>
        <w:pStyle w:val="Para 17"/>
      </w:pPr>
      <w:r>
        <w:t/>
      </w:r>
    </w:p>
    <w:p>
      <w:pPr>
        <w:pStyle w:val="Normal"/>
      </w:pPr>
      <w:r>
        <w:t xml:space="preserve">In the guest definition, you can add filesystem sections to specify host paths to share with the guest. The </w:t>
      </w:r>
      <w:r>
        <w:rPr>
          <w:rStyle w:val="Text3"/>
        </w:rPr>
        <w:t>target dir</w:t>
      </w:r>
      <w:r>
        <w:t xml:space="preserve"> is special as it is not really a directory – instead, it is a </w:t>
      </w:r>
      <w:r>
        <w:rPr>
          <w:rStyle w:val="Text3"/>
        </w:rPr>
        <w:t>tag</w:t>
      </w:r>
      <w:r>
        <w:t xml:space="preserve"> that the guest can use to access this particular virtiofs instance.</w:t>
      </w:r>
    </w:p>
    <w:p>
      <w:pPr>
        <w:pStyle w:val="Normal"/>
      </w:pPr>
      <w:r>
        <w:rPr>
          <w:rStyle w:val="Text0"/>
        </w:rPr>
        <w:t>&lt;filesystem</w:t>
      </w:r>
      <w:r>
        <w:t xml:space="preserve"> </w:t>
        <w:t>type='mount' accessmode='passthrough'</w:t>
      </w:r>
      <w:r>
        <w:rPr>
          <w:rStyle w:val="Text0"/>
        </w:rPr>
        <w:t>&gt;</w:t>
      </w:r>
    </w:p>
    <w:p>
      <w:pPr>
        <w:pStyle w:val="Para 03"/>
      </w:pPr>
      <w:r>
        <w:rPr>
          <w:rStyle w:val="Text0"/>
        </w:rPr>
        <w:t>&lt;driver</w:t>
      </w:r>
      <w:r>
        <w:t xml:space="preserve"> </w:t>
        <w:t>type='virtiofs'</w:t>
      </w:r>
      <w:r>
        <w:rPr>
          <w:rStyle w:val="Text0"/>
        </w:rPr>
        <w:t>/&gt;</w:t>
      </w:r>
    </w:p>
    <w:p>
      <w:pPr>
        <w:pStyle w:val="Para 03"/>
      </w:pPr>
      <w:r>
        <w:rPr>
          <w:rStyle w:val="Text0"/>
        </w:rPr>
        <w:t>&lt;source</w:t>
      </w:r>
      <w:r>
        <w:t xml:space="preserve"> </w:t>
        <w:t>dir='/var/guests/h-virtiofs'</w:t>
      </w:r>
      <w:r>
        <w:rPr>
          <w:rStyle w:val="Text0"/>
        </w:rPr>
        <w:t>/&gt;</w:t>
      </w:r>
    </w:p>
    <w:p>
      <w:pPr>
        <w:pStyle w:val="Para 03"/>
      </w:pPr>
      <w:r>
        <w:rPr>
          <w:rStyle w:val="Text0"/>
        </w:rPr>
        <w:t>&lt;target</w:t>
      </w:r>
      <w:r>
        <w:t xml:space="preserve"> </w:t>
        <w:t>dir='myfs'</w:t>
      </w:r>
      <w:r>
        <w:rPr>
          <w:rStyle w:val="Text0"/>
        </w:rPr>
        <w:t>/&gt;</w:t>
      </w:r>
    </w:p>
    <w:p>
      <w:pPr>
        <w:pStyle w:val="Para 01"/>
      </w:pPr>
      <w:r>
        <w:t>&lt;/filesystem&gt;</w:t>
      </w:r>
    </w:p>
    <w:p>
      <w:pPr>
        <w:pStyle w:val="Para 17"/>
      </w:pPr>
      <w:r>
        <w:t/>
      </w:r>
    </w:p>
    <w:p>
      <w:pPr>
        <w:pStyle w:val="Normal"/>
      </w:pPr>
      <w:r>
        <w:t>In the guest, you can now use this based on the tag myfs:</w:t>
      </w:r>
    </w:p>
    <w:p>
      <w:pPr>
        <w:pStyle w:val="Normal"/>
      </w:pPr>
      <w:r>
        <w:t>sudo mount -t virtiofs myfs /mnt/</w:t>
      </w:r>
    </w:p>
    <w:p>
      <w:pPr>
        <w:pStyle w:val="Para 17"/>
      </w:pPr>
      <w:r>
        <w:t/>
      </w:r>
    </w:p>
    <w:p>
      <w:pPr>
        <w:pStyle w:val="Normal"/>
      </w:pPr>
      <w:r>
        <w:t>Compared to other Host/Guest file sharing options – commonly Samba, NFS, or 9P – virtiofs is usually much faster and also more compatible with usual file system semantics.</w:t>
      </w:r>
    </w:p>
    <w:p>
      <w:pPr>
        <w:pStyle w:val="Para 05"/>
      </w:pPr>
      <w:r>
        <w:rPr>
          <w:rStyle w:val="Text5"/>
        </w:rPr>
        <w:t>598</w:t>
      </w:r>
      <w:r>
        <w:rPr>
          <w:rStyle w:val="Text8"/>
        </w:rPr>
        <w:t xml:space="preserve"> </w:t>
      </w:r>
      <w:r>
        <w:t>https://gitlab.com/apparmor/apparmor/-/wikis/FAQ#what-is-default-deny-allow-listing</w:t>
      </w:r>
    </w:p>
    <w:p>
      <w:pPr>
        <w:pStyle w:val="Para 05"/>
      </w:pPr>
      <w:r>
        <w:rPr>
          <w:rStyle w:val="Text5"/>
        </w:rPr>
        <w:t>599</w:t>
      </w:r>
      <w:r>
        <w:rPr>
          <w:rStyle w:val="Text8"/>
        </w:rPr>
        <w:t xml:space="preserve"> </w:t>
      </w:r>
      <w:r>
        <w:t>https://libvirt.org/formatdomain.html</w:t>
      </w:r>
    </w:p>
    <w:p>
      <w:bookmarkStart w:id="868" w:name="page_5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5" name="index-576_1.png" descr="index-576_1.png"/>
            <wp:cNvGraphicFramePr>
              <a:graphicFrameLocks noChangeAspect="1"/>
            </wp:cNvGraphicFramePr>
            <a:graphic>
              <a:graphicData uri="http://schemas.openxmlformats.org/drawingml/2006/picture">
                <pic:pic>
                  <pic:nvPicPr>
                    <pic:cNvPr id="0" name="index-576_1.png" descr="index-576_1.png"/>
                    <pic:cNvPicPr/>
                  </pic:nvPicPr>
                  <pic:blipFill>
                    <a:blip r:embed="rId589"/>
                    <a:stretch>
                      <a:fillRect/>
                    </a:stretch>
                  </pic:blipFill>
                  <pic:spPr>
                    <a:xfrm>
                      <a:off x="0" y="0"/>
                      <a:ext cx="914400" cy="266700"/>
                    </a:xfrm>
                    <a:prstGeom prst="rect">
                      <a:avLst/>
                    </a:prstGeom>
                  </pic:spPr>
                </pic:pic>
              </a:graphicData>
            </a:graphic>
          </wp:anchor>
        </w:drawing>
      </w:r>
      <w:bookmarkEnd w:id="868"/>
    </w:p>
    <w:p>
      <w:pPr>
        <w:pStyle w:val="Para 18"/>
      </w:pPr>
      <w:r>
        <w:rPr>
          <w:rStyle w:val="Text7"/>
        </w:rPr>
        <w:t xml:space="preserve">See the </w:t>
      </w:r>
      <w:hyperlink r:id="rId1528">
        <w:r>
          <w:rPr>
            <w:rStyle w:val="Text10"/>
          </w:rPr>
          <w:t>600</w:t>
        </w:r>
      </w:hyperlink>
      <w:hyperlink r:id="rId1528">
        <w:r>
          <w:t xml:space="preserve"> libvirt domain/filesystem documentation</w:t>
        </w:r>
      </w:hyperlink>
      <w:r>
        <w:rPr>
          <w:rStyle w:val="Text7"/>
        </w:rPr>
        <w:t xml:space="preserve"> for further details.</w:t>
      </w:r>
    </w:p>
    <w:p>
      <w:pPr>
        <w:pStyle w:val="Para 08"/>
      </w:pPr>
      <w:r>
        <w:t>Note:</w:t>
      </w:r>
    </w:p>
    <w:p>
      <w:pPr>
        <w:pStyle w:val="Para 03"/>
      </w:pPr>
      <w:r>
        <w:t>While virtiofs works with &gt;=20.10 (Groovy), &gt;=21.04 (Hirsute) made it more convenient,</w:t>
      </w:r>
    </w:p>
    <w:p>
      <w:pPr>
        <w:pStyle w:val="Para 03"/>
      </w:pPr>
      <w:r>
        <w:t>especially in small environments (no hard requirement to specify guest Numa topology</w:t>
      </w:r>
    </w:p>
    <w:p>
      <w:pPr>
        <w:pStyle w:val="Para 03"/>
      </w:pPr>
      <w:r>
        <w:t>or use huge pages). If you need to set up on 20.10 or want more details, the libvirt</w:t>
      </w:r>
    </w:p>
    <w:p>
      <w:pPr>
        <w:pStyle w:val="Para 03"/>
      </w:pPr>
      <w:hyperlink r:id="rId1529">
        <w:r>
          <w:rPr>
            <w:rStyle w:val="Text1"/>
          </w:rPr>
          <w:t>knowledge-base about virtiofs</w:t>
        </w:r>
      </w:hyperlink>
      <w:hyperlink w:anchor="page_576">
        <w:r>
          <w:rPr>
            <w:rStyle w:val="Text9"/>
          </w:rPr>
          <w:t>601</w:t>
        </w:r>
      </w:hyperlink>
      <w:r>
        <w:t xml:space="preserve"> provides additional information.</w:t>
      </w:r>
    </w:p>
    <w:p>
      <w:pPr>
        <w:pStyle w:val="Para 05"/>
      </w:pPr>
      <w:r>
        <w:rPr>
          <w:rStyle w:val="Text5"/>
        </w:rPr>
        <w:t>601</w:t>
      </w:r>
      <w:r>
        <w:rPr>
          <w:rStyle w:val="Text8"/>
        </w:rPr>
        <w:t xml:space="preserve"> </w:t>
      </w:r>
      <w:r>
        <w:t>https://libvirt.org/kbase/virtiofs.html</w:t>
      </w:r>
    </w:p>
    <w:p>
      <w:pPr>
        <w:pStyle w:val="Para 17"/>
      </w:pPr>
      <w:r>
        <w:t/>
      </w:r>
    </w:p>
    <w:p>
      <w:pPr>
        <w:pStyle w:val="Para 01"/>
      </w:pPr>
      <w:r>
        <w:t>Resources</w:t>
      </w:r>
    </w:p>
    <w:p>
      <w:pPr>
        <w:pStyle w:val="Para 17"/>
      </w:pPr>
      <w:r>
        <w:t/>
      </w:r>
    </w:p>
    <w:p>
      <w:pPr>
        <w:pStyle w:val="Para 04"/>
      </w:pPr>
      <w:r>
        <w:t xml:space="preserve">• See the </w:t>
      </w:r>
      <w:hyperlink r:id="rId1530">
        <w:r>
          <w:rPr>
            <w:rStyle w:val="Text9"/>
          </w:rPr>
          <w:t>602</w:t>
        </w:r>
      </w:hyperlink>
      <w:hyperlink r:id="rId1530">
        <w:r>
          <w:rPr>
            <w:rStyle w:val="Text1"/>
          </w:rPr>
          <w:t xml:space="preserve"> KVM home page</w:t>
        </w:r>
      </w:hyperlink>
      <w:r>
        <w:t xml:space="preserve"> for more details.</w:t>
      </w:r>
    </w:p>
    <w:p>
      <w:pPr>
        <w:pStyle w:val="Para 04"/>
      </w:pPr>
      <w:r>
        <w:t xml:space="preserve">• For more information on libvirt see the </w:t>
      </w:r>
      <w:hyperlink w:anchor="page_576">
        <w:r>
          <w:rPr>
            <w:rStyle w:val="Text9"/>
          </w:rPr>
          <w:t>603</w:t>
        </w:r>
      </w:hyperlink>
      <w:r>
        <w:t xml:space="preserve"> </w:t>
      </w:r>
      <w:hyperlink r:id="rId1481">
        <w:r>
          <w:rPr>
            <w:rStyle w:val="Text1"/>
          </w:rPr>
          <w:t>libvirt home page</w:t>
        </w:r>
      </w:hyperlink>
      <w:r>
        <w:t>.</w:t>
      </w:r>
    </w:p>
    <w:p>
      <w:pPr>
        <w:pStyle w:val="Para 06"/>
      </w:pPr>
      <w:r>
        <w:rPr>
          <w:rStyle w:val="Text0"/>
        </w:rPr>
        <w:t>–</w:t>
      </w:r>
      <w:r>
        <w:t xml:space="preserve"> </w:t>
      </w:r>
      <w:hyperlink w:anchor="page_576">
        <w:r>
          <w:rPr>
            <w:rStyle w:val="Text9"/>
          </w:rPr>
          <w:t>604</w:t>
        </w:r>
      </w:hyperlink>
      <w:r>
        <w:t xml:space="preserve"> </w:t>
      </w:r>
      <w:hyperlink r:id="rId1531">
        <w:r>
          <w:rPr>
            <w:rStyle w:val="Text9"/>
          </w:rPr>
          <w:t>605</w:t>
        </w:r>
      </w:hyperlink>
      <w:r>
        <w:t xml:space="preserve"> XML configuration of </w:t>
      </w:r>
      <w:hyperlink r:id="rId1501">
        <w:r>
          <w:rPr>
            <w:rStyle w:val="Text1"/>
          </w:rPr>
          <w:t>domains</w:t>
        </w:r>
      </w:hyperlink>
      <w:r>
        <w:t xml:space="preserve"> and </w:t>
      </w:r>
      <w:hyperlink r:id="rId1531">
        <w:r>
          <w:rPr>
            <w:rStyle w:val="Text1"/>
          </w:rPr>
          <w:t>storage</w:t>
        </w:r>
      </w:hyperlink>
      <w:r>
        <w:t xml:space="preserve"> are the most often used libvirt</w:t>
      </w:r>
    </w:p>
    <w:p>
      <w:pPr>
        <w:pStyle w:val="Para 11"/>
      </w:pPr>
      <w:r>
        <w:t>reference.</w:t>
      </w:r>
    </w:p>
    <w:p>
      <w:pPr>
        <w:pStyle w:val="Para 04"/>
      </w:pPr>
      <w:r>
        <w:t xml:space="preserve">• Another good resource is the </w:t>
      </w:r>
      <w:hyperlink r:id="rId1532">
        <w:r>
          <w:rPr>
            <w:rStyle w:val="Text9"/>
          </w:rPr>
          <w:t>606</w:t>
        </w:r>
      </w:hyperlink>
      <w:hyperlink r:id="rId1532">
        <w:r>
          <w:rPr>
            <w:rStyle w:val="Text1"/>
          </w:rPr>
          <w:t xml:space="preserve"> Ubuntu Wiki KVM</w:t>
        </w:r>
      </w:hyperlink>
      <w:r>
        <w:t xml:space="preserve"> page.</w:t>
      </w:r>
    </w:p>
    <w:p>
      <w:pPr>
        <w:pStyle w:val="Para 04"/>
      </w:pPr>
      <w:r>
        <w:t xml:space="preserve">• For basics on how to assign VT-d devices to QEMU/KVM, please see the </w:t>
      </w:r>
      <w:hyperlink r:id="rId1533">
        <w:r>
          <w:rPr>
            <w:rStyle w:val="Text9"/>
          </w:rPr>
          <w:t>607</w:t>
        </w:r>
      </w:hyperlink>
      <w:hyperlink r:id="rId1533">
        <w:r>
          <w:rPr>
            <w:rStyle w:val="Text1"/>
          </w:rPr>
          <w:t xml:space="preserve"> linux-kvm</w:t>
        </w:r>
      </w:hyperlink>
    </w:p>
    <w:p>
      <w:pPr>
        <w:pStyle w:val="Para 02"/>
      </w:pPr>
      <w:r>
        <w:t>page.</w:t>
      </w:r>
    </w:p>
    <w:p>
      <w:pPr>
        <w:pStyle w:val="Para 13"/>
      </w:pPr>
      <w:r>
        <w:rPr>
          <w:rStyle w:val="Text7"/>
        </w:rPr>
        <w:t xml:space="preserve">• </w:t>
      </w:r>
      <w:hyperlink w:anchor="page_576">
        <w:r>
          <w:rPr>
            <w:rStyle w:val="Text10"/>
          </w:rPr>
          <w:t>608</w:t>
        </w:r>
      </w:hyperlink>
      <w:r>
        <w:rPr>
          <w:rStyle w:val="Text7"/>
        </w:rPr>
        <w:t xml:space="preserve"> </w:t>
      </w:r>
      <w:hyperlink r:id="rId1534">
        <w:r>
          <w:t>Introduction to Memory Management in Linux</w:t>
        </w:r>
      </w:hyperlink>
    </w:p>
    <w:p>
      <w:pPr>
        <w:pStyle w:val="Para 17"/>
      </w:pPr>
      <w:r>
        <w:t/>
      </w:r>
    </w:p>
    <w:p>
      <w:pPr>
        <w:pStyle w:val="Para 01"/>
      </w:pPr>
      <w:r>
        <w:t>Virtual Machine Manager</w:t>
      </w:r>
    </w:p>
    <w:p>
      <w:pPr>
        <w:pStyle w:val="Para 17"/>
      </w:pPr>
      <w:r>
        <w:t/>
      </w:r>
    </w:p>
    <w:p>
      <w:pPr>
        <w:pStyle w:val="Normal"/>
      </w:pPr>
      <w:r>
        <w:t xml:space="preserve">The </w:t>
      </w:r>
      <w:hyperlink r:id="rId1470">
        <w:r>
          <w:rPr>
            <w:rStyle w:val="Text9"/>
          </w:rPr>
          <w:t>609</w:t>
        </w:r>
      </w:hyperlink>
      <w:hyperlink r:id="rId1470">
        <w:r>
          <w:rPr>
            <w:rStyle w:val="Text1"/>
          </w:rPr>
          <w:t xml:space="preserve"> Virtual Machine Manager</w:t>
        </w:r>
      </w:hyperlink>
      <w:r>
        <w:t>, through the virt-manager package, provides a graphical user interface (GUI) for managing local and remote virtual machines. In addition to the virt-manager utility itself, the package also contains a collection of other helpful tools like virt-install, virt-clone and virt-viewer.</w:t>
      </w:r>
    </w:p>
    <w:p>
      <w:pPr>
        <w:pStyle w:val="Para 05"/>
      </w:pPr>
      <w:r>
        <w:rPr>
          <w:rStyle w:val="Text5"/>
        </w:rPr>
        <w:t>600</w:t>
      </w:r>
      <w:r>
        <w:rPr>
          <w:rStyle w:val="Text8"/>
        </w:rPr>
        <w:t xml:space="preserve"> </w:t>
      </w:r>
      <w:r>
        <w:t>https://libvirt.org/formatdomain.html#filesystems</w:t>
      </w:r>
    </w:p>
    <w:p>
      <w:pPr>
        <w:pStyle w:val="Para 05"/>
      </w:pPr>
      <w:r>
        <w:rPr>
          <w:rStyle w:val="Text5"/>
        </w:rPr>
        <w:t>602</w:t>
      </w:r>
      <w:r>
        <w:rPr>
          <w:rStyle w:val="Text8"/>
        </w:rPr>
        <w:t xml:space="preserve"> </w:t>
      </w:r>
      <w:r>
        <w:t>https://linux-kvm.org/page/Main_Page</w:t>
      </w:r>
    </w:p>
    <w:p>
      <w:pPr>
        <w:pStyle w:val="Para 05"/>
      </w:pPr>
      <w:r>
        <w:rPr>
          <w:rStyle w:val="Text5"/>
        </w:rPr>
        <w:t>603</w:t>
      </w:r>
      <w:r>
        <w:rPr>
          <w:rStyle w:val="Text8"/>
        </w:rPr>
        <w:t xml:space="preserve"> </w:t>
      </w:r>
      <w:r>
        <w:t>https://libvirt.org/</w:t>
      </w:r>
    </w:p>
    <w:p>
      <w:pPr>
        <w:pStyle w:val="Para 05"/>
      </w:pPr>
      <w:r>
        <w:rPr>
          <w:rStyle w:val="Text5"/>
        </w:rPr>
        <w:t>604</w:t>
      </w:r>
      <w:r>
        <w:rPr>
          <w:rStyle w:val="Text8"/>
        </w:rPr>
        <w:t xml:space="preserve"> </w:t>
      </w:r>
      <w:r>
        <w:t>https://libvirt.org/formatdomain.html</w:t>
      </w:r>
    </w:p>
    <w:p>
      <w:pPr>
        <w:pStyle w:val="Para 05"/>
      </w:pPr>
      <w:r>
        <w:rPr>
          <w:rStyle w:val="Text5"/>
        </w:rPr>
        <w:t>605</w:t>
      </w:r>
      <w:r>
        <w:rPr>
          <w:rStyle w:val="Text8"/>
        </w:rPr>
        <w:t xml:space="preserve"> </w:t>
      </w:r>
      <w:r>
        <w:t>https://libvirt.org/formatstorage.html</w:t>
      </w:r>
    </w:p>
    <w:p>
      <w:pPr>
        <w:pStyle w:val="Para 05"/>
      </w:pPr>
      <w:r>
        <w:rPr>
          <w:rStyle w:val="Text5"/>
        </w:rPr>
        <w:t>606</w:t>
      </w:r>
      <w:r>
        <w:rPr>
          <w:rStyle w:val="Text8"/>
        </w:rPr>
        <w:t xml:space="preserve"> </w:t>
      </w:r>
      <w:r>
        <w:t>https://help.ubuntu.com/community/KVM</w:t>
      </w:r>
    </w:p>
    <w:p>
      <w:pPr>
        <w:pStyle w:val="Para 05"/>
      </w:pPr>
      <w:r>
        <w:rPr>
          <w:rStyle w:val="Text5"/>
        </w:rPr>
        <w:t>607</w:t>
      </w:r>
      <w:r>
        <w:rPr>
          <w:rStyle w:val="Text8"/>
        </w:rPr>
        <w:t xml:space="preserve"> </w:t>
      </w:r>
      <w:r>
        <w:t>https://www.linux-kvm.org/page/How_to_assign_devices_with_VT-d_in_KVM#Assigning_the_device</w:t>
      </w:r>
    </w:p>
    <w:p>
      <w:pPr>
        <w:pStyle w:val="Para 05"/>
      </w:pPr>
      <w:r>
        <w:rPr>
          <w:rStyle w:val="Text5"/>
        </w:rPr>
        <w:t>608</w:t>
      </w:r>
      <w:r>
        <w:rPr>
          <w:rStyle w:val="Text8"/>
        </w:rPr>
        <w:t xml:space="preserve"> </w:t>
      </w:r>
      <w:r>
        <w:t>https://www.youtube.com/watch?v=7aONIVSXiJ8</w:t>
      </w:r>
    </w:p>
    <w:p>
      <w:pPr>
        <w:pStyle w:val="Para 05"/>
      </w:pPr>
      <w:r>
        <w:rPr>
          <w:rStyle w:val="Text5"/>
        </w:rPr>
        <w:t>609</w:t>
      </w:r>
      <w:r>
        <w:rPr>
          <w:rStyle w:val="Text8"/>
        </w:rPr>
        <w:t xml:space="preserve"> </w:t>
      </w:r>
      <w:r>
        <w:t>https://virt-manager.org/</w:t>
      </w:r>
    </w:p>
    <w:p>
      <w:bookmarkStart w:id="869" w:name="calibre_pb_146"/>
      <w:pPr>
        <w:pStyle w:val="0 Block"/>
      </w:pPr>
      <w:bookmarkEnd w:id="869"/>
    </w:p>
    <w:p>
      <w:bookmarkStart w:id="870" w:name="page_577"/>
      <w:bookmarkStart w:id="871" w:name="Top_of_index_split_14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6" name="index-577_1.png" descr="index-577_1.png"/>
            <wp:cNvGraphicFramePr>
              <a:graphicFrameLocks noChangeAspect="1"/>
            </wp:cNvGraphicFramePr>
            <a:graphic>
              <a:graphicData uri="http://schemas.openxmlformats.org/drawingml/2006/picture">
                <pic:pic>
                  <pic:nvPicPr>
                    <pic:cNvPr id="0" name="index-577_1.png" descr="index-577_1.png"/>
                    <pic:cNvPicPr/>
                  </pic:nvPicPr>
                  <pic:blipFill>
                    <a:blip r:embed="rId590"/>
                    <a:stretch>
                      <a:fillRect/>
                    </a:stretch>
                  </pic:blipFill>
                  <pic:spPr>
                    <a:xfrm>
                      <a:off x="0" y="0"/>
                      <a:ext cx="914400" cy="266700"/>
                    </a:xfrm>
                    <a:prstGeom prst="rect">
                      <a:avLst/>
                    </a:prstGeom>
                  </pic:spPr>
                </pic:pic>
              </a:graphicData>
            </a:graphic>
          </wp:anchor>
        </w:drawing>
      </w:r>
      <w:bookmarkEnd w:id="870"/>
      <w:bookmarkEnd w:id="871"/>
    </w:p>
    <w:p>
      <w:pPr>
        <w:pStyle w:val="Para 01"/>
      </w:pPr>
      <w:r>
        <w:t>Install virt-manager</w:t>
      </w:r>
    </w:p>
    <w:p>
      <w:pPr>
        <w:pStyle w:val="Para 17"/>
      </w:pPr>
      <w:r>
        <w:t/>
      </w:r>
    </w:p>
    <w:p>
      <w:pPr>
        <w:pStyle w:val="Normal"/>
      </w:pPr>
      <w:r>
        <w:t>To install virt-manager, enter:</w:t>
      </w:r>
    </w:p>
    <w:p>
      <w:pPr>
        <w:pStyle w:val="Normal"/>
      </w:pPr>
      <w:r>
        <w:t>sudo apt install virt-manager</w:t>
      </w:r>
    </w:p>
    <w:p>
      <w:pPr>
        <w:pStyle w:val="Para 17"/>
      </w:pPr>
      <w:r>
        <w:t/>
      </w:r>
    </w:p>
    <w:p>
      <w:pPr>
        <w:pStyle w:val="Normal"/>
      </w:pPr>
      <w:r>
        <w:t xml:space="preserve">Since virt-manager requires a </w:t>
      </w:r>
      <w:hyperlink w:anchor="page_687">
        <w:r>
          <w:rPr>
            <w:rStyle w:val="Text2"/>
          </w:rPr>
          <w:t>Graphical User Interface (GUI)</w:t>
        </w:r>
      </w:hyperlink>
      <w:r>
        <w:t xml:space="preserve"> environment we recommend in-stalling it on a workstation or test machine instead of a production server. To connect to the local libvirt service, enter:</w:t>
      </w:r>
    </w:p>
    <w:p>
      <w:pPr>
        <w:pStyle w:val="Normal"/>
      </w:pPr>
      <w:r>
        <w:t>virt-manager</w:t>
      </w:r>
    </w:p>
    <w:p>
      <w:pPr>
        <w:pStyle w:val="Para 17"/>
      </w:pPr>
      <w:r>
        <w:t/>
      </w:r>
    </w:p>
    <w:p>
      <w:pPr>
        <w:pStyle w:val="Normal"/>
      </w:pPr>
      <w:r>
        <w:t>You can connect to the libvirt service running on another host by entering the following in a terminal prompt:</w:t>
      </w:r>
    </w:p>
    <w:p>
      <w:pPr>
        <w:pStyle w:val="Normal"/>
      </w:pPr>
      <w:r>
        <w:t>virt-manager -c qemu+ssh://virtnode1.mydomain.com/system</w:t>
      </w:r>
    </w:p>
    <w:p>
      <w:pPr>
        <w:pStyle w:val="Para 17"/>
      </w:pPr>
      <w:r>
        <w:t/>
      </w:r>
    </w:p>
    <w:p>
      <w:pPr>
        <w:pStyle w:val="Para 08"/>
      </w:pPr>
      <w:r>
        <w:t>Note:</w:t>
      </w:r>
    </w:p>
    <w:p>
      <w:pPr>
        <w:pStyle w:val="Para 03"/>
      </w:pPr>
      <w:r>
        <w:t>The above example assumes that SSH connectivity between the management system and</w:t>
      </w:r>
    </w:p>
    <w:p>
      <w:pPr>
        <w:pStyle w:val="Para 03"/>
      </w:pPr>
      <w:r>
        <w:t xml:space="preserve">the target system has already been configured, and uses </w:t>
      </w:r>
      <w:r>
        <w:rPr>
          <w:rStyle w:val="Text0"/>
        </w:rPr>
        <w:t>SSH keys</w:t>
      </w:r>
      <w:r>
        <w:t xml:space="preserve"> for authentication. SSH</w:t>
      </w:r>
    </w:p>
    <w:p>
      <w:pPr>
        <w:pStyle w:val="Para 03"/>
      </w:pPr>
      <w:r>
        <w:t>keys are needed because libvirt sends the password prompt to another process. See our</w:t>
      </w:r>
    </w:p>
    <w:p>
      <w:pPr>
        <w:pStyle w:val="Para 03"/>
      </w:pPr>
      <w:r>
        <w:t xml:space="preserve">guide on OpenSSH for details on </w:t>
      </w:r>
      <w:hyperlink w:anchor="page_188">
        <w:r>
          <w:rPr>
            <w:rStyle w:val="Text2"/>
          </w:rPr>
          <w:t>how to set up SSH keys</w:t>
        </w:r>
      </w:hyperlink>
      <w:r>
        <w:t xml:space="preserve"> (page 187).</w:t>
      </w:r>
    </w:p>
    <w:p>
      <w:pPr>
        <w:pStyle w:val="Para 17"/>
      </w:pPr>
      <w:r>
        <w:t/>
      </w:r>
    </w:p>
    <w:p>
      <w:pPr>
        <w:pStyle w:val="Para 01"/>
      </w:pPr>
      <w:r>
        <w:t>Use virt-manager to manage guests</w:t>
      </w:r>
    </w:p>
    <w:p>
      <w:pPr>
        <w:pStyle w:val="Para 17"/>
      </w:pPr>
      <w:r>
        <w:t/>
      </w:r>
    </w:p>
    <w:p>
      <w:pPr>
        <w:pStyle w:val="Para 01"/>
      </w:pPr>
      <w:r>
        <w:t>Guest lifecycle</w:t>
      </w:r>
    </w:p>
    <w:p>
      <w:pPr>
        <w:pStyle w:val="Para 17"/>
      </w:pPr>
      <w:r>
        <w:t/>
      </w:r>
    </w:p>
    <w:p>
      <w:pPr>
        <w:pStyle w:val="Normal"/>
      </w:pPr>
      <w:r>
        <w:t xml:space="preserve">When using virt-manager, it is always important to know the context you’re looking at. The main window initially lists only the currently-defined guests. You’ll see their </w:t>
      </w:r>
      <w:r>
        <w:rPr>
          <w:rStyle w:val="Text0"/>
        </w:rPr>
        <w:t>name</w:t>
      </w:r>
      <w:r>
        <w:t xml:space="preserve">, </w:t>
      </w:r>
      <w:r>
        <w:rPr>
          <w:rStyle w:val="Text0"/>
        </w:rPr>
        <w:t>state</w:t>
      </w:r>
      <w:r>
        <w:t xml:space="preserve"> (e.g., ‘Shutoff’ or ‘Running’) and a small chart showing the </w:t>
      </w:r>
      <w:r>
        <w:rPr>
          <w:rStyle w:val="Text0"/>
        </w:rPr>
        <w:t>CPU usage</w:t>
      </w:r>
      <w:r>
        <w:t>.</w:t>
      </w:r>
    </w:p>
    <w:p>
      <w:bookmarkStart w:id="872" w:name="calibre_pb_147"/>
      <w:pPr>
        <w:pStyle w:val="0 Block"/>
      </w:pPr>
      <w:bookmarkEnd w:id="872"/>
    </w:p>
    <w:p>
      <w:bookmarkStart w:id="873" w:name="page_578"/>
      <w:bookmarkStart w:id="874" w:name="Top_of_index_split_14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7" name="index-578_1.png" descr="index-578_1.png"/>
            <wp:cNvGraphicFramePr>
              <a:graphicFrameLocks noChangeAspect="1"/>
            </wp:cNvGraphicFramePr>
            <a:graphic>
              <a:graphicData uri="http://schemas.openxmlformats.org/drawingml/2006/picture">
                <pic:pic>
                  <pic:nvPicPr>
                    <pic:cNvPr id="0" name="index-578_1.png" descr="index-578_1.png"/>
                    <pic:cNvPicPr/>
                  </pic:nvPicPr>
                  <pic:blipFill>
                    <a:blip r:embed="rId591"/>
                    <a:stretch>
                      <a:fillRect/>
                    </a:stretch>
                  </pic:blipFill>
                  <pic:spPr>
                    <a:xfrm>
                      <a:off x="0" y="0"/>
                      <a:ext cx="914400" cy="266700"/>
                    </a:xfrm>
                    <a:prstGeom prst="rect">
                      <a:avLst/>
                    </a:prstGeom>
                  </pic:spPr>
                </pic:pic>
              </a:graphicData>
            </a:graphic>
          </wp:anchor>
        </w:drawing>
      </w:r>
      <w:bookmarkEnd w:id="873"/>
      <w:bookmarkEnd w:id="874"/>
    </w:p>
    <w:p>
      <w:pPr>
        <w:pStyle w:val="Normal"/>
      </w:pPr>
      <w:r>
        <w:t xml:space="preserve">In this context, there isn’t much to do except start/stop a guest. However, by double-clicking on a guest or by clicking the </w:t>
      </w:r>
      <w:r>
        <w:rPr>
          <w:rStyle w:val="Text0"/>
        </w:rPr>
        <w:t>Open</w:t>
      </w:r>
      <w:r>
        <w:t xml:space="preserve"> button at the top of the window, you can see the guest itself. For a running guest, that includes the guest’s main-console/virtual-screen output.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4394200"/>
            <wp:effectExtent l="0" r="0" t="0" b="0"/>
            <wp:wrapTopAndBottom/>
            <wp:docPr id="588" name="index-578_2.png" descr="index-578_2.png"/>
            <wp:cNvGraphicFramePr>
              <a:graphicFrameLocks noChangeAspect="1"/>
            </wp:cNvGraphicFramePr>
            <a:graphic>
              <a:graphicData uri="http://schemas.openxmlformats.org/drawingml/2006/picture">
                <pic:pic>
                  <pic:nvPicPr>
                    <pic:cNvPr id="0" name="index-578_2.png" descr="index-578_2.png"/>
                    <pic:cNvPicPr/>
                  </pic:nvPicPr>
                  <pic:blipFill>
                    <a:blip r:embed="rId592"/>
                    <a:stretch>
                      <a:fillRect/>
                    </a:stretch>
                  </pic:blipFill>
                  <pic:spPr>
                    <a:xfrm>
                      <a:off x="0" y="0"/>
                      <a:ext cx="3670300" cy="4394200"/>
                    </a:xfrm>
                    <a:prstGeom prst="rect">
                      <a:avLst/>
                    </a:prstGeom>
                  </pic:spPr>
                </pic:pic>
              </a:graphicData>
            </a:graphic>
          </wp:anchor>
        </w:drawing>
      </w:r>
    </w:p>
    <w:p>
      <w:bookmarkStart w:id="875" w:name="calibre_pb_148"/>
      <w:pPr>
        <w:pStyle w:val="0 Block"/>
      </w:pPr>
      <w:bookmarkEnd w:id="875"/>
    </w:p>
    <w:p>
      <w:bookmarkStart w:id="876" w:name="page_579"/>
      <w:bookmarkStart w:id="877" w:name="Top_of_index_split_14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89" name="index-579_1.png" descr="index-579_1.png"/>
            <wp:cNvGraphicFramePr>
              <a:graphicFrameLocks noChangeAspect="1"/>
            </wp:cNvGraphicFramePr>
            <a:graphic>
              <a:graphicData uri="http://schemas.openxmlformats.org/drawingml/2006/picture">
                <pic:pic>
                  <pic:nvPicPr>
                    <pic:cNvPr id="0" name="index-579_1.png" descr="index-579_1.png"/>
                    <pic:cNvPicPr/>
                  </pic:nvPicPr>
                  <pic:blipFill>
                    <a:blip r:embed="rId593"/>
                    <a:stretch>
                      <a:fillRect/>
                    </a:stretch>
                  </pic:blipFill>
                  <pic:spPr>
                    <a:xfrm>
                      <a:off x="0" y="0"/>
                      <a:ext cx="914400" cy="266700"/>
                    </a:xfrm>
                    <a:prstGeom prst="rect">
                      <a:avLst/>
                    </a:prstGeom>
                  </pic:spPr>
                </pic:pic>
              </a:graphicData>
            </a:graphic>
          </wp:anchor>
        </w:drawing>
      </w:r>
      <w:bookmarkEnd w:id="876"/>
      <w:bookmarkEnd w:id="877"/>
    </w:p>
    <w:p>
      <w:pPr>
        <w:pStyle w:val="Normal"/>
      </w:pPr>
      <w:r>
        <w:t>If you are deeper in the guest configuration, clicking on “Show the graphical console” in the top left of the guest’s window will get you back to this output.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044700"/>
            <wp:effectExtent l="0" r="0" t="0" b="0"/>
            <wp:wrapTopAndBottom/>
            <wp:docPr id="590" name="index-579_2.png" descr="index-579_2.png"/>
            <wp:cNvGraphicFramePr>
              <a:graphicFrameLocks noChangeAspect="1"/>
            </wp:cNvGraphicFramePr>
            <a:graphic>
              <a:graphicData uri="http://schemas.openxmlformats.org/drawingml/2006/picture">
                <pic:pic>
                  <pic:nvPicPr>
                    <pic:cNvPr id="0" name="index-579_2.png" descr="index-579_2.png"/>
                    <pic:cNvPicPr/>
                  </pic:nvPicPr>
                  <pic:blipFill>
                    <a:blip r:embed="rId594"/>
                    <a:stretch>
                      <a:fillRect/>
                    </a:stretch>
                  </pic:blipFill>
                  <pic:spPr>
                    <a:xfrm>
                      <a:off x="0" y="0"/>
                      <a:ext cx="3670300" cy="2044700"/>
                    </a:xfrm>
                    <a:prstGeom prst="rect">
                      <a:avLst/>
                    </a:prstGeom>
                  </pic:spPr>
                </pic:pic>
              </a:graphicData>
            </a:graphic>
          </wp:anchor>
        </w:drawing>
      </w:r>
    </w:p>
    <w:p>
      <w:pPr>
        <w:pStyle w:val="Para 17"/>
      </w:pPr>
      <w:r>
        <w:t/>
      </w:r>
    </w:p>
    <w:p>
      <w:pPr>
        <w:pStyle w:val="Para 01"/>
      </w:pPr>
      <w:r>
        <w:t>Guest modification</w:t>
      </w:r>
    </w:p>
    <w:p>
      <w:pPr>
        <w:pStyle w:val="Para 17"/>
      </w:pPr>
      <w:r>
        <w:t/>
      </w:r>
    </w:p>
    <w:p>
      <w:pPr>
        <w:pStyle w:val="Normal"/>
      </w:pPr>
      <w:r>
        <w:t>virt-manager provides a handy, GUI-assisted way to edit guest definitions. To do so, the per-guest context view will have “Show virtual hardware details” at the top of the guest window.</w:t>
      </w:r>
    </w:p>
    <w:p>
      <w:pPr>
        <w:pStyle w:val="Normal"/>
      </w:pPr>
      <w:r>
        <w:t xml:space="preserve">Here, you can edit the virtual hardware of the guest, which will alter the </w:t>
      </w:r>
      <w:hyperlink r:id="rId1501">
        <w:r>
          <w:rPr>
            <w:rStyle w:val="Text1"/>
          </w:rPr>
          <w:t>guest representa-</w:t>
        </w:r>
      </w:hyperlink>
    </w:p>
    <w:p>
      <w:pPr>
        <w:pStyle w:val="Normal"/>
      </w:pPr>
      <w:hyperlink r:id="rId1501">
        <w:r>
          <w:rPr>
            <w:rStyle w:val="Text1"/>
          </w:rPr>
          <w:t>tion</w:t>
        </w:r>
      </w:hyperlink>
      <w:hyperlink r:id="rId1501">
        <w:r>
          <w:rPr>
            <w:rStyle w:val="Text9"/>
          </w:rPr>
          <w:t>610</w:t>
        </w:r>
      </w:hyperlink>
      <w:r>
        <w:t xml:space="preserve"> behind the scenes.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828800"/>
            <wp:effectExtent l="0" r="0" t="0" b="0"/>
            <wp:wrapTopAndBottom/>
            <wp:docPr id="591" name="index-579_3.png" descr="index-579_3.png"/>
            <wp:cNvGraphicFramePr>
              <a:graphicFrameLocks noChangeAspect="1"/>
            </wp:cNvGraphicFramePr>
            <a:graphic>
              <a:graphicData uri="http://schemas.openxmlformats.org/drawingml/2006/picture">
                <pic:pic>
                  <pic:nvPicPr>
                    <pic:cNvPr id="0" name="index-579_3.png" descr="index-579_3.png"/>
                    <pic:cNvPicPr/>
                  </pic:nvPicPr>
                  <pic:blipFill>
                    <a:blip r:embed="rId595"/>
                    <a:stretch>
                      <a:fillRect/>
                    </a:stretch>
                  </pic:blipFill>
                  <pic:spPr>
                    <a:xfrm>
                      <a:off x="0" y="0"/>
                      <a:ext cx="3670300" cy="1828800"/>
                    </a:xfrm>
                    <a:prstGeom prst="rect">
                      <a:avLst/>
                    </a:prstGeom>
                  </pic:spPr>
                </pic:pic>
              </a:graphicData>
            </a:graphic>
          </wp:anchor>
        </w:drawing>
      </w:r>
    </w:p>
    <w:p>
      <w:pPr>
        <w:pStyle w:val="Para 17"/>
      </w:pPr>
      <w:r>
        <w:t/>
      </w:r>
    </w:p>
    <w:p>
      <w:pPr>
        <w:pStyle w:val="Normal"/>
      </w:pPr>
      <w:r>
        <w:t>The UI edit ability is limited to the features known to (and supported by) that GUI feature. Not only does libvirt grow features faster than virt-manager can keep up – adding every feature would also overload the UI and render it unusable.</w:t>
      </w:r>
    </w:p>
    <w:p>
      <w:pPr>
        <w:pStyle w:val="Para 03"/>
      </w:pPr>
      <w:r>
        <w:rPr>
          <w:rStyle w:val="Text5"/>
        </w:rPr>
        <w:t>610</w:t>
      </w:r>
      <w:r>
        <w:t xml:space="preserve"> </w:t>
      </w:r>
      <w:r>
        <w:rPr>
          <w:rStyle w:val="Text6"/>
        </w:rPr>
        <w:t>https://libvirt.org/formatdomain.html</w:t>
      </w:r>
      <w:r>
        <w:t xml:space="preserve"> To strike a balance between the two, there also is the XML view which can be reached via the “Edit libvirt XML” button.</w:t>
      </w:r>
    </w:p>
    <w:p>
      <w:bookmarkStart w:id="878" w:name="page_5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2" name="index-580_1.png" descr="index-580_1.png"/>
            <wp:cNvGraphicFramePr>
              <a:graphicFrameLocks noChangeAspect="1"/>
            </wp:cNvGraphicFramePr>
            <a:graphic>
              <a:graphicData uri="http://schemas.openxmlformats.org/drawingml/2006/picture">
                <pic:pic>
                  <pic:nvPicPr>
                    <pic:cNvPr id="0" name="index-580_1.png" descr="index-580_1.png"/>
                    <pic:cNvPicPr/>
                  </pic:nvPicPr>
                  <pic:blipFill>
                    <a:blip r:embed="rId596"/>
                    <a:stretch>
                      <a:fillRect/>
                    </a:stretch>
                  </pic:blipFill>
                  <pic:spPr>
                    <a:xfrm>
                      <a:off x="0" y="0"/>
                      <a:ext cx="914400" cy="266700"/>
                    </a:xfrm>
                    <a:prstGeom prst="rect">
                      <a:avLst/>
                    </a:prstGeom>
                  </pic:spPr>
                </pic:pic>
              </a:graphicData>
            </a:graphic>
          </wp:anchor>
        </w:drawing>
      </w:r>
      <w:bookmarkEnd w:id="878"/>
    </w:p>
    <w:p>
      <w:pPr>
        <w:pStyle w:val="Para 17"/>
      </w:pPr>
      <w:r>
        <w:t/>
      </w:r>
    </w:p>
    <w:p>
      <w:pPr>
        <w:pStyle w:val="Normal"/>
      </w:pPr>
      <w:r>
        <w:t>By default, this will be read-only and you can see what the UI-driven actions have changed. You can allow read-write access in this view via the “Preferences”. This is the same content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828800"/>
            <wp:effectExtent l="0" r="0" t="0" b="0"/>
            <wp:wrapTopAndBottom/>
            <wp:docPr id="593" name="index-580_2.png" descr="index-580_2.png"/>
            <wp:cNvGraphicFramePr>
              <a:graphicFrameLocks noChangeAspect="1"/>
            </wp:cNvGraphicFramePr>
            <a:graphic>
              <a:graphicData uri="http://schemas.openxmlformats.org/drawingml/2006/picture">
                <pic:pic>
                  <pic:nvPicPr>
                    <pic:cNvPr id="0" name="index-580_2.png" descr="index-580_2.png"/>
                    <pic:cNvPicPr/>
                  </pic:nvPicPr>
                  <pic:blipFill>
                    <a:blip r:embed="rId597"/>
                    <a:stretch>
                      <a:fillRect/>
                    </a:stretch>
                  </pic:blipFill>
                  <pic:spPr>
                    <a:xfrm>
                      <a:off x="0" y="0"/>
                      <a:ext cx="3670300" cy="1828800"/>
                    </a:xfrm>
                    <a:prstGeom prst="rect">
                      <a:avLst/>
                    </a:prstGeom>
                  </pic:spPr>
                </pic:pic>
              </a:graphicData>
            </a:graphic>
          </wp:anchor>
        </w:drawing>
      </w:r>
    </w:p>
    <w:p>
      <w:pPr>
        <w:pStyle w:val="Normal"/>
      </w:pPr>
      <w:r>
        <w:t xml:space="preserve">that the virsh edit of the </w:t>
      </w:r>
      <w:hyperlink w:anchor="page_564">
        <w:r>
          <w:rPr>
            <w:rStyle w:val="Text2"/>
          </w:rPr>
          <w:t>libvirt-client</w:t>
        </w:r>
      </w:hyperlink>
      <w:r>
        <w:t xml:space="preserve"> (page 563) exposes.</w:t>
      </w:r>
    </w:p>
    <w:p>
      <w:pPr>
        <w:pStyle w:val="Para 17"/>
      </w:pPr>
      <w:r>
        <w:t/>
      </w:r>
    </w:p>
    <w:p>
      <w:pPr>
        <w:pStyle w:val="Para 01"/>
      </w:pPr>
      <w:r>
        <w:t>Virtual Machine Viewer (virt-viewer)</w:t>
      </w:r>
    </w:p>
    <w:p>
      <w:pPr>
        <w:pStyle w:val="Para 17"/>
      </w:pPr>
      <w:r>
        <w:t/>
      </w:r>
    </w:p>
    <w:p>
      <w:pPr>
        <w:pStyle w:val="Normal"/>
      </w:pPr>
      <w:r>
        <w:t>The Virtual Machine Viewer application, through virt-viewer, allows you to connect to a vir-tual machine’s console like virt-manager does, but reduced to the GUI functionality. virt-viewer requires a GUI to interface with the virtual machine.</w:t>
      </w:r>
    </w:p>
    <w:p>
      <w:pPr>
        <w:pStyle w:val="Para 17"/>
      </w:pPr>
      <w:r>
        <w:t/>
      </w:r>
    </w:p>
    <w:p>
      <w:pPr>
        <w:pStyle w:val="Para 01"/>
      </w:pPr>
      <w:r>
        <w:t>Install virt-viewer</w:t>
      </w:r>
    </w:p>
    <w:p>
      <w:pPr>
        <w:pStyle w:val="Para 17"/>
      </w:pPr>
      <w:r>
        <w:t/>
      </w:r>
    </w:p>
    <w:p>
      <w:pPr>
        <w:pStyle w:val="Normal"/>
      </w:pPr>
      <w:r>
        <w:t>If virt-viewer is not already installed, you can install it from the terminal with the following command:</w:t>
      </w:r>
    </w:p>
    <w:p>
      <w:pPr>
        <w:pStyle w:val="Normal"/>
      </w:pPr>
      <w:r>
        <w:t>sudo apt install virt-viewer</w:t>
      </w:r>
    </w:p>
    <w:p>
      <w:pPr>
        <w:pStyle w:val="Para 17"/>
      </w:pPr>
      <w:r>
        <w:t/>
      </w:r>
    </w:p>
    <w:p>
      <w:pPr>
        <w:pStyle w:val="Normal"/>
      </w:pPr>
      <w:r>
        <w:t>Once a virtual machine is installed and running you can connect to the virtual machine’s con-sole by using:</w:t>
      </w:r>
    </w:p>
    <w:p>
      <w:pPr>
        <w:pStyle w:val="Normal"/>
      </w:pPr>
      <w:r>
        <w:t>virt-viewer &lt;guestname&gt;</w:t>
      </w:r>
    </w:p>
    <w:p>
      <w:pPr>
        <w:pStyle w:val="Para 17"/>
      </w:pPr>
      <w:r>
        <w:t/>
      </w:r>
    </w:p>
    <w:p>
      <w:pPr>
        <w:pStyle w:val="Normal"/>
      </w:pPr>
      <w:r>
        <w:t>The UI will show a window representing the virtual screen of the guest, just like with virt-manager above, but without the extra buttons and features around it.</w:t>
      </w:r>
    </w:p>
    <w:p>
      <w:bookmarkStart w:id="879" w:name="calibre_pb_149"/>
      <w:pPr>
        <w:pStyle w:val="0 Block"/>
      </w:pPr>
      <w:bookmarkEnd w:id="879"/>
    </w:p>
    <w:p>
      <w:bookmarkStart w:id="880" w:name="Top_of_index_split_150_html"/>
      <w:bookmarkStart w:id="881" w:name="page_58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4" name="index-581_1.png" descr="index-581_1.png"/>
            <wp:cNvGraphicFramePr>
              <a:graphicFrameLocks noChangeAspect="1"/>
            </wp:cNvGraphicFramePr>
            <a:graphic>
              <a:graphicData uri="http://schemas.openxmlformats.org/drawingml/2006/picture">
                <pic:pic>
                  <pic:nvPicPr>
                    <pic:cNvPr id="0" name="index-581_1.png" descr="index-581_1.png"/>
                    <pic:cNvPicPr/>
                  </pic:nvPicPr>
                  <pic:blipFill>
                    <a:blip r:embed="rId598"/>
                    <a:stretch>
                      <a:fillRect/>
                    </a:stretch>
                  </pic:blipFill>
                  <pic:spPr>
                    <a:xfrm>
                      <a:off x="0" y="0"/>
                      <a:ext cx="914400" cy="266700"/>
                    </a:xfrm>
                    <a:prstGeom prst="rect">
                      <a:avLst/>
                    </a:prstGeom>
                  </pic:spPr>
                </pic:pic>
              </a:graphicData>
            </a:graphic>
          </wp:anchor>
        </w:drawing>
      </w:r>
      <w:bookmarkEnd w:id="880"/>
      <w:bookmarkEnd w:id="881"/>
    </w:p>
    <w:p>
      <w:pPr>
        <w:pStyle w:val="Normal"/>
      </w:pPr>
      <w:r>
        <w:t>Similarly to virt-manager, virt-viewer can also connect to a remote host using SSH with key authentication: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175000"/>
            <wp:effectExtent l="0" r="0" t="0" b="0"/>
            <wp:wrapTopAndBottom/>
            <wp:docPr id="595" name="index-581_2.png" descr="index-581_2.png"/>
            <wp:cNvGraphicFramePr>
              <a:graphicFrameLocks noChangeAspect="1"/>
            </wp:cNvGraphicFramePr>
            <a:graphic>
              <a:graphicData uri="http://schemas.openxmlformats.org/drawingml/2006/picture">
                <pic:pic>
                  <pic:nvPicPr>
                    <pic:cNvPr id="0" name="index-581_2.png" descr="index-581_2.png"/>
                    <pic:cNvPicPr/>
                  </pic:nvPicPr>
                  <pic:blipFill>
                    <a:blip r:embed="rId599"/>
                    <a:stretch>
                      <a:fillRect/>
                    </a:stretch>
                  </pic:blipFill>
                  <pic:spPr>
                    <a:xfrm>
                      <a:off x="0" y="0"/>
                      <a:ext cx="3670300" cy="3175000"/>
                    </a:xfrm>
                    <a:prstGeom prst="rect">
                      <a:avLst/>
                    </a:prstGeom>
                  </pic:spPr>
                </pic:pic>
              </a:graphicData>
            </a:graphic>
          </wp:anchor>
        </w:drawing>
      </w:r>
    </w:p>
    <w:p>
      <w:pPr>
        <w:pStyle w:val="Normal"/>
      </w:pPr>
      <w:r>
        <w:t>virt-viewer -c qemu+ssh://virtnode1.mydomain.com/system &lt;guestname&gt;</w:t>
      </w:r>
    </w:p>
    <w:p>
      <w:pPr>
        <w:pStyle w:val="Para 17"/>
      </w:pPr>
      <w:r>
        <w:t/>
      </w:r>
    </w:p>
    <w:p>
      <w:pPr>
        <w:pStyle w:val="Normal"/>
      </w:pPr>
      <w:r>
        <w:t>Be sure to replace web_devel with the appropriate virtual machine name.</w:t>
      </w:r>
    </w:p>
    <w:p>
      <w:pPr>
        <w:pStyle w:val="Normal"/>
      </w:pPr>
      <w:r>
        <w:t xml:space="preserve">If configured to use a </w:t>
      </w:r>
      <w:r>
        <w:rPr>
          <w:rStyle w:val="Text0"/>
        </w:rPr>
        <w:t>bridged</w:t>
      </w:r>
      <w:r>
        <w:t xml:space="preserve"> network interface, you can also set up SSH access to the virtual machine.</w:t>
      </w:r>
    </w:p>
    <w:p>
      <w:bookmarkStart w:id="882" w:name="calibre_pb_150"/>
      <w:pPr>
        <w:pStyle w:val="0 Block"/>
      </w:pPr>
      <w:bookmarkEnd w:id="882"/>
    </w:p>
    <w:p>
      <w:bookmarkStart w:id="883" w:name="page_582"/>
      <w:bookmarkStart w:id="884" w:name="Top_of_index_split_15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6" name="index-582_1.png" descr="index-582_1.png"/>
            <wp:cNvGraphicFramePr>
              <a:graphicFrameLocks noChangeAspect="1"/>
            </wp:cNvGraphicFramePr>
            <a:graphic>
              <a:graphicData uri="http://schemas.openxmlformats.org/drawingml/2006/picture">
                <pic:pic>
                  <pic:nvPicPr>
                    <pic:cNvPr id="0" name="index-582_1.png" descr="index-582_1.png"/>
                    <pic:cNvPicPr/>
                  </pic:nvPicPr>
                  <pic:blipFill>
                    <a:blip r:embed="rId600"/>
                    <a:stretch>
                      <a:fillRect/>
                    </a:stretch>
                  </pic:blipFill>
                  <pic:spPr>
                    <a:xfrm>
                      <a:off x="0" y="0"/>
                      <a:ext cx="914400" cy="266700"/>
                    </a:xfrm>
                    <a:prstGeom prst="rect">
                      <a:avLst/>
                    </a:prstGeom>
                  </pic:spPr>
                </pic:pic>
              </a:graphicData>
            </a:graphic>
          </wp:anchor>
        </w:drawing>
      </w:r>
      <w:bookmarkEnd w:id="883"/>
      <w:bookmarkEnd w:id="884"/>
    </w:p>
    <w:p>
      <w:pPr>
        <w:pStyle w:val="Para 01"/>
      </w:pPr>
      <w:r>
        <w:t>virt-install</w:t>
      </w:r>
    </w:p>
    <w:p>
      <w:pPr>
        <w:pStyle w:val="Para 17"/>
      </w:pPr>
      <w:r>
        <w:t/>
      </w:r>
    </w:p>
    <w:p>
      <w:pPr>
        <w:pStyle w:val="Normal"/>
      </w:pPr>
      <w:r>
        <w:t>virt-install is part of the virtinst package. It can help with installing classic ISO-based systems and provides a CLI for the most common options needed to do so.</w:t>
      </w:r>
    </w:p>
    <w:p>
      <w:pPr>
        <w:pStyle w:val="Para 17"/>
      </w:pPr>
      <w:r>
        <w:t/>
      </w:r>
    </w:p>
    <w:p>
      <w:pPr>
        <w:pStyle w:val="Para 01"/>
      </w:pPr>
      <w:r>
        <w:t>Install virt-install</w:t>
      </w:r>
    </w:p>
    <w:p>
      <w:pPr>
        <w:pStyle w:val="Para 17"/>
      </w:pPr>
      <w:r>
        <w:t/>
      </w:r>
    </w:p>
    <w:p>
      <w:pPr>
        <w:pStyle w:val="Normal"/>
      </w:pPr>
      <w:r>
        <w:t>To install virt-install, if it is not installed already, run the following from a terminal prompt:</w:t>
      </w:r>
    </w:p>
    <w:p>
      <w:pPr>
        <w:pStyle w:val="Normal"/>
      </w:pPr>
      <w:r>
        <w:t>sudo apt install virtinst</w:t>
      </w:r>
    </w:p>
    <w:p>
      <w:pPr>
        <w:pStyle w:val="Para 17"/>
      </w:pPr>
      <w:r>
        <w:t/>
      </w:r>
    </w:p>
    <w:p>
      <w:pPr>
        <w:pStyle w:val="Normal"/>
      </w:pPr>
      <w:r>
        <w:t>There are several options available when using virt-install. For example:</w:t>
      </w:r>
    </w:p>
    <w:p>
      <w:pPr>
        <w:pStyle w:val="Normal"/>
      </w:pPr>
      <w:r>
        <w:t>virt-install</w:t>
        <w:t xml:space="preserve"> </w:t>
      </w:r>
      <w:r>
        <w:rPr>
          <w:rStyle w:val="Text0"/>
        </w:rPr>
        <w:t>\</w:t>
      </w:r>
    </w:p>
    <w:p>
      <w:pPr>
        <w:pStyle w:val="Para 04"/>
      </w:pPr>
      <w:r>
        <w:t>--name web_devel</w:t>
        <w:t xml:space="preserve"> </w:t>
      </w:r>
      <w:r>
        <w:rPr>
          <w:rStyle w:val="Text0"/>
        </w:rPr>
        <w:t>\</w:t>
      </w:r>
    </w:p>
    <w:p>
      <w:pPr>
        <w:pStyle w:val="Para 04"/>
      </w:pPr>
      <w:r>
        <w:t>--ram</w:t>
        <w:t xml:space="preserve"> </w:t>
        <w:t>8192</w:t>
        <w:t xml:space="preserve"> </w:t>
      </w:r>
      <w:r>
        <w:rPr>
          <w:rStyle w:val="Text0"/>
        </w:rPr>
        <w:t>\</w:t>
      </w:r>
    </w:p>
    <w:p>
      <w:pPr>
        <w:pStyle w:val="Para 04"/>
      </w:pPr>
      <w:r>
        <w:t>--disk</w:t>
        <w:t xml:space="preserve"> </w:t>
        <w:t>path</w:t>
        <w:t>=</w:t>
        <w:t>/home/doug/vm/web_devel.img,bus</w:t>
        <w:t>=</w:t>
        <w:t>virtio,size</w:t>
        <w:t>=</w:t>
        <w:t>50</w:t>
        <w:t xml:space="preserve"> </w:t>
      </w:r>
      <w:r>
        <w:rPr>
          <w:rStyle w:val="Text0"/>
        </w:rPr>
        <w:t>\</w:t>
      </w:r>
    </w:p>
    <w:p>
      <w:pPr>
        <w:pStyle w:val="Para 04"/>
      </w:pPr>
      <w:r>
        <w:t>--cdrom focal-desktop-amd64.iso</w:t>
        <w:t xml:space="preserve"> </w:t>
      </w:r>
      <w:r>
        <w:rPr>
          <w:rStyle w:val="Text0"/>
        </w:rPr>
        <w:t>\</w:t>
      </w:r>
    </w:p>
    <w:p>
      <w:pPr>
        <w:pStyle w:val="Para 04"/>
      </w:pPr>
      <w:r>
        <w:t>--network</w:t>
        <w:t xml:space="preserve"> </w:t>
        <w:t>network</w:t>
        <w:t>=</w:t>
        <w:t>default,model</w:t>
        <w:t>=</w:t>
        <w:t>virtio</w:t>
        <w:t xml:space="preserve"> </w:t>
      </w:r>
      <w:r>
        <w:rPr>
          <w:rStyle w:val="Text0"/>
        </w:rPr>
        <w:t>\</w:t>
      </w:r>
    </w:p>
    <w:p>
      <w:pPr>
        <w:pStyle w:val="Para 04"/>
      </w:pPr>
      <w:r>
        <w:t>--graphics vnc,listen</w:t>
        <w:t>=</w:t>
        <w:t>0</w:t>
        <w:t>.0.0.0</w:t>
        <w:t xml:space="preserve"> </w:t>
      </w:r>
      <w:r>
        <w:rPr>
          <w:rStyle w:val="Text0"/>
        </w:rPr>
        <w:t>\</w:t>
      </w:r>
    </w:p>
    <w:p>
      <w:pPr>
        <w:pStyle w:val="Para 04"/>
      </w:pPr>
      <w:r>
        <w:t>--noautoconsole</w:t>
        <w:t xml:space="preserve"> </w:t>
      </w:r>
      <w:r>
        <w:rPr>
          <w:rStyle w:val="Text0"/>
        </w:rPr>
        <w:t>\</w:t>
      </w:r>
    </w:p>
    <w:p>
      <w:pPr>
        <w:pStyle w:val="Para 04"/>
      </w:pPr>
      <w:r>
        <w:t>--hvm</w:t>
        <w:t xml:space="preserve"> </w:t>
      </w:r>
      <w:r>
        <w:rPr>
          <w:rStyle w:val="Text0"/>
        </w:rPr>
        <w:t>\</w:t>
      </w:r>
    </w:p>
    <w:p>
      <w:pPr>
        <w:pStyle w:val="Para 04"/>
      </w:pPr>
      <w:r>
        <w:t>--vcpus</w:t>
        <w:t>=</w:t>
        <w:t>4</w:t>
      </w:r>
    </w:p>
    <w:p>
      <w:pPr>
        <w:pStyle w:val="Para 17"/>
      </w:pPr>
      <w:r>
        <w:t/>
      </w:r>
    </w:p>
    <w:p>
      <w:pPr>
        <w:pStyle w:val="Normal"/>
      </w:pPr>
      <w:r>
        <w:t xml:space="preserve">There are many more arguments that can be found in the </w:t>
      </w:r>
      <w:hyperlink r:id="rId1535">
        <w:r>
          <w:rPr>
            <w:rStyle w:val="Text9"/>
          </w:rPr>
          <w:t>611</w:t>
        </w:r>
      </w:hyperlink>
      <w:hyperlink r:id="rId1535">
        <w:r>
          <w:rPr>
            <w:rStyle w:val="Text1"/>
          </w:rPr>
          <w:t xml:space="preserve"> </w:t>
        </w:r>
      </w:hyperlink>
      <w:hyperlink r:id="rId1535">
        <w:r>
          <w:rPr>
            <w:rStyle w:val="Text2"/>
          </w:rPr>
          <w:t>virt-install(1)</w:t>
        </w:r>
      </w:hyperlink>
      <w:r>
        <w:t xml:space="preserve"> manual page. However, here is an explanation of arguments used in the example above, one by one:</w:t>
      </w:r>
    </w:p>
    <w:p>
      <w:pPr>
        <w:pStyle w:val="Para 04"/>
      </w:pPr>
      <w:r>
        <w:t>•--name web_devel: The name of the new virtual machine will be web_devel.</w:t>
      </w:r>
    </w:p>
    <w:p>
      <w:pPr>
        <w:pStyle w:val="Para 04"/>
      </w:pPr>
      <w:r>
        <w:t>•--ram 8192: Specifies the amount of memory the virtual machine will use (in</w:t>
      </w:r>
    </w:p>
    <w:p>
      <w:pPr>
        <w:pStyle w:val="Para 02"/>
      </w:pPr>
      <w:r>
        <w:t>megabytes).</w:t>
      </w:r>
    </w:p>
    <w:p>
      <w:pPr>
        <w:pStyle w:val="Para 04"/>
      </w:pPr>
      <w:r>
        <w:t>•--disk path=/home/doug/vm/web_devel.img,bus=virtio,size=50: Indicates the path to</w:t>
      </w:r>
    </w:p>
    <w:p>
      <w:pPr>
        <w:pStyle w:val="Para 02"/>
      </w:pPr>
      <w:r>
        <w:t>the virtual disk which can be a file, partition, or logical volume. In this example a file named web_devel.img in the current user’s directory, with a size of 50 gigabytes, and using virtio for the disk bus. Depending on the disk path, virt-install may need to run with elevated privileges.</w:t>
      </w:r>
    </w:p>
    <w:p>
      <w:pPr>
        <w:pStyle w:val="Para 04"/>
      </w:pPr>
      <w:r>
        <w:t>•--cdrom focal-desktop-amd64.iso: File to be used as a virtual CD-ROM. The file can be</w:t>
      </w:r>
    </w:p>
    <w:p>
      <w:pPr>
        <w:pStyle w:val="Para 02"/>
      </w:pPr>
      <w:r>
        <w:t>either an ISO file or the path to the host’s CD-ROM device.</w:t>
      </w:r>
    </w:p>
    <w:p>
      <w:pPr>
        <w:pStyle w:val="Para 04"/>
      </w:pPr>
      <w:r>
        <w:t>•--network: Provides details related to the VM’s network interface. Here the default</w:t>
      </w:r>
    </w:p>
    <w:p>
      <w:pPr>
        <w:pStyle w:val="Para 02"/>
      </w:pPr>
      <w:r>
        <w:t>network is used, and the interface model is configured for virtio.</w:t>
      </w:r>
    </w:p>
    <w:p>
      <w:pPr>
        <w:pStyle w:val="Para 04"/>
      </w:pPr>
      <w:r>
        <w:t>•--graphics vnc,listen=0.0.0.0: Exports the guest’s virtual console using VNC and on</w:t>
      </w:r>
    </w:p>
    <w:p>
      <w:pPr>
        <w:pStyle w:val="Para 02"/>
      </w:pPr>
      <w:r>
        <w:t>all host interfaces. Typically servers have no GUI, so another GUI-based computer on the Local Area Network (LAN) can connect via VNC to complete the installation.</w:t>
      </w:r>
    </w:p>
    <w:p>
      <w:pPr>
        <w:pStyle w:val="Para 04"/>
      </w:pPr>
      <w:r>
        <w:t>•--noautoconsole Will not automatically connect to the virtual machine’s console.</w:t>
      </w:r>
    </w:p>
    <w:p>
      <w:pPr>
        <w:pStyle w:val="Para 04"/>
      </w:pPr>
      <w:r>
        <w:t>•--hvm: creates a fully virtualized guest.</w:t>
      </w:r>
    </w:p>
    <w:p>
      <w:pPr>
        <w:pStyle w:val="Para 04"/>
      </w:pPr>
      <w:r>
        <w:t>•--vcpus=4: allocate 4 virtual CPUs.</w:t>
      </w:r>
    </w:p>
    <w:p>
      <w:pPr>
        <w:pStyle w:val="Normal"/>
      </w:pPr>
      <w:r>
        <w:t>After launching virt-install, you can connect to the virtual machine’s console either locally using a GUI (if your server has a GUI), or via a remote VNC client from a GUI-based computer.</w:t>
      </w:r>
    </w:p>
    <w:p>
      <w:pPr>
        <w:pStyle w:val="Para 05"/>
      </w:pPr>
      <w:r>
        <w:rPr>
          <w:rStyle w:val="Text5"/>
        </w:rPr>
        <w:t>611</w:t>
      </w:r>
      <w:r>
        <w:rPr>
          <w:rStyle w:val="Text8"/>
        </w:rPr>
        <w:t xml:space="preserve"> </w:t>
      </w:r>
      <w:r>
        <w:t>https://manpages.ubuntu.com/manpages/resolute/man1/virt-install.1.html</w:t>
      </w:r>
      <w:r>
        <w:rPr>
          <w:rStyle w:val="Text8"/>
        </w:rPr>
        <w:t xml:space="preserve"> </w:t>
      </w:r>
      <w:r>
        <w:rPr>
          <w:rStyle w:val="Text11"/>
        </w:rPr>
        <w:t>virt-clone</w:t>
      </w:r>
    </w:p>
    <w:p>
      <w:bookmarkStart w:id="885" w:name="page_5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7" name="index-583_1.png" descr="index-583_1.png"/>
            <wp:cNvGraphicFramePr>
              <a:graphicFrameLocks noChangeAspect="1"/>
            </wp:cNvGraphicFramePr>
            <a:graphic>
              <a:graphicData uri="http://schemas.openxmlformats.org/drawingml/2006/picture">
                <pic:pic>
                  <pic:nvPicPr>
                    <pic:cNvPr id="0" name="index-583_1.png" descr="index-583_1.png"/>
                    <pic:cNvPicPr/>
                  </pic:nvPicPr>
                  <pic:blipFill>
                    <a:blip r:embed="rId601"/>
                    <a:stretch>
                      <a:fillRect/>
                    </a:stretch>
                  </pic:blipFill>
                  <pic:spPr>
                    <a:xfrm>
                      <a:off x="0" y="0"/>
                      <a:ext cx="914400" cy="266700"/>
                    </a:xfrm>
                    <a:prstGeom prst="rect">
                      <a:avLst/>
                    </a:prstGeom>
                  </pic:spPr>
                </pic:pic>
              </a:graphicData>
            </a:graphic>
          </wp:anchor>
        </w:drawing>
      </w:r>
      <w:bookmarkEnd w:id="885"/>
    </w:p>
    <w:p>
      <w:pPr>
        <w:pStyle w:val="Para 17"/>
      </w:pPr>
      <w:r>
        <w:t/>
      </w:r>
    </w:p>
    <w:p>
      <w:pPr>
        <w:pStyle w:val="Normal"/>
      </w:pPr>
      <w:r>
        <w:t>The virt-clone application can be used to copy one virtual machine to another. For example:</w:t>
      </w:r>
    </w:p>
    <w:p>
      <w:pPr>
        <w:pStyle w:val="Normal"/>
      </w:pPr>
      <w:r>
        <w:t>virt-clone --auto-clone --original focal</w:t>
      </w:r>
    </w:p>
    <w:p>
      <w:pPr>
        <w:pStyle w:val="Para 17"/>
      </w:pPr>
      <w:r>
        <w:t/>
      </w:r>
    </w:p>
    <w:p>
      <w:pPr>
        <w:pStyle w:val="Normal"/>
      </w:pPr>
      <w:r>
        <w:t>Options used:</w:t>
      </w:r>
    </w:p>
    <w:p>
      <w:pPr>
        <w:pStyle w:val="Para 04"/>
      </w:pPr>
      <w:r>
        <w:t>•--auto-clone: To have virt-clone create guest names and disk paths on its own.</w:t>
      </w:r>
    </w:p>
    <w:p>
      <w:pPr>
        <w:pStyle w:val="Para 04"/>
      </w:pPr>
      <w:r>
        <w:t>•--original: Name of the virtual machine to copy.</w:t>
      </w:r>
    </w:p>
    <w:p>
      <w:pPr>
        <w:pStyle w:val="Normal"/>
      </w:pPr>
      <w:r>
        <w:t>You can also use the-d or--debug option to help troubleshoot problems with virt-clone.</w:t>
      </w:r>
    </w:p>
    <w:p>
      <w:pPr>
        <w:pStyle w:val="Normal"/>
      </w:pPr>
      <w:r>
        <w:t xml:space="preserve">Replace </w:t>
      </w:r>
      <w:r>
        <w:rPr>
          <w:rStyle w:val="Text3"/>
        </w:rPr>
        <w:t>focal</w:t>
      </w:r>
      <w:r>
        <w:t xml:space="preserve"> with the appropriate virtual machine names for your case.</w:t>
      </w:r>
    </w:p>
    <w:p>
      <w:pPr>
        <w:pStyle w:val="Para 17"/>
      </w:pPr>
      <w:r>
        <w:t/>
      </w:r>
    </w:p>
    <w:p>
      <w:pPr>
        <w:pStyle w:val="Para 08"/>
      </w:pPr>
      <w:r>
        <w:t>Caution:</w:t>
      </w:r>
    </w:p>
    <w:p>
      <w:pPr>
        <w:pStyle w:val="Para 03"/>
      </w:pPr>
      <w:r>
        <w:t>Please be aware that this is a full clone, therefore any secrets, keys, and for example, /etc/</w:t>
      </w:r>
    </w:p>
    <w:p>
      <w:pPr>
        <w:pStyle w:val="Para 03"/>
      </w:pPr>
      <w:r>
        <w:t>machine-id , will be shared. This will cause issues with security and anything that needs</w:t>
      </w:r>
    </w:p>
    <w:p>
      <w:pPr>
        <w:pStyle w:val="Para 03"/>
      </w:pPr>
      <w:r>
        <w:t xml:space="preserve">to identify the machine like </w:t>
      </w:r>
      <w:hyperlink w:anchor="page_678">
        <w:r>
          <w:rPr>
            <w:rStyle w:val="Text2"/>
          </w:rPr>
          <w:t>DHCP</w:t>
        </w:r>
      </w:hyperlink>
      <w:r>
        <w:t>. You most likely want to edit those afterward and de-</w:t>
      </w:r>
    </w:p>
    <w:p>
      <w:pPr>
        <w:pStyle w:val="Para 03"/>
      </w:pPr>
      <w:r>
        <w:t>duplicate them as needed.</w:t>
      </w:r>
    </w:p>
    <w:p>
      <w:pPr>
        <w:pStyle w:val="Para 17"/>
      </w:pPr>
      <w:r>
        <w:t/>
      </w:r>
    </w:p>
    <w:p>
      <w:pPr>
        <w:pStyle w:val="Para 01"/>
      </w:pPr>
      <w:r>
        <w:t>Resources</w:t>
      </w:r>
    </w:p>
    <w:p>
      <w:pPr>
        <w:pStyle w:val="Para 17"/>
      </w:pPr>
      <w:r>
        <w:t/>
      </w:r>
    </w:p>
    <w:p>
      <w:pPr>
        <w:pStyle w:val="Para 04"/>
      </w:pPr>
      <w:r>
        <w:t xml:space="preserve">• See the </w:t>
      </w:r>
      <w:hyperlink w:anchor="page_583">
        <w:r>
          <w:rPr>
            <w:rStyle w:val="Text9"/>
          </w:rPr>
          <w:t>612</w:t>
        </w:r>
      </w:hyperlink>
      <w:r>
        <w:t xml:space="preserve"> </w:t>
      </w:r>
      <w:hyperlink r:id="rId1530">
        <w:r>
          <w:rPr>
            <w:rStyle w:val="Text1"/>
          </w:rPr>
          <w:t>KVM</w:t>
        </w:r>
      </w:hyperlink>
      <w:r>
        <w:t xml:space="preserve"> home page for more details.</w:t>
      </w:r>
    </w:p>
    <w:p>
      <w:pPr>
        <w:pStyle w:val="Para 04"/>
      </w:pPr>
      <w:r>
        <w:t xml:space="preserve">• For more information on libvirt see the </w:t>
      </w:r>
      <w:hyperlink w:anchor="page_583">
        <w:r>
          <w:rPr>
            <w:rStyle w:val="Text9"/>
          </w:rPr>
          <w:t>613</w:t>
        </w:r>
      </w:hyperlink>
      <w:r>
        <w:t xml:space="preserve"> </w:t>
      </w:r>
      <w:hyperlink r:id="rId1481">
        <w:r>
          <w:rPr>
            <w:rStyle w:val="Text1"/>
          </w:rPr>
          <w:t>libvirt home page</w:t>
        </w:r>
      </w:hyperlink>
    </w:p>
    <w:p>
      <w:pPr>
        <w:pStyle w:val="Para 04"/>
      </w:pPr>
      <w:r>
        <w:t xml:space="preserve">• The </w:t>
      </w:r>
      <w:hyperlink w:anchor="page_583">
        <w:r>
          <w:rPr>
            <w:rStyle w:val="Text9"/>
          </w:rPr>
          <w:t>614</w:t>
        </w:r>
      </w:hyperlink>
      <w:r>
        <w:t xml:space="preserve"> </w:t>
      </w:r>
      <w:hyperlink r:id="rId1470">
        <w:r>
          <w:rPr>
            <w:rStyle w:val="Text1"/>
          </w:rPr>
          <w:t>Virtual Machine Manager</w:t>
        </w:r>
      </w:hyperlink>
      <w:r>
        <w:t xml:space="preserve"> site has more information on virt-manager develop-</w:t>
      </w:r>
    </w:p>
    <w:p>
      <w:pPr>
        <w:pStyle w:val="Para 02"/>
      </w:pPr>
      <w:r>
        <w:t>ment.</w:t>
      </w:r>
    </w:p>
    <w:p>
      <w:pPr>
        <w:pStyle w:val="Para 17"/>
      </w:pPr>
      <w:r>
        <w:t/>
      </w:r>
    </w:p>
    <w:p>
      <w:pPr>
        <w:pStyle w:val="Para 01"/>
      </w:pPr>
      <w:r>
        <w:t>How to enable nested virtualization</w:t>
      </w:r>
    </w:p>
    <w:p>
      <w:pPr>
        <w:pStyle w:val="Para 17"/>
      </w:pPr>
      <w:r>
        <w:t/>
      </w:r>
    </w:p>
    <w:p>
      <w:pPr>
        <w:pStyle w:val="Normal"/>
      </w:pPr>
      <w:r>
        <w:t>The nested virtualization capability allows a guest virtual machine (also referred to as level 1 or L1) that runs on a physical host (level 0 or L0) acting as a hypervisor to create its own guest virtual machines (L2).</w:t>
      </w:r>
    </w:p>
    <w:p>
      <w:pPr>
        <w:pStyle w:val="Para 08"/>
      </w:pPr>
      <w:r>
        <w:t>Important:</w:t>
      </w:r>
    </w:p>
    <w:p>
      <w:pPr>
        <w:pStyle w:val="Para 17"/>
      </w:pPr>
      <w:r>
        <w:t/>
      </w:r>
    </w:p>
    <w:p>
      <w:pPr>
        <w:pStyle w:val="Para 03"/>
      </w:pPr>
      <w:r>
        <w:t>Nested virtualization is enabled by default on Ubuntu. If you are using Ubuntu, it’s unlikely</w:t>
      </w:r>
    </w:p>
    <w:p>
      <w:pPr>
        <w:pStyle w:val="Para 03"/>
      </w:pPr>
      <w:r>
        <w:t>that you will need to manually enable the feature. If you check (using the steps below)</w:t>
      </w:r>
    </w:p>
    <w:p>
      <w:pPr>
        <w:pStyle w:val="Para 03"/>
      </w:pPr>
      <w:r>
        <w:t>and discover that nested virtualization is enabled, then you will not need to do anything</w:t>
      </w:r>
    </w:p>
    <w:p>
      <w:pPr>
        <w:pStyle w:val="Para 03"/>
      </w:pPr>
      <w:r>
        <w:t>further.</w:t>
      </w:r>
    </w:p>
    <w:p>
      <w:pPr>
        <w:pStyle w:val="Normal"/>
      </w:pPr>
      <w:r>
        <w:t>There may be use cases where you need to enable nested virtualization so that you can deploy VMs inside other VMs. The sections below explain how to check if nested virtualization is enabled/available and how to enable it if that is not the case. Bear in mind that currently nested virtualization is only supported in Ubuntu on x86 machine architecture.</w:t>
      </w:r>
    </w:p>
    <w:p>
      <w:pPr>
        <w:pStyle w:val="Para 05"/>
      </w:pPr>
      <w:r>
        <w:rPr>
          <w:rStyle w:val="Text5"/>
        </w:rPr>
        <w:t>612</w:t>
      </w:r>
      <w:r>
        <w:rPr>
          <w:rStyle w:val="Text8"/>
        </w:rPr>
        <w:t xml:space="preserve"> </w:t>
      </w:r>
      <w:r>
        <w:t>https://linux-kvm.org/page/Main_Page</w:t>
      </w:r>
    </w:p>
    <w:p>
      <w:pPr>
        <w:pStyle w:val="Para 05"/>
      </w:pPr>
      <w:r>
        <w:rPr>
          <w:rStyle w:val="Text5"/>
        </w:rPr>
        <w:t>613</w:t>
      </w:r>
      <w:r>
        <w:rPr>
          <w:rStyle w:val="Text8"/>
        </w:rPr>
        <w:t xml:space="preserve"> </w:t>
      </w:r>
      <w:r>
        <w:t>https://libvirt.org/</w:t>
      </w:r>
    </w:p>
    <w:p>
      <w:pPr>
        <w:pStyle w:val="Para 05"/>
      </w:pPr>
      <w:r>
        <w:rPr>
          <w:rStyle w:val="Text5"/>
        </w:rPr>
        <w:t>614</w:t>
      </w:r>
      <w:r>
        <w:rPr>
          <w:rStyle w:val="Text8"/>
        </w:rPr>
        <w:t xml:space="preserve"> </w:t>
      </w:r>
      <w:r>
        <w:t>https://virt-manager.org/</w:t>
      </w:r>
    </w:p>
    <w:p>
      <w:bookmarkStart w:id="886" w:name="page_5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8" name="index-584_1.png" descr="index-584_1.png"/>
            <wp:cNvGraphicFramePr>
              <a:graphicFrameLocks noChangeAspect="1"/>
            </wp:cNvGraphicFramePr>
            <a:graphic>
              <a:graphicData uri="http://schemas.openxmlformats.org/drawingml/2006/picture">
                <pic:pic>
                  <pic:nvPicPr>
                    <pic:cNvPr id="0" name="index-584_1.png" descr="index-584_1.png"/>
                    <pic:cNvPicPr/>
                  </pic:nvPicPr>
                  <pic:blipFill>
                    <a:blip r:embed="rId602"/>
                    <a:stretch>
                      <a:fillRect/>
                    </a:stretch>
                  </pic:blipFill>
                  <pic:spPr>
                    <a:xfrm>
                      <a:off x="0" y="0"/>
                      <a:ext cx="914400" cy="266700"/>
                    </a:xfrm>
                    <a:prstGeom prst="rect">
                      <a:avLst/>
                    </a:prstGeom>
                  </pic:spPr>
                </pic:pic>
              </a:graphicData>
            </a:graphic>
          </wp:anchor>
        </w:drawing>
      </w:r>
      <w:bookmarkEnd w:id="886"/>
    </w:p>
    <w:p>
      <w:pPr>
        <w:pStyle w:val="Para 01"/>
      </w:pPr>
      <w:r>
        <w:t>Check if nested virtualization is enabled</w:t>
      </w:r>
    </w:p>
    <w:p>
      <w:pPr>
        <w:pStyle w:val="Para 17"/>
      </w:pPr>
      <w:r>
        <w:t/>
      </w:r>
    </w:p>
    <w:p>
      <w:pPr>
        <w:pStyle w:val="Normal"/>
      </w:pPr>
      <w:r>
        <w:t>Check if the required kernel module for your CPU is already loaded. Hosts with Intel CPUs</w:t>
      </w:r>
    </w:p>
    <w:p>
      <w:pPr>
        <w:pStyle w:val="Normal"/>
      </w:pPr>
      <w:r>
        <w:t xml:space="preserve">require the kvm_intel module, while </w:t>
      </w:r>
      <w:hyperlink w:anchor="page_669">
        <w:r>
          <w:rPr>
            <w:rStyle w:val="Text2"/>
          </w:rPr>
          <w:t>AMD</w:t>
        </w:r>
      </w:hyperlink>
      <w:r>
        <w:t xml:space="preserve"> hosts require kvm_amd instead. Check this with:</w:t>
      </w:r>
    </w:p>
    <w:p>
      <w:pPr>
        <w:pStyle w:val="Normal"/>
      </w:pPr>
      <w:r>
        <w:t>lsmod | grep -i kvm</w:t>
      </w:r>
    </w:p>
    <w:p>
      <w:pPr>
        <w:pStyle w:val="Para 17"/>
      </w:pPr>
      <w:r>
        <w:t/>
      </w:r>
    </w:p>
    <w:p>
      <w:pPr>
        <w:pStyle w:val="Normal"/>
      </w:pPr>
      <w:r>
        <w:t>Which should show:</w:t>
      </w:r>
    </w:p>
    <w:p>
      <w:pPr>
        <w:pStyle w:val="Normal"/>
      </w:pPr>
      <w:r>
        <w:t>kvm_intel</w:t>
        <w:t xml:space="preserve"> </w:t>
        <w:t>204800</w:t>
        <w:t xml:space="preserve"> </w:t>
        <w:t>0</w:t>
      </w:r>
    </w:p>
    <w:p>
      <w:pPr>
        <w:pStyle w:val="Normal"/>
      </w:pPr>
      <w:r>
        <w:t>kvm</w:t>
        <w:t xml:space="preserve"> </w:t>
        <w:t>1347584</w:t>
        <w:t xml:space="preserve"> </w:t>
        <w:t>1 kvm_intel</w:t>
      </w:r>
    </w:p>
    <w:p>
      <w:pPr>
        <w:pStyle w:val="Para 17"/>
      </w:pPr>
      <w:r>
        <w:t/>
      </w:r>
    </w:p>
    <w:p>
      <w:pPr>
        <w:pStyle w:val="Para 01"/>
      </w:pPr>
      <w:r>
        <w:t>If the module is loaded</w:t>
      </w:r>
    </w:p>
    <w:p>
      <w:pPr>
        <w:pStyle w:val="Para 17"/>
      </w:pPr>
      <w:r>
        <w:t/>
      </w:r>
    </w:p>
    <w:p>
      <w:pPr>
        <w:pStyle w:val="Normal"/>
      </w:pPr>
      <w:r>
        <w:t>If the module is already loaded, you can check if nested virtualization is enabled by running the following command:</w:t>
      </w:r>
    </w:p>
    <w:p>
      <w:pPr>
        <w:pStyle w:val="Normal"/>
      </w:pPr>
      <w:r>
        <w:t>cat /sys/module/kvm_intel/parameters/nested</w:t>
      </w:r>
    </w:p>
    <w:p>
      <w:pPr>
        <w:pStyle w:val="Para 17"/>
      </w:pPr>
      <w:r>
        <w:t/>
      </w:r>
    </w:p>
    <w:p>
      <w:pPr>
        <w:pStyle w:val="Normal"/>
      </w:pPr>
      <w:r>
        <w:t>Or, for AMD hosts:</w:t>
      </w:r>
    </w:p>
    <w:p>
      <w:pPr>
        <w:pStyle w:val="Normal"/>
      </w:pPr>
      <w:r>
        <w:t>cat /sys/module/kvm_amd/parameters/nested</w:t>
      </w:r>
    </w:p>
    <w:p>
      <w:pPr>
        <w:pStyle w:val="Para 17"/>
      </w:pPr>
      <w:r>
        <w:t/>
      </w:r>
    </w:p>
    <w:p>
      <w:pPr>
        <w:pStyle w:val="Normal"/>
      </w:pPr>
      <w:r>
        <w:t>If the output is either 1 or Y, then nested virtualization is enabled and you will not need to manually enable the feature (this should be the case for Ubuntu users).</w:t>
      </w:r>
    </w:p>
    <w:p>
      <w:pPr>
        <w:pStyle w:val="Para 17"/>
      </w:pPr>
      <w:r>
        <w:t/>
      </w:r>
    </w:p>
    <w:p>
      <w:pPr>
        <w:pStyle w:val="Para 01"/>
      </w:pPr>
      <w:r>
        <w:t>If the module is not loaded</w:t>
      </w:r>
    </w:p>
    <w:p>
      <w:pPr>
        <w:pStyle w:val="Para 17"/>
      </w:pPr>
      <w:r>
        <w:t/>
      </w:r>
    </w:p>
    <w:p>
      <w:pPr>
        <w:pStyle w:val="Normal"/>
      </w:pPr>
      <w:r>
        <w:t>If the module your host requires is not loaded, you can load it using modprobe in combination with the property nested=1 to enable nested virtualization, as shown below for Intel hosts:</w:t>
      </w:r>
    </w:p>
    <w:p>
      <w:pPr>
        <w:pStyle w:val="Normal"/>
      </w:pPr>
      <w:r>
        <w:t>modprobe kvm-intel</w:t>
        <w:t xml:space="preserve"> </w:t>
        <w:t>nested</w:t>
        <w:t>=</w:t>
        <w:t>1</w:t>
      </w:r>
    </w:p>
    <w:p>
      <w:pPr>
        <w:pStyle w:val="Para 17"/>
      </w:pPr>
      <w:r>
        <w:t/>
      </w:r>
    </w:p>
    <w:p>
      <w:pPr>
        <w:pStyle w:val="Normal"/>
      </w:pPr>
      <w:r>
        <w:t>Or as follows for AMD hosts:</w:t>
      </w:r>
    </w:p>
    <w:p>
      <w:pPr>
        <w:pStyle w:val="Normal"/>
      </w:pPr>
      <w:r>
        <w:t>modprobe kvm-amd</w:t>
        <w:t xml:space="preserve"> </w:t>
        <w:t>nested</w:t>
        <w:t>=</w:t>
        <w:t>1</w:t>
      </w:r>
    </w:p>
    <w:p>
      <w:pPr>
        <w:pStyle w:val="Para 17"/>
      </w:pPr>
      <w:r>
        <w:t/>
      </w:r>
    </w:p>
    <w:p>
      <w:pPr>
        <w:pStyle w:val="Para 01"/>
      </w:pPr>
      <w:r>
        <w:t>Enable nested virtualization</w:t>
      </w:r>
    </w:p>
    <w:p>
      <w:pPr>
        <w:pStyle w:val="Para 17"/>
      </w:pPr>
      <w:r>
        <w:t/>
      </w:r>
    </w:p>
    <w:p>
      <w:pPr>
        <w:pStyle w:val="Normal"/>
      </w:pPr>
      <w:r>
        <w:t>If the above checks indicate that nested virtualization is not enabled, you can follow the be-low steps to enable it persistently on the system.</w:t>
      </w:r>
    </w:p>
    <w:p>
      <w:pPr>
        <w:pStyle w:val="Normal"/>
      </w:pPr>
      <w:r>
        <w:t>First, create a file in /etc/modprobe.d (e.g., /etc/modprobe.d/kvm.conf) and add the line op-tions kvm-intel nested=1 to that file (replace kvm-intel with kvm-amd for AMD hosts).</w:t>
      </w:r>
    </w:p>
    <w:p>
      <w:pPr>
        <w:pStyle w:val="Normal"/>
      </w:pPr>
      <w:r>
        <w:t>Next, reload the kernel module to apply the changes:</w:t>
      </w:r>
    </w:p>
    <w:p>
      <w:pPr>
        <w:pStyle w:val="Normal"/>
      </w:pPr>
      <w:r>
        <w:t>sudo modprobe -r &lt;module&gt;</w:t>
      </w:r>
    </w:p>
    <w:p>
      <w:pPr>
        <w:pStyle w:val="Normal"/>
      </w:pPr>
      <w:r>
        <w:t>sudo modprobe &lt;module&gt;</w:t>
      </w:r>
    </w:p>
    <w:p>
      <w:bookmarkStart w:id="887" w:name="page_5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599" name="index-585_1.png" descr="index-585_1.png"/>
            <wp:cNvGraphicFramePr>
              <a:graphicFrameLocks noChangeAspect="1"/>
            </wp:cNvGraphicFramePr>
            <a:graphic>
              <a:graphicData uri="http://schemas.openxmlformats.org/drawingml/2006/picture">
                <pic:pic>
                  <pic:nvPicPr>
                    <pic:cNvPr id="0" name="index-585_1.png" descr="index-585_1.png"/>
                    <pic:cNvPicPr/>
                  </pic:nvPicPr>
                  <pic:blipFill>
                    <a:blip r:embed="rId603"/>
                    <a:stretch>
                      <a:fillRect/>
                    </a:stretch>
                  </pic:blipFill>
                  <pic:spPr>
                    <a:xfrm>
                      <a:off x="0" y="0"/>
                      <a:ext cx="914400" cy="266700"/>
                    </a:xfrm>
                    <a:prstGeom prst="rect">
                      <a:avLst/>
                    </a:prstGeom>
                  </pic:spPr>
                </pic:pic>
              </a:graphicData>
            </a:graphic>
          </wp:anchor>
        </w:drawing>
      </w:r>
      <w:bookmarkEnd w:id="887"/>
    </w:p>
    <w:p>
      <w:pPr>
        <w:pStyle w:val="Para 08"/>
      </w:pPr>
      <w:r>
        <w:t>Note:</w:t>
      </w:r>
    </w:p>
    <w:p>
      <w:pPr>
        <w:pStyle w:val="Para 03"/>
      </w:pPr>
      <w:r>
        <w:t>Make sure to stop all running VMs that might use the kernel module and prevent its reload.</w:t>
      </w:r>
    </w:p>
    <w:p>
      <w:pPr>
        <w:pStyle w:val="Para 17"/>
      </w:pPr>
      <w:r>
        <w:t/>
      </w:r>
    </w:p>
    <w:p>
      <w:pPr>
        <w:pStyle w:val="Normal"/>
      </w:pPr>
      <w:r>
        <w:t>Example for Intel hosts:</w:t>
      </w:r>
    </w:p>
    <w:p>
      <w:pPr>
        <w:pStyle w:val="Normal"/>
      </w:pPr>
      <w:r>
        <w:t>sudo modprobe -r kvm-intel</w:t>
      </w:r>
    </w:p>
    <w:p>
      <w:pPr>
        <w:pStyle w:val="Normal"/>
      </w:pPr>
      <w:r>
        <w:t>sudo modprobe kvm-intel</w:t>
      </w:r>
    </w:p>
    <w:p>
      <w:pPr>
        <w:pStyle w:val="Para 17"/>
      </w:pPr>
      <w:r>
        <w:t/>
      </w:r>
    </w:p>
    <w:p>
      <w:pPr>
        <w:pStyle w:val="Normal"/>
      </w:pPr>
      <w:r>
        <w:t>You should now be able to see nested virtualization enabled (example for Intel hosts):</w:t>
      </w:r>
    </w:p>
    <w:p>
      <w:pPr>
        <w:pStyle w:val="Normal"/>
      </w:pPr>
      <w:r>
        <w:t>cat /sys/module/kvm_intel/parameters/nested</w:t>
      </w:r>
    </w:p>
    <w:p>
      <w:pPr>
        <w:pStyle w:val="Para 17"/>
      </w:pPr>
      <w:r>
        <w:t/>
      </w:r>
    </w:p>
    <w:p>
      <w:pPr>
        <w:pStyle w:val="Normal"/>
      </w:pPr>
      <w:r>
        <w:t>If the output is Y or 1 then it has been enabled correctly.</w:t>
      </w:r>
    </w:p>
    <w:p>
      <w:pPr>
        <w:pStyle w:val="Para 17"/>
      </w:pPr>
      <w:r>
        <w:t/>
      </w:r>
    </w:p>
    <w:p>
      <w:pPr>
        <w:pStyle w:val="Para 01"/>
      </w:pPr>
      <w:r>
        <w:t>Check and enable nested virtualization inside a VM</w:t>
      </w:r>
    </w:p>
    <w:p>
      <w:pPr>
        <w:pStyle w:val="Para 17"/>
      </w:pPr>
      <w:r>
        <w:t/>
      </w:r>
    </w:p>
    <w:p>
      <w:pPr>
        <w:pStyle w:val="Normal"/>
      </w:pPr>
      <w:r>
        <w:t>Once the nested virtualization is enabled on the host, we can run a L1 VM and a L2 VM inside it. The following instructions assume that you are using libvirt to manage the VMs but other tools like multipass should also work out of the box.</w:t>
      </w:r>
    </w:p>
    <w:p>
      <w:pPr>
        <w:pStyle w:val="Normal"/>
      </w:pPr>
      <w:r>
        <w:t>Log into the L1 VM and check if this can host another L2 VM on top by running:</w:t>
      </w:r>
    </w:p>
    <w:p>
      <w:pPr>
        <w:pStyle w:val="Normal"/>
      </w:pPr>
      <w:r>
        <w:t>egrep</w:t>
        <w:t xml:space="preserve"> </w:t>
        <w:t>"svm|vmx"</w:t>
        <w:t xml:space="preserve"> </w:t>
        <w:t>/proc/cpuinfo</w:t>
      </w:r>
    </w:p>
    <w:p>
      <w:pPr>
        <w:pStyle w:val="Para 17"/>
      </w:pPr>
      <w:r>
        <w:t/>
      </w:r>
    </w:p>
    <w:p>
      <w:pPr>
        <w:pStyle w:val="Normal"/>
      </w:pPr>
      <w:r>
        <w:t>If any of these are present in the output (depending on whether the host is AMD or Intel respectively), then virtualization is available in that instance. If this is not the case, you need to edit the instance CPU settings:</w:t>
      </w:r>
    </w:p>
    <w:p>
      <w:pPr>
        <w:pStyle w:val="Para 04"/>
      </w:pPr>
      <w:r>
        <w:t>• Shut down the instance</w:t>
      </w:r>
    </w:p>
    <w:p>
      <w:pPr>
        <w:pStyle w:val="Para 04"/>
      </w:pPr>
      <w:r>
        <w:t>• Edit the instance XML definition file by executing: virsh edit &lt;instance&gt;</w:t>
      </w:r>
    </w:p>
    <w:p>
      <w:pPr>
        <w:pStyle w:val="Para 04"/>
      </w:pPr>
      <w:r>
        <w:t>• Search for the cpu mode parameter and set its value to either host-model or host-</w:t>
      </w:r>
    </w:p>
    <w:p>
      <w:pPr>
        <w:pStyle w:val="Para 02"/>
      </w:pPr>
      <w:r>
        <w:t xml:space="preserve">passthrough </w:t>
      </w:r>
      <w:hyperlink w:anchor="page_585">
        <w:r>
          <w:rPr>
            <w:rStyle w:val="Text9"/>
          </w:rPr>
          <w:t>615</w:t>
        </w:r>
      </w:hyperlink>
      <w:r>
        <w:t xml:space="preserve"> (details about these modes can be found </w:t>
      </w:r>
      <w:hyperlink r:id="rId1536">
        <w:r>
          <w:rPr>
            <w:rStyle w:val="Text1"/>
          </w:rPr>
          <w:t>on the OpenStack wiki</w:t>
        </w:r>
      </w:hyperlink>
      <w:r>
        <w:t>).</w:t>
      </w:r>
    </w:p>
    <w:p>
      <w:pPr>
        <w:pStyle w:val="Para 02"/>
      </w:pPr>
      <w:r>
        <w:t>Sample cpu mode parameter in XML with nested virtualization:</w:t>
      </w:r>
    </w:p>
    <w:p>
      <w:pPr>
        <w:pStyle w:val="Para 06"/>
      </w:pPr>
      <w:r>
        <w:rPr>
          <w:rStyle w:val="Text0"/>
        </w:rPr>
        <w:t>&lt;cpu</w:t>
      </w:r>
      <w:r>
        <w:t xml:space="preserve"> </w:t>
        <w:t>mode='host-model' check='partial'</w:t>
      </w:r>
      <w:r>
        <w:rPr>
          <w:rStyle w:val="Text0"/>
        </w:rPr>
        <w:t>/&gt;</w:t>
      </w:r>
    </w:p>
    <w:p>
      <w:pPr>
        <w:pStyle w:val="Para 17"/>
      </w:pPr>
      <w:r>
        <w:t/>
      </w:r>
    </w:p>
    <w:p>
      <w:pPr>
        <w:pStyle w:val="Para 04"/>
      </w:pPr>
      <w:r>
        <w:t>• Save the modifications and start the instance</w:t>
      </w:r>
    </w:p>
    <w:p>
      <w:pPr>
        <w:pStyle w:val="Para 17"/>
      </w:pPr>
      <w:r>
        <w:t/>
      </w:r>
    </w:p>
    <w:p>
      <w:pPr>
        <w:pStyle w:val="Para 01"/>
      </w:pPr>
      <w:r>
        <w:t>Limitations of nested virtualization</w:t>
      </w:r>
    </w:p>
    <w:p>
      <w:pPr>
        <w:pStyle w:val="Para 17"/>
      </w:pPr>
      <w:r>
        <w:t/>
      </w:r>
    </w:p>
    <w:p>
      <w:pPr>
        <w:pStyle w:val="Normal"/>
      </w:pPr>
      <w:r>
        <w:t>Nested virtualization has some key limitations you’d need to consider, namely that not all KVM features will be available for instances running nested VMs, and actions such as migrat-ing or saving the parent instance will not be possible until the nested instance is stopped.</w:t>
      </w:r>
    </w:p>
    <w:p>
      <w:pPr>
        <w:pStyle w:val="Para 14"/>
      </w:pPr>
      <w:r>
        <w:rPr>
          <w:rStyle w:val="Text4"/>
        </w:rPr>
        <w:t xml:space="preserve">• </w:t>
      </w:r>
      <w:hyperlink w:anchor="page_564">
        <w:r>
          <w:t>How to use the libvirt library with virsh</w:t>
        </w:r>
      </w:hyperlink>
      <w:r>
        <w:rPr>
          <w:rStyle w:val="Text4"/>
        </w:rPr>
        <w:t xml:space="preserve"> (page 563)</w:t>
      </w:r>
    </w:p>
    <w:p>
      <w:pPr>
        <w:pStyle w:val="Para 14"/>
      </w:pPr>
      <w:r>
        <w:rPr>
          <w:rStyle w:val="Text4"/>
        </w:rPr>
        <w:t xml:space="preserve">• </w:t>
      </w:r>
      <w:hyperlink w:anchor="page_576">
        <w:r>
          <w:t>How to use virt-manager and other virt* tools</w:t>
        </w:r>
      </w:hyperlink>
      <w:r>
        <w:rPr>
          <w:rStyle w:val="Text4"/>
        </w:rPr>
        <w:t xml:space="preserve"> (page 575)</w:t>
      </w:r>
    </w:p>
    <w:p>
      <w:pPr>
        <w:pStyle w:val="Para 14"/>
      </w:pPr>
      <w:r>
        <w:rPr>
          <w:rStyle w:val="Text4"/>
        </w:rPr>
        <w:t xml:space="preserve">• </w:t>
      </w:r>
      <w:hyperlink w:anchor="page_583">
        <w:r>
          <w:t>How to enable nested virtualisation</w:t>
        </w:r>
      </w:hyperlink>
      <w:r>
        <w:rPr>
          <w:rStyle w:val="Text4"/>
        </w:rPr>
        <w:t xml:space="preserve"> (page 582)</w:t>
      </w:r>
    </w:p>
    <w:p>
      <w:pPr>
        <w:pStyle w:val="Para 05"/>
      </w:pPr>
      <w:r>
        <w:rPr>
          <w:rStyle w:val="Text5"/>
        </w:rPr>
        <w:t>615</w:t>
      </w:r>
      <w:r>
        <w:rPr>
          <w:rStyle w:val="Text8"/>
        </w:rPr>
        <w:t xml:space="preserve"> </w:t>
      </w:r>
      <w:r>
        <w:t>https://wiki.openstack.org/wiki/LibvirtXMLCPUModel</w:t>
      </w:r>
      <w:r>
        <w:rPr>
          <w:rStyle w:val="Text8"/>
        </w:rPr>
        <w:t xml:space="preserve"> </w:t>
      </w:r>
      <w:r>
        <w:rPr>
          <w:rStyle w:val="Text11"/>
        </w:rPr>
        <w:t>Ubuntu in other virtual environments</w:t>
      </w:r>
    </w:p>
    <w:p>
      <w:bookmarkStart w:id="888" w:name="page_58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0" name="index-586_1.png" descr="index-586_1.png"/>
            <wp:cNvGraphicFramePr>
              <a:graphicFrameLocks noChangeAspect="1"/>
            </wp:cNvGraphicFramePr>
            <a:graphic>
              <a:graphicData uri="http://schemas.openxmlformats.org/drawingml/2006/picture">
                <pic:pic>
                  <pic:nvPicPr>
                    <pic:cNvPr id="0" name="index-586_1.png" descr="index-586_1.png"/>
                    <pic:cNvPicPr/>
                  </pic:nvPicPr>
                  <pic:blipFill>
                    <a:blip r:embed="rId604"/>
                    <a:stretch>
                      <a:fillRect/>
                    </a:stretch>
                  </pic:blipFill>
                  <pic:spPr>
                    <a:xfrm>
                      <a:off x="0" y="0"/>
                      <a:ext cx="914400" cy="266700"/>
                    </a:xfrm>
                    <a:prstGeom prst="rect">
                      <a:avLst/>
                    </a:prstGeom>
                  </pic:spPr>
                </pic:pic>
              </a:graphicData>
            </a:graphic>
          </wp:anchor>
        </w:drawing>
      </w:r>
      <w:bookmarkEnd w:id="888"/>
    </w:p>
    <w:p>
      <w:pPr>
        <w:pStyle w:val="Para 17"/>
      </w:pPr>
      <w:r>
        <w:t/>
      </w:r>
    </w:p>
    <w:p>
      <w:pPr>
        <w:pStyle w:val="Para 01"/>
      </w:pPr>
      <w:r>
        <w:t>How to set up Ubuntu on Hyper-V</w:t>
      </w:r>
    </w:p>
    <w:p>
      <w:pPr>
        <w:pStyle w:val="Para 17"/>
      </w:pPr>
      <w:r>
        <w:t/>
      </w:r>
    </w:p>
    <w:p>
      <w:pPr>
        <w:pStyle w:val="Normal"/>
      </w:pPr>
      <w:r>
        <w:t xml:space="preserve">Hyper-V is a native </w:t>
      </w:r>
      <w:hyperlink w:anchor="page_586">
        <w:r>
          <w:rPr>
            <w:rStyle w:val="Text9"/>
          </w:rPr>
          <w:t>616</w:t>
        </w:r>
      </w:hyperlink>
      <w:r>
        <w:t xml:space="preserve"> </w:t>
      </w:r>
      <w:hyperlink r:id="rId1537">
        <w:r>
          <w:rPr>
            <w:rStyle w:val="Text1"/>
          </w:rPr>
          <w:t>type 1 hypervisor</w:t>
        </w:r>
      </w:hyperlink>
      <w:r>
        <w:t xml:space="preserve"> developed by Microsoft for the Windows family of</w:t>
      </w:r>
    </w:p>
    <w:p>
      <w:pPr>
        <w:pStyle w:val="Normal"/>
      </w:pPr>
      <w:r>
        <w:t xml:space="preserve">operating systems, similar to Xen or VMWare </w:t>
      </w:r>
      <w:hyperlink w:anchor="page_681">
        <w:r>
          <w:rPr>
            <w:rStyle w:val="Text2"/>
          </w:rPr>
          <w:t>ESXi</w:t>
        </w:r>
      </w:hyperlink>
      <w:r>
        <w:t>. It was first released for Windows Server in 2008, and has been available without additional charge since Windows Server 2012 and Windows 8.</w:t>
      </w:r>
    </w:p>
    <w:p>
      <w:pPr>
        <w:pStyle w:val="Normal"/>
      </w:pPr>
      <w:r>
        <w:t>Hyper-V allows Ubuntu to be run in parallel or in isolation on Windows operating systems. There are several use-cases for running Ubuntu on Hyper-V:</w:t>
      </w:r>
    </w:p>
    <w:p>
      <w:pPr>
        <w:pStyle w:val="Para 04"/>
      </w:pPr>
      <w:r>
        <w:t>• To introduce Ubuntu in a Windows-centric IT environment.</w:t>
      </w:r>
    </w:p>
    <w:p>
      <w:pPr>
        <w:pStyle w:val="Para 04"/>
      </w:pPr>
      <w:r>
        <w:t>• To have access to a complete Ubuntu desktop environment without dual-booting a PC.</w:t>
      </w:r>
    </w:p>
    <w:p>
      <w:pPr>
        <w:pStyle w:val="Para 04"/>
      </w:pPr>
      <w:r>
        <w:t xml:space="preserve">• To use Linux software on Ubuntu that is not yet supported on the </w:t>
      </w:r>
      <w:hyperlink r:id="rId1538">
        <w:r>
          <w:rPr>
            <w:rStyle w:val="Text1"/>
          </w:rPr>
          <w:t>Windows Subsystem</w:t>
        </w:r>
      </w:hyperlink>
    </w:p>
    <w:p>
      <w:pPr>
        <w:pStyle w:val="Para 32"/>
      </w:pPr>
      <w:hyperlink r:id="rId1538">
        <w:r>
          <w:t>for Linux</w:t>
        </w:r>
      </w:hyperlink>
      <w:hyperlink r:id="rId1538">
        <w:r>
          <w:rPr>
            <w:rStyle w:val="Text10"/>
          </w:rPr>
          <w:t>617</w:t>
        </w:r>
      </w:hyperlink>
      <w:r>
        <w:rPr>
          <w:rStyle w:val="Text7"/>
        </w:rPr>
        <w:t>.</w:t>
      </w:r>
    </w:p>
    <w:p>
      <w:pPr>
        <w:pStyle w:val="Para 17"/>
      </w:pPr>
      <w:r>
        <w:t/>
      </w:r>
    </w:p>
    <w:p>
      <w:pPr>
        <w:pStyle w:val="Para 01"/>
      </w:pPr>
      <w:r>
        <w:t>Hyper-V system requirements</w:t>
      </w:r>
    </w:p>
    <w:p>
      <w:pPr>
        <w:pStyle w:val="Para 17"/>
      </w:pPr>
      <w:r>
        <w:t/>
      </w:r>
    </w:p>
    <w:p>
      <w:pPr>
        <w:pStyle w:val="Para 18"/>
      </w:pPr>
      <w:r>
        <w:rPr>
          <w:rStyle w:val="Text7"/>
        </w:rPr>
        <w:t xml:space="preserve">The following are typical </w:t>
      </w:r>
      <w:hyperlink r:id="rId1539">
        <w:r>
          <w:rPr>
            <w:rStyle w:val="Text10"/>
          </w:rPr>
          <w:t>618</w:t>
        </w:r>
      </w:hyperlink>
      <w:hyperlink r:id="rId1539">
        <w:r>
          <w:t xml:space="preserve"> system requirements for Hyper-V</w:t>
        </w:r>
      </w:hyperlink>
      <w:r>
        <w:rPr>
          <w:rStyle w:val="Text7"/>
        </w:rPr>
        <w:t>:</w:t>
      </w:r>
    </w:p>
    <w:p>
      <w:pPr>
        <w:pStyle w:val="Para 04"/>
      </w:pPr>
      <w:r>
        <w:t>• A 64-bit processor with Second Level Address Translation (SLAT)</w:t>
      </w:r>
    </w:p>
    <w:p>
      <w:pPr>
        <w:pStyle w:val="Para 04"/>
      </w:pPr>
      <w:r>
        <w:t>• CPU support for virtualization extensions and virtualization enabled in the system</w:t>
      </w:r>
    </w:p>
    <w:p>
      <w:pPr>
        <w:pStyle w:val="Para 02"/>
      </w:pPr>
      <w:r>
        <w:t>BIOS/EFI</w:t>
      </w:r>
    </w:p>
    <w:p>
      <w:pPr>
        <w:pStyle w:val="Para 04"/>
      </w:pPr>
      <w:r>
        <w:t>• Minimum of 4 GB of memory, recommended 8 GB</w:t>
      </w:r>
    </w:p>
    <w:p>
      <w:pPr>
        <w:pStyle w:val="Para 04"/>
      </w:pPr>
      <w:r>
        <w:t>• Minimum of 5 GB of disk space, recommended 15 GB</w:t>
      </w:r>
    </w:p>
    <w:p>
      <w:pPr>
        <w:pStyle w:val="Para 17"/>
      </w:pPr>
      <w:r>
        <w:t/>
      </w:r>
    </w:p>
    <w:p>
      <w:pPr>
        <w:pStyle w:val="Para 01"/>
      </w:pPr>
      <w:r>
        <w:t>Install Hyper-V</w:t>
      </w:r>
    </w:p>
    <w:p>
      <w:pPr>
        <w:pStyle w:val="Para 17"/>
      </w:pPr>
      <w:r>
        <w:t/>
      </w:r>
    </w:p>
    <w:p>
      <w:pPr>
        <w:pStyle w:val="Normal"/>
      </w:pPr>
      <w:r>
        <w:t>Our first step in enabling Ubuntu is to install Hyper-V, which can be used on the Windows 11 Pro, Enterprise, Education, and Server operating systems.</w:t>
      </w:r>
    </w:p>
    <w:p>
      <w:pPr>
        <w:pStyle w:val="Normal"/>
      </w:pPr>
      <w:r>
        <w:t xml:space="preserve">Hyper-V is not included in Windows 11 Home, which </w:t>
      </w:r>
      <w:hyperlink r:id="rId1540">
        <w:r>
          <w:rPr>
            <w:rStyle w:val="Text9"/>
          </w:rPr>
          <w:t>619</w:t>
        </w:r>
      </w:hyperlink>
      <w:hyperlink r:id="rId1540">
        <w:r>
          <w:rPr>
            <w:rStyle w:val="Text1"/>
          </w:rPr>
          <w:t xml:space="preserve"> would need to be upgraded</w:t>
        </w:r>
      </w:hyperlink>
      <w:r>
        <w:t xml:space="preserve"> to Win-dows 11 Pro.</w:t>
      </w:r>
    </w:p>
    <w:p>
      <w:pPr>
        <w:pStyle w:val="Para 05"/>
      </w:pPr>
      <w:r>
        <w:rPr>
          <w:rStyle w:val="Text5"/>
        </w:rPr>
        <w:t>616</w:t>
      </w:r>
      <w:r>
        <w:rPr>
          <w:rStyle w:val="Text8"/>
        </w:rPr>
        <w:t xml:space="preserve"> </w:t>
      </w:r>
      <w:r>
        <w:t>https://en.wikipedia.org/wiki/Hypervisor#Classification</w:t>
      </w:r>
    </w:p>
    <w:p>
      <w:pPr>
        <w:pStyle w:val="Para 05"/>
      </w:pPr>
      <w:r>
        <w:rPr>
          <w:rStyle w:val="Text5"/>
        </w:rPr>
        <w:t>617</w:t>
      </w:r>
      <w:r>
        <w:rPr>
          <w:rStyle w:val="Text8"/>
        </w:rPr>
        <w:t xml:space="preserve"> </w:t>
      </w:r>
      <w:r>
        <w:t>https://learn.microsoft.com/windows/wsl/about</w:t>
      </w:r>
    </w:p>
    <w:p>
      <w:pPr>
        <w:pStyle w:val="Para 05"/>
      </w:pPr>
      <w:r>
        <w:rPr>
          <w:rStyle w:val="Text5"/>
        </w:rPr>
        <w:t>618</w:t>
      </w:r>
      <w:r>
        <w:rPr>
          <w:rStyle w:val="Text8"/>
        </w:rPr>
        <w:t xml:space="preserve"> </w:t>
      </w:r>
      <w:r>
        <w:t>https://learn.microsoft.com/en-us/windows-server/virtualization/hyper-v/system-requirements-for-hyper-v-on-windows</w:t>
      </w:r>
    </w:p>
    <w:p>
      <w:pPr>
        <w:pStyle w:val="Para 05"/>
      </w:pPr>
      <w:r>
        <w:rPr>
          <w:rStyle w:val="Text5"/>
        </w:rPr>
        <w:t>619</w:t>
      </w:r>
      <w:r>
        <w:rPr>
          <w:rStyle w:val="Text8"/>
        </w:rPr>
        <w:t xml:space="preserve"> </w:t>
      </w:r>
      <w:r>
        <w:t>https://support.microsoft.com/en-us/windows/upgrade-windows-home-to-windows-pro-ef34d520-e73f-3198-c525-d1a218cc2818</w:t>
      </w:r>
    </w:p>
    <w:p>
      <w:bookmarkStart w:id="889" w:name="calibre_pb_151"/>
      <w:pPr>
        <w:pStyle w:val="0 Block"/>
      </w:pPr>
      <w:bookmarkEnd w:id="889"/>
    </w:p>
    <w:p>
      <w:bookmarkStart w:id="890" w:name="page_587"/>
      <w:bookmarkStart w:id="891" w:name="Top_of_index_split_15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1" name="index-587_1.png" descr="index-587_1.png"/>
            <wp:cNvGraphicFramePr>
              <a:graphicFrameLocks noChangeAspect="1"/>
            </wp:cNvGraphicFramePr>
            <a:graphic>
              <a:graphicData uri="http://schemas.openxmlformats.org/drawingml/2006/picture">
                <pic:pic>
                  <pic:nvPicPr>
                    <pic:cNvPr id="0" name="index-587_1.png" descr="index-587_1.png"/>
                    <pic:cNvPicPr/>
                  </pic:nvPicPr>
                  <pic:blipFill>
                    <a:blip r:embed="rId605"/>
                    <a:stretch>
                      <a:fillRect/>
                    </a:stretch>
                  </pic:blipFill>
                  <pic:spPr>
                    <a:xfrm>
                      <a:off x="0" y="0"/>
                      <a:ext cx="914400" cy="266700"/>
                    </a:xfrm>
                    <a:prstGeom prst="rect">
                      <a:avLst/>
                    </a:prstGeom>
                  </pic:spPr>
                </pic:pic>
              </a:graphicData>
            </a:graphic>
          </wp:anchor>
        </w:drawing>
      </w:r>
      <w:bookmarkEnd w:id="890"/>
      <w:bookmarkEnd w:id="891"/>
    </w:p>
    <w:p>
      <w:pPr>
        <w:pStyle w:val="Para 01"/>
      </w:pPr>
      <w:r>
        <w:t>Install Hyper-V graphically</w:t>
      </w:r>
    </w:p>
    <w:p>
      <w:pPr>
        <w:pStyle w:val="Para 17"/>
      </w:pPr>
      <w:r>
        <w:t/>
      </w:r>
    </w:p>
    <w:p>
      <w:pPr>
        <w:pStyle w:val="Para 03"/>
      </w:pPr>
      <w:r>
        <w:t>1. Right click on the Windows Start button and select ‘Apps and Features’.</w:t>
      </w:r>
    </w:p>
    <w:p>
      <w:pPr>
        <w:pStyle w:val="Para 03"/>
      </w:pPr>
      <w:r>
        <w:t>2. Select ‘Programs and Features’ under Related Settings.</w:t>
      </w:r>
    </w:p>
    <w:p>
      <w:pPr>
        <w:pStyle w:val="Para 03"/>
      </w:pPr>
      <w:r>
        <w:t>3. Select ‘Turn Windows Features on or off’.</w:t>
      </w:r>
    </w:p>
    <w:p>
      <w:pPr>
        <w:pStyle w:val="Para 03"/>
      </w:pPr>
      <w:r>
        <w:t>4. Select ‘Hyper-V’ and click OK.</w:t>
      </w:r>
    </w:p>
    <w:p>
      <w:pPr>
        <w:pStyle w:val="Para 03"/>
      </w:pPr>
      <w:r>
        <w:t>5. Restart when prompted.</w:t>
      </w:r>
    </w:p>
    <w:p>
      <w:pPr>
        <w:pStyle w:val="Para 17"/>
      </w:pPr>
      <w:r>
        <w:t/>
      </w:r>
    </w:p>
    <w:p>
      <w:pPr>
        <w:pStyle w:val="Para 01"/>
      </w:pPr>
      <w:r>
        <w:t>Install Hyper-V using PowerShell</w:t>
      </w:r>
    </w:p>
    <w:p>
      <w:pPr>
        <w:pStyle w:val="Para 17"/>
      </w:pPr>
      <w:r>
        <w:t/>
      </w:r>
    </w:p>
    <w:p>
      <w:pPr>
        <w:pStyle w:val="Para 03"/>
      </w:pPr>
      <w:r>
        <w:t>1. Open a PowerShell console as Administrator.</w:t>
      </w:r>
    </w:p>
    <w:p>
      <w:pPr>
        <w:pStyle w:val="Para 03"/>
      </w:pPr>
      <w:r>
        <w:t>2. Run the following command:</w:t>
      </w:r>
    </w:p>
    <w:p>
      <w:pPr>
        <w:pStyle w:val="Para 02"/>
      </w:pPr>
      <w:r>
        <w:t>Enable</w:t>
        <w:t>-</w:t>
        <w:t>WindowsOptionalFeature</w:t>
        <w:t>-</w:t>
        <w:t>Online</w:t>
        <w:t>-</w:t>
        <w:t>FeatureName Microsoft</w:t>
        <w:t>-</w:t>
        <w:t>Hyper</w:t>
        <w:t>-</w:t>
        <w:t>V</w:t>
        <w:t>-</w:t>
        <w:t>All</w:t>
      </w:r>
    </w:p>
    <w:p>
      <w:pPr>
        <w:pStyle w:val="Para 17"/>
      </w:pPr>
      <w:r>
        <w:t/>
      </w:r>
    </w:p>
    <w:p>
      <w:pPr>
        <w:pStyle w:val="Para 03"/>
      </w:pPr>
      <w:r>
        <w:t>3. Restart when prompted.</w:t>
      </w:r>
    </w:p>
    <w:p>
      <w:pPr>
        <w:pStyle w:val="Para 17"/>
      </w:pPr>
      <w:r>
        <w:t/>
      </w:r>
    </w:p>
    <w:p>
      <w:pPr>
        <w:pStyle w:val="Para 01"/>
      </w:pPr>
      <w:r>
        <w:t>Install Ubuntu on Hyper-V</w:t>
      </w:r>
    </w:p>
    <w:p>
      <w:pPr>
        <w:pStyle w:val="Para 17"/>
      </w:pPr>
      <w:r>
        <w:t/>
      </w:r>
    </w:p>
    <w:p>
      <w:pPr>
        <w:pStyle w:val="Normal"/>
      </w:pPr>
      <w:r>
        <w:t>There are two main methods for installing Ubuntu on Hyper-V depending on your use case. Read each of the descriptions of the following methods and then determine the best for your situation.</w:t>
      </w:r>
    </w:p>
    <w:p>
      <w:pPr>
        <w:pStyle w:val="Para 17"/>
      </w:pPr>
      <w:r>
        <w:t/>
      </w:r>
    </w:p>
    <w:p>
      <w:pPr>
        <w:pStyle w:val="Para 01"/>
      </w:pPr>
      <w:r>
        <w:t>Using Quick Create</w:t>
      </w:r>
    </w:p>
    <w:p>
      <w:pPr>
        <w:pStyle w:val="Para 17"/>
      </w:pPr>
      <w:r>
        <w:t/>
      </w:r>
    </w:p>
    <w:p>
      <w:pPr>
        <w:pStyle w:val="Normal"/>
      </w:pPr>
      <w:r>
        <w:t>The recommended method is to use the curated Ubuntu image from the Hyper-V Quick Cre-ate Gallery. This is ideal for desktop development on Ubuntu and for users interested in running a complete Ubuntu desktop environment. The Ubuntu image from the Quick Cre-ate Gallery includes pre-configured features, such as clipboard sharing, dynamic resolution display, and shared folders.</w:t>
      </w:r>
    </w:p>
    <w:p>
      <w:pPr>
        <w:pStyle w:val="Para 03"/>
      </w:pPr>
      <w:r>
        <w:t>1. Enable Hyper-V as described above.</w:t>
      </w:r>
    </w:p>
    <w:p>
      <w:pPr>
        <w:pStyle w:val="Para 03"/>
      </w:pPr>
      <w:r>
        <w:t>2. Open ‘Hyper-V Manager’ by either:</w:t>
      </w:r>
    </w:p>
    <w:p>
      <w:pPr>
        <w:pStyle w:val="Para 06"/>
      </w:pPr>
      <w:r>
        <w:t>• Selecting the Windows Start button, then -&gt; Expanding the ‘Windows Administra-</w:t>
      </w:r>
    </w:p>
    <w:p>
      <w:pPr>
        <w:pStyle w:val="Para 11"/>
      </w:pPr>
      <w:r>
        <w:t>tive Tools’ folder -&gt; Selecting ‘Hyper-V Manager’</w:t>
      </w:r>
    </w:p>
    <w:p>
      <w:pPr>
        <w:pStyle w:val="Para 02"/>
      </w:pPr>
      <w:r>
        <w:t>or</w:t>
      </w:r>
    </w:p>
    <w:p>
      <w:pPr>
        <w:pStyle w:val="Para 06"/>
      </w:pPr>
      <w:r>
        <w:t>• Selecting the Windows key, then -&gt; Typing ‘Hyper-V’ -&gt; Selecting ‘Hyper-V Man-</w:t>
      </w:r>
    </w:p>
    <w:p>
      <w:pPr>
        <w:pStyle w:val="Para 11"/>
      </w:pPr>
      <w:r>
        <w:t>ager’</w:t>
      </w:r>
    </w:p>
    <w:p>
      <w:pPr>
        <w:pStyle w:val="Para 02"/>
      </w:pPr>
      <w:r>
        <w:t>In the future, the Quick Create tool can be accessed directly using the above methods, but it is useful to know where Hyper-V Manager is because it is what you will use to manage your Ubuntu VM.</w:t>
      </w:r>
    </w:p>
    <w:p>
      <w:pPr>
        <w:pStyle w:val="Para 03"/>
      </w:pPr>
      <w:r>
        <w:t>3. On the ‘Actions’ pane select ‘Quick Create’ and the Quick Create tool will open.</w:t>
      </w:r>
    </w:p>
    <w:p>
      <w:pPr>
        <w:pStyle w:val="Para 03"/>
      </w:pPr>
      <w:r>
        <w:t>4. Select a version of Ubuntu from the versions on the list.</w:t>
      </w:r>
    </w:p>
    <w:p>
      <w:bookmarkStart w:id="892" w:name="page_5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2" name="index-588_1.png" descr="index-588_1.png"/>
            <wp:cNvGraphicFramePr>
              <a:graphicFrameLocks noChangeAspect="1"/>
            </wp:cNvGraphicFramePr>
            <a:graphic>
              <a:graphicData uri="http://schemas.openxmlformats.org/drawingml/2006/picture">
                <pic:pic>
                  <pic:nvPicPr>
                    <pic:cNvPr id="0" name="index-588_1.png" descr="index-588_1.png"/>
                    <pic:cNvPicPr/>
                  </pic:nvPicPr>
                  <pic:blipFill>
                    <a:blip r:embed="rId606"/>
                    <a:stretch>
                      <a:fillRect/>
                    </a:stretch>
                  </pic:blipFill>
                  <pic:spPr>
                    <a:xfrm>
                      <a:off x="0" y="0"/>
                      <a:ext cx="914400" cy="266700"/>
                    </a:xfrm>
                    <a:prstGeom prst="rect">
                      <a:avLst/>
                    </a:prstGeom>
                  </pic:spPr>
                </pic:pic>
              </a:graphicData>
            </a:graphic>
          </wp:anchor>
        </w:drawing>
      </w:r>
      <w:bookmarkEnd w:id="892"/>
    </w:p>
    <w:p>
      <w:pPr>
        <w:pStyle w:val="Para 06"/>
      </w:pPr>
      <w:r>
        <w:t xml:space="preserve">• The </w:t>
      </w:r>
      <w:r>
        <w:rPr>
          <w:rStyle w:val="Text0"/>
        </w:rPr>
        <w:t>LTS version</w:t>
      </w:r>
      <w:r>
        <w:t xml:space="preserve"> is recommended if you are developing for Ubuntu Server or an</w:t>
      </w:r>
    </w:p>
    <w:p>
      <w:pPr>
        <w:pStyle w:val="Para 11"/>
      </w:pPr>
      <w:r>
        <w:t>enterprise environment.</w:t>
      </w:r>
    </w:p>
    <w:p>
      <w:pPr>
        <w:pStyle w:val="Para 06"/>
      </w:pPr>
      <w:r>
        <w:t xml:space="preserve">• The </w:t>
      </w:r>
      <w:r>
        <w:rPr>
          <w:rStyle w:val="Text0"/>
        </w:rPr>
        <w:t>interim release</w:t>
      </w:r>
      <w:r>
        <w:t xml:space="preserve"> is recommended if you would like to use the latest versions</w:t>
      </w:r>
    </w:p>
    <w:p>
      <w:pPr>
        <w:pStyle w:val="Para 11"/>
      </w:pPr>
      <w:r>
        <w:t>of software in Ubuntu.</w:t>
      </w:r>
    </w:p>
    <w:p>
      <w:pPr>
        <w:pStyle w:val="Para 03"/>
      </w:pPr>
      <w:r>
        <w:t>5. Select ‘Create Virtual Machine’ and wait for the VM image to be downloaded.</w:t>
      </w:r>
    </w:p>
    <w:p>
      <w:pPr>
        <w:pStyle w:val="Para 03"/>
      </w:pPr>
      <w:r>
        <w:t>6. Select ‘Connect’ to open a connection to your VM.</w:t>
      </w:r>
    </w:p>
    <w:p>
      <w:pPr>
        <w:pStyle w:val="Para 03"/>
      </w:pPr>
      <w:r>
        <w:t>7. Select ‘Start’ to run your VM.</w:t>
      </w:r>
    </w:p>
    <w:p>
      <w:pPr>
        <w:pStyle w:val="Para 03"/>
      </w:pPr>
      <w:r>
        <w:t>8. Complete the final stages of the Ubuntu install, including username selection.</w:t>
      </w:r>
    </w:p>
    <w:p>
      <w:pPr>
        <w:pStyle w:val="Para 17"/>
      </w:pPr>
      <w:r>
        <w:t/>
      </w:r>
    </w:p>
    <w:p>
      <w:pPr>
        <w:pStyle w:val="Para 01"/>
      </w:pPr>
      <w:r>
        <w:t>Using an Ubuntu CD image</w:t>
      </w:r>
    </w:p>
    <w:p>
      <w:pPr>
        <w:pStyle w:val="Para 17"/>
      </w:pPr>
      <w:r>
        <w:t/>
      </w:r>
    </w:p>
    <w:p>
      <w:pPr>
        <w:pStyle w:val="Normal"/>
      </w:pPr>
      <w:r>
        <w:t>It is possible to install Ubuntu on Hyper-V using a CD image ISO. This is useful if you are run-ning Ubuntu Server and do not need an enhanced desktop experience. Note that the en-hanced features of the Quick Create images are not enabled by default when you perform a manual install from an ISO.</w:t>
      </w:r>
    </w:p>
    <w:p>
      <w:pPr>
        <w:pStyle w:val="Para 03"/>
      </w:pPr>
      <w:r>
        <w:t xml:space="preserve">1. Download an Ubuntu ISO from an </w:t>
      </w:r>
      <w:hyperlink r:id="rId1035">
        <w:r>
          <w:rPr>
            <w:rStyle w:val="Text9"/>
          </w:rPr>
          <w:t>620</w:t>
        </w:r>
      </w:hyperlink>
      <w:hyperlink r:id="rId1035">
        <w:r>
          <w:rPr>
            <w:rStyle w:val="Text1"/>
          </w:rPr>
          <w:t xml:space="preserve"> official Ubuntu source</w:t>
        </w:r>
      </w:hyperlink>
      <w:r>
        <w:t>.</w:t>
      </w:r>
    </w:p>
    <w:p>
      <w:pPr>
        <w:pStyle w:val="Para 03"/>
      </w:pPr>
      <w:r>
        <w:t>2. Install Hyper-V as described above.</w:t>
      </w:r>
    </w:p>
    <w:p>
      <w:pPr>
        <w:pStyle w:val="Para 03"/>
      </w:pPr>
      <w:r>
        <w:t>3. Open ‘Hyper-V Manager’ by either:</w:t>
      </w:r>
    </w:p>
    <w:p>
      <w:pPr>
        <w:pStyle w:val="Para 06"/>
      </w:pPr>
      <w:r>
        <w:t>• Selecting the Windows Start button, then -&gt; Expanding the ‘Windows Administra-</w:t>
      </w:r>
    </w:p>
    <w:p>
      <w:pPr>
        <w:pStyle w:val="Para 11"/>
      </w:pPr>
      <w:r>
        <w:t>tive Tools’ folder -&gt; Selecting ‘Hyper-V Manager’</w:t>
      </w:r>
    </w:p>
    <w:p>
      <w:pPr>
        <w:pStyle w:val="Para 11"/>
      </w:pPr>
      <w:r>
        <w:t>or</w:t>
      </w:r>
    </w:p>
    <w:p>
      <w:pPr>
        <w:pStyle w:val="Para 06"/>
      </w:pPr>
      <w:r>
        <w:t>• Selecting the Windows key, then -&gt; Typing ‘Hyper-V’ -&gt; Selecting ‘Hyper-V Man-</w:t>
      </w:r>
    </w:p>
    <w:p>
      <w:pPr>
        <w:pStyle w:val="Para 11"/>
      </w:pPr>
      <w:r>
        <w:t>ager’</w:t>
      </w:r>
    </w:p>
    <w:p>
      <w:pPr>
        <w:pStyle w:val="Para 03"/>
      </w:pPr>
      <w:r>
        <w:t>4. On the ‘Actions’ pane click ‘Quick Create’ and the Quick Create tool will open.</w:t>
      </w:r>
    </w:p>
    <w:p>
      <w:pPr>
        <w:pStyle w:val="Para 03"/>
      </w:pPr>
      <w:r>
        <w:t>5. Select ‘Change installation source’ and choose the ISO file you downloaded before.</w:t>
      </w:r>
    </w:p>
    <w:p>
      <w:pPr>
        <w:pStyle w:val="Para 02"/>
      </w:pPr>
      <w:r>
        <w:t>If you want to give your virtual machine a more descriptive name, select the ‘More op-tions’ down-arrow and change ‘New Virtual Machine’ to something more useful, e.g. ‘Ubuntu Server 18.04 LTS’.</w:t>
      </w:r>
    </w:p>
    <w:p>
      <w:pPr>
        <w:pStyle w:val="Para 03"/>
      </w:pPr>
      <w:r>
        <w:t>6. Select ‘Create Virtual Machine’ and wait for the virtual machine to be created.</w:t>
      </w:r>
    </w:p>
    <w:p>
      <w:pPr>
        <w:pStyle w:val="Para 03"/>
      </w:pPr>
      <w:r>
        <w:t>7. Select ‘Connect’ to open a connection to your VM.</w:t>
      </w:r>
    </w:p>
    <w:p>
      <w:pPr>
        <w:pStyle w:val="Para 03"/>
      </w:pPr>
      <w:r>
        <w:t>8. Select ‘File’ in the menu bar, then -&gt; Choose ‘Settings’ and select the ‘Security’ tab -&gt;</w:t>
      </w:r>
    </w:p>
    <w:p>
      <w:pPr>
        <w:pStyle w:val="Para 02"/>
      </w:pPr>
      <w:r>
        <w:t>Under Secure Boot choose ‘Microsoft UEFI Certificate Authority’ -&gt; Then select ‘Apply’ and ‘OK’ to return to your VM.</w:t>
      </w:r>
    </w:p>
    <w:p>
      <w:pPr>
        <w:pStyle w:val="Para 03"/>
      </w:pPr>
      <w:r>
        <w:t>9. Select ‘Start’ to run your VM.</w:t>
      </w:r>
    </w:p>
    <w:p>
      <w:pPr>
        <w:pStyle w:val="Para 03"/>
      </w:pPr>
      <w:r>
        <w:t>10. Complete the manual installation of Ubuntu.</w:t>
      </w:r>
    </w:p>
    <w:p>
      <w:pPr>
        <w:pStyle w:val="Para 14"/>
      </w:pPr>
      <w:r>
        <w:rPr>
          <w:rStyle w:val="Text4"/>
        </w:rPr>
        <w:t xml:space="preserve">• </w:t>
      </w:r>
      <w:hyperlink w:anchor="page_586">
        <w:r>
          <w:t>Setting up Ubuntu on Hyper-V</w:t>
        </w:r>
      </w:hyperlink>
      <w:r>
        <w:rPr>
          <w:rStyle w:val="Text4"/>
        </w:rPr>
        <w:t xml:space="preserve"> (page 585) (Windows 11)</w:t>
      </w:r>
    </w:p>
    <w:p>
      <w:pPr>
        <w:pStyle w:val="Para 05"/>
      </w:pPr>
      <w:r>
        <w:rPr>
          <w:rStyle w:val="Text5"/>
        </w:rPr>
        <w:t>620</w:t>
      </w:r>
      <w:r>
        <w:rPr>
          <w:rStyle w:val="Text8"/>
        </w:rPr>
        <w:t xml:space="preserve"> </w:t>
      </w:r>
      <w:r>
        <w:t>https://ubuntu.com/download/server</w:t>
      </w:r>
    </w:p>
    <w:p>
      <w:bookmarkStart w:id="893" w:name="page_5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3" name="index-589_1.png" descr="index-589_1.png"/>
            <wp:cNvGraphicFramePr>
              <a:graphicFrameLocks noChangeAspect="1"/>
            </wp:cNvGraphicFramePr>
            <a:graphic>
              <a:graphicData uri="http://schemas.openxmlformats.org/drawingml/2006/picture">
                <pic:pic>
                  <pic:nvPicPr>
                    <pic:cNvPr id="0" name="index-589_1.png" descr="index-589_1.png"/>
                    <pic:cNvPicPr/>
                  </pic:nvPicPr>
                  <pic:blipFill>
                    <a:blip r:embed="rId607"/>
                    <a:stretch>
                      <a:fillRect/>
                    </a:stretch>
                  </pic:blipFill>
                  <pic:spPr>
                    <a:xfrm>
                      <a:off x="0" y="0"/>
                      <a:ext cx="914400" cy="266700"/>
                    </a:xfrm>
                    <a:prstGeom prst="rect">
                      <a:avLst/>
                    </a:prstGeom>
                  </pic:spPr>
                </pic:pic>
              </a:graphicData>
            </a:graphic>
          </wp:anchor>
        </w:drawing>
      </w:r>
      <w:bookmarkEnd w:id="893"/>
    </w:p>
    <w:p>
      <w:pPr>
        <w:pStyle w:val="Para 01"/>
      </w:pPr>
      <w:r>
        <w:t>See also</w:t>
      </w:r>
    </w:p>
    <w:p>
      <w:pPr>
        <w:pStyle w:val="Para 17"/>
      </w:pPr>
      <w:r>
        <w:t/>
      </w:r>
    </w:p>
    <w:p>
      <w:pPr>
        <w:pStyle w:val="Para 14"/>
      </w:pPr>
      <w:r>
        <w:rPr>
          <w:rStyle w:val="Text4"/>
        </w:rPr>
        <w:t xml:space="preserve">• Explanation: </w:t>
      </w:r>
      <w:hyperlink w:anchor="page_892">
        <w:r>
          <w:t>Virtualisation and containers</w:t>
        </w:r>
      </w:hyperlink>
      <w:r>
        <w:rPr>
          <w:rStyle w:val="Text4"/>
        </w:rPr>
        <w:t xml:space="preserve"> (page 891)</w:t>
      </w:r>
    </w:p>
    <w:p>
      <w:pPr>
        <w:pStyle w:val="Para 24"/>
      </w:pPr>
      <w:r>
        <w:t>3.2.10. Containers</w:t>
      </w:r>
    </w:p>
    <w:p>
      <w:pPr>
        <w:pStyle w:val="Normal"/>
      </w:pPr>
      <w:r>
        <w:t xml:space="preserve">Our </w:t>
      </w:r>
      <w:hyperlink w:anchor="page_589">
        <w:r>
          <w:rPr>
            <w:rStyle w:val="Text2"/>
          </w:rPr>
          <w:t>Containers</w:t>
        </w:r>
      </w:hyperlink>
      <w:r>
        <w:t xml:space="preserve"> (page 588) section includes installation and usage guides for the most popular container tooling available in Ubuntu:</w:t>
      </w:r>
    </w:p>
    <w:p>
      <w:pPr>
        <w:pStyle w:val="Para 04"/>
      </w:pPr>
      <w:r>
        <w:t xml:space="preserve">• </w:t>
      </w:r>
      <w:r>
        <w:rPr>
          <w:rStyle w:val="Text0"/>
        </w:rPr>
        <w:t>LXD</w:t>
      </w:r>
      <w:r>
        <w:t>, which can also now be used to create virtual machines</w:t>
      </w:r>
    </w:p>
    <w:p>
      <w:pPr>
        <w:pStyle w:val="Para 28"/>
      </w:pPr>
      <w:r>
        <w:rPr>
          <w:rStyle w:val="Text0"/>
        </w:rPr>
        <w:t xml:space="preserve">• </w:t>
      </w:r>
      <w:r>
        <w:t>Docker</w:t>
      </w:r>
      <w:r>
        <w:rPr>
          <w:rStyle w:val="Text0"/>
        </w:rPr>
        <w:t xml:space="preserve"> and </w:t>
      </w:r>
      <w:r>
        <w:t>rocks</w:t>
      </w:r>
    </w:p>
    <w:p>
      <w:pPr>
        <w:pStyle w:val="Para 17"/>
      </w:pPr>
      <w:r>
        <w:t/>
      </w:r>
    </w:p>
    <w:p>
      <w:pPr>
        <w:pStyle w:val="Para 01"/>
      </w:pPr>
      <w:r>
        <w:t>Containers</w:t>
      </w:r>
    </w:p>
    <w:p>
      <w:pPr>
        <w:pStyle w:val="Para 17"/>
      </w:pPr>
      <w:r>
        <w:t/>
      </w:r>
    </w:p>
    <w:p>
      <w:pPr>
        <w:pStyle w:val="Normal"/>
      </w:pPr>
      <w:r>
        <w:t>Containers are a lightweight, portable virtualization technology. They package software to-gether with its dependencies so that applications can run consistently even across different environments.</w:t>
      </w:r>
    </w:p>
    <w:p>
      <w:pPr>
        <w:pStyle w:val="Para 04"/>
      </w:pPr>
      <w:r>
        <w:t xml:space="preserve">• </w:t>
      </w:r>
      <w:hyperlink w:anchor="page_533">
        <w:r>
          <w:rPr>
            <w:rStyle w:val="Text2"/>
          </w:rPr>
          <w:t>LXD</w:t>
        </w:r>
      </w:hyperlink>
      <w:r>
        <w:t xml:space="preserve"> (page 532)</w:t>
      </w:r>
    </w:p>
    <w:p>
      <w:pPr>
        <w:pStyle w:val="Para 14"/>
      </w:pPr>
      <w:r>
        <w:rPr>
          <w:rStyle w:val="Text4"/>
        </w:rPr>
        <w:t xml:space="preserve">• </w:t>
      </w:r>
      <w:hyperlink w:anchor="page_589">
        <w:r>
          <w:t>Docker for sysadmins</w:t>
        </w:r>
      </w:hyperlink>
      <w:r>
        <w:rPr>
          <w:rStyle w:val="Text4"/>
        </w:rPr>
        <w:t xml:space="preserve"> (page 588)</w:t>
      </w:r>
    </w:p>
    <w:p>
      <w:pPr>
        <w:pStyle w:val="Para 14"/>
      </w:pPr>
      <w:r>
        <w:rPr>
          <w:rStyle w:val="Text4"/>
        </w:rPr>
        <w:t xml:space="preserve">• </w:t>
      </w:r>
      <w:hyperlink w:anchor="page_600">
        <w:r>
          <w:t>How to run rocks on your server</w:t>
        </w:r>
      </w:hyperlink>
      <w:r>
        <w:rPr>
          <w:rStyle w:val="Text4"/>
        </w:rPr>
        <w:t xml:space="preserve"> (page 599)</w:t>
      </w:r>
    </w:p>
    <w:p>
      <w:pPr>
        <w:pStyle w:val="Para 17"/>
      </w:pPr>
      <w:r>
        <w:t/>
      </w:r>
    </w:p>
    <w:p>
      <w:pPr>
        <w:pStyle w:val="Para 01"/>
      </w:pPr>
      <w:r>
        <w:t>Docker for system admins</w:t>
      </w:r>
    </w:p>
    <w:p>
      <w:pPr>
        <w:pStyle w:val="Para 17"/>
      </w:pPr>
      <w:r>
        <w:t/>
      </w:r>
    </w:p>
    <w:p>
      <w:pPr>
        <w:pStyle w:val="Normal"/>
      </w:pPr>
      <w:r>
        <w:t>We are going to explore set-ups for configuring storage, networking, and logging in the sub-sequent sections. This will also help you get familiarized with Docker command line interface (CLI).</w:t>
      </w:r>
    </w:p>
    <w:p>
      <w:pPr>
        <w:pStyle w:val="Para 17"/>
      </w:pPr>
      <w:r>
        <w:t/>
      </w:r>
    </w:p>
    <w:p>
      <w:pPr>
        <w:pStyle w:val="Para 01"/>
      </w:pPr>
      <w:r>
        <w:t>Installation</w:t>
      </w:r>
    </w:p>
    <w:p>
      <w:pPr>
        <w:pStyle w:val="Para 17"/>
      </w:pPr>
      <w:r>
        <w:t/>
      </w:r>
    </w:p>
    <w:p>
      <w:pPr>
        <w:pStyle w:val="Normal"/>
      </w:pPr>
      <w:r>
        <w:t>First, install Docker if it’s not already installed:</w:t>
      </w:r>
    </w:p>
    <w:p>
      <w:pPr>
        <w:pStyle w:val="Normal"/>
      </w:pPr>
      <w:r>
        <w:t>$ sudo apt-get install -y docker.io docker-compose</w:t>
      </w:r>
    </w:p>
    <w:p>
      <w:pPr>
        <w:pStyle w:val="Para 17"/>
      </w:pPr>
      <w:r>
        <w:t/>
      </w:r>
    </w:p>
    <w:p>
      <w:pPr>
        <w:pStyle w:val="Para 08"/>
      </w:pPr>
      <w:r>
        <w:t>Note:</w:t>
      </w:r>
    </w:p>
    <w:p>
      <w:pPr>
        <w:pStyle w:val="Para 03"/>
      </w:pPr>
      <w:r>
        <w:t>This guide uses the Docker packages provided by Ubuntu (docker.io), which are supported</w:t>
      </w:r>
    </w:p>
    <w:p>
      <w:pPr>
        <w:pStyle w:val="Para 03"/>
      </w:pPr>
      <w:r>
        <w:t>by Canonical. The instructions and examples below are written for these packages.</w:t>
      </w:r>
    </w:p>
    <w:p>
      <w:pPr>
        <w:pStyle w:val="Para 03"/>
      </w:pPr>
      <w:r>
        <w:t xml:space="preserve">Canonical also provides a </w:t>
      </w:r>
      <w:hyperlink r:id="rId1541">
        <w:r>
          <w:rPr>
            <w:rStyle w:val="Text9"/>
          </w:rPr>
          <w:t>621</w:t>
        </w:r>
      </w:hyperlink>
      <w:hyperlink r:id="rId1541">
        <w:r>
          <w:rPr>
            <w:rStyle w:val="Text1"/>
          </w:rPr>
          <w:t xml:space="preserve"> Docker snap</w:t>
        </w:r>
      </w:hyperlink>
      <w:r>
        <w:t>. This guide does not cover the snap installation</w:t>
      </w:r>
    </w:p>
    <w:p>
      <w:pPr>
        <w:pStyle w:val="Para 03"/>
      </w:pPr>
      <w:r>
        <w:t>path.</w:t>
      </w:r>
    </w:p>
    <w:p>
      <w:pPr>
        <w:pStyle w:val="Para 05"/>
      </w:pPr>
      <w:r>
        <w:rPr>
          <w:rStyle w:val="Text5"/>
        </w:rPr>
        <w:t>621</w:t>
      </w:r>
      <w:r>
        <w:rPr>
          <w:rStyle w:val="Text8"/>
        </w:rPr>
        <w:t xml:space="preserve"> </w:t>
      </w:r>
      <w:r>
        <w:t>https://snapcraft.io/docker</w:t>
      </w:r>
    </w:p>
    <w:p>
      <w:bookmarkStart w:id="894" w:name="calibre_pb_152"/>
      <w:pPr>
        <w:pStyle w:val="0 Block"/>
      </w:pPr>
      <w:bookmarkEnd w:id="894"/>
    </w:p>
    <w:p>
      <w:bookmarkStart w:id="895" w:name="page_590"/>
      <w:bookmarkStart w:id="896" w:name="Top_of_index_split_15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4" name="index-590_1.png" descr="index-590_1.png"/>
            <wp:cNvGraphicFramePr>
              <a:graphicFrameLocks noChangeAspect="1"/>
            </wp:cNvGraphicFramePr>
            <a:graphic>
              <a:graphicData uri="http://schemas.openxmlformats.org/drawingml/2006/picture">
                <pic:pic>
                  <pic:nvPicPr>
                    <pic:cNvPr id="0" name="index-590_1.png" descr="index-590_1.png"/>
                    <pic:cNvPicPr/>
                  </pic:nvPicPr>
                  <pic:blipFill>
                    <a:blip r:embed="rId608"/>
                    <a:stretch>
                      <a:fillRect/>
                    </a:stretch>
                  </pic:blipFill>
                  <pic:spPr>
                    <a:xfrm>
                      <a:off x="0" y="0"/>
                      <a:ext cx="914400" cy="266700"/>
                    </a:xfrm>
                    <a:prstGeom prst="rect">
                      <a:avLst/>
                    </a:prstGeom>
                  </pic:spPr>
                </pic:pic>
              </a:graphicData>
            </a:graphic>
          </wp:anchor>
        </w:drawing>
      </w:r>
      <w:bookmarkEnd w:id="895"/>
      <w:bookmarkEnd w:id="896"/>
    </w:p>
    <w:p>
      <w:pPr>
        <w:pStyle w:val="Para 01"/>
      </w:pPr>
      <w:r>
        <w:t>Configuring storage</w:t>
      </w:r>
    </w:p>
    <w:p>
      <w:pPr>
        <w:pStyle w:val="Para 17"/>
      </w:pPr>
      <w:r>
        <w:t/>
      </w:r>
    </w:p>
    <w:p>
      <w:pPr>
        <w:pStyle w:val="Para 01"/>
      </w:pPr>
      <w:r>
        <w:t>How to configure volumes</w:t>
      </w:r>
    </w:p>
    <w:p>
      <w:pPr>
        <w:pStyle w:val="Para 17"/>
      </w:pPr>
      <w:r>
        <w:t/>
      </w:r>
    </w:p>
    <w:p>
      <w:pPr>
        <w:pStyle w:val="Para 04"/>
      </w:pPr>
      <w:r>
        <w:t>• Create a volume</w:t>
      </w:r>
    </w:p>
    <w:p>
      <w:pPr>
        <w:pStyle w:val="Para 02"/>
      </w:pPr>
      <w:r>
        <w:t>$ docker volume create my-vol</w:t>
      </w:r>
    </w:p>
    <w:p>
      <w:pPr>
        <w:pStyle w:val="Para 02"/>
      </w:pPr>
      <w:r>
        <w:t>my-vol</w:t>
      </w:r>
    </w:p>
    <w:p>
      <w:pPr>
        <w:pStyle w:val="Para 17"/>
      </w:pPr>
      <w:r>
        <w:t/>
      </w:r>
    </w:p>
    <w:p>
      <w:pPr>
        <w:pStyle w:val="Para 04"/>
      </w:pPr>
      <w:r>
        <w:t>• List volumes</w:t>
      </w:r>
    </w:p>
    <w:p>
      <w:pPr>
        <w:pStyle w:val="Para 02"/>
      </w:pPr>
      <w:r>
        <w:t>$ docker volume ls</w:t>
      </w:r>
    </w:p>
    <w:p>
      <w:pPr>
        <w:pStyle w:val="Para 02"/>
      </w:pPr>
      <w:r>
        <w:t>DRIVER</w:t>
        <w:t xml:space="preserve"> </w:t>
        <w:t>VOLUME NAME</w:t>
      </w:r>
    </w:p>
    <w:p>
      <w:pPr>
        <w:pStyle w:val="Para 02"/>
      </w:pPr>
      <w:r>
        <w:t>local</w:t>
        <w:t xml:space="preserve"> </w:t>
        <w:t>my-vol</w:t>
      </w:r>
    </w:p>
    <w:p>
      <w:pPr>
        <w:pStyle w:val="Para 17"/>
      </w:pPr>
      <w:r>
        <w:t/>
      </w:r>
    </w:p>
    <w:p>
      <w:pPr>
        <w:pStyle w:val="Para 04"/>
      </w:pPr>
      <w:r>
        <w:t>• Inspect volume</w:t>
      </w:r>
    </w:p>
    <w:p>
      <w:pPr>
        <w:pStyle w:val="Para 02"/>
      </w:pPr>
      <w:r>
        <w:t>$ docker volume inspect my-vol</w:t>
      </w:r>
    </w:p>
    <w:p>
      <w:pPr>
        <w:pStyle w:val="Para 17"/>
      </w:pPr>
      <w:r>
        <w:t/>
      </w:r>
    </w:p>
    <w:p>
      <w:pPr>
        <w:pStyle w:val="Para 02"/>
      </w:pPr>
      <w:r>
        <w:t>[</w:t>
      </w:r>
    </w:p>
    <w:p>
      <w:pPr>
        <w:pStyle w:val="Para 06"/>
      </w:pPr>
      <w:r>
        <w:t>{</w:t>
      </w:r>
    </w:p>
    <w:p>
      <w:pPr>
        <w:pStyle w:val="Para 11"/>
      </w:pPr>
      <w:r>
        <w:rPr>
          <w:rStyle w:val="Text0"/>
        </w:rPr>
        <w:t>"CreatedAt"</w:t>
      </w:r>
      <w:r>
        <w:t>:</w:t>
        <w:t xml:space="preserve"> </w:t>
        <w:t>"2023-10-25T00:53:24Z"</w:t>
        <w:t>,</w:t>
        <w:t xml:space="preserve"> </w:t>
      </w:r>
      <w:r>
        <w:rPr>
          <w:rStyle w:val="Text0"/>
        </w:rPr>
        <w:t>"Driver"</w:t>
      </w:r>
      <w:r>
        <w:t>:</w:t>
        <w:t xml:space="preserve"> </w:t>
        <w:t>"local"</w:t>
        <w:t>,</w:t>
      </w:r>
    </w:p>
    <w:p>
      <w:pPr>
        <w:pStyle w:val="Para 30"/>
      </w:pPr>
      <w:r>
        <w:t>"Labels"</w:t>
      </w:r>
      <w:r>
        <w:rPr>
          <w:rStyle w:val="Text0"/>
        </w:rPr>
        <w:t>:</w:t>
        <w:t xml:space="preserve"> </w:t>
      </w:r>
      <w:r>
        <w:t>null</w:t>
      </w:r>
      <w:r>
        <w:rPr>
          <w:rStyle w:val="Text0"/>
        </w:rPr>
        <w:t>,</w:t>
      </w:r>
    </w:p>
    <w:p>
      <w:pPr>
        <w:pStyle w:val="Para 11"/>
      </w:pPr>
      <w:r>
        <w:rPr>
          <w:rStyle w:val="Text0"/>
        </w:rPr>
        <w:t>"Mountpoint"</w:t>
      </w:r>
      <w:r>
        <w:t>:</w:t>
        <w:t xml:space="preserve"> </w:t>
        <w:t>"/var/lib/docker/volumes/my-vol/_data"</w:t>
        <w:t>,</w:t>
        <w:t xml:space="preserve"> </w:t>
      </w:r>
      <w:r>
        <w:rPr>
          <w:rStyle w:val="Text0"/>
        </w:rPr>
        <w:t>"Name"</w:t>
      </w:r>
      <w:r>
        <w:t>:</w:t>
        <w:t xml:space="preserve"> </w:t>
        <w:t>"my-vol"</w:t>
        <w:t>,</w:t>
      </w:r>
    </w:p>
    <w:p>
      <w:pPr>
        <w:pStyle w:val="Para 30"/>
      </w:pPr>
      <w:r>
        <w:t>"Options"</w:t>
      </w:r>
      <w:r>
        <w:rPr>
          <w:rStyle w:val="Text0"/>
        </w:rPr>
        <w:t>:</w:t>
        <w:t xml:space="preserve"> </w:t>
      </w:r>
      <w:r>
        <w:t>null</w:t>
      </w:r>
      <w:r>
        <w:rPr>
          <w:rStyle w:val="Text0"/>
        </w:rPr>
        <w:t>,</w:t>
      </w:r>
    </w:p>
    <w:p>
      <w:pPr>
        <w:pStyle w:val="Para 11"/>
      </w:pPr>
      <w:r>
        <w:rPr>
          <w:rStyle w:val="Text0"/>
        </w:rPr>
        <w:t>"Scope"</w:t>
      </w:r>
      <w:r>
        <w:t>:</w:t>
        <w:t xml:space="preserve"> </w:t>
        <w:t>"local"</w:t>
      </w:r>
    </w:p>
    <w:p>
      <w:pPr>
        <w:pStyle w:val="Para 06"/>
      </w:pPr>
      <w:r>
        <w:t>}</w:t>
      </w:r>
    </w:p>
    <w:p>
      <w:pPr>
        <w:pStyle w:val="Para 02"/>
      </w:pPr>
      <w:r>
        <w:t>]</w:t>
      </w:r>
    </w:p>
    <w:p>
      <w:pPr>
        <w:pStyle w:val="Para 17"/>
      </w:pPr>
      <w:r>
        <w:t/>
      </w:r>
    </w:p>
    <w:p>
      <w:pPr>
        <w:pStyle w:val="Para 04"/>
      </w:pPr>
      <w:r>
        <w:t>• Run a container and mount a volume</w:t>
      </w:r>
    </w:p>
    <w:p>
      <w:pPr>
        <w:pStyle w:val="Para 02"/>
      </w:pPr>
      <w:r>
        <w:t>$ docker run --name web-server -d</w:t>
        <w:t xml:space="preserve"> </w:t>
      </w:r>
      <w:r>
        <w:rPr>
          <w:rStyle w:val="Text0"/>
        </w:rPr>
        <w:t>\</w:t>
      </w:r>
      <w:r>
        <w:t>--mount</w:t>
        <w:t xml:space="preserve"> </w:t>
        <w:t>source</w:t>
        <w:t>=</w:t>
        <w:t>my-vol,target</w:t>
        <w:t>=</w:t>
        <w:t>/app</w:t>
        <w:t xml:space="preserve"> </w:t>
      </w:r>
      <w:r>
        <w:rPr>
          <w:rStyle w:val="Text0"/>
        </w:rPr>
        <w:t>\</w:t>
      </w:r>
      <w:r>
        <w:t xml:space="preserve"> </w:t>
        <w:t>ubuntu/apache2</w:t>
      </w:r>
    </w:p>
    <w:p>
      <w:pPr>
        <w:pStyle w:val="Para 02"/>
      </w:pPr>
      <w:r>
        <w:t>0709c1b632801fddd767deddda0d273289ba423e9228cc1d77b2194989e0a882</w:t>
      </w:r>
    </w:p>
    <w:p>
      <w:pPr>
        <w:pStyle w:val="Para 17"/>
      </w:pPr>
      <w:r>
        <w:t/>
      </w:r>
    </w:p>
    <w:p>
      <w:pPr>
        <w:pStyle w:val="Para 04"/>
      </w:pPr>
      <w:r>
        <w:t>• Inspect your container to make sure the volume is mounted correctly:</w:t>
      </w:r>
    </w:p>
    <w:p>
      <w:pPr>
        <w:pStyle w:val="Para 02"/>
      </w:pPr>
      <w:r>
        <w:t>docker inspect web-server --format</w:t>
        <w:t xml:space="preserve"> </w:t>
        <w:t>'{{ json .Mounts }}'</w:t>
        <w:t xml:space="preserve"> </w:t>
        <w:t>| jq .</w:t>
      </w:r>
    </w:p>
    <w:p>
      <w:pPr>
        <w:pStyle w:val="Para 17"/>
      </w:pPr>
      <w:r>
        <w:t/>
      </w:r>
    </w:p>
    <w:p>
      <w:pPr>
        <w:pStyle w:val="Para 02"/>
      </w:pPr>
      <w:r>
        <w:t>[</w:t>
      </w:r>
    </w:p>
    <w:p>
      <w:pPr>
        <w:pStyle w:val="Para 06"/>
      </w:pPr>
      <w:r>
        <w:t>{</w:t>
      </w:r>
    </w:p>
    <w:p>
      <w:pPr>
        <w:pStyle w:val="Para 11"/>
      </w:pPr>
      <w:r>
        <w:rPr>
          <w:rStyle w:val="Text0"/>
        </w:rPr>
        <w:t>"Type"</w:t>
      </w:r>
      <w:r>
        <w:t>:</w:t>
        <w:t xml:space="preserve"> </w:t>
        <w:t>"volume"</w:t>
        <w:t>,</w:t>
      </w:r>
    </w:p>
    <w:p>
      <w:pPr>
        <w:pStyle w:val="Para 11"/>
      </w:pPr>
      <w:r>
        <w:rPr>
          <w:rStyle w:val="Text0"/>
        </w:rPr>
        <w:t>"Name"</w:t>
      </w:r>
      <w:r>
        <w:t>:</w:t>
        <w:t xml:space="preserve"> </w:t>
        <w:t>"my-vol"</w:t>
        <w:t>,</w:t>
      </w:r>
    </w:p>
    <w:p>
      <w:pPr>
        <w:pStyle w:val="Para 11"/>
      </w:pPr>
      <w:r>
        <w:rPr>
          <w:rStyle w:val="Text0"/>
        </w:rPr>
        <w:t>"Source"</w:t>
      </w:r>
      <w:r>
        <w:t>:</w:t>
        <w:t xml:space="preserve"> </w:t>
        <w:t>"/var/lib/docker/volumes/my-vol/_data"</w:t>
        <w:t>,</w:t>
        <w:t xml:space="preserve"> </w:t>
      </w:r>
      <w:r>
        <w:rPr>
          <w:rStyle w:val="Text0"/>
        </w:rPr>
        <w:t>"Destination"</w:t>
      </w:r>
      <w:r>
        <w:t>:</w:t>
        <w:t xml:space="preserve"> </w:t>
        <w:t>"/app"</w:t>
        <w:t>,</w:t>
      </w:r>
    </w:p>
    <w:p>
      <w:pPr>
        <w:pStyle w:val="Para 11"/>
      </w:pPr>
      <w:r>
        <w:rPr>
          <w:rStyle w:val="Text0"/>
        </w:rPr>
        <w:t>"Driver"</w:t>
      </w:r>
      <w:r>
        <w:t>:</w:t>
        <w:t xml:space="preserve"> </w:t>
        <w:t>"local"</w:t>
        <w:t>,</w:t>
      </w:r>
    </w:p>
    <w:p>
      <w:pPr>
        <w:pStyle w:val="Para 30"/>
      </w:pPr>
      <w:r>
        <w:t>"Mode"</w:t>
      </w:r>
      <w:r>
        <w:rPr>
          <w:rStyle w:val="Text0"/>
        </w:rPr>
        <w:t>:</w:t>
        <w:t xml:space="preserve"> </w:t>
        <w:t>"z"</w:t>
        <w:t>,</w:t>
      </w:r>
    </w:p>
    <w:p>
      <w:pPr>
        <w:pStyle w:val="Para 30"/>
      </w:pPr>
      <w:r>
        <w:t>"RW"</w:t>
      </w:r>
      <w:r>
        <w:rPr>
          <w:rStyle w:val="Text0"/>
        </w:rPr>
        <w:t>:</w:t>
        <w:t xml:space="preserve"> </w:t>
      </w:r>
      <w:r>
        <w:t>true</w:t>
      </w:r>
      <w:r>
        <w:rPr>
          <w:rStyle w:val="Text0"/>
        </w:rPr>
        <w:t>,</w:t>
      </w:r>
    </w:p>
    <w:p>
      <w:pPr>
        <w:pStyle w:val="Para 30"/>
      </w:pPr>
      <w:r>
        <w:t>"Propagation"</w:t>
      </w:r>
      <w:r>
        <w:rPr>
          <w:rStyle w:val="Text0"/>
        </w:rPr>
        <w:t>:</w:t>
        <w:t xml:space="preserve"> </w:t>
        <w:t>""</w:t>
      </w:r>
    </w:p>
    <w:p>
      <w:pPr>
        <w:pStyle w:val="Para 09"/>
      </w:pPr>
      <w:r>
        <w:t>(continues on next page)</w:t>
      </w:r>
    </w:p>
    <w:p>
      <w:bookmarkStart w:id="897" w:name="page_5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5" name="index-591_1.png" descr="index-591_1.png"/>
            <wp:cNvGraphicFramePr>
              <a:graphicFrameLocks noChangeAspect="1"/>
            </wp:cNvGraphicFramePr>
            <a:graphic>
              <a:graphicData uri="http://schemas.openxmlformats.org/drawingml/2006/picture">
                <pic:pic>
                  <pic:nvPicPr>
                    <pic:cNvPr id="0" name="index-591_1.png" descr="index-591_1.png"/>
                    <pic:cNvPicPr/>
                  </pic:nvPicPr>
                  <pic:blipFill>
                    <a:blip r:embed="rId609"/>
                    <a:stretch>
                      <a:fillRect/>
                    </a:stretch>
                  </pic:blipFill>
                  <pic:spPr>
                    <a:xfrm>
                      <a:off x="0" y="0"/>
                      <a:ext cx="914400" cy="266700"/>
                    </a:xfrm>
                    <a:prstGeom prst="rect">
                      <a:avLst/>
                    </a:prstGeom>
                  </pic:spPr>
                </pic:pic>
              </a:graphicData>
            </a:graphic>
          </wp:anchor>
        </w:drawing>
      </w:r>
      <w:bookmarkEnd w:id="897"/>
    </w:p>
    <w:p>
      <w:pPr>
        <w:pStyle w:val="Para 09"/>
      </w:pPr>
      <w:r>
        <w:t>(continued from previous page)</w:t>
      </w:r>
    </w:p>
    <w:p>
      <w:pPr>
        <w:pStyle w:val="Para 06"/>
      </w:pPr>
      <w:r>
        <w:t>}</w:t>
      </w:r>
    </w:p>
    <w:p>
      <w:pPr>
        <w:pStyle w:val="Para 02"/>
      </w:pPr>
      <w:r>
        <w:t>]</w:t>
      </w:r>
    </w:p>
    <w:p>
      <w:pPr>
        <w:pStyle w:val="Para 17"/>
      </w:pPr>
      <w:r>
        <w:t/>
      </w:r>
    </w:p>
    <w:p>
      <w:pPr>
        <w:pStyle w:val="Para 02"/>
      </w:pPr>
      <w:r>
        <w:t>By default, all your volumes will be stored in /var/lib/docker/volumes.</w:t>
      </w:r>
    </w:p>
    <w:p>
      <w:pPr>
        <w:pStyle w:val="Para 04"/>
      </w:pPr>
      <w:r>
        <w:t>• Stop and remove the container, then remove its volume.</w:t>
      </w:r>
    </w:p>
    <w:p>
      <w:pPr>
        <w:pStyle w:val="Para 02"/>
      </w:pPr>
      <w:r>
        <w:t>docker stop web-server</w:t>
      </w:r>
    </w:p>
    <w:p>
      <w:pPr>
        <w:pStyle w:val="Para 02"/>
      </w:pPr>
      <w:r>
        <w:t>docker rm web-server</w:t>
      </w:r>
    </w:p>
    <w:p>
      <w:pPr>
        <w:pStyle w:val="Para 02"/>
      </w:pPr>
      <w:r>
        <w:t>docker volume rm my-vol</w:t>
      </w:r>
    </w:p>
    <w:p>
      <w:pPr>
        <w:pStyle w:val="Para 17"/>
      </w:pPr>
      <w:r>
        <w:t/>
      </w:r>
    </w:p>
    <w:p>
      <w:pPr>
        <w:pStyle w:val="Para 01"/>
      </w:pPr>
      <w:r>
        <w:t>How to configure bind mounts</w:t>
      </w:r>
    </w:p>
    <w:p>
      <w:pPr>
        <w:pStyle w:val="Para 17"/>
      </w:pPr>
      <w:r>
        <w:t/>
      </w:r>
    </w:p>
    <w:p>
      <w:pPr>
        <w:pStyle w:val="Para 04"/>
      </w:pPr>
      <w:r>
        <w:t>• Create a Docker container and bind mount your host directory:</w:t>
      </w:r>
    </w:p>
    <w:p>
      <w:pPr>
        <w:pStyle w:val="Para 02"/>
      </w:pPr>
      <w:r>
        <w:t>$ docker run -d</w:t>
        <w:t xml:space="preserve"> </w:t>
      </w:r>
      <w:r>
        <w:rPr>
          <w:rStyle w:val="Text0"/>
        </w:rPr>
        <w:t>\</w:t>
      </w:r>
    </w:p>
    <w:p>
      <w:pPr>
        <w:pStyle w:val="Para 02"/>
      </w:pPr>
      <w:r>
        <w:t>--name web-server</w:t>
        <w:t xml:space="preserve"> </w:t>
      </w:r>
      <w:r>
        <w:rPr>
          <w:rStyle w:val="Text0"/>
        </w:rPr>
        <w:t>\</w:t>
      </w:r>
    </w:p>
    <w:p>
      <w:pPr>
        <w:pStyle w:val="Para 02"/>
      </w:pPr>
      <w:r>
        <w:t>--mount</w:t>
        <w:t xml:space="preserve"> </w:t>
        <w:t>type</w:t>
        <w:t>=</w:t>
        <w:t>bind,source</w:t>
        <w:t>=</w:t>
        <w:t>"</w:t>
      </w:r>
      <w:r>
        <w:rPr>
          <w:rStyle w:val="Text0"/>
        </w:rPr>
        <w:t>$(</w:t>
      </w:r>
      <w:r>
        <w:t>pwd</w:t>
      </w:r>
      <w:r>
        <w:rPr>
          <w:rStyle w:val="Text0"/>
        </w:rPr>
        <w:t>)</w:t>
      </w:r>
      <w:r>
        <w:t>"</w:t>
        <w:t>,target</w:t>
        <w:t>=</w:t>
        <w:t>/app</w:t>
        <w:t xml:space="preserve"> </w:t>
      </w:r>
      <w:r>
        <w:rPr>
          <w:rStyle w:val="Text0"/>
        </w:rPr>
        <w:t>\</w:t>
      </w:r>
      <w:r>
        <w:t xml:space="preserve"> </w:t>
        <w:t>ubuntu/apache2</w:t>
      </w:r>
    </w:p>
    <w:p>
      <w:pPr>
        <w:pStyle w:val="Para 02"/>
      </w:pPr>
      <w:r>
        <w:t>6f5378e34d6c6811702e16d047a5a80f18adbd9d8a14b11050ae3c3353bf8d2a</w:t>
      </w:r>
    </w:p>
    <w:p>
      <w:pPr>
        <w:pStyle w:val="Para 17"/>
      </w:pPr>
      <w:r>
        <w:t/>
      </w:r>
    </w:p>
    <w:p>
      <w:pPr>
        <w:pStyle w:val="Para 04"/>
      </w:pPr>
      <w:r>
        <w:t>• Inspect your container to check for the bind mount:</w:t>
      </w:r>
    </w:p>
    <w:p>
      <w:pPr>
        <w:pStyle w:val="Para 02"/>
      </w:pPr>
      <w:r>
        <w:t>docker inspect web-server --format</w:t>
        <w:t xml:space="preserve"> </w:t>
        <w:t>'{{ json .Mounts }}'</w:t>
        <w:t xml:space="preserve"> </w:t>
        <w:t>| jq .</w:t>
      </w:r>
    </w:p>
    <w:p>
      <w:pPr>
        <w:pStyle w:val="Para 17"/>
      </w:pPr>
      <w:r>
        <w:t/>
      </w:r>
    </w:p>
    <w:p>
      <w:pPr>
        <w:pStyle w:val="Para 02"/>
      </w:pPr>
      <w:r>
        <w:t>[</w:t>
      </w:r>
    </w:p>
    <w:p>
      <w:pPr>
        <w:pStyle w:val="Para 06"/>
      </w:pPr>
      <w:r>
        <w:t>{</w:t>
      </w:r>
    </w:p>
    <w:p>
      <w:pPr>
        <w:pStyle w:val="Para 11"/>
      </w:pPr>
      <w:r>
        <w:rPr>
          <w:rStyle w:val="Text0"/>
        </w:rPr>
        <w:t>"Type"</w:t>
      </w:r>
      <w:r>
        <w:t>:</w:t>
        <w:t xml:space="preserve"> </w:t>
        <w:t>"bind"</w:t>
        <w:t>,</w:t>
      </w:r>
    </w:p>
    <w:p>
      <w:pPr>
        <w:pStyle w:val="Para 11"/>
      </w:pPr>
      <w:r>
        <w:rPr>
          <w:rStyle w:val="Text0"/>
        </w:rPr>
        <w:t>"Source"</w:t>
      </w:r>
      <w:r>
        <w:t>:</w:t>
        <w:t xml:space="preserve"> </w:t>
        <w:t>"/root"</w:t>
        <w:t>,</w:t>
      </w:r>
    </w:p>
    <w:p>
      <w:pPr>
        <w:pStyle w:val="Para 30"/>
      </w:pPr>
      <w:r>
        <w:t>"Destination"</w:t>
      </w:r>
      <w:r>
        <w:rPr>
          <w:rStyle w:val="Text0"/>
        </w:rPr>
        <w:t>:</w:t>
        <w:t xml:space="preserve"> </w:t>
        <w:t>"/app"</w:t>
        <w:t>,</w:t>
      </w:r>
    </w:p>
    <w:p>
      <w:pPr>
        <w:pStyle w:val="Para 30"/>
      </w:pPr>
      <w:r>
        <w:t>"Mode"</w:t>
      </w:r>
      <w:r>
        <w:rPr>
          <w:rStyle w:val="Text0"/>
        </w:rPr>
        <w:t>:</w:t>
        <w:t xml:space="preserve"> </w:t>
        <w:t>""</w:t>
        <w:t>,</w:t>
      </w:r>
    </w:p>
    <w:p>
      <w:pPr>
        <w:pStyle w:val="Para 30"/>
      </w:pPr>
      <w:r>
        <w:t>"RW"</w:t>
      </w:r>
      <w:r>
        <w:rPr>
          <w:rStyle w:val="Text0"/>
        </w:rPr>
        <w:t>:</w:t>
        <w:t xml:space="preserve"> </w:t>
      </w:r>
      <w:r>
        <w:t>true</w:t>
      </w:r>
      <w:r>
        <w:rPr>
          <w:rStyle w:val="Text0"/>
        </w:rPr>
        <w:t>,</w:t>
      </w:r>
    </w:p>
    <w:p>
      <w:pPr>
        <w:pStyle w:val="Para 30"/>
      </w:pPr>
      <w:r>
        <w:t>"Propagation"</w:t>
      </w:r>
      <w:r>
        <w:rPr>
          <w:rStyle w:val="Text0"/>
        </w:rPr>
        <w:t>:</w:t>
        <w:t xml:space="preserve"> </w:t>
        <w:t>"rprivate"</w:t>
      </w:r>
    </w:p>
    <w:p>
      <w:pPr>
        <w:pStyle w:val="Para 06"/>
      </w:pPr>
      <w:r>
        <w:t>}</w:t>
      </w:r>
    </w:p>
    <w:p>
      <w:pPr>
        <w:pStyle w:val="Para 02"/>
      </w:pPr>
      <w:r>
        <w:t>]</w:t>
      </w:r>
    </w:p>
    <w:p>
      <w:pPr>
        <w:pStyle w:val="Para 17"/>
      </w:pPr>
      <w:r>
        <w:t/>
      </w:r>
    </w:p>
    <w:p>
      <w:pPr>
        <w:pStyle w:val="Para 04"/>
      </w:pPr>
      <w:r>
        <w:t>• Stop and remove the container</w:t>
      </w:r>
    </w:p>
    <w:p>
      <w:pPr>
        <w:pStyle w:val="Para 02"/>
      </w:pPr>
      <w:r>
        <w:t>docker stop web-server</w:t>
      </w:r>
    </w:p>
    <w:p>
      <w:pPr>
        <w:pStyle w:val="Para 02"/>
      </w:pPr>
      <w:r>
        <w:t>docker rm web-server</w:t>
      </w:r>
    </w:p>
    <w:p>
      <w:pPr>
        <w:pStyle w:val="Para 17"/>
      </w:pPr>
      <w:r>
        <w:t/>
      </w:r>
    </w:p>
    <w:p>
      <w:pPr>
        <w:pStyle w:val="Para 01"/>
      </w:pPr>
      <w:r>
        <w:t>How to configure Tmpfs</w:t>
      </w:r>
    </w:p>
    <w:p>
      <w:pPr>
        <w:pStyle w:val="Para 17"/>
      </w:pPr>
      <w:r>
        <w:t/>
      </w:r>
    </w:p>
    <w:p>
      <w:pPr>
        <w:pStyle w:val="Para 04"/>
      </w:pPr>
      <w:r>
        <w:t>• Create a Docker container and mount a tmpfs:</w:t>
      </w:r>
    </w:p>
    <w:p>
      <w:pPr>
        <w:pStyle w:val="Para 02"/>
      </w:pPr>
      <w:r>
        <w:t>$ docker run --name web-server -d</w:t>
        <w:t xml:space="preserve"> </w:t>
      </w:r>
      <w:r>
        <w:rPr>
          <w:rStyle w:val="Text0"/>
        </w:rPr>
        <w:t>\</w:t>
      </w:r>
      <w:r>
        <w:t>--mount</w:t>
        <w:t xml:space="preserve"> </w:t>
        <w:t>type</w:t>
        <w:t>=</w:t>
        <w:t>tmpfs,target</w:t>
        <w:t>=</w:t>
        <w:t>/app</w:t>
        <w:t xml:space="preserve"> </w:t>
      </w:r>
      <w:r>
        <w:rPr>
          <w:rStyle w:val="Text0"/>
        </w:rPr>
        <w:t>\</w:t>
      </w:r>
    </w:p>
    <w:p>
      <w:pPr>
        <w:pStyle w:val="Para 02"/>
      </w:pPr>
      <w:r>
        <w:t>ubuntu/apache2</w:t>
      </w:r>
    </w:p>
    <w:p>
      <w:pPr>
        <w:pStyle w:val="Para 02"/>
      </w:pPr>
      <w:r>
        <w:t>03483cc28166fc5c56317e4ee71904941ec5942071e7c936524f74d732b6a24c</w:t>
      </w:r>
    </w:p>
    <w:p>
      <w:bookmarkStart w:id="898" w:name="page_5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6" name="index-592_1.png" descr="index-592_1.png"/>
            <wp:cNvGraphicFramePr>
              <a:graphicFrameLocks noChangeAspect="1"/>
            </wp:cNvGraphicFramePr>
            <a:graphic>
              <a:graphicData uri="http://schemas.openxmlformats.org/drawingml/2006/picture">
                <pic:pic>
                  <pic:nvPicPr>
                    <pic:cNvPr id="0" name="index-592_1.png" descr="index-592_1.png"/>
                    <pic:cNvPicPr/>
                  </pic:nvPicPr>
                  <pic:blipFill>
                    <a:blip r:embed="rId610"/>
                    <a:stretch>
                      <a:fillRect/>
                    </a:stretch>
                  </pic:blipFill>
                  <pic:spPr>
                    <a:xfrm>
                      <a:off x="0" y="0"/>
                      <a:ext cx="914400" cy="266700"/>
                    </a:xfrm>
                    <a:prstGeom prst="rect">
                      <a:avLst/>
                    </a:prstGeom>
                  </pic:spPr>
                </pic:pic>
              </a:graphicData>
            </a:graphic>
          </wp:anchor>
        </w:drawing>
      </w:r>
      <w:bookmarkEnd w:id="898"/>
    </w:p>
    <w:p>
      <w:pPr>
        <w:pStyle w:val="Para 04"/>
      </w:pPr>
      <w:r>
        <w:t>• Inspect your container to check for the tmpfs mount:</w:t>
      </w:r>
    </w:p>
    <w:p>
      <w:pPr>
        <w:pStyle w:val="Para 02"/>
      </w:pPr>
      <w:r>
        <w:t>docker inspect web-server --format</w:t>
        <w:t xml:space="preserve"> </w:t>
        <w:t>'{{ json .Mounts }}'</w:t>
        <w:t xml:space="preserve"> </w:t>
        <w:t>| jq .</w:t>
      </w:r>
    </w:p>
    <w:p>
      <w:pPr>
        <w:pStyle w:val="Para 17"/>
      </w:pPr>
      <w:r>
        <w:t/>
      </w:r>
    </w:p>
    <w:p>
      <w:pPr>
        <w:pStyle w:val="Para 02"/>
      </w:pPr>
      <w:r>
        <w:t>[</w:t>
      </w:r>
    </w:p>
    <w:p>
      <w:pPr>
        <w:pStyle w:val="Para 06"/>
      </w:pPr>
      <w:r>
        <w:t>{</w:t>
      </w:r>
    </w:p>
    <w:p>
      <w:pPr>
        <w:pStyle w:val="Para 11"/>
      </w:pPr>
      <w:r>
        <w:rPr>
          <w:rStyle w:val="Text0"/>
        </w:rPr>
        <w:t>"Type"</w:t>
      </w:r>
      <w:r>
        <w:t>:</w:t>
        <w:t xml:space="preserve"> </w:t>
        <w:t>"tmpfs"</w:t>
        <w:t>,</w:t>
      </w:r>
    </w:p>
    <w:p>
      <w:pPr>
        <w:pStyle w:val="Para 30"/>
      </w:pPr>
      <w:r>
        <w:t>"Source"</w:t>
      </w:r>
      <w:r>
        <w:rPr>
          <w:rStyle w:val="Text0"/>
        </w:rPr>
        <w:t>:</w:t>
        <w:t xml:space="preserve"> </w:t>
        <w:t>""</w:t>
        <w:t>,</w:t>
      </w:r>
    </w:p>
    <w:p>
      <w:pPr>
        <w:pStyle w:val="Para 30"/>
      </w:pPr>
      <w:r>
        <w:t>"Destination"</w:t>
      </w:r>
      <w:r>
        <w:rPr>
          <w:rStyle w:val="Text0"/>
        </w:rPr>
        <w:t>:</w:t>
        <w:t xml:space="preserve"> </w:t>
        <w:t>"/app"</w:t>
        <w:t>,</w:t>
      </w:r>
    </w:p>
    <w:p>
      <w:pPr>
        <w:pStyle w:val="Para 30"/>
      </w:pPr>
      <w:r>
        <w:t>"Mode"</w:t>
      </w:r>
      <w:r>
        <w:rPr>
          <w:rStyle w:val="Text0"/>
        </w:rPr>
        <w:t>:</w:t>
        <w:t xml:space="preserve"> </w:t>
        <w:t>""</w:t>
        <w:t>,</w:t>
      </w:r>
    </w:p>
    <w:p>
      <w:pPr>
        <w:pStyle w:val="Para 30"/>
      </w:pPr>
      <w:r>
        <w:t>"RW"</w:t>
      </w:r>
      <w:r>
        <w:rPr>
          <w:rStyle w:val="Text0"/>
        </w:rPr>
        <w:t>:</w:t>
        <w:t xml:space="preserve"> </w:t>
      </w:r>
      <w:r>
        <w:t>true</w:t>
      </w:r>
      <w:r>
        <w:rPr>
          <w:rStyle w:val="Text0"/>
        </w:rPr>
        <w:t>,</w:t>
      </w:r>
    </w:p>
    <w:p>
      <w:pPr>
        <w:pStyle w:val="Para 30"/>
      </w:pPr>
      <w:r>
        <w:t>"Propagation"</w:t>
      </w:r>
      <w:r>
        <w:rPr>
          <w:rStyle w:val="Text0"/>
        </w:rPr>
        <w:t>:</w:t>
        <w:t xml:space="preserve"> </w:t>
        <w:t>""</w:t>
      </w:r>
    </w:p>
    <w:p>
      <w:pPr>
        <w:pStyle w:val="Para 06"/>
      </w:pPr>
      <w:r>
        <w:t>}</w:t>
      </w:r>
    </w:p>
    <w:p>
      <w:pPr>
        <w:pStyle w:val="Para 02"/>
      </w:pPr>
      <w:r>
        <w:t>]</w:t>
      </w:r>
    </w:p>
    <w:p>
      <w:pPr>
        <w:pStyle w:val="Para 17"/>
      </w:pPr>
      <w:r>
        <w:t/>
      </w:r>
    </w:p>
    <w:p>
      <w:pPr>
        <w:pStyle w:val="Para 01"/>
      </w:pPr>
      <w:r>
        <w:t>Choosing the right storage drivers</w:t>
      </w:r>
    </w:p>
    <w:p>
      <w:pPr>
        <w:pStyle w:val="Para 17"/>
      </w:pPr>
      <w:r>
        <w:t/>
      </w:r>
    </w:p>
    <w:p>
      <w:pPr>
        <w:pStyle w:val="Normal"/>
      </w:pPr>
      <w:r>
        <w:t>Before changing the configuration and restarting the daemon, make sure that the specified filesystem (zfs, btrfs, or device mapper) is mounted at /var/lib/docker. Otherwise, if you configure the Docker daemon to use a storage driver different from the filesystem mounted at /var/lib/docker, a failure will happen. The Docker daemon expects that /var/lib/docker is correctly set up when it starts.</w:t>
      </w:r>
    </w:p>
    <w:p>
      <w:pPr>
        <w:pStyle w:val="Para 04"/>
      </w:pPr>
      <w:r>
        <w:t>• Check the current storage driver</w:t>
      </w:r>
    </w:p>
    <w:p>
      <w:pPr>
        <w:pStyle w:val="Para 02"/>
      </w:pPr>
      <w:r>
        <w:t>$ docker info | grep</w:t>
        <w:t xml:space="preserve"> </w:t>
        <w:t>"Storage Driver"</w:t>
      </w:r>
    </w:p>
    <w:p>
      <w:pPr>
        <w:pStyle w:val="Para 02"/>
      </w:pPr>
      <w:r>
        <w:t>Storage Driver: overlayfs</w:t>
      </w:r>
    </w:p>
    <w:p>
      <w:pPr>
        <w:pStyle w:val="Para 17"/>
      </w:pPr>
      <w:r>
        <w:t/>
      </w:r>
    </w:p>
    <w:p>
      <w:pPr>
        <w:pStyle w:val="Para 04"/>
      </w:pPr>
      <w:r>
        <w:t>• Ensure the required Filesystem is available. We will be using the ZFS Filesystem.</w:t>
      </w:r>
    </w:p>
    <w:p>
      <w:pPr>
        <w:pStyle w:val="Para 02"/>
      </w:pPr>
      <w:r>
        <w:t>$ apt install zfsutils-linux -y</w:t>
        <w:t xml:space="preserve"> </w:t>
      </w:r>
      <w:r>
        <w:rPr>
          <w:rStyle w:val="Text3"/>
        </w:rPr>
        <w:t># Install ZFS</w:t>
      </w:r>
      <w:r>
        <w:t xml:space="preserve"> </w:t>
        <w:t>$ fallocate -l 5G /zfs-pool.img</w:t>
        <w:t xml:space="preserve"> </w:t>
      </w:r>
      <w:r>
        <w:rPr>
          <w:rStyle w:val="Text3"/>
        </w:rPr>
        <w:t># Create a 5GB file</w:t>
      </w:r>
      <w:r>
        <w:t xml:space="preserve"> </w:t>
        <w:t>$ zpool create mypool /zfs-pool.img</w:t>
        <w:t xml:space="preserve"> </w:t>
      </w:r>
      <w:r>
        <w:rPr>
          <w:rStyle w:val="Text3"/>
        </w:rPr>
        <w:t># Create a ZFS pool</w:t>
      </w:r>
      <w:r>
        <w:t xml:space="preserve"> </w:t>
        <w:t>$ zfs create -o</w:t>
        <w:t xml:space="preserve"> </w:t>
        <w:t>mountpoint</w:t>
        <w:t>=</w:t>
        <w:t>/var/lib/docker mypool/docker</w:t>
        <w:t xml:space="preserve"> </w:t>
      </w:r>
      <w:r>
        <w:rPr>
          <w:rStyle w:val="Text3"/>
        </w:rPr>
        <w:t># Create a ZFS dataset and</w:t>
      </w:r>
      <w:r>
        <w:t xml:space="preserve"> </w:t>
      </w:r>
      <w:r>
        <w:rPr>
          <w:rStyle w:val="Text3"/>
        </w:rPr>
        <w:t>mount it to dockers directory, "/var/lib/docker".</w:t>
      </w:r>
    </w:p>
    <w:p>
      <w:pPr>
        <w:pStyle w:val="Para 07"/>
      </w:pPr>
      <w:r>
        <w:rPr>
          <w:rStyle w:val="Text3"/>
        </w:rPr>
        <w:t>$ zfs list</w:t>
        <w:t xml:space="preserve"> </w:t>
      </w:r>
      <w:r>
        <w:t># Verify that it mounted successfully</w:t>
      </w:r>
    </w:p>
    <w:p>
      <w:pPr>
        <w:pStyle w:val="Para 02"/>
      </w:pPr>
      <w:r>
        <w:t>NAME</w:t>
        <w:t xml:space="preserve"> </w:t>
        <w:t>USED</w:t>
        <w:t xml:space="preserve"> </w:t>
        <w:t>AVAIL</w:t>
        <w:t xml:space="preserve"> </w:t>
        <w:t>REFER</w:t>
        <w:t xml:space="preserve"> </w:t>
        <w:t>MOUNTPOINT</w:t>
        <w:t xml:space="preserve"> </w:t>
        <w:t>mypool</w:t>
        <w:t xml:space="preserve"> </w:t>
        <w:t>162K</w:t>
        <w:t xml:space="preserve"> </w:t>
        <w:t>4</w:t>
        <w:t>.36G</w:t>
        <w:t xml:space="preserve"> </w:t>
        <w:t>24K</w:t>
        <w:t xml:space="preserve"> </w:t>
        <w:t>/mypool</w:t>
        <w:t xml:space="preserve"> </w:t>
        <w:t>mypool/docker</w:t>
        <w:t xml:space="preserve"> </w:t>
        <w:t>39K</w:t>
        <w:t xml:space="preserve"> </w:t>
        <w:t>4</w:t>
        <w:t>.36G</w:t>
        <w:t xml:space="preserve"> </w:t>
        <w:t>39K</w:t>
        <w:t xml:space="preserve"> </w:t>
        <w:t>/var/lib/docker</w:t>
      </w:r>
    </w:p>
    <w:p>
      <w:pPr>
        <w:pStyle w:val="Para 17"/>
      </w:pPr>
      <w:r>
        <w:t/>
      </w:r>
    </w:p>
    <w:p>
      <w:pPr>
        <w:pStyle w:val="Para 04"/>
      </w:pPr>
      <w:r>
        <w:t>• Change the storage driver</w:t>
      </w:r>
    </w:p>
    <w:p>
      <w:pPr>
        <w:pStyle w:val="Para 06"/>
      </w:pPr>
      <w:r>
        <w:t>1. Stop the docker daemon</w:t>
      </w:r>
    </w:p>
    <w:p>
      <w:pPr>
        <w:pStyle w:val="Para 11"/>
      </w:pPr>
      <w:r>
        <w:t>systemctl stop docker</w:t>
      </w:r>
    </w:p>
    <w:p>
      <w:pPr>
        <w:pStyle w:val="Para 17"/>
      </w:pPr>
      <w:r>
        <w:t/>
      </w:r>
    </w:p>
    <w:p>
      <w:pPr>
        <w:pStyle w:val="Para 06"/>
      </w:pPr>
      <w:r>
        <w:t>2. Edit /etc/docker/daemon.json using your favorite editor, then update the storage</w:t>
      </w:r>
    </w:p>
    <w:p>
      <w:pPr>
        <w:pStyle w:val="Para 11"/>
      </w:pPr>
      <w:r>
        <w:t>driver value to zfs.</w:t>
      </w:r>
    </w:p>
    <w:p>
      <w:pPr>
        <w:pStyle w:val="Para 11"/>
      </w:pPr>
      <w:r>
        <w:t>vim /etc/docker/daemon.json</w:t>
      </w:r>
    </w:p>
    <w:p>
      <w:bookmarkStart w:id="899" w:name="page_5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7" name="index-593_1.png" descr="index-593_1.png"/>
            <wp:cNvGraphicFramePr>
              <a:graphicFrameLocks noChangeAspect="1"/>
            </wp:cNvGraphicFramePr>
            <a:graphic>
              <a:graphicData uri="http://schemas.openxmlformats.org/drawingml/2006/picture">
                <pic:pic>
                  <pic:nvPicPr>
                    <pic:cNvPr id="0" name="index-593_1.png" descr="index-593_1.png"/>
                    <pic:cNvPicPr/>
                  </pic:nvPicPr>
                  <pic:blipFill>
                    <a:blip r:embed="rId611"/>
                    <a:stretch>
                      <a:fillRect/>
                    </a:stretch>
                  </pic:blipFill>
                  <pic:spPr>
                    <a:xfrm>
                      <a:off x="0" y="0"/>
                      <a:ext cx="914400" cy="266700"/>
                    </a:xfrm>
                    <a:prstGeom prst="rect">
                      <a:avLst/>
                    </a:prstGeom>
                  </pic:spPr>
                </pic:pic>
              </a:graphicData>
            </a:graphic>
          </wp:anchor>
        </w:drawing>
      </w:r>
      <w:bookmarkEnd w:id="899"/>
    </w:p>
    <w:p>
      <w:pPr>
        <w:pStyle w:val="Para 11"/>
      </w:pPr>
      <w:r>
        <w:t>{</w:t>
      </w:r>
    </w:p>
    <w:p>
      <w:pPr>
        <w:pStyle w:val="Para 29"/>
      </w:pPr>
      <w:r>
        <w:t>"storage-driver"</w:t>
      </w:r>
      <w:r>
        <w:rPr>
          <w:rStyle w:val="Text0"/>
        </w:rPr>
        <w:t>:</w:t>
        <w:t xml:space="preserve"> </w:t>
        <w:t>"zfs"</w:t>
      </w:r>
    </w:p>
    <w:p>
      <w:pPr>
        <w:pStyle w:val="Para 11"/>
      </w:pPr>
      <w:r>
        <w:t>}</w:t>
      </w:r>
    </w:p>
    <w:p>
      <w:pPr>
        <w:pStyle w:val="Para 17"/>
      </w:pPr>
      <w:r>
        <w:t/>
      </w:r>
    </w:p>
    <w:p>
      <w:pPr>
        <w:pStyle w:val="Para 06"/>
      </w:pPr>
      <w:r>
        <w:t>3. Restart the docker daemon</w:t>
      </w:r>
    </w:p>
    <w:p>
      <w:pPr>
        <w:pStyle w:val="Para 11"/>
      </w:pPr>
      <w:r>
        <w:t>systemctl restart docker</w:t>
      </w:r>
    </w:p>
    <w:p>
      <w:pPr>
        <w:pStyle w:val="Para 17"/>
      </w:pPr>
      <w:r>
        <w:t/>
      </w:r>
    </w:p>
    <w:p>
      <w:pPr>
        <w:pStyle w:val="Para 04"/>
      </w:pPr>
      <w:r>
        <w:t>• Verify the change</w:t>
      </w:r>
    </w:p>
    <w:p>
      <w:pPr>
        <w:pStyle w:val="Para 02"/>
      </w:pPr>
      <w:r>
        <w:t>$ docker info | grep</w:t>
        <w:t xml:space="preserve"> </w:t>
        <w:t>"Storage Driver"</w:t>
      </w:r>
    </w:p>
    <w:p>
      <w:pPr>
        <w:pStyle w:val="Para 02"/>
      </w:pPr>
      <w:r>
        <w:t>Storage Driver: zfs</w:t>
      </w:r>
    </w:p>
    <w:p>
      <w:pPr>
        <w:pStyle w:val="Para 17"/>
      </w:pPr>
      <w:r>
        <w:t/>
      </w:r>
    </w:p>
    <w:p>
      <w:pPr>
        <w:pStyle w:val="Para 01"/>
      </w:pPr>
      <w:r>
        <w:t>Configuring networking</w:t>
      </w:r>
    </w:p>
    <w:p>
      <w:pPr>
        <w:pStyle w:val="Para 17"/>
      </w:pPr>
      <w:r>
        <w:t/>
      </w:r>
    </w:p>
    <w:p>
      <w:pPr>
        <w:pStyle w:val="Normal"/>
      </w:pPr>
      <w:r>
        <w:t>This is how you can create a user-defined network using the Docker CLI:</w:t>
      </w:r>
    </w:p>
    <w:p>
      <w:pPr>
        <w:pStyle w:val="Para 04"/>
      </w:pPr>
      <w:r>
        <w:t>• Create a network</w:t>
      </w:r>
    </w:p>
    <w:p>
      <w:pPr>
        <w:pStyle w:val="Para 02"/>
      </w:pPr>
      <w:r>
        <w:t>$ docker network create --driver bridge my-net</w:t>
      </w:r>
    </w:p>
    <w:p>
      <w:pPr>
        <w:pStyle w:val="Para 02"/>
      </w:pPr>
      <w:r>
        <w:t>D84efaca11d6f643394de31ad8789391e3ddf29d46faecf0661849f5ead239f7</w:t>
      </w:r>
    </w:p>
    <w:p>
      <w:pPr>
        <w:pStyle w:val="Para 17"/>
      </w:pPr>
      <w:r>
        <w:t/>
      </w:r>
    </w:p>
    <w:p>
      <w:pPr>
        <w:pStyle w:val="Para 04"/>
      </w:pPr>
      <w:r>
        <w:t>• List networks</w:t>
      </w:r>
    </w:p>
    <w:p>
      <w:pPr>
        <w:pStyle w:val="Para 02"/>
      </w:pPr>
      <w:r>
        <w:t>$ docker network ls</w:t>
      </w:r>
    </w:p>
    <w:p>
      <w:pPr>
        <w:pStyle w:val="Para 02"/>
      </w:pPr>
      <w:r>
        <w:t>NETWORK ID</w:t>
        <w:t xml:space="preserve"> </w:t>
        <w:t>NAME</w:t>
        <w:t xml:space="preserve"> </w:t>
        <w:t>DRIVER</w:t>
        <w:t xml:space="preserve"> </w:t>
        <w:t>SCOPE</w:t>
        <w:t xml:space="preserve"> </w:t>
        <w:t>1f55a8891c4a</w:t>
        <w:t xml:space="preserve"> </w:t>
        <w:t>bridge</w:t>
        <w:t xml:space="preserve"> </w:t>
        <w:t>bridge</w:t>
        <w:t xml:space="preserve"> </w:t>
        <w:t>local</w:t>
        <w:t xml:space="preserve"> </w:t>
        <w:t>9ca94be2c1a0</w:t>
        <w:t xml:space="preserve"> </w:t>
        <w:t>host</w:t>
        <w:t xml:space="preserve"> </w:t>
        <w:t>host</w:t>
        <w:t xml:space="preserve"> </w:t>
        <w:t>local</w:t>
        <w:t xml:space="preserve"> </w:t>
        <w:t>d84efaca11d6</w:t>
        <w:t xml:space="preserve"> </w:t>
        <w:t>my-net</w:t>
        <w:t xml:space="preserve"> </w:t>
        <w:t>bridge</w:t>
        <w:t xml:space="preserve"> </w:t>
        <w:t>local</w:t>
        <w:t xml:space="preserve"> </w:t>
        <w:t>5d300e6a07b1</w:t>
        <w:t xml:space="preserve"> </w:t>
        <w:t>none</w:t>
        <w:t xml:space="preserve"> </w:t>
        <w:t>null</w:t>
        <w:t xml:space="preserve"> </w:t>
        <w:t>local</w:t>
      </w:r>
    </w:p>
    <w:p>
      <w:pPr>
        <w:pStyle w:val="Para 17"/>
      </w:pPr>
      <w:r>
        <w:t/>
      </w:r>
    </w:p>
    <w:p>
      <w:pPr>
        <w:pStyle w:val="Para 04"/>
      </w:pPr>
      <w:r>
        <w:t>• Inspect the network we created</w:t>
      </w:r>
    </w:p>
    <w:p>
      <w:pPr>
        <w:pStyle w:val="Para 02"/>
      </w:pPr>
      <w:r>
        <w:t>docker network inspect my-net</w:t>
      </w:r>
    </w:p>
    <w:p>
      <w:pPr>
        <w:pStyle w:val="Para 17"/>
      </w:pPr>
      <w:r>
        <w:t/>
      </w:r>
    </w:p>
    <w:p>
      <w:pPr>
        <w:pStyle w:val="Para 02"/>
      </w:pPr>
      <w:r>
        <w:t>[</w:t>
      </w:r>
    </w:p>
    <w:p>
      <w:pPr>
        <w:pStyle w:val="Para 06"/>
      </w:pPr>
      <w:r>
        <w:t>{</w:t>
      </w:r>
    </w:p>
    <w:p>
      <w:pPr>
        <w:pStyle w:val="Para 11"/>
      </w:pPr>
      <w:r>
        <w:rPr>
          <w:rStyle w:val="Text0"/>
        </w:rPr>
        <w:t>"Name"</w:t>
      </w:r>
      <w:r>
        <w:t>:</w:t>
        <w:t xml:space="preserve"> </w:t>
        <w:t>"my-net"</w:t>
        <w:t>,</w:t>
      </w:r>
    </w:p>
    <w:p>
      <w:pPr>
        <w:pStyle w:val="Para 11"/>
      </w:pPr>
      <w:r>
        <w:rPr>
          <w:rStyle w:val="Text0"/>
        </w:rPr>
        <w:t>"Id"</w:t>
      </w:r>
      <w:r>
        <w:t>:</w:t>
        <w:t xml:space="preserve"> </w:t>
        <w:t>"d84efaca11d6f643394de31ad8789391e3ddf29d46faecf0661849f5ead239f7"</w:t>
        <w:t>,</w:t>
        <w:t xml:space="preserve"> </w:t>
      </w:r>
      <w:r>
        <w:rPr>
          <w:rStyle w:val="Text0"/>
        </w:rPr>
        <w:t>"Created"</w:t>
      </w:r>
      <w:r>
        <w:t>:</w:t>
        <w:t xml:space="preserve"> </w:t>
        <w:t>"2023-10-25T22:18:52.972569338Z"</w:t>
        <w:t>,</w:t>
        <w:t xml:space="preserve"> </w:t>
      </w:r>
      <w:r>
        <w:rPr>
          <w:rStyle w:val="Text0"/>
        </w:rPr>
        <w:t>"Scope"</w:t>
      </w:r>
      <w:r>
        <w:t>:</w:t>
        <w:t xml:space="preserve"> </w:t>
        <w:t>"local"</w:t>
        <w:t>,</w:t>
      </w:r>
    </w:p>
    <w:p>
      <w:pPr>
        <w:pStyle w:val="Para 11"/>
      </w:pPr>
      <w:r>
        <w:rPr>
          <w:rStyle w:val="Text0"/>
        </w:rPr>
        <w:t>"Driver"</w:t>
      </w:r>
      <w:r>
        <w:t>:</w:t>
        <w:t xml:space="preserve"> </w:t>
        <w:t>"bridge"</w:t>
        <w:t>,</w:t>
      </w:r>
    </w:p>
    <w:p>
      <w:pPr>
        <w:pStyle w:val="Para 30"/>
      </w:pPr>
      <w:r>
        <w:t>"EnableIPv6"</w:t>
      </w:r>
      <w:r>
        <w:rPr>
          <w:rStyle w:val="Text0"/>
        </w:rPr>
        <w:t>:</w:t>
        <w:t xml:space="preserve"> </w:t>
      </w:r>
      <w:r>
        <w:t>false</w:t>
      </w:r>
      <w:r>
        <w:rPr>
          <w:rStyle w:val="Text0"/>
        </w:rPr>
        <w:t>,</w:t>
      </w:r>
    </w:p>
    <w:p>
      <w:pPr>
        <w:pStyle w:val="Para 30"/>
      </w:pPr>
      <w:r>
        <w:t>"IPAM"</w:t>
      </w:r>
      <w:r>
        <w:rPr>
          <w:rStyle w:val="Text0"/>
        </w:rPr>
        <w:t>: {</w:t>
      </w:r>
    </w:p>
    <w:p>
      <w:pPr>
        <w:pStyle w:val="Para 12"/>
      </w:pPr>
      <w:r>
        <w:rPr>
          <w:rStyle w:val="Text0"/>
        </w:rPr>
        <w:t>"Driver"</w:t>
      </w:r>
      <w:r>
        <w:t>:</w:t>
        <w:t xml:space="preserve"> </w:t>
        <w:t>"default"</w:t>
        <w:t>,</w:t>
      </w:r>
    </w:p>
    <w:p>
      <w:pPr>
        <w:pStyle w:val="Para 29"/>
      </w:pPr>
      <w:r>
        <w:t>"Options"</w:t>
      </w:r>
      <w:r>
        <w:rPr>
          <w:rStyle w:val="Text0"/>
        </w:rPr>
        <w:t>: {},</w:t>
      </w:r>
    </w:p>
    <w:p>
      <w:pPr>
        <w:pStyle w:val="Para 29"/>
      </w:pPr>
      <w:r>
        <w:t>"Config"</w:t>
      </w:r>
      <w:r>
        <w:rPr>
          <w:rStyle w:val="Text0"/>
        </w:rPr>
        <w:t>: [</w:t>
      </w:r>
    </w:p>
    <w:p>
      <w:pPr>
        <w:pStyle w:val="Para 12"/>
      </w:pPr>
      <w:r>
        <w:t>{</w:t>
      </w:r>
    </w:p>
    <w:p>
      <w:pPr>
        <w:pStyle w:val="Para 15"/>
      </w:pPr>
      <w:r>
        <w:rPr>
          <w:rStyle w:val="Text0"/>
        </w:rPr>
        <w:t>"Subnet"</w:t>
      </w:r>
      <w:r>
        <w:t>:</w:t>
        <w:t xml:space="preserve"> </w:t>
        <w:t>"172.18.0.0/16"</w:t>
        <w:t>,</w:t>
        <w:t xml:space="preserve"> </w:t>
      </w:r>
      <w:r>
        <w:rPr>
          <w:rStyle w:val="Text0"/>
        </w:rPr>
        <w:t>"Gateway"</w:t>
      </w:r>
      <w:r>
        <w:t>:</w:t>
        <w:t xml:space="preserve"> </w:t>
        <w:t>"172.18.0.1"</w:t>
      </w:r>
    </w:p>
    <w:p>
      <w:pPr>
        <w:pStyle w:val="Para 12"/>
      </w:pPr>
      <w:r>
        <w:t>}</w:t>
      </w:r>
    </w:p>
    <w:p>
      <w:pPr>
        <w:pStyle w:val="Para 09"/>
      </w:pPr>
      <w:r>
        <w:t>(continues on next page)</w:t>
      </w:r>
    </w:p>
    <w:p>
      <w:bookmarkStart w:id="900" w:name="page_5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8" name="index-594_1.png" descr="index-594_1.png"/>
            <wp:cNvGraphicFramePr>
              <a:graphicFrameLocks noChangeAspect="1"/>
            </wp:cNvGraphicFramePr>
            <a:graphic>
              <a:graphicData uri="http://schemas.openxmlformats.org/drawingml/2006/picture">
                <pic:pic>
                  <pic:nvPicPr>
                    <pic:cNvPr id="0" name="index-594_1.png" descr="index-594_1.png"/>
                    <pic:cNvPicPr/>
                  </pic:nvPicPr>
                  <pic:blipFill>
                    <a:blip r:embed="rId612"/>
                    <a:stretch>
                      <a:fillRect/>
                    </a:stretch>
                  </pic:blipFill>
                  <pic:spPr>
                    <a:xfrm>
                      <a:off x="0" y="0"/>
                      <a:ext cx="914400" cy="266700"/>
                    </a:xfrm>
                    <a:prstGeom prst="rect">
                      <a:avLst/>
                    </a:prstGeom>
                  </pic:spPr>
                </pic:pic>
              </a:graphicData>
            </a:graphic>
          </wp:anchor>
        </w:drawing>
      </w:r>
      <w:bookmarkEnd w:id="900"/>
    </w:p>
    <w:p>
      <w:pPr>
        <w:pStyle w:val="Para 09"/>
      </w:pPr>
      <w:r>
        <w:t>(continued from previous page)</w:t>
      </w:r>
    </w:p>
    <w:p>
      <w:pPr>
        <w:pStyle w:val="Para 12"/>
      </w:pPr>
      <w:r>
        <w:t>]</w:t>
      </w:r>
    </w:p>
    <w:p>
      <w:pPr>
        <w:pStyle w:val="Para 11"/>
      </w:pPr>
      <w:r>
        <w:t>},</w:t>
      </w:r>
    </w:p>
    <w:p>
      <w:pPr>
        <w:pStyle w:val="Para 30"/>
      </w:pPr>
      <w:r>
        <w:t>"Internal"</w:t>
      </w:r>
      <w:r>
        <w:rPr>
          <w:rStyle w:val="Text0"/>
        </w:rPr>
        <w:t>:</w:t>
        <w:t xml:space="preserve"> </w:t>
      </w:r>
      <w:r>
        <w:t>false</w:t>
      </w:r>
      <w:r>
        <w:rPr>
          <w:rStyle w:val="Text0"/>
        </w:rPr>
        <w:t>,</w:t>
      </w:r>
    </w:p>
    <w:p>
      <w:pPr>
        <w:pStyle w:val="Para 30"/>
      </w:pPr>
      <w:r>
        <w:t>"Attachable"</w:t>
      </w:r>
      <w:r>
        <w:rPr>
          <w:rStyle w:val="Text0"/>
        </w:rPr>
        <w:t>:</w:t>
        <w:t xml:space="preserve"> </w:t>
      </w:r>
      <w:r>
        <w:t>false</w:t>
      </w:r>
      <w:r>
        <w:rPr>
          <w:rStyle w:val="Text0"/>
        </w:rPr>
        <w:t>,</w:t>
      </w:r>
    </w:p>
    <w:p>
      <w:pPr>
        <w:pStyle w:val="Para 30"/>
      </w:pPr>
      <w:r>
        <w:t>"Ingress"</w:t>
      </w:r>
      <w:r>
        <w:rPr>
          <w:rStyle w:val="Text0"/>
        </w:rPr>
        <w:t>:</w:t>
        <w:t xml:space="preserve"> </w:t>
      </w:r>
      <w:r>
        <w:t>false</w:t>
      </w:r>
      <w:r>
        <w:rPr>
          <w:rStyle w:val="Text0"/>
        </w:rPr>
        <w:t>,</w:t>
      </w:r>
    </w:p>
    <w:p>
      <w:pPr>
        <w:pStyle w:val="Para 30"/>
      </w:pPr>
      <w:r>
        <w:t>"ConfigFrom"</w:t>
      </w:r>
      <w:r>
        <w:rPr>
          <w:rStyle w:val="Text0"/>
        </w:rPr>
        <w:t>: {</w:t>
      </w:r>
    </w:p>
    <w:p>
      <w:pPr>
        <w:pStyle w:val="Para 29"/>
      </w:pPr>
      <w:r>
        <w:t>"Network"</w:t>
      </w:r>
      <w:r>
        <w:rPr>
          <w:rStyle w:val="Text0"/>
        </w:rPr>
        <w:t>:</w:t>
        <w:t xml:space="preserve"> </w:t>
        <w:t>""</w:t>
      </w:r>
    </w:p>
    <w:p>
      <w:pPr>
        <w:pStyle w:val="Para 11"/>
      </w:pPr>
      <w:r>
        <w:t>},</w:t>
      </w:r>
    </w:p>
    <w:p>
      <w:pPr>
        <w:pStyle w:val="Para 30"/>
      </w:pPr>
      <w:r>
        <w:t>"ConfigOnly"</w:t>
      </w:r>
      <w:r>
        <w:rPr>
          <w:rStyle w:val="Text0"/>
        </w:rPr>
        <w:t>:</w:t>
        <w:t xml:space="preserve"> </w:t>
      </w:r>
      <w:r>
        <w:t>false</w:t>
      </w:r>
      <w:r>
        <w:rPr>
          <w:rStyle w:val="Text0"/>
        </w:rPr>
        <w:t>,</w:t>
      </w:r>
    </w:p>
    <w:p>
      <w:pPr>
        <w:pStyle w:val="Para 30"/>
      </w:pPr>
      <w:r>
        <w:t>"Containers"</w:t>
      </w:r>
      <w:r>
        <w:rPr>
          <w:rStyle w:val="Text0"/>
        </w:rPr>
        <w:t>: {},</w:t>
      </w:r>
    </w:p>
    <w:p>
      <w:pPr>
        <w:pStyle w:val="Para 30"/>
      </w:pPr>
      <w:r>
        <w:t>"Options"</w:t>
      </w:r>
      <w:r>
        <w:rPr>
          <w:rStyle w:val="Text0"/>
        </w:rPr>
        <w:t>: {},</w:t>
      </w:r>
    </w:p>
    <w:p>
      <w:pPr>
        <w:pStyle w:val="Para 30"/>
      </w:pPr>
      <w:r>
        <w:t>"Labels"</w:t>
      </w:r>
      <w:r>
        <w:rPr>
          <w:rStyle w:val="Text0"/>
        </w:rPr>
        <w:t>: {}</w:t>
      </w:r>
    </w:p>
    <w:p>
      <w:pPr>
        <w:pStyle w:val="Para 06"/>
      </w:pPr>
      <w:r>
        <w:t>}</w:t>
      </w:r>
    </w:p>
    <w:p>
      <w:pPr>
        <w:pStyle w:val="Para 02"/>
      </w:pPr>
      <w:r>
        <w:t>]</w:t>
      </w:r>
    </w:p>
    <w:p>
      <w:pPr>
        <w:pStyle w:val="Para 17"/>
      </w:pPr>
      <w:r>
        <w:t/>
      </w:r>
    </w:p>
    <w:p>
      <w:pPr>
        <w:pStyle w:val="Normal"/>
      </w:pPr>
      <w:r>
        <w:t>Containers can connect to a defined network when they are created (via docker run) or at any time of its lifecycle.</w:t>
      </w:r>
    </w:p>
    <w:p>
      <w:pPr>
        <w:pStyle w:val="Para 17"/>
      </w:pPr>
      <w:r>
        <w:t/>
      </w:r>
    </w:p>
    <w:p>
      <w:pPr>
        <w:pStyle w:val="Para 01"/>
      </w:pPr>
      <w:r>
        <w:t>Connecting a new container to an existing network</w:t>
      </w:r>
    </w:p>
    <w:p>
      <w:pPr>
        <w:pStyle w:val="Para 17"/>
      </w:pPr>
      <w:r>
        <w:t/>
      </w:r>
    </w:p>
    <w:p>
      <w:pPr>
        <w:pStyle w:val="Normal"/>
      </w:pPr>
      <w:r>
        <w:t>$ docker run -d --name c1 --network my-net ubuntu/apache2</w:t>
      </w:r>
    </w:p>
    <w:p>
      <w:pPr>
        <w:pStyle w:val="Normal"/>
      </w:pPr>
      <w:r>
        <w:t>C7aa78f45ce3474a276ca3e64023177d5984b3df921aadf97e221da8a29a891e</w:t>
      </w:r>
    </w:p>
    <w:p>
      <w:pPr>
        <w:pStyle w:val="Para 17"/>
      </w:pPr>
      <w:r>
        <w:t/>
      </w:r>
    </w:p>
    <w:p>
      <w:pPr>
        <w:pStyle w:val="Para 04"/>
      </w:pPr>
      <w:r>
        <w:t>• View the network connected to the container</w:t>
      </w:r>
    </w:p>
    <w:p>
      <w:pPr>
        <w:pStyle w:val="Para 02"/>
      </w:pPr>
      <w:r>
        <w:t>docker inspect c1 --format</w:t>
        <w:t xml:space="preserve"> </w:t>
        <w:t>'{{ json .NetworkSettings }}'</w:t>
        <w:t xml:space="preserve"> </w:t>
        <w:t>| jq .</w:t>
      </w:r>
    </w:p>
    <w:p>
      <w:pPr>
        <w:pStyle w:val="Para 17"/>
      </w:pPr>
      <w:r>
        <w:t/>
      </w:r>
    </w:p>
    <w:p>
      <w:pPr>
        <w:pStyle w:val="Para 02"/>
      </w:pPr>
      <w:r>
        <w:t>{</w:t>
      </w:r>
    </w:p>
    <w:p>
      <w:pPr>
        <w:pStyle w:val="Para 23"/>
      </w:pPr>
      <w:r>
        <w:t>"Bridge"</w:t>
      </w:r>
      <w:r>
        <w:rPr>
          <w:rStyle w:val="Text0"/>
        </w:rPr>
        <w:t>:</w:t>
        <w:t xml:space="preserve"> </w:t>
        <w:t>""</w:t>
        <w:t>,</w:t>
      </w:r>
    </w:p>
    <w:p>
      <w:pPr>
        <w:pStyle w:val="Para 06"/>
      </w:pPr>
      <w:r>
        <w:rPr>
          <w:rStyle w:val="Text0"/>
        </w:rPr>
        <w:t>"SandboxID"</w:t>
      </w:r>
      <w:r>
        <w:t>:</w:t>
        <w:t xml:space="preserve"> </w:t>
        <w:t>"ee1cc10093fdfdf5d4a30c056cef47abbfa564e770272e1e5f681525fdd85555"</w:t>
        <w:t>,</w:t>
        <w:t xml:space="preserve"> </w:t>
      </w:r>
      <w:r>
        <w:rPr>
          <w:rStyle w:val="Text0"/>
        </w:rPr>
        <w:t>"HairpinMode"</w:t>
      </w:r>
      <w:r>
        <w:t>:</w:t>
        <w:t xml:space="preserve"> </w:t>
      </w:r>
      <w:r>
        <w:rPr>
          <w:rStyle w:val="Text0"/>
        </w:rPr>
        <w:t>false</w:t>
      </w:r>
      <w:r>
        <w:t>,</w:t>
      </w:r>
    </w:p>
    <w:p>
      <w:pPr>
        <w:pStyle w:val="Para 23"/>
      </w:pPr>
      <w:r>
        <w:t>"LinkLocalIPv6Address"</w:t>
      </w:r>
      <w:r>
        <w:rPr>
          <w:rStyle w:val="Text0"/>
        </w:rPr>
        <w:t>:</w:t>
        <w:t xml:space="preserve"> </w:t>
        <w:t>""</w:t>
        <w:t>,</w:t>
      </w:r>
    </w:p>
    <w:p>
      <w:pPr>
        <w:pStyle w:val="Para 23"/>
      </w:pPr>
      <w:r>
        <w:t>"LinkLocalIPv6PrefixLen"</w:t>
      </w:r>
      <w:r>
        <w:rPr>
          <w:rStyle w:val="Text0"/>
        </w:rPr>
        <w:t>:</w:t>
        <w:t xml:space="preserve"> </w:t>
        <w:t>0</w:t>
        <w:t>,</w:t>
      </w:r>
    </w:p>
    <w:p>
      <w:pPr>
        <w:pStyle w:val="Para 23"/>
      </w:pPr>
      <w:r>
        <w:t>"Ports"</w:t>
      </w:r>
      <w:r>
        <w:rPr>
          <w:rStyle w:val="Text0"/>
        </w:rPr>
        <w:t>: {</w:t>
      </w:r>
    </w:p>
    <w:p>
      <w:pPr>
        <w:pStyle w:val="Para 30"/>
      </w:pPr>
      <w:r>
        <w:t>"80/tcp"</w:t>
      </w:r>
      <w:r>
        <w:rPr>
          <w:rStyle w:val="Text0"/>
        </w:rPr>
        <w:t>:</w:t>
        <w:t xml:space="preserve"> </w:t>
      </w:r>
      <w:r>
        <w:t>null</w:t>
      </w:r>
    </w:p>
    <w:p>
      <w:pPr>
        <w:pStyle w:val="Para 06"/>
      </w:pPr>
      <w:r>
        <w:t>},</w:t>
      </w:r>
    </w:p>
    <w:p>
      <w:pPr>
        <w:pStyle w:val="Para 06"/>
      </w:pPr>
      <w:r>
        <w:rPr>
          <w:rStyle w:val="Text0"/>
        </w:rPr>
        <w:t>"SandboxKey"</w:t>
      </w:r>
      <w:r>
        <w:t>:</w:t>
        <w:t xml:space="preserve"> </w:t>
        <w:t>"/var/run/docker/netns/ee1cc10093fd"</w:t>
        <w:t>,</w:t>
        <w:t xml:space="preserve"> </w:t>
      </w:r>
      <w:r>
        <w:rPr>
          <w:rStyle w:val="Text0"/>
        </w:rPr>
        <w:t>"SecondaryIPAddresses"</w:t>
      </w:r>
      <w:r>
        <w:t>:</w:t>
        <w:t xml:space="preserve"> </w:t>
      </w:r>
      <w:r>
        <w:rPr>
          <w:rStyle w:val="Text0"/>
        </w:rPr>
        <w:t>null</w:t>
      </w:r>
      <w:r>
        <w:t>,</w:t>
      </w:r>
    </w:p>
    <w:p>
      <w:pPr>
        <w:pStyle w:val="Para 23"/>
      </w:pPr>
      <w:r>
        <w:t>"SecondaryIPv6Addresses"</w:t>
      </w:r>
      <w:r>
        <w:rPr>
          <w:rStyle w:val="Text0"/>
        </w:rPr>
        <w:t>:</w:t>
        <w:t xml:space="preserve"> </w:t>
      </w:r>
      <w:r>
        <w:t>null</w:t>
      </w:r>
      <w:r>
        <w:rPr>
          <w:rStyle w:val="Text0"/>
        </w:rPr>
        <w:t>,</w:t>
      </w:r>
    </w:p>
    <w:p>
      <w:pPr>
        <w:pStyle w:val="Para 23"/>
      </w:pPr>
      <w:r>
        <w:t>"EndpointID"</w:t>
      </w:r>
      <w:r>
        <w:rPr>
          <w:rStyle w:val="Text0"/>
        </w:rPr>
        <w:t>:</w:t>
        <w:t xml:space="preserve"> </w:t>
        <w:t>""</w:t>
        <w:t>,</w:t>
      </w:r>
    </w:p>
    <w:p>
      <w:pPr>
        <w:pStyle w:val="Para 23"/>
      </w:pPr>
      <w:r>
        <w:t>"Gateway"</w:t>
      </w:r>
      <w:r>
        <w:rPr>
          <w:rStyle w:val="Text0"/>
        </w:rPr>
        <w:t>:</w:t>
        <w:t xml:space="preserve"> </w:t>
        <w:t>""</w:t>
        <w:t>,</w:t>
      </w:r>
    </w:p>
    <w:p>
      <w:pPr>
        <w:pStyle w:val="Para 23"/>
      </w:pPr>
      <w:r>
        <w:t>"GlobalIPv6Address"</w:t>
      </w:r>
      <w:r>
        <w:rPr>
          <w:rStyle w:val="Text0"/>
        </w:rPr>
        <w:t>:</w:t>
        <w:t xml:space="preserve"> </w:t>
        <w:t>""</w:t>
        <w:t>,</w:t>
      </w:r>
    </w:p>
    <w:p>
      <w:pPr>
        <w:pStyle w:val="Para 23"/>
      </w:pPr>
      <w:r>
        <w:t>"GlobalIPv6PrefixLen"</w:t>
      </w:r>
      <w:r>
        <w:rPr>
          <w:rStyle w:val="Text0"/>
        </w:rPr>
        <w:t>:</w:t>
        <w:t xml:space="preserve"> </w:t>
        <w:t>0</w:t>
        <w:t>,</w:t>
      </w:r>
    </w:p>
    <w:p>
      <w:pPr>
        <w:pStyle w:val="Para 23"/>
      </w:pPr>
      <w:r>
        <w:t>"IPAddress"</w:t>
      </w:r>
      <w:r>
        <w:rPr>
          <w:rStyle w:val="Text0"/>
        </w:rPr>
        <w:t>:</w:t>
        <w:t xml:space="preserve"> </w:t>
        <w:t>""</w:t>
        <w:t>,</w:t>
      </w:r>
    </w:p>
    <w:p>
      <w:pPr>
        <w:pStyle w:val="Para 23"/>
      </w:pPr>
      <w:r>
        <w:t>"IPPrefixLen"</w:t>
      </w:r>
      <w:r>
        <w:rPr>
          <w:rStyle w:val="Text0"/>
        </w:rPr>
        <w:t>:</w:t>
        <w:t xml:space="preserve"> </w:t>
        <w:t>0</w:t>
        <w:t>,</w:t>
      </w:r>
    </w:p>
    <w:p>
      <w:pPr>
        <w:pStyle w:val="Para 23"/>
      </w:pPr>
      <w:r>
        <w:t>"IPv6Gateway"</w:t>
      </w:r>
      <w:r>
        <w:rPr>
          <w:rStyle w:val="Text0"/>
        </w:rPr>
        <w:t>:</w:t>
        <w:t xml:space="preserve"> </w:t>
        <w:t>""</w:t>
        <w:t>,</w:t>
      </w:r>
    </w:p>
    <w:p>
      <w:pPr>
        <w:pStyle w:val="Para 23"/>
      </w:pPr>
      <w:r>
        <w:t>"MacAddress"</w:t>
      </w:r>
      <w:r>
        <w:rPr>
          <w:rStyle w:val="Text0"/>
        </w:rPr>
        <w:t>:</w:t>
        <w:t xml:space="preserve"> </w:t>
        <w:t>""</w:t>
        <w:t>,</w:t>
      </w:r>
    </w:p>
    <w:p>
      <w:pPr>
        <w:pStyle w:val="Para 23"/>
      </w:pPr>
      <w:r>
        <w:t>"Networks"</w:t>
      </w:r>
      <w:r>
        <w:rPr>
          <w:rStyle w:val="Text0"/>
        </w:rPr>
        <w:t>: {</w:t>
      </w:r>
    </w:p>
    <w:p>
      <w:pPr>
        <w:pStyle w:val="Para 30"/>
      </w:pPr>
      <w:r>
        <w:t>"my-net"</w:t>
      </w:r>
      <w:r>
        <w:rPr>
          <w:rStyle w:val="Text0"/>
        </w:rPr>
        <w:t>: {</w:t>
      </w:r>
    </w:p>
    <w:p>
      <w:pPr>
        <w:pStyle w:val="Para 29"/>
      </w:pPr>
      <w:r>
        <w:t>"IPAMConfig"</w:t>
      </w:r>
      <w:r>
        <w:rPr>
          <w:rStyle w:val="Text0"/>
        </w:rPr>
        <w:t>:</w:t>
        <w:t xml:space="preserve"> </w:t>
      </w:r>
      <w:r>
        <w:t>null</w:t>
      </w:r>
      <w:r>
        <w:rPr>
          <w:rStyle w:val="Text0"/>
        </w:rPr>
        <w:t>,</w:t>
      </w:r>
    </w:p>
    <w:p>
      <w:pPr>
        <w:pStyle w:val="Para 29"/>
      </w:pPr>
      <w:r>
        <w:t>"Links"</w:t>
      </w:r>
      <w:r>
        <w:rPr>
          <w:rStyle w:val="Text0"/>
        </w:rPr>
        <w:t>:</w:t>
        <w:t xml:space="preserve"> </w:t>
      </w:r>
      <w:r>
        <w:t>null</w:t>
      </w:r>
      <w:r>
        <w:rPr>
          <w:rStyle w:val="Text0"/>
        </w:rPr>
        <w:t>,</w:t>
      </w:r>
    </w:p>
    <w:p>
      <w:pPr>
        <w:pStyle w:val="Para 12"/>
      </w:pPr>
      <w:r>
        <w:rPr>
          <w:rStyle w:val="Text0"/>
        </w:rPr>
        <w:t>"Aliases"</w:t>
      </w:r>
      <w:r>
        <w:t>: [</w:t>
        <w:t>"c7aa78f45ce3"</w:t>
        <w:t>],</w:t>
      </w:r>
    </w:p>
    <w:p>
      <w:pPr>
        <w:pStyle w:val="Para 09"/>
      </w:pPr>
      <w:r>
        <w:t>(continues on next page)</w:t>
      </w:r>
    </w:p>
    <w:p>
      <w:bookmarkStart w:id="901" w:name="page_5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09" name="index-595_1.png" descr="index-595_1.png"/>
            <wp:cNvGraphicFramePr>
              <a:graphicFrameLocks noChangeAspect="1"/>
            </wp:cNvGraphicFramePr>
            <a:graphic>
              <a:graphicData uri="http://schemas.openxmlformats.org/drawingml/2006/picture">
                <pic:pic>
                  <pic:nvPicPr>
                    <pic:cNvPr id="0" name="index-595_1.png" descr="index-595_1.png"/>
                    <pic:cNvPicPr/>
                  </pic:nvPicPr>
                  <pic:blipFill>
                    <a:blip r:embed="rId613"/>
                    <a:stretch>
                      <a:fillRect/>
                    </a:stretch>
                  </pic:blipFill>
                  <pic:spPr>
                    <a:xfrm>
                      <a:off x="0" y="0"/>
                      <a:ext cx="914400" cy="266700"/>
                    </a:xfrm>
                    <a:prstGeom prst="rect">
                      <a:avLst/>
                    </a:prstGeom>
                  </pic:spPr>
                </pic:pic>
              </a:graphicData>
            </a:graphic>
          </wp:anchor>
        </w:drawing>
      </w:r>
      <w:bookmarkEnd w:id="901"/>
    </w:p>
    <w:p>
      <w:pPr>
        <w:pStyle w:val="Para 09"/>
      </w:pPr>
      <w:r>
        <w:t>(continued from previous page)</w:t>
      </w:r>
    </w:p>
    <w:p>
      <w:pPr>
        <w:pStyle w:val="Para 12"/>
      </w:pPr>
      <w:r>
        <w:rPr>
          <w:rStyle w:val="Text0"/>
        </w:rPr>
        <w:t>"NetworkID"</w:t>
      </w:r>
      <w:r>
        <w:t>:</w:t>
        <w:t xml:space="preserve"> </w:t>
        <w:t>"d84efaca11d6f643394de31ad8789391e3ddf29d46faecf0661849f5ead239f7</w:t>
      </w:r>
    </w:p>
    <w:p>
      <w:pPr>
        <w:pStyle w:val="Para 02"/>
      </w:pPr>
      <w:r>
        <w:t>"</w:t>
        <w:t>,</w:t>
      </w:r>
    </w:p>
    <w:p>
      <w:pPr>
        <w:pStyle w:val="Para 12"/>
      </w:pPr>
      <w:r>
        <w:rPr>
          <w:rStyle w:val="Text0"/>
        </w:rPr>
        <w:t>"EndpointID"</w:t>
      </w:r>
      <w:r>
        <w:t>:</w:t>
        <w:t xml:space="preserve"> </w:t>
        <w:t>"1cb76d44a484d302137bb4b042c8142db8e931e0c63f44175a1aa75ae8af9cb5</w:t>
      </w:r>
    </w:p>
    <w:p>
      <w:pPr>
        <w:pStyle w:val="Para 02"/>
      </w:pPr>
      <w:r>
        <w:t>"</w:t>
        <w:t>,</w:t>
      </w:r>
    </w:p>
    <w:p>
      <w:pPr>
        <w:pStyle w:val="Para 12"/>
      </w:pPr>
      <w:r>
        <w:rPr>
          <w:rStyle w:val="Text0"/>
        </w:rPr>
        <w:t>"Gateway"</w:t>
      </w:r>
      <w:r>
        <w:t>:</w:t>
        <w:t xml:space="preserve"> </w:t>
        <w:t>"172.18.0.1"</w:t>
        <w:t>,</w:t>
      </w:r>
    </w:p>
    <w:p>
      <w:pPr>
        <w:pStyle w:val="Para 12"/>
      </w:pPr>
      <w:r>
        <w:rPr>
          <w:rStyle w:val="Text0"/>
        </w:rPr>
        <w:t>"IPAddress"</w:t>
      </w:r>
      <w:r>
        <w:t>:</w:t>
        <w:t xml:space="preserve"> </w:t>
        <w:t>"172.18.0.2"</w:t>
        <w:t>,</w:t>
      </w:r>
    </w:p>
    <w:p>
      <w:pPr>
        <w:pStyle w:val="Para 29"/>
      </w:pPr>
      <w:r>
        <w:t>"IPPrefixLen"</w:t>
      </w:r>
      <w:r>
        <w:rPr>
          <w:rStyle w:val="Text0"/>
        </w:rPr>
        <w:t>:</w:t>
        <w:t xml:space="preserve"> </w:t>
        <w:t>16</w:t>
        <w:t>,</w:t>
      </w:r>
    </w:p>
    <w:p>
      <w:pPr>
        <w:pStyle w:val="Para 29"/>
      </w:pPr>
      <w:r>
        <w:t>"IPv6Gateway"</w:t>
      </w:r>
      <w:r>
        <w:rPr>
          <w:rStyle w:val="Text0"/>
        </w:rPr>
        <w:t>:</w:t>
        <w:t xml:space="preserve"> </w:t>
        <w:t>""</w:t>
        <w:t>,</w:t>
      </w:r>
    </w:p>
    <w:p>
      <w:pPr>
        <w:pStyle w:val="Para 29"/>
      </w:pPr>
      <w:r>
        <w:t>"GlobalIPv6Address"</w:t>
      </w:r>
      <w:r>
        <w:rPr>
          <w:rStyle w:val="Text0"/>
        </w:rPr>
        <w:t>:</w:t>
        <w:t xml:space="preserve"> </w:t>
        <w:t>""</w:t>
        <w:t>,</w:t>
      </w:r>
    </w:p>
    <w:p>
      <w:pPr>
        <w:pStyle w:val="Para 29"/>
      </w:pPr>
      <w:r>
        <w:t>"GlobalIPv6PrefixLen"</w:t>
      </w:r>
      <w:r>
        <w:rPr>
          <w:rStyle w:val="Text0"/>
        </w:rPr>
        <w:t>:</w:t>
        <w:t xml:space="preserve"> </w:t>
        <w:t>0</w:t>
        <w:t>,</w:t>
      </w:r>
    </w:p>
    <w:p>
      <w:pPr>
        <w:pStyle w:val="Para 29"/>
      </w:pPr>
      <w:r>
        <w:t>"MacAddress"</w:t>
      </w:r>
      <w:r>
        <w:rPr>
          <w:rStyle w:val="Text0"/>
        </w:rPr>
        <w:t>:</w:t>
        <w:t xml:space="preserve"> </w:t>
        <w:t>"02:42:ac:12:00:02"</w:t>
        <w:t>,</w:t>
        <w:t xml:space="preserve"> </w:t>
      </w:r>
      <w:r>
        <w:t>"DriverOpts"</w:t>
      </w:r>
      <w:r>
        <w:rPr>
          <w:rStyle w:val="Text0"/>
        </w:rPr>
        <w:t>:</w:t>
        <w:t xml:space="preserve"> </w:t>
      </w:r>
      <w:r>
        <w:t>null</w:t>
      </w:r>
    </w:p>
    <w:p>
      <w:pPr>
        <w:pStyle w:val="Para 11"/>
      </w:pPr>
      <w:r>
        <w:t>}</w:t>
      </w:r>
    </w:p>
    <w:p>
      <w:pPr>
        <w:pStyle w:val="Para 06"/>
      </w:pPr>
      <w:r>
        <w:t>}</w:t>
      </w:r>
    </w:p>
    <w:p>
      <w:pPr>
        <w:pStyle w:val="Para 02"/>
      </w:pPr>
      <w:r>
        <w:t>}</w:t>
      </w:r>
    </w:p>
    <w:p>
      <w:pPr>
        <w:pStyle w:val="Para 17"/>
      </w:pPr>
      <w:r>
        <w:t/>
      </w:r>
    </w:p>
    <w:p>
      <w:pPr>
        <w:pStyle w:val="Para 01"/>
      </w:pPr>
      <w:r>
        <w:t>Connecting a running container to an existing network</w:t>
      </w:r>
    </w:p>
    <w:p>
      <w:pPr>
        <w:pStyle w:val="Para 17"/>
      </w:pPr>
      <w:r>
        <w:t/>
      </w:r>
    </w:p>
    <w:p>
      <w:pPr>
        <w:pStyle w:val="Para 04"/>
      </w:pPr>
      <w:r>
        <w:t>• Make a running container connect to the existing network</w:t>
      </w:r>
    </w:p>
    <w:p>
      <w:pPr>
        <w:pStyle w:val="Para 06"/>
      </w:pPr>
      <w:r>
        <w:t>1. Create the container</w:t>
      </w:r>
    </w:p>
    <w:p>
      <w:pPr>
        <w:pStyle w:val="Para 11"/>
      </w:pPr>
      <w:r>
        <w:t>$ docker run -d --name c2 ubuntu/nginx</w:t>
      </w:r>
    </w:p>
    <w:p>
      <w:pPr>
        <w:pStyle w:val="Para 11"/>
      </w:pPr>
      <w:r>
        <w:t>Fea22fbb6e3685eae28815f3ad8c8a655340ebcd6a0c13f3aad0b45d71a20935</w:t>
      </w:r>
    </w:p>
    <w:p>
      <w:pPr>
        <w:pStyle w:val="Para 17"/>
      </w:pPr>
      <w:r>
        <w:t/>
      </w:r>
    </w:p>
    <w:p>
      <w:pPr>
        <w:pStyle w:val="Para 17"/>
      </w:pPr>
      <w:r>
        <w:t>2. Connect the running container to the network and verify that it’s connected.</w:t>
      </w:r>
    </w:p>
    <w:p>
      <w:pPr>
        <w:pStyle w:val="Para 11"/>
      </w:pPr>
      <w:r>
        <w:t>docker network connect my-net c2</w:t>
      </w:r>
    </w:p>
    <w:p>
      <w:pPr>
        <w:pStyle w:val="Para 11"/>
      </w:pPr>
      <w:r>
        <w:t>docker inspect c2 --format</w:t>
        <w:t xml:space="preserve"> </w:t>
        <w:t>'{{ json .NetworkSettings }}'</w:t>
        <w:t xml:space="preserve"> </w:t>
        <w:t>| jq .</w:t>
      </w:r>
    </w:p>
    <w:p>
      <w:pPr>
        <w:pStyle w:val="Para 17"/>
      </w:pPr>
      <w:r>
        <w:t/>
      </w:r>
    </w:p>
    <w:p>
      <w:pPr>
        <w:pStyle w:val="Para 11"/>
      </w:pPr>
      <w:r>
        <w:t>{</w:t>
      </w:r>
    </w:p>
    <w:p>
      <w:pPr>
        <w:pStyle w:val="Para 29"/>
      </w:pPr>
      <w:r>
        <w:t>"Bridge"</w:t>
      </w:r>
      <w:r>
        <w:rPr>
          <w:rStyle w:val="Text0"/>
        </w:rPr>
        <w:t>:</w:t>
        <w:t xml:space="preserve"> </w:t>
        <w:t>""</w:t>
        <w:t>,</w:t>
      </w:r>
    </w:p>
    <w:p>
      <w:pPr>
        <w:pStyle w:val="Para 21"/>
      </w:pPr>
      <w:r>
        <w:rPr>
          <w:rStyle w:val="Text0"/>
        </w:rPr>
        <w:t>"SandboxID"</w:t>
      </w:r>
      <w:r>
        <w:t>:</w:t>
        <w:t xml:space="preserve"> </w:t>
        <w:t>"82a7ea6efd679dffcc3e4392e0e5da61a8ccef33dd78eb5381c9792a4c01f366</w:t>
      </w:r>
    </w:p>
    <w:p>
      <w:pPr>
        <w:pStyle w:val="Para 11"/>
      </w:pPr>
      <w:r>
        <w:t>"</w:t>
        <w:t>,</w:t>
      </w:r>
    </w:p>
    <w:p>
      <w:pPr>
        <w:pStyle w:val="Para 29"/>
      </w:pPr>
      <w:r>
        <w:t>"HairpinMode"</w:t>
      </w:r>
      <w:r>
        <w:rPr>
          <w:rStyle w:val="Text0"/>
        </w:rPr>
        <w:t>:</w:t>
        <w:t xml:space="preserve"> </w:t>
      </w:r>
      <w:r>
        <w:t>false</w:t>
      </w:r>
      <w:r>
        <w:rPr>
          <w:rStyle w:val="Text0"/>
        </w:rPr>
        <w:t>,</w:t>
      </w:r>
    </w:p>
    <w:p>
      <w:pPr>
        <w:pStyle w:val="Para 29"/>
      </w:pPr>
      <w:r>
        <w:t>"LinkLocalIPv6Address"</w:t>
      </w:r>
      <w:r>
        <w:rPr>
          <w:rStyle w:val="Text0"/>
        </w:rPr>
        <w:t>:</w:t>
        <w:t xml:space="preserve"> </w:t>
        <w:t>""</w:t>
        <w:t>,</w:t>
      </w:r>
    </w:p>
    <w:p>
      <w:pPr>
        <w:pStyle w:val="Para 29"/>
      </w:pPr>
      <w:r>
        <w:t>"LinkLocalIPv6PrefixLen"</w:t>
      </w:r>
      <w:r>
        <w:rPr>
          <w:rStyle w:val="Text0"/>
        </w:rPr>
        <w:t>:</w:t>
        <w:t xml:space="preserve"> </w:t>
        <w:t>0</w:t>
        <w:t>,</w:t>
        <w:t xml:space="preserve"> </w:t>
      </w:r>
      <w:r>
        <w:t>"Ports"</w:t>
      </w:r>
      <w:r>
        <w:rPr>
          <w:rStyle w:val="Text0"/>
        </w:rPr>
        <w:t>: {</w:t>
      </w:r>
    </w:p>
    <w:p>
      <w:pPr>
        <w:pStyle w:val="Para 40"/>
      </w:pPr>
      <w:r>
        <w:t>"80/tcp"</w:t>
      </w:r>
      <w:r>
        <w:rPr>
          <w:rStyle w:val="Text0"/>
        </w:rPr>
        <w:t>:</w:t>
        <w:t xml:space="preserve"> </w:t>
      </w:r>
      <w:r>
        <w:t>null</w:t>
      </w:r>
    </w:p>
    <w:p>
      <w:pPr>
        <w:pStyle w:val="Para 12"/>
      </w:pPr>
      <w:r>
        <w:t>},</w:t>
      </w:r>
    </w:p>
    <w:p>
      <w:pPr>
        <w:pStyle w:val="Para 29"/>
      </w:pPr>
      <w:r>
        <w:t>"SandboxKey"</w:t>
      </w:r>
      <w:r>
        <w:rPr>
          <w:rStyle w:val="Text0"/>
        </w:rPr>
        <w:t>:</w:t>
        <w:t xml:space="preserve"> </w:t>
        <w:t>"/var/run/docker/netns/82a7ea6efd67"</w:t>
        <w:t>,</w:t>
        <w:t xml:space="preserve"> </w:t>
      </w:r>
      <w:r>
        <w:t>"SecondaryIPAddresses"</w:t>
      </w:r>
      <w:r>
        <w:rPr>
          <w:rStyle w:val="Text0"/>
        </w:rPr>
        <w:t>:</w:t>
        <w:t xml:space="preserve"> </w:t>
      </w:r>
      <w:r>
        <w:t>null</w:t>
      </w:r>
      <w:r>
        <w:rPr>
          <w:rStyle w:val="Text0"/>
        </w:rPr>
        <w:t>,</w:t>
        <w:t xml:space="preserve"> </w:t>
      </w:r>
      <w:r>
        <w:t>"SecondaryIPv6Addresses"</w:t>
      </w:r>
      <w:r>
        <w:rPr>
          <w:rStyle w:val="Text0"/>
        </w:rPr>
        <w:t>:</w:t>
        <w:t xml:space="preserve"> </w:t>
      </w:r>
      <w:r>
        <w:t>null</w:t>
      </w:r>
      <w:r>
        <w:rPr>
          <w:rStyle w:val="Text0"/>
        </w:rPr>
        <w:t>,</w:t>
        <w:t xml:space="preserve"> </w:t>
      </w:r>
      <w:r>
        <w:t>"EndpointID"</w:t>
      </w:r>
      <w:r>
        <w:rPr>
          <w:rStyle w:val="Text0"/>
        </w:rPr>
        <w:t>:</w:t>
      </w:r>
    </w:p>
    <w:p>
      <w:pPr>
        <w:pStyle w:val="Para 17"/>
      </w:pPr>
      <w:r>
        <w:t>"490c15cf3bcb149dd8649e3ac96f71addd13f660b4ec826dc39e266184b3f65b"</w:t>
        <w:t>,</w:t>
      </w:r>
    </w:p>
    <w:p>
      <w:pPr>
        <w:pStyle w:val="Para 12"/>
      </w:pPr>
      <w:r>
        <w:rPr>
          <w:rStyle w:val="Text0"/>
        </w:rPr>
        <w:t>"Gateway"</w:t>
      </w:r>
      <w:r>
        <w:t>:</w:t>
        <w:t xml:space="preserve"> </w:t>
        <w:t>"172.17.0.1"</w:t>
        <w:t>,</w:t>
      </w:r>
    </w:p>
    <w:p>
      <w:pPr>
        <w:pStyle w:val="Para 29"/>
      </w:pPr>
      <w:r>
        <w:t>"GlobalIPv6Address"</w:t>
      </w:r>
      <w:r>
        <w:rPr>
          <w:rStyle w:val="Text0"/>
        </w:rPr>
        <w:t>:</w:t>
        <w:t xml:space="preserve"> </w:t>
        <w:t>""</w:t>
        <w:t>,</w:t>
      </w:r>
    </w:p>
    <w:p>
      <w:pPr>
        <w:pStyle w:val="Para 29"/>
      </w:pPr>
      <w:r>
        <w:t>"GlobalIPv6PrefixLen"</w:t>
      </w:r>
      <w:r>
        <w:rPr>
          <w:rStyle w:val="Text0"/>
        </w:rPr>
        <w:t>:</w:t>
        <w:t xml:space="preserve"> </w:t>
        <w:t>0</w:t>
        <w:t>,</w:t>
      </w:r>
    </w:p>
    <w:p>
      <w:pPr>
        <w:pStyle w:val="Para 12"/>
      </w:pPr>
      <w:r>
        <w:rPr>
          <w:rStyle w:val="Text0"/>
        </w:rPr>
        <w:t>"IPAddress"</w:t>
      </w:r>
      <w:r>
        <w:t>:</w:t>
        <w:t xml:space="preserve"> </w:t>
        <w:t>"172.17.0.3"</w:t>
        <w:t>,</w:t>
      </w:r>
    </w:p>
    <w:p>
      <w:pPr>
        <w:pStyle w:val="Para 29"/>
      </w:pPr>
      <w:r>
        <w:t>"IPPrefixLen"</w:t>
      </w:r>
      <w:r>
        <w:rPr>
          <w:rStyle w:val="Text0"/>
        </w:rPr>
        <w:t>:</w:t>
        <w:t xml:space="preserve"> </w:t>
        <w:t>16</w:t>
        <w:t>,</w:t>
      </w:r>
    </w:p>
    <w:p>
      <w:pPr>
        <w:pStyle w:val="Para 29"/>
      </w:pPr>
      <w:r>
        <w:t>"IPv6Gateway"</w:t>
      </w:r>
      <w:r>
        <w:rPr>
          <w:rStyle w:val="Text0"/>
        </w:rPr>
        <w:t>:</w:t>
        <w:t xml:space="preserve"> </w:t>
        <w:t>""</w:t>
        <w:t>,</w:t>
      </w:r>
    </w:p>
    <w:p>
      <w:pPr>
        <w:pStyle w:val="Para 12"/>
      </w:pPr>
      <w:r>
        <w:rPr>
          <w:rStyle w:val="Text0"/>
        </w:rPr>
        <w:t>"MacAddress"</w:t>
      </w:r>
      <w:r>
        <w:t>:</w:t>
        <w:t xml:space="preserve"> </w:t>
        <w:t>"02:42:ac:11:00:03"</w:t>
        <w:t>,</w:t>
        <w:t xml:space="preserve"> </w:t>
      </w:r>
      <w:r>
        <w:rPr>
          <w:rStyle w:val="Text0"/>
        </w:rPr>
        <w:t>"Networks"</w:t>
      </w:r>
      <w:r>
        <w:t>: {</w:t>
      </w:r>
    </w:p>
    <w:p>
      <w:pPr>
        <w:pStyle w:val="Para 09"/>
      </w:pPr>
      <w:r>
        <w:t>(continues on next page)</w:t>
      </w:r>
    </w:p>
    <w:p>
      <w:bookmarkStart w:id="902" w:name="page_5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0" name="index-596_1.png" descr="index-596_1.png"/>
            <wp:cNvGraphicFramePr>
              <a:graphicFrameLocks noChangeAspect="1"/>
            </wp:cNvGraphicFramePr>
            <a:graphic>
              <a:graphicData uri="http://schemas.openxmlformats.org/drawingml/2006/picture">
                <pic:pic>
                  <pic:nvPicPr>
                    <pic:cNvPr id="0" name="index-596_1.png" descr="index-596_1.png"/>
                    <pic:cNvPicPr/>
                  </pic:nvPicPr>
                  <pic:blipFill>
                    <a:blip r:embed="rId614"/>
                    <a:stretch>
                      <a:fillRect/>
                    </a:stretch>
                  </pic:blipFill>
                  <pic:spPr>
                    <a:xfrm>
                      <a:off x="0" y="0"/>
                      <a:ext cx="914400" cy="266700"/>
                    </a:xfrm>
                    <a:prstGeom prst="rect">
                      <a:avLst/>
                    </a:prstGeom>
                  </pic:spPr>
                </pic:pic>
              </a:graphicData>
            </a:graphic>
          </wp:anchor>
        </w:drawing>
      </w:r>
      <w:bookmarkEnd w:id="902"/>
    </w:p>
    <w:p>
      <w:pPr>
        <w:pStyle w:val="Para 09"/>
      </w:pPr>
      <w:r>
        <w:t>(continued from previous page)</w:t>
      </w:r>
    </w:p>
    <w:p>
      <w:pPr>
        <w:pStyle w:val="Para 40"/>
      </w:pPr>
      <w:r>
        <w:t>"bridge"</w:t>
      </w:r>
      <w:r>
        <w:rPr>
          <w:rStyle w:val="Text0"/>
        </w:rPr>
        <w:t>: {</w:t>
      </w:r>
    </w:p>
    <w:p>
      <w:pPr>
        <w:pStyle w:val="Para 40"/>
      </w:pPr>
      <w:r>
        <w:t>"IPAMConfig"</w:t>
      </w:r>
      <w:r>
        <w:rPr>
          <w:rStyle w:val="Text0"/>
        </w:rPr>
        <w:t>:</w:t>
        <w:t xml:space="preserve"> </w:t>
      </w:r>
      <w:r>
        <w:t>null</w:t>
      </w:r>
      <w:r>
        <w:rPr>
          <w:rStyle w:val="Text0"/>
        </w:rPr>
        <w:t>,</w:t>
      </w:r>
    </w:p>
    <w:p>
      <w:pPr>
        <w:pStyle w:val="Para 40"/>
      </w:pPr>
      <w:r>
        <w:t>"Links"</w:t>
      </w:r>
      <w:r>
        <w:rPr>
          <w:rStyle w:val="Text0"/>
        </w:rPr>
        <w:t>:</w:t>
        <w:t xml:space="preserve"> </w:t>
      </w:r>
      <w:r>
        <w:t>null</w:t>
      </w:r>
      <w:r>
        <w:rPr>
          <w:rStyle w:val="Text0"/>
        </w:rPr>
        <w:t>,</w:t>
      </w:r>
    </w:p>
    <w:p>
      <w:pPr>
        <w:pStyle w:val="Para 40"/>
      </w:pPr>
      <w:r>
        <w:t>"Aliases"</w:t>
      </w:r>
      <w:r>
        <w:rPr>
          <w:rStyle w:val="Text0"/>
        </w:rPr>
        <w:t>:</w:t>
        <w:t xml:space="preserve"> </w:t>
      </w:r>
      <w:r>
        <w:t>null</w:t>
      </w:r>
      <w:r>
        <w:rPr>
          <w:rStyle w:val="Text0"/>
        </w:rPr>
        <w:t>,</w:t>
      </w:r>
    </w:p>
    <w:p>
      <w:pPr>
        <w:pStyle w:val="Para 40"/>
      </w:pPr>
      <w:r>
        <w:t>"NetworkID"</w:t>
      </w:r>
      <w:r>
        <w:rPr>
          <w:rStyle w:val="Text0"/>
        </w:rPr>
        <w:t>:</w:t>
      </w:r>
    </w:p>
    <w:p>
      <w:pPr>
        <w:pStyle w:val="Para 17"/>
      </w:pPr>
      <w:r>
        <w:t>"1f55a8891c4a523a288aca8881dae0061f9586d5d91c69b3a74e1ef3ad1bfcf4"</w:t>
        <w:t>,</w:t>
      </w:r>
    </w:p>
    <w:p>
      <w:pPr>
        <w:pStyle w:val="Para 40"/>
      </w:pPr>
      <w:r>
        <w:t>"EndpointID"</w:t>
      </w:r>
      <w:r>
        <w:rPr>
          <w:rStyle w:val="Text0"/>
        </w:rPr>
        <w:t>:</w:t>
      </w:r>
    </w:p>
    <w:p>
      <w:pPr>
        <w:pStyle w:val="Para 17"/>
      </w:pPr>
      <w:r>
        <w:t>"490c15cf3bcb149dd8649e3ac96f71addd13f660b4ec826dc39e266184b3f65b"</w:t>
        <w:t>,</w:t>
      </w:r>
    </w:p>
    <w:p>
      <w:pPr>
        <w:pStyle w:val="Para 15"/>
      </w:pPr>
      <w:r>
        <w:rPr>
          <w:rStyle w:val="Text0"/>
        </w:rPr>
        <w:t>"Gateway"</w:t>
      </w:r>
      <w:r>
        <w:t>:</w:t>
        <w:t xml:space="preserve"> </w:t>
        <w:t>"172.17.0.1"</w:t>
        <w:t>,</w:t>
        <w:t xml:space="preserve"> </w:t>
      </w:r>
      <w:r>
        <w:rPr>
          <w:rStyle w:val="Text0"/>
        </w:rPr>
        <w:t>"IPAddress"</w:t>
      </w:r>
      <w:r>
        <w:t>:</w:t>
        <w:t xml:space="preserve"> </w:t>
        <w:t>"172.17.0.3"</w:t>
        <w:t>,</w:t>
        <w:t xml:space="preserve"> </w:t>
      </w:r>
      <w:r>
        <w:rPr>
          <w:rStyle w:val="Text0"/>
        </w:rPr>
        <w:t>"IPPrefixLen"</w:t>
      </w:r>
      <w:r>
        <w:t>:</w:t>
        <w:t xml:space="preserve"> </w:t>
        <w:t>16</w:t>
        <w:t>,</w:t>
      </w:r>
    </w:p>
    <w:p>
      <w:pPr>
        <w:pStyle w:val="Para 40"/>
      </w:pPr>
      <w:r>
        <w:t>"IPv6Gateway"</w:t>
      </w:r>
      <w:r>
        <w:rPr>
          <w:rStyle w:val="Text0"/>
        </w:rPr>
        <w:t>:</w:t>
        <w:t xml:space="preserve"> </w:t>
        <w:t>""</w:t>
        <w:t>,</w:t>
      </w:r>
    </w:p>
    <w:p>
      <w:pPr>
        <w:pStyle w:val="Para 40"/>
      </w:pPr>
      <w:r>
        <w:t>"GlobalIPv6Address"</w:t>
      </w:r>
      <w:r>
        <w:rPr>
          <w:rStyle w:val="Text0"/>
        </w:rPr>
        <w:t>:</w:t>
        <w:t xml:space="preserve"> </w:t>
        <w:t>""</w:t>
        <w:t>,</w:t>
        <w:t xml:space="preserve"> </w:t>
      </w:r>
      <w:r>
        <w:t>"GlobalIPv6PrefixLen"</w:t>
      </w:r>
      <w:r>
        <w:rPr>
          <w:rStyle w:val="Text0"/>
        </w:rPr>
        <w:t>:</w:t>
        <w:t xml:space="preserve"> </w:t>
        <w:t>0</w:t>
        <w:t>,</w:t>
        <w:t xml:space="preserve"> </w:t>
      </w:r>
      <w:r>
        <w:t>"MacAddress"</w:t>
      </w:r>
      <w:r>
        <w:rPr>
          <w:rStyle w:val="Text0"/>
        </w:rPr>
        <w:t>:</w:t>
        <w:t xml:space="preserve"> </w:t>
        <w:t>"02:42:ac:11:00:03"</w:t>
        <w:t>,</w:t>
        <w:t xml:space="preserve"> </w:t>
      </w:r>
      <w:r>
        <w:t>"DriverOpts"</w:t>
      </w:r>
      <w:r>
        <w:rPr>
          <w:rStyle w:val="Text0"/>
        </w:rPr>
        <w:t>:</w:t>
        <w:t xml:space="preserve"> </w:t>
      </w:r>
      <w:r>
        <w:t>null</w:t>
      </w:r>
    </w:p>
    <w:p>
      <w:pPr>
        <w:pStyle w:val="Para 15"/>
      </w:pPr>
      <w:r>
        <w:t>},</w:t>
      </w:r>
    </w:p>
    <w:p>
      <w:pPr>
        <w:pStyle w:val="Para 40"/>
      </w:pPr>
      <w:r>
        <w:t>"my-net"</w:t>
      </w:r>
      <w:r>
        <w:rPr>
          <w:rStyle w:val="Text0"/>
        </w:rPr>
        <w:t>: {</w:t>
      </w:r>
    </w:p>
    <w:p>
      <w:pPr>
        <w:pStyle w:val="Para 40"/>
      </w:pPr>
      <w:r>
        <w:t>"IPAMConfig"</w:t>
      </w:r>
      <w:r>
        <w:rPr>
          <w:rStyle w:val="Text0"/>
        </w:rPr>
        <w:t>: {},</w:t>
      </w:r>
    </w:p>
    <w:p>
      <w:pPr>
        <w:pStyle w:val="Para 40"/>
      </w:pPr>
      <w:r>
        <w:t>"Links"</w:t>
      </w:r>
      <w:r>
        <w:rPr>
          <w:rStyle w:val="Text0"/>
        </w:rPr>
        <w:t>:</w:t>
        <w:t xml:space="preserve"> </w:t>
      </w:r>
      <w:r>
        <w:t>null</w:t>
      </w:r>
      <w:r>
        <w:rPr>
          <w:rStyle w:val="Text0"/>
        </w:rPr>
        <w:t>,</w:t>
      </w:r>
    </w:p>
    <w:p>
      <w:pPr>
        <w:pStyle w:val="Para 15"/>
      </w:pPr>
      <w:r>
        <w:rPr>
          <w:rStyle w:val="Text0"/>
        </w:rPr>
        <w:t>"Aliases"</w:t>
      </w:r>
      <w:r>
        <w:t>: [</w:t>
        <w:t>"fea22fbb6e36"</w:t>
        <w:t>],</w:t>
        <w:t xml:space="preserve"> </w:t>
      </w:r>
      <w:r>
        <w:rPr>
          <w:rStyle w:val="Text0"/>
        </w:rPr>
        <w:t>"NetworkID"</w:t>
      </w:r>
      <w:r>
        <w:t>:</w:t>
      </w:r>
    </w:p>
    <w:p>
      <w:pPr>
        <w:pStyle w:val="Para 17"/>
      </w:pPr>
      <w:r>
        <w:t>"d84efaca11d6f643394de31ad8789391e3ddf29d46faecf0661849f5ead239f7"</w:t>
        <w:t>,</w:t>
      </w:r>
    </w:p>
    <w:p>
      <w:pPr>
        <w:pStyle w:val="Para 40"/>
      </w:pPr>
      <w:r>
        <w:t>"EndpointID"</w:t>
      </w:r>
      <w:r>
        <w:rPr>
          <w:rStyle w:val="Text0"/>
        </w:rPr>
        <w:t>:</w:t>
      </w:r>
    </w:p>
    <w:p>
      <w:pPr>
        <w:pStyle w:val="Para 17"/>
      </w:pPr>
      <w:r>
        <w:t>"17856b7f6902db39ff6ab418f127d75d8da597fdb8af0a6798f35a94be0cb805"</w:t>
        <w:t>,</w:t>
      </w:r>
    </w:p>
    <w:p>
      <w:pPr>
        <w:pStyle w:val="Para 15"/>
      </w:pPr>
      <w:r>
        <w:rPr>
          <w:rStyle w:val="Text0"/>
        </w:rPr>
        <w:t>"Gateway"</w:t>
      </w:r>
      <w:r>
        <w:t>:</w:t>
        <w:t xml:space="preserve"> </w:t>
        <w:t>"172.18.0.1"</w:t>
        <w:t>,</w:t>
        <w:t xml:space="preserve"> </w:t>
      </w:r>
      <w:r>
        <w:rPr>
          <w:rStyle w:val="Text0"/>
        </w:rPr>
        <w:t>"IPAddress"</w:t>
      </w:r>
      <w:r>
        <w:t>:</w:t>
        <w:t xml:space="preserve"> </w:t>
        <w:t>"172.18.0.3"</w:t>
        <w:t>,</w:t>
        <w:t xml:space="preserve"> </w:t>
      </w:r>
      <w:r>
        <w:rPr>
          <w:rStyle w:val="Text0"/>
        </w:rPr>
        <w:t>"IPPrefixLen"</w:t>
      </w:r>
      <w:r>
        <w:t>:</w:t>
        <w:t xml:space="preserve"> </w:t>
        <w:t>16</w:t>
        <w:t>,</w:t>
      </w:r>
    </w:p>
    <w:p>
      <w:pPr>
        <w:pStyle w:val="Para 40"/>
      </w:pPr>
      <w:r>
        <w:t>"IPv6Gateway"</w:t>
      </w:r>
      <w:r>
        <w:rPr>
          <w:rStyle w:val="Text0"/>
        </w:rPr>
        <w:t>:</w:t>
        <w:t xml:space="preserve"> </w:t>
        <w:t>""</w:t>
        <w:t>,</w:t>
      </w:r>
    </w:p>
    <w:p>
      <w:pPr>
        <w:pStyle w:val="Para 40"/>
      </w:pPr>
      <w:r>
        <w:t>"GlobalIPv6Address"</w:t>
      </w:r>
      <w:r>
        <w:rPr>
          <w:rStyle w:val="Text0"/>
        </w:rPr>
        <w:t>:</w:t>
        <w:t xml:space="preserve"> </w:t>
        <w:t>""</w:t>
        <w:t>,</w:t>
        <w:t xml:space="preserve"> </w:t>
      </w:r>
      <w:r>
        <w:t>"GlobalIPv6PrefixLen"</w:t>
      </w:r>
      <w:r>
        <w:rPr>
          <w:rStyle w:val="Text0"/>
        </w:rPr>
        <w:t>:</w:t>
        <w:t xml:space="preserve"> </w:t>
        <w:t>0</w:t>
        <w:t>,</w:t>
        <w:t xml:space="preserve"> </w:t>
      </w:r>
      <w:r>
        <w:t>"MacAddress"</w:t>
      </w:r>
      <w:r>
        <w:rPr>
          <w:rStyle w:val="Text0"/>
        </w:rPr>
        <w:t>:</w:t>
        <w:t xml:space="preserve"> </w:t>
        <w:t>"02:42:ac:12:00:03"</w:t>
        <w:t>,</w:t>
        <w:t xml:space="preserve"> </w:t>
      </w:r>
      <w:r>
        <w:t>"DriverOpts"</w:t>
      </w:r>
      <w:r>
        <w:rPr>
          <w:rStyle w:val="Text0"/>
        </w:rPr>
        <w:t>: {}</w:t>
      </w:r>
    </w:p>
    <w:p>
      <w:pPr>
        <w:pStyle w:val="Para 15"/>
      </w:pPr>
      <w:r>
        <w:t>}</w:t>
      </w:r>
    </w:p>
    <w:p>
      <w:pPr>
        <w:pStyle w:val="Para 12"/>
      </w:pPr>
      <w:r>
        <w:t>}</w:t>
      </w:r>
    </w:p>
    <w:p>
      <w:pPr>
        <w:pStyle w:val="Para 11"/>
      </w:pPr>
      <w:r>
        <w:t>}</w:t>
      </w:r>
    </w:p>
    <w:p>
      <w:pPr>
        <w:pStyle w:val="Para 17"/>
      </w:pPr>
      <w:r>
        <w:t/>
      </w:r>
    </w:p>
    <w:p>
      <w:pPr>
        <w:pStyle w:val="Normal"/>
      </w:pPr>
      <w:r>
        <w:t>The container c2 is connected to two networks bridge and my-net.</w:t>
      </w:r>
    </w:p>
    <w:p>
      <w:pPr>
        <w:pStyle w:val="Normal"/>
      </w:pPr>
      <w:r>
        <w:t xml:space="preserve">The default network created by the Docker daemon is called bridge using the </w:t>
      </w:r>
      <w:r>
        <w:rPr>
          <w:rStyle w:val="Text0"/>
        </w:rPr>
        <w:t>bridge net-work driver</w:t>
      </w:r>
      <w:r>
        <w:t>.</w:t>
      </w:r>
    </w:p>
    <w:p>
      <w:pPr>
        <w:pStyle w:val="Para 17"/>
      </w:pPr>
      <w:r>
        <w:t/>
      </w:r>
    </w:p>
    <w:p>
      <w:pPr>
        <w:pStyle w:val="Para 01"/>
      </w:pPr>
      <w:r>
        <w:t>Modifying the default network “bridge”</w:t>
      </w:r>
    </w:p>
    <w:p>
      <w:pPr>
        <w:pStyle w:val="Para 17"/>
      </w:pPr>
      <w:r>
        <w:t/>
      </w:r>
    </w:p>
    <w:p>
      <w:pPr>
        <w:pStyle w:val="Para 04"/>
      </w:pPr>
      <w:r>
        <w:t>• A system administrator can modify this default networks IP address by editing /etc/</w:t>
      </w:r>
    </w:p>
    <w:p>
      <w:pPr>
        <w:pStyle w:val="Para 02"/>
      </w:pPr>
      <w:r>
        <w:t>docker/daemon.json and including the below into the JSON object</w:t>
      </w:r>
    </w:p>
    <w:p>
      <w:pPr>
        <w:pStyle w:val="Normal"/>
      </w:pPr>
      <w:r>
        <w:t>vim /etc/docker/daemon.json</w:t>
      </w:r>
    </w:p>
    <w:p>
      <w:pPr>
        <w:pStyle w:val="Para 17"/>
      </w:pPr>
      <w:r>
        <w:t/>
      </w:r>
    </w:p>
    <w:p>
      <w:pPr>
        <w:pStyle w:val="Normal"/>
      </w:pPr>
      <w:r>
        <w:t>{</w:t>
      </w:r>
    </w:p>
    <w:p>
      <w:pPr>
        <w:pStyle w:val="Para 03"/>
      </w:pPr>
      <w:r>
        <w:rPr>
          <w:rStyle w:val="Text0"/>
        </w:rPr>
        <w:t>"bip"</w:t>
      </w:r>
      <w:r>
        <w:t>:</w:t>
        <w:t xml:space="preserve"> </w:t>
        <w:t>"192.168.1.1/24"</w:t>
        <w:t>,</w:t>
      </w:r>
    </w:p>
    <w:p>
      <w:pPr>
        <w:pStyle w:val="Para 03"/>
      </w:pPr>
      <w:r>
        <w:rPr>
          <w:rStyle w:val="Text0"/>
        </w:rPr>
        <w:t>"fixed-cidr"</w:t>
      </w:r>
      <w:r>
        <w:t>:</w:t>
        <w:t xml:space="preserve"> </w:t>
        <w:t>"192.168.1.0/25"</w:t>
        <w:t>,</w:t>
      </w:r>
    </w:p>
    <w:p>
      <w:pPr>
        <w:pStyle w:val="Para 03"/>
      </w:pPr>
      <w:r>
        <w:rPr>
          <w:rStyle w:val="Text0"/>
        </w:rPr>
        <w:t>"fixed-cidr-v6"</w:t>
      </w:r>
      <w:r>
        <w:t>:</w:t>
        <w:t xml:space="preserve"> </w:t>
        <w:t>"2001:db8::/64"</w:t>
        <w:t>,</w:t>
      </w:r>
    </w:p>
    <w:p>
      <w:pPr>
        <w:pStyle w:val="Para 03"/>
      </w:pPr>
      <w:r>
        <w:rPr>
          <w:rStyle w:val="Text0"/>
        </w:rPr>
        <w:t>"mtu"</w:t>
      </w:r>
      <w:r>
        <w:t>:</w:t>
        <w:t xml:space="preserve"> </w:t>
        <w:t>1500</w:t>
        <w:t>,</w:t>
      </w:r>
    </w:p>
    <w:p>
      <w:pPr>
        <w:pStyle w:val="Para 09"/>
      </w:pPr>
      <w:r>
        <w:t>(continues on next page)</w:t>
      </w:r>
    </w:p>
    <w:p>
      <w:bookmarkStart w:id="903" w:name="page_5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1" name="index-597_1.png" descr="index-597_1.png"/>
            <wp:cNvGraphicFramePr>
              <a:graphicFrameLocks noChangeAspect="1"/>
            </wp:cNvGraphicFramePr>
            <a:graphic>
              <a:graphicData uri="http://schemas.openxmlformats.org/drawingml/2006/picture">
                <pic:pic>
                  <pic:nvPicPr>
                    <pic:cNvPr id="0" name="index-597_1.png" descr="index-597_1.png"/>
                    <pic:cNvPicPr/>
                  </pic:nvPicPr>
                  <pic:blipFill>
                    <a:blip r:embed="rId615"/>
                    <a:stretch>
                      <a:fillRect/>
                    </a:stretch>
                  </pic:blipFill>
                  <pic:spPr>
                    <a:xfrm>
                      <a:off x="0" y="0"/>
                      <a:ext cx="914400" cy="266700"/>
                    </a:xfrm>
                    <a:prstGeom prst="rect">
                      <a:avLst/>
                    </a:prstGeom>
                  </pic:spPr>
                </pic:pic>
              </a:graphicData>
            </a:graphic>
          </wp:anchor>
        </w:drawing>
      </w:r>
      <w:bookmarkEnd w:id="903"/>
    </w:p>
    <w:p>
      <w:pPr>
        <w:pStyle w:val="Para 09"/>
      </w:pPr>
      <w:r>
        <w:t>(continued from previous page)</w:t>
      </w:r>
    </w:p>
    <w:p>
      <w:pPr>
        <w:pStyle w:val="Para 03"/>
      </w:pPr>
      <w:r>
        <w:rPr>
          <w:rStyle w:val="Text0"/>
        </w:rPr>
        <w:t>"default-gateway"</w:t>
      </w:r>
      <w:r>
        <w:t>:</w:t>
        <w:t xml:space="preserve"> </w:t>
        <w:t>"192.168.1.254"</w:t>
        <w:t>,</w:t>
      </w:r>
    </w:p>
    <w:p>
      <w:pPr>
        <w:pStyle w:val="Para 03"/>
      </w:pPr>
      <w:r>
        <w:rPr>
          <w:rStyle w:val="Text0"/>
        </w:rPr>
        <w:t>"default-gateway-v6"</w:t>
      </w:r>
      <w:r>
        <w:t>:</w:t>
        <w:t xml:space="preserve"> </w:t>
        <w:t>"2001:db8:abcd::89"</w:t>
        <w:t>,</w:t>
      </w:r>
    </w:p>
    <w:p>
      <w:pPr>
        <w:pStyle w:val="Para 03"/>
      </w:pPr>
      <w:r>
        <w:rPr>
          <w:rStyle w:val="Text0"/>
        </w:rPr>
        <w:t>"dns"</w:t>
      </w:r>
      <w:r>
        <w:t>: [</w:t>
        <w:t>"10.20.1.2"</w:t>
        <w:t>,</w:t>
        <w:t xml:space="preserve"> </w:t>
        <w:t>"10.20.1.3"</w:t>
        <w:t>]</w:t>
      </w:r>
    </w:p>
    <w:p>
      <w:pPr>
        <w:pStyle w:val="Normal"/>
      </w:pPr>
      <w:r>
        <w:t>}</w:t>
      </w:r>
    </w:p>
    <w:p>
      <w:pPr>
        <w:pStyle w:val="Para 17"/>
      </w:pPr>
      <w:r>
        <w:t/>
      </w:r>
    </w:p>
    <w:p>
      <w:pPr>
        <w:pStyle w:val="Para 04"/>
      </w:pPr>
      <w:r>
        <w:t>• Restart the Docker daemon</w:t>
      </w:r>
    </w:p>
    <w:p>
      <w:pPr>
        <w:pStyle w:val="Normal"/>
      </w:pPr>
      <w:r>
        <w:t>systemctl restart docker</w:t>
      </w:r>
    </w:p>
    <w:p>
      <w:pPr>
        <w:pStyle w:val="Para 17"/>
      </w:pPr>
      <w:r>
        <w:t/>
      </w:r>
    </w:p>
    <w:p>
      <w:pPr>
        <w:pStyle w:val="Para 04"/>
      </w:pPr>
      <w:r>
        <w:t>• Verify your changes</w:t>
      </w:r>
    </w:p>
    <w:p>
      <w:pPr>
        <w:pStyle w:val="Normal"/>
      </w:pPr>
      <w:r>
        <w:t>docker network inspect bridge</w:t>
      </w:r>
    </w:p>
    <w:p>
      <w:pPr>
        <w:pStyle w:val="Para 17"/>
      </w:pPr>
      <w:r>
        <w:t/>
      </w:r>
    </w:p>
    <w:p>
      <w:pPr>
        <w:pStyle w:val="Para 01"/>
      </w:pPr>
      <w:r>
        <w:t>Exposing a container port to the host</w:t>
      </w:r>
    </w:p>
    <w:p>
      <w:pPr>
        <w:pStyle w:val="Para 17"/>
      </w:pPr>
      <w:r>
        <w:t/>
      </w:r>
    </w:p>
    <w:p>
      <w:pPr>
        <w:pStyle w:val="Normal"/>
      </w:pPr>
      <w:r>
        <w:t>After deciding how you are going to manage the network and selecting the most appropriate driver, there are some specific deployment details that a system administrator has to bear in mind when running containers.</w:t>
      </w:r>
    </w:p>
    <w:p>
      <w:pPr>
        <w:pStyle w:val="Normal"/>
      </w:pPr>
      <w:r>
        <w:t>Exposing ports of any system is always a concern, since it increases the surface for malicious attacks. For containers, we also need to be careful, analysing whether we really need to publish ports to the host. For instance, if the goal is to allow containers to access a specific port from another container, there is no need to publish any port to the host. This can be solved by connecting all the containers to the same network. You should publish ports of a container to the host only if you want to make it available to non-Docker workloads. When a container is created no port is published to the host, the option--publish (or-p) should be passed to docker run or docker create listing which port will be exposed and how.</w:t>
      </w:r>
    </w:p>
    <w:p>
      <w:pPr>
        <w:pStyle w:val="Normal"/>
      </w:pPr>
      <w:r>
        <w:t>The--publish option of Docker CLI accepts the following options:</w:t>
      </w:r>
    </w:p>
    <w:p>
      <w:pPr>
        <w:pStyle w:val="Para 04"/>
      </w:pPr>
      <w:r>
        <w:t>• First, the host port that will be used to publish the container’s port. It can also contain</w:t>
      </w:r>
    </w:p>
    <w:p>
      <w:pPr>
        <w:pStyle w:val="Para 02"/>
      </w:pPr>
      <w:r>
        <w:t>the IP address of the host. For example, 0.0.0.0:8080.</w:t>
      </w:r>
    </w:p>
    <w:p>
      <w:pPr>
        <w:pStyle w:val="Para 04"/>
      </w:pPr>
      <w:r>
        <w:t>• Second, the container’s port to be published. For example, 80.</w:t>
      </w:r>
    </w:p>
    <w:p>
      <w:pPr>
        <w:pStyle w:val="Para 04"/>
      </w:pPr>
      <w:r>
        <w:t>• Third (optional), the type of port that will be published which can be TCP or UDP. For</w:t>
      </w:r>
    </w:p>
    <w:p>
      <w:pPr>
        <w:pStyle w:val="Para 02"/>
      </w:pPr>
      <w:r>
        <w:t>example, 80/tcp or 80/udp.</w:t>
      </w:r>
    </w:p>
    <w:p>
      <w:pPr>
        <w:pStyle w:val="Normal"/>
      </w:pPr>
      <w:r>
        <w:t>An example of how to publish port 80 of a container to port 8080 of the host:</w:t>
      </w:r>
    </w:p>
    <w:p>
      <w:pPr>
        <w:pStyle w:val="Para 04"/>
      </w:pPr>
      <w:r>
        <w:t>• Create a container and expose it’s port to the host</w:t>
      </w:r>
    </w:p>
    <w:p>
      <w:pPr>
        <w:pStyle w:val="Normal"/>
      </w:pPr>
      <w:r>
        <w:t>$ docker run -d --name web-server --publish</w:t>
        <w:t xml:space="preserve"> </w:t>
        <w:t>8080</w:t>
        <w:t>:80 ubuntu/nginx</w:t>
      </w:r>
    </w:p>
    <w:p>
      <w:pPr>
        <w:pStyle w:val="Normal"/>
      </w:pPr>
      <w:r>
        <w:t>f451aa1990db7d2c9b065c6158e2315997a56a764b36a846a19b1b96ce1f3910</w:t>
      </w:r>
    </w:p>
    <w:p>
      <w:pPr>
        <w:pStyle w:val="Para 17"/>
      </w:pPr>
      <w:r>
        <w:t/>
      </w:r>
    </w:p>
    <w:p>
      <w:pPr>
        <w:pStyle w:val="Para 04"/>
      </w:pPr>
      <w:r>
        <w:t>• View the containers network settings</w:t>
      </w:r>
    </w:p>
    <w:p>
      <w:pPr>
        <w:pStyle w:val="Normal"/>
      </w:pPr>
      <w:r>
        <w:t>docker inspect web-server --format</w:t>
        <w:t xml:space="preserve"> </w:t>
        <w:t>'{{ json .NetworkSettings.Ports }}'</w:t>
        <w:t xml:space="preserve"> </w:t>
        <w:t>| jq .</w:t>
      </w:r>
    </w:p>
    <w:p>
      <w:pPr>
        <w:pStyle w:val="Para 17"/>
      </w:pPr>
      <w:r>
        <w:t/>
      </w:r>
    </w:p>
    <w:p>
      <w:pPr>
        <w:pStyle w:val="Normal"/>
      </w:pPr>
      <w:r>
        <w:t>{</w:t>
      </w:r>
    </w:p>
    <w:p>
      <w:pPr>
        <w:pStyle w:val="Para 08"/>
      </w:pPr>
      <w:r>
        <w:t>"80/tcp"</w:t>
      </w:r>
      <w:r>
        <w:rPr>
          <w:rStyle w:val="Text0"/>
        </w:rPr>
        <w:t>: [</w:t>
      </w:r>
    </w:p>
    <w:p>
      <w:pPr>
        <w:pStyle w:val="Para 02"/>
      </w:pPr>
      <w:r>
        <w:t>{</w:t>
      </w:r>
    </w:p>
    <w:p>
      <w:pPr>
        <w:pStyle w:val="Para 06"/>
      </w:pPr>
      <w:r>
        <w:rPr>
          <w:rStyle w:val="Text0"/>
        </w:rPr>
        <w:t>"HostIp"</w:t>
      </w:r>
      <w:r>
        <w:t>:</w:t>
        <w:t xml:space="preserve"> </w:t>
        <w:t>"0.0.0.0"</w:t>
        <w:t>,</w:t>
      </w:r>
    </w:p>
    <w:p>
      <w:pPr>
        <w:pStyle w:val="Para 09"/>
      </w:pPr>
      <w:r>
        <w:t>(continues on next page)</w:t>
      </w:r>
    </w:p>
    <w:p>
      <w:bookmarkStart w:id="904" w:name="page_5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2" name="index-598_1.png" descr="index-598_1.png"/>
            <wp:cNvGraphicFramePr>
              <a:graphicFrameLocks noChangeAspect="1"/>
            </wp:cNvGraphicFramePr>
            <a:graphic>
              <a:graphicData uri="http://schemas.openxmlformats.org/drawingml/2006/picture">
                <pic:pic>
                  <pic:nvPicPr>
                    <pic:cNvPr id="0" name="index-598_1.png" descr="index-598_1.png"/>
                    <pic:cNvPicPr/>
                  </pic:nvPicPr>
                  <pic:blipFill>
                    <a:blip r:embed="rId616"/>
                    <a:stretch>
                      <a:fillRect/>
                    </a:stretch>
                  </pic:blipFill>
                  <pic:spPr>
                    <a:xfrm>
                      <a:off x="0" y="0"/>
                      <a:ext cx="914400" cy="266700"/>
                    </a:xfrm>
                    <a:prstGeom prst="rect">
                      <a:avLst/>
                    </a:prstGeom>
                  </pic:spPr>
                </pic:pic>
              </a:graphicData>
            </a:graphic>
          </wp:anchor>
        </w:drawing>
      </w:r>
      <w:bookmarkEnd w:id="904"/>
    </w:p>
    <w:p>
      <w:pPr>
        <w:pStyle w:val="Para 09"/>
      </w:pPr>
      <w:r>
        <w:t>(continued from previous page)</w:t>
      </w:r>
    </w:p>
    <w:p>
      <w:pPr>
        <w:pStyle w:val="Para 23"/>
      </w:pPr>
      <w:r>
        <w:t>"HostPort"</w:t>
      </w:r>
      <w:r>
        <w:rPr>
          <w:rStyle w:val="Text0"/>
        </w:rPr>
        <w:t>:</w:t>
        <w:t xml:space="preserve"> </w:t>
        <w:t>"8080"</w:t>
      </w:r>
    </w:p>
    <w:p>
      <w:pPr>
        <w:pStyle w:val="Para 02"/>
      </w:pPr>
      <w:r>
        <w:t>},</w:t>
      </w:r>
    </w:p>
    <w:p>
      <w:pPr>
        <w:pStyle w:val="Para 02"/>
      </w:pPr>
      <w:r>
        <w:t>{</w:t>
      </w:r>
    </w:p>
    <w:p>
      <w:pPr>
        <w:pStyle w:val="Para 23"/>
      </w:pPr>
      <w:r>
        <w:t>"HostIp"</w:t>
      </w:r>
      <w:r>
        <w:rPr>
          <w:rStyle w:val="Text0"/>
        </w:rPr>
        <w:t>:</w:t>
        <w:t xml:space="preserve"> </w:t>
        <w:t>"::"</w:t>
        <w:t>,</w:t>
      </w:r>
    </w:p>
    <w:p>
      <w:pPr>
        <w:pStyle w:val="Para 23"/>
      </w:pPr>
      <w:r>
        <w:t>"HostPort"</w:t>
      </w:r>
      <w:r>
        <w:rPr>
          <w:rStyle w:val="Text0"/>
        </w:rPr>
        <w:t>:</w:t>
        <w:t xml:space="preserve"> </w:t>
        <w:t>"8080"</w:t>
      </w:r>
    </w:p>
    <w:p>
      <w:pPr>
        <w:pStyle w:val="Para 02"/>
      </w:pPr>
      <w:r>
        <w:t>}</w:t>
      </w:r>
    </w:p>
    <w:p>
      <w:pPr>
        <w:pStyle w:val="Para 03"/>
      </w:pPr>
      <w:r>
        <w:t>]</w:t>
      </w:r>
    </w:p>
    <w:p>
      <w:pPr>
        <w:pStyle w:val="Normal"/>
      </w:pPr>
      <w:r>
        <w:t>}</w:t>
      </w:r>
    </w:p>
    <w:p>
      <w:pPr>
        <w:pStyle w:val="Para 17"/>
      </w:pPr>
      <w:r>
        <w:t/>
      </w:r>
    </w:p>
    <w:p>
      <w:pPr>
        <w:pStyle w:val="Normal"/>
      </w:pPr>
      <w:r>
        <w:t>The HostIp values are 0.0.0.0 (IPv4) and :: (IPv6), and the service running in the container is accessible to everyone in the network (reaching the host), if you want to publish the port from the container and let the service be available just to the host you can use--publish 127.0.0.1:8080:80 instead. The published port can be TCP or UDP and one can specify that passing--publish 8080:80/tcp or--publish 8080:80/udp.</w:t>
      </w:r>
    </w:p>
    <w:p>
      <w:pPr>
        <w:pStyle w:val="Normal"/>
      </w:pPr>
      <w:r>
        <w:t xml:space="preserve">The system administrator might also want to manually set the IP address or the </w:t>
      </w:r>
      <w:hyperlink w:anchor="page_688">
        <w:r>
          <w:rPr>
            <w:rStyle w:val="Text2"/>
          </w:rPr>
          <w:t>hostname</w:t>
        </w:r>
      </w:hyperlink>
      <w:r>
        <w:t xml:space="preserve"> of the container. To achieve this, one can use the--ip (IPv4),--ip6 (IPv6), and--hostname options of the docker network connect command to specify the desired values.</w:t>
      </w:r>
    </w:p>
    <w:p>
      <w:pPr>
        <w:pStyle w:val="Normal"/>
      </w:pPr>
      <w:r>
        <w:t xml:space="preserve">Another important aspect of networking with containers is the </w:t>
      </w:r>
      <w:hyperlink w:anchor="page_679">
        <w:r>
          <w:rPr>
            <w:rStyle w:val="Text2"/>
          </w:rPr>
          <w:t>DNS</w:t>
        </w:r>
      </w:hyperlink>
      <w:r>
        <w:t xml:space="preserve"> service. By default con-tainers will use the DNS setting of the host, defined in /etc/resolv.conf. Therefore, if a container is created and connected to the default bridge network it will get a copy of host’s /etc/resolv.conf. If the container is connected to a user-defined network, then it will use Docker’s embedded DNS server. The embedded DNS server forwards external DNS lookups to the DNS servers configured on the host. In case the system administrator wants to config-ure the DNS service, the docker run and docker create commands have options to allow that, such as--dns (IP address of a DNS server) and--dns-opt (key-value pair representing a DNS option and its value). For more information, check the manual pages of those commands.</w:t>
      </w:r>
    </w:p>
    <w:p>
      <w:pPr>
        <w:pStyle w:val="Para 17"/>
      </w:pPr>
      <w:r>
        <w:t/>
      </w:r>
    </w:p>
    <w:p>
      <w:pPr>
        <w:pStyle w:val="Para 01"/>
      </w:pPr>
      <w:r>
        <w:t>Managing logs</w:t>
      </w:r>
    </w:p>
    <w:p>
      <w:pPr>
        <w:pStyle w:val="Para 17"/>
      </w:pPr>
      <w:r>
        <w:t/>
      </w:r>
    </w:p>
    <w:p>
      <w:pPr>
        <w:pStyle w:val="Normal"/>
      </w:pPr>
      <w:r>
        <w:t>The default logging driver is called json file, and the system administrator can change it to suite their needs.</w:t>
      </w:r>
    </w:p>
    <w:p>
      <w:pPr>
        <w:pStyle w:val="Para 17"/>
      </w:pPr>
      <w:r>
        <w:t/>
      </w:r>
    </w:p>
    <w:p>
      <w:pPr>
        <w:pStyle w:val="Para 01"/>
      </w:pPr>
      <w:r>
        <w:t>Modifying the logging driver via the docker daemon file</w:t>
      </w:r>
    </w:p>
    <w:p>
      <w:pPr>
        <w:pStyle w:val="Para 17"/>
      </w:pPr>
      <w:r>
        <w:t/>
      </w:r>
    </w:p>
    <w:p>
      <w:pPr>
        <w:pStyle w:val="Para 04"/>
      </w:pPr>
      <w:r>
        <w:t>• Edit the docker daemon file and update the logging driver</w:t>
      </w:r>
    </w:p>
    <w:p>
      <w:pPr>
        <w:pStyle w:val="Normal"/>
      </w:pPr>
      <w:r>
        <w:t>vim /etc/docker/daemon.json</w:t>
      </w:r>
    </w:p>
    <w:p>
      <w:pPr>
        <w:pStyle w:val="Para 17"/>
      </w:pPr>
      <w:r>
        <w:t/>
      </w:r>
    </w:p>
    <w:p>
      <w:pPr>
        <w:pStyle w:val="Normal"/>
      </w:pPr>
      <w:r>
        <w:t>{</w:t>
      </w:r>
    </w:p>
    <w:p>
      <w:pPr>
        <w:pStyle w:val="Para 08"/>
      </w:pPr>
      <w:r>
        <w:t>"log-driver"</w:t>
      </w:r>
      <w:r>
        <w:rPr>
          <w:rStyle w:val="Text0"/>
        </w:rPr>
        <w:t>:</w:t>
        <w:t xml:space="preserve"> </w:t>
        <w:t>"journald"</w:t>
      </w:r>
    </w:p>
    <w:p>
      <w:pPr>
        <w:pStyle w:val="Normal"/>
      </w:pPr>
      <w:r>
        <w:t>}</w:t>
      </w:r>
    </w:p>
    <w:p>
      <w:bookmarkStart w:id="905" w:name="calibre_pb_153"/>
      <w:pPr>
        <w:pStyle w:val="0 Block"/>
      </w:pPr>
      <w:bookmarkEnd w:id="905"/>
    </w:p>
    <w:p>
      <w:bookmarkStart w:id="906" w:name="Top_of_index_split_154_html"/>
      <w:bookmarkStart w:id="907" w:name="page_59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3" name="index-599_1.png" descr="index-599_1.png"/>
            <wp:cNvGraphicFramePr>
              <a:graphicFrameLocks noChangeAspect="1"/>
            </wp:cNvGraphicFramePr>
            <a:graphic>
              <a:graphicData uri="http://schemas.openxmlformats.org/drawingml/2006/picture">
                <pic:pic>
                  <pic:nvPicPr>
                    <pic:cNvPr id="0" name="index-599_1.png" descr="index-599_1.png"/>
                    <pic:cNvPicPr/>
                  </pic:nvPicPr>
                  <pic:blipFill>
                    <a:blip r:embed="rId617"/>
                    <a:stretch>
                      <a:fillRect/>
                    </a:stretch>
                  </pic:blipFill>
                  <pic:spPr>
                    <a:xfrm>
                      <a:off x="0" y="0"/>
                      <a:ext cx="914400" cy="266700"/>
                    </a:xfrm>
                    <a:prstGeom prst="rect">
                      <a:avLst/>
                    </a:prstGeom>
                  </pic:spPr>
                </pic:pic>
              </a:graphicData>
            </a:graphic>
          </wp:anchor>
        </w:drawing>
      </w:r>
      <w:bookmarkEnd w:id="906"/>
      <w:bookmarkEnd w:id="907"/>
    </w:p>
    <w:p>
      <w:pPr>
        <w:pStyle w:val="Para 01"/>
      </w:pPr>
      <w:r>
        <w:t>Modifying the logging driver when creating a container</w:t>
      </w:r>
    </w:p>
    <w:p>
      <w:pPr>
        <w:pStyle w:val="Para 17"/>
      </w:pPr>
      <w:r>
        <w:t/>
      </w:r>
    </w:p>
    <w:p>
      <w:pPr>
        <w:pStyle w:val="Normal"/>
      </w:pPr>
      <w:r>
        <w:t>Another option is specifying the logging driver during container creation time:</w:t>
      </w:r>
    </w:p>
    <w:p>
      <w:pPr>
        <w:pStyle w:val="Para 04"/>
      </w:pPr>
      <w:r>
        <w:t>• Specify a log driver when executing a docker run</w:t>
      </w:r>
    </w:p>
    <w:p>
      <w:pPr>
        <w:pStyle w:val="Normal"/>
      </w:pPr>
      <w:r>
        <w:t>$ docker run -d --name web-server --log-driver</w:t>
        <w:t>=</w:t>
        <w:t>journald ubuntu/nginx</w:t>
      </w:r>
    </w:p>
    <w:p>
      <w:pPr>
        <w:pStyle w:val="Normal"/>
      </w:pPr>
      <w:r>
        <w:t>1c08b667f32d8b834f0d9d6320721e07de5f22168cfc8a024d6e388daf486dfa</w:t>
      </w:r>
    </w:p>
    <w:p>
      <w:pPr>
        <w:pStyle w:val="Para 17"/>
      </w:pPr>
      <w:r>
        <w:t/>
      </w:r>
    </w:p>
    <w:p>
      <w:pPr>
        <w:pStyle w:val="Para 04"/>
      </w:pPr>
      <w:r>
        <w:t>• Verify your configuration</w:t>
      </w:r>
    </w:p>
    <w:p>
      <w:pPr>
        <w:pStyle w:val="Normal"/>
      </w:pPr>
      <w:r>
        <w:t>docker inspect web-server --format</w:t>
        <w:t xml:space="preserve"> </w:t>
        <w:t>'{{ json .HostConfig.LogConfig }}'</w:t>
        <w:t xml:space="preserve"> </w:t>
        <w:t>| jq .</w:t>
      </w:r>
    </w:p>
    <w:p>
      <w:pPr>
        <w:pStyle w:val="Para 17"/>
      </w:pPr>
      <w:r>
        <w:t/>
      </w:r>
    </w:p>
    <w:p>
      <w:pPr>
        <w:pStyle w:val="Normal"/>
      </w:pPr>
      <w:r>
        <w:t>{</w:t>
      </w:r>
    </w:p>
    <w:p>
      <w:pPr>
        <w:pStyle w:val="Para 03"/>
      </w:pPr>
      <w:r>
        <w:rPr>
          <w:rStyle w:val="Text0"/>
        </w:rPr>
        <w:t>"Type"</w:t>
      </w:r>
      <w:r>
        <w:t>:</w:t>
        <w:t xml:space="preserve"> </w:t>
        <w:t>"journald"</w:t>
        <w:t>,</w:t>
      </w:r>
    </w:p>
    <w:p>
      <w:pPr>
        <w:pStyle w:val="Para 08"/>
      </w:pPr>
      <w:r>
        <w:t>"Config"</w:t>
      </w:r>
      <w:r>
        <w:rPr>
          <w:rStyle w:val="Text0"/>
        </w:rPr>
        <w:t>: {}</w:t>
      </w:r>
    </w:p>
    <w:p>
      <w:pPr>
        <w:pStyle w:val="Normal"/>
      </w:pPr>
      <w:r>
        <w:t>}</w:t>
      </w:r>
    </w:p>
    <w:p>
      <w:pPr>
        <w:pStyle w:val="Para 17"/>
      </w:pPr>
      <w:r>
        <w:t/>
      </w:r>
    </w:p>
    <w:p>
      <w:pPr>
        <w:pStyle w:val="Para 04"/>
      </w:pPr>
      <w:r>
        <w:t>• View logs</w:t>
      </w:r>
    </w:p>
    <w:p>
      <w:pPr>
        <w:pStyle w:val="Normal"/>
      </w:pPr>
      <w:r>
        <w:t>$ docker logs web-server</w:t>
      </w:r>
    </w:p>
    <w:p>
      <w:pPr>
        <w:pStyle w:val="Normal"/>
      </w:pPr>
      <w:r>
        <w:t>/docker-entrypoint.sh: /docker-entrypoint.d/ is not empty, will attempt to perform</w:t>
        <w:t xml:space="preserve"> </w:t>
        <w:t>configuration</w:t>
      </w:r>
    </w:p>
    <w:p>
      <w:pPr>
        <w:pStyle w:val="Normal"/>
      </w:pPr>
      <w:r>
        <w:t>/docker-entrypoint.sh: Looking</w:t>
        <w:t xml:space="preserve"> </w:t>
      </w:r>
      <w:r>
        <w:rPr>
          <w:rStyle w:val="Text0"/>
        </w:rPr>
        <w:t>for</w:t>
      </w:r>
      <w:r>
        <w:t xml:space="preserve"> </w:t>
        <w:t>shell scripts</w:t>
        <w:t xml:space="preserve"> </w:t>
      </w:r>
      <w:r>
        <w:rPr>
          <w:rStyle w:val="Text0"/>
        </w:rPr>
        <w:t>in</w:t>
      </w:r>
      <w:r>
        <w:t xml:space="preserve"> </w:t>
        <w:t>/docker-entrypoint.d/</w:t>
        <w:t xml:space="preserve"> </w:t>
        <w:t>/docker-entrypoint.sh: Launching /docker-entrypoint.d/20-envsubst-on-templates.sh</w:t>
        <w:t xml:space="preserve"> </w:t>
        <w:t>/docker-entrypoint.sh: Configuration complete; ready</w:t>
        <w:t xml:space="preserve"> </w:t>
      </w:r>
      <w:r>
        <w:rPr>
          <w:rStyle w:val="Text0"/>
        </w:rPr>
        <w:t>for</w:t>
      </w:r>
      <w:r>
        <w:t xml:space="preserve"> </w:t>
        <w:t>start up</w:t>
      </w:r>
    </w:p>
    <w:p>
      <w:pPr>
        <w:pStyle w:val="Para 17"/>
      </w:pPr>
      <w:r>
        <w:t/>
      </w:r>
    </w:p>
    <w:p>
      <w:pPr>
        <w:pStyle w:val="Normal"/>
      </w:pPr>
      <w:r>
        <w:t>Depending on the driver you might also want to pass some options. You can do that via the CLI, passing--log-opt or in the daemon config file adding the key log-opts. For more</w:t>
      </w:r>
    </w:p>
    <w:p>
      <w:pPr>
        <w:pStyle w:val="Para 18"/>
      </w:pPr>
      <w:r>
        <w:rPr>
          <w:rStyle w:val="Text7"/>
        </w:rPr>
        <w:t xml:space="preserve">information check the </w:t>
      </w:r>
      <w:hyperlink r:id="rId1542">
        <w:r>
          <w:rPr>
            <w:rStyle w:val="Text10"/>
          </w:rPr>
          <w:t>622</w:t>
        </w:r>
      </w:hyperlink>
      <w:hyperlink r:id="rId1542">
        <w:r>
          <w:t xml:space="preserve"> logging driver documentation</w:t>
        </w:r>
      </w:hyperlink>
      <w:r>
        <w:rPr>
          <w:rStyle w:val="Text7"/>
        </w:rPr>
        <w:t>.</w:t>
      </w:r>
    </w:p>
    <w:p>
      <w:pPr>
        <w:pStyle w:val="Normal"/>
      </w:pPr>
      <w:r>
        <w:t>Docker CLI also provides the docker logs and docker service logs commands which allows one to check for the logs produced by a given container or service (set of containers) in the host. However, those two commands are functional only if the logging driver for the contain-ers is json-file, local or journald. They are useful for debugging in general, but there is the downside of increasing the storage needed in the host.</w:t>
      </w:r>
    </w:p>
    <w:p>
      <w:pPr>
        <w:pStyle w:val="Normal"/>
      </w:pPr>
      <w:r>
        <w:t>The remote logging drivers are useful to store data in an external service/host, and they also avoid spending more disk space in the host to store log files. Nonetheless, sometimes, for debugging purposes, it is important to have log files locally. Considering that, Docker has a feature called “dual logging”, which is enabled by default, and even if the system adminis-trator configures a logging driver different from json-file, local and journald, the logs will be available locally to be accessed via the Docker CLI. If this is not the desired behavior, the feature can be disabled in the /etc/docker/daemon.json file:</w:t>
      </w:r>
    </w:p>
    <w:p>
      <w:pPr>
        <w:pStyle w:val="Normal"/>
      </w:pPr>
      <w:r>
        <w:t>{</w:t>
      </w:r>
    </w:p>
    <w:p>
      <w:pPr>
        <w:pStyle w:val="Para 08"/>
      </w:pPr>
      <w:r>
        <w:t>"log-driver"</w:t>
      </w:r>
      <w:r>
        <w:rPr>
          <w:rStyle w:val="Text0"/>
        </w:rPr>
        <w:t>:</w:t>
        <w:t xml:space="preserve"> </w:t>
        <w:t>"syslog"</w:t>
        <w:t>,</w:t>
      </w:r>
    </w:p>
    <w:p>
      <w:pPr>
        <w:pStyle w:val="Para 08"/>
      </w:pPr>
      <w:r>
        <w:t>"log-opts"</w:t>
      </w:r>
      <w:r>
        <w:rPr>
          <w:rStyle w:val="Text0"/>
        </w:rPr>
        <w:t>: {</w:t>
      </w:r>
    </w:p>
    <w:p>
      <w:pPr>
        <w:pStyle w:val="Para 39"/>
      </w:pPr>
      <w:r>
        <w:t>"cache-disabled"</w:t>
      </w:r>
      <w:r>
        <w:rPr>
          <w:rStyle w:val="Text0"/>
        </w:rPr>
        <w:t>:</w:t>
        <w:t xml:space="preserve"> </w:t>
        <w:t>"true"</w:t>
        <w:t>,</w:t>
      </w:r>
    </w:p>
    <w:p>
      <w:pPr>
        <w:pStyle w:val="Para 02"/>
      </w:pPr>
      <w:r>
        <w:rPr>
          <w:rStyle w:val="Text0"/>
        </w:rPr>
        <w:t>"syslog-address"</w:t>
      </w:r>
      <w:r>
        <w:t>:</w:t>
        <w:t xml:space="preserve"> </w:t>
        <w:t>"udp://1.2.3.4:1111"</w:t>
      </w:r>
    </w:p>
    <w:p>
      <w:pPr>
        <w:pStyle w:val="Para 03"/>
      </w:pPr>
      <w:r>
        <w:t>}</w:t>
      </w:r>
    </w:p>
    <w:p>
      <w:pPr>
        <w:pStyle w:val="Normal"/>
      </w:pPr>
      <w:r>
        <w:t>}</w:t>
      </w:r>
    </w:p>
    <w:p>
      <w:pPr>
        <w:pStyle w:val="Para 05"/>
      </w:pPr>
      <w:r>
        <w:rPr>
          <w:rStyle w:val="Text5"/>
        </w:rPr>
        <w:t>622</w:t>
      </w:r>
      <w:r>
        <w:rPr>
          <w:rStyle w:val="Text8"/>
        </w:rPr>
        <w:t xml:space="preserve"> </w:t>
      </w:r>
      <w:r>
        <w:t>https://docs.docker.com/engine/logging/configure/</w:t>
      </w:r>
    </w:p>
    <w:p>
      <w:bookmarkStart w:id="908" w:name="page_6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4" name="index-600_1.png" descr="index-600_1.png"/>
            <wp:cNvGraphicFramePr>
              <a:graphicFrameLocks noChangeAspect="1"/>
            </wp:cNvGraphicFramePr>
            <a:graphic>
              <a:graphicData uri="http://schemas.openxmlformats.org/drawingml/2006/picture">
                <pic:pic>
                  <pic:nvPicPr>
                    <pic:cNvPr id="0" name="index-600_1.png" descr="index-600_1.png"/>
                    <pic:cNvPicPr/>
                  </pic:nvPicPr>
                  <pic:blipFill>
                    <a:blip r:embed="rId618"/>
                    <a:stretch>
                      <a:fillRect/>
                    </a:stretch>
                  </pic:blipFill>
                  <pic:spPr>
                    <a:xfrm>
                      <a:off x="0" y="0"/>
                      <a:ext cx="914400" cy="266700"/>
                    </a:xfrm>
                    <a:prstGeom prst="rect">
                      <a:avLst/>
                    </a:prstGeom>
                  </pic:spPr>
                </pic:pic>
              </a:graphicData>
            </a:graphic>
          </wp:anchor>
        </w:drawing>
      </w:r>
      <w:bookmarkEnd w:id="908"/>
    </w:p>
    <w:p>
      <w:pPr>
        <w:pStyle w:val="Normal"/>
      </w:pPr>
      <w:r>
        <w:t>The option cache-disabled is used to disable the “dual logging” feature. If you try to run docker logs with that configuration you will get the following error:</w:t>
      </w:r>
    </w:p>
    <w:p>
      <w:pPr>
        <w:pStyle w:val="Normal"/>
      </w:pPr>
      <w:r>
        <w:t>$ docker logs web-server</w:t>
      </w:r>
    </w:p>
    <w:p>
      <w:pPr>
        <w:pStyle w:val="Normal"/>
      </w:pPr>
      <w:r>
        <w:t>Error response from daemon: configured logging driver does not support reading</w:t>
      </w:r>
    </w:p>
    <w:p>
      <w:pPr>
        <w:pStyle w:val="Para 17"/>
      </w:pPr>
      <w:r>
        <w:t/>
      </w:r>
    </w:p>
    <w:p>
      <w:pPr>
        <w:pStyle w:val="Para 01"/>
      </w:pPr>
      <w:r>
        <w:t>Resources</w:t>
      </w:r>
    </w:p>
    <w:p>
      <w:pPr>
        <w:pStyle w:val="Para 17"/>
      </w:pPr>
      <w:r>
        <w:t/>
      </w:r>
    </w:p>
    <w:p>
      <w:pPr>
        <w:pStyle w:val="Normal"/>
      </w:pPr>
      <w:r>
        <w:t>To read an explanatory guide to Docker storage, networking, and logging see:</w:t>
      </w:r>
    </w:p>
    <w:p>
      <w:pPr>
        <w:pStyle w:val="Para 14"/>
      </w:pPr>
      <w:r>
        <w:rPr>
          <w:rStyle w:val="Text4"/>
        </w:rPr>
        <w:t xml:space="preserve">• </w:t>
      </w:r>
      <w:hyperlink w:anchor="page_905">
        <w:r>
          <w:t>Docker storage, networking, and logging</w:t>
        </w:r>
      </w:hyperlink>
      <w:r>
        <w:rPr>
          <w:rStyle w:val="Text4"/>
        </w:rPr>
        <w:t xml:space="preserve"> (page 904)</w:t>
      </w:r>
    </w:p>
    <w:p>
      <w:pPr>
        <w:pStyle w:val="Para 17"/>
      </w:pPr>
      <w:r>
        <w:t/>
      </w:r>
    </w:p>
    <w:p>
      <w:pPr>
        <w:pStyle w:val="Para 01"/>
      </w:pPr>
      <w:r>
        <w:t>How to run rocks on your server</w:t>
      </w:r>
    </w:p>
    <w:p>
      <w:pPr>
        <w:pStyle w:val="Para 17"/>
      </w:pPr>
      <w:r>
        <w:t/>
      </w:r>
    </w:p>
    <w:p>
      <w:pPr>
        <w:pStyle w:val="Para 01"/>
      </w:pPr>
      <w:r>
        <w:t>Deploying rocks with Docker</w:t>
      </w:r>
    </w:p>
    <w:p>
      <w:pPr>
        <w:pStyle w:val="Para 17"/>
      </w:pPr>
      <w:r>
        <w:t/>
      </w:r>
    </w:p>
    <w:p>
      <w:pPr>
        <w:pStyle w:val="Normal"/>
      </w:pPr>
      <w:r>
        <w:t xml:space="preserve">As with any other OCI-compliant container image, </w:t>
      </w:r>
      <w:hyperlink w:anchor="page_600">
        <w:r>
          <w:rPr>
            <w:rStyle w:val="Text9"/>
          </w:rPr>
          <w:t>623</w:t>
        </w:r>
      </w:hyperlink>
      <w:r>
        <w:t xml:space="preserve"> </w:t>
      </w:r>
      <w:hyperlink r:id="rId1543">
        <w:r>
          <w:rPr>
            <w:rStyle w:val="Text1"/>
          </w:rPr>
          <w:t>rocks</w:t>
        </w:r>
      </w:hyperlink>
      <w:r>
        <w:t xml:space="preserve"> can be deployed with your favorite container management tool. This section depicts a typical deployment workflow for a generic</w:t>
      </w:r>
    </w:p>
    <w:p>
      <w:pPr>
        <w:pStyle w:val="Normal"/>
      </w:pPr>
      <w:r>
        <w:t xml:space="preserve">Grafana rock, using </w:t>
      </w:r>
      <w:hyperlink w:anchor="page_679">
        <w:r>
          <w:rPr>
            <w:rStyle w:val="Text2"/>
          </w:rPr>
          <w:t>Docker</w:t>
        </w:r>
      </w:hyperlink>
      <w:r>
        <w:t xml:space="preserve"> .</w:t>
      </w:r>
    </w:p>
    <w:p>
      <w:pPr>
        <w:pStyle w:val="Normal"/>
      </w:pPr>
      <w:r>
        <w:t>First, install Docker if it’s not already installed:</w:t>
      </w:r>
    </w:p>
    <w:p>
      <w:pPr>
        <w:pStyle w:val="Normal"/>
      </w:pPr>
      <w:r>
        <w:t>$ sudo apt-get install -y docker.io docker-compose</w:t>
      </w:r>
    </w:p>
    <w:p>
      <w:pPr>
        <w:pStyle w:val="Para 17"/>
      </w:pPr>
      <w:r>
        <w:t/>
      </w:r>
    </w:p>
    <w:p>
      <w:pPr>
        <w:pStyle w:val="Normal"/>
      </w:pPr>
      <w:r>
        <w:t>We can deploy a container with the docker run command. This command has a number of</w:t>
      </w:r>
    </w:p>
    <w:p>
      <w:pPr>
        <w:pStyle w:val="Normal"/>
      </w:pPr>
      <w:hyperlink r:id="rId1544">
        <w:r>
          <w:rPr>
            <w:rStyle w:val="Text1"/>
          </w:rPr>
          <w:t>possible parameters</w:t>
        </w:r>
      </w:hyperlink>
      <w:hyperlink w:anchor="page_600">
        <w:r>
          <w:rPr>
            <w:rStyle w:val="Text9"/>
          </w:rPr>
          <w:t>624</w:t>
        </w:r>
      </w:hyperlink>
      <w:r>
        <w:t xml:space="preserve"> </w:t>
      </w:r>
      <w:hyperlink r:id="rId1545">
        <w:r>
          <w:rPr>
            <w:rStyle w:val="Text9"/>
          </w:rPr>
          <w:t>625</w:t>
        </w:r>
      </w:hyperlink>
      <w:r>
        <w:t xml:space="preserve"> . The </w:t>
      </w:r>
      <w:hyperlink r:id="rId1545">
        <w:r>
          <w:rPr>
            <w:rStyle w:val="Text1"/>
          </w:rPr>
          <w:t>“Usage” section</w:t>
        </w:r>
      </w:hyperlink>
      <w:r>
        <w:t xml:space="preserve"> of the Grafana rock’s documentation has a table with an overview of parameters specific to the image.</w:t>
      </w:r>
    </w:p>
    <w:p>
      <w:pPr>
        <w:pStyle w:val="Normal"/>
      </w:pPr>
      <w:r>
        <w:t>$ sudo docker run -d --name grafana-container -e TZ=UTC -p 3000:3000 ubuntu/grafana:10.3.</w:t>
        <w:t xml:space="preserve"> </w:t>
        <w:t>3-22.04_stable</w:t>
      </w:r>
    </w:p>
    <w:p>
      <w:pPr>
        <w:pStyle w:val="Normal"/>
      </w:pPr>
      <w:r>
        <w:t>Unable to find image 'ubuntu/grafana:10.3.3-22.04_stable' locally</w:t>
        <w:t xml:space="preserve"> </w:t>
        <w:t>10.3.3-22.04_stable: Pulling from ubuntu/grafana</w:t>
      </w:r>
    </w:p>
    <w:p>
      <w:pPr>
        <w:pStyle w:val="Normal"/>
      </w:pPr>
      <w:r>
        <w:t>bccd10f490ab: Already exists</w:t>
      </w:r>
    </w:p>
    <w:p>
      <w:pPr>
        <w:pStyle w:val="Normal"/>
      </w:pPr>
      <w:r>
        <w:t>549078d9d057: Pull complete</w:t>
      </w:r>
    </w:p>
    <w:p>
      <w:pPr>
        <w:pStyle w:val="Normal"/>
      </w:pPr>
      <w:r>
        <w:t>6ef870aa8500: Pull complete</w:t>
      </w:r>
    </w:p>
    <w:p>
      <w:pPr>
        <w:pStyle w:val="Normal"/>
      </w:pPr>
      <w:r>
        <w:t>2b475da7ccbd: Pull complete</w:t>
      </w:r>
    </w:p>
    <w:p>
      <w:pPr>
        <w:pStyle w:val="Normal"/>
      </w:pPr>
      <w:r>
        <w:t>Digest: sha256:df566ef90ecb14267a459081949ee7b6693fa573b97a7134a9a6722207275caa</w:t>
        <w:t xml:space="preserve"> </w:t>
        <w:t>Status: Downloaded newer image for ubuntu/grafana:10.3.3-22.04_stable</w:t>
        <w:t xml:space="preserve"> </w:t>
        <w:t>356e623ef2c16bc7d810bddccad8d7980f9c633aefc3a88bc8761eac4e1b1c50</w:t>
      </w:r>
    </w:p>
    <w:p>
      <w:pPr>
        <w:pStyle w:val="Para 17"/>
      </w:pPr>
      <w:r>
        <w:t/>
      </w:r>
    </w:p>
    <w:p>
      <w:pPr>
        <w:pStyle w:val="Normal"/>
      </w:pPr>
      <w:r>
        <w:t>In this particular case, we’re using:</w:t>
      </w:r>
    </w:p>
    <w:p>
      <w:pPr>
        <w:pStyle w:val="Para 04"/>
      </w:pPr>
      <w:r>
        <w:t>•-d to run the container in the background.</w:t>
      </w:r>
    </w:p>
    <w:p>
      <w:pPr>
        <w:pStyle w:val="Para 04"/>
      </w:pPr>
      <w:r>
        <w:t>• We are also specifying a well-defined name for the container, with the--name parame-</w:t>
      </w:r>
    </w:p>
    <w:p>
      <w:pPr>
        <w:pStyle w:val="Para 02"/>
      </w:pPr>
      <w:r>
        <w:t>ter.</w:t>
      </w:r>
    </w:p>
    <w:p>
      <w:pPr>
        <w:pStyle w:val="Para 04"/>
      </w:pPr>
      <w:r>
        <w:t>• With-e we are setting the container’s timezone (TZ) environment variable to UTC.</w:t>
      </w:r>
    </w:p>
    <w:p>
      <w:pPr>
        <w:pStyle w:val="Para 04"/>
      </w:pPr>
      <w:r>
        <w:t>• We also use-p to map port 3000 of the container to 3000 on localhost.</w:t>
      </w:r>
    </w:p>
    <w:p>
      <w:pPr>
        <w:pStyle w:val="Para 05"/>
      </w:pPr>
      <w:r>
        <w:rPr>
          <w:rStyle w:val="Text5"/>
        </w:rPr>
        <w:t>623</w:t>
      </w:r>
      <w:r>
        <w:rPr>
          <w:rStyle w:val="Text8"/>
        </w:rPr>
        <w:t xml:space="preserve"> </w:t>
      </w:r>
      <w:r>
        <w:t>https://documentation.ubuntu.com/rockcraft/latest/explanation/rocks/</w:t>
      </w:r>
    </w:p>
    <w:p>
      <w:pPr>
        <w:pStyle w:val="Para 05"/>
      </w:pPr>
      <w:r>
        <w:rPr>
          <w:rStyle w:val="Text5"/>
        </w:rPr>
        <w:t>624</w:t>
      </w:r>
      <w:r>
        <w:rPr>
          <w:rStyle w:val="Text8"/>
        </w:rPr>
        <w:t xml:space="preserve"> </w:t>
      </w:r>
      <w:r>
        <w:t>https://docs.docker.com/reference/cli/docker/container/run/</w:t>
      </w:r>
    </w:p>
    <w:p>
      <w:pPr>
        <w:pStyle w:val="Para 05"/>
      </w:pPr>
      <w:r>
        <w:rPr>
          <w:rStyle w:val="Text5"/>
        </w:rPr>
        <w:t>625</w:t>
      </w:r>
      <w:r>
        <w:rPr>
          <w:rStyle w:val="Text8"/>
        </w:rPr>
        <w:t xml:space="preserve"> </w:t>
      </w:r>
      <w:r>
        <w:t>https://hub.docker.com/r/ubuntu/grafana</w:t>
      </w:r>
    </w:p>
    <w:p>
      <w:bookmarkStart w:id="909" w:name="page_6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5" name="index-601_1.png" descr="index-601_1.png"/>
            <wp:cNvGraphicFramePr>
              <a:graphicFrameLocks noChangeAspect="1"/>
            </wp:cNvGraphicFramePr>
            <a:graphic>
              <a:graphicData uri="http://schemas.openxmlformats.org/drawingml/2006/picture">
                <pic:pic>
                  <pic:nvPicPr>
                    <pic:cNvPr id="0" name="index-601_1.png" descr="index-601_1.png"/>
                    <pic:cNvPicPr/>
                  </pic:nvPicPr>
                  <pic:blipFill>
                    <a:blip r:embed="rId619"/>
                    <a:stretch>
                      <a:fillRect/>
                    </a:stretch>
                  </pic:blipFill>
                  <pic:spPr>
                    <a:xfrm>
                      <a:off x="0" y="0"/>
                      <a:ext cx="914400" cy="266700"/>
                    </a:xfrm>
                    <a:prstGeom prst="rect">
                      <a:avLst/>
                    </a:prstGeom>
                  </pic:spPr>
                </pic:pic>
              </a:graphicData>
            </a:graphic>
          </wp:anchor>
        </w:drawing>
      </w:r>
      <w:bookmarkEnd w:id="909"/>
    </w:p>
    <w:p>
      <w:pPr>
        <w:pStyle w:val="Para 04"/>
      </w:pPr>
      <w:r>
        <w:t>• The last parameter indicates the name of the rock, as listed in Docker Hub. Notice that</w:t>
      </w:r>
    </w:p>
    <w:p>
      <w:pPr>
        <w:pStyle w:val="Para 02"/>
      </w:pPr>
      <w:r>
        <w:t>the image tag we requested has the _stable suffix to indicate the image’s risk. This is</w:t>
      </w:r>
    </w:p>
    <w:p>
      <w:pPr>
        <w:pStyle w:val="Para 02"/>
      </w:pPr>
      <w:r>
        <w:t xml:space="preserve">called a </w:t>
      </w:r>
      <w:hyperlink w:anchor="page_601">
        <w:r>
          <w:rPr>
            <w:rStyle w:val="Text9"/>
          </w:rPr>
          <w:t>626</w:t>
        </w:r>
      </w:hyperlink>
      <w:r>
        <w:t xml:space="preserve"> </w:t>
      </w:r>
      <w:r>
        <w:rPr>
          <w:rStyle w:val="Text0"/>
        </w:rPr>
        <w:t>Channel Tag</w:t>
      </w:r>
      <w:r>
        <w:t xml:space="preserve"> and it follows a similar convention to </w:t>
      </w:r>
      <w:hyperlink r:id="rId1060">
        <w:r>
          <w:rPr>
            <w:rStyle w:val="Text1"/>
          </w:rPr>
          <w:t>snap “channels”</w:t>
        </w:r>
      </w:hyperlink>
      <w:r>
        <w:t>.</w:t>
      </w:r>
    </w:p>
    <w:p>
      <w:pPr>
        <w:pStyle w:val="Normal"/>
      </w:pPr>
      <w:r>
        <w:t>This container, named grafana-container, serves Grafana 10.3.3 in an Ubuntu 22.04 LTS en-vironment and can be accessed via local port 3000. Load the website up in your local web browser: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52800"/>
            <wp:effectExtent l="0" r="0" t="0" b="0"/>
            <wp:wrapTopAndBottom/>
            <wp:docPr id="616" name="index-601_2.png" descr="index-601_2.png"/>
            <wp:cNvGraphicFramePr>
              <a:graphicFrameLocks noChangeAspect="1"/>
            </wp:cNvGraphicFramePr>
            <a:graphic>
              <a:graphicData uri="http://schemas.openxmlformats.org/drawingml/2006/picture">
                <pic:pic>
                  <pic:nvPicPr>
                    <pic:cNvPr id="0" name="index-601_2.png" descr="index-601_2.png"/>
                    <pic:cNvPicPr/>
                  </pic:nvPicPr>
                  <pic:blipFill>
                    <a:blip r:embed="rId620"/>
                    <a:stretch>
                      <a:fillRect/>
                    </a:stretch>
                  </pic:blipFill>
                  <pic:spPr>
                    <a:xfrm>
                      <a:off x="0" y="0"/>
                      <a:ext cx="3670300" cy="3352800"/>
                    </a:xfrm>
                    <a:prstGeom prst="rect">
                      <a:avLst/>
                    </a:prstGeom>
                  </pic:spPr>
                </pic:pic>
              </a:graphicData>
            </a:graphic>
          </wp:anchor>
        </w:drawing>
      </w:r>
    </w:p>
    <w:p>
      <w:pPr>
        <w:pStyle w:val="Para 17"/>
      </w:pPr>
      <w:r>
        <w:t/>
      </w:r>
    </w:p>
    <w:p>
      <w:pPr>
        <w:pStyle w:val="Normal"/>
      </w:pPr>
      <w:r>
        <w:t>If you don’t have Firefox handy, curl can be used instead:</w:t>
      </w:r>
    </w:p>
    <w:p>
      <w:pPr>
        <w:pStyle w:val="Normal"/>
      </w:pPr>
      <w:r>
        <w:t>$ curl -s http://localhost:3000/login | grep</w:t>
        <w:t xml:space="preserve"> </w:t>
        <w:t>"&lt;title&gt;"</w:t>
      </w:r>
    </w:p>
    <w:p>
      <w:pPr>
        <w:pStyle w:val="Para 02"/>
      </w:pPr>
      <w:r>
        <w:t>&lt;title&gt;Grafana&lt;/title&gt;</w:t>
      </w:r>
    </w:p>
    <w:p>
      <w:pPr>
        <w:pStyle w:val="Para 17"/>
      </w:pPr>
      <w:r>
        <w:t/>
      </w:r>
    </w:p>
    <w:p>
      <w:pPr>
        <w:pStyle w:val="Normal"/>
      </w:pPr>
      <w:r>
        <w:t>Now that we’ve tested the deployment of the Grafana rock as a single container, let’s clean it up:</w:t>
      </w:r>
    </w:p>
    <w:p>
      <w:pPr>
        <w:pStyle w:val="Normal"/>
      </w:pPr>
      <w:r>
        <w:t>$ sudo docker ps</w:t>
      </w:r>
    </w:p>
    <w:p>
      <w:pPr>
        <w:pStyle w:val="Normal"/>
      </w:pPr>
      <w:r>
        <w:t>CONTAINER ID</w:t>
        <w:t xml:space="preserve"> </w:t>
        <w:t>IMAGE</w:t>
        <w:t xml:space="preserve"> </w:t>
        <w:t>COMMAND</w:t>
        <w:t xml:space="preserve"> </w:t>
        <w:t>CREATED</w:t>
      </w:r>
    </w:p>
    <w:p>
      <w:pPr>
        <w:pStyle w:val="Para 02"/>
      </w:pPr>
      <w:r>
        <w:t>STATUS</w:t>
        <w:t xml:space="preserve"> </w:t>
        <w:t>PORTS</w:t>
        <w:t xml:space="preserve"> </w:t>
        <w:t>NAMES</w:t>
      </w:r>
    </w:p>
    <w:p>
      <w:pPr>
        <w:pStyle w:val="Normal"/>
      </w:pPr>
      <w:r>
        <w:t>356e623ef2c1</w:t>
        <w:t xml:space="preserve"> </w:t>
        <w:t>ubuntu/grafana:10.3.3-22.04_stable</w:t>
        <w:t xml:space="preserve"> </w:t>
        <w:t>"/bin/pebble enter -…"</w:t>
        <w:t xml:space="preserve"> </w:t>
        <w:t>17</w:t>
        <w:t xml:space="preserve"> </w:t>
        <w:t>minutes</w:t>
        <w:t xml:space="preserve"> </w:t>
        <w:t>ago</w:t>
        <w:t xml:space="preserve"> </w:t>
        <w:t>Up</w:t>
        <w:t xml:space="preserve"> </w:t>
        <w:t>17</w:t>
        <w:t xml:space="preserve"> </w:t>
        <w:t>minutes</w:t>
        <w:t xml:space="preserve"> </w:t>
        <w:t>0</w:t>
        <w:t>.0.0.0:3000-&gt;3000/tcp, :::3000-&gt;3000/tcp</w:t>
        <w:t xml:space="preserve"> </w:t>
        <w:t>grafana-container</w:t>
      </w:r>
    </w:p>
    <w:p>
      <w:pPr>
        <w:pStyle w:val="Para 03"/>
      </w:pPr>
      <w:r>
        <w:rPr>
          <w:rStyle w:val="Text5"/>
        </w:rPr>
        <w:t>626</w:t>
      </w:r>
      <w:r>
        <w:t xml:space="preserve"> </w:t>
      </w:r>
      <w:r>
        <w:rPr>
          <w:rStyle w:val="Text6"/>
        </w:rPr>
        <w:t>https://snapcraft.io/docs/channels</w:t>
      </w:r>
      <w:r>
        <w:t xml:space="preserve"> We can stop and remove the container as follows:</w:t>
      </w:r>
    </w:p>
    <w:p>
      <w:bookmarkStart w:id="910" w:name="page_6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7" name="index-602_1.png" descr="index-602_1.png"/>
            <wp:cNvGraphicFramePr>
              <a:graphicFrameLocks noChangeAspect="1"/>
            </wp:cNvGraphicFramePr>
            <a:graphic>
              <a:graphicData uri="http://schemas.openxmlformats.org/drawingml/2006/picture">
                <pic:pic>
                  <pic:nvPicPr>
                    <pic:cNvPr id="0" name="index-602_1.png" descr="index-602_1.png"/>
                    <pic:cNvPicPr/>
                  </pic:nvPicPr>
                  <pic:blipFill>
                    <a:blip r:embed="rId621"/>
                    <a:stretch>
                      <a:fillRect/>
                    </a:stretch>
                  </pic:blipFill>
                  <pic:spPr>
                    <a:xfrm>
                      <a:off x="0" y="0"/>
                      <a:ext cx="914400" cy="266700"/>
                    </a:xfrm>
                    <a:prstGeom prst="rect">
                      <a:avLst/>
                    </a:prstGeom>
                  </pic:spPr>
                </pic:pic>
              </a:graphicData>
            </a:graphic>
          </wp:anchor>
        </w:drawing>
      </w:r>
      <w:bookmarkEnd w:id="910"/>
    </w:p>
    <w:p>
      <w:pPr>
        <w:pStyle w:val="Normal"/>
      </w:pPr>
      <w:r>
        <w:t>$ sudo docker stop grafana-container</w:t>
      </w:r>
    </w:p>
    <w:p>
      <w:pPr>
        <w:pStyle w:val="Normal"/>
      </w:pPr>
      <w:r>
        <w:t>$ sudo docker rm grafana-container</w:t>
      </w:r>
    </w:p>
    <w:p>
      <w:pPr>
        <w:pStyle w:val="Para 17"/>
      </w:pPr>
      <w:r>
        <w:t/>
      </w:r>
    </w:p>
    <w:p>
      <w:pPr>
        <w:pStyle w:val="Normal"/>
      </w:pPr>
      <w:r>
        <w:t xml:space="preserve">The </w:t>
      </w:r>
      <w:hyperlink r:id="rId1545">
        <w:r>
          <w:rPr>
            <w:rStyle w:val="Text9"/>
          </w:rPr>
          <w:t>627</w:t>
        </w:r>
      </w:hyperlink>
      <w:hyperlink r:id="rId1545">
        <w:r>
          <w:rPr>
            <w:rStyle w:val="Text1"/>
          </w:rPr>
          <w:t xml:space="preserve"> Grafana rock’s documentation</w:t>
        </w:r>
      </w:hyperlink>
      <w:r>
        <w:t xml:space="preserve"> will also show you how to use Docker’s-v bind mounts to configure Grafana’s provisioning directory and data persistence.</w:t>
      </w:r>
    </w:p>
    <w:p>
      <w:pPr>
        <w:pStyle w:val="Para 17"/>
      </w:pPr>
      <w:r>
        <w:t/>
      </w:r>
    </w:p>
    <w:p>
      <w:pPr>
        <w:pStyle w:val="Para 01"/>
      </w:pPr>
      <w:r>
        <w:t>Multi-container deployment</w:t>
      </w:r>
    </w:p>
    <w:p>
      <w:pPr>
        <w:pStyle w:val="Para 17"/>
      </w:pPr>
      <w:r>
        <w:t/>
      </w:r>
    </w:p>
    <w:p>
      <w:pPr>
        <w:pStyle w:val="Normal"/>
      </w:pPr>
      <w:r>
        <w:t>The section above explained the use of a single container for running a single software in-stance, but one of the benefits of using rocks is the ability to easily create and architecturally organize (or “orchestrate”) them to operate together in a modular fashion.</w:t>
      </w:r>
    </w:p>
    <w:p>
      <w:pPr>
        <w:pStyle w:val="Normal"/>
      </w:pPr>
      <w:r>
        <w:t>This section will demonstrate use of docker-compose to set up two container services</w:t>
      </w:r>
    </w:p>
    <w:p>
      <w:pPr>
        <w:pStyle w:val="Normal"/>
      </w:pPr>
      <w:r>
        <w:t xml:space="preserve">that inter-operate to implement a trivial observability stack with the </w:t>
      </w:r>
      <w:hyperlink w:anchor="page_602">
        <w:r>
          <w:rPr>
            <w:rStyle w:val="Text9"/>
          </w:rPr>
          <w:t>628</w:t>
        </w:r>
      </w:hyperlink>
      <w:r>
        <w:t xml:space="preserve"> </w:t>
      </w:r>
      <w:hyperlink r:id="rId1546">
        <w:r>
          <w:rPr>
            <w:rStyle w:val="Text1"/>
          </w:rPr>
          <w:t>Prometheus</w:t>
        </w:r>
      </w:hyperlink>
      <w:r>
        <w:t xml:space="preserve"> and</w:t>
      </w:r>
    </w:p>
    <w:p>
      <w:pPr>
        <w:pStyle w:val="Para 18"/>
      </w:pPr>
      <w:hyperlink r:id="rId1545">
        <w:r>
          <w:t>Grafana</w:t>
        </w:r>
      </w:hyperlink>
      <w:hyperlink r:id="rId1545">
        <w:r>
          <w:rPr>
            <w:rStyle w:val="Text10"/>
          </w:rPr>
          <w:t>629</w:t>
        </w:r>
      </w:hyperlink>
      <w:r>
        <w:rPr>
          <w:rStyle w:val="Text7"/>
        </w:rPr>
        <w:t xml:space="preserve"> rocks.</w:t>
      </w:r>
    </w:p>
    <w:p>
      <w:pPr>
        <w:pStyle w:val="Normal"/>
      </w:pPr>
      <w:r>
        <w:t>Start by creating a Prometheus configuration file called prometheus.yml with the following contents:</w:t>
      </w:r>
    </w:p>
    <w:p>
      <w:pPr>
        <w:pStyle w:val="Para 01"/>
      </w:pPr>
      <w:r>
        <w:t>global</w:t>
      </w:r>
      <w:r>
        <w:rPr>
          <w:rStyle w:val="Text0"/>
        </w:rPr>
        <w:t>:</w:t>
      </w:r>
    </w:p>
    <w:p>
      <w:pPr>
        <w:pStyle w:val="Para 08"/>
      </w:pPr>
      <w:r>
        <w:t>scrape_interval</w:t>
      </w:r>
      <w:r>
        <w:rPr>
          <w:rStyle w:val="Text0"/>
        </w:rPr>
        <w:t>: 1m</w:t>
      </w:r>
    </w:p>
    <w:p>
      <w:pPr>
        <w:pStyle w:val="Para 01"/>
      </w:pPr>
      <w:r>
        <w:t>scrape_configs</w:t>
      </w:r>
      <w:r>
        <w:rPr>
          <w:rStyle w:val="Text0"/>
        </w:rPr>
        <w:t>:</w:t>
      </w:r>
    </w:p>
    <w:p>
      <w:pPr>
        <w:pStyle w:val="Para 03"/>
      </w:pPr>
      <w:r>
        <w:t>-</w:t>
      </w:r>
      <w:r>
        <w:rPr>
          <w:rStyle w:val="Text0"/>
        </w:rPr>
        <w:t>job_name</w:t>
      </w:r>
      <w:r>
        <w:t>:</w:t>
        <w:t xml:space="preserve"> </w:t>
        <w:t>'prometheus'</w:t>
      </w:r>
    </w:p>
    <w:p>
      <w:pPr>
        <w:pStyle w:val="Para 39"/>
      </w:pPr>
      <w:r>
        <w:t>scrape_interval</w:t>
      </w:r>
      <w:r>
        <w:rPr>
          <w:rStyle w:val="Text0"/>
        </w:rPr>
        <w:t>: 1m</w:t>
      </w:r>
    </w:p>
    <w:p>
      <w:pPr>
        <w:pStyle w:val="Para 39"/>
      </w:pPr>
      <w:r>
        <w:t>static_configs</w:t>
      </w:r>
      <w:r>
        <w:rPr>
          <w:rStyle w:val="Text0"/>
        </w:rPr>
        <w:t>:</w:t>
      </w:r>
    </w:p>
    <w:p>
      <w:pPr>
        <w:pStyle w:val="Para 06"/>
      </w:pPr>
      <w:r>
        <w:t>-</w:t>
      </w:r>
      <w:r>
        <w:rPr>
          <w:rStyle w:val="Text0"/>
        </w:rPr>
        <w:t>targets</w:t>
      </w:r>
      <w:r>
        <w:t>: [</w:t>
        <w:t>'localhost:9090'</w:t>
        <w:t>]</w:t>
      </w:r>
    </w:p>
    <w:p>
      <w:pPr>
        <w:pStyle w:val="Para 17"/>
      </w:pPr>
      <w:r>
        <w:t/>
      </w:r>
    </w:p>
    <w:p>
      <w:pPr>
        <w:pStyle w:val="Normal"/>
      </w:pPr>
      <w:r>
        <w:t>Note that this is a very simplistic example, where Prometheus only collects metrics about itself. You could expand the above configuration to tell Prometheus to scrape metrics from other sources.</w:t>
      </w:r>
    </w:p>
    <w:p>
      <w:pPr>
        <w:pStyle w:val="Normal"/>
      </w:pPr>
      <w:r>
        <w:t>Then, create the Compose file docker-compose.yml and define both services:</w:t>
      </w:r>
    </w:p>
    <w:p>
      <w:pPr>
        <w:pStyle w:val="Para 01"/>
      </w:pPr>
      <w:r>
        <w:t>services</w:t>
      </w:r>
      <w:r>
        <w:rPr>
          <w:rStyle w:val="Text0"/>
        </w:rPr>
        <w:t>:</w:t>
      </w:r>
    </w:p>
    <w:p>
      <w:pPr>
        <w:pStyle w:val="Para 08"/>
      </w:pPr>
      <w:r>
        <w:t>grafana</w:t>
      </w:r>
      <w:r>
        <w:rPr>
          <w:rStyle w:val="Text0"/>
        </w:rPr>
        <w:t>:</w:t>
      </w:r>
    </w:p>
    <w:p>
      <w:pPr>
        <w:pStyle w:val="Para 02"/>
      </w:pPr>
      <w:r>
        <w:rPr>
          <w:rStyle w:val="Text0"/>
        </w:rPr>
        <w:t>image</w:t>
      </w:r>
      <w:r>
        <w:t>: ubuntu/grafana:10.3.3-22.04_stable</w:t>
        <w:t xml:space="preserve"> </w:t>
      </w:r>
      <w:r>
        <w:rPr>
          <w:rStyle w:val="Text0"/>
        </w:rPr>
        <w:t>container_name</w:t>
      </w:r>
      <w:r>
        <w:t>: grafana-container</w:t>
      </w:r>
    </w:p>
    <w:p>
      <w:pPr>
        <w:pStyle w:val="Para 39"/>
      </w:pPr>
      <w:r>
        <w:t>environment</w:t>
      </w:r>
      <w:r>
        <w:rPr>
          <w:rStyle w:val="Text0"/>
        </w:rPr>
        <w:t>:</w:t>
      </w:r>
    </w:p>
    <w:p>
      <w:pPr>
        <w:pStyle w:val="Para 06"/>
      </w:pPr>
      <w:r>
        <w:rPr>
          <w:rStyle w:val="Text0"/>
        </w:rPr>
        <w:t>TZ</w:t>
      </w:r>
      <w:r>
        <w:t>: UTC</w:t>
      </w:r>
    </w:p>
    <w:p>
      <w:pPr>
        <w:pStyle w:val="Para 39"/>
      </w:pPr>
      <w:r>
        <w:t>ports</w:t>
      </w:r>
      <w:r>
        <w:rPr>
          <w:rStyle w:val="Text0"/>
        </w:rPr>
        <w:t>:</w:t>
      </w:r>
    </w:p>
    <w:p>
      <w:pPr>
        <w:pStyle w:val="Para 06"/>
      </w:pPr>
      <w:r>
        <w:t>-</w:t>
        <w:t>"3000:3000"</w:t>
      </w:r>
    </w:p>
    <w:p>
      <w:pPr>
        <w:pStyle w:val="Para 08"/>
      </w:pPr>
      <w:r>
        <w:t>prometheus</w:t>
      </w:r>
      <w:r>
        <w:rPr>
          <w:rStyle w:val="Text0"/>
        </w:rPr>
        <w:t>:</w:t>
      </w:r>
    </w:p>
    <w:p>
      <w:pPr>
        <w:pStyle w:val="Para 02"/>
      </w:pPr>
      <w:r>
        <w:rPr>
          <w:rStyle w:val="Text0"/>
        </w:rPr>
        <w:t>image</w:t>
      </w:r>
      <w:r>
        <w:t>: ubuntu/prometheus:2.49.1-22.04_stable</w:t>
        <w:t xml:space="preserve"> </w:t>
      </w:r>
      <w:r>
        <w:rPr>
          <w:rStyle w:val="Text0"/>
        </w:rPr>
        <w:t>container_name</w:t>
      </w:r>
      <w:r>
        <w:t>: prometheus-container</w:t>
        <w:t xml:space="preserve"> </w:t>
      </w:r>
      <w:r>
        <w:rPr>
          <w:rStyle w:val="Text0"/>
        </w:rPr>
        <w:t>environment</w:t>
      </w:r>
      <w:r>
        <w:t>:</w:t>
      </w:r>
    </w:p>
    <w:p>
      <w:pPr>
        <w:pStyle w:val="Para 06"/>
      </w:pPr>
      <w:r>
        <w:rPr>
          <w:rStyle w:val="Text0"/>
        </w:rPr>
        <w:t>TZ</w:t>
      </w:r>
      <w:r>
        <w:t>: UTC</w:t>
      </w:r>
    </w:p>
    <w:p>
      <w:pPr>
        <w:pStyle w:val="Para 39"/>
      </w:pPr>
      <w:r>
        <w:t>ports</w:t>
      </w:r>
      <w:r>
        <w:rPr>
          <w:rStyle w:val="Text0"/>
        </w:rPr>
        <w:t>:</w:t>
      </w:r>
    </w:p>
    <w:p>
      <w:pPr>
        <w:pStyle w:val="Para 06"/>
      </w:pPr>
      <w:r>
        <w:t>-</w:t>
        <w:t>"9090:9090"</w:t>
      </w:r>
    </w:p>
    <w:p>
      <w:pPr>
        <w:pStyle w:val="Para 09"/>
      </w:pPr>
      <w:r>
        <w:t>(continues on next page)</w:t>
      </w:r>
    </w:p>
    <w:p>
      <w:pPr>
        <w:pStyle w:val="Para 05"/>
      </w:pPr>
      <w:r>
        <w:rPr>
          <w:rStyle w:val="Text5"/>
        </w:rPr>
        <w:t>627</w:t>
      </w:r>
      <w:r>
        <w:rPr>
          <w:rStyle w:val="Text8"/>
        </w:rPr>
        <w:t xml:space="preserve"> </w:t>
      </w:r>
      <w:r>
        <w:t>https://hub.docker.com/r/ubuntu/grafana</w:t>
      </w:r>
    </w:p>
    <w:p>
      <w:pPr>
        <w:pStyle w:val="Para 05"/>
      </w:pPr>
      <w:r>
        <w:rPr>
          <w:rStyle w:val="Text5"/>
        </w:rPr>
        <w:t>628</w:t>
      </w:r>
      <w:r>
        <w:rPr>
          <w:rStyle w:val="Text8"/>
        </w:rPr>
        <w:t xml:space="preserve"> </w:t>
      </w:r>
      <w:r>
        <w:t>https://hub.docker.com/r/ubuntu/prometheus</w:t>
      </w:r>
    </w:p>
    <w:p>
      <w:pPr>
        <w:pStyle w:val="Para 05"/>
      </w:pPr>
      <w:r>
        <w:rPr>
          <w:rStyle w:val="Text5"/>
        </w:rPr>
        <w:t>629</w:t>
      </w:r>
      <w:r>
        <w:rPr>
          <w:rStyle w:val="Text8"/>
        </w:rPr>
        <w:t xml:space="preserve"> </w:t>
      </w:r>
      <w:r>
        <w:t>https://hub.docker.com/r/ubuntu/grafana</w:t>
      </w:r>
    </w:p>
    <w:p>
      <w:bookmarkStart w:id="911" w:name="page_6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8" name="index-603_1.png" descr="index-603_1.png"/>
            <wp:cNvGraphicFramePr>
              <a:graphicFrameLocks noChangeAspect="1"/>
            </wp:cNvGraphicFramePr>
            <a:graphic>
              <a:graphicData uri="http://schemas.openxmlformats.org/drawingml/2006/picture">
                <pic:pic>
                  <pic:nvPicPr>
                    <pic:cNvPr id="0" name="index-603_1.png" descr="index-603_1.png"/>
                    <pic:cNvPicPr/>
                  </pic:nvPicPr>
                  <pic:blipFill>
                    <a:blip r:embed="rId622"/>
                    <a:stretch>
                      <a:fillRect/>
                    </a:stretch>
                  </pic:blipFill>
                  <pic:spPr>
                    <a:xfrm>
                      <a:off x="0" y="0"/>
                      <a:ext cx="914400" cy="266700"/>
                    </a:xfrm>
                    <a:prstGeom prst="rect">
                      <a:avLst/>
                    </a:prstGeom>
                  </pic:spPr>
                </pic:pic>
              </a:graphicData>
            </a:graphic>
          </wp:anchor>
        </w:drawing>
      </w:r>
      <w:bookmarkEnd w:id="911"/>
    </w:p>
    <w:p>
      <w:pPr>
        <w:pStyle w:val="Para 09"/>
      </w:pPr>
      <w:r>
        <w:t>(continued from previous page)</w:t>
      </w:r>
    </w:p>
    <w:p>
      <w:pPr>
        <w:pStyle w:val="Para 39"/>
      </w:pPr>
      <w:r>
        <w:t>volumes</w:t>
      </w:r>
      <w:r>
        <w:rPr>
          <w:rStyle w:val="Text0"/>
        </w:rPr>
        <w:t>:</w:t>
      </w:r>
    </w:p>
    <w:p>
      <w:pPr>
        <w:pStyle w:val="Para 06"/>
      </w:pPr>
      <w:r>
        <w:t>- ./prometheus.yml:/etc/prometheus/prometheus.yml</w:t>
      </w:r>
    </w:p>
    <w:p>
      <w:pPr>
        <w:pStyle w:val="Para 17"/>
      </w:pPr>
      <w:r>
        <w:t/>
      </w:r>
    </w:p>
    <w:p>
      <w:pPr>
        <w:pStyle w:val="Normal"/>
      </w:pPr>
      <w:r>
        <w:t>Note that the Prometheus configuration file is being given to the container via a Docker vol-ume (of type “bind mount”). The above sample could also be improved to also use another volume for persisting data, and even a Grafana default configuration for the Prometheus datasource.</w:t>
      </w:r>
    </w:p>
    <w:p>
      <w:pPr>
        <w:pStyle w:val="Normal"/>
      </w:pPr>
      <w:r>
        <w:t>Since we already installed Docker in the section above, all that is needed is to create and start the containers defined in this Compose file. This can be achieved with:</w:t>
      </w:r>
    </w:p>
    <w:p>
      <w:pPr>
        <w:pStyle w:val="Normal"/>
      </w:pPr>
      <w:r>
        <w:t>$ sudo docker compose up -d</w:t>
      </w:r>
    </w:p>
    <w:p>
      <w:pPr>
        <w:pStyle w:val="Normal"/>
      </w:pPr>
      <w:r>
        <w:t>[</w:t>
        <w:t>+</w:t>
        <w:t>]</w:t>
        <w:t xml:space="preserve"> </w:t>
        <w:t>Running</w:t>
        <w:t xml:space="preserve"> </w:t>
        <w:t>10</w:t>
        <w:t>/10</w:t>
      </w:r>
    </w:p>
    <w:p>
      <w:pPr>
        <w:pStyle w:val="Normal"/>
      </w:pPr>
      <w:r>
        <w:t>✓</w:t>
        <w:t xml:space="preserve"> </w:t>
        <w:t>✓</w:t>
        <w:t xml:space="preserve"> </w:t>
        <w:t>✓</w:t>
        <w:t xml:space="preserve"> </w:t>
        <w:t>grafana Pulled</w:t>
      </w:r>
    </w:p>
    <w:p>
      <w:pPr>
        <w:pStyle w:val="Para 17"/>
      </w:pPr>
      <w:r>
        <w:t/>
      </w:r>
    </w:p>
    <w:p>
      <w:pPr>
        <w:pStyle w:val="Para 02"/>
      </w:pPr>
      <w:r>
        <w:t>✓</w:t>
        <w:t xml:space="preserve"> </w:t>
        <w:t>✓</w:t>
        <w:t xml:space="preserve"> </w:t>
        <w:t>✓</w:t>
        <w:t xml:space="preserve"> </w:t>
        <w:t>bccd10f490ab Already exists</w:t>
      </w:r>
    </w:p>
    <w:p>
      <w:pPr>
        <w:pStyle w:val="Para 17"/>
      </w:pPr>
      <w:r>
        <w:t/>
      </w:r>
    </w:p>
    <w:p>
      <w:pPr>
        <w:pStyle w:val="Para 02"/>
      </w:pPr>
      <w:r>
        <w:t>✓</w:t>
        <w:t xml:space="preserve"> </w:t>
        <w:t>✓</w:t>
        <w:t xml:space="preserve"> </w:t>
        <w:t>✓</w:t>
        <w:t xml:space="preserve"> </w:t>
        <w:t>549078d9d057 Pull</w:t>
        <w:t xml:space="preserve"> </w:t>
        <w:t>complete</w:t>
      </w:r>
    </w:p>
    <w:p>
      <w:pPr>
        <w:pStyle w:val="Para 17"/>
      </w:pPr>
      <w:r>
        <w:t/>
      </w:r>
    </w:p>
    <w:p>
      <w:pPr>
        <w:pStyle w:val="Para 02"/>
      </w:pPr>
      <w:r>
        <w:t>✓</w:t>
        <w:t xml:space="preserve"> </w:t>
        <w:t>✓</w:t>
        <w:t xml:space="preserve"> </w:t>
        <w:t>✓</w:t>
        <w:t xml:space="preserve"> </w:t>
        <w:t>6ef870aa8500 Pull</w:t>
        <w:t xml:space="preserve"> </w:t>
        <w:t>complete</w:t>
      </w:r>
    </w:p>
    <w:p>
      <w:pPr>
        <w:pStyle w:val="Para 17"/>
      </w:pPr>
      <w:r>
        <w:t/>
      </w:r>
    </w:p>
    <w:p>
      <w:pPr>
        <w:pStyle w:val="Para 02"/>
      </w:pPr>
      <w:r>
        <w:t>✓</w:t>
        <w:t xml:space="preserve"> </w:t>
        <w:t>✓</w:t>
        <w:t xml:space="preserve"> </w:t>
        <w:t>✓</w:t>
        <w:t xml:space="preserve"> </w:t>
        <w:t>2b475da7ccbd Pull</w:t>
        <w:t xml:space="preserve"> </w:t>
        <w:t>complete</w:t>
      </w:r>
    </w:p>
    <w:p>
      <w:pPr>
        <w:pStyle w:val="Para 17"/>
      </w:pPr>
      <w:r>
        <w:t/>
      </w:r>
    </w:p>
    <w:p>
      <w:pPr>
        <w:pStyle w:val="Normal"/>
      </w:pPr>
      <w:r>
        <w:t>✓</w:t>
        <w:t xml:space="preserve"> </w:t>
        <w:t>✓</w:t>
        <w:t xml:space="preserve"> </w:t>
        <w:t>✓</w:t>
        <w:t xml:space="preserve"> </w:t>
        <w:t>prometheus Pulled</w:t>
      </w:r>
    </w:p>
    <w:p>
      <w:pPr>
        <w:pStyle w:val="Para 17"/>
      </w:pPr>
      <w:r>
        <w:t/>
      </w:r>
    </w:p>
    <w:p>
      <w:pPr>
        <w:pStyle w:val="Para 02"/>
      </w:pPr>
      <w:r>
        <w:t>✓</w:t>
        <w:t xml:space="preserve"> </w:t>
        <w:t>✓</w:t>
        <w:t xml:space="preserve"> </w:t>
        <w:t>✓</w:t>
        <w:t xml:space="preserve"> </w:t>
        <w:t>a8b1c5f80c2d Already exists</w:t>
      </w:r>
    </w:p>
    <w:p>
      <w:pPr>
        <w:pStyle w:val="Para 17"/>
      </w:pPr>
      <w:r>
        <w:t/>
      </w:r>
    </w:p>
    <w:p>
      <w:pPr>
        <w:pStyle w:val="Para 02"/>
      </w:pPr>
      <w:r>
        <w:t>✓</w:t>
        <w:t xml:space="preserve"> </w:t>
        <w:t>✓</w:t>
        <w:t xml:space="preserve"> </w:t>
        <w:t>✓</w:t>
        <w:t xml:space="preserve"> </w:t>
        <w:t>f021062473aa Pull</w:t>
        <w:t xml:space="preserve"> </w:t>
        <w:t>complete</w:t>
      </w:r>
    </w:p>
    <w:p>
      <w:pPr>
        <w:pStyle w:val="Para 17"/>
      </w:pPr>
      <w:r>
        <w:t/>
      </w:r>
    </w:p>
    <w:p>
      <w:pPr>
        <w:pStyle w:val="Para 02"/>
      </w:pPr>
      <w:r>
        <w:t>✓</w:t>
        <w:t xml:space="preserve"> </w:t>
        <w:t>✓</w:t>
        <w:t xml:space="preserve"> </w:t>
        <w:t>✓</w:t>
        <w:t xml:space="preserve"> </w:t>
        <w:t>9c6122d12d1d Pull</w:t>
        <w:t xml:space="preserve"> </w:t>
        <w:t>complete</w:t>
      </w:r>
    </w:p>
    <w:p>
      <w:pPr>
        <w:pStyle w:val="Para 17"/>
      </w:pPr>
      <w:r>
        <w:t/>
      </w:r>
    </w:p>
    <w:p>
      <w:pPr>
        <w:pStyle w:val="Para 02"/>
      </w:pPr>
      <w:r>
        <w:t>✓</w:t>
        <w:t xml:space="preserve"> </w:t>
        <w:t>✓</w:t>
        <w:t xml:space="preserve"> </w:t>
        <w:t>✓</w:t>
        <w:t xml:space="preserve"> </w:t>
        <w:t>274b56f68abe Pull</w:t>
        <w:t xml:space="preserve"> </w:t>
        <w:t>complete</w:t>
      </w:r>
    </w:p>
    <w:p>
      <w:pPr>
        <w:pStyle w:val="Para 17"/>
      </w:pPr>
      <w:r>
        <w:t/>
      </w:r>
    </w:p>
    <w:p>
      <w:pPr>
        <w:pStyle w:val="Normal"/>
      </w:pPr>
      <w:r>
        <w:t>[</w:t>
        <w:t>+</w:t>
        <w:t>]</w:t>
        <w:t xml:space="preserve"> </w:t>
        <w:t>Running</w:t>
        <w:t xml:space="preserve"> </w:t>
        <w:t>3</w:t>
        <w:t>/3</w:t>
      </w:r>
    </w:p>
    <w:p>
      <w:pPr>
        <w:pStyle w:val="Normal"/>
      </w:pPr>
      <w:r>
        <w:t>✓</w:t>
        <w:t xml:space="preserve"> </w:t>
        <w:t>✓</w:t>
        <w:t xml:space="preserve"> </w:t>
        <w:t>✓</w:t>
        <w:t xml:space="preserve"> </w:t>
        <w:t>Network compose_default</w:t>
        <w:t xml:space="preserve"> </w:t>
        <w:t>Created</w:t>
      </w:r>
    </w:p>
    <w:p>
      <w:pPr>
        <w:pStyle w:val="Para 09"/>
      </w:pPr>
      <w:r>
        <w:t>(continues on next page)</w:t>
      </w:r>
    </w:p>
    <w:p>
      <w:bookmarkStart w:id="912" w:name="page_6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19" name="index-604_1.png" descr="index-604_1.png"/>
            <wp:cNvGraphicFramePr>
              <a:graphicFrameLocks noChangeAspect="1"/>
            </wp:cNvGraphicFramePr>
            <a:graphic>
              <a:graphicData uri="http://schemas.openxmlformats.org/drawingml/2006/picture">
                <pic:pic>
                  <pic:nvPicPr>
                    <pic:cNvPr id="0" name="index-604_1.png" descr="index-604_1.png"/>
                    <pic:cNvPicPr/>
                  </pic:nvPicPr>
                  <pic:blipFill>
                    <a:blip r:embed="rId623"/>
                    <a:stretch>
                      <a:fillRect/>
                    </a:stretch>
                  </pic:blipFill>
                  <pic:spPr>
                    <a:xfrm>
                      <a:off x="0" y="0"/>
                      <a:ext cx="914400" cy="266700"/>
                    </a:xfrm>
                    <a:prstGeom prst="rect">
                      <a:avLst/>
                    </a:prstGeom>
                  </pic:spPr>
                </pic:pic>
              </a:graphicData>
            </a:graphic>
          </wp:anchor>
        </w:drawing>
      </w:r>
      <w:bookmarkEnd w:id="912"/>
    </w:p>
    <w:p>
      <w:pPr>
        <w:pStyle w:val="Para 09"/>
      </w:pPr>
      <w:r>
        <w:t>(continued from previous page)</w:t>
      </w:r>
    </w:p>
    <w:p>
      <w:pPr>
        <w:pStyle w:val="Para 17"/>
      </w:pPr>
      <w:r>
        <w:t/>
      </w:r>
    </w:p>
    <w:p>
      <w:pPr>
        <w:pStyle w:val="Normal"/>
      </w:pPr>
      <w:r>
        <w:t>✓</w:t>
        <w:t xml:space="preserve"> </w:t>
        <w:t>✓</w:t>
        <w:t xml:space="preserve"> </w:t>
        <w:t>✓</w:t>
        <w:t xml:space="preserve"> </w:t>
        <w:t>Container prometheus-container</w:t>
        <w:t xml:space="preserve"> </w:t>
        <w:t>Started</w:t>
      </w:r>
    </w:p>
    <w:p>
      <w:pPr>
        <w:pStyle w:val="Para 17"/>
      </w:pPr>
      <w:r>
        <w:t/>
      </w:r>
    </w:p>
    <w:p>
      <w:pPr>
        <w:pStyle w:val="Normal"/>
      </w:pPr>
      <w:r>
        <w:t>✓</w:t>
        <w:t xml:space="preserve"> </w:t>
        <w:t>✓</w:t>
        <w:t xml:space="preserve"> </w:t>
        <w:t>✓</w:t>
        <w:t xml:space="preserve"> </w:t>
        <w:t>Container grafana-container</w:t>
        <w:t xml:space="preserve"> </w:t>
        <w:t>Started</w:t>
      </w:r>
    </w:p>
    <w:p>
      <w:pPr>
        <w:pStyle w:val="Normal"/>
      </w:pPr>
      <w:r>
        <w:t>As before, the-d indicates that all containers in this stack should be started in the back-ground. You can confirm they are live and running with:</w:t>
      </w:r>
    </w:p>
    <w:p>
      <w:pPr>
        <w:pStyle w:val="Normal"/>
      </w:pPr>
      <w:r>
        <w:t>$ sudo docker compose ps</w:t>
      </w:r>
    </w:p>
    <w:p>
      <w:pPr>
        <w:pStyle w:val="Normal"/>
      </w:pPr>
      <w:r>
        <w:t>NAME</w:t>
        <w:t xml:space="preserve"> </w:t>
        <w:t>IMAGE</w:t>
        <w:t xml:space="preserve"> </w:t>
        <w:t>COMMAND</w:t>
        <w:t xml:space="preserve"> </w:t>
        <w:t>SERVICE</w:t>
        <w:t xml:space="preserve"> </w:t>
        <w:t>CREATED</w:t>
        <w:t xml:space="preserve"> </w:t>
        <w:t>STATUS</w:t>
        <w:t xml:space="preserve"> </w:t>
        <w:t>PORTS</w:t>
        <w:t xml:space="preserve"> </w:t>
        <w:t>grafana-container</w:t>
        <w:t xml:space="preserve"> </w:t>
        <w:t>ubuntu/grafana:10.3.3-22.04_stable</w:t>
        <w:t xml:space="preserve"> </w:t>
        <w:t>"/bin/pebble enter -…"</w:t>
        <w:t xml:space="preserve"> </w:t>
        <w:t>grafana</w:t>
        <w:t xml:space="preserve"> </w:t>
        <w:t>3</w:t>
        <w:t xml:space="preserve"> </w:t>
        <w:t>seconds ago</w:t>
        <w:t xml:space="preserve"> </w:t>
        <w:t>Up</w:t>
        <w:t xml:space="preserve"> </w:t>
        <w:t>3</w:t>
        <w:t xml:space="preserve"> </w:t>
        <w:t>seconds</w:t>
        <w:t xml:space="preserve"> </w:t>
        <w:t>0</w:t>
        <w:t>.0.0.0:3000-&gt;3000/tcp, :::3000-&gt;3000/tcp</w:t>
        <w:t xml:space="preserve"> </w:t>
        <w:t>prometheus-container</w:t>
        <w:t xml:space="preserve"> </w:t>
        <w:t>ubuntu/prometheus:2.49.1-22.04_stable</w:t>
        <w:t xml:space="preserve"> </w:t>
        <w:t>"/bin/pebble enter -…"</w:t>
        <w:t xml:space="preserve"> </w:t>
        <w:t>prometheus</w:t>
        <w:t xml:space="preserve"> </w:t>
        <w:t>3</w:t>
        <w:t xml:space="preserve"> </w:t>
        <w:t>seconds ago</w:t>
        <w:t xml:space="preserve"> </w:t>
        <w:t>Up</w:t>
        <w:t xml:space="preserve"> </w:t>
        <w:t>3</w:t>
        <w:t xml:space="preserve"> </w:t>
        <w:t>seconds</w:t>
        <w:t xml:space="preserve"> </w:t>
        <w:t>0</w:t>
        <w:t>.0.0.0:9090-&gt;9090/tcp, :::9090-&gt;9090/tcp</w:t>
      </w:r>
    </w:p>
    <w:p>
      <w:pPr>
        <w:pStyle w:val="Para 17"/>
      </w:pPr>
      <w:r>
        <w:t/>
      </w:r>
    </w:p>
    <w:p>
      <w:pPr>
        <w:pStyle w:val="Normal"/>
      </w:pPr>
      <w:r>
        <w:t xml:space="preserve">Opening </w:t>
      </w:r>
      <w:hyperlink r:id="rId1547">
        <w:r>
          <w:rPr>
            <w:rStyle w:val="Text1"/>
          </w:rPr>
          <w:t>http://localhost:3000</w:t>
        </w:r>
      </w:hyperlink>
      <w:r>
        <w:t xml:space="preserve"> will give you the same Grafana login page as before: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52800"/>
            <wp:effectExtent l="0" r="0" t="0" b="0"/>
            <wp:wrapTopAndBottom/>
            <wp:docPr id="620" name="index-604_2.png" descr="index-604_2.png"/>
            <wp:cNvGraphicFramePr>
              <a:graphicFrameLocks noChangeAspect="1"/>
            </wp:cNvGraphicFramePr>
            <a:graphic>
              <a:graphicData uri="http://schemas.openxmlformats.org/drawingml/2006/picture">
                <pic:pic>
                  <pic:nvPicPr>
                    <pic:cNvPr id="0" name="index-604_2.png" descr="index-604_2.png"/>
                    <pic:cNvPicPr/>
                  </pic:nvPicPr>
                  <pic:blipFill>
                    <a:blip r:embed="rId624"/>
                    <a:stretch>
                      <a:fillRect/>
                    </a:stretch>
                  </pic:blipFill>
                  <pic:spPr>
                    <a:xfrm>
                      <a:off x="0" y="0"/>
                      <a:ext cx="3670300" cy="3352800"/>
                    </a:xfrm>
                    <a:prstGeom prst="rect">
                      <a:avLst/>
                    </a:prstGeom>
                  </pic:spPr>
                </pic:pic>
              </a:graphicData>
            </a:graphic>
          </wp:anchor>
        </w:drawing>
      </w:r>
    </w:p>
    <w:p>
      <w:bookmarkStart w:id="913" w:name="page_6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1" name="index-605_1.png" descr="index-605_1.png"/>
            <wp:cNvGraphicFramePr>
              <a:graphicFrameLocks noChangeAspect="1"/>
            </wp:cNvGraphicFramePr>
            <a:graphic>
              <a:graphicData uri="http://schemas.openxmlformats.org/drawingml/2006/picture">
                <pic:pic>
                  <pic:nvPicPr>
                    <pic:cNvPr id="0" name="index-605_1.png" descr="index-605_1.png"/>
                    <pic:cNvPicPr/>
                  </pic:nvPicPr>
                  <pic:blipFill>
                    <a:blip r:embed="rId625"/>
                    <a:stretch>
                      <a:fillRect/>
                    </a:stretch>
                  </pic:blipFill>
                  <pic:spPr>
                    <a:xfrm>
                      <a:off x="0" y="0"/>
                      <a:ext cx="914400" cy="266700"/>
                    </a:xfrm>
                    <a:prstGeom prst="rect">
                      <a:avLst/>
                    </a:prstGeom>
                  </pic:spPr>
                </pic:pic>
              </a:graphicData>
            </a:graphic>
          </wp:anchor>
        </w:drawing>
      </w:r>
      <w:bookmarkEnd w:id="913"/>
    </w:p>
    <w:p>
      <w:pPr>
        <w:pStyle w:val="Normal"/>
      </w:pPr>
      <w:r>
        <w:t>Use the default username admin and password admin to login: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52800"/>
            <wp:effectExtent l="0" r="0" t="0" b="0"/>
            <wp:wrapTopAndBottom/>
            <wp:docPr id="622" name="index-605_2.png" descr="index-605_2.png"/>
            <wp:cNvGraphicFramePr>
              <a:graphicFrameLocks noChangeAspect="1"/>
            </wp:cNvGraphicFramePr>
            <a:graphic>
              <a:graphicData uri="http://schemas.openxmlformats.org/drawingml/2006/picture">
                <pic:pic>
                  <pic:nvPicPr>
                    <pic:cNvPr id="0" name="index-605_2.png" descr="index-605_2.png"/>
                    <pic:cNvPicPr/>
                  </pic:nvPicPr>
                  <pic:blipFill>
                    <a:blip r:embed="rId626"/>
                    <a:stretch>
                      <a:fillRect/>
                    </a:stretch>
                  </pic:blipFill>
                  <pic:spPr>
                    <a:xfrm>
                      <a:off x="0" y="0"/>
                      <a:ext cx="3670300" cy="3352800"/>
                    </a:xfrm>
                    <a:prstGeom prst="rect">
                      <a:avLst/>
                    </a:prstGeom>
                  </pic:spPr>
                </pic:pic>
              </a:graphicData>
            </a:graphic>
          </wp:anchor>
        </w:drawing>
      </w:r>
    </w:p>
    <w:p>
      <w:pPr>
        <w:pStyle w:val="Para 17"/>
      </w:pPr>
      <w:r>
        <w:t/>
      </w:r>
    </w:p>
    <w:p>
      <w:pPr>
        <w:pStyle w:val="Normal"/>
      </w:pPr>
      <w:r>
        <w:t>By clicking on “Data Sources” you can then add Prometheus and provide the server URL</w:t>
      </w:r>
    </w:p>
    <w:p>
      <w:pPr>
        <w:pStyle w:val="Para 18"/>
      </w:pPr>
      <w:hyperlink r:id="rId1548">
        <w:r>
          <w:t>http://prometheus:9090</w:t>
        </w:r>
      </w:hyperlink>
      <w:r>
        <w:rPr>
          <w:rStyle w:val="Text7"/>
        </w:rPr>
        <w:t>:</w:t>
      </w:r>
    </w:p>
    <w:p>
      <w:bookmarkStart w:id="914" w:name="calibre_pb_154"/>
      <w:pPr>
        <w:pStyle w:val="0 Block"/>
      </w:pPr>
      <w:bookmarkEnd w:id="914"/>
    </w:p>
    <w:p>
      <w:bookmarkStart w:id="915" w:name="page_606"/>
      <w:bookmarkStart w:id="916" w:name="Top_of_index_split_15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3" name="index-606_1.png" descr="index-606_1.png"/>
            <wp:cNvGraphicFramePr>
              <a:graphicFrameLocks noChangeAspect="1"/>
            </wp:cNvGraphicFramePr>
            <a:graphic>
              <a:graphicData uri="http://schemas.openxmlformats.org/drawingml/2006/picture">
                <pic:pic>
                  <pic:nvPicPr>
                    <pic:cNvPr id="0" name="index-606_1.png" descr="index-606_1.png"/>
                    <pic:cNvPicPr/>
                  </pic:nvPicPr>
                  <pic:blipFill>
                    <a:blip r:embed="rId627"/>
                    <a:stretch>
                      <a:fillRect/>
                    </a:stretch>
                  </pic:blipFill>
                  <pic:spPr>
                    <a:xfrm>
                      <a:off x="0" y="0"/>
                      <a:ext cx="914400" cy="266700"/>
                    </a:xfrm>
                    <a:prstGeom prst="rect">
                      <a:avLst/>
                    </a:prstGeom>
                  </pic:spPr>
                </pic:pic>
              </a:graphicData>
            </a:graphic>
          </wp:anchor>
        </w:drawing>
      </w:r>
      <w:bookmarkEnd w:id="915"/>
      <w:bookmarkEnd w:id="916"/>
    </w:p>
    <w:p>
      <w:pPr>
        <w:pStyle w:val="Normal"/>
      </w:pPr>
      <w:r>
        <w:t>This URL works because Docker Compose ensures both containers are on the same Docker network and that they can be discovered via their service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52800"/>
            <wp:effectExtent l="0" r="0" t="0" b="0"/>
            <wp:wrapTopAndBottom/>
            <wp:docPr id="624" name="index-606_2.png" descr="index-606_2.png"/>
            <wp:cNvGraphicFramePr>
              <a:graphicFrameLocks noChangeAspect="1"/>
            </wp:cNvGraphicFramePr>
            <a:graphic>
              <a:graphicData uri="http://schemas.openxmlformats.org/drawingml/2006/picture">
                <pic:pic>
                  <pic:nvPicPr>
                    <pic:cNvPr id="0" name="index-606_2.png" descr="index-606_2.png"/>
                    <pic:cNvPicPr/>
                  </pic:nvPicPr>
                  <pic:blipFill>
                    <a:blip r:embed="rId628"/>
                    <a:stretch>
                      <a:fillRect/>
                    </a:stretch>
                  </pic:blipFill>
                  <pic:spPr>
                    <a:xfrm>
                      <a:off x="0" y="0"/>
                      <a:ext cx="3670300" cy="3352800"/>
                    </a:xfrm>
                    <a:prstGeom prst="rect">
                      <a:avLst/>
                    </a:prstGeom>
                  </pic:spPr>
                </pic:pic>
              </a:graphicData>
            </a:graphic>
          </wp:anchor>
        </w:drawing>
      </w:r>
    </w:p>
    <w:p>
      <w:pPr>
        <w:pStyle w:val="Normal"/>
      </w:pPr>
      <w:r>
        <w:t>Finally, click on “Explore” from the Grafana menu, and select the prometheus datasource. You can now query and visualize the Prometheus metrics. For example:</w:t>
      </w:r>
    </w:p>
    <w:p>
      <w:bookmarkStart w:id="917" w:name="calibre_pb_155"/>
      <w:pPr>
        <w:pStyle w:val="0 Block"/>
      </w:pPr>
      <w:bookmarkEnd w:id="917"/>
    </w:p>
    <w:p>
      <w:bookmarkStart w:id="918" w:name="Top_of_index_split_156_html"/>
      <w:bookmarkStart w:id="919" w:name="page_60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5" name="index-607_1.png" descr="index-607_1.png"/>
            <wp:cNvGraphicFramePr>
              <a:graphicFrameLocks noChangeAspect="1"/>
            </wp:cNvGraphicFramePr>
            <a:graphic>
              <a:graphicData uri="http://schemas.openxmlformats.org/drawingml/2006/picture">
                <pic:pic>
                  <pic:nvPicPr>
                    <pic:cNvPr id="0" name="index-607_1.png" descr="index-607_1.png"/>
                    <pic:cNvPicPr/>
                  </pic:nvPicPr>
                  <pic:blipFill>
                    <a:blip r:embed="rId629"/>
                    <a:stretch>
                      <a:fillRect/>
                    </a:stretch>
                  </pic:blipFill>
                  <pic:spPr>
                    <a:xfrm>
                      <a:off x="0" y="0"/>
                      <a:ext cx="914400" cy="266700"/>
                    </a:xfrm>
                    <a:prstGeom prst="rect">
                      <a:avLst/>
                    </a:prstGeom>
                  </pic:spPr>
                </pic:pic>
              </a:graphicData>
            </a:graphic>
          </wp:anchor>
        </w:drawing>
      </w:r>
      <w:bookmarkEnd w:id="918"/>
      <w:bookmarkEnd w:id="919"/>
    </w:p>
    <w:p>
      <w:pPr>
        <w:pStyle w:val="Para 01"/>
      </w:pPr>
      <w:r>
        <w:t>Next Steps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578100"/>
            <wp:effectExtent l="0" r="0" t="0" b="0"/>
            <wp:wrapTopAndBottom/>
            <wp:docPr id="626" name="index-607_2.png" descr="index-607_2.png"/>
            <wp:cNvGraphicFramePr>
              <a:graphicFrameLocks noChangeAspect="1"/>
            </wp:cNvGraphicFramePr>
            <a:graphic>
              <a:graphicData uri="http://schemas.openxmlformats.org/drawingml/2006/picture">
                <pic:pic>
                  <pic:nvPicPr>
                    <pic:cNvPr id="0" name="index-607_2.png" descr="index-607_2.png"/>
                    <pic:cNvPicPr/>
                  </pic:nvPicPr>
                  <pic:blipFill>
                    <a:blip r:embed="rId630"/>
                    <a:stretch>
                      <a:fillRect/>
                    </a:stretch>
                  </pic:blipFill>
                  <pic:spPr>
                    <a:xfrm>
                      <a:off x="0" y="0"/>
                      <a:ext cx="3670300" cy="2578100"/>
                    </a:xfrm>
                    <a:prstGeom prst="rect">
                      <a:avLst/>
                    </a:prstGeom>
                  </pic:spPr>
                </pic:pic>
              </a:graphicData>
            </a:graphic>
          </wp:anchor>
        </w:drawing>
      </w:r>
    </w:p>
    <w:p>
      <w:pPr>
        <w:pStyle w:val="Para 17"/>
      </w:pPr>
      <w:r>
        <w:t/>
      </w:r>
    </w:p>
    <w:p>
      <w:pPr>
        <w:pStyle w:val="Normal"/>
      </w:pPr>
      <w:r>
        <w:t>As you can see, docker-compose makes it convenient to set up multi-container applications without needing to perform runtime changes to the containers. As you can imagine, this can permit building a more sophisticated management system to handle fail-over, load-balancing, scaling, upgrading old nodes, and monitoring status. But rather than needing to implement all of this directly on top of docker-container, you may want to investigate Kubernetes-style</w:t>
      </w:r>
    </w:p>
    <w:p>
      <w:pPr>
        <w:pStyle w:val="Normal"/>
      </w:pPr>
      <w:r>
        <w:t xml:space="preserve">cluster management software such as </w:t>
      </w:r>
      <w:hyperlink r:id="rId1549">
        <w:r>
          <w:rPr>
            <w:rStyle w:val="Text9"/>
          </w:rPr>
          <w:t>630</w:t>
        </w:r>
      </w:hyperlink>
      <w:hyperlink r:id="rId1549">
        <w:r>
          <w:rPr>
            <w:rStyle w:val="Text1"/>
          </w:rPr>
          <w:t xml:space="preserve"> microk8s</w:t>
        </w:r>
      </w:hyperlink>
      <w:r>
        <w:t>.</w:t>
      </w:r>
    </w:p>
    <w:p>
      <w:pPr>
        <w:pStyle w:val="Para 17"/>
      </w:pPr>
      <w:r>
        <w:t/>
      </w:r>
    </w:p>
    <w:p>
      <w:pPr>
        <w:pStyle w:val="Para 01"/>
      </w:pPr>
      <w:r>
        <w:t>See also</w:t>
      </w:r>
    </w:p>
    <w:p>
      <w:pPr>
        <w:pStyle w:val="Para 17"/>
      </w:pPr>
      <w:r>
        <w:t/>
      </w:r>
    </w:p>
    <w:p>
      <w:pPr>
        <w:pStyle w:val="Para 14"/>
      </w:pPr>
      <w:r>
        <w:rPr>
          <w:rStyle w:val="Text4"/>
        </w:rPr>
        <w:t xml:space="preserve">• Explanation: </w:t>
      </w:r>
      <w:hyperlink w:anchor="page_892">
        <w:r>
          <w:t>Virtualisation and containers</w:t>
        </w:r>
      </w:hyperlink>
      <w:r>
        <w:rPr>
          <w:rStyle w:val="Text4"/>
        </w:rPr>
        <w:t xml:space="preserve"> (page 891)</w:t>
      </w:r>
    </w:p>
    <w:p>
      <w:pPr>
        <w:pStyle w:val="Para 24"/>
      </w:pPr>
      <w:r>
        <w:t>3.2.11. High Availability</w:t>
      </w:r>
    </w:p>
    <w:p>
      <w:pPr>
        <w:pStyle w:val="Normal"/>
      </w:pPr>
      <w:hyperlink w:anchor="page_608">
        <w:r>
          <w:rPr>
            <w:rStyle w:val="Text2"/>
          </w:rPr>
          <w:t>High Availability</w:t>
        </w:r>
      </w:hyperlink>
      <w:r>
        <w:t xml:space="preserve"> (page 607) is a method for clustering resources to ensure minimal downtime if a particular component fails. This section shows how to set up various components of a High Availability setup.</w:t>
      </w:r>
    </w:p>
    <w:p>
      <w:pPr>
        <w:pStyle w:val="Para 05"/>
      </w:pPr>
      <w:r>
        <w:rPr>
          <w:rStyle w:val="Text5"/>
        </w:rPr>
        <w:t>630</w:t>
      </w:r>
      <w:r>
        <w:rPr>
          <w:rStyle w:val="Text8"/>
        </w:rPr>
        <w:t xml:space="preserve"> </w:t>
      </w:r>
      <w:r>
        <w:t>https://canonical.com/microk8s/docs</w:t>
      </w:r>
    </w:p>
    <w:p>
      <w:bookmarkStart w:id="920" w:name="calibre_pb_156"/>
      <w:pPr>
        <w:pStyle w:val="0 Block"/>
      </w:pPr>
      <w:bookmarkEnd w:id="920"/>
    </w:p>
    <w:p>
      <w:bookmarkStart w:id="921" w:name="Top_of_index_split_157_html"/>
      <w:bookmarkStart w:id="922" w:name="page_60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7" name="index-608_1.png" descr="index-608_1.png"/>
            <wp:cNvGraphicFramePr>
              <a:graphicFrameLocks noChangeAspect="1"/>
            </wp:cNvGraphicFramePr>
            <a:graphic>
              <a:graphicData uri="http://schemas.openxmlformats.org/drawingml/2006/picture">
                <pic:pic>
                  <pic:nvPicPr>
                    <pic:cNvPr id="0" name="index-608_1.png" descr="index-608_1.png"/>
                    <pic:cNvPicPr/>
                  </pic:nvPicPr>
                  <pic:blipFill>
                    <a:blip r:embed="rId631"/>
                    <a:stretch>
                      <a:fillRect/>
                    </a:stretch>
                  </pic:blipFill>
                  <pic:spPr>
                    <a:xfrm>
                      <a:off x="0" y="0"/>
                      <a:ext cx="914400" cy="266700"/>
                    </a:xfrm>
                    <a:prstGeom prst="rect">
                      <a:avLst/>
                    </a:prstGeom>
                  </pic:spPr>
                </pic:pic>
              </a:graphicData>
            </a:graphic>
          </wp:anchor>
        </w:drawing>
      </w:r>
      <w:bookmarkEnd w:id="921"/>
      <w:bookmarkEnd w:id="922"/>
    </w:p>
    <w:p>
      <w:pPr>
        <w:pStyle w:val="Para 01"/>
      </w:pPr>
      <w:r>
        <w:t>High availability</w:t>
      </w:r>
    </w:p>
    <w:p>
      <w:pPr>
        <w:pStyle w:val="Para 17"/>
      </w:pPr>
      <w:r>
        <w:t/>
      </w:r>
    </w:p>
    <w:p>
      <w:pPr>
        <w:pStyle w:val="Normal"/>
      </w:pPr>
      <w:r>
        <w:t>Distributed Replicated Block Device (DRBD) mirrors block devices between multiple hosts. This guide shows how to install and configure a DRBD.</w:t>
      </w:r>
    </w:p>
    <w:p>
      <w:pPr>
        <w:pStyle w:val="Para 14"/>
      </w:pPr>
      <w:r>
        <w:rPr>
          <w:rStyle w:val="Text4"/>
        </w:rPr>
        <w:t xml:space="preserve">• </w:t>
      </w:r>
      <w:hyperlink w:anchor="page_608">
        <w:r>
          <w:t>Install a Distributed Replicated Block Device</w:t>
        </w:r>
      </w:hyperlink>
      <w:r>
        <w:rPr>
          <w:rStyle w:val="Text4"/>
        </w:rPr>
        <w:t xml:space="preserve"> (page 607)</w:t>
      </w:r>
    </w:p>
    <w:p>
      <w:pPr>
        <w:pStyle w:val="Para 17"/>
      </w:pPr>
      <w:r>
        <w:t/>
      </w:r>
    </w:p>
    <w:p>
      <w:pPr>
        <w:pStyle w:val="Para 01"/>
      </w:pPr>
      <w:r>
        <w:t>Distributed Replicated Block Device (DRBD)</w:t>
      </w:r>
    </w:p>
    <w:p>
      <w:pPr>
        <w:pStyle w:val="Para 17"/>
      </w:pPr>
      <w:r>
        <w:t/>
      </w:r>
    </w:p>
    <w:p>
      <w:pPr>
        <w:pStyle w:val="Normal"/>
      </w:pPr>
      <w:r>
        <w:t>Distributed Replicated Block Device (DRBD) mirrors block devices between multiple hosts. The replication is transparent to other applications on the host systems. Any block device hard disks, partitions, RAID devices, logical volumes, etc can be mirrored.</w:t>
      </w:r>
    </w:p>
    <w:p>
      <w:pPr>
        <w:pStyle w:val="Para 17"/>
      </w:pPr>
      <w:r>
        <w:t/>
      </w:r>
    </w:p>
    <w:p>
      <w:pPr>
        <w:pStyle w:val="Para 01"/>
      </w:pPr>
      <w:r>
        <w:t>Install DRBD</w:t>
      </w:r>
    </w:p>
    <w:p>
      <w:pPr>
        <w:pStyle w:val="Para 17"/>
      </w:pPr>
      <w:r>
        <w:t/>
      </w:r>
    </w:p>
    <w:p>
      <w:pPr>
        <w:pStyle w:val="Normal"/>
      </w:pPr>
      <w:r>
        <w:t>To get started using DRBD, first install the necessary packages. In a terminal window, run the following command:</w:t>
      </w:r>
    </w:p>
    <w:p>
      <w:pPr>
        <w:pStyle w:val="Normal"/>
      </w:pPr>
      <w:r>
        <w:t>sudo apt install drbd-utils</w:t>
      </w:r>
    </w:p>
    <w:p>
      <w:pPr>
        <w:pStyle w:val="Para 17"/>
      </w:pPr>
      <w:r>
        <w:t/>
      </w:r>
    </w:p>
    <w:p>
      <w:pPr>
        <w:pStyle w:val="Para 08"/>
      </w:pPr>
      <w:r>
        <w:t>Note:</w:t>
      </w:r>
    </w:p>
    <w:p>
      <w:pPr>
        <w:pStyle w:val="Para 03"/>
      </w:pPr>
      <w:r>
        <w:t xml:space="preserve">If you are using the </w:t>
      </w:r>
      <w:r>
        <w:rPr>
          <w:rStyle w:val="Text0"/>
        </w:rPr>
        <w:t>virtual kernel</w:t>
      </w:r>
      <w:r>
        <w:t xml:space="preserve"> as part of a virtual machine you will need to manually</w:t>
      </w:r>
    </w:p>
    <w:p>
      <w:pPr>
        <w:pStyle w:val="Para 03"/>
      </w:pPr>
      <w:r>
        <w:t>compile the drbd module. It may be easier to install the linux-modules-extra-$(uname -r)</w:t>
      </w:r>
    </w:p>
    <w:p>
      <w:pPr>
        <w:pStyle w:val="Para 03"/>
      </w:pPr>
      <w:r>
        <w:t>package inside the virtual machine.</w:t>
      </w:r>
    </w:p>
    <w:p>
      <w:pPr>
        <w:pStyle w:val="Para 17"/>
      </w:pPr>
      <w:r>
        <w:t/>
      </w:r>
    </w:p>
    <w:p>
      <w:pPr>
        <w:pStyle w:val="Para 01"/>
      </w:pPr>
      <w:r>
        <w:t>Configure DRBD</w:t>
      </w:r>
    </w:p>
    <w:p>
      <w:pPr>
        <w:pStyle w:val="Para 17"/>
      </w:pPr>
      <w:r>
        <w:t/>
      </w:r>
    </w:p>
    <w:p>
      <w:pPr>
        <w:pStyle w:val="Normal"/>
      </w:pPr>
      <w:r>
        <w:t>This section covers setting up a DRBD to replicate a separate /srv partition, with an ext3</w:t>
      </w:r>
    </w:p>
    <w:p>
      <w:pPr>
        <w:pStyle w:val="Normal"/>
      </w:pPr>
      <w:hyperlink w:anchor="page_682">
        <w:r>
          <w:rPr>
            <w:rStyle w:val="Text2"/>
          </w:rPr>
          <w:t>filesystem</w:t>
        </w:r>
      </w:hyperlink>
      <w:r>
        <w:t xml:space="preserve"> between two hosts. The partition size is not particularly relevant, but both parti-tions need to be the same size.</w:t>
      </w:r>
    </w:p>
    <w:p>
      <w:pPr>
        <w:pStyle w:val="Normal"/>
      </w:pPr>
      <w:r>
        <w:t xml:space="preserve">The two hosts in this example will be called </w:t>
      </w:r>
      <w:r>
        <w:rPr>
          <w:rStyle w:val="Text0"/>
        </w:rPr>
        <w:t>drbd01</w:t>
      </w:r>
      <w:r>
        <w:t xml:space="preserve"> and </w:t>
      </w:r>
      <w:r>
        <w:rPr>
          <w:rStyle w:val="Text0"/>
        </w:rPr>
        <w:t>drbd02</w:t>
      </w:r>
      <w:r>
        <w:t>. They will need to have</w:t>
      </w:r>
    </w:p>
    <w:p>
      <w:pPr>
        <w:pStyle w:val="Normal"/>
      </w:pPr>
      <w:r>
        <w:t xml:space="preserve">name resolution configured either through </w:t>
      </w:r>
      <w:hyperlink w:anchor="page_679">
        <w:r>
          <w:rPr>
            <w:rStyle w:val="Text2"/>
          </w:rPr>
          <w:t>DNS</w:t>
        </w:r>
      </w:hyperlink>
      <w:r>
        <w:t xml:space="preserve"> or the /etc/hosts file. See our </w:t>
      </w:r>
      <w:hyperlink w:anchor="page_240">
        <w:r>
          <w:rPr>
            <w:rStyle w:val="Text2"/>
          </w:rPr>
          <w:t>guide to DNS</w:t>
        </w:r>
      </w:hyperlink>
      <w:r>
        <w:t xml:space="preserve"> (page 239) for details.</w:t>
      </w:r>
    </w:p>
    <w:p>
      <w:pPr>
        <w:pStyle w:val="Normal"/>
      </w:pPr>
      <w:r>
        <w:t>On the first host, edit /etc/drbd.conf as follows:</w:t>
      </w:r>
    </w:p>
    <w:p>
      <w:pPr>
        <w:pStyle w:val="Normal"/>
      </w:pPr>
      <w:r>
        <w:rPr>
          <w:rStyle w:val="Text0"/>
        </w:rPr>
        <w:t>global</w:t>
      </w:r>
      <w:r>
        <w:t xml:space="preserve"> </w:t>
        <w:t>{ usage</w:t>
        <w:t>-</w:t>
        <w:t>count no; }</w:t>
      </w:r>
    </w:p>
    <w:p>
      <w:pPr>
        <w:pStyle w:val="Normal"/>
      </w:pPr>
      <w:r>
        <w:t>common { syncer { rate</w:t>
        <w:t xml:space="preserve"> </w:t>
        <w:t>100</w:t>
        <w:t>M; } }</w:t>
      </w:r>
    </w:p>
    <w:p>
      <w:pPr>
        <w:pStyle w:val="Normal"/>
      </w:pPr>
      <w:r>
        <w:t>resource r0 {</w:t>
      </w:r>
    </w:p>
    <w:p>
      <w:pPr>
        <w:pStyle w:val="Para 06"/>
      </w:pPr>
      <w:r>
        <w:t>protocol C;</w:t>
      </w:r>
    </w:p>
    <w:p>
      <w:pPr>
        <w:pStyle w:val="Para 06"/>
      </w:pPr>
      <w:r>
        <w:t>startup {</w:t>
      </w:r>
    </w:p>
    <w:p>
      <w:pPr>
        <w:pStyle w:val="Para 15"/>
      </w:pPr>
      <w:r>
        <w:t>wfc</w:t>
        <w:t>-</w:t>
        <w:t>timeout</w:t>
        <w:t xml:space="preserve"> </w:t>
        <w:t>15</w:t>
        <w:t>;</w:t>
      </w:r>
    </w:p>
    <w:p>
      <w:pPr>
        <w:pStyle w:val="Para 15"/>
      </w:pPr>
      <w:r>
        <w:t>degr</w:t>
        <w:t>-</w:t>
        <w:t>wfc</w:t>
        <w:t>-</w:t>
        <w:t>timeout</w:t>
        <w:t xml:space="preserve"> </w:t>
        <w:t>60</w:t>
        <w:t>;</w:t>
      </w:r>
    </w:p>
    <w:p>
      <w:pPr>
        <w:pStyle w:val="Para 06"/>
      </w:pPr>
      <w:r>
        <w:t>}</w:t>
      </w:r>
    </w:p>
    <w:p>
      <w:pPr>
        <w:pStyle w:val="Para 06"/>
      </w:pPr>
      <w:r>
        <w:t>net {</w:t>
      </w:r>
    </w:p>
    <w:p>
      <w:pPr>
        <w:pStyle w:val="Para 15"/>
      </w:pPr>
      <w:r>
        <w:t>cram</w:t>
        <w:t>-</w:t>
        <w:t>hmac</w:t>
        <w:t>-</w:t>
        <w:t>alg sha1;</w:t>
      </w:r>
    </w:p>
    <w:p>
      <w:pPr>
        <w:pStyle w:val="Para 15"/>
      </w:pPr>
      <w:r>
        <w:t>shared</w:t>
        <w:t>-</w:t>
        <w:t>secret</w:t>
        <w:t xml:space="preserve"> </w:t>
        <w:t>"secret"</w:t>
        <w:t>;</w:t>
      </w:r>
    </w:p>
    <w:p>
      <w:pPr>
        <w:pStyle w:val="Para 06"/>
      </w:pPr>
      <w:r>
        <w:t>}</w:t>
      </w:r>
    </w:p>
    <w:p>
      <w:pPr>
        <w:pStyle w:val="Para 09"/>
      </w:pPr>
      <w:r>
        <w:t>(continues on next page)</w:t>
      </w:r>
    </w:p>
    <w:p>
      <w:bookmarkStart w:id="923" w:name="page_6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8" name="index-609_1.png" descr="index-609_1.png"/>
            <wp:cNvGraphicFramePr>
              <a:graphicFrameLocks noChangeAspect="1"/>
            </wp:cNvGraphicFramePr>
            <a:graphic>
              <a:graphicData uri="http://schemas.openxmlformats.org/drawingml/2006/picture">
                <pic:pic>
                  <pic:nvPicPr>
                    <pic:cNvPr id="0" name="index-609_1.png" descr="index-609_1.png"/>
                    <pic:cNvPicPr/>
                  </pic:nvPicPr>
                  <pic:blipFill>
                    <a:blip r:embed="rId632"/>
                    <a:stretch>
                      <a:fillRect/>
                    </a:stretch>
                  </pic:blipFill>
                  <pic:spPr>
                    <a:xfrm>
                      <a:off x="0" y="0"/>
                      <a:ext cx="914400" cy="266700"/>
                    </a:xfrm>
                    <a:prstGeom prst="rect">
                      <a:avLst/>
                    </a:prstGeom>
                  </pic:spPr>
                </pic:pic>
              </a:graphicData>
            </a:graphic>
          </wp:anchor>
        </w:drawing>
      </w:r>
      <w:bookmarkEnd w:id="923"/>
    </w:p>
    <w:p>
      <w:pPr>
        <w:pStyle w:val="Para 09"/>
      </w:pPr>
      <w:r>
        <w:t>(continued from previous page)</w:t>
      </w:r>
    </w:p>
    <w:p>
      <w:pPr>
        <w:pStyle w:val="Para 06"/>
      </w:pPr>
      <w:r>
        <w:t>on drbd01 {</w:t>
      </w:r>
    </w:p>
    <w:p>
      <w:pPr>
        <w:pStyle w:val="Para 15"/>
      </w:pPr>
      <w:r>
        <w:t>device</w:t>
        <w:t xml:space="preserve"> </w:t>
        <w:t>/</w:t>
        <w:t>dev</w:t>
        <w:t>/</w:t>
        <w:t>drbd0;</w:t>
      </w:r>
    </w:p>
    <w:p>
      <w:pPr>
        <w:pStyle w:val="Para 15"/>
      </w:pPr>
      <w:r>
        <w:t>disk</w:t>
        <w:t xml:space="preserve"> </w:t>
        <w:t>/</w:t>
        <w:t>dev</w:t>
        <w:t>/</w:t>
        <w:t>sdb1;</w:t>
      </w:r>
    </w:p>
    <w:p>
      <w:pPr>
        <w:pStyle w:val="Para 15"/>
      </w:pPr>
      <w:r>
        <w:t>address</w:t>
        <w:t xml:space="preserve"> </w:t>
        <w:t>192.168.0.1</w:t>
        <w:t>:</w:t>
        <w:t>7788</w:t>
        <w:t>;</w:t>
        <w:t xml:space="preserve"> </w:t>
        <w:t>meta</w:t>
        <w:t>-</w:t>
        <w:t>disk internal;</w:t>
      </w:r>
    </w:p>
    <w:p>
      <w:pPr>
        <w:pStyle w:val="Para 06"/>
      </w:pPr>
      <w:r>
        <w:t>}</w:t>
      </w:r>
    </w:p>
    <w:p>
      <w:pPr>
        <w:pStyle w:val="Para 06"/>
      </w:pPr>
      <w:r>
        <w:t>on drbd02 {</w:t>
      </w:r>
    </w:p>
    <w:p>
      <w:pPr>
        <w:pStyle w:val="Para 15"/>
      </w:pPr>
      <w:r>
        <w:t>device</w:t>
        <w:t xml:space="preserve"> </w:t>
        <w:t>/</w:t>
        <w:t>dev</w:t>
        <w:t>/</w:t>
        <w:t>drbd0;</w:t>
      </w:r>
    </w:p>
    <w:p>
      <w:pPr>
        <w:pStyle w:val="Para 15"/>
      </w:pPr>
      <w:r>
        <w:t>disk</w:t>
        <w:t xml:space="preserve"> </w:t>
        <w:t>/</w:t>
        <w:t>dev</w:t>
        <w:t>/</w:t>
        <w:t>sdb1;</w:t>
      </w:r>
    </w:p>
    <w:p>
      <w:pPr>
        <w:pStyle w:val="Para 15"/>
      </w:pPr>
      <w:r>
        <w:t>address</w:t>
        <w:t xml:space="preserve"> </w:t>
        <w:t>192.168.0.2</w:t>
        <w:t>:</w:t>
        <w:t>7788</w:t>
        <w:t>;</w:t>
        <w:t xml:space="preserve"> </w:t>
        <w:t>meta</w:t>
        <w:t>-</w:t>
        <w:t>disk internal;</w:t>
      </w:r>
    </w:p>
    <w:p>
      <w:pPr>
        <w:pStyle w:val="Para 06"/>
      </w:pPr>
      <w:r>
        <w:t>}</w:t>
      </w:r>
    </w:p>
    <w:p>
      <w:pPr>
        <w:pStyle w:val="Normal"/>
      </w:pPr>
      <w:r>
        <w:t>}</w:t>
      </w:r>
    </w:p>
    <w:p>
      <w:pPr>
        <w:pStyle w:val="Para 17"/>
      </w:pPr>
      <w:r>
        <w:t/>
      </w:r>
    </w:p>
    <w:p>
      <w:pPr>
        <w:pStyle w:val="Para 08"/>
      </w:pPr>
      <w:r>
        <w:t>Note:</w:t>
      </w:r>
    </w:p>
    <w:p>
      <w:pPr>
        <w:pStyle w:val="Para 03"/>
      </w:pPr>
      <w:r>
        <w:t>There are many other options in /etc/drbd.conf, but for this example the default values</w:t>
      </w:r>
    </w:p>
    <w:p>
      <w:pPr>
        <w:pStyle w:val="Para 03"/>
      </w:pPr>
      <w:r>
        <w:t>are enough.</w:t>
      </w:r>
    </w:p>
    <w:p>
      <w:pPr>
        <w:pStyle w:val="Para 17"/>
      </w:pPr>
      <w:r>
        <w:t/>
      </w:r>
    </w:p>
    <w:p>
      <w:pPr>
        <w:pStyle w:val="Normal"/>
      </w:pPr>
      <w:r>
        <w:t>Now copy /etc/drbd.conf to the second host:</w:t>
      </w:r>
    </w:p>
    <w:p>
      <w:pPr>
        <w:pStyle w:val="Normal"/>
      </w:pPr>
      <w:r>
        <w:t>scp /etc/drbd.conf drbd02:~</w:t>
      </w:r>
    </w:p>
    <w:p>
      <w:pPr>
        <w:pStyle w:val="Para 17"/>
      </w:pPr>
      <w:r>
        <w:t/>
      </w:r>
    </w:p>
    <w:p>
      <w:pPr>
        <w:pStyle w:val="Normal"/>
      </w:pPr>
      <w:r>
        <w:t>And, on drbd02, move the file to /etc:</w:t>
      </w:r>
    </w:p>
    <w:p>
      <w:pPr>
        <w:pStyle w:val="Normal"/>
      </w:pPr>
      <w:r>
        <w:t>sudo mv drbd.conf /etc/</w:t>
      </w:r>
    </w:p>
    <w:p>
      <w:pPr>
        <w:pStyle w:val="Para 17"/>
      </w:pPr>
      <w:r>
        <w:t/>
      </w:r>
    </w:p>
    <w:p>
      <w:pPr>
        <w:pStyle w:val="Normal"/>
      </w:pPr>
      <w:r>
        <w:t>Now using the drbdadm utility, initialize the meta data storage. On both servers, run:</w:t>
      </w:r>
    </w:p>
    <w:p>
      <w:pPr>
        <w:pStyle w:val="Normal"/>
      </w:pPr>
      <w:r>
        <w:t>sudo drbdadm create-md r0</w:t>
      </w:r>
    </w:p>
    <w:p>
      <w:pPr>
        <w:pStyle w:val="Para 17"/>
      </w:pPr>
      <w:r>
        <w:t/>
      </w:r>
    </w:p>
    <w:p>
      <w:pPr>
        <w:pStyle w:val="Normal"/>
      </w:pPr>
      <w:r>
        <w:t>Next, on both hosts, start the drbd daemon:</w:t>
      </w:r>
    </w:p>
    <w:p>
      <w:pPr>
        <w:pStyle w:val="Normal"/>
      </w:pPr>
      <w:r>
        <w:t>sudo systemctl start drbd.service</w:t>
      </w:r>
    </w:p>
    <w:p>
      <w:pPr>
        <w:pStyle w:val="Para 17"/>
      </w:pPr>
      <w:r>
        <w:t/>
      </w:r>
    </w:p>
    <w:p>
      <w:pPr>
        <w:pStyle w:val="Normal"/>
      </w:pPr>
      <w:r>
        <w:t>On drbd01 (or whichever host you wish to be the primary), enter the following:</w:t>
      </w:r>
    </w:p>
    <w:p>
      <w:pPr>
        <w:pStyle w:val="Normal"/>
      </w:pPr>
      <w:r>
        <w:t>sudo drbdadm -- --overwrite-data-of-peer primary all</w:t>
      </w:r>
    </w:p>
    <w:p>
      <w:pPr>
        <w:pStyle w:val="Para 17"/>
      </w:pPr>
      <w:r>
        <w:t/>
      </w:r>
    </w:p>
    <w:p>
      <w:pPr>
        <w:pStyle w:val="Normal"/>
      </w:pPr>
      <w:r>
        <w:t>After running the above command, the data will start syncing with the secondary host. To watch the progress, on drbd02 enter the following:</w:t>
      </w:r>
    </w:p>
    <w:p>
      <w:pPr>
        <w:pStyle w:val="Normal"/>
      </w:pPr>
      <w:r>
        <w:t>watch -n1 cat /proc/drbd</w:t>
      </w:r>
    </w:p>
    <w:p>
      <w:pPr>
        <w:pStyle w:val="Para 17"/>
      </w:pPr>
      <w:r>
        <w:t/>
      </w:r>
    </w:p>
    <w:p>
      <w:pPr>
        <w:pStyle w:val="Normal"/>
      </w:pPr>
      <w:r>
        <w:t>To stop watching the output press Ctrl + C.</w:t>
      </w:r>
    </w:p>
    <w:p>
      <w:pPr>
        <w:pStyle w:val="Normal"/>
      </w:pPr>
      <w:r>
        <w:t>Finally, add a filesystem to /dev/drbd0 and mount it:</w:t>
      </w:r>
    </w:p>
    <w:p>
      <w:pPr>
        <w:pStyle w:val="Normal"/>
      </w:pPr>
      <w:r>
        <w:t>sudo mkfs.ext3 /dev/drbd0</w:t>
      </w:r>
    </w:p>
    <w:p>
      <w:pPr>
        <w:pStyle w:val="Normal"/>
      </w:pPr>
      <w:r>
        <w:t>sudo mount /dev/drbd0 /srv</w:t>
      </w:r>
    </w:p>
    <w:p>
      <w:bookmarkStart w:id="924" w:name="page_6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29" name="index-610_1.png" descr="index-610_1.png"/>
            <wp:cNvGraphicFramePr>
              <a:graphicFrameLocks noChangeAspect="1"/>
            </wp:cNvGraphicFramePr>
            <a:graphic>
              <a:graphicData uri="http://schemas.openxmlformats.org/drawingml/2006/picture">
                <pic:pic>
                  <pic:nvPicPr>
                    <pic:cNvPr id="0" name="index-610_1.png" descr="index-610_1.png"/>
                    <pic:cNvPicPr/>
                  </pic:nvPicPr>
                  <pic:blipFill>
                    <a:blip r:embed="rId633"/>
                    <a:stretch>
                      <a:fillRect/>
                    </a:stretch>
                  </pic:blipFill>
                  <pic:spPr>
                    <a:xfrm>
                      <a:off x="0" y="0"/>
                      <a:ext cx="914400" cy="266700"/>
                    </a:xfrm>
                    <a:prstGeom prst="rect">
                      <a:avLst/>
                    </a:prstGeom>
                  </pic:spPr>
                </pic:pic>
              </a:graphicData>
            </a:graphic>
          </wp:anchor>
        </w:drawing>
      </w:r>
      <w:bookmarkEnd w:id="924"/>
    </w:p>
    <w:p>
      <w:pPr>
        <w:pStyle w:val="Para 01"/>
      </w:pPr>
      <w:r>
        <w:t>Testing</w:t>
      </w:r>
    </w:p>
    <w:p>
      <w:pPr>
        <w:pStyle w:val="Para 17"/>
      </w:pPr>
      <w:r>
        <w:t/>
      </w:r>
    </w:p>
    <w:p>
      <w:pPr>
        <w:pStyle w:val="Normal"/>
      </w:pPr>
      <w:r>
        <w:t>To test that the data is actually syncing between the hosts copy some files on drbd01, the primary, to /srv:</w:t>
      </w:r>
    </w:p>
    <w:p>
      <w:pPr>
        <w:pStyle w:val="Normal"/>
      </w:pPr>
      <w:r>
        <w:t>sudo cp -r /etc/default /srv</w:t>
      </w:r>
    </w:p>
    <w:p>
      <w:pPr>
        <w:pStyle w:val="Para 17"/>
      </w:pPr>
      <w:r>
        <w:t/>
      </w:r>
    </w:p>
    <w:p>
      <w:pPr>
        <w:pStyle w:val="Normal"/>
      </w:pPr>
      <w:r>
        <w:t>Next, unmount /srv:</w:t>
      </w:r>
    </w:p>
    <w:p>
      <w:pPr>
        <w:pStyle w:val="Normal"/>
      </w:pPr>
      <w:r>
        <w:t>sudo umount /srv</w:t>
      </w:r>
    </w:p>
    <w:p>
      <w:pPr>
        <w:pStyle w:val="Para 17"/>
      </w:pPr>
      <w:r>
        <w:t/>
      </w:r>
    </w:p>
    <w:p>
      <w:pPr>
        <w:pStyle w:val="Normal"/>
      </w:pPr>
      <w:r>
        <w:t xml:space="preserve">Now demote the </w:t>
      </w:r>
      <w:r>
        <w:rPr>
          <w:rStyle w:val="Text0"/>
        </w:rPr>
        <w:t>primary</w:t>
      </w:r>
      <w:r>
        <w:t xml:space="preserve"> server to the </w:t>
      </w:r>
      <w:r>
        <w:rPr>
          <w:rStyle w:val="Text0"/>
        </w:rPr>
        <w:t>secondary</w:t>
      </w:r>
      <w:r>
        <w:t xml:space="preserve"> role:</w:t>
      </w:r>
    </w:p>
    <w:p>
      <w:pPr>
        <w:pStyle w:val="Normal"/>
      </w:pPr>
      <w:r>
        <w:t>sudo drbdadm secondary r0</w:t>
      </w:r>
    </w:p>
    <w:p>
      <w:pPr>
        <w:pStyle w:val="Para 17"/>
      </w:pPr>
      <w:r>
        <w:t/>
      </w:r>
    </w:p>
    <w:p>
      <w:pPr>
        <w:pStyle w:val="Normal"/>
      </w:pPr>
      <w:r>
        <w:t xml:space="preserve">Now on the </w:t>
      </w:r>
      <w:r>
        <w:rPr>
          <w:rStyle w:val="Text0"/>
        </w:rPr>
        <w:t>secondary</w:t>
      </w:r>
      <w:r>
        <w:t xml:space="preserve"> server, promote it to the </w:t>
      </w:r>
      <w:r>
        <w:rPr>
          <w:rStyle w:val="Text0"/>
        </w:rPr>
        <w:t>primary</w:t>
      </w:r>
      <w:r>
        <w:t xml:space="preserve"> role:</w:t>
      </w:r>
    </w:p>
    <w:p>
      <w:pPr>
        <w:pStyle w:val="Normal"/>
      </w:pPr>
      <w:r>
        <w:t>sudo drbdadm primary r0</w:t>
      </w:r>
    </w:p>
    <w:p>
      <w:pPr>
        <w:pStyle w:val="Para 17"/>
      </w:pPr>
      <w:r>
        <w:t/>
      </w:r>
    </w:p>
    <w:p>
      <w:pPr>
        <w:pStyle w:val="Normal"/>
      </w:pPr>
      <w:r>
        <w:t>Lastly, mount the partition:</w:t>
      </w:r>
    </w:p>
    <w:p>
      <w:pPr>
        <w:pStyle w:val="Normal"/>
      </w:pPr>
      <w:r>
        <w:t>sudo mount /dev/drbd0 /srv</w:t>
      </w:r>
    </w:p>
    <w:p>
      <w:pPr>
        <w:pStyle w:val="Para 17"/>
      </w:pPr>
      <w:r>
        <w:t/>
      </w:r>
    </w:p>
    <w:p>
      <w:pPr>
        <w:pStyle w:val="Normal"/>
      </w:pPr>
      <w:r>
        <w:t>Using ls you should see /srv/default copied from the former primary host drbd01.</w:t>
      </w:r>
    </w:p>
    <w:p>
      <w:pPr>
        <w:pStyle w:val="Para 17"/>
      </w:pPr>
      <w:r>
        <w:t/>
      </w:r>
    </w:p>
    <w:p>
      <w:pPr>
        <w:pStyle w:val="Para 01"/>
      </w:pPr>
      <w:r>
        <w:t>Further reading</w:t>
      </w:r>
    </w:p>
    <w:p>
      <w:pPr>
        <w:pStyle w:val="Para 17"/>
      </w:pPr>
      <w:r>
        <w:t/>
      </w:r>
    </w:p>
    <w:p>
      <w:pPr>
        <w:pStyle w:val="Para 04"/>
      </w:pPr>
      <w:r>
        <w:t xml:space="preserve">• For more information on DRBD see the </w:t>
      </w:r>
      <w:hyperlink w:anchor="page_610">
        <w:r>
          <w:rPr>
            <w:rStyle w:val="Text9"/>
          </w:rPr>
          <w:t>631</w:t>
        </w:r>
      </w:hyperlink>
      <w:r>
        <w:t xml:space="preserve"> </w:t>
      </w:r>
      <w:hyperlink r:id="rId1550">
        <w:r>
          <w:rPr>
            <w:rStyle w:val="Text1"/>
          </w:rPr>
          <w:t>DRBD web site</w:t>
        </w:r>
      </w:hyperlink>
      <w:r>
        <w:t>.</w:t>
      </w:r>
    </w:p>
    <w:p>
      <w:pPr>
        <w:pStyle w:val="Para 04"/>
      </w:pPr>
      <w:r>
        <w:t xml:space="preserve">• The </w:t>
      </w:r>
      <w:hyperlink r:id="rId1551">
        <w:r>
          <w:rPr>
            <w:rStyle w:val="Text9"/>
          </w:rPr>
          <w:t>632</w:t>
        </w:r>
      </w:hyperlink>
      <w:hyperlink r:id="rId1551">
        <w:r>
          <w:rPr>
            <w:rStyle w:val="Text1"/>
          </w:rPr>
          <w:t xml:space="preserve"> </w:t>
        </w:r>
      </w:hyperlink>
      <w:hyperlink r:id="rId1551">
        <w:r>
          <w:rPr>
            <w:rStyle w:val="Text2"/>
          </w:rPr>
          <w:t>drbd.conf(5)</w:t>
        </w:r>
      </w:hyperlink>
      <w:r>
        <w:t xml:space="preserve"> manual page contains details on the options not covered in this</w:t>
      </w:r>
    </w:p>
    <w:p>
      <w:pPr>
        <w:pStyle w:val="Para 02"/>
      </w:pPr>
      <w:r>
        <w:t>guide.</w:t>
      </w:r>
    </w:p>
    <w:p>
      <w:pPr>
        <w:pStyle w:val="Para 04"/>
      </w:pPr>
      <w:r>
        <w:t xml:space="preserve">• Also, see the </w:t>
      </w:r>
      <w:hyperlink w:anchor="page_610">
        <w:r>
          <w:rPr>
            <w:rStyle w:val="Text9"/>
          </w:rPr>
          <w:t>633</w:t>
        </w:r>
      </w:hyperlink>
      <w:r>
        <w:t xml:space="preserve"> </w:t>
      </w:r>
      <w:hyperlink r:id="rId1552">
        <w:r>
          <w:rPr>
            <w:rStyle w:val="Text2"/>
          </w:rPr>
          <w:t>drbdadm(8)</w:t>
        </w:r>
      </w:hyperlink>
      <w:r>
        <w:t xml:space="preserve"> manual page.</w:t>
      </w:r>
    </w:p>
    <w:p>
      <w:pPr>
        <w:pStyle w:val="Para 17"/>
      </w:pPr>
      <w:r>
        <w:t/>
      </w:r>
    </w:p>
    <w:p>
      <w:pPr>
        <w:pStyle w:val="Para 01"/>
      </w:pPr>
      <w:r>
        <w:t>See also</w:t>
      </w:r>
    </w:p>
    <w:p>
      <w:pPr>
        <w:pStyle w:val="Para 17"/>
      </w:pPr>
      <w:r>
        <w:t/>
      </w:r>
    </w:p>
    <w:p>
      <w:pPr>
        <w:pStyle w:val="Para 04"/>
      </w:pPr>
      <w:r>
        <w:t xml:space="preserve">• Explanation: </w:t>
      </w:r>
      <w:hyperlink w:anchor="page_915">
        <w:r>
          <w:rPr>
            <w:rStyle w:val="Text2"/>
          </w:rPr>
          <w:t>High Availability</w:t>
        </w:r>
      </w:hyperlink>
      <w:r>
        <w:t xml:space="preserve"> (page 914)</w:t>
      </w:r>
    </w:p>
    <w:p>
      <w:pPr>
        <w:pStyle w:val="Para 04"/>
      </w:pPr>
      <w:r>
        <w:t xml:space="preserve">• Reference: </w:t>
      </w:r>
      <w:hyperlink w:anchor="page_720">
        <w:r>
          <w:rPr>
            <w:rStyle w:val="Text2"/>
          </w:rPr>
          <w:t>High availability</w:t>
        </w:r>
      </w:hyperlink>
      <w:r>
        <w:t xml:space="preserve"> (page 719)</w:t>
      </w:r>
    </w:p>
    <w:p>
      <w:pPr>
        <w:pStyle w:val="Para 24"/>
      </w:pPr>
      <w:r>
        <w:t>3.2.12. Observability</w:t>
      </w:r>
    </w:p>
    <w:p>
      <w:pPr>
        <w:pStyle w:val="Normal"/>
      </w:pPr>
      <w:hyperlink w:anchor="page_611">
        <w:r>
          <w:rPr>
            <w:rStyle w:val="Text2"/>
          </w:rPr>
          <w:t>Observability</w:t>
        </w:r>
      </w:hyperlink>
      <w:r>
        <w:t xml:space="preserve"> (page 610) is a name given to the collection of tools used to monitor your infras-tructure. In Ubuntu, you can use the classic Logging, Monitoring, and Alerting (LMA) stack,</w:t>
      </w:r>
    </w:p>
    <w:p>
      <w:pPr>
        <w:pStyle w:val="Para 18"/>
      </w:pPr>
      <w:r>
        <w:rPr>
          <w:rStyle w:val="Text7"/>
        </w:rPr>
        <w:t xml:space="preserve">or the newer </w:t>
      </w:r>
      <w:hyperlink r:id="rId1553">
        <w:r>
          <w:rPr>
            <w:rStyle w:val="Text10"/>
          </w:rPr>
          <w:t>634</w:t>
        </w:r>
      </w:hyperlink>
      <w:hyperlink r:id="rId1553">
        <w:r>
          <w:t xml:space="preserve"> Canonical Observability Stack</w:t>
        </w:r>
      </w:hyperlink>
      <w:r>
        <w:rPr>
          <w:rStyle w:val="Text7"/>
        </w:rPr>
        <w:t>.</w:t>
      </w:r>
    </w:p>
    <w:p>
      <w:pPr>
        <w:pStyle w:val="Normal"/>
      </w:pPr>
      <w:r>
        <w:t>This section focuses on the classic LMA stack.</w:t>
      </w:r>
    </w:p>
    <w:p>
      <w:pPr>
        <w:pStyle w:val="Para 05"/>
      </w:pPr>
      <w:r>
        <w:rPr>
          <w:rStyle w:val="Text5"/>
        </w:rPr>
        <w:t>631</w:t>
      </w:r>
      <w:r>
        <w:rPr>
          <w:rStyle w:val="Text8"/>
        </w:rPr>
        <w:t xml:space="preserve"> </w:t>
      </w:r>
      <w:r>
        <w:t>https://linbit.com/linbit-software-download-page-for-linstor-and-drbd-linux-driver/</w:t>
      </w:r>
    </w:p>
    <w:p>
      <w:pPr>
        <w:pStyle w:val="Para 05"/>
      </w:pPr>
      <w:r>
        <w:rPr>
          <w:rStyle w:val="Text5"/>
        </w:rPr>
        <w:t>632</w:t>
      </w:r>
      <w:r>
        <w:rPr>
          <w:rStyle w:val="Text8"/>
        </w:rPr>
        <w:t xml:space="preserve"> </w:t>
      </w:r>
      <w:r>
        <w:t>https://manpages.ubuntu.com/manpages/resolute/man5/drbd.conf.5.html</w:t>
      </w:r>
    </w:p>
    <w:p>
      <w:pPr>
        <w:pStyle w:val="Para 05"/>
      </w:pPr>
      <w:r>
        <w:rPr>
          <w:rStyle w:val="Text5"/>
        </w:rPr>
        <w:t>633</w:t>
      </w:r>
      <w:r>
        <w:rPr>
          <w:rStyle w:val="Text8"/>
        </w:rPr>
        <w:t xml:space="preserve"> </w:t>
      </w:r>
      <w:r>
        <w:t>https://manpages.ubuntu.com/manpages/resolute/man8/drbdadm.8.html</w:t>
      </w:r>
    </w:p>
    <w:p>
      <w:pPr>
        <w:pStyle w:val="Para 05"/>
      </w:pPr>
      <w:r>
        <w:rPr>
          <w:rStyle w:val="Text5"/>
        </w:rPr>
        <w:t>634</w:t>
      </w:r>
      <w:r>
        <w:rPr>
          <w:rStyle w:val="Text8"/>
        </w:rPr>
        <w:t xml:space="preserve"> </w:t>
      </w:r>
      <w:r>
        <w:t>https://charmhub.io/topics/canonical-observability-stack</w:t>
      </w:r>
      <w:r>
        <w:rPr>
          <w:rStyle w:val="Text8"/>
        </w:rPr>
        <w:t xml:space="preserve"> </w:t>
      </w:r>
      <w:r>
        <w:rPr>
          <w:rStyle w:val="Text11"/>
        </w:rPr>
        <w:t>Observability</w:t>
      </w:r>
    </w:p>
    <w:p>
      <w:bookmarkStart w:id="925" w:name="page_6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0" name="index-611_1.png" descr="index-611_1.png"/>
            <wp:cNvGraphicFramePr>
              <a:graphicFrameLocks noChangeAspect="1"/>
            </wp:cNvGraphicFramePr>
            <a:graphic>
              <a:graphicData uri="http://schemas.openxmlformats.org/drawingml/2006/picture">
                <pic:pic>
                  <pic:nvPicPr>
                    <pic:cNvPr id="0" name="index-611_1.png" descr="index-611_1.png"/>
                    <pic:cNvPicPr/>
                  </pic:nvPicPr>
                  <pic:blipFill>
                    <a:blip r:embed="rId634"/>
                    <a:stretch>
                      <a:fillRect/>
                    </a:stretch>
                  </pic:blipFill>
                  <pic:spPr>
                    <a:xfrm>
                      <a:off x="0" y="0"/>
                      <a:ext cx="914400" cy="266700"/>
                    </a:xfrm>
                    <a:prstGeom prst="rect">
                      <a:avLst/>
                    </a:prstGeom>
                  </pic:spPr>
                </pic:pic>
              </a:graphicData>
            </a:graphic>
          </wp:anchor>
        </w:drawing>
      </w:r>
      <w:bookmarkEnd w:id="925"/>
    </w:p>
    <w:p>
      <w:pPr>
        <w:pStyle w:val="Para 17"/>
      </w:pPr>
      <w:r>
        <w:t/>
      </w:r>
    </w:p>
    <w:p>
      <w:pPr>
        <w:pStyle w:val="Normal"/>
      </w:pPr>
      <w:r>
        <w:t xml:space="preserve">In Ubuntu, it is recommended to use the </w:t>
      </w:r>
      <w:hyperlink r:id="rId1554">
        <w:r>
          <w:rPr>
            <w:rStyle w:val="Text9"/>
          </w:rPr>
          <w:t>635</w:t>
        </w:r>
      </w:hyperlink>
      <w:hyperlink r:id="rId1554">
        <w:r>
          <w:rPr>
            <w:rStyle w:val="Text1"/>
          </w:rPr>
          <w:t xml:space="preserve"> Canonical Observability Stack</w:t>
        </w:r>
      </w:hyperlink>
      <w:r>
        <w:t xml:space="preserve"> to monitor your infrastructure. For more information, see the following links:</w:t>
      </w:r>
    </w:p>
    <w:p>
      <w:pPr>
        <w:pStyle w:val="Para 13"/>
      </w:pPr>
      <w:r>
        <w:rPr>
          <w:rStyle w:val="Text7"/>
        </w:rPr>
        <w:t xml:space="preserve">• </w:t>
      </w:r>
      <w:hyperlink w:anchor="page_611">
        <w:r>
          <w:rPr>
            <w:rStyle w:val="Text10"/>
          </w:rPr>
          <w:t>636</w:t>
        </w:r>
      </w:hyperlink>
      <w:r>
        <w:rPr>
          <w:rStyle w:val="Text7"/>
        </w:rPr>
        <w:t xml:space="preserve"> </w:t>
      </w:r>
      <w:hyperlink r:id="rId1555">
        <w:r>
          <w:t>How to migrate from LMA to COS Lite</w:t>
        </w:r>
      </w:hyperlink>
    </w:p>
    <w:p>
      <w:pPr>
        <w:pStyle w:val="Para 13"/>
      </w:pPr>
      <w:r>
        <w:rPr>
          <w:rStyle w:val="Text7"/>
        </w:rPr>
        <w:t xml:space="preserve">• </w:t>
      </w:r>
      <w:hyperlink w:anchor="page_611">
        <w:r>
          <w:rPr>
            <w:rStyle w:val="Text10"/>
          </w:rPr>
          <w:t>637</w:t>
        </w:r>
      </w:hyperlink>
      <w:r>
        <w:rPr>
          <w:rStyle w:val="Text7"/>
        </w:rPr>
        <w:t xml:space="preserve"> </w:t>
      </w:r>
      <w:hyperlink r:id="rId1556">
        <w:r>
          <w:t>Integrate COS Lite with un-charmed applications</w:t>
        </w:r>
      </w:hyperlink>
    </w:p>
    <w:p>
      <w:pPr>
        <w:pStyle w:val="Para 13"/>
      </w:pPr>
      <w:r>
        <w:rPr>
          <w:rStyle w:val="Text7"/>
        </w:rPr>
        <w:t xml:space="preserve">• </w:t>
      </w:r>
      <w:hyperlink w:anchor="page_611">
        <w:r>
          <w:rPr>
            <w:rStyle w:val="Text10"/>
          </w:rPr>
          <w:t>638</w:t>
        </w:r>
      </w:hyperlink>
      <w:r>
        <w:rPr>
          <w:rStyle w:val="Text7"/>
        </w:rPr>
        <w:t xml:space="preserve"> </w:t>
      </w:r>
      <w:hyperlink r:id="rId1557">
        <w:r>
          <w:t>The OpenTelemetry Collector snap</w:t>
        </w:r>
      </w:hyperlink>
    </w:p>
    <w:p>
      <w:pPr>
        <w:pStyle w:val="Para 17"/>
      </w:pPr>
      <w:r>
        <w:t/>
      </w:r>
    </w:p>
    <w:p>
      <w:pPr>
        <w:pStyle w:val="Para 01"/>
      </w:pPr>
      <w:r>
        <w:t>Classical options</w:t>
      </w:r>
    </w:p>
    <w:p>
      <w:pPr>
        <w:pStyle w:val="Para 17"/>
      </w:pPr>
      <w:r>
        <w:t/>
      </w:r>
    </w:p>
    <w:p>
      <w:pPr>
        <w:pStyle w:val="Normal"/>
      </w:pPr>
      <w:r>
        <w:t>While the classic Logging, Monitoring and Alerting (LMA) stack still works, it is no longer recommended. The documentation in this section will be deprecated for Ubuntu 26.04 LTS and onward.</w:t>
      </w:r>
    </w:p>
    <w:p>
      <w:pPr>
        <w:pStyle w:val="Normal"/>
      </w:pPr>
      <w:r>
        <w:t>If you do not need a full LMA stack, there are some other supported tools that can provide similar capabilities.</w:t>
      </w:r>
    </w:p>
    <w:p>
      <w:pPr>
        <w:pStyle w:val="Para 17"/>
      </w:pPr>
      <w:r>
        <w:t/>
      </w:r>
    </w:p>
    <w:p>
      <w:pPr>
        <w:pStyle w:val="Para 01"/>
      </w:pPr>
      <w:r>
        <w:t>Set up your LMA stack</w:t>
      </w:r>
    </w:p>
    <w:p>
      <w:pPr>
        <w:pStyle w:val="Para 17"/>
      </w:pPr>
      <w:r>
        <w:t/>
      </w:r>
    </w:p>
    <w:p>
      <w:pPr>
        <w:pStyle w:val="Para 08"/>
      </w:pPr>
      <w:r>
        <w:t>Note:</w:t>
      </w:r>
    </w:p>
    <w:p>
      <w:pPr>
        <w:pStyle w:val="Para 08"/>
      </w:pPr>
      <w:r>
        <w:t>LMA to COS</w:t>
      </w:r>
    </w:p>
    <w:p>
      <w:pPr>
        <w:pStyle w:val="Para 03"/>
      </w:pPr>
      <w:r>
        <w:t>The LMA stack is being succeeded by the Canonical Observability Stack (COS). While the</w:t>
      </w:r>
    </w:p>
    <w:p>
      <w:pPr>
        <w:pStyle w:val="Para 03"/>
      </w:pPr>
      <w:r>
        <w:t>current LMA still works, most users are recommended to consider COS instead. For more</w:t>
      </w:r>
    </w:p>
    <w:p>
      <w:pPr>
        <w:pStyle w:val="Para 03"/>
      </w:pPr>
      <w:r>
        <w:t xml:space="preserve">information, refer to </w:t>
      </w:r>
      <w:hyperlink r:id="rId1558">
        <w:r>
          <w:rPr>
            <w:rStyle w:val="Text9"/>
          </w:rPr>
          <w:t>639</w:t>
        </w:r>
      </w:hyperlink>
      <w:hyperlink r:id="rId1558">
        <w:r>
          <w:rPr>
            <w:rStyle w:val="Text1"/>
          </w:rPr>
          <w:t xml:space="preserve"> this COS topic</w:t>
        </w:r>
      </w:hyperlink>
      <w:r>
        <w:t>. In environments with more limited resources,</w:t>
      </w:r>
    </w:p>
    <w:p>
      <w:pPr>
        <w:pStyle w:val="Para 03"/>
      </w:pPr>
      <w:r>
        <w:t xml:space="preserve">there is also </w:t>
      </w:r>
      <w:hyperlink r:id="rId1559">
        <w:r>
          <w:rPr>
            <w:rStyle w:val="Text9"/>
          </w:rPr>
          <w:t>640</w:t>
        </w:r>
      </w:hyperlink>
      <w:hyperlink r:id="rId1559">
        <w:r>
          <w:rPr>
            <w:rStyle w:val="Text1"/>
          </w:rPr>
          <w:t xml:space="preserve"> COS lite</w:t>
        </w:r>
      </w:hyperlink>
      <w:r>
        <w:t>.</w:t>
      </w:r>
    </w:p>
    <w:p>
      <w:pPr>
        <w:pStyle w:val="Para 05"/>
      </w:pPr>
      <w:r>
        <w:rPr>
          <w:rStyle w:val="Text5"/>
        </w:rPr>
        <w:t>639</w:t>
      </w:r>
      <w:r>
        <w:rPr>
          <w:rStyle w:val="Text8"/>
        </w:rPr>
        <w:t xml:space="preserve"> </w:t>
      </w:r>
      <w:r>
        <w:t>https://charmhub.io/topics/canonical-observability-stack/</w:t>
      </w:r>
    </w:p>
    <w:p>
      <w:pPr>
        <w:pStyle w:val="Para 05"/>
      </w:pPr>
      <w:r>
        <w:rPr>
          <w:rStyle w:val="Text5"/>
        </w:rPr>
        <w:t>640</w:t>
      </w:r>
      <w:r>
        <w:rPr>
          <w:rStyle w:val="Text8"/>
        </w:rPr>
        <w:t xml:space="preserve"> </w:t>
      </w:r>
      <w:r>
        <w:t>https://charmhub.io/topics/canonical-observability-stack/editions/lite</w:t>
      </w:r>
    </w:p>
    <w:p>
      <w:pPr>
        <w:pStyle w:val="Para 17"/>
      </w:pPr>
      <w:r>
        <w:t/>
      </w:r>
    </w:p>
    <w:p>
      <w:pPr>
        <w:pStyle w:val="Normal"/>
      </w:pPr>
      <w:r>
        <w:t>Logging, Monitoring, and Alerting (LMA) is a collection of tools that guarantee the availability of your running infrastructure. Your LMA stack will help point out issues in load, networking, and other resources before they become a failure point.</w:t>
      </w:r>
    </w:p>
    <w:p>
      <w:pPr>
        <w:pStyle w:val="Para 17"/>
      </w:pPr>
      <w:r>
        <w:t/>
      </w:r>
    </w:p>
    <w:p>
      <w:pPr>
        <w:pStyle w:val="Para 01"/>
      </w:pPr>
      <w:r>
        <w:t>Architectural overview</w:t>
      </w:r>
    </w:p>
    <w:p>
      <w:pPr>
        <w:pStyle w:val="Para 17"/>
      </w:pPr>
      <w:r>
        <w:t/>
      </w:r>
    </w:p>
    <w:p>
      <w:pPr>
        <w:pStyle w:val="Normal"/>
      </w:pPr>
      <w:r>
        <w:t>Canonical’s LMA stack involves several discrete software services acting in concert.</w:t>
      </w:r>
    </w:p>
    <w:p>
      <w:pPr>
        <w:pStyle w:val="Normal"/>
      </w:pPr>
      <w:hyperlink r:id="rId1560">
        <w:r>
          <w:rPr>
            <w:rStyle w:val="Text13"/>
          </w:rPr>
          <w:t>Telegraf</w:t>
        </w:r>
      </w:hyperlink>
      <w:hyperlink r:id="rId1560">
        <w:r>
          <w:rPr>
            <w:rStyle w:val="Text9"/>
          </w:rPr>
          <w:t>641</w:t>
        </w:r>
      </w:hyperlink>
      <w:r>
        <w:t xml:space="preserve"> collects metrics from the operating system, running software, and other inputs. Its plugin system permits export of data in any arbitrary format; for this system we collect</w:t>
      </w:r>
    </w:p>
    <w:p>
      <w:pPr>
        <w:pStyle w:val="Normal"/>
      </w:pPr>
      <w:r>
        <w:t xml:space="preserve">the data in a central data manager called </w:t>
      </w:r>
      <w:hyperlink w:anchor="page_611">
        <w:r>
          <w:rPr>
            <w:rStyle w:val="Text9"/>
          </w:rPr>
          <w:t>642</w:t>
        </w:r>
      </w:hyperlink>
      <w:r>
        <w:t xml:space="preserve"> </w:t>
      </w:r>
      <w:hyperlink r:id="rId1561">
        <w:r>
          <w:rPr>
            <w:rStyle w:val="Text13"/>
          </w:rPr>
          <w:t>Prometheus</w:t>
        </w:r>
      </w:hyperlink>
      <w:r>
        <w:t>.</w:t>
      </w:r>
    </w:p>
    <w:p>
      <w:pPr>
        <w:pStyle w:val="Para 05"/>
      </w:pPr>
      <w:r>
        <w:rPr>
          <w:rStyle w:val="Text5"/>
        </w:rPr>
        <w:t>635</w:t>
      </w:r>
      <w:r>
        <w:rPr>
          <w:rStyle w:val="Text8"/>
        </w:rPr>
        <w:t xml:space="preserve"> </w:t>
      </w:r>
      <w:r>
        <w:t>https://documentation.ubuntu.com/observability/track-2/</w:t>
      </w:r>
    </w:p>
    <w:p>
      <w:pPr>
        <w:pStyle w:val="Para 05"/>
      </w:pPr>
      <w:r>
        <w:rPr>
          <w:rStyle w:val="Text5"/>
        </w:rPr>
        <w:t>636</w:t>
      </w:r>
      <w:r>
        <w:rPr>
          <w:rStyle w:val="Text8"/>
        </w:rPr>
        <w:t xml:space="preserve"> </w:t>
      </w:r>
      <w:r>
        <w:t>https://documentation.ubuntu.com/observability/track-2/how-to/migrate-lma-to-cos-lite/</w:t>
      </w:r>
    </w:p>
    <w:p>
      <w:pPr>
        <w:pStyle w:val="Para 05"/>
      </w:pPr>
      <w:r>
        <w:rPr>
          <w:rStyle w:val="Text5"/>
        </w:rPr>
        <w:t>637</w:t>
      </w:r>
      <w:r>
        <w:rPr>
          <w:rStyle w:val="Text8"/>
        </w:rPr>
        <w:t xml:space="preserve"> </w:t>
      </w:r>
      <w:r>
        <w:t>https://documentation.ubuntu.com/observability/track-2/how-to/integrating-cos-lite-with-uncharmed-applications/</w:t>
      </w:r>
    </w:p>
    <w:p>
      <w:pPr>
        <w:pStyle w:val="Para 05"/>
      </w:pPr>
      <w:r>
        <w:rPr>
          <w:rStyle w:val="Text5"/>
        </w:rPr>
        <w:t>638</w:t>
      </w:r>
      <w:r>
        <w:rPr>
          <w:rStyle w:val="Text8"/>
        </w:rPr>
        <w:t xml:space="preserve"> </w:t>
      </w:r>
      <w:r>
        <w:t>https://snapcraft.io/opentelemetry-collector</w:t>
      </w:r>
    </w:p>
    <w:p>
      <w:pPr>
        <w:pStyle w:val="Para 05"/>
      </w:pPr>
      <w:r>
        <w:rPr>
          <w:rStyle w:val="Text5"/>
        </w:rPr>
        <w:t>641</w:t>
      </w:r>
      <w:r>
        <w:rPr>
          <w:rStyle w:val="Text8"/>
        </w:rPr>
        <w:t xml:space="preserve"> </w:t>
      </w:r>
      <w:r>
        <w:t>https://docs.influxdata.com/telegraf/v1/</w:t>
      </w:r>
    </w:p>
    <w:p>
      <w:pPr>
        <w:pStyle w:val="Para 05"/>
      </w:pPr>
      <w:r>
        <w:rPr>
          <w:rStyle w:val="Text5"/>
        </w:rPr>
        <w:t>642</w:t>
      </w:r>
      <w:r>
        <w:rPr>
          <w:rStyle w:val="Text8"/>
        </w:rPr>
        <w:t xml:space="preserve"> </w:t>
      </w:r>
      <w:r>
        <w:t>https://prometheus.io/docs/introduction/overview/</w:t>
      </w:r>
    </w:p>
    <w:p>
      <w:bookmarkStart w:id="926" w:name="page_6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1" name="index-612_1.png" descr="index-612_1.png"/>
            <wp:cNvGraphicFramePr>
              <a:graphicFrameLocks noChangeAspect="1"/>
            </wp:cNvGraphicFramePr>
            <a:graphic>
              <a:graphicData uri="http://schemas.openxmlformats.org/drawingml/2006/picture">
                <pic:pic>
                  <pic:nvPicPr>
                    <pic:cNvPr id="0" name="index-612_1.png" descr="index-612_1.png"/>
                    <pic:cNvPicPr/>
                  </pic:nvPicPr>
                  <pic:blipFill>
                    <a:blip r:embed="rId635"/>
                    <a:stretch>
                      <a:fillRect/>
                    </a:stretch>
                  </pic:blipFill>
                  <pic:spPr>
                    <a:xfrm>
                      <a:off x="0" y="0"/>
                      <a:ext cx="914400" cy="266700"/>
                    </a:xfrm>
                    <a:prstGeom prst="rect">
                      <a:avLst/>
                    </a:prstGeom>
                  </pic:spPr>
                </pic:pic>
              </a:graphicData>
            </a:graphic>
          </wp:anchor>
        </w:drawing>
      </w:r>
      <w:bookmarkEnd w:id="926"/>
    </w:p>
    <w:p>
      <w:pPr>
        <w:pStyle w:val="Normal"/>
      </w:pPr>
      <w:r>
        <w:t>Prometheus works as a hub, polling data from different Telegraf nodes and sending it to various outputs, including persistent storage. For this LMA stack, visualization is handled via</w:t>
      </w:r>
    </w:p>
    <w:p>
      <w:pPr>
        <w:pStyle w:val="Normal"/>
      </w:pPr>
      <w:hyperlink r:id="rId1562">
        <w:r>
          <w:rPr>
            <w:rStyle w:val="Text13"/>
          </w:rPr>
          <w:t>Grafana</w:t>
        </w:r>
      </w:hyperlink>
      <w:hyperlink r:id="rId1562">
        <w:r>
          <w:rPr>
            <w:rStyle w:val="Text9"/>
          </w:rPr>
          <w:t>643</w:t>
        </w:r>
      </w:hyperlink>
      <w:r>
        <w:t xml:space="preserve"> and email/pager alerts are generated via the Prometheus </w:t>
      </w:r>
      <w:hyperlink w:anchor="page_668">
        <w:r>
          <w:rPr>
            <w:rStyle w:val="Text2"/>
          </w:rPr>
          <w:t>Alertmanager</w:t>
        </w:r>
      </w:hyperlink>
      <w:r>
        <w:t xml:space="preserve"> plugin.</w:t>
      </w:r>
    </w:p>
    <w:p>
      <w:pPr>
        <w:pStyle w:val="Normal"/>
      </w:pPr>
      <w:r>
        <w:t xml:space="preserve">See </w:t>
      </w:r>
      <w:hyperlink w:anchor="page_612">
        <w:r>
          <w:rPr>
            <w:rStyle w:val="Text9"/>
          </w:rPr>
          <w:t>644</w:t>
        </w:r>
      </w:hyperlink>
      <w:r>
        <w:t xml:space="preserve"> </w:t>
      </w:r>
      <w:hyperlink r:id="rId1563">
        <w:r>
          <w:rPr>
            <w:rStyle w:val="Text13"/>
          </w:rPr>
          <w:t>Prometheus Alertmanager</w:t>
        </w:r>
      </w:hyperlink>
      <w:r>
        <w:t xml:space="preserve"> for more details.</w:t>
      </w:r>
    </w:p>
    <w:p>
      <w:pPr>
        <w:pStyle w:val="Para 17"/>
      </w:pPr>
      <w:r>
        <w:t/>
      </w:r>
    </w:p>
    <w:p>
      <w:pPr>
        <w:pStyle w:val="Para 01"/>
      </w:pPr>
      <w:r>
        <w:t>Getting started</w:t>
      </w:r>
    </w:p>
    <w:p>
      <w:pPr>
        <w:pStyle w:val="Para 17"/>
      </w:pPr>
      <w:r>
        <w:t/>
      </w:r>
    </w:p>
    <w:p>
      <w:pPr>
        <w:pStyle w:val="Normal"/>
      </w:pPr>
      <w:r>
        <w:t xml:space="preserve">Let’s set up a basic demonstration with two </w:t>
      </w:r>
      <w:r>
        <w:rPr>
          <w:rStyle w:val="Text0"/>
        </w:rPr>
        <w:t>nodes</w:t>
      </w:r>
      <w:r>
        <w:t>, the first acting as a placeholder load with Telegraf installed - the “Workload”, and the second acting as our data visualization system -the “Monitor”. This will help us familiarize ourselves with the various components and how they inter-operate.</w:t>
      </w:r>
    </w:p>
    <w:p>
      <w:pPr>
        <w:pStyle w:val="Para 08"/>
      </w:pPr>
      <w:r>
        <w:t>Note:</w:t>
      </w:r>
    </w:p>
    <w:p>
      <w:pPr>
        <w:pStyle w:val="Para 03"/>
      </w:pPr>
      <w:r>
        <w:t>For clarity, we’ll refer to these two hosts as named: workload and monitor. If you use other</w:t>
      </w:r>
    </w:p>
    <w:p>
      <w:pPr>
        <w:pStyle w:val="Para 03"/>
      </w:pPr>
      <w:hyperlink w:anchor="page_688">
        <w:r>
          <w:rPr>
            <w:rStyle w:val="Text2"/>
          </w:rPr>
          <w:t>hostnames</w:t>
        </w:r>
      </w:hyperlink>
      <w:r>
        <w:t>, substitute your preferred names as we go through this guide.</w:t>
      </w:r>
    </w:p>
    <w:p>
      <w:pPr>
        <w:pStyle w:val="Para 17"/>
      </w:pPr>
      <w:r>
        <w:t/>
      </w:r>
    </w:p>
    <w:p>
      <w:pPr>
        <w:pStyle w:val="Normal"/>
      </w:pPr>
      <w:r>
        <w:t>The Workload node will be running Telegraf to collect metrics from whatever load we’re mon-itoring. For demonstration purposes we’ll just read the CPU/memory data from the node. In a real environment, we’d have multiple hosts (each with their own Telegraf instance) collecting hardware, network, and software statuses particular to that node.</w:t>
      </w:r>
    </w:p>
    <w:p>
      <w:pPr>
        <w:pStyle w:val="Normal"/>
      </w:pPr>
      <w:r>
        <w:t>Our Monitor node will double as both a data store and a web UI, receiving data from the Workload, storing it to disk, and displaying it for analysis.</w:t>
      </w:r>
    </w:p>
    <w:p>
      <w:pPr>
        <w:pStyle w:val="Para 17"/>
      </w:pPr>
      <w:r>
        <w:t/>
      </w:r>
    </w:p>
    <w:p>
      <w:pPr>
        <w:pStyle w:val="Para 01"/>
      </w:pPr>
      <w:r>
        <w:t>Ports</w:t>
      </w:r>
    </w:p>
    <w:p>
      <w:pPr>
        <w:pStyle w:val="Para 17"/>
      </w:pPr>
      <w:r>
        <w:t/>
      </w:r>
    </w:p>
    <w:p>
      <w:pPr>
        <w:pStyle w:val="Normal"/>
      </w:pPr>
      <w:r>
        <w:t>As reference, here are the ports we’ll be binding for each service:</w:t>
      </w:r>
    </w:p>
    <w:p>
      <w:pPr>
        <w:pStyle w:val="Para 17"/>
      </w:pPr>
      <w:r>
        <w:t/>
      </w:r>
    </w:p>
    <w:p>
      <w:pPr>
        <w:pStyle w:val="Para 38"/>
      </w:pPr>
      <w:r>
        <w:t>Prometheus monitor:9090</w:t>
      </w:r>
    </w:p>
    <w:p>
      <w:pPr>
        <w:pStyle w:val="Para 38"/>
      </w:pPr>
      <w:r>
        <w:t>Alertmanager monitor:9093</w:t>
      </w:r>
    </w:p>
    <w:p>
      <w:pPr>
        <w:pStyle w:val="Para 38"/>
      </w:pPr>
      <w:r>
        <w:t>Grafana monitor:3000</w:t>
      </w:r>
    </w:p>
    <w:p>
      <w:pPr>
        <w:pStyle w:val="Para 38"/>
      </w:pPr>
      <w:r>
        <w:t>Telegraf workload:9273</w:t>
      </w:r>
    </w:p>
    <w:p>
      <w:pPr>
        <w:pStyle w:val="Para 05"/>
      </w:pPr>
      <w:r>
        <w:rPr>
          <w:rStyle w:val="Text5"/>
        </w:rPr>
        <w:t>643</w:t>
      </w:r>
      <w:r>
        <w:rPr>
          <w:rStyle w:val="Text8"/>
        </w:rPr>
        <w:t xml:space="preserve"> </w:t>
      </w:r>
      <w:r>
        <w:t>https://grafana.com/docs/</w:t>
      </w:r>
    </w:p>
    <w:p>
      <w:pPr>
        <w:pStyle w:val="Para 05"/>
      </w:pPr>
      <w:r>
        <w:rPr>
          <w:rStyle w:val="Text5"/>
        </w:rPr>
        <w:t>644</w:t>
      </w:r>
      <w:r>
        <w:rPr>
          <w:rStyle w:val="Text8"/>
        </w:rPr>
        <w:t xml:space="preserve"> </w:t>
      </w:r>
      <w:r>
        <w:t>https://prometheus.io/docs/alerting/latest/alertmanager/</w:t>
      </w:r>
    </w:p>
    <w:p>
      <w:bookmarkStart w:id="927" w:name="calibre_pb_157"/>
      <w:pPr>
        <w:pStyle w:val="0 Block"/>
      </w:pPr>
      <w:bookmarkEnd w:id="927"/>
    </w:p>
    <w:p>
      <w:bookmarkStart w:id="928" w:name="page_613"/>
      <w:bookmarkStart w:id="929" w:name="Top_of_index_split_15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2" name="index-613_1.png" descr="index-613_1.png"/>
            <wp:cNvGraphicFramePr>
              <a:graphicFrameLocks noChangeAspect="1"/>
            </wp:cNvGraphicFramePr>
            <a:graphic>
              <a:graphicData uri="http://schemas.openxmlformats.org/drawingml/2006/picture">
                <pic:pic>
                  <pic:nvPicPr>
                    <pic:cNvPr id="0" name="index-613_1.png" descr="index-613_1.png"/>
                    <pic:cNvPicPr/>
                  </pic:nvPicPr>
                  <pic:blipFill>
                    <a:blip r:embed="rId636"/>
                    <a:stretch>
                      <a:fillRect/>
                    </a:stretch>
                  </pic:blipFill>
                  <pic:spPr>
                    <a:xfrm>
                      <a:off x="0" y="0"/>
                      <a:ext cx="914400" cy="266700"/>
                    </a:xfrm>
                    <a:prstGeom prst="rect">
                      <a:avLst/>
                    </a:prstGeom>
                  </pic:spPr>
                </pic:pic>
              </a:graphicData>
            </a:graphic>
          </wp:anchor>
        </w:drawing>
      </w:r>
      <w:bookmarkEnd w:id="928"/>
      <w:bookmarkEnd w:id="929"/>
    </w:p>
    <w:p>
      <w:pPr>
        <w:pStyle w:val="Para 01"/>
      </w:pPr>
      <w:r>
        <w:t>Set up the Workload node</w:t>
      </w:r>
    </w:p>
    <w:p>
      <w:pPr>
        <w:pStyle w:val="Para 17"/>
      </w:pPr>
      <w:r>
        <w:t/>
      </w:r>
    </w:p>
    <w:p>
      <w:pPr>
        <w:pStyle w:val="Normal"/>
      </w:pPr>
      <w:r>
        <w:t>First, let’s set up the Workload. We’ll be using LXD as our container technology in this guide, but any VM, container, or bare metal host should work, so long as it’s running Ubuntu 20.10. With LXD installed on our host we can use its lxc command line tool to create our containers:</w:t>
      </w:r>
    </w:p>
    <w:p>
      <w:pPr>
        <w:pStyle w:val="Normal"/>
      </w:pPr>
      <w:r>
        <w:t>$ lxc launch ubuntu:20.10 workload</w:t>
      </w:r>
    </w:p>
    <w:p>
      <w:pPr>
        <w:pStyle w:val="Normal"/>
      </w:pPr>
      <w:r>
        <w:t>Creating workload</w:t>
      </w:r>
    </w:p>
    <w:p>
      <w:pPr>
        <w:pStyle w:val="Normal"/>
      </w:pPr>
      <w:r>
        <w:t>Starting workload</w:t>
      </w:r>
    </w:p>
    <w:p>
      <w:pPr>
        <w:pStyle w:val="Normal"/>
      </w:pPr>
      <w:r>
        <w:t>$ lxc</w:t>
        <w:t xml:space="preserve"> </w:t>
        <w:t>exec</w:t>
        <w:t xml:space="preserve"> </w:t>
        <w:t>workload -- bash</w:t>
      </w:r>
    </w:p>
    <w:p>
      <w:pPr>
        <w:pStyle w:val="Normal"/>
      </w:pPr>
      <w:r>
        <w:t>workload:~#</w:t>
      </w:r>
    </w:p>
    <w:p>
      <w:pPr>
        <w:pStyle w:val="Para 17"/>
      </w:pPr>
      <w:r>
        <w:t/>
      </w:r>
    </w:p>
    <w:p>
      <w:pPr>
        <w:pStyle w:val="Normal"/>
      </w:pPr>
      <w:r>
        <w:t>On the Workload, install Telegraf:</w:t>
      </w:r>
    </w:p>
    <w:p>
      <w:pPr>
        <w:pStyle w:val="Normal"/>
      </w:pPr>
      <w:r>
        <w:t>workload:~# apt update</w:t>
      </w:r>
    </w:p>
    <w:p>
      <w:pPr>
        <w:pStyle w:val="Normal"/>
      </w:pPr>
      <w:r>
        <w:t>workload:~# apt install telegraf</w:t>
      </w:r>
    </w:p>
    <w:p>
      <w:pPr>
        <w:pStyle w:val="Para 17"/>
      </w:pPr>
      <w:r>
        <w:t/>
      </w:r>
    </w:p>
    <w:p>
      <w:pPr>
        <w:pStyle w:val="Normal"/>
      </w:pPr>
      <w:r>
        <w:t>Telegraf processes input data to transform, filter, and decorate it, and then performs se-lected aggregation functions on it such as tallies, averages, etc. The results are published for collection by external services; in our case Prometheus will be collecting the CPU/memory data from the Monitor node.</w:t>
      </w:r>
    </w:p>
    <w:p>
      <w:pPr>
        <w:pStyle w:val="Normal"/>
      </w:pPr>
      <w:r>
        <w:t>Open /etc/telegraf/telegraf.conf and scroll down to the “INPUT PLUGINS” section. What we’ll need is the following configuration settings, which you should find already enabled by default:</w:t>
      </w:r>
    </w:p>
    <w:p>
      <w:pPr>
        <w:pStyle w:val="Normal"/>
      </w:pPr>
      <w:r>
        <w:t>[[inputs.cpu]]</w:t>
      </w:r>
    </w:p>
    <w:p>
      <w:pPr>
        <w:pStyle w:val="Para 03"/>
      </w:pPr>
      <w:r>
        <w:t>percpu = true</w:t>
      </w:r>
    </w:p>
    <w:p>
      <w:pPr>
        <w:pStyle w:val="Para 03"/>
      </w:pPr>
      <w:r>
        <w:t>totalcpu = true</w:t>
      </w:r>
    </w:p>
    <w:p>
      <w:pPr>
        <w:pStyle w:val="Para 03"/>
      </w:pPr>
      <w:r>
        <w:t>collect_cpu_time = false</w:t>
      </w:r>
    </w:p>
    <w:p>
      <w:pPr>
        <w:pStyle w:val="Para 03"/>
      </w:pPr>
      <w:r>
        <w:t>report_active = false</w:t>
      </w:r>
    </w:p>
    <w:p>
      <w:pPr>
        <w:pStyle w:val="Para 17"/>
      </w:pPr>
      <w:r>
        <w:t/>
      </w:r>
    </w:p>
    <w:p>
      <w:pPr>
        <w:pStyle w:val="Normal"/>
      </w:pPr>
      <w:r>
        <w:t>Looking at the config file you’ll notice it’s almost entirely commented out. There are three different types of sections in the file: [[inputs]], which we set above; [[outputs]], which we’ll set up next; and the [[agent]] setting, with several performance tuning parameters such as the collection interval, which we’re setting to 10 seconds. The agent defaults are fine for our example and for basic use.</w:t>
      </w:r>
    </w:p>
    <w:p>
      <w:pPr>
        <w:pStyle w:val="Normal"/>
      </w:pPr>
      <w:r>
        <w:t>Finally, we need to define where Telegraf will provide its output. Open /etc/telegraf/ telegraf.conf and scroll down to the “OUTPUT PLUGINS” section and add the following out-put configuration:</w:t>
      </w:r>
    </w:p>
    <w:p>
      <w:pPr>
        <w:pStyle w:val="Normal"/>
      </w:pPr>
      <w:r>
        <w:t>[[outputs.prometheus_client]]</w:t>
      </w:r>
    </w:p>
    <w:p>
      <w:pPr>
        <w:pStyle w:val="Para 03"/>
      </w:pPr>
      <w:r>
        <w:t>listen = "workload:9273"</w:t>
      </w:r>
    </w:p>
    <w:p>
      <w:pPr>
        <w:pStyle w:val="Para 03"/>
      </w:pPr>
      <w:r>
        <w:t>metric_version = 2</w:t>
      </w:r>
    </w:p>
    <w:p>
      <w:pPr>
        <w:pStyle w:val="Normal"/>
      </w:pPr>
      <w:r>
        <w:t>#[[outputs.influxdb]]</w:t>
      </w:r>
    </w:p>
    <w:p>
      <w:pPr>
        <w:pStyle w:val="Para 17"/>
      </w:pPr>
      <w:r>
        <w:t/>
      </w:r>
    </w:p>
    <w:p>
      <w:pPr>
        <w:pStyle w:val="Normal"/>
      </w:pPr>
      <w:r>
        <w:t>We won’t be using Influxdb, so you can comment that section out (if it’s enabled).</w:t>
      </w:r>
    </w:p>
    <w:p>
      <w:pPr>
        <w:pStyle w:val="Normal"/>
      </w:pPr>
      <w:r>
        <w:t>Now restart the Telegraf service:</w:t>
      </w:r>
    </w:p>
    <w:p>
      <w:pPr>
        <w:pStyle w:val="Normal"/>
      </w:pPr>
      <w:r>
        <w:t>workload:~# systemctl restart telegraf</w:t>
      </w:r>
    </w:p>
    <w:p>
      <w:pPr>
        <w:pStyle w:val="Normal"/>
      </w:pPr>
      <w:r>
        <w:t>workload:~# systemctl status telegraf</w:t>
      </w:r>
    </w:p>
    <w:p>
      <w:pPr>
        <w:pStyle w:val="Normal"/>
      </w:pPr>
      <w:r>
        <w:t>� telegraf.service - The plugin-driven server agent</w:t>
        <w:t xml:space="preserve"> </w:t>
      </w:r>
      <w:r>
        <w:rPr>
          <w:rStyle w:val="Text0"/>
        </w:rPr>
        <w:t>for</w:t>
      </w:r>
      <w:r>
        <w:t xml:space="preserve"> </w:t>
        <w:t>reporting metrics into InfluxDB</w:t>
      </w:r>
    </w:p>
    <w:p>
      <w:pPr>
        <w:pStyle w:val="Para 09"/>
      </w:pPr>
      <w:r>
        <w:t>(continues on next page)</w:t>
      </w:r>
    </w:p>
    <w:p>
      <w:bookmarkStart w:id="930" w:name="page_6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3" name="index-614_1.png" descr="index-614_1.png"/>
            <wp:cNvGraphicFramePr>
              <a:graphicFrameLocks noChangeAspect="1"/>
            </wp:cNvGraphicFramePr>
            <a:graphic>
              <a:graphicData uri="http://schemas.openxmlformats.org/drawingml/2006/picture">
                <pic:pic>
                  <pic:nvPicPr>
                    <pic:cNvPr id="0" name="index-614_1.png" descr="index-614_1.png"/>
                    <pic:cNvPicPr/>
                  </pic:nvPicPr>
                  <pic:blipFill>
                    <a:blip r:embed="rId637"/>
                    <a:stretch>
                      <a:fillRect/>
                    </a:stretch>
                  </pic:blipFill>
                  <pic:spPr>
                    <a:xfrm>
                      <a:off x="0" y="0"/>
                      <a:ext cx="914400" cy="266700"/>
                    </a:xfrm>
                    <a:prstGeom prst="rect">
                      <a:avLst/>
                    </a:prstGeom>
                  </pic:spPr>
                </pic:pic>
              </a:graphicData>
            </a:graphic>
          </wp:anchor>
        </w:drawing>
      </w:r>
      <w:bookmarkEnd w:id="930"/>
    </w:p>
    <w:p>
      <w:pPr>
        <w:pStyle w:val="Para 09"/>
      </w:pPr>
      <w:r>
        <w:t>(continued from previous page)</w:t>
      </w:r>
    </w:p>
    <w:p>
      <w:pPr>
        <w:pStyle w:val="Para 11"/>
      </w:pPr>
      <w:r>
        <w:t>Loaded: loaded</w:t>
        <w:t xml:space="preserve"> </w:t>
        <w:t>(</w:t>
        <w:t>/lib/systemd/system/telegraf.service; enabled; vendor preset:</w:t>
      </w:r>
    </w:p>
    <w:p>
      <w:pPr>
        <w:pStyle w:val="Normal"/>
      </w:pPr>
      <w:r>
        <w:t>enabled</w:t>
        <w:t>)</w:t>
      </w:r>
    </w:p>
    <w:p>
      <w:pPr>
        <w:pStyle w:val="Para 11"/>
      </w:pPr>
      <w:r>
        <w:t>Active: active</w:t>
        <w:t xml:space="preserve"> </w:t>
        <w:t>(</w:t>
        <w:t>running</w:t>
        <w:t>)</w:t>
        <w:t xml:space="preserve"> </w:t>
        <w:t>since Sat</w:t>
        <w:t xml:space="preserve"> </w:t>
        <w:t>2020</w:t>
        <w:t>-10-31</w:t>
        <w:t xml:space="preserve"> </w:t>
        <w:t>02</w:t>
        <w:t>:17:57 UTC; 6s ago</w:t>
      </w:r>
    </w:p>
    <w:p>
      <w:pPr>
        <w:pStyle w:val="Para 11"/>
      </w:pPr>
      <w:r>
        <w:t>Docs: https://github.com/influxdata/telegraf</w:t>
      </w:r>
    </w:p>
    <w:p>
      <w:pPr>
        <w:pStyle w:val="Para 04"/>
      </w:pPr>
      <w:r>
        <w:t>Main PID:</w:t>
        <w:t xml:space="preserve"> </w:t>
        <w:t>2562</w:t>
        <w:t xml:space="preserve"> </w:t>
        <w:t>(</w:t>
        <w:t>telegraf</w:t>
        <w:t>)</w:t>
      </w:r>
    </w:p>
    <w:p>
      <w:pPr>
        <w:pStyle w:val="Para 11"/>
      </w:pPr>
      <w:r>
        <w:t>Tasks:</w:t>
        <w:t xml:space="preserve"> </w:t>
        <w:t>17</w:t>
        <w:t xml:space="preserve"> </w:t>
        <w:t>(</w:t>
        <w:t>limit:</w:t>
        <w:t xml:space="preserve"> </w:t>
        <w:t>77021</w:t>
        <w:t>)</w:t>
      </w:r>
    </w:p>
    <w:p>
      <w:pPr>
        <w:pStyle w:val="Para 11"/>
      </w:pPr>
      <w:r>
        <w:t>Memory:</w:t>
        <w:t xml:space="preserve"> </w:t>
        <w:t>42</w:t>
        <w:t>.2M</w:t>
      </w:r>
    </w:p>
    <w:p>
      <w:pPr>
        <w:pStyle w:val="Para 11"/>
      </w:pPr>
      <w:r>
        <w:t>CGroup: /system.slice/telegraf.service</w:t>
      </w:r>
    </w:p>
    <w:p>
      <w:pPr>
        <w:pStyle w:val="Para 21"/>
      </w:pPr>
      <w:r>
        <w:t>└─2562 /usr/bin/telegraf -config /etc/telegraf/telegraf.conf -</w:t>
      </w:r>
    </w:p>
    <w:p>
      <w:pPr>
        <w:pStyle w:val="Normal"/>
      </w:pPr>
      <w:r>
        <w:t>config-directory /etc/telegraf/telegraf.d</w:t>
      </w:r>
    </w:p>
    <w:p>
      <w:pPr>
        <w:pStyle w:val="Normal"/>
      </w:pPr>
      <w:r>
        <w:t>...I! Loaded inputs: swap system cpu disk diskio kernel mem processes</w:t>
        <w:t xml:space="preserve"> </w:t>
        <w:t>...I! Loaded outputs: http prometheus_client</w:t>
      </w:r>
    </w:p>
    <w:p>
      <w:pPr>
        <w:pStyle w:val="Normal"/>
      </w:pPr>
      <w:r>
        <w:t>...I!</w:t>
        <w:t xml:space="preserve"> </w:t>
        <w:t>[</w:t>
        <w:t>agent</w:t>
        <w:t>]</w:t>
        <w:t xml:space="preserve"> </w:t>
        <w:t>Config: Interval:10s, Quiet:false, Hostname:</w:t>
        <w:t>"workload"</w:t>
        <w:t>, Flush Interval:10s</w:t>
        <w:t xml:space="preserve"> </w:t>
        <w:t>...I!</w:t>
        <w:t xml:space="preserve"> </w:t>
        <w:t>[</w:t>
        <w:t>outputs.prometheus_client</w:t>
        <w:t>]</w:t>
        <w:t xml:space="preserve"> </w:t>
        <w:t>Listening on http://127.0.0.1:9273/metrics</w:t>
      </w:r>
    </w:p>
    <w:p>
      <w:pPr>
        <w:pStyle w:val="Para 17"/>
      </w:pPr>
      <w:r>
        <w:t/>
      </w:r>
    </w:p>
    <w:p>
      <w:pPr>
        <w:pStyle w:val="Normal"/>
      </w:pPr>
      <w:r>
        <w:t>Verify that it is collecting metrics by connecting to Telegraf’s web interface:</w:t>
      </w:r>
    </w:p>
    <w:p>
      <w:pPr>
        <w:pStyle w:val="Normal"/>
      </w:pPr>
      <w:r>
        <w:t>workload:~# wget -O- http://workload:9273/metrics</w:t>
      </w:r>
    </w:p>
    <w:p>
      <w:pPr>
        <w:pStyle w:val="Para 10"/>
      </w:pPr>
      <w:r>
        <w:t># HELP cpu_usage_guest Telegraf collected metric</w:t>
      </w:r>
    </w:p>
    <w:p>
      <w:pPr>
        <w:pStyle w:val="Para 10"/>
      </w:pPr>
      <w:r>
        <w:t># TYPE cpu_usage_guest gauge</w:t>
      </w:r>
    </w:p>
    <w:p>
      <w:pPr>
        <w:pStyle w:val="Normal"/>
      </w:pPr>
      <w:r>
        <w:t>cpu_usage_guest</w:t>
        <w:t>{</w:t>
        <w:t>cpu</w:t>
        <w:t>=</w:t>
        <w:t>"cpu-total"</w:t>
        <w:t>,host</w:t>
        <w:t>=</w:t>
        <w:t>"workload"</w:t>
        <w:t>}</w:t>
        <w:t xml:space="preserve"> </w:t>
        <w:t>0</w:t>
        <w:t xml:space="preserve"> </w:t>
        <w:t>cpu_usage_guest</w:t>
        <w:t>{</w:t>
        <w:t>cpu</w:t>
        <w:t>=</w:t>
        <w:t>"cpu0"</w:t>
        <w:t>,host</w:t>
        <w:t>=</w:t>
        <w:t>"workload"</w:t>
        <w:t>}</w:t>
        <w:t xml:space="preserve"> </w:t>
        <w:t>0</w:t>
        <w:t xml:space="preserve"> </w:t>
        <w:t>cpu_usage_guest</w:t>
        <w:t>{</w:t>
        <w:t>cpu</w:t>
        <w:t>=</w:t>
        <w:t>"cpu1"</w:t>
        <w:t>,host</w:t>
        <w:t>=</w:t>
        <w:t>"workload"</w:t>
        <w:t>}</w:t>
        <w:t xml:space="preserve"> </w:t>
        <w:t>0</w:t>
        <w:t xml:space="preserve"> </w:t>
        <w:t>cpu_usage_guest</w:t>
        <w:t>{</w:t>
        <w:t>cpu</w:t>
        <w:t>=</w:t>
        <w:t>"cpu10"</w:t>
        <w:t>,host</w:t>
        <w:t>=</w:t>
        <w:t>"workload"</w:t>
        <w:t>}</w:t>
        <w:t xml:space="preserve"> </w:t>
        <w:t>0</w:t>
        <w:t xml:space="preserve"> </w:t>
        <w:t>...</w:t>
      </w:r>
    </w:p>
    <w:p>
      <w:pPr>
        <w:pStyle w:val="Normal"/>
      </w:pPr>
      <w:r>
        <w:t>cpu_usage_idle</w:t>
        <w:t>{</w:t>
        <w:t>cpu</w:t>
        <w:t>=</w:t>
        <w:t>"cpu-total"</w:t>
        <w:t>,host</w:t>
        <w:t>=</w:t>
        <w:t>"workload"</w:t>
        <w:t>}</w:t>
        <w:t xml:space="preserve"> </w:t>
        <w:t>92</w:t>
        <w:t>.74914376428686</w:t>
        <w:t xml:space="preserve"> </w:t>
        <w:t>cpu_usage_idle</w:t>
        <w:t>{</w:t>
        <w:t>cpu</w:t>
        <w:t>=</w:t>
        <w:t>"cpu0"</w:t>
        <w:t>,host</w:t>
        <w:t>=</w:t>
        <w:t>"workload"</w:t>
        <w:t>}</w:t>
        <w:t xml:space="preserve"> </w:t>
        <w:t>86</w:t>
        <w:t>.72897196325539</w:t>
        <w:t xml:space="preserve"> </w:t>
        <w:t>cpu_usage_idle</w:t>
        <w:t>{</w:t>
        <w:t>cpu</w:t>
        <w:t>=</w:t>
        <w:t>"cpu1"</w:t>
        <w:t>,host</w:t>
        <w:t>=</w:t>
        <w:t>"workload"</w:t>
        <w:t>}</w:t>
        <w:t xml:space="preserve"> </w:t>
        <w:t>90</w:t>
        <w:t>.11857707405758</w:t>
        <w:t xml:space="preserve"> </w:t>
        <w:t>cpu_usage_idle</w:t>
        <w:t>{</w:t>
        <w:t>cpu</w:t>
        <w:t>=</w:t>
        <w:t>"cpu10"</w:t>
        <w:t>,host</w:t>
        <w:t>=</w:t>
        <w:t>"workload"</w:t>
        <w:t>}</w:t>
        <w:t xml:space="preserve"> </w:t>
        <w:t>95</w:t>
        <w:t>.95141700494543</w:t>
      </w:r>
    </w:p>
    <w:p>
      <w:pPr>
        <w:pStyle w:val="Para 17"/>
      </w:pPr>
      <w:r>
        <w:t/>
      </w:r>
    </w:p>
    <w:p>
      <w:pPr>
        <w:pStyle w:val="Para 01"/>
      </w:pPr>
      <w:r>
        <w:t>Set up the Monitor node</w:t>
      </w:r>
    </w:p>
    <w:p>
      <w:pPr>
        <w:pStyle w:val="Para 17"/>
      </w:pPr>
      <w:r>
        <w:t/>
      </w:r>
    </w:p>
    <w:p>
      <w:pPr>
        <w:pStyle w:val="Normal"/>
      </w:pPr>
      <w:r>
        <w:t>Now let’s create the Monitor. As before, we’ll be using LXD as the container technology but feel free to adapt these steps to your chosen alternative:</w:t>
      </w:r>
    </w:p>
    <w:p>
      <w:pPr>
        <w:pStyle w:val="Normal"/>
      </w:pPr>
      <w:r>
        <w:t>$ lxc launch ubuntu:20.10 monitor</w:t>
      </w:r>
    </w:p>
    <w:p>
      <w:pPr>
        <w:pStyle w:val="Normal"/>
      </w:pPr>
      <w:r>
        <w:t>Creating monitor</w:t>
      </w:r>
    </w:p>
    <w:p>
      <w:pPr>
        <w:pStyle w:val="Normal"/>
      </w:pPr>
      <w:r>
        <w:t>Starting monitor</w:t>
      </w:r>
    </w:p>
    <w:p>
      <w:pPr>
        <w:pStyle w:val="Normal"/>
      </w:pPr>
      <w:r>
        <w:t>$ lxc</w:t>
        <w:t xml:space="preserve"> </w:t>
        <w:t>exec</w:t>
        <w:t xml:space="preserve"> </w:t>
        <w:t>monitor -- bash</w:t>
      </w:r>
    </w:p>
    <w:p>
      <w:pPr>
        <w:pStyle w:val="Normal"/>
      </w:pPr>
      <w:r>
        <w:t>monitor:~#</w:t>
      </w:r>
    </w:p>
    <w:p>
      <w:pPr>
        <w:pStyle w:val="Para 17"/>
      </w:pPr>
      <w:r>
        <w:t/>
      </w:r>
    </w:p>
    <w:p>
      <w:pPr>
        <w:pStyle w:val="Normal"/>
      </w:pPr>
      <w:r>
        <w:t>Make a note of the newly created container’s IP address, which we’ll need later on;</w:t>
      </w:r>
    </w:p>
    <w:p>
      <w:pPr>
        <w:pStyle w:val="Normal"/>
      </w:pPr>
      <w:r>
        <w:t>monitor:~# ip addr | grep</w:t>
        <w:t xml:space="preserve"> </w:t>
        <w:t>'inet .* global'</w:t>
        <w:t xml:space="preserve"> </w:t>
        <w:t>inet</w:t>
        <w:t xml:space="preserve"> </w:t>
        <w:t>10</w:t>
        <w:t>.69.244.104/24 brd</w:t>
        <w:t xml:space="preserve"> </w:t>
        <w:t>10</w:t>
        <w:t>.69.244.255 scope global dynamic eth0</w:t>
      </w:r>
    </w:p>
    <w:p>
      <w:pPr>
        <w:pStyle w:val="Para 17"/>
      </w:pPr>
      <w:r>
        <w:t/>
      </w:r>
    </w:p>
    <w:p>
      <w:pPr>
        <w:pStyle w:val="Normal"/>
      </w:pPr>
      <w:r>
        <w:t>Verify the Workload’s Telegraf instance can be reached from the Monitor:</w:t>
      </w:r>
    </w:p>
    <w:p>
      <w:pPr>
        <w:pStyle w:val="Normal"/>
      </w:pPr>
      <w:r>
        <w:t>monitor:~# wget -O- http://workload:9273/metrics</w:t>
      </w:r>
    </w:p>
    <w:p>
      <w:pPr>
        <w:pStyle w:val="Para 17"/>
      </w:pPr>
      <w:r>
        <w:t/>
      </w:r>
    </w:p>
    <w:p>
      <w:pPr>
        <w:pStyle w:val="Normal"/>
      </w:pPr>
      <w:r>
        <w:t xml:space="preserve">We’ll be setting up a few components to run on this node using their respective Snap pack-ages. LXD images should normally have snap pre-installed, but if not, install it manually: </w:t>
        <w:t>monitor:~# apt install snapd</w:t>
      </w:r>
    </w:p>
    <w:p>
      <w:bookmarkStart w:id="931" w:name="page_6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4" name="index-615_1.png" descr="index-615_1.png"/>
            <wp:cNvGraphicFramePr>
              <a:graphicFrameLocks noChangeAspect="1"/>
            </wp:cNvGraphicFramePr>
            <a:graphic>
              <a:graphicData uri="http://schemas.openxmlformats.org/drawingml/2006/picture">
                <pic:pic>
                  <pic:nvPicPr>
                    <pic:cNvPr id="0" name="index-615_1.png" descr="index-615_1.png"/>
                    <pic:cNvPicPr/>
                  </pic:nvPicPr>
                  <pic:blipFill>
                    <a:blip r:embed="rId638"/>
                    <a:stretch>
                      <a:fillRect/>
                    </a:stretch>
                  </pic:blipFill>
                  <pic:spPr>
                    <a:xfrm>
                      <a:off x="0" y="0"/>
                      <a:ext cx="914400" cy="266700"/>
                    </a:xfrm>
                    <a:prstGeom prst="rect">
                      <a:avLst/>
                    </a:prstGeom>
                  </pic:spPr>
                </pic:pic>
              </a:graphicData>
            </a:graphic>
          </wp:anchor>
        </w:drawing>
      </w:r>
      <w:bookmarkEnd w:id="931"/>
    </w:p>
    <w:p>
      <w:pPr>
        <w:pStyle w:val="Para 17"/>
      </w:pPr>
      <w:r>
        <w:t/>
      </w:r>
    </w:p>
    <w:p>
      <w:pPr>
        <w:pStyle w:val="Para 01"/>
      </w:pPr>
      <w:r>
        <w:t>Install Prometheus</w:t>
      </w:r>
    </w:p>
    <w:p>
      <w:pPr>
        <w:pStyle w:val="Para 17"/>
      </w:pPr>
      <w:r>
        <w:t/>
      </w:r>
    </w:p>
    <w:p>
      <w:pPr>
        <w:pStyle w:val="Normal"/>
      </w:pPr>
      <w:r>
        <w:t>Prometheus will be our data manager. It collects data from external sources – Telegraf in our case – and distributes it to various destinations such as email/pager alerts, web UIs, API clients, remote storage services, etc. We’ll get into those shortly.</w:t>
      </w:r>
    </w:p>
    <w:p>
      <w:pPr>
        <w:pStyle w:val="Normal"/>
      </w:pPr>
      <w:r>
        <w:t>Let’s install Prometheus itself, and the Prometheus Alertmanager plugin for alerts, along with the required dependencies:</w:t>
      </w:r>
    </w:p>
    <w:p>
      <w:pPr>
        <w:pStyle w:val="Normal"/>
      </w:pPr>
      <w:r>
        <w:t>monitor:~# snap install prometheus</w:t>
      </w:r>
    </w:p>
    <w:p>
      <w:pPr>
        <w:pStyle w:val="Normal"/>
      </w:pPr>
      <w:r>
        <w:t>monitor:~# snap install prometheus-alertmanager</w:t>
      </w:r>
    </w:p>
    <w:p>
      <w:pPr>
        <w:pStyle w:val="Para 17"/>
      </w:pPr>
      <w:r>
        <w:t/>
      </w:r>
    </w:p>
    <w:p>
      <w:pPr>
        <w:pStyle w:val="Normal"/>
      </w:pPr>
      <w:r>
        <w:t>The snap will automatically configure and start the service. To verify this, run:</w:t>
      </w:r>
    </w:p>
    <w:p>
      <w:pPr>
        <w:pStyle w:val="Normal"/>
      </w:pPr>
      <w:r>
        <w:t>monitor:~# snap services</w:t>
      </w:r>
    </w:p>
    <w:p>
      <w:pPr>
        <w:pStyle w:val="Normal"/>
      </w:pPr>
      <w:r>
        <w:t>Service</w:t>
        <w:t xml:space="preserve"> </w:t>
        <w:t>Startup</w:t>
        <w:t xml:space="preserve"> </w:t>
        <w:t>Current</w:t>
        <w:t xml:space="preserve"> </w:t>
        <w:t>Notes</w:t>
        <w:t xml:space="preserve"> </w:t>
        <w:t>lxd.activate</w:t>
        <w:t xml:space="preserve"> </w:t>
        <w:t>enabled</w:t>
        <w:t xml:space="preserve"> </w:t>
        <w:t>inactive</w:t>
        <w:t xml:space="preserve"> </w:t>
        <w:t>-</w:t>
        <w:t>lxd.daemon</w:t>
        <w:t xml:space="preserve"> </w:t>
        <w:t>enabled</w:t>
        <w:t xml:space="preserve"> </w:t>
        <w:t>inactive</w:t>
        <w:t xml:space="preserve"> </w:t>
        <w:t>socket-activated</w:t>
        <w:t xml:space="preserve"> </w:t>
        <w:t>prometheus.prometheus</w:t>
        <w:t xml:space="preserve"> </w:t>
        <w:t>enabled</w:t>
        <w:t xml:space="preserve"> </w:t>
        <w:t>active</w:t>
        <w:t xml:space="preserve"> </w:t>
        <w:t>-</w:t>
        <w:t>prometheus-alertmanager.alertmanager</w:t>
        <w:t xml:space="preserve"> </w:t>
        <w:t>enabled</w:t>
        <w:t xml:space="preserve"> </w:t>
        <w:t>active</w:t>
        <w:t xml:space="preserve"> </w:t>
        <w:t>-</w:t>
      </w:r>
    </w:p>
    <w:p>
      <w:pPr>
        <w:pStyle w:val="Para 17"/>
      </w:pPr>
      <w:r>
        <w:t/>
      </w:r>
    </w:p>
    <w:p>
      <w:pPr>
        <w:pStyle w:val="Normal"/>
      </w:pPr>
      <w:r>
        <w:t>Verify that Prometheus is listening on the port as we expect:</w:t>
      </w:r>
    </w:p>
    <w:p>
      <w:pPr>
        <w:pStyle w:val="Normal"/>
      </w:pPr>
      <w:r>
        <w:t>visualizer:~# ss -tulpn | grep prometheus</w:t>
      </w:r>
    </w:p>
    <w:p>
      <w:pPr>
        <w:pStyle w:val="Normal"/>
      </w:pPr>
      <w:r>
        <w:t>tcp</w:t>
        <w:t xml:space="preserve"> </w:t>
        <w:t>LISTEN</w:t>
        <w:t xml:space="preserve"> </w:t>
        <w:t>0</w:t>
        <w:t xml:space="preserve"> </w:t>
        <w:t>128</w:t>
        <w:t xml:space="preserve"> </w:t>
        <w:t>*:9090</w:t>
        <w:t xml:space="preserve"> </w:t>
        <w:t>*:*</w:t>
        <w:t xml:space="preserve"> </w:t>
        <w:t>users:</w:t>
        <w:t>((</w:t>
        <w:t xml:space="preserve"> </w:t>
        <w:t>"prometheus"</w:t>
        <w:t>,pid</w:t>
        <w:t>=</w:t>
        <w:t>618</w:t>
        <w:t>,fd</w:t>
        <w:t>=</w:t>
        <w:t>8</w:t>
        <w:t>))</w:t>
      </w:r>
    </w:p>
    <w:p>
      <w:pPr>
        <w:pStyle w:val="Para 17"/>
      </w:pPr>
      <w:r>
        <w:t/>
      </w:r>
    </w:p>
    <w:p>
      <w:pPr>
        <w:pStyle w:val="Normal"/>
      </w:pPr>
      <w:r>
        <w:t>journalctl can be also used to review the state of Snap services if more detail is needed. For example, to see where Prometheus is loading its config from:</w:t>
      </w:r>
    </w:p>
    <w:p>
      <w:pPr>
        <w:pStyle w:val="Normal"/>
      </w:pPr>
      <w:r>
        <w:t>monitor:~# journalctl | grep</w:t>
        <w:t xml:space="preserve"> </w:t>
        <w:t>"prometheus.*config"</w:t>
        <w:t xml:space="preserve"> </w:t>
        <w:t>...</w:t>
      </w:r>
    </w:p>
    <w:p>
      <w:pPr>
        <w:pStyle w:val="Normal"/>
      </w:pPr>
      <w:r>
        <w:t>...msg</w:t>
        <w:t>=</w:t>
        <w:t>"Completed loading of configuration file"</w:t>
        <w:t xml:space="preserve"> </w:t>
        <w:t>filename</w:t>
        <w:t>=</w:t>
        <w:t>/var/snap/prometheus/32/</w:t>
        <w:t xml:space="preserve"> </w:t>
        <w:t>prometheus.yml</w:t>
      </w:r>
    </w:p>
    <w:p>
      <w:pPr>
        <w:pStyle w:val="Para 17"/>
      </w:pPr>
      <w:r>
        <w:t/>
      </w:r>
    </w:p>
    <w:p>
      <w:pPr>
        <w:pStyle w:val="Normal"/>
      </w:pPr>
      <w:r>
        <w:t>Although the file name points to a specific Snap revision (32, in this case), we can use the generic config file /var/snap/prometheus/current/prometheus.yml here in order to make things more general. Edit this config file to register the targets we’ll be reading data from. This will go under the scrape_configs section of the file:</w:t>
      </w:r>
    </w:p>
    <w:p>
      <w:pPr>
        <w:pStyle w:val="Normal"/>
      </w:pPr>
      <w:r>
        <w:t>scrape_configs:</w:t>
      </w:r>
    </w:p>
    <w:p>
      <w:pPr>
        <w:pStyle w:val="Para 17"/>
      </w:pPr>
      <w:r>
        <w:t># The job name is added as a label `job=&lt;job_name&gt;` to any timeseries scraped from this</w:t>
      </w:r>
    </w:p>
    <w:p>
      <w:pPr>
        <w:pStyle w:val="Normal"/>
      </w:pPr>
      <w:r>
        <w:t>config.</w:t>
      </w:r>
    </w:p>
    <w:p>
      <w:pPr>
        <w:pStyle w:val="Para 03"/>
      </w:pPr>
      <w:r>
        <w:t>- job_name: 'prometheus'</w:t>
      </w:r>
    </w:p>
    <w:p>
      <w:pPr>
        <w:pStyle w:val="Para 06"/>
      </w:pPr>
      <w:r>
        <w:t># metrics_path defaults to '/metrics'</w:t>
      </w:r>
    </w:p>
    <w:p>
      <w:pPr>
        <w:pStyle w:val="Para 06"/>
      </w:pPr>
      <w:r>
        <w:t># scheme defaults to 'http'.</w:t>
      </w:r>
    </w:p>
    <w:p>
      <w:pPr>
        <w:pStyle w:val="Para 06"/>
      </w:pPr>
      <w:r>
        <w:t>static_configs:</w:t>
      </w:r>
    </w:p>
    <w:p>
      <w:pPr>
        <w:pStyle w:val="Para 06"/>
      </w:pPr>
      <w:r>
        <w:t>- targets: ['localhost:9090']</w:t>
      </w:r>
    </w:p>
    <w:p>
      <w:pPr>
        <w:pStyle w:val="Para 03"/>
      </w:pPr>
      <w:r>
        <w:t>- job_name: 'telegraf'</w:t>
      </w:r>
    </w:p>
    <w:p>
      <w:pPr>
        <w:pStyle w:val="Para 09"/>
      </w:pPr>
      <w:r>
        <w:t>(continues on next page)</w:t>
      </w:r>
    </w:p>
    <w:p>
      <w:bookmarkStart w:id="932" w:name="page_6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5" name="index-616_1.png" descr="index-616_1.png"/>
            <wp:cNvGraphicFramePr>
              <a:graphicFrameLocks noChangeAspect="1"/>
            </wp:cNvGraphicFramePr>
            <a:graphic>
              <a:graphicData uri="http://schemas.openxmlformats.org/drawingml/2006/picture">
                <pic:pic>
                  <pic:nvPicPr>
                    <pic:cNvPr id="0" name="index-616_1.png" descr="index-616_1.png"/>
                    <pic:cNvPicPr/>
                  </pic:nvPicPr>
                  <pic:blipFill>
                    <a:blip r:embed="rId639"/>
                    <a:stretch>
                      <a:fillRect/>
                    </a:stretch>
                  </pic:blipFill>
                  <pic:spPr>
                    <a:xfrm>
                      <a:off x="0" y="0"/>
                      <a:ext cx="914400" cy="266700"/>
                    </a:xfrm>
                    <a:prstGeom prst="rect">
                      <a:avLst/>
                    </a:prstGeom>
                  </pic:spPr>
                </pic:pic>
              </a:graphicData>
            </a:graphic>
          </wp:anchor>
        </w:drawing>
      </w:r>
      <w:bookmarkEnd w:id="932"/>
    </w:p>
    <w:p>
      <w:pPr>
        <w:pStyle w:val="Para 09"/>
      </w:pPr>
      <w:r>
        <w:t>(continued from previous page)</w:t>
      </w:r>
    </w:p>
    <w:p>
      <w:pPr>
        <w:pStyle w:val="Para 06"/>
      </w:pPr>
      <w:r>
        <w:t>static_configs:</w:t>
      </w:r>
    </w:p>
    <w:p>
      <w:pPr>
        <w:pStyle w:val="Para 06"/>
      </w:pPr>
      <w:r>
        <w:t>- targets: ['workload:9273']</w:t>
      </w:r>
    </w:p>
    <w:p>
      <w:pPr>
        <w:pStyle w:val="Para 17"/>
      </w:pPr>
      <w:r>
        <w:t/>
      </w:r>
    </w:p>
    <w:p>
      <w:pPr>
        <w:pStyle w:val="Normal"/>
      </w:pPr>
      <w:r>
        <w:t>Then restart Prometheus:</w:t>
      </w:r>
    </w:p>
    <w:p>
      <w:pPr>
        <w:pStyle w:val="Normal"/>
      </w:pPr>
      <w:r>
        <w:t>monitor:~# snap restart prometheus</w:t>
      </w:r>
    </w:p>
    <w:p>
      <w:pPr>
        <w:pStyle w:val="Para 17"/>
      </w:pPr>
      <w:r>
        <w:t/>
      </w:r>
    </w:p>
    <w:p>
      <w:pPr>
        <w:pStyle w:val="Normal"/>
      </w:pPr>
      <w:r>
        <w:t>While we’ll be using Grafana for visualization, Prometheus also has a web interface for view-ing and interacting with the collected data. At this stage, we can load it to verify that our setup is working properly. In a web browser, navigate to the Monitor’s IP address, and port 9090. You should see Prometheus’ interface, as in the following image: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413000"/>
            <wp:effectExtent l="0" r="0" t="0" b="0"/>
            <wp:wrapTopAndBottom/>
            <wp:docPr id="636" name="index-616_2.png" descr="index-616_2.png"/>
            <wp:cNvGraphicFramePr>
              <a:graphicFrameLocks noChangeAspect="1"/>
            </wp:cNvGraphicFramePr>
            <a:graphic>
              <a:graphicData uri="http://schemas.openxmlformats.org/drawingml/2006/picture">
                <pic:pic>
                  <pic:nvPicPr>
                    <pic:cNvPr id="0" name="index-616_2.png" descr="index-616_2.png"/>
                    <pic:cNvPicPr/>
                  </pic:nvPicPr>
                  <pic:blipFill>
                    <a:blip r:embed="rId640"/>
                    <a:stretch>
                      <a:fillRect/>
                    </a:stretch>
                  </pic:blipFill>
                  <pic:spPr>
                    <a:xfrm>
                      <a:off x="0" y="0"/>
                      <a:ext cx="3670300" cy="2413000"/>
                    </a:xfrm>
                    <a:prstGeom prst="rect">
                      <a:avLst/>
                    </a:prstGeom>
                  </pic:spPr>
                </pic:pic>
              </a:graphicData>
            </a:graphic>
          </wp:anchor>
        </w:drawing>
      </w:r>
    </w:p>
    <w:p>
      <w:pPr>
        <w:pStyle w:val="Para 17"/>
      </w:pPr>
      <w:r>
        <w:t/>
      </w:r>
    </w:p>
    <w:p>
      <w:pPr>
        <w:pStyle w:val="Normal"/>
      </w:pPr>
      <w:r>
        <w:t>In the entry box, enter cpu_usage_system, select the “Graph” tab and click “Execute”. This should show a graph of our collected CPU data so far. Prometheus also has a secondary web UI using React.js.</w:t>
      </w:r>
    </w:p>
    <w:p>
      <w:bookmarkStart w:id="933" w:name="calibre_pb_158"/>
      <w:pPr>
        <w:pStyle w:val="0 Block"/>
      </w:pPr>
      <w:bookmarkEnd w:id="933"/>
    </w:p>
    <w:p>
      <w:bookmarkStart w:id="934" w:name="Top_of_index_split_159_html"/>
      <w:bookmarkStart w:id="935" w:name="page_61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7" name="index-617_1.png" descr="index-617_1.png"/>
            <wp:cNvGraphicFramePr>
              <a:graphicFrameLocks noChangeAspect="1"/>
            </wp:cNvGraphicFramePr>
            <a:graphic>
              <a:graphicData uri="http://schemas.openxmlformats.org/drawingml/2006/picture">
                <pic:pic>
                  <pic:nvPicPr>
                    <pic:cNvPr id="0" name="index-617_1.png" descr="index-617_1.png"/>
                    <pic:cNvPicPr/>
                  </pic:nvPicPr>
                  <pic:blipFill>
                    <a:blip r:embed="rId641"/>
                    <a:stretch>
                      <a:fillRect/>
                    </a:stretch>
                  </pic:blipFill>
                  <pic:spPr>
                    <a:xfrm>
                      <a:off x="0" y="0"/>
                      <a:ext cx="914400" cy="266700"/>
                    </a:xfrm>
                    <a:prstGeom prst="rect">
                      <a:avLst/>
                    </a:prstGeom>
                  </pic:spPr>
                </pic:pic>
              </a:graphicData>
            </a:graphic>
          </wp:anchor>
        </w:drawing>
      </w:r>
      <w:bookmarkEnd w:id="934"/>
      <w:bookmarkEnd w:id="9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38" name="index-617_2.png" descr="index-617_2.png"/>
            <wp:cNvGraphicFramePr>
              <a:graphicFrameLocks noChangeAspect="1"/>
            </wp:cNvGraphicFramePr>
            <a:graphic>
              <a:graphicData uri="http://schemas.openxmlformats.org/drawingml/2006/picture">
                <pic:pic>
                  <pic:nvPicPr>
                    <pic:cNvPr id="0" name="index-617_2.png" descr="index-617_2.png"/>
                    <pic:cNvPicPr/>
                  </pic:nvPicPr>
                  <pic:blipFill>
                    <a:blip r:embed="rId642"/>
                    <a:stretch>
                      <a:fillRect/>
                    </a:stretch>
                  </pic:blipFill>
                  <pic:spPr>
                    <a:xfrm>
                      <a:off x="0" y="0"/>
                      <a:ext cx="3670300" cy="3390900"/>
                    </a:xfrm>
                    <a:prstGeom prst="rect">
                      <a:avLst/>
                    </a:prstGeom>
                  </pic:spPr>
                </pic:pic>
              </a:graphicData>
            </a:graphic>
          </wp:anchor>
        </w:drawing>
      </w:r>
    </w:p>
    <w:p>
      <w:bookmarkStart w:id="936" w:name="page_6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39" name="index-618_1.png" descr="index-618_1.png"/>
            <wp:cNvGraphicFramePr>
              <a:graphicFrameLocks noChangeAspect="1"/>
            </wp:cNvGraphicFramePr>
            <a:graphic>
              <a:graphicData uri="http://schemas.openxmlformats.org/drawingml/2006/picture">
                <pic:pic>
                  <pic:nvPicPr>
                    <pic:cNvPr id="0" name="index-618_1.png" descr="index-618_1.png"/>
                    <pic:cNvPicPr/>
                  </pic:nvPicPr>
                  <pic:blipFill>
                    <a:blip r:embed="rId643"/>
                    <a:stretch>
                      <a:fillRect/>
                    </a:stretch>
                  </pic:blipFill>
                  <pic:spPr>
                    <a:xfrm>
                      <a:off x="0" y="0"/>
                      <a:ext cx="914400" cy="266700"/>
                    </a:xfrm>
                    <a:prstGeom prst="rect">
                      <a:avLst/>
                    </a:prstGeom>
                  </pic:spPr>
                </pic:pic>
              </a:graphicData>
            </a:graphic>
          </wp:anchor>
        </w:drawing>
      </w:r>
      <w:bookmarkEnd w:id="936"/>
    </w:p>
    <w:p>
      <w:pPr>
        <w:pStyle w:val="Para 01"/>
      </w:pPr>
      <w:r>
        <w:t>Configure Alertmanager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40" name="index-618_2.png" descr="index-618_2.png"/>
            <wp:cNvGraphicFramePr>
              <a:graphicFrameLocks noChangeAspect="1"/>
            </wp:cNvGraphicFramePr>
            <a:graphic>
              <a:graphicData uri="http://schemas.openxmlformats.org/drawingml/2006/picture">
                <pic:pic>
                  <pic:nvPicPr>
                    <pic:cNvPr id="0" name="index-618_2.png" descr="index-618_2.png"/>
                    <pic:cNvPicPr/>
                  </pic:nvPicPr>
                  <pic:blipFill>
                    <a:blip r:embed="rId644"/>
                    <a:stretch>
                      <a:fillRect/>
                    </a:stretch>
                  </pic:blipFill>
                  <pic:spPr>
                    <a:xfrm>
                      <a:off x="0" y="0"/>
                      <a:ext cx="3670300" cy="3390900"/>
                    </a:xfrm>
                    <a:prstGeom prst="rect">
                      <a:avLst/>
                    </a:prstGeom>
                  </pic:spPr>
                </pic:pic>
              </a:graphicData>
            </a:graphic>
          </wp:anchor>
        </w:drawing>
      </w:r>
    </w:p>
    <w:p>
      <w:pPr>
        <w:pStyle w:val="Para 17"/>
      </w:pPr>
      <w:r>
        <w:t/>
      </w:r>
    </w:p>
    <w:p>
      <w:pPr>
        <w:pStyle w:val="Normal"/>
      </w:pPr>
      <w:r>
        <w:t>Let’s tackle the Alert Manager next. Edit /var/snap/prometheus/current/prometheus.yml again, adding the following to the alerting and rules_files sections:</w:t>
      </w:r>
    </w:p>
    <w:p>
      <w:pPr>
        <w:pStyle w:val="Normal"/>
      </w:pPr>
      <w:r>
        <w:t>## /var/snap/prometheus/current/prometheus.yml</w:t>
      </w:r>
    </w:p>
    <w:p>
      <w:pPr>
        <w:pStyle w:val="Normal"/>
      </w:pPr>
      <w:r>
        <w:t>#...</w:t>
      </w:r>
    </w:p>
    <w:p>
      <w:pPr>
        <w:pStyle w:val="Normal"/>
      </w:pPr>
      <w:r>
        <w:t># Alertmanager configuration</w:t>
      </w:r>
    </w:p>
    <w:p>
      <w:pPr>
        <w:pStyle w:val="Normal"/>
      </w:pPr>
      <w:r>
        <w:t>alerting:</w:t>
      </w:r>
    </w:p>
    <w:p>
      <w:pPr>
        <w:pStyle w:val="Para 03"/>
      </w:pPr>
      <w:r>
        <w:t>alertmanagers:</w:t>
      </w:r>
    </w:p>
    <w:p>
      <w:pPr>
        <w:pStyle w:val="Para 03"/>
      </w:pPr>
      <w:r>
        <w:t>- static_configs:</w:t>
      </w:r>
    </w:p>
    <w:p>
      <w:pPr>
        <w:pStyle w:val="Para 06"/>
      </w:pPr>
      <w:r>
        <w:t>- targets:</w:t>
      </w:r>
    </w:p>
    <w:p>
      <w:pPr>
        <w:pStyle w:val="Para 11"/>
      </w:pPr>
      <w:r>
        <w:t>- 127.0.0.1:9093</w:t>
      </w:r>
    </w:p>
    <w:p>
      <w:pPr>
        <w:pStyle w:val="Normal"/>
      </w:pPr>
      <w:r>
        <w:t>rule_files:</w:t>
      </w:r>
    </w:p>
    <w:p>
      <w:pPr>
        <w:pStyle w:val="Para 03"/>
      </w:pPr>
      <w:r>
        <w:t>- 'alerts.yml'</w:t>
      </w:r>
    </w:p>
    <w:p>
      <w:pPr>
        <w:pStyle w:val="Para 17"/>
      </w:pPr>
      <w:r>
        <w:t/>
      </w:r>
    </w:p>
    <w:p>
      <w:pPr>
        <w:pStyle w:val="Normal"/>
      </w:pPr>
      <w:r>
        <w:t>Now create /var/snap/prometheus/current/alerts.yml with the following contents:</w:t>
      </w:r>
    </w:p>
    <w:p>
      <w:pPr>
        <w:pStyle w:val="Normal"/>
      </w:pPr>
      <w:r>
        <w:t>## /var/snap/prometheus/current/alerts.yml</w:t>
      </w:r>
    </w:p>
    <w:p>
      <w:pPr>
        <w:pStyle w:val="Para 09"/>
      </w:pPr>
      <w:r>
        <w:t>(continues on next page)</w:t>
      </w:r>
    </w:p>
    <w:p>
      <w:bookmarkStart w:id="937" w:name="page_6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1" name="index-619_1.png" descr="index-619_1.png"/>
            <wp:cNvGraphicFramePr>
              <a:graphicFrameLocks noChangeAspect="1"/>
            </wp:cNvGraphicFramePr>
            <a:graphic>
              <a:graphicData uri="http://schemas.openxmlformats.org/drawingml/2006/picture">
                <pic:pic>
                  <pic:nvPicPr>
                    <pic:cNvPr id="0" name="index-619_1.png" descr="index-619_1.png"/>
                    <pic:cNvPicPr/>
                  </pic:nvPicPr>
                  <pic:blipFill>
                    <a:blip r:embed="rId645"/>
                    <a:stretch>
                      <a:fillRect/>
                    </a:stretch>
                  </pic:blipFill>
                  <pic:spPr>
                    <a:xfrm>
                      <a:off x="0" y="0"/>
                      <a:ext cx="914400" cy="266700"/>
                    </a:xfrm>
                    <a:prstGeom prst="rect">
                      <a:avLst/>
                    </a:prstGeom>
                  </pic:spPr>
                </pic:pic>
              </a:graphicData>
            </a:graphic>
          </wp:anchor>
        </w:drawing>
      </w:r>
      <w:bookmarkEnd w:id="937"/>
    </w:p>
    <w:p>
      <w:pPr>
        <w:pStyle w:val="Para 09"/>
      </w:pPr>
      <w:r>
        <w:t>(continued from previous page)</w:t>
      </w:r>
    </w:p>
    <w:p>
      <w:pPr>
        <w:pStyle w:val="Normal"/>
      </w:pPr>
      <w:r>
        <w:t>groups:</w:t>
      </w:r>
    </w:p>
    <w:p>
      <w:pPr>
        <w:pStyle w:val="Normal"/>
      </w:pPr>
      <w:r>
        <w:t>- name: demo-alerts</w:t>
      </w:r>
    </w:p>
    <w:p>
      <w:pPr>
        <w:pStyle w:val="Para 03"/>
      </w:pPr>
      <w:r>
        <w:t>rules:</w:t>
      </w:r>
    </w:p>
    <w:p>
      <w:pPr>
        <w:pStyle w:val="Para 03"/>
      </w:pPr>
      <w:r>
        <w:t>- alert: HighLoad</w:t>
      </w:r>
    </w:p>
    <w:p>
      <w:pPr>
        <w:pStyle w:val="Para 06"/>
      </w:pPr>
      <w:r>
        <w:t>expr: node_load1 &gt; 2.0</w:t>
      </w:r>
    </w:p>
    <w:p>
      <w:pPr>
        <w:pStyle w:val="Para 06"/>
      </w:pPr>
      <w:r>
        <w:t>for: 60m</w:t>
      </w:r>
    </w:p>
    <w:p>
      <w:pPr>
        <w:pStyle w:val="Para 06"/>
      </w:pPr>
      <w:r>
        <w:t>labels:</w:t>
      </w:r>
    </w:p>
    <w:p>
      <w:pPr>
        <w:pStyle w:val="Para 11"/>
      </w:pPr>
      <w:r>
        <w:t>severity: normal</w:t>
      </w:r>
    </w:p>
    <w:p>
      <w:pPr>
        <w:pStyle w:val="Para 06"/>
      </w:pPr>
      <w:r>
        <w:t>annotations:</w:t>
      </w:r>
    </w:p>
    <w:p>
      <w:pPr>
        <w:pStyle w:val="Para 11"/>
      </w:pPr>
      <w:r>
        <w:t>description: '{{ $labels.instance }} of job {{ $labels.job }} is under high</w:t>
      </w:r>
    </w:p>
    <w:p>
      <w:pPr>
        <w:pStyle w:val="Normal"/>
      </w:pPr>
      <w:r>
        <w:t>load.'</w:t>
      </w:r>
    </w:p>
    <w:p>
      <w:pPr>
        <w:pStyle w:val="Para 11"/>
      </w:pPr>
      <w:r>
        <w:t>summary: Instance {{ $labels.instance }} under high load.</w:t>
        <w:t xml:space="preserve"> </w:t>
        <w:t>value: '{{ $value }}'</w:t>
      </w:r>
    </w:p>
    <w:p>
      <w:pPr>
        <w:pStyle w:val="Para 03"/>
      </w:pPr>
      <w:r>
        <w:t>- alert: InstanceDown</w:t>
      </w:r>
    </w:p>
    <w:p>
      <w:pPr>
        <w:pStyle w:val="Para 06"/>
      </w:pPr>
      <w:r>
        <w:t>expr: up == 0</w:t>
      </w:r>
    </w:p>
    <w:p>
      <w:pPr>
        <w:pStyle w:val="Para 06"/>
      </w:pPr>
      <w:r>
        <w:t>for: 5m</w:t>
      </w:r>
    </w:p>
    <w:p>
      <w:pPr>
        <w:pStyle w:val="Para 06"/>
      </w:pPr>
      <w:r>
        <w:t>labels:</w:t>
      </w:r>
    </w:p>
    <w:p>
      <w:pPr>
        <w:pStyle w:val="Para 11"/>
      </w:pPr>
      <w:r>
        <w:t>severity: major</w:t>
      </w:r>
    </w:p>
    <w:p>
      <w:pPr>
        <w:pStyle w:val="Para 06"/>
      </w:pPr>
      <w:r>
        <w:t>annotations:</w:t>
      </w:r>
    </w:p>
    <w:p>
      <w:pPr>
        <w:pStyle w:val="Para 11"/>
      </w:pPr>
      <w:r>
        <w:t>summary: "Instance {{ $labels.instance }} down"</w:t>
      </w:r>
    </w:p>
    <w:p>
      <w:pPr>
        <w:pStyle w:val="Para 11"/>
      </w:pPr>
      <w:r>
        <w:t>description: "{{ $labels.instance }} of job {{ $labels.job }} has been down for</w:t>
      </w:r>
    </w:p>
    <w:p>
      <w:pPr>
        <w:pStyle w:val="Normal"/>
      </w:pPr>
      <w:r>
        <w:t>more than 5 minutes."</w:t>
      </w:r>
    </w:p>
    <w:p>
      <w:pPr>
        <w:pStyle w:val="Para 17"/>
      </w:pPr>
      <w:r>
        <w:t/>
      </w:r>
    </w:p>
    <w:p>
      <w:pPr>
        <w:pStyle w:val="Normal"/>
      </w:pPr>
      <w:r>
        <w:t>This adds two alerts: one for high processor load, and one to report if the node has been unreachable for over 5 minutes. We’re considering high CPU to be a load of 2 or higher for an hour; this would need to be set to something more sensible for the style of workloads your production system experiences.</w:t>
      </w:r>
    </w:p>
    <w:p>
      <w:pPr>
        <w:pStyle w:val="Normal"/>
      </w:pPr>
      <w:r>
        <w:t>With the alerts themselves now defined, we next need to instruct Alertmanager how to han-dle them. There is a sample configuration installed to /var/snap/prometheus-alertmanager/ current/alertmanager.yml, however it’s full of example data. Instead, replace it entirely with this content:</w:t>
      </w:r>
    </w:p>
    <w:p>
      <w:pPr>
        <w:pStyle w:val="Normal"/>
      </w:pPr>
      <w:r>
        <w:t>## /var/snap/prometheus-alertmanager/current/alertmanager.yml</w:t>
        <w:t xml:space="preserve"> </w:t>
        <w:t>global:</w:t>
      </w:r>
    </w:p>
    <w:p>
      <w:pPr>
        <w:pStyle w:val="Para 03"/>
      </w:pPr>
      <w:r>
        <w:t>resolve_timeout: 5m</w:t>
      </w:r>
    </w:p>
    <w:p>
      <w:pPr>
        <w:pStyle w:val="Normal"/>
      </w:pPr>
      <w:r>
        <w:t>route:</w:t>
      </w:r>
    </w:p>
    <w:p>
      <w:pPr>
        <w:pStyle w:val="Para 03"/>
      </w:pPr>
      <w:r>
        <w:t>group_by: ['alertname']</w:t>
      </w:r>
    </w:p>
    <w:p>
      <w:pPr>
        <w:pStyle w:val="Para 03"/>
      </w:pPr>
      <w:r>
        <w:t>group_wait: 10s</w:t>
      </w:r>
    </w:p>
    <w:p>
      <w:pPr>
        <w:pStyle w:val="Para 03"/>
      </w:pPr>
      <w:r>
        <w:t>group_interval: 10s</w:t>
      </w:r>
    </w:p>
    <w:p>
      <w:pPr>
        <w:pStyle w:val="Para 03"/>
      </w:pPr>
      <w:r>
        <w:t>repeat_interval: 1h</w:t>
      </w:r>
    </w:p>
    <w:p>
      <w:pPr>
        <w:pStyle w:val="Normal"/>
      </w:pPr>
      <w:r>
        <w:t>inhibit_rules:</w:t>
      </w:r>
    </w:p>
    <w:p>
      <w:pPr>
        <w:pStyle w:val="Para 03"/>
      </w:pPr>
      <w:r>
        <w:t>- source_match:</w:t>
      </w:r>
    </w:p>
    <w:p>
      <w:pPr>
        <w:pStyle w:val="Para 11"/>
      </w:pPr>
      <w:r>
        <w:t>severity: 'critical'</w:t>
      </w:r>
    </w:p>
    <w:p>
      <w:pPr>
        <w:pStyle w:val="Para 06"/>
      </w:pPr>
      <w:r>
        <w:t>target_match:</w:t>
      </w:r>
    </w:p>
    <w:p>
      <w:pPr>
        <w:pStyle w:val="Para 11"/>
      </w:pPr>
      <w:r>
        <w:t>severity: 'warning'</w:t>
      </w:r>
    </w:p>
    <w:p>
      <w:pPr>
        <w:pStyle w:val="Para 06"/>
      </w:pPr>
      <w:r>
        <w:t>equal: ['alertname', 'dev', 'instance']</w:t>
      </w:r>
    </w:p>
    <w:p>
      <w:pPr>
        <w:pStyle w:val="Para 17"/>
      </w:pPr>
      <w:r>
        <w:t/>
      </w:r>
    </w:p>
    <w:p>
      <w:pPr>
        <w:pStyle w:val="Normal"/>
      </w:pPr>
      <w:r>
        <w:t>Restart Alertmanager after making the configuration change:</w:t>
      </w:r>
    </w:p>
    <w:p>
      <w:pPr>
        <w:pStyle w:val="Normal"/>
      </w:pPr>
      <w:r>
        <w:t>workload:~# snap restart prometheus-alertmanager</w:t>
      </w:r>
    </w:p>
    <w:p>
      <w:bookmarkStart w:id="938" w:name="page_6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2" name="index-620_1.png" descr="index-620_1.png"/>
            <wp:cNvGraphicFramePr>
              <a:graphicFrameLocks noChangeAspect="1"/>
            </wp:cNvGraphicFramePr>
            <a:graphic>
              <a:graphicData uri="http://schemas.openxmlformats.org/drawingml/2006/picture">
                <pic:pic>
                  <pic:nvPicPr>
                    <pic:cNvPr id="0" name="index-620_1.png" descr="index-620_1.png"/>
                    <pic:cNvPicPr/>
                  </pic:nvPicPr>
                  <pic:blipFill>
                    <a:blip r:embed="rId646"/>
                    <a:stretch>
                      <a:fillRect/>
                    </a:stretch>
                  </pic:blipFill>
                  <pic:spPr>
                    <a:xfrm>
                      <a:off x="0" y="0"/>
                      <a:ext cx="914400" cy="266700"/>
                    </a:xfrm>
                    <a:prstGeom prst="rect">
                      <a:avLst/>
                    </a:prstGeom>
                  </pic:spPr>
                </pic:pic>
              </a:graphicData>
            </a:graphic>
          </wp:anchor>
        </w:drawing>
      </w:r>
      <w:bookmarkEnd w:id="938"/>
    </w:p>
    <w:p>
      <w:pPr>
        <w:pStyle w:val="Para 01"/>
      </w:pPr>
      <w:r>
        <w:t>Install Grafana</w:t>
      </w:r>
    </w:p>
    <w:p>
      <w:pPr>
        <w:pStyle w:val="Para 17"/>
      </w:pPr>
      <w:r>
        <w:t/>
      </w:r>
    </w:p>
    <w:p>
      <w:pPr>
        <w:pStyle w:val="Normal"/>
      </w:pPr>
      <w:r>
        <w:t>Grafana provides our main dashboard, from which we can generate graphs and other visuals to study the collected metrics. Grafana can read its data directly from log files, but we’ll focus on using Prometheus as its principle data source. Grafana is available as a Snap and can be installed like this:</w:t>
      </w:r>
    </w:p>
    <w:p>
      <w:pPr>
        <w:pStyle w:val="Normal"/>
      </w:pPr>
      <w:r>
        <w:t>monitor:~# snap install grafana</w:t>
      </w:r>
    </w:p>
    <w:p>
      <w:pPr>
        <w:pStyle w:val="Normal"/>
      </w:pPr>
      <w:r>
        <w:t>grafana</w:t>
        <w:t xml:space="preserve"> </w:t>
        <w:t>6</w:t>
        <w:t>.7.4 from Alvaro Uría</w:t>
        <w:t xml:space="preserve"> </w:t>
        <w:t>(</w:t>
        <w:t>aluria</w:t>
        <w:t>)</w:t>
        <w:t xml:space="preserve"> </w:t>
        <w:t>installed</w:t>
      </w:r>
    </w:p>
    <w:p>
      <w:pPr>
        <w:pStyle w:val="Para 17"/>
      </w:pPr>
      <w:r>
        <w:t/>
      </w:r>
    </w:p>
    <w:p>
      <w:pPr>
        <w:pStyle w:val="Normal"/>
      </w:pPr>
      <w:r>
        <w:t>It uses port 3000:</w:t>
      </w:r>
    </w:p>
    <w:p>
      <w:pPr>
        <w:pStyle w:val="Para 10"/>
      </w:pPr>
      <w:r>
        <w:t># ss -tulpn | grep grafana</w:t>
      </w:r>
    </w:p>
    <w:p>
      <w:pPr>
        <w:pStyle w:val="Normal"/>
      </w:pPr>
      <w:r>
        <w:t>tcp</w:t>
        <w:t xml:space="preserve"> </w:t>
        <w:t>LISTEN</w:t>
        <w:t xml:space="preserve"> </w:t>
        <w:t>0</w:t>
        <w:t xml:space="preserve"> </w:t>
        <w:t>128</w:t>
        <w:t xml:space="preserve"> </w:t>
        <w:t>*:3000</w:t>
        <w:t xml:space="preserve"> </w:t>
        <w:t>*:*</w:t>
        <w:t xml:space="preserve"> </w:t>
        <w:t>users:</w:t>
        <w:t>((</w:t>
        <w:t xml:space="preserve"> </w:t>
        <w:t>"grafana-server"</w:t>
        <w:t>,pid</w:t>
        <w:t>=</w:t>
        <w:t>1449</w:t>
        <w:t>,fd</w:t>
        <w:t>=</w:t>
        <w:t>10</w:t>
        <w:t>))</w:t>
      </w:r>
    </w:p>
    <w:p>
      <w:pPr>
        <w:pStyle w:val="Para 17"/>
      </w:pPr>
      <w:r>
        <w:t/>
      </w:r>
    </w:p>
    <w:p>
      <w:pPr>
        <w:pStyle w:val="Normal"/>
      </w:pPr>
      <w:r>
        <w:t>We next need to know where it expects its configuration:</w:t>
      </w:r>
    </w:p>
    <w:p>
      <w:pPr>
        <w:pStyle w:val="Normal"/>
      </w:pPr>
      <w:r>
        <w:t>monitor:~# journalctl | grep</w:t>
        <w:t xml:space="preserve"> </w:t>
        <w:t>"grafana.*conf"</w:t>
        <w:t xml:space="preserve"> </w:t>
        <w:t>...</w:t>
        <w:t xml:space="preserve"> </w:t>
        <w:t>msg</w:t>
        <w:t>=</w:t>
        <w:t>"Config loaded from"</w:t>
        <w:t xml:space="preserve"> </w:t>
        <w:t>logger</w:t>
        <w:t>=</w:t>
        <w:t>settings</w:t>
        <w:t xml:space="preserve"> </w:t>
        <w:t>file</w:t>
        <w:t>=</w:t>
        <w:t>/snap/grafana/36/conf/defaults.ini</w:t>
        <w:t xml:space="preserve"> </w:t>
        <w:t>...</w:t>
        <w:t xml:space="preserve"> </w:t>
        <w:t>msg</w:t>
        <w:t>=</w:t>
        <w:t>"Config overridden from Environment variable"</w:t>
        <w:t xml:space="preserve"> </w:t>
        <w:t>logger</w:t>
        <w:t>=</w:t>
        <w:t>settings</w:t>
        <w:t xml:space="preserve"> </w:t>
        <w:t>var</w:t>
        <w:t>=</w:t>
        <w:t>"GF_PATHS_</w:t>
        <w:t xml:space="preserve"> </w:t>
        <w:t>PROVISIONING=/var/snap/grafana/common/conf/provisioning"</w:t>
        <w:t xml:space="preserve"> </w:t>
        <w:t>...</w:t>
        <w:t xml:space="preserve"> </w:t>
        <w:t>error</w:t>
        <w:t>=</w:t>
        <w:t>"open /var/snap/grafana/common/conf/provisioning/datasources: no such file or</w:t>
        <w:t xml:space="preserve"> </w:t>
        <w:t>directory"</w:t>
      </w:r>
    </w:p>
    <w:p>
      <w:pPr>
        <w:pStyle w:val="Normal"/>
      </w:pPr>
      <w:r>
        <w:t>...</w:t>
      </w:r>
    </w:p>
    <w:p>
      <w:pPr>
        <w:pStyle w:val="Para 17"/>
      </w:pPr>
      <w:r>
        <w:t/>
      </w:r>
    </w:p>
    <w:p>
      <w:pPr>
        <w:pStyle w:val="Normal"/>
      </w:pPr>
      <w:r>
        <w:t>We can see it is getting its defaults from /snap/grafana/36/conf/, but /snap/ is a read-only directory and therefore we cannot edit the file. Instead, we should put our customisations in-side /var/snap/grafana/36/conf/grafana.ini. You can also use the generic path /var/snap/ grafana/current/conf/grafana.ini.</w:t>
      </w:r>
    </w:p>
    <w:p>
      <w:pPr>
        <w:pStyle w:val="Normal"/>
      </w:pPr>
      <w:r>
        <w:t>For a production installation, the defaults.ini has numerous parameters we’d want to cus-tomize for our site, however for the demo we’ll accept all the defaults. We do need to con-figure our data sources, but can do this via the web interface:</w:t>
      </w:r>
    </w:p>
    <w:p>
      <w:pPr>
        <w:pStyle w:val="Normal"/>
      </w:pPr>
      <w:r>
        <w:t>$ firefox http://10.69.244.104:3000</w:t>
      </w:r>
    </w:p>
    <w:p>
      <w:pPr>
        <w:pStyle w:val="Para 17"/>
      </w:pPr>
      <w:r>
        <w:t/>
      </w:r>
    </w:p>
    <w:p>
      <w:pPr>
        <w:pStyle w:val="Normal"/>
      </w:pPr>
      <w:r>
        <w:t>Log in with ‘admin’ and ‘admin’ as the username and password. This should bring you to the main Grafana page, where you can find links to tutorials and documentation. Delete any example data sources and/or dashboards.</w:t>
      </w:r>
    </w:p>
    <w:p>
      <w:bookmarkStart w:id="939" w:name="calibre_pb_159"/>
      <w:pPr>
        <w:pStyle w:val="0 Block"/>
      </w:pPr>
      <w:bookmarkEnd w:id="939"/>
    </w:p>
    <w:p>
      <w:bookmarkStart w:id="940" w:name="page_621"/>
      <w:bookmarkStart w:id="941" w:name="Top_of_index_split_16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3" name="index-621_1.png" descr="index-621_1.png"/>
            <wp:cNvGraphicFramePr>
              <a:graphicFrameLocks noChangeAspect="1"/>
            </wp:cNvGraphicFramePr>
            <a:graphic>
              <a:graphicData uri="http://schemas.openxmlformats.org/drawingml/2006/picture">
                <pic:pic>
                  <pic:nvPicPr>
                    <pic:cNvPr id="0" name="index-621_1.png" descr="index-621_1.png"/>
                    <pic:cNvPicPr/>
                  </pic:nvPicPr>
                  <pic:blipFill>
                    <a:blip r:embed="rId647"/>
                    <a:stretch>
                      <a:fillRect/>
                    </a:stretch>
                  </pic:blipFill>
                  <pic:spPr>
                    <a:xfrm>
                      <a:off x="0" y="0"/>
                      <a:ext cx="914400" cy="266700"/>
                    </a:xfrm>
                    <a:prstGeom prst="rect">
                      <a:avLst/>
                    </a:prstGeom>
                  </pic:spPr>
                </pic:pic>
              </a:graphicData>
            </a:graphic>
          </wp:anchor>
        </w:drawing>
      </w:r>
      <w:bookmarkEnd w:id="940"/>
      <w:bookmarkEnd w:id="941"/>
    </w:p>
    <w:p>
      <w:pPr>
        <w:pStyle w:val="Normal"/>
      </w:pPr>
      <w:r>
        <w:t>Select the button to add a new data source and select “Prometheus”. On the “Data Sources / Prometheus” edit page, set: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44" name="index-621_2.png" descr="index-621_2.png"/>
            <wp:cNvGraphicFramePr>
              <a:graphicFrameLocks noChangeAspect="1"/>
            </wp:cNvGraphicFramePr>
            <a:graphic>
              <a:graphicData uri="http://schemas.openxmlformats.org/drawingml/2006/picture">
                <pic:pic>
                  <pic:nvPicPr>
                    <pic:cNvPr id="0" name="index-621_2.png" descr="index-621_2.png"/>
                    <pic:cNvPicPr/>
                  </pic:nvPicPr>
                  <pic:blipFill>
                    <a:blip r:embed="rId648"/>
                    <a:stretch>
                      <a:fillRect/>
                    </a:stretch>
                  </pic:blipFill>
                  <pic:spPr>
                    <a:xfrm>
                      <a:off x="0" y="0"/>
                      <a:ext cx="3670300" cy="3390900"/>
                    </a:xfrm>
                    <a:prstGeom prst="rect">
                      <a:avLst/>
                    </a:prstGeom>
                  </pic:spPr>
                </pic:pic>
              </a:graphicData>
            </a:graphic>
          </wp:anchor>
        </w:drawing>
      </w:r>
    </w:p>
    <w:p>
      <w:pPr>
        <w:pStyle w:val="Para 04"/>
      </w:pPr>
      <w:r>
        <w:t>• the name to Prometheus</w:t>
      </w:r>
    </w:p>
    <w:p>
      <w:pPr>
        <w:pStyle w:val="Para 04"/>
      </w:pPr>
      <w:r>
        <w:t>• the URL to http://localhost:9090</w:t>
      </w:r>
    </w:p>
    <w:p>
      <w:pPr>
        <w:pStyle w:val="Para 04"/>
      </w:pPr>
      <w:r>
        <w:t>• ‘Access’ to “Server (default)” to make Grafana pull data from the Prometheus service</w:t>
      </w:r>
    </w:p>
    <w:p>
      <w:pPr>
        <w:pStyle w:val="Para 02"/>
      </w:pPr>
      <w:r>
        <w:t>we set up.</w:t>
      </w:r>
    </w:p>
    <w:p>
      <w:pPr>
        <w:pStyle w:val="Normal"/>
      </w:pPr>
      <w:r>
        <w:t>The remaining settings can be left as defaults. Click “Save &amp; Test”.</w:t>
      </w:r>
    </w:p>
    <w:p>
      <w:bookmarkStart w:id="942" w:name="calibre_pb_160"/>
      <w:pPr>
        <w:pStyle w:val="0 Block"/>
      </w:pPr>
      <w:bookmarkEnd w:id="942"/>
    </w:p>
    <w:p>
      <w:bookmarkStart w:id="943" w:name="Top_of_index_split_161_html"/>
      <w:bookmarkStart w:id="944" w:name="page_62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5" name="index-622_1.png" descr="index-622_1.png"/>
            <wp:cNvGraphicFramePr>
              <a:graphicFrameLocks noChangeAspect="1"/>
            </wp:cNvGraphicFramePr>
            <a:graphic>
              <a:graphicData uri="http://schemas.openxmlformats.org/drawingml/2006/picture">
                <pic:pic>
                  <pic:nvPicPr>
                    <pic:cNvPr id="0" name="index-622_1.png" descr="index-622_1.png"/>
                    <pic:cNvPicPr/>
                  </pic:nvPicPr>
                  <pic:blipFill>
                    <a:blip r:embed="rId649"/>
                    <a:stretch>
                      <a:fillRect/>
                    </a:stretch>
                  </pic:blipFill>
                  <pic:spPr>
                    <a:xfrm>
                      <a:off x="0" y="0"/>
                      <a:ext cx="914400" cy="266700"/>
                    </a:xfrm>
                    <a:prstGeom prst="rect">
                      <a:avLst/>
                    </a:prstGeom>
                  </pic:spPr>
                </pic:pic>
              </a:graphicData>
            </a:graphic>
          </wp:anchor>
        </w:drawing>
      </w:r>
      <w:bookmarkEnd w:id="943"/>
      <w:bookmarkEnd w:id="94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46" name="index-622_2.png" descr="index-622_2.png"/>
            <wp:cNvGraphicFramePr>
              <a:graphicFrameLocks noChangeAspect="1"/>
            </wp:cNvGraphicFramePr>
            <a:graphic>
              <a:graphicData uri="http://schemas.openxmlformats.org/drawingml/2006/picture">
                <pic:pic>
                  <pic:nvPicPr>
                    <pic:cNvPr id="0" name="index-622_2.png" descr="index-622_2.png"/>
                    <pic:cNvPicPr/>
                  </pic:nvPicPr>
                  <pic:blipFill>
                    <a:blip r:embed="rId650"/>
                    <a:stretch>
                      <a:fillRect/>
                    </a:stretch>
                  </pic:blipFill>
                  <pic:spPr>
                    <a:xfrm>
                      <a:off x="0" y="0"/>
                      <a:ext cx="3670300" cy="3390900"/>
                    </a:xfrm>
                    <a:prstGeom prst="rect">
                      <a:avLst/>
                    </a:prstGeom>
                  </pic:spPr>
                </pic:pic>
              </a:graphicData>
            </a:graphic>
          </wp:anchor>
        </w:drawing>
      </w:r>
    </w:p>
    <w:p>
      <w:bookmarkStart w:id="945" w:name="page_6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7" name="index-623_1.png" descr="index-623_1.png"/>
            <wp:cNvGraphicFramePr>
              <a:graphicFrameLocks noChangeAspect="1"/>
            </wp:cNvGraphicFramePr>
            <a:graphic>
              <a:graphicData uri="http://schemas.openxmlformats.org/drawingml/2006/picture">
                <pic:pic>
                  <pic:nvPicPr>
                    <pic:cNvPr id="0" name="index-623_1.png" descr="index-623_1.png"/>
                    <pic:cNvPicPr/>
                  </pic:nvPicPr>
                  <pic:blipFill>
                    <a:blip r:embed="rId651"/>
                    <a:stretch>
                      <a:fillRect/>
                    </a:stretch>
                  </pic:blipFill>
                  <pic:spPr>
                    <a:xfrm>
                      <a:off x="0" y="0"/>
                      <a:ext cx="914400" cy="266700"/>
                    </a:xfrm>
                    <a:prstGeom prst="rect">
                      <a:avLst/>
                    </a:prstGeom>
                  </pic:spPr>
                </pic:pic>
              </a:graphicData>
            </a:graphic>
          </wp:anchor>
        </w:drawing>
      </w:r>
      <w:bookmarkEnd w:id="945"/>
    </w:p>
    <w:p>
      <w:pPr>
        <w:pStyle w:val="Normal"/>
      </w:pPr>
      <w:r>
        <w:t>Returning to the Grafana home page, next set up a “New Dashboard”. A dashboard can hold one or more panels, each of which can be connected to one or more data queries. Let’s add a panel for CPU data. For the query, enter “cpu_usage_system” in the Metrics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48" name="index-623_2.png" descr="index-623_2.png"/>
            <wp:cNvGraphicFramePr>
              <a:graphicFrameLocks noChangeAspect="1"/>
            </wp:cNvGraphicFramePr>
            <a:graphic>
              <a:graphicData uri="http://schemas.openxmlformats.org/drawingml/2006/picture">
                <pic:pic>
                  <pic:nvPicPr>
                    <pic:cNvPr id="0" name="index-623_2.png" descr="index-623_2.png"/>
                    <pic:cNvPicPr/>
                  </pic:nvPicPr>
                  <pic:blipFill>
                    <a:blip r:embed="rId652"/>
                    <a:stretch>
                      <a:fillRect/>
                    </a:stretch>
                  </pic:blipFill>
                  <pic:spPr>
                    <a:xfrm>
                      <a:off x="0" y="0"/>
                      <a:ext cx="3670300" cy="3390900"/>
                    </a:xfrm>
                    <a:prstGeom prst="rect">
                      <a:avLst/>
                    </a:prstGeom>
                  </pic:spPr>
                </pic:pic>
              </a:graphicData>
            </a:graphic>
          </wp:anchor>
        </w:drawing>
      </w:r>
    </w:p>
    <w:p>
      <w:bookmarkStart w:id="946" w:name="calibre_pb_161"/>
      <w:pPr>
        <w:pStyle w:val="0 Block"/>
      </w:pPr>
      <w:bookmarkEnd w:id="946"/>
    </w:p>
    <w:p>
      <w:bookmarkStart w:id="947" w:name="page_624"/>
      <w:bookmarkStart w:id="948" w:name="Top_of_index_split_16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49" name="index-624_1.png" descr="index-624_1.png"/>
            <wp:cNvGraphicFramePr>
              <a:graphicFrameLocks noChangeAspect="1"/>
            </wp:cNvGraphicFramePr>
            <a:graphic>
              <a:graphicData uri="http://schemas.openxmlformats.org/drawingml/2006/picture">
                <pic:pic>
                  <pic:nvPicPr>
                    <pic:cNvPr id="0" name="index-624_1.png" descr="index-624_1.png"/>
                    <pic:cNvPicPr/>
                  </pic:nvPicPr>
                  <pic:blipFill>
                    <a:blip r:embed="rId653"/>
                    <a:stretch>
                      <a:fillRect/>
                    </a:stretch>
                  </pic:blipFill>
                  <pic:spPr>
                    <a:xfrm>
                      <a:off x="0" y="0"/>
                      <a:ext cx="914400" cy="266700"/>
                    </a:xfrm>
                    <a:prstGeom prst="rect">
                      <a:avLst/>
                    </a:prstGeom>
                  </pic:spPr>
                </pic:pic>
              </a:graphicData>
            </a:graphic>
          </wp:anchor>
        </w:drawing>
      </w:r>
      <w:bookmarkEnd w:id="947"/>
      <w:bookmarkEnd w:id="94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50" name="index-624_2.png" descr="index-624_2.png"/>
            <wp:cNvGraphicFramePr>
              <a:graphicFrameLocks noChangeAspect="1"/>
            </wp:cNvGraphicFramePr>
            <a:graphic>
              <a:graphicData uri="http://schemas.openxmlformats.org/drawingml/2006/picture">
                <pic:pic>
                  <pic:nvPicPr>
                    <pic:cNvPr id="0" name="index-624_2.png" descr="index-624_2.png"/>
                    <pic:cNvPicPr/>
                  </pic:nvPicPr>
                  <pic:blipFill>
                    <a:blip r:embed="rId654"/>
                    <a:stretch>
                      <a:fillRect/>
                    </a:stretch>
                  </pic:blipFill>
                  <pic:spPr>
                    <a:xfrm>
                      <a:off x="0" y="0"/>
                      <a:ext cx="3670300" cy="3390900"/>
                    </a:xfrm>
                    <a:prstGeom prst="rect">
                      <a:avLst/>
                    </a:prstGeom>
                  </pic:spPr>
                </pic:pic>
              </a:graphicData>
            </a:graphic>
          </wp:anchor>
        </w:drawing>
      </w:r>
    </w:p>
    <w:p>
      <w:bookmarkStart w:id="949" w:name="page_6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1" name="index-625_1.png" descr="index-625_1.png"/>
            <wp:cNvGraphicFramePr>
              <a:graphicFrameLocks noChangeAspect="1"/>
            </wp:cNvGraphicFramePr>
            <a:graphic>
              <a:graphicData uri="http://schemas.openxmlformats.org/drawingml/2006/picture">
                <pic:pic>
                  <pic:nvPicPr>
                    <pic:cNvPr id="0" name="index-625_1.png" descr="index-625_1.png"/>
                    <pic:cNvPicPr/>
                  </pic:nvPicPr>
                  <pic:blipFill>
                    <a:blip r:embed="rId655"/>
                    <a:stretch>
                      <a:fillRect/>
                    </a:stretch>
                  </pic:blipFill>
                  <pic:spPr>
                    <a:xfrm>
                      <a:off x="0" y="0"/>
                      <a:ext cx="914400" cy="266700"/>
                    </a:xfrm>
                    <a:prstGeom prst="rect">
                      <a:avLst/>
                    </a:prstGeom>
                  </pic:spPr>
                </pic:pic>
              </a:graphicData>
            </a:graphic>
          </wp:anchor>
        </w:drawing>
      </w:r>
      <w:bookmarkEnd w:id="94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52" name="index-625_2.png" descr="index-625_2.png"/>
            <wp:cNvGraphicFramePr>
              <a:graphicFrameLocks noChangeAspect="1"/>
            </wp:cNvGraphicFramePr>
            <a:graphic>
              <a:graphicData uri="http://schemas.openxmlformats.org/drawingml/2006/picture">
                <pic:pic>
                  <pic:nvPicPr>
                    <pic:cNvPr id="0" name="index-625_2.png" descr="index-625_2.png"/>
                    <pic:cNvPicPr/>
                  </pic:nvPicPr>
                  <pic:blipFill>
                    <a:blip r:embed="rId656"/>
                    <a:stretch>
                      <a:fillRect/>
                    </a:stretch>
                  </pic:blipFill>
                  <pic:spPr>
                    <a:xfrm>
                      <a:off x="0" y="0"/>
                      <a:ext cx="3670300" cy="3390900"/>
                    </a:xfrm>
                    <a:prstGeom prst="rect">
                      <a:avLst/>
                    </a:prstGeom>
                  </pic:spPr>
                </pic:pic>
              </a:graphicData>
            </a:graphic>
          </wp:anchor>
        </w:drawing>
      </w:r>
    </w:p>
    <w:p>
      <w:bookmarkStart w:id="950" w:name="page_6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3" name="index-626_1.png" descr="index-626_1.png"/>
            <wp:cNvGraphicFramePr>
              <a:graphicFrameLocks noChangeAspect="1"/>
            </wp:cNvGraphicFramePr>
            <a:graphic>
              <a:graphicData uri="http://schemas.openxmlformats.org/drawingml/2006/picture">
                <pic:pic>
                  <pic:nvPicPr>
                    <pic:cNvPr id="0" name="index-626_1.png" descr="index-626_1.png"/>
                    <pic:cNvPicPr/>
                  </pic:nvPicPr>
                  <pic:blipFill>
                    <a:blip r:embed="rId657"/>
                    <a:stretch>
                      <a:fillRect/>
                    </a:stretch>
                  </pic:blipFill>
                  <pic:spPr>
                    <a:xfrm>
                      <a:off x="0" y="0"/>
                      <a:ext cx="914400" cy="266700"/>
                    </a:xfrm>
                    <a:prstGeom prst="rect">
                      <a:avLst/>
                    </a:prstGeom>
                  </pic:spPr>
                </pic:pic>
              </a:graphicData>
            </a:graphic>
          </wp:anchor>
        </w:drawing>
      </w:r>
      <w:bookmarkEnd w:id="950"/>
    </w:p>
    <w:p>
      <w:pPr>
        <w:pStyle w:val="Normal"/>
      </w:pPr>
      <w:r>
        <w:t>On the left you can see four buttons to configure four elements of the panel: data source, visualization, general settings, and alerts. The general settings page allows us to set a ti-tle for the panel, for instance. Make any other customizations you want, and then save the dashboard using the save icon at the top of the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54" name="index-626_2.png" descr="index-626_2.png"/>
            <wp:cNvGraphicFramePr>
              <a:graphicFrameLocks noChangeAspect="1"/>
            </wp:cNvGraphicFramePr>
            <a:graphic>
              <a:graphicData uri="http://schemas.openxmlformats.org/drawingml/2006/picture">
                <pic:pic>
                  <pic:nvPicPr>
                    <pic:cNvPr id="0" name="index-626_2.png" descr="index-626_2.png"/>
                    <pic:cNvPicPr/>
                  </pic:nvPicPr>
                  <pic:blipFill>
                    <a:blip r:embed="rId658"/>
                    <a:stretch>
                      <a:fillRect/>
                    </a:stretch>
                  </pic:blipFill>
                  <pic:spPr>
                    <a:xfrm>
                      <a:off x="0" y="0"/>
                      <a:ext cx="3670300" cy="3390900"/>
                    </a:xfrm>
                    <a:prstGeom prst="rect">
                      <a:avLst/>
                    </a:prstGeom>
                  </pic:spPr>
                </pic:pic>
              </a:graphicData>
            </a:graphic>
          </wp:anchor>
        </w:drawing>
      </w:r>
    </w:p>
    <w:p>
      <w:bookmarkStart w:id="951" w:name="calibre_pb_162"/>
      <w:pPr>
        <w:pStyle w:val="0 Block"/>
      </w:pPr>
      <w:bookmarkEnd w:id="951"/>
    </w:p>
    <w:p>
      <w:bookmarkStart w:id="952" w:name="page_627"/>
      <w:bookmarkStart w:id="953" w:name="Top_of_index_split_16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5" name="index-627_1.png" descr="index-627_1.png"/>
            <wp:cNvGraphicFramePr>
              <a:graphicFrameLocks noChangeAspect="1"/>
            </wp:cNvGraphicFramePr>
            <a:graphic>
              <a:graphicData uri="http://schemas.openxmlformats.org/drawingml/2006/picture">
                <pic:pic>
                  <pic:nvPicPr>
                    <pic:cNvPr id="0" name="index-627_1.png" descr="index-627_1.png"/>
                    <pic:cNvPicPr/>
                  </pic:nvPicPr>
                  <pic:blipFill>
                    <a:blip r:embed="rId659"/>
                    <a:stretch>
                      <a:fillRect/>
                    </a:stretch>
                  </pic:blipFill>
                  <pic:spPr>
                    <a:xfrm>
                      <a:off x="0" y="0"/>
                      <a:ext cx="914400" cy="266700"/>
                    </a:xfrm>
                    <a:prstGeom prst="rect">
                      <a:avLst/>
                    </a:prstGeom>
                  </pic:spPr>
                </pic:pic>
              </a:graphicData>
            </a:graphic>
          </wp:anchor>
        </w:drawing>
      </w:r>
      <w:bookmarkEnd w:id="952"/>
      <w:bookmarkEnd w:id="95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56" name="index-627_2.png" descr="index-627_2.png"/>
            <wp:cNvGraphicFramePr>
              <a:graphicFrameLocks noChangeAspect="1"/>
            </wp:cNvGraphicFramePr>
            <a:graphic>
              <a:graphicData uri="http://schemas.openxmlformats.org/drawingml/2006/picture">
                <pic:pic>
                  <pic:nvPicPr>
                    <pic:cNvPr id="0" name="index-627_2.png" descr="index-627_2.png"/>
                    <pic:cNvPicPr/>
                  </pic:nvPicPr>
                  <pic:blipFill>
                    <a:blip r:embed="rId660"/>
                    <a:stretch>
                      <a:fillRect/>
                    </a:stretch>
                  </pic:blipFill>
                  <pic:spPr>
                    <a:xfrm>
                      <a:off x="0" y="0"/>
                      <a:ext cx="3670300" cy="3390900"/>
                    </a:xfrm>
                    <a:prstGeom prst="rect">
                      <a:avLst/>
                    </a:prstGeom>
                  </pic:spPr>
                </pic:pic>
              </a:graphicData>
            </a:graphic>
          </wp:anchor>
        </w:drawing>
      </w:r>
    </w:p>
    <w:p>
      <w:bookmarkStart w:id="954" w:name="page_6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7" name="index-628_1.png" descr="index-628_1.png"/>
            <wp:cNvGraphicFramePr>
              <a:graphicFrameLocks noChangeAspect="1"/>
            </wp:cNvGraphicFramePr>
            <a:graphic>
              <a:graphicData uri="http://schemas.openxmlformats.org/drawingml/2006/picture">
                <pic:pic>
                  <pic:nvPicPr>
                    <pic:cNvPr id="0" name="index-628_1.png" descr="index-628_1.png"/>
                    <pic:cNvPicPr/>
                  </pic:nvPicPr>
                  <pic:blipFill>
                    <a:blip r:embed="rId661"/>
                    <a:stretch>
                      <a:fillRect/>
                    </a:stretch>
                  </pic:blipFill>
                  <pic:spPr>
                    <a:xfrm>
                      <a:off x="0" y="0"/>
                      <a:ext cx="914400" cy="266700"/>
                    </a:xfrm>
                    <a:prstGeom prst="rect">
                      <a:avLst/>
                    </a:prstGeom>
                  </pic:spPr>
                </pic:pic>
              </a:graphicData>
            </a:graphic>
          </wp:anchor>
        </w:drawing>
      </w:r>
      <w:bookmarkEnd w:id="954"/>
    </w:p>
    <w:p>
      <w:pPr>
        <w:pStyle w:val="Normal"/>
      </w:pPr>
      <w:r>
        <w:t>Using the same procedure, add additional panels for processor load and memory usage. Pan-els can be used to present other types of data as well, such as numerical indicators, logs, news feeds, or markdown-formatted documentation. For example, you can add a panel to display the system uptime, such as in the following image: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58" name="index-628_2.png" descr="index-628_2.png"/>
            <wp:cNvGraphicFramePr>
              <a:graphicFrameLocks noChangeAspect="1"/>
            </wp:cNvGraphicFramePr>
            <a:graphic>
              <a:graphicData uri="http://schemas.openxmlformats.org/drawingml/2006/picture">
                <pic:pic>
                  <pic:nvPicPr>
                    <pic:cNvPr id="0" name="index-628_2.png" descr="index-628_2.png"/>
                    <pic:cNvPicPr/>
                  </pic:nvPicPr>
                  <pic:blipFill>
                    <a:blip r:embed="rId662"/>
                    <a:stretch>
                      <a:fillRect/>
                    </a:stretch>
                  </pic:blipFill>
                  <pic:spPr>
                    <a:xfrm>
                      <a:off x="0" y="0"/>
                      <a:ext cx="3670300" cy="3390900"/>
                    </a:xfrm>
                    <a:prstGeom prst="rect">
                      <a:avLst/>
                    </a:prstGeom>
                  </pic:spPr>
                </pic:pic>
              </a:graphicData>
            </a:graphic>
          </wp:anchor>
        </w:drawing>
      </w:r>
    </w:p>
    <w:p>
      <w:bookmarkStart w:id="955" w:name="calibre_pb_163"/>
      <w:pPr>
        <w:pStyle w:val="0 Block"/>
      </w:pPr>
      <w:bookmarkEnd w:id="955"/>
    </w:p>
    <w:p>
      <w:bookmarkStart w:id="956" w:name="page_629"/>
      <w:bookmarkStart w:id="957" w:name="Top_of_index_split_16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59" name="index-629_1.png" descr="index-629_1.png"/>
            <wp:cNvGraphicFramePr>
              <a:graphicFrameLocks noChangeAspect="1"/>
            </wp:cNvGraphicFramePr>
            <a:graphic>
              <a:graphicData uri="http://schemas.openxmlformats.org/drawingml/2006/picture">
                <pic:pic>
                  <pic:nvPicPr>
                    <pic:cNvPr id="0" name="index-629_1.png" descr="index-629_1.png"/>
                    <pic:cNvPicPr/>
                  </pic:nvPicPr>
                  <pic:blipFill>
                    <a:blip r:embed="rId663"/>
                    <a:stretch>
                      <a:fillRect/>
                    </a:stretch>
                  </pic:blipFill>
                  <pic:spPr>
                    <a:xfrm>
                      <a:off x="0" y="0"/>
                      <a:ext cx="914400" cy="266700"/>
                    </a:xfrm>
                    <a:prstGeom prst="rect">
                      <a:avLst/>
                    </a:prstGeom>
                  </pic:spPr>
                </pic:pic>
              </a:graphicData>
            </a:graphic>
          </wp:anchor>
        </w:drawing>
      </w:r>
      <w:bookmarkEnd w:id="956"/>
      <w:bookmarkEnd w:id="957"/>
    </w:p>
    <w:p>
      <w:pPr>
        <w:pStyle w:val="Normal"/>
      </w:pPr>
      <w:r>
        <w:t>Try also adding a panel with the “Text” visualization option for entering descriptive text about our demo. Save, and then view the final dashboard: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60" name="index-629_2.png" descr="index-629_2.png"/>
            <wp:cNvGraphicFramePr>
              <a:graphicFrameLocks noChangeAspect="1"/>
            </wp:cNvGraphicFramePr>
            <a:graphic>
              <a:graphicData uri="http://schemas.openxmlformats.org/drawingml/2006/picture">
                <pic:pic>
                  <pic:nvPicPr>
                    <pic:cNvPr id="0" name="index-629_2.png" descr="index-629_2.png"/>
                    <pic:cNvPicPr/>
                  </pic:nvPicPr>
                  <pic:blipFill>
                    <a:blip r:embed="rId664"/>
                    <a:stretch>
                      <a:fillRect/>
                    </a:stretch>
                  </pic:blipFill>
                  <pic:spPr>
                    <a:xfrm>
                      <a:off x="0" y="0"/>
                      <a:ext cx="3670300" cy="3390900"/>
                    </a:xfrm>
                    <a:prstGeom prst="rect">
                      <a:avLst/>
                    </a:prstGeom>
                  </pic:spPr>
                </pic:pic>
              </a:graphicData>
            </a:graphic>
          </wp:anchor>
        </w:drawing>
      </w:r>
    </w:p>
    <w:p>
      <w:bookmarkStart w:id="958" w:name="calibre_pb_164"/>
      <w:pPr>
        <w:pStyle w:val="0 Block"/>
      </w:pPr>
      <w:bookmarkEnd w:id="958"/>
    </w:p>
    <w:p>
      <w:bookmarkStart w:id="959" w:name="Top_of_index_split_165_html"/>
      <w:bookmarkStart w:id="960" w:name="page_63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1" name="index-630_1.png" descr="index-630_1.png"/>
            <wp:cNvGraphicFramePr>
              <a:graphicFrameLocks noChangeAspect="1"/>
            </wp:cNvGraphicFramePr>
            <a:graphic>
              <a:graphicData uri="http://schemas.openxmlformats.org/drawingml/2006/picture">
                <pic:pic>
                  <pic:nvPicPr>
                    <pic:cNvPr id="0" name="index-630_1.png" descr="index-630_1.png"/>
                    <pic:cNvPicPr/>
                  </pic:nvPicPr>
                  <pic:blipFill>
                    <a:blip r:embed="rId665"/>
                    <a:stretch>
                      <a:fillRect/>
                    </a:stretch>
                  </pic:blipFill>
                  <pic:spPr>
                    <a:xfrm>
                      <a:off x="0" y="0"/>
                      <a:ext cx="914400" cy="266700"/>
                    </a:xfrm>
                    <a:prstGeom prst="rect">
                      <a:avLst/>
                    </a:prstGeom>
                  </pic:spPr>
                </pic:pic>
              </a:graphicData>
            </a:graphic>
          </wp:anchor>
        </w:drawing>
      </w:r>
      <w:bookmarkEnd w:id="959"/>
      <w:bookmarkEnd w:id="960"/>
    </w:p>
    <w:p>
      <w:pPr>
        <w:pStyle w:val="Para 01"/>
      </w:pPr>
      <w:r>
        <w:t>How to install and configure Logwatch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3390900"/>
            <wp:effectExtent l="0" r="0" t="0" b="0"/>
            <wp:wrapTopAndBottom/>
            <wp:docPr id="662" name="index-630_2.png" descr="index-630_2.png"/>
            <wp:cNvGraphicFramePr>
              <a:graphicFrameLocks noChangeAspect="1"/>
            </wp:cNvGraphicFramePr>
            <a:graphic>
              <a:graphicData uri="http://schemas.openxmlformats.org/drawingml/2006/picture">
                <pic:pic>
                  <pic:nvPicPr>
                    <pic:cNvPr id="0" name="index-630_2.png" descr="index-630_2.png"/>
                    <pic:cNvPicPr/>
                  </pic:nvPicPr>
                  <pic:blipFill>
                    <a:blip r:embed="rId666"/>
                    <a:stretch>
                      <a:fillRect/>
                    </a:stretch>
                  </pic:blipFill>
                  <pic:spPr>
                    <a:xfrm>
                      <a:off x="0" y="0"/>
                      <a:ext cx="3670300" cy="3390900"/>
                    </a:xfrm>
                    <a:prstGeom prst="rect">
                      <a:avLst/>
                    </a:prstGeom>
                  </pic:spPr>
                </pic:pic>
              </a:graphicData>
            </a:graphic>
          </wp:anchor>
        </w:drawing>
      </w:r>
    </w:p>
    <w:p>
      <w:pPr>
        <w:pStyle w:val="Para 17"/>
      </w:pPr>
      <w:r>
        <w:t/>
      </w:r>
    </w:p>
    <w:p>
      <w:pPr>
        <w:pStyle w:val="Normal"/>
      </w:pPr>
      <w:r>
        <w:t>Logs are an invaluable source of information about problems that may arise in your server.</w:t>
      </w:r>
    </w:p>
    <w:p>
      <w:pPr>
        <w:pStyle w:val="Normal"/>
      </w:pPr>
      <w:hyperlink r:id="rId1564">
        <w:r>
          <w:rPr>
            <w:rStyle w:val="Text1"/>
          </w:rPr>
          <w:t>Logwatch</w:t>
        </w:r>
      </w:hyperlink>
      <w:hyperlink r:id="rId1564">
        <w:r>
          <w:rPr>
            <w:rStyle w:val="Text9"/>
          </w:rPr>
          <w:t>645</w:t>
        </w:r>
      </w:hyperlink>
      <w:r>
        <w:t xml:space="preserve"> keeps an eye on your logs for you, flags items that may be of interest, and re-ports them via email.</w:t>
      </w:r>
    </w:p>
    <w:p>
      <w:pPr>
        <w:pStyle w:val="Para 17"/>
      </w:pPr>
      <w:r>
        <w:t/>
      </w:r>
    </w:p>
    <w:p>
      <w:pPr>
        <w:pStyle w:val="Para 01"/>
      </w:pPr>
      <w:r>
        <w:t>Install Logwatch</w:t>
      </w:r>
    </w:p>
    <w:p>
      <w:pPr>
        <w:pStyle w:val="Para 17"/>
      </w:pPr>
      <w:r>
        <w:t/>
      </w:r>
    </w:p>
    <w:p>
      <w:pPr>
        <w:pStyle w:val="Normal"/>
      </w:pPr>
      <w:r>
        <w:t>Install logwatch using the following command:</w:t>
      </w:r>
    </w:p>
    <w:p>
      <w:pPr>
        <w:pStyle w:val="Normal"/>
      </w:pPr>
      <w:r>
        <w:t>sudo apt install logwatch</w:t>
      </w:r>
    </w:p>
    <w:p>
      <w:pPr>
        <w:pStyle w:val="Para 05"/>
      </w:pPr>
      <w:r>
        <w:rPr>
          <w:rStyle w:val="Text5"/>
        </w:rPr>
        <w:t>645</w:t>
      </w:r>
      <w:r>
        <w:rPr>
          <w:rStyle w:val="Text8"/>
        </w:rPr>
        <w:t xml:space="preserve"> </w:t>
      </w:r>
      <w:r>
        <w:t>https://sourceforge.net/projects/logwatch/</w:t>
      </w:r>
    </w:p>
    <w:p>
      <w:bookmarkStart w:id="961" w:name="calibre_pb_165"/>
      <w:pPr>
        <w:pStyle w:val="0 Block"/>
      </w:pPr>
      <w:bookmarkEnd w:id="961"/>
    </w:p>
    <w:p>
      <w:bookmarkStart w:id="962" w:name="Top_of_index_split_166_html"/>
      <w:bookmarkStart w:id="963" w:name="page_63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3" name="index-631_1.png" descr="index-631_1.png"/>
            <wp:cNvGraphicFramePr>
              <a:graphicFrameLocks noChangeAspect="1"/>
            </wp:cNvGraphicFramePr>
            <a:graphic>
              <a:graphicData uri="http://schemas.openxmlformats.org/drawingml/2006/picture">
                <pic:pic>
                  <pic:nvPicPr>
                    <pic:cNvPr id="0" name="index-631_1.png" descr="index-631_1.png"/>
                    <pic:cNvPicPr/>
                  </pic:nvPicPr>
                  <pic:blipFill>
                    <a:blip r:embed="rId667"/>
                    <a:stretch>
                      <a:fillRect/>
                    </a:stretch>
                  </pic:blipFill>
                  <pic:spPr>
                    <a:xfrm>
                      <a:off x="0" y="0"/>
                      <a:ext cx="914400" cy="266700"/>
                    </a:xfrm>
                    <a:prstGeom prst="rect">
                      <a:avLst/>
                    </a:prstGeom>
                  </pic:spPr>
                </pic:pic>
              </a:graphicData>
            </a:graphic>
          </wp:anchor>
        </w:drawing>
      </w:r>
      <w:bookmarkEnd w:id="962"/>
      <w:bookmarkEnd w:id="963"/>
    </w:p>
    <w:p>
      <w:pPr>
        <w:pStyle w:val="Para 01"/>
      </w:pPr>
      <w:r>
        <w:t>Configure Logwatch</w:t>
      </w:r>
    </w:p>
    <w:p>
      <w:pPr>
        <w:pStyle w:val="Para 17"/>
      </w:pPr>
      <w:r>
        <w:t/>
      </w:r>
    </w:p>
    <w:p>
      <w:pPr>
        <w:pStyle w:val="Normal"/>
      </w:pPr>
      <w:r>
        <w:t>Logwatch’s default configuration is kept in /usr/share/logwatch/default.conf/logwatch. conf. However, configuration changes made directly to that file can be overwritten during updates, so instead the file should be copied into /etc and modified there:</w:t>
      </w:r>
    </w:p>
    <w:p>
      <w:pPr>
        <w:pStyle w:val="Normal"/>
      </w:pPr>
      <w:r>
        <w:t>sudo cp</w:t>
        <w:t xml:space="preserve"> </w:t>
        <w:t>/</w:t>
        <w:t>usr</w:t>
        <w:t>/</w:t>
        <w:t>share</w:t>
        <w:t>/</w:t>
        <w:t>logwatch</w:t>
        <w:t>/</w:t>
        <w:t>default</w:t>
        <w:t>.</w:t>
        <w:t>conf</w:t>
        <w:t>/</w:t>
        <w:t>logwatch</w:t>
        <w:t>.</w:t>
        <w:t>conf</w:t>
        <w:t xml:space="preserve"> </w:t>
        <w:t>/</w:t>
        <w:t>etc</w:t>
        <w:t>/</w:t>
        <w:t>logwatch</w:t>
        <w:t>/</w:t>
        <w:t>conf</w:t>
        <w:t>/</w:t>
      </w:r>
    </w:p>
    <w:p>
      <w:pPr>
        <w:pStyle w:val="Para 17"/>
      </w:pPr>
      <w:r>
        <w:t/>
      </w:r>
    </w:p>
    <w:p>
      <w:pPr>
        <w:pStyle w:val="Normal"/>
      </w:pPr>
      <w:r>
        <w:t>With your favorite editor, open /etc/logwatch/conf/logwatch.conf. The uncommented lines indicate the default configuration values. First, lets customize some of the basics:</w:t>
      </w:r>
    </w:p>
    <w:p>
      <w:pPr>
        <w:pStyle w:val="Normal"/>
      </w:pPr>
      <w:r>
        <w:t>Output = mail</w:t>
      </w:r>
    </w:p>
    <w:p>
      <w:pPr>
        <w:pStyle w:val="Normal"/>
      </w:pPr>
      <w:r>
        <w:t>MailTo = me@mydomain.org</w:t>
      </w:r>
    </w:p>
    <w:p>
      <w:pPr>
        <w:pStyle w:val="Normal"/>
      </w:pPr>
      <w:r>
        <w:t>MailFrom = logwatch@host1.mydomain.org</w:t>
      </w:r>
    </w:p>
    <w:p>
      <w:pPr>
        <w:pStyle w:val="Normal"/>
      </w:pPr>
      <w:r>
        <w:t>Detail = Low</w:t>
      </w:r>
    </w:p>
    <w:p>
      <w:pPr>
        <w:pStyle w:val="Normal"/>
      </w:pPr>
      <w:r>
        <w:t>Service = All</w:t>
      </w:r>
    </w:p>
    <w:p>
      <w:pPr>
        <w:pStyle w:val="Para 17"/>
      </w:pPr>
      <w:r>
        <w:t/>
      </w:r>
    </w:p>
    <w:p>
      <w:pPr>
        <w:pStyle w:val="Normal"/>
      </w:pPr>
      <w:r>
        <w:t>This assumes you’ve already set up mail services on host1 that will allow mail to be deliv-ered to your me@mydomain.org address. These emails will be addressed from logwatch@host1. mydomain.org.</w:t>
      </w:r>
    </w:p>
    <w:p>
      <w:pPr>
        <w:pStyle w:val="Normal"/>
      </w:pPr>
      <w:r>
        <w:t xml:space="preserve">The </w:t>
      </w:r>
      <w:r>
        <w:rPr>
          <w:rStyle w:val="Text0"/>
        </w:rPr>
        <w:t>Detail</w:t>
      </w:r>
      <w:r>
        <w:t xml:space="preserve"> level defines how much information is included in the reports. Possible values are: Low, Medium, and High.</w:t>
      </w:r>
    </w:p>
    <w:p>
      <w:pPr>
        <w:pStyle w:val="Normal"/>
      </w:pPr>
      <w:r>
        <w:t xml:space="preserve">Logwatch will then monitor logs for all services on the system, unless specified otherwise with the </w:t>
      </w:r>
      <w:r>
        <w:rPr>
          <w:rStyle w:val="Text0"/>
        </w:rPr>
        <w:t>Service</w:t>
      </w:r>
      <w:r>
        <w:t xml:space="preserve"> parameter. If there are undesired services included in the reports, they can be disabled by removing them with additional </w:t>
      </w:r>
      <w:r>
        <w:rPr>
          <w:rStyle w:val="Text0"/>
        </w:rPr>
        <w:t>Service</w:t>
      </w:r>
      <w:r>
        <w:t xml:space="preserve"> fields. E.g.:</w:t>
      </w:r>
    </w:p>
    <w:p>
      <w:pPr>
        <w:pStyle w:val="Normal"/>
      </w:pPr>
      <w:r>
        <w:t>Service = "-http"</w:t>
      </w:r>
    </w:p>
    <w:p>
      <w:pPr>
        <w:pStyle w:val="Normal"/>
      </w:pPr>
      <w:r>
        <w:t>Service = "-eximstats"</w:t>
      </w:r>
    </w:p>
    <w:p>
      <w:pPr>
        <w:pStyle w:val="Para 17"/>
      </w:pPr>
      <w:r>
        <w:t/>
      </w:r>
    </w:p>
    <w:p>
      <w:pPr>
        <w:pStyle w:val="Normal"/>
      </w:pPr>
      <w:r>
        <w:t>Next, run logwatch manually to verify your configuration changes are valid:</w:t>
      </w:r>
    </w:p>
    <w:p>
      <w:pPr>
        <w:pStyle w:val="Normal"/>
      </w:pPr>
      <w:r>
        <w:t>sudo logwatch --detail Low --range today</w:t>
      </w:r>
    </w:p>
    <w:p>
      <w:pPr>
        <w:pStyle w:val="Para 17"/>
      </w:pPr>
      <w:r>
        <w:t/>
      </w:r>
    </w:p>
    <w:p>
      <w:pPr>
        <w:pStyle w:val="Normal"/>
      </w:pPr>
      <w:r>
        <w:t>The report produced should look something like this:</w:t>
      </w:r>
    </w:p>
    <w:p>
      <w:pPr>
        <w:pStyle w:val="Normal"/>
      </w:pPr>
      <w:r>
        <w:t>################### Logwatch 7.4.3 (12/07/16) ####################</w:t>
      </w:r>
    </w:p>
    <w:p>
      <w:pPr>
        <w:pStyle w:val="Para 06"/>
      </w:pPr>
      <w:r>
        <w:t>Processing Initiated: Fri Apr 24 16:58:14 2020</w:t>
      </w:r>
    </w:p>
    <w:p>
      <w:pPr>
        <w:pStyle w:val="Para 06"/>
      </w:pPr>
      <w:r>
        <w:t>Date Range Processed: today</w:t>
      </w:r>
    </w:p>
    <w:p>
      <w:pPr>
        <w:pStyle w:val="Para 38"/>
      </w:pPr>
      <w:r>
        <w:t>( 2020-Apr-24 )</w:t>
      </w:r>
    </w:p>
    <w:p>
      <w:pPr>
        <w:pStyle w:val="Para 38"/>
      </w:pPr>
      <w:r>
        <w:t>Period is day.</w:t>
      </w:r>
    </w:p>
    <w:p>
      <w:pPr>
        <w:pStyle w:val="Para 06"/>
      </w:pPr>
      <w:r>
        <w:t>Detail Level of Output: 0</w:t>
      </w:r>
    </w:p>
    <w:p>
      <w:pPr>
        <w:pStyle w:val="Para 06"/>
      </w:pPr>
      <w:r>
        <w:t>Type of Output/Format: stdout / text</w:t>
      </w:r>
    </w:p>
    <w:p>
      <w:pPr>
        <w:pStyle w:val="Para 06"/>
      </w:pPr>
      <w:r>
        <w:t>Logfiles for Host: `host1.mydomain.org`</w:t>
      </w:r>
    </w:p>
    <w:p>
      <w:pPr>
        <w:pStyle w:val="Normal"/>
      </w:pPr>
      <w:r>
        <w:t>##################################################################</w:t>
      </w:r>
    </w:p>
    <w:p>
      <w:pPr>
        <w:pStyle w:val="Normal"/>
      </w:pPr>
      <w:r>
        <w:t>--------------------- pam_unix Begin ------------------------</w:t>
      </w:r>
    </w:p>
    <w:p>
      <w:pPr>
        <w:pStyle w:val="Normal"/>
      </w:pPr>
      <w:r>
        <w:t>sudo:</w:t>
      </w:r>
    </w:p>
    <w:p>
      <w:pPr>
        <w:pStyle w:val="Para 02"/>
      </w:pPr>
      <w:r>
        <w:t>Sessions Opened:</w:t>
      </w:r>
    </w:p>
    <w:p>
      <w:pPr>
        <w:pStyle w:val="Para 06"/>
      </w:pPr>
      <w:r>
        <w:t>bryce -&gt; root: 1 Time(s)</w:t>
      </w:r>
    </w:p>
    <w:p>
      <w:pPr>
        <w:pStyle w:val="Para 17"/>
      </w:pPr>
      <w:r>
        <w:t/>
      </w:r>
    </w:p>
    <w:p>
      <w:pPr>
        <w:pStyle w:val="Normal"/>
      </w:pPr>
      <w:r>
        <w:t>---------------------- pam_unix End -------------------------</w:t>
      </w:r>
    </w:p>
    <w:p>
      <w:pPr>
        <w:pStyle w:val="Para 09"/>
      </w:pPr>
      <w:r>
        <w:t>(continues on next page)</w:t>
      </w:r>
    </w:p>
    <w:p>
      <w:bookmarkStart w:id="964" w:name="page_6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4" name="index-632_1.png" descr="index-632_1.png"/>
            <wp:cNvGraphicFramePr>
              <a:graphicFrameLocks noChangeAspect="1"/>
            </wp:cNvGraphicFramePr>
            <a:graphic>
              <a:graphicData uri="http://schemas.openxmlformats.org/drawingml/2006/picture">
                <pic:pic>
                  <pic:nvPicPr>
                    <pic:cNvPr id="0" name="index-632_1.png" descr="index-632_1.png"/>
                    <pic:cNvPicPr/>
                  </pic:nvPicPr>
                  <pic:blipFill>
                    <a:blip r:embed="rId668"/>
                    <a:stretch>
                      <a:fillRect/>
                    </a:stretch>
                  </pic:blipFill>
                  <pic:spPr>
                    <a:xfrm>
                      <a:off x="0" y="0"/>
                      <a:ext cx="914400" cy="266700"/>
                    </a:xfrm>
                    <a:prstGeom prst="rect">
                      <a:avLst/>
                    </a:prstGeom>
                  </pic:spPr>
                </pic:pic>
              </a:graphicData>
            </a:graphic>
          </wp:anchor>
        </w:drawing>
      </w:r>
      <w:bookmarkEnd w:id="964"/>
    </w:p>
    <w:p>
      <w:pPr>
        <w:pStyle w:val="Para 09"/>
      </w:pPr>
      <w:r>
        <w:t>(continued from previous page)</w:t>
      </w:r>
    </w:p>
    <w:p>
      <w:pPr>
        <w:pStyle w:val="Normal"/>
      </w:pPr>
      <w:r>
        <w:t>--------------------- rsnapshot Begin ------------------------</w:t>
      </w:r>
    </w:p>
    <w:p>
      <w:pPr>
        <w:pStyle w:val="Normal"/>
      </w:pPr>
      <w:r>
        <w:t>ERRORS:</w:t>
      </w:r>
    </w:p>
    <w:p>
      <w:pPr>
        <w:pStyle w:val="Para 02"/>
      </w:pPr>
      <w:r>
        <w:t>/usr/bin/rsnapshot hourly: completed, but with some errors: 5 Time(s)</w:t>
        <w:t xml:space="preserve"> </w:t>
        <w:t>/usr/bin/rsync returned 127 while processing root@host2:/etc/: 5 Time(s)</w:t>
        <w:t xml:space="preserve"> </w:t>
        <w:t>/usr/bin/rsync returned 127 while processing root@host2:/home/: 5 Time(s)</w:t>
        <w:t xml:space="preserve"> </w:t>
        <w:t>/usr/bin/rsync returned 127 while processing root@host2:/proc/uptime: 5 Time(s)</w:t>
        <w:t xml:space="preserve"> </w:t>
        <w:t>/usr/bin/rsync returned 127 while processing root@host3:/etc/: 5 Time(s)</w:t>
        <w:t xml:space="preserve"> </w:t>
        <w:t>/usr/bin/rsync returned 127 while processing root@host3:/home/: 5 Time(s)</w:t>
        <w:t xml:space="preserve"> </w:t>
        <w:t>/usr/bin/rsync returned 127 while processing root@host3:/proc/uptime: 5 Time(s)</w:t>
      </w:r>
    </w:p>
    <w:p>
      <w:pPr>
        <w:pStyle w:val="Para 17"/>
      </w:pPr>
      <w:r>
        <w:t/>
      </w:r>
    </w:p>
    <w:p>
      <w:pPr>
        <w:pStyle w:val="Normal"/>
      </w:pPr>
      <w:r>
        <w:t>---------------------- rsnapshot End -------------------------</w:t>
      </w:r>
    </w:p>
    <w:p>
      <w:pPr>
        <w:pStyle w:val="Para 17"/>
      </w:pPr>
      <w:r>
        <w:t/>
      </w:r>
    </w:p>
    <w:p>
      <w:pPr>
        <w:pStyle w:val="Normal"/>
      </w:pPr>
      <w:r>
        <w:t>--------------------- SSHD Begin ------------------------</w:t>
      </w:r>
    </w:p>
    <w:p>
      <w:pPr>
        <w:pStyle w:val="Para 17"/>
      </w:pPr>
      <w:r>
        <w:t/>
      </w:r>
    </w:p>
    <w:p>
      <w:pPr>
        <w:pStyle w:val="Normal"/>
      </w:pPr>
      <w:r>
        <w:t>Users logging in through sshd:</w:t>
      </w:r>
    </w:p>
    <w:p>
      <w:pPr>
        <w:pStyle w:val="Para 04"/>
      </w:pPr>
      <w:r>
        <w:t>bryce:</w:t>
      </w:r>
    </w:p>
    <w:p>
      <w:pPr>
        <w:pStyle w:val="Para 06"/>
      </w:pPr>
      <w:r>
        <w:t>192.168.1.123 (`host4.mydomain.org`): 1 time</w:t>
      </w:r>
    </w:p>
    <w:p>
      <w:pPr>
        <w:pStyle w:val="Normal"/>
      </w:pPr>
      <w:r>
        <w:t>---------------------- SSHD End -------------------------</w:t>
      </w:r>
    </w:p>
    <w:p>
      <w:pPr>
        <w:pStyle w:val="Para 17"/>
      </w:pPr>
      <w:r>
        <w:t/>
      </w:r>
    </w:p>
    <w:p>
      <w:pPr>
        <w:pStyle w:val="Normal"/>
      </w:pPr>
      <w:r>
        <w:t>--------------------- Sudo (secure-log) Begin ------------------------</w:t>
      </w:r>
    </w:p>
    <w:p>
      <w:pPr>
        <w:pStyle w:val="Para 17"/>
      </w:pPr>
      <w:r>
        <w:t/>
      </w:r>
    </w:p>
    <w:p>
      <w:pPr>
        <w:pStyle w:val="Normal"/>
      </w:pPr>
      <w:r>
        <w:t>bryce =&gt; root</w:t>
      </w:r>
    </w:p>
    <w:p>
      <w:pPr>
        <w:pStyle w:val="Normal"/>
      </w:pPr>
      <w:r>
        <w:t>\-------------</w:t>
      </w:r>
    </w:p>
    <w:p>
      <w:pPr>
        <w:pStyle w:val="Normal"/>
      </w:pPr>
      <w:r>
        <w:t>/bin/bash</w:t>
        <w:t xml:space="preserve"> </w:t>
        <w:t>-</w:t>
        <w:t xml:space="preserve"> </w:t>
        <w:t>1 Time(s).</w:t>
      </w:r>
    </w:p>
    <w:p>
      <w:pPr>
        <w:pStyle w:val="Normal"/>
      </w:pPr>
      <w:r>
        <w:t>---------------------- Sudo (secure-log) End -------------------------</w:t>
      </w:r>
    </w:p>
    <w:p>
      <w:pPr>
        <w:pStyle w:val="Para 17"/>
      </w:pPr>
      <w:r>
        <w:t/>
      </w:r>
    </w:p>
    <w:p>
      <w:pPr>
        <w:pStyle w:val="Normal"/>
      </w:pPr>
      <w:r>
        <w:t>--------------------- Disk Space Begin ------------------------</w:t>
      </w:r>
    </w:p>
    <w:p>
      <w:pPr>
        <w:pStyle w:val="Normal"/>
      </w:pPr>
      <w:r>
        <w:t>Filesystem</w:t>
        <w:t xml:space="preserve"> </w:t>
        <w:t>Size</w:t>
        <w:t xml:space="preserve"> </w:t>
        <w:t>Used Avail Use% Mounted on</w:t>
        <w:t xml:space="preserve"> </w:t>
        <w:t>/dev/sdc1</w:t>
        <w:t xml:space="preserve"> </w:t>
        <w:t>220G</w:t>
        <w:t xml:space="preserve"> </w:t>
        <w:t>19G</w:t>
        <w:t xml:space="preserve"> </w:t>
        <w:t>190G</w:t>
        <w:t xml:space="preserve"> </w:t>
        <w:t>9% /</w:t>
      </w:r>
    </w:p>
    <w:p>
      <w:pPr>
        <w:pStyle w:val="Normal"/>
      </w:pPr>
      <w:r>
        <w:t>/dev/loop1</w:t>
        <w:t xml:space="preserve"> </w:t>
        <w:t>157M</w:t>
        <w:t xml:space="preserve"> </w:t>
        <w:t>157M</w:t>
        <w:t xml:space="preserve"> </w:t>
        <w:t>0 100% /snap/gnome-3-28-1804/110</w:t>
        <w:t xml:space="preserve"> </w:t>
        <w:t>/dev/loop11</w:t>
        <w:t xml:space="preserve"> </w:t>
        <w:t>1.0M</w:t>
        <w:t xml:space="preserve"> </w:t>
        <w:t>1.0M</w:t>
        <w:t xml:space="preserve"> </w:t>
        <w:t>0 100% /snap/gnome-logs/81</w:t>
        <w:t xml:space="preserve"> </w:t>
        <w:t>/dev/md5</w:t>
        <w:t xml:space="preserve"> </w:t>
        <w:t>9.1T</w:t>
        <w:t xml:space="preserve"> </w:t>
        <w:t>7.3T</w:t>
        <w:t xml:space="preserve"> </w:t>
        <w:t>1.8T</w:t>
        <w:t xml:space="preserve"> </w:t>
        <w:t>81% /srv/Products</w:t>
        <w:t xml:space="preserve"> </w:t>
        <w:t>/dev/md6</w:t>
        <w:t xml:space="preserve"> </w:t>
        <w:t>9.1T</w:t>
        <w:t xml:space="preserve"> </w:t>
        <w:t>5.6T</w:t>
        <w:t xml:space="preserve"> </w:t>
        <w:t>3.5T</w:t>
        <w:t xml:space="preserve"> </w:t>
        <w:t>62% /srv/Archives</w:t>
        <w:t xml:space="preserve"> </w:t>
        <w:t>/dev/loop14</w:t>
        <w:t xml:space="preserve"> </w:t>
        <w:t>3.8M</w:t>
        <w:t xml:space="preserve"> </w:t>
        <w:t>3.8M</w:t>
        <w:t xml:space="preserve"> </w:t>
        <w:t>0 100% /snap/gnome-system-monitor/127</w:t>
        <w:t xml:space="preserve"> </w:t>
        <w:t>/dev/loop17</w:t>
        <w:t xml:space="preserve"> </w:t>
        <w:t>15M</w:t>
        <w:t xml:space="preserve"> </w:t>
        <w:t>15M</w:t>
        <w:t xml:space="preserve"> </w:t>
        <w:t>0 100% /snap/gnome-characters/399</w:t>
        <w:t xml:space="preserve"> </w:t>
        <w:t>/dev/loop18</w:t>
        <w:t xml:space="preserve"> </w:t>
        <w:t>161M</w:t>
        <w:t xml:space="preserve"> </w:t>
        <w:t>161M</w:t>
        <w:t xml:space="preserve"> </w:t>
        <w:t>0 100% /snap/gnome-3-28-1804/116</w:t>
        <w:t xml:space="preserve"> </w:t>
        <w:t>/dev/loop6</w:t>
        <w:t xml:space="preserve"> </w:t>
        <w:t>55M</w:t>
        <w:t xml:space="preserve"> </w:t>
        <w:t>55M</w:t>
        <w:t xml:space="preserve"> </w:t>
        <w:t>0 100% /snap/core18/1668</w:t>
        <w:t xml:space="preserve"> </w:t>
        <w:t>/dev/md1</w:t>
        <w:t xml:space="preserve"> </w:t>
        <w:t>1.8T</w:t>
        <w:t xml:space="preserve"> </w:t>
        <w:t>1.3T</w:t>
        <w:t xml:space="preserve"> </w:t>
        <w:t>548G</w:t>
        <w:t xml:space="preserve"> </w:t>
        <w:t>71% /srv/Staff</w:t>
        <w:t xml:space="preserve"> </w:t>
        <w:t>/dev/md0</w:t>
        <w:t xml:space="preserve"> </w:t>
        <w:t>3.6T</w:t>
        <w:t xml:space="preserve"> </w:t>
        <w:t>3.5T</w:t>
        <w:t xml:space="preserve"> </w:t>
        <w:t>84G</w:t>
        <w:t xml:space="preserve"> </w:t>
        <w:t>98% /srv/Backup</w:t>
        <w:t xml:space="preserve"> </w:t>
        <w:t>/dev/loop2</w:t>
        <w:t xml:space="preserve"> </w:t>
        <w:t>1.0M</w:t>
        <w:t xml:space="preserve"> </w:t>
        <w:t>1.0M</w:t>
        <w:t xml:space="preserve"> </w:t>
        <w:t>0 100% /snap/gnome-logs/93</w:t>
        <w:t xml:space="preserve"> </w:t>
        <w:t>/dev/loop5</w:t>
        <w:t xml:space="preserve"> </w:t>
        <w:t>15M</w:t>
        <w:t xml:space="preserve"> </w:t>
        <w:t>15M</w:t>
        <w:t xml:space="preserve"> </w:t>
        <w:t>0 100% /snap/gnome-characters/495</w:t>
        <w:t xml:space="preserve"> </w:t>
        <w:t>/dev/loop8</w:t>
        <w:t xml:space="preserve"> </w:t>
        <w:t>3.8M</w:t>
        <w:t xml:space="preserve"> </w:t>
        <w:t>3.8M</w:t>
        <w:t xml:space="preserve"> </w:t>
        <w:t>0 100% /snap/gnome-system-monitor/135</w:t>
        <w:t xml:space="preserve"> </w:t>
        <w:t>/dev/md7</w:t>
        <w:t xml:space="preserve"> </w:t>
        <w:t>3.6T</w:t>
        <w:t xml:space="preserve"> </w:t>
        <w:t>495G</w:t>
        <w:t xml:space="preserve"> </w:t>
        <w:t>3.0T</w:t>
        <w:t xml:space="preserve"> </w:t>
        <w:t>15% /srv/Customers</w:t>
        <w:t xml:space="preserve"> </w:t>
        <w:t>/dev/loop9</w:t>
        <w:t xml:space="preserve"> </w:t>
        <w:t>55M</w:t>
        <w:t xml:space="preserve"> </w:t>
        <w:t>55M</w:t>
        <w:t xml:space="preserve"> </w:t>
        <w:t>0 100% /snap/core18/1705</w:t>
        <w:t xml:space="preserve"> </w:t>
        <w:t>/dev/loop10</w:t>
        <w:t xml:space="preserve"> </w:t>
        <w:t>94M</w:t>
        <w:t xml:space="preserve"> </w:t>
        <w:t>94M</w:t>
        <w:t xml:space="preserve"> </w:t>
        <w:t>0 100% /snap/core/8935</w:t>
      </w:r>
    </w:p>
    <w:p>
      <w:pPr>
        <w:pStyle w:val="Para 09"/>
      </w:pPr>
      <w:r>
        <w:t>(continues on next page)</w:t>
      </w:r>
    </w:p>
    <w:p>
      <w:bookmarkStart w:id="965" w:name="page_6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5" name="index-633_1.png" descr="index-633_1.png"/>
            <wp:cNvGraphicFramePr>
              <a:graphicFrameLocks noChangeAspect="1"/>
            </wp:cNvGraphicFramePr>
            <a:graphic>
              <a:graphicData uri="http://schemas.openxmlformats.org/drawingml/2006/picture">
                <pic:pic>
                  <pic:nvPicPr>
                    <pic:cNvPr id="0" name="index-633_1.png" descr="index-633_1.png"/>
                    <pic:cNvPicPr/>
                  </pic:nvPicPr>
                  <pic:blipFill>
                    <a:blip r:embed="rId669"/>
                    <a:stretch>
                      <a:fillRect/>
                    </a:stretch>
                  </pic:blipFill>
                  <pic:spPr>
                    <a:xfrm>
                      <a:off x="0" y="0"/>
                      <a:ext cx="914400" cy="266700"/>
                    </a:xfrm>
                    <a:prstGeom prst="rect">
                      <a:avLst/>
                    </a:prstGeom>
                  </pic:spPr>
                </pic:pic>
              </a:graphicData>
            </a:graphic>
          </wp:anchor>
        </w:drawing>
      </w:r>
      <w:bookmarkEnd w:id="965"/>
    </w:p>
    <w:p>
      <w:pPr>
        <w:pStyle w:val="Para 09"/>
      </w:pPr>
      <w:r>
        <w:t>(continued from previous page)</w:t>
      </w:r>
    </w:p>
    <w:p>
      <w:pPr>
        <w:pStyle w:val="Normal"/>
      </w:pPr>
      <w:r>
        <w:t>/dev/loop0</w:t>
        <w:t xml:space="preserve"> </w:t>
        <w:t>55M</w:t>
        <w:t xml:space="preserve"> </w:t>
        <w:t>55M</w:t>
        <w:t xml:space="preserve"> </w:t>
        <w:t>0 100% /snap/gtk-common-themes/1502</w:t>
        <w:t xml:space="preserve"> </w:t>
        <w:t>/dev/loop4</w:t>
        <w:t xml:space="preserve"> </w:t>
        <w:t>63M</w:t>
        <w:t xml:space="preserve"> </w:t>
        <w:t>63M</w:t>
        <w:t xml:space="preserve"> </w:t>
        <w:t>0 100% /snap/gtk-common-themes/1506</w:t>
        <w:t xml:space="preserve"> </w:t>
        <w:t>/dev/loop3</w:t>
        <w:t xml:space="preserve"> </w:t>
        <w:t>94M</w:t>
        <w:t xml:space="preserve"> </w:t>
        <w:t>94M</w:t>
        <w:t xml:space="preserve"> </w:t>
        <w:t>0 100% /snap/core/9066</w:t>
      </w:r>
    </w:p>
    <w:p>
      <w:pPr>
        <w:pStyle w:val="Normal"/>
      </w:pPr>
      <w:r>
        <w:t>/srv/Backup (/dev/md0) =&gt; 98% Used. Warning. Disk Filling up.</w:t>
      </w:r>
    </w:p>
    <w:p>
      <w:pPr>
        <w:pStyle w:val="Normal"/>
      </w:pPr>
      <w:r>
        <w:t>---------------------- Disk Space End -------------------------</w:t>
      </w:r>
    </w:p>
    <w:p>
      <w:pPr>
        <w:pStyle w:val="Para 17"/>
      </w:pPr>
      <w:r>
        <w:t/>
      </w:r>
    </w:p>
    <w:p>
      <w:pPr>
        <w:pStyle w:val="Normal"/>
      </w:pPr>
      <w:r>
        <w:t>###################### Logwatch End #########################</w:t>
      </w:r>
    </w:p>
    <w:p>
      <w:pPr>
        <w:pStyle w:val="Para 17"/>
      </w:pPr>
      <w:r>
        <w:t/>
      </w:r>
    </w:p>
    <w:p>
      <w:pPr>
        <w:pStyle w:val="Para 01"/>
      </w:pPr>
      <w:r>
        <w:t>Further reading</w:t>
      </w:r>
    </w:p>
    <w:p>
      <w:pPr>
        <w:pStyle w:val="Para 17"/>
      </w:pPr>
      <w:r>
        <w:t/>
      </w:r>
    </w:p>
    <w:p>
      <w:pPr>
        <w:pStyle w:val="Para 04"/>
      </w:pPr>
      <w:r>
        <w:t xml:space="preserve">• The Ubuntu </w:t>
      </w:r>
      <w:hyperlink r:id="rId1565">
        <w:r>
          <w:rPr>
            <w:rStyle w:val="Text9"/>
          </w:rPr>
          <w:t>646</w:t>
        </w:r>
      </w:hyperlink>
      <w:hyperlink r:id="rId1565">
        <w:r>
          <w:rPr>
            <w:rStyle w:val="Text1"/>
          </w:rPr>
          <w:t xml:space="preserve"> </w:t>
        </w:r>
      </w:hyperlink>
      <w:hyperlink r:id="rId1565">
        <w:r>
          <w:rPr>
            <w:rStyle w:val="Text2"/>
          </w:rPr>
          <w:t>logwatch(8)</w:t>
        </w:r>
      </w:hyperlink>
      <w:r>
        <w:t xml:space="preserve"> manual page contains many more detailed options.</w:t>
      </w:r>
    </w:p>
    <w:p>
      <w:pPr>
        <w:pStyle w:val="Para 17"/>
      </w:pPr>
      <w:r>
        <w:t/>
      </w:r>
    </w:p>
    <w:p>
      <w:pPr>
        <w:pStyle w:val="Para 01"/>
      </w:pPr>
      <w:r>
        <w:t>How to install and configure Munin</w:t>
      </w:r>
    </w:p>
    <w:p>
      <w:pPr>
        <w:pStyle w:val="Para 17"/>
      </w:pPr>
      <w:r>
        <w:t/>
      </w:r>
    </w:p>
    <w:p>
      <w:pPr>
        <w:pStyle w:val="Normal"/>
      </w:pPr>
      <w:r>
        <w:t>The monitoring of essential servers and services is an important part of system administra-</w:t>
      </w:r>
    </w:p>
    <w:p>
      <w:pPr>
        <w:pStyle w:val="Normal"/>
      </w:pPr>
      <w:r>
        <w:t xml:space="preserve">tion. This guide will show you how to set up </w:t>
      </w:r>
      <w:hyperlink r:id="rId1566">
        <w:r>
          <w:rPr>
            <w:rStyle w:val="Text9"/>
          </w:rPr>
          <w:t>647</w:t>
        </w:r>
      </w:hyperlink>
      <w:hyperlink r:id="rId1566">
        <w:r>
          <w:rPr>
            <w:rStyle w:val="Text1"/>
          </w:rPr>
          <w:t xml:space="preserve"> Munin</w:t>
        </w:r>
      </w:hyperlink>
      <w:r>
        <w:t xml:space="preserve"> for performance monitoring.</w:t>
      </w:r>
    </w:p>
    <w:p>
      <w:pPr>
        <w:pStyle w:val="Normal"/>
      </w:pPr>
      <w:r>
        <w:t xml:space="preserve">In this example, we will use two servers with </w:t>
      </w:r>
      <w:hyperlink w:anchor="page_688">
        <w:r>
          <w:rPr>
            <w:rStyle w:val="Text2"/>
          </w:rPr>
          <w:t>hostnames</w:t>
        </w:r>
      </w:hyperlink>
      <w:r>
        <w:t xml:space="preserve">: </w:t>
      </w:r>
      <w:r>
        <w:rPr>
          <w:rStyle w:val="Text0"/>
        </w:rPr>
        <w:t>server01</w:t>
      </w:r>
      <w:r>
        <w:t xml:space="preserve"> and </w:t>
      </w:r>
      <w:r>
        <w:rPr>
          <w:rStyle w:val="Text0"/>
        </w:rPr>
        <w:t>server02</w:t>
      </w:r>
      <w:r>
        <w:t>.</w:t>
      </w:r>
    </w:p>
    <w:p>
      <w:pPr>
        <w:pStyle w:val="Normal"/>
      </w:pPr>
      <w:r>
        <w:t>Server01 will be set up with the munin package to gather information from the network. Using the munin-node package, server02 will be configured to send information to server01.</w:t>
      </w:r>
    </w:p>
    <w:p>
      <w:pPr>
        <w:pStyle w:val="Para 17"/>
      </w:pPr>
      <w:r>
        <w:t/>
      </w:r>
    </w:p>
    <w:p>
      <w:pPr>
        <w:pStyle w:val="Para 01"/>
      </w:pPr>
      <w:r>
        <w:t>Prerequisites</w:t>
      </w:r>
    </w:p>
    <w:p>
      <w:pPr>
        <w:pStyle w:val="Para 17"/>
      </w:pPr>
      <w:r>
        <w:t/>
      </w:r>
    </w:p>
    <w:p>
      <w:pPr>
        <w:pStyle w:val="Normal"/>
      </w:pPr>
      <w:r>
        <w:t xml:space="preserve">Before installing Munin on server01, </w:t>
      </w:r>
      <w:hyperlink w:anchor="page_888">
        <w:r>
          <w:rPr>
            <w:rStyle w:val="Text2"/>
          </w:rPr>
          <w:t>Apache2 will need to be installed</w:t>
        </w:r>
      </w:hyperlink>
      <w:r>
        <w:t xml:space="preserve"> (page 887). The default configuration is fine for running a munin server.</w:t>
      </w:r>
    </w:p>
    <w:p>
      <w:pPr>
        <w:pStyle w:val="Para 17"/>
      </w:pPr>
      <w:r>
        <w:t/>
      </w:r>
    </w:p>
    <w:p>
      <w:pPr>
        <w:pStyle w:val="Para 01"/>
      </w:pPr>
      <w:r>
        <w:t>Install munin and munin-node</w:t>
      </w:r>
    </w:p>
    <w:p>
      <w:pPr>
        <w:pStyle w:val="Para 17"/>
      </w:pPr>
      <w:r>
        <w:t/>
      </w:r>
    </w:p>
    <w:p>
      <w:pPr>
        <w:pStyle w:val="Normal"/>
      </w:pPr>
      <w:r>
        <w:t>First, on server01 install the munin package. In a terminal enter the following command:</w:t>
      </w:r>
    </w:p>
    <w:p>
      <w:pPr>
        <w:pStyle w:val="Normal"/>
      </w:pPr>
      <w:r>
        <w:t>sudo apt install munin</w:t>
      </w:r>
    </w:p>
    <w:p>
      <w:pPr>
        <w:pStyle w:val="Para 17"/>
      </w:pPr>
      <w:r>
        <w:t/>
      </w:r>
    </w:p>
    <w:p>
      <w:pPr>
        <w:pStyle w:val="Normal"/>
      </w:pPr>
      <w:r>
        <w:t>Now on server02, install the munin-node package:</w:t>
      </w:r>
    </w:p>
    <w:p>
      <w:pPr>
        <w:pStyle w:val="Normal"/>
      </w:pPr>
      <w:r>
        <w:t>sudo apt install munin-node</w:t>
      </w:r>
    </w:p>
    <w:p>
      <w:pPr>
        <w:pStyle w:val="Para 05"/>
      </w:pPr>
      <w:r>
        <w:rPr>
          <w:rStyle w:val="Text5"/>
        </w:rPr>
        <w:t>646</w:t>
      </w:r>
      <w:r>
        <w:rPr>
          <w:rStyle w:val="Text8"/>
        </w:rPr>
        <w:t xml:space="preserve"> </w:t>
      </w:r>
      <w:r>
        <w:t>https://manpages.ubuntu.com/manpages/resolute/man8/logwatch.8.html</w:t>
      </w:r>
    </w:p>
    <w:p>
      <w:pPr>
        <w:pStyle w:val="Para 05"/>
      </w:pPr>
      <w:r>
        <w:rPr>
          <w:rStyle w:val="Text5"/>
        </w:rPr>
        <w:t>647</w:t>
      </w:r>
      <w:r>
        <w:rPr>
          <w:rStyle w:val="Text8"/>
        </w:rPr>
        <w:t xml:space="preserve"> </w:t>
      </w:r>
      <w:r>
        <w:t>https://munin-monitoring.org/</w:t>
      </w:r>
    </w:p>
    <w:p>
      <w:bookmarkStart w:id="966" w:name="calibre_pb_166"/>
      <w:pPr>
        <w:pStyle w:val="0 Block"/>
      </w:pPr>
      <w:bookmarkEnd w:id="966"/>
    </w:p>
    <w:p>
      <w:bookmarkStart w:id="967" w:name="page_634"/>
      <w:bookmarkStart w:id="968" w:name="Top_of_index_split_16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6" name="index-634_1.png" descr="index-634_1.png"/>
            <wp:cNvGraphicFramePr>
              <a:graphicFrameLocks noChangeAspect="1"/>
            </wp:cNvGraphicFramePr>
            <a:graphic>
              <a:graphicData uri="http://schemas.openxmlformats.org/drawingml/2006/picture">
                <pic:pic>
                  <pic:nvPicPr>
                    <pic:cNvPr id="0" name="index-634_1.png" descr="index-634_1.png"/>
                    <pic:cNvPicPr/>
                  </pic:nvPicPr>
                  <pic:blipFill>
                    <a:blip r:embed="rId670"/>
                    <a:stretch>
                      <a:fillRect/>
                    </a:stretch>
                  </pic:blipFill>
                  <pic:spPr>
                    <a:xfrm>
                      <a:off x="0" y="0"/>
                      <a:ext cx="914400" cy="266700"/>
                    </a:xfrm>
                    <a:prstGeom prst="rect">
                      <a:avLst/>
                    </a:prstGeom>
                  </pic:spPr>
                </pic:pic>
              </a:graphicData>
            </a:graphic>
          </wp:anchor>
        </w:drawing>
      </w:r>
      <w:bookmarkEnd w:id="967"/>
      <w:bookmarkEnd w:id="968"/>
    </w:p>
    <w:p>
      <w:pPr>
        <w:pStyle w:val="Para 01"/>
      </w:pPr>
      <w:r>
        <w:t>Configure munin</w:t>
      </w:r>
    </w:p>
    <w:p>
      <w:pPr>
        <w:pStyle w:val="Para 17"/>
      </w:pPr>
      <w:r>
        <w:t/>
      </w:r>
    </w:p>
    <w:p>
      <w:pPr>
        <w:pStyle w:val="Normal"/>
      </w:pPr>
      <w:r>
        <w:t>On server01 edit the /etc/munin/munin.conf file, adding the IP address for server02:</w:t>
      </w:r>
    </w:p>
    <w:p>
      <w:pPr>
        <w:pStyle w:val="Normal"/>
      </w:pPr>
      <w:r>
        <w:t>## First our "normal" host.</w:t>
      </w:r>
    </w:p>
    <w:p>
      <w:pPr>
        <w:pStyle w:val="Normal"/>
      </w:pPr>
      <w:r>
        <w:t>[server02]</w:t>
      </w:r>
    </w:p>
    <w:p>
      <w:pPr>
        <w:pStyle w:val="Para 06"/>
      </w:pPr>
      <w:r>
        <w:t>address 172.18.100.101</w:t>
      </w:r>
    </w:p>
    <w:p>
      <w:pPr>
        <w:pStyle w:val="Para 17"/>
      </w:pPr>
      <w:r>
        <w:t/>
      </w:r>
    </w:p>
    <w:p>
      <w:pPr>
        <w:pStyle w:val="Para 08"/>
      </w:pPr>
      <w:r>
        <w:t>Note:</w:t>
      </w:r>
    </w:p>
    <w:p>
      <w:pPr>
        <w:pStyle w:val="Para 03"/>
      </w:pPr>
      <w:r>
        <w:t>Replace server02 and 172.18.100.101 with the actual hostname and IP address for your</w:t>
      </w:r>
    </w:p>
    <w:p>
      <w:pPr>
        <w:pStyle w:val="Para 03"/>
      </w:pPr>
      <w:r>
        <w:t>server.</w:t>
      </w:r>
    </w:p>
    <w:p>
      <w:pPr>
        <w:pStyle w:val="Normal"/>
      </w:pPr>
      <w:r>
        <w:t>Then, if you wish to access the Munin reports from a host other than server01, you will also need to edit the Directory directives in /etc/apache2/conf-enabled/munin.conf. For in-stance, you may want to allow access to some specific IP address. To do so, add the following snippet below each Require local entry:</w:t>
      </w:r>
    </w:p>
    <w:p>
      <w:pPr>
        <w:pStyle w:val="Para 02"/>
      </w:pPr>
      <w:r>
        <w:t>Require ip 172.18.100.1</w:t>
      </w:r>
    </w:p>
    <w:p>
      <w:pPr>
        <w:pStyle w:val="Para 17"/>
      </w:pPr>
      <w:r>
        <w:t/>
      </w:r>
    </w:p>
    <w:p>
      <w:pPr>
        <w:pStyle w:val="Para 08"/>
      </w:pPr>
      <w:r>
        <w:t>Note:</w:t>
      </w:r>
    </w:p>
    <w:p>
      <w:pPr>
        <w:pStyle w:val="Para 03"/>
      </w:pPr>
      <w:r>
        <w:t>Replace 172.18.100.1 with the actual IP address for the host you want to allow.</w:t>
      </w:r>
    </w:p>
    <w:p>
      <w:pPr>
        <w:pStyle w:val="Para 17"/>
      </w:pPr>
      <w:r>
        <w:t/>
      </w:r>
    </w:p>
    <w:p>
      <w:pPr>
        <w:pStyle w:val="Para 01"/>
      </w:pPr>
      <w:r>
        <w:t>Configure munin-node</w:t>
      </w:r>
    </w:p>
    <w:p>
      <w:pPr>
        <w:pStyle w:val="Para 17"/>
      </w:pPr>
      <w:r>
        <w:t/>
      </w:r>
    </w:p>
    <w:p>
      <w:pPr>
        <w:pStyle w:val="Normal"/>
      </w:pPr>
      <w:r>
        <w:t>Next, configure munin-node on server02. Edit /etc/munin/munin-node.conf to allow access by server01:</w:t>
      </w:r>
    </w:p>
    <w:p>
      <w:pPr>
        <w:pStyle w:val="Normal"/>
      </w:pPr>
      <w:r>
        <w:t>allow ^172\.18\.100\.100$</w:t>
      </w:r>
    </w:p>
    <w:p>
      <w:pPr>
        <w:pStyle w:val="Para 17"/>
      </w:pPr>
      <w:r>
        <w:t/>
      </w:r>
    </w:p>
    <w:p>
      <w:pPr>
        <w:pStyle w:val="Para 08"/>
      </w:pPr>
      <w:r>
        <w:t>Note:</w:t>
      </w:r>
    </w:p>
    <w:p>
      <w:pPr>
        <w:pStyle w:val="Para 03"/>
      </w:pPr>
      <w:r>
        <w:t>Replace ^172\.18\.100\.100$ with the IP address for your munin server.</w:t>
      </w:r>
    </w:p>
    <w:p>
      <w:pPr>
        <w:pStyle w:val="Para 17"/>
      </w:pPr>
      <w:r>
        <w:t/>
      </w:r>
    </w:p>
    <w:p>
      <w:pPr>
        <w:pStyle w:val="Normal"/>
      </w:pPr>
      <w:r>
        <w:t>Now restart munin-node on server02 for the changes to take effect:</w:t>
      </w:r>
    </w:p>
    <w:p>
      <w:pPr>
        <w:pStyle w:val="Normal"/>
      </w:pPr>
      <w:r>
        <w:t>sudo systemctl restart munin-node.service</w:t>
      </w:r>
    </w:p>
    <w:p>
      <w:pPr>
        <w:pStyle w:val="Para 17"/>
      </w:pPr>
      <w:r>
        <w:t/>
      </w:r>
    </w:p>
    <w:p>
      <w:pPr>
        <w:pStyle w:val="Para 01"/>
      </w:pPr>
      <w:r>
        <w:t>Test the setup</w:t>
      </w:r>
    </w:p>
    <w:p>
      <w:pPr>
        <w:pStyle w:val="Para 17"/>
      </w:pPr>
      <w:r>
        <w:t/>
      </w:r>
    </w:p>
    <w:p>
      <w:pPr>
        <w:pStyle w:val="Normal"/>
      </w:pPr>
      <w:r>
        <w:t xml:space="preserve">In a browser, go to http://server01/munin, and you should see links to nice graphs display-ing information from the standard </w:t>
      </w:r>
      <w:r>
        <w:rPr>
          <w:rStyle w:val="Text0"/>
        </w:rPr>
        <w:t>munin-plugins</w:t>
      </w:r>
      <w:r>
        <w:t xml:space="preserve"> for disk, network, processes, and system. However, it should be noted that since this is a new installation, it may take some time for the graphs to display anything useful.</w:t>
      </w:r>
    </w:p>
    <w:p>
      <w:bookmarkStart w:id="969" w:name="page_6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7" name="index-635_1.png" descr="index-635_1.png"/>
            <wp:cNvGraphicFramePr>
              <a:graphicFrameLocks noChangeAspect="1"/>
            </wp:cNvGraphicFramePr>
            <a:graphic>
              <a:graphicData uri="http://schemas.openxmlformats.org/drawingml/2006/picture">
                <pic:pic>
                  <pic:nvPicPr>
                    <pic:cNvPr id="0" name="index-635_1.png" descr="index-635_1.png"/>
                    <pic:cNvPicPr/>
                  </pic:nvPicPr>
                  <pic:blipFill>
                    <a:blip r:embed="rId671"/>
                    <a:stretch>
                      <a:fillRect/>
                    </a:stretch>
                  </pic:blipFill>
                  <pic:spPr>
                    <a:xfrm>
                      <a:off x="0" y="0"/>
                      <a:ext cx="914400" cy="266700"/>
                    </a:xfrm>
                    <a:prstGeom prst="rect">
                      <a:avLst/>
                    </a:prstGeom>
                  </pic:spPr>
                </pic:pic>
              </a:graphicData>
            </a:graphic>
          </wp:anchor>
        </w:drawing>
      </w:r>
      <w:bookmarkEnd w:id="969"/>
    </w:p>
    <w:p>
      <w:pPr>
        <w:pStyle w:val="Para 01"/>
      </w:pPr>
      <w:r>
        <w:t>Additional Plugins</w:t>
      </w:r>
    </w:p>
    <w:p>
      <w:pPr>
        <w:pStyle w:val="Para 17"/>
      </w:pPr>
      <w:r>
        <w:t/>
      </w:r>
    </w:p>
    <w:p>
      <w:pPr>
        <w:pStyle w:val="Normal"/>
      </w:pPr>
      <w:r>
        <w:t>The munin-plugins-extra package contains performance checks and additional services such</w:t>
      </w:r>
    </w:p>
    <w:p>
      <w:pPr>
        <w:pStyle w:val="Normal"/>
      </w:pPr>
      <w:r>
        <w:t xml:space="preserve">as </w:t>
      </w:r>
      <w:hyperlink w:anchor="page_679">
        <w:r>
          <w:rPr>
            <w:rStyle w:val="Text2"/>
          </w:rPr>
          <w:t>DNS</w:t>
        </w:r>
      </w:hyperlink>
      <w:r>
        <w:t xml:space="preserve">, </w:t>
      </w:r>
      <w:hyperlink w:anchor="page_678">
        <w:r>
          <w:rPr>
            <w:rStyle w:val="Text2"/>
          </w:rPr>
          <w:t>DHCP</w:t>
        </w:r>
      </w:hyperlink>
      <w:r>
        <w:t>, and Samba, etc. To install the package, from a terminal enter:</w:t>
      </w:r>
    </w:p>
    <w:p>
      <w:pPr>
        <w:pStyle w:val="Normal"/>
      </w:pPr>
      <w:r>
        <w:t>sudo apt install munin-plugins-extra</w:t>
      </w:r>
    </w:p>
    <w:p>
      <w:pPr>
        <w:pStyle w:val="Para 17"/>
      </w:pPr>
      <w:r>
        <w:t/>
      </w:r>
    </w:p>
    <w:p>
      <w:pPr>
        <w:pStyle w:val="Normal"/>
      </w:pPr>
      <w:r>
        <w:t>Be sure to install the package on both the server and node machines.</w:t>
      </w:r>
    </w:p>
    <w:p>
      <w:pPr>
        <w:pStyle w:val="Para 08"/>
      </w:pPr>
      <w:r>
        <w:t>Note:</w:t>
      </w:r>
    </w:p>
    <w:p>
      <w:pPr>
        <w:pStyle w:val="Para 03"/>
      </w:pPr>
      <w:r>
        <w:t>The munin package recommends munin-node, which recommends munin-plugins-extra.</w:t>
      </w:r>
    </w:p>
    <w:p>
      <w:pPr>
        <w:pStyle w:val="Para 03"/>
      </w:pPr>
      <w:r>
        <w:t>This means that in the most common use cases, you will already have munin-plugins-extra</w:t>
      </w:r>
    </w:p>
    <w:p>
      <w:pPr>
        <w:pStyle w:val="Para 03"/>
      </w:pPr>
      <w:r>
        <w:t>installed after following the instructions in this page.</w:t>
      </w:r>
    </w:p>
    <w:p>
      <w:pPr>
        <w:pStyle w:val="Para 17"/>
      </w:pPr>
      <w:r>
        <w:t/>
      </w:r>
    </w:p>
    <w:p>
      <w:pPr>
        <w:pStyle w:val="Para 01"/>
      </w:pPr>
      <w:r>
        <w:t>References</w:t>
      </w:r>
    </w:p>
    <w:p>
      <w:pPr>
        <w:pStyle w:val="Para 17"/>
      </w:pPr>
      <w:r>
        <w:t/>
      </w:r>
    </w:p>
    <w:p>
      <w:pPr>
        <w:pStyle w:val="Para 04"/>
      </w:pPr>
      <w:r>
        <w:t xml:space="preserve">• See the </w:t>
      </w:r>
      <w:hyperlink w:anchor="page_635">
        <w:r>
          <w:rPr>
            <w:rStyle w:val="Text9"/>
          </w:rPr>
          <w:t>648</w:t>
        </w:r>
      </w:hyperlink>
      <w:r>
        <w:t xml:space="preserve"> </w:t>
      </w:r>
      <w:hyperlink r:id="rId1566">
        <w:r>
          <w:rPr>
            <w:rStyle w:val="Text1"/>
          </w:rPr>
          <w:t>Munin</w:t>
        </w:r>
      </w:hyperlink>
      <w:r>
        <w:t xml:space="preserve"> website for more details.</w:t>
      </w:r>
    </w:p>
    <w:p>
      <w:pPr>
        <w:pStyle w:val="Para 04"/>
      </w:pPr>
      <w:r>
        <w:t xml:space="preserve">• Specifically the </w:t>
      </w:r>
      <w:hyperlink w:anchor="page_635">
        <w:r>
          <w:rPr>
            <w:rStyle w:val="Text9"/>
          </w:rPr>
          <w:t>649</w:t>
        </w:r>
      </w:hyperlink>
      <w:r>
        <w:t xml:space="preserve"> </w:t>
      </w:r>
      <w:hyperlink r:id="rId1567">
        <w:r>
          <w:rPr>
            <w:rStyle w:val="Text1"/>
          </w:rPr>
          <w:t>Munin Documentation</w:t>
        </w:r>
      </w:hyperlink>
      <w:r>
        <w:t xml:space="preserve"> page includes information on additional plu-</w:t>
      </w:r>
    </w:p>
    <w:p>
      <w:pPr>
        <w:pStyle w:val="Para 02"/>
      </w:pPr>
      <w:r>
        <w:t>gins, writing plugins, etc.</w:t>
      </w:r>
    </w:p>
    <w:p>
      <w:pPr>
        <w:pStyle w:val="Para 17"/>
      </w:pPr>
      <w:r>
        <w:t/>
      </w:r>
    </w:p>
    <w:p>
      <w:pPr>
        <w:pStyle w:val="Para 01"/>
      </w:pPr>
      <w:r>
        <w:t>How to install and configure Nagios Core 3</w:t>
      </w:r>
    </w:p>
    <w:p>
      <w:pPr>
        <w:pStyle w:val="Para 17"/>
      </w:pPr>
      <w:r>
        <w:t/>
      </w:r>
    </w:p>
    <w:p>
      <w:pPr>
        <w:pStyle w:val="Para 08"/>
      </w:pPr>
      <w:r>
        <w:t>Note:</w:t>
      </w:r>
    </w:p>
    <w:p>
      <w:pPr>
        <w:pStyle w:val="Para 03"/>
      </w:pPr>
      <w:r>
        <w:t>Nagios Core 3 has been deprecated and is now replaced by Nagios Core 4. The nagios3</w:t>
      </w:r>
    </w:p>
    <w:p>
      <w:pPr>
        <w:pStyle w:val="Para 03"/>
      </w:pPr>
      <w:r>
        <w:t>package was last supported in Bionic, so subsequent releases should use nagios4 instead.</w:t>
      </w:r>
    </w:p>
    <w:p>
      <w:pPr>
        <w:pStyle w:val="Para 17"/>
      </w:pPr>
      <w:r>
        <w:t/>
      </w:r>
    </w:p>
    <w:p>
      <w:pPr>
        <w:pStyle w:val="Normal"/>
      </w:pPr>
      <w:r>
        <w:t>The monitoring of essential servers and services is an important part of system administra-tion. This guide walks through how to install and configure Nagios Core 3 for availability monitoring.</w:t>
      </w:r>
    </w:p>
    <w:p>
      <w:pPr>
        <w:pStyle w:val="Normal"/>
      </w:pPr>
      <w:r>
        <w:t xml:space="preserve">The example in this guide uses two servers with </w:t>
      </w:r>
      <w:hyperlink w:anchor="page_688">
        <w:r>
          <w:rPr>
            <w:rStyle w:val="Text2"/>
          </w:rPr>
          <w:t>hostnames</w:t>
        </w:r>
      </w:hyperlink>
      <w:r>
        <w:t xml:space="preserve">: </w:t>
      </w:r>
      <w:r>
        <w:rPr>
          <w:rStyle w:val="Text0"/>
        </w:rPr>
        <w:t>server01</w:t>
      </w:r>
      <w:r>
        <w:t xml:space="preserve"> and </w:t>
      </w:r>
      <w:r>
        <w:rPr>
          <w:rStyle w:val="Text0"/>
        </w:rPr>
        <w:t>server02</w:t>
      </w:r>
      <w:r>
        <w:t>.</w:t>
      </w:r>
    </w:p>
    <w:p>
      <w:pPr>
        <w:pStyle w:val="Normal"/>
      </w:pPr>
      <w:r>
        <w:t>Server01 will be configured with Nagios to monitor services on itself and on server02, while server02 will be configured to send data to server01.</w:t>
      </w:r>
    </w:p>
    <w:p>
      <w:pPr>
        <w:pStyle w:val="Para 05"/>
      </w:pPr>
      <w:r>
        <w:rPr>
          <w:rStyle w:val="Text5"/>
        </w:rPr>
        <w:t>648</w:t>
      </w:r>
      <w:r>
        <w:rPr>
          <w:rStyle w:val="Text8"/>
        </w:rPr>
        <w:t xml:space="preserve"> </w:t>
      </w:r>
      <w:r>
        <w:t>https://munin-monitoring.org/</w:t>
      </w:r>
    </w:p>
    <w:p>
      <w:pPr>
        <w:pStyle w:val="Para 05"/>
      </w:pPr>
      <w:r>
        <w:rPr>
          <w:rStyle w:val="Text5"/>
        </w:rPr>
        <w:t>649</w:t>
      </w:r>
      <w:r>
        <w:rPr>
          <w:rStyle w:val="Text8"/>
        </w:rPr>
        <w:t xml:space="preserve"> </w:t>
      </w:r>
      <w:r>
        <w:t>https://munin.readthedocs.io/en/latest/</w:t>
      </w:r>
    </w:p>
    <w:p>
      <w:bookmarkStart w:id="970" w:name="calibre_pb_167"/>
      <w:pPr>
        <w:pStyle w:val="0 Block"/>
      </w:pPr>
      <w:bookmarkEnd w:id="970"/>
    </w:p>
    <w:p>
      <w:bookmarkStart w:id="971" w:name="Top_of_index_split_168_html"/>
      <w:bookmarkStart w:id="972" w:name="page_63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8" name="index-636_1.png" descr="index-636_1.png"/>
            <wp:cNvGraphicFramePr>
              <a:graphicFrameLocks noChangeAspect="1"/>
            </wp:cNvGraphicFramePr>
            <a:graphic>
              <a:graphicData uri="http://schemas.openxmlformats.org/drawingml/2006/picture">
                <pic:pic>
                  <pic:nvPicPr>
                    <pic:cNvPr id="0" name="index-636_1.png" descr="index-636_1.png"/>
                    <pic:cNvPicPr/>
                  </pic:nvPicPr>
                  <pic:blipFill>
                    <a:blip r:embed="rId672"/>
                    <a:stretch>
                      <a:fillRect/>
                    </a:stretch>
                  </pic:blipFill>
                  <pic:spPr>
                    <a:xfrm>
                      <a:off x="0" y="0"/>
                      <a:ext cx="914400" cy="266700"/>
                    </a:xfrm>
                    <a:prstGeom prst="rect">
                      <a:avLst/>
                    </a:prstGeom>
                  </pic:spPr>
                </pic:pic>
              </a:graphicData>
            </a:graphic>
          </wp:anchor>
        </w:drawing>
      </w:r>
      <w:bookmarkEnd w:id="971"/>
      <w:bookmarkEnd w:id="972"/>
    </w:p>
    <w:p>
      <w:pPr>
        <w:pStyle w:val="Para 01"/>
      </w:pPr>
      <w:r>
        <w:t>Install nagios3 on server01</w:t>
      </w:r>
    </w:p>
    <w:p>
      <w:pPr>
        <w:pStyle w:val="Para 17"/>
      </w:pPr>
      <w:r>
        <w:t/>
      </w:r>
    </w:p>
    <w:p>
      <w:pPr>
        <w:pStyle w:val="Normal"/>
      </w:pPr>
      <w:r>
        <w:t>First, on server01, install the nagios3 package by entering the following command into your terminal:</w:t>
      </w:r>
    </w:p>
    <w:p>
      <w:pPr>
        <w:pStyle w:val="Normal"/>
      </w:pPr>
      <w:r>
        <w:t>sudo apt install nagios3 nagios-nrpe-plugin</w:t>
      </w:r>
    </w:p>
    <w:p>
      <w:pPr>
        <w:pStyle w:val="Para 17"/>
      </w:pPr>
      <w:r>
        <w:t/>
      </w:r>
    </w:p>
    <w:p>
      <w:pPr>
        <w:pStyle w:val="Normal"/>
      </w:pPr>
      <w:r>
        <w:t xml:space="preserve">You will be asked to enter a password for the </w:t>
      </w:r>
      <w:r>
        <w:rPr>
          <w:rStyle w:val="Text0"/>
        </w:rPr>
        <w:t>nagiosadmin</w:t>
      </w:r>
      <w:r>
        <w:t xml:space="preserve"> user. The user’s credentials are stored in /etc/nagios3/htpasswd.users. To change the nagiosadmin password, or add more users to the Nagios CGI scripts, use the htpasswd that is part of the apache2-utils package.</w:t>
      </w:r>
    </w:p>
    <w:p>
      <w:pPr>
        <w:pStyle w:val="Normal"/>
      </w:pPr>
      <w:r>
        <w:t>For example, to change the password for the nagiosadmin user, enter:</w:t>
      </w:r>
    </w:p>
    <w:p>
      <w:pPr>
        <w:pStyle w:val="Normal"/>
      </w:pPr>
      <w:r>
        <w:t>sudo htpasswd /etc/nagios3/htpasswd.users nagiosadmin</w:t>
      </w:r>
    </w:p>
    <w:p>
      <w:pPr>
        <w:pStyle w:val="Para 17"/>
      </w:pPr>
      <w:r>
        <w:t/>
      </w:r>
    </w:p>
    <w:p>
      <w:pPr>
        <w:pStyle w:val="Normal"/>
      </w:pPr>
      <w:r>
        <w:t>To add a user:</w:t>
      </w:r>
    </w:p>
    <w:p>
      <w:pPr>
        <w:pStyle w:val="Normal"/>
      </w:pPr>
      <w:r>
        <w:t>sudo htpasswd /etc/nagios3/htpasswd.users steve</w:t>
      </w:r>
    </w:p>
    <w:p>
      <w:pPr>
        <w:pStyle w:val="Para 17"/>
      </w:pPr>
      <w:r>
        <w:t/>
      </w:r>
    </w:p>
    <w:p>
      <w:pPr>
        <w:pStyle w:val="Para 01"/>
      </w:pPr>
      <w:r>
        <w:t>Install nagios-nrpe-server on server02</w:t>
      </w:r>
    </w:p>
    <w:p>
      <w:pPr>
        <w:pStyle w:val="Para 17"/>
      </w:pPr>
      <w:r>
        <w:t/>
      </w:r>
    </w:p>
    <w:p>
      <w:pPr>
        <w:pStyle w:val="Normal"/>
      </w:pPr>
      <w:r>
        <w:t>Next, on server02 install the nagios-nrpe-server package. From a terminal on server02 en-ter:</w:t>
      </w:r>
    </w:p>
    <w:p>
      <w:pPr>
        <w:pStyle w:val="Normal"/>
      </w:pPr>
      <w:r>
        <w:t>sudo apt install nagios-nrpe-server</w:t>
      </w:r>
    </w:p>
    <w:p>
      <w:pPr>
        <w:pStyle w:val="Para 17"/>
      </w:pPr>
      <w:r>
        <w:t/>
      </w:r>
    </w:p>
    <w:p>
      <w:pPr>
        <w:pStyle w:val="Para 08"/>
      </w:pPr>
      <w:r>
        <w:t>Note:</w:t>
      </w:r>
    </w:p>
    <w:p>
      <w:pPr>
        <w:pStyle w:val="Para 03"/>
      </w:pPr>
      <w:r>
        <w:t>NRPE allows you to execute local checks on remote hosts. There are other ways of accom-</w:t>
      </w:r>
    </w:p>
    <w:p>
      <w:pPr>
        <w:pStyle w:val="Para 03"/>
      </w:pPr>
      <w:r>
        <w:t>plishing this through other Nagios plugins, as well as other checks.</w:t>
      </w:r>
    </w:p>
    <w:p>
      <w:pPr>
        <w:pStyle w:val="Para 17"/>
      </w:pPr>
      <w:r>
        <w:t/>
      </w:r>
    </w:p>
    <w:p>
      <w:pPr>
        <w:pStyle w:val="Para 01"/>
      </w:pPr>
      <w:r>
        <w:t>Configuration overview</w:t>
      </w:r>
    </w:p>
    <w:p>
      <w:pPr>
        <w:pStyle w:val="Para 17"/>
      </w:pPr>
      <w:r>
        <w:t/>
      </w:r>
    </w:p>
    <w:p>
      <w:pPr>
        <w:pStyle w:val="Normal"/>
      </w:pPr>
      <w:r>
        <w:t>There are a couple of directories containing Nagios configuration and check files.</w:t>
      </w:r>
    </w:p>
    <w:p>
      <w:pPr>
        <w:pStyle w:val="Para 04"/>
      </w:pPr>
      <w:r>
        <w:t>• /etc/nagios3: Contains configuration files for the operation of the Nagios daemon, CGI</w:t>
      </w:r>
    </w:p>
    <w:p>
      <w:pPr>
        <w:pStyle w:val="Para 02"/>
      </w:pPr>
      <w:r>
        <w:t>files, hosts, etc.</w:t>
      </w:r>
    </w:p>
    <w:p>
      <w:pPr>
        <w:pStyle w:val="Para 04"/>
      </w:pPr>
      <w:r>
        <w:t>• /etc/nagios-plugins: Contains configuration files for the service checks.</w:t>
      </w:r>
    </w:p>
    <w:p>
      <w:pPr>
        <w:pStyle w:val="Para 04"/>
      </w:pPr>
      <w:r>
        <w:t>• /etc/nagios: On the remote host, contains the nagios-nrpe-server configuration files.</w:t>
      </w:r>
    </w:p>
    <w:p>
      <w:pPr>
        <w:pStyle w:val="Para 04"/>
      </w:pPr>
      <w:r>
        <w:t>• /usr/lib/nagios/plugins/: Where the check binaries are stored. To see the options of</w:t>
      </w:r>
    </w:p>
    <w:p>
      <w:pPr>
        <w:pStyle w:val="Para 17"/>
      </w:pPr>
      <w:r>
        <w:t>a check use the-h option. For example: /usr/lib/nagios/plugins/check_dhcp -h</w:t>
      </w:r>
    </w:p>
    <w:p>
      <w:pPr>
        <w:pStyle w:val="Normal"/>
      </w:pPr>
      <w:r>
        <w:t>There are multiple checks Nagios can be configured to execute for any given host. For this</w:t>
      </w:r>
    </w:p>
    <w:p>
      <w:pPr>
        <w:pStyle w:val="Normal"/>
      </w:pPr>
      <w:r>
        <w:t xml:space="preserve">example, Nagios will be configured to check disk space, </w:t>
      </w:r>
      <w:hyperlink w:anchor="page_679">
        <w:r>
          <w:rPr>
            <w:rStyle w:val="Text2"/>
          </w:rPr>
          <w:t>DNS</w:t>
        </w:r>
      </w:hyperlink>
      <w:r>
        <w:t xml:space="preserve"> , and a MySQL </w:t>
      </w:r>
      <w:hyperlink w:anchor="page_688">
        <w:r>
          <w:rPr>
            <w:rStyle w:val="Text2"/>
          </w:rPr>
          <w:t>hostgroup</w:t>
        </w:r>
      </w:hyperlink>
      <w:r>
        <w:t>. The DNS check will be on server02, and the MySQL hostgroup will include both server01 and server02.</w:t>
      </w:r>
    </w:p>
    <w:p>
      <w:bookmarkStart w:id="973" w:name="page_6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69" name="index-637_1.png" descr="index-637_1.png"/>
            <wp:cNvGraphicFramePr>
              <a:graphicFrameLocks noChangeAspect="1"/>
            </wp:cNvGraphicFramePr>
            <a:graphic>
              <a:graphicData uri="http://schemas.openxmlformats.org/drawingml/2006/picture">
                <pic:pic>
                  <pic:nvPicPr>
                    <pic:cNvPr id="0" name="index-637_1.png" descr="index-637_1.png"/>
                    <pic:cNvPicPr/>
                  </pic:nvPicPr>
                  <pic:blipFill>
                    <a:blip r:embed="rId673"/>
                    <a:stretch>
                      <a:fillRect/>
                    </a:stretch>
                  </pic:blipFill>
                  <pic:spPr>
                    <a:xfrm>
                      <a:off x="0" y="0"/>
                      <a:ext cx="914400" cy="266700"/>
                    </a:xfrm>
                    <a:prstGeom prst="rect">
                      <a:avLst/>
                    </a:prstGeom>
                  </pic:spPr>
                </pic:pic>
              </a:graphicData>
            </a:graphic>
          </wp:anchor>
        </w:drawing>
      </w:r>
      <w:bookmarkEnd w:id="973"/>
    </w:p>
    <w:p>
      <w:pPr>
        <w:pStyle w:val="Para 08"/>
      </w:pPr>
      <w:r>
        <w:t>Note:</w:t>
      </w:r>
    </w:p>
    <w:p>
      <w:pPr>
        <w:pStyle w:val="Para 03"/>
      </w:pPr>
      <w:r>
        <w:t xml:space="preserve">See these guides for details on </w:t>
      </w:r>
      <w:hyperlink w:anchor="page_888">
        <w:r>
          <w:rPr>
            <w:rStyle w:val="Text2"/>
          </w:rPr>
          <w:t>setting up Apache</w:t>
        </w:r>
      </w:hyperlink>
      <w:r>
        <w:t xml:space="preserve"> (page 887), </w:t>
      </w:r>
      <w:hyperlink w:anchor="page_240">
        <w:r>
          <w:rPr>
            <w:rStyle w:val="Text2"/>
          </w:rPr>
          <w:t>Domain Name Service</w:t>
        </w:r>
      </w:hyperlink>
    </w:p>
    <w:p>
      <w:pPr>
        <w:pStyle w:val="Para 03"/>
      </w:pPr>
      <w:r>
        <w:t xml:space="preserve">(page 239), and </w:t>
      </w:r>
      <w:hyperlink w:anchor="page_412">
        <w:r>
          <w:rPr>
            <w:rStyle w:val="Text2"/>
          </w:rPr>
          <w:t>MySQL</w:t>
        </w:r>
      </w:hyperlink>
      <w:r>
        <w:t xml:space="preserve"> (page 411).</w:t>
      </w:r>
    </w:p>
    <w:p>
      <w:pPr>
        <w:pStyle w:val="Para 17"/>
      </w:pPr>
      <w:r>
        <w:t/>
      </w:r>
    </w:p>
    <w:p>
      <w:pPr>
        <w:pStyle w:val="Normal"/>
      </w:pPr>
      <w:r>
        <w:t>Additionally, there are some terms that once explained will hopefully make understanding Nagios configuration easier:</w:t>
      </w:r>
    </w:p>
    <w:p>
      <w:pPr>
        <w:pStyle w:val="Para 04"/>
      </w:pPr>
      <w:r>
        <w:t xml:space="preserve">• </w:t>
      </w:r>
      <w:r>
        <w:rPr>
          <w:rStyle w:val="Text3"/>
        </w:rPr>
        <w:t>Host</w:t>
      </w:r>
      <w:r>
        <w:t>: A server, workstation, network device, etc. that is being monitored.</w:t>
      </w:r>
    </w:p>
    <w:p>
      <w:pPr>
        <w:pStyle w:val="Para 04"/>
      </w:pPr>
      <w:r>
        <w:t xml:space="preserve">• </w:t>
      </w:r>
      <w:r>
        <w:rPr>
          <w:rStyle w:val="Text3"/>
        </w:rPr>
        <w:t>Host Group</w:t>
      </w:r>
      <w:r>
        <w:t>: A group of similar hosts. For example, you could group all web servers, file</w:t>
      </w:r>
    </w:p>
    <w:p>
      <w:pPr>
        <w:pStyle w:val="Para 02"/>
      </w:pPr>
      <w:r>
        <w:t>server, etc.</w:t>
      </w:r>
    </w:p>
    <w:p>
      <w:pPr>
        <w:pStyle w:val="Para 04"/>
      </w:pPr>
      <w:r>
        <w:t xml:space="preserve">• </w:t>
      </w:r>
      <w:r>
        <w:rPr>
          <w:rStyle w:val="Text3"/>
        </w:rPr>
        <w:t>Service</w:t>
      </w:r>
      <w:r>
        <w:t>: The service being monitored on the host, such as HTTP, DNS, NFS, etc.</w:t>
      </w:r>
    </w:p>
    <w:p>
      <w:pPr>
        <w:pStyle w:val="Para 04"/>
      </w:pPr>
      <w:r>
        <w:t xml:space="preserve">• </w:t>
      </w:r>
      <w:r>
        <w:rPr>
          <w:rStyle w:val="Text3"/>
        </w:rPr>
        <w:t>Service Group</w:t>
      </w:r>
      <w:r>
        <w:t>: Allows you to group multiple services together. This is useful for group-</w:t>
      </w:r>
    </w:p>
    <w:p>
      <w:pPr>
        <w:pStyle w:val="Para 02"/>
      </w:pPr>
      <w:r>
        <w:t>ing multiple HTTP for example.</w:t>
      </w:r>
    </w:p>
    <w:p>
      <w:pPr>
        <w:pStyle w:val="Para 04"/>
      </w:pPr>
      <w:r>
        <w:t xml:space="preserve">• </w:t>
      </w:r>
      <w:r>
        <w:rPr>
          <w:rStyle w:val="Text3"/>
        </w:rPr>
        <w:t>Contact</w:t>
      </w:r>
      <w:r>
        <w:t xml:space="preserve"> : Person to be notified when an event takes place. Nagios can be configured to</w:t>
      </w:r>
    </w:p>
    <w:p>
      <w:pPr>
        <w:pStyle w:val="Para 02"/>
      </w:pPr>
      <w:r>
        <w:t>send emails, SMS messages, etc.</w:t>
      </w:r>
    </w:p>
    <w:p>
      <w:pPr>
        <w:pStyle w:val="Normal"/>
      </w:pPr>
      <w:r>
        <w:t xml:space="preserve">By default, Nagios is configured to check HTTP, disk space, SSH, current users, processes, and load on the </w:t>
      </w:r>
      <w:r>
        <w:rPr>
          <w:rStyle w:val="Text0"/>
        </w:rPr>
        <w:t>localhost</w:t>
      </w:r>
      <w:r>
        <w:t xml:space="preserve">. Nagios will also ping check the </w:t>
      </w:r>
      <w:r>
        <w:rPr>
          <w:rStyle w:val="Text0"/>
        </w:rPr>
        <w:t>gateway</w:t>
      </w:r>
      <w:r>
        <w:t>.</w:t>
      </w:r>
    </w:p>
    <w:p>
      <w:pPr>
        <w:pStyle w:val="Normal"/>
      </w:pPr>
      <w:r>
        <w:t>Large Nagios installations can be quite complex to configure. It is usually best to start small, with one or two hosts, to get things configured the way you want before expanding.</w:t>
      </w:r>
    </w:p>
    <w:p>
      <w:pPr>
        <w:pStyle w:val="Para 17"/>
      </w:pPr>
      <w:r>
        <w:t/>
      </w:r>
    </w:p>
    <w:p>
      <w:pPr>
        <w:pStyle w:val="Para 01"/>
      </w:pPr>
      <w:r>
        <w:t>Configure Nagios</w:t>
      </w:r>
    </w:p>
    <w:p>
      <w:pPr>
        <w:pStyle w:val="Para 17"/>
      </w:pPr>
      <w:r>
        <w:t/>
      </w:r>
    </w:p>
    <w:p>
      <w:pPr>
        <w:pStyle w:val="Para 01"/>
      </w:pPr>
      <w:r>
        <w:t>Create host config file for server02</w:t>
      </w:r>
    </w:p>
    <w:p>
      <w:pPr>
        <w:pStyle w:val="Para 17"/>
      </w:pPr>
      <w:r>
        <w:t/>
      </w:r>
    </w:p>
    <w:p>
      <w:pPr>
        <w:pStyle w:val="Normal"/>
      </w:pPr>
      <w:r>
        <w:t xml:space="preserve">First, create a </w:t>
      </w:r>
      <w:r>
        <w:rPr>
          <w:rStyle w:val="Text0"/>
        </w:rPr>
        <w:t>host</w:t>
      </w:r>
      <w:r>
        <w:t xml:space="preserve"> configuration file for server02. Unless otherwise specified, run all these commands on server01. In a terminal enter:</w:t>
      </w:r>
    </w:p>
    <w:p>
      <w:pPr>
        <w:pStyle w:val="Normal"/>
      </w:pPr>
      <w:r>
        <w:t>sudo cp /etc/nagios3/conf.d/localhost_nagios2.cfg</w:t>
        <w:t xml:space="preserve"> </w:t>
      </w:r>
      <w:r>
        <w:rPr>
          <w:rStyle w:val="Text0"/>
        </w:rPr>
        <w:t>\</w:t>
      </w:r>
      <w:r>
        <w:t xml:space="preserve"> </w:t>
        <w:t>/etc/nagios3/conf.d/server02.cfg</w:t>
      </w:r>
    </w:p>
    <w:p>
      <w:pPr>
        <w:pStyle w:val="Para 17"/>
      </w:pPr>
      <w:r>
        <w:t/>
      </w:r>
    </w:p>
    <w:p>
      <w:pPr>
        <w:pStyle w:val="Para 08"/>
      </w:pPr>
      <w:r>
        <w:t>Note:</w:t>
      </w:r>
    </w:p>
    <w:p>
      <w:pPr>
        <w:pStyle w:val="Para 03"/>
      </w:pPr>
      <w:r>
        <w:t>In all command examples, replace “server01”, “server02”, 172.18.100.100, and 172.18.</w:t>
      </w:r>
    </w:p>
    <w:p>
      <w:pPr>
        <w:pStyle w:val="Para 03"/>
      </w:pPr>
      <w:r>
        <w:t>100.101 with the host names and IP addresses of your servers.</w:t>
      </w:r>
    </w:p>
    <w:p>
      <w:pPr>
        <w:pStyle w:val="Para 17"/>
      </w:pPr>
      <w:r>
        <w:t/>
      </w:r>
    </w:p>
    <w:p>
      <w:pPr>
        <w:pStyle w:val="Para 01"/>
      </w:pPr>
      <w:r>
        <w:t>Edit the host config file</w:t>
      </w:r>
    </w:p>
    <w:p>
      <w:pPr>
        <w:pStyle w:val="Para 17"/>
      </w:pPr>
      <w:r>
        <w:t/>
      </w:r>
    </w:p>
    <w:p>
      <w:pPr>
        <w:pStyle w:val="Normal"/>
      </w:pPr>
      <w:r>
        <w:t>Next, edit /etc/nagios3/conf.d/server02.cfg:</w:t>
      </w:r>
    </w:p>
    <w:p>
      <w:pPr>
        <w:pStyle w:val="Normal"/>
      </w:pPr>
      <w:r>
        <w:t>define host{</w:t>
      </w:r>
    </w:p>
    <w:p>
      <w:pPr>
        <w:pStyle w:val="Para 06"/>
      </w:pPr>
      <w:r>
        <w:t>use</w:t>
        <w:t xml:space="preserve"> </w:t>
        <w:t>generic-host</w:t>
        <w:t xml:space="preserve"> </w:t>
        <w:t>; Name of host template to use</w:t>
        <w:t xml:space="preserve"> </w:t>
        <w:t>host_name</w:t>
        <w:t xml:space="preserve"> </w:t>
        <w:t>server02</w:t>
        <w:t xml:space="preserve"> </w:t>
        <w:t>alias</w:t>
        <w:t xml:space="preserve"> </w:t>
        <w:t>Server 02</w:t>
        <w:t xml:space="preserve"> </w:t>
        <w:t>address</w:t>
        <w:t xml:space="preserve"> </w:t>
        <w:t>172.18.100.101</w:t>
      </w:r>
    </w:p>
    <w:p>
      <w:pPr>
        <w:pStyle w:val="Normal"/>
      </w:pPr>
      <w:r>
        <w:t>}</w:t>
      </w:r>
    </w:p>
    <w:p>
      <w:pPr>
        <w:pStyle w:val="Para 09"/>
      </w:pPr>
      <w:r>
        <w:t>(continues on next page)</w:t>
      </w:r>
    </w:p>
    <w:p>
      <w:bookmarkStart w:id="974" w:name="page_6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0" name="index-638_1.png" descr="index-638_1.png"/>
            <wp:cNvGraphicFramePr>
              <a:graphicFrameLocks noChangeAspect="1"/>
            </wp:cNvGraphicFramePr>
            <a:graphic>
              <a:graphicData uri="http://schemas.openxmlformats.org/drawingml/2006/picture">
                <pic:pic>
                  <pic:nvPicPr>
                    <pic:cNvPr id="0" name="index-638_1.png" descr="index-638_1.png"/>
                    <pic:cNvPicPr/>
                  </pic:nvPicPr>
                  <pic:blipFill>
                    <a:blip r:embed="rId674"/>
                    <a:stretch>
                      <a:fillRect/>
                    </a:stretch>
                  </pic:blipFill>
                  <pic:spPr>
                    <a:xfrm>
                      <a:off x="0" y="0"/>
                      <a:ext cx="914400" cy="266700"/>
                    </a:xfrm>
                    <a:prstGeom prst="rect">
                      <a:avLst/>
                    </a:prstGeom>
                  </pic:spPr>
                </pic:pic>
              </a:graphicData>
            </a:graphic>
          </wp:anchor>
        </w:drawing>
      </w:r>
      <w:bookmarkEnd w:id="974"/>
    </w:p>
    <w:p>
      <w:pPr>
        <w:pStyle w:val="Para 09"/>
      </w:pPr>
      <w:r>
        <w:t>(continued from previous page)</w:t>
      </w:r>
    </w:p>
    <w:p>
      <w:pPr>
        <w:pStyle w:val="Normal"/>
      </w:pPr>
      <w:r>
        <w:t># check DNS service.</w:t>
      </w:r>
    </w:p>
    <w:p>
      <w:pPr>
        <w:pStyle w:val="Normal"/>
      </w:pPr>
      <w:r>
        <w:t>define service {</w:t>
      </w:r>
    </w:p>
    <w:p>
      <w:pPr>
        <w:pStyle w:val="Para 06"/>
      </w:pPr>
      <w:r>
        <w:t>use</w:t>
        <w:t xml:space="preserve"> </w:t>
        <w:t>generic-service</w:t>
        <w:t xml:space="preserve"> </w:t>
        <w:t>host_name</w:t>
        <w:t xml:space="preserve"> </w:t>
        <w:t>server02</w:t>
        <w:t xml:space="preserve"> </w:t>
        <w:t>service_description</w:t>
        <w:t xml:space="preserve"> </w:t>
        <w:t>DNS</w:t>
        <w:t xml:space="preserve"> </w:t>
        <w:t>check_command</w:t>
        <w:t xml:space="preserve"> </w:t>
        <w:t>check_dns!172.18.100.101</w:t>
      </w:r>
    </w:p>
    <w:p>
      <w:pPr>
        <w:pStyle w:val="Normal"/>
      </w:pPr>
      <w:r>
        <w:t>}</w:t>
      </w:r>
    </w:p>
    <w:p>
      <w:pPr>
        <w:pStyle w:val="Para 17"/>
      </w:pPr>
      <w:r>
        <w:t/>
      </w:r>
    </w:p>
    <w:p>
      <w:pPr>
        <w:pStyle w:val="Normal"/>
      </w:pPr>
      <w:r>
        <w:t>Restart the Nagios daemon to enable the new configuration:</w:t>
      </w:r>
    </w:p>
    <w:p>
      <w:pPr>
        <w:pStyle w:val="Normal"/>
      </w:pPr>
      <w:r>
        <w:t>sudo systemctl restart nagio3.service</w:t>
      </w:r>
    </w:p>
    <w:p>
      <w:pPr>
        <w:pStyle w:val="Para 17"/>
      </w:pPr>
      <w:r>
        <w:t/>
      </w:r>
    </w:p>
    <w:p>
      <w:pPr>
        <w:pStyle w:val="Para 01"/>
      </w:pPr>
      <w:r>
        <w:t>Add service definition</w:t>
      </w:r>
    </w:p>
    <w:p>
      <w:pPr>
        <w:pStyle w:val="Para 17"/>
      </w:pPr>
      <w:r>
        <w:t/>
      </w:r>
    </w:p>
    <w:p>
      <w:pPr>
        <w:pStyle w:val="Normal"/>
      </w:pPr>
      <w:r>
        <w:t>Now add a service definition for the MySQL check by adding the following to /etc/nagios3/ conf.d/services_nagios2.cfg:</w:t>
      </w:r>
    </w:p>
    <w:p>
      <w:pPr>
        <w:pStyle w:val="Normal"/>
      </w:pPr>
      <w:r>
        <w:t># check MySQL servers.</w:t>
      </w:r>
    </w:p>
    <w:p>
      <w:pPr>
        <w:pStyle w:val="Normal"/>
      </w:pPr>
      <w:r>
        <w:t>define service {</w:t>
      </w:r>
    </w:p>
    <w:p>
      <w:pPr>
        <w:pStyle w:val="Para 06"/>
      </w:pPr>
      <w:r>
        <w:t>hostgroup_name</w:t>
        <w:t xml:space="preserve"> </w:t>
        <w:t>mysql-servers</w:t>
        <w:t xml:space="preserve"> </w:t>
        <w:t>service_description</w:t>
        <w:t xml:space="preserve"> </w:t>
        <w:t>MySQL</w:t>
      </w:r>
    </w:p>
    <w:p>
      <w:pPr>
        <w:pStyle w:val="Para 06"/>
      </w:pPr>
      <w:r>
        <w:t>check_command</w:t>
        <w:t xml:space="preserve"> </w:t>
        <w:t>check_mysql_cmdlinecred!nagios!secret!$HOSTADDRESS</w:t>
        <w:t xml:space="preserve"> </w:t>
        <w:t>use</w:t>
        <w:t xml:space="preserve"> </w:t>
        <w:t>generic-service</w:t>
        <w:t xml:space="preserve"> </w:t>
        <w:t>notification_interval 0 ; set &gt; 0 if you want to be renotified</w:t>
      </w:r>
    </w:p>
    <w:p>
      <w:pPr>
        <w:pStyle w:val="Normal"/>
      </w:pPr>
      <w:r>
        <w:t>}</w:t>
      </w:r>
    </w:p>
    <w:p>
      <w:pPr>
        <w:pStyle w:val="Para 17"/>
      </w:pPr>
      <w:r>
        <w:t/>
      </w:r>
    </w:p>
    <w:p>
      <w:pPr>
        <w:pStyle w:val="Normal"/>
      </w:pPr>
      <w:r>
        <w:t xml:space="preserve">A </w:t>
      </w:r>
      <w:r>
        <w:rPr>
          <w:rStyle w:val="Text0"/>
        </w:rPr>
        <w:t>mysql-servers</w:t>
      </w:r>
      <w:r>
        <w:t xml:space="preserve"> hostgroup now needs to be defined. Edit /etc/nagios3/conf.d/ hostgroups_nagios2.cfg and add the following:</w:t>
      </w:r>
    </w:p>
    <w:p>
      <w:pPr>
        <w:pStyle w:val="Normal"/>
      </w:pPr>
      <w:r>
        <w:t># MySQL hostgroup.</w:t>
      </w:r>
    </w:p>
    <w:p>
      <w:pPr>
        <w:pStyle w:val="Normal"/>
      </w:pPr>
      <w:r>
        <w:t>define hostgroup {</w:t>
      </w:r>
    </w:p>
    <w:p>
      <w:pPr>
        <w:pStyle w:val="Para 06"/>
      </w:pPr>
      <w:r>
        <w:t>hostgroup_name</w:t>
        <w:t xml:space="preserve"> </w:t>
        <w:t>mysql-servers</w:t>
      </w:r>
    </w:p>
    <w:p>
      <w:pPr>
        <w:pStyle w:val="Para 15"/>
      </w:pPr>
      <w:r>
        <w:t>alias</w:t>
        <w:t xml:space="preserve"> </w:t>
        <w:t>MySQL servers</w:t>
        <w:t xml:space="preserve"> </w:t>
        <w:t>members</w:t>
        <w:t xml:space="preserve"> </w:t>
        <w:t>localhost, server02</w:t>
      </w:r>
    </w:p>
    <w:p>
      <w:pPr>
        <w:pStyle w:val="Para 06"/>
      </w:pPr>
      <w:r>
        <w:t>}</w:t>
      </w:r>
    </w:p>
    <w:p>
      <w:pPr>
        <w:pStyle w:val="Para 17"/>
      </w:pPr>
      <w:r>
        <w:t/>
      </w:r>
    </w:p>
    <w:p>
      <w:pPr>
        <w:pStyle w:val="Normal"/>
      </w:pPr>
      <w:r>
        <w:t>The Nagios check needs to authenticate to MySQL. To add a nagios user to MySQL enter:</w:t>
      </w:r>
    </w:p>
    <w:p>
      <w:pPr>
        <w:pStyle w:val="Normal"/>
      </w:pPr>
      <w:r>
        <w:t>mysql -u root -p -e</w:t>
        <w:t xml:space="preserve"> </w:t>
        <w:t>"create user nagios identified by 'secret';"</w:t>
      </w:r>
    </w:p>
    <w:p>
      <w:pPr>
        <w:pStyle w:val="Para 17"/>
      </w:pPr>
      <w:r>
        <w:t/>
      </w:r>
    </w:p>
    <w:p>
      <w:pPr>
        <w:pStyle w:val="Para 08"/>
      </w:pPr>
      <w:r>
        <w:t>Note:</w:t>
      </w:r>
    </w:p>
    <w:p>
      <w:pPr>
        <w:pStyle w:val="Para 03"/>
      </w:pPr>
      <w:r>
        <w:t xml:space="preserve">The nagios user will need to be added to all hosts in the </w:t>
      </w:r>
      <w:r>
        <w:rPr>
          <w:rStyle w:val="Text0"/>
        </w:rPr>
        <w:t>mysql-servers</w:t>
      </w:r>
      <w:r>
        <w:t xml:space="preserve"> hostgroup.</w:t>
      </w:r>
    </w:p>
    <w:p>
      <w:pPr>
        <w:pStyle w:val="Para 17"/>
      </w:pPr>
      <w:r>
        <w:t/>
      </w:r>
    </w:p>
    <w:p>
      <w:pPr>
        <w:pStyle w:val="Normal"/>
      </w:pPr>
      <w:r>
        <w:t>Restart nagios to start checking the MySQL servers.</w:t>
      </w:r>
    </w:p>
    <w:p>
      <w:pPr>
        <w:pStyle w:val="Normal"/>
      </w:pPr>
      <w:r>
        <w:t>sudo systemctl restart nagios3.service</w:t>
      </w:r>
    </w:p>
    <w:p>
      <w:bookmarkStart w:id="975" w:name="page_6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1" name="index-639_1.png" descr="index-639_1.png"/>
            <wp:cNvGraphicFramePr>
              <a:graphicFrameLocks noChangeAspect="1"/>
            </wp:cNvGraphicFramePr>
            <a:graphic>
              <a:graphicData uri="http://schemas.openxmlformats.org/drawingml/2006/picture">
                <pic:pic>
                  <pic:nvPicPr>
                    <pic:cNvPr id="0" name="index-639_1.png" descr="index-639_1.png"/>
                    <pic:cNvPicPr/>
                  </pic:nvPicPr>
                  <pic:blipFill>
                    <a:blip r:embed="rId675"/>
                    <a:stretch>
                      <a:fillRect/>
                    </a:stretch>
                  </pic:blipFill>
                  <pic:spPr>
                    <a:xfrm>
                      <a:off x="0" y="0"/>
                      <a:ext cx="914400" cy="266700"/>
                    </a:xfrm>
                    <a:prstGeom prst="rect">
                      <a:avLst/>
                    </a:prstGeom>
                  </pic:spPr>
                </pic:pic>
              </a:graphicData>
            </a:graphic>
          </wp:anchor>
        </w:drawing>
      </w:r>
      <w:bookmarkEnd w:id="975"/>
    </w:p>
    <w:p>
      <w:pPr>
        <w:pStyle w:val="Para 01"/>
      </w:pPr>
      <w:r>
        <w:t>Configure NRPE</w:t>
      </w:r>
    </w:p>
    <w:p>
      <w:pPr>
        <w:pStyle w:val="Para 17"/>
      </w:pPr>
      <w:r>
        <w:t/>
      </w:r>
    </w:p>
    <w:p>
      <w:pPr>
        <w:pStyle w:val="Normal"/>
      </w:pPr>
      <w:r>
        <w:t xml:space="preserve">Lastly configure NRPE to check the disk space on </w:t>
      </w:r>
      <w:r>
        <w:rPr>
          <w:rStyle w:val="Text3"/>
        </w:rPr>
        <w:t>server02</w:t>
      </w:r>
      <w:r>
        <w:t>.</w:t>
      </w:r>
    </w:p>
    <w:p>
      <w:pPr>
        <w:pStyle w:val="Normal"/>
      </w:pPr>
      <w:r>
        <w:t>On server01 add the service check to /etc/nagios3/conf.d/server02.cfg:</w:t>
      </w:r>
    </w:p>
    <w:p>
      <w:pPr>
        <w:pStyle w:val="Normal"/>
      </w:pPr>
      <w:r>
        <w:t># NRPE disk check.</w:t>
      </w:r>
    </w:p>
    <w:p>
      <w:pPr>
        <w:pStyle w:val="Normal"/>
      </w:pPr>
      <w:r>
        <w:t>define service {</w:t>
      </w:r>
    </w:p>
    <w:p>
      <w:pPr>
        <w:pStyle w:val="Para 06"/>
      </w:pPr>
      <w:r>
        <w:t>use</w:t>
        <w:t xml:space="preserve"> </w:t>
        <w:t>generic-service</w:t>
        <w:t xml:space="preserve"> </w:t>
        <w:t>host_name</w:t>
        <w:t xml:space="preserve"> </w:t>
        <w:t>server02</w:t>
        <w:t xml:space="preserve"> </w:t>
        <w:t>service_description</w:t>
        <w:t xml:space="preserve"> </w:t>
        <w:t>nrpe-disk</w:t>
        <w:t xml:space="preserve"> </w:t>
        <w:t>check_command</w:t>
        <w:t xml:space="preserve"> </w:t>
        <w:t>check_nrpe_1arg!check_all_disks!172.18.100.101</w:t>
      </w:r>
    </w:p>
    <w:p>
      <w:pPr>
        <w:pStyle w:val="Normal"/>
      </w:pPr>
      <w:r>
        <w:t>}</w:t>
      </w:r>
    </w:p>
    <w:p>
      <w:pPr>
        <w:pStyle w:val="Para 17"/>
      </w:pPr>
      <w:r>
        <w:t/>
      </w:r>
    </w:p>
    <w:p>
      <w:pPr>
        <w:pStyle w:val="Normal"/>
      </w:pPr>
      <w:r>
        <w:t>Now on server02 edit /etc/nagios/nrpe.cfg changing:</w:t>
      </w:r>
    </w:p>
    <w:p>
      <w:pPr>
        <w:pStyle w:val="Normal"/>
      </w:pPr>
      <w:r>
        <w:t>allowed_hosts=172.18.100.100</w:t>
      </w:r>
    </w:p>
    <w:p>
      <w:pPr>
        <w:pStyle w:val="Para 17"/>
      </w:pPr>
      <w:r>
        <w:t/>
      </w:r>
    </w:p>
    <w:p>
      <w:pPr>
        <w:pStyle w:val="Normal"/>
      </w:pPr>
      <w:r>
        <w:t>And below, in the command definition area, add:</w:t>
      </w:r>
    </w:p>
    <w:p>
      <w:pPr>
        <w:pStyle w:val="Normal"/>
      </w:pPr>
      <w:r>
        <w:t>command[check_all_disks]=/usr/lib/nagios/plugins/check_disk -w 20% -c 10% -e</w:t>
      </w:r>
    </w:p>
    <w:p>
      <w:pPr>
        <w:pStyle w:val="Para 17"/>
      </w:pPr>
      <w:r>
        <w:t/>
      </w:r>
    </w:p>
    <w:p>
      <w:pPr>
        <w:pStyle w:val="Normal"/>
      </w:pPr>
      <w:r>
        <w:t>Finally, restart nagios-nrpe-server:</w:t>
      </w:r>
    </w:p>
    <w:p>
      <w:pPr>
        <w:pStyle w:val="Normal"/>
      </w:pPr>
      <w:r>
        <w:t>sudo systemctl restart nagios-nrpe-server.service</w:t>
      </w:r>
    </w:p>
    <w:p>
      <w:pPr>
        <w:pStyle w:val="Para 17"/>
      </w:pPr>
      <w:r>
        <w:t/>
      </w:r>
    </w:p>
    <w:p>
      <w:pPr>
        <w:pStyle w:val="Normal"/>
      </w:pPr>
      <w:r>
        <w:t>Also, on server01 restart Nagios:</w:t>
      </w:r>
    </w:p>
    <w:p>
      <w:pPr>
        <w:pStyle w:val="Normal"/>
      </w:pPr>
      <w:r>
        <w:t>sudo systemctl restart nagios3.service</w:t>
      </w:r>
    </w:p>
    <w:p>
      <w:pPr>
        <w:pStyle w:val="Para 17"/>
      </w:pPr>
      <w:r>
        <w:t/>
      </w:r>
    </w:p>
    <w:p>
      <w:pPr>
        <w:pStyle w:val="Normal"/>
      </w:pPr>
      <w:r>
        <w:t xml:space="preserve">You should now be able to see the host and service checks in the Nagios CGI files. To ac-cess them, point a browser to http://server01/nagios3. You will then be prompted for the </w:t>
      </w:r>
      <w:r>
        <w:rPr>
          <w:rStyle w:val="Text0"/>
        </w:rPr>
        <w:t>nagiosadmin</w:t>
      </w:r>
      <w:r>
        <w:t xml:space="preserve"> username and password.</w:t>
      </w:r>
    </w:p>
    <w:p>
      <w:pPr>
        <w:pStyle w:val="Para 17"/>
      </w:pPr>
      <w:r>
        <w:t/>
      </w:r>
    </w:p>
    <w:p>
      <w:pPr>
        <w:pStyle w:val="Para 01"/>
      </w:pPr>
      <w:r>
        <w:t>Further reading</w:t>
      </w:r>
    </w:p>
    <w:p>
      <w:pPr>
        <w:pStyle w:val="Para 17"/>
      </w:pPr>
      <w:r>
        <w:t/>
      </w:r>
    </w:p>
    <w:p>
      <w:pPr>
        <w:pStyle w:val="Normal"/>
      </w:pPr>
      <w:r>
        <w:t>This section has just scratched the surface of Nagios’ features. The nagios-plugins-extra and nagios-snmp-plugins contain many more service checks.</w:t>
      </w:r>
    </w:p>
    <w:p>
      <w:pPr>
        <w:pStyle w:val="Para 04"/>
      </w:pPr>
      <w:r>
        <w:t xml:space="preserve">• For more information about Nagios, see </w:t>
      </w:r>
      <w:hyperlink w:anchor="page_639">
        <w:r>
          <w:rPr>
            <w:rStyle w:val="Text9"/>
          </w:rPr>
          <w:t>650</w:t>
        </w:r>
      </w:hyperlink>
      <w:r>
        <w:t xml:space="preserve"> </w:t>
      </w:r>
      <w:hyperlink r:id="rId1568">
        <w:r>
          <w:rPr>
            <w:rStyle w:val="Text1"/>
          </w:rPr>
          <w:t>the Nagios website</w:t>
        </w:r>
      </w:hyperlink>
      <w:r>
        <w:t>.</w:t>
      </w:r>
    </w:p>
    <w:p>
      <w:pPr>
        <w:pStyle w:val="Para 13"/>
      </w:pPr>
      <w:r>
        <w:rPr>
          <w:rStyle w:val="Text7"/>
        </w:rPr>
        <w:t xml:space="preserve">• The </w:t>
      </w:r>
      <w:hyperlink w:anchor="page_639">
        <w:r>
          <w:rPr>
            <w:rStyle w:val="Text10"/>
          </w:rPr>
          <w:t>651</w:t>
        </w:r>
      </w:hyperlink>
      <w:r>
        <w:rPr>
          <w:rStyle w:val="Text7"/>
        </w:rPr>
        <w:t xml:space="preserve"> </w:t>
      </w:r>
      <w:hyperlink r:id="rId1569">
        <w:r>
          <w:rPr>
            <w:rStyle w:val="Text10"/>
          </w:rPr>
          <w:t>652</w:t>
        </w:r>
      </w:hyperlink>
      <w:r>
        <w:rPr>
          <w:rStyle w:val="Text7"/>
        </w:rPr>
        <w:t xml:space="preserve"> </w:t>
      </w:r>
      <w:hyperlink r:id="rId1570">
        <w:r>
          <w:t>Nagios Core Documentation</w:t>
        </w:r>
      </w:hyperlink>
      <w:r>
        <w:rPr>
          <w:rStyle w:val="Text7"/>
        </w:rPr>
        <w:t xml:space="preserve"> and </w:t>
      </w:r>
      <w:hyperlink r:id="rId1569">
        <w:r>
          <w:t>Nagios Core 3 Documentation</w:t>
        </w:r>
      </w:hyperlink>
      <w:r>
        <w:rPr>
          <w:rStyle w:val="Text7"/>
        </w:rPr>
        <w:t xml:space="preserve"> may also be</w:t>
      </w:r>
    </w:p>
    <w:p>
      <w:pPr>
        <w:pStyle w:val="Para 02"/>
      </w:pPr>
      <w:r>
        <w:t>useful.</w:t>
      </w:r>
    </w:p>
    <w:p>
      <w:pPr>
        <w:pStyle w:val="Para 04"/>
      </w:pPr>
      <w:r>
        <w:t xml:space="preserve">• They also provide a </w:t>
      </w:r>
      <w:hyperlink r:id="rId1571">
        <w:r>
          <w:rPr>
            <w:rStyle w:val="Text9"/>
          </w:rPr>
          <w:t>653</w:t>
        </w:r>
      </w:hyperlink>
      <w:hyperlink r:id="rId1571">
        <w:r>
          <w:rPr>
            <w:rStyle w:val="Text1"/>
          </w:rPr>
          <w:t xml:space="preserve"> list of books</w:t>
        </w:r>
      </w:hyperlink>
      <w:r>
        <w:t xml:space="preserve"> related to Nagios and network monitoring.</w:t>
      </w:r>
    </w:p>
    <w:p>
      <w:pPr>
        <w:pStyle w:val="Para 04"/>
      </w:pPr>
      <w:r>
        <w:t xml:space="preserve">• The </w:t>
      </w:r>
      <w:hyperlink r:id="rId1572">
        <w:r>
          <w:rPr>
            <w:rStyle w:val="Text9"/>
          </w:rPr>
          <w:t>654</w:t>
        </w:r>
      </w:hyperlink>
      <w:hyperlink r:id="rId1572">
        <w:r>
          <w:rPr>
            <w:rStyle w:val="Text1"/>
          </w:rPr>
          <w:t xml:space="preserve"> Nagios Ubuntu Wiki</w:t>
        </w:r>
      </w:hyperlink>
      <w:r>
        <w:t xml:space="preserve"> page also has more details.</w:t>
      </w:r>
    </w:p>
    <w:p>
      <w:pPr>
        <w:pStyle w:val="Para 05"/>
      </w:pPr>
      <w:r>
        <w:rPr>
          <w:rStyle w:val="Text5"/>
        </w:rPr>
        <w:t>650</w:t>
      </w:r>
      <w:r>
        <w:rPr>
          <w:rStyle w:val="Text8"/>
        </w:rPr>
        <w:t xml:space="preserve"> </w:t>
      </w:r>
      <w:r>
        <w:t>https://www.nagios.org/</w:t>
      </w:r>
    </w:p>
    <w:p>
      <w:pPr>
        <w:pStyle w:val="Para 05"/>
      </w:pPr>
      <w:r>
        <w:rPr>
          <w:rStyle w:val="Text5"/>
        </w:rPr>
        <w:t>651</w:t>
      </w:r>
      <w:r>
        <w:rPr>
          <w:rStyle w:val="Text8"/>
        </w:rPr>
        <w:t xml:space="preserve"> </w:t>
      </w:r>
      <w:r>
        <w:t>https://library.nagios.com/products/nagios-core/documentation/</w:t>
      </w:r>
    </w:p>
    <w:p>
      <w:pPr>
        <w:pStyle w:val="Para 05"/>
      </w:pPr>
      <w:r>
        <w:rPr>
          <w:rStyle w:val="Text5"/>
        </w:rPr>
        <w:t>652</w:t>
      </w:r>
      <w:r>
        <w:rPr>
          <w:rStyle w:val="Text8"/>
        </w:rPr>
        <w:t xml:space="preserve"> </w:t>
      </w:r>
      <w:r>
        <w:t>https://assets.nagios.com/downloads/nagioscore/docs/nagioscore/3/en/toc.html</w:t>
      </w:r>
    </w:p>
    <w:p>
      <w:pPr>
        <w:pStyle w:val="Para 05"/>
      </w:pPr>
      <w:r>
        <w:rPr>
          <w:rStyle w:val="Text5"/>
        </w:rPr>
        <w:t>653</w:t>
      </w:r>
      <w:r>
        <w:rPr>
          <w:rStyle w:val="Text8"/>
        </w:rPr>
        <w:t xml:space="preserve"> </w:t>
      </w:r>
      <w:r>
        <w:t>https://www.nagios.org/about/propaganda/books-2/</w:t>
      </w:r>
    </w:p>
    <w:p>
      <w:pPr>
        <w:pStyle w:val="Para 05"/>
      </w:pPr>
      <w:r>
        <w:rPr>
          <w:rStyle w:val="Text5"/>
        </w:rPr>
        <w:t>654</w:t>
      </w:r>
      <w:r>
        <w:rPr>
          <w:rStyle w:val="Text8"/>
        </w:rPr>
        <w:t xml:space="preserve"> </w:t>
      </w:r>
      <w:r>
        <w:t>https://help.ubuntu.com/community/Nagios3</w:t>
      </w:r>
    </w:p>
    <w:p>
      <w:bookmarkStart w:id="976" w:name="page_6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2" name="index-640_1.png" descr="index-640_1.png"/>
            <wp:cNvGraphicFramePr>
              <a:graphicFrameLocks noChangeAspect="1"/>
            </wp:cNvGraphicFramePr>
            <a:graphic>
              <a:graphicData uri="http://schemas.openxmlformats.org/drawingml/2006/picture">
                <pic:pic>
                  <pic:nvPicPr>
                    <pic:cNvPr id="0" name="index-640_1.png" descr="index-640_1.png"/>
                    <pic:cNvPicPr/>
                  </pic:nvPicPr>
                  <pic:blipFill>
                    <a:blip r:embed="rId676"/>
                    <a:stretch>
                      <a:fillRect/>
                    </a:stretch>
                  </pic:blipFill>
                  <pic:spPr>
                    <a:xfrm>
                      <a:off x="0" y="0"/>
                      <a:ext cx="914400" cy="266700"/>
                    </a:xfrm>
                    <a:prstGeom prst="rect">
                      <a:avLst/>
                    </a:prstGeom>
                  </pic:spPr>
                </pic:pic>
              </a:graphicData>
            </a:graphic>
          </wp:anchor>
        </w:drawing>
      </w:r>
      <w:bookmarkEnd w:id="976"/>
    </w:p>
    <w:p>
      <w:pPr>
        <w:pStyle w:val="Para 01"/>
      </w:pPr>
      <w:r>
        <w:t>How to use Nagios with Munin</w:t>
      </w:r>
    </w:p>
    <w:p>
      <w:pPr>
        <w:pStyle w:val="Para 17"/>
      </w:pPr>
      <w:r>
        <w:t/>
      </w:r>
    </w:p>
    <w:p>
      <w:pPr>
        <w:pStyle w:val="Para 08"/>
      </w:pPr>
      <w:r>
        <w:t>Note:</w:t>
      </w:r>
    </w:p>
    <w:p>
      <w:pPr>
        <w:pStyle w:val="Para 03"/>
      </w:pPr>
      <w:r>
        <w:t>Nagios Core 3 has been deprecated and is now replaced by Nagios Core 4. The nagios3</w:t>
      </w:r>
    </w:p>
    <w:p>
      <w:pPr>
        <w:pStyle w:val="Para 03"/>
      </w:pPr>
      <w:r>
        <w:t>package was last supported in Bionic, so subsequent releases should use nagios4 instead.</w:t>
      </w:r>
    </w:p>
    <w:p>
      <w:pPr>
        <w:pStyle w:val="Para 17"/>
      </w:pPr>
      <w:r>
        <w:t/>
      </w:r>
    </w:p>
    <w:p>
      <w:pPr>
        <w:pStyle w:val="Normal"/>
      </w:pPr>
      <w:r>
        <w:t>The monitoring of essential servers and services is an important part of system administra-tion. Most network services are monitored for performance, availability, or both. This sec-tion will cover installation and configuration of Nagios 3 for availability monitoring alongside Munin for performance monitoring.</w:t>
      </w:r>
    </w:p>
    <w:p>
      <w:pPr>
        <w:pStyle w:val="Normal"/>
      </w:pPr>
      <w:r>
        <w:t xml:space="preserve">The examples in this section will use two servers with hostnames </w:t>
      </w:r>
      <w:r>
        <w:rPr>
          <w:rStyle w:val="Text0"/>
        </w:rPr>
        <w:t>server01</w:t>
      </w:r>
      <w:r>
        <w:t xml:space="preserve"> and </w:t>
      </w:r>
      <w:r>
        <w:rPr>
          <w:rStyle w:val="Text0"/>
        </w:rPr>
        <w:t>server02</w:t>
      </w:r>
      <w:r>
        <w:t>. Server01 will be configured with Nagios 3 to monitor services on both itself and server02. Server01 will also be set up with the Munin package to gather information from the network. Using the munin-node package, server02 will be configured to send information to server01.</w:t>
      </w:r>
    </w:p>
    <w:p>
      <w:pPr>
        <w:pStyle w:val="Para 17"/>
      </w:pPr>
      <w:r>
        <w:t/>
      </w:r>
    </w:p>
    <w:p>
      <w:pPr>
        <w:pStyle w:val="Para 01"/>
      </w:pPr>
      <w:r>
        <w:t>Install Nagios 3</w:t>
      </w:r>
    </w:p>
    <w:p>
      <w:pPr>
        <w:pStyle w:val="Para 17"/>
      </w:pPr>
      <w:r>
        <w:t/>
      </w:r>
    </w:p>
    <w:p>
      <w:pPr>
        <w:pStyle w:val="Para 01"/>
      </w:pPr>
      <w:r>
        <w:t>On server01</w:t>
      </w:r>
    </w:p>
    <w:p>
      <w:pPr>
        <w:pStyle w:val="Para 17"/>
      </w:pPr>
      <w:r>
        <w:t/>
      </w:r>
    </w:p>
    <w:p>
      <w:pPr>
        <w:pStyle w:val="Normal"/>
      </w:pPr>
      <w:r>
        <w:t>First, on server01, install the nagios3 package. In a terminal, enter:</w:t>
      </w:r>
    </w:p>
    <w:p>
      <w:pPr>
        <w:pStyle w:val="Normal"/>
      </w:pPr>
      <w:r>
        <w:t>sudo apt install nagios3 nagios-nrpe-plugin</w:t>
      </w:r>
    </w:p>
    <w:p>
      <w:pPr>
        <w:pStyle w:val="Para 17"/>
      </w:pPr>
      <w:r>
        <w:t/>
      </w:r>
    </w:p>
    <w:p>
      <w:pPr>
        <w:pStyle w:val="Normal"/>
      </w:pPr>
      <w:r>
        <w:t>You will be asked to enter a password for the nagiosadmin user. The user’s credentials are stored in /etc/nagios3/htpasswd.users. To change the nagiosadmin password, or add ad-ditional users to the Nagios CGI scripts, use the htpasswd that is part of the apache2-utils package.</w:t>
      </w:r>
    </w:p>
    <w:p>
      <w:pPr>
        <w:pStyle w:val="Normal"/>
      </w:pPr>
      <w:r>
        <w:t>For example, to change the password for the nagiosadmin user enter:</w:t>
      </w:r>
    </w:p>
    <w:p>
      <w:pPr>
        <w:pStyle w:val="Normal"/>
      </w:pPr>
      <w:r>
        <w:t>sudo htpasswd /etc/nagios3/htpasswd.users nagiosadmin</w:t>
      </w:r>
    </w:p>
    <w:p>
      <w:pPr>
        <w:pStyle w:val="Para 17"/>
      </w:pPr>
      <w:r>
        <w:t/>
      </w:r>
    </w:p>
    <w:p>
      <w:pPr>
        <w:pStyle w:val="Normal"/>
      </w:pPr>
      <w:r>
        <w:t>To add a user:</w:t>
      </w:r>
    </w:p>
    <w:p>
      <w:pPr>
        <w:pStyle w:val="Normal"/>
      </w:pPr>
      <w:r>
        <w:t>sudo htpasswd /etc/nagios3/htpasswd.users steve</w:t>
      </w:r>
    </w:p>
    <w:p>
      <w:pPr>
        <w:pStyle w:val="Para 17"/>
      </w:pPr>
      <w:r>
        <w:t/>
      </w:r>
    </w:p>
    <w:p>
      <w:pPr>
        <w:pStyle w:val="Para 01"/>
      </w:pPr>
      <w:r>
        <w:t>On server02</w:t>
      </w:r>
    </w:p>
    <w:p>
      <w:pPr>
        <w:pStyle w:val="Para 17"/>
      </w:pPr>
      <w:r>
        <w:t/>
      </w:r>
    </w:p>
    <w:p>
      <w:pPr>
        <w:pStyle w:val="Normal"/>
      </w:pPr>
      <w:r>
        <w:t>Next, on server02 install the nagios-nrpe-server package. From a terminal on server02, en-ter:</w:t>
      </w:r>
    </w:p>
    <w:p>
      <w:pPr>
        <w:pStyle w:val="Normal"/>
      </w:pPr>
      <w:r>
        <w:t>sudo apt install nagios-nrpe-server</w:t>
      </w:r>
    </w:p>
    <w:p>
      <w:pPr>
        <w:pStyle w:val="Para 17"/>
      </w:pPr>
      <w:r>
        <w:t/>
      </w:r>
    </w:p>
    <w:p>
      <w:pPr>
        <w:pStyle w:val="Para 08"/>
      </w:pPr>
      <w:r>
        <w:t>Note:</w:t>
      </w:r>
    </w:p>
    <w:p>
      <w:pPr>
        <w:pStyle w:val="Para 03"/>
      </w:pPr>
      <w:r>
        <w:t>NRPE allows you to run local checks on remote hosts. There are other ways of accomplish-</w:t>
      </w:r>
    </w:p>
    <w:p>
      <w:pPr>
        <w:pStyle w:val="Para 03"/>
      </w:pPr>
      <w:r>
        <w:t>ing this, including through other Nagios plugins.</w:t>
      </w:r>
    </w:p>
    <w:p>
      <w:bookmarkStart w:id="977" w:name="page_6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3" name="index-641_1.png" descr="index-641_1.png"/>
            <wp:cNvGraphicFramePr>
              <a:graphicFrameLocks noChangeAspect="1"/>
            </wp:cNvGraphicFramePr>
            <a:graphic>
              <a:graphicData uri="http://schemas.openxmlformats.org/drawingml/2006/picture">
                <pic:pic>
                  <pic:nvPicPr>
                    <pic:cNvPr id="0" name="index-641_1.png" descr="index-641_1.png"/>
                    <pic:cNvPicPr/>
                  </pic:nvPicPr>
                  <pic:blipFill>
                    <a:blip r:embed="rId677"/>
                    <a:stretch>
                      <a:fillRect/>
                    </a:stretch>
                  </pic:blipFill>
                  <pic:spPr>
                    <a:xfrm>
                      <a:off x="0" y="0"/>
                      <a:ext cx="914400" cy="266700"/>
                    </a:xfrm>
                    <a:prstGeom prst="rect">
                      <a:avLst/>
                    </a:prstGeom>
                  </pic:spPr>
                </pic:pic>
              </a:graphicData>
            </a:graphic>
          </wp:anchor>
        </w:drawing>
      </w:r>
      <w:bookmarkEnd w:id="977"/>
    </w:p>
    <w:p>
      <w:pPr>
        <w:pStyle w:val="Para 01"/>
      </w:pPr>
      <w:r>
        <w:t>Configuration overview</w:t>
      </w:r>
    </w:p>
    <w:p>
      <w:pPr>
        <w:pStyle w:val="Para 17"/>
      </w:pPr>
      <w:r>
        <w:t/>
      </w:r>
    </w:p>
    <w:p>
      <w:pPr>
        <w:pStyle w:val="Normal"/>
      </w:pPr>
      <w:r>
        <w:t>There are a few directories containing Nagios configuration and check files.</w:t>
      </w:r>
    </w:p>
    <w:p>
      <w:pPr>
        <w:pStyle w:val="Para 04"/>
      </w:pPr>
      <w:r>
        <w:t>• /etc/nagios3: contains configuration files for the operation of the Nagios daemon, CGI</w:t>
      </w:r>
    </w:p>
    <w:p>
      <w:pPr>
        <w:pStyle w:val="Para 02"/>
      </w:pPr>
      <w:r>
        <w:t>files, hosts, etc.</w:t>
      </w:r>
    </w:p>
    <w:p>
      <w:pPr>
        <w:pStyle w:val="Para 04"/>
      </w:pPr>
      <w:r>
        <w:t>• /etc/nagios-plugins: houses configuration files for the service checks.</w:t>
      </w:r>
    </w:p>
    <w:p>
      <w:pPr>
        <w:pStyle w:val="Para 04"/>
      </w:pPr>
      <w:r>
        <w:t>• /etc/nagios: is located on the remote host and contains the nagios-nrpe-server con-</w:t>
      </w:r>
    </w:p>
    <w:p>
      <w:pPr>
        <w:pStyle w:val="Para 02"/>
      </w:pPr>
      <w:r>
        <w:t>figuration files.</w:t>
      </w:r>
    </w:p>
    <w:p>
      <w:pPr>
        <w:pStyle w:val="Para 04"/>
      </w:pPr>
      <w:r>
        <w:t>• /usr/lib/nagios/plugins/: where the check binaries are stored. To see the options of</w:t>
      </w:r>
    </w:p>
    <w:p>
      <w:pPr>
        <w:pStyle w:val="Para 02"/>
      </w:pPr>
      <w:r>
        <w:t>a check use the-h option.</w:t>
      </w:r>
    </w:p>
    <w:p>
      <w:pPr>
        <w:pStyle w:val="Para 02"/>
      </w:pPr>
      <w:r>
        <w:t>For example: /usr/lib/nagios/plugins/check_dhcp -h</w:t>
      </w:r>
    </w:p>
    <w:p>
      <w:pPr>
        <w:pStyle w:val="Normal"/>
      </w:pPr>
      <w:r>
        <w:t>There are many checks Nagios can be configured to run for any particular host. In this exam-</w:t>
      </w:r>
    </w:p>
    <w:p>
      <w:pPr>
        <w:pStyle w:val="Normal"/>
      </w:pPr>
      <w:r>
        <w:t xml:space="preserve">ple, Nagios will be configured to check disk space, </w:t>
      </w:r>
      <w:hyperlink w:anchor="page_679">
        <w:r>
          <w:rPr>
            <w:rStyle w:val="Text2"/>
          </w:rPr>
          <w:t>DNS</w:t>
        </w:r>
      </w:hyperlink>
      <w:r>
        <w:t xml:space="preserve"> , and a MySQL </w:t>
      </w:r>
      <w:hyperlink w:anchor="page_688">
        <w:r>
          <w:rPr>
            <w:rStyle w:val="Text2"/>
          </w:rPr>
          <w:t>host group</w:t>
        </w:r>
      </w:hyperlink>
      <w:hyperlink w:anchor="page_688">
        <w:r>
          <w:rPr>
            <w:rStyle w:val="Text1"/>
          </w:rPr>
          <w:t xml:space="preserve">. </w:t>
        </w:r>
      </w:hyperlink>
      <w:r>
        <w:t>The DNS check will be on server02, and the MySQL host group will include both server01 and server02.</w:t>
      </w:r>
    </w:p>
    <w:p>
      <w:pPr>
        <w:pStyle w:val="Para 08"/>
      </w:pPr>
      <w:r>
        <w:t>Note:</w:t>
      </w:r>
    </w:p>
    <w:p>
      <w:pPr>
        <w:pStyle w:val="Para 03"/>
      </w:pPr>
      <w:r>
        <w:t xml:space="preserve">See these additional guides for details on setting up </w:t>
      </w:r>
      <w:hyperlink w:anchor="page_498">
        <w:r>
          <w:rPr>
            <w:rStyle w:val="Text2"/>
          </w:rPr>
          <w:t>Apache</w:t>
        </w:r>
      </w:hyperlink>
      <w:r>
        <w:t xml:space="preserve"> (page 497), </w:t>
      </w:r>
      <w:hyperlink w:anchor="page_240">
        <w:r>
          <w:rPr>
            <w:rStyle w:val="Text2"/>
          </w:rPr>
          <w:t>Domain Name</w:t>
        </w:r>
      </w:hyperlink>
    </w:p>
    <w:p>
      <w:pPr>
        <w:pStyle w:val="Para 03"/>
      </w:pPr>
      <w:hyperlink w:anchor="page_240">
        <w:r>
          <w:rPr>
            <w:rStyle w:val="Text2"/>
          </w:rPr>
          <w:t>Service (DNS)</w:t>
        </w:r>
      </w:hyperlink>
      <w:r>
        <w:t xml:space="preserve"> (page 239), and </w:t>
      </w:r>
      <w:hyperlink w:anchor="page_412">
        <w:r>
          <w:rPr>
            <w:rStyle w:val="Text2"/>
          </w:rPr>
          <w:t>MySQL</w:t>
        </w:r>
      </w:hyperlink>
      <w:r>
        <w:t xml:space="preserve"> (page 411).</w:t>
      </w:r>
    </w:p>
    <w:p>
      <w:pPr>
        <w:pStyle w:val="Para 17"/>
      </w:pPr>
      <w:r>
        <w:t/>
      </w:r>
    </w:p>
    <w:p>
      <w:pPr>
        <w:pStyle w:val="Normal"/>
      </w:pPr>
      <w:r>
        <w:t>Additionally, there are some terms that once explained will hopefully make understanding Nagios configuration easier:</w:t>
      </w:r>
    </w:p>
    <w:p>
      <w:pPr>
        <w:pStyle w:val="Para 04"/>
      </w:pPr>
      <w:r>
        <w:t xml:space="preserve">• </w:t>
      </w:r>
      <w:r>
        <w:rPr>
          <w:rStyle w:val="Text0"/>
        </w:rPr>
        <w:t>Host</w:t>
      </w:r>
      <w:r>
        <w:t>: a server, workstation, network device, etc that is being monitored.</w:t>
      </w:r>
    </w:p>
    <w:p>
      <w:pPr>
        <w:pStyle w:val="Para 04"/>
      </w:pPr>
      <w:r>
        <w:t xml:space="preserve">• </w:t>
      </w:r>
      <w:r>
        <w:rPr>
          <w:rStyle w:val="Text0"/>
        </w:rPr>
        <w:t>Host group</w:t>
      </w:r>
      <w:r>
        <w:t>: a group of similar hosts. For example, you could group all web servers, file</w:t>
      </w:r>
    </w:p>
    <w:p>
      <w:pPr>
        <w:pStyle w:val="Para 02"/>
      </w:pPr>
      <w:r>
        <w:t>servers, etc.</w:t>
      </w:r>
    </w:p>
    <w:p>
      <w:pPr>
        <w:pStyle w:val="Para 04"/>
      </w:pPr>
      <w:r>
        <w:t xml:space="preserve">• </w:t>
      </w:r>
      <w:r>
        <w:rPr>
          <w:rStyle w:val="Text0"/>
        </w:rPr>
        <w:t>Service</w:t>
      </w:r>
      <w:r>
        <w:t>: the service being monitored on the host, such as HTTP, DNS, NFS, etc.</w:t>
      </w:r>
    </w:p>
    <w:p>
      <w:pPr>
        <w:pStyle w:val="Para 04"/>
      </w:pPr>
      <w:r>
        <w:t xml:space="preserve">• </w:t>
      </w:r>
      <w:r>
        <w:rPr>
          <w:rStyle w:val="Text0"/>
        </w:rPr>
        <w:t>Service group</w:t>
      </w:r>
      <w:r>
        <w:t>: allows you to group multiple services together. This is useful for group-</w:t>
      </w:r>
    </w:p>
    <w:p>
      <w:pPr>
        <w:pStyle w:val="Para 02"/>
      </w:pPr>
      <w:r>
        <w:t>ing, e.g., multiple HTTP.</w:t>
      </w:r>
    </w:p>
    <w:p>
      <w:pPr>
        <w:pStyle w:val="Para 04"/>
      </w:pPr>
      <w:r>
        <w:t xml:space="preserve">• </w:t>
      </w:r>
      <w:r>
        <w:rPr>
          <w:rStyle w:val="Text0"/>
        </w:rPr>
        <w:t>Contact</w:t>
      </w:r>
      <w:r>
        <w:t>: the person to be notified when an event takes place. Nagios can be configured</w:t>
      </w:r>
    </w:p>
    <w:p>
      <w:pPr>
        <w:pStyle w:val="Para 02"/>
      </w:pPr>
      <w:r>
        <w:t>to send emails, SMS messages, etc.</w:t>
      </w:r>
    </w:p>
    <w:p>
      <w:pPr>
        <w:pStyle w:val="Normal"/>
      </w:pPr>
      <w:r>
        <w:t xml:space="preserve">By default Nagios is configured to check HTTP, disk space, SSH, current users, processes, and load on the </w:t>
      </w:r>
      <w:r>
        <w:rPr>
          <w:rStyle w:val="Text0"/>
        </w:rPr>
        <w:t>localhost</w:t>
      </w:r>
      <w:r>
        <w:t xml:space="preserve">. Nagios will also ping-check the </w:t>
      </w:r>
      <w:r>
        <w:rPr>
          <w:rStyle w:val="Text0"/>
        </w:rPr>
        <w:t>gateway</w:t>
      </w:r>
      <w:r>
        <w:t>.</w:t>
      </w:r>
    </w:p>
    <w:p>
      <w:pPr>
        <w:pStyle w:val="Normal"/>
      </w:pPr>
      <w:r>
        <w:t>Large Nagios installations can be quite complex to configure. It is usually best to start small (i.e. with one or two hosts), get things configured the way you like, and then expand.</w:t>
      </w:r>
    </w:p>
    <w:p>
      <w:bookmarkStart w:id="978" w:name="calibre_pb_168"/>
      <w:pPr>
        <w:pStyle w:val="0 Block"/>
      </w:pPr>
      <w:bookmarkEnd w:id="978"/>
    </w:p>
    <w:p>
      <w:bookmarkStart w:id="979" w:name="Top_of_index_split_169_html"/>
      <w:bookmarkStart w:id="980" w:name="page_64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4" name="index-642_1.png" descr="index-642_1.png"/>
            <wp:cNvGraphicFramePr>
              <a:graphicFrameLocks noChangeAspect="1"/>
            </wp:cNvGraphicFramePr>
            <a:graphic>
              <a:graphicData uri="http://schemas.openxmlformats.org/drawingml/2006/picture">
                <pic:pic>
                  <pic:nvPicPr>
                    <pic:cNvPr id="0" name="index-642_1.png" descr="index-642_1.png"/>
                    <pic:cNvPicPr/>
                  </pic:nvPicPr>
                  <pic:blipFill>
                    <a:blip r:embed="rId678"/>
                    <a:stretch>
                      <a:fillRect/>
                    </a:stretch>
                  </pic:blipFill>
                  <pic:spPr>
                    <a:xfrm>
                      <a:off x="0" y="0"/>
                      <a:ext cx="914400" cy="266700"/>
                    </a:xfrm>
                    <a:prstGeom prst="rect">
                      <a:avLst/>
                    </a:prstGeom>
                  </pic:spPr>
                </pic:pic>
              </a:graphicData>
            </a:graphic>
          </wp:anchor>
        </w:drawing>
      </w:r>
      <w:bookmarkEnd w:id="979"/>
      <w:bookmarkEnd w:id="980"/>
    </w:p>
    <w:p>
      <w:pPr>
        <w:pStyle w:val="Para 01"/>
      </w:pPr>
      <w:r>
        <w:t>Configure Nagios</w:t>
      </w:r>
    </w:p>
    <w:p>
      <w:pPr>
        <w:pStyle w:val="Para 17"/>
      </w:pPr>
      <w:r>
        <w:t/>
      </w:r>
    </w:p>
    <w:p>
      <w:pPr>
        <w:pStyle w:val="Normal"/>
      </w:pPr>
      <w:r>
        <w:t xml:space="preserve">First, create a </w:t>
      </w:r>
      <w:r>
        <w:rPr>
          <w:rStyle w:val="Text0"/>
        </w:rPr>
        <w:t>host</w:t>
      </w:r>
      <w:r>
        <w:t xml:space="preserve"> configuration file for server02. Unless otherwise specified, run all these commands on server01. In a terminal enter:</w:t>
      </w:r>
    </w:p>
    <w:p>
      <w:pPr>
        <w:pStyle w:val="Normal"/>
      </w:pPr>
      <w:r>
        <w:t>sudo cp /etc/nagios3/conf.d/localhost_nagios2.cfg</w:t>
        <w:t xml:space="preserve"> </w:t>
      </w:r>
      <w:r>
        <w:rPr>
          <w:rStyle w:val="Text0"/>
        </w:rPr>
        <w:t>\</w:t>
      </w:r>
      <w:r>
        <w:t xml:space="preserve"> </w:t>
        <w:t>/etc/nagios3/conf.d/server02.cfg</w:t>
      </w:r>
    </w:p>
    <w:p>
      <w:pPr>
        <w:pStyle w:val="Para 17"/>
      </w:pPr>
      <w:r>
        <w:t/>
      </w:r>
    </w:p>
    <w:p>
      <w:pPr>
        <w:pStyle w:val="Para 08"/>
      </w:pPr>
      <w:r>
        <w:t>Note:</w:t>
      </w:r>
    </w:p>
    <w:p>
      <w:pPr>
        <w:pStyle w:val="Para 03"/>
      </w:pPr>
      <w:r>
        <w:t>In the above and following command examples, replace “server01”, “server02”, 172.18.</w:t>
      </w:r>
    </w:p>
    <w:p>
      <w:pPr>
        <w:pStyle w:val="Para 03"/>
      </w:pPr>
      <w:r>
        <w:t>100.100, and 172.18.100.101 with the host names and IP addresses of your servers.</w:t>
      </w:r>
    </w:p>
    <w:p>
      <w:pPr>
        <w:pStyle w:val="Para 17"/>
      </w:pPr>
      <w:r>
        <w:t/>
      </w:r>
    </w:p>
    <w:p>
      <w:pPr>
        <w:pStyle w:val="Normal"/>
      </w:pPr>
      <w:r>
        <w:t>Next, edit /etc/nagios3/conf.d/server02.cfg:</w:t>
      </w:r>
    </w:p>
    <w:p>
      <w:pPr>
        <w:pStyle w:val="Normal"/>
      </w:pPr>
      <w:r>
        <w:t>define host{</w:t>
      </w:r>
    </w:p>
    <w:p>
      <w:pPr>
        <w:pStyle w:val="Para 06"/>
      </w:pPr>
      <w:r>
        <w:t>use</w:t>
        <w:t xml:space="preserve"> </w:t>
        <w:t>generic-host</w:t>
        <w:t xml:space="preserve"> </w:t>
        <w:t>; Name of host template to use</w:t>
        <w:t xml:space="preserve"> </w:t>
        <w:t>host_name</w:t>
        <w:t xml:space="preserve"> </w:t>
        <w:t>server02</w:t>
        <w:t xml:space="preserve"> </w:t>
        <w:t>alias</w:t>
        <w:t xml:space="preserve"> </w:t>
        <w:t>Server 02</w:t>
        <w:t xml:space="preserve"> </w:t>
        <w:t>address</w:t>
        <w:t xml:space="preserve"> </w:t>
        <w:t>172.18.100.101</w:t>
      </w:r>
    </w:p>
    <w:p>
      <w:pPr>
        <w:pStyle w:val="Normal"/>
      </w:pPr>
      <w:r>
        <w:t>}</w:t>
      </w:r>
    </w:p>
    <w:p>
      <w:pPr>
        <w:pStyle w:val="Normal"/>
      </w:pPr>
      <w:r>
        <w:t># check DNS service.</w:t>
      </w:r>
    </w:p>
    <w:p>
      <w:pPr>
        <w:pStyle w:val="Normal"/>
      </w:pPr>
      <w:r>
        <w:t>define service {</w:t>
      </w:r>
    </w:p>
    <w:p>
      <w:pPr>
        <w:pStyle w:val="Para 06"/>
      </w:pPr>
      <w:r>
        <w:t>use</w:t>
        <w:t xml:space="preserve"> </w:t>
        <w:t>generic-service</w:t>
        <w:t xml:space="preserve"> </w:t>
        <w:t>host_name</w:t>
        <w:t xml:space="preserve"> </w:t>
        <w:t>server02</w:t>
        <w:t xml:space="preserve"> </w:t>
        <w:t>service_description</w:t>
        <w:t xml:space="preserve"> </w:t>
        <w:t>DNS</w:t>
        <w:t xml:space="preserve"> </w:t>
        <w:t>check_command</w:t>
        <w:t xml:space="preserve"> </w:t>
        <w:t>check_dns!172.18.100.101</w:t>
      </w:r>
    </w:p>
    <w:p>
      <w:pPr>
        <w:pStyle w:val="Normal"/>
      </w:pPr>
      <w:r>
        <w:t>}</w:t>
      </w:r>
    </w:p>
    <w:p>
      <w:pPr>
        <w:pStyle w:val="Para 17"/>
      </w:pPr>
      <w:r>
        <w:t/>
      </w:r>
    </w:p>
    <w:p>
      <w:pPr>
        <w:pStyle w:val="Normal"/>
      </w:pPr>
      <w:r>
        <w:t>Restart the Nagios daemon to enable the new configuration:</w:t>
      </w:r>
    </w:p>
    <w:p>
      <w:pPr>
        <w:pStyle w:val="Normal"/>
      </w:pPr>
      <w:r>
        <w:t>sudo systemctl restart nagio3.service</w:t>
      </w:r>
    </w:p>
    <w:p>
      <w:pPr>
        <w:pStyle w:val="Para 17"/>
      </w:pPr>
      <w:r>
        <w:t/>
      </w:r>
    </w:p>
    <w:p>
      <w:pPr>
        <w:pStyle w:val="Normal"/>
      </w:pPr>
      <w:r>
        <w:t>Now add a service definition for the MySQL check by adding the following to /etc/nagios3/ conf.d/services_nagios2.cfg:</w:t>
      </w:r>
    </w:p>
    <w:p>
      <w:pPr>
        <w:pStyle w:val="Normal"/>
      </w:pPr>
      <w:r>
        <w:t># check MySQL servers.</w:t>
      </w:r>
    </w:p>
    <w:p>
      <w:pPr>
        <w:pStyle w:val="Normal"/>
      </w:pPr>
      <w:r>
        <w:t>define service {</w:t>
      </w:r>
    </w:p>
    <w:p>
      <w:pPr>
        <w:pStyle w:val="Para 06"/>
      </w:pPr>
      <w:r>
        <w:t>hostgroup_name</w:t>
        <w:t xml:space="preserve"> </w:t>
        <w:t>mysql-servers</w:t>
        <w:t xml:space="preserve"> </w:t>
        <w:t>service_description</w:t>
        <w:t xml:space="preserve"> </w:t>
        <w:t>MySQL</w:t>
      </w:r>
    </w:p>
    <w:p>
      <w:pPr>
        <w:pStyle w:val="Para 06"/>
      </w:pPr>
      <w:r>
        <w:t>check_command</w:t>
        <w:t xml:space="preserve"> </w:t>
        <w:t>check_mysql_cmdlinecred!nagios!secret!$HOSTADDRESS</w:t>
        <w:t xml:space="preserve"> </w:t>
        <w:t>use</w:t>
        <w:t xml:space="preserve"> </w:t>
        <w:t>generic-service</w:t>
        <w:t xml:space="preserve"> </w:t>
        <w:t>notification_interval 0 ; set &gt; 0 if you want to be renotified</w:t>
      </w:r>
    </w:p>
    <w:p>
      <w:pPr>
        <w:pStyle w:val="Normal"/>
      </w:pPr>
      <w:r>
        <w:t>}</w:t>
      </w:r>
    </w:p>
    <w:p>
      <w:pPr>
        <w:pStyle w:val="Para 17"/>
      </w:pPr>
      <w:r>
        <w:t/>
      </w:r>
    </w:p>
    <w:p>
      <w:pPr>
        <w:pStyle w:val="Normal"/>
      </w:pPr>
      <w:r>
        <w:t xml:space="preserve">A </w:t>
      </w:r>
      <w:r>
        <w:rPr>
          <w:rStyle w:val="Text0"/>
        </w:rPr>
        <w:t>mysql-servers</w:t>
      </w:r>
      <w:r>
        <w:t xml:space="preserve"> host group now needs to be defined. Edit /etc/nagios3/conf.d/ hostgroups_nagios2.cfg adding:</w:t>
      </w:r>
    </w:p>
    <w:p>
      <w:pPr>
        <w:pStyle w:val="Normal"/>
      </w:pPr>
      <w:r>
        <w:t># MySQL hostgroup.</w:t>
      </w:r>
    </w:p>
    <w:p>
      <w:pPr>
        <w:pStyle w:val="Normal"/>
      </w:pPr>
      <w:r>
        <w:t>define hostgroup {</w:t>
      </w:r>
    </w:p>
    <w:p>
      <w:pPr>
        <w:pStyle w:val="Para 06"/>
      </w:pPr>
      <w:r>
        <w:t>hostgroup_name</w:t>
        <w:t xml:space="preserve"> </w:t>
        <w:t>mysql-servers</w:t>
      </w:r>
    </w:p>
    <w:p>
      <w:pPr>
        <w:pStyle w:val="Para 15"/>
      </w:pPr>
      <w:r>
        <w:t>alias</w:t>
        <w:t xml:space="preserve"> </w:t>
        <w:t>MySQL servers</w:t>
        <w:t xml:space="preserve"> </w:t>
        <w:t>members</w:t>
        <w:t xml:space="preserve"> </w:t>
        <w:t>localhost, server02</w:t>
      </w:r>
    </w:p>
    <w:p>
      <w:pPr>
        <w:pStyle w:val="Normal"/>
      </w:pPr>
      <w:r>
        <w:t>}</w:t>
      </w:r>
    </w:p>
    <w:p>
      <w:pPr>
        <w:pStyle w:val="Para 09"/>
      </w:pPr>
      <w:r>
        <w:t>(continues on next page)</w:t>
      </w:r>
    </w:p>
    <w:p>
      <w:bookmarkStart w:id="981" w:name="page_6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5" name="index-643_1.png" descr="index-643_1.png"/>
            <wp:cNvGraphicFramePr>
              <a:graphicFrameLocks noChangeAspect="1"/>
            </wp:cNvGraphicFramePr>
            <a:graphic>
              <a:graphicData uri="http://schemas.openxmlformats.org/drawingml/2006/picture">
                <pic:pic>
                  <pic:nvPicPr>
                    <pic:cNvPr id="0" name="index-643_1.png" descr="index-643_1.png"/>
                    <pic:cNvPicPr/>
                  </pic:nvPicPr>
                  <pic:blipFill>
                    <a:blip r:embed="rId679"/>
                    <a:stretch>
                      <a:fillRect/>
                    </a:stretch>
                  </pic:blipFill>
                  <pic:spPr>
                    <a:xfrm>
                      <a:off x="0" y="0"/>
                      <a:ext cx="914400" cy="266700"/>
                    </a:xfrm>
                    <a:prstGeom prst="rect">
                      <a:avLst/>
                    </a:prstGeom>
                  </pic:spPr>
                </pic:pic>
              </a:graphicData>
            </a:graphic>
          </wp:anchor>
        </w:drawing>
      </w:r>
      <w:bookmarkEnd w:id="981"/>
    </w:p>
    <w:p>
      <w:pPr>
        <w:pStyle w:val="Para 09"/>
      </w:pPr>
      <w:r>
        <w:t>(continued from previous page)</w:t>
      </w:r>
    </w:p>
    <w:p>
      <w:pPr>
        <w:pStyle w:val="Normal"/>
      </w:pPr>
      <w:r>
        <w:t>The Nagios check needs to authenticate to MySQL. To add a `nagios` user to MySQL, enter:</w:t>
      </w:r>
    </w:p>
    <w:p>
      <w:pPr>
        <w:pStyle w:val="Normal"/>
      </w:pPr>
      <w:r>
        <w:t>```bash</w:t>
      </w:r>
    </w:p>
    <w:p>
      <w:pPr>
        <w:pStyle w:val="Normal"/>
      </w:pPr>
      <w:r>
        <w:t>mysql -u root -p -e "create user nagios identified by 'secret';"</w:t>
      </w:r>
    </w:p>
    <w:p>
      <w:pPr>
        <w:pStyle w:val="Normal"/>
      </w:pPr>
      <w:r>
        <w:t>```{note}</w:t>
      </w:r>
    </w:p>
    <w:p>
      <w:pPr>
        <w:pStyle w:val="Normal"/>
      </w:pPr>
      <w:r>
        <w:t>The `nagios` user will need to be added all hosts in the `mysql-servers` host group.</w:t>
      </w:r>
    </w:p>
    <w:p>
      <w:pPr>
        <w:pStyle w:val="Para 17"/>
      </w:pPr>
      <w:r>
        <w:t/>
      </w:r>
    </w:p>
    <w:p>
      <w:pPr>
        <w:pStyle w:val="Normal"/>
      </w:pPr>
      <w:r>
        <w:t>Restart Nagios to start checking the MySQL servers.</w:t>
      </w:r>
    </w:p>
    <w:p>
      <w:pPr>
        <w:pStyle w:val="Normal"/>
      </w:pPr>
      <w:r>
        <w:t>sudo systemctl restart nagios3.service</w:t>
      </w:r>
    </w:p>
    <w:p>
      <w:pPr>
        <w:pStyle w:val="Para 17"/>
      </w:pPr>
      <w:r>
        <w:t/>
      </w:r>
    </w:p>
    <w:p>
      <w:pPr>
        <w:pStyle w:val="Normal"/>
      </w:pPr>
      <w:r>
        <w:t>Lastly, configure NRPE to check the disk space on server02. On server01 add the service check to /etc/nagios3/conf.d/server02.cfg:</w:t>
      </w:r>
    </w:p>
    <w:p>
      <w:pPr>
        <w:pStyle w:val="Normal"/>
      </w:pPr>
      <w:r>
        <w:t># NRPE disk check.</w:t>
      </w:r>
    </w:p>
    <w:p>
      <w:pPr>
        <w:pStyle w:val="Normal"/>
      </w:pPr>
      <w:r>
        <w:t>define service {</w:t>
      </w:r>
    </w:p>
    <w:p>
      <w:pPr>
        <w:pStyle w:val="Para 06"/>
      </w:pPr>
      <w:r>
        <w:t>use</w:t>
        <w:t xml:space="preserve"> </w:t>
        <w:t>generic-service</w:t>
        <w:t xml:space="preserve"> </w:t>
        <w:t>host_name</w:t>
        <w:t xml:space="preserve"> </w:t>
        <w:t>server02</w:t>
        <w:t xml:space="preserve"> </w:t>
        <w:t>service_description</w:t>
        <w:t xml:space="preserve"> </w:t>
        <w:t>nrpe-disk</w:t>
        <w:t xml:space="preserve"> </w:t>
        <w:t>check_command</w:t>
        <w:t xml:space="preserve"> </w:t>
        <w:t>check_nrpe_1arg!check_all_disks!172.18.100.101</w:t>
      </w:r>
    </w:p>
    <w:p>
      <w:pPr>
        <w:pStyle w:val="Normal"/>
      </w:pPr>
      <w:r>
        <w:t>}</w:t>
      </w:r>
    </w:p>
    <w:p>
      <w:pPr>
        <w:pStyle w:val="Para 17"/>
      </w:pPr>
      <w:r>
        <w:t/>
      </w:r>
    </w:p>
    <w:p>
      <w:pPr>
        <w:pStyle w:val="Normal"/>
      </w:pPr>
      <w:r>
        <w:t>Now on server02 edit /etc/nagios/nrpe.cfg, changing:</w:t>
      </w:r>
    </w:p>
    <w:p>
      <w:pPr>
        <w:pStyle w:val="Normal"/>
      </w:pPr>
      <w:r>
        <w:t>allowed_hosts=172.18.100.100</w:t>
      </w:r>
    </w:p>
    <w:p>
      <w:pPr>
        <w:pStyle w:val="Para 17"/>
      </w:pPr>
      <w:r>
        <w:t/>
      </w:r>
    </w:p>
    <w:p>
      <w:pPr>
        <w:pStyle w:val="Normal"/>
      </w:pPr>
      <w:r>
        <w:t>And below in the command definition area add:</w:t>
      </w:r>
    </w:p>
    <w:p>
      <w:pPr>
        <w:pStyle w:val="Normal"/>
      </w:pPr>
      <w:r>
        <w:t>command[check_all_disks]=/usr/lib/nagios/plugins/check_disk -w 20% -c 10% -e</w:t>
      </w:r>
    </w:p>
    <w:p>
      <w:pPr>
        <w:pStyle w:val="Para 17"/>
      </w:pPr>
      <w:r>
        <w:t/>
      </w:r>
    </w:p>
    <w:p>
      <w:pPr>
        <w:pStyle w:val="Normal"/>
      </w:pPr>
      <w:r>
        <w:t>Finally, restart nagios-nrpe-server:</w:t>
      </w:r>
    </w:p>
    <w:p>
      <w:pPr>
        <w:pStyle w:val="Normal"/>
      </w:pPr>
      <w:r>
        <w:t>sudo systemctl restart nagios-nrpe-server.service</w:t>
      </w:r>
    </w:p>
    <w:p>
      <w:pPr>
        <w:pStyle w:val="Para 17"/>
      </w:pPr>
      <w:r>
        <w:t/>
      </w:r>
    </w:p>
    <w:p>
      <w:pPr>
        <w:pStyle w:val="Normal"/>
      </w:pPr>
      <w:r>
        <w:t>Also, on server01 restart nagios3:</w:t>
      </w:r>
    </w:p>
    <w:p>
      <w:pPr>
        <w:pStyle w:val="Normal"/>
      </w:pPr>
      <w:r>
        <w:t>sudo systemctl restart nagios3.service</w:t>
      </w:r>
    </w:p>
    <w:p>
      <w:pPr>
        <w:pStyle w:val="Para 17"/>
      </w:pPr>
      <w:r>
        <w:t/>
      </w:r>
    </w:p>
    <w:p>
      <w:pPr>
        <w:pStyle w:val="Normal"/>
      </w:pPr>
      <w:r>
        <w:t>You should now be able to see the host and service checks in the Nagios CGI files. To ac-cess them, point a browser to http://server01/nagios3. You will then be prompted for the nagiosadmin username and password.</w:t>
      </w:r>
    </w:p>
    <w:p>
      <w:pPr>
        <w:pStyle w:val="Para 17"/>
      </w:pPr>
      <w:r>
        <w:t/>
      </w:r>
    </w:p>
    <w:p>
      <w:pPr>
        <w:pStyle w:val="Para 01"/>
      </w:pPr>
      <w:r>
        <w:t>Install Munin</w:t>
      </w:r>
    </w:p>
    <w:p>
      <w:pPr>
        <w:pStyle w:val="Para 17"/>
      </w:pPr>
      <w:r>
        <w:t/>
      </w:r>
    </w:p>
    <w:p>
      <w:pPr>
        <w:pStyle w:val="Normal"/>
      </w:pPr>
      <w:r>
        <w:t>Before installing Munin on server01 Apache2 will need to be installed. The default configura-</w:t>
      </w:r>
    </w:p>
    <w:p>
      <w:pPr>
        <w:pStyle w:val="Normal"/>
      </w:pPr>
      <w:r>
        <w:t xml:space="preserve">tion is fine for running a Munin server. For more information see </w:t>
      </w:r>
      <w:hyperlink w:anchor="page_498">
        <w:r>
          <w:rPr>
            <w:rStyle w:val="Text2"/>
          </w:rPr>
          <w:t>setting up Apache</w:t>
        </w:r>
      </w:hyperlink>
      <w:r>
        <w:t xml:space="preserve"> (page 497).</w:t>
      </w:r>
    </w:p>
    <w:p>
      <w:bookmarkStart w:id="982" w:name="calibre_pb_169"/>
      <w:pPr>
        <w:pStyle w:val="0 Block"/>
      </w:pPr>
      <w:bookmarkEnd w:id="982"/>
    </w:p>
    <w:p>
      <w:bookmarkStart w:id="983" w:name="Top_of_index_split_170_html"/>
      <w:bookmarkStart w:id="984" w:name="page_64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6" name="index-644_1.png" descr="index-644_1.png"/>
            <wp:cNvGraphicFramePr>
              <a:graphicFrameLocks noChangeAspect="1"/>
            </wp:cNvGraphicFramePr>
            <a:graphic>
              <a:graphicData uri="http://schemas.openxmlformats.org/drawingml/2006/picture">
                <pic:pic>
                  <pic:nvPicPr>
                    <pic:cNvPr id="0" name="index-644_1.png" descr="index-644_1.png"/>
                    <pic:cNvPicPr/>
                  </pic:nvPicPr>
                  <pic:blipFill>
                    <a:blip r:embed="rId680"/>
                    <a:stretch>
                      <a:fillRect/>
                    </a:stretch>
                  </pic:blipFill>
                  <pic:spPr>
                    <a:xfrm>
                      <a:off x="0" y="0"/>
                      <a:ext cx="914400" cy="266700"/>
                    </a:xfrm>
                    <a:prstGeom prst="rect">
                      <a:avLst/>
                    </a:prstGeom>
                  </pic:spPr>
                </pic:pic>
              </a:graphicData>
            </a:graphic>
          </wp:anchor>
        </w:drawing>
      </w:r>
      <w:bookmarkEnd w:id="983"/>
      <w:bookmarkEnd w:id="984"/>
    </w:p>
    <w:p>
      <w:pPr>
        <w:pStyle w:val="Para 01"/>
      </w:pPr>
      <w:r>
        <w:t>On server01</w:t>
      </w:r>
    </w:p>
    <w:p>
      <w:pPr>
        <w:pStyle w:val="Para 17"/>
      </w:pPr>
      <w:r>
        <w:t/>
      </w:r>
    </w:p>
    <w:p>
      <w:pPr>
        <w:pStyle w:val="Normal"/>
      </w:pPr>
      <w:r>
        <w:t>First, on server01 install munin by running the following command in a terminal:</w:t>
      </w:r>
    </w:p>
    <w:p>
      <w:pPr>
        <w:pStyle w:val="Normal"/>
      </w:pPr>
      <w:r>
        <w:t>sudo apt install munin</w:t>
      </w:r>
    </w:p>
    <w:p>
      <w:pPr>
        <w:pStyle w:val="Para 17"/>
      </w:pPr>
      <w:r>
        <w:t/>
      </w:r>
    </w:p>
    <w:p>
      <w:pPr>
        <w:pStyle w:val="Para 01"/>
      </w:pPr>
      <w:r>
        <w:t>On server02</w:t>
      </w:r>
    </w:p>
    <w:p>
      <w:pPr>
        <w:pStyle w:val="Para 17"/>
      </w:pPr>
      <w:r>
        <w:t/>
      </w:r>
    </w:p>
    <w:p>
      <w:pPr>
        <w:pStyle w:val="Normal"/>
      </w:pPr>
      <w:r>
        <w:t>Now on server02 install the munin-node package:</w:t>
      </w:r>
    </w:p>
    <w:p>
      <w:pPr>
        <w:pStyle w:val="Normal"/>
      </w:pPr>
      <w:r>
        <w:t>sudo apt install munin-node</w:t>
      </w:r>
    </w:p>
    <w:p>
      <w:pPr>
        <w:pStyle w:val="Para 17"/>
      </w:pPr>
      <w:r>
        <w:t/>
      </w:r>
    </w:p>
    <w:p>
      <w:pPr>
        <w:pStyle w:val="Para 01"/>
      </w:pPr>
      <w:r>
        <w:t>Configure Munin on server01</w:t>
      </w:r>
    </w:p>
    <w:p>
      <w:pPr>
        <w:pStyle w:val="Para 17"/>
      </w:pPr>
      <w:r>
        <w:t/>
      </w:r>
    </w:p>
    <w:p>
      <w:pPr>
        <w:pStyle w:val="Normal"/>
      </w:pPr>
      <w:r>
        <w:t>On server01 edit the /etc/munin/munin.conf to add the IP address for server02:</w:t>
      </w:r>
    </w:p>
    <w:p>
      <w:pPr>
        <w:pStyle w:val="Normal"/>
      </w:pPr>
      <w:r>
        <w:t>## First our "normal" host.</w:t>
      </w:r>
    </w:p>
    <w:p>
      <w:pPr>
        <w:pStyle w:val="Normal"/>
      </w:pPr>
      <w:r>
        <w:t>[server02]</w:t>
      </w:r>
    </w:p>
    <w:p>
      <w:pPr>
        <w:pStyle w:val="Para 06"/>
      </w:pPr>
      <w:r>
        <w:t>address 172.18.100.101</w:t>
      </w:r>
    </w:p>
    <w:p>
      <w:pPr>
        <w:pStyle w:val="Para 17"/>
      </w:pPr>
      <w:r>
        <w:t/>
      </w:r>
    </w:p>
    <w:p>
      <w:pPr>
        <w:pStyle w:val="Para 08"/>
      </w:pPr>
      <w:r>
        <w:t>Note:</w:t>
      </w:r>
    </w:p>
    <w:p>
      <w:pPr>
        <w:pStyle w:val="Para 03"/>
      </w:pPr>
      <w:r>
        <w:t>Replace server02 and 172.18.100.101 with the actual hostname and IP address of your</w:t>
      </w:r>
    </w:p>
    <w:p>
      <w:pPr>
        <w:pStyle w:val="Para 03"/>
      </w:pPr>
      <w:r>
        <w:t>server.</w:t>
      </w:r>
    </w:p>
    <w:p>
      <w:pPr>
        <w:pStyle w:val="Para 17"/>
      </w:pPr>
      <w:r>
        <w:t/>
      </w:r>
    </w:p>
    <w:p>
      <w:pPr>
        <w:pStyle w:val="Para 01"/>
      </w:pPr>
      <w:r>
        <w:t>Configure munin-node on server02</w:t>
      </w:r>
    </w:p>
    <w:p>
      <w:pPr>
        <w:pStyle w:val="Para 17"/>
      </w:pPr>
      <w:r>
        <w:t/>
      </w:r>
    </w:p>
    <w:p>
      <w:pPr>
        <w:pStyle w:val="Normal"/>
      </w:pPr>
      <w:r>
        <w:t>To configure munin-node on server02, edit /etc/munin/munin-node.conf to allow access by server01:</w:t>
      </w:r>
    </w:p>
    <w:p>
      <w:pPr>
        <w:pStyle w:val="Normal"/>
      </w:pPr>
      <w:r>
        <w:t>allow ^172\.18\.100\.100$</w:t>
      </w:r>
    </w:p>
    <w:p>
      <w:pPr>
        <w:pStyle w:val="Para 17"/>
      </w:pPr>
      <w:r>
        <w:t/>
      </w:r>
    </w:p>
    <w:p>
      <w:pPr>
        <w:pStyle w:val="Para 08"/>
      </w:pPr>
      <w:r>
        <w:t>Note:</w:t>
      </w:r>
    </w:p>
    <w:p>
      <w:pPr>
        <w:pStyle w:val="Para 03"/>
      </w:pPr>
      <w:r>
        <w:t>Replace ^172\.18\.100\.100$ with IP address for your Munin server.</w:t>
      </w:r>
    </w:p>
    <w:p>
      <w:pPr>
        <w:pStyle w:val="Para 17"/>
      </w:pPr>
      <w:r>
        <w:t/>
      </w:r>
    </w:p>
    <w:p>
      <w:pPr>
        <w:pStyle w:val="Normal"/>
      </w:pPr>
      <w:r>
        <w:t>Now restart munin-node on server02 for the changes to take effect:</w:t>
      </w:r>
    </w:p>
    <w:p>
      <w:pPr>
        <w:pStyle w:val="Normal"/>
      </w:pPr>
      <w:r>
        <w:t>sudo systemctl restart munin-node.service</w:t>
      </w:r>
    </w:p>
    <w:p>
      <w:pPr>
        <w:pStyle w:val="Para 17"/>
      </w:pPr>
      <w:r>
        <w:t/>
      </w:r>
    </w:p>
    <w:p>
      <w:pPr>
        <w:pStyle w:val="Normal"/>
      </w:pPr>
      <w:r>
        <w:t>Finally, in a browser go to http://server01/munin, and you should see links to some graphs displaying information from the standard munin-plugins for disk, network, processes, and system.</w:t>
      </w:r>
    </w:p>
    <w:p>
      <w:pPr>
        <w:pStyle w:val="Para 08"/>
      </w:pPr>
      <w:r>
        <w:t>Note:</w:t>
      </w:r>
    </w:p>
    <w:p>
      <w:pPr>
        <w:pStyle w:val="Para 03"/>
      </w:pPr>
      <w:r>
        <w:t xml:space="preserve">Since this is a new install it may take some time for the graphs to display anything useful. </w:t>
      </w:r>
      <w:r>
        <w:rPr>
          <w:rStyle w:val="Text0"/>
        </w:rPr>
        <w:t>Additional plugins</w:t>
      </w:r>
    </w:p>
    <w:p>
      <w:bookmarkStart w:id="985" w:name="page_6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7" name="index-645_1.png" descr="index-645_1.png"/>
            <wp:cNvGraphicFramePr>
              <a:graphicFrameLocks noChangeAspect="1"/>
            </wp:cNvGraphicFramePr>
            <a:graphic>
              <a:graphicData uri="http://schemas.openxmlformats.org/drawingml/2006/picture">
                <pic:pic>
                  <pic:nvPicPr>
                    <pic:cNvPr id="0" name="index-645_1.png" descr="index-645_1.png"/>
                    <pic:cNvPicPr/>
                  </pic:nvPicPr>
                  <pic:blipFill>
                    <a:blip r:embed="rId681"/>
                    <a:stretch>
                      <a:fillRect/>
                    </a:stretch>
                  </pic:blipFill>
                  <pic:spPr>
                    <a:xfrm>
                      <a:off x="0" y="0"/>
                      <a:ext cx="914400" cy="266700"/>
                    </a:xfrm>
                    <a:prstGeom prst="rect">
                      <a:avLst/>
                    </a:prstGeom>
                  </pic:spPr>
                </pic:pic>
              </a:graphicData>
            </a:graphic>
          </wp:anchor>
        </w:drawing>
      </w:r>
      <w:bookmarkEnd w:id="985"/>
    </w:p>
    <w:p>
      <w:pPr>
        <w:pStyle w:val="Para 17"/>
      </w:pPr>
      <w:r>
        <w:t/>
      </w:r>
    </w:p>
    <w:p>
      <w:pPr>
        <w:pStyle w:val="Normal"/>
      </w:pPr>
      <w:r>
        <w:t>The munin-plugins-extra package contains performance checks and additional services such</w:t>
      </w:r>
    </w:p>
    <w:p>
      <w:pPr>
        <w:pStyle w:val="Normal"/>
      </w:pPr>
      <w:r>
        <w:t xml:space="preserve">as DNS, </w:t>
      </w:r>
      <w:hyperlink w:anchor="page_678">
        <w:r>
          <w:rPr>
            <w:rStyle w:val="Text2"/>
          </w:rPr>
          <w:t>DHCP</w:t>
        </w:r>
      </w:hyperlink>
      <w:r>
        <w:t>, Samba, etc. To install the package, from a terminal enter:</w:t>
      </w:r>
    </w:p>
    <w:p>
      <w:pPr>
        <w:pStyle w:val="Normal"/>
      </w:pPr>
      <w:r>
        <w:t>sudo apt install munin-plugins-extra</w:t>
      </w:r>
    </w:p>
    <w:p>
      <w:pPr>
        <w:pStyle w:val="Para 17"/>
      </w:pPr>
      <w:r>
        <w:t/>
      </w:r>
    </w:p>
    <w:p>
      <w:pPr>
        <w:pStyle w:val="Normal"/>
      </w:pPr>
      <w:r>
        <w:t>Be sure to install the package on both the server and node machines.</w:t>
      </w:r>
    </w:p>
    <w:p>
      <w:pPr>
        <w:pStyle w:val="Para 17"/>
      </w:pPr>
      <w:r>
        <w:t/>
      </w:r>
    </w:p>
    <w:p>
      <w:pPr>
        <w:pStyle w:val="Para 01"/>
      </w:pPr>
      <w:r>
        <w:t>Further reading</w:t>
      </w:r>
    </w:p>
    <w:p>
      <w:pPr>
        <w:pStyle w:val="Para 17"/>
      </w:pPr>
      <w:r>
        <w:t/>
      </w:r>
    </w:p>
    <w:p>
      <w:pPr>
        <w:pStyle w:val="Para 04"/>
      </w:pPr>
      <w:r>
        <w:t xml:space="preserve">• See the </w:t>
      </w:r>
      <w:hyperlink w:anchor="page_645">
        <w:r>
          <w:rPr>
            <w:rStyle w:val="Text9"/>
          </w:rPr>
          <w:t>655</w:t>
        </w:r>
      </w:hyperlink>
      <w:hyperlink w:anchor="page_645">
        <w:r>
          <w:rPr>
            <w:rStyle w:val="Text1"/>
          </w:rPr>
          <w:t xml:space="preserve"> </w:t>
        </w:r>
      </w:hyperlink>
      <w:hyperlink w:anchor="page_645">
        <w:r>
          <w:rPr>
            <w:rStyle w:val="Text9"/>
          </w:rPr>
          <w:t>656</w:t>
        </w:r>
      </w:hyperlink>
      <w:r>
        <w:t xml:space="preserve"> </w:t>
      </w:r>
      <w:hyperlink r:id="rId1566">
        <w:r>
          <w:rPr>
            <w:rStyle w:val="Text1"/>
          </w:rPr>
          <w:t>Munin</w:t>
        </w:r>
      </w:hyperlink>
      <w:r>
        <w:t xml:space="preserve"> and </w:t>
      </w:r>
      <w:hyperlink r:id="rId1568">
        <w:r>
          <w:rPr>
            <w:rStyle w:val="Text1"/>
          </w:rPr>
          <w:t>Nagios</w:t>
        </w:r>
      </w:hyperlink>
      <w:r>
        <w:t xml:space="preserve"> websites for more details on these packages.</w:t>
      </w:r>
    </w:p>
    <w:p>
      <w:pPr>
        <w:pStyle w:val="Para 04"/>
      </w:pPr>
      <w:r>
        <w:t xml:space="preserve">• The </w:t>
      </w:r>
      <w:hyperlink r:id="rId1567">
        <w:r>
          <w:rPr>
            <w:rStyle w:val="Text9"/>
          </w:rPr>
          <w:t>657</w:t>
        </w:r>
      </w:hyperlink>
      <w:hyperlink r:id="rId1567">
        <w:r>
          <w:rPr>
            <w:rStyle w:val="Text1"/>
          </w:rPr>
          <w:t xml:space="preserve"> Munin Documentation</w:t>
        </w:r>
      </w:hyperlink>
      <w:r>
        <w:t xml:space="preserve"> page includes information on additional plugins, writing</w:t>
      </w:r>
    </w:p>
    <w:p>
      <w:pPr>
        <w:pStyle w:val="Para 02"/>
      </w:pPr>
      <w:r>
        <w:t>plugins, etc.</w:t>
      </w:r>
    </w:p>
    <w:p>
      <w:pPr>
        <w:pStyle w:val="Para 13"/>
      </w:pPr>
      <w:r>
        <w:rPr>
          <w:rStyle w:val="Text7"/>
        </w:rPr>
        <w:t xml:space="preserve">• The </w:t>
      </w:r>
      <w:hyperlink w:anchor="page_645">
        <w:r>
          <w:rPr>
            <w:rStyle w:val="Text10"/>
          </w:rPr>
          <w:t>658</w:t>
        </w:r>
      </w:hyperlink>
      <w:r>
        <w:rPr>
          <w:rStyle w:val="Text7"/>
        </w:rPr>
        <w:t xml:space="preserve"> </w:t>
      </w:r>
      <w:hyperlink r:id="rId1573">
        <w:r>
          <w:t>Nagios Online Documentation</w:t>
        </w:r>
      </w:hyperlink>
      <w:r>
        <w:rPr>
          <w:rStyle w:val="Text7"/>
        </w:rPr>
        <w:t xml:space="preserve"> site.</w:t>
      </w:r>
    </w:p>
    <w:p>
      <w:pPr>
        <w:pStyle w:val="Para 04"/>
      </w:pPr>
      <w:r>
        <w:t xml:space="preserve">• There is also a </w:t>
      </w:r>
      <w:hyperlink r:id="rId1571">
        <w:r>
          <w:rPr>
            <w:rStyle w:val="Text9"/>
          </w:rPr>
          <w:t>659</w:t>
        </w:r>
      </w:hyperlink>
      <w:hyperlink r:id="rId1571">
        <w:r>
          <w:rPr>
            <w:rStyle w:val="Text1"/>
          </w:rPr>
          <w:t xml:space="preserve"> list of books</w:t>
        </w:r>
      </w:hyperlink>
      <w:r>
        <w:t xml:space="preserve"> related to Nagios and network monitoring.</w:t>
      </w:r>
    </w:p>
    <w:p>
      <w:pPr>
        <w:pStyle w:val="Para 04"/>
      </w:pPr>
      <w:r>
        <w:t xml:space="preserve">• The </w:t>
      </w:r>
      <w:hyperlink r:id="rId1572">
        <w:r>
          <w:rPr>
            <w:rStyle w:val="Text9"/>
          </w:rPr>
          <w:t>660</w:t>
        </w:r>
      </w:hyperlink>
      <w:hyperlink r:id="rId1572">
        <w:r>
          <w:rPr>
            <w:rStyle w:val="Text1"/>
          </w:rPr>
          <w:t xml:space="preserve"> Nagios Ubuntu Wiki</w:t>
        </w:r>
      </w:hyperlink>
      <w:r>
        <w:t xml:space="preserve"> page also has more details.</w:t>
      </w:r>
    </w:p>
    <w:p>
      <w:pPr>
        <w:pStyle w:val="Para 24"/>
      </w:pPr>
      <w:r>
        <w:t>3.2.13. Debugging</w:t>
      </w:r>
    </w:p>
    <w:p>
      <w:pPr>
        <w:pStyle w:val="Normal"/>
      </w:pPr>
      <w:hyperlink w:anchor="page_645">
        <w:r>
          <w:rPr>
            <w:rStyle w:val="Text2"/>
          </w:rPr>
          <w:t>These debugging pages</w:t>
        </w:r>
      </w:hyperlink>
      <w:r>
        <w:t xml:space="preserve"> (page 644) are for readers interested in analyzing the state of their Ubuntu system.</w:t>
      </w:r>
    </w:p>
    <w:p>
      <w:pPr>
        <w:pStyle w:val="Para 17"/>
      </w:pPr>
      <w:r>
        <w:t/>
      </w:r>
    </w:p>
    <w:p>
      <w:pPr>
        <w:pStyle w:val="Para 01"/>
      </w:pPr>
      <w:r>
        <w:t>Debugging</w:t>
      </w:r>
    </w:p>
    <w:p>
      <w:pPr>
        <w:pStyle w:val="Para 17"/>
      </w:pPr>
      <w:r>
        <w:t/>
      </w:r>
    </w:p>
    <w:p>
      <w:pPr>
        <w:pStyle w:val="Normal"/>
      </w:pPr>
      <w:r>
        <w:t>These pages are for those interested in deeper debugging and analysis on an Ubuntu system.</w:t>
      </w:r>
    </w:p>
    <w:p>
      <w:pPr>
        <w:pStyle w:val="Para 14"/>
      </w:pPr>
      <w:r>
        <w:rPr>
          <w:rStyle w:val="Text4"/>
        </w:rPr>
        <w:t xml:space="preserve">• </w:t>
      </w:r>
      <w:hyperlink w:anchor="page_646">
        <w:r>
          <w:t>About debuginfod</w:t>
        </w:r>
      </w:hyperlink>
      <w:r>
        <w:rPr>
          <w:rStyle w:val="Text4"/>
        </w:rPr>
        <w:t xml:space="preserve"> (page 645)</w:t>
      </w:r>
    </w:p>
    <w:p>
      <w:pPr>
        <w:pStyle w:val="Para 14"/>
      </w:pPr>
      <w:r>
        <w:rPr>
          <w:rStyle w:val="Text4"/>
        </w:rPr>
        <w:t xml:space="preserve">• </w:t>
      </w:r>
      <w:hyperlink w:anchor="page_648">
        <w:r>
          <w:t>Debug symbol packages</w:t>
        </w:r>
      </w:hyperlink>
      <w:r>
        <w:rPr>
          <w:rStyle w:val="Text4"/>
        </w:rPr>
        <w:t xml:space="preserve"> (page 647)</w:t>
      </w:r>
    </w:p>
    <w:p>
      <w:pPr>
        <w:pStyle w:val="Para 04"/>
      </w:pPr>
      <w:r>
        <w:t xml:space="preserve">• </w:t>
      </w:r>
      <w:hyperlink w:anchor="page_661">
        <w:r>
          <w:rPr>
            <w:rStyle w:val="Text2"/>
          </w:rPr>
          <w:t>Introduction to eBPF</w:t>
        </w:r>
      </w:hyperlink>
      <w:r>
        <w:t xml:space="preserve"> (page 660) discusses eBPF, which is a lightweight VM that runs in</w:t>
      </w:r>
    </w:p>
    <w:p>
      <w:pPr>
        <w:pStyle w:val="Para 02"/>
      </w:pPr>
      <w:r>
        <w:t>the kernel space</w:t>
      </w:r>
    </w:p>
    <w:p>
      <w:pPr>
        <w:pStyle w:val="Para 04"/>
      </w:pPr>
      <w:r>
        <w:t xml:space="preserve">• </w:t>
      </w:r>
      <w:hyperlink w:anchor="page_651">
        <w:r>
          <w:rPr>
            <w:rStyle w:val="Text2"/>
          </w:rPr>
          <w:t>Kernel crash dump</w:t>
        </w:r>
      </w:hyperlink>
      <w:r>
        <w:t xml:space="preserve"> (page 650) shows how to use the kernel crash dump utility</w:t>
      </w:r>
    </w:p>
    <w:p>
      <w:pPr>
        <w:pStyle w:val="Para 05"/>
      </w:pPr>
      <w:r>
        <w:rPr>
          <w:rStyle w:val="Text5"/>
        </w:rPr>
        <w:t>655</w:t>
      </w:r>
      <w:r>
        <w:rPr>
          <w:rStyle w:val="Text8"/>
        </w:rPr>
        <w:t xml:space="preserve"> </w:t>
      </w:r>
      <w:r>
        <w:t>https://munin-monitoring.org/</w:t>
      </w:r>
    </w:p>
    <w:p>
      <w:pPr>
        <w:pStyle w:val="Para 05"/>
      </w:pPr>
      <w:r>
        <w:rPr>
          <w:rStyle w:val="Text5"/>
        </w:rPr>
        <w:t>656</w:t>
      </w:r>
      <w:r>
        <w:rPr>
          <w:rStyle w:val="Text8"/>
        </w:rPr>
        <w:t xml:space="preserve"> </w:t>
      </w:r>
      <w:r>
        <w:t>https://www.nagios.org/</w:t>
      </w:r>
    </w:p>
    <w:p>
      <w:pPr>
        <w:pStyle w:val="Para 05"/>
      </w:pPr>
      <w:r>
        <w:rPr>
          <w:rStyle w:val="Text5"/>
        </w:rPr>
        <w:t>657</w:t>
      </w:r>
      <w:r>
        <w:rPr>
          <w:rStyle w:val="Text8"/>
        </w:rPr>
        <w:t xml:space="preserve"> </w:t>
      </w:r>
      <w:r>
        <w:t>https://munin.readthedocs.io/en/latest/</w:t>
      </w:r>
    </w:p>
    <w:p>
      <w:pPr>
        <w:pStyle w:val="Para 05"/>
      </w:pPr>
      <w:r>
        <w:rPr>
          <w:rStyle w:val="Text5"/>
        </w:rPr>
        <w:t>658</w:t>
      </w:r>
      <w:r>
        <w:rPr>
          <w:rStyle w:val="Text8"/>
        </w:rPr>
        <w:t xml:space="preserve"> </w:t>
      </w:r>
      <w:r>
        <w:t>https://www.nagios.org/documentation/</w:t>
      </w:r>
    </w:p>
    <w:p>
      <w:pPr>
        <w:pStyle w:val="Para 05"/>
      </w:pPr>
      <w:r>
        <w:rPr>
          <w:rStyle w:val="Text5"/>
        </w:rPr>
        <w:t>659</w:t>
      </w:r>
      <w:r>
        <w:rPr>
          <w:rStyle w:val="Text8"/>
        </w:rPr>
        <w:t xml:space="preserve"> </w:t>
      </w:r>
      <w:r>
        <w:t>https://www.nagios.org/about/propaganda/books-2/</w:t>
      </w:r>
    </w:p>
    <w:p>
      <w:pPr>
        <w:pStyle w:val="Para 05"/>
      </w:pPr>
      <w:r>
        <w:rPr>
          <w:rStyle w:val="Text5"/>
        </w:rPr>
        <w:t>660</w:t>
      </w:r>
      <w:r>
        <w:rPr>
          <w:rStyle w:val="Text8"/>
        </w:rPr>
        <w:t xml:space="preserve"> </w:t>
      </w:r>
      <w:r>
        <w:t>https://help.ubuntu.com/community/Nagios3</w:t>
      </w:r>
    </w:p>
    <w:p>
      <w:bookmarkStart w:id="986" w:name="calibre_pb_170"/>
      <w:pPr>
        <w:pStyle w:val="0 Block"/>
      </w:pPr>
      <w:bookmarkEnd w:id="986"/>
    </w:p>
    <w:p>
      <w:bookmarkStart w:id="987" w:name="page_646"/>
      <w:bookmarkStart w:id="988" w:name="Top_of_index_split_17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8" name="index-646_1.png" descr="index-646_1.png"/>
            <wp:cNvGraphicFramePr>
              <a:graphicFrameLocks noChangeAspect="1"/>
            </wp:cNvGraphicFramePr>
            <a:graphic>
              <a:graphicData uri="http://schemas.openxmlformats.org/drawingml/2006/picture">
                <pic:pic>
                  <pic:nvPicPr>
                    <pic:cNvPr id="0" name="index-646_1.png" descr="index-646_1.png"/>
                    <pic:cNvPicPr/>
                  </pic:nvPicPr>
                  <pic:blipFill>
                    <a:blip r:embed="rId682"/>
                    <a:stretch>
                      <a:fillRect/>
                    </a:stretch>
                  </pic:blipFill>
                  <pic:spPr>
                    <a:xfrm>
                      <a:off x="0" y="0"/>
                      <a:ext cx="914400" cy="266700"/>
                    </a:xfrm>
                    <a:prstGeom prst="rect">
                      <a:avLst/>
                    </a:prstGeom>
                  </pic:spPr>
                </pic:pic>
              </a:graphicData>
            </a:graphic>
          </wp:anchor>
        </w:drawing>
      </w:r>
      <w:bookmarkEnd w:id="987"/>
      <w:bookmarkEnd w:id="988"/>
    </w:p>
    <w:p>
      <w:pPr>
        <w:pStyle w:val="Para 01"/>
      </w:pPr>
      <w:r>
        <w:t>About debuginfod</w:t>
      </w:r>
    </w:p>
    <w:p>
      <w:pPr>
        <w:pStyle w:val="Para 17"/>
      </w:pPr>
      <w:r>
        <w:t/>
      </w:r>
    </w:p>
    <w:p>
      <w:pPr>
        <w:pStyle w:val="Normal"/>
      </w:pPr>
      <w:hyperlink r:id="rId1574">
        <w:r>
          <w:rPr>
            <w:rStyle w:val="Text1"/>
          </w:rPr>
          <w:t>debuginfod</w:t>
        </w:r>
      </w:hyperlink>
      <w:hyperlink r:id="rId1574">
        <w:r>
          <w:rPr>
            <w:rStyle w:val="Text9"/>
          </w:rPr>
          <w:t>661</w:t>
        </w:r>
      </w:hyperlink>
      <w:r>
        <w:t xml:space="preserve"> is a service for software developers. It helps with diagnosing issues in software and centralises the storage of debug symbols, source code, etc.</w:t>
      </w:r>
    </w:p>
    <w:p>
      <w:pPr>
        <w:pStyle w:val="Normal"/>
      </w:pPr>
      <w:r>
        <w:t>One of the main advantages to debuginfod is that debugging information can be retrieved on-</w:t>
      </w:r>
    </w:p>
    <w:p>
      <w:pPr>
        <w:pStyle w:val="Normal"/>
      </w:pPr>
      <w:r>
        <w:t xml:space="preserve">demand for packages shipped with Ubuntu without the need to </w:t>
      </w:r>
      <w:hyperlink w:anchor="page_648">
        <w:r>
          <w:rPr>
            <w:rStyle w:val="Text2"/>
          </w:rPr>
          <w:t>manually install</w:t>
        </w:r>
      </w:hyperlink>
      <w:r>
        <w:t xml:space="preserve"> (page 647) the debug symbol packages.</w:t>
      </w:r>
    </w:p>
    <w:p>
      <w:pPr>
        <w:pStyle w:val="Normal"/>
      </w:pPr>
      <w:r>
        <w:t>Ubuntu maintains its own debuginfod service, which regularly indexes the debug symbols present in ddebs and other packages and serves this information over HTTPS.</w:t>
      </w:r>
    </w:p>
    <w:p>
      <w:pPr>
        <w:pStyle w:val="Normal"/>
      </w:pPr>
      <w:r>
        <w:t>Currently, the service only provides DWARF information. There are plans for it to also index and serve source-code in the future.</w:t>
      </w:r>
    </w:p>
    <w:p>
      <w:pPr>
        <w:pStyle w:val="Para 17"/>
      </w:pPr>
      <w:r>
        <w:t/>
      </w:r>
    </w:p>
    <w:p>
      <w:pPr>
        <w:pStyle w:val="Para 01"/>
      </w:pPr>
      <w:r>
        <w:t>Using the service</w:t>
      </w:r>
    </w:p>
    <w:p>
      <w:pPr>
        <w:pStyle w:val="Para 17"/>
      </w:pPr>
      <w:r>
        <w:t/>
      </w:r>
    </w:p>
    <w:p>
      <w:pPr>
        <w:pStyle w:val="Normal"/>
      </w:pPr>
      <w:r>
        <w:t xml:space="preserve">debuginfod </w:t>
      </w:r>
      <w:hyperlink w:anchor="page_646">
        <w:r>
          <w:rPr>
            <w:rStyle w:val="Text9"/>
          </w:rPr>
          <w:t>662</w:t>
        </w:r>
      </w:hyperlink>
      <w:r>
        <w:t xml:space="preserve"> is indexing ddebs packages from all </w:t>
      </w:r>
      <w:hyperlink r:id="rId1044">
        <w:r>
          <w:rPr>
            <w:rStyle w:val="Text1"/>
          </w:rPr>
          <w:t>supported Ubuntu releases</w:t>
        </w:r>
      </w:hyperlink>
      <w:r>
        <w:t>. Once a release goes unsupported, we stop indexing ddebs from it and eventually stop serving debug symbols for its packages.</w:t>
      </w:r>
    </w:p>
    <w:p>
      <w:pPr>
        <w:pStyle w:val="Normal"/>
      </w:pPr>
      <w:r>
        <w:t xml:space="preserve">From Kinetic onward, when you install </w:t>
      </w:r>
      <w:hyperlink r:id="rId1575">
        <w:r>
          <w:rPr>
            <w:rStyle w:val="Text9"/>
          </w:rPr>
          <w:t>663</w:t>
        </w:r>
      </w:hyperlink>
      <w:hyperlink r:id="rId1575">
        <w:r>
          <w:rPr>
            <w:rStyle w:val="Text1"/>
          </w:rPr>
          <w:t xml:space="preserve"> GNU Debugger (GDB)</w:t>
        </w:r>
      </w:hyperlink>
      <w:r>
        <w:t xml:space="preserve"> your system will be auto-matically configured to use Ubuntu’s debuginfod service. For previous Ubuntu releases, you can manually enable the service by setting the DEBUGINFOD_URLS environment variable in your shell. If you use Bash, you can do that by adding the following snippet to your ~/.bashrc:</w:t>
      </w:r>
    </w:p>
    <w:p>
      <w:pPr>
        <w:pStyle w:val="Normal"/>
      </w:pPr>
      <w:r>
        <w:t>export DEBUGINFOD_URLS="https://debuginfod.ubuntu.com"</w:t>
      </w:r>
    </w:p>
    <w:p>
      <w:pPr>
        <w:pStyle w:val="Para 17"/>
      </w:pPr>
      <w:r>
        <w:t/>
      </w:r>
    </w:p>
    <w:p>
      <w:pPr>
        <w:pStyle w:val="Normal"/>
      </w:pPr>
      <w:r>
        <w:t xml:space="preserve">When you run </w:t>
      </w:r>
      <w:hyperlink w:anchor="page_684">
        <w:r>
          <w:rPr>
            <w:rStyle w:val="Text2"/>
          </w:rPr>
          <w:t>GDB</w:t>
        </w:r>
      </w:hyperlink>
      <w:r>
        <w:t>, and if you have the DEBUGINFOD_URLS variable in your environment, you will be asked whether you would like to use the service. If you want to make sure that GDB always uses debuginfod, you can put the following snippet inside your ~/.gdbinit file:</w:t>
      </w:r>
    </w:p>
    <w:p>
      <w:pPr>
        <w:pStyle w:val="Normal"/>
      </w:pPr>
      <w:r>
        <w:t>set debuginfod enabled on</w:t>
      </w:r>
    </w:p>
    <w:p>
      <w:pPr>
        <w:pStyle w:val="Para 17"/>
      </w:pPr>
      <w:r>
        <w:t/>
      </w:r>
    </w:p>
    <w:p>
      <w:pPr>
        <w:pStyle w:val="Normal"/>
      </w:pPr>
      <w:r>
        <w:t>The debug symbol files will be downloaded on-the-fly during your debugging session, and will be saved locally inside the $XDG_CACHE_HOME/.debuginfod_client/ directory. If $XDG_CACHE_ HOME is empty, then ~/.cache/debuginfod_client is used instead.</w:t>
      </w:r>
    </w:p>
    <w:p>
      <w:pPr>
        <w:pStyle w:val="Normal"/>
      </w:pPr>
      <w:r>
        <w:t>You can safely remove this directory or any files inside it; they will only be downloaded again if and when they are needed.</w:t>
      </w:r>
    </w:p>
    <w:p>
      <w:pPr>
        <w:pStyle w:val="Para 05"/>
      </w:pPr>
      <w:r>
        <w:rPr>
          <w:rStyle w:val="Text5"/>
        </w:rPr>
        <w:t>661</w:t>
      </w:r>
      <w:r>
        <w:rPr>
          <w:rStyle w:val="Text8"/>
        </w:rPr>
        <w:t xml:space="preserve"> </w:t>
      </w:r>
      <w:r>
        <w:t>https://sourceware.org/elfutils/Debuginfod.html</w:t>
      </w:r>
    </w:p>
    <w:p>
      <w:pPr>
        <w:pStyle w:val="Para 05"/>
      </w:pPr>
      <w:r>
        <w:rPr>
          <w:rStyle w:val="Text5"/>
        </w:rPr>
        <w:t>662</w:t>
      </w:r>
      <w:r>
        <w:rPr>
          <w:rStyle w:val="Text8"/>
        </w:rPr>
        <w:t xml:space="preserve"> </w:t>
      </w:r>
      <w:r>
        <w:t>https://releases.ubuntu.com/</w:t>
      </w:r>
    </w:p>
    <w:p>
      <w:pPr>
        <w:pStyle w:val="Para 05"/>
      </w:pPr>
      <w:r>
        <w:rPr>
          <w:rStyle w:val="Text5"/>
        </w:rPr>
        <w:t>663</w:t>
      </w:r>
      <w:r>
        <w:rPr>
          <w:rStyle w:val="Text8"/>
        </w:rPr>
        <w:t xml:space="preserve"> </w:t>
      </w:r>
      <w:r>
        <w:t>https://www.sourceware.org/gdb/</w:t>
      </w:r>
    </w:p>
    <w:p>
      <w:bookmarkStart w:id="989" w:name="calibre_pb_171"/>
      <w:pPr>
        <w:pStyle w:val="0 Block"/>
      </w:pPr>
      <w:bookmarkEnd w:id="989"/>
    </w:p>
    <w:p>
      <w:bookmarkStart w:id="990" w:name="Top_of_index_split_172_html"/>
      <w:bookmarkStart w:id="991" w:name="page_64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79" name="index-647_1.png" descr="index-647_1.png"/>
            <wp:cNvGraphicFramePr>
              <a:graphicFrameLocks noChangeAspect="1"/>
            </wp:cNvGraphicFramePr>
            <a:graphic>
              <a:graphicData uri="http://schemas.openxmlformats.org/drawingml/2006/picture">
                <pic:pic>
                  <pic:nvPicPr>
                    <pic:cNvPr id="0" name="index-647_1.png" descr="index-647_1.png"/>
                    <pic:cNvPicPr/>
                  </pic:nvPicPr>
                  <pic:blipFill>
                    <a:blip r:embed="rId683"/>
                    <a:stretch>
                      <a:fillRect/>
                    </a:stretch>
                  </pic:blipFill>
                  <pic:spPr>
                    <a:xfrm>
                      <a:off x="0" y="0"/>
                      <a:ext cx="914400" cy="266700"/>
                    </a:xfrm>
                    <a:prstGeom prst="rect">
                      <a:avLst/>
                    </a:prstGeom>
                  </pic:spPr>
                </pic:pic>
              </a:graphicData>
            </a:graphic>
          </wp:anchor>
        </w:drawing>
      </w:r>
      <w:bookmarkEnd w:id="990"/>
      <w:bookmarkEnd w:id="991"/>
    </w:p>
    <w:p>
      <w:pPr>
        <w:pStyle w:val="Para 01"/>
      </w:pPr>
      <w:r>
        <w:t>Example session with GDB</w:t>
      </w:r>
    </w:p>
    <w:p>
      <w:pPr>
        <w:pStyle w:val="Para 17"/>
      </w:pPr>
      <w:r>
        <w:t/>
      </w:r>
    </w:p>
    <w:p>
      <w:pPr>
        <w:pStyle w:val="Normal"/>
      </w:pPr>
      <w:r>
        <w:t>If you have enabled use of debuginfod on your system, here is what happens when you invoke GDB to debug a binary from an Ubuntu package:</w:t>
      </w:r>
    </w:p>
    <w:p>
      <w:pPr>
        <w:pStyle w:val="Normal"/>
      </w:pPr>
      <w:r>
        <w:t>$ gdb -q program</w:t>
      </w:r>
    </w:p>
    <w:p>
      <w:pPr>
        <w:pStyle w:val="Normal"/>
      </w:pPr>
      <w:r>
        <w:t>Reading symbols from program...</w:t>
      </w:r>
    </w:p>
    <w:p>
      <w:pPr>
        <w:pStyle w:val="Normal"/>
      </w:pPr>
      <w:r>
        <w:t>This GDB supports auto-downloading debuginfo from the following URLs:</w:t>
        <w:t xml:space="preserve"> </w:t>
        <w:t>https://debuginfod.ubuntu.com</w:t>
      </w:r>
    </w:p>
    <w:p>
      <w:pPr>
        <w:pStyle w:val="Normal"/>
      </w:pPr>
      <w:r>
        <w:t>Enable debuginfod</w:t>
        <w:t xml:space="preserve"> </w:t>
      </w:r>
      <w:r>
        <w:rPr>
          <w:rStyle w:val="Text0"/>
        </w:rPr>
        <w:t>for</w:t>
      </w:r>
      <w:r>
        <w:t xml:space="preserve"> </w:t>
        <w:t>this session?</w:t>
        <w:t xml:space="preserve"> </w:t>
        <w:t>(</w:t>
        <w:t>y or</w:t>
        <w:t xml:space="preserve"> </w:t>
        <w:t>[</w:t>
        <w:t>n</w:t>
        <w:t>])</w:t>
      </w:r>
    </w:p>
    <w:p>
      <w:pPr>
        <w:pStyle w:val="Para 17"/>
      </w:pPr>
      <w:r>
        <w:t/>
      </w:r>
    </w:p>
    <w:p>
      <w:pPr>
        <w:pStyle w:val="Normal"/>
      </w:pPr>
      <w:r>
        <w:t>When you answer y to the question above, GDB will download the debug symbols for program:</w:t>
      </w:r>
    </w:p>
    <w:p>
      <w:pPr>
        <w:pStyle w:val="Normal"/>
      </w:pPr>
      <w:r>
        <w:t>Enable debuginfod for this session? (y or [n]) y</w:t>
      </w:r>
    </w:p>
    <w:p>
      <w:pPr>
        <w:pStyle w:val="Normal"/>
      </w:pPr>
      <w:r>
        <w:t>Debuginfod has been enabled.</w:t>
      </w:r>
    </w:p>
    <w:p>
      <w:pPr>
        <w:pStyle w:val="Normal"/>
      </w:pPr>
      <w:r>
        <w:t>To make this setting permanent, add 'set debuginfod enabled on' to .gdbinit.</w:t>
        <w:t xml:space="preserve"> </w:t>
        <w:t>Downloading 0.20 MB separate debug info for /home/ubuntu/program</w:t>
        <w:t xml:space="preserve"> </w:t>
        <w:t>Reading symbols from /home/ubuntu/.cache/debuginfod_client/</w:t>
        <w:t xml:space="preserve"> </w:t>
        <w:t>c0fbda15a807f880e9d0b2dcc635eeeb1f0f728e/debuginfo...</w:t>
      </w:r>
    </w:p>
    <w:p>
      <w:pPr>
        <w:pStyle w:val="Normal"/>
      </w:pPr>
      <w:r>
        <w:t>(gdb)</w:t>
      </w:r>
    </w:p>
    <w:p>
      <w:pPr>
        <w:pStyle w:val="Para 17"/>
      </w:pPr>
      <w:r>
        <w:t/>
      </w:r>
    </w:p>
    <w:p>
      <w:pPr>
        <w:pStyle w:val="Para 01"/>
      </w:pPr>
      <w:r>
        <w:t>Opting out of the service</w:t>
      </w:r>
    </w:p>
    <w:p>
      <w:pPr>
        <w:pStyle w:val="Para 17"/>
      </w:pPr>
      <w:r>
        <w:t/>
      </w:r>
    </w:p>
    <w:p>
      <w:pPr>
        <w:pStyle w:val="Normal"/>
      </w:pPr>
      <w:r>
        <w:t>If, for some reason, you prefer not to use the service, you can opt-out of it by un-setting the DEBUGINFOD_URLS environment variable. This can be done by putting the following snippet inside your shell’s configuration file:</w:t>
      </w:r>
    </w:p>
    <w:p>
      <w:pPr>
        <w:pStyle w:val="Normal"/>
      </w:pPr>
      <w:r>
        <w:t>unset DEBUGINFOD_URLS</w:t>
      </w:r>
    </w:p>
    <w:p>
      <w:pPr>
        <w:pStyle w:val="Para 17"/>
      </w:pPr>
      <w:r>
        <w:t/>
      </w:r>
    </w:p>
    <w:p>
      <w:pPr>
        <w:pStyle w:val="Normal"/>
      </w:pPr>
      <w:r>
        <w:t>You can also disable GDB’s willingness to use debuginfod by putting the following snippet inside your ~/.gdbinit:</w:t>
      </w:r>
    </w:p>
    <w:p>
      <w:pPr>
        <w:pStyle w:val="Normal"/>
      </w:pPr>
      <w:r>
        <w:t>set debuginfod enabled off</w:t>
      </w:r>
    </w:p>
    <w:p>
      <w:pPr>
        <w:pStyle w:val="Para 17"/>
      </w:pPr>
      <w:r>
        <w:t/>
      </w:r>
    </w:p>
    <w:p>
      <w:pPr>
        <w:pStyle w:val="Para 01"/>
      </w:pPr>
      <w:r>
        <w:t>How does debuginfod find the debug symbols for the binary I am debugging?</w:t>
      </w:r>
    </w:p>
    <w:p>
      <w:pPr>
        <w:pStyle w:val="Para 17"/>
      </w:pPr>
      <w:r>
        <w:t/>
      </w:r>
    </w:p>
    <w:p>
      <w:pPr>
        <w:pStyle w:val="Normal"/>
      </w:pPr>
      <w:r>
        <w:t xml:space="preserve">debuginfod relies on a unique hash that identifies binaries and shared libraries called </w:t>
      </w:r>
      <w:r>
        <w:rPr>
          <w:rStyle w:val="Text0"/>
        </w:rPr>
        <w:t>Build-ID</w:t>
      </w:r>
      <w:r>
        <w:t>. This 160-bit SHA-1 hash is generated by the compiler, and can be consulted using tools like readelf:</w:t>
      </w:r>
    </w:p>
    <w:p>
      <w:pPr>
        <w:pStyle w:val="Normal"/>
      </w:pPr>
      <w:r>
        <w:t>$ readelf -n /usr/bin/bash</w:t>
      </w:r>
    </w:p>
    <w:p>
      <w:pPr>
        <w:pStyle w:val="Normal"/>
      </w:pPr>
      <w:r>
        <w:t>Displaying notes found in: .note.gnu.property</w:t>
      </w:r>
    </w:p>
    <w:p>
      <w:pPr>
        <w:pStyle w:val="Para 03"/>
      </w:pPr>
      <w:r>
        <w:t>Owner</w:t>
        <w:t xml:space="preserve"> </w:t>
        <w:t>Data size</w:t>
        <w:t xml:space="preserve"> </w:t>
        <w:t>Description</w:t>
      </w:r>
    </w:p>
    <w:p>
      <w:pPr>
        <w:pStyle w:val="Para 03"/>
      </w:pPr>
      <w:r>
        <w:t>GNU</w:t>
        <w:t xml:space="preserve"> </w:t>
        <w:t>0x00000020</w:t>
        <w:t xml:space="preserve"> </w:t>
        <w:t>NT_GNU_PROPERTY_TYPE_0</w:t>
      </w:r>
    </w:p>
    <w:p>
      <w:pPr>
        <w:pStyle w:val="Para 06"/>
      </w:pPr>
      <w:r>
        <w:t>Properties: x86 feature: IBT, SHSTK</w:t>
      </w:r>
    </w:p>
    <w:p>
      <w:pPr>
        <w:pStyle w:val="Para 06"/>
      </w:pPr>
      <w:r>
        <w:t>x86 ISA needed: x86-64-baseline</w:t>
      </w:r>
    </w:p>
    <w:p>
      <w:pPr>
        <w:pStyle w:val="Normal"/>
      </w:pPr>
      <w:r>
        <w:t>Displaying notes found in: .note.gnu.build-id</w:t>
      </w:r>
    </w:p>
    <w:p>
      <w:pPr>
        <w:pStyle w:val="Para 03"/>
      </w:pPr>
      <w:r>
        <w:t>Owner</w:t>
        <w:t xml:space="preserve"> </w:t>
        <w:t>Data size</w:t>
        <w:t xml:space="preserve"> </w:t>
        <w:t>Description</w:t>
      </w:r>
    </w:p>
    <w:p>
      <w:pPr>
        <w:pStyle w:val="Para 03"/>
      </w:pPr>
      <w:r>
        <w:t>GNU</w:t>
        <w:t xml:space="preserve"> </w:t>
        <w:t>0x00000014</w:t>
        <w:t xml:space="preserve"> </w:t>
        <w:t>NT_GNU_BUILD_ID (unique build ID bitstring)</w:t>
      </w:r>
    </w:p>
    <w:p>
      <w:pPr>
        <w:pStyle w:val="Para 09"/>
      </w:pPr>
      <w:r>
        <w:t>(continues on next page)</w:t>
      </w:r>
    </w:p>
    <w:p>
      <w:bookmarkStart w:id="992" w:name="page_6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0" name="index-648_1.png" descr="index-648_1.png"/>
            <wp:cNvGraphicFramePr>
              <a:graphicFrameLocks noChangeAspect="1"/>
            </wp:cNvGraphicFramePr>
            <a:graphic>
              <a:graphicData uri="http://schemas.openxmlformats.org/drawingml/2006/picture">
                <pic:pic>
                  <pic:nvPicPr>
                    <pic:cNvPr id="0" name="index-648_1.png" descr="index-648_1.png"/>
                    <pic:cNvPicPr/>
                  </pic:nvPicPr>
                  <pic:blipFill>
                    <a:blip r:embed="rId684"/>
                    <a:stretch>
                      <a:fillRect/>
                    </a:stretch>
                  </pic:blipFill>
                  <pic:spPr>
                    <a:xfrm>
                      <a:off x="0" y="0"/>
                      <a:ext cx="914400" cy="266700"/>
                    </a:xfrm>
                    <a:prstGeom prst="rect">
                      <a:avLst/>
                    </a:prstGeom>
                  </pic:spPr>
                </pic:pic>
              </a:graphicData>
            </a:graphic>
          </wp:anchor>
        </w:drawing>
      </w:r>
      <w:bookmarkEnd w:id="992"/>
    </w:p>
    <w:p>
      <w:pPr>
        <w:pStyle w:val="Para 09"/>
      </w:pPr>
      <w:r>
        <w:t>(continued from previous page)</w:t>
      </w:r>
    </w:p>
    <w:p>
      <w:pPr>
        <w:pStyle w:val="Para 02"/>
      </w:pPr>
      <w:r>
        <w:t>Build ID: 3e770d2cd0302c6ff2a184e8d2bf4ec98cfcded4</w:t>
      </w:r>
    </w:p>
    <w:p>
      <w:pPr>
        <w:pStyle w:val="Normal"/>
      </w:pPr>
      <w:r>
        <w:t>Displaying notes found in: .note.ABI-tag</w:t>
      </w:r>
    </w:p>
    <w:p>
      <w:pPr>
        <w:pStyle w:val="Para 03"/>
      </w:pPr>
      <w:r>
        <w:t>Owner</w:t>
        <w:t xml:space="preserve"> </w:t>
        <w:t>Data size</w:t>
        <w:t xml:space="preserve"> </w:t>
        <w:t>Description</w:t>
      </w:r>
    </w:p>
    <w:p>
      <w:pPr>
        <w:pStyle w:val="Para 03"/>
      </w:pPr>
      <w:r>
        <w:t>GNU</w:t>
        <w:t xml:space="preserve"> </w:t>
        <w:t>0x00000010</w:t>
        <w:t xml:space="preserve"> </w:t>
        <w:t>NT_GNU_ABI_TAG (ABI version tag)</w:t>
      </w:r>
    </w:p>
    <w:p>
      <w:pPr>
        <w:pStyle w:val="Para 02"/>
      </w:pPr>
      <w:r>
        <w:t>OS: Linux, ABI: 3.2.0</w:t>
      </w:r>
    </w:p>
    <w:p>
      <w:pPr>
        <w:pStyle w:val="Para 17"/>
      </w:pPr>
      <w:r>
        <w:t/>
      </w:r>
    </w:p>
    <w:p>
      <w:pPr>
        <w:pStyle w:val="Normal"/>
      </w:pPr>
      <w:r>
        <w:t>When you are debugging a program, GDB will send the program’s Build-ID to the debuginfod server, which will check if it has the corresponding debug information for that binary/library. If it does, then it will send the debug symbols via HTTPS back to GDB.</w:t>
      </w:r>
    </w:p>
    <w:p>
      <w:pPr>
        <w:pStyle w:val="Para 17"/>
      </w:pPr>
      <w:r>
        <w:t/>
      </w:r>
    </w:p>
    <w:p>
      <w:pPr>
        <w:pStyle w:val="Para 01"/>
      </w:pPr>
      <w:r>
        <w:t>Can ddeb packages co-exist with debuginfod?</w:t>
      </w:r>
    </w:p>
    <w:p>
      <w:pPr>
        <w:pStyle w:val="Para 17"/>
      </w:pPr>
      <w:r>
        <w:t/>
      </w:r>
    </w:p>
    <w:p>
      <w:pPr>
        <w:pStyle w:val="Normal"/>
      </w:pPr>
      <w:r>
        <w:t>Yes. GDB will try to use local debug information if available. That means that if you have a ddeb package installed that provides the necessary debug symbols for the program being debugged (or if you have already downloaded that information from the debuginfod service earlier), then GDB will use it in favor of performing the download.</w:t>
      </w:r>
    </w:p>
    <w:p>
      <w:pPr>
        <w:pStyle w:val="Para 17"/>
      </w:pPr>
      <w:r>
        <w:t/>
      </w:r>
    </w:p>
    <w:p>
      <w:pPr>
        <w:pStyle w:val="Para 01"/>
      </w:pPr>
      <w:r>
        <w:t>Can I use debuginfod with my own binary that links against system libraries?</w:t>
      </w:r>
    </w:p>
    <w:p>
      <w:pPr>
        <w:pStyle w:val="Para 17"/>
      </w:pPr>
      <w:r>
        <w:t/>
      </w:r>
    </w:p>
    <w:p>
      <w:pPr>
        <w:pStyle w:val="Normal"/>
      </w:pPr>
      <w:r>
        <w:t>Yes! debuginfod will not be able to provide any debug symbols for your own program, but it will happily serve debug information for any system libraries that your program links against.</w:t>
      </w:r>
    </w:p>
    <w:p>
      <w:pPr>
        <w:pStyle w:val="Para 17"/>
      </w:pPr>
      <w:r>
        <w:t/>
      </w:r>
    </w:p>
    <w:p>
      <w:pPr>
        <w:pStyle w:val="Para 01"/>
      </w:pPr>
      <w:r>
        <w:t>Debug symbol packages</w:t>
      </w:r>
    </w:p>
    <w:p>
      <w:pPr>
        <w:pStyle w:val="Para 17"/>
      </w:pPr>
      <w:r>
        <w:t/>
      </w:r>
    </w:p>
    <w:p>
      <w:pPr>
        <w:pStyle w:val="Normal"/>
      </w:pPr>
      <w:r>
        <w:t>If you want to debug a crash – whether in a project you are developing yourself or from a third-party package – or if you frequently need the debug symbols for specific libraries, it might be helpful to install them permanently on your system if you can’t use debuginfod.</w:t>
      </w:r>
    </w:p>
    <w:p>
      <w:pPr>
        <w:pStyle w:val="Normal"/>
      </w:pPr>
      <w:r>
        <w:t>This document describes how to set up the debugging symbol packages (*-dbg.deb and *-</w:t>
      </w:r>
    </w:p>
    <w:p>
      <w:pPr>
        <w:pStyle w:val="Normal"/>
      </w:pPr>
      <w:r>
        <w:t xml:space="preserve">dbgsym.ddeb </w:t>
      </w:r>
      <w:hyperlink r:id="rId1576">
        <w:r>
          <w:rPr>
            <w:rStyle w:val="Text9"/>
          </w:rPr>
          <w:t>664</w:t>
        </w:r>
      </w:hyperlink>
      <w:r>
        <w:t xml:space="preserve"> ). You might need to do this when you are performing tasks like a </w:t>
      </w:r>
      <w:hyperlink r:id="rId1576">
        <w:r>
          <w:rPr>
            <w:rStyle w:val="Text1"/>
          </w:rPr>
          <w:t>backtrace</w:t>
        </w:r>
      </w:hyperlink>
    </w:p>
    <w:p>
      <w:pPr>
        <w:pStyle w:val="Normal"/>
      </w:pPr>
      <w:r>
        <w:t xml:space="preserve">or using </w:t>
      </w:r>
      <w:hyperlink w:anchor="page_648">
        <w:r>
          <w:rPr>
            <w:rStyle w:val="Text9"/>
          </w:rPr>
          <w:t>665</w:t>
        </w:r>
      </w:hyperlink>
      <w:r>
        <w:t xml:space="preserve"> </w:t>
      </w:r>
      <w:hyperlink r:id="rId1577">
        <w:r>
          <w:rPr>
            <w:rStyle w:val="Text1"/>
          </w:rPr>
          <w:t>Valgrind</w:t>
        </w:r>
      </w:hyperlink>
      <w:r>
        <w:t>.</w:t>
      </w:r>
    </w:p>
    <w:p>
      <w:pPr>
        <w:pStyle w:val="Para 17"/>
      </w:pPr>
      <w:r>
        <w:t/>
      </w:r>
    </w:p>
    <w:p>
      <w:pPr>
        <w:pStyle w:val="Para 01"/>
      </w:pPr>
      <w:r>
        <w:t>Debuginfod</w:t>
      </w:r>
    </w:p>
    <w:p>
      <w:pPr>
        <w:pStyle w:val="Para 17"/>
      </w:pPr>
      <w:r>
        <w:t/>
      </w:r>
    </w:p>
    <w:p>
      <w:pPr>
        <w:pStyle w:val="Normal"/>
      </w:pPr>
      <w:r>
        <w:t>If you are on Ubuntu Jammy (22.04) or later, you don’t need to worry about installing de-</w:t>
      </w:r>
    </w:p>
    <w:p>
      <w:pPr>
        <w:pStyle w:val="Normal"/>
      </w:pPr>
      <w:r>
        <w:t xml:space="preserve">bug symbol packages since the Ubuntu project maintains a </w:t>
      </w:r>
      <w:hyperlink w:anchor="page_646">
        <w:r>
          <w:rPr>
            <w:rStyle w:val="Text2"/>
          </w:rPr>
          <w:t>Debuginfod</w:t>
        </w:r>
      </w:hyperlink>
      <w:r>
        <w:t xml:space="preserve"> (page 645) server.</w:t>
      </w:r>
    </w:p>
    <w:p>
      <w:pPr>
        <w:pStyle w:val="Normal"/>
      </w:pPr>
      <w:hyperlink r:id="rId1575">
        <w:r>
          <w:rPr>
            <w:rStyle w:val="Text1"/>
          </w:rPr>
          <w:t>GNU Debugger (GDB)</w:t>
        </w:r>
      </w:hyperlink>
      <w:hyperlink r:id="rId1575">
        <w:r>
          <w:rPr>
            <w:rStyle w:val="Text9"/>
          </w:rPr>
          <w:t>666</w:t>
        </w:r>
      </w:hyperlink>
      <w:r>
        <w:t xml:space="preserve"> and other debuginfo-consumer applications support Debuginfod</w:t>
      </w:r>
    </w:p>
    <w:p>
      <w:pPr>
        <w:pStyle w:val="Normal"/>
      </w:pPr>
      <w:r>
        <w:t xml:space="preserve">(mostly) out of the box. For more information about it, please refer </w:t>
      </w:r>
      <w:hyperlink w:anchor="page_646">
        <w:r>
          <w:rPr>
            <w:rStyle w:val="Text2"/>
          </w:rPr>
          <w:t>to our Debuginfod guide</w:t>
        </w:r>
      </w:hyperlink>
      <w:r>
        <w:t xml:space="preserve"> (page 645).</w:t>
      </w:r>
    </w:p>
    <w:p>
      <w:pPr>
        <w:pStyle w:val="Normal"/>
      </w:pPr>
      <w:r>
        <w:t>You will only need to follow the methods outlined in this section if you are on Ubuntu Focal (20.04) or earlier.</w:t>
      </w:r>
    </w:p>
    <w:p>
      <w:pPr>
        <w:pStyle w:val="Para 05"/>
      </w:pPr>
      <w:r>
        <w:rPr>
          <w:rStyle w:val="Text5"/>
        </w:rPr>
        <w:t>664</w:t>
      </w:r>
      <w:r>
        <w:rPr>
          <w:rStyle w:val="Text8"/>
        </w:rPr>
        <w:t xml:space="preserve"> </w:t>
      </w:r>
      <w:r>
        <w:t>https://wiki.ubuntu.com/Backtrace</w:t>
      </w:r>
    </w:p>
    <w:p>
      <w:pPr>
        <w:pStyle w:val="Para 05"/>
      </w:pPr>
      <w:r>
        <w:rPr>
          <w:rStyle w:val="Text5"/>
        </w:rPr>
        <w:t>665</w:t>
      </w:r>
      <w:r>
        <w:rPr>
          <w:rStyle w:val="Text8"/>
        </w:rPr>
        <w:t xml:space="preserve"> </w:t>
      </w:r>
      <w:r>
        <w:t>https://wiki.ubuntu.com/Valgrind</w:t>
      </w:r>
    </w:p>
    <w:p>
      <w:pPr>
        <w:pStyle w:val="Para 05"/>
      </w:pPr>
      <w:r>
        <w:rPr>
          <w:rStyle w:val="Text5"/>
        </w:rPr>
        <w:t>666</w:t>
      </w:r>
      <w:r>
        <w:rPr>
          <w:rStyle w:val="Text8"/>
        </w:rPr>
        <w:t xml:space="preserve"> </w:t>
      </w:r>
      <w:r>
        <w:t>https://www.sourceware.org/gdb/</w:t>
      </w:r>
    </w:p>
    <w:p>
      <w:bookmarkStart w:id="993" w:name="page_6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1" name="index-649_1.png" descr="index-649_1.png"/>
            <wp:cNvGraphicFramePr>
              <a:graphicFrameLocks noChangeAspect="1"/>
            </wp:cNvGraphicFramePr>
            <a:graphic>
              <a:graphicData uri="http://schemas.openxmlformats.org/drawingml/2006/picture">
                <pic:pic>
                  <pic:nvPicPr>
                    <pic:cNvPr id="0" name="index-649_1.png" descr="index-649_1.png"/>
                    <pic:cNvPicPr/>
                  </pic:nvPicPr>
                  <pic:blipFill>
                    <a:blip r:embed="rId685"/>
                    <a:stretch>
                      <a:fillRect/>
                    </a:stretch>
                  </pic:blipFill>
                  <pic:spPr>
                    <a:xfrm>
                      <a:off x="0" y="0"/>
                      <a:ext cx="914400" cy="266700"/>
                    </a:xfrm>
                    <a:prstGeom prst="rect">
                      <a:avLst/>
                    </a:prstGeom>
                  </pic:spPr>
                </pic:pic>
              </a:graphicData>
            </a:graphic>
          </wp:anchor>
        </w:drawing>
      </w:r>
      <w:bookmarkEnd w:id="993"/>
    </w:p>
    <w:p>
      <w:pPr>
        <w:pStyle w:val="Para 01"/>
      </w:pPr>
      <w:r>
        <w:t>Getting-dbgsym.ddeb packages</w:t>
      </w:r>
    </w:p>
    <w:p>
      <w:pPr>
        <w:pStyle w:val="Para 17"/>
      </w:pPr>
      <w:r>
        <w:t/>
      </w:r>
    </w:p>
    <w:p>
      <w:pPr>
        <w:pStyle w:val="Normal"/>
      </w:pPr>
      <w:r>
        <w:t>If you are debugging without debuginfod, your first step will be to enable the ddebs.ubuntu. com repository as described in this section, which will provide access to the-dbgsym packages.</w:t>
      </w:r>
    </w:p>
    <w:p>
      <w:pPr>
        <w:pStyle w:val="Normal"/>
      </w:pPr>
      <w:r>
        <w:t>In the rare cases where the-dbgsym package is not available, you might need to install the-dbg package instead. The subsequent section (Manual install of debug packages) provides more information about this case.</w:t>
      </w:r>
    </w:p>
    <w:p>
      <w:pPr>
        <w:pStyle w:val="Para 17"/>
      </w:pPr>
      <w:r>
        <w:t/>
      </w:r>
    </w:p>
    <w:p>
      <w:pPr>
        <w:pStyle w:val="Para 01"/>
      </w:pPr>
      <w:r>
        <w:t>Import the signing key</w:t>
      </w:r>
    </w:p>
    <w:p>
      <w:pPr>
        <w:pStyle w:val="Para 17"/>
      </w:pPr>
      <w:r>
        <w:t/>
      </w:r>
    </w:p>
    <w:p>
      <w:pPr>
        <w:pStyle w:val="Normal"/>
      </w:pPr>
      <w:r>
        <w:t xml:space="preserve">Import the debug symbol archive </w:t>
      </w:r>
      <w:hyperlink r:id="rId1578">
        <w:r>
          <w:rPr>
            <w:rStyle w:val="Text9"/>
          </w:rPr>
          <w:t>667</w:t>
        </w:r>
      </w:hyperlink>
      <w:hyperlink r:id="rId1578">
        <w:r>
          <w:rPr>
            <w:rStyle w:val="Text1"/>
          </w:rPr>
          <w:t xml:space="preserve"> signing key</w:t>
        </w:r>
      </w:hyperlink>
      <w:r>
        <w:t xml:space="preserve"> from the Ubuntu server. On Ubuntu 18.04 LTS and newer, run the following command:</w:t>
      </w:r>
    </w:p>
    <w:p>
      <w:pPr>
        <w:pStyle w:val="Normal"/>
      </w:pPr>
      <w:r>
        <w:t>sudo apt install ubuntu-dbgsym-keyring</w:t>
      </w:r>
    </w:p>
    <w:p>
      <w:pPr>
        <w:pStyle w:val="Para 17"/>
      </w:pPr>
      <w:r>
        <w:t/>
      </w:r>
    </w:p>
    <w:p>
      <w:pPr>
        <w:pStyle w:val="Para 01"/>
      </w:pPr>
      <w:r>
        <w:t>Create a ddebs.list file</w:t>
      </w:r>
    </w:p>
    <w:p>
      <w:pPr>
        <w:pStyle w:val="Para 17"/>
      </w:pPr>
      <w:r>
        <w:t/>
      </w:r>
    </w:p>
    <w:p>
      <w:pPr>
        <w:pStyle w:val="Normal"/>
      </w:pPr>
      <w:r>
        <w:t>Create an /etc/apt/sources.list.d/ddebs.list by running the following line at a terminal:</w:t>
      </w:r>
    </w:p>
    <w:p>
      <w:pPr>
        <w:pStyle w:val="Normal"/>
      </w:pPr>
      <w:r>
        <w:t>echo</w:t>
        <w:t xml:space="preserve"> </w:t>
        <w:t>"Types: deb</w:t>
      </w:r>
    </w:p>
    <w:p>
      <w:pPr>
        <w:pStyle w:val="Normal"/>
      </w:pPr>
      <w:r>
        <w:t>URIs: http://ddebs.ubuntu.com/</w:t>
      </w:r>
    </w:p>
    <w:p>
      <w:pPr>
        <w:pStyle w:val="Normal"/>
      </w:pPr>
      <w:r>
        <w:t>Suites:</w:t>
        <w:t xml:space="preserve"> </w:t>
      </w:r>
      <w:r>
        <w:rPr>
          <w:rStyle w:val="Text0"/>
        </w:rPr>
        <w:t>$(</w:t>
      </w:r>
      <w:r>
        <w:t>lsb_release -cs</w:t>
      </w:r>
      <w:r>
        <w:rPr>
          <w:rStyle w:val="Text0"/>
        </w:rPr>
        <w:t>) $(</w:t>
      </w:r>
      <w:r>
        <w:t>lsb_release -cs</w:t>
      </w:r>
      <w:r>
        <w:rPr>
          <w:rStyle w:val="Text0"/>
        </w:rPr>
        <w:t>)</w:t>
      </w:r>
      <w:r>
        <w:t>-updates</w:t>
        <w:t xml:space="preserve"> </w:t>
      </w:r>
      <w:r>
        <w:rPr>
          <w:rStyle w:val="Text0"/>
        </w:rPr>
        <w:t>$(</w:t>
      </w:r>
      <w:r>
        <w:t>lsb_release -cs</w:t>
      </w:r>
      <w:r>
        <w:rPr>
          <w:rStyle w:val="Text0"/>
        </w:rPr>
        <w:t>)</w:t>
      </w:r>
      <w:r>
        <w:t>-proposed</w:t>
        <w:t xml:space="preserve"> </w:t>
        <w:t>Components: main restricted universe multiverse</w:t>
      </w:r>
    </w:p>
    <w:p>
      <w:pPr>
        <w:pStyle w:val="Normal"/>
      </w:pPr>
      <w:r>
        <w:t>Signed-by: /usr/share/keyrings/ubuntu-dbgsym-keyring.gpg"</w:t>
        <w:t xml:space="preserve"> </w:t>
        <w:t>|</w:t>
        <w:t xml:space="preserve"> </w:t>
      </w:r>
      <w:r>
        <w:rPr>
          <w:rStyle w:val="Text0"/>
        </w:rPr>
        <w:t>\</w:t>
      </w:r>
      <w:r>
        <w:t xml:space="preserve"> </w:t>
        <w:t>sudo tee -a /etc/apt/sources.list.d/ddebs.sources</w:t>
      </w:r>
    </w:p>
    <w:p>
      <w:pPr>
        <w:pStyle w:val="Para 17"/>
      </w:pPr>
      <w:r>
        <w:t/>
      </w:r>
    </w:p>
    <w:p>
      <w:pPr>
        <w:pStyle w:val="Normal"/>
      </w:pPr>
      <w:r>
        <w:t>You can also add these repositories in your software sources from the Ubuntu software cen-</w:t>
      </w:r>
    </w:p>
    <w:p>
      <w:pPr>
        <w:pStyle w:val="Normal"/>
      </w:pPr>
      <w:r>
        <w:t xml:space="preserve">ter or from Synaptic (refer to </w:t>
      </w:r>
      <w:hyperlink w:anchor="page_649">
        <w:r>
          <w:rPr>
            <w:rStyle w:val="Text9"/>
          </w:rPr>
          <w:t>668</w:t>
        </w:r>
      </w:hyperlink>
      <w:r>
        <w:t xml:space="preserve"> </w:t>
      </w:r>
      <w:hyperlink r:id="rId1270">
        <w:r>
          <w:rPr>
            <w:rStyle w:val="Text1"/>
          </w:rPr>
          <w:t>this article</w:t>
        </w:r>
      </w:hyperlink>
      <w:r>
        <w:t xml:space="preserve">, especially the section on </w:t>
      </w:r>
      <w:hyperlink r:id="rId1579">
        <w:r>
          <w:rPr>
            <w:rStyle w:val="Text1"/>
          </w:rPr>
          <w:t>adding other reposito-</w:t>
        </w:r>
      </w:hyperlink>
    </w:p>
    <w:p>
      <w:pPr>
        <w:pStyle w:val="Normal"/>
      </w:pPr>
      <w:hyperlink r:id="rId1579">
        <w:r>
          <w:rPr>
            <w:rStyle w:val="Text1"/>
          </w:rPr>
          <w:t>ries</w:t>
        </w:r>
      </w:hyperlink>
      <w:hyperlink r:id="rId1579">
        <w:r>
          <w:rPr>
            <w:rStyle w:val="Text9"/>
          </w:rPr>
          <w:t>669</w:t>
        </w:r>
      </w:hyperlink>
      <w:r>
        <w:t>). You will need to add lines like:</w:t>
      </w:r>
    </w:p>
    <w:p>
      <w:pPr>
        <w:pStyle w:val="Normal"/>
      </w:pPr>
      <w:r>
        <w:t>deb http://ddebs.ubuntu.com focal main restricted universe multiverse</w:t>
      </w:r>
    </w:p>
    <w:p>
      <w:pPr>
        <w:pStyle w:val="Para 17"/>
      </w:pPr>
      <w:r>
        <w:t/>
      </w:r>
    </w:p>
    <w:p>
      <w:pPr>
        <w:pStyle w:val="Para 08"/>
      </w:pPr>
      <w:r>
        <w:t>Note:</w:t>
      </w:r>
    </w:p>
    <w:p>
      <w:pPr>
        <w:pStyle w:val="Para 03"/>
      </w:pPr>
      <w:r>
        <w:t>Make sure you replace focal with the Ubuntu release name you’re using.</w:t>
      </w:r>
    </w:p>
    <w:p>
      <w:pPr>
        <w:pStyle w:val="Para 17"/>
      </w:pPr>
      <w:r>
        <w:t/>
      </w:r>
    </w:p>
    <w:p>
      <w:pPr>
        <w:pStyle w:val="Para 05"/>
      </w:pPr>
      <w:r>
        <w:rPr>
          <w:rStyle w:val="Text5"/>
        </w:rPr>
        <w:t>667</w:t>
      </w:r>
      <w:r>
        <w:rPr>
          <w:rStyle w:val="Text8"/>
        </w:rPr>
        <w:t xml:space="preserve"> </w:t>
      </w:r>
      <w:r>
        <w:t>https://help.ubuntu.com/community/Repositories/Ubuntu#Authentication_Tab</w:t>
      </w:r>
    </w:p>
    <w:p>
      <w:pPr>
        <w:pStyle w:val="Para 05"/>
      </w:pPr>
      <w:r>
        <w:rPr>
          <w:rStyle w:val="Text5"/>
        </w:rPr>
        <w:t>668</w:t>
      </w:r>
      <w:r>
        <w:rPr>
          <w:rStyle w:val="Text8"/>
        </w:rPr>
        <w:t xml:space="preserve"> </w:t>
      </w:r>
      <w:r>
        <w:t>https://help.ubuntu.com/community/Repositories/Ubuntu</w:t>
      </w:r>
    </w:p>
    <w:p>
      <w:pPr>
        <w:pStyle w:val="Para 05"/>
      </w:pPr>
      <w:r>
        <w:rPr>
          <w:rStyle w:val="Text5"/>
        </w:rPr>
        <w:t>669</w:t>
      </w:r>
      <w:r>
        <w:rPr>
          <w:rStyle w:val="Text8"/>
        </w:rPr>
        <w:t xml:space="preserve"> </w:t>
      </w:r>
      <w:r>
        <w:t>https://help.ubuntu.com/community/Repositories/Ubuntu#Adding_Other_Repositories</w:t>
      </w:r>
    </w:p>
    <w:p>
      <w:bookmarkStart w:id="994" w:name="calibre_pb_172"/>
      <w:pPr>
        <w:pStyle w:val="0 Block"/>
      </w:pPr>
      <w:bookmarkEnd w:id="994"/>
    </w:p>
    <w:p>
      <w:bookmarkStart w:id="995" w:name="page_650"/>
      <w:bookmarkStart w:id="996" w:name="Top_of_index_split_17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2" name="index-650_1.png" descr="index-650_1.png"/>
            <wp:cNvGraphicFramePr>
              <a:graphicFrameLocks noChangeAspect="1"/>
            </wp:cNvGraphicFramePr>
            <a:graphic>
              <a:graphicData uri="http://schemas.openxmlformats.org/drawingml/2006/picture">
                <pic:pic>
                  <pic:nvPicPr>
                    <pic:cNvPr id="0" name="index-650_1.png" descr="index-650_1.png"/>
                    <pic:cNvPicPr/>
                  </pic:nvPicPr>
                  <pic:blipFill>
                    <a:blip r:embed="rId686"/>
                    <a:stretch>
                      <a:fillRect/>
                    </a:stretch>
                  </pic:blipFill>
                  <pic:spPr>
                    <a:xfrm>
                      <a:off x="0" y="0"/>
                      <a:ext cx="914400" cy="266700"/>
                    </a:xfrm>
                    <a:prstGeom prst="rect">
                      <a:avLst/>
                    </a:prstGeom>
                  </pic:spPr>
                </pic:pic>
              </a:graphicData>
            </a:graphic>
          </wp:anchor>
        </w:drawing>
      </w:r>
      <w:bookmarkEnd w:id="995"/>
      <w:bookmarkEnd w:id="996"/>
    </w:p>
    <w:p>
      <w:pPr>
        <w:pStyle w:val="Para 01"/>
      </w:pPr>
      <w:r>
        <w:t>Update package list</w:t>
      </w:r>
    </w:p>
    <w:p>
      <w:pPr>
        <w:pStyle w:val="Para 17"/>
      </w:pPr>
      <w:r>
        <w:t/>
      </w:r>
    </w:p>
    <w:p>
      <w:pPr>
        <w:pStyle w:val="Normal"/>
      </w:pPr>
      <w:r>
        <w:t>Run the following to update your package list or click the Reload button if you used the Synaptic Package Manager:</w:t>
      </w:r>
    </w:p>
    <w:p>
      <w:pPr>
        <w:pStyle w:val="Normal"/>
      </w:pPr>
      <w:r>
        <w:t>sudo apt-get update</w:t>
      </w:r>
    </w:p>
    <w:p>
      <w:pPr>
        <w:pStyle w:val="Para 17"/>
      </w:pPr>
      <w:r>
        <w:t/>
      </w:r>
    </w:p>
    <w:p>
      <w:pPr>
        <w:pStyle w:val="Para 01"/>
      </w:pPr>
      <w:r>
        <w:t>Manual install of debug packages</w:t>
      </w:r>
    </w:p>
    <w:p>
      <w:pPr>
        <w:pStyle w:val="Para 17"/>
      </w:pPr>
      <w:r>
        <w:t/>
      </w:r>
    </w:p>
    <w:p>
      <w:pPr>
        <w:pStyle w:val="Normal"/>
      </w:pPr>
      <w:r>
        <w:t>To install the debug symbol package (*-dbgsym.ddeb) for a specific package, you can now invoke:</w:t>
      </w:r>
    </w:p>
    <w:p>
      <w:pPr>
        <w:pStyle w:val="Normal"/>
      </w:pPr>
      <w:r>
        <w:t>sudo apt-get install PACKAGE-dbgsym</w:t>
      </w:r>
    </w:p>
    <w:p>
      <w:pPr>
        <w:pStyle w:val="Para 17"/>
      </w:pPr>
      <w:r>
        <w:t/>
      </w:r>
    </w:p>
    <w:p>
      <w:pPr>
        <w:pStyle w:val="Normal"/>
      </w:pPr>
      <w:r>
        <w:t>For example, to install the debug symbols for xserver-xorg-core:</w:t>
      </w:r>
    </w:p>
    <w:p>
      <w:pPr>
        <w:pStyle w:val="Normal"/>
      </w:pPr>
      <w:r>
        <w:t>sudo apt-get install xserver-xorg-core-dbgsym</w:t>
      </w:r>
    </w:p>
    <w:p>
      <w:pPr>
        <w:pStyle w:val="Para 17"/>
      </w:pPr>
      <w:r>
        <w:t/>
      </w:r>
    </w:p>
    <w:p>
      <w:pPr>
        <w:pStyle w:val="Normal"/>
      </w:pPr>
      <w:r>
        <w:t>As mentioned in the section above, some packages will ship their debug symbols via *-dbg. deb packages instead. Using glibc as an example, you can install its debug symbols using:</w:t>
      </w:r>
    </w:p>
    <w:p>
      <w:pPr>
        <w:pStyle w:val="Normal"/>
      </w:pPr>
      <w:r>
        <w:t>sudo apt-get install libc6-dbg</w:t>
      </w:r>
    </w:p>
    <w:p>
      <w:pPr>
        <w:pStyle w:val="Para 17"/>
      </w:pPr>
      <w:r>
        <w:t/>
      </w:r>
    </w:p>
    <w:p>
      <w:pPr>
        <w:pStyle w:val="Normal"/>
      </w:pPr>
      <w:r>
        <w:t>This procedure will install the debug symbol package for a single package only. It is likely that the binary uses shared libraries in other packages, and their debug symbols may be needed in order to obtain a readable stack trace or perform other debugging tasks.</w:t>
      </w:r>
    </w:p>
    <w:p>
      <w:pPr>
        <w:pStyle w:val="Para 17"/>
      </w:pPr>
      <w:r>
        <w:t/>
      </w:r>
    </w:p>
    <w:p>
      <w:pPr>
        <w:pStyle w:val="Para 01"/>
      </w:pPr>
      <w:r>
        <w:t>The debian-goodies tool</w:t>
      </w:r>
    </w:p>
    <w:p>
      <w:pPr>
        <w:pStyle w:val="Para 17"/>
      </w:pPr>
      <w:r>
        <w:t/>
      </w:r>
    </w:p>
    <w:p>
      <w:pPr>
        <w:pStyle w:val="Normal"/>
      </w:pPr>
      <w:r>
        <w:t>You can use the find-dbgsym-packages command from the debian-goodies package to find debug symbols for a core file, running PID or binary path.</w:t>
      </w:r>
    </w:p>
    <w:p>
      <w:pPr>
        <w:pStyle w:val="Normal"/>
      </w:pPr>
      <w:r>
        <w:t>For a binary path it only finds debug symbols for the actual binary itself, and not any dynam-ically linked library dependencies or other libraries loaded at runtime. For that functionality to work you need to use either a core file or a running PID (which is the preferred method).</w:t>
      </w:r>
    </w:p>
    <w:p>
      <w:pPr>
        <w:pStyle w:val="Normal"/>
      </w:pPr>
      <w:r>
        <w:t>This tool will find both-dbg and-dbgsym style packages. However it only finds debug symbols for APT repositories that are currently enabled and updated, so you need to ensure that you enable at least the ddebs.ubuntu.com archive as described above. For a Launchpad PPA or the Ubuntu Cloud Archive you need to add another source line with the component changed from main to main/debug:</w:t>
      </w:r>
    </w:p>
    <w:p>
      <w:pPr>
        <w:pStyle w:val="Normal"/>
      </w:pPr>
      <w:r>
        <w:t>sudo apt install debian-goodies</w:t>
      </w:r>
    </w:p>
    <w:p>
      <w:pPr>
        <w:pStyle w:val="Normal"/>
      </w:pPr>
      <w:r>
        <w:t>find-dbgsym-packages</w:t>
        <w:t xml:space="preserve"> </w:t>
        <w:t>[</w:t>
        <w:t>core_path|running_pid|binary_path</w:t>
        <w:t>]</w:t>
      </w:r>
    </w:p>
    <w:p>
      <w:bookmarkStart w:id="997" w:name="calibre_pb_173"/>
      <w:pPr>
        <w:pStyle w:val="0 Block"/>
      </w:pPr>
      <w:bookmarkEnd w:id="997"/>
    </w:p>
    <w:p>
      <w:bookmarkStart w:id="998" w:name="page_651"/>
      <w:bookmarkStart w:id="999" w:name="Top_of_index_split_17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3" name="index-651_1.png" descr="index-651_1.png"/>
            <wp:cNvGraphicFramePr>
              <a:graphicFrameLocks noChangeAspect="1"/>
            </wp:cNvGraphicFramePr>
            <a:graphic>
              <a:graphicData uri="http://schemas.openxmlformats.org/drawingml/2006/picture">
                <pic:pic>
                  <pic:nvPicPr>
                    <pic:cNvPr id="0" name="index-651_1.png" descr="index-651_1.png"/>
                    <pic:cNvPicPr/>
                  </pic:nvPicPr>
                  <pic:blipFill>
                    <a:blip r:embed="rId687"/>
                    <a:stretch>
                      <a:fillRect/>
                    </a:stretch>
                  </pic:blipFill>
                  <pic:spPr>
                    <a:xfrm>
                      <a:off x="0" y="0"/>
                      <a:ext cx="914400" cy="266700"/>
                    </a:xfrm>
                    <a:prstGeom prst="rect">
                      <a:avLst/>
                    </a:prstGeom>
                  </pic:spPr>
                </pic:pic>
              </a:graphicData>
            </a:graphic>
          </wp:anchor>
        </w:drawing>
      </w:r>
      <w:bookmarkEnd w:id="998"/>
      <w:bookmarkEnd w:id="999"/>
    </w:p>
    <w:p>
      <w:pPr>
        <w:pStyle w:val="Para 01"/>
      </w:pPr>
      <w:r>
        <w:t>“debs” versus “ddebs”</w:t>
      </w:r>
    </w:p>
    <w:p>
      <w:pPr>
        <w:pStyle w:val="Para 17"/>
      </w:pPr>
      <w:r>
        <w:t/>
      </w:r>
    </w:p>
    <w:p>
      <w:pPr>
        <w:pStyle w:val="Normal"/>
      </w:pPr>
      <w:r>
        <w:t>It used to be the case that Debian/Ubuntu maintainers needed to manually create debug sym-bol packages as part of the packaging process, and included them in the same repository as their binary package. These debug symbol packages had the-dbg.deb suffix, so for example, both the apache2-bin.deb package and the apache2-dbg.deb package would be placed in the same repository. However, since the process is a manual one, not every maintainer did this, and the .deb package was not always kept up-to-date.</w:t>
      </w:r>
    </w:p>
    <w:p>
      <w:pPr>
        <w:pStyle w:val="Normal"/>
      </w:pPr>
      <w:r>
        <w:t>Modern package building tools automatically create the debug symbol packages when binary packages are compiled on Ubuntu servers, so the older (manual) process is no longer used. These automatically-created debug symbol packages have the-dbgsym.ddeb suffix. Unlike</w:t>
      </w:r>
    </w:p>
    <w:p>
      <w:pPr>
        <w:pStyle w:val="Normal"/>
      </w:pPr>
      <w:r>
        <w:t xml:space="preserve">-dbg.deb </w:t>
      </w:r>
      <w:hyperlink r:id="rId1580">
        <w:r>
          <w:rPr>
            <w:rStyle w:val="Text9"/>
          </w:rPr>
          <w:t>670</w:t>
        </w:r>
      </w:hyperlink>
      <w:r>
        <w:t xml:space="preserve"> packages, -dbgsym.ddeb packages are hosted in </w:t>
      </w:r>
      <w:hyperlink r:id="rId1580">
        <w:r>
          <w:rPr>
            <w:rStyle w:val="Text1"/>
          </w:rPr>
          <w:t>their own separate repository</w:t>
        </w:r>
      </w:hyperlink>
      <w:r>
        <w:t>,</w:t>
      </w:r>
    </w:p>
    <w:p>
      <w:pPr>
        <w:pStyle w:val="Normal"/>
      </w:pPr>
      <w:r>
        <w:t>since these packages are used relatively rarely.</w:t>
      </w:r>
    </w:p>
    <w:p>
      <w:pPr>
        <w:pStyle w:val="Normal"/>
      </w:pPr>
      <w:r>
        <w:t>You can choose to use either-dbg.deb or-dbgsym.ddeb packages, but for any given binary package only one debug symbol package can be used at once.</w:t>
      </w:r>
    </w:p>
    <w:p>
      <w:pPr>
        <w:pStyle w:val="Para 17"/>
      </w:pPr>
      <w:r>
        <w:t/>
      </w:r>
    </w:p>
    <w:p>
      <w:pPr>
        <w:pStyle w:val="Para 01"/>
      </w:pPr>
      <w:r>
        <w:t>Kernel crash dump</w:t>
      </w:r>
    </w:p>
    <w:p>
      <w:pPr>
        <w:pStyle w:val="Para 17"/>
      </w:pPr>
      <w:r>
        <w:t/>
      </w:r>
    </w:p>
    <w:p>
      <w:pPr>
        <w:pStyle w:val="Normal"/>
      </w:pPr>
      <w:r>
        <w:t>A ‘kernel crash dump’ refers to a portion of the contents of volatile memory (RAM) that is copied to disk whenever the execution of the kernel is disrupted. The following events can cause a kernel disruption:</w:t>
      </w:r>
    </w:p>
    <w:p>
      <w:pPr>
        <w:pStyle w:val="Para 04"/>
      </w:pPr>
      <w:r>
        <w:t>• Kernel panic</w:t>
      </w:r>
    </w:p>
    <w:p>
      <w:pPr>
        <w:pStyle w:val="Para 04"/>
      </w:pPr>
      <w:r>
        <w:t>• Non-maskable interrupts (NMI)</w:t>
      </w:r>
    </w:p>
    <w:p>
      <w:pPr>
        <w:pStyle w:val="Para 04"/>
      </w:pPr>
      <w:r>
        <w:t>• Machine check exceptions (MCE)</w:t>
      </w:r>
    </w:p>
    <w:p>
      <w:pPr>
        <w:pStyle w:val="Para 04"/>
      </w:pPr>
      <w:r>
        <w:t>• Hardware failure</w:t>
      </w:r>
    </w:p>
    <w:p>
      <w:pPr>
        <w:pStyle w:val="Para 04"/>
      </w:pPr>
      <w:r>
        <w:t>• Manual intervention</w:t>
      </w:r>
    </w:p>
    <w:p>
      <w:pPr>
        <w:pStyle w:val="Normal"/>
      </w:pPr>
      <w:r>
        <w:t xml:space="preserve">For some of these events (kernel panic, NMI) the kernel will react automatically and trig-ger the crash dump mechanism through </w:t>
      </w:r>
      <w:r>
        <w:rPr>
          <w:rStyle w:val="Text3"/>
        </w:rPr>
        <w:t>kexec</w:t>
      </w:r>
      <w:r>
        <w:t>. In other situations a manual intervention is required in order to capture the memory. Whenever one of the above events occurs, it is important to find out the root cause in order to prevent it from happening again. The cause can be determined by inspecting the copied memory contents.</w:t>
      </w:r>
    </w:p>
    <w:p>
      <w:pPr>
        <w:pStyle w:val="Para 17"/>
      </w:pPr>
      <w:r>
        <w:t/>
      </w:r>
    </w:p>
    <w:p>
      <w:pPr>
        <w:pStyle w:val="Para 01"/>
      </w:pPr>
      <w:r>
        <w:t>Kernel crash dump mechanism</w:t>
      </w:r>
    </w:p>
    <w:p>
      <w:pPr>
        <w:pStyle w:val="Para 17"/>
      </w:pPr>
      <w:r>
        <w:t/>
      </w:r>
    </w:p>
    <w:p>
      <w:pPr>
        <w:pStyle w:val="Normal"/>
      </w:pPr>
      <w:r>
        <w:t xml:space="preserve">When a kernel panic occurs, the kernel relies on the </w:t>
      </w:r>
      <w:r>
        <w:rPr>
          <w:rStyle w:val="Text3"/>
        </w:rPr>
        <w:t>kexec</w:t>
      </w:r>
      <w:r>
        <w:t xml:space="preserve"> mechanism to quickly reboot a new instance of the kernel in a pre-reserved section of memory that had been allocated when the system booted (see below). This permits the existing memory area to remain untouched in order to safely copy its contents to storage.</w:t>
      </w:r>
    </w:p>
    <w:p>
      <w:pPr>
        <w:pStyle w:val="Para 05"/>
      </w:pPr>
      <w:r>
        <w:rPr>
          <w:rStyle w:val="Text5"/>
        </w:rPr>
        <w:t>670</w:t>
      </w:r>
      <w:r>
        <w:rPr>
          <w:rStyle w:val="Text8"/>
        </w:rPr>
        <w:t xml:space="preserve"> </w:t>
      </w:r>
      <w:r>
        <w:t>http://ddebs.ubuntu.com</w:t>
      </w:r>
    </w:p>
    <w:p>
      <w:bookmarkStart w:id="1000" w:name="calibre_pb_174"/>
      <w:pPr>
        <w:pStyle w:val="0 Block"/>
      </w:pPr>
      <w:bookmarkEnd w:id="1000"/>
    </w:p>
    <w:p>
      <w:bookmarkStart w:id="1001" w:name="page_652"/>
      <w:bookmarkStart w:id="1002" w:name="Top_of_index_split_17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4" name="index-652_1.png" descr="index-652_1.png"/>
            <wp:cNvGraphicFramePr>
              <a:graphicFrameLocks noChangeAspect="1"/>
            </wp:cNvGraphicFramePr>
            <a:graphic>
              <a:graphicData uri="http://schemas.openxmlformats.org/drawingml/2006/picture">
                <pic:pic>
                  <pic:nvPicPr>
                    <pic:cNvPr id="0" name="index-652_1.png" descr="index-652_1.png"/>
                    <pic:cNvPicPr/>
                  </pic:nvPicPr>
                  <pic:blipFill>
                    <a:blip r:embed="rId688"/>
                    <a:stretch>
                      <a:fillRect/>
                    </a:stretch>
                  </pic:blipFill>
                  <pic:spPr>
                    <a:xfrm>
                      <a:off x="0" y="0"/>
                      <a:ext cx="914400" cy="266700"/>
                    </a:xfrm>
                    <a:prstGeom prst="rect">
                      <a:avLst/>
                    </a:prstGeom>
                  </pic:spPr>
                </pic:pic>
              </a:graphicData>
            </a:graphic>
          </wp:anchor>
        </w:drawing>
      </w:r>
      <w:bookmarkEnd w:id="1001"/>
      <w:bookmarkEnd w:id="1002"/>
    </w:p>
    <w:p>
      <w:pPr>
        <w:pStyle w:val="Para 01"/>
      </w:pPr>
      <w:r>
        <w:t>Installation</w:t>
      </w:r>
    </w:p>
    <w:p>
      <w:pPr>
        <w:pStyle w:val="Para 17"/>
      </w:pPr>
      <w:r>
        <w:t/>
      </w:r>
    </w:p>
    <w:p>
      <w:pPr>
        <w:pStyle w:val="Normal"/>
      </w:pPr>
      <w:r>
        <w:t>The kernel crash dump utility is installed by default in most Ubuntu environments, especially those designated for execution on bare metal. In other cases it can be installed with following command:</w:t>
      </w:r>
    </w:p>
    <w:p>
      <w:pPr>
        <w:pStyle w:val="Normal"/>
      </w:pPr>
      <w:r>
        <w:t>sudo apt install kdump-tools</w:t>
      </w:r>
    </w:p>
    <w:p>
      <w:pPr>
        <w:pStyle w:val="Para 17"/>
      </w:pPr>
      <w:r>
        <w:t/>
      </w:r>
    </w:p>
    <w:p>
      <w:pPr>
        <w:pStyle w:val="Normal"/>
      </w:pPr>
      <w:r>
        <w:t>During the installation, you will be prompted with the following dialog:</w:t>
      </w:r>
    </w:p>
    <w:p>
      <w:pPr>
        <w:pStyle w:val="Normal"/>
      </w:pPr>
      <w:r>
        <w:t>|------------------------| Configuring kdump-tools |------------------------|</w:t>
      </w:r>
    </w:p>
    <w:p>
      <w:pPr>
        <w:pStyle w:val="Normal"/>
      </w:pPr>
      <w:r>
        <w:t>|</w:t>
        <w:t xml:space="preserve"> </w:t>
        <w:t>|</w:t>
      </w:r>
    </w:p>
    <w:p>
      <w:pPr>
        <w:pStyle w:val="Normal"/>
      </w:pPr>
      <w:r>
        <w:t>|</w:t>
        <w:t xml:space="preserve"> </w:t>
        <w:t>|</w:t>
        <w:t xml:space="preserve"> </w:t>
        <w:t>| If you choose this option, the kdump-tools mechanism will be enabled.</w:t>
        <w:t xml:space="preserve"> </w:t>
        <w:t>A</w:t>
        <w:t xml:space="preserve"> </w:t>
        <w:t>|</w:t>
        <w:t xml:space="preserve"> </w:t>
        <w:t>| reboot is still required in order to enable the crashkernel kernel</w:t>
        <w:t xml:space="preserve"> </w:t>
        <w:t>|</w:t>
        <w:t xml:space="preserve"> </w:t>
        <w:t>| parameter.</w:t>
        <w:t xml:space="preserve"> </w:t>
        <w:t>|</w:t>
      </w:r>
    </w:p>
    <w:p>
      <w:pPr>
        <w:pStyle w:val="Normal"/>
      </w:pPr>
      <w:r>
        <w:t>|</w:t>
        <w:t xml:space="preserve"> </w:t>
        <w:t>|</w:t>
        <w:t xml:space="preserve"> </w:t>
        <w:t>| Should kdump-tools be enabled be default?</w:t>
        <w:t xml:space="preserve"> </w:t>
        <w:t>|</w:t>
      </w:r>
    </w:p>
    <w:p>
      <w:pPr>
        <w:pStyle w:val="Normal"/>
      </w:pPr>
      <w:r>
        <w:t>|</w:t>
        <w:t xml:space="preserve"> </w:t>
        <w:t>|</w:t>
        <w:t xml:space="preserve"> </w:t>
        <w:t>|</w:t>
        <w:t xml:space="preserve"> </w:t>
        <w:t>&lt;Yes&gt;</w:t>
        <w:t xml:space="preserve"> </w:t>
        <w:t>&lt;No&gt;</w:t>
        <w:t xml:space="preserve"> </w:t>
        <w:t>|</w:t>
      </w:r>
    </w:p>
    <w:p>
      <w:pPr>
        <w:pStyle w:val="Normal"/>
      </w:pPr>
      <w:r>
        <w:t>|</w:t>
        <w:t xml:space="preserve"> </w:t>
        <w:t>|</w:t>
        <w:t xml:space="preserve"> </w:t>
        <w:t>|---------------------------------------------------------------------------|</w:t>
      </w:r>
    </w:p>
    <w:p>
      <w:pPr>
        <w:pStyle w:val="Para 17"/>
      </w:pPr>
      <w:r>
        <w:t/>
      </w:r>
    </w:p>
    <w:p>
      <w:pPr>
        <w:pStyle w:val="Normal"/>
      </w:pPr>
      <w:r>
        <w:t>‘Yes’ should be selected to enable kdump-tools. If you want to revisit your choice, you can use the dpkg-reconfigure kdump-tools command and answer ‘Yes’ or ‘No’.</w:t>
      </w:r>
    </w:p>
    <w:p>
      <w:pPr>
        <w:pStyle w:val="Para 17"/>
      </w:pPr>
      <w:r>
        <w:t/>
      </w:r>
    </w:p>
    <w:p>
      <w:pPr>
        <w:pStyle w:val="Para 01"/>
      </w:pPr>
      <w:r>
        <w:t>kdump is enabled by default where applicable</w:t>
      </w:r>
    </w:p>
    <w:p>
      <w:pPr>
        <w:pStyle w:val="Para 17"/>
      </w:pPr>
      <w:r>
        <w:t/>
      </w:r>
    </w:p>
    <w:p>
      <w:pPr>
        <w:pStyle w:val="Normal"/>
      </w:pPr>
      <w:r>
        <w:t>On manual installations, the interactive question will define if it is enabled or not and there-fore depends on the users choice. In cases where it is automatically preinstalled there is a balance to strike. The tool wants to be helpful by default, because when the crash happens it is too late to enable crash dump functionality. At the same time, it needs to reserve memory for the crash kernel to operate, and that might have too much impact on very small systems as well as consume a lot of memory on systems with many devices. Therefore starting in Orac-ular Oriole (24.10), the kernel crash dump facility will be enabled by default during standard Ubuntu Desktop or Ubuntu Server installations on systems that meet the following require-ments:</w:t>
      </w:r>
    </w:p>
    <w:p>
      <w:pPr>
        <w:pStyle w:val="Para 04"/>
      </w:pPr>
      <w:r>
        <w:t>• the system has at least 4 CPU threads</w:t>
      </w:r>
    </w:p>
    <w:p>
      <w:pPr>
        <w:pStyle w:val="Para 04"/>
      </w:pPr>
      <w:r>
        <w:t>• the system has at least 6GB of RAM, and less than 2TB of RAM</w:t>
      </w:r>
    </w:p>
    <w:p>
      <w:pPr>
        <w:pStyle w:val="Para 04"/>
      </w:pPr>
      <w:r>
        <w:t>• the free space available in /var is more than 5 times the amount of RAM and swap space</w:t>
      </w:r>
    </w:p>
    <w:p>
      <w:pPr>
        <w:pStyle w:val="Para 04"/>
      </w:pPr>
      <w:r>
        <w:t>• and the CPU architecture is</w:t>
      </w:r>
    </w:p>
    <w:p>
      <w:pPr>
        <w:pStyle w:val="Para 06"/>
      </w:pPr>
      <w:r>
        <w:rPr>
          <w:rStyle w:val="Text0"/>
        </w:rPr>
        <w:t>–</w:t>
      </w:r>
      <w:r>
        <w:t xml:space="preserve"> amd64 or s390x, or</w:t>
      </w:r>
    </w:p>
    <w:p>
      <w:pPr>
        <w:pStyle w:val="Para 06"/>
      </w:pPr>
      <w:r>
        <w:rPr>
          <w:rStyle w:val="Text0"/>
        </w:rPr>
        <w:t>–</w:t>
      </w:r>
      <w:r>
        <w:t xml:space="preserve"> arm64 and UEFI is used</w:t>
      </w:r>
    </w:p>
    <w:p>
      <w:pPr>
        <w:pStyle w:val="Normal"/>
      </w:pPr>
      <w:r>
        <w:t>These conditions are evaluated at installation time by the tool /usr/share/kdump-tools/ kdump_set_default.</w:t>
      </w:r>
    </w:p>
    <w:p>
      <w:pPr>
        <w:pStyle w:val="Normal"/>
      </w:pPr>
      <w:r>
        <w:t>On machines that do not meet these requirements and on pre-24.10 releases, the kernel crash dump facility can be enabled manually by following the installation instructions that follow.</w:t>
      </w:r>
    </w:p>
    <w:p>
      <w:bookmarkStart w:id="1003" w:name="page_6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5" name="index-653_1.png" descr="index-653_1.png"/>
            <wp:cNvGraphicFramePr>
              <a:graphicFrameLocks noChangeAspect="1"/>
            </wp:cNvGraphicFramePr>
            <a:graphic>
              <a:graphicData uri="http://schemas.openxmlformats.org/drawingml/2006/picture">
                <pic:pic>
                  <pic:nvPicPr>
                    <pic:cNvPr id="0" name="index-653_1.png" descr="index-653_1.png"/>
                    <pic:cNvPicPr/>
                  </pic:nvPicPr>
                  <pic:blipFill>
                    <a:blip r:embed="rId689"/>
                    <a:stretch>
                      <a:fillRect/>
                    </a:stretch>
                  </pic:blipFill>
                  <pic:spPr>
                    <a:xfrm>
                      <a:off x="0" y="0"/>
                      <a:ext cx="914400" cy="266700"/>
                    </a:xfrm>
                    <a:prstGeom prst="rect">
                      <a:avLst/>
                    </a:prstGeom>
                  </pic:spPr>
                </pic:pic>
              </a:graphicData>
            </a:graphic>
          </wp:anchor>
        </w:drawing>
      </w:r>
      <w:bookmarkEnd w:id="1003"/>
    </w:p>
    <w:p>
      <w:pPr>
        <w:pStyle w:val="Para 01"/>
      </w:pPr>
      <w:r>
        <w:t>Disabling kdump</w:t>
      </w:r>
    </w:p>
    <w:p>
      <w:pPr>
        <w:pStyle w:val="Para 17"/>
      </w:pPr>
      <w:r>
        <w:t/>
      </w:r>
    </w:p>
    <w:p>
      <w:pPr>
        <w:pStyle w:val="Normal"/>
      </w:pPr>
      <w:r>
        <w:t>No matter which way it got enabled, to disable the function it can be either entirely removed via the command:</w:t>
      </w:r>
    </w:p>
    <w:p>
      <w:pPr>
        <w:pStyle w:val="Normal"/>
      </w:pPr>
      <w:r>
        <w:t>sudo apt remove kdump-tools</w:t>
      </w:r>
    </w:p>
    <w:p>
      <w:pPr>
        <w:pStyle w:val="Para 17"/>
      </w:pPr>
      <w:r>
        <w:t/>
      </w:r>
    </w:p>
    <w:p>
      <w:pPr>
        <w:pStyle w:val="Normal"/>
      </w:pPr>
      <w:r>
        <w:t>or by changing the config at /etc/default/kdump-tools to contain:</w:t>
      </w:r>
    </w:p>
    <w:p>
      <w:pPr>
        <w:pStyle w:val="Normal"/>
      </w:pPr>
      <w:r>
        <w:t>USE_KDUMP=0</w:t>
      </w:r>
    </w:p>
    <w:p>
      <w:pPr>
        <w:pStyle w:val="Para 17"/>
      </w:pPr>
      <w:r>
        <w:t/>
      </w:r>
    </w:p>
    <w:p>
      <w:pPr>
        <w:pStyle w:val="Para 01"/>
      </w:pPr>
      <w:r>
        <w:t>Activating config changes</w:t>
      </w:r>
    </w:p>
    <w:p>
      <w:pPr>
        <w:pStyle w:val="Para 17"/>
      </w:pPr>
      <w:r>
        <w:t/>
      </w:r>
    </w:p>
    <w:p>
      <w:pPr>
        <w:pStyle w:val="Normal"/>
      </w:pPr>
      <w:r>
        <w:t>If a reboot has not been done since installation/removal of the kdump-tools package, a reboot will be required in order to reconsider the crashkernel= boot parameter.</w:t>
      </w:r>
    </w:p>
    <w:p>
      <w:pPr>
        <w:pStyle w:val="Para 17"/>
      </w:pPr>
      <w:r>
        <w:t/>
      </w:r>
    </w:p>
    <w:p>
      <w:pPr>
        <w:pStyle w:val="Para 01"/>
      </w:pPr>
      <w:r>
        <w:t>Verify if kdump is ready</w:t>
      </w:r>
    </w:p>
    <w:p>
      <w:pPr>
        <w:pStyle w:val="Para 17"/>
      </w:pPr>
      <w:r>
        <w:t/>
      </w:r>
    </w:p>
    <w:p>
      <w:pPr>
        <w:pStyle w:val="Normal"/>
      </w:pPr>
      <w:r>
        <w:t>Upon reboot, the crashkernel memory will be reserved and the kdump-tools service will be enabled and active.</w:t>
      </w:r>
    </w:p>
    <w:p>
      <w:pPr>
        <w:pStyle w:val="Normal"/>
      </w:pPr>
      <w:r>
        <w:t>If you enable kdump-tools after a reboot, you will only need to issue the kdump-config load command to activate the kdump mechanism.</w:t>
      </w:r>
    </w:p>
    <w:p>
      <w:pPr>
        <w:pStyle w:val="Normal"/>
      </w:pPr>
      <w:r>
        <w:t>You can view the current status of kdump via the command kdump-config show. This will display something like this:</w:t>
      </w:r>
    </w:p>
    <w:p>
      <w:pPr>
        <w:pStyle w:val="Normal"/>
      </w:pPr>
      <w:r>
        <w:t>kdump-config show</w:t>
      </w:r>
    </w:p>
    <w:p>
      <w:pPr>
        <w:pStyle w:val="Normal"/>
      </w:pPr>
      <w:r>
        <w:t>DUMP_MODE:</w:t>
        <w:t xml:space="preserve"> </w:t>
        <w:t>kdump</w:t>
      </w:r>
    </w:p>
    <w:p>
      <w:pPr>
        <w:pStyle w:val="Normal"/>
      </w:pPr>
      <w:r>
        <w:t>USE_KDUMP:</w:t>
        <w:t xml:space="preserve"> </w:t>
        <w:t>1</w:t>
      </w:r>
    </w:p>
    <w:p>
      <w:pPr>
        <w:pStyle w:val="Normal"/>
      </w:pPr>
      <w:r>
        <w:t>KDUMP_COREDIR:</w:t>
        <w:t xml:space="preserve"> </w:t>
        <w:t>/var/crash</w:t>
        <w:t xml:space="preserve"> </w:t>
        <w:t>crashkernel addr: 0x60000000</w:t>
      </w:r>
    </w:p>
    <w:p>
      <w:pPr>
        <w:pStyle w:val="Para 02"/>
      </w:pPr>
      <w:r>
        <w:t>/var/lib/kdump/vmlinuz: symbolic link to /boot/vmlinuz-6.18.0-8-generic</w:t>
      </w:r>
    </w:p>
    <w:p>
      <w:pPr>
        <w:pStyle w:val="Normal"/>
      </w:pPr>
      <w:r>
        <w:t>kdump initrd:</w:t>
      </w:r>
    </w:p>
    <w:p>
      <w:pPr>
        <w:pStyle w:val="Para 17"/>
      </w:pPr>
      <w:r>
        <w:t>/var/lib/kdump/initrd.img: symbolic link to /var/lib/kdump/initrd.img-6.18.0-8-generic</w:t>
      </w:r>
    </w:p>
    <w:p>
      <w:pPr>
        <w:pStyle w:val="Normal"/>
      </w:pPr>
      <w:r>
        <w:t>current state:</w:t>
        <w:t xml:space="preserve"> </w:t>
        <w:t>ready to kdump</w:t>
      </w:r>
    </w:p>
    <w:p>
      <w:pPr>
        <w:pStyle w:val="Normal"/>
      </w:pPr>
      <w:r>
        <w:t>crashkernel suggested size: 417M</w:t>
      </w:r>
    </w:p>
    <w:p>
      <w:pPr>
        <w:pStyle w:val="Normal"/>
      </w:pPr>
      <w:r>
        <w:t>kexec command:</w:t>
      </w:r>
    </w:p>
    <w:p>
      <w:pPr>
        <w:pStyle w:val="Para 03"/>
      </w:pPr>
      <w:r>
        <w:t>/sbin/kexec -p -s --command-line="BOOT_IMAGE=/vmlinuz-6.18.0-8-generic</w:t>
      </w:r>
    </w:p>
    <w:p>
      <w:pPr>
        <w:pStyle w:val="Normal"/>
      </w:pPr>
      <w:r>
        <w:t>root=UUID=0a86b691-f733-4cb0-9c5c-b88e0ef9e212 ro console=tty1 console=ttyS0 reset_devices</w:t>
        <w:t xml:space="preserve"> </w:t>
        <w:t>systemd.unit=kdump-tools-dump.service nr_cpus=1 irqpoll usbcore.nousb" --initrd=/var/lib/</w:t>
        <w:t xml:space="preserve"> </w:t>
        <w:t>kdump/initrd.img /var/lib/kdump/vmlinuz</w:t>
      </w:r>
    </w:p>
    <w:p>
      <w:pPr>
        <w:pStyle w:val="Para 17"/>
      </w:pPr>
      <w:r>
        <w:t/>
      </w:r>
    </w:p>
    <w:p>
      <w:pPr>
        <w:pStyle w:val="Normal"/>
      </w:pPr>
      <w:r>
        <w:t>This tells us that we will find core dumps in /var/crash.</w:t>
      </w:r>
    </w:p>
    <w:p>
      <w:bookmarkStart w:id="1004" w:name="calibre_pb_175"/>
      <w:pPr>
        <w:pStyle w:val="0 Block"/>
      </w:pPr>
      <w:bookmarkEnd w:id="1004"/>
    </w:p>
    <w:p>
      <w:bookmarkStart w:id="1005" w:name="page_654"/>
      <w:bookmarkStart w:id="1006" w:name="Top_of_index_split_17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6" name="index-654_1.png" descr="index-654_1.png"/>
            <wp:cNvGraphicFramePr>
              <a:graphicFrameLocks noChangeAspect="1"/>
            </wp:cNvGraphicFramePr>
            <a:graphic>
              <a:graphicData uri="http://schemas.openxmlformats.org/drawingml/2006/picture">
                <pic:pic>
                  <pic:nvPicPr>
                    <pic:cNvPr id="0" name="index-654_1.png" descr="index-654_1.png"/>
                    <pic:cNvPicPr/>
                  </pic:nvPicPr>
                  <pic:blipFill>
                    <a:blip r:embed="rId690"/>
                    <a:stretch>
                      <a:fillRect/>
                    </a:stretch>
                  </pic:blipFill>
                  <pic:spPr>
                    <a:xfrm>
                      <a:off x="0" y="0"/>
                      <a:ext cx="914400" cy="266700"/>
                    </a:xfrm>
                    <a:prstGeom prst="rect">
                      <a:avLst/>
                    </a:prstGeom>
                  </pic:spPr>
                </pic:pic>
              </a:graphicData>
            </a:graphic>
          </wp:anchor>
        </w:drawing>
      </w:r>
      <w:bookmarkEnd w:id="1005"/>
      <w:bookmarkEnd w:id="1006"/>
    </w:p>
    <w:p>
      <w:pPr>
        <w:pStyle w:val="Para 01"/>
      </w:pPr>
      <w:r>
        <w:t>Reserving Memory</w:t>
      </w:r>
    </w:p>
    <w:p>
      <w:pPr>
        <w:pStyle w:val="Para 17"/>
      </w:pPr>
      <w:r>
        <w:t/>
      </w:r>
    </w:p>
    <w:p>
      <w:pPr>
        <w:pStyle w:val="Normal"/>
      </w:pPr>
      <w:r>
        <w:t>To operate, kdump needs to pre-allocate a dedicated, isolated region of physical memory that remains untouched by the main operating system, ensuring a safe haven for the crash re-covery process. When a kernel panic occurs, the running system is considered unstable and its memory potentially corrupted, making it unsafe to trust for saving diagnostic data. By re-serving this memory at boot time, kdump guarantees that a second, small “capture kernel” can load into this pristine space without relying on the broken kernel’s resources. This isolation allows the capture kernel to reliably access the frozen, crashed memory and write it to disk for analysis, functioning essentially like a fresh operating system inside the crashed one.</w:t>
      </w:r>
    </w:p>
    <w:p>
      <w:pPr>
        <w:pStyle w:val="Normal"/>
      </w:pPr>
      <w:r>
        <w:t>To confirm that this allocation worked there are a few things to verify. First, confirm that the crashkernel boot parameter is present.</w:t>
      </w:r>
    </w:p>
    <w:p>
      <w:pPr>
        <w:pStyle w:val="Normal"/>
      </w:pPr>
      <w:r>
        <w:t>$ cat /proc/cmdline</w:t>
      </w:r>
    </w:p>
    <w:p>
      <w:pPr>
        <w:pStyle w:val="Para 17"/>
      </w:pPr>
      <w:r>
        <w:t/>
      </w:r>
    </w:p>
    <w:p>
      <w:pPr>
        <w:pStyle w:val="Normal"/>
      </w:pPr>
      <w:r>
        <w:t>Which shows:</w:t>
      </w:r>
    </w:p>
    <w:p>
      <w:pPr>
        <w:pStyle w:val="Normal"/>
      </w:pPr>
      <w:r>
        <w:t>BOOT_IMAGE=/vmlinuz-6.18.0-8-generic</w:t>
      </w:r>
    </w:p>
    <w:p>
      <w:pPr>
        <w:pStyle w:val="Normal"/>
      </w:pPr>
      <w:r>
        <w:t>root=UUID=0a86b691-f733-4cb0-9c5c-b88e0ef9e212 ro console=tty1 console=ttyS0</w:t>
        <w:t xml:space="preserve"> </w:t>
        <w:t>crashkernel=2G-4G:320M,4G-32G:512M,32G-64G:1024M,64G-128G:2048M,128G-:4096M</w:t>
      </w:r>
    </w:p>
    <w:p>
      <w:pPr>
        <w:pStyle w:val="Para 17"/>
      </w:pPr>
      <w:r>
        <w:t/>
      </w:r>
    </w:p>
    <w:p>
      <w:pPr>
        <w:pStyle w:val="Normal"/>
      </w:pPr>
      <w:r>
        <w:t>The crashkernel parameter has the following syntax:</w:t>
      </w:r>
    </w:p>
    <w:p>
      <w:pPr>
        <w:pStyle w:val="Normal"/>
      </w:pPr>
      <w:r>
        <w:t>crashkernel=&lt;range1&gt;:&lt;size1&gt;[,&lt;range2&gt;:&lt;size2&gt;,...][@offset]</w:t>
      </w:r>
    </w:p>
    <w:p>
      <w:pPr>
        <w:pStyle w:val="Para 02"/>
      </w:pPr>
      <w:r>
        <w:t>range=start-[end] 'start' is inclusive and 'end' is exclusive.</w:t>
      </w:r>
    </w:p>
    <w:p>
      <w:pPr>
        <w:pStyle w:val="Para 17"/>
      </w:pPr>
      <w:r>
        <w:t/>
      </w:r>
    </w:p>
    <w:p>
      <w:pPr>
        <w:pStyle w:val="Normal"/>
      </w:pPr>
      <w:r>
        <w:t>So for the crashkernel parameter found in the /proc/cmdline example above we would have:</w:t>
      </w:r>
    </w:p>
    <w:p>
      <w:pPr>
        <w:pStyle w:val="Normal"/>
      </w:pPr>
      <w:r>
        <w:t>crashkernel=2G-4G:320M,4G-32G:512M,32G-64G:1024M,64G-128G:2048M,128G-:4096M</w:t>
      </w:r>
    </w:p>
    <w:p>
      <w:pPr>
        <w:pStyle w:val="Para 17"/>
      </w:pPr>
      <w:r>
        <w:t/>
      </w:r>
    </w:p>
    <w:p>
      <w:pPr>
        <w:pStyle w:val="Normal"/>
      </w:pPr>
      <w:r>
        <w:t>The above values mean:</w:t>
      </w:r>
    </w:p>
    <w:p>
      <w:pPr>
        <w:pStyle w:val="Para 04"/>
      </w:pPr>
      <w:r>
        <w:t>• if the RAM is smaller than 2G, then don’t reserve anything (this is to not impact small</w:t>
      </w:r>
    </w:p>
    <w:p>
      <w:pPr>
        <w:pStyle w:val="Para 02"/>
      </w:pPr>
      <w:r>
        <w:t>systems where it would take quite a share)</w:t>
      </w:r>
    </w:p>
    <w:p>
      <w:pPr>
        <w:pStyle w:val="Para 04"/>
      </w:pPr>
      <w:r>
        <w:t>• if the RAM size is between 2G and 4G (exclusive), then reserve 320M</w:t>
      </w:r>
    </w:p>
    <w:p>
      <w:pPr>
        <w:pStyle w:val="Para 04"/>
      </w:pPr>
      <w:r>
        <w:t>• …</w:t>
      </w:r>
    </w:p>
    <w:p>
      <w:pPr>
        <w:pStyle w:val="Para 04"/>
      </w:pPr>
      <w:r>
        <w:t>• if the RAM size is larger than 128G, then reserve 4096M</w:t>
      </w:r>
    </w:p>
    <w:p>
      <w:pPr>
        <w:pStyle w:val="Normal"/>
      </w:pPr>
      <w:r>
        <w:t>Second, verify that the kernel has reserved the requested memory area for the kdump kernel by running dmesg:</w:t>
      </w:r>
    </w:p>
    <w:p>
      <w:pPr>
        <w:pStyle w:val="Normal"/>
      </w:pPr>
      <w:r>
        <w:t>dmesg | grep -i crash</w:t>
      </w:r>
    </w:p>
    <w:p>
      <w:pPr>
        <w:pStyle w:val="Para 17"/>
      </w:pPr>
      <w:r>
        <w:t/>
      </w:r>
    </w:p>
    <w:p>
      <w:pPr>
        <w:pStyle w:val="Normal"/>
      </w:pPr>
      <w:r>
        <w:t>Which shows:</w:t>
      </w:r>
    </w:p>
    <w:p>
      <w:pPr>
        <w:pStyle w:val="Normal"/>
      </w:pPr>
      <w:r>
        <w:t>[</w:t>
        <w:t xml:space="preserve"> </w:t>
        <w:t>0.004623] crashkernel reserved: 0x0000000060000000 - 0x0000000074000000 (320 MB)</w:t>
      </w:r>
    </w:p>
    <w:p>
      <w:pPr>
        <w:pStyle w:val="Para 17"/>
      </w:pPr>
      <w:r>
        <w:t/>
      </w:r>
    </w:p>
    <w:p>
      <w:pPr>
        <w:pStyle w:val="Normal"/>
      </w:pPr>
      <w:r>
        <w:t>This example output is for a system with 3GB memory which correctly maps to 320 MB.</w:t>
      </w:r>
    </w:p>
    <w:p>
      <w:pPr>
        <w:pStyle w:val="Normal"/>
      </w:pPr>
      <w:r>
        <w:t>The defaults provided by the packaging try to be conservative to not waste too much. But in some rare cases that might break when the dump process fails to initialize. Only when a system is live can an estimation of the required memory be provided. kdump-config show includes a line like crashkernel suggested size: 417M based on what the current kernel consumed at boot time.</w:t>
      </w:r>
    </w:p>
    <w:p>
      <w:bookmarkStart w:id="1007" w:name="page_6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7" name="index-655_1.png" descr="index-655_1.png"/>
            <wp:cNvGraphicFramePr>
              <a:graphicFrameLocks noChangeAspect="1"/>
            </wp:cNvGraphicFramePr>
            <a:graphic>
              <a:graphicData uri="http://schemas.openxmlformats.org/drawingml/2006/picture">
                <pic:pic>
                  <pic:nvPicPr>
                    <pic:cNvPr id="0" name="index-655_1.png" descr="index-655_1.png"/>
                    <pic:cNvPicPr/>
                  </pic:nvPicPr>
                  <pic:blipFill>
                    <a:blip r:embed="rId691"/>
                    <a:stretch>
                      <a:fillRect/>
                    </a:stretch>
                  </pic:blipFill>
                  <pic:spPr>
                    <a:xfrm>
                      <a:off x="0" y="0"/>
                      <a:ext cx="914400" cy="266700"/>
                    </a:xfrm>
                    <a:prstGeom prst="rect">
                      <a:avLst/>
                    </a:prstGeom>
                  </pic:spPr>
                </pic:pic>
              </a:graphicData>
            </a:graphic>
          </wp:anchor>
        </w:drawing>
      </w:r>
      <w:bookmarkEnd w:id="1007"/>
    </w:p>
    <w:p>
      <w:pPr>
        <w:pStyle w:val="Normal"/>
      </w:pPr>
      <w:r>
        <w:t>You might consider and configure for such a suggested size if it is larger than the defaults. That would help to avoid the dump to fail due to an ‘out of memory’ (OOM) error. To increas-ing the amount of reserved memory edit /etc/default/grub.d/kdump-tools.cfg changing the crashkernel= parameter. You can then run sudo update-grub, reboot afterwards, and then test again.</w:t>
      </w:r>
    </w:p>
    <w:p>
      <w:pPr>
        <w:pStyle w:val="Para 17"/>
      </w:pPr>
      <w:r>
        <w:t/>
      </w:r>
    </w:p>
    <w:p>
      <w:pPr>
        <w:pStyle w:val="Para 01"/>
      </w:pPr>
      <w:r>
        <w:t>Configuration</w:t>
      </w:r>
    </w:p>
    <w:p>
      <w:pPr>
        <w:pStyle w:val="Para 17"/>
      </w:pPr>
      <w:r>
        <w:t/>
      </w:r>
    </w:p>
    <w:p>
      <w:pPr>
        <w:pStyle w:val="Normal"/>
      </w:pPr>
      <w:r>
        <w:t>In addition to local dump, it is now possible to use the remote dump functionality to send the kernel crash dump to a remote server, using either the SSH or NFS protocols.</w:t>
      </w:r>
    </w:p>
    <w:p>
      <w:pPr>
        <w:pStyle w:val="Para 17"/>
      </w:pPr>
      <w:r>
        <w:t/>
      </w:r>
    </w:p>
    <w:p>
      <w:pPr>
        <w:pStyle w:val="Para 01"/>
      </w:pPr>
      <w:r>
        <w:t>Local kernel crash dumps</w:t>
      </w:r>
    </w:p>
    <w:p>
      <w:pPr>
        <w:pStyle w:val="Para 17"/>
      </w:pPr>
      <w:r>
        <w:t/>
      </w:r>
    </w:p>
    <w:p>
      <w:pPr>
        <w:pStyle w:val="Normal"/>
      </w:pPr>
      <w:r>
        <w:t>Local dumps are configured automatically and will remain in use unless a remote protocol is chosen. Many configuration options exist and are thoroughly documented in the /etc/ default/kdump-tools file.</w:t>
      </w:r>
    </w:p>
    <w:p>
      <w:pPr>
        <w:pStyle w:val="Para 17"/>
      </w:pPr>
      <w:r>
        <w:t/>
      </w:r>
    </w:p>
    <w:p>
      <w:pPr>
        <w:pStyle w:val="Para 01"/>
      </w:pPr>
      <w:r>
        <w:t>Remote kernel crash dumps using the SSH protocol</w:t>
      </w:r>
    </w:p>
    <w:p>
      <w:pPr>
        <w:pStyle w:val="Para 17"/>
      </w:pPr>
      <w:r>
        <w:t/>
      </w:r>
    </w:p>
    <w:p>
      <w:pPr>
        <w:pStyle w:val="Normal"/>
      </w:pPr>
      <w:r>
        <w:t>To enable remote dumps using the SSH protocol, the /etc/default/kdump-tools must be modified in the following manner:</w:t>
      </w:r>
    </w:p>
    <w:p>
      <w:pPr>
        <w:pStyle w:val="Normal"/>
      </w:pPr>
      <w:r>
        <w:t># ---------------------------------------------------------------------------</w:t>
        <w:t># Remote dump facilities:</w:t>
      </w:r>
    </w:p>
    <w:p>
      <w:pPr>
        <w:pStyle w:val="Normal"/>
      </w:pPr>
      <w:r>
        <w:t># SSH - username and hostname of the remote server that will receive the dump</w:t>
        <w:t xml:space="preserve"> </w:t>
        <w:t>#</w:t>
        <w:t xml:space="preserve"> </w:t>
        <w:t>and dmesg files.</w:t>
      </w:r>
    </w:p>
    <w:p>
      <w:pPr>
        <w:pStyle w:val="Normal"/>
      </w:pPr>
      <w:r>
        <w:t># SSH_KEY - Full path of the ssh private key to be used to login to the remote</w:t>
        <w:t xml:space="preserve"> </w:t>
        <w:t>#</w:t>
        <w:t xml:space="preserve"> </w:t>
        <w:t>server. use kdump-config propagate to send the public key to the</w:t>
        <w:t xml:space="preserve"> </w:t>
        <w:t>#</w:t>
        <w:t xml:space="preserve"> </w:t>
        <w:t>remote server</w:t>
      </w:r>
    </w:p>
    <w:p>
      <w:pPr>
        <w:pStyle w:val="Normal"/>
      </w:pPr>
      <w:r>
        <w:t># HOSTTAG - Select if hostname of IP address will be used as a prefix to the</w:t>
        <w:t xml:space="preserve"> </w:t>
        <w:t>#</w:t>
        <w:t xml:space="preserve"> </w:t>
        <w:t>timestamped directory when sending files to the remote server.</w:t>
        <w:t xml:space="preserve"> </w:t>
        <w:t>#</w:t>
        <w:t xml:space="preserve"> </w:t>
        <w:t>'ip' is the default.</w:t>
      </w:r>
    </w:p>
    <w:p>
      <w:pPr>
        <w:pStyle w:val="Normal"/>
      </w:pPr>
      <w:r>
        <w:t>SSH="ubuntu@kdump-netcrash"</w:t>
      </w:r>
    </w:p>
    <w:p>
      <w:pPr>
        <w:pStyle w:val="Para 17"/>
      </w:pPr>
      <w:r>
        <w:t/>
      </w:r>
    </w:p>
    <w:p>
      <w:pPr>
        <w:pStyle w:val="Normal"/>
      </w:pPr>
      <w:r>
        <w:t xml:space="preserve">The only mandatory variable to define is SSH. It must contain the username and </w:t>
      </w:r>
      <w:hyperlink w:anchor="page_688">
        <w:r>
          <w:rPr>
            <w:rStyle w:val="Text2"/>
          </w:rPr>
          <w:t>hostname</w:t>
        </w:r>
      </w:hyperlink>
      <w:r>
        <w:t xml:space="preserve"> of the remote server using the format {username}@{remote server}.</w:t>
      </w:r>
    </w:p>
    <w:p>
      <w:pPr>
        <w:pStyle w:val="Normal"/>
      </w:pPr>
      <w:r>
        <w:t>SSH_KEY may be used to provide an existing private key to be used. Otherwise, the kdump-config propagate command will create a new keypair. The HOSTTAG variable may be used to use the hostname of the system as a prefix to the remote directory to be created instead of the IP address.</w:t>
      </w:r>
    </w:p>
    <w:p>
      <w:pPr>
        <w:pStyle w:val="Normal"/>
      </w:pPr>
      <w:r>
        <w:t>The following example shows how kdump-config propagate is used to create and propagate a new keypair to the remote server:</w:t>
      </w:r>
    </w:p>
    <w:p>
      <w:pPr>
        <w:pStyle w:val="Normal"/>
      </w:pPr>
      <w:r>
        <w:t>sudo kdump-config propagate</w:t>
      </w:r>
    </w:p>
    <w:p>
      <w:pPr>
        <w:pStyle w:val="Para 17"/>
      </w:pPr>
      <w:r>
        <w:t/>
      </w:r>
    </w:p>
    <w:p>
      <w:pPr>
        <w:pStyle w:val="Normal"/>
      </w:pPr>
      <w:r>
        <w:t>Which produces an output like this:</w:t>
      </w:r>
    </w:p>
    <w:p>
      <w:bookmarkStart w:id="1008" w:name="page_6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8" name="index-656_1.png" descr="index-656_1.png"/>
            <wp:cNvGraphicFramePr>
              <a:graphicFrameLocks noChangeAspect="1"/>
            </wp:cNvGraphicFramePr>
            <a:graphic>
              <a:graphicData uri="http://schemas.openxmlformats.org/drawingml/2006/picture">
                <pic:pic>
                  <pic:nvPicPr>
                    <pic:cNvPr id="0" name="index-656_1.png" descr="index-656_1.png"/>
                    <pic:cNvPicPr/>
                  </pic:nvPicPr>
                  <pic:blipFill>
                    <a:blip r:embed="rId692"/>
                    <a:stretch>
                      <a:fillRect/>
                    </a:stretch>
                  </pic:blipFill>
                  <pic:spPr>
                    <a:xfrm>
                      <a:off x="0" y="0"/>
                      <a:ext cx="914400" cy="266700"/>
                    </a:xfrm>
                    <a:prstGeom prst="rect">
                      <a:avLst/>
                    </a:prstGeom>
                  </pic:spPr>
                </pic:pic>
              </a:graphicData>
            </a:graphic>
          </wp:anchor>
        </w:drawing>
      </w:r>
      <w:bookmarkEnd w:id="1008"/>
    </w:p>
    <w:p>
      <w:pPr>
        <w:pStyle w:val="Normal"/>
      </w:pPr>
      <w:r>
        <w:t>Need to generate a new ssh key...</w:t>
      </w:r>
    </w:p>
    <w:p>
      <w:pPr>
        <w:pStyle w:val="Normal"/>
      </w:pPr>
      <w:r>
        <w:t>The authenticity of host 'kdump-netcrash (192.168.1.74)' can't be established.</w:t>
        <w:t xml:space="preserve"> </w:t>
        <w:t>ECDSA key fingerprint is SHA256:iMp+5Y28qhbd+tevFCWrEXykDd4dI3yN4OVlu3CBBQ4.</w:t>
        <w:t xml:space="preserve"> </w:t>
        <w:t>Are you sure you want to continue connecting (yes/no)? yes</w:t>
        <w:t xml:space="preserve"> </w:t>
        <w:t>ubuntu@kdump-netcrash's password:</w:t>
      </w:r>
    </w:p>
    <w:p>
      <w:pPr>
        <w:pStyle w:val="Normal"/>
      </w:pPr>
      <w:r>
        <w:t>propagated ssh key /root/.ssh/kdump_id_rsa to server ubuntu@kdump-netcrash</w:t>
      </w:r>
    </w:p>
    <w:p>
      <w:pPr>
        <w:pStyle w:val="Para 17"/>
      </w:pPr>
      <w:r>
        <w:t/>
      </w:r>
    </w:p>
    <w:p>
      <w:pPr>
        <w:pStyle w:val="Normal"/>
      </w:pPr>
      <w:r>
        <w:t>The password of the account used on the remote server will be required in order to success-fully send the public key to the server.</w:t>
      </w:r>
    </w:p>
    <w:p>
      <w:pPr>
        <w:pStyle w:val="Normal"/>
      </w:pPr>
      <w:r>
        <w:t>The kdump-config show command can be used to confirm that kdump is correctly configured to use the SSH protocol:</w:t>
      </w:r>
    </w:p>
    <w:p>
      <w:pPr>
        <w:pStyle w:val="Normal"/>
      </w:pPr>
      <w:r>
        <w:t>kdump-config show</w:t>
      </w:r>
    </w:p>
    <w:p>
      <w:pPr>
        <w:pStyle w:val="Para 17"/>
      </w:pPr>
      <w:r>
        <w:t/>
      </w:r>
    </w:p>
    <w:p>
      <w:pPr>
        <w:pStyle w:val="Normal"/>
      </w:pPr>
      <w:r>
        <w:t>Whose output appears like this:</w:t>
      </w:r>
    </w:p>
    <w:p>
      <w:pPr>
        <w:pStyle w:val="Normal"/>
      </w:pPr>
      <w:r>
        <w:t>DUMP_MODE:</w:t>
        <w:t xml:space="preserve"> </w:t>
        <w:t>kdump</w:t>
      </w:r>
    </w:p>
    <w:p>
      <w:pPr>
        <w:pStyle w:val="Normal"/>
      </w:pPr>
      <w:r>
        <w:t>USE_KDUMP:</w:t>
        <w:t xml:space="preserve"> </w:t>
        <w:t>1</w:t>
      </w:r>
    </w:p>
    <w:p>
      <w:pPr>
        <w:pStyle w:val="Normal"/>
      </w:pPr>
      <w:r>
        <w:t>KDUMP_SYSCTL:</w:t>
        <w:t xml:space="preserve"> </w:t>
        <w:t>kernel.panic_on_oops=1</w:t>
        <w:t xml:space="preserve"> </w:t>
        <w:t>KDUMP_COREDIR:</w:t>
        <w:t xml:space="preserve"> </w:t>
        <w:t>/var/crash</w:t>
      </w:r>
    </w:p>
    <w:p>
      <w:pPr>
        <w:pStyle w:val="Normal"/>
      </w:pPr>
      <w:r>
        <w:t>crashkernel addr: 0x2c000000</w:t>
      </w:r>
    </w:p>
    <w:p>
      <w:pPr>
        <w:pStyle w:val="Para 04"/>
      </w:pPr>
      <w:r>
        <w:t>/var/lib/kdump/vmlinuz: symbolic link to /boot/vmlinuz-4.4.0-10-generic</w:t>
        <w:t xml:space="preserve"> </w:t>
        <w:t>kdump initrd:</w:t>
      </w:r>
    </w:p>
    <w:p>
      <w:pPr>
        <w:pStyle w:val="Para 04"/>
      </w:pPr>
      <w:r>
        <w:t>/var/lib/kdump/initrd.img: symbolic link to /var/lib/kdump/initrd.img-4.4.0-10-generic</w:t>
        <w:t xml:space="preserve"> </w:t>
        <w:t>SSH:</w:t>
        <w:t xml:space="preserve"> </w:t>
        <w:t>ubuntu@kdump-netcrash</w:t>
      </w:r>
    </w:p>
    <w:p>
      <w:pPr>
        <w:pStyle w:val="Normal"/>
      </w:pPr>
      <w:r>
        <w:t>SSH_KEY:</w:t>
        <w:t xml:space="preserve"> </w:t>
        <w:t>/root/.ssh/kdump_id_rsa</w:t>
        <w:t xml:space="preserve"> </w:t>
        <w:t>HOSTTAG:</w:t>
        <w:t xml:space="preserve"> </w:t>
        <w:t>ip</w:t>
      </w:r>
    </w:p>
    <w:p>
      <w:pPr>
        <w:pStyle w:val="Normal"/>
      </w:pPr>
      <w:r>
        <w:t>current state:</w:t>
        <w:t xml:space="preserve"> </w:t>
        <w:t>ready to kdump</w:t>
      </w:r>
    </w:p>
    <w:p>
      <w:pPr>
        <w:pStyle w:val="Para 17"/>
      </w:pPr>
      <w:r>
        <w:t/>
      </w:r>
    </w:p>
    <w:p>
      <w:pPr>
        <w:pStyle w:val="Para 01"/>
      </w:pPr>
      <w:r>
        <w:t>Remote kernel crash dumps using the NFS protocol</w:t>
      </w:r>
    </w:p>
    <w:p>
      <w:pPr>
        <w:pStyle w:val="Para 17"/>
      </w:pPr>
      <w:r>
        <w:t/>
      </w:r>
    </w:p>
    <w:p>
      <w:pPr>
        <w:pStyle w:val="Normal"/>
      </w:pPr>
      <w:r>
        <w:t>To enable remote dumps using the NFS protocol, the /etc/default/kdump-tools must be modified in the following manner:</w:t>
      </w:r>
    </w:p>
    <w:p>
      <w:pPr>
        <w:pStyle w:val="Normal"/>
      </w:pPr>
      <w:r>
        <w:t># NFS -</w:t>
        <w:t xml:space="preserve"> </w:t>
        <w:t>Hostname and mount point of the NFS server configured to receive</w:t>
        <w:t xml:space="preserve"> </w:t>
        <w:t>#</w:t>
        <w:t xml:space="preserve"> </w:t>
        <w:t>the crash dump. The syntax must be {HOSTNAME}:{MOUNTPOINT}</w:t>
        <w:t xml:space="preserve"> </w:t>
        <w:t>#</w:t>
        <w:t xml:space="preserve"> </w:t>
        <w:t>(e.g. remote:/var/crash)</w:t>
      </w:r>
    </w:p>
    <w:p>
      <w:pPr>
        <w:pStyle w:val="Normal"/>
      </w:pPr>
      <w:r>
        <w:t>#</w:t>
      </w:r>
    </w:p>
    <w:p>
      <w:pPr>
        <w:pStyle w:val="Normal"/>
      </w:pPr>
      <w:r>
        <w:t>NFS="kdump-netcrash:/var/crash"</w:t>
      </w:r>
    </w:p>
    <w:p>
      <w:pPr>
        <w:pStyle w:val="Para 17"/>
      </w:pPr>
      <w:r>
        <w:t/>
      </w:r>
    </w:p>
    <w:p>
      <w:pPr>
        <w:pStyle w:val="Normal"/>
      </w:pPr>
      <w:r>
        <w:t>As with the SSH protocol, the HOSTTAG variable can be used to replace the IP address by the hostname as the prefix of the remote directory.</w:t>
      </w:r>
    </w:p>
    <w:p>
      <w:pPr>
        <w:pStyle w:val="Normal"/>
      </w:pPr>
      <w:r>
        <w:t>The kdump-config show command can be used to confirm that kdump is correctly configured to use the NFS protocol :</w:t>
      </w:r>
    </w:p>
    <w:p>
      <w:pPr>
        <w:pStyle w:val="Normal"/>
      </w:pPr>
      <w:r>
        <w:t>kdump-config show</w:t>
      </w:r>
    </w:p>
    <w:p>
      <w:pPr>
        <w:pStyle w:val="Para 17"/>
      </w:pPr>
      <w:r>
        <w:t/>
      </w:r>
    </w:p>
    <w:p>
      <w:pPr>
        <w:pStyle w:val="Normal"/>
      </w:pPr>
      <w:r>
        <w:t>Which produces an output like this:</w:t>
      </w:r>
    </w:p>
    <w:p>
      <w:pPr>
        <w:pStyle w:val="Normal"/>
      </w:pPr>
      <w:r>
        <w:t>DUMP_MODE:</w:t>
        <w:t xml:space="preserve"> </w:t>
        <w:t>kdump</w:t>
      </w:r>
    </w:p>
    <w:p>
      <w:pPr>
        <w:pStyle w:val="Normal"/>
      </w:pPr>
      <w:r>
        <w:t>USE_KDUMP:</w:t>
        <w:t xml:space="preserve"> </w:t>
        <w:t>1</w:t>
      </w:r>
    </w:p>
    <w:p>
      <w:pPr>
        <w:pStyle w:val="Normal"/>
      </w:pPr>
      <w:r>
        <w:t>KDUMP_SYSCTL:</w:t>
        <w:t xml:space="preserve"> </w:t>
        <w:t>kernel.panic_on_oops=1</w:t>
      </w:r>
    </w:p>
    <w:p>
      <w:pPr>
        <w:pStyle w:val="Para 09"/>
      </w:pPr>
      <w:r>
        <w:t>(continues on next page)</w:t>
      </w:r>
    </w:p>
    <w:p>
      <w:bookmarkStart w:id="1009" w:name="page_6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89" name="index-657_1.png" descr="index-657_1.png"/>
            <wp:cNvGraphicFramePr>
              <a:graphicFrameLocks noChangeAspect="1"/>
            </wp:cNvGraphicFramePr>
            <a:graphic>
              <a:graphicData uri="http://schemas.openxmlformats.org/drawingml/2006/picture">
                <pic:pic>
                  <pic:nvPicPr>
                    <pic:cNvPr id="0" name="index-657_1.png" descr="index-657_1.png"/>
                    <pic:cNvPicPr/>
                  </pic:nvPicPr>
                  <pic:blipFill>
                    <a:blip r:embed="rId693"/>
                    <a:stretch>
                      <a:fillRect/>
                    </a:stretch>
                  </pic:blipFill>
                  <pic:spPr>
                    <a:xfrm>
                      <a:off x="0" y="0"/>
                      <a:ext cx="914400" cy="266700"/>
                    </a:xfrm>
                    <a:prstGeom prst="rect">
                      <a:avLst/>
                    </a:prstGeom>
                  </pic:spPr>
                </pic:pic>
              </a:graphicData>
            </a:graphic>
          </wp:anchor>
        </w:drawing>
      </w:r>
      <w:bookmarkEnd w:id="1009"/>
    </w:p>
    <w:p>
      <w:pPr>
        <w:pStyle w:val="Para 09"/>
      </w:pPr>
      <w:r>
        <w:t>(continued from previous page)</w:t>
      </w:r>
    </w:p>
    <w:p>
      <w:pPr>
        <w:pStyle w:val="Normal"/>
      </w:pPr>
      <w:r>
        <w:t>KDUMP_COREDIR:</w:t>
        <w:t xml:space="preserve"> </w:t>
        <w:t>/var/crash</w:t>
      </w:r>
    </w:p>
    <w:p>
      <w:pPr>
        <w:pStyle w:val="Normal"/>
      </w:pPr>
      <w:r>
        <w:t>crashkernel addr: 0x2c000000</w:t>
      </w:r>
    </w:p>
    <w:p>
      <w:pPr>
        <w:pStyle w:val="Para 02"/>
      </w:pPr>
      <w:r>
        <w:t>/var/lib/kdump/vmlinuz: symbolic link to /boot/vmlinuz-4.4.0-10-generic</w:t>
      </w:r>
    </w:p>
    <w:p>
      <w:pPr>
        <w:pStyle w:val="Normal"/>
      </w:pPr>
      <w:r>
        <w:t>kdump initrd:</w:t>
      </w:r>
    </w:p>
    <w:p>
      <w:pPr>
        <w:pStyle w:val="Para 17"/>
      </w:pPr>
      <w:r>
        <w:t>/var/lib/kdump/initrd.img: symbolic link to /var/lib/kdump/initrd.img-4.4.0-10-generic</w:t>
      </w:r>
    </w:p>
    <w:p>
      <w:pPr>
        <w:pStyle w:val="Normal"/>
      </w:pPr>
      <w:r>
        <w:t>NFS:</w:t>
        <w:t xml:space="preserve"> </w:t>
        <w:t>kdump-netcrash:/var/crash</w:t>
        <w:t xml:space="preserve"> </w:t>
        <w:t>HOSTTAG:</w:t>
        <w:t xml:space="preserve"> </w:t>
        <w:t>hostname</w:t>
      </w:r>
    </w:p>
    <w:p>
      <w:pPr>
        <w:pStyle w:val="Normal"/>
      </w:pPr>
      <w:r>
        <w:t>current state:</w:t>
        <w:t xml:space="preserve"> </w:t>
        <w:t>ready to kdump</w:t>
      </w:r>
    </w:p>
    <w:p>
      <w:pPr>
        <w:pStyle w:val="Para 17"/>
      </w:pPr>
      <w:r>
        <w:t/>
      </w:r>
    </w:p>
    <w:p>
      <w:pPr>
        <w:pStyle w:val="Para 01"/>
      </w:pPr>
      <w:r>
        <w:t>Troubleshooting</w:t>
      </w:r>
    </w:p>
    <w:p>
      <w:pPr>
        <w:pStyle w:val="Para 17"/>
      </w:pPr>
      <w:r>
        <w:t/>
      </w:r>
    </w:p>
    <w:p>
      <w:pPr>
        <w:pStyle w:val="Normal"/>
      </w:pPr>
      <w:r>
        <w:t>As seen previously, the kdump-config show command displays the current status of the kdump-tools configuration: But in a system without sufficient memory (here 1 GB) it would not re-serve memory, due to that initialization would fail.</w:t>
      </w:r>
    </w:p>
    <w:p>
      <w:pPr>
        <w:pStyle w:val="Normal"/>
      </w:pPr>
      <w:r>
        <w:t>Such conditions can be seen in kdump-config show as well, the primary value to check is cur-rent state.</w:t>
      </w:r>
    </w:p>
    <w:p>
      <w:pPr>
        <w:pStyle w:val="Normal"/>
      </w:pPr>
      <w:r>
        <w:t>kdump-config show</w:t>
      </w:r>
    </w:p>
    <w:p>
      <w:pPr>
        <w:pStyle w:val="Para 17"/>
      </w:pPr>
      <w:r>
        <w:t/>
      </w:r>
    </w:p>
    <w:p>
      <w:pPr>
        <w:pStyle w:val="Normal"/>
      </w:pPr>
      <w:r>
        <w:t>Which in this bad case would report:</w:t>
      </w:r>
    </w:p>
    <w:p>
      <w:pPr>
        <w:pStyle w:val="Normal"/>
      </w:pPr>
      <w:r>
        <w:t>DUMP_MODE:</w:t>
        <w:t xml:space="preserve"> </w:t>
        <w:t>kdump</w:t>
      </w:r>
    </w:p>
    <w:p>
      <w:pPr>
        <w:pStyle w:val="Normal"/>
      </w:pPr>
      <w:r>
        <w:t>USE_KDUMP:</w:t>
        <w:t xml:space="preserve"> </w:t>
        <w:t>1</w:t>
      </w:r>
    </w:p>
    <w:p>
      <w:pPr>
        <w:pStyle w:val="Normal"/>
      </w:pPr>
      <w:r>
        <w:t>KDUMP_COREDIR:</w:t>
        <w:t xml:space="preserve"> </w:t>
        <w:t>/var/crash</w:t>
        <w:t xml:space="preserve"> </w:t>
        <w:t>crashkernel addr:</w:t>
      </w:r>
    </w:p>
    <w:p>
      <w:pPr>
        <w:pStyle w:val="Para 02"/>
      </w:pPr>
      <w:r>
        <w:t>/var/lib/kdump/vmlinuz: symbolic link to /boot/vmlinuz-6.18.0-8-generic</w:t>
      </w:r>
    </w:p>
    <w:p>
      <w:pPr>
        <w:pStyle w:val="Normal"/>
      </w:pPr>
      <w:r>
        <w:t>kdump initrd:</w:t>
      </w:r>
    </w:p>
    <w:p>
      <w:pPr>
        <w:pStyle w:val="Para 17"/>
      </w:pPr>
      <w:r>
        <w:t>/var/lib/kdump/initrd.img: symbolic link to /var/lib/kdump/initrd.img-6.18.0-8-generic</w:t>
      </w:r>
    </w:p>
    <w:p>
      <w:pPr>
        <w:pStyle w:val="Normal"/>
      </w:pPr>
      <w:r>
        <w:t>current state:</w:t>
        <w:t xml:space="preserve"> </w:t>
        <w:t>Not ready to kdump</w:t>
      </w:r>
    </w:p>
    <w:p>
      <w:pPr>
        <w:pStyle w:val="Normal"/>
      </w:pPr>
      <w:r>
        <w:t>crashkernel suggested size: 329M</w:t>
      </w:r>
    </w:p>
    <w:p>
      <w:pPr>
        <w:pStyle w:val="Normal"/>
      </w:pPr>
      <w:r>
        <w:t>kexec command:</w:t>
      </w:r>
    </w:p>
    <w:p>
      <w:pPr>
        <w:pStyle w:val="Para 03"/>
      </w:pPr>
      <w:r>
        <w:t>no kexec command recorded</w:t>
      </w:r>
    </w:p>
    <w:p>
      <w:pPr>
        <w:pStyle w:val="Para 17"/>
      </w:pPr>
      <w:r>
        <w:t/>
      </w:r>
    </w:p>
    <w:p>
      <w:pPr>
        <w:pStyle w:val="Normal"/>
      </w:pPr>
      <w:r>
        <w:t>Such allocation errors can also be seen in the journal output as well as the service status of kdump-tools:</w:t>
      </w:r>
    </w:p>
    <w:p>
      <w:pPr>
        <w:pStyle w:val="Normal"/>
      </w:pPr>
      <w:r>
        <w:t>systemctl status kdump-tools</w:t>
      </w:r>
    </w:p>
    <w:p>
      <w:pPr>
        <w:pStyle w:val="Para 17"/>
      </w:pPr>
      <w:r>
        <w:t/>
      </w:r>
    </w:p>
    <w:p>
      <w:pPr>
        <w:pStyle w:val="Normal"/>
      </w:pPr>
      <w:r>
        <w:t>Might then show:</w:t>
      </w:r>
    </w:p>
    <w:p>
      <w:pPr>
        <w:pStyle w:val="Normal"/>
      </w:pPr>
      <w:r>
        <w:t>...</w:t>
      </w:r>
    </w:p>
    <w:p>
      <w:pPr>
        <w:pStyle w:val="Normal"/>
      </w:pPr>
      <w:r>
        <w:t>... kdump-tools[5348]: Memory for crashkernel is not reserved</w:t>
        <w:t xml:space="preserve"> </w:t>
        <w:t>... kdump-tools[5348]: Please reserve memory by passing"crashkernel=Y@X" parameter to</w:t>
        <w:t xml:space="preserve"> </w:t>
        <w:t>kernel</w:t>
      </w:r>
    </w:p>
    <w:p>
      <w:pPr>
        <w:pStyle w:val="Normal"/>
      </w:pPr>
      <w:r>
        <w:t>... kdump-tools[5348]: Then try to loading kdump kernel</w:t>
      </w:r>
    </w:p>
    <w:p>
      <w:bookmarkStart w:id="1010" w:name="calibre_pb_176"/>
      <w:pPr>
        <w:pStyle w:val="0 Block"/>
      </w:pPr>
      <w:bookmarkEnd w:id="1010"/>
    </w:p>
    <w:p>
      <w:bookmarkStart w:id="1011" w:name="page_658"/>
      <w:bookmarkStart w:id="1012" w:name="Top_of_index_split_17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0" name="index-658_1.png" descr="index-658_1.png"/>
            <wp:cNvGraphicFramePr>
              <a:graphicFrameLocks noChangeAspect="1"/>
            </wp:cNvGraphicFramePr>
            <a:graphic>
              <a:graphicData uri="http://schemas.openxmlformats.org/drawingml/2006/picture">
                <pic:pic>
                  <pic:nvPicPr>
                    <pic:cNvPr id="0" name="index-658_1.png" descr="index-658_1.png"/>
                    <pic:cNvPicPr/>
                  </pic:nvPicPr>
                  <pic:blipFill>
                    <a:blip r:embed="rId694"/>
                    <a:stretch>
                      <a:fillRect/>
                    </a:stretch>
                  </pic:blipFill>
                  <pic:spPr>
                    <a:xfrm>
                      <a:off x="0" y="0"/>
                      <a:ext cx="914400" cy="266700"/>
                    </a:xfrm>
                    <a:prstGeom prst="rect">
                      <a:avLst/>
                    </a:prstGeom>
                  </pic:spPr>
                </pic:pic>
              </a:graphicData>
            </a:graphic>
          </wp:anchor>
        </w:drawing>
      </w:r>
      <w:bookmarkEnd w:id="1011"/>
      <w:bookmarkEnd w:id="1012"/>
    </w:p>
    <w:p>
      <w:pPr>
        <w:pStyle w:val="Para 01"/>
      </w:pPr>
      <w:r>
        <w:t>Testing the crash dump mechanism</w:t>
      </w:r>
    </w:p>
    <w:p>
      <w:pPr>
        <w:pStyle w:val="Para 17"/>
      </w:pPr>
      <w:r>
        <w:t/>
      </w:r>
    </w:p>
    <w:p>
      <w:pPr>
        <w:pStyle w:val="Para 08"/>
      </w:pPr>
      <w:r>
        <w:t>Warning:</w:t>
      </w:r>
    </w:p>
    <w:p>
      <w:pPr>
        <w:pStyle w:val="Para 17"/>
      </w:pPr>
      <w:r>
        <w:t/>
      </w:r>
    </w:p>
    <w:p>
      <w:pPr>
        <w:pStyle w:val="Para 03"/>
      </w:pPr>
      <w:r>
        <w:t xml:space="preserve">Testing the crash dump mechanism </w:t>
      </w:r>
      <w:r>
        <w:rPr>
          <w:rStyle w:val="Text0"/>
        </w:rPr>
        <w:t>will cause a system reboot</w:t>
      </w:r>
      <w:r>
        <w:t>. In certain situations, this</w:t>
      </w:r>
    </w:p>
    <w:p>
      <w:pPr>
        <w:pStyle w:val="Para 03"/>
      </w:pPr>
      <w:r>
        <w:t>can cause data loss if the system is under heavy load. If you want to test the mechanism,</w:t>
      </w:r>
    </w:p>
    <w:p>
      <w:pPr>
        <w:pStyle w:val="Para 03"/>
      </w:pPr>
      <w:r>
        <w:t>make sure that the system is idle or under very light load.</w:t>
      </w:r>
    </w:p>
    <w:p>
      <w:pPr>
        <w:pStyle w:val="Para 17"/>
      </w:pPr>
      <w:r>
        <w:t/>
      </w:r>
    </w:p>
    <w:p>
      <w:pPr>
        <w:pStyle w:val="Normal"/>
      </w:pPr>
      <w:r>
        <w:t xml:space="preserve">Verify that the </w:t>
      </w:r>
      <w:r>
        <w:rPr>
          <w:rStyle w:val="Text3"/>
        </w:rPr>
        <w:t>SysRQ</w:t>
      </w:r>
      <w:r>
        <w:t xml:space="preserve"> mechanism is enabled by looking at the value of the /proc/sys/kernel/ sysrq kernel parameter:</w:t>
      </w:r>
    </w:p>
    <w:p>
      <w:pPr>
        <w:pStyle w:val="Normal"/>
      </w:pPr>
      <w:r>
        <w:t>cat /proc/sys/kernel/sysrq</w:t>
      </w:r>
    </w:p>
    <w:p>
      <w:pPr>
        <w:pStyle w:val="Para 17"/>
      </w:pPr>
      <w:r>
        <w:t/>
      </w:r>
    </w:p>
    <w:p>
      <w:pPr>
        <w:pStyle w:val="Normal"/>
      </w:pPr>
      <w:r>
        <w:t xml:space="preserve">If a value of </w:t>
      </w:r>
      <w:r>
        <w:rPr>
          <w:rStyle w:val="Text3"/>
        </w:rPr>
        <w:t>0</w:t>
      </w:r>
      <w:r>
        <w:t xml:space="preserve"> is returned, the dump and then reboot feature is likely disabled. A value greater than </w:t>
      </w:r>
      <w:r>
        <w:rPr>
          <w:rStyle w:val="Text3"/>
        </w:rPr>
        <w:t>1</w:t>
      </w:r>
      <w:r>
        <w:t xml:space="preserve"> indicates that a sub-set of sysrq features is enabled. See /usr/lib/sysctl. d/55-magic-sysrq.conf for a detailed description of the options and their default values.</w:t>
      </w:r>
    </w:p>
    <w:p>
      <w:pPr>
        <w:pStyle w:val="Para 08"/>
      </w:pPr>
      <w:r>
        <w:t>Note:</w:t>
      </w:r>
    </w:p>
    <w:p>
      <w:pPr>
        <w:pStyle w:val="Para 03"/>
      </w:pPr>
      <w:r>
        <w:t>On 24.10 and earlier the location of this file was at /etc/sysctl.d/10-magic-sysrq.conf</w:t>
      </w:r>
    </w:p>
    <w:p>
      <w:pPr>
        <w:pStyle w:val="Para 17"/>
      </w:pPr>
      <w:r>
        <w:t/>
      </w:r>
    </w:p>
    <w:p>
      <w:pPr>
        <w:pStyle w:val="Normal"/>
      </w:pPr>
      <w:r>
        <w:t>If disabled on your system, enable sysrq dump:</w:t>
      </w:r>
    </w:p>
    <w:p>
      <w:pPr>
        <w:pStyle w:val="Normal"/>
      </w:pPr>
      <w:r>
        <w:t>sudo sysctl -w kernel.sysrq</w:t>
        <w:t>=</w:t>
        <w:t>1</w:t>
      </w:r>
    </w:p>
    <w:p>
      <w:pPr>
        <w:pStyle w:val="Para 17"/>
      </w:pPr>
      <w:r>
        <w:t/>
      </w:r>
    </w:p>
    <w:p>
      <w:pPr>
        <w:pStyle w:val="Normal"/>
      </w:pPr>
      <w:r>
        <w:t xml:space="preserve">Once this is done, you must become root, as just using sudo will not be sufficient. As the </w:t>
      </w:r>
      <w:r>
        <w:rPr>
          <w:rStyle w:val="Text3"/>
        </w:rPr>
        <w:t>root</w:t>
      </w:r>
      <w:r>
        <w:t xml:space="preserve"> user, you will have to issue the command echo c &gt; /proc/sysrq-trigger. If you are using a network connection, you will lose contact with the system. This is why it is better to do the test while being connected to the system console. This has the advantage of making the kernel dump process visible.</w:t>
      </w:r>
    </w:p>
    <w:p>
      <w:pPr>
        <w:pStyle w:val="Normal"/>
      </w:pPr>
      <w:r>
        <w:t>A typical test output should look like the following on e.g. a serial console:</w:t>
      </w:r>
    </w:p>
    <w:p>
      <w:pPr>
        <w:pStyle w:val="Normal"/>
      </w:pPr>
      <w:r>
        <w:t>[</w:t>
        <w:t xml:space="preserve"> </w:t>
        <w:t>977.208267] sysrq: Trigger a crash</w:t>
      </w:r>
    </w:p>
    <w:p>
      <w:pPr>
        <w:pStyle w:val="Normal"/>
      </w:pPr>
      <w:r>
        <w:t>[</w:t>
        <w:t xml:space="preserve"> </w:t>
        <w:t>977.209313] Kernel panic - not syncing: sysrq triggered crash</w:t>
        <w:t xml:space="preserve"> </w:t>
        <w:t>[</w:t>
        <w:t xml:space="preserve"> </w:t>
        <w:t>977.210684] CPU: 0 UID: 0 PID: 1567 Comm: bash Kdump: loaded Not tainted 6.18.0-8-</w:t>
        <w:t>generic #8-Ubuntu PREEMPT(voluntary)</w:t>
      </w:r>
    </w:p>
    <w:p>
      <w:pPr>
        <w:pStyle w:val="Normal"/>
      </w:pPr>
      <w:r>
        <w:t>[</w:t>
        <w:t xml:space="preserve"> </w:t>
        <w:t>977.215248] Hardware name: QEMU Standard PC (Q35 + ICH9, 2009)/LXD, BIOS unknown 2/2/</w:t>
      </w:r>
    </w:p>
    <w:p>
      <w:pPr>
        <w:pStyle w:val="Normal"/>
      </w:pPr>
      <w:r>
        <w:t>2022</w:t>
      </w:r>
    </w:p>
    <w:p>
      <w:pPr>
        <w:pStyle w:val="Normal"/>
      </w:pPr>
      <w:r>
        <w:t>[</w:t>
        <w:t xml:space="preserve"> </w:t>
        <w:t>977.216319] Call Trace:</w:t>
      </w:r>
    </w:p>
    <w:p>
      <w:pPr>
        <w:pStyle w:val="Normal"/>
      </w:pPr>
      <w:r>
        <w:t>...</w:t>
      </w:r>
    </w:p>
    <w:p>
      <w:pPr>
        <w:pStyle w:val="Para 17"/>
      </w:pPr>
      <w:r>
        <w:t/>
      </w:r>
    </w:p>
    <w:p>
      <w:pPr>
        <w:pStyle w:val="Normal"/>
      </w:pPr>
      <w:r>
        <w:t>The rest of the output might be truncated, but you should see the system rebooting and somewhere in the log, you will see the following line :</w:t>
      </w:r>
    </w:p>
    <w:p>
      <w:pPr>
        <w:pStyle w:val="Normal"/>
      </w:pPr>
      <w:r>
        <w:t>[</w:t>
        <w:t xml:space="preserve"> </w:t>
        <w:t>5.171504] kdump-tools[740]: Starting kdump-tools:</w:t>
        <w:t xml:space="preserve"> </w:t>
        <w:t>[</w:t>
        <w:t xml:space="preserve"> </w:t>
        <w:t>5.174084] kdump-tools[747]:</w:t>
        <w:t xml:space="preserve"> </w:t>
        <w:t>* running makedumpfile --dump-dmesg /proc/vmcore /var/</w:t>
        <w:t xml:space="preserve"> </w:t>
        <w:t>crash/202601210724/dmesg.202601210724</w:t>
      </w:r>
    </w:p>
    <w:p>
      <w:pPr>
        <w:pStyle w:val="Normal"/>
      </w:pPr>
      <w:r>
        <w:t>[</w:t>
        <w:t xml:space="preserve"> </w:t>
        <w:t>5.185243] kdump-tools[765]: The kernel version is not supported.</w:t>
        <w:t xml:space="preserve"> </w:t>
        <w:t>[</w:t>
        <w:t xml:space="preserve"> </w:t>
        <w:t>5.188411] kdump-tools[765]: The makedumpfile operation may be incomplete.</w:t>
        <w:t xml:space="preserve"> </w:t>
        <w:t>[</w:t>
        <w:t xml:space="preserve"> </w:t>
        <w:t>5.191528] kdump-tools[765]: The dmesg log is saved to /var/crash/202601210724/dmesg.</w:t>
      </w:r>
    </w:p>
    <w:p>
      <w:pPr>
        <w:pStyle w:val="Normal"/>
      </w:pPr>
      <w:r>
        <w:t>202601210724.</w:t>
      </w:r>
    </w:p>
    <w:p>
      <w:pPr>
        <w:pStyle w:val="Normal"/>
      </w:pPr>
      <w:r>
        <w:t>[</w:t>
        <w:t xml:space="preserve"> </w:t>
        <w:t>5.196300] kdump-tools[765]: makedumpfile Completed.</w:t>
      </w:r>
    </w:p>
    <w:p>
      <w:pPr>
        <w:pStyle w:val="Para 09"/>
      </w:pPr>
      <w:r>
        <w:t>(continues on next page)</w:t>
      </w:r>
    </w:p>
    <w:p>
      <w:bookmarkStart w:id="1013" w:name="page_6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1" name="index-659_1.png" descr="index-659_1.png"/>
            <wp:cNvGraphicFramePr>
              <a:graphicFrameLocks noChangeAspect="1"/>
            </wp:cNvGraphicFramePr>
            <a:graphic>
              <a:graphicData uri="http://schemas.openxmlformats.org/drawingml/2006/picture">
                <pic:pic>
                  <pic:nvPicPr>
                    <pic:cNvPr id="0" name="index-659_1.png" descr="index-659_1.png"/>
                    <pic:cNvPicPr/>
                  </pic:nvPicPr>
                  <pic:blipFill>
                    <a:blip r:embed="rId695"/>
                    <a:stretch>
                      <a:fillRect/>
                    </a:stretch>
                  </pic:blipFill>
                  <pic:spPr>
                    <a:xfrm>
                      <a:off x="0" y="0"/>
                      <a:ext cx="914400" cy="266700"/>
                    </a:xfrm>
                    <a:prstGeom prst="rect">
                      <a:avLst/>
                    </a:prstGeom>
                  </pic:spPr>
                </pic:pic>
              </a:graphicData>
            </a:graphic>
          </wp:anchor>
        </w:drawing>
      </w:r>
      <w:bookmarkEnd w:id="1013"/>
    </w:p>
    <w:p>
      <w:pPr>
        <w:pStyle w:val="Para 09"/>
      </w:pPr>
      <w:r>
        <w:t>(continued from previous page)</w:t>
      </w:r>
    </w:p>
    <w:p>
      <w:pPr>
        <w:pStyle w:val="Normal"/>
      </w:pPr>
      <w:r>
        <w:t>[</w:t>
        <w:t xml:space="preserve"> </w:t>
        <w:t>5.199056] kdump-tools[747]:</w:t>
        <w:t xml:space="preserve"> </w:t>
        <w:t>* kdump-tools: saved dmesg content in /var/crash/</w:t>
        <w:t xml:space="preserve"> </w:t>
        <w:t>202601210724</w:t>
      </w:r>
    </w:p>
    <w:p>
      <w:pPr>
        <w:pStyle w:val="Normal"/>
      </w:pPr>
      <w:r>
        <w:t>[</w:t>
        <w:t xml:space="preserve"> </w:t>
        <w:t>5.204580] kdump-tools[747]:</w:t>
        <w:t xml:space="preserve"> </w:t>
        <w:t>* running makedumpfile -F -c -d 31 /proc/vmcore |</w:t>
        <w:t xml:space="preserve"> </w:t>
        <w:t>compress &gt; /var/crash/202601210724/dump-incomplete</w:t>
      </w:r>
    </w:p>
    <w:p>
      <w:pPr>
        <w:pStyle w:val="Normal"/>
      </w:pPr>
      <w:r>
        <w:t>[</w:t>
        <w:t xml:space="preserve"> </w:t>
        <w:t>5.210935] kdump-tools[769]: The kernel version is not supported.</w:t>
        <w:t xml:space="preserve"> </w:t>
        <w:t>[</w:t>
        <w:t xml:space="preserve"> </w:t>
        <w:t>5.214499] kdump-tools[769]: The makedumpfile operation may be incomplete.</w:t>
        <w:t xml:space="preserve"> </w:t>
        <w:t>Copying data</w:t>
        <w:t xml:space="preserve"> </w:t>
        <w:t>: [100.0 %] \</w:t>
        <w:t xml:space="preserve"> </w:t>
        <w:t>eta: 0s</w:t>
        <w:t xml:space="preserve"> </w:t>
        <w:t>[</w:t>
        <w:t xml:space="preserve"> </w:t>
        <w:t>7.000839] kdump-tools[769]: The dumpfile is saved to STDOUT.</w:t>
        <w:t xml:space="preserve"> </w:t>
        <w:t>[</w:t>
        <w:t xml:space="preserve"> </w:t>
        <w:t>7.003347] kdump-tools[769]: makedumpfile Completed.</w:t>
        <w:t xml:space="preserve"> </w:t>
        <w:t>[</w:t>
        <w:t xml:space="preserve"> </w:t>
        <w:t>7.006824] kdump-tools[747]:</w:t>
        <w:t xml:space="preserve"> </w:t>
        <w:t>* kdump-tools: saved vmcore in /var/crash/202601210724</w:t>
      </w:r>
    </w:p>
    <w:p>
      <w:pPr>
        <w:pStyle w:val="Para 17"/>
      </w:pPr>
      <w:r>
        <w:t/>
      </w:r>
    </w:p>
    <w:p>
      <w:pPr>
        <w:pStyle w:val="Normal"/>
      </w:pPr>
      <w:r>
        <w:t>Once completed, the system will reboot to its normal operational mode. You will then find the kernel crash dump file, and related subdirectories, in the /var/crash directory by running, e.g. ls /var/crash, which produces the following:</w:t>
      </w:r>
    </w:p>
    <w:p>
      <w:pPr>
        <w:pStyle w:val="Normal"/>
      </w:pPr>
      <w:r>
        <w:t>ll /var/crash</w:t>
      </w:r>
    </w:p>
    <w:p>
      <w:pPr>
        <w:pStyle w:val="Para 17"/>
      </w:pPr>
      <w:r>
        <w:t/>
      </w:r>
    </w:p>
    <w:p>
      <w:pPr>
        <w:pStyle w:val="Normal"/>
      </w:pPr>
      <w:r>
        <w:t>Showing:</w:t>
      </w:r>
    </w:p>
    <w:p>
      <w:pPr>
        <w:pStyle w:val="Normal"/>
      </w:pPr>
      <w:r>
        <w:t>drwxr</w:t>
        <w:t>-</w:t>
        <w:t>xr</w:t>
        <w:t>-</w:t>
        <w:t>x</w:t>
        <w:t xml:space="preserve"> </w:t>
        <w:t>2</w:t>
        <w:t xml:space="preserve"> </w:t>
        <w:t>root root</w:t>
        <w:t xml:space="preserve"> </w:t>
        <w:t>4096</w:t>
        <w:t xml:space="preserve"> </w:t>
        <w:t>Jan</w:t>
        <w:t xml:space="preserve"> </w:t>
        <w:t>21 07</w:t>
        <w:t>:</w:t>
        <w:t>31 202601210724</w:t>
        <w:t>/</w:t>
        <w:t>-</w:t>
        <w:t>rw</w:t>
        <w:t>-</w:t>
        <w:t>r</w:t>
        <w:t>--</w:t>
        <w:t>r</w:t>
        <w:t>--</w:t>
        <w:t xml:space="preserve"> </w:t>
        <w:t>1</w:t>
        <w:t xml:space="preserve"> </w:t>
        <w:t>root root</w:t>
        <w:t xml:space="preserve"> </w:t>
        <w:t>28838</w:t>
        <w:t xml:space="preserve"> </w:t>
        <w:t>Jan</w:t>
        <w:t xml:space="preserve"> </w:t>
        <w:t>21 07</w:t>
        <w:t>:</w:t>
        <w:t>24</w:t>
        <w:t xml:space="preserve"> </w:t>
        <w:t>linux</w:t>
        <w:t>-</w:t>
        <w:t>image</w:t>
        <w:t>-</w:t>
        <w:t>6.18.0</w:t>
        <w:t>-</w:t>
        <w:t>8</w:t>
        <w:t>-</w:t>
        <w:t>generic</w:t>
        <w:t>-</w:t>
        <w:t>202601210724.</w:t>
        <w:t>crash</w:t>
      </w:r>
    </w:p>
    <w:p>
      <w:pPr>
        <w:pStyle w:val="Para 17"/>
      </w:pPr>
      <w:r>
        <w:t/>
      </w:r>
    </w:p>
    <w:p>
      <w:pPr>
        <w:pStyle w:val="Normal"/>
      </w:pPr>
      <w:r>
        <w:t>And in this example:</w:t>
      </w:r>
    </w:p>
    <w:p>
      <w:pPr>
        <w:pStyle w:val="Normal"/>
      </w:pPr>
      <w:r>
        <w:t>ll /var/crash/202601210724</w:t>
      </w:r>
    </w:p>
    <w:p>
      <w:pPr>
        <w:pStyle w:val="Para 17"/>
      </w:pPr>
      <w:r>
        <w:t/>
      </w:r>
    </w:p>
    <w:p>
      <w:pPr>
        <w:pStyle w:val="Normal"/>
      </w:pPr>
      <w:r>
        <w:t>returning:</w:t>
      </w:r>
    </w:p>
    <w:p>
      <w:pPr>
        <w:pStyle w:val="Normal"/>
      </w:pPr>
      <w:r>
        <w:t>-</w:t>
        <w:t>rw</w:t>
        <w:t>-------</w:t>
        <w:t>1</w:t>
        <w:t xml:space="preserve"> </w:t>
        <w:t>root root</w:t>
        <w:t xml:space="preserve"> </w:t>
        <w:t>82264</w:t>
        <w:t xml:space="preserve"> </w:t>
        <w:t>Jan</w:t>
        <w:t xml:space="preserve"> </w:t>
        <w:t>21 07</w:t>
        <w:t>:</w:t>
        <w:t>24</w:t>
        <w:t xml:space="preserve"> </w:t>
        <w:t>dmesg</w:t>
        <w:t>.202601210724</w:t>
        <w:t>-</w:t>
        <w:t>rw</w:t>
        <w:t>-</w:t>
        <w:t>r</w:t>
        <w:t>--</w:t>
        <w:t>r</w:t>
        <w:t>--</w:t>
        <w:t>1</w:t>
        <w:t xml:space="preserve"> </w:t>
        <w:t>root root</w:t>
        <w:t xml:space="preserve"> </w:t>
        <w:t>51753823</w:t>
        <w:t xml:space="preserve"> </w:t>
        <w:t>Jan</w:t>
        <w:t xml:space="preserve"> </w:t>
        <w:t>21 07</w:t>
        <w:t>:</w:t>
        <w:t>24</w:t>
        <w:t xml:space="preserve"> </w:t>
        <w:t>dump</w:t>
        <w:t>.202601210724</w:t>
      </w:r>
    </w:p>
    <w:p>
      <w:pPr>
        <w:pStyle w:val="Para 17"/>
      </w:pPr>
      <w:r>
        <w:t/>
      </w:r>
    </w:p>
    <w:p>
      <w:pPr>
        <w:pStyle w:val="Para 01"/>
      </w:pPr>
      <w:r>
        <w:t>Analyzing a crash dump</w:t>
      </w:r>
    </w:p>
    <w:p>
      <w:pPr>
        <w:pStyle w:val="Para 17"/>
      </w:pPr>
      <w:r>
        <w:t/>
      </w:r>
    </w:p>
    <w:p>
      <w:pPr>
        <w:pStyle w:val="Normal"/>
      </w:pPr>
      <w:r>
        <w:t>To use a crash dump for debugging, the un-compressed and un-stripped kernel information</w:t>
      </w:r>
    </w:p>
    <w:p>
      <w:pPr>
        <w:pStyle w:val="Normal"/>
      </w:pPr>
      <w:r>
        <w:t xml:space="preserve">with debug symbols are needed. To get access to those please follow </w:t>
      </w:r>
      <w:hyperlink w:anchor="page_649">
        <w:r>
          <w:rPr>
            <w:rStyle w:val="Text2"/>
          </w:rPr>
          <w:t>Getting -dbgsym.ddeb</w:t>
        </w:r>
      </w:hyperlink>
    </w:p>
    <w:p>
      <w:pPr>
        <w:pStyle w:val="Normal"/>
      </w:pPr>
      <w:hyperlink w:anchor="page_649">
        <w:r>
          <w:rPr>
            <w:rStyle w:val="Text2"/>
          </w:rPr>
          <w:t>packages</w:t>
        </w:r>
      </w:hyperlink>
      <w:r>
        <w:t xml:space="preserve"> (page 648) to make the repository and associated keys known to your system.</w:t>
      </w:r>
    </w:p>
    <w:p>
      <w:pPr>
        <w:pStyle w:val="Para 08"/>
      </w:pPr>
      <w:r>
        <w:t>Note:</w:t>
      </w:r>
    </w:p>
    <w:p>
      <w:pPr>
        <w:pStyle w:val="Para 03"/>
      </w:pPr>
      <w:r>
        <w:t>This does not strictly need to happen on the system that had the crash, it can be copied</w:t>
      </w:r>
    </w:p>
    <w:p>
      <w:pPr>
        <w:pStyle w:val="Para 03"/>
      </w:pPr>
      <w:r>
        <w:t>away for analysis. But the examples are simplified to use e.g. uname -r to automatically se-</w:t>
      </w:r>
    </w:p>
    <w:p>
      <w:pPr>
        <w:pStyle w:val="Para 03"/>
      </w:pPr>
      <w:r>
        <w:t>lect the right kernel - when running on a different system these might need to be adapted.</w:t>
      </w:r>
    </w:p>
    <w:p>
      <w:pPr>
        <w:pStyle w:val="Para 17"/>
      </w:pPr>
      <w:r>
        <w:t/>
      </w:r>
    </w:p>
    <w:p>
      <w:pPr>
        <w:pStyle w:val="Normal"/>
      </w:pPr>
      <w:r>
        <w:t>Then install the debug symbols for your kernel; assuming it is the same that runs currently, that can be done with:</w:t>
      </w:r>
    </w:p>
    <w:p>
      <w:pPr>
        <w:pStyle w:val="Normal"/>
      </w:pPr>
      <w:r>
        <w:t>apt-get install linux-image-</w:t>
      </w:r>
      <w:r>
        <w:rPr>
          <w:rStyle w:val="Text0"/>
        </w:rPr>
        <w:t>$(</w:t>
      </w:r>
      <w:r>
        <w:t>uname -r</w:t>
      </w:r>
      <w:r>
        <w:rPr>
          <w:rStyle w:val="Text0"/>
        </w:rPr>
        <w:t>)</w:t>
      </w:r>
      <w:r>
        <w:t>-dbgsym</w:t>
      </w:r>
    </w:p>
    <w:p>
      <w:pPr>
        <w:pStyle w:val="Para 17"/>
      </w:pPr>
      <w:r>
        <w:t/>
      </w:r>
    </w:p>
    <w:p>
      <w:pPr>
        <w:pStyle w:val="Normal"/>
      </w:pPr>
      <w:r>
        <w:t>Be warned, a kernel is a large binary and the debug symbols are much larger. This will take a while to load and quite some space on disk. In the example case that will fetch linux-image-unsigned-6.18.0-8-generic-dbgsym which will make all the debug info available in /usr/lib/ debug/lib/modules/6.18.0-8-generic.</w:t>
      </w:r>
    </w:p>
    <w:p>
      <w:bookmarkStart w:id="1014" w:name="page_6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2" name="index-660_1.png" descr="index-660_1.png"/>
            <wp:cNvGraphicFramePr>
              <a:graphicFrameLocks noChangeAspect="1"/>
            </wp:cNvGraphicFramePr>
            <a:graphic>
              <a:graphicData uri="http://schemas.openxmlformats.org/drawingml/2006/picture">
                <pic:pic>
                  <pic:nvPicPr>
                    <pic:cNvPr id="0" name="index-660_1.png" descr="index-660_1.png"/>
                    <pic:cNvPicPr/>
                  </pic:nvPicPr>
                  <pic:blipFill>
                    <a:blip r:embed="rId696"/>
                    <a:stretch>
                      <a:fillRect/>
                    </a:stretch>
                  </pic:blipFill>
                  <pic:spPr>
                    <a:xfrm>
                      <a:off x="0" y="0"/>
                      <a:ext cx="914400" cy="266700"/>
                    </a:xfrm>
                    <a:prstGeom prst="rect">
                      <a:avLst/>
                    </a:prstGeom>
                  </pic:spPr>
                </pic:pic>
              </a:graphicData>
            </a:graphic>
          </wp:anchor>
        </w:drawing>
      </w:r>
      <w:bookmarkEnd w:id="1014"/>
    </w:p>
    <w:p>
      <w:pPr>
        <w:pStyle w:val="Normal"/>
      </w:pPr>
      <w:r>
        <w:t>With all that ready the crash dump can be opened:</w:t>
      </w:r>
    </w:p>
    <w:p>
      <w:pPr>
        <w:pStyle w:val="Normal"/>
      </w:pPr>
      <w:r>
        <w:t>crash /usr/lib/debug/boot/vmlinux-6.18.0-8-generic /var/crash/202601210724/dump.</w:t>
        <w:t xml:space="preserve"> </w:t>
        <w:t>202601210724</w:t>
      </w:r>
    </w:p>
    <w:p>
      <w:pPr>
        <w:pStyle w:val="Para 17"/>
      </w:pPr>
      <w:r>
        <w:t/>
      </w:r>
    </w:p>
    <w:p>
      <w:pPr>
        <w:pStyle w:val="Normal"/>
      </w:pPr>
      <w:r>
        <w:t>Which will then look like:</w:t>
      </w:r>
    </w:p>
    <w:p>
      <w:pPr>
        <w:pStyle w:val="Normal"/>
      </w:pPr>
      <w:r>
        <w:t>...</w:t>
      </w:r>
    </w:p>
    <w:p>
      <w:pPr>
        <w:pStyle w:val="Para 06"/>
      </w:pPr>
      <w:r>
        <w:t>KERNEL: /usr/lib/debug/boot/vmlinux-6.18.0-8-generic</w:t>
      </w:r>
    </w:p>
    <w:p>
      <w:pPr>
        <w:pStyle w:val="Para 02"/>
      </w:pPr>
      <w:r>
        <w:t>DUMPFILE: /var/crash/202601210724/dump.202601210724</w:t>
        <w:t xml:space="preserve"> </w:t>
        <w:t>[PARTIAL DUMP]</w:t>
      </w:r>
    </w:p>
    <w:p>
      <w:pPr>
        <w:pStyle w:val="Para 06"/>
      </w:pPr>
      <w:r>
        <w:t>CPUS: 1</w:t>
      </w:r>
    </w:p>
    <w:p>
      <w:pPr>
        <w:pStyle w:val="Para 06"/>
      </w:pPr>
      <w:r>
        <w:t>DATE: Thu Jan</w:t>
        <w:t xml:space="preserve"> </w:t>
        <w:t>1 00:00:00 UTC 1970</w:t>
      </w:r>
    </w:p>
    <w:p>
      <w:pPr>
        <w:pStyle w:val="Para 06"/>
      </w:pPr>
      <w:r>
        <w:t>UPTIME: 00:16:16</w:t>
      </w:r>
    </w:p>
    <w:p>
      <w:pPr>
        <w:pStyle w:val="Normal"/>
      </w:pPr>
      <w:r>
        <w:t>LOAD AVERAGE: 0.00, 0.00, 0.00</w:t>
      </w:r>
    </w:p>
    <w:p>
      <w:pPr>
        <w:pStyle w:val="Para 06"/>
      </w:pPr>
      <w:r>
        <w:t>TASKS: 157</w:t>
      </w:r>
    </w:p>
    <w:p>
      <w:pPr>
        <w:pStyle w:val="Para 02"/>
      </w:pPr>
      <w:r>
        <w:t>NODENAME: r-vm</w:t>
      </w:r>
    </w:p>
    <w:p>
      <w:pPr>
        <w:pStyle w:val="Para 02"/>
      </w:pPr>
      <w:r>
        <w:t>RELEASE: 6.18.0-8-generic</w:t>
      </w:r>
    </w:p>
    <w:p>
      <w:pPr>
        <w:pStyle w:val="Para 02"/>
      </w:pPr>
      <w:r>
        <w:t>VERSION: #8-Ubuntu SMP PREEMPT_DYNAMIC Wed Dec 17 16:14:24 UTC 2025</w:t>
        <w:t xml:space="preserve"> </w:t>
        <w:t>MACHINE: x86_64</w:t>
        <w:t xml:space="preserve"> </w:t>
        <w:t>(3792 Mhz)</w:t>
      </w:r>
    </w:p>
    <w:p>
      <w:pPr>
        <w:pStyle w:val="Para 06"/>
      </w:pPr>
      <w:r>
        <w:t>MEMORY: 3 GB</w:t>
      </w:r>
    </w:p>
    <w:p>
      <w:pPr>
        <w:pStyle w:val="Para 06"/>
      </w:pPr>
      <w:r>
        <w:t>PANIC: "Kernel panic - not syncing: sysrq triggered crash"</w:t>
      </w:r>
    </w:p>
    <w:p>
      <w:pPr>
        <w:pStyle w:val="Para 11"/>
      </w:pPr>
      <w:r>
        <w:t>PID: 1567</w:t>
      </w:r>
    </w:p>
    <w:p>
      <w:pPr>
        <w:pStyle w:val="Para 02"/>
      </w:pPr>
      <w:r>
        <w:t>COMMAND: "bash"</w:t>
      </w:r>
    </w:p>
    <w:p>
      <w:pPr>
        <w:pStyle w:val="Para 06"/>
      </w:pPr>
      <w:r>
        <w:t>TASK: ffff89cd07908000</w:t>
        <w:t xml:space="preserve"> </w:t>
        <w:t>[THREAD_INFO: ffff89cd07908000]</w:t>
      </w:r>
    </w:p>
    <w:p>
      <w:pPr>
        <w:pStyle w:val="Para 11"/>
      </w:pPr>
      <w:r>
        <w:t>CPU: 0</w:t>
      </w:r>
    </w:p>
    <w:p>
      <w:pPr>
        <w:pStyle w:val="Para 06"/>
      </w:pPr>
      <w:r>
        <w:t>STATE: TASK_RUNNING (PANIC)</w:t>
      </w:r>
    </w:p>
    <w:p>
      <w:pPr>
        <w:pStyle w:val="Normal"/>
      </w:pPr>
      <w:r>
        <w:t>crash&gt;</w:t>
      </w:r>
    </w:p>
    <w:p>
      <w:pPr>
        <w:pStyle w:val="Para 17"/>
      </w:pPr>
      <w:r>
        <w:t/>
      </w:r>
    </w:p>
    <w:p>
      <w:pPr>
        <w:pStyle w:val="Normal"/>
      </w:pPr>
      <w:r>
        <w:t>For example we see here the crash reason being us following the above example:</w:t>
      </w:r>
    </w:p>
    <w:p>
      <w:pPr>
        <w:pStyle w:val="Normal"/>
      </w:pPr>
      <w:r>
        <w:t>PANIC: "Kernel panic - not syncing: sysrq triggered crash"</w:t>
      </w:r>
    </w:p>
    <w:p>
      <w:pPr>
        <w:pStyle w:val="Para 17"/>
      </w:pPr>
      <w:r>
        <w:t/>
      </w:r>
    </w:p>
    <w:p>
      <w:pPr>
        <w:pStyle w:val="Normal"/>
      </w:pPr>
      <w:r>
        <w:t>And from there on it depends on what exactly you are looking for.</w:t>
      </w:r>
    </w:p>
    <w:p>
      <w:pPr>
        <w:pStyle w:val="Para 17"/>
      </w:pPr>
      <w:r>
        <w:t/>
      </w:r>
    </w:p>
    <w:p>
      <w:pPr>
        <w:pStyle w:val="Para 01"/>
      </w:pPr>
      <w:r>
        <w:t>Resources</w:t>
      </w:r>
    </w:p>
    <w:p>
      <w:pPr>
        <w:pStyle w:val="Para 17"/>
      </w:pPr>
      <w:r>
        <w:t/>
      </w:r>
    </w:p>
    <w:p>
      <w:pPr>
        <w:pStyle w:val="Normal"/>
      </w:pPr>
      <w:r>
        <w:t>Kernel crash dump is a vast topic that requires good knowledge of the Linux kernel. You can find more information on the topic here:</w:t>
      </w:r>
    </w:p>
    <w:p>
      <w:pPr>
        <w:pStyle w:val="Para 13"/>
      </w:pPr>
      <w:r>
        <w:rPr>
          <w:rStyle w:val="Text7"/>
        </w:rPr>
        <w:t xml:space="preserve">• </w:t>
      </w:r>
      <w:hyperlink r:id="rId1581">
        <w:r>
          <w:rPr>
            <w:rStyle w:val="Text10"/>
          </w:rPr>
          <w:t>671</w:t>
        </w:r>
      </w:hyperlink>
      <w:hyperlink r:id="rId1581">
        <w:r>
          <w:t xml:space="preserve"> kdump kernel documentation</w:t>
        </w:r>
      </w:hyperlink>
      <w:r>
        <w:rPr>
          <w:rStyle w:val="Text7"/>
        </w:rPr>
        <w:t>.</w:t>
      </w:r>
    </w:p>
    <w:p>
      <w:pPr>
        <w:pStyle w:val="Para 04"/>
      </w:pPr>
      <w:r>
        <w:t xml:space="preserve">• </w:t>
      </w:r>
      <w:hyperlink w:anchor="page_660">
        <w:r>
          <w:rPr>
            <w:rStyle w:val="Text9"/>
          </w:rPr>
          <w:t>672</w:t>
        </w:r>
      </w:hyperlink>
      <w:r>
        <w:t xml:space="preserve"> </w:t>
      </w:r>
      <w:hyperlink r:id="rId1582">
        <w:r>
          <w:rPr>
            <w:rStyle w:val="Text1"/>
          </w:rPr>
          <w:t>Analyzing Linux Kernel Crash</w:t>
        </w:r>
      </w:hyperlink>
      <w:r>
        <w:t xml:space="preserve"> (Based on Fedora, it still gives a good walk-through of</w:t>
      </w:r>
    </w:p>
    <w:p>
      <w:pPr>
        <w:pStyle w:val="Para 02"/>
      </w:pPr>
      <w:r>
        <w:t>kernel dump analysis)</w:t>
      </w:r>
    </w:p>
    <w:p>
      <w:pPr>
        <w:pStyle w:val="Para 05"/>
      </w:pPr>
      <w:r>
        <w:rPr>
          <w:rStyle w:val="Text5"/>
        </w:rPr>
        <w:t>671</w:t>
      </w:r>
      <w:r>
        <w:rPr>
          <w:rStyle w:val="Text8"/>
        </w:rPr>
        <w:t xml:space="preserve"> </w:t>
      </w:r>
      <w:r>
        <w:t>https://www.kernel.org/doc/Documentation/kdump/kdump.txt</w:t>
      </w:r>
    </w:p>
    <w:p>
      <w:pPr>
        <w:pStyle w:val="Para 05"/>
      </w:pPr>
      <w:r>
        <w:rPr>
          <w:rStyle w:val="Text5"/>
        </w:rPr>
        <w:t>672</w:t>
      </w:r>
      <w:r>
        <w:rPr>
          <w:rStyle w:val="Text8"/>
        </w:rPr>
        <w:t xml:space="preserve"> </w:t>
      </w:r>
      <w:r>
        <w:t>https://www.dedoimedo.com/computers/crash-analyze.html</w:t>
      </w:r>
    </w:p>
    <w:p>
      <w:bookmarkStart w:id="1015" w:name="calibre_pb_177"/>
      <w:pPr>
        <w:pStyle w:val="0 Block"/>
      </w:pPr>
      <w:bookmarkEnd w:id="1015"/>
    </w:p>
    <w:p>
      <w:bookmarkStart w:id="1016" w:name="page_661"/>
      <w:bookmarkStart w:id="1017" w:name="Top_of_index_split_17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3" name="index-661_1.png" descr="index-661_1.png"/>
            <wp:cNvGraphicFramePr>
              <a:graphicFrameLocks noChangeAspect="1"/>
            </wp:cNvGraphicFramePr>
            <a:graphic>
              <a:graphicData uri="http://schemas.openxmlformats.org/drawingml/2006/picture">
                <pic:pic>
                  <pic:nvPicPr>
                    <pic:cNvPr id="0" name="index-661_1.png" descr="index-661_1.png"/>
                    <pic:cNvPicPr/>
                  </pic:nvPicPr>
                  <pic:blipFill>
                    <a:blip r:embed="rId697"/>
                    <a:stretch>
                      <a:fillRect/>
                    </a:stretch>
                  </pic:blipFill>
                  <pic:spPr>
                    <a:xfrm>
                      <a:off x="0" y="0"/>
                      <a:ext cx="914400" cy="266700"/>
                    </a:xfrm>
                    <a:prstGeom prst="rect">
                      <a:avLst/>
                    </a:prstGeom>
                  </pic:spPr>
                </pic:pic>
              </a:graphicData>
            </a:graphic>
          </wp:anchor>
        </w:drawing>
      </w:r>
      <w:bookmarkEnd w:id="1016"/>
      <w:bookmarkEnd w:id="1017"/>
    </w:p>
    <w:p>
      <w:pPr>
        <w:pStyle w:val="Para 01"/>
      </w:pPr>
      <w:r>
        <w:t>Introduction to eBPF</w:t>
      </w:r>
    </w:p>
    <w:p>
      <w:pPr>
        <w:pStyle w:val="Para 17"/>
      </w:pPr>
      <w:r>
        <w:t/>
      </w:r>
    </w:p>
    <w:p>
      <w:pPr>
        <w:pStyle w:val="Normal"/>
      </w:pPr>
      <w:hyperlink r:id="rId1583">
        <w:r>
          <w:rPr>
            <w:rStyle w:val="Text1"/>
          </w:rPr>
          <w:t>eBPF</w:t>
        </w:r>
      </w:hyperlink>
      <w:hyperlink w:anchor="page_661">
        <w:r>
          <w:rPr>
            <w:rStyle w:val="Text9"/>
          </w:rPr>
          <w:t>673</w:t>
        </w:r>
      </w:hyperlink>
      <w:r>
        <w:t xml:space="preserve"> is a powerful tool for server and system administrators, often described as a lightweight, sandboxed virtual machine within the kernel. It is commonly used for perfor-mance monitoring, security, and network traffic processing without the need to modify or rebuild the kernel.</w:t>
      </w:r>
    </w:p>
    <w:p>
      <w:pPr>
        <w:pStyle w:val="Normal"/>
      </w:pPr>
      <w:r>
        <w:t>Since it runs in the kernel space, there is no need for context-switching, making it very fast compared to solutions implemented in user-space. It also has access to the kernel data struc-tures, providing more capabilities than tools limited to the interfaces exposed to user-space.</w:t>
      </w:r>
    </w:p>
    <w:p>
      <w:pPr>
        <w:pStyle w:val="Normal"/>
      </w:pPr>
      <w:r>
        <w:t xml:space="preserve">BPF, which stands for “Berkeley Packet Filter”, was originally designed to perform network packet filtering. Over time, it has evolved into </w:t>
      </w:r>
      <w:r>
        <w:rPr>
          <w:rStyle w:val="Text3"/>
        </w:rPr>
        <w:t>extended Berkeley Packet Filter</w:t>
      </w:r>
      <w:r>
        <w:t xml:space="preserve"> (eBPF), a tool which contains many additional capabilities, including the use of more registers, support for 64-bit registers, data stores (Maps), and more.</w:t>
      </w:r>
    </w:p>
    <w:p>
      <w:pPr>
        <w:pStyle w:val="Normal"/>
      </w:pPr>
      <w:r>
        <w:t>As a result, eBPF has been extended beyond the kernel networking subsystem and it not only enhances the networking experience, but also provides tracing, profiling, observability, security, etc. The terms eBPF and BPF are used interchangeably but both refer to eBPF now.</w:t>
      </w:r>
    </w:p>
    <w:p>
      <w:pPr>
        <w:pStyle w:val="Para 17"/>
      </w:pPr>
      <w:r>
        <w:t/>
      </w:r>
    </w:p>
    <w:p>
      <w:pPr>
        <w:pStyle w:val="Para 01"/>
      </w:pPr>
      <w:r>
        <w:t>How eBPF works</w:t>
      </w:r>
    </w:p>
    <w:p>
      <w:pPr>
        <w:pStyle w:val="Para 17"/>
      </w:pPr>
      <w:r>
        <w:t/>
      </w:r>
    </w:p>
    <w:p>
      <w:pPr>
        <w:pStyle w:val="Normal"/>
      </w:pPr>
      <w:r>
        <w:t>User-space applications can load eBPF programs into the kernel as eBPF bytecode. Although you could write eBPF programs in bytecode, there are several tools which provide abstraction layers on top of eBPF so you do not need to write bytecode manually. These tools will then generate the bytecode which will in turn be loaded into the kernel.</w:t>
      </w:r>
    </w:p>
    <w:p>
      <w:pPr>
        <w:pStyle w:val="Normal"/>
      </w:pPr>
      <w:r>
        <w:t>Once an eBPF program is loaded into the kernel, it is then verified by the kernel before it can run. These checks include:</w:t>
      </w:r>
    </w:p>
    <w:p>
      <w:pPr>
        <w:pStyle w:val="Para 04"/>
      </w:pPr>
      <w:r>
        <w:t>• verifying if the eBPF program halts and will never get stuck in a loop,</w:t>
      </w:r>
    </w:p>
    <w:p>
      <w:pPr>
        <w:pStyle w:val="Para 04"/>
      </w:pPr>
      <w:r>
        <w:t>• verifying that the program will not crash by checking the registers and stack state va-</w:t>
      </w:r>
    </w:p>
    <w:p>
      <w:pPr>
        <w:pStyle w:val="Para 02"/>
      </w:pPr>
      <w:r>
        <w:t>lidity throughout the program, and</w:t>
      </w:r>
    </w:p>
    <w:p>
      <w:pPr>
        <w:pStyle w:val="Para 04"/>
      </w:pPr>
      <w:r>
        <w:t>• ensuring the process loading the eBPF program has all the capabilities required by the</w:t>
      </w:r>
    </w:p>
    <w:p>
      <w:pPr>
        <w:pStyle w:val="Para 02"/>
      </w:pPr>
      <w:r>
        <w:t>eBPF program to run.</w:t>
      </w:r>
    </w:p>
    <w:p>
      <w:pPr>
        <w:pStyle w:val="Normal"/>
      </w:pPr>
      <w:r>
        <w:t>After the verification step, the bytecode is Just-In-Time (JIT) compiled into machine-code to optimize the program’s execution.</w:t>
      </w:r>
    </w:p>
    <w:p>
      <w:pPr>
        <w:pStyle w:val="Para 17"/>
      </w:pPr>
      <w:r>
        <w:t/>
      </w:r>
    </w:p>
    <w:p>
      <w:pPr>
        <w:pStyle w:val="Para 01"/>
      </w:pPr>
      <w:r>
        <w:t>eBPF in Ubuntu Server</w:t>
      </w:r>
    </w:p>
    <w:p>
      <w:pPr>
        <w:pStyle w:val="Para 17"/>
      </w:pPr>
      <w:r>
        <w:t/>
      </w:r>
    </w:p>
    <w:p>
      <w:pPr>
        <w:pStyle w:val="Normal"/>
      </w:pPr>
      <w:r>
        <w:t>Since Ubuntu 24.04, bpftrace and bpfcc-tools (the BPF Compiler Collection or BCC) are avail-</w:t>
      </w:r>
    </w:p>
    <w:p>
      <w:pPr>
        <w:pStyle w:val="Normal"/>
      </w:pPr>
      <w:r>
        <w:t xml:space="preserve">able in every Ubuntu Server installation by default as part of our efforts to </w:t>
      </w:r>
      <w:hyperlink r:id="rId1584">
        <w:r>
          <w:rPr>
            <w:rStyle w:val="Text1"/>
          </w:rPr>
          <w:t>enhance the ap-</w:t>
        </w:r>
      </w:hyperlink>
    </w:p>
    <w:p>
      <w:pPr>
        <w:pStyle w:val="Para 18"/>
      </w:pPr>
      <w:hyperlink r:id="rId1584">
        <w:r>
          <w:t>plication developer and sysadmin experience in Ubuntu</w:t>
        </w:r>
      </w:hyperlink>
      <w:hyperlink w:anchor="page_661">
        <w:r>
          <w:rPr>
            <w:rStyle w:val="Text10"/>
          </w:rPr>
          <w:t>674</w:t>
        </w:r>
      </w:hyperlink>
      <w:r>
        <w:rPr>
          <w:rStyle w:val="Text7"/>
        </w:rPr>
        <w:t>.</w:t>
      </w:r>
    </w:p>
    <w:p>
      <w:pPr>
        <w:pStyle w:val="Normal"/>
      </w:pPr>
      <w:r>
        <w:t>In Ubuntu, you can use tools like the BCC to identify bottlenecks, investigate performance degradation, trace specific function calls, and create custom monitoring tools to collect data on specific kernel or user-space processes without disrupting running services.</w:t>
      </w:r>
    </w:p>
    <w:p>
      <w:pPr>
        <w:pStyle w:val="Para 05"/>
      </w:pPr>
      <w:r>
        <w:rPr>
          <w:rStyle w:val="Text5"/>
        </w:rPr>
        <w:t>673</w:t>
      </w:r>
      <w:r>
        <w:rPr>
          <w:rStyle w:val="Text8"/>
        </w:rPr>
        <w:t xml:space="preserve"> </w:t>
      </w:r>
      <w:r>
        <w:t>https://ebpf.io/</w:t>
      </w:r>
    </w:p>
    <w:p>
      <w:pPr>
        <w:pStyle w:val="Para 03"/>
      </w:pPr>
      <w:r>
        <w:rPr>
          <w:rStyle w:val="Text5"/>
        </w:rPr>
        <w:t>674</w:t>
      </w:r>
      <w:r>
        <w:t xml:space="preserve"> </w:t>
      </w:r>
      <w:r>
        <w:rPr>
          <w:rStyle w:val="Text6"/>
        </w:rPr>
        <w:t>https://discourse.ubuntu.com/t/spec-include-performance-tooling-in-ubuntu/43134</w:t>
      </w:r>
      <w:r>
        <w:t xml:space="preserve"> Both bpftrace and bpfcc-tools install sets of tools to handle these different functionalities. Apart from the bpftrace tool itself, you can fetch a comprehensive list of these tools with the following command:</w:t>
      </w:r>
    </w:p>
    <w:p>
      <w:bookmarkStart w:id="1018" w:name="page_6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4" name="index-662_1.png" descr="index-662_1.png"/>
            <wp:cNvGraphicFramePr>
              <a:graphicFrameLocks noChangeAspect="1"/>
            </wp:cNvGraphicFramePr>
            <a:graphic>
              <a:graphicData uri="http://schemas.openxmlformats.org/drawingml/2006/picture">
                <pic:pic>
                  <pic:nvPicPr>
                    <pic:cNvPr id="0" name="index-662_1.png" descr="index-662_1.png"/>
                    <pic:cNvPicPr/>
                  </pic:nvPicPr>
                  <pic:blipFill>
                    <a:blip r:embed="rId698"/>
                    <a:stretch>
                      <a:fillRect/>
                    </a:stretch>
                  </pic:blipFill>
                  <pic:spPr>
                    <a:xfrm>
                      <a:off x="0" y="0"/>
                      <a:ext cx="914400" cy="266700"/>
                    </a:xfrm>
                    <a:prstGeom prst="rect">
                      <a:avLst/>
                    </a:prstGeom>
                  </pic:spPr>
                </pic:pic>
              </a:graphicData>
            </a:graphic>
          </wp:anchor>
        </w:drawing>
      </w:r>
      <w:bookmarkEnd w:id="1018"/>
    </w:p>
    <w:p>
      <w:pPr>
        <w:pStyle w:val="Normal"/>
      </w:pPr>
      <w:r>
        <w:t>$ dpkg -L bpftrace bpfcc-tools | grep -E</w:t>
        <w:t xml:space="preserve"> </w:t>
        <w:t>'/s?bin/.*$'</w:t>
        <w:t xml:space="preserve"> </w:t>
        <w:t>| xargs -n1 basename</w:t>
      </w:r>
    </w:p>
    <w:p>
      <w:pPr>
        <w:pStyle w:val="Para 17"/>
      </w:pPr>
      <w:r>
        <w:t/>
      </w:r>
    </w:p>
    <w:p>
      <w:pPr>
        <w:pStyle w:val="Normal"/>
      </w:pPr>
      <w:r>
        <w:t>Most of the tools listed above are quite well documented. Their manual pages usually include good examples you can try immediately. The tools ending in .bt are installed by bpftrace and refer to bpftrace scripts (they are text files, hence, you could read them to understand how they are achieving specific tasks). The ones ending in-bpfcc are BCC tools (from bpfcc) written in Python (you can also inspect those as you would inspect the .bt files).</w:t>
      </w:r>
    </w:p>
    <w:p>
      <w:pPr>
        <w:pStyle w:val="Normal"/>
      </w:pPr>
      <w:r>
        <w:t>These bpftrace scripts often demonstrate how a complex task can be achieved in simple ways. The-bpfcc variants are often a bit more advanced, often providing more options and customizations.</w:t>
      </w:r>
    </w:p>
    <w:p>
      <w:pPr>
        <w:pStyle w:val="Normal"/>
      </w:pPr>
      <w:r>
        <w:t>You will also find several text files describing use-case examples and the output for bpftrace tools in /usr/share/doc/bpftrace/examples/ and for bpfcc-tools in /usr/share/doc/bpfcc-tools/examples/.</w:t>
      </w:r>
    </w:p>
    <w:p>
      <w:pPr>
        <w:pStyle w:val="Normal"/>
      </w:pPr>
      <w:r>
        <w:t>For instance,</w:t>
      </w:r>
    </w:p>
    <w:p>
      <w:pPr>
        <w:pStyle w:val="Para 10"/>
      </w:pPr>
      <w:r>
        <w:t># bashreadline.bt</w:t>
      </w:r>
    </w:p>
    <w:p>
      <w:pPr>
        <w:pStyle w:val="Para 17"/>
      </w:pPr>
      <w:r>
        <w:t/>
      </w:r>
    </w:p>
    <w:p>
      <w:pPr>
        <w:pStyle w:val="Normal"/>
      </w:pPr>
      <w:r>
        <w:t>will print bash commands for all running bash shells in your system. Since the information you can get via eBPF may be confidential, you will need to run any of it as root. You may notice that there is also a bashreadline-bpfcc tool available from bpfcc-tools. Both of them provide similar features. The former is implemented in python with BCC while the latter is a bpftrace script, as described above. You will see that many of these tools have both a-bpfcc and a .bt version. Do read their manual pages (and perhaps the scripts) to choose which suits you best.</w:t>
      </w:r>
    </w:p>
    <w:p>
      <w:pPr>
        <w:pStyle w:val="Para 17"/>
      </w:pPr>
      <w:r>
        <w:t/>
      </w:r>
    </w:p>
    <w:p>
      <w:pPr>
        <w:pStyle w:val="Para 01"/>
      </w:pPr>
      <w:r>
        <w:t>Example - Determine what commands are executed</w:t>
      </w:r>
    </w:p>
    <w:p>
      <w:pPr>
        <w:pStyle w:val="Para 17"/>
      </w:pPr>
      <w:r>
        <w:t/>
      </w:r>
    </w:p>
    <w:p>
      <w:pPr>
        <w:pStyle w:val="Normal"/>
      </w:pPr>
      <w:r>
        <w:t>One tool that is trivial but powerful is execsnoop-bpfcc, which allows you to answer common questions that should not be common - like “what other programs is this action eventually calling?”. It can be used to determine if a program calls another tool too often or calls some-thing that you’d not expect.</w:t>
      </w:r>
    </w:p>
    <w:p>
      <w:pPr>
        <w:pStyle w:val="Normal"/>
      </w:pPr>
      <w:r>
        <w:t>It has become a common way to help you understand what happens when a maintainer script is executed in a .deb package in Ubuntu.</w:t>
      </w:r>
    </w:p>
    <w:p>
      <w:pPr>
        <w:pStyle w:val="Normal"/>
      </w:pPr>
      <w:r>
        <w:t>For this task, you’d run execsnoop-bpfcc with the following arguments:</w:t>
      </w:r>
    </w:p>
    <w:p>
      <w:pPr>
        <w:pStyle w:val="Para 04"/>
      </w:pPr>
      <w:r>
        <w:t>•-Uu root- to reduce the noisy output only to things done in root context (like here the</w:t>
      </w:r>
    </w:p>
    <w:p>
      <w:pPr>
        <w:pStyle w:val="Para 02"/>
      </w:pPr>
      <w:r>
        <w:t>package install)</w:t>
      </w:r>
    </w:p>
    <w:p>
      <w:pPr>
        <w:pStyle w:val="Para 04"/>
      </w:pPr>
      <w:r>
        <w:t>•-T- to get time info along the log</w:t>
      </w:r>
    </w:p>
    <w:p>
      <w:pPr>
        <w:pStyle w:val="Para 10"/>
      </w:pPr>
      <w:r>
        <w:t># In one console run:</w:t>
      </w:r>
    </w:p>
    <w:p>
      <w:pPr>
        <w:pStyle w:val="Normal"/>
      </w:pPr>
      <w:r>
        <w:t>$ sudo execsnoop-bpfcc -Uu root -T</w:t>
      </w:r>
    </w:p>
    <w:p>
      <w:pPr>
        <w:pStyle w:val="Para 10"/>
      </w:pPr>
      <w:r>
        <w:t># In another trigger what you want to watch for</w:t>
      </w:r>
    </w:p>
    <w:p>
      <w:pPr>
        <w:pStyle w:val="Normal"/>
      </w:pPr>
      <w:r>
        <w:t>$ sudo apt install --reinstall vim-nox</w:t>
      </w:r>
    </w:p>
    <w:p>
      <w:pPr>
        <w:pStyle w:val="Para 09"/>
      </w:pPr>
      <w:r>
        <w:t>(continues on next page)</w:t>
      </w:r>
    </w:p>
    <w:p>
      <w:bookmarkStart w:id="1019" w:name="page_6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5" name="index-663_1.png" descr="index-663_1.png"/>
            <wp:cNvGraphicFramePr>
              <a:graphicFrameLocks noChangeAspect="1"/>
            </wp:cNvGraphicFramePr>
            <a:graphic>
              <a:graphicData uri="http://schemas.openxmlformats.org/drawingml/2006/picture">
                <pic:pic>
                  <pic:nvPicPr>
                    <pic:cNvPr id="0" name="index-663_1.png" descr="index-663_1.png"/>
                    <pic:cNvPicPr/>
                  </pic:nvPicPr>
                  <pic:blipFill>
                    <a:blip r:embed="rId699"/>
                    <a:stretch>
                      <a:fillRect/>
                    </a:stretch>
                  </pic:blipFill>
                  <pic:spPr>
                    <a:xfrm>
                      <a:off x="0" y="0"/>
                      <a:ext cx="914400" cy="266700"/>
                    </a:xfrm>
                    <a:prstGeom prst="rect">
                      <a:avLst/>
                    </a:prstGeom>
                  </pic:spPr>
                </pic:pic>
              </a:graphicData>
            </a:graphic>
          </wp:anchor>
        </w:drawing>
      </w:r>
      <w:bookmarkEnd w:id="1019"/>
    </w:p>
    <w:p>
      <w:pPr>
        <w:pStyle w:val="Para 09"/>
      </w:pPr>
      <w:r>
        <w:t>(continued from previous page)</w:t>
      </w:r>
    </w:p>
    <w:p>
      <w:pPr>
        <w:pStyle w:val="Normal"/>
      </w:pPr>
      <w:r>
        <w:rPr>
          <w:rStyle w:val="Text3"/>
        </w:rPr>
        <w:t># Execsnoop in the first console will now report probably more than you expected:</w:t>
      </w:r>
      <w:r>
        <w:t xml:space="preserve"> </w:t>
        <w:t>TIME</w:t>
        <w:t xml:space="preserve"> </w:t>
        <w:t>UID</w:t>
        <w:t xml:space="preserve"> </w:t>
        <w:t>PCOMM</w:t>
        <w:t xml:space="preserve"> </w:t>
        <w:t>PID</w:t>
        <w:t xml:space="preserve"> </w:t>
        <w:t>PPID</w:t>
        <w:t xml:space="preserve"> </w:t>
        <w:t>RET ARGS</w:t>
        <w:t xml:space="preserve"> </w:t>
        <w:t>10</w:t>
        <w:t>:58:07</w:t>
        <w:t xml:space="preserve"> </w:t>
        <w:t>1000</w:t>
        <w:t xml:space="preserve"> </w:t>
        <w:t>sudo</w:t>
        <w:t xml:space="preserve"> </w:t>
        <w:t>1323101 1322857</w:t>
        <w:t xml:space="preserve"> </w:t>
        <w:t>0</w:t>
        <w:t xml:space="preserve"> </w:t>
        <w:t>/usr/bin/sudo apt install --reinstall</w:t>
        <w:t xml:space="preserve"> </w:t>
        <w:t>vim-nox</w:t>
      </w:r>
    </w:p>
    <w:p>
      <w:pPr>
        <w:pStyle w:val="Normal"/>
      </w:pPr>
      <w:r>
        <w:t>10</w:t>
        <w:t>:58:10</w:t>
        <w:t xml:space="preserve"> </w:t>
        <w:t>0</w:t>
        <w:t xml:space="preserve"> </w:t>
        <w:t>apt</w:t>
        <w:t xml:space="preserve"> </w:t>
        <w:t>1323107 1323106</w:t>
        <w:t xml:space="preserve"> </w:t>
        <w:t>0</w:t>
        <w:t xml:space="preserve"> </w:t>
        <w:t>/usr/bin/apt install --reinstall vim-</w:t>
        <w:t>nox</w:t>
      </w:r>
    </w:p>
    <w:p>
      <w:pPr>
        <w:pStyle w:val="Normal"/>
      </w:pPr>
      <w:r>
        <w:t>10</w:t>
        <w:t>:58:10</w:t>
        <w:t xml:space="preserve"> </w:t>
        <w:t>0</w:t>
        <w:t xml:space="preserve"> </w:t>
        <w:t>dpkg</w:t>
        <w:t xml:space="preserve"> </w:t>
        <w:t>1323108 1323107</w:t>
        <w:t xml:space="preserve"> </w:t>
        <w:t>0</w:t>
        <w:t xml:space="preserve"> </w:t>
        <w:t>/usr/bin/dpkg --print-foreign-</w:t>
        <w:t>architectures</w:t>
      </w:r>
    </w:p>
    <w:p>
      <w:pPr>
        <w:pStyle w:val="Normal"/>
      </w:pPr>
      <w:r>
        <w:t>...</w:t>
      </w:r>
    </w:p>
    <w:p>
      <w:pPr>
        <w:pStyle w:val="Normal"/>
      </w:pPr>
      <w:r>
        <w:t>10</w:t>
        <w:t>:58:12</w:t>
        <w:t xml:space="preserve"> </w:t>
        <w:t>0</w:t>
        <w:t xml:space="preserve"> </w:t>
        <w:t>sh</w:t>
        <w:t xml:space="preserve"> </w:t>
        <w:t>1323134 1323107</w:t>
        <w:t xml:space="preserve"> </w:t>
        <w:t>0</w:t>
        <w:t xml:space="preserve"> </w:t>
        <w:t>/bin/sh -c /usr/sbin/dpkg-preconfigure</w:t>
        <w:t>--apt</w:t>
        <w:t xml:space="preserve"> </w:t>
        <w:t>||</w:t>
        <w:t xml:space="preserve"> </w:t>
        <w:t>true</w:t>
      </w:r>
    </w:p>
    <w:p>
      <w:pPr>
        <w:pStyle w:val="Normal"/>
      </w:pPr>
      <w:r>
        <w:t>...</w:t>
      </w:r>
    </w:p>
    <w:p>
      <w:pPr>
        <w:pStyle w:val="Normal"/>
      </w:pPr>
      <w:r>
        <w:t>10</w:t>
        <w:t>:58:13</w:t>
        <w:t xml:space="preserve"> </w:t>
        <w:t>0</w:t>
        <w:t xml:space="preserve"> </w:t>
        <w:t>tar</w:t>
        <w:t xml:space="preserve"> </w:t>
        <w:t>1323155 1323152</w:t>
        <w:t xml:space="preserve"> </w:t>
        <w:t>0</w:t>
        <w:t xml:space="preserve"> </w:t>
        <w:t>/usr/bin/tar -x -f</w:t>
        <w:t xml:space="preserve"> </w:t>
        <w:t>--warning</w:t>
        <w:t>=</w:t>
        <w:t>no-</w:t>
        <w:t>timestamp</w:t>
      </w:r>
    </w:p>
    <w:p>
      <w:pPr>
        <w:pStyle w:val="Normal"/>
      </w:pPr>
      <w:r>
        <w:t>10</w:t>
        <w:t>:58:14</w:t>
        <w:t xml:space="preserve"> </w:t>
        <w:t>0</w:t>
        <w:t xml:space="preserve"> </w:t>
        <w:t>vim-nox.prerm</w:t>
        <w:t xml:space="preserve"> </w:t>
        <w:t>1323157 1323150</w:t>
        <w:t xml:space="preserve"> </w:t>
        <w:t>0</w:t>
        <w:t xml:space="preserve"> </w:t>
        <w:t>/var/lib/dpkg/info/vim-nox.prerm</w:t>
        <w:t xml:space="preserve"> </w:t>
        <w:t>upgrade</w:t>
        <w:t xml:space="preserve"> </w:t>
        <w:t>2</w:t>
        <w:t>:9.1.0016-1ubuntu7.3</w:t>
      </w:r>
    </w:p>
    <w:p>
      <w:pPr>
        <w:pStyle w:val="Normal"/>
      </w:pPr>
      <w:r>
        <w:t>10</w:t>
        <w:t>:58:14</w:t>
        <w:t xml:space="preserve"> </w:t>
        <w:t>0</w:t>
        <w:t xml:space="preserve"> </w:t>
        <w:t>dpkg-deb</w:t>
        <w:t xml:space="preserve"> </w:t>
        <w:t>1323158 1323150</w:t>
        <w:t xml:space="preserve"> </w:t>
        <w:t>0</w:t>
        <w:t xml:space="preserve"> </w:t>
        <w:t>/usr/bin/dpkg-deb --fsys-tarfile /var/</w:t>
        <w:t xml:space="preserve"> </w:t>
        <w:t>cache/apt/archives/vim-nox_2%3a9.1.0016-1ubuntu7.3_amd64.deb</w:t>
        <w:t xml:space="preserve"> </w:t>
        <w:t>...</w:t>
      </w:r>
    </w:p>
    <w:p>
      <w:pPr>
        <w:pStyle w:val="Normal"/>
      </w:pPr>
      <w:r>
        <w:t>10</w:t>
        <w:t>:58:14</w:t>
        <w:t xml:space="preserve"> </w:t>
        <w:t>0</w:t>
        <w:t xml:space="preserve"> </w:t>
        <w:t>update-alternat</w:t>
        <w:t xml:space="preserve"> </w:t>
        <w:t>1323171 1323163</w:t>
        <w:t xml:space="preserve"> </w:t>
        <w:t>0</w:t>
        <w:t xml:space="preserve"> </w:t>
        <w:t>/usr/bin/update-alternatives --install</w:t>
        <w:t xml:space="preserve"> </w:t>
        <w:t>/usr/bin/vimdiff vimdiff /usr/bin/vim.nox</w:t>
        <w:t xml:space="preserve"> </w:t>
        <w:t>40</w:t>
        <w:t xml:space="preserve"> </w:t>
        <w:t>...</w:t>
      </w:r>
    </w:p>
    <w:p>
      <w:pPr>
        <w:pStyle w:val="Normal"/>
      </w:pPr>
      <w:r>
        <w:t>10</w:t>
        <w:t>:58:17</w:t>
        <w:t xml:space="preserve"> </w:t>
        <w:t>0</w:t>
        <w:t xml:space="preserve"> </w:t>
        <w:t>snap</w:t>
        <w:t xml:space="preserve"> </w:t>
        <w:t>1323218 1323217</w:t>
        <w:t xml:space="preserve"> </w:t>
        <w:t>0</w:t>
        <w:t xml:space="preserve"> </w:t>
        <w:t>/usr/bin/snap advise-snap --from-apt</w:t>
        <w:t xml:space="preserve"> </w:t>
        <w:t>10</w:t>
        <w:t>:58:17</w:t>
        <w:t xml:space="preserve"> </w:t>
        <w:t>1000</w:t>
        <w:t xml:space="preserve"> </w:t>
        <w:t>git</w:t>
        <w:t xml:space="preserve"> </w:t>
        <w:t>1323224 1323223</w:t>
        <w:t xml:space="preserve"> </w:t>
        <w:t>0</w:t>
        <w:t xml:space="preserve"> </w:t>
        <w:t>/usr/bin/git rev-parse --abbrev-ref</w:t>
        <w:t xml:space="preserve"> </w:t>
        <w:t>HEAD</w:t>
      </w:r>
    </w:p>
    <w:p>
      <w:pPr>
        <w:pStyle w:val="Normal"/>
      </w:pPr>
      <w:r>
        <w:t>10</w:t>
        <w:t>:58:17</w:t>
        <w:t xml:space="preserve"> </w:t>
        <w:t>1000</w:t>
        <w:t xml:space="preserve"> </w:t>
        <w:t>git</w:t>
        <w:t xml:space="preserve"> </w:t>
        <w:t>1323226 1323225</w:t>
        <w:t xml:space="preserve"> </w:t>
        <w:t>0</w:t>
        <w:t xml:space="preserve"> </w:t>
        <w:t>/usr/bin/git status --porcelain</w:t>
        <w:t xml:space="preserve"> </w:t>
        <w:t>10</w:t>
        <w:t>:58:17</w:t>
        <w:t xml:space="preserve"> </w:t>
        <w:t>1000</w:t>
        <w:t xml:space="preserve"> </w:t>
        <w:t>vte-urlencode-c</w:t>
        <w:t xml:space="preserve"> </w:t>
        <w:t>1323227 1322857</w:t>
        <w:t xml:space="preserve"> </w:t>
        <w:t>0</w:t>
        <w:t xml:space="preserve"> </w:t>
        <w:t>/usr/libexec/vte-urlencode-cwd</w:t>
      </w:r>
    </w:p>
    <w:p>
      <w:pPr>
        <w:pStyle w:val="Para 17"/>
      </w:pPr>
      <w:r>
        <w:t/>
      </w:r>
    </w:p>
    <w:p>
      <w:pPr>
        <w:pStyle w:val="Para 01"/>
      </w:pPr>
      <w:r>
        <w:t>eBPF can be modified to your needs</w:t>
      </w:r>
    </w:p>
    <w:p>
      <w:pPr>
        <w:pStyle w:val="Para 17"/>
      </w:pPr>
      <w:r>
        <w:t/>
      </w:r>
    </w:p>
    <w:p>
      <w:pPr>
        <w:pStyle w:val="Normal"/>
      </w:pPr>
      <w:r>
        <w:t>Let us look at another practical application of eBPF. This example is meant to show another use-case with eBPF then evolve this case into a more complex one by modifying it.</w:t>
      </w:r>
    </w:p>
    <w:p>
      <w:pPr>
        <w:pStyle w:val="Para 17"/>
      </w:pPr>
      <w:r>
        <w:t/>
      </w:r>
    </w:p>
    <w:p>
      <w:pPr>
        <w:pStyle w:val="Para 01"/>
      </w:pPr>
      <w:r>
        <w:t>Example - Find out which files QEMU is loading</w:t>
      </w:r>
    </w:p>
    <w:p>
      <w:pPr>
        <w:pStyle w:val="Para 17"/>
      </w:pPr>
      <w:r>
        <w:t/>
      </w:r>
    </w:p>
    <w:p>
      <w:pPr>
        <w:pStyle w:val="Normal"/>
      </w:pPr>
      <w:r>
        <w:t>Let’s say you want to verify which binary files are loaded when running a particular QEMU command. QEMU is a truly complex program and sometimes it can be hard to make the con-nection from a command line to the files used from /usr/share/qemu. This is hard to deter-mine when you define the QEMU command line, but becomes problematic when more useful layers of abstraction are used like libvirt or LXD or even things on top like OpenStack.</w:t>
      </w:r>
    </w:p>
    <w:p>
      <w:pPr>
        <w:pStyle w:val="Normal"/>
      </w:pPr>
      <w:r>
        <w:t>While strace could be used, it would add additional overhead to the investigation process since strace uses ptrace, and context switching may be required. Furthermore, if you need to monitor a system to produce this answer, especially on a host running many VMs, strace quickly reaches its limits.</w:t>
      </w:r>
    </w:p>
    <w:p>
      <w:pPr>
        <w:pStyle w:val="Normal"/>
      </w:pPr>
      <w:r>
        <w:t>Instead, opensnoop could be used to trace open() system calls. In this case, we use opensnoop-bpfcc to have more parameters to tune it to our needs. The example will use the following arguments:</w:t>
      </w:r>
    </w:p>
    <w:p>
      <w:pPr>
        <w:pStyle w:val="Para 04"/>
      </w:pPr>
      <w:r>
        <w:t>•--full-path- Show full path for open calls using a relative path.</w:t>
      </w:r>
    </w:p>
    <w:p>
      <w:bookmarkStart w:id="1020" w:name="page_6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6" name="index-664_1.png" descr="index-664_1.png"/>
            <wp:cNvGraphicFramePr>
              <a:graphicFrameLocks noChangeAspect="1"/>
            </wp:cNvGraphicFramePr>
            <a:graphic>
              <a:graphicData uri="http://schemas.openxmlformats.org/drawingml/2006/picture">
                <pic:pic>
                  <pic:nvPicPr>
                    <pic:cNvPr id="0" name="index-664_1.png" descr="index-664_1.png"/>
                    <pic:cNvPicPr/>
                  </pic:nvPicPr>
                  <pic:blipFill>
                    <a:blip r:embed="rId700"/>
                    <a:stretch>
                      <a:fillRect/>
                    </a:stretch>
                  </pic:blipFill>
                  <pic:spPr>
                    <a:xfrm>
                      <a:off x="0" y="0"/>
                      <a:ext cx="914400" cy="266700"/>
                    </a:xfrm>
                    <a:prstGeom prst="rect">
                      <a:avLst/>
                    </a:prstGeom>
                  </pic:spPr>
                </pic:pic>
              </a:graphicData>
            </a:graphic>
          </wp:anchor>
        </w:drawing>
      </w:r>
      <w:bookmarkEnd w:id="1020"/>
    </w:p>
    <w:p>
      <w:pPr>
        <w:pStyle w:val="Para 04"/>
      </w:pPr>
      <w:r>
        <w:t>•--name qemu-system-x86- only care about files opened by QEMU; The mindful reader</w:t>
      </w:r>
    </w:p>
    <w:p>
      <w:pPr>
        <w:pStyle w:val="Para 02"/>
      </w:pPr>
      <w:r>
        <w:t>will wonder why this isn’t qemu-system-x86_64, but you’d see in unfiltered output of opensnoop that it is length limited, so only the shorter qemu-system-x86 can be used.</w:t>
      </w:r>
    </w:p>
    <w:p>
      <w:pPr>
        <w:pStyle w:val="Para 10"/>
      </w:pPr>
      <w:r>
        <w:t># This will collect a log of files opened by QEMU</w:t>
      </w:r>
    </w:p>
    <w:p>
      <w:pPr>
        <w:pStyle w:val="Normal"/>
      </w:pPr>
      <w:r>
        <w:t>$ sudo /usr/sbin/opensnoop-bpfcc --full-path --name qemu-system-x86</w:t>
        <w:t xml:space="preserve"> </w:t>
      </w:r>
      <w:r>
        <w:rPr>
          <w:rStyle w:val="Text3"/>
        </w:rPr>
        <w:t>#</w:t>
      </w:r>
    </w:p>
    <w:p>
      <w:pPr>
        <w:pStyle w:val="Para 10"/>
      </w:pPr>
      <w:r>
        <w:t># If now you in another console or anyone on this system in general runs QEMU,</w:t>
      </w:r>
      <w:r>
        <w:rPr>
          <w:rStyle w:val="Text3"/>
        </w:rPr>
        <w:t xml:space="preserve"> </w:t>
      </w:r>
      <w:r>
        <w:t># this would log the files opened</w:t>
      </w:r>
    </w:p>
    <w:p>
      <w:pPr>
        <w:pStyle w:val="Para 10"/>
      </w:pPr>
      <w:r>
        <w:t>#</w:t>
      </w:r>
    </w:p>
    <w:p>
      <w:pPr>
        <w:pStyle w:val="Para 10"/>
      </w:pPr>
      <w:r>
        <w:t># For example calling LXD for an ephemeral VM</w:t>
      </w:r>
    </w:p>
    <w:p>
      <w:pPr>
        <w:pStyle w:val="Normal"/>
      </w:pPr>
      <w:r>
        <w:t>$ lxc launch ubuntu-daily:n n-vm-test --ephemeral --vm</w:t>
        <w:t xml:space="preserve"> </w:t>
      </w:r>
      <w:r>
        <w:rPr>
          <w:rStyle w:val="Text3"/>
        </w:rPr>
        <w:t>#</w:t>
      </w:r>
    </w:p>
    <w:p>
      <w:pPr>
        <w:pStyle w:val="Para 10"/>
      </w:pPr>
      <w:r>
        <w:t># Will in opensnoop deliver a barrage of files opened</w:t>
      </w:r>
    </w:p>
    <w:p>
      <w:pPr>
        <w:pStyle w:val="Normal"/>
      </w:pPr>
      <w:r>
        <w:t>1308728</w:t>
        <w:t xml:space="preserve"> </w:t>
        <w:t>qemu-system-x86</w:t>
        <w:t xml:space="preserve"> </w:t>
        <w:t>-1</w:t>
        <w:t xml:space="preserve"> </w:t>
        <w:t>2</w:t>
        <w:t xml:space="preserve"> </w:t>
        <w:t>PID</w:t>
        <w:t xml:space="preserve"> </w:t>
        <w:t>COMM</w:t>
        <w:t xml:space="preserve"> </w:t>
        <w:t>FD ERR PATH</w:t>
        <w:t xml:space="preserve"> </w:t>
        <w:t>/snap/lxd/current/zfs-2.2/lib/glibc-hwcaps/x86-64-v3/libpixman-1.so.0</w:t>
        <w:t xml:space="preserve"> </w:t>
        <w:t>1308728</w:t>
        <w:t xml:space="preserve"> </w:t>
        <w:t>qemu-system-x86</w:t>
        <w:t xml:space="preserve"> </w:t>
        <w:t>-1</w:t>
        <w:t xml:space="preserve"> </w:t>
        <w:t>2</w:t>
        <w:t xml:space="preserve"> </w:t>
        <w:t>/snap/lxd/current/zfs-2.2/lib/glibc-hwcaps/x86-64-v2/</w:t>
        <w:t xml:space="preserve"> </w:t>
        <w:t>libpixman-1.so.0</w:t>
      </w:r>
    </w:p>
    <w:p>
      <w:pPr>
        <w:pStyle w:val="Normal"/>
      </w:pPr>
      <w:r>
        <w:t>1308728</w:t>
        <w:t xml:space="preserve"> </w:t>
        <w:t>qemu-system-x86</w:t>
        <w:t xml:space="preserve"> </w:t>
        <w:t>-1</w:t>
        <w:t xml:space="preserve"> </w:t>
        <w:t>2</w:t>
        <w:t xml:space="preserve"> </w:t>
        <w:t>/snap/lxd/current/zfs-2.2/lib/tls/haswell/x86_64/</w:t>
        <w:t xml:space="preserve"> </w:t>
        <w:t>libpixman-1.so.0</w:t>
      </w:r>
    </w:p>
    <w:p>
      <w:pPr>
        <w:pStyle w:val="Normal"/>
      </w:pPr>
      <w:r>
        <w:t>...</w:t>
      </w:r>
    </w:p>
    <w:p>
      <w:pPr>
        <w:pStyle w:val="Normal"/>
      </w:pPr>
      <w:r>
        <w:t>1313104</w:t>
        <w:t xml:space="preserve"> </w:t>
        <w:t>qemu-system-x86</w:t>
        <w:t xml:space="preserve"> </w:t>
        <w:t>58</w:t>
        <w:t xml:space="preserve"> </w:t>
        <w:t>0</w:t>
        <w:t xml:space="preserve"> </w:t>
        <w:t>/sys/dev/block/230:16/queue/zoned</w:t>
        <w:t xml:space="preserve"> </w:t>
        <w:t>1313104</w:t>
        <w:t xml:space="preserve"> </w:t>
        <w:t>qemu-system-x86</w:t>
        <w:t xml:space="preserve"> </w:t>
        <w:t>20</w:t>
        <w:t xml:space="preserve"> </w:t>
        <w:t>0</w:t>
        <w:t xml:space="preserve"> </w:t>
        <w:t>/dev/fd/4</w:t>
      </w:r>
    </w:p>
    <w:p>
      <w:pPr>
        <w:pStyle w:val="Para 17"/>
      </w:pPr>
      <w:r>
        <w:t/>
      </w:r>
    </w:p>
    <w:p>
      <w:pPr>
        <w:pStyle w:val="Normal"/>
      </w:pPr>
      <w:r>
        <w:t>Of course the QEMU process opens plenty of things: shared libraries, config files, entries in /{sys,dev,proc}, and much more. But with opensnoop-bpfcc, we can see them all as they happen across the whole system.</w:t>
      </w:r>
    </w:p>
    <w:p>
      <w:pPr>
        <w:pStyle w:val="Para 17"/>
      </w:pPr>
      <w:r>
        <w:t/>
      </w:r>
    </w:p>
    <w:p>
      <w:pPr>
        <w:pStyle w:val="Para 01"/>
      </w:pPr>
      <w:r>
        <w:t>Focusing on a specific file type</w:t>
      </w:r>
    </w:p>
    <w:p>
      <w:pPr>
        <w:pStyle w:val="Para 17"/>
      </w:pPr>
      <w:r>
        <w:t/>
      </w:r>
    </w:p>
    <w:p>
      <w:pPr>
        <w:pStyle w:val="Normal"/>
      </w:pPr>
      <w:r>
        <w:t>Imagine you only wanted to verify which .bin files this is loading. Of course, we could just use grep on the output, but this whole section is about showing eBPF examples to get you started. So here we make the simplest change – modifying the python wrapper around the tracing eBPF code. Once you understand how to do this, you can go further in adapting them to your own needs by delving into the eBPF code itself, and from there to create your very own eBPF solutions from scratch.</w:t>
      </w:r>
    </w:p>
    <w:p>
      <w:pPr>
        <w:pStyle w:val="Normal"/>
      </w:pPr>
      <w:r>
        <w:t>So while opensnoop-bpfcc as of right now has no option to filter on the file names, it could …</w:t>
      </w:r>
    </w:p>
    <w:p>
      <w:pPr>
        <w:pStyle w:val="Normal"/>
      </w:pPr>
      <w:r>
        <w:t>$ sudo cp /usr/sbin/opensnoop-bpfcc /usr/sbin/opensnoop-bpfcc.new</w:t>
        <w:t xml:space="preserve"> </w:t>
        <w:t>$ sudo vim /usr/sbin/opensnoop-bpfcc.new</w:t>
      </w:r>
    </w:p>
    <w:p>
      <w:pPr>
        <w:pStyle w:val="Normal"/>
      </w:pPr>
      <w:r>
        <w:t>...</w:t>
      </w:r>
    </w:p>
    <w:p>
      <w:pPr>
        <w:pStyle w:val="Normal"/>
      </w:pPr>
      <w:r>
        <w:t>$ diff -Naur /usr/sbin/opensnoop-bpfcc /usr/sbin/opensnoop-bpfcc.new</w:t>
        <w:t>--- /usr/sbin/opensnoop-bpfcc</w:t>
        <w:t xml:space="preserve"> </w:t>
        <w:t>2025</w:t>
        <w:t>-10-24</w:t>
        <w:t xml:space="preserve"> </w:t>
        <w:t>12</w:t>
        <w:t>:17:00.000000000 +0000</w:t>
        <w:t xml:space="preserve"> </w:t>
        <w:t>+++ /usr/sbin/opensnoop-bpfcc.new</w:t>
        <w:t xml:space="preserve"> </w:t>
        <w:t>2026</w:t>
        <w:t>-01-19</w:t>
        <w:t xml:space="preserve"> </w:t>
        <w:t>10</w:t>
        <w:t>:45:13.620367441 +0000</w:t>
        <w:t xml:space="preserve"> </w:t>
        <w:t>@@ -40,6 +40,7 @@</w:t>
      </w:r>
    </w:p>
    <w:p>
      <w:pPr>
        <w:pStyle w:val="Para 64"/>
      </w:pPr>
      <w:r>
        <w:rPr>
          <w:rStyle w:val="Text3"/>
        </w:rPr>
        <w:t>./opensnoop -u</w:t>
        <w:t xml:space="preserve"> </w:t>
        <w:t>1000</w:t>
        <w:t xml:space="preserve"> </w:t>
      </w:r>
      <w:r>
        <w:t># only trace UID 1000</w:t>
      </w:r>
      <w:r>
        <w:rPr>
          <w:rStyle w:val="Text3"/>
        </w:rPr>
        <w:t xml:space="preserve"> </w:t>
        <w:t>./opensnoop -d</w:t>
        <w:t xml:space="preserve"> </w:t>
        <w:t>10</w:t>
        <w:t xml:space="preserve"> </w:t>
      </w:r>
      <w:r>
        <w:t># trace for 10 seconds only</w:t>
      </w:r>
      <w:r>
        <w:rPr>
          <w:rStyle w:val="Text3"/>
        </w:rPr>
        <w:t xml:space="preserve"> </w:t>
        <w:t>./opensnoop -n main</w:t>
        <w:t xml:space="preserve"> </w:t>
      </w:r>
      <w:r>
        <w:t># only print process names containing "main"</w:t>
      </w:r>
    </w:p>
    <w:p>
      <w:pPr>
        <w:pStyle w:val="Para 10"/>
      </w:pPr>
      <w:r>
        <w:rPr>
          <w:rStyle w:val="Text3"/>
        </w:rPr>
        <w:t>+</w:t>
        <w:t xml:space="preserve"> </w:t>
        <w:t>./opensnoop -c path</w:t>
        <w:t xml:space="preserve"> </w:t>
      </w:r>
      <w:r>
        <w:t># only print paths containing "fname"</w:t>
      </w:r>
    </w:p>
    <w:p>
      <w:pPr>
        <w:pStyle w:val="Para 07"/>
      </w:pPr>
      <w:r>
        <w:rPr>
          <w:rStyle w:val="Text3"/>
        </w:rPr>
        <w:t>./opensnoop -e</w:t>
        <w:t xml:space="preserve"> </w:t>
      </w:r>
      <w:r>
        <w:t># show extended fields</w:t>
      </w:r>
      <w:r>
        <w:rPr>
          <w:rStyle w:val="Text3"/>
        </w:rPr>
        <w:t xml:space="preserve"> </w:t>
        <w:t>./opensnoop -f O_WRONLY -f O_RDWR</w:t>
        <w:t xml:space="preserve"> </w:t>
      </w:r>
      <w:r>
        <w:t># only print calls for writing</w:t>
      </w:r>
      <w:r>
        <w:rPr>
          <w:rStyle w:val="Text3"/>
        </w:rPr>
        <w:t xml:space="preserve"> </w:t>
        <w:t>./opensnoop -F</w:t>
        <w:t xml:space="preserve"> </w:t>
      </w:r>
      <w:r>
        <w:t># show full path for an open file with relative</w:t>
      </w:r>
    </w:p>
    <w:p>
      <w:pPr>
        <w:pStyle w:val="Para 10"/>
      </w:pPr>
      <w:r>
        <w:t>path</w:t>
      </w:r>
    </w:p>
    <w:p>
      <w:pPr>
        <w:pStyle w:val="Normal"/>
      </w:pPr>
      <w:r>
        <w:t>@@ -71,6 +72,9 @@</w:t>
      </w:r>
    </w:p>
    <w:p>
      <w:pPr>
        <w:pStyle w:val="Para 09"/>
      </w:pPr>
      <w:r>
        <w:t>(continues on next page)</w:t>
      </w:r>
    </w:p>
    <w:p>
      <w:bookmarkStart w:id="1021" w:name="page_6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7" name="index-665_1.png" descr="index-665_1.png"/>
            <wp:cNvGraphicFramePr>
              <a:graphicFrameLocks noChangeAspect="1"/>
            </wp:cNvGraphicFramePr>
            <a:graphic>
              <a:graphicData uri="http://schemas.openxmlformats.org/drawingml/2006/picture">
                <pic:pic>
                  <pic:nvPicPr>
                    <pic:cNvPr id="0" name="index-665_1.png" descr="index-665_1.png"/>
                    <pic:cNvPicPr/>
                  </pic:nvPicPr>
                  <pic:blipFill>
                    <a:blip r:embed="rId701"/>
                    <a:stretch>
                      <a:fillRect/>
                    </a:stretch>
                  </pic:blipFill>
                  <pic:spPr>
                    <a:xfrm>
                      <a:off x="0" y="0"/>
                      <a:ext cx="914400" cy="266700"/>
                    </a:xfrm>
                    <a:prstGeom prst="rect">
                      <a:avLst/>
                    </a:prstGeom>
                  </pic:spPr>
                </pic:pic>
              </a:graphicData>
            </a:graphic>
          </wp:anchor>
        </w:drawing>
      </w:r>
      <w:bookmarkEnd w:id="1021"/>
    </w:p>
    <w:p>
      <w:pPr>
        <w:pStyle w:val="Para 09"/>
      </w:pPr>
      <w:r>
        <w:t>(continued from previous page)</w:t>
      </w:r>
    </w:p>
    <w:p>
      <w:pPr>
        <w:pStyle w:val="Normal"/>
      </w:pPr>
      <w:r>
        <w:t>parser.add_argument</w:t>
        <w:t>(</w:t>
        <w:t>"-n"</w:t>
        <w:t>,</w:t>
        <w:t xml:space="preserve"> </w:t>
        <w:t>"--name"</w:t>
        <w:t>,</w:t>
      </w:r>
    </w:p>
    <w:p>
      <w:pPr>
        <w:pStyle w:val="Para 02"/>
      </w:pPr>
      <w:r>
        <w:t>type</w:t>
        <w:t>=</w:t>
        <w:t>ArgString,</w:t>
      </w:r>
    </w:p>
    <w:p>
      <w:pPr>
        <w:pStyle w:val="Para 02"/>
      </w:pPr>
      <w:r>
        <w:t>help</w:t>
        <w:t>=</w:t>
        <w:t>"only print process names containing this name"</w:t>
        <w:t>)</w:t>
      </w:r>
    </w:p>
    <w:p>
      <w:pPr>
        <w:pStyle w:val="Normal"/>
      </w:pPr>
      <w:r>
        <w:t>+parser.add_argument</w:t>
        <w:t>(</w:t>
        <w:t>"-c"</w:t>
        <w:t>,</w:t>
        <w:t xml:space="preserve"> </w:t>
        <w:t>"--contains"</w:t>
        <w:t>,</w:t>
        <w:t xml:space="preserve"> </w:t>
        <w:t>+</w:t>
        <w:t xml:space="preserve"> </w:t>
        <w:t>type</w:t>
        <w:t>=</w:t>
        <w:t>ArgString,</w:t>
      </w:r>
    </w:p>
    <w:p>
      <w:pPr>
        <w:pStyle w:val="Normal"/>
      </w:pPr>
      <w:r>
        <w:t>+</w:t>
        <w:t xml:space="preserve"> </w:t>
        <w:t>help</w:t>
        <w:t>=</w:t>
        <w:t>"only print paths containing this string (implies --full-path)"</w:t>
        <w:t>)</w:t>
      </w:r>
    </w:p>
    <w:p>
      <w:pPr>
        <w:pStyle w:val="Normal"/>
      </w:pPr>
      <w:r>
        <w:t>parser.add_argument</w:t>
        <w:t>(</w:t>
        <w:t>"--ebpf"</w:t>
        <w:t>,</w:t>
        <w:t xml:space="preserve"> </w:t>
        <w:t>action</w:t>
        <w:t>=</w:t>
        <w:t>"store_true"</w:t>
        <w:t>,</w:t>
      </w:r>
    </w:p>
    <w:p>
      <w:pPr>
        <w:pStyle w:val="Para 02"/>
      </w:pPr>
      <w:r>
        <w:t>help</w:t>
        <w:t>=</w:t>
        <w:t>argparse.SUPPRESS</w:t>
        <w:t>)</w:t>
      </w:r>
    </w:p>
    <w:p>
      <w:pPr>
        <w:pStyle w:val="Normal"/>
      </w:pPr>
      <w:r>
        <w:t>parser.add_argument</w:t>
        <w:t>(</w:t>
        <w:t>"-e"</w:t>
        <w:t>,</w:t>
        <w:t xml:space="preserve"> </w:t>
        <w:t>"--extended_fields"</w:t>
        <w:t>,</w:t>
        <w:t xml:space="preserve"> </w:t>
        <w:t>action</w:t>
        <w:t>=</w:t>
        <w:t>"store_true"</w:t>
        <w:t>,</w:t>
      </w:r>
    </w:p>
    <w:p>
      <w:pPr>
        <w:pStyle w:val="Normal"/>
      </w:pPr>
      <w:r>
        <w:t>@@ -83,6 +87,8 @@</w:t>
      </w:r>
    </w:p>
    <w:p>
      <w:pPr>
        <w:pStyle w:val="Para 02"/>
      </w:pPr>
      <w:r>
        <w:t>help</w:t>
        <w:t>=</w:t>
        <w:t>"size of the perf ring buffer "</w:t>
      </w:r>
    </w:p>
    <w:p>
      <w:pPr>
        <w:pStyle w:val="Para 11"/>
      </w:pPr>
      <w:r>
        <w:t>"(must be a power of two number of pages and defaults to 64)"</w:t>
        <w:t>)</w:t>
      </w:r>
    </w:p>
    <w:p>
      <w:pPr>
        <w:pStyle w:val="Normal"/>
      </w:pPr>
      <w:r>
        <w:t>args</w:t>
        <w:t xml:space="preserve"> </w:t>
        <w:t>=</w:t>
        <w:t xml:space="preserve"> </w:t>
        <w:t>parser.parse_args</w:t>
        <w:t>()</w:t>
      </w:r>
    </w:p>
    <w:p>
      <w:pPr>
        <w:pStyle w:val="Normal"/>
      </w:pPr>
      <w:r>
        <w:t>+if args.contains is not None:</w:t>
      </w:r>
    </w:p>
    <w:p>
      <w:pPr>
        <w:pStyle w:val="Normal"/>
      </w:pPr>
      <w:r>
        <w:t>+</w:t>
        <w:t xml:space="preserve"> </w:t>
        <w:t>args.full_path</w:t>
        <w:t xml:space="preserve"> </w:t>
        <w:t>=</w:t>
        <w:t xml:space="preserve"> </w:t>
        <w:t>True</w:t>
      </w:r>
    </w:p>
    <w:p>
      <w:pPr>
        <w:pStyle w:val="Normal"/>
      </w:pPr>
      <w:r>
        <w:t>debug</w:t>
        <w:t xml:space="preserve"> </w:t>
        <w:t>=</w:t>
        <w:t xml:space="preserve"> </w:t>
        <w:t>0</w:t>
      </w:r>
    </w:p>
    <w:p>
      <w:pPr>
        <w:pStyle w:val="Normal"/>
      </w:pPr>
      <w:r>
        <w:rPr>
          <w:rStyle w:val="Text0"/>
        </w:rPr>
        <w:t>if</w:t>
      </w:r>
      <w:r>
        <w:t xml:space="preserve"> </w:t>
        <w:t>args.duration:</w:t>
      </w:r>
    </w:p>
    <w:p>
      <w:pPr>
        <w:pStyle w:val="Para 02"/>
      </w:pPr>
      <w:r>
        <w:t>args.duration</w:t>
        <w:t xml:space="preserve"> </w:t>
        <w:t>=</w:t>
        <w:t xml:space="preserve"> </w:t>
        <w:t>timedelta</w:t>
        <w:t>(</w:t>
        <w:t>seconds</w:t>
        <w:t>=</w:t>
        <w:t>int</w:t>
        <w:t>(</w:t>
        <w:t>args.duration</w:t>
        <w:t>))</w:t>
      </w:r>
    </w:p>
    <w:p>
      <w:pPr>
        <w:pStyle w:val="Normal"/>
      </w:pPr>
      <w:r>
        <w:t>@@ -478,6 +484,12 @@</w:t>
      </w:r>
    </w:p>
    <w:p>
      <w:pPr>
        <w:pStyle w:val="Para 11"/>
      </w:pPr>
      <w:r>
        <w:rPr>
          <w:rStyle w:val="Text0"/>
        </w:rPr>
        <w:t>if</w:t>
      </w:r>
      <w:r>
        <w:t xml:space="preserve"> </w:t>
        <w:t>args.name and bytes</w:t>
        <w:t>(</w:t>
        <w:t>args.name</w:t>
        <w:t>)</w:t>
        <w:t xml:space="preserve"> </w:t>
        <w:t>not</w:t>
        <w:t xml:space="preserve"> </w:t>
      </w:r>
      <w:r>
        <w:rPr>
          <w:rStyle w:val="Text0"/>
        </w:rPr>
        <w:t>in</w:t>
      </w:r>
      <w:r>
        <w:t xml:space="preserve"> </w:t>
        <w:t>event.comm:</w:t>
      </w:r>
    </w:p>
    <w:p>
      <w:pPr>
        <w:pStyle w:val="Para 12"/>
      </w:pPr>
      <w:r>
        <w:t>skip</w:t>
        <w:t xml:space="preserve"> </w:t>
        <w:t>=</w:t>
        <w:t xml:space="preserve"> </w:t>
        <w:t>True</w:t>
      </w:r>
    </w:p>
    <w:p>
      <w:pPr>
        <w:pStyle w:val="Normal"/>
      </w:pPr>
      <w:r>
        <w:t>+</w:t>
        <w:t xml:space="preserve"> </w:t>
        <w:t>paths</w:t>
        <w:t xml:space="preserve"> </w:t>
        <w:t>=</w:t>
        <w:t xml:space="preserve"> </w:t>
        <w:t>entries</w:t>
        <w:t>[</w:t>
        <w:t>event.id</w:t>
        <w:t>]</w:t>
      </w:r>
    </w:p>
    <w:p>
      <w:pPr>
        <w:pStyle w:val="Normal"/>
      </w:pPr>
      <w:r>
        <w:t>+</w:t>
        <w:t xml:space="preserve"> </w:t>
        <w:t>paths.reverse</w:t>
        <w:t>()</w:t>
      </w:r>
    </w:p>
    <w:p>
      <w:pPr>
        <w:pStyle w:val="Normal"/>
      </w:pPr>
      <w:r>
        <w:t>+</w:t>
        <w:t xml:space="preserve"> </w:t>
        <w:t>entire_path</w:t>
        <w:t xml:space="preserve"> </w:t>
        <w:t>=</w:t>
        <w:t xml:space="preserve"> </w:t>
        <w:t>os.path.join</w:t>
        <w:t>(</w:t>
        <w:t>*paths</w:t>
        <w:t>)</w:t>
        <w:t xml:space="preserve"> </w:t>
        <w:t>+</w:t>
        <w:t xml:space="preserve"> </w:t>
      </w:r>
      <w:r>
        <w:rPr>
          <w:rStyle w:val="Text0"/>
        </w:rPr>
        <w:t>if</w:t>
      </w:r>
      <w:r>
        <w:t xml:space="preserve"> </w:t>
        <w:t>args.contains and bytes</w:t>
        <w:t>(</w:t>
        <w:t>args.contains</w:t>
        <w:t>)</w:t>
        <w:t xml:space="preserve"> </w:t>
        <w:t>not</w:t>
        <w:t xml:space="preserve"> </w:t>
      </w:r>
      <w:r>
        <w:rPr>
          <w:rStyle w:val="Text0"/>
        </w:rPr>
        <w:t>in</w:t>
      </w:r>
      <w:r>
        <w:t xml:space="preserve"> </w:t>
        <w:t>entire_path:</w:t>
        <w:t xml:space="preserve"> </w:t>
        <w:t>+</w:t>
        <w:t xml:space="preserve"> </w:t>
        <w:t>skip</w:t>
        <w:t xml:space="preserve"> </w:t>
        <w:t>=</w:t>
        <w:t xml:space="preserve"> </w:t>
        <w:t>True</w:t>
      </w:r>
    </w:p>
    <w:p>
      <w:pPr>
        <w:pStyle w:val="Normal"/>
      </w:pPr>
      <w:r>
        <w:t>+</w:t>
      </w:r>
    </w:p>
    <w:p>
      <w:pPr>
        <w:pStyle w:val="Para 11"/>
      </w:pPr>
      <w:r>
        <w:rPr>
          <w:rStyle w:val="Text0"/>
        </w:rPr>
        <w:t>if</w:t>
      </w:r>
      <w:r>
        <w:t xml:space="preserve"> </w:t>
        <w:t>not skip:</w:t>
      </w:r>
    </w:p>
    <w:p>
      <w:pPr>
        <w:pStyle w:val="Para 12"/>
      </w:pPr>
      <w:r>
        <w:rPr>
          <w:rStyle w:val="Text0"/>
        </w:rPr>
        <w:t>if</w:t>
      </w:r>
      <w:r>
        <w:t xml:space="preserve"> </w:t>
        <w:t>args.timestamp:</w:t>
      </w:r>
    </w:p>
    <w:p>
      <w:pPr>
        <w:pStyle w:val="Para 15"/>
      </w:pPr>
      <w:r>
        <w:t>delta</w:t>
        <w:t xml:space="preserve"> </w:t>
        <w:t>=</w:t>
        <w:t xml:space="preserve"> </w:t>
        <w:t>event.ts - initial_ts</w:t>
      </w:r>
    </w:p>
    <w:p>
      <w:pPr>
        <w:pStyle w:val="Normal"/>
      </w:pPr>
      <w:r>
        <w:t>@@ -502,9 +514,7 @@</w:t>
      </w:r>
    </w:p>
    <w:p>
      <w:pPr>
        <w:pStyle w:val="Para 12"/>
      </w:pPr>
      <w:r>
        <w:rPr>
          <w:rStyle w:val="Text0"/>
        </w:rPr>
        <w:t>if</w:t>
      </w:r>
      <w:r>
        <w:t xml:space="preserve"> </w:t>
        <w:t>not args.full_path:</w:t>
      </w:r>
    </w:p>
    <w:p>
      <w:pPr>
        <w:pStyle w:val="Para 15"/>
      </w:pPr>
      <w:r>
        <w:t>printb</w:t>
        <w:t>(</w:t>
        <w:t>b</w:t>
        <w:t>"%s"</w:t>
        <w:t xml:space="preserve"> </w:t>
        <w:t>% event.name</w:t>
        <w:t>)</w:t>
      </w:r>
    </w:p>
    <w:p>
      <w:pPr>
        <w:pStyle w:val="Para 29"/>
      </w:pPr>
      <w:r>
        <w:t>else</w:t>
      </w:r>
      <w:r>
        <w:rPr>
          <w:rStyle w:val="Text0"/>
        </w:rPr>
        <w:t>:</w:t>
      </w:r>
    </w:p>
    <w:p>
      <w:pPr>
        <w:pStyle w:val="Normal"/>
      </w:pPr>
      <w:r>
        <w:t>-</w:t>
        <w:t xml:space="preserve"> </w:t>
        <w:t>paths</w:t>
        <w:t xml:space="preserve"> </w:t>
        <w:t>=</w:t>
        <w:t xml:space="preserve"> </w:t>
        <w:t>entries</w:t>
        <w:t>[</w:t>
        <w:t>event.id</w:t>
        <w:t>]</w:t>
        <w:t>-</w:t>
        <w:t xml:space="preserve"> </w:t>
        <w:t>paths.reverse</w:t>
        <w:t>()</w:t>
      </w:r>
    </w:p>
    <w:p>
      <w:pPr>
        <w:pStyle w:val="Normal"/>
      </w:pPr>
      <w:r>
        <w:t>-</w:t>
        <w:t xml:space="preserve"> </w:t>
        <w:t>printb</w:t>
        <w:t>(</w:t>
        <w:t>b</w:t>
        <w:t>"%s"</w:t>
        <w:t xml:space="preserve"> </w:t>
        <w:t>% os.path.join</w:t>
        <w:t>(</w:t>
        <w:t>*paths</w:t>
        <w:t>))</w:t>
        <w:t xml:space="preserve"> </w:t>
        <w:t>+</w:t>
        <w:t xml:space="preserve"> </w:t>
        <w:t>printb</w:t>
        <w:t>(</w:t>
        <w:t>b</w:t>
        <w:t>"%s"</w:t>
        <w:t xml:space="preserve"> </w:t>
        <w:t>% entire_path</w:t>
        <w:t>)</w:t>
      </w:r>
    </w:p>
    <w:p>
      <w:pPr>
        <w:pStyle w:val="Para 11"/>
      </w:pPr>
      <w:r>
        <w:rPr>
          <w:rStyle w:val="Text0"/>
        </w:rPr>
        <w:t>if</w:t>
      </w:r>
      <w:r>
        <w:t xml:space="preserve"> </w:t>
        <w:t>args.full_path:</w:t>
      </w:r>
    </w:p>
    <w:p>
      <w:pPr>
        <w:pStyle w:val="Para 12"/>
      </w:pPr>
      <w:r>
        <w:t>try:</w:t>
      </w:r>
    </w:p>
    <w:p>
      <w:pPr>
        <w:pStyle w:val="Para 17"/>
      </w:pPr>
      <w:r>
        <w:t/>
      </w:r>
    </w:p>
    <w:p>
      <w:pPr>
        <w:pStyle w:val="Normal"/>
      </w:pPr>
      <w:r>
        <w:t>Running the modified version now allows you to probe for specific file names, like all the .bin files:</w:t>
      </w:r>
    </w:p>
    <w:p>
      <w:pPr>
        <w:pStyle w:val="Normal"/>
      </w:pPr>
      <w:r>
        <w:t>$ sudo /usr/sbin/opensnoop-bpfcc.new --contains</w:t>
        <w:t xml:space="preserve"> </w:t>
        <w:t>'.bin'</w:t>
        <w:t>--name qemu-system-x86</w:t>
        <w:t xml:space="preserve"> </w:t>
        <w:t>PID</w:t>
        <w:t xml:space="preserve"> </w:t>
        <w:t>COMM</w:t>
        <w:t xml:space="preserve"> </w:t>
        <w:t>FD ERR PATH</w:t>
      </w:r>
    </w:p>
    <w:p>
      <w:pPr>
        <w:pStyle w:val="Normal"/>
      </w:pPr>
      <w:r>
        <w:t>1316661</w:t>
        <w:t xml:space="preserve"> </w:t>
        <w:t>qemu-system-x86</w:t>
        <w:t xml:space="preserve"> </w:t>
        <w:t>21</w:t>
        <w:t xml:space="preserve"> </w:t>
        <w:t>0</w:t>
        <w:t xml:space="preserve"> </w:t>
        <w:t>/snap/lxd/current/share/qemu//kvmvapic.bin</w:t>
        <w:t xml:space="preserve"> </w:t>
        <w:t>1316661</w:t>
        <w:t xml:space="preserve"> </w:t>
        <w:t>qemu-system-x86</w:t>
        <w:t xml:space="preserve"> </w:t>
        <w:t>39</w:t>
        <w:t xml:space="preserve"> </w:t>
        <w:t>0</w:t>
        <w:t xml:space="preserve"> </w:t>
        <w:t>/snap/lxd/current/share/qemu//vgabios-virtio.bin</w:t>
        <w:t xml:space="preserve"> </w:t>
        <w:t>1316661</w:t>
        <w:t xml:space="preserve"> </w:t>
        <w:t>qemu-system-x86</w:t>
        <w:t xml:space="preserve"> </w:t>
        <w:t>39</w:t>
        <w:t xml:space="preserve"> </w:t>
        <w:t>0</w:t>
        <w:t xml:space="preserve"> </w:t>
        <w:t>/snap/lxd/current/share/qemu//vgabios-virtio.bin</w:t>
      </w:r>
    </w:p>
    <w:p>
      <w:bookmarkStart w:id="1022" w:name="calibre_pb_178"/>
      <w:pPr>
        <w:pStyle w:val="0 Block"/>
      </w:pPr>
      <w:bookmarkEnd w:id="1022"/>
    </w:p>
    <w:p>
      <w:bookmarkStart w:id="1023" w:name="Top_of_index_split_179_html"/>
      <w:bookmarkStart w:id="1024" w:name="page_66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8" name="index-666_1.png" descr="index-666_1.png"/>
            <wp:cNvGraphicFramePr>
              <a:graphicFrameLocks noChangeAspect="1"/>
            </wp:cNvGraphicFramePr>
            <a:graphic>
              <a:graphicData uri="http://schemas.openxmlformats.org/drawingml/2006/picture">
                <pic:pic>
                  <pic:nvPicPr>
                    <pic:cNvPr id="0" name="index-666_1.png" descr="index-666_1.png"/>
                    <pic:cNvPicPr/>
                  </pic:nvPicPr>
                  <pic:blipFill>
                    <a:blip r:embed="rId702"/>
                    <a:stretch>
                      <a:fillRect/>
                    </a:stretch>
                  </pic:blipFill>
                  <pic:spPr>
                    <a:xfrm>
                      <a:off x="0" y="0"/>
                      <a:ext cx="914400" cy="266700"/>
                    </a:xfrm>
                    <a:prstGeom prst="rect">
                      <a:avLst/>
                    </a:prstGeom>
                  </pic:spPr>
                </pic:pic>
              </a:graphicData>
            </a:graphic>
          </wp:anchor>
        </w:drawing>
      </w:r>
      <w:bookmarkEnd w:id="1023"/>
      <w:bookmarkEnd w:id="1024"/>
    </w:p>
    <w:p>
      <w:pPr>
        <w:pStyle w:val="Para 01"/>
      </w:pPr>
      <w:r>
        <w:t>Use for other purposes, the limit is your imagination</w:t>
      </w:r>
    </w:p>
    <w:p>
      <w:pPr>
        <w:pStyle w:val="Para 17"/>
      </w:pPr>
      <w:r>
        <w:t/>
      </w:r>
    </w:p>
    <w:p>
      <w:pPr>
        <w:pStyle w:val="Normal"/>
      </w:pPr>
      <w:r>
        <w:t>And just like with all the other tools and examples, the limit is your imagination. Wanted to know which files in /etc your complex intertwined apache config is really loading?</w:t>
      </w:r>
    </w:p>
    <w:p>
      <w:pPr>
        <w:pStyle w:val="Normal"/>
      </w:pPr>
      <w:r>
        <w:t>$ sudo /usr/sbin/opensnoop-bpfcc.new --name</w:t>
        <w:t xml:space="preserve"> </w:t>
        <w:t>'apache2'</w:t>
        <w:t>--contains</w:t>
        <w:t xml:space="preserve"> </w:t>
        <w:t>'/etc'</w:t>
        <w:t xml:space="preserve"> </w:t>
        <w:t>PID</w:t>
        <w:t xml:space="preserve"> </w:t>
        <w:t>COMM</w:t>
        <w:t xml:space="preserve"> </w:t>
        <w:t>FD ERR PATH</w:t>
      </w:r>
    </w:p>
    <w:p>
      <w:pPr>
        <w:pStyle w:val="Normal"/>
      </w:pPr>
      <w:r>
        <w:t>1319357</w:t>
        <w:t xml:space="preserve"> </w:t>
        <w:t>apache2</w:t>
        <w:t xml:space="preserve"> </w:t>
        <w:t>3</w:t>
        <w:t xml:space="preserve"> </w:t>
        <w:t>0</w:t>
        <w:t xml:space="preserve"> </w:t>
        <w:t>/etc/apache2/apache2.conf</w:t>
        <w:t xml:space="preserve"> </w:t>
        <w:t>1319357</w:t>
        <w:t xml:space="preserve"> </w:t>
        <w:t>apache2</w:t>
        <w:t xml:space="preserve"> </w:t>
        <w:t>4</w:t>
        <w:t xml:space="preserve"> </w:t>
        <w:t>0</w:t>
        <w:t xml:space="preserve"> </w:t>
        <w:t>/etc/apache2/mods-enabled</w:t>
        <w:t xml:space="preserve"> </w:t>
        <w:t>1319357</w:t>
        <w:t xml:space="preserve"> </w:t>
        <w:t>apache2</w:t>
        <w:t xml:space="preserve"> </w:t>
        <w:t>4</w:t>
        <w:t xml:space="preserve"> </w:t>
        <w:t>0</w:t>
        <w:t xml:space="preserve"> </w:t>
        <w:t>/etc/apache2/mods-enabled/access_compat.load</w:t>
        <w:t xml:space="preserve"> </w:t>
        <w:t>...</w:t>
      </w:r>
    </w:p>
    <w:p>
      <w:pPr>
        <w:pStyle w:val="Normal"/>
      </w:pPr>
      <w:r>
        <w:t>1319357</w:t>
        <w:t xml:space="preserve"> </w:t>
        <w:t>apache2</w:t>
        <w:t xml:space="preserve"> </w:t>
        <w:t>4</w:t>
        <w:t xml:space="preserve"> </w:t>
        <w:t>0</w:t>
        <w:t xml:space="preserve"> </w:t>
        <w:t>/etc/apache2/ports.conf</w:t>
        <w:t xml:space="preserve"> </w:t>
        <w:t>1319357</w:t>
        <w:t xml:space="preserve"> </w:t>
        <w:t>apache2</w:t>
        <w:t xml:space="preserve"> </w:t>
        <w:t>4</w:t>
        <w:t xml:space="preserve"> </w:t>
        <w:t>0</w:t>
        <w:t xml:space="preserve"> </w:t>
        <w:t>/etc/apache2/conf-enabled</w:t>
        <w:t xml:space="preserve"> </w:t>
        <w:t>1319357</w:t>
        <w:t xml:space="preserve"> </w:t>
        <w:t>apache2</w:t>
        <w:t xml:space="preserve"> </w:t>
        <w:t>4</w:t>
        <w:t xml:space="preserve"> </w:t>
        <w:t>0</w:t>
        <w:t xml:space="preserve"> </w:t>
        <w:t>/etc/apache2/conf-enabled/charset.conf</w:t>
        <w:t xml:space="preserve"> </w:t>
        <w:t>1319357</w:t>
        <w:t xml:space="preserve"> </w:t>
        <w:t>apache2</w:t>
        <w:t xml:space="preserve"> </w:t>
        <w:t>4</w:t>
        <w:t xml:space="preserve"> </w:t>
        <w:t>0</w:t>
        <w:t xml:space="preserve"> </w:t>
        <w:t>/etc/apache2/conf-enabled/localized-error-pages.conf</w:t>
        <w:t xml:space="preserve"> </w:t>
        <w:t>...</w:t>
      </w:r>
    </w:p>
    <w:p>
      <w:pPr>
        <w:pStyle w:val="Normal"/>
      </w:pPr>
      <w:r>
        <w:t>1319357</w:t>
        <w:t xml:space="preserve"> </w:t>
        <w:t>apache2</w:t>
        <w:t xml:space="preserve"> </w:t>
        <w:t>4</w:t>
        <w:t xml:space="preserve"> </w:t>
        <w:t>0</w:t>
        <w:t xml:space="preserve"> </w:t>
        <w:t>/etc/apache2/sites-enabled/000-default.conf</w:t>
      </w:r>
    </w:p>
    <w:p>
      <w:pPr>
        <w:pStyle w:val="Para 17"/>
      </w:pPr>
      <w:r>
        <w:t/>
      </w:r>
    </w:p>
    <w:p>
      <w:pPr>
        <w:pStyle w:val="Para 01"/>
      </w:pPr>
      <w:r>
        <w:t>eBPF’s limitations</w:t>
      </w:r>
    </w:p>
    <w:p>
      <w:pPr>
        <w:pStyle w:val="Para 17"/>
      </w:pPr>
      <w:r>
        <w:t/>
      </w:r>
    </w:p>
    <w:p>
      <w:pPr>
        <w:pStyle w:val="Normal"/>
      </w:pPr>
      <w:r>
        <w:t>When you read the example code change above, it is worth noticing - just like the existing--name option - this is filtering on the reporting side, not on event generation. So you should be aware and understand why you might receive eBPF messages like:</w:t>
      </w:r>
    </w:p>
    <w:p>
      <w:pPr>
        <w:pStyle w:val="Normal"/>
      </w:pPr>
      <w:r>
        <w:t>Possibly lost 84 samples</w:t>
      </w:r>
    </w:p>
    <w:p>
      <w:pPr>
        <w:pStyle w:val="Para 17"/>
      </w:pPr>
      <w:r>
        <w:t/>
      </w:r>
    </w:p>
    <w:p>
      <w:pPr>
        <w:pStyle w:val="Normal"/>
      </w:pPr>
      <w:r>
        <w:t>Since eBPF programs produce events on a ring buffer, if the rate of events exceeds the pace that the userspace process can consume the events, a program will lose some events (over-written since it’s a ring). The “Possibly lost .. samples” message hints that this is happening. This is conceptually the same for almost all kernel tracing facilities. Since they are not al-lowed to slow down the kernel, you can’t tell the tool to “wait until I’ve consumed”. Most of the time this is fine, but advanced users might need to aggregate on the eBPF side to reduce what needs to be picked up by the userspace. And despite having lower overhead, eBPF tools still need to find their balance between buffering, dropping events and consuming CPU. See</w:t>
      </w:r>
    </w:p>
    <w:p>
      <w:pPr>
        <w:pStyle w:val="Normal"/>
      </w:pPr>
      <w:r>
        <w:t xml:space="preserve">the </w:t>
      </w:r>
      <w:hyperlink r:id="rId1585">
        <w:r>
          <w:rPr>
            <w:rStyle w:val="Text9"/>
          </w:rPr>
          <w:t>675</w:t>
        </w:r>
      </w:hyperlink>
      <w:hyperlink r:id="rId1585">
        <w:r>
          <w:rPr>
            <w:rStyle w:val="Text1"/>
          </w:rPr>
          <w:t xml:space="preserve"> same discussion</w:t>
        </w:r>
      </w:hyperlink>
      <w:r>
        <w:t xml:space="preserve"> in the examples of tools shown above.</w:t>
      </w:r>
    </w:p>
    <w:p>
      <w:pPr>
        <w:pStyle w:val="Para 17"/>
      </w:pPr>
      <w:r>
        <w:t/>
      </w:r>
    </w:p>
    <w:p>
      <w:pPr>
        <w:pStyle w:val="Para 01"/>
      </w:pPr>
      <w:r>
        <w:t>Conclusion</w:t>
      </w:r>
    </w:p>
    <w:p>
      <w:pPr>
        <w:pStyle w:val="Para 17"/>
      </w:pPr>
      <w:r>
        <w:t/>
      </w:r>
    </w:p>
    <w:p>
      <w:pPr>
        <w:pStyle w:val="Normal"/>
      </w:pPr>
      <w:r>
        <w:t>eBPF offers a vast array of options to monitor, debug, and secure your systems directly in kernel-space (i.e., fast and omniscient), with no need to disrupt running services. It is an in-valuable tool for system administrators and software engineers.</w:t>
      </w:r>
    </w:p>
    <w:p>
      <w:pPr>
        <w:pStyle w:val="Para 05"/>
      </w:pPr>
      <w:r>
        <w:rPr>
          <w:rStyle w:val="Text5"/>
        </w:rPr>
        <w:t>675</w:t>
      </w:r>
      <w:r>
        <w:rPr>
          <w:rStyle w:val="Text8"/>
        </w:rPr>
        <w:t xml:space="preserve"> </w:t>
      </w:r>
      <w:r>
        <w:t>https://github.com/iovisor/bcc/issues/1033</w:t>
      </w:r>
    </w:p>
    <w:p>
      <w:bookmarkStart w:id="1025" w:name="calibre_pb_179"/>
      <w:pPr>
        <w:pStyle w:val="0 Block"/>
      </w:pPr>
      <w:bookmarkEnd w:id="1025"/>
    </w:p>
    <w:p>
      <w:bookmarkStart w:id="1026" w:name="Top_of_index_split_180_html"/>
      <w:bookmarkStart w:id="1027" w:name="page_66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699" name="index-667_1.png" descr="index-667_1.png"/>
            <wp:cNvGraphicFramePr>
              <a:graphicFrameLocks noChangeAspect="1"/>
            </wp:cNvGraphicFramePr>
            <a:graphic>
              <a:graphicData uri="http://schemas.openxmlformats.org/drawingml/2006/picture">
                <pic:pic>
                  <pic:nvPicPr>
                    <pic:cNvPr id="0" name="index-667_1.png" descr="index-667_1.png"/>
                    <pic:cNvPicPr/>
                  </pic:nvPicPr>
                  <pic:blipFill>
                    <a:blip r:embed="rId703"/>
                    <a:stretch>
                      <a:fillRect/>
                    </a:stretch>
                  </pic:blipFill>
                  <pic:spPr>
                    <a:xfrm>
                      <a:off x="0" y="0"/>
                      <a:ext cx="914400" cy="266700"/>
                    </a:xfrm>
                    <a:prstGeom prst="rect">
                      <a:avLst/>
                    </a:prstGeom>
                  </pic:spPr>
                </pic:pic>
              </a:graphicData>
            </a:graphic>
          </wp:anchor>
        </w:drawing>
      </w:r>
      <w:bookmarkEnd w:id="1026"/>
      <w:bookmarkEnd w:id="1027"/>
    </w:p>
    <w:p>
      <w:pPr>
        <w:pStyle w:val="Para 01"/>
      </w:pPr>
      <w:r>
        <w:t>References</w:t>
      </w:r>
    </w:p>
    <w:p>
      <w:pPr>
        <w:pStyle w:val="Para 17"/>
      </w:pPr>
      <w:r>
        <w:t/>
      </w:r>
    </w:p>
    <w:p>
      <w:pPr>
        <w:pStyle w:val="Para 13"/>
      </w:pPr>
      <w:r>
        <w:rPr>
          <w:rStyle w:val="Text7"/>
        </w:rPr>
        <w:t xml:space="preserve">• </w:t>
      </w:r>
      <w:hyperlink w:anchor="page_667">
        <w:r>
          <w:rPr>
            <w:rStyle w:val="Text10"/>
          </w:rPr>
          <w:t>676</w:t>
        </w:r>
      </w:hyperlink>
      <w:r>
        <w:rPr>
          <w:rStyle w:val="Text7"/>
        </w:rPr>
        <w:t xml:space="preserve"> </w:t>
      </w:r>
      <w:hyperlink r:id="rId1586">
        <w:r>
          <w:t>Introduction to eBPF video, given at the Ubuntu summit 2024</w:t>
        </w:r>
      </w:hyperlink>
      <w:r>
        <w:rPr>
          <w:rStyle w:val="Text7"/>
        </w:rPr>
        <w:t>, eventually presenting</w:t>
      </w:r>
    </w:p>
    <w:p>
      <w:pPr>
        <w:pStyle w:val="Para 02"/>
      </w:pPr>
      <w:r>
        <w:t>an eBPF based framework for Kubernetes called Inspector Gadget.</w:t>
      </w:r>
    </w:p>
    <w:p>
      <w:pPr>
        <w:pStyle w:val="Para 04"/>
      </w:pPr>
      <w:r>
        <w:t xml:space="preserve">• For a deeper introduction into eBPF concepts consider reading </w:t>
      </w:r>
      <w:hyperlink w:anchor="page_667">
        <w:r>
          <w:rPr>
            <w:rStyle w:val="Text9"/>
          </w:rPr>
          <w:t>677</w:t>
        </w:r>
      </w:hyperlink>
      <w:r>
        <w:t xml:space="preserve"> </w:t>
      </w:r>
      <w:hyperlink r:id="rId1587">
        <w:r>
          <w:rPr>
            <w:rStyle w:val="Text1"/>
          </w:rPr>
          <w:t>what is eBPF</w:t>
        </w:r>
      </w:hyperlink>
      <w:r>
        <w:t xml:space="preserve"> by the</w:t>
      </w:r>
    </w:p>
    <w:p>
      <w:pPr>
        <w:pStyle w:val="Para 02"/>
      </w:pPr>
      <w:r>
        <w:t>eBPF community.</w:t>
      </w:r>
    </w:p>
    <w:p>
      <w:pPr>
        <w:pStyle w:val="Para 04"/>
      </w:pPr>
      <w:r>
        <w:t>• For a complete documentation on eBPF, its internals and interfaces, please check the</w:t>
      </w:r>
    </w:p>
    <w:p>
      <w:pPr>
        <w:pStyle w:val="Para 32"/>
      </w:pPr>
      <w:hyperlink r:id="rId1588">
        <w:r>
          <w:t>upstream documentation</w:t>
        </w:r>
      </w:hyperlink>
      <w:hyperlink r:id="rId1588">
        <w:r>
          <w:rPr>
            <w:rStyle w:val="Text10"/>
          </w:rPr>
          <w:t>678</w:t>
        </w:r>
      </w:hyperlink>
      <w:r>
        <w:rPr>
          <w:rStyle w:val="Text7"/>
        </w:rPr>
        <w:t>.</w:t>
      </w:r>
    </w:p>
    <w:p>
      <w:pPr>
        <w:pStyle w:val="Para 04"/>
      </w:pPr>
      <w:r>
        <w:t xml:space="preserve">• The eBPF community also has a </w:t>
      </w:r>
      <w:hyperlink w:anchor="page_667">
        <w:r>
          <w:rPr>
            <w:rStyle w:val="Text9"/>
          </w:rPr>
          <w:t>679</w:t>
        </w:r>
      </w:hyperlink>
      <w:r>
        <w:t xml:space="preserve"> </w:t>
      </w:r>
      <w:hyperlink r:id="rId1589">
        <w:r>
          <w:rPr>
            <w:rStyle w:val="Text1"/>
          </w:rPr>
          <w:t>list of eBPF based solutions</w:t>
        </w:r>
      </w:hyperlink>
      <w:r>
        <w:t>, many of which are re-</w:t>
      </w:r>
    </w:p>
    <w:p>
      <w:pPr>
        <w:pStyle w:val="Para 02"/>
      </w:pPr>
      <w:r>
        <w:t>lated to the Kubernetes ecosystem.</w:t>
      </w:r>
    </w:p>
    <w:p>
      <w:pPr>
        <w:pStyle w:val="Para 17"/>
      </w:pPr>
      <w:r>
        <w:t/>
      </w:r>
    </w:p>
    <w:p>
      <w:pPr>
        <w:pStyle w:val="Para 01"/>
      </w:pPr>
      <w:r>
        <w:t>Further reading</w:t>
      </w:r>
    </w:p>
    <w:p>
      <w:pPr>
        <w:pStyle w:val="Para 17"/>
      </w:pPr>
      <w:r>
        <w:t/>
      </w:r>
    </w:p>
    <w:p>
      <w:pPr>
        <w:pStyle w:val="Para 13"/>
      </w:pPr>
      <w:r>
        <w:rPr>
          <w:rStyle w:val="Text7"/>
        </w:rPr>
        <w:t xml:space="preserve">• External: </w:t>
      </w:r>
      <w:hyperlink w:anchor="page_667">
        <w:r>
          <w:rPr>
            <w:rStyle w:val="Text10"/>
          </w:rPr>
          <w:t>680</w:t>
        </w:r>
      </w:hyperlink>
      <w:r>
        <w:rPr>
          <w:rStyle w:val="Text7"/>
        </w:rPr>
        <w:t xml:space="preserve"> </w:t>
      </w:r>
      <w:hyperlink r:id="rId1590">
        <w:r>
          <w:t>The Ubuntu Project documentation</w:t>
        </w:r>
      </w:hyperlink>
    </w:p>
    <w:p>
      <w:pPr>
        <w:pStyle w:val="Para 17"/>
      </w:pPr>
      <w:r>
        <w:t/>
      </w:r>
    </w:p>
    <w:p>
      <w:pPr>
        <w:pStyle w:val="Para 37"/>
      </w:pPr>
      <w:r>
        <w:t>3.3. Ubuntu Server reference</w:t>
      </w:r>
    </w:p>
    <w:p>
      <w:pPr>
        <w:pStyle w:val="Normal"/>
      </w:pPr>
      <w:r>
        <w:t>Our reference section is used for quickly checking what software and commands are avail-able, and how to interact with various tools.</w:t>
      </w:r>
    </w:p>
    <w:p>
      <w:pPr>
        <w:pStyle w:val="Para 04"/>
      </w:pPr>
      <w:r>
        <w:t xml:space="preserve">• Our </w:t>
      </w:r>
      <w:hyperlink w:anchor="page_667">
        <w:r>
          <w:rPr>
            <w:rStyle w:val="Text2"/>
          </w:rPr>
          <w:t>Glossary</w:t>
        </w:r>
      </w:hyperlink>
      <w:r>
        <w:t xml:space="preserve"> (page 666) contains definitions for common terminology used in this doc-</w:t>
      </w:r>
    </w:p>
    <w:p>
      <w:pPr>
        <w:pStyle w:val="Para 02"/>
      </w:pPr>
      <w:r>
        <w:t>umentation.</w:t>
      </w:r>
    </w:p>
    <w:p>
      <w:pPr>
        <w:pStyle w:val="Para 04"/>
      </w:pPr>
      <w:r>
        <w:t xml:space="preserve">• Our </w:t>
      </w:r>
      <w:hyperlink w:anchor="page_717">
        <w:r>
          <w:rPr>
            <w:rStyle w:val="Text2"/>
          </w:rPr>
          <w:t>Command-line cheat sheet</w:t>
        </w:r>
      </w:hyperlink>
      <w:r>
        <w:t xml:space="preserve"> (page 716) provides a quick reference for basic CLI com-</w:t>
      </w:r>
    </w:p>
    <w:p>
      <w:pPr>
        <w:pStyle w:val="Para 02"/>
      </w:pPr>
      <w:r>
        <w:t>mands.</w:t>
      </w:r>
    </w:p>
    <w:p>
      <w:pPr>
        <w:pStyle w:val="Para 24"/>
      </w:pPr>
      <w:r>
        <w:t>3.3.1. Glossary</w:t>
      </w:r>
    </w:p>
    <w:p>
      <w:pPr>
        <w:pStyle w:val="Normal"/>
      </w:pPr>
      <w:r>
        <w:t>We are currently compiling and defining terms for this glossary. If you would like to help,</w:t>
      </w:r>
    </w:p>
    <w:p>
      <w:pPr>
        <w:pStyle w:val="Normal"/>
      </w:pPr>
      <w:r>
        <w:t xml:space="preserve">please visit our </w:t>
      </w:r>
      <w:hyperlink w:anchor="page_961">
        <w:r>
          <w:rPr>
            <w:rStyle w:val="Text2"/>
          </w:rPr>
          <w:t>contributions page</w:t>
        </w:r>
      </w:hyperlink>
      <w:r>
        <w:t xml:space="preserve"> (page 960) for details on how to get involved.</w:t>
      </w:r>
    </w:p>
    <w:p>
      <w:pPr>
        <w:pStyle w:val="Para 01"/>
      </w:pPr>
      <w:r>
        <w:t>Jump to:</w:t>
      </w:r>
    </w:p>
    <w:p>
      <w:pPr>
        <w:pStyle w:val="Normal"/>
      </w:pPr>
      <w:hyperlink w:anchor="page_668">
        <w:r>
          <w:rPr>
            <w:rStyle w:val="Text2"/>
          </w:rPr>
          <w:t>A</w:t>
        </w:r>
      </w:hyperlink>
      <w:r>
        <w:t xml:space="preserve"> (page 667) – </w:t>
      </w:r>
      <w:hyperlink w:anchor="page_674">
        <w:r>
          <w:rPr>
            <w:rStyle w:val="Text2"/>
          </w:rPr>
          <w:t>B</w:t>
        </w:r>
      </w:hyperlink>
      <w:r>
        <w:t xml:space="preserve"> (page 673) – </w:t>
      </w:r>
      <w:hyperlink w:anchor="page_675">
        <w:r>
          <w:rPr>
            <w:rStyle w:val="Text2"/>
          </w:rPr>
          <w:t>C</w:t>
        </w:r>
      </w:hyperlink>
      <w:r>
        <w:t xml:space="preserve"> (page 674) – </w:t>
      </w:r>
      <w:hyperlink w:anchor="page_676">
        <w:r>
          <w:rPr>
            <w:rStyle w:val="Text2"/>
          </w:rPr>
          <w:t>D</w:t>
        </w:r>
      </w:hyperlink>
      <w:r>
        <w:t xml:space="preserve"> (page 675) – </w:t>
      </w:r>
      <w:hyperlink w:anchor="page_681">
        <w:r>
          <w:rPr>
            <w:rStyle w:val="Text2"/>
          </w:rPr>
          <w:t>E</w:t>
        </w:r>
      </w:hyperlink>
      <w:r>
        <w:t xml:space="preserve"> (page 680) – </w:t>
      </w:r>
      <w:hyperlink w:anchor="page_682">
        <w:r>
          <w:rPr>
            <w:rStyle w:val="Text2"/>
          </w:rPr>
          <w:t>F</w:t>
        </w:r>
      </w:hyperlink>
      <w:r>
        <w:t xml:space="preserve"> (page 681) –</w:t>
      </w:r>
    </w:p>
    <w:p>
      <w:pPr>
        <w:pStyle w:val="Normal"/>
      </w:pPr>
      <w:hyperlink w:anchor="page_684">
        <w:r>
          <w:rPr>
            <w:rStyle w:val="Text2"/>
          </w:rPr>
          <w:t>G</w:t>
        </w:r>
      </w:hyperlink>
      <w:r>
        <w:t xml:space="preserve"> (page 683) – </w:t>
      </w:r>
      <w:hyperlink w:anchor="page_688">
        <w:r>
          <w:rPr>
            <w:rStyle w:val="Text2"/>
          </w:rPr>
          <w:t>H</w:t>
        </w:r>
      </w:hyperlink>
      <w:r>
        <w:t xml:space="preserve"> (page 687) – </w:t>
      </w:r>
      <w:hyperlink w:anchor="page_689">
        <w:r>
          <w:rPr>
            <w:rStyle w:val="Text2"/>
          </w:rPr>
          <w:t>I</w:t>
        </w:r>
      </w:hyperlink>
      <w:r>
        <w:t xml:space="preserve"> (page 688) – </w:t>
      </w:r>
      <w:hyperlink w:anchor="page_691">
        <w:r>
          <w:rPr>
            <w:rStyle w:val="Text2"/>
          </w:rPr>
          <w:t>J</w:t>
        </w:r>
      </w:hyperlink>
      <w:r>
        <w:t xml:space="preserve"> (page 690) – </w:t>
      </w:r>
      <w:hyperlink w:anchor="page_692">
        <w:r>
          <w:rPr>
            <w:rStyle w:val="Text2"/>
          </w:rPr>
          <w:t>K</w:t>
        </w:r>
      </w:hyperlink>
      <w:r>
        <w:t xml:space="preserve"> (page 691) – </w:t>
      </w:r>
      <w:hyperlink w:anchor="page_693">
        <w:r>
          <w:rPr>
            <w:rStyle w:val="Text2"/>
          </w:rPr>
          <w:t>L</w:t>
        </w:r>
      </w:hyperlink>
      <w:r>
        <w:t xml:space="preserve"> (page 692) – </w:t>
      </w:r>
      <w:hyperlink w:anchor="page_694">
        <w:r>
          <w:rPr>
            <w:rStyle w:val="Text2"/>
          </w:rPr>
          <w:t>M</w:t>
        </w:r>
      </w:hyperlink>
    </w:p>
    <w:p>
      <w:pPr>
        <w:pStyle w:val="Normal"/>
      </w:pPr>
      <w:r>
        <w:t xml:space="preserve">(page 693) – </w:t>
      </w:r>
      <w:hyperlink w:anchor="page_696">
        <w:r>
          <w:rPr>
            <w:rStyle w:val="Text2"/>
          </w:rPr>
          <w:t>N</w:t>
        </w:r>
      </w:hyperlink>
      <w:r>
        <w:t xml:space="preserve"> (page 695) – </w:t>
      </w:r>
      <w:hyperlink w:anchor="page_697">
        <w:r>
          <w:rPr>
            <w:rStyle w:val="Text2"/>
          </w:rPr>
          <w:t>O</w:t>
        </w:r>
      </w:hyperlink>
      <w:r>
        <w:t xml:space="preserve"> (page 696) – </w:t>
      </w:r>
      <w:hyperlink w:anchor="page_699">
        <w:r>
          <w:rPr>
            <w:rStyle w:val="Text2"/>
          </w:rPr>
          <w:t>P</w:t>
        </w:r>
      </w:hyperlink>
      <w:r>
        <w:t xml:space="preserve"> (page 698) – </w:t>
      </w:r>
      <w:hyperlink w:anchor="page_701">
        <w:r>
          <w:rPr>
            <w:rStyle w:val="Text2"/>
          </w:rPr>
          <w:t>Q</w:t>
        </w:r>
      </w:hyperlink>
      <w:r>
        <w:t xml:space="preserve"> (page 700) – </w:t>
      </w:r>
      <w:hyperlink w:anchor="page_702">
        <w:r>
          <w:rPr>
            <w:rStyle w:val="Text2"/>
          </w:rPr>
          <w:t>R</w:t>
        </w:r>
      </w:hyperlink>
      <w:r>
        <w:t xml:space="preserve"> (page 701) – </w:t>
      </w:r>
      <w:hyperlink w:anchor="page_703">
        <w:r>
          <w:rPr>
            <w:rStyle w:val="Text2"/>
          </w:rPr>
          <w:t>S</w:t>
        </w:r>
      </w:hyperlink>
    </w:p>
    <w:p>
      <w:pPr>
        <w:pStyle w:val="Normal"/>
      </w:pPr>
      <w:r>
        <w:t xml:space="preserve">(page 702) – </w:t>
      </w:r>
      <w:hyperlink w:anchor="page_709">
        <w:r>
          <w:rPr>
            <w:rStyle w:val="Text2"/>
          </w:rPr>
          <w:t>T</w:t>
        </w:r>
      </w:hyperlink>
      <w:r>
        <w:t xml:space="preserve"> (page 708) – </w:t>
      </w:r>
      <w:hyperlink w:anchor="page_711">
        <w:r>
          <w:rPr>
            <w:rStyle w:val="Text2"/>
          </w:rPr>
          <w:t>U</w:t>
        </w:r>
      </w:hyperlink>
      <w:r>
        <w:t xml:space="preserve"> (page 710) – </w:t>
      </w:r>
      <w:hyperlink w:anchor="page_713">
        <w:r>
          <w:rPr>
            <w:rStyle w:val="Text2"/>
          </w:rPr>
          <w:t>V</w:t>
        </w:r>
      </w:hyperlink>
      <w:r>
        <w:t xml:space="preserve"> (page 712) – </w:t>
      </w:r>
      <w:hyperlink w:anchor="page_715">
        <w:r>
          <w:rPr>
            <w:rStyle w:val="Text2"/>
          </w:rPr>
          <w:t>W</w:t>
        </w:r>
      </w:hyperlink>
      <w:r>
        <w:t xml:space="preserve"> (page 714) – </w:t>
      </w:r>
      <w:hyperlink w:anchor="page_716">
        <w:r>
          <w:rPr>
            <w:rStyle w:val="Text2"/>
          </w:rPr>
          <w:t>X</w:t>
        </w:r>
      </w:hyperlink>
      <w:r>
        <w:t xml:space="preserve"> (page 715) – </w:t>
      </w:r>
      <w:hyperlink w:anchor="page_716">
        <w:r>
          <w:rPr>
            <w:rStyle w:val="Text2"/>
          </w:rPr>
          <w:t>Y</w:t>
        </w:r>
      </w:hyperlink>
    </w:p>
    <w:p>
      <w:pPr>
        <w:pStyle w:val="Normal"/>
      </w:pPr>
      <w:r>
        <w:t xml:space="preserve">(page 715) – </w:t>
      </w:r>
      <w:hyperlink w:anchor="page_716">
        <w:r>
          <w:rPr>
            <w:rStyle w:val="Text2"/>
          </w:rPr>
          <w:t>Z</w:t>
        </w:r>
      </w:hyperlink>
      <w:r>
        <w:t xml:space="preserve"> (page 715)</w:t>
      </w:r>
    </w:p>
    <w:p>
      <w:pPr>
        <w:pStyle w:val="Para 05"/>
      </w:pPr>
      <w:r>
        <w:rPr>
          <w:rStyle w:val="Text5"/>
        </w:rPr>
        <w:t>676</w:t>
      </w:r>
      <w:r>
        <w:rPr>
          <w:rStyle w:val="Text8"/>
        </w:rPr>
        <w:t xml:space="preserve"> </w:t>
      </w:r>
      <w:r>
        <w:t>https://www.youtube.com/live/byPpJW5l6pg?t=30314s</w:t>
      </w:r>
    </w:p>
    <w:p>
      <w:pPr>
        <w:pStyle w:val="Para 05"/>
      </w:pPr>
      <w:r>
        <w:rPr>
          <w:rStyle w:val="Text5"/>
        </w:rPr>
        <w:t>677</w:t>
      </w:r>
      <w:r>
        <w:rPr>
          <w:rStyle w:val="Text8"/>
        </w:rPr>
        <w:t xml:space="preserve"> </w:t>
      </w:r>
      <w:r>
        <w:t>https://ebpf.io/what-is-ebpf/</w:t>
      </w:r>
    </w:p>
    <w:p>
      <w:pPr>
        <w:pStyle w:val="Para 05"/>
      </w:pPr>
      <w:r>
        <w:rPr>
          <w:rStyle w:val="Text5"/>
        </w:rPr>
        <w:t>678</w:t>
      </w:r>
      <w:r>
        <w:rPr>
          <w:rStyle w:val="Text8"/>
        </w:rPr>
        <w:t xml:space="preserve"> </w:t>
      </w:r>
      <w:r>
        <w:t>https://docs.kernel.org/bpf/</w:t>
      </w:r>
    </w:p>
    <w:p>
      <w:pPr>
        <w:pStyle w:val="Para 05"/>
      </w:pPr>
      <w:r>
        <w:rPr>
          <w:rStyle w:val="Text5"/>
        </w:rPr>
        <w:t>679</w:t>
      </w:r>
      <w:r>
        <w:rPr>
          <w:rStyle w:val="Text8"/>
        </w:rPr>
        <w:t xml:space="preserve"> </w:t>
      </w:r>
      <w:r>
        <w:t>https://ebpf.io/applications/</w:t>
      </w:r>
    </w:p>
    <w:p>
      <w:pPr>
        <w:pStyle w:val="Para 05"/>
      </w:pPr>
      <w:r>
        <w:rPr>
          <w:rStyle w:val="Text5"/>
        </w:rPr>
        <w:t>680</w:t>
      </w:r>
      <w:r>
        <w:rPr>
          <w:rStyle w:val="Text8"/>
        </w:rPr>
        <w:t xml:space="preserve"> </w:t>
      </w:r>
      <w:r>
        <w:t>https://documentation.ubuntu.com/project/contributors/debugging/</w:t>
      </w:r>
    </w:p>
    <w:p>
      <w:bookmarkStart w:id="1028" w:name="calibre_pb_180"/>
      <w:pPr>
        <w:pStyle w:val="0 Block"/>
      </w:pPr>
      <w:bookmarkEnd w:id="1028"/>
    </w:p>
    <w:p>
      <w:bookmarkStart w:id="1029" w:name="Top_of_index_split_181_html"/>
      <w:bookmarkStart w:id="1030" w:name="page_66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0" name="index-668_1.png" descr="index-668_1.png"/>
            <wp:cNvGraphicFramePr>
              <a:graphicFrameLocks noChangeAspect="1"/>
            </wp:cNvGraphicFramePr>
            <a:graphic>
              <a:graphicData uri="http://schemas.openxmlformats.org/drawingml/2006/picture">
                <pic:pic>
                  <pic:nvPicPr>
                    <pic:cNvPr id="0" name="index-668_1.png" descr="index-668_1.png"/>
                    <pic:cNvPicPr/>
                  </pic:nvPicPr>
                  <pic:blipFill>
                    <a:blip r:embed="rId704"/>
                    <a:stretch>
                      <a:fillRect/>
                    </a:stretch>
                  </pic:blipFill>
                  <pic:spPr>
                    <a:xfrm>
                      <a:off x="0" y="0"/>
                      <a:ext cx="914400" cy="266700"/>
                    </a:xfrm>
                    <a:prstGeom prst="rect">
                      <a:avLst/>
                    </a:prstGeom>
                  </pic:spPr>
                </pic:pic>
              </a:graphicData>
            </a:graphic>
          </wp:anchor>
        </w:drawing>
      </w:r>
      <w:bookmarkEnd w:id="1029"/>
      <w:bookmarkEnd w:id="1030"/>
    </w:p>
    <w:p>
      <w:bookmarkStart w:id="1031" w:name="A"/>
      <w:bookmarkStart w:id="1032" w:name="Top_of_index_split_182_html"/>
      <w:pPr>
        <w:pStyle w:val="Heading 1"/>
        <w:pageBreakBefore w:val="on"/>
      </w:pPr>
      <w:r>
        <w:t>A</w:t>
      </w:r>
      <w:bookmarkEnd w:id="1031"/>
      <w:bookmarkEnd w:id="1032"/>
    </w:p>
    <w:p>
      <w:pPr>
        <w:pStyle w:val="Para 17"/>
      </w:pPr>
      <w:r>
        <w:t/>
      </w:r>
    </w:p>
    <w:p>
      <w:pPr>
        <w:pStyle w:val="Para 01"/>
      </w:pPr>
      <w:r>
        <w:t>ABI</w:t>
      </w:r>
    </w:p>
    <w:p>
      <w:pPr>
        <w:pStyle w:val="Para 01"/>
      </w:pPr>
      <w:r>
        <w:t>Application Binary Interface</w:t>
      </w:r>
    </w:p>
    <w:p>
      <w:pPr>
        <w:pStyle w:val="Para 02"/>
      </w:pPr>
      <w:r>
        <w:t>An ABI is an interface that defines how two modules interact with each other at the ma-chine code level. Most often, these modules are applications using external libraries.</w:t>
      </w:r>
    </w:p>
    <w:p>
      <w:pPr>
        <w:pStyle w:val="Para 02"/>
      </w:pPr>
      <w:r>
        <w:t xml:space="preserve">An ABI defines a low-level and hardware-dependent interface compared to an </w:t>
      </w:r>
      <w:hyperlink w:anchor="page_670">
        <w:r>
          <w:rPr>
            <w:rStyle w:val="Text2"/>
          </w:rPr>
          <w:t>API</w:t>
        </w:r>
      </w:hyperlink>
      <w:r>
        <w:t xml:space="preserve"> , which is considered high-level and hardware-independent.</w:t>
      </w:r>
    </w:p>
    <w:p>
      <w:pPr>
        <w:pStyle w:val="Para 01"/>
      </w:pPr>
      <w:r>
        <w:t>ACL</w:t>
      </w:r>
    </w:p>
    <w:p>
      <w:pPr>
        <w:pStyle w:val="Para 01"/>
      </w:pPr>
      <w:r>
        <w:t>Access Control List</w:t>
      </w:r>
    </w:p>
    <w:p>
      <w:pPr>
        <w:pStyle w:val="Para 02"/>
      </w:pPr>
      <w:r>
        <w:t>An ACL is a list of access permissions that defines entities and their access rights to resources. ACLs can specify access with varying levels of granularity, ranging from full access to a resource, to permission for a specific operation.</w:t>
      </w:r>
    </w:p>
    <w:p>
      <w:pPr>
        <w:pStyle w:val="Para 02"/>
      </w:pPr>
      <w:r>
        <w:t>See also:</w:t>
      </w:r>
    </w:p>
    <w:p>
      <w:pPr>
        <w:pStyle w:val="Para 26"/>
      </w:pPr>
      <w:r>
        <w:rPr>
          <w:rStyle w:val="Text4"/>
        </w:rPr>
        <w:t xml:space="preserve">• </w:t>
      </w:r>
      <w:hyperlink w:anchor="page_668">
        <w:r>
          <w:rPr>
            <w:rStyle w:val="Text15"/>
          </w:rPr>
          <w:t>681</w:t>
        </w:r>
      </w:hyperlink>
      <w:r>
        <w:rPr>
          <w:rStyle w:val="Text4"/>
        </w:rPr>
        <w:t xml:space="preserve"> </w:t>
      </w:r>
      <w:hyperlink r:id="rId1250">
        <w:r>
          <w:t>the ACL manual page</w:t>
        </w:r>
      </w:hyperlink>
    </w:p>
    <w:p>
      <w:pPr>
        <w:pStyle w:val="Para 02"/>
      </w:pPr>
      <w:r>
        <w:t>Related topic(s):</w:t>
      </w:r>
    </w:p>
    <w:p>
      <w:pPr>
        <w:pStyle w:val="Para 06"/>
      </w:pPr>
      <w:r>
        <w:t xml:space="preserve">• Security, </w:t>
      </w:r>
      <w:hyperlink w:anchor="page_698">
        <w:r>
          <w:rPr>
            <w:rStyle w:val="Text2"/>
          </w:rPr>
          <w:t>OpenLDAP</w:t>
        </w:r>
      </w:hyperlink>
      <w:r>
        <w:t xml:space="preserve">, and </w:t>
      </w:r>
      <w:hyperlink w:anchor="page_692">
        <w:r>
          <w:rPr>
            <w:rStyle w:val="Text2"/>
          </w:rPr>
          <w:t>Kerberos</w:t>
        </w:r>
      </w:hyperlink>
    </w:p>
    <w:p>
      <w:pPr>
        <w:pStyle w:val="Para 01"/>
      </w:pPr>
      <w:r>
        <w:t>AD</w:t>
      </w:r>
    </w:p>
    <w:p>
      <w:pPr>
        <w:pStyle w:val="Para 01"/>
      </w:pPr>
      <w:r>
        <w:t>Active Directory</w:t>
      </w:r>
    </w:p>
    <w:p>
      <w:pPr>
        <w:pStyle w:val="Para 02"/>
      </w:pPr>
      <w:r>
        <w:t>An AD is a Microsoft service that acts as a central database storing and managing in-formation about network objects (user accounts, groups, computers and shared re-sources) and their security in a Windows-based network.</w:t>
      </w:r>
    </w:p>
    <w:p>
      <w:pPr>
        <w:pStyle w:val="Para 01"/>
      </w:pPr>
      <w:r>
        <w:t>ADSys</w:t>
      </w:r>
    </w:p>
    <w:p>
      <w:pPr>
        <w:pStyle w:val="Para 02"/>
      </w:pPr>
      <w:r>
        <w:t>ADSys is an Ubuntu-specific Active Directory (</w:t>
      </w:r>
      <w:hyperlink w:anchor="page_668">
        <w:r>
          <w:rPr>
            <w:rStyle w:val="Text2"/>
          </w:rPr>
          <w:t>AD</w:t>
        </w:r>
      </w:hyperlink>
      <w:r>
        <w:t>) client developed by Canonical. ADSys</w:t>
      </w:r>
    </w:p>
    <w:p>
      <w:pPr>
        <w:pStyle w:val="Para 02"/>
      </w:pPr>
      <w:r>
        <w:t xml:space="preserve">complements System Security Services Daemon </w:t>
      </w:r>
      <w:hyperlink w:anchor="page_707">
        <w:r>
          <w:rPr>
            <w:rStyle w:val="Text1"/>
          </w:rPr>
          <w:t>(</w:t>
        </w:r>
      </w:hyperlink>
      <w:hyperlink w:anchor="page_707">
        <w:r>
          <w:rPr>
            <w:rStyle w:val="Text2"/>
          </w:rPr>
          <w:t>SSSD</w:t>
        </w:r>
      </w:hyperlink>
      <w:r>
        <w:t>) by adding native Group Policy Object support, privilege management, and custom scripts execution.</w:t>
      </w:r>
    </w:p>
    <w:p>
      <w:pPr>
        <w:pStyle w:val="Para 02"/>
      </w:pPr>
      <w:r>
        <w:t>See also:</w:t>
      </w:r>
    </w:p>
    <w:p>
      <w:pPr>
        <w:pStyle w:val="Para 27"/>
      </w:pPr>
      <w:r>
        <w:rPr>
          <w:rStyle w:val="Text7"/>
        </w:rPr>
        <w:t xml:space="preserve">• </w:t>
      </w:r>
      <w:hyperlink r:id="rId1133">
        <w:r>
          <w:rPr>
            <w:rStyle w:val="Text10"/>
          </w:rPr>
          <w:t>682</w:t>
        </w:r>
      </w:hyperlink>
      <w:hyperlink r:id="rId1133">
        <w:r>
          <w:t xml:space="preserve"> the ADSys documentation</w:t>
        </w:r>
      </w:hyperlink>
    </w:p>
    <w:p>
      <w:pPr>
        <w:pStyle w:val="Para 02"/>
      </w:pPr>
      <w:r>
        <w:t>Related topic(s):</w:t>
      </w:r>
    </w:p>
    <w:p>
      <w:pPr>
        <w:pStyle w:val="Para 26"/>
      </w:pPr>
      <w:r>
        <w:rPr>
          <w:rStyle w:val="Text4"/>
        </w:rPr>
        <w:t xml:space="preserve">• </w:t>
      </w:r>
      <w:hyperlink w:anchor="page_686">
        <w:r>
          <w:t>Group Policy Object</w:t>
        </w:r>
      </w:hyperlink>
      <w:r>
        <w:rPr>
          <w:rStyle w:val="Text4"/>
        </w:rPr>
        <w:t xml:space="preserve"> and </w:t>
      </w:r>
      <w:hyperlink w:anchor="page_707">
        <w:r>
          <w:t>SSSD</w:t>
        </w:r>
      </w:hyperlink>
    </w:p>
    <w:p>
      <w:pPr>
        <w:pStyle w:val="Para 01"/>
      </w:pPr>
      <w:r>
        <w:t>AES</w:t>
      </w:r>
    </w:p>
    <w:p>
      <w:pPr>
        <w:pStyle w:val="Para 01"/>
      </w:pPr>
      <w:r>
        <w:t>Advanced Encryption Standard</w:t>
      </w:r>
    </w:p>
    <w:p>
      <w:pPr>
        <w:pStyle w:val="Para 02"/>
      </w:pPr>
      <w:r>
        <w:t>An AES is a symmetric encryption algorithm designed to encrypt data securely into an unreadable format that can only be decrypted with the same key used for encryption.</w:t>
      </w:r>
    </w:p>
    <w:p>
      <w:pPr>
        <w:pStyle w:val="Para 02"/>
      </w:pPr>
      <w:r>
        <w:t>Related topic(s):</w:t>
      </w:r>
    </w:p>
    <w:p>
      <w:pPr>
        <w:pStyle w:val="Para 06"/>
      </w:pPr>
      <w:r>
        <w:t>• Security</w:t>
      </w:r>
    </w:p>
    <w:p>
      <w:pPr>
        <w:pStyle w:val="Para 01"/>
      </w:pPr>
      <w:r>
        <w:t>Alertmanager</w:t>
      </w:r>
    </w:p>
    <w:p>
      <w:pPr>
        <w:pStyle w:val="Para 02"/>
      </w:pPr>
      <w:r>
        <w:t xml:space="preserve">Alertmanager is an open-source monitoring system developed by the Prometheus project to monitor and handle alerts. It offers several key features, including </w:t>
      </w:r>
      <w:r>
        <w:rPr>
          <w:rStyle w:val="Text3"/>
        </w:rPr>
        <w:t>Grouping</w:t>
      </w:r>
      <w:r>
        <w:t xml:space="preserve"> to combine alerts, </w:t>
      </w:r>
      <w:r>
        <w:rPr>
          <w:rStyle w:val="Text3"/>
        </w:rPr>
        <w:t>Inhibition</w:t>
      </w:r>
      <w:r>
        <w:t xml:space="preserve"> to suppress certain alerts when others are already firing, and </w:t>
      </w:r>
      <w:r>
        <w:rPr>
          <w:rStyle w:val="Text3"/>
        </w:rPr>
        <w:t>Silencing</w:t>
      </w:r>
      <w:r>
        <w:t xml:space="preserve"> to temporarily mute specific alerts.</w:t>
      </w:r>
    </w:p>
    <w:p>
      <w:pPr>
        <w:pStyle w:val="Para 05"/>
      </w:pPr>
      <w:r>
        <w:rPr>
          <w:rStyle w:val="Text5"/>
        </w:rPr>
        <w:t>681</w:t>
      </w:r>
      <w:r>
        <w:rPr>
          <w:rStyle w:val="Text8"/>
        </w:rPr>
        <w:t xml:space="preserve"> </w:t>
      </w:r>
      <w:r>
        <w:t>https://manpages.ubuntu.com/manpages/resolute/man5/acl.5.html</w:t>
      </w:r>
    </w:p>
    <w:p>
      <w:pPr>
        <w:pStyle w:val="Para 05"/>
      </w:pPr>
      <w:r>
        <w:rPr>
          <w:rStyle w:val="Text5"/>
        </w:rPr>
        <w:t>682</w:t>
      </w:r>
      <w:r>
        <w:rPr>
          <w:rStyle w:val="Text8"/>
        </w:rPr>
        <w:t xml:space="preserve"> </w:t>
      </w:r>
      <w:r>
        <w:t>https://documentation.ubuntu.com/adsys/stable/</w:t>
      </w:r>
    </w:p>
    <w:p>
      <w:bookmarkStart w:id="1033" w:name="page_6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1" name="index-669_1.png" descr="index-669_1.png"/>
            <wp:cNvGraphicFramePr>
              <a:graphicFrameLocks noChangeAspect="1"/>
            </wp:cNvGraphicFramePr>
            <a:graphic>
              <a:graphicData uri="http://schemas.openxmlformats.org/drawingml/2006/picture">
                <pic:pic>
                  <pic:nvPicPr>
                    <pic:cNvPr id="0" name="index-669_1.png" descr="index-669_1.png"/>
                    <pic:cNvPicPr/>
                  </pic:nvPicPr>
                  <pic:blipFill>
                    <a:blip r:embed="rId705"/>
                    <a:stretch>
                      <a:fillRect/>
                    </a:stretch>
                  </pic:blipFill>
                  <pic:spPr>
                    <a:xfrm>
                      <a:off x="0" y="0"/>
                      <a:ext cx="914400" cy="266700"/>
                    </a:xfrm>
                    <a:prstGeom prst="rect">
                      <a:avLst/>
                    </a:prstGeom>
                  </pic:spPr>
                </pic:pic>
              </a:graphicData>
            </a:graphic>
          </wp:anchor>
        </w:drawing>
      </w:r>
      <w:bookmarkEnd w:id="1033"/>
    </w:p>
    <w:p>
      <w:pPr>
        <w:pStyle w:val="Para 02"/>
      </w:pPr>
      <w:r>
        <w:t>See also:</w:t>
      </w:r>
    </w:p>
    <w:p>
      <w:pPr>
        <w:pStyle w:val="Para 27"/>
      </w:pPr>
      <w:r>
        <w:rPr>
          <w:rStyle w:val="Text7"/>
        </w:rPr>
        <w:t xml:space="preserve">• </w:t>
      </w:r>
      <w:hyperlink w:anchor="page_669">
        <w:r>
          <w:rPr>
            <w:rStyle w:val="Text10"/>
          </w:rPr>
          <w:t>683</w:t>
        </w:r>
      </w:hyperlink>
      <w:r>
        <w:rPr>
          <w:rStyle w:val="Text7"/>
        </w:rPr>
        <w:t xml:space="preserve"> </w:t>
      </w:r>
      <w:hyperlink r:id="rId1563">
        <w:r>
          <w:t>the Alertmanager documentation</w:t>
        </w:r>
      </w:hyperlink>
    </w:p>
    <w:p>
      <w:pPr>
        <w:pStyle w:val="Para 02"/>
      </w:pPr>
      <w:r>
        <w:t>Related topic(s):</w:t>
      </w:r>
    </w:p>
    <w:p>
      <w:pPr>
        <w:pStyle w:val="Para 06"/>
      </w:pPr>
      <w:r>
        <w:t xml:space="preserve">• Observability and </w:t>
      </w:r>
      <w:hyperlink w:anchor="page_701">
        <w:r>
          <w:rPr>
            <w:rStyle w:val="Text2"/>
          </w:rPr>
          <w:t>Prometheus</w:t>
        </w:r>
      </w:hyperlink>
    </w:p>
    <w:p>
      <w:pPr>
        <w:pStyle w:val="Para 01"/>
      </w:pPr>
      <w:r>
        <w:t>ALUA</w:t>
      </w:r>
    </w:p>
    <w:p>
      <w:pPr>
        <w:pStyle w:val="Para 01"/>
      </w:pPr>
      <w:r>
        <w:t>Asymmetric Logical Unit Access</w:t>
      </w:r>
    </w:p>
    <w:p>
      <w:pPr>
        <w:pStyle w:val="Para 02"/>
      </w:pPr>
      <w:r>
        <w:t>It is a storage concept used in Small Computer System Interface (SCSI) environments, particularly in Multi-Path Input/Output (MPIO) setups for shared storage systems like Storage Area Networks (SANs). ALUA informs a system about which paths to a storage device are optimal and which are non-optimal, enabling it to make smarter decisions about accessing shared disks.</w:t>
      </w:r>
    </w:p>
    <w:p>
      <w:pPr>
        <w:pStyle w:val="Para 02"/>
      </w:pPr>
      <w:r>
        <w:t>Related topic(s):</w:t>
      </w:r>
    </w:p>
    <w:p>
      <w:pPr>
        <w:pStyle w:val="Para 26"/>
      </w:pPr>
      <w:r>
        <w:rPr>
          <w:rStyle w:val="Text4"/>
        </w:rPr>
        <w:t xml:space="preserve">• </w:t>
      </w:r>
      <w:hyperlink w:anchor="Top_of_index_split_000_html">
        <w:r>
          <w:t xml:space="preserve">MPIO </w:t>
        </w:r>
      </w:hyperlink>
      <w:hyperlink w:anchor="page_705">
        <w:r>
          <w:t>SCSI</w:t>
        </w:r>
      </w:hyperlink>
      <w:r>
        <w:rPr>
          <w:rStyle w:val="Text4"/>
        </w:rPr>
        <w:t xml:space="preserve"> , </w:t>
      </w:r>
      <w:hyperlink w:anchor="page_704">
        <w:r>
          <w:t>SAN</w:t>
        </w:r>
      </w:hyperlink>
    </w:p>
    <w:p>
      <w:pPr>
        <w:pStyle w:val="Para 01"/>
      </w:pPr>
      <w:r>
        <w:t>AMD</w:t>
      </w:r>
    </w:p>
    <w:p>
      <w:pPr>
        <w:pStyle w:val="Para 01"/>
      </w:pPr>
      <w:r>
        <w:t>Advanced Micro Devices</w:t>
      </w:r>
    </w:p>
    <w:p>
      <w:pPr>
        <w:pStyle w:val="Para 02"/>
      </w:pPr>
      <w:r>
        <w:t>AMD can refer to:</w:t>
      </w:r>
    </w:p>
    <w:p>
      <w:pPr>
        <w:pStyle w:val="Para 06"/>
      </w:pPr>
      <w:r>
        <w:t>• The (AMD) company: semiconductor company that designs computer components</w:t>
      </w:r>
    </w:p>
    <w:p>
      <w:pPr>
        <w:pStyle w:val="Para 06"/>
      </w:pPr>
      <w:r>
        <w:t>• An AMD processor: a microprocessor designed and produced by the AMD company</w:t>
      </w:r>
    </w:p>
    <w:p>
      <w:pPr>
        <w:pStyle w:val="Para 06"/>
      </w:pPr>
      <w:r>
        <w:t>• All Intel/AMD 64-bit processors: the term “amd64” is commonly used to refer to</w:t>
      </w:r>
    </w:p>
    <w:p>
      <w:pPr>
        <w:pStyle w:val="Para 11"/>
      </w:pPr>
      <w:r>
        <w:t>64-bit processors due to the company’s role in developing this architecture.</w:t>
      </w:r>
    </w:p>
    <w:p>
      <w:pPr>
        <w:pStyle w:val="Para 02"/>
      </w:pPr>
      <w:r>
        <w:t>Related topic(s):</w:t>
      </w:r>
    </w:p>
    <w:p>
      <w:pPr>
        <w:pStyle w:val="Para 06"/>
      </w:pPr>
      <w:r>
        <w:t>• Networking</w:t>
      </w:r>
    </w:p>
    <w:p>
      <w:pPr>
        <w:pStyle w:val="Para 01"/>
      </w:pPr>
      <w:r>
        <w:t>AMD-SME</w:t>
      </w:r>
    </w:p>
    <w:p>
      <w:pPr>
        <w:pStyle w:val="Para 01"/>
      </w:pPr>
      <w:r>
        <w:t>AMD Secure Memory Encryption</w:t>
      </w:r>
    </w:p>
    <w:p>
      <w:pPr>
        <w:pStyle w:val="Para 02"/>
      </w:pPr>
      <w:r>
        <w:t>AMD-SME is a security technology that transparently encrypts all system memory to protect data at rest. It encrypts the entire memory address space of the system using a key derived from the processor, protecting against physical attacks on memory.</w:t>
      </w:r>
    </w:p>
    <w:p>
      <w:pPr>
        <w:pStyle w:val="Para 02"/>
      </w:pPr>
      <w:r>
        <w:t>Related topic(s):</w:t>
      </w:r>
    </w:p>
    <w:p>
      <w:pPr>
        <w:pStyle w:val="Para 06"/>
      </w:pPr>
      <w:r>
        <w:t>• Cryptography, Security</w:t>
      </w:r>
    </w:p>
    <w:p>
      <w:pPr>
        <w:pStyle w:val="Para 01"/>
      </w:pPr>
      <w:r>
        <w:t>AMD-SEV</w:t>
      </w:r>
    </w:p>
    <w:p>
      <w:pPr>
        <w:pStyle w:val="Para 01"/>
      </w:pPr>
      <w:r>
        <w:t>AMD Secure Encrypted Virtualization</w:t>
      </w:r>
    </w:p>
    <w:p>
      <w:pPr>
        <w:pStyle w:val="Para 02"/>
      </w:pPr>
      <w:r>
        <w:t>AMD-SEV is a security technology that encrypts the memory of virtual machines (guests) independently from the host system. It uses a dedicated memory encryp-tion key for each guest VM, preventing the hypervisor from reading or modifying guest memory. This protects guest confidentiality even when the hypervisor is compromised.</w:t>
      </w:r>
    </w:p>
    <w:p>
      <w:pPr>
        <w:pStyle w:val="Para 02"/>
      </w:pPr>
      <w:r>
        <w:t>Related topic(s):</w:t>
      </w:r>
    </w:p>
    <w:p>
      <w:pPr>
        <w:pStyle w:val="Para 06"/>
      </w:pPr>
      <w:r>
        <w:t>• Cryptography, Security, Virtualization</w:t>
      </w:r>
    </w:p>
    <w:p>
      <w:pPr>
        <w:pStyle w:val="Para 01"/>
      </w:pPr>
      <w:r>
        <w:t>AMD-SEV-ES</w:t>
      </w:r>
    </w:p>
    <w:p>
      <w:pPr>
        <w:pStyle w:val="Para 01"/>
      </w:pPr>
      <w:r>
        <w:t>AMD Secure Encrypted Virtualization - Encrypted State</w:t>
      </w:r>
    </w:p>
    <w:p>
      <w:pPr>
        <w:pStyle w:val="Para 02"/>
      </w:pPr>
      <w:r>
        <w:t xml:space="preserve">AMD-SEV-ES extends </w:t>
      </w:r>
      <w:hyperlink w:anchor="page_669">
        <w:r>
          <w:rPr>
            <w:rStyle w:val="Text2"/>
          </w:rPr>
          <w:t>AMD-SEV</w:t>
        </w:r>
      </w:hyperlink>
      <w:r>
        <w:t xml:space="preserve"> by encrypting the entire VM state, including CPU regis-</w:t>
      </w:r>
    </w:p>
    <w:p>
      <w:pPr>
        <w:pStyle w:val="Para 05"/>
      </w:pPr>
      <w:r>
        <w:rPr>
          <w:rStyle w:val="Text5"/>
        </w:rPr>
        <w:t>683</w:t>
      </w:r>
      <w:r>
        <w:rPr>
          <w:rStyle w:val="Text8"/>
        </w:rPr>
        <w:t xml:space="preserve"> </w:t>
      </w:r>
      <w:r>
        <w:t>https://prometheus.io/docs/alerting/latest/alertmanager/</w:t>
      </w:r>
    </w:p>
    <w:p>
      <w:bookmarkStart w:id="1034" w:name="page_6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2" name="index-670_1.png" descr="index-670_1.png"/>
            <wp:cNvGraphicFramePr>
              <a:graphicFrameLocks noChangeAspect="1"/>
            </wp:cNvGraphicFramePr>
            <a:graphic>
              <a:graphicData uri="http://schemas.openxmlformats.org/drawingml/2006/picture">
                <pic:pic>
                  <pic:nvPicPr>
                    <pic:cNvPr id="0" name="index-670_1.png" descr="index-670_1.png"/>
                    <pic:cNvPicPr/>
                  </pic:nvPicPr>
                  <pic:blipFill>
                    <a:blip r:embed="rId706"/>
                    <a:stretch>
                      <a:fillRect/>
                    </a:stretch>
                  </pic:blipFill>
                  <pic:spPr>
                    <a:xfrm>
                      <a:off x="0" y="0"/>
                      <a:ext cx="914400" cy="266700"/>
                    </a:xfrm>
                    <a:prstGeom prst="rect">
                      <a:avLst/>
                    </a:prstGeom>
                  </pic:spPr>
                </pic:pic>
              </a:graphicData>
            </a:graphic>
          </wp:anchor>
        </w:drawing>
      </w:r>
      <w:bookmarkEnd w:id="1034"/>
    </w:p>
    <w:p>
      <w:pPr>
        <w:pStyle w:val="Para 02"/>
      </w:pPr>
      <w:r>
        <w:t>ter contents, in addition to guest memory. This provides enhanced protection against hypervisor-based attacks by preventing the hypervisor from reading or modifying sen-sitive VM state during execution.</w:t>
      </w:r>
    </w:p>
    <w:p>
      <w:pPr>
        <w:pStyle w:val="Para 02"/>
      </w:pPr>
      <w:r>
        <w:t>Related topic(s):</w:t>
      </w:r>
    </w:p>
    <w:p>
      <w:pPr>
        <w:pStyle w:val="Para 06"/>
      </w:pPr>
      <w:r>
        <w:t>• Cryptography, Security, Virtualization</w:t>
      </w:r>
    </w:p>
    <w:p>
      <w:pPr>
        <w:pStyle w:val="Para 01"/>
      </w:pPr>
      <w:r>
        <w:t>AMD-SEV-SNP</w:t>
      </w:r>
    </w:p>
    <w:p>
      <w:pPr>
        <w:pStyle w:val="Para 01"/>
      </w:pPr>
      <w:r>
        <w:t>AMD Secure Encrypted Virtualization - Secure Nested Paging</w:t>
      </w:r>
    </w:p>
    <w:p>
      <w:pPr>
        <w:pStyle w:val="Para 02"/>
      </w:pPr>
      <w:r>
        <w:t xml:space="preserve">AMD-SEV-SNP is an extension of </w:t>
      </w:r>
      <w:hyperlink w:anchor="page_669">
        <w:r>
          <w:rPr>
            <w:rStyle w:val="Text2"/>
          </w:rPr>
          <w:t>AMD-SEV-ES</w:t>
        </w:r>
      </w:hyperlink>
      <w:r>
        <w:t xml:space="preserve"> that adds integrity protection for guest memory using Secure Nested Paging. It prevents the hypervisor from modifying guest memory contents and provides cryptographic attestation of the VM’s launch state, en-suring the integrity and confidentiality of guest data.</w:t>
      </w:r>
    </w:p>
    <w:p>
      <w:pPr>
        <w:pStyle w:val="Para 02"/>
      </w:pPr>
      <w:r>
        <w:t>Related topic(s):</w:t>
      </w:r>
    </w:p>
    <w:p>
      <w:pPr>
        <w:pStyle w:val="Para 06"/>
      </w:pPr>
      <w:r>
        <w:t>• Cryptography, Security, Virtualization</w:t>
      </w:r>
    </w:p>
    <w:p>
      <w:pPr>
        <w:pStyle w:val="Para 01"/>
      </w:pPr>
      <w:r>
        <w:t>Ansible</w:t>
      </w:r>
    </w:p>
    <w:p>
      <w:pPr>
        <w:pStyle w:val="Para 02"/>
      </w:pPr>
      <w:r>
        <w:t>Ansible is an open-source IT automation tool developed by Red Hat. It offers several automation features, enabling developers and organizations to automate provisioning, configuration management, and application deployment.</w:t>
      </w:r>
    </w:p>
    <w:p>
      <w:pPr>
        <w:pStyle w:val="Para 02"/>
      </w:pPr>
      <w:r>
        <w:t>See also:</w:t>
      </w:r>
    </w:p>
    <w:p>
      <w:pPr>
        <w:pStyle w:val="Para 27"/>
      </w:pPr>
      <w:r>
        <w:rPr>
          <w:rStyle w:val="Text7"/>
        </w:rPr>
        <w:t xml:space="preserve">• </w:t>
      </w:r>
      <w:hyperlink r:id="rId1591">
        <w:r>
          <w:rPr>
            <w:rStyle w:val="Text10"/>
          </w:rPr>
          <w:t>684</w:t>
        </w:r>
      </w:hyperlink>
      <w:hyperlink r:id="rId1591">
        <w:r>
          <w:t xml:space="preserve"> The Ansible website</w:t>
        </w:r>
      </w:hyperlink>
    </w:p>
    <w:p>
      <w:pPr>
        <w:pStyle w:val="Para 02"/>
      </w:pPr>
      <w:r>
        <w:t>Related topic(s):</w:t>
      </w:r>
    </w:p>
    <w:p>
      <w:pPr>
        <w:pStyle w:val="Para 06"/>
      </w:pPr>
      <w:r>
        <w:t>• Automation</w:t>
      </w:r>
    </w:p>
    <w:p>
      <w:pPr>
        <w:pStyle w:val="Para 01"/>
      </w:pPr>
      <w:r>
        <w:t>Apache2</w:t>
      </w:r>
    </w:p>
    <w:p>
      <w:pPr>
        <w:pStyle w:val="Para 02"/>
      </w:pPr>
      <w:r>
        <w:t>A robust, open-source HTTP server software designed for the deployment and deliv-ery of web-based applications and content. Functioning as a request-response service, Apache 2 processes HTTP requests from client applications, facilitating the transmis-sion of static and dynamic web resources. It has a modular architecture, supporting a wide array of extensions, enabling customizable functionality including security proto-</w:t>
      </w:r>
    </w:p>
    <w:p>
      <w:pPr>
        <w:pStyle w:val="Para 02"/>
      </w:pPr>
      <w:r>
        <w:t xml:space="preserve">cols (e.g., </w:t>
      </w:r>
      <w:hyperlink w:anchor="page_707">
        <w:r>
          <w:rPr>
            <w:rStyle w:val="Text2"/>
          </w:rPr>
          <w:t>SSL</w:t>
        </w:r>
      </w:hyperlink>
      <w:r>
        <w:t>/</w:t>
      </w:r>
      <w:hyperlink w:anchor="page_710">
        <w:r>
          <w:rPr>
            <w:rStyle w:val="Text2"/>
          </w:rPr>
          <w:t>TLS</w:t>
        </w:r>
      </w:hyperlink>
      <w:r>
        <w:t>), server-side scripting, and content management.</w:t>
      </w:r>
    </w:p>
    <w:p>
      <w:pPr>
        <w:pStyle w:val="Para 02"/>
      </w:pPr>
      <w:r>
        <w:t>Widely deployed in server environments, Apache 2 is a foundational component of numerous web infrastructure stacks, underpinning a substantial portion of internet-accessible services.</w:t>
      </w:r>
    </w:p>
    <w:p>
      <w:pPr>
        <w:pStyle w:val="Para 02"/>
      </w:pPr>
      <w:r>
        <w:t>See also:</w:t>
      </w:r>
    </w:p>
    <w:p>
      <w:pPr>
        <w:pStyle w:val="Para 27"/>
      </w:pPr>
      <w:r>
        <w:rPr>
          <w:rStyle w:val="Text7"/>
        </w:rPr>
        <w:t xml:space="preserve">• </w:t>
      </w:r>
      <w:hyperlink w:anchor="page_670">
        <w:r>
          <w:rPr>
            <w:rStyle w:val="Text10"/>
          </w:rPr>
          <w:t>685</w:t>
        </w:r>
      </w:hyperlink>
      <w:r>
        <w:rPr>
          <w:rStyle w:val="Text7"/>
        </w:rPr>
        <w:t xml:space="preserve"> </w:t>
      </w:r>
      <w:hyperlink r:id="rId1417">
        <w:r>
          <w:t>The Apache project documentation</w:t>
        </w:r>
      </w:hyperlink>
    </w:p>
    <w:p>
      <w:pPr>
        <w:pStyle w:val="Para 02"/>
      </w:pPr>
      <w:r>
        <w:t>Related topic(s):</w:t>
      </w:r>
    </w:p>
    <w:p>
      <w:pPr>
        <w:pStyle w:val="Para 06"/>
      </w:pPr>
      <w:r>
        <w:t>• Web services</w:t>
      </w:r>
    </w:p>
    <w:p>
      <w:pPr>
        <w:pStyle w:val="Para 01"/>
      </w:pPr>
      <w:r>
        <w:t>API</w:t>
      </w:r>
    </w:p>
    <w:p>
      <w:pPr>
        <w:pStyle w:val="Para 01"/>
      </w:pPr>
      <w:r>
        <w:t>Application Programming Interface</w:t>
      </w:r>
    </w:p>
    <w:p>
      <w:pPr>
        <w:pStyle w:val="Para 02"/>
      </w:pPr>
      <w:r>
        <w:t>An API is a type of software interface that acts as a connection between different soft-ware programs, allowing them to communicate and exchange data. APIs exist on mul-</w:t>
      </w:r>
    </w:p>
    <w:p>
      <w:pPr>
        <w:pStyle w:val="Para 05"/>
      </w:pPr>
      <w:r>
        <w:rPr>
          <w:rStyle w:val="Text5"/>
        </w:rPr>
        <w:t>684</w:t>
      </w:r>
      <w:r>
        <w:rPr>
          <w:rStyle w:val="Text8"/>
        </w:rPr>
        <w:t xml:space="preserve"> </w:t>
      </w:r>
      <w:r>
        <w:t>https://docs.ansible.com/</w:t>
      </w:r>
    </w:p>
    <w:p>
      <w:pPr>
        <w:pStyle w:val="Para 05"/>
      </w:pPr>
      <w:r>
        <w:rPr>
          <w:rStyle w:val="Text5"/>
        </w:rPr>
        <w:t>685</w:t>
      </w:r>
      <w:r>
        <w:rPr>
          <w:rStyle w:val="Text8"/>
        </w:rPr>
        <w:t xml:space="preserve"> </w:t>
      </w:r>
      <w:r>
        <w:t>https://httpd.apache.org/docs/2.4/</w:t>
      </w:r>
    </w:p>
    <w:p>
      <w:bookmarkStart w:id="1035" w:name="page_6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3" name="index-671_1.png" descr="index-671_1.png"/>
            <wp:cNvGraphicFramePr>
              <a:graphicFrameLocks noChangeAspect="1"/>
            </wp:cNvGraphicFramePr>
            <a:graphic>
              <a:graphicData uri="http://schemas.openxmlformats.org/drawingml/2006/picture">
                <pic:pic>
                  <pic:nvPicPr>
                    <pic:cNvPr id="0" name="index-671_1.png" descr="index-671_1.png"/>
                    <pic:cNvPicPr/>
                  </pic:nvPicPr>
                  <pic:blipFill>
                    <a:blip r:embed="rId707"/>
                    <a:stretch>
                      <a:fillRect/>
                    </a:stretch>
                  </pic:blipFill>
                  <pic:spPr>
                    <a:xfrm>
                      <a:off x="0" y="0"/>
                      <a:ext cx="914400" cy="266700"/>
                    </a:xfrm>
                    <a:prstGeom prst="rect">
                      <a:avLst/>
                    </a:prstGeom>
                  </pic:spPr>
                </pic:pic>
              </a:graphicData>
            </a:graphic>
          </wp:anchor>
        </w:drawing>
      </w:r>
      <w:bookmarkEnd w:id="1035"/>
    </w:p>
    <w:p>
      <w:pPr>
        <w:pStyle w:val="Para 02"/>
      </w:pPr>
      <w:r>
        <w:t>tiple layers of abstraction, from low-level APIs closest to system hardware to high-level web APIs that enable clients and remote servers to communicate.</w:t>
      </w:r>
    </w:p>
    <w:p>
      <w:pPr>
        <w:pStyle w:val="Para 01"/>
      </w:pPr>
      <w:r>
        <w:t>AppArmor</w:t>
      </w:r>
    </w:p>
    <w:p>
      <w:pPr>
        <w:pStyle w:val="Para 02"/>
      </w:pPr>
      <w:r>
        <w:t xml:space="preserve">AppArmor is a Linux security module that provides </w:t>
      </w:r>
      <w:hyperlink w:anchor="page_694">
        <w:r>
          <w:rPr>
            <w:rStyle w:val="Text2"/>
          </w:rPr>
          <w:t>Mandatory Access Control (MAC)</w:t>
        </w:r>
      </w:hyperlink>
      <w:r>
        <w:t xml:space="preserve"> for programs. AppArmor restricts what applications can do, even when they are compro-mised. It enforces a set of security policies (called profiles) that define what files, ca-pabilities, and system resources a given program is allowed to access.</w:t>
      </w:r>
    </w:p>
    <w:p>
      <w:pPr>
        <w:pStyle w:val="Para 02"/>
      </w:pPr>
      <w:r>
        <w:t>See also:</w:t>
      </w:r>
    </w:p>
    <w:p>
      <w:pPr>
        <w:pStyle w:val="Para 27"/>
      </w:pPr>
      <w:r>
        <w:rPr>
          <w:rStyle w:val="Text7"/>
        </w:rPr>
        <w:t xml:space="preserve">• </w:t>
      </w:r>
      <w:hyperlink w:anchor="page_671">
        <w:r>
          <w:rPr>
            <w:rStyle w:val="Text10"/>
          </w:rPr>
          <w:t>686</w:t>
        </w:r>
      </w:hyperlink>
      <w:r>
        <w:rPr>
          <w:rStyle w:val="Text7"/>
        </w:rPr>
        <w:t xml:space="preserve"> </w:t>
      </w:r>
      <w:hyperlink r:id="rId1105">
        <w:r>
          <w:t>The AppArmor website</w:t>
        </w:r>
      </w:hyperlink>
    </w:p>
    <w:p>
      <w:pPr>
        <w:pStyle w:val="Para 02"/>
      </w:pPr>
      <w:r>
        <w:t>Related topic(s):</w:t>
      </w:r>
    </w:p>
    <w:p>
      <w:pPr>
        <w:pStyle w:val="Para 06"/>
      </w:pPr>
      <w:r>
        <w:t>• Security</w:t>
      </w:r>
    </w:p>
    <w:p>
      <w:pPr>
        <w:pStyle w:val="Para 01"/>
      </w:pPr>
      <w:r>
        <w:t>Apport</w:t>
      </w:r>
    </w:p>
    <w:p>
      <w:pPr>
        <w:pStyle w:val="Para 02"/>
      </w:pPr>
      <w:r>
        <w:t>Apport is a debugging tool and crash reporting system used in Ubuntu and Debian-based Linux distributions. It can automatically detect crashes in programs and system services, collect detailed diagnostic data, generate crash reports, and prompt the user to send the report to developers via systems like Launchpad. It is typically disabled by default on production systems because it can expose sensitive information in logs, but is used during development or testing.</w:t>
      </w:r>
    </w:p>
    <w:p>
      <w:pPr>
        <w:pStyle w:val="Para 02"/>
      </w:pPr>
      <w:r>
        <w:t>See also:</w:t>
      </w:r>
    </w:p>
    <w:p>
      <w:pPr>
        <w:pStyle w:val="Para 27"/>
      </w:pPr>
      <w:r>
        <w:rPr>
          <w:rStyle w:val="Text7"/>
        </w:rPr>
        <w:t xml:space="preserve">• </w:t>
      </w:r>
      <w:hyperlink w:anchor="page_671">
        <w:r>
          <w:rPr>
            <w:rStyle w:val="Text10"/>
          </w:rPr>
          <w:t>687</w:t>
        </w:r>
      </w:hyperlink>
      <w:r>
        <w:rPr>
          <w:rStyle w:val="Text7"/>
        </w:rPr>
        <w:t xml:space="preserve"> </w:t>
      </w:r>
      <w:hyperlink r:id="rId1290">
        <w:r>
          <w:t>The Apport Wiki Page</w:t>
        </w:r>
      </w:hyperlink>
    </w:p>
    <w:p>
      <w:pPr>
        <w:pStyle w:val="Para 02"/>
      </w:pPr>
      <w:r>
        <w:t>Related topic(s):</w:t>
      </w:r>
    </w:p>
    <w:p>
      <w:pPr>
        <w:pStyle w:val="Para 06"/>
      </w:pPr>
      <w:r>
        <w:t>• Debugging</w:t>
      </w:r>
    </w:p>
    <w:p>
      <w:pPr>
        <w:pStyle w:val="Para 01"/>
      </w:pPr>
      <w:r>
        <w:t>APT</w:t>
      </w:r>
    </w:p>
    <w:p>
      <w:pPr>
        <w:pStyle w:val="Para 01"/>
      </w:pPr>
      <w:r>
        <w:t>Advanced Package Tool</w:t>
      </w:r>
    </w:p>
    <w:p>
      <w:pPr>
        <w:pStyle w:val="Para 02"/>
      </w:pPr>
      <w:r>
        <w:t>APT is a package management system used by Debian and Debian-based Linux distribu-tions like Ubuntu. APT helps install, update, upgrade, and remove software packages from the command line.</w:t>
      </w:r>
    </w:p>
    <w:p>
      <w:pPr>
        <w:pStyle w:val="Para 02"/>
      </w:pPr>
      <w:r>
        <w:t>See also:</w:t>
      </w:r>
    </w:p>
    <w:p>
      <w:pPr>
        <w:pStyle w:val="Para 26"/>
      </w:pPr>
      <w:r>
        <w:rPr>
          <w:rStyle w:val="Text4"/>
        </w:rPr>
        <w:t xml:space="preserve">• </w:t>
      </w:r>
      <w:hyperlink w:anchor="page_341">
        <w:r>
          <w:t>Install and manage packages</w:t>
        </w:r>
      </w:hyperlink>
      <w:r>
        <w:rPr>
          <w:rStyle w:val="Text4"/>
        </w:rPr>
        <w:t xml:space="preserve"> (page 340)</w:t>
      </w:r>
    </w:p>
    <w:p>
      <w:pPr>
        <w:pStyle w:val="Para 01"/>
      </w:pPr>
      <w:r>
        <w:t>armhf</w:t>
      </w:r>
    </w:p>
    <w:p>
      <w:pPr>
        <w:pStyle w:val="Para 01"/>
      </w:pPr>
      <w:r>
        <w:t>ARM hard-float</w:t>
      </w:r>
    </w:p>
    <w:p>
      <w:pPr>
        <w:pStyle w:val="Para 02"/>
      </w:pPr>
      <w:r>
        <w:t>armhf is a designation used in Linux distributions to describe a 32-bit variant of the ARM architecture that has hardware-based floating-point support. armhf is typically used for lightweight systems or backward compatibility, especially in embedded environments.</w:t>
      </w:r>
    </w:p>
    <w:p>
      <w:pPr>
        <w:pStyle w:val="Para 02"/>
      </w:pPr>
      <w:r>
        <w:t>Related topic(s):</w:t>
      </w:r>
    </w:p>
    <w:p>
      <w:pPr>
        <w:pStyle w:val="Para 06"/>
      </w:pPr>
      <w:r>
        <w:t>• arm32, arm64</w:t>
      </w:r>
    </w:p>
    <w:p>
      <w:pPr>
        <w:pStyle w:val="Para 01"/>
      </w:pPr>
      <w:r>
        <w:t>ARP</w:t>
      </w:r>
    </w:p>
    <w:p>
      <w:pPr>
        <w:pStyle w:val="Para 01"/>
      </w:pPr>
      <w:r>
        <w:t>Address Resolution Protocol</w:t>
      </w:r>
    </w:p>
    <w:p>
      <w:pPr>
        <w:pStyle w:val="Para 02"/>
      </w:pPr>
      <w:r>
        <w:t>ARP is a network protocol used to map an IP address to a physical machine (</w:t>
      </w:r>
      <w:hyperlink w:anchor="page_694">
        <w:r>
          <w:rPr>
            <w:rStyle w:val="Text2"/>
          </w:rPr>
          <w:t>MAC ad-</w:t>
        </w:r>
      </w:hyperlink>
    </w:p>
    <w:p>
      <w:pPr>
        <w:pStyle w:val="Para 02"/>
      </w:pPr>
      <w:hyperlink w:anchor="page_694">
        <w:r>
          <w:rPr>
            <w:rStyle w:val="Text2"/>
          </w:rPr>
          <w:t>dress</w:t>
        </w:r>
      </w:hyperlink>
      <w:r>
        <w:t>) on a local area network (LAN).</w:t>
      </w:r>
    </w:p>
    <w:p>
      <w:pPr>
        <w:pStyle w:val="Para 05"/>
      </w:pPr>
      <w:r>
        <w:rPr>
          <w:rStyle w:val="Text5"/>
        </w:rPr>
        <w:t>686</w:t>
      </w:r>
      <w:r>
        <w:rPr>
          <w:rStyle w:val="Text8"/>
        </w:rPr>
        <w:t xml:space="preserve"> </w:t>
      </w:r>
      <w:r>
        <w:t>https://apparmor.net/</w:t>
      </w:r>
    </w:p>
    <w:p>
      <w:pPr>
        <w:pStyle w:val="Para 05"/>
      </w:pPr>
      <w:r>
        <w:rPr>
          <w:rStyle w:val="Text5"/>
        </w:rPr>
        <w:t>687</w:t>
      </w:r>
      <w:r>
        <w:rPr>
          <w:rStyle w:val="Text8"/>
        </w:rPr>
        <w:t xml:space="preserve"> </w:t>
      </w:r>
      <w:r>
        <w:t>https://wiki.ubuntu.com/Apport</w:t>
      </w:r>
    </w:p>
    <w:p>
      <w:bookmarkStart w:id="1036" w:name="page_6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4" name="index-672_1.png" descr="index-672_1.png"/>
            <wp:cNvGraphicFramePr>
              <a:graphicFrameLocks noChangeAspect="1"/>
            </wp:cNvGraphicFramePr>
            <a:graphic>
              <a:graphicData uri="http://schemas.openxmlformats.org/drawingml/2006/picture">
                <pic:pic>
                  <pic:nvPicPr>
                    <pic:cNvPr id="0" name="index-672_1.png" descr="index-672_1.png"/>
                    <pic:cNvPicPr/>
                  </pic:nvPicPr>
                  <pic:blipFill>
                    <a:blip r:embed="rId708"/>
                    <a:stretch>
                      <a:fillRect/>
                    </a:stretch>
                  </pic:blipFill>
                  <pic:spPr>
                    <a:xfrm>
                      <a:off x="0" y="0"/>
                      <a:ext cx="914400" cy="266700"/>
                    </a:xfrm>
                    <a:prstGeom prst="rect">
                      <a:avLst/>
                    </a:prstGeom>
                  </pic:spPr>
                </pic:pic>
              </a:graphicData>
            </a:graphic>
          </wp:anchor>
        </w:drawing>
      </w:r>
      <w:bookmarkEnd w:id="1036"/>
    </w:p>
    <w:p>
      <w:pPr>
        <w:pStyle w:val="Para 02"/>
      </w:pPr>
      <w:r>
        <w:t>Related topic(s):</w:t>
      </w:r>
    </w:p>
    <w:p>
      <w:pPr>
        <w:pStyle w:val="Para 06"/>
      </w:pPr>
      <w:r>
        <w:t>• Networking</w:t>
      </w:r>
    </w:p>
    <w:p>
      <w:pPr>
        <w:pStyle w:val="Para 01"/>
      </w:pPr>
      <w:r>
        <w:t>ASCII</w:t>
      </w:r>
    </w:p>
    <w:p>
      <w:pPr>
        <w:pStyle w:val="Para 01"/>
      </w:pPr>
      <w:r>
        <w:t>American Standard Code for Information Interchange</w:t>
      </w:r>
    </w:p>
    <w:p>
      <w:pPr>
        <w:pStyle w:val="Para 02"/>
      </w:pPr>
      <w:r>
        <w:t>A character encoding standard.</w:t>
      </w:r>
    </w:p>
    <w:p>
      <w:pPr>
        <w:pStyle w:val="Para 01"/>
      </w:pPr>
      <w:r>
        <w:t>async</w:t>
      </w:r>
    </w:p>
    <w:p>
      <w:pPr>
        <w:pStyle w:val="Para 01"/>
      </w:pPr>
      <w:r>
        <w:t>asynchronous</w:t>
      </w:r>
    </w:p>
    <w:p>
      <w:pPr>
        <w:pStyle w:val="Para 02"/>
      </w:pPr>
      <w:r>
        <w:t>A term commonly used in programming to describe operations that take place without blocking the main execution thread. Instead of waiting for a particular operation to finish (such as reading a file or making a network request), “async” programs can keep running other operations in the meantime. These operations are often dispatched to the background, allowing them to run in parallel. If needed, however, the program can still wait for the result of an asynchronous operation.</w:t>
      </w:r>
    </w:p>
    <w:p>
      <w:pPr>
        <w:pStyle w:val="Para 02"/>
      </w:pPr>
      <w:r>
        <w:t>Related topic(s):</w:t>
      </w:r>
    </w:p>
    <w:p>
      <w:pPr>
        <w:pStyle w:val="Para 06"/>
      </w:pPr>
      <w:r>
        <w:t>• Concurrency, parallelism, and threading</w:t>
      </w:r>
    </w:p>
    <w:p>
      <w:pPr>
        <w:pStyle w:val="Para 01"/>
      </w:pPr>
      <w:r>
        <w:t>attestation</w:t>
      </w:r>
    </w:p>
    <w:p>
      <w:pPr>
        <w:pStyle w:val="Para 02"/>
      </w:pPr>
      <w:r>
        <w:t>In Confidential or Trusted Computing contexts, attestation refers both to the process of generating verifiable evidence about the trustworthiness of a system, and to the artifact produced by that process (commonly called an attestation report or quote).</w:t>
      </w:r>
    </w:p>
    <w:p>
      <w:pPr>
        <w:pStyle w:val="Para 06"/>
      </w:pPr>
      <w:r>
        <w:t>• As a process: A TEE or TPM measures critical system components (firmware, boot</w:t>
      </w:r>
    </w:p>
    <w:p>
      <w:pPr>
        <w:pStyle w:val="Para 11"/>
      </w:pPr>
      <w:r>
        <w:t>chain, enclave/VM code) and cryptographically signs these measurements with keys rooted in hardware trust. The evidence is then checked by a verifier against reference values or policies.</w:t>
      </w:r>
    </w:p>
    <w:p>
      <w:pPr>
        <w:pStyle w:val="Para 06"/>
      </w:pPr>
      <w:r>
        <w:t>• As a document: The signed report (attestation) is the concrete proof presented</w:t>
      </w:r>
    </w:p>
    <w:p>
      <w:pPr>
        <w:pStyle w:val="Para 11"/>
      </w:pPr>
      <w:r>
        <w:t>to a verifier. It contains the measurements and cryptographic signatures used to establish trust.</w:t>
      </w:r>
    </w:p>
    <w:p>
      <w:pPr>
        <w:pStyle w:val="Para 02"/>
      </w:pPr>
      <w:r>
        <w:t>Attestation may be local (between components on the same host) or remote (to an external verifier). It underpins measured boot, secure provisioning, and Confidential Computing workloads.</w:t>
      </w:r>
    </w:p>
    <w:p>
      <w:pPr>
        <w:pStyle w:val="Para 01"/>
      </w:pPr>
      <w:r>
        <w:t>Authenticator</w:t>
      </w:r>
    </w:p>
    <w:p>
      <w:pPr>
        <w:pStyle w:val="Para 02"/>
      </w:pPr>
      <w:r>
        <w:t>An authenticator is any system, method, or mechanism used to verify a user’s identity during the authentication process. It can range from something as simple as a password</w:t>
      </w:r>
    </w:p>
    <w:p>
      <w:pPr>
        <w:pStyle w:val="Para 02"/>
      </w:pPr>
      <w:r>
        <w:t xml:space="preserve">field (e.g., LDAP </w:t>
      </w:r>
      <w:hyperlink w:anchor="page_674">
        <w:r>
          <w:rPr>
            <w:rStyle w:val="Text2"/>
          </w:rPr>
          <w:t>bind</w:t>
        </w:r>
      </w:hyperlink>
      <w:r>
        <w:t xml:space="preserve"> ) to more advanced tools like biometric scanners or one-time code generators. Authenticators are essential components of authentication protocols and can be used in both single-factor and multi-factor authentication setups.</w:t>
      </w:r>
    </w:p>
    <w:p>
      <w:pPr>
        <w:pStyle w:val="Para 02"/>
      </w:pPr>
      <w:r>
        <w:t>Related topic(s):</w:t>
      </w:r>
    </w:p>
    <w:p>
      <w:pPr>
        <w:pStyle w:val="Para 06"/>
      </w:pPr>
      <w:r>
        <w:t>• OpenLDAP, authentication</w:t>
      </w:r>
    </w:p>
    <w:p>
      <w:pPr>
        <w:pStyle w:val="Para 01"/>
      </w:pPr>
      <w:r>
        <w:t>autocommit</w:t>
      </w:r>
    </w:p>
    <w:p>
      <w:pPr>
        <w:pStyle w:val="Para 02"/>
      </w:pPr>
      <w:r>
        <w:t>autocommit is a database feature that automatically commits every individual SQL statement as soon as it is executed. When autocommit is enabled, every SQL state-ment is treated as its own transaction and is applied immediately and permanently.</w:t>
      </w:r>
    </w:p>
    <w:p>
      <w:pPr>
        <w:pStyle w:val="Para 02"/>
      </w:pPr>
      <w:r>
        <w:t>This means it is impossible to undo or roll back a statement executed with autocommit enabled. While autocommit is a common default in many systems, behavior can vary depending on the database or language bindings. For example, in Python’s sqlite3</w:t>
      </w:r>
    </w:p>
    <w:p>
      <w:bookmarkStart w:id="1037" w:name="page_6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5" name="index-673_1.png" descr="index-673_1.png"/>
            <wp:cNvGraphicFramePr>
              <a:graphicFrameLocks noChangeAspect="1"/>
            </wp:cNvGraphicFramePr>
            <a:graphic>
              <a:graphicData uri="http://schemas.openxmlformats.org/drawingml/2006/picture">
                <pic:pic>
                  <pic:nvPicPr>
                    <pic:cNvPr id="0" name="index-673_1.png" descr="index-673_1.png"/>
                    <pic:cNvPicPr/>
                  </pic:nvPicPr>
                  <pic:blipFill>
                    <a:blip r:embed="rId709"/>
                    <a:stretch>
                      <a:fillRect/>
                    </a:stretch>
                  </pic:blipFill>
                  <pic:spPr>
                    <a:xfrm>
                      <a:off x="0" y="0"/>
                      <a:ext cx="914400" cy="266700"/>
                    </a:xfrm>
                    <a:prstGeom prst="rect">
                      <a:avLst/>
                    </a:prstGeom>
                  </pic:spPr>
                </pic:pic>
              </a:graphicData>
            </a:graphic>
          </wp:anchor>
        </w:drawing>
      </w:r>
      <w:bookmarkEnd w:id="1037"/>
    </w:p>
    <w:p>
      <w:pPr>
        <w:pStyle w:val="Para 02"/>
      </w:pPr>
      <w:r>
        <w:t>module, Python 3.12 introduces changes to transaction control, allowing explicit con-trol over autocommit mode.</w:t>
      </w:r>
    </w:p>
    <w:p>
      <w:pPr>
        <w:pStyle w:val="Para 02"/>
      </w:pPr>
      <w:r>
        <w:t>See also:</w:t>
      </w:r>
    </w:p>
    <w:p>
      <w:pPr>
        <w:pStyle w:val="Para 27"/>
      </w:pPr>
      <w:r>
        <w:rPr>
          <w:rStyle w:val="Text7"/>
        </w:rPr>
        <w:t xml:space="preserve">• </w:t>
      </w:r>
      <w:hyperlink r:id="rId1592">
        <w:r>
          <w:rPr>
            <w:rStyle w:val="Text10"/>
          </w:rPr>
          <w:t>688</w:t>
        </w:r>
      </w:hyperlink>
      <w:hyperlink r:id="rId1592">
        <w:r>
          <w:t xml:space="preserve"> autocommit behavior in Python’s sqlite3 module</w:t>
        </w:r>
      </w:hyperlink>
    </w:p>
    <w:p>
      <w:pPr>
        <w:pStyle w:val="Para 02"/>
      </w:pPr>
      <w:r>
        <w:t>Related topic(s):</w:t>
      </w:r>
    </w:p>
    <w:p>
      <w:pPr>
        <w:pStyle w:val="Para 06"/>
      </w:pPr>
      <w:r>
        <w:t>• Databases</w:t>
      </w:r>
    </w:p>
    <w:p>
      <w:pPr>
        <w:pStyle w:val="Para 01"/>
      </w:pPr>
      <w:r>
        <w:t>autodetect</w:t>
      </w:r>
    </w:p>
    <w:p>
      <w:pPr>
        <w:pStyle w:val="Para 02"/>
      </w:pPr>
      <w:r>
        <w:t>autodetect is the ability of a system to automatically detect and configure hardware or settings without user input. In Ubuntu Server and other Linux systems, this is used during boot or installation to identify devices like disks, network interfaces, or keyboard layouts. The kernel, installers, and configuration tools rely on autodetection to simplify setup by loading the right drivers and defaults based on the system’s hardware and environment.</w:t>
      </w:r>
    </w:p>
    <w:p>
      <w:pPr>
        <w:pStyle w:val="Para 02"/>
      </w:pPr>
      <w:r>
        <w:t>Related topic(s):</w:t>
      </w:r>
    </w:p>
    <w:p>
      <w:pPr>
        <w:pStyle w:val="Para 06"/>
      </w:pPr>
      <w:r>
        <w:t>• Kernel modules</w:t>
      </w:r>
    </w:p>
    <w:p>
      <w:pPr>
        <w:pStyle w:val="Para 01"/>
      </w:pPr>
      <w:r>
        <w:t>autoinstall</w:t>
      </w:r>
    </w:p>
    <w:p>
      <w:pPr>
        <w:pStyle w:val="Para 02"/>
      </w:pPr>
      <w:r>
        <w:t>Autoinstall is a feature in Ubuntu Desktop and Ubuntu Server that provides fully auto-mated installations using a pre-defined configuration file. This file describes how the system should be installed, including disk partitioning, user accounts, package selec-tion, and network settings.</w:t>
      </w:r>
    </w:p>
    <w:p>
      <w:pPr>
        <w:pStyle w:val="Para 02"/>
      </w:pPr>
      <w:r>
        <w:t>See also:</w:t>
      </w:r>
    </w:p>
    <w:p>
      <w:pPr>
        <w:pStyle w:val="Para 27"/>
      </w:pPr>
      <w:r>
        <w:rPr>
          <w:rStyle w:val="Text7"/>
        </w:rPr>
        <w:t xml:space="preserve">• </w:t>
      </w:r>
      <w:hyperlink r:id="rId1075">
        <w:r>
          <w:rPr>
            <w:rStyle w:val="Text10"/>
          </w:rPr>
          <w:t>689</w:t>
        </w:r>
      </w:hyperlink>
      <w:hyperlink r:id="rId1075">
        <w:r>
          <w:t xml:space="preserve"> The Autoinstall documentation</w:t>
        </w:r>
      </w:hyperlink>
    </w:p>
    <w:p>
      <w:pPr>
        <w:pStyle w:val="Para 02"/>
      </w:pPr>
      <w:r>
        <w:t>Related topic(s):</w:t>
      </w:r>
    </w:p>
    <w:p>
      <w:pPr>
        <w:pStyle w:val="Para 06"/>
      </w:pPr>
      <w:r>
        <w:t>• cloud-init</w:t>
      </w:r>
    </w:p>
    <w:p>
      <w:pPr>
        <w:pStyle w:val="Para 01"/>
      </w:pPr>
      <w:r>
        <w:t>autorid</w:t>
      </w:r>
    </w:p>
    <w:p>
      <w:pPr>
        <w:pStyle w:val="Para 02"/>
      </w:pPr>
      <w:r>
        <w:t xml:space="preserve">autorid is a Samba ID mapping backend that automatically assigns </w:t>
      </w:r>
      <w:hyperlink w:anchor="page_711">
        <w:r>
          <w:rPr>
            <w:rStyle w:val="Text2"/>
          </w:rPr>
          <w:t>UID</w:t>
        </w:r>
      </w:hyperlink>
      <w:r>
        <w:t xml:space="preserve"> and </w:t>
      </w:r>
      <w:hyperlink w:anchor="page_685">
        <w:r>
          <w:rPr>
            <w:rStyle w:val="Text2"/>
          </w:rPr>
          <w:t>GID</w:t>
        </w:r>
      </w:hyperlink>
      <w:r>
        <w:t xml:space="preserve"> values to security identifiers (SIDs) when integrating with Active Directory (AD). It ensures con-sistent and persistent Unix ID mapping without requiring manual configuration for each domain or user/group.</w:t>
      </w:r>
    </w:p>
    <w:p>
      <w:pPr>
        <w:pStyle w:val="Para 02"/>
      </w:pPr>
      <w:r>
        <w:t>See also:</w:t>
      </w:r>
    </w:p>
    <w:p>
      <w:pPr>
        <w:pStyle w:val="Para 27"/>
      </w:pPr>
      <w:r>
        <w:rPr>
          <w:rStyle w:val="Text7"/>
        </w:rPr>
        <w:t xml:space="preserve">• </w:t>
      </w:r>
      <w:hyperlink r:id="rId1593">
        <w:r>
          <w:rPr>
            <w:rStyle w:val="Text10"/>
          </w:rPr>
          <w:t>690</w:t>
        </w:r>
      </w:hyperlink>
      <w:hyperlink r:id="rId1593">
        <w:r>
          <w:t xml:space="preserve"> The autorid Samba Wiki</w:t>
        </w:r>
      </w:hyperlink>
    </w:p>
    <w:p>
      <w:pPr>
        <w:pStyle w:val="Para 02"/>
      </w:pPr>
      <w:r>
        <w:t>Related topic(s):</w:t>
      </w:r>
    </w:p>
    <w:p>
      <w:pPr>
        <w:pStyle w:val="Para 06"/>
      </w:pPr>
      <w:r>
        <w:t>• Samba, Active Directory</w:t>
      </w:r>
    </w:p>
    <w:p>
      <w:pPr>
        <w:pStyle w:val="Para 01"/>
      </w:pPr>
      <w:r>
        <w:t>AWS</w:t>
      </w:r>
    </w:p>
    <w:p>
      <w:pPr>
        <w:pStyle w:val="Para 01"/>
      </w:pPr>
      <w:r>
        <w:t>Amazon Web Services</w:t>
      </w:r>
    </w:p>
    <w:p>
      <w:pPr>
        <w:pStyle w:val="Para 02"/>
      </w:pPr>
      <w:r>
        <w:t>AWS is a cloud computing platform that offers a wide range of on-demand services such as compute, storage, networking, machine learning, analytics and much more. It allows individuals and companies to run applications without owning physical hardware, to scale resources up or down as needed, and to pay only for what they use.</w:t>
      </w:r>
    </w:p>
    <w:p>
      <w:pPr>
        <w:pStyle w:val="Para 05"/>
      </w:pPr>
      <w:r>
        <w:rPr>
          <w:rStyle w:val="Text5"/>
        </w:rPr>
        <w:t>688</w:t>
      </w:r>
      <w:r>
        <w:rPr>
          <w:rStyle w:val="Text8"/>
        </w:rPr>
        <w:t xml:space="preserve"> </w:t>
      </w:r>
      <w:r>
        <w:t>https://docs.python.org/3/library/sqlite3.html#transaction-control</w:t>
      </w:r>
    </w:p>
    <w:p>
      <w:pPr>
        <w:pStyle w:val="Para 05"/>
      </w:pPr>
      <w:r>
        <w:rPr>
          <w:rStyle w:val="Text5"/>
        </w:rPr>
        <w:t>689</w:t>
      </w:r>
      <w:r>
        <w:rPr>
          <w:rStyle w:val="Text8"/>
        </w:rPr>
        <w:t xml:space="preserve"> </w:t>
      </w:r>
      <w:r>
        <w:t>https://canonical-subiquity.readthedocs-hosted.com/en/latest/intro-to-autoinstall.html</w:t>
      </w:r>
    </w:p>
    <w:p>
      <w:pPr>
        <w:pStyle w:val="Para 05"/>
      </w:pPr>
      <w:r>
        <w:rPr>
          <w:rStyle w:val="Text5"/>
        </w:rPr>
        <w:t>690</w:t>
      </w:r>
      <w:r>
        <w:rPr>
          <w:rStyle w:val="Text8"/>
        </w:rPr>
        <w:t xml:space="preserve"> </w:t>
      </w:r>
      <w:r>
        <w:t>https://wiki.samba.org/index.php/Idmap_config_autorid</w:t>
      </w:r>
    </w:p>
    <w:p>
      <w:bookmarkStart w:id="1038" w:name="page_6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6" name="index-674_1.png" descr="index-674_1.png"/>
            <wp:cNvGraphicFramePr>
              <a:graphicFrameLocks noChangeAspect="1"/>
            </wp:cNvGraphicFramePr>
            <a:graphic>
              <a:graphicData uri="http://schemas.openxmlformats.org/drawingml/2006/picture">
                <pic:pic>
                  <pic:nvPicPr>
                    <pic:cNvPr id="0" name="index-674_1.png" descr="index-674_1.png"/>
                    <pic:cNvPicPr/>
                  </pic:nvPicPr>
                  <pic:blipFill>
                    <a:blip r:embed="rId710"/>
                    <a:stretch>
                      <a:fillRect/>
                    </a:stretch>
                  </pic:blipFill>
                  <pic:spPr>
                    <a:xfrm>
                      <a:off x="0" y="0"/>
                      <a:ext cx="914400" cy="266700"/>
                    </a:xfrm>
                    <a:prstGeom prst="rect">
                      <a:avLst/>
                    </a:prstGeom>
                  </pic:spPr>
                </pic:pic>
              </a:graphicData>
            </a:graphic>
          </wp:anchor>
        </w:drawing>
      </w:r>
      <w:bookmarkEnd w:id="1038"/>
    </w:p>
    <w:p>
      <w:pPr>
        <w:pStyle w:val="Para 02"/>
      </w:pPr>
      <w:r>
        <w:t>See also:</w:t>
      </w:r>
    </w:p>
    <w:p>
      <w:pPr>
        <w:pStyle w:val="Para 27"/>
      </w:pPr>
      <w:r>
        <w:rPr>
          <w:rStyle w:val="Text7"/>
        </w:rPr>
        <w:t xml:space="preserve">• </w:t>
      </w:r>
      <w:hyperlink w:anchor="page_674">
        <w:r>
          <w:rPr>
            <w:rStyle w:val="Text10"/>
          </w:rPr>
          <w:t>691</w:t>
        </w:r>
      </w:hyperlink>
      <w:r>
        <w:rPr>
          <w:rStyle w:val="Text7"/>
        </w:rPr>
        <w:t xml:space="preserve"> </w:t>
      </w:r>
      <w:hyperlink r:id="rId1594">
        <w:r>
          <w:t>The AWS documentation</w:t>
        </w:r>
      </w:hyperlink>
    </w:p>
    <w:p>
      <w:pPr>
        <w:pStyle w:val="Para 02"/>
      </w:pPr>
      <w:r>
        <w:t>Related topic(s):</w:t>
      </w:r>
    </w:p>
    <w:p>
      <w:pPr>
        <w:pStyle w:val="Para 06"/>
      </w:pPr>
      <w:r>
        <w:t>• Clouds</w:t>
      </w:r>
    </w:p>
    <w:p>
      <w:pPr>
        <w:pStyle w:val="Para 17"/>
      </w:pPr>
      <w:r>
        <w:t/>
      </w:r>
    </w:p>
    <w:p>
      <w:pPr>
        <w:pStyle w:val="Para 01"/>
      </w:pPr>
      <w:r>
        <w:t>B</w:t>
      </w:r>
    </w:p>
    <w:p>
      <w:pPr>
        <w:pStyle w:val="Para 17"/>
      </w:pPr>
      <w:r>
        <w:t/>
      </w:r>
    </w:p>
    <w:p>
      <w:pPr>
        <w:pStyle w:val="Para 01"/>
      </w:pPr>
      <w:r>
        <w:t>backend</w:t>
      </w:r>
    </w:p>
    <w:p>
      <w:pPr>
        <w:pStyle w:val="Para 07"/>
      </w:pPr>
      <w:r>
        <w:t>Work in Progress</w:t>
      </w:r>
    </w:p>
    <w:p>
      <w:pPr>
        <w:pStyle w:val="Para 01"/>
      </w:pPr>
      <w:r>
        <w:t>Backports</w:t>
      </w:r>
    </w:p>
    <w:p>
      <w:pPr>
        <w:pStyle w:val="Para 07"/>
      </w:pPr>
      <w:r>
        <w:t>Work in Progress</w:t>
      </w:r>
    </w:p>
    <w:p>
      <w:pPr>
        <w:pStyle w:val="Para 01"/>
      </w:pPr>
      <w:r>
        <w:t>Backtrace</w:t>
      </w:r>
    </w:p>
    <w:p>
      <w:pPr>
        <w:pStyle w:val="Para 07"/>
      </w:pPr>
      <w:r>
        <w:t>Work in Progress</w:t>
      </w:r>
    </w:p>
    <w:p>
      <w:pPr>
        <w:pStyle w:val="Para 01"/>
      </w:pPr>
      <w:r>
        <w:t>BDC</w:t>
      </w:r>
    </w:p>
    <w:p>
      <w:pPr>
        <w:pStyle w:val="Para 01"/>
      </w:pPr>
      <w:r>
        <w:t>Backup Domain Controller</w:t>
      </w:r>
    </w:p>
    <w:p>
      <w:pPr>
        <w:pStyle w:val="Para 07"/>
      </w:pPr>
      <w:r>
        <w:t>Work in Progress</w:t>
      </w:r>
    </w:p>
    <w:p>
      <w:pPr>
        <w:pStyle w:val="Para 01"/>
      </w:pPr>
      <w:r>
        <w:t>bind</w:t>
      </w:r>
    </w:p>
    <w:p>
      <w:pPr>
        <w:pStyle w:val="Para 07"/>
      </w:pPr>
      <w:r>
        <w:t>Work in Progress</w:t>
      </w:r>
    </w:p>
    <w:p>
      <w:pPr>
        <w:pStyle w:val="Para 01"/>
      </w:pPr>
      <w:r>
        <w:t>BindDN</w:t>
      </w:r>
    </w:p>
    <w:p>
      <w:pPr>
        <w:pStyle w:val="Para 07"/>
      </w:pPr>
      <w:r>
        <w:t>Work in Progress</w:t>
      </w:r>
    </w:p>
    <w:p>
      <w:pPr>
        <w:pStyle w:val="Para 01"/>
      </w:pPr>
      <w:r>
        <w:t>BIOS</w:t>
      </w:r>
    </w:p>
    <w:p>
      <w:pPr>
        <w:pStyle w:val="Para 07"/>
      </w:pPr>
      <w:r>
        <w:t>Work in Progress</w:t>
      </w:r>
    </w:p>
    <w:p>
      <w:pPr>
        <w:pStyle w:val="Para 01"/>
      </w:pPr>
      <w:r>
        <w:t>BMC</w:t>
      </w:r>
    </w:p>
    <w:p>
      <w:pPr>
        <w:pStyle w:val="Para 01"/>
      </w:pPr>
      <w:r>
        <w:t>Baseboard Management Controller</w:t>
      </w:r>
    </w:p>
    <w:p>
      <w:pPr>
        <w:pStyle w:val="Para 07"/>
      </w:pPr>
      <w:r>
        <w:t>Work in Progress</w:t>
      </w:r>
    </w:p>
    <w:p>
      <w:pPr>
        <w:pStyle w:val="Para 01"/>
      </w:pPr>
      <w:r>
        <w:t>bootloader</w:t>
      </w:r>
    </w:p>
    <w:p>
      <w:pPr>
        <w:pStyle w:val="Para 07"/>
      </w:pPr>
      <w:r>
        <w:t>Work in Progress</w:t>
      </w:r>
    </w:p>
    <w:p>
      <w:pPr>
        <w:pStyle w:val="Para 01"/>
      </w:pPr>
      <w:r>
        <w:t>BOOTP</w:t>
      </w:r>
    </w:p>
    <w:p>
      <w:pPr>
        <w:pStyle w:val="Para 01"/>
      </w:pPr>
      <w:r>
        <w:t>Bootstrap Protocol</w:t>
      </w:r>
    </w:p>
    <w:p>
      <w:pPr>
        <w:pStyle w:val="Para 02"/>
      </w:pPr>
      <w:r>
        <w:t>A network protocol that assigns IP addresses and boot information to a disk-less sys-tem.</w:t>
      </w:r>
    </w:p>
    <w:p>
      <w:pPr>
        <w:pStyle w:val="Para 01"/>
      </w:pPr>
      <w:r>
        <w:t>bootstrap</w:t>
      </w:r>
    </w:p>
    <w:p>
      <w:pPr>
        <w:pStyle w:val="Para 07"/>
      </w:pPr>
      <w:r>
        <w:t>Work in Progress</w:t>
      </w:r>
    </w:p>
    <w:p>
      <w:pPr>
        <w:pStyle w:val="Para 01"/>
      </w:pPr>
      <w:r>
        <w:t>btrfs</w:t>
      </w:r>
    </w:p>
    <w:p>
      <w:pPr>
        <w:pStyle w:val="Para 01"/>
      </w:pPr>
      <w:r>
        <w:t>B-tree File System</w:t>
      </w:r>
    </w:p>
    <w:p>
      <w:pPr>
        <w:pStyle w:val="Para 07"/>
      </w:pPr>
      <w:r>
        <w:t>Work in Progress</w:t>
      </w:r>
    </w:p>
    <w:p>
      <w:pPr>
        <w:pStyle w:val="Para 05"/>
      </w:pPr>
      <w:r>
        <w:rPr>
          <w:rStyle w:val="Text5"/>
        </w:rPr>
        <w:t>691</w:t>
      </w:r>
      <w:r>
        <w:rPr>
          <w:rStyle w:val="Text8"/>
        </w:rPr>
        <w:t xml:space="preserve"> </w:t>
      </w:r>
      <w:r>
        <w:t>https://docs.aws.amazon.com/</w:t>
      </w:r>
    </w:p>
    <w:p>
      <w:bookmarkStart w:id="1039" w:name="calibre_pb_182"/>
      <w:pPr>
        <w:pStyle w:val="0 Block"/>
      </w:pPr>
      <w:bookmarkEnd w:id="1039"/>
    </w:p>
    <w:p>
      <w:bookmarkStart w:id="1040" w:name="Top_of_index_split_183_html"/>
      <w:bookmarkStart w:id="1041" w:name="page_67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7" name="index-675_1.png" descr="index-675_1.png"/>
            <wp:cNvGraphicFramePr>
              <a:graphicFrameLocks noChangeAspect="1"/>
            </wp:cNvGraphicFramePr>
            <a:graphic>
              <a:graphicData uri="http://schemas.openxmlformats.org/drawingml/2006/picture">
                <pic:pic>
                  <pic:nvPicPr>
                    <pic:cNvPr id="0" name="index-675_1.png" descr="index-675_1.png"/>
                    <pic:cNvPicPr/>
                  </pic:nvPicPr>
                  <pic:blipFill>
                    <a:blip r:embed="rId711"/>
                    <a:stretch>
                      <a:fillRect/>
                    </a:stretch>
                  </pic:blipFill>
                  <pic:spPr>
                    <a:xfrm>
                      <a:off x="0" y="0"/>
                      <a:ext cx="914400" cy="266700"/>
                    </a:xfrm>
                    <a:prstGeom prst="rect">
                      <a:avLst/>
                    </a:prstGeom>
                  </pic:spPr>
                </pic:pic>
              </a:graphicData>
            </a:graphic>
          </wp:anchor>
        </w:drawing>
      </w:r>
      <w:bookmarkEnd w:id="1040"/>
      <w:bookmarkEnd w:id="1041"/>
    </w:p>
    <w:p>
      <w:bookmarkStart w:id="1042" w:name="Top_of_index_split_184_html"/>
      <w:bookmarkStart w:id="1043" w:name="C"/>
      <w:pPr>
        <w:pStyle w:val="Heading 1"/>
        <w:pageBreakBefore w:val="on"/>
      </w:pPr>
      <w:r>
        <w:t>C</w:t>
      </w:r>
      <w:bookmarkEnd w:id="1042"/>
      <w:bookmarkEnd w:id="1043"/>
    </w:p>
    <w:p>
      <w:pPr>
        <w:pStyle w:val="Para 17"/>
      </w:pPr>
      <w:r>
        <w:t/>
      </w:r>
    </w:p>
    <w:p>
      <w:pPr>
        <w:pStyle w:val="Para 01"/>
      </w:pPr>
      <w:r>
        <w:t>CA</w:t>
      </w:r>
    </w:p>
    <w:p>
      <w:pPr>
        <w:pStyle w:val="Para 01"/>
      </w:pPr>
      <w:r>
        <w:t>Certificate Authority</w:t>
      </w:r>
    </w:p>
    <w:p>
      <w:pPr>
        <w:pStyle w:val="Para 07"/>
      </w:pPr>
      <w:r>
        <w:t>Work in Progress</w:t>
      </w:r>
    </w:p>
    <w:p>
      <w:pPr>
        <w:pStyle w:val="Para 01"/>
      </w:pPr>
      <w:r>
        <w:t>CAC</w:t>
      </w:r>
    </w:p>
    <w:p>
      <w:pPr>
        <w:pStyle w:val="Para 01"/>
      </w:pPr>
      <w:r>
        <w:t>Common Access Card</w:t>
      </w:r>
    </w:p>
    <w:p>
      <w:pPr>
        <w:pStyle w:val="Para 07"/>
      </w:pPr>
      <w:r>
        <w:t>Work in Progress</w:t>
      </w:r>
    </w:p>
    <w:p>
      <w:pPr>
        <w:pStyle w:val="Para 01"/>
      </w:pPr>
      <w:r>
        <w:t>CARP</w:t>
      </w:r>
    </w:p>
    <w:p>
      <w:pPr>
        <w:pStyle w:val="Para 01"/>
      </w:pPr>
      <w:r>
        <w:t>Cache Array Routing Protocol</w:t>
      </w:r>
    </w:p>
    <w:p>
      <w:pPr>
        <w:pStyle w:val="Para 07"/>
      </w:pPr>
      <w:r>
        <w:t>Work in Progress</w:t>
      </w:r>
    </w:p>
    <w:p>
      <w:pPr>
        <w:pStyle w:val="Para 01"/>
      </w:pPr>
      <w:r>
        <w:t>CCID</w:t>
      </w:r>
    </w:p>
    <w:p>
      <w:pPr>
        <w:pStyle w:val="Para 01"/>
      </w:pPr>
      <w:r>
        <w:t>Chip Card Interface Device</w:t>
      </w:r>
    </w:p>
    <w:p>
      <w:pPr>
        <w:pStyle w:val="Para 07"/>
      </w:pPr>
      <w:r>
        <w:t>Work in Progress</w:t>
      </w:r>
    </w:p>
    <w:p>
      <w:pPr>
        <w:pStyle w:val="Para 01"/>
      </w:pPr>
      <w:r>
        <w:t>CDB</w:t>
      </w:r>
    </w:p>
    <w:p>
      <w:pPr>
        <w:pStyle w:val="Para 01"/>
      </w:pPr>
      <w:r>
        <w:t>Command Descriptor Block</w:t>
      </w:r>
    </w:p>
    <w:p>
      <w:pPr>
        <w:pStyle w:val="Para 07"/>
      </w:pPr>
      <w:r>
        <w:t>Work in Progress</w:t>
      </w:r>
    </w:p>
    <w:p>
      <w:pPr>
        <w:pStyle w:val="Para 01"/>
      </w:pPr>
      <w:r>
        <w:t>CGNAT</w:t>
      </w:r>
    </w:p>
    <w:p>
      <w:pPr>
        <w:pStyle w:val="Para 01"/>
      </w:pPr>
      <w:r>
        <w:t>Carrier-Grade Network Address Translation</w:t>
      </w:r>
    </w:p>
    <w:p>
      <w:pPr>
        <w:pStyle w:val="Para 07"/>
      </w:pPr>
      <w:r>
        <w:t>Work in Progress</w:t>
      </w:r>
    </w:p>
    <w:p>
      <w:pPr>
        <w:pStyle w:val="Para 01"/>
      </w:pPr>
      <w:r>
        <w:t>CGI</w:t>
      </w:r>
    </w:p>
    <w:p>
      <w:pPr>
        <w:pStyle w:val="Para 01"/>
      </w:pPr>
      <w:r>
        <w:t>Common Gateway Interface</w:t>
      </w:r>
    </w:p>
    <w:p>
      <w:pPr>
        <w:pStyle w:val="Para 07"/>
      </w:pPr>
      <w:r>
        <w:t>Work in Progress</w:t>
      </w:r>
    </w:p>
    <w:p>
      <w:pPr>
        <w:pStyle w:val="Para 01"/>
      </w:pPr>
      <w:r>
        <w:t>checksums</w:t>
      </w:r>
    </w:p>
    <w:p>
      <w:pPr>
        <w:pStyle w:val="Para 07"/>
      </w:pPr>
      <w:r>
        <w:t>Work in Progress</w:t>
      </w:r>
    </w:p>
    <w:p>
      <w:pPr>
        <w:pStyle w:val="Para 01"/>
      </w:pPr>
      <w:r>
        <w:t>chrony</w:t>
      </w:r>
    </w:p>
    <w:p>
      <w:pPr>
        <w:pStyle w:val="Para 07"/>
      </w:pPr>
      <w:r>
        <w:t>Work in Progress</w:t>
      </w:r>
    </w:p>
    <w:p>
      <w:pPr>
        <w:pStyle w:val="Para 01"/>
      </w:pPr>
      <w:r>
        <w:t>chroot</w:t>
      </w:r>
    </w:p>
    <w:p>
      <w:pPr>
        <w:pStyle w:val="Para 07"/>
      </w:pPr>
      <w:r>
        <w:t>Work in Progress</w:t>
      </w:r>
    </w:p>
    <w:p>
      <w:pPr>
        <w:pStyle w:val="Para 01"/>
      </w:pPr>
      <w:r>
        <w:t>CIDR</w:t>
      </w:r>
    </w:p>
    <w:p>
      <w:pPr>
        <w:pStyle w:val="Para 01"/>
      </w:pPr>
      <w:r>
        <w:t>Classless Inter-Domain Routing</w:t>
      </w:r>
    </w:p>
    <w:p>
      <w:pPr>
        <w:pStyle w:val="Para 07"/>
      </w:pPr>
      <w:r>
        <w:t>Work in Progress</w:t>
      </w:r>
    </w:p>
    <w:p>
      <w:pPr>
        <w:pStyle w:val="Para 01"/>
      </w:pPr>
      <w:r>
        <w:t>CIFS</w:t>
      </w:r>
    </w:p>
    <w:p>
      <w:pPr>
        <w:pStyle w:val="Para 01"/>
      </w:pPr>
      <w:r>
        <w:t>Common Internet File System</w:t>
      </w:r>
    </w:p>
    <w:p>
      <w:pPr>
        <w:pStyle w:val="Para 07"/>
      </w:pPr>
      <w:r>
        <w:t>Work in Progress</w:t>
      </w:r>
    </w:p>
    <w:p>
      <w:pPr>
        <w:pStyle w:val="Para 01"/>
      </w:pPr>
      <w:r>
        <w:t>CIS</w:t>
      </w:r>
    </w:p>
    <w:p>
      <w:pPr>
        <w:pStyle w:val="Para 01"/>
      </w:pPr>
      <w:r>
        <w:t>Center for Internet Security</w:t>
      </w:r>
    </w:p>
    <w:p>
      <w:pPr>
        <w:pStyle w:val="Para 07"/>
      </w:pPr>
      <w:r>
        <w:t>Work in Progress</w:t>
      </w:r>
    </w:p>
    <w:p>
      <w:pPr>
        <w:pStyle w:val="Para 01"/>
      </w:pPr>
      <w:r>
        <w:t>CLVM</w:t>
      </w:r>
    </w:p>
    <w:p>
      <w:pPr>
        <w:pStyle w:val="Para 01"/>
      </w:pPr>
      <w:r>
        <w:t>Clustered Logical Volume Manager</w:t>
      </w:r>
    </w:p>
    <w:p>
      <w:pPr>
        <w:pStyle w:val="Para 07"/>
      </w:pPr>
      <w:r>
        <w:t>Work in Progress</w:t>
      </w:r>
    </w:p>
    <w:p>
      <w:pPr>
        <w:pStyle w:val="Para 01"/>
      </w:pPr>
      <w:r>
        <w:t>CMS</w:t>
      </w:r>
    </w:p>
    <w:p>
      <w:pPr>
        <w:pStyle w:val="Para 01"/>
      </w:pPr>
      <w:r>
        <w:t>Configuration Management System</w:t>
      </w:r>
    </w:p>
    <w:p>
      <w:pPr>
        <w:pStyle w:val="Para 07"/>
      </w:pPr>
      <w:r>
        <w:t>Work in Progress</w:t>
      </w:r>
    </w:p>
    <w:p>
      <w:bookmarkStart w:id="1044" w:name="page_6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8" name="index-676_1.png" descr="index-676_1.png"/>
            <wp:cNvGraphicFramePr>
              <a:graphicFrameLocks noChangeAspect="1"/>
            </wp:cNvGraphicFramePr>
            <a:graphic>
              <a:graphicData uri="http://schemas.openxmlformats.org/drawingml/2006/picture">
                <pic:pic>
                  <pic:nvPicPr>
                    <pic:cNvPr id="0" name="index-676_1.png" descr="index-676_1.png"/>
                    <pic:cNvPicPr/>
                  </pic:nvPicPr>
                  <pic:blipFill>
                    <a:blip r:embed="rId712"/>
                    <a:stretch>
                      <a:fillRect/>
                    </a:stretch>
                  </pic:blipFill>
                  <pic:spPr>
                    <a:xfrm>
                      <a:off x="0" y="0"/>
                      <a:ext cx="914400" cy="266700"/>
                    </a:xfrm>
                    <a:prstGeom prst="rect">
                      <a:avLst/>
                    </a:prstGeom>
                  </pic:spPr>
                </pic:pic>
              </a:graphicData>
            </a:graphic>
          </wp:anchor>
        </w:drawing>
      </w:r>
      <w:bookmarkEnd w:id="1044"/>
    </w:p>
    <w:p>
      <w:bookmarkStart w:id="1045" w:name="CN"/>
      <w:bookmarkStart w:id="1046" w:name="Top_of_index_split_185_html"/>
      <w:pPr>
        <w:pStyle w:val="Heading 1"/>
        <w:pageBreakBefore w:val="on"/>
      </w:pPr>
      <w:r>
        <w:t>CN</w:t>
      </w:r>
      <w:bookmarkEnd w:id="1045"/>
      <w:bookmarkEnd w:id="1046"/>
    </w:p>
    <w:p>
      <w:pPr>
        <w:pStyle w:val="Para 01"/>
      </w:pPr>
      <w:r>
        <w:t>Common Name</w:t>
      </w:r>
    </w:p>
    <w:p>
      <w:pPr>
        <w:pStyle w:val="Para 07"/>
      </w:pPr>
      <w:r>
        <w:t>Work in Progress</w:t>
      </w:r>
    </w:p>
    <w:p>
      <w:pPr>
        <w:pStyle w:val="Para 01"/>
      </w:pPr>
      <w:r>
        <w:t>colocation</w:t>
      </w:r>
    </w:p>
    <w:p>
      <w:pPr>
        <w:pStyle w:val="Para 07"/>
      </w:pPr>
      <w:r>
        <w:t>Work in Progress</w:t>
      </w:r>
    </w:p>
    <w:p>
      <w:pPr>
        <w:pStyle w:val="Para 01"/>
      </w:pPr>
      <w:r>
        <w:t>conffile</w:t>
      </w:r>
    </w:p>
    <w:p>
      <w:pPr>
        <w:pStyle w:val="Para 07"/>
      </w:pPr>
      <w:r>
        <w:t>Work in Progress</w:t>
      </w:r>
    </w:p>
    <w:p>
      <w:pPr>
        <w:pStyle w:val="Para 01"/>
      </w:pPr>
      <w:r>
        <w:t>config</w:t>
      </w:r>
    </w:p>
    <w:p>
      <w:pPr>
        <w:pStyle w:val="Para 07"/>
      </w:pPr>
      <w:r>
        <w:t>Work in Progress</w:t>
      </w:r>
    </w:p>
    <w:p>
      <w:pPr>
        <w:pStyle w:val="Para 01"/>
      </w:pPr>
      <w:r>
        <w:t>connectionless</w:t>
      </w:r>
    </w:p>
    <w:p>
      <w:pPr>
        <w:pStyle w:val="Para 07"/>
      </w:pPr>
      <w:r>
        <w:t>Work in Progress</w:t>
      </w:r>
    </w:p>
    <w:p>
      <w:pPr>
        <w:pStyle w:val="Para 01"/>
      </w:pPr>
      <w:r>
        <w:t>containerization</w:t>
      </w:r>
    </w:p>
    <w:p>
      <w:pPr>
        <w:pStyle w:val="Para 07"/>
      </w:pPr>
      <w:r>
        <w:t>Work in Progress</w:t>
      </w:r>
    </w:p>
    <w:p>
      <w:pPr>
        <w:pStyle w:val="Para 01"/>
      </w:pPr>
      <w:r>
        <w:t>CPU</w:t>
      </w:r>
    </w:p>
    <w:p>
      <w:pPr>
        <w:pStyle w:val="Para 01"/>
      </w:pPr>
      <w:r>
        <w:t>Central Processing Unit</w:t>
      </w:r>
    </w:p>
    <w:p>
      <w:pPr>
        <w:pStyle w:val="Para 07"/>
      </w:pPr>
      <w:r>
        <w:t>Work in Progress</w:t>
      </w:r>
    </w:p>
    <w:p>
      <w:pPr>
        <w:pStyle w:val="Para 01"/>
      </w:pPr>
      <w:r>
        <w:t>CRL</w:t>
      </w:r>
    </w:p>
    <w:p>
      <w:pPr>
        <w:pStyle w:val="Para 01"/>
      </w:pPr>
      <w:r>
        <w:t>Certificate Revocation List</w:t>
      </w:r>
    </w:p>
    <w:p>
      <w:pPr>
        <w:pStyle w:val="Para 07"/>
      </w:pPr>
      <w:r>
        <w:t>Work in Progress</w:t>
      </w:r>
    </w:p>
    <w:p>
      <w:pPr>
        <w:pStyle w:val="Para 01"/>
      </w:pPr>
      <w:r>
        <w:t>crypto</w:t>
      </w:r>
    </w:p>
    <w:p>
      <w:pPr>
        <w:pStyle w:val="Para 01"/>
      </w:pPr>
      <w:r>
        <w:t>cryptographic</w:t>
      </w:r>
    </w:p>
    <w:p>
      <w:pPr>
        <w:pStyle w:val="Para 07"/>
      </w:pPr>
      <w:r>
        <w:t>Work in Progress</w:t>
      </w:r>
    </w:p>
    <w:p>
      <w:pPr>
        <w:pStyle w:val="Para 01"/>
      </w:pPr>
      <w:r>
        <w:t>CSR</w:t>
      </w:r>
    </w:p>
    <w:p>
      <w:pPr>
        <w:pStyle w:val="Para 01"/>
      </w:pPr>
      <w:r>
        <w:t>Certificate Signing Request</w:t>
      </w:r>
    </w:p>
    <w:p>
      <w:pPr>
        <w:pStyle w:val="Para 07"/>
      </w:pPr>
      <w:r>
        <w:t>Work in Progress</w:t>
      </w:r>
    </w:p>
    <w:p>
      <w:pPr>
        <w:pStyle w:val="Para 01"/>
      </w:pPr>
      <w:r>
        <w:t>CVE</w:t>
      </w:r>
    </w:p>
    <w:p>
      <w:pPr>
        <w:pStyle w:val="Para 01"/>
      </w:pPr>
      <w:r>
        <w:t>Common Vulnerabilities and Exposures</w:t>
      </w:r>
    </w:p>
    <w:p>
      <w:pPr>
        <w:pStyle w:val="Para 07"/>
      </w:pPr>
      <w:r>
        <w:t>Work in Progress</w:t>
      </w:r>
    </w:p>
    <w:p>
      <w:pPr>
        <w:pStyle w:val="Para 17"/>
      </w:pPr>
      <w:r>
        <w:t/>
      </w:r>
    </w:p>
    <w:p>
      <w:pPr>
        <w:pStyle w:val="Para 01"/>
      </w:pPr>
      <w:r>
        <w:t>D</w:t>
      </w:r>
    </w:p>
    <w:p>
      <w:pPr>
        <w:pStyle w:val="Para 17"/>
      </w:pPr>
      <w:r>
        <w:t/>
      </w:r>
    </w:p>
    <w:p>
      <w:pPr>
        <w:pStyle w:val="Para 01"/>
      </w:pPr>
      <w:r>
        <w:t>DAC</w:t>
      </w:r>
    </w:p>
    <w:p>
      <w:pPr>
        <w:pStyle w:val="Para 01"/>
      </w:pPr>
      <w:r>
        <w:t>Discretionary access control</w:t>
      </w:r>
    </w:p>
    <w:p>
      <w:pPr>
        <w:pStyle w:val="Para 02"/>
      </w:pPr>
      <w:r>
        <w:t>A form of access control where the owner of a resource can grant/revoke permissions to other users.</w:t>
      </w:r>
    </w:p>
    <w:p>
      <w:pPr>
        <w:pStyle w:val="Para 02"/>
      </w:pPr>
      <w:r>
        <w:t>Related topic(s):</w:t>
      </w:r>
    </w:p>
    <w:p>
      <w:pPr>
        <w:pStyle w:val="Para 06"/>
      </w:pPr>
      <w:r>
        <w:t>• Security</w:t>
      </w:r>
    </w:p>
    <w:p>
      <w:pPr>
        <w:pStyle w:val="Para 01"/>
      </w:pPr>
      <w:r>
        <w:t>daemonize</w:t>
      </w:r>
    </w:p>
    <w:p>
      <w:pPr>
        <w:pStyle w:val="Para 02"/>
      </w:pPr>
      <w:r>
        <w:t>The process of converting a program to run in the background as a service, independent of user sessions.</w:t>
      </w:r>
    </w:p>
    <w:p>
      <w:pPr>
        <w:pStyle w:val="Para 01"/>
      </w:pPr>
      <w:r>
        <w:t>DARPA</w:t>
      </w:r>
    </w:p>
    <w:p>
      <w:pPr>
        <w:pStyle w:val="Para 01"/>
      </w:pPr>
      <w:r>
        <w:t>Defense Advanced Research Projects Agency</w:t>
      </w:r>
    </w:p>
    <w:p>
      <w:pPr>
        <w:pStyle w:val="Para 02"/>
      </w:pPr>
      <w:r>
        <w:t>A research and development agency of the United States Department of Defense re-sponsible for the development of emerging technologies for use in the military.</w:t>
      </w:r>
    </w:p>
    <w:p>
      <w:bookmarkStart w:id="1047" w:name="page_6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09" name="index-677_1.png" descr="index-677_1.png"/>
            <wp:cNvGraphicFramePr>
              <a:graphicFrameLocks noChangeAspect="1"/>
            </wp:cNvGraphicFramePr>
            <a:graphic>
              <a:graphicData uri="http://schemas.openxmlformats.org/drawingml/2006/picture">
                <pic:pic>
                  <pic:nvPicPr>
                    <pic:cNvPr id="0" name="index-677_1.png" descr="index-677_1.png"/>
                    <pic:cNvPicPr/>
                  </pic:nvPicPr>
                  <pic:blipFill>
                    <a:blip r:embed="rId713"/>
                    <a:stretch>
                      <a:fillRect/>
                    </a:stretch>
                  </pic:blipFill>
                  <pic:spPr>
                    <a:xfrm>
                      <a:off x="0" y="0"/>
                      <a:ext cx="914400" cy="266700"/>
                    </a:xfrm>
                    <a:prstGeom prst="rect">
                      <a:avLst/>
                    </a:prstGeom>
                  </pic:spPr>
                </pic:pic>
              </a:graphicData>
            </a:graphic>
          </wp:anchor>
        </w:drawing>
      </w:r>
      <w:bookmarkEnd w:id="1047"/>
    </w:p>
    <w:p>
      <w:bookmarkStart w:id="1048" w:name="Top_of_index_split_186_html"/>
      <w:bookmarkStart w:id="1049" w:name="DAS"/>
      <w:pPr>
        <w:pStyle w:val="Heading 1"/>
        <w:pageBreakBefore w:val="on"/>
      </w:pPr>
      <w:r>
        <w:t>DAS</w:t>
      </w:r>
      <w:bookmarkEnd w:id="1048"/>
      <w:bookmarkEnd w:id="1049"/>
    </w:p>
    <w:p>
      <w:pPr>
        <w:pStyle w:val="Para 01"/>
      </w:pPr>
      <w:r>
        <w:t>Direct Attached Storage</w:t>
      </w:r>
    </w:p>
    <w:p>
      <w:pPr>
        <w:pStyle w:val="Para 02"/>
      </w:pPr>
      <w:r>
        <w:t>DAS is storage that is physically and directly connected to one computer. DAS is not shared over a network and it is accessible ONLY to the host it is connected to.</w:t>
      </w:r>
    </w:p>
    <w:p>
      <w:pPr>
        <w:pStyle w:val="Para 02"/>
      </w:pPr>
      <w:r>
        <w:t>See also:</w:t>
      </w:r>
    </w:p>
    <w:p>
      <w:pPr>
        <w:pStyle w:val="Para 26"/>
      </w:pPr>
      <w:r>
        <w:rPr>
          <w:rStyle w:val="Text4"/>
        </w:rPr>
        <w:t xml:space="preserve">• </w:t>
      </w:r>
      <w:hyperlink w:anchor="page_696">
        <w:r>
          <w:t>NAS</w:t>
        </w:r>
      </w:hyperlink>
    </w:p>
    <w:p>
      <w:pPr>
        <w:pStyle w:val="Para 26"/>
      </w:pPr>
      <w:r>
        <w:rPr>
          <w:rStyle w:val="Text4"/>
        </w:rPr>
        <w:t xml:space="preserve">• </w:t>
      </w:r>
      <w:hyperlink w:anchor="page_704">
        <w:r>
          <w:t>SAN</w:t>
        </w:r>
      </w:hyperlink>
    </w:p>
    <w:p>
      <w:pPr>
        <w:pStyle w:val="Para 01"/>
      </w:pPr>
      <w:r>
        <w:t>DASD</w:t>
      </w:r>
    </w:p>
    <w:p>
      <w:pPr>
        <w:pStyle w:val="Para 01"/>
      </w:pPr>
      <w:r>
        <w:t>Direct Access Storage Device</w:t>
      </w:r>
    </w:p>
    <w:p>
      <w:pPr>
        <w:pStyle w:val="Para 02"/>
      </w:pPr>
      <w:r>
        <w:t>This term was coined by IBM to refer to a type of storage that allows random access to storage (hard-drives, optical discs, etc). It contrasts with sequential access storage such as magnetic tape or punched cards.</w:t>
      </w:r>
    </w:p>
    <w:p>
      <w:pPr>
        <w:pStyle w:val="Para 02"/>
      </w:pPr>
      <w:r>
        <w:t>Related topic(s):</w:t>
      </w:r>
    </w:p>
    <w:p>
      <w:pPr>
        <w:pStyle w:val="Para 06"/>
      </w:pPr>
      <w:r>
        <w:t>• Storage</w:t>
      </w:r>
    </w:p>
    <w:p>
      <w:pPr>
        <w:pStyle w:val="Para 01"/>
      </w:pPr>
      <w:r>
        <w:t>Datagram</w:t>
      </w:r>
    </w:p>
    <w:p>
      <w:pPr>
        <w:pStyle w:val="Para 02"/>
      </w:pPr>
      <w:r>
        <w:t>In networking, a self contained, independent packet sent over a network. It can be routed from source to destination without relying on earlier or subsequent transfers.</w:t>
      </w:r>
    </w:p>
    <w:p>
      <w:pPr>
        <w:pStyle w:val="Para 02"/>
      </w:pPr>
      <w:r>
        <w:t>Related topic(s):</w:t>
      </w:r>
    </w:p>
    <w:p>
      <w:pPr>
        <w:pStyle w:val="Para 06"/>
      </w:pPr>
      <w:r>
        <w:t>• Networking</w:t>
      </w:r>
    </w:p>
    <w:p>
      <w:pPr>
        <w:pStyle w:val="Para 01"/>
      </w:pPr>
      <w:r>
        <w:t>dblink</w:t>
      </w:r>
    </w:p>
    <w:p>
      <w:pPr>
        <w:pStyle w:val="Para 01"/>
      </w:pPr>
      <w:r>
        <w:t>Database link</w:t>
      </w:r>
    </w:p>
    <w:p>
      <w:pPr>
        <w:pStyle w:val="Para 02"/>
      </w:pPr>
      <w:r>
        <w:t>A connection between two databases (mainly Oracle and PostgreSQL), allowing one database to query data from the other.</w:t>
      </w:r>
    </w:p>
    <w:p>
      <w:pPr>
        <w:pStyle w:val="Para 02"/>
      </w:pPr>
      <w:r>
        <w:t>Related topic(s):</w:t>
      </w:r>
    </w:p>
    <w:p>
      <w:pPr>
        <w:pStyle w:val="Para 06"/>
      </w:pPr>
      <w:r>
        <w:t>• Databases</w:t>
      </w:r>
    </w:p>
    <w:p>
      <w:pPr>
        <w:pStyle w:val="Para 01"/>
      </w:pPr>
      <w:r>
        <w:t>DC</w:t>
      </w:r>
    </w:p>
    <w:p>
      <w:pPr>
        <w:pStyle w:val="Para 01"/>
      </w:pPr>
      <w:r>
        <w:t>Domain Component</w:t>
      </w:r>
    </w:p>
    <w:p>
      <w:pPr>
        <w:pStyle w:val="Para 07"/>
      </w:pPr>
      <w:r>
        <w:t>Work in progress</w:t>
      </w:r>
    </w:p>
    <w:p>
      <w:pPr>
        <w:pStyle w:val="Para 01"/>
      </w:pPr>
      <w:r>
        <w:t>DDNS</w:t>
      </w:r>
    </w:p>
    <w:p>
      <w:pPr>
        <w:pStyle w:val="Para 01"/>
      </w:pPr>
      <w:r>
        <w:t>Dynamic Domain Name System</w:t>
      </w:r>
    </w:p>
    <w:p>
      <w:pPr>
        <w:pStyle w:val="Para 02"/>
      </w:pPr>
      <w:r>
        <w:t>A service that automatically updates DNS records when the underlying IP address changes (aka, dynamic IP).</w:t>
      </w:r>
    </w:p>
    <w:p>
      <w:pPr>
        <w:pStyle w:val="Para 02"/>
      </w:pPr>
      <w:r>
        <w:t>Related topic(s):</w:t>
      </w:r>
    </w:p>
    <w:p>
      <w:pPr>
        <w:pStyle w:val="Para 06"/>
      </w:pPr>
      <w:r>
        <w:t>• Networking</w:t>
      </w:r>
    </w:p>
    <w:p>
      <w:pPr>
        <w:pStyle w:val="Para 01"/>
      </w:pPr>
      <w:r>
        <w:t>deb822</w:t>
      </w:r>
    </w:p>
    <w:p>
      <w:pPr>
        <w:pStyle w:val="Para 02"/>
      </w:pPr>
      <w:r>
        <w:t>A structured configuration format based on RFC822.</w:t>
      </w:r>
    </w:p>
    <w:p>
      <w:pPr>
        <w:pStyle w:val="Para 02"/>
      </w:pPr>
      <w:r>
        <w:t>See also:</w:t>
      </w:r>
    </w:p>
    <w:p>
      <w:pPr>
        <w:pStyle w:val="Para 27"/>
      </w:pPr>
      <w:r>
        <w:rPr>
          <w:rStyle w:val="Text7"/>
        </w:rPr>
        <w:t xml:space="preserve">• </w:t>
      </w:r>
      <w:hyperlink w:anchor="page_677">
        <w:r>
          <w:rPr>
            <w:rStyle w:val="Text10"/>
          </w:rPr>
          <w:t>692</w:t>
        </w:r>
      </w:hyperlink>
      <w:r>
        <w:rPr>
          <w:rStyle w:val="Text7"/>
        </w:rPr>
        <w:t xml:space="preserve"> </w:t>
      </w:r>
      <w:hyperlink r:id="rId1595">
        <w:r>
          <w:t>RFC 822</w:t>
        </w:r>
      </w:hyperlink>
    </w:p>
    <w:p>
      <w:pPr>
        <w:pStyle w:val="Para 06"/>
      </w:pPr>
      <w:r>
        <w:t xml:space="preserve">• The </w:t>
      </w:r>
      <w:hyperlink w:anchor="page_677">
        <w:r>
          <w:rPr>
            <w:rStyle w:val="Text9"/>
          </w:rPr>
          <w:t>693</w:t>
        </w:r>
      </w:hyperlink>
      <w:r>
        <w:t xml:space="preserve"> </w:t>
      </w:r>
      <w:hyperlink r:id="rId1596">
        <w:r>
          <w:rPr>
            <w:rStyle w:val="Text2"/>
          </w:rPr>
          <w:t>deb822(5)</w:t>
        </w:r>
      </w:hyperlink>
      <w:r>
        <w:t xml:space="preserve"> manual page</w:t>
      </w:r>
    </w:p>
    <w:p>
      <w:pPr>
        <w:pStyle w:val="Para 05"/>
      </w:pPr>
      <w:r>
        <w:rPr>
          <w:rStyle w:val="Text5"/>
        </w:rPr>
        <w:t>692</w:t>
      </w:r>
      <w:r>
        <w:rPr>
          <w:rStyle w:val="Text8"/>
        </w:rPr>
        <w:t xml:space="preserve"> </w:t>
      </w:r>
      <w:r>
        <w:t>https://datatracker.ietf.org/doc/html/rfc822</w:t>
      </w:r>
    </w:p>
    <w:p>
      <w:pPr>
        <w:pStyle w:val="Para 05"/>
      </w:pPr>
      <w:r>
        <w:rPr>
          <w:rStyle w:val="Text5"/>
        </w:rPr>
        <w:t>693</w:t>
      </w:r>
      <w:r>
        <w:rPr>
          <w:rStyle w:val="Text8"/>
        </w:rPr>
        <w:t xml:space="preserve"> </w:t>
      </w:r>
      <w:r>
        <w:t>https://manpages.ubuntu.com/manpages/resolute/man5/deb822.5.html</w:t>
      </w:r>
      <w:r>
        <w:rPr>
          <w:rStyle w:val="Text8"/>
        </w:rPr>
        <w:t xml:space="preserve"> </w:t>
      </w:r>
      <w:r>
        <w:rPr>
          <w:rStyle w:val="Text11"/>
        </w:rPr>
        <w:t>debconf</w:t>
      </w:r>
    </w:p>
    <w:p>
      <w:bookmarkStart w:id="1050" w:name="page_6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0" name="index-678_1.png" descr="index-678_1.png"/>
            <wp:cNvGraphicFramePr>
              <a:graphicFrameLocks noChangeAspect="1"/>
            </wp:cNvGraphicFramePr>
            <a:graphic>
              <a:graphicData uri="http://schemas.openxmlformats.org/drawingml/2006/picture">
                <pic:pic>
                  <pic:nvPicPr>
                    <pic:cNvPr id="0" name="index-678_1.png" descr="index-678_1.png"/>
                    <pic:cNvPicPr/>
                  </pic:nvPicPr>
                  <pic:blipFill>
                    <a:blip r:embed="rId714"/>
                    <a:stretch>
                      <a:fillRect/>
                    </a:stretch>
                  </pic:blipFill>
                  <pic:spPr>
                    <a:xfrm>
                      <a:off x="0" y="0"/>
                      <a:ext cx="914400" cy="266700"/>
                    </a:xfrm>
                    <a:prstGeom prst="rect">
                      <a:avLst/>
                    </a:prstGeom>
                  </pic:spPr>
                </pic:pic>
              </a:graphicData>
            </a:graphic>
          </wp:anchor>
        </w:drawing>
      </w:r>
      <w:bookmarkEnd w:id="1050"/>
    </w:p>
    <w:p>
      <w:pPr>
        <w:pStyle w:val="Para 02"/>
      </w:pPr>
      <w:r>
        <w:t xml:space="preserve">A </w:t>
      </w:r>
      <w:hyperlink w:anchor="page_675">
        <w:r>
          <w:rPr>
            <w:rStyle w:val="Text2"/>
          </w:rPr>
          <w:t>configuration management system</w:t>
        </w:r>
      </w:hyperlink>
      <w:r>
        <w:t xml:space="preserve"> handling the configuration of software packages during installation or upgrades by prompting users for necessary settings and storing them for subsequent installations or updates.</w:t>
      </w:r>
    </w:p>
    <w:p>
      <w:pPr>
        <w:pStyle w:val="Para 01"/>
      </w:pPr>
      <w:r>
        <w:t>deduplication</w:t>
      </w:r>
    </w:p>
    <w:p>
      <w:pPr>
        <w:pStyle w:val="Para 02"/>
      </w:pPr>
      <w:r>
        <w:t>Process of removing duplicate copies of data in storage spaces. The redundant data is then replaced with a reference to the original.</w:t>
      </w:r>
    </w:p>
    <w:p>
      <w:pPr>
        <w:pStyle w:val="Para 01"/>
      </w:pPr>
      <w:r>
        <w:t>denylist</w:t>
      </w:r>
    </w:p>
    <w:p>
      <w:pPr>
        <w:pStyle w:val="Para 02"/>
      </w:pPr>
      <w:r>
        <w:t>In cyber-security, a denylist is a list of entities (IP, domains, emails, etc), that are explic-itly denied access to a system or service.</w:t>
      </w:r>
    </w:p>
    <w:p>
      <w:pPr>
        <w:pStyle w:val="Para 02"/>
      </w:pPr>
      <w:r>
        <w:t>Related topic(s):</w:t>
      </w:r>
    </w:p>
    <w:p>
      <w:pPr>
        <w:pStyle w:val="Para 06"/>
      </w:pPr>
      <w:r>
        <w:t>• Security</w:t>
      </w:r>
    </w:p>
    <w:p>
      <w:pPr>
        <w:pStyle w:val="Para 01"/>
      </w:pPr>
      <w:r>
        <w:t>DER</w:t>
      </w:r>
    </w:p>
    <w:p>
      <w:pPr>
        <w:pStyle w:val="Para 01"/>
      </w:pPr>
      <w:r>
        <w:t>Distinguished Encoding Rules</w:t>
      </w:r>
    </w:p>
    <w:p>
      <w:pPr>
        <w:pStyle w:val="Para 02"/>
      </w:pPr>
      <w:r>
        <w:t>A standardized encoding format for data (mostly cryptographic certificates and keys) for transmission and storage.</w:t>
      </w:r>
    </w:p>
    <w:p>
      <w:pPr>
        <w:pStyle w:val="Para 01"/>
      </w:pPr>
      <w:r>
        <w:t>DGC</w:t>
      </w:r>
    </w:p>
    <w:p>
      <w:pPr>
        <w:pStyle w:val="Para 01"/>
      </w:pPr>
      <w:r>
        <w:t>Distributed Garbage Collection</w:t>
      </w:r>
    </w:p>
    <w:p>
      <w:pPr>
        <w:pStyle w:val="Para 02"/>
      </w:pPr>
      <w:r>
        <w:t>A process used in distributed systems to manage memory across multiple intercon-nected computers allowing identification and reclaiming of unused memory across nodes.</w:t>
      </w:r>
    </w:p>
    <w:p>
      <w:pPr>
        <w:pStyle w:val="Para 01"/>
      </w:pPr>
      <w:r>
        <w:t>DHCP</w:t>
      </w:r>
    </w:p>
    <w:p>
      <w:pPr>
        <w:pStyle w:val="Para 01"/>
      </w:pPr>
      <w:r>
        <w:t>Dynamic Host Configuration Protocol</w:t>
      </w:r>
    </w:p>
    <w:p>
      <w:pPr>
        <w:pStyle w:val="Para 02"/>
      </w:pPr>
      <w:r>
        <w:t>A network protocol used to automatically assign network configuration details (IP, DNS, gateway, etc) to devices allowing for easy network management and connections within the network.</w:t>
      </w:r>
    </w:p>
    <w:p>
      <w:pPr>
        <w:pStyle w:val="Para 01"/>
      </w:pPr>
      <w:r>
        <w:t>DHCPD</w:t>
      </w:r>
    </w:p>
    <w:p>
      <w:pPr>
        <w:pStyle w:val="Para 01"/>
      </w:pPr>
      <w:r>
        <w:t>Dynamic Host Configuration Protocol Daemon</w:t>
      </w:r>
    </w:p>
    <w:p>
      <w:pPr>
        <w:pStyle w:val="Para 17"/>
      </w:pPr>
      <w:r>
        <w:t>Server software responsible for assigning the network configuration via DHCP.</w:t>
      </w:r>
    </w:p>
    <w:p>
      <w:pPr>
        <w:pStyle w:val="Para 01"/>
      </w:pPr>
      <w:r>
        <w:t>DIT</w:t>
      </w:r>
    </w:p>
    <w:p>
      <w:pPr>
        <w:pStyle w:val="Para 01"/>
      </w:pPr>
      <w:r>
        <w:t>Directory Information Tree</w:t>
      </w:r>
    </w:p>
    <w:p>
      <w:pPr>
        <w:pStyle w:val="Para 02"/>
      </w:pPr>
      <w:r>
        <w:t>In directory services (LDAP) this is a hierarchical tree-like structure used to organize and store information.</w:t>
      </w:r>
    </w:p>
    <w:p>
      <w:pPr>
        <w:pStyle w:val="Para 02"/>
      </w:pPr>
      <w:r>
        <w:t>Related topic(s):</w:t>
      </w:r>
    </w:p>
    <w:p>
      <w:pPr>
        <w:pStyle w:val="Para 06"/>
      </w:pPr>
      <w:r>
        <w:t>• OpenLDAP</w:t>
      </w:r>
    </w:p>
    <w:p>
      <w:pPr>
        <w:pStyle w:val="Para 01"/>
      </w:pPr>
      <w:r>
        <w:t>DKMS</w:t>
      </w:r>
    </w:p>
    <w:p>
      <w:pPr>
        <w:pStyle w:val="Para 01"/>
      </w:pPr>
      <w:r>
        <w:t>Dynamic Kernel Module Support</w:t>
      </w:r>
    </w:p>
    <w:p>
      <w:pPr>
        <w:pStyle w:val="Para 02"/>
      </w:pPr>
      <w:r>
        <w:t>A framework used in Linux systems to automatically rebuild and install kernel modules when the kernel is updated.</w:t>
      </w:r>
    </w:p>
    <w:p>
      <w:pPr>
        <w:pStyle w:val="Para 02"/>
      </w:pPr>
      <w:r>
        <w:t>Related topic(s):</w:t>
      </w:r>
    </w:p>
    <w:p>
      <w:pPr>
        <w:pStyle w:val="Para 06"/>
      </w:pPr>
      <w:r>
        <w:t>• Kernel</w:t>
      </w:r>
    </w:p>
    <w:p>
      <w:pPr>
        <w:pStyle w:val="Para 01"/>
      </w:pPr>
      <w:r>
        <w:t>DMA</w:t>
      </w:r>
    </w:p>
    <w:p>
      <w:pPr>
        <w:pStyle w:val="Para 01"/>
      </w:pPr>
      <w:r>
        <w:t>Direct Memory Access</w:t>
      </w:r>
    </w:p>
    <w:p>
      <w:pPr>
        <w:pStyle w:val="Para 02"/>
      </w:pPr>
      <w:r>
        <w:t>DMA is a technology that allows peripheral devices (hard drives, network cards, etc)</w:t>
      </w:r>
    </w:p>
    <w:p>
      <w:bookmarkStart w:id="1051" w:name="page_6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1" name="index-679_1.png" descr="index-679_1.png"/>
            <wp:cNvGraphicFramePr>
              <a:graphicFrameLocks noChangeAspect="1"/>
            </wp:cNvGraphicFramePr>
            <a:graphic>
              <a:graphicData uri="http://schemas.openxmlformats.org/drawingml/2006/picture">
                <pic:pic>
                  <pic:nvPicPr>
                    <pic:cNvPr id="0" name="index-679_1.png" descr="index-679_1.png"/>
                    <pic:cNvPicPr/>
                  </pic:nvPicPr>
                  <pic:blipFill>
                    <a:blip r:embed="rId715"/>
                    <a:stretch>
                      <a:fillRect/>
                    </a:stretch>
                  </pic:blipFill>
                  <pic:spPr>
                    <a:xfrm>
                      <a:off x="0" y="0"/>
                      <a:ext cx="914400" cy="266700"/>
                    </a:xfrm>
                    <a:prstGeom prst="rect">
                      <a:avLst/>
                    </a:prstGeom>
                  </pic:spPr>
                </pic:pic>
              </a:graphicData>
            </a:graphic>
          </wp:anchor>
        </w:drawing>
      </w:r>
      <w:bookmarkEnd w:id="1051"/>
    </w:p>
    <w:p>
      <w:pPr>
        <w:pStyle w:val="Para 02"/>
      </w:pPr>
      <w:r>
        <w:t>to access the system’s memory directly, bypassing the CPU and thus improving perfor-mance.</w:t>
      </w:r>
    </w:p>
    <w:p>
      <w:pPr>
        <w:pStyle w:val="Para 01"/>
      </w:pPr>
      <w:r>
        <w:t>DMAR</w:t>
      </w:r>
    </w:p>
    <w:p>
      <w:pPr>
        <w:pStyle w:val="Para 01"/>
      </w:pPr>
      <w:r>
        <w:t>Direct Memory Access Remapping</w:t>
      </w:r>
    </w:p>
    <w:p>
      <w:pPr>
        <w:pStyle w:val="Para 02"/>
      </w:pPr>
      <w:r>
        <w:t xml:space="preserve">DMAR is a technology used to control and secure </w:t>
      </w:r>
      <w:hyperlink w:anchor="page_678">
        <w:r>
          <w:rPr>
            <w:rStyle w:val="Text2"/>
          </w:rPr>
          <w:t>Direct Memory Access</w:t>
        </w:r>
      </w:hyperlink>
      <w:r>
        <w:t xml:space="preserve"> operations and ensure that devices can only access memory regions they are authorized to. This helps to prevent unauthorized access, memory corruption, or security vulnerabilities. It is of-</w:t>
      </w:r>
    </w:p>
    <w:p>
      <w:pPr>
        <w:pStyle w:val="Para 02"/>
      </w:pPr>
      <w:r>
        <w:t xml:space="preserve">ten used in virtualized environments to isolate devices between </w:t>
      </w:r>
      <w:hyperlink w:anchor="page_714">
        <w:r>
          <w:rPr>
            <w:rStyle w:val="Text2"/>
          </w:rPr>
          <w:t>virtual machines (VMs)</w:t>
        </w:r>
      </w:hyperlink>
      <w:r>
        <w:t xml:space="preserve"> and the host system.</w:t>
      </w:r>
    </w:p>
    <w:p>
      <w:pPr>
        <w:pStyle w:val="Para 01"/>
      </w:pPr>
      <w:r>
        <w:t>dmesg</w:t>
      </w:r>
    </w:p>
    <w:p>
      <w:pPr>
        <w:pStyle w:val="Para 02"/>
      </w:pPr>
      <w:r>
        <w:t>A command in Linux systems that displays system logs related to hardware, drivers, and kernel events, such as system startup, device detection, and errors. It is commonly used for troubleshooting hardware issues and system diagnostics.</w:t>
      </w:r>
    </w:p>
    <w:p>
      <w:pPr>
        <w:pStyle w:val="Para 01"/>
      </w:pPr>
      <w:r>
        <w:t>DN</w:t>
      </w:r>
    </w:p>
    <w:p>
      <w:pPr>
        <w:pStyle w:val="Para 01"/>
      </w:pPr>
      <w:r>
        <w:t>Distinguished Name</w:t>
      </w:r>
    </w:p>
    <w:p>
      <w:pPr>
        <w:pStyle w:val="Para 02"/>
      </w:pPr>
      <w:r>
        <w:t>In directory services (LDAP), this is a unique identifier used to represent an entry in a</w:t>
      </w:r>
    </w:p>
    <w:p>
      <w:pPr>
        <w:pStyle w:val="Para 02"/>
      </w:pPr>
      <w:r>
        <w:t xml:space="preserve">directory, such as a user or a group. It’s often composed of sub-components like </w:t>
      </w:r>
      <w:hyperlink w:anchor="page_676">
        <w:r>
          <w:rPr>
            <w:rStyle w:val="Text2"/>
          </w:rPr>
          <w:t>CN</w:t>
        </w:r>
      </w:hyperlink>
      <w:r>
        <w:t xml:space="preserve"> ,</w:t>
      </w:r>
    </w:p>
    <w:p>
      <w:pPr>
        <w:pStyle w:val="Para 02"/>
      </w:pPr>
      <w:hyperlink w:anchor="page_699">
        <w:r>
          <w:rPr>
            <w:rStyle w:val="Text2"/>
          </w:rPr>
          <w:t>OU</w:t>
        </w:r>
      </w:hyperlink>
      <w:r>
        <w:t xml:space="preserve">, or </w:t>
      </w:r>
      <w:hyperlink w:anchor="page_677">
        <w:r>
          <w:rPr>
            <w:rStyle w:val="Text2"/>
          </w:rPr>
          <w:t>DC</w:t>
        </w:r>
      </w:hyperlink>
      <w:r>
        <w:t xml:space="preserve"> .</w:t>
      </w:r>
    </w:p>
    <w:p>
      <w:pPr>
        <w:pStyle w:val="Para 01"/>
      </w:pPr>
      <w:r>
        <w:t>DNS</w:t>
      </w:r>
    </w:p>
    <w:p>
      <w:pPr>
        <w:pStyle w:val="Para 01"/>
      </w:pPr>
      <w:r>
        <w:t>Domain Name System</w:t>
      </w:r>
    </w:p>
    <w:p>
      <w:pPr>
        <w:pStyle w:val="Para 02"/>
      </w:pPr>
      <w:r>
        <w:t>A system that translates human-readable domain names (e.g. ubuntu.com) to their IP addresses (185.125.190.20).</w:t>
      </w:r>
    </w:p>
    <w:p>
      <w:pPr>
        <w:pStyle w:val="Para 02"/>
      </w:pPr>
      <w:r>
        <w:t>Related topic(s):</w:t>
      </w:r>
    </w:p>
    <w:p>
      <w:pPr>
        <w:pStyle w:val="Para 06"/>
      </w:pPr>
      <w:r>
        <w:t>• Networking</w:t>
      </w:r>
    </w:p>
    <w:p>
      <w:pPr>
        <w:pStyle w:val="Para 01"/>
      </w:pPr>
      <w:r>
        <w:t>dnsmasq</w:t>
      </w:r>
    </w:p>
    <w:p>
      <w:pPr>
        <w:pStyle w:val="Para 02"/>
      </w:pPr>
      <w:r>
        <w:t xml:space="preserve">A lightweight, open-source </w:t>
      </w:r>
      <w:hyperlink w:anchor="page_679">
        <w:r>
          <w:rPr>
            <w:rStyle w:val="Text2"/>
          </w:rPr>
          <w:t>DNS</w:t>
        </w:r>
      </w:hyperlink>
      <w:r>
        <w:t xml:space="preserve"> and </w:t>
      </w:r>
      <w:hyperlink w:anchor="page_678">
        <w:r>
          <w:rPr>
            <w:rStyle w:val="Text2"/>
          </w:rPr>
          <w:t>DHCP</w:t>
        </w:r>
      </w:hyperlink>
      <w:r>
        <w:t xml:space="preserve"> server software.</w:t>
      </w:r>
    </w:p>
    <w:p>
      <w:pPr>
        <w:pStyle w:val="Para 01"/>
      </w:pPr>
      <w:r>
        <w:t>DNSSEC</w:t>
      </w:r>
    </w:p>
    <w:p>
      <w:pPr>
        <w:pStyle w:val="Para 01"/>
      </w:pPr>
      <w:r>
        <w:t>Domain Name System Security Extensions</w:t>
      </w:r>
    </w:p>
    <w:p>
      <w:pPr>
        <w:pStyle w:val="Para 02"/>
      </w:pPr>
      <w:r>
        <w:t xml:space="preserve">DNSSEC is a set of security extensions to </w:t>
      </w:r>
      <w:hyperlink w:anchor="page_679">
        <w:r>
          <w:rPr>
            <w:rStyle w:val="Text2"/>
          </w:rPr>
          <w:t>DNS</w:t>
        </w:r>
      </w:hyperlink>
      <w:r>
        <w:t xml:space="preserve"> which allow DNS data to be verified for authenticity and integrity.</w:t>
      </w:r>
    </w:p>
    <w:p>
      <w:pPr>
        <w:pStyle w:val="Para 02"/>
      </w:pPr>
      <w:r>
        <w:t>Related topic(s):</w:t>
      </w:r>
    </w:p>
    <w:p>
      <w:pPr>
        <w:pStyle w:val="Para 06"/>
      </w:pPr>
      <w:r>
        <w:t>• Security</w:t>
      </w:r>
    </w:p>
    <w:p>
      <w:pPr>
        <w:pStyle w:val="Para 01"/>
      </w:pPr>
      <w:r>
        <w:t>Docker</w:t>
      </w:r>
    </w:p>
    <w:p>
      <w:pPr>
        <w:pStyle w:val="Para 02"/>
      </w:pPr>
      <w:r>
        <w:t>One of the most popular containerization platforms, which allows developers to pack-age applications – together with their dependencies – into lightweight containers. This provides a consistently reproducible environment for deploying applications.</w:t>
      </w:r>
    </w:p>
    <w:p>
      <w:pPr>
        <w:pStyle w:val="Para 02"/>
      </w:pPr>
      <w:r>
        <w:t>Related topic(s):</w:t>
      </w:r>
    </w:p>
    <w:p>
      <w:pPr>
        <w:pStyle w:val="Para 06"/>
      </w:pPr>
      <w:r>
        <w:t>• Containers</w:t>
      </w:r>
    </w:p>
    <w:p>
      <w:pPr>
        <w:pStyle w:val="Para 01"/>
      </w:pPr>
      <w:r>
        <w:t>DocumentRoot</w:t>
      </w:r>
    </w:p>
    <w:p>
      <w:pPr>
        <w:pStyle w:val="Para 02"/>
      </w:pPr>
      <w:r>
        <w:t>A directive in web server configuration files that specifies the directory on the server where web files are stored (root location).</w:t>
      </w:r>
    </w:p>
    <w:p>
      <w:pPr>
        <w:pStyle w:val="Para 01"/>
      </w:pPr>
      <w:r>
        <w:t>DoT</w:t>
      </w:r>
    </w:p>
    <w:p>
      <w:pPr>
        <w:pStyle w:val="Para 01"/>
      </w:pPr>
      <w:r>
        <w:t>DNS over TLS</w:t>
      </w:r>
    </w:p>
    <w:p>
      <w:bookmarkStart w:id="1052" w:name="page_6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2" name="index-680_1.png" descr="index-680_1.png"/>
            <wp:cNvGraphicFramePr>
              <a:graphicFrameLocks noChangeAspect="1"/>
            </wp:cNvGraphicFramePr>
            <a:graphic>
              <a:graphicData uri="http://schemas.openxmlformats.org/drawingml/2006/picture">
                <pic:pic>
                  <pic:nvPicPr>
                    <pic:cNvPr id="0" name="index-680_1.png" descr="index-680_1.png"/>
                    <pic:cNvPicPr/>
                  </pic:nvPicPr>
                  <pic:blipFill>
                    <a:blip r:embed="rId716"/>
                    <a:stretch>
                      <a:fillRect/>
                    </a:stretch>
                  </pic:blipFill>
                  <pic:spPr>
                    <a:xfrm>
                      <a:off x="0" y="0"/>
                      <a:ext cx="914400" cy="266700"/>
                    </a:xfrm>
                    <a:prstGeom prst="rect">
                      <a:avLst/>
                    </a:prstGeom>
                  </pic:spPr>
                </pic:pic>
              </a:graphicData>
            </a:graphic>
          </wp:anchor>
        </w:drawing>
      </w:r>
      <w:bookmarkEnd w:id="1052"/>
    </w:p>
    <w:p>
      <w:pPr>
        <w:pStyle w:val="Para 02"/>
      </w:pPr>
      <w:r>
        <w:t xml:space="preserve">DNS over TLS utilizes </w:t>
      </w:r>
      <w:hyperlink w:anchor="page_710">
        <w:r>
          <w:rPr>
            <w:rStyle w:val="Text2"/>
          </w:rPr>
          <w:t>Transport Layer Security (TLS)</w:t>
        </w:r>
      </w:hyperlink>
      <w:r>
        <w:t xml:space="preserve"> to encrypt the entire DNS connec-tion, rather than just the payload. DoT servers listen on TCP port 853.</w:t>
      </w:r>
    </w:p>
    <w:p>
      <w:pPr>
        <w:pStyle w:val="Para 02"/>
      </w:pPr>
      <w:r>
        <w:t>See also:</w:t>
      </w:r>
    </w:p>
    <w:p>
      <w:pPr>
        <w:pStyle w:val="Para 27"/>
      </w:pPr>
      <w:r>
        <w:rPr>
          <w:rStyle w:val="Text7"/>
        </w:rPr>
        <w:t xml:space="preserve">• </w:t>
      </w:r>
      <w:hyperlink r:id="rId1597">
        <w:r>
          <w:rPr>
            <w:rStyle w:val="Text10"/>
          </w:rPr>
          <w:t>694</w:t>
        </w:r>
      </w:hyperlink>
      <w:hyperlink r:id="rId1597">
        <w:r>
          <w:t xml:space="preserve"> RFC 7858</w:t>
        </w:r>
      </w:hyperlink>
    </w:p>
    <w:p>
      <w:pPr>
        <w:pStyle w:val="Para 02"/>
      </w:pPr>
      <w:r>
        <w:t>Related topic(s):</w:t>
      </w:r>
    </w:p>
    <w:p>
      <w:pPr>
        <w:pStyle w:val="Para 06"/>
      </w:pPr>
      <w:r>
        <w:t>• Networking</w:t>
      </w:r>
    </w:p>
    <w:p>
      <w:pPr>
        <w:pStyle w:val="Para 06"/>
      </w:pPr>
      <w:r>
        <w:t>• Security</w:t>
      </w:r>
    </w:p>
    <w:p>
      <w:pPr>
        <w:pStyle w:val="Para 01"/>
      </w:pPr>
      <w:r>
        <w:t>DoH</w:t>
      </w:r>
    </w:p>
    <w:p>
      <w:pPr>
        <w:pStyle w:val="Para 01"/>
      </w:pPr>
      <w:r>
        <w:t>DNS over HTTPS</w:t>
      </w:r>
    </w:p>
    <w:p>
      <w:pPr>
        <w:pStyle w:val="Para 02"/>
      </w:pPr>
      <w:r>
        <w:t xml:space="preserve">DNS over HTTPS is tunneling DNS query data over encrypted </w:t>
      </w:r>
      <w:hyperlink w:anchor="page_689">
        <w:r>
          <w:rPr>
            <w:rStyle w:val="Text2"/>
          </w:rPr>
          <w:t>HTTPS</w:t>
        </w:r>
      </w:hyperlink>
      <w:r>
        <w:t xml:space="preserve"> connections. It uses TCP port 443, and thus looks similar to web traffic.</w:t>
      </w:r>
    </w:p>
    <w:p>
      <w:pPr>
        <w:pStyle w:val="Para 02"/>
      </w:pPr>
      <w:r>
        <w:t>See also:</w:t>
      </w:r>
    </w:p>
    <w:p>
      <w:pPr>
        <w:pStyle w:val="Para 27"/>
      </w:pPr>
      <w:r>
        <w:rPr>
          <w:rStyle w:val="Text7"/>
        </w:rPr>
        <w:t xml:space="preserve">• </w:t>
      </w:r>
      <w:hyperlink r:id="rId1598">
        <w:r>
          <w:rPr>
            <w:rStyle w:val="Text10"/>
          </w:rPr>
          <w:t>695</w:t>
        </w:r>
      </w:hyperlink>
      <w:hyperlink r:id="rId1598">
        <w:r>
          <w:t xml:space="preserve"> RFC 8484</w:t>
        </w:r>
      </w:hyperlink>
    </w:p>
    <w:p>
      <w:pPr>
        <w:pStyle w:val="Para 02"/>
      </w:pPr>
      <w:r>
        <w:t>Related topic(s):</w:t>
      </w:r>
    </w:p>
    <w:p>
      <w:pPr>
        <w:pStyle w:val="Para 06"/>
      </w:pPr>
      <w:r>
        <w:t>• Networking</w:t>
      </w:r>
    </w:p>
    <w:p>
      <w:pPr>
        <w:pStyle w:val="Para 06"/>
      </w:pPr>
      <w:r>
        <w:t>• Security</w:t>
      </w:r>
    </w:p>
    <w:p>
      <w:pPr>
        <w:pStyle w:val="Para 01"/>
      </w:pPr>
      <w:r>
        <w:t>dpkg</w:t>
      </w:r>
    </w:p>
    <w:p>
      <w:pPr>
        <w:pStyle w:val="Para 02"/>
      </w:pPr>
      <w:r>
        <w:t>dpkg is a package manager for Debian-based systems. It can install, remove, and build packages, but unlike other package management systems, it cannot automatically download and install packages -– or their dependencies.</w:t>
      </w:r>
    </w:p>
    <w:p>
      <w:pPr>
        <w:pStyle w:val="Para 01"/>
      </w:pPr>
      <w:r>
        <w:t>DRBD</w:t>
      </w:r>
    </w:p>
    <w:p>
      <w:pPr>
        <w:pStyle w:val="Para 01"/>
      </w:pPr>
      <w:r>
        <w:t>Distributed Replicated Block Device</w:t>
      </w:r>
    </w:p>
    <w:p>
      <w:pPr>
        <w:pStyle w:val="Para 02"/>
      </w:pPr>
      <w:r>
        <w:t>A software-based storage solution for Linux that allows for the mirroring of block de-vices between multiple hosts. The replication is transparent to other applications on the host systems. Any block device hard disks, partitions, RAID devices, logical volumes, etc can be mirrored.</w:t>
      </w:r>
    </w:p>
    <w:p>
      <w:pPr>
        <w:pStyle w:val="Para 02"/>
      </w:pPr>
      <w:r>
        <w:t>Related topic(s):</w:t>
      </w:r>
    </w:p>
    <w:p>
      <w:pPr>
        <w:pStyle w:val="Para 06"/>
      </w:pPr>
      <w:r>
        <w:t>• Storage</w:t>
      </w:r>
    </w:p>
    <w:p>
      <w:pPr>
        <w:pStyle w:val="Para 01"/>
      </w:pPr>
      <w:r>
        <w:t>DTLS</w:t>
      </w:r>
    </w:p>
    <w:p>
      <w:pPr>
        <w:pStyle w:val="Para 01"/>
      </w:pPr>
      <w:r>
        <w:t>Datagram Transport Layer Security</w:t>
      </w:r>
    </w:p>
    <w:p>
      <w:pPr>
        <w:pStyle w:val="Para 02"/>
      </w:pPr>
      <w:r>
        <w:t xml:space="preserve">A protocol that provides security for datagram-based communication, such as </w:t>
      </w:r>
      <w:hyperlink w:anchor="page_711">
        <w:r>
          <w:rPr>
            <w:rStyle w:val="Text2"/>
          </w:rPr>
          <w:t>UDP</w:t>
        </w:r>
      </w:hyperlink>
      <w:r>
        <w:t>. It</w:t>
      </w:r>
    </w:p>
    <w:p>
      <w:pPr>
        <w:pStyle w:val="Para 02"/>
      </w:pPr>
      <w:r>
        <w:t xml:space="preserve">is designed to offer similar security features as </w:t>
      </w:r>
      <w:hyperlink w:anchor="page_710">
        <w:r>
          <w:rPr>
            <w:rStyle w:val="Text2"/>
          </w:rPr>
          <w:t>TLS</w:t>
        </w:r>
      </w:hyperlink>
      <w:r>
        <w:t xml:space="preserve"> but adapted for the connectionless nature of datagram protocols.</w:t>
      </w:r>
    </w:p>
    <w:p>
      <w:pPr>
        <w:pStyle w:val="Para 05"/>
      </w:pPr>
      <w:r>
        <w:rPr>
          <w:rStyle w:val="Text5"/>
        </w:rPr>
        <w:t>694</w:t>
      </w:r>
      <w:r>
        <w:rPr>
          <w:rStyle w:val="Text8"/>
        </w:rPr>
        <w:t xml:space="preserve"> </w:t>
      </w:r>
      <w:r>
        <w:t>https://datatracker.ietf.org/doc/html/rfc7858</w:t>
      </w:r>
    </w:p>
    <w:p>
      <w:pPr>
        <w:pStyle w:val="Para 05"/>
      </w:pPr>
      <w:r>
        <w:rPr>
          <w:rStyle w:val="Text5"/>
        </w:rPr>
        <w:t>695</w:t>
      </w:r>
      <w:r>
        <w:rPr>
          <w:rStyle w:val="Text8"/>
        </w:rPr>
        <w:t xml:space="preserve"> </w:t>
      </w:r>
      <w:r>
        <w:t>https://datatracker.ietf.org/doc/html/rfc8484</w:t>
      </w:r>
    </w:p>
    <w:p>
      <w:bookmarkStart w:id="1053" w:name="calibre_pb_186"/>
      <w:pPr>
        <w:pStyle w:val="0 Block"/>
      </w:pPr>
      <w:bookmarkEnd w:id="1053"/>
    </w:p>
    <w:p>
      <w:bookmarkStart w:id="1054" w:name="Top_of_index_split_187_html"/>
      <w:bookmarkStart w:id="1055" w:name="page_68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3" name="index-681_1.png" descr="index-681_1.png"/>
            <wp:cNvGraphicFramePr>
              <a:graphicFrameLocks noChangeAspect="1"/>
            </wp:cNvGraphicFramePr>
            <a:graphic>
              <a:graphicData uri="http://schemas.openxmlformats.org/drawingml/2006/picture">
                <pic:pic>
                  <pic:nvPicPr>
                    <pic:cNvPr id="0" name="index-681_1.png" descr="index-681_1.png"/>
                    <pic:cNvPicPr/>
                  </pic:nvPicPr>
                  <pic:blipFill>
                    <a:blip r:embed="rId717"/>
                    <a:stretch>
                      <a:fillRect/>
                    </a:stretch>
                  </pic:blipFill>
                  <pic:spPr>
                    <a:xfrm>
                      <a:off x="0" y="0"/>
                      <a:ext cx="914400" cy="266700"/>
                    </a:xfrm>
                    <a:prstGeom prst="rect">
                      <a:avLst/>
                    </a:prstGeom>
                  </pic:spPr>
                </pic:pic>
              </a:graphicData>
            </a:graphic>
          </wp:anchor>
        </w:drawing>
      </w:r>
      <w:bookmarkEnd w:id="1054"/>
      <w:bookmarkEnd w:id="1055"/>
    </w:p>
    <w:p>
      <w:bookmarkStart w:id="1056" w:name="E"/>
      <w:bookmarkStart w:id="1057" w:name="Top_of_index_split_188_html"/>
      <w:pPr>
        <w:pStyle w:val="Heading 1"/>
        <w:pageBreakBefore w:val="on"/>
      </w:pPr>
      <w:r>
        <w:t>E</w:t>
      </w:r>
      <w:bookmarkEnd w:id="1056"/>
      <w:bookmarkEnd w:id="1057"/>
    </w:p>
    <w:p>
      <w:pPr>
        <w:pStyle w:val="Para 17"/>
      </w:pPr>
      <w:r>
        <w:t/>
      </w:r>
    </w:p>
    <w:p>
      <w:pPr>
        <w:pStyle w:val="Para 01"/>
      </w:pPr>
      <w:r>
        <w:t>EAL</w:t>
      </w:r>
    </w:p>
    <w:p>
      <w:pPr>
        <w:pStyle w:val="Para 01"/>
      </w:pPr>
      <w:r>
        <w:t>Environment Abstraction Layer</w:t>
      </w:r>
    </w:p>
    <w:p>
      <w:pPr>
        <w:pStyle w:val="Para 02"/>
      </w:pPr>
      <w:r>
        <w:t>A software layer that provides a standardized interface between an operating system and the underlying hardware. It abstracts hardware-specific details, allowing software to run on different hardware platforms without modification.</w:t>
      </w:r>
    </w:p>
    <w:p>
      <w:pPr>
        <w:pStyle w:val="Para 01"/>
      </w:pPr>
      <w:r>
        <w:t>ECKD</w:t>
      </w:r>
    </w:p>
    <w:p>
      <w:pPr>
        <w:pStyle w:val="Para 01"/>
      </w:pPr>
      <w:r>
        <w:t>Extended Count Key Data</w:t>
      </w:r>
    </w:p>
    <w:p>
      <w:pPr>
        <w:pStyle w:val="Para 02"/>
      </w:pPr>
      <w:r>
        <w:t>A disk storage format used by IBM mainframe systems, which provides advanced fea-tures such as better error detection and correction, as well as enhanced management of data records.</w:t>
      </w:r>
    </w:p>
    <w:p>
      <w:pPr>
        <w:pStyle w:val="Para 01"/>
      </w:pPr>
      <w:r>
        <w:t>EFI</w:t>
      </w:r>
    </w:p>
    <w:p>
      <w:pPr>
        <w:pStyle w:val="Para 01"/>
      </w:pPr>
      <w:r>
        <w:t>Extensible Firmware Interface</w:t>
      </w:r>
    </w:p>
    <w:p>
      <w:pPr>
        <w:pStyle w:val="Para 02"/>
      </w:pPr>
      <w:r>
        <w:t>A type of firmware interface designed to initialize hardware and load the operating</w:t>
      </w:r>
    </w:p>
    <w:p>
      <w:pPr>
        <w:pStyle w:val="Para 02"/>
      </w:pPr>
      <w:r>
        <w:t xml:space="preserve">system during the boot process of a computer. Replacement for the older </w:t>
      </w:r>
      <w:hyperlink w:anchor="page_674">
        <w:r>
          <w:rPr>
            <w:rStyle w:val="Text2"/>
          </w:rPr>
          <w:t>BIOS</w:t>
        </w:r>
      </w:hyperlink>
      <w:r>
        <w:t xml:space="preserve"> and</w:t>
      </w:r>
    </w:p>
    <w:p>
      <w:pPr>
        <w:pStyle w:val="Para 02"/>
      </w:pPr>
      <w:r>
        <w:t xml:space="preserve">ancestor of the </w:t>
      </w:r>
      <w:hyperlink w:anchor="page_711">
        <w:r>
          <w:rPr>
            <w:rStyle w:val="Text2"/>
          </w:rPr>
          <w:t>UEFI</w:t>
        </w:r>
      </w:hyperlink>
      <w:r>
        <w:t>.</w:t>
      </w:r>
    </w:p>
    <w:p>
      <w:pPr>
        <w:pStyle w:val="Para 01"/>
      </w:pPr>
      <w:r>
        <w:t>ELinks</w:t>
      </w:r>
    </w:p>
    <w:p>
      <w:pPr>
        <w:pStyle w:val="Para 02"/>
      </w:pPr>
      <w:r>
        <w:t>A text-based web browser for Unix-like operating systems. It allows users to browse</w:t>
      </w:r>
    </w:p>
    <w:p>
      <w:pPr>
        <w:pStyle w:val="Para 02"/>
      </w:pPr>
      <w:r>
        <w:t xml:space="preserve">the web in a terminal, making it ideal for environments without a </w:t>
      </w:r>
      <w:hyperlink w:anchor="page_687">
        <w:r>
          <w:rPr>
            <w:rStyle w:val="Text2"/>
          </w:rPr>
          <w:t>GUI</w:t>
        </w:r>
      </w:hyperlink>
      <w:r>
        <w:t>.</w:t>
      </w:r>
    </w:p>
    <w:p>
      <w:pPr>
        <w:pStyle w:val="Para 01"/>
      </w:pPr>
      <w:r>
        <w:t>Engenio</w:t>
      </w:r>
    </w:p>
    <w:p>
      <w:pPr>
        <w:pStyle w:val="Para 02"/>
      </w:pPr>
      <w:r>
        <w:t xml:space="preserve">A company that developed and manufactured storage systems including </w:t>
      </w:r>
      <w:hyperlink w:anchor="page_704">
        <w:r>
          <w:rPr>
            <w:rStyle w:val="Text2"/>
          </w:rPr>
          <w:t>SAN</w:t>
        </w:r>
      </w:hyperlink>
      <w:r>
        <w:t xml:space="preserve"> and </w:t>
      </w:r>
      <w:hyperlink w:anchor="page_696">
        <w:r>
          <w:rPr>
            <w:rStyle w:val="Text2"/>
          </w:rPr>
          <w:t>NAS</w:t>
        </w:r>
      </w:hyperlink>
      <w:r>
        <w:t>. Later acquired by LSI Corporation and then by Seagate Technology.</w:t>
      </w:r>
    </w:p>
    <w:p>
      <w:pPr>
        <w:pStyle w:val="Para 01"/>
      </w:pPr>
      <w:r>
        <w:t>EOL</w:t>
      </w:r>
    </w:p>
    <w:p>
      <w:pPr>
        <w:pStyle w:val="Para 01"/>
      </w:pPr>
      <w:r>
        <w:t>End of life</w:t>
      </w:r>
    </w:p>
    <w:p>
      <w:pPr>
        <w:pStyle w:val="Para 02"/>
      </w:pPr>
      <w:r>
        <w:t>When a product, service, software is no longer supported or maintained.</w:t>
      </w:r>
    </w:p>
    <w:p>
      <w:pPr>
        <w:pStyle w:val="Para 01"/>
      </w:pPr>
      <w:r>
        <w:t>ERD</w:t>
      </w:r>
    </w:p>
    <w:p>
      <w:pPr>
        <w:pStyle w:val="Para 01"/>
      </w:pPr>
      <w:r>
        <w:t>Enterprise Ready Drivers</w:t>
      </w:r>
    </w:p>
    <w:p>
      <w:pPr>
        <w:pStyle w:val="Para 02"/>
      </w:pPr>
      <w:r>
        <w:t>Drivers that are specifically designed and optimized for use in enterprise environments, where stability, performance, and reliability are critical.</w:t>
      </w:r>
    </w:p>
    <w:p>
      <w:pPr>
        <w:pStyle w:val="Para 01"/>
      </w:pPr>
      <w:r>
        <w:t>ESM</w:t>
      </w:r>
    </w:p>
    <w:p>
      <w:pPr>
        <w:pStyle w:val="Para 01"/>
      </w:pPr>
      <w:r>
        <w:t>Expanded Security Maintenance</w:t>
      </w:r>
    </w:p>
    <w:p>
      <w:pPr>
        <w:pStyle w:val="Para 02"/>
      </w:pPr>
      <w:r>
        <w:t xml:space="preserve">A service provided by Canonical to extend security updates and patches for older </w:t>
      </w:r>
      <w:hyperlink w:anchor="page_693">
        <w:r>
          <w:rPr>
            <w:rStyle w:val="Text2"/>
          </w:rPr>
          <w:t>LTS</w:t>
        </w:r>
      </w:hyperlink>
      <w:r>
        <w:t xml:space="preserve"> releases of the Ubuntu operating system after the LTS standard support period has ended.</w:t>
      </w:r>
    </w:p>
    <w:p>
      <w:pPr>
        <w:pStyle w:val="Para 01"/>
      </w:pPr>
      <w:r>
        <w:t>ESXi</w:t>
      </w:r>
    </w:p>
    <w:p>
      <w:pPr>
        <w:pStyle w:val="Para 02"/>
      </w:pPr>
      <w:r>
        <w:t>A bare-metal virtualization platform created by VMWare that enables multiple virtual machines to operate on a single physical server.</w:t>
      </w:r>
    </w:p>
    <w:p>
      <w:bookmarkStart w:id="1058" w:name="calibre_pb_188"/>
      <w:pPr>
        <w:pStyle w:val="0 Block"/>
      </w:pPr>
      <w:bookmarkEnd w:id="1058"/>
    </w:p>
    <w:p>
      <w:bookmarkStart w:id="1059" w:name="Top_of_index_split_189_html"/>
      <w:bookmarkStart w:id="1060" w:name="page_68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4" name="index-682_1.png" descr="index-682_1.png"/>
            <wp:cNvGraphicFramePr>
              <a:graphicFrameLocks noChangeAspect="1"/>
            </wp:cNvGraphicFramePr>
            <a:graphic>
              <a:graphicData uri="http://schemas.openxmlformats.org/drawingml/2006/picture">
                <pic:pic>
                  <pic:nvPicPr>
                    <pic:cNvPr id="0" name="index-682_1.png" descr="index-682_1.png"/>
                    <pic:cNvPicPr/>
                  </pic:nvPicPr>
                  <pic:blipFill>
                    <a:blip r:embed="rId718"/>
                    <a:stretch>
                      <a:fillRect/>
                    </a:stretch>
                  </pic:blipFill>
                  <pic:spPr>
                    <a:xfrm>
                      <a:off x="0" y="0"/>
                      <a:ext cx="914400" cy="266700"/>
                    </a:xfrm>
                    <a:prstGeom prst="rect">
                      <a:avLst/>
                    </a:prstGeom>
                  </pic:spPr>
                </pic:pic>
              </a:graphicData>
            </a:graphic>
          </wp:anchor>
        </w:drawing>
      </w:r>
      <w:bookmarkEnd w:id="1059"/>
      <w:bookmarkEnd w:id="1060"/>
    </w:p>
    <w:p>
      <w:bookmarkStart w:id="1061" w:name="Top_of_index_split_190_html"/>
      <w:bookmarkStart w:id="1062" w:name="F"/>
      <w:pPr>
        <w:pStyle w:val="Heading 1"/>
        <w:pageBreakBefore w:val="on"/>
      </w:pPr>
      <w:r>
        <w:t>F</w:t>
      </w:r>
      <w:bookmarkEnd w:id="1061"/>
      <w:bookmarkEnd w:id="1062"/>
    </w:p>
    <w:p>
      <w:pPr>
        <w:pStyle w:val="Para 17"/>
      </w:pPr>
      <w:r>
        <w:t/>
      </w:r>
    </w:p>
    <w:p>
      <w:pPr>
        <w:pStyle w:val="Para 01"/>
      </w:pPr>
      <w:r>
        <w:t>failover</w:t>
      </w:r>
    </w:p>
    <w:p>
      <w:pPr>
        <w:pStyle w:val="Para 02"/>
      </w:pPr>
      <w:r>
        <w:t xml:space="preserve">In a </w:t>
      </w:r>
      <w:hyperlink w:anchor="page_704">
        <w:r>
          <w:rPr>
            <w:rStyle w:val="Text2"/>
          </w:rPr>
          <w:t>Storage Area Network (SAN)</w:t>
        </w:r>
      </w:hyperlink>
      <w:r>
        <w:t xml:space="preserve"> environment, this occurs when data flows into an al-ternative I/O path because a cable, switch, or controller in the current path failed.</w:t>
      </w:r>
    </w:p>
    <w:p>
      <w:pPr>
        <w:pStyle w:val="Para 02"/>
      </w:pPr>
      <w:r>
        <w:t>It is a common feature in high availability environments and is handled (usually auto-matically) by multipathing software.</w:t>
      </w:r>
    </w:p>
    <w:p>
      <w:pPr>
        <w:pStyle w:val="Para 01"/>
      </w:pPr>
      <w:r>
        <w:t>fallbacks</w:t>
      </w:r>
    </w:p>
    <w:p>
      <w:pPr>
        <w:pStyle w:val="Para 02"/>
      </w:pPr>
      <w:r>
        <w:t>This is a manual or automatic switch to an alternative method, when the primary option fails or is less preferred.</w:t>
      </w:r>
    </w:p>
    <w:p>
      <w:pPr>
        <w:pStyle w:val="Para 01"/>
      </w:pPr>
      <w:r>
        <w:t>FastCGI</w:t>
      </w:r>
    </w:p>
    <w:p>
      <w:pPr>
        <w:pStyle w:val="Para 01"/>
      </w:pPr>
      <w:r>
        <w:t>Fast Common Gateway Interface</w:t>
      </w:r>
    </w:p>
    <w:p>
      <w:pPr>
        <w:pStyle w:val="Para 02"/>
      </w:pPr>
      <w:r>
        <w:t xml:space="preserve">FastCGI is an extension of the </w:t>
      </w:r>
      <w:hyperlink w:anchor="page_675">
        <w:r>
          <w:rPr>
            <w:rStyle w:val="Text2"/>
          </w:rPr>
          <w:t>CGI</w:t>
        </w:r>
      </w:hyperlink>
      <w:r>
        <w:t xml:space="preserve"> protocol that starts a persistent FastCGI application process, allowing it to handle multiple requests instead of starting a new process for each request as a traditional CGI does.</w:t>
      </w:r>
    </w:p>
    <w:p>
      <w:pPr>
        <w:pStyle w:val="Para 01"/>
      </w:pPr>
      <w:r>
        <w:t>FC</w:t>
      </w:r>
    </w:p>
    <w:p>
      <w:pPr>
        <w:pStyle w:val="Para 01"/>
      </w:pPr>
      <w:r>
        <w:t>Fiber Channel</w:t>
      </w:r>
    </w:p>
    <w:p>
      <w:pPr>
        <w:pStyle w:val="Para 02"/>
      </w:pPr>
      <w:r>
        <w:t>FC is a storage networking protocol used for low-latency communication between a</w:t>
      </w:r>
    </w:p>
    <w:p>
      <w:pPr>
        <w:pStyle w:val="Para 02"/>
      </w:pPr>
      <w:r>
        <w:t xml:space="preserve">storage device and a node in a </w:t>
      </w:r>
      <w:hyperlink w:anchor="page_704">
        <w:r>
          <w:rPr>
            <w:rStyle w:val="Text2"/>
          </w:rPr>
          <w:t>Storage Area Network (SAN)</w:t>
        </w:r>
      </w:hyperlink>
      <w:hyperlink w:anchor="page_704">
        <w:r>
          <w:rPr>
            <w:rStyle w:val="Text1"/>
          </w:rPr>
          <w:t>.</w:t>
        </w:r>
      </w:hyperlink>
    </w:p>
    <w:p>
      <w:pPr>
        <w:pStyle w:val="Para 01"/>
      </w:pPr>
      <w:r>
        <w:t>FDE</w:t>
      </w:r>
    </w:p>
    <w:p>
      <w:pPr>
        <w:pStyle w:val="Para 01"/>
      </w:pPr>
      <w:r>
        <w:t>Full-Disk Encryption</w:t>
      </w:r>
    </w:p>
    <w:p>
      <w:pPr>
        <w:pStyle w:val="Para 02"/>
      </w:pPr>
      <w:r>
        <w:t>FDE is a security method that encrypts data at rest on an entire storage device or vol-ume.</w:t>
      </w:r>
    </w:p>
    <w:p>
      <w:pPr>
        <w:pStyle w:val="Para 01"/>
      </w:pPr>
      <w:r>
        <w:t>FHS</w:t>
      </w:r>
    </w:p>
    <w:p>
      <w:pPr>
        <w:pStyle w:val="Para 01"/>
      </w:pPr>
      <w:r>
        <w:t>Filesystem Hierarchy Standard</w:t>
      </w:r>
    </w:p>
    <w:p>
      <w:pPr>
        <w:pStyle w:val="Para 02"/>
      </w:pPr>
      <w:r>
        <w:t>FHS is a standard that defines the directory structure and contents in Linux and Unix-like operating systems.</w:t>
      </w:r>
    </w:p>
    <w:p>
      <w:pPr>
        <w:pStyle w:val="Para 01"/>
      </w:pPr>
      <w:r>
        <w:t>Fileset</w:t>
      </w:r>
    </w:p>
    <w:p>
      <w:pPr>
        <w:pStyle w:val="Para 02"/>
      </w:pPr>
      <w:r>
        <w:t>A fileset defines a group of directories that will be included when performing a backup job using Bacula.</w:t>
      </w:r>
    </w:p>
    <w:p>
      <w:pPr>
        <w:pStyle w:val="Para 02"/>
      </w:pPr>
      <w:r>
        <w:t>Related topic(s):</w:t>
      </w:r>
    </w:p>
    <w:p>
      <w:pPr>
        <w:pStyle w:val="Para 06"/>
      </w:pPr>
      <w:r>
        <w:t>• Storage</w:t>
      </w:r>
    </w:p>
    <w:p>
      <w:pPr>
        <w:pStyle w:val="Para 01"/>
      </w:pPr>
      <w:r>
        <w:t>filesystem</w:t>
      </w:r>
    </w:p>
    <w:p>
      <w:pPr>
        <w:pStyle w:val="Para 02"/>
      </w:pPr>
      <w:r>
        <w:t>A filesystem defines how data is organized, stored, and accessed on a storage device.</w:t>
      </w:r>
    </w:p>
    <w:p>
      <w:pPr>
        <w:pStyle w:val="Para 02"/>
      </w:pPr>
      <w:r>
        <w:t>Related topic(s):</w:t>
      </w:r>
    </w:p>
    <w:p>
      <w:pPr>
        <w:pStyle w:val="Para 06"/>
      </w:pPr>
      <w:r>
        <w:t>• Storage</w:t>
      </w:r>
    </w:p>
    <w:p>
      <w:pPr>
        <w:pStyle w:val="Para 01"/>
      </w:pPr>
      <w:r>
        <w:t>FTP</w:t>
      </w:r>
    </w:p>
    <w:p>
      <w:pPr>
        <w:pStyle w:val="Para 01"/>
      </w:pPr>
      <w:r>
        <w:t>File Transfer Protocol</w:t>
      </w:r>
    </w:p>
    <w:p>
      <w:pPr>
        <w:pStyle w:val="Para 02"/>
      </w:pPr>
      <w:r>
        <w:t>It is one of the tools used to move files between computers. FTP was created in 1970s. It is not secure as it transfers files, usernames, and passwords in plain text. It uses port 21. Use only with legacy systems. Avoid unless wrapped in a secure network.</w:t>
      </w:r>
    </w:p>
    <w:p>
      <w:pPr>
        <w:pStyle w:val="Para 02"/>
      </w:pPr>
      <w:r>
        <w:t>Related topic(s):</w:t>
      </w:r>
    </w:p>
    <w:p>
      <w:pPr>
        <w:pStyle w:val="Para 26"/>
      </w:pPr>
      <w:r>
        <w:rPr>
          <w:rStyle w:val="Text4"/>
        </w:rPr>
        <w:t xml:space="preserve">• </w:t>
      </w:r>
      <w:hyperlink w:anchor="page_705">
        <w:r>
          <w:t>SFTP</w:t>
        </w:r>
      </w:hyperlink>
    </w:p>
    <w:p>
      <w:bookmarkStart w:id="1063" w:name="page_6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5" name="index-683_1.png" descr="index-683_1.png"/>
            <wp:cNvGraphicFramePr>
              <a:graphicFrameLocks noChangeAspect="1"/>
            </wp:cNvGraphicFramePr>
            <a:graphic>
              <a:graphicData uri="http://schemas.openxmlformats.org/drawingml/2006/picture">
                <pic:pic>
                  <pic:nvPicPr>
                    <pic:cNvPr id="0" name="index-683_1.png" descr="index-683_1.png"/>
                    <pic:cNvPicPr/>
                  </pic:nvPicPr>
                  <pic:blipFill>
                    <a:blip r:embed="rId719"/>
                    <a:stretch>
                      <a:fillRect/>
                    </a:stretch>
                  </pic:blipFill>
                  <pic:spPr>
                    <a:xfrm>
                      <a:off x="0" y="0"/>
                      <a:ext cx="914400" cy="266700"/>
                    </a:xfrm>
                    <a:prstGeom prst="rect">
                      <a:avLst/>
                    </a:prstGeom>
                  </pic:spPr>
                </pic:pic>
              </a:graphicData>
            </a:graphic>
          </wp:anchor>
        </w:drawing>
      </w:r>
      <w:bookmarkEnd w:id="1063"/>
    </w:p>
    <w:p>
      <w:pPr>
        <w:pStyle w:val="Para 26"/>
      </w:pPr>
      <w:r>
        <w:rPr>
          <w:rStyle w:val="Text4"/>
        </w:rPr>
        <w:t xml:space="preserve">• </w:t>
      </w:r>
      <w:hyperlink w:anchor="page_703">
        <w:r>
          <w:t>rsync</w:t>
        </w:r>
      </w:hyperlink>
    </w:p>
    <w:p>
      <w:pPr>
        <w:pStyle w:val="Para 26"/>
      </w:pPr>
      <w:r>
        <w:rPr>
          <w:rStyle w:val="Text4"/>
        </w:rPr>
        <w:t xml:space="preserve">• </w:t>
      </w:r>
      <w:hyperlink w:anchor="page_705">
        <w:r>
          <w:t>SCP</w:t>
        </w:r>
      </w:hyperlink>
    </w:p>
    <w:p>
      <w:pPr>
        <w:pStyle w:val="Para 01"/>
      </w:pPr>
      <w:r>
        <w:t>FIPS</w:t>
      </w:r>
    </w:p>
    <w:p>
      <w:pPr>
        <w:pStyle w:val="Para 01"/>
      </w:pPr>
      <w:r>
        <w:t>Federal Information Processing Standard</w:t>
      </w:r>
    </w:p>
    <w:p>
      <w:pPr>
        <w:pStyle w:val="Para 02"/>
      </w:pPr>
      <w:r>
        <w:t>A set of publicly-announced US government standards for codes, data security and en-cryption.</w:t>
      </w:r>
    </w:p>
    <w:p>
      <w:pPr>
        <w:pStyle w:val="Para 02"/>
      </w:pPr>
      <w:r>
        <w:t>See also:</w:t>
      </w:r>
    </w:p>
    <w:p>
      <w:pPr>
        <w:pStyle w:val="Para 27"/>
      </w:pPr>
      <w:r>
        <w:rPr>
          <w:rStyle w:val="Text7"/>
        </w:rPr>
        <w:t xml:space="preserve">• </w:t>
      </w:r>
      <w:hyperlink w:anchor="page_683">
        <w:r>
          <w:rPr>
            <w:rStyle w:val="Text10"/>
          </w:rPr>
          <w:t>696</w:t>
        </w:r>
      </w:hyperlink>
      <w:r>
        <w:rPr>
          <w:rStyle w:val="Text7"/>
        </w:rPr>
        <w:t xml:space="preserve"> </w:t>
      </w:r>
      <w:hyperlink r:id="rId1599">
        <w:r>
          <w:t>NIST</w:t>
        </w:r>
      </w:hyperlink>
    </w:p>
    <w:p>
      <w:pPr>
        <w:pStyle w:val="Para 01"/>
      </w:pPr>
      <w:r>
        <w:t>Fluentd</w:t>
      </w:r>
    </w:p>
    <w:p>
      <w:pPr>
        <w:pStyle w:val="Para 02"/>
      </w:pPr>
      <w:r>
        <w:t>Fluentd is a data collection platform that gathers events from a container for later anal-ysis on other platforms.</w:t>
      </w:r>
    </w:p>
    <w:p>
      <w:pPr>
        <w:pStyle w:val="Para 02"/>
      </w:pPr>
      <w:r>
        <w:t>Related topic(s):</w:t>
      </w:r>
    </w:p>
    <w:p>
      <w:pPr>
        <w:pStyle w:val="Para 06"/>
      </w:pPr>
      <w:r>
        <w:t>• Observability, Containers</w:t>
      </w:r>
    </w:p>
    <w:p>
      <w:pPr>
        <w:pStyle w:val="Para 01"/>
      </w:pPr>
      <w:r>
        <w:t>FQDN</w:t>
      </w:r>
    </w:p>
    <w:p>
      <w:pPr>
        <w:pStyle w:val="Para 01"/>
      </w:pPr>
      <w:r>
        <w:t>Fully Qualified Domain Name</w:t>
      </w:r>
    </w:p>
    <w:p>
      <w:pPr>
        <w:pStyle w:val="Para 02"/>
      </w:pPr>
      <w:r>
        <w:t>A FQDN represents a complete name that specifies the exact location of a host within</w:t>
      </w:r>
    </w:p>
    <w:p>
      <w:pPr>
        <w:pStyle w:val="Para 02"/>
      </w:pPr>
      <w:r>
        <w:t xml:space="preserve">the </w:t>
      </w:r>
      <w:hyperlink w:anchor="page_679">
        <w:r>
          <w:rPr>
            <w:rStyle w:val="Text2"/>
          </w:rPr>
          <w:t>DNS</w:t>
        </w:r>
      </w:hyperlink>
      <w:r>
        <w:t xml:space="preserve"> hierarchy.</w:t>
      </w:r>
    </w:p>
    <w:p>
      <w:pPr>
        <w:pStyle w:val="Para 02"/>
      </w:pPr>
      <w:r>
        <w:t>Related topic(s):</w:t>
      </w:r>
    </w:p>
    <w:p>
      <w:pPr>
        <w:pStyle w:val="Para 06"/>
      </w:pPr>
      <w:r>
        <w:t>• Networking</w:t>
      </w:r>
    </w:p>
    <w:p>
      <w:pPr>
        <w:pStyle w:val="Para 01"/>
      </w:pPr>
      <w:r>
        <w:t>FreeIPA</w:t>
      </w:r>
    </w:p>
    <w:p>
      <w:pPr>
        <w:pStyle w:val="Para 01"/>
      </w:pPr>
      <w:r>
        <w:t>Free Identity, Policy, and Audit</w:t>
      </w:r>
    </w:p>
    <w:p>
      <w:pPr>
        <w:pStyle w:val="Para 02"/>
      </w:pPr>
      <w:r>
        <w:t>FreeIPA is an open-source security solution for Linux/Unix-like systems that stores user</w:t>
      </w:r>
    </w:p>
    <w:p>
      <w:pPr>
        <w:pStyle w:val="Para 02"/>
      </w:pPr>
      <w:r>
        <w:t xml:space="preserve">identities in an </w:t>
      </w:r>
      <w:hyperlink w:anchor="page_693">
        <w:r>
          <w:rPr>
            <w:rStyle w:val="Text2"/>
          </w:rPr>
          <w:t>LDAP</w:t>
        </w:r>
      </w:hyperlink>
      <w:r>
        <w:t xml:space="preserve"> directory, manages a </w:t>
      </w:r>
      <w:hyperlink w:anchor="page_675">
        <w:r>
          <w:rPr>
            <w:rStyle w:val="Text2"/>
          </w:rPr>
          <w:t>CA</w:t>
        </w:r>
      </w:hyperlink>
      <w:hyperlink w:anchor="page_675">
        <w:r>
          <w:rPr>
            <w:rStyle w:val="Text1"/>
          </w:rPr>
          <w:t xml:space="preserve">, </w:t>
        </w:r>
      </w:hyperlink>
      <w:r>
        <w:t>and enables authentication, policy en-</w:t>
      </w:r>
    </w:p>
    <w:p>
      <w:pPr>
        <w:pStyle w:val="Para 02"/>
      </w:pPr>
      <w:r>
        <w:t xml:space="preserve">forcement, and auditing through integrations with </w:t>
      </w:r>
      <w:hyperlink w:anchor="page_707">
        <w:r>
          <w:rPr>
            <w:rStyle w:val="Text2"/>
          </w:rPr>
          <w:t>SSSD</w:t>
        </w:r>
      </w:hyperlink>
      <w:r>
        <w:t xml:space="preserve"> and </w:t>
      </w:r>
      <w:hyperlink w:anchor="page_692">
        <w:r>
          <w:rPr>
            <w:rStyle w:val="Text2"/>
          </w:rPr>
          <w:t>Kerberos</w:t>
        </w:r>
      </w:hyperlink>
      <w:r>
        <w:t>.</w:t>
      </w:r>
    </w:p>
    <w:p>
      <w:pPr>
        <w:pStyle w:val="Para 02"/>
      </w:pPr>
      <w:r>
        <w:t>Related topic(s):</w:t>
      </w:r>
    </w:p>
    <w:p>
      <w:pPr>
        <w:pStyle w:val="Para 06"/>
      </w:pPr>
      <w:r>
        <w:t>• Security, OpenLDAP</w:t>
      </w:r>
    </w:p>
    <w:p>
      <w:pPr>
        <w:pStyle w:val="Para 01"/>
      </w:pPr>
      <w:r>
        <w:t>Freenode</w:t>
      </w:r>
    </w:p>
    <w:p>
      <w:pPr>
        <w:pStyle w:val="Para 02"/>
      </w:pPr>
      <w:r>
        <w:t xml:space="preserve">Freenode is an open-source </w:t>
      </w:r>
      <w:hyperlink w:anchor="page_691">
        <w:r>
          <w:rPr>
            <w:rStyle w:val="Text2"/>
          </w:rPr>
          <w:t>Internet Relay Chat (IRC)</w:t>
        </w:r>
      </w:hyperlink>
      <w:r>
        <w:t xml:space="preserve"> platform used by many open-source communities for real-time discussions.</w:t>
      </w:r>
    </w:p>
    <w:p>
      <w:pPr>
        <w:pStyle w:val="Para 01"/>
      </w:pPr>
      <w:r>
        <w:t>frontend</w:t>
      </w:r>
    </w:p>
    <w:p>
      <w:pPr>
        <w:pStyle w:val="Para 02"/>
      </w:pPr>
      <w:r>
        <w:t>A frontend is a user-friendly interface for managing a complex system.</w:t>
      </w:r>
    </w:p>
    <w:p>
      <w:pPr>
        <w:pStyle w:val="Para 06"/>
      </w:pPr>
      <w:r>
        <w:t>• In firewall management, a frontend like ufw simplifies configuring iptables.</w:t>
      </w:r>
    </w:p>
    <w:p>
      <w:pPr>
        <w:pStyle w:val="Para 06"/>
      </w:pPr>
      <w:r>
        <w:t>• In QEMU/KVM graphics, a frontend is the virtual graphic adapter presented to the</w:t>
      </w:r>
    </w:p>
    <w:p>
      <w:pPr>
        <w:pStyle w:val="Para 11"/>
      </w:pPr>
      <w:r>
        <w:t xml:space="preserve">guest </w:t>
      </w:r>
      <w:hyperlink w:anchor="page_698">
        <w:r>
          <w:rPr>
            <w:rStyle w:val="Text2"/>
          </w:rPr>
          <w:t>OS</w:t>
        </w:r>
      </w:hyperlink>
      <w:r>
        <w:t>, allowing it to process and store graphical output in memory. The guest</w:t>
      </w:r>
    </w:p>
    <w:p>
      <w:pPr>
        <w:pStyle w:val="Para 11"/>
      </w:pPr>
      <w:r>
        <w:t xml:space="preserve">OS treats it like a </w:t>
      </w:r>
      <w:hyperlink w:anchor="page_686">
        <w:r>
          <w:rPr>
            <w:rStyle w:val="Text2"/>
          </w:rPr>
          <w:t>GPU</w:t>
        </w:r>
      </w:hyperlink>
      <w:r>
        <w:t xml:space="preserve"> , while the host determines how to display the output using</w:t>
      </w:r>
    </w:p>
    <w:p>
      <w:pPr>
        <w:pStyle w:val="Para 57"/>
      </w:pPr>
      <w:r>
        <w:rPr>
          <w:rStyle w:val="Text4"/>
        </w:rPr>
        <w:t xml:space="preserve">the </w:t>
      </w:r>
      <w:hyperlink w:anchor="page_674">
        <w:r>
          <w:t>backend</w:t>
        </w:r>
      </w:hyperlink>
      <w:r>
        <w:rPr>
          <w:rStyle w:val="Text4"/>
        </w:rPr>
        <w:t>.</w:t>
      </w:r>
    </w:p>
    <w:p>
      <w:pPr>
        <w:pStyle w:val="Para 06"/>
      </w:pPr>
      <w:r>
        <w:t>• In LDAP, the frontend is a unique database that defines global default settings,</w:t>
      </w:r>
    </w:p>
    <w:p>
      <w:pPr>
        <w:pStyle w:val="Para 11"/>
      </w:pPr>
      <w:r>
        <w:t>such as who the admin user is, who can access database entries, or the limit on the</w:t>
      </w:r>
    </w:p>
    <w:p>
      <w:pPr>
        <w:pStyle w:val="Para 11"/>
      </w:pPr>
      <w:r>
        <w:t xml:space="preserve">number of search results. These settings apply to all LDAP databases inside </w:t>
      </w:r>
      <w:hyperlink w:anchor="page_706">
        <w:r>
          <w:rPr>
            <w:rStyle w:val="Text2"/>
          </w:rPr>
          <w:t>slapd</w:t>
        </w:r>
      </w:hyperlink>
      <w:r>
        <w:t xml:space="preserve"> , unless overridden.</w:t>
      </w:r>
    </w:p>
    <w:p>
      <w:pPr>
        <w:pStyle w:val="Para 05"/>
      </w:pPr>
      <w:r>
        <w:rPr>
          <w:rStyle w:val="Text5"/>
        </w:rPr>
        <w:t>696</w:t>
      </w:r>
      <w:r>
        <w:rPr>
          <w:rStyle w:val="Text8"/>
        </w:rPr>
        <w:t xml:space="preserve"> </w:t>
      </w:r>
      <w:r>
        <w:t>https://en.wikipedia.org/wiki/National_Institute_of_Standards_and_Technology</w:t>
      </w:r>
    </w:p>
    <w:p>
      <w:bookmarkStart w:id="1064" w:name="page_6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6" name="index-684_1.png" descr="index-684_1.png"/>
            <wp:cNvGraphicFramePr>
              <a:graphicFrameLocks noChangeAspect="1"/>
            </wp:cNvGraphicFramePr>
            <a:graphic>
              <a:graphicData uri="http://schemas.openxmlformats.org/drawingml/2006/picture">
                <pic:pic>
                  <pic:nvPicPr>
                    <pic:cNvPr id="0" name="index-684_1.png" descr="index-684_1.png"/>
                    <pic:cNvPicPr/>
                  </pic:nvPicPr>
                  <pic:blipFill>
                    <a:blip r:embed="rId720"/>
                    <a:stretch>
                      <a:fillRect/>
                    </a:stretch>
                  </pic:blipFill>
                  <pic:spPr>
                    <a:xfrm>
                      <a:off x="0" y="0"/>
                      <a:ext cx="914400" cy="266700"/>
                    </a:xfrm>
                    <a:prstGeom prst="rect">
                      <a:avLst/>
                    </a:prstGeom>
                  </pic:spPr>
                </pic:pic>
              </a:graphicData>
            </a:graphic>
          </wp:anchor>
        </w:drawing>
      </w:r>
      <w:bookmarkEnd w:id="1064"/>
    </w:p>
    <w:p>
      <w:pPr>
        <w:pStyle w:val="Para 02"/>
      </w:pPr>
      <w:r>
        <w:t>Related topic(s):</w:t>
      </w:r>
    </w:p>
    <w:p>
      <w:pPr>
        <w:pStyle w:val="Para 06"/>
      </w:pPr>
      <w:r>
        <w:t>• Virtualization and containers, Security, OpenLDAP</w:t>
      </w:r>
    </w:p>
    <w:p>
      <w:pPr>
        <w:pStyle w:val="Para 01"/>
      </w:pPr>
      <w:r>
        <w:t>fsck</w:t>
      </w:r>
    </w:p>
    <w:p>
      <w:pPr>
        <w:pStyle w:val="Para 01"/>
      </w:pPr>
      <w:r>
        <w:t>File System Check</w:t>
      </w:r>
    </w:p>
    <w:p>
      <w:pPr>
        <w:pStyle w:val="Para 02"/>
      </w:pPr>
      <w:r>
        <w:t xml:space="preserve">fsck is a Linux/Unix-like system utility tool that checks for, and repairs, any </w:t>
      </w:r>
      <w:hyperlink w:anchor="page_682">
        <w:r>
          <w:rPr>
            <w:rStyle w:val="Text2"/>
          </w:rPr>
          <w:t>filesystem</w:t>
        </w:r>
      </w:hyperlink>
      <w:r>
        <w:t xml:space="preserve"> errors.</w:t>
      </w:r>
    </w:p>
    <w:p>
      <w:pPr>
        <w:pStyle w:val="Para 02"/>
      </w:pPr>
      <w:r>
        <w:t>Related topic(s):</w:t>
      </w:r>
    </w:p>
    <w:p>
      <w:pPr>
        <w:pStyle w:val="Para 06"/>
      </w:pPr>
      <w:r>
        <w:t>• Storage</w:t>
      </w:r>
    </w:p>
    <w:p>
      <w:pPr>
        <w:pStyle w:val="Para 01"/>
      </w:pPr>
      <w:r>
        <w:t>FULLTEXT</w:t>
      </w:r>
    </w:p>
    <w:p>
      <w:pPr>
        <w:pStyle w:val="Para 02"/>
      </w:pPr>
      <w:r>
        <w:t>FULLTEXT is an index type that allows for fast indexing and searching large quantities of text. It takes a sentence, splits it into words, and links them to row IDs. When a search query for a word is made, MySQL quickly looks up the row the word appear in, and retrieves all matching row IDs, rather than scanning the entire table. It can also find similar words using natural language processing.</w:t>
      </w:r>
    </w:p>
    <w:p>
      <w:pPr>
        <w:pStyle w:val="Para 02"/>
      </w:pPr>
      <w:r>
        <w:t>See also:</w:t>
      </w:r>
    </w:p>
    <w:p>
      <w:pPr>
        <w:pStyle w:val="Para 27"/>
      </w:pPr>
      <w:r>
        <w:rPr>
          <w:rStyle w:val="Text7"/>
        </w:rPr>
        <w:t xml:space="preserve">• </w:t>
      </w:r>
      <w:hyperlink w:anchor="page_684">
        <w:r>
          <w:rPr>
            <w:rStyle w:val="Text10"/>
          </w:rPr>
          <w:t>697</w:t>
        </w:r>
      </w:hyperlink>
      <w:r>
        <w:rPr>
          <w:rStyle w:val="Text7"/>
        </w:rPr>
        <w:t xml:space="preserve"> </w:t>
      </w:r>
      <w:hyperlink r:id="rId1600">
        <w:r>
          <w:t>Full-Text Search Functions</w:t>
        </w:r>
      </w:hyperlink>
    </w:p>
    <w:p>
      <w:pPr>
        <w:pStyle w:val="Para 02"/>
      </w:pPr>
      <w:r>
        <w:t>Related topic(s):</w:t>
      </w:r>
    </w:p>
    <w:p>
      <w:pPr>
        <w:pStyle w:val="Para 06"/>
      </w:pPr>
      <w:r>
        <w:t>• Databases</w:t>
      </w:r>
    </w:p>
    <w:p>
      <w:pPr>
        <w:pStyle w:val="Para 01"/>
      </w:pPr>
      <w:r>
        <w:t>FW</w:t>
      </w:r>
    </w:p>
    <w:p>
      <w:pPr>
        <w:pStyle w:val="Para 01"/>
      </w:pPr>
      <w:r>
        <w:t>Firmware</w:t>
      </w:r>
    </w:p>
    <w:p>
      <w:pPr>
        <w:pStyle w:val="Para 02"/>
      </w:pPr>
      <w:r>
        <w:t>Firmware is a software that runs before an operating system (OS) boots.</w:t>
      </w:r>
    </w:p>
    <w:p>
      <w:pPr>
        <w:pStyle w:val="Para 06"/>
      </w:pPr>
      <w:r>
        <w:t>• When a QEMU microvm starts, the firmware initializes minimal virtual hardware</w:t>
      </w:r>
    </w:p>
    <w:p>
      <w:pPr>
        <w:pStyle w:val="Para 11"/>
      </w:pPr>
      <w:r>
        <w:t xml:space="preserve">like allocating </w:t>
      </w:r>
      <w:hyperlink w:anchor="page_702">
        <w:r>
          <w:rPr>
            <w:rStyle w:val="Text2"/>
          </w:rPr>
          <w:t>RAM</w:t>
        </w:r>
      </w:hyperlink>
      <w:r>
        <w:t xml:space="preserve"> to the OS, and then loads the Linux kernel into memory.</w:t>
      </w:r>
    </w:p>
    <w:p>
      <w:pPr>
        <w:pStyle w:val="Para 06"/>
      </w:pPr>
      <w:r>
        <w:t xml:space="preserve">• In a physical device, firmware configures </w:t>
      </w:r>
      <w:hyperlink w:anchor="page_699">
        <w:r>
          <w:rPr>
            <w:rStyle w:val="Text2"/>
          </w:rPr>
          <w:t>PCIe</w:t>
        </w:r>
      </w:hyperlink>
      <w:r>
        <w:t xml:space="preserve"> devices like </w:t>
      </w:r>
      <w:hyperlink w:anchor="page_686">
        <w:r>
          <w:rPr>
            <w:rStyle w:val="Text2"/>
          </w:rPr>
          <w:t>GPUs</w:t>
        </w:r>
      </w:hyperlink>
      <w:r>
        <w:t xml:space="preserve"> or network cards.</w:t>
      </w:r>
    </w:p>
    <w:p>
      <w:pPr>
        <w:pStyle w:val="Para 17"/>
      </w:pPr>
      <w:r>
        <w:t/>
      </w:r>
    </w:p>
    <w:p>
      <w:pPr>
        <w:pStyle w:val="Para 01"/>
      </w:pPr>
      <w:r>
        <w:t>G</w:t>
      </w:r>
    </w:p>
    <w:p>
      <w:pPr>
        <w:pStyle w:val="Para 17"/>
      </w:pPr>
      <w:r>
        <w:t/>
      </w:r>
    </w:p>
    <w:p>
      <w:pPr>
        <w:pStyle w:val="Para 01"/>
      </w:pPr>
      <w:r>
        <w:t>gcplogs</w:t>
      </w:r>
    </w:p>
    <w:p>
      <w:pPr>
        <w:pStyle w:val="Para 02"/>
      </w:pPr>
      <w:r>
        <w:t>A logging driver that allows logs to be forwarded from a Docker container running in Google Cloud to the Google Cloud Logging service.</w:t>
      </w:r>
    </w:p>
    <w:p>
      <w:pPr>
        <w:pStyle w:val="Para 02"/>
      </w:pPr>
      <w:r>
        <w:t>Related topic(s):</w:t>
      </w:r>
    </w:p>
    <w:p>
      <w:pPr>
        <w:pStyle w:val="Para 06"/>
      </w:pPr>
      <w:r>
        <w:t>• Cloud, Containers, Observability</w:t>
      </w:r>
    </w:p>
    <w:p>
      <w:pPr>
        <w:pStyle w:val="Para 01"/>
      </w:pPr>
      <w:r>
        <w:t>gcrypt</w:t>
      </w:r>
    </w:p>
    <w:p>
      <w:pPr>
        <w:pStyle w:val="Para 02"/>
      </w:pPr>
      <w:r>
        <w:t>A cryptographic library that supports encryption, hashing, etc. for applications.</w:t>
      </w:r>
    </w:p>
    <w:p>
      <w:pPr>
        <w:pStyle w:val="Para 02"/>
      </w:pPr>
      <w:r>
        <w:t>Related topic(s):</w:t>
      </w:r>
    </w:p>
    <w:p>
      <w:pPr>
        <w:pStyle w:val="Para 06"/>
      </w:pPr>
      <w:r>
        <w:t>• Cryptographic libraries</w:t>
      </w:r>
    </w:p>
    <w:p>
      <w:pPr>
        <w:pStyle w:val="Para 01"/>
      </w:pPr>
      <w:r>
        <w:t>GDB</w:t>
      </w:r>
    </w:p>
    <w:p>
      <w:pPr>
        <w:pStyle w:val="Para 01"/>
      </w:pPr>
      <w:r>
        <w:t>GNU Debugger</w:t>
      </w:r>
    </w:p>
    <w:p>
      <w:pPr>
        <w:pStyle w:val="Para 02"/>
      </w:pPr>
      <w:r>
        <w:t>GDB traces the current execution of a program, with the aim of identifying any issues.</w:t>
      </w:r>
    </w:p>
    <w:p>
      <w:pPr>
        <w:pStyle w:val="Para 02"/>
      </w:pPr>
      <w:r>
        <w:t>Related topic(s):</w:t>
      </w:r>
    </w:p>
    <w:p>
      <w:pPr>
        <w:pStyle w:val="Para 05"/>
      </w:pPr>
      <w:r>
        <w:rPr>
          <w:rStyle w:val="Text5"/>
        </w:rPr>
        <w:t>697</w:t>
      </w:r>
      <w:r>
        <w:rPr>
          <w:rStyle w:val="Text8"/>
        </w:rPr>
        <w:t xml:space="preserve"> </w:t>
      </w:r>
      <w:r>
        <w:t>https://dev.mysql.com/doc/refman/8.4/en/fulltext-search.html</w:t>
      </w:r>
    </w:p>
    <w:p>
      <w:bookmarkStart w:id="1065" w:name="page_6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7" name="index-685_1.png" descr="index-685_1.png"/>
            <wp:cNvGraphicFramePr>
              <a:graphicFrameLocks noChangeAspect="1"/>
            </wp:cNvGraphicFramePr>
            <a:graphic>
              <a:graphicData uri="http://schemas.openxmlformats.org/drawingml/2006/picture">
                <pic:pic>
                  <pic:nvPicPr>
                    <pic:cNvPr id="0" name="index-685_1.png" descr="index-685_1.png"/>
                    <pic:cNvPicPr/>
                  </pic:nvPicPr>
                  <pic:blipFill>
                    <a:blip r:embed="rId721"/>
                    <a:stretch>
                      <a:fillRect/>
                    </a:stretch>
                  </pic:blipFill>
                  <pic:spPr>
                    <a:xfrm>
                      <a:off x="0" y="0"/>
                      <a:ext cx="914400" cy="266700"/>
                    </a:xfrm>
                    <a:prstGeom prst="rect">
                      <a:avLst/>
                    </a:prstGeom>
                  </pic:spPr>
                </pic:pic>
              </a:graphicData>
            </a:graphic>
          </wp:anchor>
        </w:drawing>
      </w:r>
      <w:bookmarkEnd w:id="1065"/>
    </w:p>
    <w:p>
      <w:pPr>
        <w:pStyle w:val="Para 06"/>
      </w:pPr>
      <w:r>
        <w:t>• Debugging</w:t>
      </w:r>
    </w:p>
    <w:p>
      <w:pPr>
        <w:pStyle w:val="Para 01"/>
      </w:pPr>
      <w:r>
        <w:t>GELF</w:t>
      </w:r>
    </w:p>
    <w:p>
      <w:pPr>
        <w:pStyle w:val="Para 01"/>
      </w:pPr>
      <w:r>
        <w:t>Graylog Extended Log Format</w:t>
      </w:r>
    </w:p>
    <w:p>
      <w:pPr>
        <w:pStyle w:val="Para 02"/>
      </w:pPr>
      <w:r>
        <w:t xml:space="preserve">GELF is a logging driver that allow logs to be forwarded in </w:t>
      </w:r>
      <w:hyperlink w:anchor="page_692">
        <w:r>
          <w:rPr>
            <w:rStyle w:val="Text2"/>
          </w:rPr>
          <w:t>JSON</w:t>
        </w:r>
      </w:hyperlink>
      <w:r>
        <w:t xml:space="preserve"> format, but with extra unique fields. These logs are sent from a Docker container to a data collector platform</w:t>
      </w:r>
    </w:p>
    <w:p>
      <w:pPr>
        <w:pStyle w:val="Para 31"/>
      </w:pPr>
      <w:r>
        <w:rPr>
          <w:rStyle w:val="Text4"/>
        </w:rPr>
        <w:t xml:space="preserve">like </w:t>
      </w:r>
      <w:hyperlink w:anchor="page_686">
        <w:r>
          <w:t>Graylog</w:t>
        </w:r>
      </w:hyperlink>
      <w:r>
        <w:rPr>
          <w:rStyle w:val="Text4"/>
        </w:rPr>
        <w:t xml:space="preserve">, </w:t>
      </w:r>
      <w:hyperlink w:anchor="page_693">
        <w:r>
          <w:t>Logstash</w:t>
        </w:r>
      </w:hyperlink>
      <w:r>
        <w:rPr>
          <w:rStyle w:val="Text4"/>
        </w:rPr>
        <w:t xml:space="preserve">, and </w:t>
      </w:r>
      <w:hyperlink w:anchor="page_683">
        <w:r>
          <w:t>Fluentd</w:t>
        </w:r>
      </w:hyperlink>
      <w:r>
        <w:rPr>
          <w:rStyle w:val="Text4"/>
        </w:rPr>
        <w:t>.</w:t>
      </w:r>
    </w:p>
    <w:p>
      <w:pPr>
        <w:pStyle w:val="Para 02"/>
      </w:pPr>
      <w:r>
        <w:t>Related topic(s):</w:t>
      </w:r>
    </w:p>
    <w:p>
      <w:pPr>
        <w:pStyle w:val="Para 06"/>
      </w:pPr>
      <w:r>
        <w:t>• Containers, Observability</w:t>
      </w:r>
    </w:p>
    <w:p>
      <w:pPr>
        <w:pStyle w:val="Para 01"/>
      </w:pPr>
      <w:r>
        <w:t>GFS2</w:t>
      </w:r>
    </w:p>
    <w:p>
      <w:pPr>
        <w:pStyle w:val="Para 02"/>
      </w:pPr>
      <w:r>
        <w:t xml:space="preserve">A shared-disk </w:t>
      </w:r>
      <w:hyperlink w:anchor="page_682">
        <w:r>
          <w:rPr>
            <w:rStyle w:val="Text2"/>
          </w:rPr>
          <w:t>filesystem</w:t>
        </w:r>
      </w:hyperlink>
      <w:r>
        <w:t xml:space="preserve"> that allows multiple servers to access a single disk. It uses a locking system to ensure that no two servers modify the same data simultaneously, thus preventing data corruption if one server fails. Additionally, fencing is used to iso-late failed nodes, ensuring that their locks can be safely recovered.</w:t>
      </w:r>
    </w:p>
    <w:p>
      <w:pPr>
        <w:pStyle w:val="Para 02"/>
      </w:pPr>
      <w:r>
        <w:t>Related topic(s):</w:t>
      </w:r>
    </w:p>
    <w:p>
      <w:pPr>
        <w:pStyle w:val="Para 06"/>
      </w:pPr>
      <w:r>
        <w:t>• High availability, Storage</w:t>
      </w:r>
    </w:p>
    <w:p>
      <w:pPr>
        <w:pStyle w:val="Para 01"/>
      </w:pPr>
      <w:r>
        <w:t>GB</w:t>
      </w:r>
    </w:p>
    <w:p>
      <w:pPr>
        <w:pStyle w:val="Para 02"/>
      </w:pPr>
      <w:r>
        <w:t>Gigabyte (unit of measurement) 1 GB = 1024 bytes</w:t>
      </w:r>
    </w:p>
    <w:p>
      <w:pPr>
        <w:pStyle w:val="Para 01"/>
      </w:pPr>
      <w:r>
        <w:t>GID</w:t>
      </w:r>
    </w:p>
    <w:p>
      <w:pPr>
        <w:pStyle w:val="Para 01"/>
      </w:pPr>
      <w:r>
        <w:t>Group ID</w:t>
      </w:r>
    </w:p>
    <w:p>
      <w:pPr>
        <w:pStyle w:val="Para 02"/>
      </w:pPr>
      <w:r>
        <w:t>A GID is an identifier for a collection of users. It helps administrators enforce system or file access permissions on multiple users at once.</w:t>
      </w:r>
    </w:p>
    <w:p>
      <w:pPr>
        <w:pStyle w:val="Para 02"/>
      </w:pPr>
      <w:r>
        <w:t>Related topic(s):</w:t>
      </w:r>
    </w:p>
    <w:p>
      <w:pPr>
        <w:pStyle w:val="Para 06"/>
      </w:pPr>
      <w:r>
        <w:t>• Active Directory integration, Samba, Security, SSSD</w:t>
      </w:r>
    </w:p>
    <w:p>
      <w:pPr>
        <w:pStyle w:val="Para 01"/>
      </w:pPr>
      <w:r>
        <w:t>gitolite</w:t>
      </w:r>
    </w:p>
    <w:p>
      <w:pPr>
        <w:pStyle w:val="Para 02"/>
      </w:pPr>
      <w:hyperlink w:anchor="page_470">
        <w:r>
          <w:rPr>
            <w:rStyle w:val="Text2"/>
          </w:rPr>
          <w:t>Gitolite</w:t>
        </w:r>
      </w:hyperlink>
      <w:r>
        <w:t xml:space="preserve"> (page 469) is a tool installed on a central server for managing git repositories and controlling access to them, all via the command line. The central server becomes a git server.</w:t>
      </w:r>
    </w:p>
    <w:p>
      <w:pPr>
        <w:pStyle w:val="Para 02"/>
      </w:pPr>
      <w:r>
        <w:t>Related topic(s):</w:t>
      </w:r>
    </w:p>
    <w:p>
      <w:pPr>
        <w:pStyle w:val="Para 06"/>
      </w:pPr>
      <w:r>
        <w:t>• Backups and version control</w:t>
      </w:r>
    </w:p>
    <w:p>
      <w:pPr>
        <w:pStyle w:val="Para 01"/>
      </w:pPr>
      <w:r>
        <w:t>GKE</w:t>
      </w:r>
    </w:p>
    <w:p>
      <w:pPr>
        <w:pStyle w:val="Para 01"/>
      </w:pPr>
      <w:r>
        <w:t>Google Kubernetes Engine</w:t>
      </w:r>
    </w:p>
    <w:p>
      <w:pPr>
        <w:pStyle w:val="Para 02"/>
      </w:pPr>
      <w:r>
        <w:t>GKE is a managed Kubernetes service provided by Google cloud.</w:t>
      </w:r>
    </w:p>
    <w:p>
      <w:pPr>
        <w:pStyle w:val="Para 01"/>
      </w:pPr>
      <w:r>
        <w:t>GL</w:t>
      </w:r>
    </w:p>
    <w:p>
      <w:pPr>
        <w:pStyle w:val="Para 01"/>
      </w:pPr>
      <w:r>
        <w:t>Graphics Library</w:t>
      </w:r>
    </w:p>
    <w:p>
      <w:pPr>
        <w:pStyle w:val="Para 02"/>
      </w:pPr>
      <w:r>
        <w:t xml:space="preserve">A GL is an </w:t>
      </w:r>
      <w:hyperlink w:anchor="page_670">
        <w:r>
          <w:rPr>
            <w:rStyle w:val="Text2"/>
          </w:rPr>
          <w:t>API</w:t>
        </w:r>
      </w:hyperlink>
      <w:r>
        <w:t xml:space="preserve"> for interacting with a graphics card, enabling it to perform better render-ing.</w:t>
      </w:r>
    </w:p>
    <w:p>
      <w:pPr>
        <w:pStyle w:val="Para 02"/>
      </w:pPr>
      <w:r>
        <w:t>Related topic(s):</w:t>
      </w:r>
    </w:p>
    <w:p>
      <w:pPr>
        <w:pStyle w:val="Para 06"/>
      </w:pPr>
      <w:r>
        <w:t>• Graphics</w:t>
      </w:r>
    </w:p>
    <w:p>
      <w:pPr>
        <w:pStyle w:val="Para 01"/>
      </w:pPr>
      <w:r>
        <w:t>GNU</w:t>
      </w:r>
    </w:p>
    <w:p>
      <w:pPr>
        <w:pStyle w:val="Para 01"/>
      </w:pPr>
      <w:r>
        <w:t>GNU’s Not Unix</w:t>
      </w:r>
    </w:p>
    <w:p>
      <w:pPr>
        <w:pStyle w:val="Para 02"/>
      </w:pPr>
      <w:r>
        <w:t>A recursive acronym, GNU, is an operating system containing several free software packages. It can be used in combination with the Linux kernel.</w:t>
      </w:r>
    </w:p>
    <w:p>
      <w:bookmarkStart w:id="1066" w:name="page_68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8" name="index-686_1.png" descr="index-686_1.png"/>
            <wp:cNvGraphicFramePr>
              <a:graphicFrameLocks noChangeAspect="1"/>
            </wp:cNvGraphicFramePr>
            <a:graphic>
              <a:graphicData uri="http://schemas.openxmlformats.org/drawingml/2006/picture">
                <pic:pic>
                  <pic:nvPicPr>
                    <pic:cNvPr id="0" name="index-686_1.png" descr="index-686_1.png"/>
                    <pic:cNvPicPr/>
                  </pic:nvPicPr>
                  <pic:blipFill>
                    <a:blip r:embed="rId722"/>
                    <a:stretch>
                      <a:fillRect/>
                    </a:stretch>
                  </pic:blipFill>
                  <pic:spPr>
                    <a:xfrm>
                      <a:off x="0" y="0"/>
                      <a:ext cx="914400" cy="266700"/>
                    </a:xfrm>
                    <a:prstGeom prst="rect">
                      <a:avLst/>
                    </a:prstGeom>
                  </pic:spPr>
                </pic:pic>
              </a:graphicData>
            </a:graphic>
          </wp:anchor>
        </w:drawing>
      </w:r>
      <w:bookmarkEnd w:id="1066"/>
    </w:p>
    <w:p>
      <w:pPr>
        <w:pStyle w:val="Para 01"/>
      </w:pPr>
      <w:r>
        <w:t>GnuTLS</w:t>
      </w:r>
    </w:p>
    <w:p>
      <w:pPr>
        <w:pStyle w:val="Para 01"/>
      </w:pPr>
      <w:r>
        <w:t>GNU’s Not Unix Transport Layer Security</w:t>
      </w:r>
    </w:p>
    <w:p>
      <w:pPr>
        <w:pStyle w:val="Para 02"/>
      </w:pPr>
      <w:r>
        <w:t>GnuTLS is a GNU software package that secures data-in-transit by implementing the</w:t>
      </w:r>
    </w:p>
    <w:p>
      <w:pPr>
        <w:pStyle w:val="Para 02"/>
      </w:pPr>
      <w:hyperlink w:anchor="page_707">
        <w:r>
          <w:rPr>
            <w:rStyle w:val="Text2"/>
          </w:rPr>
          <w:t>SSL</w:t>
        </w:r>
      </w:hyperlink>
      <w:r>
        <w:t xml:space="preserve">, </w:t>
      </w:r>
      <w:hyperlink w:anchor="page_710">
        <w:r>
          <w:rPr>
            <w:rStyle w:val="Text2"/>
          </w:rPr>
          <w:t>TLS</w:t>
        </w:r>
      </w:hyperlink>
      <w:r>
        <w:t xml:space="preserve"> and </w:t>
      </w:r>
      <w:hyperlink w:anchor="page_680">
        <w:r>
          <w:rPr>
            <w:rStyle w:val="Text2"/>
          </w:rPr>
          <w:t>DTLS</w:t>
        </w:r>
      </w:hyperlink>
      <w:r>
        <w:t xml:space="preserve"> protocol.</w:t>
      </w:r>
    </w:p>
    <w:p>
      <w:pPr>
        <w:pStyle w:val="Para 02"/>
      </w:pPr>
      <w:r>
        <w:t>Related topic(s):</w:t>
      </w:r>
    </w:p>
    <w:p>
      <w:pPr>
        <w:pStyle w:val="Para 06"/>
      </w:pPr>
      <w:r>
        <w:t>• Cryptography, Web services, OpenLDAP</w:t>
      </w:r>
    </w:p>
    <w:p>
      <w:pPr>
        <w:pStyle w:val="Para 01"/>
      </w:pPr>
      <w:r>
        <w:t>GPG</w:t>
      </w:r>
    </w:p>
    <w:p>
      <w:pPr>
        <w:pStyle w:val="Para 01"/>
      </w:pPr>
      <w:r>
        <w:t>GNU Privacy Guard</w:t>
      </w:r>
    </w:p>
    <w:p>
      <w:pPr>
        <w:pStyle w:val="Para 02"/>
      </w:pPr>
      <w:r>
        <w:t>GPG is a GNU software package that secures data-at-rest before sending it to a recipi-ent.</w:t>
      </w:r>
    </w:p>
    <w:p>
      <w:pPr>
        <w:pStyle w:val="Para 02"/>
      </w:pPr>
      <w:r>
        <w:t>Related topic(s):</w:t>
      </w:r>
    </w:p>
    <w:p>
      <w:pPr>
        <w:pStyle w:val="Para 06"/>
      </w:pPr>
      <w:r>
        <w:t>• Security, Cryptography</w:t>
      </w:r>
    </w:p>
    <w:p>
      <w:pPr>
        <w:pStyle w:val="Para 01"/>
      </w:pPr>
      <w:r>
        <w:t>GPS</w:t>
      </w:r>
    </w:p>
    <w:p>
      <w:pPr>
        <w:pStyle w:val="Para 01"/>
      </w:pPr>
      <w:r>
        <w:t>Global Positioning System</w:t>
      </w:r>
    </w:p>
    <w:p>
      <w:pPr>
        <w:pStyle w:val="Para 02"/>
      </w:pPr>
      <w:r>
        <w:t>GPS is a collection of satellites that provides accurate time using radio signals from their atomic clocks. A GPS receiver plugged into a computer can sync with these satellites</w:t>
      </w:r>
    </w:p>
    <w:p>
      <w:pPr>
        <w:pStyle w:val="Para 02"/>
      </w:pPr>
      <w:r>
        <w:t xml:space="preserve">and generate </w:t>
      </w:r>
      <w:hyperlink w:anchor="page_701">
        <w:r>
          <w:rPr>
            <w:rStyle w:val="Text2"/>
          </w:rPr>
          <w:t>PPS</w:t>
        </w:r>
      </w:hyperlink>
      <w:r>
        <w:t xml:space="preserve"> signal, which delivers ultra-accurate time that applications can use as a time source.</w:t>
      </w:r>
    </w:p>
    <w:p>
      <w:pPr>
        <w:pStyle w:val="Para 02"/>
      </w:pPr>
      <w:r>
        <w:t>Related topic(s):</w:t>
      </w:r>
    </w:p>
    <w:p>
      <w:pPr>
        <w:pStyle w:val="Para 06"/>
      </w:pPr>
      <w:r>
        <w:t>• Networking</w:t>
      </w:r>
    </w:p>
    <w:p>
      <w:pPr>
        <w:pStyle w:val="Para 01"/>
      </w:pPr>
      <w:r>
        <w:t>GPSD</w:t>
      </w:r>
    </w:p>
    <w:p>
      <w:pPr>
        <w:pStyle w:val="Para 01"/>
      </w:pPr>
      <w:r>
        <w:t>GPS daemon</w:t>
      </w:r>
    </w:p>
    <w:p>
      <w:pPr>
        <w:pStyle w:val="Para 02"/>
      </w:pPr>
      <w:r>
        <w:t>This reads data from a GPS receiver and makes it available as a shared resource to mul-</w:t>
      </w:r>
    </w:p>
    <w:p>
      <w:pPr>
        <w:pStyle w:val="Para 02"/>
      </w:pPr>
      <w:r>
        <w:t xml:space="preserve">tiple applications (e.g., </w:t>
      </w:r>
      <w:hyperlink w:anchor="page_675">
        <w:r>
          <w:rPr>
            <w:rStyle w:val="Text2"/>
          </w:rPr>
          <w:t>Chrony</w:t>
        </w:r>
      </w:hyperlink>
      <w:r>
        <w:t>) to use for precise time synchronization.</w:t>
      </w:r>
    </w:p>
    <w:p>
      <w:pPr>
        <w:pStyle w:val="Para 02"/>
      </w:pPr>
      <w:r>
        <w:t>Related topic(s):</w:t>
      </w:r>
    </w:p>
    <w:p>
      <w:pPr>
        <w:pStyle w:val="Para 06"/>
      </w:pPr>
      <w:r>
        <w:t>• Networking</w:t>
      </w:r>
    </w:p>
    <w:p>
      <w:pPr>
        <w:pStyle w:val="Para 01"/>
      </w:pPr>
      <w:r>
        <w:t>GPU</w:t>
      </w:r>
    </w:p>
    <w:p>
      <w:pPr>
        <w:pStyle w:val="Para 01"/>
      </w:pPr>
      <w:r>
        <w:t>Graphics Processing Unit</w:t>
      </w:r>
    </w:p>
    <w:p>
      <w:pPr>
        <w:pStyle w:val="Para 02"/>
      </w:pPr>
      <w:r>
        <w:t>A GPU enhances graphics rendering for a computer and any virtual machines running inside of it.</w:t>
      </w:r>
    </w:p>
    <w:p>
      <w:pPr>
        <w:pStyle w:val="Para 02"/>
      </w:pPr>
      <w:r>
        <w:t>Related topic(s):</w:t>
      </w:r>
    </w:p>
    <w:p>
      <w:pPr>
        <w:pStyle w:val="Para 06"/>
      </w:pPr>
      <w:r>
        <w:t>• Graphics, Virtualisation and containers</w:t>
      </w:r>
    </w:p>
    <w:p>
      <w:pPr>
        <w:pStyle w:val="Para 01"/>
      </w:pPr>
      <w:r>
        <w:t>Graylog</w:t>
      </w:r>
    </w:p>
    <w:p>
      <w:pPr>
        <w:pStyle w:val="Para 02"/>
      </w:pPr>
      <w:r>
        <w:t>A data collector platform for storing, analysing, and interpreting logs. These logs are</w:t>
      </w:r>
    </w:p>
    <w:p>
      <w:pPr>
        <w:pStyle w:val="Para 02"/>
      </w:pPr>
      <w:r>
        <w:t xml:space="preserve">received from a </w:t>
      </w:r>
      <w:hyperlink w:anchor="page_685">
        <w:r>
          <w:rPr>
            <w:rStyle w:val="Text2"/>
          </w:rPr>
          <w:t>gelf</w:t>
        </w:r>
      </w:hyperlink>
      <w:r>
        <w:t xml:space="preserve"> logging driver in Docker.</w:t>
      </w:r>
    </w:p>
    <w:p>
      <w:pPr>
        <w:pStyle w:val="Para 02"/>
      </w:pPr>
      <w:r>
        <w:t>Related topic(s):</w:t>
      </w:r>
    </w:p>
    <w:p>
      <w:pPr>
        <w:pStyle w:val="Para 06"/>
      </w:pPr>
      <w:r>
        <w:t>• Containers</w:t>
      </w:r>
    </w:p>
    <w:p>
      <w:pPr>
        <w:pStyle w:val="Para 01"/>
      </w:pPr>
      <w:r>
        <w:t>GPO</w:t>
      </w:r>
    </w:p>
    <w:p>
      <w:pPr>
        <w:pStyle w:val="Para 01"/>
      </w:pPr>
      <w:r>
        <w:t>Group Policy Object</w:t>
      </w:r>
    </w:p>
    <w:p>
      <w:pPr>
        <w:pStyle w:val="Para 02"/>
      </w:pPr>
      <w:r>
        <w:t>A set of configuration rules used to manage and enforce security and system behaviours across users or computers within an Active Directory (AD) object.</w:t>
      </w:r>
    </w:p>
    <w:p>
      <w:pPr>
        <w:pStyle w:val="Para 02"/>
      </w:pPr>
      <w:r>
        <w:t>Related topic(s):</w:t>
      </w:r>
    </w:p>
    <w:p>
      <w:bookmarkStart w:id="1067" w:name="page_6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19" name="index-687_1.png" descr="index-687_1.png"/>
            <wp:cNvGraphicFramePr>
              <a:graphicFrameLocks noChangeAspect="1"/>
            </wp:cNvGraphicFramePr>
            <a:graphic>
              <a:graphicData uri="http://schemas.openxmlformats.org/drawingml/2006/picture">
                <pic:pic>
                  <pic:nvPicPr>
                    <pic:cNvPr id="0" name="index-687_1.png" descr="index-687_1.png"/>
                    <pic:cNvPicPr/>
                  </pic:nvPicPr>
                  <pic:blipFill>
                    <a:blip r:embed="rId723"/>
                    <a:stretch>
                      <a:fillRect/>
                    </a:stretch>
                  </pic:blipFill>
                  <pic:spPr>
                    <a:xfrm>
                      <a:off x="0" y="0"/>
                      <a:ext cx="914400" cy="266700"/>
                    </a:xfrm>
                    <a:prstGeom prst="rect">
                      <a:avLst/>
                    </a:prstGeom>
                  </pic:spPr>
                </pic:pic>
              </a:graphicData>
            </a:graphic>
          </wp:anchor>
        </w:drawing>
      </w:r>
      <w:bookmarkEnd w:id="1067"/>
    </w:p>
    <w:p>
      <w:pPr>
        <w:pStyle w:val="Para 06"/>
      </w:pPr>
      <w:r>
        <w:t>• Active Directory integration</w:t>
      </w:r>
    </w:p>
    <w:p>
      <w:pPr>
        <w:pStyle w:val="Para 01"/>
      </w:pPr>
      <w:r>
        <w:t>GRUB</w:t>
      </w:r>
    </w:p>
    <w:p>
      <w:pPr>
        <w:pStyle w:val="Para 01"/>
      </w:pPr>
      <w:r>
        <w:t>GRand Unified Bootloader</w:t>
      </w:r>
    </w:p>
    <w:p>
      <w:pPr>
        <w:pStyle w:val="Para 07"/>
      </w:pPr>
      <w:r>
        <w:t>Work in progress</w:t>
      </w:r>
    </w:p>
    <w:p>
      <w:pPr>
        <w:pStyle w:val="Para 01"/>
      </w:pPr>
      <w:r>
        <w:t>GSSAPI</w:t>
      </w:r>
    </w:p>
    <w:p>
      <w:pPr>
        <w:pStyle w:val="Para 01"/>
      </w:pPr>
      <w:r>
        <w:t>Generic Security Services Application Program Interface</w:t>
      </w:r>
    </w:p>
    <w:p>
      <w:pPr>
        <w:pStyle w:val="Para 02"/>
      </w:pPr>
      <w:r>
        <w:t xml:space="preserve">GSSAPI is a vendor-agnostic </w:t>
      </w:r>
      <w:hyperlink w:anchor="page_670">
        <w:r>
          <w:rPr>
            <w:rStyle w:val="Text2"/>
          </w:rPr>
          <w:t>API</w:t>
        </w:r>
      </w:hyperlink>
      <w:r>
        <w:t xml:space="preserve"> that uses an existing communication protocol to es-tablish a secure communication between applications. It does this securely by verifying user credentials, ensuring that data being transmitted remains unchanged, preventing unauthorized access, and securely negotiating encryption keys.</w:t>
      </w:r>
    </w:p>
    <w:p>
      <w:pPr>
        <w:pStyle w:val="Para 02"/>
      </w:pPr>
      <w:r>
        <w:t>Related topic(s):</w:t>
      </w:r>
    </w:p>
    <w:p>
      <w:pPr>
        <w:pStyle w:val="Para 06"/>
      </w:pPr>
      <w:r>
        <w:t>• Cryptography</w:t>
      </w:r>
    </w:p>
    <w:p>
      <w:pPr>
        <w:pStyle w:val="Para 01"/>
      </w:pPr>
      <w:r>
        <w:t>GTK</w:t>
      </w:r>
    </w:p>
    <w:p>
      <w:pPr>
        <w:pStyle w:val="Para 01"/>
      </w:pPr>
      <w:r>
        <w:t>GIMP Toolkit</w:t>
      </w:r>
    </w:p>
    <w:p>
      <w:pPr>
        <w:pStyle w:val="Para 02"/>
      </w:pPr>
      <w:r>
        <w:t xml:space="preserve">GTK is a library used to create </w:t>
      </w:r>
      <w:hyperlink w:anchor="page_687">
        <w:r>
          <w:rPr>
            <w:rStyle w:val="Text2"/>
          </w:rPr>
          <w:t>graphical user interfaces (GUIs)</w:t>
        </w:r>
      </w:hyperlink>
      <w:hyperlink w:anchor="page_687">
        <w:r>
          <w:rPr>
            <w:rStyle w:val="Text1"/>
          </w:rPr>
          <w:t xml:space="preserve">. </w:t>
        </w:r>
      </w:hyperlink>
      <w:r>
        <w:t>It provides a visual in-terface for interacting with the Bacula Director when managing backup-related opera-tions.</w:t>
      </w:r>
    </w:p>
    <w:p>
      <w:pPr>
        <w:pStyle w:val="Para 02"/>
      </w:pPr>
      <w:r>
        <w:t>Related topic(s):</w:t>
      </w:r>
    </w:p>
    <w:p>
      <w:pPr>
        <w:pStyle w:val="Para 06"/>
      </w:pPr>
      <w:r>
        <w:t>• Graphics, Backups and version control</w:t>
      </w:r>
    </w:p>
    <w:p>
      <w:pPr>
        <w:pStyle w:val="Para 01"/>
      </w:pPr>
      <w:r>
        <w:t>GUI</w:t>
      </w:r>
    </w:p>
    <w:p>
      <w:pPr>
        <w:pStyle w:val="Para 01"/>
      </w:pPr>
      <w:r>
        <w:t>Graphical User Interface</w:t>
      </w:r>
    </w:p>
    <w:p>
      <w:pPr>
        <w:pStyle w:val="Para 02"/>
      </w:pPr>
      <w:r>
        <w:t>A GUI is a visual representation of operations within a computer. It is usually repre-sented as icons rather than text only.</w:t>
      </w:r>
    </w:p>
    <w:p>
      <w:pPr>
        <w:pStyle w:val="Para 01"/>
      </w:pPr>
      <w:r>
        <w:t>GZIP</w:t>
      </w:r>
    </w:p>
    <w:p>
      <w:pPr>
        <w:pStyle w:val="Para 01"/>
      </w:pPr>
      <w:r>
        <w:t>GNU Zip</w:t>
      </w:r>
    </w:p>
    <w:p>
      <w:pPr>
        <w:pStyle w:val="Para 02"/>
      </w:pPr>
      <w:r>
        <w:t xml:space="preserve">GZIP is a </w:t>
      </w:r>
      <w:hyperlink w:anchor="page_685">
        <w:r>
          <w:rPr>
            <w:rStyle w:val="Text2"/>
          </w:rPr>
          <w:t>GNU</w:t>
        </w:r>
      </w:hyperlink>
      <w:r>
        <w:t xml:space="preserve"> software package used to reduce the file size of a backup.</w:t>
      </w:r>
    </w:p>
    <w:p>
      <w:pPr>
        <w:pStyle w:val="Para 06"/>
      </w:pPr>
      <w:r>
        <w:t>• When applied directly to files, it replaces the original file type with a .gz type.</w:t>
      </w:r>
    </w:p>
    <w:p>
      <w:pPr>
        <w:pStyle w:val="Para 06"/>
      </w:pPr>
      <w:r>
        <w:t xml:space="preserve">• When used in Bacula’s </w:t>
      </w:r>
      <w:hyperlink w:anchor="page_682">
        <w:r>
          <w:rPr>
            <w:rStyle w:val="Text2"/>
          </w:rPr>
          <w:t>fileset</w:t>
        </w:r>
      </w:hyperlink>
      <w:r>
        <w:t>, it reduces the storage size of backed-up directories</w:t>
      </w:r>
    </w:p>
    <w:p>
      <w:pPr>
        <w:pStyle w:val="Para 11"/>
      </w:pPr>
      <w:r>
        <w:t>within Bacula’s storage volumes.</w:t>
      </w:r>
    </w:p>
    <w:p>
      <w:pPr>
        <w:pStyle w:val="Para 06"/>
      </w:pPr>
      <w:r>
        <w:t>• When used to reduce the size of a folder, it works in combination with a tar tool</w:t>
      </w:r>
    </w:p>
    <w:p>
      <w:pPr>
        <w:pStyle w:val="Para 11"/>
      </w:pPr>
      <w:r>
        <w:t>which first combines multiple files into a single archive, before applying GZIP’s size-reduction technique.</w:t>
      </w:r>
    </w:p>
    <w:p>
      <w:pPr>
        <w:pStyle w:val="Para 02"/>
      </w:pPr>
      <w:r>
        <w:t>Related topic(s):</w:t>
      </w:r>
    </w:p>
    <w:p>
      <w:pPr>
        <w:pStyle w:val="Para 06"/>
      </w:pPr>
      <w:r>
        <w:t>• Backups and version control</w:t>
      </w:r>
    </w:p>
    <w:p>
      <w:bookmarkStart w:id="1068" w:name="calibre_pb_190"/>
      <w:pPr>
        <w:pStyle w:val="0 Block"/>
      </w:pPr>
      <w:bookmarkEnd w:id="1068"/>
    </w:p>
    <w:p>
      <w:bookmarkStart w:id="1069" w:name="Top_of_index_split_191_html"/>
      <w:bookmarkStart w:id="1070" w:name="page_68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0" name="index-688_1.png" descr="index-688_1.png"/>
            <wp:cNvGraphicFramePr>
              <a:graphicFrameLocks noChangeAspect="1"/>
            </wp:cNvGraphicFramePr>
            <a:graphic>
              <a:graphicData uri="http://schemas.openxmlformats.org/drawingml/2006/picture">
                <pic:pic>
                  <pic:nvPicPr>
                    <pic:cNvPr id="0" name="index-688_1.png" descr="index-688_1.png"/>
                    <pic:cNvPicPr/>
                  </pic:nvPicPr>
                  <pic:blipFill>
                    <a:blip r:embed="rId724"/>
                    <a:stretch>
                      <a:fillRect/>
                    </a:stretch>
                  </pic:blipFill>
                  <pic:spPr>
                    <a:xfrm>
                      <a:off x="0" y="0"/>
                      <a:ext cx="914400" cy="266700"/>
                    </a:xfrm>
                    <a:prstGeom prst="rect">
                      <a:avLst/>
                    </a:prstGeom>
                  </pic:spPr>
                </pic:pic>
              </a:graphicData>
            </a:graphic>
          </wp:anchor>
        </w:drawing>
      </w:r>
      <w:bookmarkEnd w:id="1069"/>
      <w:bookmarkEnd w:id="1070"/>
    </w:p>
    <w:p>
      <w:bookmarkStart w:id="1071" w:name="H"/>
      <w:bookmarkStart w:id="1072" w:name="Top_of_index_split_192_html"/>
      <w:pPr>
        <w:pStyle w:val="Heading 1"/>
        <w:pageBreakBefore w:val="on"/>
      </w:pPr>
      <w:r>
        <w:t>H</w:t>
      </w:r>
      <w:bookmarkEnd w:id="1071"/>
      <w:bookmarkEnd w:id="1072"/>
    </w:p>
    <w:p>
      <w:pPr>
        <w:pStyle w:val="Para 17"/>
      </w:pPr>
      <w:r>
        <w:t/>
      </w:r>
    </w:p>
    <w:p>
      <w:pPr>
        <w:pStyle w:val="Para 01"/>
      </w:pPr>
      <w:r>
        <w:t>HA</w:t>
      </w:r>
    </w:p>
    <w:p>
      <w:pPr>
        <w:pStyle w:val="Para 01"/>
      </w:pPr>
      <w:r>
        <w:t>High Availability</w:t>
      </w:r>
    </w:p>
    <w:p>
      <w:pPr>
        <w:pStyle w:val="Para 02"/>
      </w:pPr>
      <w:r>
        <w:t>HA is the process of ensuring that a system is always up. To achieve this, a redundant system is set up that either takes over when the main system is down or runs alongside the main system to load-balance the workload.</w:t>
      </w:r>
    </w:p>
    <w:p>
      <w:pPr>
        <w:pStyle w:val="Para 02"/>
      </w:pPr>
      <w:r>
        <w:t>Related topic(s):</w:t>
      </w:r>
    </w:p>
    <w:p>
      <w:pPr>
        <w:pStyle w:val="Para 06"/>
      </w:pPr>
      <w:r>
        <w:t>• High availability</w:t>
      </w:r>
    </w:p>
    <w:p>
      <w:pPr>
        <w:pStyle w:val="Para 01"/>
      </w:pPr>
      <w:r>
        <w:t>HBA</w:t>
      </w:r>
    </w:p>
    <w:p>
      <w:pPr>
        <w:pStyle w:val="Para 01"/>
      </w:pPr>
      <w:r>
        <w:t>Host Bus Adapter</w:t>
      </w:r>
    </w:p>
    <w:p>
      <w:pPr>
        <w:pStyle w:val="Para 02"/>
      </w:pPr>
      <w:r>
        <w:t>HBAs are interface cards that connect a server to a storage device.</w:t>
      </w:r>
    </w:p>
    <w:p>
      <w:pPr>
        <w:pStyle w:val="Para 02"/>
      </w:pPr>
      <w:r>
        <w:t>Related topic(s):</w:t>
      </w:r>
    </w:p>
    <w:p>
      <w:pPr>
        <w:pStyle w:val="Para 06"/>
      </w:pPr>
      <w:r>
        <w:t>• Device mapper multipathing</w:t>
      </w:r>
    </w:p>
    <w:p>
      <w:pPr>
        <w:pStyle w:val="Para 01"/>
      </w:pPr>
      <w:r>
        <w:t>HMAC</w:t>
      </w:r>
    </w:p>
    <w:p>
      <w:pPr>
        <w:pStyle w:val="Para 01"/>
      </w:pPr>
      <w:r>
        <w:t>Hash-based Message Authentication Code</w:t>
      </w:r>
    </w:p>
    <w:p>
      <w:pPr>
        <w:pStyle w:val="Para 02"/>
      </w:pPr>
      <w:r>
        <w:t xml:space="preserve">A HMAC is a type of </w:t>
      </w:r>
      <w:hyperlink w:anchor="page_694">
        <w:r>
          <w:rPr>
            <w:rStyle w:val="Text2"/>
          </w:rPr>
          <w:t>Message Authentication Code</w:t>
        </w:r>
      </w:hyperlink>
      <w:r>
        <w:t>. While a general MAC may use various techniques during combination, HMAC follows a structured way. When a message and its HMAC are sent, the receiver verifies the integrity by computing the HMAC again – if the message is altered, the value will differ.</w:t>
      </w:r>
    </w:p>
    <w:p>
      <w:pPr>
        <w:pStyle w:val="Para 02"/>
      </w:pPr>
      <w:r>
        <w:t>Related topic(s):</w:t>
      </w:r>
    </w:p>
    <w:p>
      <w:pPr>
        <w:pStyle w:val="Para 06"/>
      </w:pPr>
      <w:r>
        <w:t>• Cryptography, Security</w:t>
      </w:r>
    </w:p>
    <w:p>
      <w:pPr>
        <w:pStyle w:val="Para 01"/>
      </w:pPr>
      <w:r>
        <w:t>HMC</w:t>
      </w:r>
    </w:p>
    <w:p>
      <w:pPr>
        <w:pStyle w:val="Para 01"/>
      </w:pPr>
      <w:r>
        <w:t>Hardware Management Console</w:t>
      </w:r>
    </w:p>
    <w:p>
      <w:pPr>
        <w:pStyle w:val="Para 02"/>
      </w:pPr>
      <w:r>
        <w:t>A HMC is used to manage IBM servers. It can handle tasks like configuring network</w:t>
      </w:r>
    </w:p>
    <w:p>
      <w:pPr>
        <w:pStyle w:val="Para 02"/>
      </w:pPr>
      <w:r>
        <w:t xml:space="preserve">settings, loading Ubuntu installation files and installing the </w:t>
      </w:r>
      <w:hyperlink w:anchor="page_698">
        <w:r>
          <w:rPr>
            <w:rStyle w:val="Text2"/>
          </w:rPr>
          <w:t>OS</w:t>
        </w:r>
      </w:hyperlink>
      <w:r>
        <w:t>.</w:t>
      </w:r>
    </w:p>
    <w:p>
      <w:pPr>
        <w:pStyle w:val="Para 01"/>
      </w:pPr>
      <w:r>
        <w:t>hostgroup</w:t>
      </w:r>
    </w:p>
    <w:p>
      <w:pPr>
        <w:pStyle w:val="Para 02"/>
      </w:pPr>
      <w:r>
        <w:t>A group of backend web or database servers with similar configurations.</w:t>
      </w:r>
    </w:p>
    <w:p>
      <w:pPr>
        <w:pStyle w:val="Para 02"/>
      </w:pPr>
      <w:r>
        <w:t>Related topic(s):</w:t>
      </w:r>
    </w:p>
    <w:p>
      <w:pPr>
        <w:pStyle w:val="Para 06"/>
      </w:pPr>
      <w:r>
        <w:t>• Observability</w:t>
      </w:r>
    </w:p>
    <w:p>
      <w:pPr>
        <w:pStyle w:val="Para 01"/>
      </w:pPr>
      <w:r>
        <w:t>hostname</w:t>
      </w:r>
    </w:p>
    <w:p>
      <w:pPr>
        <w:pStyle w:val="Para 02"/>
      </w:pPr>
      <w:r>
        <w:t xml:space="preserve">A hostname identifies a server using a word rather than an </w:t>
      </w:r>
      <w:hyperlink w:anchor="page_690">
        <w:r>
          <w:rPr>
            <w:rStyle w:val="Text2"/>
          </w:rPr>
          <w:t>IP address</w:t>
        </w:r>
      </w:hyperlink>
      <w:r>
        <w:t>. This makes it easier to remember.</w:t>
      </w:r>
    </w:p>
    <w:p>
      <w:pPr>
        <w:pStyle w:val="Para 01"/>
      </w:pPr>
      <w:r>
        <w:t>HOTP</w:t>
      </w:r>
    </w:p>
    <w:p>
      <w:pPr>
        <w:pStyle w:val="Para 01"/>
      </w:pPr>
      <w:r>
        <w:t>HMAC-based One-Time Password</w:t>
      </w:r>
    </w:p>
    <w:p>
      <w:pPr>
        <w:pStyle w:val="Para 02"/>
      </w:pPr>
      <w:r>
        <w:t xml:space="preserve">HOTP generates a one-time password by using the </w:t>
      </w:r>
      <w:hyperlink w:anchor="page_688">
        <w:r>
          <w:rPr>
            <w:rStyle w:val="Text2"/>
          </w:rPr>
          <w:t>HMAC</w:t>
        </w:r>
      </w:hyperlink>
      <w:r>
        <w:t xml:space="preserve"> algorithm in combination with</w:t>
      </w:r>
    </w:p>
    <w:p>
      <w:pPr>
        <w:pStyle w:val="Para 02"/>
      </w:pPr>
      <w:r>
        <w:t xml:space="preserve">a counter. When a client presents the </w:t>
      </w:r>
      <w:hyperlink w:anchor="page_699">
        <w:r>
          <w:rPr>
            <w:rStyle w:val="Text2"/>
          </w:rPr>
          <w:t>OTP</w:t>
        </w:r>
      </w:hyperlink>
      <w:r>
        <w:t>, the server compares it with OTPs generated within a specific counter window to find a match.</w:t>
      </w:r>
    </w:p>
    <w:p>
      <w:pPr>
        <w:pStyle w:val="Para 01"/>
      </w:pPr>
      <w:r>
        <w:t>hotplug</w:t>
      </w:r>
    </w:p>
    <w:p>
      <w:pPr>
        <w:pStyle w:val="Para 02"/>
      </w:pPr>
      <w:r>
        <w:t>The process of adding or removing a device (USB, disks, etc.) while a virtual machine is running.</w:t>
      </w:r>
    </w:p>
    <w:p>
      <w:pPr>
        <w:pStyle w:val="Para 01"/>
      </w:pPr>
      <w:r>
        <w:t>HPB</w:t>
      </w:r>
    </w:p>
    <w:p>
      <w:pPr>
        <w:pStyle w:val="Para 01"/>
      </w:pPr>
      <w:r>
        <w:t>Host Physical Bits</w:t>
      </w:r>
    </w:p>
    <w:p>
      <w:bookmarkStart w:id="1073" w:name="page_6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1" name="index-689_1.png" descr="index-689_1.png"/>
            <wp:cNvGraphicFramePr>
              <a:graphicFrameLocks noChangeAspect="1"/>
            </wp:cNvGraphicFramePr>
            <a:graphic>
              <a:graphicData uri="http://schemas.openxmlformats.org/drawingml/2006/picture">
                <pic:pic>
                  <pic:nvPicPr>
                    <pic:cNvPr id="0" name="index-689_1.png" descr="index-689_1.png"/>
                    <pic:cNvPicPr/>
                  </pic:nvPicPr>
                  <pic:blipFill>
                    <a:blip r:embed="rId725"/>
                    <a:stretch>
                      <a:fillRect/>
                    </a:stretch>
                  </pic:blipFill>
                  <pic:spPr>
                    <a:xfrm>
                      <a:off x="0" y="0"/>
                      <a:ext cx="914400" cy="266700"/>
                    </a:xfrm>
                    <a:prstGeom prst="rect">
                      <a:avLst/>
                    </a:prstGeom>
                  </pic:spPr>
                </pic:pic>
              </a:graphicData>
            </a:graphic>
          </wp:anchor>
        </w:drawing>
      </w:r>
      <w:bookmarkEnd w:id="1073"/>
    </w:p>
    <w:p>
      <w:pPr>
        <w:pStyle w:val="Para 02"/>
      </w:pPr>
      <w:r>
        <w:t>HPB are appended to the name of an Ubuntu machine type. It signifies that a virtual</w:t>
      </w:r>
    </w:p>
    <w:p>
      <w:pPr>
        <w:pStyle w:val="Para 02"/>
      </w:pPr>
      <w:r>
        <w:t xml:space="preserve">machine will use the same number of bits the host </w:t>
      </w:r>
      <w:hyperlink w:anchor="page_676">
        <w:r>
          <w:rPr>
            <w:rStyle w:val="Text2"/>
          </w:rPr>
          <w:t>CPU</w:t>
        </w:r>
      </w:hyperlink>
      <w:r>
        <w:t xml:space="preserve"> uses to point to physical mem-ory.</w:t>
      </w:r>
    </w:p>
    <w:p>
      <w:pPr>
        <w:pStyle w:val="Para 01"/>
      </w:pPr>
      <w:r>
        <w:t>HPC</w:t>
      </w:r>
    </w:p>
    <w:p>
      <w:pPr>
        <w:pStyle w:val="Para 01"/>
      </w:pPr>
      <w:r>
        <w:t>High Performance Computing</w:t>
      </w:r>
    </w:p>
    <w:p>
      <w:pPr>
        <w:pStyle w:val="Para 02"/>
      </w:pPr>
      <w:r>
        <w:t>HPC is the use of multiple servers to improve the performance of a task.</w:t>
      </w:r>
    </w:p>
    <w:p>
      <w:pPr>
        <w:pStyle w:val="Para 01"/>
      </w:pPr>
      <w:r>
        <w:t>HSG</w:t>
      </w:r>
    </w:p>
    <w:p>
      <w:pPr>
        <w:pStyle w:val="Para 01"/>
      </w:pPr>
      <w:r>
        <w:t>High-availability Storage Group</w:t>
      </w:r>
    </w:p>
    <w:p>
      <w:pPr>
        <w:pStyle w:val="Para 07"/>
      </w:pPr>
      <w:r>
        <w:t>Work in Progress</w:t>
      </w:r>
    </w:p>
    <w:p>
      <w:pPr>
        <w:pStyle w:val="Para 01"/>
      </w:pPr>
      <w:r>
        <w:t>HSV</w:t>
      </w:r>
    </w:p>
    <w:p>
      <w:pPr>
        <w:pStyle w:val="Para 01"/>
      </w:pPr>
      <w:r>
        <w:t>Highly-available Storage Virtualization</w:t>
      </w:r>
    </w:p>
    <w:p>
      <w:pPr>
        <w:pStyle w:val="Para 07"/>
      </w:pPr>
      <w:r>
        <w:t>Work in Progress</w:t>
      </w:r>
    </w:p>
    <w:p>
      <w:pPr>
        <w:pStyle w:val="Para 01"/>
      </w:pPr>
      <w:r>
        <w:t>HTCP</w:t>
      </w:r>
    </w:p>
    <w:p>
      <w:pPr>
        <w:pStyle w:val="Para 01"/>
      </w:pPr>
      <w:r>
        <w:t>Hyper Text Caching Protocol</w:t>
      </w:r>
    </w:p>
    <w:p>
      <w:pPr>
        <w:pStyle w:val="Para 07"/>
      </w:pPr>
      <w:r>
        <w:t>Work in Progress</w:t>
      </w:r>
    </w:p>
    <w:p>
      <w:pPr>
        <w:pStyle w:val="Para 01"/>
      </w:pPr>
      <w:r>
        <w:t>HTML</w:t>
      </w:r>
    </w:p>
    <w:p>
      <w:pPr>
        <w:pStyle w:val="Para 01"/>
      </w:pPr>
      <w:r>
        <w:t>HyperText Markup Language</w:t>
      </w:r>
    </w:p>
    <w:p>
      <w:pPr>
        <w:pStyle w:val="Para 07"/>
      </w:pPr>
      <w:r>
        <w:t>Work in Progress</w:t>
      </w:r>
    </w:p>
    <w:p>
      <w:pPr>
        <w:pStyle w:val="Para 01"/>
      </w:pPr>
      <w:r>
        <w:t>HTTP</w:t>
      </w:r>
    </w:p>
    <w:p>
      <w:pPr>
        <w:pStyle w:val="Para 01"/>
      </w:pPr>
      <w:r>
        <w:t>HyperText Transfer Protocol</w:t>
      </w:r>
    </w:p>
    <w:p>
      <w:pPr>
        <w:pStyle w:val="Para 07"/>
      </w:pPr>
      <w:r>
        <w:t>Work in Progress</w:t>
      </w:r>
    </w:p>
    <w:p>
      <w:pPr>
        <w:pStyle w:val="Para 01"/>
      </w:pPr>
      <w:r>
        <w:t>HTTPD</w:t>
      </w:r>
    </w:p>
    <w:p>
      <w:pPr>
        <w:pStyle w:val="Para 01"/>
      </w:pPr>
      <w:r>
        <w:t>HyperText Transfer Protocol Daemon</w:t>
      </w:r>
    </w:p>
    <w:p>
      <w:pPr>
        <w:pStyle w:val="Para 07"/>
      </w:pPr>
      <w:r>
        <w:t>Work in Progress</w:t>
      </w:r>
    </w:p>
    <w:p>
      <w:pPr>
        <w:pStyle w:val="Para 01"/>
      </w:pPr>
      <w:r>
        <w:t>HTTPS</w:t>
      </w:r>
    </w:p>
    <w:p>
      <w:pPr>
        <w:pStyle w:val="Para 01"/>
      </w:pPr>
      <w:r>
        <w:t>HyperText Transfer Protocol Secure</w:t>
      </w:r>
    </w:p>
    <w:p>
      <w:pPr>
        <w:pStyle w:val="Para 07"/>
      </w:pPr>
      <w:r>
        <w:t>Work in Progress</w:t>
      </w:r>
    </w:p>
    <w:p>
      <w:pPr>
        <w:pStyle w:val="Para 01"/>
      </w:pPr>
      <w:r>
        <w:t>hugepage</w:t>
      </w:r>
    </w:p>
    <w:p>
      <w:pPr>
        <w:pStyle w:val="Para 02"/>
      </w:pPr>
      <w:r>
        <w:t>A hugepage increases the page size on a host, and as a result, when virtual memory is allocated to an application, there are fewer page table entries required to map the vir-tual memory to physical memory. The page table entries are stored in Random Access</w:t>
      </w:r>
    </w:p>
    <w:p>
      <w:pPr>
        <w:pStyle w:val="Para 31"/>
      </w:pPr>
      <w:r>
        <w:rPr>
          <w:rStyle w:val="Text4"/>
        </w:rPr>
        <w:t xml:space="preserve">Memory (RAM) and cached in the </w:t>
      </w:r>
      <w:hyperlink w:anchor="page_709">
        <w:r>
          <w:t>Translation Lookaside Buffer (TLB)</w:t>
        </w:r>
      </w:hyperlink>
      <w:hyperlink w:anchor="page_709">
        <w:r>
          <w:rPr>
            <w:rStyle w:val="Text3"/>
          </w:rPr>
          <w:t>.</w:t>
        </w:r>
      </w:hyperlink>
    </w:p>
    <w:p>
      <w:pPr>
        <w:pStyle w:val="Para 01"/>
      </w:pPr>
      <w:r>
        <w:t>HWE</w:t>
      </w:r>
    </w:p>
    <w:p>
      <w:pPr>
        <w:pStyle w:val="Para 01"/>
      </w:pPr>
      <w:r>
        <w:t>Hardware Enablement</w:t>
      </w:r>
    </w:p>
    <w:p>
      <w:pPr>
        <w:pStyle w:val="Para 07"/>
      </w:pPr>
      <w:r>
        <w:t>Work in Progress</w:t>
      </w:r>
    </w:p>
    <w:p>
      <w:pPr>
        <w:pStyle w:val="Para 17"/>
      </w:pPr>
      <w:r>
        <w:t/>
      </w:r>
    </w:p>
    <w:p>
      <w:pPr>
        <w:pStyle w:val="Heading 2"/>
      </w:pPr>
      <w:r>
        <w:t>I</w:t>
      </w:r>
    </w:p>
    <w:p>
      <w:pPr>
        <w:pStyle w:val="Para 17"/>
      </w:pPr>
      <w:r>
        <w:t/>
      </w:r>
    </w:p>
    <w:p>
      <w:pPr>
        <w:pStyle w:val="Para 01"/>
      </w:pPr>
      <w:r>
        <w:t>ICMP</w:t>
      </w:r>
    </w:p>
    <w:p>
      <w:pPr>
        <w:pStyle w:val="Para 01"/>
      </w:pPr>
      <w:r>
        <w:t>Internet Control Message Protocol</w:t>
      </w:r>
    </w:p>
    <w:p>
      <w:pPr>
        <w:pStyle w:val="Para 07"/>
      </w:pPr>
      <w:r>
        <w:t>Work in Progress</w:t>
      </w:r>
    </w:p>
    <w:p>
      <w:pPr>
        <w:pStyle w:val="Para 01"/>
      </w:pPr>
      <w:r>
        <w:t>ICP</w:t>
      </w:r>
    </w:p>
    <w:p>
      <w:pPr>
        <w:pStyle w:val="Para 01"/>
      </w:pPr>
      <w:r>
        <w:t>Internet Cache Protocol</w:t>
      </w:r>
    </w:p>
    <w:p>
      <w:pPr>
        <w:pStyle w:val="Para 07"/>
      </w:pPr>
      <w:r>
        <w:t>Work in Progress</w:t>
      </w:r>
    </w:p>
    <w:p>
      <w:bookmarkStart w:id="1074" w:name="page_6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2" name="index-690_1.png" descr="index-690_1.png"/>
            <wp:cNvGraphicFramePr>
              <a:graphicFrameLocks noChangeAspect="1"/>
            </wp:cNvGraphicFramePr>
            <a:graphic>
              <a:graphicData uri="http://schemas.openxmlformats.org/drawingml/2006/picture">
                <pic:pic>
                  <pic:nvPicPr>
                    <pic:cNvPr id="0" name="index-690_1.png" descr="index-690_1.png"/>
                    <pic:cNvPicPr/>
                  </pic:nvPicPr>
                  <pic:blipFill>
                    <a:blip r:embed="rId726"/>
                    <a:stretch>
                      <a:fillRect/>
                    </a:stretch>
                  </pic:blipFill>
                  <pic:spPr>
                    <a:xfrm>
                      <a:off x="0" y="0"/>
                      <a:ext cx="914400" cy="266700"/>
                    </a:xfrm>
                    <a:prstGeom prst="rect">
                      <a:avLst/>
                    </a:prstGeom>
                  </pic:spPr>
                </pic:pic>
              </a:graphicData>
            </a:graphic>
          </wp:anchor>
        </w:drawing>
      </w:r>
      <w:bookmarkEnd w:id="1074"/>
    </w:p>
    <w:p>
      <w:bookmarkStart w:id="1075" w:name="Top_of_index_split_193_html"/>
      <w:bookmarkStart w:id="1076" w:name="IDENT"/>
      <w:pPr>
        <w:pStyle w:val="Heading 1"/>
        <w:pageBreakBefore w:val="on"/>
      </w:pPr>
      <w:r>
        <w:t>IDENT</w:t>
      </w:r>
      <w:bookmarkEnd w:id="1075"/>
      <w:bookmarkEnd w:id="1076"/>
    </w:p>
    <w:p>
      <w:pPr>
        <w:pStyle w:val="Para 01"/>
      </w:pPr>
      <w:r>
        <w:t>Identification Protocol</w:t>
      </w:r>
    </w:p>
    <w:p>
      <w:pPr>
        <w:pStyle w:val="Para 07"/>
      </w:pPr>
      <w:r>
        <w:t>Work in Progress</w:t>
      </w:r>
    </w:p>
    <w:p>
      <w:pPr>
        <w:pStyle w:val="Para 01"/>
      </w:pPr>
      <w:r>
        <w:t>IMAP</w:t>
      </w:r>
    </w:p>
    <w:p>
      <w:pPr>
        <w:pStyle w:val="Para 01"/>
      </w:pPr>
      <w:r>
        <w:t>Internet Messages Access Protocol</w:t>
      </w:r>
    </w:p>
    <w:p>
      <w:pPr>
        <w:pStyle w:val="Para 07"/>
      </w:pPr>
      <w:r>
        <w:t>Work in Progress</w:t>
      </w:r>
    </w:p>
    <w:p>
      <w:pPr>
        <w:pStyle w:val="Para 01"/>
      </w:pPr>
      <w:r>
        <w:t>init</w:t>
      </w:r>
    </w:p>
    <w:p>
      <w:pPr>
        <w:pStyle w:val="Para 01"/>
      </w:pPr>
      <w:r>
        <w:t>initialization</w:t>
      </w:r>
    </w:p>
    <w:p>
      <w:pPr>
        <w:pStyle w:val="Para 07"/>
      </w:pPr>
      <w:r>
        <w:t>Work in Progress</w:t>
      </w:r>
    </w:p>
    <w:p>
      <w:pPr>
        <w:pStyle w:val="Para 01"/>
      </w:pPr>
      <w:r>
        <w:t>Intel-TDX</w:t>
      </w:r>
    </w:p>
    <w:p>
      <w:pPr>
        <w:pStyle w:val="Para 01"/>
      </w:pPr>
      <w:r>
        <w:t>Intel Trust Domain Extensions</w:t>
      </w:r>
    </w:p>
    <w:p>
      <w:pPr>
        <w:pStyle w:val="Para 02"/>
      </w:pPr>
      <w:r>
        <w:t>Intel-TDX is a hardware-based confidential computing technology that creates isolated execution environments called Trust Domains (TDs) for virtual machines. It provides memory encryption, CPU state protection, and integrity verification to protect guest VMs from unauthorized access by the host and hypervisor. TDX is available on 4th gen-eration Intel Xeon Scalable processors and later.</w:t>
      </w:r>
    </w:p>
    <w:p>
      <w:pPr>
        <w:pStyle w:val="Para 02"/>
      </w:pPr>
      <w:r>
        <w:t>Related topic(s):</w:t>
      </w:r>
    </w:p>
    <w:p>
      <w:pPr>
        <w:pStyle w:val="Para 06"/>
      </w:pPr>
      <w:r>
        <w:t>• Cryptography, Security, Virtualization</w:t>
      </w:r>
    </w:p>
    <w:p>
      <w:pPr>
        <w:pStyle w:val="Para 01"/>
      </w:pPr>
      <w:r>
        <w:t>I/O</w:t>
      </w:r>
    </w:p>
    <w:p>
      <w:pPr>
        <w:pStyle w:val="Para 01"/>
      </w:pPr>
      <w:r>
        <w:t>Input/Output</w:t>
      </w:r>
    </w:p>
    <w:p>
      <w:pPr>
        <w:pStyle w:val="Para 07"/>
      </w:pPr>
      <w:r>
        <w:t>Work in Progress</w:t>
      </w:r>
    </w:p>
    <w:p>
      <w:pPr>
        <w:pStyle w:val="Para 01"/>
      </w:pPr>
      <w:r>
        <w:t>IOMMU</w:t>
      </w:r>
    </w:p>
    <w:p>
      <w:pPr>
        <w:pStyle w:val="Para 01"/>
      </w:pPr>
      <w:r>
        <w:t>Input-Output Memory Management Unit</w:t>
      </w:r>
    </w:p>
    <w:p>
      <w:pPr>
        <w:pStyle w:val="Para 07"/>
      </w:pPr>
      <w:r>
        <w:t>Work in Progress</w:t>
      </w:r>
    </w:p>
    <w:p>
      <w:pPr>
        <w:pStyle w:val="Para 01"/>
      </w:pPr>
      <w:r>
        <w:t>IoT</w:t>
      </w:r>
    </w:p>
    <w:p>
      <w:pPr>
        <w:pStyle w:val="Para 01"/>
      </w:pPr>
      <w:r>
        <w:t>Internet of Things</w:t>
      </w:r>
    </w:p>
    <w:p>
      <w:pPr>
        <w:pStyle w:val="Para 07"/>
      </w:pPr>
      <w:r>
        <w:t>Work in Progress</w:t>
      </w:r>
    </w:p>
    <w:p>
      <w:pPr>
        <w:pStyle w:val="Para 01"/>
      </w:pPr>
      <w:r>
        <w:t>IP</w:t>
      </w:r>
    </w:p>
    <w:p>
      <w:pPr>
        <w:pStyle w:val="Para 01"/>
      </w:pPr>
      <w:r>
        <w:t>Internet Protocol</w:t>
      </w:r>
    </w:p>
    <w:p>
      <w:pPr>
        <w:pStyle w:val="Para 07"/>
      </w:pPr>
      <w:r>
        <w:t>Work in Progress</w:t>
      </w:r>
    </w:p>
    <w:p>
      <w:pPr>
        <w:pStyle w:val="Para 01"/>
      </w:pPr>
      <w:r>
        <w:t>IP address</w:t>
      </w:r>
    </w:p>
    <w:p>
      <w:pPr>
        <w:pStyle w:val="Para 07"/>
      </w:pPr>
      <w:r>
        <w:t>Work in Progress</w:t>
      </w:r>
    </w:p>
    <w:p>
      <w:pPr>
        <w:pStyle w:val="Para 01"/>
      </w:pPr>
      <w:r>
        <w:t>IPC</w:t>
      </w:r>
    </w:p>
    <w:p>
      <w:pPr>
        <w:pStyle w:val="Para 01"/>
      </w:pPr>
      <w:r>
        <w:t>Inter-Process Communication</w:t>
      </w:r>
    </w:p>
    <w:p>
      <w:pPr>
        <w:pStyle w:val="Para 07"/>
      </w:pPr>
      <w:r>
        <w:t>Work in Progress</w:t>
      </w:r>
    </w:p>
    <w:p>
      <w:pPr>
        <w:pStyle w:val="Para 01"/>
      </w:pPr>
      <w:r>
        <w:t>IPL</w:t>
      </w:r>
    </w:p>
    <w:p>
      <w:pPr>
        <w:pStyle w:val="Para 01"/>
      </w:pPr>
      <w:r>
        <w:t>Initial Program Load</w:t>
      </w:r>
    </w:p>
    <w:p>
      <w:pPr>
        <w:pStyle w:val="Para 07"/>
      </w:pPr>
      <w:r>
        <w:t>Work in Progress</w:t>
      </w:r>
    </w:p>
    <w:p>
      <w:pPr>
        <w:pStyle w:val="Para 01"/>
      </w:pPr>
      <w:r>
        <w:t>IPMI</w:t>
      </w:r>
    </w:p>
    <w:p>
      <w:pPr>
        <w:pStyle w:val="Para 01"/>
      </w:pPr>
      <w:r>
        <w:t>Intelligent Platform Management Interface</w:t>
      </w:r>
    </w:p>
    <w:p>
      <w:pPr>
        <w:pStyle w:val="Para 07"/>
      </w:pPr>
      <w:r>
        <w:t>Work in Progress</w:t>
      </w:r>
    </w:p>
    <w:p>
      <w:pPr>
        <w:pStyle w:val="Para 01"/>
      </w:pPr>
      <w:r>
        <w:t>IPP</w:t>
      </w:r>
    </w:p>
    <w:p>
      <w:pPr>
        <w:pStyle w:val="Para 01"/>
      </w:pPr>
      <w:r>
        <w:t>Internet Printing Protocol</w:t>
      </w:r>
    </w:p>
    <w:p>
      <w:pPr>
        <w:pStyle w:val="Para 07"/>
      </w:pPr>
      <w:r>
        <w:t>Work in Progress</w:t>
      </w:r>
    </w:p>
    <w:p>
      <w:bookmarkStart w:id="1077" w:name="page_69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3" name="index-691_1.png" descr="index-691_1.png"/>
            <wp:cNvGraphicFramePr>
              <a:graphicFrameLocks noChangeAspect="1"/>
            </wp:cNvGraphicFramePr>
            <a:graphic>
              <a:graphicData uri="http://schemas.openxmlformats.org/drawingml/2006/picture">
                <pic:pic>
                  <pic:nvPicPr>
                    <pic:cNvPr id="0" name="index-691_1.png" descr="index-691_1.png"/>
                    <pic:cNvPicPr/>
                  </pic:nvPicPr>
                  <pic:blipFill>
                    <a:blip r:embed="rId727"/>
                    <a:stretch>
                      <a:fillRect/>
                    </a:stretch>
                  </pic:blipFill>
                  <pic:spPr>
                    <a:xfrm>
                      <a:off x="0" y="0"/>
                      <a:ext cx="914400" cy="266700"/>
                    </a:xfrm>
                    <a:prstGeom prst="rect">
                      <a:avLst/>
                    </a:prstGeom>
                  </pic:spPr>
                </pic:pic>
              </a:graphicData>
            </a:graphic>
          </wp:anchor>
        </w:drawing>
      </w:r>
      <w:bookmarkEnd w:id="1077"/>
    </w:p>
    <w:p>
      <w:pPr>
        <w:pStyle w:val="Para 01"/>
      </w:pPr>
      <w:r>
        <w:t>IPSec</w:t>
      </w:r>
    </w:p>
    <w:p>
      <w:pPr>
        <w:pStyle w:val="Para 01"/>
      </w:pPr>
      <w:r>
        <w:t>Internet Protocol Security</w:t>
      </w:r>
    </w:p>
    <w:p>
      <w:pPr>
        <w:pStyle w:val="Para 07"/>
      </w:pPr>
      <w:r>
        <w:t>Work in Progress</w:t>
      </w:r>
    </w:p>
    <w:p>
      <w:pPr>
        <w:pStyle w:val="Para 01"/>
      </w:pPr>
      <w:r>
        <w:t>IPVS</w:t>
      </w:r>
    </w:p>
    <w:p>
      <w:pPr>
        <w:pStyle w:val="Para 01"/>
      </w:pPr>
      <w:r>
        <w:t>IP Virtual Server</w:t>
      </w:r>
    </w:p>
    <w:p>
      <w:pPr>
        <w:pStyle w:val="Para 07"/>
      </w:pPr>
      <w:r>
        <w:t>Work in Progress</w:t>
      </w:r>
    </w:p>
    <w:p>
      <w:pPr>
        <w:pStyle w:val="Para 01"/>
      </w:pPr>
      <w:r>
        <w:t>IQN</w:t>
      </w:r>
    </w:p>
    <w:p>
      <w:pPr>
        <w:pStyle w:val="Para 01"/>
      </w:pPr>
      <w:r>
        <w:t>iSCSI Qualified Name</w:t>
      </w:r>
    </w:p>
    <w:p>
      <w:pPr>
        <w:pStyle w:val="Para 07"/>
      </w:pPr>
      <w:r>
        <w:t>Work in Progress</w:t>
      </w:r>
    </w:p>
    <w:p>
      <w:pPr>
        <w:pStyle w:val="Para 01"/>
      </w:pPr>
      <w:r>
        <w:t>IRC</w:t>
      </w:r>
    </w:p>
    <w:p>
      <w:pPr>
        <w:pStyle w:val="Para 01"/>
      </w:pPr>
      <w:r>
        <w:t>Internet Relay Chat</w:t>
      </w:r>
    </w:p>
    <w:p>
      <w:pPr>
        <w:pStyle w:val="Para 07"/>
      </w:pPr>
      <w:r>
        <w:t>Work in Progress</w:t>
      </w:r>
    </w:p>
    <w:p>
      <w:pPr>
        <w:pStyle w:val="Para 01"/>
      </w:pPr>
      <w:r>
        <w:t>ISC</w:t>
      </w:r>
    </w:p>
    <w:p>
      <w:pPr>
        <w:pStyle w:val="Para 01"/>
      </w:pPr>
      <w:r>
        <w:t>Internet Systems Consortium</w:t>
      </w:r>
    </w:p>
    <w:p>
      <w:pPr>
        <w:pStyle w:val="Para 07"/>
      </w:pPr>
      <w:r>
        <w:t>Work in Progress</w:t>
      </w:r>
    </w:p>
    <w:p>
      <w:pPr>
        <w:pStyle w:val="Para 01"/>
      </w:pPr>
      <w:r>
        <w:t>iSCSI</w:t>
      </w:r>
    </w:p>
    <w:p>
      <w:pPr>
        <w:pStyle w:val="Para 01"/>
      </w:pPr>
      <w:r>
        <w:t>Internet Small Computer System Interface</w:t>
      </w:r>
    </w:p>
    <w:p>
      <w:pPr>
        <w:pStyle w:val="Para 07"/>
      </w:pPr>
      <w:r>
        <w:t>Work in Progress</w:t>
      </w:r>
    </w:p>
    <w:p>
      <w:pPr>
        <w:pStyle w:val="Para 01"/>
      </w:pPr>
      <w:r>
        <w:t>ISO</w:t>
      </w:r>
    </w:p>
    <w:p>
      <w:pPr>
        <w:pStyle w:val="Para 01"/>
      </w:pPr>
      <w:r>
        <w:t>International Organization for Standardization</w:t>
      </w:r>
    </w:p>
    <w:p>
      <w:pPr>
        <w:pStyle w:val="Para 07"/>
      </w:pPr>
      <w:r>
        <w:t>Work in Progress</w:t>
      </w:r>
    </w:p>
    <w:p>
      <w:pPr>
        <w:pStyle w:val="Para 01"/>
      </w:pPr>
      <w:r>
        <w:t>ISP</w:t>
      </w:r>
    </w:p>
    <w:p>
      <w:pPr>
        <w:pStyle w:val="Para 01"/>
      </w:pPr>
      <w:r>
        <w:t>Internet Service Provider</w:t>
      </w:r>
    </w:p>
    <w:p>
      <w:pPr>
        <w:pStyle w:val="Para 07"/>
      </w:pPr>
      <w:r>
        <w:t>Work in Progress</w:t>
      </w:r>
    </w:p>
    <w:p>
      <w:pPr>
        <w:pStyle w:val="Para 17"/>
      </w:pPr>
      <w:r>
        <w:t/>
      </w:r>
    </w:p>
    <w:p>
      <w:pPr>
        <w:pStyle w:val="Para 01"/>
      </w:pPr>
      <w:r>
        <w:t>J</w:t>
      </w:r>
    </w:p>
    <w:p>
      <w:pPr>
        <w:pStyle w:val="Para 17"/>
      </w:pPr>
      <w:r>
        <w:t/>
      </w:r>
    </w:p>
    <w:p>
      <w:pPr>
        <w:pStyle w:val="Para 01"/>
      </w:pPr>
      <w:r>
        <w:t>jitter</w:t>
      </w:r>
    </w:p>
    <w:p>
      <w:pPr>
        <w:pStyle w:val="Para 02"/>
      </w:pPr>
      <w:r>
        <w:t>Jitter is the variation in delay or latency between when data packets are sent and when they are received over a network, causing irregular arrival times at the destination. This variation is often caused by network congestion, packet loss, poor hardware perfor-mance or differences in the path packets take.</w:t>
      </w:r>
    </w:p>
    <w:p>
      <w:pPr>
        <w:pStyle w:val="Para 02"/>
      </w:pPr>
      <w:r>
        <w:t>Related topic(s):</w:t>
      </w:r>
    </w:p>
    <w:p>
      <w:pPr>
        <w:pStyle w:val="Para 06"/>
      </w:pPr>
      <w:r>
        <w:t>• Networking</w:t>
      </w:r>
    </w:p>
    <w:p>
      <w:pPr>
        <w:pStyle w:val="Para 01"/>
      </w:pPr>
      <w:r>
        <w:t>journald</w:t>
      </w:r>
    </w:p>
    <w:p>
      <w:pPr>
        <w:pStyle w:val="Para 02"/>
      </w:pPr>
      <w:r>
        <w:t xml:space="preserve">journald, also known as systemd-journald, is a logging service developed by the </w:t>
      </w:r>
      <w:hyperlink w:anchor="page_708">
        <w:r>
          <w:rPr>
            <w:rStyle w:val="Text2"/>
          </w:rPr>
          <w:t>sys-</w:t>
        </w:r>
      </w:hyperlink>
    </w:p>
    <w:p>
      <w:pPr>
        <w:pStyle w:val="Para 02"/>
      </w:pPr>
      <w:hyperlink w:anchor="page_708">
        <w:r>
          <w:rPr>
            <w:rStyle w:val="Text2"/>
          </w:rPr>
          <w:t>temd</w:t>
        </w:r>
      </w:hyperlink>
      <w:r>
        <w:t xml:space="preserve"> project as part of the systemd suite. It collects and stores log messages from var-ious sources, including systemd services, kernel messages, system logs, and application logs. journald stores logs in a binary format offering advantages, such as storage effi-ciency, searchability, and most especially structured logging. In containerized systems like Docker, it functions as a logging driver for containers.</w:t>
      </w:r>
    </w:p>
    <w:p>
      <w:pPr>
        <w:pStyle w:val="Para 02"/>
      </w:pPr>
      <w:r>
        <w:t>See also:</w:t>
      </w:r>
    </w:p>
    <w:p>
      <w:pPr>
        <w:pStyle w:val="Para 06"/>
      </w:pPr>
      <w:r>
        <w:t xml:space="preserve">• The </w:t>
      </w:r>
      <w:hyperlink w:anchor="page_691">
        <w:r>
          <w:rPr>
            <w:rStyle w:val="Text9"/>
          </w:rPr>
          <w:t>698</w:t>
        </w:r>
      </w:hyperlink>
      <w:r>
        <w:t xml:space="preserve"> </w:t>
      </w:r>
      <w:hyperlink r:id="rId1601">
        <w:r>
          <w:rPr>
            <w:rStyle w:val="Text2"/>
          </w:rPr>
          <w:t>journald.conf(5)</w:t>
        </w:r>
      </w:hyperlink>
      <w:r>
        <w:t xml:space="preserve"> manual page</w:t>
      </w:r>
    </w:p>
    <w:p>
      <w:pPr>
        <w:pStyle w:val="Para 05"/>
      </w:pPr>
      <w:r>
        <w:rPr>
          <w:rStyle w:val="Text5"/>
        </w:rPr>
        <w:t>698</w:t>
      </w:r>
      <w:r>
        <w:rPr>
          <w:rStyle w:val="Text8"/>
        </w:rPr>
        <w:t xml:space="preserve"> </w:t>
      </w:r>
      <w:r>
        <w:t>https://manpages.ubuntu.com/manpages/resolute/man5/journald.conf.5.html</w:t>
      </w:r>
    </w:p>
    <w:p>
      <w:bookmarkStart w:id="1078" w:name="page_6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4" name="index-692_1.png" descr="index-692_1.png"/>
            <wp:cNvGraphicFramePr>
              <a:graphicFrameLocks noChangeAspect="1"/>
            </wp:cNvGraphicFramePr>
            <a:graphic>
              <a:graphicData uri="http://schemas.openxmlformats.org/drawingml/2006/picture">
                <pic:pic>
                  <pic:nvPicPr>
                    <pic:cNvPr id="0" name="index-692_1.png" descr="index-692_1.png"/>
                    <pic:cNvPicPr/>
                  </pic:nvPicPr>
                  <pic:blipFill>
                    <a:blip r:embed="rId728"/>
                    <a:stretch>
                      <a:fillRect/>
                    </a:stretch>
                  </pic:blipFill>
                  <pic:spPr>
                    <a:xfrm>
                      <a:off x="0" y="0"/>
                      <a:ext cx="914400" cy="266700"/>
                    </a:xfrm>
                    <a:prstGeom prst="rect">
                      <a:avLst/>
                    </a:prstGeom>
                  </pic:spPr>
                </pic:pic>
              </a:graphicData>
            </a:graphic>
          </wp:anchor>
        </w:drawing>
      </w:r>
      <w:bookmarkEnd w:id="1078"/>
    </w:p>
    <w:p>
      <w:pPr>
        <w:pStyle w:val="Para 06"/>
      </w:pPr>
      <w:r>
        <w:t xml:space="preserve">• </w:t>
      </w:r>
      <w:hyperlink w:anchor="page_692">
        <w:r>
          <w:rPr>
            <w:rStyle w:val="Text9"/>
          </w:rPr>
          <w:t>699</w:t>
        </w:r>
      </w:hyperlink>
      <w:r>
        <w:t xml:space="preserve"> </w:t>
      </w:r>
      <w:hyperlink r:id="rId1602">
        <w:r>
          <w:rPr>
            <w:rStyle w:val="Text1"/>
          </w:rPr>
          <w:t>Docker journald documentation</w:t>
        </w:r>
      </w:hyperlink>
      <w:r>
        <w:t xml:space="preserve"> for details on using journald as a logging driver</w:t>
      </w:r>
    </w:p>
    <w:p>
      <w:pPr>
        <w:pStyle w:val="Para 02"/>
      </w:pPr>
      <w:r>
        <w:t>Related topic(s):</w:t>
      </w:r>
    </w:p>
    <w:p>
      <w:pPr>
        <w:pStyle w:val="Para 06"/>
      </w:pPr>
      <w:r>
        <w:t>• Logging, Observability</w:t>
      </w:r>
    </w:p>
    <w:p>
      <w:pPr>
        <w:pStyle w:val="Para 01"/>
      </w:pPr>
      <w:r>
        <w:t>JSON</w:t>
      </w:r>
    </w:p>
    <w:p>
      <w:pPr>
        <w:pStyle w:val="Para 01"/>
      </w:pPr>
      <w:r>
        <w:t>JavaScript Object Notation</w:t>
      </w:r>
    </w:p>
    <w:p>
      <w:pPr>
        <w:pStyle w:val="Para 02"/>
      </w:pPr>
      <w:r>
        <w:t>This is a language-independent text format that uses conventions familiar to program-mers of the C-family of languages, including C, C++, C#, Java, JavaScript, Perl, Python, and many others. Due to its simplicity, it is an ideal lightweight data interchange lan-guage.</w:t>
      </w:r>
    </w:p>
    <w:p>
      <w:pPr>
        <w:pStyle w:val="Para 02"/>
      </w:pPr>
      <w:r>
        <w:t>See also:</w:t>
      </w:r>
    </w:p>
    <w:p>
      <w:pPr>
        <w:pStyle w:val="Para 27"/>
      </w:pPr>
      <w:r>
        <w:rPr>
          <w:rStyle w:val="Text7"/>
        </w:rPr>
        <w:t xml:space="preserve">• </w:t>
      </w:r>
      <w:hyperlink w:anchor="page_692">
        <w:r>
          <w:rPr>
            <w:rStyle w:val="Text10"/>
          </w:rPr>
          <w:t>700</w:t>
        </w:r>
      </w:hyperlink>
      <w:r>
        <w:rPr>
          <w:rStyle w:val="Text7"/>
        </w:rPr>
        <w:t xml:space="preserve"> </w:t>
      </w:r>
      <w:hyperlink r:id="rId1603">
        <w:r>
          <w:t>The JSON website</w:t>
        </w:r>
      </w:hyperlink>
    </w:p>
    <w:p>
      <w:pPr>
        <w:pStyle w:val="Para 17"/>
      </w:pPr>
      <w:r>
        <w:t/>
      </w:r>
    </w:p>
    <w:p>
      <w:pPr>
        <w:pStyle w:val="Para 01"/>
      </w:pPr>
      <w:r>
        <w:t>K</w:t>
      </w:r>
    </w:p>
    <w:p>
      <w:pPr>
        <w:pStyle w:val="Para 17"/>
      </w:pPr>
      <w:r>
        <w:t/>
      </w:r>
    </w:p>
    <w:p>
      <w:pPr>
        <w:pStyle w:val="Para 01"/>
      </w:pPr>
      <w:r>
        <w:t>KDC</w:t>
      </w:r>
    </w:p>
    <w:p>
      <w:pPr>
        <w:pStyle w:val="Para 01"/>
      </w:pPr>
      <w:r>
        <w:t>Key Distribution Center</w:t>
      </w:r>
    </w:p>
    <w:p>
      <w:pPr>
        <w:pStyle w:val="Para 07"/>
      </w:pPr>
      <w:r>
        <w:t>Work in Progress</w:t>
      </w:r>
    </w:p>
    <w:p>
      <w:pPr>
        <w:pStyle w:val="Para 01"/>
      </w:pPr>
      <w:r>
        <w:t>keepalive</w:t>
      </w:r>
    </w:p>
    <w:p>
      <w:pPr>
        <w:pStyle w:val="Para 07"/>
      </w:pPr>
      <w:r>
        <w:t>Work in Progress</w:t>
      </w:r>
    </w:p>
    <w:p>
      <w:pPr>
        <w:pStyle w:val="Para 01"/>
      </w:pPr>
      <w:r>
        <w:t>Kerberos</w:t>
      </w:r>
    </w:p>
    <w:p>
      <w:pPr>
        <w:pStyle w:val="Para 07"/>
      </w:pPr>
      <w:r>
        <w:t>Work in Progress</w:t>
      </w:r>
    </w:p>
    <w:p>
      <w:pPr>
        <w:pStyle w:val="Para 01"/>
      </w:pPr>
      <w:r>
        <w:t>keypair</w:t>
      </w:r>
    </w:p>
    <w:p>
      <w:pPr>
        <w:pStyle w:val="Para 07"/>
      </w:pPr>
      <w:r>
        <w:t>Work in Progress</w:t>
      </w:r>
    </w:p>
    <w:p>
      <w:pPr>
        <w:pStyle w:val="Para 01"/>
      </w:pPr>
      <w:r>
        <w:t>keyring</w:t>
      </w:r>
    </w:p>
    <w:p>
      <w:pPr>
        <w:pStyle w:val="Para 07"/>
      </w:pPr>
      <w:r>
        <w:t>Work in Progress</w:t>
      </w:r>
    </w:p>
    <w:p>
      <w:pPr>
        <w:pStyle w:val="Para 01"/>
      </w:pPr>
      <w:r>
        <w:t>keysalt</w:t>
      </w:r>
    </w:p>
    <w:p>
      <w:pPr>
        <w:pStyle w:val="Para 07"/>
      </w:pPr>
      <w:r>
        <w:t>Work in Progress</w:t>
      </w:r>
    </w:p>
    <w:p>
      <w:pPr>
        <w:pStyle w:val="Para 01"/>
      </w:pPr>
      <w:r>
        <w:t>keyservers</w:t>
      </w:r>
    </w:p>
    <w:p>
      <w:pPr>
        <w:pStyle w:val="Para 07"/>
      </w:pPr>
      <w:r>
        <w:t>Work in Progress</w:t>
      </w:r>
    </w:p>
    <w:p>
      <w:pPr>
        <w:pStyle w:val="Para 01"/>
      </w:pPr>
      <w:r>
        <w:t>keytab</w:t>
      </w:r>
    </w:p>
    <w:p>
      <w:pPr>
        <w:pStyle w:val="Para 07"/>
      </w:pPr>
      <w:r>
        <w:t>Work in Progress</w:t>
      </w:r>
    </w:p>
    <w:p>
      <w:pPr>
        <w:pStyle w:val="Para 01"/>
      </w:pPr>
      <w:r>
        <w:t>keytool</w:t>
      </w:r>
    </w:p>
    <w:p>
      <w:pPr>
        <w:pStyle w:val="Para 07"/>
      </w:pPr>
      <w:r>
        <w:t>Work in Progress</w:t>
      </w:r>
    </w:p>
    <w:p>
      <w:pPr>
        <w:pStyle w:val="Para 01"/>
      </w:pPr>
      <w:r>
        <w:t>KVM</w:t>
      </w:r>
    </w:p>
    <w:p>
      <w:pPr>
        <w:pStyle w:val="Para 01"/>
      </w:pPr>
      <w:r>
        <w:t>Kernel-based Virtual Machine</w:t>
      </w:r>
    </w:p>
    <w:p>
      <w:pPr>
        <w:pStyle w:val="Para 07"/>
      </w:pPr>
      <w:r>
        <w:t>Work in Progress</w:t>
      </w:r>
    </w:p>
    <w:p>
      <w:pPr>
        <w:pStyle w:val="Para 05"/>
      </w:pPr>
      <w:r>
        <w:rPr>
          <w:rStyle w:val="Text5"/>
        </w:rPr>
        <w:t>699</w:t>
      </w:r>
      <w:r>
        <w:rPr>
          <w:rStyle w:val="Text8"/>
        </w:rPr>
        <w:t xml:space="preserve"> </w:t>
      </w:r>
      <w:r>
        <w:t>https://docs.docker.com/engine/logging/drivers/journald/</w:t>
      </w:r>
    </w:p>
    <w:p>
      <w:pPr>
        <w:pStyle w:val="Para 05"/>
      </w:pPr>
      <w:r>
        <w:rPr>
          <w:rStyle w:val="Text5"/>
        </w:rPr>
        <w:t>700</w:t>
      </w:r>
      <w:r>
        <w:rPr>
          <w:rStyle w:val="Text8"/>
        </w:rPr>
        <w:t xml:space="preserve"> </w:t>
      </w:r>
      <w:r>
        <w:t>https://www.json.org/json-en.html</w:t>
      </w:r>
    </w:p>
    <w:p>
      <w:bookmarkStart w:id="1079" w:name="calibre_pb_193"/>
      <w:pPr>
        <w:pStyle w:val="0 Block"/>
      </w:pPr>
      <w:bookmarkEnd w:id="1079"/>
    </w:p>
    <w:p>
      <w:bookmarkStart w:id="1080" w:name="Top_of_index_split_194_html"/>
      <w:bookmarkStart w:id="1081" w:name="page_6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5" name="index-693_1.png" descr="index-693_1.png"/>
            <wp:cNvGraphicFramePr>
              <a:graphicFrameLocks noChangeAspect="1"/>
            </wp:cNvGraphicFramePr>
            <a:graphic>
              <a:graphicData uri="http://schemas.openxmlformats.org/drawingml/2006/picture">
                <pic:pic>
                  <pic:nvPicPr>
                    <pic:cNvPr id="0" name="index-693_1.png" descr="index-693_1.png"/>
                    <pic:cNvPicPr/>
                  </pic:nvPicPr>
                  <pic:blipFill>
                    <a:blip r:embed="rId729"/>
                    <a:stretch>
                      <a:fillRect/>
                    </a:stretch>
                  </pic:blipFill>
                  <pic:spPr>
                    <a:xfrm>
                      <a:off x="0" y="0"/>
                      <a:ext cx="914400" cy="266700"/>
                    </a:xfrm>
                    <a:prstGeom prst="rect">
                      <a:avLst/>
                    </a:prstGeom>
                  </pic:spPr>
                </pic:pic>
              </a:graphicData>
            </a:graphic>
          </wp:anchor>
        </w:drawing>
      </w:r>
      <w:bookmarkEnd w:id="1080"/>
      <w:bookmarkEnd w:id="1081"/>
    </w:p>
    <w:p>
      <w:bookmarkStart w:id="1082" w:name="Top_of_index_split_195_html"/>
      <w:bookmarkStart w:id="1083" w:name="L"/>
      <w:pPr>
        <w:pStyle w:val="Heading 1"/>
        <w:pageBreakBefore w:val="on"/>
      </w:pPr>
      <w:r>
        <w:t>L</w:t>
      </w:r>
      <w:bookmarkEnd w:id="1082"/>
      <w:bookmarkEnd w:id="1083"/>
    </w:p>
    <w:p>
      <w:pPr>
        <w:pStyle w:val="Para 17"/>
      </w:pPr>
      <w:r>
        <w:t/>
      </w:r>
    </w:p>
    <w:p>
      <w:pPr>
        <w:pStyle w:val="Para 01"/>
      </w:pPr>
      <w:r>
        <w:t>LAN</w:t>
      </w:r>
    </w:p>
    <w:p>
      <w:pPr>
        <w:pStyle w:val="Para 01"/>
      </w:pPr>
      <w:r>
        <w:t>Local Area Network</w:t>
      </w:r>
    </w:p>
    <w:p>
      <w:pPr>
        <w:pStyle w:val="Para 07"/>
      </w:pPr>
      <w:r>
        <w:t>Work in Progress</w:t>
      </w:r>
    </w:p>
    <w:p>
      <w:pPr>
        <w:pStyle w:val="Para 01"/>
      </w:pPr>
      <w:r>
        <w:t>LDAP</w:t>
      </w:r>
    </w:p>
    <w:p>
      <w:pPr>
        <w:pStyle w:val="Para 01"/>
      </w:pPr>
      <w:r>
        <w:t>Lightweight Directory Access Protocol</w:t>
      </w:r>
    </w:p>
    <w:p>
      <w:pPr>
        <w:pStyle w:val="Para 07"/>
      </w:pPr>
      <w:r>
        <w:t>Work in Progress</w:t>
      </w:r>
    </w:p>
    <w:p>
      <w:pPr>
        <w:pStyle w:val="Para 01"/>
      </w:pPr>
      <w:r>
        <w:t>LDIF</w:t>
      </w:r>
    </w:p>
    <w:p>
      <w:pPr>
        <w:pStyle w:val="Para 01"/>
      </w:pPr>
      <w:r>
        <w:t>LDAP Data Interchange Format</w:t>
      </w:r>
    </w:p>
    <w:p>
      <w:pPr>
        <w:pStyle w:val="Para 07"/>
      </w:pPr>
      <w:r>
        <w:t>Work in Progress</w:t>
      </w:r>
    </w:p>
    <w:p>
      <w:pPr>
        <w:pStyle w:val="Para 01"/>
      </w:pPr>
      <w:r>
        <w:t>lightervisor</w:t>
      </w:r>
    </w:p>
    <w:p>
      <w:pPr>
        <w:pStyle w:val="Para 07"/>
      </w:pPr>
      <w:r>
        <w:t>Work in Progress</w:t>
      </w:r>
    </w:p>
    <w:p>
      <w:pPr>
        <w:pStyle w:val="Para 01"/>
      </w:pPr>
      <w:r>
        <w:t>LinuxONE</w:t>
      </w:r>
    </w:p>
    <w:p>
      <w:pPr>
        <w:pStyle w:val="Para 02"/>
      </w:pPr>
      <w:r>
        <w:t>IBM Linux-only enterprise server platform.</w:t>
      </w:r>
    </w:p>
    <w:p>
      <w:pPr>
        <w:pStyle w:val="Para 01"/>
      </w:pPr>
      <w:r>
        <w:t>Load-balancing</w:t>
      </w:r>
    </w:p>
    <w:p>
      <w:pPr>
        <w:pStyle w:val="Para 07"/>
      </w:pPr>
      <w:r>
        <w:t>Work in Progress</w:t>
      </w:r>
    </w:p>
    <w:p>
      <w:pPr>
        <w:pStyle w:val="Para 01"/>
      </w:pPr>
      <w:r>
        <w:t>localhost</w:t>
      </w:r>
    </w:p>
    <w:p>
      <w:pPr>
        <w:pStyle w:val="Para 07"/>
      </w:pPr>
      <w:r>
        <w:t>Work in Progress</w:t>
      </w:r>
    </w:p>
    <w:p>
      <w:pPr>
        <w:pStyle w:val="Para 01"/>
      </w:pPr>
      <w:r>
        <w:t>Log files</w:t>
      </w:r>
    </w:p>
    <w:p>
      <w:pPr>
        <w:pStyle w:val="Para 07"/>
      </w:pPr>
      <w:r>
        <w:t>Work in Progress</w:t>
      </w:r>
    </w:p>
    <w:p>
      <w:pPr>
        <w:pStyle w:val="Para 01"/>
      </w:pPr>
      <w:r>
        <w:t>Logstash</w:t>
      </w:r>
    </w:p>
    <w:p>
      <w:pPr>
        <w:pStyle w:val="Para 07"/>
      </w:pPr>
      <w:r>
        <w:t>Work in Progress</w:t>
      </w:r>
    </w:p>
    <w:p>
      <w:pPr>
        <w:pStyle w:val="Para 01"/>
      </w:pPr>
      <w:r>
        <w:t>Logwatch</w:t>
      </w:r>
    </w:p>
    <w:p>
      <w:pPr>
        <w:pStyle w:val="Para 07"/>
      </w:pPr>
      <w:r>
        <w:t>Work in Progress</w:t>
      </w:r>
    </w:p>
    <w:p>
      <w:pPr>
        <w:pStyle w:val="Para 01"/>
      </w:pPr>
      <w:r>
        <w:t>LPAR</w:t>
      </w:r>
    </w:p>
    <w:p>
      <w:pPr>
        <w:pStyle w:val="Para 01"/>
      </w:pPr>
      <w:r>
        <w:t>Logical Partition</w:t>
      </w:r>
    </w:p>
    <w:p>
      <w:pPr>
        <w:pStyle w:val="Para 07"/>
      </w:pPr>
      <w:r>
        <w:t>Work in Progress</w:t>
      </w:r>
    </w:p>
    <w:p>
      <w:pPr>
        <w:pStyle w:val="Para 01"/>
      </w:pPr>
      <w:r>
        <w:t>LSI</w:t>
      </w:r>
    </w:p>
    <w:p>
      <w:pPr>
        <w:pStyle w:val="Para 01"/>
      </w:pPr>
      <w:r>
        <w:t>Logic Systems Incorporated</w:t>
      </w:r>
    </w:p>
    <w:p>
      <w:pPr>
        <w:pStyle w:val="Para 07"/>
      </w:pPr>
      <w:r>
        <w:t>Work in Progress</w:t>
      </w:r>
    </w:p>
    <w:p>
      <w:pPr>
        <w:pStyle w:val="Para 01"/>
      </w:pPr>
      <w:r>
        <w:t>LTS</w:t>
      </w:r>
    </w:p>
    <w:p>
      <w:pPr>
        <w:pStyle w:val="Para 01"/>
      </w:pPr>
      <w:r>
        <w:t>Long-Term Support</w:t>
      </w:r>
    </w:p>
    <w:p>
      <w:pPr>
        <w:pStyle w:val="Para 07"/>
      </w:pPr>
      <w:r>
        <w:t>Work in Progress</w:t>
      </w:r>
    </w:p>
    <w:p>
      <w:pPr>
        <w:pStyle w:val="Para 01"/>
      </w:pPr>
      <w:r>
        <w:t>LU</w:t>
      </w:r>
    </w:p>
    <w:p>
      <w:pPr>
        <w:pStyle w:val="Para 01"/>
      </w:pPr>
      <w:r>
        <w:t>Logical Unit</w:t>
      </w:r>
    </w:p>
    <w:p>
      <w:pPr>
        <w:pStyle w:val="Para 07"/>
      </w:pPr>
      <w:r>
        <w:t>Work in Progress</w:t>
      </w:r>
    </w:p>
    <w:p>
      <w:pPr>
        <w:pStyle w:val="Para 01"/>
      </w:pPr>
      <w:r>
        <w:t>LUA</w:t>
      </w:r>
    </w:p>
    <w:p>
      <w:pPr>
        <w:pStyle w:val="Para 01"/>
      </w:pPr>
      <w:r>
        <w:t>Lua Scripting Language</w:t>
      </w:r>
    </w:p>
    <w:p>
      <w:pPr>
        <w:pStyle w:val="Para 07"/>
      </w:pPr>
      <w:r>
        <w:t>Work in Progress</w:t>
      </w:r>
    </w:p>
    <w:p>
      <w:pPr>
        <w:pStyle w:val="Para 01"/>
      </w:pPr>
      <w:r>
        <w:t>LUKS</w:t>
      </w:r>
    </w:p>
    <w:p>
      <w:pPr>
        <w:pStyle w:val="Para 01"/>
      </w:pPr>
      <w:r>
        <w:t>Linux Unified Key Setup</w:t>
      </w:r>
    </w:p>
    <w:p>
      <w:pPr>
        <w:pStyle w:val="Para 02"/>
      </w:pPr>
      <w:r>
        <w:t>LUKS is an open specification for Linux block-device encryption. It defines how en-crypted volumes store metadata and keyslots.</w:t>
      </w:r>
    </w:p>
    <w:p>
      <w:bookmarkStart w:id="1084" w:name="page_6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6" name="index-694_1.png" descr="index-694_1.png"/>
            <wp:cNvGraphicFramePr>
              <a:graphicFrameLocks noChangeAspect="1"/>
            </wp:cNvGraphicFramePr>
            <a:graphic>
              <a:graphicData uri="http://schemas.openxmlformats.org/drawingml/2006/picture">
                <pic:pic>
                  <pic:nvPicPr>
                    <pic:cNvPr id="0" name="index-694_1.png" descr="index-694_1.png"/>
                    <pic:cNvPicPr/>
                  </pic:nvPicPr>
                  <pic:blipFill>
                    <a:blip r:embed="rId730"/>
                    <a:stretch>
                      <a:fillRect/>
                    </a:stretch>
                  </pic:blipFill>
                  <pic:spPr>
                    <a:xfrm>
                      <a:off x="0" y="0"/>
                      <a:ext cx="914400" cy="266700"/>
                    </a:xfrm>
                    <a:prstGeom prst="rect">
                      <a:avLst/>
                    </a:prstGeom>
                  </pic:spPr>
                </pic:pic>
              </a:graphicData>
            </a:graphic>
          </wp:anchor>
        </w:drawing>
      </w:r>
      <w:bookmarkEnd w:id="1084"/>
    </w:p>
    <w:p>
      <w:bookmarkStart w:id="1085" w:name="Top_of_index_split_196_html"/>
      <w:bookmarkStart w:id="1086" w:name="LUN"/>
      <w:pPr>
        <w:pStyle w:val="Heading 1"/>
        <w:pageBreakBefore w:val="on"/>
      </w:pPr>
      <w:r>
        <w:t>LUN</w:t>
      </w:r>
      <w:bookmarkEnd w:id="1085"/>
      <w:bookmarkEnd w:id="1086"/>
    </w:p>
    <w:p>
      <w:pPr>
        <w:pStyle w:val="Para 01"/>
      </w:pPr>
      <w:r>
        <w:t>Logical Unit Number</w:t>
      </w:r>
    </w:p>
    <w:p>
      <w:pPr>
        <w:pStyle w:val="Para 07"/>
      </w:pPr>
      <w:r>
        <w:t>Work in Progress</w:t>
      </w:r>
    </w:p>
    <w:p>
      <w:pPr>
        <w:pStyle w:val="Para 01"/>
      </w:pPr>
      <w:r>
        <w:t>LV</w:t>
      </w:r>
    </w:p>
    <w:p>
      <w:pPr>
        <w:pStyle w:val="Para 01"/>
      </w:pPr>
      <w:r>
        <w:t>Logical Volume</w:t>
      </w:r>
    </w:p>
    <w:p>
      <w:pPr>
        <w:pStyle w:val="Para 07"/>
      </w:pPr>
      <w:r>
        <w:t>Work in Progress</w:t>
      </w:r>
    </w:p>
    <w:p>
      <w:pPr>
        <w:pStyle w:val="Para 01"/>
      </w:pPr>
      <w:r>
        <w:t>LVM</w:t>
      </w:r>
    </w:p>
    <w:p>
      <w:pPr>
        <w:pStyle w:val="Para 01"/>
      </w:pPr>
      <w:r>
        <w:t>Logical Volume Manager</w:t>
      </w:r>
    </w:p>
    <w:p>
      <w:pPr>
        <w:pStyle w:val="Para 02"/>
      </w:pPr>
      <w:r>
        <w:t>A storage management framework in Linux that provides a layer of abstraction over physical storage devices. It allows disks or partitions to be pooled into a single storage space, enabling the creation of flexible logical volumes that can be easily resized or moved.</w:t>
      </w:r>
    </w:p>
    <w:p>
      <w:pPr>
        <w:pStyle w:val="Para 01"/>
      </w:pPr>
      <w:r>
        <w:t>LXC</w:t>
      </w:r>
    </w:p>
    <w:p>
      <w:pPr>
        <w:pStyle w:val="Para 01"/>
      </w:pPr>
      <w:r>
        <w:t>Linux Containers</w:t>
      </w:r>
    </w:p>
    <w:p>
      <w:pPr>
        <w:pStyle w:val="Para 07"/>
      </w:pPr>
      <w:r>
        <w:t>Work in Progress</w:t>
      </w:r>
    </w:p>
    <w:p>
      <w:pPr>
        <w:pStyle w:val="Para 01"/>
      </w:pPr>
      <w:r>
        <w:t>LXD</w:t>
      </w:r>
    </w:p>
    <w:p>
      <w:pPr>
        <w:pStyle w:val="Para 01"/>
      </w:pPr>
      <w:r>
        <w:t>Linux Container Daemon</w:t>
      </w:r>
    </w:p>
    <w:p>
      <w:pPr>
        <w:pStyle w:val="Para 07"/>
      </w:pPr>
      <w:r>
        <w:t>Work in Progress</w:t>
      </w:r>
    </w:p>
    <w:p>
      <w:pPr>
        <w:pStyle w:val="Para 17"/>
      </w:pPr>
      <w:r>
        <w:t/>
      </w:r>
    </w:p>
    <w:p>
      <w:pPr>
        <w:pStyle w:val="Para 01"/>
      </w:pPr>
      <w:r>
        <w:t>M</w:t>
      </w:r>
    </w:p>
    <w:p>
      <w:pPr>
        <w:pStyle w:val="Para 17"/>
      </w:pPr>
      <w:r>
        <w:t/>
      </w:r>
    </w:p>
    <w:p>
      <w:pPr>
        <w:pStyle w:val="Para 01"/>
      </w:pPr>
      <w:r>
        <w:t>MAAS</w:t>
      </w:r>
    </w:p>
    <w:p>
      <w:pPr>
        <w:pStyle w:val="Para 01"/>
      </w:pPr>
      <w:r>
        <w:t>Metal as a Service</w:t>
      </w:r>
    </w:p>
    <w:p>
      <w:pPr>
        <w:pStyle w:val="Para 07"/>
      </w:pPr>
      <w:r>
        <w:t>Work in Progress</w:t>
      </w:r>
    </w:p>
    <w:p>
      <w:pPr>
        <w:pStyle w:val="Para 01"/>
      </w:pPr>
      <w:r>
        <w:t>MAC</w:t>
      </w:r>
    </w:p>
    <w:p>
      <w:pPr>
        <w:pStyle w:val="Para 01"/>
      </w:pPr>
      <w:r>
        <w:t>Message Authentication Code</w:t>
      </w:r>
    </w:p>
    <w:p>
      <w:pPr>
        <w:pStyle w:val="Para 02"/>
      </w:pPr>
      <w:r>
        <w:t>A MAC verifies that a message hasn’t been modified during transmission by combining a shared secret key between the sender and receiver, and a hash function.</w:t>
      </w:r>
    </w:p>
    <w:p>
      <w:pPr>
        <w:pStyle w:val="Para 01"/>
      </w:pPr>
      <w:r>
        <w:t>MAC address</w:t>
      </w:r>
    </w:p>
    <w:p>
      <w:pPr>
        <w:pStyle w:val="Para 07"/>
      </w:pPr>
      <w:r>
        <w:t>Work in Progress</w:t>
      </w:r>
    </w:p>
    <w:p>
      <w:pPr>
        <w:pStyle w:val="Para 17"/>
      </w:pPr>
      <w:r>
        <w:t/>
      </w:r>
    </w:p>
    <w:p>
      <w:pPr>
        <w:pStyle w:val="Para 01"/>
      </w:pPr>
      <w:r>
        <w:t>manual page</w:t>
      </w:r>
    </w:p>
    <w:p>
      <w:pPr>
        <w:pStyle w:val="Para 07"/>
      </w:pPr>
      <w:r>
        <w:t>Work in Progress</w:t>
      </w:r>
    </w:p>
    <w:p>
      <w:pPr>
        <w:pStyle w:val="Para 01"/>
      </w:pPr>
      <w:r>
        <w:t>MCE</w:t>
      </w:r>
    </w:p>
    <w:p>
      <w:pPr>
        <w:pStyle w:val="Para 01"/>
      </w:pPr>
      <w:r>
        <w:t>Machine Check Exception</w:t>
      </w:r>
    </w:p>
    <w:p>
      <w:pPr>
        <w:pStyle w:val="Para 07"/>
      </w:pPr>
      <w:r>
        <w:t>Work in Progress</w:t>
      </w:r>
    </w:p>
    <w:p>
      <w:pPr>
        <w:pStyle w:val="Para 01"/>
      </w:pPr>
      <w:r>
        <w:t>MD5</w:t>
      </w:r>
    </w:p>
    <w:p>
      <w:pPr>
        <w:pStyle w:val="Para 01"/>
      </w:pPr>
      <w:r>
        <w:t>Message Digest Algorithm 5</w:t>
      </w:r>
    </w:p>
    <w:p>
      <w:pPr>
        <w:pStyle w:val="Para 02"/>
      </w:pPr>
      <w:r>
        <w:t>A cryptographic hash function producing a 128-bit checksum.</w:t>
      </w:r>
    </w:p>
    <w:p>
      <w:pPr>
        <w:pStyle w:val="Para 01"/>
      </w:pPr>
      <w:r>
        <w:t>MDA</w:t>
      </w:r>
    </w:p>
    <w:p>
      <w:pPr>
        <w:pStyle w:val="Para 01"/>
      </w:pPr>
      <w:r>
        <w:t>Mail Delivery Agent</w:t>
      </w:r>
    </w:p>
    <w:p>
      <w:pPr>
        <w:pStyle w:val="Para 07"/>
      </w:pPr>
      <w:r>
        <w:t>Work in Progress</w:t>
      </w:r>
    </w:p>
    <w:p>
      <w:pPr>
        <w:pStyle w:val="Para 01"/>
      </w:pPr>
      <w:r>
        <w:t>mdev</w:t>
      </w:r>
    </w:p>
    <w:p>
      <w:pPr>
        <w:pStyle w:val="Para 01"/>
      </w:pPr>
      <w:r>
        <w:t>Minimal Device Manager</w:t>
      </w:r>
    </w:p>
    <w:p>
      <w:pPr>
        <w:pStyle w:val="Para 07"/>
      </w:pPr>
      <w:r>
        <w:t>Work in Progress</w:t>
      </w:r>
    </w:p>
    <w:p>
      <w:bookmarkStart w:id="1087" w:name="page_6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7" name="index-695_1.png" descr="index-695_1.png"/>
            <wp:cNvGraphicFramePr>
              <a:graphicFrameLocks noChangeAspect="1"/>
            </wp:cNvGraphicFramePr>
            <a:graphic>
              <a:graphicData uri="http://schemas.openxmlformats.org/drawingml/2006/picture">
                <pic:pic>
                  <pic:nvPicPr>
                    <pic:cNvPr id="0" name="index-695_1.png" descr="index-695_1.png"/>
                    <pic:cNvPicPr/>
                  </pic:nvPicPr>
                  <pic:blipFill>
                    <a:blip r:embed="rId731"/>
                    <a:stretch>
                      <a:fillRect/>
                    </a:stretch>
                  </pic:blipFill>
                  <pic:spPr>
                    <a:xfrm>
                      <a:off x="0" y="0"/>
                      <a:ext cx="914400" cy="266700"/>
                    </a:xfrm>
                    <a:prstGeom prst="rect">
                      <a:avLst/>
                    </a:prstGeom>
                  </pic:spPr>
                </pic:pic>
              </a:graphicData>
            </a:graphic>
          </wp:anchor>
        </w:drawing>
      </w:r>
      <w:bookmarkEnd w:id="1087"/>
    </w:p>
    <w:p>
      <w:pPr>
        <w:pStyle w:val="Para 01"/>
      </w:pPr>
      <w:r>
        <w:t>metapackage</w:t>
      </w:r>
    </w:p>
    <w:p>
      <w:pPr>
        <w:pStyle w:val="Para 07"/>
      </w:pPr>
      <w:r>
        <w:t>Work in Progress</w:t>
      </w:r>
    </w:p>
    <w:p>
      <w:pPr>
        <w:pStyle w:val="Para 01"/>
      </w:pPr>
      <w:r>
        <w:t>METAR</w:t>
      </w:r>
    </w:p>
    <w:p>
      <w:pPr>
        <w:pStyle w:val="Para 01"/>
      </w:pPr>
      <w:r>
        <w:t>Meteorological Aerodrome Report</w:t>
      </w:r>
    </w:p>
    <w:p>
      <w:pPr>
        <w:pStyle w:val="Para 07"/>
      </w:pPr>
      <w:r>
        <w:t>Work in Progress</w:t>
      </w:r>
    </w:p>
    <w:p>
      <w:pPr>
        <w:pStyle w:val="Para 01"/>
      </w:pPr>
      <w:r>
        <w:t>microservices</w:t>
      </w:r>
    </w:p>
    <w:p>
      <w:pPr>
        <w:pStyle w:val="Para 07"/>
      </w:pPr>
      <w:r>
        <w:t>Work in Progress</w:t>
      </w:r>
    </w:p>
    <w:p>
      <w:pPr>
        <w:pStyle w:val="Para 01"/>
      </w:pPr>
      <w:r>
        <w:t>microVMs</w:t>
      </w:r>
    </w:p>
    <w:p>
      <w:pPr>
        <w:pStyle w:val="Para 07"/>
      </w:pPr>
      <w:r>
        <w:t>Work in Progress</w:t>
      </w:r>
    </w:p>
    <w:p>
      <w:pPr>
        <w:pStyle w:val="Para 01"/>
      </w:pPr>
      <w:r>
        <w:t>MOTD</w:t>
      </w:r>
    </w:p>
    <w:p>
      <w:pPr>
        <w:pStyle w:val="Para 01"/>
      </w:pPr>
      <w:r>
        <w:t>Message of the Day</w:t>
      </w:r>
    </w:p>
    <w:p>
      <w:pPr>
        <w:pStyle w:val="Para 07"/>
      </w:pPr>
      <w:r>
        <w:t>Work in Progress</w:t>
      </w:r>
    </w:p>
    <w:p>
      <w:pPr>
        <w:pStyle w:val="Para 01"/>
      </w:pPr>
      <w:r>
        <w:t>mount points</w:t>
      </w:r>
    </w:p>
    <w:p>
      <w:pPr>
        <w:pStyle w:val="Para 07"/>
      </w:pPr>
      <w:r>
        <w:t>Work in Progress</w:t>
      </w:r>
    </w:p>
    <w:p>
      <w:pPr>
        <w:pStyle w:val="Para 01"/>
      </w:pPr>
      <w:r>
        <w:t>MPIO</w:t>
      </w:r>
    </w:p>
    <w:p>
      <w:pPr>
        <w:pStyle w:val="Para 01"/>
      </w:pPr>
      <w:r>
        <w:t>Multipath Input/Output</w:t>
      </w:r>
    </w:p>
    <w:p>
      <w:pPr>
        <w:pStyle w:val="Para 07"/>
      </w:pPr>
      <w:r>
        <w:t>Work in Progress</w:t>
      </w:r>
    </w:p>
    <w:p>
      <w:pPr>
        <w:pStyle w:val="Para 01"/>
      </w:pPr>
      <w:r>
        <w:t>MSA</w:t>
      </w:r>
    </w:p>
    <w:p>
      <w:pPr>
        <w:pStyle w:val="Para 01"/>
      </w:pPr>
      <w:r>
        <w:t>Modular Smart Array</w:t>
      </w:r>
    </w:p>
    <w:p>
      <w:pPr>
        <w:pStyle w:val="Para 07"/>
      </w:pPr>
      <w:r>
        <w:t>Work in Progress</w:t>
      </w:r>
    </w:p>
    <w:p>
      <w:pPr>
        <w:pStyle w:val="Para 01"/>
      </w:pPr>
      <w:r>
        <w:t>MTA</w:t>
      </w:r>
    </w:p>
    <w:p>
      <w:pPr>
        <w:pStyle w:val="Para 01"/>
      </w:pPr>
      <w:r>
        <w:t>Mail Transfer Agent</w:t>
      </w:r>
    </w:p>
    <w:p>
      <w:pPr>
        <w:pStyle w:val="Para 07"/>
      </w:pPr>
      <w:r>
        <w:t>Work in Progress</w:t>
      </w:r>
    </w:p>
    <w:p>
      <w:pPr>
        <w:pStyle w:val="Para 01"/>
      </w:pPr>
      <w:r>
        <w:t>MTU</w:t>
      </w:r>
    </w:p>
    <w:p>
      <w:pPr>
        <w:pStyle w:val="Para 01"/>
      </w:pPr>
      <w:r>
        <w:t>Maximum Transmission Unit</w:t>
      </w:r>
    </w:p>
    <w:p>
      <w:pPr>
        <w:pStyle w:val="Para 07"/>
      </w:pPr>
      <w:r>
        <w:t>Work in Progress</w:t>
      </w:r>
    </w:p>
    <w:p>
      <w:pPr>
        <w:pStyle w:val="Para 01"/>
      </w:pPr>
      <w:r>
        <w:t>MUA</w:t>
      </w:r>
    </w:p>
    <w:p>
      <w:pPr>
        <w:pStyle w:val="Para 01"/>
      </w:pPr>
      <w:r>
        <w:t>Mail User Agent</w:t>
      </w:r>
    </w:p>
    <w:p>
      <w:pPr>
        <w:pStyle w:val="Para 07"/>
      </w:pPr>
      <w:r>
        <w:t>Work in Progress</w:t>
      </w:r>
    </w:p>
    <w:p>
      <w:pPr>
        <w:pStyle w:val="Para 01"/>
      </w:pPr>
      <w:r>
        <w:t>Multipass</w:t>
      </w:r>
    </w:p>
    <w:p>
      <w:pPr>
        <w:pStyle w:val="Para 07"/>
      </w:pPr>
      <w:r>
        <w:t>Work in Progress</w:t>
      </w:r>
    </w:p>
    <w:p>
      <w:pPr>
        <w:pStyle w:val="Para 01"/>
      </w:pPr>
      <w:r>
        <w:t>Multipath</w:t>
      </w:r>
    </w:p>
    <w:p>
      <w:pPr>
        <w:pStyle w:val="Para 07"/>
      </w:pPr>
      <w:r>
        <w:t>Work in Progress</w:t>
      </w:r>
    </w:p>
    <w:p>
      <w:pPr>
        <w:pStyle w:val="Para 01"/>
      </w:pPr>
      <w:r>
        <w:t>Multiview</w:t>
      </w:r>
    </w:p>
    <w:p>
      <w:pPr>
        <w:pStyle w:val="Para 07"/>
      </w:pPr>
      <w:r>
        <w:t>Work in Progress</w:t>
      </w:r>
    </w:p>
    <w:p>
      <w:pPr>
        <w:pStyle w:val="Para 01"/>
      </w:pPr>
      <w:r>
        <w:t>MySQL</w:t>
      </w:r>
    </w:p>
    <w:p>
      <w:pPr>
        <w:pStyle w:val="Para 07"/>
      </w:pPr>
      <w:r>
        <w:t>Work in Progress</w:t>
      </w:r>
    </w:p>
    <w:p>
      <w:bookmarkStart w:id="1088" w:name="calibre_pb_196"/>
      <w:pPr>
        <w:pStyle w:val="0 Block"/>
      </w:pPr>
      <w:bookmarkEnd w:id="1088"/>
    </w:p>
    <w:p>
      <w:bookmarkStart w:id="1089" w:name="page_696"/>
      <w:bookmarkStart w:id="1090" w:name="Top_of_index_split_19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8" name="index-696_1.png" descr="index-696_1.png"/>
            <wp:cNvGraphicFramePr>
              <a:graphicFrameLocks noChangeAspect="1"/>
            </wp:cNvGraphicFramePr>
            <a:graphic>
              <a:graphicData uri="http://schemas.openxmlformats.org/drawingml/2006/picture">
                <pic:pic>
                  <pic:nvPicPr>
                    <pic:cNvPr id="0" name="index-696_1.png" descr="index-696_1.png"/>
                    <pic:cNvPicPr/>
                  </pic:nvPicPr>
                  <pic:blipFill>
                    <a:blip r:embed="rId732"/>
                    <a:stretch>
                      <a:fillRect/>
                    </a:stretch>
                  </pic:blipFill>
                  <pic:spPr>
                    <a:xfrm>
                      <a:off x="0" y="0"/>
                      <a:ext cx="914400" cy="266700"/>
                    </a:xfrm>
                    <a:prstGeom prst="rect">
                      <a:avLst/>
                    </a:prstGeom>
                  </pic:spPr>
                </pic:pic>
              </a:graphicData>
            </a:graphic>
          </wp:anchor>
        </w:drawing>
      </w:r>
      <w:bookmarkEnd w:id="1089"/>
      <w:bookmarkEnd w:id="1090"/>
    </w:p>
    <w:p>
      <w:bookmarkStart w:id="1091" w:name="N"/>
      <w:bookmarkStart w:id="1092" w:name="Top_of_index_split_198_html"/>
      <w:pPr>
        <w:pStyle w:val="Heading 1"/>
        <w:pageBreakBefore w:val="on"/>
      </w:pPr>
      <w:r>
        <w:t>N</w:t>
      </w:r>
      <w:bookmarkEnd w:id="1091"/>
      <w:bookmarkEnd w:id="1092"/>
    </w:p>
    <w:p>
      <w:pPr>
        <w:pStyle w:val="Para 17"/>
      </w:pPr>
      <w:r>
        <w:t/>
      </w:r>
    </w:p>
    <w:p>
      <w:pPr>
        <w:pStyle w:val="Para 01"/>
      </w:pPr>
      <w:r>
        <w:t>nameserver</w:t>
      </w:r>
    </w:p>
    <w:p>
      <w:pPr>
        <w:pStyle w:val="Para 07"/>
      </w:pPr>
      <w:r>
        <w:t>Work in Progress</w:t>
      </w:r>
    </w:p>
    <w:p>
      <w:pPr>
        <w:pStyle w:val="Para 01"/>
      </w:pPr>
      <w:r>
        <w:t>namespace</w:t>
      </w:r>
    </w:p>
    <w:p>
      <w:pPr>
        <w:pStyle w:val="Para 07"/>
      </w:pPr>
      <w:r>
        <w:t>Work in Progress</w:t>
      </w:r>
    </w:p>
    <w:p>
      <w:pPr>
        <w:pStyle w:val="Para 01"/>
      </w:pPr>
      <w:r>
        <w:t>NAS</w:t>
      </w:r>
    </w:p>
    <w:p>
      <w:pPr>
        <w:pStyle w:val="Para 01"/>
      </w:pPr>
      <w:r>
        <w:t>Network Attached Storage</w:t>
      </w:r>
    </w:p>
    <w:p>
      <w:pPr>
        <w:pStyle w:val="Para 02"/>
      </w:pPr>
      <w:r>
        <w:t>NAS is a file-level computer data storage server connected to a computer network pro-viding data access to a heterogeneous group of clients. In this context, the term “NAS” can refer to both the technology and systems involved, and a specialized computer ap-pliance device unit built for such functionality, a NAS appliance or NAS box.</w:t>
      </w:r>
    </w:p>
    <w:p>
      <w:pPr>
        <w:pStyle w:val="Para 02"/>
      </w:pPr>
      <w:r>
        <w:t>See also:</w:t>
      </w:r>
    </w:p>
    <w:p>
      <w:pPr>
        <w:pStyle w:val="Para 26"/>
      </w:pPr>
      <w:r>
        <w:rPr>
          <w:rStyle w:val="Text4"/>
        </w:rPr>
        <w:t xml:space="preserve">• </w:t>
      </w:r>
      <w:hyperlink w:anchor="page_677">
        <w:r>
          <w:t>DAS</w:t>
        </w:r>
      </w:hyperlink>
    </w:p>
    <w:p>
      <w:pPr>
        <w:pStyle w:val="Para 26"/>
      </w:pPr>
      <w:r>
        <w:rPr>
          <w:rStyle w:val="Text4"/>
        </w:rPr>
        <w:t xml:space="preserve">• </w:t>
      </w:r>
      <w:hyperlink w:anchor="page_704">
        <w:r>
          <w:t>SAN</w:t>
        </w:r>
      </w:hyperlink>
    </w:p>
    <w:p>
      <w:pPr>
        <w:pStyle w:val="Para 01"/>
      </w:pPr>
      <w:r>
        <w:t>NAT</w:t>
      </w:r>
    </w:p>
    <w:p>
      <w:pPr>
        <w:pStyle w:val="Para 01"/>
      </w:pPr>
      <w:r>
        <w:t>Network Address Translation</w:t>
      </w:r>
    </w:p>
    <w:p>
      <w:pPr>
        <w:pStyle w:val="Para 07"/>
      </w:pPr>
      <w:r>
        <w:t>Work in Progress</w:t>
      </w:r>
    </w:p>
    <w:p>
      <w:pPr>
        <w:pStyle w:val="Para 01"/>
      </w:pPr>
      <w:r>
        <w:t>Netboot</w:t>
      </w:r>
    </w:p>
    <w:p>
      <w:pPr>
        <w:pStyle w:val="Para 07"/>
      </w:pPr>
      <w:r>
        <w:t>Work in Progress</w:t>
      </w:r>
    </w:p>
    <w:p>
      <w:pPr>
        <w:pStyle w:val="Para 01"/>
      </w:pPr>
      <w:r>
        <w:t>Netfilter</w:t>
      </w:r>
    </w:p>
    <w:p>
      <w:pPr>
        <w:pStyle w:val="Para 07"/>
      </w:pPr>
      <w:r>
        <w:t>Work in Progress</w:t>
      </w:r>
    </w:p>
    <w:p>
      <w:pPr>
        <w:pStyle w:val="Para 01"/>
      </w:pPr>
      <w:r>
        <w:t>Netplan</w:t>
      </w:r>
    </w:p>
    <w:p>
      <w:pPr>
        <w:pStyle w:val="Para 07"/>
      </w:pPr>
      <w:r>
        <w:t>Work in Progress</w:t>
      </w:r>
    </w:p>
    <w:p>
      <w:pPr>
        <w:pStyle w:val="Para 01"/>
      </w:pPr>
      <w:r>
        <w:t>NFS</w:t>
      </w:r>
    </w:p>
    <w:p>
      <w:pPr>
        <w:pStyle w:val="Para 01"/>
      </w:pPr>
      <w:r>
        <w:t>Network File System</w:t>
      </w:r>
    </w:p>
    <w:p>
      <w:pPr>
        <w:pStyle w:val="Para 07"/>
      </w:pPr>
      <w:r>
        <w:t>Work in Progress</w:t>
      </w:r>
    </w:p>
    <w:p>
      <w:pPr>
        <w:pStyle w:val="Para 01"/>
      </w:pPr>
      <w:r>
        <w:t>NFV</w:t>
      </w:r>
    </w:p>
    <w:p>
      <w:pPr>
        <w:pStyle w:val="Para 01"/>
      </w:pPr>
      <w:r>
        <w:t>Network Functions Virtualization</w:t>
      </w:r>
    </w:p>
    <w:p>
      <w:pPr>
        <w:pStyle w:val="Para 07"/>
      </w:pPr>
      <w:r>
        <w:t>Work in Progress</w:t>
      </w:r>
    </w:p>
    <w:p>
      <w:pPr>
        <w:pStyle w:val="Para 01"/>
      </w:pPr>
      <w:r>
        <w:t>nginx</w:t>
      </w:r>
    </w:p>
    <w:p>
      <w:pPr>
        <w:pStyle w:val="Para 07"/>
      </w:pPr>
      <w:r>
        <w:t>Work in Progress</w:t>
      </w:r>
    </w:p>
    <w:p>
      <w:pPr>
        <w:pStyle w:val="Para 01"/>
      </w:pPr>
      <w:r>
        <w:t>NIC</w:t>
      </w:r>
    </w:p>
    <w:p>
      <w:pPr>
        <w:pStyle w:val="Para 01"/>
      </w:pPr>
      <w:r>
        <w:t>Network Interface Card</w:t>
      </w:r>
    </w:p>
    <w:p>
      <w:pPr>
        <w:pStyle w:val="Para 07"/>
      </w:pPr>
      <w:r>
        <w:t>Work in Progress</w:t>
      </w:r>
    </w:p>
    <w:p>
      <w:pPr>
        <w:pStyle w:val="Para 01"/>
      </w:pPr>
      <w:r>
        <w:t>NIS</w:t>
      </w:r>
    </w:p>
    <w:p>
      <w:pPr>
        <w:pStyle w:val="Para 01"/>
      </w:pPr>
      <w:r>
        <w:t>Network Information Service</w:t>
      </w:r>
    </w:p>
    <w:p>
      <w:pPr>
        <w:pStyle w:val="Para 07"/>
      </w:pPr>
      <w:r>
        <w:t>Work in Progress</w:t>
      </w:r>
    </w:p>
    <w:p>
      <w:pPr>
        <w:pStyle w:val="Para 01"/>
      </w:pPr>
      <w:r>
        <w:t>NMI</w:t>
      </w:r>
    </w:p>
    <w:p>
      <w:pPr>
        <w:pStyle w:val="Para 01"/>
      </w:pPr>
      <w:r>
        <w:t>Non-Maskable Interrupt</w:t>
      </w:r>
    </w:p>
    <w:p>
      <w:pPr>
        <w:pStyle w:val="Para 07"/>
      </w:pPr>
      <w:r>
        <w:t>Work in Progress</w:t>
      </w:r>
    </w:p>
    <w:p>
      <w:bookmarkStart w:id="1093" w:name="page_6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29" name="index-697_1.png" descr="index-697_1.png"/>
            <wp:cNvGraphicFramePr>
              <a:graphicFrameLocks noChangeAspect="1"/>
            </wp:cNvGraphicFramePr>
            <a:graphic>
              <a:graphicData uri="http://schemas.openxmlformats.org/drawingml/2006/picture">
                <pic:pic>
                  <pic:nvPicPr>
                    <pic:cNvPr id="0" name="index-697_1.png" descr="index-697_1.png"/>
                    <pic:cNvPicPr/>
                  </pic:nvPicPr>
                  <pic:blipFill>
                    <a:blip r:embed="rId733"/>
                    <a:stretch>
                      <a:fillRect/>
                    </a:stretch>
                  </pic:blipFill>
                  <pic:spPr>
                    <a:xfrm>
                      <a:off x="0" y="0"/>
                      <a:ext cx="914400" cy="266700"/>
                    </a:xfrm>
                    <a:prstGeom prst="rect">
                      <a:avLst/>
                    </a:prstGeom>
                  </pic:spPr>
                </pic:pic>
              </a:graphicData>
            </a:graphic>
          </wp:anchor>
        </w:drawing>
      </w:r>
      <w:bookmarkEnd w:id="1093"/>
    </w:p>
    <w:p>
      <w:bookmarkStart w:id="1094" w:name="Top_of_index_split_199_html"/>
      <w:bookmarkStart w:id="1095" w:name="NRPE"/>
      <w:pPr>
        <w:pStyle w:val="Heading 1"/>
        <w:pageBreakBefore w:val="on"/>
      </w:pPr>
      <w:r>
        <w:t>NRPE</w:t>
      </w:r>
      <w:bookmarkEnd w:id="1094"/>
      <w:bookmarkEnd w:id="1095"/>
    </w:p>
    <w:p>
      <w:pPr>
        <w:pStyle w:val="Para 01"/>
      </w:pPr>
      <w:r>
        <w:t>Nagios Remote Plugin Executor</w:t>
      </w:r>
    </w:p>
    <w:p>
      <w:pPr>
        <w:pStyle w:val="Para 07"/>
      </w:pPr>
      <w:r>
        <w:t>Work in Progress</w:t>
      </w:r>
    </w:p>
    <w:p>
      <w:pPr>
        <w:pStyle w:val="Para 01"/>
      </w:pPr>
      <w:r>
        <w:t>NSCQ</w:t>
      </w:r>
    </w:p>
    <w:p>
      <w:pPr>
        <w:pStyle w:val="Para 01"/>
      </w:pPr>
      <w:r>
        <w:t>Network System Configuration Queue</w:t>
      </w:r>
    </w:p>
    <w:p>
      <w:pPr>
        <w:pStyle w:val="Para 07"/>
      </w:pPr>
      <w:r>
        <w:t>Work in Progress</w:t>
      </w:r>
    </w:p>
    <w:p>
      <w:pPr>
        <w:pStyle w:val="Para 01"/>
      </w:pPr>
      <w:r>
        <w:t>NSS</w:t>
      </w:r>
    </w:p>
    <w:p>
      <w:pPr>
        <w:pStyle w:val="Para 01"/>
      </w:pPr>
      <w:r>
        <w:t>Name Service Switch</w:t>
      </w:r>
    </w:p>
    <w:p>
      <w:pPr>
        <w:pStyle w:val="Para 07"/>
      </w:pPr>
      <w:r>
        <w:t>Work in Progress</w:t>
      </w:r>
    </w:p>
    <w:p>
      <w:pPr>
        <w:pStyle w:val="Para 01"/>
      </w:pPr>
      <w:r>
        <w:t>NTP</w:t>
      </w:r>
    </w:p>
    <w:p>
      <w:pPr>
        <w:pStyle w:val="Para 01"/>
      </w:pPr>
      <w:r>
        <w:t>Network Time Protocol</w:t>
      </w:r>
    </w:p>
    <w:p>
      <w:pPr>
        <w:pStyle w:val="Para 07"/>
      </w:pPr>
      <w:r>
        <w:t>Work in Progress</w:t>
      </w:r>
    </w:p>
    <w:p>
      <w:pPr>
        <w:pStyle w:val="Para 01"/>
      </w:pPr>
      <w:r>
        <w:t>NTS</w:t>
      </w:r>
    </w:p>
    <w:p>
      <w:pPr>
        <w:pStyle w:val="Para 01"/>
      </w:pPr>
      <w:r>
        <w:t>Network Time Security</w:t>
      </w:r>
    </w:p>
    <w:p>
      <w:pPr>
        <w:pStyle w:val="Para 07"/>
      </w:pPr>
      <w:r>
        <w:t>Work in Progress</w:t>
      </w:r>
    </w:p>
    <w:p>
      <w:pPr>
        <w:pStyle w:val="Para 01"/>
      </w:pPr>
      <w:r>
        <w:t>NUMA</w:t>
      </w:r>
    </w:p>
    <w:p>
      <w:pPr>
        <w:pStyle w:val="Para 01"/>
      </w:pPr>
      <w:r>
        <w:t>Non-Uniform Memory Access</w:t>
      </w:r>
    </w:p>
    <w:p>
      <w:pPr>
        <w:pStyle w:val="Para 07"/>
      </w:pPr>
      <w:r>
        <w:t>Work in Progress</w:t>
      </w:r>
    </w:p>
    <w:p>
      <w:pPr>
        <w:pStyle w:val="Para 01"/>
      </w:pPr>
      <w:r>
        <w:t>Nvidia</w:t>
      </w:r>
    </w:p>
    <w:p>
      <w:pPr>
        <w:pStyle w:val="Para 07"/>
      </w:pPr>
      <w:r>
        <w:t>Work in Progress</w:t>
      </w:r>
    </w:p>
    <w:p>
      <w:pPr>
        <w:pStyle w:val="Para 01"/>
      </w:pPr>
      <w:r>
        <w:t>NVMe</w:t>
      </w:r>
    </w:p>
    <w:p>
      <w:pPr>
        <w:pStyle w:val="Para 01"/>
      </w:pPr>
      <w:r>
        <w:t>Non-Volatile Memory Express</w:t>
      </w:r>
    </w:p>
    <w:p>
      <w:pPr>
        <w:pStyle w:val="Para 07"/>
      </w:pPr>
      <w:r>
        <w:t>Work in Progress</w:t>
      </w:r>
    </w:p>
    <w:p>
      <w:pPr>
        <w:pStyle w:val="Para 01"/>
      </w:pPr>
      <w:r>
        <w:t>NVRAM</w:t>
      </w:r>
    </w:p>
    <w:p>
      <w:pPr>
        <w:pStyle w:val="Para 01"/>
      </w:pPr>
      <w:r>
        <w:t>Non-Volative Random Access Memory</w:t>
      </w:r>
    </w:p>
    <w:p>
      <w:pPr>
        <w:pStyle w:val="Para 07"/>
      </w:pPr>
      <w:r>
        <w:t>Work in Progress</w:t>
      </w:r>
    </w:p>
    <w:p>
      <w:pPr>
        <w:pStyle w:val="Para 01"/>
      </w:pPr>
      <w:r>
        <w:t>NVSwitch</w:t>
      </w:r>
    </w:p>
    <w:p>
      <w:pPr>
        <w:pStyle w:val="Para 01"/>
      </w:pPr>
      <w:r>
        <w:t>NVIDIA NVLink Switch</w:t>
      </w:r>
    </w:p>
    <w:p>
      <w:pPr>
        <w:pStyle w:val="Para 07"/>
      </w:pPr>
      <w:r>
        <w:t>Work in Progress</w:t>
      </w:r>
    </w:p>
    <w:p>
      <w:pPr>
        <w:pStyle w:val="Para 17"/>
      </w:pPr>
      <w:r>
        <w:t/>
      </w:r>
    </w:p>
    <w:p>
      <w:pPr>
        <w:pStyle w:val="Para 01"/>
      </w:pPr>
      <w:r>
        <w:t>O</w:t>
      </w:r>
    </w:p>
    <w:p>
      <w:pPr>
        <w:pStyle w:val="Para 17"/>
      </w:pPr>
      <w:r>
        <w:t/>
      </w:r>
    </w:p>
    <w:p>
      <w:pPr>
        <w:pStyle w:val="Para 01"/>
      </w:pPr>
      <w:r>
        <w:t>OCF</w:t>
      </w:r>
    </w:p>
    <w:p>
      <w:pPr>
        <w:pStyle w:val="Para 01"/>
      </w:pPr>
      <w:r>
        <w:t>Open Cluster Framework</w:t>
      </w:r>
    </w:p>
    <w:p>
      <w:pPr>
        <w:pStyle w:val="Para 07"/>
      </w:pPr>
      <w:r>
        <w:t>Work in Progress</w:t>
      </w:r>
    </w:p>
    <w:p>
      <w:pPr>
        <w:pStyle w:val="Para 01"/>
      </w:pPr>
      <w:r>
        <w:t>OCFS</w:t>
      </w:r>
    </w:p>
    <w:p>
      <w:pPr>
        <w:pStyle w:val="Para 01"/>
      </w:pPr>
      <w:r>
        <w:t>Oracle Cluster File System</w:t>
      </w:r>
    </w:p>
    <w:p>
      <w:pPr>
        <w:pStyle w:val="Para 07"/>
      </w:pPr>
      <w:r>
        <w:t>Work in Progress</w:t>
      </w:r>
    </w:p>
    <w:p>
      <w:pPr>
        <w:pStyle w:val="Para 01"/>
      </w:pPr>
      <w:r>
        <w:t>OCI</w:t>
      </w:r>
    </w:p>
    <w:p>
      <w:pPr>
        <w:pStyle w:val="Para 01"/>
      </w:pPr>
      <w:r>
        <w:t>Open Container Initiative</w:t>
      </w:r>
    </w:p>
    <w:p>
      <w:pPr>
        <w:pStyle w:val="Para 07"/>
      </w:pPr>
      <w:r>
        <w:t>Work in Progress</w:t>
      </w:r>
    </w:p>
    <w:p>
      <w:pPr>
        <w:pStyle w:val="Para 01"/>
      </w:pPr>
      <w:r>
        <w:t>OCSP</w:t>
      </w:r>
    </w:p>
    <w:p>
      <w:pPr>
        <w:pStyle w:val="Para 01"/>
      </w:pPr>
      <w:r>
        <w:t>Online Certificate Status Protocol</w:t>
      </w:r>
    </w:p>
    <w:p>
      <w:pPr>
        <w:pStyle w:val="Para 07"/>
      </w:pPr>
      <w:r>
        <w:t>Work in Progress</w:t>
      </w:r>
    </w:p>
    <w:p>
      <w:bookmarkStart w:id="1096" w:name="page_6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0" name="index-698_1.png" descr="index-698_1.png"/>
            <wp:cNvGraphicFramePr>
              <a:graphicFrameLocks noChangeAspect="1"/>
            </wp:cNvGraphicFramePr>
            <a:graphic>
              <a:graphicData uri="http://schemas.openxmlformats.org/drawingml/2006/picture">
                <pic:pic>
                  <pic:nvPicPr>
                    <pic:cNvPr id="0" name="index-698_1.png" descr="index-698_1.png"/>
                    <pic:cNvPicPr/>
                  </pic:nvPicPr>
                  <pic:blipFill>
                    <a:blip r:embed="rId734"/>
                    <a:stretch>
                      <a:fillRect/>
                    </a:stretch>
                  </pic:blipFill>
                  <pic:spPr>
                    <a:xfrm>
                      <a:off x="0" y="0"/>
                      <a:ext cx="914400" cy="266700"/>
                    </a:xfrm>
                    <a:prstGeom prst="rect">
                      <a:avLst/>
                    </a:prstGeom>
                  </pic:spPr>
                </pic:pic>
              </a:graphicData>
            </a:graphic>
          </wp:anchor>
        </w:drawing>
      </w:r>
      <w:bookmarkEnd w:id="1096"/>
    </w:p>
    <w:p>
      <w:pPr>
        <w:pStyle w:val="Para 01"/>
      </w:pPr>
      <w:r>
        <w:t>OpenLDAP</w:t>
      </w:r>
    </w:p>
    <w:p>
      <w:pPr>
        <w:pStyle w:val="Para 07"/>
      </w:pPr>
      <w:r>
        <w:t>Work in Progress</w:t>
      </w:r>
    </w:p>
    <w:p>
      <w:pPr>
        <w:pStyle w:val="Para 01"/>
      </w:pPr>
      <w:r>
        <w:t>OpenSC</w:t>
      </w:r>
    </w:p>
    <w:p>
      <w:pPr>
        <w:pStyle w:val="Para 01"/>
      </w:pPr>
      <w:r>
        <w:t>Open Smart Card</w:t>
      </w:r>
    </w:p>
    <w:p>
      <w:pPr>
        <w:pStyle w:val="Para 07"/>
      </w:pPr>
      <w:r>
        <w:t>Work in Progress</w:t>
      </w:r>
    </w:p>
    <w:p>
      <w:pPr>
        <w:pStyle w:val="Para 01"/>
      </w:pPr>
      <w:r>
        <w:t>OpenSSH</w:t>
      </w:r>
    </w:p>
    <w:p>
      <w:pPr>
        <w:pStyle w:val="Para 07"/>
      </w:pPr>
      <w:r>
        <w:t>Work in Progress</w:t>
      </w:r>
    </w:p>
    <w:p>
      <w:pPr>
        <w:pStyle w:val="Para 01"/>
      </w:pPr>
      <w:r>
        <w:t>OpenSSL</w:t>
      </w:r>
    </w:p>
    <w:p>
      <w:pPr>
        <w:pStyle w:val="Para 07"/>
      </w:pPr>
      <w:r>
        <w:t>Work in Progress</w:t>
      </w:r>
    </w:p>
    <w:p>
      <w:pPr>
        <w:pStyle w:val="Para 01"/>
      </w:pPr>
      <w:r>
        <w:t>OpenStack</w:t>
      </w:r>
    </w:p>
    <w:p>
      <w:pPr>
        <w:pStyle w:val="Para 07"/>
      </w:pPr>
      <w:r>
        <w:t>Work in Progress</w:t>
      </w:r>
    </w:p>
    <w:p>
      <w:pPr>
        <w:pStyle w:val="Para 01"/>
      </w:pPr>
      <w:r>
        <w:t>OpenSUSE</w:t>
      </w:r>
    </w:p>
    <w:p>
      <w:pPr>
        <w:pStyle w:val="Para 07"/>
      </w:pPr>
      <w:r>
        <w:t>Work in Progress</w:t>
      </w:r>
    </w:p>
    <w:p>
      <w:pPr>
        <w:pStyle w:val="Para 01"/>
      </w:pPr>
      <w:r>
        <w:t>OpenVPN</w:t>
      </w:r>
    </w:p>
    <w:p>
      <w:pPr>
        <w:pStyle w:val="Para 07"/>
      </w:pPr>
      <w:r>
        <w:t>Work in Progress</w:t>
      </w:r>
    </w:p>
    <w:p>
      <w:pPr>
        <w:pStyle w:val="Para 01"/>
      </w:pPr>
      <w:r>
        <w:t>OpenVZ</w:t>
      </w:r>
    </w:p>
    <w:p>
      <w:pPr>
        <w:pStyle w:val="Para 07"/>
      </w:pPr>
      <w:r>
        <w:t>Work in Progress</w:t>
      </w:r>
    </w:p>
    <w:p>
      <w:pPr>
        <w:pStyle w:val="Para 01"/>
      </w:pPr>
      <w:r>
        <w:t>OpenWRT</w:t>
      </w:r>
    </w:p>
    <w:p>
      <w:pPr>
        <w:pStyle w:val="Para 07"/>
      </w:pPr>
      <w:r>
        <w:t>Work in Progress</w:t>
      </w:r>
    </w:p>
    <w:p>
      <w:pPr>
        <w:pStyle w:val="Para 01"/>
      </w:pPr>
      <w:r>
        <w:t>OS</w:t>
      </w:r>
    </w:p>
    <w:p>
      <w:pPr>
        <w:pStyle w:val="Para 01"/>
      </w:pPr>
      <w:r>
        <w:t>Operating System</w:t>
      </w:r>
    </w:p>
    <w:p>
      <w:pPr>
        <w:pStyle w:val="Para 07"/>
      </w:pPr>
      <w:r>
        <w:t>Work in Progress</w:t>
      </w:r>
    </w:p>
    <w:p>
      <w:pPr>
        <w:pStyle w:val="Para 01"/>
      </w:pPr>
      <w:r>
        <w:t>OSA</w:t>
      </w:r>
    </w:p>
    <w:p>
      <w:pPr>
        <w:pStyle w:val="Para 01"/>
      </w:pPr>
      <w:r>
        <w:t>Open Systems Adapter</w:t>
      </w:r>
    </w:p>
    <w:p>
      <w:pPr>
        <w:pStyle w:val="Para 07"/>
      </w:pPr>
      <w:r>
        <w:t>Work in Progress</w:t>
      </w:r>
    </w:p>
    <w:p>
      <w:pPr>
        <w:pStyle w:val="Para 01"/>
      </w:pPr>
      <w:r>
        <w:t>OSI</w:t>
      </w:r>
    </w:p>
    <w:p>
      <w:pPr>
        <w:pStyle w:val="Para 01"/>
      </w:pPr>
      <w:r>
        <w:t>Open Systems Interconnection</w:t>
      </w:r>
    </w:p>
    <w:p>
      <w:pPr>
        <w:pStyle w:val="Para 07"/>
      </w:pPr>
      <w:r>
        <w:t>Work in Progress</w:t>
      </w:r>
    </w:p>
    <w:p>
      <w:pPr>
        <w:pStyle w:val="Para 01"/>
      </w:pPr>
      <w:r>
        <w:t>OSPF</w:t>
      </w:r>
    </w:p>
    <w:p>
      <w:pPr>
        <w:pStyle w:val="Para 01"/>
      </w:pPr>
      <w:r>
        <w:t>Open Shortest Path First</w:t>
      </w:r>
    </w:p>
    <w:p>
      <w:pPr>
        <w:pStyle w:val="Para 02"/>
      </w:pPr>
      <w:r>
        <w:t>Open Shortest Path First (OSPF) is a widely used Interior Gateway Protocol (IGP) for IP networks, classifying as a link-state protocol that helps routers find the most effi-cient paths within a single Autonomous System (AS). It works by each router building a complete map (Link-State Database) of the network topology and using Dijkstra’s algo-rithm to calculate the shortest path to all destinations, ensuring fast convergence and scalability, especially in large enterprise network.</w:t>
      </w:r>
    </w:p>
    <w:p>
      <w:pPr>
        <w:pStyle w:val="Para 02"/>
      </w:pPr>
      <w:r>
        <w:t>Related topic(s):</w:t>
      </w:r>
    </w:p>
    <w:p>
      <w:pPr>
        <w:pStyle w:val="Para 06"/>
      </w:pPr>
      <w:r>
        <w:t>• Networking</w:t>
      </w:r>
    </w:p>
    <w:p>
      <w:pPr>
        <w:pStyle w:val="Para 01"/>
      </w:pPr>
      <w:r>
        <w:t>OTE</w:t>
      </w:r>
    </w:p>
    <w:p>
      <w:pPr>
        <w:pStyle w:val="Para 01"/>
      </w:pPr>
      <w:r>
        <w:t>Operational Test and Evaluation</w:t>
      </w:r>
    </w:p>
    <w:p>
      <w:pPr>
        <w:pStyle w:val="Para 07"/>
      </w:pPr>
      <w:r>
        <w:t>Work in Progress</w:t>
      </w:r>
    </w:p>
    <w:p>
      <w:bookmarkStart w:id="1097" w:name="page_6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1" name="index-699_1.png" descr="index-699_1.png"/>
            <wp:cNvGraphicFramePr>
              <a:graphicFrameLocks noChangeAspect="1"/>
            </wp:cNvGraphicFramePr>
            <a:graphic>
              <a:graphicData uri="http://schemas.openxmlformats.org/drawingml/2006/picture">
                <pic:pic>
                  <pic:nvPicPr>
                    <pic:cNvPr id="0" name="index-699_1.png" descr="index-699_1.png"/>
                    <pic:cNvPicPr/>
                  </pic:nvPicPr>
                  <pic:blipFill>
                    <a:blip r:embed="rId735"/>
                    <a:stretch>
                      <a:fillRect/>
                    </a:stretch>
                  </pic:blipFill>
                  <pic:spPr>
                    <a:xfrm>
                      <a:off x="0" y="0"/>
                      <a:ext cx="914400" cy="266700"/>
                    </a:xfrm>
                    <a:prstGeom prst="rect">
                      <a:avLst/>
                    </a:prstGeom>
                  </pic:spPr>
                </pic:pic>
              </a:graphicData>
            </a:graphic>
          </wp:anchor>
        </w:drawing>
      </w:r>
      <w:bookmarkEnd w:id="1097"/>
    </w:p>
    <w:p>
      <w:bookmarkStart w:id="1098" w:name="OTP"/>
      <w:bookmarkStart w:id="1099" w:name="Top_of_index_split_200_html"/>
      <w:pPr>
        <w:pStyle w:val="Heading 1"/>
        <w:pageBreakBefore w:val="on"/>
      </w:pPr>
      <w:r>
        <w:t>OTP</w:t>
      </w:r>
      <w:bookmarkEnd w:id="1098"/>
      <w:bookmarkEnd w:id="1099"/>
    </w:p>
    <w:p>
      <w:pPr>
        <w:pStyle w:val="Para 01"/>
      </w:pPr>
      <w:r>
        <w:t>One-Time Password</w:t>
      </w:r>
    </w:p>
    <w:p>
      <w:pPr>
        <w:pStyle w:val="Para 07"/>
      </w:pPr>
      <w:r>
        <w:t>Work in Progress</w:t>
      </w:r>
    </w:p>
    <w:p>
      <w:pPr>
        <w:pStyle w:val="Para 01"/>
      </w:pPr>
      <w:r>
        <w:t>OU</w:t>
      </w:r>
    </w:p>
    <w:p>
      <w:pPr>
        <w:pStyle w:val="Para 01"/>
      </w:pPr>
      <w:r>
        <w:t>Organizational Unit</w:t>
      </w:r>
    </w:p>
    <w:p>
      <w:pPr>
        <w:pStyle w:val="Para 07"/>
      </w:pPr>
      <w:r>
        <w:t>Work in Progress</w:t>
      </w:r>
    </w:p>
    <w:p>
      <w:pPr>
        <w:pStyle w:val="Para 01"/>
      </w:pPr>
      <w:r>
        <w:t>OverlayFS</w:t>
      </w:r>
    </w:p>
    <w:p>
      <w:pPr>
        <w:pStyle w:val="Para 07"/>
      </w:pPr>
      <w:r>
        <w:t>Work in Progress</w:t>
      </w:r>
    </w:p>
    <w:p>
      <w:pPr>
        <w:pStyle w:val="Para 01"/>
      </w:pPr>
      <w:r>
        <w:t>OVS</w:t>
      </w:r>
    </w:p>
    <w:p>
      <w:pPr>
        <w:pStyle w:val="Para 01"/>
      </w:pPr>
      <w:r>
        <w:t>Open vSwitch</w:t>
      </w:r>
    </w:p>
    <w:p>
      <w:pPr>
        <w:pStyle w:val="Para 07"/>
      </w:pPr>
      <w:r>
        <w:t>Work in Progress</w:t>
      </w:r>
    </w:p>
    <w:p>
      <w:pPr>
        <w:pStyle w:val="Para 17"/>
      </w:pPr>
      <w:r>
        <w:t/>
      </w:r>
    </w:p>
    <w:p>
      <w:pPr>
        <w:pStyle w:val="Para 01"/>
      </w:pPr>
      <w:r>
        <w:t>P</w:t>
      </w:r>
    </w:p>
    <w:p>
      <w:pPr>
        <w:pStyle w:val="Para 17"/>
      </w:pPr>
      <w:r>
        <w:t/>
      </w:r>
    </w:p>
    <w:p>
      <w:pPr>
        <w:pStyle w:val="Para 01"/>
      </w:pPr>
      <w:r>
        <w:t>PAM</w:t>
      </w:r>
    </w:p>
    <w:p>
      <w:pPr>
        <w:pStyle w:val="Para 01"/>
      </w:pPr>
      <w:r>
        <w:t>Pluggable Authentication Module</w:t>
      </w:r>
    </w:p>
    <w:p>
      <w:pPr>
        <w:pStyle w:val="Para 07"/>
      </w:pPr>
      <w:r>
        <w:t>Work in Progress</w:t>
      </w:r>
    </w:p>
    <w:p>
      <w:pPr>
        <w:pStyle w:val="Para 01"/>
      </w:pPr>
      <w:r>
        <w:t>passthrough</w:t>
      </w:r>
    </w:p>
    <w:p>
      <w:pPr>
        <w:pStyle w:val="Para 07"/>
      </w:pPr>
      <w:r>
        <w:t>Work in Progress</w:t>
      </w:r>
    </w:p>
    <w:p>
      <w:pPr>
        <w:pStyle w:val="Para 01"/>
      </w:pPr>
      <w:r>
        <w:t>PB</w:t>
      </w:r>
    </w:p>
    <w:p>
      <w:pPr>
        <w:pStyle w:val="Para 02"/>
      </w:pPr>
      <w:r>
        <w:t xml:space="preserve">Petabyte (unit of measurement) 1 PB = 1024 </w:t>
      </w:r>
      <w:hyperlink w:anchor="page_709">
        <w:r>
          <w:rPr>
            <w:rStyle w:val="Text2"/>
          </w:rPr>
          <w:t>TB</w:t>
        </w:r>
      </w:hyperlink>
    </w:p>
    <w:p>
      <w:pPr>
        <w:pStyle w:val="Para 01"/>
      </w:pPr>
      <w:r>
        <w:t>PCI</w:t>
      </w:r>
    </w:p>
    <w:p>
      <w:pPr>
        <w:pStyle w:val="Para 01"/>
      </w:pPr>
      <w:r>
        <w:t>Peripheral Component Interconnect</w:t>
      </w:r>
    </w:p>
    <w:p>
      <w:pPr>
        <w:pStyle w:val="Para 07"/>
      </w:pPr>
      <w:r>
        <w:t>Work in Progress</w:t>
      </w:r>
    </w:p>
    <w:p>
      <w:pPr>
        <w:pStyle w:val="Para 01"/>
      </w:pPr>
      <w:r>
        <w:t>PCIe</w:t>
      </w:r>
    </w:p>
    <w:p>
      <w:pPr>
        <w:pStyle w:val="Para 01"/>
      </w:pPr>
      <w:r>
        <w:t>Peripheral Component Interconnect Express</w:t>
      </w:r>
    </w:p>
    <w:p>
      <w:pPr>
        <w:pStyle w:val="Para 07"/>
      </w:pPr>
      <w:r>
        <w:t>Work in Progress</w:t>
      </w:r>
    </w:p>
    <w:p>
      <w:pPr>
        <w:pStyle w:val="Para 01"/>
      </w:pPr>
      <w:r>
        <w:t>PCS</w:t>
      </w:r>
    </w:p>
    <w:p>
      <w:pPr>
        <w:pStyle w:val="Para 01"/>
      </w:pPr>
      <w:r>
        <w:t>Pacemaker/Corosync Stack</w:t>
      </w:r>
    </w:p>
    <w:p>
      <w:pPr>
        <w:pStyle w:val="Para 07"/>
      </w:pPr>
      <w:r>
        <w:t>Work in Progress</w:t>
      </w:r>
    </w:p>
    <w:p>
      <w:pPr>
        <w:pStyle w:val="Para 01"/>
      </w:pPr>
      <w:r>
        <w:t>PDC</w:t>
      </w:r>
    </w:p>
    <w:p>
      <w:pPr>
        <w:pStyle w:val="Para 01"/>
      </w:pPr>
      <w:r>
        <w:t>Primary Domain Controller</w:t>
      </w:r>
    </w:p>
    <w:p>
      <w:pPr>
        <w:pStyle w:val="Para 07"/>
      </w:pPr>
      <w:r>
        <w:t>Work in Progress</w:t>
      </w:r>
    </w:p>
    <w:p>
      <w:pPr>
        <w:pStyle w:val="Para 01"/>
      </w:pPr>
      <w:r>
        <w:t>PEM</w:t>
      </w:r>
    </w:p>
    <w:p>
      <w:pPr>
        <w:pStyle w:val="Para 01"/>
      </w:pPr>
      <w:r>
        <w:t>Privacy Enhanced Mail</w:t>
      </w:r>
    </w:p>
    <w:p>
      <w:pPr>
        <w:pStyle w:val="Para 07"/>
      </w:pPr>
      <w:r>
        <w:t>Work in Progress</w:t>
      </w:r>
    </w:p>
    <w:p>
      <w:pPr>
        <w:pStyle w:val="Para 01"/>
      </w:pPr>
      <w:r>
        <w:t>Petitboot</w:t>
      </w:r>
    </w:p>
    <w:p>
      <w:pPr>
        <w:pStyle w:val="Para 07"/>
      </w:pPr>
      <w:r>
        <w:t>Work in Progress</w:t>
      </w:r>
    </w:p>
    <w:p>
      <w:pPr>
        <w:pStyle w:val="Para 01"/>
      </w:pPr>
      <w:r>
        <w:t>PgSQL</w:t>
      </w:r>
    </w:p>
    <w:p>
      <w:pPr>
        <w:pStyle w:val="Para 07"/>
      </w:pPr>
      <w:r>
        <w:t>Work in Progress</w:t>
      </w:r>
    </w:p>
    <w:p>
      <w:pPr>
        <w:pStyle w:val="Para 01"/>
      </w:pPr>
      <w:r>
        <w:t>PHP</w:t>
      </w:r>
    </w:p>
    <w:p>
      <w:pPr>
        <w:pStyle w:val="Para 01"/>
      </w:pPr>
      <w:r>
        <w:t>PHP: HyperText Preprocessor</w:t>
      </w:r>
    </w:p>
    <w:p>
      <w:pPr>
        <w:pStyle w:val="Para 07"/>
      </w:pPr>
      <w:r>
        <w:t>Work in Progress</w:t>
      </w:r>
    </w:p>
    <w:p>
      <w:bookmarkStart w:id="1100" w:name="page_7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2" name="index-700_1.png" descr="index-700_1.png"/>
            <wp:cNvGraphicFramePr>
              <a:graphicFrameLocks noChangeAspect="1"/>
            </wp:cNvGraphicFramePr>
            <a:graphic>
              <a:graphicData uri="http://schemas.openxmlformats.org/drawingml/2006/picture">
                <pic:pic>
                  <pic:nvPicPr>
                    <pic:cNvPr id="0" name="index-700_1.png" descr="index-700_1.png"/>
                    <pic:cNvPicPr/>
                  </pic:nvPicPr>
                  <pic:blipFill>
                    <a:blip r:embed="rId736"/>
                    <a:stretch>
                      <a:fillRect/>
                    </a:stretch>
                  </pic:blipFill>
                  <pic:spPr>
                    <a:xfrm>
                      <a:off x="0" y="0"/>
                      <a:ext cx="914400" cy="266700"/>
                    </a:xfrm>
                    <a:prstGeom prst="rect">
                      <a:avLst/>
                    </a:prstGeom>
                  </pic:spPr>
                </pic:pic>
              </a:graphicData>
            </a:graphic>
          </wp:anchor>
        </w:drawing>
      </w:r>
      <w:bookmarkEnd w:id="1100"/>
    </w:p>
    <w:p>
      <w:bookmarkStart w:id="1101" w:name="Top_of_index_split_201_html"/>
      <w:bookmarkStart w:id="1102" w:name="PID"/>
      <w:pPr>
        <w:pStyle w:val="Heading 1"/>
        <w:pageBreakBefore w:val="on"/>
      </w:pPr>
      <w:r>
        <w:t>PID</w:t>
      </w:r>
      <w:bookmarkEnd w:id="1101"/>
      <w:bookmarkEnd w:id="1102"/>
    </w:p>
    <w:p>
      <w:pPr>
        <w:pStyle w:val="Para 01"/>
      </w:pPr>
      <w:r>
        <w:t>Process Identifier</w:t>
      </w:r>
    </w:p>
    <w:p>
      <w:pPr>
        <w:pStyle w:val="Para 07"/>
      </w:pPr>
      <w:r>
        <w:t>Work in Progress</w:t>
      </w:r>
    </w:p>
    <w:p>
      <w:pPr>
        <w:pStyle w:val="Para 01"/>
      </w:pPr>
      <w:r>
        <w:t>pingable</w:t>
      </w:r>
    </w:p>
    <w:p>
      <w:pPr>
        <w:pStyle w:val="Para 07"/>
      </w:pPr>
      <w:r>
        <w:t>Work in Progress</w:t>
      </w:r>
    </w:p>
    <w:p>
      <w:pPr>
        <w:pStyle w:val="Para 01"/>
      </w:pPr>
      <w:r>
        <w:t>PIV</w:t>
      </w:r>
    </w:p>
    <w:p>
      <w:pPr>
        <w:pStyle w:val="Para 01"/>
      </w:pPr>
      <w:r>
        <w:t>Personal Identity Verification</w:t>
      </w:r>
    </w:p>
    <w:p>
      <w:pPr>
        <w:pStyle w:val="Para 07"/>
      </w:pPr>
      <w:r>
        <w:t>Work in Progress</w:t>
      </w:r>
    </w:p>
    <w:p>
      <w:pPr>
        <w:pStyle w:val="Para 01"/>
      </w:pPr>
      <w:r>
        <w:t>PKCS</w:t>
      </w:r>
    </w:p>
    <w:p>
      <w:pPr>
        <w:pStyle w:val="Para 01"/>
      </w:pPr>
      <w:r>
        <w:t>Public-Key Cryptography Standards</w:t>
      </w:r>
    </w:p>
    <w:p>
      <w:pPr>
        <w:pStyle w:val="Para 07"/>
      </w:pPr>
      <w:r>
        <w:t>Work in Progress</w:t>
      </w:r>
    </w:p>
    <w:p>
      <w:pPr>
        <w:pStyle w:val="Para 01"/>
      </w:pPr>
      <w:r>
        <w:t>PKI</w:t>
      </w:r>
    </w:p>
    <w:p>
      <w:pPr>
        <w:pStyle w:val="Para 01"/>
      </w:pPr>
      <w:r>
        <w:t>Public Key Infrastructure</w:t>
      </w:r>
    </w:p>
    <w:p>
      <w:pPr>
        <w:pStyle w:val="Para 07"/>
      </w:pPr>
      <w:r>
        <w:t>Work in Progress</w:t>
      </w:r>
    </w:p>
    <w:p>
      <w:pPr>
        <w:pStyle w:val="Para 01"/>
      </w:pPr>
      <w:r>
        <w:t>pluggable</w:t>
      </w:r>
    </w:p>
    <w:p>
      <w:pPr>
        <w:pStyle w:val="Para 07"/>
      </w:pPr>
      <w:r>
        <w:t>Work in Progress</w:t>
      </w:r>
    </w:p>
    <w:p>
      <w:pPr>
        <w:pStyle w:val="Para 01"/>
      </w:pPr>
      <w:r>
        <w:t>PMD</w:t>
      </w:r>
    </w:p>
    <w:p>
      <w:pPr>
        <w:pStyle w:val="Para 01"/>
      </w:pPr>
      <w:r>
        <w:t>Poll Mode Driver</w:t>
      </w:r>
    </w:p>
    <w:p>
      <w:pPr>
        <w:pStyle w:val="Para 07"/>
      </w:pPr>
      <w:r>
        <w:t>Work in Progress</w:t>
      </w:r>
    </w:p>
    <w:p>
      <w:pPr>
        <w:pStyle w:val="Para 01"/>
      </w:pPr>
      <w:r>
        <w:t>pockets</w:t>
      </w:r>
    </w:p>
    <w:p>
      <w:pPr>
        <w:pStyle w:val="Para 02"/>
      </w:pPr>
      <w:r>
        <w:t>Sub-repositories within the Ubuntu Package Archive.</w:t>
      </w:r>
    </w:p>
    <w:p>
      <w:pPr>
        <w:pStyle w:val="Para 02"/>
      </w:pPr>
      <w:r>
        <w:t>See also:</w:t>
      </w:r>
    </w:p>
    <w:p>
      <w:pPr>
        <w:pStyle w:val="Para 27"/>
      </w:pPr>
      <w:r>
        <w:rPr>
          <w:rStyle w:val="Text7"/>
        </w:rPr>
        <w:t xml:space="preserve">• </w:t>
      </w:r>
      <w:hyperlink r:id="rId1271">
        <w:r>
          <w:rPr>
            <w:rStyle w:val="Text10"/>
          </w:rPr>
          <w:t>701</w:t>
        </w:r>
      </w:hyperlink>
      <w:hyperlink r:id="rId1271">
        <w:r>
          <w:t xml:space="preserve"> Ubuntu Project: pockets</w:t>
        </w:r>
      </w:hyperlink>
    </w:p>
    <w:p>
      <w:pPr>
        <w:pStyle w:val="Para 01"/>
      </w:pPr>
      <w:r>
        <w:t>POSIX</w:t>
      </w:r>
    </w:p>
    <w:p>
      <w:pPr>
        <w:pStyle w:val="Para 01"/>
      </w:pPr>
      <w:r>
        <w:t>Portable Operating System Interface (for UNIX)</w:t>
      </w:r>
    </w:p>
    <w:p>
      <w:pPr>
        <w:pStyle w:val="Para 07"/>
      </w:pPr>
      <w:r>
        <w:t>Work in Progress</w:t>
      </w:r>
    </w:p>
    <w:p>
      <w:pPr>
        <w:pStyle w:val="Para 01"/>
      </w:pPr>
      <w:r>
        <w:t>Postcopy</w:t>
      </w:r>
    </w:p>
    <w:p>
      <w:pPr>
        <w:pStyle w:val="Para 07"/>
      </w:pPr>
      <w:r>
        <w:t>Work in Progress</w:t>
      </w:r>
    </w:p>
    <w:p>
      <w:pPr>
        <w:pStyle w:val="Para 01"/>
      </w:pPr>
      <w:r>
        <w:t>Postfix</w:t>
      </w:r>
    </w:p>
    <w:p>
      <w:pPr>
        <w:pStyle w:val="Para 07"/>
      </w:pPr>
      <w:r>
        <w:t>Work in Progress</w:t>
      </w:r>
    </w:p>
    <w:p>
      <w:pPr>
        <w:pStyle w:val="Para 01"/>
      </w:pPr>
      <w:r>
        <w:t>PostgreSQL</w:t>
      </w:r>
    </w:p>
    <w:p>
      <w:pPr>
        <w:pStyle w:val="Para 07"/>
      </w:pPr>
      <w:r>
        <w:t>Work in Progress</w:t>
      </w:r>
    </w:p>
    <w:p>
      <w:pPr>
        <w:pStyle w:val="Para 01"/>
      </w:pPr>
      <w:r>
        <w:t>PostScript</w:t>
      </w:r>
    </w:p>
    <w:p>
      <w:pPr>
        <w:pStyle w:val="Para 07"/>
      </w:pPr>
      <w:r>
        <w:t>Work in Progress</w:t>
      </w:r>
    </w:p>
    <w:p>
      <w:pPr>
        <w:pStyle w:val="Para 01"/>
      </w:pPr>
      <w:r>
        <w:t>Power 8</w:t>
      </w:r>
    </w:p>
    <w:p>
      <w:pPr>
        <w:pStyle w:val="Para 01"/>
      </w:pPr>
      <w:r>
        <w:t>Power 9</w:t>
      </w:r>
    </w:p>
    <w:p>
      <w:pPr>
        <w:pStyle w:val="Para 02"/>
      </w:pPr>
      <w:r>
        <w:t>IMB POWER processor architectures used in enterprise servers.</w:t>
      </w:r>
    </w:p>
    <w:p>
      <w:pPr>
        <w:pStyle w:val="Para 01"/>
      </w:pPr>
      <w:r>
        <w:t>PowerShell</w:t>
      </w:r>
    </w:p>
    <w:p>
      <w:pPr>
        <w:pStyle w:val="Para 07"/>
      </w:pPr>
      <w:r>
        <w:t>Work in Progress</w:t>
      </w:r>
    </w:p>
    <w:p>
      <w:pPr>
        <w:pStyle w:val="Para 41"/>
      </w:pPr>
      <w:r>
        <w:rPr>
          <w:rStyle w:val="Text5"/>
        </w:rPr>
        <w:t>701</w:t>
      </w:r>
      <w:r>
        <w:rPr>
          <w:rStyle w:val="Text8"/>
        </w:rPr>
        <w:t xml:space="preserve"> </w:t>
      </w:r>
      <w:r>
        <w:t>https://documentation.ubuntu.com/project/how-ubuntu-is-made/concepts/package-archive/#pockets</w:t>
      </w:r>
    </w:p>
    <w:p>
      <w:bookmarkStart w:id="1103" w:name="page_7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3" name="index-701_1.png" descr="index-701_1.png"/>
            <wp:cNvGraphicFramePr>
              <a:graphicFrameLocks noChangeAspect="1"/>
            </wp:cNvGraphicFramePr>
            <a:graphic>
              <a:graphicData uri="http://schemas.openxmlformats.org/drawingml/2006/picture">
                <pic:pic>
                  <pic:nvPicPr>
                    <pic:cNvPr id="0" name="index-701_1.png" descr="index-701_1.png"/>
                    <pic:cNvPicPr/>
                  </pic:nvPicPr>
                  <pic:blipFill>
                    <a:blip r:embed="rId737"/>
                    <a:stretch>
                      <a:fillRect/>
                    </a:stretch>
                  </pic:blipFill>
                  <pic:spPr>
                    <a:xfrm>
                      <a:off x="0" y="0"/>
                      <a:ext cx="914400" cy="266700"/>
                    </a:xfrm>
                    <a:prstGeom prst="rect">
                      <a:avLst/>
                    </a:prstGeom>
                  </pic:spPr>
                </pic:pic>
              </a:graphicData>
            </a:graphic>
          </wp:anchor>
        </w:drawing>
      </w:r>
      <w:bookmarkEnd w:id="1103"/>
    </w:p>
    <w:p>
      <w:bookmarkStart w:id="1104" w:name="PPA"/>
      <w:bookmarkStart w:id="1105" w:name="Top_of_index_split_202_html"/>
      <w:pPr>
        <w:pStyle w:val="Heading 1"/>
        <w:pageBreakBefore w:val="on"/>
      </w:pPr>
      <w:r>
        <w:t>PPA</w:t>
      </w:r>
      <w:bookmarkEnd w:id="1104"/>
      <w:bookmarkEnd w:id="1105"/>
    </w:p>
    <w:p>
      <w:pPr>
        <w:pStyle w:val="Para 01"/>
      </w:pPr>
      <w:r>
        <w:t>Personal Package Archive</w:t>
      </w:r>
    </w:p>
    <w:p>
      <w:pPr>
        <w:pStyle w:val="Para 07"/>
      </w:pPr>
      <w:r>
        <w:t>Work in Progress</w:t>
      </w:r>
    </w:p>
    <w:p>
      <w:pPr>
        <w:pStyle w:val="Para 01"/>
      </w:pPr>
      <w:r>
        <w:t>ppc</w:t>
      </w:r>
    </w:p>
    <w:p>
      <w:pPr>
        <w:pStyle w:val="Para 01"/>
      </w:pPr>
      <w:r>
        <w:t>PowerPC</w:t>
      </w:r>
    </w:p>
    <w:p>
      <w:pPr>
        <w:pStyle w:val="Para 07"/>
      </w:pPr>
      <w:r>
        <w:t>Work in Progress</w:t>
      </w:r>
    </w:p>
    <w:p>
      <w:pPr>
        <w:pStyle w:val="Para 01"/>
      </w:pPr>
      <w:r>
        <w:t>PPD</w:t>
      </w:r>
    </w:p>
    <w:p>
      <w:pPr>
        <w:pStyle w:val="Para 01"/>
      </w:pPr>
      <w:r>
        <w:t>PostScript Printer Description</w:t>
      </w:r>
    </w:p>
    <w:p>
      <w:pPr>
        <w:pStyle w:val="Para 07"/>
      </w:pPr>
      <w:r>
        <w:t>Work in Progress</w:t>
      </w:r>
    </w:p>
    <w:p>
      <w:pPr>
        <w:pStyle w:val="Para 01"/>
      </w:pPr>
      <w:r>
        <w:t>PPS</w:t>
      </w:r>
    </w:p>
    <w:p>
      <w:pPr>
        <w:pStyle w:val="Para 01"/>
      </w:pPr>
      <w:r>
        <w:t>Pulse Per Second</w:t>
      </w:r>
    </w:p>
    <w:p>
      <w:pPr>
        <w:pStyle w:val="Para 07"/>
      </w:pPr>
      <w:r>
        <w:t>Work in Progress</w:t>
      </w:r>
    </w:p>
    <w:p>
      <w:pPr>
        <w:pStyle w:val="Para 01"/>
      </w:pPr>
      <w:r>
        <w:t>Preboot</w:t>
      </w:r>
    </w:p>
    <w:p>
      <w:pPr>
        <w:pStyle w:val="Para 07"/>
      </w:pPr>
      <w:r>
        <w:t>Work in Progress</w:t>
      </w:r>
    </w:p>
    <w:p>
      <w:pPr>
        <w:pStyle w:val="Para 01"/>
      </w:pPr>
      <w:r>
        <w:t>preseed</w:t>
      </w:r>
    </w:p>
    <w:p>
      <w:pPr>
        <w:pStyle w:val="Para 07"/>
      </w:pPr>
      <w:r>
        <w:t>Work in Progress</w:t>
      </w:r>
    </w:p>
    <w:p>
      <w:pPr>
        <w:pStyle w:val="Para 01"/>
      </w:pPr>
      <w:r>
        <w:t>Prometheus</w:t>
      </w:r>
    </w:p>
    <w:p>
      <w:pPr>
        <w:pStyle w:val="Para 07"/>
      </w:pPr>
      <w:r>
        <w:t>Work in Progress</w:t>
      </w:r>
    </w:p>
    <w:p>
      <w:pPr>
        <w:pStyle w:val="Para 01"/>
      </w:pPr>
      <w:r>
        <w:t>proxy</w:t>
      </w:r>
    </w:p>
    <w:p>
      <w:pPr>
        <w:pStyle w:val="Para 07"/>
      </w:pPr>
      <w:r>
        <w:t>Work in Progress</w:t>
      </w:r>
    </w:p>
    <w:p>
      <w:pPr>
        <w:pStyle w:val="Para 01"/>
      </w:pPr>
      <w:r>
        <w:t>PTP</w:t>
      </w:r>
    </w:p>
    <w:p>
      <w:pPr>
        <w:pStyle w:val="Para 01"/>
      </w:pPr>
      <w:r>
        <w:t>Precision Time Protocol</w:t>
      </w:r>
    </w:p>
    <w:p>
      <w:pPr>
        <w:pStyle w:val="Para 07"/>
      </w:pPr>
      <w:r>
        <w:t>Work in Progress</w:t>
      </w:r>
    </w:p>
    <w:p>
      <w:pPr>
        <w:pStyle w:val="Para 01"/>
      </w:pPr>
      <w:r>
        <w:t>PTR</w:t>
      </w:r>
    </w:p>
    <w:p>
      <w:pPr>
        <w:pStyle w:val="Para 01"/>
      </w:pPr>
      <w:r>
        <w:t>Pointer Record</w:t>
      </w:r>
    </w:p>
    <w:p>
      <w:pPr>
        <w:pStyle w:val="Para 07"/>
      </w:pPr>
      <w:r>
        <w:t>Work in Progress</w:t>
      </w:r>
    </w:p>
    <w:p>
      <w:pPr>
        <w:pStyle w:val="Para 01"/>
      </w:pPr>
      <w:r>
        <w:t>PXE</w:t>
      </w:r>
    </w:p>
    <w:p>
      <w:pPr>
        <w:pStyle w:val="Para 01"/>
      </w:pPr>
      <w:r>
        <w:t>Preboot Execution Environment</w:t>
      </w:r>
    </w:p>
    <w:p>
      <w:pPr>
        <w:pStyle w:val="Para 07"/>
      </w:pPr>
      <w:r>
        <w:t>Work in Progress</w:t>
      </w:r>
    </w:p>
    <w:p>
      <w:pPr>
        <w:pStyle w:val="Para 01"/>
      </w:pPr>
      <w:r>
        <w:t>PXELINUX</w:t>
      </w:r>
    </w:p>
    <w:p>
      <w:pPr>
        <w:pStyle w:val="Para 01"/>
      </w:pPr>
      <w:r>
        <w:t>PXE Linux Loader</w:t>
      </w:r>
    </w:p>
    <w:p>
      <w:pPr>
        <w:pStyle w:val="Para 07"/>
      </w:pPr>
      <w:r>
        <w:t>Work in Progress</w:t>
      </w:r>
    </w:p>
    <w:p>
      <w:pPr>
        <w:pStyle w:val="Para 17"/>
      </w:pPr>
      <w:r>
        <w:t/>
      </w:r>
    </w:p>
    <w:p>
      <w:pPr>
        <w:pStyle w:val="Para 01"/>
      </w:pPr>
      <w:r>
        <w:t>Q</w:t>
      </w:r>
    </w:p>
    <w:p>
      <w:pPr>
        <w:pStyle w:val="Para 17"/>
      </w:pPr>
      <w:r>
        <w:t/>
      </w:r>
    </w:p>
    <w:p>
      <w:pPr>
        <w:pStyle w:val="Para 01"/>
      </w:pPr>
      <w:r>
        <w:t>QA</w:t>
      </w:r>
    </w:p>
    <w:p>
      <w:pPr>
        <w:pStyle w:val="Para 01"/>
      </w:pPr>
      <w:r>
        <w:t>Quality Assurance</w:t>
      </w:r>
    </w:p>
    <w:p>
      <w:pPr>
        <w:pStyle w:val="Para 07"/>
      </w:pPr>
      <w:r>
        <w:t>Work in Progress</w:t>
      </w:r>
    </w:p>
    <w:p>
      <w:pPr>
        <w:pStyle w:val="Para 01"/>
      </w:pPr>
      <w:r>
        <w:t>QDevice</w:t>
      </w:r>
    </w:p>
    <w:p>
      <w:pPr>
        <w:pStyle w:val="Para 01"/>
      </w:pPr>
      <w:r>
        <w:t>Quorum Device</w:t>
      </w:r>
    </w:p>
    <w:p>
      <w:pPr>
        <w:pStyle w:val="Para 07"/>
      </w:pPr>
      <w:r>
        <w:t>Work in Progress</w:t>
      </w:r>
    </w:p>
    <w:p>
      <w:pPr>
        <w:pStyle w:val="Para 01"/>
      </w:pPr>
      <w:r>
        <w:t>QEMU</w:t>
      </w:r>
    </w:p>
    <w:p>
      <w:pPr>
        <w:pStyle w:val="Para 01"/>
      </w:pPr>
      <w:r>
        <w:t>Quick Emulator</w:t>
      </w:r>
    </w:p>
    <w:p>
      <w:pPr>
        <w:pStyle w:val="Para 07"/>
      </w:pPr>
      <w:r>
        <w:t>Work in Progress</w:t>
      </w:r>
    </w:p>
    <w:p>
      <w:bookmarkStart w:id="1106" w:name="page_7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4" name="index-702_1.png" descr="index-702_1.png"/>
            <wp:cNvGraphicFramePr>
              <a:graphicFrameLocks noChangeAspect="1"/>
            </wp:cNvGraphicFramePr>
            <a:graphic>
              <a:graphicData uri="http://schemas.openxmlformats.org/drawingml/2006/picture">
                <pic:pic>
                  <pic:nvPicPr>
                    <pic:cNvPr id="0" name="index-702_1.png" descr="index-702_1.png"/>
                    <pic:cNvPicPr/>
                  </pic:nvPicPr>
                  <pic:blipFill>
                    <a:blip r:embed="rId738"/>
                    <a:stretch>
                      <a:fillRect/>
                    </a:stretch>
                  </pic:blipFill>
                  <pic:spPr>
                    <a:xfrm>
                      <a:off x="0" y="0"/>
                      <a:ext cx="914400" cy="266700"/>
                    </a:xfrm>
                    <a:prstGeom prst="rect">
                      <a:avLst/>
                    </a:prstGeom>
                  </pic:spPr>
                </pic:pic>
              </a:graphicData>
            </a:graphic>
          </wp:anchor>
        </w:drawing>
      </w:r>
      <w:bookmarkEnd w:id="1106"/>
    </w:p>
    <w:p>
      <w:bookmarkStart w:id="1107" w:name="QETH"/>
      <w:bookmarkStart w:id="1108" w:name="Top_of_index_split_203_html"/>
      <w:pPr>
        <w:pStyle w:val="Heading 1"/>
        <w:pageBreakBefore w:val="on"/>
      </w:pPr>
      <w:r>
        <w:t>QETH</w:t>
      </w:r>
      <w:bookmarkEnd w:id="1107"/>
      <w:bookmarkEnd w:id="1108"/>
    </w:p>
    <w:p>
      <w:pPr>
        <w:pStyle w:val="Para 01"/>
      </w:pPr>
      <w:r>
        <w:t>QDIO Ethernet</w:t>
      </w:r>
    </w:p>
    <w:p>
      <w:pPr>
        <w:pStyle w:val="Para 07"/>
      </w:pPr>
      <w:r>
        <w:t>Work in Progress</w:t>
      </w:r>
    </w:p>
    <w:p>
      <w:pPr>
        <w:pStyle w:val="Para 01"/>
      </w:pPr>
      <w:r>
        <w:t>quickstart</w:t>
      </w:r>
    </w:p>
    <w:p>
      <w:pPr>
        <w:pStyle w:val="Para 07"/>
      </w:pPr>
      <w:r>
        <w:t>Work in Progress</w:t>
      </w:r>
    </w:p>
    <w:p>
      <w:pPr>
        <w:pStyle w:val="Para 17"/>
      </w:pPr>
      <w:r>
        <w:t/>
      </w:r>
    </w:p>
    <w:p>
      <w:pPr>
        <w:pStyle w:val="Para 01"/>
      </w:pPr>
      <w:r>
        <w:t>R</w:t>
      </w:r>
    </w:p>
    <w:p>
      <w:pPr>
        <w:pStyle w:val="Para 17"/>
      </w:pPr>
      <w:r>
        <w:t/>
      </w:r>
    </w:p>
    <w:p>
      <w:pPr>
        <w:pStyle w:val="Para 01"/>
      </w:pPr>
      <w:r>
        <w:t>RAM</w:t>
      </w:r>
    </w:p>
    <w:p>
      <w:pPr>
        <w:pStyle w:val="Para 01"/>
      </w:pPr>
      <w:r>
        <w:t>Random Access Memory</w:t>
      </w:r>
    </w:p>
    <w:p>
      <w:pPr>
        <w:pStyle w:val="Para 07"/>
      </w:pPr>
      <w:r>
        <w:t>Work in Progress</w:t>
      </w:r>
    </w:p>
    <w:p>
      <w:pPr>
        <w:pStyle w:val="Para 01"/>
      </w:pPr>
      <w:r>
        <w:t>RangeSize</w:t>
      </w:r>
    </w:p>
    <w:p>
      <w:pPr>
        <w:pStyle w:val="Para 07"/>
      </w:pPr>
      <w:r>
        <w:t>Work in Progress</w:t>
      </w:r>
    </w:p>
    <w:p>
      <w:pPr>
        <w:pStyle w:val="Para 01"/>
      </w:pPr>
      <w:r>
        <w:t>RDAC</w:t>
      </w:r>
    </w:p>
    <w:p>
      <w:pPr>
        <w:pStyle w:val="Para 01"/>
      </w:pPr>
      <w:r>
        <w:t>Redundant Disk Array Controller</w:t>
      </w:r>
    </w:p>
    <w:p>
      <w:pPr>
        <w:pStyle w:val="Para 07"/>
      </w:pPr>
      <w:r>
        <w:t>Work in Progress</w:t>
      </w:r>
    </w:p>
    <w:p>
      <w:pPr>
        <w:pStyle w:val="Para 01"/>
      </w:pPr>
      <w:r>
        <w:t>RDBMS</w:t>
      </w:r>
    </w:p>
    <w:p>
      <w:pPr>
        <w:pStyle w:val="Para 01"/>
      </w:pPr>
      <w:r>
        <w:t>Relational Database Management System</w:t>
      </w:r>
    </w:p>
    <w:p>
      <w:pPr>
        <w:pStyle w:val="Para 07"/>
      </w:pPr>
      <w:r>
        <w:t>Work in Progress</w:t>
      </w:r>
    </w:p>
    <w:p>
      <w:pPr>
        <w:pStyle w:val="Para 01"/>
      </w:pPr>
      <w:r>
        <w:t>RDN</w:t>
      </w:r>
    </w:p>
    <w:p>
      <w:pPr>
        <w:pStyle w:val="Para 01"/>
      </w:pPr>
      <w:r>
        <w:t>Relative Distinguished Name</w:t>
      </w:r>
    </w:p>
    <w:p>
      <w:pPr>
        <w:pStyle w:val="Para 07"/>
      </w:pPr>
      <w:r>
        <w:t>Work in Progress</w:t>
      </w:r>
    </w:p>
    <w:p>
      <w:pPr>
        <w:pStyle w:val="Para 01"/>
      </w:pPr>
      <w:r>
        <w:t>renderer</w:t>
      </w:r>
    </w:p>
    <w:p>
      <w:pPr>
        <w:pStyle w:val="Para 07"/>
      </w:pPr>
      <w:r>
        <w:t>Work in Progress</w:t>
      </w:r>
    </w:p>
    <w:p>
      <w:pPr>
        <w:pStyle w:val="Para 01"/>
      </w:pPr>
      <w:r>
        <w:t>REXX</w:t>
      </w:r>
    </w:p>
    <w:p>
      <w:pPr>
        <w:pStyle w:val="Para 01"/>
      </w:pPr>
      <w:r>
        <w:t>Restructured Extended Executor</w:t>
      </w:r>
    </w:p>
    <w:p>
      <w:pPr>
        <w:pStyle w:val="Para 07"/>
      </w:pPr>
      <w:r>
        <w:t>Work in Progress</w:t>
      </w:r>
    </w:p>
    <w:p>
      <w:pPr>
        <w:pStyle w:val="Para 01"/>
      </w:pPr>
      <w:r>
        <w:t>RFC</w:t>
      </w:r>
    </w:p>
    <w:p>
      <w:pPr>
        <w:pStyle w:val="Para 01"/>
      </w:pPr>
      <w:r>
        <w:t>Request For Comments</w:t>
      </w:r>
    </w:p>
    <w:p>
      <w:pPr>
        <w:pStyle w:val="Para 07"/>
      </w:pPr>
      <w:r>
        <w:t>Work in Progress</w:t>
      </w:r>
    </w:p>
    <w:p>
      <w:pPr>
        <w:pStyle w:val="Para 01"/>
      </w:pPr>
      <w:r>
        <w:t>rid</w:t>
      </w:r>
    </w:p>
    <w:p>
      <w:pPr>
        <w:pStyle w:val="Para 01"/>
      </w:pPr>
      <w:r>
        <w:t>Relative Identifier</w:t>
      </w:r>
    </w:p>
    <w:p>
      <w:pPr>
        <w:pStyle w:val="Para 07"/>
      </w:pPr>
      <w:r>
        <w:t>Work in Progress</w:t>
      </w:r>
    </w:p>
    <w:p>
      <w:pPr>
        <w:pStyle w:val="Para 01"/>
      </w:pPr>
      <w:r>
        <w:t>RIP</w:t>
      </w:r>
    </w:p>
    <w:p>
      <w:pPr>
        <w:pStyle w:val="Para 01"/>
      </w:pPr>
      <w:r>
        <w:t>Router Information Protocol</w:t>
      </w:r>
    </w:p>
    <w:p>
      <w:pPr>
        <w:pStyle w:val="Para 02"/>
      </w:pPr>
      <w:r>
        <w:t>Routing Information Protocol (RIP) is an older, simple distance-vector routing proto-col that helps routers find the best path in small networks by counting “hops” (routers passed), using the Bellman-Ford algorithm, and periodically sending full routing tables to neighbors, though its 15-hop limit and bandwidth usage make it outdated for large networks, with OSPF or IS-IS being modern alternatives.</w:t>
      </w:r>
    </w:p>
    <w:p>
      <w:pPr>
        <w:pStyle w:val="Para 02"/>
      </w:pPr>
      <w:r>
        <w:t>Related topic(s):</w:t>
      </w:r>
    </w:p>
    <w:p>
      <w:pPr>
        <w:pStyle w:val="Para 06"/>
      </w:pPr>
      <w:r>
        <w:t>• Networking</w:t>
      </w:r>
    </w:p>
    <w:p>
      <w:bookmarkStart w:id="1109" w:name="page_7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5" name="index-703_1.png" descr="index-703_1.png"/>
            <wp:cNvGraphicFramePr>
              <a:graphicFrameLocks noChangeAspect="1"/>
            </wp:cNvGraphicFramePr>
            <a:graphic>
              <a:graphicData uri="http://schemas.openxmlformats.org/drawingml/2006/picture">
                <pic:pic>
                  <pic:nvPicPr>
                    <pic:cNvPr id="0" name="index-703_1.png" descr="index-703_1.png"/>
                    <pic:cNvPicPr/>
                  </pic:nvPicPr>
                  <pic:blipFill>
                    <a:blip r:embed="rId739"/>
                    <a:stretch>
                      <a:fillRect/>
                    </a:stretch>
                  </pic:blipFill>
                  <pic:spPr>
                    <a:xfrm>
                      <a:off x="0" y="0"/>
                      <a:ext cx="914400" cy="266700"/>
                    </a:xfrm>
                    <a:prstGeom prst="rect">
                      <a:avLst/>
                    </a:prstGeom>
                  </pic:spPr>
                </pic:pic>
              </a:graphicData>
            </a:graphic>
          </wp:anchor>
        </w:drawing>
      </w:r>
      <w:bookmarkEnd w:id="1109"/>
    </w:p>
    <w:p>
      <w:bookmarkStart w:id="1110" w:name="RISC_V"/>
      <w:bookmarkStart w:id="1111" w:name="Top_of_index_split_204_html"/>
      <w:pPr>
        <w:pStyle w:val="Heading 1"/>
        <w:pageBreakBefore w:val="on"/>
      </w:pPr>
      <w:r>
        <w:t>RISC-V</w:t>
      </w:r>
      <w:bookmarkEnd w:id="1110"/>
      <w:bookmarkEnd w:id="1111"/>
    </w:p>
    <w:p>
      <w:pPr>
        <w:pStyle w:val="Para 01"/>
      </w:pPr>
      <w:r>
        <w:t>Reduced Instruction Set Computing - Version Five</w:t>
      </w:r>
    </w:p>
    <w:p>
      <w:pPr>
        <w:pStyle w:val="Para 07"/>
      </w:pPr>
      <w:r>
        <w:t>Work in Progress</w:t>
      </w:r>
    </w:p>
    <w:p>
      <w:pPr>
        <w:pStyle w:val="Para 01"/>
      </w:pPr>
      <w:r>
        <w:t>Rocks</w:t>
      </w:r>
    </w:p>
    <w:p>
      <w:pPr>
        <w:pStyle w:val="Para 07"/>
      </w:pPr>
      <w:r>
        <w:t>Work in Progress</w:t>
      </w:r>
    </w:p>
    <w:p>
      <w:pPr>
        <w:pStyle w:val="Para 01"/>
      </w:pPr>
      <w:r>
        <w:t>ROM</w:t>
      </w:r>
    </w:p>
    <w:p>
      <w:pPr>
        <w:pStyle w:val="Para 01"/>
      </w:pPr>
      <w:r>
        <w:t>Read-Only Memory</w:t>
      </w:r>
    </w:p>
    <w:p>
      <w:pPr>
        <w:pStyle w:val="Para 07"/>
      </w:pPr>
      <w:r>
        <w:t>Work in Progress</w:t>
      </w:r>
    </w:p>
    <w:p>
      <w:pPr>
        <w:pStyle w:val="Para 01"/>
      </w:pPr>
      <w:r>
        <w:t>rootDN</w:t>
      </w:r>
    </w:p>
    <w:p>
      <w:pPr>
        <w:pStyle w:val="Para 01"/>
      </w:pPr>
      <w:r>
        <w:t>Root Distinguished Name</w:t>
      </w:r>
    </w:p>
    <w:p>
      <w:pPr>
        <w:pStyle w:val="Para 07"/>
      </w:pPr>
      <w:r>
        <w:t>Work in Progress</w:t>
      </w:r>
    </w:p>
    <w:p>
      <w:pPr>
        <w:pStyle w:val="Para 01"/>
      </w:pPr>
      <w:r>
        <w:t>rootfs</w:t>
      </w:r>
    </w:p>
    <w:p>
      <w:pPr>
        <w:pStyle w:val="Para 01"/>
      </w:pPr>
      <w:r>
        <w:t>Root File System</w:t>
      </w:r>
    </w:p>
    <w:p>
      <w:pPr>
        <w:pStyle w:val="Para 07"/>
      </w:pPr>
      <w:r>
        <w:t>Work in Progress</w:t>
      </w:r>
    </w:p>
    <w:p>
      <w:pPr>
        <w:pStyle w:val="Para 01"/>
      </w:pPr>
      <w:r>
        <w:t>routable</w:t>
      </w:r>
    </w:p>
    <w:p>
      <w:pPr>
        <w:pStyle w:val="Para 07"/>
      </w:pPr>
      <w:r>
        <w:t>Work in Progress</w:t>
      </w:r>
    </w:p>
    <w:p>
      <w:pPr>
        <w:pStyle w:val="Para 01"/>
      </w:pPr>
      <w:r>
        <w:t>RSA</w:t>
      </w:r>
    </w:p>
    <w:p>
      <w:pPr>
        <w:pStyle w:val="Para 01"/>
      </w:pPr>
      <w:r>
        <w:t>Rivest–Shamir–Adleman</w:t>
      </w:r>
    </w:p>
    <w:p>
      <w:pPr>
        <w:pStyle w:val="Para 02"/>
      </w:pPr>
      <w:r>
        <w:t xml:space="preserve">RSA is an asymmetric encryption algorithm. </w:t>
      </w:r>
      <w:r>
        <w:rPr>
          <w:rStyle w:val="Text3"/>
        </w:rPr>
        <w:t>Work in Progress</w:t>
      </w:r>
    </w:p>
    <w:p>
      <w:pPr>
        <w:pStyle w:val="Para 01"/>
      </w:pPr>
      <w:r>
        <w:t>rsync</w:t>
      </w:r>
    </w:p>
    <w:p>
      <w:pPr>
        <w:pStyle w:val="Para 01"/>
      </w:pPr>
      <w:r>
        <w:t>Remote Sync</w:t>
      </w:r>
    </w:p>
    <w:p>
      <w:pPr>
        <w:pStyle w:val="Para 02"/>
      </w:pPr>
      <w:r>
        <w:t>Rsync is not strictly a protocol. Rsync is a file synchronization and transfer tool. It uses port 22, when over SSH, or 873 for rsync daemon. Rsync is the most efficient tool to synchronise backup tasks because it uses the Delta Transfer Algorithm method.</w:t>
      </w:r>
    </w:p>
    <w:p>
      <w:pPr>
        <w:pStyle w:val="Para 02"/>
      </w:pPr>
      <w:r>
        <w:t>See also:</w:t>
      </w:r>
    </w:p>
    <w:p>
      <w:pPr>
        <w:pStyle w:val="Para 26"/>
      </w:pPr>
      <w:r>
        <w:rPr>
          <w:rStyle w:val="Text4"/>
        </w:rPr>
        <w:t xml:space="preserve">• </w:t>
      </w:r>
      <w:hyperlink w:anchor="page_682">
        <w:r>
          <w:t>FTP</w:t>
        </w:r>
      </w:hyperlink>
    </w:p>
    <w:p>
      <w:pPr>
        <w:pStyle w:val="Para 26"/>
      </w:pPr>
      <w:r>
        <w:rPr>
          <w:rStyle w:val="Text4"/>
        </w:rPr>
        <w:t xml:space="preserve">• </w:t>
      </w:r>
      <w:hyperlink w:anchor="page_705">
        <w:r>
          <w:t>SCP</w:t>
        </w:r>
      </w:hyperlink>
    </w:p>
    <w:p>
      <w:pPr>
        <w:pStyle w:val="Para 26"/>
      </w:pPr>
      <w:r>
        <w:rPr>
          <w:rStyle w:val="Text4"/>
        </w:rPr>
        <w:t xml:space="preserve">• </w:t>
      </w:r>
      <w:hyperlink w:anchor="page_705">
        <w:r>
          <w:t>SFTP</w:t>
        </w:r>
      </w:hyperlink>
    </w:p>
    <w:p>
      <w:pPr>
        <w:pStyle w:val="Para 01"/>
      </w:pPr>
      <w:r>
        <w:t>RTC</w:t>
      </w:r>
    </w:p>
    <w:p>
      <w:pPr>
        <w:pStyle w:val="Para 01"/>
      </w:pPr>
      <w:r>
        <w:t>Real-Time Clock</w:t>
      </w:r>
    </w:p>
    <w:p>
      <w:pPr>
        <w:pStyle w:val="Para 07"/>
      </w:pPr>
      <w:r>
        <w:t>Work in Progress</w:t>
      </w:r>
    </w:p>
    <w:p>
      <w:pPr>
        <w:pStyle w:val="Para 01"/>
      </w:pPr>
      <w:r>
        <w:t>runtime</w:t>
      </w:r>
    </w:p>
    <w:p>
      <w:pPr>
        <w:pStyle w:val="Para 07"/>
      </w:pPr>
      <w:r>
        <w:t>Work in Progress</w:t>
      </w:r>
    </w:p>
    <w:p>
      <w:pPr>
        <w:pStyle w:val="Para 17"/>
      </w:pPr>
      <w:r>
        <w:t/>
      </w:r>
    </w:p>
    <w:p>
      <w:pPr>
        <w:pStyle w:val="Para 01"/>
      </w:pPr>
      <w:r>
        <w:t>S</w:t>
      </w:r>
    </w:p>
    <w:p>
      <w:pPr>
        <w:pStyle w:val="Para 17"/>
      </w:pPr>
      <w:r>
        <w:t/>
      </w:r>
    </w:p>
    <w:p>
      <w:pPr>
        <w:pStyle w:val="Para 01"/>
      </w:pPr>
      <w:r>
        <w:t>Samba</w:t>
      </w:r>
    </w:p>
    <w:p>
      <w:pPr>
        <w:pStyle w:val="Para 02"/>
      </w:pPr>
      <w:r>
        <w:t>Open source software that implements the SMB/CIFS protocol for file and printer shar-ing with Windows systems.</w:t>
      </w:r>
    </w:p>
    <w:p>
      <w:pPr>
        <w:pStyle w:val="Para 02"/>
      </w:pPr>
      <w:r>
        <w:t>See also:</w:t>
      </w:r>
    </w:p>
    <w:p>
      <w:pPr>
        <w:pStyle w:val="Para 26"/>
      </w:pPr>
      <w:r>
        <w:rPr>
          <w:rStyle w:val="Text4"/>
        </w:rPr>
        <w:t xml:space="preserve">• </w:t>
      </w:r>
      <w:hyperlink w:anchor="page_828">
        <w:r>
          <w:t>Introduction to Samba</w:t>
        </w:r>
      </w:hyperlink>
      <w:r>
        <w:rPr>
          <w:rStyle w:val="Text4"/>
        </w:rPr>
        <w:t xml:space="preserve"> (page 827)</w:t>
      </w:r>
    </w:p>
    <w:p>
      <w:bookmarkStart w:id="1112" w:name="page_7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6" name="index-704_1.png" descr="index-704_1.png"/>
            <wp:cNvGraphicFramePr>
              <a:graphicFrameLocks noChangeAspect="1"/>
            </wp:cNvGraphicFramePr>
            <a:graphic>
              <a:graphicData uri="http://schemas.openxmlformats.org/drawingml/2006/picture">
                <pic:pic>
                  <pic:nvPicPr>
                    <pic:cNvPr id="0" name="index-704_1.png" descr="index-704_1.png"/>
                    <pic:cNvPicPr/>
                  </pic:nvPicPr>
                  <pic:blipFill>
                    <a:blip r:embed="rId740"/>
                    <a:stretch>
                      <a:fillRect/>
                    </a:stretch>
                  </pic:blipFill>
                  <pic:spPr>
                    <a:xfrm>
                      <a:off x="0" y="0"/>
                      <a:ext cx="914400" cy="266700"/>
                    </a:xfrm>
                    <a:prstGeom prst="rect">
                      <a:avLst/>
                    </a:prstGeom>
                  </pic:spPr>
                </pic:pic>
              </a:graphicData>
            </a:graphic>
          </wp:anchor>
        </w:drawing>
      </w:r>
      <w:bookmarkEnd w:id="1112"/>
    </w:p>
    <w:p>
      <w:bookmarkStart w:id="1113" w:name="SAN"/>
      <w:bookmarkStart w:id="1114" w:name="Top_of_index_split_205_html"/>
      <w:pPr>
        <w:pStyle w:val="Heading 1"/>
        <w:pageBreakBefore w:val="on"/>
      </w:pPr>
      <w:r>
        <w:t>SAN</w:t>
      </w:r>
      <w:bookmarkEnd w:id="1113"/>
      <w:bookmarkEnd w:id="1114"/>
    </w:p>
    <w:p>
      <w:pPr>
        <w:pStyle w:val="Para 01"/>
      </w:pPr>
      <w:r>
        <w:t>Storage Area Network</w:t>
      </w:r>
    </w:p>
    <w:p>
      <w:pPr>
        <w:pStyle w:val="Para 02"/>
      </w:pPr>
      <w:r>
        <w:t>A SAN is a dedicated network that connects servers to storage devices such as disk arrays and tape libraries. It is a specialized high-speed network that provides access to consolidated block-level data storage. It makes storage devices appear as locally attached to the operating system, even though they are on a separate network.</w:t>
      </w:r>
    </w:p>
    <w:p>
      <w:pPr>
        <w:pStyle w:val="Para 02"/>
      </w:pPr>
      <w:r>
        <w:t>See also:</w:t>
      </w:r>
    </w:p>
    <w:p>
      <w:pPr>
        <w:pStyle w:val="Para 26"/>
      </w:pPr>
      <w:r>
        <w:rPr>
          <w:rStyle w:val="Text4"/>
        </w:rPr>
        <w:t xml:space="preserve">• </w:t>
      </w:r>
      <w:hyperlink w:anchor="page_696">
        <w:r>
          <w:t>NAS</w:t>
        </w:r>
      </w:hyperlink>
    </w:p>
    <w:p>
      <w:pPr>
        <w:pStyle w:val="Para 01"/>
      </w:pPr>
      <w:r>
        <w:t>sandboxed</w:t>
      </w:r>
    </w:p>
    <w:p>
      <w:pPr>
        <w:pStyle w:val="Para 02"/>
      </w:pPr>
      <w:r>
        <w:t>Sandboxed means running software in an isolated environment where it cannot affect anything outside the sandbox. Sandboxing does two things:</w:t>
      </w:r>
    </w:p>
    <w:p>
      <w:pPr>
        <w:pStyle w:val="Para 06"/>
      </w:pPr>
      <w:r>
        <w:t>• Isolates: The sandboxed program cannot access:</w:t>
      </w:r>
    </w:p>
    <w:p>
      <w:pPr>
        <w:pStyle w:val="Para 12"/>
      </w:pPr>
      <w:r>
        <w:rPr>
          <w:rStyle w:val="Text0"/>
        </w:rPr>
        <w:t>–</w:t>
      </w:r>
      <w:r>
        <w:t xml:space="preserve"> Your files (unless explicitly allowed)</w:t>
      </w:r>
    </w:p>
    <w:p>
      <w:pPr>
        <w:pStyle w:val="Para 12"/>
      </w:pPr>
      <w:r>
        <w:rPr>
          <w:rStyle w:val="Text0"/>
        </w:rPr>
        <w:t>–</w:t>
      </w:r>
      <w:r>
        <w:t xml:space="preserve"> Other running programs</w:t>
      </w:r>
    </w:p>
    <w:p>
      <w:pPr>
        <w:pStyle w:val="Para 12"/>
      </w:pPr>
      <w:r>
        <w:rPr>
          <w:rStyle w:val="Text0"/>
        </w:rPr>
        <w:t>–</w:t>
      </w:r>
      <w:r>
        <w:t xml:space="preserve"> System settings</w:t>
      </w:r>
    </w:p>
    <w:p>
      <w:pPr>
        <w:pStyle w:val="Para 12"/>
      </w:pPr>
      <w:r>
        <w:rPr>
          <w:rStyle w:val="Text0"/>
        </w:rPr>
        <w:t>–</w:t>
      </w:r>
      <w:r>
        <w:t xml:space="preserve"> Network resources (in some cases)</w:t>
      </w:r>
    </w:p>
    <w:p>
      <w:pPr>
        <w:pStyle w:val="Para 06"/>
      </w:pPr>
      <w:r>
        <w:t>• Secures: If the sandboxed program is malicious or gets compromised, the damage</w:t>
      </w:r>
    </w:p>
    <w:p>
      <w:pPr>
        <w:pStyle w:val="Para 11"/>
      </w:pPr>
      <w:r>
        <w:t>is contained. It cannot spread to your whole system.</w:t>
      </w:r>
    </w:p>
    <w:p>
      <w:pPr>
        <w:pStyle w:val="Para 02"/>
      </w:pPr>
      <w:r>
        <w:t>Related topic(s):</w:t>
      </w:r>
    </w:p>
    <w:p>
      <w:pPr>
        <w:pStyle w:val="Para 06"/>
      </w:pPr>
      <w:r>
        <w:t>• Virtualization and containers</w:t>
      </w:r>
    </w:p>
    <w:p>
      <w:pPr>
        <w:pStyle w:val="Para 01"/>
      </w:pPr>
      <w:r>
        <w:t>SANLOCK</w:t>
      </w:r>
    </w:p>
    <w:p>
      <w:pPr>
        <w:pStyle w:val="Para 01"/>
      </w:pPr>
      <w:r>
        <w:t>Storage Area Network Locking Daemon</w:t>
      </w:r>
    </w:p>
    <w:p>
      <w:pPr>
        <w:pStyle w:val="Para 02"/>
      </w:pPr>
      <w:r>
        <w:t xml:space="preserve">SAN Locking Daemon is a lock manager designed for shared storage in </w:t>
      </w:r>
      <w:hyperlink w:anchor="page_704">
        <w:r>
          <w:rPr>
            <w:rStyle w:val="Text2"/>
          </w:rPr>
          <w:t>SAN</w:t>
        </w:r>
      </w:hyperlink>
      <w:r>
        <w:t xml:space="preserve"> environ-ments.</w:t>
      </w:r>
    </w:p>
    <w:p>
      <w:pPr>
        <w:pStyle w:val="Para 01"/>
      </w:pPr>
      <w:r>
        <w:t>SASL</w:t>
      </w:r>
    </w:p>
    <w:p>
      <w:pPr>
        <w:pStyle w:val="Para 01"/>
      </w:pPr>
      <w:r>
        <w:t>Simple Authentication and Security Layer</w:t>
      </w:r>
    </w:p>
    <w:p>
      <w:pPr>
        <w:pStyle w:val="Para 02"/>
      </w:pPr>
      <w:r>
        <w:t>SASL is a framework that adds authentication and security to network protocols. SASL itself does not define how to authenticate. It defines how to negotiate and use authen-tication mechanisms.</w:t>
      </w:r>
    </w:p>
    <w:p>
      <w:pPr>
        <w:pStyle w:val="Para 01"/>
      </w:pPr>
      <w:r>
        <w:t>SBD</w:t>
      </w:r>
    </w:p>
    <w:p>
      <w:pPr>
        <w:pStyle w:val="Para 01"/>
      </w:pPr>
      <w:r>
        <w:t>Storage-Based Death</w:t>
      </w:r>
    </w:p>
    <w:p>
      <w:pPr>
        <w:pStyle w:val="Para 02"/>
      </w:pPr>
      <w:r>
        <w:t>SBD is a fencing mechanism used in high-availability (HA) Linux clusters to prevent split-brain scenarios and data corruption. SBD uses shared storage as a communication chan-nel to coordinate cluster nodes and forcibly reboot (“fence”) problematic nodes that might cause issues.</w:t>
      </w:r>
    </w:p>
    <w:p>
      <w:pPr>
        <w:pStyle w:val="Para 01"/>
      </w:pPr>
      <w:r>
        <w:t>sbin</w:t>
      </w:r>
    </w:p>
    <w:p>
      <w:pPr>
        <w:pStyle w:val="Para 01"/>
      </w:pPr>
      <w:r>
        <w:t>System Binaries</w:t>
      </w:r>
    </w:p>
    <w:p>
      <w:pPr>
        <w:pStyle w:val="Para 02"/>
      </w:pPr>
      <w:r>
        <w:t xml:space="preserve">sbin/ is a directory in Unix/Linux systems that contains essential system administration commands and executables. It holds programs needed for system administration, boot-ing, and repair. On many modern Linux distributions, /sbin is often symlinked to /usr/ sbin, and both directories are merged as part of filesystem simplification efforts. The distinction is becoming less strict, but historically /sbin was for boot-essential tools. </w:t>
      </w:r>
      <w:r>
        <w:rPr>
          <w:rStyle w:val="Text0"/>
        </w:rPr>
        <w:t>schema</w:t>
      </w:r>
    </w:p>
    <w:p>
      <w:bookmarkStart w:id="1115" w:name="page_7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7" name="index-705_1.png" descr="index-705_1.png"/>
            <wp:cNvGraphicFramePr>
              <a:graphicFrameLocks noChangeAspect="1"/>
            </wp:cNvGraphicFramePr>
            <a:graphic>
              <a:graphicData uri="http://schemas.openxmlformats.org/drawingml/2006/picture">
                <pic:pic>
                  <pic:nvPicPr>
                    <pic:cNvPr id="0" name="index-705_1.png" descr="index-705_1.png"/>
                    <pic:cNvPicPr/>
                  </pic:nvPicPr>
                  <pic:blipFill>
                    <a:blip r:embed="rId741"/>
                    <a:stretch>
                      <a:fillRect/>
                    </a:stretch>
                  </pic:blipFill>
                  <pic:spPr>
                    <a:xfrm>
                      <a:off x="0" y="0"/>
                      <a:ext cx="914400" cy="266700"/>
                    </a:xfrm>
                    <a:prstGeom prst="rect">
                      <a:avLst/>
                    </a:prstGeom>
                  </pic:spPr>
                </pic:pic>
              </a:graphicData>
            </a:graphic>
          </wp:anchor>
        </w:drawing>
      </w:r>
      <w:bookmarkEnd w:id="1115"/>
    </w:p>
    <w:p>
      <w:pPr>
        <w:pStyle w:val="Para 02"/>
      </w:pPr>
      <w:r>
        <w:t>Schema (plural: schemas or schemata) refers to a structured framework or blueprint that defines how data is organized. The meaning varies slightly depending on context.</w:t>
      </w:r>
    </w:p>
    <w:p>
      <w:pPr>
        <w:pStyle w:val="Para 01"/>
      </w:pPr>
      <w:r>
        <w:t>SCP</w:t>
      </w:r>
    </w:p>
    <w:p>
      <w:pPr>
        <w:pStyle w:val="Para 01"/>
      </w:pPr>
      <w:r>
        <w:t>Secure Copy Protocol</w:t>
      </w:r>
    </w:p>
    <w:p>
      <w:pPr>
        <w:pStyle w:val="Para 02"/>
      </w:pPr>
      <w:r>
        <w:t xml:space="preserve">SCP is a network protocol for securely transferring files between computers over </w:t>
      </w:r>
      <w:hyperlink w:anchor="page_707">
        <w:r>
          <w:rPr>
            <w:rStyle w:val="Text2"/>
          </w:rPr>
          <w:t>SSH</w:t>
        </w:r>
      </w:hyperlink>
      <w:r>
        <w:t xml:space="preserve"> . SCP allows you to copy files between a local and remote host, or between two remote hosts, with encryption to protect the data during transfer.</w:t>
      </w:r>
    </w:p>
    <w:p>
      <w:pPr>
        <w:pStyle w:val="Para 02"/>
      </w:pPr>
      <w:r>
        <w:t>See also:</w:t>
      </w:r>
    </w:p>
    <w:p>
      <w:pPr>
        <w:pStyle w:val="Para 26"/>
      </w:pPr>
      <w:r>
        <w:rPr>
          <w:rStyle w:val="Text4"/>
        </w:rPr>
        <w:t xml:space="preserve">• </w:t>
      </w:r>
      <w:hyperlink w:anchor="page_682">
        <w:r>
          <w:t>FTP</w:t>
        </w:r>
      </w:hyperlink>
    </w:p>
    <w:p>
      <w:pPr>
        <w:pStyle w:val="Para 26"/>
      </w:pPr>
      <w:r>
        <w:rPr>
          <w:rStyle w:val="Text4"/>
        </w:rPr>
        <w:t xml:space="preserve">• </w:t>
      </w:r>
      <w:hyperlink w:anchor="page_705">
        <w:r>
          <w:t>SFTP</w:t>
        </w:r>
      </w:hyperlink>
    </w:p>
    <w:p>
      <w:pPr>
        <w:pStyle w:val="Para 26"/>
      </w:pPr>
      <w:r>
        <w:rPr>
          <w:rStyle w:val="Text4"/>
        </w:rPr>
        <w:t xml:space="preserve">• </w:t>
      </w:r>
      <w:hyperlink w:anchor="page_703">
        <w:r>
          <w:t>rsync</w:t>
        </w:r>
      </w:hyperlink>
    </w:p>
    <w:p>
      <w:pPr>
        <w:pStyle w:val="Para 01"/>
      </w:pPr>
      <w:r>
        <w:t>Scrollback</w:t>
      </w:r>
    </w:p>
    <w:p>
      <w:pPr>
        <w:pStyle w:val="Para 02"/>
      </w:pPr>
      <w:r>
        <w:t>Scrollback refers to the ability to scroll back through previous content in a terminal or console window. Scrollback is the buffer that stores older content so you can scroll up to see it. Limitations are lost on close, not infinite, and the performance may suffer if the buffer is very large.</w:t>
      </w:r>
    </w:p>
    <w:p>
      <w:pPr>
        <w:pStyle w:val="Para 02"/>
      </w:pPr>
      <w:r>
        <w:t>Related topic(s):</w:t>
      </w:r>
    </w:p>
    <w:p>
      <w:pPr>
        <w:pStyle w:val="Para 06"/>
      </w:pPr>
      <w:r>
        <w:t>• Command history</w:t>
      </w:r>
    </w:p>
    <w:p>
      <w:pPr>
        <w:pStyle w:val="Para 01"/>
      </w:pPr>
      <w:r>
        <w:t>SCSI</w:t>
      </w:r>
    </w:p>
    <w:p>
      <w:pPr>
        <w:pStyle w:val="Para 01"/>
      </w:pPr>
      <w:r>
        <w:t>Small Computer System Interface</w:t>
      </w:r>
    </w:p>
    <w:p>
      <w:pPr>
        <w:pStyle w:val="Para 02"/>
      </w:pPr>
      <w:r>
        <w:t>SCSI (pronounced “scuzzy”) is both a physical interface (cables and connectors) and a command protocol (set of standards) for communicating with storage and peripheral devices like hard drives, tape drives, and scanners. Each device gets a unique ID number (0-7 or 0-15 depending on version). The last device in a SCSI chain needs a terminator to prevent signal reflection.</w:t>
      </w:r>
    </w:p>
    <w:p>
      <w:pPr>
        <w:pStyle w:val="Para 01"/>
      </w:pPr>
      <w:r>
        <w:t>SDN</w:t>
      </w:r>
    </w:p>
    <w:p>
      <w:pPr>
        <w:pStyle w:val="Para 01"/>
      </w:pPr>
      <w:r>
        <w:t>Software-Defined Networking</w:t>
      </w:r>
    </w:p>
    <w:p>
      <w:pPr>
        <w:pStyle w:val="Para 07"/>
      </w:pPr>
      <w:r>
        <w:t>Work in Progress</w:t>
      </w:r>
    </w:p>
    <w:p>
      <w:pPr>
        <w:pStyle w:val="Para 01"/>
      </w:pPr>
      <w:r>
        <w:t>seccomp</w:t>
      </w:r>
    </w:p>
    <w:p>
      <w:pPr>
        <w:pStyle w:val="Para 01"/>
      </w:pPr>
      <w:r>
        <w:t>Secure computing mode</w:t>
      </w:r>
    </w:p>
    <w:p>
      <w:pPr>
        <w:pStyle w:val="Para 07"/>
      </w:pPr>
      <w:r>
        <w:t>Work in Progress</w:t>
      </w:r>
    </w:p>
    <w:p>
      <w:pPr>
        <w:pStyle w:val="Para 01"/>
      </w:pPr>
      <w:r>
        <w:t>SFTP</w:t>
      </w:r>
    </w:p>
    <w:p>
      <w:pPr>
        <w:pStyle w:val="Para 01"/>
      </w:pPr>
      <w:r>
        <w:t>SSH File Transfer Protocol</w:t>
      </w:r>
    </w:p>
    <w:p>
      <w:pPr>
        <w:pStyle w:val="Para 02"/>
      </w:pPr>
      <w:r>
        <w:t xml:space="preserve">SFTP is a secure file transfer protocol that runs over </w:t>
      </w:r>
      <w:hyperlink w:anchor="page_707">
        <w:r>
          <w:rPr>
            <w:rStyle w:val="Text2"/>
          </w:rPr>
          <w:t>SSH</w:t>
        </w:r>
      </w:hyperlink>
      <w:r>
        <w:t>. SFTP is fully encrypted. The port used is 22.</w:t>
      </w:r>
    </w:p>
    <w:p>
      <w:pPr>
        <w:pStyle w:val="Para 02"/>
      </w:pPr>
      <w:r>
        <w:t>See also:</w:t>
      </w:r>
    </w:p>
    <w:p>
      <w:pPr>
        <w:pStyle w:val="Para 26"/>
      </w:pPr>
      <w:r>
        <w:rPr>
          <w:rStyle w:val="Text4"/>
        </w:rPr>
        <w:t xml:space="preserve">• </w:t>
      </w:r>
      <w:hyperlink w:anchor="page_682">
        <w:r>
          <w:t>FTP</w:t>
        </w:r>
      </w:hyperlink>
    </w:p>
    <w:p>
      <w:pPr>
        <w:pStyle w:val="Para 26"/>
      </w:pPr>
      <w:r>
        <w:rPr>
          <w:rStyle w:val="Text4"/>
        </w:rPr>
        <w:t xml:space="preserve">• </w:t>
      </w:r>
      <w:hyperlink w:anchor="page_705">
        <w:r>
          <w:t>SCP</w:t>
        </w:r>
      </w:hyperlink>
    </w:p>
    <w:p>
      <w:pPr>
        <w:pStyle w:val="Para 26"/>
      </w:pPr>
      <w:r>
        <w:rPr>
          <w:rStyle w:val="Text4"/>
        </w:rPr>
        <w:t xml:space="preserve">• </w:t>
      </w:r>
      <w:hyperlink w:anchor="page_703">
        <w:r>
          <w:t>rsync</w:t>
        </w:r>
      </w:hyperlink>
    </w:p>
    <w:p>
      <w:pPr>
        <w:pStyle w:val="Para 01"/>
      </w:pPr>
      <w:r>
        <w:t>SGI</w:t>
      </w:r>
    </w:p>
    <w:p>
      <w:pPr>
        <w:pStyle w:val="Para 01"/>
      </w:pPr>
      <w:r>
        <w:t>Silicon Graphics Inc.</w:t>
      </w:r>
    </w:p>
    <w:p>
      <w:pPr>
        <w:pStyle w:val="Para 07"/>
      </w:pPr>
      <w:r>
        <w:t>Work in Progress</w:t>
      </w:r>
    </w:p>
    <w:p>
      <w:bookmarkStart w:id="1116" w:name="page_7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8" name="index-706_1.png" descr="index-706_1.png"/>
            <wp:cNvGraphicFramePr>
              <a:graphicFrameLocks noChangeAspect="1"/>
            </wp:cNvGraphicFramePr>
            <a:graphic>
              <a:graphicData uri="http://schemas.openxmlformats.org/drawingml/2006/picture">
                <pic:pic>
                  <pic:nvPicPr>
                    <pic:cNvPr id="0" name="index-706_1.png" descr="index-706_1.png"/>
                    <pic:cNvPicPr/>
                  </pic:nvPicPr>
                  <pic:blipFill>
                    <a:blip r:embed="rId742"/>
                    <a:stretch>
                      <a:fillRect/>
                    </a:stretch>
                  </pic:blipFill>
                  <pic:spPr>
                    <a:xfrm>
                      <a:off x="0" y="0"/>
                      <a:ext cx="914400" cy="266700"/>
                    </a:xfrm>
                    <a:prstGeom prst="rect">
                      <a:avLst/>
                    </a:prstGeom>
                  </pic:spPr>
                </pic:pic>
              </a:graphicData>
            </a:graphic>
          </wp:anchor>
        </w:drawing>
      </w:r>
      <w:bookmarkEnd w:id="1116"/>
    </w:p>
    <w:p>
      <w:bookmarkStart w:id="1117" w:name="Top_of_index_split_206_html"/>
      <w:bookmarkStart w:id="1118" w:name="SHA"/>
      <w:pPr>
        <w:pStyle w:val="Heading 1"/>
        <w:pageBreakBefore w:val="on"/>
      </w:pPr>
      <w:r>
        <w:t>SHA</w:t>
      </w:r>
      <w:bookmarkEnd w:id="1117"/>
      <w:bookmarkEnd w:id="1118"/>
    </w:p>
    <w:p>
      <w:pPr>
        <w:pStyle w:val="Para 01"/>
      </w:pPr>
      <w:r>
        <w:t>Secure Hash Algorithm</w:t>
      </w:r>
    </w:p>
    <w:p>
      <w:pPr>
        <w:pStyle w:val="Para 07"/>
      </w:pPr>
      <w:r>
        <w:t>Work in Progress</w:t>
      </w:r>
    </w:p>
    <w:p>
      <w:pPr>
        <w:pStyle w:val="Para 01"/>
      </w:pPr>
      <w:r>
        <w:t>sharding</w:t>
      </w:r>
    </w:p>
    <w:p>
      <w:pPr>
        <w:pStyle w:val="Para 07"/>
      </w:pPr>
      <w:r>
        <w:t>Work in Progress</w:t>
      </w:r>
    </w:p>
    <w:p>
      <w:pPr>
        <w:pStyle w:val="Para 01"/>
      </w:pPr>
      <w:r>
        <w:t>Shell</w:t>
      </w:r>
    </w:p>
    <w:p>
      <w:pPr>
        <w:pStyle w:val="Para 07"/>
      </w:pPr>
      <w:r>
        <w:t>Work in Progress</w:t>
      </w:r>
    </w:p>
    <w:p>
      <w:pPr>
        <w:pStyle w:val="Para 01"/>
      </w:pPr>
      <w:r>
        <w:t>SHM</w:t>
      </w:r>
    </w:p>
    <w:p>
      <w:pPr>
        <w:pStyle w:val="Para 01"/>
      </w:pPr>
      <w:r>
        <w:t>Shared Memory</w:t>
      </w:r>
    </w:p>
    <w:p>
      <w:pPr>
        <w:pStyle w:val="Para 07"/>
      </w:pPr>
      <w:r>
        <w:t>Work in Progress</w:t>
      </w:r>
    </w:p>
    <w:p>
      <w:pPr>
        <w:pStyle w:val="Para 01"/>
      </w:pPr>
      <w:r>
        <w:t>Shorewall</w:t>
      </w:r>
    </w:p>
    <w:p>
      <w:pPr>
        <w:pStyle w:val="Para 01"/>
      </w:pPr>
      <w:r>
        <w:t>Shoreline Firewall</w:t>
      </w:r>
    </w:p>
    <w:p>
      <w:pPr>
        <w:pStyle w:val="Para 07"/>
      </w:pPr>
      <w:r>
        <w:t>Work in Progress</w:t>
      </w:r>
    </w:p>
    <w:p>
      <w:pPr>
        <w:pStyle w:val="Para 01"/>
      </w:pPr>
      <w:r>
        <w:t>SIDs</w:t>
      </w:r>
    </w:p>
    <w:p>
      <w:pPr>
        <w:pStyle w:val="Para 01"/>
      </w:pPr>
      <w:r>
        <w:t>Security Identifiers</w:t>
      </w:r>
    </w:p>
    <w:p>
      <w:pPr>
        <w:pStyle w:val="Para 07"/>
      </w:pPr>
      <w:r>
        <w:t>Work in Progress</w:t>
      </w:r>
    </w:p>
    <w:p>
      <w:pPr>
        <w:pStyle w:val="Para 01"/>
      </w:pPr>
      <w:r>
        <w:t>SIMD</w:t>
      </w:r>
    </w:p>
    <w:p>
      <w:pPr>
        <w:pStyle w:val="Para 01"/>
      </w:pPr>
      <w:r>
        <w:t>Single Instruction, Multiple Data</w:t>
      </w:r>
    </w:p>
    <w:p>
      <w:pPr>
        <w:pStyle w:val="Para 07"/>
      </w:pPr>
      <w:r>
        <w:t>Work in Progress</w:t>
      </w:r>
    </w:p>
    <w:p>
      <w:pPr>
        <w:pStyle w:val="Para 01"/>
      </w:pPr>
      <w:r>
        <w:t>slapd</w:t>
      </w:r>
    </w:p>
    <w:p>
      <w:pPr>
        <w:pStyle w:val="Para 01"/>
      </w:pPr>
      <w:r>
        <w:t>Standalone LDAP Daemon</w:t>
      </w:r>
    </w:p>
    <w:p>
      <w:pPr>
        <w:pStyle w:val="Para 07"/>
      </w:pPr>
      <w:r>
        <w:t>Work in Progress</w:t>
      </w:r>
    </w:p>
    <w:p>
      <w:pPr>
        <w:pStyle w:val="Para 01"/>
      </w:pPr>
      <w:r>
        <w:t>SLAT</w:t>
      </w:r>
    </w:p>
    <w:p>
      <w:pPr>
        <w:pStyle w:val="Para 01"/>
      </w:pPr>
      <w:r>
        <w:t>Second Level Address Translation</w:t>
      </w:r>
    </w:p>
    <w:p>
      <w:pPr>
        <w:pStyle w:val="Para 07"/>
      </w:pPr>
      <w:r>
        <w:t>Work in progress</w:t>
      </w:r>
    </w:p>
    <w:p>
      <w:pPr>
        <w:pStyle w:val="Para 01"/>
      </w:pPr>
      <w:r>
        <w:t>smart card</w:t>
      </w:r>
    </w:p>
    <w:p>
      <w:pPr>
        <w:pStyle w:val="Para 07"/>
      </w:pPr>
      <w:r>
        <w:t>Work in Progress</w:t>
      </w:r>
    </w:p>
    <w:p>
      <w:pPr>
        <w:pStyle w:val="Para 01"/>
      </w:pPr>
      <w:r>
        <w:t>SMB</w:t>
      </w:r>
    </w:p>
    <w:p>
      <w:pPr>
        <w:pStyle w:val="Para 01"/>
      </w:pPr>
      <w:r>
        <w:t>Server Message Block</w:t>
      </w:r>
    </w:p>
    <w:p>
      <w:pPr>
        <w:pStyle w:val="Para 07"/>
      </w:pPr>
      <w:r>
        <w:t>Work in Progress</w:t>
      </w:r>
    </w:p>
    <w:p>
      <w:pPr>
        <w:pStyle w:val="Para 01"/>
      </w:pPr>
      <w:r>
        <w:t>SMS</w:t>
      </w:r>
    </w:p>
    <w:p>
      <w:pPr>
        <w:pStyle w:val="Para 01"/>
      </w:pPr>
      <w:r>
        <w:t>Short Message Service</w:t>
      </w:r>
    </w:p>
    <w:p>
      <w:pPr>
        <w:pStyle w:val="Para 07"/>
      </w:pPr>
      <w:r>
        <w:t>Work in Progress</w:t>
      </w:r>
    </w:p>
    <w:p>
      <w:pPr>
        <w:pStyle w:val="Para 01"/>
      </w:pPr>
      <w:r>
        <w:t>SMTP</w:t>
      </w:r>
    </w:p>
    <w:p>
      <w:pPr>
        <w:pStyle w:val="Para 01"/>
      </w:pPr>
      <w:r>
        <w:t>Simple Mail Transfer Protocol</w:t>
      </w:r>
    </w:p>
    <w:p>
      <w:pPr>
        <w:pStyle w:val="Para 07"/>
      </w:pPr>
      <w:r>
        <w:t>Work in Progress</w:t>
      </w:r>
    </w:p>
    <w:p>
      <w:pPr>
        <w:pStyle w:val="Para 01"/>
      </w:pPr>
      <w:r>
        <w:t>SMTPS</w:t>
      </w:r>
    </w:p>
    <w:p>
      <w:pPr>
        <w:pStyle w:val="Para 01"/>
      </w:pPr>
      <w:r>
        <w:t>SMTP Secure</w:t>
      </w:r>
    </w:p>
    <w:p>
      <w:pPr>
        <w:pStyle w:val="Para 07"/>
      </w:pPr>
      <w:r>
        <w:t>Work in Progress</w:t>
      </w:r>
    </w:p>
    <w:p>
      <w:pPr>
        <w:pStyle w:val="Para 01"/>
      </w:pPr>
      <w:r>
        <w:t>Snap</w:t>
      </w:r>
    </w:p>
    <w:p>
      <w:pPr>
        <w:pStyle w:val="Para 07"/>
      </w:pPr>
      <w:r>
        <w:t>Work in Progress</w:t>
      </w:r>
    </w:p>
    <w:p>
      <w:pPr>
        <w:pStyle w:val="Para 01"/>
      </w:pPr>
      <w:r>
        <w:t>snapd</w:t>
      </w:r>
    </w:p>
    <w:p>
      <w:pPr>
        <w:pStyle w:val="Para 07"/>
      </w:pPr>
      <w:r>
        <w:t>Work in Progress</w:t>
      </w:r>
    </w:p>
    <w:p>
      <w:bookmarkStart w:id="1119" w:name="page_7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39" name="index-707_1.png" descr="index-707_1.png"/>
            <wp:cNvGraphicFramePr>
              <a:graphicFrameLocks noChangeAspect="1"/>
            </wp:cNvGraphicFramePr>
            <a:graphic>
              <a:graphicData uri="http://schemas.openxmlformats.org/drawingml/2006/picture">
                <pic:pic>
                  <pic:nvPicPr>
                    <pic:cNvPr id="0" name="index-707_1.png" descr="index-707_1.png"/>
                    <pic:cNvPicPr/>
                  </pic:nvPicPr>
                  <pic:blipFill>
                    <a:blip r:embed="rId743"/>
                    <a:stretch>
                      <a:fillRect/>
                    </a:stretch>
                  </pic:blipFill>
                  <pic:spPr>
                    <a:xfrm>
                      <a:off x="0" y="0"/>
                      <a:ext cx="914400" cy="266700"/>
                    </a:xfrm>
                    <a:prstGeom prst="rect">
                      <a:avLst/>
                    </a:prstGeom>
                  </pic:spPr>
                </pic:pic>
              </a:graphicData>
            </a:graphic>
          </wp:anchor>
        </w:drawing>
      </w:r>
      <w:bookmarkEnd w:id="1119"/>
    </w:p>
    <w:p>
      <w:pPr>
        <w:pStyle w:val="Para 01"/>
      </w:pPr>
      <w:r>
        <w:t>snapshot</w:t>
      </w:r>
    </w:p>
    <w:p>
      <w:pPr>
        <w:pStyle w:val="Para 07"/>
      </w:pPr>
      <w:r>
        <w:t>Work in Progress</w:t>
      </w:r>
    </w:p>
    <w:p>
      <w:pPr>
        <w:pStyle w:val="Para 01"/>
      </w:pPr>
      <w:r>
        <w:t>Snap store</w:t>
      </w:r>
    </w:p>
    <w:p>
      <w:pPr>
        <w:pStyle w:val="Para 07"/>
      </w:pPr>
      <w:r>
        <w:t>Work in Progress</w:t>
      </w:r>
    </w:p>
    <w:p>
      <w:pPr>
        <w:pStyle w:val="Para 01"/>
      </w:pPr>
      <w:r>
        <w:t>SNMP</w:t>
      </w:r>
    </w:p>
    <w:p>
      <w:pPr>
        <w:pStyle w:val="Para 01"/>
      </w:pPr>
      <w:r>
        <w:t>Simple Network Management Protocol</w:t>
      </w:r>
    </w:p>
    <w:p>
      <w:pPr>
        <w:pStyle w:val="Para 07"/>
      </w:pPr>
      <w:r>
        <w:t>Work in Progress</w:t>
      </w:r>
    </w:p>
    <w:p>
      <w:pPr>
        <w:pStyle w:val="Para 01"/>
      </w:pPr>
      <w:r>
        <w:t>SOA</w:t>
      </w:r>
    </w:p>
    <w:p>
      <w:pPr>
        <w:pStyle w:val="Para 01"/>
      </w:pPr>
      <w:r>
        <w:t>Start of Authority</w:t>
      </w:r>
    </w:p>
    <w:p>
      <w:pPr>
        <w:pStyle w:val="Para 07"/>
      </w:pPr>
      <w:r>
        <w:t>Work in Progress</w:t>
      </w:r>
    </w:p>
    <w:p>
      <w:pPr>
        <w:pStyle w:val="Para 01"/>
      </w:pPr>
      <w:r>
        <w:t>Solaris</w:t>
      </w:r>
    </w:p>
    <w:p>
      <w:pPr>
        <w:pStyle w:val="Para 07"/>
      </w:pPr>
      <w:r>
        <w:t>Work in Progress</w:t>
      </w:r>
    </w:p>
    <w:p>
      <w:pPr>
        <w:pStyle w:val="Para 01"/>
      </w:pPr>
      <w:r>
        <w:t>SPC</w:t>
      </w:r>
    </w:p>
    <w:p>
      <w:pPr>
        <w:pStyle w:val="Para 01"/>
      </w:pPr>
      <w:r>
        <w:t>SCSI Primary Commands</w:t>
      </w:r>
    </w:p>
    <w:p>
      <w:pPr>
        <w:pStyle w:val="Para 07"/>
      </w:pPr>
      <w:r>
        <w:t>Work in Progress</w:t>
      </w:r>
    </w:p>
    <w:p>
      <w:pPr>
        <w:pStyle w:val="Para 01"/>
      </w:pPr>
      <w:r>
        <w:t>Splunk</w:t>
      </w:r>
    </w:p>
    <w:p>
      <w:pPr>
        <w:pStyle w:val="Para 07"/>
      </w:pPr>
      <w:r>
        <w:t>Work in Progress</w:t>
      </w:r>
    </w:p>
    <w:p>
      <w:pPr>
        <w:pStyle w:val="Para 01"/>
      </w:pPr>
      <w:r>
        <w:t>SRU</w:t>
      </w:r>
    </w:p>
    <w:p>
      <w:pPr>
        <w:pStyle w:val="Para 01"/>
      </w:pPr>
      <w:r>
        <w:t>Stable Release Update</w:t>
      </w:r>
    </w:p>
    <w:p>
      <w:pPr>
        <w:pStyle w:val="Para 07"/>
      </w:pPr>
      <w:r>
        <w:t>Work in Progress</w:t>
      </w:r>
    </w:p>
    <w:p>
      <w:pPr>
        <w:pStyle w:val="Para 01"/>
      </w:pPr>
      <w:r>
        <w:t>SSD</w:t>
      </w:r>
    </w:p>
    <w:p>
      <w:pPr>
        <w:pStyle w:val="Para 01"/>
      </w:pPr>
      <w:r>
        <w:t>Solid State Drive</w:t>
      </w:r>
    </w:p>
    <w:p>
      <w:pPr>
        <w:pStyle w:val="Para 07"/>
      </w:pPr>
      <w:r>
        <w:t>Work in Progress</w:t>
      </w:r>
    </w:p>
    <w:p>
      <w:pPr>
        <w:pStyle w:val="Para 01"/>
      </w:pPr>
      <w:r>
        <w:t>SSH</w:t>
      </w:r>
    </w:p>
    <w:p>
      <w:pPr>
        <w:pStyle w:val="Para 01"/>
      </w:pPr>
      <w:r>
        <w:t>Secure Shell</w:t>
      </w:r>
    </w:p>
    <w:p>
      <w:pPr>
        <w:pStyle w:val="Para 07"/>
      </w:pPr>
      <w:r>
        <w:t>Work in Progress</w:t>
      </w:r>
    </w:p>
    <w:p>
      <w:pPr>
        <w:pStyle w:val="Para 01"/>
      </w:pPr>
      <w:r>
        <w:t>SSH-key</w:t>
      </w:r>
    </w:p>
    <w:p>
      <w:pPr>
        <w:pStyle w:val="Para 01"/>
      </w:pPr>
      <w:r>
        <w:t>Secure Shell Key</w:t>
      </w:r>
    </w:p>
    <w:p>
      <w:pPr>
        <w:pStyle w:val="Para 02"/>
      </w:pPr>
      <w:r>
        <w:t xml:space="preserve">A cryptographic encryption key pair for </w:t>
      </w:r>
      <w:hyperlink w:anchor="page_707">
        <w:r>
          <w:rPr>
            <w:rStyle w:val="Text2"/>
          </w:rPr>
          <w:t>SSH</w:t>
        </w:r>
      </w:hyperlink>
      <w:r>
        <w:t xml:space="preserve">, usually used and created with </w:t>
      </w:r>
      <w:hyperlink w:anchor="page_698">
        <w:r>
          <w:rPr>
            <w:rStyle w:val="Text2"/>
          </w:rPr>
          <w:t>OpenSSH</w:t>
        </w:r>
      </w:hyperlink>
      <w:r>
        <w:t xml:space="preserve">. It’s split in two parts: a </w:t>
      </w:r>
      <w:r>
        <w:rPr>
          <w:rStyle w:val="Text3"/>
        </w:rPr>
        <w:t>public</w:t>
      </w:r>
      <w:r>
        <w:t xml:space="preserve"> and a </w:t>
      </w:r>
      <w:r>
        <w:rPr>
          <w:rStyle w:val="Text3"/>
        </w:rPr>
        <w:t>private</w:t>
      </w:r>
      <w:r>
        <w:t xml:space="preserve"> key files. The private key is secret and belongs to the owning user, and it’s used to prove possession of that secret. The public key is not secret and is used to securely identify only the private key holder. That way, entering a</w:t>
      </w:r>
    </w:p>
    <w:p>
      <w:pPr>
        <w:pStyle w:val="Para 02"/>
      </w:pPr>
      <w:r>
        <w:t xml:space="preserve">public key on a server for </w:t>
      </w:r>
      <w:hyperlink w:anchor="page_707">
        <w:r>
          <w:rPr>
            <w:rStyle w:val="Text2"/>
          </w:rPr>
          <w:t>SSH</w:t>
        </w:r>
      </w:hyperlink>
      <w:r>
        <w:t xml:space="preserve"> access, only the private key holder can log in.</w:t>
      </w:r>
    </w:p>
    <w:p>
      <w:pPr>
        <w:pStyle w:val="Para 01"/>
      </w:pPr>
      <w:r>
        <w:t>SSI</w:t>
      </w:r>
    </w:p>
    <w:p>
      <w:pPr>
        <w:pStyle w:val="Para 01"/>
      </w:pPr>
      <w:r>
        <w:t>Server-Side Includes</w:t>
      </w:r>
    </w:p>
    <w:p>
      <w:pPr>
        <w:pStyle w:val="Para 07"/>
      </w:pPr>
      <w:r>
        <w:t>Work in Progress</w:t>
      </w:r>
    </w:p>
    <w:p>
      <w:pPr>
        <w:pStyle w:val="Para 01"/>
      </w:pPr>
      <w:r>
        <w:t>SSL</w:t>
      </w:r>
    </w:p>
    <w:p>
      <w:pPr>
        <w:pStyle w:val="Para 01"/>
      </w:pPr>
      <w:r>
        <w:t>Secure Sockets Layer</w:t>
      </w:r>
    </w:p>
    <w:p>
      <w:pPr>
        <w:pStyle w:val="Para 07"/>
      </w:pPr>
      <w:r>
        <w:t>Work in Progress</w:t>
      </w:r>
    </w:p>
    <w:p>
      <w:pPr>
        <w:pStyle w:val="Para 01"/>
      </w:pPr>
      <w:r>
        <w:t>SSO</w:t>
      </w:r>
    </w:p>
    <w:p>
      <w:pPr>
        <w:pStyle w:val="Para 01"/>
      </w:pPr>
      <w:r>
        <w:t>Single Sign-On</w:t>
      </w:r>
    </w:p>
    <w:p>
      <w:pPr>
        <w:pStyle w:val="Para 07"/>
      </w:pPr>
      <w:r>
        <w:t>Work in Progress</w:t>
      </w:r>
    </w:p>
    <w:p>
      <w:pPr>
        <w:pStyle w:val="Para 01"/>
      </w:pPr>
      <w:r>
        <w:t>SSSD</w:t>
      </w:r>
    </w:p>
    <w:p>
      <w:pPr>
        <w:pStyle w:val="Para 01"/>
      </w:pPr>
      <w:r>
        <w:t>System Security Services Daemon</w:t>
      </w:r>
    </w:p>
    <w:p>
      <w:bookmarkStart w:id="1120" w:name="page_7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0" name="index-708_1.png" descr="index-708_1.png"/>
            <wp:cNvGraphicFramePr>
              <a:graphicFrameLocks noChangeAspect="1"/>
            </wp:cNvGraphicFramePr>
            <a:graphic>
              <a:graphicData uri="http://schemas.openxmlformats.org/drawingml/2006/picture">
                <pic:pic>
                  <pic:nvPicPr>
                    <pic:cNvPr id="0" name="index-708_1.png" descr="index-708_1.png"/>
                    <pic:cNvPicPr/>
                  </pic:nvPicPr>
                  <pic:blipFill>
                    <a:blip r:embed="rId744"/>
                    <a:stretch>
                      <a:fillRect/>
                    </a:stretch>
                  </pic:blipFill>
                  <pic:spPr>
                    <a:xfrm>
                      <a:off x="0" y="0"/>
                      <a:ext cx="914400" cy="266700"/>
                    </a:xfrm>
                    <a:prstGeom prst="rect">
                      <a:avLst/>
                    </a:prstGeom>
                  </pic:spPr>
                </pic:pic>
              </a:graphicData>
            </a:graphic>
          </wp:anchor>
        </w:drawing>
      </w:r>
      <w:bookmarkEnd w:id="1120"/>
    </w:p>
    <w:p>
      <w:pPr>
        <w:pStyle w:val="Para 07"/>
      </w:pPr>
      <w:r>
        <w:t>Work in Progress</w:t>
      </w:r>
    </w:p>
    <w:p>
      <w:pPr>
        <w:pStyle w:val="Para 01"/>
      </w:pPr>
      <w:r>
        <w:t>stateful</w:t>
      </w:r>
    </w:p>
    <w:p>
      <w:pPr>
        <w:pStyle w:val="Para 07"/>
      </w:pPr>
      <w:r>
        <w:t>Work in Progress</w:t>
      </w:r>
    </w:p>
    <w:p>
      <w:pPr>
        <w:pStyle w:val="Para 01"/>
      </w:pPr>
      <w:r>
        <w:t>STDIN</w:t>
      </w:r>
    </w:p>
    <w:p>
      <w:pPr>
        <w:pStyle w:val="Para 01"/>
      </w:pPr>
      <w:r>
        <w:t>Standard Input</w:t>
      </w:r>
    </w:p>
    <w:p>
      <w:pPr>
        <w:pStyle w:val="Para 07"/>
      </w:pPr>
      <w:r>
        <w:t>Work in Progress</w:t>
      </w:r>
    </w:p>
    <w:p>
      <w:pPr>
        <w:pStyle w:val="Para 01"/>
      </w:pPr>
      <w:r>
        <w:t>STDOUT</w:t>
      </w:r>
    </w:p>
    <w:p>
      <w:pPr>
        <w:pStyle w:val="Para 01"/>
      </w:pPr>
      <w:r>
        <w:t>Standard Output</w:t>
      </w:r>
    </w:p>
    <w:p>
      <w:pPr>
        <w:pStyle w:val="Para 07"/>
      </w:pPr>
      <w:r>
        <w:t>Work in Progress</w:t>
      </w:r>
    </w:p>
    <w:p>
      <w:pPr>
        <w:pStyle w:val="Para 01"/>
      </w:pPr>
      <w:r>
        <w:t>STDERR</w:t>
      </w:r>
    </w:p>
    <w:p>
      <w:pPr>
        <w:pStyle w:val="Para 01"/>
      </w:pPr>
      <w:r>
        <w:t>Standard Error</w:t>
      </w:r>
    </w:p>
    <w:p>
      <w:pPr>
        <w:pStyle w:val="Para 07"/>
      </w:pPr>
      <w:r>
        <w:t>Work in Progress</w:t>
      </w:r>
    </w:p>
    <w:p>
      <w:pPr>
        <w:pStyle w:val="Para 01"/>
      </w:pPr>
      <w:r>
        <w:t>STK</w:t>
      </w:r>
    </w:p>
    <w:p>
      <w:pPr>
        <w:pStyle w:val="Para 01"/>
      </w:pPr>
      <w:r>
        <w:t>StorageTek</w:t>
      </w:r>
    </w:p>
    <w:p>
      <w:pPr>
        <w:pStyle w:val="Para 07"/>
      </w:pPr>
      <w:r>
        <w:t>Work in Progress</w:t>
      </w:r>
    </w:p>
    <w:p>
      <w:pPr>
        <w:pStyle w:val="Para 01"/>
      </w:pPr>
      <w:r>
        <w:t>storage</w:t>
      </w:r>
    </w:p>
    <w:p>
      <w:pPr>
        <w:pStyle w:val="Para 07"/>
      </w:pPr>
      <w:r>
        <w:t>Work in Progress</w:t>
      </w:r>
    </w:p>
    <w:p>
      <w:pPr>
        <w:pStyle w:val="Para 01"/>
      </w:pPr>
      <w:r>
        <w:t>subcommand</w:t>
      </w:r>
    </w:p>
    <w:p>
      <w:pPr>
        <w:pStyle w:val="Para 07"/>
      </w:pPr>
      <w:r>
        <w:t>Work in Progress</w:t>
      </w:r>
    </w:p>
    <w:p>
      <w:pPr>
        <w:pStyle w:val="Para 01"/>
      </w:pPr>
      <w:r>
        <w:t>Subiquity</w:t>
      </w:r>
    </w:p>
    <w:p>
      <w:pPr>
        <w:pStyle w:val="Para 07"/>
      </w:pPr>
      <w:r>
        <w:t>Work in Progress</w:t>
      </w:r>
    </w:p>
    <w:p>
      <w:pPr>
        <w:pStyle w:val="Para 01"/>
      </w:pPr>
      <w:r>
        <w:t>subnet</w:t>
      </w:r>
    </w:p>
    <w:p>
      <w:pPr>
        <w:pStyle w:val="Para 01"/>
      </w:pPr>
      <w:r>
        <w:t>subnetwork</w:t>
      </w:r>
    </w:p>
    <w:p>
      <w:pPr>
        <w:pStyle w:val="Para 07"/>
      </w:pPr>
      <w:r>
        <w:t>Work in Progress</w:t>
      </w:r>
    </w:p>
    <w:p>
      <w:pPr>
        <w:pStyle w:val="Para 01"/>
      </w:pPr>
      <w:r>
        <w:t>substring</w:t>
      </w:r>
    </w:p>
    <w:p>
      <w:pPr>
        <w:pStyle w:val="Para 07"/>
      </w:pPr>
      <w:r>
        <w:t>Work in Progress</w:t>
      </w:r>
    </w:p>
    <w:p>
      <w:pPr>
        <w:pStyle w:val="Para 01"/>
      </w:pPr>
      <w:r>
        <w:t>subvolume</w:t>
      </w:r>
    </w:p>
    <w:p>
      <w:pPr>
        <w:pStyle w:val="Para 07"/>
      </w:pPr>
      <w:r>
        <w:t>Work in Progress</w:t>
      </w:r>
    </w:p>
    <w:p>
      <w:pPr>
        <w:pStyle w:val="Para 01"/>
      </w:pPr>
      <w:r>
        <w:t>sudo</w:t>
      </w:r>
    </w:p>
    <w:p>
      <w:pPr>
        <w:pStyle w:val="Para 01"/>
      </w:pPr>
      <w:r>
        <w:t>superuser do</w:t>
      </w:r>
    </w:p>
    <w:p>
      <w:pPr>
        <w:pStyle w:val="Para 07"/>
      </w:pPr>
      <w:r>
        <w:t>Work in Progress</w:t>
      </w:r>
    </w:p>
    <w:p>
      <w:pPr>
        <w:pStyle w:val="Para 01"/>
      </w:pPr>
      <w:r>
        <w:t>superblock</w:t>
      </w:r>
    </w:p>
    <w:p>
      <w:pPr>
        <w:pStyle w:val="Para 07"/>
      </w:pPr>
      <w:r>
        <w:t>Work in Progress</w:t>
      </w:r>
    </w:p>
    <w:p>
      <w:pPr>
        <w:pStyle w:val="Para 01"/>
      </w:pPr>
      <w:r>
        <w:t>symlink</w:t>
      </w:r>
    </w:p>
    <w:p>
      <w:pPr>
        <w:pStyle w:val="Para 07"/>
      </w:pPr>
      <w:r>
        <w:t>Work in Progress</w:t>
      </w:r>
    </w:p>
    <w:p>
      <w:pPr>
        <w:pStyle w:val="Para 01"/>
      </w:pPr>
      <w:r>
        <w:t>syslog</w:t>
      </w:r>
    </w:p>
    <w:p>
      <w:pPr>
        <w:pStyle w:val="Para 07"/>
      </w:pPr>
      <w:r>
        <w:t>Work in Progress</w:t>
      </w:r>
    </w:p>
    <w:p>
      <w:pPr>
        <w:pStyle w:val="Para 01"/>
      </w:pPr>
      <w:r>
        <w:t>systemctl</w:t>
      </w:r>
    </w:p>
    <w:p>
      <w:pPr>
        <w:pStyle w:val="Para 07"/>
      </w:pPr>
      <w:r>
        <w:t>Work in Progress</w:t>
      </w:r>
    </w:p>
    <w:p>
      <w:pPr>
        <w:pStyle w:val="Para 01"/>
      </w:pPr>
      <w:r>
        <w:t>Systemd</w:t>
      </w:r>
    </w:p>
    <w:p>
      <w:pPr>
        <w:pStyle w:val="Para 07"/>
      </w:pPr>
      <w:r>
        <w:t>Work in Progress</w:t>
      </w:r>
    </w:p>
    <w:p>
      <w:bookmarkStart w:id="1121" w:name="page_7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1" name="index-709_1.png" descr="index-709_1.png"/>
            <wp:cNvGraphicFramePr>
              <a:graphicFrameLocks noChangeAspect="1"/>
            </wp:cNvGraphicFramePr>
            <a:graphic>
              <a:graphicData uri="http://schemas.openxmlformats.org/drawingml/2006/picture">
                <pic:pic>
                  <pic:nvPicPr>
                    <pic:cNvPr id="0" name="index-709_1.png" descr="index-709_1.png"/>
                    <pic:cNvPicPr/>
                  </pic:nvPicPr>
                  <pic:blipFill>
                    <a:blip r:embed="rId745"/>
                    <a:stretch>
                      <a:fillRect/>
                    </a:stretch>
                  </pic:blipFill>
                  <pic:spPr>
                    <a:xfrm>
                      <a:off x="0" y="0"/>
                      <a:ext cx="914400" cy="266700"/>
                    </a:xfrm>
                    <a:prstGeom prst="rect">
                      <a:avLst/>
                    </a:prstGeom>
                  </pic:spPr>
                </pic:pic>
              </a:graphicData>
            </a:graphic>
          </wp:anchor>
        </w:drawing>
      </w:r>
      <w:bookmarkEnd w:id="1121"/>
    </w:p>
    <w:p>
      <w:bookmarkStart w:id="1122" w:name="Top_of_index_split_207_html"/>
      <w:bookmarkStart w:id="1123" w:name="T"/>
      <w:pPr>
        <w:pStyle w:val="Heading 1"/>
        <w:pageBreakBefore w:val="on"/>
      </w:pPr>
      <w:r>
        <w:t>T</w:t>
      </w:r>
      <w:bookmarkEnd w:id="1122"/>
      <w:bookmarkEnd w:id="1123"/>
    </w:p>
    <w:p>
      <w:pPr>
        <w:pStyle w:val="Para 17"/>
      </w:pPr>
      <w:r>
        <w:t/>
      </w:r>
    </w:p>
    <w:p>
      <w:pPr>
        <w:pStyle w:val="Para 01"/>
      </w:pPr>
      <w:r>
        <w:t>tasksel</w:t>
      </w:r>
    </w:p>
    <w:p>
      <w:pPr>
        <w:pStyle w:val="Para 01"/>
      </w:pPr>
      <w:r>
        <w:t>Task selector</w:t>
      </w:r>
    </w:p>
    <w:p>
      <w:pPr>
        <w:pStyle w:val="Para 02"/>
      </w:pPr>
      <w:r>
        <w:t>Tasksel is a Debian/Ubuntu tool that simplifies the installation of collections of related packages (called “tasks”) for specific purposes, like setting up a mail server, LAMP stack, or desktop environment. Instead of manually installing dozens of packages, tasksel lets you install entire pre-configured software bundles with a single command.</w:t>
      </w:r>
    </w:p>
    <w:p>
      <w:pPr>
        <w:pStyle w:val="Para 01"/>
      </w:pPr>
      <w:r>
        <w:t>TB</w:t>
      </w:r>
    </w:p>
    <w:p>
      <w:pPr>
        <w:pStyle w:val="Para 02"/>
      </w:pPr>
      <w:r>
        <w:t xml:space="preserve">Terabyte (unit of measurement) 1 TB = 1024 </w:t>
      </w:r>
      <w:hyperlink w:anchor="page_685">
        <w:r>
          <w:rPr>
            <w:rStyle w:val="Text2"/>
          </w:rPr>
          <w:t>GB</w:t>
        </w:r>
      </w:hyperlink>
    </w:p>
    <w:p>
      <w:pPr>
        <w:pStyle w:val="Para 01"/>
      </w:pPr>
      <w:r>
        <w:t>TCP</w:t>
      </w:r>
    </w:p>
    <w:p>
      <w:pPr>
        <w:pStyle w:val="Para 01"/>
      </w:pPr>
      <w:r>
        <w:t>Transmission Control Protocol</w:t>
      </w:r>
    </w:p>
    <w:p>
      <w:pPr>
        <w:pStyle w:val="Para 02"/>
      </w:pPr>
      <w:r>
        <w:t>TCP is one of the core protocols of the Internet Protocol Suite, providing reliable, or-dered, and error-checked delivery of data between applications over a network. It is the</w:t>
      </w:r>
    </w:p>
    <w:p>
      <w:pPr>
        <w:pStyle w:val="Para 02"/>
      </w:pPr>
      <w:r>
        <w:t xml:space="preserve">“reliable” protocol that most internet applications depend on. You use </w:t>
      </w:r>
      <w:hyperlink w:anchor="page_709">
        <w:r>
          <w:rPr>
            <w:rStyle w:val="Text2"/>
          </w:rPr>
          <w:t>TCP</w:t>
        </w:r>
      </w:hyperlink>
      <w:r>
        <w:t xml:space="preserve"> whenever you need to be sure your data arrives intact and in order.</w:t>
      </w:r>
    </w:p>
    <w:p>
      <w:pPr>
        <w:pStyle w:val="Para 01"/>
      </w:pPr>
      <w:r>
        <w:t>TDX</w:t>
      </w:r>
    </w:p>
    <w:p>
      <w:pPr>
        <w:pStyle w:val="Para 01"/>
      </w:pPr>
      <w:r>
        <w:t>Trust domain extensions</w:t>
      </w:r>
    </w:p>
    <w:p>
      <w:pPr>
        <w:pStyle w:val="Para 02"/>
      </w:pPr>
      <w:r>
        <w:t>It is security technology from Intel that creates isolated, encrypted virtual machines called “Trust Domains”. TDX:</w:t>
      </w:r>
    </w:p>
    <w:p>
      <w:pPr>
        <w:pStyle w:val="Para 06"/>
      </w:pPr>
      <w:r>
        <w:t>• Protects confidential workloads in cloud environments</w:t>
      </w:r>
    </w:p>
    <w:p>
      <w:pPr>
        <w:pStyle w:val="Para 06"/>
      </w:pPr>
      <w:r>
        <w:t>• Encrypts VM memory to protect it from the host system or hypervisor</w:t>
      </w:r>
    </w:p>
    <w:p>
      <w:pPr>
        <w:pStyle w:val="Para 01"/>
      </w:pPr>
      <w:r>
        <w:t>TEE</w:t>
      </w:r>
    </w:p>
    <w:p>
      <w:pPr>
        <w:pStyle w:val="Para 01"/>
      </w:pPr>
      <w:r>
        <w:t>Trusted Execution Environment</w:t>
      </w:r>
    </w:p>
    <w:p>
      <w:pPr>
        <w:pStyle w:val="Para 02"/>
      </w:pPr>
      <w:r>
        <w:t>A secure processor enclave that isolates code and data to ensure confidentiality, in-tegrity, and verifiable trust, forming the foundation of Confidential Computing.</w:t>
      </w:r>
    </w:p>
    <w:p>
      <w:pPr>
        <w:pStyle w:val="Para 01"/>
      </w:pPr>
      <w:r>
        <w:t>TFTP</w:t>
      </w:r>
    </w:p>
    <w:p>
      <w:pPr>
        <w:pStyle w:val="Para 01"/>
      </w:pPr>
      <w:r>
        <w:t>Trivial File Transfer Protocol</w:t>
      </w:r>
    </w:p>
    <w:p>
      <w:pPr>
        <w:pStyle w:val="Para 02"/>
      </w:pPr>
      <w:r>
        <w:t xml:space="preserve">TFTP is a very simple, lightweight file transfer protocol that uses </w:t>
      </w:r>
      <w:hyperlink w:anchor="page_711">
        <w:r>
          <w:rPr>
            <w:rStyle w:val="Text2"/>
          </w:rPr>
          <w:t>UDP</w:t>
        </w:r>
      </w:hyperlink>
      <w:r>
        <w:t xml:space="preserve"> instead of </w:t>
      </w:r>
      <w:hyperlink w:anchor="page_709">
        <w:r>
          <w:rPr>
            <w:rStyle w:val="Text2"/>
          </w:rPr>
          <w:t>TCP</w:t>
        </w:r>
      </w:hyperlink>
      <w:r>
        <w:t xml:space="preserve"> , designed for basic file transfers where simplicity is more important than features or security. It is “trivial” because it has minimal functionality - no authentication, no en-cryption, no directory listing, just basic reading and writing of files.</w:t>
      </w:r>
    </w:p>
    <w:p>
      <w:pPr>
        <w:pStyle w:val="Para 01"/>
      </w:pPr>
      <w:r>
        <w:t>TGS</w:t>
      </w:r>
    </w:p>
    <w:p>
      <w:pPr>
        <w:pStyle w:val="Para 01"/>
      </w:pPr>
      <w:r>
        <w:t>Ticket Granting Service</w:t>
      </w:r>
    </w:p>
    <w:p>
      <w:pPr>
        <w:pStyle w:val="Para 02"/>
      </w:pPr>
      <w:r>
        <w:t>TGS is a credential issued by Kerberos used in the Kerberos authentication protocol, a key component of the Key Distribution Center (KDC) that issues service tickets to clients after initial authentication.</w:t>
      </w:r>
    </w:p>
    <w:p>
      <w:pPr>
        <w:pStyle w:val="Para 01"/>
      </w:pPr>
      <w:r>
        <w:t>TGT</w:t>
      </w:r>
    </w:p>
    <w:p>
      <w:pPr>
        <w:pStyle w:val="Para 01"/>
      </w:pPr>
      <w:r>
        <w:t>Ticket Granting Ticket</w:t>
      </w:r>
    </w:p>
    <w:p>
      <w:pPr>
        <w:pStyle w:val="Para 02"/>
      </w:pPr>
      <w:r>
        <w:t>TGT is a credential issued by Kerberos authentication systems. TGT allows users to re-quest service tickets without re-entering their password.</w:t>
      </w:r>
    </w:p>
    <w:p>
      <w:pPr>
        <w:pStyle w:val="Para 01"/>
      </w:pPr>
      <w:r>
        <w:t>TLB</w:t>
      </w:r>
    </w:p>
    <w:p>
      <w:pPr>
        <w:pStyle w:val="Para 01"/>
      </w:pPr>
      <w:r>
        <w:t>Translation Lookaside Buffer</w:t>
      </w:r>
    </w:p>
    <w:p>
      <w:pPr>
        <w:pStyle w:val="Para 02"/>
      </w:pPr>
      <w:r>
        <w:t xml:space="preserve">TLB is a specialized cache in the </w:t>
      </w:r>
      <w:hyperlink w:anchor="page_676">
        <w:r>
          <w:rPr>
            <w:rStyle w:val="Text2"/>
          </w:rPr>
          <w:t>CPU</w:t>
        </w:r>
      </w:hyperlink>
      <w:r>
        <w:t xml:space="preserve"> that stores recent virtual-to-physical address translations, dramatically speeding up memory access by avoiding repeated page ta-ble lookups. It is a critical component of virtual memory systems that makes address</w:t>
      </w:r>
    </w:p>
    <w:p>
      <w:bookmarkStart w:id="1124" w:name="page_7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2" name="index-710_1.png" descr="index-710_1.png"/>
            <wp:cNvGraphicFramePr>
              <a:graphicFrameLocks noChangeAspect="1"/>
            </wp:cNvGraphicFramePr>
            <a:graphic>
              <a:graphicData uri="http://schemas.openxmlformats.org/drawingml/2006/picture">
                <pic:pic>
                  <pic:nvPicPr>
                    <pic:cNvPr id="0" name="index-710_1.png" descr="index-710_1.png"/>
                    <pic:cNvPicPr/>
                  </pic:nvPicPr>
                  <pic:blipFill>
                    <a:blip r:embed="rId746"/>
                    <a:stretch>
                      <a:fillRect/>
                    </a:stretch>
                  </pic:blipFill>
                  <pic:spPr>
                    <a:xfrm>
                      <a:off x="0" y="0"/>
                      <a:ext cx="914400" cy="266700"/>
                    </a:xfrm>
                    <a:prstGeom prst="rect">
                      <a:avLst/>
                    </a:prstGeom>
                  </pic:spPr>
                </pic:pic>
              </a:graphicData>
            </a:graphic>
          </wp:anchor>
        </w:drawing>
      </w:r>
      <w:bookmarkEnd w:id="1124"/>
    </w:p>
    <w:p>
      <w:pPr>
        <w:pStyle w:val="Para 17"/>
      </w:pPr>
      <w:r>
        <w:t>translation fast enough to be practical. When the CPU translates a virtual address, it first checks the TLB. If the mapping is found, the translation is fast. If it is missing, the CPU retrieves the mapping from the page table in memory, which takes longer.</w:t>
      </w:r>
    </w:p>
    <w:p>
      <w:pPr>
        <w:pStyle w:val="Para 01"/>
      </w:pPr>
      <w:r>
        <w:t>TLS</w:t>
      </w:r>
    </w:p>
    <w:p>
      <w:pPr>
        <w:pStyle w:val="Para 01"/>
      </w:pPr>
      <w:r>
        <w:t>Transport Layer Security</w:t>
      </w:r>
    </w:p>
    <w:p>
      <w:pPr>
        <w:pStyle w:val="Para 02"/>
      </w:pPr>
      <w:r>
        <w:t>TLS is a cryptographic protocol that provides secure communication over a network by encrypting data transmitted between clients and servers. It is the successor to SSL (Se-</w:t>
      </w:r>
    </w:p>
    <w:p>
      <w:pPr>
        <w:pStyle w:val="Para 02"/>
      </w:pPr>
      <w:r>
        <w:t xml:space="preserve">cure Sockets Layer) and is what makes </w:t>
      </w:r>
      <w:hyperlink w:anchor="page_689">
        <w:r>
          <w:rPr>
            <w:rStyle w:val="Text2"/>
          </w:rPr>
          <w:t>HTTPS</w:t>
        </w:r>
      </w:hyperlink>
      <w:r>
        <w:t xml:space="preserve"> secure (the padlock icon in your browser).</w:t>
      </w:r>
    </w:p>
    <w:p>
      <w:pPr>
        <w:pStyle w:val="Para 01"/>
      </w:pPr>
      <w:r>
        <w:t>tmpfs</w:t>
      </w:r>
    </w:p>
    <w:p>
      <w:pPr>
        <w:pStyle w:val="Para 01"/>
      </w:pPr>
      <w:r>
        <w:t>Temporary Filesystem</w:t>
      </w:r>
    </w:p>
    <w:p>
      <w:pPr>
        <w:pStyle w:val="Para 02"/>
      </w:pPr>
      <w:r>
        <w:t>tmpfs is a filesystem that stores all files in virtual memory (RAM) instead of on a physical disk, making it fast but also volatile - data disappears when the system reboots or loses power.</w:t>
      </w:r>
    </w:p>
    <w:p>
      <w:pPr>
        <w:pStyle w:val="Para 01"/>
      </w:pPr>
      <w:r>
        <w:t>tmux</w:t>
      </w:r>
    </w:p>
    <w:p>
      <w:pPr>
        <w:pStyle w:val="Para 01"/>
      </w:pPr>
      <w:r>
        <w:t>Terminal Multiplexer</w:t>
      </w:r>
    </w:p>
    <w:p>
      <w:pPr>
        <w:pStyle w:val="Para 02"/>
      </w:pPr>
      <w:r>
        <w:t>tmux is a powerful command-line tool that allows you to manage multiple terminal ses-sions from a single window, with the ability to detach and reattach sessions. It is a way to have multiple terminal windows and split-screen layouts, all within a single terminal, with sessions that persist even when you disconnect.</w:t>
      </w:r>
    </w:p>
    <w:p>
      <w:pPr>
        <w:pStyle w:val="Para 01"/>
      </w:pPr>
      <w:r>
        <w:t>topologies</w:t>
      </w:r>
    </w:p>
    <w:p>
      <w:pPr>
        <w:pStyle w:val="Para 02"/>
      </w:pPr>
      <w:r>
        <w:t>Topologies (in a networking context) refer to the physical or logical arrangement of devices and connections in a network - essentially how computers, switches, routers, and other devices are interconnected.</w:t>
      </w:r>
    </w:p>
    <w:p>
      <w:pPr>
        <w:pStyle w:val="Para 01"/>
      </w:pPr>
      <w:r>
        <w:t>TOTP</w:t>
      </w:r>
    </w:p>
    <w:p>
      <w:pPr>
        <w:pStyle w:val="Para 01"/>
      </w:pPr>
      <w:r>
        <w:t>Time-based One-Time Password</w:t>
      </w:r>
    </w:p>
    <w:p>
      <w:pPr>
        <w:pStyle w:val="Para 02"/>
      </w:pPr>
      <w:r>
        <w:t>TOTP is an algorithm that generates temporary, single-use passwords based on the cur-rent time and a shared secret key. It is one of the most common forms of two-factor authentication (2FA) used by apps like Google Authenticator, Microsoft Authenticator, and many others.</w:t>
      </w:r>
    </w:p>
    <w:p>
      <w:pPr>
        <w:pStyle w:val="Para 01"/>
      </w:pPr>
      <w:r>
        <w:t>TPM</w:t>
      </w:r>
    </w:p>
    <w:p>
      <w:pPr>
        <w:pStyle w:val="Para 01"/>
      </w:pPr>
      <w:r>
        <w:t>Trusted Platform Module</w:t>
      </w:r>
    </w:p>
    <w:p>
      <w:pPr>
        <w:pStyle w:val="Para 02"/>
      </w:pPr>
      <w:r>
        <w:t>A hardware security chip that securely stores cryptographic keys, measures system in-tegrity during boot, and enables features such as secure storage, ryption, and attesta-tion.</w:t>
      </w:r>
    </w:p>
    <w:p>
      <w:pPr>
        <w:pStyle w:val="Para 01"/>
      </w:pPr>
      <w:r>
        <w:t>Traceback</w:t>
      </w:r>
    </w:p>
    <w:p>
      <w:pPr>
        <w:pStyle w:val="Para 02"/>
      </w:pPr>
      <w:r>
        <w:t>traceback is a term used in Python. Traceback is a report of the function call stack printed when an exception occurs. It shows the sequence of calls leading to the error, including file names, line numbers, and the exception type. It helps developers identify and debug issues by tracing execution backward from the failure point.</w:t>
      </w:r>
    </w:p>
    <w:p>
      <w:pPr>
        <w:pStyle w:val="Para 01"/>
      </w:pPr>
      <w:r>
        <w:t>Traceroute</w:t>
      </w:r>
    </w:p>
    <w:p>
      <w:pPr>
        <w:pStyle w:val="Para 02"/>
      </w:pPr>
      <w:r>
        <w:t>Traceroute is a network diagnostic tool that shows the path packets take from your computer to a destination across the internet, revealing each hop (router) along the way.</w:t>
      </w:r>
    </w:p>
    <w:p>
      <w:pPr>
        <w:pStyle w:val="Para 01"/>
      </w:pPr>
      <w:r>
        <w:t>TTYS</w:t>
      </w:r>
    </w:p>
    <w:p>
      <w:pPr>
        <w:pStyle w:val="Para 01"/>
      </w:pPr>
      <w:r>
        <w:t>Teletype Terminals</w:t>
      </w:r>
    </w:p>
    <w:p>
      <w:pPr>
        <w:pStyle w:val="Para 02"/>
      </w:pPr>
      <w:r>
        <w:t>TTYS were electromechanical typewriter-like devices used as input/output terminals for telegraph networks and early computers. They sent and received text over serial</w:t>
      </w:r>
    </w:p>
    <w:p>
      <w:bookmarkStart w:id="1125" w:name="page_7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3" name="index-711_1.png" descr="index-711_1.png"/>
            <wp:cNvGraphicFramePr>
              <a:graphicFrameLocks noChangeAspect="1"/>
            </wp:cNvGraphicFramePr>
            <a:graphic>
              <a:graphicData uri="http://schemas.openxmlformats.org/drawingml/2006/picture">
                <pic:pic>
                  <pic:nvPicPr>
                    <pic:cNvPr id="0" name="index-711_1.png" descr="index-711_1.png"/>
                    <pic:cNvPicPr/>
                  </pic:nvPicPr>
                  <pic:blipFill>
                    <a:blip r:embed="rId747"/>
                    <a:stretch>
                      <a:fillRect/>
                    </a:stretch>
                  </pic:blipFill>
                  <pic:spPr>
                    <a:xfrm>
                      <a:off x="0" y="0"/>
                      <a:ext cx="914400" cy="266700"/>
                    </a:xfrm>
                    <a:prstGeom prst="rect">
                      <a:avLst/>
                    </a:prstGeom>
                  </pic:spPr>
                </pic:pic>
              </a:graphicData>
            </a:graphic>
          </wp:anchor>
        </w:drawing>
      </w:r>
      <w:bookmarkEnd w:id="1125"/>
    </w:p>
    <w:p>
      <w:pPr>
        <w:pStyle w:val="Para 02"/>
      </w:pPr>
      <w:r>
        <w:t>lines, printing characters on paper instead of displaying them on a screen. Even though the physical machines are mostly gone, the term TTY still exists in Unix/Linux systems to represent:</w:t>
      </w:r>
    </w:p>
    <w:p>
      <w:pPr>
        <w:pStyle w:val="Para 06"/>
      </w:pPr>
      <w:r>
        <w:t>• A text-based input/output device</w:t>
      </w:r>
    </w:p>
    <w:p>
      <w:pPr>
        <w:pStyle w:val="Para 06"/>
      </w:pPr>
      <w:r>
        <w:t>• A terminal session</w:t>
      </w:r>
    </w:p>
    <w:p>
      <w:pPr>
        <w:pStyle w:val="Para 06"/>
      </w:pPr>
      <w:r>
        <w:t>• A console connection</w:t>
      </w:r>
    </w:p>
    <w:p>
      <w:pPr>
        <w:pStyle w:val="Para 01"/>
      </w:pPr>
      <w:r>
        <w:t>TXT</w:t>
      </w:r>
    </w:p>
    <w:p>
      <w:pPr>
        <w:pStyle w:val="Para 01"/>
      </w:pPr>
      <w:r>
        <w:t>Trusted Execution Technology</w:t>
      </w:r>
    </w:p>
    <w:p>
      <w:pPr>
        <w:pStyle w:val="Para 02"/>
      </w:pPr>
      <w:r>
        <w:t>TXT is Intel’s hardware-based security technology that creates a trusted execution en-vironment to protect systems from software-based attacks. In other words, TXT was designed to make sure that a computer boots into a trusted and verified state before loading the operating system or applications. It protects against:</w:t>
      </w:r>
    </w:p>
    <w:p>
      <w:pPr>
        <w:pStyle w:val="Para 06"/>
      </w:pPr>
      <w:r>
        <w:t>• Rootkits</w:t>
      </w:r>
    </w:p>
    <w:p>
      <w:pPr>
        <w:pStyle w:val="Para 06"/>
      </w:pPr>
      <w:r>
        <w:t>• Boot-level malware</w:t>
      </w:r>
    </w:p>
    <w:p>
      <w:pPr>
        <w:pStyle w:val="Para 06"/>
      </w:pPr>
      <w:r>
        <w:t>• Unauthorized changes to firmware or system software</w:t>
      </w:r>
    </w:p>
    <w:p>
      <w:pPr>
        <w:pStyle w:val="Para 17"/>
      </w:pPr>
      <w:r>
        <w:t/>
      </w:r>
    </w:p>
    <w:p>
      <w:pPr>
        <w:pStyle w:val="Para 01"/>
      </w:pPr>
      <w:r>
        <w:t>U</w:t>
      </w:r>
    </w:p>
    <w:p>
      <w:pPr>
        <w:pStyle w:val="Para 17"/>
      </w:pPr>
      <w:r>
        <w:t/>
      </w:r>
    </w:p>
    <w:p>
      <w:pPr>
        <w:pStyle w:val="Para 01"/>
      </w:pPr>
      <w:r>
        <w:t>UDA</w:t>
      </w:r>
    </w:p>
    <w:p>
      <w:pPr>
        <w:pStyle w:val="Para 01"/>
      </w:pPr>
      <w:r>
        <w:t>Unified Data Architecture</w:t>
      </w:r>
    </w:p>
    <w:p>
      <w:pPr>
        <w:pStyle w:val="Para 02"/>
      </w:pPr>
      <w:r>
        <w:t>UDA is an approach that provides a unified framework for integrating and managing data across an organization in a cohesive, standardized manner.</w:t>
      </w:r>
    </w:p>
    <w:p>
      <w:pPr>
        <w:pStyle w:val="Para 01"/>
      </w:pPr>
      <w:r>
        <w:t>UDP</w:t>
      </w:r>
    </w:p>
    <w:p>
      <w:pPr>
        <w:pStyle w:val="Para 01"/>
      </w:pPr>
      <w:r>
        <w:t>User Datagram Protocol</w:t>
      </w:r>
    </w:p>
    <w:p>
      <w:pPr>
        <w:pStyle w:val="Para 02"/>
      </w:pPr>
      <w:r>
        <w:t>UDP is a network protocol used to send data between devices without creating or main-taining a connection. In other words, UDP is a connectionless transport layer protocol used for fast, low-overhead data transmission in iptables rules.</w:t>
      </w:r>
    </w:p>
    <w:p>
      <w:pPr>
        <w:pStyle w:val="Para 01"/>
      </w:pPr>
      <w:r>
        <w:t>UEFI</w:t>
      </w:r>
    </w:p>
    <w:p>
      <w:pPr>
        <w:pStyle w:val="Para 01"/>
      </w:pPr>
      <w:r>
        <w:t>Unified Extensible Firmware Interface</w:t>
      </w:r>
    </w:p>
    <w:p>
      <w:pPr>
        <w:pStyle w:val="Para 17"/>
      </w:pPr>
      <w:r>
        <w:t>UEFI is the modern replacement for BIOS (Basic Input/Output System). UEFI is the firmware interface between a computer’s hardware and its operating system. UEFI ini-tializes hardware during boot and hands control over to the operating system.</w:t>
      </w:r>
    </w:p>
    <w:p>
      <w:pPr>
        <w:pStyle w:val="Para 01"/>
      </w:pPr>
      <w:r>
        <w:t>UFW</w:t>
      </w:r>
    </w:p>
    <w:p>
      <w:pPr>
        <w:pStyle w:val="Para 01"/>
      </w:pPr>
      <w:r>
        <w:t>Uncomplicated Firewall</w:t>
      </w:r>
    </w:p>
    <w:p>
      <w:pPr>
        <w:pStyle w:val="Para 02"/>
      </w:pPr>
      <w:r>
        <w:t>UFW is a user-friendly command-line tool for managing netfilter firewalls on Linux sys-tems, simplifying complex iptables commands.</w:t>
      </w:r>
    </w:p>
    <w:p>
      <w:pPr>
        <w:pStyle w:val="Para 01"/>
      </w:pPr>
      <w:r>
        <w:t>UID</w:t>
      </w:r>
    </w:p>
    <w:p>
      <w:pPr>
        <w:pStyle w:val="Para 01"/>
      </w:pPr>
      <w:r>
        <w:t>User Identifier</w:t>
      </w:r>
    </w:p>
    <w:p>
      <w:pPr>
        <w:pStyle w:val="Para 02"/>
      </w:pPr>
      <w:r>
        <w:t>UID known as User Identifier (in Unix/Linux contexts) or Unique Identifier (in general computing). In Unix-like systems, a UID is a numeric value assigned to each user account to uniquely identify them to the operating system.</w:t>
      </w:r>
    </w:p>
    <w:p>
      <w:pPr>
        <w:pStyle w:val="Para 01"/>
      </w:pPr>
      <w:r>
        <w:t>UI</w:t>
      </w:r>
    </w:p>
    <w:p>
      <w:pPr>
        <w:pStyle w:val="Para 01"/>
      </w:pPr>
      <w:r>
        <w:t>User Interface</w:t>
      </w:r>
    </w:p>
    <w:p>
      <w:pPr>
        <w:pStyle w:val="Para 02"/>
      </w:pPr>
      <w:r>
        <w:t>UI is the point of interaction between a user and a digital product, system, or application</w:t>
      </w:r>
    </w:p>
    <w:p>
      <w:bookmarkStart w:id="1126" w:name="page_7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4" name="index-712_1.png" descr="index-712_1.png"/>
            <wp:cNvGraphicFramePr>
              <a:graphicFrameLocks noChangeAspect="1"/>
            </wp:cNvGraphicFramePr>
            <a:graphic>
              <a:graphicData uri="http://schemas.openxmlformats.org/drawingml/2006/picture">
                <pic:pic>
                  <pic:nvPicPr>
                    <pic:cNvPr id="0" name="index-712_1.png" descr="index-712_1.png"/>
                    <pic:cNvPicPr/>
                  </pic:nvPicPr>
                  <pic:blipFill>
                    <a:blip r:embed="rId748"/>
                    <a:stretch>
                      <a:fillRect/>
                    </a:stretch>
                  </pic:blipFill>
                  <pic:spPr>
                    <a:xfrm>
                      <a:off x="0" y="0"/>
                      <a:ext cx="914400" cy="266700"/>
                    </a:xfrm>
                    <a:prstGeom prst="rect">
                      <a:avLst/>
                    </a:prstGeom>
                  </pic:spPr>
                </pic:pic>
              </a:graphicData>
            </a:graphic>
          </wp:anchor>
        </w:drawing>
      </w:r>
      <w:bookmarkEnd w:id="1126"/>
    </w:p>
    <w:p>
      <w:pPr>
        <w:pStyle w:val="Para 02"/>
      </w:pPr>
      <w:r>
        <w:t>- essentially everything the user sees, touches, or interacts with when using software or hardware.</w:t>
      </w:r>
    </w:p>
    <w:p>
      <w:pPr>
        <w:pStyle w:val="Para 01"/>
      </w:pPr>
      <w:r>
        <w:t>unicast</w:t>
      </w:r>
    </w:p>
    <w:p>
      <w:pPr>
        <w:pStyle w:val="Para 02"/>
      </w:pPr>
      <w:r>
        <w:t>Unicast is a one-to-one network communication method where data is sent from a sin-gle sender to a single specific receiver.</w:t>
      </w:r>
    </w:p>
    <w:p>
      <w:pPr>
        <w:pStyle w:val="Para 01"/>
      </w:pPr>
      <w:r>
        <w:t>unmount</w:t>
      </w:r>
    </w:p>
    <w:p>
      <w:pPr>
        <w:pStyle w:val="Para 02"/>
      </w:pPr>
      <w:r>
        <w:t>Unmount is the process of safely detaching a filesystem from the system’s directory tree, making it inaccessible until it is mounted again. Unmount is the opposite of mount-ing. Unmount is important for data integrity, file system consistency, and the safe re-moval of USB drives or SD cards.</w:t>
      </w:r>
    </w:p>
    <w:p>
      <w:pPr>
        <w:pStyle w:val="Para 01"/>
      </w:pPr>
      <w:r>
        <w:t>untrusted</w:t>
      </w:r>
    </w:p>
    <w:p>
      <w:pPr>
        <w:pStyle w:val="Para 02"/>
      </w:pPr>
      <w:r>
        <w:t>Untrusted refers to:</w:t>
      </w:r>
    </w:p>
    <w:p>
      <w:pPr>
        <w:pStyle w:val="Para 06"/>
      </w:pPr>
      <w:r>
        <w:t>1. data coming from outside the system, such as files uploaded by users</w:t>
      </w:r>
    </w:p>
    <w:p>
      <w:pPr>
        <w:pStyle w:val="Para 06"/>
      </w:pPr>
      <w:r>
        <w:t>2. code coming from an external, unknown, or non-verified source, such as third-</w:t>
      </w:r>
    </w:p>
    <w:p>
      <w:pPr>
        <w:pStyle w:val="Para 11"/>
      </w:pPr>
      <w:r>
        <w:t>party plug-ins</w:t>
      </w:r>
    </w:p>
    <w:p>
      <w:pPr>
        <w:pStyle w:val="Para 06"/>
      </w:pPr>
      <w:r>
        <w:t>3. network that cannot be assumed secure, such as public WI-FI</w:t>
      </w:r>
    </w:p>
    <w:p>
      <w:pPr>
        <w:pStyle w:val="Para 01"/>
      </w:pPr>
      <w:r>
        <w:t>uptime</w:t>
      </w:r>
    </w:p>
    <w:p>
      <w:pPr>
        <w:pStyle w:val="Para 02"/>
      </w:pPr>
      <w:r>
        <w:t>Uptime is a measure of how long a system has been running continuously since its last boot, crash, or restart. Uptime indicates system stability and availability.</w:t>
      </w:r>
    </w:p>
    <w:p>
      <w:pPr>
        <w:pStyle w:val="Para 01"/>
      </w:pPr>
      <w:r>
        <w:t>URI</w:t>
      </w:r>
    </w:p>
    <w:p>
      <w:pPr>
        <w:pStyle w:val="Para 01"/>
      </w:pPr>
      <w:r>
        <w:t>Uniform Resource Identifier</w:t>
      </w:r>
    </w:p>
    <w:p>
      <w:pPr>
        <w:pStyle w:val="Para 02"/>
      </w:pPr>
      <w:r>
        <w:t>URI is a compact string of characters that uniquely identifies an abstract or physical resource, such as a webpage, file, email address, or concept, without specifying how to access it.</w:t>
      </w:r>
    </w:p>
    <w:p>
      <w:pPr>
        <w:pStyle w:val="Para 01"/>
      </w:pPr>
      <w:r>
        <w:t>URL</w:t>
      </w:r>
    </w:p>
    <w:p>
      <w:pPr>
        <w:pStyle w:val="Para 01"/>
      </w:pPr>
      <w:r>
        <w:t>Uniform Resource Locator</w:t>
      </w:r>
    </w:p>
    <w:p>
      <w:pPr>
        <w:pStyle w:val="Para 02"/>
      </w:pPr>
      <w:r>
        <w:t>URL is a standardized string that specifies the address of a web resource, such as web-pages, image, or file, enabling browsers to locate and retrieve it over the internet.</w:t>
      </w:r>
    </w:p>
    <w:p>
      <w:pPr>
        <w:pStyle w:val="Para 01"/>
      </w:pPr>
      <w:r>
        <w:t>userspace</w:t>
      </w:r>
    </w:p>
    <w:p>
      <w:pPr>
        <w:pStyle w:val="Para 02"/>
      </w:pPr>
      <w:r>
        <w:t>userspace (also appears as “user space” or “user-space”) is the memory area and exe-cution environment where normal applications and user programs run, as opposed to kernel space where the operating system kernel runs.</w:t>
      </w:r>
    </w:p>
    <w:p>
      <w:pPr>
        <w:pStyle w:val="Para 01"/>
      </w:pPr>
      <w:r>
        <w:t>USN</w:t>
      </w:r>
    </w:p>
    <w:p>
      <w:pPr>
        <w:pStyle w:val="Para 01"/>
      </w:pPr>
      <w:r>
        <w:t>Update Sequence Number</w:t>
      </w:r>
    </w:p>
    <w:p>
      <w:pPr>
        <w:pStyle w:val="Para 02"/>
      </w:pPr>
      <w:r>
        <w:t>USN is a 64-bit monotonically increasing integer in Windows NTFS file system used by the change journal to log and track file/directory modifications like creations, deletions, renames, or data changes.</w:t>
      </w:r>
    </w:p>
    <w:p>
      <w:pPr>
        <w:pStyle w:val="Para 01"/>
      </w:pPr>
      <w:r>
        <w:t>usr</w:t>
      </w:r>
    </w:p>
    <w:p>
      <w:pPr>
        <w:pStyle w:val="Para 02"/>
      </w:pPr>
      <w:r>
        <w:t>Refers to the /usr/ directory and stands for “Unix System Resources”.</w:t>
      </w:r>
    </w:p>
    <w:p>
      <w:pPr>
        <w:pStyle w:val="Para 01"/>
      </w:pPr>
      <w:r>
        <w:t>UUIDs</w:t>
      </w:r>
    </w:p>
    <w:p>
      <w:pPr>
        <w:pStyle w:val="Para 01"/>
      </w:pPr>
      <w:r>
        <w:t>Universally Unique Identifiers</w:t>
      </w:r>
    </w:p>
    <w:p>
      <w:pPr>
        <w:pStyle w:val="Para 02"/>
      </w:pPr>
      <w:r>
        <w:t>UUIDs are 128-bit numbers (typically represented as 32 hexadecimal digits in groups like 8-4-4-4-12) designed to uniquely identify objects, resources, or entities across sys-tems without requiring a central authority.</w:t>
      </w:r>
    </w:p>
    <w:p>
      <w:bookmarkStart w:id="1127" w:name="page_7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5" name="index-713_1.png" descr="index-713_1.png"/>
            <wp:cNvGraphicFramePr>
              <a:graphicFrameLocks noChangeAspect="1"/>
            </wp:cNvGraphicFramePr>
            <a:graphic>
              <a:graphicData uri="http://schemas.openxmlformats.org/drawingml/2006/picture">
                <pic:pic>
                  <pic:nvPicPr>
                    <pic:cNvPr id="0" name="index-713_1.png" descr="index-713_1.png"/>
                    <pic:cNvPicPr/>
                  </pic:nvPicPr>
                  <pic:blipFill>
                    <a:blip r:embed="rId749"/>
                    <a:stretch>
                      <a:fillRect/>
                    </a:stretch>
                  </pic:blipFill>
                  <pic:spPr>
                    <a:xfrm>
                      <a:off x="0" y="0"/>
                      <a:ext cx="914400" cy="266700"/>
                    </a:xfrm>
                    <a:prstGeom prst="rect">
                      <a:avLst/>
                    </a:prstGeom>
                  </pic:spPr>
                </pic:pic>
              </a:graphicData>
            </a:graphic>
          </wp:anchor>
        </w:drawing>
      </w:r>
      <w:bookmarkEnd w:id="1127"/>
    </w:p>
    <w:p>
      <w:pPr>
        <w:pStyle w:val="Heading 2"/>
      </w:pPr>
      <w:r>
        <w:t>V</w:t>
      </w:r>
    </w:p>
    <w:p>
      <w:pPr>
        <w:pStyle w:val="Para 17"/>
      </w:pPr>
      <w:r>
        <w:t/>
      </w:r>
    </w:p>
    <w:p>
      <w:pPr>
        <w:pStyle w:val="Para 01"/>
      </w:pPr>
      <w:r>
        <w:t>vCPU</w:t>
      </w:r>
    </w:p>
    <w:p>
      <w:pPr>
        <w:pStyle w:val="Para 01"/>
      </w:pPr>
      <w:r>
        <w:t>Virtual Central Processing Unit</w:t>
      </w:r>
    </w:p>
    <w:p>
      <w:pPr>
        <w:pStyle w:val="Para 02"/>
      </w:pPr>
      <w:r>
        <w:t>vCPU is a virtualized processor core allocated to a virtual machine, representing the</w:t>
      </w:r>
    </w:p>
    <w:p>
      <w:pPr>
        <w:pStyle w:val="Para 02"/>
      </w:pPr>
      <w:hyperlink w:anchor="page_714">
        <w:r>
          <w:rPr>
            <w:rStyle w:val="Text2"/>
          </w:rPr>
          <w:t>VM</w:t>
        </w:r>
      </w:hyperlink>
      <w:r>
        <w:t xml:space="preserve">’s share of the physical </w:t>
      </w:r>
      <w:hyperlink w:anchor="page_676">
        <w:r>
          <w:rPr>
            <w:rStyle w:val="Text2"/>
          </w:rPr>
          <w:t>CPU</w:t>
        </w:r>
      </w:hyperlink>
      <w:r>
        <w:t xml:space="preserve"> resources available on the host.</w:t>
      </w:r>
    </w:p>
    <w:p>
      <w:pPr>
        <w:pStyle w:val="Para 01"/>
      </w:pPr>
      <w:r>
        <w:t>VCS</w:t>
      </w:r>
    </w:p>
    <w:p>
      <w:pPr>
        <w:pStyle w:val="Para 01"/>
      </w:pPr>
      <w:r>
        <w:t>Version Control System</w:t>
      </w:r>
    </w:p>
    <w:p>
      <w:pPr>
        <w:pStyle w:val="Para 02"/>
      </w:pPr>
      <w:r>
        <w:t>VCS is a software tool that tracks, manages, and stores changes to files, over time, recording who made the modifications, when, and enabling reversion to prior versions.</w:t>
      </w:r>
    </w:p>
    <w:p>
      <w:pPr>
        <w:pStyle w:val="Para 01"/>
      </w:pPr>
      <w:r>
        <w:t>veth</w:t>
      </w:r>
    </w:p>
    <w:p>
      <w:pPr>
        <w:pStyle w:val="Para 01"/>
      </w:pPr>
      <w:r>
        <w:t>Virtual Ethernet</w:t>
      </w:r>
    </w:p>
    <w:p>
      <w:pPr>
        <w:pStyle w:val="Para 02"/>
      </w:pPr>
      <w:r>
        <w:t>veth is a Linux networking feature that creates a pair of connected virtual network in-terfaces that act like a virtual cable - whatever goes into one end comes out of the other.</w:t>
      </w:r>
    </w:p>
    <w:p>
      <w:pPr>
        <w:pStyle w:val="Para 01"/>
      </w:pPr>
      <w:r>
        <w:t>VFIO</w:t>
      </w:r>
    </w:p>
    <w:p>
      <w:pPr>
        <w:pStyle w:val="Para 01"/>
      </w:pPr>
      <w:r>
        <w:t>Virtual Function I/O</w:t>
      </w:r>
    </w:p>
    <w:p>
      <w:pPr>
        <w:pStyle w:val="Para 02"/>
      </w:pPr>
      <w:r>
        <w:t>VFIO is a Linux kernel framework that allows safe, direct access to physical hardware</w:t>
      </w:r>
    </w:p>
    <w:p>
      <w:pPr>
        <w:pStyle w:val="Para 02"/>
      </w:pPr>
      <w:r>
        <w:t xml:space="preserve">devices (like GPUs, network cards, or storage controllers) from user space or </w:t>
      </w:r>
      <w:hyperlink w:anchor="page_714">
        <w:r>
          <w:rPr>
            <w:rStyle w:val="Text2"/>
          </w:rPr>
          <w:t>VM</w:t>
        </w:r>
      </w:hyperlink>
      <w:r>
        <w:t>, using</w:t>
      </w:r>
    </w:p>
    <w:p>
      <w:pPr>
        <w:pStyle w:val="Para 02"/>
      </w:pPr>
      <w:r>
        <w:t>IOMMU (</w:t>
      </w:r>
      <w:hyperlink w:anchor="page_690">
        <w:r>
          <w:rPr>
            <w:rStyle w:val="Text2"/>
          </w:rPr>
          <w:t>Input-Output Memory Management Unit</w:t>
        </w:r>
      </w:hyperlink>
      <w:r>
        <w:t>) hardware for security and isolation.</w:t>
      </w:r>
    </w:p>
    <w:p>
      <w:pPr>
        <w:pStyle w:val="Para 01"/>
      </w:pPr>
      <w:r>
        <w:t>VFS</w:t>
      </w:r>
    </w:p>
    <w:p>
      <w:pPr>
        <w:pStyle w:val="Para 01"/>
      </w:pPr>
      <w:r>
        <w:t>Virtual File System</w:t>
      </w:r>
    </w:p>
    <w:p>
      <w:pPr>
        <w:pStyle w:val="Para 02"/>
      </w:pPr>
      <w:r>
        <w:t>VFS is a kernel abstraction layer in operating systems like Linux that provides a uniform interface for applications to access diverse underlying file systems without needing to know their specifics.</w:t>
      </w:r>
    </w:p>
    <w:p>
      <w:pPr>
        <w:pStyle w:val="Para 01"/>
      </w:pPr>
      <w:r>
        <w:t>VFs</w:t>
      </w:r>
    </w:p>
    <w:p>
      <w:pPr>
        <w:pStyle w:val="Para 01"/>
      </w:pPr>
      <w:r>
        <w:t>Virtual Functions</w:t>
      </w:r>
    </w:p>
    <w:p>
      <w:pPr>
        <w:pStyle w:val="Para 07"/>
      </w:pPr>
      <w:r>
        <w:t>Work in Progress</w:t>
      </w:r>
    </w:p>
    <w:p>
      <w:pPr>
        <w:pStyle w:val="Para 01"/>
      </w:pPr>
      <w:r>
        <w:t>VG</w:t>
      </w:r>
    </w:p>
    <w:p>
      <w:pPr>
        <w:pStyle w:val="Para 01"/>
      </w:pPr>
      <w:r>
        <w:t>Volume Group</w:t>
      </w:r>
    </w:p>
    <w:p>
      <w:pPr>
        <w:pStyle w:val="Para 02"/>
      </w:pPr>
      <w:r>
        <w:t xml:space="preserve">VG is a key component of LVM </w:t>
      </w:r>
      <w:hyperlink w:anchor="page_694">
        <w:r>
          <w:rPr>
            <w:rStyle w:val="Text1"/>
          </w:rPr>
          <w:t>(</w:t>
        </w:r>
      </w:hyperlink>
      <w:hyperlink w:anchor="page_694">
        <w:r>
          <w:rPr>
            <w:rStyle w:val="Text2"/>
          </w:rPr>
          <w:t>Logical Volume Manager</w:t>
        </w:r>
      </w:hyperlink>
      <w:r>
        <w:t xml:space="preserve"> ), which is a flexible storage management system for Linux. The VG is a pool created from one or more physical volumes (PVs).</w:t>
      </w:r>
    </w:p>
    <w:p>
      <w:pPr>
        <w:pStyle w:val="Para 01"/>
      </w:pPr>
      <w:r>
        <w:t>vGPU</w:t>
      </w:r>
    </w:p>
    <w:p>
      <w:pPr>
        <w:pStyle w:val="Para 01"/>
      </w:pPr>
      <w:r>
        <w:t>Virtual Graphics Processing Unit</w:t>
      </w:r>
    </w:p>
    <w:p>
      <w:pPr>
        <w:pStyle w:val="Para 02"/>
      </w:pPr>
      <w:r>
        <w:t xml:space="preserve">vGPU is a technology that allows a physical </w:t>
      </w:r>
      <w:hyperlink w:anchor="page_686">
        <w:r>
          <w:rPr>
            <w:rStyle w:val="Text2"/>
          </w:rPr>
          <w:t>GPU</w:t>
        </w:r>
      </w:hyperlink>
      <w:r>
        <w:t xml:space="preserve"> to be shared among multiple virtual ma-</w:t>
      </w:r>
    </w:p>
    <w:p>
      <w:pPr>
        <w:pStyle w:val="Para 02"/>
      </w:pPr>
      <w:r>
        <w:t xml:space="preserve">chines, with each </w:t>
      </w:r>
      <w:hyperlink w:anchor="page_714">
        <w:r>
          <w:rPr>
            <w:rStyle w:val="Text2"/>
          </w:rPr>
          <w:t>VM</w:t>
        </w:r>
      </w:hyperlink>
      <w:r>
        <w:t xml:space="preserve"> getting its own portion of GPU resources for graphics rendering, compute tasks, or AI/ML workloads.</w:t>
      </w:r>
    </w:p>
    <w:p>
      <w:pPr>
        <w:pStyle w:val="Para 01"/>
      </w:pPr>
      <w:r>
        <w:t>virsh</w:t>
      </w:r>
    </w:p>
    <w:p>
      <w:pPr>
        <w:pStyle w:val="Para 01"/>
      </w:pPr>
      <w:r>
        <w:t>Virtual Shell</w:t>
      </w:r>
    </w:p>
    <w:p>
      <w:pPr>
        <w:pStyle w:val="Para 02"/>
      </w:pPr>
      <w:r>
        <w:t>virsh refers to ‘/usr/bin/virsh’. It is a command-line program (from the libvirt-clients software package) that lets you create, start, stop, and manage virtual machines on Linux.</w:t>
      </w:r>
    </w:p>
    <w:p>
      <w:pPr>
        <w:pStyle w:val="Para 01"/>
      </w:pPr>
      <w:r>
        <w:t>VirtIO</w:t>
      </w:r>
    </w:p>
    <w:p>
      <w:pPr>
        <w:pStyle w:val="Para 01"/>
      </w:pPr>
      <w:r>
        <w:t>Virtualization I/O</w:t>
      </w:r>
    </w:p>
    <w:p>
      <w:pPr>
        <w:pStyle w:val="Para 02"/>
      </w:pPr>
      <w:r>
        <w:t>VirtIO is a standardized, open-source framework for creating efficient virtual device drivers in virtualized environments. VirtIO is a specification that defines how virtual</w:t>
      </w:r>
    </w:p>
    <w:p>
      <w:bookmarkStart w:id="1128" w:name="page_7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6" name="index-714_1.png" descr="index-714_1.png"/>
            <wp:cNvGraphicFramePr>
              <a:graphicFrameLocks noChangeAspect="1"/>
            </wp:cNvGraphicFramePr>
            <a:graphic>
              <a:graphicData uri="http://schemas.openxmlformats.org/drawingml/2006/picture">
                <pic:pic>
                  <pic:nvPicPr>
                    <pic:cNvPr id="0" name="index-714_1.png" descr="index-714_1.png"/>
                    <pic:cNvPicPr/>
                  </pic:nvPicPr>
                  <pic:blipFill>
                    <a:blip r:embed="rId750"/>
                    <a:stretch>
                      <a:fillRect/>
                    </a:stretch>
                  </pic:blipFill>
                  <pic:spPr>
                    <a:xfrm>
                      <a:off x="0" y="0"/>
                      <a:ext cx="914400" cy="266700"/>
                    </a:xfrm>
                    <a:prstGeom prst="rect">
                      <a:avLst/>
                    </a:prstGeom>
                  </pic:spPr>
                </pic:pic>
              </a:graphicData>
            </a:graphic>
          </wp:anchor>
        </w:drawing>
      </w:r>
      <w:bookmarkEnd w:id="1128"/>
    </w:p>
    <w:p>
      <w:pPr>
        <w:pStyle w:val="Para 02"/>
      </w:pPr>
      <w:r>
        <w:t>machines communicate with the hypervisor for I/O operations (disk, network, etc.) in a more efficient way than emulating real hardware.</w:t>
      </w:r>
    </w:p>
    <w:p>
      <w:pPr>
        <w:pStyle w:val="Para 01"/>
      </w:pPr>
      <w:r>
        <w:t>virtual</w:t>
      </w:r>
    </w:p>
    <w:p>
      <w:pPr>
        <w:pStyle w:val="Para 17"/>
      </w:pPr>
      <w:r>
        <w:t>Virtual refers to something implemented in software or by abstraction rather than be-ing a single, dedicated physical object or device. It behaves as if it were physical (from the user’s or system’s point of view), but it is created and controlled by software.</w:t>
      </w:r>
    </w:p>
    <w:p>
      <w:pPr>
        <w:pStyle w:val="Para 01"/>
      </w:pPr>
      <w:r>
        <w:t>virtualization</w:t>
      </w:r>
    </w:p>
    <w:p>
      <w:pPr>
        <w:pStyle w:val="Para 02"/>
      </w:pPr>
      <w:r>
        <w:t xml:space="preserve">Virtualization is the technology that creates software-based </w:t>
      </w:r>
      <w:hyperlink w:anchor="page_714">
        <w:r>
          <w:rPr>
            <w:rStyle w:val="Text1"/>
          </w:rPr>
          <w:t>(</w:t>
        </w:r>
      </w:hyperlink>
      <w:hyperlink w:anchor="page_714">
        <w:r>
          <w:rPr>
            <w:rStyle w:val="Text2"/>
          </w:rPr>
          <w:t>virtual</w:t>
        </w:r>
      </w:hyperlink>
      <w:r>
        <w:t>) representations of physical computing resources like servers, storage, networks, or operating systems. Virtualization is the fundamental concept of abstracting physical hardware to create multiple simulated environments or dedicated resources from a single physical system.</w:t>
      </w:r>
    </w:p>
    <w:p>
      <w:pPr>
        <w:pStyle w:val="Para 01"/>
      </w:pPr>
      <w:r>
        <w:t>VLAN</w:t>
      </w:r>
    </w:p>
    <w:p>
      <w:pPr>
        <w:pStyle w:val="Para 01"/>
      </w:pPr>
      <w:r>
        <w:t>Virtual Local Area Network</w:t>
      </w:r>
    </w:p>
    <w:p>
      <w:pPr>
        <w:pStyle w:val="Para 02"/>
      </w:pPr>
      <w:r>
        <w:t>VLAN is a way to split one physical network (like a switch or group of switches) into multiple, separate logical networks at Layer 2. Each VLAN is its own broadcast domain. In other words, devices in different VLANs are isolated unless a router or Layer 3 switch is used between them.</w:t>
      </w:r>
    </w:p>
    <w:p>
      <w:pPr>
        <w:pStyle w:val="Para 01"/>
      </w:pPr>
      <w:r>
        <w:t>VM</w:t>
      </w:r>
    </w:p>
    <w:p>
      <w:pPr>
        <w:pStyle w:val="Para 01"/>
      </w:pPr>
      <w:r>
        <w:t>Virtual Machine</w:t>
      </w:r>
    </w:p>
    <w:p>
      <w:pPr>
        <w:pStyle w:val="Para 02"/>
      </w:pPr>
      <w:r>
        <w:t>VM is a software-based emulation of a physical computer that runs an operating sys-tem and applications just like a real computer, but it exists as a file or set of files on a host system. A hypervisor creates and manages the VMs by allocating portions of the</w:t>
      </w:r>
    </w:p>
    <w:p>
      <w:pPr>
        <w:pStyle w:val="Para 02"/>
      </w:pPr>
      <w:r>
        <w:t xml:space="preserve">physical hardware </w:t>
      </w:r>
      <w:hyperlink w:anchor="page_676">
        <w:r>
          <w:rPr>
            <w:rStyle w:val="Text1"/>
          </w:rPr>
          <w:t>(</w:t>
        </w:r>
      </w:hyperlink>
      <w:hyperlink w:anchor="page_676">
        <w:r>
          <w:rPr>
            <w:rStyle w:val="Text2"/>
          </w:rPr>
          <w:t>CPU</w:t>
        </w:r>
      </w:hyperlink>
      <w:r>
        <w:t xml:space="preserve"> , </w:t>
      </w:r>
      <w:hyperlink w:anchor="page_702">
        <w:r>
          <w:rPr>
            <w:rStyle w:val="Text2"/>
          </w:rPr>
          <w:t>RAM</w:t>
        </w:r>
      </w:hyperlink>
      <w:r>
        <w:t>, storage, network) to each virtual machine. Each VM is isolated and thinks it has its own dedicated hardware.</w:t>
      </w:r>
    </w:p>
    <w:p>
      <w:pPr>
        <w:pStyle w:val="Para 01"/>
      </w:pPr>
      <w:r>
        <w:t>VNC</w:t>
      </w:r>
    </w:p>
    <w:p>
      <w:pPr>
        <w:pStyle w:val="Para 01"/>
      </w:pPr>
      <w:r>
        <w:t>Virtual Network Computing</w:t>
      </w:r>
    </w:p>
    <w:p>
      <w:pPr>
        <w:pStyle w:val="Para 02"/>
      </w:pPr>
      <w:r>
        <w:t>VNC is a system for remotely viewing and controlling another computer’s graphical desktop over a network. VNC uses the remote frame buffer (RFB) to send screen up-dates from the remote machine and to receive keyboard and mouse input from the local machine.</w:t>
      </w:r>
    </w:p>
    <w:p>
      <w:pPr>
        <w:pStyle w:val="Para 01"/>
      </w:pPr>
      <w:r>
        <w:t>VPN</w:t>
      </w:r>
    </w:p>
    <w:p>
      <w:pPr>
        <w:pStyle w:val="Para 01"/>
      </w:pPr>
      <w:r>
        <w:t>Virtual Private Network</w:t>
      </w:r>
    </w:p>
    <w:p>
      <w:pPr>
        <w:pStyle w:val="Para 02"/>
      </w:pPr>
      <w:r>
        <w:t>VPN is a technology that creates an encrypted “tunnel” over a public network, such as the internet, so that devices may communicate as if they were in a private network. It</w:t>
      </w:r>
    </w:p>
    <w:p>
      <w:pPr>
        <w:pStyle w:val="Para 02"/>
      </w:pPr>
      <w:r>
        <w:t xml:space="preserve">hides or masks your real </w:t>
      </w:r>
      <w:hyperlink w:anchor="page_690">
        <w:r>
          <w:rPr>
            <w:rStyle w:val="Text2"/>
          </w:rPr>
          <w:t>IP</w:t>
        </w:r>
      </w:hyperlink>
      <w:r>
        <w:t xml:space="preserve"> address and protects the data that travels between your device and the VPN end point.</w:t>
      </w:r>
    </w:p>
    <w:p>
      <w:pPr>
        <w:pStyle w:val="Para 01"/>
      </w:pPr>
      <w:r>
        <w:t>VRRP</w:t>
      </w:r>
    </w:p>
    <w:p>
      <w:pPr>
        <w:pStyle w:val="Para 01"/>
      </w:pPr>
      <w:r>
        <w:t>Virtual Router Redundancy Protocol</w:t>
      </w:r>
    </w:p>
    <w:p>
      <w:pPr>
        <w:pStyle w:val="Para 02"/>
      </w:pPr>
      <w:r>
        <w:t>VRRP is a standard first-hop redundancy protocol that keeps a LAN’s default gateway highly available. In other words, the VRRP is a router that lets multiple routers on the same subnet work together as a single “virtual” router with one shared IP or MAC ad-dress, so if one fails another can take over with minimal disruption, without changing host settings.</w:t>
      </w:r>
    </w:p>
    <w:p>
      <w:pPr>
        <w:pStyle w:val="Para 01"/>
      </w:pPr>
      <w:r>
        <w:t>vsftpd</w:t>
      </w:r>
    </w:p>
    <w:p>
      <w:pPr>
        <w:pStyle w:val="Para 01"/>
      </w:pPr>
      <w:r>
        <w:t>Very Secure FTP Daemon</w:t>
      </w:r>
    </w:p>
    <w:p>
      <w:pPr>
        <w:pStyle w:val="Para 02"/>
      </w:pPr>
      <w:r>
        <w:t>vsftpd is an FTP (File Transfer Protocol) server software for Unix-like systems (Linux, BSD) that is designed with security, performance, and stability as top priorities.</w:t>
      </w:r>
    </w:p>
    <w:p>
      <w:bookmarkStart w:id="1129" w:name="page_7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7" name="index-715_1.png" descr="index-715_1.png"/>
            <wp:cNvGraphicFramePr>
              <a:graphicFrameLocks noChangeAspect="1"/>
            </wp:cNvGraphicFramePr>
            <a:graphic>
              <a:graphicData uri="http://schemas.openxmlformats.org/drawingml/2006/picture">
                <pic:pic>
                  <pic:nvPicPr>
                    <pic:cNvPr id="0" name="index-715_1.png" descr="index-715_1.png"/>
                    <pic:cNvPicPr/>
                  </pic:nvPicPr>
                  <pic:blipFill>
                    <a:blip r:embed="rId751"/>
                    <a:stretch>
                      <a:fillRect/>
                    </a:stretch>
                  </pic:blipFill>
                  <pic:spPr>
                    <a:xfrm>
                      <a:off x="0" y="0"/>
                      <a:ext cx="914400" cy="266700"/>
                    </a:xfrm>
                    <a:prstGeom prst="rect">
                      <a:avLst/>
                    </a:prstGeom>
                  </pic:spPr>
                </pic:pic>
              </a:graphicData>
            </a:graphic>
          </wp:anchor>
        </w:drawing>
      </w:r>
      <w:bookmarkEnd w:id="1129"/>
    </w:p>
    <w:p>
      <w:bookmarkStart w:id="1130" w:name="W"/>
      <w:bookmarkStart w:id="1131" w:name="Top_of_index_split_208_html"/>
      <w:pPr>
        <w:pStyle w:val="Heading 1"/>
        <w:pageBreakBefore w:val="on"/>
      </w:pPr>
      <w:r>
        <w:t>W</w:t>
      </w:r>
      <w:bookmarkEnd w:id="1130"/>
      <w:bookmarkEnd w:id="1131"/>
    </w:p>
    <w:p>
      <w:pPr>
        <w:pStyle w:val="Para 17"/>
      </w:pPr>
      <w:r>
        <w:t/>
      </w:r>
    </w:p>
    <w:p>
      <w:pPr>
        <w:pStyle w:val="Para 01"/>
      </w:pPr>
      <w:r>
        <w:t>WAL</w:t>
      </w:r>
    </w:p>
    <w:p>
      <w:pPr>
        <w:pStyle w:val="Para 01"/>
      </w:pPr>
      <w:r>
        <w:t>Write-Ahead Log</w:t>
      </w:r>
    </w:p>
    <w:p>
      <w:pPr>
        <w:pStyle w:val="Para 02"/>
      </w:pPr>
      <w:r>
        <w:t>WAL is a fundamental technique used in databases and storage systems to ensure data durability and consistency. The basic principle is simple: Write what you are going to do before you do it, so if things go wrong you can always know what was happening. In other words, before any changes are made to the actual database files, the system first writes a record of what it is about to do to a sequential log file. If the system crashes mid-operation, it can replay the log during recovery to complete interrupted operations or roll them back.</w:t>
      </w:r>
    </w:p>
    <w:p>
      <w:pPr>
        <w:pStyle w:val="Para 01"/>
      </w:pPr>
      <w:r>
        <w:t>WAN</w:t>
      </w:r>
    </w:p>
    <w:p>
      <w:pPr>
        <w:pStyle w:val="Para 01"/>
      </w:pPr>
      <w:r>
        <w:t>Wide Area Network</w:t>
      </w:r>
    </w:p>
    <w:p>
      <w:pPr>
        <w:pStyle w:val="Para 02"/>
      </w:pPr>
      <w:r>
        <w:t>WAN is a telecommunications network that extends over a large geographical area, typ-ically connecting multiple smaller networks (like LANs) across cities, countries, or even continents.</w:t>
      </w:r>
    </w:p>
    <w:p>
      <w:pPr>
        <w:pStyle w:val="Para 01"/>
      </w:pPr>
      <w:r>
        <w:t>WCCP</w:t>
      </w:r>
    </w:p>
    <w:p>
      <w:pPr>
        <w:pStyle w:val="Para 01"/>
      </w:pPr>
      <w:r>
        <w:t>Web Cache Communication Protocol</w:t>
      </w:r>
    </w:p>
    <w:p>
      <w:pPr>
        <w:pStyle w:val="Para 02"/>
      </w:pPr>
      <w:r>
        <w:t>WCCP is a Cisco-developed protocol used to transparently redirect network traffic (of-ten web traffic) from routers or switches to caching or proxy devices. It is mainly used to improve performance, enable content filtering, and provide load balancing and fault tolerance for web or proxy services.</w:t>
      </w:r>
    </w:p>
    <w:p>
      <w:pPr>
        <w:pStyle w:val="Para 01"/>
      </w:pPr>
      <w:r>
        <w:t>Web server</w:t>
      </w:r>
    </w:p>
    <w:p>
      <w:pPr>
        <w:pStyle w:val="Para 02"/>
      </w:pPr>
      <w:r>
        <w:t>A web server is software (and sometimes the hardware it runs on) that serves web con-tent to clients over the internet or an intranet using HTTP/HTTPS protocols.</w:t>
      </w:r>
    </w:p>
    <w:p>
      <w:pPr>
        <w:pStyle w:val="Para 01"/>
      </w:pPr>
      <w:r>
        <w:t>winbind</w:t>
      </w:r>
    </w:p>
    <w:p>
      <w:pPr>
        <w:pStyle w:val="Para 01"/>
      </w:pPr>
      <w:r>
        <w:t>Windows Bind</w:t>
      </w:r>
    </w:p>
    <w:p>
      <w:pPr>
        <w:pStyle w:val="Para 02"/>
      </w:pPr>
      <w:r>
        <w:t xml:space="preserve">winbind is a component of </w:t>
      </w:r>
      <w:hyperlink w:anchor="page_703">
        <w:r>
          <w:rPr>
            <w:rStyle w:val="Text2"/>
          </w:rPr>
          <w:t>Samba</w:t>
        </w:r>
      </w:hyperlink>
      <w:r>
        <w:t xml:space="preserve"> on Linux/UNIX systems that lets those systems use</w:t>
      </w:r>
    </w:p>
    <w:p>
      <w:pPr>
        <w:pStyle w:val="Para 02"/>
      </w:pPr>
      <w:r>
        <w:t xml:space="preserve">accounts from an </w:t>
      </w:r>
      <w:hyperlink w:anchor="page_668">
        <w:r>
          <w:rPr>
            <w:rStyle w:val="Text2"/>
          </w:rPr>
          <w:t>AD</w:t>
        </w:r>
      </w:hyperlink>
      <w:r>
        <w:t xml:space="preserve"> domain for logins and identity information. winbind makes a Linux machine “look like” a Windows client to AD, so the AD users and groups can log in to Linux and be resolved just like local Unix accounts.</w:t>
      </w:r>
    </w:p>
    <w:p>
      <w:pPr>
        <w:pStyle w:val="Para 01"/>
      </w:pPr>
      <w:r>
        <w:t>WireGuard</w:t>
      </w:r>
    </w:p>
    <w:p>
      <w:pPr>
        <w:pStyle w:val="Para 17"/>
      </w:pPr>
      <w:r>
        <w:t xml:space="preserve">WireGuard is a modern, open-source </w:t>
      </w:r>
      <w:hyperlink w:anchor="page_714">
        <w:r>
          <w:rPr>
            <w:rStyle w:val="Text2"/>
          </w:rPr>
          <w:t>VPN</w:t>
        </w:r>
      </w:hyperlink>
      <w:r>
        <w:t xml:space="preserve"> protocol designed to create fast, secure, and simple encrypted tunnels between devices. It is now built into the Linux kernel and widely used by VPN providers because of its performance and small codebase.</w:t>
      </w:r>
    </w:p>
    <w:p>
      <w:pPr>
        <w:pStyle w:val="Para 01"/>
      </w:pPr>
      <w:r>
        <w:t>WLAN</w:t>
      </w:r>
    </w:p>
    <w:p>
      <w:pPr>
        <w:pStyle w:val="Para 01"/>
      </w:pPr>
      <w:r>
        <w:t>Wireless Local Area Network</w:t>
      </w:r>
    </w:p>
    <w:p>
      <w:pPr>
        <w:pStyle w:val="Para 02"/>
      </w:pPr>
      <w:r>
        <w:t>WLAN is a local area network that uses wireless communication (typically Wi-Fi) instead of physical cables to connect devices within a limited area.</w:t>
      </w:r>
    </w:p>
    <w:p>
      <w:pPr>
        <w:pStyle w:val="Para 01"/>
      </w:pPr>
      <w:r>
        <w:t>WSGI</w:t>
      </w:r>
    </w:p>
    <w:p>
      <w:pPr>
        <w:pStyle w:val="Para 01"/>
      </w:pPr>
      <w:r>
        <w:t>Web Server Gateway Interface</w:t>
      </w:r>
    </w:p>
    <w:p>
      <w:pPr>
        <w:pStyle w:val="Para 02"/>
      </w:pPr>
      <w:r>
        <w:t>WSGI is a specification that defines a standard interface between web servers and Python web applications or frameworks, creating portability and flexibility. It is a uni-versal translator that allows any WSGI-compliant web server to communicate with any WSGI-compliant Python application.</w:t>
      </w:r>
    </w:p>
    <w:p>
      <w:pPr>
        <w:pStyle w:val="Para 01"/>
      </w:pPr>
      <w:r>
        <w:t>WWID</w:t>
      </w:r>
    </w:p>
    <w:p>
      <w:pPr>
        <w:pStyle w:val="Para 01"/>
      </w:pPr>
      <w:r>
        <w:t>World Wide Identifier</w:t>
      </w:r>
    </w:p>
    <w:p>
      <w:bookmarkStart w:id="1132" w:name="page_7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8" name="index-716_1.png" descr="index-716_1.png"/>
            <wp:cNvGraphicFramePr>
              <a:graphicFrameLocks noChangeAspect="1"/>
            </wp:cNvGraphicFramePr>
            <a:graphic>
              <a:graphicData uri="http://schemas.openxmlformats.org/drawingml/2006/picture">
                <pic:pic>
                  <pic:nvPicPr>
                    <pic:cNvPr id="0" name="index-716_1.png" descr="index-716_1.png"/>
                    <pic:cNvPicPr/>
                  </pic:nvPicPr>
                  <pic:blipFill>
                    <a:blip r:embed="rId752"/>
                    <a:stretch>
                      <a:fillRect/>
                    </a:stretch>
                  </pic:blipFill>
                  <pic:spPr>
                    <a:xfrm>
                      <a:off x="0" y="0"/>
                      <a:ext cx="914400" cy="266700"/>
                    </a:xfrm>
                    <a:prstGeom prst="rect">
                      <a:avLst/>
                    </a:prstGeom>
                  </pic:spPr>
                </pic:pic>
              </a:graphicData>
            </a:graphic>
          </wp:anchor>
        </w:drawing>
      </w:r>
      <w:bookmarkEnd w:id="1132"/>
    </w:p>
    <w:p>
      <w:pPr>
        <w:pStyle w:val="Para 02"/>
      </w:pPr>
      <w:r>
        <w:t>WWID is a globally unique ID, long numeric/hex value, burned into or associated with</w:t>
      </w:r>
    </w:p>
    <w:p>
      <w:pPr>
        <w:pStyle w:val="Para 02"/>
      </w:pPr>
      <w:r>
        <w:t xml:space="preserve">a storage device like a disk or </w:t>
      </w:r>
      <w:hyperlink w:anchor="page_694">
        <w:r>
          <w:rPr>
            <w:rStyle w:val="Text2"/>
          </w:rPr>
          <w:t>LUN</w:t>
        </w:r>
      </w:hyperlink>
      <w:r>
        <w:t xml:space="preserve"> , so the system can recognize that device reliably, regardless of which cable, port, or path it is attached through.</w:t>
      </w:r>
    </w:p>
    <w:p>
      <w:pPr>
        <w:pStyle w:val="Para 17"/>
      </w:pPr>
      <w:r>
        <w:t/>
      </w:r>
    </w:p>
    <w:p>
      <w:pPr>
        <w:pStyle w:val="Heading 2"/>
      </w:pPr>
      <w:r>
        <w:t>X</w:t>
      </w:r>
    </w:p>
    <w:p>
      <w:pPr>
        <w:pStyle w:val="Para 17"/>
      </w:pPr>
      <w:r>
        <w:t/>
      </w:r>
    </w:p>
    <w:p>
      <w:pPr>
        <w:pStyle w:val="Para 01"/>
      </w:pPr>
      <w:r>
        <w:t>X.509</w:t>
      </w:r>
    </w:p>
    <w:p>
      <w:pPr>
        <w:pStyle w:val="Para 02"/>
      </w:pPr>
      <w:r>
        <w:t>X.509 is a standard format for public key certificates used in cryptography and network security. It is a digital certificate that binds a public key to an identity (like a website,</w:t>
      </w:r>
    </w:p>
    <w:p>
      <w:pPr>
        <w:pStyle w:val="Para 02"/>
      </w:pPr>
      <w:r>
        <w:t xml:space="preserve">person, or organization). X.509 is signed by a trusted </w:t>
      </w:r>
      <w:hyperlink w:anchor="page_675">
        <w:r>
          <w:rPr>
            <w:rStyle w:val="Text2"/>
          </w:rPr>
          <w:t>Certificate Authority</w:t>
        </w:r>
      </w:hyperlink>
      <w:r>
        <w:t xml:space="preserve"> to verify au-thenticity.</w:t>
      </w:r>
    </w:p>
    <w:p>
      <w:pPr>
        <w:pStyle w:val="Para 01"/>
      </w:pPr>
      <w:r>
        <w:t>xhtml</w:t>
      </w:r>
    </w:p>
    <w:p>
      <w:pPr>
        <w:pStyle w:val="Para 01"/>
      </w:pPr>
      <w:r>
        <w:t>Extensible HyperText Markup Language</w:t>
      </w:r>
    </w:p>
    <w:p>
      <w:pPr>
        <w:pStyle w:val="Para 02"/>
      </w:pPr>
      <w:r>
        <w:t>xhtml is a stricter HTML language. It reformulates HTML as XML by combining HTML elements with XML’s strict syntax rules, so documents are well-formed, more consistent across browsers, and easier to process with XML tools.</w:t>
      </w:r>
    </w:p>
    <w:p>
      <w:pPr>
        <w:pStyle w:val="Para 01"/>
      </w:pPr>
      <w:r>
        <w:t>XML</w:t>
      </w:r>
    </w:p>
    <w:p>
      <w:pPr>
        <w:pStyle w:val="Para 01"/>
      </w:pPr>
      <w:r>
        <w:t>Extensible Markup Language</w:t>
      </w:r>
    </w:p>
    <w:p>
      <w:pPr>
        <w:pStyle w:val="Para 02"/>
      </w:pPr>
      <w:r>
        <w:t>XML is a markup language designed to store and transport data in a format that is both human and machine readable. Unlike HTML which focuses on displaying data, XML fo-cuses on describing and structuring data.</w:t>
      </w:r>
    </w:p>
    <w:p>
      <w:pPr>
        <w:pStyle w:val="Para 17"/>
      </w:pPr>
      <w:r>
        <w:t/>
      </w:r>
    </w:p>
    <w:p>
      <w:pPr>
        <w:pStyle w:val="Para 01"/>
      </w:pPr>
      <w:r>
        <w:t>Y</w:t>
      </w:r>
    </w:p>
    <w:p>
      <w:pPr>
        <w:pStyle w:val="Para 17"/>
      </w:pPr>
      <w:r>
        <w:t/>
      </w:r>
    </w:p>
    <w:p>
      <w:pPr>
        <w:pStyle w:val="Para 01"/>
      </w:pPr>
      <w:r>
        <w:t>YAML</w:t>
      </w:r>
    </w:p>
    <w:p>
      <w:pPr>
        <w:pStyle w:val="Para 01"/>
      </w:pPr>
      <w:r>
        <w:t>YAML Ain’t Markup Language</w:t>
      </w:r>
    </w:p>
    <w:p>
      <w:pPr>
        <w:pStyle w:val="Para 02"/>
      </w:pPr>
      <w:r>
        <w:t>YAML is a data serialization language used mainly for configuration files and structured data exchange between programmes. YAML represents data as key-value pairs, lists, and nested structures, using indentation instead of brackets or tags, to show hierarchy.</w:t>
      </w:r>
    </w:p>
    <w:p>
      <w:pPr>
        <w:pStyle w:val="Para 01"/>
      </w:pPr>
      <w:r>
        <w:t>Yubikey</w:t>
      </w:r>
    </w:p>
    <w:p>
      <w:pPr>
        <w:pStyle w:val="Para 02"/>
      </w:pPr>
      <w:r>
        <w:t>A YubiKey is a physical security key made by Yubico that provides hardware-based au-thentication for securing access to computers, networks, and online services. It is a small USB device (about the size of a USB stick) that acts as a second factor for two-factor authentication (2FA) or multi-factor authentication (MFA).</w:t>
      </w:r>
    </w:p>
    <w:p>
      <w:pPr>
        <w:pStyle w:val="Para 17"/>
      </w:pPr>
      <w:r>
        <w:t/>
      </w:r>
    </w:p>
    <w:p>
      <w:pPr>
        <w:pStyle w:val="Para 01"/>
      </w:pPr>
      <w:r>
        <w:t>Z</w:t>
      </w:r>
    </w:p>
    <w:p>
      <w:pPr>
        <w:pStyle w:val="Para 17"/>
      </w:pPr>
      <w:r>
        <w:t/>
      </w:r>
    </w:p>
    <w:p>
      <w:pPr>
        <w:pStyle w:val="Para 01"/>
      </w:pPr>
      <w:r>
        <w:t>zFCP</w:t>
      </w:r>
    </w:p>
    <w:p>
      <w:pPr>
        <w:pStyle w:val="Para 01"/>
      </w:pPr>
      <w:r>
        <w:t>zSeries Fibre Channel Protocol</w:t>
      </w:r>
    </w:p>
    <w:p>
      <w:pPr>
        <w:pStyle w:val="Para 02"/>
      </w:pPr>
      <w:r>
        <w:t>zFCP is a Linux device driver that enables IBM Z mainframes (formerly System z) to ac-</w:t>
      </w:r>
    </w:p>
    <w:p>
      <w:pPr>
        <w:pStyle w:val="Para 02"/>
      </w:pPr>
      <w:r>
        <w:t xml:space="preserve">cess storage devices over a Fibre Channel network using the </w:t>
      </w:r>
      <w:hyperlink w:anchor="page_705">
        <w:r>
          <w:rPr>
            <w:rStyle w:val="Text2"/>
          </w:rPr>
          <w:t>SCSI</w:t>
        </w:r>
      </w:hyperlink>
      <w:r>
        <w:t xml:space="preserve"> protocol.</w:t>
      </w:r>
    </w:p>
    <w:p>
      <w:pPr>
        <w:pStyle w:val="Para 01"/>
      </w:pPr>
      <w:r>
        <w:t>ZFS</w:t>
      </w:r>
    </w:p>
    <w:p>
      <w:pPr>
        <w:pStyle w:val="Para 01"/>
      </w:pPr>
      <w:r>
        <w:t>Zettabyte File System</w:t>
      </w:r>
    </w:p>
    <w:p>
      <w:pPr>
        <w:pStyle w:val="Para 02"/>
      </w:pPr>
      <w:r>
        <w:t>ZFS is an advanced 64-bit file system that also includes its own built-in volume man-ager. It is designed for high-capacity and reliable storage. It is known for its strong data-integrity features, easy pooling of disks, and convenient features like snapshots, compression, and built in RAID (RAID-Z).</w:t>
      </w:r>
    </w:p>
    <w:p>
      <w:bookmarkStart w:id="1133" w:name="page_7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49" name="index-717_1.png" descr="index-717_1.png"/>
            <wp:cNvGraphicFramePr>
              <a:graphicFrameLocks noChangeAspect="1"/>
            </wp:cNvGraphicFramePr>
            <a:graphic>
              <a:graphicData uri="http://schemas.openxmlformats.org/drawingml/2006/picture">
                <pic:pic>
                  <pic:nvPicPr>
                    <pic:cNvPr id="0" name="index-717_1.png" descr="index-717_1.png"/>
                    <pic:cNvPicPr/>
                  </pic:nvPicPr>
                  <pic:blipFill>
                    <a:blip r:embed="rId753"/>
                    <a:stretch>
                      <a:fillRect/>
                    </a:stretch>
                  </pic:blipFill>
                  <pic:spPr>
                    <a:xfrm>
                      <a:off x="0" y="0"/>
                      <a:ext cx="914400" cy="266700"/>
                    </a:xfrm>
                    <a:prstGeom prst="rect">
                      <a:avLst/>
                    </a:prstGeom>
                  </pic:spPr>
                </pic:pic>
              </a:graphicData>
            </a:graphic>
          </wp:anchor>
        </w:drawing>
      </w:r>
      <w:bookmarkEnd w:id="1133"/>
    </w:p>
    <w:p>
      <w:pPr>
        <w:pStyle w:val="Para 01"/>
      </w:pPr>
      <w:r>
        <w:t>z/VM</w:t>
      </w:r>
    </w:p>
    <w:p>
      <w:pPr>
        <w:pStyle w:val="Para 02"/>
      </w:pPr>
      <w:r>
        <w:t>z/VM is IBM’s virtualization operating system for their mainframe computers (IBM Z sys-tems, formerly known as System z). z/VM is a hypervisor that allows multiple operating systems to run simultaneously on a single mainframe, effectively turning one physical machine into many virtual machines.</w:t>
      </w:r>
    </w:p>
    <w:p>
      <w:pPr>
        <w:pStyle w:val="Para 24"/>
      </w:pPr>
      <w:r>
        <w:t>3.3.2. Command-line cheat sheet</w:t>
      </w:r>
    </w:p>
    <w:p>
      <w:pPr>
        <w:pStyle w:val="Normal"/>
      </w:pPr>
      <w:r>
        <w:t>This page lists the most common commands in the Ubuntu command line. For full details on any command, run man &lt;command&gt; in your terminal.</w:t>
      </w:r>
    </w:p>
    <w:p>
      <w:pPr>
        <w:pStyle w:val="Para 17"/>
      </w:pPr>
      <w:r>
        <w:t/>
      </w:r>
    </w:p>
    <w:p>
      <w:pPr>
        <w:pStyle w:val="Para 01"/>
      </w:pPr>
      <w:r>
        <w:t>Navigation</w:t>
      </w:r>
    </w:p>
    <w:p>
      <w:pPr>
        <w:pStyle w:val="Para 17"/>
      </w:pPr>
      <w:r>
        <w:t/>
      </w:r>
    </w:p>
    <w:p>
      <w:pPr>
        <w:pStyle w:val="Para 02"/>
      </w:pPr>
      <w:r>
        <w:t>Command Description</w:t>
      </w:r>
    </w:p>
    <w:p>
      <w:pPr>
        <w:pStyle w:val="Para 02"/>
      </w:pPr>
      <w:r>
        <w:t>pwd Print the current working directory</w:t>
      </w:r>
    </w:p>
    <w:p>
      <w:pPr>
        <w:pStyle w:val="Para 02"/>
      </w:pPr>
      <w:r>
        <w:t>ls List all files and directories in the current directory</w:t>
      </w:r>
    </w:p>
    <w:p>
      <w:pPr>
        <w:pStyle w:val="Para 02"/>
      </w:pPr>
      <w:r>
        <w:t>ls -l Long list, with permissions, owner, size, and date</w:t>
      </w:r>
    </w:p>
    <w:p>
      <w:pPr>
        <w:pStyle w:val="Para 02"/>
      </w:pPr>
      <w:r>
        <w:t>ls -a List all, including hidden files (file names starting with .)</w:t>
      </w:r>
    </w:p>
    <w:p>
      <w:pPr>
        <w:pStyle w:val="Para 02"/>
      </w:pPr>
      <w:r>
        <w:t>ls -la Long listing including hidden files</w:t>
      </w:r>
    </w:p>
    <w:p>
      <w:pPr>
        <w:pStyle w:val="Para 02"/>
      </w:pPr>
      <w:r>
        <w:t>ls -ld &lt;dir&gt; Show the directory entry itself, not its contents, for directory &lt;dir&gt;</w:t>
      </w:r>
    </w:p>
    <w:p>
      <w:pPr>
        <w:pStyle w:val="Para 02"/>
      </w:pPr>
      <w:r>
        <w:t>ls -l &lt;file&gt; Show file type, permissions, owner, and size for &lt;file&gt;</w:t>
      </w:r>
    </w:p>
    <w:p>
      <w:pPr>
        <w:pStyle w:val="Para 02"/>
      </w:pPr>
      <w:r>
        <w:t>cd &lt;path&gt; Change to the specified directory</w:t>
      </w:r>
    </w:p>
    <w:p>
      <w:pPr>
        <w:pStyle w:val="Para 02"/>
      </w:pPr>
      <w:r>
        <w:t>cd .. Move up to the parent directory</w:t>
      </w:r>
    </w:p>
    <w:p>
      <w:pPr>
        <w:pStyle w:val="Para 02"/>
      </w:pPr>
      <w:r>
        <w:t>cd ~ Return to the home directory</w:t>
      </w:r>
    </w:p>
    <w:p>
      <w:pPr>
        <w:pStyle w:val="Para 02"/>
      </w:pPr>
      <w:r>
        <w:t>cd - Return to the previous directory</w:t>
      </w:r>
    </w:p>
    <w:p>
      <w:pPr>
        <w:pStyle w:val="Para 02"/>
      </w:pPr>
      <w:r>
        <w:t>cd / Move to the root directory</w:t>
      </w:r>
    </w:p>
    <w:p>
      <w:pPr>
        <w:pStyle w:val="Para 02"/>
      </w:pPr>
      <w:r>
        <w:t>cd ../../ Move up two levels at once</w:t>
      </w:r>
    </w:p>
    <w:p>
      <w:pPr>
        <w:pStyle w:val="Para 17"/>
      </w:pPr>
      <w:r>
        <w:t/>
      </w:r>
    </w:p>
    <w:p>
      <w:pPr>
        <w:pStyle w:val="Para 01"/>
      </w:pPr>
      <w:r>
        <w:t>Working with the filesystem</w:t>
      </w:r>
    </w:p>
    <w:p>
      <w:pPr>
        <w:pStyle w:val="Para 17"/>
      </w:pPr>
      <w:r>
        <w:t/>
      </w:r>
    </w:p>
    <w:p>
      <w:pPr>
        <w:pStyle w:val="Para 15"/>
      </w:pPr>
      <w:r>
        <w:t>Command Description</w:t>
      </w:r>
    </w:p>
    <w:p>
      <w:pPr>
        <w:pStyle w:val="Para 15"/>
      </w:pPr>
      <w:r>
        <w:t>mkdir &lt;name&gt; Create a new directory</w:t>
      </w:r>
    </w:p>
    <w:p>
      <w:pPr>
        <w:pStyle w:val="Para 15"/>
      </w:pPr>
      <w:r>
        <w:t>rmdir &lt;name&gt; Remove an empty directory</w:t>
      </w:r>
    </w:p>
    <w:p>
      <w:pPr>
        <w:pStyle w:val="Para 15"/>
      </w:pPr>
      <w:r>
        <w:t>tree Display directory structure as a tree</w:t>
      </w:r>
    </w:p>
    <w:p>
      <w:pPr>
        <w:pStyle w:val="Para 15"/>
      </w:pPr>
      <w:r>
        <w:t xml:space="preserve">tree -L &lt;n&gt; &lt;path&gt; Display tree to depth n </w:t>
      </w:r>
      <w:r>
        <w:rPr>
          <w:rStyle w:val="Text0"/>
        </w:rPr>
        <w:t>Working with files</w:t>
      </w:r>
    </w:p>
    <w:p>
      <w:bookmarkStart w:id="1134" w:name="page_7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0" name="index-718_1.png" descr="index-718_1.png"/>
            <wp:cNvGraphicFramePr>
              <a:graphicFrameLocks noChangeAspect="1"/>
            </wp:cNvGraphicFramePr>
            <a:graphic>
              <a:graphicData uri="http://schemas.openxmlformats.org/drawingml/2006/picture">
                <pic:pic>
                  <pic:nvPicPr>
                    <pic:cNvPr id="0" name="index-718_1.png" descr="index-718_1.png"/>
                    <pic:cNvPicPr/>
                  </pic:nvPicPr>
                  <pic:blipFill>
                    <a:blip r:embed="rId754"/>
                    <a:stretch>
                      <a:fillRect/>
                    </a:stretch>
                  </pic:blipFill>
                  <pic:spPr>
                    <a:xfrm>
                      <a:off x="0" y="0"/>
                      <a:ext cx="914400" cy="266700"/>
                    </a:xfrm>
                    <a:prstGeom prst="rect">
                      <a:avLst/>
                    </a:prstGeom>
                  </pic:spPr>
                </pic:pic>
              </a:graphicData>
            </a:graphic>
          </wp:anchor>
        </w:drawing>
      </w:r>
      <w:bookmarkEnd w:id="1134"/>
    </w:p>
    <w:p>
      <w:pPr>
        <w:pStyle w:val="Para 17"/>
      </w:pPr>
      <w:r>
        <w:t/>
      </w:r>
    </w:p>
    <w:p>
      <w:pPr>
        <w:pStyle w:val="Normal"/>
      </w:pPr>
      <w:r>
        <w:t>Command Description</w:t>
      </w:r>
    </w:p>
    <w:p>
      <w:pPr>
        <w:pStyle w:val="Para 03"/>
      </w:pPr>
      <w:r>
        <w:t xml:space="preserve">touch &lt;file&gt; </w:t>
        <w:t>Create a new (empty) file, or update the timestamp of an existing</w:t>
      </w:r>
    </w:p>
    <w:p>
      <w:pPr>
        <w:pStyle w:val="Para 36"/>
      </w:pPr>
      <w:r>
        <w:t>file</w:t>
      </w:r>
    </w:p>
    <w:p>
      <w:pPr>
        <w:pStyle w:val="Para 03"/>
      </w:pPr>
      <w:r>
        <w:t>cp &lt;src&gt; &lt;dest&gt; Copy a file from a source (src) to a new destination (dest)</w:t>
      </w:r>
    </w:p>
    <w:p>
      <w:pPr>
        <w:pStyle w:val="Para 03"/>
      </w:pPr>
      <w:r>
        <w:t>cp -a &lt;src&gt; &lt;dest&gt; Copy a directory recursively, preserving permissions</w:t>
      </w:r>
    </w:p>
    <w:p>
      <w:pPr>
        <w:pStyle w:val="Para 03"/>
      </w:pPr>
      <w:r>
        <w:t>mv &lt;src&gt; &lt;dest&gt; Move or rename a file or directory</w:t>
      </w:r>
    </w:p>
    <w:p>
      <w:pPr>
        <w:pStyle w:val="Para 03"/>
      </w:pPr>
      <w:r>
        <w:t>rm &lt;file&gt; Remove a file</w:t>
      </w:r>
    </w:p>
    <w:p>
      <w:pPr>
        <w:pStyle w:val="Para 03"/>
      </w:pPr>
      <w:r>
        <w:t>cat &lt;file&gt; Print the contents of &lt;file&gt; to the screen</w:t>
      </w:r>
    </w:p>
    <w:p>
      <w:pPr>
        <w:pStyle w:val="Para 03"/>
      </w:pPr>
      <w:r>
        <w:t>less &lt;file&gt; View file contents one page at a time</w:t>
      </w:r>
    </w:p>
    <w:p>
      <w:pPr>
        <w:pStyle w:val="Para 03"/>
      </w:pPr>
      <w:r>
        <w:t>head &lt;file&gt; Print the first 10 lines of a file</w:t>
      </w:r>
    </w:p>
    <w:p>
      <w:pPr>
        <w:pStyle w:val="Para 03"/>
      </w:pPr>
      <w:r>
        <w:t>tail &lt;file&gt; Print the last 10 lines of a file</w:t>
      </w:r>
    </w:p>
    <w:p>
      <w:pPr>
        <w:pStyle w:val="Para 17"/>
      </w:pPr>
      <w:r>
        <w:t/>
      </w:r>
    </w:p>
    <w:p>
      <w:pPr>
        <w:pStyle w:val="Para 01"/>
      </w:pPr>
      <w:r>
        <w:t>Users, groups, and permissions</w:t>
      </w:r>
    </w:p>
    <w:p>
      <w:pPr>
        <w:pStyle w:val="Para 17"/>
      </w:pPr>
      <w:r>
        <w:t/>
      </w:r>
    </w:p>
    <w:p>
      <w:pPr>
        <w:pStyle w:val="Para 03"/>
      </w:pPr>
      <w:r>
        <w:t>Command Description</w:t>
      </w:r>
    </w:p>
    <w:p>
      <w:pPr>
        <w:pStyle w:val="Para 03"/>
      </w:pPr>
      <w:r>
        <w:t xml:space="preserve">chmod &lt;mode&gt; &lt;file&gt; </w:t>
        <w:t>Change file permissions (symbolic or numeric notation)</w:t>
      </w:r>
    </w:p>
    <w:p>
      <w:pPr>
        <w:pStyle w:val="Para 03"/>
      </w:pPr>
      <w:r>
        <w:t>chown &lt;user&gt;:&lt;group&gt; &lt;file&gt; Change file owner and group</w:t>
      </w:r>
    </w:p>
    <w:p>
      <w:pPr>
        <w:pStyle w:val="Para 03"/>
      </w:pPr>
      <w:r>
        <w:t>umask Show or set the default permissions mask</w:t>
      </w:r>
    </w:p>
    <w:p>
      <w:pPr>
        <w:pStyle w:val="Para 03"/>
      </w:pPr>
      <w:r>
        <w:t>sudo &lt;command&gt; Run a command with administrator privileges</w:t>
      </w:r>
    </w:p>
    <w:p>
      <w:pPr>
        <w:pStyle w:val="Para 03"/>
      </w:pPr>
      <w:r>
        <w:t>grep &lt;name&gt; /etc/passwd Look up a user account</w:t>
      </w:r>
    </w:p>
    <w:p>
      <w:pPr>
        <w:pStyle w:val="Para 03"/>
      </w:pPr>
      <w:r>
        <w:t>grep &lt;name&gt; /etc/group Look up group membership</w:t>
      </w:r>
    </w:p>
    <w:p>
      <w:pPr>
        <w:pStyle w:val="Para 17"/>
      </w:pPr>
      <w:r>
        <w:t/>
      </w:r>
    </w:p>
    <w:p>
      <w:pPr>
        <w:pStyle w:val="Para 01"/>
      </w:pPr>
      <w:r>
        <w:t>Searching</w:t>
      </w:r>
    </w:p>
    <w:p>
      <w:pPr>
        <w:pStyle w:val="Para 17"/>
      </w:pPr>
      <w:r>
        <w:t/>
      </w:r>
    </w:p>
    <w:p>
      <w:pPr>
        <w:pStyle w:val="Para 06"/>
      </w:pPr>
      <w:r>
        <w:t>Command Description</w:t>
      </w:r>
    </w:p>
    <w:p>
      <w:pPr>
        <w:pStyle w:val="Para 06"/>
      </w:pPr>
      <w:r>
        <w:t>grep &lt;pattern&gt; &lt;file&gt; Search for lines matching a pattern in a file</w:t>
      </w:r>
    </w:p>
    <w:p>
      <w:pPr>
        <w:pStyle w:val="Para 06"/>
      </w:pPr>
      <w:r>
        <w:t>find &lt;path&gt; -name &lt;pattern&gt; Search for files matching a name pattern</w:t>
      </w:r>
    </w:p>
    <w:p>
      <w:pPr>
        <w:pStyle w:val="Para 06"/>
      </w:pPr>
      <w:r>
        <w:t>which &lt;command&gt; Show the full path to an executable command</w:t>
      </w:r>
    </w:p>
    <w:p>
      <w:pPr>
        <w:pStyle w:val="Para 06"/>
      </w:pPr>
      <w:r>
        <w:t xml:space="preserve">file &lt;name&gt; Determine the type of a file </w:t>
      </w:r>
      <w:r>
        <w:rPr>
          <w:rStyle w:val="Text0"/>
        </w:rPr>
        <w:t>Getting help</w:t>
      </w:r>
    </w:p>
    <w:p>
      <w:bookmarkStart w:id="1135" w:name="page_7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1" name="index-719_1.png" descr="index-719_1.png"/>
            <wp:cNvGraphicFramePr>
              <a:graphicFrameLocks noChangeAspect="1"/>
            </wp:cNvGraphicFramePr>
            <a:graphic>
              <a:graphicData uri="http://schemas.openxmlformats.org/drawingml/2006/picture">
                <pic:pic>
                  <pic:nvPicPr>
                    <pic:cNvPr id="0" name="index-719_1.png" descr="index-719_1.png"/>
                    <pic:cNvPicPr/>
                  </pic:nvPicPr>
                  <pic:blipFill>
                    <a:blip r:embed="rId755"/>
                    <a:stretch>
                      <a:fillRect/>
                    </a:stretch>
                  </pic:blipFill>
                  <pic:spPr>
                    <a:xfrm>
                      <a:off x="0" y="0"/>
                      <a:ext cx="914400" cy="266700"/>
                    </a:xfrm>
                    <a:prstGeom prst="rect">
                      <a:avLst/>
                    </a:prstGeom>
                  </pic:spPr>
                </pic:pic>
              </a:graphicData>
            </a:graphic>
          </wp:anchor>
        </w:drawing>
      </w:r>
      <w:bookmarkEnd w:id="1135"/>
    </w:p>
    <w:p>
      <w:pPr>
        <w:pStyle w:val="Para 17"/>
      </w:pPr>
      <w:r>
        <w:t/>
      </w:r>
    </w:p>
    <w:p>
      <w:pPr>
        <w:pStyle w:val="Para 12"/>
      </w:pPr>
      <w:r>
        <w:t>Command Description</w:t>
      </w:r>
    </w:p>
    <w:p>
      <w:pPr>
        <w:pStyle w:val="Para 12"/>
      </w:pPr>
      <w:r>
        <w:t>man &lt;command&gt; Open the manual page for a command</w:t>
      </w:r>
    </w:p>
    <w:p>
      <w:pPr>
        <w:pStyle w:val="Para 12"/>
      </w:pPr>
      <w:r>
        <w:t>man man Open the manual page for man itself</w:t>
      </w:r>
    </w:p>
    <w:p>
      <w:pPr>
        <w:pStyle w:val="Para 12"/>
      </w:pPr>
      <w:r>
        <w:t>man -k &lt;keyword&gt; Search man page descriptions for a keyword</w:t>
      </w:r>
    </w:p>
    <w:p>
      <w:pPr>
        <w:pStyle w:val="Para 12"/>
      </w:pPr>
      <w:r>
        <w:t>&lt;command&gt; --help Print a brief help summary for a command</w:t>
      </w:r>
    </w:p>
    <w:p>
      <w:pPr>
        <w:pStyle w:val="Para 17"/>
      </w:pPr>
      <w:r>
        <w:t/>
      </w:r>
    </w:p>
    <w:p>
      <w:pPr>
        <w:pStyle w:val="Para 24"/>
      </w:pPr>
      <w:r>
        <w:t>3.3.3. Server installation</w:t>
      </w:r>
    </w:p>
    <w:p>
      <w:pPr>
        <w:pStyle w:val="Normal"/>
      </w:pPr>
      <w:r>
        <w:t>Although Ubuntu Server is flexible and designed to run on a wide range of hardware, you can refer to the following requirements page to see the various architectures Ubuntu Server can be run on, and suggested minimal values for memory and storage.</w:t>
      </w:r>
    </w:p>
    <w:p>
      <w:pPr>
        <w:pStyle w:val="Para 17"/>
      </w:pPr>
      <w:r>
        <w:t/>
      </w:r>
    </w:p>
    <w:p>
      <w:pPr>
        <w:pStyle w:val="Para 01"/>
      </w:pPr>
      <w:r>
        <w:t>System requirements</w:t>
      </w:r>
    </w:p>
    <w:p>
      <w:pPr>
        <w:pStyle w:val="Para 17"/>
      </w:pPr>
      <w:r>
        <w:t/>
      </w:r>
    </w:p>
    <w:p>
      <w:pPr>
        <w:pStyle w:val="Normal"/>
      </w:pPr>
      <w:r>
        <w:t>Ubuntu Server provides a flexible base for your solution that can run on a wide range of hardware, from small virtual machines to enterprise-scale computing.</w:t>
      </w:r>
    </w:p>
    <w:p>
      <w:pPr>
        <w:pStyle w:val="Normal"/>
      </w:pPr>
      <w:r>
        <w:t>Hard requirements depend on the scenario, but they’re generally constrained by the follow-ing recommended values.</w:t>
      </w:r>
    </w:p>
    <w:p>
      <w:pPr>
        <w:pStyle w:val="Para 17"/>
      </w:pPr>
      <w:r>
        <w:t/>
      </w:r>
    </w:p>
    <w:p>
      <w:pPr>
        <w:pStyle w:val="Para 01"/>
      </w:pPr>
      <w:r>
        <w:t>Architecture</w:t>
      </w:r>
    </w:p>
    <w:p>
      <w:pPr>
        <w:pStyle w:val="Para 17"/>
      </w:pPr>
      <w:r>
        <w:t/>
      </w:r>
    </w:p>
    <w:p>
      <w:pPr>
        <w:pStyle w:val="Normal"/>
      </w:pPr>
      <w:r>
        <w:t>Ubuntu Server supports various 64-bit architectures and 32-bit arm.</w:t>
      </w:r>
    </w:p>
    <w:p>
      <w:pPr>
        <w:pStyle w:val="Para 04"/>
      </w:pPr>
      <w:r>
        <w:t>• amd64 (64-bit Int</w:t>
      </w:r>
      <w:hyperlink w:anchor="page_669">
        <w:r>
          <w:rPr>
            <w:rStyle w:val="Text1"/>
          </w:rPr>
          <w:t>el/</w:t>
        </w:r>
      </w:hyperlink>
      <w:hyperlink w:anchor="page_669">
        <w:r>
          <w:rPr>
            <w:rStyle w:val="Text2"/>
          </w:rPr>
          <w:t>AMD</w:t>
        </w:r>
      </w:hyperlink>
      <w:r>
        <w:t>)</w:t>
      </w:r>
    </w:p>
    <w:p>
      <w:pPr>
        <w:pStyle w:val="Para 04"/>
      </w:pPr>
      <w:r>
        <w:t>• arm64 (64-bit Arm)</w:t>
      </w:r>
    </w:p>
    <w:p>
      <w:pPr>
        <w:pStyle w:val="Para 04"/>
      </w:pPr>
      <w:r>
        <w:t>• armhf (32-bit Arm)</w:t>
      </w:r>
    </w:p>
    <w:p>
      <w:pPr>
        <w:pStyle w:val="Para 04"/>
      </w:pPr>
      <w:r>
        <w:t>• ppc64el (64-bit Power)</w:t>
      </w:r>
    </w:p>
    <w:p>
      <w:pPr>
        <w:pStyle w:val="Para 04"/>
      </w:pPr>
      <w:r>
        <w:t>• riscv64 (64-bit RISC-V)</w:t>
      </w:r>
    </w:p>
    <w:p>
      <w:pPr>
        <w:pStyle w:val="Para 04"/>
      </w:pPr>
      <w:r>
        <w:t>• s390x (64-bit Mainframe)</w:t>
      </w:r>
    </w:p>
    <w:p>
      <w:pPr>
        <w:pStyle w:val="Normal"/>
      </w:pPr>
      <w:r>
        <w:t xml:space="preserve">For specific platforms, see our list of </w:t>
      </w:r>
      <w:hyperlink w:anchor="page_719">
        <w:r>
          <w:rPr>
            <w:rStyle w:val="Text9"/>
          </w:rPr>
          <w:t>702</w:t>
        </w:r>
      </w:hyperlink>
      <w:r>
        <w:t xml:space="preserve"> </w:t>
      </w:r>
      <w:hyperlink r:id="rId1604">
        <w:r>
          <w:rPr>
            <w:rStyle w:val="Text1"/>
          </w:rPr>
          <w:t>Ubuntu certified servers</w:t>
        </w:r>
      </w:hyperlink>
      <w:r>
        <w:t>.</w:t>
      </w:r>
    </w:p>
    <w:p>
      <w:pPr>
        <w:pStyle w:val="Normal"/>
      </w:pPr>
      <w:r>
        <w:t>The numbers below are true for Ubuntu 24.04 Noble amd64. Other releases and architec-tures might differ slightly.</w:t>
      </w:r>
    </w:p>
    <w:p>
      <w:pPr>
        <w:pStyle w:val="Para 05"/>
      </w:pPr>
      <w:r>
        <w:rPr>
          <w:rStyle w:val="Text5"/>
        </w:rPr>
        <w:t>702</w:t>
      </w:r>
      <w:r>
        <w:rPr>
          <w:rStyle w:val="Text8"/>
        </w:rPr>
        <w:t xml:space="preserve"> </w:t>
      </w:r>
      <w:r>
        <w:t>https://ubuntu.com/certified/servers</w:t>
      </w:r>
    </w:p>
    <w:p>
      <w:bookmarkStart w:id="1136" w:name="calibre_pb_208"/>
      <w:pPr>
        <w:pStyle w:val="0 Block"/>
      </w:pPr>
      <w:bookmarkEnd w:id="1136"/>
    </w:p>
    <w:p>
      <w:bookmarkStart w:id="1137" w:name="page_720"/>
      <w:bookmarkStart w:id="1138" w:name="Top_of_index_split_20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2" name="index-720_1.png" descr="index-720_1.png"/>
            <wp:cNvGraphicFramePr>
              <a:graphicFrameLocks noChangeAspect="1"/>
            </wp:cNvGraphicFramePr>
            <a:graphic>
              <a:graphicData uri="http://schemas.openxmlformats.org/drawingml/2006/picture">
                <pic:pic>
                  <pic:nvPicPr>
                    <pic:cNvPr id="0" name="index-720_1.png" descr="index-720_1.png"/>
                    <pic:cNvPicPr/>
                  </pic:nvPicPr>
                  <pic:blipFill>
                    <a:blip r:embed="rId756"/>
                    <a:stretch>
                      <a:fillRect/>
                    </a:stretch>
                  </pic:blipFill>
                  <pic:spPr>
                    <a:xfrm>
                      <a:off x="0" y="0"/>
                      <a:ext cx="914400" cy="266700"/>
                    </a:xfrm>
                    <a:prstGeom prst="rect">
                      <a:avLst/>
                    </a:prstGeom>
                  </pic:spPr>
                </pic:pic>
              </a:graphicData>
            </a:graphic>
          </wp:anchor>
        </w:drawing>
      </w:r>
      <w:bookmarkEnd w:id="1137"/>
      <w:bookmarkEnd w:id="1138"/>
    </w:p>
    <w:p>
      <w:pPr>
        <w:pStyle w:val="Para 01"/>
      </w:pPr>
      <w:r>
        <w:t>Memory</w:t>
      </w:r>
    </w:p>
    <w:p>
      <w:pPr>
        <w:pStyle w:val="Para 17"/>
      </w:pPr>
      <w:r>
        <w:t/>
      </w:r>
    </w:p>
    <w:p>
      <w:pPr>
        <w:pStyle w:val="Normal"/>
      </w:pPr>
      <w:r>
        <w:rPr>
          <w:rStyle w:val="Text0"/>
        </w:rPr>
        <w:t>Minimum RAM</w:t>
      </w:r>
      <w:r>
        <w:t xml:space="preserve">: 1.5 GB (ISO installs) </w:t>
      </w:r>
      <w:r>
        <w:rPr>
          <w:rStyle w:val="Text0"/>
        </w:rPr>
        <w:t>Minimum RAM</w:t>
      </w:r>
      <w:r>
        <w:t>: 1 GB (cloud images)</w:t>
      </w:r>
    </w:p>
    <w:p>
      <w:pPr>
        <w:pStyle w:val="Normal"/>
      </w:pPr>
      <w:r>
        <w:t>It’s likely that your system might need more memory than that if you, for instance, have more hardware to initialize, have more complex setup plans, or are using other architectures. To cover better for any of those scenarios:</w:t>
      </w:r>
    </w:p>
    <w:p>
      <w:pPr>
        <w:pStyle w:val="Para 01"/>
      </w:pPr>
      <w:r>
        <w:t>Suggested minimum RAM</w:t>
      </w:r>
      <w:r>
        <w:rPr>
          <w:rStyle w:val="Text0"/>
        </w:rPr>
        <w:t>: 3 GB or more</w:t>
      </w:r>
    </w:p>
    <w:p>
      <w:pPr>
        <w:pStyle w:val="Normal"/>
      </w:pPr>
      <w:r>
        <w:t>Upper limits depend on the system hardware and setup.</w:t>
      </w:r>
    </w:p>
    <w:p>
      <w:pPr>
        <w:pStyle w:val="Para 17"/>
      </w:pPr>
      <w:r>
        <w:t/>
      </w:r>
    </w:p>
    <w:p>
      <w:pPr>
        <w:pStyle w:val="Para 01"/>
      </w:pPr>
      <w:r>
        <w:t>Storage</w:t>
      </w:r>
    </w:p>
    <w:p>
      <w:pPr>
        <w:pStyle w:val="Para 17"/>
      </w:pPr>
      <w:r>
        <w:t/>
      </w:r>
    </w:p>
    <w:p>
      <w:pPr>
        <w:pStyle w:val="Normal"/>
      </w:pPr>
      <w:r>
        <w:rPr>
          <w:rStyle w:val="Text0"/>
        </w:rPr>
        <w:t>Minimum storage</w:t>
      </w:r>
      <w:r>
        <w:t xml:space="preserve">: 5 GB (ISO installs) </w:t>
      </w:r>
      <w:r>
        <w:rPr>
          <w:rStyle w:val="Text0"/>
        </w:rPr>
        <w:t>Minimum storage</w:t>
      </w:r>
      <w:r>
        <w:t>: 4 GB (cloud images)</w:t>
      </w:r>
    </w:p>
    <w:p>
      <w:pPr>
        <w:pStyle w:val="Normal"/>
      </w:pPr>
      <w:r>
        <w:t>In theory you could go even lower, like 2.5 GB for cloud image installs, but in practise it’s quite likely that your system will need more disk storage than that to be really useful. Your setup plans could be more complex or you need more software to be installed, that could lead to increased storage needs. To cover better for any of those scenarios:</w:t>
      </w:r>
    </w:p>
    <w:p>
      <w:pPr>
        <w:pStyle w:val="Para 01"/>
      </w:pPr>
      <w:r>
        <w:t>Suggested minimum storage</w:t>
      </w:r>
      <w:r>
        <w:rPr>
          <w:rStyle w:val="Text0"/>
        </w:rPr>
        <w:t>: 25 GB or more</w:t>
      </w:r>
    </w:p>
    <w:p>
      <w:pPr>
        <w:pStyle w:val="Para 24"/>
      </w:pPr>
      <w:r>
        <w:t>3.3.4. High Availability</w:t>
      </w:r>
    </w:p>
    <w:p>
      <w:pPr>
        <w:pStyle w:val="Normal"/>
      </w:pPr>
      <w:r>
        <w:t>The recommended tool for managing High Availability Pacemaker clusters is now pcs, as of 23.04 (Lunar). Here we provide a reference guide to help you migrate from crmsh to pcs.</w:t>
      </w:r>
    </w:p>
    <w:p>
      <w:pPr>
        <w:pStyle w:val="Para 17"/>
      </w:pPr>
      <w:r>
        <w:t/>
      </w:r>
    </w:p>
    <w:p>
      <w:pPr>
        <w:pStyle w:val="Para 01"/>
      </w:pPr>
      <w:r>
        <w:t>High availability</w:t>
      </w:r>
    </w:p>
    <w:p>
      <w:pPr>
        <w:pStyle w:val="Para 17"/>
      </w:pPr>
      <w:r>
        <w:t/>
      </w:r>
    </w:p>
    <w:p>
      <w:pPr>
        <w:pStyle w:val="Normal"/>
      </w:pPr>
      <w:r>
        <w:t>In Ubuntu 23.04 (Lunar) and onward, pcs became the recommended and supported tool for managing Pacemaker clusters. The 23.04 release is the last release where crmsh is available.</w:t>
      </w:r>
    </w:p>
    <w:p>
      <w:pPr>
        <w:pStyle w:val="Normal"/>
      </w:pPr>
      <w:r>
        <w:t xml:space="preserve">To migrate from crmsh to pcs, refer to our reference table of </w:t>
      </w:r>
      <w:hyperlink w:anchor="page_720">
        <w:r>
          <w:rPr>
            <w:rStyle w:val="Text2"/>
          </w:rPr>
          <w:t>corresponding commands</w:t>
        </w:r>
      </w:hyperlink>
      <w:r>
        <w:t xml:space="preserve"> (page 719).</w:t>
      </w:r>
    </w:p>
    <w:p>
      <w:pPr>
        <w:pStyle w:val="Para 17"/>
      </w:pPr>
      <w:r>
        <w:t/>
      </w:r>
    </w:p>
    <w:p>
      <w:pPr>
        <w:pStyle w:val="Para 01"/>
      </w:pPr>
      <w:r>
        <w:t>Migrate from crmsh to pcs</w:t>
      </w:r>
    </w:p>
    <w:p>
      <w:pPr>
        <w:pStyle w:val="Para 17"/>
      </w:pPr>
      <w:r>
        <w:t/>
      </w:r>
    </w:p>
    <w:p>
      <w:pPr>
        <w:pStyle w:val="Normal"/>
      </w:pPr>
      <w:r>
        <w:t>From Ubuntu 23.04 Lunar Lobster onward, pcs is the recommended and supported tool for setting up and managing Corosync/Pacemaker clusters in Ubuntu. This is the final Ubuntu release where crmsh will be supported (but not recommended) so users will have time to migrate away from crmsh.</w:t>
      </w:r>
    </w:p>
    <w:p>
      <w:pPr>
        <w:pStyle w:val="Normal"/>
      </w:pPr>
      <w:r>
        <w:t>The migration from crmsh to pcs is not very complex since both have a similar command-line interface (CLI). Here is a direct mapping of some useful commands from crmsh to pcs.</w:t>
      </w:r>
    </w:p>
    <w:p>
      <w:pPr>
        <w:pStyle w:val="Para 17"/>
      </w:pPr>
      <w:r>
        <w:t/>
      </w:r>
    </w:p>
    <w:p>
      <w:pPr>
        <w:pStyle w:val="Para 08"/>
      </w:pPr>
      <w:r>
        <w:t>Action</w:t>
      </w:r>
      <w:r>
        <w:rPr>
          <w:rStyle w:val="Text0"/>
        </w:rPr>
        <w:t xml:space="preserve"> </w:t>
      </w:r>
      <w:r>
        <w:t>crmsh</w:t>
      </w:r>
    </w:p>
    <w:p>
      <w:pPr>
        <w:pStyle w:val="Para 03"/>
      </w:pPr>
      <w:r>
        <w:t>Show configuration (raw XML) crm configure show xml</w:t>
      </w:r>
    </w:p>
    <w:p>
      <w:pPr>
        <w:pStyle w:val="Para 03"/>
      </w:pPr>
      <w:r>
        <w:t>Show configuration (human-friendly) crm configure show</w:t>
      </w:r>
    </w:p>
    <w:p>
      <w:bookmarkStart w:id="1139" w:name="page_7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3" name="index-721_1.png" descr="index-721_1.png"/>
            <wp:cNvGraphicFramePr>
              <a:graphicFrameLocks noChangeAspect="1"/>
            </wp:cNvGraphicFramePr>
            <a:graphic>
              <a:graphicData uri="http://schemas.openxmlformats.org/drawingml/2006/picture">
                <pic:pic>
                  <pic:nvPicPr>
                    <pic:cNvPr id="0" name="index-721_1.png" descr="index-721_1.png"/>
                    <pic:cNvPicPr/>
                  </pic:nvPicPr>
                  <pic:blipFill>
                    <a:blip r:embed="rId757"/>
                    <a:stretch>
                      <a:fillRect/>
                    </a:stretch>
                  </pic:blipFill>
                  <pic:spPr>
                    <a:xfrm>
                      <a:off x="0" y="0"/>
                      <a:ext cx="914400" cy="266700"/>
                    </a:xfrm>
                    <a:prstGeom prst="rect">
                      <a:avLst/>
                    </a:prstGeom>
                  </pic:spPr>
                </pic:pic>
              </a:graphicData>
            </a:graphic>
          </wp:anchor>
        </w:drawing>
      </w:r>
      <w:bookmarkEnd w:id="1139"/>
    </w:p>
    <w:p>
      <w:pPr>
        <w:pStyle w:val="Para 21"/>
      </w:pPr>
      <w:r>
        <w:t>Table 1 – continued from previous page</w:t>
      </w:r>
    </w:p>
    <w:p>
      <w:pPr>
        <w:pStyle w:val="Para 08"/>
      </w:pPr>
      <w:r>
        <w:t>Action</w:t>
      </w:r>
      <w:r>
        <w:rPr>
          <w:rStyle w:val="Text0"/>
        </w:rPr>
        <w:t xml:space="preserve"> </w:t>
      </w:r>
      <w:r>
        <w:t>crmsh</w:t>
      </w:r>
    </w:p>
    <w:p>
      <w:pPr>
        <w:pStyle w:val="Para 03"/>
      </w:pPr>
      <w:r>
        <w:t>Show cluster status crm status</w:t>
      </w:r>
    </w:p>
    <w:p>
      <w:pPr>
        <w:pStyle w:val="Para 03"/>
      </w:pPr>
      <w:r>
        <w:t>Put a node in standby mode crm node standby NODE</w:t>
      </w:r>
    </w:p>
    <w:p>
      <w:pPr>
        <w:pStyle w:val="Para 03"/>
      </w:pPr>
      <w:r>
        <w:t>Remove a node from standby mode crm node online NODE</w:t>
      </w:r>
    </w:p>
    <w:p>
      <w:pPr>
        <w:pStyle w:val="Para 03"/>
      </w:pPr>
      <w:r>
        <w:t>Set cluster property crm configure property PROPERTY=VALUE</w:t>
      </w:r>
    </w:p>
    <w:p>
      <w:pPr>
        <w:pStyle w:val="Para 03"/>
      </w:pPr>
      <w:r>
        <w:t>List resource agent classes crm ra classes</w:t>
      </w:r>
    </w:p>
    <w:p>
      <w:pPr>
        <w:pStyle w:val="Para 03"/>
      </w:pPr>
      <w:r>
        <w:t>List available resource agents by standard crm ra list ocf</w:t>
      </w:r>
    </w:p>
    <w:p>
      <w:pPr>
        <w:pStyle w:val="Para 03"/>
      </w:pPr>
      <w:r>
        <w:t>List available resource agents by OCF provider crm ra list ocf pacemaker</w:t>
      </w:r>
    </w:p>
    <w:p>
      <w:pPr>
        <w:pStyle w:val="Para 03"/>
      </w:pPr>
      <w:r>
        <w:t>List available resource agent parameters crm ra info AGENT</w:t>
      </w:r>
    </w:p>
    <w:p>
      <w:pPr>
        <w:pStyle w:val="Para 03"/>
      </w:pPr>
      <w:r>
        <w:t>Show available fence agent parameters crm ra info stonith:AGENT</w:t>
      </w:r>
    </w:p>
    <w:p>
      <w:pPr>
        <w:pStyle w:val="Para 03"/>
      </w:pPr>
      <w:r>
        <w:t>Create a resource crm configure primitive NAME AGENT params PARAMETERS</w:t>
      </w:r>
    </w:p>
    <w:p>
      <w:pPr>
        <w:pStyle w:val="Para 03"/>
      </w:pPr>
      <w:r>
        <w:t>Show configuration of all resources crm configure show</w:t>
      </w:r>
    </w:p>
    <w:p>
      <w:pPr>
        <w:pStyle w:val="Para 03"/>
      </w:pPr>
      <w:r>
        <w:t>Show configuration of one resource crm configure show RESOURCE</w:t>
      </w:r>
    </w:p>
    <w:p>
      <w:pPr>
        <w:pStyle w:val="Para 03"/>
      </w:pPr>
      <w:r>
        <w:t>Show configuration of fencing resources crm resource status</w:t>
      </w:r>
    </w:p>
    <w:p>
      <w:pPr>
        <w:pStyle w:val="Para 03"/>
      </w:pPr>
      <w:r>
        <w:t>Start a resource crm resource start RESOURCE</w:t>
      </w:r>
    </w:p>
    <w:p>
      <w:pPr>
        <w:pStyle w:val="Para 03"/>
      </w:pPr>
      <w:r>
        <w:t>Stop a resource crm resource stop RESOURCE</w:t>
      </w:r>
    </w:p>
    <w:p>
      <w:pPr>
        <w:pStyle w:val="Para 03"/>
      </w:pPr>
      <w:r>
        <w:t>Remove a resource crm configure delete RESOURCE</w:t>
      </w:r>
    </w:p>
    <w:p>
      <w:pPr>
        <w:pStyle w:val="Para 03"/>
      </w:pPr>
      <w:r>
        <w:t>Modify a resource’s instance parameters crm resource param RESOURCE set PARAMETER=VALUE</w:t>
      </w:r>
    </w:p>
    <w:p>
      <w:pPr>
        <w:pStyle w:val="Para 03"/>
      </w:pPr>
      <w:r>
        <w:t>Delete a resource’s instance parameters crm resource param RESOURCE delete PARAMETER</w:t>
      </w:r>
    </w:p>
    <w:p>
      <w:pPr>
        <w:pStyle w:val="Para 03"/>
      </w:pPr>
      <w:r>
        <w:t>List current resource defaults crm configure show type:rsc_defaults</w:t>
      </w:r>
    </w:p>
    <w:p>
      <w:pPr>
        <w:pStyle w:val="Para 03"/>
      </w:pPr>
      <w:r>
        <w:t>Set resource defaults crm configure rsc_defaults OPTION=VALUE</w:t>
      </w:r>
    </w:p>
    <w:p>
      <w:pPr>
        <w:pStyle w:val="Para 03"/>
      </w:pPr>
      <w:r>
        <w:t>List current operation defaults crm configure show type:op_defaults</w:t>
      </w:r>
    </w:p>
    <w:p>
      <w:pPr>
        <w:pStyle w:val="Para 03"/>
      </w:pPr>
      <w:r>
        <w:t>Set operation defaults crm configure op_defaults OPTION=VALUE</w:t>
      </w:r>
    </w:p>
    <w:p>
      <w:pPr>
        <w:pStyle w:val="Para 03"/>
      </w:pPr>
      <w:r>
        <w:t>Clear fail counts for a resource crm resource cleanup RESOURCE</w:t>
      </w:r>
    </w:p>
    <w:p>
      <w:pPr>
        <w:pStyle w:val="Para 03"/>
      </w:pPr>
      <w:r>
        <w:t xml:space="preserve">Create a colocation constraint </w:t>
        <w:t>crm configure colocation NAME INFINITY: RESOURCE_1 RESOURCE_2</w:t>
      </w:r>
    </w:p>
    <w:p>
      <w:pPr>
        <w:pStyle w:val="Para 03"/>
      </w:pPr>
      <w:r>
        <w:t xml:space="preserve">Create an ordering constraint </w:t>
        <w:t>crm configure order NAME mandatory: RESOURCE_1 RESOURCE_2</w:t>
      </w:r>
    </w:p>
    <w:p>
      <w:pPr>
        <w:pStyle w:val="Para 03"/>
      </w:pPr>
      <w:r>
        <w:t>Create a location constraint crm configure location NAME RESOURCE 50: NODE</w:t>
      </w:r>
    </w:p>
    <w:p>
      <w:pPr>
        <w:pStyle w:val="Para 03"/>
      </w:pPr>
      <w:r>
        <w:t>Move a resource to a specific node crm resource move RESOURCE NODE</w:t>
      </w:r>
    </w:p>
    <w:p>
      <w:pPr>
        <w:pStyle w:val="Para 03"/>
      </w:pPr>
      <w:r>
        <w:t>Move a resource away from its current node crm resource ban RESOURCE NODE</w:t>
      </w:r>
    </w:p>
    <w:p>
      <w:pPr>
        <w:pStyle w:val="Para 03"/>
      </w:pPr>
      <w:r>
        <w:t>Remove any constraints created by moving a resource crm resource unmove RESOURCE</w:t>
      </w:r>
    </w:p>
    <w:p>
      <w:bookmarkStart w:id="1140" w:name="page_7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4" name="index-722_1.png" descr="index-722_1.png"/>
            <wp:cNvGraphicFramePr>
              <a:graphicFrameLocks noChangeAspect="1"/>
            </wp:cNvGraphicFramePr>
            <a:graphic>
              <a:graphicData uri="http://schemas.openxmlformats.org/drawingml/2006/picture">
                <pic:pic>
                  <pic:nvPicPr>
                    <pic:cNvPr id="0" name="index-722_1.png" descr="index-722_1.png"/>
                    <pic:cNvPicPr/>
                  </pic:nvPicPr>
                  <pic:blipFill>
                    <a:blip r:embed="rId758"/>
                    <a:stretch>
                      <a:fillRect/>
                    </a:stretch>
                  </pic:blipFill>
                  <pic:spPr>
                    <a:xfrm>
                      <a:off x="0" y="0"/>
                      <a:ext cx="914400" cy="266700"/>
                    </a:xfrm>
                    <a:prstGeom prst="rect">
                      <a:avLst/>
                    </a:prstGeom>
                  </pic:spPr>
                </pic:pic>
              </a:graphicData>
            </a:graphic>
          </wp:anchor>
        </w:drawing>
      </w:r>
      <w:bookmarkEnd w:id="1140"/>
    </w:p>
    <w:p>
      <w:pPr>
        <w:pStyle w:val="Para 01"/>
      </w:pPr>
      <w:r>
        <w:t>See also</w:t>
      </w:r>
    </w:p>
    <w:p>
      <w:pPr>
        <w:pStyle w:val="Para 17"/>
      </w:pPr>
      <w:r>
        <w:t/>
      </w:r>
    </w:p>
    <w:p>
      <w:pPr>
        <w:pStyle w:val="Para 14"/>
      </w:pPr>
      <w:r>
        <w:rPr>
          <w:rStyle w:val="Text4"/>
        </w:rPr>
        <w:t xml:space="preserve">• How-to: </w:t>
      </w:r>
      <w:hyperlink w:anchor="page_608">
        <w:r>
          <w:t>Set up a distributed replicated block device (DRBD)</w:t>
        </w:r>
      </w:hyperlink>
      <w:r>
        <w:rPr>
          <w:rStyle w:val="Text4"/>
        </w:rPr>
        <w:t xml:space="preserve"> (page 607)</w:t>
      </w:r>
    </w:p>
    <w:p>
      <w:pPr>
        <w:pStyle w:val="Para 04"/>
      </w:pPr>
      <w:r>
        <w:t xml:space="preserve">• Explanation: </w:t>
      </w:r>
      <w:hyperlink w:anchor="page_915">
        <w:r>
          <w:rPr>
            <w:rStyle w:val="Text2"/>
          </w:rPr>
          <w:t>High Availability</w:t>
        </w:r>
      </w:hyperlink>
      <w:r>
        <w:t xml:space="preserve"> (page 914)</w:t>
      </w:r>
    </w:p>
    <w:p>
      <w:pPr>
        <w:pStyle w:val="Para 24"/>
      </w:pPr>
      <w:r>
        <w:t>3.3.5. Other tools</w:t>
      </w:r>
    </w:p>
    <w:p>
      <w:pPr>
        <w:pStyle w:val="Normal"/>
      </w:pPr>
      <w:r>
        <w:t>This section contains suggestions of other useful tools for system administrators.</w:t>
      </w:r>
    </w:p>
    <w:p>
      <w:pPr>
        <w:pStyle w:val="Para 17"/>
      </w:pPr>
      <w:r>
        <w:t/>
      </w:r>
    </w:p>
    <w:p>
      <w:pPr>
        <w:pStyle w:val="Para 01"/>
      </w:pPr>
      <w:r>
        <w:t>Other tools</w:t>
      </w:r>
    </w:p>
    <w:p>
      <w:pPr>
        <w:pStyle w:val="Para 17"/>
      </w:pPr>
      <w:r>
        <w:t/>
      </w:r>
    </w:p>
    <w:p>
      <w:pPr>
        <w:pStyle w:val="Normal"/>
      </w:pPr>
      <w:r>
        <w:t>Terminal Multiplexers can be a useful tool for system administrators who need to execute multiple sessions in one terminal or SSH connection. They also tolerate detaching or discon-nection from remote sessions.</w:t>
      </w:r>
    </w:p>
    <w:p>
      <w:pPr>
        <w:pStyle w:val="Para 14"/>
      </w:pPr>
      <w:r>
        <w:rPr>
          <w:rStyle w:val="Text4"/>
        </w:rPr>
        <w:t xml:space="preserve">• </w:t>
      </w:r>
      <w:hyperlink w:anchor="page_722">
        <w:r>
          <w:t>Terminal Multiplexers</w:t>
        </w:r>
      </w:hyperlink>
      <w:r>
        <w:rPr>
          <w:rStyle w:val="Text4"/>
        </w:rPr>
        <w:t xml:space="preserve"> (page 721)</w:t>
      </w:r>
    </w:p>
    <w:p>
      <w:pPr>
        <w:pStyle w:val="Normal"/>
      </w:pPr>
      <w:r>
        <w:t>pam_motd is a PAM module that allows customized “Message Of The Day” (MOTD) messages to be shown.</w:t>
      </w:r>
    </w:p>
    <w:p>
      <w:pPr>
        <w:pStyle w:val="Para 04"/>
      </w:pPr>
      <w:r>
        <w:t xml:space="preserve">• </w:t>
      </w:r>
      <w:hyperlink w:anchor="page_729">
        <w:r>
          <w:rPr>
            <w:rStyle w:val="Text2"/>
          </w:rPr>
          <w:t>pam_motd</w:t>
        </w:r>
      </w:hyperlink>
      <w:r>
        <w:t xml:space="preserve"> (page 728)</w:t>
      </w:r>
    </w:p>
    <w:p>
      <w:pPr>
        <w:pStyle w:val="Normal"/>
      </w:pPr>
      <w:r>
        <w:t>sudo-rs is a safety-oriented and memory-safe implementation of sudo written in Rust.</w:t>
      </w:r>
    </w:p>
    <w:p>
      <w:pPr>
        <w:pStyle w:val="Para 04"/>
      </w:pPr>
      <w:r>
        <w:t xml:space="preserve">• </w:t>
      </w:r>
      <w:hyperlink w:anchor="page_732">
        <w:r>
          <w:rPr>
            <w:rStyle w:val="Text2"/>
          </w:rPr>
          <w:t>sudo-rs</w:t>
        </w:r>
      </w:hyperlink>
      <w:r>
        <w:t xml:space="preserve"> (page 731)</w:t>
      </w:r>
    </w:p>
    <w:p>
      <w:pPr>
        <w:pStyle w:val="Para 17"/>
      </w:pPr>
      <w:r>
        <w:t/>
      </w:r>
    </w:p>
    <w:p>
      <w:pPr>
        <w:pStyle w:val="Para 01"/>
      </w:pPr>
      <w:r>
        <w:t>Terminal multiplexers</w:t>
      </w:r>
    </w:p>
    <w:p>
      <w:pPr>
        <w:pStyle w:val="Para 17"/>
      </w:pPr>
      <w:r>
        <w:t/>
      </w:r>
    </w:p>
    <w:p>
      <w:pPr>
        <w:pStyle w:val="Normal"/>
      </w:pPr>
      <w:r>
        <w:t>Terminal multiplexers are essential tools for system administrators and power users. They al-low you to run multiple terminal sessions within a single window, detach from sessions while keeping processes running, and reattach to those sessions later. This provides protection against network disconnects, enables persistent remote sessions, and allows you to organize your workflow across multiple virtual terminals.</w:t>
      </w:r>
    </w:p>
    <w:p>
      <w:pPr>
        <w:pStyle w:val="Normal"/>
      </w:pPr>
      <w:r>
        <w:t>The key benefits of using a terminal multiplexer include:</w:t>
      </w:r>
    </w:p>
    <w:p>
      <w:pPr>
        <w:pStyle w:val="Para 04"/>
      </w:pPr>
      <w:r>
        <w:t xml:space="preserve">• </w:t>
      </w:r>
      <w:r>
        <w:rPr>
          <w:rStyle w:val="Text0"/>
        </w:rPr>
        <w:t>Session persistence</w:t>
      </w:r>
      <w:r>
        <w:t>: Processes continue running even after disconnecting from SSH</w:t>
      </w:r>
    </w:p>
    <w:p>
      <w:pPr>
        <w:pStyle w:val="Para 04"/>
      </w:pPr>
      <w:r>
        <w:t xml:space="preserve">• </w:t>
      </w:r>
      <w:r>
        <w:rPr>
          <w:rStyle w:val="Text0"/>
        </w:rPr>
        <w:t>Multiple windows</w:t>
      </w:r>
      <w:r>
        <w:t>: Run multiple shells in one terminal session</w:t>
      </w:r>
    </w:p>
    <w:p>
      <w:pPr>
        <w:pStyle w:val="Para 04"/>
      </w:pPr>
      <w:r>
        <w:t xml:space="preserve">• </w:t>
      </w:r>
      <w:r>
        <w:rPr>
          <w:rStyle w:val="Text0"/>
        </w:rPr>
        <w:t>Session sharing</w:t>
      </w:r>
      <w:r>
        <w:t>: Multiple users can attach to the same session for collaboration or</w:t>
      </w:r>
    </w:p>
    <w:p>
      <w:pPr>
        <w:pStyle w:val="Para 02"/>
      </w:pPr>
      <w:r>
        <w:t>training</w:t>
      </w:r>
    </w:p>
    <w:p>
      <w:pPr>
        <w:pStyle w:val="Para 04"/>
      </w:pPr>
      <w:r>
        <w:t xml:space="preserve">• </w:t>
      </w:r>
      <w:r>
        <w:rPr>
          <w:rStyle w:val="Text0"/>
        </w:rPr>
        <w:t>Split panes</w:t>
      </w:r>
      <w:r>
        <w:t>: View and interact with multiple terminals simultaneously</w:t>
      </w:r>
    </w:p>
    <w:p>
      <w:pPr>
        <w:pStyle w:val="Para 04"/>
      </w:pPr>
      <w:r>
        <w:t xml:space="preserve">• </w:t>
      </w:r>
      <w:r>
        <w:rPr>
          <w:rStyle w:val="Text0"/>
        </w:rPr>
        <w:t>Scrollback buffers</w:t>
      </w:r>
      <w:r>
        <w:t>: Review command output history</w:t>
      </w:r>
    </w:p>
    <w:p>
      <w:pPr>
        <w:pStyle w:val="Para 04"/>
      </w:pPr>
      <w:r>
        <w:t xml:space="preserve">• </w:t>
      </w:r>
      <w:r>
        <w:rPr>
          <w:rStyle w:val="Text0"/>
        </w:rPr>
        <w:t>Scripting and automation</w:t>
      </w:r>
      <w:r>
        <w:t>: Create and restore complex session layouts</w:t>
      </w:r>
    </w:p>
    <w:p>
      <w:bookmarkStart w:id="1141" w:name="calibre_pb_209"/>
      <w:pPr>
        <w:pStyle w:val="0 Block"/>
      </w:pPr>
      <w:bookmarkEnd w:id="1141"/>
    </w:p>
    <w:p>
      <w:bookmarkStart w:id="1142" w:name="Top_of_index_split_210_html"/>
      <w:bookmarkStart w:id="1143" w:name="page_72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5" name="index-723_1.png" descr="index-723_1.png"/>
            <wp:cNvGraphicFramePr>
              <a:graphicFrameLocks noChangeAspect="1"/>
            </wp:cNvGraphicFramePr>
            <a:graphic>
              <a:graphicData uri="http://schemas.openxmlformats.org/drawingml/2006/picture">
                <pic:pic>
                  <pic:nvPicPr>
                    <pic:cNvPr id="0" name="index-723_1.png" descr="index-723_1.png"/>
                    <pic:cNvPicPr/>
                  </pic:nvPicPr>
                  <pic:blipFill>
                    <a:blip r:embed="rId759"/>
                    <a:stretch>
                      <a:fillRect/>
                    </a:stretch>
                  </pic:blipFill>
                  <pic:spPr>
                    <a:xfrm>
                      <a:off x="0" y="0"/>
                      <a:ext cx="914400" cy="266700"/>
                    </a:xfrm>
                    <a:prstGeom prst="rect">
                      <a:avLst/>
                    </a:prstGeom>
                  </pic:spPr>
                </pic:pic>
              </a:graphicData>
            </a:graphic>
          </wp:anchor>
        </w:drawing>
      </w:r>
      <w:bookmarkEnd w:id="1142"/>
      <w:bookmarkEnd w:id="1143"/>
    </w:p>
    <w:p>
      <w:pPr>
        <w:pStyle w:val="Para 01"/>
      </w:pPr>
      <w:r>
        <w:t>tmux</w:t>
      </w:r>
    </w:p>
    <w:p>
      <w:pPr>
        <w:pStyle w:val="Para 17"/>
      </w:pPr>
      <w:r>
        <w:t/>
      </w:r>
    </w:p>
    <w:p>
      <w:pPr>
        <w:pStyle w:val="Normal"/>
      </w:pPr>
      <w:r>
        <w:t>tmux (terminal multiplexer) is the modern, actively developed terminal multiplexer that has become the standard choice for most users. It offers a rich feature set, better performance than older alternatives, and active development with regular updates. For detailed informa-</w:t>
      </w:r>
    </w:p>
    <w:p>
      <w:pPr>
        <w:pStyle w:val="Normal"/>
      </w:pPr>
      <w:r>
        <w:t xml:space="preserve">tion, see the </w:t>
      </w:r>
      <w:hyperlink w:anchor="page_723">
        <w:r>
          <w:rPr>
            <w:rStyle w:val="Text9"/>
          </w:rPr>
          <w:t>703</w:t>
        </w:r>
      </w:hyperlink>
      <w:r>
        <w:t xml:space="preserve"> </w:t>
      </w:r>
      <w:hyperlink r:id="rId1605">
        <w:r>
          <w:rPr>
            <w:rStyle w:val="Text2"/>
          </w:rPr>
          <w:t>tmux(1)</w:t>
        </w:r>
      </w:hyperlink>
      <w:r>
        <w:t xml:space="preserve"> manual page.</w:t>
      </w:r>
    </w:p>
    <w:p>
      <w:pPr>
        <w:pStyle w:val="Normal"/>
      </w:pPr>
      <w:r>
        <w:t>tmux is pre-installed on Ubuntu Server, so you can start using it immediately without any installation steps.</w:t>
      </w:r>
    </w:p>
    <w:p>
      <w:pPr>
        <w:pStyle w:val="Para 17"/>
      </w:pPr>
      <w:r>
        <w:t/>
      </w:r>
    </w:p>
    <w:p>
      <w:pPr>
        <w:pStyle w:val="Para 01"/>
      </w:pPr>
      <w:r>
        <w:t>Control key and keybindings</w:t>
      </w:r>
    </w:p>
    <w:p>
      <w:pPr>
        <w:pStyle w:val="Para 17"/>
      </w:pPr>
      <w:r>
        <w:t/>
      </w:r>
    </w:p>
    <w:p>
      <w:pPr>
        <w:pStyle w:val="Normal"/>
      </w:pPr>
      <w:r>
        <w:t xml:space="preserve">tmux uses a two-step command system: first press a “prefix” key (also called the control key), then press a command key. This prevents tmux commands from interfering with normal terminal applications. The default prefix key is Ctrl+b. After pressing the prefix, release it, then press the command key to issue various commands. These command combinations are called </w:t>
      </w:r>
      <w:r>
        <w:rPr>
          <w:rStyle w:val="Text3"/>
        </w:rPr>
        <w:t>keybindings</w:t>
      </w:r>
      <w:r>
        <w:t>.</w:t>
      </w:r>
    </w:p>
    <w:p>
      <w:pPr>
        <w:pStyle w:val="Para 01"/>
      </w:pPr>
      <w:r>
        <w:t>Detaching from a session</w:t>
      </w:r>
      <w:r>
        <w:rPr>
          <w:rStyle w:val="Text0"/>
        </w:rPr>
        <w:t>:</w:t>
      </w:r>
    </w:p>
    <w:p>
      <w:pPr>
        <w:pStyle w:val="Normal"/>
      </w:pPr>
      <w:r>
        <w:t>To detach from your current session while keeping all programs running:</w:t>
      </w:r>
    </w:p>
    <w:p>
      <w:pPr>
        <w:pStyle w:val="Para 04"/>
      </w:pPr>
      <w:r>
        <w:t>• Ctrl+b d- Detach from session</w:t>
      </w:r>
    </w:p>
    <w:p>
      <w:pPr>
        <w:pStyle w:val="Normal"/>
      </w:pPr>
      <w:r>
        <w:t>After detaching, you can safely close your terminal or disconnect from SSH - your session continues running.</w:t>
      </w:r>
    </w:p>
    <w:p>
      <w:pPr>
        <w:pStyle w:val="Para 17"/>
      </w:pPr>
      <w:r>
        <w:t/>
      </w:r>
    </w:p>
    <w:p>
      <w:pPr>
        <w:pStyle w:val="Para 01"/>
      </w:pPr>
      <w:r>
        <w:t>Session management</w:t>
      </w:r>
    </w:p>
    <w:p>
      <w:pPr>
        <w:pStyle w:val="Para 17"/>
      </w:pPr>
      <w:r>
        <w:t/>
      </w:r>
    </w:p>
    <w:p>
      <w:pPr>
        <w:pStyle w:val="Normal"/>
      </w:pPr>
      <w:r>
        <w:t>Session management is one of tmux’s most powerful features. Sessions allow you to pre-serve your work environment - when you detach from a session, all programs continue run-ning in the background. This is particularly valuable for long-running tasks, maintaining per-sistent development environments, or recovering from network disconnections during SSH sessions.</w:t>
      </w:r>
    </w:p>
    <w:p>
      <w:pPr>
        <w:pStyle w:val="Normal"/>
      </w:pPr>
      <w:r>
        <w:t>Create a named session for easy identification:</w:t>
      </w:r>
    </w:p>
    <w:p>
      <w:pPr>
        <w:pStyle w:val="Normal"/>
      </w:pPr>
      <w:r>
        <w:t>tmux new-session -s myproject</w:t>
      </w:r>
    </w:p>
    <w:p>
      <w:pPr>
        <w:pStyle w:val="Para 17"/>
      </w:pPr>
      <w:r>
        <w:t/>
      </w:r>
    </w:p>
    <w:p>
      <w:pPr>
        <w:pStyle w:val="Normal"/>
      </w:pPr>
      <w:r>
        <w:t>List all sessions:</w:t>
      </w:r>
    </w:p>
    <w:p>
      <w:pPr>
        <w:pStyle w:val="Normal"/>
      </w:pPr>
      <w:r>
        <w:t>tmux list-sessions</w:t>
      </w:r>
    </w:p>
    <w:p>
      <w:pPr>
        <w:pStyle w:val="Para 10"/>
      </w:pPr>
      <w:r>
        <w:t># or the shorthand:</w:t>
      </w:r>
    </w:p>
    <w:p>
      <w:pPr>
        <w:pStyle w:val="Normal"/>
      </w:pPr>
      <w:r>
        <w:t>tmux ls</w:t>
      </w:r>
    </w:p>
    <w:p>
      <w:pPr>
        <w:pStyle w:val="Para 17"/>
      </w:pPr>
      <w:r>
        <w:t/>
      </w:r>
    </w:p>
    <w:p>
      <w:pPr>
        <w:pStyle w:val="Normal"/>
      </w:pPr>
      <w:r>
        <w:t>Attach to a specific session by name:</w:t>
      </w:r>
    </w:p>
    <w:p>
      <w:pPr>
        <w:pStyle w:val="Normal"/>
      </w:pPr>
      <w:r>
        <w:t>tmux attach-session -t myproject</w:t>
      </w:r>
    </w:p>
    <w:p>
      <w:pPr>
        <w:pStyle w:val="Para 10"/>
      </w:pPr>
      <w:r>
        <w:t># or the shorthand:</w:t>
      </w:r>
    </w:p>
    <w:p>
      <w:pPr>
        <w:pStyle w:val="Normal"/>
      </w:pPr>
      <w:r>
        <w:t>tmux a -t myproject</w:t>
      </w:r>
    </w:p>
    <w:p>
      <w:pPr>
        <w:pStyle w:val="Para 17"/>
      </w:pPr>
      <w:r>
        <w:t/>
      </w:r>
    </w:p>
    <w:p>
      <w:pPr>
        <w:pStyle w:val="Normal"/>
      </w:pPr>
      <w:r>
        <w:t>To attach to a session and detach all other clients connected to it:</w:t>
      </w:r>
    </w:p>
    <w:p>
      <w:pPr>
        <w:pStyle w:val="Para 05"/>
      </w:pPr>
      <w:r>
        <w:rPr>
          <w:rStyle w:val="Text5"/>
        </w:rPr>
        <w:t>703</w:t>
      </w:r>
      <w:r>
        <w:rPr>
          <w:rStyle w:val="Text8"/>
        </w:rPr>
        <w:t xml:space="preserve"> </w:t>
      </w:r>
      <w:r>
        <w:t>https://manpages.ubuntu.com/manpages/resolute/man1/tmux.1.html</w:t>
      </w:r>
      <w:r>
        <w:rPr>
          <w:rStyle w:val="Text8"/>
        </w:rPr>
        <w:t xml:space="preserve"> </w:t>
        <w:t>tmux attach-session -t myproject -d</w:t>
      </w:r>
    </w:p>
    <w:p>
      <w:bookmarkStart w:id="1144" w:name="page_7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6" name="index-724_1.png" descr="index-724_1.png"/>
            <wp:cNvGraphicFramePr>
              <a:graphicFrameLocks noChangeAspect="1"/>
            </wp:cNvGraphicFramePr>
            <a:graphic>
              <a:graphicData uri="http://schemas.openxmlformats.org/drawingml/2006/picture">
                <pic:pic>
                  <pic:nvPicPr>
                    <pic:cNvPr id="0" name="index-724_1.png" descr="index-724_1.png"/>
                    <pic:cNvPicPr/>
                  </pic:nvPicPr>
                  <pic:blipFill>
                    <a:blip r:embed="rId760"/>
                    <a:stretch>
                      <a:fillRect/>
                    </a:stretch>
                  </pic:blipFill>
                  <pic:spPr>
                    <a:xfrm>
                      <a:off x="0" y="0"/>
                      <a:ext cx="914400" cy="266700"/>
                    </a:xfrm>
                    <a:prstGeom prst="rect">
                      <a:avLst/>
                    </a:prstGeom>
                  </pic:spPr>
                </pic:pic>
              </a:graphicData>
            </a:graphic>
          </wp:anchor>
        </w:drawing>
      </w:r>
      <w:bookmarkEnd w:id="1144"/>
    </w:p>
    <w:p>
      <w:pPr>
        <w:pStyle w:val="Para 17"/>
      </w:pPr>
      <w:r>
        <w:t/>
      </w:r>
    </w:p>
    <w:p>
      <w:pPr>
        <w:pStyle w:val="Normal"/>
      </w:pPr>
      <w:r>
        <w:t>This is useful when you want exclusive access to a session.</w:t>
      </w:r>
    </w:p>
    <w:p>
      <w:pPr>
        <w:pStyle w:val="Normal"/>
      </w:pPr>
      <w:r>
        <w:t>Attach to the most recent session:</w:t>
      </w:r>
    </w:p>
    <w:p>
      <w:pPr>
        <w:pStyle w:val="Normal"/>
      </w:pPr>
      <w:r>
        <w:t>tmux attach</w:t>
      </w:r>
    </w:p>
    <w:p>
      <w:pPr>
        <w:pStyle w:val="Para 17"/>
      </w:pPr>
      <w:r>
        <w:t/>
      </w:r>
    </w:p>
    <w:p>
      <w:pPr>
        <w:pStyle w:val="Normal"/>
      </w:pPr>
      <w:r>
        <w:t>Kill a session:</w:t>
      </w:r>
    </w:p>
    <w:p>
      <w:pPr>
        <w:pStyle w:val="Normal"/>
      </w:pPr>
      <w:r>
        <w:t>tmux kill-session -t myproject</w:t>
      </w:r>
    </w:p>
    <w:p>
      <w:pPr>
        <w:pStyle w:val="Para 17"/>
      </w:pPr>
      <w:r>
        <w:t/>
      </w:r>
    </w:p>
    <w:p>
      <w:pPr>
        <w:pStyle w:val="Para 01"/>
      </w:pPr>
      <w:r>
        <w:t>Window management</w:t>
      </w:r>
    </w:p>
    <w:p>
      <w:pPr>
        <w:pStyle w:val="Para 17"/>
      </w:pPr>
      <w:r>
        <w:t/>
      </w:r>
    </w:p>
    <w:p>
      <w:pPr>
        <w:pStyle w:val="Normal"/>
      </w:pPr>
      <w:r>
        <w:t>Windows in tmux are like tabs in a browser - each window is a separate workspace within a session. You can have multiple windows open and switch between them.</w:t>
      </w:r>
    </w:p>
    <w:p>
      <w:pPr>
        <w:pStyle w:val="Para 01"/>
      </w:pPr>
      <w:r>
        <w:t>Creating and navigating windows</w:t>
      </w:r>
      <w:r>
        <w:rPr>
          <w:rStyle w:val="Text0"/>
        </w:rPr>
        <w:t>:</w:t>
      </w:r>
    </w:p>
    <w:p>
      <w:pPr>
        <w:pStyle w:val="Para 04"/>
      </w:pPr>
      <w:r>
        <w:t>• Ctrl+b c- Create a new window</w:t>
      </w:r>
    </w:p>
    <w:p>
      <w:pPr>
        <w:pStyle w:val="Para 04"/>
      </w:pPr>
      <w:r>
        <w:t>• Ctrl+b n- Switch to next window</w:t>
      </w:r>
    </w:p>
    <w:p>
      <w:pPr>
        <w:pStyle w:val="Para 04"/>
      </w:pPr>
      <w:r>
        <w:t>• Ctrl+b p- Switch to previous window</w:t>
      </w:r>
    </w:p>
    <w:p>
      <w:pPr>
        <w:pStyle w:val="Para 04"/>
      </w:pPr>
      <w:r>
        <w:t>• Ctrl+b 0-9- Switch to window number 0-9</w:t>
      </w:r>
    </w:p>
    <w:p>
      <w:pPr>
        <w:pStyle w:val="Para 04"/>
      </w:pPr>
      <w:r>
        <w:t>• Ctrl+b ,- Rename current window</w:t>
      </w:r>
    </w:p>
    <w:p>
      <w:pPr>
        <w:pStyle w:val="Para 04"/>
      </w:pPr>
      <w:r>
        <w:t>• Ctrl+b w- List all windows and select from an interactive menu</w:t>
      </w:r>
    </w:p>
    <w:p>
      <w:pPr>
        <w:pStyle w:val="Para 08"/>
      </w:pPr>
      <w:r>
        <w:t>Note:</w:t>
      </w:r>
    </w:p>
    <w:p>
      <w:pPr>
        <w:pStyle w:val="Para 03"/>
      </w:pPr>
      <w:r>
        <w:t>When you exit the shell in a window (by typing exit or pressing Ctrl+d), that window</w:t>
      </w:r>
    </w:p>
    <w:p>
      <w:pPr>
        <w:pStyle w:val="Para 03"/>
      </w:pPr>
      <w:r>
        <w:t>closes. If it was the last window in a session, the entire tmux session terminates.</w:t>
      </w:r>
    </w:p>
    <w:p>
      <w:pPr>
        <w:pStyle w:val="Para 17"/>
      </w:pPr>
      <w:r>
        <w:t/>
      </w:r>
    </w:p>
    <w:p>
      <w:pPr>
        <w:pStyle w:val="Para 01"/>
      </w:pPr>
      <w:r>
        <w:t>Pane management</w:t>
      </w:r>
    </w:p>
    <w:p>
      <w:pPr>
        <w:pStyle w:val="Para 17"/>
      </w:pPr>
      <w:r>
        <w:t/>
      </w:r>
    </w:p>
    <w:p>
      <w:pPr>
        <w:pStyle w:val="Normal"/>
      </w:pPr>
      <w:r>
        <w:t>Within a window, you can split your terminal into multiple panes to view different shells si-multaneously.</w:t>
      </w:r>
    </w:p>
    <w:p>
      <w:pPr>
        <w:pStyle w:val="Para 01"/>
      </w:pPr>
      <w:r>
        <w:t>Creating and navigating panes</w:t>
      </w:r>
      <w:r>
        <w:rPr>
          <w:rStyle w:val="Text0"/>
        </w:rPr>
        <w:t>:</w:t>
      </w:r>
    </w:p>
    <w:p>
      <w:pPr>
        <w:pStyle w:val="Para 04"/>
      </w:pPr>
      <w:r>
        <w:t>• Ctrl+b %- Split pane vertically (side by side)</w:t>
      </w:r>
    </w:p>
    <w:p>
      <w:pPr>
        <w:pStyle w:val="Para 04"/>
      </w:pPr>
      <w:r>
        <w:t>• Ctrl+b "- Split pane horizontally (top and bottom)</w:t>
      </w:r>
    </w:p>
    <w:p>
      <w:pPr>
        <w:pStyle w:val="Para 04"/>
      </w:pPr>
      <w:r>
        <w:t>• Ctrl+b o- Switch to next pane</w:t>
      </w:r>
    </w:p>
    <w:p>
      <w:pPr>
        <w:pStyle w:val="Para 04"/>
      </w:pPr>
      <w:r>
        <w:t>• Ctrl+b arrow-key- Navigate between panes using arrow keys</w:t>
      </w:r>
    </w:p>
    <w:p>
      <w:pPr>
        <w:pStyle w:val="Para 04"/>
      </w:pPr>
      <w:r>
        <w:t>• Ctrl+b x- Close current pane (prompts for confirmation)</w:t>
      </w:r>
    </w:p>
    <w:p>
      <w:pPr>
        <w:pStyle w:val="Normal"/>
      </w:pPr>
      <w:r>
        <w:t>Closing a pane terminates the shell running in it. If you want to preserve the process, detach from the session instead of closing panes.</w:t>
      </w:r>
    </w:p>
    <w:p>
      <w:pPr>
        <w:pStyle w:val="Para 01"/>
      </w:pPr>
      <w:r>
        <w:t>Resizing panes</w:t>
      </w:r>
      <w:r>
        <w:rPr>
          <w:rStyle w:val="Text0"/>
        </w:rPr>
        <w:t>:</w:t>
      </w:r>
    </w:p>
    <w:p>
      <w:bookmarkStart w:id="1145" w:name="page_7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7" name="index-725_1.png" descr="index-725_1.png"/>
            <wp:cNvGraphicFramePr>
              <a:graphicFrameLocks noChangeAspect="1"/>
            </wp:cNvGraphicFramePr>
            <a:graphic>
              <a:graphicData uri="http://schemas.openxmlformats.org/drawingml/2006/picture">
                <pic:pic>
                  <pic:nvPicPr>
                    <pic:cNvPr id="0" name="index-725_1.png" descr="index-725_1.png"/>
                    <pic:cNvPicPr/>
                  </pic:nvPicPr>
                  <pic:blipFill>
                    <a:blip r:embed="rId761"/>
                    <a:stretch>
                      <a:fillRect/>
                    </a:stretch>
                  </pic:blipFill>
                  <pic:spPr>
                    <a:xfrm>
                      <a:off x="0" y="0"/>
                      <a:ext cx="914400" cy="266700"/>
                    </a:xfrm>
                    <a:prstGeom prst="rect">
                      <a:avLst/>
                    </a:prstGeom>
                  </pic:spPr>
                </pic:pic>
              </a:graphicData>
            </a:graphic>
          </wp:anchor>
        </w:drawing>
      </w:r>
      <w:bookmarkEnd w:id="1145"/>
    </w:p>
    <w:p>
      <w:pPr>
        <w:pStyle w:val="Normal"/>
      </w:pPr>
      <w:r>
        <w:t xml:space="preserve">Once you have multiple panes, you can resize them. The easiest method is to </w:t>
      </w:r>
      <w:r>
        <w:rPr>
          <w:rStyle w:val="Text0"/>
        </w:rPr>
        <w:t>hold</w:t>
      </w:r>
      <w:r>
        <w:t xml:space="preserve"> Ctrl+b and while holding use the arrow keys � � � � to adjust the size of the current pane. Keep Ctrl+b held down while pressing arrow keys repeatedly to resize continuously and smoothly.</w:t>
      </w:r>
    </w:p>
    <w:p>
      <w:pPr>
        <w:pStyle w:val="Normal"/>
      </w:pPr>
      <w:r>
        <w:t>Alternatively, you can use explicit resize commands:</w:t>
      </w:r>
    </w:p>
    <w:p>
      <w:pPr>
        <w:pStyle w:val="Para 04"/>
      </w:pPr>
      <w:r>
        <w:t>• Ctrl+b : then type resize-pane -D 10 (Down by 10 lines)</w:t>
      </w:r>
    </w:p>
    <w:p>
      <w:pPr>
        <w:pStyle w:val="Para 04"/>
      </w:pPr>
      <w:r>
        <w:t>• Ctrl+b : then type resize-pane -U 10 (Up by 10 lines)</w:t>
      </w:r>
    </w:p>
    <w:p>
      <w:pPr>
        <w:pStyle w:val="Para 04"/>
      </w:pPr>
      <w:r>
        <w:t>• Ctrl+b : then type resize-pane -L 10 (Left by 10 columns)</w:t>
      </w:r>
    </w:p>
    <w:p>
      <w:pPr>
        <w:pStyle w:val="Para 04"/>
      </w:pPr>
      <w:r>
        <w:t>• Ctrl+b : then type resize-pane -R 10 (Right by 10 columns)</w:t>
      </w:r>
    </w:p>
    <w:p>
      <w:pPr>
        <w:pStyle w:val="Normal"/>
      </w:pPr>
      <w:r>
        <w:t>Some interactions like resizing panes can be complex, but custom key bindings can be con-figured to make an administrator’s common actions more comfortable.</w:t>
      </w:r>
    </w:p>
    <w:p>
      <w:pPr>
        <w:pStyle w:val="Para 01"/>
      </w:pPr>
      <w:r>
        <w:t>Scrollback mode</w:t>
      </w:r>
      <w:r>
        <w:rPr>
          <w:rStyle w:val="Text0"/>
        </w:rPr>
        <w:t>:</w:t>
      </w:r>
    </w:p>
    <w:p>
      <w:pPr>
        <w:pStyle w:val="Normal"/>
      </w:pPr>
      <w:r>
        <w:t>Scrollback allows you to review previous command output that has scrolled off the screen. tmux maintains a buffer (history) of terminal output.</w:t>
      </w:r>
    </w:p>
    <w:p>
      <w:pPr>
        <w:pStyle w:val="Para 04"/>
      </w:pPr>
      <w:r>
        <w:t>• Ctrl+b [- Enter scrollback mode</w:t>
      </w:r>
    </w:p>
    <w:p>
      <w:pPr>
        <w:pStyle w:val="Normal"/>
      </w:pPr>
      <w:r>
        <w:t>Once in scrollback mode, use arrow keys, Page Up/Page Down, or vi-style keys (j/k) to navigate. Press q to exit scrollback mode. The default scrollback buffer stores 2000 lines, but this can be increased in the configuration (see the Configuration section).</w:t>
      </w:r>
    </w:p>
    <w:p>
      <w:pPr>
        <w:pStyle w:val="Para 17"/>
      </w:pPr>
      <w:r>
        <w:t/>
      </w:r>
    </w:p>
    <w:p>
      <w:pPr>
        <w:pStyle w:val="Para 01"/>
      </w:pPr>
      <w:r>
        <w:t>Console-based screen sharing</w:t>
      </w:r>
    </w:p>
    <w:p>
      <w:pPr>
        <w:pStyle w:val="Para 17"/>
      </w:pPr>
      <w:r>
        <w:t/>
      </w:r>
    </w:p>
    <w:p>
      <w:pPr>
        <w:pStyle w:val="Normal"/>
      </w:pPr>
      <w:r>
        <w:t>One of tmux’s powerful features is the ability to share sessions between multiple users over SSH. This is invaluable for pair programming, training, or troubleshooting.</w:t>
      </w:r>
    </w:p>
    <w:p>
      <w:pPr>
        <w:pStyle w:val="Para 01"/>
      </w:pPr>
      <w:r>
        <w:t>Basic session sharing</w:t>
      </w:r>
      <w:r>
        <w:rPr>
          <w:rStyle w:val="Text0"/>
        </w:rPr>
        <w:t xml:space="preserve"> (same user):</w:t>
      </w:r>
    </w:p>
    <w:p>
      <w:pPr>
        <w:pStyle w:val="Normal"/>
      </w:pPr>
      <w:r>
        <w:t>User 1 creates a session:</w:t>
      </w:r>
    </w:p>
    <w:p>
      <w:pPr>
        <w:pStyle w:val="Normal"/>
      </w:pPr>
      <w:r>
        <w:t>tmux new-session -s shared</w:t>
      </w:r>
    </w:p>
    <w:p>
      <w:pPr>
        <w:pStyle w:val="Para 17"/>
      </w:pPr>
      <w:r>
        <w:t/>
      </w:r>
    </w:p>
    <w:p>
      <w:pPr>
        <w:pStyle w:val="Normal"/>
      </w:pPr>
      <w:r>
        <w:t>User 2 (logged in as the same user on another terminal/SSH connection) attaches to it:</w:t>
      </w:r>
    </w:p>
    <w:p>
      <w:pPr>
        <w:pStyle w:val="Normal"/>
      </w:pPr>
      <w:r>
        <w:t>tmux attach-session -t shared</w:t>
      </w:r>
    </w:p>
    <w:p>
      <w:pPr>
        <w:pStyle w:val="Para 17"/>
      </w:pPr>
      <w:r>
        <w:t/>
      </w:r>
    </w:p>
    <w:p>
      <w:pPr>
        <w:pStyle w:val="Normal"/>
      </w:pPr>
      <w:r>
        <w:t>Both users now see and can provide input to the same terminal session in real-time - any keystrokes from either user are processed by the session.</w:t>
      </w:r>
    </w:p>
    <w:p>
      <w:pPr>
        <w:pStyle w:val="Para 01"/>
      </w:pPr>
      <w:r>
        <w:t>Read-only session sharing</w:t>
      </w:r>
      <w:r>
        <w:rPr>
          <w:rStyle w:val="Text0"/>
        </w:rPr>
        <w:t>:</w:t>
      </w:r>
    </w:p>
    <w:p>
      <w:pPr>
        <w:pStyle w:val="Normal"/>
      </w:pPr>
      <w:r>
        <w:t>By default, all users attached to a session have read/write access to the terminal input/out-put. To allow someone to watch your session without being able to send input (read-only mode), they can attach with the-r flag:</w:t>
      </w:r>
    </w:p>
    <w:p>
      <w:pPr>
        <w:pStyle w:val="Normal"/>
      </w:pPr>
      <w:r>
        <w:t>User 2 attaches in read-only mode:</w:t>
      </w:r>
    </w:p>
    <w:p>
      <w:pPr>
        <w:pStyle w:val="Normal"/>
      </w:pPr>
      <w:r>
        <w:t>tmux attach-session -t shared -r</w:t>
      </w:r>
    </w:p>
    <w:p>
      <w:pPr>
        <w:pStyle w:val="Para 17"/>
      </w:pPr>
      <w:r>
        <w:t/>
      </w:r>
    </w:p>
    <w:p>
      <w:pPr>
        <w:pStyle w:val="Normal"/>
      </w:pPr>
      <w:r>
        <w:t>In read-only mode, User 2 can see all terminal output but cannot type commands or interfere with the session.</w:t>
      </w:r>
    </w:p>
    <w:p>
      <w:pPr>
        <w:pStyle w:val="Para 01"/>
      </w:pPr>
      <w:r>
        <w:t>Multi-user session sharing</w:t>
      </w:r>
      <w:r>
        <w:rPr>
          <w:rStyle w:val="Text0"/>
        </w:rPr>
        <w:t xml:space="preserve"> (different users):</w:t>
      </w:r>
    </w:p>
    <w:p>
      <w:bookmarkStart w:id="1146" w:name="page_7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8" name="index-726_1.png" descr="index-726_1.png"/>
            <wp:cNvGraphicFramePr>
              <a:graphicFrameLocks noChangeAspect="1"/>
            </wp:cNvGraphicFramePr>
            <a:graphic>
              <a:graphicData uri="http://schemas.openxmlformats.org/drawingml/2006/picture">
                <pic:pic>
                  <pic:nvPicPr>
                    <pic:cNvPr id="0" name="index-726_1.png" descr="index-726_1.png"/>
                    <pic:cNvPicPr/>
                  </pic:nvPicPr>
                  <pic:blipFill>
                    <a:blip r:embed="rId762"/>
                    <a:stretch>
                      <a:fillRect/>
                    </a:stretch>
                  </pic:blipFill>
                  <pic:spPr>
                    <a:xfrm>
                      <a:off x="0" y="0"/>
                      <a:ext cx="914400" cy="266700"/>
                    </a:xfrm>
                    <a:prstGeom prst="rect">
                      <a:avLst/>
                    </a:prstGeom>
                  </pic:spPr>
                </pic:pic>
              </a:graphicData>
            </a:graphic>
          </wp:anchor>
        </w:drawing>
      </w:r>
      <w:bookmarkEnd w:id="1146"/>
    </w:p>
    <w:p>
      <w:pPr>
        <w:pStyle w:val="Normal"/>
      </w:pPr>
      <w:r>
        <w:t>For different users to share a session, you need to create a shared socket:</w:t>
      </w:r>
    </w:p>
    <w:p>
      <w:pPr>
        <w:pStyle w:val="Normal"/>
      </w:pPr>
      <w:r>
        <w:t>User 1 creates a session with a shared socket:</w:t>
      </w:r>
    </w:p>
    <w:p>
      <w:pPr>
        <w:pStyle w:val="Normal"/>
      </w:pPr>
      <w:r>
        <w:t>tmux -S /tmp/shared-session new-session -s collaboration</w:t>
        <w:t xml:space="preserve"> </w:t>
        <w:t>chmod</w:t>
        <w:t xml:space="preserve"> </w:t>
        <w:t>777</w:t>
        <w:t xml:space="preserve"> </w:t>
        <w:t>/tmp/shared-session</w:t>
      </w:r>
    </w:p>
    <w:p>
      <w:pPr>
        <w:pStyle w:val="Para 17"/>
      </w:pPr>
      <w:r>
        <w:t/>
      </w:r>
    </w:p>
    <w:p>
      <w:pPr>
        <w:pStyle w:val="Normal"/>
      </w:pPr>
      <w:r>
        <w:t>User 2 connects using the shared socket:</w:t>
      </w:r>
    </w:p>
    <w:p>
      <w:pPr>
        <w:pStyle w:val="Normal"/>
      </w:pPr>
      <w:r>
        <w:t>tmux -S /tmp/shared-session attach-session -t collaboration</w:t>
      </w:r>
    </w:p>
    <w:p>
      <w:pPr>
        <w:pStyle w:val="Para 17"/>
      </w:pPr>
      <w:r>
        <w:t/>
      </w:r>
    </w:p>
    <w:p>
      <w:pPr>
        <w:pStyle w:val="Para 08"/>
      </w:pPr>
      <w:r>
        <w:t>Note:</w:t>
      </w:r>
    </w:p>
    <w:p>
      <w:pPr>
        <w:pStyle w:val="Para 03"/>
      </w:pPr>
      <w:r>
        <w:t>For multi-user sharing, ensure both users have appropriate permissions on the socket file.</w:t>
      </w:r>
    </w:p>
    <w:p>
      <w:pPr>
        <w:pStyle w:val="Para 03"/>
      </w:pPr>
      <w:r>
        <w:t>Consider security implications when sharing sessions between different users.</w:t>
      </w:r>
    </w:p>
    <w:p>
      <w:pPr>
        <w:pStyle w:val="Para 17"/>
      </w:pPr>
      <w:r>
        <w:t/>
      </w:r>
    </w:p>
    <w:p>
      <w:pPr>
        <w:pStyle w:val="Para 01"/>
      </w:pPr>
      <w:r>
        <w:t>Configuration</w:t>
      </w:r>
    </w:p>
    <w:p>
      <w:pPr>
        <w:pStyle w:val="Para 17"/>
      </w:pPr>
      <w:r>
        <w:t/>
      </w:r>
    </w:p>
    <w:p>
      <w:pPr>
        <w:pStyle w:val="Normal"/>
      </w:pPr>
      <w:r>
        <w:t>tmux can be customized through the ~/.tmux.conf file. The configuration possibilities are extensive and depend on your specific needs. Here are two commonly useful examples:</w:t>
      </w:r>
    </w:p>
    <w:p>
      <w:pPr>
        <w:pStyle w:val="Normal"/>
      </w:pPr>
      <w:r>
        <w:rPr>
          <w:rStyle w:val="Text0"/>
        </w:rPr>
        <w:t>Enable mouse support</w:t>
      </w:r>
      <w:r>
        <w:t xml:space="preserve"> for easier pane/window navigation and resizing:</w:t>
      </w:r>
    </w:p>
    <w:p>
      <w:pPr>
        <w:pStyle w:val="Para 10"/>
      </w:pPr>
      <w:r>
        <w:t># Enable mouse support</w:t>
      </w:r>
    </w:p>
    <w:p>
      <w:pPr>
        <w:pStyle w:val="Normal"/>
      </w:pPr>
      <w:r>
        <w:t>set</w:t>
        <w:t>-g mouse on</w:t>
      </w:r>
    </w:p>
    <w:p>
      <w:pPr>
        <w:pStyle w:val="Para 17"/>
      </w:pPr>
      <w:r>
        <w:t/>
      </w:r>
    </w:p>
    <w:p>
      <w:pPr>
        <w:pStyle w:val="Normal"/>
      </w:pPr>
      <w:r>
        <w:rPr>
          <w:rStyle w:val="Text0"/>
        </w:rPr>
        <w:t>Increase scrollback history</w:t>
      </w:r>
      <w:r>
        <w:t xml:space="preserve"> to review more command output:</w:t>
      </w:r>
    </w:p>
    <w:p>
      <w:pPr>
        <w:pStyle w:val="Para 10"/>
      </w:pPr>
      <w:r>
        <w:t># Increase scrollback buffer size from default 2000 to 10000 lines</w:t>
      </w:r>
      <w:r>
        <w:rPr>
          <w:rStyle w:val="Text3"/>
        </w:rPr>
        <w:t xml:space="preserve"> </w:t>
        <w:t>set-option -g history-limit</w:t>
        <w:t xml:space="preserve"> </w:t>
        <w:t>10000</w:t>
      </w:r>
    </w:p>
    <w:p>
      <w:pPr>
        <w:pStyle w:val="Para 17"/>
      </w:pPr>
      <w:r>
        <w:t/>
      </w:r>
    </w:p>
    <w:p>
      <w:pPr>
        <w:pStyle w:val="Normal"/>
      </w:pPr>
      <w:r>
        <w:t>After creating or modifying ~/.tmux.conf, reload it from within tmux:</w:t>
      </w:r>
    </w:p>
    <w:p>
      <w:pPr>
        <w:pStyle w:val="Normal"/>
      </w:pPr>
      <w:r>
        <w:t>tmux source-file ~/.tmux.conf</w:t>
      </w:r>
    </w:p>
    <w:p>
      <w:pPr>
        <w:pStyle w:val="Para 17"/>
      </w:pPr>
      <w:r>
        <w:t/>
      </w:r>
    </w:p>
    <w:p>
      <w:pPr>
        <w:pStyle w:val="Normal"/>
      </w:pPr>
      <w:r>
        <w:t>Or use Ctrl+b : and type source-file ~/.tmux.conf.</w:t>
      </w:r>
    </w:p>
    <w:p>
      <w:pPr>
        <w:pStyle w:val="Normal"/>
      </w:pPr>
      <w:r>
        <w:t>Reloading the configuration preserves all your existing sessions, windows, and panes. The alternative would be to exit and restart tmux, but that would lose your current work environ-ment.</w:t>
      </w:r>
    </w:p>
    <w:p>
      <w:pPr>
        <w:pStyle w:val="Para 17"/>
      </w:pPr>
      <w:r>
        <w:t/>
      </w:r>
    </w:p>
    <w:p>
      <w:pPr>
        <w:pStyle w:val="Para 01"/>
      </w:pPr>
      <w:r>
        <w:t>Scripting and automation</w:t>
      </w:r>
    </w:p>
    <w:p>
      <w:pPr>
        <w:pStyle w:val="Para 17"/>
      </w:pPr>
      <w:r>
        <w:t/>
      </w:r>
    </w:p>
    <w:p>
      <w:pPr>
        <w:pStyle w:val="Normal"/>
      </w:pPr>
      <w:r>
        <w:t>tmux can be scripted to automate the creation of complex session layouts with multiple win-dows and panes. Scripts can use commands like new-session, split-window, new-window, and send-keys to set up your preferred environment automatically. Sessions are identified by name, windows by their index within a session, and panes by their index within a window. For</w:t>
      </w:r>
    </w:p>
    <w:p>
      <w:pPr>
        <w:pStyle w:val="Normal"/>
      </w:pPr>
      <w:r>
        <w:t xml:space="preserve">detailed scripting syntax and options, refer to the </w:t>
      </w:r>
      <w:hyperlink r:id="rId1605">
        <w:r>
          <w:rPr>
            <w:rStyle w:val="Text9"/>
          </w:rPr>
          <w:t>704</w:t>
        </w:r>
      </w:hyperlink>
      <w:hyperlink r:id="rId1605">
        <w:r>
          <w:rPr>
            <w:rStyle w:val="Text1"/>
          </w:rPr>
          <w:t xml:space="preserve"> </w:t>
        </w:r>
      </w:hyperlink>
      <w:hyperlink r:id="rId1605">
        <w:r>
          <w:rPr>
            <w:rStyle w:val="Text2"/>
          </w:rPr>
          <w:t>tmux(1)</w:t>
        </w:r>
      </w:hyperlink>
      <w:r>
        <w:t xml:space="preserve"> manual page.</w:t>
      </w:r>
    </w:p>
    <w:p>
      <w:pPr>
        <w:pStyle w:val="Para 05"/>
      </w:pPr>
      <w:r>
        <w:rPr>
          <w:rStyle w:val="Text5"/>
        </w:rPr>
        <w:t>704</w:t>
      </w:r>
      <w:r>
        <w:rPr>
          <w:rStyle w:val="Text8"/>
        </w:rPr>
        <w:t xml:space="preserve"> </w:t>
      </w:r>
      <w:r>
        <w:t>https://manpages.ubuntu.com/manpages/resolute/man1/tmux.1.html</w:t>
      </w:r>
      <w:r>
        <w:rPr>
          <w:rStyle w:val="Text8"/>
        </w:rPr>
        <w:t xml:space="preserve"> </w:t>
      </w:r>
      <w:r>
        <w:rPr>
          <w:rStyle w:val="Text11"/>
        </w:rPr>
        <w:t>tmux plugins</w:t>
      </w:r>
    </w:p>
    <w:p>
      <w:bookmarkStart w:id="1147" w:name="page_7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59" name="index-727_1.png" descr="index-727_1.png"/>
            <wp:cNvGraphicFramePr>
              <a:graphicFrameLocks noChangeAspect="1"/>
            </wp:cNvGraphicFramePr>
            <a:graphic>
              <a:graphicData uri="http://schemas.openxmlformats.org/drawingml/2006/picture">
                <pic:pic>
                  <pic:nvPicPr>
                    <pic:cNvPr id="0" name="index-727_1.png" descr="index-727_1.png"/>
                    <pic:cNvPicPr/>
                  </pic:nvPicPr>
                  <pic:blipFill>
                    <a:blip r:embed="rId763"/>
                    <a:stretch>
                      <a:fillRect/>
                    </a:stretch>
                  </pic:blipFill>
                  <pic:spPr>
                    <a:xfrm>
                      <a:off x="0" y="0"/>
                      <a:ext cx="914400" cy="266700"/>
                    </a:xfrm>
                    <a:prstGeom prst="rect">
                      <a:avLst/>
                    </a:prstGeom>
                  </pic:spPr>
                </pic:pic>
              </a:graphicData>
            </a:graphic>
          </wp:anchor>
        </w:drawing>
      </w:r>
      <w:bookmarkEnd w:id="1147"/>
    </w:p>
    <w:p>
      <w:pPr>
        <w:pStyle w:val="Para 17"/>
      </w:pPr>
      <w:r>
        <w:t/>
      </w:r>
    </w:p>
    <w:p>
      <w:pPr>
        <w:pStyle w:val="Normal"/>
      </w:pPr>
      <w:r>
        <w:t>The tmux ecosystem includes a plugin manager called Tmux Plugin Manager (TPM) that ex-tends functionality. Install it from the Ubuntu archive:</w:t>
      </w:r>
    </w:p>
    <w:p>
      <w:pPr>
        <w:pStyle w:val="Normal"/>
      </w:pPr>
      <w:r>
        <w:t>sudo apt install tmux-plugin-manager</w:t>
      </w:r>
    </w:p>
    <w:p>
      <w:pPr>
        <w:pStyle w:val="Para 17"/>
      </w:pPr>
      <w:r>
        <w:t/>
      </w:r>
    </w:p>
    <w:p>
      <w:pPr>
        <w:pStyle w:val="Para 08"/>
      </w:pPr>
      <w:r>
        <w:t>Note:</w:t>
      </w:r>
    </w:p>
    <w:p>
      <w:pPr>
        <w:pStyle w:val="Para 03"/>
      </w:pPr>
      <w:r>
        <w:t>While tmux plugins can be powerful, be aware that they introduce third-party code and</w:t>
      </w:r>
    </w:p>
    <w:p>
      <w:pPr>
        <w:pStyle w:val="Para 03"/>
      </w:pPr>
      <w:r>
        <w:t xml:space="preserve">configuration into your system. The same considerations discussed in the </w:t>
      </w:r>
      <w:hyperlink w:anchor="page_839">
        <w:r>
          <w:rPr>
            <w:rStyle w:val="Text2"/>
          </w:rPr>
          <w:t>Third party</w:t>
        </w:r>
      </w:hyperlink>
    </w:p>
    <w:p>
      <w:pPr>
        <w:pStyle w:val="Para 03"/>
      </w:pPr>
      <w:hyperlink w:anchor="page_839">
        <w:r>
          <w:rPr>
            <w:rStyle w:val="Text2"/>
          </w:rPr>
          <w:t>repository usage</w:t>
        </w:r>
      </w:hyperlink>
      <w:r>
        <w:t xml:space="preserve"> (page 838) documentation apply here - evaluate trustworthiness, secu-</w:t>
      </w:r>
    </w:p>
    <w:p>
      <w:pPr>
        <w:pStyle w:val="Para 03"/>
      </w:pPr>
      <w:r>
        <w:t>rity implications, and maintenance status before using plugins, especially in production</w:t>
      </w:r>
    </w:p>
    <w:p>
      <w:pPr>
        <w:pStyle w:val="Para 03"/>
      </w:pPr>
      <w:r>
        <w:t>environments.</w:t>
      </w:r>
    </w:p>
    <w:p>
      <w:pPr>
        <w:pStyle w:val="Normal"/>
      </w:pPr>
      <w:r>
        <w:t>Popular plugins include:</w:t>
      </w:r>
    </w:p>
    <w:p>
      <w:pPr>
        <w:pStyle w:val="Para 04"/>
      </w:pPr>
      <w:r>
        <w:t xml:space="preserve">• </w:t>
      </w:r>
      <w:r>
        <w:rPr>
          <w:rStyle w:val="Text0"/>
        </w:rPr>
        <w:t>tmux-resurrect</w:t>
      </w:r>
      <w:r>
        <w:t>: Save and restore tmux sessions across system restarts</w:t>
      </w:r>
    </w:p>
    <w:p>
      <w:pPr>
        <w:pStyle w:val="Para 04"/>
      </w:pPr>
      <w:r>
        <w:t xml:space="preserve">• </w:t>
      </w:r>
      <w:r>
        <w:rPr>
          <w:rStyle w:val="Text0"/>
        </w:rPr>
        <w:t>tmux-continuum</w:t>
      </w:r>
      <w:r>
        <w:t>: Builds on tmux-resurrect to provide automatic continuous saving of</w:t>
      </w:r>
    </w:p>
    <w:p>
      <w:pPr>
        <w:pStyle w:val="Para 02"/>
      </w:pPr>
      <w:r>
        <w:t>tmux sessions at regular intervals (default every 15 minutes)</w:t>
      </w:r>
    </w:p>
    <w:p>
      <w:pPr>
        <w:pStyle w:val="Para 04"/>
      </w:pPr>
      <w:r>
        <w:t xml:space="preserve">• </w:t>
      </w:r>
      <w:r>
        <w:rPr>
          <w:rStyle w:val="Text0"/>
        </w:rPr>
        <w:t>tmux-yank</w:t>
      </w:r>
      <w:r>
        <w:t>: Improved copy/paste functionality</w:t>
      </w:r>
    </w:p>
    <w:p>
      <w:pPr>
        <w:pStyle w:val="Para 17"/>
      </w:pPr>
      <w:r>
        <w:t/>
      </w:r>
    </w:p>
    <w:p>
      <w:pPr>
        <w:pStyle w:val="Para 01"/>
      </w:pPr>
      <w:r>
        <w:t>Other options</w:t>
      </w:r>
    </w:p>
    <w:p>
      <w:pPr>
        <w:pStyle w:val="Para 17"/>
      </w:pPr>
      <w:r>
        <w:t/>
      </w:r>
    </w:p>
    <w:p>
      <w:pPr>
        <w:pStyle w:val="Para 01"/>
      </w:pPr>
      <w:r>
        <w:t>Mosh (mobile shell)</w:t>
      </w:r>
    </w:p>
    <w:p>
      <w:pPr>
        <w:pStyle w:val="Para 17"/>
      </w:pPr>
      <w:r>
        <w:t/>
      </w:r>
    </w:p>
    <w:p>
      <w:pPr>
        <w:pStyle w:val="Normal"/>
      </w:pPr>
      <w:r>
        <w:t>While not a terminal multiplexer itself, Mosh (mobile shell) deserves a mention as it comple-ments SSH and terminal multiplexers. Mosh is closer to “SSH + tmux” than just tmux alone. Its primary strength is handling flaky network connections even more gracefully than tmux alone - it maintains connectivity through connection loss, IP address changes (roaming be-tween networks), and even laptop sleep/wake cycles.</w:t>
      </w:r>
    </w:p>
    <w:p>
      <w:pPr>
        <w:pStyle w:val="Normal"/>
      </w:pPr>
      <w:r>
        <w:t>If your main interest in terminal multiplexers is protection against disconnects rather than the window/pane management features, Mosh combined with tmux might be the ideal so-lution. Mosh handles the network resilience while tmux provides session persistence and workspace management.</w:t>
      </w:r>
    </w:p>
    <w:p>
      <w:pPr>
        <w:pStyle w:val="Normal"/>
      </w:pPr>
      <w:r>
        <w:t>Install Mosh:</w:t>
      </w:r>
    </w:p>
    <w:p>
      <w:pPr>
        <w:pStyle w:val="Normal"/>
      </w:pPr>
      <w:r>
        <w:t>sudo apt install mosh</w:t>
      </w:r>
    </w:p>
    <w:p>
      <w:pPr>
        <w:pStyle w:val="Para 17"/>
      </w:pPr>
      <w:r>
        <w:t/>
      </w:r>
    </w:p>
    <w:p>
      <w:pPr>
        <w:pStyle w:val="Normal"/>
      </w:pPr>
      <w:r>
        <w:t>Connect to a remote server:</w:t>
      </w:r>
    </w:p>
    <w:p>
      <w:pPr>
        <w:pStyle w:val="Normal"/>
      </w:pPr>
      <w:r>
        <w:t>mosh user@remote-server</w:t>
      </w:r>
    </w:p>
    <w:p>
      <w:bookmarkStart w:id="1148" w:name="calibre_pb_210"/>
      <w:pPr>
        <w:pStyle w:val="0 Block"/>
      </w:pPr>
      <w:bookmarkEnd w:id="1148"/>
    </w:p>
    <w:p>
      <w:bookmarkStart w:id="1149" w:name="Top_of_index_split_211_html"/>
      <w:bookmarkStart w:id="1150" w:name="page_7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0" name="index-728_1.png" descr="index-728_1.png"/>
            <wp:cNvGraphicFramePr>
              <a:graphicFrameLocks noChangeAspect="1"/>
            </wp:cNvGraphicFramePr>
            <a:graphic>
              <a:graphicData uri="http://schemas.openxmlformats.org/drawingml/2006/picture">
                <pic:pic>
                  <pic:nvPicPr>
                    <pic:cNvPr id="0" name="index-728_1.png" descr="index-728_1.png"/>
                    <pic:cNvPicPr/>
                  </pic:nvPicPr>
                  <pic:blipFill>
                    <a:blip r:embed="rId764"/>
                    <a:stretch>
                      <a:fillRect/>
                    </a:stretch>
                  </pic:blipFill>
                  <pic:spPr>
                    <a:xfrm>
                      <a:off x="0" y="0"/>
                      <a:ext cx="914400" cy="266700"/>
                    </a:xfrm>
                    <a:prstGeom prst="rect">
                      <a:avLst/>
                    </a:prstGeom>
                  </pic:spPr>
                </pic:pic>
              </a:graphicData>
            </a:graphic>
          </wp:anchor>
        </w:drawing>
      </w:r>
      <w:bookmarkEnd w:id="1149"/>
      <w:bookmarkEnd w:id="1150"/>
    </w:p>
    <w:p>
      <w:pPr>
        <w:pStyle w:val="Para 01"/>
      </w:pPr>
      <w:r>
        <w:t>GNU Screen</w:t>
      </w:r>
    </w:p>
    <w:p>
      <w:pPr>
        <w:pStyle w:val="Para 17"/>
      </w:pPr>
      <w:r>
        <w:t/>
      </w:r>
    </w:p>
    <w:p>
      <w:pPr>
        <w:pStyle w:val="Normal"/>
      </w:pPr>
      <w:r>
        <w:t>GNU Screen is the established terminal multiplexer that has been available for decades and is pre-installed on Ubuntu Server. While it’s still functional and widely available, it’s generally considered aging technology with development largely stalled. Screen uses similar concepts to tmux but with a different key binding scheme (default prefix Ctrl+a).</w:t>
      </w:r>
    </w:p>
    <w:p>
      <w:pPr>
        <w:pStyle w:val="Normal"/>
      </w:pPr>
      <w:r>
        <w:t>Screen also supports session sharing between users on a system. Users can share a screen session by using the-x flag to attach to another user’s session (with appropriate permissions), enabling collaborative work or troubleshooting scenarios.</w:t>
      </w:r>
    </w:p>
    <w:p>
      <w:pPr>
        <w:pStyle w:val="Normal"/>
      </w:pPr>
      <w:r>
        <w:t>Screen remains useful to know for legacy environments, but for new workflows, tmux is rec-ommended due to its active development, better performance, and more features.</w:t>
      </w:r>
    </w:p>
    <w:p>
      <w:pPr>
        <w:pStyle w:val="Para 17"/>
      </w:pPr>
      <w:r>
        <w:t/>
      </w:r>
    </w:p>
    <w:p>
      <w:pPr>
        <w:pStyle w:val="Para 01"/>
      </w:pPr>
      <w:r>
        <w:t>Byobu</w:t>
      </w:r>
    </w:p>
    <w:p>
      <w:pPr>
        <w:pStyle w:val="Para 17"/>
      </w:pPr>
      <w:r>
        <w:t/>
      </w:r>
    </w:p>
    <w:p>
      <w:pPr>
        <w:pStyle w:val="Normal"/>
      </w:pPr>
      <w:r>
        <w:t>Byobu is a wrapper around tmux (or screen) that provides a more beginner friendly interface with enhanced status notifications and F-key shortcuts. While Byobu was installed by default on Ubuntu Server up until 25.04 Plucky, it now needs to be installed if you want to use it:</w:t>
      </w:r>
    </w:p>
    <w:p>
      <w:pPr>
        <w:pStyle w:val="Normal"/>
      </w:pPr>
      <w:r>
        <w:t>sudo apt install byobu</w:t>
      </w:r>
    </w:p>
    <w:p>
      <w:pPr>
        <w:pStyle w:val="Para 17"/>
      </w:pPr>
      <w:r>
        <w:t/>
      </w:r>
    </w:p>
    <w:p>
      <w:pPr>
        <w:pStyle w:val="Normal"/>
      </w:pPr>
      <w:r>
        <w:t>Byobu uses tmux as its backend if available.</w:t>
      </w:r>
    </w:p>
    <w:p>
      <w:pPr>
        <w:pStyle w:val="Normal"/>
      </w:pPr>
      <w:r>
        <w:t>Invoke it with:</w:t>
      </w:r>
    </w:p>
    <w:p>
      <w:pPr>
        <w:pStyle w:val="Normal"/>
      </w:pPr>
      <w:r>
        <w:t>byobu</w:t>
      </w:r>
    </w:p>
    <w:p>
      <w:pPr>
        <w:pStyle w:val="Para 17"/>
      </w:pPr>
      <w:r>
        <w:t/>
      </w:r>
    </w:p>
    <w:p>
      <w:pPr>
        <w:pStyle w:val="Normal"/>
      </w:pPr>
      <w:r>
        <w:t>Bring up the configuration menu by pressing F9:</w:t>
      </w:r>
    </w:p>
    <w:p>
      <w:pPr>
        <w:pStyle w:val="Para 04"/>
      </w:pPr>
      <w:r>
        <w:t>• Help – Quick Start Guide</w:t>
      </w:r>
    </w:p>
    <w:p>
      <w:pPr>
        <w:pStyle w:val="Para 04"/>
      </w:pPr>
      <w:r>
        <w:t>• Toggle status notifications</w:t>
      </w:r>
    </w:p>
    <w:p>
      <w:pPr>
        <w:pStyle w:val="Para 04"/>
      </w:pPr>
      <w:r>
        <w:t>• Change the escape sequence</w:t>
      </w:r>
    </w:p>
    <w:p>
      <w:pPr>
        <w:pStyle w:val="Para 04"/>
      </w:pPr>
      <w:r>
        <w:t>• Byobu currently does not launch at login (toggle on)</w:t>
      </w:r>
    </w:p>
    <w:p>
      <w:pPr>
        <w:pStyle w:val="Normal"/>
      </w:pPr>
      <w:r>
        <w:t xml:space="preserve">Byobu provides a menu which displays the Ubuntu release, processor information, memory information, and the time and date. Using the </w:t>
      </w:r>
      <w:r>
        <w:rPr>
          <w:rStyle w:val="Text3"/>
        </w:rPr>
        <w:t>“Byobu currently does not launch at login (toggle on)”</w:t>
      </w:r>
      <w:r>
        <w:t xml:space="preserve"> option will cause Byobu to be executed any time a terminal is opened. Changes made to Byobu are on a per-user basis.</w:t>
      </w:r>
    </w:p>
    <w:p>
      <w:pPr>
        <w:pStyle w:val="Normal"/>
      </w:pPr>
      <w:r>
        <w:rPr>
          <w:rStyle w:val="Text0"/>
        </w:rPr>
        <w:t>Scrollback mode</w:t>
      </w:r>
      <w:r>
        <w:t xml:space="preserve"> in Byobu: Press F7 to enter scrollback mode, which allows you to navigate past output using vi-like commands:</w:t>
      </w:r>
    </w:p>
    <w:p>
      <w:pPr>
        <w:pStyle w:val="Para 04"/>
      </w:pPr>
      <w:r>
        <w:t>• h- Move the cursor left by one character</w:t>
      </w:r>
    </w:p>
    <w:p>
      <w:pPr>
        <w:pStyle w:val="Para 04"/>
      </w:pPr>
      <w:r>
        <w:t>• j- Move the cursor down by one line</w:t>
      </w:r>
    </w:p>
    <w:p>
      <w:pPr>
        <w:pStyle w:val="Para 04"/>
      </w:pPr>
      <w:r>
        <w:t>• k- Move the cursor up by one line</w:t>
      </w:r>
    </w:p>
    <w:p>
      <w:pPr>
        <w:pStyle w:val="Para 04"/>
      </w:pPr>
      <w:r>
        <w:t>• l- Move the cursor right by one character</w:t>
      </w:r>
    </w:p>
    <w:p>
      <w:pPr>
        <w:pStyle w:val="Para 04"/>
      </w:pPr>
      <w:r>
        <w:t>• 0- Move to the beginning of the current line</w:t>
      </w:r>
    </w:p>
    <w:p>
      <w:pPr>
        <w:pStyle w:val="Para 04"/>
      </w:pPr>
      <w:r>
        <w:t>• $- Move to the end of the current line</w:t>
      </w:r>
    </w:p>
    <w:p>
      <w:pPr>
        <w:pStyle w:val="Para 04"/>
      </w:pPr>
      <w:r>
        <w:t>• G- Moves to the specified line (defaults to the end of the buffer)</w:t>
      </w:r>
    </w:p>
    <w:p>
      <w:bookmarkStart w:id="1151" w:name="page_7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1" name="index-729_1.png" descr="index-729_1.png"/>
            <wp:cNvGraphicFramePr>
              <a:graphicFrameLocks noChangeAspect="1"/>
            </wp:cNvGraphicFramePr>
            <a:graphic>
              <a:graphicData uri="http://schemas.openxmlformats.org/drawingml/2006/picture">
                <pic:pic>
                  <pic:nvPicPr>
                    <pic:cNvPr id="0" name="index-729_1.png" descr="index-729_1.png"/>
                    <pic:cNvPicPr/>
                  </pic:nvPicPr>
                  <pic:blipFill>
                    <a:blip r:embed="rId765"/>
                    <a:stretch>
                      <a:fillRect/>
                    </a:stretch>
                  </pic:blipFill>
                  <pic:spPr>
                    <a:xfrm>
                      <a:off x="0" y="0"/>
                      <a:ext cx="914400" cy="266700"/>
                    </a:xfrm>
                    <a:prstGeom prst="rect">
                      <a:avLst/>
                    </a:prstGeom>
                  </pic:spPr>
                </pic:pic>
              </a:graphicData>
            </a:graphic>
          </wp:anchor>
        </w:drawing>
      </w:r>
      <w:bookmarkEnd w:id="1151"/>
    </w:p>
    <w:p>
      <w:pPr>
        <w:pStyle w:val="Para 04"/>
      </w:pPr>
      <w:r>
        <w:t>• /- Search forward</w:t>
      </w:r>
    </w:p>
    <w:p>
      <w:pPr>
        <w:pStyle w:val="Para 04"/>
      </w:pPr>
      <w:r>
        <w:t>• ?- Search backward</w:t>
      </w:r>
    </w:p>
    <w:p>
      <w:pPr>
        <w:pStyle w:val="Para 04"/>
      </w:pPr>
      <w:r>
        <w:t>• n- Moves to the next match, either forward or backward</w:t>
      </w:r>
    </w:p>
    <w:p>
      <w:pPr>
        <w:pStyle w:val="Normal"/>
      </w:pPr>
      <w:r>
        <w:t>While Byobu can be helpful for beginners, learning tmux directly provides more flexibility and is more transferable across different systems.</w:t>
      </w:r>
    </w:p>
    <w:p>
      <w:pPr>
        <w:pStyle w:val="Para 17"/>
      </w:pPr>
      <w:r>
        <w:t/>
      </w:r>
    </w:p>
    <w:p>
      <w:pPr>
        <w:pStyle w:val="Para 01"/>
      </w:pPr>
      <w:r>
        <w:t>pam_motd</w:t>
      </w:r>
    </w:p>
    <w:p>
      <w:pPr>
        <w:pStyle w:val="Para 17"/>
      </w:pPr>
      <w:r>
        <w:t/>
      </w:r>
    </w:p>
    <w:p>
      <w:pPr>
        <w:pStyle w:val="Normal"/>
      </w:pPr>
      <w:r>
        <w:t>When logging into an Ubuntu server you may have noticed the informative Message Of The Day (MOTD).</w:t>
      </w:r>
    </w:p>
    <w:p>
      <w:pPr>
        <w:pStyle w:val="Para 17"/>
      </w:pPr>
      <w:r>
        <w:t/>
      </w:r>
    </w:p>
    <w:p>
      <w:pPr>
        <w:pStyle w:val="Para 01"/>
      </w:pPr>
      <w:r>
        <w:t>Packages adding to MOTD</w:t>
      </w:r>
    </w:p>
    <w:p>
      <w:pPr>
        <w:pStyle w:val="Para 17"/>
      </w:pPr>
      <w:r>
        <w:t/>
      </w:r>
    </w:p>
    <w:p>
      <w:pPr>
        <w:pStyle w:val="Normal"/>
      </w:pPr>
      <w:r>
        <w:t>There are various packages that add to the MOTD by placing configuration in /etc/update-motd.d/.</w:t>
      </w:r>
    </w:p>
    <w:p>
      <w:pPr>
        <w:pStyle w:val="Para 17"/>
      </w:pPr>
      <w:r>
        <w:t/>
      </w:r>
    </w:p>
    <w:p>
      <w:pPr>
        <w:pStyle w:val="Para 01"/>
      </w:pPr>
      <w:r>
        <w:t>Landscape-sysinfo</w:t>
      </w:r>
    </w:p>
    <w:p>
      <w:pPr>
        <w:pStyle w:val="Para 17"/>
      </w:pPr>
      <w:r>
        <w:t/>
      </w:r>
    </w:p>
    <w:p>
      <w:pPr>
        <w:pStyle w:val="Normal"/>
      </w:pPr>
      <w:r>
        <w:t>Here is one example of system information obtained and displayed by Landscape:</w:t>
      </w:r>
    </w:p>
    <w:p>
      <w:pPr>
        <w:pStyle w:val="Para 04"/>
      </w:pPr>
      <w:r>
        <w:t xml:space="preserve">• </w:t>
      </w:r>
      <w:r>
        <w:rPr>
          <w:rStyle w:val="Text3"/>
        </w:rPr>
        <w:t>landscape-common:</w:t>
      </w:r>
      <w:r>
        <w:t xml:space="preserve"> provides the core libraries of landscape-client, which is needed to</w:t>
      </w:r>
    </w:p>
    <w:p>
      <w:pPr>
        <w:pStyle w:val="Para 02"/>
      </w:pPr>
      <w:r>
        <w:t xml:space="preserve">manage systems with </w:t>
      </w:r>
      <w:hyperlink r:id="rId1277">
        <w:r>
          <w:rPr>
            <w:rStyle w:val="Text9"/>
          </w:rPr>
          <w:t>705</w:t>
        </w:r>
      </w:hyperlink>
      <w:hyperlink r:id="rId1277">
        <w:r>
          <w:rPr>
            <w:rStyle w:val="Text1"/>
          </w:rPr>
          <w:t xml:space="preserve"> Landscape</w:t>
        </w:r>
      </w:hyperlink>
      <w:r>
        <w:t xml:space="preserve"> (proprietary). Yet the package also includes the landscape-sysinfo utility which is responsible for displaying core system data involving CPU, memory, disk space, etc. For instance:</w:t>
      </w:r>
    </w:p>
    <w:p>
      <w:pPr>
        <w:pStyle w:val="Para 02"/>
      </w:pPr>
      <w:r>
        <w:t>System load:</w:t>
        <w:t xml:space="preserve"> </w:t>
        <w:t>0.0</w:t>
      </w:r>
    </w:p>
    <w:p>
      <w:pPr>
        <w:pStyle w:val="Para 02"/>
      </w:pPr>
      <w:r>
        <w:t>Usage of /:</w:t>
        <w:t xml:space="preserve"> </w:t>
        <w:t>25.7% of 8.55GB</w:t>
        <w:t xml:space="preserve"> </w:t>
        <w:t>Memory usage:</w:t>
        <w:t xml:space="preserve"> </w:t>
        <w:t>31%</w:t>
      </w:r>
    </w:p>
    <w:p>
      <w:pPr>
        <w:pStyle w:val="Para 02"/>
      </w:pPr>
      <w:r>
        <w:t>Swap usage:</w:t>
        <w:t xml:space="preserve"> </w:t>
        <w:t>0%</w:t>
      </w:r>
    </w:p>
    <w:p>
      <w:pPr>
        <w:pStyle w:val="Para 02"/>
      </w:pPr>
      <w:r>
        <w:t>Processes:</w:t>
        <w:t xml:space="preserve"> </w:t>
        <w:t>125</w:t>
      </w:r>
    </w:p>
    <w:p>
      <w:pPr>
        <w:pStyle w:val="Para 02"/>
      </w:pPr>
      <w:r>
        <w:t>Users logged in:</w:t>
        <w:t xml:space="preserve"> </w:t>
        <w:t>0</w:t>
      </w:r>
    </w:p>
    <w:p>
      <w:pPr>
        <w:pStyle w:val="Para 02"/>
      </w:pPr>
      <w:r>
        <w:t>IPv4 address for enp5s0: 10.185.198.41</w:t>
      </w:r>
    </w:p>
    <w:p>
      <w:pPr>
        <w:pStyle w:val="Para 02"/>
      </w:pPr>
      <w:r>
        <w:t>IPv6 address for enp5s0: fd42:50cb:3a48:1f2c:216:3eff:fe27:c18a</w:t>
      </w:r>
    </w:p>
    <w:p>
      <w:pPr>
        <w:pStyle w:val="Para 17"/>
      </w:pPr>
      <w:r>
        <w:t/>
      </w:r>
    </w:p>
    <w:p>
      <w:pPr>
        <w:pStyle w:val="Para 23"/>
      </w:pPr>
      <w:r>
        <w:t>Note:</w:t>
      </w:r>
    </w:p>
    <w:p>
      <w:pPr>
        <w:pStyle w:val="Para 06"/>
      </w:pPr>
      <w:r>
        <w:t>You can run landscape-sysinfo manually at any time.</w:t>
      </w:r>
    </w:p>
    <w:p>
      <w:pPr>
        <w:pStyle w:val="Para 17"/>
      </w:pPr>
      <w:r>
        <w:t/>
      </w:r>
    </w:p>
    <w:p>
      <w:pPr>
        <w:pStyle w:val="Para 04"/>
      </w:pPr>
      <w:r>
        <w:t xml:space="preserve">• </w:t>
      </w:r>
      <w:r>
        <w:rPr>
          <w:rStyle w:val="Text3"/>
        </w:rPr>
        <w:t>update-notifier-common:</w:t>
      </w:r>
      <w:r>
        <w:t xml:space="preserve"> provides information on available package updates, impend-</w:t>
      </w:r>
    </w:p>
    <w:p>
      <w:pPr>
        <w:pStyle w:val="Para 17"/>
      </w:pPr>
      <w:r>
        <w:t xml:space="preserve">ing </w:t>
      </w:r>
      <w:hyperlink w:anchor="page_684">
        <w:r>
          <w:rPr>
            <w:rStyle w:val="Text2"/>
          </w:rPr>
          <w:t>filesystem checks (fsck)</w:t>
        </w:r>
      </w:hyperlink>
      <w:hyperlink w:anchor="page_684">
        <w:r>
          <w:rPr>
            <w:rStyle w:val="Text1"/>
          </w:rPr>
          <w:t xml:space="preserve">, </w:t>
        </w:r>
      </w:hyperlink>
      <w:r>
        <w:t>and required reboots (e.g.: after a kernel upgrade).</w:t>
      </w:r>
    </w:p>
    <w:p>
      <w:pPr>
        <w:pStyle w:val="Normal"/>
      </w:pPr>
      <w:r>
        <w:t>pam_motd executes the scripts in /etc/update-motd.d in order based on the number prepended to the script. The output of the scripts is written to /var/run/motd, keeping the numerical order, then concatenated with /etc/motd.tail.</w:t>
      </w:r>
    </w:p>
    <w:p>
      <w:pPr>
        <w:pStyle w:val="Para 05"/>
      </w:pPr>
      <w:r>
        <w:rPr>
          <w:rStyle w:val="Text5"/>
        </w:rPr>
        <w:t>705</w:t>
      </w:r>
      <w:r>
        <w:rPr>
          <w:rStyle w:val="Text8"/>
        </w:rPr>
        <w:t xml:space="preserve"> </w:t>
      </w:r>
      <w:r>
        <w:t>https://ubuntu.com/landscape</w:t>
      </w:r>
    </w:p>
    <w:p>
      <w:bookmarkStart w:id="1152" w:name="page_7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2" name="index-730_1.png" descr="index-730_1.png"/>
            <wp:cNvGraphicFramePr>
              <a:graphicFrameLocks noChangeAspect="1"/>
            </wp:cNvGraphicFramePr>
            <a:graphic>
              <a:graphicData uri="http://schemas.openxmlformats.org/drawingml/2006/picture">
                <pic:pic>
                  <pic:nvPicPr>
                    <pic:cNvPr id="0" name="index-730_1.png" descr="index-730_1.png"/>
                    <pic:cNvPicPr/>
                  </pic:nvPicPr>
                  <pic:blipFill>
                    <a:blip r:embed="rId766"/>
                    <a:stretch>
                      <a:fillRect/>
                    </a:stretch>
                  </pic:blipFill>
                  <pic:spPr>
                    <a:xfrm>
                      <a:off x="0" y="0"/>
                      <a:ext cx="914400" cy="266700"/>
                    </a:xfrm>
                    <a:prstGeom prst="rect">
                      <a:avLst/>
                    </a:prstGeom>
                  </pic:spPr>
                </pic:pic>
              </a:graphicData>
            </a:graphic>
          </wp:anchor>
        </w:drawing>
      </w:r>
      <w:bookmarkEnd w:id="1152"/>
    </w:p>
    <w:p>
      <w:pPr>
        <w:pStyle w:val="Para 01"/>
      </w:pPr>
      <w:r>
        <w:t>Other default MOTD entries</w:t>
      </w:r>
    </w:p>
    <w:p>
      <w:pPr>
        <w:pStyle w:val="Para 17"/>
      </w:pPr>
      <w:r>
        <w:t/>
      </w:r>
    </w:p>
    <w:p>
      <w:pPr>
        <w:pStyle w:val="Normal"/>
      </w:pPr>
      <w:r>
        <w:t>The default content in /etc/update-motd.d/ in 26.04 covers (most of them only deliver output if there is something meaningful to report):</w:t>
      </w:r>
    </w:p>
    <w:p>
      <w:pPr>
        <w:pStyle w:val="Para 04"/>
      </w:pPr>
      <w:r>
        <w:t>• base-files establishing the basic mechanism: 00-header, 10-help-text, 50-motd-news</w:t>
      </w:r>
    </w:p>
    <w:p>
      <w:pPr>
        <w:pStyle w:val="Para 04"/>
      </w:pPr>
      <w:r>
        <w:t>• base-files also provides Ubuntu news: 50-motd-news</w:t>
      </w:r>
    </w:p>
    <w:p>
      <w:pPr>
        <w:pStyle w:val="Para 04"/>
      </w:pPr>
      <w:r>
        <w:t>• landscape info about the system: 50-landscape-sysinfo</w:t>
      </w:r>
    </w:p>
    <w:p>
      <w:pPr>
        <w:pStyle w:val="Para 04"/>
      </w:pPr>
      <w:r>
        <w:t>• fwupd presents potential firmware updates: 85-fwupd</w:t>
      </w:r>
    </w:p>
    <w:p>
      <w:pPr>
        <w:pStyle w:val="Para 04"/>
      </w:pPr>
      <w:r>
        <w:t>• update-notifier-common reports about available updates: 90-updates-available</w:t>
      </w:r>
    </w:p>
    <w:p>
      <w:pPr>
        <w:pStyle w:val="Para 04"/>
      </w:pPr>
      <w:r>
        <w:t xml:space="preserve">• </w:t>
      </w:r>
      <w:hyperlink w:anchor="page_730">
        <w:r>
          <w:rPr>
            <w:rStyle w:val="Text9"/>
          </w:rPr>
          <w:t>706</w:t>
        </w:r>
      </w:hyperlink>
      <w:r>
        <w:t xml:space="preserve"> </w:t>
      </w:r>
      <w:hyperlink r:id="rId1606">
        <w:r>
          <w:rPr>
            <w:rStyle w:val="Text1"/>
          </w:rPr>
          <w:t>ubuntu-pro-client</w:t>
        </w:r>
      </w:hyperlink>
      <w:r>
        <w:t xml:space="preserve"> mentions expiring Ubuntu Pro subscriptions: 91-contract-ua-</w:t>
      </w:r>
    </w:p>
    <w:p>
      <w:pPr>
        <w:pStyle w:val="Para 02"/>
      </w:pPr>
      <w:r>
        <w:t>esm-status</w:t>
      </w:r>
    </w:p>
    <w:p>
      <w:pPr>
        <w:pStyle w:val="Para 04"/>
      </w:pPr>
      <w:r>
        <w:t>• ubuntu-release-upgrader-core suggests upgrades: 91-release-upgrade</w:t>
      </w:r>
    </w:p>
    <w:p>
      <w:pPr>
        <w:pStyle w:val="Para 04"/>
      </w:pPr>
      <w:r>
        <w:t>• unattended-upgrades informs if updates could not be installed automatically: 92-</w:t>
      </w:r>
    </w:p>
    <w:p>
      <w:pPr>
        <w:pStyle w:val="Para 02"/>
      </w:pPr>
      <w:r>
        <w:t>unattended-upgrades</w:t>
      </w:r>
    </w:p>
    <w:p>
      <w:pPr>
        <w:pStyle w:val="Para 04"/>
      </w:pPr>
      <w:r>
        <w:t>• update-notifier-common notifies if the HWE kernel might go end of life: 95-hwe-eol</w:t>
      </w:r>
    </w:p>
    <w:p>
      <w:pPr>
        <w:pStyle w:val="Para 04"/>
      </w:pPr>
      <w:r>
        <w:t>• overlayroot reports if any overlays are active: 97-overlayroot</w:t>
      </w:r>
    </w:p>
    <w:p>
      <w:pPr>
        <w:pStyle w:val="Para 04"/>
      </w:pPr>
      <w:r>
        <w:t>• update-notifier-common suggests regular filesystem checks: 98-fsck-at-reboot</w:t>
      </w:r>
    </w:p>
    <w:p>
      <w:pPr>
        <w:pStyle w:val="Para 04"/>
      </w:pPr>
      <w:r>
        <w:t>• update-notifier-common also hints if a reboot is required: 98-reboot-required</w:t>
      </w:r>
    </w:p>
    <w:p>
      <w:pPr>
        <w:pStyle w:val="Para 17"/>
      </w:pPr>
      <w:r>
        <w:t/>
      </w:r>
    </w:p>
    <w:p>
      <w:pPr>
        <w:pStyle w:val="Para 01"/>
      </w:pPr>
      <w:r>
        <w:t>Customization</w:t>
      </w:r>
    </w:p>
    <w:p>
      <w:pPr>
        <w:pStyle w:val="Para 17"/>
      </w:pPr>
      <w:r>
        <w:t/>
      </w:r>
    </w:p>
    <w:p>
      <w:pPr>
        <w:pStyle w:val="Normal"/>
      </w:pPr>
      <w:r>
        <w:t>You can modify the configuration provided by the system or consider adding your own dy-namic information to the MOTD by adding to /etc/update-motd.d/.</w:t>
      </w:r>
    </w:p>
    <w:p>
      <w:pPr>
        <w:pStyle w:val="Normal"/>
      </w:pPr>
      <w:r>
        <w:t>This example is not meant to be serious, instead it is a bit of fun to demonstrate the usage of pam_motd for your own messages.</w:t>
      </w:r>
    </w:p>
    <w:p>
      <w:pPr>
        <w:pStyle w:val="Para 10"/>
      </w:pPr>
      <w:r>
        <w:t>#!/bin/bash</w:t>
      </w:r>
    </w:p>
    <w:p>
      <w:pPr>
        <w:pStyle w:val="Para 10"/>
      </w:pPr>
      <w:r>
        <w:t># 1. Get timestamp and calculate nearest sysadminday</w:t>
      </w:r>
    </w:p>
    <w:p>
      <w:pPr>
        <w:pStyle w:val="Normal"/>
      </w:pPr>
      <w:r>
        <w:t>NOW</w:t>
        <w:t>=</w:t>
      </w:r>
      <w:r>
        <w:rPr>
          <w:rStyle w:val="Text0"/>
        </w:rPr>
        <w:t>$(</w:t>
      </w:r>
      <w:r>
        <w:t>date +%s</w:t>
      </w:r>
      <w:r>
        <w:rPr>
          <w:rStyle w:val="Text0"/>
        </w:rPr>
        <w:t>)</w:t>
      </w:r>
    </w:p>
    <w:p>
      <w:pPr>
        <w:pStyle w:val="Normal"/>
      </w:pPr>
      <w:r>
        <w:t>THIS_YEAR</w:t>
        <w:t>=</w:t>
      </w:r>
      <w:r>
        <w:rPr>
          <w:rStyle w:val="Text0"/>
        </w:rPr>
        <w:t>$(</w:t>
      </w:r>
      <w:r>
        <w:t>date +%Y</w:t>
      </w:r>
      <w:r>
        <w:rPr>
          <w:rStyle w:val="Text0"/>
        </w:rPr>
        <w:t>)</w:t>
      </w:r>
    </w:p>
    <w:p>
      <w:pPr>
        <w:pStyle w:val="Normal"/>
      </w:pPr>
      <w:r>
        <w:t>TARGET_PREV</w:t>
        <w:t>=</w:t>
      </w:r>
      <w:r>
        <w:rPr>
          <w:rStyle w:val="Text0"/>
        </w:rPr>
        <w:t>$(</w:t>
      </w:r>
      <w:r>
        <w:t>date -d</w:t>
        <w:t xml:space="preserve"> </w:t>
        <w:t>"</w:t>
      </w:r>
      <w:r>
        <w:rPr>
          <w:rStyle w:val="Text0"/>
        </w:rPr>
        <w:t>$((</w:t>
      </w:r>
      <w:r>
        <w:t>THIS_YEAR</w:t>
        <w:t>-</w:t>
        <w:t>1</w:t>
      </w:r>
      <w:r>
        <w:rPr>
          <w:rStyle w:val="Text0"/>
        </w:rPr>
        <w:t>))</w:t>
      </w:r>
      <w:r>
        <w:t>-08-01 last friday"</w:t>
        <w:t xml:space="preserve"> </w:t>
        <w:t>+%s</w:t>
      </w:r>
      <w:r>
        <w:rPr>
          <w:rStyle w:val="Text0"/>
        </w:rPr>
        <w:t>)</w:t>
      </w:r>
      <w:r>
        <w:t xml:space="preserve"> </w:t>
        <w:t>TARGET_CURR</w:t>
        <w:t>=</w:t>
      </w:r>
      <w:r>
        <w:rPr>
          <w:rStyle w:val="Text0"/>
        </w:rPr>
        <w:t>$(</w:t>
      </w:r>
      <w:r>
        <w:t>date -d</w:t>
        <w:t xml:space="preserve"> </w:t>
        <w:t>"</w:t>
        <w:t>$THIS_YEAR</w:t>
        <w:t>-08-01 last friday"</w:t>
        <w:t xml:space="preserve"> </w:t>
        <w:t>+%s</w:t>
      </w:r>
      <w:r>
        <w:rPr>
          <w:rStyle w:val="Text0"/>
        </w:rPr>
        <w:t>)</w:t>
      </w:r>
      <w:r>
        <w:t xml:space="preserve"> </w:t>
        <w:t>TARGET_NEXT</w:t>
        <w:t>=</w:t>
      </w:r>
      <w:r>
        <w:rPr>
          <w:rStyle w:val="Text0"/>
        </w:rPr>
        <w:t>$(</w:t>
      </w:r>
      <w:r>
        <w:t>date -d</w:t>
        <w:t xml:space="preserve"> </w:t>
        <w:t>"</w:t>
      </w:r>
      <w:r>
        <w:rPr>
          <w:rStyle w:val="Text0"/>
        </w:rPr>
        <w:t>$((</w:t>
      </w:r>
      <w:r>
        <w:t>THIS_YEAR</w:t>
        <w:t>+</w:t>
        <w:t>1</w:t>
      </w:r>
      <w:r>
        <w:rPr>
          <w:rStyle w:val="Text0"/>
        </w:rPr>
        <w:t>))</w:t>
      </w:r>
      <w:r>
        <w:t>-08-01 last friday"</w:t>
        <w:t xml:space="preserve"> </w:t>
        <w:t>+%s</w:t>
      </w:r>
      <w:r>
        <w:rPr>
          <w:rStyle w:val="Text0"/>
        </w:rPr>
        <w:t>)</w:t>
      </w:r>
    </w:p>
    <w:p>
      <w:pPr>
        <w:pStyle w:val="Para 10"/>
      </w:pPr>
      <w:r>
        <w:t># 2. Loop to find the shortest distance</w:t>
      </w:r>
    </w:p>
    <w:p>
      <w:pPr>
        <w:pStyle w:val="Normal"/>
      </w:pPr>
      <w:r>
        <w:t>MIN_DIFF</w:t>
        <w:t>=</w:t>
        <w:t>9999999999</w:t>
      </w:r>
    </w:p>
    <w:p>
      <w:pPr>
        <w:pStyle w:val="Normal"/>
      </w:pPr>
      <w:r>
        <w:t>CHOSEN_DAYS</w:t>
        <w:t>=</w:t>
        <w:t>0</w:t>
      </w:r>
    </w:p>
    <w:p>
      <w:pPr>
        <w:pStyle w:val="Normal"/>
      </w:pPr>
      <w:r>
        <w:t>TIMING</w:t>
        <w:t>=</w:t>
        <w:t>""</w:t>
      </w:r>
    </w:p>
    <w:p>
      <w:pPr>
        <w:pStyle w:val="Normal"/>
      </w:pPr>
      <w:r>
        <w:rPr>
          <w:rStyle w:val="Text0"/>
        </w:rPr>
        <w:t>for</w:t>
      </w:r>
      <w:r>
        <w:t xml:space="preserve"> </w:t>
        <w:t>TARGET</w:t>
        <w:t xml:space="preserve"> </w:t>
      </w:r>
      <w:r>
        <w:rPr>
          <w:rStyle w:val="Text0"/>
        </w:rPr>
        <w:t>in</w:t>
      </w:r>
      <w:r>
        <w:t xml:space="preserve"> </w:t>
        <w:t>$TARGET_PREV $TARGET_CURR $TARGET_NEXT</w:t>
        <w:t>;</w:t>
        <w:t xml:space="preserve"> </w:t>
      </w:r>
      <w:r>
        <w:rPr>
          <w:rStyle w:val="Text0"/>
        </w:rPr>
        <w:t>do</w:t>
      </w:r>
    </w:p>
    <w:p>
      <w:pPr>
        <w:pStyle w:val="Para 07"/>
      </w:pPr>
      <w:r>
        <w:t># Calculate difference</w:t>
      </w:r>
    </w:p>
    <w:p>
      <w:pPr>
        <w:pStyle w:val="Para 02"/>
      </w:pPr>
      <w:r>
        <w:t>DIFF</w:t>
        <w:t>=</w:t>
      </w:r>
      <w:r>
        <w:rPr>
          <w:rStyle w:val="Text0"/>
        </w:rPr>
        <w:t>$((</w:t>
      </w:r>
      <w:r>
        <w:t xml:space="preserve"> </w:t>
        <w:t>(</w:t>
        <w:t>TARGET</w:t>
        <w:t>-</w:t>
        <w:t>NOW</w:t>
        <w:t>) /</w:t>
        <w:t xml:space="preserve"> </w:t>
        <w:t>86400</w:t>
        <w:t xml:space="preserve"> </w:t>
      </w:r>
      <w:r>
        <w:rPr>
          <w:rStyle w:val="Text0"/>
        </w:rPr>
        <w:t>))</w:t>
      </w:r>
    </w:p>
    <w:p>
      <w:pPr>
        <w:pStyle w:val="Para 09"/>
      </w:pPr>
      <w:r>
        <w:t>(continues on next page)</w:t>
      </w:r>
    </w:p>
    <w:p>
      <w:pPr>
        <w:pStyle w:val="Para 05"/>
      </w:pPr>
      <w:r>
        <w:rPr>
          <w:rStyle w:val="Text5"/>
        </w:rPr>
        <w:t>706</w:t>
      </w:r>
      <w:r>
        <w:rPr>
          <w:rStyle w:val="Text8"/>
        </w:rPr>
        <w:t xml:space="preserve"> </w:t>
      </w:r>
      <w:r>
        <w:t>https://documentation.ubuntu.com/pro-client/en/latest/explanations/motd_messages/</w:t>
      </w:r>
    </w:p>
    <w:p>
      <w:bookmarkStart w:id="1153" w:name="page_7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3" name="index-731_1.png" descr="index-731_1.png"/>
            <wp:cNvGraphicFramePr>
              <a:graphicFrameLocks noChangeAspect="1"/>
            </wp:cNvGraphicFramePr>
            <a:graphic>
              <a:graphicData uri="http://schemas.openxmlformats.org/drawingml/2006/picture">
                <pic:pic>
                  <pic:nvPicPr>
                    <pic:cNvPr id="0" name="index-731_1.png" descr="index-731_1.png"/>
                    <pic:cNvPicPr/>
                  </pic:nvPicPr>
                  <pic:blipFill>
                    <a:blip r:embed="rId767"/>
                    <a:stretch>
                      <a:fillRect/>
                    </a:stretch>
                  </pic:blipFill>
                  <pic:spPr>
                    <a:xfrm>
                      <a:off x="0" y="0"/>
                      <a:ext cx="914400" cy="266700"/>
                    </a:xfrm>
                    <a:prstGeom prst="rect">
                      <a:avLst/>
                    </a:prstGeom>
                  </pic:spPr>
                </pic:pic>
              </a:graphicData>
            </a:graphic>
          </wp:anchor>
        </w:drawing>
      </w:r>
      <w:bookmarkEnd w:id="1153"/>
    </w:p>
    <w:p>
      <w:pPr>
        <w:pStyle w:val="Para 09"/>
      </w:pPr>
      <w:r>
        <w:t>(continued from previous page)</w:t>
      </w:r>
    </w:p>
    <w:p>
      <w:pPr>
        <w:pStyle w:val="Para 07"/>
      </w:pPr>
      <w:r>
        <w:t># Get absolute value for comparison</w:t>
      </w:r>
    </w:p>
    <w:p>
      <w:pPr>
        <w:pStyle w:val="Para 02"/>
      </w:pPr>
      <w:r>
        <w:rPr>
          <w:rStyle w:val="Text0"/>
        </w:rPr>
        <w:t>if</w:t>
      </w:r>
      <w:r>
        <w:t xml:space="preserve"> </w:t>
        <w:t>[</w:t>
        <w:t xml:space="preserve"> </w:t>
        <w:t>$DIFF</w:t>
        <w:t>-lt</w:t>
        <w:t xml:space="preserve"> </w:t>
        <w:t>0</w:t>
        <w:t xml:space="preserve"> </w:t>
        <w:t>]</w:t>
        <w:t>;</w:t>
        <w:t xml:space="preserve"> </w:t>
      </w:r>
      <w:r>
        <w:rPr>
          <w:rStyle w:val="Text0"/>
        </w:rPr>
        <w:t>then</w:t>
      </w:r>
    </w:p>
    <w:p>
      <w:pPr>
        <w:pStyle w:val="Para 06"/>
      </w:pPr>
      <w:r>
        <w:t>ABS_DIFF</w:t>
        <w:t>=</w:t>
      </w:r>
      <w:r>
        <w:rPr>
          <w:rStyle w:val="Text0"/>
        </w:rPr>
        <w:t>$((</w:t>
      </w:r>
      <w:r>
        <w:t>DIFF</w:t>
        <w:t xml:space="preserve"> </w:t>
        <w:t>* -</w:t>
        <w:t>1</w:t>
      </w:r>
      <w:r>
        <w:rPr>
          <w:rStyle w:val="Text0"/>
        </w:rPr>
        <w:t>))</w:t>
      </w:r>
    </w:p>
    <w:p>
      <w:pPr>
        <w:pStyle w:val="Para 06"/>
      </w:pPr>
      <w:r>
        <w:t>CURRENT_TIMING</w:t>
        <w:t>=</w:t>
        <w:t>"ago"</w:t>
      </w:r>
    </w:p>
    <w:p>
      <w:pPr>
        <w:pStyle w:val="Para 39"/>
      </w:pPr>
      <w:r>
        <w:t>else</w:t>
      </w:r>
    </w:p>
    <w:p>
      <w:pPr>
        <w:pStyle w:val="Para 06"/>
      </w:pPr>
      <w:r>
        <w:t>ABS_DIFF</w:t>
        <w:t>=</w:t>
        <w:t>$DIFF</w:t>
      </w:r>
    </w:p>
    <w:p>
      <w:pPr>
        <w:pStyle w:val="Para 06"/>
      </w:pPr>
      <w:r>
        <w:t>CURRENT_TIMING</w:t>
        <w:t>=</w:t>
        <w:t>"in"</w:t>
      </w:r>
    </w:p>
    <w:p>
      <w:pPr>
        <w:pStyle w:val="Para 39"/>
      </w:pPr>
      <w:r>
        <w:t>fi</w:t>
      </w:r>
    </w:p>
    <w:p>
      <w:pPr>
        <w:pStyle w:val="Para 07"/>
      </w:pPr>
      <w:r>
        <w:t># Update if this is the closest date found so far</w:t>
      </w:r>
    </w:p>
    <w:p>
      <w:pPr>
        <w:pStyle w:val="Para 02"/>
      </w:pPr>
      <w:r>
        <w:rPr>
          <w:rStyle w:val="Text0"/>
        </w:rPr>
        <w:t>if</w:t>
      </w:r>
      <w:r>
        <w:t xml:space="preserve"> </w:t>
        <w:t>[</w:t>
        <w:t xml:space="preserve"> </w:t>
        <w:t>$ABS_DIFF</w:t>
        <w:t>-lt</w:t>
        <w:t xml:space="preserve"> </w:t>
        <w:t>$MIN_DIFF</w:t>
        <w:t xml:space="preserve"> </w:t>
        <w:t>]</w:t>
        <w:t>;</w:t>
        <w:t xml:space="preserve"> </w:t>
      </w:r>
      <w:r>
        <w:rPr>
          <w:rStyle w:val="Text0"/>
        </w:rPr>
        <w:t>then</w:t>
      </w:r>
    </w:p>
    <w:p>
      <w:pPr>
        <w:pStyle w:val="Para 06"/>
      </w:pPr>
      <w:r>
        <w:t>MIN_DIFF</w:t>
        <w:t>=</w:t>
        <w:t>$ABS_DIFF</w:t>
      </w:r>
    </w:p>
    <w:p>
      <w:pPr>
        <w:pStyle w:val="Para 06"/>
      </w:pPr>
      <w:r>
        <w:t>CHOSEN_DAYS</w:t>
        <w:t>=</w:t>
        <w:t>$ABS_DIFF</w:t>
      </w:r>
    </w:p>
    <w:p>
      <w:pPr>
        <w:pStyle w:val="Para 06"/>
      </w:pPr>
      <w:r>
        <w:t>TIMING</w:t>
        <w:t>=</w:t>
        <w:t>$CURRENT_TIMING</w:t>
      </w:r>
    </w:p>
    <w:p>
      <w:pPr>
        <w:pStyle w:val="Para 39"/>
      </w:pPr>
      <w:r>
        <w:t>fi</w:t>
      </w:r>
    </w:p>
    <w:p>
      <w:pPr>
        <w:pStyle w:val="Para 01"/>
      </w:pPr>
      <w:r>
        <w:t>done</w:t>
      </w:r>
    </w:p>
    <w:p>
      <w:pPr>
        <w:pStyle w:val="Para 10"/>
      </w:pPr>
      <w:r>
        <w:t># 3. Report to gain some admin-love</w:t>
      </w:r>
    </w:p>
    <w:p>
      <w:pPr>
        <w:pStyle w:val="Normal"/>
      </w:pPr>
      <w:r>
        <w:rPr>
          <w:rStyle w:val="Text0"/>
        </w:rPr>
        <w:t>if</w:t>
      </w:r>
      <w:r>
        <w:t xml:space="preserve"> </w:t>
        <w:t>[</w:t>
        <w:t xml:space="preserve"> </w:t>
        <w:t>"</w:t>
        <w:t>$CHOSEN_DAYS</w:t>
        <w:t>"</w:t>
        <w:t>-eq</w:t>
        <w:t xml:space="preserve"> </w:t>
        <w:t>0</w:t>
        <w:t xml:space="preserve"> </w:t>
        <w:t>]</w:t>
        <w:t>;</w:t>
        <w:t xml:space="preserve"> </w:t>
      </w:r>
      <w:r>
        <w:rPr>
          <w:rStyle w:val="Text0"/>
        </w:rPr>
        <w:t>then</w:t>
      </w:r>
    </w:p>
    <w:p>
      <w:pPr>
        <w:pStyle w:val="Para 02"/>
      </w:pPr>
      <w:r>
        <w:t>echo</w:t>
        <w:t>-e</w:t>
        <w:t xml:space="preserve"> </w:t>
        <w:t>"System Administrator Appreciation Day is Today! Gifts welcome."</w:t>
      </w:r>
    </w:p>
    <w:p>
      <w:pPr>
        <w:pStyle w:val="Normal"/>
      </w:pPr>
      <w:r>
        <w:rPr>
          <w:rStyle w:val="Text0"/>
        </w:rPr>
        <w:t>elif</w:t>
      </w:r>
      <w:r>
        <w:t xml:space="preserve"> </w:t>
        <w:t>[</w:t>
        <w:t xml:space="preserve"> </w:t>
        <w:t>"</w:t>
        <w:t>$TIMING</w:t>
        <w:t>"</w:t>
        <w:t xml:space="preserve"> </w:t>
        <w:t>==</w:t>
        <w:t xml:space="preserve"> </w:t>
        <w:t>"ago"</w:t>
        <w:t xml:space="preserve"> </w:t>
        <w:t>]</w:t>
        <w:t>;</w:t>
        <w:t xml:space="preserve"> </w:t>
      </w:r>
      <w:r>
        <w:rPr>
          <w:rStyle w:val="Text0"/>
        </w:rPr>
        <w:t>then</w:t>
      </w:r>
    </w:p>
    <w:p>
      <w:pPr>
        <w:pStyle w:val="Para 17"/>
      </w:pPr>
      <w:r>
        <w:t>echo</w:t>
        <w:t>-e</w:t>
        <w:t xml:space="preserve"> </w:t>
        <w:t>"System Administrator Appreciation Day is</w:t>
        <w:t xml:space="preserve"> </w:t>
      </w:r>
      <w:r>
        <w:rPr>
          <w:rStyle w:val="Text3"/>
        </w:rPr>
        <w:t>${</w:t>
      </w:r>
      <w:r>
        <w:t xml:space="preserve"> </w:t>
        <w:t>CHOSEN_DAYS</w:t>
      </w:r>
      <w:r>
        <w:rPr>
          <w:rStyle w:val="Text3"/>
        </w:rPr>
        <w:t>}</w:t>
      </w:r>
      <w:r>
        <w:t xml:space="preserve"> </w:t>
        <w:t>days ago but we'd</w:t>
      </w:r>
    </w:p>
    <w:p>
      <w:pPr>
        <w:pStyle w:val="Normal"/>
      </w:pPr>
      <w:r>
        <w:t>appreciate to be treated well every day."</w:t>
      </w:r>
    </w:p>
    <w:p>
      <w:pPr>
        <w:pStyle w:val="Para 01"/>
      </w:pPr>
      <w:r>
        <w:t>else</w:t>
      </w:r>
    </w:p>
    <w:p>
      <w:pPr>
        <w:pStyle w:val="Para 17"/>
      </w:pPr>
      <w:r>
        <w:t>echo</w:t>
        <w:t>-e</w:t>
        <w:t xml:space="preserve"> </w:t>
        <w:t>"System Administrator Appreciation Day is in</w:t>
        <w:t xml:space="preserve"> </w:t>
      </w:r>
      <w:r>
        <w:rPr>
          <w:rStyle w:val="Text3"/>
        </w:rPr>
        <w:t>${</w:t>
      </w:r>
      <w:r>
        <w:t>CHOSEN_DAYS</w:t>
      </w:r>
      <w:r>
        <w:rPr>
          <w:rStyle w:val="Text3"/>
        </w:rPr>
        <w:t>}</w:t>
      </w:r>
      <w:r>
        <w:t xml:space="preserve"> </w:t>
        <w:t>days but we'd</w:t>
      </w:r>
    </w:p>
    <w:p>
      <w:pPr>
        <w:pStyle w:val="Normal"/>
      </w:pPr>
      <w:r>
        <w:t>appreciate to be treated well every day."</w:t>
      </w:r>
    </w:p>
    <w:p>
      <w:pPr>
        <w:pStyle w:val="Para 01"/>
      </w:pPr>
      <w:r>
        <w:t>fi</w:t>
      </w:r>
    </w:p>
    <w:p>
      <w:pPr>
        <w:pStyle w:val="Para 17"/>
      </w:pPr>
      <w:r>
        <w:t/>
      </w:r>
    </w:p>
    <w:p>
      <w:pPr>
        <w:pStyle w:val="Normal"/>
      </w:pPr>
      <w:r>
        <w:t>Then make it executable</w:t>
      </w:r>
    </w:p>
    <w:p>
      <w:pPr>
        <w:pStyle w:val="Normal"/>
      </w:pPr>
      <w:r>
        <w:t>chmod +x /etc/update-motd.d/98-admin-reminder</w:t>
      </w:r>
    </w:p>
    <w:p>
      <w:pPr>
        <w:pStyle w:val="Para 17"/>
      </w:pPr>
      <w:r>
        <w:t/>
      </w:r>
    </w:p>
    <w:p>
      <w:pPr>
        <w:pStyle w:val="Normal"/>
      </w:pPr>
      <w:r>
        <w:t>On next login you should now be greeted with that as part of the message of the day.</w:t>
      </w:r>
    </w:p>
    <w:p>
      <w:pPr>
        <w:pStyle w:val="Normal"/>
      </w:pPr>
      <w:r>
        <w:t>$ ssh ubuntu@yoursystem</w:t>
      </w:r>
    </w:p>
    <w:p>
      <w:pPr>
        <w:pStyle w:val="Normal"/>
      </w:pPr>
      <w:r>
        <w:t>...</w:t>
      </w:r>
    </w:p>
    <w:p>
      <w:pPr>
        <w:pStyle w:val="Normal"/>
      </w:pPr>
      <w:r>
        <w:t>System Administrator Appreciation Day is 181 days ago but we'd appreciate to be treated</w:t>
        <w:t xml:space="preserve"> </w:t>
        <w:t>well every day.</w:t>
      </w:r>
    </w:p>
    <w:p>
      <w:pPr>
        <w:pStyle w:val="Para 17"/>
      </w:pPr>
      <w:r>
        <w:t/>
      </w:r>
    </w:p>
    <w:p>
      <w:pPr>
        <w:pStyle w:val="Para 08"/>
      </w:pPr>
      <w:r>
        <w:t>Note:</w:t>
      </w:r>
    </w:p>
    <w:p>
      <w:pPr>
        <w:pStyle w:val="Para 03"/>
      </w:pPr>
      <w:r>
        <w:t>Be careful as this will be executed on every login. The usual pattern to prevent that from</w:t>
      </w:r>
    </w:p>
    <w:p>
      <w:pPr>
        <w:pStyle w:val="Para 03"/>
      </w:pPr>
      <w:r>
        <w:t>slowing down logins is to do anything even slightly complex asynchronously and only cat</w:t>
      </w:r>
    </w:p>
    <w:p>
      <w:pPr>
        <w:pStyle w:val="Para 03"/>
      </w:pPr>
      <w:r>
        <w:t>pre-generated content in the actual MOTD handling. Furthermore consider using stamp</w:t>
      </w:r>
    </w:p>
    <w:p>
      <w:pPr>
        <w:pStyle w:val="Para 03"/>
      </w:pPr>
      <w:r>
        <w:t>files to only update at regular intervals instead of at every login. This example was meant</w:t>
      </w:r>
    </w:p>
    <w:p>
      <w:pPr>
        <w:pStyle w:val="Para 03"/>
      </w:pPr>
      <w:r>
        <w:t>to be kept simple, but the existing serious MOTD entries placed there by the packages</w:t>
      </w:r>
    </w:p>
    <w:p>
      <w:pPr>
        <w:pStyle w:val="Para 03"/>
      </w:pPr>
      <w:r>
        <w:t>make use of such, please look at those for writing your own.</w:t>
      </w:r>
    </w:p>
    <w:p>
      <w:bookmarkStart w:id="1154" w:name="calibre_pb_211"/>
      <w:pPr>
        <w:pStyle w:val="0 Block"/>
      </w:pPr>
      <w:bookmarkEnd w:id="1154"/>
    </w:p>
    <w:p>
      <w:bookmarkStart w:id="1155" w:name="Top_of_index_split_212_html"/>
      <w:bookmarkStart w:id="1156" w:name="page_73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4" name="index-732_1.png" descr="index-732_1.png"/>
            <wp:cNvGraphicFramePr>
              <a:graphicFrameLocks noChangeAspect="1"/>
            </wp:cNvGraphicFramePr>
            <a:graphic>
              <a:graphicData uri="http://schemas.openxmlformats.org/drawingml/2006/picture">
                <pic:pic>
                  <pic:nvPicPr>
                    <pic:cNvPr id="0" name="index-732_1.png" descr="index-732_1.png"/>
                    <pic:cNvPicPr/>
                  </pic:nvPicPr>
                  <pic:blipFill>
                    <a:blip r:embed="rId768"/>
                    <a:stretch>
                      <a:fillRect/>
                    </a:stretch>
                  </pic:blipFill>
                  <pic:spPr>
                    <a:xfrm>
                      <a:off x="0" y="0"/>
                      <a:ext cx="914400" cy="266700"/>
                    </a:xfrm>
                    <a:prstGeom prst="rect">
                      <a:avLst/>
                    </a:prstGeom>
                  </pic:spPr>
                </pic:pic>
              </a:graphicData>
            </a:graphic>
          </wp:anchor>
        </w:drawing>
      </w:r>
      <w:bookmarkEnd w:id="1155"/>
      <w:bookmarkEnd w:id="1156"/>
    </w:p>
    <w:p>
      <w:pPr>
        <w:pStyle w:val="Para 01"/>
      </w:pPr>
      <w:r>
        <w:t>Resources</w:t>
      </w:r>
    </w:p>
    <w:p>
      <w:pPr>
        <w:pStyle w:val="Para 17"/>
      </w:pPr>
      <w:r>
        <w:t/>
      </w:r>
    </w:p>
    <w:p>
      <w:pPr>
        <w:pStyle w:val="Para 04"/>
      </w:pPr>
      <w:r>
        <w:t xml:space="preserve">• See the </w:t>
      </w:r>
      <w:hyperlink w:anchor="page_732">
        <w:r>
          <w:rPr>
            <w:rStyle w:val="Text9"/>
          </w:rPr>
          <w:t>707</w:t>
        </w:r>
      </w:hyperlink>
      <w:r>
        <w:t xml:space="preserve"> </w:t>
      </w:r>
      <w:hyperlink r:id="rId1607">
        <w:r>
          <w:rPr>
            <w:rStyle w:val="Text2"/>
          </w:rPr>
          <w:t>update-motd(5)</w:t>
        </w:r>
      </w:hyperlink>
      <w:r>
        <w:t xml:space="preserve"> manual page for more options available to update-motd.</w:t>
      </w:r>
    </w:p>
    <w:p>
      <w:pPr>
        <w:pStyle w:val="Para 04"/>
      </w:pPr>
      <w:r>
        <w:t xml:space="preserve">• The Debian Package of the Day </w:t>
      </w:r>
      <w:hyperlink w:anchor="page_732">
        <w:r>
          <w:rPr>
            <w:rStyle w:val="Text9"/>
          </w:rPr>
          <w:t>708</w:t>
        </w:r>
      </w:hyperlink>
      <w:r>
        <w:t xml:space="preserve"> </w:t>
      </w:r>
      <w:hyperlink r:id="rId1608">
        <w:r>
          <w:rPr>
            <w:rStyle w:val="Text1"/>
          </w:rPr>
          <w:t>weather</w:t>
        </w:r>
      </w:hyperlink>
      <w:r>
        <w:t xml:space="preserve"> article has more details about using the</w:t>
      </w:r>
    </w:p>
    <w:p>
      <w:pPr>
        <w:pStyle w:val="Para 02"/>
      </w:pPr>
      <w:r>
        <w:t>weather utility.</w:t>
      </w:r>
    </w:p>
    <w:p>
      <w:pPr>
        <w:pStyle w:val="Para 17"/>
      </w:pPr>
      <w:r>
        <w:t/>
      </w:r>
    </w:p>
    <w:p>
      <w:pPr>
        <w:pStyle w:val="Para 01"/>
      </w:pPr>
      <w:r>
        <w:t>sudo-rs</w:t>
      </w:r>
    </w:p>
    <w:p>
      <w:pPr>
        <w:pStyle w:val="Para 17"/>
      </w:pPr>
      <w:r>
        <w:t/>
      </w:r>
    </w:p>
    <w:p>
      <w:pPr>
        <w:pStyle w:val="Normal"/>
      </w:pPr>
      <w:r>
        <w:t>This page serves as a reference for the key differences between sudo.ws and sudo-rs.</w:t>
      </w:r>
    </w:p>
    <w:p>
      <w:pPr>
        <w:pStyle w:val="Normal"/>
      </w:pPr>
      <w:r>
        <w:t>Note: Both projects are under active development, so it is not possible to maintain a fully up-to-date list of differences. This is a list of major differences as of the Ubuntu 25.10 and 26.04 releases, to help users upgrading to those.</w:t>
      </w:r>
    </w:p>
    <w:p>
      <w:pPr>
        <w:pStyle w:val="Normal"/>
      </w:pPr>
      <w:r>
        <w:t>For the most accurate and current information, refer to sudo-rs --help for a list of supported options in your installed version. Refer to man sudoers-rs for the /etc/sudoers configuration options supported by sudo-rs.</w:t>
      </w:r>
    </w:p>
    <w:p>
      <w:pPr>
        <w:pStyle w:val="Para 17"/>
      </w:pPr>
      <w:r>
        <w:t/>
      </w:r>
    </w:p>
    <w:p>
      <w:pPr>
        <w:pStyle w:val="Para 01"/>
      </w:pPr>
      <w:r>
        <w:t>Differences</w:t>
      </w:r>
    </w:p>
    <w:p>
      <w:pPr>
        <w:pStyle w:val="Para 17"/>
      </w:pPr>
      <w:r>
        <w:t/>
      </w:r>
    </w:p>
    <w:p>
      <w:pPr>
        <w:pStyle w:val="Para 03"/>
      </w:pPr>
      <w:r>
        <w:t>1. Start with the official documentation from the sudo-rs project.</w:t>
      </w:r>
    </w:p>
    <w:p>
      <w:pPr>
        <w:pStyle w:val="Para 27"/>
      </w:pPr>
      <w:r>
        <w:rPr>
          <w:rStyle w:val="Text7"/>
        </w:rPr>
        <w:t xml:space="preserve">• </w:t>
      </w:r>
      <w:hyperlink r:id="rId1609">
        <w:r>
          <w:rPr>
            <w:rStyle w:val="Text10"/>
          </w:rPr>
          <w:t>709</w:t>
        </w:r>
      </w:hyperlink>
      <w:hyperlink r:id="rId1609">
        <w:r>
          <w:t xml:space="preserve"> differences-from-original-sudo</w:t>
        </w:r>
      </w:hyperlink>
    </w:p>
    <w:p>
      <w:pPr>
        <w:pStyle w:val="Para 27"/>
      </w:pPr>
      <w:r>
        <w:rPr>
          <w:rStyle w:val="Text7"/>
        </w:rPr>
        <w:t xml:space="preserve">• </w:t>
      </w:r>
      <w:hyperlink r:id="rId1610">
        <w:r>
          <w:rPr>
            <w:rStyle w:val="Text10"/>
          </w:rPr>
          <w:t>710</w:t>
        </w:r>
      </w:hyperlink>
      <w:hyperlink r:id="rId1610">
        <w:r>
          <w:t xml:space="preserve"> aim-of-the-project</w:t>
        </w:r>
      </w:hyperlink>
    </w:p>
    <w:p>
      <w:pPr>
        <w:pStyle w:val="Para 03"/>
      </w:pPr>
      <w:r>
        <w:t>2. sudo-rs prompt.</w:t>
      </w:r>
    </w:p>
    <w:p>
      <w:pPr>
        <w:pStyle w:val="Para 02"/>
      </w:pPr>
      <w:r>
        <w:t>This is the most common error users encounter when using Expect-based automa-tion. The error often is a TIMEOUT because Expect is pattern matching on the sudo.ws prompt.</w:t>
      </w:r>
    </w:p>
    <w:p>
      <w:pPr>
        <w:pStyle w:val="Para 02"/>
      </w:pPr>
      <w:r>
        <w:t>sudo.ws prompt for password says [sudo] password for &lt;USERNAME&gt;, whereas sudo-rs prompt says [sudo: authenticate] &lt;METHOD&gt;:. sudo-rs transparently prints whatever PAM says such as Password:, PIN:, etc.</w:t>
      </w:r>
    </w:p>
    <w:p>
      <w:pPr>
        <w:pStyle w:val="Para 02"/>
      </w:pPr>
      <w:r>
        <w:t>You can use--prompt "" in Expect-based scripts to skip the regex-based matching of the prompt.</w:t>
      </w:r>
    </w:p>
    <w:p>
      <w:pPr>
        <w:pStyle w:val="Para 32"/>
      </w:pPr>
      <w:hyperlink r:id="rId1611">
        <w:r>
          <w:t>See more information</w:t>
        </w:r>
      </w:hyperlink>
      <w:hyperlink r:id="rId1611">
        <w:r>
          <w:rPr>
            <w:rStyle w:val="Text10"/>
          </w:rPr>
          <w:t>711</w:t>
        </w:r>
      </w:hyperlink>
    </w:p>
    <w:p>
      <w:pPr>
        <w:pStyle w:val="Para 03"/>
      </w:pPr>
      <w:r>
        <w:t>3. I/O logging and sudoreplay is not supported. The discontinued programs are sudo_</w:t>
      </w:r>
    </w:p>
    <w:p>
      <w:pPr>
        <w:pStyle w:val="Para 02"/>
      </w:pPr>
      <w:r>
        <w:t>logsrvd, sudo_sendlog, and sudoreplay.</w:t>
      </w:r>
    </w:p>
    <w:p>
      <w:pPr>
        <w:pStyle w:val="Para 03"/>
      </w:pPr>
      <w:r>
        <w:t xml:space="preserve">4. There is no </w:t>
      </w:r>
      <w:hyperlink r:id="rId1612">
        <w:r>
          <w:rPr>
            <w:rStyle w:val="Text9"/>
          </w:rPr>
          <w:t>712</w:t>
        </w:r>
      </w:hyperlink>
      <w:r>
        <w:t xml:space="preserve"> sudoers.ldap . You need to use </w:t>
      </w:r>
      <w:hyperlink r:id="rId1612">
        <w:r>
          <w:rPr>
            <w:rStyle w:val="Text1"/>
          </w:rPr>
          <w:t>LDAP authentication via PAM</w:t>
        </w:r>
      </w:hyperlink>
      <w:r>
        <w:t>.</w:t>
      </w:r>
    </w:p>
    <w:p>
      <w:pPr>
        <w:pStyle w:val="Para 03"/>
      </w:pPr>
      <w:r>
        <w:t xml:space="preserve">5. The </w:t>
      </w:r>
      <w:hyperlink w:anchor="page_732">
        <w:r>
          <w:rPr>
            <w:rStyle w:val="Text9"/>
          </w:rPr>
          <w:t>713</w:t>
        </w:r>
      </w:hyperlink>
      <w:r>
        <w:t xml:space="preserve"> sudo-rs team maintains the list of </w:t>
      </w:r>
      <w:hyperlink r:id="rId1613">
        <w:r>
          <w:rPr>
            <w:rStyle w:val="Text1"/>
          </w:rPr>
          <w:t>CLI flags parity</w:t>
        </w:r>
      </w:hyperlink>
      <w:r>
        <w:t xml:space="preserve"> with sudo.ws</w:t>
      </w:r>
    </w:p>
    <w:p>
      <w:pPr>
        <w:pStyle w:val="Para 05"/>
      </w:pPr>
      <w:r>
        <w:rPr>
          <w:rStyle w:val="Text5"/>
        </w:rPr>
        <w:t>707</w:t>
      </w:r>
      <w:r>
        <w:rPr>
          <w:rStyle w:val="Text8"/>
        </w:rPr>
        <w:t xml:space="preserve"> </w:t>
      </w:r>
      <w:r>
        <w:t>https://manpages.ubuntu.com/manpages/resolute/man5/update-motd.5.html</w:t>
      </w:r>
    </w:p>
    <w:p>
      <w:pPr>
        <w:pStyle w:val="Para 05"/>
      </w:pPr>
      <w:r>
        <w:rPr>
          <w:rStyle w:val="Text5"/>
        </w:rPr>
        <w:t>708</w:t>
      </w:r>
      <w:r>
        <w:rPr>
          <w:rStyle w:val="Text8"/>
        </w:rPr>
        <w:t xml:space="preserve"> </w:t>
      </w:r>
      <w:r>
        <w:t>https://debaday.debian.net/2007/10/04/weather-check-weather-conditions-and-forecasts-on-the-command-line/</w:t>
      </w:r>
    </w:p>
    <w:p>
      <w:pPr>
        <w:pStyle w:val="Para 05"/>
      </w:pPr>
      <w:r>
        <w:rPr>
          <w:rStyle w:val="Text5"/>
        </w:rPr>
        <w:t>709</w:t>
      </w:r>
      <w:r>
        <w:rPr>
          <w:rStyle w:val="Text8"/>
        </w:rPr>
        <w:t xml:space="preserve"> </w:t>
      </w:r>
      <w:r>
        <w:t>https://github.com/trifectatechfoundation/sudo-rs#differences-from-original-sudo</w:t>
      </w:r>
    </w:p>
    <w:p>
      <w:pPr>
        <w:pStyle w:val="Para 05"/>
      </w:pPr>
      <w:r>
        <w:rPr>
          <w:rStyle w:val="Text5"/>
        </w:rPr>
        <w:t>710</w:t>
      </w:r>
      <w:r>
        <w:rPr>
          <w:rStyle w:val="Text8"/>
        </w:rPr>
        <w:t xml:space="preserve"> </w:t>
      </w:r>
      <w:r>
        <w:t>https://github.com/trifectatechfoundation/sudo-rs?tab=readme-ov-file#aim-of-the-project</w:t>
      </w:r>
    </w:p>
    <w:p>
      <w:pPr>
        <w:pStyle w:val="Para 05"/>
      </w:pPr>
      <w:r>
        <w:rPr>
          <w:rStyle w:val="Text5"/>
        </w:rPr>
        <w:t>711</w:t>
      </w:r>
      <w:r>
        <w:rPr>
          <w:rStyle w:val="Text8"/>
        </w:rPr>
        <w:t xml:space="preserve"> </w:t>
      </w:r>
      <w:r>
        <w:t>https://github.com/trifectatechfoundation/sudo-rs/issues/1242</w:t>
      </w:r>
    </w:p>
    <w:p>
      <w:pPr>
        <w:pStyle w:val="Para 05"/>
      </w:pPr>
      <w:r>
        <w:rPr>
          <w:rStyle w:val="Text5"/>
        </w:rPr>
        <w:t>712</w:t>
      </w:r>
      <w:r>
        <w:rPr>
          <w:rStyle w:val="Text8"/>
        </w:rPr>
        <w:t xml:space="preserve"> </w:t>
      </w:r>
      <w:r>
        <w:t>https://github.com/trifectatechfoundation/sudo-rs/issues/445</w:t>
      </w:r>
    </w:p>
    <w:p>
      <w:pPr>
        <w:pStyle w:val="Para 05"/>
      </w:pPr>
      <w:r>
        <w:rPr>
          <w:rStyle w:val="Text5"/>
        </w:rPr>
        <w:t>713</w:t>
      </w:r>
      <w:r>
        <w:rPr>
          <w:rStyle w:val="Text8"/>
        </w:rPr>
        <w:t xml:space="preserve"> </w:t>
      </w:r>
      <w:r>
        <w:t>https://github.com/trifectatechfoundation/sudo-rs/issues/129</w:t>
      </w:r>
    </w:p>
    <w:p>
      <w:bookmarkStart w:id="1157" w:name="page_7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5" name="index-733_1.png" descr="index-733_1.png"/>
            <wp:cNvGraphicFramePr>
              <a:graphicFrameLocks noChangeAspect="1"/>
            </wp:cNvGraphicFramePr>
            <a:graphic>
              <a:graphicData uri="http://schemas.openxmlformats.org/drawingml/2006/picture">
                <pic:pic>
                  <pic:nvPicPr>
                    <pic:cNvPr id="0" name="index-733_1.png" descr="index-733_1.png"/>
                    <pic:cNvPicPr/>
                  </pic:nvPicPr>
                  <pic:blipFill>
                    <a:blip r:embed="rId769"/>
                    <a:stretch>
                      <a:fillRect/>
                    </a:stretch>
                  </pic:blipFill>
                  <pic:spPr>
                    <a:xfrm>
                      <a:off x="0" y="0"/>
                      <a:ext cx="914400" cy="266700"/>
                    </a:xfrm>
                    <a:prstGeom prst="rect">
                      <a:avLst/>
                    </a:prstGeom>
                  </pic:spPr>
                </pic:pic>
              </a:graphicData>
            </a:graphic>
          </wp:anchor>
        </w:drawing>
      </w:r>
      <w:bookmarkEnd w:id="1157"/>
    </w:p>
    <w:p>
      <w:pPr>
        <w:pStyle w:val="Para 37"/>
      </w:pPr>
      <w:r>
        <w:t>3.4. Ubuntu Server explanation guides</w:t>
      </w:r>
    </w:p>
    <w:p>
      <w:pPr>
        <w:pStyle w:val="Normal"/>
      </w:pPr>
      <w:r>
        <w:t>Our explanatory and conceptual guides are written to provide a better understanding of how Ubuntu Server works and how it can be used and configured. They enable you to expand your knowledge, making the operating system easier to use.</w:t>
      </w:r>
    </w:p>
    <w:p>
      <w:pPr>
        <w:pStyle w:val="Normal"/>
      </w:pPr>
      <w:r>
        <w:t>If you’re not sure how or where to get started with a topic, each section has “introduction to” pages to give you a high-level overview and relevant links to help you navigate to the guides and other materials of most interest to you.</w:t>
      </w:r>
    </w:p>
    <w:p>
      <w:pPr>
        <w:pStyle w:val="Para 24"/>
      </w:pPr>
      <w:r>
        <w:t>3.4.1. Security</w:t>
      </w:r>
    </w:p>
    <w:p>
      <w:pPr>
        <w:pStyle w:val="Normal"/>
      </w:pPr>
      <w:hyperlink w:anchor="page_733">
        <w:r>
          <w:rPr>
            <w:rStyle w:val="Text2"/>
          </w:rPr>
          <w:t>Our security explanations</w:t>
        </w:r>
      </w:hyperlink>
      <w:r>
        <w:t xml:space="preserve"> (page 732) include high-level overviews of security configuration and good practices, and discussion of key concepts in the following topics:</w:t>
      </w:r>
    </w:p>
    <w:p>
      <w:pPr>
        <w:pStyle w:val="Para 04"/>
      </w:pPr>
      <w:r>
        <w:t xml:space="preserve">• </w:t>
      </w:r>
      <w:r>
        <w:rPr>
          <w:rStyle w:val="Text0"/>
        </w:rPr>
        <w:t>Authentication</w:t>
      </w:r>
      <w:r>
        <w:t>, with introductions to Kerberos and SSSD</w:t>
      </w:r>
    </w:p>
    <w:p>
      <w:pPr>
        <w:pStyle w:val="Para 04"/>
      </w:pPr>
      <w:r>
        <w:t xml:space="preserve">• </w:t>
      </w:r>
      <w:r>
        <w:rPr>
          <w:rStyle w:val="Text0"/>
        </w:rPr>
        <w:t>Cryptography</w:t>
      </w:r>
      <w:r>
        <w:t xml:space="preserve"> and cryptographic libraries</w:t>
      </w:r>
    </w:p>
    <w:p>
      <w:pPr>
        <w:pStyle w:val="Para 04"/>
      </w:pPr>
      <w:r>
        <w:t xml:space="preserve">• </w:t>
      </w:r>
      <w:r>
        <w:rPr>
          <w:rStyle w:val="Text0"/>
        </w:rPr>
        <w:t>Virtual Private Networks (VPNs)</w:t>
      </w:r>
      <w:r>
        <w:t xml:space="preserve"> with introductions to WireGuard VPN and its related</w:t>
      </w:r>
    </w:p>
    <w:p>
      <w:pPr>
        <w:pStyle w:val="Para 02"/>
      </w:pPr>
      <w:r>
        <w:t>concepts</w:t>
      </w:r>
    </w:p>
    <w:p>
      <w:pPr>
        <w:pStyle w:val="Para 17"/>
      </w:pPr>
      <w:r>
        <w:t/>
      </w:r>
    </w:p>
    <w:p>
      <w:pPr>
        <w:pStyle w:val="Para 01"/>
      </w:pPr>
      <w:r>
        <w:t>Security</w:t>
      </w:r>
    </w:p>
    <w:p>
      <w:pPr>
        <w:pStyle w:val="Para 17"/>
      </w:pPr>
      <w:r>
        <w:t/>
      </w:r>
    </w:p>
    <w:p>
      <w:pPr>
        <w:pStyle w:val="Normal"/>
      </w:pPr>
      <w:r>
        <w:t>There are many steps you can take to strengthen the security posture of your system. In this section you will find explanations of various concepts related to security.</w:t>
      </w:r>
    </w:p>
    <w:p>
      <w:pPr>
        <w:pStyle w:val="Para 17"/>
      </w:pPr>
      <w:r>
        <w:t/>
      </w:r>
    </w:p>
    <w:p>
      <w:pPr>
        <w:pStyle w:val="Para 01"/>
      </w:pPr>
      <w:r>
        <w:t>General configuration</w:t>
      </w:r>
    </w:p>
    <w:p>
      <w:pPr>
        <w:pStyle w:val="Para 17"/>
      </w:pPr>
      <w:r>
        <w:t/>
      </w:r>
    </w:p>
    <w:p>
      <w:pPr>
        <w:pStyle w:val="Para 04"/>
      </w:pPr>
      <w:r>
        <w:t xml:space="preserve">• </w:t>
      </w:r>
      <w:hyperlink w:anchor="page_733">
        <w:r>
          <w:rPr>
            <w:rStyle w:val="Text2"/>
          </w:rPr>
          <w:t>Introduction to security</w:t>
        </w:r>
      </w:hyperlink>
      <w:r>
        <w:t xml:space="preserve"> (page 732) for a high-level overview of security in Ubuntu</w:t>
      </w:r>
    </w:p>
    <w:p>
      <w:pPr>
        <w:pStyle w:val="Para 04"/>
      </w:pPr>
      <w:r>
        <w:t xml:space="preserve">• </w:t>
      </w:r>
      <w:hyperlink w:anchor="page_735">
        <w:r>
          <w:rPr>
            <w:rStyle w:val="Text2"/>
          </w:rPr>
          <w:t>Security suggestions</w:t>
        </w:r>
      </w:hyperlink>
      <w:r>
        <w:t xml:space="preserve"> (page 734) provides general recommendations for any Ubuntu sys-</w:t>
      </w:r>
    </w:p>
    <w:p>
      <w:pPr>
        <w:pStyle w:val="Para 02"/>
      </w:pPr>
      <w:r>
        <w:t>tem, from straightforward setups to more advanced and complex systems</w:t>
      </w:r>
    </w:p>
    <w:p>
      <w:pPr>
        <w:pStyle w:val="Para 17"/>
      </w:pPr>
      <w:r>
        <w:t/>
      </w:r>
    </w:p>
    <w:p>
      <w:pPr>
        <w:pStyle w:val="Para 01"/>
      </w:pPr>
      <w:r>
        <w:t>Introduction to security</w:t>
      </w:r>
    </w:p>
    <w:p>
      <w:pPr>
        <w:pStyle w:val="Para 17"/>
      </w:pPr>
      <w:r>
        <w:t/>
      </w:r>
    </w:p>
    <w:p>
      <w:pPr>
        <w:pStyle w:val="Normal"/>
      </w:pPr>
      <w:r>
        <w:t>Security should always be considered when you install, deploy, and use an Ubuntu system. While a fresh installation of Ubuntu is usually safe for immediate use, your system’s security posture will be very important depending on how it is used after it is deployed. You should always employ a layered approach to security so that that your system does not rely on a single point of defense.</w:t>
      </w:r>
    </w:p>
    <w:p>
      <w:bookmarkStart w:id="1158" w:name="calibre_pb_212"/>
      <w:pPr>
        <w:pStyle w:val="0 Block"/>
      </w:pPr>
      <w:bookmarkEnd w:id="1158"/>
    </w:p>
    <w:p>
      <w:bookmarkStart w:id="1159" w:name="page_734"/>
      <w:bookmarkStart w:id="1160" w:name="Top_of_index_split_21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6" name="index-734_1.png" descr="index-734_1.png"/>
            <wp:cNvGraphicFramePr>
              <a:graphicFrameLocks noChangeAspect="1"/>
            </wp:cNvGraphicFramePr>
            <a:graphic>
              <a:graphicData uri="http://schemas.openxmlformats.org/drawingml/2006/picture">
                <pic:pic>
                  <pic:nvPicPr>
                    <pic:cNvPr id="0" name="index-734_1.png" descr="index-734_1.png"/>
                    <pic:cNvPicPr/>
                  </pic:nvPicPr>
                  <pic:blipFill>
                    <a:blip r:embed="rId770"/>
                    <a:stretch>
                      <a:fillRect/>
                    </a:stretch>
                  </pic:blipFill>
                  <pic:spPr>
                    <a:xfrm>
                      <a:off x="0" y="0"/>
                      <a:ext cx="914400" cy="266700"/>
                    </a:xfrm>
                    <a:prstGeom prst="rect">
                      <a:avLst/>
                    </a:prstGeom>
                  </pic:spPr>
                </pic:pic>
              </a:graphicData>
            </a:graphic>
          </wp:anchor>
        </w:drawing>
      </w:r>
      <w:bookmarkEnd w:id="1159"/>
      <w:bookmarkEnd w:id="1160"/>
    </w:p>
    <w:p>
      <w:pPr>
        <w:pStyle w:val="Para 01"/>
      </w:pPr>
      <w:r>
        <w:t>Server security guidance</w:t>
      </w:r>
    </w:p>
    <w:p>
      <w:pPr>
        <w:pStyle w:val="Para 17"/>
      </w:pPr>
      <w:r>
        <w:t/>
      </w:r>
    </w:p>
    <w:p>
      <w:pPr>
        <w:pStyle w:val="Normal"/>
      </w:pPr>
      <w:r>
        <w:t>Given Ubuntu has a wide range of customization options, this introduction cannot provide a comprehensive security hardening guide. However, the security of nearly any Ubuntu system can be enhanced by implementing certain best practices and security-related packages. Our</w:t>
      </w:r>
    </w:p>
    <w:p>
      <w:pPr>
        <w:pStyle w:val="Normal"/>
      </w:pPr>
      <w:hyperlink w:anchor="page_735">
        <w:r>
          <w:rPr>
            <w:rStyle w:val="Text2"/>
          </w:rPr>
          <w:t>security suggestions</w:t>
        </w:r>
      </w:hyperlink>
      <w:r>
        <w:t xml:space="preserve"> (page 734) page outlines those best practices and packages. While you may not choose to implement every suggestion – and this list is not exhaustive – each one can contribute an additional layer of security.</w:t>
      </w:r>
    </w:p>
    <w:p>
      <w:pPr>
        <w:pStyle w:val="Normal"/>
      </w:pPr>
      <w:r>
        <w:t>If your Ubuntu setup is more advanced or more complex than others, you may need to do more research into your security outlook. There are specific packages available for Ubuntu</w:t>
      </w:r>
    </w:p>
    <w:p>
      <w:pPr>
        <w:pStyle w:val="Normal"/>
      </w:pPr>
      <w:r>
        <w:t xml:space="preserve">Servers that can provide additional security, and we suggest some packages in the </w:t>
      </w:r>
      <w:hyperlink w:anchor="page_737">
        <w:r>
          <w:rPr>
            <w:rStyle w:val="Text2"/>
          </w:rPr>
          <w:t>advanced</w:t>
        </w:r>
      </w:hyperlink>
    </w:p>
    <w:p>
      <w:pPr>
        <w:pStyle w:val="Normal"/>
      </w:pPr>
      <w:hyperlink w:anchor="page_737">
        <w:r>
          <w:rPr>
            <w:rStyle w:val="Text2"/>
          </w:rPr>
          <w:t>security</w:t>
        </w:r>
      </w:hyperlink>
      <w:r>
        <w:t xml:space="preserve"> (page 736) section that you might want to investigate. Again, the list in this section is not intended to be exhaustive, but rather a starting point.</w:t>
      </w:r>
    </w:p>
    <w:p>
      <w:pPr>
        <w:pStyle w:val="Normal"/>
      </w:pPr>
      <w:r>
        <w:t>For the most thorough treatment of security in Ubuntu, we also recommend reading the</w:t>
      </w:r>
    </w:p>
    <w:p>
      <w:pPr>
        <w:pStyle w:val="Para 18"/>
      </w:pPr>
      <w:hyperlink r:id="rId1029">
        <w:r>
          <w:t>Ubuntu Security documentation</w:t>
        </w:r>
      </w:hyperlink>
      <w:hyperlink w:anchor="page_734">
        <w:r>
          <w:rPr>
            <w:rStyle w:val="Text10"/>
          </w:rPr>
          <w:t>714</w:t>
        </w:r>
      </w:hyperlink>
      <w:r>
        <w:rPr>
          <w:rStyle w:val="Text7"/>
        </w:rPr>
        <w:t>.</w:t>
      </w:r>
    </w:p>
    <w:p>
      <w:pPr>
        <w:pStyle w:val="Para 17"/>
      </w:pPr>
      <w:r>
        <w:t/>
      </w:r>
    </w:p>
    <w:p>
      <w:pPr>
        <w:pStyle w:val="Para 01"/>
      </w:pPr>
      <w:r>
        <w:t>Ubuntu Pro</w:t>
      </w:r>
    </w:p>
    <w:p>
      <w:pPr>
        <w:pStyle w:val="Para 17"/>
      </w:pPr>
      <w:r>
        <w:t/>
      </w:r>
    </w:p>
    <w:p>
      <w:pPr>
        <w:pStyle w:val="Normal"/>
      </w:pPr>
      <w:r>
        <w:t xml:space="preserve">Canonical offers security, compliance and support services through the </w:t>
      </w:r>
      <w:hyperlink w:anchor="page_734">
        <w:r>
          <w:rPr>
            <w:rStyle w:val="Text9"/>
          </w:rPr>
          <w:t>715</w:t>
        </w:r>
      </w:hyperlink>
      <w:r>
        <w:t xml:space="preserve"> </w:t>
      </w:r>
      <w:hyperlink r:id="rId1058">
        <w:r>
          <w:rPr>
            <w:rStyle w:val="Text1"/>
          </w:rPr>
          <w:t>Ubuntu Pro</w:t>
        </w:r>
      </w:hyperlink>
      <w:r>
        <w:t xml:space="preserve"> sub-</w:t>
      </w:r>
    </w:p>
    <w:p>
      <w:pPr>
        <w:pStyle w:val="Normal"/>
      </w:pPr>
      <w:r>
        <w:t>scription. Ubuntu Pro is available for free on up to 5 machines (for business or personal use). Although the compliance and certification features of Ubuntu Pro are likely to be of more in-terest to enterprise users, the enhanced security coverage is great for anyone using Ubuntu.</w:t>
      </w:r>
    </w:p>
    <w:p>
      <w:pPr>
        <w:pStyle w:val="Normal"/>
      </w:pPr>
      <w:r>
        <w:t xml:space="preserve">All of the Ubuntu Pro features can be managed on the command line via the </w:t>
      </w:r>
      <w:hyperlink r:id="rId1073">
        <w:r>
          <w:rPr>
            <w:rStyle w:val="Text1"/>
          </w:rPr>
          <w:t>Ubuntu Pro</w:t>
        </w:r>
      </w:hyperlink>
    </w:p>
    <w:p>
      <w:pPr>
        <w:pStyle w:val="Normal"/>
      </w:pPr>
      <w:hyperlink r:id="rId1073">
        <w:r>
          <w:rPr>
            <w:rStyle w:val="Text1"/>
          </w:rPr>
          <w:t>Client</w:t>
        </w:r>
      </w:hyperlink>
      <w:hyperlink r:id="rId1073">
        <w:r>
          <w:rPr>
            <w:rStyle w:val="Text9"/>
          </w:rPr>
          <w:t>716</w:t>
        </w:r>
      </w:hyperlink>
      <w:r>
        <w:t xml:space="preserve"> utility, which has an API that provides easier automation to users.</w:t>
      </w:r>
    </w:p>
    <w:p>
      <w:pPr>
        <w:pStyle w:val="Para 17"/>
      </w:pPr>
      <w:r>
        <w:t/>
      </w:r>
    </w:p>
    <w:p>
      <w:pPr>
        <w:pStyle w:val="Para 01"/>
      </w:pPr>
      <w:r>
        <w:t>Vulnerability management</w:t>
      </w:r>
    </w:p>
    <w:p>
      <w:pPr>
        <w:pStyle w:val="Para 17"/>
      </w:pPr>
      <w:r>
        <w:t/>
      </w:r>
    </w:p>
    <w:p>
      <w:pPr>
        <w:pStyle w:val="Normal"/>
      </w:pPr>
      <w:r>
        <w:t xml:space="preserve">In a standard Ubuntu LTS release, security support is provided for packages in the </w:t>
      </w:r>
      <w:hyperlink r:id="rId1614">
        <w:r>
          <w:rPr>
            <w:rStyle w:val="Text1"/>
          </w:rPr>
          <w:t>Main repos-</w:t>
        </w:r>
      </w:hyperlink>
    </w:p>
    <w:p>
      <w:pPr>
        <w:pStyle w:val="Normal"/>
      </w:pPr>
      <w:hyperlink r:id="rId1614">
        <w:r>
          <w:rPr>
            <w:rStyle w:val="Text1"/>
          </w:rPr>
          <w:t>itory</w:t>
        </w:r>
      </w:hyperlink>
      <w:hyperlink r:id="rId1614">
        <w:r>
          <w:rPr>
            <w:rStyle w:val="Text9"/>
          </w:rPr>
          <w:t>717</w:t>
        </w:r>
      </w:hyperlink>
      <w:r>
        <w:t xml:space="preserve"> for 5 years. With Ubuntu Pro, this support is expanded to 10 years, and also includes</w:t>
      </w:r>
    </w:p>
    <w:p>
      <w:pPr>
        <w:pStyle w:val="Normal"/>
      </w:pPr>
      <w:r>
        <w:t xml:space="preserve">patching for medium, high and critical severity </w:t>
      </w:r>
      <w:hyperlink r:id="rId1615">
        <w:r>
          <w:rPr>
            <w:rStyle w:val="Text9"/>
          </w:rPr>
          <w:t>718</w:t>
        </w:r>
      </w:hyperlink>
      <w:hyperlink r:id="rId1615">
        <w:r>
          <w:rPr>
            <w:rStyle w:val="Text1"/>
          </w:rPr>
          <w:t xml:space="preserve"> vulnerabilities</w:t>
        </w:r>
      </w:hyperlink>
      <w:r>
        <w:t xml:space="preserve"> for the Universe repository.</w:t>
      </w:r>
    </w:p>
    <w:p>
      <w:pPr>
        <w:pStyle w:val="Normal"/>
      </w:pPr>
      <w:r>
        <w:t xml:space="preserve">This service, known as </w:t>
      </w:r>
      <w:hyperlink w:anchor="page_734">
        <w:r>
          <w:rPr>
            <w:rStyle w:val="Text9"/>
          </w:rPr>
          <w:t>719</w:t>
        </w:r>
      </w:hyperlink>
      <w:r>
        <w:t xml:space="preserve"> </w:t>
      </w:r>
      <w:hyperlink r:id="rId1616">
        <w:r>
          <w:rPr>
            <w:rStyle w:val="Text1"/>
          </w:rPr>
          <w:t>Expanded Security Maintenance</w:t>
        </w:r>
      </w:hyperlink>
      <w:r>
        <w:t xml:space="preserve"> (ESM), is recommended for every Ubuntu system.</w:t>
      </w:r>
    </w:p>
    <w:p>
      <w:pPr>
        <w:pStyle w:val="Para 05"/>
      </w:pPr>
      <w:r>
        <w:rPr>
          <w:rStyle w:val="Text5"/>
        </w:rPr>
        <w:t>714</w:t>
      </w:r>
      <w:r>
        <w:rPr>
          <w:rStyle w:val="Text8"/>
        </w:rPr>
        <w:t xml:space="preserve"> </w:t>
      </w:r>
      <w:r>
        <w:t>https://documentation.ubuntu.com/security/</w:t>
      </w:r>
    </w:p>
    <w:p>
      <w:pPr>
        <w:pStyle w:val="Para 05"/>
      </w:pPr>
      <w:r>
        <w:rPr>
          <w:rStyle w:val="Text5"/>
        </w:rPr>
        <w:t>715</w:t>
      </w:r>
      <w:r>
        <w:rPr>
          <w:rStyle w:val="Text8"/>
        </w:rPr>
        <w:t xml:space="preserve"> </w:t>
      </w:r>
      <w:r>
        <w:t>https://ubuntu.com/pro</w:t>
      </w:r>
    </w:p>
    <w:p>
      <w:pPr>
        <w:pStyle w:val="Para 05"/>
      </w:pPr>
      <w:r>
        <w:rPr>
          <w:rStyle w:val="Text5"/>
        </w:rPr>
        <w:t>716</w:t>
      </w:r>
      <w:r>
        <w:rPr>
          <w:rStyle w:val="Text8"/>
        </w:rPr>
        <w:t xml:space="preserve"> </w:t>
      </w:r>
      <w:r>
        <w:t>https://documentation.ubuntu.com/pro-client/en/latest/</w:t>
      </w:r>
    </w:p>
    <w:p>
      <w:pPr>
        <w:pStyle w:val="Para 05"/>
      </w:pPr>
      <w:r>
        <w:rPr>
          <w:rStyle w:val="Text5"/>
        </w:rPr>
        <w:t>717</w:t>
      </w:r>
      <w:r>
        <w:rPr>
          <w:rStyle w:val="Text8"/>
        </w:rPr>
        <w:t xml:space="preserve"> </w:t>
      </w:r>
      <w:r>
        <w:t>https://documentation.ubuntu.com/project/how-ubuntu-is-made/concepts/package-archive/</w:t>
      </w:r>
    </w:p>
    <w:p>
      <w:pPr>
        <w:pStyle w:val="Para 16"/>
      </w:pPr>
      <w:r>
        <w:t>#components</w:t>
      </w:r>
    </w:p>
    <w:p>
      <w:pPr>
        <w:pStyle w:val="Para 05"/>
      </w:pPr>
      <w:r>
        <w:rPr>
          <w:rStyle w:val="Text5"/>
        </w:rPr>
        <w:t>718</w:t>
      </w:r>
      <w:r>
        <w:rPr>
          <w:rStyle w:val="Text8"/>
        </w:rPr>
        <w:t xml:space="preserve"> </w:t>
      </w:r>
      <w:r>
        <w:t>https://ubuntu.com/security/cves/about</w:t>
      </w:r>
    </w:p>
    <w:p>
      <w:pPr>
        <w:pStyle w:val="Para 05"/>
      </w:pPr>
      <w:r>
        <w:rPr>
          <w:rStyle w:val="Text5"/>
        </w:rPr>
        <w:t>719</w:t>
      </w:r>
      <w:r>
        <w:rPr>
          <w:rStyle w:val="Text8"/>
        </w:rPr>
        <w:t xml:space="preserve"> </w:t>
      </w:r>
      <w:r>
        <w:t>https://documentation.ubuntu.com/security/security-updates/esm/</w:t>
      </w:r>
    </w:p>
    <w:p>
      <w:bookmarkStart w:id="1161" w:name="calibre_pb_213"/>
      <w:pPr>
        <w:pStyle w:val="0 Block"/>
      </w:pPr>
      <w:bookmarkEnd w:id="1161"/>
    </w:p>
    <w:p>
      <w:bookmarkStart w:id="1162" w:name="page_735"/>
      <w:bookmarkStart w:id="1163" w:name="Top_of_index_split_21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7" name="index-735_1.png" descr="index-735_1.png"/>
            <wp:cNvGraphicFramePr>
              <a:graphicFrameLocks noChangeAspect="1"/>
            </wp:cNvGraphicFramePr>
            <a:graphic>
              <a:graphicData uri="http://schemas.openxmlformats.org/drawingml/2006/picture">
                <pic:pic>
                  <pic:nvPicPr>
                    <pic:cNvPr id="0" name="index-735_1.png" descr="index-735_1.png"/>
                    <pic:cNvPicPr/>
                  </pic:nvPicPr>
                  <pic:blipFill>
                    <a:blip r:embed="rId771"/>
                    <a:stretch>
                      <a:fillRect/>
                    </a:stretch>
                  </pic:blipFill>
                  <pic:spPr>
                    <a:xfrm>
                      <a:off x="0" y="0"/>
                      <a:ext cx="914400" cy="266700"/>
                    </a:xfrm>
                    <a:prstGeom prst="rect">
                      <a:avLst/>
                    </a:prstGeom>
                  </pic:spPr>
                </pic:pic>
              </a:graphicData>
            </a:graphic>
          </wp:anchor>
        </w:drawing>
      </w:r>
      <w:bookmarkEnd w:id="1162"/>
      <w:bookmarkEnd w:id="1163"/>
    </w:p>
    <w:p>
      <w:pPr>
        <w:pStyle w:val="Para 01"/>
      </w:pPr>
      <w:r>
        <w:t>Kernel application hardening</w:t>
      </w:r>
    </w:p>
    <w:p>
      <w:pPr>
        <w:pStyle w:val="Para 17"/>
      </w:pPr>
      <w:r>
        <w:t/>
      </w:r>
    </w:p>
    <w:p>
      <w:pPr>
        <w:pStyle w:val="Normal"/>
      </w:pPr>
      <w:r>
        <w:t>We also recommend Canonical’s Livepatch service for every Ubuntu system, which applies kernel patches for high and critical severity vulnerabilities while the system is running,</w:t>
      </w:r>
    </w:p>
    <w:p>
      <w:pPr>
        <w:pStyle w:val="Normal"/>
      </w:pPr>
      <w:r>
        <w:t xml:space="preserve">without the need for an immediate reboot – which reduces downtime. Learn more </w:t>
      </w:r>
      <w:hyperlink r:id="rId1617">
        <w:r>
          <w:rPr>
            <w:rStyle w:val="Text1"/>
          </w:rPr>
          <w:t>about</w:t>
        </w:r>
      </w:hyperlink>
    </w:p>
    <w:p>
      <w:pPr>
        <w:pStyle w:val="Para 18"/>
      </w:pPr>
      <w:hyperlink r:id="rId1617">
        <w:r>
          <w:t>Livepatch here</w:t>
        </w:r>
      </w:hyperlink>
      <w:hyperlink r:id="rId1617">
        <w:r>
          <w:rPr>
            <w:rStyle w:val="Text10"/>
          </w:rPr>
          <w:t>720</w:t>
        </w:r>
      </w:hyperlink>
      <w:r>
        <w:rPr>
          <w:rStyle w:val="Text7"/>
        </w:rPr>
        <w:t>.</w:t>
      </w:r>
    </w:p>
    <w:p>
      <w:pPr>
        <w:pStyle w:val="Para 17"/>
      </w:pPr>
      <w:r>
        <w:t/>
      </w:r>
    </w:p>
    <w:p>
      <w:pPr>
        <w:pStyle w:val="Para 01"/>
      </w:pPr>
      <w:r>
        <w:t>Security Compliance and Certification</w:t>
      </w:r>
    </w:p>
    <w:p>
      <w:pPr>
        <w:pStyle w:val="Para 17"/>
      </w:pPr>
      <w:r>
        <w:t/>
      </w:r>
    </w:p>
    <w:p>
      <w:pPr>
        <w:pStyle w:val="Normal"/>
      </w:pPr>
      <w:r>
        <w:t xml:space="preserve">For enterprise users who must ensure compliance with specific standards, such as </w:t>
      </w:r>
      <w:hyperlink r:id="rId1065">
        <w:r>
          <w:rPr>
            <w:rStyle w:val="Text9"/>
          </w:rPr>
          <w:t>721</w:t>
        </w:r>
      </w:hyperlink>
      <w:hyperlink r:id="rId1065">
        <w:r>
          <w:rPr>
            <w:rStyle w:val="Text1"/>
          </w:rPr>
          <w:t xml:space="preserve"> FIPS</w:t>
        </w:r>
      </w:hyperlink>
    </w:p>
    <w:p>
      <w:pPr>
        <w:pStyle w:val="Normal"/>
      </w:pPr>
      <w:r>
        <w:t xml:space="preserve">and </w:t>
      </w:r>
      <w:hyperlink r:id="rId1618">
        <w:r>
          <w:rPr>
            <w:rStyle w:val="Text9"/>
          </w:rPr>
          <w:t>722</w:t>
        </w:r>
      </w:hyperlink>
      <w:hyperlink r:id="rId1618">
        <w:r>
          <w:rPr>
            <w:rStyle w:val="Text1"/>
          </w:rPr>
          <w:t xml:space="preserve"> CIS</w:t>
        </w:r>
      </w:hyperlink>
      <w:r>
        <w:t>, Ubuntu also provides profile benchmarking.</w:t>
      </w:r>
    </w:p>
    <w:p>
      <w:pPr>
        <w:pStyle w:val="Para 17"/>
      </w:pPr>
      <w:r>
        <w:t/>
      </w:r>
    </w:p>
    <w:p>
      <w:pPr>
        <w:pStyle w:val="Para 01"/>
      </w:pPr>
      <w:r>
        <w:t>Reporting vulnerabilities</w:t>
      </w:r>
    </w:p>
    <w:p>
      <w:pPr>
        <w:pStyle w:val="Para 17"/>
      </w:pPr>
      <w:r>
        <w:t/>
      </w:r>
    </w:p>
    <w:p>
      <w:pPr>
        <w:pStyle w:val="Normal"/>
      </w:pPr>
      <w:r>
        <w:t xml:space="preserve">If you need to report a security issue, refer to the security </w:t>
      </w:r>
      <w:hyperlink w:anchor="page_735">
        <w:r>
          <w:rPr>
            <w:rStyle w:val="Text9"/>
          </w:rPr>
          <w:t>723</w:t>
        </w:r>
      </w:hyperlink>
      <w:r>
        <w:t xml:space="preserve"> </w:t>
      </w:r>
      <w:hyperlink r:id="rId1619">
        <w:r>
          <w:rPr>
            <w:rStyle w:val="Text1"/>
          </w:rPr>
          <w:t>disclosure policy</w:t>
        </w:r>
      </w:hyperlink>
      <w:r>
        <w:t>.</w:t>
      </w:r>
    </w:p>
    <w:p>
      <w:pPr>
        <w:pStyle w:val="Para 17"/>
      </w:pPr>
      <w:r>
        <w:t/>
      </w:r>
    </w:p>
    <w:p>
      <w:pPr>
        <w:pStyle w:val="Para 01"/>
      </w:pPr>
      <w:r>
        <w:t>Security suggestions</w:t>
      </w:r>
    </w:p>
    <w:p>
      <w:pPr>
        <w:pStyle w:val="Para 17"/>
      </w:pPr>
      <w:r>
        <w:t/>
      </w:r>
    </w:p>
    <w:p>
      <w:pPr>
        <w:pStyle w:val="Normal"/>
      </w:pPr>
      <w:r>
        <w:t>Although a fresh install of Ubuntu is relatively safe for immediate use on the Internet, in this guide we’ll take a look at some steps you can take to help keep your Ubuntu system safe and secure.</w:t>
      </w:r>
    </w:p>
    <w:p>
      <w:pPr>
        <w:pStyle w:val="Para 17"/>
      </w:pPr>
      <w:r>
        <w:t/>
      </w:r>
    </w:p>
    <w:p>
      <w:pPr>
        <w:pStyle w:val="Para 01"/>
      </w:pPr>
      <w:r>
        <w:t>For any Ubuntu system</w:t>
      </w:r>
    </w:p>
    <w:p>
      <w:pPr>
        <w:pStyle w:val="Para 17"/>
      </w:pPr>
      <w:r>
        <w:t/>
      </w:r>
    </w:p>
    <w:p>
      <w:pPr>
        <w:pStyle w:val="Normal"/>
      </w:pPr>
      <w:r>
        <w:t>The following suggestions are applicable generally to most Ubuntu systems. It is not neces-sary to use all of these steps – use the ones that are most relevant for your setup.</w:t>
      </w:r>
    </w:p>
    <w:p>
      <w:pPr>
        <w:pStyle w:val="Para 17"/>
      </w:pPr>
      <w:r>
        <w:t/>
      </w:r>
    </w:p>
    <w:p>
      <w:pPr>
        <w:pStyle w:val="Para 01"/>
      </w:pPr>
      <w:r>
        <w:t>Keep your system up-to-date</w:t>
      </w:r>
    </w:p>
    <w:p>
      <w:pPr>
        <w:pStyle w:val="Para 17"/>
      </w:pPr>
      <w:r>
        <w:t/>
      </w:r>
    </w:p>
    <w:p>
      <w:pPr>
        <w:pStyle w:val="Para 03"/>
      </w:pPr>
      <w:r>
        <w:t xml:space="preserve">1. </w:t>
      </w:r>
      <w:r>
        <w:rPr>
          <w:rStyle w:val="Text0"/>
        </w:rPr>
        <w:t>Regularly update</w:t>
      </w:r>
      <w:r>
        <w:t xml:space="preserve"> your Ubuntu system to keep it protected from known vulnerabilities.</w:t>
      </w:r>
    </w:p>
    <w:p>
      <w:pPr>
        <w:pStyle w:val="Para 02"/>
      </w:pPr>
      <w:r>
        <w:t>Run the following command periodically to update your system software:</w:t>
      </w:r>
    </w:p>
    <w:p>
      <w:pPr>
        <w:pStyle w:val="Para 02"/>
      </w:pPr>
      <w:r>
        <w:t>sudo apt update</w:t>
        <w:t xml:space="preserve"> </w:t>
        <w:t>&amp;&amp;</w:t>
        <w:t xml:space="preserve"> </w:t>
        <w:t>sudo apt upgrade</w:t>
      </w:r>
    </w:p>
    <w:p>
      <w:pPr>
        <w:pStyle w:val="Para 17"/>
      </w:pPr>
      <w:r>
        <w:t/>
      </w:r>
    </w:p>
    <w:p>
      <w:pPr>
        <w:pStyle w:val="Para 02"/>
      </w:pPr>
      <w:r>
        <w:t>You may want to use the unattended-upgrade package to fetch and install security up-dates and bug fixes automatically:</w:t>
      </w:r>
    </w:p>
    <w:p>
      <w:pPr>
        <w:pStyle w:val="Para 02"/>
      </w:pPr>
      <w:r>
        <w:t>sudo apt install unattended</w:t>
        <w:t>-</w:t>
        <w:t>upgrades</w:t>
      </w:r>
    </w:p>
    <w:p>
      <w:pPr>
        <w:pStyle w:val="Para 17"/>
      </w:pPr>
      <w:r>
        <w:t/>
      </w:r>
    </w:p>
    <w:p>
      <w:pPr>
        <w:pStyle w:val="Para 02"/>
      </w:pPr>
      <w:r>
        <w:t xml:space="preserve">By default, unattended-upgrade runs daily, but this can be configured. </w:t>
        <w:t>See the</w:t>
      </w:r>
    </w:p>
    <w:p>
      <w:pPr>
        <w:pStyle w:val="Para 02"/>
      </w:pPr>
      <w:hyperlink r:id="rId1620">
        <w:r>
          <w:rPr>
            <w:rStyle w:val="Text2"/>
          </w:rPr>
          <w:t>unattended-upgrades(8)</w:t>
        </w:r>
      </w:hyperlink>
      <w:hyperlink r:id="rId1620">
        <w:r>
          <w:rPr>
            <w:rStyle w:val="Text9"/>
          </w:rPr>
          <w:t>724</w:t>
        </w:r>
      </w:hyperlink>
      <w:r>
        <w:t xml:space="preserve"> manual page for details.</w:t>
      </w:r>
    </w:p>
    <w:p>
      <w:pPr>
        <w:pStyle w:val="Para 05"/>
      </w:pPr>
      <w:r>
        <w:rPr>
          <w:rStyle w:val="Text5"/>
        </w:rPr>
        <w:t>720</w:t>
      </w:r>
      <w:r>
        <w:rPr>
          <w:rStyle w:val="Text8"/>
        </w:rPr>
        <w:t xml:space="preserve"> </w:t>
      </w:r>
      <w:r>
        <w:t>https://ubuntu.com/security/livepatch/docs</w:t>
      </w:r>
    </w:p>
    <w:p>
      <w:pPr>
        <w:pStyle w:val="Para 05"/>
      </w:pPr>
      <w:r>
        <w:rPr>
          <w:rStyle w:val="Text5"/>
        </w:rPr>
        <w:t>721</w:t>
      </w:r>
      <w:r>
        <w:rPr>
          <w:rStyle w:val="Text8"/>
        </w:rPr>
        <w:t xml:space="preserve"> </w:t>
      </w:r>
      <w:r>
        <w:t>https://documentation.ubuntu.com/security/compliance/fips/</w:t>
      </w:r>
    </w:p>
    <w:p>
      <w:pPr>
        <w:pStyle w:val="Para 05"/>
      </w:pPr>
      <w:r>
        <w:rPr>
          <w:rStyle w:val="Text5"/>
        </w:rPr>
        <w:t>722</w:t>
      </w:r>
      <w:r>
        <w:rPr>
          <w:rStyle w:val="Text8"/>
        </w:rPr>
        <w:t xml:space="preserve"> </w:t>
      </w:r>
      <w:r>
        <w:t>https://documentation.ubuntu.com/security/compliance/usg/</w:t>
      </w:r>
    </w:p>
    <w:p>
      <w:pPr>
        <w:pStyle w:val="Para 05"/>
      </w:pPr>
      <w:r>
        <w:rPr>
          <w:rStyle w:val="Text5"/>
        </w:rPr>
        <w:t>723</w:t>
      </w:r>
      <w:r>
        <w:rPr>
          <w:rStyle w:val="Text8"/>
        </w:rPr>
        <w:t xml:space="preserve"> </w:t>
      </w:r>
      <w:r>
        <w:t>https://ubuntu.com/security/disclosure-policy</w:t>
      </w:r>
    </w:p>
    <w:p>
      <w:pPr>
        <w:pStyle w:val="Para 05"/>
      </w:pPr>
      <w:r>
        <w:rPr>
          <w:rStyle w:val="Text5"/>
        </w:rPr>
        <w:t>724</w:t>
      </w:r>
      <w:r>
        <w:rPr>
          <w:rStyle w:val="Text8"/>
        </w:rPr>
        <w:t xml:space="preserve"> </w:t>
      </w:r>
      <w:r>
        <w:t>https://manpages.ubuntu.com/manpages/resolute/man8/unattended-upgrades.8.html</w:t>
      </w:r>
    </w:p>
    <w:p>
      <w:bookmarkStart w:id="1164" w:name="page_7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8" name="index-736_1.png" descr="index-736_1.png"/>
            <wp:cNvGraphicFramePr>
              <a:graphicFrameLocks noChangeAspect="1"/>
            </wp:cNvGraphicFramePr>
            <a:graphic>
              <a:graphicData uri="http://schemas.openxmlformats.org/drawingml/2006/picture">
                <pic:pic>
                  <pic:nvPicPr>
                    <pic:cNvPr id="0" name="index-736_1.png" descr="index-736_1.png"/>
                    <pic:cNvPicPr/>
                  </pic:nvPicPr>
                  <pic:blipFill>
                    <a:blip r:embed="rId772"/>
                    <a:stretch>
                      <a:fillRect/>
                    </a:stretch>
                  </pic:blipFill>
                  <pic:spPr>
                    <a:xfrm>
                      <a:off x="0" y="0"/>
                      <a:ext cx="914400" cy="266700"/>
                    </a:xfrm>
                    <a:prstGeom prst="rect">
                      <a:avLst/>
                    </a:prstGeom>
                  </pic:spPr>
                </pic:pic>
              </a:graphicData>
            </a:graphic>
          </wp:anchor>
        </w:drawing>
      </w:r>
      <w:bookmarkEnd w:id="1164"/>
    </w:p>
    <w:p>
      <w:pPr>
        <w:pStyle w:val="Para 08"/>
      </w:pPr>
      <w:r>
        <w:rPr>
          <w:rStyle w:val="Text0"/>
        </w:rPr>
        <w:t xml:space="preserve">2. </w:t>
      </w:r>
      <w:r>
        <w:t>Manage your software</w:t>
      </w:r>
      <w:r>
        <w:rPr>
          <w:rStyle w:val="Text0"/>
        </w:rPr>
        <w:t>:</w:t>
      </w:r>
    </w:p>
    <w:p>
      <w:pPr>
        <w:pStyle w:val="Para 06"/>
      </w:pPr>
      <w:r>
        <w:t>• Remove packages you don’t need, to minimize the potential attack surface you are</w:t>
      </w:r>
    </w:p>
    <w:p>
      <w:pPr>
        <w:pStyle w:val="Para 11"/>
      </w:pPr>
      <w:r>
        <w:t xml:space="preserve">exposing. See our article on </w:t>
      </w:r>
      <w:hyperlink w:anchor="page_341">
        <w:r>
          <w:rPr>
            <w:rStyle w:val="Text2"/>
          </w:rPr>
          <w:t>Package management</w:t>
        </w:r>
      </w:hyperlink>
      <w:r>
        <w:t xml:space="preserve"> (page 340) for more details.</w:t>
      </w:r>
    </w:p>
    <w:p>
      <w:pPr>
        <w:pStyle w:val="Para 06"/>
      </w:pPr>
      <w:r>
        <w:t>• Avoid using third party repositories. If you need to download a package from a</w:t>
      </w:r>
    </w:p>
    <w:p>
      <w:pPr>
        <w:pStyle w:val="Para 57"/>
      </w:pPr>
      <w:r>
        <w:rPr>
          <w:rStyle w:val="Text4"/>
        </w:rPr>
        <w:t xml:space="preserve">third party repository, make sure you </w:t>
      </w:r>
      <w:hyperlink w:anchor="page_839">
        <w:r>
          <w:t>understand the risks and how to minimize</w:t>
        </w:r>
      </w:hyperlink>
    </w:p>
    <w:p>
      <w:pPr>
        <w:pStyle w:val="Para 11"/>
      </w:pPr>
      <w:hyperlink w:anchor="page_839">
        <w:r>
          <w:rPr>
            <w:rStyle w:val="Text2"/>
          </w:rPr>
          <w:t>them.</w:t>
        </w:r>
      </w:hyperlink>
      <w:r>
        <w:t xml:space="preserve"> (page 838).</w:t>
      </w:r>
    </w:p>
    <w:p>
      <w:pPr>
        <w:pStyle w:val="Para 03"/>
      </w:pPr>
      <w:r>
        <w:t xml:space="preserve">3. </w:t>
      </w:r>
      <w:r>
        <w:rPr>
          <w:rStyle w:val="Text0"/>
        </w:rPr>
        <w:t>Use the most up-to-date release</w:t>
      </w:r>
      <w:r>
        <w:t xml:space="preserve"> of Ubuntu. If you are on an older Ubuntu release we</w:t>
      </w:r>
    </w:p>
    <w:p>
      <w:pPr>
        <w:pStyle w:val="Para 02"/>
      </w:pPr>
      <w:r>
        <w:t xml:space="preserve">have instructions on </w:t>
      </w:r>
      <w:hyperlink w:anchor="page_359">
        <w:r>
          <w:rPr>
            <w:rStyle w:val="Text2"/>
          </w:rPr>
          <w:t>how to upgrade</w:t>
        </w:r>
      </w:hyperlink>
      <w:r>
        <w:t xml:space="preserve"> (page 358).</w:t>
      </w:r>
    </w:p>
    <w:p>
      <w:pPr>
        <w:pStyle w:val="Para 03"/>
      </w:pPr>
      <w:r>
        <w:t xml:space="preserve">4. </w:t>
      </w:r>
      <w:hyperlink r:id="rId1058">
        <w:r>
          <w:rPr>
            <w:rStyle w:val="Text9"/>
          </w:rPr>
          <w:t>725</w:t>
        </w:r>
      </w:hyperlink>
      <w:r>
        <w:t xml:space="preserve"> </w:t>
      </w:r>
      <w:r>
        <w:rPr>
          <w:rStyle w:val="Text0"/>
        </w:rPr>
        <w:t>Use</w:t>
      </w:r>
      <w:r>
        <w:t xml:space="preserve"> </w:t>
      </w:r>
      <w:hyperlink r:id="rId1058">
        <w:r>
          <w:rPr>
            <w:rStyle w:val="Text13"/>
          </w:rPr>
          <w:t>Ubuntu Pro</w:t>
        </w:r>
      </w:hyperlink>
      <w:r>
        <w:t>, particularly if you are on an older release of Ubuntu. Pro provides</w:t>
      </w:r>
    </w:p>
    <w:p>
      <w:pPr>
        <w:pStyle w:val="Para 02"/>
      </w:pPr>
      <w:r>
        <w:t xml:space="preserve">Enterprise-level security patching, but is free for personal/business use on up to 5 ma-chines. The most useful Pro features for </w:t>
      </w:r>
      <w:r>
        <w:rPr>
          <w:rStyle w:val="Text3"/>
        </w:rPr>
        <w:t>any</w:t>
      </w:r>
      <w:r>
        <w:t xml:space="preserve"> Ubuntu Server are:</w:t>
      </w:r>
    </w:p>
    <w:p>
      <w:pPr>
        <w:pStyle w:val="Para 06"/>
      </w:pPr>
      <w:r>
        <w:t xml:space="preserve">• </w:t>
      </w:r>
      <w:hyperlink r:id="rId1616">
        <w:r>
          <w:rPr>
            <w:rStyle w:val="Text9"/>
          </w:rPr>
          <w:t>726</w:t>
        </w:r>
      </w:hyperlink>
      <w:hyperlink r:id="rId1616">
        <w:r>
          <w:rPr>
            <w:rStyle w:val="Text1"/>
          </w:rPr>
          <w:t xml:space="preserve"> Expanded Security Maintenance (ESM)</w:t>
        </w:r>
      </w:hyperlink>
      <w:r>
        <w:t xml:space="preserve"> which expands the Ubuntu LTS commit-</w:t>
      </w:r>
    </w:p>
    <w:p>
      <w:pPr>
        <w:pStyle w:val="Para 11"/>
      </w:pPr>
      <w:r>
        <w:t>ment on packages in Main from 5 years to 10 years – and now also covers packages in Ubuntu Universe.</w:t>
      </w:r>
    </w:p>
    <w:p>
      <w:pPr>
        <w:pStyle w:val="Para 06"/>
      </w:pPr>
      <w:r>
        <w:t xml:space="preserve">• </w:t>
      </w:r>
      <w:hyperlink w:anchor="page_736">
        <w:r>
          <w:rPr>
            <w:rStyle w:val="Text9"/>
          </w:rPr>
          <w:t>727</w:t>
        </w:r>
      </w:hyperlink>
      <w:r>
        <w:t xml:space="preserve"> </w:t>
      </w:r>
      <w:hyperlink r:id="rId1617">
        <w:r>
          <w:rPr>
            <w:rStyle w:val="Text1"/>
          </w:rPr>
          <w:t>Livepatch</w:t>
        </w:r>
      </w:hyperlink>
      <w:r>
        <w:t xml:space="preserve"> applies kernel patches for high and critical severity vulnerabilities</w:t>
      </w:r>
    </w:p>
    <w:p>
      <w:pPr>
        <w:pStyle w:val="Para 11"/>
      </w:pPr>
      <w:r>
        <w:t>while the system is running. This avoids the need for an immediate reboot.</w:t>
      </w:r>
    </w:p>
    <w:p>
      <w:pPr>
        <w:pStyle w:val="Para 02"/>
      </w:pPr>
      <w:r>
        <w:t>Most security patches can be fetched and applied automatically through the unattended-upgrade package. For more details on using and monitoring Ubuntu Pro</w:t>
      </w:r>
    </w:p>
    <w:p>
      <w:pPr>
        <w:pStyle w:val="Para 02"/>
      </w:pPr>
      <w:r>
        <w:t xml:space="preserve">via the command line, refer to the </w:t>
      </w:r>
      <w:hyperlink r:id="rId1073">
        <w:r>
          <w:rPr>
            <w:rStyle w:val="Text9"/>
          </w:rPr>
          <w:t>728</w:t>
        </w:r>
      </w:hyperlink>
      <w:hyperlink r:id="rId1073">
        <w:r>
          <w:rPr>
            <w:rStyle w:val="Text1"/>
          </w:rPr>
          <w:t xml:space="preserve"> official documentation</w:t>
        </w:r>
      </w:hyperlink>
      <w:r>
        <w:t>.</w:t>
      </w:r>
    </w:p>
    <w:p>
      <w:pPr>
        <w:pStyle w:val="Para 17"/>
      </w:pPr>
      <w:r>
        <w:t/>
      </w:r>
    </w:p>
    <w:p>
      <w:pPr>
        <w:pStyle w:val="Para 01"/>
      </w:pPr>
      <w:r>
        <w:t>Access Control</w:t>
      </w:r>
    </w:p>
    <w:p>
      <w:pPr>
        <w:pStyle w:val="Para 17"/>
      </w:pPr>
      <w:r>
        <w:t/>
      </w:r>
    </w:p>
    <w:p>
      <w:pPr>
        <w:pStyle w:val="Para 22"/>
      </w:pPr>
      <w:r>
        <w:rPr>
          <w:rStyle w:val="Text7"/>
        </w:rPr>
        <w:t xml:space="preserve">1. </w:t>
      </w:r>
      <w:hyperlink r:id="rId1621">
        <w:r>
          <w:rPr>
            <w:rStyle w:val="Text10"/>
          </w:rPr>
          <w:t>729</w:t>
        </w:r>
      </w:hyperlink>
      <w:r>
        <w:rPr>
          <w:rStyle w:val="Text7"/>
        </w:rPr>
        <w:t xml:space="preserve"> </w:t>
      </w:r>
      <w:r>
        <w:rPr>
          <w:rStyle w:val="Text18"/>
        </w:rPr>
        <w:t>Use and enforce</w:t>
      </w:r>
      <w:r>
        <w:rPr>
          <w:rStyle w:val="Text7"/>
        </w:rPr>
        <w:t xml:space="preserve"> the </w:t>
      </w:r>
      <w:hyperlink r:id="rId1621">
        <w:r>
          <w:t>principle of least privilege</w:t>
        </w:r>
      </w:hyperlink>
      <w:r>
        <w:rPr>
          <w:rStyle w:val="Text7"/>
        </w:rPr>
        <w:t>:</w:t>
      </w:r>
    </w:p>
    <w:p>
      <w:pPr>
        <w:pStyle w:val="Para 06"/>
      </w:pPr>
      <w:r>
        <w:t>• This means creating non-root user accounts with as few privileges as possible.</w:t>
      </w:r>
    </w:p>
    <w:p>
      <w:pPr>
        <w:pStyle w:val="Para 06"/>
      </w:pPr>
      <w:r>
        <w:t>• Not using sudo (root access) except for administration tasks.</w:t>
      </w:r>
    </w:p>
    <w:p>
      <w:pPr>
        <w:pStyle w:val="Para 06"/>
      </w:pPr>
      <w:r>
        <w:t xml:space="preserve">• For more details on basic access control, see our </w:t>
      </w:r>
      <w:hyperlink w:anchor="page_113">
        <w:r>
          <w:rPr>
            <w:rStyle w:val="Text2"/>
          </w:rPr>
          <w:t>guide on user management</w:t>
        </w:r>
      </w:hyperlink>
    </w:p>
    <w:p>
      <w:pPr>
        <w:pStyle w:val="Para 11"/>
      </w:pPr>
      <w:r>
        <w:t>(page 112).</w:t>
      </w:r>
    </w:p>
    <w:p>
      <w:pPr>
        <w:pStyle w:val="Para 17"/>
      </w:pPr>
      <w:r>
        <w:t/>
      </w:r>
    </w:p>
    <w:p>
      <w:pPr>
        <w:pStyle w:val="Para 01"/>
      </w:pPr>
      <w:r>
        <w:t>Network security</w:t>
      </w:r>
    </w:p>
    <w:p>
      <w:pPr>
        <w:pStyle w:val="Para 17"/>
      </w:pPr>
      <w:r>
        <w:t/>
      </w:r>
    </w:p>
    <w:p>
      <w:pPr>
        <w:pStyle w:val="Para 03"/>
      </w:pPr>
      <w:r>
        <w:t xml:space="preserve">1. </w:t>
      </w:r>
      <w:r>
        <w:rPr>
          <w:rStyle w:val="Text0"/>
        </w:rPr>
        <w:t>Use a firewall</w:t>
      </w:r>
      <w:r>
        <w:t>. In Ubuntu, the uncomplicated firewall (ufw) tool is used to configure fire-</w:t>
      </w:r>
    </w:p>
    <w:p>
      <w:pPr>
        <w:pStyle w:val="Para 02"/>
      </w:pPr>
      <w:r>
        <w:t>walls. ufw is a wrapper around the iptables utility (which experienced system admins</w:t>
      </w:r>
    </w:p>
    <w:p>
      <w:pPr>
        <w:pStyle w:val="Para 02"/>
      </w:pPr>
      <w:r>
        <w:t xml:space="preserve">may prefer to use directly). To get started with ufw, check out our </w:t>
      </w:r>
      <w:hyperlink w:anchor="page_121">
        <w:r>
          <w:rPr>
            <w:rStyle w:val="Text2"/>
          </w:rPr>
          <w:t>Firewall</w:t>
        </w:r>
      </w:hyperlink>
      <w:r>
        <w:t xml:space="preserve"> (page 120) guide.</w:t>
      </w:r>
    </w:p>
    <w:p>
      <w:pPr>
        <w:pStyle w:val="Para 03"/>
      </w:pPr>
      <w:r>
        <w:t xml:space="preserve">2. </w:t>
      </w:r>
      <w:r>
        <w:rPr>
          <w:rStyle w:val="Text0"/>
        </w:rPr>
        <w:t>Use the Secure Shell (SSH)</w:t>
      </w:r>
      <w:r>
        <w:t xml:space="preserve"> protocol to secure remote access. In Ubuntu, this is</w:t>
      </w:r>
    </w:p>
    <w:p>
      <w:pPr>
        <w:pStyle w:val="Para 02"/>
      </w:pPr>
      <w:r>
        <w:t xml:space="preserve">managed through OpenSSH. For details on setting up OpenSSH, refer to our </w:t>
      </w:r>
      <w:hyperlink w:anchor="page_186">
        <w:r>
          <w:rPr>
            <w:rStyle w:val="Text2"/>
          </w:rPr>
          <w:t>guide to</w:t>
        </w:r>
      </w:hyperlink>
    </w:p>
    <w:p>
      <w:pPr>
        <w:pStyle w:val="Para 02"/>
      </w:pPr>
      <w:hyperlink w:anchor="page_186">
        <w:r>
          <w:rPr>
            <w:rStyle w:val="Text2"/>
          </w:rPr>
          <w:t>OpenSSH</w:t>
        </w:r>
      </w:hyperlink>
      <w:r>
        <w:t xml:space="preserve"> (page 185).</w:t>
      </w:r>
    </w:p>
    <w:p>
      <w:pPr>
        <w:pStyle w:val="Para 05"/>
      </w:pPr>
      <w:r>
        <w:rPr>
          <w:rStyle w:val="Text5"/>
        </w:rPr>
        <w:t>725</w:t>
      </w:r>
      <w:r>
        <w:rPr>
          <w:rStyle w:val="Text8"/>
        </w:rPr>
        <w:t xml:space="preserve"> </w:t>
      </w:r>
      <w:r>
        <w:t>https://ubuntu.com/pro</w:t>
      </w:r>
    </w:p>
    <w:p>
      <w:pPr>
        <w:pStyle w:val="Para 05"/>
      </w:pPr>
      <w:r>
        <w:rPr>
          <w:rStyle w:val="Text5"/>
        </w:rPr>
        <w:t>726</w:t>
      </w:r>
      <w:r>
        <w:rPr>
          <w:rStyle w:val="Text8"/>
        </w:rPr>
        <w:t xml:space="preserve"> </w:t>
      </w:r>
      <w:r>
        <w:t>https://documentation.ubuntu.com/security/security-updates/esm/</w:t>
      </w:r>
    </w:p>
    <w:p>
      <w:pPr>
        <w:pStyle w:val="Para 05"/>
      </w:pPr>
      <w:r>
        <w:rPr>
          <w:rStyle w:val="Text5"/>
        </w:rPr>
        <w:t>727</w:t>
      </w:r>
      <w:r>
        <w:rPr>
          <w:rStyle w:val="Text8"/>
        </w:rPr>
        <w:t xml:space="preserve"> </w:t>
      </w:r>
      <w:r>
        <w:t>https://ubuntu.com/security/livepatch/docs</w:t>
      </w:r>
    </w:p>
    <w:p>
      <w:pPr>
        <w:pStyle w:val="Para 05"/>
      </w:pPr>
      <w:r>
        <w:rPr>
          <w:rStyle w:val="Text5"/>
        </w:rPr>
        <w:t>728</w:t>
      </w:r>
      <w:r>
        <w:rPr>
          <w:rStyle w:val="Text8"/>
        </w:rPr>
        <w:t xml:space="preserve"> </w:t>
      </w:r>
      <w:r>
        <w:t>https://documentation.ubuntu.com/pro-client/en/latest/</w:t>
      </w:r>
    </w:p>
    <w:p>
      <w:pPr>
        <w:pStyle w:val="Para 05"/>
      </w:pPr>
      <w:r>
        <w:rPr>
          <w:rStyle w:val="Text5"/>
        </w:rPr>
        <w:t>729</w:t>
      </w:r>
      <w:r>
        <w:rPr>
          <w:rStyle w:val="Text8"/>
        </w:rPr>
        <w:t xml:space="preserve"> </w:t>
      </w:r>
      <w:r>
        <w:t>https://en.wikipedia.org/wiki/Principle_of_least_privilege</w:t>
      </w:r>
      <w:r>
        <w:rPr>
          <w:rStyle w:val="Text8"/>
        </w:rPr>
        <w:t xml:space="preserve"> </w:t>
      </w:r>
      <w:r>
        <w:rPr>
          <w:rStyle w:val="Text11"/>
        </w:rPr>
        <w:t>Physical security</w:t>
      </w:r>
    </w:p>
    <w:p>
      <w:bookmarkStart w:id="1165" w:name="page_7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69" name="index-737_1.png" descr="index-737_1.png"/>
            <wp:cNvGraphicFramePr>
              <a:graphicFrameLocks noChangeAspect="1"/>
            </wp:cNvGraphicFramePr>
            <a:graphic>
              <a:graphicData uri="http://schemas.openxmlformats.org/drawingml/2006/picture">
                <pic:pic>
                  <pic:nvPicPr>
                    <pic:cNvPr id="0" name="index-737_1.png" descr="index-737_1.png"/>
                    <pic:cNvPicPr/>
                  </pic:nvPicPr>
                  <pic:blipFill>
                    <a:blip r:embed="rId773"/>
                    <a:stretch>
                      <a:fillRect/>
                    </a:stretch>
                  </pic:blipFill>
                  <pic:spPr>
                    <a:xfrm>
                      <a:off x="0" y="0"/>
                      <a:ext cx="914400" cy="266700"/>
                    </a:xfrm>
                    <a:prstGeom prst="rect">
                      <a:avLst/>
                    </a:prstGeom>
                  </pic:spPr>
                </pic:pic>
              </a:graphicData>
            </a:graphic>
          </wp:anchor>
        </w:drawing>
      </w:r>
      <w:bookmarkEnd w:id="1165"/>
    </w:p>
    <w:p>
      <w:pPr>
        <w:pStyle w:val="Para 17"/>
      </w:pPr>
      <w:r>
        <w:t/>
      </w:r>
    </w:p>
    <w:p>
      <w:pPr>
        <w:pStyle w:val="Normal"/>
      </w:pPr>
      <w:r>
        <w:t>There are also steps you can take to protect the physical security of your system. These how-to guides will help you set up these additional precautions:</w:t>
      </w:r>
    </w:p>
    <w:p>
      <w:pPr>
        <w:pStyle w:val="Para 14"/>
      </w:pPr>
      <w:r>
        <w:rPr>
          <w:rStyle w:val="Text4"/>
        </w:rPr>
        <w:t xml:space="preserve">• </w:t>
      </w:r>
      <w:hyperlink w:anchor="page_175">
        <w:r>
          <w:t>Smart card authentication</w:t>
        </w:r>
      </w:hyperlink>
      <w:r>
        <w:rPr>
          <w:rStyle w:val="Text4"/>
        </w:rPr>
        <w:t xml:space="preserve"> (page 174).</w:t>
      </w:r>
    </w:p>
    <w:p>
      <w:pPr>
        <w:pStyle w:val="Para 14"/>
      </w:pPr>
      <w:r>
        <w:rPr>
          <w:rStyle w:val="Text4"/>
        </w:rPr>
        <w:t xml:space="preserve">• </w:t>
      </w:r>
      <w:hyperlink w:anchor="page_184">
        <w:r>
          <w:t>Smart card authentication with SSH</w:t>
        </w:r>
      </w:hyperlink>
      <w:r>
        <w:rPr>
          <w:rStyle w:val="Text4"/>
        </w:rPr>
        <w:t xml:space="preserve"> (page 183).</w:t>
      </w:r>
    </w:p>
    <w:p>
      <w:pPr>
        <w:pStyle w:val="Para 14"/>
      </w:pPr>
      <w:r>
        <w:rPr>
          <w:rStyle w:val="Text4"/>
        </w:rPr>
        <w:t xml:space="preserve">• </w:t>
      </w:r>
      <w:hyperlink w:anchor="page_135">
        <w:r>
          <w:t>Console security</w:t>
        </w:r>
      </w:hyperlink>
      <w:r>
        <w:rPr>
          <w:rStyle w:val="Text4"/>
        </w:rPr>
        <w:t xml:space="preserve"> (page 134).</w:t>
      </w:r>
    </w:p>
    <w:p>
      <w:pPr>
        <w:pStyle w:val="Para 17"/>
      </w:pPr>
      <w:r>
        <w:t/>
      </w:r>
    </w:p>
    <w:p>
      <w:pPr>
        <w:pStyle w:val="Para 01"/>
      </w:pPr>
      <w:r>
        <w:t>Suggestions for complex setups</w:t>
      </w:r>
    </w:p>
    <w:p>
      <w:pPr>
        <w:pStyle w:val="Para 17"/>
      </w:pPr>
      <w:r>
        <w:t/>
      </w:r>
    </w:p>
    <w:p>
      <w:pPr>
        <w:pStyle w:val="Normal"/>
      </w:pPr>
      <w:r>
        <w:t>The following section will help direct you to the security-related packages for which we pro-vide documentation. For more discussion about advanced security considerations, refer to</w:t>
      </w:r>
    </w:p>
    <w:p>
      <w:pPr>
        <w:pStyle w:val="Normal"/>
      </w:pPr>
      <w:r>
        <w:t xml:space="preserve">the </w:t>
      </w:r>
      <w:hyperlink w:anchor="page_737">
        <w:r>
          <w:rPr>
            <w:rStyle w:val="Text9"/>
          </w:rPr>
          <w:t>730</w:t>
        </w:r>
      </w:hyperlink>
      <w:r>
        <w:t xml:space="preserve"> </w:t>
      </w:r>
      <w:hyperlink r:id="rId1029">
        <w:r>
          <w:rPr>
            <w:rStyle w:val="Text1"/>
          </w:rPr>
          <w:t>Ubuntu Security</w:t>
        </w:r>
      </w:hyperlink>
      <w:r>
        <w:t xml:space="preserve"> documentation.</w:t>
      </w:r>
    </w:p>
    <w:p>
      <w:pPr>
        <w:pStyle w:val="Para 17"/>
      </w:pPr>
      <w:r>
        <w:t/>
      </w:r>
    </w:p>
    <w:p>
      <w:pPr>
        <w:pStyle w:val="Para 01"/>
      </w:pPr>
      <w:r>
        <w:t>Advanced Access Control</w:t>
      </w:r>
    </w:p>
    <w:p>
      <w:pPr>
        <w:pStyle w:val="Para 17"/>
      </w:pPr>
      <w:r>
        <w:t/>
      </w:r>
    </w:p>
    <w:p>
      <w:pPr>
        <w:pStyle w:val="Para 08"/>
      </w:pPr>
      <w:r>
        <w:rPr>
          <w:rStyle w:val="Text0"/>
        </w:rPr>
        <w:t xml:space="preserve">1. </w:t>
      </w:r>
      <w:r>
        <w:t>Lightweight Directory Access Protocol (LDAP)</w:t>
      </w:r>
      <w:r>
        <w:rPr>
          <w:rStyle w:val="Text0"/>
        </w:rPr>
        <w:t xml:space="preserve"> is the usual way to gate access control</w:t>
      </w:r>
    </w:p>
    <w:p>
      <w:pPr>
        <w:pStyle w:val="Para 02"/>
      </w:pPr>
      <w:r>
        <w:t>for larger or more complex setups. In Ubuntu, this is implemented through OpenLDAP.</w:t>
      </w:r>
    </w:p>
    <w:p>
      <w:pPr>
        <w:pStyle w:val="Para 02"/>
      </w:pPr>
      <w:r>
        <w:t xml:space="preserve">Refer to our </w:t>
      </w:r>
      <w:hyperlink w:anchor="page_857">
        <w:r>
          <w:rPr>
            <w:rStyle w:val="Text2"/>
          </w:rPr>
          <w:t>introduction to OpenLDAP</w:t>
        </w:r>
      </w:hyperlink>
      <w:r>
        <w:t xml:space="preserve"> (page 856) for more details, or see our section</w:t>
      </w:r>
    </w:p>
    <w:p>
      <w:pPr>
        <w:pStyle w:val="Para 31"/>
      </w:pPr>
      <w:hyperlink w:anchor="page_372">
        <w:r>
          <w:t>on how to set up OpenLDAP</w:t>
        </w:r>
      </w:hyperlink>
      <w:r>
        <w:rPr>
          <w:rStyle w:val="Text4"/>
        </w:rPr>
        <w:t xml:space="preserve"> (page 371).</w:t>
      </w:r>
    </w:p>
    <w:p>
      <w:pPr>
        <w:pStyle w:val="Para 03"/>
      </w:pPr>
      <w:r>
        <w:t xml:space="preserve">2. </w:t>
      </w:r>
      <w:r>
        <w:rPr>
          <w:rStyle w:val="Text0"/>
        </w:rPr>
        <w:t>Kerberos</w:t>
      </w:r>
      <w:r>
        <w:t xml:space="preserve"> is a network authentication protocol that provides identity verification for</w:t>
      </w:r>
    </w:p>
    <w:p>
      <w:pPr>
        <w:pStyle w:val="Para 02"/>
      </w:pPr>
      <w:r>
        <w:t>distributed environments, commonly used in enterprise systems. Learn more in our</w:t>
      </w:r>
    </w:p>
    <w:p>
      <w:pPr>
        <w:pStyle w:val="Para 02"/>
      </w:pPr>
      <w:hyperlink w:anchor="page_739">
        <w:r>
          <w:rPr>
            <w:rStyle w:val="Text2"/>
          </w:rPr>
          <w:t>introduction to Kerberos</w:t>
        </w:r>
      </w:hyperlink>
      <w:r>
        <w:t xml:space="preserve"> (page 738), or see our section on how to </w:t>
      </w:r>
      <w:hyperlink w:anchor="page_138">
        <w:r>
          <w:rPr>
            <w:rStyle w:val="Text2"/>
          </w:rPr>
          <w:t>set up and use Kerberos</w:t>
        </w:r>
      </w:hyperlink>
      <w:r>
        <w:t xml:space="preserve"> (page 137).</w:t>
      </w:r>
    </w:p>
    <w:p>
      <w:pPr>
        <w:pStyle w:val="Para 03"/>
      </w:pPr>
      <w:r>
        <w:t xml:space="preserve">3. </w:t>
      </w:r>
      <w:r>
        <w:rPr>
          <w:rStyle w:val="Text0"/>
        </w:rPr>
        <w:t>System Security Services Daemon (SSSD)</w:t>
      </w:r>
      <w:r>
        <w:t xml:space="preserve"> is a collection of daemons that handle</w:t>
      </w:r>
    </w:p>
    <w:p>
      <w:pPr>
        <w:pStyle w:val="Para 02"/>
      </w:pPr>
      <w:r>
        <w:t>authentication, authorisation and user/group information from disparate network sources. It integrates with OpenLDAP, Kerberos, and Active Directory as we discuss</w:t>
      </w:r>
    </w:p>
    <w:p>
      <w:pPr>
        <w:pStyle w:val="Para 02"/>
      </w:pPr>
      <w:r>
        <w:t xml:space="preserve">in more detail in our </w:t>
      </w:r>
      <w:hyperlink w:anchor="page_740">
        <w:r>
          <w:rPr>
            <w:rStyle w:val="Text2"/>
          </w:rPr>
          <w:t>introduction to SSSD</w:t>
        </w:r>
      </w:hyperlink>
      <w:r>
        <w:t xml:space="preserve"> (page 739) or get started setting it up with</w:t>
      </w:r>
    </w:p>
    <w:p>
      <w:pPr>
        <w:pStyle w:val="Para 02"/>
      </w:pPr>
      <w:r>
        <w:t xml:space="preserve">our </w:t>
      </w:r>
      <w:hyperlink w:anchor="page_158">
        <w:r>
          <w:rPr>
            <w:rStyle w:val="Text2"/>
          </w:rPr>
          <w:t>how-to section</w:t>
        </w:r>
      </w:hyperlink>
      <w:r>
        <w:t xml:space="preserve"> (page 157).</w:t>
      </w:r>
    </w:p>
    <w:p>
      <w:pPr>
        <w:pStyle w:val="Para 03"/>
      </w:pPr>
      <w:r>
        <w:t xml:space="preserve">4. </w:t>
      </w:r>
      <w:r>
        <w:rPr>
          <w:rStyle w:val="Text0"/>
        </w:rPr>
        <w:t>Active Directory</w:t>
      </w:r>
      <w:r>
        <w:t>, the directory service for Windows domain networks, can be set up to</w:t>
      </w:r>
    </w:p>
    <w:p>
      <w:pPr>
        <w:pStyle w:val="Para 02"/>
      </w:pPr>
      <w:r>
        <w:t>allow your Ubuntu Server to integrate with a Windows network. Find out more about</w:t>
      </w:r>
    </w:p>
    <w:p>
      <w:pPr>
        <w:pStyle w:val="Para 31"/>
      </w:pPr>
      <w:hyperlink w:anchor="page_830">
        <w:r>
          <w:t>Active Directory integration</w:t>
        </w:r>
      </w:hyperlink>
      <w:r>
        <w:rPr>
          <w:rStyle w:val="Text4"/>
        </w:rPr>
        <w:t xml:space="preserve"> (page 829), or </w:t>
      </w:r>
      <w:hyperlink w:anchor="page_327">
        <w:r>
          <w:t>learn how to set it up</w:t>
        </w:r>
      </w:hyperlink>
      <w:r>
        <w:rPr>
          <w:rStyle w:val="Text4"/>
        </w:rPr>
        <w:t xml:space="preserve"> (page 326). You may</w:t>
      </w:r>
    </w:p>
    <w:p>
      <w:pPr>
        <w:pStyle w:val="Para 02"/>
      </w:pPr>
      <w:r>
        <w:t xml:space="preserve">also find </w:t>
      </w:r>
      <w:hyperlink w:anchor="page_668">
        <w:r>
          <w:rPr>
            <w:rStyle w:val="Text2"/>
          </w:rPr>
          <w:t>ADSys</w:t>
        </w:r>
      </w:hyperlink>
      <w:r>
        <w:t xml:space="preserve"> , the Group Policy client for Ubuntu, helpful. See the </w:t>
      </w:r>
      <w:hyperlink r:id="rId1622">
        <w:r>
          <w:rPr>
            <w:rStyle w:val="Text1"/>
          </w:rPr>
          <w:t>ADSys documen-</w:t>
        </w:r>
      </w:hyperlink>
    </w:p>
    <w:p>
      <w:pPr>
        <w:pStyle w:val="Para 02"/>
      </w:pPr>
      <w:hyperlink r:id="rId1622">
        <w:r>
          <w:rPr>
            <w:rStyle w:val="Text1"/>
          </w:rPr>
          <w:t>tation</w:t>
        </w:r>
      </w:hyperlink>
      <w:hyperlink r:id="rId1622">
        <w:r>
          <w:rPr>
            <w:rStyle w:val="Text9"/>
          </w:rPr>
          <w:t>731</w:t>
        </w:r>
      </w:hyperlink>
      <w:r>
        <w:t xml:space="preserve"> for more details.</w:t>
      </w:r>
    </w:p>
    <w:p>
      <w:pPr>
        <w:pStyle w:val="Para 03"/>
      </w:pPr>
      <w:r>
        <w:t xml:space="preserve">5. </w:t>
      </w:r>
      <w:r>
        <w:rPr>
          <w:rStyle w:val="Text0"/>
        </w:rPr>
        <w:t>AppArmor</w:t>
      </w:r>
      <w:r>
        <w:t xml:space="preserve"> is strongly recommended in order to limit the system access and capabilities</w:t>
      </w:r>
    </w:p>
    <w:p>
      <w:pPr>
        <w:pStyle w:val="Para 02"/>
      </w:pPr>
      <w:r>
        <w:t>of the software running on your systems. It enforces Mandatory Access Control (MAC) policies for individual applications to ensure that even if an application is compromised,</w:t>
      </w:r>
    </w:p>
    <w:p>
      <w:pPr>
        <w:pStyle w:val="Para 02"/>
      </w:pPr>
      <w:r>
        <w:t xml:space="preserve">the amount of damage caused is limited. We have a how-to guide that will show you </w:t>
      </w:r>
      <w:hyperlink w:anchor="page_128">
        <w:r>
          <w:rPr>
            <w:rStyle w:val="Text2"/>
          </w:rPr>
          <w:t>how</w:t>
        </w:r>
      </w:hyperlink>
    </w:p>
    <w:p>
      <w:pPr>
        <w:pStyle w:val="Para 31"/>
      </w:pPr>
      <w:hyperlink w:anchor="page_128">
        <w:r>
          <w:t>to set up AppArmor</w:t>
        </w:r>
      </w:hyperlink>
      <w:r>
        <w:rPr>
          <w:rStyle w:val="Text4"/>
        </w:rPr>
        <w:t xml:space="preserve"> (page 127).</w:t>
      </w:r>
    </w:p>
    <w:p>
      <w:pPr>
        <w:pStyle w:val="Para 05"/>
      </w:pPr>
      <w:r>
        <w:rPr>
          <w:rStyle w:val="Text5"/>
        </w:rPr>
        <w:t>730</w:t>
      </w:r>
      <w:r>
        <w:rPr>
          <w:rStyle w:val="Text8"/>
        </w:rPr>
        <w:t xml:space="preserve"> </w:t>
      </w:r>
      <w:r>
        <w:t>https://documentation.ubuntu.com/security/</w:t>
      </w:r>
    </w:p>
    <w:p>
      <w:pPr>
        <w:pStyle w:val="Para 05"/>
      </w:pPr>
      <w:r>
        <w:rPr>
          <w:rStyle w:val="Text5"/>
        </w:rPr>
        <w:t>731</w:t>
      </w:r>
      <w:r>
        <w:rPr>
          <w:rStyle w:val="Text8"/>
        </w:rPr>
        <w:t xml:space="preserve"> </w:t>
      </w:r>
      <w:r>
        <w:t>https://documentation.ubuntu.com/adsys/latest/</w:t>
      </w:r>
    </w:p>
    <w:p>
      <w:bookmarkStart w:id="1166" w:name="page_7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0" name="index-738_1.png" descr="index-738_1.png"/>
            <wp:cNvGraphicFramePr>
              <a:graphicFrameLocks noChangeAspect="1"/>
            </wp:cNvGraphicFramePr>
            <a:graphic>
              <a:graphicData uri="http://schemas.openxmlformats.org/drawingml/2006/picture">
                <pic:pic>
                  <pic:nvPicPr>
                    <pic:cNvPr id="0" name="index-738_1.png" descr="index-738_1.png"/>
                    <pic:cNvPicPr/>
                  </pic:nvPicPr>
                  <pic:blipFill>
                    <a:blip r:embed="rId774"/>
                    <a:stretch>
                      <a:fillRect/>
                    </a:stretch>
                  </pic:blipFill>
                  <pic:spPr>
                    <a:xfrm>
                      <a:off x="0" y="0"/>
                      <a:ext cx="914400" cy="266700"/>
                    </a:xfrm>
                    <a:prstGeom prst="rect">
                      <a:avLst/>
                    </a:prstGeom>
                  </pic:spPr>
                </pic:pic>
              </a:graphicData>
            </a:graphic>
          </wp:anchor>
        </w:drawing>
      </w:r>
      <w:bookmarkEnd w:id="1166"/>
    </w:p>
    <w:p>
      <w:pPr>
        <w:pStyle w:val="Para 01"/>
      </w:pPr>
      <w:r>
        <w:t>Security of communications</w:t>
      </w:r>
    </w:p>
    <w:p>
      <w:pPr>
        <w:pStyle w:val="Para 17"/>
      </w:pPr>
      <w:r>
        <w:t/>
      </w:r>
    </w:p>
    <w:p>
      <w:pPr>
        <w:pStyle w:val="Normal"/>
      </w:pPr>
      <w:r>
        <w:t xml:space="preserve">VPNs are an important tool for system administrators. They provide encrypted, secure con-nections between a network and the users connecting to it. Two of the most popular choices in Ubuntu are </w:t>
      </w:r>
      <w:r>
        <w:rPr>
          <w:rStyle w:val="Text0"/>
        </w:rPr>
        <w:t>WireGuard VPN</w:t>
      </w:r>
      <w:r>
        <w:t xml:space="preserve"> and </w:t>
      </w:r>
      <w:r>
        <w:rPr>
          <w:rStyle w:val="Text0"/>
        </w:rPr>
        <w:t>OpenVPN</w:t>
      </w:r>
      <w:r>
        <w:t>.</w:t>
      </w:r>
    </w:p>
    <w:p>
      <w:pPr>
        <w:pStyle w:val="Para 03"/>
      </w:pPr>
      <w:r>
        <w:t xml:space="preserve">1. </w:t>
      </w:r>
      <w:r>
        <w:rPr>
          <w:rStyle w:val="Text0"/>
        </w:rPr>
        <w:t>WireGuard VPN</w:t>
      </w:r>
      <w:r>
        <w:t xml:space="preserve"> is a modern and performant option, and it removes much of the com-</w:t>
      </w:r>
    </w:p>
    <w:p>
      <w:pPr>
        <w:pStyle w:val="Para 02"/>
      </w:pPr>
      <w:r>
        <w:t>plexity from the configuration and deployment of a VPN. To get an overview, see our</w:t>
      </w:r>
    </w:p>
    <w:p>
      <w:pPr>
        <w:pStyle w:val="Para 02"/>
      </w:pPr>
      <w:hyperlink w:anchor="page_795">
        <w:r>
          <w:rPr>
            <w:rStyle w:val="Text2"/>
          </w:rPr>
          <w:t>Introduction to WireGuard VPN</w:t>
        </w:r>
      </w:hyperlink>
      <w:r>
        <w:t xml:space="preserve"> (page 794). You can then find out how to </w:t>
      </w:r>
      <w:hyperlink w:anchor="page_211">
        <w:r>
          <w:rPr>
            <w:rStyle w:val="Text2"/>
          </w:rPr>
          <w:t>set up Wire-</w:t>
        </w:r>
      </w:hyperlink>
    </w:p>
    <w:p>
      <w:pPr>
        <w:pStyle w:val="Para 02"/>
      </w:pPr>
      <w:hyperlink w:anchor="page_211">
        <w:r>
          <w:rPr>
            <w:rStyle w:val="Text2"/>
          </w:rPr>
          <w:t>Guard VPN</w:t>
        </w:r>
      </w:hyperlink>
      <w:r>
        <w:t xml:space="preserve"> (page 210).</w:t>
      </w:r>
    </w:p>
    <w:p>
      <w:pPr>
        <w:pStyle w:val="Para 03"/>
      </w:pPr>
      <w:r>
        <w:t xml:space="preserve">2. </w:t>
      </w:r>
      <w:r>
        <w:rPr>
          <w:rStyle w:val="Text0"/>
        </w:rPr>
        <w:t>OpenVPN</w:t>
      </w:r>
      <w:r>
        <w:t xml:space="preserve"> is a well-established and widely supported option with a large user base. It</w:t>
      </w:r>
    </w:p>
    <w:p>
      <w:pPr>
        <w:pStyle w:val="Para 02"/>
      </w:pPr>
      <w:r>
        <w:t>supports many platforms besides Linux, including Windows, macOS and iOS. Find out</w:t>
      </w:r>
    </w:p>
    <w:p>
      <w:pPr>
        <w:pStyle w:val="Para 02"/>
      </w:pPr>
      <w:r>
        <w:t xml:space="preserve">more </w:t>
      </w:r>
      <w:hyperlink w:anchor="page_800">
        <w:r>
          <w:rPr>
            <w:rStyle w:val="Text2"/>
          </w:rPr>
          <w:t>about the available clients</w:t>
        </w:r>
      </w:hyperlink>
      <w:r>
        <w:t xml:space="preserve"> (page 799), or see our guide on </w:t>
      </w:r>
      <w:hyperlink w:anchor="page_199">
        <w:r>
          <w:rPr>
            <w:rStyle w:val="Text2"/>
          </w:rPr>
          <w:t>how to install OpenVPN</w:t>
        </w:r>
      </w:hyperlink>
      <w:r>
        <w:t xml:space="preserve"> (page 198).</w:t>
      </w:r>
    </w:p>
    <w:p>
      <w:pPr>
        <w:pStyle w:val="Normal"/>
      </w:pPr>
      <w:r>
        <w:t xml:space="preserve">It’s also important to consider </w:t>
      </w:r>
      <w:r>
        <w:rPr>
          <w:rStyle w:val="Text0"/>
        </w:rPr>
        <w:t>Transport Layer Security (TLS)</w:t>
      </w:r>
      <w:r>
        <w:t xml:space="preserve"> and/or </w:t>
      </w:r>
      <w:r>
        <w:rPr>
          <w:rStyle w:val="Text0"/>
        </w:rPr>
        <w:t>Secure Sockets Layer (SSL)</w:t>
      </w:r>
      <w:r>
        <w:t xml:space="preserve"> for securely encrypting data in transit. These cryptographic protocols provide privacy, integrity and authenticity to the communications being passed between two clients, or be-tween a client and server. The exact implementation you choose will depend upon your setup, and there are many options available.</w:t>
      </w:r>
    </w:p>
    <w:p>
      <w:pPr>
        <w:pStyle w:val="Para 17"/>
      </w:pPr>
      <w:r>
        <w:t/>
      </w:r>
    </w:p>
    <w:p>
      <w:pPr>
        <w:pStyle w:val="Para 01"/>
      </w:pPr>
      <w:r>
        <w:t>Cryptography</w:t>
      </w:r>
    </w:p>
    <w:p>
      <w:pPr>
        <w:pStyle w:val="Para 17"/>
      </w:pPr>
      <w:r>
        <w:t/>
      </w:r>
    </w:p>
    <w:p>
      <w:pPr>
        <w:pStyle w:val="Normal"/>
      </w:pPr>
      <w:r>
        <w:t xml:space="preserve">There are many </w:t>
      </w:r>
      <w:r>
        <w:rPr>
          <w:rStyle w:val="Text0"/>
        </w:rPr>
        <w:t>cryptographic libraries</w:t>
      </w:r>
      <w:r>
        <w:t xml:space="preserve"> available in Ubuntu. For an overview of the most</w:t>
      </w:r>
    </w:p>
    <w:p>
      <w:pPr>
        <w:pStyle w:val="Normal"/>
      </w:pPr>
      <w:r>
        <w:t xml:space="preserve">common ones, including some more details about TLS and SSL, refer to our page </w:t>
      </w:r>
      <w:hyperlink w:anchor="page_750">
        <w:r>
          <w:rPr>
            <w:rStyle w:val="Text2"/>
          </w:rPr>
          <w:t>about crypto</w:t>
        </w:r>
      </w:hyperlink>
    </w:p>
    <w:p>
      <w:pPr>
        <w:pStyle w:val="Normal"/>
      </w:pPr>
      <w:hyperlink w:anchor="page_750">
        <w:r>
          <w:rPr>
            <w:rStyle w:val="Text2"/>
          </w:rPr>
          <w:t>libraries</w:t>
        </w:r>
      </w:hyperlink>
      <w:r>
        <w:t xml:space="preserve"> (page 749). For a more high level overview of cryptographic libraries in general, see</w:t>
      </w:r>
    </w:p>
    <w:p>
      <w:pPr>
        <w:pStyle w:val="Para 20"/>
      </w:pPr>
      <w:r>
        <w:rPr>
          <w:rStyle w:val="Text4"/>
        </w:rPr>
        <w:t xml:space="preserve">our </w:t>
      </w:r>
      <w:hyperlink w:anchor="page_750">
        <w:r>
          <w:t>Introduction to cryptographic libraries</w:t>
        </w:r>
      </w:hyperlink>
      <w:r>
        <w:rPr>
          <w:rStyle w:val="Text4"/>
        </w:rPr>
        <w:t xml:space="preserve"> (page 749)</w:t>
      </w:r>
    </w:p>
    <w:p>
      <w:pPr>
        <w:pStyle w:val="Normal"/>
      </w:pPr>
      <w:r>
        <w:t xml:space="preserve">Of course, no discussion of cryptography would be complete without including </w:t>
      </w:r>
      <w:r>
        <w:rPr>
          <w:rStyle w:val="Text0"/>
        </w:rPr>
        <w:t>certificates</w:t>
      </w:r>
      <w:r>
        <w:t>.</w:t>
      </w:r>
    </w:p>
    <w:p>
      <w:pPr>
        <w:pStyle w:val="Normal"/>
      </w:pPr>
      <w:r>
        <w:t xml:space="preserve">For more details about what certificates are and how they are used, see our </w:t>
      </w:r>
      <w:hyperlink w:anchor="page_791">
        <w:r>
          <w:rPr>
            <w:rStyle w:val="Text2"/>
          </w:rPr>
          <w:t>About certificates</w:t>
        </w:r>
      </w:hyperlink>
      <w:r>
        <w:t xml:space="preserve"> (page 790) page. Alternatively, if you are familiar with the concepts of certificates and Certi-</w:t>
      </w:r>
    </w:p>
    <w:p>
      <w:pPr>
        <w:pStyle w:val="Normal"/>
      </w:pPr>
      <w:r>
        <w:t xml:space="preserve">fication Authorities (CA), our how-to guide will show you how to </w:t>
      </w:r>
      <w:hyperlink w:anchor="page_196">
        <w:r>
          <w:rPr>
            <w:rStyle w:val="Text2"/>
          </w:rPr>
          <w:t>Install root CA certificate in</w:t>
        </w:r>
      </w:hyperlink>
    </w:p>
    <w:p>
      <w:pPr>
        <w:pStyle w:val="Para 20"/>
      </w:pPr>
      <w:hyperlink w:anchor="page_196">
        <w:r>
          <w:t>the trust store</w:t>
        </w:r>
      </w:hyperlink>
      <w:r>
        <w:rPr>
          <w:rStyle w:val="Text4"/>
        </w:rPr>
        <w:t xml:space="preserve"> (page 195)</w:t>
      </w:r>
    </w:p>
    <w:p>
      <w:bookmarkStart w:id="1167" w:name="calibre_pb_214"/>
      <w:pPr>
        <w:pStyle w:val="0 Block"/>
      </w:pPr>
      <w:bookmarkEnd w:id="1167"/>
    </w:p>
    <w:p>
      <w:bookmarkStart w:id="1168" w:name="page_739"/>
      <w:bookmarkStart w:id="1169" w:name="Top_of_index_split_21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1" name="index-739_1.png" descr="index-739_1.png"/>
            <wp:cNvGraphicFramePr>
              <a:graphicFrameLocks noChangeAspect="1"/>
            </wp:cNvGraphicFramePr>
            <a:graphic>
              <a:graphicData uri="http://schemas.openxmlformats.org/drawingml/2006/picture">
                <pic:pic>
                  <pic:nvPicPr>
                    <pic:cNvPr id="0" name="index-739_1.png" descr="index-739_1.png"/>
                    <pic:cNvPicPr/>
                  </pic:nvPicPr>
                  <pic:blipFill>
                    <a:blip r:embed="rId775"/>
                    <a:stretch>
                      <a:fillRect/>
                    </a:stretch>
                  </pic:blipFill>
                  <pic:spPr>
                    <a:xfrm>
                      <a:off x="0" y="0"/>
                      <a:ext cx="914400" cy="266700"/>
                    </a:xfrm>
                    <a:prstGeom prst="rect">
                      <a:avLst/>
                    </a:prstGeom>
                  </pic:spPr>
                </pic:pic>
              </a:graphicData>
            </a:graphic>
          </wp:anchor>
        </w:drawing>
      </w:r>
      <w:bookmarkEnd w:id="1168"/>
      <w:bookmarkEnd w:id="1169"/>
    </w:p>
    <w:p>
      <w:pPr>
        <w:pStyle w:val="Para 01"/>
      </w:pPr>
      <w:r>
        <w:t>Compliance and auditing</w:t>
      </w:r>
    </w:p>
    <w:p>
      <w:pPr>
        <w:pStyle w:val="Para 17"/>
      </w:pPr>
      <w:r>
        <w:t/>
      </w:r>
    </w:p>
    <w:p>
      <w:pPr>
        <w:pStyle w:val="Normal"/>
      </w:pPr>
      <w:r>
        <w:t>If you need to adhere to specific industry standards, or are otherwise operating in a high</w:t>
      </w:r>
    </w:p>
    <w:p>
      <w:pPr>
        <w:pStyle w:val="Normal"/>
      </w:pPr>
      <w:r>
        <w:t xml:space="preserve">security environment, refer to the </w:t>
      </w:r>
      <w:hyperlink w:anchor="page_739">
        <w:r>
          <w:rPr>
            <w:rStyle w:val="Text9"/>
          </w:rPr>
          <w:t>732</w:t>
        </w:r>
      </w:hyperlink>
      <w:r>
        <w:t xml:space="preserve"> </w:t>
      </w:r>
      <w:hyperlink r:id="rId1623">
        <w:r>
          <w:rPr>
            <w:rStyle w:val="Text1"/>
          </w:rPr>
          <w:t>Ubuntu Security documentation</w:t>
        </w:r>
      </w:hyperlink>
      <w:r>
        <w:t>.</w:t>
      </w:r>
    </w:p>
    <w:p>
      <w:pPr>
        <w:pStyle w:val="Para 17"/>
      </w:pPr>
      <w:r>
        <w:t/>
      </w:r>
    </w:p>
    <w:p>
      <w:pPr>
        <w:pStyle w:val="Para 01"/>
      </w:pPr>
      <w:r>
        <w:t>Authentication</w:t>
      </w:r>
    </w:p>
    <w:p>
      <w:pPr>
        <w:pStyle w:val="Para 17"/>
      </w:pPr>
      <w:r>
        <w:t/>
      </w:r>
    </w:p>
    <w:p>
      <w:pPr>
        <w:pStyle w:val="Para 04"/>
      </w:pPr>
      <w:r>
        <w:t xml:space="preserve">• </w:t>
      </w:r>
      <w:hyperlink w:anchor="page_739">
        <w:r>
          <w:rPr>
            <w:rStyle w:val="Text2"/>
          </w:rPr>
          <w:t>Introduction to Kerberos</w:t>
        </w:r>
      </w:hyperlink>
      <w:r>
        <w:t xml:space="preserve"> (page 738), the network authentication system</w:t>
      </w:r>
    </w:p>
    <w:p>
      <w:pPr>
        <w:pStyle w:val="Para 04"/>
      </w:pPr>
      <w:r>
        <w:t xml:space="preserve">• </w:t>
      </w:r>
      <w:hyperlink w:anchor="page_740">
        <w:r>
          <w:rPr>
            <w:rStyle w:val="Text2"/>
          </w:rPr>
          <w:t>Introduction to SSSD</w:t>
        </w:r>
      </w:hyperlink>
      <w:r>
        <w:t xml:space="preserve"> (page 739), the collection of daemons that handle authentication</w:t>
      </w:r>
    </w:p>
    <w:p>
      <w:pPr>
        <w:pStyle w:val="Para 02"/>
      </w:pPr>
      <w:r>
        <w:t>from various network sources</w:t>
      </w:r>
    </w:p>
    <w:p>
      <w:pPr>
        <w:pStyle w:val="Para 04"/>
      </w:pPr>
      <w:r>
        <w:t xml:space="preserve">• </w:t>
      </w:r>
      <w:hyperlink w:anchor="page_741">
        <w:r>
          <w:rPr>
            <w:rStyle w:val="Text2"/>
          </w:rPr>
          <w:t>About DNSSEC</w:t>
        </w:r>
      </w:hyperlink>
      <w:r>
        <w:t xml:space="preserve"> (page 740), the security extension for the Domain Name System (DNS).</w:t>
      </w:r>
    </w:p>
    <w:p>
      <w:pPr>
        <w:pStyle w:val="Para 17"/>
      </w:pPr>
      <w:r>
        <w:t/>
      </w:r>
    </w:p>
    <w:p>
      <w:pPr>
        <w:pStyle w:val="Para 01"/>
      </w:pPr>
      <w:r>
        <w:t>Introduction to Kerberos</w:t>
      </w:r>
    </w:p>
    <w:p>
      <w:pPr>
        <w:pStyle w:val="Para 17"/>
      </w:pPr>
      <w:r>
        <w:t/>
      </w:r>
    </w:p>
    <w:p>
      <w:pPr>
        <w:pStyle w:val="Normal"/>
      </w:pPr>
      <w:r>
        <w:t>Kerberos is a network authentication system based on the principal of a trusted third party. The other two parties being the user and the service the user wishes to authenticate to. Not all services and applications can use Kerberos, but for those that can, it brings the network environment one step closer to being Single Sign On (SSO).</w:t>
      </w:r>
    </w:p>
    <w:p>
      <w:pPr>
        <w:pStyle w:val="Normal"/>
      </w:pPr>
      <w:r>
        <w:t>This section covers installation and configuration of a Kerberos server, and some example client configurations.</w:t>
      </w:r>
    </w:p>
    <w:p>
      <w:pPr>
        <w:pStyle w:val="Para 17"/>
      </w:pPr>
      <w:r>
        <w:t/>
      </w:r>
    </w:p>
    <w:p>
      <w:pPr>
        <w:pStyle w:val="Para 01"/>
      </w:pPr>
      <w:r>
        <w:t>Overview</w:t>
      </w:r>
    </w:p>
    <w:p>
      <w:pPr>
        <w:pStyle w:val="Para 17"/>
      </w:pPr>
      <w:r>
        <w:t/>
      </w:r>
    </w:p>
    <w:p>
      <w:pPr>
        <w:pStyle w:val="Normal"/>
      </w:pPr>
      <w:r>
        <w:t>If you are new to Kerberos there are a few terms that are good to understand before setting up a Kerberos server. Most of the terms will relate to things you may be familiar with in other environments:</w:t>
      </w:r>
    </w:p>
    <w:p>
      <w:pPr>
        <w:pStyle w:val="Para 04"/>
      </w:pPr>
      <w:r>
        <w:t xml:space="preserve">• </w:t>
      </w:r>
      <w:r>
        <w:rPr>
          <w:rStyle w:val="Text3"/>
        </w:rPr>
        <w:t>Principal:</w:t>
      </w:r>
      <w:r>
        <w:t xml:space="preserve"> any users, computers, and services provided by servers need to be defined as</w:t>
      </w:r>
    </w:p>
    <w:p>
      <w:pPr>
        <w:pStyle w:val="Para 02"/>
      </w:pPr>
      <w:r>
        <w:t>Kerberos Principals.</w:t>
      </w:r>
    </w:p>
    <w:p>
      <w:pPr>
        <w:pStyle w:val="Para 04"/>
      </w:pPr>
      <w:r>
        <w:t xml:space="preserve">• </w:t>
      </w:r>
      <w:r>
        <w:rPr>
          <w:rStyle w:val="Text3"/>
        </w:rPr>
        <w:t>Instances:</w:t>
      </w:r>
      <w:r>
        <w:t xml:space="preserve"> are a variation for service principals. For example, the principal for an NFS</w:t>
      </w:r>
    </w:p>
    <w:p>
      <w:pPr>
        <w:pStyle w:val="Para 02"/>
      </w:pPr>
      <w:r>
        <w:t xml:space="preserve">service will have an instance for the </w:t>
      </w:r>
      <w:hyperlink w:anchor="page_688">
        <w:r>
          <w:rPr>
            <w:rStyle w:val="Text2"/>
          </w:rPr>
          <w:t>hostname</w:t>
        </w:r>
      </w:hyperlink>
      <w:r>
        <w:t xml:space="preserve"> of the server, like nfs/server.example. com@REALM. Similarly admin privileges on a principal use an instance of /admin, like john/</w:t>
      </w:r>
    </w:p>
    <w:p>
      <w:pPr>
        <w:pStyle w:val="Para 02"/>
      </w:pPr>
      <w:r>
        <w:t xml:space="preserve">admin@REALM, differentiating it from john@REALM. These variations fit nicely with </w:t>
      </w:r>
      <w:hyperlink w:anchor="page_668">
        <w:r>
          <w:rPr>
            <w:rStyle w:val="Text2"/>
          </w:rPr>
          <w:t>ACL</w:t>
        </w:r>
      </w:hyperlink>
      <w:hyperlink w:anchor="page_668">
        <w:r>
          <w:rPr>
            <w:rStyle w:val="Text1"/>
          </w:rPr>
          <w:t>s.</w:t>
        </w:r>
      </w:hyperlink>
    </w:p>
    <w:p>
      <w:pPr>
        <w:pStyle w:val="Para 04"/>
      </w:pPr>
      <w:r>
        <w:t xml:space="preserve">• </w:t>
      </w:r>
      <w:r>
        <w:rPr>
          <w:rStyle w:val="Text3"/>
        </w:rPr>
        <w:t>Realms:</w:t>
      </w:r>
      <w:r>
        <w:t xml:space="preserve"> the unique realm of control provided by the Kerberos installation. Think of it</w:t>
      </w:r>
    </w:p>
    <w:p>
      <w:pPr>
        <w:pStyle w:val="Para 02"/>
      </w:pPr>
      <w:r>
        <w:t>as the domain or group your hosts and users belong to. Convention dictates the realm</w:t>
      </w:r>
    </w:p>
    <w:p>
      <w:pPr>
        <w:pStyle w:val="Para 02"/>
      </w:pPr>
      <w:r>
        <w:t xml:space="preserve">should be in uppercase. By default, Ubuntu will use the </w:t>
      </w:r>
      <w:hyperlink w:anchor="page_679">
        <w:r>
          <w:rPr>
            <w:rStyle w:val="Text2"/>
          </w:rPr>
          <w:t>DNS</w:t>
        </w:r>
      </w:hyperlink>
      <w:r>
        <w:t xml:space="preserve"> domain converted to up-percase (EXAMPLE.COM) as the realm.</w:t>
      </w:r>
    </w:p>
    <w:p>
      <w:pPr>
        <w:pStyle w:val="Para 04"/>
      </w:pPr>
      <w:r>
        <w:t xml:space="preserve">• </w:t>
      </w:r>
      <w:r>
        <w:rPr>
          <w:rStyle w:val="Text3"/>
        </w:rPr>
        <w:t>Key Distribution Center:</w:t>
      </w:r>
      <w:r>
        <w:t xml:space="preserve"> (KDC) consist of three parts: a database of all principals, the</w:t>
      </w:r>
    </w:p>
    <w:p>
      <w:pPr>
        <w:pStyle w:val="Para 02"/>
      </w:pPr>
      <w:r>
        <w:t>authentication server, and the ticket granting server. For each realm there must be at least one KDC.</w:t>
      </w:r>
    </w:p>
    <w:p>
      <w:pPr>
        <w:pStyle w:val="Para 04"/>
      </w:pPr>
      <w:r>
        <w:t xml:space="preserve">• </w:t>
      </w:r>
      <w:r>
        <w:rPr>
          <w:rStyle w:val="Text3"/>
        </w:rPr>
        <w:t>Ticket Granting Ticket:</w:t>
      </w:r>
      <w:r>
        <w:t xml:space="preserve"> issued by the Authentication Server (AS), the Ticket Granting</w:t>
      </w:r>
    </w:p>
    <w:p>
      <w:pPr>
        <w:pStyle w:val="Para 02"/>
      </w:pPr>
      <w:r>
        <w:t>Ticket (TGT) is encrypted in the user’s password which is known only to the user and the KDC. This is the starting point for a user to acquire additional tickets for the services being accessed.</w:t>
      </w:r>
    </w:p>
    <w:p>
      <w:pPr>
        <w:pStyle w:val="Para 05"/>
      </w:pPr>
      <w:r>
        <w:rPr>
          <w:rStyle w:val="Text5"/>
        </w:rPr>
        <w:t>732</w:t>
      </w:r>
      <w:r>
        <w:rPr>
          <w:rStyle w:val="Text8"/>
        </w:rPr>
        <w:t xml:space="preserve"> </w:t>
      </w:r>
      <w:r>
        <w:t>https://documentation.ubuntu.com/security/compliance/</w:t>
      </w:r>
    </w:p>
    <w:p>
      <w:bookmarkStart w:id="1170" w:name="page_7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2" name="index-740_1.png" descr="index-740_1.png"/>
            <wp:cNvGraphicFramePr>
              <a:graphicFrameLocks noChangeAspect="1"/>
            </wp:cNvGraphicFramePr>
            <a:graphic>
              <a:graphicData uri="http://schemas.openxmlformats.org/drawingml/2006/picture">
                <pic:pic>
                  <pic:nvPicPr>
                    <pic:cNvPr id="0" name="index-740_1.png" descr="index-740_1.png"/>
                    <pic:cNvPicPr/>
                  </pic:nvPicPr>
                  <pic:blipFill>
                    <a:blip r:embed="rId776"/>
                    <a:stretch>
                      <a:fillRect/>
                    </a:stretch>
                  </pic:blipFill>
                  <pic:spPr>
                    <a:xfrm>
                      <a:off x="0" y="0"/>
                      <a:ext cx="914400" cy="266700"/>
                    </a:xfrm>
                    <a:prstGeom prst="rect">
                      <a:avLst/>
                    </a:prstGeom>
                  </pic:spPr>
                </pic:pic>
              </a:graphicData>
            </a:graphic>
          </wp:anchor>
        </w:drawing>
      </w:r>
      <w:bookmarkEnd w:id="1170"/>
    </w:p>
    <w:p>
      <w:pPr>
        <w:pStyle w:val="Para 04"/>
      </w:pPr>
      <w:r>
        <w:t xml:space="preserve">• </w:t>
      </w:r>
      <w:r>
        <w:rPr>
          <w:rStyle w:val="Text3"/>
        </w:rPr>
        <w:t>Ticket Granting Server:</w:t>
      </w:r>
      <w:r>
        <w:t xml:space="preserve"> (TGS) issues service tickets to clients upon request.</w:t>
      </w:r>
    </w:p>
    <w:p>
      <w:pPr>
        <w:pStyle w:val="Para 04"/>
      </w:pPr>
      <w:r>
        <w:t xml:space="preserve">• </w:t>
      </w:r>
      <w:r>
        <w:rPr>
          <w:rStyle w:val="Text3"/>
        </w:rPr>
        <w:t>Tickets:</w:t>
      </w:r>
      <w:r>
        <w:t xml:space="preserve"> confirm the identity of the two principals. One principal being a user and the</w:t>
      </w:r>
    </w:p>
    <w:p>
      <w:pPr>
        <w:pStyle w:val="Para 02"/>
      </w:pPr>
      <w:r>
        <w:t>other a service requested by the user. Tickets establish an encryption key used for se-cure communication during the authenticated session.</w:t>
      </w:r>
    </w:p>
    <w:p>
      <w:pPr>
        <w:pStyle w:val="Para 04"/>
      </w:pPr>
      <w:r>
        <w:t xml:space="preserve">• </w:t>
      </w:r>
      <w:r>
        <w:rPr>
          <w:rStyle w:val="Text3"/>
        </w:rPr>
        <w:t>Keytab Files:</w:t>
      </w:r>
      <w:r>
        <w:t xml:space="preserve"> contain encryption keys for a service or host extracted from the KDC prin-</w:t>
      </w:r>
    </w:p>
    <w:p>
      <w:pPr>
        <w:pStyle w:val="Para 02"/>
      </w:pPr>
      <w:r>
        <w:t>cipal database.</w:t>
      </w:r>
    </w:p>
    <w:p>
      <w:pPr>
        <w:pStyle w:val="Normal"/>
      </w:pPr>
      <w:r>
        <w:t>To put the pieces together, a Realm has at least one KDC, preferably more for redundancy, which contains a database of Principals. When a user principal logs into a workstation that is configured for Kerberos authentication, the KDC issues a Ticket Granting Ticket (TGT). If the user supplied credentials match, the user is authenticated and can then request tickets for Kerberized services from the Ticket Granting Server (TGS). The service tickets allow the user to authenticate to the service without entering another username and password.</w:t>
      </w:r>
    </w:p>
    <w:p>
      <w:pPr>
        <w:pStyle w:val="Para 17"/>
      </w:pPr>
      <w:r>
        <w:t/>
      </w:r>
    </w:p>
    <w:p>
      <w:pPr>
        <w:pStyle w:val="Para 01"/>
      </w:pPr>
      <w:r>
        <w:t>Resources</w:t>
      </w:r>
    </w:p>
    <w:p>
      <w:pPr>
        <w:pStyle w:val="Para 17"/>
      </w:pPr>
      <w:r>
        <w:t/>
      </w:r>
    </w:p>
    <w:p>
      <w:pPr>
        <w:pStyle w:val="Para 04"/>
      </w:pPr>
      <w:r>
        <w:t xml:space="preserve">• For more information on MIT’s version of Kerberos, see the </w:t>
      </w:r>
      <w:hyperlink r:id="rId1624">
        <w:r>
          <w:rPr>
            <w:rStyle w:val="Text9"/>
          </w:rPr>
          <w:t>733</w:t>
        </w:r>
      </w:hyperlink>
      <w:hyperlink r:id="rId1624">
        <w:r>
          <w:rPr>
            <w:rStyle w:val="Text1"/>
          </w:rPr>
          <w:t xml:space="preserve"> MIT Kerberos</w:t>
        </w:r>
      </w:hyperlink>
      <w:r>
        <w:t xml:space="preserve"> site.</w:t>
      </w:r>
    </w:p>
    <w:p>
      <w:pPr>
        <w:pStyle w:val="Para 04"/>
      </w:pPr>
      <w:r>
        <w:t xml:space="preserve">• Also, feel free to stop by the </w:t>
      </w:r>
      <w:hyperlink w:anchor="page_740">
        <w:r>
          <w:rPr>
            <w:rStyle w:val="Text9"/>
          </w:rPr>
          <w:t>734</w:t>
        </w:r>
      </w:hyperlink>
      <w:r>
        <w:t xml:space="preserve"> </w:t>
      </w:r>
      <w:hyperlink r:id="rId1034">
        <w:r>
          <w:rPr>
            <w:rStyle w:val="Text1"/>
          </w:rPr>
          <w:t>Ubuntu Server</w:t>
        </w:r>
      </w:hyperlink>
      <w:r>
        <w:t xml:space="preserve"> Matrix channel and the </w:t>
      </w:r>
      <w:r>
        <w:rPr>
          <w:rStyle w:val="Text3"/>
        </w:rPr>
        <w:t>#kerberos</w:t>
      </w:r>
      <w:r>
        <w:t xml:space="preserve"> IRC</w:t>
      </w:r>
    </w:p>
    <w:p>
      <w:pPr>
        <w:pStyle w:val="Para 02"/>
      </w:pPr>
      <w:r>
        <w:t xml:space="preserve">channel on </w:t>
      </w:r>
      <w:hyperlink r:id="rId1625">
        <w:r>
          <w:rPr>
            <w:rStyle w:val="Text9"/>
          </w:rPr>
          <w:t>735</w:t>
        </w:r>
      </w:hyperlink>
      <w:hyperlink r:id="rId1625">
        <w:r>
          <w:rPr>
            <w:rStyle w:val="Text1"/>
          </w:rPr>
          <w:t xml:space="preserve"> Libera.Chat</w:t>
        </w:r>
      </w:hyperlink>
      <w:r>
        <w:t xml:space="preserve"> if you have Kerberos questions.</w:t>
      </w:r>
    </w:p>
    <w:p>
      <w:pPr>
        <w:pStyle w:val="Para 13"/>
      </w:pPr>
      <w:r>
        <w:rPr>
          <w:rStyle w:val="Text7"/>
        </w:rPr>
        <w:t xml:space="preserve">• </w:t>
      </w:r>
      <w:hyperlink r:id="rId1626">
        <w:r>
          <w:rPr>
            <w:rStyle w:val="Text10"/>
          </w:rPr>
          <w:t>736</w:t>
        </w:r>
      </w:hyperlink>
      <w:hyperlink r:id="rId1626">
        <w:r>
          <w:t xml:space="preserve"> Another guide for installing Kerberos on Debian, includes PKINIT</w:t>
        </w:r>
      </w:hyperlink>
    </w:p>
    <w:p>
      <w:pPr>
        <w:pStyle w:val="Para 17"/>
      </w:pPr>
      <w:r>
        <w:t/>
      </w:r>
    </w:p>
    <w:p>
      <w:pPr>
        <w:pStyle w:val="Para 01"/>
      </w:pPr>
      <w:r>
        <w:t>Introduction to network user authentication with SSSD</w:t>
      </w:r>
    </w:p>
    <w:p>
      <w:pPr>
        <w:pStyle w:val="Para 17"/>
      </w:pPr>
      <w:r>
        <w:t/>
      </w:r>
    </w:p>
    <w:p>
      <w:pPr>
        <w:pStyle w:val="Normal"/>
      </w:pPr>
      <w:r>
        <w:t xml:space="preserve">The </w:t>
      </w:r>
      <w:hyperlink w:anchor="page_740">
        <w:r>
          <w:rPr>
            <w:rStyle w:val="Text9"/>
          </w:rPr>
          <w:t>737</w:t>
        </w:r>
      </w:hyperlink>
      <w:r>
        <w:t xml:space="preserve"> </w:t>
      </w:r>
      <w:hyperlink r:id="rId1627">
        <w:r>
          <w:rPr>
            <w:rStyle w:val="Text1"/>
          </w:rPr>
          <w:t>System Security Services Daemon (SSSD)</w:t>
        </w:r>
      </w:hyperlink>
      <w:r>
        <w:t xml:space="preserve"> is a collection of daemons that handle authentication, authorisation, and user and group information from a variety of network sources. It’s a useful tool for administrators of Linux and UNIX-based systems, particularly if enterprise systems need to integrate with other directory, access control and authentica-tion services.</w:t>
      </w:r>
    </w:p>
    <w:p>
      <w:pPr>
        <w:pStyle w:val="Para 17"/>
      </w:pPr>
      <w:r>
        <w:t/>
      </w:r>
    </w:p>
    <w:p>
      <w:pPr>
        <w:pStyle w:val="Para 01"/>
      </w:pPr>
      <w:r>
        <w:t>Common deployment scenarios</w:t>
      </w:r>
    </w:p>
    <w:p>
      <w:pPr>
        <w:pStyle w:val="Para 17"/>
      </w:pPr>
      <w:r>
        <w:t/>
      </w:r>
    </w:p>
    <w:p>
      <w:pPr>
        <w:pStyle w:val="Normal"/>
      </w:pPr>
      <w:r>
        <w:t>The SSSD supports a variety of authorization and identity services, such as Active Directory, LDAP, and Kerberos. The following guides will help you set up SSSD for:</w:t>
      </w:r>
    </w:p>
    <w:p>
      <w:pPr>
        <w:pStyle w:val="Para 14"/>
      </w:pPr>
      <w:r>
        <w:rPr>
          <w:rStyle w:val="Text4"/>
        </w:rPr>
        <w:t xml:space="preserve">• </w:t>
      </w:r>
      <w:hyperlink w:anchor="page_159">
        <w:r>
          <w:t>Active Directory</w:t>
        </w:r>
      </w:hyperlink>
      <w:r>
        <w:rPr>
          <w:rStyle w:val="Text4"/>
        </w:rPr>
        <w:t xml:space="preserve"> (page 158)</w:t>
      </w:r>
    </w:p>
    <w:p>
      <w:pPr>
        <w:pStyle w:val="Para 04"/>
      </w:pPr>
      <w:r>
        <w:t xml:space="preserve">• </w:t>
      </w:r>
      <w:hyperlink w:anchor="page_167">
        <w:r>
          <w:rPr>
            <w:rStyle w:val="Text2"/>
          </w:rPr>
          <w:t>LDAP</w:t>
        </w:r>
      </w:hyperlink>
      <w:r>
        <w:t xml:space="preserve"> (page 166)</w:t>
      </w:r>
    </w:p>
    <w:p>
      <w:pPr>
        <w:pStyle w:val="Para 14"/>
      </w:pPr>
      <w:r>
        <w:rPr>
          <w:rStyle w:val="Text4"/>
        </w:rPr>
        <w:t xml:space="preserve">• </w:t>
      </w:r>
      <w:hyperlink w:anchor="page_170">
        <w:r>
          <w:t>LDAP and Kerberos</w:t>
        </w:r>
      </w:hyperlink>
      <w:r>
        <w:rPr>
          <w:rStyle w:val="Text4"/>
        </w:rPr>
        <w:t xml:space="preserve"> (page 169)</w:t>
      </w:r>
    </w:p>
    <w:p>
      <w:pPr>
        <w:pStyle w:val="Para 05"/>
      </w:pPr>
      <w:r>
        <w:rPr>
          <w:rStyle w:val="Text5"/>
        </w:rPr>
        <w:t>733</w:t>
      </w:r>
      <w:r>
        <w:rPr>
          <w:rStyle w:val="Text8"/>
        </w:rPr>
        <w:t xml:space="preserve"> </w:t>
      </w:r>
      <w:r>
        <w:t>http://web.mit.edu/Kerberos/</w:t>
      </w:r>
    </w:p>
    <w:p>
      <w:pPr>
        <w:pStyle w:val="Para 05"/>
      </w:pPr>
      <w:r>
        <w:rPr>
          <w:rStyle w:val="Text5"/>
        </w:rPr>
        <w:t>734</w:t>
      </w:r>
      <w:r>
        <w:rPr>
          <w:rStyle w:val="Text8"/>
        </w:rPr>
        <w:t xml:space="preserve"> </w:t>
      </w:r>
      <w:r>
        <w:t>https://matrix.to/#/#server:ubuntu.com</w:t>
      </w:r>
    </w:p>
    <w:p>
      <w:pPr>
        <w:pStyle w:val="Para 05"/>
      </w:pPr>
      <w:r>
        <w:rPr>
          <w:rStyle w:val="Text5"/>
        </w:rPr>
        <w:t>735</w:t>
      </w:r>
      <w:r>
        <w:rPr>
          <w:rStyle w:val="Text8"/>
        </w:rPr>
        <w:t xml:space="preserve"> </w:t>
      </w:r>
      <w:r>
        <w:t>https://libera.chat/</w:t>
      </w:r>
    </w:p>
    <w:p>
      <w:pPr>
        <w:pStyle w:val="Para 05"/>
      </w:pPr>
      <w:r>
        <w:rPr>
          <w:rStyle w:val="Text5"/>
        </w:rPr>
        <w:t>736</w:t>
      </w:r>
      <w:r>
        <w:rPr>
          <w:rStyle w:val="Text8"/>
        </w:rPr>
        <w:t xml:space="preserve"> </w:t>
      </w:r>
      <w:r>
        <w:t>http://techpubs.spinlocksolutions.com/dklar/kerberos.html</w:t>
      </w:r>
    </w:p>
    <w:p>
      <w:pPr>
        <w:pStyle w:val="Para 05"/>
      </w:pPr>
      <w:r>
        <w:rPr>
          <w:rStyle w:val="Text5"/>
        </w:rPr>
        <w:t>737</w:t>
      </w:r>
      <w:r>
        <w:rPr>
          <w:rStyle w:val="Text8"/>
        </w:rPr>
        <w:t xml:space="preserve"> </w:t>
      </w:r>
      <w:r>
        <w:t>https://sssd.io/</w:t>
      </w:r>
    </w:p>
    <w:p>
      <w:bookmarkStart w:id="1171" w:name="page_7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3" name="index-741_1.png" descr="index-741_1.png"/>
            <wp:cNvGraphicFramePr>
              <a:graphicFrameLocks noChangeAspect="1"/>
            </wp:cNvGraphicFramePr>
            <a:graphic>
              <a:graphicData uri="http://schemas.openxmlformats.org/drawingml/2006/picture">
                <pic:pic>
                  <pic:nvPicPr>
                    <pic:cNvPr id="0" name="index-741_1.png" descr="index-741_1.png"/>
                    <pic:cNvPicPr/>
                  </pic:nvPicPr>
                  <pic:blipFill>
                    <a:blip r:embed="rId777"/>
                    <a:stretch>
                      <a:fillRect/>
                    </a:stretch>
                  </pic:blipFill>
                  <pic:spPr>
                    <a:xfrm>
                      <a:off x="0" y="0"/>
                      <a:ext cx="914400" cy="266700"/>
                    </a:xfrm>
                    <a:prstGeom prst="rect">
                      <a:avLst/>
                    </a:prstGeom>
                  </pic:spPr>
                </pic:pic>
              </a:graphicData>
            </a:graphic>
          </wp:anchor>
        </w:drawing>
      </w:r>
      <w:bookmarkEnd w:id="1171"/>
    </w:p>
    <w:p>
      <w:pPr>
        <w:pStyle w:val="Para 01"/>
      </w:pPr>
      <w:r>
        <w:t>Integration with PAM and NSS</w:t>
      </w:r>
    </w:p>
    <w:p>
      <w:pPr>
        <w:pStyle w:val="Para 17"/>
      </w:pPr>
      <w:r>
        <w:t/>
      </w:r>
    </w:p>
    <w:p>
      <w:pPr>
        <w:pStyle w:val="Normal"/>
      </w:pPr>
      <w:r>
        <w:t>If you need to integrate remote sources into your system, SSSD’s Pluggable Authentication Modules (PAM) and Name Service Switch (NSS) modules allow you to recognize remote users as valid users and identify them as members in user groups. In the event of network failure or other related problems, SSSD also can also cache this information, so that users can continue to login to the system.</w:t>
      </w:r>
    </w:p>
    <w:p>
      <w:pPr>
        <w:pStyle w:val="Para 17"/>
      </w:pPr>
      <w:r>
        <w:t/>
      </w:r>
    </w:p>
    <w:p>
      <w:pPr>
        <w:pStyle w:val="Para 01"/>
      </w:pPr>
      <w:r>
        <w:t>Troubleshooting</w:t>
      </w:r>
    </w:p>
    <w:p>
      <w:pPr>
        <w:pStyle w:val="Para 17"/>
      </w:pPr>
      <w:r>
        <w:t/>
      </w:r>
    </w:p>
    <w:p>
      <w:pPr>
        <w:pStyle w:val="Normal"/>
      </w:pPr>
      <w:r>
        <w:t xml:space="preserve">Canonical’s </w:t>
      </w:r>
      <w:hyperlink w:anchor="page_174">
        <w:r>
          <w:rPr>
            <w:rStyle w:val="Text2"/>
          </w:rPr>
          <w:t>SSSD troubleshooting guide</w:t>
        </w:r>
      </w:hyperlink>
      <w:r>
        <w:t xml:space="preserve"> (page 173) can provide you with information on man-aging problems with SSSD.</w:t>
      </w:r>
    </w:p>
    <w:p>
      <w:pPr>
        <w:pStyle w:val="Para 17"/>
      </w:pPr>
      <w:r>
        <w:t/>
      </w:r>
    </w:p>
    <w:p>
      <w:pPr>
        <w:pStyle w:val="Para 01"/>
      </w:pPr>
      <w:r>
        <w:t>DNS Security Extensions (DNSSEC)</w:t>
      </w:r>
    </w:p>
    <w:p>
      <w:pPr>
        <w:pStyle w:val="Para 17"/>
      </w:pPr>
      <w:r>
        <w:t/>
      </w:r>
    </w:p>
    <w:p>
      <w:pPr>
        <w:pStyle w:val="Normal"/>
      </w:pPr>
      <w:r>
        <w:t>DNSSEC is a security extension for the Domain Name System (DNS). DNS is a mapping be-tween names and Internet Protocol (IP) addresses, allowing the use of friendly names instead of sequences of numbers when reaching web sites. Additionally, it stores extra information about a given domain, such as:</w:t>
      </w:r>
    </w:p>
    <w:p>
      <w:pPr>
        <w:pStyle w:val="Para 04"/>
      </w:pPr>
      <w:r>
        <w:t>• Who the point of contact is</w:t>
      </w:r>
    </w:p>
    <w:p>
      <w:pPr>
        <w:pStyle w:val="Para 04"/>
      </w:pPr>
      <w:r>
        <w:t>• When it was last updated</w:t>
      </w:r>
    </w:p>
    <w:p>
      <w:pPr>
        <w:pStyle w:val="Para 04"/>
      </w:pPr>
      <w:r>
        <w:t>• What are the authoritative name servers for the domain</w:t>
      </w:r>
    </w:p>
    <w:p>
      <w:pPr>
        <w:pStyle w:val="Para 04"/>
      </w:pPr>
      <w:r>
        <w:t>• What are the mail exchangers for the domain (i.e., which systems are responsible for</w:t>
      </w:r>
    </w:p>
    <w:p>
      <w:pPr>
        <w:pStyle w:val="Para 02"/>
      </w:pPr>
      <w:r>
        <w:t>email for this domain)</w:t>
      </w:r>
    </w:p>
    <w:p>
      <w:pPr>
        <w:pStyle w:val="Para 04"/>
      </w:pPr>
      <w:r>
        <w:t>• How host names are mapped to IP addresses, and vice-versa</w:t>
      </w:r>
    </w:p>
    <w:p>
      <w:pPr>
        <w:pStyle w:val="Para 04"/>
      </w:pPr>
      <w:r>
        <w:t>• What information about other services, such as kerberos realms, LDAP servers, etc (usu-</w:t>
      </w:r>
    </w:p>
    <w:p>
      <w:pPr>
        <w:pStyle w:val="Para 02"/>
      </w:pPr>
      <w:r>
        <w:t>ally on internal domains only) are there</w:t>
      </w:r>
    </w:p>
    <w:p>
      <w:pPr>
        <w:pStyle w:val="Normal"/>
      </w:pPr>
      <w:r>
        <w:t>When DNS was first conceived, security wasn’t a top priority. At its origins, DNS is susceptible to multiple vulnerabilities, and has many weaknesses. Most of them are a consequence of spoofing: there is no guarantee that the reply you received to a DNS query was not tampered with or that it came from the true source.</w:t>
      </w:r>
    </w:p>
    <w:p>
      <w:pPr>
        <w:pStyle w:val="Normal"/>
      </w:pPr>
      <w:r>
        <w:t xml:space="preserve">This is not news, and other mechanisms on top of DNS and around it are in place to counteract that weakness. For example, the famous </w:t>
      </w:r>
      <w:r>
        <w:rPr>
          <w:rStyle w:val="Text3"/>
        </w:rPr>
        <w:t>HTTPS</w:t>
      </w:r>
      <w:r>
        <w:t xml:space="preserve"> padlock that can be seen when accessing most websites nowadays, which uses the TLS protocol to both authenticate the website, and encrypt the connection. It doesn’t prevent DNS spoofing, and your web browser might still be tricked into attempting a connection with a fraudulent website, but the moment the TLS certificate is inspected, a warning will be issued to the user. Depending on local policies, the connection might be even immediately blocked. Still, DNS spoofing is a real problem, and TLS itself is subject to other types of attacks.</w:t>
      </w:r>
    </w:p>
    <w:p>
      <w:bookmarkStart w:id="1172" w:name="calibre_pb_215"/>
      <w:pPr>
        <w:pStyle w:val="0 Block"/>
      </w:pPr>
      <w:bookmarkEnd w:id="1172"/>
    </w:p>
    <w:p>
      <w:bookmarkStart w:id="1173" w:name="Top_of_index_split_216_html"/>
      <w:bookmarkStart w:id="1174" w:name="page_74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4" name="index-742_1.png" descr="index-742_1.png"/>
            <wp:cNvGraphicFramePr>
              <a:graphicFrameLocks noChangeAspect="1"/>
            </wp:cNvGraphicFramePr>
            <a:graphic>
              <a:graphicData uri="http://schemas.openxmlformats.org/drawingml/2006/picture">
                <pic:pic>
                  <pic:nvPicPr>
                    <pic:cNvPr id="0" name="index-742_1.png" descr="index-742_1.png"/>
                    <pic:cNvPicPr/>
                  </pic:nvPicPr>
                  <pic:blipFill>
                    <a:blip r:embed="rId778"/>
                    <a:stretch>
                      <a:fillRect/>
                    </a:stretch>
                  </pic:blipFill>
                  <pic:spPr>
                    <a:xfrm>
                      <a:off x="0" y="0"/>
                      <a:ext cx="914400" cy="266700"/>
                    </a:xfrm>
                    <a:prstGeom prst="rect">
                      <a:avLst/>
                    </a:prstGeom>
                  </pic:spPr>
                </pic:pic>
              </a:graphicData>
            </a:graphic>
          </wp:anchor>
        </w:drawing>
      </w:r>
      <w:bookmarkEnd w:id="1173"/>
      <w:bookmarkEnd w:id="1174"/>
    </w:p>
    <w:p>
      <w:pPr>
        <w:pStyle w:val="Para 01"/>
      </w:pPr>
      <w:r>
        <w:t>What is it?</w:t>
      </w:r>
    </w:p>
    <w:p>
      <w:pPr>
        <w:pStyle w:val="Para 17"/>
      </w:pPr>
      <w:r>
        <w:t/>
      </w:r>
    </w:p>
    <w:p>
      <w:pPr>
        <w:pStyle w:val="Normal"/>
      </w:pPr>
      <w:r>
        <w:t>DNSSEC, which stands for Domain Name System Security Extensions, is an extension to DNS that introduces digital signatures. This allows each DNS response to be verified for:</w:t>
      </w:r>
    </w:p>
    <w:p>
      <w:pPr>
        <w:pStyle w:val="Para 04"/>
      </w:pPr>
      <w:r>
        <w:t xml:space="preserve">• </w:t>
      </w:r>
      <w:r>
        <w:rPr>
          <w:rStyle w:val="Text0"/>
        </w:rPr>
        <w:t>Integrity</w:t>
      </w:r>
      <w:r>
        <w:t>: The answer was not tampered with and did not change during transit.</w:t>
      </w:r>
    </w:p>
    <w:p>
      <w:pPr>
        <w:pStyle w:val="Para 04"/>
      </w:pPr>
      <w:r>
        <w:t xml:space="preserve">• </w:t>
      </w:r>
      <w:r>
        <w:rPr>
          <w:rStyle w:val="Text0"/>
        </w:rPr>
        <w:t>Authenticity</w:t>
      </w:r>
      <w:r>
        <w:t>: The data came from the true source, and not another entity imperson-</w:t>
      </w:r>
    </w:p>
    <w:p>
      <w:pPr>
        <w:pStyle w:val="Para 02"/>
      </w:pPr>
      <w:r>
        <w:t>ating the source.</w:t>
      </w:r>
    </w:p>
    <w:p>
      <w:pPr>
        <w:pStyle w:val="Normal"/>
      </w:pPr>
      <w:r>
        <w:t>It’s important to note that DNSSEC, however, will NOT encrypt the data: it is still sent in the clear.</w:t>
      </w:r>
    </w:p>
    <w:p>
      <w:pPr>
        <w:pStyle w:val="Normal"/>
      </w:pPr>
      <w:r>
        <w:t>DNSSEC is based on public key cryptography, meaning that every DNS zone has a public/pri-vate key pair. The private key is used to sign the zone’s DNS records, and the corresponding public key can be used to verify those signatures. This public key is also published in the zone. Anyone querying the zone can also fetch the public key to verify the signature of the data.</w:t>
      </w:r>
    </w:p>
    <w:p>
      <w:pPr>
        <w:pStyle w:val="Normal"/>
      </w:pPr>
      <w:r>
        <w:t xml:space="preserve">A crucial question arises: How can we trust the authenticity of this public key? The answer lies in a hierarchical signing process. The key is signed by the parent zone’s key, which, in turn, is signed by its parent, and so on, forming the “chain of trust”, ensuring the integrity and authenticity of DNS records. The </w:t>
      </w:r>
      <w:r>
        <w:rPr>
          <w:rStyle w:val="Text0"/>
        </w:rPr>
        <w:t>root zone keys</w:t>
      </w:r>
      <w:r>
        <w:t xml:space="preserve"> found at the root DNS zone are implicitly trusted, serving as the foundation of the trust chain.</w:t>
      </w:r>
    </w:p>
    <w:p>
      <w:pPr>
        <w:pStyle w:val="Normal"/>
      </w:pPr>
      <w:r>
        <w:t>The public key cryptography underpinning SSL/TLS operates in a similar manner, but relies on Certificate Authority (CA) entities to issue and vouch for certificates. Web browsers and other SSL/TLS clients must maintain a list of trusted CAs, typically numbering in the dozens. In contrast, DNSSEC simplifies this process by requiring only a single trusted root zone key.</w:t>
      </w:r>
    </w:p>
    <w:p>
      <w:pPr>
        <w:pStyle w:val="Normal"/>
      </w:pPr>
      <w:r>
        <w:t>For a more detailed explanation of how the DNSSEC validation is performed, please refer to</w:t>
      </w:r>
    </w:p>
    <w:p>
      <w:pPr>
        <w:pStyle w:val="Para 18"/>
      </w:pPr>
      <w:r>
        <w:rPr>
          <w:rStyle w:val="Text7"/>
        </w:rPr>
        <w:t xml:space="preserve">the </w:t>
      </w:r>
      <w:hyperlink r:id="rId1628">
        <w:r>
          <w:rPr>
            <w:rStyle w:val="Text10"/>
          </w:rPr>
          <w:t>738</w:t>
        </w:r>
      </w:hyperlink>
      <w:hyperlink r:id="rId1628">
        <w:r>
          <w:t xml:space="preserve"> Simplified 12-step DNSSEC validation process</w:t>
        </w:r>
      </w:hyperlink>
      <w:r>
        <w:rPr>
          <w:rStyle w:val="Text7"/>
        </w:rPr>
        <w:t xml:space="preserve"> guide from ISC.</w:t>
      </w:r>
    </w:p>
    <w:p>
      <w:pPr>
        <w:pStyle w:val="Para 17"/>
      </w:pPr>
      <w:r>
        <w:t/>
      </w:r>
    </w:p>
    <w:p>
      <w:pPr>
        <w:pStyle w:val="Para 01"/>
      </w:pPr>
      <w:r>
        <w:t>DNS daemons</w:t>
      </w:r>
    </w:p>
    <w:p>
      <w:pPr>
        <w:pStyle w:val="Para 17"/>
      </w:pPr>
      <w:r>
        <w:t/>
      </w:r>
    </w:p>
    <w:p>
      <w:pPr>
        <w:pStyle w:val="Normal"/>
      </w:pPr>
      <w:r>
        <w:t>Ubuntu supports multiple DNS resolvers, covering a variety of use cases. Most of them sup-port DNSSEC validation, but it might not be activated and set up with valid trust-anchors automatically.</w:t>
      </w:r>
    </w:p>
    <w:p>
      <w:pPr>
        <w:pStyle w:val="Para 17"/>
      </w:pPr>
      <w:r>
        <w:t/>
      </w:r>
    </w:p>
    <w:p>
      <w:pPr>
        <w:pStyle w:val="Normal"/>
      </w:pPr>
      <w:r>
        <w:t>Daemon Type DNSSEC support</w:t>
      </w:r>
    </w:p>
    <w:p>
      <w:pPr>
        <w:pStyle w:val="Para 03"/>
      </w:pPr>
      <w:r>
        <w:t>sys- Stub Re- Yes. Disabled by default. Controlled via DNSSEC=... setting</w:t>
      </w:r>
    </w:p>
    <w:p>
      <w:pPr>
        <w:pStyle w:val="Para 03"/>
      </w:pPr>
      <w:r>
        <w:t>temd�resolved solver (local) in /etc/systemd/resolved.conf.d.</w:t>
      </w:r>
    </w:p>
    <w:p>
      <w:pPr>
        <w:pStyle w:val="Para 03"/>
      </w:pPr>
      <w:r>
        <w:t>dnsmasq Stub Re-Yes. Disabled by default. Controlled via dnssec and conf-</w:t>
      </w:r>
    </w:p>
    <w:p>
      <w:pPr>
        <w:pStyle w:val="Para 15"/>
      </w:pPr>
      <w:r>
        <w:t>solver file=../trust-anchors.conf settings.</w:t>
      </w:r>
    </w:p>
    <w:p>
      <w:pPr>
        <w:pStyle w:val="Para 17"/>
      </w:pPr>
      <w:r>
        <w:t>bind9 Recursive Yes. Enabled by default via dnssec-validation auto; setting.</w:t>
      </w:r>
    </w:p>
    <w:p>
      <w:pPr>
        <w:pStyle w:val="Para 15"/>
      </w:pPr>
      <w:r>
        <w:t>Resolver</w:t>
      </w:r>
    </w:p>
    <w:p>
      <w:pPr>
        <w:pStyle w:val="Para 17"/>
      </w:pPr>
      <w:r>
        <w:t/>
      </w:r>
    </w:p>
    <w:p>
      <w:pPr>
        <w:pStyle w:val="Normal"/>
      </w:pPr>
      <w:r>
        <w:t xml:space="preserve">The </w:t>
      </w:r>
      <w:r>
        <w:rPr>
          <w:rStyle w:val="Text0"/>
        </w:rPr>
        <w:t>systemd-resolved</w:t>
      </w:r>
      <w:r>
        <w:t xml:space="preserve"> stub resolver is pre-installed in Ubuntu but ships with DNSSEC vali-dation disabled by default. It supports two optional DNSSEC modes: fallback or strict valida-</w:t>
      </w:r>
    </w:p>
    <w:p>
      <w:pPr>
        <w:pStyle w:val="Para 03"/>
      </w:pPr>
      <w:r>
        <w:rPr>
          <w:rStyle w:val="Text5"/>
        </w:rPr>
        <w:t>738</w:t>
      </w:r>
      <w:r>
        <w:t xml:space="preserve"> </w:t>
      </w:r>
      <w:r>
        <w:rPr>
          <w:rStyle w:val="Text6"/>
        </w:rPr>
        <w:t>https://bind9.readthedocs.io/en/latest/dnssec-guide.html#the-12-step-dnssec-validation-process-simplified</w:t>
      </w:r>
      <w:r>
        <w:t xml:space="preserve"> tion. Either mode can be configured using the DNSSEC= setting, e.g. in a new /etc/systemd/ resolved.conf.d/10-dnssec.conf drop-in configuration (see example below).</w:t>
      </w:r>
    </w:p>
    <w:p>
      <w:bookmarkStart w:id="1175" w:name="page_7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5" name="index-743_1.png" descr="index-743_1.png"/>
            <wp:cNvGraphicFramePr>
              <a:graphicFrameLocks noChangeAspect="1"/>
            </wp:cNvGraphicFramePr>
            <a:graphic>
              <a:graphicData uri="http://schemas.openxmlformats.org/drawingml/2006/picture">
                <pic:pic>
                  <pic:nvPicPr>
                    <pic:cNvPr id="0" name="index-743_1.png" descr="index-743_1.png"/>
                    <pic:cNvPicPr/>
                  </pic:nvPicPr>
                  <pic:blipFill>
                    <a:blip r:embed="rId779"/>
                    <a:stretch>
                      <a:fillRect/>
                    </a:stretch>
                  </pic:blipFill>
                  <pic:spPr>
                    <a:xfrm>
                      <a:off x="0" y="0"/>
                      <a:ext cx="914400" cy="266700"/>
                    </a:xfrm>
                    <a:prstGeom prst="rect">
                      <a:avLst/>
                    </a:prstGeom>
                  </pic:spPr>
                </pic:pic>
              </a:graphicData>
            </a:graphic>
          </wp:anchor>
        </w:drawing>
      </w:r>
      <w:bookmarkEnd w:id="1175"/>
    </w:p>
    <w:p>
      <w:pPr>
        <w:pStyle w:val="Para 04"/>
      </w:pPr>
      <w:r>
        <w:t xml:space="preserve">• You can enable the </w:t>
      </w:r>
      <w:r>
        <w:rPr>
          <w:rStyle w:val="Text0"/>
        </w:rPr>
        <w:t>fallback mode</w:t>
      </w:r>
      <w:r>
        <w:t>, using the DNSSEC=allow-downgrade setting, which</w:t>
      </w:r>
    </w:p>
    <w:p>
      <w:pPr>
        <w:pStyle w:val="Para 02"/>
      </w:pPr>
      <w:r>
        <w:t>tries to validate the DNSSEC records whenever possible, but at the same time accepts unsigned responses for backwards compatibility with unsigned zones.</w:t>
      </w:r>
    </w:p>
    <w:p>
      <w:pPr>
        <w:pStyle w:val="Para 04"/>
      </w:pPr>
      <w:r>
        <w:t>• Should authenticity of DNS records be a concern to you, it’s advised to opt-in to the</w:t>
      </w:r>
    </w:p>
    <w:p>
      <w:pPr>
        <w:pStyle w:val="Para 17"/>
      </w:pPr>
      <w:r>
        <w:rPr>
          <w:rStyle w:val="Text0"/>
        </w:rPr>
        <w:t>strict mode</w:t>
      </w:r>
      <w:r>
        <w:t xml:space="preserve"> by using the DNSSEC=yes setting and reloading the configuration.</w:t>
      </w:r>
    </w:p>
    <w:p>
      <w:pPr>
        <w:pStyle w:val="Normal"/>
      </w:pPr>
      <w:r>
        <w:t>For example, here is how the strict mode can be enabled. To use the fallback mode instead, replace DNSSEC=yes with DNSSEC=allow-downgrade:</w:t>
      </w:r>
    </w:p>
    <w:p>
      <w:pPr>
        <w:pStyle w:val="Normal"/>
      </w:pPr>
      <w:r>
        <w:t>$ sudo mkdir -p /etc/systemd/resolved.conf.d</w:t>
      </w:r>
    </w:p>
    <w:p>
      <w:pPr>
        <w:pStyle w:val="Normal"/>
      </w:pPr>
      <w:r>
        <w:t>$ sudo tee /etc/systemd/resolved.conf.d/10-dnssec.conf &gt;/dev/null &lt;&lt;EOF</w:t>
        <w:t xml:space="preserve"> </w:t>
        <w:t>[Resolve]</w:t>
      </w:r>
    </w:p>
    <w:p>
      <w:pPr>
        <w:pStyle w:val="Normal"/>
      </w:pPr>
      <w:r>
        <w:t>DNSSEC=yes</w:t>
      </w:r>
    </w:p>
    <w:p>
      <w:pPr>
        <w:pStyle w:val="Normal"/>
      </w:pPr>
      <w:r>
        <w:t>EOF</w:t>
      </w:r>
    </w:p>
    <w:p>
      <w:pPr>
        <w:pStyle w:val="Normal"/>
      </w:pPr>
      <w:r>
        <w:t>$ sudo systemctl reload systemd-resolved.service</w:t>
      </w:r>
    </w:p>
    <w:p>
      <w:pPr>
        <w:pStyle w:val="Para 17"/>
      </w:pPr>
      <w:r>
        <w:t/>
      </w:r>
    </w:p>
    <w:p>
      <w:pPr>
        <w:pStyle w:val="Normal"/>
      </w:pPr>
      <w:r>
        <w:t xml:space="preserve">Once reloaded, the functionality of DNSSEC in </w:t>
      </w:r>
      <w:r>
        <w:rPr>
          <w:rStyle w:val="Text0"/>
        </w:rPr>
        <w:t>systemd-resolved</w:t>
      </w:r>
      <w:r>
        <w:t xml:space="preserve"> can be confirmed, using the dig command on the local stub resolver at 127.0.0.53, by checking for the existence of the </w:t>
      </w:r>
      <w:r>
        <w:rPr>
          <w:rStyle w:val="Text0"/>
        </w:rPr>
        <w:t>ad</w:t>
      </w:r>
      <w:r>
        <w:t xml:space="preserve"> (Authenticated Data) flag:</w:t>
      </w:r>
    </w:p>
    <w:p>
      <w:pPr>
        <w:pStyle w:val="Normal"/>
      </w:pPr>
      <w:r>
        <w:t>$ dig @127.0.0.53 isc.org +dnssec</w:t>
      </w:r>
    </w:p>
    <w:p>
      <w:pPr>
        <w:pStyle w:val="Normal"/>
      </w:pPr>
      <w:r>
        <w:t>[...]</w:t>
      </w:r>
    </w:p>
    <w:p>
      <w:pPr>
        <w:pStyle w:val="Normal"/>
      </w:pPr>
      <w:r>
        <w:t>;; flags: qr rd ra ad; QUERY: 1, ANSWER: 5, AUTHORITY: 0, ADDITIONAL: 1</w:t>
      </w:r>
    </w:p>
    <w:p>
      <w:pPr>
        <w:pStyle w:val="Para 17"/>
      </w:pPr>
      <w:r>
        <w:t/>
      </w:r>
    </w:p>
    <w:p>
      <w:pPr>
        <w:pStyle w:val="Normal"/>
      </w:pPr>
      <w:r>
        <w:t>DNSSEC validation will reject DNS resource records, originating from a DNS resolver that</w:t>
      </w:r>
    </w:p>
    <w:p>
      <w:pPr>
        <w:pStyle w:val="Normal"/>
      </w:pPr>
      <w:r>
        <w:t xml:space="preserve">indicates DNSSEC support through the </w:t>
      </w:r>
      <w:hyperlink r:id="rId1629">
        <w:r>
          <w:rPr>
            <w:rStyle w:val="Text9"/>
          </w:rPr>
          <w:t>739</w:t>
        </w:r>
      </w:hyperlink>
      <w:r>
        <w:t xml:space="preserve"> EDNS0 “DNSSEC OK” ( DO ) flag (c.f. </w:t>
      </w:r>
      <w:hyperlink r:id="rId1629">
        <w:r>
          <w:rPr>
            <w:rStyle w:val="Text1"/>
          </w:rPr>
          <w:t>RFC 3225</w:t>
        </w:r>
      </w:hyperlink>
      <w:r>
        <w:t>), but at the same time does not properly respond to DNSSEC queries (e.g. the missing “authenticated data” = AD flag or missing RRSIG or NSEC records). In the past this has led to issues, especially in virtualization environments or when edge routers are involved, e.g. those provided by</w:t>
      </w:r>
    </w:p>
    <w:p>
      <w:pPr>
        <w:pStyle w:val="Normal"/>
      </w:pPr>
      <w:r>
        <w:t xml:space="preserve">ISPs for home connectivity </w:t>
      </w:r>
      <w:hyperlink r:id="rId1630">
        <w:r>
          <w:rPr>
            <w:rStyle w:val="Text1"/>
          </w:rPr>
          <w:t xml:space="preserve">( </w:t>
        </w:r>
      </w:hyperlink>
      <w:hyperlink r:id="rId1630">
        <w:r>
          <w:rPr>
            <w:rStyle w:val="Text9"/>
          </w:rPr>
          <w:t>740</w:t>
        </w:r>
      </w:hyperlink>
      <w:r>
        <w:t xml:space="preserve"> </w:t>
      </w:r>
      <w:hyperlink r:id="rId1631">
        <w:r>
          <w:rPr>
            <w:rStyle w:val="Text9"/>
          </w:rPr>
          <w:t>741</w:t>
        </w:r>
      </w:hyperlink>
      <w:r>
        <w:t xml:space="preserve"> </w:t>
      </w:r>
      <w:hyperlink w:anchor="page_743">
        <w:r>
          <w:rPr>
            <w:rStyle w:val="Text9"/>
          </w:rPr>
          <w:t>742</w:t>
        </w:r>
      </w:hyperlink>
      <w:r>
        <w:t xml:space="preserve"> </w:t>
      </w:r>
      <w:hyperlink r:id="rId1632">
        <w:r>
          <w:rPr>
            <w:rStyle w:val="Text9"/>
          </w:rPr>
          <w:t>743</w:t>
        </w:r>
      </w:hyperlink>
      <w:hyperlink r:id="rId1632">
        <w:r>
          <w:rPr>
            <w:rStyle w:val="Text1"/>
          </w:rPr>
          <w:t xml:space="preserve"> LP: #2119652</w:t>
        </w:r>
      </w:hyperlink>
      <w:r>
        <w:t xml:space="preserve"> , </w:t>
      </w:r>
      <w:hyperlink r:id="rId1631">
        <w:r>
          <w:rPr>
            <w:rStyle w:val="Text1"/>
          </w:rPr>
          <w:t>ref2</w:t>
        </w:r>
      </w:hyperlink>
      <w:r>
        <w:t xml:space="preserve"> , </w:t>
      </w:r>
      <w:hyperlink r:id="rId1633">
        <w:r>
          <w:rPr>
            <w:rStyle w:val="Text1"/>
          </w:rPr>
          <w:t>ref3</w:t>
        </w:r>
      </w:hyperlink>
      <w:r>
        <w:t xml:space="preserve"> , </w:t>
      </w:r>
      <w:hyperlink r:id="rId1632">
        <w:r>
          <w:rPr>
            <w:rStyle w:val="Text1"/>
          </w:rPr>
          <w:t>LP: #2121483</w:t>
        </w:r>
      </w:hyperlink>
      <w:r>
        <w:t>). Therefore, DNSSEC should only be enabled in controlled environments, where the upstream DNS server is correctly configured to handle DNSSEC queries.</w:t>
      </w:r>
    </w:p>
    <w:p>
      <w:pPr>
        <w:pStyle w:val="Para 17"/>
      </w:pPr>
      <w:r>
        <w:t/>
      </w:r>
    </w:p>
    <w:p>
      <w:pPr>
        <w:pStyle w:val="Para 08"/>
      </w:pPr>
      <w:r>
        <w:t>Warning:</w:t>
      </w:r>
    </w:p>
    <w:p>
      <w:pPr>
        <w:pStyle w:val="Para 17"/>
      </w:pPr>
      <w:r>
        <w:t/>
      </w:r>
    </w:p>
    <w:p>
      <w:pPr>
        <w:pStyle w:val="Para 03"/>
      </w:pPr>
      <w:r>
        <w:t>Be aware that enforcing DNSSEC in strict mode can lead to errors, especially for local,</w:t>
      </w:r>
    </w:p>
    <w:p>
      <w:pPr>
        <w:pStyle w:val="Para 03"/>
      </w:pPr>
      <w:r>
        <w:t>unsigned domains and you would only be able to reach such services by accessing them</w:t>
      </w:r>
    </w:p>
    <w:p>
      <w:pPr>
        <w:pStyle w:val="Para 03"/>
      </w:pPr>
      <w:r>
        <w:t>through their IP address directly. For example this could manifest itself by errors like DNS_</w:t>
      </w:r>
    </w:p>
    <w:p>
      <w:pPr>
        <w:pStyle w:val="Para 03"/>
      </w:pPr>
      <w:r>
        <w:t>PROBE_FINISHED_NXDOMAIN in your browser, when trying to access services in the local net-</w:t>
      </w:r>
    </w:p>
    <w:p>
      <w:pPr>
        <w:pStyle w:val="Para 03"/>
      </w:pPr>
      <w:r>
        <w:t>work.</w:t>
      </w:r>
    </w:p>
    <w:p>
      <w:pPr>
        <w:pStyle w:val="Normal"/>
      </w:pPr>
      <w:r>
        <w:t>Once strict DNSSEC validation is enabled, you should also be able to confirm it through higher level checks in your browser, e.g. using those 3rd party services:</w:t>
      </w:r>
    </w:p>
    <w:p>
      <w:pPr>
        <w:pStyle w:val="Para 05"/>
      </w:pPr>
      <w:r>
        <w:rPr>
          <w:rStyle w:val="Text5"/>
        </w:rPr>
        <w:t>739</w:t>
      </w:r>
      <w:r>
        <w:rPr>
          <w:rStyle w:val="Text8"/>
        </w:rPr>
        <w:t xml:space="preserve"> </w:t>
      </w:r>
      <w:r>
        <w:t>https://datatracker.ietf.org/doc/html/rfc3225</w:t>
      </w:r>
    </w:p>
    <w:p>
      <w:pPr>
        <w:pStyle w:val="Para 05"/>
      </w:pPr>
      <w:r>
        <w:rPr>
          <w:rStyle w:val="Text5"/>
        </w:rPr>
        <w:t>740</w:t>
      </w:r>
      <w:r>
        <w:rPr>
          <w:rStyle w:val="Text8"/>
        </w:rPr>
        <w:t xml:space="preserve"> </w:t>
      </w:r>
      <w:r>
        <w:t>https://bugs.launchpad.net/bugs/2119652</w:t>
      </w:r>
    </w:p>
    <w:p>
      <w:pPr>
        <w:pStyle w:val="Para 05"/>
      </w:pPr>
      <w:r>
        <w:rPr>
          <w:rStyle w:val="Text5"/>
        </w:rPr>
        <w:t>741</w:t>
      </w:r>
      <w:r>
        <w:rPr>
          <w:rStyle w:val="Text8"/>
        </w:rPr>
        <w:t xml:space="preserve"> </w:t>
      </w:r>
      <w:r>
        <w:t>https://lists.fedoraproject.org/archives/list/devel@lists.fedoraproject.org/message/</w:t>
      </w:r>
    </w:p>
    <w:p>
      <w:pPr>
        <w:pStyle w:val="Para 16"/>
      </w:pPr>
      <w:r>
        <w:t>AFHNUEHKC5KJVGBGSJBH2BMESUAGDF4H/</w:t>
      </w:r>
    </w:p>
    <w:p>
      <w:pPr>
        <w:pStyle w:val="Para 05"/>
      </w:pPr>
      <w:r>
        <w:rPr>
          <w:rStyle w:val="Text5"/>
        </w:rPr>
        <w:t>742</w:t>
      </w:r>
      <w:r>
        <w:rPr>
          <w:rStyle w:val="Text8"/>
        </w:rPr>
        <w:t xml:space="preserve"> </w:t>
      </w:r>
      <w:r>
        <w:t>https://lists.fedoraproject.org/archives/list/devel@lists.fedoraproject.org/message/</w:t>
      </w:r>
    </w:p>
    <w:p>
      <w:pPr>
        <w:pStyle w:val="Para 16"/>
      </w:pPr>
      <w:r>
        <w:t>P63RI3VBQ7NGL3AKMTR7PCVHVSCPYCLF/</w:t>
      </w:r>
    </w:p>
    <w:p>
      <w:pPr>
        <w:pStyle w:val="Para 05"/>
      </w:pPr>
      <w:r>
        <w:rPr>
          <w:rStyle w:val="Text5"/>
        </w:rPr>
        <w:t>743</w:t>
      </w:r>
      <w:r>
        <w:rPr>
          <w:rStyle w:val="Text8"/>
        </w:rPr>
        <w:t xml:space="preserve"> </w:t>
      </w:r>
      <w:r>
        <w:t>https://bugs.launchpad.net/bugs/2121483</w:t>
      </w:r>
    </w:p>
    <w:p>
      <w:bookmarkStart w:id="1176" w:name="page_7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6" name="index-744_1.png" descr="index-744_1.png"/>
            <wp:cNvGraphicFramePr>
              <a:graphicFrameLocks noChangeAspect="1"/>
            </wp:cNvGraphicFramePr>
            <a:graphic>
              <a:graphicData uri="http://schemas.openxmlformats.org/drawingml/2006/picture">
                <pic:pic>
                  <pic:nvPicPr>
                    <pic:cNvPr id="0" name="index-744_1.png" descr="index-744_1.png"/>
                    <pic:cNvPicPr/>
                  </pic:nvPicPr>
                  <pic:blipFill>
                    <a:blip r:embed="rId780"/>
                    <a:stretch>
                      <a:fillRect/>
                    </a:stretch>
                  </pic:blipFill>
                  <pic:spPr>
                    <a:xfrm>
                      <a:off x="0" y="0"/>
                      <a:ext cx="914400" cy="266700"/>
                    </a:xfrm>
                    <a:prstGeom prst="rect">
                      <a:avLst/>
                    </a:prstGeom>
                  </pic:spPr>
                </pic:pic>
              </a:graphicData>
            </a:graphic>
          </wp:anchor>
        </w:drawing>
      </w:r>
      <w:bookmarkEnd w:id="1176"/>
    </w:p>
    <w:p>
      <w:pPr>
        <w:pStyle w:val="Para 13"/>
      </w:pPr>
      <w:r>
        <w:rPr>
          <w:rStyle w:val="Text7"/>
        </w:rPr>
        <w:t xml:space="preserve">• </w:t>
      </w:r>
      <w:hyperlink r:id="rId1634">
        <w:r>
          <w:t>https://internet.nl/test-connection/</w:t>
        </w:r>
      </w:hyperlink>
    </w:p>
    <w:p>
      <w:pPr>
        <w:pStyle w:val="Para 13"/>
      </w:pPr>
      <w:r>
        <w:rPr>
          <w:rStyle w:val="Text7"/>
        </w:rPr>
        <w:t xml:space="preserve">• </w:t>
      </w:r>
      <w:hyperlink r:id="rId1635">
        <w:r>
          <w:t>https://wander.science/projects/dns/dnssec-resolver-test/</w:t>
        </w:r>
      </w:hyperlink>
    </w:p>
    <w:p>
      <w:pPr>
        <w:pStyle w:val="Para 17"/>
      </w:pPr>
      <w:r>
        <w:t/>
      </w:r>
    </w:p>
    <w:p>
      <w:pPr>
        <w:pStyle w:val="Para 08"/>
      </w:pPr>
      <w:r>
        <w:t>Note:</w:t>
      </w:r>
    </w:p>
    <w:p>
      <w:pPr>
        <w:pStyle w:val="Para 03"/>
      </w:pPr>
      <w:r>
        <w:t>In case of issues with Domain Name resolution, make sure to remove relevant drop-in con-</w:t>
      </w:r>
    </w:p>
    <w:p>
      <w:pPr>
        <w:pStyle w:val="Para 03"/>
      </w:pPr>
      <w:r>
        <w:t>figs in /etc/resolved.conf.d and execute systemctl reload systemd-resolved.service.</w:t>
      </w:r>
    </w:p>
    <w:p>
      <w:pPr>
        <w:pStyle w:val="Para 03"/>
      </w:pPr>
      <w:r>
        <w:t>This will reset any DNSSEC configuration to the default DNSSEC=no and can be confirmed</w:t>
      </w:r>
    </w:p>
    <w:p>
      <w:pPr>
        <w:pStyle w:val="Para 03"/>
      </w:pPr>
      <w:r>
        <w:t>by executing resolvectl dnssec.</w:t>
      </w:r>
    </w:p>
    <w:p>
      <w:pPr>
        <w:pStyle w:val="Para 17"/>
      </w:pPr>
      <w:r>
        <w:t/>
      </w:r>
    </w:p>
    <w:p>
      <w:pPr>
        <w:pStyle w:val="Para 01"/>
      </w:pPr>
      <w:r>
        <w:t>New Resource Records (RRs)</w:t>
      </w:r>
    </w:p>
    <w:p>
      <w:pPr>
        <w:pStyle w:val="Para 17"/>
      </w:pPr>
      <w:r>
        <w:t/>
      </w:r>
    </w:p>
    <w:p>
      <w:pPr>
        <w:pStyle w:val="Normal"/>
      </w:pPr>
      <w:r>
        <w:t>DNSSEC introduces a set of new Resource Records. Here are the most important ones:</w:t>
      </w:r>
    </w:p>
    <w:p>
      <w:pPr>
        <w:pStyle w:val="Para 04"/>
      </w:pPr>
      <w:r>
        <w:t>• RRSIG: Resource Record Signature. Each RRSIG record matches a corresponding Re-</w:t>
      </w:r>
    </w:p>
    <w:p>
      <w:pPr>
        <w:pStyle w:val="Para 17"/>
      </w:pPr>
      <w:r>
        <w:t>source Record, i.e., it’s the digital cryptographic signature of that Resource Record.</w:t>
      </w:r>
    </w:p>
    <w:p>
      <w:pPr>
        <w:pStyle w:val="Para 04"/>
      </w:pPr>
      <w:r>
        <w:t>• DNSKEY: There are several types of keys used in DNSSEC, and this record is used to store</w:t>
      </w:r>
    </w:p>
    <w:p>
      <w:pPr>
        <w:pStyle w:val="Para 02"/>
      </w:pPr>
      <w:r>
        <w:t>the public key in each case.</w:t>
      </w:r>
    </w:p>
    <w:p>
      <w:pPr>
        <w:pStyle w:val="Para 04"/>
      </w:pPr>
      <w:r>
        <w:t>• DS: Delegation Signer. This stores a secure delegation, and is used to build the authen-</w:t>
      </w:r>
    </w:p>
    <w:p>
      <w:pPr>
        <w:pStyle w:val="Para 02"/>
      </w:pPr>
      <w:r>
        <w:t>tication chain to child DNS zones. This makes it possible for a parent zone to “vouch” for its child zone.</w:t>
      </w:r>
    </w:p>
    <w:p>
      <w:pPr>
        <w:pStyle w:val="Para 04"/>
      </w:pPr>
      <w:r>
        <w:t>• NSEC, NSEC3, NSEC3PARAM: Next Secure record. These records are used to prove that</w:t>
      </w:r>
    </w:p>
    <w:p>
      <w:pPr>
        <w:pStyle w:val="Para 02"/>
      </w:pPr>
      <w:r>
        <w:t>a DNS name does not exist.</w:t>
      </w:r>
    </w:p>
    <w:p>
      <w:pPr>
        <w:pStyle w:val="Normal"/>
      </w:pPr>
      <w:r>
        <w:t>For instance, when a DNSSEC-aware client queries a Resource Record that is signed, the cor-responding RRSIG record is also returned:</w:t>
      </w:r>
    </w:p>
    <w:p>
      <w:pPr>
        <w:pStyle w:val="Normal"/>
      </w:pPr>
      <w:r>
        <w:t>$ dig @1.1.1.1 +dnssec -t MX isc.org</w:t>
      </w:r>
    </w:p>
    <w:p>
      <w:pPr>
        <w:pStyle w:val="Normal"/>
      </w:pPr>
      <w:r>
        <w:t>; &lt;&lt;&gt;&gt; DiG 9.18.28-0ubuntu0.24.04.1-Ubuntu &lt;&lt;&gt;&gt; @1.1.1.1 +dnssec -t MX isc.org</w:t>
        <w:t xml:space="preserve"> </w:t>
        <w:t>; (1 server found)</w:t>
      </w:r>
    </w:p>
    <w:p>
      <w:pPr>
        <w:pStyle w:val="Normal"/>
      </w:pPr>
      <w:r>
        <w:t>;; global options: +cmd</w:t>
      </w:r>
    </w:p>
    <w:p>
      <w:pPr>
        <w:pStyle w:val="Normal"/>
      </w:pPr>
      <w:r>
        <w:t>;; Got answer:</w:t>
      </w:r>
    </w:p>
    <w:p>
      <w:pPr>
        <w:pStyle w:val="Normal"/>
      </w:pPr>
      <w:r>
        <w:t>;; -&gt;&gt;HEADER&lt;&lt;- opcode: QUERY, status: NOERROR, id: 51256</w:t>
        <w:t xml:space="preserve"> </w:t>
        <w:t>;; flags: qr rd ra ad; QUERY: 1, ANSWER: 3, AUTHORITY: 0, ADDITIONAL: 1</w:t>
      </w:r>
    </w:p>
    <w:p>
      <w:pPr>
        <w:pStyle w:val="Normal"/>
      </w:pPr>
      <w:r>
        <w:t>;; OPT PSEUDOSECTION:</w:t>
      </w:r>
    </w:p>
    <w:p>
      <w:pPr>
        <w:pStyle w:val="Normal"/>
      </w:pPr>
      <w:r>
        <w:t>; EDNS: version: 0, flags: do; udp: 1232</w:t>
      </w:r>
    </w:p>
    <w:p>
      <w:pPr>
        <w:pStyle w:val="Normal"/>
      </w:pPr>
      <w:r>
        <w:t>;; QUESTION SECTION:</w:t>
      </w:r>
    </w:p>
    <w:p>
      <w:pPr>
        <w:pStyle w:val="Normal"/>
      </w:pPr>
      <w:r>
        <w:t>;isc.org.</w:t>
        <w:t xml:space="preserve"> </w:t>
        <w:t>IN</w:t>
        <w:t xml:space="preserve"> </w:t>
        <w:t>MX</w:t>
      </w:r>
    </w:p>
    <w:p>
      <w:pPr>
        <w:pStyle w:val="Normal"/>
      </w:pPr>
      <w:r>
        <w:t>;; ANSWER SECTION:</w:t>
      </w:r>
    </w:p>
    <w:p>
      <w:pPr>
        <w:pStyle w:val="Normal"/>
      </w:pPr>
      <w:r>
        <w:t>isc.org.</w:t>
        <w:t xml:space="preserve"> </w:t>
        <w:t>300</w:t>
        <w:t xml:space="preserve"> </w:t>
        <w:t>IN</w:t>
        <w:t xml:space="preserve"> </w:t>
        <w:t>MX</w:t>
        <w:t xml:space="preserve"> </w:t>
        <w:t>5 mx.pao1.isc.org.</w:t>
        <w:t xml:space="preserve"> </w:t>
        <w:t>isc.org.</w:t>
        <w:t xml:space="preserve"> </w:t>
        <w:t>300</w:t>
        <w:t xml:space="preserve"> </w:t>
        <w:t>IN</w:t>
        <w:t xml:space="preserve"> </w:t>
        <w:t>MX</w:t>
        <w:t xml:space="preserve"> </w:t>
        <w:t>10 mx.ams1.isc.org.</w:t>
        <w:t xml:space="preserve"> </w:t>
        <w:t>isc.org.</w:t>
        <w:t xml:space="preserve"> </w:t>
        <w:t>300</w:t>
        <w:t xml:space="preserve"> </w:t>
        <w:t>IN</w:t>
        <w:t xml:space="preserve"> </w:t>
        <w:t>RRSIG</w:t>
        <w:t xml:space="preserve"> </w:t>
        <w:t>MX 13 2 300 20241029080338 20241015071431</w:t>
        <w:t xml:space="preserve"> </w:t>
        <w:t>27566 isc.org. LG/cvFmZ8jLz+CM14foaCtwsyCTwKXfVBZV2jcl2UV8zV79QRLs0YXJ3</w:t>
        <w:t xml:space="preserve"> </w:t>
        <w:t>sjag1vYCqc+Q5AwUi2DB8L/wZR6EJQ==</w:t>
      </w:r>
    </w:p>
    <w:p>
      <w:pPr>
        <w:pStyle w:val="Normal"/>
      </w:pPr>
      <w:r>
        <w:t>;; Query time: 199 msec</w:t>
      </w:r>
    </w:p>
    <w:p>
      <w:pPr>
        <w:pStyle w:val="Normal"/>
      </w:pPr>
      <w:r>
        <w:t>;; SERVER: 1.1.1.1#53(1.1.1.1) (UDP)</w:t>
      </w:r>
    </w:p>
    <w:p>
      <w:pPr>
        <w:pStyle w:val="Normal"/>
      </w:pPr>
      <w:r>
        <w:t>;; WHEN: Tue Oct 22 16:44:33 UTC 2024</w:t>
      </w:r>
    </w:p>
    <w:p>
      <w:pPr>
        <w:pStyle w:val="Normal"/>
      </w:pPr>
      <w:r>
        <w:t>;; MSG SIZE</w:t>
        <w:t xml:space="preserve"> </w:t>
        <w:t>rcvd: 187</w:t>
      </w:r>
    </w:p>
    <w:p>
      <w:bookmarkStart w:id="1177" w:name="page_7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7" name="index-745_1.png" descr="index-745_1.png"/>
            <wp:cNvGraphicFramePr>
              <a:graphicFrameLocks noChangeAspect="1"/>
            </wp:cNvGraphicFramePr>
            <a:graphic>
              <a:graphicData uri="http://schemas.openxmlformats.org/drawingml/2006/picture">
                <pic:pic>
                  <pic:nvPicPr>
                    <pic:cNvPr id="0" name="index-745_1.png" descr="index-745_1.png"/>
                    <pic:cNvPicPr/>
                  </pic:nvPicPr>
                  <pic:blipFill>
                    <a:blip r:embed="rId781"/>
                    <a:stretch>
                      <a:fillRect/>
                    </a:stretch>
                  </pic:blipFill>
                  <pic:spPr>
                    <a:xfrm>
                      <a:off x="0" y="0"/>
                      <a:ext cx="914400" cy="266700"/>
                    </a:xfrm>
                    <a:prstGeom prst="rect">
                      <a:avLst/>
                    </a:prstGeom>
                  </pic:spPr>
                </pic:pic>
              </a:graphicData>
            </a:graphic>
          </wp:anchor>
        </w:drawing>
      </w:r>
      <w:bookmarkEnd w:id="1177"/>
    </w:p>
    <w:p>
      <w:pPr>
        <w:pStyle w:val="Para 01"/>
      </w:pPr>
      <w:r>
        <w:t>Other uses</w:t>
      </w:r>
    </w:p>
    <w:p>
      <w:pPr>
        <w:pStyle w:val="Para 17"/>
      </w:pPr>
      <w:r>
        <w:t/>
      </w:r>
    </w:p>
    <w:p>
      <w:pPr>
        <w:pStyle w:val="Normal"/>
      </w:pPr>
      <w:r>
        <w:t>DNSSEC makes it more attractive and secure to store other types of information in DNS zones. Although it has always been possible to store SRV, TXT and other generic records in DNS, now these can be signed, and can thus be relied upon to be true. A well known initia-tive that leverages DNSSEC for this purpose is DANE: DNS-based Authentication of Named Entities (RFC 6394, RFC 6698, RFC 7671, RFC 7672, RFC 7673).</w:t>
      </w:r>
    </w:p>
    <w:p>
      <w:pPr>
        <w:pStyle w:val="Normal"/>
      </w:pPr>
      <w:r>
        <w:t>For example, consider a scenario where SSH host keys are stored and secured in DNS using DNSSEC. Rather than manually verifying a host key fingerprint, the verification process could be automated using DNSSEC and the SSHFP Resource Record published in the DNS zone for that host. OpenSSH already supports this feature through the VerifyHostKeyDNS configura-tion option.</w:t>
      </w:r>
    </w:p>
    <w:p>
      <w:pPr>
        <w:pStyle w:val="Para 17"/>
      </w:pPr>
      <w:r>
        <w:t/>
      </w:r>
    </w:p>
    <w:p>
      <w:pPr>
        <w:pStyle w:val="Para 01"/>
      </w:pPr>
      <w:r>
        <w:t>Where does the DNSSEC validation happen?</w:t>
      </w:r>
    </w:p>
    <w:p>
      <w:pPr>
        <w:pStyle w:val="Para 17"/>
      </w:pPr>
      <w:r>
        <w:t/>
      </w:r>
    </w:p>
    <w:p>
      <w:pPr>
        <w:pStyle w:val="Normal"/>
      </w:pPr>
      <w:r>
        <w:t>DNSSEC validation involves fetching requested DNS data, retrieving their corresponding dig-ital signatures, and cryptographically verifying them. Who is responsible for this process?</w:t>
      </w:r>
    </w:p>
    <w:p>
      <w:pPr>
        <w:pStyle w:val="Normal"/>
      </w:pPr>
      <w:r>
        <w:t>It depends.</w:t>
      </w:r>
    </w:p>
    <w:p>
      <w:pPr>
        <w:pStyle w:val="Normal"/>
      </w:pPr>
      <w:r>
        <w:t>Let’s analyze the simple scenario of a system on a local network performing a DNS query for a domain.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117600"/>
            <wp:effectExtent l="0" r="0" t="0" b="0"/>
            <wp:wrapTopAndBottom/>
            <wp:docPr id="778" name="index-745_2.png" descr="index-745_2.png"/>
            <wp:cNvGraphicFramePr>
              <a:graphicFrameLocks noChangeAspect="1"/>
            </wp:cNvGraphicFramePr>
            <a:graphic>
              <a:graphicData uri="http://schemas.openxmlformats.org/drawingml/2006/picture">
                <pic:pic>
                  <pic:nvPicPr>
                    <pic:cNvPr id="0" name="index-745_2.png" descr="index-745_2.png"/>
                    <pic:cNvPicPr/>
                  </pic:nvPicPr>
                  <pic:blipFill>
                    <a:blip r:embed="rId782"/>
                    <a:stretch>
                      <a:fillRect/>
                    </a:stretch>
                  </pic:blipFill>
                  <pic:spPr>
                    <a:xfrm>
                      <a:off x="0" y="0"/>
                      <a:ext cx="3670300" cy="1117600"/>
                    </a:xfrm>
                    <a:prstGeom prst="rect">
                      <a:avLst/>
                    </a:prstGeom>
                  </pic:spPr>
                </pic:pic>
              </a:graphicData>
            </a:graphic>
          </wp:anchor>
        </w:drawing>
      </w:r>
    </w:p>
    <w:p>
      <w:pPr>
        <w:pStyle w:val="Para 17"/>
      </w:pPr>
      <w:r>
        <w:t/>
      </w:r>
    </w:p>
    <w:p>
      <w:pPr>
        <w:pStyle w:val="Normal"/>
      </w:pPr>
      <w:r>
        <w:t>Here we have:</w:t>
      </w:r>
    </w:p>
    <w:p>
      <w:pPr>
        <w:pStyle w:val="Para 04"/>
      </w:pPr>
      <w:r>
        <w:t>• An Ubuntu system, like a desktop, configured to use a DNS server in the local network.</w:t>
      </w:r>
    </w:p>
    <w:p>
      <w:pPr>
        <w:pStyle w:val="Para 04"/>
      </w:pPr>
      <w:r>
        <w:t>• A DNS server configured to perform recursive queries on behalf of the clients from the</w:t>
      </w:r>
    </w:p>
    <w:p>
      <w:pPr>
        <w:pStyle w:val="Para 02"/>
      </w:pPr>
      <w:r>
        <w:t>local network.</w:t>
      </w:r>
    </w:p>
    <w:p>
      <w:pPr>
        <w:pStyle w:val="Normal"/>
      </w:pPr>
      <w:r>
        <w:t>Let’s zoom in a little bit on that Ubuntu system:</w:t>
      </w:r>
    </w:p>
    <w:p>
      <w:bookmarkStart w:id="1178" w:name="calibre_pb_216"/>
      <w:pPr>
        <w:pStyle w:val="0 Block"/>
      </w:pPr>
      <w:bookmarkEnd w:id="1178"/>
    </w:p>
    <w:p>
      <w:bookmarkStart w:id="1179" w:name="Top_of_index_split_217_html"/>
      <w:bookmarkStart w:id="1180" w:name="page_74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79" name="index-746_1.png" descr="index-746_1.png"/>
            <wp:cNvGraphicFramePr>
              <a:graphicFrameLocks noChangeAspect="1"/>
            </wp:cNvGraphicFramePr>
            <a:graphic>
              <a:graphicData uri="http://schemas.openxmlformats.org/drawingml/2006/picture">
                <pic:pic>
                  <pic:nvPicPr>
                    <pic:cNvPr id="0" name="index-746_1.png" descr="index-746_1.png"/>
                    <pic:cNvPicPr/>
                  </pic:nvPicPr>
                  <pic:blipFill>
                    <a:blip r:embed="rId783"/>
                    <a:stretch>
                      <a:fillRect/>
                    </a:stretch>
                  </pic:blipFill>
                  <pic:spPr>
                    <a:xfrm>
                      <a:off x="0" y="0"/>
                      <a:ext cx="914400" cy="266700"/>
                    </a:xfrm>
                    <a:prstGeom prst="rect">
                      <a:avLst/>
                    </a:prstGeom>
                  </pic:spPr>
                </pic:pic>
              </a:graphicData>
            </a:graphic>
          </wp:anchor>
        </w:drawing>
      </w:r>
      <w:bookmarkEnd w:id="1179"/>
      <w:bookmarkEnd w:id="1180"/>
    </w:p>
    <w:p>
      <w:pPr>
        <w:pStyle w:val="Normal"/>
      </w:pPr>
      <w:r>
        <w:t xml:space="preserve">To translate a </w:t>
      </w:r>
      <w:hyperlink w:anchor="page_688">
        <w:r>
          <w:rPr>
            <w:rStyle w:val="Text2"/>
          </w:rPr>
          <w:t>hostname</w:t>
        </w:r>
      </w:hyperlink>
      <w:r>
        <w:t xml:space="preserve"> into an IP address, applications typically rely on standard glibc func-tions. This process involves a stub resolver, often referred to as a DNS client. A stub resolver is a simple client that doesn’t perform recursive queries itself; instead, it delegates the task to a recursive DNS server, which handles the complex query resolution.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397000"/>
            <wp:effectExtent l="0" r="0" t="0" b="0"/>
            <wp:wrapTopAndBottom/>
            <wp:docPr id="780" name="index-746_2.png" descr="index-746_2.png"/>
            <wp:cNvGraphicFramePr>
              <a:graphicFrameLocks noChangeAspect="1"/>
            </wp:cNvGraphicFramePr>
            <a:graphic>
              <a:graphicData uri="http://schemas.openxmlformats.org/drawingml/2006/picture">
                <pic:pic>
                  <pic:nvPicPr>
                    <pic:cNvPr id="0" name="index-746_2.png" descr="index-746_2.png"/>
                    <pic:cNvPicPr/>
                  </pic:nvPicPr>
                  <pic:blipFill>
                    <a:blip r:embed="rId784"/>
                    <a:stretch>
                      <a:fillRect/>
                    </a:stretch>
                  </pic:blipFill>
                  <pic:spPr>
                    <a:xfrm>
                      <a:off x="0" y="0"/>
                      <a:ext cx="3670300" cy="1397000"/>
                    </a:xfrm>
                    <a:prstGeom prst="rect">
                      <a:avLst/>
                    </a:prstGeom>
                  </pic:spPr>
                </pic:pic>
              </a:graphicData>
            </a:graphic>
          </wp:anchor>
        </w:drawing>
      </w:r>
    </w:p>
    <w:p>
      <w:pPr>
        <w:pStyle w:val="Normal"/>
      </w:pPr>
      <w:r>
        <w:t>In Ubuntu, the default stub resolver is systemd-resolved. That’s a daemon, running locally, and listening on port 53/udp on IP 127.0.0.53. The system is configured to use that as its nameserver via /etc/resolv.conf:</w:t>
      </w:r>
    </w:p>
    <w:p>
      <w:pPr>
        <w:pStyle w:val="Normal"/>
      </w:pPr>
      <w:r>
        <w:t>nameserver 127.0.0.53</w:t>
      </w:r>
    </w:p>
    <w:p>
      <w:pPr>
        <w:pStyle w:val="Normal"/>
      </w:pPr>
      <w:r>
        <w:t>options edns0 trust-ad</w:t>
      </w:r>
    </w:p>
    <w:p>
      <w:pPr>
        <w:pStyle w:val="Para 17"/>
      </w:pPr>
      <w:r>
        <w:t/>
      </w:r>
    </w:p>
    <w:p>
      <w:pPr>
        <w:pStyle w:val="Normal"/>
      </w:pPr>
      <w:r>
        <w:t>This stub resolver has its own configuration for which recursive DNS servers to use. That can be seen with the command resolvectl. For example:</w:t>
      </w:r>
    </w:p>
    <w:p>
      <w:pPr>
        <w:pStyle w:val="Normal"/>
      </w:pPr>
      <w:r>
        <w:t>Global</w:t>
      </w:r>
    </w:p>
    <w:p>
      <w:pPr>
        <w:pStyle w:val="Para 11"/>
      </w:pPr>
      <w:r>
        <w:t>Protocols: -LLMNR -mDNS -DNSOverTLS DNSSEC=no/unsupported</w:t>
      </w:r>
    </w:p>
    <w:p>
      <w:pPr>
        <w:pStyle w:val="Para 03"/>
      </w:pPr>
      <w:r>
        <w:t>resolv.conf mode: stub</w:t>
      </w:r>
    </w:p>
    <w:p>
      <w:pPr>
        <w:pStyle w:val="Normal"/>
      </w:pPr>
      <w:r>
        <w:t>Link 12 (eth0)</w:t>
      </w:r>
    </w:p>
    <w:p>
      <w:pPr>
        <w:pStyle w:val="Para 02"/>
      </w:pPr>
      <w:r>
        <w:t>Current Scopes: DNS</w:t>
      </w:r>
    </w:p>
    <w:p>
      <w:pPr>
        <w:pStyle w:val="Para 17"/>
      </w:pPr>
      <w:r>
        <w:t>Protocols: +DefaultRoute -LLMNR -mDNS -DNSOverTLS DNSSEC=no/unsupported</w:t>
      </w:r>
    </w:p>
    <w:p>
      <w:pPr>
        <w:pStyle w:val="Normal"/>
      </w:pPr>
      <w:r>
        <w:t>Current DNS Server: 10.10.17.1</w:t>
      </w:r>
    </w:p>
    <w:p>
      <w:pPr>
        <w:pStyle w:val="Para 06"/>
      </w:pPr>
      <w:r>
        <w:t>DNS Servers: 10.10.17.1</w:t>
      </w:r>
    </w:p>
    <w:p>
      <w:pPr>
        <w:pStyle w:val="Para 06"/>
      </w:pPr>
      <w:r>
        <w:t>DNS Domain: lxd</w:t>
      </w:r>
    </w:p>
    <w:p>
      <w:pPr>
        <w:pStyle w:val="Para 17"/>
      </w:pPr>
      <w:r>
        <w:t/>
      </w:r>
    </w:p>
    <w:p>
      <w:pPr>
        <w:pStyle w:val="Normal"/>
      </w:pPr>
      <w:r>
        <w:t xml:space="preserve">This configuration is usually provided via </w:t>
      </w:r>
      <w:hyperlink w:anchor="page_678">
        <w:r>
          <w:rPr>
            <w:rStyle w:val="Text2"/>
          </w:rPr>
          <w:t>DHCP</w:t>
        </w:r>
      </w:hyperlink>
      <w:r>
        <w:t>, but could also be set via other means. In this particular example, the DNS server that the stub resolver (systemd-resolved) will use for all queries that go out on that network interface is 10.10.17.1. The output above also has DNSSEC=no/unsupported: we will get back to that in a moment, but it means that systemd-resolved is not performing the DNSSEC cryptographic validation.</w:t>
      </w:r>
    </w:p>
    <w:p>
      <w:pPr>
        <w:pStyle w:val="Normal"/>
      </w:pPr>
      <w:r>
        <w:t>Given what we have:</w:t>
      </w:r>
    </w:p>
    <w:p>
      <w:pPr>
        <w:pStyle w:val="Para 04"/>
      </w:pPr>
      <w:r>
        <w:t>• an application</w:t>
      </w:r>
    </w:p>
    <w:p>
      <w:pPr>
        <w:pStyle w:val="Para 04"/>
      </w:pPr>
      <w:r>
        <w:t>• stub resolver (“DNS client”)</w:t>
      </w:r>
    </w:p>
    <w:p>
      <w:pPr>
        <w:pStyle w:val="Para 04"/>
      </w:pPr>
      <w:r>
        <w:t>• recursive DNS server in the local network</w:t>
      </w:r>
    </w:p>
    <w:p>
      <w:pPr>
        <w:pStyle w:val="Para 04"/>
      </w:pPr>
      <w:r>
        <w:t>• several other DNS servers in the internet that will be queried by our recursive DNS</w:t>
      </w:r>
    </w:p>
    <w:p>
      <w:pPr>
        <w:pStyle w:val="Para 02"/>
      </w:pPr>
      <w:r>
        <w:t>server</w:t>
      </w:r>
    </w:p>
    <w:p>
      <w:bookmarkStart w:id="1181" w:name="page_7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1" name="index-747_1.png" descr="index-747_1.png"/>
            <wp:cNvGraphicFramePr>
              <a:graphicFrameLocks noChangeAspect="1"/>
            </wp:cNvGraphicFramePr>
            <a:graphic>
              <a:graphicData uri="http://schemas.openxmlformats.org/drawingml/2006/picture">
                <pic:pic>
                  <pic:nvPicPr>
                    <pic:cNvPr id="0" name="index-747_1.png" descr="index-747_1.png"/>
                    <pic:cNvPicPr/>
                  </pic:nvPicPr>
                  <pic:blipFill>
                    <a:blip r:embed="rId785"/>
                    <a:stretch>
                      <a:fillRect/>
                    </a:stretch>
                  </pic:blipFill>
                  <pic:spPr>
                    <a:xfrm>
                      <a:off x="0" y="0"/>
                      <a:ext cx="914400" cy="266700"/>
                    </a:xfrm>
                    <a:prstGeom prst="rect">
                      <a:avLst/>
                    </a:prstGeom>
                  </pic:spPr>
                </pic:pic>
              </a:graphicData>
            </a:graphic>
          </wp:anchor>
        </w:drawing>
      </w:r>
      <w:bookmarkEnd w:id="1181"/>
    </w:p>
    <w:p>
      <w:pPr>
        <w:pStyle w:val="Normal"/>
      </w:pPr>
      <w:r>
        <w:t>Where does the DNSSEC validation happen? Who is responsible?</w:t>
      </w:r>
    </w:p>
    <w:p>
      <w:pPr>
        <w:pStyle w:val="Normal"/>
      </w:pPr>
      <w:r>
        <w:t>Well, any DNS server can perform the validation. Let’s look at two scenarios, and what it means in each case.</w:t>
      </w:r>
    </w:p>
    <w:p>
      <w:pPr>
        <w:pStyle w:val="Para 17"/>
      </w:pPr>
      <w:r>
        <w:t/>
      </w:r>
    </w:p>
    <w:p>
      <w:pPr>
        <w:pStyle w:val="Para 01"/>
      </w:pPr>
      <w:r>
        <w:t>Validating Resolver</w:t>
      </w:r>
    </w:p>
    <w:p>
      <w:pPr>
        <w:pStyle w:val="Para 17"/>
      </w:pPr>
      <w:r>
        <w:t/>
      </w:r>
    </w:p>
    <w:p>
      <w:pPr>
        <w:pStyle w:val="Normal"/>
      </w:pPr>
      <w:r>
        <w:t xml:space="preserve">When a recursive DNS server is also performing DNSSEC validation, it’s called a </w:t>
      </w:r>
      <w:r>
        <w:rPr>
          <w:rStyle w:val="Text3"/>
        </w:rPr>
        <w:t>Validating Resolver</w:t>
      </w:r>
      <w:r>
        <w:t>. That will typically be the DNS server on your local network, at your company, or in some cases at your ISP.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117600"/>
            <wp:effectExtent l="0" r="0" t="0" b="0"/>
            <wp:wrapTopAndBottom/>
            <wp:docPr id="782" name="index-747_2.png" descr="index-747_2.png"/>
            <wp:cNvGraphicFramePr>
              <a:graphicFrameLocks noChangeAspect="1"/>
            </wp:cNvGraphicFramePr>
            <a:graphic>
              <a:graphicData uri="http://schemas.openxmlformats.org/drawingml/2006/picture">
                <pic:pic>
                  <pic:nvPicPr>
                    <pic:cNvPr id="0" name="index-747_2.png" descr="index-747_2.png"/>
                    <pic:cNvPicPr/>
                  </pic:nvPicPr>
                  <pic:blipFill>
                    <a:blip r:embed="rId786"/>
                    <a:stretch>
                      <a:fillRect/>
                    </a:stretch>
                  </pic:blipFill>
                  <pic:spPr>
                    <a:xfrm>
                      <a:off x="0" y="0"/>
                      <a:ext cx="3670300" cy="1117600"/>
                    </a:xfrm>
                    <a:prstGeom prst="rect">
                      <a:avLst/>
                    </a:prstGeom>
                  </pic:spPr>
                </pic:pic>
              </a:graphicData>
            </a:graphic>
          </wp:anchor>
        </w:drawing>
      </w:r>
    </w:p>
    <w:p>
      <w:pPr>
        <w:pStyle w:val="Para 17"/>
      </w:pPr>
      <w:r>
        <w:t/>
      </w:r>
    </w:p>
    <w:p>
      <w:pPr>
        <w:pStyle w:val="Normal"/>
      </w:pPr>
      <w:r>
        <w:t>This is the case if you install the BIND9 DNS server: The default configuration is to act as a Validating Resolver, by having the dnssec-validation auto option implicitly enabled.</w:t>
      </w:r>
    </w:p>
    <w:p>
      <w:pPr>
        <w:pStyle w:val="Para 08"/>
      </w:pPr>
      <w:r>
        <w:t>Note:</w:t>
      </w:r>
    </w:p>
    <w:p>
      <w:pPr>
        <w:pStyle w:val="Para 03"/>
      </w:pPr>
      <w:r>
        <w:t>Up to Ubuntu 24.04 LTS (version 1:9.18.34-1) the default was explicitly stated as dnssec-</w:t>
      </w:r>
    </w:p>
    <w:p>
      <w:pPr>
        <w:pStyle w:val="Para 03"/>
      </w:pPr>
      <w:r>
        <w:t>validation auto; in /etc/bind/named.conf.options.</w:t>
      </w:r>
    </w:p>
    <w:p>
      <w:pPr>
        <w:pStyle w:val="Para 17"/>
      </w:pPr>
      <w:r>
        <w:t/>
      </w:r>
    </w:p>
    <w:p>
      <w:pPr>
        <w:pStyle w:val="Normal"/>
      </w:pPr>
      <w:r>
        <w:t>A critical aspect of this deployment model is the trust in the network segment between the stub resolver and the Validating Resolver. If this network is compromised, the security ben-efits of DNSSEC can be undermined. While the Validating Resolver performs DNSSEC checks and returns only verified responses, the response could still be tampered with on the final (“last mile”) network segment.</w:t>
      </w:r>
    </w:p>
    <w:p>
      <w:pPr>
        <w:pStyle w:val="Normal"/>
      </w:pPr>
      <w:r>
        <w:t>This is where the trust-ad setting from /etc/resolv.conf comes into play:</w:t>
      </w:r>
    </w:p>
    <w:p>
      <w:pPr>
        <w:pStyle w:val="Normal"/>
      </w:pPr>
      <w:r>
        <w:t>nameserver 127.0.0.53</w:t>
      </w:r>
    </w:p>
    <w:p>
      <w:pPr>
        <w:pStyle w:val="Normal"/>
      </w:pPr>
      <w:r>
        <w:t>options edns0 trust-ad</w:t>
      </w:r>
    </w:p>
    <w:p>
      <w:pPr>
        <w:pStyle w:val="Para 17"/>
      </w:pPr>
      <w:r>
        <w:t/>
      </w:r>
    </w:p>
    <w:p>
      <w:pPr>
        <w:pStyle w:val="Normal"/>
      </w:pPr>
      <w:r>
        <w:t xml:space="preserve">The </w:t>
      </w:r>
      <w:hyperlink w:anchor="page_747">
        <w:r>
          <w:rPr>
            <w:rStyle w:val="Text9"/>
          </w:rPr>
          <w:t>744</w:t>
        </w:r>
      </w:hyperlink>
      <w:r>
        <w:t xml:space="preserve"> trust-ad setting is documented in the </w:t>
      </w:r>
      <w:hyperlink r:id="rId1636">
        <w:r>
          <w:rPr>
            <w:rStyle w:val="Text2"/>
          </w:rPr>
          <w:t>resolv.conf(5)</w:t>
        </w:r>
      </w:hyperlink>
      <w:r>
        <w:t xml:space="preserve"> manual page. It means that the local resolver will:</w:t>
      </w:r>
    </w:p>
    <w:p>
      <w:pPr>
        <w:pStyle w:val="Para 04"/>
      </w:pPr>
      <w:r>
        <w:t>• Set the ad bit (Authenticated Data) in the outgoing queries.</w:t>
      </w:r>
    </w:p>
    <w:p>
      <w:pPr>
        <w:pStyle w:val="Para 04"/>
      </w:pPr>
      <w:r>
        <w:t>• Trust the ad bit in the responses from the specified nameserver.</w:t>
      </w:r>
    </w:p>
    <w:p>
      <w:pPr>
        <w:pStyle w:val="Normal"/>
      </w:pPr>
      <w:r>
        <w:t>When the ad bit is set in a DNS response, it means that DNSSEC validation was performed and successful. The data was authenticated.</w:t>
      </w:r>
    </w:p>
    <w:p>
      <w:pPr>
        <w:pStyle w:val="Normal"/>
      </w:pPr>
      <w:r>
        <w:t>Specifying trust-ad in /etc/resolv.conf implies these assumptions:</w:t>
      </w:r>
    </w:p>
    <w:p>
      <w:pPr>
        <w:pStyle w:val="Para 03"/>
      </w:pPr>
      <w:r>
        <w:rPr>
          <w:rStyle w:val="Text5"/>
        </w:rPr>
        <w:t>744</w:t>
      </w:r>
      <w:r>
        <w:t xml:space="preserve"> </w:t>
      </w:r>
      <w:r>
        <w:rPr>
          <w:rStyle w:val="Text6"/>
        </w:rPr>
        <w:t>https://manpages.ubuntu.com/manpages/resolute/man5/resolv.conf.5.html</w:t>
      </w:r>
      <w:r>
        <w:t xml:space="preserve"> Without local DNSSEC validation. First, let’s show it’s disabled indeed:</w:t>
      </w:r>
    </w:p>
    <w:p>
      <w:bookmarkStart w:id="1182" w:name="page_7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3" name="index-748_1.png" descr="index-748_1.png"/>
            <wp:cNvGraphicFramePr>
              <a:graphicFrameLocks noChangeAspect="1"/>
            </wp:cNvGraphicFramePr>
            <a:graphic>
              <a:graphicData uri="http://schemas.openxmlformats.org/drawingml/2006/picture">
                <pic:pic>
                  <pic:nvPicPr>
                    <pic:cNvPr id="0" name="index-748_1.png" descr="index-748_1.png"/>
                    <pic:cNvPicPr/>
                  </pic:nvPicPr>
                  <pic:blipFill>
                    <a:blip r:embed="rId787"/>
                    <a:stretch>
                      <a:fillRect/>
                    </a:stretch>
                  </pic:blipFill>
                  <pic:spPr>
                    <a:xfrm>
                      <a:off x="0" y="0"/>
                      <a:ext cx="914400" cy="266700"/>
                    </a:xfrm>
                    <a:prstGeom prst="rect">
                      <a:avLst/>
                    </a:prstGeom>
                  </pic:spPr>
                </pic:pic>
              </a:graphicData>
            </a:graphic>
          </wp:anchor>
        </w:drawing>
      </w:r>
      <w:bookmarkEnd w:id="1182"/>
    </w:p>
    <w:p>
      <w:pPr>
        <w:pStyle w:val="Para 04"/>
      </w:pPr>
      <w:r>
        <w:t>• The 127.0.0.53 name server is trusted to set the ad flag correctly in its responses. If it</w:t>
      </w:r>
    </w:p>
    <w:p>
      <w:pPr>
        <w:pStyle w:val="Para 02"/>
      </w:pPr>
      <w:r>
        <w:t>performs DNSSEC validation, it is trusted to perform this validation correctly, and set the ad flag accordingly. If it does not perform DNSSEC validation, then the ad flag will always be unset in the responses.</w:t>
      </w:r>
    </w:p>
    <w:p>
      <w:pPr>
        <w:pStyle w:val="Para 04"/>
      </w:pPr>
      <w:r>
        <w:t>• The network path between localhost and 127.0.0.53 is trusted.</w:t>
      </w:r>
    </w:p>
    <w:p>
      <w:pPr>
        <w:pStyle w:val="Normal"/>
      </w:pPr>
      <w:r>
        <w:t>When using systemd-resolved as a stub resolver, as configured above, the network path to the local DNS resolver is inherently trusted, as it is a localhost interface. However, the actual nameserver used is not 127.0.0.53; it depends on systemd-resolved’s configuration. Unless local DNSSEC validation is enabled, systemd-resolved will strip the ad bit from queries sent to the Validating Resolver and from the received responses.</w:t>
      </w:r>
    </w:p>
    <w:p>
      <w:pPr>
        <w:pStyle w:val="Normal"/>
      </w:pPr>
      <w:r>
        <w:t>This is the default case in Ubuntu systems.</w:t>
      </w:r>
    </w:p>
    <w:p>
      <w:pPr>
        <w:pStyle w:val="Normal"/>
      </w:pPr>
      <w:r>
        <w:t>Another valid configuration is to not use systemd-resolved, but rather point at the Validating Resolver of the network directly, like in this example:</w:t>
      </w:r>
    </w:p>
    <w:p>
      <w:pPr>
        <w:pStyle w:val="Normal"/>
      </w:pPr>
      <w:r>
        <w:t>nameserver 10.10.17.11</w:t>
      </w:r>
    </w:p>
    <w:p>
      <w:pPr>
        <w:pStyle w:val="Normal"/>
      </w:pPr>
      <w:r>
        <w:t>options edns0 trust-ad</w:t>
      </w:r>
    </w:p>
    <w:p>
      <w:pPr>
        <w:pStyle w:val="Para 17"/>
      </w:pPr>
      <w:r>
        <w:t/>
      </w:r>
    </w:p>
    <w:p>
      <w:pPr>
        <w:pStyle w:val="Normal"/>
      </w:pPr>
      <w:r>
        <w:t>The trust-ad configuration functions similarly to the previous scenario. The ad bit is set in outgoing queries, and the resolver trusts the ad bit in incoming responses. However, in this case, the nameserver is located at a different IP address on the network. This configuration relies on the same assumptions as before:</w:t>
      </w:r>
    </w:p>
    <w:p>
      <w:pPr>
        <w:pStyle w:val="Para 04"/>
      </w:pPr>
      <w:r>
        <w:t>• The 10.10.17.11 name server is trusted to perform DNSSEC validation and set the ad</w:t>
      </w:r>
    </w:p>
    <w:p>
      <w:pPr>
        <w:pStyle w:val="Para 02"/>
      </w:pPr>
      <w:r>
        <w:t>flag accordingly in its responses.</w:t>
      </w:r>
    </w:p>
    <w:p>
      <w:pPr>
        <w:pStyle w:val="Para 04"/>
      </w:pPr>
      <w:r>
        <w:t>• The network path between localhost and 10.10.17.11 is trusted.</w:t>
      </w:r>
    </w:p>
    <w:p>
      <w:pPr>
        <w:pStyle w:val="Normal"/>
      </w:pPr>
      <w:r>
        <w:t>As these assumptions have a higher chance of not being true, this is not the default configu-ration.</w:t>
      </w:r>
    </w:p>
    <w:p>
      <w:pPr>
        <w:pStyle w:val="Normal"/>
      </w:pPr>
      <w:r>
        <w:t>In any case, having a Validating Resolver in the network is a valid and very useful scenario, and good enough for most cases. And it has the extra benefit that the DNSSEC validation is done only once, at the resolver, for all clients on the network.</w:t>
      </w:r>
    </w:p>
    <w:p>
      <w:pPr>
        <w:pStyle w:val="Para 17"/>
      </w:pPr>
      <w:r>
        <w:t/>
      </w:r>
    </w:p>
    <w:p>
      <w:pPr>
        <w:pStyle w:val="Para 01"/>
      </w:pPr>
      <w:r>
        <w:t>Local DNSSEC validation</w:t>
      </w:r>
    </w:p>
    <w:p>
      <w:pPr>
        <w:pStyle w:val="Para 17"/>
      </w:pPr>
      <w:r>
        <w:t/>
      </w:r>
    </w:p>
    <w:p>
      <w:pPr>
        <w:pStyle w:val="Normal"/>
      </w:pPr>
      <w:r>
        <w:t>Some stub resolvers, such as systemd-resolved, can perform DNSSEC validation locally. This eliminates the risk of network attacks between the resolver and the client, as they reside on the same system. However, local DNSSEC validation introduces additional overhead in the form of multiple DNS queries. For each DNS query, the resolver must fetch the desired record, its digital signature, and the corresponding public key. This process can increase la-tency, and with multiple clients on the same network requesting the same records, that’s duplicated work.</w:t>
      </w:r>
    </w:p>
    <w:p>
      <w:pPr>
        <w:pStyle w:val="Normal"/>
      </w:pPr>
      <w:r>
        <w:t>In general, local DNSSEC validation is still the more secure approach, validating and authenti-cating the DNS resource records end-to-end, without the need to trust any DNS server along</w:t>
      </w:r>
    </w:p>
    <w:p>
      <w:pPr>
        <w:pStyle w:val="Normal"/>
      </w:pPr>
      <w:r>
        <w:t xml:space="preserve">the way. Besides this, </w:t>
      </w:r>
      <w:hyperlink w:anchor="page_679">
        <w:r>
          <w:rPr>
            <w:rStyle w:val="Text2"/>
          </w:rPr>
          <w:t>DNS-over-TLS (DoT)</w:t>
        </w:r>
      </w:hyperlink>
      <w:r>
        <w:t xml:space="preserve"> or </w:t>
      </w:r>
      <w:hyperlink w:anchor="page_680">
        <w:r>
          <w:rPr>
            <w:rStyle w:val="Text2"/>
          </w:rPr>
          <w:t>DNS-over-HTTPS (DoH)</w:t>
        </w:r>
      </w:hyperlink>
      <w:r>
        <w:t xml:space="preserve"> could be used to increase privacy, by encrypting the DNS connection between your local client and the remote Recur-sive Resolver.</w:t>
      </w:r>
    </w:p>
    <w:p>
      <w:pPr>
        <w:pStyle w:val="Normal"/>
      </w:pPr>
      <w:r>
        <w:t>As an example, let’s perform the same query using systemd-resolved with and without local DNSSEC validation enabled.</w:t>
      </w:r>
    </w:p>
    <w:p>
      <w:bookmarkStart w:id="1183" w:name="page_7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4" name="index-749_1.png" descr="index-749_1.png"/>
            <wp:cNvGraphicFramePr>
              <a:graphicFrameLocks noChangeAspect="1"/>
            </wp:cNvGraphicFramePr>
            <a:graphic>
              <a:graphicData uri="http://schemas.openxmlformats.org/drawingml/2006/picture">
                <pic:pic>
                  <pic:nvPicPr>
                    <pic:cNvPr id="0" name="index-749_1.png" descr="index-749_1.png"/>
                    <pic:cNvPicPr/>
                  </pic:nvPicPr>
                  <pic:blipFill>
                    <a:blip r:embed="rId788"/>
                    <a:stretch>
                      <a:fillRect/>
                    </a:stretch>
                  </pic:blipFill>
                  <pic:spPr>
                    <a:xfrm>
                      <a:off x="0" y="0"/>
                      <a:ext cx="914400" cy="266700"/>
                    </a:xfrm>
                    <a:prstGeom prst="rect">
                      <a:avLst/>
                    </a:prstGeom>
                  </pic:spPr>
                </pic:pic>
              </a:graphicData>
            </a:graphic>
          </wp:anchor>
        </w:drawing>
      </w:r>
      <w:bookmarkEnd w:id="1183"/>
    </w:p>
    <w:p>
      <w:pPr>
        <w:pStyle w:val="Normal"/>
      </w:pPr>
      <w:r>
        <w:t>$ resolvectl dnssec</w:t>
      </w:r>
    </w:p>
    <w:p>
      <w:pPr>
        <w:pStyle w:val="Normal"/>
      </w:pPr>
      <w:r>
        <w:t>Global: no</w:t>
      </w:r>
    </w:p>
    <w:p>
      <w:pPr>
        <w:pStyle w:val="Normal"/>
      </w:pPr>
      <w:r>
        <w:t>Link 44 (eth0): no</w:t>
      </w:r>
    </w:p>
    <w:p>
      <w:pPr>
        <w:pStyle w:val="Para 17"/>
      </w:pPr>
      <w:r>
        <w:t/>
      </w:r>
    </w:p>
    <w:p>
      <w:pPr>
        <w:pStyle w:val="Normal"/>
      </w:pPr>
      <w:r>
        <w:t>Now we perform the query:</w:t>
      </w:r>
    </w:p>
    <w:p>
      <w:pPr>
        <w:pStyle w:val="Normal"/>
      </w:pPr>
      <w:r>
        <w:t>$ resolvectl query --type=MX isc.org</w:t>
      </w:r>
    </w:p>
    <w:p>
      <w:pPr>
        <w:pStyle w:val="Normal"/>
      </w:pPr>
      <w:r>
        <w:t>isc.org IN MX 10 mx.ams1.isc.org</w:t>
        <w:t xml:space="preserve"> </w:t>
        <w:t>-- link: eth0</w:t>
        <w:t xml:space="preserve"> </w:t>
        <w:t>isc.org IN MX 5 mx.pao1.isc.org</w:t>
        <w:t xml:space="preserve"> </w:t>
        <w:t>-- link: eth0</w:t>
      </w:r>
    </w:p>
    <w:p>
      <w:pPr>
        <w:pStyle w:val="Normal"/>
      </w:pPr>
      <w:r>
        <w:t>-- Information acquired via protocol DNS in 37.2ms.</w:t>
      </w:r>
    </w:p>
    <w:p>
      <w:pPr>
        <w:pStyle w:val="Normal"/>
      </w:pPr>
      <w:r>
        <w:t>-- Data is authenticated: no; Data was acquired via local or encrypted transport: no</w:t>
        <w:t>-- Data from: network</w:t>
      </w:r>
    </w:p>
    <w:p>
      <w:pPr>
        <w:pStyle w:val="Para 17"/>
      </w:pPr>
      <w:r>
        <w:t/>
      </w:r>
    </w:p>
    <w:p>
      <w:pPr>
        <w:pStyle w:val="Normal"/>
      </w:pPr>
      <w:r>
        <w:t>Notice the Data is authenticated: no in the result.</w:t>
      </w:r>
    </w:p>
    <w:p>
      <w:pPr>
        <w:pStyle w:val="Normal"/>
      </w:pPr>
      <w:r>
        <w:t>Now we enable local DNSSEC validation:</w:t>
      </w:r>
    </w:p>
    <w:p>
      <w:pPr>
        <w:pStyle w:val="Normal"/>
      </w:pPr>
      <w:r>
        <w:t>$ sudo resolvectl dnssec eth0 true</w:t>
      </w:r>
    </w:p>
    <w:p>
      <w:pPr>
        <w:pStyle w:val="Para 17"/>
      </w:pPr>
      <w:r>
        <w:t/>
      </w:r>
    </w:p>
    <w:p>
      <w:pPr>
        <w:pStyle w:val="Normal"/>
      </w:pPr>
      <w:r>
        <w:t>And repeat the query:</w:t>
      </w:r>
    </w:p>
    <w:p>
      <w:pPr>
        <w:pStyle w:val="Normal"/>
      </w:pPr>
      <w:r>
        <w:t>$ resolvectl query --type=MX isc.org</w:t>
      </w:r>
    </w:p>
    <w:p>
      <w:pPr>
        <w:pStyle w:val="Normal"/>
      </w:pPr>
      <w:r>
        <w:t>isc.org IN MX 5 mx.pao1.isc.org</w:t>
        <w:t xml:space="preserve"> </w:t>
        <w:t>-- link: eth0</w:t>
        <w:t xml:space="preserve"> </w:t>
        <w:t>isc.org IN MX 10 mx.ams1.isc.org</w:t>
        <w:t xml:space="preserve"> </w:t>
        <w:t>-- link: eth0</w:t>
      </w:r>
    </w:p>
    <w:p>
      <w:pPr>
        <w:pStyle w:val="Normal"/>
      </w:pPr>
      <w:r>
        <w:t>-- Information acquired via protocol DNS in 3.0ms.</w:t>
      </w:r>
    </w:p>
    <w:p>
      <w:pPr>
        <w:pStyle w:val="Normal"/>
      </w:pPr>
      <w:r>
        <w:t>-- Data is authenticated: yes; Data was acquired via local or encrypted transport: no</w:t>
        <w:t>-- Data from: network</w:t>
      </w:r>
    </w:p>
    <w:p>
      <w:pPr>
        <w:pStyle w:val="Para 17"/>
      </w:pPr>
      <w:r>
        <w:t/>
      </w:r>
    </w:p>
    <w:p>
      <w:pPr>
        <w:pStyle w:val="Normal"/>
      </w:pPr>
      <w:r>
        <w:t>There is a tiny difference in the output:</w:t>
      </w:r>
    </w:p>
    <w:p>
      <w:pPr>
        <w:pStyle w:val="Normal"/>
      </w:pPr>
      <w:r>
        <w:t>-- Data is authenticated: yes</w:t>
      </w:r>
    </w:p>
    <w:p>
      <w:pPr>
        <w:pStyle w:val="Para 17"/>
      </w:pPr>
      <w:r>
        <w:t/>
      </w:r>
    </w:p>
    <w:p>
      <w:pPr>
        <w:pStyle w:val="Normal"/>
      </w:pPr>
      <w:r>
        <w:t>This shows that local DNSSEC validation was applied, and the result is authenticated.</w:t>
      </w:r>
    </w:p>
    <w:p>
      <w:pPr>
        <w:pStyle w:val="Para 17"/>
      </w:pPr>
      <w:r>
        <w:t/>
      </w:r>
    </w:p>
    <w:p>
      <w:pPr>
        <w:pStyle w:val="Para 01"/>
      </w:pPr>
      <w:r>
        <w:t>What happens when DNSSEC validation fails</w:t>
      </w:r>
    </w:p>
    <w:p>
      <w:pPr>
        <w:pStyle w:val="Para 17"/>
      </w:pPr>
      <w:r>
        <w:t/>
      </w:r>
    </w:p>
    <w:p>
      <w:pPr>
        <w:pStyle w:val="Normal"/>
      </w:pPr>
      <w:r>
        <w:t>When DNSSEC validation fails, how this error is presented to the user depends on multiple factors.</w:t>
      </w:r>
    </w:p>
    <w:p>
      <w:pPr>
        <w:pStyle w:val="Normal"/>
      </w:pPr>
      <w:r>
        <w:t>For example, if the DNS client is not performing DNSSEC validation, and relying on a Validat-ing Resolver for that, typically what the client will see is a generic failure. For example:</w:t>
      </w:r>
    </w:p>
    <w:p>
      <w:pPr>
        <w:pStyle w:val="Normal"/>
      </w:pPr>
      <w:r>
        <w:t>$ resolvectl query www.dnssec-failed.org</w:t>
      </w:r>
    </w:p>
    <w:p>
      <w:pPr>
        <w:pStyle w:val="Normal"/>
      </w:pPr>
      <w:r>
        <w:t>www.dnssec-failed.org: resolve call failed: Could not resolve 'www.dnssec-failed.org',</w:t>
        <w:t xml:space="preserve"> </w:t>
        <w:t>server or network returned error SERVFAIL</w:t>
      </w:r>
    </w:p>
    <w:p>
      <w:pPr>
        <w:pStyle w:val="Para 17"/>
      </w:pPr>
      <w:r>
        <w:t/>
      </w:r>
    </w:p>
    <w:p>
      <w:pPr>
        <w:pStyle w:val="Normal"/>
      </w:pPr>
      <w:r>
        <w:t>The Validating Resolver logs, however, will have more details about what happened:</w:t>
      </w:r>
    </w:p>
    <w:p>
      <w:pPr>
        <w:pStyle w:val="Normal"/>
      </w:pPr>
      <w:r>
        <w:t>Oct 22 17:14:50 n-dns named[285]: validating dnssec-failed.org/DNSKEY: no valid signature</w:t>
        <w:t xml:space="preserve"> </w:t>
        <w:t>found (DS)</w:t>
      </w:r>
    </w:p>
    <w:p>
      <w:pPr>
        <w:pStyle w:val="Normal"/>
      </w:pPr>
      <w:r>
        <w:t>Oct 22 17:14:50 n-dns named[285]: no valid RRSIG resolving 'dnssec-failed.org/DNSKEY/IN':</w:t>
        <w:t xml:space="preserve"> </w:t>
        <w:t>68.87.68.244#53</w:t>
      </w:r>
    </w:p>
    <w:p>
      <w:pPr>
        <w:pStyle w:val="Para 09"/>
      </w:pPr>
      <w:r>
        <w:t>(continues on next page)</w:t>
      </w:r>
    </w:p>
    <w:p>
      <w:bookmarkStart w:id="1184" w:name="page_7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5" name="index-750_1.png" descr="index-750_1.png"/>
            <wp:cNvGraphicFramePr>
              <a:graphicFrameLocks noChangeAspect="1"/>
            </wp:cNvGraphicFramePr>
            <a:graphic>
              <a:graphicData uri="http://schemas.openxmlformats.org/drawingml/2006/picture">
                <pic:pic>
                  <pic:nvPicPr>
                    <pic:cNvPr id="0" name="index-750_1.png" descr="index-750_1.png"/>
                    <pic:cNvPicPr/>
                  </pic:nvPicPr>
                  <pic:blipFill>
                    <a:blip r:embed="rId789"/>
                    <a:stretch>
                      <a:fillRect/>
                    </a:stretch>
                  </pic:blipFill>
                  <pic:spPr>
                    <a:xfrm>
                      <a:off x="0" y="0"/>
                      <a:ext cx="914400" cy="266700"/>
                    </a:xfrm>
                    <a:prstGeom prst="rect">
                      <a:avLst/>
                    </a:prstGeom>
                  </pic:spPr>
                </pic:pic>
              </a:graphicData>
            </a:graphic>
          </wp:anchor>
        </w:drawing>
      </w:r>
      <w:bookmarkEnd w:id="1184"/>
    </w:p>
    <w:p>
      <w:pPr>
        <w:pStyle w:val="Para 09"/>
      </w:pPr>
      <w:r>
        <w:t>(continued from previous page)</w:t>
      </w:r>
    </w:p>
    <w:p>
      <w:pPr>
        <w:pStyle w:val="Normal"/>
      </w:pPr>
      <w:r>
        <w:t>...</w:t>
      </w:r>
    </w:p>
    <w:p>
      <w:pPr>
        <w:pStyle w:val="Normal"/>
      </w:pPr>
      <w:r>
        <w:t>Oct 22 17:14:52 n-dns named[285]: broken trust chain resolving 'www.dnssec-failed.org/</w:t>
        <w:t xml:space="preserve"> </w:t>
        <w:t>AAAA/IN': 68.87.72.244#53</w:t>
      </w:r>
    </w:p>
    <w:p>
      <w:pPr>
        <w:pStyle w:val="Para 17"/>
      </w:pPr>
      <w:r>
        <w:t/>
      </w:r>
    </w:p>
    <w:p>
      <w:pPr>
        <w:pStyle w:val="Normal"/>
      </w:pPr>
      <w:r>
        <w:t>In contrast, when DNSSEC validation is being performed locally, the error is more specific:</w:t>
      </w:r>
    </w:p>
    <w:p>
      <w:pPr>
        <w:pStyle w:val="Normal"/>
      </w:pPr>
      <w:r>
        <w:t>$ sudo resolvectl dnssec eth0 true</w:t>
      </w:r>
    </w:p>
    <w:p>
      <w:pPr>
        <w:pStyle w:val="Normal"/>
      </w:pPr>
      <w:r>
        <w:t>$ resolvectl query www.dnssec-failed.org</w:t>
      </w:r>
    </w:p>
    <w:p>
      <w:pPr>
        <w:pStyle w:val="Normal"/>
      </w:pPr>
      <w:r>
        <w:t>www.dnssec-failed.org: resolve call failed: DNSSEC validation failed: no-signature</w:t>
      </w:r>
    </w:p>
    <w:p>
      <w:pPr>
        <w:pStyle w:val="Para 17"/>
      </w:pPr>
      <w:r>
        <w:t/>
      </w:r>
    </w:p>
    <w:p>
      <w:pPr>
        <w:pStyle w:val="Normal"/>
      </w:pPr>
      <w:r>
        <w:t>But even when the validation is local, simpler clients might not get the full picture, and still just return a generic error:</w:t>
      </w:r>
    </w:p>
    <w:p>
      <w:pPr>
        <w:pStyle w:val="Normal"/>
      </w:pPr>
      <w:r>
        <w:t>$ host www.dnssec-failed.org</w:t>
      </w:r>
    </w:p>
    <w:p>
      <w:pPr>
        <w:pStyle w:val="Normal"/>
      </w:pPr>
      <w:r>
        <w:t>Host www.dnssec-failed.org not found: 2(SERVFAIL)</w:t>
      </w:r>
    </w:p>
    <w:p>
      <w:pPr>
        <w:pStyle w:val="Para 17"/>
      </w:pPr>
      <w:r>
        <w:t/>
      </w:r>
    </w:p>
    <w:p>
      <w:pPr>
        <w:pStyle w:val="Para 01"/>
      </w:pPr>
      <w:r>
        <w:t>Further reading</w:t>
      </w:r>
    </w:p>
    <w:p>
      <w:pPr>
        <w:pStyle w:val="Para 17"/>
      </w:pPr>
      <w:r>
        <w:t/>
      </w:r>
    </w:p>
    <w:p>
      <w:pPr>
        <w:pStyle w:val="Para 13"/>
      </w:pPr>
      <w:r>
        <w:rPr>
          <w:rStyle w:val="Text7"/>
        </w:rPr>
        <w:t xml:space="preserve">• </w:t>
      </w:r>
      <w:hyperlink w:anchor="page_750">
        <w:r>
          <w:rPr>
            <w:rStyle w:val="Text10"/>
          </w:rPr>
          <w:t>745</w:t>
        </w:r>
      </w:hyperlink>
      <w:r>
        <w:rPr>
          <w:rStyle w:val="Text7"/>
        </w:rPr>
        <w:t xml:space="preserve"> </w:t>
      </w:r>
      <w:hyperlink r:id="rId1637">
        <w:r>
          <w:t>DNSSEC - What Is It and Why Is It Important</w:t>
        </w:r>
      </w:hyperlink>
    </w:p>
    <w:p>
      <w:pPr>
        <w:pStyle w:val="Para 13"/>
      </w:pPr>
      <w:r>
        <w:rPr>
          <w:rStyle w:val="Text7"/>
        </w:rPr>
        <w:t xml:space="preserve">• </w:t>
      </w:r>
      <w:hyperlink r:id="rId1638">
        <w:r>
          <w:rPr>
            <w:rStyle w:val="Text10"/>
          </w:rPr>
          <w:t>746</w:t>
        </w:r>
      </w:hyperlink>
      <w:hyperlink r:id="rId1638">
        <w:r>
          <w:t xml:space="preserve"> Tool to visualize the DNSSEC chain of trust of a domain</w:t>
        </w:r>
      </w:hyperlink>
    </w:p>
    <w:p>
      <w:pPr>
        <w:pStyle w:val="Para 13"/>
      </w:pPr>
      <w:r>
        <w:rPr>
          <w:rStyle w:val="Text7"/>
        </w:rPr>
        <w:t xml:space="preserve">• </w:t>
      </w:r>
      <w:hyperlink w:anchor="page_750">
        <w:r>
          <w:rPr>
            <w:rStyle w:val="Text10"/>
          </w:rPr>
          <w:t>747</w:t>
        </w:r>
      </w:hyperlink>
      <w:r>
        <w:rPr>
          <w:rStyle w:val="Text7"/>
        </w:rPr>
        <w:t xml:space="preserve"> </w:t>
      </w:r>
      <w:hyperlink r:id="rId1639">
        <w:r>
          <w:t>DANE</w:t>
        </w:r>
      </w:hyperlink>
    </w:p>
    <w:p>
      <w:pPr>
        <w:pStyle w:val="Para 04"/>
      </w:pPr>
      <w:r>
        <w:t xml:space="preserve">• </w:t>
      </w:r>
      <w:hyperlink r:id="rId1640">
        <w:r>
          <w:rPr>
            <w:rStyle w:val="Text9"/>
          </w:rPr>
          <w:t>748</w:t>
        </w:r>
      </w:hyperlink>
      <w:hyperlink r:id="rId1640">
        <w:r>
          <w:rPr>
            <w:rStyle w:val="Text1"/>
          </w:rPr>
          <w:t xml:space="preserve"> RFC 4255</w:t>
        </w:r>
      </w:hyperlink>
      <w:r>
        <w:t>- Using DNS to Securely Publish Secure Shell (SSH) Key Fingerprints</w:t>
      </w:r>
    </w:p>
    <w:p>
      <w:pPr>
        <w:pStyle w:val="Para 14"/>
      </w:pPr>
      <w:r>
        <w:rPr>
          <w:rStyle w:val="Text4"/>
        </w:rPr>
        <w:t xml:space="preserve">• </w:t>
      </w:r>
      <w:hyperlink w:anchor="page_254">
        <w:r>
          <w:t>Basic DNSSEC troubleshooting</w:t>
        </w:r>
      </w:hyperlink>
      <w:r>
        <w:rPr>
          <w:rStyle w:val="Text4"/>
        </w:rPr>
        <w:t xml:space="preserve"> (page 253)</w:t>
      </w:r>
    </w:p>
    <w:p>
      <w:pPr>
        <w:pStyle w:val="Para 17"/>
      </w:pPr>
      <w:r>
        <w:t/>
      </w:r>
    </w:p>
    <w:p>
      <w:pPr>
        <w:pStyle w:val="Para 01"/>
      </w:pPr>
      <w:r>
        <w:t>Cryptography</w:t>
      </w:r>
    </w:p>
    <w:p>
      <w:pPr>
        <w:pStyle w:val="Para 17"/>
      </w:pPr>
      <w:r>
        <w:t/>
      </w:r>
    </w:p>
    <w:p>
      <w:pPr>
        <w:pStyle w:val="Para 04"/>
      </w:pPr>
      <w:r>
        <w:t xml:space="preserve">• </w:t>
      </w:r>
      <w:hyperlink w:anchor="page_750">
        <w:r>
          <w:rPr>
            <w:rStyle w:val="Text2"/>
          </w:rPr>
          <w:t>Our cryptography section</w:t>
        </w:r>
      </w:hyperlink>
      <w:r>
        <w:t xml:space="preserve"> (page 749) explains in detail about the different cryptographic</w:t>
      </w:r>
    </w:p>
    <w:p>
      <w:pPr>
        <w:pStyle w:val="Para 02"/>
      </w:pPr>
      <w:r>
        <w:t>libraries and configurations you might encounter.</w:t>
      </w:r>
    </w:p>
    <w:p>
      <w:pPr>
        <w:pStyle w:val="Para 04"/>
      </w:pPr>
      <w:r>
        <w:t xml:space="preserve">• </w:t>
      </w:r>
      <w:hyperlink w:anchor="page_791">
        <w:r>
          <w:rPr>
            <w:rStyle w:val="Text2"/>
          </w:rPr>
          <w:t>Certificates</w:t>
        </w:r>
      </w:hyperlink>
      <w:r>
        <w:t xml:space="preserve"> (page 790) are issued, stored and signed by a Certificate Authority (CA) to</w:t>
      </w:r>
    </w:p>
    <w:p>
      <w:pPr>
        <w:pStyle w:val="Para 02"/>
      </w:pPr>
      <w:r>
        <w:t>create trusted connections.</w:t>
      </w:r>
    </w:p>
    <w:p>
      <w:pPr>
        <w:pStyle w:val="Para 17"/>
      </w:pPr>
      <w:r>
        <w:t/>
      </w:r>
    </w:p>
    <w:p>
      <w:pPr>
        <w:pStyle w:val="Para 01"/>
      </w:pPr>
      <w:r>
        <w:t>Cryptography</w:t>
      </w:r>
    </w:p>
    <w:p>
      <w:pPr>
        <w:pStyle w:val="Para 17"/>
      </w:pPr>
      <w:r>
        <w:t/>
      </w:r>
    </w:p>
    <w:p>
      <w:pPr>
        <w:pStyle w:val="Para 01"/>
      </w:pPr>
      <w:r>
        <w:t>Introduction to cryptographic libraries</w:t>
      </w:r>
    </w:p>
    <w:p>
      <w:pPr>
        <w:pStyle w:val="Para 17"/>
      </w:pPr>
      <w:r>
        <w:t/>
      </w:r>
    </w:p>
    <w:p>
      <w:pPr>
        <w:pStyle w:val="Normal"/>
      </w:pPr>
      <w:r>
        <w:t>When choosing a crypto library, the following aspects should be considered to maintain secu-rity and compliance. Typically, you will want to answer questions such as: How can we ensure legacy crypto systems with known vulnerabilities are not being used? How can we enforce minimum key size requirements? And what criteria should we use to accept X.509 certificates when connecting to remote servers?</w:t>
      </w:r>
    </w:p>
    <w:p>
      <w:pPr>
        <w:pStyle w:val="Para 05"/>
      </w:pPr>
      <w:r>
        <w:rPr>
          <w:rStyle w:val="Text5"/>
        </w:rPr>
        <w:t>745</w:t>
      </w:r>
      <w:r>
        <w:rPr>
          <w:rStyle w:val="Text8"/>
        </w:rPr>
        <w:t xml:space="preserve"> </w:t>
      </w:r>
      <w:r>
        <w:t>https://www.icann.org/resources/pages/dnssec-what-is-it-why-important-2019-03-05-en</w:t>
      </w:r>
    </w:p>
    <w:p>
      <w:pPr>
        <w:pStyle w:val="Para 05"/>
      </w:pPr>
      <w:r>
        <w:rPr>
          <w:rStyle w:val="Text5"/>
        </w:rPr>
        <w:t>746</w:t>
      </w:r>
      <w:r>
        <w:rPr>
          <w:rStyle w:val="Text8"/>
        </w:rPr>
        <w:t xml:space="preserve"> </w:t>
      </w:r>
      <w:r>
        <w:t>https://dnsviz.net/</w:t>
      </w:r>
    </w:p>
    <w:p>
      <w:pPr>
        <w:pStyle w:val="Para 05"/>
      </w:pPr>
      <w:r>
        <w:rPr>
          <w:rStyle w:val="Text5"/>
        </w:rPr>
        <w:t>747</w:t>
      </w:r>
      <w:r>
        <w:rPr>
          <w:rStyle w:val="Text8"/>
        </w:rPr>
        <w:t xml:space="preserve"> </w:t>
      </w:r>
      <w:r>
        <w:t>https://en.wikipedia.org/wiki/DNS-based_Authentication_of_Named_Entities</w:t>
      </w:r>
    </w:p>
    <w:p>
      <w:pPr>
        <w:pStyle w:val="Para 05"/>
      </w:pPr>
      <w:r>
        <w:rPr>
          <w:rStyle w:val="Text5"/>
        </w:rPr>
        <w:t>748</w:t>
      </w:r>
      <w:r>
        <w:rPr>
          <w:rStyle w:val="Text8"/>
        </w:rPr>
        <w:t xml:space="preserve"> </w:t>
      </w:r>
      <w:r>
        <w:t>https://datatracker.ietf.org/doc/html/rfc4255</w:t>
      </w:r>
    </w:p>
    <w:p>
      <w:bookmarkStart w:id="1185" w:name="page_7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6" name="index-751_1.png" descr="index-751_1.png"/>
            <wp:cNvGraphicFramePr>
              <a:graphicFrameLocks noChangeAspect="1"/>
            </wp:cNvGraphicFramePr>
            <a:graphic>
              <a:graphicData uri="http://schemas.openxmlformats.org/drawingml/2006/picture">
                <pic:pic>
                  <pic:nvPicPr>
                    <pic:cNvPr id="0" name="index-751_1.png" descr="index-751_1.png"/>
                    <pic:cNvPicPr/>
                  </pic:nvPicPr>
                  <pic:blipFill>
                    <a:blip r:embed="rId790"/>
                    <a:stretch>
                      <a:fillRect/>
                    </a:stretch>
                  </pic:blipFill>
                  <pic:spPr>
                    <a:xfrm>
                      <a:off x="0" y="0"/>
                      <a:ext cx="914400" cy="266700"/>
                    </a:xfrm>
                    <a:prstGeom prst="rect">
                      <a:avLst/>
                    </a:prstGeom>
                  </pic:spPr>
                </pic:pic>
              </a:graphicData>
            </a:graphic>
          </wp:anchor>
        </w:drawing>
      </w:r>
      <w:bookmarkEnd w:id="1185"/>
    </w:p>
    <w:p>
      <w:pPr>
        <w:pStyle w:val="Normal"/>
      </w:pPr>
      <w:r>
        <w:t>However, the cryptographic library landscape is vast and complex, and there are many crypto libraries available on an Ubuntu system. When an application developer chooses a crypto library, they will consider many aspects, such as:</w:t>
      </w:r>
    </w:p>
    <w:p>
      <w:pPr>
        <w:pStyle w:val="Para 04"/>
      </w:pPr>
      <w:r>
        <w:t>• Technical requirements</w:t>
      </w:r>
    </w:p>
    <w:p>
      <w:pPr>
        <w:pStyle w:val="Para 04"/>
      </w:pPr>
      <w:r>
        <w:t>• Language bindings</w:t>
      </w:r>
    </w:p>
    <w:p>
      <w:pPr>
        <w:pStyle w:val="Para 04"/>
      </w:pPr>
      <w:r>
        <w:t>• License</w:t>
      </w:r>
    </w:p>
    <w:p>
      <w:pPr>
        <w:pStyle w:val="Para 04"/>
      </w:pPr>
      <w:r>
        <w:t>• Community</w:t>
      </w:r>
    </w:p>
    <w:p>
      <w:pPr>
        <w:pStyle w:val="Para 04"/>
      </w:pPr>
      <w:r>
        <w:t>• Ease of use</w:t>
      </w:r>
    </w:p>
    <w:p>
      <w:pPr>
        <w:pStyle w:val="Para 04"/>
      </w:pPr>
      <w:r>
        <w:t>• General availability</w:t>
      </w:r>
    </w:p>
    <w:p>
      <w:pPr>
        <w:pStyle w:val="Para 04"/>
      </w:pPr>
      <w:r>
        <w:t>• Upstream maintenance</w:t>
      </w:r>
    </w:p>
    <w:p>
      <w:pPr>
        <w:pStyle w:val="Normal"/>
      </w:pPr>
      <w:r>
        <w:t>Among the most popular and widely used libraries and frameworks are:</w:t>
      </w:r>
    </w:p>
    <w:p>
      <w:pPr>
        <w:pStyle w:val="Para 04"/>
      </w:pPr>
      <w:r>
        <w:t>• OpenSSL</w:t>
      </w:r>
    </w:p>
    <w:p>
      <w:pPr>
        <w:pStyle w:val="Para 14"/>
      </w:pPr>
      <w:r>
        <w:rPr>
          <w:rStyle w:val="Text4"/>
        </w:rPr>
        <w:t xml:space="preserve">• </w:t>
      </w:r>
      <w:hyperlink w:anchor="page_686">
        <w:r>
          <w:t>GnuTLS</w:t>
        </w:r>
      </w:hyperlink>
    </w:p>
    <w:p>
      <w:pPr>
        <w:pStyle w:val="Para 04"/>
      </w:pPr>
      <w:r>
        <w:t>• NSS</w:t>
      </w:r>
    </w:p>
    <w:p>
      <w:pPr>
        <w:pStyle w:val="Para 04"/>
      </w:pPr>
      <w:r>
        <w:t>• GnuPG</w:t>
      </w:r>
    </w:p>
    <w:p>
      <w:pPr>
        <w:pStyle w:val="Para 14"/>
      </w:pPr>
      <w:r>
        <w:rPr>
          <w:rStyle w:val="Text4"/>
        </w:rPr>
        <w:t xml:space="preserve">• </w:t>
      </w:r>
      <w:hyperlink w:anchor="page_684">
        <w:r>
          <w:t>gcrypt</w:t>
        </w:r>
      </w:hyperlink>
    </w:p>
    <w:p>
      <w:pPr>
        <w:pStyle w:val="Normal"/>
      </w:pPr>
      <w:r>
        <w:t>Each one of these has its own implementation details, API, behavior, configuration file, and syntax.</w:t>
      </w:r>
    </w:p>
    <w:p>
      <w:pPr>
        <w:pStyle w:val="Para 17"/>
      </w:pPr>
      <w:r>
        <w:t/>
      </w:r>
    </w:p>
    <w:p>
      <w:pPr>
        <w:pStyle w:val="Para 01"/>
      </w:pPr>
      <w:r>
        <w:t>Determining which libraries are being used by an application</w:t>
      </w:r>
    </w:p>
    <w:p>
      <w:pPr>
        <w:pStyle w:val="Para 17"/>
      </w:pPr>
      <w:r>
        <w:t/>
      </w:r>
    </w:p>
    <w:p>
      <w:pPr>
        <w:pStyle w:val="Normal"/>
      </w:pPr>
      <w:r>
        <w:t>Ultimately, the only reliable way to determine how an application uses cryptography is by reading its documentation or inspecting its source code. But even then, you may discover that the code is not available and sometimes the documentation might lack this information. If you are having problems finding answers to your crypto-related questions, there are some practical checks that can be made.</w:t>
      </w:r>
    </w:p>
    <w:p>
      <w:pPr>
        <w:pStyle w:val="Normal"/>
      </w:pPr>
      <w:r>
        <w:t>To find out what libraries are being used, one generally needs to check all of the installed crypto implementations and their respective configurations. To make things even more com-plicated, sometimes an application implements its own crypto, without using anything exter-nal.</w:t>
      </w:r>
    </w:p>
    <w:p>
      <w:pPr>
        <w:pStyle w:val="Normal"/>
      </w:pPr>
      <w:r>
        <w:t>If you are having problems finding answers to your crypto-related questions, there are some practical checks that can be made.</w:t>
      </w:r>
    </w:p>
    <w:p>
      <w:bookmarkStart w:id="1186" w:name="calibre_pb_217"/>
      <w:pPr>
        <w:pStyle w:val="0 Block"/>
      </w:pPr>
      <w:bookmarkEnd w:id="1186"/>
    </w:p>
    <w:p>
      <w:bookmarkStart w:id="1187" w:name="Top_of_index_split_218_html"/>
      <w:bookmarkStart w:id="1188" w:name="page_75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7" name="index-752_1.png" descr="index-752_1.png"/>
            <wp:cNvGraphicFramePr>
              <a:graphicFrameLocks noChangeAspect="1"/>
            </wp:cNvGraphicFramePr>
            <a:graphic>
              <a:graphicData uri="http://schemas.openxmlformats.org/drawingml/2006/picture">
                <pic:pic>
                  <pic:nvPicPr>
                    <pic:cNvPr id="0" name="index-752_1.png" descr="index-752_1.png"/>
                    <pic:cNvPicPr/>
                  </pic:nvPicPr>
                  <pic:blipFill>
                    <a:blip r:embed="rId791"/>
                    <a:stretch>
                      <a:fillRect/>
                    </a:stretch>
                  </pic:blipFill>
                  <pic:spPr>
                    <a:xfrm>
                      <a:off x="0" y="0"/>
                      <a:ext cx="914400" cy="266700"/>
                    </a:xfrm>
                    <a:prstGeom prst="rect">
                      <a:avLst/>
                    </a:prstGeom>
                  </pic:spPr>
                </pic:pic>
              </a:graphicData>
            </a:graphic>
          </wp:anchor>
        </w:drawing>
      </w:r>
      <w:bookmarkEnd w:id="1187"/>
      <w:bookmarkEnd w:id="1188"/>
    </w:p>
    <w:p>
      <w:pPr>
        <w:pStyle w:val="Para 01"/>
      </w:pPr>
      <w:r>
        <w:t>Follow dynamic links</w:t>
      </w:r>
    </w:p>
    <w:p>
      <w:pPr>
        <w:pStyle w:val="Para 17"/>
      </w:pPr>
      <w:r>
        <w:t/>
      </w:r>
    </w:p>
    <w:p>
      <w:pPr>
        <w:pStyle w:val="Normal"/>
      </w:pPr>
      <w:r>
        <w:t>This is the most common way, and very easy to spot via package dependencies and helper tools. A detailed example of this approach to determining crypto is discussed later in this page.</w:t>
      </w:r>
    </w:p>
    <w:p>
      <w:pPr>
        <w:pStyle w:val="Para 17"/>
      </w:pPr>
      <w:r>
        <w:t/>
      </w:r>
    </w:p>
    <w:p>
      <w:pPr>
        <w:pStyle w:val="Para 01"/>
      </w:pPr>
      <w:r>
        <w:t>Check static linking</w:t>
      </w:r>
    </w:p>
    <w:p>
      <w:pPr>
        <w:pStyle w:val="Para 17"/>
      </w:pPr>
      <w:r>
        <w:t/>
      </w:r>
    </w:p>
    <w:p>
      <w:pPr>
        <w:pStyle w:val="Normal"/>
      </w:pPr>
      <w:r>
        <w:t>This is harder, as there is no dependency information in the binary package, and this usually requires inspection of the source package to see build dependencies. A detailed example of this approach is shown later in this page.</w:t>
      </w:r>
    </w:p>
    <w:p>
      <w:pPr>
        <w:pStyle w:val="Para 17"/>
      </w:pPr>
      <w:r>
        <w:t/>
      </w:r>
    </w:p>
    <w:p>
      <w:pPr>
        <w:pStyle w:val="Para 01"/>
      </w:pPr>
      <w:r>
        <w:t>Look at the plugins</w:t>
      </w:r>
    </w:p>
    <w:p>
      <w:pPr>
        <w:pStyle w:val="Para 17"/>
      </w:pPr>
      <w:r>
        <w:t/>
      </w:r>
    </w:p>
    <w:p>
      <w:pPr>
        <w:pStyle w:val="Normal"/>
      </w:pPr>
      <w:r>
        <w:t>The main binary of an application can not depend directly on a crypto library, but it could load dynamic plugins which do. Usually these would be packaged separately, and then we fall under the dynamic or static linking cases above. Note that via such a plugin mechanism, an application could depend on multiple external cryptographic libraries.</w:t>
      </w:r>
    </w:p>
    <w:p>
      <w:pPr>
        <w:pStyle w:val="Para 17"/>
      </w:pPr>
      <w:r>
        <w:t/>
      </w:r>
    </w:p>
    <w:p>
      <w:pPr>
        <w:pStyle w:val="Para 01"/>
      </w:pPr>
      <w:r>
        <w:t>Examine the execution of external binaries</w:t>
      </w:r>
    </w:p>
    <w:p>
      <w:pPr>
        <w:pStyle w:val="Para 17"/>
      </w:pPr>
      <w:r>
        <w:t/>
      </w:r>
    </w:p>
    <w:p>
      <w:pPr>
        <w:pStyle w:val="Normal"/>
      </w:pPr>
      <w:r>
        <w:t>The application could just plain call external binaries at runtime for its cryptographic oper-ations, like calling out to openssl or gnupg to encrypt/decrypt data. This will hopefully be expressed in the dependencies of the package. If it’s not, then it’s a bug that should be re-ported.</w:t>
      </w:r>
    </w:p>
    <w:p>
      <w:pPr>
        <w:pStyle w:val="Para 17"/>
      </w:pPr>
      <w:r>
        <w:t/>
      </w:r>
    </w:p>
    <w:p>
      <w:pPr>
        <w:pStyle w:val="Para 01"/>
      </w:pPr>
      <w:r>
        <w:t>Indirect use of libraries or executables</w:t>
      </w:r>
    </w:p>
    <w:p>
      <w:pPr>
        <w:pStyle w:val="Para 17"/>
      </w:pPr>
      <w:r>
        <w:t/>
      </w:r>
    </w:p>
    <w:p>
      <w:pPr>
        <w:pStyle w:val="Normal"/>
      </w:pPr>
      <w:r>
        <w:t>The application could be using a third party library or executable which in turn could fall into any of the above categories.</w:t>
      </w:r>
    </w:p>
    <w:p>
      <w:pPr>
        <w:pStyle w:val="Para 17"/>
      </w:pPr>
      <w:r>
        <w:t/>
      </w:r>
    </w:p>
    <w:p>
      <w:pPr>
        <w:pStyle w:val="Para 01"/>
      </w:pPr>
      <w:r>
        <w:t>Check documentation more carefully</w:t>
      </w:r>
    </w:p>
    <w:p>
      <w:pPr>
        <w:pStyle w:val="Para 17"/>
      </w:pPr>
      <w:r>
        <w:t/>
      </w:r>
    </w:p>
    <w:p>
      <w:pPr>
        <w:pStyle w:val="Normal"/>
      </w:pPr>
      <w:r>
        <w:t>Read the application documentation again. It might have crypto options directly in its own configuration files, or point at specific crypto configuration files installed on the system. This may also clarify whether the application uses external crypto libraries or it has its own imple-mentation of crypto.</w:t>
      </w:r>
    </w:p>
    <w:p>
      <w:bookmarkStart w:id="1189" w:name="calibre_pb_218"/>
      <w:pPr>
        <w:pStyle w:val="0 Block"/>
      </w:pPr>
      <w:bookmarkEnd w:id="1189"/>
    </w:p>
    <w:p>
      <w:bookmarkStart w:id="1190" w:name="page_753"/>
      <w:bookmarkStart w:id="1191" w:name="Top_of_index_split_21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8" name="index-753_1.png" descr="index-753_1.png"/>
            <wp:cNvGraphicFramePr>
              <a:graphicFrameLocks noChangeAspect="1"/>
            </wp:cNvGraphicFramePr>
            <a:graphic>
              <a:graphicData uri="http://schemas.openxmlformats.org/drawingml/2006/picture">
                <pic:pic>
                  <pic:nvPicPr>
                    <pic:cNvPr id="0" name="index-753_1.png" descr="index-753_1.png"/>
                    <pic:cNvPicPr/>
                  </pic:nvPicPr>
                  <pic:blipFill>
                    <a:blip r:embed="rId792"/>
                    <a:stretch>
                      <a:fillRect/>
                    </a:stretch>
                  </pic:blipFill>
                  <pic:spPr>
                    <a:xfrm>
                      <a:off x="0" y="0"/>
                      <a:ext cx="914400" cy="266700"/>
                    </a:xfrm>
                    <a:prstGeom prst="rect">
                      <a:avLst/>
                    </a:prstGeom>
                  </pic:spPr>
                </pic:pic>
              </a:graphicData>
            </a:graphic>
          </wp:anchor>
        </w:drawing>
      </w:r>
      <w:bookmarkEnd w:id="1190"/>
      <w:bookmarkEnd w:id="1191"/>
    </w:p>
    <w:p>
      <w:pPr>
        <w:pStyle w:val="Para 01"/>
      </w:pPr>
      <w:r>
        <w:t>Detailed examples of how to locate crypto libraries</w:t>
      </w:r>
    </w:p>
    <w:p>
      <w:pPr>
        <w:pStyle w:val="Para 17"/>
      </w:pPr>
      <w:r>
        <w:t/>
      </w:r>
    </w:p>
    <w:p>
      <w:pPr>
        <w:pStyle w:val="Para 01"/>
      </w:pPr>
      <w:r>
        <w:t>Use dpkg to check package dependencies</w:t>
      </w:r>
    </w:p>
    <w:p>
      <w:pPr>
        <w:pStyle w:val="Para 17"/>
      </w:pPr>
      <w:r>
        <w:t/>
      </w:r>
    </w:p>
    <w:p>
      <w:pPr>
        <w:pStyle w:val="Normal"/>
      </w:pPr>
      <w:r>
        <w:t>Since package dependencies are a good way to check what is needed at runtime by the ap-plication, you can find out which package owns what file with the dpkg -S command. For example:</w:t>
      </w:r>
    </w:p>
    <w:p>
      <w:pPr>
        <w:pStyle w:val="Normal"/>
      </w:pPr>
      <w:r>
        <w:t>$ dpkg -S /usr/bin/lynx</w:t>
      </w:r>
    </w:p>
    <w:p>
      <w:pPr>
        <w:pStyle w:val="Normal"/>
      </w:pPr>
      <w:r>
        <w:t>lynx: /usr/bin/lynx</w:t>
      </w:r>
    </w:p>
    <w:p>
      <w:pPr>
        <w:pStyle w:val="Para 17"/>
      </w:pPr>
      <w:r>
        <w:t/>
      </w:r>
    </w:p>
    <w:p>
      <w:pPr>
        <w:pStyle w:val="Normal"/>
      </w:pPr>
      <w:r>
        <w:t>Now that you have the package name, check the package’s dependencies. You should also look for Recommends, as they are installed by default. Using the current example, we can now do the following:</w:t>
      </w:r>
    </w:p>
    <w:p>
      <w:pPr>
        <w:pStyle w:val="Normal"/>
      </w:pPr>
      <w:r>
        <w:t>$ dpkg -s lynx | grep -E</w:t>
        <w:t xml:space="preserve"> </w:t>
        <w:t>"^(Depends|Recommends)"</w:t>
        <w:t xml:space="preserve"> </w:t>
        <w:t>Depends: libbsd0</w:t>
        <w:t xml:space="preserve"> </w:t>
        <w:t>(</w:t>
        <w:t>&gt;</w:t>
        <w:t>=</w:t>
        <w:t xml:space="preserve"> </w:t>
        <w:t>0</w:t>
        <w:t>.0</w:t>
        <w:t>)</w:t>
        <w:t>, libbz2-1.0, libc6</w:t>
        <w:t xml:space="preserve"> </w:t>
        <w:t>(</w:t>
        <w:t>&gt;</w:t>
        <w:t>=</w:t>
        <w:t xml:space="preserve"> </w:t>
        <w:t>2</w:t>
        <w:t>.34</w:t>
        <w:t>)</w:t>
        <w:t>, libgnutls30</w:t>
        <w:t xml:space="preserve"> </w:t>
        <w:t>(</w:t>
        <w:t>&gt;</w:t>
        <w:t>=</w:t>
        <w:t xml:space="preserve"> </w:t>
        <w:t>3</w:t>
        <w:t>.7.0</w:t>
        <w:t>)</w:t>
        <w:t>, libidn2-0</w:t>
        <w:t xml:space="preserve"> </w:t>
        <w:t>(</w:t>
        <w:t>&gt;</w:t>
        <w:t>=</w:t>
        <w:t xml:space="preserve"> </w:t>
        <w:t>2</w:t>
        <w:t>.0.0</w:t>
        <w:t>)</w:t>
        <w:t>, libncursesw6</w:t>
        <w:t xml:space="preserve"> </w:t>
        <w:t>(</w:t>
        <w:t>&gt;</w:t>
        <w:t>=</w:t>
        <w:t xml:space="preserve"> </w:t>
        <w:t>6</w:t>
        <w:t>)</w:t>
        <w:t>, libtinfo6</w:t>
        <w:t xml:space="preserve"> </w:t>
        <w:t>(</w:t>
        <w:t>&gt;</w:t>
        <w:t>=</w:t>
        <w:t xml:space="preserve"> </w:t>
        <w:t>6</w:t>
        <w:t>)</w:t>
        <w:t>, zlib1g</w:t>
        <w:t xml:space="preserve"> </w:t>
        <w:t>(</w:t>
        <w:t>&gt;</w:t>
        <w:t>=</w:t>
        <w:t xml:space="preserve"> </w:t>
        <w:t>1</w:t>
        <w:t>:1.1.4</w:t>
        <w:t>)</w:t>
        <w:t>, lynx-common</w:t>
        <w:t xml:space="preserve"> </w:t>
        <w:t>Recommends: mime-support</w:t>
      </w:r>
    </w:p>
    <w:p>
      <w:pPr>
        <w:pStyle w:val="Para 17"/>
      </w:pPr>
      <w:r>
        <w:t/>
      </w:r>
    </w:p>
    <w:p>
      <w:pPr>
        <w:pStyle w:val="Normal"/>
      </w:pPr>
      <w:r>
        <w:t>Now we can see that lynx links with libgnutls30, which answers our question: lynx uses the GnuTLS library for its cryptography operations.</w:t>
      </w:r>
    </w:p>
    <w:p>
      <w:pPr>
        <w:pStyle w:val="Para 17"/>
      </w:pPr>
      <w:r>
        <w:t/>
      </w:r>
    </w:p>
    <w:p>
      <w:pPr>
        <w:pStyle w:val="Para 01"/>
      </w:pPr>
      <w:r>
        <w:t>Using ldd to list dynamic libraries</w:t>
      </w:r>
    </w:p>
    <w:p>
      <w:pPr>
        <w:pStyle w:val="Para 17"/>
      </w:pPr>
      <w:r>
        <w:t/>
      </w:r>
    </w:p>
    <w:p>
      <w:pPr>
        <w:pStyle w:val="Normal"/>
      </w:pPr>
      <w:r>
        <w:t>If a dynamic library is needed by an application, it should always be correctly identified in the list of application package dependencies. When that is not the case, or you need to identify what is needed by some plugin that is not part of the package, you can use some system tools to help identify the dependencies.</w:t>
      </w:r>
    </w:p>
    <w:p>
      <w:pPr>
        <w:pStyle w:val="Normal"/>
      </w:pPr>
      <w:r>
        <w:t>In this situation, you can use the ldd tool, which is installed in all Ubuntu systems. It lists all the dynamic libraries needed by the given binary, including dependencies of dependencies, i.e. the command is recursive. Going back to the lynx example:</w:t>
      </w:r>
    </w:p>
    <w:p>
      <w:pPr>
        <w:pStyle w:val="Normal"/>
      </w:pPr>
      <w:r>
        <w:t>$ ldd /usr/bin/lynx</w:t>
      </w:r>
    </w:p>
    <w:p>
      <w:pPr>
        <w:pStyle w:val="Para 02"/>
      </w:pPr>
      <w:r>
        <w:t>linux-vdso.so.1</w:t>
        <w:t xml:space="preserve"> </w:t>
        <w:t>(</w:t>
        <w:t>0x00007ffffd2df000</w:t>
        <w:t>)</w:t>
        <w:t xml:space="preserve"> </w:t>
        <w:t>libz.so.1</w:t>
        <w:t xml:space="preserve"> </w:t>
        <w:t>=</w:t>
        <w:t>&gt; /lib/x86_64-linux-gnu/libz.so.1</w:t>
        <w:t xml:space="preserve"> </w:t>
        <w:t>(</w:t>
        <w:t>0x00007feb69d77000</w:t>
        <w:t>)</w:t>
        <w:t xml:space="preserve"> </w:t>
        <w:t>libbz2.so.1.0</w:t>
        <w:t xml:space="preserve"> </w:t>
        <w:t>=</w:t>
        <w:t>&gt; /lib/x86_64-linux-gnu/libbz2.so.1.0</w:t>
        <w:t xml:space="preserve"> </w:t>
        <w:t>(</w:t>
        <w:t>0x00007feb69d64000</w:t>
        <w:t>)</w:t>
        <w:t xml:space="preserve"> </w:t>
        <w:t>libidn2.so.0</w:t>
        <w:t xml:space="preserve"> </w:t>
        <w:t>=</w:t>
        <w:t>&gt; /lib/x86_64-linux-gnu/libidn2.so.0</w:t>
        <w:t xml:space="preserve"> </w:t>
        <w:t>(</w:t>
        <w:t>0x00007feb69d43000</w:t>
        <w:t>)</w:t>
        <w:t xml:space="preserve"> </w:t>
        <w:t>libncursesw.so.6</w:t>
        <w:t xml:space="preserve"> </w:t>
        <w:t>=</w:t>
        <w:t>&gt; /lib/x86_64-linux-gnu/libncursesw.so.6</w:t>
        <w:t xml:space="preserve"> </w:t>
        <w:t>(</w:t>
        <w:t>0x00007feb69d07000</w:t>
        <w:t>)</w:t>
        <w:t xml:space="preserve"> </w:t>
        <w:t>libtinfo.so.6</w:t>
        <w:t xml:space="preserve"> </w:t>
        <w:t>=</w:t>
        <w:t>&gt; /lib/x86_64-linux-gnu/libtinfo.so.6</w:t>
        <w:t xml:space="preserve"> </w:t>
        <w:t>(</w:t>
        <w:t>0x00007feb69cd5000</w:t>
        <w:t>)</w:t>
        <w:t xml:space="preserve"> </w:t>
        <w:t>libgnutls.so.30</w:t>
        <w:t xml:space="preserve"> </w:t>
        <w:t>=</w:t>
        <w:t>&gt; /lib/x86_64-linux-gnu/libgnutls.so.30</w:t>
        <w:t xml:space="preserve"> </w:t>
        <w:t>(</w:t>
        <w:t>0x00007feb69aea000</w:t>
        <w:t>)</w:t>
        <w:t xml:space="preserve"> </w:t>
        <w:t>libbsd.so.0</w:t>
        <w:t xml:space="preserve"> </w:t>
        <w:t>=</w:t>
        <w:t>&gt; /lib/x86_64-linux-gnu/libbsd.so.0</w:t>
        <w:t xml:space="preserve"> </w:t>
        <w:t>(</w:t>
        <w:t>0x00007feb69ad0000</w:t>
        <w:t>)</w:t>
        <w:t xml:space="preserve"> </w:t>
        <w:t>libc.so.6</w:t>
        <w:t xml:space="preserve"> </w:t>
        <w:t>=</w:t>
        <w:t>&gt; /lib/x86_64-linux-gnu/libc.so.6</w:t>
        <w:t xml:space="preserve"> </w:t>
        <w:t>(</w:t>
        <w:t>0x00007feb698a8000</w:t>
        <w:t>)</w:t>
        <w:t xml:space="preserve"> </w:t>
        <w:t>libunistring.so.2</w:t>
        <w:t xml:space="preserve"> </w:t>
        <w:t>=</w:t>
        <w:t>&gt; /lib/x86_64-linux-gnu/libunistring.so.2</w:t>
        <w:t xml:space="preserve"> </w:t>
        <w:t>(</w:t>
        <w:t>0x00007feb696fe000</w:t>
        <w:t>)</w:t>
        <w:t xml:space="preserve"> </w:t>
        <w:t>libp11-kit.so.0</w:t>
        <w:t xml:space="preserve"> </w:t>
        <w:t>=</w:t>
        <w:t>&gt; /lib/x86_64-linux-gnu/libp11-kit.so.0</w:t>
        <w:t xml:space="preserve"> </w:t>
        <w:t>(</w:t>
        <w:t>0x00007feb695c3000</w:t>
        <w:t>)</w:t>
        <w:t xml:space="preserve"> </w:t>
        <w:t>libtasn1.so.6</w:t>
        <w:t xml:space="preserve"> </w:t>
        <w:t>=</w:t>
        <w:t>&gt; /lib/x86_64-linux-gnu/libtasn1.so.6</w:t>
        <w:t xml:space="preserve"> </w:t>
        <w:t>(</w:t>
        <w:t>0x00007feb695ab000</w:t>
        <w:t>)</w:t>
        <w:t xml:space="preserve"> </w:t>
        <w:t>libnettle.so.8</w:t>
        <w:t xml:space="preserve"> </w:t>
        <w:t>=</w:t>
        <w:t>&gt; /lib/x86_64-linux-gnu/libnettle.so.8</w:t>
        <w:t xml:space="preserve"> </w:t>
        <w:t>(</w:t>
        <w:t>0x00007feb69565000</w:t>
        <w:t>)</w:t>
        <w:t xml:space="preserve"> </w:t>
        <w:t>libhogweed.so.6</w:t>
        <w:t xml:space="preserve"> </w:t>
        <w:t>=</w:t>
        <w:t>&gt; /lib/x86_64-linux-gnu/libhogweed.so.6</w:t>
        <w:t xml:space="preserve"> </w:t>
        <w:t>(</w:t>
        <w:t>0x00007feb6951b000</w:t>
        <w:t>)</w:t>
        <w:t xml:space="preserve"> </w:t>
        <w:t>libgmp.so.10</w:t>
        <w:t xml:space="preserve"> </w:t>
        <w:t>=</w:t>
        <w:t>&gt; /lib/x86_64-linux-gnu/libgmp.so.10</w:t>
        <w:t xml:space="preserve"> </w:t>
        <w:t>(</w:t>
        <w:t>0x00007feb69499000</w:t>
        <w:t>)</w:t>
        <w:t xml:space="preserve"> </w:t>
        <w:t>/lib64/ld-linux-x86-64.so.2</w:t>
        <w:t xml:space="preserve"> </w:t>
        <w:t>(</w:t>
        <w:t>0x00007feb69fe6000</w:t>
        <w:t>)</w:t>
        <w:t xml:space="preserve"> </w:t>
        <w:t>libmd.so.0</w:t>
        <w:t xml:space="preserve"> </w:t>
        <w:t>=</w:t>
        <w:t>&gt; /lib/x86_64-linux-gnu/libmd.so.0</w:t>
        <w:t xml:space="preserve"> </w:t>
        <w:t>(</w:t>
        <w:t>0x00007feb6948c000</w:t>
        <w:t>)</w:t>
        <w:t xml:space="preserve"> </w:t>
        <w:t>libffi.so.8</w:t>
        <w:t xml:space="preserve"> </w:t>
        <w:t>=</w:t>
        <w:t>&gt; /lib/x86_64-linux-gnu/libffi.so.8</w:t>
        <w:t xml:space="preserve"> </w:t>
        <w:t>(</w:t>
        <w:t>0x00007feb6947f000</w:t>
        <w:t>)</w:t>
      </w:r>
    </w:p>
    <w:p>
      <w:bookmarkStart w:id="1192" w:name="page_7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89" name="index-754_1.png" descr="index-754_1.png"/>
            <wp:cNvGraphicFramePr>
              <a:graphicFrameLocks noChangeAspect="1"/>
            </wp:cNvGraphicFramePr>
            <a:graphic>
              <a:graphicData uri="http://schemas.openxmlformats.org/drawingml/2006/picture">
                <pic:pic>
                  <pic:nvPicPr>
                    <pic:cNvPr id="0" name="index-754_1.png" descr="index-754_1.png"/>
                    <pic:cNvPicPr/>
                  </pic:nvPicPr>
                  <pic:blipFill>
                    <a:blip r:embed="rId793"/>
                    <a:stretch>
                      <a:fillRect/>
                    </a:stretch>
                  </pic:blipFill>
                  <pic:spPr>
                    <a:xfrm>
                      <a:off x="0" y="0"/>
                      <a:ext cx="914400" cy="266700"/>
                    </a:xfrm>
                    <a:prstGeom prst="rect">
                      <a:avLst/>
                    </a:prstGeom>
                  </pic:spPr>
                </pic:pic>
              </a:graphicData>
            </a:graphic>
          </wp:anchor>
        </w:drawing>
      </w:r>
      <w:bookmarkEnd w:id="1192"/>
    </w:p>
    <w:p>
      <w:pPr>
        <w:pStyle w:val="Normal"/>
      </w:pPr>
      <w:r>
        <w:t>We again see the GnuTLS library (via libgnutls.so.30) in the list, and can reach the same conclusion.</w:t>
      </w:r>
    </w:p>
    <w:p>
      <w:pPr>
        <w:pStyle w:val="Normal"/>
      </w:pPr>
      <w:r>
        <w:t>Another way to check for such dependencies (without recursion) is via objdump. You may need to install it with the binutils package, as it’s not mandatory. The way to use it is to grep for the NEEDED string:</w:t>
      </w:r>
    </w:p>
    <w:p>
      <w:pPr>
        <w:pStyle w:val="Normal"/>
      </w:pPr>
      <w:r>
        <w:t>$ objdump -x /usr/bin/lynx|grep NEEDED</w:t>
      </w:r>
    </w:p>
    <w:p>
      <w:pPr>
        <w:pStyle w:val="Para 03"/>
      </w:pPr>
      <w:r>
        <w:t>NEEDED</w:t>
        <w:t xml:space="preserve"> </w:t>
        <w:t>libz.so.1</w:t>
      </w:r>
    </w:p>
    <w:p>
      <w:pPr>
        <w:pStyle w:val="Para 03"/>
      </w:pPr>
      <w:r>
        <w:t>NEEDED</w:t>
        <w:t xml:space="preserve"> </w:t>
        <w:t>libbz2.so.1.0</w:t>
      </w:r>
    </w:p>
    <w:p>
      <w:pPr>
        <w:pStyle w:val="Para 03"/>
      </w:pPr>
      <w:r>
        <w:t>NEEDED</w:t>
        <w:t xml:space="preserve"> </w:t>
        <w:t>libidn2.so.0</w:t>
      </w:r>
    </w:p>
    <w:p>
      <w:pPr>
        <w:pStyle w:val="Para 03"/>
      </w:pPr>
      <w:r>
        <w:t>NEEDED</w:t>
        <w:t xml:space="preserve"> </w:t>
        <w:t>libncursesw.so.6</w:t>
      </w:r>
    </w:p>
    <w:p>
      <w:pPr>
        <w:pStyle w:val="Para 03"/>
      </w:pPr>
      <w:r>
        <w:t>NEEDED</w:t>
        <w:t xml:space="preserve"> </w:t>
        <w:t>libtinfo.so.6</w:t>
      </w:r>
    </w:p>
    <w:p>
      <w:pPr>
        <w:pStyle w:val="Para 03"/>
      </w:pPr>
      <w:r>
        <w:t>NEEDED</w:t>
        <w:t xml:space="preserve"> </w:t>
        <w:t>libgnutls.so.30</w:t>
      </w:r>
    </w:p>
    <w:p>
      <w:pPr>
        <w:pStyle w:val="Para 03"/>
      </w:pPr>
      <w:r>
        <w:t>NEEDED</w:t>
        <w:t xml:space="preserve"> </w:t>
        <w:t>libbsd.so.0</w:t>
      </w:r>
    </w:p>
    <w:p>
      <w:pPr>
        <w:pStyle w:val="Para 03"/>
      </w:pPr>
      <w:r>
        <w:t>NEEDED</w:t>
        <w:t xml:space="preserve"> </w:t>
        <w:t>libc.so.6</w:t>
      </w:r>
    </w:p>
    <w:p>
      <w:pPr>
        <w:pStyle w:val="Para 17"/>
      </w:pPr>
      <w:r>
        <w:t/>
      </w:r>
    </w:p>
    <w:p>
      <w:pPr>
        <w:pStyle w:val="Normal"/>
      </w:pPr>
      <w:r>
        <w:t xml:space="preserve">Finally, if you want to see the dependency </w:t>
      </w:r>
      <w:r>
        <w:rPr>
          <w:rStyle w:val="Text3"/>
        </w:rPr>
        <w:t>tree</w:t>
      </w:r>
      <w:r>
        <w:t>, you can use lddtree from the pax-utils pack-age:</w:t>
      </w:r>
    </w:p>
    <w:p>
      <w:pPr>
        <w:pStyle w:val="Normal"/>
      </w:pPr>
      <w:r>
        <w:t>$ lddtree /usr/bin/lynx</w:t>
      </w:r>
    </w:p>
    <w:p>
      <w:pPr>
        <w:pStyle w:val="Normal"/>
      </w:pPr>
      <w:r>
        <w:t>lynx</w:t>
        <w:t xml:space="preserve"> </w:t>
        <w:t>=</w:t>
        <w:t>&gt; /usr/bin/lynx</w:t>
        <w:t xml:space="preserve"> </w:t>
        <w:t>(</w:t>
        <w:t>interpreter</w:t>
        <w:t xml:space="preserve"> </w:t>
        <w:t>=</w:t>
        <w:t>&gt; /lib64/ld-linux-x86-64.so.2</w:t>
        <w:t>)</w:t>
      </w:r>
    </w:p>
    <w:p>
      <w:pPr>
        <w:pStyle w:val="Para 02"/>
      </w:pPr>
      <w:r>
        <w:t>libz.so.1</w:t>
        <w:t xml:space="preserve"> </w:t>
        <w:t>=</w:t>
        <w:t>&gt; /lib/x86_64-linux-gnu/libz.so.1</w:t>
        <w:t xml:space="preserve"> </w:t>
        <w:t>libbz2.so.1.0</w:t>
        <w:t xml:space="preserve"> </w:t>
        <w:t>=</w:t>
        <w:t>&gt; /lib/x86_64-linux-gnu/libbz2.so.1.0</w:t>
        <w:t xml:space="preserve"> </w:t>
        <w:t>libidn2.so.0</w:t>
        <w:t xml:space="preserve"> </w:t>
        <w:t>=</w:t>
        <w:t>&gt; /lib/x86_64-linux-gnu/libidn2.so.0</w:t>
      </w:r>
    </w:p>
    <w:p>
      <w:pPr>
        <w:pStyle w:val="Para 06"/>
      </w:pPr>
      <w:r>
        <w:t>libunistring.so.2</w:t>
        <w:t xml:space="preserve"> </w:t>
        <w:t>=</w:t>
        <w:t>&gt; /lib/x86_64-linux-gnu/libunistring.so.2</w:t>
      </w:r>
    </w:p>
    <w:p>
      <w:pPr>
        <w:pStyle w:val="Para 02"/>
      </w:pPr>
      <w:r>
        <w:t>libncursesw.so.6</w:t>
        <w:t xml:space="preserve"> </w:t>
        <w:t>=</w:t>
        <w:t>&gt; /lib/x86_64-linux-gnu/libncursesw.so.6</w:t>
        <w:t xml:space="preserve"> </w:t>
        <w:t>libtinfo.so.6</w:t>
        <w:t xml:space="preserve"> </w:t>
        <w:t>=</w:t>
        <w:t>&gt; /lib/x86_64-linux-gnu/libtinfo.so.6</w:t>
        <w:t xml:space="preserve"> </w:t>
        <w:t>libgnutls.so.30</w:t>
        <w:t xml:space="preserve"> </w:t>
        <w:t>=</w:t>
        <w:t>&gt; /lib/x86_64-linux-gnu/libgnutls.so.30</w:t>
      </w:r>
    </w:p>
    <w:p>
      <w:pPr>
        <w:pStyle w:val="Para 06"/>
      </w:pPr>
      <w:r>
        <w:t>libp11-kit.so.0</w:t>
        <w:t xml:space="preserve"> </w:t>
        <w:t>=</w:t>
        <w:t>&gt; /lib/x86_64-linux-gnu/libp11-kit.so.0</w:t>
      </w:r>
    </w:p>
    <w:p>
      <w:pPr>
        <w:pStyle w:val="Para 12"/>
      </w:pPr>
      <w:r>
        <w:t>libffi.so.8</w:t>
        <w:t xml:space="preserve"> </w:t>
        <w:t>=</w:t>
        <w:t>&gt; /lib/x86_64-linux-gnu/libffi.so.8</w:t>
      </w:r>
    </w:p>
    <w:p>
      <w:pPr>
        <w:pStyle w:val="Para 06"/>
      </w:pPr>
      <w:r>
        <w:t>libtasn1.so.6</w:t>
        <w:t xml:space="preserve"> </w:t>
        <w:t>=</w:t>
        <w:t>&gt; /lib/x86_64-linux-gnu/libtasn1.so.6</w:t>
        <w:t xml:space="preserve"> </w:t>
        <w:t>libnettle.so.8</w:t>
        <w:t xml:space="preserve"> </w:t>
        <w:t>=</w:t>
        <w:t>&gt; /lib/x86_64-linux-gnu/libnettle.so.8</w:t>
        <w:t xml:space="preserve"> </w:t>
        <w:t>libhogweed.so.6</w:t>
        <w:t xml:space="preserve"> </w:t>
        <w:t>=</w:t>
        <w:t>&gt; /lib/x86_64-linux-gnu/libhogweed.so.6</w:t>
        <w:t xml:space="preserve"> </w:t>
        <w:t>libgmp.so.10</w:t>
        <w:t xml:space="preserve"> </w:t>
        <w:t>=</w:t>
        <w:t>&gt; /lib/x86_64-linux-gnu/libgmp.so.10</w:t>
        <w:t xml:space="preserve"> </w:t>
        <w:t>ld-linux-x86-64.so.2</w:t>
        <w:t xml:space="preserve"> </w:t>
        <w:t>=</w:t>
        <w:t>&gt; /lib64/ld-linux-x86-64.so.2</w:t>
      </w:r>
    </w:p>
    <w:p>
      <w:pPr>
        <w:pStyle w:val="Para 02"/>
      </w:pPr>
      <w:r>
        <w:t>libbsd.so.0</w:t>
        <w:t xml:space="preserve"> </w:t>
        <w:t>=</w:t>
        <w:t>&gt; /lib/x86_64-linux-gnu/libbsd.so.0</w:t>
      </w:r>
    </w:p>
    <w:p>
      <w:pPr>
        <w:pStyle w:val="Para 06"/>
      </w:pPr>
      <w:r>
        <w:t>libmd.so.0</w:t>
        <w:t xml:space="preserve"> </w:t>
        <w:t>=</w:t>
        <w:t>&gt; /lib/x86_64-linux-gnu/libmd.so.0</w:t>
      </w:r>
    </w:p>
    <w:p>
      <w:pPr>
        <w:pStyle w:val="Para 02"/>
      </w:pPr>
      <w:r>
        <w:t>libc.so.6</w:t>
        <w:t xml:space="preserve"> </w:t>
        <w:t>=</w:t>
        <w:t>&gt; /lib/x86_64-linux-gnu/libc.so.6</w:t>
      </w:r>
    </w:p>
    <w:p>
      <w:pPr>
        <w:pStyle w:val="Para 17"/>
      </w:pPr>
      <w:r>
        <w:t/>
      </w:r>
    </w:p>
    <w:p>
      <w:pPr>
        <w:pStyle w:val="Para 01"/>
      </w:pPr>
      <w:r>
        <w:t>Check package headers for static linking</w:t>
      </w:r>
    </w:p>
    <w:p>
      <w:pPr>
        <w:pStyle w:val="Para 17"/>
      </w:pPr>
      <w:r>
        <w:t/>
      </w:r>
    </w:p>
    <w:p>
      <w:pPr>
        <w:pStyle w:val="Normal"/>
      </w:pPr>
      <w:r>
        <w:t>Identifying which libraries were used in a static build is a bit more involved. There are two ways, and they are complementary most of the time:</w:t>
      </w:r>
    </w:p>
    <w:p>
      <w:pPr>
        <w:pStyle w:val="Para 04"/>
      </w:pPr>
      <w:r>
        <w:t>• look for the Built-Using header in the binary package</w:t>
      </w:r>
    </w:p>
    <w:p>
      <w:pPr>
        <w:pStyle w:val="Para 04"/>
      </w:pPr>
      <w:r>
        <w:t>• inspect the Build-Depends header in the source package</w:t>
      </w:r>
    </w:p>
    <w:p>
      <w:pPr>
        <w:pStyle w:val="Normal"/>
      </w:pPr>
      <w:r>
        <w:t>For example, let’s try to discover which crypto libraries, if any, the rclone tool uses. First, let’s try the packaging dependencies:</w:t>
      </w:r>
    </w:p>
    <w:p>
      <w:pPr>
        <w:pStyle w:val="Normal"/>
      </w:pPr>
      <w:r>
        <w:t>$ dpkg -s rclone | grep -E</w:t>
        <w:t xml:space="preserve"> </w:t>
        <w:t>"^(Depends|Recommends)"</w:t>
        <w:t xml:space="preserve"> </w:t>
        <w:t>Depends: libc6</w:t>
        <w:t xml:space="preserve"> </w:t>
        <w:t>(</w:t>
        <w:t>&gt;</w:t>
        <w:t>=</w:t>
        <w:t xml:space="preserve"> </w:t>
        <w:t>2</w:t>
        <w:t>.34</w:t>
        <w:t>)</w:t>
      </w:r>
    </w:p>
    <w:p>
      <w:pPr>
        <w:pStyle w:val="Para 17"/>
      </w:pPr>
      <w:r>
        <w:t/>
      </w:r>
    </w:p>
    <w:p>
      <w:pPr>
        <w:pStyle w:val="Normal"/>
      </w:pPr>
      <w:r>
        <w:t>Uh, that’s a short list. But rclone definitely supports encryption, so what is going on? Turns out this is a tool written in the Go language, and that uses static linking of libraries. So let’s try to inspect the package data more carefully, and this time look for the Built-Using header:</w:t>
      </w:r>
    </w:p>
    <w:p>
      <w:bookmarkStart w:id="1193" w:name="page_7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0" name="index-755_1.png" descr="index-755_1.png"/>
            <wp:cNvGraphicFramePr>
              <a:graphicFrameLocks noChangeAspect="1"/>
            </wp:cNvGraphicFramePr>
            <a:graphic>
              <a:graphicData uri="http://schemas.openxmlformats.org/drawingml/2006/picture">
                <pic:pic>
                  <pic:nvPicPr>
                    <pic:cNvPr id="0" name="index-755_1.png" descr="index-755_1.png"/>
                    <pic:cNvPicPr/>
                  </pic:nvPicPr>
                  <pic:blipFill>
                    <a:blip r:embed="rId794"/>
                    <a:stretch>
                      <a:fillRect/>
                    </a:stretch>
                  </pic:blipFill>
                  <pic:spPr>
                    <a:xfrm>
                      <a:off x="0" y="0"/>
                      <a:ext cx="914400" cy="266700"/>
                    </a:xfrm>
                    <a:prstGeom prst="rect">
                      <a:avLst/>
                    </a:prstGeom>
                  </pic:spPr>
                </pic:pic>
              </a:graphicData>
            </a:graphic>
          </wp:anchor>
        </w:drawing>
      </w:r>
      <w:bookmarkEnd w:id="1193"/>
    </w:p>
    <w:p>
      <w:pPr>
        <w:pStyle w:val="Normal"/>
      </w:pPr>
      <w:r>
        <w:t>$ dpkg -s rclone | grep Built-Using</w:t>
      </w:r>
    </w:p>
    <w:p>
      <w:pPr>
        <w:pStyle w:val="Normal"/>
      </w:pPr>
      <w:r>
        <w:t>Built-Using: go-md2man-v2</w:t>
        <w:t xml:space="preserve"> </w:t>
        <w:t>(=</w:t>
        <w:t xml:space="preserve"> </w:t>
        <w:t>2</w:t>
        <w:t>.0.1+ds1-1</w:t>
        <w:t>)</w:t>
        <w:t>, golang-1.18</w:t>
        <w:t xml:space="preserve"> </w:t>
        <w:t>(=</w:t>
        <w:t xml:space="preserve"> </w:t>
        <w:t>1</w:t>
        <w:t>.18-1ubuntu1</w:t>
        <w:t>)</w:t>
        <w:t>, golang-bazil-</w:t>
        <w:t>fuse</w:t>
        <w:t xml:space="preserve"> </w:t>
        <w:t>(=</w:t>
        <w:t xml:space="preserve"> </w:t>
        <w:t>0</w:t>
        <w:t>.0~git20160811.0.371fbbd-3</w:t>
        <w:t>)</w:t>
        <w:t>, ...</w:t>
      </w:r>
    </w:p>
    <w:p>
      <w:pPr>
        <w:pStyle w:val="Para 17"/>
      </w:pPr>
      <w:r>
        <w:t/>
      </w:r>
    </w:p>
    <w:p>
      <w:pPr>
        <w:pStyle w:val="Normal"/>
      </w:pPr>
      <w:r>
        <w:t>Ok, this time we have a lot of information (truncated above for brevity, since it’s all in one very long line). If we look at the full output carefully, we can see that rclone was built statically using the golang-go.crypto package, and documentation about that package and its crypto implementations is what we should look for.</w:t>
      </w:r>
    </w:p>
    <w:p>
      <w:pPr>
        <w:pStyle w:val="Normal"/>
      </w:pPr>
      <w:r>
        <w:t>If the Built-Using header was not there, or didn’t yield any clues, we could try one more step and look for the build dependencies. These can be found in the debian/ control file of the source package. In the case of rclone for Ubuntu Jammy, that</w:t>
      </w:r>
    </w:p>
    <w:p>
      <w:pPr>
        <w:pStyle w:val="Para 18"/>
      </w:pPr>
      <w:r>
        <w:rPr>
          <w:rStyle w:val="Text7"/>
        </w:rPr>
        <w:t xml:space="preserve">can be seen at </w:t>
      </w:r>
      <w:hyperlink r:id="rId1641">
        <w:r>
          <w:t>https://git.launchpad.net/ubuntu/+source/rclone/tree/debian/control?h=</w:t>
        </w:r>
      </w:hyperlink>
    </w:p>
    <w:p>
      <w:pPr>
        <w:pStyle w:val="Normal"/>
      </w:pPr>
      <w:hyperlink r:id="rId1641">
        <w:r>
          <w:rPr>
            <w:rStyle w:val="Text1"/>
          </w:rPr>
          <w:t xml:space="preserve">ubuntu/jammy-devel#n7, </w:t>
        </w:r>
      </w:hyperlink>
      <w:r>
        <w:t>and a quick look at the Build-Depends list shows us the golang-golang-x-crypto-dev build dependency, whose source package is golang-go.crypto as ex-pected:</w:t>
      </w:r>
    </w:p>
    <w:p>
      <w:pPr>
        <w:pStyle w:val="Normal"/>
      </w:pPr>
      <w:r>
        <w:t>$ apt-cache show golang-golang-x-crypto-dev | grep ^Source:</w:t>
        <w:t xml:space="preserve"> </w:t>
        <w:t>Source: golang-go.crypto</w:t>
      </w:r>
    </w:p>
    <w:p>
      <w:pPr>
        <w:pStyle w:val="Para 17"/>
      </w:pPr>
      <w:r>
        <w:t/>
      </w:r>
    </w:p>
    <w:p>
      <w:pPr>
        <w:pStyle w:val="Para 08"/>
      </w:pPr>
      <w:r>
        <w:t>Note:</w:t>
      </w:r>
    </w:p>
    <w:p>
      <w:pPr>
        <w:pStyle w:val="Para 03"/>
      </w:pPr>
      <w:r>
        <w:t>If there is no Source: line, then it means the name of the source package is the same as</w:t>
      </w:r>
    </w:p>
    <w:p>
      <w:pPr>
        <w:pStyle w:val="Para 03"/>
      </w:pPr>
      <w:r>
        <w:t>the binary package that was queried.</w:t>
      </w:r>
    </w:p>
    <w:p>
      <w:pPr>
        <w:pStyle w:val="Para 17"/>
      </w:pPr>
      <w:r>
        <w:t/>
      </w:r>
    </w:p>
    <w:p>
      <w:pPr>
        <w:pStyle w:val="Para 01"/>
      </w:pPr>
      <w:r>
        <w:t>What’s next?</w:t>
      </w:r>
    </w:p>
    <w:p>
      <w:pPr>
        <w:pStyle w:val="Para 17"/>
      </w:pPr>
      <w:r>
        <w:t/>
      </w:r>
    </w:p>
    <w:p>
      <w:pPr>
        <w:pStyle w:val="Normal"/>
      </w:pPr>
      <w:r>
        <w:t>Once you have uncovered which library your application is using, the following guides may help you to understand the associated configuration files and what options you have avail-able (including some handy examples).</w:t>
      </w:r>
    </w:p>
    <w:p>
      <w:pPr>
        <w:pStyle w:val="Para 04"/>
      </w:pPr>
      <w:r>
        <w:t xml:space="preserve">• </w:t>
      </w:r>
      <w:hyperlink w:anchor="page_756">
        <w:r>
          <w:rPr>
            <w:rStyle w:val="Text2"/>
          </w:rPr>
          <w:t>OpenSSL guide</w:t>
        </w:r>
      </w:hyperlink>
      <w:r>
        <w:t xml:space="preserve"> (page 755)</w:t>
      </w:r>
    </w:p>
    <w:p>
      <w:pPr>
        <w:pStyle w:val="Para 04"/>
      </w:pPr>
      <w:r>
        <w:t xml:space="preserve">• </w:t>
      </w:r>
      <w:hyperlink w:anchor="page_763">
        <w:r>
          <w:rPr>
            <w:rStyle w:val="Text2"/>
          </w:rPr>
          <w:t>GnuTLS guide</w:t>
        </w:r>
      </w:hyperlink>
      <w:r>
        <w:t xml:space="preserve"> (page 762)</w:t>
      </w:r>
    </w:p>
    <w:p>
      <w:pPr>
        <w:pStyle w:val="Para 14"/>
      </w:pPr>
      <w:r>
        <w:rPr>
          <w:rStyle w:val="Text4"/>
        </w:rPr>
        <w:t xml:space="preserve">• </w:t>
      </w:r>
      <w:hyperlink w:anchor="page_789">
        <w:r>
          <w:t>Troubleshooting TLS/SSL</w:t>
        </w:r>
      </w:hyperlink>
      <w:r>
        <w:rPr>
          <w:rStyle w:val="Text4"/>
        </w:rPr>
        <w:t xml:space="preserve"> (page 788)</w:t>
      </w:r>
    </w:p>
    <w:p>
      <w:pPr>
        <w:pStyle w:val="Para 17"/>
      </w:pPr>
      <w:r>
        <w:t/>
      </w:r>
    </w:p>
    <w:p>
      <w:pPr>
        <w:pStyle w:val="Para 01"/>
      </w:pPr>
      <w:r>
        <w:t>Common crypto libraries</w:t>
      </w:r>
    </w:p>
    <w:p>
      <w:pPr>
        <w:pStyle w:val="Para 17"/>
      </w:pPr>
      <w:r>
        <w:t/>
      </w:r>
    </w:p>
    <w:p>
      <w:pPr>
        <w:pStyle w:val="Normal"/>
      </w:pPr>
      <w:r>
        <w:t>These pages discuss various popular cryptographic libraries that are commonly found in Ubuntu.</w:t>
      </w:r>
    </w:p>
    <w:p>
      <w:bookmarkStart w:id="1194" w:name="calibre_pb_219"/>
      <w:pPr>
        <w:pStyle w:val="0 Block"/>
      </w:pPr>
      <w:bookmarkEnd w:id="1194"/>
    </w:p>
    <w:p>
      <w:bookmarkStart w:id="1195" w:name="Top_of_index_split_220_html"/>
      <w:bookmarkStart w:id="1196" w:name="page_75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1" name="index-756_1.png" descr="index-756_1.png"/>
            <wp:cNvGraphicFramePr>
              <a:graphicFrameLocks noChangeAspect="1"/>
            </wp:cNvGraphicFramePr>
            <a:graphic>
              <a:graphicData uri="http://schemas.openxmlformats.org/drawingml/2006/picture">
                <pic:pic>
                  <pic:nvPicPr>
                    <pic:cNvPr id="0" name="index-756_1.png" descr="index-756_1.png"/>
                    <pic:cNvPicPr/>
                  </pic:nvPicPr>
                  <pic:blipFill>
                    <a:blip r:embed="rId795"/>
                    <a:stretch>
                      <a:fillRect/>
                    </a:stretch>
                  </pic:blipFill>
                  <pic:spPr>
                    <a:xfrm>
                      <a:off x="0" y="0"/>
                      <a:ext cx="914400" cy="266700"/>
                    </a:xfrm>
                    <a:prstGeom prst="rect">
                      <a:avLst/>
                    </a:prstGeom>
                  </pic:spPr>
                </pic:pic>
              </a:graphicData>
            </a:graphic>
          </wp:anchor>
        </w:drawing>
      </w:r>
      <w:bookmarkEnd w:id="1195"/>
      <w:bookmarkEnd w:id="1196"/>
    </w:p>
    <w:p>
      <w:pPr>
        <w:pStyle w:val="Para 01"/>
      </w:pPr>
      <w:r>
        <w:t>OpenSSL</w:t>
      </w:r>
    </w:p>
    <w:p>
      <w:pPr>
        <w:pStyle w:val="Para 17"/>
      </w:pPr>
      <w:r>
        <w:t/>
      </w:r>
    </w:p>
    <w:p>
      <w:pPr>
        <w:pStyle w:val="Normal"/>
      </w:pPr>
      <w:r>
        <w:t>OpenSSL is probably the most well known cryptographic library, used by thousands of projects and applications.</w:t>
      </w:r>
    </w:p>
    <w:p>
      <w:pPr>
        <w:pStyle w:val="Normal"/>
      </w:pPr>
      <w:r>
        <w:t>The OpenSSL configuration file is located at /etc/ssl/openssl.cnf and is used both by the library itself and the command-line tools included in the package. It is simple in structure, but quite complex in the details, and it won’t be fully covered here. In particular, we will only cover the settings that control which cryptographic algorithms will be allowed by default.</w:t>
      </w:r>
    </w:p>
    <w:p>
      <w:pPr>
        <w:pStyle w:val="Para 17"/>
      </w:pPr>
      <w:r>
        <w:t/>
      </w:r>
    </w:p>
    <w:p>
      <w:pPr>
        <w:pStyle w:val="Para 01"/>
      </w:pPr>
      <w:r>
        <w:t>Structure of the config file</w:t>
      </w:r>
    </w:p>
    <w:p>
      <w:pPr>
        <w:pStyle w:val="Para 17"/>
      </w:pPr>
      <w:r>
        <w:t/>
      </w:r>
    </w:p>
    <w:p>
      <w:pPr>
        <w:pStyle w:val="Normal"/>
      </w:pPr>
      <w:r>
        <w:t>The OpenSSL configuration file is very similar to a standard INI file. It starts with a name-less default section, not inside any [section] block, and after that we have the traditional</w:t>
      </w:r>
    </w:p>
    <w:p>
      <w:pPr>
        <w:pStyle w:val="Normal"/>
      </w:pPr>
      <w:r>
        <w:t xml:space="preserve">[section-name] </w:t>
      </w:r>
      <w:hyperlink w:anchor="page_756">
        <w:r>
          <w:rPr>
            <w:rStyle w:val="Text9"/>
          </w:rPr>
          <w:t>749</w:t>
        </w:r>
      </w:hyperlink>
      <w:r>
        <w:t xml:space="preserve"> followed by the key = value lines. The </w:t>
      </w:r>
      <w:hyperlink r:id="rId1642">
        <w:r>
          <w:rPr>
            <w:rStyle w:val="Text2"/>
          </w:rPr>
          <w:t>SSL config manual page</w:t>
        </w:r>
      </w:hyperlink>
      <w:r>
        <w:t xml:space="preserve"> has all the details.</w:t>
      </w:r>
    </w:p>
    <w:p>
      <w:pPr>
        <w:pStyle w:val="Normal"/>
      </w:pPr>
      <w:r>
        <w:t>This is what it looks like:</w:t>
      </w:r>
    </w:p>
    <w:p>
      <w:pPr>
        <w:pStyle w:val="Normal"/>
      </w:pPr>
      <w:r>
        <w:t>openssl_conf</w:t>
        <w:t xml:space="preserve"> </w:t>
        <w:t>=</w:t>
        <w:t xml:space="preserve"> </w:t>
        <w:t>&lt;name-of-conf-section&gt;</w:t>
      </w:r>
    </w:p>
    <w:p>
      <w:pPr>
        <w:pStyle w:val="Para 01"/>
      </w:pPr>
      <w:r>
        <w:t>[name-of-conf-section]</w:t>
      </w:r>
    </w:p>
    <w:p>
      <w:pPr>
        <w:pStyle w:val="Normal"/>
      </w:pPr>
      <w:r>
        <w:t>ssl_conf</w:t>
        <w:t xml:space="preserve"> </w:t>
        <w:t>=</w:t>
        <w:t xml:space="preserve"> </w:t>
        <w:t>&lt;name-of-ssl-section&gt;</w:t>
      </w:r>
    </w:p>
    <w:p>
      <w:pPr>
        <w:pStyle w:val="Para 01"/>
      </w:pPr>
      <w:r>
        <w:t>[name-of-ssl-section]</w:t>
      </w:r>
    </w:p>
    <w:p>
      <w:pPr>
        <w:pStyle w:val="Normal"/>
      </w:pPr>
      <w:r>
        <w:t>server</w:t>
        <w:t xml:space="preserve"> </w:t>
        <w:t>=</w:t>
        <w:t xml:space="preserve"> </w:t>
        <w:t>&lt;name of section&gt;</w:t>
      </w:r>
    </w:p>
    <w:p>
      <w:pPr>
        <w:pStyle w:val="Normal"/>
      </w:pPr>
      <w:r>
        <w:t>client</w:t>
        <w:t xml:space="preserve"> </w:t>
        <w:t>=</w:t>
        <w:t xml:space="preserve"> </w:t>
        <w:t>&lt;name of section&gt;</w:t>
      </w:r>
    </w:p>
    <w:p>
      <w:pPr>
        <w:pStyle w:val="Normal"/>
      </w:pPr>
      <w:r>
        <w:t>system_default</w:t>
        <w:t xml:space="preserve"> </w:t>
        <w:t>=</w:t>
        <w:t xml:space="preserve"> </w:t>
        <w:t>&lt;name of section&gt;</w:t>
      </w:r>
    </w:p>
    <w:p>
      <w:pPr>
        <w:pStyle w:val="Para 17"/>
      </w:pPr>
      <w:r>
        <w:t/>
      </w:r>
    </w:p>
    <w:p>
      <w:pPr>
        <w:pStyle w:val="Normal"/>
      </w:pPr>
      <w:r>
        <w:t>See how it’s like a chain, where a key (openssl_conf) points at the name of a section, and that section has a key that points to another section, and so on.</w:t>
      </w:r>
    </w:p>
    <w:p>
      <w:pPr>
        <w:pStyle w:val="Normal"/>
      </w:pPr>
      <w:r>
        <w:t>To adjust the algorithms and ciphers used in a SSL/TLS connection, we are interested in the “SSL Configuration” section of the library, where we can define the behavior of server, client, and the library defaults.</w:t>
      </w:r>
    </w:p>
    <w:p>
      <w:pPr>
        <w:pStyle w:val="Normal"/>
      </w:pPr>
      <w:r>
        <w:t>For example, in an Ubuntu Jammy installation, we have (omitting unrelated entries for brevity):</w:t>
      </w:r>
    </w:p>
    <w:p>
      <w:pPr>
        <w:pStyle w:val="Normal"/>
      </w:pPr>
      <w:r>
        <w:t>openssl_conf</w:t>
        <w:t xml:space="preserve"> </w:t>
        <w:t>=</w:t>
        <w:t xml:space="preserve"> </w:t>
        <w:t>openssl_init</w:t>
      </w:r>
    </w:p>
    <w:p>
      <w:pPr>
        <w:pStyle w:val="Para 01"/>
      </w:pPr>
      <w:r>
        <w:t>[openssl_init]</w:t>
      </w:r>
    </w:p>
    <w:p>
      <w:pPr>
        <w:pStyle w:val="Normal"/>
      </w:pPr>
      <w:r>
        <w:t>ssl_conf</w:t>
        <w:t xml:space="preserve"> </w:t>
        <w:t>=</w:t>
        <w:t xml:space="preserve"> </w:t>
        <w:t>ssl_sect</w:t>
      </w:r>
    </w:p>
    <w:p>
      <w:pPr>
        <w:pStyle w:val="Para 01"/>
      </w:pPr>
      <w:r>
        <w:t>[ssl_sect]</w:t>
      </w:r>
    </w:p>
    <w:p>
      <w:pPr>
        <w:pStyle w:val="Normal"/>
      </w:pPr>
      <w:r>
        <w:t>system_default</w:t>
        <w:t xml:space="preserve"> </w:t>
        <w:t>=</w:t>
        <w:t xml:space="preserve"> </w:t>
        <w:t>system_default_sect</w:t>
      </w:r>
    </w:p>
    <w:p>
      <w:pPr>
        <w:pStyle w:val="Para 01"/>
      </w:pPr>
      <w:r>
        <w:t>[system_default_sect]</w:t>
      </w:r>
    </w:p>
    <w:p>
      <w:pPr>
        <w:pStyle w:val="Normal"/>
      </w:pPr>
      <w:r>
        <w:t>CipherString</w:t>
        <w:t xml:space="preserve"> </w:t>
        <w:t>=</w:t>
        <w:t xml:space="preserve"> </w:t>
        <w:t>DEFAULT:@SECLEVEL=2</w:t>
      </w:r>
    </w:p>
    <w:p>
      <w:pPr>
        <w:pStyle w:val="Para 17"/>
      </w:pPr>
      <w:r>
        <w:t/>
      </w:r>
    </w:p>
    <w:p>
      <w:pPr>
        <w:pStyle w:val="Normal"/>
      </w:pPr>
      <w:r>
        <w:t>This gives us our first information about the default set of ciphers and algorithms used by OpenSSL in an Ubuntu installation: DEFAULT:@SECLEVEL=2. What that means is detailed inside</w:t>
      </w:r>
    </w:p>
    <w:p>
      <w:pPr>
        <w:pStyle w:val="Para 20"/>
      </w:pPr>
      <w:r>
        <w:rPr>
          <w:rStyle w:val="Text4"/>
        </w:rPr>
        <w:t xml:space="preserve">the </w:t>
      </w:r>
      <w:hyperlink w:anchor="page_756">
        <w:r>
          <w:rPr>
            <w:rStyle w:val="Text15"/>
          </w:rPr>
          <w:t>750</w:t>
        </w:r>
      </w:hyperlink>
      <w:r>
        <w:rPr>
          <w:rStyle w:val="Text4"/>
        </w:rPr>
        <w:t xml:space="preserve"> </w:t>
      </w:r>
      <w:hyperlink r:id="rId1643">
        <w:r>
          <w:t>SSL_CTX_set_security_level(3)</w:t>
        </w:r>
      </w:hyperlink>
      <w:r>
        <w:rPr>
          <w:rStyle w:val="Text4"/>
        </w:rPr>
        <w:t xml:space="preserve"> manual page.</w:t>
      </w:r>
    </w:p>
    <w:p>
      <w:pPr>
        <w:pStyle w:val="Para 05"/>
      </w:pPr>
      <w:r>
        <w:rPr>
          <w:rStyle w:val="Text5"/>
        </w:rPr>
        <w:t>749</w:t>
      </w:r>
      <w:r>
        <w:rPr>
          <w:rStyle w:val="Text8"/>
        </w:rPr>
        <w:t xml:space="preserve"> </w:t>
      </w:r>
      <w:r>
        <w:t>https://manpages.ubuntu.com/manpages/resolute/man5ssl/config.5ssl.html</w:t>
      </w:r>
    </w:p>
    <w:p>
      <w:pPr>
        <w:pStyle w:val="Para 05"/>
      </w:pPr>
      <w:r>
        <w:rPr>
          <w:rStyle w:val="Text5"/>
        </w:rPr>
        <w:t>750</w:t>
      </w:r>
      <w:r>
        <w:rPr>
          <w:rStyle w:val="Text8"/>
        </w:rPr>
        <w:t xml:space="preserve"> </w:t>
      </w:r>
      <w:r>
        <w:t>https://manpages.ubuntu.com/manpages/resolute/man3/SSL_CTX_set_security_level.3.html</w:t>
      </w:r>
    </w:p>
    <w:p>
      <w:bookmarkStart w:id="1197" w:name="page_7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2" name="index-757_1.png" descr="index-757_1.png"/>
            <wp:cNvGraphicFramePr>
              <a:graphicFrameLocks noChangeAspect="1"/>
            </wp:cNvGraphicFramePr>
            <a:graphic>
              <a:graphicData uri="http://schemas.openxmlformats.org/drawingml/2006/picture">
                <pic:pic>
                  <pic:nvPicPr>
                    <pic:cNvPr id="0" name="index-757_1.png" descr="index-757_1.png"/>
                    <pic:cNvPicPr/>
                  </pic:nvPicPr>
                  <pic:blipFill>
                    <a:blip r:embed="rId796"/>
                    <a:stretch>
                      <a:fillRect/>
                    </a:stretch>
                  </pic:blipFill>
                  <pic:spPr>
                    <a:xfrm>
                      <a:off x="0" y="0"/>
                      <a:ext cx="914400" cy="266700"/>
                    </a:xfrm>
                    <a:prstGeom prst="rect">
                      <a:avLst/>
                    </a:prstGeom>
                  </pic:spPr>
                </pic:pic>
              </a:graphicData>
            </a:graphic>
          </wp:anchor>
        </w:drawing>
      </w:r>
      <w:bookmarkEnd w:id="1197"/>
    </w:p>
    <w:p>
      <w:pPr>
        <w:pStyle w:val="Para 08"/>
      </w:pPr>
      <w:r>
        <w:t>Note:</w:t>
      </w:r>
    </w:p>
    <w:p>
      <w:pPr>
        <w:pStyle w:val="Para 03"/>
      </w:pPr>
      <w:r>
        <w:t xml:space="preserve">In Ubuntu Jammy, TLS versions below 1.2 are </w:t>
      </w:r>
      <w:r>
        <w:rPr>
          <w:rStyle w:val="Text0"/>
        </w:rPr>
        <w:t>disabled</w:t>
      </w:r>
      <w:r>
        <w:t xml:space="preserve"> in OpenSSL’s SECLEVEL=2 due to </w:t>
      </w:r>
      <w:hyperlink r:id="rId1644">
        <w:r>
          <w:rPr>
            <w:rStyle w:val="Text1"/>
          </w:rPr>
          <w:t>this</w:t>
        </w:r>
      </w:hyperlink>
    </w:p>
    <w:p>
      <w:pPr>
        <w:pStyle w:val="Para 22"/>
      </w:pPr>
      <w:hyperlink r:id="rId1644">
        <w:r>
          <w:t>patch</w:t>
        </w:r>
      </w:hyperlink>
      <w:r>
        <w:rPr>
          <w:rStyle w:val="Text7"/>
        </w:rPr>
        <w:t xml:space="preserve"> </w:t>
      </w:r>
      <w:hyperlink w:anchor="page_757">
        <w:r>
          <w:rPr>
            <w:rStyle w:val="Text10"/>
          </w:rPr>
          <w:t>751</w:t>
        </w:r>
      </w:hyperlink>
      <w:r>
        <w:rPr>
          <w:rStyle w:val="Text7"/>
        </w:rPr>
        <w:t>.</w:t>
      </w:r>
    </w:p>
    <w:p>
      <w:pPr>
        <w:pStyle w:val="Para 41"/>
      </w:pPr>
      <w:r>
        <w:rPr>
          <w:rStyle w:val="Text5"/>
        </w:rPr>
        <w:t>751</w:t>
      </w:r>
      <w:r>
        <w:rPr>
          <w:rStyle w:val="Text8"/>
        </w:rPr>
        <w:t xml:space="preserve"> </w:t>
      </w:r>
      <w:r>
        <w:t>https://git.launchpad.net/ubuntu/+source/openssl/tree/debian/patches/tls1.2-min-seclevel2.patch?h=</w:t>
      </w:r>
    </w:p>
    <w:p>
      <w:pPr>
        <w:pStyle w:val="Para 05"/>
      </w:pPr>
      <w:r>
        <w:t>ubuntu/jammy-devel</w:t>
      </w:r>
    </w:p>
    <w:p>
      <w:pPr>
        <w:pStyle w:val="Para 17"/>
      </w:pPr>
      <w:r>
        <w:t/>
      </w:r>
    </w:p>
    <w:p>
      <w:pPr>
        <w:pStyle w:val="Normal"/>
      </w:pPr>
      <w:r>
        <w:t xml:space="preserve">That default is also set at package building time, and in the case of Ubuntu, it’s </w:t>
      </w:r>
      <w:hyperlink r:id="rId1645">
        <w:r>
          <w:rPr>
            <w:rStyle w:val="Text1"/>
          </w:rPr>
          <w:t>set to SE-</w:t>
        </w:r>
      </w:hyperlink>
    </w:p>
    <w:p>
      <w:pPr>
        <w:pStyle w:val="Para 18"/>
      </w:pPr>
      <w:hyperlink r:id="rId1645">
        <w:r>
          <w:t>CLEVEL=2</w:t>
        </w:r>
      </w:hyperlink>
      <w:hyperlink w:anchor="page_757">
        <w:r>
          <w:rPr>
            <w:rStyle w:val="Text10"/>
          </w:rPr>
          <w:t>752</w:t>
        </w:r>
      </w:hyperlink>
      <w:r>
        <w:rPr>
          <w:rStyle w:val="Text7"/>
        </w:rPr>
        <w:t xml:space="preserve"> .</w:t>
      </w:r>
    </w:p>
    <w:p>
      <w:pPr>
        <w:pStyle w:val="Normal"/>
      </w:pPr>
      <w:r>
        <w:t xml:space="preserve">The list of allowed ciphers in a security level can be obtained with the </w:t>
      </w:r>
      <w:hyperlink r:id="rId1646">
        <w:r>
          <w:rPr>
            <w:rStyle w:val="Text9"/>
          </w:rPr>
          <w:t>753</w:t>
        </w:r>
      </w:hyperlink>
      <w:hyperlink r:id="rId1646">
        <w:r>
          <w:rPr>
            <w:rStyle w:val="Text1"/>
          </w:rPr>
          <w:t xml:space="preserve"> openssl ciphers</w:t>
        </w:r>
      </w:hyperlink>
      <w:r>
        <w:t xml:space="preserve"> command (output truncated for brevity):</w:t>
      </w:r>
    </w:p>
    <w:p>
      <w:pPr>
        <w:pStyle w:val="Normal"/>
      </w:pPr>
      <w:r>
        <w:t>$ openssl ciphers -s -v DEFAULT:@SECLEVEL</w:t>
        <w:t>=</w:t>
        <w:t>2</w:t>
        <w:t xml:space="preserve"> </w:t>
        <w:t>TLS_AES_256_GCM_SHA384</w:t>
        <w:t xml:space="preserve"> </w:t>
        <w:t>TLSv1.3</w:t>
        <w:t xml:space="preserve"> </w:t>
        <w:t>Kx</w:t>
        <w:t>=</w:t>
        <w:t>any</w:t>
        <w:t xml:space="preserve"> </w:t>
        <w:t>Au</w:t>
        <w:t>=</w:t>
        <w:t>any</w:t>
        <w:t xml:space="preserve"> </w:t>
        <w:t>Enc</w:t>
        <w:t>=</w:t>
        <w:t>AESGCM</w:t>
        <w:t>(</w:t>
        <w:t>256</w:t>
        <w:t>)</w:t>
        <w:t xml:space="preserve"> </w:t>
        <w:t>Mac</w:t>
        <w:t>=</w:t>
        <w:t>AEAD</w:t>
      </w:r>
    </w:p>
    <w:p>
      <w:pPr>
        <w:pStyle w:val="Normal"/>
      </w:pPr>
      <w:r>
        <w:t>TLS_CHACHA20_POLY1305_SHA256</w:t>
        <w:t xml:space="preserve"> </w:t>
        <w:t>TLSv1.3</w:t>
        <w:t xml:space="preserve"> </w:t>
        <w:t>Kx</w:t>
        <w:t>=</w:t>
        <w:t>any</w:t>
        <w:t xml:space="preserve"> </w:t>
        <w:t>Au</w:t>
        <w:t>=</w:t>
        <w:t>any</w:t>
        <w:t xml:space="preserve"> </w:t>
        <w:t>Enc</w:t>
        <w:t>=</w:t>
        <w:t>CHACHA20/POLY1305</w:t>
        <w:t>(</w:t>
        <w:t>256</w:t>
        <w:t>)</w:t>
        <w:t xml:space="preserve"> </w:t>
        <w:t>Mac</w:t>
        <w:t>=</w:t>
        <w:t>AEAD</w:t>
      </w:r>
    </w:p>
    <w:p>
      <w:pPr>
        <w:pStyle w:val="Normal"/>
      </w:pPr>
      <w:r>
        <w:t>TLS_AES_128_GCM_SHA256</w:t>
        <w:t xml:space="preserve"> </w:t>
        <w:t>TLSv1.3</w:t>
        <w:t xml:space="preserve"> </w:t>
        <w:t>Kx</w:t>
        <w:t>=</w:t>
        <w:t>any</w:t>
        <w:t xml:space="preserve"> </w:t>
        <w:t>Au</w:t>
        <w:t>=</w:t>
        <w:t>any</w:t>
        <w:t xml:space="preserve"> </w:t>
        <w:t>Enc</w:t>
        <w:t>=</w:t>
        <w:t>AESGCM</w:t>
        <w:t>(</w:t>
        <w:t>128</w:t>
        <w:t>)</w:t>
        <w:t xml:space="preserve"> </w:t>
        <w:t>Mac</w:t>
        <w:t>=</w:t>
        <w:t>AEAD</w:t>
      </w:r>
    </w:p>
    <w:p>
      <w:pPr>
        <w:pStyle w:val="Normal"/>
      </w:pPr>
      <w:r>
        <w:t>ECDHE-ECDSA-AES256-GCM-SHA384</w:t>
        <w:t xml:space="preserve"> </w:t>
        <w:t>TLSv1.2</w:t>
        <w:t xml:space="preserve"> </w:t>
        <w:t>Kx</w:t>
        <w:t>=</w:t>
        <w:t>ECDH</w:t>
        <w:t xml:space="preserve"> </w:t>
        <w:t>Au</w:t>
        <w:t>=</w:t>
        <w:t>ECDSA</w:t>
        <w:t xml:space="preserve"> </w:t>
        <w:t>Enc</w:t>
        <w:t>=</w:t>
        <w:t>AESGCM</w:t>
        <w:t>(</w:t>
        <w:t>256</w:t>
        <w:t>)</w:t>
        <w:t xml:space="preserve"> </w:t>
        <w:t>Mac</w:t>
        <w:t>=</w:t>
        <w:t>AEAD</w:t>
      </w:r>
    </w:p>
    <w:p>
      <w:pPr>
        <w:pStyle w:val="Normal"/>
      </w:pPr>
      <w:r>
        <w:t>(</w:t>
        <w:t>...</w:t>
        <w:t>)</w:t>
      </w:r>
    </w:p>
    <w:p>
      <w:pPr>
        <w:pStyle w:val="Para 17"/>
      </w:pPr>
      <w:r>
        <w:t/>
      </w:r>
    </w:p>
    <w:p>
      <w:pPr>
        <w:pStyle w:val="Para 08"/>
      </w:pPr>
      <w:r>
        <w:t>Note:</w:t>
      </w:r>
    </w:p>
    <w:p>
      <w:pPr>
        <w:pStyle w:val="Para 03"/>
      </w:pPr>
      <w:r>
        <w:t>The openssl ciphers command will output even ciphers that are not allowed, unless the</w:t>
      </w:r>
    </w:p>
    <w:p>
      <w:pPr>
        <w:pStyle w:val="Para 03"/>
      </w:pPr>
      <w:r>
        <w:t xml:space="preserve">-s switch is given. That option tells the command to list only </w:t>
      </w:r>
      <w:r>
        <w:rPr>
          <w:rStyle w:val="Text0"/>
        </w:rPr>
        <w:t>supported</w:t>
      </w:r>
      <w:r>
        <w:t xml:space="preserve"> ciphers.</w:t>
      </w:r>
    </w:p>
    <w:p>
      <w:pPr>
        <w:pStyle w:val="Para 17"/>
      </w:pPr>
      <w:r>
        <w:t/>
      </w:r>
    </w:p>
    <w:p>
      <w:pPr>
        <w:pStyle w:val="Normal"/>
      </w:pPr>
      <w:r>
        <w:t xml:space="preserve">All the options that can be set in the system_default_sect section are detailed in the </w:t>
      </w:r>
      <w:hyperlink r:id="rId1647">
        <w:r>
          <w:rPr>
            <w:rStyle w:val="Text2"/>
          </w:rPr>
          <w:t>SSL_</w:t>
        </w:r>
      </w:hyperlink>
    </w:p>
    <w:p>
      <w:pPr>
        <w:pStyle w:val="Normal"/>
      </w:pPr>
      <w:hyperlink r:id="rId1647">
        <w:r>
          <w:rPr>
            <w:rStyle w:val="Text2"/>
          </w:rPr>
          <w:t>CONF_cmd(3)</w:t>
        </w:r>
      </w:hyperlink>
      <w:hyperlink w:anchor="page_757">
        <w:r>
          <w:rPr>
            <w:rStyle w:val="Text9"/>
          </w:rPr>
          <w:t>754</w:t>
        </w:r>
      </w:hyperlink>
      <w:r>
        <w:t xml:space="preserve"> manual page.</w:t>
      </w:r>
    </w:p>
    <w:p>
      <w:pPr>
        <w:pStyle w:val="Para 17"/>
      </w:pPr>
      <w:r>
        <w:t/>
      </w:r>
    </w:p>
    <w:p>
      <w:pPr>
        <w:pStyle w:val="Para 01"/>
      </w:pPr>
      <w:r>
        <w:t>Cipher strings, cipher suites, cipher lists</w:t>
      </w:r>
    </w:p>
    <w:p>
      <w:pPr>
        <w:pStyle w:val="Para 17"/>
      </w:pPr>
      <w:r>
        <w:t/>
      </w:r>
    </w:p>
    <w:p>
      <w:pPr>
        <w:pStyle w:val="Normal"/>
      </w:pPr>
      <w:r>
        <w:t>Encrypting data (or signing it) is not a one step process. The whole transformation applied to the source data (until it is in its encrypted form) has several stages, and each stage typically uses a different cryptographic algorithm. The combination of these algorithms is called a cipher suite.</w:t>
      </w:r>
    </w:p>
    <w:p>
      <w:pPr>
        <w:pStyle w:val="Normal"/>
      </w:pPr>
      <w:r>
        <w:t>Similar to GnuTLS, OpenSSL also uses the concept of cipher strings to group several algo-</w:t>
      </w:r>
    </w:p>
    <w:p>
      <w:pPr>
        <w:pStyle w:val="Normal"/>
      </w:pPr>
      <w:r>
        <w:t xml:space="preserve">rithms and cipher suites together. The full list of cipher strings is shown in the </w:t>
      </w:r>
      <w:hyperlink r:id="rId1646">
        <w:r>
          <w:rPr>
            <w:rStyle w:val="Text1"/>
          </w:rPr>
          <w:t>openssl ci-</w:t>
        </w:r>
      </w:hyperlink>
    </w:p>
    <w:p>
      <w:pPr>
        <w:pStyle w:val="Normal"/>
      </w:pPr>
      <w:hyperlink r:id="rId1646">
        <w:r>
          <w:rPr>
            <w:rStyle w:val="Text1"/>
          </w:rPr>
          <w:t>phers</w:t>
        </w:r>
      </w:hyperlink>
      <w:hyperlink r:id="rId1646">
        <w:r>
          <w:rPr>
            <w:rStyle w:val="Text9"/>
          </w:rPr>
          <w:t>755</w:t>
        </w:r>
      </w:hyperlink>
      <w:r>
        <w:t xml:space="preserve"> manual page.</w:t>
      </w:r>
    </w:p>
    <w:p>
      <w:pPr>
        <w:pStyle w:val="Normal"/>
      </w:pPr>
      <w:r>
        <w:t>OpenSSL distinguishes the ciphers used with TLSv1.3, and those used with TLSv1.2 and older. Specifically for the openssl ciphers command, we have:</w:t>
      </w:r>
    </w:p>
    <w:p>
      <w:pPr>
        <w:pStyle w:val="Para 04"/>
      </w:pPr>
      <w:r>
        <w:t>•-ciphersuites: used for the TLSv1.3 cipher suites. So far, there are only five listed in</w:t>
      </w:r>
    </w:p>
    <w:p>
      <w:pPr>
        <w:pStyle w:val="Para 02"/>
      </w:pPr>
      <w:r>
        <w:t xml:space="preserve">the </w:t>
      </w:r>
      <w:hyperlink w:anchor="page_757">
        <w:r>
          <w:rPr>
            <w:rStyle w:val="Text9"/>
          </w:rPr>
          <w:t>756</w:t>
        </w:r>
      </w:hyperlink>
      <w:r>
        <w:t xml:space="preserve"> </w:t>
      </w:r>
      <w:hyperlink r:id="rId1646">
        <w:r>
          <w:rPr>
            <w:rStyle w:val="Text1"/>
          </w:rPr>
          <w:t>upstream documentation</w:t>
        </w:r>
      </w:hyperlink>
      <w:r>
        <w:t>, and the defaults are:</w:t>
      </w:r>
    </w:p>
    <w:p>
      <w:pPr>
        <w:pStyle w:val="Para 05"/>
      </w:pPr>
      <w:r>
        <w:rPr>
          <w:rStyle w:val="Text5"/>
        </w:rPr>
        <w:t>752</w:t>
      </w:r>
      <w:r>
        <w:rPr>
          <w:rStyle w:val="Text8"/>
        </w:rPr>
        <w:t xml:space="preserve"> </w:t>
      </w:r>
      <w:r>
        <w:t>https://git.launchpad.net/ubuntu/+source/openssl/tree/debian/rules?h=ubuntu/jammy-devel#n15</w:t>
      </w:r>
    </w:p>
    <w:p>
      <w:pPr>
        <w:pStyle w:val="Para 05"/>
      </w:pPr>
      <w:r>
        <w:rPr>
          <w:rStyle w:val="Text5"/>
        </w:rPr>
        <w:t>753</w:t>
      </w:r>
      <w:r>
        <w:rPr>
          <w:rStyle w:val="Text8"/>
        </w:rPr>
        <w:t xml:space="preserve"> </w:t>
      </w:r>
      <w:r>
        <w:t>https://docs.openssl.org/3.0/man1/openssl-ciphers/</w:t>
      </w:r>
    </w:p>
    <w:p>
      <w:pPr>
        <w:pStyle w:val="Para 05"/>
      </w:pPr>
      <w:r>
        <w:rPr>
          <w:rStyle w:val="Text5"/>
        </w:rPr>
        <w:t>754</w:t>
      </w:r>
      <w:r>
        <w:rPr>
          <w:rStyle w:val="Text8"/>
        </w:rPr>
        <w:t xml:space="preserve"> </w:t>
      </w:r>
      <w:r>
        <w:t>https://manpages.ubuntu.com/manpages/resolute/man3/SSL_CONF_cmd.3.html</w:t>
      </w:r>
    </w:p>
    <w:p>
      <w:pPr>
        <w:pStyle w:val="Para 05"/>
      </w:pPr>
      <w:r>
        <w:rPr>
          <w:rStyle w:val="Text5"/>
        </w:rPr>
        <w:t>755</w:t>
      </w:r>
      <w:r>
        <w:rPr>
          <w:rStyle w:val="Text8"/>
        </w:rPr>
        <w:t xml:space="preserve"> </w:t>
      </w:r>
      <w:r>
        <w:t>https://docs.openssl.org/3.0/man1/openssl-ciphers/</w:t>
      </w:r>
    </w:p>
    <w:p>
      <w:pPr>
        <w:pStyle w:val="Para 05"/>
      </w:pPr>
      <w:r>
        <w:rPr>
          <w:rStyle w:val="Text5"/>
        </w:rPr>
        <w:t>756</w:t>
      </w:r>
      <w:r>
        <w:rPr>
          <w:rStyle w:val="Text8"/>
        </w:rPr>
        <w:t xml:space="preserve"> </w:t>
      </w:r>
      <w:r>
        <w:t>https://docs.openssl.org/3.0/man1/openssl-ciphers/</w:t>
      </w:r>
    </w:p>
    <w:p>
      <w:bookmarkStart w:id="1198" w:name="page_7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3" name="index-758_1.png" descr="index-758_1.png"/>
            <wp:cNvGraphicFramePr>
              <a:graphicFrameLocks noChangeAspect="1"/>
            </wp:cNvGraphicFramePr>
            <a:graphic>
              <a:graphicData uri="http://schemas.openxmlformats.org/drawingml/2006/picture">
                <pic:pic>
                  <pic:nvPicPr>
                    <pic:cNvPr id="0" name="index-758_1.png" descr="index-758_1.png"/>
                    <pic:cNvPicPr/>
                  </pic:nvPicPr>
                  <pic:blipFill>
                    <a:blip r:embed="rId797"/>
                    <a:stretch>
                      <a:fillRect/>
                    </a:stretch>
                  </pic:blipFill>
                  <pic:spPr>
                    <a:xfrm>
                      <a:off x="0" y="0"/>
                      <a:ext cx="914400" cy="266700"/>
                    </a:xfrm>
                    <a:prstGeom prst="rect">
                      <a:avLst/>
                    </a:prstGeom>
                  </pic:spPr>
                </pic:pic>
              </a:graphicData>
            </a:graphic>
          </wp:anchor>
        </w:drawing>
      </w:r>
      <w:bookmarkEnd w:id="1198"/>
    </w:p>
    <w:p>
      <w:pPr>
        <w:pStyle w:val="Para 21"/>
      </w:pPr>
      <w:r>
        <w:t>TLS_AES_256_GCM_SHA384:TLS_CHACHA20_POLY1305_SHA256:TLS_AES_128_GCM_SHA256</w:t>
      </w:r>
    </w:p>
    <w:p>
      <w:pPr>
        <w:pStyle w:val="Para 04"/>
      </w:pPr>
      <w:r>
        <w:t xml:space="preserve">• </w:t>
      </w:r>
      <w:r>
        <w:rPr>
          <w:rStyle w:val="Text3"/>
        </w:rPr>
        <w:t>cipherlist</w:t>
      </w:r>
      <w:r>
        <w:t>: this is a plain argument in the command line of the openssl ciphers com-</w:t>
      </w:r>
    </w:p>
    <w:p>
      <w:pPr>
        <w:pStyle w:val="Para 02"/>
      </w:pPr>
      <w:r>
        <w:t>mand, without a specific parameter, and is expected to be a list of cipher strings used in TLSv1.2 and lower. The default in Ubuntu Jammy 22.04 LTS is DEFAULT:@SECLEVEL=2.</w:t>
      </w:r>
    </w:p>
    <w:p>
      <w:pPr>
        <w:pStyle w:val="Normal"/>
      </w:pPr>
      <w:r>
        <w:t>These defaults are built-in in the library, and can be set in /etc/ssl/openssl.cnf via the corresponding configuration keys CipherString for TLSv1.2 and older, and CipherSuites for TLSv1.3. For example:</w:t>
      </w:r>
    </w:p>
    <w:p>
      <w:pPr>
        <w:pStyle w:val="Para 01"/>
      </w:pPr>
      <w:r>
        <w:t>[system_default_sect]</w:t>
      </w:r>
    </w:p>
    <w:p>
      <w:pPr>
        <w:pStyle w:val="Normal"/>
      </w:pPr>
      <w:r>
        <w:t>CipherString</w:t>
        <w:t xml:space="preserve"> </w:t>
        <w:t>=</w:t>
        <w:t xml:space="preserve"> </w:t>
        <w:t>DEFAULT:@SECLEVEL=2</w:t>
      </w:r>
    </w:p>
    <w:p>
      <w:pPr>
        <w:pStyle w:val="Normal"/>
      </w:pPr>
      <w:r>
        <w:t>CipherSuites</w:t>
        <w:t xml:space="preserve"> </w:t>
        <w:t>=</w:t>
        <w:t xml:space="preserve"> </w:t>
        <w:t>TLS_AES_256_GCM_SHA384:TLS_CHACHA20_POLY1305_SHA256</w:t>
      </w:r>
    </w:p>
    <w:p>
      <w:pPr>
        <w:pStyle w:val="Para 17"/>
      </w:pPr>
      <w:r>
        <w:t/>
      </w:r>
    </w:p>
    <w:p>
      <w:pPr>
        <w:pStyle w:val="Normal"/>
      </w:pPr>
      <w:r>
        <w:t xml:space="preserve">In the end, without other constraints, the library will merge both lists into one set of sup-ported crypto algorithms. If the crypto negotiation in a connection settles on TLSv1.3, then the list of </w:t>
      </w:r>
      <w:r>
        <w:rPr>
          <w:rStyle w:val="Text3"/>
        </w:rPr>
        <w:t>CipherSuites</w:t>
      </w:r>
      <w:r>
        <w:t xml:space="preserve"> is considered. If it’s TLSv1.2 or lower, then </w:t>
      </w:r>
      <w:r>
        <w:rPr>
          <w:rStyle w:val="Text3"/>
        </w:rPr>
        <w:t>CipherString</w:t>
      </w:r>
      <w:r>
        <w:t xml:space="preserve"> is used.</w:t>
      </w:r>
    </w:p>
    <w:p>
      <w:pPr>
        <w:pStyle w:val="Para 17"/>
      </w:pPr>
      <w:r>
        <w:t/>
      </w:r>
    </w:p>
    <w:p>
      <w:pPr>
        <w:pStyle w:val="Para 01"/>
      </w:pPr>
      <w:r>
        <w:t>openssl ciphers examples</w:t>
      </w:r>
    </w:p>
    <w:p>
      <w:pPr>
        <w:pStyle w:val="Para 17"/>
      </w:pPr>
      <w:r>
        <w:t/>
      </w:r>
    </w:p>
    <w:p>
      <w:pPr>
        <w:pStyle w:val="Normal"/>
      </w:pPr>
      <w:r>
        <w:t>This will list all supported/enabled ciphers, with defaults taken from the library and /etc/ ssl/openssl.cnf. Since no other options were given, this will include TLSv1.3 ciphersuites and TLSv1.2 and older cipher strings:</w:t>
      </w:r>
    </w:p>
    <w:p>
      <w:pPr>
        <w:pStyle w:val="Normal"/>
      </w:pPr>
      <w:r>
        <w:t>$ openssl ciphers -s -v</w:t>
      </w:r>
    </w:p>
    <w:p>
      <w:pPr>
        <w:pStyle w:val="Normal"/>
      </w:pPr>
      <w:r>
        <w:t>TLS_AES_256_GCM_SHA384</w:t>
        <w:t xml:space="preserve"> </w:t>
        <w:t>TLSv1.3</w:t>
        <w:t xml:space="preserve"> </w:t>
        <w:t>Kx</w:t>
        <w:t>=</w:t>
        <w:t>any</w:t>
        <w:t xml:space="preserve"> </w:t>
        <w:t>Au</w:t>
        <w:t>=</w:t>
        <w:t>any</w:t>
        <w:t xml:space="preserve"> </w:t>
        <w:t>Enc</w:t>
        <w:t>=</w:t>
        <w:t>AESGCM</w:t>
        <w:t>(</w:t>
        <w:t>256</w:t>
        <w:t>)</w:t>
        <w:t xml:space="preserve"> </w:t>
        <w:t>Mac</w:t>
        <w:t>=</w:t>
        <w:t>AEAD</w:t>
      </w:r>
    </w:p>
    <w:p>
      <w:pPr>
        <w:pStyle w:val="Normal"/>
      </w:pPr>
      <w:r>
        <w:t>TLS_CHACHA20_POLY1305_SHA256</w:t>
        <w:t xml:space="preserve"> </w:t>
        <w:t>TLSv1.3</w:t>
        <w:t xml:space="preserve"> </w:t>
        <w:t>Kx</w:t>
        <w:t>=</w:t>
        <w:t>any</w:t>
        <w:t xml:space="preserve"> </w:t>
        <w:t>Au</w:t>
        <w:t>=</w:t>
        <w:t>any</w:t>
        <w:t xml:space="preserve"> </w:t>
        <w:t>Enc</w:t>
        <w:t>=</w:t>
        <w:t>CHACHA20/POLY1305</w:t>
        <w:t>(</w:t>
        <w:t>256</w:t>
        <w:t>)</w:t>
        <w:t xml:space="preserve"> </w:t>
        <w:t>Mac</w:t>
        <w:t>=</w:t>
        <w:t>AEAD</w:t>
      </w:r>
    </w:p>
    <w:p>
      <w:pPr>
        <w:pStyle w:val="Normal"/>
      </w:pPr>
      <w:r>
        <w:t>TLS_AES_128_GCM_SHA256</w:t>
        <w:t xml:space="preserve"> </w:t>
        <w:t>TLSv1.3</w:t>
        <w:t xml:space="preserve"> </w:t>
        <w:t>Kx</w:t>
        <w:t>=</w:t>
        <w:t>any</w:t>
        <w:t xml:space="preserve"> </w:t>
        <w:t>Au</w:t>
        <w:t>=</w:t>
        <w:t>any</w:t>
        <w:t xml:space="preserve"> </w:t>
        <w:t>Enc</w:t>
        <w:t>=</w:t>
        <w:t>AESGCM</w:t>
        <w:t>(</w:t>
        <w:t>128</w:t>
        <w:t>)</w:t>
        <w:t xml:space="preserve"> </w:t>
        <w:t>Mac</w:t>
        <w:t>=</w:t>
        <w:t>AEAD</w:t>
      </w:r>
    </w:p>
    <w:p>
      <w:pPr>
        <w:pStyle w:val="Normal"/>
      </w:pPr>
      <w:r>
        <w:t>ECDHE-ECDSA-AES256-GCM-SHA384</w:t>
        <w:t xml:space="preserve"> </w:t>
        <w:t>TLSv1.2</w:t>
        <w:t xml:space="preserve"> </w:t>
        <w:t>Kx</w:t>
        <w:t>=</w:t>
        <w:t>ECDH</w:t>
        <w:t xml:space="preserve"> </w:t>
        <w:t>Au</w:t>
        <w:t>=</w:t>
        <w:t>ECDSA</w:t>
        <w:t xml:space="preserve"> </w:t>
        <w:t>Enc</w:t>
        <w:t>=</w:t>
        <w:t>AESGCM</w:t>
        <w:t>(</w:t>
        <w:t>256</w:t>
        <w:t>)</w:t>
        <w:t xml:space="preserve"> </w:t>
        <w:t>Mac</w:t>
        <w:t>=</w:t>
        <w:t>AEAD</w:t>
      </w:r>
    </w:p>
    <w:p>
      <w:pPr>
        <w:pStyle w:val="Normal"/>
      </w:pPr>
      <w:r>
        <w:t>ECDHE-RSA-AES256-GCM-SHA384</w:t>
        <w:t xml:space="preserve"> </w:t>
        <w:t>TLSv1.2</w:t>
        <w:t xml:space="preserve"> </w:t>
        <w:t>Kx</w:t>
        <w:t>=</w:t>
        <w:t>ECDH</w:t>
        <w:t xml:space="preserve"> </w:t>
        <w:t>Au</w:t>
        <w:t>=</w:t>
        <w:t>RSA</w:t>
        <w:t xml:space="preserve"> </w:t>
        <w:t>Enc</w:t>
        <w:t>=</w:t>
        <w:t>AESGCM</w:t>
        <w:t>(</w:t>
        <w:t>256</w:t>
        <w:t>)</w:t>
        <w:t xml:space="preserve"> </w:t>
        <w:t>Mac</w:t>
        <w:t>=</w:t>
        <w:t>AEAD</w:t>
      </w:r>
    </w:p>
    <w:p>
      <w:pPr>
        <w:pStyle w:val="Normal"/>
      </w:pPr>
      <w:r>
        <w:t>DHE-RSA-AES256-GCM-SHA384</w:t>
        <w:t xml:space="preserve"> </w:t>
        <w:t>TLSv1.2</w:t>
        <w:t xml:space="preserve"> </w:t>
        <w:t>Kx</w:t>
        <w:t>=</w:t>
        <w:t>DH</w:t>
        <w:t xml:space="preserve"> </w:t>
        <w:t>Au</w:t>
        <w:t>=</w:t>
        <w:t>RSA</w:t>
        <w:t xml:space="preserve"> </w:t>
        <w:t>Enc</w:t>
        <w:t>=</w:t>
        <w:t>AESGCM</w:t>
        <w:t>(</w:t>
        <w:t>256</w:t>
        <w:t>)</w:t>
        <w:t xml:space="preserve"> </w:t>
        <w:t>Mac</w:t>
        <w:t>=</w:t>
        <w:t>AEAD</w:t>
      </w:r>
    </w:p>
    <w:p>
      <w:pPr>
        <w:pStyle w:val="Normal"/>
      </w:pPr>
      <w:r>
        <w:t>ECDHE-ECDSA-CHACHA20-POLY1305</w:t>
        <w:t xml:space="preserve"> </w:t>
        <w:t>TLSv1.2</w:t>
        <w:t xml:space="preserve"> </w:t>
        <w:t>Kx</w:t>
        <w:t>=</w:t>
        <w:t>ECDH</w:t>
        <w:t xml:space="preserve"> </w:t>
        <w:t>Au</w:t>
        <w:t>=</w:t>
        <w:t>ECDSA</w:t>
        <w:t xml:space="preserve"> </w:t>
        <w:t>Enc</w:t>
        <w:t>=</w:t>
        <w:t>CHACHA20/POLY1305</w:t>
        <w:t>(</w:t>
        <w:t>256</w:t>
        <w:t>)</w:t>
        <w:t xml:space="preserve"> </w:t>
        <w:t>Mac</w:t>
        <w:t>=</w:t>
        <w:t>AEAD</w:t>
      </w:r>
    </w:p>
    <w:p>
      <w:pPr>
        <w:pStyle w:val="Normal"/>
      </w:pPr>
      <w:r>
        <w:t>ECDHE-RSA-CHACHA20-POLY1305</w:t>
        <w:t xml:space="preserve"> </w:t>
        <w:t>TLSv1.2</w:t>
        <w:t xml:space="preserve"> </w:t>
        <w:t>Kx</w:t>
        <w:t>=</w:t>
        <w:t>ECDH</w:t>
        <w:t xml:space="preserve"> </w:t>
        <w:t>Au</w:t>
        <w:t>=</w:t>
        <w:t>RSA</w:t>
        <w:t xml:space="preserve"> </w:t>
        <w:t>Enc</w:t>
        <w:t>=</w:t>
        <w:t>CHACHA20/POLY1305</w:t>
        <w:t>(</w:t>
        <w:t>256</w:t>
        <w:t>)</w:t>
        <w:t xml:space="preserve"> </w:t>
        <w:t>Mac</w:t>
        <w:t>=</w:t>
        <w:t>AEAD</w:t>
      </w:r>
    </w:p>
    <w:p>
      <w:pPr>
        <w:pStyle w:val="Normal"/>
      </w:pPr>
      <w:r>
        <w:t>DHE-RSA-CHACHA20-POLY1305</w:t>
        <w:t xml:space="preserve"> </w:t>
        <w:t>TLSv1.2</w:t>
        <w:t xml:space="preserve"> </w:t>
        <w:t>Kx</w:t>
        <w:t>=</w:t>
        <w:t>DH</w:t>
        <w:t xml:space="preserve"> </w:t>
        <w:t>Au</w:t>
        <w:t>=</w:t>
        <w:t>RSA</w:t>
        <w:t xml:space="preserve"> </w:t>
        <w:t>Enc</w:t>
        <w:t>=</w:t>
        <w:t>CHACHA20/POLY1305</w:t>
        <w:t>(</w:t>
        <w:t>256</w:t>
        <w:t>)</w:t>
        <w:t xml:space="preserve"> </w:t>
        <w:t>Mac</w:t>
        <w:t>=</w:t>
        <w:t>AEAD</w:t>
      </w:r>
    </w:p>
    <w:p>
      <w:pPr>
        <w:pStyle w:val="Normal"/>
      </w:pPr>
      <w:r>
        <w:t>ECDHE-ECDSA-AES128-GCM-SHA256</w:t>
        <w:t xml:space="preserve"> </w:t>
        <w:t>TLSv1.2</w:t>
        <w:t xml:space="preserve"> </w:t>
        <w:t>Kx</w:t>
        <w:t>=</w:t>
        <w:t>ECDH</w:t>
        <w:t xml:space="preserve"> </w:t>
        <w:t>Au</w:t>
        <w:t>=</w:t>
        <w:t>ECDSA</w:t>
        <w:t xml:space="preserve"> </w:t>
        <w:t>Enc</w:t>
        <w:t>=</w:t>
        <w:t>AESGCM</w:t>
        <w:t>(</w:t>
        <w:t>128</w:t>
        <w:t>)</w:t>
        <w:t xml:space="preserve"> </w:t>
        <w:t>Mac</w:t>
        <w:t>=</w:t>
        <w:t>AEAD</w:t>
      </w:r>
    </w:p>
    <w:p>
      <w:pPr>
        <w:pStyle w:val="Normal"/>
      </w:pPr>
      <w:r>
        <w:t>ECDHE-RSA-AES128-GCM-SHA256</w:t>
        <w:t xml:space="preserve"> </w:t>
        <w:t>TLSv1.2</w:t>
        <w:t xml:space="preserve"> </w:t>
        <w:t>Kx</w:t>
        <w:t>=</w:t>
        <w:t>ECDH</w:t>
        <w:t xml:space="preserve"> </w:t>
        <w:t>Au</w:t>
        <w:t>=</w:t>
        <w:t>RSA</w:t>
        <w:t xml:space="preserve"> </w:t>
        <w:t>Enc</w:t>
        <w:t>=</w:t>
        <w:t>AESGCM</w:t>
        <w:t>(</w:t>
        <w:t>128</w:t>
        <w:t>)</w:t>
        <w:t xml:space="preserve"> </w:t>
        <w:t>Mac</w:t>
        <w:t>=</w:t>
        <w:t>AEAD</w:t>
      </w:r>
    </w:p>
    <w:p>
      <w:pPr>
        <w:pStyle w:val="Normal"/>
      </w:pPr>
      <w:r>
        <w:t>DHE-RSA-AES128-GCM-SHA256</w:t>
        <w:t xml:space="preserve"> </w:t>
        <w:t>TLSv1.2</w:t>
        <w:t xml:space="preserve"> </w:t>
        <w:t>Kx</w:t>
        <w:t>=</w:t>
        <w:t>DH</w:t>
        <w:t xml:space="preserve"> </w:t>
        <w:t>Au</w:t>
        <w:t>=</w:t>
        <w:t>RSA</w:t>
        <w:t xml:space="preserve"> </w:t>
        <w:t>Enc</w:t>
        <w:t>=</w:t>
        <w:t>AESGCM</w:t>
        <w:t>(</w:t>
        <w:t>128</w:t>
        <w:t>)</w:t>
        <w:t xml:space="preserve"> </w:t>
        <w:t>Mac</w:t>
        <w:t>=</w:t>
        <w:t>AEAD</w:t>
      </w:r>
    </w:p>
    <w:p>
      <w:pPr>
        <w:pStyle w:val="Normal"/>
      </w:pPr>
      <w:r>
        <w:t>ECDHE-ECDSA-AES256-SHA384</w:t>
        <w:t xml:space="preserve"> </w:t>
        <w:t>TLSv1.2</w:t>
        <w:t xml:space="preserve"> </w:t>
        <w:t>Kx</w:t>
        <w:t>=</w:t>
        <w:t>ECDH</w:t>
        <w:t xml:space="preserve"> </w:t>
        <w:t>Au</w:t>
        <w:t>=</w:t>
        <w:t>ECDSA</w:t>
        <w:t xml:space="preserve"> </w:t>
        <w:t>Enc</w:t>
        <w:t>=</w:t>
        <w:t>AES</w:t>
        <w:t>(</w:t>
        <w:t>256</w:t>
        <w:t>)</w:t>
        <w:t xml:space="preserve"> </w:t>
        <w:t>Mac</w:t>
        <w:t>=</w:t>
        <w:t>SHA384</w:t>
      </w:r>
    </w:p>
    <w:p>
      <w:pPr>
        <w:pStyle w:val="Normal"/>
      </w:pPr>
      <w:r>
        <w:t>ECDHE-RSA-AES256-SHA384</w:t>
        <w:t xml:space="preserve"> </w:t>
        <w:t>TLSv1.2</w:t>
        <w:t xml:space="preserve"> </w:t>
        <w:t>Kx</w:t>
        <w:t>=</w:t>
        <w:t>ECDH</w:t>
        <w:t xml:space="preserve"> </w:t>
        <w:t>Au</w:t>
        <w:t>=</w:t>
        <w:t>RSA</w:t>
        <w:t xml:space="preserve"> </w:t>
        <w:t>Enc</w:t>
        <w:t>=</w:t>
        <w:t>AES</w:t>
        <w:t>(</w:t>
        <w:t>256</w:t>
        <w:t>)</w:t>
        <w:t xml:space="preserve"> </w:t>
        <w:t>Mac</w:t>
        <w:t>=</w:t>
        <w:t>SHA384</w:t>
      </w:r>
    </w:p>
    <w:p>
      <w:pPr>
        <w:pStyle w:val="Normal"/>
      </w:pPr>
      <w:r>
        <w:t>DHE-RSA-AES256-SHA256</w:t>
        <w:t xml:space="preserve"> </w:t>
        <w:t>TLSv1.2</w:t>
        <w:t xml:space="preserve"> </w:t>
        <w:t>Kx</w:t>
        <w:t>=</w:t>
        <w:t>DH</w:t>
        <w:t xml:space="preserve"> </w:t>
        <w:t>Au</w:t>
        <w:t>=</w:t>
        <w:t>RSA</w:t>
        <w:t xml:space="preserve"> </w:t>
        <w:t>Enc</w:t>
        <w:t>=</w:t>
        <w:t>AES</w:t>
        <w:t>(</w:t>
        <w:t>256</w:t>
        <w:t>)</w:t>
        <w:t xml:space="preserve"> </w:t>
        <w:t>Mac</w:t>
        <w:t>=</w:t>
        <w:t>SHA256</w:t>
      </w:r>
    </w:p>
    <w:p>
      <w:pPr>
        <w:pStyle w:val="Para 09"/>
      </w:pPr>
      <w:r>
        <w:t>(continues on next page)</w:t>
      </w:r>
    </w:p>
    <w:p>
      <w:bookmarkStart w:id="1199" w:name="page_7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4" name="index-759_1.png" descr="index-759_1.png"/>
            <wp:cNvGraphicFramePr>
              <a:graphicFrameLocks noChangeAspect="1"/>
            </wp:cNvGraphicFramePr>
            <a:graphic>
              <a:graphicData uri="http://schemas.openxmlformats.org/drawingml/2006/picture">
                <pic:pic>
                  <pic:nvPicPr>
                    <pic:cNvPr id="0" name="index-759_1.png" descr="index-759_1.png"/>
                    <pic:cNvPicPr/>
                  </pic:nvPicPr>
                  <pic:blipFill>
                    <a:blip r:embed="rId798"/>
                    <a:stretch>
                      <a:fillRect/>
                    </a:stretch>
                  </pic:blipFill>
                  <pic:spPr>
                    <a:xfrm>
                      <a:off x="0" y="0"/>
                      <a:ext cx="914400" cy="266700"/>
                    </a:xfrm>
                    <a:prstGeom prst="rect">
                      <a:avLst/>
                    </a:prstGeom>
                  </pic:spPr>
                </pic:pic>
              </a:graphicData>
            </a:graphic>
          </wp:anchor>
        </w:drawing>
      </w:r>
      <w:bookmarkEnd w:id="1199"/>
    </w:p>
    <w:p>
      <w:pPr>
        <w:pStyle w:val="Para 09"/>
      </w:pPr>
      <w:r>
        <w:t>(continued from previous page)</w:t>
      </w:r>
    </w:p>
    <w:p>
      <w:pPr>
        <w:pStyle w:val="Normal"/>
      </w:pPr>
      <w:r>
        <w:t>ECDHE-ECDSA-AES128-SHA256</w:t>
        <w:t xml:space="preserve"> </w:t>
        <w:t>TLSv1.2</w:t>
        <w:t xml:space="preserve"> </w:t>
        <w:t>Kx</w:t>
        <w:t>=</w:t>
        <w:t>ECDH</w:t>
        <w:t xml:space="preserve"> </w:t>
        <w:t>Au</w:t>
        <w:t>=</w:t>
        <w:t>ECDSA</w:t>
        <w:t xml:space="preserve"> </w:t>
        <w:t>Enc</w:t>
        <w:t>=</w:t>
        <w:t>AES</w:t>
        <w:t>(</w:t>
        <w:t>128</w:t>
        <w:t>)</w:t>
        <w:t xml:space="preserve"> </w:t>
        <w:t>Mac</w:t>
        <w:t>=</w:t>
        <w:t>SHA256</w:t>
      </w:r>
    </w:p>
    <w:p>
      <w:pPr>
        <w:pStyle w:val="Normal"/>
      </w:pPr>
      <w:r>
        <w:t>ECDHE-RSA-AES128-SHA256</w:t>
        <w:t xml:space="preserve"> </w:t>
        <w:t>TLSv1.2</w:t>
        <w:t xml:space="preserve"> </w:t>
        <w:t>Kx</w:t>
        <w:t>=</w:t>
        <w:t>ECDH</w:t>
        <w:t xml:space="preserve"> </w:t>
        <w:t>Au</w:t>
        <w:t>=</w:t>
        <w:t>RSA</w:t>
        <w:t xml:space="preserve"> </w:t>
        <w:t>Enc</w:t>
        <w:t>=</w:t>
        <w:t>AES</w:t>
        <w:t>(</w:t>
        <w:t>128</w:t>
        <w:t>)</w:t>
        <w:t xml:space="preserve"> </w:t>
        <w:t>Mac</w:t>
        <w:t>=</w:t>
        <w:t>SHA256</w:t>
      </w:r>
    </w:p>
    <w:p>
      <w:pPr>
        <w:pStyle w:val="Normal"/>
      </w:pPr>
      <w:r>
        <w:t>DHE-RSA-AES128-SHA256</w:t>
        <w:t xml:space="preserve"> </w:t>
        <w:t>TLSv1.2</w:t>
        <w:t xml:space="preserve"> </w:t>
        <w:t>Kx</w:t>
        <w:t>=</w:t>
        <w:t>DH</w:t>
        <w:t xml:space="preserve"> </w:t>
        <w:t>Au</w:t>
        <w:t>=</w:t>
        <w:t>RSA</w:t>
        <w:t xml:space="preserve"> </w:t>
        <w:t>Enc</w:t>
        <w:t>=</w:t>
        <w:t>AES</w:t>
        <w:t>(</w:t>
        <w:t>128</w:t>
        <w:t>)</w:t>
        <w:t xml:space="preserve"> </w:t>
        <w:t>Mac</w:t>
        <w:t>=</w:t>
        <w:t>SHA256</w:t>
      </w:r>
    </w:p>
    <w:p>
      <w:pPr>
        <w:pStyle w:val="Normal"/>
      </w:pPr>
      <w:r>
        <w:t>ECDHE-ECDSA-AES256-SHA</w:t>
        <w:t xml:space="preserve"> </w:t>
        <w:t>TLSv1</w:t>
        <w:t xml:space="preserve"> </w:t>
        <w:t>Kx</w:t>
        <w:t>=</w:t>
        <w:t>ECDH</w:t>
        <w:t xml:space="preserve"> </w:t>
        <w:t>Au</w:t>
        <w:t>=</w:t>
        <w:t>ECDSA</w:t>
        <w:t xml:space="preserve"> </w:t>
        <w:t>Enc</w:t>
        <w:t>=</w:t>
        <w:t>AES</w:t>
        <w:t>(</w:t>
        <w:t>256</w:t>
        <w:t>)</w:t>
        <w:t xml:space="preserve"> </w:t>
        <w:t>Mac</w:t>
        <w:t>=</w:t>
        <w:t>SHA1</w:t>
      </w:r>
    </w:p>
    <w:p>
      <w:pPr>
        <w:pStyle w:val="Normal"/>
      </w:pPr>
      <w:r>
        <w:t>ECDHE-RSA-AES256-SHA</w:t>
        <w:t xml:space="preserve"> </w:t>
        <w:t>TLSv1</w:t>
        <w:t xml:space="preserve"> </w:t>
        <w:t>Kx</w:t>
        <w:t>=</w:t>
        <w:t>ECDH</w:t>
        <w:t xml:space="preserve"> </w:t>
        <w:t>Au</w:t>
        <w:t>=</w:t>
        <w:t>RSA</w:t>
        <w:t xml:space="preserve"> </w:t>
        <w:t>Enc</w:t>
        <w:t>=</w:t>
        <w:t>AES</w:t>
        <w:t>(</w:t>
        <w:t>256</w:t>
        <w:t>)</w:t>
        <w:t xml:space="preserve"> </w:t>
        <w:t>Mac</w:t>
        <w:t>=</w:t>
        <w:t>SHA1</w:t>
      </w:r>
    </w:p>
    <w:p>
      <w:pPr>
        <w:pStyle w:val="Normal"/>
      </w:pPr>
      <w:r>
        <w:t>DHE-RSA-AES256-SHA</w:t>
        <w:t xml:space="preserve"> </w:t>
        <w:t>SSLv3</w:t>
        <w:t xml:space="preserve"> </w:t>
        <w:t>Kx</w:t>
        <w:t>=</w:t>
        <w:t>DH</w:t>
        <w:t xml:space="preserve"> </w:t>
        <w:t>Au</w:t>
        <w:t>=</w:t>
        <w:t>RSA</w:t>
        <w:t xml:space="preserve"> </w:t>
        <w:t>Enc</w:t>
        <w:t>=</w:t>
        <w:t>AES</w:t>
        <w:t>(</w:t>
        <w:t>256</w:t>
        <w:t>)</w:t>
        <w:t xml:space="preserve"> </w:t>
        <w:t>Mac</w:t>
        <w:t>=</w:t>
        <w:t>SHA1</w:t>
      </w:r>
    </w:p>
    <w:p>
      <w:pPr>
        <w:pStyle w:val="Normal"/>
      </w:pPr>
      <w:r>
        <w:t>ECDHE-ECDSA-AES128-SHA</w:t>
        <w:t xml:space="preserve"> </w:t>
        <w:t>TLSv1</w:t>
        <w:t xml:space="preserve"> </w:t>
        <w:t>Kx</w:t>
        <w:t>=</w:t>
        <w:t>ECDH</w:t>
        <w:t xml:space="preserve"> </w:t>
        <w:t>Au</w:t>
        <w:t>=</w:t>
        <w:t>ECDSA</w:t>
        <w:t xml:space="preserve"> </w:t>
        <w:t>Enc</w:t>
        <w:t>=</w:t>
        <w:t>AES</w:t>
        <w:t>(</w:t>
        <w:t>128</w:t>
        <w:t>)</w:t>
        <w:t xml:space="preserve"> </w:t>
        <w:t>Mac</w:t>
        <w:t>=</w:t>
        <w:t>SHA1</w:t>
      </w:r>
    </w:p>
    <w:p>
      <w:pPr>
        <w:pStyle w:val="Normal"/>
      </w:pPr>
      <w:r>
        <w:t>ECDHE-RSA-AES128-SHA</w:t>
        <w:t xml:space="preserve"> </w:t>
        <w:t>TLSv1</w:t>
        <w:t xml:space="preserve"> </w:t>
        <w:t>Kx</w:t>
        <w:t>=</w:t>
        <w:t>ECDH</w:t>
        <w:t xml:space="preserve"> </w:t>
        <w:t>Au</w:t>
        <w:t>=</w:t>
        <w:t>RSA</w:t>
        <w:t xml:space="preserve"> </w:t>
        <w:t>Enc</w:t>
        <w:t>=</w:t>
        <w:t>AES</w:t>
        <w:t>(</w:t>
        <w:t>128</w:t>
        <w:t>)</w:t>
        <w:t xml:space="preserve"> </w:t>
        <w:t>Mac</w:t>
        <w:t>=</w:t>
        <w:t>SHA1</w:t>
      </w:r>
    </w:p>
    <w:p>
      <w:pPr>
        <w:pStyle w:val="Normal"/>
      </w:pPr>
      <w:r>
        <w:t>DHE-RSA-AES128-SHA</w:t>
        <w:t xml:space="preserve"> </w:t>
        <w:t>SSLv3</w:t>
        <w:t xml:space="preserve"> </w:t>
        <w:t>Kx</w:t>
        <w:t>=</w:t>
        <w:t>DH</w:t>
        <w:t xml:space="preserve"> </w:t>
        <w:t>Au</w:t>
        <w:t>=</w:t>
        <w:t>RSA</w:t>
        <w:t xml:space="preserve"> </w:t>
        <w:t>Enc</w:t>
        <w:t>=</w:t>
        <w:t>AES</w:t>
        <w:t>(</w:t>
        <w:t>128</w:t>
        <w:t>)</w:t>
        <w:t xml:space="preserve"> </w:t>
        <w:t>Mac</w:t>
        <w:t>=</w:t>
        <w:t>SHA1</w:t>
      </w:r>
    </w:p>
    <w:p>
      <w:pPr>
        <w:pStyle w:val="Normal"/>
      </w:pPr>
      <w:r>
        <w:t>AES256-GCM-SHA384</w:t>
        <w:t xml:space="preserve"> </w:t>
        <w:t>TLSv1.2</w:t>
        <w:t xml:space="preserve"> </w:t>
        <w:t>Kx</w:t>
        <w:t>=</w:t>
        <w:t>RSA</w:t>
        <w:t xml:space="preserve"> </w:t>
        <w:t>Au</w:t>
        <w:t>=</w:t>
        <w:t>RSA</w:t>
        <w:t xml:space="preserve"> </w:t>
        <w:t>Enc</w:t>
        <w:t>=</w:t>
        <w:t>AESGCM</w:t>
        <w:t>(</w:t>
        <w:t>256</w:t>
        <w:t>)</w:t>
        <w:t xml:space="preserve"> </w:t>
        <w:t>Mac</w:t>
        <w:t>=</w:t>
        <w:t>AEAD</w:t>
      </w:r>
    </w:p>
    <w:p>
      <w:pPr>
        <w:pStyle w:val="Normal"/>
      </w:pPr>
      <w:r>
        <w:t>AES128-GCM-SHA256</w:t>
        <w:t xml:space="preserve"> </w:t>
        <w:t>TLSv1.2</w:t>
        <w:t xml:space="preserve"> </w:t>
        <w:t>Kx</w:t>
        <w:t>=</w:t>
        <w:t>RSA</w:t>
        <w:t xml:space="preserve"> </w:t>
        <w:t>Au</w:t>
        <w:t>=</w:t>
        <w:t>RSA</w:t>
        <w:t xml:space="preserve"> </w:t>
        <w:t>Enc</w:t>
        <w:t>=</w:t>
        <w:t>AESGCM</w:t>
        <w:t>(</w:t>
        <w:t>128</w:t>
        <w:t>)</w:t>
        <w:t xml:space="preserve"> </w:t>
        <w:t>Mac</w:t>
        <w:t>=</w:t>
        <w:t>AEAD</w:t>
      </w:r>
    </w:p>
    <w:p>
      <w:pPr>
        <w:pStyle w:val="Normal"/>
      </w:pPr>
      <w:r>
        <w:t>AES256-SHA256</w:t>
        <w:t xml:space="preserve"> </w:t>
        <w:t>TLSv1.2</w:t>
        <w:t xml:space="preserve"> </w:t>
        <w:t>Kx</w:t>
        <w:t>=</w:t>
        <w:t>RSA</w:t>
        <w:t xml:space="preserve"> </w:t>
        <w:t>Au</w:t>
        <w:t>=</w:t>
        <w:t>RSA</w:t>
        <w:t xml:space="preserve"> </w:t>
        <w:t>Enc</w:t>
        <w:t>=</w:t>
        <w:t>AES</w:t>
        <w:t>(</w:t>
        <w:t>256</w:t>
        <w:t>)</w:t>
        <w:t xml:space="preserve"> </w:t>
        <w:t>Mac</w:t>
        <w:t>=</w:t>
        <w:t>SHA256</w:t>
      </w:r>
    </w:p>
    <w:p>
      <w:pPr>
        <w:pStyle w:val="Normal"/>
      </w:pPr>
      <w:r>
        <w:t>AES128-SHA256</w:t>
        <w:t xml:space="preserve"> </w:t>
        <w:t>TLSv1.2</w:t>
        <w:t xml:space="preserve"> </w:t>
        <w:t>Kx</w:t>
        <w:t>=</w:t>
        <w:t>RSA</w:t>
        <w:t xml:space="preserve"> </w:t>
        <w:t>Au</w:t>
        <w:t>=</w:t>
        <w:t>RSA</w:t>
        <w:t xml:space="preserve"> </w:t>
        <w:t>Enc</w:t>
        <w:t>=</w:t>
        <w:t>AES</w:t>
        <w:t>(</w:t>
        <w:t>128</w:t>
        <w:t>)</w:t>
        <w:t xml:space="preserve"> </w:t>
        <w:t>Mac</w:t>
        <w:t>=</w:t>
        <w:t>SHA256</w:t>
      </w:r>
    </w:p>
    <w:p>
      <w:pPr>
        <w:pStyle w:val="Normal"/>
      </w:pPr>
      <w:r>
        <w:t>AES256-SHA</w:t>
        <w:t xml:space="preserve"> </w:t>
        <w:t>SSLv3</w:t>
        <w:t xml:space="preserve"> </w:t>
        <w:t>Kx</w:t>
        <w:t>=</w:t>
        <w:t>RSA</w:t>
        <w:t xml:space="preserve"> </w:t>
        <w:t>Au</w:t>
        <w:t>=</w:t>
        <w:t>RSA</w:t>
        <w:t xml:space="preserve"> </w:t>
        <w:t>Enc</w:t>
        <w:t>=</w:t>
        <w:t>AES</w:t>
        <w:t>(</w:t>
        <w:t>256</w:t>
        <w:t>)</w:t>
        <w:t xml:space="preserve"> </w:t>
        <w:t>Mac</w:t>
        <w:t>=</w:t>
        <w:t>SHA1</w:t>
      </w:r>
    </w:p>
    <w:p>
      <w:pPr>
        <w:pStyle w:val="Normal"/>
      </w:pPr>
      <w:r>
        <w:t>AES128-SHA</w:t>
        <w:t xml:space="preserve"> </w:t>
        <w:t>SSLv3</w:t>
        <w:t xml:space="preserve"> </w:t>
        <w:t>Kx</w:t>
        <w:t>=</w:t>
        <w:t>RSA</w:t>
        <w:t xml:space="preserve"> </w:t>
        <w:t>Au</w:t>
        <w:t>=</w:t>
        <w:t>RSA</w:t>
        <w:t xml:space="preserve"> </w:t>
        <w:t>Enc</w:t>
        <w:t>=</w:t>
        <w:t>AES</w:t>
        <w:t>(</w:t>
        <w:t>128</w:t>
        <w:t>)</w:t>
        <w:t xml:space="preserve"> </w:t>
        <w:t>Mac</w:t>
        <w:t>=</w:t>
        <w:t>SHA1</w:t>
      </w:r>
    </w:p>
    <w:p>
      <w:pPr>
        <w:pStyle w:val="Para 17"/>
      </w:pPr>
      <w:r>
        <w:t/>
      </w:r>
    </w:p>
    <w:p>
      <w:pPr>
        <w:pStyle w:val="Normal"/>
      </w:pPr>
      <w:r>
        <w:t xml:space="preserve">Let’s filter this a bit, and just as an example, remove all </w:t>
      </w:r>
      <w:hyperlink w:anchor="page_668">
        <w:r>
          <w:rPr>
            <w:rStyle w:val="Text2"/>
          </w:rPr>
          <w:t>AES</w:t>
        </w:r>
      </w:hyperlink>
      <w:r>
        <w:t>128 ciphers and SHA1 hashes:</w:t>
      </w:r>
    </w:p>
    <w:p>
      <w:pPr>
        <w:pStyle w:val="Normal"/>
      </w:pPr>
      <w:r>
        <w:t>$ openssl ciphers -s -v</w:t>
        <w:t xml:space="preserve"> </w:t>
        <w:t>'DEFAULTS:-AES128:-SHA1'</w:t>
        <w:t xml:space="preserve"> </w:t>
        <w:t>TLS_AES_256_GCM_SHA384</w:t>
        <w:t xml:space="preserve"> </w:t>
        <w:t>TLSv1.3</w:t>
        <w:t xml:space="preserve"> </w:t>
        <w:t>Kx</w:t>
        <w:t>=</w:t>
        <w:t>any</w:t>
        <w:t xml:space="preserve"> </w:t>
        <w:t>Au</w:t>
        <w:t>=</w:t>
        <w:t>any</w:t>
        <w:t xml:space="preserve"> </w:t>
        <w:t>Enc</w:t>
        <w:t>=</w:t>
        <w:t>AESGCM</w:t>
        <w:t>(</w:t>
        <w:t>256</w:t>
        <w:t>)</w:t>
        <w:t xml:space="preserve"> </w:t>
        <w:t>Mac</w:t>
        <w:t>=</w:t>
        <w:t>AEAD</w:t>
      </w:r>
    </w:p>
    <w:p>
      <w:pPr>
        <w:pStyle w:val="Normal"/>
      </w:pPr>
      <w:r>
        <w:t>TLS_CHACHA20_POLY1305_SHA256</w:t>
        <w:t xml:space="preserve"> </w:t>
        <w:t>TLSv1.3</w:t>
        <w:t xml:space="preserve"> </w:t>
        <w:t>Kx</w:t>
        <w:t>=</w:t>
        <w:t>any</w:t>
        <w:t xml:space="preserve"> </w:t>
        <w:t>Au</w:t>
        <w:t>=</w:t>
        <w:t>any</w:t>
        <w:t xml:space="preserve"> </w:t>
        <w:t>Enc</w:t>
        <w:t>=</w:t>
        <w:t>CHACHA20/POLY1305</w:t>
        <w:t>(</w:t>
        <w:t>256</w:t>
        <w:t>)</w:t>
        <w:t xml:space="preserve"> </w:t>
        <w:t>Mac</w:t>
        <w:t>=</w:t>
        <w:t>AEAD</w:t>
      </w:r>
    </w:p>
    <w:p>
      <w:pPr>
        <w:pStyle w:val="Normal"/>
      </w:pPr>
      <w:r>
        <w:t>TLS_AES_128_GCM_SHA256</w:t>
        <w:t xml:space="preserve"> </w:t>
        <w:t>TLSv1.3</w:t>
        <w:t xml:space="preserve"> </w:t>
        <w:t>Kx</w:t>
        <w:t>=</w:t>
        <w:t>any</w:t>
        <w:t xml:space="preserve"> </w:t>
        <w:t>Au</w:t>
        <w:t>=</w:t>
        <w:t>any</w:t>
        <w:t xml:space="preserve"> </w:t>
        <w:t>Enc</w:t>
        <w:t>=</w:t>
        <w:t>AESGCM</w:t>
        <w:t>(</w:t>
        <w:t>128</w:t>
        <w:t>)</w:t>
        <w:t xml:space="preserve"> </w:t>
        <w:t>Mac</w:t>
        <w:t>=</w:t>
        <w:t>AEAD</w:t>
      </w:r>
    </w:p>
    <w:p>
      <w:pPr>
        <w:pStyle w:val="Normal"/>
      </w:pPr>
      <w:r>
        <w:t>ECDHE-ECDSA-AES256-GCM-SHA384</w:t>
        <w:t xml:space="preserve"> </w:t>
        <w:t>TLSv1.2</w:t>
        <w:t xml:space="preserve"> </w:t>
        <w:t>Kx</w:t>
        <w:t>=</w:t>
        <w:t>ECDH</w:t>
        <w:t xml:space="preserve"> </w:t>
        <w:t>Au</w:t>
        <w:t>=</w:t>
        <w:t>ECDSA</w:t>
        <w:t xml:space="preserve"> </w:t>
        <w:t>Enc</w:t>
        <w:t>=</w:t>
        <w:t>AESGCM</w:t>
        <w:t>(</w:t>
        <w:t>256</w:t>
        <w:t>)</w:t>
        <w:t xml:space="preserve"> </w:t>
        <w:t>Mac</w:t>
        <w:t>=</w:t>
        <w:t>AEAD</w:t>
      </w:r>
    </w:p>
    <w:p>
      <w:pPr>
        <w:pStyle w:val="Normal"/>
      </w:pPr>
      <w:r>
        <w:t>ECDHE-RSA-AES256-GCM-SHA384</w:t>
        <w:t xml:space="preserve"> </w:t>
        <w:t>TLSv1.2</w:t>
        <w:t xml:space="preserve"> </w:t>
        <w:t>Kx</w:t>
        <w:t>=</w:t>
        <w:t>ECDH</w:t>
        <w:t xml:space="preserve"> </w:t>
        <w:t>Au</w:t>
        <w:t>=</w:t>
        <w:t>RSA</w:t>
        <w:t xml:space="preserve"> </w:t>
        <w:t>Enc</w:t>
        <w:t>=</w:t>
        <w:t>AESGCM</w:t>
        <w:t>(</w:t>
        <w:t>256</w:t>
        <w:t>)</w:t>
        <w:t xml:space="preserve"> </w:t>
        <w:t>Mac</w:t>
        <w:t>=</w:t>
        <w:t>AEAD</w:t>
      </w:r>
    </w:p>
    <w:p>
      <w:pPr>
        <w:pStyle w:val="Normal"/>
      </w:pPr>
      <w:r>
        <w:t>DHE-RSA-AES256-GCM-SHA384</w:t>
        <w:t xml:space="preserve"> </w:t>
        <w:t>TLSv1.2</w:t>
        <w:t xml:space="preserve"> </w:t>
        <w:t>Kx</w:t>
        <w:t>=</w:t>
        <w:t>DH</w:t>
        <w:t xml:space="preserve"> </w:t>
        <w:t>Au</w:t>
        <w:t>=</w:t>
        <w:t>RSA</w:t>
        <w:t xml:space="preserve"> </w:t>
        <w:t>Enc</w:t>
        <w:t>=</w:t>
        <w:t>AESGCM</w:t>
        <w:t>(</w:t>
        <w:t>256</w:t>
        <w:t>)</w:t>
        <w:t xml:space="preserve"> </w:t>
        <w:t>Mac</w:t>
        <w:t>=</w:t>
        <w:t>AEAD</w:t>
      </w:r>
    </w:p>
    <w:p>
      <w:pPr>
        <w:pStyle w:val="Normal"/>
      </w:pPr>
      <w:r>
        <w:t>ECDHE-ECDSA-CHACHA20-POLY1305</w:t>
        <w:t xml:space="preserve"> </w:t>
        <w:t>TLSv1.2</w:t>
        <w:t xml:space="preserve"> </w:t>
        <w:t>Kx</w:t>
        <w:t>=</w:t>
        <w:t>ECDH</w:t>
        <w:t xml:space="preserve"> </w:t>
        <w:t>Au</w:t>
        <w:t>=</w:t>
        <w:t>ECDSA</w:t>
        <w:t xml:space="preserve"> </w:t>
        <w:t>Enc</w:t>
        <w:t>=</w:t>
        <w:t>CHACHA20/POLY1305</w:t>
        <w:t>(</w:t>
        <w:t>256</w:t>
        <w:t>)</w:t>
        <w:t xml:space="preserve"> </w:t>
        <w:t>Mac</w:t>
        <w:t>=</w:t>
        <w:t>AEAD</w:t>
      </w:r>
    </w:p>
    <w:p>
      <w:pPr>
        <w:pStyle w:val="Normal"/>
      </w:pPr>
      <w:r>
        <w:t>ECDHE-RSA-CHACHA20-POLY1305</w:t>
        <w:t xml:space="preserve"> </w:t>
        <w:t>TLSv1.2</w:t>
        <w:t xml:space="preserve"> </w:t>
        <w:t>Kx</w:t>
        <w:t>=</w:t>
        <w:t>ECDH</w:t>
        <w:t xml:space="preserve"> </w:t>
        <w:t>Au</w:t>
        <w:t>=</w:t>
        <w:t>RSA</w:t>
        <w:t xml:space="preserve"> </w:t>
        <w:t>Enc</w:t>
        <w:t>=</w:t>
        <w:t>CHACHA20/POLY1305</w:t>
        <w:t>(</w:t>
        <w:t>256</w:t>
        <w:t>)</w:t>
        <w:t xml:space="preserve"> </w:t>
        <w:t>Mac</w:t>
        <w:t>=</w:t>
        <w:t>AEAD</w:t>
      </w:r>
    </w:p>
    <w:p>
      <w:pPr>
        <w:pStyle w:val="Normal"/>
      </w:pPr>
      <w:r>
        <w:t>DHE-RSA-CHACHA20-POLY1305</w:t>
        <w:t xml:space="preserve"> </w:t>
        <w:t>TLSv1.2</w:t>
        <w:t xml:space="preserve"> </w:t>
        <w:t>Kx</w:t>
        <w:t>=</w:t>
        <w:t>DH</w:t>
        <w:t xml:space="preserve"> </w:t>
        <w:t>Au</w:t>
        <w:t>=</w:t>
        <w:t>RSA</w:t>
        <w:t xml:space="preserve"> </w:t>
        <w:t>Enc</w:t>
        <w:t>=</w:t>
        <w:t>CHACHA20/POLY1305</w:t>
        <w:t>(</w:t>
        <w:t>256</w:t>
        <w:t>)</w:t>
        <w:t xml:space="preserve"> </w:t>
        <w:t>Mac</w:t>
        <w:t>=</w:t>
        <w:t>AEAD</w:t>
      </w:r>
    </w:p>
    <w:p>
      <w:pPr>
        <w:pStyle w:val="Normal"/>
      </w:pPr>
      <w:r>
        <w:t>ECDHE-ECDSA-AES256-SHA384</w:t>
        <w:t xml:space="preserve"> </w:t>
        <w:t>TLSv1.2</w:t>
        <w:t xml:space="preserve"> </w:t>
        <w:t>Kx</w:t>
        <w:t>=</w:t>
        <w:t>ECDH</w:t>
        <w:t xml:space="preserve"> </w:t>
        <w:t>Au</w:t>
        <w:t>=</w:t>
        <w:t>ECDSA</w:t>
        <w:t xml:space="preserve"> </w:t>
        <w:t>Enc</w:t>
        <w:t>=</w:t>
        <w:t>AES</w:t>
        <w:t>(</w:t>
        <w:t>256</w:t>
        <w:t>)</w:t>
        <w:t xml:space="preserve"> </w:t>
        <w:t>Mac</w:t>
        <w:t>=</w:t>
        <w:t>SHA384</w:t>
      </w:r>
    </w:p>
    <w:p>
      <w:pPr>
        <w:pStyle w:val="Normal"/>
      </w:pPr>
      <w:r>
        <w:t>ECDHE-RSA-AES256-SHA384</w:t>
        <w:t xml:space="preserve"> </w:t>
        <w:t>TLSv1.2</w:t>
        <w:t xml:space="preserve"> </w:t>
        <w:t>Kx</w:t>
        <w:t>=</w:t>
        <w:t>ECDH</w:t>
        <w:t xml:space="preserve"> </w:t>
        <w:t>Au</w:t>
        <w:t>=</w:t>
        <w:t>RSA</w:t>
        <w:t xml:space="preserve"> </w:t>
        <w:t>Enc</w:t>
        <w:t>=</w:t>
        <w:t>AES</w:t>
        <w:t>(</w:t>
        <w:t>256</w:t>
        <w:t>)</w:t>
        <w:t xml:space="preserve"> </w:t>
        <w:t>Mac</w:t>
        <w:t>=</w:t>
        <w:t>SHA384</w:t>
      </w:r>
    </w:p>
    <w:p>
      <w:pPr>
        <w:pStyle w:val="Para 09"/>
      </w:pPr>
      <w:r>
        <w:t>(continues on next page)</w:t>
      </w:r>
    </w:p>
    <w:p>
      <w:bookmarkStart w:id="1200" w:name="page_7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5" name="index-760_1.png" descr="index-760_1.png"/>
            <wp:cNvGraphicFramePr>
              <a:graphicFrameLocks noChangeAspect="1"/>
            </wp:cNvGraphicFramePr>
            <a:graphic>
              <a:graphicData uri="http://schemas.openxmlformats.org/drawingml/2006/picture">
                <pic:pic>
                  <pic:nvPicPr>
                    <pic:cNvPr id="0" name="index-760_1.png" descr="index-760_1.png"/>
                    <pic:cNvPicPr/>
                  </pic:nvPicPr>
                  <pic:blipFill>
                    <a:blip r:embed="rId799"/>
                    <a:stretch>
                      <a:fillRect/>
                    </a:stretch>
                  </pic:blipFill>
                  <pic:spPr>
                    <a:xfrm>
                      <a:off x="0" y="0"/>
                      <a:ext cx="914400" cy="266700"/>
                    </a:xfrm>
                    <a:prstGeom prst="rect">
                      <a:avLst/>
                    </a:prstGeom>
                  </pic:spPr>
                </pic:pic>
              </a:graphicData>
            </a:graphic>
          </wp:anchor>
        </w:drawing>
      </w:r>
      <w:bookmarkEnd w:id="1200"/>
    </w:p>
    <w:p>
      <w:pPr>
        <w:pStyle w:val="Para 09"/>
      </w:pPr>
      <w:r>
        <w:t>(continued from previous page)</w:t>
      </w:r>
    </w:p>
    <w:p>
      <w:pPr>
        <w:pStyle w:val="Normal"/>
      </w:pPr>
      <w:r>
        <w:t>DHE-RSA-AES256-SHA256</w:t>
        <w:t xml:space="preserve"> </w:t>
        <w:t>TLSv1.2</w:t>
        <w:t xml:space="preserve"> </w:t>
        <w:t>Kx</w:t>
        <w:t>=</w:t>
        <w:t>DH</w:t>
        <w:t xml:space="preserve"> </w:t>
        <w:t>Au</w:t>
        <w:t>=</w:t>
        <w:t>RSA</w:t>
        <w:t xml:space="preserve"> </w:t>
        <w:t>Enc</w:t>
        <w:t>=</w:t>
        <w:t>AES</w:t>
        <w:t>(</w:t>
        <w:t>256</w:t>
        <w:t>)</w:t>
        <w:t xml:space="preserve"> </w:t>
        <w:t>Mac</w:t>
        <w:t>=</w:t>
        <w:t>SHA256</w:t>
      </w:r>
    </w:p>
    <w:p>
      <w:pPr>
        <w:pStyle w:val="Normal"/>
      </w:pPr>
      <w:r>
        <w:t>AES256-GCM-SHA384</w:t>
        <w:t xml:space="preserve"> </w:t>
        <w:t>TLSv1.2</w:t>
        <w:t xml:space="preserve"> </w:t>
        <w:t>Kx</w:t>
        <w:t>=</w:t>
        <w:t>RSA</w:t>
        <w:t xml:space="preserve"> </w:t>
        <w:t>Au</w:t>
        <w:t>=</w:t>
        <w:t>RSA</w:t>
        <w:t xml:space="preserve"> </w:t>
        <w:t>Enc</w:t>
        <w:t>=</w:t>
        <w:t>AESGCM</w:t>
        <w:t>(</w:t>
        <w:t>256</w:t>
        <w:t>)</w:t>
        <w:t xml:space="preserve"> </w:t>
        <w:t>Mac</w:t>
        <w:t>=</w:t>
        <w:t>AEAD</w:t>
      </w:r>
    </w:p>
    <w:p>
      <w:pPr>
        <w:pStyle w:val="Normal"/>
      </w:pPr>
      <w:r>
        <w:t>AES256-SHA256</w:t>
        <w:t xml:space="preserve"> </w:t>
        <w:t>TLSv1.2</w:t>
        <w:t xml:space="preserve"> </w:t>
        <w:t>Kx</w:t>
        <w:t>=</w:t>
        <w:t>RSA</w:t>
        <w:t xml:space="preserve"> </w:t>
        <w:t>Au</w:t>
        <w:t>=</w:t>
        <w:t>RSA</w:t>
        <w:t xml:space="preserve"> </w:t>
        <w:t>Enc</w:t>
        <w:t>=</w:t>
        <w:t>AES</w:t>
        <w:t>(</w:t>
        <w:t>256</w:t>
        <w:t>)</w:t>
        <w:t xml:space="preserve"> </w:t>
        <w:t>Mac</w:t>
        <w:t>=</w:t>
        <w:t>SHA256</w:t>
      </w:r>
    </w:p>
    <w:p>
      <w:pPr>
        <w:pStyle w:val="Para 17"/>
      </w:pPr>
      <w:r>
        <w:t/>
      </w:r>
    </w:p>
    <w:p>
      <w:pPr>
        <w:pStyle w:val="Normal"/>
      </w:pPr>
      <w:r>
        <w:t xml:space="preserve">Since we didn’t use-ciphersuites, the TLSv1.3 list was unaffected by our filtering, and still contains the </w:t>
      </w:r>
      <w:r>
        <w:rPr>
          <w:rStyle w:val="Text0"/>
        </w:rPr>
        <w:t>AES128</w:t>
      </w:r>
      <w:r>
        <w:t xml:space="preserve"> cipher. But TLSv1.2 and older no longer have </w:t>
      </w:r>
      <w:r>
        <w:rPr>
          <w:rStyle w:val="Text0"/>
        </w:rPr>
        <w:t>AES128</w:t>
      </w:r>
      <w:r>
        <w:t xml:space="preserve"> or </w:t>
      </w:r>
      <w:r>
        <w:rPr>
          <w:rStyle w:val="Text0"/>
        </w:rPr>
        <w:t>SHA1</w:t>
      </w:r>
      <w:r>
        <w:t>. This type of filtering with ‘+’, ‘-’ and ‘!’ can be done with the TLSv1.2 and older protocols and is</w:t>
      </w:r>
    </w:p>
    <w:p>
      <w:pPr>
        <w:pStyle w:val="Para 18"/>
      </w:pPr>
      <w:r>
        <w:rPr>
          <w:rStyle w:val="Text7"/>
        </w:rPr>
        <w:t xml:space="preserve">detailed in the </w:t>
      </w:r>
      <w:hyperlink r:id="rId1646">
        <w:r>
          <w:rPr>
            <w:rStyle w:val="Text10"/>
          </w:rPr>
          <w:t>757</w:t>
        </w:r>
      </w:hyperlink>
      <w:hyperlink r:id="rId1646">
        <w:r>
          <w:t xml:space="preserve"> openssl ciphers manual page</w:t>
        </w:r>
      </w:hyperlink>
      <w:r>
        <w:rPr>
          <w:rStyle w:val="Text7"/>
        </w:rPr>
        <w:t>.</w:t>
      </w:r>
    </w:p>
    <w:p>
      <w:pPr>
        <w:pStyle w:val="Normal"/>
      </w:pPr>
      <w:r>
        <w:t>To filter out TLSv1.3 algorithms, there is no such mechanism, and we must list explicitly what we want by using-ciphersuites:</w:t>
      </w:r>
    </w:p>
    <w:p>
      <w:pPr>
        <w:pStyle w:val="Normal"/>
      </w:pPr>
      <w:r>
        <w:t>$ openssl ciphers -s -v -ciphersuites TLS_AES_256_GCM_SHA384:TLS_CHACHA20_POLY1305_SHA256</w:t>
        <w:t xml:space="preserve"> </w:t>
        <w:t>'DEFAULTS:-AES128:-SHA1'</w:t>
      </w:r>
    </w:p>
    <w:p>
      <w:pPr>
        <w:pStyle w:val="Normal"/>
      </w:pPr>
      <w:r>
        <w:t>TLS_AES_256_GCM_SHA384</w:t>
        <w:t xml:space="preserve"> </w:t>
        <w:t>TLSv1.3</w:t>
        <w:t xml:space="preserve"> </w:t>
        <w:t>Kx</w:t>
        <w:t>=</w:t>
        <w:t>any</w:t>
        <w:t xml:space="preserve"> </w:t>
        <w:t>Au</w:t>
        <w:t>=</w:t>
        <w:t>any</w:t>
        <w:t xml:space="preserve"> </w:t>
        <w:t>Enc</w:t>
        <w:t>=</w:t>
        <w:t>AESGCM</w:t>
        <w:t>(</w:t>
        <w:t>256</w:t>
        <w:t>)</w:t>
        <w:t xml:space="preserve"> </w:t>
        <w:t>Mac</w:t>
        <w:t>=</w:t>
        <w:t>AEAD</w:t>
      </w:r>
    </w:p>
    <w:p>
      <w:pPr>
        <w:pStyle w:val="Normal"/>
      </w:pPr>
      <w:r>
        <w:t>TLS_CHACHA20_POLY1305_SHA256</w:t>
        <w:t xml:space="preserve"> </w:t>
        <w:t>TLSv1.3</w:t>
        <w:t xml:space="preserve"> </w:t>
        <w:t>Kx</w:t>
        <w:t>=</w:t>
        <w:t>any</w:t>
        <w:t xml:space="preserve"> </w:t>
        <w:t>Au</w:t>
        <w:t>=</w:t>
        <w:t>any</w:t>
        <w:t xml:space="preserve"> </w:t>
        <w:t>Enc</w:t>
        <w:t>=</w:t>
        <w:t>CHACHA20/POLY1305</w:t>
        <w:t>(</w:t>
        <w:t>256</w:t>
        <w:t>)</w:t>
        <w:t xml:space="preserve"> </w:t>
        <w:t>Mac</w:t>
        <w:t>=</w:t>
        <w:t>AEAD</w:t>
      </w:r>
    </w:p>
    <w:p>
      <w:pPr>
        <w:pStyle w:val="Normal"/>
      </w:pPr>
      <w:r>
        <w:t>ECDHE-ECDSA-AES256-GCM-SHA384</w:t>
        <w:t xml:space="preserve"> </w:t>
        <w:t>TLSv1.2</w:t>
        <w:t xml:space="preserve"> </w:t>
        <w:t>Kx</w:t>
        <w:t>=</w:t>
        <w:t>ECDH</w:t>
        <w:t xml:space="preserve"> </w:t>
        <w:t>Au</w:t>
        <w:t>=</w:t>
        <w:t>ECDSA</w:t>
        <w:t xml:space="preserve"> </w:t>
        <w:t>Enc</w:t>
        <w:t>=</w:t>
        <w:t>AESGCM</w:t>
        <w:t>(</w:t>
        <w:t>256</w:t>
        <w:t>)</w:t>
        <w:t xml:space="preserve"> </w:t>
        <w:t>Mac</w:t>
        <w:t>=</w:t>
        <w:t>AEAD</w:t>
      </w:r>
    </w:p>
    <w:p>
      <w:pPr>
        <w:pStyle w:val="Normal"/>
      </w:pPr>
      <w:r>
        <w:t>ECDHE-RSA-AES256-GCM-SHA384</w:t>
        <w:t xml:space="preserve"> </w:t>
        <w:t>TLSv1.2</w:t>
        <w:t xml:space="preserve"> </w:t>
        <w:t>Kx</w:t>
        <w:t>=</w:t>
        <w:t>ECDH</w:t>
        <w:t xml:space="preserve"> </w:t>
        <w:t>Au</w:t>
        <w:t>=</w:t>
        <w:t>RSA</w:t>
        <w:t xml:space="preserve"> </w:t>
        <w:t>Enc</w:t>
        <w:t>=</w:t>
        <w:t>AESGCM</w:t>
        <w:t>(</w:t>
        <w:t>256</w:t>
        <w:t>)</w:t>
        <w:t xml:space="preserve"> </w:t>
        <w:t>Mac</w:t>
        <w:t>=</w:t>
        <w:t>AEAD</w:t>
      </w:r>
    </w:p>
    <w:p>
      <w:pPr>
        <w:pStyle w:val="Normal"/>
      </w:pPr>
      <w:r>
        <w:t>DHE-RSA-AES256-GCM-SHA384</w:t>
        <w:t xml:space="preserve"> </w:t>
        <w:t>TLSv1.2</w:t>
        <w:t xml:space="preserve"> </w:t>
        <w:t>Kx</w:t>
        <w:t>=</w:t>
        <w:t>DH</w:t>
        <w:t xml:space="preserve"> </w:t>
        <w:t>Au</w:t>
        <w:t>=</w:t>
        <w:t>RSA</w:t>
        <w:t xml:space="preserve"> </w:t>
        <w:t>Enc</w:t>
        <w:t>=</w:t>
        <w:t>AESGCM</w:t>
        <w:t>(</w:t>
        <w:t>256</w:t>
        <w:t>)</w:t>
        <w:t xml:space="preserve"> </w:t>
        <w:t>Mac</w:t>
        <w:t>=</w:t>
        <w:t>AEAD</w:t>
      </w:r>
    </w:p>
    <w:p>
      <w:pPr>
        <w:pStyle w:val="Normal"/>
      </w:pPr>
      <w:r>
        <w:t>ECDHE-ECDSA-CHACHA20-POLY1305</w:t>
        <w:t xml:space="preserve"> </w:t>
        <w:t>TLSv1.2</w:t>
        <w:t xml:space="preserve"> </w:t>
        <w:t>Kx</w:t>
        <w:t>=</w:t>
        <w:t>ECDH</w:t>
        <w:t xml:space="preserve"> </w:t>
        <w:t>Au</w:t>
        <w:t>=</w:t>
        <w:t>ECDSA</w:t>
        <w:t xml:space="preserve"> </w:t>
        <w:t>Enc</w:t>
        <w:t>=</w:t>
        <w:t>CHACHA20/POLY1305</w:t>
        <w:t>(</w:t>
        <w:t>256</w:t>
        <w:t>)</w:t>
        <w:t xml:space="preserve"> </w:t>
        <w:t>Mac</w:t>
        <w:t>=</w:t>
        <w:t>AEAD</w:t>
      </w:r>
    </w:p>
    <w:p>
      <w:pPr>
        <w:pStyle w:val="Normal"/>
      </w:pPr>
      <w:r>
        <w:t>ECDHE-RSA-CHACHA20-POLY1305</w:t>
        <w:t xml:space="preserve"> </w:t>
        <w:t>TLSv1.2</w:t>
        <w:t xml:space="preserve"> </w:t>
        <w:t>Kx</w:t>
        <w:t>=</w:t>
        <w:t>ECDH</w:t>
        <w:t xml:space="preserve"> </w:t>
        <w:t>Au</w:t>
        <w:t>=</w:t>
        <w:t>RSA</w:t>
        <w:t xml:space="preserve"> </w:t>
        <w:t>Enc</w:t>
        <w:t>=</w:t>
        <w:t>CHACHA20/POLY1305</w:t>
        <w:t>(</w:t>
        <w:t>256</w:t>
        <w:t>)</w:t>
        <w:t xml:space="preserve"> </w:t>
        <w:t>Mac</w:t>
        <w:t>=</w:t>
        <w:t>AEAD</w:t>
      </w:r>
    </w:p>
    <w:p>
      <w:pPr>
        <w:pStyle w:val="Normal"/>
      </w:pPr>
      <w:r>
        <w:t>DHE-RSA-CHACHA20-POLY1305</w:t>
        <w:t xml:space="preserve"> </w:t>
        <w:t>TLSv1.2</w:t>
        <w:t xml:space="preserve"> </w:t>
        <w:t>Kx</w:t>
        <w:t>=</w:t>
        <w:t>DH</w:t>
        <w:t xml:space="preserve"> </w:t>
        <w:t>Au</w:t>
        <w:t>=</w:t>
        <w:t>RSA</w:t>
        <w:t xml:space="preserve"> </w:t>
        <w:t>Enc</w:t>
        <w:t>=</w:t>
        <w:t>CHACHA20/POLY1305</w:t>
        <w:t>(</w:t>
        <w:t>256</w:t>
        <w:t>)</w:t>
        <w:t xml:space="preserve"> </w:t>
        <w:t>Mac</w:t>
        <w:t>=</w:t>
        <w:t>AEAD</w:t>
      </w:r>
    </w:p>
    <w:p>
      <w:pPr>
        <w:pStyle w:val="Normal"/>
      </w:pPr>
      <w:r>
        <w:t>ECDHE-ECDSA-AES256-SHA384</w:t>
        <w:t xml:space="preserve"> </w:t>
        <w:t>TLSv1.2</w:t>
        <w:t xml:space="preserve"> </w:t>
        <w:t>Kx</w:t>
        <w:t>=</w:t>
        <w:t>ECDH</w:t>
        <w:t xml:space="preserve"> </w:t>
        <w:t>Au</w:t>
        <w:t>=</w:t>
        <w:t>ECDSA</w:t>
        <w:t xml:space="preserve"> </w:t>
        <w:t>Enc</w:t>
        <w:t>=</w:t>
        <w:t>AES</w:t>
        <w:t>(</w:t>
        <w:t>256</w:t>
        <w:t>)</w:t>
        <w:t xml:space="preserve"> </w:t>
        <w:t>Mac</w:t>
        <w:t>=</w:t>
        <w:t>SHA384</w:t>
      </w:r>
    </w:p>
    <w:p>
      <w:pPr>
        <w:pStyle w:val="Normal"/>
      </w:pPr>
      <w:r>
        <w:t>ECDHE-RSA-AES256-SHA384</w:t>
        <w:t xml:space="preserve"> </w:t>
        <w:t>TLSv1.2</w:t>
        <w:t xml:space="preserve"> </w:t>
        <w:t>Kx</w:t>
        <w:t>=</w:t>
        <w:t>ECDH</w:t>
        <w:t xml:space="preserve"> </w:t>
        <w:t>Au</w:t>
        <w:t>=</w:t>
        <w:t>RSA</w:t>
        <w:t xml:space="preserve"> </w:t>
        <w:t>Enc</w:t>
        <w:t>=</w:t>
        <w:t>AES</w:t>
        <w:t>(</w:t>
        <w:t>256</w:t>
        <w:t>)</w:t>
        <w:t xml:space="preserve"> </w:t>
        <w:t>Mac</w:t>
        <w:t>=</w:t>
        <w:t>SHA384</w:t>
      </w:r>
    </w:p>
    <w:p>
      <w:pPr>
        <w:pStyle w:val="Normal"/>
      </w:pPr>
      <w:r>
        <w:t>DHE-RSA-AES256-SHA256</w:t>
        <w:t xml:space="preserve"> </w:t>
        <w:t>TLSv1.2</w:t>
        <w:t xml:space="preserve"> </w:t>
        <w:t>Kx</w:t>
        <w:t>=</w:t>
        <w:t>DH</w:t>
        <w:t xml:space="preserve"> </w:t>
        <w:t>Au</w:t>
        <w:t>=</w:t>
        <w:t>RSA</w:t>
        <w:t xml:space="preserve"> </w:t>
        <w:t>Enc</w:t>
        <w:t>=</w:t>
        <w:t>AES</w:t>
        <w:t>(</w:t>
        <w:t>256</w:t>
        <w:t>)</w:t>
        <w:t xml:space="preserve"> </w:t>
        <w:t>Mac</w:t>
        <w:t>=</w:t>
        <w:t>SHA256</w:t>
      </w:r>
    </w:p>
    <w:p>
      <w:pPr>
        <w:pStyle w:val="Normal"/>
      </w:pPr>
      <w:r>
        <w:t>AES256-GCM-SHA384</w:t>
        <w:t xml:space="preserve"> </w:t>
        <w:t>TLSv1.2</w:t>
        <w:t xml:space="preserve"> </w:t>
        <w:t>Kx</w:t>
        <w:t>=</w:t>
        <w:t>RSA</w:t>
        <w:t xml:space="preserve"> </w:t>
        <w:t>Au</w:t>
        <w:t>=</w:t>
        <w:t>RSA</w:t>
        <w:t xml:space="preserve"> </w:t>
        <w:t>Enc</w:t>
        <w:t>=</w:t>
        <w:t>AESGCM</w:t>
        <w:t>(</w:t>
        <w:t>256</w:t>
        <w:t>)</w:t>
        <w:t xml:space="preserve"> </w:t>
        <w:t>Mac</w:t>
        <w:t>=</w:t>
        <w:t>AEAD</w:t>
      </w:r>
    </w:p>
    <w:p>
      <w:pPr>
        <w:pStyle w:val="Normal"/>
      </w:pPr>
      <w:r>
        <w:t>AES256-SHA256</w:t>
        <w:t xml:space="preserve"> </w:t>
        <w:t>TLSv1.2</w:t>
        <w:t xml:space="preserve"> </w:t>
        <w:t>Kx</w:t>
        <w:t>=</w:t>
        <w:t>RSA</w:t>
        <w:t xml:space="preserve"> </w:t>
        <w:t>Au</w:t>
        <w:t>=</w:t>
        <w:t>RSA</w:t>
        <w:t xml:space="preserve"> </w:t>
        <w:t>Enc</w:t>
        <w:t>=</w:t>
        <w:t>AES</w:t>
        <w:t>(</w:t>
        <w:t>256</w:t>
        <w:t>)</w:t>
        <w:t xml:space="preserve"> </w:t>
        <w:t>Mac</w:t>
        <w:t>=</w:t>
        <w:t>SHA256</w:t>
      </w:r>
    </w:p>
    <w:p>
      <w:pPr>
        <w:pStyle w:val="Para 05"/>
      </w:pPr>
      <w:r>
        <w:rPr>
          <w:rStyle w:val="Text5"/>
        </w:rPr>
        <w:t>757</w:t>
      </w:r>
      <w:r>
        <w:rPr>
          <w:rStyle w:val="Text8"/>
        </w:rPr>
        <w:t xml:space="preserve"> </w:t>
      </w:r>
      <w:r>
        <w:t>https://docs.openssl.org/3.0/man1/openssl-ciphers/</w:t>
      </w:r>
    </w:p>
    <w:p>
      <w:bookmarkStart w:id="1201" w:name="calibre_pb_220"/>
      <w:pPr>
        <w:pStyle w:val="0 Block"/>
      </w:pPr>
      <w:bookmarkEnd w:id="1201"/>
    </w:p>
    <w:p>
      <w:bookmarkStart w:id="1202" w:name="page_761"/>
      <w:bookmarkStart w:id="1203" w:name="Top_of_index_split_22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6" name="index-761_1.png" descr="index-761_1.png"/>
            <wp:cNvGraphicFramePr>
              <a:graphicFrameLocks noChangeAspect="1"/>
            </wp:cNvGraphicFramePr>
            <a:graphic>
              <a:graphicData uri="http://schemas.openxmlformats.org/drawingml/2006/picture">
                <pic:pic>
                  <pic:nvPicPr>
                    <pic:cNvPr id="0" name="index-761_1.png" descr="index-761_1.png"/>
                    <pic:cNvPicPr/>
                  </pic:nvPicPr>
                  <pic:blipFill>
                    <a:blip r:embed="rId800"/>
                    <a:stretch>
                      <a:fillRect/>
                    </a:stretch>
                  </pic:blipFill>
                  <pic:spPr>
                    <a:xfrm>
                      <a:off x="0" y="0"/>
                      <a:ext cx="914400" cy="266700"/>
                    </a:xfrm>
                    <a:prstGeom prst="rect">
                      <a:avLst/>
                    </a:prstGeom>
                  </pic:spPr>
                </pic:pic>
              </a:graphicData>
            </a:graphic>
          </wp:anchor>
        </w:drawing>
      </w:r>
      <w:bookmarkEnd w:id="1202"/>
      <w:bookmarkEnd w:id="1203"/>
    </w:p>
    <w:p>
      <w:pPr>
        <w:pStyle w:val="Para 01"/>
      </w:pPr>
      <w:r>
        <w:t>Config file examples</w:t>
      </w:r>
    </w:p>
    <w:p>
      <w:pPr>
        <w:pStyle w:val="Para 17"/>
      </w:pPr>
      <w:r>
        <w:t/>
      </w:r>
    </w:p>
    <w:p>
      <w:pPr>
        <w:pStyle w:val="Normal"/>
      </w:pPr>
      <w:r>
        <w:t>Let’s see some practical examples of how we can use the configuration file to tweak the default cryptographic settings of an application linked with OpenSSL.</w:t>
      </w:r>
    </w:p>
    <w:p>
      <w:pPr>
        <w:pStyle w:val="Normal"/>
      </w:pPr>
      <w:r>
        <w:t>Note that applications can still override these settings: what is set in the configuration file merely acts as a default that is used when nothing else in the application command line or its own config says otherwise.</w:t>
      </w:r>
    </w:p>
    <w:p>
      <w:pPr>
        <w:pStyle w:val="Para 17"/>
      </w:pPr>
      <w:r>
        <w:t/>
      </w:r>
    </w:p>
    <w:p>
      <w:pPr>
        <w:pStyle w:val="Para 01"/>
      </w:pPr>
      <w:r>
        <w:t>Only use TLSv1.3</w:t>
      </w:r>
    </w:p>
    <w:p>
      <w:pPr>
        <w:pStyle w:val="Para 17"/>
      </w:pPr>
      <w:r>
        <w:t/>
      </w:r>
    </w:p>
    <w:p>
      <w:pPr>
        <w:pStyle w:val="Normal"/>
      </w:pPr>
      <w:r>
        <w:t>To configure the OpenSSL library to consider TLSv1.3 as the minimum acceptable protocol, we add a MinProtocol parameter to the /etc/ssl/openssl.cnf configuration file like this:</w:t>
      </w:r>
    </w:p>
    <w:p>
      <w:pPr>
        <w:pStyle w:val="Para 01"/>
      </w:pPr>
      <w:r>
        <w:t>[system_default_sect]</w:t>
      </w:r>
    </w:p>
    <w:p>
      <w:pPr>
        <w:pStyle w:val="Normal"/>
      </w:pPr>
      <w:r>
        <w:t>CipherString</w:t>
        <w:t xml:space="preserve"> </w:t>
        <w:t>=</w:t>
        <w:t xml:space="preserve"> </w:t>
        <w:t>DEFAULT:@SECLEVEL=2</w:t>
      </w:r>
    </w:p>
    <w:p>
      <w:pPr>
        <w:pStyle w:val="Normal"/>
      </w:pPr>
      <w:r>
        <w:t>MinProtocol</w:t>
        <w:t xml:space="preserve"> </w:t>
        <w:t>=</w:t>
        <w:t xml:space="preserve"> </w:t>
        <w:t>TLSv1.3</w:t>
      </w:r>
    </w:p>
    <w:p>
      <w:pPr>
        <w:pStyle w:val="Para 17"/>
      </w:pPr>
      <w:r>
        <w:t/>
      </w:r>
    </w:p>
    <w:p>
      <w:pPr>
        <w:pStyle w:val="Normal"/>
      </w:pPr>
      <w:r>
        <w:t>If you then try to connect securely to a server that only offers, say TLSv1.2, the connection will fail:</w:t>
      </w:r>
    </w:p>
    <w:p>
      <w:pPr>
        <w:pStyle w:val="Normal"/>
      </w:pPr>
      <w:r>
        <w:t>$ curl https://j-server.lxd/stats</w:t>
      </w:r>
    </w:p>
    <w:p>
      <w:pPr>
        <w:pStyle w:val="Normal"/>
      </w:pPr>
      <w:r>
        <w:t>curl:</w:t>
        <w:t xml:space="preserve"> </w:t>
        <w:t>(</w:t>
        <w:t>35</w:t>
        <w:t>)</w:t>
        <w:t xml:space="preserve"> </w:t>
        <w:t>error:0A00042E:SSL routines::tlsv1 alert protocol version</w:t>
      </w:r>
    </w:p>
    <w:p>
      <w:pPr>
        <w:pStyle w:val="Normal"/>
      </w:pPr>
      <w:r>
        <w:t>$ wget https://j-server.lxd/stats</w:t>
      </w:r>
    </w:p>
    <w:p>
      <w:pPr>
        <w:pStyle w:val="Normal"/>
      </w:pPr>
      <w:r>
        <w:t>--2023-01-06</w:t>
        <w:t xml:space="preserve"> </w:t>
        <w:t>13</w:t>
        <w:t>:41:50--</w:t>
        <w:t>https://j-server.lxd/stats</w:t>
        <w:t xml:space="preserve"> </w:t>
        <w:t>Resolving j-server.lxd</w:t>
        <w:t xml:space="preserve"> </w:t>
        <w:t>(</w:t>
        <w:t>j-server.lxd</w:t>
        <w:t>)</w:t>
        <w:t>...</w:t>
        <w:t xml:space="preserve"> </w:t>
        <w:t>10</w:t>
        <w:t>.0.100.87</w:t>
        <w:t xml:space="preserve"> </w:t>
        <w:t>Connecting to j-server.lxd</w:t>
        <w:t xml:space="preserve"> </w:t>
        <w:t>(</w:t>
        <w:t>j-server.lxd</w:t>
        <w:t>)</w:t>
        <w:t>|</w:t>
        <w:t>10</w:t>
        <w:t>.0.100.87|:443... connected.</w:t>
        <w:t xml:space="preserve"> </w:t>
        <w:t>OpenSSL: error:0A00042E:SSL routines::tlsv1 alert protocol version</w:t>
        <w:t xml:space="preserve"> </w:t>
        <w:t>Unable to establish SSL connection.</w:t>
      </w:r>
    </w:p>
    <w:p>
      <w:pPr>
        <w:pStyle w:val="Para 17"/>
      </w:pPr>
      <w:r>
        <w:t/>
      </w:r>
    </w:p>
    <w:p>
      <w:pPr>
        <w:pStyle w:val="Para 01"/>
      </w:pPr>
      <w:r>
        <w:t>Use only AES256 with TLSv1.3</w:t>
      </w:r>
    </w:p>
    <w:p>
      <w:pPr>
        <w:pStyle w:val="Para 17"/>
      </w:pPr>
      <w:r>
        <w:t/>
      </w:r>
    </w:p>
    <w:p>
      <w:pPr>
        <w:pStyle w:val="Normal"/>
      </w:pPr>
      <w:r>
        <w:t>As an additional constraint, besides forcing TLSv1.3, let’s only allow AES256. This would do it for OpenSSL applications that do not override this elsewhere:</w:t>
      </w:r>
    </w:p>
    <w:p>
      <w:pPr>
        <w:pStyle w:val="Para 01"/>
      </w:pPr>
      <w:r>
        <w:t>[system_default_sect]</w:t>
      </w:r>
    </w:p>
    <w:p>
      <w:pPr>
        <w:pStyle w:val="Normal"/>
      </w:pPr>
      <w:r>
        <w:t>CipherString</w:t>
        <w:t xml:space="preserve"> </w:t>
        <w:t>=</w:t>
        <w:t xml:space="preserve"> </w:t>
        <w:t>DEFAULT:@SECLEVEL=2</w:t>
      </w:r>
    </w:p>
    <w:p>
      <w:pPr>
        <w:pStyle w:val="Normal"/>
      </w:pPr>
      <w:r>
        <w:t>CipherSuites</w:t>
        <w:t xml:space="preserve"> </w:t>
        <w:t>=</w:t>
        <w:t xml:space="preserve"> </w:t>
        <w:t>TLS_AES_256_GCM_SHA384</w:t>
      </w:r>
    </w:p>
    <w:p>
      <w:pPr>
        <w:pStyle w:val="Normal"/>
      </w:pPr>
      <w:r>
        <w:t>MinProtocol</w:t>
        <w:t xml:space="preserve"> </w:t>
        <w:t>=</w:t>
        <w:t xml:space="preserve"> </w:t>
        <w:t>TLSv1.3</w:t>
      </w:r>
    </w:p>
    <w:p>
      <w:pPr>
        <w:pStyle w:val="Para 17"/>
      </w:pPr>
      <w:r>
        <w:t/>
      </w:r>
    </w:p>
    <w:p>
      <w:pPr>
        <w:pStyle w:val="Normal"/>
      </w:pPr>
      <w:r>
        <w:t>Since we are already forcing TLSv1.3, there is no need to tweak the CipherString list, since that applies only to TLSv1.2 and older.</w:t>
      </w:r>
    </w:p>
    <w:p>
      <w:pPr>
        <w:pStyle w:val="Normal"/>
      </w:pPr>
      <w:r>
        <w:t xml:space="preserve">The OpenSSL s_server command is very handy to test this (see </w:t>
      </w:r>
      <w:hyperlink w:anchor="page_789">
        <w:r>
          <w:rPr>
            <w:rStyle w:val="Text2"/>
          </w:rPr>
          <w:t>the Troubleshooting section</w:t>
        </w:r>
      </w:hyperlink>
      <w:r>
        <w:t xml:space="preserve"> (page 788) for details on how to use it):</w:t>
      </w:r>
    </w:p>
    <w:p>
      <w:pPr>
        <w:pStyle w:val="Normal"/>
      </w:pPr>
      <w:r>
        <w:t>$ sudo openssl s_server -cert j-server.pem -key j-server.key -port</w:t>
        <w:t xml:space="preserve"> </w:t>
        <w:t>443</w:t>
        <w:t>-www</w:t>
      </w:r>
    </w:p>
    <w:p>
      <w:bookmarkStart w:id="1204" w:name="page_7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7" name="index-762_1.png" descr="index-762_1.png"/>
            <wp:cNvGraphicFramePr>
              <a:graphicFrameLocks noChangeAspect="1"/>
            </wp:cNvGraphicFramePr>
            <a:graphic>
              <a:graphicData uri="http://schemas.openxmlformats.org/drawingml/2006/picture">
                <pic:pic>
                  <pic:nvPicPr>
                    <pic:cNvPr id="0" name="index-762_1.png" descr="index-762_1.png"/>
                    <pic:cNvPicPr/>
                  </pic:nvPicPr>
                  <pic:blipFill>
                    <a:blip r:embed="rId801"/>
                    <a:stretch>
                      <a:fillRect/>
                    </a:stretch>
                  </pic:blipFill>
                  <pic:spPr>
                    <a:xfrm>
                      <a:off x="0" y="0"/>
                      <a:ext cx="914400" cy="266700"/>
                    </a:xfrm>
                    <a:prstGeom prst="rect">
                      <a:avLst/>
                    </a:prstGeom>
                  </pic:spPr>
                </pic:pic>
              </a:graphicData>
            </a:graphic>
          </wp:anchor>
        </w:drawing>
      </w:r>
      <w:bookmarkEnd w:id="1204"/>
    </w:p>
    <w:p>
      <w:pPr>
        <w:pStyle w:val="Para 08"/>
      </w:pPr>
      <w:r>
        <w:t>Note:</w:t>
      </w:r>
    </w:p>
    <w:p>
      <w:pPr>
        <w:pStyle w:val="Para 03"/>
      </w:pPr>
      <w:r>
        <w:t>Be sure to use another system for this server, or else it will be subject to the same /etc/</w:t>
      </w:r>
    </w:p>
    <w:p>
      <w:pPr>
        <w:pStyle w:val="Para 03"/>
      </w:pPr>
      <w:r>
        <w:t>ssl/openssl.cnf constraints you are testing on the client, and this can lead to very con-</w:t>
      </w:r>
    </w:p>
    <w:p>
      <w:pPr>
        <w:pStyle w:val="Para 03"/>
      </w:pPr>
      <w:r>
        <w:t>fusing results.</w:t>
      </w:r>
    </w:p>
    <w:p>
      <w:pPr>
        <w:pStyle w:val="Para 17"/>
      </w:pPr>
      <w:r>
        <w:t/>
      </w:r>
    </w:p>
    <w:p>
      <w:pPr>
        <w:pStyle w:val="Normal"/>
      </w:pPr>
      <w:r>
        <w:t>As expected, a client will end up selecting TLSv1.3 and the TLS_AES_256_GCM_SHA384 cipher suite:</w:t>
      </w:r>
    </w:p>
    <w:p>
      <w:pPr>
        <w:pStyle w:val="Normal"/>
      </w:pPr>
      <w:r>
        <w:t>$ wget https://j-server.lxd/stats -O /dev/stdout -q | grep Cipher -w</w:t>
        <w:t xml:space="preserve"> </w:t>
        <w:t>New, TLSv1.3, Cipher is TLS_AES_256_GCM_SHA384</w:t>
      </w:r>
    </w:p>
    <w:p>
      <w:pPr>
        <w:pStyle w:val="Para 02"/>
      </w:pPr>
      <w:r>
        <w:t>Cipher</w:t>
        <w:t xml:space="preserve"> </w:t>
        <w:t>: TLS_AES_256_GCM_SHA384</w:t>
      </w:r>
    </w:p>
    <w:p>
      <w:pPr>
        <w:pStyle w:val="Para 17"/>
      </w:pPr>
      <w:r>
        <w:t/>
      </w:r>
    </w:p>
    <w:p>
      <w:pPr>
        <w:pStyle w:val="Normal"/>
      </w:pPr>
      <w:r>
        <w:t>To be sure, we can tweak the server to only offer TLS_CHACHA20_POLY1305_SHA256 for example:</w:t>
      </w:r>
    </w:p>
    <w:p>
      <w:pPr>
        <w:pStyle w:val="Normal"/>
      </w:pPr>
      <w:r>
        <w:t>$ sudo openssl s_server -cert j-server.pem -key j-server.key -port</w:t>
        <w:t xml:space="preserve"> </w:t>
        <w:t>443</w:t>
        <w:t>-www -ciphersuites</w:t>
        <w:t xml:space="preserve"> </w:t>
        <w:t>TLS_CHACHA20_POLY1305_SHA256</w:t>
      </w:r>
    </w:p>
    <w:p>
      <w:pPr>
        <w:pStyle w:val="Para 17"/>
      </w:pPr>
      <w:r>
        <w:t/>
      </w:r>
    </w:p>
    <w:p>
      <w:pPr>
        <w:pStyle w:val="Normal"/>
      </w:pPr>
      <w:r>
        <w:t>And now the client will fail:</w:t>
      </w:r>
    </w:p>
    <w:p>
      <w:pPr>
        <w:pStyle w:val="Normal"/>
      </w:pPr>
      <w:r>
        <w:t>$ wget https://j-server.lxd/stats -O /dev/stdout</w:t>
      </w:r>
    </w:p>
    <w:p>
      <w:pPr>
        <w:pStyle w:val="Normal"/>
      </w:pPr>
      <w:r>
        <w:t>--2023-01-06</w:t>
        <w:t xml:space="preserve"> </w:t>
        <w:t>14</w:t>
        <w:t>:20:55--</w:t>
        <w:t>https://j-server.lxd/stats</w:t>
        <w:t xml:space="preserve"> </w:t>
        <w:t>Resolving j-server.lxd</w:t>
        <w:t xml:space="preserve"> </w:t>
        <w:t>(</w:t>
        <w:t>j-server.lxd</w:t>
        <w:t>)</w:t>
        <w:t>...</w:t>
        <w:t xml:space="preserve"> </w:t>
        <w:t>10</w:t>
        <w:t>.0.100.87</w:t>
        <w:t xml:space="preserve"> </w:t>
        <w:t>Connecting to j-server.lxd</w:t>
        <w:t xml:space="preserve"> </w:t>
        <w:t>(</w:t>
        <w:t>j-server.lxd</w:t>
        <w:t>)</w:t>
        <w:t>|</w:t>
        <w:t>10</w:t>
        <w:t>.0.100.87|:443... connected.</w:t>
        <w:t xml:space="preserve"> </w:t>
        <w:t>OpenSSL: error:0A000410:SSL routines::sslv3 alert handshake failure</w:t>
        <w:t xml:space="preserve"> </w:t>
        <w:t>Unable to establish SSL connection.</w:t>
      </w:r>
    </w:p>
    <w:p>
      <w:pPr>
        <w:pStyle w:val="Para 17"/>
      </w:pPr>
      <w:r>
        <w:t/>
      </w:r>
    </w:p>
    <w:p>
      <w:pPr>
        <w:pStyle w:val="Para 01"/>
      </w:pPr>
      <w:r>
        <w:t>Drop AES128 entirely</w:t>
      </w:r>
    </w:p>
    <w:p>
      <w:pPr>
        <w:pStyle w:val="Para 17"/>
      </w:pPr>
      <w:r>
        <w:t/>
      </w:r>
    </w:p>
    <w:p>
      <w:pPr>
        <w:pStyle w:val="Normal"/>
      </w:pPr>
      <w:r>
        <w:t>If we want to still allow TLS v1.2, but just drop AES128, then we need to configure the ciphers separately for TLS v1.3 and v1.2 or lower:</w:t>
      </w:r>
    </w:p>
    <w:p>
      <w:pPr>
        <w:pStyle w:val="Para 01"/>
      </w:pPr>
      <w:r>
        <w:t>[system_default_sect]</w:t>
      </w:r>
    </w:p>
    <w:p>
      <w:pPr>
        <w:pStyle w:val="Normal"/>
      </w:pPr>
      <w:r>
        <w:t>CipherString</w:t>
        <w:t xml:space="preserve"> </w:t>
        <w:t>=</w:t>
        <w:t xml:space="preserve"> </w:t>
        <w:t>DEFAULT:@SECLEVEL=2:!AES128</w:t>
        <w:t xml:space="preserve"> </w:t>
        <w:t>CipherSuites</w:t>
        <w:t xml:space="preserve"> </w:t>
        <w:t>=</w:t>
        <w:t xml:space="preserve"> </w:t>
        <w:t>TLS_AES_256_GCM_SHA384:TLS_CHACHA20_POLY1305_SHA256</w:t>
        <w:t xml:space="preserve"> </w:t>
        <w:t>MinProtocol</w:t>
        <w:t xml:space="preserve"> </w:t>
        <w:t>=</w:t>
        <w:t xml:space="preserve"> </w:t>
        <w:t>TLSv1.2</w:t>
      </w:r>
    </w:p>
    <w:p>
      <w:pPr>
        <w:pStyle w:val="Para 17"/>
      </w:pPr>
      <w:r>
        <w:t/>
      </w:r>
    </w:p>
    <w:p>
      <w:pPr>
        <w:pStyle w:val="Normal"/>
      </w:pPr>
      <w:r>
        <w:t>To test, let’s force our test s_server server to only offer TLSv1.2:</w:t>
      </w:r>
    </w:p>
    <w:p>
      <w:pPr>
        <w:pStyle w:val="Normal"/>
      </w:pPr>
      <w:r>
        <w:t>$ sudo openssl s_server -cert j-server.pem -key j-server.key -port</w:t>
        <w:t xml:space="preserve"> </w:t>
        <w:t>443</w:t>
        <w:t>-www -tls1_2</w:t>
      </w:r>
    </w:p>
    <w:p>
      <w:pPr>
        <w:pStyle w:val="Para 17"/>
      </w:pPr>
      <w:r>
        <w:t/>
      </w:r>
    </w:p>
    <w:p>
      <w:pPr>
        <w:pStyle w:val="Normal"/>
      </w:pPr>
      <w:r>
        <w:t>And our client picks AES256:</w:t>
      </w:r>
    </w:p>
    <w:p>
      <w:pPr>
        <w:pStyle w:val="Normal"/>
      </w:pPr>
      <w:r>
        <w:t>$ wget https://j-server.lxd/stats -O /dev/stdout -q | grep Cipher -w</w:t>
        <w:t xml:space="preserve"> </w:t>
        <w:t>New, TLSv1.2, Cipher is ECDHE-RSA-AES256-GCM-SHA384</w:t>
      </w:r>
    </w:p>
    <w:p>
      <w:pPr>
        <w:pStyle w:val="Para 02"/>
      </w:pPr>
      <w:r>
        <w:t>Cipher</w:t>
        <w:t xml:space="preserve"> </w:t>
        <w:t>: ECDHE-RSA-AES256-GCM-SHA384</w:t>
      </w:r>
    </w:p>
    <w:p>
      <w:pPr>
        <w:pStyle w:val="Para 17"/>
      </w:pPr>
      <w:r>
        <w:t/>
      </w:r>
    </w:p>
    <w:p>
      <w:pPr>
        <w:pStyle w:val="Normal"/>
      </w:pPr>
      <w:r>
        <w:t>But that could also be just because AES256 is stronger than AES128. Let’s not offer AES256 on the server, and also jump ahead and also remove CHACHA20, which would be the next one preferable to AES128:</w:t>
      </w:r>
    </w:p>
    <w:p>
      <w:pPr>
        <w:pStyle w:val="Normal"/>
      </w:pPr>
      <w:r>
        <w:t>$ sudo openssl s_server -cert j-server.pem -key j-server.key -port</w:t>
        <w:t xml:space="preserve"> </w:t>
        <w:t>443</w:t>
        <w:t>-www -tls1_2 -</w:t>
        <w:t>cipher</w:t>
        <w:t xml:space="preserve"> </w:t>
        <w:t>'DEFAULT:!AES256:!CHACHA20'</w:t>
      </w:r>
    </w:p>
    <w:p>
      <w:bookmarkStart w:id="1205" w:name="page_7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8" name="index-763_1.png" descr="index-763_1.png"/>
            <wp:cNvGraphicFramePr>
              <a:graphicFrameLocks noChangeAspect="1"/>
            </wp:cNvGraphicFramePr>
            <a:graphic>
              <a:graphicData uri="http://schemas.openxmlformats.org/drawingml/2006/picture">
                <pic:pic>
                  <pic:nvPicPr>
                    <pic:cNvPr id="0" name="index-763_1.png" descr="index-763_1.png"/>
                    <pic:cNvPicPr/>
                  </pic:nvPicPr>
                  <pic:blipFill>
                    <a:blip r:embed="rId802"/>
                    <a:stretch>
                      <a:fillRect/>
                    </a:stretch>
                  </pic:blipFill>
                  <pic:spPr>
                    <a:xfrm>
                      <a:off x="0" y="0"/>
                      <a:ext cx="914400" cy="266700"/>
                    </a:xfrm>
                    <a:prstGeom prst="rect">
                      <a:avLst/>
                    </a:prstGeom>
                  </pic:spPr>
                </pic:pic>
              </a:graphicData>
            </a:graphic>
          </wp:anchor>
        </w:drawing>
      </w:r>
      <w:bookmarkEnd w:id="1205"/>
    </w:p>
    <w:p>
      <w:pPr>
        <w:pStyle w:val="Normal"/>
      </w:pPr>
      <w:r>
        <w:t>Surely wget should fail now. Well, turns out it does select AES128:</w:t>
      </w:r>
    </w:p>
    <w:p>
      <w:pPr>
        <w:pStyle w:val="Normal"/>
      </w:pPr>
      <w:r>
        <w:t>$ wget https://j-server.lxd/stats -O /dev/stdout -q | grep Cipher -w</w:t>
        <w:t xml:space="preserve"> </w:t>
        <w:t>New, TLSv1.2, Cipher is ECDHE-RSA-AES128-GCM-SHA256</w:t>
      </w:r>
    </w:p>
    <w:p>
      <w:pPr>
        <w:pStyle w:val="Para 02"/>
      </w:pPr>
      <w:r>
        <w:t>Cipher</w:t>
        <w:t xml:space="preserve"> </w:t>
        <w:t>: ECDHE-RSA-AES128-GCM-SHA256</w:t>
      </w:r>
    </w:p>
    <w:p>
      <w:pPr>
        <w:pStyle w:val="Para 17"/>
      </w:pPr>
      <w:r>
        <w:t/>
      </w:r>
    </w:p>
    <w:p>
      <w:pPr>
        <w:pStyle w:val="Normal"/>
      </w:pPr>
      <w:r>
        <w:t>It’s unclear why. Maybe it’s a safeguard, or maybe AES128 is always allowed in TLSv1.2 and we produced an invalid configuration. This case shows how crypto is complex, and also appli-cations can override any such configuration setting that comes from the library. As a counter example, OpenSSL’s s_client tool follows the library config, and fails in this case:</w:t>
      </w:r>
    </w:p>
    <w:p>
      <w:pPr>
        <w:pStyle w:val="Normal"/>
      </w:pPr>
      <w:r>
        <w:t>$</w:t>
        <w:t xml:space="preserve"> </w:t>
        <w:t>echo</w:t>
        <w:t xml:space="preserve"> </w:t>
        <w:t>| openssl s_client -connect j-server.lxd:443</w:t>
        <w:t xml:space="preserve"> </w:t>
        <w:t>| grep -w -i cipher</w:t>
        <w:t xml:space="preserve"> </w:t>
        <w:t>4007F4F9D47F0000:error:0A000410:SSL routines:ssl3_read_bytes:sslv3 alert handshake</w:t>
        <w:t xml:space="preserve"> </w:t>
        <w:t>failure:../ssl/record/rec_layer_s3.c:1584:SSL alert number</w:t>
        <w:t xml:space="preserve"> </w:t>
        <w:t>40</w:t>
        <w:t xml:space="preserve"> </w:t>
        <w:t>New,</w:t>
        <w:t xml:space="preserve"> </w:t>
        <w:t>(</w:t>
        <w:t>NONE</w:t>
        <w:t>)</w:t>
        <w:t>, Cipher is</w:t>
        <w:t xml:space="preserve"> </w:t>
        <w:t>(</w:t>
        <w:t>NONE</w:t>
        <w:t>)</w:t>
      </w:r>
    </w:p>
    <w:p>
      <w:pPr>
        <w:pStyle w:val="Para 17"/>
      </w:pPr>
      <w:r>
        <w:t/>
      </w:r>
    </w:p>
    <w:p>
      <w:pPr>
        <w:pStyle w:val="Normal"/>
      </w:pPr>
      <w:r>
        <w:t>But we can override that as well with a command-line option and force s_client to allow AES128:</w:t>
      </w:r>
    </w:p>
    <w:p>
      <w:pPr>
        <w:pStyle w:val="Normal"/>
      </w:pPr>
      <w:r>
        <w:t>$</w:t>
        <w:t xml:space="preserve"> </w:t>
        <w:t>echo</w:t>
        <w:t xml:space="preserve"> </w:t>
        <w:t>| openssl s_client -connect j-server.lxd:443 --cipher DEFAULT:AES128</w:t>
        <w:t xml:space="preserve"> </w:t>
        <w:t>2</w:t>
        <w:t>&gt;&amp;</w:t>
        <w:t>1</w:t>
        <w:t>| grep -w</w:t>
        <w:t>-i cipher</w:t>
      </w:r>
    </w:p>
    <w:p>
      <w:pPr>
        <w:pStyle w:val="Normal"/>
      </w:pPr>
      <w:r>
        <w:t>New, TLSv1.2, Cipher is ECDHE-RSA-AES128-GCM-SHA256</w:t>
      </w:r>
    </w:p>
    <w:p>
      <w:pPr>
        <w:pStyle w:val="Para 02"/>
      </w:pPr>
      <w:r>
        <w:t>Cipher</w:t>
        <w:t xml:space="preserve"> </w:t>
        <w:t>: ECDHE-RSA-AES128-GCM-SHA256</w:t>
      </w:r>
    </w:p>
    <w:p>
      <w:pPr>
        <w:pStyle w:val="Para 17"/>
      </w:pPr>
      <w:r>
        <w:t/>
      </w:r>
    </w:p>
    <w:p>
      <w:pPr>
        <w:pStyle w:val="Para 01"/>
      </w:pPr>
      <w:r>
        <w:t>References</w:t>
      </w:r>
    </w:p>
    <w:p>
      <w:pPr>
        <w:pStyle w:val="Para 17"/>
      </w:pPr>
      <w:r>
        <w:t/>
      </w:r>
    </w:p>
    <w:p>
      <w:pPr>
        <w:pStyle w:val="Para 13"/>
      </w:pPr>
      <w:r>
        <w:rPr>
          <w:rStyle w:val="Text7"/>
        </w:rPr>
        <w:t xml:space="preserve">• </w:t>
      </w:r>
      <w:hyperlink w:anchor="page_763">
        <w:r>
          <w:rPr>
            <w:rStyle w:val="Text10"/>
          </w:rPr>
          <w:t>758</w:t>
        </w:r>
      </w:hyperlink>
      <w:r>
        <w:rPr>
          <w:rStyle w:val="Text7"/>
        </w:rPr>
        <w:t xml:space="preserve"> </w:t>
      </w:r>
      <w:hyperlink r:id="rId1648">
        <w:r>
          <w:t>OpenSSL home page</w:t>
        </w:r>
      </w:hyperlink>
    </w:p>
    <w:p>
      <w:pPr>
        <w:pStyle w:val="Para 04"/>
      </w:pPr>
      <w:r>
        <w:t>• SECLEVEL description:</w:t>
      </w:r>
    </w:p>
    <w:p>
      <w:pPr>
        <w:pStyle w:val="Para 27"/>
      </w:pPr>
      <w:r>
        <w:rPr>
          <w:rStyle w:val="Text18"/>
        </w:rPr>
        <w:t>–</w:t>
      </w:r>
      <w:r>
        <w:rPr>
          <w:rStyle w:val="Text7"/>
        </w:rPr>
        <w:t xml:space="preserve"> </w:t>
      </w:r>
      <w:hyperlink r:id="rId1649">
        <w:r>
          <w:t>https://docs.openssl.org/3.0/man3/SSL_CTX_set_security_level/</w:t>
        </w:r>
      </w:hyperlink>
    </w:p>
    <w:p>
      <w:pPr>
        <w:pStyle w:val="Para 27"/>
      </w:pPr>
      <w:r>
        <w:rPr>
          <w:rStyle w:val="Text18"/>
        </w:rPr>
        <w:t>–</w:t>
      </w:r>
      <w:r>
        <w:rPr>
          <w:rStyle w:val="Text7"/>
        </w:rPr>
        <w:t xml:space="preserve"> </w:t>
      </w:r>
      <w:hyperlink r:id="rId1650">
        <w:r>
          <w:t>https://www.feistyduck.com/library/openssl-cookbook/online/</w:t>
        </w:r>
      </w:hyperlink>
    </w:p>
    <w:p>
      <w:pPr>
        <w:pStyle w:val="Para 49"/>
      </w:pPr>
      <w:hyperlink r:id="rId1650">
        <w:r>
          <w:t>openssl-command-line/understanding-security-levels.html</w:t>
        </w:r>
      </w:hyperlink>
    </w:p>
    <w:p>
      <w:pPr>
        <w:pStyle w:val="Para 04"/>
      </w:pPr>
      <w:r>
        <w:t>• Configuration directives that can be used in the system_default_sect section are in the</w:t>
      </w:r>
    </w:p>
    <w:p>
      <w:pPr>
        <w:pStyle w:val="Para 31"/>
      </w:pPr>
      <w:hyperlink r:id="rId1647">
        <w:r>
          <w:t>SSL_CONF_cmd(3)</w:t>
        </w:r>
      </w:hyperlink>
      <w:hyperlink r:id="rId1647">
        <w:r>
          <w:rPr>
            <w:rStyle w:val="Text15"/>
          </w:rPr>
          <w:t>759</w:t>
        </w:r>
      </w:hyperlink>
      <w:r>
        <w:rPr>
          <w:rStyle w:val="Text4"/>
        </w:rPr>
        <w:t xml:space="preserve"> manual page</w:t>
      </w:r>
    </w:p>
    <w:p>
      <w:pPr>
        <w:pStyle w:val="Para 17"/>
      </w:pPr>
      <w:r>
        <w:t/>
      </w:r>
    </w:p>
    <w:p>
      <w:pPr>
        <w:pStyle w:val="Para 01"/>
      </w:pPr>
      <w:r>
        <w:t>GnuTLS</w:t>
      </w:r>
    </w:p>
    <w:p>
      <w:pPr>
        <w:pStyle w:val="Para 17"/>
      </w:pPr>
      <w:r>
        <w:t/>
      </w:r>
    </w:p>
    <w:p>
      <w:pPr>
        <w:pStyle w:val="Normal"/>
      </w:pPr>
      <w:r>
        <w:t xml:space="preserve">When initialized, the </w:t>
      </w:r>
      <w:hyperlink w:anchor="page_686">
        <w:r>
          <w:rPr>
            <w:rStyle w:val="Text2"/>
          </w:rPr>
          <w:t>GnuTLS</w:t>
        </w:r>
      </w:hyperlink>
      <w:r>
        <w:t xml:space="preserve"> library tries to read its system-wide configuration file /etc/ gnutls/config. This file is present in Ubuntu Noble 24.04 LTS and later, but previous releases did not ship it. In that case, if you want to make configuration changes, it has to be created manually.</w:t>
      </w:r>
    </w:p>
    <w:p>
      <w:pPr>
        <w:pStyle w:val="Normal"/>
      </w:pPr>
      <w:r>
        <w:t>This config file can be used to disable (or mark as insecure) algorithms and protocols in a system-wide manner, overriding the library defaults. Note that, intentionally, any algorithms or protocols that were disabled or marked as insecure cannot then be re-enabled or marked as secure.</w:t>
      </w:r>
    </w:p>
    <w:p>
      <w:pPr>
        <w:pStyle w:val="Para 05"/>
      </w:pPr>
      <w:r>
        <w:rPr>
          <w:rStyle w:val="Text5"/>
        </w:rPr>
        <w:t>758</w:t>
      </w:r>
      <w:r>
        <w:rPr>
          <w:rStyle w:val="Text8"/>
        </w:rPr>
        <w:t xml:space="preserve"> </w:t>
      </w:r>
      <w:r>
        <w:t>https://www.openssl.org</w:t>
      </w:r>
    </w:p>
    <w:p>
      <w:pPr>
        <w:pStyle w:val="Para 03"/>
      </w:pPr>
      <w:r>
        <w:rPr>
          <w:rStyle w:val="Text5"/>
        </w:rPr>
        <w:t>759</w:t>
      </w:r>
      <w:r>
        <w:t xml:space="preserve"> </w:t>
      </w:r>
      <w:r>
        <w:rPr>
          <w:rStyle w:val="Text6"/>
        </w:rPr>
        <w:t>https://manpages.ubuntu.com/manpages/resolute/man3/SSL_CONF_cmd.3.html</w:t>
      </w:r>
      <w:r>
        <w:t xml:space="preserve"> There are many configuration options available for GnuTLS, and we strongly recommend that you carefully read the upstream documentation listed in the References section at the end of this page if creating this file or making changes to it.</w:t>
      </w:r>
    </w:p>
    <w:p>
      <w:bookmarkStart w:id="1206" w:name="page_7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799" name="index-764_1.png" descr="index-764_1.png"/>
            <wp:cNvGraphicFramePr>
              <a:graphicFrameLocks noChangeAspect="1"/>
            </wp:cNvGraphicFramePr>
            <a:graphic>
              <a:graphicData uri="http://schemas.openxmlformats.org/drawingml/2006/picture">
                <pic:pic>
                  <pic:nvPicPr>
                    <pic:cNvPr id="0" name="index-764_1.png" descr="index-764_1.png"/>
                    <pic:cNvPicPr/>
                  </pic:nvPicPr>
                  <pic:blipFill>
                    <a:blip r:embed="rId803"/>
                    <a:stretch>
                      <a:fillRect/>
                    </a:stretch>
                  </pic:blipFill>
                  <pic:spPr>
                    <a:xfrm>
                      <a:off x="0" y="0"/>
                      <a:ext cx="914400" cy="266700"/>
                    </a:xfrm>
                    <a:prstGeom prst="rect">
                      <a:avLst/>
                    </a:prstGeom>
                  </pic:spPr>
                </pic:pic>
              </a:graphicData>
            </a:graphic>
          </wp:anchor>
        </w:drawing>
      </w:r>
      <w:bookmarkEnd w:id="1206"/>
    </w:p>
    <w:p>
      <w:pPr>
        <w:pStyle w:val="Para 17"/>
      </w:pPr>
      <w:r>
        <w:t/>
      </w:r>
    </w:p>
    <w:p>
      <w:pPr>
        <w:pStyle w:val="Para 01"/>
      </w:pPr>
      <w:r>
        <w:t>Structure of the config file</w:t>
      </w:r>
    </w:p>
    <w:p>
      <w:pPr>
        <w:pStyle w:val="Para 17"/>
      </w:pPr>
      <w:r>
        <w:t/>
      </w:r>
    </w:p>
    <w:p>
      <w:pPr>
        <w:pStyle w:val="Normal"/>
      </w:pPr>
      <w:r>
        <w:t>The GnuTLS configuration file is structured as an INI-style text file. There are three sections, and each section contains key = values lines. For example:</w:t>
      </w:r>
    </w:p>
    <w:p>
      <w:pPr>
        <w:pStyle w:val="Normal"/>
      </w:pPr>
      <w:r>
        <w:t>[global]</w:t>
      </w:r>
    </w:p>
    <w:p>
      <w:pPr>
        <w:pStyle w:val="Normal"/>
      </w:pPr>
      <w:r>
        <w:t>override-mode = blocklist</w:t>
      </w:r>
    </w:p>
    <w:p>
      <w:pPr>
        <w:pStyle w:val="Normal"/>
      </w:pPr>
      <w:r>
        <w:t>[priorities]</w:t>
      </w:r>
    </w:p>
    <w:p>
      <w:pPr>
        <w:pStyle w:val="Normal"/>
      </w:pPr>
      <w:r>
        <w:t>SYSTEM = NORMAL:-MD5</w:t>
      </w:r>
    </w:p>
    <w:p>
      <w:pPr>
        <w:pStyle w:val="Normal"/>
      </w:pPr>
      <w:r>
        <w:t>[overrides]</w:t>
      </w:r>
    </w:p>
    <w:p>
      <w:pPr>
        <w:pStyle w:val="Normal"/>
      </w:pPr>
      <w:r>
        <w:t>tls-disabled-mac = sha1</w:t>
      </w:r>
    </w:p>
    <w:p>
      <w:pPr>
        <w:pStyle w:val="Para 17"/>
      </w:pPr>
      <w:r>
        <w:t/>
      </w:r>
    </w:p>
    <w:p>
      <w:pPr>
        <w:pStyle w:val="Para 01"/>
      </w:pPr>
      <w:r>
        <w:t>The global section</w:t>
      </w:r>
    </w:p>
    <w:p>
      <w:pPr>
        <w:pStyle w:val="Para 17"/>
      </w:pPr>
      <w:r>
        <w:t/>
      </w:r>
    </w:p>
    <w:p>
      <w:pPr>
        <w:pStyle w:val="Normal"/>
      </w:pPr>
      <w:r>
        <w:t>The [global] section sets the override mode used in the [overrides] section:</w:t>
      </w:r>
    </w:p>
    <w:p>
      <w:pPr>
        <w:pStyle w:val="Para 04"/>
      </w:pPr>
      <w:r>
        <w:t>• override-mode = blocklist: the algorithms listed in [overrides] are disabled</w:t>
      </w:r>
    </w:p>
    <w:p>
      <w:pPr>
        <w:pStyle w:val="Para 04"/>
      </w:pPr>
      <w:r>
        <w:t>• override-mode = allowlist: the algorithms listed in [overrides] are enabled.</w:t>
      </w:r>
    </w:p>
    <w:p>
      <w:pPr>
        <w:pStyle w:val="Normal"/>
      </w:pPr>
      <w:r>
        <w:t>Note that in the allowlist mode, all algorithms that should be enabled must be listed in [overrides], as the library starts with marking all existing algorithms as disabled/insecure. In practice, this means that using allowlist tends to make the list in [overrides] quite large. Additionally, GnuTLS automatically constructs a SYSTEM keyword (that can be used in [prior-ities]) with all the allowed algorithms and ciphers specified in [overrides].</w:t>
      </w:r>
    </w:p>
    <w:p>
      <w:pPr>
        <w:pStyle w:val="Normal"/>
      </w:pPr>
      <w:r>
        <w:t>When using allowlist, all options in [overrides] will be of the enabled form. For example:</w:t>
      </w:r>
    </w:p>
    <w:p>
      <w:pPr>
        <w:pStyle w:val="Normal"/>
      </w:pPr>
      <w:r>
        <w:t>[global]</w:t>
      </w:r>
    </w:p>
    <w:p>
      <w:pPr>
        <w:pStyle w:val="Normal"/>
      </w:pPr>
      <w:r>
        <w:t>override-mode = allowlist</w:t>
      </w:r>
    </w:p>
    <w:p>
      <w:pPr>
        <w:pStyle w:val="Normal"/>
      </w:pPr>
      <w:r>
        <w:t>[overrides]</w:t>
      </w:r>
    </w:p>
    <w:p>
      <w:pPr>
        <w:pStyle w:val="Normal"/>
      </w:pPr>
      <w:r>
        <w:t>secure-hash = sha256</w:t>
      </w:r>
    </w:p>
    <w:p>
      <w:pPr>
        <w:pStyle w:val="Normal"/>
      </w:pPr>
      <w:r>
        <w:t>enabled-curve = secp256r1</w:t>
      </w:r>
    </w:p>
    <w:p>
      <w:pPr>
        <w:pStyle w:val="Normal"/>
      </w:pPr>
      <w:r>
        <w:t>secure-sig = ecdsa-secp256r1-sha256</w:t>
      </w:r>
    </w:p>
    <w:p>
      <w:pPr>
        <w:pStyle w:val="Normal"/>
      </w:pPr>
      <w:r>
        <w:t>enabled-version = tls1.3</w:t>
      </w:r>
    </w:p>
    <w:p>
      <w:pPr>
        <w:pStyle w:val="Normal"/>
      </w:pPr>
      <w:r>
        <w:t>tls-enabled-cipher = aes-128-gcm</w:t>
      </w:r>
    </w:p>
    <w:p>
      <w:pPr>
        <w:pStyle w:val="Normal"/>
      </w:pPr>
      <w:r>
        <w:t>tls-enabled-mac = aead</w:t>
      </w:r>
    </w:p>
    <w:p>
      <w:pPr>
        <w:pStyle w:val="Normal"/>
      </w:pPr>
      <w:r>
        <w:t>tls-enabled-group = secp256r1</w:t>
      </w:r>
    </w:p>
    <w:p>
      <w:pPr>
        <w:pStyle w:val="Para 17"/>
      </w:pPr>
      <w:r>
        <w:t/>
      </w:r>
    </w:p>
    <w:p>
      <w:pPr>
        <w:pStyle w:val="Normal"/>
      </w:pPr>
      <w:r>
        <w:t>And when using blocklist, all [override] options have the opposite meaning (i.e. disabled):</w:t>
      </w:r>
    </w:p>
    <w:p>
      <w:pPr>
        <w:pStyle w:val="Normal"/>
      </w:pPr>
      <w:r>
        <w:t>[global]</w:t>
      </w:r>
    </w:p>
    <w:p>
      <w:pPr>
        <w:pStyle w:val="Normal"/>
      </w:pPr>
      <w:r>
        <w:t>override-mode = blocklist</w:t>
      </w:r>
    </w:p>
    <w:p>
      <w:pPr>
        <w:pStyle w:val="Normal"/>
      </w:pPr>
      <w:r>
        <w:t>[overrides]</w:t>
      </w:r>
    </w:p>
    <w:p>
      <w:pPr>
        <w:pStyle w:val="Normal"/>
      </w:pPr>
      <w:r>
        <w:t>tls-disabled-cipher = aes-128-cbc</w:t>
      </w:r>
    </w:p>
    <w:p>
      <w:pPr>
        <w:pStyle w:val="Normal"/>
      </w:pPr>
      <w:r>
        <w:t>tls-disabled-cipher = aes-256-cbc</w:t>
      </w:r>
    </w:p>
    <w:p>
      <w:pPr>
        <w:pStyle w:val="Para 09"/>
      </w:pPr>
      <w:r>
        <w:t>(continues on next page)</w:t>
      </w:r>
    </w:p>
    <w:p>
      <w:bookmarkStart w:id="1207" w:name="page_7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0" name="index-765_1.png" descr="index-765_1.png"/>
            <wp:cNvGraphicFramePr>
              <a:graphicFrameLocks noChangeAspect="1"/>
            </wp:cNvGraphicFramePr>
            <a:graphic>
              <a:graphicData uri="http://schemas.openxmlformats.org/drawingml/2006/picture">
                <pic:pic>
                  <pic:nvPicPr>
                    <pic:cNvPr id="0" name="index-765_1.png" descr="index-765_1.png"/>
                    <pic:cNvPicPr/>
                  </pic:nvPicPr>
                  <pic:blipFill>
                    <a:blip r:embed="rId804"/>
                    <a:stretch>
                      <a:fillRect/>
                    </a:stretch>
                  </pic:blipFill>
                  <pic:spPr>
                    <a:xfrm>
                      <a:off x="0" y="0"/>
                      <a:ext cx="914400" cy="266700"/>
                    </a:xfrm>
                    <a:prstGeom prst="rect">
                      <a:avLst/>
                    </a:prstGeom>
                  </pic:spPr>
                </pic:pic>
              </a:graphicData>
            </a:graphic>
          </wp:anchor>
        </w:drawing>
      </w:r>
      <w:bookmarkEnd w:id="1207"/>
    </w:p>
    <w:p>
      <w:pPr>
        <w:pStyle w:val="Para 09"/>
      </w:pPr>
      <w:r>
        <w:t>(continued from previous page)</w:t>
      </w:r>
    </w:p>
    <w:p>
      <w:pPr>
        <w:pStyle w:val="Normal"/>
      </w:pPr>
      <w:r>
        <w:t>tls-disabled-mac = sha1</w:t>
      </w:r>
    </w:p>
    <w:p>
      <w:pPr>
        <w:pStyle w:val="Normal"/>
      </w:pPr>
      <w:r>
        <w:t>tls-disabled-group = group-ffdhe8192</w:t>
      </w:r>
    </w:p>
    <w:p>
      <w:pPr>
        <w:pStyle w:val="Para 17"/>
      </w:pPr>
      <w:r>
        <w:t/>
      </w:r>
    </w:p>
    <w:p>
      <w:pPr>
        <w:pStyle w:val="Normal"/>
      </w:pPr>
      <w:r>
        <w:t>For other examples and a complete list of the valid keys in the [overrides] section, please</w:t>
      </w:r>
    </w:p>
    <w:p>
      <w:pPr>
        <w:pStyle w:val="Para 18"/>
      </w:pPr>
      <w:r>
        <w:rPr>
          <w:rStyle w:val="Text7"/>
        </w:rPr>
        <w:t xml:space="preserve">refer to </w:t>
      </w:r>
      <w:hyperlink r:id="rId1651">
        <w:r>
          <w:rPr>
            <w:rStyle w:val="Text10"/>
          </w:rPr>
          <w:t>760</w:t>
        </w:r>
      </w:hyperlink>
      <w:hyperlink r:id="rId1651">
        <w:r>
          <w:t xml:space="preserve"> disabling algorithms and protocols</w:t>
        </w:r>
      </w:hyperlink>
      <w:r>
        <w:rPr>
          <w:rStyle w:val="Text7"/>
        </w:rPr>
        <w:t>.</w:t>
      </w:r>
    </w:p>
    <w:p>
      <w:pPr>
        <w:pStyle w:val="Para 17"/>
      </w:pPr>
      <w:r>
        <w:t/>
      </w:r>
    </w:p>
    <w:p>
      <w:pPr>
        <w:pStyle w:val="Para 01"/>
      </w:pPr>
      <w:r>
        <w:t>Priority strings</w:t>
      </w:r>
    </w:p>
    <w:p>
      <w:pPr>
        <w:pStyle w:val="Para 17"/>
      </w:pPr>
      <w:r>
        <w:t/>
      </w:r>
    </w:p>
    <w:p>
      <w:pPr>
        <w:pStyle w:val="Normal"/>
      </w:pPr>
      <w:r>
        <w:t xml:space="preserve">The [priorities] section is used to construct </w:t>
      </w:r>
      <w:r>
        <w:rPr>
          <w:rStyle w:val="Text0"/>
        </w:rPr>
        <w:t>priority strings</w:t>
      </w:r>
      <w:r>
        <w:t>. These strings are a way to specify the TLS session’s handshake algorithms and options in a compact, easy-to-use, for-mat. Note that priority strings are not guaranteed to imply the same set of algorithms and protocols between different GnuTLS versions.</w:t>
      </w:r>
    </w:p>
    <w:p>
      <w:pPr>
        <w:pStyle w:val="Normal"/>
      </w:pPr>
      <w:r>
        <w:t>The default priority string is selected at package build time by the vendor, and in the case of</w:t>
      </w:r>
    </w:p>
    <w:p>
      <w:pPr>
        <w:pStyle w:val="Normal"/>
      </w:pPr>
      <w:r>
        <w:t xml:space="preserve">Ubuntu Jammy it’s </w:t>
      </w:r>
      <w:hyperlink w:anchor="page_765">
        <w:r>
          <w:rPr>
            <w:rStyle w:val="Text9"/>
          </w:rPr>
          <w:t>761</w:t>
        </w:r>
      </w:hyperlink>
      <w:r>
        <w:t xml:space="preserve"> </w:t>
      </w:r>
      <w:hyperlink r:id="rId1652">
        <w:r>
          <w:rPr>
            <w:rStyle w:val="Text1"/>
          </w:rPr>
          <w:t>defined in</w:t>
        </w:r>
      </w:hyperlink>
      <w:r>
        <w:t xml:space="preserve"> </w:t>
      </w:r>
      <w:hyperlink r:id="rId1652">
        <w:r>
          <w:rPr>
            <w:rStyle w:val="Text1"/>
          </w:rPr>
          <w:t>debian/rules</w:t>
        </w:r>
      </w:hyperlink>
      <w:r>
        <w:t xml:space="preserve"> as:</w:t>
      </w:r>
    </w:p>
    <w:p>
      <w:pPr>
        <w:pStyle w:val="Normal"/>
      </w:pPr>
      <w:r>
        <w:t>NORMAL:-VERS-ALL:+VERS-TLS1.3:+VERS-TLS1.2:+VERS-DTLS1.2:%PROFILE_MEDIUM</w:t>
      </w:r>
    </w:p>
    <w:p>
      <w:pPr>
        <w:pStyle w:val="Para 17"/>
      </w:pPr>
      <w:r>
        <w:t/>
      </w:r>
    </w:p>
    <w:p>
      <w:pPr>
        <w:pStyle w:val="Normal"/>
      </w:pPr>
      <w:r>
        <w:t>A priority string can start with a single initial keyword, and then add or remove algorithms</w:t>
      </w:r>
    </w:p>
    <w:p>
      <w:pPr>
        <w:pStyle w:val="Normal"/>
      </w:pPr>
      <w:r>
        <w:t xml:space="preserve">or special keywords. The </w:t>
      </w:r>
      <w:hyperlink r:id="rId1653">
        <w:r>
          <w:rPr>
            <w:rStyle w:val="Text9"/>
          </w:rPr>
          <w:t>762</w:t>
        </w:r>
      </w:hyperlink>
      <w:r>
        <w:t xml:space="preserve"> NORMAL priority string is </w:t>
      </w:r>
      <w:hyperlink r:id="rId1653">
        <w:r>
          <w:rPr>
            <w:rStyle w:val="Text1"/>
          </w:rPr>
          <w:t>defined in this table</w:t>
        </w:r>
      </w:hyperlink>
      <w:r>
        <w:t xml:space="preserve"> in the upstream documentation reference, which also includes many other useful keywords that can be used.</w:t>
      </w:r>
    </w:p>
    <w:p>
      <w:pPr>
        <w:pStyle w:val="Normal"/>
      </w:pPr>
      <w:r>
        <w:t>To see the resulting list of ciphers and algorithms from a priority string, one can use the gnutls-cli command-line tool. For example, to list all the ciphers and algorithms allowed with the priority string SECURE256:</w:t>
      </w:r>
    </w:p>
    <w:p>
      <w:pPr>
        <w:pStyle w:val="Normal"/>
      </w:pPr>
      <w:r>
        <w:t>$ gnutls-cli --list --priority SECURE256</w:t>
      </w:r>
    </w:p>
    <w:p>
      <w:pPr>
        <w:pStyle w:val="Normal"/>
      </w:pPr>
      <w:r>
        <w:t>Cipher suites</w:t>
        <w:t xml:space="preserve"> </w:t>
      </w:r>
      <w:r>
        <w:rPr>
          <w:rStyle w:val="Text0"/>
        </w:rPr>
        <w:t>for</w:t>
      </w:r>
      <w:r>
        <w:t xml:space="preserve"> </w:t>
        <w:t>SECURE256</w:t>
      </w:r>
    </w:p>
    <w:p>
      <w:pPr>
        <w:pStyle w:val="Normal"/>
      </w:pPr>
      <w:r>
        <w:t>TLS_AES_256_GCM_SHA384</w:t>
        <w:t xml:space="preserve"> </w:t>
        <w:t>0x13, 0x02</w:t>
        <w:t xml:space="preserve"> </w:t>
        <w:t>TLS1.3</w:t>
        <w:t xml:space="preserve"> </w:t>
        <w:t>TLS_CHACHA20_POLY1305_SHA256</w:t>
        <w:t xml:space="preserve"> </w:t>
        <w:t>0x13, 0x03</w:t>
        <w:t xml:space="preserve"> </w:t>
        <w:t>TLS1.3</w:t>
        <w:t xml:space="preserve"> </w:t>
        <w:t>TLS_ECDHE_ECDSA_AES_256_GCM_SHA384</w:t>
        <w:t xml:space="preserve"> </w:t>
        <w:t>0xc0, 0x2c</w:t>
        <w:t xml:space="preserve"> </w:t>
        <w:t>TLS1.2</w:t>
        <w:t xml:space="preserve"> </w:t>
        <w:t>TLS_ECDHE_ECDSA_CHACHA20_POLY1305</w:t>
        <w:t xml:space="preserve"> </w:t>
        <w:t>0xcc, 0xa9</w:t>
        <w:t xml:space="preserve"> </w:t>
        <w:t>TLS1.2</w:t>
        <w:t xml:space="preserve"> </w:t>
        <w:t>TLS_ECDHE_ECDSA_AES_256_CCM</w:t>
        <w:t xml:space="preserve"> </w:t>
        <w:t>0xc0, 0xad</w:t>
        <w:t xml:space="preserve"> </w:t>
        <w:t>TLS1.2</w:t>
        <w:t xml:space="preserve"> </w:t>
        <w:t>TLS_ECDHE_RSA_AES_256_GCM_SHA384</w:t>
        <w:t xml:space="preserve"> </w:t>
        <w:t>0xc0, 0x30</w:t>
        <w:t xml:space="preserve"> </w:t>
        <w:t>TLS1.2</w:t>
        <w:t xml:space="preserve"> </w:t>
        <w:t>TLS_ECDHE_RSA_CHACHA20_POLY1305</w:t>
        <w:t xml:space="preserve"> </w:t>
        <w:t>0xcc, 0xa8</w:t>
        <w:t xml:space="preserve"> </w:t>
        <w:t>TLS1.2</w:t>
        <w:t xml:space="preserve"> </w:t>
        <w:t>TLS_RSA_AES_256_GCM_SHA384</w:t>
        <w:t xml:space="preserve"> </w:t>
        <w:t>0x00, 0x9d</w:t>
        <w:t xml:space="preserve"> </w:t>
        <w:t>TLS1.2</w:t>
        <w:t xml:space="preserve"> </w:t>
        <w:t>TLS_RSA_AES_256_CCM</w:t>
        <w:t xml:space="preserve"> </w:t>
        <w:t>0xc0, 0x9d</w:t>
        <w:t xml:space="preserve"> </w:t>
        <w:t>TLS1.2</w:t>
        <w:t xml:space="preserve"> </w:t>
        <w:t>TLS_DHE_RSA_AES_256_GCM_SHA384</w:t>
        <w:t xml:space="preserve"> </w:t>
        <w:t>0x00, 0x9f</w:t>
        <w:t xml:space="preserve"> </w:t>
        <w:t>TLS1.2</w:t>
        <w:t xml:space="preserve"> </w:t>
        <w:t>TLS_DHE_RSA_CHACHA20_POLY1305</w:t>
        <w:t xml:space="preserve"> </w:t>
        <w:t>0xcc, 0xaa</w:t>
        <w:t xml:space="preserve"> </w:t>
        <w:t>TLS1.2</w:t>
        <w:t xml:space="preserve"> </w:t>
        <w:t>TLS_DHE_RSA_AES_256_CCM</w:t>
        <w:t xml:space="preserve"> </w:t>
        <w:t>0xc0, 0x9f</w:t>
        <w:t xml:space="preserve"> </w:t>
        <w:t>TLS1.2</w:t>
      </w:r>
    </w:p>
    <w:p>
      <w:pPr>
        <w:pStyle w:val="Normal"/>
      </w:pPr>
      <w:r>
        <w:t>Protocols: VERS-TLS1.3, VERS-TLS1.2, VERS-TLS1.1, VERS-TLS1.0, VERS-DTLS1.2, VERS-DTLS1.0</w:t>
        <w:t xml:space="preserve"> </w:t>
        <w:t>Ciphers: AES-256-GCM, CHACHA20-POLY1305, AES-256-CBC, AES-256-CCM</w:t>
        <w:t xml:space="preserve"> </w:t>
        <w:t>MACs: AEAD</w:t>
      </w:r>
    </w:p>
    <w:p>
      <w:pPr>
        <w:pStyle w:val="Normal"/>
      </w:pPr>
      <w:r>
        <w:t>Key Exchange Algorithms: ECDHE-ECDSA, ECDHE-RSA, RSA, DHE-RSA</w:t>
        <w:t xml:space="preserve"> </w:t>
        <w:t>Groups: GROUP-SECP384R1, GROUP-SECP521R1, GROUP-FFDHE8192</w:t>
        <w:t xml:space="preserve"> </w:t>
        <w:t>PK-signatures: SIGN-RSA-SHA384, SIGN-RSA-PSS-SHA384, SIGN-RSA-PSS-RSAE-SHA384, SIGN-ECDSA-</w:t>
        <w:t>SHA384, SIGN-ECDSA-SECP384R1-SHA384, SIGN-EdDSA-Ed448, SIGN-RSA-SHA512, SIGN-RSA-PSS-</w:t>
        <w:t>SHA512, SIGN-RSA-PSS-RSAE-SHA512, SIGN-ECDSA-SHA512, SIGN-ECDSA-SECP521R1-SHA512</w:t>
      </w:r>
    </w:p>
    <w:p>
      <w:pPr>
        <w:pStyle w:val="Para 05"/>
      </w:pPr>
      <w:r>
        <w:rPr>
          <w:rStyle w:val="Text5"/>
        </w:rPr>
        <w:t>760</w:t>
      </w:r>
      <w:r>
        <w:rPr>
          <w:rStyle w:val="Text8"/>
        </w:rPr>
        <w:t xml:space="preserve"> </w:t>
      </w:r>
      <w:r>
        <w:t>https://www.gnutls.org/manual/html_node/Disabling-algorithms-and-protocols.html</w:t>
      </w:r>
    </w:p>
    <w:p>
      <w:pPr>
        <w:pStyle w:val="Para 05"/>
      </w:pPr>
      <w:r>
        <w:rPr>
          <w:rStyle w:val="Text5"/>
        </w:rPr>
        <w:t>761</w:t>
      </w:r>
      <w:r>
        <w:rPr>
          <w:rStyle w:val="Text8"/>
        </w:rPr>
        <w:t xml:space="preserve"> </w:t>
      </w:r>
      <w:r>
        <w:t>https://git.launchpad.net/ubuntu/+source/gnutls28/tree/debian/rules?h=ubuntu/jammy-devel#n38</w:t>
      </w:r>
    </w:p>
    <w:p>
      <w:pPr>
        <w:pStyle w:val="Para 03"/>
      </w:pPr>
      <w:r>
        <w:rPr>
          <w:rStyle w:val="Text5"/>
        </w:rPr>
        <w:t>762</w:t>
      </w:r>
      <w:r>
        <w:t xml:space="preserve"> </w:t>
      </w:r>
      <w:r>
        <w:rPr>
          <w:rStyle w:val="Text6"/>
        </w:rPr>
        <w:t>https://gnutls.org/manual/html_node/Priority-Strings.html#tab_003aprio_002dkeywords</w:t>
      </w:r>
      <w:r>
        <w:t xml:space="preserve"> You can manipulate the resulting set by manipulating the priority string. For example, to remove CHACHA20-POLY1305 from the SECURE256 set:</w:t>
      </w:r>
    </w:p>
    <w:p>
      <w:bookmarkStart w:id="1208" w:name="page_7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1" name="index-766_1.png" descr="index-766_1.png"/>
            <wp:cNvGraphicFramePr>
              <a:graphicFrameLocks noChangeAspect="1"/>
            </wp:cNvGraphicFramePr>
            <a:graphic>
              <a:graphicData uri="http://schemas.openxmlformats.org/drawingml/2006/picture">
                <pic:pic>
                  <pic:nvPicPr>
                    <pic:cNvPr id="0" name="index-766_1.png" descr="index-766_1.png"/>
                    <pic:cNvPicPr/>
                  </pic:nvPicPr>
                  <pic:blipFill>
                    <a:blip r:embed="rId805"/>
                    <a:stretch>
                      <a:fillRect/>
                    </a:stretch>
                  </pic:blipFill>
                  <pic:spPr>
                    <a:xfrm>
                      <a:off x="0" y="0"/>
                      <a:ext cx="914400" cy="266700"/>
                    </a:xfrm>
                    <a:prstGeom prst="rect">
                      <a:avLst/>
                    </a:prstGeom>
                  </pic:spPr>
                </pic:pic>
              </a:graphicData>
            </a:graphic>
          </wp:anchor>
        </w:drawing>
      </w:r>
      <w:bookmarkEnd w:id="1208"/>
    </w:p>
    <w:p>
      <w:pPr>
        <w:pStyle w:val="Normal"/>
      </w:pPr>
      <w:r>
        <w:t>$ gnutls-cli --list --priority SECURE256:-CHACHA20-POLY1305</w:t>
        <w:t xml:space="preserve"> </w:t>
        <w:t>Cipher suites</w:t>
        <w:t xml:space="preserve"> </w:t>
      </w:r>
      <w:r>
        <w:rPr>
          <w:rStyle w:val="Text0"/>
        </w:rPr>
        <w:t>for</w:t>
      </w:r>
      <w:r>
        <w:t xml:space="preserve"> </w:t>
        <w:t>SECURE256:-CHACHA20-POLY1305</w:t>
        <w:t xml:space="preserve"> </w:t>
        <w:t>TLS_AES_256_GCM_SHA384</w:t>
        <w:t xml:space="preserve"> </w:t>
        <w:t>0x13, 0x02</w:t>
        <w:t xml:space="preserve"> </w:t>
        <w:t>TLS1.3</w:t>
        <w:t xml:space="preserve"> </w:t>
        <w:t>TLS_ECDHE_ECDSA_AES_256_GCM_SHA384</w:t>
        <w:t xml:space="preserve"> </w:t>
        <w:t>0xc0, 0x2c</w:t>
        <w:t xml:space="preserve"> </w:t>
        <w:t>TLS1.2</w:t>
        <w:t xml:space="preserve"> </w:t>
        <w:t>TLS_ECDHE_ECDSA_AES_256_CCM</w:t>
        <w:t xml:space="preserve"> </w:t>
        <w:t>0xc0, 0xad</w:t>
        <w:t xml:space="preserve"> </w:t>
        <w:t>TLS1.2</w:t>
        <w:t xml:space="preserve"> </w:t>
        <w:t>TLS_ECDHE_RSA_AES_256_GCM_SHA384</w:t>
        <w:t xml:space="preserve"> </w:t>
        <w:t>0xc0, 0x30</w:t>
        <w:t xml:space="preserve"> </w:t>
        <w:t>TLS1.2</w:t>
        <w:t xml:space="preserve"> </w:t>
        <w:t>TLS_RSA_AES_256_GCM_SHA384</w:t>
        <w:t xml:space="preserve"> </w:t>
        <w:t>0x00, 0x9d</w:t>
        <w:t xml:space="preserve"> </w:t>
        <w:t>TLS1.2</w:t>
        <w:t xml:space="preserve"> </w:t>
        <w:t>TLS_RSA_AES_256_CCM</w:t>
        <w:t xml:space="preserve"> </w:t>
        <w:t>0xc0, 0x9d</w:t>
        <w:t xml:space="preserve"> </w:t>
        <w:t>TLS1.2</w:t>
        <w:t xml:space="preserve"> </w:t>
        <w:t>TLS_DHE_RSA_AES_256_GCM_SHA384</w:t>
        <w:t xml:space="preserve"> </w:t>
        <w:t>0x00, 0x9f</w:t>
        <w:t xml:space="preserve"> </w:t>
        <w:t>TLS1.2</w:t>
        <w:t xml:space="preserve"> </w:t>
        <w:t>TLS_DHE_RSA_AES_256_CCM</w:t>
        <w:t xml:space="preserve"> </w:t>
        <w:t>0xc0, 0x9f</w:t>
        <w:t xml:space="preserve"> </w:t>
        <w:t>TLS1.2</w:t>
      </w:r>
    </w:p>
    <w:p>
      <w:pPr>
        <w:pStyle w:val="Normal"/>
      </w:pPr>
      <w:r>
        <w:t>Protocols: VERS-TLS1.3, VERS-TLS1.2, VERS-TLS1.1, VERS-TLS1.0, VERS-DTLS1.2, VERS-DTLS1.0</w:t>
        <w:t xml:space="preserve"> </w:t>
        <w:t>Ciphers: AES-256-GCM, AES-256-CBC, AES-256-CCM</w:t>
      </w:r>
    </w:p>
    <w:p>
      <w:pPr>
        <w:pStyle w:val="Normal"/>
      </w:pPr>
      <w:r>
        <w:t>MACs: AEAD</w:t>
      </w:r>
    </w:p>
    <w:p>
      <w:pPr>
        <w:pStyle w:val="Normal"/>
      </w:pPr>
      <w:r>
        <w:t>Key Exchange Algorithms: ECDHE-ECDSA, ECDHE-RSA, RSA, DHE-RSA</w:t>
        <w:t xml:space="preserve"> </w:t>
        <w:t>Groups: GROUP-SECP384R1, GROUP-SECP521R1, GROUP-FFDHE8192</w:t>
        <w:t xml:space="preserve"> </w:t>
        <w:t>PK-signatures: SIGN-RSA-SHA384, SIGN-RSA-PSS-SHA384, SIGN-RSA-PSS-RSAE-SHA384, SIGN-ECDSA-</w:t>
        <w:t>SHA384, SIGN-ECDSA-SECP384R1-SHA384, SIGN-EdDSA-Ed448, SIGN-RSA-SHA512, SIGN-RSA-PSS-</w:t>
        <w:t>SHA512, SIGN-RSA-PSS-RSAE-SHA512, SIGN-ECDSA-SHA512, SIGN-ECDSA-SECP521R1-SHA512</w:t>
      </w:r>
    </w:p>
    <w:p>
      <w:pPr>
        <w:pStyle w:val="Para 17"/>
      </w:pPr>
      <w:r>
        <w:t/>
      </w:r>
    </w:p>
    <w:p>
      <w:pPr>
        <w:pStyle w:val="Normal"/>
      </w:pPr>
      <w:r>
        <w:t>And you can give this a new name by adding the following to the [priorities] section:</w:t>
      </w:r>
    </w:p>
    <w:p>
      <w:pPr>
        <w:pStyle w:val="Normal"/>
      </w:pPr>
      <w:r>
        <w:t>[priorities]</w:t>
      </w:r>
    </w:p>
    <w:p>
      <w:pPr>
        <w:pStyle w:val="Normal"/>
      </w:pPr>
      <w:r>
        <w:t>MYSET = SECURE256:-CHACHA20-POLY1305</w:t>
      </w:r>
    </w:p>
    <w:p>
      <w:pPr>
        <w:pStyle w:val="Para 17"/>
      </w:pPr>
      <w:r>
        <w:t/>
      </w:r>
    </w:p>
    <w:p>
      <w:pPr>
        <w:pStyle w:val="Normal"/>
      </w:pPr>
      <w:r>
        <w:t>Which allows the MYSET priority string to be used like this:</w:t>
      </w:r>
    </w:p>
    <w:p>
      <w:pPr>
        <w:pStyle w:val="Normal"/>
      </w:pPr>
      <w:r>
        <w:t>$ gnutls-cli --list --priority @MYSET</w:t>
      </w:r>
    </w:p>
    <w:p>
      <w:pPr>
        <w:pStyle w:val="Para 17"/>
      </w:pPr>
      <w:r>
        <w:t/>
      </w:r>
    </w:p>
    <w:p>
      <w:pPr>
        <w:pStyle w:val="Para 01"/>
      </w:pPr>
      <w:r>
        <w:t>Verification profile (overrides)</w:t>
      </w:r>
    </w:p>
    <w:p>
      <w:pPr>
        <w:pStyle w:val="Para 17"/>
      </w:pPr>
      <w:r>
        <w:t/>
      </w:r>
    </w:p>
    <w:p>
      <w:pPr>
        <w:pStyle w:val="Normal"/>
      </w:pPr>
      <w:r>
        <w:t>When verifying a certificate, or TLS session parameters, GnuTLS uses a set of profiles associ-ated with the session to determine whether the parameters seen in the session are accept-able. These profiles are normally set using the %PROFILE priority string, but it is also possible to set a low bar that applications cannot override. This is done with the min-verification-profile setting in the [overrides] section.</w:t>
      </w:r>
    </w:p>
    <w:p>
      <w:pPr>
        <w:pStyle w:val="Normal"/>
      </w:pPr>
      <w:r>
        <w:t>For example:</w:t>
      </w:r>
    </w:p>
    <w:p>
      <w:pPr>
        <w:pStyle w:val="Normal"/>
      </w:pPr>
      <w:r>
        <w:t>[overrides]</w:t>
      </w:r>
    </w:p>
    <w:p>
      <w:pPr>
        <w:pStyle w:val="Normal"/>
      </w:pPr>
      <w:r>
        <w:t># do not allow applications use the LOW or VERY-WEAK profiles.</w:t>
        <w:t xml:space="preserve"> </w:t>
        <w:t>min-verification-profile = legacy</w:t>
      </w:r>
    </w:p>
    <w:p>
      <w:pPr>
        <w:pStyle w:val="Para 17"/>
      </w:pPr>
      <w:r>
        <w:t/>
      </w:r>
    </w:p>
    <w:p>
      <w:pPr>
        <w:pStyle w:val="Normal"/>
      </w:pPr>
      <w:r>
        <w:t xml:space="preserve">The list of values that can be used, and their meaning, is shown in the </w:t>
      </w:r>
      <w:hyperlink r:id="rId1654">
        <w:r>
          <w:rPr>
            <w:rStyle w:val="Text1"/>
          </w:rPr>
          <w:t>key sizes and security</w:t>
        </w:r>
      </w:hyperlink>
    </w:p>
    <w:p>
      <w:pPr>
        <w:pStyle w:val="Normal"/>
      </w:pPr>
      <w:hyperlink r:id="rId1654">
        <w:r>
          <w:rPr>
            <w:rStyle w:val="Text1"/>
          </w:rPr>
          <w:t>parameters</w:t>
        </w:r>
      </w:hyperlink>
      <w:hyperlink w:anchor="page_766">
        <w:r>
          <w:rPr>
            <w:rStyle w:val="Text9"/>
          </w:rPr>
          <w:t>763</w:t>
        </w:r>
      </w:hyperlink>
      <w:r>
        <w:t xml:space="preserve"> table in the upstream documentation.</w:t>
      </w:r>
    </w:p>
    <w:p>
      <w:pPr>
        <w:pStyle w:val="Para 41"/>
      </w:pPr>
      <w:r>
        <w:rPr>
          <w:rStyle w:val="Text5"/>
        </w:rPr>
        <w:t>763</w:t>
      </w:r>
      <w:r>
        <w:rPr>
          <w:rStyle w:val="Text8"/>
        </w:rPr>
        <w:t xml:space="preserve"> </w:t>
      </w:r>
      <w:r>
        <w:t>https://gnutls.org/manual/html_node/Selecting-cryptographic-key-sizes.html#tab_003akey_002dsizes</w:t>
      </w:r>
    </w:p>
    <w:p>
      <w:bookmarkStart w:id="1209" w:name="calibre_pb_221"/>
      <w:pPr>
        <w:pStyle w:val="0 Block"/>
      </w:pPr>
      <w:bookmarkEnd w:id="1209"/>
    </w:p>
    <w:p>
      <w:bookmarkStart w:id="1210" w:name="page_767"/>
      <w:bookmarkStart w:id="1211" w:name="Top_of_index_split_22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2" name="index-767_1.png" descr="index-767_1.png"/>
            <wp:cNvGraphicFramePr>
              <a:graphicFrameLocks noChangeAspect="1"/>
            </wp:cNvGraphicFramePr>
            <a:graphic>
              <a:graphicData uri="http://schemas.openxmlformats.org/drawingml/2006/picture">
                <pic:pic>
                  <pic:nvPicPr>
                    <pic:cNvPr id="0" name="index-767_1.png" descr="index-767_1.png"/>
                    <pic:cNvPicPr/>
                  </pic:nvPicPr>
                  <pic:blipFill>
                    <a:blip r:embed="rId806"/>
                    <a:stretch>
                      <a:fillRect/>
                    </a:stretch>
                  </pic:blipFill>
                  <pic:spPr>
                    <a:xfrm>
                      <a:off x="0" y="0"/>
                      <a:ext cx="914400" cy="266700"/>
                    </a:xfrm>
                    <a:prstGeom prst="rect">
                      <a:avLst/>
                    </a:prstGeom>
                  </pic:spPr>
                </pic:pic>
              </a:graphicData>
            </a:graphic>
          </wp:anchor>
        </w:drawing>
      </w:r>
      <w:bookmarkEnd w:id="1210"/>
      <w:bookmarkEnd w:id="1211"/>
    </w:p>
    <w:p>
      <w:pPr>
        <w:pStyle w:val="Para 01"/>
      </w:pPr>
      <w:r>
        <w:t>Practical examples</w:t>
      </w:r>
    </w:p>
    <w:p>
      <w:pPr>
        <w:pStyle w:val="Para 17"/>
      </w:pPr>
      <w:r>
        <w:t/>
      </w:r>
    </w:p>
    <w:p>
      <w:pPr>
        <w:pStyle w:val="Normal"/>
      </w:pPr>
      <w:r>
        <w:t>Let’s see some practical examples of how we can use the configuration file to tweak the default cryptographic settings of an application linked with GnuTLS.</w:t>
      </w:r>
    </w:p>
    <w:p>
      <w:pPr>
        <w:pStyle w:val="Normal"/>
      </w:pPr>
      <w:r>
        <w:t>Contrary to OpenSSL, GnuTLS does not allow a cipher that was once removed to be allowed again. So if you have a setting in the GnuTLS config file that prohibits CHACHA20, an application using GnuTLS will not be able to allow it.</w:t>
      </w:r>
    </w:p>
    <w:p>
      <w:pPr>
        <w:pStyle w:val="Para 17"/>
      </w:pPr>
      <w:r>
        <w:t/>
      </w:r>
    </w:p>
    <w:p>
      <w:pPr>
        <w:pStyle w:val="Para 01"/>
      </w:pPr>
      <w:r>
        <w:t>Only use TLSv1.3</w:t>
      </w:r>
    </w:p>
    <w:p>
      <w:pPr>
        <w:pStyle w:val="Para 17"/>
      </w:pPr>
      <w:r>
        <w:t/>
      </w:r>
    </w:p>
    <w:p>
      <w:pPr>
        <w:pStyle w:val="Normal"/>
      </w:pPr>
      <w:r>
        <w:t>One way to do it is to set a new default priority string that removes all TLS versions and then adds back just TLS 1.3:</w:t>
      </w:r>
    </w:p>
    <w:p>
      <w:pPr>
        <w:pStyle w:val="Para 01"/>
      </w:pPr>
      <w:r>
        <w:t>[global]</w:t>
      </w:r>
    </w:p>
    <w:p>
      <w:pPr>
        <w:pStyle w:val="Normal"/>
      </w:pPr>
      <w:r>
        <w:t>override-mode</w:t>
        <w:t xml:space="preserve"> </w:t>
        <w:t>=</w:t>
        <w:t xml:space="preserve"> </w:t>
        <w:t>blocklist</w:t>
      </w:r>
    </w:p>
    <w:p>
      <w:pPr>
        <w:pStyle w:val="Para 01"/>
      </w:pPr>
      <w:r>
        <w:t>[overrides]</w:t>
      </w:r>
    </w:p>
    <w:p>
      <w:pPr>
        <w:pStyle w:val="Normal"/>
      </w:pPr>
      <w:r>
        <w:t>default-priority-string</w:t>
        <w:t xml:space="preserve"> </w:t>
        <w:t>=</w:t>
        <w:t xml:space="preserve"> </w:t>
        <w:t>NORMAL:-VERS-TLS-ALL:+VERS-TLS1.3</w:t>
      </w:r>
    </w:p>
    <w:p>
      <w:pPr>
        <w:pStyle w:val="Para 17"/>
      </w:pPr>
      <w:r>
        <w:t/>
      </w:r>
    </w:p>
    <w:p>
      <w:pPr>
        <w:pStyle w:val="Normal"/>
      </w:pPr>
      <w:r>
        <w:t>With our test server providing everything but TLSv1.3:</w:t>
      </w:r>
    </w:p>
    <w:p>
      <w:pPr>
        <w:pStyle w:val="Normal"/>
      </w:pPr>
      <w:r>
        <w:t>$ sudo openssl s_server -cert j-server.pem -key j-server.key -port</w:t>
        <w:t xml:space="preserve"> </w:t>
        <w:t>443</w:t>
        <w:t>-no_tls1_3</w:t>
        <w:t>-www</w:t>
      </w:r>
    </w:p>
    <w:p>
      <w:pPr>
        <w:pStyle w:val="Para 17"/>
      </w:pPr>
      <w:r>
        <w:t/>
      </w:r>
    </w:p>
    <w:p>
      <w:pPr>
        <w:pStyle w:val="Normal"/>
      </w:pPr>
      <w:r>
        <w:t>Connections will fail:</w:t>
      </w:r>
    </w:p>
    <w:p>
      <w:pPr>
        <w:pStyle w:val="Normal"/>
      </w:pPr>
      <w:r>
        <w:t>$ gnutls-cli j-server.lxd</w:t>
      </w:r>
    </w:p>
    <w:p>
      <w:pPr>
        <w:pStyle w:val="Normal"/>
      </w:pPr>
      <w:r>
        <w:t>Processed</w:t>
        <w:t xml:space="preserve"> </w:t>
        <w:t>125</w:t>
        <w:t xml:space="preserve"> </w:t>
        <w:t>CA certificate</w:t>
        <w:t>(</w:t>
        <w:t>s</w:t>
        <w:t>)</w:t>
        <w:t>.</w:t>
      </w:r>
    </w:p>
    <w:p>
      <w:pPr>
        <w:pStyle w:val="Normal"/>
      </w:pPr>
      <w:r>
        <w:t>Resolving</w:t>
        <w:t xml:space="preserve"> </w:t>
        <w:t>'j-server.lxd:443'</w:t>
        <w:t>...</w:t>
      </w:r>
    </w:p>
    <w:p>
      <w:pPr>
        <w:pStyle w:val="Normal"/>
      </w:pPr>
      <w:r>
        <w:t>Connecting to</w:t>
        <w:t xml:space="preserve"> </w:t>
        <w:t>'10.0.100.87:443'</w:t>
        <w:t>...</w:t>
      </w:r>
    </w:p>
    <w:p>
      <w:pPr>
        <w:pStyle w:val="Normal"/>
      </w:pPr>
      <w:r>
        <w:t>*** Fatal error: A TLS fatal alert has been received.</w:t>
      </w:r>
    </w:p>
    <w:p>
      <w:pPr>
        <w:pStyle w:val="Normal"/>
      </w:pPr>
      <w:r>
        <w:t>*** Received alert</w:t>
        <w:t xml:space="preserve"> </w:t>
        <w:t>[</w:t>
        <w:t>70</w:t>
        <w:t>]</w:t>
        <w:t>: Error</w:t>
        <w:t xml:space="preserve"> </w:t>
      </w:r>
      <w:r>
        <w:rPr>
          <w:rStyle w:val="Text0"/>
        </w:rPr>
        <w:t>in</w:t>
      </w:r>
      <w:r>
        <w:t xml:space="preserve"> </w:t>
        <w:t>protocol version</w:t>
      </w:r>
    </w:p>
    <w:p>
      <w:pPr>
        <w:pStyle w:val="Para 17"/>
      </w:pPr>
      <w:r>
        <w:t/>
      </w:r>
    </w:p>
    <w:p>
      <w:pPr>
        <w:pStyle w:val="Normal"/>
      </w:pPr>
      <w:r>
        <w:t>An application linked with GnuTLS will also fail:</w:t>
      </w:r>
    </w:p>
    <w:p>
      <w:pPr>
        <w:pStyle w:val="Normal"/>
      </w:pPr>
      <w:r>
        <w:t>$ lftp -c</w:t>
        <w:t xml:space="preserve"> </w:t>
        <w:t>"cat https://j-server.lxd/status"</w:t>
        <w:t xml:space="preserve"> </w:t>
        <w:t>cat: /status: Fatal error: gnutls_handshake: A TLS fatal alert has been received.</w:t>
      </w:r>
    </w:p>
    <w:p>
      <w:pPr>
        <w:pStyle w:val="Para 17"/>
      </w:pPr>
      <w:r>
        <w:t/>
      </w:r>
    </w:p>
    <w:p>
      <w:pPr>
        <w:pStyle w:val="Normal"/>
      </w:pPr>
      <w:r>
        <w:t>But an application can override these settings, because it’s only the priority string that is being manipulated in the GnuTLS config:</w:t>
      </w:r>
    </w:p>
    <w:p>
      <w:pPr>
        <w:pStyle w:val="Normal"/>
      </w:pPr>
      <w:r>
        <w:t>$ lftp -c</w:t>
        <w:t xml:space="preserve"> </w:t>
        <w:t>"set ssl:priority NORMAL:+VERS-TLS-ALL; cat https://j-server.lxd/status"</w:t>
        <w:t xml:space="preserve"> </w:t>
        <w:t>| grep</w:t>
        <w:t xml:space="preserve"> </w:t>
        <w:t>^New</w:t>
      </w:r>
    </w:p>
    <w:p>
      <w:pPr>
        <w:pStyle w:val="Normal"/>
      </w:pPr>
      <w:r>
        <w:t>New, TLSv1.2, Cipher is ECDHE-RSA-AES256-GCM-SHA384</w:t>
      </w:r>
    </w:p>
    <w:p>
      <w:pPr>
        <w:pStyle w:val="Para 17"/>
      </w:pPr>
      <w:r>
        <w:t/>
      </w:r>
    </w:p>
    <w:p>
      <w:pPr>
        <w:pStyle w:val="Normal"/>
      </w:pPr>
      <w:r>
        <w:t>Another way to limit the TLS versions is via specific protocol version configuration keys:</w:t>
      </w:r>
    </w:p>
    <w:p>
      <w:pPr>
        <w:pStyle w:val="Para 01"/>
      </w:pPr>
      <w:r>
        <w:t>[global]</w:t>
      </w:r>
    </w:p>
    <w:p>
      <w:pPr>
        <w:pStyle w:val="Normal"/>
      </w:pPr>
      <w:r>
        <w:t>override-mode</w:t>
        <w:t xml:space="preserve"> </w:t>
        <w:t>=</w:t>
        <w:t xml:space="preserve"> </w:t>
        <w:t>blocklist</w:t>
      </w:r>
    </w:p>
    <w:p>
      <w:pPr>
        <w:pStyle w:val="Para 01"/>
      </w:pPr>
      <w:r>
        <w:t>[overrides]</w:t>
      </w:r>
    </w:p>
    <w:p>
      <w:pPr>
        <w:pStyle w:val="Normal"/>
      </w:pPr>
      <w:r>
        <w:t>disabled-version</w:t>
        <w:t xml:space="preserve"> </w:t>
        <w:t>=</w:t>
        <w:t xml:space="preserve"> </w:t>
        <w:t>tls1.1</w:t>
      </w:r>
    </w:p>
    <w:p>
      <w:pPr>
        <w:pStyle w:val="Normal"/>
      </w:pPr>
      <w:r>
        <w:t>disabled-version</w:t>
        <w:t xml:space="preserve"> </w:t>
        <w:t>=</w:t>
        <w:t xml:space="preserve"> </w:t>
        <w:t>tls1.2</w:t>
      </w:r>
    </w:p>
    <w:p>
      <w:pPr>
        <w:pStyle w:val="Normal"/>
      </w:pPr>
      <w:r>
        <w:t>disabled-version</w:t>
        <w:t xml:space="preserve"> </w:t>
        <w:t>=</w:t>
        <w:t xml:space="preserve"> </w:t>
        <w:t>tls1.0</w:t>
      </w:r>
    </w:p>
    <w:p>
      <w:bookmarkStart w:id="1212" w:name="page_7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3" name="index-768_1.png" descr="index-768_1.png"/>
            <wp:cNvGraphicFramePr>
              <a:graphicFrameLocks noChangeAspect="1"/>
            </wp:cNvGraphicFramePr>
            <a:graphic>
              <a:graphicData uri="http://schemas.openxmlformats.org/drawingml/2006/picture">
                <pic:pic>
                  <pic:nvPicPr>
                    <pic:cNvPr id="0" name="index-768_1.png" descr="index-768_1.png"/>
                    <pic:cNvPicPr/>
                  </pic:nvPicPr>
                  <pic:blipFill>
                    <a:blip r:embed="rId807"/>
                    <a:stretch>
                      <a:fillRect/>
                    </a:stretch>
                  </pic:blipFill>
                  <pic:spPr>
                    <a:xfrm>
                      <a:off x="0" y="0"/>
                      <a:ext cx="914400" cy="266700"/>
                    </a:xfrm>
                    <a:prstGeom prst="rect">
                      <a:avLst/>
                    </a:prstGeom>
                  </pic:spPr>
                </pic:pic>
              </a:graphicData>
            </a:graphic>
          </wp:anchor>
        </w:drawing>
      </w:r>
      <w:bookmarkEnd w:id="1212"/>
    </w:p>
    <w:p>
      <w:pPr>
        <w:pStyle w:val="Normal"/>
      </w:pPr>
      <w:r>
        <w:t>Note that setting the same key multiple times will append the new value to the previous value(s).</w:t>
      </w:r>
    </w:p>
    <w:p>
      <w:pPr>
        <w:pStyle w:val="Normal"/>
      </w:pPr>
      <w:r>
        <w:t>In this scenario, the application cannot override the config anymore:</w:t>
      </w:r>
    </w:p>
    <w:p>
      <w:pPr>
        <w:pStyle w:val="Normal"/>
      </w:pPr>
      <w:r>
        <w:t>$ lftp -c</w:t>
        <w:t xml:space="preserve"> </w:t>
        <w:t>"set ssl:priority NORMAL:+VERS-TLS-ALL; cat https://j-server.lxd/status"</w:t>
        <w:t xml:space="preserve"> </w:t>
        <w:t>| grep</w:t>
        <w:t xml:space="preserve"> </w:t>
        <w:t>^New</w:t>
      </w:r>
    </w:p>
    <w:p>
      <w:pPr>
        <w:pStyle w:val="Normal"/>
      </w:pPr>
      <w:r>
        <w:t>cat: /status: Fatal error: gnutls_handshake: A TLS fatal alert has been received.</w:t>
      </w:r>
    </w:p>
    <w:p>
      <w:pPr>
        <w:pStyle w:val="Para 17"/>
      </w:pPr>
      <w:r>
        <w:t/>
      </w:r>
    </w:p>
    <w:p>
      <w:pPr>
        <w:pStyle w:val="Para 01"/>
      </w:pPr>
      <w:r>
        <w:t>Use only AES256 with TLSv1.3</w:t>
      </w:r>
    </w:p>
    <w:p>
      <w:pPr>
        <w:pStyle w:val="Para 17"/>
      </w:pPr>
      <w:r>
        <w:t/>
      </w:r>
    </w:p>
    <w:p>
      <w:pPr>
        <w:pStyle w:val="Normal"/>
      </w:pPr>
      <w:r>
        <w:t xml:space="preserve">TLSv1.3 has a small list of ciphers, but it includes </w:t>
      </w:r>
      <w:hyperlink w:anchor="page_668">
        <w:r>
          <w:rPr>
            <w:rStyle w:val="Text2"/>
          </w:rPr>
          <w:t>AES</w:t>
        </w:r>
      </w:hyperlink>
      <w:r>
        <w:t>128. Let’s remove it:</w:t>
      </w:r>
    </w:p>
    <w:p>
      <w:pPr>
        <w:pStyle w:val="Para 01"/>
      </w:pPr>
      <w:r>
        <w:t>[global]</w:t>
      </w:r>
    </w:p>
    <w:p>
      <w:pPr>
        <w:pStyle w:val="Normal"/>
      </w:pPr>
      <w:r>
        <w:t>override-mode</w:t>
        <w:t xml:space="preserve"> </w:t>
        <w:t>=</w:t>
        <w:t xml:space="preserve"> </w:t>
        <w:t>blocklist</w:t>
      </w:r>
    </w:p>
    <w:p>
      <w:pPr>
        <w:pStyle w:val="Para 01"/>
      </w:pPr>
      <w:r>
        <w:t>[overrides]</w:t>
      </w:r>
    </w:p>
    <w:p>
      <w:pPr>
        <w:pStyle w:val="Normal"/>
      </w:pPr>
      <w:r>
        <w:t>disabled-version</w:t>
        <w:t xml:space="preserve"> </w:t>
        <w:t>=</w:t>
        <w:t xml:space="preserve"> </w:t>
        <w:t>tls1.1</w:t>
      </w:r>
    </w:p>
    <w:p>
      <w:pPr>
        <w:pStyle w:val="Normal"/>
      </w:pPr>
      <w:r>
        <w:t>disabled-version</w:t>
        <w:t xml:space="preserve"> </w:t>
        <w:t>=</w:t>
        <w:t xml:space="preserve"> </w:t>
        <w:t>tls1.2</w:t>
      </w:r>
    </w:p>
    <w:p>
      <w:pPr>
        <w:pStyle w:val="Normal"/>
      </w:pPr>
      <w:r>
        <w:t>disabled-version</w:t>
        <w:t xml:space="preserve"> </w:t>
        <w:t>=</w:t>
        <w:t xml:space="preserve"> </w:t>
        <w:t>tls1.0</w:t>
      </w:r>
    </w:p>
    <w:p>
      <w:pPr>
        <w:pStyle w:val="Normal"/>
      </w:pPr>
      <w:r>
        <w:t>tls-disabled-cipher</w:t>
        <w:t xml:space="preserve"> </w:t>
        <w:t>=</w:t>
        <w:t xml:space="preserve"> </w:t>
        <w:t>AES-128-GCM</w:t>
      </w:r>
    </w:p>
    <w:p>
      <w:pPr>
        <w:pStyle w:val="Para 17"/>
      </w:pPr>
      <w:r>
        <w:t/>
      </w:r>
    </w:p>
    <w:p>
      <w:pPr>
        <w:pStyle w:val="Normal"/>
      </w:pPr>
      <w:r>
        <w:t>If we now connect to a server that was brought up with this config:</w:t>
      </w:r>
    </w:p>
    <w:p>
      <w:pPr>
        <w:pStyle w:val="Normal"/>
      </w:pPr>
      <w:r>
        <w:t>$ sudo openssl s_server -cert j-server.pem -key j-server.key -port</w:t>
        <w:t xml:space="preserve"> </w:t>
        <w:t>443</w:t>
        <w:t>-ciphersuites TLS_</w:t>
        <w:t xml:space="preserve"> </w:t>
        <w:t>AES_128_GCM_SHA256 -www</w:t>
      </w:r>
    </w:p>
    <w:p>
      <w:pPr>
        <w:pStyle w:val="Para 17"/>
      </w:pPr>
      <w:r>
        <w:t/>
      </w:r>
    </w:p>
    <w:p>
      <w:pPr>
        <w:pStyle w:val="Normal"/>
      </w:pPr>
      <w:r>
        <w:t>Our GnuTLS client will fail:</w:t>
      </w:r>
    </w:p>
    <w:p>
      <w:pPr>
        <w:pStyle w:val="Normal"/>
      </w:pPr>
      <w:r>
        <w:t>$ gnutls-cli j-server.lxd</w:t>
      </w:r>
    </w:p>
    <w:p>
      <w:pPr>
        <w:pStyle w:val="Normal"/>
      </w:pPr>
      <w:r>
        <w:t>Processed</w:t>
        <w:t xml:space="preserve"> </w:t>
        <w:t>126</w:t>
        <w:t xml:space="preserve"> </w:t>
        <w:t>CA certificate</w:t>
        <w:t>(</w:t>
        <w:t>s</w:t>
        <w:t>)</w:t>
        <w:t>.</w:t>
      </w:r>
    </w:p>
    <w:p>
      <w:pPr>
        <w:pStyle w:val="Normal"/>
      </w:pPr>
      <w:r>
        <w:t>Resolving</w:t>
        <w:t xml:space="preserve"> </w:t>
        <w:t>'j-server.lxd:443'</w:t>
        <w:t>...</w:t>
      </w:r>
    </w:p>
    <w:p>
      <w:pPr>
        <w:pStyle w:val="Normal"/>
      </w:pPr>
      <w:r>
        <w:t>Connecting to</w:t>
        <w:t xml:space="preserve"> </w:t>
        <w:t>'10.0.100.87:443'</w:t>
        <w:t>...</w:t>
      </w:r>
    </w:p>
    <w:p>
      <w:pPr>
        <w:pStyle w:val="Normal"/>
      </w:pPr>
      <w:r>
        <w:t>*** Fatal error: A TLS fatal alert has been received.</w:t>
      </w:r>
    </w:p>
    <w:p>
      <w:pPr>
        <w:pStyle w:val="Normal"/>
      </w:pPr>
      <w:r>
        <w:t>*** Received alert</w:t>
        <w:t xml:space="preserve"> </w:t>
        <w:t>[</w:t>
        <w:t>40</w:t>
        <w:t>]</w:t>
        <w:t>: Handshake failed</w:t>
      </w:r>
    </w:p>
    <w:p>
      <w:pPr>
        <w:pStyle w:val="Para 17"/>
      </w:pPr>
      <w:r>
        <w:t/>
      </w:r>
    </w:p>
    <w:p>
      <w:pPr>
        <w:pStyle w:val="Normal"/>
      </w:pPr>
      <w:r>
        <w:t>And given GnuTLS’ behavior regarding re-enabling a cipher that was once removed, we can-not allow AES128 from the command line either:</w:t>
      </w:r>
    </w:p>
    <w:p>
      <w:pPr>
        <w:pStyle w:val="Normal"/>
      </w:pPr>
      <w:r>
        <w:t>$ gnutls-cli --priority</w:t>
        <w:t>=</w:t>
        <w:t>"NORMAL:+AES-128-GCM"</w:t>
        <w:t xml:space="preserve"> </w:t>
        <w:t>j-server.lxd</w:t>
        <w:t xml:space="preserve"> </w:t>
        <w:t>Processed</w:t>
        <w:t xml:space="preserve"> </w:t>
        <w:t>126</w:t>
        <w:t xml:space="preserve"> </w:t>
        <w:t>CA certificate</w:t>
        <w:t>(</w:t>
        <w:t>s</w:t>
        <w:t>)</w:t>
        <w:t>.</w:t>
      </w:r>
    </w:p>
    <w:p>
      <w:pPr>
        <w:pStyle w:val="Normal"/>
      </w:pPr>
      <w:r>
        <w:t>Resolving</w:t>
        <w:t xml:space="preserve"> </w:t>
        <w:t>'j-server.lxd:443'</w:t>
        <w:t>...</w:t>
      </w:r>
    </w:p>
    <w:p>
      <w:pPr>
        <w:pStyle w:val="Normal"/>
      </w:pPr>
      <w:r>
        <w:t>Connecting to</w:t>
        <w:t xml:space="preserve"> </w:t>
        <w:t>'10.0.100.87:443'</w:t>
        <w:t>...</w:t>
      </w:r>
    </w:p>
    <w:p>
      <w:pPr>
        <w:pStyle w:val="Normal"/>
      </w:pPr>
      <w:r>
        <w:t>*** Fatal error: A TLS fatal alert has been received.</w:t>
      </w:r>
    </w:p>
    <w:p>
      <w:pPr>
        <w:pStyle w:val="Normal"/>
      </w:pPr>
      <w:r>
        <w:t>*** Received alert</w:t>
        <w:t xml:space="preserve"> </w:t>
        <w:t>[</w:t>
        <w:t>40</w:t>
        <w:t>]</w:t>
        <w:t>: Handshake failed</w:t>
      </w:r>
    </w:p>
    <w:p>
      <w:bookmarkStart w:id="1213" w:name="calibre_pb_222"/>
      <w:pPr>
        <w:pStyle w:val="0 Block"/>
      </w:pPr>
      <w:bookmarkEnd w:id="1213"/>
    </w:p>
    <w:p>
      <w:bookmarkStart w:id="1214" w:name="Top_of_index_split_223_html"/>
      <w:bookmarkStart w:id="1215" w:name="page_76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4" name="index-769_1.png" descr="index-769_1.png"/>
            <wp:cNvGraphicFramePr>
              <a:graphicFrameLocks noChangeAspect="1"/>
            </wp:cNvGraphicFramePr>
            <a:graphic>
              <a:graphicData uri="http://schemas.openxmlformats.org/drawingml/2006/picture">
                <pic:pic>
                  <pic:nvPicPr>
                    <pic:cNvPr id="0" name="index-769_1.png" descr="index-769_1.png"/>
                    <pic:cNvPicPr/>
                  </pic:nvPicPr>
                  <pic:blipFill>
                    <a:blip r:embed="rId808"/>
                    <a:stretch>
                      <a:fillRect/>
                    </a:stretch>
                  </pic:blipFill>
                  <pic:spPr>
                    <a:xfrm>
                      <a:off x="0" y="0"/>
                      <a:ext cx="914400" cy="266700"/>
                    </a:xfrm>
                    <a:prstGeom prst="rect">
                      <a:avLst/>
                    </a:prstGeom>
                  </pic:spPr>
                </pic:pic>
              </a:graphicData>
            </a:graphic>
          </wp:anchor>
        </w:drawing>
      </w:r>
      <w:bookmarkEnd w:id="1214"/>
      <w:bookmarkEnd w:id="1215"/>
    </w:p>
    <w:p>
      <w:pPr>
        <w:pStyle w:val="Para 01"/>
      </w:pPr>
      <w:r>
        <w:t>References</w:t>
      </w:r>
    </w:p>
    <w:p>
      <w:pPr>
        <w:pStyle w:val="Para 17"/>
      </w:pPr>
      <w:r>
        <w:t/>
      </w:r>
    </w:p>
    <w:p>
      <w:pPr>
        <w:pStyle w:val="Para 13"/>
      </w:pPr>
      <w:r>
        <w:rPr>
          <w:rStyle w:val="Text7"/>
        </w:rPr>
        <w:t xml:space="preserve">• </w:t>
      </w:r>
      <w:hyperlink w:anchor="page_769">
        <w:r>
          <w:rPr>
            <w:rStyle w:val="Text10"/>
          </w:rPr>
          <w:t>764</w:t>
        </w:r>
      </w:hyperlink>
      <w:r>
        <w:rPr>
          <w:rStyle w:val="Text7"/>
        </w:rPr>
        <w:t xml:space="preserve"> </w:t>
      </w:r>
      <w:hyperlink r:id="rId1655">
        <w:r>
          <w:t>System-wide configuration</w:t>
        </w:r>
      </w:hyperlink>
    </w:p>
    <w:p>
      <w:pPr>
        <w:pStyle w:val="Para 13"/>
      </w:pPr>
      <w:r>
        <w:rPr>
          <w:rStyle w:val="Text7"/>
        </w:rPr>
        <w:t xml:space="preserve">• </w:t>
      </w:r>
      <w:hyperlink w:anchor="page_769">
        <w:r>
          <w:rPr>
            <w:rStyle w:val="Text10"/>
          </w:rPr>
          <w:t>765</w:t>
        </w:r>
      </w:hyperlink>
      <w:r>
        <w:rPr>
          <w:rStyle w:val="Text7"/>
        </w:rPr>
        <w:t xml:space="preserve"> </w:t>
      </w:r>
      <w:hyperlink r:id="rId1656">
        <w:r>
          <w:t>Priority strings</w:t>
        </w:r>
      </w:hyperlink>
    </w:p>
    <w:p>
      <w:pPr>
        <w:pStyle w:val="Para 13"/>
      </w:pPr>
      <w:r>
        <w:rPr>
          <w:rStyle w:val="Text7"/>
        </w:rPr>
        <w:t xml:space="preserve">• </w:t>
      </w:r>
      <w:hyperlink w:anchor="page_769">
        <w:r>
          <w:rPr>
            <w:rStyle w:val="Text10"/>
          </w:rPr>
          <w:t>766</w:t>
        </w:r>
      </w:hyperlink>
      <w:r>
        <w:rPr>
          <w:rStyle w:val="Text7"/>
        </w:rPr>
        <w:t xml:space="preserve"> </w:t>
      </w:r>
      <w:hyperlink r:id="rId1654">
        <w:r>
          <w:t>min-verification-profile</w:t>
        </w:r>
      </w:hyperlink>
      <w:r>
        <w:rPr>
          <w:rStyle w:val="Text7"/>
        </w:rPr>
        <w:t xml:space="preserve"> </w:t>
      </w:r>
      <w:hyperlink r:id="rId1654">
        <w:r>
          <w:t>values</w:t>
        </w:r>
      </w:hyperlink>
    </w:p>
    <w:p>
      <w:pPr>
        <w:pStyle w:val="Para 13"/>
      </w:pPr>
      <w:r>
        <w:rPr>
          <w:rStyle w:val="Text7"/>
        </w:rPr>
        <w:t xml:space="preserve">• </w:t>
      </w:r>
      <w:hyperlink r:id="rId1651">
        <w:r>
          <w:rPr>
            <w:rStyle w:val="Text10"/>
          </w:rPr>
          <w:t>767</w:t>
        </w:r>
      </w:hyperlink>
      <w:hyperlink r:id="rId1651">
        <w:r>
          <w:t xml:space="preserve"> Disabling algorithms and protocols</w:t>
        </w:r>
      </w:hyperlink>
    </w:p>
    <w:p>
      <w:pPr>
        <w:pStyle w:val="Para 13"/>
      </w:pPr>
      <w:r>
        <w:rPr>
          <w:rStyle w:val="Text7"/>
        </w:rPr>
        <w:t xml:space="preserve">• </w:t>
      </w:r>
      <w:hyperlink w:anchor="page_769">
        <w:r>
          <w:rPr>
            <w:rStyle w:val="Text10"/>
          </w:rPr>
          <w:t>768</w:t>
        </w:r>
      </w:hyperlink>
      <w:r>
        <w:rPr>
          <w:rStyle w:val="Text7"/>
        </w:rPr>
        <w:t xml:space="preserve"> </w:t>
      </w:r>
      <w:hyperlink r:id="rId1657">
        <w:r>
          <w:t>Invoking the</w:t>
        </w:r>
      </w:hyperlink>
      <w:r>
        <w:rPr>
          <w:rStyle w:val="Text7"/>
        </w:rPr>
        <w:t xml:space="preserve"> </w:t>
      </w:r>
      <w:hyperlink r:id="rId1657">
        <w:r>
          <w:t>gnutls-cli</w:t>
        </w:r>
      </w:hyperlink>
      <w:r>
        <w:rPr>
          <w:rStyle w:val="Text7"/>
        </w:rPr>
        <w:t xml:space="preserve"> </w:t>
      </w:r>
      <w:hyperlink r:id="rId1657">
        <w:r>
          <w:t>command line tool</w:t>
        </w:r>
      </w:hyperlink>
    </w:p>
    <w:p>
      <w:pPr>
        <w:pStyle w:val="Para 17"/>
      </w:pPr>
      <w:r>
        <w:t/>
      </w:r>
    </w:p>
    <w:p>
      <w:pPr>
        <w:pStyle w:val="Para 01"/>
      </w:pPr>
      <w:r>
        <w:t>Network Security Services (NSS)</w:t>
      </w:r>
    </w:p>
    <w:p>
      <w:pPr>
        <w:pStyle w:val="Para 17"/>
      </w:pPr>
      <w:r>
        <w:t/>
      </w:r>
    </w:p>
    <w:p>
      <w:pPr>
        <w:pStyle w:val="Normal"/>
      </w:pPr>
      <w:r>
        <w:t>Network Security Services, or NSS, is a set of libraries that was originally developed by Netscape and later inherited by Mozilla. In Ubuntu, it’s used mainly in Mozilla products such as Firefox and Thunderbird, but there are modules and language bindings available for other packages to use.</w:t>
      </w:r>
    </w:p>
    <w:p>
      <w:pPr>
        <w:pStyle w:val="Normal"/>
      </w:pPr>
      <w:r>
        <w:t>Given its origins in the Netscape browser, this library used to be bundled together with the applications that required it. Up to this day, for example, the Debian package of Mozilla Thun-derbird has its own copy of libnss3, ignoring the system-wide one shipped by the libnss3 Debian package.</w:t>
      </w:r>
    </w:p>
    <w:p>
      <w:pPr>
        <w:pStyle w:val="Para 17"/>
      </w:pPr>
      <w:r>
        <w:t/>
      </w:r>
    </w:p>
    <w:p>
      <w:pPr>
        <w:pStyle w:val="Para 01"/>
      </w:pPr>
      <w:r>
        <w:t>Config file</w:t>
      </w:r>
    </w:p>
    <w:p>
      <w:pPr>
        <w:pStyle w:val="Para 17"/>
      </w:pPr>
      <w:r>
        <w:t/>
      </w:r>
    </w:p>
    <w:p>
      <w:pPr>
        <w:pStyle w:val="Normal"/>
      </w:pPr>
      <w:r>
        <w:t xml:space="preserve">NSS doesn’t have a system-wide policy configuration file in Ubuntu ( </w:t>
      </w:r>
      <w:hyperlink r:id="rId1658">
        <w:r>
          <w:rPr>
            <w:rStyle w:val="Text9"/>
          </w:rPr>
          <w:t>769</w:t>
        </w:r>
      </w:hyperlink>
      <w:hyperlink r:id="rId1658">
        <w:r>
          <w:rPr>
            <w:rStyle w:val="Text1"/>
          </w:rPr>
          <w:t xml:space="preserve"> LP: #2016303</w:t>
        </w:r>
      </w:hyperlink>
      <w:r>
        <w:t xml:space="preserve"> for de-tails). That leaves the remaining location for the configuration file to be in the NSS “database” directory. Depending on the application, it can be in the following places by default:</w:t>
      </w:r>
    </w:p>
    <w:p>
      <w:pPr>
        <w:pStyle w:val="Para 04"/>
      </w:pPr>
      <w:r>
        <w:t>• ~/.pki/nssdb/pkcs11.txt This is where the system-provided libnss3 library will look by</w:t>
      </w:r>
    </w:p>
    <w:p>
      <w:pPr>
        <w:pStyle w:val="Para 02"/>
      </w:pPr>
      <w:r>
        <w:t>default.</w:t>
      </w:r>
    </w:p>
    <w:p>
      <w:pPr>
        <w:pStyle w:val="Para 04"/>
      </w:pPr>
      <w:r>
        <w:t>• ~/snap/firefox/common/.mozilla/firefox/&lt;random&gt;.default/pkcs11.txt This is where</w:t>
      </w:r>
    </w:p>
    <w:p>
      <w:pPr>
        <w:pStyle w:val="Para 02"/>
      </w:pPr>
      <w:r>
        <w:t>the Firefox snap will look.</w:t>
      </w:r>
    </w:p>
    <w:p>
      <w:pPr>
        <w:pStyle w:val="Para 04"/>
      </w:pPr>
      <w:r>
        <w:t>• ~/.thunderbird/&lt;random&gt;.default-release/pkcs11.txt Mozilla Thunderbird ships with</w:t>
      </w:r>
    </w:p>
    <w:p>
      <w:pPr>
        <w:pStyle w:val="Para 17"/>
      </w:pPr>
      <w:r>
        <w:t>its own copy of libnss3, and is configured to look into this directory to find it.</w:t>
      </w:r>
    </w:p>
    <w:p>
      <w:pPr>
        <w:pStyle w:val="Para 04"/>
      </w:pPr>
      <w:r>
        <w:t>• ~/.netscape/pkcs11.txt This is the default used by the NSS tools shipped in the</w:t>
      </w:r>
    </w:p>
    <w:p>
      <w:pPr>
        <w:pStyle w:val="Para 02"/>
      </w:pPr>
      <w:r>
        <w:t>libnss3-tools Debian package.</w:t>
      </w:r>
    </w:p>
    <w:p>
      <w:pPr>
        <w:pStyle w:val="Normal"/>
      </w:pPr>
      <w:r>
        <w:t>The directory where pkcs11.txt is looked up is also the NSS database directory. NSS will store the certificates and private keys it imports or generates here, and the directory will typically contain these SQLITE3 database files:</w:t>
      </w:r>
    </w:p>
    <w:p>
      <w:pPr>
        <w:pStyle w:val="Para 04"/>
      </w:pPr>
      <w:r>
        <w:t>• cert9.db: certificates database</w:t>
      </w:r>
    </w:p>
    <w:p>
      <w:pPr>
        <w:pStyle w:val="Para 04"/>
      </w:pPr>
      <w:r>
        <w:t>• key4.db: private key database</w:t>
      </w:r>
    </w:p>
    <w:p>
      <w:pPr>
        <w:pStyle w:val="Para 05"/>
      </w:pPr>
      <w:r>
        <w:rPr>
          <w:rStyle w:val="Text5"/>
        </w:rPr>
        <w:t>764</w:t>
      </w:r>
      <w:r>
        <w:rPr>
          <w:rStyle w:val="Text8"/>
        </w:rPr>
        <w:t xml:space="preserve"> </w:t>
      </w:r>
      <w:r>
        <w:t>https://www.gnutls.org/manual/html_node/System_002dwide-configuration-of-the-library.html</w:t>
      </w:r>
    </w:p>
    <w:p>
      <w:pPr>
        <w:pStyle w:val="Para 05"/>
      </w:pPr>
      <w:r>
        <w:rPr>
          <w:rStyle w:val="Text5"/>
        </w:rPr>
        <w:t>765</w:t>
      </w:r>
      <w:r>
        <w:rPr>
          <w:rStyle w:val="Text8"/>
        </w:rPr>
        <w:t xml:space="preserve"> </w:t>
      </w:r>
      <w:r>
        <w:t>https://gnutls.org/manual/html_node/Priority-Strings.html</w:t>
      </w:r>
    </w:p>
    <w:p>
      <w:pPr>
        <w:pStyle w:val="Para 05"/>
      </w:pPr>
      <w:r>
        <w:rPr>
          <w:rStyle w:val="Text5"/>
        </w:rPr>
        <w:t>766</w:t>
      </w:r>
      <w:r>
        <w:rPr>
          <w:rStyle w:val="Text8"/>
        </w:rPr>
        <w:t xml:space="preserve"> </w:t>
      </w:r>
      <w:r>
        <w:t>https://gnutls.org/manual/html_node/Selecting-cryptographic-key-sizes.html#tab_003akey_002dsizes</w:t>
      </w:r>
    </w:p>
    <w:p>
      <w:pPr>
        <w:pStyle w:val="Para 05"/>
      </w:pPr>
      <w:r>
        <w:rPr>
          <w:rStyle w:val="Text5"/>
        </w:rPr>
        <w:t>767</w:t>
      </w:r>
      <w:r>
        <w:rPr>
          <w:rStyle w:val="Text8"/>
        </w:rPr>
        <w:t xml:space="preserve"> </w:t>
      </w:r>
      <w:r>
        <w:t>https://www.gnutls.org/manual/html_node/Disabling-algorithms-and-protocols.html</w:t>
      </w:r>
    </w:p>
    <w:p>
      <w:pPr>
        <w:pStyle w:val="Para 05"/>
      </w:pPr>
      <w:r>
        <w:rPr>
          <w:rStyle w:val="Text5"/>
        </w:rPr>
        <w:t>768</w:t>
      </w:r>
      <w:r>
        <w:rPr>
          <w:rStyle w:val="Text8"/>
        </w:rPr>
        <w:t xml:space="preserve"> </w:t>
      </w:r>
      <w:r>
        <w:t>https://gnutls.org/manual/html_node/gnutls_002dcli-Invocation.html</w:t>
      </w:r>
    </w:p>
    <w:p>
      <w:pPr>
        <w:pStyle w:val="Para 05"/>
      </w:pPr>
      <w:r>
        <w:rPr>
          <w:rStyle w:val="Text5"/>
        </w:rPr>
        <w:t>769</w:t>
      </w:r>
      <w:r>
        <w:rPr>
          <w:rStyle w:val="Text8"/>
        </w:rPr>
        <w:t xml:space="preserve"> </w:t>
      </w:r>
      <w:r>
        <w:t>https://bugs.launchpad.net/bugs/2016303</w:t>
      </w:r>
    </w:p>
    <w:p>
      <w:bookmarkStart w:id="1216" w:name="page_7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5" name="index-770_1.png" descr="index-770_1.png"/>
            <wp:cNvGraphicFramePr>
              <a:graphicFrameLocks noChangeAspect="1"/>
            </wp:cNvGraphicFramePr>
            <a:graphic>
              <a:graphicData uri="http://schemas.openxmlformats.org/drawingml/2006/picture">
                <pic:pic>
                  <pic:nvPicPr>
                    <pic:cNvPr id="0" name="index-770_1.png" descr="index-770_1.png"/>
                    <pic:cNvPicPr/>
                  </pic:nvPicPr>
                  <pic:blipFill>
                    <a:blip r:embed="rId809"/>
                    <a:stretch>
                      <a:fillRect/>
                    </a:stretch>
                  </pic:blipFill>
                  <pic:spPr>
                    <a:xfrm>
                      <a:off x="0" y="0"/>
                      <a:ext cx="914400" cy="266700"/>
                    </a:xfrm>
                    <a:prstGeom prst="rect">
                      <a:avLst/>
                    </a:prstGeom>
                  </pic:spPr>
                </pic:pic>
              </a:graphicData>
            </a:graphic>
          </wp:anchor>
        </w:drawing>
      </w:r>
      <w:bookmarkEnd w:id="1216"/>
    </w:p>
    <w:p>
      <w:pPr>
        <w:pStyle w:val="Normal"/>
      </w:pPr>
      <w:r>
        <w:t>With the pkcs11.txt file we can load PKCS#11 modules, including the one built into NSS itself. Other examples of modules that can be loaded from there are modules for smart cards or other hardware-based cryptographic devices. Of interest to us here, though, is the policy module.</w:t>
      </w:r>
    </w:p>
    <w:p>
      <w:pPr>
        <w:pStyle w:val="Para 17"/>
      </w:pPr>
      <w:r>
        <w:t/>
      </w:r>
    </w:p>
    <w:p>
      <w:pPr>
        <w:pStyle w:val="Para 01"/>
      </w:pPr>
      <w:r>
        <w:t>Configuring the NSS policy module</w:t>
      </w:r>
    </w:p>
    <w:p>
      <w:pPr>
        <w:pStyle w:val="Para 17"/>
      </w:pPr>
      <w:r>
        <w:t/>
      </w:r>
    </w:p>
    <w:p>
      <w:pPr>
        <w:pStyle w:val="Normal"/>
      </w:pPr>
      <w:r>
        <w:t>The policy module is defined like this in pkcs11.txt:</w:t>
      </w:r>
    </w:p>
    <w:p>
      <w:pPr>
        <w:pStyle w:val="Normal"/>
      </w:pPr>
      <w:r>
        <w:t>library=</w:t>
      </w:r>
    </w:p>
    <w:p>
      <w:pPr>
        <w:pStyle w:val="Normal"/>
      </w:pPr>
      <w:r>
        <w:t>name=Policy</w:t>
      </w:r>
    </w:p>
    <w:p>
      <w:pPr>
        <w:pStyle w:val="Normal"/>
      </w:pPr>
      <w:r>
        <w:t>NSS=flags=policyOnly,moduleDB</w:t>
      </w:r>
    </w:p>
    <w:p>
      <w:pPr>
        <w:pStyle w:val="Normal"/>
      </w:pPr>
      <w:r>
        <w:t>config="disallow=&lt;list&gt; allow=&lt;list&gt; flags=&lt;flags&gt;"</w:t>
      </w:r>
    </w:p>
    <w:p>
      <w:pPr>
        <w:pStyle w:val="Para 17"/>
      </w:pPr>
      <w:r>
        <w:t/>
      </w:r>
    </w:p>
    <w:p>
      <w:pPr>
        <w:pStyle w:val="Normal"/>
      </w:pPr>
      <w:r>
        <w:t>It’s via the config= line that we can list which cryptographic algorithms we want to allow and disallow. The terms in the list are separated with a colon (”:”) and consist of the following:</w:t>
      </w:r>
    </w:p>
    <w:p>
      <w:pPr>
        <w:pStyle w:val="Para 04"/>
      </w:pPr>
      <w:r>
        <w:t xml:space="preserve">• </w:t>
      </w:r>
      <w:r>
        <w:rPr>
          <w:rStyle w:val="Text0"/>
        </w:rPr>
        <w:t>The special keyword “ALL”</w:t>
      </w:r>
      <w:r>
        <w:t>, meaning all possible values and algorithms. It’s mostly</w:t>
      </w:r>
    </w:p>
    <w:p>
      <w:pPr>
        <w:pStyle w:val="Para 02"/>
      </w:pPr>
      <w:r>
        <w:t>used with disallow, so that a clean slate can be constructed with a following allow list. For example, disallow=ALL allow=&lt;list of allowed&gt; would only allow the algorithms explicitly listed in the allow list.</w:t>
      </w:r>
    </w:p>
    <w:p>
      <w:pPr>
        <w:pStyle w:val="Para 04"/>
      </w:pPr>
      <w:r>
        <w:t xml:space="preserve">• </w:t>
      </w:r>
      <w:r>
        <w:rPr>
          <w:rStyle w:val="Text0"/>
        </w:rPr>
        <w:t>Algorithm name</w:t>
      </w:r>
      <w:r>
        <w:t>: Standard names like sha256, hmac-sha256, chacha20-poly1305,</w:t>
      </w:r>
    </w:p>
    <w:p>
      <w:pPr>
        <w:pStyle w:val="Para 02"/>
      </w:pPr>
      <w:r>
        <w:t>aes128-gcm and others.</w:t>
      </w:r>
    </w:p>
    <w:p>
      <w:pPr>
        <w:pStyle w:val="Para 04"/>
      </w:pPr>
      <w:r>
        <w:t xml:space="preserve">• </w:t>
      </w:r>
      <w:r>
        <w:rPr>
          <w:rStyle w:val="Text0"/>
        </w:rPr>
        <w:t>Version specifiers</w:t>
      </w:r>
      <w:r>
        <w:t>: A minimum or maximum version for a protocol. These are the avail-</w:t>
      </w:r>
    </w:p>
    <w:p>
      <w:pPr>
        <w:pStyle w:val="Para 02"/>
      </w:pPr>
      <w:r>
        <w:t>able ones:</w:t>
      </w:r>
    </w:p>
    <w:p>
      <w:pPr>
        <w:pStyle w:val="Para 06"/>
      </w:pPr>
      <w:r>
        <w:rPr>
          <w:rStyle w:val="Text0"/>
        </w:rPr>
        <w:t>–</w:t>
      </w:r>
      <w:r>
        <w:t xml:space="preserve"> tls-version-min, tls-version-max: Minimum and maximum version for the TLS</w:t>
      </w:r>
    </w:p>
    <w:p>
      <w:pPr>
        <w:pStyle w:val="Para 11"/>
      </w:pPr>
      <w:r>
        <w:t>protocol. For example, tls-version-min=tls1.2.</w:t>
      </w:r>
    </w:p>
    <w:p>
      <w:pPr>
        <w:pStyle w:val="Para 17"/>
      </w:pPr>
      <w:r>
        <w:rPr>
          <w:rStyle w:val="Text0"/>
        </w:rPr>
        <w:t>–</w:t>
      </w:r>
      <w:r>
        <w:t xml:space="preserve"> dtls-version-min, dtls-version-max: As above, but for </w:t>
      </w:r>
      <w:hyperlink w:anchor="page_680">
        <w:r>
          <w:rPr>
            <w:rStyle w:val="Text2"/>
          </w:rPr>
          <w:t>DTLS</w:t>
        </w:r>
      </w:hyperlink>
      <w:r>
        <w:t xml:space="preserve"> (TLS over UDP)</w:t>
      </w:r>
    </w:p>
    <w:p>
      <w:pPr>
        <w:pStyle w:val="Para 04"/>
      </w:pPr>
      <w:r>
        <w:t xml:space="preserve">• </w:t>
      </w:r>
      <w:r>
        <w:rPr>
          <w:rStyle w:val="Text0"/>
        </w:rPr>
        <w:t>Key sizes</w:t>
      </w:r>
      <w:r>
        <w:t>: Minimum size for a key:</w:t>
      </w:r>
    </w:p>
    <w:p>
      <w:pPr>
        <w:pStyle w:val="Para 06"/>
      </w:pPr>
      <w:r>
        <w:rPr>
          <w:rStyle w:val="Text0"/>
        </w:rPr>
        <w:t>–</w:t>
      </w:r>
      <w:r>
        <w:t xml:space="preserve"> DH-MIN: Diffie-Helman minimum key size. For example, DH-MIN=2048 specifies a min-</w:t>
      </w:r>
    </w:p>
    <w:p>
      <w:pPr>
        <w:pStyle w:val="Para 11"/>
      </w:pPr>
      <w:r>
        <w:t>imum of 2048 bits.</w:t>
      </w:r>
    </w:p>
    <w:p>
      <w:pPr>
        <w:pStyle w:val="Para 06"/>
      </w:pPr>
      <w:r>
        <w:rPr>
          <w:rStyle w:val="Text0"/>
        </w:rPr>
        <w:t>–</w:t>
      </w:r>
      <w:r>
        <w:t xml:space="preserve"> DSA-MIN: Digital Signature Algorithm minimum key size. For example, DSA-MIN=2048</w:t>
      </w:r>
    </w:p>
    <w:p>
      <w:pPr>
        <w:pStyle w:val="Para 11"/>
      </w:pPr>
      <w:r>
        <w:t>specifies a minimum of 2048 bits.</w:t>
      </w:r>
    </w:p>
    <w:p>
      <w:pPr>
        <w:pStyle w:val="Para 06"/>
      </w:pPr>
      <w:r>
        <w:rPr>
          <w:rStyle w:val="Text0"/>
        </w:rPr>
        <w:t>–</w:t>
      </w:r>
      <w:r>
        <w:t xml:space="preserve"> RSA-MIN: RSA minimum key size. For example, RSA-MIN=2048 specifies a minimum</w:t>
      </w:r>
    </w:p>
    <w:p>
      <w:pPr>
        <w:pStyle w:val="Para 11"/>
      </w:pPr>
      <w:r>
        <w:t>of 2048 bits.</w:t>
      </w:r>
    </w:p>
    <w:p>
      <w:pPr>
        <w:pStyle w:val="Para 04"/>
      </w:pPr>
      <w:r>
        <w:t xml:space="preserve">• </w:t>
      </w:r>
      <w:r>
        <w:rPr>
          <w:rStyle w:val="Text0"/>
        </w:rPr>
        <w:t>Signature qualifier</w:t>
      </w:r>
      <w:r>
        <w:t>: Selects the specified algorithm with a specific type of signature.</w:t>
      </w:r>
    </w:p>
    <w:p>
      <w:pPr>
        <w:pStyle w:val="Para 02"/>
      </w:pPr>
      <w:r>
        <w:t>For example, sha256/cert-signature. Here are some of the qualifiers that are available:</w:t>
      </w:r>
    </w:p>
    <w:p>
      <w:pPr>
        <w:pStyle w:val="Para 06"/>
      </w:pPr>
      <w:r>
        <w:rPr>
          <w:rStyle w:val="Text0"/>
        </w:rPr>
        <w:t>–</w:t>
      </w:r>
      <w:r>
        <w:t xml:space="preserve"> /cert-signature: Used in certificate signatures, certificate revocation lists (CRLs)</w:t>
      </w:r>
    </w:p>
    <w:p>
      <w:pPr>
        <w:pStyle w:val="Para 11"/>
      </w:pPr>
      <w:r>
        <w:t>and Online Certificate Status Protocol (OCSP).</w:t>
      </w:r>
    </w:p>
    <w:p>
      <w:pPr>
        <w:pStyle w:val="Para 06"/>
      </w:pPr>
      <w:r>
        <w:rPr>
          <w:rStyle w:val="Text0"/>
        </w:rPr>
        <w:t>–</w:t>
      </w:r>
      <w:r>
        <w:t xml:space="preserve"> /signature: Used in any signature.</w:t>
      </w:r>
    </w:p>
    <w:p>
      <w:pPr>
        <w:pStyle w:val="Para 06"/>
      </w:pPr>
      <w:r>
        <w:rPr>
          <w:rStyle w:val="Text0"/>
        </w:rPr>
        <w:t>–</w:t>
      </w:r>
      <w:r>
        <w:t xml:space="preserve"> /all: Combines SSL, SSL key exchange, and signatures.</w:t>
      </w:r>
    </w:p>
    <w:p>
      <w:pPr>
        <w:pStyle w:val="Para 06"/>
      </w:pPr>
      <w:r>
        <w:rPr>
          <w:rStyle w:val="Text0"/>
        </w:rPr>
        <w:t>–</w:t>
      </w:r>
      <w:r>
        <w:t xml:space="preserve"> /ssl-key-exchange: Used in the SSL key exchange.</w:t>
      </w:r>
    </w:p>
    <w:p>
      <w:pPr>
        <w:pStyle w:val="Para 06"/>
      </w:pPr>
      <w:r>
        <w:rPr>
          <w:rStyle w:val="Text0"/>
        </w:rPr>
        <w:t>–</w:t>
      </w:r>
      <w:r>
        <w:t xml:space="preserve"> /ssl: Used in the SSL record protocol.</w:t>
      </w:r>
    </w:p>
    <w:p>
      <w:bookmarkStart w:id="1217" w:name="page_7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6" name="index-771_1.png" descr="index-771_1.png"/>
            <wp:cNvGraphicFramePr>
              <a:graphicFrameLocks noChangeAspect="1"/>
            </wp:cNvGraphicFramePr>
            <a:graphic>
              <a:graphicData uri="http://schemas.openxmlformats.org/drawingml/2006/picture">
                <pic:pic>
                  <pic:nvPicPr>
                    <pic:cNvPr id="0" name="index-771_1.png" descr="index-771_1.png"/>
                    <pic:cNvPicPr/>
                  </pic:nvPicPr>
                  <pic:blipFill>
                    <a:blip r:embed="rId810"/>
                    <a:stretch>
                      <a:fillRect/>
                    </a:stretch>
                  </pic:blipFill>
                  <pic:spPr>
                    <a:xfrm>
                      <a:off x="0" y="0"/>
                      <a:ext cx="914400" cy="266700"/>
                    </a:xfrm>
                    <a:prstGeom prst="rect">
                      <a:avLst/>
                    </a:prstGeom>
                  </pic:spPr>
                </pic:pic>
              </a:graphicData>
            </a:graphic>
          </wp:anchor>
        </w:drawing>
      </w:r>
      <w:bookmarkEnd w:id="1217"/>
    </w:p>
    <w:p>
      <w:pPr>
        <w:pStyle w:val="Normal"/>
      </w:pPr>
      <w:r>
        <w:t>The disallow rules are always parsed first, and then the allow ones, independent of the order in which they appear.</w:t>
      </w:r>
    </w:p>
    <w:p>
      <w:pPr>
        <w:pStyle w:val="Normal"/>
      </w:pPr>
      <w:r>
        <w:t>There are extra flags that can be added to the config line as well, in a comma-separated list if more than one is specified:</w:t>
      </w:r>
    </w:p>
    <w:p>
      <w:pPr>
        <w:pStyle w:val="Para 04"/>
      </w:pPr>
      <w:r>
        <w:t>• policy-lock: Turn off the ability for applications to change policy with API calls.</w:t>
      </w:r>
    </w:p>
    <w:p>
      <w:pPr>
        <w:pStyle w:val="Para 04"/>
      </w:pPr>
      <w:r>
        <w:t>• ssl-lock: Turn off the ability to change the SSL defaults.</w:t>
      </w:r>
    </w:p>
    <w:p>
      <w:pPr>
        <w:pStyle w:val="Para 17"/>
      </w:pPr>
      <w:r>
        <w:t/>
      </w:r>
    </w:p>
    <w:p>
      <w:pPr>
        <w:pStyle w:val="Para 01"/>
      </w:pPr>
      <w:r>
        <w:t>Practical examples</w:t>
      </w:r>
    </w:p>
    <w:p>
      <w:pPr>
        <w:pStyle w:val="Para 17"/>
      </w:pPr>
      <w:r>
        <w:t/>
      </w:r>
    </w:p>
    <w:p>
      <w:pPr>
        <w:pStyle w:val="Normal"/>
      </w:pPr>
      <w:r>
        <w:t>Let’s see some practical examples of how we can use the configuration file to tweak the default cryptographic settings of an application linked with the system NSS libraries.</w:t>
      </w:r>
    </w:p>
    <w:p>
      <w:pPr>
        <w:pStyle w:val="Normal"/>
      </w:pPr>
      <w:r>
        <w:t>For these examples, we will be using the configuration file located in ~/.pki/nssdb/pkcs11. txt. As noted before, depending on the application this file can be in another directory.</w:t>
      </w:r>
    </w:p>
    <w:p>
      <w:pPr>
        <w:pStyle w:val="Normal"/>
      </w:pPr>
      <w:r>
        <w:t>The examples will use the tstclnt test application that is part of the libnss3-tools Debian package. For the server part, we will be using the OpenSSL test server on the same system. Since it uses the OpenSSL library, it won’t be affected by the changes we make to the NSS configuration.</w:t>
      </w:r>
    </w:p>
    <w:p>
      <w:pPr>
        <w:pStyle w:val="Para 17"/>
      </w:pPr>
      <w:r>
        <w:t/>
      </w:r>
    </w:p>
    <w:p>
      <w:pPr>
        <w:pStyle w:val="Para 01"/>
      </w:pPr>
      <w:r>
        <w:t>Bootstrapping the NSS database</w:t>
      </w:r>
    </w:p>
    <w:p>
      <w:pPr>
        <w:pStyle w:val="Para 17"/>
      </w:pPr>
      <w:r>
        <w:t/>
      </w:r>
    </w:p>
    <w:p>
      <w:pPr>
        <w:pStyle w:val="Normal"/>
      </w:pPr>
      <w:r>
        <w:t>Install the libnss3-tools package which has the necessary tools we will need:</w:t>
      </w:r>
    </w:p>
    <w:p>
      <w:pPr>
        <w:pStyle w:val="Normal"/>
      </w:pPr>
      <w:r>
        <w:t>sudo apt install libnss3-tools</w:t>
      </w:r>
    </w:p>
    <w:p>
      <w:pPr>
        <w:pStyle w:val="Para 17"/>
      </w:pPr>
      <w:r>
        <w:t/>
      </w:r>
    </w:p>
    <w:p>
      <w:pPr>
        <w:pStyle w:val="Normal"/>
      </w:pPr>
      <w:r>
        <w:t>If you don’t have a ~/.pki/nssdb directory yet, it will have to be created first. For that, we will use the certutil command, also part of the libnss3-tools package. This will bootstrap the NSS database in that directory, and also create the initial pkcs11.txt file we will tweak in the subsequent examples:</w:t>
      </w:r>
    </w:p>
    <w:p>
      <w:pPr>
        <w:pStyle w:val="Normal"/>
      </w:pPr>
      <w:r>
        <w:t>mkdir -p ~/.pki/nssdb</w:t>
      </w:r>
    </w:p>
    <w:p>
      <w:pPr>
        <w:pStyle w:val="Normal"/>
      </w:pPr>
      <w:r>
        <w:t>certutil -d ~/.pki/nssdb -N</w:t>
      </w:r>
    </w:p>
    <w:p>
      <w:pPr>
        <w:pStyle w:val="Para 17"/>
      </w:pPr>
      <w:r>
        <w:t/>
      </w:r>
    </w:p>
    <w:p>
      <w:pPr>
        <w:pStyle w:val="Normal"/>
      </w:pPr>
      <w:r>
        <w:t>If you already have a populated ~/.pki/nssdb directory, there is no need to run the above commands.</w:t>
      </w:r>
    </w:p>
    <w:p>
      <w:pPr>
        <w:pStyle w:val="Normal"/>
      </w:pPr>
      <w:r>
        <w:t>When running the certutil command as shown, you will be asked to choose a password. That password will protect the NSS database, and will be requested whenever certain changes are made to it.</w:t>
      </w:r>
    </w:p>
    <w:p>
      <w:pPr>
        <w:pStyle w:val="Normal"/>
      </w:pPr>
      <w:r>
        <w:t xml:space="preserve">In the following examples we will make changes to the pkcs11.txt file inside the NSS database directory. The bootstrap process above will have created this file for us already. The changes that we will make should be </w:t>
      </w:r>
      <w:r>
        <w:rPr>
          <w:rStyle w:val="Text3"/>
        </w:rPr>
        <w:t>added</w:t>
      </w:r>
      <w:r>
        <w:t xml:space="preserve"> to the file, and not replace it. For example, these are the contents of ~/.pki/nssdb/pkcs11.txt right after the bootstrap process:</w:t>
      </w:r>
    </w:p>
    <w:p>
      <w:pPr>
        <w:pStyle w:val="Normal"/>
      </w:pPr>
      <w:r>
        <w:t>library=</w:t>
      </w:r>
    </w:p>
    <w:p>
      <w:pPr>
        <w:pStyle w:val="Normal"/>
      </w:pPr>
      <w:r>
        <w:t>name=NSS Internal PKCS #11 Module</w:t>
      </w:r>
    </w:p>
    <w:p>
      <w:pPr>
        <w:pStyle w:val="Normal"/>
      </w:pPr>
      <w:r>
        <w:t>parameters=configdir='/home/ubuntu/.pki/nssdb' certPrefix='' keyPrefix='' secmod='secmod.</w:t>
        <w:t xml:space="preserve"> </w:t>
        <w:t>db' flags= updatedir='' updateCertPrefix='' updateKeyPrefix='' updateid=''</w:t>
        <w:t xml:space="preserve"> </w:t>
        <w:t>updateTokenDescription=''</w:t>
      </w:r>
    </w:p>
    <w:p>
      <w:pPr>
        <w:pStyle w:val="Para 09"/>
      </w:pPr>
      <w:r>
        <w:t>(continues on next page)</w:t>
      </w:r>
    </w:p>
    <w:p>
      <w:bookmarkStart w:id="1218" w:name="page_7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7" name="index-772_1.png" descr="index-772_1.png"/>
            <wp:cNvGraphicFramePr>
              <a:graphicFrameLocks noChangeAspect="1"/>
            </wp:cNvGraphicFramePr>
            <a:graphic>
              <a:graphicData uri="http://schemas.openxmlformats.org/drawingml/2006/picture">
                <pic:pic>
                  <pic:nvPicPr>
                    <pic:cNvPr id="0" name="index-772_1.png" descr="index-772_1.png"/>
                    <pic:cNvPicPr/>
                  </pic:nvPicPr>
                  <pic:blipFill>
                    <a:blip r:embed="rId811"/>
                    <a:stretch>
                      <a:fillRect/>
                    </a:stretch>
                  </pic:blipFill>
                  <pic:spPr>
                    <a:xfrm>
                      <a:off x="0" y="0"/>
                      <a:ext cx="914400" cy="266700"/>
                    </a:xfrm>
                    <a:prstGeom prst="rect">
                      <a:avLst/>
                    </a:prstGeom>
                  </pic:spPr>
                </pic:pic>
              </a:graphicData>
            </a:graphic>
          </wp:anchor>
        </w:drawing>
      </w:r>
      <w:bookmarkEnd w:id="1218"/>
    </w:p>
    <w:p>
      <w:pPr>
        <w:pStyle w:val="Para 09"/>
      </w:pPr>
      <w:r>
        <w:t>(continued from previous page)</w:t>
      </w:r>
    </w:p>
    <w:p>
      <w:pPr>
        <w:pStyle w:val="Normal"/>
      </w:pPr>
      <w:r>
        <w:t>NSS=Flags=internal,critical trustOrder=75 cipherOrder=100 slotParams=(1={slotFlags=[ECC,</w:t>
        <w:t xml:space="preserve"> </w:t>
        <w:t>RSA,DSA,DH,RC2,RC4,DES,RANDOM,SHA1,MD5,MD2,SSL,TLS,AES,Camellia,SEED,SHA256,SHA512]</w:t>
        <w:t xml:space="preserve"> </w:t>
        <w:t>askpw=any timeout=30})</w:t>
      </w:r>
    </w:p>
    <w:p>
      <w:pPr>
        <w:pStyle w:val="Para 17"/>
      </w:pPr>
      <w:r>
        <w:t/>
      </w:r>
    </w:p>
    <w:p>
      <w:pPr>
        <w:pStyle w:val="Normal"/>
      </w:pPr>
      <w:r>
        <w:t>When an example asks to configure the policy module, its block should be appended to the existing configuration block in the file. For example:</w:t>
      </w:r>
    </w:p>
    <w:p>
      <w:pPr>
        <w:pStyle w:val="Normal"/>
      </w:pPr>
      <w:r>
        <w:t>library=</w:t>
      </w:r>
    </w:p>
    <w:p>
      <w:pPr>
        <w:pStyle w:val="Normal"/>
      </w:pPr>
      <w:r>
        <w:t>name=NSS Internal PKCS #11 Module</w:t>
      </w:r>
    </w:p>
    <w:p>
      <w:pPr>
        <w:pStyle w:val="Normal"/>
      </w:pPr>
      <w:r>
        <w:t>parameters=configdir='/home/ubuntu/.pki/nssdb' certPrefix='' keyPrefix='' secmod='secmod.</w:t>
        <w:t xml:space="preserve"> </w:t>
        <w:t>db' flags= updatedir='' updateCertPrefix='' updateKeyPrefix='' updateid=''</w:t>
        <w:t xml:space="preserve"> </w:t>
        <w:t>updateTokenDescription=''</w:t>
      </w:r>
    </w:p>
    <w:p>
      <w:pPr>
        <w:pStyle w:val="Normal"/>
      </w:pPr>
      <w:r>
        <w:t>NSS=Flags=internal,critical trustOrder=75 cipherOrder=100 slotParams=(1={slotFlags=[ECC,</w:t>
        <w:t xml:space="preserve"> </w:t>
        <w:t>RSA,DSA,DH,RC2,RC4,DES,RANDOM,SHA1,MD5,MD2,SSL,TLS,AES,Camellia,SEED,SHA256,SHA512]</w:t>
        <w:t xml:space="preserve"> </w:t>
        <w:t>askpw=any timeout=30})</w:t>
      </w:r>
    </w:p>
    <w:p>
      <w:pPr>
        <w:pStyle w:val="Normal"/>
      </w:pPr>
      <w:r>
        <w:t>library=</w:t>
      </w:r>
    </w:p>
    <w:p>
      <w:pPr>
        <w:pStyle w:val="Normal"/>
      </w:pPr>
      <w:r>
        <w:t>name=Policy</w:t>
      </w:r>
    </w:p>
    <w:p>
      <w:pPr>
        <w:pStyle w:val="Normal"/>
      </w:pPr>
      <w:r>
        <w:t>NSS=flags=policyOnly,moduleDB</w:t>
      </w:r>
    </w:p>
    <w:p>
      <w:pPr>
        <w:pStyle w:val="Normal"/>
      </w:pPr>
      <w:r>
        <w:t>config="allow=tls-version-min=tls1.3"</w:t>
      </w:r>
    </w:p>
    <w:p>
      <w:pPr>
        <w:pStyle w:val="Para 17"/>
      </w:pPr>
      <w:r>
        <w:t/>
      </w:r>
    </w:p>
    <w:p>
      <w:pPr>
        <w:pStyle w:val="Para 01"/>
      </w:pPr>
      <w:r>
        <w:t>Test setup</w:t>
      </w:r>
    </w:p>
    <w:p>
      <w:pPr>
        <w:pStyle w:val="Para 17"/>
      </w:pPr>
      <w:r>
        <w:t/>
      </w:r>
    </w:p>
    <w:p>
      <w:pPr>
        <w:pStyle w:val="Normal"/>
      </w:pPr>
      <w:r>
        <w:t>For these examples, we will be using a simple OpenSSL server on the same system as the NSS client we are testing. For that we will have to generate a certificate and key for the OpenSSL server to use, and then import that into the NSS database so it can be trusted.</w:t>
      </w:r>
    </w:p>
    <w:p>
      <w:pPr>
        <w:pStyle w:val="Normal"/>
      </w:pPr>
      <w:r>
        <w:t>First, generate a keypair for OpenSSL:</w:t>
      </w:r>
    </w:p>
    <w:p>
      <w:pPr>
        <w:pStyle w:val="Normal"/>
      </w:pPr>
      <w:r>
        <w:t>openssl req -new -x509 -days</w:t>
        <w:t xml:space="preserve"> </w:t>
        <w:t>30</w:t>
        <w:t>-nodes -subj</w:t>
        <w:t xml:space="preserve"> </w:t>
        <w:t>"/CN=localhost"</w:t>
        <w:t>-out localhost.pem -keyout</w:t>
        <w:t xml:space="preserve"> </w:t>
        <w:t>localhost.key</w:t>
      </w:r>
    </w:p>
    <w:p>
      <w:pPr>
        <w:pStyle w:val="Para 17"/>
      </w:pPr>
      <w:r>
        <w:t/>
      </w:r>
    </w:p>
    <w:p>
      <w:pPr>
        <w:pStyle w:val="Normal"/>
      </w:pPr>
      <w:r>
        <w:t>To avoid telling tstclnt to ignore certification validation errors, which might mask the crypto policy changes we are trying to demonstrate, it’s best to import this certificate into the NSS database and mark it as trusted:</w:t>
      </w:r>
    </w:p>
    <w:p>
      <w:pPr>
        <w:pStyle w:val="Normal"/>
      </w:pPr>
      <w:r>
        <w:t>certutil -d ~/.pki/nssdb -A -a -i localhost.pem -t TCP -n localhost</w:t>
      </w:r>
    </w:p>
    <w:p>
      <w:pPr>
        <w:pStyle w:val="Para 17"/>
      </w:pPr>
      <w:r>
        <w:t/>
      </w:r>
    </w:p>
    <w:p>
      <w:pPr>
        <w:pStyle w:val="Normal"/>
      </w:pPr>
      <w:r>
        <w:t>This command will ask you for the NSS database password that you supplied when bootstrap-ping it. The command line options that were used have the following meanings:</w:t>
      </w:r>
    </w:p>
    <w:p>
      <w:pPr>
        <w:pStyle w:val="Para 04"/>
      </w:pPr>
      <w:r>
        <w:t>•-d ~/.pki/nssdb: The path to the NSS database.</w:t>
      </w:r>
    </w:p>
    <w:p>
      <w:pPr>
        <w:pStyle w:val="Para 04"/>
      </w:pPr>
      <w:r>
        <w:t>•-A: Import a certificate.</w:t>
      </w:r>
    </w:p>
    <w:p>
      <w:pPr>
        <w:pStyle w:val="Para 04"/>
      </w:pPr>
      <w:r>
        <w:t>•-a: The certificate is in ASCII mode (PEM).</w:t>
      </w:r>
    </w:p>
    <w:p>
      <w:pPr>
        <w:pStyle w:val="Para 04"/>
      </w:pPr>
      <w:r>
        <w:t>•-i localhost.pem: The file to read (the actual certificate).</w:t>
      </w:r>
    </w:p>
    <w:p>
      <w:pPr>
        <w:pStyle w:val="Para 04"/>
      </w:pPr>
      <w:r>
        <w:t xml:space="preserve">• </w:t>
      </w:r>
      <w:hyperlink r:id="rId1659">
        <w:r>
          <w:rPr>
            <w:rStyle w:val="Text9"/>
          </w:rPr>
          <w:t>770</w:t>
        </w:r>
      </w:hyperlink>
      <w:r>
        <w:t xml:space="preserve">-t TCP : Trust flags (see the-t trustargs argument in the </w:t>
      </w:r>
      <w:hyperlink r:id="rId1659">
        <w:r>
          <w:rPr>
            <w:rStyle w:val="Text2"/>
          </w:rPr>
          <w:t>certutil manpage</w:t>
        </w:r>
      </w:hyperlink>
      <w:r>
        <w:t xml:space="preserve"> for a full</w:t>
      </w:r>
    </w:p>
    <w:p>
      <w:pPr>
        <w:pStyle w:val="Para 02"/>
      </w:pPr>
      <w:r>
        <w:t>list).</w:t>
      </w:r>
    </w:p>
    <w:p>
      <w:pPr>
        <w:pStyle w:val="Para 06"/>
      </w:pPr>
      <w:r>
        <w:rPr>
          <w:rStyle w:val="Text0"/>
        </w:rPr>
        <w:t>–</w:t>
      </w:r>
      <w:r>
        <w:t xml:space="preserve"> T: Trusted CA for client authentication.</w:t>
      </w:r>
    </w:p>
    <w:p>
      <w:pPr>
        <w:pStyle w:val="Para 05"/>
      </w:pPr>
      <w:r>
        <w:rPr>
          <w:rStyle w:val="Text5"/>
        </w:rPr>
        <w:t>770</w:t>
      </w:r>
      <w:r>
        <w:rPr>
          <w:rStyle w:val="Text8"/>
        </w:rPr>
        <w:t xml:space="preserve"> </w:t>
      </w:r>
      <w:r>
        <w:t>https://manpages.ubuntu.com/manpages/resolute/man1/certutil.1.html</w:t>
      </w:r>
    </w:p>
    <w:p>
      <w:bookmarkStart w:id="1219" w:name="page_7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8" name="index-773_1.png" descr="index-773_1.png"/>
            <wp:cNvGraphicFramePr>
              <a:graphicFrameLocks noChangeAspect="1"/>
            </wp:cNvGraphicFramePr>
            <a:graphic>
              <a:graphicData uri="http://schemas.openxmlformats.org/drawingml/2006/picture">
                <pic:pic>
                  <pic:nvPicPr>
                    <pic:cNvPr id="0" name="index-773_1.png" descr="index-773_1.png"/>
                    <pic:cNvPicPr/>
                  </pic:nvPicPr>
                  <pic:blipFill>
                    <a:blip r:embed="rId812"/>
                    <a:stretch>
                      <a:fillRect/>
                    </a:stretch>
                  </pic:blipFill>
                  <pic:spPr>
                    <a:xfrm>
                      <a:off x="0" y="0"/>
                      <a:ext cx="914400" cy="266700"/>
                    </a:xfrm>
                    <a:prstGeom prst="rect">
                      <a:avLst/>
                    </a:prstGeom>
                  </pic:spPr>
                </pic:pic>
              </a:graphicData>
            </a:graphic>
          </wp:anchor>
        </w:drawing>
      </w:r>
      <w:bookmarkEnd w:id="1219"/>
    </w:p>
    <w:p>
      <w:pPr>
        <w:pStyle w:val="Para 06"/>
      </w:pPr>
      <w:r>
        <w:rPr>
          <w:rStyle w:val="Text0"/>
        </w:rPr>
        <w:t>–</w:t>
      </w:r>
      <w:r>
        <w:t xml:space="preserve"> C: Trusted CA.</w:t>
      </w:r>
    </w:p>
    <w:p>
      <w:pPr>
        <w:pStyle w:val="Para 06"/>
      </w:pPr>
      <w:r>
        <w:rPr>
          <w:rStyle w:val="Text0"/>
        </w:rPr>
        <w:t>–</w:t>
      </w:r>
      <w:r>
        <w:t xml:space="preserve"> P: Trusted peer.</w:t>
      </w:r>
    </w:p>
    <w:p>
      <w:pPr>
        <w:pStyle w:val="Para 04"/>
      </w:pPr>
      <w:r>
        <w:t>•-n localhost: A nickname for this certificate, like a label. It can be used later on to</w:t>
      </w:r>
    </w:p>
    <w:p>
      <w:pPr>
        <w:pStyle w:val="Para 02"/>
      </w:pPr>
      <w:r>
        <w:t>select this certificate.</w:t>
      </w:r>
    </w:p>
    <w:p>
      <w:pPr>
        <w:pStyle w:val="Normal"/>
      </w:pPr>
      <w:r>
        <w:t>We are now ready to begin our tests. Unless otherwise noted, this is how it’s expected that the server will be run:</w:t>
      </w:r>
    </w:p>
    <w:p>
      <w:pPr>
        <w:pStyle w:val="Normal"/>
      </w:pPr>
      <w:r>
        <w:t>openssl s_server -accept</w:t>
        <w:t xml:space="preserve"> </w:t>
        <w:t>4443</w:t>
        <w:t>-cert localhost.pem -key localhost.key -www</w:t>
      </w:r>
    </w:p>
    <w:p>
      <w:pPr>
        <w:pStyle w:val="Para 17"/>
      </w:pPr>
      <w:r>
        <w:t/>
      </w:r>
    </w:p>
    <w:p>
      <w:pPr>
        <w:pStyle w:val="Para 01"/>
      </w:pPr>
      <w:r>
        <w:t>The tstclnt tool</w:t>
      </w:r>
    </w:p>
    <w:p>
      <w:pPr>
        <w:pStyle w:val="Para 17"/>
      </w:pPr>
      <w:r>
        <w:t/>
      </w:r>
    </w:p>
    <w:p>
      <w:pPr>
        <w:pStyle w:val="Normal"/>
      </w:pPr>
      <w:r>
        <w:t>The libnss3-tools package also contains the tstclnt tool, which is what we will use in the following examples to test our NSS configuration changes.</w:t>
      </w:r>
    </w:p>
    <w:p>
      <w:pPr>
        <w:pStyle w:val="Normal"/>
      </w:pPr>
      <w:r>
        <w:t>This is the typical command we will use:</w:t>
      </w:r>
    </w:p>
    <w:p>
      <w:pPr>
        <w:pStyle w:val="Normal"/>
      </w:pPr>
      <w:r>
        <w:t>tstclnt -d ~/.pki/nssdb -h localhost -p</w:t>
        <w:t xml:space="preserve"> </w:t>
        <w:t>4443</w:t>
      </w:r>
    </w:p>
    <w:p>
      <w:pPr>
        <w:pStyle w:val="Para 17"/>
      </w:pPr>
      <w:r>
        <w:t/>
      </w:r>
    </w:p>
    <w:p>
      <w:pPr>
        <w:pStyle w:val="Normal"/>
      </w:pPr>
      <w:r>
        <w:t>Where the options have the following meanings:</w:t>
      </w:r>
    </w:p>
    <w:p>
      <w:pPr>
        <w:pStyle w:val="Para 04"/>
      </w:pPr>
      <w:r>
        <w:t>•-d ~/.pki/nssdb: Use the NSS database located in the ~/.pki/nssdb directory.</w:t>
      </w:r>
    </w:p>
    <w:p>
      <w:pPr>
        <w:pStyle w:val="Para 04"/>
      </w:pPr>
      <w:r>
        <w:t>•-h localhost: The server to connect to.</w:t>
      </w:r>
    </w:p>
    <w:p>
      <w:pPr>
        <w:pStyle w:val="Para 04"/>
      </w:pPr>
      <w:r>
        <w:t>•-p 4443: The TCP port to connect to.</w:t>
      </w:r>
    </w:p>
    <w:p>
      <w:pPr>
        <w:pStyle w:val="Normal"/>
      </w:pPr>
      <w:r>
        <w:t>To make things a bit easier to see, since this tool prints a lot of information about the con-nection, we will wrap it like this:</w:t>
      </w:r>
    </w:p>
    <w:p>
      <w:pPr>
        <w:pStyle w:val="Normal"/>
      </w:pPr>
      <w:r>
        <w:t>echo</w:t>
        <w:t xml:space="preserve"> </w:t>
        <w:t>"GET / HTTP/1.0"</w:t>
        <w:t xml:space="preserve"> </w:t>
        <w:t>| tstclnt -d ~/.pki/nssdb -h localhost -p</w:t>
        <w:t xml:space="preserve"> </w:t>
        <w:t>4443 2</w:t>
        <w:t>&gt;&amp;</w:t>
        <w:t>1</w:t>
        <w:t xml:space="preserve"> </w:t>
        <w:t>| grep ^New</w:t>
      </w:r>
    </w:p>
    <w:p>
      <w:pPr>
        <w:pStyle w:val="Normal"/>
      </w:pPr>
      <w:r>
        <w:t>New, TLSv1.3, Cipher is TLS_AES_128_GCM_SHA256</w:t>
      </w:r>
    </w:p>
    <w:p>
      <w:pPr>
        <w:pStyle w:val="Normal"/>
      </w:pPr>
      <w:r>
        <w:t>^C</w:t>
      </w:r>
    </w:p>
    <w:p>
      <w:pPr>
        <w:pStyle w:val="Para 17"/>
      </w:pPr>
      <w:r>
        <w:t/>
      </w:r>
    </w:p>
    <w:p>
      <w:pPr>
        <w:pStyle w:val="Normal"/>
      </w:pPr>
      <w:r>
        <w:t>The above tells us that the connection was completed and that it is using TLSv1.3, with a TLS_AES_128_GCM_SHA256 cipher suite.</w:t>
      </w:r>
    </w:p>
    <w:p>
      <w:pPr>
        <w:pStyle w:val="Normal"/>
      </w:pPr>
      <w:r>
        <w:t>It will not exit on its own, so it’s necessary to press Ctrl+C (^C) to get back to the shell prompt.</w:t>
      </w:r>
    </w:p>
    <w:p>
      <w:pPr>
        <w:pStyle w:val="Para 17"/>
      </w:pPr>
      <w:r>
        <w:t/>
      </w:r>
    </w:p>
    <w:p>
      <w:pPr>
        <w:pStyle w:val="Para 01"/>
      </w:pPr>
      <w:r>
        <w:t>Only use TLSv1.3</w:t>
      </w:r>
    </w:p>
    <w:p>
      <w:pPr>
        <w:pStyle w:val="Para 17"/>
      </w:pPr>
      <w:r>
        <w:t/>
      </w:r>
    </w:p>
    <w:p>
      <w:pPr>
        <w:pStyle w:val="Normal"/>
      </w:pPr>
      <w:r>
        <w:t>Here is how we can restrict the TLS protocol version to 1.3 at a minimum:</w:t>
      </w:r>
    </w:p>
    <w:p>
      <w:pPr>
        <w:pStyle w:val="Normal"/>
      </w:pPr>
      <w:r>
        <w:t>library=</w:t>
      </w:r>
    </w:p>
    <w:p>
      <w:pPr>
        <w:pStyle w:val="Normal"/>
      </w:pPr>
      <w:r>
        <w:t>name=Policy</w:t>
      </w:r>
    </w:p>
    <w:p>
      <w:pPr>
        <w:pStyle w:val="Normal"/>
      </w:pPr>
      <w:r>
        <w:t>NSS=flags=policyOnly,moduleDB</w:t>
      </w:r>
    </w:p>
    <w:p>
      <w:pPr>
        <w:pStyle w:val="Normal"/>
      </w:pPr>
      <w:r>
        <w:t>config="allow=tls-version-min=tls1.3"</w:t>
      </w:r>
    </w:p>
    <w:p>
      <w:pPr>
        <w:pStyle w:val="Para 17"/>
      </w:pPr>
      <w:r>
        <w:t/>
      </w:r>
    </w:p>
    <w:p>
      <w:pPr>
        <w:pStyle w:val="Normal"/>
      </w:pPr>
      <w:r>
        <w:t>If we then start the OpenSSL server without TLSv1.3 support, like this (note the extra no_ tls1_3 at the end):</w:t>
      </w:r>
    </w:p>
    <w:p>
      <w:pPr>
        <w:pStyle w:val="Normal"/>
      </w:pPr>
      <w:r>
        <w:t>openssl s_server -accept</w:t>
        <w:t xml:space="preserve"> </w:t>
        <w:t>4443</w:t>
        <w:t>-cert localhost.pem -key localhost.key -www -no_tls1_3</w:t>
        <w:t xml:space="preserve"> The tstclnt tool will fail to connect:</w:t>
      </w:r>
    </w:p>
    <w:p>
      <w:bookmarkStart w:id="1220" w:name="page_7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09" name="index-774_1.png" descr="index-774_1.png"/>
            <wp:cNvGraphicFramePr>
              <a:graphicFrameLocks noChangeAspect="1"/>
            </wp:cNvGraphicFramePr>
            <a:graphic>
              <a:graphicData uri="http://schemas.openxmlformats.org/drawingml/2006/picture">
                <pic:pic>
                  <pic:nvPicPr>
                    <pic:cNvPr id="0" name="index-774_1.png" descr="index-774_1.png"/>
                    <pic:cNvPicPr/>
                  </pic:nvPicPr>
                  <pic:blipFill>
                    <a:blip r:embed="rId813"/>
                    <a:stretch>
                      <a:fillRect/>
                    </a:stretch>
                  </pic:blipFill>
                  <pic:spPr>
                    <a:xfrm>
                      <a:off x="0" y="0"/>
                      <a:ext cx="914400" cy="266700"/>
                    </a:xfrm>
                    <a:prstGeom prst="rect">
                      <a:avLst/>
                    </a:prstGeom>
                  </pic:spPr>
                </pic:pic>
              </a:graphicData>
            </a:graphic>
          </wp:anchor>
        </w:drawing>
      </w:r>
      <w:bookmarkEnd w:id="1220"/>
    </w:p>
    <w:p>
      <w:pPr>
        <w:pStyle w:val="Normal"/>
      </w:pPr>
      <w:r>
        <w:t>echo</w:t>
        <w:t xml:space="preserve"> </w:t>
        <w:t>"GET / HTTP/1.0"</w:t>
        <w:t xml:space="preserve"> </w:t>
        <w:t>| tstclnt -d ~/.pki/nssdb -h localhost -p</w:t>
        <w:t xml:space="preserve"> </w:t>
        <w:t>4443 2</w:t>
        <w:t>&gt;&amp;</w:t>
        <w:t>1</w:t>
        <w:t xml:space="preserve"> </w:t>
        <w:t>| grep ^New</w:t>
        <w:t xml:space="preserve"> </w:t>
        <w:t>echo</w:t>
        <w:t xml:space="preserve"> </w:t>
        <w:t>$?</w:t>
      </w:r>
    </w:p>
    <w:p>
      <w:pPr>
        <w:pStyle w:val="Normal"/>
      </w:pPr>
      <w:r>
        <w:t>1</w:t>
      </w:r>
    </w:p>
    <w:p>
      <w:pPr>
        <w:pStyle w:val="Para 17"/>
      </w:pPr>
      <w:r>
        <w:t/>
      </w:r>
    </w:p>
    <w:p>
      <w:pPr>
        <w:pStyle w:val="Normal"/>
      </w:pPr>
      <w:r>
        <w:t>To see the actual error, we can remove the grep at the end:</w:t>
      </w:r>
    </w:p>
    <w:p>
      <w:pPr>
        <w:pStyle w:val="Normal"/>
      </w:pPr>
      <w:r>
        <w:t>echo</w:t>
        <w:t xml:space="preserve"> </w:t>
        <w:t>"GET / HTTP/1.0"</w:t>
        <w:t xml:space="preserve"> </w:t>
        <w:t>| tstclnt -d ~/.pki/nssdb -h localhost -p</w:t>
        <w:t xml:space="preserve"> </w:t>
        <w:t>4443 2</w:t>
        <w:t>&gt;&amp;</w:t>
        <w:t>1</w:t>
      </w:r>
    </w:p>
    <w:p>
      <w:pPr>
        <w:pStyle w:val="Normal"/>
      </w:pPr>
      <w:r>
        <w:t>tstclnt: write to SSL socket failed: SSL_ERROR_PROTOCOL_VERSION_ALERT: Peer reports</w:t>
        <w:t xml:space="preserve"> </w:t>
        <w:t>incompatible or unsupported protocol version.</w:t>
      </w:r>
    </w:p>
    <w:p>
      <w:pPr>
        <w:pStyle w:val="Para 17"/>
      </w:pPr>
      <w:r>
        <w:t/>
      </w:r>
    </w:p>
    <w:p>
      <w:pPr>
        <w:pStyle w:val="Normal"/>
      </w:pPr>
      <w:r>
        <w:t>If we allow the server to offer TLSv1.3:</w:t>
      </w:r>
    </w:p>
    <w:p>
      <w:pPr>
        <w:pStyle w:val="Normal"/>
      </w:pPr>
      <w:r>
        <w:t>openssl s_server -accept</w:t>
        <w:t xml:space="preserve"> </w:t>
        <w:t>4443</w:t>
        <w:t>-cert localhost.pem -key localhost.key -www</w:t>
      </w:r>
    </w:p>
    <w:p>
      <w:pPr>
        <w:pStyle w:val="Para 17"/>
      </w:pPr>
      <w:r>
        <w:t/>
      </w:r>
    </w:p>
    <w:p>
      <w:pPr>
        <w:pStyle w:val="Normal"/>
      </w:pPr>
      <w:r>
        <w:t>Then the connection completes:</w:t>
      </w:r>
    </w:p>
    <w:p>
      <w:pPr>
        <w:pStyle w:val="Normal"/>
      </w:pPr>
      <w:r>
        <w:t>echo</w:t>
        <w:t xml:space="preserve"> </w:t>
        <w:t>"GET / HTTP/1.0"</w:t>
        <w:t xml:space="preserve"> </w:t>
        <w:t>| tstclnt -d ~/.pki/nssdb -h localhost -p</w:t>
        <w:t xml:space="preserve"> </w:t>
        <w:t>4443 2</w:t>
        <w:t>&gt;&amp;</w:t>
        <w:t>1</w:t>
        <w:t xml:space="preserve"> </w:t>
        <w:t>| grep ^New</w:t>
      </w:r>
    </w:p>
    <w:p>
      <w:pPr>
        <w:pStyle w:val="Normal"/>
      </w:pPr>
      <w:r>
        <w:t>New, TLSv1.3, Cipher is TLS_AES_128_GCM_SHA256</w:t>
      </w:r>
    </w:p>
    <w:p>
      <w:pPr>
        <w:pStyle w:val="Normal"/>
      </w:pPr>
      <w:r>
        <w:t>^C</w:t>
      </w:r>
    </w:p>
    <w:p>
      <w:pPr>
        <w:pStyle w:val="Para 17"/>
      </w:pPr>
      <w:r>
        <w:t/>
      </w:r>
    </w:p>
    <w:p>
      <w:pPr>
        <w:pStyle w:val="Para 01"/>
      </w:pPr>
      <w:r>
        <w:t>Use only AES256 with TLSv1.3</w:t>
      </w:r>
    </w:p>
    <w:p>
      <w:pPr>
        <w:pStyle w:val="Para 17"/>
      </w:pPr>
      <w:r>
        <w:t/>
      </w:r>
    </w:p>
    <w:p>
      <w:pPr>
        <w:pStyle w:val="Normal"/>
      </w:pPr>
      <w:r>
        <w:t xml:space="preserve">In the previous example, the connection ended up using TLSv1.3 as expected, but </w:t>
      </w:r>
      <w:hyperlink w:anchor="page_668">
        <w:r>
          <w:rPr>
            <w:rStyle w:val="Text2"/>
          </w:rPr>
          <w:t>AES</w:t>
        </w:r>
      </w:hyperlink>
      <w:r>
        <w:t>128. To enforce AES256, we can disallow the 128-bit version:</w:t>
      </w:r>
    </w:p>
    <w:p>
      <w:pPr>
        <w:pStyle w:val="Normal"/>
      </w:pPr>
      <w:r>
        <w:t>library=</w:t>
      </w:r>
    </w:p>
    <w:p>
      <w:pPr>
        <w:pStyle w:val="Normal"/>
      </w:pPr>
      <w:r>
        <w:t>name=Policy</w:t>
      </w:r>
    </w:p>
    <w:p>
      <w:pPr>
        <w:pStyle w:val="Normal"/>
      </w:pPr>
      <w:r>
        <w:t>NSS=flags=policyOnly,moduleDB</w:t>
      </w:r>
    </w:p>
    <w:p>
      <w:pPr>
        <w:pStyle w:val="Normal"/>
      </w:pPr>
      <w:r>
        <w:t>config="disallow=aes128-gcm allow=tls-version-min=tls1.3"</w:t>
      </w:r>
    </w:p>
    <w:p>
      <w:pPr>
        <w:pStyle w:val="Para 17"/>
      </w:pPr>
      <w:r>
        <w:t/>
      </w:r>
    </w:p>
    <w:p>
      <w:pPr>
        <w:pStyle w:val="Normal"/>
      </w:pPr>
      <w:r>
        <w:t>This time the client selects something else:</w:t>
      </w:r>
    </w:p>
    <w:p>
      <w:pPr>
        <w:pStyle w:val="Normal"/>
      </w:pPr>
      <w:r>
        <w:t>echo</w:t>
        <w:t xml:space="preserve"> </w:t>
        <w:t>"GET / HTTP/1.0"</w:t>
        <w:t xml:space="preserve"> </w:t>
        <w:t>| tstclnt -d ~/.pki/nssdb -h localhost -p</w:t>
        <w:t xml:space="preserve"> </w:t>
        <w:t>4443</w:t>
        <w:t xml:space="preserve"> </w:t>
        <w:t>2</w:t>
        <w:t>&gt;&amp;</w:t>
        <w:t>1</w:t>
        <w:t xml:space="preserve"> </w:t>
        <w:t>| grep ^New</w:t>
      </w:r>
    </w:p>
    <w:p>
      <w:pPr>
        <w:pStyle w:val="Normal"/>
      </w:pPr>
      <w:r>
        <w:t>New, TLSv1.3, Cipher is TLS_CHACHA20_POLY1305_SHA256</w:t>
      </w:r>
    </w:p>
    <w:p>
      <w:pPr>
        <w:pStyle w:val="Para 17"/>
      </w:pPr>
      <w:r>
        <w:t/>
      </w:r>
    </w:p>
    <w:p>
      <w:pPr>
        <w:pStyle w:val="Normal"/>
      </w:pPr>
      <w:r>
        <w:t>We can remove that one from the list as well:</w:t>
      </w:r>
    </w:p>
    <w:p>
      <w:pPr>
        <w:pStyle w:val="Normal"/>
      </w:pPr>
      <w:r>
        <w:t>config="disallow=aes128-gcm:chacha20-poly1305 allow=tls-version-min=tls1.3"</w:t>
      </w:r>
    </w:p>
    <w:p>
      <w:pPr>
        <w:pStyle w:val="Para 17"/>
      </w:pPr>
      <w:r>
        <w:t/>
      </w:r>
    </w:p>
    <w:p>
      <w:pPr>
        <w:pStyle w:val="Normal"/>
      </w:pPr>
      <w:r>
        <w:t>And now we get AES256:</w:t>
      </w:r>
    </w:p>
    <w:p>
      <w:pPr>
        <w:pStyle w:val="Normal"/>
      </w:pPr>
      <w:r>
        <w:t>echo</w:t>
        <w:t xml:space="preserve"> </w:t>
        <w:t>"GET / HTTP/1.0"</w:t>
        <w:t xml:space="preserve"> </w:t>
        <w:t>| tstclnt -d ~/.pki/nssdb -h localhost -p</w:t>
        <w:t xml:space="preserve"> </w:t>
        <w:t>4443</w:t>
        <w:t xml:space="preserve"> </w:t>
        <w:t>2</w:t>
        <w:t>&gt;&amp;</w:t>
        <w:t>1</w:t>
        <w:t xml:space="preserve"> </w:t>
        <w:t>| grep ^New</w:t>
      </w:r>
    </w:p>
    <w:p>
      <w:pPr>
        <w:pStyle w:val="Normal"/>
      </w:pPr>
      <w:r>
        <w:t>New, TLSv1.3, Cipher is TLS_AES_256_GCM_SHA384</w:t>
      </w:r>
    </w:p>
    <w:p>
      <w:bookmarkStart w:id="1221" w:name="calibre_pb_223"/>
      <w:pPr>
        <w:pStyle w:val="0 Block"/>
      </w:pPr>
      <w:bookmarkEnd w:id="1221"/>
    </w:p>
    <w:p>
      <w:bookmarkStart w:id="1222" w:name="page_775"/>
      <w:bookmarkStart w:id="1223" w:name="Top_of_index_split_22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0" name="index-775_1.png" descr="index-775_1.png"/>
            <wp:cNvGraphicFramePr>
              <a:graphicFrameLocks noChangeAspect="1"/>
            </wp:cNvGraphicFramePr>
            <a:graphic>
              <a:graphicData uri="http://schemas.openxmlformats.org/drawingml/2006/picture">
                <pic:pic>
                  <pic:nvPicPr>
                    <pic:cNvPr id="0" name="index-775_1.png" descr="index-775_1.png"/>
                    <pic:cNvPicPr/>
                  </pic:nvPicPr>
                  <pic:blipFill>
                    <a:blip r:embed="rId814"/>
                    <a:stretch>
                      <a:fillRect/>
                    </a:stretch>
                  </pic:blipFill>
                  <pic:spPr>
                    <a:xfrm>
                      <a:off x="0" y="0"/>
                      <a:ext cx="914400" cy="266700"/>
                    </a:xfrm>
                    <a:prstGeom prst="rect">
                      <a:avLst/>
                    </a:prstGeom>
                  </pic:spPr>
                </pic:pic>
              </a:graphicData>
            </a:graphic>
          </wp:anchor>
        </w:drawing>
      </w:r>
      <w:bookmarkEnd w:id="1222"/>
      <w:bookmarkEnd w:id="1223"/>
    </w:p>
    <w:p>
      <w:pPr>
        <w:pStyle w:val="Para 01"/>
      </w:pPr>
      <w:r>
        <w:t>References</w:t>
      </w:r>
    </w:p>
    <w:p>
      <w:pPr>
        <w:pStyle w:val="Para 17"/>
      </w:pPr>
      <w:r>
        <w:t/>
      </w:r>
    </w:p>
    <w:p>
      <w:pPr>
        <w:pStyle w:val="Normal"/>
      </w:pPr>
      <w:r>
        <w:t>Unfortunately most of the upstream Mozilla documentation is either outdated or depre-cated, and the best reference available about the policy module at the moment is in the source code and tests.</w:t>
      </w:r>
    </w:p>
    <w:p>
      <w:pPr>
        <w:pStyle w:val="Para 13"/>
      </w:pPr>
      <w:r>
        <w:rPr>
          <w:rStyle w:val="Text7"/>
        </w:rPr>
        <w:t xml:space="preserve">• </w:t>
      </w:r>
      <w:hyperlink w:anchor="page_775">
        <w:r>
          <w:rPr>
            <w:rStyle w:val="Text10"/>
          </w:rPr>
          <w:t>771</w:t>
        </w:r>
      </w:hyperlink>
      <w:r>
        <w:rPr>
          <w:rStyle w:val="Text7"/>
        </w:rPr>
        <w:t xml:space="preserve"> </w:t>
      </w:r>
      <w:hyperlink r:id="rId1660">
        <w:r>
          <w:t>In the source code</w:t>
        </w:r>
      </w:hyperlink>
    </w:p>
    <w:p>
      <w:pPr>
        <w:pStyle w:val="Para 13"/>
      </w:pPr>
      <w:r>
        <w:rPr>
          <w:rStyle w:val="Text7"/>
        </w:rPr>
        <w:t xml:space="preserve">• </w:t>
      </w:r>
      <w:hyperlink w:anchor="page_775">
        <w:r>
          <w:rPr>
            <w:rStyle w:val="Text10"/>
          </w:rPr>
          <w:t>772</w:t>
        </w:r>
      </w:hyperlink>
      <w:r>
        <w:rPr>
          <w:rStyle w:val="Text7"/>
        </w:rPr>
        <w:t xml:space="preserve"> </w:t>
      </w:r>
      <w:hyperlink r:id="rId1661">
        <w:r>
          <w:t>In the tests (policy)</w:t>
        </w:r>
      </w:hyperlink>
    </w:p>
    <w:p>
      <w:pPr>
        <w:pStyle w:val="Para 13"/>
      </w:pPr>
      <w:r>
        <w:rPr>
          <w:rStyle w:val="Text7"/>
        </w:rPr>
        <w:t xml:space="preserve">• </w:t>
      </w:r>
      <w:hyperlink r:id="rId1662">
        <w:r>
          <w:rPr>
            <w:rStyle w:val="Text10"/>
          </w:rPr>
          <w:t>773</w:t>
        </w:r>
      </w:hyperlink>
      <w:hyperlink r:id="rId1662">
        <w:r>
          <w:t xml:space="preserve"> In the tests (SSL policy)</w:t>
        </w:r>
      </w:hyperlink>
    </w:p>
    <w:p>
      <w:pPr>
        <w:pStyle w:val="Para 17"/>
      </w:pPr>
      <w:r>
        <w:t/>
      </w:r>
    </w:p>
    <w:p>
      <w:pPr>
        <w:pStyle w:val="Para 01"/>
      </w:pPr>
      <w:r>
        <w:t>Java cryptography configuration</w:t>
      </w:r>
    </w:p>
    <w:p>
      <w:pPr>
        <w:pStyle w:val="Para 17"/>
      </w:pPr>
      <w:r>
        <w:t/>
      </w:r>
    </w:p>
    <w:p>
      <w:pPr>
        <w:pStyle w:val="Normal"/>
      </w:pPr>
      <w:r>
        <w:t>The Java cryptographic settings are large and complex, with many layers and policies. Here we will focus on one aspect of it, which is how to apply some basic filters to the set of crypto-graphic algorithms available to applications. The references section at the end contains links to more information.</w:t>
      </w:r>
    </w:p>
    <w:p>
      <w:pPr>
        <w:pStyle w:val="Normal"/>
      </w:pPr>
      <w:r>
        <w:t>There are many versions of Java available in Ubuntu. It’s best to install the “default” one, which is represented by the default-jre (for the Runtime Environment) or default-jdk (for</w:t>
      </w:r>
    </w:p>
    <w:p>
      <w:pPr>
        <w:pStyle w:val="Normal"/>
      </w:pPr>
      <w:r>
        <w:t xml:space="preserve">the Development Kit). And their </w:t>
      </w:r>
      <w:hyperlink w:anchor="page_687">
        <w:r>
          <w:rPr>
            <w:rStyle w:val="Text1"/>
          </w:rPr>
          <w:t>non-</w:t>
        </w:r>
      </w:hyperlink>
      <w:hyperlink w:anchor="page_687">
        <w:r>
          <w:rPr>
            <w:rStyle w:val="Text2"/>
          </w:rPr>
          <w:t>GUI</w:t>
        </w:r>
      </w:hyperlink>
      <w:r>
        <w:t xml:space="preserve"> counterparts default-jre-headless and default-jdk-headless, respectively.</w:t>
      </w:r>
    </w:p>
    <w:p>
      <w:pPr>
        <w:pStyle w:val="Normal"/>
      </w:pPr>
      <w:r>
        <w:t>To install the default Java Runtime on Ubuntu Server, run the following command:</w:t>
      </w:r>
    </w:p>
    <w:p>
      <w:pPr>
        <w:pStyle w:val="Normal"/>
      </w:pPr>
      <w:r>
        <w:t>sudo apt install default-jre-headless</w:t>
      </w:r>
    </w:p>
    <w:p>
      <w:pPr>
        <w:pStyle w:val="Para 17"/>
      </w:pPr>
      <w:r>
        <w:t/>
      </w:r>
    </w:p>
    <w:p>
      <w:pPr>
        <w:pStyle w:val="Para 01"/>
      </w:pPr>
      <w:r>
        <w:t>Config file</w:t>
      </w:r>
    </w:p>
    <w:p>
      <w:pPr>
        <w:pStyle w:val="Para 17"/>
      </w:pPr>
      <w:r>
        <w:t/>
      </w:r>
    </w:p>
    <w:p>
      <w:pPr>
        <w:pStyle w:val="Normal"/>
      </w:pPr>
      <w:r>
        <w:t>The Java installation in Ubuntu ships a system-wide configuration tree under /etc/java-&lt;VERSION&gt;-openjdk. To determine the exact path on your system, you can check which version is currently set as the default:</w:t>
      </w:r>
    </w:p>
    <w:p>
      <w:pPr>
        <w:pStyle w:val="Normal"/>
      </w:pPr>
      <w:r>
        <w:t>java -version</w:t>
        <w:t xml:space="preserve"> </w:t>
        <w:t>2</w:t>
        <w:t>&gt;&amp;</w:t>
        <w:t>1</w:t>
        <w:t xml:space="preserve"> </w:t>
        <w:t>| head -n</w:t>
        <w:t xml:space="preserve"> </w:t>
        <w:t>1</w:t>
      </w:r>
    </w:p>
    <w:p>
      <w:pPr>
        <w:pStyle w:val="Para 17"/>
      </w:pPr>
      <w:r>
        <w:t/>
      </w:r>
    </w:p>
    <w:p>
      <w:pPr>
        <w:pStyle w:val="Normal"/>
      </w:pPr>
      <w:r>
        <w:t>If your output shows version 21, for example, your configuration directory will be /etc/java-21-openjdk/. In that directory, the file that defines Java security settings, including crypto-graphic algorithms restrictions, is located at /etc/java-&lt;VERSION&gt;-openjdk/security/java. security.</w:t>
      </w:r>
    </w:p>
    <w:p>
      <w:pPr>
        <w:pStyle w:val="Normal"/>
      </w:pPr>
      <w:r>
        <w:t>This is a very large file, with many options and comments. Its structure is simple, with con-figuration keys and their values. For crypto algorithms, we will be looking into the following settings:</w:t>
      </w:r>
    </w:p>
    <w:p>
      <w:pPr>
        <w:pStyle w:val="Para 04"/>
      </w:pPr>
      <w:r>
        <w:t>• jdk.certpath.disabledAlgorithms: Restrictions on algorithms and key lengths used in</w:t>
      </w:r>
    </w:p>
    <w:p>
      <w:pPr>
        <w:pStyle w:val="Para 02"/>
      </w:pPr>
      <w:r>
        <w:t>certificate path processing.</w:t>
      </w:r>
    </w:p>
    <w:p>
      <w:pPr>
        <w:pStyle w:val="Para 04"/>
      </w:pPr>
      <w:r>
        <w:t>• jdk.tls.disabledAlgorithms: Restrictions on algorithms and key lengths used in SS-</w:t>
      </w:r>
    </w:p>
    <w:p>
      <w:pPr>
        <w:pStyle w:val="Para 02"/>
      </w:pPr>
      <w:r>
        <w:t>L/TLS connections.</w:t>
      </w:r>
    </w:p>
    <w:p>
      <w:pPr>
        <w:pStyle w:val="Para 05"/>
      </w:pPr>
      <w:r>
        <w:rPr>
          <w:rStyle w:val="Text5"/>
        </w:rPr>
        <w:t>771</w:t>
      </w:r>
      <w:r>
        <w:rPr>
          <w:rStyle w:val="Text8"/>
        </w:rPr>
        <w:t xml:space="preserve"> </w:t>
      </w:r>
      <w:r>
        <w:t>https://git.launchpad.net/ubuntu/+source/nss/tree/nss/lib/pk11wrap/pk11pars.c#n144</w:t>
      </w:r>
    </w:p>
    <w:p>
      <w:pPr>
        <w:pStyle w:val="Para 05"/>
      </w:pPr>
      <w:r>
        <w:rPr>
          <w:rStyle w:val="Text5"/>
        </w:rPr>
        <w:t>772</w:t>
      </w:r>
      <w:r>
        <w:rPr>
          <w:rStyle w:val="Text8"/>
        </w:rPr>
        <w:t xml:space="preserve"> </w:t>
      </w:r>
      <w:r>
        <w:t>https://git.launchpad.net/ubuntu/+source/nss/tree/nss/tests/policy</w:t>
      </w:r>
    </w:p>
    <w:p>
      <w:pPr>
        <w:pStyle w:val="Para 03"/>
      </w:pPr>
      <w:r>
        <w:rPr>
          <w:rStyle w:val="Text5"/>
        </w:rPr>
        <w:t>773</w:t>
      </w:r>
      <w:r>
        <w:t xml:space="preserve"> </w:t>
      </w:r>
      <w:r>
        <w:rPr>
          <w:rStyle w:val="Text6"/>
        </w:rPr>
        <w:t>https://git.launchpad.net/ubuntu/+source/nss/tree/nss/tests/ssl/sslpolicy.txt</w:t>
      </w:r>
      <w:r>
        <w:t xml:space="preserve"> The list of restrictions has its own format which allows for constructs that disable whole fam-</w:t>
      </w:r>
    </w:p>
    <w:p>
      <w:bookmarkStart w:id="1224" w:name="page_7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1" name="index-776_1.png" descr="index-776_1.png"/>
            <wp:cNvGraphicFramePr>
              <a:graphicFrameLocks noChangeAspect="1"/>
            </wp:cNvGraphicFramePr>
            <a:graphic>
              <a:graphicData uri="http://schemas.openxmlformats.org/drawingml/2006/picture">
                <pic:pic>
                  <pic:nvPicPr>
                    <pic:cNvPr id="0" name="index-776_1.png" descr="index-776_1.png"/>
                    <pic:cNvPicPr/>
                  </pic:nvPicPr>
                  <pic:blipFill>
                    <a:blip r:embed="rId815"/>
                    <a:stretch>
                      <a:fillRect/>
                    </a:stretch>
                  </pic:blipFill>
                  <pic:spPr>
                    <a:xfrm>
                      <a:off x="0" y="0"/>
                      <a:ext cx="914400" cy="266700"/>
                    </a:xfrm>
                    <a:prstGeom prst="rect">
                      <a:avLst/>
                    </a:prstGeom>
                  </pic:spPr>
                </pic:pic>
              </a:graphicData>
            </a:graphic>
          </wp:anchor>
        </w:drawing>
      </w:r>
      <w:bookmarkEnd w:id="1224"/>
    </w:p>
    <w:p>
      <w:pPr>
        <w:pStyle w:val="Normal"/>
      </w:pPr>
      <w:r>
        <w:t xml:space="preserve">ilies of algorithms, key sizes, usage, and more. The </w:t>
      </w:r>
      <w:hyperlink w:anchor="page_776">
        <w:r>
          <w:rPr>
            <w:rStyle w:val="Text9"/>
          </w:rPr>
          <w:t>774</w:t>
        </w:r>
      </w:hyperlink>
      <w:r>
        <w:t xml:space="preserve"> </w:t>
      </w:r>
      <w:hyperlink r:id="rId1663">
        <w:r>
          <w:rPr>
            <w:rStyle w:val="Text1"/>
          </w:rPr>
          <w:t>java.security</w:t>
        </w:r>
      </w:hyperlink>
      <w:r>
        <w:t xml:space="preserve"> </w:t>
      </w:r>
      <w:hyperlink r:id="rId1663">
        <w:r>
          <w:rPr>
            <w:rStyle w:val="Text1"/>
          </w:rPr>
          <w:t>configuration file</w:t>
        </w:r>
      </w:hyperlink>
      <w:r>
        <w:t xml:space="preserve"> has</w:t>
      </w:r>
    </w:p>
    <w:p>
      <w:pPr>
        <w:pStyle w:val="Normal"/>
      </w:pPr>
      <w:r>
        <w:t>comments explaining this syntax with some examples.</w:t>
      </w:r>
    </w:p>
    <w:p>
      <w:pPr>
        <w:pStyle w:val="Normal"/>
      </w:pPr>
      <w:r>
        <w:t>Changes to these security settings can be made directly in the /etc/java-&lt;VERSION&gt;-openjdk/ security/java.security file, or in an alternate file that can be specified to a Java application by setting the java.security.properties value. For example, if your Java application is called myapp.java, you can invoke it as shown below to specify an additional security properties file:</w:t>
      </w:r>
    </w:p>
    <w:p>
      <w:pPr>
        <w:pStyle w:val="Normal"/>
      </w:pPr>
      <w:r>
        <w:t>java -Djava.security.properties</w:t>
        <w:t>=</w:t>
        <w:t>file://</w:t>
        <w:t>$HOME</w:t>
        <w:t>/java.security</w:t>
      </w:r>
    </w:p>
    <w:p>
      <w:pPr>
        <w:pStyle w:val="Para 17"/>
      </w:pPr>
      <w:r>
        <w:t/>
      </w:r>
    </w:p>
    <w:p>
      <w:pPr>
        <w:pStyle w:val="Normal"/>
      </w:pPr>
      <w:r>
        <w:t>When using just one equals sign (”=”) as above, the settings from the specified file are ap-pended to the existing ones. If, however, we use two equals signs:</w:t>
      </w:r>
    </w:p>
    <w:p>
      <w:pPr>
        <w:pStyle w:val="Normal"/>
      </w:pPr>
      <w:r>
        <w:t>java -Djava.security.properties</w:t>
        <w:t>==</w:t>
        <w:t>file://</w:t>
        <w:t>$HOME</w:t>
        <w:t>/java.security</w:t>
      </w:r>
    </w:p>
    <w:p>
      <w:pPr>
        <w:pStyle w:val="Para 17"/>
      </w:pPr>
      <w:r>
        <w:t/>
      </w:r>
    </w:p>
    <w:p>
      <w:pPr>
        <w:pStyle w:val="Normal"/>
      </w:pPr>
      <w:r>
        <w:t>Then the settings from $HOME/java.security completely override the ones from the main file at /etc/java-&lt;VERSION&gt;-openjdk/security/java.security.</w:t>
      </w:r>
    </w:p>
    <w:p>
      <w:pPr>
        <w:pStyle w:val="Normal"/>
      </w:pPr>
      <w:r>
        <w:t>To disable the ability to specify an additional properties file in the command line, set the key security.overridePropertiesFile to false in /etc/java-&lt;VERSION&gt;-openjdk/security/ java.security.</w:t>
      </w:r>
    </w:p>
    <w:p>
      <w:pPr>
        <w:pStyle w:val="Para 17"/>
      </w:pPr>
      <w:r>
        <w:t/>
      </w:r>
    </w:p>
    <w:p>
      <w:pPr>
        <w:pStyle w:val="Para 01"/>
      </w:pPr>
      <w:r>
        <w:t>Practical examples</w:t>
      </w:r>
    </w:p>
    <w:p>
      <w:pPr>
        <w:pStyle w:val="Para 17"/>
      </w:pPr>
      <w:r>
        <w:t/>
      </w:r>
    </w:p>
    <w:p>
      <w:pPr>
        <w:pStyle w:val="Normal"/>
      </w:pPr>
      <w:r>
        <w:t>Let’s see some practical examples of how we can use the configuration file to tweak the default cryptographic settings of a Java application.</w:t>
      </w:r>
    </w:p>
    <w:p>
      <w:pPr>
        <w:pStyle w:val="Normal"/>
      </w:pPr>
      <w:r>
        <w:t>The examples will use the Java keytool utility for the client part, and a simple OpenSSL test server on localhost for the server part. Since OpenSSL has its own separate configuration, it won’t be affected by the changes we make to the Java security settings.</w:t>
      </w:r>
    </w:p>
    <w:p>
      <w:pPr>
        <w:pStyle w:val="Para 17"/>
      </w:pPr>
      <w:r>
        <w:t/>
      </w:r>
    </w:p>
    <w:p>
      <w:pPr>
        <w:pStyle w:val="Para 01"/>
      </w:pPr>
      <w:r>
        <w:t>Test setup</w:t>
      </w:r>
    </w:p>
    <w:p>
      <w:pPr>
        <w:pStyle w:val="Para 17"/>
      </w:pPr>
      <w:r>
        <w:t/>
      </w:r>
    </w:p>
    <w:p>
      <w:pPr>
        <w:pStyle w:val="Normal"/>
      </w:pPr>
      <w:r>
        <w:t>To use the test OpenSSL server, we will have to generate a certificate and key for it to use, and then import that into the Java Certificate Authority (CA) database so it can be trusted.</w:t>
      </w:r>
    </w:p>
    <w:p>
      <w:pPr>
        <w:pStyle w:val="Normal"/>
      </w:pPr>
      <w:r>
        <w:t>First, generate a keypair for OpenSSL:</w:t>
      </w:r>
    </w:p>
    <w:p>
      <w:pPr>
        <w:pStyle w:val="Normal"/>
      </w:pPr>
      <w:r>
        <w:t>openssl req -new -x509 -days</w:t>
        <w:t xml:space="preserve"> </w:t>
        <w:t>30</w:t>
        <w:t>-nodes -subj</w:t>
        <w:t xml:space="preserve"> </w:t>
        <w:t>"/CN=localhost"</w:t>
        <w:t>-out localhost.pem -keyout</w:t>
        <w:t xml:space="preserve"> </w:t>
        <w:t>localhost.key</w:t>
      </w:r>
    </w:p>
    <w:p>
      <w:pPr>
        <w:pStyle w:val="Para 17"/>
      </w:pPr>
      <w:r>
        <w:t/>
      </w:r>
    </w:p>
    <w:p>
      <w:pPr>
        <w:pStyle w:val="Normal"/>
      </w:pPr>
      <w:r>
        <w:t>Now let’s import this new certificate into the system-wide CA database. Execute the follow-ing commands:</w:t>
      </w:r>
    </w:p>
    <w:p>
      <w:pPr>
        <w:pStyle w:val="Normal"/>
      </w:pPr>
      <w:r>
        <w:t>sudo cp localhost.pem /usr/local/share/ca-certificates/localhost-test.crt</w:t>
        <w:t xml:space="preserve"> </w:t>
        <w:t>sudo update-ca-certificates</w:t>
      </w:r>
    </w:p>
    <w:p>
      <w:pPr>
        <w:pStyle w:val="Para 17"/>
      </w:pPr>
      <w:r>
        <w:t/>
      </w:r>
    </w:p>
    <w:p>
      <w:pPr>
        <w:pStyle w:val="Normal"/>
      </w:pPr>
      <w:r>
        <w:t>For our testing purposes, this is how we will launch our OpenSSL test server:</w:t>
      </w:r>
    </w:p>
    <w:p>
      <w:pPr>
        <w:pStyle w:val="Para 17"/>
      </w:pPr>
      <w:r>
        <w:t/>
      </w:r>
    </w:p>
    <w:p>
      <w:pPr>
        <w:pStyle w:val="Para 05"/>
      </w:pPr>
      <w:r>
        <w:rPr>
          <w:rStyle w:val="Text5"/>
        </w:rPr>
        <w:t>774</w:t>
      </w:r>
      <w:r>
        <w:rPr>
          <w:rStyle w:val="Text8"/>
        </w:rPr>
        <w:t xml:space="preserve"> </w:t>
      </w:r>
      <w:r>
        <w:t>https://git.launchpad.net/ubuntu/+source/openjdk-lts/tree/src/java.base/share/conf/security/java.</w:t>
      </w:r>
    </w:p>
    <w:p>
      <w:pPr>
        <w:pStyle w:val="Para 16"/>
      </w:pPr>
      <w:r>
        <w:t>security/#n520</w:t>
      </w:r>
    </w:p>
    <w:p>
      <w:bookmarkStart w:id="1225" w:name="page_7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2" name="index-777_1.png" descr="index-777_1.png"/>
            <wp:cNvGraphicFramePr>
              <a:graphicFrameLocks noChangeAspect="1"/>
            </wp:cNvGraphicFramePr>
            <a:graphic>
              <a:graphicData uri="http://schemas.openxmlformats.org/drawingml/2006/picture">
                <pic:pic>
                  <pic:nvPicPr>
                    <pic:cNvPr id="0" name="index-777_1.png" descr="index-777_1.png"/>
                    <pic:cNvPicPr/>
                  </pic:nvPicPr>
                  <pic:blipFill>
                    <a:blip r:embed="rId816"/>
                    <a:stretch>
                      <a:fillRect/>
                    </a:stretch>
                  </pic:blipFill>
                  <pic:spPr>
                    <a:xfrm>
                      <a:off x="0" y="0"/>
                      <a:ext cx="914400" cy="266700"/>
                    </a:xfrm>
                    <a:prstGeom prst="rect">
                      <a:avLst/>
                    </a:prstGeom>
                  </pic:spPr>
                </pic:pic>
              </a:graphicData>
            </a:graphic>
          </wp:anchor>
        </w:drawing>
      </w:r>
      <w:bookmarkEnd w:id="1225"/>
    </w:p>
    <w:p>
      <w:pPr>
        <w:pStyle w:val="Normal"/>
      </w:pPr>
      <w:r>
        <w:t>openssl s_server -accept</w:t>
        <w:t xml:space="preserve"> </w:t>
        <w:t>4443</w:t>
        <w:t>-cert localhost.pem -key localhost.key | grep ^CIPHER</w:t>
      </w:r>
    </w:p>
    <w:p>
      <w:pPr>
        <w:pStyle w:val="Para 17"/>
      </w:pPr>
      <w:r>
        <w:t/>
      </w:r>
    </w:p>
    <w:p>
      <w:pPr>
        <w:pStyle w:val="Normal"/>
      </w:pPr>
      <w:r>
        <w:t>This will show the cipher that was selected for each connection, as it occurs.</w:t>
      </w:r>
    </w:p>
    <w:p>
      <w:pPr>
        <w:pStyle w:val="Normal"/>
      </w:pPr>
      <w:r>
        <w:t>The client part of our setup will be using the keytool utility that comes with Java, but any Java application that is capable of using SSL/TLS should suffice. We will be running the client as below:</w:t>
      </w:r>
    </w:p>
    <w:p>
      <w:pPr>
        <w:pStyle w:val="Normal"/>
      </w:pPr>
      <w:r>
        <w:t>keytool -J-Djava.security.properties</w:t>
        <w:t>=</w:t>
        <w:t>file://</w:t>
        <w:t>$HOME</w:t>
        <w:t>/java.security -printcert -sslserver</w:t>
        <w:t xml:space="preserve"> </w:t>
        <w:t>localhost:4443 &gt; /dev/null;</w:t>
        <w:t>echo</w:t>
        <w:t xml:space="preserve"> </w:t>
        <w:t>$?</w:t>
      </w:r>
    </w:p>
    <w:p>
      <w:pPr>
        <w:pStyle w:val="Para 17"/>
      </w:pPr>
      <w:r>
        <w:t/>
      </w:r>
    </w:p>
    <w:p>
      <w:pPr>
        <w:pStyle w:val="Normal"/>
      </w:pPr>
      <w:r>
        <w:t>These are the parameters:</w:t>
      </w:r>
    </w:p>
    <w:p>
      <w:pPr>
        <w:pStyle w:val="Para 04"/>
      </w:pPr>
      <w:r>
        <w:t>•-J-Djava.security.properties=... This is used to point at the configuration file snip-</w:t>
      </w:r>
    </w:p>
    <w:p>
      <w:pPr>
        <w:pStyle w:val="Para 02"/>
      </w:pPr>
      <w:r>
        <w:t>pet that has our changes. It is NOT NEEDED if you are modifying /etc/java-&lt;VERSION&gt;-openjdk/security/java.security instead.</w:t>
      </w:r>
    </w:p>
    <w:p>
      <w:pPr>
        <w:pStyle w:val="Para 04"/>
      </w:pPr>
      <w:r>
        <w:t>•-printcert -sslserver localhost:4443 Connect to a server on localhost (-sslserver</w:t>
      </w:r>
    </w:p>
    <w:p>
      <w:pPr>
        <w:pStyle w:val="Para 02"/>
      </w:pPr>
      <w:r>
        <w:t>is a parameter to-printcert, so we need the latter even though we are not interested in the certificate).</w:t>
      </w:r>
    </w:p>
    <w:p>
      <w:pPr>
        <w:pStyle w:val="Normal"/>
      </w:pPr>
      <w:r>
        <w:t>The rest is just to ignore all non-error output, and show us the exit status (0 for success, anything else for an error).</w:t>
      </w:r>
    </w:p>
    <w:p>
      <w:pPr>
        <w:pStyle w:val="Para 08"/>
      </w:pPr>
      <w:r>
        <w:t>Note:</w:t>
      </w:r>
    </w:p>
    <w:p>
      <w:pPr>
        <w:pStyle w:val="Para 03"/>
      </w:pPr>
      <w:r>
        <w:t>keytool is not really intended as a tool to test SSL/TLS connections, but being part of the</w:t>
      </w:r>
    </w:p>
    <w:p>
      <w:pPr>
        <w:pStyle w:val="Para 03"/>
      </w:pPr>
      <w:r>
        <w:t>Java packaging makes it convenient and it’s enough for our purposes.</w:t>
      </w:r>
    </w:p>
    <w:p>
      <w:pPr>
        <w:pStyle w:val="Para 17"/>
      </w:pPr>
      <w:r>
        <w:t/>
      </w:r>
    </w:p>
    <w:p>
      <w:pPr>
        <w:pStyle w:val="Normal"/>
      </w:pPr>
      <w:r>
        <w:t>Let’s see some examples now.</w:t>
      </w:r>
    </w:p>
    <w:p>
      <w:pPr>
        <w:pStyle w:val="Para 17"/>
      </w:pPr>
      <w:r>
        <w:t/>
      </w:r>
    </w:p>
    <w:p>
      <w:pPr>
        <w:pStyle w:val="Para 01"/>
      </w:pPr>
      <w:r>
        <w:t>Only use TLSv1.3</w:t>
      </w:r>
    </w:p>
    <w:p>
      <w:pPr>
        <w:pStyle w:val="Para 17"/>
      </w:pPr>
      <w:r>
        <w:t/>
      </w:r>
    </w:p>
    <w:p>
      <w:pPr>
        <w:pStyle w:val="Normal"/>
      </w:pPr>
      <w:r>
        <w:t>Create $HOME/java.security with the following content:</w:t>
      </w:r>
    </w:p>
    <w:p>
      <w:pPr>
        <w:pStyle w:val="Normal"/>
      </w:pPr>
      <w:r>
        <w:t>jdk.tls.disabledAlgorithms=TLSv1, TLSv1.1, TLSv1.2, SSLv3, SSLv2</w:t>
      </w:r>
    </w:p>
    <w:p>
      <w:pPr>
        <w:pStyle w:val="Para 17"/>
      </w:pPr>
      <w:r>
        <w:t/>
      </w:r>
    </w:p>
    <w:p>
      <w:pPr>
        <w:pStyle w:val="Normal"/>
      </w:pPr>
      <w:r>
        <w:t>Notice that TLSv1.3 is absent.</w:t>
      </w:r>
    </w:p>
    <w:p>
      <w:pPr>
        <w:pStyle w:val="Normal"/>
      </w:pPr>
      <w:r>
        <w:t>When you then run the keytool utility:</w:t>
      </w:r>
    </w:p>
    <w:p>
      <w:pPr>
        <w:pStyle w:val="Normal"/>
      </w:pPr>
      <w:r>
        <w:t>$ keytool -J-Djava.security.properties</w:t>
        <w:t>=</w:t>
        <w:t>file://</w:t>
        <w:t>$HOME</w:t>
        <w:t>/java.security -printcert -sslserver</w:t>
        <w:t xml:space="preserve"> </w:t>
        <w:t>localhost:4443 &gt; /dev/null;</w:t>
        <w:t>echo</w:t>
        <w:t xml:space="preserve"> </w:t>
        <w:t>$?</w:t>
      </w:r>
    </w:p>
    <w:p>
      <w:pPr>
        <w:pStyle w:val="Normal"/>
      </w:pPr>
      <w:r>
        <w:t>0</w:t>
      </w:r>
    </w:p>
    <w:p>
      <w:pPr>
        <w:pStyle w:val="Para 17"/>
      </w:pPr>
      <w:r>
        <w:t/>
      </w:r>
    </w:p>
    <w:p>
      <w:pPr>
        <w:pStyle w:val="Normal"/>
      </w:pPr>
      <w:r>
        <w:t>The server should log:</w:t>
      </w:r>
    </w:p>
    <w:p>
      <w:pPr>
        <w:pStyle w:val="Normal"/>
      </w:pPr>
      <w:r>
        <w:t>$ openssl s_server -accept</w:t>
        <w:t xml:space="preserve"> </w:t>
        <w:t>4443</w:t>
        <w:t>-key localhost.key -cert localhost.pem</w:t>
        <w:t xml:space="preserve"> </w:t>
        <w:t>| grep ^CIPHER</w:t>
      </w:r>
    </w:p>
    <w:p>
      <w:pPr>
        <w:pStyle w:val="Normal"/>
      </w:pPr>
      <w:r>
        <w:t>CIPHER is TLS_AES_256_GCM_SHA384</w:t>
      </w:r>
    </w:p>
    <w:p>
      <w:pPr>
        <w:pStyle w:val="Para 17"/>
      </w:pPr>
      <w:r>
        <w:t/>
      </w:r>
    </w:p>
    <w:p>
      <w:pPr>
        <w:pStyle w:val="Normal"/>
      </w:pPr>
      <w:r>
        <w:t>That is a TLSv1.3 cipher. To really test that TLSv1.3 is the only protocol available, we can force some failures:</w:t>
      </w:r>
    </w:p>
    <w:p>
      <w:bookmarkStart w:id="1226" w:name="page_7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3" name="index-778_1.png" descr="index-778_1.png"/>
            <wp:cNvGraphicFramePr>
              <a:graphicFrameLocks noChangeAspect="1"/>
            </wp:cNvGraphicFramePr>
            <a:graphic>
              <a:graphicData uri="http://schemas.openxmlformats.org/drawingml/2006/picture">
                <pic:pic>
                  <pic:nvPicPr>
                    <pic:cNvPr id="0" name="index-778_1.png" descr="index-778_1.png"/>
                    <pic:cNvPicPr/>
                  </pic:nvPicPr>
                  <pic:blipFill>
                    <a:blip r:embed="rId817"/>
                    <a:stretch>
                      <a:fillRect/>
                    </a:stretch>
                  </pic:blipFill>
                  <pic:spPr>
                    <a:xfrm>
                      <a:off x="0" y="0"/>
                      <a:ext cx="914400" cy="266700"/>
                    </a:xfrm>
                    <a:prstGeom prst="rect">
                      <a:avLst/>
                    </a:prstGeom>
                  </pic:spPr>
                </pic:pic>
              </a:graphicData>
            </a:graphic>
          </wp:anchor>
        </w:drawing>
      </w:r>
      <w:bookmarkEnd w:id="1226"/>
    </w:p>
    <w:p>
      <w:pPr>
        <w:pStyle w:val="Normal"/>
      </w:pPr>
      <w:r>
        <w:t>Force the client to try to use TLSv1.2:</w:t>
      </w:r>
    </w:p>
    <w:p>
      <w:pPr>
        <w:pStyle w:val="Normal"/>
      </w:pPr>
      <w:r>
        <w:t>$ keytool</w:t>
        <w:t xml:space="preserve"> </w:t>
      </w:r>
      <w:r>
        <w:rPr>
          <w:rStyle w:val="Text0"/>
        </w:rPr>
        <w:t>\</w:t>
      </w:r>
    </w:p>
    <w:p>
      <w:pPr>
        <w:pStyle w:val="Para 03"/>
      </w:pPr>
      <w:r>
        <w:t>-J-Djava.security.properties</w:t>
        <w:t>=</w:t>
        <w:t>file://</w:t>
        <w:t>$HOME</w:t>
        <w:t>/java.security</w:t>
        <w:t xml:space="preserve"> </w:t>
      </w:r>
      <w:r>
        <w:rPr>
          <w:rStyle w:val="Text0"/>
        </w:rPr>
        <w:t>\</w:t>
      </w:r>
    </w:p>
    <w:p>
      <w:pPr>
        <w:pStyle w:val="Para 03"/>
      </w:pPr>
      <w:r>
        <w:t>-J-Djdk.tls.client.protocols</w:t>
        <w:t>=</w:t>
        <w:t>TLSv1.2</w:t>
        <w:t xml:space="preserve"> </w:t>
      </w:r>
      <w:r>
        <w:rPr>
          <w:rStyle w:val="Text0"/>
        </w:rPr>
        <w:t>\</w:t>
      </w:r>
    </w:p>
    <w:p>
      <w:pPr>
        <w:pStyle w:val="Para 03"/>
      </w:pPr>
      <w:r>
        <w:t>-printcert -sslserver localhost:4443</w:t>
      </w:r>
    </w:p>
    <w:p>
      <w:pPr>
        <w:pStyle w:val="Normal"/>
      </w:pPr>
      <w:r>
        <w:t>keytool error: java.lang.Exception: No certificate from the SSL server</w:t>
      </w:r>
    </w:p>
    <w:p>
      <w:pPr>
        <w:pStyle w:val="Para 17"/>
      </w:pPr>
      <w:r>
        <w:t/>
      </w:r>
    </w:p>
    <w:p>
      <w:pPr>
        <w:pStyle w:val="Normal"/>
      </w:pPr>
      <w:r>
        <w:t>Restart the server with the no_tls1_3 option, disabling TLSv1.3, and run the client again as originally (without the extra TLSv1.2 option we added above):</w:t>
      </w:r>
    </w:p>
    <w:p>
      <w:pPr>
        <w:pStyle w:val="Para 01"/>
      </w:pPr>
      <w:r>
        <w:t>Server</w:t>
      </w:r>
      <w:r>
        <w:rPr>
          <w:rStyle w:val="Text0"/>
        </w:rPr>
        <w:t>:</w:t>
      </w:r>
    </w:p>
    <w:p>
      <w:pPr>
        <w:pStyle w:val="Normal"/>
      </w:pPr>
      <w:r>
        <w:t>$ openssl s_server -accept</w:t>
        <w:t xml:space="preserve"> </w:t>
        <w:t>4443</w:t>
        <w:t>-key localhost.key -cert localhost.pem -no_tls1_3</w:t>
      </w:r>
    </w:p>
    <w:p>
      <w:pPr>
        <w:pStyle w:val="Normal"/>
      </w:pPr>
      <w:r>
        <w:t>Using default temp DH parameters</w:t>
      </w:r>
    </w:p>
    <w:p>
      <w:pPr>
        <w:pStyle w:val="Normal"/>
      </w:pPr>
      <w:r>
        <w:t>ACCEPT</w:t>
      </w:r>
    </w:p>
    <w:p>
      <w:pPr>
        <w:pStyle w:val="Normal"/>
      </w:pPr>
      <w:r>
        <w:t>ERROR</w:t>
      </w:r>
    </w:p>
    <w:p>
      <w:pPr>
        <w:pStyle w:val="Normal"/>
      </w:pPr>
      <w:r>
        <w:t>40676E75B37F0000:error:0A000102:SSL routines:tls_early_post_process_client_</w:t>
        <w:t xml:space="preserve"> </w:t>
        <w:t>hello:unsupported protocol:../ssl/statem/statem_srvr.c:1657:</w:t>
        <w:t xml:space="preserve"> </w:t>
        <w:t>shutting down SSL</w:t>
      </w:r>
    </w:p>
    <w:p>
      <w:pPr>
        <w:pStyle w:val="Normal"/>
      </w:pPr>
      <w:r>
        <w:t>CONNECTION CLOSED</w:t>
      </w:r>
    </w:p>
    <w:p>
      <w:pPr>
        <w:pStyle w:val="Para 17"/>
      </w:pPr>
      <w:r>
        <w:t/>
      </w:r>
    </w:p>
    <w:p>
      <w:pPr>
        <w:pStyle w:val="Para 01"/>
      </w:pPr>
      <w:r>
        <w:t>Client</w:t>
      </w:r>
      <w:r>
        <w:rPr>
          <w:rStyle w:val="Text0"/>
        </w:rPr>
        <w:t>:</w:t>
      </w:r>
    </w:p>
    <w:p>
      <w:pPr>
        <w:pStyle w:val="Normal"/>
      </w:pPr>
      <w:r>
        <w:t>$ keytool -J-Djava.security.properties</w:t>
        <w:t>=</w:t>
        <w:t>file://</w:t>
        <w:t>$HOME</w:t>
        <w:t>/java.security -printcert -sslserver</w:t>
        <w:t xml:space="preserve"> </w:t>
        <w:t>localhost:4443</w:t>
      </w:r>
    </w:p>
    <w:p>
      <w:pPr>
        <w:pStyle w:val="Normal"/>
      </w:pPr>
      <w:r>
        <w:t>keytool error: java.lang.Exception: No certificate from the SSL server</w:t>
      </w:r>
    </w:p>
    <w:p>
      <w:pPr>
        <w:pStyle w:val="Para 17"/>
      </w:pPr>
      <w:r>
        <w:t/>
      </w:r>
    </w:p>
    <w:p>
      <w:pPr>
        <w:pStyle w:val="Normal"/>
      </w:pPr>
      <w:r>
        <w:t>To get a little bit more verbosity in the keytool output, you can add the-v option. Then, inside the traceback that we get back, we can see an error message about an SSL protocol version:</w:t>
      </w:r>
    </w:p>
    <w:p>
      <w:pPr>
        <w:pStyle w:val="Normal"/>
      </w:pPr>
      <w:r>
        <w:t>$ keytool -J-Djava.security.properties</w:t>
        <w:t>=</w:t>
        <w:t>file://</w:t>
        <w:t>$HOME</w:t>
        <w:t>/java.security -printcert -sslserver</w:t>
        <w:t xml:space="preserve"> </w:t>
        <w:t>localhost:4443</w:t>
        <w:t>-v</w:t>
      </w:r>
    </w:p>
    <w:p>
      <w:pPr>
        <w:pStyle w:val="Normal"/>
      </w:pPr>
      <w:r>
        <w:t>keytool error: java.lang.Exception: No certificate from the SSL server</w:t>
        <w:t xml:space="preserve"> </w:t>
        <w:t>java.lang.Exception: No certificate from the SSL server</w:t>
      </w:r>
    </w:p>
    <w:p>
      <w:pPr>
        <w:pStyle w:val="Para 06"/>
      </w:pPr>
      <w:r>
        <w:t>at java.base/sun.security.tools.keytool.Main.doPrintCert</w:t>
        <w:t>(</w:t>
        <w:t>Main.java:2981</w:t>
        <w:t>)</w:t>
        <w:t xml:space="preserve"> </w:t>
        <w:t>at java.base/sun.security.tools.keytool.Main.doCommands</w:t>
        <w:t>(</w:t>
        <w:t>Main.java:1292</w:t>
        <w:t>)</w:t>
        <w:t xml:space="preserve"> </w:t>
        <w:t>at java.base/sun.security.tools.keytool.Main.run</w:t>
        <w:t>(</w:t>
        <w:t>Main.java:421</w:t>
        <w:t>)</w:t>
        <w:t xml:space="preserve"> </w:t>
        <w:t>at java.base/sun.security.tools.keytool.Main.main</w:t>
        <w:t>(</w:t>
        <w:t>Main.java:414</w:t>
        <w:t>)</w:t>
      </w:r>
    </w:p>
    <w:p>
      <w:pPr>
        <w:pStyle w:val="Normal"/>
      </w:pPr>
      <w:r>
        <w:t>Caused by: javax.net.ssl.SSLHandshakeException: Received fatal alert: protocol_version</w:t>
        <w:t xml:space="preserve"> </w:t>
        <w:t>...</w:t>
      </w:r>
    </w:p>
    <w:p>
      <w:bookmarkStart w:id="1227" w:name="calibre_pb_224"/>
      <w:pPr>
        <w:pStyle w:val="0 Block"/>
      </w:pPr>
      <w:bookmarkEnd w:id="1227"/>
    </w:p>
    <w:p>
      <w:bookmarkStart w:id="1228" w:name="page_779"/>
      <w:bookmarkStart w:id="1229" w:name="Top_of_index_split_22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4" name="index-779_1.png" descr="index-779_1.png"/>
            <wp:cNvGraphicFramePr>
              <a:graphicFrameLocks noChangeAspect="1"/>
            </wp:cNvGraphicFramePr>
            <a:graphic>
              <a:graphicData uri="http://schemas.openxmlformats.org/drawingml/2006/picture">
                <pic:pic>
                  <pic:nvPicPr>
                    <pic:cNvPr id="0" name="index-779_1.png" descr="index-779_1.png"/>
                    <pic:cNvPicPr/>
                  </pic:nvPicPr>
                  <pic:blipFill>
                    <a:blip r:embed="rId818"/>
                    <a:stretch>
                      <a:fillRect/>
                    </a:stretch>
                  </pic:blipFill>
                  <pic:spPr>
                    <a:xfrm>
                      <a:off x="0" y="0"/>
                      <a:ext cx="914400" cy="266700"/>
                    </a:xfrm>
                    <a:prstGeom prst="rect">
                      <a:avLst/>
                    </a:prstGeom>
                  </pic:spPr>
                </pic:pic>
              </a:graphicData>
            </a:graphic>
          </wp:anchor>
        </w:drawing>
      </w:r>
      <w:bookmarkEnd w:id="1228"/>
      <w:bookmarkEnd w:id="1229"/>
    </w:p>
    <w:p>
      <w:pPr>
        <w:pStyle w:val="Para 01"/>
      </w:pPr>
      <w:r>
        <w:t>Prevent a specific cipher</w:t>
      </w:r>
    </w:p>
    <w:p>
      <w:pPr>
        <w:pStyle w:val="Para 17"/>
      </w:pPr>
      <w:r>
        <w:t/>
      </w:r>
    </w:p>
    <w:p>
      <w:pPr>
        <w:pStyle w:val="Normal"/>
      </w:pPr>
      <w:r>
        <w:t xml:space="preserve">The </w:t>
      </w:r>
      <w:hyperlink r:id="rId1664">
        <w:r>
          <w:rPr>
            <w:rStyle w:val="Text9"/>
          </w:rPr>
          <w:t>775</w:t>
        </w:r>
      </w:hyperlink>
      <w:hyperlink r:id="rId1664">
        <w:r>
          <w:rPr>
            <w:rStyle w:val="Text1"/>
          </w:rPr>
          <w:t xml:space="preserve"> Java Security Standard Algorithm Names</w:t>
        </w:r>
      </w:hyperlink>
      <w:r>
        <w:t xml:space="preserve"> page lists the names of all the cryptographic algorithms recognized by Java. If you want to prevent a specific algorithm from being used, you can list it in the java.security file.</w:t>
      </w:r>
    </w:p>
    <w:p>
      <w:pPr>
        <w:pStyle w:val="Normal"/>
      </w:pPr>
      <w:r>
        <w:t>In the previous example where we allowed only TLSv1.3 we saw that the negotiated algo-rithm was TLS_AES_256_GCM_SHA384. But what happens if we block it?</w:t>
      </w:r>
    </w:p>
    <w:p>
      <w:pPr>
        <w:pStyle w:val="Normal"/>
      </w:pPr>
      <w:r>
        <w:t>Add TLS_AES_256_GCM_SHA384 to jdk.tls.disabledAlgorithms in $HOME/java.security like this:</w:t>
      </w:r>
    </w:p>
    <w:p>
      <w:pPr>
        <w:pStyle w:val="Normal"/>
      </w:pPr>
      <w:r>
        <w:t>jdk.tls.disabledAlgorithms=TLSv1, TLSv1.1, TLSv1.2, SSLv3, SSLv2, TLS_AES_256_GCM_SHA384</w:t>
      </w:r>
    </w:p>
    <w:p>
      <w:pPr>
        <w:pStyle w:val="Para 17"/>
      </w:pPr>
      <w:r>
        <w:t/>
      </w:r>
    </w:p>
    <w:p>
      <w:pPr>
        <w:pStyle w:val="Normal"/>
      </w:pPr>
      <w:r>
        <w:t>If we run our client now:</w:t>
      </w:r>
    </w:p>
    <w:p>
      <w:pPr>
        <w:pStyle w:val="Normal"/>
      </w:pPr>
      <w:r>
        <w:t>$ keytool -J-Djava.security.properties</w:t>
        <w:t>=</w:t>
        <w:t>file://</w:t>
        <w:t>$HOME</w:t>
        <w:t>/java.security -printcert -sslserver</w:t>
        <w:t xml:space="preserve"> </w:t>
        <w:t>localhost:4443 &gt; /dev/null;</w:t>
        <w:t xml:space="preserve"> </w:t>
        <w:t>echo</w:t>
        <w:t xml:space="preserve"> </w:t>
        <w:t>$?</w:t>
      </w:r>
    </w:p>
    <w:p>
      <w:pPr>
        <w:pStyle w:val="Normal"/>
      </w:pPr>
      <w:r>
        <w:t>0</w:t>
      </w:r>
    </w:p>
    <w:p>
      <w:pPr>
        <w:pStyle w:val="Para 17"/>
      </w:pPr>
      <w:r>
        <w:t/>
      </w:r>
    </w:p>
    <w:p>
      <w:pPr>
        <w:pStyle w:val="Normal"/>
      </w:pPr>
      <w:r>
        <w:t>The server will show the new selected cipher:</w:t>
      </w:r>
    </w:p>
    <w:p>
      <w:pPr>
        <w:pStyle w:val="Normal"/>
      </w:pPr>
      <w:r>
        <w:t>$ openssl s_server -accept</w:t>
        <w:t xml:space="preserve"> </w:t>
        <w:t>4443</w:t>
        <w:t>-key localhost.key -cert localhost.pem | grep ^CIPHER</w:t>
      </w:r>
    </w:p>
    <w:p>
      <w:pPr>
        <w:pStyle w:val="Normal"/>
      </w:pPr>
      <w:r>
        <w:t>CIPHER is TLS_AES_128_GCM_SHA256</w:t>
      </w:r>
    </w:p>
    <w:p>
      <w:pPr>
        <w:pStyle w:val="Para 17"/>
      </w:pPr>
      <w:r>
        <w:t/>
      </w:r>
    </w:p>
    <w:p>
      <w:pPr>
        <w:pStyle w:val="Para 01"/>
      </w:pPr>
      <w:r>
        <w:t>Blocking cipher “elements”</w:t>
      </w:r>
    </w:p>
    <w:p>
      <w:pPr>
        <w:pStyle w:val="Para 17"/>
      </w:pPr>
      <w:r>
        <w:t/>
      </w:r>
    </w:p>
    <w:p>
      <w:pPr>
        <w:pStyle w:val="Normal"/>
      </w:pPr>
      <w:r>
        <w:t>With TLSv1.3 ciphers, we must list the exact cipher name. With TLSv1.2 ciphers, however, there is a bit more flexibility and we can list just an “element”.</w:t>
      </w:r>
    </w:p>
    <w:p>
      <w:pPr>
        <w:pStyle w:val="Normal"/>
      </w:pPr>
      <w:r>
        <w:t>For example, let’s check out a case where we only allow TLSv1.2 for simplicity by once again modifying $HOME/java.security:</w:t>
      </w:r>
    </w:p>
    <w:p>
      <w:pPr>
        <w:pStyle w:val="Normal"/>
      </w:pPr>
      <w:r>
        <w:t>jdk.tls.disabledAlgorithms=TLSv1, TLSv1.1, TLSv1.3, SSLv2, SSLv3</w:t>
      </w:r>
    </w:p>
    <w:p>
      <w:pPr>
        <w:pStyle w:val="Para 17"/>
      </w:pPr>
      <w:r>
        <w:t/>
      </w:r>
    </w:p>
    <w:p>
      <w:pPr>
        <w:pStyle w:val="Normal"/>
      </w:pPr>
      <w:r>
        <w:t>When we run the client:</w:t>
      </w:r>
    </w:p>
    <w:p>
      <w:pPr>
        <w:pStyle w:val="Normal"/>
      </w:pPr>
      <w:r>
        <w:t>$ keytool -J-Djava.security.properties</w:t>
        <w:t>=</w:t>
        <w:t>file://</w:t>
        <w:t>$HOME</w:t>
        <w:t>/java.security -printcert -sslserver</w:t>
        <w:t xml:space="preserve"> </w:t>
        <w:t>localhost:4443</w:t>
        <w:t xml:space="preserve"> </w:t>
        <w:t>&gt; /dev/null;</w:t>
        <w:t xml:space="preserve"> </w:t>
        <w:t>echo</w:t>
        <w:t xml:space="preserve"> </w:t>
        <w:t>$?</w:t>
      </w:r>
    </w:p>
    <w:p>
      <w:pPr>
        <w:pStyle w:val="Normal"/>
      </w:pPr>
      <w:r>
        <w:t>0</w:t>
      </w:r>
    </w:p>
    <w:p>
      <w:pPr>
        <w:pStyle w:val="Para 17"/>
      </w:pPr>
      <w:r>
        <w:t/>
      </w:r>
    </w:p>
    <w:p>
      <w:pPr>
        <w:pStyle w:val="Normal"/>
      </w:pPr>
      <w:r>
        <w:t>The server reports:</w:t>
      </w:r>
    </w:p>
    <w:p>
      <w:pPr>
        <w:pStyle w:val="Normal"/>
      </w:pPr>
      <w:r>
        <w:t>$ openssl s_server -accept</w:t>
        <w:t xml:space="preserve"> </w:t>
        <w:t>4443</w:t>
        <w:t>-key localhost.key -cert localhost.pem | grep ^CIPHER</w:t>
      </w:r>
    </w:p>
    <w:p>
      <w:pPr>
        <w:pStyle w:val="Normal"/>
      </w:pPr>
      <w:r>
        <w:t>CIPHER is ECDHE-RSA-AES256-GCM-SHA384</w:t>
      </w:r>
    </w:p>
    <w:p>
      <w:pPr>
        <w:pStyle w:val="Para 17"/>
      </w:pPr>
      <w:r>
        <w:t/>
      </w:r>
    </w:p>
    <w:p>
      <w:pPr>
        <w:pStyle w:val="Normal"/>
      </w:pPr>
      <w:r>
        <w:t>We can block just the AES256 component by using:</w:t>
      </w:r>
    </w:p>
    <w:p>
      <w:pPr>
        <w:pStyle w:val="Para 17"/>
      </w:pPr>
      <w:r>
        <w:t/>
      </w:r>
    </w:p>
    <w:p>
      <w:pPr>
        <w:pStyle w:val="Para 05"/>
      </w:pPr>
      <w:r>
        <w:rPr>
          <w:rStyle w:val="Text5"/>
        </w:rPr>
        <w:t>775</w:t>
      </w:r>
      <w:r>
        <w:rPr>
          <w:rStyle w:val="Text8"/>
        </w:rPr>
        <w:t xml:space="preserve"> </w:t>
      </w:r>
      <w:r>
        <w:t>https://docs.oracle.com/en/java/javase/11/docs/specs/security/standard-names.html</w:t>
      </w:r>
      <w:r>
        <w:rPr>
          <w:rStyle w:val="Text8"/>
        </w:rPr>
        <w:t xml:space="preserve"> </w:t>
        <w:t>jdk.tls.disabledAlgorithms=TLSv1, TLSv1.1, TLSv1.3, SSLv2, SSLv3, AES_256_GCM</w:t>
      </w:r>
    </w:p>
    <w:p>
      <w:bookmarkStart w:id="1230" w:name="page_7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5" name="index-780_1.png" descr="index-780_1.png"/>
            <wp:cNvGraphicFramePr>
              <a:graphicFrameLocks noChangeAspect="1"/>
            </wp:cNvGraphicFramePr>
            <a:graphic>
              <a:graphicData uri="http://schemas.openxmlformats.org/drawingml/2006/picture">
                <pic:pic>
                  <pic:nvPicPr>
                    <pic:cNvPr id="0" name="index-780_1.png" descr="index-780_1.png"/>
                    <pic:cNvPicPr/>
                  </pic:nvPicPr>
                  <pic:blipFill>
                    <a:blip r:embed="rId819"/>
                    <a:stretch>
                      <a:fillRect/>
                    </a:stretch>
                  </pic:blipFill>
                  <pic:spPr>
                    <a:xfrm>
                      <a:off x="0" y="0"/>
                      <a:ext cx="914400" cy="266700"/>
                    </a:xfrm>
                    <a:prstGeom prst="rect">
                      <a:avLst/>
                    </a:prstGeom>
                  </pic:spPr>
                </pic:pic>
              </a:graphicData>
            </a:graphic>
          </wp:anchor>
        </w:drawing>
      </w:r>
      <w:bookmarkEnd w:id="1230"/>
    </w:p>
    <w:p>
      <w:pPr>
        <w:pStyle w:val="Para 17"/>
      </w:pPr>
      <w:r>
        <w:t/>
      </w:r>
    </w:p>
    <w:p>
      <w:pPr>
        <w:pStyle w:val="Normal"/>
      </w:pPr>
      <w:r>
        <w:t>And now the server reports:</w:t>
      </w:r>
    </w:p>
    <w:p>
      <w:pPr>
        <w:pStyle w:val="Normal"/>
      </w:pPr>
      <w:r>
        <w:t>$ openssl s_server -accept</w:t>
        <w:t xml:space="preserve"> </w:t>
        <w:t>4443</w:t>
        <w:t>-key localhost.key -cert localhost.pem | grep ^CIPHER</w:t>
      </w:r>
    </w:p>
    <w:p>
      <w:pPr>
        <w:pStyle w:val="Normal"/>
      </w:pPr>
      <w:r>
        <w:t>CIPHER is ECDHE-RSA-CHACHA20-POLY1305</w:t>
      </w:r>
    </w:p>
    <w:p>
      <w:pPr>
        <w:pStyle w:val="Para 17"/>
      </w:pPr>
      <w:r>
        <w:t/>
      </w:r>
    </w:p>
    <w:p>
      <w:pPr>
        <w:pStyle w:val="Para 01"/>
      </w:pPr>
      <w:r>
        <w:t>References</w:t>
      </w:r>
    </w:p>
    <w:p>
      <w:pPr>
        <w:pStyle w:val="Para 17"/>
      </w:pPr>
      <w:r>
        <w:t/>
      </w:r>
    </w:p>
    <w:p>
      <w:pPr>
        <w:pStyle w:val="Para 13"/>
      </w:pPr>
      <w:r>
        <w:rPr>
          <w:rStyle w:val="Text7"/>
        </w:rPr>
        <w:t xml:space="preserve">• Additional information on </w:t>
      </w:r>
      <w:hyperlink w:anchor="page_780">
        <w:r>
          <w:rPr>
            <w:rStyle w:val="Text10"/>
          </w:rPr>
          <w:t>776</w:t>
        </w:r>
      </w:hyperlink>
      <w:r>
        <w:rPr>
          <w:rStyle w:val="Text7"/>
        </w:rPr>
        <w:t xml:space="preserve"> </w:t>
      </w:r>
      <w:hyperlink r:id="rId1665">
        <w:r>
          <w:t>Java’s Cryptographic Algorithms settings</w:t>
        </w:r>
      </w:hyperlink>
    </w:p>
    <w:p>
      <w:pPr>
        <w:pStyle w:val="Para 13"/>
      </w:pPr>
      <w:r>
        <w:rPr>
          <w:rStyle w:val="Text7"/>
        </w:rPr>
        <w:t xml:space="preserve">• Java Security </w:t>
      </w:r>
      <w:hyperlink r:id="rId1666">
        <w:r>
          <w:rPr>
            <w:rStyle w:val="Text10"/>
          </w:rPr>
          <w:t>777</w:t>
        </w:r>
      </w:hyperlink>
      <w:hyperlink r:id="rId1666">
        <w:r>
          <w:t xml:space="preserve"> Standard Algorithm Names</w:t>
        </w:r>
      </w:hyperlink>
    </w:p>
    <w:p>
      <w:pPr>
        <w:pStyle w:val="Para 13"/>
      </w:pPr>
      <w:r>
        <w:rPr>
          <w:rStyle w:val="Text7"/>
        </w:rPr>
        <w:t xml:space="preserve">• </w:t>
      </w:r>
      <w:hyperlink r:id="rId1667">
        <w:r>
          <w:rPr>
            <w:rStyle w:val="Text10"/>
          </w:rPr>
          <w:t>778</w:t>
        </w:r>
      </w:hyperlink>
      <w:hyperlink r:id="rId1667">
        <w:r>
          <w:t xml:space="preserve"> keytool upstream documentation</w:t>
        </w:r>
      </w:hyperlink>
    </w:p>
    <w:p>
      <w:pPr>
        <w:pStyle w:val="Para 04"/>
      </w:pPr>
      <w:r>
        <w:t xml:space="preserve">• </w:t>
      </w:r>
      <w:hyperlink r:id="rId1668">
        <w:r>
          <w:rPr>
            <w:rStyle w:val="Text9"/>
          </w:rPr>
          <w:t>779</w:t>
        </w:r>
      </w:hyperlink>
      <w:hyperlink r:id="rId1668">
        <w:r>
          <w:rPr>
            <w:rStyle w:val="Text1"/>
          </w:rPr>
          <w:t xml:space="preserve"> java.security file with comments</w:t>
        </w:r>
      </w:hyperlink>
      <w:r>
        <w:t xml:space="preserve"> – links to the section which explains the crypto</w:t>
      </w:r>
    </w:p>
    <w:p>
      <w:pPr>
        <w:pStyle w:val="Para 02"/>
      </w:pPr>
      <w:r>
        <w:t>algorithm restrictions)</w:t>
      </w:r>
    </w:p>
    <w:p>
      <w:pPr>
        <w:pStyle w:val="Para 17"/>
      </w:pPr>
      <w:r>
        <w:t/>
      </w:r>
    </w:p>
    <w:p>
      <w:pPr>
        <w:pStyle w:val="Para 01"/>
      </w:pPr>
      <w:r>
        <w:t>BIND 9 DNSSEC cryptography selection</w:t>
      </w:r>
    </w:p>
    <w:p>
      <w:pPr>
        <w:pStyle w:val="Para 17"/>
      </w:pPr>
      <w:r>
        <w:t/>
      </w:r>
    </w:p>
    <w:p>
      <w:pPr>
        <w:pStyle w:val="Normal"/>
      </w:pPr>
      <w:r>
        <w:t>Domain Name System Security Extensions (DNSSEC), which provides a set of security features</w:t>
      </w:r>
    </w:p>
    <w:p>
      <w:pPr>
        <w:pStyle w:val="Normal"/>
      </w:pPr>
      <w:r>
        <w:t xml:space="preserve">to </w:t>
      </w:r>
      <w:hyperlink w:anchor="page_679">
        <w:r>
          <w:rPr>
            <w:rStyle w:val="Text2"/>
          </w:rPr>
          <w:t>DNS</w:t>
        </w:r>
      </w:hyperlink>
      <w:r>
        <w:t>, is a broad topic. In this article, we will briefly show DNSSEC validation happening on a bind9 DNS server, and then introduce the topic of how we can disable certain cryptographic algorithms from being used in this validation.</w:t>
      </w:r>
    </w:p>
    <w:p>
      <w:pPr>
        <w:pStyle w:val="Para 17"/>
      </w:pPr>
      <w:r>
        <w:t/>
      </w:r>
    </w:p>
    <w:p>
      <w:pPr>
        <w:pStyle w:val="Para 01"/>
      </w:pPr>
      <w:r>
        <w:t>DNSSEC validation</w:t>
      </w:r>
    </w:p>
    <w:p>
      <w:pPr>
        <w:pStyle w:val="Para 17"/>
      </w:pPr>
      <w:r>
        <w:t/>
      </w:r>
    </w:p>
    <w:p>
      <w:pPr>
        <w:pStyle w:val="Normal"/>
      </w:pPr>
      <w:r>
        <w:t>Out of the box, the BIND 9 DNS server is configured to try to use DNSSEC whenever it’s avail-able, doing all the validation checks automatically. This is done via the dnssec-validation auto setting in /etc/bind/named.conf.options, which became the implicit default as of ver-sion 1:9:18.34-1 in Ubuntu 24.10 and above.</w:t>
      </w:r>
    </w:p>
    <w:p>
      <w:pPr>
        <w:pStyle w:val="Normal"/>
      </w:pPr>
      <w:r>
        <w:t>DNSSEC can be quickly checked with the help of dig. Right after you installed bind9, you can run dig and ask it about the isc.org domain:</w:t>
      </w:r>
    </w:p>
    <w:p>
      <w:pPr>
        <w:pStyle w:val="Normal"/>
      </w:pPr>
      <w:r>
        <w:t>$ dig @127.0.0.1 isc.org +dnssec +multiline</w:t>
      </w:r>
    </w:p>
    <w:p>
      <w:pPr>
        <w:pStyle w:val="Normal"/>
      </w:pPr>
      <w:r>
        <w:t>; &lt;&lt;&gt;&gt; DiG 9.18.12-0ubuntu0.22.04.1-Ubuntu &lt;&lt;&gt;&gt; @127.0.0.1 isc.org +dnssec +multiline</w:t>
        <w:t xml:space="preserve"> </w:t>
        <w:t>; (1 server found)</w:t>
      </w:r>
    </w:p>
    <w:p>
      <w:pPr>
        <w:pStyle w:val="Normal"/>
      </w:pPr>
      <w:r>
        <w:t>;; global options: +cmd</w:t>
      </w:r>
    </w:p>
    <w:p>
      <w:pPr>
        <w:pStyle w:val="Normal"/>
      </w:pPr>
      <w:r>
        <w:t>;; Got answer:</w:t>
      </w:r>
    </w:p>
    <w:p>
      <w:pPr>
        <w:pStyle w:val="Normal"/>
      </w:pPr>
      <w:r>
        <w:t>;; -&gt;&gt;HEADER&lt;&lt;- opcode: QUERY, status: NOERROR, id: 57669</w:t>
        <w:t xml:space="preserve"> </w:t>
        <w:t>;; flags: qr rd ra ad; QUERY: 1, ANSWER: 2, AUTHORITY: 0, ADDITIONAL: 1</w:t>
      </w:r>
    </w:p>
    <w:p>
      <w:pPr>
        <w:pStyle w:val="Normal"/>
      </w:pPr>
      <w:r>
        <w:t>;; OPT PSEUDOSECTION:</w:t>
      </w:r>
    </w:p>
    <w:p>
      <w:pPr>
        <w:pStyle w:val="Para 09"/>
      </w:pPr>
      <w:r>
        <w:t>(continues on next page)</w:t>
      </w:r>
    </w:p>
    <w:p>
      <w:pPr>
        <w:pStyle w:val="Para 05"/>
      </w:pPr>
      <w:r>
        <w:rPr>
          <w:rStyle w:val="Text5"/>
        </w:rPr>
        <w:t>776</w:t>
      </w:r>
      <w:r>
        <w:rPr>
          <w:rStyle w:val="Text8"/>
        </w:rPr>
        <w:t xml:space="preserve"> </w:t>
      </w:r>
      <w:r>
        <w:t>https://www.java.com/en/configure_crypto.html</w:t>
      </w:r>
    </w:p>
    <w:p>
      <w:pPr>
        <w:pStyle w:val="Para 05"/>
      </w:pPr>
      <w:r>
        <w:rPr>
          <w:rStyle w:val="Text5"/>
        </w:rPr>
        <w:t>777</w:t>
      </w:r>
      <w:r>
        <w:rPr>
          <w:rStyle w:val="Text8"/>
        </w:rPr>
        <w:t xml:space="preserve"> </w:t>
      </w:r>
      <w:r>
        <w:t>https://docs.oracle.com/en/java/javase/12/docs/specs/security/standard-names.html</w:t>
      </w:r>
    </w:p>
    <w:p>
      <w:pPr>
        <w:pStyle w:val="Para 05"/>
      </w:pPr>
      <w:r>
        <w:rPr>
          <w:rStyle w:val="Text5"/>
        </w:rPr>
        <w:t>778</w:t>
      </w:r>
      <w:r>
        <w:rPr>
          <w:rStyle w:val="Text8"/>
        </w:rPr>
        <w:t xml:space="preserve"> </w:t>
      </w:r>
      <w:r>
        <w:t>https://docs.oracle.com/en/java/javase/11/tools/keytool.html</w:t>
      </w:r>
    </w:p>
    <w:p>
      <w:pPr>
        <w:pStyle w:val="Para 05"/>
      </w:pPr>
      <w:r>
        <w:rPr>
          <w:rStyle w:val="Text5"/>
        </w:rPr>
        <w:t>779</w:t>
      </w:r>
      <w:r>
        <w:rPr>
          <w:rStyle w:val="Text8"/>
        </w:rPr>
        <w:t xml:space="preserve"> </w:t>
      </w:r>
      <w:r>
        <w:t>https://git.launchpad.net/ubuntu/+source/openjdk-lts/tree/src/java.base/share/conf/security/java.</w:t>
      </w:r>
    </w:p>
    <w:p>
      <w:pPr>
        <w:pStyle w:val="Para 16"/>
      </w:pPr>
      <w:r>
        <w:t>security?h=applied/ubuntu/jammy-devel#n520</w:t>
      </w:r>
    </w:p>
    <w:p>
      <w:bookmarkStart w:id="1231" w:name="page_7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6" name="index-781_1.png" descr="index-781_1.png"/>
            <wp:cNvGraphicFramePr>
              <a:graphicFrameLocks noChangeAspect="1"/>
            </wp:cNvGraphicFramePr>
            <a:graphic>
              <a:graphicData uri="http://schemas.openxmlformats.org/drawingml/2006/picture">
                <pic:pic>
                  <pic:nvPicPr>
                    <pic:cNvPr id="0" name="index-781_1.png" descr="index-781_1.png"/>
                    <pic:cNvPicPr/>
                  </pic:nvPicPr>
                  <pic:blipFill>
                    <a:blip r:embed="rId820"/>
                    <a:stretch>
                      <a:fillRect/>
                    </a:stretch>
                  </pic:blipFill>
                  <pic:spPr>
                    <a:xfrm>
                      <a:off x="0" y="0"/>
                      <a:ext cx="914400" cy="266700"/>
                    </a:xfrm>
                    <a:prstGeom prst="rect">
                      <a:avLst/>
                    </a:prstGeom>
                  </pic:spPr>
                </pic:pic>
              </a:graphicData>
            </a:graphic>
          </wp:anchor>
        </w:drawing>
      </w:r>
      <w:bookmarkEnd w:id="1231"/>
    </w:p>
    <w:p>
      <w:pPr>
        <w:pStyle w:val="Para 09"/>
      </w:pPr>
      <w:r>
        <w:t>(continued from previous page)</w:t>
      </w:r>
    </w:p>
    <w:p>
      <w:pPr>
        <w:pStyle w:val="Normal"/>
      </w:pPr>
      <w:r>
        <w:t>; EDNS: version: 0, flags: do; udp: 1232</w:t>
      </w:r>
    </w:p>
    <w:p>
      <w:pPr>
        <w:pStyle w:val="Normal"/>
      </w:pPr>
      <w:r>
        <w:t>; COOKIE: 71aa6b4e4ca6bb4b01000000643fee81edf0840b48d28d44 (good)</w:t>
        <w:t xml:space="preserve"> </w:t>
        <w:t>;; QUESTION SECTION:</w:t>
      </w:r>
    </w:p>
    <w:p>
      <w:pPr>
        <w:pStyle w:val="Normal"/>
      </w:pPr>
      <w:r>
        <w:t>;isc.org.</w:t>
        <w:t xml:space="preserve"> </w:t>
        <w:t>IN A</w:t>
      </w:r>
    </w:p>
    <w:p>
      <w:pPr>
        <w:pStyle w:val="Normal"/>
      </w:pPr>
      <w:r>
        <w:t>;; ANSWER SECTION:</w:t>
      </w:r>
    </w:p>
    <w:p>
      <w:pPr>
        <w:pStyle w:val="Normal"/>
      </w:pPr>
      <w:r>
        <w:t>isc.org.</w:t>
        <w:t xml:space="preserve"> </w:t>
        <w:t>300 IN A 149.20.1.66</w:t>
        <w:t xml:space="preserve"> </w:t>
        <w:t>isc.org.</w:t>
        <w:t xml:space="preserve"> </w:t>
        <w:t>300 IN RRSIG A 13 2 300 (</w:t>
      </w:r>
    </w:p>
    <w:p>
      <w:pPr>
        <w:pStyle w:val="Para 19"/>
      </w:pPr>
      <w:r>
        <w:t>20230510161711 20230410161439 27566 isc.org.</w:t>
      </w:r>
    </w:p>
    <w:p>
      <w:pPr>
        <w:pStyle w:val="Para 19"/>
      </w:pPr>
      <w:r>
        <w:t>EUA5QPEjtVC0scPsvf1c/EIBKHRpS8ektiWiOqk6nb3t</w:t>
      </w:r>
    </w:p>
    <w:p>
      <w:pPr>
        <w:pStyle w:val="Para 19"/>
      </w:pPr>
      <w:r>
        <w:t>JhJAt9uCr3e0KNAcc3WDU+wJzEvqDyJrlZoELqT/pQ== )</w:t>
      </w:r>
    </w:p>
    <w:p>
      <w:pPr>
        <w:pStyle w:val="Normal"/>
      </w:pPr>
      <w:r>
        <w:t>;; Query time: 740 msec</w:t>
      </w:r>
    </w:p>
    <w:p>
      <w:pPr>
        <w:pStyle w:val="Normal"/>
      </w:pPr>
      <w:r>
        <w:t>;; SERVER: 127.0.0.1#53(127.0.0.1) (UDP)</w:t>
      </w:r>
    </w:p>
    <w:p>
      <w:pPr>
        <w:pStyle w:val="Normal"/>
      </w:pPr>
      <w:r>
        <w:t>;; WHEN: Wed Apr 19 13:37:05 UTC 2023</w:t>
      </w:r>
    </w:p>
    <w:p>
      <w:pPr>
        <w:pStyle w:val="Normal"/>
      </w:pPr>
      <w:r>
        <w:t>;; MSG SIZE</w:t>
        <w:t xml:space="preserve"> </w:t>
        <w:t>rcvd: 183</w:t>
      </w:r>
    </w:p>
    <w:p>
      <w:pPr>
        <w:pStyle w:val="Para 17"/>
      </w:pPr>
      <w:r>
        <w:t/>
      </w:r>
    </w:p>
    <w:p>
      <w:pPr>
        <w:pStyle w:val="Normal"/>
      </w:pPr>
      <w:r>
        <w:t>We can see that a RRSIG DNSSEC record was returned, but the important information in this output is the ad flag near the top. That stands for “authenticated data”, and means that the DNSSEC records in the response were validated.</w:t>
      </w:r>
    </w:p>
    <w:p>
      <w:pPr>
        <w:pStyle w:val="Normal"/>
      </w:pPr>
      <w:r>
        <w:t>To see an example where this verification fails, we can use the www.dnssec-failed.org do-main, which is specially crafted for this:</w:t>
      </w:r>
    </w:p>
    <w:p>
      <w:pPr>
        <w:pStyle w:val="Normal"/>
      </w:pPr>
      <w:r>
        <w:t>$ dig @127.0.0.1 www.dnssec-failed.org +dnssec +multiline</w:t>
      </w:r>
    </w:p>
    <w:p>
      <w:pPr>
        <w:pStyle w:val="Normal"/>
      </w:pPr>
      <w:r>
        <w:t>; &lt;&lt;&gt;&gt; DiG 9.18.12-0ubuntu0.22.04.1-Ubuntu &lt;&lt;&gt;&gt; @127.0.0.1 www.dnssec-failed.org +dnssec</w:t>
        <w:t xml:space="preserve"> </w:t>
        <w:t>+multiline</w:t>
      </w:r>
    </w:p>
    <w:p>
      <w:pPr>
        <w:pStyle w:val="Normal"/>
      </w:pPr>
      <w:r>
        <w:t>; (1 server found)</w:t>
      </w:r>
    </w:p>
    <w:p>
      <w:pPr>
        <w:pStyle w:val="Normal"/>
      </w:pPr>
      <w:r>
        <w:t>;; global options: +cmd</w:t>
      </w:r>
    </w:p>
    <w:p>
      <w:pPr>
        <w:pStyle w:val="Normal"/>
      </w:pPr>
      <w:r>
        <w:t>;; Got answer:</w:t>
      </w:r>
    </w:p>
    <w:p>
      <w:pPr>
        <w:pStyle w:val="Normal"/>
      </w:pPr>
      <w:r>
        <w:t>;; -&gt;&gt;HEADER&lt;&lt;- opcode: QUERY, status: SERVFAIL, id: 56056</w:t>
        <w:t xml:space="preserve"> </w:t>
        <w:t>;; flags: qr rd ra; QUERY: 1, ANSWER: 0, AUTHORITY: 0, ADDITIONAL: 1</w:t>
      </w:r>
    </w:p>
    <w:p>
      <w:pPr>
        <w:pStyle w:val="Normal"/>
      </w:pPr>
      <w:r>
        <w:t>;; OPT PSEUDOSECTION:</w:t>
      </w:r>
    </w:p>
    <w:p>
      <w:pPr>
        <w:pStyle w:val="Normal"/>
      </w:pPr>
      <w:r>
        <w:t>; EDNS: version: 0, flags: do; udp: 1232</w:t>
      </w:r>
    </w:p>
    <w:p>
      <w:pPr>
        <w:pStyle w:val="Normal"/>
      </w:pPr>
      <w:r>
        <w:t>; COOKIE: 541f6c66a216acdb01000000643fef9ebb21307fee2ea0e3 (good)</w:t>
        <w:t xml:space="preserve"> </w:t>
        <w:t>;; QUESTION SECTION:</w:t>
      </w:r>
    </w:p>
    <w:p>
      <w:pPr>
        <w:pStyle w:val="Normal"/>
      </w:pPr>
      <w:r>
        <w:t>;www.dnssec-failed.org.</w:t>
        <w:t xml:space="preserve"> </w:t>
        <w:t>IN A</w:t>
      </w:r>
    </w:p>
    <w:p>
      <w:pPr>
        <w:pStyle w:val="Normal"/>
      </w:pPr>
      <w:r>
        <w:t>;; Query time: 1156 msec</w:t>
      </w:r>
    </w:p>
    <w:p>
      <w:pPr>
        <w:pStyle w:val="Normal"/>
      </w:pPr>
      <w:r>
        <w:t>;; SERVER: 127.0.0.1#53(127.0.0.1) (UDP)</w:t>
      </w:r>
    </w:p>
    <w:p>
      <w:pPr>
        <w:pStyle w:val="Normal"/>
      </w:pPr>
      <w:r>
        <w:t>;; WHEN: Wed Apr 19 13:41:50 UTC 2023</w:t>
      </w:r>
    </w:p>
    <w:p>
      <w:pPr>
        <w:pStyle w:val="Normal"/>
      </w:pPr>
      <w:r>
        <w:t>;; MSG SIZE</w:t>
        <w:t xml:space="preserve"> </w:t>
        <w:t>rcvd: 78</w:t>
      </w:r>
    </w:p>
    <w:p>
      <w:pPr>
        <w:pStyle w:val="Para 17"/>
      </w:pPr>
      <w:r>
        <w:t/>
      </w:r>
    </w:p>
    <w:p>
      <w:pPr>
        <w:pStyle w:val="Normal"/>
      </w:pPr>
      <w:r>
        <w:t>Here we see that:</w:t>
      </w:r>
    </w:p>
    <w:p>
      <w:pPr>
        <w:pStyle w:val="Para 04"/>
      </w:pPr>
      <w:r>
        <w:t>• There is no IN A IP address shown in the reply</w:t>
      </w:r>
    </w:p>
    <w:p>
      <w:pPr>
        <w:pStyle w:val="Para 04"/>
      </w:pPr>
      <w:r>
        <w:t>• The status is SERVFAIL</w:t>
      </w:r>
    </w:p>
    <w:p>
      <w:pPr>
        <w:pStyle w:val="Para 04"/>
      </w:pPr>
      <w:r>
        <w:t>• There is no ad flag</w:t>
      </w:r>
    </w:p>
    <w:p>
      <w:pPr>
        <w:pStyle w:val="Normal"/>
      </w:pPr>
      <w:r>
        <w:t>In the bind9 logs, we will see DNSSEC validation errors:</w:t>
      </w:r>
    </w:p>
    <w:p>
      <w:pPr>
        <w:pStyle w:val="Normal"/>
      </w:pPr>
      <w:r>
        <w:t>$ journalctl -u named.service -n 10</w:t>
      </w:r>
    </w:p>
    <w:p>
      <w:pPr>
        <w:pStyle w:val="Para 09"/>
      </w:pPr>
      <w:r>
        <w:t>(continues on next page)</w:t>
      </w:r>
    </w:p>
    <w:p>
      <w:bookmarkStart w:id="1232" w:name="page_7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7" name="index-782_1.png" descr="index-782_1.png"/>
            <wp:cNvGraphicFramePr>
              <a:graphicFrameLocks noChangeAspect="1"/>
            </wp:cNvGraphicFramePr>
            <a:graphic>
              <a:graphicData uri="http://schemas.openxmlformats.org/drawingml/2006/picture">
                <pic:pic>
                  <pic:nvPicPr>
                    <pic:cNvPr id="0" name="index-782_1.png" descr="index-782_1.png"/>
                    <pic:cNvPicPr/>
                  </pic:nvPicPr>
                  <pic:blipFill>
                    <a:blip r:embed="rId821"/>
                    <a:stretch>
                      <a:fillRect/>
                    </a:stretch>
                  </pic:blipFill>
                  <pic:spPr>
                    <a:xfrm>
                      <a:off x="0" y="0"/>
                      <a:ext cx="914400" cy="266700"/>
                    </a:xfrm>
                    <a:prstGeom prst="rect">
                      <a:avLst/>
                    </a:prstGeom>
                  </pic:spPr>
                </pic:pic>
              </a:graphicData>
            </a:graphic>
          </wp:anchor>
        </w:drawing>
      </w:r>
      <w:bookmarkEnd w:id="1232"/>
    </w:p>
    <w:p>
      <w:pPr>
        <w:pStyle w:val="Para 09"/>
      </w:pPr>
      <w:r>
        <w:t>(continued from previous page)</w:t>
      </w:r>
    </w:p>
    <w:p>
      <w:pPr>
        <w:pStyle w:val="Normal"/>
      </w:pPr>
      <w:r>
        <w:t>Apr 19 13:41:50 j named[3018]: validating dnssec-failed.org/DNSKEY: no valid signature</w:t>
        <w:t xml:space="preserve"> </w:t>
        <w:t>found (DS)</w:t>
      </w:r>
    </w:p>
    <w:p>
      <w:pPr>
        <w:pStyle w:val="Normal"/>
      </w:pPr>
      <w:r>
        <w:t>Apr 19 13:41:50 j named[3018]: no valid RRSIG resolving 'dnssec-failed.org/DNSKEY/IN': 68.</w:t>
        <w:t xml:space="preserve"> </w:t>
        <w:t>87.76.228#53</w:t>
      </w:r>
    </w:p>
    <w:p>
      <w:pPr>
        <w:pStyle w:val="Normal"/>
      </w:pPr>
      <w:r>
        <w:t>Apr 19 13:41:50 j named[3018]: broken trust chain resolving 'www.dnssec-failed.org/A/IN':</w:t>
        <w:t xml:space="preserve"> </w:t>
        <w:t>68.87.85.132#53</w:t>
      </w:r>
    </w:p>
    <w:p>
      <w:pPr>
        <w:pStyle w:val="Normal"/>
      </w:pPr>
      <w:r>
        <w:t>(...)</w:t>
      </w:r>
    </w:p>
    <w:p>
      <w:pPr>
        <w:pStyle w:val="Para 17"/>
      </w:pPr>
      <w:r>
        <w:t/>
      </w:r>
    </w:p>
    <w:p>
      <w:pPr>
        <w:pStyle w:val="Normal"/>
      </w:pPr>
      <w:r>
        <w:t>We can run dig with the +cd command line parameter which disables this verification, but notice that still we don’t get the ad flag in the reply:</w:t>
      </w:r>
    </w:p>
    <w:p>
      <w:pPr>
        <w:pStyle w:val="Normal"/>
      </w:pPr>
      <w:r>
        <w:t>$ dig @127.0.0.1 www.dnssec-failed.org +dnssec +multiline +cd</w:t>
      </w:r>
    </w:p>
    <w:p>
      <w:pPr>
        <w:pStyle w:val="Normal"/>
      </w:pPr>
      <w:r>
        <w:t>; &lt;&lt;&gt;&gt; DiG 9.18.12-0ubuntu0.22.04.1-Ubuntu &lt;&lt;&gt;&gt; @127.0.0.1 www.dnssec-failed.org +dnssec</w:t>
        <w:t xml:space="preserve"> </w:t>
        <w:t>+multiline +cd</w:t>
      </w:r>
    </w:p>
    <w:p>
      <w:pPr>
        <w:pStyle w:val="Normal"/>
      </w:pPr>
      <w:r>
        <w:t>; (1 server found)</w:t>
      </w:r>
    </w:p>
    <w:p>
      <w:pPr>
        <w:pStyle w:val="Normal"/>
      </w:pPr>
      <w:r>
        <w:t>;; global options: +cmd</w:t>
      </w:r>
    </w:p>
    <w:p>
      <w:pPr>
        <w:pStyle w:val="Normal"/>
      </w:pPr>
      <w:r>
        <w:t>;; Got answer:</w:t>
      </w:r>
    </w:p>
    <w:p>
      <w:pPr>
        <w:pStyle w:val="Normal"/>
      </w:pPr>
      <w:r>
        <w:t>;; -&gt;&gt;HEADER&lt;&lt;- opcode: QUERY, status: NOERROR, id: 42703</w:t>
        <w:t xml:space="preserve"> </w:t>
        <w:t>;; flags: qr rd ra cd; QUERY: 1, ANSWER: 3, AUTHORITY: 0, ADDITIONAL: 1</w:t>
      </w:r>
    </w:p>
    <w:p>
      <w:pPr>
        <w:pStyle w:val="Normal"/>
      </w:pPr>
      <w:r>
        <w:t>;; OPT PSEUDOSECTION:</w:t>
      </w:r>
    </w:p>
    <w:p>
      <w:pPr>
        <w:pStyle w:val="Normal"/>
      </w:pPr>
      <w:r>
        <w:t>; EDNS: version: 0, flags: do; udp: 1232</w:t>
      </w:r>
    </w:p>
    <w:p>
      <w:pPr>
        <w:pStyle w:val="Normal"/>
      </w:pPr>
      <w:r>
        <w:t>; COOKIE: 3d6a4f4ff0014bdc01000000643ff01c3229ed7d798c5f8d (good)</w:t>
        <w:t xml:space="preserve"> </w:t>
        <w:t>;; QUESTION SECTION:</w:t>
      </w:r>
    </w:p>
    <w:p>
      <w:pPr>
        <w:pStyle w:val="Normal"/>
      </w:pPr>
      <w:r>
        <w:t>;www.dnssec-failed.org.</w:t>
        <w:t xml:space="preserve"> </w:t>
        <w:t>IN A</w:t>
      </w:r>
    </w:p>
    <w:p>
      <w:pPr>
        <w:pStyle w:val="Normal"/>
      </w:pPr>
      <w:r>
        <w:t>;; ANSWER SECTION:</w:t>
      </w:r>
    </w:p>
    <w:p>
      <w:pPr>
        <w:pStyle w:val="Normal"/>
      </w:pPr>
      <w:r>
        <w:t>www.dnssec-failed.org.</w:t>
        <w:t xml:space="preserve"> </w:t>
        <w:t>7031 IN</w:t>
        <w:t xml:space="preserve"> </w:t>
        <w:t>A 68.87.109.242</w:t>
        <w:t xml:space="preserve"> </w:t>
        <w:t>www.dnssec-failed.org.</w:t>
        <w:t xml:space="preserve"> </w:t>
        <w:t>7031 IN</w:t>
        <w:t xml:space="preserve"> </w:t>
        <w:t>A 69.252.193.191</w:t>
        <w:t xml:space="preserve"> </w:t>
        <w:t>www.dnssec-failed.org.</w:t>
        <w:t xml:space="preserve"> </w:t>
        <w:t>7074 IN</w:t>
        <w:t xml:space="preserve"> </w:t>
        <w:t>RRSIG A 5 3 7200 (</w:t>
      </w:r>
    </w:p>
    <w:p>
      <w:pPr>
        <w:pStyle w:val="Para 21"/>
      </w:pPr>
      <w:r>
        <w:t>20230505145108 20230418144608 44973 dnssec-failed.org.</w:t>
        <w:t xml:space="preserve"> </w:t>
        <w:t>R6/u+5Gv3rH93gO8uNvz3sb9ErQNuvFKu6W5rtUleXF/</w:t>
      </w:r>
    </w:p>
    <w:p>
      <w:pPr>
        <w:pStyle w:val="Para 19"/>
      </w:pPr>
      <w:r>
        <w:t>vkqJXbNe8grMuiV6Y+CNEP6jRBu0jOBPncb5cXbfcmfo</w:t>
      </w:r>
    </w:p>
    <w:p>
      <w:pPr>
        <w:pStyle w:val="Para 19"/>
      </w:pPr>
      <w:r>
        <w:t>CoVOjpsLySxt4D1EUl4yByWm2ZAdXRrk6A8SaldIdDv8</w:t>
      </w:r>
    </w:p>
    <w:p>
      <w:pPr>
        <w:pStyle w:val="Para 19"/>
      </w:pPr>
      <w:r>
        <w:t>9t+FguTdQrZv9Si+afKrLyC7L/mltXMllq3stDI= )</w:t>
      </w:r>
    </w:p>
    <w:p>
      <w:pPr>
        <w:pStyle w:val="Normal"/>
      </w:pPr>
      <w:r>
        <w:t>;; Query time: 0 msec</w:t>
      </w:r>
    </w:p>
    <w:p>
      <w:pPr>
        <w:pStyle w:val="Normal"/>
      </w:pPr>
      <w:r>
        <w:t>;; SERVER: 127.0.0.1#53(127.0.0.1) (UDP)</w:t>
      </w:r>
    </w:p>
    <w:p>
      <w:pPr>
        <w:pStyle w:val="Normal"/>
      </w:pPr>
      <w:r>
        <w:t>;; WHEN: Wed Apr 19 13:43:56 UTC 2023</w:t>
      </w:r>
    </w:p>
    <w:p>
      <w:pPr>
        <w:pStyle w:val="Normal"/>
      </w:pPr>
      <w:r>
        <w:t>;; MSG SIZE</w:t>
        <w:t xml:space="preserve"> </w:t>
        <w:t>rcvd: 287</w:t>
      </w:r>
    </w:p>
    <w:p>
      <w:pPr>
        <w:pStyle w:val="Para 17"/>
      </w:pPr>
      <w:r>
        <w:t/>
      </w:r>
    </w:p>
    <w:p>
      <w:pPr>
        <w:pStyle w:val="Para 01"/>
      </w:pPr>
      <w:r>
        <w:t>Restricting DNSSEC algorithms</w:t>
      </w:r>
    </w:p>
    <w:p>
      <w:pPr>
        <w:pStyle w:val="Para 17"/>
      </w:pPr>
      <w:r>
        <w:t/>
      </w:r>
    </w:p>
    <w:p>
      <w:pPr>
        <w:pStyle w:val="Normal"/>
      </w:pPr>
      <w:r>
        <w:t>It’s possible to limit the cryptographic algorithms used by BIND to validate DNSSEC records. This is done via two configuration settings, located inside the options { } block of /etc/ named/named.conf.options:</w:t>
      </w:r>
    </w:p>
    <w:p>
      <w:pPr>
        <w:pStyle w:val="Para 04"/>
      </w:pPr>
      <w:r>
        <w:t>• disable-algorithms "&lt;domain&gt;" { a; b; ... }; Disables the listed algorithms for the</w:t>
      </w:r>
    </w:p>
    <w:p>
      <w:pPr>
        <w:pStyle w:val="Para 02"/>
      </w:pPr>
      <w:r>
        <w:t>specified domain and all subdomains of it.</w:t>
      </w:r>
    </w:p>
    <w:p>
      <w:pPr>
        <w:pStyle w:val="Para 04"/>
      </w:pPr>
      <w:r>
        <w:t>• disable-ds-digests "&lt;domain&gt;" { a; b; ... }; Disables the listed digital signature</w:t>
      </w:r>
    </w:p>
    <w:p>
      <w:pPr>
        <w:pStyle w:val="Para 02"/>
      </w:pPr>
      <w:r>
        <w:t>digests for the specified domain and all subdomains of it.</w:t>
      </w:r>
    </w:p>
    <w:p>
      <w:pPr>
        <w:pStyle w:val="Normal"/>
      </w:pPr>
      <w:r>
        <w:t xml:space="preserve">For example, the following disables RSAMD5, DSA and GOST for all zones: </w:t>
        <w:t>disable-algorithms "." {</w:t>
      </w:r>
    </w:p>
    <w:p>
      <w:bookmarkStart w:id="1233" w:name="page_7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8" name="index-783_1.png" descr="index-783_1.png"/>
            <wp:cNvGraphicFramePr>
              <a:graphicFrameLocks noChangeAspect="1"/>
            </wp:cNvGraphicFramePr>
            <a:graphic>
              <a:graphicData uri="http://schemas.openxmlformats.org/drawingml/2006/picture">
                <pic:pic>
                  <pic:nvPicPr>
                    <pic:cNvPr id="0" name="index-783_1.png" descr="index-783_1.png"/>
                    <pic:cNvPicPr/>
                  </pic:nvPicPr>
                  <pic:blipFill>
                    <a:blip r:embed="rId822"/>
                    <a:stretch>
                      <a:fillRect/>
                    </a:stretch>
                  </pic:blipFill>
                  <pic:spPr>
                    <a:xfrm>
                      <a:off x="0" y="0"/>
                      <a:ext cx="914400" cy="266700"/>
                    </a:xfrm>
                    <a:prstGeom prst="rect">
                      <a:avLst/>
                    </a:prstGeom>
                  </pic:spPr>
                </pic:pic>
              </a:graphicData>
            </a:graphic>
          </wp:anchor>
        </w:drawing>
      </w:r>
      <w:bookmarkEnd w:id="1233"/>
    </w:p>
    <w:p>
      <w:pPr>
        <w:pStyle w:val="Para 02"/>
      </w:pPr>
      <w:r>
        <w:t>RSAMD5;</w:t>
      </w:r>
    </w:p>
    <w:p>
      <w:pPr>
        <w:pStyle w:val="Para 02"/>
      </w:pPr>
      <w:r>
        <w:t>DSA;</w:t>
      </w:r>
    </w:p>
    <w:p>
      <w:pPr>
        <w:pStyle w:val="Normal"/>
      </w:pPr>
      <w:r>
        <w:t>};</w:t>
      </w:r>
    </w:p>
    <w:p>
      <w:pPr>
        <w:pStyle w:val="Normal"/>
      </w:pPr>
      <w:r>
        <w:t>disable-ds-digest "." {</w:t>
      </w:r>
    </w:p>
    <w:p>
      <w:pPr>
        <w:pStyle w:val="Para 02"/>
      </w:pPr>
      <w:r>
        <w:t>GOST;</w:t>
      </w:r>
    </w:p>
    <w:p>
      <w:pPr>
        <w:pStyle w:val="Normal"/>
      </w:pPr>
      <w:r>
        <w:t>};</w:t>
      </w:r>
    </w:p>
    <w:p>
      <w:pPr>
        <w:pStyle w:val="Para 17"/>
      </w:pPr>
      <w:r>
        <w:t/>
      </w:r>
    </w:p>
    <w:p>
      <w:pPr>
        <w:pStyle w:val="Normal"/>
      </w:pPr>
      <w:r>
        <w:t xml:space="preserve">The list of algorithm names can be obtained at </w:t>
      </w:r>
      <w:hyperlink r:id="rId1669">
        <w:r>
          <w:rPr>
            <w:rStyle w:val="Text9"/>
          </w:rPr>
          <w:t>780</w:t>
        </w:r>
      </w:hyperlink>
      <w:hyperlink r:id="rId1669">
        <w:r>
          <w:rPr>
            <w:rStyle w:val="Text1"/>
          </w:rPr>
          <w:t xml:space="preserve"> DNSSEC Algorithm Numbers</w:t>
        </w:r>
      </w:hyperlink>
      <w:r>
        <w:t xml:space="preserve">, in the </w:t>
      </w:r>
      <w:r>
        <w:rPr>
          <w:rStyle w:val="Text0"/>
        </w:rPr>
        <w:t>Mnemonic</w:t>
      </w:r>
      <w:r>
        <w:t xml:space="preserve"> column of the </w:t>
      </w:r>
      <w:r>
        <w:rPr>
          <w:rStyle w:val="Text0"/>
        </w:rPr>
        <w:t>Available Formats</w:t>
      </w:r>
      <w:r>
        <w:t xml:space="preserve"> table. The algorithm number is also standard-ised, and is part of the DNSSEC records.</w:t>
      </w:r>
    </w:p>
    <w:p>
      <w:pPr>
        <w:pStyle w:val="Normal"/>
      </w:pPr>
      <w:r>
        <w:t>For example, if we go back to the dig result from before where we inspected the isc.org domain, the RRSIG record had this (showing just the first line for brevity):</w:t>
      </w:r>
    </w:p>
    <w:p>
      <w:pPr>
        <w:pStyle w:val="Normal"/>
      </w:pPr>
      <w:r>
        <w:t>isc.org.</w:t>
        <w:t xml:space="preserve"> </w:t>
        <w:t>300 IN RRSIG A 13 2 300 (</w:t>
      </w:r>
    </w:p>
    <w:p>
      <w:pPr>
        <w:pStyle w:val="Para 17"/>
      </w:pPr>
      <w:r>
        <w:t/>
      </w:r>
    </w:p>
    <w:p>
      <w:pPr>
        <w:pStyle w:val="Normal"/>
      </w:pPr>
      <w:r>
        <w:t>In that record, the number 13 is the algorithm number, and in this case it means the algorithm ECDSAP256SHA256 was used.</w:t>
      </w:r>
    </w:p>
    <w:p>
      <w:pPr>
        <w:pStyle w:val="Normal"/>
      </w:pPr>
      <w:r>
        <w:t>Just to see how BIND would react to an algorithm being disabled, let’s temporarily add ECD-SAP256SHA256 to the list of disabled algorithms:</w:t>
      </w:r>
    </w:p>
    <w:p>
      <w:pPr>
        <w:pStyle w:val="Normal"/>
      </w:pPr>
      <w:r>
        <w:t>disable-algorithms "." {</w:t>
      </w:r>
    </w:p>
    <w:p>
      <w:pPr>
        <w:pStyle w:val="Para 02"/>
      </w:pPr>
      <w:r>
        <w:t>RSAMD5;</w:t>
      </w:r>
    </w:p>
    <w:p>
      <w:pPr>
        <w:pStyle w:val="Para 02"/>
      </w:pPr>
      <w:r>
        <w:t>DSA;</w:t>
      </w:r>
    </w:p>
    <w:p>
      <w:pPr>
        <w:pStyle w:val="Para 02"/>
      </w:pPr>
      <w:r>
        <w:t>ECDSAP256SHA256;</w:t>
      </w:r>
    </w:p>
    <w:p>
      <w:pPr>
        <w:pStyle w:val="Normal"/>
      </w:pPr>
      <w:r>
        <w:t>};</w:t>
      </w:r>
    </w:p>
    <w:p>
      <w:pPr>
        <w:pStyle w:val="Para 17"/>
      </w:pPr>
      <w:r>
        <w:t/>
      </w:r>
    </w:p>
    <w:p>
      <w:pPr>
        <w:pStyle w:val="Normal"/>
      </w:pPr>
      <w:r>
        <w:t>And restart BIND:</w:t>
      </w:r>
    </w:p>
    <w:p>
      <w:pPr>
        <w:pStyle w:val="Normal"/>
      </w:pPr>
      <w:r>
        <w:t>sudo systemctl restart bind9.service</w:t>
      </w:r>
    </w:p>
    <w:p>
      <w:pPr>
        <w:pStyle w:val="Para 17"/>
      </w:pPr>
      <w:r>
        <w:t/>
      </w:r>
    </w:p>
    <w:p>
      <w:pPr>
        <w:pStyle w:val="Normal"/>
      </w:pPr>
      <w:r>
        <w:t>Now the ad flag is gone, meaning that this answer wasn’t validated:</w:t>
      </w:r>
    </w:p>
    <w:p>
      <w:pPr>
        <w:pStyle w:val="Normal"/>
      </w:pPr>
      <w:r>
        <w:t>$ dig @127.0.0.1 isc.org +dnssec +multiline</w:t>
      </w:r>
    </w:p>
    <w:p>
      <w:pPr>
        <w:pStyle w:val="Normal"/>
      </w:pPr>
      <w:r>
        <w:t>; &lt;&lt;&gt;&gt; DiG 9.18.1-1ubuntu1-Ubuntu &lt;&lt;&gt;&gt; @127.0.0.1 isc.org +dnssec +multiline</w:t>
        <w:t xml:space="preserve"> </w:t>
        <w:t>; (1 server found)</w:t>
      </w:r>
    </w:p>
    <w:p>
      <w:pPr>
        <w:pStyle w:val="Normal"/>
      </w:pPr>
      <w:r>
        <w:t>;; global options: +cmd</w:t>
      </w:r>
    </w:p>
    <w:p>
      <w:pPr>
        <w:pStyle w:val="Normal"/>
      </w:pPr>
      <w:r>
        <w:t>;; Got answer:</w:t>
      </w:r>
    </w:p>
    <w:p>
      <w:pPr>
        <w:pStyle w:val="Normal"/>
      </w:pPr>
      <w:r>
        <w:t>;; -&gt;&gt;HEADER&lt;&lt;- opcode: QUERY, status: NOERROR, id: 43893</w:t>
        <w:t xml:space="preserve"> </w:t>
        <w:t>;; flags: qr rd ra; QUERY: 1, ANSWER: 2, AUTHORITY: 0, ADDITIONAL: 1</w:t>
      </w:r>
    </w:p>
    <w:p>
      <w:pPr>
        <w:pStyle w:val="Normal"/>
      </w:pPr>
      <w:r>
        <w:t>;; OPT PSEUDOSECTION:</w:t>
      </w:r>
    </w:p>
    <w:p>
      <w:pPr>
        <w:pStyle w:val="Normal"/>
      </w:pPr>
      <w:r>
        <w:t>; EDNS: version: 0, flags: do; udp: 1232</w:t>
      </w:r>
    </w:p>
    <w:p>
      <w:pPr>
        <w:pStyle w:val="Normal"/>
      </w:pPr>
      <w:r>
        <w:t>; COOKIE: 6527ce585598025d01000000643ff8fa02418ce38af13fa7 (good)</w:t>
        <w:t xml:space="preserve"> </w:t>
        <w:t>;; QUESTION SECTION:</w:t>
      </w:r>
    </w:p>
    <w:p>
      <w:pPr>
        <w:pStyle w:val="Normal"/>
      </w:pPr>
      <w:r>
        <w:t>;isc.org.</w:t>
        <w:t xml:space="preserve"> </w:t>
        <w:t>IN A</w:t>
      </w:r>
    </w:p>
    <w:p>
      <w:pPr>
        <w:pStyle w:val="Normal"/>
      </w:pPr>
      <w:r>
        <w:t>;; ANSWER SECTION:</w:t>
      </w:r>
    </w:p>
    <w:p>
      <w:pPr>
        <w:pStyle w:val="Normal"/>
      </w:pPr>
      <w:r>
        <w:t>isc.org.</w:t>
        <w:t xml:space="preserve"> </w:t>
        <w:t>300 IN A 149.20.1.66</w:t>
        <w:t xml:space="preserve"> </w:t>
        <w:t>isc.org.</w:t>
        <w:t xml:space="preserve"> </w:t>
        <w:t>300 IN RRSIG A 13 2 300 (</w:t>
      </w:r>
    </w:p>
    <w:p>
      <w:pPr>
        <w:pStyle w:val="Para 19"/>
      </w:pPr>
      <w:r>
        <w:t>20230510161711 20230410161439 27566 isc.org.</w:t>
      </w:r>
    </w:p>
    <w:p>
      <w:pPr>
        <w:pStyle w:val="Para 19"/>
      </w:pPr>
      <w:r>
        <w:t>EUA5QPEjtVC0scPsvf1c/EIBKHRpS8ektiWiOqk6nb3t</w:t>
      </w:r>
    </w:p>
    <w:p>
      <w:pPr>
        <w:pStyle w:val="Para 09"/>
      </w:pPr>
      <w:r>
        <w:t>(continues on next page)</w:t>
      </w:r>
    </w:p>
    <w:p>
      <w:pPr>
        <w:pStyle w:val="Para 05"/>
      </w:pPr>
      <w:r>
        <w:rPr>
          <w:rStyle w:val="Text5"/>
        </w:rPr>
        <w:t>780</w:t>
      </w:r>
      <w:r>
        <w:rPr>
          <w:rStyle w:val="Text8"/>
        </w:rPr>
        <w:t xml:space="preserve"> </w:t>
      </w:r>
      <w:r>
        <w:t>https://www.iana.org/assignments/dns-sec-alg-numbers/dns-sec-alg-numbers.xhtml</w:t>
      </w:r>
    </w:p>
    <w:p>
      <w:bookmarkStart w:id="1234" w:name="page_7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19" name="index-784_1.png" descr="index-784_1.png"/>
            <wp:cNvGraphicFramePr>
              <a:graphicFrameLocks noChangeAspect="1"/>
            </wp:cNvGraphicFramePr>
            <a:graphic>
              <a:graphicData uri="http://schemas.openxmlformats.org/drawingml/2006/picture">
                <pic:pic>
                  <pic:nvPicPr>
                    <pic:cNvPr id="0" name="index-784_1.png" descr="index-784_1.png"/>
                    <pic:cNvPicPr/>
                  </pic:nvPicPr>
                  <pic:blipFill>
                    <a:blip r:embed="rId823"/>
                    <a:stretch>
                      <a:fillRect/>
                    </a:stretch>
                  </pic:blipFill>
                  <pic:spPr>
                    <a:xfrm>
                      <a:off x="0" y="0"/>
                      <a:ext cx="914400" cy="266700"/>
                    </a:xfrm>
                    <a:prstGeom prst="rect">
                      <a:avLst/>
                    </a:prstGeom>
                  </pic:spPr>
                </pic:pic>
              </a:graphicData>
            </a:graphic>
          </wp:anchor>
        </w:drawing>
      </w:r>
      <w:bookmarkEnd w:id="1234"/>
    </w:p>
    <w:p>
      <w:pPr>
        <w:pStyle w:val="Para 09"/>
      </w:pPr>
      <w:r>
        <w:t>(continued from previous page)</w:t>
      </w:r>
    </w:p>
    <w:p>
      <w:pPr>
        <w:pStyle w:val="Para 19"/>
      </w:pPr>
      <w:r>
        <w:t>JhJAt9uCr3e0KNAcc3WDU+wJzEvqDyJrlZoELqT/pQ== )</w:t>
      </w:r>
    </w:p>
    <w:p>
      <w:pPr>
        <w:pStyle w:val="Normal"/>
      </w:pPr>
      <w:r>
        <w:t>;; Query time: 292 msec</w:t>
      </w:r>
    </w:p>
    <w:p>
      <w:pPr>
        <w:pStyle w:val="Normal"/>
      </w:pPr>
      <w:r>
        <w:t>;; SERVER: 127.0.0.1#53(127.0.0.1) (UDP)</w:t>
      </w:r>
    </w:p>
    <w:p>
      <w:pPr>
        <w:pStyle w:val="Normal"/>
      </w:pPr>
      <w:r>
        <w:t>;; WHEN: Wed Apr 19 14:21:46 UTC 2023</w:t>
      </w:r>
    </w:p>
    <w:p>
      <w:pPr>
        <w:pStyle w:val="Normal"/>
      </w:pPr>
      <w:r>
        <w:t>;; MSG SIZE</w:t>
        <w:t xml:space="preserve"> </w:t>
        <w:t>rcvd: 183</w:t>
      </w:r>
    </w:p>
    <w:p>
      <w:pPr>
        <w:pStyle w:val="Para 17"/>
      </w:pPr>
      <w:r>
        <w:t/>
      </w:r>
    </w:p>
    <w:p>
      <w:pPr>
        <w:pStyle w:val="Normal"/>
      </w:pPr>
      <w:r>
        <w:t>The logs only say there was no valid signature found:</w:t>
      </w:r>
    </w:p>
    <w:p>
      <w:pPr>
        <w:pStyle w:val="Normal"/>
      </w:pPr>
      <w:r>
        <w:t>Apr 19 14:23:01 j-bind9 named[2786]: validating isc.org/A: no valid signature found</w:t>
      </w:r>
    </w:p>
    <w:p>
      <w:pPr>
        <w:pStyle w:val="Para 17"/>
      </w:pPr>
      <w:r>
        <w:t/>
      </w:r>
    </w:p>
    <w:p>
      <w:pPr>
        <w:pStyle w:val="Normal"/>
      </w:pPr>
      <w:r>
        <w:t>Note this is different from rejecting the response: it just means that this response is being treated as if it didn’t have any DNSSEC components in it, or in other words, it’s treated as “insecure”.</w:t>
      </w:r>
    </w:p>
    <w:p>
      <w:pPr>
        <w:pStyle w:val="Normal"/>
      </w:pPr>
      <w:r>
        <w:t>In general, as always with cryptography, be careful with which algorithms you decide to dis-able and remove from DNSSEC validation, as such errors can be hard to diagnose. To help with troubleshooting, the Internet Systems Consortium (ISC) has published a very extensive DNSSEC guide, which contains a detailed troubleshooting section (see below).</w:t>
      </w:r>
    </w:p>
    <w:p>
      <w:pPr>
        <w:pStyle w:val="Para 08"/>
      </w:pPr>
      <w:r>
        <w:t>Note:</w:t>
      </w:r>
    </w:p>
    <w:p>
      <w:pPr>
        <w:pStyle w:val="Para 03"/>
      </w:pPr>
      <w:r>
        <w:t>Remember now to remove the disabling of ECDSAP256SHA256 from /etc/bind/named.conf.</w:t>
      </w:r>
    </w:p>
    <w:p>
      <w:pPr>
        <w:pStyle w:val="Para 03"/>
      </w:pPr>
      <w:r>
        <w:t>options and restart BIND 9. This change was just a quick test!</w:t>
      </w:r>
    </w:p>
    <w:p>
      <w:pPr>
        <w:pStyle w:val="Para 17"/>
      </w:pPr>
      <w:r>
        <w:t/>
      </w:r>
    </w:p>
    <w:p>
      <w:pPr>
        <w:pStyle w:val="Para 01"/>
      </w:pPr>
      <w:r>
        <w:t>References</w:t>
      </w:r>
    </w:p>
    <w:p>
      <w:pPr>
        <w:pStyle w:val="Para 17"/>
      </w:pPr>
      <w:r>
        <w:t/>
      </w:r>
    </w:p>
    <w:p>
      <w:pPr>
        <w:pStyle w:val="Para 13"/>
      </w:pPr>
      <w:r>
        <w:rPr>
          <w:rStyle w:val="Text7"/>
        </w:rPr>
        <w:t xml:space="preserve">• </w:t>
      </w:r>
      <w:hyperlink w:anchor="page_784">
        <w:r>
          <w:rPr>
            <w:rStyle w:val="Text10"/>
          </w:rPr>
          <w:t>781</w:t>
        </w:r>
      </w:hyperlink>
      <w:r>
        <w:rPr>
          <w:rStyle w:val="Text7"/>
        </w:rPr>
        <w:t xml:space="preserve"> </w:t>
      </w:r>
      <w:hyperlink r:id="rId1670">
        <w:r>
          <w:t>ISC DNSSEC Guide</w:t>
        </w:r>
      </w:hyperlink>
    </w:p>
    <w:p>
      <w:pPr>
        <w:pStyle w:val="Para 13"/>
      </w:pPr>
      <w:r>
        <w:rPr>
          <w:rStyle w:val="Text7"/>
        </w:rPr>
        <w:t xml:space="preserve">• </w:t>
      </w:r>
      <w:hyperlink w:anchor="page_784">
        <w:r>
          <w:rPr>
            <w:rStyle w:val="Text10"/>
          </w:rPr>
          <w:t>782</w:t>
        </w:r>
      </w:hyperlink>
      <w:r>
        <w:rPr>
          <w:rStyle w:val="Text7"/>
        </w:rPr>
        <w:t xml:space="preserve"> </w:t>
      </w:r>
      <w:hyperlink r:id="rId1671">
        <w:r>
          <w:t>DNSSEC troubleshooting section of the ISC DNSSEC guide</w:t>
        </w:r>
      </w:hyperlink>
    </w:p>
    <w:p>
      <w:pPr>
        <w:pStyle w:val="Para 13"/>
      </w:pPr>
      <w:r>
        <w:rPr>
          <w:rStyle w:val="Text7"/>
        </w:rPr>
        <w:t xml:space="preserve">• </w:t>
      </w:r>
      <w:hyperlink w:anchor="page_784">
        <w:r>
          <w:rPr>
            <w:rStyle w:val="Text10"/>
          </w:rPr>
          <w:t>783</w:t>
        </w:r>
      </w:hyperlink>
      <w:r>
        <w:rPr>
          <w:rStyle w:val="Text7"/>
        </w:rPr>
        <w:t xml:space="preserve"> </w:t>
      </w:r>
      <w:hyperlink r:id="rId1669">
        <w:r>
          <w:t>Standard algorithms used for DNSSEC</w:t>
        </w:r>
      </w:hyperlink>
    </w:p>
    <w:p>
      <w:pPr>
        <w:pStyle w:val="Para 17"/>
      </w:pPr>
      <w:r>
        <w:t/>
      </w:r>
    </w:p>
    <w:p>
      <w:pPr>
        <w:pStyle w:val="Para 01"/>
      </w:pPr>
      <w:r>
        <w:t>OpenSSH crypto configuration</w:t>
      </w:r>
    </w:p>
    <w:p>
      <w:pPr>
        <w:pStyle w:val="Para 17"/>
      </w:pPr>
      <w:r>
        <w:t/>
      </w:r>
    </w:p>
    <w:p>
      <w:pPr>
        <w:pStyle w:val="Normal"/>
      </w:pPr>
      <w:r>
        <w:t>Establishing an SSH connection to a remote service involves multiple stages. Each one of these stages will use some form of encryption, and there are configuration settings that con-trol which cryptographic algorithms can be used at each step.</w:t>
      </w:r>
    </w:p>
    <w:p>
      <w:pPr>
        <w:pStyle w:val="Normal"/>
      </w:pPr>
      <w:r>
        <w:t>The default selection of algorithms for each stage should be good enough for the majority of deployment scenarios. Sometimes, however, a compliance rule, or a set of legacy servers, or something else, requires a change in this selection. Perhaps a legacy system or piece of hardware that is still in production is not compatible with the current encryption schemes and requires legacy algorithms to be enabled again. Or a compliance rule that isn’t up-to-date with the current crypto standards doesn’t allow a more advanced cipher.</w:t>
      </w:r>
    </w:p>
    <w:p>
      <w:pPr>
        <w:pStyle w:val="Para 05"/>
      </w:pPr>
      <w:r>
        <w:rPr>
          <w:rStyle w:val="Text5"/>
        </w:rPr>
        <w:t>781</w:t>
      </w:r>
      <w:r>
        <w:rPr>
          <w:rStyle w:val="Text8"/>
        </w:rPr>
        <w:t xml:space="preserve"> </w:t>
      </w:r>
      <w:r>
        <w:t>https://bind9.readthedocs.io/en/v9.18.14/dnssec-guide.html</w:t>
      </w:r>
    </w:p>
    <w:p>
      <w:pPr>
        <w:pStyle w:val="Para 05"/>
      </w:pPr>
      <w:r>
        <w:rPr>
          <w:rStyle w:val="Text5"/>
        </w:rPr>
        <w:t>782</w:t>
      </w:r>
      <w:r>
        <w:rPr>
          <w:rStyle w:val="Text8"/>
        </w:rPr>
        <w:t xml:space="preserve"> </w:t>
      </w:r>
      <w:r>
        <w:t>https://bind9.readthedocs.io/en/v9.18.14/dnssec-guide.html#basic-dnssec-troubleshooting</w:t>
      </w:r>
    </w:p>
    <w:p>
      <w:pPr>
        <w:pStyle w:val="Para 05"/>
      </w:pPr>
      <w:r>
        <w:rPr>
          <w:rStyle w:val="Text5"/>
        </w:rPr>
        <w:t>783</w:t>
      </w:r>
      <w:r>
        <w:rPr>
          <w:rStyle w:val="Text8"/>
        </w:rPr>
        <w:t xml:space="preserve"> </w:t>
      </w:r>
      <w:r>
        <w:t>https://www.iana.org/assignments/dns-sec-alg-numbers/dns-sec-alg-numbers.xhtml</w:t>
      </w:r>
    </w:p>
    <w:p>
      <w:bookmarkStart w:id="1235" w:name="page_7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0" name="index-785_1.png" descr="index-785_1.png"/>
            <wp:cNvGraphicFramePr>
              <a:graphicFrameLocks noChangeAspect="1"/>
            </wp:cNvGraphicFramePr>
            <a:graphic>
              <a:graphicData uri="http://schemas.openxmlformats.org/drawingml/2006/picture">
                <pic:pic>
                  <pic:nvPicPr>
                    <pic:cNvPr id="0" name="index-785_1.png" descr="index-785_1.png"/>
                    <pic:cNvPicPr/>
                  </pic:nvPicPr>
                  <pic:blipFill>
                    <a:blip r:embed="rId824"/>
                    <a:stretch>
                      <a:fillRect/>
                    </a:stretch>
                  </pic:blipFill>
                  <pic:spPr>
                    <a:xfrm>
                      <a:off x="0" y="0"/>
                      <a:ext cx="914400" cy="266700"/>
                    </a:xfrm>
                    <a:prstGeom prst="rect">
                      <a:avLst/>
                    </a:prstGeom>
                  </pic:spPr>
                </pic:pic>
              </a:graphicData>
            </a:graphic>
          </wp:anchor>
        </w:drawing>
      </w:r>
      <w:bookmarkEnd w:id="1235"/>
    </w:p>
    <w:p>
      <w:pPr>
        <w:pStyle w:val="Para 08"/>
      </w:pPr>
      <w:r>
        <w:t>Warning:</w:t>
      </w:r>
    </w:p>
    <w:p>
      <w:pPr>
        <w:pStyle w:val="Para 17"/>
      </w:pPr>
      <w:r>
        <w:t/>
      </w:r>
    </w:p>
    <w:p>
      <w:pPr>
        <w:pStyle w:val="Para 03"/>
      </w:pPr>
      <w:r>
        <w:t>Be careful when restricting cryptographic algorithms in SSH, specially on the server side.</w:t>
      </w:r>
    </w:p>
    <w:p>
      <w:pPr>
        <w:pStyle w:val="Para 03"/>
      </w:pPr>
      <w:r>
        <w:t>You can inadvertently lock yourself out of a remote system!</w:t>
      </w:r>
    </w:p>
    <w:p>
      <w:pPr>
        <w:pStyle w:val="Para 17"/>
      </w:pPr>
      <w:r>
        <w:t/>
      </w:r>
    </w:p>
    <w:p>
      <w:pPr>
        <w:pStyle w:val="Para 01"/>
      </w:pPr>
      <w:r>
        <w:t>Algorithm configuration general rules</w:t>
      </w:r>
    </w:p>
    <w:p>
      <w:pPr>
        <w:pStyle w:val="Para 17"/>
      </w:pPr>
      <w:r>
        <w:t/>
      </w:r>
    </w:p>
    <w:p>
      <w:pPr>
        <w:pStyle w:val="Normal"/>
      </w:pPr>
      <w:r>
        <w:t xml:space="preserve">Most of the configuration options that take a list of cryptographic algorithms follow a de-fined set of rules. The first algorithm in the list (that the </w:t>
      </w:r>
      <w:r>
        <w:rPr>
          <w:rStyle w:val="Text0"/>
        </w:rPr>
        <w:t>client</w:t>
      </w:r>
      <w:r>
        <w:t xml:space="preserve"> offers to the server) that matches an offer from the server, is what will be selected. The rules are as follows:</w:t>
      </w:r>
    </w:p>
    <w:p>
      <w:pPr>
        <w:pStyle w:val="Para 04"/>
      </w:pPr>
      <w:r>
        <w:t>• The lists are algorithm names separated by commas. For example, Ciphers aes128-</w:t>
      </w:r>
    </w:p>
    <w:p>
      <w:pPr>
        <w:pStyle w:val="Para 02"/>
      </w:pPr>
      <w:r>
        <w:t>gcm@openssh.com,aes256-gcm@openssh.com will replace the current set of ciphers with the two named algorithms.</w:t>
      </w:r>
    </w:p>
    <w:p>
      <w:pPr>
        <w:pStyle w:val="Para 04"/>
      </w:pPr>
      <w:r>
        <w:t>• Instead of specifying the full list, which will replace the existing default one, some ma-</w:t>
      </w:r>
    </w:p>
    <w:p>
      <w:pPr>
        <w:pStyle w:val="Para 02"/>
      </w:pPr>
      <w:r>
        <w:t>nipulations are allowed. If the list starts with:</w:t>
      </w:r>
    </w:p>
    <w:p>
      <w:pPr>
        <w:pStyle w:val="Para 06"/>
      </w:pPr>
      <w:r>
        <w:rPr>
          <w:rStyle w:val="Text0"/>
        </w:rPr>
        <w:t>– +</w:t>
      </w:r>
      <w:r>
        <w:t xml:space="preserve"> The specified algorithm(s) will be appended to the end of the default set. For</w:t>
      </w:r>
    </w:p>
    <w:p>
      <w:pPr>
        <w:pStyle w:val="Para 11"/>
      </w:pPr>
      <w:r>
        <w:t xml:space="preserve">example, MACs +hmac-sha2-512,hmac-sha2-256 will append </w:t>
      </w:r>
      <w:r>
        <w:rPr>
          <w:rStyle w:val="Text3"/>
        </w:rPr>
        <w:t>both</w:t>
      </w:r>
      <w:r>
        <w:t xml:space="preserve"> Message Authen-tication Code (MAC) algorithms to the end of the current set.</w:t>
      </w:r>
    </w:p>
    <w:p>
      <w:pPr>
        <w:pStyle w:val="Para 06"/>
      </w:pPr>
      <w:r>
        <w:rPr>
          <w:rStyle w:val="Text0"/>
        </w:rPr>
        <w:t>–-</w:t>
      </w:r>
      <w:r>
        <w:t>The specified algorithm(s) will be removed from the default set. For example,</w:t>
      </w:r>
    </w:p>
    <w:p>
      <w:pPr>
        <w:pStyle w:val="Para 11"/>
      </w:pPr>
      <w:r>
        <w:t xml:space="preserve">KexAlgorithms -diffie-hellman-group1-sha1,diffie-hellman-group14-sha1 will remove </w:t>
      </w:r>
      <w:r>
        <w:rPr>
          <w:rStyle w:val="Text3"/>
        </w:rPr>
        <w:t>both</w:t>
      </w:r>
      <w:r>
        <w:t xml:space="preserve"> key exchange algorithms from the current set.</w:t>
      </w:r>
    </w:p>
    <w:p>
      <w:pPr>
        <w:pStyle w:val="Para 06"/>
      </w:pPr>
      <w:r>
        <w:rPr>
          <w:rStyle w:val="Text0"/>
        </w:rPr>
        <w:t>– ^</w:t>
      </w:r>
      <w:r>
        <w:t xml:space="preserve"> The specified ciphers will be placed at the beginning of the default set. For ex-</w:t>
      </w:r>
    </w:p>
    <w:p>
      <w:pPr>
        <w:pStyle w:val="Para 11"/>
      </w:pPr>
      <w:r>
        <w:t xml:space="preserve">ample, PubkeyAcceptedAlgorithms ^ssh-ed25519,ecdsa-sha2-nistp256 will move </w:t>
      </w:r>
      <w:r>
        <w:rPr>
          <w:rStyle w:val="Text3"/>
        </w:rPr>
        <w:t>both</w:t>
      </w:r>
      <w:r>
        <w:t xml:space="preserve"> signature algorithms to the start of the set.</w:t>
      </w:r>
    </w:p>
    <w:p>
      <w:pPr>
        <w:pStyle w:val="Para 06"/>
      </w:pPr>
      <w:r>
        <w:rPr>
          <w:rStyle w:val="Text0"/>
        </w:rPr>
        <w:t>–</w:t>
      </w:r>
      <w:r>
        <w:t xml:space="preserve"> Wildcards (</w:t>
      </w:r>
      <w:r>
        <w:rPr>
          <w:rStyle w:val="Text0"/>
        </w:rPr>
        <w:t>*</w:t>
      </w:r>
      <w:r>
        <w:t>) are also allowed, but be careful to not inadvertently include or ex-</w:t>
      </w:r>
    </w:p>
    <w:p>
      <w:pPr>
        <w:pStyle w:val="Para 11"/>
      </w:pPr>
      <w:r>
        <w:t>clude something that wasn’t intended.</w:t>
      </w:r>
    </w:p>
    <w:p>
      <w:pPr>
        <w:pStyle w:val="Normal"/>
      </w:pPr>
      <w:r>
        <w:t>With rare exceptions, the list of algorithms can be queried by running ssh -Q &lt;config&gt;, where &lt;config&gt; is the configuration setting name. For example, ssh -Q ciphers will show the avail-able list of ciphers.</w:t>
      </w:r>
    </w:p>
    <w:p>
      <w:pPr>
        <w:pStyle w:val="Para 17"/>
      </w:pPr>
      <w:r>
        <w:t/>
      </w:r>
    </w:p>
    <w:p>
      <w:pPr>
        <w:pStyle w:val="Para 08"/>
      </w:pPr>
      <w:r>
        <w:t>Note:</w:t>
      </w:r>
    </w:p>
    <w:p>
      <w:pPr>
        <w:pStyle w:val="Para 03"/>
      </w:pPr>
      <w:r>
        <w:t>The output of the ssh -Q &lt;name&gt; command will not take into consideration the configu-</w:t>
      </w:r>
    </w:p>
    <w:p>
      <w:pPr>
        <w:pStyle w:val="Para 03"/>
      </w:pPr>
      <w:r>
        <w:t>ration changes that may have been made. It cannot therefore be used to test the crypto</w:t>
      </w:r>
    </w:p>
    <w:p>
      <w:pPr>
        <w:pStyle w:val="Para 03"/>
      </w:pPr>
      <w:r>
        <w:t>configuration changes.</w:t>
      </w:r>
    </w:p>
    <w:p>
      <w:bookmarkStart w:id="1236" w:name="calibre_pb_225"/>
      <w:pPr>
        <w:pStyle w:val="0 Block"/>
      </w:pPr>
      <w:bookmarkEnd w:id="1236"/>
    </w:p>
    <w:p>
      <w:bookmarkStart w:id="1237" w:name="page_786"/>
      <w:bookmarkStart w:id="1238" w:name="Top_of_index_split_22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1" name="index-786_1.png" descr="index-786_1.png"/>
            <wp:cNvGraphicFramePr>
              <a:graphicFrameLocks noChangeAspect="1"/>
            </wp:cNvGraphicFramePr>
            <a:graphic>
              <a:graphicData uri="http://schemas.openxmlformats.org/drawingml/2006/picture">
                <pic:pic>
                  <pic:nvPicPr>
                    <pic:cNvPr id="0" name="index-786_1.png" descr="index-786_1.png"/>
                    <pic:cNvPicPr/>
                  </pic:nvPicPr>
                  <pic:blipFill>
                    <a:blip r:embed="rId825"/>
                    <a:stretch>
                      <a:fillRect/>
                    </a:stretch>
                  </pic:blipFill>
                  <pic:spPr>
                    <a:xfrm>
                      <a:off x="0" y="0"/>
                      <a:ext cx="914400" cy="266700"/>
                    </a:xfrm>
                    <a:prstGeom prst="rect">
                      <a:avLst/>
                    </a:prstGeom>
                  </pic:spPr>
                </pic:pic>
              </a:graphicData>
            </a:graphic>
          </wp:anchor>
        </w:drawing>
      </w:r>
      <w:bookmarkEnd w:id="1237"/>
      <w:bookmarkEnd w:id="1238"/>
    </w:p>
    <w:p>
      <w:pPr>
        <w:pStyle w:val="Para 01"/>
      </w:pPr>
      <w:r>
        <w:t>Configuration settings</w:t>
      </w:r>
    </w:p>
    <w:p>
      <w:pPr>
        <w:pStyle w:val="Para 17"/>
      </w:pPr>
      <w:r>
        <w:t/>
      </w:r>
    </w:p>
    <w:p>
      <w:pPr>
        <w:pStyle w:val="Normal"/>
      </w:pPr>
      <w:r>
        <w:t>It’s not the goal of this documentation to repeat the excellent upstream documentation (see the References section at the end of this page). Instead, we will show the configuration op-tions, and some examples of how to use them.</w:t>
      </w:r>
    </w:p>
    <w:p>
      <w:pPr>
        <w:pStyle w:val="Normal"/>
      </w:pPr>
      <w:r>
        <w:t>Here are the configuration settings that control the cryptographic algorithms selection. Un-less otherwise noted, they apply to both the server and the client.</w:t>
      </w:r>
    </w:p>
    <w:p>
      <w:pPr>
        <w:pStyle w:val="Para 04"/>
      </w:pPr>
      <w:r>
        <w:t>• Ciphers List of symmetric ciphers. Examples include aes256-ctr and chacha20-</w:t>
      </w:r>
    </w:p>
    <w:p>
      <w:pPr>
        <w:pStyle w:val="Para 02"/>
      </w:pPr>
      <w:r>
        <w:t>poly1305@openssh.com.</w:t>
      </w:r>
    </w:p>
    <w:p>
      <w:pPr>
        <w:pStyle w:val="Para 04"/>
      </w:pPr>
      <w:r>
        <w:t>• MACs List of Message Authentication Code algorithms, used for data integrity protec-</w:t>
      </w:r>
    </w:p>
    <w:p>
      <w:pPr>
        <w:pStyle w:val="Para 02"/>
      </w:pPr>
      <w:r>
        <w:t>tion. The-etm versions calculate the MAC after encryption and are considered safer. Examples include hmac-sha2-256 and hmac-sha2-512-etm@openssh.com.</w:t>
      </w:r>
    </w:p>
    <w:p>
      <w:pPr>
        <w:pStyle w:val="Para 04"/>
      </w:pPr>
      <w:r>
        <w:t xml:space="preserve">• GSSAPIKexAlgorithms This option is not available in OpenSSH upstream, and is </w:t>
      </w:r>
      <w:hyperlink r:id="rId1672">
        <w:r>
          <w:rPr>
            <w:rStyle w:val="Text1"/>
          </w:rPr>
          <w:t>provided</w:t>
        </w:r>
      </w:hyperlink>
    </w:p>
    <w:p>
      <w:pPr>
        <w:pStyle w:val="Para 02"/>
      </w:pPr>
      <w:hyperlink r:id="rId1672">
        <w:r>
          <w:rPr>
            <w:rStyle w:val="Text1"/>
          </w:rPr>
          <w:t>via a patch</w:t>
        </w:r>
      </w:hyperlink>
      <w:hyperlink r:id="rId1672">
        <w:r>
          <w:rPr>
            <w:rStyle w:val="Text9"/>
          </w:rPr>
          <w:t>784</w:t>
        </w:r>
      </w:hyperlink>
      <w:r>
        <w:t xml:space="preserve"> that Ubuntu and many other Linux Distributions carry. It lists the key</w:t>
      </w:r>
    </w:p>
    <w:p>
      <w:pPr>
        <w:pStyle w:val="Para 02"/>
      </w:pPr>
      <w:r>
        <w:t xml:space="preserve">exchange (kex) algorithms that are offered for </w:t>
      </w:r>
      <w:hyperlink w:anchor="page_687">
        <w:r>
          <w:rPr>
            <w:rStyle w:val="Text2"/>
          </w:rPr>
          <w:t>Generic Security Services Application Pro-</w:t>
        </w:r>
      </w:hyperlink>
    </w:p>
    <w:p>
      <w:pPr>
        <w:pStyle w:val="Para 02"/>
      </w:pPr>
      <w:hyperlink w:anchor="page_687">
        <w:r>
          <w:rPr>
            <w:rStyle w:val="Text2"/>
          </w:rPr>
          <w:t>gram Interface (GSSAPI)</w:t>
        </w:r>
      </w:hyperlink>
      <w:r>
        <w:t xml:space="preserve"> key exchange, and only applies to connections using GSSAPI. Examples include gss-gex-sha1-and gss-group14-sha256-.</w:t>
      </w:r>
    </w:p>
    <w:p>
      <w:pPr>
        <w:pStyle w:val="Para 04"/>
      </w:pPr>
      <w:r>
        <w:t xml:space="preserve">• KexAlgorithms List of available key exchange (kex) algorithms. </w:t>
        <w:t>Examples include</w:t>
      </w:r>
    </w:p>
    <w:p>
      <w:pPr>
        <w:pStyle w:val="Para 02"/>
      </w:pPr>
      <w:r>
        <w:t>curve25519-sha256 and sntrup761x25519-sha512@openssh.com.</w:t>
      </w:r>
    </w:p>
    <w:p>
      <w:pPr>
        <w:pStyle w:val="Para 04"/>
      </w:pPr>
      <w:r>
        <w:t xml:space="preserve">• HostKeyAlgorithms This is a </w:t>
      </w:r>
      <w:r>
        <w:rPr>
          <w:rStyle w:val="Text0"/>
        </w:rPr>
        <w:t>server-only</w:t>
      </w:r>
      <w:r>
        <w:t xml:space="preserve"> configuration option. It lists the available host</w:t>
      </w:r>
    </w:p>
    <w:p>
      <w:pPr>
        <w:pStyle w:val="Para 02"/>
      </w:pPr>
      <w:r>
        <w:t>key signature algorithms that the server offers. Examples include ssh-ed25519-cert-v01@openssh.com and ecdsa-sha2-nistp521-cert-v01@openssh.com.</w:t>
      </w:r>
    </w:p>
    <w:p>
      <w:pPr>
        <w:pStyle w:val="Para 04"/>
      </w:pPr>
      <w:r>
        <w:t>• PubkeyAcceptedAlgorithms List of signature algorithms that will be accepted for pub-</w:t>
      </w:r>
    </w:p>
    <w:p>
      <w:pPr>
        <w:pStyle w:val="Para 02"/>
      </w:pPr>
      <w:r>
        <w:t>lic key authentication. Examples include ssh-ed25519-cert-v01@openssh.com and rsa-sha2-512-cert-v01@openssh.com.</w:t>
      </w:r>
    </w:p>
    <w:p>
      <w:pPr>
        <w:pStyle w:val="Para 04"/>
      </w:pPr>
      <w:r>
        <w:t>• CASignatureAlgorithms List of algorithms that certificate authorities (CAs) are allowed</w:t>
      </w:r>
    </w:p>
    <w:p>
      <w:pPr>
        <w:pStyle w:val="Para 02"/>
      </w:pPr>
      <w:r>
        <w:t>to use to sign certificates. Certificates signed using any other algorithm will not be accepted for public key or host-based authentication. Examples include ssh-ed25519 and ecdsa-sha2-nistp384.</w:t>
      </w:r>
    </w:p>
    <w:p>
      <w:pPr>
        <w:pStyle w:val="Normal"/>
      </w:pPr>
      <w:r>
        <w:t>To check what effect a configuration change has on the server, it’s helpful to use the-T pa-rameter and grep the output for the configuration key you want to inspect. For example, to check the current value of the Ciphers configuration setting after having set Ciphers ^3des-cbc in sshd_config:</w:t>
      </w:r>
    </w:p>
    <w:p>
      <w:pPr>
        <w:pStyle w:val="Normal"/>
      </w:pPr>
      <w:r>
        <w:t>$ sudo sshd -T | grep ciphers</w:t>
      </w:r>
    </w:p>
    <w:p>
      <w:pPr>
        <w:pStyle w:val="Normal"/>
      </w:pPr>
      <w:r>
        <w:t>ciphers chacha20-poly1305@openssh.com,aes128-gcm@openssh.com,aes256-gcm@openssh.com,</w:t>
        <w:t xml:space="preserve"> </w:t>
        <w:t>aes128-ctr,aes192-ctr,aes256-ctr</w:t>
      </w:r>
    </w:p>
    <w:p>
      <w:pPr>
        <w:pStyle w:val="Para 17"/>
      </w:pPr>
      <w:r>
        <w:t/>
      </w:r>
    </w:p>
    <w:p>
      <w:pPr>
        <w:pStyle w:val="Normal"/>
      </w:pPr>
      <w:r>
        <w:t>The output will include changes made to the configuration key. There is no need to restart the service.</w:t>
      </w:r>
    </w:p>
    <w:p>
      <w:pPr>
        <w:pStyle w:val="Para 05"/>
      </w:pPr>
      <w:r>
        <w:rPr>
          <w:rStyle w:val="Text5"/>
        </w:rPr>
        <w:t>784</w:t>
      </w:r>
      <w:r>
        <w:rPr>
          <w:rStyle w:val="Text8"/>
        </w:rPr>
        <w:t xml:space="preserve"> </w:t>
      </w:r>
      <w:r>
        <w:t>https://git.launchpad.net/ubuntu/+source/openssh/tree/debian/patches/gssapi.patch</w:t>
      </w:r>
    </w:p>
    <w:p>
      <w:bookmarkStart w:id="1239" w:name="calibre_pb_226"/>
      <w:pPr>
        <w:pStyle w:val="0 Block"/>
      </w:pPr>
      <w:bookmarkEnd w:id="1239"/>
    </w:p>
    <w:p>
      <w:bookmarkStart w:id="1240" w:name="page_787"/>
      <w:bookmarkStart w:id="1241" w:name="Top_of_index_split_22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2" name="index-787_1.png" descr="index-787_1.png"/>
            <wp:cNvGraphicFramePr>
              <a:graphicFrameLocks noChangeAspect="1"/>
            </wp:cNvGraphicFramePr>
            <a:graphic>
              <a:graphicData uri="http://schemas.openxmlformats.org/drawingml/2006/picture">
                <pic:pic>
                  <pic:nvPicPr>
                    <pic:cNvPr id="0" name="index-787_1.png" descr="index-787_1.png"/>
                    <pic:cNvPicPr/>
                  </pic:nvPicPr>
                  <pic:blipFill>
                    <a:blip r:embed="rId826"/>
                    <a:stretch>
                      <a:fillRect/>
                    </a:stretch>
                  </pic:blipFill>
                  <pic:spPr>
                    <a:xfrm>
                      <a:off x="0" y="0"/>
                      <a:ext cx="914400" cy="266700"/>
                    </a:xfrm>
                    <a:prstGeom prst="rect">
                      <a:avLst/>
                    </a:prstGeom>
                  </pic:spPr>
                </pic:pic>
              </a:graphicData>
            </a:graphic>
          </wp:anchor>
        </w:drawing>
      </w:r>
      <w:bookmarkEnd w:id="1240"/>
      <w:bookmarkEnd w:id="1241"/>
    </w:p>
    <w:p>
      <w:pPr>
        <w:pStyle w:val="Para 01"/>
      </w:pPr>
      <w:r>
        <w:t>OpenSSH examples</w:t>
      </w:r>
    </w:p>
    <w:p>
      <w:pPr>
        <w:pStyle w:val="Para 17"/>
      </w:pPr>
      <w:r>
        <w:t/>
      </w:r>
    </w:p>
    <w:p>
      <w:pPr>
        <w:pStyle w:val="Normal"/>
      </w:pPr>
      <w:r>
        <w:t>Here are some examples of how the cryptographic algorithms can be selected in OpenSSH.</w:t>
      </w:r>
    </w:p>
    <w:p>
      <w:pPr>
        <w:pStyle w:val="Para 17"/>
      </w:pPr>
      <w:r>
        <w:t/>
      </w:r>
    </w:p>
    <w:p>
      <w:pPr>
        <w:pStyle w:val="Para 01"/>
      </w:pPr>
      <w:r>
        <w:t>Which cipher was used?</w:t>
      </w:r>
    </w:p>
    <w:p>
      <w:pPr>
        <w:pStyle w:val="Para 17"/>
      </w:pPr>
      <w:r>
        <w:t/>
      </w:r>
    </w:p>
    <w:p>
      <w:pPr>
        <w:pStyle w:val="Normal"/>
      </w:pPr>
      <w:r>
        <w:t>One way to examine which algorithm was selected is to add the-v parameter to the ssh client.</w:t>
      </w:r>
    </w:p>
    <w:p>
      <w:pPr>
        <w:pStyle w:val="Normal"/>
      </w:pPr>
      <w:r>
        <w:t>For example, assuming password-less public key authentication is being used (so no password prompt), we can use this command to initiate the connection and exit right away:</w:t>
      </w:r>
    </w:p>
    <w:p>
      <w:pPr>
        <w:pStyle w:val="Normal"/>
      </w:pPr>
      <w:r>
        <w:t>$ ssh -v &lt;server&gt;</w:t>
        <w:t xml:space="preserve"> </w:t>
        <w:t>exit</w:t>
        <w:t xml:space="preserve"> </w:t>
        <w:t>2</w:t>
        <w:t>&gt;&amp;</w:t>
        <w:t>1</w:t>
        <w:t xml:space="preserve"> </w:t>
        <w:t>| grep</w:t>
        <w:t xml:space="preserve"> </w:t>
        <w:t>"cipher:"</w:t>
      </w:r>
    </w:p>
    <w:p>
      <w:pPr>
        <w:pStyle w:val="Normal"/>
      </w:pPr>
      <w:r>
        <w:t>debug1: kex: server-&gt;client cipher: chacha20-poly1305@openssh.com MAC: &lt;implicit&gt;</w:t>
        <w:t xml:space="preserve"> </w:t>
        <w:t>compression: none</w:t>
      </w:r>
    </w:p>
    <w:p>
      <w:pPr>
        <w:pStyle w:val="Normal"/>
      </w:pPr>
      <w:r>
        <w:t>debug1: kex: client-&gt;server cipher: chacha20-poly1305@openssh.com MAC: &lt;implicit&gt;</w:t>
        <w:t xml:space="preserve"> </w:t>
        <w:t>compression: none</w:t>
      </w:r>
    </w:p>
    <w:p>
      <w:pPr>
        <w:pStyle w:val="Para 17"/>
      </w:pPr>
      <w:r>
        <w:t/>
      </w:r>
    </w:p>
    <w:p>
      <w:pPr>
        <w:pStyle w:val="Normal"/>
      </w:pPr>
      <w:r>
        <w:t>In the above case, the chacha20 cipher was automatically selected. We can influence this decision and only offer one algorithm:</w:t>
      </w:r>
    </w:p>
    <w:p>
      <w:pPr>
        <w:pStyle w:val="Normal"/>
      </w:pPr>
      <w:r>
        <w:t>$ ssh -v -c aes128-ctr &lt;server&gt;</w:t>
        <w:t xml:space="preserve"> </w:t>
        <w:t>exit</w:t>
        <w:t xml:space="preserve"> </w:t>
        <w:t>2</w:t>
        <w:t>&gt;&amp;</w:t>
        <w:t>1</w:t>
        <w:t xml:space="preserve"> </w:t>
        <w:t>| grep</w:t>
        <w:t xml:space="preserve"> </w:t>
        <w:t>"cipher:"</w:t>
      </w:r>
    </w:p>
    <w:p>
      <w:pPr>
        <w:pStyle w:val="Normal"/>
      </w:pPr>
      <w:r>
        <w:t>debug1: kex: server-&gt;client cipher: aes128-ctr MAC: umac-64-etm@openssh.com compression:</w:t>
        <w:t xml:space="preserve"> </w:t>
        <w:t>none</w:t>
      </w:r>
    </w:p>
    <w:p>
      <w:pPr>
        <w:pStyle w:val="Normal"/>
      </w:pPr>
      <w:r>
        <w:t>debug1: kex: client-&gt;server cipher: aes128-ctr MAC: umac-64-etm@openssh.com compression:</w:t>
        <w:t xml:space="preserve"> </w:t>
        <w:t>none</w:t>
      </w:r>
    </w:p>
    <w:p>
      <w:pPr>
        <w:pStyle w:val="Para 17"/>
      </w:pPr>
      <w:r>
        <w:t/>
      </w:r>
    </w:p>
    <w:p>
      <w:pPr>
        <w:pStyle w:val="Normal"/>
      </w:pPr>
      <w:r>
        <w:t>For the other stages in the ssh connection, like key exchange, or public key authentication, other expressions for the grep command have to be used. In general, it will all be visible in the full-v output.</w:t>
      </w:r>
    </w:p>
    <w:p>
      <w:pPr>
        <w:pStyle w:val="Para 17"/>
      </w:pPr>
      <w:r>
        <w:t/>
      </w:r>
    </w:p>
    <w:p>
      <w:pPr>
        <w:pStyle w:val="Para 01"/>
      </w:pPr>
      <w:r>
        <w:t>Remove AES 128 from server</w:t>
      </w:r>
    </w:p>
    <w:p>
      <w:pPr>
        <w:pStyle w:val="Para 17"/>
      </w:pPr>
      <w:r>
        <w:t/>
      </w:r>
    </w:p>
    <w:p>
      <w:pPr>
        <w:pStyle w:val="Normal"/>
      </w:pPr>
      <w:r>
        <w:t xml:space="preserve">Let’s configure an OpenSSH server to only offer the </w:t>
      </w:r>
      <w:hyperlink w:anchor="page_668">
        <w:r>
          <w:rPr>
            <w:rStyle w:val="Text2"/>
          </w:rPr>
          <w:t>AES</w:t>
        </w:r>
      </w:hyperlink>
      <w:r>
        <w:t xml:space="preserve"> 256-bit variant of symmetric ciphers for an ssh connection.</w:t>
      </w:r>
    </w:p>
    <w:p>
      <w:pPr>
        <w:pStyle w:val="Normal"/>
      </w:pPr>
      <w:r>
        <w:t>First, let’s see what the default is:</w:t>
      </w:r>
    </w:p>
    <w:p>
      <w:pPr>
        <w:pStyle w:val="Normal"/>
      </w:pPr>
      <w:r>
        <w:t>$ sudo sshd -T | grep ciphers</w:t>
      </w:r>
    </w:p>
    <w:p>
      <w:pPr>
        <w:pStyle w:val="Normal"/>
      </w:pPr>
      <w:r>
        <w:t>ciphers chacha20-poly1305@openssh.com,aes128-gcm@openssh.com,aes256-gcm@openssh.com,</w:t>
        <w:t xml:space="preserve"> </w:t>
        <w:t>aes128-ctr,aes192-ctr,aes256-ctr</w:t>
      </w:r>
    </w:p>
    <w:p>
      <w:pPr>
        <w:pStyle w:val="Para 17"/>
      </w:pPr>
      <w:r>
        <w:t/>
      </w:r>
    </w:p>
    <w:p>
      <w:pPr>
        <w:pStyle w:val="Normal"/>
      </w:pPr>
      <w:r>
        <w:t>Now let’s make our change. On the server, we can create a new configuration file /etc/ssh/ sshd_config.d/crypto-hardening.conf and add this line:</w:t>
      </w:r>
    </w:p>
    <w:p>
      <w:pPr>
        <w:pStyle w:val="Normal"/>
      </w:pPr>
      <w:r>
        <w:t>Ciphers -aes128*</w:t>
      </w:r>
    </w:p>
    <w:p>
      <w:pPr>
        <w:pStyle w:val="Para 17"/>
      </w:pPr>
      <w:r>
        <w:t/>
      </w:r>
    </w:p>
    <w:p>
      <w:pPr>
        <w:pStyle w:val="Normal"/>
      </w:pPr>
      <w:r>
        <w:t>And then check what is left:</w:t>
      </w:r>
    </w:p>
    <w:p>
      <w:pPr>
        <w:pStyle w:val="Normal"/>
      </w:pPr>
      <w:r>
        <w:t>$ sudo sshd -T | grep ciphers</w:t>
      </w:r>
    </w:p>
    <w:p>
      <w:pPr>
        <w:pStyle w:val="Normal"/>
      </w:pPr>
      <w:r>
        <w:t>ciphers chacha20-poly1305@openssh.com,aes256-gcm@openssh.com,aes192-ctr,aes256-ctr</w:t>
        <w:t xml:space="preserve"> To activate the change, ssh has to be restarted:</w:t>
      </w:r>
    </w:p>
    <w:p>
      <w:bookmarkStart w:id="1242" w:name="page_7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3" name="index-788_1.png" descr="index-788_1.png"/>
            <wp:cNvGraphicFramePr>
              <a:graphicFrameLocks noChangeAspect="1"/>
            </wp:cNvGraphicFramePr>
            <a:graphic>
              <a:graphicData uri="http://schemas.openxmlformats.org/drawingml/2006/picture">
                <pic:pic>
                  <pic:nvPicPr>
                    <pic:cNvPr id="0" name="index-788_1.png" descr="index-788_1.png"/>
                    <pic:cNvPicPr/>
                  </pic:nvPicPr>
                  <pic:blipFill>
                    <a:blip r:embed="rId827"/>
                    <a:stretch>
                      <a:fillRect/>
                    </a:stretch>
                  </pic:blipFill>
                  <pic:spPr>
                    <a:xfrm>
                      <a:off x="0" y="0"/>
                      <a:ext cx="914400" cy="266700"/>
                    </a:xfrm>
                    <a:prstGeom prst="rect">
                      <a:avLst/>
                    </a:prstGeom>
                  </pic:spPr>
                </pic:pic>
              </a:graphicData>
            </a:graphic>
          </wp:anchor>
        </w:drawing>
      </w:r>
      <w:bookmarkEnd w:id="1242"/>
    </w:p>
    <w:p>
      <w:pPr>
        <w:pStyle w:val="Normal"/>
      </w:pPr>
      <w:r>
        <w:t>$ sudo systemctl restart ssh.service</w:t>
      </w:r>
    </w:p>
    <w:p>
      <w:pPr>
        <w:pStyle w:val="Para 17"/>
      </w:pPr>
      <w:r>
        <w:t/>
      </w:r>
    </w:p>
    <w:p>
      <w:pPr>
        <w:pStyle w:val="Normal"/>
      </w:pPr>
      <w:r>
        <w:t>After we restart the service, clients will no longer be able to use AES 128 to connect to it:</w:t>
      </w:r>
    </w:p>
    <w:p>
      <w:pPr>
        <w:pStyle w:val="Normal"/>
      </w:pPr>
      <w:r>
        <w:t>$ ssh -c aes128-ctr &lt;server&gt;</w:t>
      </w:r>
    </w:p>
    <w:p>
      <w:pPr>
        <w:pStyle w:val="Normal"/>
      </w:pPr>
      <w:r>
        <w:t>Unable to negotiate with</w:t>
        <w:t xml:space="preserve"> </w:t>
        <w:t>10</w:t>
        <w:t>.0.102.49 port</w:t>
        <w:t xml:space="preserve"> </w:t>
        <w:t>22</w:t>
        <w:t>: no matching cipher found. Their offer:</w:t>
        <w:t xml:space="preserve"> </w:t>
        <w:t>chacha20-poly1305@openssh.com,aes192-ctr,aes256-ctr,aes256-gcm@openssh.com</w:t>
      </w:r>
    </w:p>
    <w:p>
      <w:pPr>
        <w:pStyle w:val="Para 17"/>
      </w:pPr>
      <w:r>
        <w:t/>
      </w:r>
    </w:p>
    <w:p>
      <w:pPr>
        <w:pStyle w:val="Para 01"/>
      </w:pPr>
      <w:r>
        <w:t>Prioritize AES 256 on the client</w:t>
      </w:r>
    </w:p>
    <w:p>
      <w:pPr>
        <w:pStyle w:val="Para 17"/>
      </w:pPr>
      <w:r>
        <w:t/>
      </w:r>
    </w:p>
    <w:p>
      <w:pPr>
        <w:pStyle w:val="Normal"/>
      </w:pPr>
      <w:r>
        <w:t>If we just want to prioritize a particular cipher, we can use the “^” character to move it to the front of the list, without disabling any other cipher:</w:t>
      </w:r>
    </w:p>
    <w:p>
      <w:pPr>
        <w:pStyle w:val="Normal"/>
      </w:pPr>
      <w:r>
        <w:t>$ ssh -c ^aes256-ctr -v &lt;server&gt;</w:t>
        <w:t xml:space="preserve"> </w:t>
        <w:t>exit</w:t>
        <w:t xml:space="preserve"> </w:t>
        <w:t>2</w:t>
        <w:t>&gt;&amp;</w:t>
        <w:t>1</w:t>
        <w:t xml:space="preserve"> </w:t>
        <w:t>| grep</w:t>
        <w:t xml:space="preserve"> </w:t>
        <w:t>"cipher:"</w:t>
      </w:r>
    </w:p>
    <w:p>
      <w:pPr>
        <w:pStyle w:val="Normal"/>
      </w:pPr>
      <w:r>
        <w:t>debug1: kex: server-&gt;client cipher: aes256-ctr MAC: umac-64-etm@openssh.com compression:</w:t>
        <w:t xml:space="preserve"> </w:t>
        <w:t>none</w:t>
      </w:r>
    </w:p>
    <w:p>
      <w:pPr>
        <w:pStyle w:val="Normal"/>
      </w:pPr>
      <w:r>
        <w:t>debug1: kex: client-&gt;server cipher: aes256-ctr MAC: umac-64-etm@openssh.com compression:</w:t>
        <w:t xml:space="preserve"> </w:t>
        <w:t>none</w:t>
      </w:r>
    </w:p>
    <w:p>
      <w:pPr>
        <w:pStyle w:val="Para 17"/>
      </w:pPr>
      <w:r>
        <w:t/>
      </w:r>
    </w:p>
    <w:p>
      <w:pPr>
        <w:pStyle w:val="Normal"/>
      </w:pPr>
      <w:r>
        <w:t>In this way, if the server we are connecting to does not support AES 256, the negotiation will pick up the next one from the list. If we do that on the server via Ciphers -aes256*, this is what the same client, with the same command line, now reports:</w:t>
      </w:r>
    </w:p>
    <w:p>
      <w:pPr>
        <w:pStyle w:val="Normal"/>
      </w:pPr>
      <w:r>
        <w:t>$ ssh -c ^aes256-ctr -v &lt;server&gt;</w:t>
        <w:t xml:space="preserve"> </w:t>
        <w:t>exit</w:t>
        <w:t xml:space="preserve"> </w:t>
        <w:t>2</w:t>
        <w:t>&gt;&amp;</w:t>
        <w:t>1</w:t>
        <w:t xml:space="preserve"> </w:t>
        <w:t>| grep</w:t>
        <w:t xml:space="preserve"> </w:t>
        <w:t>"cipher:"</w:t>
      </w:r>
    </w:p>
    <w:p>
      <w:pPr>
        <w:pStyle w:val="Normal"/>
      </w:pPr>
      <w:r>
        <w:t>debug1: kex: server-&gt;client cipher: chacha20-poly1305@openssh.com MAC: &lt;implicit&gt;</w:t>
        <w:t xml:space="preserve"> </w:t>
        <w:t>compression: none</w:t>
      </w:r>
    </w:p>
    <w:p>
      <w:pPr>
        <w:pStyle w:val="Normal"/>
      </w:pPr>
      <w:r>
        <w:t>debug1: kex: client-&gt;server cipher: chacha20-poly1305@openssh.com MAC: &lt;implicit&gt;</w:t>
        <w:t xml:space="preserve"> </w:t>
        <w:t>compression: none</w:t>
      </w:r>
    </w:p>
    <w:p>
      <w:pPr>
        <w:pStyle w:val="Para 17"/>
      </w:pPr>
      <w:r>
        <w:t/>
      </w:r>
    </w:p>
    <w:p>
      <w:pPr>
        <w:pStyle w:val="Para 01"/>
      </w:pPr>
      <w:r>
        <w:t>References</w:t>
      </w:r>
    </w:p>
    <w:p>
      <w:pPr>
        <w:pStyle w:val="Para 17"/>
      </w:pPr>
      <w:r>
        <w:t/>
      </w:r>
    </w:p>
    <w:p>
      <w:pPr>
        <w:pStyle w:val="Para 13"/>
      </w:pPr>
      <w:r>
        <w:rPr>
          <w:rStyle w:val="Text7"/>
        </w:rPr>
        <w:t xml:space="preserve">• </w:t>
      </w:r>
      <w:hyperlink r:id="rId1673">
        <w:r>
          <w:rPr>
            <w:rStyle w:val="Text10"/>
          </w:rPr>
          <w:t>785</w:t>
        </w:r>
      </w:hyperlink>
      <w:hyperlink r:id="rId1673">
        <w:r>
          <w:t xml:space="preserve"> OpenSSH upstream documentation index</w:t>
        </w:r>
      </w:hyperlink>
    </w:p>
    <w:p>
      <w:pPr>
        <w:pStyle w:val="Para 04"/>
      </w:pPr>
      <w:r>
        <w:t xml:space="preserve">• Ubuntu </w:t>
      </w:r>
      <w:hyperlink r:id="rId1147">
        <w:r>
          <w:rPr>
            <w:rStyle w:val="Text9"/>
          </w:rPr>
          <w:t>786</w:t>
        </w:r>
      </w:hyperlink>
      <w:hyperlink r:id="rId1147">
        <w:r>
          <w:rPr>
            <w:rStyle w:val="Text1"/>
          </w:rPr>
          <w:t xml:space="preserve"> </w:t>
        </w:r>
      </w:hyperlink>
      <w:hyperlink r:id="rId1147">
        <w:r>
          <w:rPr>
            <w:rStyle w:val="Text2"/>
          </w:rPr>
          <w:t>sshd_config(5)</w:t>
        </w:r>
      </w:hyperlink>
      <w:r>
        <w:t xml:space="preserve"> manual page</w:t>
      </w:r>
    </w:p>
    <w:p>
      <w:pPr>
        <w:pStyle w:val="Para 04"/>
      </w:pPr>
      <w:r>
        <w:t xml:space="preserve">• Ubuntu </w:t>
      </w:r>
      <w:hyperlink r:id="rId1150">
        <w:r>
          <w:rPr>
            <w:rStyle w:val="Text9"/>
          </w:rPr>
          <w:t>787</w:t>
        </w:r>
      </w:hyperlink>
      <w:hyperlink r:id="rId1150">
        <w:r>
          <w:rPr>
            <w:rStyle w:val="Text1"/>
          </w:rPr>
          <w:t xml:space="preserve"> </w:t>
        </w:r>
      </w:hyperlink>
      <w:hyperlink r:id="rId1150">
        <w:r>
          <w:rPr>
            <w:rStyle w:val="Text2"/>
          </w:rPr>
          <w:t>ssh_config(5)</w:t>
        </w:r>
      </w:hyperlink>
      <w:r>
        <w:t xml:space="preserve"> manual page</w:t>
      </w:r>
    </w:p>
    <w:p>
      <w:pPr>
        <w:pStyle w:val="Para 05"/>
      </w:pPr>
      <w:r>
        <w:rPr>
          <w:rStyle w:val="Text5"/>
        </w:rPr>
        <w:t>785</w:t>
      </w:r>
      <w:r>
        <w:rPr>
          <w:rStyle w:val="Text8"/>
        </w:rPr>
        <w:t xml:space="preserve"> </w:t>
      </w:r>
      <w:r>
        <w:t>https://www.openssh.org/manual.html</w:t>
      </w:r>
    </w:p>
    <w:p>
      <w:pPr>
        <w:pStyle w:val="Para 05"/>
      </w:pPr>
      <w:r>
        <w:rPr>
          <w:rStyle w:val="Text5"/>
        </w:rPr>
        <w:t>786</w:t>
      </w:r>
      <w:r>
        <w:rPr>
          <w:rStyle w:val="Text8"/>
        </w:rPr>
        <w:t xml:space="preserve"> </w:t>
      </w:r>
      <w:r>
        <w:t>https://manpages.ubuntu.com/manpages/resolute/man5/sshd_config.5.html</w:t>
      </w:r>
    </w:p>
    <w:p>
      <w:pPr>
        <w:pStyle w:val="Para 05"/>
      </w:pPr>
      <w:r>
        <w:rPr>
          <w:rStyle w:val="Text5"/>
        </w:rPr>
        <w:t>787</w:t>
      </w:r>
      <w:r>
        <w:rPr>
          <w:rStyle w:val="Text8"/>
        </w:rPr>
        <w:t xml:space="preserve"> </w:t>
      </w:r>
      <w:r>
        <w:t>https://manpages.ubuntu.com/manpages/resolute/man5/ssh_config.5.html</w:t>
      </w:r>
    </w:p>
    <w:p>
      <w:bookmarkStart w:id="1243" w:name="calibre_pb_227"/>
      <w:pPr>
        <w:pStyle w:val="0 Block"/>
      </w:pPr>
      <w:bookmarkEnd w:id="1243"/>
    </w:p>
    <w:p>
      <w:bookmarkStart w:id="1244" w:name="Top_of_index_split_228_html"/>
      <w:bookmarkStart w:id="1245" w:name="page_78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4" name="index-789_1.png" descr="index-789_1.png"/>
            <wp:cNvGraphicFramePr>
              <a:graphicFrameLocks noChangeAspect="1"/>
            </wp:cNvGraphicFramePr>
            <a:graphic>
              <a:graphicData uri="http://schemas.openxmlformats.org/drawingml/2006/picture">
                <pic:pic>
                  <pic:nvPicPr>
                    <pic:cNvPr id="0" name="index-789_1.png" descr="index-789_1.png"/>
                    <pic:cNvPicPr/>
                  </pic:nvPicPr>
                  <pic:blipFill>
                    <a:blip r:embed="rId828"/>
                    <a:stretch>
                      <a:fillRect/>
                    </a:stretch>
                  </pic:blipFill>
                  <pic:spPr>
                    <a:xfrm>
                      <a:off x="0" y="0"/>
                      <a:ext cx="914400" cy="266700"/>
                    </a:xfrm>
                    <a:prstGeom prst="rect">
                      <a:avLst/>
                    </a:prstGeom>
                  </pic:spPr>
                </pic:pic>
              </a:graphicData>
            </a:graphic>
          </wp:anchor>
        </w:drawing>
      </w:r>
      <w:bookmarkEnd w:id="1244"/>
      <w:bookmarkEnd w:id="1245"/>
    </w:p>
    <w:p>
      <w:pPr>
        <w:pStyle w:val="Para 01"/>
      </w:pPr>
      <w:r>
        <w:t>Troubleshooting TLS/SSL</w:t>
      </w:r>
    </w:p>
    <w:p>
      <w:pPr>
        <w:pStyle w:val="Para 17"/>
      </w:pPr>
      <w:r>
        <w:t/>
      </w:r>
    </w:p>
    <w:p>
      <w:pPr>
        <w:pStyle w:val="Normal"/>
      </w:pPr>
      <w:r>
        <w:t>Debugging TLS/SSL connections and protocols can be daunting due to their complexity. Here are some troubleshooting tips.</w:t>
      </w:r>
    </w:p>
    <w:p>
      <w:pPr>
        <w:pStyle w:val="Para 17"/>
      </w:pPr>
      <w:r>
        <w:t/>
      </w:r>
    </w:p>
    <w:p>
      <w:pPr>
        <w:pStyle w:val="Para 01"/>
      </w:pPr>
      <w:r>
        <w:t>Separate the client and server</w:t>
      </w:r>
    </w:p>
    <w:p>
      <w:pPr>
        <w:pStyle w:val="Para 17"/>
      </w:pPr>
      <w:r>
        <w:t/>
      </w:r>
    </w:p>
    <w:p>
      <w:pPr>
        <w:pStyle w:val="Normal"/>
      </w:pPr>
      <w:r>
        <w:t>Whenever testing TLS/SSL connections over the network, it’s best to really separate the client and the server. Remember that the crypto library configuration file is read by the library, not just by a server or a client. It’s read by both. Therefore having separate systems acting as clients and servers, with their own configuration files, makes things simpler to analyze.</w:t>
      </w:r>
    </w:p>
    <w:p>
      <w:pPr>
        <w:pStyle w:val="Para 17"/>
      </w:pPr>
      <w:r>
        <w:t/>
      </w:r>
    </w:p>
    <w:p>
      <w:pPr>
        <w:pStyle w:val="Para 01"/>
      </w:pPr>
      <w:r>
        <w:t>Tools</w:t>
      </w:r>
    </w:p>
    <w:p>
      <w:pPr>
        <w:pStyle w:val="Para 17"/>
      </w:pPr>
      <w:r>
        <w:t/>
      </w:r>
    </w:p>
    <w:p>
      <w:pPr>
        <w:pStyle w:val="Normal"/>
      </w:pPr>
      <w:r>
        <w:t>Here are some tools to help troubleshooting a TLS/SSL configuration.</w:t>
      </w:r>
    </w:p>
    <w:p>
      <w:pPr>
        <w:pStyle w:val="Para 17"/>
      </w:pPr>
      <w:r>
        <w:t/>
      </w:r>
    </w:p>
    <w:p>
      <w:pPr>
        <w:pStyle w:val="Para 01"/>
      </w:pPr>
      <w:r>
        <w:t>OpenSSL server and client apps</w:t>
      </w:r>
    </w:p>
    <w:p>
      <w:pPr>
        <w:pStyle w:val="Para 17"/>
      </w:pPr>
      <w:r>
        <w:t/>
      </w:r>
    </w:p>
    <w:p>
      <w:pPr>
        <w:pStyle w:val="Normal"/>
      </w:pPr>
      <w:r>
        <w:t>The OpenSSL server and client tools are very handy to quickly bring up a server with a se-lection of ciphers and protocols and test it with a client. Being part of OpenSSL, these tools will also initialize the library defaults directly from the OpenSSL config file, so they are very useful to test your configuration changes.</w:t>
      </w:r>
    </w:p>
    <w:p>
      <w:pPr>
        <w:pStyle w:val="Normal"/>
      </w:pPr>
      <w:r>
        <w:t>To bring up an OpenSSL server, a certificate with a private key is needed. There are many ways to generate a pair, and here is a quick one:</w:t>
      </w:r>
    </w:p>
    <w:p>
      <w:pPr>
        <w:pStyle w:val="Normal"/>
      </w:pPr>
      <w:r>
        <w:t>openssl req -new -x509 -nodes -days</w:t>
        <w:t xml:space="preserve"> </w:t>
        <w:t>30</w:t>
        <w:t>-out myserver.pem -keyout myserver.key</w:t>
      </w:r>
    </w:p>
    <w:p>
      <w:pPr>
        <w:pStyle w:val="Para 17"/>
      </w:pPr>
      <w:r>
        <w:t/>
      </w:r>
    </w:p>
    <w:p>
      <w:pPr>
        <w:pStyle w:val="Normal"/>
      </w:pPr>
      <w:r>
        <w:t>Answer the questions as you prefer, but the one that needs special attention is the common-</w:t>
      </w:r>
    </w:p>
    <w:p>
      <w:pPr>
        <w:pStyle w:val="Normal"/>
      </w:pPr>
      <w:r>
        <w:t xml:space="preserve">Name (CN) one, which should match the </w:t>
      </w:r>
      <w:hyperlink w:anchor="page_688">
        <w:r>
          <w:rPr>
            <w:rStyle w:val="Text2"/>
          </w:rPr>
          <w:t>hostname</w:t>
        </w:r>
      </w:hyperlink>
      <w:r>
        <w:t xml:space="preserve"> of this server. Then bring up the OpenSSL server with this command:</w:t>
      </w:r>
    </w:p>
    <w:p>
      <w:pPr>
        <w:pStyle w:val="Normal"/>
      </w:pPr>
      <w:r>
        <w:t>openssl s_server -cert myserver.pem -key myserver.key</w:t>
      </w:r>
    </w:p>
    <w:p>
      <w:pPr>
        <w:pStyle w:val="Para 17"/>
      </w:pPr>
      <w:r>
        <w:t/>
      </w:r>
    </w:p>
    <w:p>
      <w:pPr>
        <w:pStyle w:val="Normal"/>
      </w:pPr>
      <w:r>
        <w:t>That will bring up a TLS/SSL server on port 4433. Extra options that can be useful:</w:t>
      </w:r>
    </w:p>
    <w:p>
      <w:pPr>
        <w:pStyle w:val="Para 04"/>
      </w:pPr>
      <w:r>
        <w:t>•-port N: Set a port number. Remember that ports below 1024 require root privileges,</w:t>
      </w:r>
    </w:p>
    <w:p>
      <w:pPr>
        <w:pStyle w:val="Para 02"/>
      </w:pPr>
      <w:r>
        <w:t>so use sudo if that’s the case.</w:t>
      </w:r>
    </w:p>
    <w:p>
      <w:pPr>
        <w:pStyle w:val="Para 04"/>
      </w:pPr>
      <w:r>
        <w:t>•-www: Will send back a summary of the connection information, like ciphers used, pro-</w:t>
      </w:r>
    </w:p>
    <w:p>
      <w:pPr>
        <w:pStyle w:val="Para 02"/>
      </w:pPr>
      <w:r>
        <w:t>tocols, etc.</w:t>
      </w:r>
    </w:p>
    <w:p>
      <w:pPr>
        <w:pStyle w:val="Para 04"/>
      </w:pPr>
      <w:r>
        <w:t>•-tls1_2,-tls1_3,-no_tls1_3,-no_tls1_2: Enable only the mentioned protocol version,</w:t>
      </w:r>
    </w:p>
    <w:p>
      <w:pPr>
        <w:pStyle w:val="Para 02"/>
      </w:pPr>
      <w:r>
        <w:t>or, with the no_ prefix variant, disable it.</w:t>
      </w:r>
    </w:p>
    <w:p>
      <w:pPr>
        <w:pStyle w:val="Para 04"/>
      </w:pPr>
      <w:r>
        <w:t>•-cipher &lt;string&gt;: Use the specified cipher string for TLS1.2 and lower.</w:t>
      </w:r>
    </w:p>
    <w:p>
      <w:pPr>
        <w:pStyle w:val="Para 04"/>
      </w:pPr>
      <w:r>
        <w:t>•-ciphersuite &lt;string&gt;: Use the specified string for TLS1.3 ciphers.</w:t>
      </w:r>
    </w:p>
    <w:p>
      <w:pPr>
        <w:pStyle w:val="Normal"/>
      </w:pPr>
      <w:r>
        <w:t xml:space="preserve">The client connection tool can be used like this when connecting to server: </w:t>
        <w:t>echo</w:t>
        <w:t xml:space="preserve"> </w:t>
        <w:t>| openssl s_client -connect server:port</w:t>
        <w:t xml:space="preserve"> </w:t>
        <w:t>2</w:t>
        <w:t>&gt;&amp;</w:t>
        <w:t>1</w:t>
        <w:t xml:space="preserve"> </w:t>
        <w:t>| grep</w:t>
        <w:t xml:space="preserve"> </w:t>
        <w:t>'^New'</w:t>
      </w:r>
    </w:p>
    <w:p>
      <w:bookmarkStart w:id="1246" w:name="page_79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5" name="index-790_1.png" descr="index-790_1.png"/>
            <wp:cNvGraphicFramePr>
              <a:graphicFrameLocks noChangeAspect="1"/>
            </wp:cNvGraphicFramePr>
            <a:graphic>
              <a:graphicData uri="http://schemas.openxmlformats.org/drawingml/2006/picture">
                <pic:pic>
                  <pic:nvPicPr>
                    <pic:cNvPr id="0" name="index-790_1.png" descr="index-790_1.png"/>
                    <pic:cNvPicPr/>
                  </pic:nvPicPr>
                  <pic:blipFill>
                    <a:blip r:embed="rId829"/>
                    <a:stretch>
                      <a:fillRect/>
                    </a:stretch>
                  </pic:blipFill>
                  <pic:spPr>
                    <a:xfrm>
                      <a:off x="0" y="0"/>
                      <a:ext cx="914400" cy="266700"/>
                    </a:xfrm>
                    <a:prstGeom prst="rect">
                      <a:avLst/>
                    </a:prstGeom>
                  </pic:spPr>
                </pic:pic>
              </a:graphicData>
            </a:graphic>
          </wp:anchor>
        </w:drawing>
      </w:r>
      <w:bookmarkEnd w:id="1246"/>
    </w:p>
    <w:p>
      <w:pPr>
        <w:pStyle w:val="Para 17"/>
      </w:pPr>
      <w:r>
        <w:t/>
      </w:r>
    </w:p>
    <w:p>
      <w:pPr>
        <w:pStyle w:val="Normal"/>
      </w:pPr>
      <w:r>
        <w:t>That will generally show the TLS version used, and the selected cipher:</w:t>
      </w:r>
    </w:p>
    <w:p>
      <w:pPr>
        <w:pStyle w:val="Normal"/>
      </w:pPr>
      <w:r>
        <w:t>$</w:t>
        <w:t xml:space="preserve"> </w:t>
        <w:t>echo</w:t>
        <w:t xml:space="preserve"> </w:t>
        <w:t>| openssl s_client -connect j-server.lxd:443</w:t>
        <w:t xml:space="preserve"> </w:t>
        <w:t>2</w:t>
        <w:t>&gt;&amp;</w:t>
        <w:t>1</w:t>
        <w:t xml:space="preserve"> </w:t>
        <w:t>| grep</w:t>
        <w:t xml:space="preserve"> </w:t>
        <w:t>'^New'</w:t>
        <w:t xml:space="preserve"> </w:t>
        <w:t>New, TLSv1.3, Cipher is TLS_AES_256_GCM_SHA384</w:t>
      </w:r>
    </w:p>
    <w:p>
      <w:pPr>
        <w:pStyle w:val="Para 17"/>
      </w:pPr>
      <w:r>
        <w:t/>
      </w:r>
    </w:p>
    <w:p>
      <w:pPr>
        <w:pStyle w:val="Normal"/>
      </w:pPr>
      <w:r>
        <w:t>The ciphers and protocols can also be selected with the same command line options as the server:</w:t>
      </w:r>
    </w:p>
    <w:p>
      <w:pPr>
        <w:pStyle w:val="Normal"/>
      </w:pPr>
      <w:r>
        <w:t>$</w:t>
        <w:t xml:space="preserve"> </w:t>
        <w:t>echo</w:t>
        <w:t xml:space="preserve"> </w:t>
        <w:t>| openssl s_client -connect j-server.lxd:443 -no_tls1_3</w:t>
        <w:t xml:space="preserve"> </w:t>
        <w:t>2</w:t>
        <w:t>&gt;&amp;</w:t>
        <w:t>1</w:t>
        <w:t xml:space="preserve"> </w:t>
        <w:t>| grep</w:t>
        <w:t xml:space="preserve"> </w:t>
        <w:t>'^New'</w:t>
        <w:t xml:space="preserve"> </w:t>
        <w:t>New, TLSv1.2, Cipher is ECDHE-RSA-AES256-GCM-SHA384</w:t>
      </w:r>
    </w:p>
    <w:p>
      <w:pPr>
        <w:pStyle w:val="Normal"/>
      </w:pPr>
      <w:r>
        <w:t>$</w:t>
        <w:t xml:space="preserve"> </w:t>
        <w:t>echo</w:t>
        <w:t xml:space="preserve"> </w:t>
        <w:t>| openssl s_client -connect j-server.lxd:443 -no_tls1_3</w:t>
        <w:t xml:space="preserve"> </w:t>
        <w:t>2</w:t>
        <w:t>&gt;&amp;</w:t>
        <w:t>1</w:t>
        <w:t>-cipher DEFAULT:-</w:t>
        <w:t>AES256 | grep</w:t>
        <w:t xml:space="preserve"> </w:t>
        <w:t>'^New'</w:t>
      </w:r>
    </w:p>
    <w:p>
      <w:pPr>
        <w:pStyle w:val="Normal"/>
      </w:pPr>
      <w:r>
        <w:t>New, TLSv1.2, Cipher is ECDHE-RSA-CHACHA20-POLY1305</w:t>
      </w:r>
    </w:p>
    <w:p>
      <w:pPr>
        <w:pStyle w:val="Para 17"/>
      </w:pPr>
      <w:r>
        <w:t/>
      </w:r>
    </w:p>
    <w:p>
      <w:pPr>
        <w:pStyle w:val="Para 01"/>
      </w:pPr>
      <w:r>
        <w:t>The sslscan tool</w:t>
      </w:r>
    </w:p>
    <w:p>
      <w:pPr>
        <w:pStyle w:val="Para 17"/>
      </w:pPr>
      <w:r>
        <w:t/>
      </w:r>
    </w:p>
    <w:p>
      <w:pPr>
        <w:pStyle w:val="Normal"/>
      </w:pPr>
      <w:r>
        <w:t>The sslscan tool comes from a package with the same name, and it will scan a server and list the supported algorithms and protocols. It’s super useful for determining if your configura-tion has really disabled or enabled a particular cipher or TLS version.</w:t>
      </w:r>
    </w:p>
    <w:p>
      <w:pPr>
        <w:pStyle w:val="Normal"/>
      </w:pPr>
      <w:r>
        <w:t>To use the tool, point it at the server you want to scan:</w:t>
      </w:r>
    </w:p>
    <w:p>
      <w:pPr>
        <w:pStyle w:val="Normal"/>
      </w:pPr>
      <w:r>
        <w:t>sslscan j-server.lxd</w:t>
      </w:r>
    </w:p>
    <w:p>
      <w:pPr>
        <w:pStyle w:val="Para 17"/>
      </w:pPr>
      <w:r>
        <w:t/>
      </w:r>
    </w:p>
    <w:p>
      <w:pPr>
        <w:pStyle w:val="Normal"/>
      </w:pPr>
      <w:r>
        <w:t>And you will get a report of the ciphers and algorithms supported by that server. Consult the</w:t>
      </w:r>
    </w:p>
    <w:p>
      <w:pPr>
        <w:pStyle w:val="Normal"/>
      </w:pPr>
      <w:hyperlink r:id="rId1674">
        <w:r>
          <w:rPr>
            <w:rStyle w:val="Text2"/>
          </w:rPr>
          <w:t>sslscan(1)</w:t>
        </w:r>
      </w:hyperlink>
      <w:hyperlink r:id="rId1674">
        <w:r>
          <w:rPr>
            <w:rStyle w:val="Text9"/>
          </w:rPr>
          <w:t>788</w:t>
        </w:r>
      </w:hyperlink>
      <w:r>
        <w:t xml:space="preserve"> manual page.</w:t>
      </w:r>
    </w:p>
    <w:p>
      <w:pPr>
        <w:pStyle w:val="Para 17"/>
      </w:pPr>
      <w:r>
        <w:t/>
      </w:r>
    </w:p>
    <w:p>
      <w:pPr>
        <w:pStyle w:val="Para 01"/>
      </w:pPr>
      <w:r>
        <w:t>References</w:t>
      </w:r>
    </w:p>
    <w:p>
      <w:pPr>
        <w:pStyle w:val="Para 17"/>
      </w:pPr>
      <w:r>
        <w:t/>
      </w:r>
    </w:p>
    <w:p>
      <w:pPr>
        <w:pStyle w:val="Para 14"/>
      </w:pPr>
      <w:r>
        <w:rPr>
          <w:rStyle w:val="Text4"/>
        </w:rPr>
        <w:t xml:space="preserve">• </w:t>
      </w:r>
      <w:hyperlink r:id="rId1675">
        <w:r>
          <w:rPr>
            <w:rStyle w:val="Text15"/>
          </w:rPr>
          <w:t>789</w:t>
        </w:r>
      </w:hyperlink>
      <w:hyperlink r:id="rId1675">
        <w:r>
          <w:rPr>
            <w:rStyle w:val="Text3"/>
          </w:rPr>
          <w:t xml:space="preserve"> </w:t>
        </w:r>
      </w:hyperlink>
      <w:hyperlink r:id="rId1675">
        <w:r>
          <w:t>OpenSSL s_server</w:t>
        </w:r>
      </w:hyperlink>
    </w:p>
    <w:p>
      <w:pPr>
        <w:pStyle w:val="Para 14"/>
      </w:pPr>
      <w:r>
        <w:rPr>
          <w:rStyle w:val="Text4"/>
        </w:rPr>
        <w:t xml:space="preserve">• </w:t>
      </w:r>
      <w:hyperlink r:id="rId1676">
        <w:r>
          <w:rPr>
            <w:rStyle w:val="Text15"/>
          </w:rPr>
          <w:t>790</w:t>
        </w:r>
      </w:hyperlink>
      <w:hyperlink r:id="rId1676">
        <w:r>
          <w:rPr>
            <w:rStyle w:val="Text3"/>
          </w:rPr>
          <w:t xml:space="preserve"> </w:t>
        </w:r>
      </w:hyperlink>
      <w:hyperlink r:id="rId1676">
        <w:r>
          <w:t>OpenSSL s_client</w:t>
        </w:r>
      </w:hyperlink>
    </w:p>
    <w:p>
      <w:pPr>
        <w:pStyle w:val="Para 14"/>
      </w:pPr>
      <w:r>
        <w:rPr>
          <w:rStyle w:val="Text4"/>
        </w:rPr>
        <w:t xml:space="preserve">• </w:t>
      </w:r>
      <w:hyperlink r:id="rId1674">
        <w:r>
          <w:rPr>
            <w:rStyle w:val="Text15"/>
          </w:rPr>
          <w:t>791</w:t>
        </w:r>
      </w:hyperlink>
      <w:hyperlink r:id="rId1674">
        <w:r>
          <w:rPr>
            <w:rStyle w:val="Text3"/>
          </w:rPr>
          <w:t xml:space="preserve"> </w:t>
        </w:r>
      </w:hyperlink>
      <w:hyperlink r:id="rId1674">
        <w:r>
          <w:t>sslscan(1)</w:t>
        </w:r>
      </w:hyperlink>
    </w:p>
    <w:p>
      <w:pPr>
        <w:pStyle w:val="Para 04"/>
      </w:pPr>
      <w:r>
        <w:t xml:space="preserve">• </w:t>
      </w:r>
      <w:hyperlink w:anchor="page_790">
        <w:r>
          <w:rPr>
            <w:rStyle w:val="Text9"/>
          </w:rPr>
          <w:t>792</w:t>
        </w:r>
      </w:hyperlink>
      <w:r>
        <w:t xml:space="preserve"> </w:t>
      </w:r>
      <w:hyperlink r:id="rId1677">
        <w:r>
          <w:rPr>
            <w:rStyle w:val="Text1"/>
          </w:rPr>
          <w:t>https://badssl.com</w:t>
        </w:r>
      </w:hyperlink>
      <w:r>
        <w:t>: excellent website that can be used to test a client against a</w:t>
      </w:r>
    </w:p>
    <w:p>
      <w:pPr>
        <w:pStyle w:val="Para 02"/>
      </w:pPr>
      <w:r>
        <w:t>multitude of certificates, algorithms, key sizes, protocol versions, and more.</w:t>
      </w:r>
    </w:p>
    <w:p>
      <w:pPr>
        <w:pStyle w:val="Para 05"/>
      </w:pPr>
      <w:r>
        <w:rPr>
          <w:rStyle w:val="Text5"/>
        </w:rPr>
        <w:t>788</w:t>
      </w:r>
      <w:r>
        <w:rPr>
          <w:rStyle w:val="Text8"/>
        </w:rPr>
        <w:t xml:space="preserve"> </w:t>
      </w:r>
      <w:r>
        <w:t>https://manpages.ubuntu.com/manpages/resolute/man1/sslscan.1.html</w:t>
      </w:r>
    </w:p>
    <w:p>
      <w:pPr>
        <w:pStyle w:val="Para 05"/>
      </w:pPr>
      <w:r>
        <w:rPr>
          <w:rStyle w:val="Text5"/>
        </w:rPr>
        <w:t>789</w:t>
      </w:r>
      <w:r>
        <w:rPr>
          <w:rStyle w:val="Text8"/>
        </w:rPr>
        <w:t xml:space="preserve"> </w:t>
      </w:r>
      <w:r>
        <w:t>https://manpages.ubuntu.com/manpages/resolute/man1/openssl-s_server.1.html</w:t>
      </w:r>
    </w:p>
    <w:p>
      <w:pPr>
        <w:pStyle w:val="Para 05"/>
      </w:pPr>
      <w:r>
        <w:rPr>
          <w:rStyle w:val="Text5"/>
        </w:rPr>
        <w:t>790</w:t>
      </w:r>
      <w:r>
        <w:rPr>
          <w:rStyle w:val="Text8"/>
        </w:rPr>
        <w:t xml:space="preserve"> </w:t>
      </w:r>
      <w:r>
        <w:t>https://manpages.ubuntu.com/manpages/resolute/man1/openssl-s_client.1.html</w:t>
      </w:r>
    </w:p>
    <w:p>
      <w:pPr>
        <w:pStyle w:val="Para 05"/>
      </w:pPr>
      <w:r>
        <w:rPr>
          <w:rStyle w:val="Text5"/>
        </w:rPr>
        <w:t>791</w:t>
      </w:r>
      <w:r>
        <w:rPr>
          <w:rStyle w:val="Text8"/>
        </w:rPr>
        <w:t xml:space="preserve"> </w:t>
      </w:r>
      <w:r>
        <w:t>https://manpages.ubuntu.com/manpages/resolute/man1/sslscan.1.html</w:t>
      </w:r>
    </w:p>
    <w:p>
      <w:pPr>
        <w:pStyle w:val="Para 05"/>
      </w:pPr>
      <w:r>
        <w:rPr>
          <w:rStyle w:val="Text5"/>
        </w:rPr>
        <w:t>792</w:t>
      </w:r>
      <w:r>
        <w:rPr>
          <w:rStyle w:val="Text8"/>
        </w:rPr>
        <w:t xml:space="preserve"> </w:t>
      </w:r>
      <w:r>
        <w:t>https://badssl.com/</w:t>
      </w:r>
    </w:p>
    <w:p>
      <w:bookmarkStart w:id="1247" w:name="calibre_pb_228"/>
      <w:pPr>
        <w:pStyle w:val="0 Block"/>
      </w:pPr>
      <w:bookmarkEnd w:id="1247"/>
    </w:p>
    <w:p>
      <w:bookmarkStart w:id="1248" w:name="page_791"/>
      <w:bookmarkStart w:id="1249" w:name="Top_of_index_split_22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6" name="index-791_1.png" descr="index-791_1.png"/>
            <wp:cNvGraphicFramePr>
              <a:graphicFrameLocks noChangeAspect="1"/>
            </wp:cNvGraphicFramePr>
            <a:graphic>
              <a:graphicData uri="http://schemas.openxmlformats.org/drawingml/2006/picture">
                <pic:pic>
                  <pic:nvPicPr>
                    <pic:cNvPr id="0" name="index-791_1.png" descr="index-791_1.png"/>
                    <pic:cNvPicPr/>
                  </pic:nvPicPr>
                  <pic:blipFill>
                    <a:blip r:embed="rId830"/>
                    <a:stretch>
                      <a:fillRect/>
                    </a:stretch>
                  </pic:blipFill>
                  <pic:spPr>
                    <a:xfrm>
                      <a:off x="0" y="0"/>
                      <a:ext cx="914400" cy="266700"/>
                    </a:xfrm>
                    <a:prstGeom prst="rect">
                      <a:avLst/>
                    </a:prstGeom>
                  </pic:spPr>
                </pic:pic>
              </a:graphicData>
            </a:graphic>
          </wp:anchor>
        </w:drawing>
      </w:r>
      <w:bookmarkEnd w:id="1248"/>
      <w:bookmarkEnd w:id="1249"/>
    </w:p>
    <w:p>
      <w:pPr>
        <w:pStyle w:val="Para 01"/>
      </w:pPr>
      <w:r>
        <w:t>About certificates</w:t>
      </w:r>
    </w:p>
    <w:p>
      <w:pPr>
        <w:pStyle w:val="Para 17"/>
      </w:pPr>
      <w:r>
        <w:t/>
      </w:r>
    </w:p>
    <w:p>
      <w:pPr>
        <w:pStyle w:val="Normal"/>
      </w:pPr>
      <w:r>
        <w:t xml:space="preserve">One of the most common forms of cryptography today is </w:t>
      </w:r>
      <w:r>
        <w:rPr>
          <w:rStyle w:val="Text0"/>
        </w:rPr>
        <w:t>public-key</w:t>
      </w:r>
      <w:r>
        <w:t xml:space="preserve"> cryptography. Public-key cryptography uses a </w:t>
      </w:r>
      <w:r>
        <w:rPr>
          <w:rStyle w:val="Text0"/>
        </w:rPr>
        <w:t>public key</w:t>
      </w:r>
      <w:r>
        <w:t xml:space="preserve"> and a </w:t>
      </w:r>
      <w:r>
        <w:rPr>
          <w:rStyle w:val="Text0"/>
        </w:rPr>
        <w:t>private key</w:t>
      </w:r>
      <w:r>
        <w:t>. The system works by encrypting infor-mation using the public key. The information can then only be decrypted using the private key.</w:t>
      </w:r>
    </w:p>
    <w:p>
      <w:pPr>
        <w:pStyle w:val="Normal"/>
      </w:pPr>
      <w:r>
        <w:t>A common use for public-key cryptography is encrypting application traffic using a Secure Socket Layer (SSL) or Transport Layer Security (TLS) connection. One example: configuring Apache to provide HTTPS, the HTTP protocol over SSL/TLS. This allows a way to encrypt traf-fic using a protocol that does not itself provide encryption.</w:t>
      </w:r>
    </w:p>
    <w:p>
      <w:pPr>
        <w:pStyle w:val="Normal"/>
      </w:pPr>
      <w:r>
        <w:t xml:space="preserve">A </w:t>
      </w:r>
      <w:r>
        <w:rPr>
          <w:rStyle w:val="Text0"/>
        </w:rPr>
        <w:t>certificate</w:t>
      </w:r>
      <w:r>
        <w:t xml:space="preserve"> is a way to distribute a public key and other information about a server and the organization responsible for it. Certificates can be digitally signed by a </w:t>
      </w:r>
      <w:r>
        <w:rPr>
          <w:rStyle w:val="Text0"/>
        </w:rPr>
        <w:t>Certification Authority</w:t>
      </w:r>
      <w:r>
        <w:t xml:space="preserve"> (CA), which is a trusted third party that has confirmed the information contained in the certificate is accurate.</w:t>
      </w:r>
    </w:p>
    <w:p>
      <w:pPr>
        <w:pStyle w:val="Para 17"/>
      </w:pPr>
      <w:r>
        <w:t/>
      </w:r>
    </w:p>
    <w:p>
      <w:pPr>
        <w:pStyle w:val="Para 01"/>
      </w:pPr>
      <w:r>
        <w:t>Types of certificates</w:t>
      </w:r>
    </w:p>
    <w:p>
      <w:pPr>
        <w:pStyle w:val="Para 17"/>
      </w:pPr>
      <w:r>
        <w:t/>
      </w:r>
    </w:p>
    <w:p>
      <w:pPr>
        <w:pStyle w:val="Normal"/>
      </w:pPr>
      <w:r>
        <w:t xml:space="preserve">To set up a secure server using public-key cryptography, in most cases, you send your certifi-cate request (including your public key), proof of your company’s identity, and payment to a CA. The CA verifies the certificate request and your identity, and then sends back a certificate for your secure server. Alternatively, you can create your own </w:t>
      </w:r>
      <w:r>
        <w:rPr>
          <w:rStyle w:val="Text0"/>
        </w:rPr>
        <w:t>self-signed</w:t>
      </w:r>
      <w:r>
        <w:t xml:space="preserve"> certificate.</w:t>
      </w:r>
    </w:p>
    <w:p>
      <w:pPr>
        <w:pStyle w:val="Para 08"/>
      </w:pPr>
      <w:r>
        <w:t>Note:</w:t>
      </w:r>
    </w:p>
    <w:p>
      <w:pPr>
        <w:pStyle w:val="Para 03"/>
      </w:pPr>
      <w:r>
        <w:t>Self-signed certificates should not be used in most production environments.</w:t>
      </w:r>
    </w:p>
    <w:p>
      <w:pPr>
        <w:pStyle w:val="Para 17"/>
      </w:pPr>
      <w:r>
        <w:t/>
      </w:r>
    </w:p>
    <w:p>
      <w:pPr>
        <w:pStyle w:val="Normal"/>
      </w:pPr>
      <w:r>
        <w:t>Continuing the HTTPS example, a CA-signed certificate provides two important capabilities that a self-signed certificate does not:</w:t>
      </w:r>
    </w:p>
    <w:p>
      <w:pPr>
        <w:pStyle w:val="Para 04"/>
      </w:pPr>
      <w:r>
        <w:t>• Browsers will (usually) automatically recognize the CA signature and allow a secure con-</w:t>
      </w:r>
    </w:p>
    <w:p>
      <w:pPr>
        <w:pStyle w:val="Para 02"/>
      </w:pPr>
      <w:r>
        <w:t>nection to be made without prompting the user.</w:t>
      </w:r>
    </w:p>
    <w:p>
      <w:pPr>
        <w:pStyle w:val="Para 04"/>
      </w:pPr>
      <w:r>
        <w:t>• When a CA issues a signed certificate, it is guaranteeing the identity of the organization</w:t>
      </w:r>
    </w:p>
    <w:p>
      <w:pPr>
        <w:pStyle w:val="Para 02"/>
      </w:pPr>
      <w:r>
        <w:t>providing the web pages to the browser.</w:t>
      </w:r>
    </w:p>
    <w:p>
      <w:pPr>
        <w:pStyle w:val="Normal"/>
      </w:pPr>
      <w:r>
        <w:t>Most software supporting SSL/TLS has a list of CAs whose certificates they automatically ac-cept. If a browser encounters a certificate whose authorising CA is not in the list, the browser asks the user to either accept or decline the connection. Also, other applications may gener-ate an error message when using a self-signed certificate.</w:t>
      </w:r>
    </w:p>
    <w:p>
      <w:pPr>
        <w:pStyle w:val="Normal"/>
      </w:pPr>
      <w:r>
        <w:t>The process of getting a certificate from a CA is fairly straightforward. A quick overview is as follows:</w:t>
      </w:r>
    </w:p>
    <w:p>
      <w:pPr>
        <w:pStyle w:val="Para 03"/>
      </w:pPr>
      <w:r>
        <w:t>1. Create a private and public encryption key pair.</w:t>
      </w:r>
    </w:p>
    <w:p>
      <w:pPr>
        <w:pStyle w:val="Para 03"/>
      </w:pPr>
      <w:r>
        <w:t>2. Create a certificate signing request based on the public key. The certificate request</w:t>
      </w:r>
    </w:p>
    <w:p>
      <w:pPr>
        <w:pStyle w:val="Para 02"/>
      </w:pPr>
      <w:r>
        <w:t>contains information about your server and the company hosting it.</w:t>
      </w:r>
    </w:p>
    <w:p>
      <w:pPr>
        <w:pStyle w:val="Para 03"/>
      </w:pPr>
      <w:r>
        <w:t>3. Send the certificate request, along with documents proving your identity, to a CA. We</w:t>
      </w:r>
    </w:p>
    <w:p>
      <w:pPr>
        <w:pStyle w:val="Para 02"/>
      </w:pPr>
      <w:r>
        <w:t>cannot tell you which certificate authority to choose. Your decision may be based on your past experiences, or on the experiences of your friends or colleagues, or purely on monetary factors.</w:t>
      </w:r>
    </w:p>
    <w:p>
      <w:bookmarkStart w:id="1250" w:name="page_7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7" name="index-792_1.png" descr="index-792_1.png"/>
            <wp:cNvGraphicFramePr>
              <a:graphicFrameLocks noChangeAspect="1"/>
            </wp:cNvGraphicFramePr>
            <a:graphic>
              <a:graphicData uri="http://schemas.openxmlformats.org/drawingml/2006/picture">
                <pic:pic>
                  <pic:nvPicPr>
                    <pic:cNvPr id="0" name="index-792_1.png" descr="index-792_1.png"/>
                    <pic:cNvPicPr/>
                  </pic:nvPicPr>
                  <pic:blipFill>
                    <a:blip r:embed="rId831"/>
                    <a:stretch>
                      <a:fillRect/>
                    </a:stretch>
                  </pic:blipFill>
                  <pic:spPr>
                    <a:xfrm>
                      <a:off x="0" y="0"/>
                      <a:ext cx="914400" cy="266700"/>
                    </a:xfrm>
                    <a:prstGeom prst="rect">
                      <a:avLst/>
                    </a:prstGeom>
                  </pic:spPr>
                </pic:pic>
              </a:graphicData>
            </a:graphic>
          </wp:anchor>
        </w:drawing>
      </w:r>
      <w:bookmarkEnd w:id="1250"/>
    </w:p>
    <w:p>
      <w:pPr>
        <w:pStyle w:val="Para 02"/>
      </w:pPr>
      <w:r>
        <w:t>Once you have decided upon a CA, you need to follow the instructions they provide on how to obtain a certificate from them.</w:t>
      </w:r>
    </w:p>
    <w:p>
      <w:pPr>
        <w:pStyle w:val="Para 03"/>
      </w:pPr>
      <w:r>
        <w:t>4. When the CA is satisfied that you are indeed who you claim to be, they send you a digital</w:t>
      </w:r>
    </w:p>
    <w:p>
      <w:pPr>
        <w:pStyle w:val="Para 02"/>
      </w:pPr>
      <w:r>
        <w:t>certificate.</w:t>
      </w:r>
    </w:p>
    <w:p>
      <w:pPr>
        <w:pStyle w:val="Para 03"/>
      </w:pPr>
      <w:r>
        <w:t>5. Install this certificate on your secure server, and configure the appropriate applications</w:t>
      </w:r>
    </w:p>
    <w:p>
      <w:pPr>
        <w:pStyle w:val="Para 02"/>
      </w:pPr>
      <w:r>
        <w:t>to use the certificate.</w:t>
      </w:r>
    </w:p>
    <w:p>
      <w:pPr>
        <w:pStyle w:val="Para 17"/>
      </w:pPr>
      <w:r>
        <w:t/>
      </w:r>
    </w:p>
    <w:p>
      <w:pPr>
        <w:pStyle w:val="Para 01"/>
      </w:pPr>
      <w:r>
        <w:t>Generate a Certificate Signing Request (CSR)</w:t>
      </w:r>
    </w:p>
    <w:p>
      <w:pPr>
        <w:pStyle w:val="Para 17"/>
      </w:pPr>
      <w:r>
        <w:t/>
      </w:r>
    </w:p>
    <w:p>
      <w:pPr>
        <w:pStyle w:val="Normal"/>
      </w:pPr>
      <w:r>
        <w:t>Whether you are getting a certificate from a CA or generating your own self-signed certifi-cate, the first step is to generate a key.</w:t>
      </w:r>
    </w:p>
    <w:p>
      <w:pPr>
        <w:pStyle w:val="Normal"/>
      </w:pPr>
      <w:r>
        <w:t>If the certificate will be used by service daemons, such as Apache, Postfix, Dovecot, etc., a key without a passphrase is often appropriate. Not having a passphrase allows the services to start without manual intervention, usually the preferred way to start a daemon.</w:t>
      </w:r>
    </w:p>
    <w:p>
      <w:pPr>
        <w:pStyle w:val="Normal"/>
      </w:pPr>
      <w:r>
        <w:t xml:space="preserve">This section will cover generating a key both with or without a passphrase. </w:t>
        <w:t>The non-</w:t>
      </w:r>
    </w:p>
    <w:p>
      <w:pPr>
        <w:pStyle w:val="Normal"/>
      </w:pPr>
      <w:r>
        <w:t>passphrase key will then be used to generate a certificate that can be used with various ser-vice daemons.</w:t>
      </w:r>
    </w:p>
    <w:p>
      <w:pPr>
        <w:pStyle w:val="Para 17"/>
      </w:pPr>
      <w:r>
        <w:t/>
      </w:r>
    </w:p>
    <w:p>
      <w:pPr>
        <w:pStyle w:val="Para 08"/>
      </w:pPr>
      <w:r>
        <w:t>Warning:</w:t>
      </w:r>
    </w:p>
    <w:p>
      <w:pPr>
        <w:pStyle w:val="Para 17"/>
      </w:pPr>
      <w:r>
        <w:t/>
      </w:r>
    </w:p>
    <w:p>
      <w:pPr>
        <w:pStyle w:val="Para 03"/>
      </w:pPr>
      <w:r>
        <w:t>Running your secure service without a passphrase is convenient because you will not need</w:t>
      </w:r>
    </w:p>
    <w:p>
      <w:pPr>
        <w:pStyle w:val="Para 03"/>
      </w:pPr>
      <w:r>
        <w:t>to enter the passphrase every time you start your secure service. But it is insecure – a</w:t>
      </w:r>
    </w:p>
    <w:p>
      <w:pPr>
        <w:pStyle w:val="Para 03"/>
      </w:pPr>
      <w:r>
        <w:t>compromise of the key means a compromise of the server as well.</w:t>
      </w:r>
    </w:p>
    <w:p>
      <w:pPr>
        <w:pStyle w:val="Para 17"/>
      </w:pPr>
      <w:r>
        <w:t/>
      </w:r>
    </w:p>
    <w:p>
      <w:pPr>
        <w:pStyle w:val="Normal"/>
      </w:pPr>
      <w:r>
        <w:t>To generate the keys for the Certificate Signing Request (CSR) run the following command from a terminal prompt:</w:t>
      </w:r>
    </w:p>
    <w:p>
      <w:pPr>
        <w:pStyle w:val="Normal"/>
      </w:pPr>
      <w:r>
        <w:t>openssl genrsa -des3 -out server.key</w:t>
        <w:t xml:space="preserve"> </w:t>
        <w:t>2048</w:t>
      </w:r>
    </w:p>
    <w:p>
      <w:pPr>
        <w:pStyle w:val="Normal"/>
      </w:pPr>
      <w:r>
        <w:t>Generating RSA private key,</w:t>
        <w:t xml:space="preserve"> </w:t>
        <w:t>2048</w:t>
        <w:t xml:space="preserve"> </w:t>
        <w:t>bit long modulus</w:t>
        <w:t xml:space="preserve"> </w:t>
        <w:t>..........................++++++</w:t>
      </w:r>
    </w:p>
    <w:p>
      <w:pPr>
        <w:pStyle w:val="Normal"/>
      </w:pPr>
      <w:r>
        <w:t>.......++++++</w:t>
      </w:r>
    </w:p>
    <w:p>
      <w:pPr>
        <w:pStyle w:val="Normal"/>
      </w:pPr>
      <w:r>
        <w:t>e is</w:t>
        <w:t xml:space="preserve"> </w:t>
        <w:t>65537</w:t>
        <w:t xml:space="preserve"> </w:t>
        <w:t>(</w:t>
        <w:t>0x10001</w:t>
        <w:t>)</w:t>
      </w:r>
    </w:p>
    <w:p>
      <w:pPr>
        <w:pStyle w:val="Normal"/>
      </w:pPr>
      <w:r>
        <w:t>Enter pass phrase</w:t>
        <w:t xml:space="preserve"> </w:t>
      </w:r>
      <w:r>
        <w:rPr>
          <w:rStyle w:val="Text0"/>
        </w:rPr>
        <w:t>for</w:t>
      </w:r>
      <w:r>
        <w:t xml:space="preserve"> </w:t>
        <w:t>server.key:</w:t>
      </w:r>
    </w:p>
    <w:p>
      <w:pPr>
        <w:pStyle w:val="Para 17"/>
      </w:pPr>
      <w:r>
        <w:t/>
      </w:r>
    </w:p>
    <w:p>
      <w:pPr>
        <w:pStyle w:val="Normal"/>
      </w:pPr>
      <w:r>
        <w:t xml:space="preserve">You can now enter your passphrase. For best security, it should contain </w:t>
      </w:r>
      <w:r>
        <w:rPr>
          <w:rStyle w:val="Text0"/>
        </w:rPr>
        <w:t>at least</w:t>
      </w:r>
      <w:r>
        <w:t xml:space="preserve"> eight char-acters. The minimum length when specifying-des3 is four characters. As a best practice it should also include numbers and/or punctuation and not be a word in a dictionary. Also re-member that your passphrase is case-sensitive.</w:t>
      </w:r>
    </w:p>
    <w:p>
      <w:pPr>
        <w:pStyle w:val="Normal"/>
      </w:pPr>
      <w:r>
        <w:t>Re-type the passphrase to verify. Once you have re-typed it correctly, the server key is gen-erated and stored in the server.key file.</w:t>
      </w:r>
    </w:p>
    <w:p>
      <w:pPr>
        <w:pStyle w:val="Normal"/>
      </w:pPr>
      <w:r>
        <w:t>Now create the insecure key, the one without a passphrase, and shuffle the key names:</w:t>
      </w:r>
    </w:p>
    <w:p>
      <w:pPr>
        <w:pStyle w:val="Normal"/>
      </w:pPr>
      <w:r>
        <w:t>openssl rsa -in server.key -out server.key.insecure</w:t>
      </w:r>
    </w:p>
    <w:p>
      <w:pPr>
        <w:pStyle w:val="Normal"/>
      </w:pPr>
      <w:r>
        <w:t>mv server.key server.key.secure</w:t>
      </w:r>
    </w:p>
    <w:p>
      <w:pPr>
        <w:pStyle w:val="Normal"/>
      </w:pPr>
      <w:r>
        <w:t>mv server.key.insecure server.key</w:t>
      </w:r>
    </w:p>
    <w:p>
      <w:pPr>
        <w:pStyle w:val="Para 17"/>
      </w:pPr>
      <w:r>
        <w:t/>
      </w:r>
    </w:p>
    <w:p>
      <w:pPr>
        <w:pStyle w:val="Normal"/>
      </w:pPr>
      <w:r>
        <w:t>The insecure key is now named server.key, and you can use this file to generate the CSR without a passphrase.</w:t>
      </w:r>
    </w:p>
    <w:p>
      <w:bookmarkStart w:id="1251" w:name="page_7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8" name="index-793_1.png" descr="index-793_1.png"/>
            <wp:cNvGraphicFramePr>
              <a:graphicFrameLocks noChangeAspect="1"/>
            </wp:cNvGraphicFramePr>
            <a:graphic>
              <a:graphicData uri="http://schemas.openxmlformats.org/drawingml/2006/picture">
                <pic:pic>
                  <pic:nvPicPr>
                    <pic:cNvPr id="0" name="index-793_1.png" descr="index-793_1.png"/>
                    <pic:cNvPicPr/>
                  </pic:nvPicPr>
                  <pic:blipFill>
                    <a:blip r:embed="rId832"/>
                    <a:stretch>
                      <a:fillRect/>
                    </a:stretch>
                  </pic:blipFill>
                  <pic:spPr>
                    <a:xfrm>
                      <a:off x="0" y="0"/>
                      <a:ext cx="914400" cy="266700"/>
                    </a:xfrm>
                    <a:prstGeom prst="rect">
                      <a:avLst/>
                    </a:prstGeom>
                  </pic:spPr>
                </pic:pic>
              </a:graphicData>
            </a:graphic>
          </wp:anchor>
        </w:drawing>
      </w:r>
      <w:bookmarkEnd w:id="1251"/>
    </w:p>
    <w:p>
      <w:pPr>
        <w:pStyle w:val="Normal"/>
      </w:pPr>
      <w:r>
        <w:t>To create the CSR, run the following command at a terminal prompt:</w:t>
      </w:r>
    </w:p>
    <w:p>
      <w:pPr>
        <w:pStyle w:val="Normal"/>
      </w:pPr>
      <w:r>
        <w:t>openssl req -new -key server.key -out server.csr</w:t>
      </w:r>
    </w:p>
    <w:p>
      <w:pPr>
        <w:pStyle w:val="Para 17"/>
      </w:pPr>
      <w:r>
        <w:t/>
      </w:r>
    </w:p>
    <w:p>
      <w:pPr>
        <w:pStyle w:val="Normal"/>
      </w:pPr>
      <w:r>
        <w:t>It will prompt you to enter the passphrase. If you enter the correct passphrase, it will prompt you to enter ‘Company Name’, ‘Site Name’, ‘Email ID’, etc. Once you enter all these details, your CSR will be created and it will be stored in the server.csr file.</w:t>
      </w:r>
    </w:p>
    <w:p>
      <w:pPr>
        <w:pStyle w:val="Normal"/>
      </w:pPr>
      <w:r>
        <w:t>You can now submit this CSR file to a CA for processing. The CA will use this CSR file and issue the certificate. Alternatively, you can create self-signed certificate using this CSR.</w:t>
      </w:r>
    </w:p>
    <w:p>
      <w:pPr>
        <w:pStyle w:val="Para 17"/>
      </w:pPr>
      <w:r>
        <w:t/>
      </w:r>
    </w:p>
    <w:p>
      <w:pPr>
        <w:pStyle w:val="Para 01"/>
      </w:pPr>
      <w:r>
        <w:t>Creating a self-signed certificate</w:t>
      </w:r>
    </w:p>
    <w:p>
      <w:pPr>
        <w:pStyle w:val="Para 17"/>
      </w:pPr>
      <w:r>
        <w:t/>
      </w:r>
    </w:p>
    <w:p>
      <w:pPr>
        <w:pStyle w:val="Normal"/>
      </w:pPr>
      <w:r>
        <w:t>To create the self-signed certificate, run the following command at a terminal prompt:</w:t>
      </w:r>
    </w:p>
    <w:p>
      <w:pPr>
        <w:pStyle w:val="Normal"/>
      </w:pPr>
      <w:r>
        <w:t>openssl x509 -req -days</w:t>
        <w:t xml:space="preserve"> </w:t>
        <w:t>365</w:t>
        <w:t>-in server.csr -signkey server.key -out server.crt</w:t>
      </w:r>
    </w:p>
    <w:p>
      <w:pPr>
        <w:pStyle w:val="Para 17"/>
      </w:pPr>
      <w:r>
        <w:t/>
      </w:r>
    </w:p>
    <w:p>
      <w:pPr>
        <w:pStyle w:val="Normal"/>
      </w:pPr>
      <w:r>
        <w:t>The above command will prompt you to enter the passphrase. Once you enter the correct passphrase, your certificate will be created and it will be stored in the server.crt file.</w:t>
      </w:r>
    </w:p>
    <w:p>
      <w:pPr>
        <w:pStyle w:val="Para 17"/>
      </w:pPr>
      <w:r>
        <w:t/>
      </w:r>
    </w:p>
    <w:p>
      <w:pPr>
        <w:pStyle w:val="Para 08"/>
      </w:pPr>
      <w:r>
        <w:t>Warning:</w:t>
      </w:r>
    </w:p>
    <w:p>
      <w:pPr>
        <w:pStyle w:val="Para 17"/>
      </w:pPr>
      <w:r>
        <w:t/>
      </w:r>
    </w:p>
    <w:p>
      <w:pPr>
        <w:pStyle w:val="Para 03"/>
      </w:pPr>
      <w:r>
        <w:t>If your secure server is to be used in a production environment, you probably need a CA-</w:t>
      </w:r>
    </w:p>
    <w:p>
      <w:pPr>
        <w:pStyle w:val="Para 03"/>
      </w:pPr>
      <w:r>
        <w:t>signed certificate. It is not recommended to use self-signed certificates in production en-</w:t>
      </w:r>
    </w:p>
    <w:p>
      <w:pPr>
        <w:pStyle w:val="Para 03"/>
      </w:pPr>
      <w:r>
        <w:t>vironments.</w:t>
      </w:r>
    </w:p>
    <w:p>
      <w:pPr>
        <w:pStyle w:val="Para 17"/>
      </w:pPr>
      <w:r>
        <w:t/>
      </w:r>
    </w:p>
    <w:p>
      <w:pPr>
        <w:pStyle w:val="Para 01"/>
      </w:pPr>
      <w:r>
        <w:t>Install the certificate</w:t>
      </w:r>
    </w:p>
    <w:p>
      <w:pPr>
        <w:pStyle w:val="Para 17"/>
      </w:pPr>
      <w:r>
        <w:t/>
      </w:r>
    </w:p>
    <w:p>
      <w:pPr>
        <w:pStyle w:val="Normal"/>
      </w:pPr>
      <w:r>
        <w:t>You can install the key file server.key and certificate file server.crt, or the certificate file issued by your CA, by running following commands at a terminal prompt:</w:t>
      </w:r>
    </w:p>
    <w:p>
      <w:pPr>
        <w:pStyle w:val="Normal"/>
      </w:pPr>
      <w:r>
        <w:t>sudo cp server.crt /etc/ssl/certs</w:t>
      </w:r>
    </w:p>
    <w:p>
      <w:pPr>
        <w:pStyle w:val="Normal"/>
      </w:pPr>
      <w:r>
        <w:t>sudo cp server.key /etc/ssl/private</w:t>
      </w:r>
    </w:p>
    <w:p>
      <w:pPr>
        <w:pStyle w:val="Para 17"/>
      </w:pPr>
      <w:r>
        <w:t/>
      </w:r>
    </w:p>
    <w:p>
      <w:pPr>
        <w:pStyle w:val="Normal"/>
      </w:pPr>
      <w:r>
        <w:t>Now configure any applications that have the ability to use public-key cryptography so that they use the certificate and key files. For example, Apache can provide HTTPS, Dovecot can provide IMAPS and POP3S, etc.</w:t>
      </w:r>
    </w:p>
    <w:p>
      <w:pPr>
        <w:pStyle w:val="Para 17"/>
      </w:pPr>
      <w:r>
        <w:t/>
      </w:r>
    </w:p>
    <w:p>
      <w:pPr>
        <w:pStyle w:val="Para 01"/>
      </w:pPr>
      <w:r>
        <w:t>Certification Authority</w:t>
      </w:r>
    </w:p>
    <w:p>
      <w:pPr>
        <w:pStyle w:val="Para 17"/>
      </w:pPr>
      <w:r>
        <w:t/>
      </w:r>
    </w:p>
    <w:p>
      <w:pPr>
        <w:pStyle w:val="Normal"/>
      </w:pPr>
      <w:r>
        <w:t>If the services on your network require more than a few self-signed certificates it may be worth the additional effort to setup your own internal Certification Authority (CA). Using certificates signed by your own CA allows the various services using the certificates to easily trust other services using certificates issued from the same CA.</w:t>
      </w:r>
    </w:p>
    <w:p>
      <w:pPr>
        <w:pStyle w:val="Normal"/>
      </w:pPr>
      <w:r>
        <w:t>First, create the directories to hold the CA certificate and related files:</w:t>
      </w:r>
    </w:p>
    <w:p>
      <w:pPr>
        <w:pStyle w:val="Normal"/>
      </w:pPr>
      <w:r>
        <w:t>sudo mkdir /etc/ssl/CA</w:t>
      </w:r>
    </w:p>
    <w:p>
      <w:pPr>
        <w:pStyle w:val="Normal"/>
      </w:pPr>
      <w:r>
        <w:t>sudo mkdir /etc/ssl/newcerts</w:t>
        <w:t xml:space="preserve"> The CA needs a few additional files to operate; one to keep track of the last serial number used by the CA (each certificate must have a unique serial number), and another file to record which certificates have been issued:</w:t>
      </w:r>
    </w:p>
    <w:p>
      <w:bookmarkStart w:id="1252" w:name="page_7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29" name="index-794_1.png" descr="index-794_1.png"/>
            <wp:cNvGraphicFramePr>
              <a:graphicFrameLocks noChangeAspect="1"/>
            </wp:cNvGraphicFramePr>
            <a:graphic>
              <a:graphicData uri="http://schemas.openxmlformats.org/drawingml/2006/picture">
                <pic:pic>
                  <pic:nvPicPr>
                    <pic:cNvPr id="0" name="index-794_1.png" descr="index-794_1.png"/>
                    <pic:cNvPicPr/>
                  </pic:nvPicPr>
                  <pic:blipFill>
                    <a:blip r:embed="rId833"/>
                    <a:stretch>
                      <a:fillRect/>
                    </a:stretch>
                  </pic:blipFill>
                  <pic:spPr>
                    <a:xfrm>
                      <a:off x="0" y="0"/>
                      <a:ext cx="914400" cy="266700"/>
                    </a:xfrm>
                    <a:prstGeom prst="rect">
                      <a:avLst/>
                    </a:prstGeom>
                  </pic:spPr>
                </pic:pic>
              </a:graphicData>
            </a:graphic>
          </wp:anchor>
        </w:drawing>
      </w:r>
      <w:bookmarkEnd w:id="1252"/>
    </w:p>
    <w:p>
      <w:pPr>
        <w:pStyle w:val="Normal"/>
      </w:pPr>
      <w:r>
        <w:t>sudo sh -c</w:t>
        <w:t xml:space="preserve"> </w:t>
        <w:t>"echo '01' &gt; /etc/ssl/CA/serial"</w:t>
        <w:t xml:space="preserve"> </w:t>
        <w:t>sudo touch /etc/ssl/CA/index.txt</w:t>
      </w:r>
    </w:p>
    <w:p>
      <w:pPr>
        <w:pStyle w:val="Para 17"/>
      </w:pPr>
      <w:r>
        <w:t/>
      </w:r>
    </w:p>
    <w:p>
      <w:pPr>
        <w:pStyle w:val="Normal"/>
      </w:pPr>
      <w:r>
        <w:t>The third file is a CA configuration file. Though not strictly necessary, it is convenient when issuing multiple certificates. Edit /etc/ssl/openssl.cnf, and in the [ CA_default ], change:</w:t>
      </w:r>
    </w:p>
    <w:p>
      <w:pPr>
        <w:pStyle w:val="Normal"/>
      </w:pPr>
      <w:r>
        <w:t>dir</w:t>
        <w:t xml:space="preserve"> </w:t>
        <w:t>= /etc/ssl</w:t>
        <w:t xml:space="preserve"> </w:t>
        <w:t># Where everything is kept</w:t>
        <w:t xml:space="preserve"> </w:t>
        <w:t>database</w:t>
        <w:t xml:space="preserve"> </w:t>
        <w:t>= $dir/CA/index.txt</w:t>
        <w:t xml:space="preserve"> </w:t>
        <w:t># database index file.</w:t>
        <w:t xml:space="preserve"> </w:t>
        <w:t>certificate</w:t>
        <w:t xml:space="preserve"> </w:t>
        <w:t>= $dir/certs/cacert.pem # The CA certificate</w:t>
        <w:t xml:space="preserve"> </w:t>
        <w:t>serial</w:t>
        <w:t xml:space="preserve"> </w:t>
        <w:t>= $dir/CA/serial</w:t>
        <w:t xml:space="preserve"> </w:t>
        <w:t># The current serial number</w:t>
        <w:t xml:space="preserve"> </w:t>
        <w:t>private_key</w:t>
        <w:t xml:space="preserve"> </w:t>
        <w:t>= $dir/private/cakey.pem# The private key</w:t>
      </w:r>
    </w:p>
    <w:p>
      <w:pPr>
        <w:pStyle w:val="Para 17"/>
      </w:pPr>
      <w:r>
        <w:t/>
      </w:r>
    </w:p>
    <w:p>
      <w:pPr>
        <w:pStyle w:val="Normal"/>
      </w:pPr>
      <w:r>
        <w:t>Next, create the self-signed root certificate:</w:t>
      </w:r>
    </w:p>
    <w:p>
      <w:pPr>
        <w:pStyle w:val="Normal"/>
      </w:pPr>
      <w:r>
        <w:t>openssl req -new -x509 -extensions v3_ca -keyout cakey.pem -out cacert.pem -days</w:t>
        <w:t xml:space="preserve"> </w:t>
        <w:t>3650</w:t>
      </w:r>
    </w:p>
    <w:p>
      <w:pPr>
        <w:pStyle w:val="Para 17"/>
      </w:pPr>
      <w:r>
        <w:t/>
      </w:r>
    </w:p>
    <w:p>
      <w:pPr>
        <w:pStyle w:val="Normal"/>
      </w:pPr>
      <w:r>
        <w:t>You will then be asked to enter the details about the certificate. Next, install the root certifi-cate and key:</w:t>
      </w:r>
    </w:p>
    <w:p>
      <w:pPr>
        <w:pStyle w:val="Normal"/>
      </w:pPr>
      <w:r>
        <w:t>sudo mv cakey.pem /etc/ssl/private/</w:t>
      </w:r>
    </w:p>
    <w:p>
      <w:pPr>
        <w:pStyle w:val="Normal"/>
      </w:pPr>
      <w:r>
        <w:t>sudo mv cacert.pem /etc/ssl/certs/</w:t>
      </w:r>
    </w:p>
    <w:p>
      <w:pPr>
        <w:pStyle w:val="Para 17"/>
      </w:pPr>
      <w:r>
        <w:t/>
      </w:r>
    </w:p>
    <w:p>
      <w:pPr>
        <w:pStyle w:val="Normal"/>
      </w:pPr>
      <w:r>
        <w:t>You are now ready to start signing certificates. The first item needed is a Certificate Signing Request (CSR) – see the “Generating a CSR” section above for details. Once you have a CSR, enter the following to generate a certificate signed by the CA:</w:t>
      </w:r>
    </w:p>
    <w:p>
      <w:pPr>
        <w:pStyle w:val="Normal"/>
      </w:pPr>
      <w:r>
        <w:t>sudo openssl ca -in server.csr -config /etc/ssl/openssl.cnf</w:t>
      </w:r>
    </w:p>
    <w:p>
      <w:pPr>
        <w:pStyle w:val="Para 17"/>
      </w:pPr>
      <w:r>
        <w:t/>
      </w:r>
    </w:p>
    <w:p>
      <w:pPr>
        <w:pStyle w:val="Normal"/>
      </w:pPr>
      <w:r>
        <w:t>After entering the password for the CA key, you will be prompted to sign the certificate, and again to commit the new certificate. You should then see a somewhat large amount of output related to the certificate creation.</w:t>
      </w:r>
    </w:p>
    <w:p>
      <w:pPr>
        <w:pStyle w:val="Normal"/>
      </w:pPr>
      <w:r>
        <w:t>There should now be a new file, /etc/ssl/newcerts/01.pem, containing the same output. Copy and paste everything beginning with the-----BEGIN CERTIFICATE-----line and con-</w:t>
      </w:r>
    </w:p>
    <w:p>
      <w:pPr>
        <w:pStyle w:val="Normal"/>
      </w:pPr>
      <w:r>
        <w:t xml:space="preserve">tinuing through to the----END CERTIFICATE-----lines to a file named after the </w:t>
      </w:r>
      <w:hyperlink w:anchor="page_688">
        <w:r>
          <w:rPr>
            <w:rStyle w:val="Text2"/>
          </w:rPr>
          <w:t>hostname</w:t>
        </w:r>
      </w:hyperlink>
      <w:r>
        <w:t xml:space="preserve"> of the server where the certificate will be installed. For example mail.example.com.crt, is a nice descriptive name.</w:t>
      </w:r>
    </w:p>
    <w:p>
      <w:pPr>
        <w:pStyle w:val="Normal"/>
      </w:pPr>
      <w:r>
        <w:t>Subsequent certificates will be named 02.pem, 03.pem, etc.</w:t>
      </w:r>
    </w:p>
    <w:p>
      <w:pPr>
        <w:pStyle w:val="Para 17"/>
      </w:pPr>
      <w:r>
        <w:t/>
      </w:r>
    </w:p>
    <w:p>
      <w:pPr>
        <w:pStyle w:val="Para 08"/>
      </w:pPr>
      <w:r>
        <w:t>Note:</w:t>
      </w:r>
    </w:p>
    <w:p>
      <w:pPr>
        <w:pStyle w:val="Para 03"/>
      </w:pPr>
      <w:r>
        <w:t>Replace mail.example.com.crt with your own descriptive name.</w:t>
      </w:r>
    </w:p>
    <w:p>
      <w:pPr>
        <w:pStyle w:val="Para 17"/>
      </w:pPr>
      <w:r>
        <w:t/>
      </w:r>
    </w:p>
    <w:p>
      <w:pPr>
        <w:pStyle w:val="Normal"/>
      </w:pPr>
      <w:r>
        <w:t>Finally, copy the new certificate to the host that needs it, and configure the appropriate ap-plications to use it. The default location to install certificates is /etc/ssl/certs. This enables multiple services to use the same certificate without overly complicated file permissions.</w:t>
      </w:r>
    </w:p>
    <w:p>
      <w:pPr>
        <w:pStyle w:val="Normal"/>
      </w:pPr>
      <w:r>
        <w:t xml:space="preserve">For applications that can be configured to use a CA certificate, you should also copy the / etc/ssl/certs/cacert.pem file to the /etc/ssl/certs/ directory on each server. </w:t>
      </w:r>
      <w:r>
        <w:rPr>
          <w:rStyle w:val="Text0"/>
        </w:rPr>
        <w:t>Further reading</w:t>
      </w:r>
    </w:p>
    <w:p>
      <w:bookmarkStart w:id="1253" w:name="page_7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0" name="index-795_1.png" descr="index-795_1.png"/>
            <wp:cNvGraphicFramePr>
              <a:graphicFrameLocks noChangeAspect="1"/>
            </wp:cNvGraphicFramePr>
            <a:graphic>
              <a:graphicData uri="http://schemas.openxmlformats.org/drawingml/2006/picture">
                <pic:pic>
                  <pic:nvPicPr>
                    <pic:cNvPr id="0" name="index-795_1.png" descr="index-795_1.png"/>
                    <pic:cNvPicPr/>
                  </pic:nvPicPr>
                  <pic:blipFill>
                    <a:blip r:embed="rId834"/>
                    <a:stretch>
                      <a:fillRect/>
                    </a:stretch>
                  </pic:blipFill>
                  <pic:spPr>
                    <a:xfrm>
                      <a:off x="0" y="0"/>
                      <a:ext cx="914400" cy="266700"/>
                    </a:xfrm>
                    <a:prstGeom prst="rect">
                      <a:avLst/>
                    </a:prstGeom>
                  </pic:spPr>
                </pic:pic>
              </a:graphicData>
            </a:graphic>
          </wp:anchor>
        </w:drawing>
      </w:r>
      <w:bookmarkEnd w:id="1253"/>
    </w:p>
    <w:p>
      <w:pPr>
        <w:pStyle w:val="Para 17"/>
      </w:pPr>
      <w:r>
        <w:t/>
      </w:r>
    </w:p>
    <w:p>
      <w:pPr>
        <w:pStyle w:val="Para 04"/>
      </w:pPr>
      <w:r>
        <w:t xml:space="preserve">• The Wikipedia </w:t>
      </w:r>
      <w:hyperlink r:id="rId1678">
        <w:r>
          <w:rPr>
            <w:rStyle w:val="Text9"/>
          </w:rPr>
          <w:t>793</w:t>
        </w:r>
      </w:hyperlink>
      <w:hyperlink r:id="rId1678">
        <w:r>
          <w:rPr>
            <w:rStyle w:val="Text1"/>
          </w:rPr>
          <w:t xml:space="preserve"> HTTPS page</w:t>
        </w:r>
      </w:hyperlink>
      <w:r>
        <w:t xml:space="preserve"> has more information regarding HTTPS.</w:t>
      </w:r>
    </w:p>
    <w:p>
      <w:pPr>
        <w:pStyle w:val="Para 04"/>
      </w:pPr>
      <w:r>
        <w:t xml:space="preserve">• For more information on OpenSSL see the </w:t>
      </w:r>
      <w:hyperlink w:anchor="page_795">
        <w:r>
          <w:rPr>
            <w:rStyle w:val="Text9"/>
          </w:rPr>
          <w:t>794</w:t>
        </w:r>
      </w:hyperlink>
      <w:r>
        <w:t xml:space="preserve"> </w:t>
      </w:r>
      <w:hyperlink r:id="rId1679">
        <w:r>
          <w:rPr>
            <w:rStyle w:val="Text1"/>
          </w:rPr>
          <w:t>OpenSSL Home Page</w:t>
        </w:r>
      </w:hyperlink>
      <w:r>
        <w:t>.</w:t>
      </w:r>
    </w:p>
    <w:p>
      <w:pPr>
        <w:pStyle w:val="Para 04"/>
      </w:pPr>
      <w:r>
        <w:t>• Also, O’Reilly’s “Network Security with OpenSSL” is a good in-depth reference.</w:t>
      </w:r>
    </w:p>
    <w:p>
      <w:pPr>
        <w:pStyle w:val="Para 17"/>
      </w:pPr>
      <w:r>
        <w:t/>
      </w:r>
    </w:p>
    <w:p>
      <w:pPr>
        <w:pStyle w:val="Para 01"/>
      </w:pPr>
      <w:r>
        <w:t>Virtual Private Network (VPN)</w:t>
      </w:r>
    </w:p>
    <w:p>
      <w:pPr>
        <w:pStyle w:val="Para 17"/>
      </w:pPr>
      <w:r>
        <w:t/>
      </w:r>
    </w:p>
    <w:p>
      <w:pPr>
        <w:pStyle w:val="Normal"/>
      </w:pPr>
      <w:r>
        <w:t>VPNs are commonly used to provide encrypted, secure access to a network.</w:t>
      </w:r>
    </w:p>
    <w:p>
      <w:pPr>
        <w:pStyle w:val="Para 04"/>
      </w:pPr>
      <w:r>
        <w:t xml:space="preserve">• </w:t>
      </w:r>
      <w:hyperlink w:anchor="page_795">
        <w:r>
          <w:rPr>
            <w:rStyle w:val="Text2"/>
          </w:rPr>
          <w:t>Introduction to WireGuard VPN</w:t>
        </w:r>
      </w:hyperlink>
      <w:r>
        <w:t xml:space="preserve"> (page 794), a popular and modern VPN implementation</w:t>
      </w:r>
    </w:p>
    <w:p>
      <w:pPr>
        <w:pStyle w:val="Para 04"/>
      </w:pPr>
      <w:r>
        <w:t xml:space="preserve">• </w:t>
      </w:r>
      <w:hyperlink w:anchor="page_800">
        <w:r>
          <w:rPr>
            <w:rStyle w:val="Text2"/>
          </w:rPr>
          <w:t>OpenVPN clients</w:t>
        </w:r>
      </w:hyperlink>
      <w:r>
        <w:t xml:space="preserve"> (page 799) provides a list of client implementations that can be used</w:t>
      </w:r>
    </w:p>
    <w:p>
      <w:pPr>
        <w:pStyle w:val="Para 02"/>
      </w:pPr>
      <w:r>
        <w:t>with a GUI across platforms.</w:t>
      </w:r>
    </w:p>
    <w:p>
      <w:pPr>
        <w:pStyle w:val="Para 17"/>
      </w:pPr>
      <w:r>
        <w:t/>
      </w:r>
    </w:p>
    <w:p>
      <w:pPr>
        <w:pStyle w:val="Para 01"/>
      </w:pPr>
      <w:r>
        <w:t>Introduction to WireGuard VPN</w:t>
      </w:r>
    </w:p>
    <w:p>
      <w:pPr>
        <w:pStyle w:val="Para 17"/>
      </w:pPr>
      <w:r>
        <w:t/>
      </w:r>
    </w:p>
    <w:p>
      <w:pPr>
        <w:pStyle w:val="Normal"/>
      </w:pPr>
      <w:r>
        <w:t>WireGuard is a simple, fast and modern VPN implementation. It is widely deployed and can be used cross-platform.</w:t>
      </w:r>
    </w:p>
    <w:p>
      <w:pPr>
        <w:pStyle w:val="Normal"/>
      </w:pPr>
      <w:r>
        <w:t>VPNs have traditionally been hard to understand, configure and deploy. WireGuard removed most of that complexity by focusing on its single task, and leaving out things like key distribu-tion and pushed configurations. You get a network interface which encrypts and verifies the traffic, and the remaining tasks like setting up addresses, routing, etc, are left to the usual</w:t>
      </w:r>
    </w:p>
    <w:p>
      <w:pPr>
        <w:pStyle w:val="Normal"/>
      </w:pPr>
      <w:r>
        <w:t xml:space="preserve">system tools like </w:t>
      </w:r>
      <w:hyperlink w:anchor="page_795">
        <w:r>
          <w:rPr>
            <w:rStyle w:val="Text9"/>
          </w:rPr>
          <w:t>795</w:t>
        </w:r>
      </w:hyperlink>
      <w:hyperlink w:anchor="page_795">
        <w:r>
          <w:rPr>
            <w:rStyle w:val="Text1"/>
          </w:rPr>
          <w:t xml:space="preserve"> </w:t>
        </w:r>
      </w:hyperlink>
      <w:hyperlink w:anchor="page_795">
        <w:r>
          <w:rPr>
            <w:rStyle w:val="Text9"/>
          </w:rPr>
          <w:t>796</w:t>
        </w:r>
      </w:hyperlink>
      <w:r>
        <w:t xml:space="preserve"> </w:t>
      </w:r>
      <w:hyperlink r:id="rId1680">
        <w:r>
          <w:rPr>
            <w:rStyle w:val="Text2"/>
          </w:rPr>
          <w:t>ip-route(8)</w:t>
        </w:r>
      </w:hyperlink>
      <w:r>
        <w:t xml:space="preserve"> and </w:t>
      </w:r>
      <w:hyperlink r:id="rId1681">
        <w:r>
          <w:rPr>
            <w:rStyle w:val="Text2"/>
          </w:rPr>
          <w:t>ip-address(8)</w:t>
        </w:r>
      </w:hyperlink>
      <w:r>
        <w:t>.</w:t>
      </w:r>
    </w:p>
    <w:p>
      <w:pPr>
        <w:pStyle w:val="Normal"/>
      </w:pPr>
      <w:r>
        <w:t>Setting up the cryptographic keys is very much similar to configuring SSH for key based au-thentication: each side of the connection has its own private and public key, and the peers’ public key, and this is enough to start encrypting and verifying the exchanged traffic.</w:t>
      </w:r>
    </w:p>
    <w:p>
      <w:pPr>
        <w:pStyle w:val="Normal"/>
      </w:pPr>
      <w:r>
        <w:t>For more details on how WireGuard works, and information on its availability on other plat-forms, please see the references section.</w:t>
      </w:r>
    </w:p>
    <w:p>
      <w:pPr>
        <w:pStyle w:val="Para 17"/>
      </w:pPr>
      <w:r>
        <w:t/>
      </w:r>
    </w:p>
    <w:p>
      <w:pPr>
        <w:pStyle w:val="Para 01"/>
      </w:pPr>
      <w:r>
        <w:t>WireGuard concepts</w:t>
      </w:r>
    </w:p>
    <w:p>
      <w:pPr>
        <w:pStyle w:val="Para 17"/>
      </w:pPr>
      <w:r>
        <w:t/>
      </w:r>
    </w:p>
    <w:p>
      <w:pPr>
        <w:pStyle w:val="Normal"/>
      </w:pPr>
      <w:r>
        <w:t>It helps to think of WireGuard primarily as a network interface, like any other. It will have the usual attributes, like IP address, CIDR, and there will be some routing associated with it. But it also has WireGuard-specific attributes, which handle the VPN part of things.</w:t>
      </w:r>
    </w:p>
    <w:p>
      <w:pPr>
        <w:pStyle w:val="Normal"/>
      </w:pPr>
      <w:r>
        <w:t>All of this can be configured via different tools. WireGuard itself ships its own tools in the</w:t>
      </w:r>
    </w:p>
    <w:p>
      <w:pPr>
        <w:pStyle w:val="Normal"/>
      </w:pPr>
      <w:r>
        <w:t xml:space="preserve">user-space package </w:t>
      </w:r>
      <w:hyperlink w:anchor="page_795">
        <w:r>
          <w:rPr>
            <w:rStyle w:val="Text9"/>
          </w:rPr>
          <w:t>797</w:t>
        </w:r>
      </w:hyperlink>
      <w:r>
        <w:t xml:space="preserve"> </w:t>
      </w:r>
      <w:hyperlink r:id="rId1168">
        <w:r>
          <w:rPr>
            <w:rStyle w:val="Text9"/>
          </w:rPr>
          <w:t>798</w:t>
        </w:r>
      </w:hyperlink>
      <w:r>
        <w:t xml:space="preserve"> wireguard-tools : </w:t>
      </w:r>
      <w:hyperlink r:id="rId1682">
        <w:r>
          <w:rPr>
            <w:rStyle w:val="Text2"/>
          </w:rPr>
          <w:t>wg(8)</w:t>
        </w:r>
      </w:hyperlink>
      <w:r>
        <w:t xml:space="preserve"> and </w:t>
      </w:r>
      <w:hyperlink r:id="rId1168">
        <w:r>
          <w:rPr>
            <w:rStyle w:val="Text2"/>
          </w:rPr>
          <w:t>wg-quick(8)</w:t>
        </w:r>
      </w:hyperlink>
      <w:r>
        <w:t>. But these are not strictly needed: any user space with the right privileges and kernel calls can configure a WireGuard interface. For example, systemd-networkd and network-manager can do it on their own, with-out the WireGuard user-space utilities.</w:t>
      </w:r>
    </w:p>
    <w:p>
      <w:pPr>
        <w:pStyle w:val="Para 05"/>
      </w:pPr>
      <w:r>
        <w:rPr>
          <w:rStyle w:val="Text5"/>
        </w:rPr>
        <w:t>793</w:t>
      </w:r>
      <w:r>
        <w:rPr>
          <w:rStyle w:val="Text8"/>
        </w:rPr>
        <w:t xml:space="preserve"> </w:t>
      </w:r>
      <w:r>
        <w:t>https://en.wikipedia.org/wiki/HTTPS</w:t>
      </w:r>
    </w:p>
    <w:p>
      <w:pPr>
        <w:pStyle w:val="Para 05"/>
      </w:pPr>
      <w:r>
        <w:rPr>
          <w:rStyle w:val="Text5"/>
        </w:rPr>
        <w:t>794</w:t>
      </w:r>
      <w:r>
        <w:rPr>
          <w:rStyle w:val="Text8"/>
        </w:rPr>
        <w:t xml:space="preserve"> </w:t>
      </w:r>
      <w:r>
        <w:t>https://www.openssl.org/</w:t>
      </w:r>
    </w:p>
    <w:p>
      <w:pPr>
        <w:pStyle w:val="Para 05"/>
      </w:pPr>
      <w:r>
        <w:rPr>
          <w:rStyle w:val="Text5"/>
        </w:rPr>
        <w:t>795</w:t>
      </w:r>
      <w:r>
        <w:rPr>
          <w:rStyle w:val="Text8"/>
        </w:rPr>
        <w:t xml:space="preserve"> </w:t>
      </w:r>
      <w:r>
        <w:t>https://manpages.ubuntu.com/manpages/resolute/man8/ip-route.8.html</w:t>
      </w:r>
    </w:p>
    <w:p>
      <w:pPr>
        <w:pStyle w:val="Para 05"/>
      </w:pPr>
      <w:r>
        <w:rPr>
          <w:rStyle w:val="Text5"/>
        </w:rPr>
        <w:t>796</w:t>
      </w:r>
      <w:r>
        <w:rPr>
          <w:rStyle w:val="Text8"/>
        </w:rPr>
        <w:t xml:space="preserve"> </w:t>
      </w:r>
      <w:r>
        <w:t>https://manpages.ubuntu.com/manpages/resolute/man8/ip-address.8.html</w:t>
      </w:r>
    </w:p>
    <w:p>
      <w:pPr>
        <w:pStyle w:val="Para 05"/>
      </w:pPr>
      <w:r>
        <w:rPr>
          <w:rStyle w:val="Text5"/>
        </w:rPr>
        <w:t>797</w:t>
      </w:r>
      <w:r>
        <w:rPr>
          <w:rStyle w:val="Text8"/>
        </w:rPr>
        <w:t xml:space="preserve"> </w:t>
      </w:r>
      <w:r>
        <w:t>https://manpages.ubuntu.com/manpages/resolute/man8/wg.8.html</w:t>
      </w:r>
    </w:p>
    <w:p>
      <w:pPr>
        <w:pStyle w:val="Para 05"/>
      </w:pPr>
      <w:r>
        <w:rPr>
          <w:rStyle w:val="Text5"/>
        </w:rPr>
        <w:t>798</w:t>
      </w:r>
      <w:r>
        <w:rPr>
          <w:rStyle w:val="Text8"/>
        </w:rPr>
        <w:t xml:space="preserve"> </w:t>
      </w:r>
      <w:r>
        <w:t>https://manpages.ubuntu.com/manpages/resolute/man8/wg-quick.8.html</w:t>
      </w:r>
      <w:r>
        <w:rPr>
          <w:rStyle w:val="Text8"/>
        </w:rPr>
        <w:t xml:space="preserve"> Important attributes of a WireGuard interface are:</w:t>
      </w:r>
    </w:p>
    <w:p>
      <w:bookmarkStart w:id="1254" w:name="page_7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1" name="index-796_1.png" descr="index-796_1.png"/>
            <wp:cNvGraphicFramePr>
              <a:graphicFrameLocks noChangeAspect="1"/>
            </wp:cNvGraphicFramePr>
            <a:graphic>
              <a:graphicData uri="http://schemas.openxmlformats.org/drawingml/2006/picture">
                <pic:pic>
                  <pic:nvPicPr>
                    <pic:cNvPr id="0" name="index-796_1.png" descr="index-796_1.png"/>
                    <pic:cNvPicPr/>
                  </pic:nvPicPr>
                  <pic:blipFill>
                    <a:blip r:embed="rId835"/>
                    <a:stretch>
                      <a:fillRect/>
                    </a:stretch>
                  </pic:blipFill>
                  <pic:spPr>
                    <a:xfrm>
                      <a:off x="0" y="0"/>
                      <a:ext cx="914400" cy="266700"/>
                    </a:xfrm>
                    <a:prstGeom prst="rect">
                      <a:avLst/>
                    </a:prstGeom>
                  </pic:spPr>
                </pic:pic>
              </a:graphicData>
            </a:graphic>
          </wp:anchor>
        </w:drawing>
      </w:r>
      <w:bookmarkEnd w:id="1254"/>
    </w:p>
    <w:p>
      <w:pPr>
        <w:pStyle w:val="Para 04"/>
      </w:pPr>
      <w:r>
        <w:t xml:space="preserve">• </w:t>
      </w:r>
      <w:r>
        <w:rPr>
          <w:rStyle w:val="Text0"/>
        </w:rPr>
        <w:t>Private key</w:t>
      </w:r>
      <w:r>
        <w:t>: together with the corresponding public key, they are used to authenticate</w:t>
      </w:r>
    </w:p>
    <w:p>
      <w:pPr>
        <w:pStyle w:val="Para 02"/>
      </w:pPr>
      <w:r>
        <w:t>and encrypt data. This is generated with the wg genkey command.</w:t>
      </w:r>
    </w:p>
    <w:p>
      <w:pPr>
        <w:pStyle w:val="Para 04"/>
      </w:pPr>
      <w:r>
        <w:t xml:space="preserve">• </w:t>
      </w:r>
      <w:r>
        <w:rPr>
          <w:rStyle w:val="Text0"/>
        </w:rPr>
        <w:t>Listen port</w:t>
      </w:r>
      <w:r>
        <w:t>: the UDP port that WireGuard will be listening to for incoming traffic.</w:t>
      </w:r>
    </w:p>
    <w:p>
      <w:pPr>
        <w:pStyle w:val="Para 04"/>
      </w:pPr>
      <w:r>
        <w:t xml:space="preserve">• List of </w:t>
      </w:r>
      <w:r>
        <w:rPr>
          <w:rStyle w:val="Text0"/>
        </w:rPr>
        <w:t>peers</w:t>
      </w:r>
      <w:r>
        <w:t>, each one with:</w:t>
      </w:r>
    </w:p>
    <w:p>
      <w:pPr>
        <w:pStyle w:val="Para 06"/>
      </w:pPr>
      <w:r>
        <w:rPr>
          <w:rStyle w:val="Text0"/>
        </w:rPr>
        <w:t>– Public key</w:t>
      </w:r>
      <w:r>
        <w:t>: the public counterpart of the private key. Generated from the private</w:t>
      </w:r>
    </w:p>
    <w:p>
      <w:pPr>
        <w:pStyle w:val="Para 11"/>
      </w:pPr>
      <w:r>
        <w:t>key of that peer, using the wg pubkey command.</w:t>
      </w:r>
    </w:p>
    <w:p>
      <w:pPr>
        <w:pStyle w:val="Para 06"/>
      </w:pPr>
      <w:r>
        <w:rPr>
          <w:rStyle w:val="Text0"/>
        </w:rPr>
        <w:t>– Endpoint</w:t>
      </w:r>
      <w:r>
        <w:t>: where to send the encrypted traffic to. This is optional, but at least one</w:t>
      </w:r>
    </w:p>
    <w:p>
      <w:pPr>
        <w:pStyle w:val="Para 17"/>
      </w:pPr>
      <w:r>
        <w:t>of the corresponding peers must have it to bootstrap the connection.</w:t>
      </w:r>
    </w:p>
    <w:p>
      <w:pPr>
        <w:pStyle w:val="Para 06"/>
      </w:pPr>
      <w:r>
        <w:rPr>
          <w:rStyle w:val="Text0"/>
        </w:rPr>
        <w:t>– Allowed IPs</w:t>
      </w:r>
      <w:r>
        <w:t>: list of inner tunnel destination networks or addresses for this peer</w:t>
      </w:r>
    </w:p>
    <w:p>
      <w:pPr>
        <w:pStyle w:val="Para 11"/>
      </w:pPr>
      <w:r>
        <w:t>when sending traffic, or, when receiving traffic, which source networks or ad-dresses are allowed to send traffic to us.</w:t>
      </w:r>
    </w:p>
    <w:p>
      <w:pPr>
        <w:pStyle w:val="Para 17"/>
      </w:pPr>
      <w:r>
        <w:t/>
      </w:r>
    </w:p>
    <w:p>
      <w:pPr>
        <w:pStyle w:val="Para 08"/>
      </w:pPr>
      <w:r>
        <w:t>Note:</w:t>
      </w:r>
    </w:p>
    <w:p>
      <w:pPr>
        <w:pStyle w:val="Para 03"/>
      </w:pPr>
      <w:r>
        <w:t>Cryptography is not simple. When we say that, for example, a private key is used to de-</w:t>
      </w:r>
    </w:p>
    <w:p>
      <w:pPr>
        <w:pStyle w:val="Para 03"/>
      </w:pPr>
      <w:r>
        <w:t>crypt or sign traffic, and a public key is used to encrypt or verify the authenticity of traffic,</w:t>
      </w:r>
    </w:p>
    <w:p>
      <w:pPr>
        <w:pStyle w:val="Para 03"/>
      </w:pPr>
      <w:r>
        <w:t>this is a simplification and is hiding a lot of important details. WireGuard has a detailed</w:t>
      </w:r>
    </w:p>
    <w:p>
      <w:pPr>
        <w:pStyle w:val="Para 03"/>
      </w:pPr>
      <w:r>
        <w:t xml:space="preserve">explanation of its protocols and cryptography handling </w:t>
      </w:r>
      <w:hyperlink r:id="rId1683">
        <w:r>
          <w:rPr>
            <w:rStyle w:val="Text9"/>
          </w:rPr>
          <w:t>799</w:t>
        </w:r>
      </w:hyperlink>
      <w:hyperlink r:id="rId1683">
        <w:r>
          <w:rPr>
            <w:rStyle w:val="Text1"/>
          </w:rPr>
          <w:t xml:space="preserve"> on its website</w:t>
        </w:r>
      </w:hyperlink>
      <w:r>
        <w:t>.</w:t>
      </w:r>
    </w:p>
    <w:p>
      <w:pPr>
        <w:pStyle w:val="Para 05"/>
      </w:pPr>
      <w:r>
        <w:rPr>
          <w:rStyle w:val="Text5"/>
        </w:rPr>
        <w:t>799</w:t>
      </w:r>
      <w:r>
        <w:rPr>
          <w:rStyle w:val="Text8"/>
        </w:rPr>
        <w:t xml:space="preserve"> </w:t>
      </w:r>
      <w:r>
        <w:t>https://www.wireguard.com/protocol/</w:t>
      </w:r>
    </w:p>
    <w:p>
      <w:pPr>
        <w:pStyle w:val="Para 17"/>
      </w:pPr>
      <w:r>
        <w:t/>
      </w:r>
    </w:p>
    <w:p>
      <w:pPr>
        <w:pStyle w:val="Normal"/>
      </w:pPr>
      <w:r>
        <w:t xml:space="preserve">These parameters can be set with the low-level </w:t>
      </w:r>
      <w:hyperlink w:anchor="page_796">
        <w:r>
          <w:rPr>
            <w:rStyle w:val="Text9"/>
          </w:rPr>
          <w:t>800</w:t>
        </w:r>
      </w:hyperlink>
      <w:r>
        <w:t xml:space="preserve"> </w:t>
      </w:r>
      <w:hyperlink r:id="rId1682">
        <w:r>
          <w:rPr>
            <w:rStyle w:val="Text2"/>
          </w:rPr>
          <w:t>wg(8)</w:t>
        </w:r>
      </w:hyperlink>
      <w:r>
        <w:t xml:space="preserve"> tool, directly via the command line or with a configuration file. This tool, however, doesn’t handle the non-WireGuard settings of the interface. It won’t assign an IP address to it, for example, nor set up routing. For this</w:t>
      </w:r>
    </w:p>
    <w:p>
      <w:pPr>
        <w:pStyle w:val="Normal"/>
      </w:pPr>
      <w:r>
        <w:t xml:space="preserve">reason, it’s more common to use </w:t>
      </w:r>
      <w:hyperlink w:anchor="page_796">
        <w:r>
          <w:rPr>
            <w:rStyle w:val="Text9"/>
          </w:rPr>
          <w:t>801</w:t>
        </w:r>
      </w:hyperlink>
      <w:r>
        <w:t xml:space="preserve"> </w:t>
      </w:r>
      <w:hyperlink r:id="rId1168">
        <w:r>
          <w:rPr>
            <w:rStyle w:val="Text2"/>
          </w:rPr>
          <w:t>wg-quick(8)</w:t>
        </w:r>
      </w:hyperlink>
      <w:r>
        <w:t>.</w:t>
      </w:r>
    </w:p>
    <w:p>
      <w:pPr>
        <w:pStyle w:val="Normal"/>
      </w:pPr>
      <w:r>
        <w:t>wg-quick will handle the lifecycle of the WireGuard interface. It can bring it up or down, set up routing, execute arbitrary commands before or after the interface is up, and more. It aug-ments the configuration file that wg can use, with its own extra settings, which is important to keep in mind when feeding that file to wg, as it will contain settings wg knows nothing about.</w:t>
      </w:r>
    </w:p>
    <w:p>
      <w:pPr>
        <w:pStyle w:val="Normal"/>
      </w:pPr>
      <w:r>
        <w:t>The wg-quick configuration file can have an arbitrary name, and can even be placed anywhere on the system, but the best practice is to:</w:t>
      </w:r>
    </w:p>
    <w:p>
      <w:pPr>
        <w:pStyle w:val="Para 04"/>
      </w:pPr>
      <w:r>
        <w:t>• Place the file in /etc/wireguard.</w:t>
      </w:r>
    </w:p>
    <w:p>
      <w:pPr>
        <w:pStyle w:val="Para 04"/>
      </w:pPr>
      <w:r>
        <w:t>• Name it after the interface it controls.</w:t>
      </w:r>
    </w:p>
    <w:p>
      <w:pPr>
        <w:pStyle w:val="Normal"/>
      </w:pPr>
      <w:r>
        <w:t>For example, a file called /etc/wireguard/wg0.conf will have the needed configuration set-tings for a WireGuard network interface called wg0. By following this practice, you get the benefit of being able to call wg-quick with just the interface name:</w:t>
      </w:r>
    </w:p>
    <w:p>
      <w:pPr>
        <w:pStyle w:val="Normal"/>
      </w:pPr>
      <w:r>
        <w:t>$ sudo wg-quick up wg0</w:t>
      </w:r>
    </w:p>
    <w:p>
      <w:pPr>
        <w:pStyle w:val="Para 17"/>
      </w:pPr>
      <w:r>
        <w:t/>
      </w:r>
    </w:p>
    <w:p>
      <w:pPr>
        <w:pStyle w:val="Normal"/>
      </w:pPr>
      <w:r>
        <w:t>That will bring the wg0 interface up, give it an IP address, set up routing, and configure the WireGuard-specific parameters for it to work. This interface is usually called wg0, but can have any valid network interface name, like office (it doesn’t need an index number after the</w:t>
      </w:r>
    </w:p>
    <w:p>
      <w:pPr>
        <w:pStyle w:val="Para 05"/>
      </w:pPr>
      <w:r>
        <w:rPr>
          <w:rStyle w:val="Text5"/>
        </w:rPr>
        <w:t>800</w:t>
      </w:r>
      <w:r>
        <w:rPr>
          <w:rStyle w:val="Text8"/>
        </w:rPr>
        <w:t xml:space="preserve"> </w:t>
      </w:r>
      <w:r>
        <w:t>https://manpages.ubuntu.com/manpages/resolute/man8/wg.8.html</w:t>
      </w:r>
    </w:p>
    <w:p>
      <w:pPr>
        <w:pStyle w:val="Para 03"/>
      </w:pPr>
      <w:r>
        <w:rPr>
          <w:rStyle w:val="Text5"/>
        </w:rPr>
        <w:t>801</w:t>
      </w:r>
      <w:r>
        <w:t xml:space="preserve"> </w:t>
      </w:r>
      <w:r>
        <w:rPr>
          <w:rStyle w:val="Text6"/>
        </w:rPr>
        <w:t>https://manpages.ubuntu.com/manpages/resolute/man8/wg-quick.8.html</w:t>
      </w:r>
      <w:r>
        <w:t xml:space="preserve"> name), home1, etc. It can help to give it a meaningful name if you plan to connect to multiple peers.</w:t>
      </w:r>
    </w:p>
    <w:p>
      <w:bookmarkStart w:id="1255" w:name="page_7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2" name="index-797_1.png" descr="index-797_1.png"/>
            <wp:cNvGraphicFramePr>
              <a:graphicFrameLocks noChangeAspect="1"/>
            </wp:cNvGraphicFramePr>
            <a:graphic>
              <a:graphicData uri="http://schemas.openxmlformats.org/drawingml/2006/picture">
                <pic:pic>
                  <pic:nvPicPr>
                    <pic:cNvPr id="0" name="index-797_1.png" descr="index-797_1.png"/>
                    <pic:cNvPicPr/>
                  </pic:nvPicPr>
                  <pic:blipFill>
                    <a:blip r:embed="rId836"/>
                    <a:stretch>
                      <a:fillRect/>
                    </a:stretch>
                  </pic:blipFill>
                  <pic:spPr>
                    <a:xfrm>
                      <a:off x="0" y="0"/>
                      <a:ext cx="914400" cy="266700"/>
                    </a:xfrm>
                    <a:prstGeom prst="rect">
                      <a:avLst/>
                    </a:prstGeom>
                  </pic:spPr>
                </pic:pic>
              </a:graphicData>
            </a:graphic>
          </wp:anchor>
        </w:drawing>
      </w:r>
      <w:bookmarkEnd w:id="1255"/>
    </w:p>
    <w:p>
      <w:pPr>
        <w:pStyle w:val="Normal"/>
      </w:pPr>
      <w:r>
        <w:t>Let’s go over an example of such a configuration file:</w:t>
      </w:r>
    </w:p>
    <w:p>
      <w:pPr>
        <w:pStyle w:val="Normal"/>
      </w:pPr>
      <w:r>
        <w:t>[Interface]</w:t>
      </w:r>
    </w:p>
    <w:p>
      <w:pPr>
        <w:pStyle w:val="Normal"/>
      </w:pPr>
      <w:r>
        <w:t>PrivateKey</w:t>
        <w:t xml:space="preserve"> </w:t>
        <w:t>=</w:t>
        <w:t xml:space="preserve"> </w:t>
        <w:t>eJdSgoS7BZ</w:t>
        <w:t>/</w:t>
        <w:t>uWkuSREN</w:t>
        <w:t>+</w:t>
        <w:t>vhCJPPr3M3UlB3v1Su</w:t>
        <w:t>/</w:t>
        <w:t>amWk</w:t>
        <w:t>=</w:t>
        <w:t xml:space="preserve"> </w:t>
        <w:t>ListenPort</w:t>
        <w:t xml:space="preserve"> </w:t>
        <w:t>=</w:t>
        <w:t xml:space="preserve"> </w:t>
        <w:t>51000</w:t>
      </w:r>
    </w:p>
    <w:p>
      <w:pPr>
        <w:pStyle w:val="Normal"/>
      </w:pPr>
      <w:r>
        <w:t>Address</w:t>
        <w:t xml:space="preserve"> </w:t>
        <w:t>=</w:t>
        <w:t xml:space="preserve"> </w:t>
        <w:t>10.10.11.10</w:t>
        <w:t>/</w:t>
        <w:t>24</w:t>
      </w:r>
    </w:p>
    <w:p>
      <w:pPr>
        <w:pStyle w:val="Normal"/>
      </w:pPr>
      <w:r>
        <w:t>[Peer]</w:t>
      </w:r>
    </w:p>
    <w:p>
      <w:pPr>
        <w:pStyle w:val="Para 10"/>
      </w:pPr>
      <w:r>
        <w:t># office</w:t>
      </w:r>
    </w:p>
    <w:p>
      <w:pPr>
        <w:pStyle w:val="Normal"/>
      </w:pPr>
      <w:r>
        <w:t>PublicKey</w:t>
        <w:t xml:space="preserve"> </w:t>
        <w:t>=</w:t>
        <w:t xml:space="preserve"> </w:t>
        <w:t>xeWmdxiLjgebpcItF1ouRo0ntrgFekquRJZQO</w:t>
        <w:t>+</w:t>
        <w:t>vsQVs</w:t>
        <w:t>=</w:t>
        <w:t xml:space="preserve"> </w:t>
        <w:t>Endpoint</w:t>
        <w:t xml:space="preserve"> </w:t>
        <w:t>=</w:t>
        <w:t xml:space="preserve"> </w:t>
        <w:t>wg</w:t>
        <w:t>.</w:t>
        <w:t>example</w:t>
        <w:t>.</w:t>
        <w:t>com:</w:t>
        <w:t>51000</w:t>
        <w:t xml:space="preserve"> </w:t>
      </w:r>
      <w:r>
        <w:rPr>
          <w:rStyle w:val="Text3"/>
        </w:rPr>
        <w:t># fake endpoint, just an example</w:t>
      </w:r>
      <w:r>
        <w:t xml:space="preserve"> </w:t>
        <w:t>AllowedIPs</w:t>
        <w:t xml:space="preserve"> </w:t>
        <w:t>=</w:t>
        <w:t xml:space="preserve"> </w:t>
        <w:t>10.10.11.0</w:t>
        <w:t>/</w:t>
        <w:t>24</w:t>
        <w:t>,</w:t>
        <w:t xml:space="preserve"> </w:t>
        <w:t>10.10.10.0</w:t>
        <w:t>/</w:t>
        <w:t>24</w:t>
      </w:r>
    </w:p>
    <w:p>
      <w:pPr>
        <w:pStyle w:val="Para 17"/>
      </w:pPr>
      <w:r>
        <w:t/>
      </w:r>
    </w:p>
    <w:p>
      <w:pPr>
        <w:pStyle w:val="Normal"/>
      </w:pPr>
      <w:r>
        <w:t>In the [Interface] section:</w:t>
      </w:r>
    </w:p>
    <w:p>
      <w:pPr>
        <w:pStyle w:val="Para 04"/>
      </w:pPr>
      <w:r>
        <w:t xml:space="preserve">• </w:t>
      </w:r>
      <w:r>
        <w:rPr>
          <w:rStyle w:val="Text0"/>
        </w:rPr>
        <w:t>Address</w:t>
      </w:r>
      <w:r>
        <w:t>: this is the IP address, and CIDR, that the WireGuard interface will be set up</w:t>
      </w:r>
    </w:p>
    <w:p>
      <w:pPr>
        <w:pStyle w:val="Para 02"/>
      </w:pPr>
      <w:r>
        <w:t>with.</w:t>
      </w:r>
    </w:p>
    <w:p>
      <w:pPr>
        <w:pStyle w:val="Para 04"/>
      </w:pPr>
      <w:r>
        <w:t xml:space="preserve">• </w:t>
      </w:r>
      <w:r>
        <w:rPr>
          <w:rStyle w:val="Text0"/>
        </w:rPr>
        <w:t>ListenPort</w:t>
      </w:r>
      <w:r>
        <w:t>: the UDP port WireGuard will use for traffic (listening and sending).</w:t>
      </w:r>
    </w:p>
    <w:p>
      <w:pPr>
        <w:pStyle w:val="Para 04"/>
      </w:pPr>
      <w:r>
        <w:t xml:space="preserve">• </w:t>
      </w:r>
      <w:r>
        <w:rPr>
          <w:rStyle w:val="Text0"/>
        </w:rPr>
        <w:t>PrivateKey</w:t>
      </w:r>
      <w:r>
        <w:t>: the secret key used to decrypt traffic destined for this interface.</w:t>
      </w:r>
    </w:p>
    <w:p>
      <w:pPr>
        <w:pStyle w:val="Normal"/>
      </w:pPr>
      <w:r>
        <w:t xml:space="preserve">The </w:t>
      </w:r>
      <w:r>
        <w:rPr>
          <w:rStyle w:val="Text0"/>
        </w:rPr>
        <w:t>peers</w:t>
      </w:r>
      <w:r>
        <w:t xml:space="preserve"> list, each one in its own [Peer] section (example above has just one), comes next:</w:t>
      </w:r>
    </w:p>
    <w:p>
      <w:pPr>
        <w:pStyle w:val="Para 04"/>
      </w:pPr>
      <w:r>
        <w:t xml:space="preserve">• </w:t>
      </w:r>
      <w:r>
        <w:rPr>
          <w:rStyle w:val="Text0"/>
        </w:rPr>
        <w:t>PublicKey</w:t>
      </w:r>
      <w:r>
        <w:t>: the key that will be used to encrypt traffic to this peer.</w:t>
      </w:r>
    </w:p>
    <w:p>
      <w:pPr>
        <w:pStyle w:val="Para 04"/>
      </w:pPr>
      <w:r>
        <w:t xml:space="preserve">• </w:t>
      </w:r>
      <w:r>
        <w:rPr>
          <w:rStyle w:val="Text0"/>
        </w:rPr>
        <w:t>Endpoint</w:t>
      </w:r>
      <w:r>
        <w:t>: where to send encrypted traffic to.</w:t>
      </w:r>
    </w:p>
    <w:p>
      <w:pPr>
        <w:pStyle w:val="Para 04"/>
      </w:pPr>
      <w:r>
        <w:t xml:space="preserve">• </w:t>
      </w:r>
      <w:r>
        <w:rPr>
          <w:rStyle w:val="Text0"/>
        </w:rPr>
        <w:t>AllowedIPs</w:t>
      </w:r>
      <w:r>
        <w:t>: when sending traffic, this is the list of target addresses that identify this</w:t>
      </w:r>
    </w:p>
    <w:p>
      <w:pPr>
        <w:pStyle w:val="Para 02"/>
      </w:pPr>
      <w:r>
        <w:t>peer. When receiving traffic, it’s the list of addresses that are allowed to be the source of the traffic.</w:t>
      </w:r>
    </w:p>
    <w:p>
      <w:pPr>
        <w:pStyle w:val="Normal"/>
      </w:pPr>
      <w:r>
        <w:t>To generate the keypairs for each peer, the wg command is used:</w:t>
      </w:r>
    </w:p>
    <w:p>
      <w:pPr>
        <w:pStyle w:val="Normal"/>
      </w:pPr>
      <w:r>
        <w:t>$</w:t>
        <w:t xml:space="preserve"> </w:t>
        <w:t>umask</w:t>
        <w:t xml:space="preserve"> </w:t>
        <w:t>077</w:t>
      </w:r>
    </w:p>
    <w:p>
      <w:pPr>
        <w:pStyle w:val="Normal"/>
      </w:pPr>
      <w:r>
        <w:t>$ wg genkey &gt; wg0.key</w:t>
      </w:r>
    </w:p>
    <w:p>
      <w:pPr>
        <w:pStyle w:val="Normal"/>
      </w:pPr>
      <w:r>
        <w:t>$ wg pubkey &lt; wg0.key &gt; wg0.pub</w:t>
      </w:r>
    </w:p>
    <w:p>
      <w:pPr>
        <w:pStyle w:val="Para 17"/>
      </w:pPr>
      <w:r>
        <w:t/>
      </w:r>
    </w:p>
    <w:p>
      <w:pPr>
        <w:pStyle w:val="Normal"/>
      </w:pPr>
      <w:r>
        <w:t>And then the contents of wg0.key and wg0.pub can be used in the configuration file.</w:t>
      </w:r>
    </w:p>
    <w:p>
      <w:pPr>
        <w:pStyle w:val="Normal"/>
      </w:pPr>
      <w:r>
        <w:t>This is what it looks like when this interface is brought up by wg-quick:</w:t>
      </w:r>
    </w:p>
    <w:p>
      <w:pPr>
        <w:pStyle w:val="Normal"/>
      </w:pPr>
      <w:r>
        <w:t>$ sudo wg-quick up wg0</w:t>
      </w:r>
    </w:p>
    <w:p>
      <w:pPr>
        <w:pStyle w:val="Para 10"/>
      </w:pPr>
      <w:r>
        <w:rPr>
          <w:rStyle w:val="Text3"/>
        </w:rPr>
        <w:t>[</w:t>
      </w:r>
      <w:r>
        <w:t>#] ip link add wg0 type wireguard</w:t>
      </w:r>
    </w:p>
    <w:p>
      <w:pPr>
        <w:pStyle w:val="Para 10"/>
      </w:pPr>
      <w:r>
        <w:rPr>
          <w:rStyle w:val="Text3"/>
        </w:rPr>
        <w:t>[</w:t>
      </w:r>
      <w:r>
        <w:t>#] wg setconf wg0 /dev/fd/63</w:t>
      </w:r>
    </w:p>
    <w:p>
      <w:pPr>
        <w:pStyle w:val="Para 10"/>
      </w:pPr>
      <w:r>
        <w:rPr>
          <w:rStyle w:val="Text3"/>
        </w:rPr>
        <w:t>[</w:t>
      </w:r>
      <w:r>
        <w:t>#] ip -4 address add 10.10.11.10/24 dev wg0</w:t>
      </w:r>
      <w:r>
        <w:rPr>
          <w:rStyle w:val="Text3"/>
        </w:rPr>
        <w:t xml:space="preserve"> </w:t>
        <w:t>[</w:t>
      </w:r>
      <w:r>
        <w:t>#] ip link set mtu 1420 up dev wg0</w:t>
      </w:r>
    </w:p>
    <w:p>
      <w:pPr>
        <w:pStyle w:val="Para 10"/>
      </w:pPr>
      <w:r>
        <w:rPr>
          <w:rStyle w:val="Text3"/>
        </w:rPr>
        <w:t>[</w:t>
      </w:r>
      <w:r>
        <w:t>#] ip -4 route add 10.10.10.0/24 dev wg0</w:t>
      </w:r>
    </w:p>
    <w:p>
      <w:pPr>
        <w:pStyle w:val="Para 17"/>
      </w:pPr>
      <w:r>
        <w:t/>
      </w:r>
    </w:p>
    <w:p>
      <w:pPr>
        <w:pStyle w:val="Normal"/>
      </w:pPr>
      <w:r>
        <w:t>This is what wg-quick did:</w:t>
      </w:r>
    </w:p>
    <w:p>
      <w:pPr>
        <w:pStyle w:val="Para 04"/>
      </w:pPr>
      <w:r>
        <w:t>• Created the WireGuard wg0 interface.</w:t>
      </w:r>
    </w:p>
    <w:p>
      <w:pPr>
        <w:pStyle w:val="Para 04"/>
      </w:pPr>
      <w:r>
        <w:t>• Configured it with the data from the configuration file.</w:t>
      </w:r>
    </w:p>
    <w:p>
      <w:pPr>
        <w:pStyle w:val="Para 04"/>
      </w:pPr>
      <w:r>
        <w:t>• Added the IP/CIDR from the Address field to the wg0 interface.</w:t>
      </w:r>
    </w:p>
    <w:p>
      <w:pPr>
        <w:pStyle w:val="Para 04"/>
      </w:pPr>
      <w:r>
        <w:t>• Calculated a proper MTU (which can be overridden in the config if needed).</w:t>
      </w:r>
    </w:p>
    <w:p>
      <w:bookmarkStart w:id="1256" w:name="page_7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3" name="index-798_1.png" descr="index-798_1.png"/>
            <wp:cNvGraphicFramePr>
              <a:graphicFrameLocks noChangeAspect="1"/>
            </wp:cNvGraphicFramePr>
            <a:graphic>
              <a:graphicData uri="http://schemas.openxmlformats.org/drawingml/2006/picture">
                <pic:pic>
                  <pic:nvPicPr>
                    <pic:cNvPr id="0" name="index-798_1.png" descr="index-798_1.png"/>
                    <pic:cNvPicPr/>
                  </pic:nvPicPr>
                  <pic:blipFill>
                    <a:blip r:embed="rId837"/>
                    <a:stretch>
                      <a:fillRect/>
                    </a:stretch>
                  </pic:blipFill>
                  <pic:spPr>
                    <a:xfrm>
                      <a:off x="0" y="0"/>
                      <a:ext cx="914400" cy="266700"/>
                    </a:xfrm>
                    <a:prstGeom prst="rect">
                      <a:avLst/>
                    </a:prstGeom>
                  </pic:spPr>
                </pic:pic>
              </a:graphicData>
            </a:graphic>
          </wp:anchor>
        </w:drawing>
      </w:r>
      <w:bookmarkEnd w:id="1256"/>
    </w:p>
    <w:p>
      <w:pPr>
        <w:pStyle w:val="Para 04"/>
      </w:pPr>
      <w:r>
        <w:t>• Added a route for AllowedIPs.</w:t>
      </w:r>
    </w:p>
    <w:p>
      <w:pPr>
        <w:pStyle w:val="Normal"/>
      </w:pPr>
      <w:r>
        <w:t>Note that in this example AllowedIPs is a list of two CIDR network blocks, but wg-quick only added a route for 10.10.10.0/24 and skipped 10.10.11.0/24. That’s because the Address was already specified as a /24 one. Had we specified the address as 10.10.11.10/32 instead, then wg-quick would have added a route for 10.10.11.0/24 explicitly.</w:t>
      </w:r>
    </w:p>
    <w:p>
      <w:pPr>
        <w:pStyle w:val="Normal"/>
      </w:pPr>
      <w:r>
        <w:t>To better understand how AllowedIPs work, let’s go through a quick example.</w:t>
      </w:r>
    </w:p>
    <w:p>
      <w:pPr>
        <w:pStyle w:val="Normal"/>
      </w:pPr>
      <w:r>
        <w:t>Let’s say this system wants to send traffic to 10.10.10.201/24. There is a route for it which says to use the wg0 interface for that:</w:t>
      </w:r>
    </w:p>
    <w:p>
      <w:pPr>
        <w:pStyle w:val="Normal"/>
      </w:pPr>
      <w:r>
        <w:t>$ ip route get</w:t>
        <w:t xml:space="preserve"> </w:t>
        <w:t>10</w:t>
        <w:t>.10.10.201</w:t>
      </w:r>
    </w:p>
    <w:p>
      <w:pPr>
        <w:pStyle w:val="Normal"/>
      </w:pPr>
      <w:r>
        <w:t>10</w:t>
        <w:t>.10.10.201 dev wg0 src</w:t>
        <w:t xml:space="preserve"> </w:t>
        <w:t>10</w:t>
        <w:t>.10.11.10 uid</w:t>
        <w:t xml:space="preserve"> </w:t>
        <w:t>1000</w:t>
      </w:r>
    </w:p>
    <w:p>
      <w:pPr>
        <w:pStyle w:val="Para 02"/>
      </w:pPr>
      <w:r>
        <w:t>cache</w:t>
      </w:r>
    </w:p>
    <w:p>
      <w:pPr>
        <w:pStyle w:val="Para 17"/>
      </w:pPr>
      <w:r>
        <w:t/>
      </w:r>
    </w:p>
    <w:p>
      <w:pPr>
        <w:pStyle w:val="Normal"/>
      </w:pPr>
      <w:r>
        <w:t>Since wg0 is a WireGuard interface, it will consult its configuration to see if any peer has that target address in the AllowedIPs list. Turns out one peer has it, in which case the traffic will:</w:t>
      </w:r>
    </w:p>
    <w:p>
      <w:pPr>
        <w:pStyle w:val="Normal"/>
      </w:pPr>
      <w:r>
        <w:t>a) Be authenticated as us, and encrypted for that peer. b) Sent away via the configured End-point.</w:t>
      </w:r>
    </w:p>
    <w:p>
      <w:pPr>
        <w:pStyle w:val="Normal"/>
      </w:pPr>
      <w:r>
        <w:t>Now let’s picture the reverse. This system received traffic on the ListenPort UDP port. If it can be decrypted, and verified as having come from one of the listed peers using its re-spective public key, and if the source IP matches the corresponding AllowedIPs list, then the traffic is accepted.</w:t>
      </w:r>
    </w:p>
    <w:p>
      <w:pPr>
        <w:pStyle w:val="Normal"/>
      </w:pPr>
      <w:r>
        <w:t>What if there is no Endpoint? Well, to bootstrap the VPN, at least one of the peers must have an Endpoint, or else it won’t know where to send the traffic to, and you will get an error saying</w:t>
      </w:r>
    </w:p>
    <w:p>
      <w:pPr>
        <w:pStyle w:val="Normal"/>
      </w:pPr>
      <w:r>
        <w:t xml:space="preserve">“Destination address required” (see the </w:t>
      </w:r>
      <w:hyperlink w:anchor="page_232">
        <w:r>
          <w:rPr>
            <w:rStyle w:val="Text2"/>
          </w:rPr>
          <w:t>troubleshooting section</w:t>
        </w:r>
      </w:hyperlink>
      <w:r>
        <w:t xml:space="preserve"> (page 231) for details).</w:t>
      </w:r>
    </w:p>
    <w:p>
      <w:pPr>
        <w:pStyle w:val="Normal"/>
      </w:pPr>
      <w:r>
        <w:t>But once the peers know each other, the one that didn’t have an Endpoint setting in the in-terface will remember where the traffic came from, and use that address as the current end-point. This has a very nice side effect of automatically tracking the so called “road warrior” peer, which keeps changing its IP. This is very common with laptops that keep being sus-pended and awakened in a new network, and then try to establish the VPN again from that new address.</w:t>
      </w:r>
    </w:p>
    <w:p>
      <w:pPr>
        <w:pStyle w:val="Para 17"/>
      </w:pPr>
      <w:r>
        <w:t/>
      </w:r>
    </w:p>
    <w:p>
      <w:pPr>
        <w:pStyle w:val="Para 01"/>
      </w:pPr>
      <w:r>
        <w:t>Peers</w:t>
      </w:r>
    </w:p>
    <w:p>
      <w:pPr>
        <w:pStyle w:val="Para 17"/>
      </w:pPr>
      <w:r>
        <w:t/>
      </w:r>
    </w:p>
    <w:p>
      <w:pPr>
        <w:pStyle w:val="Normal"/>
      </w:pPr>
      <w:r>
        <w:t>You will notice that the term “peers” is used preferably to “server” or “client”. Other terms used in some VPN documentation are “left” and “right”, which is already starting to convey that the difference between a “server” and a “client” is a bit blurry. It only matters, if at all, at the start of the traffic exchange: who sends the first packet of data?</w:t>
      </w:r>
    </w:p>
    <w:p>
      <w:pPr>
        <w:pStyle w:val="Normal"/>
      </w:pPr>
      <w:r>
        <w:t>In that sense, “servers” expect to sit idle and wait for connections to be initiated to them, and “clients” are the initiators. For example, a laptop in a public cafe initiating a connection to the company VPN peer. The laptop needs to know the address of that peer, because it’s initiating the exchange. But the “server” doesn’t need to know the IP of the laptop beforehand.</w:t>
      </w:r>
    </w:p>
    <w:p>
      <w:pPr>
        <w:pStyle w:val="Normal"/>
      </w:pPr>
      <w:r>
        <w:t xml:space="preserve">On a site-to-site VPN, however, when two separate networks are connected through the tun-nel, who is the server and who is the client? Both! So it’s best to call them “peers” instead. </w:t>
      </w:r>
      <w:r>
        <w:rPr>
          <w:rStyle w:val="Text0"/>
        </w:rPr>
        <w:t>Putting it all together</w:t>
      </w:r>
    </w:p>
    <w:p>
      <w:bookmarkStart w:id="1257" w:name="page_7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4" name="index-799_1.png" descr="index-799_1.png"/>
            <wp:cNvGraphicFramePr>
              <a:graphicFrameLocks noChangeAspect="1"/>
            </wp:cNvGraphicFramePr>
            <a:graphic>
              <a:graphicData uri="http://schemas.openxmlformats.org/drawingml/2006/picture">
                <pic:pic>
                  <pic:nvPicPr>
                    <pic:cNvPr id="0" name="index-799_1.png" descr="index-799_1.png"/>
                    <pic:cNvPicPr/>
                  </pic:nvPicPr>
                  <pic:blipFill>
                    <a:blip r:embed="rId838"/>
                    <a:stretch>
                      <a:fillRect/>
                    </a:stretch>
                  </pic:blipFill>
                  <pic:spPr>
                    <a:xfrm>
                      <a:off x="0" y="0"/>
                      <a:ext cx="914400" cy="266700"/>
                    </a:xfrm>
                    <a:prstGeom prst="rect">
                      <a:avLst/>
                    </a:prstGeom>
                  </pic:spPr>
                </pic:pic>
              </a:graphicData>
            </a:graphic>
          </wp:anchor>
        </w:drawing>
      </w:r>
      <w:bookmarkEnd w:id="1257"/>
    </w:p>
    <w:p>
      <w:pPr>
        <w:pStyle w:val="Para 17"/>
      </w:pPr>
      <w:r>
        <w:t/>
      </w:r>
    </w:p>
    <w:p>
      <w:pPr>
        <w:pStyle w:val="Normal"/>
      </w:pPr>
      <w:r>
        <w:t>Key takeaways from this introduction:</w:t>
      </w:r>
    </w:p>
    <w:p>
      <w:pPr>
        <w:pStyle w:val="Para 04"/>
      </w:pPr>
      <w:r>
        <w:t>• Each peer participating in the WireGuard VPN has a private key and a public key.</w:t>
      </w:r>
    </w:p>
    <w:p>
      <w:pPr>
        <w:pStyle w:val="Para 04"/>
      </w:pPr>
      <w:r>
        <w:t xml:space="preserve">• AllowedIPs is used as a routing key when sending traffic, and as an </w:t>
      </w:r>
      <w:hyperlink w:anchor="page_668">
        <w:r>
          <w:rPr>
            <w:rStyle w:val="Text2"/>
          </w:rPr>
          <w:t>ACL</w:t>
        </w:r>
      </w:hyperlink>
      <w:r>
        <w:t xml:space="preserve"> when receiving</w:t>
      </w:r>
    </w:p>
    <w:p>
      <w:pPr>
        <w:pStyle w:val="Para 02"/>
      </w:pPr>
      <w:r>
        <w:t>traffic.</w:t>
      </w:r>
    </w:p>
    <w:p>
      <w:pPr>
        <w:pStyle w:val="Para 04"/>
      </w:pPr>
      <w:r>
        <w:t>• To establish a VPN with a remote peer, you need its public key. Likewise, the remote</w:t>
      </w:r>
    </w:p>
    <w:p>
      <w:pPr>
        <w:pStyle w:val="Para 02"/>
      </w:pPr>
      <w:r>
        <w:t>peer will need your public key.</w:t>
      </w:r>
    </w:p>
    <w:p>
      <w:pPr>
        <w:pStyle w:val="Para 04"/>
      </w:pPr>
      <w:r>
        <w:t>• At least one of the peers needs an Endpoint configured in order to be able to initiate</w:t>
      </w:r>
    </w:p>
    <w:p>
      <w:pPr>
        <w:pStyle w:val="Para 02"/>
      </w:pPr>
      <w:r>
        <w:t>the VPN.</w:t>
      </w:r>
    </w:p>
    <w:p>
      <w:pPr>
        <w:pStyle w:val="Normal"/>
      </w:pPr>
      <w:r>
        <w:t>To help better understand these (and other) concepts, we will create some WireGuard VPNs in the next sections, illustrating some common setups.</w:t>
      </w:r>
    </w:p>
    <w:p>
      <w:pPr>
        <w:pStyle w:val="Para 17"/>
      </w:pPr>
      <w:r>
        <w:t/>
      </w:r>
    </w:p>
    <w:p>
      <w:pPr>
        <w:pStyle w:val="Para 01"/>
      </w:pPr>
      <w:r>
        <w:t>Peer-to-site</w:t>
      </w:r>
    </w:p>
    <w:p>
      <w:pPr>
        <w:pStyle w:val="Para 17"/>
      </w:pPr>
      <w:r>
        <w:t/>
      </w:r>
    </w:p>
    <w:p>
      <w:pPr>
        <w:pStyle w:val="Para 14"/>
      </w:pPr>
      <w:r>
        <w:rPr>
          <w:rStyle w:val="Text4"/>
        </w:rPr>
        <w:t xml:space="preserve">• </w:t>
      </w:r>
      <w:hyperlink w:anchor="page_211">
        <w:r>
          <w:t>About peer-to-site</w:t>
        </w:r>
      </w:hyperlink>
      <w:r>
        <w:rPr>
          <w:rStyle w:val="Text4"/>
        </w:rPr>
        <w:t xml:space="preserve"> (page 210)</w:t>
      </w:r>
    </w:p>
    <w:p>
      <w:pPr>
        <w:pStyle w:val="Para 14"/>
      </w:pPr>
      <w:r>
        <w:rPr>
          <w:rStyle w:val="Text4"/>
        </w:rPr>
        <w:t xml:space="preserve">• </w:t>
      </w:r>
      <w:hyperlink w:anchor="page_212">
        <w:r>
          <w:t>Set up peer-to-site “on router”</w:t>
        </w:r>
      </w:hyperlink>
      <w:r>
        <w:rPr>
          <w:rStyle w:val="Text4"/>
        </w:rPr>
        <w:t xml:space="preserve"> (page 211)</w:t>
      </w:r>
    </w:p>
    <w:p>
      <w:pPr>
        <w:pStyle w:val="Para 14"/>
      </w:pPr>
      <w:r>
        <w:rPr>
          <w:rStyle w:val="Text4"/>
        </w:rPr>
        <w:t xml:space="preserve">• </w:t>
      </w:r>
      <w:hyperlink w:anchor="page_216">
        <w:r>
          <w:t>Set up peer-to-site on an internal device</w:t>
        </w:r>
      </w:hyperlink>
      <w:r>
        <w:rPr>
          <w:rStyle w:val="Text4"/>
        </w:rPr>
        <w:t xml:space="preserve"> (page 215)</w:t>
      </w:r>
    </w:p>
    <w:p>
      <w:pPr>
        <w:pStyle w:val="Para 17"/>
      </w:pPr>
      <w:r>
        <w:t/>
      </w:r>
    </w:p>
    <w:p>
      <w:pPr>
        <w:pStyle w:val="Para 01"/>
      </w:pPr>
      <w:r>
        <w:t>Site-to-site</w:t>
      </w:r>
    </w:p>
    <w:p>
      <w:pPr>
        <w:pStyle w:val="Para 17"/>
      </w:pPr>
      <w:r>
        <w:t/>
      </w:r>
    </w:p>
    <w:p>
      <w:pPr>
        <w:pStyle w:val="Para 14"/>
      </w:pPr>
      <w:r>
        <w:rPr>
          <w:rStyle w:val="Text4"/>
        </w:rPr>
        <w:t xml:space="preserve">• </w:t>
      </w:r>
      <w:hyperlink w:anchor="page_219">
        <w:r>
          <w:t>Set up site-to-site</w:t>
        </w:r>
      </w:hyperlink>
      <w:r>
        <w:rPr>
          <w:rStyle w:val="Text4"/>
        </w:rPr>
        <w:t xml:space="preserve"> (page 218)</w:t>
      </w:r>
    </w:p>
    <w:p>
      <w:pPr>
        <w:pStyle w:val="Para 17"/>
      </w:pPr>
      <w:r>
        <w:t/>
      </w:r>
    </w:p>
    <w:p>
      <w:pPr>
        <w:pStyle w:val="Para 01"/>
      </w:pPr>
      <w:r>
        <w:t>Default gateway</w:t>
      </w:r>
    </w:p>
    <w:p>
      <w:pPr>
        <w:pStyle w:val="Para 17"/>
      </w:pPr>
      <w:r>
        <w:t/>
      </w:r>
    </w:p>
    <w:p>
      <w:pPr>
        <w:pStyle w:val="Para 14"/>
      </w:pPr>
      <w:r>
        <w:rPr>
          <w:rStyle w:val="Text4"/>
        </w:rPr>
        <w:t xml:space="preserve">• </w:t>
      </w:r>
      <w:hyperlink w:anchor="page_222">
        <w:r>
          <w:t>Using the VPN as the default gateway</w:t>
        </w:r>
      </w:hyperlink>
      <w:r>
        <w:rPr>
          <w:rStyle w:val="Text4"/>
        </w:rPr>
        <w:t xml:space="preserve"> (page 221)</w:t>
      </w:r>
    </w:p>
    <w:p>
      <w:pPr>
        <w:pStyle w:val="Para 17"/>
      </w:pPr>
      <w:r>
        <w:t/>
      </w:r>
    </w:p>
    <w:p>
      <w:pPr>
        <w:pStyle w:val="Para 01"/>
      </w:pPr>
      <w:r>
        <w:t>Other common tasks, hints and tips</w:t>
      </w:r>
    </w:p>
    <w:p>
      <w:pPr>
        <w:pStyle w:val="Para 17"/>
      </w:pPr>
      <w:r>
        <w:t/>
      </w:r>
    </w:p>
    <w:p>
      <w:pPr>
        <w:pStyle w:val="Para 04"/>
      </w:pPr>
      <w:r>
        <w:t xml:space="preserve">• </w:t>
      </w:r>
      <w:hyperlink w:anchor="page_227">
        <w:r>
          <w:rPr>
            <w:rStyle w:val="Text2"/>
          </w:rPr>
          <w:t>Common tasks</w:t>
        </w:r>
      </w:hyperlink>
      <w:r>
        <w:t xml:space="preserve"> (page 226)</w:t>
      </w:r>
    </w:p>
    <w:p>
      <w:pPr>
        <w:pStyle w:val="Para 04"/>
      </w:pPr>
      <w:r>
        <w:t xml:space="preserve">• </w:t>
      </w:r>
      <w:hyperlink w:anchor="page_231">
        <w:r>
          <w:rPr>
            <w:rStyle w:val="Text2"/>
          </w:rPr>
          <w:t>Security tips</w:t>
        </w:r>
      </w:hyperlink>
      <w:r>
        <w:t xml:space="preserve"> (page 230)</w:t>
      </w:r>
    </w:p>
    <w:p>
      <w:pPr>
        <w:pStyle w:val="Para 14"/>
      </w:pPr>
      <w:r>
        <w:rPr>
          <w:rStyle w:val="Text4"/>
        </w:rPr>
        <w:t xml:space="preserve">• </w:t>
      </w:r>
      <w:hyperlink w:anchor="page_232">
        <w:r>
          <w:t>Troubleshooting</w:t>
        </w:r>
      </w:hyperlink>
      <w:r>
        <w:rPr>
          <w:rStyle w:val="Text4"/>
        </w:rPr>
        <w:t xml:space="preserve"> (page 231)</w:t>
      </w:r>
    </w:p>
    <w:p>
      <w:pPr>
        <w:pStyle w:val="Para 17"/>
      </w:pPr>
      <w:r>
        <w:t/>
      </w:r>
    </w:p>
    <w:p>
      <w:pPr>
        <w:pStyle w:val="Para 08"/>
      </w:pPr>
      <w:r>
        <w:t>Note:</w:t>
      </w:r>
    </w:p>
    <w:p>
      <w:pPr>
        <w:pStyle w:val="Para 03"/>
      </w:pPr>
      <w:r>
        <w:t>Throughout this guide, we will sometimes mention a VPN “connection”. This is technically</w:t>
      </w:r>
    </w:p>
    <w:p>
      <w:pPr>
        <w:pStyle w:val="Para 03"/>
      </w:pPr>
      <w:r>
        <w:t>false, as WireGuard uses UDP and there is no persistent connection. The term is used just</w:t>
      </w:r>
    </w:p>
    <w:p>
      <w:pPr>
        <w:pStyle w:val="Para 03"/>
      </w:pPr>
      <w:r>
        <w:t>to facilitate understanding, and means that the peers in the examples know each other</w:t>
      </w:r>
    </w:p>
    <w:p>
      <w:pPr>
        <w:pStyle w:val="Para 03"/>
      </w:pPr>
      <w:r>
        <w:t>and have completed a handshake already.</w:t>
      </w:r>
    </w:p>
    <w:p>
      <w:bookmarkStart w:id="1258" w:name="page_8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5" name="index-800_1.png" descr="index-800_1.png"/>
            <wp:cNvGraphicFramePr>
              <a:graphicFrameLocks noChangeAspect="1"/>
            </wp:cNvGraphicFramePr>
            <a:graphic>
              <a:graphicData uri="http://schemas.openxmlformats.org/drawingml/2006/picture">
                <pic:pic>
                  <pic:nvPicPr>
                    <pic:cNvPr id="0" name="index-800_1.png" descr="index-800_1.png"/>
                    <pic:cNvPicPr/>
                  </pic:nvPicPr>
                  <pic:blipFill>
                    <a:blip r:embed="rId839"/>
                    <a:stretch>
                      <a:fillRect/>
                    </a:stretch>
                  </pic:blipFill>
                  <pic:spPr>
                    <a:xfrm>
                      <a:off x="0" y="0"/>
                      <a:ext cx="914400" cy="266700"/>
                    </a:xfrm>
                    <a:prstGeom prst="rect">
                      <a:avLst/>
                    </a:prstGeom>
                  </pic:spPr>
                </pic:pic>
              </a:graphicData>
            </a:graphic>
          </wp:anchor>
        </w:drawing>
      </w:r>
      <w:bookmarkEnd w:id="1258"/>
    </w:p>
    <w:p>
      <w:pPr>
        <w:pStyle w:val="Para 01"/>
      </w:pPr>
      <w:r>
        <w:t>Further reading</w:t>
      </w:r>
    </w:p>
    <w:p>
      <w:pPr>
        <w:pStyle w:val="Para 17"/>
      </w:pPr>
      <w:r>
        <w:t/>
      </w:r>
    </w:p>
    <w:p>
      <w:pPr>
        <w:pStyle w:val="Para 04"/>
      </w:pPr>
      <w:r>
        <w:t xml:space="preserve">• See the </w:t>
      </w:r>
      <w:hyperlink r:id="rId1684">
        <w:r>
          <w:rPr>
            <w:rStyle w:val="Text9"/>
          </w:rPr>
          <w:t>802</w:t>
        </w:r>
      </w:hyperlink>
      <w:hyperlink r:id="rId1684">
        <w:r>
          <w:rPr>
            <w:rStyle w:val="Text1"/>
          </w:rPr>
          <w:t xml:space="preserve"> WireGuard website</w:t>
        </w:r>
      </w:hyperlink>
      <w:r>
        <w:t xml:space="preserve"> for more detailed information.</w:t>
      </w:r>
    </w:p>
    <w:p>
      <w:pPr>
        <w:pStyle w:val="Para 04"/>
      </w:pPr>
      <w:r>
        <w:t xml:space="preserve">• The </w:t>
      </w:r>
      <w:hyperlink r:id="rId1685">
        <w:r>
          <w:rPr>
            <w:rStyle w:val="Text9"/>
          </w:rPr>
          <w:t>803</w:t>
        </w:r>
      </w:hyperlink>
      <w:hyperlink r:id="rId1685">
        <w:r>
          <w:rPr>
            <w:rStyle w:val="Text1"/>
          </w:rPr>
          <w:t xml:space="preserve"> WireGuard Quickstart</w:t>
        </w:r>
      </w:hyperlink>
      <w:r>
        <w:t xml:space="preserve"> has a good introduction and demo.</w:t>
      </w:r>
    </w:p>
    <w:p>
      <w:pPr>
        <w:pStyle w:val="Para 04"/>
      </w:pPr>
      <w:r>
        <w:t xml:space="preserve">• </w:t>
      </w:r>
      <w:hyperlink r:id="rId1682">
        <w:r>
          <w:rPr>
            <w:rStyle w:val="Text9"/>
          </w:rPr>
          <w:t>804</w:t>
        </w:r>
      </w:hyperlink>
      <w:hyperlink r:id="rId1682">
        <w:r>
          <w:rPr>
            <w:rStyle w:val="Text1"/>
          </w:rPr>
          <w:t xml:space="preserve"> </w:t>
        </w:r>
      </w:hyperlink>
      <w:hyperlink r:id="rId1682">
        <w:r>
          <w:rPr>
            <w:rStyle w:val="Text2"/>
          </w:rPr>
          <w:t>wg(8)</w:t>
        </w:r>
      </w:hyperlink>
      <w:r>
        <w:t xml:space="preserve"> manual page</w:t>
      </w:r>
    </w:p>
    <w:p>
      <w:pPr>
        <w:pStyle w:val="Para 04"/>
      </w:pPr>
      <w:r>
        <w:t xml:space="preserve">• </w:t>
      </w:r>
      <w:hyperlink r:id="rId1168">
        <w:r>
          <w:rPr>
            <w:rStyle w:val="Text9"/>
          </w:rPr>
          <w:t>805</w:t>
        </w:r>
      </w:hyperlink>
      <w:hyperlink r:id="rId1168">
        <w:r>
          <w:rPr>
            <w:rStyle w:val="Text1"/>
          </w:rPr>
          <w:t xml:space="preserve"> </w:t>
        </w:r>
      </w:hyperlink>
      <w:hyperlink r:id="rId1168">
        <w:r>
          <w:rPr>
            <w:rStyle w:val="Text2"/>
          </w:rPr>
          <w:t>wg-quick(8)</w:t>
        </w:r>
      </w:hyperlink>
      <w:r>
        <w:t xml:space="preserve"> manual page</w:t>
      </w:r>
    </w:p>
    <w:p>
      <w:pPr>
        <w:pStyle w:val="Para 04"/>
      </w:pPr>
      <w:r>
        <w:t xml:space="preserve">• </w:t>
      </w:r>
      <w:hyperlink r:id="rId1683">
        <w:r>
          <w:rPr>
            <w:rStyle w:val="Text9"/>
          </w:rPr>
          <w:t>806</w:t>
        </w:r>
      </w:hyperlink>
      <w:hyperlink r:id="rId1683">
        <w:r>
          <w:rPr>
            <w:rStyle w:val="Text1"/>
          </w:rPr>
          <w:t xml:space="preserve"> Detailed explanation</w:t>
        </w:r>
      </w:hyperlink>
      <w:r>
        <w:t xml:space="preserve"> of the algorithms used by WireGuard.</w:t>
      </w:r>
    </w:p>
    <w:p>
      <w:pPr>
        <w:pStyle w:val="Para 17"/>
      </w:pPr>
      <w:r>
        <w:t/>
      </w:r>
    </w:p>
    <w:p>
      <w:pPr>
        <w:pStyle w:val="Para 01"/>
      </w:pPr>
      <w:r>
        <w:t>OpenVPN client implementations</w:t>
      </w:r>
    </w:p>
    <w:p>
      <w:pPr>
        <w:pStyle w:val="Para 17"/>
      </w:pPr>
      <w:r>
        <w:t/>
      </w:r>
    </w:p>
    <w:p>
      <w:pPr>
        <w:pStyle w:val="Normal"/>
      </w:pPr>
      <w:r>
        <w:t xml:space="preserve">Ubuntu Server can be the platform for an </w:t>
      </w:r>
      <w:hyperlink w:anchor="page_199">
        <w:r>
          <w:rPr>
            <w:rStyle w:val="Text2"/>
          </w:rPr>
          <w:t>OpenVPN server</w:t>
        </w:r>
      </w:hyperlink>
      <w:r>
        <w:t xml:space="preserve"> (page 198), but clients might need a GUI for Desktop usage or need to operate from other operating systems.</w:t>
      </w:r>
    </w:p>
    <w:p>
      <w:pPr>
        <w:pStyle w:val="Para 17"/>
      </w:pPr>
      <w:r>
        <w:t/>
      </w:r>
    </w:p>
    <w:p>
      <w:pPr>
        <w:pStyle w:val="Para 01"/>
      </w:pPr>
      <w:r>
        <w:t>Linux Network-Manager GUI for OpenVPN</w:t>
      </w:r>
    </w:p>
    <w:p>
      <w:pPr>
        <w:pStyle w:val="Para 17"/>
      </w:pPr>
      <w:r>
        <w:t/>
      </w:r>
    </w:p>
    <w:p>
      <w:pPr>
        <w:pStyle w:val="Normal"/>
      </w:pPr>
      <w:r>
        <w:t>Many Linux distributions (including Ubuntu Desktop variants) come with Network Manager;</w:t>
      </w:r>
    </w:p>
    <w:p>
      <w:pPr>
        <w:pStyle w:val="Normal"/>
      </w:pPr>
      <w:r>
        <w:t xml:space="preserve">a </w:t>
      </w:r>
      <w:hyperlink w:anchor="page_687">
        <w:r>
          <w:rPr>
            <w:rStyle w:val="Text2"/>
          </w:rPr>
          <w:t>GUI</w:t>
        </w:r>
      </w:hyperlink>
      <w:r>
        <w:t xml:space="preserve"> to configure your network settings. It also can manage your VPN connections. It is the default, but if in doubt make sure you have the network-manager-openvpn package installed.</w:t>
      </w:r>
    </w:p>
    <w:p>
      <w:pPr>
        <w:pStyle w:val="Para 04"/>
      </w:pPr>
      <w:r>
        <w:t>• Open the Network Manager GUI, select the VPN tab and then the ‘Add’ button</w:t>
      </w:r>
    </w:p>
    <w:p>
      <w:pPr>
        <w:pStyle w:val="Para 04"/>
      </w:pPr>
      <w:r>
        <w:t>• Select OpenVPN as the VPN type in the opening requester and press ‘Create’</w:t>
      </w:r>
    </w:p>
    <w:p>
      <w:pPr>
        <w:pStyle w:val="Para 04"/>
      </w:pPr>
      <w:r>
        <w:t>• In the next window, add the OpenVPN’s server name as the ‘Gateway’</w:t>
      </w:r>
    </w:p>
    <w:p>
      <w:pPr>
        <w:pStyle w:val="Para 06"/>
      </w:pPr>
      <w:r>
        <w:rPr>
          <w:rStyle w:val="Text0"/>
        </w:rPr>
        <w:t>–</w:t>
      </w:r>
      <w:r>
        <w:t xml:space="preserve"> Set ‘Type’ to ‘Certificates (TLS)’</w:t>
      </w:r>
    </w:p>
    <w:p>
      <w:pPr>
        <w:pStyle w:val="Para 06"/>
      </w:pPr>
      <w:r>
        <w:rPr>
          <w:rStyle w:val="Text0"/>
        </w:rPr>
        <w:t>–</w:t>
      </w:r>
      <w:r>
        <w:t xml:space="preserve"> Point ‘User Certificate’ to your user certificate</w:t>
      </w:r>
    </w:p>
    <w:p>
      <w:pPr>
        <w:pStyle w:val="Para 06"/>
      </w:pPr>
      <w:r>
        <w:rPr>
          <w:rStyle w:val="Text0"/>
        </w:rPr>
        <w:t>–</w:t>
      </w:r>
      <w:r>
        <w:t xml:space="preserve"> Point ‘CA Certificate’ to your CA certificate</w:t>
      </w:r>
    </w:p>
    <w:p>
      <w:pPr>
        <w:pStyle w:val="Para 06"/>
      </w:pPr>
      <w:r>
        <w:rPr>
          <w:rStyle w:val="Text0"/>
        </w:rPr>
        <w:t>–</w:t>
      </w:r>
      <w:r>
        <w:t xml:space="preserve"> Point ‘Private Key’ to your private key file.</w:t>
      </w:r>
    </w:p>
    <w:p>
      <w:pPr>
        <w:pStyle w:val="Para 04"/>
      </w:pPr>
      <w:r>
        <w:t>• Use the ‘advanced’ button to enable compression (e.g. comp-lzo), dev tap, or other</w:t>
      </w:r>
    </w:p>
    <w:p>
      <w:pPr>
        <w:pStyle w:val="Para 17"/>
      </w:pPr>
      <w:r>
        <w:t>special settings you want to set on the server. Now try to establish your VPN.</w:t>
      </w:r>
    </w:p>
    <w:p>
      <w:pPr>
        <w:pStyle w:val="Para 17"/>
      </w:pPr>
      <w:r>
        <w:t/>
      </w:r>
    </w:p>
    <w:p>
      <w:pPr>
        <w:pStyle w:val="Para 01"/>
      </w:pPr>
      <w:r>
        <w:t>OpenVPN with GUI for Mac OS X</w:t>
      </w:r>
    </w:p>
    <w:p>
      <w:pPr>
        <w:pStyle w:val="Para 17"/>
      </w:pPr>
      <w:r>
        <w:t/>
      </w:r>
    </w:p>
    <w:p>
      <w:pPr>
        <w:pStyle w:val="Normal"/>
      </w:pPr>
      <w:hyperlink r:id="rId1686">
        <w:r>
          <w:rPr>
            <w:rStyle w:val="Text1"/>
          </w:rPr>
          <w:t>Tunnelblick</w:t>
        </w:r>
      </w:hyperlink>
      <w:hyperlink r:id="rId1686">
        <w:r>
          <w:rPr>
            <w:rStyle w:val="Text9"/>
          </w:rPr>
          <w:t>807</w:t>
        </w:r>
      </w:hyperlink>
      <w:r>
        <w:t xml:space="preserve"> is an excellent free, open source implementation of a GUI for OpenVPN for OS X. Download the latest OS X installer from there and install it.</w:t>
      </w:r>
    </w:p>
    <w:p>
      <w:pPr>
        <w:pStyle w:val="Para 18"/>
      </w:pPr>
      <w:r>
        <w:rPr>
          <w:rStyle w:val="Text7"/>
        </w:rPr>
        <w:t xml:space="preserve">It also is </w:t>
      </w:r>
      <w:hyperlink w:anchor="page_800">
        <w:r>
          <w:rPr>
            <w:rStyle w:val="Text10"/>
          </w:rPr>
          <w:t>808</w:t>
        </w:r>
      </w:hyperlink>
      <w:r>
        <w:rPr>
          <w:rStyle w:val="Text7"/>
        </w:rPr>
        <w:t xml:space="preserve"> </w:t>
      </w:r>
      <w:hyperlink r:id="rId1687">
        <w:r>
          <w:rPr>
            <w:rStyle w:val="Text10"/>
          </w:rPr>
          <w:t>809</w:t>
        </w:r>
      </w:hyperlink>
      <w:r>
        <w:rPr>
          <w:rStyle w:val="Text7"/>
        </w:rPr>
        <w:t xml:space="preserve"> </w:t>
      </w:r>
      <w:hyperlink r:id="rId1688">
        <w:r>
          <w:t>recommended by upstream</w:t>
        </w:r>
      </w:hyperlink>
      <w:r>
        <w:rPr>
          <w:rStyle w:val="Text7"/>
        </w:rPr>
        <w:t xml:space="preserve"> , which </w:t>
      </w:r>
      <w:hyperlink r:id="rId1687">
        <w:r>
          <w:t>has an alternative</w:t>
        </w:r>
      </w:hyperlink>
      <w:r>
        <w:rPr>
          <w:rStyle w:val="Text7"/>
        </w:rPr>
        <w:t xml:space="preserve"> of their own.</w:t>
      </w:r>
    </w:p>
    <w:p>
      <w:pPr>
        <w:pStyle w:val="Para 05"/>
      </w:pPr>
      <w:r>
        <w:rPr>
          <w:rStyle w:val="Text5"/>
        </w:rPr>
        <w:t>802</w:t>
      </w:r>
      <w:r>
        <w:rPr>
          <w:rStyle w:val="Text8"/>
        </w:rPr>
        <w:t xml:space="preserve"> </w:t>
      </w:r>
      <w:r>
        <w:t>https://www.wireguard.com</w:t>
      </w:r>
    </w:p>
    <w:p>
      <w:pPr>
        <w:pStyle w:val="Para 05"/>
      </w:pPr>
      <w:r>
        <w:rPr>
          <w:rStyle w:val="Text5"/>
        </w:rPr>
        <w:t>803</w:t>
      </w:r>
      <w:r>
        <w:rPr>
          <w:rStyle w:val="Text8"/>
        </w:rPr>
        <w:t xml:space="preserve"> </w:t>
      </w:r>
      <w:r>
        <w:t>https://www.wireguard.com/quickstart/</w:t>
      </w:r>
    </w:p>
    <w:p>
      <w:pPr>
        <w:pStyle w:val="Para 05"/>
      </w:pPr>
      <w:r>
        <w:rPr>
          <w:rStyle w:val="Text5"/>
        </w:rPr>
        <w:t>804</w:t>
      </w:r>
      <w:r>
        <w:rPr>
          <w:rStyle w:val="Text8"/>
        </w:rPr>
        <w:t xml:space="preserve"> </w:t>
      </w:r>
      <w:r>
        <w:t>https://manpages.ubuntu.com/manpages/resolute/man8/wg.8.html</w:t>
      </w:r>
    </w:p>
    <w:p>
      <w:pPr>
        <w:pStyle w:val="Para 05"/>
      </w:pPr>
      <w:r>
        <w:rPr>
          <w:rStyle w:val="Text5"/>
        </w:rPr>
        <w:t>805</w:t>
      </w:r>
      <w:r>
        <w:rPr>
          <w:rStyle w:val="Text8"/>
        </w:rPr>
        <w:t xml:space="preserve"> </w:t>
      </w:r>
      <w:r>
        <w:t>https://manpages.ubuntu.com/manpages/resolute/man8/wg-quick.8.html</w:t>
      </w:r>
    </w:p>
    <w:p>
      <w:pPr>
        <w:pStyle w:val="Para 05"/>
      </w:pPr>
      <w:r>
        <w:rPr>
          <w:rStyle w:val="Text5"/>
        </w:rPr>
        <w:t>806</w:t>
      </w:r>
      <w:r>
        <w:rPr>
          <w:rStyle w:val="Text8"/>
        </w:rPr>
        <w:t xml:space="preserve"> </w:t>
      </w:r>
      <w:r>
        <w:t>https://www.wireguard.com/protocol/</w:t>
      </w:r>
    </w:p>
    <w:p>
      <w:pPr>
        <w:pStyle w:val="Para 05"/>
      </w:pPr>
      <w:r>
        <w:rPr>
          <w:rStyle w:val="Text5"/>
        </w:rPr>
        <w:t>807</w:t>
      </w:r>
      <w:r>
        <w:rPr>
          <w:rStyle w:val="Text8"/>
        </w:rPr>
        <w:t xml:space="preserve"> </w:t>
      </w:r>
      <w:r>
        <w:t>https://tunnelblick.net</w:t>
      </w:r>
    </w:p>
    <w:p>
      <w:pPr>
        <w:pStyle w:val="Para 05"/>
      </w:pPr>
      <w:r>
        <w:rPr>
          <w:rStyle w:val="Text5"/>
        </w:rPr>
        <w:t>808</w:t>
      </w:r>
      <w:r>
        <w:rPr>
          <w:rStyle w:val="Text8"/>
        </w:rPr>
        <w:t xml:space="preserve"> </w:t>
      </w:r>
      <w:r>
        <w:t>https://openvpn.net/vpn-server-resources/connecting-to-access-server-with-macos/</w:t>
      </w:r>
    </w:p>
    <w:p>
      <w:pPr>
        <w:pStyle w:val="Para 03"/>
      </w:pPr>
      <w:r>
        <w:rPr>
          <w:rStyle w:val="Text5"/>
        </w:rPr>
        <w:t>809</w:t>
      </w:r>
      <w:r>
        <w:t xml:space="preserve"> </w:t>
      </w:r>
      <w:r>
        <w:rPr>
          <w:rStyle w:val="Text6"/>
        </w:rPr>
        <w:t>https://openvpn.net/as-docs/tutorials/tutorial--connect-with-macos.html</w:t>
      </w:r>
      <w:r>
        <w:t xml:space="preserve"> Then put your client.ovpn config file together with the certificates and keys in /Users/ username/Library/Application Support/Tunnelblick/Configurations/ and launch Tunnel-blick from your ‘Application’ folder.</w:t>
      </w:r>
    </w:p>
    <w:p>
      <w:bookmarkStart w:id="1259" w:name="page_80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6" name="index-801_1.png" descr="index-801_1.png"/>
            <wp:cNvGraphicFramePr>
              <a:graphicFrameLocks noChangeAspect="1"/>
            </wp:cNvGraphicFramePr>
            <a:graphic>
              <a:graphicData uri="http://schemas.openxmlformats.org/drawingml/2006/picture">
                <pic:pic>
                  <pic:nvPicPr>
                    <pic:cNvPr id="0" name="index-801_1.png" descr="index-801_1.png"/>
                    <pic:cNvPicPr/>
                  </pic:nvPicPr>
                  <pic:blipFill>
                    <a:blip r:embed="rId840"/>
                    <a:stretch>
                      <a:fillRect/>
                    </a:stretch>
                  </pic:blipFill>
                  <pic:spPr>
                    <a:xfrm>
                      <a:off x="0" y="0"/>
                      <a:ext cx="914400" cy="266700"/>
                    </a:xfrm>
                    <a:prstGeom prst="rect">
                      <a:avLst/>
                    </a:prstGeom>
                  </pic:spPr>
                </pic:pic>
              </a:graphicData>
            </a:graphic>
          </wp:anchor>
        </w:drawing>
      </w:r>
      <w:bookmarkEnd w:id="1259"/>
    </w:p>
    <w:p>
      <w:pPr>
        <w:pStyle w:val="Normal"/>
      </w:pPr>
      <w:r>
        <w:t>Instead of downloading manually, if you have brew set up on MacOS this is as easy as running:</w:t>
      </w:r>
    </w:p>
    <w:p>
      <w:pPr>
        <w:pStyle w:val="Normal"/>
      </w:pPr>
      <w:r>
        <w:t>brew cask install tunnelblick</w:t>
      </w:r>
    </w:p>
    <w:p>
      <w:pPr>
        <w:pStyle w:val="Para 17"/>
      </w:pPr>
      <w:r>
        <w:t/>
      </w:r>
    </w:p>
    <w:p>
      <w:pPr>
        <w:pStyle w:val="Para 01"/>
      </w:pPr>
      <w:r>
        <w:t>OpenVPN with GUI for Win</w:t>
      </w:r>
    </w:p>
    <w:p>
      <w:pPr>
        <w:pStyle w:val="Para 17"/>
      </w:pPr>
      <w:r>
        <w:t/>
      </w:r>
    </w:p>
    <w:p>
      <w:pPr>
        <w:pStyle w:val="Normal"/>
      </w:pPr>
      <w:r>
        <w:t xml:space="preserve">First, download and install the latest </w:t>
      </w:r>
      <w:hyperlink r:id="rId1689">
        <w:r>
          <w:rPr>
            <w:rStyle w:val="Text9"/>
          </w:rPr>
          <w:t>810</w:t>
        </w:r>
      </w:hyperlink>
      <w:hyperlink r:id="rId1689">
        <w:r>
          <w:rPr>
            <w:rStyle w:val="Text1"/>
          </w:rPr>
          <w:t xml:space="preserve"> OpenVPN Windows Installer</w:t>
        </w:r>
      </w:hyperlink>
      <w:r>
        <w:t>. As of this writing, the management GUI is included with the Windows binary installer.</w:t>
      </w:r>
    </w:p>
    <w:p>
      <w:pPr>
        <w:pStyle w:val="Normal"/>
      </w:pPr>
      <w:r>
        <w:t>You need to start the OpenVPN service. Go to Start &gt; Computer &gt; Manage &gt; Services and Applications &gt; Services. Find the OpenVPN service and start it. Set its startup type to ‘auto-matic’.</w:t>
      </w:r>
    </w:p>
    <w:p>
      <w:pPr>
        <w:pStyle w:val="Normal"/>
      </w:pPr>
      <w:r>
        <w:t>When you start the OpenVPN MI GUI the first time you need to run it as an administrator. You have to right click on it and you will see that option.</w:t>
      </w:r>
    </w:p>
    <w:p>
      <w:pPr>
        <w:pStyle w:val="Normal"/>
      </w:pPr>
      <w:r>
        <w:t xml:space="preserve">There is an </w:t>
      </w:r>
      <w:hyperlink r:id="rId1690">
        <w:r>
          <w:rPr>
            <w:rStyle w:val="Text9"/>
          </w:rPr>
          <w:t>811</w:t>
        </w:r>
      </w:hyperlink>
      <w:hyperlink r:id="rId1690">
        <w:r>
          <w:rPr>
            <w:rStyle w:val="Text1"/>
          </w:rPr>
          <w:t xml:space="preserve"> updated guide by the upstream</w:t>
        </w:r>
      </w:hyperlink>
      <w:r>
        <w:t xml:space="preserve"> project for the client on Windows.</w:t>
      </w:r>
    </w:p>
    <w:p>
      <w:pPr>
        <w:pStyle w:val="Para 17"/>
      </w:pPr>
      <w:r>
        <w:t/>
      </w:r>
    </w:p>
    <w:p>
      <w:pPr>
        <w:pStyle w:val="Para 01"/>
      </w:pPr>
      <w:r>
        <w:t>Further reading</w:t>
      </w:r>
    </w:p>
    <w:p>
      <w:pPr>
        <w:pStyle w:val="Para 17"/>
      </w:pPr>
      <w:r>
        <w:t/>
      </w:r>
    </w:p>
    <w:p>
      <w:pPr>
        <w:pStyle w:val="Para 04"/>
      </w:pPr>
      <w:r>
        <w:t xml:space="preserve">• See the </w:t>
      </w:r>
      <w:hyperlink w:anchor="page_801">
        <w:r>
          <w:rPr>
            <w:rStyle w:val="Text9"/>
          </w:rPr>
          <w:t>812</w:t>
        </w:r>
      </w:hyperlink>
      <w:r>
        <w:t xml:space="preserve"> </w:t>
      </w:r>
      <w:hyperlink r:id="rId1691">
        <w:r>
          <w:rPr>
            <w:rStyle w:val="Text1"/>
          </w:rPr>
          <w:t>OpenVPN</w:t>
        </w:r>
      </w:hyperlink>
      <w:r>
        <w:t xml:space="preserve"> website for additional information.</w:t>
      </w:r>
    </w:p>
    <w:p>
      <w:pPr>
        <w:pStyle w:val="Para 13"/>
      </w:pPr>
      <w:r>
        <w:rPr>
          <w:rStyle w:val="Text7"/>
        </w:rPr>
        <w:t xml:space="preserve">• </w:t>
      </w:r>
      <w:hyperlink r:id="rId1692">
        <w:r>
          <w:rPr>
            <w:rStyle w:val="Text10"/>
          </w:rPr>
          <w:t>813</w:t>
        </w:r>
      </w:hyperlink>
      <w:hyperlink r:id="rId1692">
        <w:r>
          <w:t xml:space="preserve"> OpenVPN hardening security guide</w:t>
        </w:r>
      </w:hyperlink>
    </w:p>
    <w:p>
      <w:pPr>
        <w:pStyle w:val="Para 13"/>
      </w:pPr>
      <w:r>
        <w:rPr>
          <w:rStyle w:val="Text7"/>
        </w:rPr>
        <w:t xml:space="preserve">• Also, </w:t>
      </w:r>
      <w:hyperlink r:id="rId1693">
        <w:r>
          <w:rPr>
            <w:rStyle w:val="Text10"/>
          </w:rPr>
          <w:t>814</w:t>
        </w:r>
      </w:hyperlink>
      <w:hyperlink r:id="rId1693">
        <w:r>
          <w:t xml:space="preserve"> OpenVPN: Building and Integrating Virtual Private Networks</w:t>
        </w:r>
      </w:hyperlink>
      <w:r>
        <w:rPr>
          <w:rStyle w:val="Text7"/>
        </w:rPr>
        <w:t xml:space="preserve"> is a good re-</w:t>
      </w:r>
    </w:p>
    <w:p>
      <w:pPr>
        <w:pStyle w:val="Para 02"/>
      </w:pPr>
      <w:r>
        <w:t>source.</w:t>
      </w:r>
    </w:p>
    <w:p>
      <w:pPr>
        <w:pStyle w:val="Para 17"/>
      </w:pPr>
      <w:r>
        <w:t/>
      </w:r>
    </w:p>
    <w:p>
      <w:pPr>
        <w:pStyle w:val="Para 01"/>
      </w:pPr>
      <w:r>
        <w:t>See also</w:t>
      </w:r>
    </w:p>
    <w:p>
      <w:pPr>
        <w:pStyle w:val="Para 17"/>
      </w:pPr>
      <w:r>
        <w:t/>
      </w:r>
    </w:p>
    <w:p>
      <w:pPr>
        <w:pStyle w:val="Para 04"/>
      </w:pPr>
      <w:r>
        <w:t xml:space="preserve">• How-to: </w:t>
      </w:r>
      <w:hyperlink w:anchor="page_112">
        <w:r>
          <w:rPr>
            <w:rStyle w:val="Text2"/>
          </w:rPr>
          <w:t>Security</w:t>
        </w:r>
      </w:hyperlink>
      <w:r>
        <w:t xml:space="preserve"> (page 111)</w:t>
      </w:r>
    </w:p>
    <w:p>
      <w:pPr>
        <w:pStyle w:val="Para 24"/>
      </w:pPr>
      <w:r>
        <w:t>3.4.2. Networking</w:t>
      </w:r>
    </w:p>
    <w:p>
      <w:pPr>
        <w:pStyle w:val="Normal"/>
      </w:pPr>
      <w:hyperlink w:anchor="page_802">
        <w:r>
          <w:rPr>
            <w:rStyle w:val="Text2"/>
          </w:rPr>
          <w:t>Our networking section</w:t>
        </w:r>
      </w:hyperlink>
      <w:r>
        <w:t xml:space="preserve"> (page 801) will give you an introduction to networking and details on some of the key topics, such as:</w:t>
      </w:r>
    </w:p>
    <w:p>
      <w:pPr>
        <w:pStyle w:val="Para 28"/>
      </w:pPr>
      <w:r>
        <w:rPr>
          <w:rStyle w:val="Text0"/>
        </w:rPr>
        <w:t xml:space="preserve">• </w:t>
      </w:r>
      <w:r>
        <w:t>Network tooling and configuration</w:t>
      </w:r>
    </w:p>
    <w:p>
      <w:pPr>
        <w:pStyle w:val="Para 28"/>
      </w:pPr>
      <w:r>
        <w:rPr>
          <w:rStyle w:val="Text0"/>
        </w:rPr>
        <w:t xml:space="preserve">• </w:t>
      </w:r>
      <w:r>
        <w:t>Network shares</w:t>
      </w:r>
    </w:p>
    <w:p>
      <w:pPr>
        <w:pStyle w:val="Para 05"/>
      </w:pPr>
      <w:r>
        <w:rPr>
          <w:rStyle w:val="Text5"/>
        </w:rPr>
        <w:t>810</w:t>
      </w:r>
      <w:r>
        <w:rPr>
          <w:rStyle w:val="Text8"/>
        </w:rPr>
        <w:t xml:space="preserve"> </w:t>
      </w:r>
      <w:r>
        <w:t>https://openvpn.net/community/</w:t>
      </w:r>
    </w:p>
    <w:p>
      <w:pPr>
        <w:pStyle w:val="Para 05"/>
      </w:pPr>
      <w:r>
        <w:rPr>
          <w:rStyle w:val="Text5"/>
        </w:rPr>
        <w:t>811</w:t>
      </w:r>
      <w:r>
        <w:rPr>
          <w:rStyle w:val="Text8"/>
        </w:rPr>
        <w:t xml:space="preserve"> </w:t>
      </w:r>
      <w:r>
        <w:t>https://community.openvpn.net/openvpn/wiki/Easy_Windows_Guide</w:t>
      </w:r>
    </w:p>
    <w:p>
      <w:pPr>
        <w:pStyle w:val="Para 05"/>
      </w:pPr>
      <w:r>
        <w:rPr>
          <w:rStyle w:val="Text5"/>
        </w:rPr>
        <w:t>812</w:t>
      </w:r>
      <w:r>
        <w:rPr>
          <w:rStyle w:val="Text8"/>
        </w:rPr>
        <w:t xml:space="preserve"> </w:t>
      </w:r>
      <w:r>
        <w:t>https://openvpn.net/</w:t>
      </w:r>
    </w:p>
    <w:p>
      <w:pPr>
        <w:pStyle w:val="Para 05"/>
      </w:pPr>
      <w:r>
        <w:rPr>
          <w:rStyle w:val="Text5"/>
        </w:rPr>
        <w:t>813</w:t>
      </w:r>
      <w:r>
        <w:rPr>
          <w:rStyle w:val="Text8"/>
        </w:rPr>
        <w:t xml:space="preserve"> </w:t>
      </w:r>
      <w:r>
        <w:t>https://openvpn.net/community-docs/hardening-openvpn-security-178571.html</w:t>
      </w:r>
    </w:p>
    <w:p>
      <w:pPr>
        <w:pStyle w:val="Para 05"/>
      </w:pPr>
      <w:r>
        <w:rPr>
          <w:rStyle w:val="Text5"/>
        </w:rPr>
        <w:t>814</w:t>
      </w:r>
      <w:r>
        <w:rPr>
          <w:rStyle w:val="Text8"/>
        </w:rPr>
        <w:t xml:space="preserve"> </w:t>
      </w:r>
      <w:r>
        <w:t>https://www.packtpub.com/en-us/product/openvpn-building-and-integrating-virtual-private-networks-9781847190680</w:t>
      </w:r>
    </w:p>
    <w:p>
      <w:bookmarkStart w:id="1260" w:name="calibre_pb_229"/>
      <w:pPr>
        <w:pStyle w:val="0 Block"/>
      </w:pPr>
      <w:bookmarkEnd w:id="1260"/>
    </w:p>
    <w:p>
      <w:bookmarkStart w:id="1261" w:name="Top_of_index_split_230_html"/>
      <w:bookmarkStart w:id="1262" w:name="page_80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7" name="index-802_1.png" descr="index-802_1.png"/>
            <wp:cNvGraphicFramePr>
              <a:graphicFrameLocks noChangeAspect="1"/>
            </wp:cNvGraphicFramePr>
            <a:graphic>
              <a:graphicData uri="http://schemas.openxmlformats.org/drawingml/2006/picture">
                <pic:pic>
                  <pic:nvPicPr>
                    <pic:cNvPr id="0" name="index-802_1.png" descr="index-802_1.png"/>
                    <pic:cNvPicPr/>
                  </pic:nvPicPr>
                  <pic:blipFill>
                    <a:blip r:embed="rId841"/>
                    <a:stretch>
                      <a:fillRect/>
                    </a:stretch>
                  </pic:blipFill>
                  <pic:spPr>
                    <a:xfrm>
                      <a:off x="0" y="0"/>
                      <a:ext cx="914400" cy="266700"/>
                    </a:xfrm>
                    <a:prstGeom prst="rect">
                      <a:avLst/>
                    </a:prstGeom>
                  </pic:spPr>
                </pic:pic>
              </a:graphicData>
            </a:graphic>
          </wp:anchor>
        </w:drawing>
      </w:r>
      <w:bookmarkEnd w:id="1261"/>
      <w:bookmarkEnd w:id="1262"/>
    </w:p>
    <w:p>
      <w:pPr>
        <w:pStyle w:val="Para 01"/>
      </w:pPr>
      <w:r>
        <w:t>Networking</w:t>
      </w:r>
    </w:p>
    <w:p>
      <w:pPr>
        <w:pStyle w:val="Para 17"/>
      </w:pPr>
      <w:r>
        <w:t/>
      </w:r>
    </w:p>
    <w:p>
      <w:pPr>
        <w:pStyle w:val="Normal"/>
      </w:pPr>
      <w:r>
        <w:t>This section contains introductions to (and more details about) various aspects of networking in Ubuntu.</w:t>
      </w:r>
    </w:p>
    <w:p>
      <w:pPr>
        <w:pStyle w:val="Para 17"/>
      </w:pPr>
      <w:r>
        <w:t/>
      </w:r>
    </w:p>
    <w:p>
      <w:pPr>
        <w:pStyle w:val="Para 01"/>
      </w:pPr>
      <w:r>
        <w:t>Introduction</w:t>
      </w:r>
    </w:p>
    <w:p>
      <w:pPr>
        <w:pStyle w:val="Para 17"/>
      </w:pPr>
      <w:r>
        <w:t/>
      </w:r>
    </w:p>
    <w:p>
      <w:pPr>
        <w:pStyle w:val="Normal"/>
      </w:pPr>
      <w:r>
        <w:t>If you are new to networking, you should start with these pages to obtain an understanding of the key terms and concepts.</w:t>
      </w:r>
    </w:p>
    <w:p>
      <w:pPr>
        <w:pStyle w:val="Para 17"/>
      </w:pPr>
      <w:r>
        <w:t/>
      </w:r>
    </w:p>
    <w:p>
      <w:pPr>
        <w:pStyle w:val="Para 01"/>
      </w:pPr>
      <w:r>
        <w:t>Introduction to networking</w:t>
      </w:r>
    </w:p>
    <w:p>
      <w:pPr>
        <w:pStyle w:val="Para 17"/>
      </w:pPr>
      <w:r>
        <w:t/>
      </w:r>
    </w:p>
    <w:p>
      <w:pPr>
        <w:pStyle w:val="Normal"/>
      </w:pPr>
      <w:r>
        <w:t>Networks consist of two or more devices which are connected by either physical cabling or wireless links for the purpose of sharing information. Devices can be computer systems, printers, and related equipment.</w:t>
      </w:r>
    </w:p>
    <w:p>
      <w:pPr>
        <w:pStyle w:val="Normal"/>
      </w:pPr>
      <w:r>
        <w:t>In this overview, we’ll take a look at some of the key principles involved in networks, and some of the most popular tools available to help you manage your networks.</w:t>
      </w:r>
    </w:p>
    <w:p>
      <w:pPr>
        <w:pStyle w:val="Para 17"/>
      </w:pPr>
      <w:r>
        <w:t/>
      </w:r>
    </w:p>
    <w:p>
      <w:pPr>
        <w:pStyle w:val="Para 01"/>
      </w:pPr>
      <w:r>
        <w:t>Networking key concepts</w:t>
      </w:r>
    </w:p>
    <w:p>
      <w:pPr>
        <w:pStyle w:val="Para 17"/>
      </w:pPr>
      <w:r>
        <w:t/>
      </w:r>
    </w:p>
    <w:p>
      <w:pPr>
        <w:pStyle w:val="Normal"/>
      </w:pPr>
      <w:r>
        <w:t xml:space="preserve">If you’re new to networking, our explanatory </w:t>
      </w:r>
      <w:hyperlink w:anchor="page_803">
        <w:r>
          <w:rPr>
            <w:rStyle w:val="Text2"/>
          </w:rPr>
          <w:t>Networking key concepts</w:t>
        </w:r>
      </w:hyperlink>
      <w:r>
        <w:t xml:space="preserve"> (page 802) section pro-vides an overview of some important concepts. It includes detailed discussion of the popular network protocols: TCP/IP; IP routing; TCP and UDP; and ICMP.</w:t>
      </w:r>
    </w:p>
    <w:p>
      <w:pPr>
        <w:pStyle w:val="Para 17"/>
      </w:pPr>
      <w:r>
        <w:t/>
      </w:r>
    </w:p>
    <w:p>
      <w:pPr>
        <w:pStyle w:val="Para 01"/>
      </w:pPr>
      <w:r>
        <w:t>Network configuration with Netplan</w:t>
      </w:r>
    </w:p>
    <w:p>
      <w:pPr>
        <w:pStyle w:val="Para 17"/>
      </w:pPr>
      <w:r>
        <w:t/>
      </w:r>
    </w:p>
    <w:p>
      <w:pPr>
        <w:pStyle w:val="Normal"/>
      </w:pPr>
      <w:r>
        <w:t xml:space="preserve">Ubuntu uses </w:t>
      </w:r>
      <w:hyperlink w:anchor="page_802">
        <w:r>
          <w:rPr>
            <w:rStyle w:val="Text9"/>
          </w:rPr>
          <w:t>815</w:t>
        </w:r>
      </w:hyperlink>
      <w:r>
        <w:t xml:space="preserve"> </w:t>
      </w:r>
      <w:hyperlink r:id="rId1694">
        <w:r>
          <w:rPr>
            <w:rStyle w:val="Text1"/>
          </w:rPr>
          <w:t>Netplan</w:t>
        </w:r>
      </w:hyperlink>
      <w:r>
        <w:t xml:space="preserve"> to configure networks. Netplan is a high-level, distribution-agnostic</w:t>
      </w:r>
    </w:p>
    <w:p>
      <w:pPr>
        <w:pStyle w:val="Normal"/>
      </w:pPr>
      <w:r>
        <w:t xml:space="preserve">tool that uses a </w:t>
      </w:r>
      <w:hyperlink r:id="rId1695">
        <w:r>
          <w:rPr>
            <w:rStyle w:val="Text9"/>
          </w:rPr>
          <w:t>816</w:t>
        </w:r>
      </w:hyperlink>
      <w:hyperlink r:id="rId1695">
        <w:r>
          <w:rPr>
            <w:rStyle w:val="Text1"/>
          </w:rPr>
          <w:t xml:space="preserve"> YAML configuration file</w:t>
        </w:r>
      </w:hyperlink>
      <w:r>
        <w:t xml:space="preserve"> to define your network setup. Read </w:t>
      </w:r>
      <w:hyperlink w:anchor="page_807">
        <w:r>
          <w:rPr>
            <w:rStyle w:val="Text2"/>
          </w:rPr>
          <w:t>more about</w:t>
        </w:r>
      </w:hyperlink>
    </w:p>
    <w:p>
      <w:pPr>
        <w:pStyle w:val="Normal"/>
      </w:pPr>
      <w:hyperlink w:anchor="page_807">
        <w:r>
          <w:rPr>
            <w:rStyle w:val="Text2"/>
          </w:rPr>
          <w:t>Netplan</w:t>
        </w:r>
      </w:hyperlink>
      <w:r>
        <w:t xml:space="preserve"> (page 806).</w:t>
      </w:r>
    </w:p>
    <w:p>
      <w:pPr>
        <w:pStyle w:val="Normal"/>
      </w:pPr>
      <w:r>
        <w:t xml:space="preserve">If you are a server administrator, check out our explanatory guide on </w:t>
      </w:r>
      <w:hyperlink w:anchor="page_808">
        <w:r>
          <w:rPr>
            <w:rStyle w:val="Text2"/>
          </w:rPr>
          <w:t>configuring networks”</w:t>
        </w:r>
      </w:hyperlink>
      <w:r>
        <w:t xml:space="preserve"> (page 807).</w:t>
      </w:r>
    </w:p>
    <w:p>
      <w:pPr>
        <w:pStyle w:val="Para 17"/>
      </w:pPr>
      <w:r>
        <w:t/>
      </w:r>
    </w:p>
    <w:p>
      <w:pPr>
        <w:pStyle w:val="Para 01"/>
      </w:pPr>
      <w:r>
        <w:t>Network tools and services</w:t>
      </w:r>
    </w:p>
    <w:p>
      <w:pPr>
        <w:pStyle w:val="Para 17"/>
      </w:pPr>
      <w:r>
        <w:t/>
      </w:r>
    </w:p>
    <w:p>
      <w:pPr>
        <w:pStyle w:val="Para 01"/>
      </w:pPr>
      <w:r>
        <w:t>DHCP</w:t>
      </w:r>
    </w:p>
    <w:p>
      <w:pPr>
        <w:pStyle w:val="Para 17"/>
      </w:pPr>
      <w:r>
        <w:t/>
      </w:r>
    </w:p>
    <w:p>
      <w:pPr>
        <w:pStyle w:val="Normal"/>
      </w:pPr>
      <w:r>
        <w:t>The Dynamic Host Configuration Protocol (DHCP) enables host computers to be automat-ically assigned settings from a server. To learn more about DHCP and how configuration</w:t>
      </w:r>
    </w:p>
    <w:p>
      <w:pPr>
        <w:pStyle w:val="Normal"/>
      </w:pPr>
      <w:r>
        <w:t xml:space="preserve">works, we have </w:t>
      </w:r>
      <w:hyperlink w:anchor="page_824">
        <w:r>
          <w:rPr>
            <w:rStyle w:val="Text2"/>
          </w:rPr>
          <w:t>an explanatory guide</w:t>
        </w:r>
      </w:hyperlink>
      <w:r>
        <w:t xml:space="preserve"> (page 823).</w:t>
      </w:r>
    </w:p>
    <w:p>
      <w:pPr>
        <w:pStyle w:val="Normal"/>
      </w:pPr>
      <w:r>
        <w:t xml:space="preserve">The recommended DHCP server for Ubuntu is </w:t>
      </w:r>
      <w:r>
        <w:rPr>
          <w:rStyle w:val="Text0"/>
        </w:rPr>
        <w:t>isc-kea</w:t>
      </w:r>
      <w:r>
        <w:t xml:space="preserve"> (available from 23.04 onward). There are also other DHCP servers available, including dnsmasq which provides combined DHCP and DNS functionality.</w:t>
      </w:r>
    </w:p>
    <w:p>
      <w:pPr>
        <w:pStyle w:val="Para 05"/>
      </w:pPr>
      <w:r>
        <w:rPr>
          <w:rStyle w:val="Text5"/>
        </w:rPr>
        <w:t>815</w:t>
      </w:r>
      <w:r>
        <w:rPr>
          <w:rStyle w:val="Text8"/>
        </w:rPr>
        <w:t xml:space="preserve"> </w:t>
      </w:r>
      <w:r>
        <w:t>https://netplan.io/</w:t>
      </w:r>
    </w:p>
    <w:p>
      <w:pPr>
        <w:pStyle w:val="Para 05"/>
      </w:pPr>
      <w:r>
        <w:rPr>
          <w:rStyle w:val="Text5"/>
        </w:rPr>
        <w:t>816</w:t>
      </w:r>
      <w:r>
        <w:rPr>
          <w:rStyle w:val="Text8"/>
        </w:rPr>
        <w:t xml:space="preserve"> </w:t>
      </w:r>
      <w:r>
        <w:t>https://netplan.readthedocs.io/en/stable/netplan-yaml/</w:t>
      </w:r>
    </w:p>
    <w:p>
      <w:bookmarkStart w:id="1263" w:name="page_8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8" name="index-803_1.png" descr="index-803_1.png"/>
            <wp:cNvGraphicFramePr>
              <a:graphicFrameLocks noChangeAspect="1"/>
            </wp:cNvGraphicFramePr>
            <a:graphic>
              <a:graphicData uri="http://schemas.openxmlformats.org/drawingml/2006/picture">
                <pic:pic>
                  <pic:nvPicPr>
                    <pic:cNvPr id="0" name="index-803_1.png" descr="index-803_1.png"/>
                    <pic:cNvPicPr/>
                  </pic:nvPicPr>
                  <pic:blipFill>
                    <a:blip r:embed="rId842"/>
                    <a:stretch>
                      <a:fillRect/>
                    </a:stretch>
                  </pic:blipFill>
                  <pic:spPr>
                    <a:xfrm>
                      <a:off x="0" y="0"/>
                      <a:ext cx="914400" cy="266700"/>
                    </a:xfrm>
                    <a:prstGeom prst="rect">
                      <a:avLst/>
                    </a:prstGeom>
                  </pic:spPr>
                </pic:pic>
              </a:graphicData>
            </a:graphic>
          </wp:anchor>
        </w:drawing>
      </w:r>
      <w:bookmarkEnd w:id="1263"/>
    </w:p>
    <w:p>
      <w:pPr>
        <w:pStyle w:val="Normal"/>
      </w:pPr>
      <w:r>
        <w:t xml:space="preserve">Learn how to </w:t>
      </w:r>
      <w:hyperlink w:anchor="page_268">
        <w:r>
          <w:rPr>
            <w:rStyle w:val="Text2"/>
          </w:rPr>
          <w:t>install isc-kea</w:t>
        </w:r>
      </w:hyperlink>
      <w:r>
        <w:t xml:space="preserve"> (page 267) or explore other </w:t>
      </w:r>
      <w:hyperlink w:anchor="page_824">
        <w:r>
          <w:rPr>
            <w:rStyle w:val="Text2"/>
          </w:rPr>
          <w:t>DHCP server options</w:t>
        </w:r>
      </w:hyperlink>
      <w:r>
        <w:t xml:space="preserve"> (page 823).</w:t>
      </w:r>
    </w:p>
    <w:p>
      <w:pPr>
        <w:pStyle w:val="Para 17"/>
      </w:pPr>
      <w:r>
        <w:t/>
      </w:r>
    </w:p>
    <w:p>
      <w:pPr>
        <w:pStyle w:val="Para 01"/>
      </w:pPr>
      <w:r>
        <w:t>Time synchronization</w:t>
      </w:r>
    </w:p>
    <w:p>
      <w:pPr>
        <w:pStyle w:val="Para 17"/>
      </w:pPr>
      <w:r>
        <w:t/>
      </w:r>
    </w:p>
    <w:p>
      <w:pPr>
        <w:pStyle w:val="Normal"/>
      </w:pPr>
      <w:r>
        <w:t>Network Time Protocol (NTP) synchronizes time between all devices on a network to within a</w:t>
      </w:r>
    </w:p>
    <w:p>
      <w:pPr>
        <w:pStyle w:val="Normal"/>
      </w:pPr>
      <w:r>
        <w:t xml:space="preserve">few milliseconds of Coordinated Universal Time (UTC). Learn more about </w:t>
      </w:r>
      <w:hyperlink w:anchor="page_826">
        <w:r>
          <w:rPr>
            <w:rStyle w:val="Text2"/>
          </w:rPr>
          <w:t>time synchronization</w:t>
        </w:r>
      </w:hyperlink>
      <w:r>
        <w:t xml:space="preserve"> (page 825).</w:t>
      </w:r>
    </w:p>
    <w:p>
      <w:pPr>
        <w:pStyle w:val="Normal"/>
      </w:pPr>
      <w:r>
        <w:t>Time is primarily synchronized in Ubuntu by chrony. To find out how to configure this service,</w:t>
      </w:r>
    </w:p>
    <w:p>
      <w:pPr>
        <w:pStyle w:val="Normal"/>
      </w:pPr>
      <w:r>
        <w:t xml:space="preserve">including Network Time Security (NTS) </w:t>
      </w:r>
      <w:hyperlink w:anchor="page_272">
        <w:r>
          <w:rPr>
            <w:rStyle w:val="Text2"/>
          </w:rPr>
          <w:t>read our how-to guide</w:t>
        </w:r>
      </w:hyperlink>
      <w:r>
        <w:t xml:space="preserve"> (page 271).</w:t>
      </w:r>
    </w:p>
    <w:p>
      <w:pPr>
        <w:pStyle w:val="Normal"/>
      </w:pPr>
      <w:r>
        <w:t xml:space="preserve">If you want to set up a server to </w:t>
      </w:r>
      <w:r>
        <w:rPr>
          <w:rStyle w:val="Text3"/>
        </w:rPr>
        <w:t>provide</w:t>
      </w:r>
      <w:r>
        <w:t xml:space="preserve"> NTP information, we suggest chrony. Learn </w:t>
      </w:r>
      <w:hyperlink w:anchor="page_278">
        <w:r>
          <w:rPr>
            <w:rStyle w:val="Text2"/>
          </w:rPr>
          <w:t>how to</w:t>
        </w:r>
      </w:hyperlink>
    </w:p>
    <w:p>
      <w:pPr>
        <w:pStyle w:val="Normal"/>
      </w:pPr>
      <w:hyperlink w:anchor="page_278">
        <w:r>
          <w:rPr>
            <w:rStyle w:val="Text2"/>
          </w:rPr>
          <w:t>serve NTP using chrony</w:t>
        </w:r>
      </w:hyperlink>
      <w:r>
        <w:t xml:space="preserve"> (page 277) with this guide.</w:t>
      </w:r>
    </w:p>
    <w:p>
      <w:pPr>
        <w:pStyle w:val="Para 17"/>
      </w:pPr>
      <w:r>
        <w:t/>
      </w:r>
    </w:p>
    <w:p>
      <w:pPr>
        <w:pStyle w:val="Para 01"/>
      </w:pPr>
      <w:r>
        <w:t>The DPDK library</w:t>
      </w:r>
    </w:p>
    <w:p>
      <w:pPr>
        <w:pStyle w:val="Para 17"/>
      </w:pPr>
      <w:r>
        <w:t/>
      </w:r>
    </w:p>
    <w:p>
      <w:pPr>
        <w:pStyle w:val="Normal"/>
      </w:pPr>
      <w:r>
        <w:t xml:space="preserve">The </w:t>
      </w:r>
      <w:hyperlink r:id="rId1696">
        <w:r>
          <w:rPr>
            <w:rStyle w:val="Text9"/>
          </w:rPr>
          <w:t>817</w:t>
        </w:r>
      </w:hyperlink>
      <w:hyperlink r:id="rId1696">
        <w:r>
          <w:rPr>
            <w:rStyle w:val="Text1"/>
          </w:rPr>
          <w:t xml:space="preserve"> Data Plane Development Kit (DPDK)</w:t>
        </w:r>
      </w:hyperlink>
      <w:r>
        <w:t xml:space="preserve"> is a set of libraries that improve network perfor-</w:t>
      </w:r>
    </w:p>
    <w:p>
      <w:pPr>
        <w:pStyle w:val="Para 20"/>
      </w:pPr>
      <w:r>
        <w:rPr>
          <w:rStyle w:val="Text4"/>
        </w:rPr>
        <w:t xml:space="preserve">mance. Learn more </w:t>
      </w:r>
      <w:hyperlink w:anchor="page_819">
        <w:r>
          <w:t>about DPDK and its use in Ubuntu</w:t>
        </w:r>
      </w:hyperlink>
      <w:r>
        <w:rPr>
          <w:rStyle w:val="Text4"/>
        </w:rPr>
        <w:t xml:space="preserve"> (page 818).</w:t>
      </w:r>
    </w:p>
    <w:p>
      <w:pPr>
        <w:pStyle w:val="Normal"/>
      </w:pPr>
      <w:r>
        <w:t>One popular piece of software that uses DPDK is Open vSwitch (OVS). It functions as a virtual switch in virtual machine (VM) environments, providing connectivity between VMs. OVS can</w:t>
      </w:r>
    </w:p>
    <w:p>
      <w:pPr>
        <w:pStyle w:val="Normal"/>
      </w:pPr>
      <w:r>
        <w:t xml:space="preserve">run inside a VM or at the hypervisor level. Check out our guide to find out </w:t>
      </w:r>
      <w:hyperlink w:anchor="page_262">
        <w:r>
          <w:rPr>
            <w:rStyle w:val="Text2"/>
          </w:rPr>
          <w:t>how to use DPDK</w:t>
        </w:r>
      </w:hyperlink>
    </w:p>
    <w:p>
      <w:pPr>
        <w:pStyle w:val="Para 20"/>
      </w:pPr>
      <w:hyperlink w:anchor="page_262">
        <w:r>
          <w:t>with Open vSwitch</w:t>
        </w:r>
      </w:hyperlink>
      <w:r>
        <w:rPr>
          <w:rStyle w:val="Text4"/>
        </w:rPr>
        <w:t xml:space="preserve"> (page 261).</w:t>
      </w:r>
    </w:p>
    <w:p>
      <w:pPr>
        <w:pStyle w:val="Para 17"/>
      </w:pPr>
      <w:r>
        <w:t/>
      </w:r>
    </w:p>
    <w:p>
      <w:pPr>
        <w:pStyle w:val="Para 01"/>
      </w:pPr>
      <w:r>
        <w:t>Other networking functionality</w:t>
      </w:r>
    </w:p>
    <w:p>
      <w:pPr>
        <w:pStyle w:val="Para 17"/>
      </w:pPr>
      <w:r>
        <w:t/>
      </w:r>
    </w:p>
    <w:p>
      <w:pPr>
        <w:pStyle w:val="Para 01"/>
      </w:pPr>
      <w:r>
        <w:t>Samba</w:t>
      </w:r>
    </w:p>
    <w:p>
      <w:pPr>
        <w:pStyle w:val="Para 17"/>
      </w:pPr>
      <w:r>
        <w:t/>
      </w:r>
    </w:p>
    <w:p>
      <w:pPr>
        <w:pStyle w:val="Normal"/>
      </w:pPr>
      <w:r>
        <w:t>If you need to network Ubuntu and Microsoft devices together, use Samba. To get started,</w:t>
      </w:r>
    </w:p>
    <w:p>
      <w:pPr>
        <w:pStyle w:val="Normal"/>
      </w:pPr>
      <w:r>
        <w:t xml:space="preserve">check out our </w:t>
      </w:r>
      <w:hyperlink w:anchor="page_828">
        <w:r>
          <w:rPr>
            <w:rStyle w:val="Text2"/>
          </w:rPr>
          <w:t>introduction to Samba</w:t>
        </w:r>
      </w:hyperlink>
      <w:r>
        <w:t xml:space="preserve"> (page 827).</w:t>
      </w:r>
    </w:p>
    <w:p>
      <w:pPr>
        <w:pStyle w:val="Para 17"/>
      </w:pPr>
      <w:r>
        <w:t/>
      </w:r>
    </w:p>
    <w:p>
      <w:pPr>
        <w:pStyle w:val="Para 01"/>
      </w:pPr>
      <w:r>
        <w:t>Networking key concepts</w:t>
      </w:r>
    </w:p>
    <w:p>
      <w:pPr>
        <w:pStyle w:val="Para 17"/>
      </w:pPr>
      <w:r>
        <w:t/>
      </w:r>
    </w:p>
    <w:p>
      <w:pPr>
        <w:pStyle w:val="Normal"/>
      </w:pPr>
      <w:r>
        <w:t>This section provides high-level information pertaining to networking, including an overview of network concepts and detailed discussion of popular network protocols.</w:t>
      </w:r>
    </w:p>
    <w:p>
      <w:pPr>
        <w:pStyle w:val="Para 17"/>
      </w:pPr>
      <w:r>
        <w:t/>
      </w:r>
    </w:p>
    <w:p>
      <w:pPr>
        <w:pStyle w:val="Para 01"/>
      </w:pPr>
      <w:r>
        <w:t>The Transmission Control Protocol and Internet Protocol (TCP/IP)</w:t>
      </w:r>
    </w:p>
    <w:p>
      <w:pPr>
        <w:pStyle w:val="Para 17"/>
      </w:pPr>
      <w:r>
        <w:t/>
      </w:r>
    </w:p>
    <w:p>
      <w:pPr>
        <w:pStyle w:val="Normal"/>
      </w:pPr>
      <w:r>
        <w:t>The Transmission Control Protocol and Internet Protocol is a standard set of protocols de-</w:t>
      </w:r>
    </w:p>
    <w:p>
      <w:pPr>
        <w:pStyle w:val="Normal"/>
      </w:pPr>
      <w:r>
        <w:t>veloped in the late 1970s by the Defense Advanced Research Projects Agency (</w:t>
      </w:r>
      <w:hyperlink w:anchor="page_676">
        <w:r>
          <w:rPr>
            <w:rStyle w:val="Text2"/>
          </w:rPr>
          <w:t>DARPA</w:t>
        </w:r>
      </w:hyperlink>
      <w:hyperlink w:anchor="page_676">
        <w:r>
          <w:rPr>
            <w:rStyle w:val="Text1"/>
          </w:rPr>
          <w:t xml:space="preserve">) </w:t>
        </w:r>
      </w:hyperlink>
      <w:r>
        <w:t>as a means of communication between different types of computers and computer networks. TCP/IP is the driving force of the Internet, and thus it is the most popular set of network protocols on Earth.</w:t>
      </w:r>
    </w:p>
    <w:p>
      <w:pPr>
        <w:pStyle w:val="Para 05"/>
      </w:pPr>
      <w:r>
        <w:rPr>
          <w:rStyle w:val="Text5"/>
        </w:rPr>
        <w:t>817</w:t>
      </w:r>
      <w:r>
        <w:rPr>
          <w:rStyle w:val="Text8"/>
        </w:rPr>
        <w:t xml:space="preserve"> </w:t>
      </w:r>
      <w:r>
        <w:t>https://www.dpdk.org/</w:t>
      </w:r>
    </w:p>
    <w:p>
      <w:bookmarkStart w:id="1264" w:name="page_8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39" name="index-804_1.png" descr="index-804_1.png"/>
            <wp:cNvGraphicFramePr>
              <a:graphicFrameLocks noChangeAspect="1"/>
            </wp:cNvGraphicFramePr>
            <a:graphic>
              <a:graphicData uri="http://schemas.openxmlformats.org/drawingml/2006/picture">
                <pic:pic>
                  <pic:nvPicPr>
                    <pic:cNvPr id="0" name="index-804_1.png" descr="index-804_1.png"/>
                    <pic:cNvPicPr/>
                  </pic:nvPicPr>
                  <pic:blipFill>
                    <a:blip r:embed="rId843"/>
                    <a:stretch>
                      <a:fillRect/>
                    </a:stretch>
                  </pic:blipFill>
                  <pic:spPr>
                    <a:xfrm>
                      <a:off x="0" y="0"/>
                      <a:ext cx="914400" cy="266700"/>
                    </a:xfrm>
                    <a:prstGeom prst="rect">
                      <a:avLst/>
                    </a:prstGeom>
                  </pic:spPr>
                </pic:pic>
              </a:graphicData>
            </a:graphic>
          </wp:anchor>
        </w:drawing>
      </w:r>
      <w:bookmarkEnd w:id="1264"/>
    </w:p>
    <w:p>
      <w:pPr>
        <w:pStyle w:val="Para 01"/>
      </w:pPr>
      <w:r>
        <w:t>TCP/IP overview</w:t>
      </w:r>
    </w:p>
    <w:p>
      <w:pPr>
        <w:pStyle w:val="Para 17"/>
      </w:pPr>
      <w:r>
        <w:t/>
      </w:r>
    </w:p>
    <w:p>
      <w:pPr>
        <w:pStyle w:val="Normal"/>
      </w:pPr>
      <w:r>
        <w:t>The two protocol components of TCP/IP deal with different aspects of computer networking.</w:t>
      </w:r>
    </w:p>
    <w:p>
      <w:pPr>
        <w:pStyle w:val="Para 04"/>
      </w:pPr>
      <w:r>
        <w:t xml:space="preserve">• </w:t>
      </w:r>
      <w:r>
        <w:rPr>
          <w:rStyle w:val="Text0"/>
        </w:rPr>
        <w:t>Internet Protocol</w:t>
      </w:r>
      <w:r>
        <w:t xml:space="preserve"> – the “IP” of TCP/IP – is a connectionless protocol that deals only with</w:t>
      </w:r>
    </w:p>
    <w:p>
      <w:pPr>
        <w:pStyle w:val="Para 02"/>
      </w:pPr>
      <w:r>
        <w:t xml:space="preserve">network packet routing using the </w:t>
      </w:r>
      <w:r>
        <w:rPr>
          <w:rStyle w:val="Text3"/>
        </w:rPr>
        <w:t>IP Datagram</w:t>
      </w:r>
      <w:r>
        <w:t xml:space="preserve"> as the basic unit of networking informa-</w:t>
      </w:r>
    </w:p>
    <w:p>
      <w:pPr>
        <w:pStyle w:val="Para 02"/>
      </w:pPr>
      <w:r>
        <w:t xml:space="preserve">tion. The IP </w:t>
      </w:r>
      <w:hyperlink w:anchor="page_677">
        <w:r>
          <w:rPr>
            <w:rStyle w:val="Text2"/>
          </w:rPr>
          <w:t>Datagram</w:t>
        </w:r>
      </w:hyperlink>
      <w:r>
        <w:t xml:space="preserve"> consists of a header followed by a message.</w:t>
      </w:r>
    </w:p>
    <w:p>
      <w:pPr>
        <w:pStyle w:val="Para 04"/>
      </w:pPr>
      <w:r>
        <w:t xml:space="preserve">• </w:t>
      </w:r>
      <w:r>
        <w:rPr>
          <w:rStyle w:val="Text0"/>
        </w:rPr>
        <w:t>Transmission Control Protocol</w:t>
      </w:r>
      <w:r>
        <w:t xml:space="preserve"> – the “TCP” of TCP/IP – enables network hosts to estab-</w:t>
      </w:r>
    </w:p>
    <w:p>
      <w:pPr>
        <w:pStyle w:val="Para 02"/>
      </w:pPr>
      <w:r>
        <w:t>lish connections that may be used to exchange data streams. TCP also guarantees that data sent between connections is delivered, and that it arrives at one network host in the same order as sent from another network host.</w:t>
      </w:r>
    </w:p>
    <w:p>
      <w:pPr>
        <w:pStyle w:val="Para 17"/>
      </w:pPr>
      <w:r>
        <w:t/>
      </w:r>
    </w:p>
    <w:p>
      <w:pPr>
        <w:pStyle w:val="Para 01"/>
      </w:pPr>
      <w:r>
        <w:t>TCP/IP configuration</w:t>
      </w:r>
    </w:p>
    <w:p>
      <w:pPr>
        <w:pStyle w:val="Para 17"/>
      </w:pPr>
      <w:r>
        <w:t/>
      </w:r>
    </w:p>
    <w:p>
      <w:pPr>
        <w:pStyle w:val="Normal"/>
      </w:pPr>
      <w:r>
        <w:t>The TCP/IP protocol configuration consists of several elements that must be set by editing the appropriate configuration files, or by deploying solutions such as the Dynamic Host Con-</w:t>
      </w:r>
    </w:p>
    <w:p>
      <w:pPr>
        <w:pStyle w:val="Normal"/>
      </w:pPr>
      <w:r>
        <w:t xml:space="preserve">figuration Protocol </w:t>
      </w:r>
      <w:hyperlink w:anchor="page_678">
        <w:r>
          <w:rPr>
            <w:rStyle w:val="Text1"/>
          </w:rPr>
          <w:t>(</w:t>
        </w:r>
      </w:hyperlink>
      <w:hyperlink w:anchor="page_678">
        <w:r>
          <w:rPr>
            <w:rStyle w:val="Text2"/>
          </w:rPr>
          <w:t>DHCP</w:t>
        </w:r>
      </w:hyperlink>
      <w:r>
        <w:t>) server which can, in turn, be configured to provide the proper TCP/IP configuration settings to network clients automatically. These configuration values must be set correctly in order to facilitate the proper network operation of your Ubuntu sys-tem.</w:t>
      </w:r>
    </w:p>
    <w:p>
      <w:pPr>
        <w:pStyle w:val="Normal"/>
      </w:pPr>
      <w:r>
        <w:t>The common configuration elements of TCP/IP and their purposes are as follows:</w:t>
      </w:r>
    </w:p>
    <w:p>
      <w:pPr>
        <w:pStyle w:val="Para 04"/>
      </w:pPr>
      <w:r>
        <w:t xml:space="preserve">• </w:t>
      </w:r>
      <w:r>
        <w:rPr>
          <w:rStyle w:val="Text0"/>
        </w:rPr>
        <w:t>IP address</w:t>
      </w:r>
      <w:r>
        <w:t>: An IP address is a unique identifier for a device on a network. For IPv4, it is</w:t>
      </w:r>
    </w:p>
    <w:p>
      <w:pPr>
        <w:pStyle w:val="Para 02"/>
      </w:pPr>
      <w:r>
        <w:t>expressed as four decimal numbers ranging from 0 to 255, separated by periods (dotted quad notation), totaling 32 bits. For IPv6, it uses eight groups of four hexadecimal digits separated by colons, totaling 128 bits.</w:t>
      </w:r>
    </w:p>
    <w:p>
      <w:pPr>
        <w:pStyle w:val="Para 04"/>
      </w:pPr>
      <w:r>
        <w:t xml:space="preserve">• </w:t>
      </w:r>
      <w:r>
        <w:rPr>
          <w:rStyle w:val="Text0"/>
        </w:rPr>
        <w:t>Netmask</w:t>
      </w:r>
      <w:r>
        <w:t xml:space="preserve">: The subnet mask (or simply, </w:t>
      </w:r>
      <w:r>
        <w:rPr>
          <w:rStyle w:val="Text3"/>
        </w:rPr>
        <w:t>netmask</w:t>
      </w:r>
      <w:r>
        <w:t>) is a local bit mask, or set of flags,</w:t>
      </w:r>
    </w:p>
    <w:p>
      <w:pPr>
        <w:pStyle w:val="Para 02"/>
      </w:pPr>
      <w:r>
        <w:t xml:space="preserve">which separate the portions of an IP address significant to the network from the bits significant to the </w:t>
      </w:r>
      <w:r>
        <w:rPr>
          <w:rStyle w:val="Text3"/>
        </w:rPr>
        <w:t>subnetwork</w:t>
      </w:r>
      <w:r>
        <w:t>. For example, in a /24 network (CIDR notation for 255.255.255.0), the netmask masks the first three bytes of the IP address and allows the last byte to specify hosts on the subnetwork.</w:t>
      </w:r>
    </w:p>
    <w:p>
      <w:pPr>
        <w:pStyle w:val="Para 04"/>
      </w:pPr>
      <w:r>
        <w:t xml:space="preserve">• </w:t>
      </w:r>
      <w:r>
        <w:rPr>
          <w:rStyle w:val="Text0"/>
        </w:rPr>
        <w:t>Network address</w:t>
      </w:r>
      <w:r>
        <w:t>: The network address represents the bytes comprising the network</w:t>
      </w:r>
    </w:p>
    <w:p>
      <w:pPr>
        <w:pStyle w:val="Para 02"/>
      </w:pPr>
      <w:r>
        <w:t>portion of an IP address. For example, the host 192.168.1.2 in a /24 network would have a network address of 192.168.1.0. A host 10.0.1.100 in a /8 network would have 10.0.0.0.</w:t>
      </w:r>
    </w:p>
    <w:p>
      <w:pPr>
        <w:pStyle w:val="Para 04"/>
      </w:pPr>
      <w:r>
        <w:t xml:space="preserve">• </w:t>
      </w:r>
      <w:r>
        <w:rPr>
          <w:rStyle w:val="Text0"/>
        </w:rPr>
        <w:t>Broadcast address</w:t>
      </w:r>
      <w:r>
        <w:t>: The broadcast address is an IP address that allows network data</w:t>
      </w:r>
    </w:p>
    <w:p>
      <w:pPr>
        <w:pStyle w:val="Para 02"/>
      </w:pPr>
      <w:r>
        <w:t>to be sent simultaneously to all hosts on a given subnetwork, rather than specify-ing a particular host. The standard general broadcast address for IP networks is 255.255.255.255, but this broadcast address cannot be used to send a broadcast mes-sage to every host on the Internet because routers block it. A more appropriate broad-cast address is set to match a specific subnetwork. For example, on a /24 network like 192.168.1.0, the broadcast address is 192.168.1.255. Broadcast messages are typically produced by network protocols such as the Address Resolution Protocol (ARP) and the Routing Information Protocol (RIP).</w:t>
      </w:r>
    </w:p>
    <w:p>
      <w:pPr>
        <w:pStyle w:val="Para 04"/>
      </w:pPr>
      <w:r>
        <w:t xml:space="preserve">• </w:t>
      </w:r>
      <w:r>
        <w:rPr>
          <w:rStyle w:val="Text0"/>
        </w:rPr>
        <w:t>Gateway address</w:t>
      </w:r>
      <w:r>
        <w:t>: A gateway address is the IP address through which a particular net-</w:t>
      </w:r>
    </w:p>
    <w:p>
      <w:pPr>
        <w:pStyle w:val="Para 02"/>
      </w:pPr>
      <w:r>
        <w:t xml:space="preserve">work, or host on a network, may be reached. If one network host wishes to communi-cate with another network host, and that host is not located on the same network, then a </w:t>
      </w:r>
      <w:r>
        <w:rPr>
          <w:rStyle w:val="Text3"/>
        </w:rPr>
        <w:t>gateway</w:t>
      </w:r>
      <w:r>
        <w:t xml:space="preserve"> must be used. In many cases, the gateway address will be that of a router</w:t>
      </w:r>
    </w:p>
    <w:p>
      <w:bookmarkStart w:id="1265" w:name="page_8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0" name="index-805_1.png" descr="index-805_1.png"/>
            <wp:cNvGraphicFramePr>
              <a:graphicFrameLocks noChangeAspect="1"/>
            </wp:cNvGraphicFramePr>
            <a:graphic>
              <a:graphicData uri="http://schemas.openxmlformats.org/drawingml/2006/picture">
                <pic:pic>
                  <pic:nvPicPr>
                    <pic:cNvPr id="0" name="index-805_1.png" descr="index-805_1.png"/>
                    <pic:cNvPicPr/>
                  </pic:nvPicPr>
                  <pic:blipFill>
                    <a:blip r:embed="rId844"/>
                    <a:stretch>
                      <a:fillRect/>
                    </a:stretch>
                  </pic:blipFill>
                  <pic:spPr>
                    <a:xfrm>
                      <a:off x="0" y="0"/>
                      <a:ext cx="914400" cy="266700"/>
                    </a:xfrm>
                    <a:prstGeom prst="rect">
                      <a:avLst/>
                    </a:prstGeom>
                  </pic:spPr>
                </pic:pic>
              </a:graphicData>
            </a:graphic>
          </wp:anchor>
        </w:drawing>
      </w:r>
      <w:bookmarkEnd w:id="1265"/>
    </w:p>
    <w:p>
      <w:pPr>
        <w:pStyle w:val="Para 17"/>
      </w:pPr>
      <w:r>
        <w:t>on the same network, which will in turn pass traffic on to other networks or hosts, such as Internet hosts. The value of the Gateway Address setting must be correct, or your system will not be able to reach any hosts beyond those on the same network.</w:t>
      </w:r>
    </w:p>
    <w:p>
      <w:pPr>
        <w:pStyle w:val="Para 04"/>
      </w:pPr>
      <w:r>
        <w:t xml:space="preserve">• </w:t>
      </w:r>
      <w:r>
        <w:rPr>
          <w:rStyle w:val="Text0"/>
        </w:rPr>
        <w:t>Nameserver address</w:t>
      </w:r>
      <w:r>
        <w:t>: Nameserver addresses represent the IP addresses of Domain</w:t>
      </w:r>
    </w:p>
    <w:p>
      <w:pPr>
        <w:pStyle w:val="Para 02"/>
      </w:pPr>
      <w:r>
        <w:t xml:space="preserve">Name Service (DNS) systems, which resolve network hostnames into IP addresses. There are three levels of nameserver addresses, which may be specified in order of precedence: The </w:t>
      </w:r>
      <w:r>
        <w:rPr>
          <w:rStyle w:val="Text3"/>
        </w:rPr>
        <w:t>primary</w:t>
      </w:r>
      <w:r>
        <w:t xml:space="preserve"> nameserver, the </w:t>
      </w:r>
      <w:r>
        <w:rPr>
          <w:rStyle w:val="Text3"/>
        </w:rPr>
        <w:t>secondary</w:t>
      </w:r>
      <w:r>
        <w:t xml:space="preserve"> nameserver, and the </w:t>
      </w:r>
      <w:r>
        <w:rPr>
          <w:rStyle w:val="Text3"/>
        </w:rPr>
        <w:t>tertiary</w:t>
      </w:r>
      <w:r>
        <w:t xml:space="preserve"> nameserver. So that your system can resolve network hostnames into their correspond-ing IP addresses, you must specify valid nameserver addresses that you are authorized to use in your system’s TCP/IP configuration. In many cases, these addresses can and will be provided by your network service provider, but many free and publicly accessi-ble nameservers are available for use, such as Quad9 (9.9.9.9) or Cloudflare (1.1.1.1), or the Level3/Lumen servers (4.2.2.1 to 4.2.2.6).</w:t>
      </w:r>
    </w:p>
    <w:p>
      <w:pPr>
        <w:pStyle w:val="Para 17"/>
      </w:pPr>
      <w:r>
        <w:t/>
      </w:r>
    </w:p>
    <w:p>
      <w:pPr>
        <w:pStyle w:val="Para 08"/>
      </w:pPr>
      <w:r>
        <w:t>Tip:</w:t>
      </w:r>
    </w:p>
    <w:p>
      <w:pPr>
        <w:pStyle w:val="Para 17"/>
      </w:pPr>
      <w:r>
        <w:t/>
      </w:r>
    </w:p>
    <w:p>
      <w:pPr>
        <w:pStyle w:val="Para 03"/>
      </w:pPr>
      <w:r>
        <w:t>The IP address (in CIDR notation), gateway (default route), and nameserver addresses are</w:t>
      </w:r>
    </w:p>
    <w:p>
      <w:pPr>
        <w:pStyle w:val="Para 03"/>
      </w:pPr>
      <w:r>
        <w:t>typically specified via Netplan configuration files in /etc/netplan/. For more information,</w:t>
      </w:r>
    </w:p>
    <w:p>
      <w:pPr>
        <w:pStyle w:val="Para 03"/>
      </w:pPr>
      <w:r>
        <w:t>view the system manual page for netplan, with the following command typed at a terminal</w:t>
      </w:r>
    </w:p>
    <w:p>
      <w:pPr>
        <w:pStyle w:val="Para 03"/>
      </w:pPr>
      <w:r>
        <w:t>prompt:</w:t>
      </w:r>
    </w:p>
    <w:p>
      <w:pPr>
        <w:pStyle w:val="Para 17"/>
      </w:pPr>
      <w:r>
        <w:t/>
      </w:r>
    </w:p>
    <w:p>
      <w:pPr>
        <w:pStyle w:val="Normal"/>
      </w:pPr>
      <w:r>
        <w:t>man netplan</w:t>
        <w:t>.5</w:t>
      </w:r>
    </w:p>
    <w:p>
      <w:pPr>
        <w:pStyle w:val="Para 17"/>
      </w:pPr>
      <w:r>
        <w:t/>
      </w:r>
    </w:p>
    <w:p>
      <w:pPr>
        <w:pStyle w:val="Para 01"/>
      </w:pPr>
      <w:r>
        <w:t>IP routing</w:t>
      </w:r>
    </w:p>
    <w:p>
      <w:pPr>
        <w:pStyle w:val="Para 17"/>
      </w:pPr>
      <w:r>
        <w:t/>
      </w:r>
    </w:p>
    <w:p>
      <w:pPr>
        <w:pStyle w:val="Normal"/>
      </w:pPr>
      <w:r>
        <w:t xml:space="preserve">IP routing is a way of specifying and discovering paths in a TCP/IP network that network data can be sent along. Routing uses a set of </w:t>
      </w:r>
      <w:r>
        <w:rPr>
          <w:rStyle w:val="Text3"/>
        </w:rPr>
        <w:t>routing tables</w:t>
      </w:r>
      <w:r>
        <w:t xml:space="preserve"> to direct the forwarding of net-work data packets from their source to the destination, often via many intermediary network nodes known as </w:t>
      </w:r>
      <w:r>
        <w:rPr>
          <w:rStyle w:val="Text3"/>
        </w:rPr>
        <w:t>routers</w:t>
      </w:r>
      <w:r>
        <w:t xml:space="preserve">. There are two primary forms of IP routing: </w:t>
      </w:r>
      <w:r>
        <w:rPr>
          <w:rStyle w:val="Text3"/>
        </w:rPr>
        <w:t>static routing</w:t>
      </w:r>
      <w:r>
        <w:t xml:space="preserve"> and </w:t>
      </w:r>
      <w:r>
        <w:rPr>
          <w:rStyle w:val="Text3"/>
        </w:rPr>
        <w:t>dynamic routing.</w:t>
      </w:r>
    </w:p>
    <w:p>
      <w:pPr>
        <w:pStyle w:val="Normal"/>
      </w:pPr>
      <w:r>
        <w:t>Static routing involves manually adding IP routes to the system’s routing table, and this is usually done by manipulating the routing table with the route command. Static routing en-joys many advantages over dynamic routing, such as simplicity of implementation on smaller networks, predictability (the routing table is always computed in advance, and thus the route is precisely the same each time it is used), and low overhead on other routers and network links due to the lack of a dynamic routing protocol. However, static routing does present some disadvantages as well. For example, static routing is limited to small networks and does not scale well. Static routing also fails completely to adapt to network outages and failures along the route due to the fixed nature of the route.</w:t>
      </w:r>
    </w:p>
    <w:p>
      <w:pPr>
        <w:pStyle w:val="Normal"/>
      </w:pPr>
      <w:r>
        <w:t>Dynamic routing depends on large networks with multiple possible IP routes from a source to</w:t>
      </w:r>
    </w:p>
    <w:p>
      <w:pPr>
        <w:pStyle w:val="Normal"/>
      </w:pPr>
      <w:r>
        <w:t xml:space="preserve">a destination and makes use of special routing protocols, such as </w:t>
      </w:r>
      <w:hyperlink w:anchor="page_702">
        <w:r>
          <w:rPr>
            <w:rStyle w:val="Text2"/>
          </w:rPr>
          <w:t>RIP</w:t>
        </w:r>
      </w:hyperlink>
      <w:r>
        <w:t xml:space="preserve"> or </w:t>
      </w:r>
      <w:hyperlink w:anchor="page_698">
        <w:r>
          <w:rPr>
            <w:rStyle w:val="Text2"/>
          </w:rPr>
          <w:t>OSPF</w:t>
        </w:r>
      </w:hyperlink>
      <w:r>
        <w:t>, which handle the automatic adjustments in routing tables that make dynamic routing possible. Dynamic routing has several advantages over static routing, such as superior scalability and the ability to adapt to failures and outages along network routes. Additionally, there is less manual con-figuration of the routing tables, since routers learn from one another about their existence and available routes. This trait also prevents mistakes being introduced into the routing ta-bles via human error. Dynamic routing is not perfect, however, and presents disadvantages such as heightened complexity and additional network overhead from router communica-tions, which does not immediately benefit the end users but still consumes network band-width.</w:t>
      </w:r>
    </w:p>
    <w:p>
      <w:bookmarkStart w:id="1266" w:name="page_8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1" name="index-806_1.png" descr="index-806_1.png"/>
            <wp:cNvGraphicFramePr>
              <a:graphicFrameLocks noChangeAspect="1"/>
            </wp:cNvGraphicFramePr>
            <a:graphic>
              <a:graphicData uri="http://schemas.openxmlformats.org/drawingml/2006/picture">
                <pic:pic>
                  <pic:nvPicPr>
                    <pic:cNvPr id="0" name="index-806_1.png" descr="index-806_1.png"/>
                    <pic:cNvPicPr/>
                  </pic:nvPicPr>
                  <pic:blipFill>
                    <a:blip r:embed="rId845"/>
                    <a:stretch>
                      <a:fillRect/>
                    </a:stretch>
                  </pic:blipFill>
                  <pic:spPr>
                    <a:xfrm>
                      <a:off x="0" y="0"/>
                      <a:ext cx="914400" cy="266700"/>
                    </a:xfrm>
                    <a:prstGeom prst="rect">
                      <a:avLst/>
                    </a:prstGeom>
                  </pic:spPr>
                </pic:pic>
              </a:graphicData>
            </a:graphic>
          </wp:anchor>
        </w:drawing>
      </w:r>
      <w:bookmarkEnd w:id="1266"/>
    </w:p>
    <w:p>
      <w:pPr>
        <w:pStyle w:val="Para 17"/>
      </w:pPr>
      <w:r>
        <w:t/>
      </w:r>
    </w:p>
    <w:p>
      <w:pPr>
        <w:pStyle w:val="Para 01"/>
      </w:pPr>
      <w:r>
        <w:t>About TCP and UDP</w:t>
      </w:r>
    </w:p>
    <w:p>
      <w:pPr>
        <w:pStyle w:val="Para 17"/>
      </w:pPr>
      <w:r>
        <w:t/>
      </w:r>
    </w:p>
    <w:p>
      <w:pPr>
        <w:pStyle w:val="Normal"/>
      </w:pPr>
      <w:r>
        <w:t>TCP (Transmission Control Protocol) and UDP (User Datagram Protocol) are the most com-mon protocols used to transfer data over networks.</w:t>
      </w:r>
    </w:p>
    <w:p>
      <w:pPr>
        <w:pStyle w:val="Normal"/>
      </w:pPr>
      <w:r>
        <w:t xml:space="preserve">TCP is a connection-based protocol, offering error correction and guaranteed delivery of data via what is known as </w:t>
      </w:r>
      <w:r>
        <w:rPr>
          <w:rStyle w:val="Text3"/>
        </w:rPr>
        <w:t>flow control</w:t>
      </w:r>
      <w:r>
        <w:t xml:space="preserve">. Flow control determines when the flow of a data stream needs to be stopped, and previously-sent data packets should be re-sent due to problems such as </w:t>
      </w:r>
      <w:r>
        <w:rPr>
          <w:rStyle w:val="Text3"/>
        </w:rPr>
        <w:t>collisions</w:t>
      </w:r>
      <w:r>
        <w:t>, for example, thus ensuring complete and accurate delivery of the data. TCP is typically used in the exchange of important information such as database transactions.</w:t>
      </w:r>
    </w:p>
    <w:p>
      <w:pPr>
        <w:pStyle w:val="Normal"/>
      </w:pPr>
      <w:r>
        <w:t xml:space="preserve">UDP on the other hand, is a </w:t>
      </w:r>
      <w:r>
        <w:rPr>
          <w:rStyle w:val="Text3"/>
        </w:rPr>
        <w:t>connectionless</w:t>
      </w:r>
      <w:r>
        <w:t xml:space="preserve"> protocol which seldom deals with the transmission of important data because it lacks flow control or any other method to ensure reliable de-livery of the data. UDP is commonly used in such applications as audio and video streaming, where it is considerably faster than TCP due to the lack of error correction and flow control, and where the loss of a few packets is not generally catastrophic.</w:t>
      </w:r>
    </w:p>
    <w:p>
      <w:pPr>
        <w:pStyle w:val="Para 17"/>
      </w:pPr>
      <w:r>
        <w:t/>
      </w:r>
    </w:p>
    <w:p>
      <w:pPr>
        <w:pStyle w:val="Para 01"/>
      </w:pPr>
      <w:r>
        <w:t>Internet Control Messaging Protocol (ICMP)</w:t>
      </w:r>
    </w:p>
    <w:p>
      <w:pPr>
        <w:pStyle w:val="Para 17"/>
      </w:pPr>
      <w:r>
        <w:t/>
      </w:r>
    </w:p>
    <w:p>
      <w:pPr>
        <w:pStyle w:val="Normal"/>
      </w:pPr>
      <w:r>
        <w:t>The Internet Control Messaging Protocol is an extension to the Internet Protocol (IP) as de-</w:t>
      </w:r>
    </w:p>
    <w:p>
      <w:pPr>
        <w:pStyle w:val="Normal"/>
      </w:pPr>
      <w:r>
        <w:t xml:space="preserve">fined in the </w:t>
      </w:r>
      <w:hyperlink r:id="rId1697">
        <w:r>
          <w:rPr>
            <w:rStyle w:val="Text9"/>
          </w:rPr>
          <w:t>818</w:t>
        </w:r>
      </w:hyperlink>
      <w:hyperlink r:id="rId1697">
        <w:r>
          <w:rPr>
            <w:rStyle w:val="Text1"/>
          </w:rPr>
          <w:t xml:space="preserve"> Request For Comments (RFC) #792</w:t>
        </w:r>
      </w:hyperlink>
      <w:r>
        <w:t xml:space="preserve">, and supports network packets containing control, error, and informational messages. ICMP is used by such network applications as the ping utility, which can determine the availability of a network host or device. Examples of some error messages returned by ICMP which are useful to both network hosts and devices such as routers, include </w:t>
      </w:r>
      <w:r>
        <w:rPr>
          <w:rStyle w:val="Text3"/>
        </w:rPr>
        <w:t>Destination Unreachable</w:t>
      </w:r>
      <w:r>
        <w:t xml:space="preserve"> and </w:t>
      </w:r>
      <w:r>
        <w:rPr>
          <w:rStyle w:val="Text3"/>
        </w:rPr>
        <w:t>Time Exceeded</w:t>
      </w:r>
      <w:r>
        <w:t>.</w:t>
      </w:r>
    </w:p>
    <w:p>
      <w:pPr>
        <w:pStyle w:val="Para 17"/>
      </w:pPr>
      <w:r>
        <w:t/>
      </w:r>
    </w:p>
    <w:p>
      <w:pPr>
        <w:pStyle w:val="Para 01"/>
      </w:pPr>
      <w:r>
        <w:t>About daemons</w:t>
      </w:r>
    </w:p>
    <w:p>
      <w:pPr>
        <w:pStyle w:val="Para 17"/>
      </w:pPr>
      <w:r>
        <w:t/>
      </w:r>
    </w:p>
    <w:p>
      <w:pPr>
        <w:pStyle w:val="Normal"/>
      </w:pPr>
      <w:r>
        <w:t xml:space="preserve">Daemons are special system applications which typically execute continuously in the back-ground and await requests for the functions they provide from other applications. Many dae-mons are network-centric; that is, a large number of daemons executing in the background on an Ubuntu system may provide network-related functionality. Such network daemons include the </w:t>
      </w:r>
      <w:r>
        <w:rPr>
          <w:rStyle w:val="Text3"/>
        </w:rPr>
        <w:t>Hyper Text Transport Protocol Daemon</w:t>
      </w:r>
      <w:r>
        <w:t xml:space="preserve"> (httpd), which provides web server func-tionality; the </w:t>
      </w:r>
      <w:r>
        <w:rPr>
          <w:rStyle w:val="Text3"/>
        </w:rPr>
        <w:t>Secure SHell Daemon</w:t>
      </w:r>
      <w:r>
        <w:t xml:space="preserve"> (sshd), which provides secure remote login shell and file transfer capabilities; and the </w:t>
      </w:r>
      <w:r>
        <w:rPr>
          <w:rStyle w:val="Text3"/>
        </w:rPr>
        <w:t>Internet Message Access Protocol Daemon</w:t>
      </w:r>
      <w:r>
        <w:t xml:space="preserve"> (imapd), which pro-vides E-Mail services.</w:t>
      </w:r>
    </w:p>
    <w:p>
      <w:pPr>
        <w:pStyle w:val="Para 05"/>
      </w:pPr>
      <w:r>
        <w:rPr>
          <w:rStyle w:val="Text5"/>
        </w:rPr>
        <w:t>818</w:t>
      </w:r>
      <w:r>
        <w:rPr>
          <w:rStyle w:val="Text8"/>
        </w:rPr>
        <w:t xml:space="preserve"> </w:t>
      </w:r>
      <w:r>
        <w:t>https://www.rfc-editor.org/rfc/rfc792</w:t>
      </w:r>
    </w:p>
    <w:p>
      <w:bookmarkStart w:id="1267" w:name="calibre_pb_230"/>
      <w:pPr>
        <w:pStyle w:val="0 Block"/>
      </w:pPr>
      <w:bookmarkEnd w:id="1267"/>
    </w:p>
    <w:p>
      <w:bookmarkStart w:id="1268" w:name="page_807"/>
      <w:bookmarkStart w:id="1269" w:name="Top_of_index_split_23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2" name="index-807_1.png" descr="index-807_1.png"/>
            <wp:cNvGraphicFramePr>
              <a:graphicFrameLocks noChangeAspect="1"/>
            </wp:cNvGraphicFramePr>
            <a:graphic>
              <a:graphicData uri="http://schemas.openxmlformats.org/drawingml/2006/picture">
                <pic:pic>
                  <pic:nvPicPr>
                    <pic:cNvPr id="0" name="index-807_1.png" descr="index-807_1.png"/>
                    <pic:cNvPicPr/>
                  </pic:nvPicPr>
                  <pic:blipFill>
                    <a:blip r:embed="rId846"/>
                    <a:stretch>
                      <a:fillRect/>
                    </a:stretch>
                  </pic:blipFill>
                  <pic:spPr>
                    <a:xfrm>
                      <a:off x="0" y="0"/>
                      <a:ext cx="914400" cy="266700"/>
                    </a:xfrm>
                    <a:prstGeom prst="rect">
                      <a:avLst/>
                    </a:prstGeom>
                  </pic:spPr>
                </pic:pic>
              </a:graphicData>
            </a:graphic>
          </wp:anchor>
        </w:drawing>
      </w:r>
      <w:bookmarkEnd w:id="1268"/>
      <w:bookmarkEnd w:id="1269"/>
    </w:p>
    <w:p>
      <w:pPr>
        <w:pStyle w:val="Para 01"/>
      </w:pPr>
      <w:r>
        <w:t>Further reading</w:t>
      </w:r>
    </w:p>
    <w:p>
      <w:pPr>
        <w:pStyle w:val="Para 17"/>
      </w:pPr>
      <w:r>
        <w:t/>
      </w:r>
    </w:p>
    <w:p>
      <w:pPr>
        <w:pStyle w:val="Para 04"/>
      </w:pPr>
      <w:r>
        <w:t xml:space="preserve">• There are manual pages for </w:t>
      </w:r>
      <w:hyperlink w:anchor="page_807">
        <w:r>
          <w:rPr>
            <w:rStyle w:val="Text9"/>
          </w:rPr>
          <w:t>819</w:t>
        </w:r>
      </w:hyperlink>
      <w:r>
        <w:t xml:space="preserve"> </w:t>
      </w:r>
      <w:hyperlink r:id="rId1698">
        <w:r>
          <w:rPr>
            <w:rStyle w:val="Text9"/>
          </w:rPr>
          <w:t>820</w:t>
        </w:r>
      </w:hyperlink>
      <w:r>
        <w:t xml:space="preserve"> </w:t>
      </w:r>
      <w:hyperlink r:id="rId1699">
        <w:r>
          <w:rPr>
            <w:rStyle w:val="Text2"/>
          </w:rPr>
          <w:t>TCP</w:t>
        </w:r>
      </w:hyperlink>
      <w:r>
        <w:t xml:space="preserve"> and </w:t>
      </w:r>
      <w:hyperlink r:id="rId1698">
        <w:r>
          <w:rPr>
            <w:rStyle w:val="Text2"/>
          </w:rPr>
          <w:t>IP</w:t>
        </w:r>
      </w:hyperlink>
      <w:r>
        <w:t xml:space="preserve"> that contain more useful information.</w:t>
      </w:r>
    </w:p>
    <w:p>
      <w:pPr>
        <w:pStyle w:val="Para 13"/>
      </w:pPr>
      <w:r>
        <w:rPr>
          <w:rStyle w:val="Text7"/>
        </w:rPr>
        <w:t xml:space="preserve">• Also, see the </w:t>
      </w:r>
      <w:hyperlink w:anchor="page_807">
        <w:r>
          <w:rPr>
            <w:rStyle w:val="Text10"/>
          </w:rPr>
          <w:t>821</w:t>
        </w:r>
      </w:hyperlink>
      <w:r>
        <w:rPr>
          <w:rStyle w:val="Text7"/>
        </w:rPr>
        <w:t xml:space="preserve"> </w:t>
      </w:r>
      <w:hyperlink r:id="rId1700">
        <w:r>
          <w:t>TCP/IP Tutorial and Technical Overview</w:t>
        </w:r>
      </w:hyperlink>
      <w:r>
        <w:rPr>
          <w:rStyle w:val="Text7"/>
        </w:rPr>
        <w:t xml:space="preserve"> IBM .</w:t>
      </w:r>
    </w:p>
    <w:p>
      <w:pPr>
        <w:pStyle w:val="Para 04"/>
      </w:pPr>
      <w:r>
        <w:t>• Another resource is O’Reilly’s “TCP/IP Network Administration”.</w:t>
      </w:r>
    </w:p>
    <w:p>
      <w:pPr>
        <w:pStyle w:val="Para 14"/>
      </w:pPr>
      <w:r>
        <w:rPr>
          <w:rStyle w:val="Text4"/>
        </w:rPr>
        <w:t xml:space="preserve">• </w:t>
      </w:r>
      <w:hyperlink r:id="rId1701">
        <w:r>
          <w:rPr>
            <w:rStyle w:val="Text15"/>
          </w:rPr>
          <w:t>822</w:t>
        </w:r>
      </w:hyperlink>
      <w:hyperlink r:id="rId1701">
        <w:r>
          <w:rPr>
            <w:rStyle w:val="Text3"/>
          </w:rPr>
          <w:t xml:space="preserve"> </w:t>
        </w:r>
      </w:hyperlink>
      <w:hyperlink r:id="rId1701">
        <w:r>
          <w:t>netplan(5)</w:t>
        </w:r>
      </w:hyperlink>
    </w:p>
    <w:p>
      <w:pPr>
        <w:pStyle w:val="Para 17"/>
      </w:pPr>
      <w:r>
        <w:t/>
      </w:r>
    </w:p>
    <w:p>
      <w:pPr>
        <w:pStyle w:val="Para 01"/>
      </w:pPr>
      <w:r>
        <w:t>Configuration</w:t>
      </w:r>
    </w:p>
    <w:p>
      <w:pPr>
        <w:pStyle w:val="Para 17"/>
      </w:pPr>
      <w:r>
        <w:t/>
      </w:r>
    </w:p>
    <w:p>
      <w:pPr>
        <w:pStyle w:val="Normal"/>
      </w:pPr>
      <w:r>
        <w:t xml:space="preserve">Network configuration in Ubuntu is managed using Netplan. Find out more </w:t>
      </w:r>
      <w:hyperlink w:anchor="page_807">
        <w:r>
          <w:rPr>
            <w:rStyle w:val="Text2"/>
          </w:rPr>
          <w:t>About Netplan</w:t>
        </w:r>
      </w:hyperlink>
    </w:p>
    <w:p>
      <w:pPr>
        <w:pStyle w:val="Normal"/>
      </w:pPr>
      <w:r>
        <w:t xml:space="preserve">(page 806) or get started with our </w:t>
      </w:r>
      <w:hyperlink w:anchor="page_808">
        <w:r>
          <w:rPr>
            <w:rStyle w:val="Text2"/>
          </w:rPr>
          <w:t>network configuration</w:t>
        </w:r>
      </w:hyperlink>
      <w:r>
        <w:t xml:space="preserve"> (page 807) walk-through, which gives a practical demonstration.</w:t>
      </w:r>
    </w:p>
    <w:p>
      <w:pPr>
        <w:pStyle w:val="Para 17"/>
      </w:pPr>
      <w:r>
        <w:t/>
      </w:r>
    </w:p>
    <w:p>
      <w:pPr>
        <w:pStyle w:val="Para 01"/>
      </w:pPr>
      <w:r>
        <w:t>About Netplan</w:t>
      </w:r>
    </w:p>
    <w:p>
      <w:pPr>
        <w:pStyle w:val="Para 17"/>
      </w:pPr>
      <w:r>
        <w:t/>
      </w:r>
    </w:p>
    <w:p>
      <w:pPr>
        <w:pStyle w:val="Normal"/>
      </w:pPr>
      <w:r>
        <w:t xml:space="preserve">Network configuration on Ubuntu is handled through </w:t>
      </w:r>
      <w:hyperlink w:anchor="page_807">
        <w:r>
          <w:rPr>
            <w:rStyle w:val="Text9"/>
          </w:rPr>
          <w:t>823</w:t>
        </w:r>
      </w:hyperlink>
      <w:r>
        <w:t xml:space="preserve"> </w:t>
      </w:r>
      <w:hyperlink r:id="rId1694">
        <w:r>
          <w:rPr>
            <w:rStyle w:val="Text1"/>
          </w:rPr>
          <w:t>Netplan</w:t>
        </w:r>
      </w:hyperlink>
      <w:r>
        <w:t>, which provides a high-level, distribution-agnostic way to define how the network on your system should be set up via a</w:t>
      </w:r>
    </w:p>
    <w:p>
      <w:pPr>
        <w:pStyle w:val="Para 18"/>
      </w:pPr>
      <w:hyperlink r:id="rId1695">
        <w:r>
          <w:t>YAML configuration file</w:t>
        </w:r>
      </w:hyperlink>
      <w:hyperlink w:anchor="page_807">
        <w:r>
          <w:rPr>
            <w:rStyle w:val="Text10"/>
          </w:rPr>
          <w:t>824</w:t>
        </w:r>
      </w:hyperlink>
      <w:r>
        <w:rPr>
          <w:rStyle w:val="Text7"/>
        </w:rPr>
        <w:t>.</w:t>
      </w:r>
    </w:p>
    <w:p>
      <w:pPr>
        <w:pStyle w:val="Normal"/>
      </w:pPr>
      <w:r>
        <w:t>It is just as useful for configuring networking connectivity on a personal Raspberry Pi project as it is for enterprise systems administrators, who may need to configure and deploy complex networking setups in a consistent way across servers.</w:t>
      </w:r>
    </w:p>
    <w:p>
      <w:pPr>
        <w:pStyle w:val="Normal"/>
      </w:pPr>
      <w:r>
        <w:t>It is also flexible enough to be used in virtual environments and containerized deployments where network requirements might be more dynamic. Network bridges for VMs and contain-ers can be straightforwardly defined in the YAML configuration file, and changed without needing to restart the entire network.</w:t>
      </w:r>
    </w:p>
    <w:p>
      <w:pPr>
        <w:pStyle w:val="Normal"/>
      </w:pPr>
      <w:r>
        <w:t>Netplan integrates with both of the primary Linux network management daemons: Network-Manager and systemd-networkd. For more general information about Netplan and how it</w:t>
      </w:r>
    </w:p>
    <w:p>
      <w:pPr>
        <w:pStyle w:val="Normal"/>
      </w:pPr>
      <w:r>
        <w:t xml:space="preserve">works, see the </w:t>
      </w:r>
      <w:hyperlink w:anchor="page_807">
        <w:r>
          <w:rPr>
            <w:rStyle w:val="Text9"/>
          </w:rPr>
          <w:t>825</w:t>
        </w:r>
      </w:hyperlink>
      <w:r>
        <w:t xml:space="preserve"> </w:t>
      </w:r>
      <w:hyperlink r:id="rId1702">
        <w:r>
          <w:rPr>
            <w:rStyle w:val="Text1"/>
          </w:rPr>
          <w:t>introduction to Netplan</w:t>
        </w:r>
      </w:hyperlink>
      <w:r>
        <w:t xml:space="preserve"> in the official Netplan documentation.</w:t>
      </w:r>
    </w:p>
    <w:p>
      <w:pPr>
        <w:pStyle w:val="Normal"/>
      </w:pPr>
      <w:r>
        <w:t xml:space="preserve">Server admins may want to get started by checking out our guide to </w:t>
      </w:r>
      <w:hyperlink w:anchor="page_808">
        <w:r>
          <w:rPr>
            <w:rStyle w:val="Text2"/>
          </w:rPr>
          <w:t>configuring networks</w:t>
        </w:r>
      </w:hyperlink>
      <w:r>
        <w:t xml:space="preserve"> (page 807). For more specific networking tasks with Netplan, we recommend checking out</w:t>
      </w:r>
    </w:p>
    <w:p>
      <w:pPr>
        <w:pStyle w:val="Normal"/>
      </w:pPr>
      <w:r>
        <w:t xml:space="preserve">the </w:t>
      </w:r>
      <w:hyperlink w:anchor="page_807">
        <w:r>
          <w:rPr>
            <w:rStyle w:val="Text9"/>
          </w:rPr>
          <w:t>826</w:t>
        </w:r>
      </w:hyperlink>
      <w:r>
        <w:t xml:space="preserve"> </w:t>
      </w:r>
      <w:hyperlink r:id="rId1703">
        <w:r>
          <w:rPr>
            <w:rStyle w:val="Text1"/>
          </w:rPr>
          <w:t>list of how-to guides</w:t>
        </w:r>
      </w:hyperlink>
      <w:r>
        <w:t xml:space="preserve"> in their documentation.</w:t>
      </w:r>
    </w:p>
    <w:p>
      <w:pPr>
        <w:pStyle w:val="Para 05"/>
      </w:pPr>
      <w:r>
        <w:rPr>
          <w:rStyle w:val="Text5"/>
        </w:rPr>
        <w:t>819</w:t>
      </w:r>
      <w:r>
        <w:rPr>
          <w:rStyle w:val="Text8"/>
        </w:rPr>
        <w:t xml:space="preserve"> </w:t>
      </w:r>
      <w:r>
        <w:t>https://manpages.ubuntu.com/manpages/resolute/man7/tcp.7.html</w:t>
      </w:r>
    </w:p>
    <w:p>
      <w:pPr>
        <w:pStyle w:val="Para 05"/>
      </w:pPr>
      <w:r>
        <w:rPr>
          <w:rStyle w:val="Text5"/>
        </w:rPr>
        <w:t>820</w:t>
      </w:r>
      <w:r>
        <w:rPr>
          <w:rStyle w:val="Text8"/>
        </w:rPr>
        <w:t xml:space="preserve"> </w:t>
      </w:r>
      <w:r>
        <w:t>https://manpages.ubuntu.com/manpages/resolute/man7/ip.7.html</w:t>
      </w:r>
    </w:p>
    <w:p>
      <w:pPr>
        <w:pStyle w:val="Para 05"/>
      </w:pPr>
      <w:r>
        <w:rPr>
          <w:rStyle w:val="Text5"/>
        </w:rPr>
        <w:t>821</w:t>
      </w:r>
      <w:r>
        <w:rPr>
          <w:rStyle w:val="Text8"/>
        </w:rPr>
        <w:t xml:space="preserve"> </w:t>
      </w:r>
      <w:r>
        <w:t>https://www.redbooks.ibm.com/abstracts/gg243376.html</w:t>
      </w:r>
    </w:p>
    <w:p>
      <w:pPr>
        <w:pStyle w:val="Para 05"/>
      </w:pPr>
      <w:r>
        <w:rPr>
          <w:rStyle w:val="Text5"/>
        </w:rPr>
        <w:t>822</w:t>
      </w:r>
      <w:r>
        <w:rPr>
          <w:rStyle w:val="Text8"/>
        </w:rPr>
        <w:t xml:space="preserve"> </w:t>
      </w:r>
      <w:r>
        <w:t>https://manpages.ubuntu.com/manpages/resolute/man5/netplan.5.html</w:t>
      </w:r>
    </w:p>
    <w:p>
      <w:pPr>
        <w:pStyle w:val="Para 05"/>
      </w:pPr>
      <w:r>
        <w:rPr>
          <w:rStyle w:val="Text5"/>
        </w:rPr>
        <w:t>823</w:t>
      </w:r>
      <w:r>
        <w:rPr>
          <w:rStyle w:val="Text8"/>
        </w:rPr>
        <w:t xml:space="preserve"> </w:t>
      </w:r>
      <w:r>
        <w:t>https://netplan.io/</w:t>
      </w:r>
    </w:p>
    <w:p>
      <w:pPr>
        <w:pStyle w:val="Para 05"/>
      </w:pPr>
      <w:r>
        <w:rPr>
          <w:rStyle w:val="Text5"/>
        </w:rPr>
        <w:t>824</w:t>
      </w:r>
      <w:r>
        <w:rPr>
          <w:rStyle w:val="Text8"/>
        </w:rPr>
        <w:t xml:space="preserve"> </w:t>
      </w:r>
      <w:r>
        <w:t>https://netplan.readthedocs.io/en/stable/netplan-yaml/</w:t>
      </w:r>
    </w:p>
    <w:p>
      <w:pPr>
        <w:pStyle w:val="Para 05"/>
      </w:pPr>
      <w:r>
        <w:rPr>
          <w:rStyle w:val="Text5"/>
        </w:rPr>
        <w:t>825</w:t>
      </w:r>
      <w:r>
        <w:rPr>
          <w:rStyle w:val="Text8"/>
        </w:rPr>
        <w:t xml:space="preserve"> </w:t>
      </w:r>
      <w:r>
        <w:t>https://netplan.readthedocs.io/en/stable/structure-id/</w:t>
      </w:r>
    </w:p>
    <w:p>
      <w:pPr>
        <w:pStyle w:val="Para 05"/>
      </w:pPr>
      <w:r>
        <w:rPr>
          <w:rStyle w:val="Text5"/>
        </w:rPr>
        <w:t>826</w:t>
      </w:r>
      <w:r>
        <w:rPr>
          <w:rStyle w:val="Text8"/>
        </w:rPr>
        <w:t xml:space="preserve"> </w:t>
      </w:r>
      <w:r>
        <w:t>https://netplan.readthedocs.io/en/stable/howto/</w:t>
      </w:r>
    </w:p>
    <w:p>
      <w:bookmarkStart w:id="1270" w:name="calibre_pb_231"/>
      <w:pPr>
        <w:pStyle w:val="0 Block"/>
      </w:pPr>
      <w:bookmarkEnd w:id="1270"/>
    </w:p>
    <w:p>
      <w:bookmarkStart w:id="1271" w:name="page_808"/>
      <w:bookmarkStart w:id="1272" w:name="Top_of_index_split_23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3" name="index-808_1.png" descr="index-808_1.png"/>
            <wp:cNvGraphicFramePr>
              <a:graphicFrameLocks noChangeAspect="1"/>
            </wp:cNvGraphicFramePr>
            <a:graphic>
              <a:graphicData uri="http://schemas.openxmlformats.org/drawingml/2006/picture">
                <pic:pic>
                  <pic:nvPicPr>
                    <pic:cNvPr id="0" name="index-808_1.png" descr="index-808_1.png"/>
                    <pic:cNvPicPr/>
                  </pic:nvPicPr>
                  <pic:blipFill>
                    <a:blip r:embed="rId847"/>
                    <a:stretch>
                      <a:fillRect/>
                    </a:stretch>
                  </pic:blipFill>
                  <pic:spPr>
                    <a:xfrm>
                      <a:off x="0" y="0"/>
                      <a:ext cx="914400" cy="266700"/>
                    </a:xfrm>
                    <a:prstGeom prst="rect">
                      <a:avLst/>
                    </a:prstGeom>
                  </pic:spPr>
                </pic:pic>
              </a:graphicData>
            </a:graphic>
          </wp:anchor>
        </w:drawing>
      </w:r>
      <w:bookmarkEnd w:id="1271"/>
      <w:bookmarkEnd w:id="1272"/>
    </w:p>
    <w:p>
      <w:pPr>
        <w:pStyle w:val="Para 01"/>
      </w:pPr>
      <w:r>
        <w:t>Configuring networks</w:t>
      </w:r>
    </w:p>
    <w:p>
      <w:pPr>
        <w:pStyle w:val="Para 17"/>
      </w:pPr>
      <w:r>
        <w:t/>
      </w:r>
    </w:p>
    <w:p>
      <w:pPr>
        <w:pStyle w:val="Normal"/>
      </w:pPr>
      <w:r>
        <w:t xml:space="preserve">Network configuration on Ubuntu is handled through </w:t>
      </w:r>
      <w:hyperlink w:anchor="page_808">
        <w:r>
          <w:rPr>
            <w:rStyle w:val="Text9"/>
          </w:rPr>
          <w:t>827</w:t>
        </w:r>
      </w:hyperlink>
      <w:r>
        <w:t xml:space="preserve"> </w:t>
      </w:r>
      <w:hyperlink r:id="rId1694">
        <w:r>
          <w:rPr>
            <w:rStyle w:val="Text1"/>
          </w:rPr>
          <w:t>Netplan</w:t>
        </w:r>
      </w:hyperlink>
      <w:r>
        <w:t>, which provides a high-level, distribution-agnostic way to define how the network on your system should be set up via a</w:t>
      </w:r>
    </w:p>
    <w:p>
      <w:pPr>
        <w:pStyle w:val="Para 18"/>
      </w:pPr>
      <w:hyperlink r:id="rId1695">
        <w:r>
          <w:t>YAML configuration file</w:t>
        </w:r>
      </w:hyperlink>
      <w:hyperlink w:anchor="page_808">
        <w:r>
          <w:rPr>
            <w:rStyle w:val="Text10"/>
          </w:rPr>
          <w:t>828</w:t>
        </w:r>
      </w:hyperlink>
      <w:r>
        <w:rPr>
          <w:rStyle w:val="Text7"/>
        </w:rPr>
        <w:t>.</w:t>
      </w:r>
    </w:p>
    <w:p>
      <w:pPr>
        <w:pStyle w:val="Normal"/>
      </w:pPr>
      <w:r>
        <w:t>While Netplan is a configuration abstraction renderer that covers all aspects of network con-figuration, here we will outline the underlying system elements like IP addresses, Ethernet devices, name resolution and so on. We will refer to the related Netplan settings where ap-</w:t>
      </w:r>
    </w:p>
    <w:p>
      <w:pPr>
        <w:pStyle w:val="Normal"/>
      </w:pPr>
      <w:r>
        <w:t xml:space="preserve">propriate, but we do recommend studying </w:t>
      </w:r>
      <w:hyperlink w:anchor="page_808">
        <w:r>
          <w:rPr>
            <w:rStyle w:val="Text9"/>
          </w:rPr>
          <w:t>829</w:t>
        </w:r>
      </w:hyperlink>
      <w:r>
        <w:t xml:space="preserve"> </w:t>
      </w:r>
      <w:hyperlink r:id="rId1172">
        <w:r>
          <w:rPr>
            <w:rStyle w:val="Text1"/>
          </w:rPr>
          <w:t>the Netplan documentation</w:t>
        </w:r>
      </w:hyperlink>
      <w:r>
        <w:t xml:space="preserve"> in general.</w:t>
      </w:r>
    </w:p>
    <w:p>
      <w:pPr>
        <w:pStyle w:val="Para 17"/>
      </w:pPr>
      <w:r>
        <w:t/>
      </w:r>
    </w:p>
    <w:p>
      <w:pPr>
        <w:pStyle w:val="Para 01"/>
      </w:pPr>
      <w:r>
        <w:t>Ethernet interfaces</w:t>
      </w:r>
    </w:p>
    <w:p>
      <w:pPr>
        <w:pStyle w:val="Para 17"/>
      </w:pPr>
      <w:r>
        <w:t/>
      </w:r>
    </w:p>
    <w:p>
      <w:pPr>
        <w:pStyle w:val="Normal"/>
      </w:pPr>
      <w:r>
        <w:t xml:space="preserve">Ethernet interfaces are identified by the system using predictable network interface names. These names can appear as eno1 or enp0s25. However, in some cases an interface may still use the kernel </w:t>
      </w:r>
      <w:r>
        <w:rPr>
          <w:rStyle w:val="Text3"/>
        </w:rPr>
        <w:t>eth#</w:t>
      </w:r>
      <w:r>
        <w:t xml:space="preserve"> style of naming.</w:t>
      </w:r>
    </w:p>
    <w:p>
      <w:pPr>
        <w:pStyle w:val="Para 17"/>
      </w:pPr>
      <w:r>
        <w:t/>
      </w:r>
    </w:p>
    <w:p>
      <w:pPr>
        <w:pStyle w:val="Para 01"/>
      </w:pPr>
      <w:r>
        <w:t>Identify Ethernet interfaces</w:t>
      </w:r>
    </w:p>
    <w:p>
      <w:pPr>
        <w:pStyle w:val="Para 17"/>
      </w:pPr>
      <w:r>
        <w:t/>
      </w:r>
    </w:p>
    <w:p>
      <w:pPr>
        <w:pStyle w:val="Normal"/>
      </w:pPr>
      <w:r>
        <w:t xml:space="preserve">To quickly identify all available Ethernet interfaces, you can use the ip command from </w:t>
      </w:r>
      <w:r>
        <w:rPr>
          <w:rStyle w:val="Text3"/>
        </w:rPr>
        <w:t>iproute2</w:t>
      </w:r>
      <w:r>
        <w:t xml:space="preserve"> as shown below.</w:t>
      </w:r>
    </w:p>
    <w:p>
      <w:pPr>
        <w:pStyle w:val="Normal"/>
      </w:pPr>
      <w:r>
        <w:t>ip addr</w:t>
      </w:r>
    </w:p>
    <w:p>
      <w:pPr>
        <w:pStyle w:val="Normal"/>
      </w:pPr>
      <w:r>
        <w:t>1</w:t>
        <w:t>: lo:</w:t>
        <w:t xml:space="preserve"> </w:t>
        <w:t>&lt;</w:t>
        <w:t>LOOPBACK,UP,LOWER_UP</w:t>
        <w:t>&gt;</w:t>
        <w:t xml:space="preserve"> </w:t>
        <w:t>mtu</w:t>
        <w:t xml:space="preserve"> </w:t>
        <w:t>65536</w:t>
        <w:t xml:space="preserve"> </w:t>
        <w:t>qdisc noqueue state UNKNOWN group default qlen</w:t>
        <w:t xml:space="preserve"> </w:t>
        <w:t>1000</w:t>
      </w:r>
    </w:p>
    <w:p>
      <w:pPr>
        <w:pStyle w:val="Para 02"/>
      </w:pPr>
      <w:r>
        <w:t>link</w:t>
        <w:t>/</w:t>
        <w:t>loopback</w:t>
        <w:t xml:space="preserve"> </w:t>
        <w:t>00</w:t>
        <w:t>:</w:t>
        <w:t>00</w:t>
        <w:t>:</w:t>
        <w:t>00</w:t>
        <w:t>:</w:t>
        <w:t>00</w:t>
        <w:t>:</w:t>
        <w:t>00</w:t>
        <w:t>:</w:t>
        <w:t>00</w:t>
        <w:t xml:space="preserve"> </w:t>
        <w:t>brd</w:t>
        <w:t xml:space="preserve"> </w:t>
        <w:t>00</w:t>
        <w:t>:</w:t>
        <w:t>00</w:t>
        <w:t>:</w:t>
        <w:t>00</w:t>
        <w:t>:</w:t>
        <w:t>00</w:t>
        <w:t>:</w:t>
        <w:t>00</w:t>
        <w:t>:</w:t>
        <w:t>00</w:t>
        <w:t xml:space="preserve"> </w:t>
        <w:t>inet</w:t>
        <w:t xml:space="preserve"> </w:t>
        <w:t>127.0.0.1</w:t>
        <w:t>/</w:t>
        <w:t>8</w:t>
        <w:t xml:space="preserve"> </w:t>
        <w:t>scope host lo</w:t>
      </w:r>
    </w:p>
    <w:p>
      <w:pPr>
        <w:pStyle w:val="Para 06"/>
      </w:pPr>
      <w:r>
        <w:t>valid_lft forever preferred_lft forever</w:t>
      </w:r>
    </w:p>
    <w:p>
      <w:pPr>
        <w:pStyle w:val="Para 02"/>
      </w:pPr>
      <w:r>
        <w:t>inet6 ::</w:t>
        <w:t>1</w:t>
        <w:t>/</w:t>
        <w:t>128</w:t>
        <w:t xml:space="preserve"> </w:t>
        <w:t>scope host</w:t>
      </w:r>
    </w:p>
    <w:p>
      <w:pPr>
        <w:pStyle w:val="Para 06"/>
      </w:pPr>
      <w:r>
        <w:t>valid_lft forever preferred_lft forever</w:t>
      </w:r>
    </w:p>
    <w:p>
      <w:pPr>
        <w:pStyle w:val="Normal"/>
      </w:pPr>
      <w:r>
        <w:t>2</w:t>
        <w:t>: enp0s25:</w:t>
        <w:t xml:space="preserve"> </w:t>
        <w:t>&lt;</w:t>
        <w:t>BROADCAST,MULTICAST,UP,LOWER_UP</w:t>
        <w:t>&gt;</w:t>
        <w:t xml:space="preserve"> </w:t>
        <w:t>mtu</w:t>
        <w:t xml:space="preserve"> </w:t>
        <w:t>1500</w:t>
        <w:t xml:space="preserve"> </w:t>
        <w:t>qdisc noqueue state UP group</w:t>
        <w:t xml:space="preserve"> </w:t>
        <w:t>default qlen</w:t>
        <w:t xml:space="preserve"> </w:t>
        <w:t>1000</w:t>
      </w:r>
    </w:p>
    <w:p>
      <w:pPr>
        <w:pStyle w:val="Para 02"/>
      </w:pPr>
      <w:r>
        <w:t>link</w:t>
        <w:t>/</w:t>
        <w:t>ether</w:t>
        <w:t xml:space="preserve"> </w:t>
        <w:t>00</w:t>
        <w:t>:</w:t>
        <w:t>16</w:t>
        <w:t>:</w:t>
        <w:t>3</w:t>
        <w:t>e:e2:</w:t>
        <w:t>52</w:t>
        <w:t>:</w:t>
        <w:t>42</w:t>
        <w:t xml:space="preserve"> </w:t>
        <w:t>brd ff:ff:ff:ff:ff:ff link</w:t>
        <w:t>-</w:t>
        <w:t>netnsid</w:t>
        <w:t xml:space="preserve"> </w:t>
        <w:t>0</w:t>
        <w:t xml:space="preserve"> </w:t>
        <w:t>inet</w:t>
        <w:t xml:space="preserve"> </w:t>
        <w:t>10.102.66.200</w:t>
        <w:t>/</w:t>
        <w:t>24</w:t>
        <w:t xml:space="preserve"> </w:t>
        <w:t>brd</w:t>
        <w:t xml:space="preserve"> </w:t>
        <w:t>10.102.66.255</w:t>
        <w:t xml:space="preserve"> </w:t>
        <w:t>scope</w:t>
        <w:t xml:space="preserve"> </w:t>
      </w:r>
      <w:r>
        <w:rPr>
          <w:rStyle w:val="Text0"/>
        </w:rPr>
        <w:t>global</w:t>
      </w:r>
      <w:r>
        <w:t xml:space="preserve"> </w:t>
        <w:t>dynamic eth0</w:t>
      </w:r>
    </w:p>
    <w:p>
      <w:pPr>
        <w:pStyle w:val="Para 06"/>
      </w:pPr>
      <w:r>
        <w:t>valid_lft</w:t>
        <w:t xml:space="preserve"> </w:t>
        <w:t>3257</w:t>
        <w:t>sec preferred_lft</w:t>
        <w:t xml:space="preserve"> </w:t>
        <w:t>3257</w:t>
        <w:t>sec</w:t>
      </w:r>
    </w:p>
    <w:p>
      <w:pPr>
        <w:pStyle w:val="Para 02"/>
      </w:pPr>
      <w:r>
        <w:t>inet6 fe80::</w:t>
        <w:t>216</w:t>
        <w:t>:</w:t>
        <w:t>3</w:t>
        <w:t>eff:fee2:</w:t>
        <w:t>5242</w:t>
        <w:t>/</w:t>
        <w:t>64</w:t>
        <w:t xml:space="preserve"> </w:t>
        <w:t>scope link</w:t>
      </w:r>
    </w:p>
    <w:p>
      <w:pPr>
        <w:pStyle w:val="Para 06"/>
      </w:pPr>
      <w:r>
        <w:t>valid_lft forever preferred_lft forever</w:t>
      </w:r>
    </w:p>
    <w:p>
      <w:pPr>
        <w:pStyle w:val="Para 17"/>
      </w:pPr>
      <w:r>
        <w:t/>
      </w:r>
    </w:p>
    <w:p>
      <w:pPr>
        <w:pStyle w:val="Normal"/>
      </w:pPr>
      <w:r>
        <w:t>Or call Netplan to get a higher level overview of your network interfaces and correlated in-formation, such as nameserver or (default) routes.</w:t>
      </w:r>
    </w:p>
    <w:p>
      <w:pPr>
        <w:pStyle w:val="Normal"/>
      </w:pPr>
      <w:r>
        <w:t>sudo netplan status -a</w:t>
      </w:r>
    </w:p>
    <w:p>
      <w:pPr>
        <w:pStyle w:val="Para 02"/>
      </w:pPr>
      <w:r>
        <w:t>Online state: online</w:t>
      </w:r>
    </w:p>
    <w:p>
      <w:pPr>
        <w:pStyle w:val="Para 02"/>
      </w:pPr>
      <w:r>
        <w:t>DNS Addresses: 127.0.0.53 (stub)</w:t>
      </w:r>
    </w:p>
    <w:p>
      <w:pPr>
        <w:pStyle w:val="Para 06"/>
      </w:pPr>
      <w:r>
        <w:t>DNS Search: internal</w:t>
      </w:r>
    </w:p>
    <w:p>
      <w:pPr>
        <w:pStyle w:val="Normal"/>
      </w:pPr>
      <w:r>
        <w:t>�</w:t>
        <w:t xml:space="preserve"> </w:t>
        <w:t>1: lo ethernet UNKNOWN/UP (unmanaged)</w:t>
      </w:r>
    </w:p>
    <w:p>
      <w:pPr>
        <w:pStyle w:val="Para 06"/>
      </w:pPr>
      <w:r>
        <w:t>MAC Address: 00:00:00:00:00:00</w:t>
      </w:r>
    </w:p>
    <w:p>
      <w:pPr>
        <w:pStyle w:val="Para 06"/>
      </w:pPr>
      <w:r>
        <w:t>Addresses: 127.0.0.1/8</w:t>
      </w:r>
    </w:p>
    <w:p>
      <w:pPr>
        <w:pStyle w:val="Para 09"/>
      </w:pPr>
      <w:r>
        <w:t>(continues on next page)</w:t>
      </w:r>
    </w:p>
    <w:p>
      <w:pPr>
        <w:pStyle w:val="Para 05"/>
      </w:pPr>
      <w:r>
        <w:rPr>
          <w:rStyle w:val="Text5"/>
        </w:rPr>
        <w:t>827</w:t>
      </w:r>
      <w:r>
        <w:rPr>
          <w:rStyle w:val="Text8"/>
        </w:rPr>
        <w:t xml:space="preserve"> </w:t>
      </w:r>
      <w:r>
        <w:t>https://netplan.io/</w:t>
      </w:r>
    </w:p>
    <w:p>
      <w:pPr>
        <w:pStyle w:val="Para 05"/>
      </w:pPr>
      <w:r>
        <w:rPr>
          <w:rStyle w:val="Text5"/>
        </w:rPr>
        <w:t>828</w:t>
      </w:r>
      <w:r>
        <w:rPr>
          <w:rStyle w:val="Text8"/>
        </w:rPr>
        <w:t xml:space="preserve"> </w:t>
      </w:r>
      <w:r>
        <w:t>https://netplan.readthedocs.io/en/stable/netplan-yaml/</w:t>
      </w:r>
    </w:p>
    <w:p>
      <w:pPr>
        <w:pStyle w:val="Para 05"/>
      </w:pPr>
      <w:r>
        <w:rPr>
          <w:rStyle w:val="Text5"/>
        </w:rPr>
        <w:t>829</w:t>
      </w:r>
      <w:r>
        <w:rPr>
          <w:rStyle w:val="Text8"/>
        </w:rPr>
        <w:t xml:space="preserve"> </w:t>
      </w:r>
      <w:r>
        <w:t>https://netplan.readthedocs.io/en/stable/</w:t>
      </w:r>
    </w:p>
    <w:p>
      <w:bookmarkStart w:id="1273" w:name="page_8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4" name="index-809_1.png" descr="index-809_1.png"/>
            <wp:cNvGraphicFramePr>
              <a:graphicFrameLocks noChangeAspect="1"/>
            </wp:cNvGraphicFramePr>
            <a:graphic>
              <a:graphicData uri="http://schemas.openxmlformats.org/drawingml/2006/picture">
                <pic:pic>
                  <pic:nvPicPr>
                    <pic:cNvPr id="0" name="index-809_1.png" descr="index-809_1.png"/>
                    <pic:cNvPicPr/>
                  </pic:nvPicPr>
                  <pic:blipFill>
                    <a:blip r:embed="rId848"/>
                    <a:stretch>
                      <a:fillRect/>
                    </a:stretch>
                  </pic:blipFill>
                  <pic:spPr>
                    <a:xfrm>
                      <a:off x="0" y="0"/>
                      <a:ext cx="914400" cy="266700"/>
                    </a:xfrm>
                    <a:prstGeom prst="rect">
                      <a:avLst/>
                    </a:prstGeom>
                  </pic:spPr>
                </pic:pic>
              </a:graphicData>
            </a:graphic>
          </wp:anchor>
        </w:drawing>
      </w:r>
      <w:bookmarkEnd w:id="1273"/>
    </w:p>
    <w:p>
      <w:pPr>
        <w:pStyle w:val="Para 09"/>
      </w:pPr>
      <w:r>
        <w:t>(continued from previous page)</w:t>
      </w:r>
    </w:p>
    <w:p>
      <w:pPr>
        <w:pStyle w:val="Para 25"/>
      </w:pPr>
      <w:r>
        <w:t>::1/128</w:t>
      </w:r>
    </w:p>
    <w:p>
      <w:pPr>
        <w:pStyle w:val="Normal"/>
      </w:pPr>
      <w:r>
        <w:t>�</w:t>
        <w:t xml:space="preserve"> </w:t>
        <w:t>2: enp0s25 ethernet UP (networkd: enp0s25)</w:t>
      </w:r>
    </w:p>
    <w:p>
      <w:pPr>
        <w:pStyle w:val="Para 06"/>
      </w:pPr>
      <w:r>
        <w:t>MAC Address: 00:16:3e:e2:52:42 (ASIX Electronics Corp.)</w:t>
      </w:r>
    </w:p>
    <w:p>
      <w:pPr>
        <w:pStyle w:val="Para 06"/>
      </w:pPr>
      <w:r>
        <w:t>Addresses: 10.102.66.200/24 (dynamic, dhcp)</w:t>
      </w:r>
    </w:p>
    <w:p>
      <w:pPr>
        <w:pStyle w:val="Para 25"/>
      </w:pPr>
      <w:r>
        <w:t>fe80::216:3eff:fee2:5242/64 (link)</w:t>
      </w:r>
    </w:p>
    <w:p>
      <w:pPr>
        <w:pStyle w:val="Para 02"/>
      </w:pPr>
      <w:r>
        <w:t>DNS Addresses: 10.102.66.1</w:t>
      </w:r>
    </w:p>
    <w:p>
      <w:pPr>
        <w:pStyle w:val="Para 25"/>
      </w:pPr>
      <w:r>
        <w:t>fd00::cece:1eff:fe3d:c737</w:t>
      </w:r>
    </w:p>
    <w:p>
      <w:pPr>
        <w:pStyle w:val="Para 06"/>
      </w:pPr>
      <w:r>
        <w:t>DNS Search: internal</w:t>
      </w:r>
    </w:p>
    <w:p>
      <w:pPr>
        <w:pStyle w:val="Para 17"/>
      </w:pPr>
      <w:r>
        <w:t>Routes: default via 10.102.66.1 from 10.102.66.200 metric 100 (dhcp)</w:t>
      </w:r>
    </w:p>
    <w:p>
      <w:pPr>
        <w:pStyle w:val="Para 25"/>
      </w:pPr>
      <w:r>
        <w:t>10.102.66.0/24 from 10.102.66.200 metric 100 (link)</w:t>
      </w:r>
    </w:p>
    <w:p>
      <w:pPr>
        <w:pStyle w:val="Para 21"/>
      </w:pPr>
      <w:r>
        <w:t>2001:16b8:bd99:3d00::/56 via fe80::cece:1eff:fe3d:c737 metric 100 (ra)</w:t>
        <w:t xml:space="preserve"> </w:t>
        <w:t>default via fe80::cece:1eff:fe3d:c737 metric 100 (ra)</w:t>
      </w:r>
    </w:p>
    <w:p>
      <w:pPr>
        <w:pStyle w:val="Para 17"/>
      </w:pPr>
      <w:r>
        <w:t/>
      </w:r>
    </w:p>
    <w:p>
      <w:pPr>
        <w:pStyle w:val="Normal"/>
      </w:pPr>
      <w:r>
        <w:t xml:space="preserve">Another application that can help identify all network interfaces available to your system is the lshw command. This command provides greater details around the hardware capabilities of specific adapters. In the example below, lshw shows a single Ethernet interface with the logical name of </w:t>
      </w:r>
      <w:r>
        <w:rPr>
          <w:rStyle w:val="Text3"/>
        </w:rPr>
        <w:t>eth4</w:t>
      </w:r>
      <w:r>
        <w:t xml:space="preserve"> along with bus information, driver details and all supported capabilities.</w:t>
      </w:r>
    </w:p>
    <w:p>
      <w:pPr>
        <w:pStyle w:val="Para 01"/>
      </w:pPr>
      <w:r>
        <w:rPr>
          <w:rStyle w:val="Text0"/>
        </w:rPr>
        <w:t>sudo lshw</w:t>
        <w:t>-</w:t>
      </w:r>
      <w:r>
        <w:t>class</w:t>
      </w:r>
      <w:r>
        <w:rPr>
          <w:rStyle w:val="Text0"/>
        </w:rPr>
        <w:t xml:space="preserve"> </w:t>
      </w:r>
      <w:r>
        <w:t>network</w:t>
      </w:r>
    </w:p>
    <w:p>
      <w:pPr>
        <w:pStyle w:val="Para 03"/>
      </w:pPr>
      <w:r>
        <w:t>*-</w:t>
        <w:t>network</w:t>
      </w:r>
    </w:p>
    <w:p>
      <w:pPr>
        <w:pStyle w:val="Para 06"/>
      </w:pPr>
      <w:r>
        <w:t>description: Ethernet interface</w:t>
      </w:r>
    </w:p>
    <w:p>
      <w:pPr>
        <w:pStyle w:val="Para 06"/>
      </w:pPr>
      <w:r>
        <w:t>product: MT26448 [ConnectX EN</w:t>
        <w:t xml:space="preserve"> </w:t>
        <w:t>10</w:t>
        <w:t>GigE, PCIe</w:t>
        <w:t xml:space="preserve"> </w:t>
        <w:t>2.0 5</w:t>
        <w:t>GT</w:t>
        <w:t>/</w:t>
        <w:t>s]</w:t>
        <w:t xml:space="preserve"> </w:t>
        <w:t>vendor: Mellanox Technologies</w:t>
      </w:r>
    </w:p>
    <w:p>
      <w:pPr>
        <w:pStyle w:val="Para 06"/>
      </w:pPr>
      <w:r>
        <w:t>physical</w:t>
        <w:t xml:space="preserve"> </w:t>
        <w:t>id</w:t>
        <w:t>:</w:t>
        <w:t xml:space="preserve"> </w:t>
        <w:t>0</w:t>
      </w:r>
    </w:p>
    <w:p>
      <w:pPr>
        <w:pStyle w:val="Para 06"/>
      </w:pPr>
      <w:r>
        <w:t>bus info: pci</w:t>
        <w:t>@</w:t>
        <w:t>0004</w:t>
        <w:t>:</w:t>
        <w:t>01</w:t>
        <w:t>:</w:t>
        <w:t>00.0</w:t>
      </w:r>
    </w:p>
    <w:p>
      <w:pPr>
        <w:pStyle w:val="Para 06"/>
      </w:pPr>
      <w:r>
        <w:t>logical name: eth4</w:t>
      </w:r>
    </w:p>
    <w:p>
      <w:pPr>
        <w:pStyle w:val="Para 06"/>
      </w:pPr>
      <w:r>
        <w:t>version: b0</w:t>
      </w:r>
    </w:p>
    <w:p>
      <w:pPr>
        <w:pStyle w:val="Para 06"/>
      </w:pPr>
      <w:r>
        <w:t>serial: e4:</w:t>
        <w:t>1</w:t>
        <w:t>d:</w:t>
        <w:t>2</w:t>
        <w:t>d:</w:t>
        <w:t>67</w:t>
        <w:t>:</w:t>
        <w:t>83</w:t>
        <w:t>:</w:t>
        <w:t>56</w:t>
      </w:r>
    </w:p>
    <w:p>
      <w:pPr>
        <w:pStyle w:val="Para 06"/>
      </w:pPr>
      <w:r>
        <w:t>slot: U78CB</w:t>
        <w:t>.001</w:t>
        <w:t>.</w:t>
        <w:t>WZS09KB</w:t>
        <w:t>-</w:t>
        <w:t>P1</w:t>
        <w:t>-</w:t>
        <w:t>C6</w:t>
        <w:t>-</w:t>
        <w:t>T1</w:t>
      </w:r>
    </w:p>
    <w:p>
      <w:pPr>
        <w:pStyle w:val="Para 06"/>
      </w:pPr>
      <w:r>
        <w:t>size:</w:t>
        <w:t xml:space="preserve"> </w:t>
        <w:t>10</w:t>
        <w:t>Gbit</w:t>
        <w:t>/</w:t>
        <w:t>s</w:t>
      </w:r>
    </w:p>
    <w:p>
      <w:pPr>
        <w:pStyle w:val="Para 06"/>
      </w:pPr>
      <w:r>
        <w:t>capacity:</w:t>
        <w:t xml:space="preserve"> </w:t>
        <w:t>10</w:t>
        <w:t>Gbit</w:t>
        <w:t>/</w:t>
        <w:t>s</w:t>
      </w:r>
    </w:p>
    <w:p>
      <w:pPr>
        <w:pStyle w:val="Para 06"/>
      </w:pPr>
      <w:r>
        <w:t>width:</w:t>
        <w:t xml:space="preserve"> </w:t>
        <w:t>64</w:t>
        <w:t xml:space="preserve"> </w:t>
        <w:t>bits</w:t>
      </w:r>
    </w:p>
    <w:p>
      <w:pPr>
        <w:pStyle w:val="Para 06"/>
      </w:pPr>
      <w:r>
        <w:t>clock:</w:t>
        <w:t xml:space="preserve"> </w:t>
        <w:t>33</w:t>
        <w:t>MHz</w:t>
      </w:r>
    </w:p>
    <w:p>
      <w:pPr>
        <w:pStyle w:val="Para 06"/>
      </w:pPr>
      <w:r>
        <w:t>capabilities: pm vpd msix pciexpress bus_master cap_list ethernet physical fibre</w:t>
      </w:r>
    </w:p>
    <w:p>
      <w:pPr>
        <w:pStyle w:val="Normal"/>
      </w:pPr>
      <w:r>
        <w:t>10000</w:t>
        <w:t>bt</w:t>
        <w:t>-</w:t>
        <w:t>fd</w:t>
      </w:r>
    </w:p>
    <w:p>
      <w:pPr>
        <w:pStyle w:val="Para 06"/>
      </w:pPr>
      <w:r>
        <w:t>configuration: autonegotiation</w:t>
        <w:t>=</w:t>
        <w:t>off broadcast</w:t>
        <w:t>=</w:t>
        <w:t>yes driver</w:t>
        <w:t>=</w:t>
        <w:t>mlx4_en driverversion</w:t>
        <w:t>=</w:t>
        <w:t>4.0</w:t>
        <w:t>-</w:t>
        <w:t>0</w:t>
      </w:r>
    </w:p>
    <w:p>
      <w:pPr>
        <w:pStyle w:val="Normal"/>
      </w:pPr>
      <w:r>
        <w:t>duplex</w:t>
        <w:t>=</w:t>
        <w:t>full firmware</w:t>
        <w:t>=</w:t>
        <w:t>2.9.1326</w:t>
        <w:t xml:space="preserve"> </w:t>
        <w:t>ip</w:t>
        <w:t>=</w:t>
        <w:t>192.168.1.1</w:t>
        <w:t xml:space="preserve"> </w:t>
        <w:t>latency</w:t>
        <w:t>=</w:t>
        <w:t>0</w:t>
        <w:t xml:space="preserve"> </w:t>
        <w:t>link</w:t>
        <w:t>=</w:t>
        <w:t>yes multicast</w:t>
        <w:t>=</w:t>
        <w:t>yes port</w:t>
        <w:t>=</w:t>
        <w:t>fibre</w:t>
        <w:t xml:space="preserve"> </w:t>
        <w:t>speed</w:t>
        <w:t>=</w:t>
        <w:t>10</w:t>
        <w:t>Gbit</w:t>
        <w:t>/</w:t>
        <w:t>s</w:t>
      </w:r>
    </w:p>
    <w:p>
      <w:pPr>
        <w:pStyle w:val="Para 06"/>
      </w:pPr>
      <w:r>
        <w:t>resources: iomemory:</w:t>
        <w:t>24000</w:t>
        <w:t>-</w:t>
        <w:t>23</w:t>
        <w:t>fff irq:</w:t>
        <w:t>481</w:t>
        <w:t xml:space="preserve"> </w:t>
        <w:t>memory:</w:t>
        <w:t>3</w:t>
        <w:t>fe200000000</w:t>
        <w:t>-</w:t>
        <w:t>3</w:t>
        <w:t>fe2000fffff</w:t>
      </w:r>
    </w:p>
    <w:p>
      <w:pPr>
        <w:pStyle w:val="Normal"/>
      </w:pPr>
      <w:r>
        <w:t>memory:</w:t>
        <w:t>240000000000</w:t>
        <w:t>-</w:t>
        <w:t>240007</w:t>
        <w:t>ffffff</w:t>
      </w:r>
    </w:p>
    <w:p>
      <w:pPr>
        <w:pStyle w:val="Para 17"/>
      </w:pPr>
      <w:r>
        <w:t/>
      </w:r>
    </w:p>
    <w:p>
      <w:pPr>
        <w:pStyle w:val="Para 01"/>
      </w:pPr>
      <w:r>
        <w:t>Ethernet Interface logical names</w:t>
      </w:r>
    </w:p>
    <w:p>
      <w:pPr>
        <w:pStyle w:val="Para 17"/>
      </w:pPr>
      <w:r>
        <w:t/>
      </w:r>
    </w:p>
    <w:p>
      <w:pPr>
        <w:pStyle w:val="Normal"/>
      </w:pPr>
      <w:r>
        <w:t>Interface logical names can also be configured via a Netplan configuration. If you would like control which interface receives a particular logical name use the match and set-name keys. The match key is used to find an adapter based on some criteria like MAC address, driver, etc. The set-name key can be used to change the device to the desired logical name.</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9"/>
      </w:pPr>
      <w:r>
        <w:t>(continues on next page)</w:t>
      </w:r>
    </w:p>
    <w:p>
      <w:bookmarkStart w:id="1274" w:name="page_8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5" name="index-810_1.png" descr="index-810_1.png"/>
            <wp:cNvGraphicFramePr>
              <a:graphicFrameLocks noChangeAspect="1"/>
            </wp:cNvGraphicFramePr>
            <a:graphic>
              <a:graphicData uri="http://schemas.openxmlformats.org/drawingml/2006/picture">
                <pic:pic>
                  <pic:nvPicPr>
                    <pic:cNvPr id="0" name="index-810_1.png" descr="index-810_1.png"/>
                    <pic:cNvPicPr/>
                  </pic:nvPicPr>
                  <pic:blipFill>
                    <a:blip r:embed="rId849"/>
                    <a:stretch>
                      <a:fillRect/>
                    </a:stretch>
                  </pic:blipFill>
                  <pic:spPr>
                    <a:xfrm>
                      <a:off x="0" y="0"/>
                      <a:ext cx="914400" cy="266700"/>
                    </a:xfrm>
                    <a:prstGeom prst="rect">
                      <a:avLst/>
                    </a:prstGeom>
                  </pic:spPr>
                </pic:pic>
              </a:graphicData>
            </a:graphic>
          </wp:anchor>
        </w:drawing>
      </w:r>
      <w:bookmarkEnd w:id="1274"/>
    </w:p>
    <w:p>
      <w:pPr>
        <w:pStyle w:val="Para 09"/>
      </w:pPr>
      <w:r>
        <w:t>(continued from previous page)</w:t>
      </w:r>
    </w:p>
    <w:p>
      <w:pPr>
        <w:pStyle w:val="Para 02"/>
      </w:pPr>
      <w:r>
        <w:t>eth_lan0:</w:t>
      </w:r>
    </w:p>
    <w:p>
      <w:pPr>
        <w:pStyle w:val="Para 06"/>
      </w:pPr>
      <w:r>
        <w:t>dhcp4: true</w:t>
      </w:r>
    </w:p>
    <w:p>
      <w:pPr>
        <w:pStyle w:val="Para 06"/>
      </w:pPr>
      <w:r>
        <w:t>match:</w:t>
      </w:r>
    </w:p>
    <w:p>
      <w:pPr>
        <w:pStyle w:val="Para 06"/>
      </w:pPr>
      <w:r>
        <w:t>macaddress:</w:t>
        <w:t xml:space="preserve"> </w:t>
        <w:t>00</w:t>
        <w:t>:</w:t>
        <w:t>11</w:t>
        <w:t>:</w:t>
        <w:t>22</w:t>
        <w:t>:</w:t>
        <w:t>33</w:t>
        <w:t>:</w:t>
        <w:t>44</w:t>
        <w:t>:</w:t>
        <w:t>55</w:t>
      </w:r>
    </w:p>
    <w:p>
      <w:pPr>
        <w:pStyle w:val="Para 06"/>
      </w:pPr>
      <w:r>
        <w:t>set</w:t>
        <w:t>-</w:t>
        <w:t>name: eth_lan0</w:t>
      </w:r>
    </w:p>
    <w:p>
      <w:pPr>
        <w:pStyle w:val="Para 17"/>
      </w:pPr>
      <w:r>
        <w:t/>
      </w:r>
    </w:p>
    <w:p>
      <w:pPr>
        <w:pStyle w:val="Para 01"/>
      </w:pPr>
      <w:r>
        <w:t>Ethernet Interface settings</w:t>
      </w:r>
    </w:p>
    <w:p>
      <w:pPr>
        <w:pStyle w:val="Para 17"/>
      </w:pPr>
      <w:r>
        <w:t/>
      </w:r>
    </w:p>
    <w:p>
      <w:pPr>
        <w:pStyle w:val="Normal"/>
      </w:pPr>
      <w:r>
        <w:t>ethtool is a program that displays and changes Ethernet card settings such as auto-negotiation, port speed, duplex mode, and Wake-on-LAN. The following is an example of how to view the supported features and configured settings of an Ethernet interface.</w:t>
      </w:r>
    </w:p>
    <w:p>
      <w:pPr>
        <w:pStyle w:val="Normal"/>
      </w:pPr>
      <w:r>
        <w:t>sudo ethtool eth4</w:t>
      </w:r>
    </w:p>
    <w:p>
      <w:pPr>
        <w:pStyle w:val="Normal"/>
      </w:pPr>
      <w:r>
        <w:t>Settings</w:t>
        <w:t xml:space="preserve"> </w:t>
      </w:r>
      <w:r>
        <w:rPr>
          <w:rStyle w:val="Text0"/>
        </w:rPr>
        <w:t>for</w:t>
      </w:r>
      <w:r>
        <w:t xml:space="preserve"> </w:t>
        <w:t>eth4:</w:t>
      </w:r>
    </w:p>
    <w:p>
      <w:pPr>
        <w:pStyle w:val="Para 02"/>
      </w:pPr>
      <w:r>
        <w:t>Supported ports: [ FIBRE ]</w:t>
      </w:r>
    </w:p>
    <w:p>
      <w:pPr>
        <w:pStyle w:val="Para 02"/>
      </w:pPr>
      <w:r>
        <w:t>Supported link modes:</w:t>
        <w:t xml:space="preserve"> </w:t>
        <w:t>10000</w:t>
        <w:t>baseT</w:t>
        <w:t>/</w:t>
        <w:t>Full</w:t>
        <w:t xml:space="preserve"> </w:t>
        <w:t>Supported pause frame use: No</w:t>
      </w:r>
    </w:p>
    <w:p>
      <w:pPr>
        <w:pStyle w:val="Para 02"/>
      </w:pPr>
      <w:r>
        <w:t>Supports auto</w:t>
        <w:t>-</w:t>
        <w:t>negotiation: No</w:t>
      </w:r>
    </w:p>
    <w:p>
      <w:pPr>
        <w:pStyle w:val="Para 02"/>
      </w:pPr>
      <w:r>
        <w:t>Supported FEC modes: Not reported</w:t>
      </w:r>
    </w:p>
    <w:p>
      <w:pPr>
        <w:pStyle w:val="Para 02"/>
      </w:pPr>
      <w:r>
        <w:t>Advertised link modes:</w:t>
        <w:t xml:space="preserve"> </w:t>
        <w:t>10000</w:t>
        <w:t>baseT</w:t>
        <w:t>/</w:t>
        <w:t>Full</w:t>
        <w:t xml:space="preserve"> </w:t>
        <w:t>Advertised pause frame use: No</w:t>
      </w:r>
    </w:p>
    <w:p>
      <w:pPr>
        <w:pStyle w:val="Para 02"/>
      </w:pPr>
      <w:r>
        <w:t>Advertised auto</w:t>
        <w:t>-</w:t>
        <w:t>negotiation: No</w:t>
      </w:r>
    </w:p>
    <w:p>
      <w:pPr>
        <w:pStyle w:val="Para 02"/>
      </w:pPr>
      <w:r>
        <w:t>Advertised FEC modes: Not reported</w:t>
      </w:r>
    </w:p>
    <w:p>
      <w:pPr>
        <w:pStyle w:val="Para 02"/>
      </w:pPr>
      <w:r>
        <w:t>Speed:</w:t>
        <w:t xml:space="preserve"> </w:t>
        <w:t>10000</w:t>
        <w:t>Mb</w:t>
        <w:t>/</w:t>
        <w:t>s</w:t>
      </w:r>
    </w:p>
    <w:p>
      <w:pPr>
        <w:pStyle w:val="Para 02"/>
      </w:pPr>
      <w:r>
        <w:t>Duplex: Full</w:t>
      </w:r>
    </w:p>
    <w:p>
      <w:pPr>
        <w:pStyle w:val="Para 02"/>
      </w:pPr>
      <w:r>
        <w:t>Port: FIBRE</w:t>
      </w:r>
    </w:p>
    <w:p>
      <w:pPr>
        <w:pStyle w:val="Para 02"/>
      </w:pPr>
      <w:r>
        <w:t>PHYAD:</w:t>
        <w:t xml:space="preserve"> </w:t>
        <w:t>0</w:t>
      </w:r>
    </w:p>
    <w:p>
      <w:pPr>
        <w:pStyle w:val="Para 02"/>
      </w:pPr>
      <w:r>
        <w:t>Transceiver: internal</w:t>
      </w:r>
    </w:p>
    <w:p>
      <w:pPr>
        <w:pStyle w:val="Para 02"/>
      </w:pPr>
      <w:r>
        <w:t>Auto</w:t>
        <w:t>-</w:t>
        <w:t>negotiation: off</w:t>
      </w:r>
    </w:p>
    <w:p>
      <w:pPr>
        <w:pStyle w:val="Para 02"/>
      </w:pPr>
      <w:r>
        <w:t>Supports Wake</w:t>
        <w:t>-</w:t>
        <w:t>on: d</w:t>
      </w:r>
    </w:p>
    <w:p>
      <w:pPr>
        <w:pStyle w:val="Para 02"/>
      </w:pPr>
      <w:r>
        <w:t>Wake</w:t>
        <w:t>-</w:t>
        <w:t>on: d</w:t>
      </w:r>
    </w:p>
    <w:p>
      <w:pPr>
        <w:pStyle w:val="Para 02"/>
      </w:pPr>
      <w:r>
        <w:t>Current message level:</w:t>
        <w:t xml:space="preserve"> </w:t>
        <w:t>0x00000014</w:t>
        <w:t xml:space="preserve"> </w:t>
        <w:t>(</w:t>
        <w:t>20</w:t>
        <w:t>)</w:t>
      </w:r>
    </w:p>
    <w:p>
      <w:pPr>
        <w:pStyle w:val="Para 25"/>
      </w:pPr>
      <w:r>
        <w:t>link ifdown</w:t>
      </w:r>
    </w:p>
    <w:p>
      <w:pPr>
        <w:pStyle w:val="Para 02"/>
      </w:pPr>
      <w:r>
        <w:t>Link detected: yes</w:t>
      </w:r>
    </w:p>
    <w:p>
      <w:pPr>
        <w:pStyle w:val="Para 17"/>
      </w:pPr>
      <w:r>
        <w:t/>
      </w:r>
    </w:p>
    <w:p>
      <w:pPr>
        <w:pStyle w:val="Para 01"/>
      </w:pPr>
      <w:r>
        <w:t>IP addressing</w:t>
      </w:r>
    </w:p>
    <w:p>
      <w:pPr>
        <w:pStyle w:val="Para 17"/>
      </w:pPr>
      <w:r>
        <w:t/>
      </w:r>
    </w:p>
    <w:p>
      <w:pPr>
        <w:pStyle w:val="Normal"/>
      </w:pPr>
      <w:r>
        <w:t>The following section describes the process of configuring your system’s IP address and de-fault gateway needed for communicating on a local area network and the Internet.</w:t>
      </w:r>
    </w:p>
    <w:p>
      <w:pPr>
        <w:pStyle w:val="Para 17"/>
      </w:pPr>
      <w:r>
        <w:t/>
      </w:r>
    </w:p>
    <w:p>
      <w:pPr>
        <w:pStyle w:val="Para 01"/>
      </w:pPr>
      <w:r>
        <w:t>Temporary IP address assignment</w:t>
      </w:r>
    </w:p>
    <w:p>
      <w:pPr>
        <w:pStyle w:val="Para 17"/>
      </w:pPr>
      <w:r>
        <w:t/>
      </w:r>
    </w:p>
    <w:p>
      <w:pPr>
        <w:pStyle w:val="Normal"/>
      </w:pPr>
      <w:r>
        <w:t>For temporary network configurations, you can use the ip command which is also found on</w:t>
      </w:r>
    </w:p>
    <w:p>
      <w:pPr>
        <w:pStyle w:val="Normal"/>
      </w:pPr>
      <w:r>
        <w:t xml:space="preserve">most other </w:t>
      </w:r>
      <w:hyperlink w:anchor="page_685">
        <w:r>
          <w:rPr>
            <w:rStyle w:val="Text2"/>
          </w:rPr>
          <w:t>GNU</w:t>
        </w:r>
      </w:hyperlink>
      <w:r>
        <w:t>/Linux operating systems. The ip command allows you to configure settings which take effect immediately – however they are not persistent and will be lost after a re-boot.</w:t>
      </w:r>
    </w:p>
    <w:p>
      <w:pPr>
        <w:pStyle w:val="Normal"/>
      </w:pPr>
      <w:r>
        <w:t xml:space="preserve">To temporarily configure an IP address, you can use the ip command in the following manner. Modify the IP address and subnet mask to match your network requirements. </w:t>
        <w:t>sudo ip addr add</w:t>
        <w:t xml:space="preserve"> </w:t>
        <w:t>10.102.66.200</w:t>
        <w:t>/</w:t>
        <w:t>24</w:t>
        <w:t xml:space="preserve"> </w:t>
        <w:t>dev enp0s25</w:t>
      </w:r>
    </w:p>
    <w:p>
      <w:bookmarkStart w:id="1275" w:name="page_8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6" name="index-811_1.png" descr="index-811_1.png"/>
            <wp:cNvGraphicFramePr>
              <a:graphicFrameLocks noChangeAspect="1"/>
            </wp:cNvGraphicFramePr>
            <a:graphic>
              <a:graphicData uri="http://schemas.openxmlformats.org/drawingml/2006/picture">
                <pic:pic>
                  <pic:nvPicPr>
                    <pic:cNvPr id="0" name="index-811_1.png" descr="index-811_1.png"/>
                    <pic:cNvPicPr/>
                  </pic:nvPicPr>
                  <pic:blipFill>
                    <a:blip r:embed="rId850"/>
                    <a:stretch>
                      <a:fillRect/>
                    </a:stretch>
                  </pic:blipFill>
                  <pic:spPr>
                    <a:xfrm>
                      <a:off x="0" y="0"/>
                      <a:ext cx="914400" cy="266700"/>
                    </a:xfrm>
                    <a:prstGeom prst="rect">
                      <a:avLst/>
                    </a:prstGeom>
                  </pic:spPr>
                </pic:pic>
              </a:graphicData>
            </a:graphic>
          </wp:anchor>
        </w:drawing>
      </w:r>
      <w:bookmarkEnd w:id="1275"/>
    </w:p>
    <w:p>
      <w:pPr>
        <w:pStyle w:val="Para 17"/>
      </w:pPr>
      <w:r>
        <w:t/>
      </w:r>
    </w:p>
    <w:p>
      <w:pPr>
        <w:pStyle w:val="Normal"/>
      </w:pPr>
      <w:r>
        <w:t>The ip command can then be used to set the link up or down.</w:t>
      </w:r>
    </w:p>
    <w:p>
      <w:pPr>
        <w:pStyle w:val="Normal"/>
      </w:pPr>
      <w:r>
        <w:t>ip link</w:t>
        <w:t xml:space="preserve"> </w:t>
        <w:t>set</w:t>
        <w:t xml:space="preserve"> </w:t>
        <w:t>dev enp0s25 up</w:t>
      </w:r>
    </w:p>
    <w:p>
      <w:pPr>
        <w:pStyle w:val="Normal"/>
      </w:pPr>
      <w:r>
        <w:t>ip link</w:t>
        <w:t xml:space="preserve"> </w:t>
        <w:t>set</w:t>
        <w:t xml:space="preserve"> </w:t>
        <w:t>dev enp0s25 down</w:t>
      </w:r>
    </w:p>
    <w:p>
      <w:pPr>
        <w:pStyle w:val="Para 17"/>
      </w:pPr>
      <w:r>
        <w:t/>
      </w:r>
    </w:p>
    <w:p>
      <w:pPr>
        <w:pStyle w:val="Normal"/>
      </w:pPr>
      <w:r>
        <w:t>To verify the IP address configuration of enp0s25, you can use the ip command in the follow-ing manner:</w:t>
      </w:r>
    </w:p>
    <w:p>
      <w:pPr>
        <w:pStyle w:val="Normal"/>
      </w:pPr>
      <w:r>
        <w:t>ip address show dev enp0s25</w:t>
      </w:r>
    </w:p>
    <w:p>
      <w:pPr>
        <w:pStyle w:val="Normal"/>
      </w:pPr>
      <w:r>
        <w:t>10</w:t>
        <w:t>: enp0s25:</w:t>
        <w:t xml:space="preserve"> </w:t>
        <w:t>&lt;</w:t>
        <w:t>BROADCAST,MULTICAST,UP,LOWER_UP</w:t>
        <w:t>&gt;</w:t>
        <w:t xml:space="preserve"> </w:t>
        <w:t>mtu</w:t>
        <w:t xml:space="preserve"> </w:t>
        <w:t>1500</w:t>
        <w:t xml:space="preserve"> </w:t>
        <w:t>qdisc noqueue state UP group</w:t>
        <w:t xml:space="preserve"> </w:t>
        <w:t>default qlen</w:t>
        <w:t xml:space="preserve"> </w:t>
        <w:t>1000</w:t>
      </w:r>
    </w:p>
    <w:p>
      <w:pPr>
        <w:pStyle w:val="Para 02"/>
      </w:pPr>
      <w:r>
        <w:t>link</w:t>
        <w:t>/</w:t>
        <w:t>ether</w:t>
        <w:t xml:space="preserve"> </w:t>
        <w:t>00</w:t>
        <w:t>:</w:t>
        <w:t>16</w:t>
        <w:t>:</w:t>
        <w:t>3</w:t>
        <w:t>e:e2:</w:t>
        <w:t>52</w:t>
        <w:t>:</w:t>
        <w:t>42</w:t>
        <w:t xml:space="preserve"> </w:t>
        <w:t>brd ff:ff:ff:ff:ff:ff link</w:t>
        <w:t>-</w:t>
        <w:t>netnsid</w:t>
        <w:t xml:space="preserve"> </w:t>
        <w:t>0</w:t>
        <w:t xml:space="preserve"> </w:t>
        <w:t>inet</w:t>
        <w:t xml:space="preserve"> </w:t>
        <w:t>10.102.66.200</w:t>
        <w:t>/</w:t>
        <w:t>24</w:t>
        <w:t xml:space="preserve"> </w:t>
        <w:t>brd</w:t>
        <w:t xml:space="preserve"> </w:t>
        <w:t>10.102.66.255</w:t>
        <w:t xml:space="preserve"> </w:t>
        <w:t>scope</w:t>
        <w:t xml:space="preserve"> </w:t>
      </w:r>
      <w:r>
        <w:rPr>
          <w:rStyle w:val="Text0"/>
        </w:rPr>
        <w:t>global</w:t>
      </w:r>
      <w:r>
        <w:t xml:space="preserve"> </w:t>
        <w:t>dynamic eth0</w:t>
      </w:r>
    </w:p>
    <w:p>
      <w:pPr>
        <w:pStyle w:val="Para 06"/>
      </w:pPr>
      <w:r>
        <w:t>valid_lft</w:t>
        <w:t xml:space="preserve"> </w:t>
        <w:t>2857</w:t>
        <w:t>sec preferred_lft</w:t>
        <w:t xml:space="preserve"> </w:t>
        <w:t>2857</w:t>
        <w:t>sec</w:t>
      </w:r>
    </w:p>
    <w:p>
      <w:pPr>
        <w:pStyle w:val="Para 02"/>
      </w:pPr>
      <w:r>
        <w:t>inet6 fe80::</w:t>
        <w:t>216</w:t>
        <w:t>:</w:t>
        <w:t>3</w:t>
        <w:t>eff:fee2:</w:t>
        <w:t>5242</w:t>
        <w:t>/</w:t>
        <w:t>64</w:t>
        <w:t xml:space="preserve"> </w:t>
        <w:t>scope link</w:t>
      </w:r>
    </w:p>
    <w:p>
      <w:pPr>
        <w:pStyle w:val="Para 06"/>
      </w:pPr>
      <w:r>
        <w:t>valid_lft forever preferred_lft forever6</w:t>
      </w:r>
    </w:p>
    <w:p>
      <w:pPr>
        <w:pStyle w:val="Para 17"/>
      </w:pPr>
      <w:r>
        <w:t/>
      </w:r>
    </w:p>
    <w:p>
      <w:pPr>
        <w:pStyle w:val="Normal"/>
      </w:pPr>
      <w:r>
        <w:t>To configure a default gateway, you can use the ip command in the following manner. Modify the default gateway address to match your network requirements.</w:t>
      </w:r>
    </w:p>
    <w:p>
      <w:pPr>
        <w:pStyle w:val="Normal"/>
      </w:pPr>
      <w:r>
        <w:t>sudo ip route add default via</w:t>
        <w:t xml:space="preserve"> </w:t>
        <w:t>10.102.66.1</w:t>
      </w:r>
    </w:p>
    <w:p>
      <w:pPr>
        <w:pStyle w:val="Para 17"/>
      </w:pPr>
      <w:r>
        <w:t/>
      </w:r>
    </w:p>
    <w:p>
      <w:pPr>
        <w:pStyle w:val="Normal"/>
      </w:pPr>
      <w:r>
        <w:t>You can also use the ip command to verify your default gateway configuration, as follows:</w:t>
      </w:r>
    </w:p>
    <w:p>
      <w:pPr>
        <w:pStyle w:val="Normal"/>
      </w:pPr>
      <w:r>
        <w:t>ip route show</w:t>
      </w:r>
    </w:p>
    <w:p>
      <w:pPr>
        <w:pStyle w:val="Normal"/>
      </w:pPr>
      <w:r>
        <w:t>default via</w:t>
        <w:t xml:space="preserve"> </w:t>
        <w:t>10.102.66.1</w:t>
        <w:t xml:space="preserve"> </w:t>
        <w:t>dev eth0 proto dhcp src</w:t>
        <w:t xml:space="preserve"> </w:t>
        <w:t>10.102.66.200</w:t>
        <w:t xml:space="preserve"> </w:t>
        <w:t>metric</w:t>
        <w:t xml:space="preserve"> </w:t>
        <w:t>100</w:t>
        <w:t xml:space="preserve"> </w:t>
        <w:t>10.102.66.0</w:t>
        <w:t>/</w:t>
        <w:t>24</w:t>
        <w:t xml:space="preserve"> </w:t>
        <w:t>dev eth0 proto kernel scope link src</w:t>
        <w:t xml:space="preserve"> </w:t>
        <w:t>10.102.66.200</w:t>
        <w:t xml:space="preserve"> </w:t>
        <w:t>10.102.66.1</w:t>
        <w:t xml:space="preserve"> </w:t>
        <w:t>dev eth0 proto dhcp scope link src</w:t>
        <w:t xml:space="preserve"> </w:t>
        <w:t>10.102.66.200</w:t>
        <w:t xml:space="preserve"> </w:t>
        <w:t>metric</w:t>
        <w:t xml:space="preserve"> </w:t>
        <w:t>100</w:t>
      </w:r>
    </w:p>
    <w:p>
      <w:pPr>
        <w:pStyle w:val="Para 17"/>
      </w:pPr>
      <w:r>
        <w:t/>
      </w:r>
    </w:p>
    <w:p>
      <w:pPr>
        <w:pStyle w:val="Normal"/>
      </w:pPr>
      <w:r>
        <w:t xml:space="preserve">If you require </w:t>
      </w:r>
      <w:hyperlink w:anchor="page_679">
        <w:r>
          <w:rPr>
            <w:rStyle w:val="Text2"/>
          </w:rPr>
          <w:t>DNS</w:t>
        </w:r>
      </w:hyperlink>
      <w:r>
        <w:t xml:space="preserve"> for your temporary network configuration, you can use the resolvectl command to set DNS servers temporarily. The example below shows how to set two DNS servers for the interface enp0s25, which should be changed to servers appropriate for your network. A more lengthy description of the proper (persistent) way to do DNS client config-uration is in a following section.</w:t>
      </w:r>
    </w:p>
    <w:p>
      <w:pPr>
        <w:pStyle w:val="Normal"/>
      </w:pPr>
      <w:r>
        <w:t>sudo resolvectl dns enp0s25</w:t>
        <w:t xml:space="preserve"> </w:t>
        <w:t>8.8.8.8 8.8.4.4</w:t>
      </w:r>
    </w:p>
    <w:p>
      <w:pPr>
        <w:pStyle w:val="Para 17"/>
      </w:pPr>
      <w:r>
        <w:t/>
      </w:r>
    </w:p>
    <w:p>
      <w:pPr>
        <w:pStyle w:val="Normal"/>
      </w:pPr>
      <w:r>
        <w:t>If you no longer need this configuration and wish to purge all IP configuration from an inter-face, you can use the ip command with the flush option:</w:t>
      </w:r>
    </w:p>
    <w:p>
      <w:pPr>
        <w:pStyle w:val="Normal"/>
      </w:pPr>
      <w:r>
        <w:t>ip addr flush eth0</w:t>
      </w:r>
    </w:p>
    <w:p>
      <w:pPr>
        <w:pStyle w:val="Para 17"/>
      </w:pPr>
      <w:r>
        <w:t/>
      </w:r>
    </w:p>
    <w:p>
      <w:pPr>
        <w:pStyle w:val="Para 08"/>
      </w:pPr>
      <w:r>
        <w:t>Note:</w:t>
      </w:r>
    </w:p>
    <w:p>
      <w:pPr>
        <w:pStyle w:val="Para 03"/>
      </w:pPr>
      <w:r>
        <w:t>Flushing the IP configuration using the ip command does not clear the contents of</w:t>
      </w:r>
    </w:p>
    <w:p>
      <w:pPr>
        <w:pStyle w:val="Para 03"/>
      </w:pPr>
      <w:r>
        <w:t>systemd-resolved. You must remove or modify those entries manually, e.g by calling sudo</w:t>
      </w:r>
    </w:p>
    <w:p>
      <w:pPr>
        <w:pStyle w:val="Para 03"/>
      </w:pPr>
      <w:r>
        <w:t>resolvectl revert enp0s25 . Or re-boot, which should also cause the symlink /etc/resolv.</w:t>
      </w:r>
    </w:p>
    <w:p>
      <w:pPr>
        <w:pStyle w:val="Para 03"/>
      </w:pPr>
      <w:r>
        <w:t>conf -&gt; /run/systemd/resolve/stub-resolv.conf, to be restored.</w:t>
      </w:r>
    </w:p>
    <w:p>
      <w:bookmarkStart w:id="1276" w:name="page_8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7" name="index-812_1.png" descr="index-812_1.png"/>
            <wp:cNvGraphicFramePr>
              <a:graphicFrameLocks noChangeAspect="1"/>
            </wp:cNvGraphicFramePr>
            <a:graphic>
              <a:graphicData uri="http://schemas.openxmlformats.org/drawingml/2006/picture">
                <pic:pic>
                  <pic:nvPicPr>
                    <pic:cNvPr id="0" name="index-812_1.png" descr="index-812_1.png"/>
                    <pic:cNvPicPr/>
                  </pic:nvPicPr>
                  <pic:blipFill>
                    <a:blip r:embed="rId851"/>
                    <a:stretch>
                      <a:fillRect/>
                    </a:stretch>
                  </pic:blipFill>
                  <pic:spPr>
                    <a:xfrm>
                      <a:off x="0" y="0"/>
                      <a:ext cx="914400" cy="266700"/>
                    </a:xfrm>
                    <a:prstGeom prst="rect">
                      <a:avLst/>
                    </a:prstGeom>
                  </pic:spPr>
                </pic:pic>
              </a:graphicData>
            </a:graphic>
          </wp:anchor>
        </w:drawing>
      </w:r>
      <w:bookmarkEnd w:id="1276"/>
    </w:p>
    <w:p>
      <w:pPr>
        <w:pStyle w:val="Para 01"/>
      </w:pPr>
      <w:r>
        <w:t>Dynamic IP address assignment (DHCP client)</w:t>
      </w:r>
    </w:p>
    <w:p>
      <w:pPr>
        <w:pStyle w:val="Para 17"/>
      </w:pPr>
      <w:r>
        <w:t/>
      </w:r>
    </w:p>
    <w:p>
      <w:pPr>
        <w:pStyle w:val="Normal"/>
      </w:pPr>
      <w:r>
        <w:t>To configure your server to use DHCP for dynamic address assignment, create a Netplan con-figuration in the file /etc/netplan/99_config.yaml. The following example assumes you are configuring your first Ethernet interface identified as enp3s0.</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2"/>
      </w:pPr>
      <w:r>
        <w:t>enp3s0:</w:t>
      </w:r>
    </w:p>
    <w:p>
      <w:pPr>
        <w:pStyle w:val="Para 06"/>
      </w:pPr>
      <w:r>
        <w:t>dhcp4: true</w:t>
      </w:r>
    </w:p>
    <w:p>
      <w:pPr>
        <w:pStyle w:val="Para 17"/>
      </w:pPr>
      <w:r>
        <w:t/>
      </w:r>
    </w:p>
    <w:p>
      <w:pPr>
        <w:pStyle w:val="Normal"/>
      </w:pPr>
      <w:r>
        <w:t>The configuration can then be applied using the netplan command:</w:t>
      </w:r>
    </w:p>
    <w:p>
      <w:pPr>
        <w:pStyle w:val="Normal"/>
      </w:pPr>
      <w:r>
        <w:t>sudo netplan apply</w:t>
      </w:r>
    </w:p>
    <w:p>
      <w:pPr>
        <w:pStyle w:val="Para 17"/>
      </w:pPr>
      <w:r>
        <w:t/>
      </w:r>
    </w:p>
    <w:p>
      <w:pPr>
        <w:pStyle w:val="Para 01"/>
      </w:pPr>
      <w:r>
        <w:t>Static IP address assignment</w:t>
      </w:r>
    </w:p>
    <w:p>
      <w:pPr>
        <w:pStyle w:val="Para 17"/>
      </w:pPr>
      <w:r>
        <w:t/>
      </w:r>
    </w:p>
    <w:p>
      <w:pPr>
        <w:pStyle w:val="Normal"/>
      </w:pPr>
      <w:r>
        <w:t>To configure your system to use static address assignment, create a netplan configuration in the file /etc/netplan/99_config.yaml. The example below assumes you are configuring your first Ethernet interface identified as eth0. Change the addresses, routes, and nameservers values to meet the requirements of your network.</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2"/>
      </w:pPr>
      <w:r>
        <w:t>eth0:</w:t>
      </w:r>
    </w:p>
    <w:p>
      <w:pPr>
        <w:pStyle w:val="Para 06"/>
      </w:pPr>
      <w:r>
        <w:t>addresses:</w:t>
      </w:r>
    </w:p>
    <w:p>
      <w:pPr>
        <w:pStyle w:val="Para 06"/>
      </w:pPr>
      <w:r>
        <w:t>-</w:t>
        <w:t>10.10.10.2</w:t>
        <w:t>/</w:t>
        <w:t>24</w:t>
      </w:r>
    </w:p>
    <w:p>
      <w:pPr>
        <w:pStyle w:val="Para 06"/>
      </w:pPr>
      <w:r>
        <w:t>routes:</w:t>
      </w:r>
    </w:p>
    <w:p>
      <w:pPr>
        <w:pStyle w:val="Para 06"/>
      </w:pPr>
      <w:r>
        <w:t>-</w:t>
        <w:t>to: default</w:t>
      </w:r>
    </w:p>
    <w:p>
      <w:pPr>
        <w:pStyle w:val="Para 11"/>
      </w:pPr>
      <w:r>
        <w:t>via:</w:t>
        <w:t xml:space="preserve"> </w:t>
        <w:t>10.10.10.1</w:t>
      </w:r>
    </w:p>
    <w:p>
      <w:pPr>
        <w:pStyle w:val="Para 06"/>
      </w:pPr>
      <w:r>
        <w:t>nameservers:</w:t>
      </w:r>
    </w:p>
    <w:p>
      <w:pPr>
        <w:pStyle w:val="Para 11"/>
      </w:pPr>
      <w:r>
        <w:t>search: [mydomain, otherdomain]</w:t>
      </w:r>
    </w:p>
    <w:p>
      <w:pPr>
        <w:pStyle w:val="Para 11"/>
      </w:pPr>
      <w:r>
        <w:t>addresses: [</w:t>
        <w:t>10.10.10.1</w:t>
        <w:t>,</w:t>
        <w:t xml:space="preserve"> </w:t>
        <w:t>1.1.1.1</w:t>
        <w:t>]</w:t>
      </w:r>
    </w:p>
    <w:p>
      <w:pPr>
        <w:pStyle w:val="Para 17"/>
      </w:pPr>
      <w:r>
        <w:t/>
      </w:r>
    </w:p>
    <w:p>
      <w:pPr>
        <w:pStyle w:val="Normal"/>
      </w:pPr>
      <w:r>
        <w:t>The configuration can then be applied using the netplan command.</w:t>
      </w:r>
    </w:p>
    <w:p>
      <w:pPr>
        <w:pStyle w:val="Normal"/>
      </w:pPr>
      <w:r>
        <w:t>sudo netplan apply</w:t>
      </w:r>
    </w:p>
    <w:p>
      <w:pPr>
        <w:pStyle w:val="Para 17"/>
      </w:pPr>
      <w:r>
        <w:t/>
      </w:r>
    </w:p>
    <w:p>
      <w:pPr>
        <w:pStyle w:val="Para 08"/>
      </w:pPr>
      <w:r>
        <w:t>Note:</w:t>
      </w:r>
    </w:p>
    <w:p>
      <w:pPr>
        <w:pStyle w:val="Para 03"/>
      </w:pPr>
      <w:r>
        <w:t>netplan in Ubuntu Bionic 18.04 LTS doesn’t understand the “to: default” syntax to specify</w:t>
      </w:r>
    </w:p>
    <w:p>
      <w:pPr>
        <w:pStyle w:val="Para 03"/>
      </w:pPr>
      <w:r>
        <w:t>a default route, and should use the older gateway4: 10.10.10.1 key instead of the whole</w:t>
      </w:r>
    </w:p>
    <w:p>
      <w:pPr>
        <w:pStyle w:val="Para 03"/>
      </w:pPr>
      <w:r>
        <w:t>routes: block.</w:t>
      </w:r>
    </w:p>
    <w:p>
      <w:pPr>
        <w:pStyle w:val="Normal"/>
      </w:pPr>
      <w:r>
        <w:t xml:space="preserve">The loopback interface is identified by the system as lo and has a default IP address of 127.0.0.1. It can be viewed using the ip command. </w:t>
        <w:t>ip address show lo</w:t>
      </w:r>
    </w:p>
    <w:p>
      <w:bookmarkStart w:id="1277" w:name="page_8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8" name="index-813_1.png" descr="index-813_1.png"/>
            <wp:cNvGraphicFramePr>
              <a:graphicFrameLocks noChangeAspect="1"/>
            </wp:cNvGraphicFramePr>
            <a:graphic>
              <a:graphicData uri="http://schemas.openxmlformats.org/drawingml/2006/picture">
                <pic:pic>
                  <pic:nvPicPr>
                    <pic:cNvPr id="0" name="index-813_1.png" descr="index-813_1.png"/>
                    <pic:cNvPicPr/>
                  </pic:nvPicPr>
                  <pic:blipFill>
                    <a:blip r:embed="rId852"/>
                    <a:stretch>
                      <a:fillRect/>
                    </a:stretch>
                  </pic:blipFill>
                  <pic:spPr>
                    <a:xfrm>
                      <a:off x="0" y="0"/>
                      <a:ext cx="914400" cy="266700"/>
                    </a:xfrm>
                    <a:prstGeom prst="rect">
                      <a:avLst/>
                    </a:prstGeom>
                  </pic:spPr>
                </pic:pic>
              </a:graphicData>
            </a:graphic>
          </wp:anchor>
        </w:drawing>
      </w:r>
      <w:bookmarkEnd w:id="1277"/>
    </w:p>
    <w:p>
      <w:pPr>
        <w:pStyle w:val="Normal"/>
      </w:pPr>
      <w:r>
        <w:t>1</w:t>
        <w:t>: lo:</w:t>
        <w:t xml:space="preserve"> </w:t>
        <w:t>&lt;</w:t>
        <w:t>LOOPBACK,UP,LOWER_UP</w:t>
        <w:t>&gt;</w:t>
        <w:t xml:space="preserve"> </w:t>
        <w:t>mtu</w:t>
        <w:t xml:space="preserve"> </w:t>
        <w:t>65536</w:t>
        <w:t xml:space="preserve"> </w:t>
        <w:t>qdisc noqueue state UNKNOWN group default qlen</w:t>
        <w:t xml:space="preserve"> </w:t>
        <w:t>1000</w:t>
      </w:r>
    </w:p>
    <w:p>
      <w:pPr>
        <w:pStyle w:val="Para 02"/>
      </w:pPr>
      <w:r>
        <w:t>link</w:t>
        <w:t>/</w:t>
        <w:t>loopback</w:t>
        <w:t xml:space="preserve"> </w:t>
        <w:t>00</w:t>
        <w:t>:</w:t>
        <w:t>00</w:t>
        <w:t>:</w:t>
        <w:t>00</w:t>
        <w:t>:</w:t>
        <w:t>00</w:t>
        <w:t>:</w:t>
        <w:t>00</w:t>
        <w:t>:</w:t>
        <w:t>00</w:t>
        <w:t xml:space="preserve"> </w:t>
        <w:t>brd</w:t>
        <w:t xml:space="preserve"> </w:t>
        <w:t>00</w:t>
        <w:t>:</w:t>
        <w:t>00</w:t>
        <w:t>:</w:t>
        <w:t>00</w:t>
        <w:t>:</w:t>
        <w:t>00</w:t>
        <w:t>:</w:t>
        <w:t>00</w:t>
        <w:t>:</w:t>
        <w:t>00</w:t>
        <w:t xml:space="preserve"> </w:t>
        <w:t>inet</w:t>
        <w:t xml:space="preserve"> </w:t>
        <w:t>127.0.0.1</w:t>
        <w:t>/</w:t>
        <w:t>8</w:t>
        <w:t xml:space="preserve"> </w:t>
        <w:t>scope host lo</w:t>
      </w:r>
    </w:p>
    <w:p>
      <w:pPr>
        <w:pStyle w:val="Para 06"/>
      </w:pPr>
      <w:r>
        <w:t>valid_lft forever preferred_lft forever</w:t>
      </w:r>
    </w:p>
    <w:p>
      <w:pPr>
        <w:pStyle w:val="Para 02"/>
      </w:pPr>
      <w:r>
        <w:t>inet6 ::</w:t>
        <w:t>1</w:t>
        <w:t>/</w:t>
        <w:t>128</w:t>
        <w:t xml:space="preserve"> </w:t>
        <w:t>scope host</w:t>
      </w:r>
    </w:p>
    <w:p>
      <w:pPr>
        <w:pStyle w:val="Para 06"/>
      </w:pPr>
      <w:r>
        <w:t>valid_lft forever preferred_lft forever</w:t>
      </w:r>
    </w:p>
    <w:p>
      <w:pPr>
        <w:pStyle w:val="Para 17"/>
      </w:pPr>
      <w:r>
        <w:t/>
      </w:r>
    </w:p>
    <w:p>
      <w:pPr>
        <w:pStyle w:val="Para 01"/>
      </w:pPr>
      <w:r>
        <w:t>Adding a multiple IP addresses to one interface</w:t>
      </w:r>
    </w:p>
    <w:p>
      <w:pPr>
        <w:pStyle w:val="Para 17"/>
      </w:pPr>
      <w:r>
        <w:t/>
      </w:r>
    </w:p>
    <w:p>
      <w:pPr>
        <w:pStyle w:val="Normal"/>
      </w:pPr>
      <w:r>
        <w:t>A single interface can broadcast multiple IP addresses to the network. Multiple IP addresses can be used to:</w:t>
      </w:r>
    </w:p>
    <w:p>
      <w:pPr>
        <w:pStyle w:val="Para 04"/>
      </w:pPr>
      <w:r>
        <w:t>• host multiple web domains by configuring virtual hosts using different IP addresses</w:t>
      </w:r>
    </w:p>
    <w:p>
      <w:pPr>
        <w:pStyle w:val="Para 02"/>
      </w:pPr>
      <w:r>
        <w:t>rather than server names</w:t>
      </w:r>
    </w:p>
    <w:p>
      <w:pPr>
        <w:pStyle w:val="Para 04"/>
      </w:pPr>
      <w:r>
        <w:t>• host multiple server names using Samba</w:t>
      </w:r>
    </w:p>
    <w:p>
      <w:pPr>
        <w:pStyle w:val="Normal"/>
      </w:pPr>
      <w:r>
        <w:t>Add IP addresses to an interface by editing your netplan configuration found in /etc/netplan.</w:t>
      </w:r>
    </w:p>
    <w:p>
      <w:pPr>
        <w:pStyle w:val="Para 17"/>
      </w:pPr>
      <w:r>
        <w:t/>
      </w:r>
    </w:p>
    <w:p>
      <w:pPr>
        <w:pStyle w:val="Para 01"/>
      </w:pPr>
      <w:r>
        <w:t>Multiple static IP addresses</w:t>
      </w:r>
    </w:p>
    <w:p>
      <w:pPr>
        <w:pStyle w:val="Para 17"/>
      </w:pPr>
      <w:r>
        <w:t/>
      </w:r>
    </w:p>
    <w:p>
      <w:pPr>
        <w:pStyle w:val="Normal"/>
      </w:pPr>
      <w:r>
        <w:t>This example assigns multiple static addresses to a single interface (enter the appropriate values for your server and network):</w:t>
      </w:r>
    </w:p>
    <w:p>
      <w:pPr>
        <w:pStyle w:val="Normal"/>
      </w:pPr>
      <w:r>
        <w:t>network:</w:t>
      </w:r>
    </w:p>
    <w:p>
      <w:pPr>
        <w:pStyle w:val="Para 03"/>
      </w:pPr>
      <w:r>
        <w:t>version:</w:t>
        <w:t xml:space="preserve"> </w:t>
        <w:t>2</w:t>
      </w:r>
    </w:p>
    <w:p>
      <w:pPr>
        <w:pStyle w:val="Para 03"/>
      </w:pPr>
      <w:r>
        <w:t>ethernets:</w:t>
      </w:r>
    </w:p>
    <w:p>
      <w:pPr>
        <w:pStyle w:val="Para 02"/>
      </w:pPr>
      <w:r>
        <w:t>eno1:</w:t>
      </w:r>
    </w:p>
    <w:p>
      <w:pPr>
        <w:pStyle w:val="Para 06"/>
      </w:pPr>
      <w:r>
        <w:t>addresses:</w:t>
      </w:r>
    </w:p>
    <w:p>
      <w:pPr>
        <w:pStyle w:val="Para 06"/>
      </w:pPr>
      <w:r>
        <w:t>-</w:t>
        <w:t>192.168.2.99</w:t>
        <w:t>/</w:t>
        <w:t>24</w:t>
      </w:r>
    </w:p>
    <w:p>
      <w:pPr>
        <w:pStyle w:val="Para 06"/>
      </w:pPr>
      <w:r>
        <w:t>-</w:t>
        <w:t>192.168.2.100</w:t>
        <w:t>/</w:t>
        <w:t>24</w:t>
        <w:t>:</w:t>
      </w:r>
    </w:p>
    <w:p>
      <w:pPr>
        <w:pStyle w:val="Para 12"/>
      </w:pPr>
      <w:r>
        <w:t>label: eno1:</w:t>
        <w:t>1</w:t>
      </w:r>
    </w:p>
    <w:p>
      <w:pPr>
        <w:pStyle w:val="Para 06"/>
      </w:pPr>
      <w:r>
        <w:t>-</w:t>
        <w:t>192.168.2.101</w:t>
        <w:t>/</w:t>
        <w:t>24</w:t>
        <w:t>:</w:t>
      </w:r>
    </w:p>
    <w:p>
      <w:pPr>
        <w:pStyle w:val="Para 12"/>
      </w:pPr>
      <w:r>
        <w:t>label: eno1:some</w:t>
        <w:t>-</w:t>
        <w:t>label</w:t>
      </w:r>
    </w:p>
    <w:p>
      <w:pPr>
        <w:pStyle w:val="Para 17"/>
      </w:pPr>
      <w:r>
        <w:t/>
      </w:r>
    </w:p>
    <w:p>
      <w:pPr>
        <w:pStyle w:val="Normal"/>
      </w:pPr>
      <w:r>
        <w:t>Adding labels to the IP addresses allows you to reference the devices by name in configura-tion files rather than the IP address which can change.</w:t>
      </w:r>
    </w:p>
    <w:p>
      <w:pPr>
        <w:pStyle w:val="Para 17"/>
      </w:pPr>
      <w:r>
        <w:t/>
      </w:r>
    </w:p>
    <w:p>
      <w:pPr>
        <w:pStyle w:val="Para 01"/>
      </w:pPr>
      <w:r>
        <w:t>Dynamic IP addresses</w:t>
      </w:r>
    </w:p>
    <w:p>
      <w:pPr>
        <w:pStyle w:val="Para 17"/>
      </w:pPr>
      <w:r>
        <w:t/>
      </w:r>
    </w:p>
    <w:p>
      <w:pPr>
        <w:pStyle w:val="Normal"/>
      </w:pPr>
      <w:r>
        <w:t>This example adds one (or more) IP addresses to an interface that also has a dynamic address assigned by DHCP.</w:t>
      </w:r>
    </w:p>
    <w:p>
      <w:pPr>
        <w:pStyle w:val="Normal"/>
      </w:pPr>
      <w:r>
        <w:t>network:</w:t>
      </w:r>
    </w:p>
    <w:p>
      <w:pPr>
        <w:pStyle w:val="Para 03"/>
      </w:pPr>
      <w:r>
        <w:t>version:</w:t>
        <w:t xml:space="preserve"> </w:t>
        <w:t>2</w:t>
      </w:r>
    </w:p>
    <w:p>
      <w:pPr>
        <w:pStyle w:val="Para 03"/>
      </w:pPr>
      <w:r>
        <w:t>ethernets:</w:t>
      </w:r>
    </w:p>
    <w:p>
      <w:pPr>
        <w:pStyle w:val="Para 02"/>
      </w:pPr>
      <w:r>
        <w:t>eno1:</w:t>
      </w:r>
    </w:p>
    <w:p>
      <w:pPr>
        <w:pStyle w:val="Para 06"/>
      </w:pPr>
      <w:r>
        <w:t>addresses:</w:t>
      </w:r>
    </w:p>
    <w:p>
      <w:pPr>
        <w:pStyle w:val="Para 09"/>
      </w:pPr>
      <w:r>
        <w:t>(continues on next page)</w:t>
      </w:r>
    </w:p>
    <w:p>
      <w:bookmarkStart w:id="1278" w:name="page_8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49" name="index-814_1.png" descr="index-814_1.png"/>
            <wp:cNvGraphicFramePr>
              <a:graphicFrameLocks noChangeAspect="1"/>
            </wp:cNvGraphicFramePr>
            <a:graphic>
              <a:graphicData uri="http://schemas.openxmlformats.org/drawingml/2006/picture">
                <pic:pic>
                  <pic:nvPicPr>
                    <pic:cNvPr id="0" name="index-814_1.png" descr="index-814_1.png"/>
                    <pic:cNvPicPr/>
                  </pic:nvPicPr>
                  <pic:blipFill>
                    <a:blip r:embed="rId853"/>
                    <a:stretch>
                      <a:fillRect/>
                    </a:stretch>
                  </pic:blipFill>
                  <pic:spPr>
                    <a:xfrm>
                      <a:off x="0" y="0"/>
                      <a:ext cx="914400" cy="266700"/>
                    </a:xfrm>
                    <a:prstGeom prst="rect">
                      <a:avLst/>
                    </a:prstGeom>
                  </pic:spPr>
                </pic:pic>
              </a:graphicData>
            </a:graphic>
          </wp:anchor>
        </w:drawing>
      </w:r>
      <w:bookmarkEnd w:id="1278"/>
    </w:p>
    <w:p>
      <w:pPr>
        <w:pStyle w:val="Para 09"/>
      </w:pPr>
      <w:r>
        <w:t>(continued from previous page)</w:t>
      </w:r>
    </w:p>
    <w:p>
      <w:pPr>
        <w:pStyle w:val="Para 06"/>
      </w:pPr>
      <w:r>
        <w:t>-</w:t>
        <w:t>192.168.2.100</w:t>
        <w:t>/</w:t>
        <w:t>24</w:t>
        <w:t>:</w:t>
      </w:r>
    </w:p>
    <w:p>
      <w:pPr>
        <w:pStyle w:val="Para 12"/>
      </w:pPr>
      <w:r>
        <w:t>label: eno1:some</w:t>
        <w:t>-</w:t>
        <w:t>label</w:t>
      </w:r>
    </w:p>
    <w:p>
      <w:pPr>
        <w:pStyle w:val="Para 06"/>
      </w:pPr>
      <w:r>
        <w:t>dhcp4: true</w:t>
      </w:r>
    </w:p>
    <w:p>
      <w:pPr>
        <w:pStyle w:val="Para 17"/>
      </w:pPr>
      <w:r>
        <w:t/>
      </w:r>
    </w:p>
    <w:p>
      <w:pPr>
        <w:pStyle w:val="Para 08"/>
      </w:pPr>
      <w:r>
        <w:t>Note:</w:t>
      </w:r>
    </w:p>
    <w:p>
      <w:pPr>
        <w:pStyle w:val="Para 03"/>
      </w:pPr>
      <w:r>
        <w:t>A single interface can only have one address assigned by DHCP. To have multiple dynamic</w:t>
      </w:r>
    </w:p>
    <w:p>
      <w:pPr>
        <w:pStyle w:val="Para 03"/>
      </w:pPr>
      <w:r>
        <w:t>addresses, configure multiple interfaces. Do not add DHCP if it is configured on the same</w:t>
      </w:r>
    </w:p>
    <w:p>
      <w:pPr>
        <w:pStyle w:val="Para 03"/>
      </w:pPr>
      <w:r>
        <w:t>interface in another netplan file, such as one written by cloud-init.</w:t>
      </w:r>
    </w:p>
    <w:p>
      <w:pPr>
        <w:pStyle w:val="Para 17"/>
      </w:pPr>
      <w:r>
        <w:t/>
      </w:r>
    </w:p>
    <w:p>
      <w:pPr>
        <w:pStyle w:val="Para 01"/>
      </w:pPr>
      <w:r>
        <w:t>Apply and verify the IP addresses</w:t>
      </w:r>
    </w:p>
    <w:p>
      <w:pPr>
        <w:pStyle w:val="Para 17"/>
      </w:pPr>
      <w:r>
        <w:t/>
      </w:r>
    </w:p>
    <w:p>
      <w:pPr>
        <w:pStyle w:val="Normal"/>
      </w:pPr>
      <w:r>
        <w:t>Apply the configuration to enable the additional IP addresses:</w:t>
      </w:r>
    </w:p>
    <w:p>
      <w:pPr>
        <w:pStyle w:val="Normal"/>
      </w:pPr>
      <w:r>
        <w:t>sudo netplan apply</w:t>
      </w:r>
    </w:p>
    <w:p>
      <w:pPr>
        <w:pStyle w:val="Para 17"/>
      </w:pPr>
      <w:r>
        <w:t/>
      </w:r>
    </w:p>
    <w:p>
      <w:pPr>
        <w:pStyle w:val="Normal"/>
      </w:pPr>
      <w:r>
        <w:t>Verify the IP addresses are available locally using one or more of the following:</w:t>
      </w:r>
    </w:p>
    <w:p>
      <w:pPr>
        <w:pStyle w:val="Para 10"/>
      </w:pPr>
      <w:r>
        <w:rPr>
          <w:rStyle w:val="Text3"/>
        </w:rPr>
        <w:t>netplan status</w:t>
        <w:t xml:space="preserve"> </w:t>
      </w:r>
      <w:r>
        <w:t>#displays the current network state</w:t>
      </w:r>
    </w:p>
    <w:p>
      <w:pPr>
        <w:pStyle w:val="Para 10"/>
      </w:pPr>
      <w:r>
        <w:rPr>
          <w:rStyle w:val="Text3"/>
        </w:rPr>
        <w:t>ip addr</w:t>
        <w:t xml:space="preserve"> </w:t>
      </w:r>
      <w:r>
        <w:t>#shows all network interfaces</w:t>
      </w:r>
    </w:p>
    <w:p>
      <w:pPr>
        <w:pStyle w:val="Normal"/>
      </w:pPr>
      <w:r>
        <w:t>ip addr show &lt;interface_name&gt;</w:t>
        <w:t xml:space="preserve"> </w:t>
      </w:r>
      <w:r>
        <w:rPr>
          <w:rStyle w:val="Text3"/>
        </w:rPr>
        <w:t>#shows single interface</w:t>
      </w:r>
    </w:p>
    <w:p>
      <w:pPr>
        <w:pStyle w:val="Para 10"/>
      </w:pPr>
      <w:r>
        <w:rPr>
          <w:rStyle w:val="Text3"/>
        </w:rPr>
        <w:t>hostname -i</w:t>
        <w:t xml:space="preserve"> </w:t>
      </w:r>
      <w:r>
        <w:t>#shows only the available IP addresses on the host</w:t>
      </w:r>
    </w:p>
    <w:p>
      <w:pPr>
        <w:pStyle w:val="Para 17"/>
      </w:pPr>
      <w:r>
        <w:t/>
      </w:r>
    </w:p>
    <w:p>
      <w:pPr>
        <w:pStyle w:val="Normal"/>
      </w:pPr>
      <w:r>
        <w:t>Check the output to see that the addresses were applied to the interface that was configured.</w:t>
      </w:r>
    </w:p>
    <w:p>
      <w:pPr>
        <w:pStyle w:val="Normal"/>
      </w:pPr>
      <w:r>
        <w:t>Verify the IP addresses are available on the network. From a different computer on the net-work:</w:t>
      </w:r>
    </w:p>
    <w:p>
      <w:pPr>
        <w:pStyle w:val="Normal"/>
      </w:pPr>
      <w:r>
        <w:t>ping</w:t>
        <w:t xml:space="preserve"> </w:t>
        <w:t>192</w:t>
        <w:t>.168.0.100</w:t>
        <w:t xml:space="preserve"> </w:t>
      </w:r>
      <w:r>
        <w:rPr>
          <w:rStyle w:val="Text3"/>
        </w:rPr>
        <w:t>#configured IP addresses</w:t>
      </w:r>
      <w:r>
        <w:t xml:space="preserve"> </w:t>
        <w:t>ping</w:t>
        <w:t xml:space="preserve"> </w:t>
        <w:t>192</w:t>
        <w:t>.168.0.101</w:t>
      </w:r>
    </w:p>
    <w:p>
      <w:pPr>
        <w:pStyle w:val="Para 17"/>
      </w:pPr>
      <w:r>
        <w:t/>
      </w:r>
    </w:p>
    <w:p>
      <w:pPr>
        <w:pStyle w:val="Para 01"/>
      </w:pPr>
      <w:r>
        <w:t>Name resolution</w:t>
      </w:r>
    </w:p>
    <w:p>
      <w:pPr>
        <w:pStyle w:val="Para 17"/>
      </w:pPr>
      <w:r>
        <w:t/>
      </w:r>
    </w:p>
    <w:p>
      <w:pPr>
        <w:pStyle w:val="Normal"/>
      </w:pPr>
      <w:r>
        <w:t xml:space="preserve">Name resolution (as it relates to IP networking) is the process of mapping </w:t>
      </w:r>
      <w:hyperlink w:anchor="page_688">
        <w:r>
          <w:rPr>
            <w:rStyle w:val="Text2"/>
          </w:rPr>
          <w:t>hostnames</w:t>
        </w:r>
      </w:hyperlink>
      <w:r>
        <w:t xml:space="preserve"> to IP addresses, and vice-versa, making it easier to identify resources on a network. The following section will explain how to properly configure your system for name resolution using DNS and static hostname records.</w:t>
      </w:r>
    </w:p>
    <w:p>
      <w:bookmarkStart w:id="1279" w:name="calibre_pb_232"/>
      <w:pPr>
        <w:pStyle w:val="0 Block"/>
      </w:pPr>
      <w:bookmarkEnd w:id="1279"/>
    </w:p>
    <w:p>
      <w:bookmarkStart w:id="1280" w:name="Top_of_index_split_233_html"/>
      <w:bookmarkStart w:id="1281" w:name="page_81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0" name="index-815_1.png" descr="index-815_1.png"/>
            <wp:cNvGraphicFramePr>
              <a:graphicFrameLocks noChangeAspect="1"/>
            </wp:cNvGraphicFramePr>
            <a:graphic>
              <a:graphicData uri="http://schemas.openxmlformats.org/drawingml/2006/picture">
                <pic:pic>
                  <pic:nvPicPr>
                    <pic:cNvPr id="0" name="index-815_1.png" descr="index-815_1.png"/>
                    <pic:cNvPicPr/>
                  </pic:nvPicPr>
                  <pic:blipFill>
                    <a:blip r:embed="rId854"/>
                    <a:stretch>
                      <a:fillRect/>
                    </a:stretch>
                  </pic:blipFill>
                  <pic:spPr>
                    <a:xfrm>
                      <a:off x="0" y="0"/>
                      <a:ext cx="914400" cy="266700"/>
                    </a:xfrm>
                    <a:prstGeom prst="rect">
                      <a:avLst/>
                    </a:prstGeom>
                  </pic:spPr>
                </pic:pic>
              </a:graphicData>
            </a:graphic>
          </wp:anchor>
        </w:drawing>
      </w:r>
      <w:bookmarkEnd w:id="1280"/>
      <w:bookmarkEnd w:id="1281"/>
    </w:p>
    <w:p>
      <w:pPr>
        <w:pStyle w:val="Para 01"/>
      </w:pPr>
      <w:r>
        <w:t>DNS client configuration</w:t>
      </w:r>
    </w:p>
    <w:p>
      <w:pPr>
        <w:pStyle w:val="Para 17"/>
      </w:pPr>
      <w:r>
        <w:t/>
      </w:r>
    </w:p>
    <w:p>
      <w:pPr>
        <w:pStyle w:val="Normal"/>
      </w:pPr>
      <w:r>
        <w:t>Traditionally, the file /etc/resolv.conf was a static configuration file that rarely needed to be changed, or it automatically changed via DHCP client hooks. systemd-resolved handles nameserver configuration, and it should be interacted with through the resolvectl com-mand. Up to Ubuntu 20.04 LTS the systemd-resolve command could also be used. Netplan configures systemd-resolved to generate a list of nameservers and domains to put in /etc/ resolv.conf, which is a symlink:</w:t>
      </w:r>
    </w:p>
    <w:p>
      <w:pPr>
        <w:pStyle w:val="Normal"/>
      </w:pPr>
      <w:r>
        <w:t>/</w:t>
        <w:t>etc</w:t>
        <w:t>/</w:t>
        <w:t>resolv</w:t>
        <w:t>.</w:t>
        <w:t>conf</w:t>
        <w:t>-&gt; /</w:t>
        <w:t>run</w:t>
        <w:t>/</w:t>
        <w:t>systemd</w:t>
        <w:t>/</w:t>
        <w:t>resolve</w:t>
        <w:t>/</w:t>
        <w:t>stub</w:t>
        <w:t>-</w:t>
        <w:t>resolv</w:t>
        <w:t>.</w:t>
        <w:t>conf</w:t>
      </w:r>
    </w:p>
    <w:p>
      <w:pPr>
        <w:pStyle w:val="Para 17"/>
      </w:pPr>
      <w:r>
        <w:t/>
      </w:r>
    </w:p>
    <w:p>
      <w:pPr>
        <w:pStyle w:val="Normal"/>
      </w:pPr>
      <w:r>
        <w:t>To configure the resolver, add the IP addresses of the appropriate nameservers for your net-work to the netplan configuration file. You can also add optional DNS suffix search-lists to match your network domain names. The resulting file might look like the following:</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2"/>
      </w:pPr>
      <w:r>
        <w:t>enp0s25:</w:t>
      </w:r>
    </w:p>
    <w:p>
      <w:pPr>
        <w:pStyle w:val="Para 06"/>
      </w:pPr>
      <w:r>
        <w:t>addresses:</w:t>
      </w:r>
    </w:p>
    <w:p>
      <w:pPr>
        <w:pStyle w:val="Para 06"/>
      </w:pPr>
      <w:r>
        <w:t>-</w:t>
        <w:t>192.168.0.100</w:t>
        <w:t>/</w:t>
        <w:t>24</w:t>
      </w:r>
    </w:p>
    <w:p>
      <w:pPr>
        <w:pStyle w:val="Para 06"/>
      </w:pPr>
      <w:r>
        <w:t>routes:</w:t>
      </w:r>
    </w:p>
    <w:p>
      <w:pPr>
        <w:pStyle w:val="Para 06"/>
      </w:pPr>
      <w:r>
        <w:t>-</w:t>
        <w:t>to: default</w:t>
      </w:r>
    </w:p>
    <w:p>
      <w:pPr>
        <w:pStyle w:val="Para 11"/>
      </w:pPr>
      <w:r>
        <w:t>via:</w:t>
        <w:t xml:space="preserve"> </w:t>
        <w:t>192.168.0.1</w:t>
      </w:r>
    </w:p>
    <w:p>
      <w:pPr>
        <w:pStyle w:val="Para 06"/>
      </w:pPr>
      <w:r>
        <w:t>nameservers:</w:t>
      </w:r>
    </w:p>
    <w:p>
      <w:pPr>
        <w:pStyle w:val="Para 11"/>
      </w:pPr>
      <w:r>
        <w:t>search: [mydomain, otherdomain]</w:t>
      </w:r>
    </w:p>
    <w:p>
      <w:pPr>
        <w:pStyle w:val="Para 11"/>
      </w:pPr>
      <w:r>
        <w:t>addresses: [</w:t>
        <w:t>1.1.1.1</w:t>
        <w:t>,</w:t>
        <w:t xml:space="preserve"> </w:t>
        <w:t>8.8.8.8</w:t>
        <w:t>,</w:t>
        <w:t xml:space="preserve"> </w:t>
        <w:t>4.4.4.4</w:t>
        <w:t>]</w:t>
      </w:r>
    </w:p>
    <w:p>
      <w:pPr>
        <w:pStyle w:val="Para 17"/>
      </w:pPr>
      <w:r>
        <w:t/>
      </w:r>
    </w:p>
    <w:p>
      <w:pPr>
        <w:pStyle w:val="Normal"/>
      </w:pPr>
      <w:r>
        <w:t xml:space="preserve">The </w:t>
      </w:r>
      <w:r>
        <w:rPr>
          <w:rStyle w:val="Text3"/>
        </w:rPr>
        <w:t>search</w:t>
      </w:r>
      <w:r>
        <w:t xml:space="preserve"> option can also be used with multiple domain names so that DNS queries will be appended in the order in which they are entered. For example, your network may have mul-tiple sub-domains to search; a parent domain of </w:t>
      </w:r>
      <w:r>
        <w:rPr>
          <w:rStyle w:val="Text3"/>
        </w:rPr>
        <w:t>example.com</w:t>
      </w:r>
      <w:r>
        <w:t xml:space="preserve">, and two sub-domains, </w:t>
      </w:r>
      <w:r>
        <w:rPr>
          <w:rStyle w:val="Text3"/>
        </w:rPr>
        <w:t>sales. example.com</w:t>
      </w:r>
      <w:r>
        <w:t xml:space="preserve"> and </w:t>
      </w:r>
      <w:r>
        <w:rPr>
          <w:rStyle w:val="Text3"/>
        </w:rPr>
        <w:t>dev.example.com</w:t>
      </w:r>
      <w:r>
        <w:t>.</w:t>
      </w:r>
    </w:p>
    <w:p>
      <w:pPr>
        <w:pStyle w:val="Normal"/>
      </w:pPr>
      <w:r>
        <w:t>If you have multiple domains you wish to search, your configuration might look like the fol-lowing:</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2"/>
      </w:pPr>
      <w:r>
        <w:t>enp0s25:</w:t>
      </w:r>
    </w:p>
    <w:p>
      <w:pPr>
        <w:pStyle w:val="Para 06"/>
      </w:pPr>
      <w:r>
        <w:t>addresses:</w:t>
      </w:r>
    </w:p>
    <w:p>
      <w:pPr>
        <w:pStyle w:val="Para 06"/>
      </w:pPr>
      <w:r>
        <w:t>-</w:t>
        <w:t>192.168.0.100</w:t>
        <w:t>/</w:t>
        <w:t>24</w:t>
      </w:r>
    </w:p>
    <w:p>
      <w:pPr>
        <w:pStyle w:val="Para 06"/>
      </w:pPr>
      <w:r>
        <w:t>routes:</w:t>
      </w:r>
    </w:p>
    <w:p>
      <w:pPr>
        <w:pStyle w:val="Para 06"/>
      </w:pPr>
      <w:r>
        <w:t>-</w:t>
        <w:t>to: default</w:t>
      </w:r>
    </w:p>
    <w:p>
      <w:pPr>
        <w:pStyle w:val="Para 11"/>
      </w:pPr>
      <w:r>
        <w:t>via:</w:t>
        <w:t xml:space="preserve"> </w:t>
        <w:t>192.168.0.1</w:t>
      </w:r>
    </w:p>
    <w:p>
      <w:pPr>
        <w:pStyle w:val="Para 06"/>
      </w:pPr>
      <w:r>
        <w:t>nameservers:</w:t>
      </w:r>
    </w:p>
    <w:p>
      <w:pPr>
        <w:pStyle w:val="Para 11"/>
      </w:pPr>
      <w:r>
        <w:t>search: [example</w:t>
        <w:t>.</w:t>
        <w:t>com, sales</w:t>
        <w:t>.</w:t>
        <w:t>example</w:t>
        <w:t>.</w:t>
        <w:t>com, dev</w:t>
        <w:t>.</w:t>
        <w:t>example</w:t>
        <w:t>.</w:t>
        <w:t>com]</w:t>
        <w:t xml:space="preserve"> </w:t>
        <w:t>addresses: [</w:t>
        <w:t>1.1.1.1</w:t>
        <w:t>,</w:t>
        <w:t xml:space="preserve"> </w:t>
        <w:t>8.8.8.8</w:t>
        <w:t>,</w:t>
        <w:t xml:space="preserve"> </w:t>
        <w:t>4.4.4.4</w:t>
        <w:t>]</w:t>
      </w:r>
    </w:p>
    <w:p>
      <w:pPr>
        <w:pStyle w:val="Para 17"/>
      </w:pPr>
      <w:r>
        <w:t/>
      </w:r>
    </w:p>
    <w:p>
      <w:pPr>
        <w:pStyle w:val="Normal"/>
      </w:pPr>
      <w:r>
        <w:t>If you try to ping a host with the name server1, your system will automatically query DNS for</w:t>
      </w:r>
    </w:p>
    <w:p>
      <w:pPr>
        <w:pStyle w:val="Para 20"/>
      </w:pPr>
      <w:r>
        <w:rPr>
          <w:rStyle w:val="Text4"/>
        </w:rPr>
        <w:t xml:space="preserve">its </w:t>
      </w:r>
      <w:hyperlink w:anchor="page_683">
        <w:r>
          <w:t>Fully Qualified Domain Name (FQDN)</w:t>
        </w:r>
      </w:hyperlink>
      <w:r>
        <w:rPr>
          <w:rStyle w:val="Text4"/>
        </w:rPr>
        <w:t xml:space="preserve"> in the following order:</w:t>
      </w:r>
    </w:p>
    <w:p>
      <w:pPr>
        <w:pStyle w:val="Para 03"/>
      </w:pPr>
      <w:r>
        <w:t>1. server1.example.com</w:t>
      </w:r>
    </w:p>
    <w:p>
      <w:pPr>
        <w:pStyle w:val="Para 03"/>
      </w:pPr>
      <w:r>
        <w:t>2. server1.sales.example.com</w:t>
      </w:r>
    </w:p>
    <w:p>
      <w:bookmarkStart w:id="1282" w:name="page_8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1" name="index-816_1.png" descr="index-816_1.png"/>
            <wp:cNvGraphicFramePr>
              <a:graphicFrameLocks noChangeAspect="1"/>
            </wp:cNvGraphicFramePr>
            <a:graphic>
              <a:graphicData uri="http://schemas.openxmlformats.org/drawingml/2006/picture">
                <pic:pic>
                  <pic:nvPicPr>
                    <pic:cNvPr id="0" name="index-816_1.png" descr="index-816_1.png"/>
                    <pic:cNvPicPr/>
                  </pic:nvPicPr>
                  <pic:blipFill>
                    <a:blip r:embed="rId855"/>
                    <a:stretch>
                      <a:fillRect/>
                    </a:stretch>
                  </pic:blipFill>
                  <pic:spPr>
                    <a:xfrm>
                      <a:off x="0" y="0"/>
                      <a:ext cx="914400" cy="266700"/>
                    </a:xfrm>
                    <a:prstGeom prst="rect">
                      <a:avLst/>
                    </a:prstGeom>
                  </pic:spPr>
                </pic:pic>
              </a:graphicData>
            </a:graphic>
          </wp:anchor>
        </w:drawing>
      </w:r>
      <w:bookmarkEnd w:id="1282"/>
    </w:p>
    <w:p>
      <w:pPr>
        <w:pStyle w:val="Para 03"/>
      </w:pPr>
      <w:r>
        <w:t>3. server1.dev.example.com</w:t>
      </w:r>
    </w:p>
    <w:p>
      <w:pPr>
        <w:pStyle w:val="Normal"/>
      </w:pPr>
      <w:r>
        <w:t xml:space="preserve">If no matches are found, the DNS server will provide a result of </w:t>
      </w:r>
      <w:r>
        <w:rPr>
          <w:rStyle w:val="Text3"/>
        </w:rPr>
        <w:t>notfound</w:t>
      </w:r>
      <w:r>
        <w:t xml:space="preserve"> and the DNS query will fail.</w:t>
      </w:r>
    </w:p>
    <w:p>
      <w:pPr>
        <w:pStyle w:val="Para 17"/>
      </w:pPr>
      <w:r>
        <w:t/>
      </w:r>
    </w:p>
    <w:p>
      <w:pPr>
        <w:pStyle w:val="Para 01"/>
      </w:pPr>
      <w:r>
        <w:t>Static hostnames</w:t>
      </w:r>
    </w:p>
    <w:p>
      <w:pPr>
        <w:pStyle w:val="Para 17"/>
      </w:pPr>
      <w:r>
        <w:t/>
      </w:r>
    </w:p>
    <w:p>
      <w:pPr>
        <w:pStyle w:val="Normal"/>
      </w:pPr>
      <w:r>
        <w:t>Static hostnames are locally defined hostname-to-IP mappings located in the file /etc/hosts. Entries in the hosts file will have precedence over DNS by default. This means that if your system tries to resolve a hostname and it matches an entry in /etc/hosts, it will not attempt to look up the record in DNS. In some configurations, especially when Internet access is not required, servers that communicate with a limited number of resources can be conveniently set to use static hostnames instead of DNS.</w:t>
      </w:r>
    </w:p>
    <w:p>
      <w:pPr>
        <w:pStyle w:val="Normal"/>
      </w:pPr>
      <w:r>
        <w:t>The following is an example of a hosts file where a number of local servers have been identified by simple hostnames, aliases and their equivalent Fully Qualified Domain Names (FQDN’s):</w:t>
      </w:r>
    </w:p>
    <w:p>
      <w:pPr>
        <w:pStyle w:val="Normal"/>
      </w:pPr>
      <w:r>
        <w:t>127.0.0.1</w:t>
        <w:t xml:space="preserve"> </w:t>
        <w:t>localhost</w:t>
      </w:r>
    </w:p>
    <w:p>
      <w:pPr>
        <w:pStyle w:val="Normal"/>
      </w:pPr>
      <w:r>
        <w:t>127.0.1.1</w:t>
        <w:t xml:space="preserve"> </w:t>
        <w:t>ubuntu</w:t>
        <w:t>-</w:t>
        <w:t>server</w:t>
      </w:r>
    </w:p>
    <w:p>
      <w:pPr>
        <w:pStyle w:val="Normal"/>
      </w:pPr>
      <w:r>
        <w:t>10.0.0.11</w:t>
        <w:t xml:space="preserve"> </w:t>
        <w:t>server1 server1</w:t>
        <w:t>.</w:t>
        <w:t>example</w:t>
        <w:t>.</w:t>
        <w:t>com vpn</w:t>
        <w:t xml:space="preserve"> </w:t>
        <w:t>10.0.0.12</w:t>
        <w:t xml:space="preserve"> </w:t>
        <w:t>server2 server2</w:t>
        <w:t>.</w:t>
        <w:t>example</w:t>
        <w:t>.</w:t>
        <w:t>com mail</w:t>
        <w:t xml:space="preserve"> </w:t>
        <w:t>10.0.0.13</w:t>
        <w:t xml:space="preserve"> </w:t>
        <w:t>server3 server3</w:t>
        <w:t>.</w:t>
        <w:t>example</w:t>
        <w:t>.</w:t>
        <w:t>com www</w:t>
        <w:t xml:space="preserve"> </w:t>
        <w:t>10.0.0.14</w:t>
        <w:t xml:space="preserve"> </w:t>
        <w:t>server4 server4</w:t>
        <w:t>.</w:t>
        <w:t>example</w:t>
        <w:t>.</w:t>
        <w:t>com file</w:t>
      </w:r>
    </w:p>
    <w:p>
      <w:pPr>
        <w:pStyle w:val="Para 17"/>
      </w:pPr>
      <w:r>
        <w:t/>
      </w:r>
    </w:p>
    <w:p>
      <w:pPr>
        <w:pStyle w:val="Para 08"/>
      </w:pPr>
      <w:r>
        <w:t>Note:</w:t>
      </w:r>
    </w:p>
    <w:p>
      <w:pPr>
        <w:pStyle w:val="Para 03"/>
      </w:pPr>
      <w:r>
        <w:t>In this example, notice that each of the servers were given aliases in addition to their</w:t>
      </w:r>
    </w:p>
    <w:p>
      <w:pPr>
        <w:pStyle w:val="Para 03"/>
      </w:pPr>
      <w:r>
        <w:t xml:space="preserve">proper names and FQDN’s. </w:t>
      </w:r>
      <w:r>
        <w:rPr>
          <w:rStyle w:val="Text3"/>
        </w:rPr>
        <w:t>Server1</w:t>
      </w:r>
      <w:r>
        <w:t xml:space="preserve"> has been mapped to the name </w:t>
      </w:r>
      <w:r>
        <w:rPr>
          <w:rStyle w:val="Text3"/>
        </w:rPr>
        <w:t>vpn</w:t>
      </w:r>
      <w:r>
        <w:t xml:space="preserve">, </w:t>
      </w:r>
      <w:r>
        <w:rPr>
          <w:rStyle w:val="Text3"/>
        </w:rPr>
        <w:t>server2</w:t>
      </w:r>
      <w:r>
        <w:t xml:space="preserve"> is referred</w:t>
      </w:r>
    </w:p>
    <w:p>
      <w:pPr>
        <w:pStyle w:val="Para 35"/>
      </w:pPr>
      <w:r>
        <w:rPr>
          <w:rStyle w:val="Text3"/>
        </w:rPr>
        <w:t xml:space="preserve">to as </w:t>
      </w:r>
      <w:r>
        <w:t>mail</w:t>
      </w:r>
      <w:r>
        <w:rPr>
          <w:rStyle w:val="Text3"/>
        </w:rPr>
        <w:t xml:space="preserve">, </w:t>
      </w:r>
      <w:r>
        <w:t>server3</w:t>
      </w:r>
      <w:r>
        <w:rPr>
          <w:rStyle w:val="Text3"/>
        </w:rPr>
        <w:t xml:space="preserve"> as </w:t>
      </w:r>
      <w:r>
        <w:t>www</w:t>
      </w:r>
      <w:r>
        <w:rPr>
          <w:rStyle w:val="Text3"/>
        </w:rPr>
        <w:t xml:space="preserve">, and </w:t>
      </w:r>
      <w:r>
        <w:t>server4</w:t>
      </w:r>
      <w:r>
        <w:rPr>
          <w:rStyle w:val="Text3"/>
        </w:rPr>
        <w:t xml:space="preserve"> as </w:t>
      </w:r>
      <w:r>
        <w:t>file</w:t>
      </w:r>
      <w:r>
        <w:rPr>
          <w:rStyle w:val="Text3"/>
        </w:rPr>
        <w:t>.</w:t>
      </w:r>
    </w:p>
    <w:p>
      <w:pPr>
        <w:pStyle w:val="Para 17"/>
      </w:pPr>
      <w:r>
        <w:t/>
      </w:r>
    </w:p>
    <w:p>
      <w:pPr>
        <w:pStyle w:val="Para 01"/>
      </w:pPr>
      <w:r>
        <w:t>Name Service Switch (NSS) configuration</w:t>
      </w:r>
    </w:p>
    <w:p>
      <w:pPr>
        <w:pStyle w:val="Para 17"/>
      </w:pPr>
      <w:r>
        <w:t/>
      </w:r>
    </w:p>
    <w:p>
      <w:pPr>
        <w:pStyle w:val="Normal"/>
      </w:pPr>
      <w:r>
        <w:t>The order in which your system selects a method of resolving hostnames to IP addresses is controlled by the Name Service Switch (NSS) configuration file /etc/nsswitch.conf. As mentioned in the previous section, typically static hostnames defined in the systems /etc/ hosts file have precedence over names resolved from DNS. The following is an example of the line responsible for this order of hostname lookups in the file /etc/nsswitch.conf.</w:t>
      </w:r>
    </w:p>
    <w:p>
      <w:pPr>
        <w:pStyle w:val="Normal"/>
      </w:pPr>
      <w:r>
        <w:t>hosts:</w:t>
        <w:t xml:space="preserve"> </w:t>
        <w:t>files mdns4_minimal [NOTFOUND</w:t>
        <w:t>=</w:t>
      </w:r>
      <w:r>
        <w:rPr>
          <w:rStyle w:val="Text0"/>
        </w:rPr>
        <w:t>return</w:t>
      </w:r>
      <w:r>
        <w:t>] dns mdns4</w:t>
      </w:r>
    </w:p>
    <w:p>
      <w:pPr>
        <w:pStyle w:val="Para 17"/>
      </w:pPr>
      <w:r>
        <w:t/>
      </w:r>
    </w:p>
    <w:p>
      <w:pPr>
        <w:pStyle w:val="Para 04"/>
      </w:pPr>
      <w:r>
        <w:t xml:space="preserve">• </w:t>
      </w:r>
      <w:r>
        <w:rPr>
          <w:rStyle w:val="Text0"/>
        </w:rPr>
        <w:t>files</w:t>
      </w:r>
      <w:r>
        <w:t xml:space="preserve"> first tries to resolve static hostnames located in /etc/hosts.</w:t>
      </w:r>
    </w:p>
    <w:p>
      <w:pPr>
        <w:pStyle w:val="Para 04"/>
      </w:pPr>
      <w:r>
        <w:t xml:space="preserve">• </w:t>
      </w:r>
      <w:r>
        <w:rPr>
          <w:rStyle w:val="Text0"/>
        </w:rPr>
        <w:t>mdns4_minimal</w:t>
      </w:r>
      <w:r>
        <w:t xml:space="preserve"> attempts to resolve the name using Multicast DNS.</w:t>
      </w:r>
    </w:p>
    <w:p>
      <w:pPr>
        <w:pStyle w:val="Para 04"/>
      </w:pPr>
      <w:r>
        <w:t xml:space="preserve">• </w:t>
      </w:r>
      <w:r>
        <w:rPr>
          <w:rStyle w:val="Text0"/>
        </w:rPr>
        <w:t>[NOTFOUND=return]</w:t>
      </w:r>
      <w:r>
        <w:t xml:space="preserve"> means that any response of notfound by the preceding mdns4_</w:t>
      </w:r>
    </w:p>
    <w:p>
      <w:pPr>
        <w:pStyle w:val="Para 02"/>
      </w:pPr>
      <w:r>
        <w:t>minimal process should be treated as authoritative and that the system should not try to continue hunting for an answer.</w:t>
      </w:r>
    </w:p>
    <w:p>
      <w:pPr>
        <w:pStyle w:val="Para 04"/>
      </w:pPr>
      <w:r>
        <w:t xml:space="preserve">• </w:t>
      </w:r>
      <w:r>
        <w:rPr>
          <w:rStyle w:val="Text0"/>
        </w:rPr>
        <w:t>dns</w:t>
      </w:r>
      <w:r>
        <w:t xml:space="preserve"> represents a legacy unicast DNS query.</w:t>
      </w:r>
    </w:p>
    <w:p>
      <w:pPr>
        <w:pStyle w:val="Para 04"/>
      </w:pPr>
      <w:r>
        <w:t xml:space="preserve">• </w:t>
      </w:r>
      <w:r>
        <w:rPr>
          <w:rStyle w:val="Text0"/>
        </w:rPr>
        <w:t>mdns4</w:t>
      </w:r>
      <w:r>
        <w:t xml:space="preserve"> represents a multicast DNS query.</w:t>
      </w:r>
    </w:p>
    <w:p>
      <w:bookmarkStart w:id="1283" w:name="page_8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2" name="index-817_1.png" descr="index-817_1.png"/>
            <wp:cNvGraphicFramePr>
              <a:graphicFrameLocks noChangeAspect="1"/>
            </wp:cNvGraphicFramePr>
            <a:graphic>
              <a:graphicData uri="http://schemas.openxmlformats.org/drawingml/2006/picture">
                <pic:pic>
                  <pic:nvPicPr>
                    <pic:cNvPr id="0" name="index-817_1.png" descr="index-817_1.png"/>
                    <pic:cNvPicPr/>
                  </pic:nvPicPr>
                  <pic:blipFill>
                    <a:blip r:embed="rId856"/>
                    <a:stretch>
                      <a:fillRect/>
                    </a:stretch>
                  </pic:blipFill>
                  <pic:spPr>
                    <a:xfrm>
                      <a:off x="0" y="0"/>
                      <a:ext cx="914400" cy="266700"/>
                    </a:xfrm>
                    <a:prstGeom prst="rect">
                      <a:avLst/>
                    </a:prstGeom>
                  </pic:spPr>
                </pic:pic>
              </a:graphicData>
            </a:graphic>
          </wp:anchor>
        </w:drawing>
      </w:r>
      <w:bookmarkEnd w:id="1283"/>
    </w:p>
    <w:p>
      <w:pPr>
        <w:pStyle w:val="Normal"/>
      </w:pPr>
      <w:r>
        <w:t>To modify the order of these name resolution methods, you can simply change the hosts: string to the value of your choosing. For example, if you prefer to use legacy unicast DNS versus multicast DNS, you can change the string in /etc/nsswitch.conf as shown below:</w:t>
      </w:r>
    </w:p>
    <w:p>
      <w:pPr>
        <w:pStyle w:val="Normal"/>
      </w:pPr>
      <w:r>
        <w:t>hosts:</w:t>
        <w:t xml:space="preserve"> </w:t>
        <w:t>files dns [NOTFOUND</w:t>
        <w:t>=</w:t>
      </w:r>
      <w:r>
        <w:rPr>
          <w:rStyle w:val="Text0"/>
        </w:rPr>
        <w:t>return</w:t>
      </w:r>
      <w:r>
        <w:t>] mdns4_minimal mdns4</w:t>
      </w:r>
    </w:p>
    <w:p>
      <w:pPr>
        <w:pStyle w:val="Para 17"/>
      </w:pPr>
      <w:r>
        <w:t/>
      </w:r>
    </w:p>
    <w:p>
      <w:pPr>
        <w:pStyle w:val="Para 01"/>
      </w:pPr>
      <w:r>
        <w:t>Bridging multiple interfaces</w:t>
      </w:r>
    </w:p>
    <w:p>
      <w:pPr>
        <w:pStyle w:val="Para 17"/>
      </w:pPr>
      <w:r>
        <w:t/>
      </w:r>
    </w:p>
    <w:p>
      <w:pPr>
        <w:pStyle w:val="Normal"/>
      </w:pPr>
      <w:r>
        <w:t>Bridging is a more advanced configuration, but is very useful in multiple scenarios. One sce-nario is setting up a bridge with multiple network interfaces, then using a firewall to filter traffic between two network segments. Another scenario is using bridge on a system with one interface to allow virtual machines direct access to the outside network. The following example covers the latter scenario:</w:t>
      </w:r>
    </w:p>
    <w:p>
      <w:pPr>
        <w:pStyle w:val="Normal"/>
      </w:pPr>
      <w:r>
        <w:t>Configure the bridge by editing your netplan configuration found in /etc/netplan/, entering the appropriate values for your physical interface and network:</w:t>
      </w:r>
    </w:p>
    <w:p>
      <w:pPr>
        <w:pStyle w:val="Normal"/>
      </w:pPr>
      <w:r>
        <w:t>network:</w:t>
      </w:r>
    </w:p>
    <w:p>
      <w:pPr>
        <w:pStyle w:val="Para 03"/>
      </w:pPr>
      <w:r>
        <w:t>version:</w:t>
        <w:t xml:space="preserve"> </w:t>
        <w:t>2</w:t>
      </w:r>
    </w:p>
    <w:p>
      <w:pPr>
        <w:pStyle w:val="Para 03"/>
      </w:pPr>
      <w:r>
        <w:t>renderer: networkd</w:t>
      </w:r>
    </w:p>
    <w:p>
      <w:pPr>
        <w:pStyle w:val="Para 03"/>
      </w:pPr>
      <w:r>
        <w:t>ethernets:</w:t>
      </w:r>
    </w:p>
    <w:p>
      <w:pPr>
        <w:pStyle w:val="Para 02"/>
      </w:pPr>
      <w:r>
        <w:t>enp3s0:</w:t>
      </w:r>
    </w:p>
    <w:p>
      <w:pPr>
        <w:pStyle w:val="Para 06"/>
      </w:pPr>
      <w:r>
        <w:t>dhcp4: no</w:t>
      </w:r>
    </w:p>
    <w:p>
      <w:pPr>
        <w:pStyle w:val="Para 03"/>
      </w:pPr>
      <w:r>
        <w:t>bridges:</w:t>
      </w:r>
    </w:p>
    <w:p>
      <w:pPr>
        <w:pStyle w:val="Para 02"/>
      </w:pPr>
      <w:r>
        <w:t>br0:</w:t>
      </w:r>
    </w:p>
    <w:p>
      <w:pPr>
        <w:pStyle w:val="Para 06"/>
      </w:pPr>
      <w:r>
        <w:t>dhcp4: yes</w:t>
      </w:r>
    </w:p>
    <w:p>
      <w:pPr>
        <w:pStyle w:val="Para 06"/>
      </w:pPr>
      <w:r>
        <w:t>interfaces:</w:t>
      </w:r>
    </w:p>
    <w:p>
      <w:pPr>
        <w:pStyle w:val="Para 06"/>
      </w:pPr>
      <w:r>
        <w:t>-</w:t>
        <w:t>enp3s0</w:t>
      </w:r>
    </w:p>
    <w:p>
      <w:pPr>
        <w:pStyle w:val="Para 17"/>
      </w:pPr>
      <w:r>
        <w:t/>
      </w:r>
    </w:p>
    <w:p>
      <w:pPr>
        <w:pStyle w:val="Normal"/>
      </w:pPr>
      <w:r>
        <w:t>Now apply the configuration to enable the bridge:</w:t>
      </w:r>
    </w:p>
    <w:p>
      <w:pPr>
        <w:pStyle w:val="Normal"/>
      </w:pPr>
      <w:r>
        <w:t>sudo netplan apply</w:t>
      </w:r>
    </w:p>
    <w:p>
      <w:pPr>
        <w:pStyle w:val="Para 17"/>
      </w:pPr>
      <w:r>
        <w:t/>
      </w:r>
    </w:p>
    <w:p>
      <w:pPr>
        <w:pStyle w:val="Normal"/>
      </w:pPr>
      <w:r>
        <w:t>The new bridge interface should now be up and running. The brctl provides useful informa-tion about the state of the bridge, controls which interfaces are part of the bridge, etc. See man brctl for more information.</w:t>
      </w:r>
    </w:p>
    <w:p>
      <w:pPr>
        <w:pStyle w:val="Para 17"/>
      </w:pPr>
      <w:r>
        <w:t/>
      </w:r>
    </w:p>
    <w:p>
      <w:pPr>
        <w:pStyle w:val="Para 01"/>
      </w:pPr>
      <w:r>
        <w:t>networkd-dispatcher for hook scripts</w:t>
      </w:r>
    </w:p>
    <w:p>
      <w:pPr>
        <w:pStyle w:val="Para 17"/>
      </w:pPr>
      <w:r>
        <w:t/>
      </w:r>
    </w:p>
    <w:p>
      <w:pPr>
        <w:pStyle w:val="Normal"/>
      </w:pPr>
      <w:r>
        <w:t>Users of the former ifupdown may be familiar with using hook scripts (e.g., pre-up, post-up) in</w:t>
      </w:r>
    </w:p>
    <w:p>
      <w:pPr>
        <w:pStyle w:val="Normal"/>
      </w:pPr>
      <w:r>
        <w:t xml:space="preserve">their interfaces file. </w:t>
      </w:r>
      <w:hyperlink w:anchor="page_817">
        <w:r>
          <w:rPr>
            <w:rStyle w:val="Text9"/>
          </w:rPr>
          <w:t>830</w:t>
        </w:r>
      </w:hyperlink>
      <w:r>
        <w:t xml:space="preserve"> </w:t>
      </w:r>
      <w:hyperlink r:id="rId1695">
        <w:r>
          <w:rPr>
            <w:rStyle w:val="Text1"/>
          </w:rPr>
          <w:t>Netplan configuration</w:t>
        </w:r>
      </w:hyperlink>
      <w:r>
        <w:t xml:space="preserve"> does not currently support hook scripts in its configuration definition.</w:t>
      </w:r>
    </w:p>
    <w:p>
      <w:pPr>
        <w:pStyle w:val="Normal"/>
      </w:pPr>
      <w:r>
        <w:t xml:space="preserve">Instead, to achieve this functionality with the networkd renderer, users can use </w:t>
      </w:r>
      <w:hyperlink r:id="rId1704">
        <w:r>
          <w:rPr>
            <w:rStyle w:val="Text2"/>
          </w:rPr>
          <w:t>networkd-</w:t>
        </w:r>
      </w:hyperlink>
    </w:p>
    <w:p>
      <w:pPr>
        <w:pStyle w:val="Normal"/>
      </w:pPr>
      <w:hyperlink r:id="rId1704">
        <w:r>
          <w:rPr>
            <w:rStyle w:val="Text2"/>
          </w:rPr>
          <w:t>dispatcher(8)</w:t>
        </w:r>
      </w:hyperlink>
      <w:hyperlink w:anchor="page_817">
        <w:r>
          <w:rPr>
            <w:rStyle w:val="Text9"/>
          </w:rPr>
          <w:t>831</w:t>
        </w:r>
      </w:hyperlink>
      <w:r>
        <w:t xml:space="preserve"> . The package provides both users and packages with hook points when specific network states are reached, to aid in reacting to network state.</w:t>
      </w:r>
    </w:p>
    <w:p>
      <w:pPr>
        <w:pStyle w:val="Para 05"/>
      </w:pPr>
      <w:r>
        <w:rPr>
          <w:rStyle w:val="Text5"/>
        </w:rPr>
        <w:t>830</w:t>
      </w:r>
      <w:r>
        <w:rPr>
          <w:rStyle w:val="Text8"/>
        </w:rPr>
        <w:t xml:space="preserve"> </w:t>
      </w:r>
      <w:r>
        <w:t>https://netplan.readthedocs.io/en/stable/netplan-yaml/</w:t>
      </w:r>
    </w:p>
    <w:p>
      <w:pPr>
        <w:pStyle w:val="Para 05"/>
      </w:pPr>
      <w:r>
        <w:rPr>
          <w:rStyle w:val="Text5"/>
        </w:rPr>
        <w:t>831</w:t>
      </w:r>
      <w:r>
        <w:rPr>
          <w:rStyle w:val="Text8"/>
        </w:rPr>
        <w:t xml:space="preserve"> </w:t>
      </w:r>
      <w:r>
        <w:t>https://manpages.ubuntu.com/manpages/resolute/man8/networkd-dispatcher.8.html</w:t>
      </w:r>
    </w:p>
    <w:p>
      <w:bookmarkStart w:id="1284" w:name="page_8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3" name="index-818_1.png" descr="index-818_1.png"/>
            <wp:cNvGraphicFramePr>
              <a:graphicFrameLocks noChangeAspect="1"/>
            </wp:cNvGraphicFramePr>
            <a:graphic>
              <a:graphicData uri="http://schemas.openxmlformats.org/drawingml/2006/picture">
                <pic:pic>
                  <pic:nvPicPr>
                    <pic:cNvPr id="0" name="index-818_1.png" descr="index-818_1.png"/>
                    <pic:cNvPicPr/>
                  </pic:nvPicPr>
                  <pic:blipFill>
                    <a:blip r:embed="rId857"/>
                    <a:stretch>
                      <a:fillRect/>
                    </a:stretch>
                  </pic:blipFill>
                  <pic:spPr>
                    <a:xfrm>
                      <a:off x="0" y="0"/>
                      <a:ext cx="914400" cy="266700"/>
                    </a:xfrm>
                    <a:prstGeom prst="rect">
                      <a:avLst/>
                    </a:prstGeom>
                  </pic:spPr>
                </pic:pic>
              </a:graphicData>
            </a:graphic>
          </wp:anchor>
        </w:drawing>
      </w:r>
      <w:bookmarkEnd w:id="1284"/>
    </w:p>
    <w:p>
      <w:pPr>
        <w:pStyle w:val="Para 08"/>
      </w:pPr>
      <w:r>
        <w:t>Note:</w:t>
      </w:r>
    </w:p>
    <w:p>
      <w:pPr>
        <w:pStyle w:val="Para 03"/>
      </w:pPr>
      <w:r>
        <w:t>If you are on Desktop (not Ubuntu Server) the network is driven by Network Manager - in</w:t>
      </w:r>
    </w:p>
    <w:p>
      <w:pPr>
        <w:pStyle w:val="Para 03"/>
      </w:pPr>
      <w:r>
        <w:t xml:space="preserve">that case you need </w:t>
      </w:r>
      <w:hyperlink r:id="rId1705">
        <w:r>
          <w:rPr>
            <w:rStyle w:val="Text9"/>
          </w:rPr>
          <w:t>832</w:t>
        </w:r>
      </w:hyperlink>
      <w:hyperlink r:id="rId1705">
        <w:r>
          <w:rPr>
            <w:rStyle w:val="Text1"/>
          </w:rPr>
          <w:t xml:space="preserve"> NM Dispatcher scripts</w:t>
        </w:r>
      </w:hyperlink>
      <w:r>
        <w:t xml:space="preserve"> instead.</w:t>
      </w:r>
    </w:p>
    <w:p>
      <w:pPr>
        <w:pStyle w:val="Para 05"/>
      </w:pPr>
      <w:r>
        <w:rPr>
          <w:rStyle w:val="Text5"/>
        </w:rPr>
        <w:t>832</w:t>
      </w:r>
      <w:r>
        <w:rPr>
          <w:rStyle w:val="Text8"/>
        </w:rPr>
        <w:t xml:space="preserve"> </w:t>
      </w:r>
      <w:r>
        <w:t>https://networkmanager.dev/docs/api/latest/</w:t>
      </w:r>
    </w:p>
    <w:p>
      <w:pPr>
        <w:pStyle w:val="Para 17"/>
      </w:pPr>
      <w:r>
        <w:t/>
      </w:r>
    </w:p>
    <w:p>
      <w:pPr>
        <w:pStyle w:val="Normal"/>
      </w:pPr>
      <w:r>
        <w:t xml:space="preserve">The </w:t>
      </w:r>
      <w:hyperlink r:id="rId1706">
        <w:r>
          <w:rPr>
            <w:rStyle w:val="Text9"/>
          </w:rPr>
          <w:t>833</w:t>
        </w:r>
      </w:hyperlink>
      <w:hyperlink r:id="rId1706">
        <w:r>
          <w:rPr>
            <w:rStyle w:val="Text1"/>
          </w:rPr>
          <w:t xml:space="preserve"> Netplan FAQ has a great table</w:t>
        </w:r>
      </w:hyperlink>
      <w:r>
        <w:t xml:space="preserve"> that compares event timings between ifup-down/systemd-networkd/network-manager.</w:t>
      </w:r>
    </w:p>
    <w:p>
      <w:pPr>
        <w:pStyle w:val="Normal"/>
      </w:pPr>
      <w:r>
        <w:t>It is important to be aware that these hooks run asynchronously; i.e. they will not block tran-sition into another state.</w:t>
      </w:r>
    </w:p>
    <w:p>
      <w:pPr>
        <w:pStyle w:val="Normal"/>
      </w:pPr>
      <w:r>
        <w:t xml:space="preserve">The </w:t>
      </w:r>
      <w:hyperlink r:id="rId1706">
        <w:r>
          <w:rPr>
            <w:rStyle w:val="Text9"/>
          </w:rPr>
          <w:t>834</w:t>
        </w:r>
      </w:hyperlink>
      <w:hyperlink r:id="rId1706">
        <w:r>
          <w:rPr>
            <w:rStyle w:val="Text1"/>
          </w:rPr>
          <w:t xml:space="preserve"> Netplan FAQ also has an example</w:t>
        </w:r>
      </w:hyperlink>
      <w:r>
        <w:t xml:space="preserve"> on converting an old ifupdown hook to networkd-dispatcher.</w:t>
      </w:r>
    </w:p>
    <w:p>
      <w:pPr>
        <w:pStyle w:val="Para 17"/>
      </w:pPr>
      <w:r>
        <w:t/>
      </w:r>
    </w:p>
    <w:p>
      <w:pPr>
        <w:pStyle w:val="Para 01"/>
      </w:pPr>
      <w:r>
        <w:t>Resources</w:t>
      </w:r>
    </w:p>
    <w:p>
      <w:pPr>
        <w:pStyle w:val="Para 17"/>
      </w:pPr>
      <w:r>
        <w:t/>
      </w:r>
    </w:p>
    <w:p>
      <w:pPr>
        <w:pStyle w:val="Para 04"/>
      </w:pPr>
      <w:r>
        <w:t xml:space="preserve">• The </w:t>
      </w:r>
      <w:hyperlink w:anchor="page_818">
        <w:r>
          <w:rPr>
            <w:rStyle w:val="Text9"/>
          </w:rPr>
          <w:t>835</w:t>
        </w:r>
      </w:hyperlink>
      <w:r>
        <w:t xml:space="preserve"> </w:t>
      </w:r>
      <w:hyperlink r:id="rId1707">
        <w:r>
          <w:rPr>
            <w:rStyle w:val="Text1"/>
          </w:rPr>
          <w:t>Ubuntu Wiki Network page</w:t>
        </w:r>
      </w:hyperlink>
      <w:r>
        <w:t xml:space="preserve"> has links to articles covering more advanced network</w:t>
      </w:r>
    </w:p>
    <w:p>
      <w:pPr>
        <w:pStyle w:val="Para 02"/>
      </w:pPr>
      <w:r>
        <w:t>configuration.</w:t>
      </w:r>
    </w:p>
    <w:p>
      <w:pPr>
        <w:pStyle w:val="Para 04"/>
      </w:pPr>
      <w:r>
        <w:t xml:space="preserve">• The </w:t>
      </w:r>
      <w:hyperlink w:anchor="page_818">
        <w:r>
          <w:rPr>
            <w:rStyle w:val="Text9"/>
          </w:rPr>
          <w:t>836</w:t>
        </w:r>
      </w:hyperlink>
      <w:hyperlink w:anchor="page_818">
        <w:r>
          <w:rPr>
            <w:rStyle w:val="Text1"/>
          </w:rPr>
          <w:t xml:space="preserve"> </w:t>
        </w:r>
      </w:hyperlink>
      <w:hyperlink w:anchor="page_818">
        <w:r>
          <w:rPr>
            <w:rStyle w:val="Text9"/>
          </w:rPr>
          <w:t>837</w:t>
        </w:r>
      </w:hyperlink>
      <w:r>
        <w:t xml:space="preserve"> </w:t>
      </w:r>
      <w:hyperlink r:id="rId1708">
        <w:r>
          <w:rPr>
            <w:rStyle w:val="Text1"/>
          </w:rPr>
          <w:t>Netplan website</w:t>
        </w:r>
      </w:hyperlink>
      <w:r>
        <w:t xml:space="preserve"> has additional </w:t>
      </w:r>
      <w:hyperlink r:id="rId1709">
        <w:r>
          <w:rPr>
            <w:rStyle w:val="Text1"/>
          </w:rPr>
          <w:t>examples</w:t>
        </w:r>
      </w:hyperlink>
      <w:r>
        <w:t xml:space="preserve"> and documentation.</w:t>
      </w:r>
    </w:p>
    <w:p>
      <w:pPr>
        <w:pStyle w:val="Para 04"/>
      </w:pPr>
      <w:r>
        <w:t xml:space="preserve">• The Netplan </w:t>
      </w:r>
      <w:hyperlink r:id="rId1701">
        <w:r>
          <w:rPr>
            <w:rStyle w:val="Text9"/>
          </w:rPr>
          <w:t>838</w:t>
        </w:r>
      </w:hyperlink>
      <w:hyperlink r:id="rId1701">
        <w:r>
          <w:rPr>
            <w:rStyle w:val="Text1"/>
          </w:rPr>
          <w:t xml:space="preserve"> </w:t>
        </w:r>
      </w:hyperlink>
      <w:hyperlink r:id="rId1701">
        <w:r>
          <w:rPr>
            <w:rStyle w:val="Text2"/>
          </w:rPr>
          <w:t>manual page</w:t>
        </w:r>
      </w:hyperlink>
      <w:r>
        <w:t xml:space="preserve"> has more information on Netplan.</w:t>
      </w:r>
    </w:p>
    <w:p>
      <w:pPr>
        <w:pStyle w:val="Para 04"/>
      </w:pPr>
      <w:r>
        <w:t xml:space="preserve">• The </w:t>
      </w:r>
      <w:hyperlink r:id="rId1710">
        <w:r>
          <w:rPr>
            <w:rStyle w:val="Text9"/>
          </w:rPr>
          <w:t>839</w:t>
        </w:r>
      </w:hyperlink>
      <w:hyperlink r:id="rId1710">
        <w:r>
          <w:rPr>
            <w:rStyle w:val="Text1"/>
          </w:rPr>
          <w:t xml:space="preserve"> </w:t>
        </w:r>
      </w:hyperlink>
      <w:hyperlink r:id="rId1710">
        <w:r>
          <w:rPr>
            <w:rStyle w:val="Text2"/>
          </w:rPr>
          <w:t>systemd-resolved(8)</w:t>
        </w:r>
      </w:hyperlink>
      <w:r>
        <w:t xml:space="preserve"> manual page has more information on systemd-resolved</w:t>
      </w:r>
    </w:p>
    <w:p>
      <w:pPr>
        <w:pStyle w:val="Para 02"/>
      </w:pPr>
      <w:r>
        <w:t>service.</w:t>
      </w:r>
    </w:p>
    <w:p>
      <w:pPr>
        <w:pStyle w:val="Para 04"/>
      </w:pPr>
      <w:r>
        <w:t xml:space="preserve">• For more information on </w:t>
      </w:r>
      <w:hyperlink r:id="rId1711">
        <w:r>
          <w:rPr>
            <w:rStyle w:val="Text9"/>
          </w:rPr>
          <w:t>840</w:t>
        </w:r>
      </w:hyperlink>
      <w:r>
        <w:t xml:space="preserve"> </w:t>
      </w:r>
      <w:r>
        <w:rPr>
          <w:rStyle w:val="Text3"/>
        </w:rPr>
        <w:t>bridging</w:t>
      </w:r>
      <w:r>
        <w:t xml:space="preserve"> see the </w:t>
      </w:r>
      <w:hyperlink r:id="rId1711">
        <w:r>
          <w:rPr>
            <w:rStyle w:val="Text1"/>
          </w:rPr>
          <w:t>netplan configuration reference</w:t>
        </w:r>
      </w:hyperlink>
    </w:p>
    <w:p>
      <w:pPr>
        <w:pStyle w:val="Para 17"/>
      </w:pPr>
      <w:r>
        <w:t/>
      </w:r>
    </w:p>
    <w:p>
      <w:pPr>
        <w:pStyle w:val="Para 01"/>
      </w:pPr>
      <w:r>
        <w:t>Network tools</w:t>
      </w:r>
    </w:p>
    <w:p>
      <w:pPr>
        <w:pStyle w:val="Para 17"/>
      </w:pPr>
      <w:r>
        <w:t/>
      </w:r>
    </w:p>
    <w:p>
      <w:pPr>
        <w:pStyle w:val="Normal"/>
      </w:pPr>
      <w:r>
        <w:t>In our how-to section, we show how to set up virtual switching using Open vSwitch (OVS) and the Data Plane Development Kit (DPDK) library. This page discusses DPDK in more detail.</w:t>
      </w:r>
    </w:p>
    <w:p>
      <w:pPr>
        <w:pStyle w:val="Para 04"/>
      </w:pPr>
      <w:r>
        <w:t xml:space="preserve">• </w:t>
      </w:r>
      <w:hyperlink w:anchor="page_819">
        <w:r>
          <w:rPr>
            <w:rStyle w:val="Text2"/>
          </w:rPr>
          <w:t>About DPDK</w:t>
        </w:r>
      </w:hyperlink>
      <w:r>
        <w:t xml:space="preserve"> (page 818) discusses DPDK in more detail</w:t>
      </w:r>
    </w:p>
    <w:p>
      <w:pPr>
        <w:pStyle w:val="Para 05"/>
      </w:pPr>
      <w:r>
        <w:rPr>
          <w:rStyle w:val="Text5"/>
        </w:rPr>
        <w:t>833</w:t>
      </w:r>
      <w:r>
        <w:rPr>
          <w:rStyle w:val="Text8"/>
        </w:rPr>
        <w:t xml:space="preserve"> </w:t>
      </w:r>
      <w:r>
        <w:t>https://netplan.io/faq/</w:t>
      </w:r>
    </w:p>
    <w:p>
      <w:pPr>
        <w:pStyle w:val="Para 05"/>
      </w:pPr>
      <w:r>
        <w:rPr>
          <w:rStyle w:val="Text5"/>
        </w:rPr>
        <w:t>834</w:t>
      </w:r>
      <w:r>
        <w:rPr>
          <w:rStyle w:val="Text8"/>
        </w:rPr>
        <w:t xml:space="preserve"> </w:t>
      </w:r>
      <w:r>
        <w:t>https://netplan.io/faq/</w:t>
      </w:r>
    </w:p>
    <w:p>
      <w:pPr>
        <w:pStyle w:val="Para 05"/>
      </w:pPr>
      <w:r>
        <w:rPr>
          <w:rStyle w:val="Text5"/>
        </w:rPr>
        <w:t>835</w:t>
      </w:r>
      <w:r>
        <w:rPr>
          <w:rStyle w:val="Text8"/>
        </w:rPr>
        <w:t xml:space="preserve"> </w:t>
      </w:r>
      <w:r>
        <w:t>https://help.ubuntu.com/community/Network</w:t>
      </w:r>
    </w:p>
    <w:p>
      <w:pPr>
        <w:pStyle w:val="Para 05"/>
      </w:pPr>
      <w:r>
        <w:rPr>
          <w:rStyle w:val="Text5"/>
        </w:rPr>
        <w:t>836</w:t>
      </w:r>
      <w:r>
        <w:rPr>
          <w:rStyle w:val="Text8"/>
        </w:rPr>
        <w:t xml:space="preserve"> </w:t>
      </w:r>
      <w:r>
        <w:t>https://netplan.io</w:t>
      </w:r>
    </w:p>
    <w:p>
      <w:pPr>
        <w:pStyle w:val="Para 05"/>
      </w:pPr>
      <w:r>
        <w:rPr>
          <w:rStyle w:val="Text5"/>
        </w:rPr>
        <w:t>837</w:t>
      </w:r>
      <w:r>
        <w:rPr>
          <w:rStyle w:val="Text8"/>
        </w:rPr>
        <w:t xml:space="preserve"> </w:t>
      </w:r>
      <w:r>
        <w:t>https://netplan.readthedocs.io/en/stable/examples/</w:t>
      </w:r>
    </w:p>
    <w:p>
      <w:pPr>
        <w:pStyle w:val="Para 05"/>
      </w:pPr>
      <w:r>
        <w:rPr>
          <w:rStyle w:val="Text5"/>
        </w:rPr>
        <w:t>838</w:t>
      </w:r>
      <w:r>
        <w:rPr>
          <w:rStyle w:val="Text8"/>
        </w:rPr>
        <w:t xml:space="preserve"> </w:t>
      </w:r>
      <w:r>
        <w:t>https://manpages.ubuntu.com/manpages/resolute/man5/netplan.5.html</w:t>
      </w:r>
    </w:p>
    <w:p>
      <w:pPr>
        <w:pStyle w:val="Para 05"/>
      </w:pPr>
      <w:r>
        <w:rPr>
          <w:rStyle w:val="Text5"/>
        </w:rPr>
        <w:t>839</w:t>
      </w:r>
      <w:r>
        <w:rPr>
          <w:rStyle w:val="Text8"/>
        </w:rPr>
        <w:t xml:space="preserve"> </w:t>
      </w:r>
      <w:r>
        <w:t>https://manpages.ubuntu.com/manpages/resolute/man8/systemd-resolved.8.html</w:t>
      </w:r>
    </w:p>
    <w:p>
      <w:pPr>
        <w:pStyle w:val="Para 05"/>
      </w:pPr>
      <w:r>
        <w:rPr>
          <w:rStyle w:val="Text5"/>
        </w:rPr>
        <w:t>840</w:t>
      </w:r>
      <w:r>
        <w:rPr>
          <w:rStyle w:val="Text8"/>
        </w:rPr>
        <w:t xml:space="preserve"> </w:t>
      </w:r>
      <w:r>
        <w:t>https://netplan.readthedocs.io/en/stable/netplan-yaml/#properties-for-device-type-bridges</w:t>
      </w:r>
    </w:p>
    <w:p>
      <w:bookmarkStart w:id="1285" w:name="calibre_pb_233"/>
      <w:pPr>
        <w:pStyle w:val="0 Block"/>
      </w:pPr>
      <w:bookmarkEnd w:id="1285"/>
    </w:p>
    <w:p>
      <w:bookmarkStart w:id="1286" w:name="page_819"/>
      <w:bookmarkStart w:id="1287" w:name="Top_of_index_split_23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4" name="index-819_1.png" descr="index-819_1.png"/>
            <wp:cNvGraphicFramePr>
              <a:graphicFrameLocks noChangeAspect="1"/>
            </wp:cNvGraphicFramePr>
            <a:graphic>
              <a:graphicData uri="http://schemas.openxmlformats.org/drawingml/2006/picture">
                <pic:pic>
                  <pic:nvPicPr>
                    <pic:cNvPr id="0" name="index-819_1.png" descr="index-819_1.png"/>
                    <pic:cNvPicPr/>
                  </pic:nvPicPr>
                  <pic:blipFill>
                    <a:blip r:embed="rId858"/>
                    <a:stretch>
                      <a:fillRect/>
                    </a:stretch>
                  </pic:blipFill>
                  <pic:spPr>
                    <a:xfrm>
                      <a:off x="0" y="0"/>
                      <a:ext cx="914400" cy="266700"/>
                    </a:xfrm>
                    <a:prstGeom prst="rect">
                      <a:avLst/>
                    </a:prstGeom>
                  </pic:spPr>
                </pic:pic>
              </a:graphicData>
            </a:graphic>
          </wp:anchor>
        </w:drawing>
      </w:r>
      <w:bookmarkEnd w:id="1286"/>
      <w:bookmarkEnd w:id="1287"/>
    </w:p>
    <w:p>
      <w:pPr>
        <w:pStyle w:val="Para 01"/>
      </w:pPr>
      <w:r>
        <w:t>About DPDK</w:t>
      </w:r>
    </w:p>
    <w:p>
      <w:pPr>
        <w:pStyle w:val="Para 17"/>
      </w:pPr>
      <w:r>
        <w:t/>
      </w:r>
    </w:p>
    <w:p>
      <w:pPr>
        <w:pStyle w:val="Normal"/>
      </w:pPr>
      <w:r>
        <w:t>The Data Plane Development Kit (DPDK) is a set of libraries and drivers for fast packet pro-cessing, which runs mostly in Linux user-land. This set of libraries provides the so-called “Envi-</w:t>
      </w:r>
    </w:p>
    <w:p>
      <w:pPr>
        <w:pStyle w:val="Normal"/>
      </w:pPr>
      <w:r>
        <w:t xml:space="preserve">ronment Abstraction Layer” </w:t>
      </w:r>
      <w:hyperlink w:anchor="page_681">
        <w:r>
          <w:rPr>
            <w:rStyle w:val="Text1"/>
          </w:rPr>
          <w:t>(</w:t>
        </w:r>
      </w:hyperlink>
      <w:hyperlink w:anchor="page_681">
        <w:r>
          <w:rPr>
            <w:rStyle w:val="Text2"/>
          </w:rPr>
          <w:t>EAL</w:t>
        </w:r>
      </w:hyperlink>
      <w:r>
        <w:t>). The EAL hides the details of the environment and provides a standard programming interface. Common use cases are around special solutions, such as network function virtualisation and advanced high-throughput network switching.</w:t>
      </w:r>
    </w:p>
    <w:p>
      <w:pPr>
        <w:pStyle w:val="Normal"/>
      </w:pPr>
      <w:r>
        <w:t>The DPDK uses a run-to-completion model for fast data plane performance and accesses de-vices via polling to eliminate the latency of interrupt processing, albeit with the tradeoff of higher CPU consumption. It was designed to run on any processor. The first supported CPU was Intel x86 and it is now extended to IBM PPC64 and ARM64.</w:t>
      </w:r>
    </w:p>
    <w:p>
      <w:pPr>
        <w:pStyle w:val="Normal"/>
      </w:pPr>
      <w:r>
        <w:t>Ubuntu provides some additional infrastructure to increase DPDK’s usability.</w:t>
      </w:r>
    </w:p>
    <w:p>
      <w:pPr>
        <w:pStyle w:val="Para 17"/>
      </w:pPr>
      <w:r>
        <w:t/>
      </w:r>
    </w:p>
    <w:p>
      <w:pPr>
        <w:pStyle w:val="Para 01"/>
      </w:pPr>
      <w:r>
        <w:t>Prerequisites</w:t>
      </w:r>
    </w:p>
    <w:p>
      <w:pPr>
        <w:pStyle w:val="Para 17"/>
      </w:pPr>
      <w:r>
        <w:t/>
      </w:r>
    </w:p>
    <w:p>
      <w:pPr>
        <w:pStyle w:val="Normal"/>
      </w:pPr>
      <w:r>
        <w:t>This package is currently compiled for the lowest possible CPU requirements allowed by up-</w:t>
      </w:r>
    </w:p>
    <w:p>
      <w:pPr>
        <w:pStyle w:val="Normal"/>
      </w:pPr>
      <w:r>
        <w:t xml:space="preserve">stream. Starting with </w:t>
      </w:r>
      <w:hyperlink r:id="rId1712">
        <w:r>
          <w:rPr>
            <w:rStyle w:val="Text9"/>
          </w:rPr>
          <w:t>841</w:t>
        </w:r>
      </w:hyperlink>
      <w:hyperlink r:id="rId1712">
        <w:r>
          <w:rPr>
            <w:rStyle w:val="Text1"/>
          </w:rPr>
          <w:t xml:space="preserve"> DPDK 17.08</w:t>
        </w:r>
      </w:hyperlink>
      <w:r>
        <w:t>, that means it requires at least SSE4_2 and for anything else activated by -march=corei7 (in GCC) to be supported by the CPU.</w:t>
      </w:r>
    </w:p>
    <w:p>
      <w:pPr>
        <w:pStyle w:val="Normal"/>
      </w:pPr>
      <w:r>
        <w:t xml:space="preserve">The list of upstream DPDK-supported network cards can be found at </w:t>
      </w:r>
      <w:hyperlink r:id="rId1713">
        <w:r>
          <w:rPr>
            <w:rStyle w:val="Text9"/>
          </w:rPr>
          <w:t>842</w:t>
        </w:r>
      </w:hyperlink>
      <w:hyperlink r:id="rId1713">
        <w:r>
          <w:rPr>
            <w:rStyle w:val="Text1"/>
          </w:rPr>
          <w:t xml:space="preserve"> supported NICs</w:t>
        </w:r>
      </w:hyperlink>
      <w:r>
        <w:t>. How-ever, a lot of those are disabled by default in the upstream project as they are not yet in a stable state. The subset of network cards that DPDK has enabled in the package (as available in Ubuntu 16.04) is:</w:t>
      </w:r>
    </w:p>
    <w:p>
      <w:pPr>
        <w:pStyle w:val="Normal"/>
      </w:pPr>
      <w:r>
        <w:t>DPDK has “userspace” drivers for the cards called PMDs. The packages for these follow the pattern of librte-pmd-&lt;type&gt;-&lt;version&gt;. Therefore the example for an Intel e1000 in 18.11 would be librte-pmd-e1000-18.11.</w:t>
      </w:r>
    </w:p>
    <w:p>
      <w:pPr>
        <w:pStyle w:val="Normal"/>
      </w:pPr>
      <w:r>
        <w:t>The more commonly used, tested and fully supported drivers are installed as dependencies</w:t>
      </w:r>
    </w:p>
    <w:p>
      <w:pPr>
        <w:pStyle w:val="Normal"/>
      </w:pPr>
      <w:r>
        <w:t xml:space="preserve">of </w:t>
      </w:r>
      <w:hyperlink r:id="rId1614">
        <w:r>
          <w:rPr>
            <w:rStyle w:val="Text9"/>
          </w:rPr>
          <w:t>843</w:t>
        </w:r>
      </w:hyperlink>
      <w:r>
        <w:t xml:space="preserve"> dpdk . But there are </w:t>
      </w:r>
      <w:hyperlink r:id="rId1614">
        <w:r>
          <w:rPr>
            <w:rStyle w:val="Text1"/>
          </w:rPr>
          <w:t>many more “in-universe”</w:t>
        </w:r>
      </w:hyperlink>
      <w:r>
        <w:t xml:space="preserve"> that follow the same naming pattern.</w:t>
      </w:r>
    </w:p>
    <w:p>
      <w:pPr>
        <w:pStyle w:val="Para 17"/>
      </w:pPr>
      <w:r>
        <w:t/>
      </w:r>
    </w:p>
    <w:p>
      <w:pPr>
        <w:pStyle w:val="Para 01"/>
      </w:pPr>
      <w:r>
        <w:t>Unassign the default kernel drivers</w:t>
      </w:r>
    </w:p>
    <w:p>
      <w:pPr>
        <w:pStyle w:val="Para 17"/>
      </w:pPr>
      <w:r>
        <w:t/>
      </w:r>
    </w:p>
    <w:p>
      <w:pPr>
        <w:pStyle w:val="Normal"/>
      </w:pPr>
      <w:r>
        <w:t>Cards must be unassigned from their kernel driver and instead be assigned to uio_pci_ generic of vfio-pci. uio_pci_generic is older and it’s (usually) easier to get it to work. How-ever, it also has fewer features and less isolation.</w:t>
      </w:r>
    </w:p>
    <w:p>
      <w:pPr>
        <w:pStyle w:val="Normal"/>
      </w:pPr>
      <w:r>
        <w:t>The newer VFIO-PCI requires that you activate the following kernel parameters to enable the input-output memory management unit (IOMMU):</w:t>
      </w:r>
    </w:p>
    <w:p>
      <w:pPr>
        <w:pStyle w:val="Normal"/>
      </w:pPr>
      <w:r>
        <w:t>iommu</w:t>
        <w:t>=</w:t>
        <w:t>pt intel_iommu</w:t>
        <w:t>=</w:t>
        <w:t>on</w:t>
      </w:r>
    </w:p>
    <w:p>
      <w:pPr>
        <w:pStyle w:val="Para 17"/>
      </w:pPr>
      <w:r>
        <w:t/>
      </w:r>
    </w:p>
    <w:p>
      <w:pPr>
        <w:pStyle w:val="Normal"/>
      </w:pPr>
      <w:r>
        <w:t xml:space="preserve">Alternatively, on </w:t>
      </w:r>
      <w:hyperlink w:anchor="page_669">
        <w:r>
          <w:rPr>
            <w:rStyle w:val="Text2"/>
          </w:rPr>
          <w:t>AMD</w:t>
        </w:r>
      </w:hyperlink>
      <w:r>
        <w:t>:</w:t>
      </w:r>
    </w:p>
    <w:p>
      <w:pPr>
        <w:pStyle w:val="Normal"/>
      </w:pPr>
      <w:r>
        <w:t>amd_iommu</w:t>
        <w:t>=</w:t>
        <w:t>pt</w:t>
      </w:r>
    </w:p>
    <w:p>
      <w:pPr>
        <w:pStyle w:val="Para 05"/>
      </w:pPr>
      <w:r>
        <w:rPr>
          <w:rStyle w:val="Text5"/>
        </w:rPr>
        <w:t>841</w:t>
      </w:r>
      <w:r>
        <w:rPr>
          <w:rStyle w:val="Text8"/>
        </w:rPr>
        <w:t xml:space="preserve"> </w:t>
      </w:r>
      <w:r>
        <w:t>https://git.dpdk.org/dpdk/commit/?id=f27769f796a0639368117ce22fb124b6030dbf73</w:t>
      </w:r>
    </w:p>
    <w:p>
      <w:pPr>
        <w:pStyle w:val="Para 05"/>
      </w:pPr>
      <w:r>
        <w:rPr>
          <w:rStyle w:val="Text5"/>
        </w:rPr>
        <w:t>842</w:t>
      </w:r>
      <w:r>
        <w:rPr>
          <w:rStyle w:val="Text8"/>
        </w:rPr>
        <w:t xml:space="preserve"> </w:t>
      </w:r>
      <w:r>
        <w:t>http://core.dpdk.org/supported/</w:t>
      </w:r>
    </w:p>
    <w:p>
      <w:pPr>
        <w:pStyle w:val="Para 05"/>
      </w:pPr>
      <w:r>
        <w:rPr>
          <w:rStyle w:val="Text5"/>
        </w:rPr>
        <w:t>843</w:t>
      </w:r>
      <w:r>
        <w:rPr>
          <w:rStyle w:val="Text8"/>
        </w:rPr>
        <w:t xml:space="preserve"> </w:t>
      </w:r>
      <w:r>
        <w:t>https://documentation.ubuntu.com/project/how-ubuntu-is-made/concepts/package-archive/</w:t>
      </w:r>
    </w:p>
    <w:p>
      <w:pPr>
        <w:pStyle w:val="Normal"/>
      </w:pPr>
      <w:r>
        <w:rPr>
          <w:rStyle w:val="Text6"/>
        </w:rPr>
        <w:t>#components</w:t>
      </w:r>
      <w:r>
        <w:t xml:space="preserve"> On top of VFIO-PCI, you must also configure and assign the IOMMU groups accordingly. This</w:t>
      </w:r>
    </w:p>
    <w:p>
      <w:bookmarkStart w:id="1288" w:name="page_8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5" name="index-820_1.png" descr="index-820_1.png"/>
            <wp:cNvGraphicFramePr>
              <a:graphicFrameLocks noChangeAspect="1"/>
            </wp:cNvGraphicFramePr>
            <a:graphic>
              <a:graphicData uri="http://schemas.openxmlformats.org/drawingml/2006/picture">
                <pic:pic>
                  <pic:nvPicPr>
                    <pic:cNvPr id="0" name="index-820_1.png" descr="index-820_1.png"/>
                    <pic:cNvPicPr/>
                  </pic:nvPicPr>
                  <pic:blipFill>
                    <a:blip r:embed="rId859"/>
                    <a:stretch>
                      <a:fillRect/>
                    </a:stretch>
                  </pic:blipFill>
                  <pic:spPr>
                    <a:xfrm>
                      <a:off x="0" y="0"/>
                      <a:ext cx="914400" cy="266700"/>
                    </a:xfrm>
                    <a:prstGeom prst="rect">
                      <a:avLst/>
                    </a:prstGeom>
                  </pic:spPr>
                </pic:pic>
              </a:graphicData>
            </a:graphic>
          </wp:anchor>
        </w:drawing>
      </w:r>
      <w:bookmarkEnd w:id="1288"/>
    </w:p>
    <w:p>
      <w:pPr>
        <w:pStyle w:val="Normal"/>
      </w:pPr>
      <w:r>
        <w:t xml:space="preserve">is mostly done in </w:t>
      </w:r>
      <w:hyperlink w:anchor="page_684">
        <w:r>
          <w:rPr>
            <w:rStyle w:val="Text2"/>
          </w:rPr>
          <w:t>firmware</w:t>
        </w:r>
      </w:hyperlink>
      <w:r>
        <w:t xml:space="preserve"> and by hardware layout – you can check the group assignment the kernel probed in /sys/kernel/iommu_groups/.</w:t>
      </w:r>
    </w:p>
    <w:p>
      <w:pPr>
        <w:pStyle w:val="Para 17"/>
      </w:pPr>
      <w:r>
        <w:t/>
      </w:r>
    </w:p>
    <w:p>
      <w:pPr>
        <w:pStyle w:val="Para 08"/>
      </w:pPr>
      <w:r>
        <w:t>Note:</w:t>
      </w:r>
    </w:p>
    <w:p>
      <w:pPr>
        <w:pStyle w:val="Para 03"/>
      </w:pPr>
      <w:r>
        <w:t>VirtIO is special. DPDK can directly work on these devices without vfio_pci/uio_pci_</w:t>
      </w:r>
    </w:p>
    <w:p>
      <w:pPr>
        <w:pStyle w:val="Para 03"/>
      </w:pPr>
      <w:r>
        <w:t>generic. However, to avoid issues that might arise from the kernel and DPDK managing</w:t>
      </w:r>
    </w:p>
    <w:p>
      <w:pPr>
        <w:pStyle w:val="Para 03"/>
      </w:pPr>
      <w:r>
        <w:t>the device, you still need to unassign the kernel driver.</w:t>
      </w:r>
    </w:p>
    <w:p>
      <w:pPr>
        <w:pStyle w:val="Para 17"/>
      </w:pPr>
      <w:r>
        <w:t/>
      </w:r>
    </w:p>
    <w:p>
      <w:pPr>
        <w:pStyle w:val="Normal"/>
      </w:pPr>
      <w:r>
        <w:t>Manual configuration and status checks can be done via sysfs, or with the tool dpdk_nic_bind:</w:t>
      </w:r>
    </w:p>
    <w:p>
      <w:pPr>
        <w:pStyle w:val="Normal"/>
      </w:pPr>
      <w:r>
        <w:t>dpdk_nic_bind</w:t>
        <w:t>.</w:t>
        <w:t>py</w:t>
        <w:t>--</w:t>
        <w:t>help</w:t>
      </w:r>
    </w:p>
    <w:p>
      <w:pPr>
        <w:pStyle w:val="Para 17"/>
      </w:pPr>
      <w:r>
        <w:t/>
      </w:r>
    </w:p>
    <w:p>
      <w:pPr>
        <w:pStyle w:val="Para 01"/>
      </w:pPr>
      <w:r>
        <w:t>Usage</w:t>
      </w:r>
    </w:p>
    <w:p>
      <w:pPr>
        <w:pStyle w:val="Para 17"/>
      </w:pPr>
      <w:r>
        <w:t/>
      </w:r>
    </w:p>
    <w:p>
      <w:pPr>
        <w:pStyle w:val="Normal"/>
      </w:pPr>
      <w:r>
        <w:t>dpdk</w:t>
        <w:t>-</w:t>
        <w:t>devbind</w:t>
        <w:t>.</w:t>
        <w:t>py [options] DEVICE1 DEVICE2</w:t>
        <w:t xml:space="preserve"> </w:t>
        <w:t>....</w:t>
      </w:r>
    </w:p>
    <w:p>
      <w:pPr>
        <w:pStyle w:val="Normal"/>
      </w:pPr>
      <w:r>
        <w:t>where DEVICE1, DEVICE2 etc, are specified via PCI</w:t>
        <w:t xml:space="preserve"> </w:t>
        <w:t>"domain:bus:slot.func"</w:t>
        <w:t xml:space="preserve"> </w:t>
        <w:t>syntax</w:t>
        <w:t xml:space="preserve"> </w:t>
      </w:r>
      <w:r>
        <w:rPr>
          <w:rStyle w:val="Text0"/>
        </w:rPr>
        <w:t>or</w:t>
      </w:r>
      <w:r>
        <w:t xml:space="preserve"> </w:t>
        <w:t>"bus:slot.func"</w:t>
        <w:t xml:space="preserve"> </w:t>
        <w:t>syntax</w:t>
        <w:t>.</w:t>
        <w:t xml:space="preserve"> </w:t>
        <w:t>For devices bound to Linux kernel drivers, they may</w:t>
        <w:t xml:space="preserve"> </w:t>
        <w:t>also be referred to by Linux interface name e</w:t>
        <w:t>.</w:t>
        <w:t>g</w:t>
        <w:t>.</w:t>
        <w:t xml:space="preserve"> </w:t>
        <w:t>eth0, eth1, em0, em1, etc</w:t>
        <w:t>.</w:t>
      </w:r>
    </w:p>
    <w:p>
      <w:pPr>
        <w:pStyle w:val="Normal"/>
      </w:pPr>
      <w:r>
        <w:t>Options:</w:t>
      </w:r>
    </w:p>
    <w:p>
      <w:pPr>
        <w:pStyle w:val="Normal"/>
      </w:pPr>
      <w:r>
        <w:t>--</w:t>
        <w:t>help,</w:t>
        <w:t>--</w:t>
        <w:t>usage:</w:t>
      </w:r>
    </w:p>
    <w:p>
      <w:pPr>
        <w:pStyle w:val="Para 02"/>
      </w:pPr>
      <w:r>
        <w:t>Display usage information</w:t>
        <w:t xml:space="preserve"> </w:t>
      </w:r>
      <w:r>
        <w:rPr>
          <w:rStyle w:val="Text0"/>
        </w:rPr>
        <w:t>and</w:t>
      </w:r>
      <w:r>
        <w:t xml:space="preserve"> </w:t>
        <w:t>quit</w:t>
      </w:r>
    </w:p>
    <w:p>
      <w:pPr>
        <w:pStyle w:val="Normal"/>
      </w:pPr>
      <w:r>
        <w:t>-</w:t>
        <w:t>s,</w:t>
        <w:t>--</w:t>
        <w:t>status:</w:t>
      </w:r>
    </w:p>
    <w:p>
      <w:pPr>
        <w:pStyle w:val="Para 02"/>
      </w:pPr>
      <w:r>
        <w:t>Print the current status of</w:t>
        <w:t xml:space="preserve"> </w:t>
        <w:t>all</w:t>
        <w:t xml:space="preserve"> </w:t>
        <w:t>known network, crypto, event</w:t>
        <w:t xml:space="preserve"> </w:t>
      </w:r>
      <w:r>
        <w:rPr>
          <w:rStyle w:val="Text0"/>
        </w:rPr>
        <w:t>and</w:t>
      </w:r>
      <w:r>
        <w:t xml:space="preserve"> </w:t>
        <w:t>mempool devices</w:t>
        <w:t>.</w:t>
      </w:r>
    </w:p>
    <w:p>
      <w:pPr>
        <w:pStyle w:val="Para 02"/>
      </w:pPr>
      <w:r>
        <w:t>For each device, it displays the PCI domain, bus, slot</w:t>
        <w:t xml:space="preserve"> </w:t>
      </w:r>
      <w:r>
        <w:rPr>
          <w:rStyle w:val="Text0"/>
        </w:rPr>
        <w:t>and</w:t>
      </w:r>
      <w:r>
        <w:t xml:space="preserve"> </w:t>
        <w:t>function,</w:t>
        <w:t xml:space="preserve"> </w:t>
        <w:t>along</w:t>
        <w:t xml:space="preserve"> </w:t>
      </w:r>
      <w:r>
        <w:rPr>
          <w:rStyle w:val="Text0"/>
        </w:rPr>
        <w:t>with</w:t>
      </w:r>
      <w:r>
        <w:t xml:space="preserve"> </w:t>
        <w:t>a text description of the device</w:t>
        <w:t>.</w:t>
        <w:t xml:space="preserve"> </w:t>
        <w:t>Depending upon whether the</w:t>
        <w:t xml:space="preserve"> </w:t>
        <w:t>device</w:t>
        <w:t xml:space="preserve"> </w:t>
      </w:r>
      <w:r>
        <w:rPr>
          <w:rStyle w:val="Text0"/>
        </w:rPr>
        <w:t>is</w:t>
      </w:r>
      <w:r>
        <w:t xml:space="preserve"> </w:t>
        <w:t>being used by a kernel driver, the igb_uio driver,</w:t>
        <w:t xml:space="preserve"> </w:t>
      </w:r>
      <w:r>
        <w:rPr>
          <w:rStyle w:val="Text0"/>
        </w:rPr>
        <w:t>or</w:t>
      </w:r>
      <w:r>
        <w:t xml:space="preserve"> </w:t>
        <w:t>no</w:t>
        <w:t xml:space="preserve"> </w:t>
        <w:t>driver, other relevant information will be displayed:</w:t>
      </w:r>
    </w:p>
    <w:p>
      <w:pPr>
        <w:pStyle w:val="Para 02"/>
      </w:pPr>
      <w:r>
        <w:t>*</w:t>
        <w:t xml:space="preserve"> </w:t>
        <w:t>the Linux interface name e</w:t>
        <w:t>.</w:t>
        <w:t>g</w:t>
        <w:t>.</w:t>
        <w:t xml:space="preserve"> </w:t>
      </w:r>
      <w:r>
        <w:rPr>
          <w:rStyle w:val="Text0"/>
        </w:rPr>
        <w:t>if</w:t>
      </w:r>
      <w:r>
        <w:t>=</w:t>
        <w:t>eth0</w:t>
        <w:t xml:space="preserve"> </w:t>
        <w:t>*</w:t>
        <w:t xml:space="preserve"> </w:t>
        <w:t>the driver being used e</w:t>
        <w:t>.</w:t>
        <w:t>g</w:t>
        <w:t>.</w:t>
        <w:t xml:space="preserve"> </w:t>
        <w:t>drv</w:t>
        <w:t>=</w:t>
        <w:t>igb_uio</w:t>
        <w:t xml:space="preserve"> </w:t>
        <w:t>*</w:t>
        <w:t xml:space="preserve"> </w:t>
        <w:t>any</w:t>
        <w:t xml:space="preserve"> </w:t>
        <w:t>suitable drivers</w:t>
        <w:t xml:space="preserve"> </w:t>
      </w:r>
      <w:r>
        <w:rPr>
          <w:rStyle w:val="Text0"/>
        </w:rPr>
        <w:t>not</w:t>
      </w:r>
      <w:r>
        <w:t xml:space="preserve"> </w:t>
        <w:t>currently using that device</w:t>
      </w:r>
    </w:p>
    <w:p>
      <w:pPr>
        <w:pStyle w:val="Para 06"/>
      </w:pPr>
      <w:r>
        <w:t>e</w:t>
        <w:t>.</w:t>
        <w:t>g</w:t>
        <w:t>.</w:t>
        <w:t xml:space="preserve"> </w:t>
        <w:t>unused</w:t>
        <w:t>=</w:t>
        <w:t>igb_uio</w:t>
      </w:r>
    </w:p>
    <w:p>
      <w:pPr>
        <w:pStyle w:val="Para 02"/>
      </w:pPr>
      <w:r>
        <w:t>NOTE:</w:t>
        <w:t xml:space="preserve"> </w:t>
      </w:r>
      <w:r>
        <w:rPr>
          <w:rStyle w:val="Text0"/>
        </w:rPr>
        <w:t>if</w:t>
      </w:r>
      <w:r>
        <w:t xml:space="preserve"> </w:t>
        <w:t>this flag</w:t>
        <w:t xml:space="preserve"> </w:t>
      </w:r>
      <w:r>
        <w:rPr>
          <w:rStyle w:val="Text0"/>
        </w:rPr>
        <w:t>is</w:t>
      </w:r>
      <w:r>
        <w:t xml:space="preserve"> </w:t>
        <w:t>passed along</w:t>
        <w:t xml:space="preserve"> </w:t>
      </w:r>
      <w:r>
        <w:rPr>
          <w:rStyle w:val="Text0"/>
        </w:rPr>
        <w:t>with</w:t>
      </w:r>
      <w:r>
        <w:t xml:space="preserve"> </w:t>
        <w:t>a bind</w:t>
        <w:t>/</w:t>
        <w:t>unbind option, the</w:t>
        <w:t xml:space="preserve"> </w:t>
        <w:t>status display will always occur after the other operations have taken</w:t>
        <w:t xml:space="preserve"> </w:t>
        <w:t>place</w:t>
        <w:t>.</w:t>
      </w:r>
    </w:p>
    <w:p>
      <w:pPr>
        <w:pStyle w:val="Normal"/>
      </w:pPr>
      <w:r>
        <w:t>--</w:t>
        <w:t>status</w:t>
        <w:t>-</w:t>
        <w:t>dev:</w:t>
      </w:r>
    </w:p>
    <w:p>
      <w:pPr>
        <w:pStyle w:val="Para 02"/>
      </w:pPr>
      <w:r>
        <w:t>Print the status of given device group</w:t>
        <w:t>.</w:t>
        <w:t xml:space="preserve"> </w:t>
        <w:t>Supported device groups are:</w:t>
        <w:t xml:space="preserve"> </w:t>
        <w:t>"net"</w:t>
        <w:t>,</w:t>
        <w:t xml:space="preserve"> </w:t>
        <w:t>"crypto"</w:t>
        <w:t>,</w:t>
        <w:t xml:space="preserve"> </w:t>
        <w:t>"event"</w:t>
        <w:t>,</w:t>
        <w:t xml:space="preserve"> </w:t>
        <w:t>"mempool"</w:t>
        <w:t xml:space="preserve"> </w:t>
      </w:r>
      <w:r>
        <w:rPr>
          <w:rStyle w:val="Text0"/>
        </w:rPr>
        <w:t>and</w:t>
      </w:r>
      <w:r>
        <w:t xml:space="preserve"> </w:t>
        <w:t>"compress"</w:t>
      </w:r>
    </w:p>
    <w:p>
      <w:pPr>
        <w:pStyle w:val="Normal"/>
      </w:pPr>
      <w:r>
        <w:t>-</w:t>
        <w:t>b driver,</w:t>
        <w:t>--</w:t>
        <w:t>bind</w:t>
        <w:t>=</w:t>
        <w:t>driver:</w:t>
      </w:r>
    </w:p>
    <w:p>
      <w:pPr>
        <w:pStyle w:val="Para 02"/>
      </w:pPr>
      <w:r>
        <w:t>Select the driver to use</w:t>
        <w:t xml:space="preserve"> </w:t>
      </w:r>
      <w:r>
        <w:rPr>
          <w:rStyle w:val="Text0"/>
        </w:rPr>
        <w:t>or</w:t>
      </w:r>
      <w:r>
        <w:t xml:space="preserve"> </w:t>
        <w:t>"none"</w:t>
        <w:t xml:space="preserve"> </w:t>
        <w:t>to unbind the device</w:t>
      </w:r>
    </w:p>
    <w:p>
      <w:pPr>
        <w:pStyle w:val="Normal"/>
      </w:pPr>
      <w:r>
        <w:t>-</w:t>
        <w:t>u,</w:t>
        <w:t>--</w:t>
        <w:t>unbind:</w:t>
      </w:r>
    </w:p>
    <w:p>
      <w:pPr>
        <w:pStyle w:val="Para 02"/>
      </w:pPr>
      <w:r>
        <w:t>Unbind a device (Equivalent to</w:t>
        <w:t xml:space="preserve"> </w:t>
        <w:t>"-b none"</w:t>
        <w:t>)</w:t>
      </w:r>
    </w:p>
    <w:p>
      <w:pPr>
        <w:pStyle w:val="Normal"/>
      </w:pPr>
      <w:r>
        <w:t>--</w:t>
        <w:t>force:</w:t>
      </w:r>
    </w:p>
    <w:p>
      <w:pPr>
        <w:pStyle w:val="Para 02"/>
      </w:pPr>
      <w:r>
        <w:t>By default, network devices which are used by Linux</w:t>
        <w:t>-</w:t>
      </w:r>
      <w:r>
        <w:rPr>
          <w:rStyle w:val="Text0"/>
        </w:rPr>
        <w:t>as</w:t>
      </w:r>
      <w:r>
        <w:t xml:space="preserve"> </w:t>
        <w:t>indicated by</w:t>
        <w:t xml:space="preserve"> </w:t>
        <w:t>having routes</w:t>
        <w:t xml:space="preserve"> </w:t>
      </w:r>
      <w:r>
        <w:rPr>
          <w:rStyle w:val="Text0"/>
        </w:rPr>
        <w:t>in</w:t>
      </w:r>
      <w:r>
        <w:t xml:space="preserve"> </w:t>
        <w:t>the routing table</w:t>
        <w:t>-</w:t>
        <w:t>cannot be modified</w:t>
        <w:t>.</w:t>
        <w:t xml:space="preserve"> </w:t>
        <w:t>Using the</w:t>
      </w:r>
    </w:p>
    <w:p>
      <w:pPr>
        <w:pStyle w:val="Para 09"/>
      </w:pPr>
      <w:r>
        <w:t>(continues on next page)</w:t>
      </w:r>
    </w:p>
    <w:p>
      <w:bookmarkStart w:id="1289" w:name="page_8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6" name="index-821_1.png" descr="index-821_1.png"/>
            <wp:cNvGraphicFramePr>
              <a:graphicFrameLocks noChangeAspect="1"/>
            </wp:cNvGraphicFramePr>
            <a:graphic>
              <a:graphicData uri="http://schemas.openxmlformats.org/drawingml/2006/picture">
                <pic:pic>
                  <pic:nvPicPr>
                    <pic:cNvPr id="0" name="index-821_1.png" descr="index-821_1.png"/>
                    <pic:cNvPicPr/>
                  </pic:nvPicPr>
                  <pic:blipFill>
                    <a:blip r:embed="rId860"/>
                    <a:stretch>
                      <a:fillRect/>
                    </a:stretch>
                  </pic:blipFill>
                  <pic:spPr>
                    <a:xfrm>
                      <a:off x="0" y="0"/>
                      <a:ext cx="914400" cy="266700"/>
                    </a:xfrm>
                    <a:prstGeom prst="rect">
                      <a:avLst/>
                    </a:prstGeom>
                  </pic:spPr>
                </pic:pic>
              </a:graphicData>
            </a:graphic>
          </wp:anchor>
        </w:drawing>
      </w:r>
      <w:bookmarkEnd w:id="1289"/>
    </w:p>
    <w:p>
      <w:pPr>
        <w:pStyle w:val="Para 09"/>
      </w:pPr>
      <w:r>
        <w:t>(continued from previous page)</w:t>
      </w:r>
    </w:p>
    <w:p>
      <w:pPr>
        <w:pStyle w:val="Para 02"/>
      </w:pPr>
      <w:r>
        <w:t>--</w:t>
        <w:t>force flag overrides this behavior, allowing active links to be</w:t>
        <w:t xml:space="preserve"> </w:t>
        <w:t>forcibly unbound</w:t>
        <w:t>.</w:t>
      </w:r>
    </w:p>
    <w:p>
      <w:pPr>
        <w:pStyle w:val="Para 02"/>
      </w:pPr>
      <w:r>
        <w:t>WARNING: This can lead to loss of network connection</w:t>
        <w:t xml:space="preserve"> </w:t>
      </w:r>
      <w:r>
        <w:rPr>
          <w:rStyle w:val="Text0"/>
        </w:rPr>
        <w:t>and</w:t>
      </w:r>
      <w:r>
        <w:t xml:space="preserve"> </w:t>
        <w:t>should be used</w:t>
        <w:t xml:space="preserve"> </w:t>
      </w:r>
      <w:r>
        <w:rPr>
          <w:rStyle w:val="Text0"/>
        </w:rPr>
        <w:t>with</w:t>
      </w:r>
      <w:r>
        <w:t xml:space="preserve"> </w:t>
        <w:t>caution</w:t>
        <w:t>.</w:t>
      </w:r>
    </w:p>
    <w:p>
      <w:pPr>
        <w:pStyle w:val="Normal"/>
      </w:pPr>
      <w:r>
        <w:t>Examples:</w:t>
      </w:r>
    </w:p>
    <w:p>
      <w:pPr>
        <w:pStyle w:val="Normal"/>
      </w:pPr>
      <w:r>
        <w:t>---------</w:t>
      </w:r>
    </w:p>
    <w:p>
      <w:pPr>
        <w:pStyle w:val="Normal"/>
      </w:pPr>
      <w:r>
        <w:t>To display current device status:</w:t>
      </w:r>
    </w:p>
    <w:p>
      <w:pPr>
        <w:pStyle w:val="Para 02"/>
      </w:pPr>
      <w:r>
        <w:t>dpdk</w:t>
        <w:t>-</w:t>
        <w:t>devbind</w:t>
        <w:t>.</w:t>
        <w:t>py</w:t>
        <w:t>--</w:t>
        <w:t>status</w:t>
      </w:r>
    </w:p>
    <w:p>
      <w:pPr>
        <w:pStyle w:val="Normal"/>
      </w:pPr>
      <w:r>
        <w:t>To display current network device status:</w:t>
      </w:r>
    </w:p>
    <w:p>
      <w:pPr>
        <w:pStyle w:val="Para 02"/>
      </w:pPr>
      <w:r>
        <w:t>dpdk</w:t>
        <w:t>-</w:t>
        <w:t>devbind</w:t>
        <w:t>.</w:t>
        <w:t>py</w:t>
        <w:t>--</w:t>
        <w:t>status</w:t>
        <w:t>-</w:t>
        <w:t>dev net</w:t>
      </w:r>
    </w:p>
    <w:p>
      <w:pPr>
        <w:pStyle w:val="Normal"/>
      </w:pPr>
      <w:r>
        <w:t>To bind eth1</w:t>
        <w:t xml:space="preserve"> </w:t>
      </w:r>
      <w:r>
        <w:rPr>
          <w:rStyle w:val="Text0"/>
        </w:rPr>
        <w:t>from</w:t>
      </w:r>
      <w:r>
        <w:t xml:space="preserve"> </w:t>
      </w:r>
      <w:r>
        <w:rPr>
          <w:rStyle w:val="Text0"/>
        </w:rPr>
        <w:t>the</w:t>
      </w:r>
      <w:r>
        <w:t xml:space="preserve"> </w:t>
        <w:t>current driver</w:t>
        <w:t xml:space="preserve"> </w:t>
      </w:r>
      <w:r>
        <w:rPr>
          <w:rStyle w:val="Text0"/>
        </w:rPr>
        <w:t>and</w:t>
      </w:r>
      <w:r>
        <w:t xml:space="preserve"> </w:t>
        <w:t>move to use igb_uio</w:t>
      </w:r>
    </w:p>
    <w:p>
      <w:pPr>
        <w:pStyle w:val="Para 02"/>
      </w:pPr>
      <w:r>
        <w:t>dpdk</w:t>
        <w:t>-</w:t>
        <w:t>devbind</w:t>
        <w:t>.</w:t>
        <w:t>py</w:t>
        <w:t>--</w:t>
        <w:t>bind</w:t>
        <w:t>=</w:t>
        <w:t>igb_uio eth1</w:t>
      </w:r>
    </w:p>
    <w:p>
      <w:pPr>
        <w:pStyle w:val="Normal"/>
      </w:pPr>
      <w:r>
        <w:t>To unbind</w:t>
        <w:t xml:space="preserve"> </w:t>
        <w:t>0000</w:t>
        <w:t>:</w:t>
        <w:t>01</w:t>
        <w:t>:</w:t>
        <w:t>00.0</w:t>
        <w:t xml:space="preserve"> </w:t>
      </w:r>
      <w:r>
        <w:rPr>
          <w:rStyle w:val="Text0"/>
        </w:rPr>
        <w:t>from</w:t>
      </w:r>
      <w:r>
        <w:t xml:space="preserve"> </w:t>
      </w:r>
      <w:r>
        <w:rPr>
          <w:rStyle w:val="Text0"/>
        </w:rPr>
        <w:t>using</w:t>
      </w:r>
      <w:r>
        <w:t xml:space="preserve"> </w:t>
        <w:t>any</w:t>
        <w:t xml:space="preserve"> </w:t>
        <w:t>driver</w:t>
      </w:r>
    </w:p>
    <w:p>
      <w:pPr>
        <w:pStyle w:val="Para 02"/>
      </w:pPr>
      <w:r>
        <w:t>dpdk</w:t>
        <w:t>-</w:t>
        <w:t>devbind</w:t>
        <w:t>.</w:t>
        <w:t>py</w:t>
        <w:t>-</w:t>
        <w:t>u</w:t>
        <w:t xml:space="preserve"> </w:t>
        <w:t>0000</w:t>
        <w:t>:</w:t>
        <w:t>01</w:t>
        <w:t>:</w:t>
        <w:t>00.0</w:t>
      </w:r>
    </w:p>
    <w:p>
      <w:pPr>
        <w:pStyle w:val="Normal"/>
      </w:pPr>
      <w:r>
        <w:t>To bind</w:t>
        <w:t xml:space="preserve"> </w:t>
        <w:t>0000</w:t>
        <w:t>:</w:t>
        <w:t>02</w:t>
        <w:t>:</w:t>
        <w:t>00.0</w:t>
        <w:t xml:space="preserve"> </w:t>
      </w:r>
      <w:r>
        <w:rPr>
          <w:rStyle w:val="Text0"/>
        </w:rPr>
        <w:t>and</w:t>
      </w:r>
      <w:r>
        <w:t xml:space="preserve"> </w:t>
        <w:t>0000</w:t>
        <w:t>:</w:t>
        <w:t>02</w:t>
        <w:t>:</w:t>
        <w:t>00.1</w:t>
        <w:t xml:space="preserve"> </w:t>
        <w:t>to the ixgbe kernel driver</w:t>
      </w:r>
    </w:p>
    <w:p>
      <w:pPr>
        <w:pStyle w:val="Para 02"/>
      </w:pPr>
      <w:r>
        <w:t>dpdk</w:t>
        <w:t>-</w:t>
        <w:t>devbind</w:t>
        <w:t>.</w:t>
        <w:t>py</w:t>
        <w:t>-</w:t>
        <w:t>b ixgbe</w:t>
        <w:t xml:space="preserve"> </w:t>
        <w:t>02</w:t>
        <w:t>:</w:t>
        <w:t>00.0 02</w:t>
        <w:t>:</w:t>
        <w:t>00.1</w:t>
      </w:r>
    </w:p>
    <w:p>
      <w:pPr>
        <w:pStyle w:val="Para 17"/>
      </w:pPr>
      <w:r>
        <w:t/>
      </w:r>
    </w:p>
    <w:p>
      <w:pPr>
        <w:pStyle w:val="Para 01"/>
      </w:pPr>
      <w:r>
        <w:t>DPDK device configuration</w:t>
      </w:r>
    </w:p>
    <w:p>
      <w:pPr>
        <w:pStyle w:val="Para 17"/>
      </w:pPr>
      <w:r>
        <w:t/>
      </w:r>
    </w:p>
    <w:p>
      <w:pPr>
        <w:pStyle w:val="Normal"/>
      </w:pPr>
      <w:r>
        <w:t xml:space="preserve">The package dpdk provides </w:t>
      </w:r>
      <w:r>
        <w:rPr>
          <w:rStyle w:val="Text3"/>
        </w:rPr>
        <w:t>init</w:t>
      </w:r>
      <w:r>
        <w:t xml:space="preserve"> scripts that ease configuration of device assignment and huge pages. It also makes them persistent across reboots.</w:t>
      </w:r>
    </w:p>
    <w:p>
      <w:pPr>
        <w:pStyle w:val="Normal"/>
      </w:pPr>
      <w:r>
        <w:t>The following is an example of the file /etc/dpdk/interfaces configuring two ports of a net-work card: one with uio_pci_generic and the other with vfio-pci.</w:t>
      </w:r>
    </w:p>
    <w:p>
      <w:pPr>
        <w:pStyle w:val="Para 10"/>
      </w:pPr>
      <w:r>
        <w:t># &lt;bus&gt;</w:t>
      </w:r>
      <w:r>
        <w:rPr>
          <w:rStyle w:val="Text3"/>
        </w:rPr>
        <w:t xml:space="preserve"> </w:t>
      </w:r>
      <w:r>
        <w:t>Currently only "pci" is supported</w:t>
      </w:r>
      <w:r>
        <w:rPr>
          <w:rStyle w:val="Text3"/>
        </w:rPr>
        <w:t xml:space="preserve"> </w:t>
      </w:r>
      <w:r>
        <w:t># &lt;id&gt;</w:t>
      </w:r>
      <w:r>
        <w:rPr>
          <w:rStyle w:val="Text3"/>
        </w:rPr>
        <w:t xml:space="preserve"> </w:t>
      </w:r>
      <w:r>
        <w:t>Device ID on the specified bus</w:t>
      </w:r>
      <w:r>
        <w:rPr>
          <w:rStyle w:val="Text3"/>
        </w:rPr>
        <w:t xml:space="preserve"> </w:t>
      </w:r>
      <w:r>
        <w:t># &lt;driver&gt;</w:t>
      </w:r>
      <w:r>
        <w:rPr>
          <w:rStyle w:val="Text3"/>
        </w:rPr>
        <w:t xml:space="preserve"> </w:t>
      </w:r>
      <w:r>
        <w:t>Driver to bind against (vfio-pci or uio_pci_generic)</w:t>
      </w:r>
      <w:r>
        <w:rPr>
          <w:rStyle w:val="Text3"/>
        </w:rPr>
        <w:t xml:space="preserve"> </w:t>
      </w:r>
      <w:r>
        <w:t>#</w:t>
      </w:r>
    </w:p>
    <w:p>
      <w:pPr>
        <w:pStyle w:val="Para 10"/>
      </w:pPr>
      <w:r>
        <w:t># Be aware that the two DPDK compatible drivers uio_pci_generic and vfio-pci are</w:t>
      </w:r>
      <w:r>
        <w:rPr>
          <w:rStyle w:val="Text3"/>
        </w:rPr>
        <w:t xml:space="preserve"> </w:t>
      </w:r>
      <w:r>
        <w:t># part of linux-image-extra-&lt;VERSION&gt; package.</w:t>
      </w:r>
    </w:p>
    <w:p>
      <w:pPr>
        <w:pStyle w:val="Para 10"/>
      </w:pPr>
      <w:r>
        <w:t># This package is not always installed by default - for example in cloud-images.</w:t>
      </w:r>
      <w:r>
        <w:rPr>
          <w:rStyle w:val="Text3"/>
        </w:rPr>
        <w:t xml:space="preserve"> </w:t>
      </w:r>
      <w:r>
        <w:t># So please install it in case you run into missing module issues.</w:t>
      </w:r>
      <w:r>
        <w:rPr>
          <w:rStyle w:val="Text3"/>
        </w:rPr>
        <w:t xml:space="preserve"> </w:t>
      </w:r>
      <w:r>
        <w:t>#</w:t>
      </w:r>
    </w:p>
    <w:p>
      <w:pPr>
        <w:pStyle w:val="Para 10"/>
      </w:pPr>
      <w:r>
        <w:t># &lt;bus&gt; &lt;id&gt;</w:t>
      </w:r>
      <w:r>
        <w:rPr>
          <w:rStyle w:val="Text3"/>
        </w:rPr>
        <w:t xml:space="preserve"> </w:t>
      </w:r>
      <w:r>
        <w:t>&lt;driver&gt;</w:t>
      </w:r>
    </w:p>
    <w:p>
      <w:pPr>
        <w:pStyle w:val="Normal"/>
      </w:pPr>
      <w:r>
        <w:t>pci</w:t>
        <w:t xml:space="preserve"> </w:t>
        <w:t>0000</w:t>
        <w:t>:</w:t>
        <w:t>04</w:t>
        <w:t>:</w:t>
        <w:t>00.0</w:t>
        <w:t xml:space="preserve"> </w:t>
        <w:t>uio_pci_generic</w:t>
      </w:r>
    </w:p>
    <w:p>
      <w:pPr>
        <w:pStyle w:val="Normal"/>
      </w:pPr>
      <w:r>
        <w:t>pci</w:t>
        <w:t xml:space="preserve"> </w:t>
        <w:t>0000</w:t>
        <w:t>:</w:t>
        <w:t>04</w:t>
        <w:t>:</w:t>
        <w:t>00.1</w:t>
        <w:t xml:space="preserve"> </w:t>
        <w:t>vfio</w:t>
        <w:t>-</w:t>
        <w:t>pci</w:t>
      </w:r>
    </w:p>
    <w:p>
      <w:pPr>
        <w:pStyle w:val="Para 17"/>
      </w:pPr>
      <w:r>
        <w:t/>
      </w:r>
    </w:p>
    <w:p>
      <w:pPr>
        <w:pStyle w:val="Normal"/>
      </w:pPr>
      <w:r>
        <w:t>Cards are identified by their PCI-ID. If you are need to check, you can use the tool dpdk_nic_ bind.py to show the currently available devices – and the drivers they are assigned to. For example, running the command dpdk_nic_bind.py --status provides the following details:</w:t>
      </w:r>
    </w:p>
    <w:p>
      <w:pPr>
        <w:pStyle w:val="Normal"/>
      </w:pPr>
      <w:r>
        <w:t>Network devices using DPDK</w:t>
        <w:t>-</w:t>
        <w:t>compatible driver</w:t>
        <w:t xml:space="preserve"> </w:t>
        <w:t>============================================</w:t>
      </w:r>
    </w:p>
    <w:p>
      <w:pPr>
        <w:pStyle w:val="Normal"/>
      </w:pPr>
      <w:r>
        <w:t>0000</w:t>
        <w:t>:</w:t>
        <w:t>04</w:t>
        <w:t>:</w:t>
        <w:t>00.0</w:t>
        <w:t xml:space="preserve"> </w:t>
        <w:t>'Ethernet Controller 10-Gigabit X540-AT2'</w:t>
        <w:t xml:space="preserve"> </w:t>
        <w:t>drv</w:t>
        <w:t>=</w:t>
        <w:t>uio_pci_generic unused</w:t>
        <w:t>=</w:t>
        <w:t>ixgbe</w:t>
      </w:r>
    </w:p>
    <w:p>
      <w:pPr>
        <w:pStyle w:val="Para 09"/>
      </w:pPr>
      <w:r>
        <w:t>(continues on next page)</w:t>
      </w:r>
    </w:p>
    <w:p>
      <w:bookmarkStart w:id="1290" w:name="page_8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7" name="index-822_1.png" descr="index-822_1.png"/>
            <wp:cNvGraphicFramePr>
              <a:graphicFrameLocks noChangeAspect="1"/>
            </wp:cNvGraphicFramePr>
            <a:graphic>
              <a:graphicData uri="http://schemas.openxmlformats.org/drawingml/2006/picture">
                <pic:pic>
                  <pic:nvPicPr>
                    <pic:cNvPr id="0" name="index-822_1.png" descr="index-822_1.png"/>
                    <pic:cNvPicPr/>
                  </pic:nvPicPr>
                  <pic:blipFill>
                    <a:blip r:embed="rId861"/>
                    <a:stretch>
                      <a:fillRect/>
                    </a:stretch>
                  </pic:blipFill>
                  <pic:spPr>
                    <a:xfrm>
                      <a:off x="0" y="0"/>
                      <a:ext cx="914400" cy="266700"/>
                    </a:xfrm>
                    <a:prstGeom prst="rect">
                      <a:avLst/>
                    </a:prstGeom>
                  </pic:spPr>
                </pic:pic>
              </a:graphicData>
            </a:graphic>
          </wp:anchor>
        </w:drawing>
      </w:r>
      <w:bookmarkEnd w:id="1290"/>
    </w:p>
    <w:p>
      <w:pPr>
        <w:pStyle w:val="Para 09"/>
      </w:pPr>
      <w:r>
        <w:t>(continued from previous page)</w:t>
      </w:r>
    </w:p>
    <w:p>
      <w:pPr>
        <w:pStyle w:val="Normal"/>
      </w:pPr>
      <w:r>
        <w:t>Network devices using kernel driver</w:t>
      </w:r>
    </w:p>
    <w:p>
      <w:pPr>
        <w:pStyle w:val="Normal"/>
      </w:pPr>
      <w:r>
        <w:t>===================================</w:t>
      </w:r>
    </w:p>
    <w:p>
      <w:pPr>
        <w:pStyle w:val="Normal"/>
      </w:pPr>
      <w:r>
        <w:t>0000</w:t>
        <w:t>:</w:t>
        <w:t>02</w:t>
        <w:t>:</w:t>
        <w:t>00.0</w:t>
        <w:t xml:space="preserve"> </w:t>
        <w:t>'NetXtreme BCM5719 Gigabit Ethernet PCIe'</w:t>
        <w:t xml:space="preserve"> </w:t>
      </w:r>
      <w:r>
        <w:rPr>
          <w:rStyle w:val="Text0"/>
        </w:rPr>
        <w:t>if</w:t>
      </w:r>
      <w:r>
        <w:t>=</w:t>
        <w:t>eth0 drv</w:t>
        <w:t>=</w:t>
        <w:t>tg3 unused</w:t>
        <w:t>=</w:t>
        <w:t>uio_pci_</w:t>
        <w:t xml:space="preserve"> </w:t>
        <w:t>generic</w:t>
        <w:t xml:space="preserve"> </w:t>
        <w:t>*</w:t>
        <w:t>Active</w:t>
        <w:t>*</w:t>
      </w:r>
    </w:p>
    <w:p>
      <w:pPr>
        <w:pStyle w:val="Normal"/>
      </w:pPr>
      <w:r>
        <w:t>0000</w:t>
        <w:t>:</w:t>
        <w:t>02</w:t>
        <w:t>:</w:t>
        <w:t>00.1</w:t>
        <w:t xml:space="preserve"> </w:t>
        <w:t>'NetXtreme BCM5719 Gigabit Ethernet PCIe'</w:t>
        <w:t xml:space="preserve"> </w:t>
      </w:r>
      <w:r>
        <w:rPr>
          <w:rStyle w:val="Text0"/>
        </w:rPr>
        <w:t>if</w:t>
      </w:r>
      <w:r>
        <w:t>=</w:t>
        <w:t>eth1 drv</w:t>
        <w:t>=</w:t>
        <w:t>tg3 unused</w:t>
        <w:t>=</w:t>
        <w:t>uio_pci_</w:t>
        <w:t xml:space="preserve"> </w:t>
        <w:t>generic</w:t>
      </w:r>
    </w:p>
    <w:p>
      <w:pPr>
        <w:pStyle w:val="Normal"/>
      </w:pPr>
      <w:r>
        <w:t>0000</w:t>
        <w:t>:</w:t>
        <w:t>02</w:t>
        <w:t>:</w:t>
        <w:t>00.2</w:t>
        <w:t xml:space="preserve"> </w:t>
        <w:t>'NetXtreme BCM5719 Gigabit Ethernet PCIe'</w:t>
        <w:t xml:space="preserve"> </w:t>
      </w:r>
      <w:r>
        <w:rPr>
          <w:rStyle w:val="Text0"/>
        </w:rPr>
        <w:t>if</w:t>
      </w:r>
      <w:r>
        <w:t>=</w:t>
        <w:t>eth2 drv</w:t>
        <w:t>=</w:t>
        <w:t>tg3 unused</w:t>
        <w:t>=</w:t>
        <w:t>uio_pci_</w:t>
        <w:t xml:space="preserve"> </w:t>
        <w:t>generic</w:t>
      </w:r>
    </w:p>
    <w:p>
      <w:pPr>
        <w:pStyle w:val="Normal"/>
      </w:pPr>
      <w:r>
        <w:t>0000</w:t>
        <w:t>:</w:t>
        <w:t>02</w:t>
        <w:t>:</w:t>
        <w:t>00.3</w:t>
        <w:t xml:space="preserve"> </w:t>
        <w:t>'NetXtreme BCM5719 Gigabit Ethernet PCIe'</w:t>
        <w:t xml:space="preserve"> </w:t>
      </w:r>
      <w:r>
        <w:rPr>
          <w:rStyle w:val="Text0"/>
        </w:rPr>
        <w:t>if</w:t>
      </w:r>
      <w:r>
        <w:t>=</w:t>
        <w:t>eth3 drv</w:t>
        <w:t>=</w:t>
        <w:t>tg3 unused</w:t>
        <w:t>=</w:t>
        <w:t>uio_pci_</w:t>
        <w:t xml:space="preserve"> </w:t>
        <w:t>generic</w:t>
      </w:r>
    </w:p>
    <w:p>
      <w:pPr>
        <w:pStyle w:val="Normal"/>
      </w:pPr>
      <w:r>
        <w:t>0000</w:t>
        <w:t>:</w:t>
        <w:t>04</w:t>
        <w:t>:</w:t>
        <w:t>00.1</w:t>
        <w:t xml:space="preserve"> </w:t>
        <w:t>'Ethernet Controller 10-Gigabit X540-AT2'</w:t>
        <w:t xml:space="preserve"> </w:t>
      </w:r>
      <w:r>
        <w:rPr>
          <w:rStyle w:val="Text0"/>
        </w:rPr>
        <w:t>if</w:t>
      </w:r>
      <w:r>
        <w:t>=</w:t>
        <w:t>eth5 drv</w:t>
        <w:t>=</w:t>
        <w:t>ixgbe unused</w:t>
        <w:t>=</w:t>
        <w:t>uio_pci_</w:t>
        <w:t xml:space="preserve"> </w:t>
        <w:t>generic</w:t>
      </w:r>
    </w:p>
    <w:p>
      <w:pPr>
        <w:pStyle w:val="Normal"/>
      </w:pPr>
      <w:r>
        <w:t>Other network devices</w:t>
      </w:r>
    </w:p>
    <w:p>
      <w:pPr>
        <w:pStyle w:val="Normal"/>
      </w:pPr>
      <w:r>
        <w:t>=====================</w:t>
      </w:r>
    </w:p>
    <w:p>
      <w:pPr>
        <w:pStyle w:val="Normal"/>
      </w:pPr>
      <w:r>
        <w:t>&lt;</w:t>
        <w:t>none</w:t>
        <w:t>&gt;</w:t>
      </w:r>
    </w:p>
    <w:p>
      <w:pPr>
        <w:pStyle w:val="Para 17"/>
      </w:pPr>
      <w:r>
        <w:t/>
      </w:r>
    </w:p>
    <w:p>
      <w:pPr>
        <w:pStyle w:val="Para 01"/>
      </w:pPr>
      <w:r>
        <w:t>DPDK hugepage configuration</w:t>
      </w:r>
    </w:p>
    <w:p>
      <w:pPr>
        <w:pStyle w:val="Para 17"/>
      </w:pPr>
      <w:r>
        <w:t/>
      </w:r>
    </w:p>
    <w:p>
      <w:pPr>
        <w:pStyle w:val="Normal"/>
      </w:pPr>
      <w:r>
        <w:t>DPDK makes heavy use of hugepages to eliminate pressure on the translation lookaside buffer (TLB). Therefore, hugepages need to be configured in your system. The dpdk package has a config file and scripts that try to ease hugepage configuration for DPDK in the form of /etc/dpdk/dpdk.conf.</w:t>
      </w:r>
    </w:p>
    <w:p>
      <w:pPr>
        <w:pStyle w:val="Normal"/>
      </w:pPr>
      <w:r>
        <w:t>If you have more consumers of hugepages than just DPDK in your system – or very special requirements for how your hugepages will be set up – you likely want to allocate/control them yourself. If not, this can be a great simplification to get DPDK configured for your needs.</w:t>
      </w:r>
    </w:p>
    <w:p>
      <w:pPr>
        <w:pStyle w:val="Normal"/>
      </w:pPr>
      <w:r>
        <w:t>As an example, we can specify a configuration of 1024 hugepages of 2M each and four 1G pages in /etc/dpdk/dpdk.conf by adding:</w:t>
      </w:r>
    </w:p>
    <w:p>
      <w:pPr>
        <w:pStyle w:val="Normal"/>
      </w:pPr>
      <w:r>
        <w:t>NR_2M_PAGES</w:t>
        <w:t>=</w:t>
        <w:t>1024</w:t>
      </w:r>
    </w:p>
    <w:p>
      <w:pPr>
        <w:pStyle w:val="Normal"/>
      </w:pPr>
      <w:r>
        <w:t>NR_1G_PAGES</w:t>
        <w:t>=</w:t>
        <w:t>4</w:t>
      </w:r>
    </w:p>
    <w:p>
      <w:pPr>
        <w:pStyle w:val="Para 17"/>
      </w:pPr>
      <w:r>
        <w:t/>
      </w:r>
    </w:p>
    <w:p>
      <w:pPr>
        <w:pStyle w:val="Normal"/>
      </w:pPr>
      <w:r>
        <w:t>This supports configuring 2M and the larger 1G hugepages (or a mix of both). It will make sure there are proper hugetlbfs mount points for DPDK to find both sizes – no matter what size your default hugepage is. The config file itself holds more details on certain corner cases and a few hints if you want to allocate hugepages manually via a kernel parameter.</w:t>
      </w:r>
    </w:p>
    <w:p>
      <w:pPr>
        <w:pStyle w:val="Normal"/>
      </w:pPr>
      <w:r>
        <w:t>The size you want depends on your needs: 1G pages are certainly more effective regarding TLB pressure, but there have been reports of them fragmenting inside the DPDK memory allocations. Also, it can be harder to find enough free space to set up a certain number of 1G pages later in the life-cycle of a system.</w:t>
      </w:r>
    </w:p>
    <w:p>
      <w:bookmarkStart w:id="1291" w:name="calibre_pb_234"/>
      <w:pPr>
        <w:pStyle w:val="0 Block"/>
      </w:pPr>
      <w:bookmarkEnd w:id="1291"/>
    </w:p>
    <w:p>
      <w:bookmarkStart w:id="1292" w:name="page_823"/>
      <w:bookmarkStart w:id="1293" w:name="Top_of_index_split_23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8" name="index-823_1.png" descr="index-823_1.png"/>
            <wp:cNvGraphicFramePr>
              <a:graphicFrameLocks noChangeAspect="1"/>
            </wp:cNvGraphicFramePr>
            <a:graphic>
              <a:graphicData uri="http://schemas.openxmlformats.org/drawingml/2006/picture">
                <pic:pic>
                  <pic:nvPicPr>
                    <pic:cNvPr id="0" name="index-823_1.png" descr="index-823_1.png"/>
                    <pic:cNvPicPr/>
                  </pic:nvPicPr>
                  <pic:blipFill>
                    <a:blip r:embed="rId862"/>
                    <a:stretch>
                      <a:fillRect/>
                    </a:stretch>
                  </pic:blipFill>
                  <pic:spPr>
                    <a:xfrm>
                      <a:off x="0" y="0"/>
                      <a:ext cx="914400" cy="266700"/>
                    </a:xfrm>
                    <a:prstGeom prst="rect">
                      <a:avLst/>
                    </a:prstGeom>
                  </pic:spPr>
                </pic:pic>
              </a:graphicData>
            </a:graphic>
          </wp:anchor>
        </w:drawing>
      </w:r>
      <w:bookmarkEnd w:id="1292"/>
      <w:bookmarkEnd w:id="1293"/>
    </w:p>
    <w:p>
      <w:pPr>
        <w:pStyle w:val="Para 01"/>
      </w:pPr>
      <w:r>
        <w:t>Compile DPDK applications</w:t>
      </w:r>
    </w:p>
    <w:p>
      <w:pPr>
        <w:pStyle w:val="Para 17"/>
      </w:pPr>
      <w:r>
        <w:t/>
      </w:r>
    </w:p>
    <w:p>
      <w:pPr>
        <w:pStyle w:val="Normal"/>
      </w:pPr>
      <w:r>
        <w:t>Currently, there are not many consumers of the DPDK library that are stable and released. Open vSwitch DPDK is an exception to that (see below) and more are appearing, but in gen-eral it may be that you will want to compile an app against the library.</w:t>
      </w:r>
    </w:p>
    <w:p>
      <w:pPr>
        <w:pStyle w:val="Normal"/>
      </w:pPr>
      <w:r>
        <w:t>You will often find guides that tell you to fetch the DPDK sources, build them to your needs and eventually build your application based on DPDK by setting values RTE_* for the build system. Since Ubuntu provides an already-compiled DPDK for you can can skip all that.</w:t>
      </w:r>
    </w:p>
    <w:p>
      <w:pPr>
        <w:pStyle w:val="Normal"/>
      </w:pPr>
      <w:r>
        <w:t xml:space="preserve">DPDK provides a </w:t>
      </w:r>
      <w:hyperlink r:id="rId1714">
        <w:r>
          <w:rPr>
            <w:rStyle w:val="Text9"/>
          </w:rPr>
          <w:t>844</w:t>
        </w:r>
      </w:hyperlink>
      <w:hyperlink r:id="rId1714">
        <w:r>
          <w:rPr>
            <w:rStyle w:val="Text1"/>
          </w:rPr>
          <w:t xml:space="preserve"> valid pkg-config file</w:t>
        </w:r>
      </w:hyperlink>
      <w:r>
        <w:t xml:space="preserve"> to simplify setting the proper variables and options:</w:t>
      </w:r>
    </w:p>
    <w:p>
      <w:pPr>
        <w:pStyle w:val="Normal"/>
      </w:pPr>
      <w:r>
        <w:t>sudo apt-get install dpdk-dev libdpdk-dev</w:t>
      </w:r>
    </w:p>
    <w:p>
      <w:pPr>
        <w:pStyle w:val="Normal"/>
      </w:pPr>
      <w:r>
        <w:t>gcc testdpdkprog.c $(pkg-config --libs --cflags libdpdk) -o testdpdkprog</w:t>
      </w:r>
    </w:p>
    <w:p>
      <w:pPr>
        <w:pStyle w:val="Para 17"/>
      </w:pPr>
      <w:r>
        <w:t/>
      </w:r>
    </w:p>
    <w:p>
      <w:pPr>
        <w:pStyle w:val="Normal"/>
      </w:pPr>
      <w:r>
        <w:t xml:space="preserve">An example of a complex (auto-configure) user of pkg-config of DPDK including </w:t>
      </w:r>
      <w:hyperlink w:anchor="page_682">
        <w:r>
          <w:rPr>
            <w:rStyle w:val="Text2"/>
          </w:rPr>
          <w:t>fallbacks</w:t>
        </w:r>
      </w:hyperlink>
      <w:r>
        <w:t xml:space="preserve"> to</w:t>
      </w:r>
    </w:p>
    <w:p>
      <w:pPr>
        <w:pStyle w:val="Normal"/>
      </w:pPr>
      <w:r>
        <w:t xml:space="preserve">older non pkg-config style can be seen in the </w:t>
      </w:r>
      <w:hyperlink r:id="rId1715">
        <w:r>
          <w:rPr>
            <w:rStyle w:val="Text9"/>
          </w:rPr>
          <w:t>845</w:t>
        </w:r>
      </w:hyperlink>
      <w:hyperlink r:id="rId1715">
        <w:r>
          <w:rPr>
            <w:rStyle w:val="Text1"/>
          </w:rPr>
          <w:t xml:space="preserve"> Open vSwitch build system</w:t>
        </w:r>
      </w:hyperlink>
      <w:r>
        <w:t>.</w:t>
      </w:r>
    </w:p>
    <w:p>
      <w:pPr>
        <w:pStyle w:val="Normal"/>
      </w:pPr>
      <w:r>
        <w:t>Depending on what you are building, it may be a good idea to install all DPDK build depen-dencies before the make. On Ubuntu, this can be done automatically with the following com-mand:</w:t>
      </w:r>
    </w:p>
    <w:p>
      <w:pPr>
        <w:pStyle w:val="Normal"/>
      </w:pPr>
      <w:r>
        <w:t>sudo apt</w:t>
        <w:t>-</w:t>
        <w:t>get install build</w:t>
        <w:t>-</w:t>
        <w:t>dep dpdk</w:t>
      </w:r>
    </w:p>
    <w:p>
      <w:pPr>
        <w:pStyle w:val="Para 17"/>
      </w:pPr>
      <w:r>
        <w:t/>
      </w:r>
    </w:p>
    <w:p>
      <w:pPr>
        <w:pStyle w:val="Para 01"/>
      </w:pPr>
      <w:r>
        <w:t>DPDK in KVM guests</w:t>
      </w:r>
    </w:p>
    <w:p>
      <w:pPr>
        <w:pStyle w:val="Para 17"/>
      </w:pPr>
      <w:r>
        <w:t/>
      </w:r>
    </w:p>
    <w:p>
      <w:pPr>
        <w:pStyle w:val="Normal"/>
      </w:pPr>
      <w:r>
        <w:t xml:space="preserve">Even if you have no access to DPDK-supported network cards, you can still work with DPDK by using its support for VirtIO. To do so, you must create guests backed by hugepages (see above). In addition, you will also need to have </w:t>
      </w:r>
      <w:r>
        <w:rPr>
          <w:rStyle w:val="Text3"/>
        </w:rPr>
        <w:t>at least</w:t>
      </w:r>
      <w:r>
        <w:t xml:space="preserve"> Streaming SIMD Extensions 3 (SSE3).</w:t>
      </w:r>
    </w:p>
    <w:p>
      <w:pPr>
        <w:pStyle w:val="Normal"/>
      </w:pPr>
      <w:r>
        <w:t>The default CPU model used by QEMU/libvirt is only up to SSE2. So, you will need to define a model that passes the proper feature flags (or use host-passthrough). As an example, you can add the following snippet to your virsh XML (or the equivalent virsh interface you use).</w:t>
      </w:r>
    </w:p>
    <w:p>
      <w:pPr>
        <w:pStyle w:val="Normal"/>
      </w:pPr>
      <w:r>
        <w:t>&lt;</w:t>
        <w:t>cpu mode</w:t>
        <w:t>=</w:t>
        <w:t>'host-passthrough'</w:t>
        <w:t>&gt;</w:t>
      </w:r>
    </w:p>
    <w:p>
      <w:pPr>
        <w:pStyle w:val="Para 17"/>
      </w:pPr>
      <w:r>
        <w:t/>
      </w:r>
    </w:p>
    <w:p>
      <w:pPr>
        <w:pStyle w:val="Normal"/>
      </w:pPr>
      <w:r>
        <w:t>Nowadays, VirtIO supports multi-queue, which DPDK in turn can exploit for increased speed. To modify a normal VirtIO definition to have multiple queues, add the following snippet to your interface definition.</w:t>
      </w:r>
    </w:p>
    <w:p>
      <w:pPr>
        <w:pStyle w:val="Normal"/>
      </w:pPr>
      <w:r>
        <w:t>&lt;</w:t>
        <w:t>driver name</w:t>
        <w:t>=</w:t>
        <w:t>"vhost"</w:t>
        <w:t xml:space="preserve"> </w:t>
        <w:t>queues</w:t>
        <w:t>=</w:t>
        <w:t>"4"</w:t>
        <w:t>/&gt;</w:t>
      </w:r>
    </w:p>
    <w:p>
      <w:pPr>
        <w:pStyle w:val="Para 17"/>
      </w:pPr>
      <w:r>
        <w:t/>
      </w:r>
    </w:p>
    <w:p>
      <w:pPr>
        <w:pStyle w:val="Normal"/>
      </w:pPr>
      <w:r>
        <w:t>This will enhance a normal VirtIO NIC to have multiple queues, which can later be consumed by e.g., DPDK in the guest.</w:t>
      </w:r>
    </w:p>
    <w:p>
      <w:pPr>
        <w:pStyle w:val="Para 05"/>
      </w:pPr>
      <w:r>
        <w:rPr>
          <w:rStyle w:val="Text5"/>
        </w:rPr>
        <w:t>844</w:t>
      </w:r>
      <w:r>
        <w:rPr>
          <w:rStyle w:val="Text8"/>
        </w:rPr>
        <w:t xml:space="preserve"> </w:t>
      </w:r>
      <w:r>
        <w:t>https://people.freedesktop.org/~dbn/pkg-config-guide.html</w:t>
      </w:r>
    </w:p>
    <w:p>
      <w:pPr>
        <w:pStyle w:val="Para 05"/>
      </w:pPr>
      <w:r>
        <w:rPr>
          <w:rStyle w:val="Text5"/>
        </w:rPr>
        <w:t>845</w:t>
      </w:r>
      <w:r>
        <w:rPr>
          <w:rStyle w:val="Text8"/>
        </w:rPr>
        <w:t xml:space="preserve"> </w:t>
      </w:r>
      <w:r>
        <w:t>https://github.com/openvswitch/ovs/blob/master/acinclude.m4#L283</w:t>
      </w:r>
    </w:p>
    <w:p>
      <w:bookmarkStart w:id="1294" w:name="calibre_pb_235"/>
      <w:pPr>
        <w:pStyle w:val="0 Block"/>
      </w:pPr>
      <w:bookmarkEnd w:id="1294"/>
    </w:p>
    <w:p>
      <w:bookmarkStart w:id="1295" w:name="page_824"/>
      <w:bookmarkStart w:id="1296" w:name="Top_of_index_split_23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59" name="index-824_1.png" descr="index-824_1.png"/>
            <wp:cNvGraphicFramePr>
              <a:graphicFrameLocks noChangeAspect="1"/>
            </wp:cNvGraphicFramePr>
            <a:graphic>
              <a:graphicData uri="http://schemas.openxmlformats.org/drawingml/2006/picture">
                <pic:pic>
                  <pic:nvPicPr>
                    <pic:cNvPr id="0" name="index-824_1.png" descr="index-824_1.png"/>
                    <pic:cNvPicPr/>
                  </pic:nvPicPr>
                  <pic:blipFill>
                    <a:blip r:embed="rId863"/>
                    <a:stretch>
                      <a:fillRect/>
                    </a:stretch>
                  </pic:blipFill>
                  <pic:spPr>
                    <a:xfrm>
                      <a:off x="0" y="0"/>
                      <a:ext cx="914400" cy="266700"/>
                    </a:xfrm>
                    <a:prstGeom prst="rect">
                      <a:avLst/>
                    </a:prstGeom>
                  </pic:spPr>
                </pic:pic>
              </a:graphicData>
            </a:graphic>
          </wp:anchor>
        </w:drawing>
      </w:r>
      <w:bookmarkEnd w:id="1295"/>
      <w:bookmarkEnd w:id="1296"/>
    </w:p>
    <w:p>
      <w:pPr>
        <w:pStyle w:val="Para 01"/>
      </w:pPr>
      <w:r>
        <w:t>Use DPDK</w:t>
      </w:r>
    </w:p>
    <w:p>
      <w:pPr>
        <w:pStyle w:val="Para 17"/>
      </w:pPr>
      <w:r>
        <w:t/>
      </w:r>
    </w:p>
    <w:p>
      <w:pPr>
        <w:pStyle w:val="Normal"/>
      </w:pPr>
      <w:r>
        <w:t xml:space="preserve">Since DPDK itself is only a (massive) library, you most likely will continue to </w:t>
      </w:r>
      <w:hyperlink w:anchor="page_262">
        <w:r>
          <w:rPr>
            <w:rStyle w:val="Text2"/>
          </w:rPr>
          <w:t>Open vSwitch</w:t>
        </w:r>
      </w:hyperlink>
    </w:p>
    <w:p>
      <w:pPr>
        <w:pStyle w:val="Normal"/>
      </w:pPr>
      <w:hyperlink w:anchor="page_262">
        <w:r>
          <w:rPr>
            <w:rStyle w:val="Text2"/>
          </w:rPr>
          <w:t>DPDK</w:t>
        </w:r>
      </w:hyperlink>
      <w:r>
        <w:t xml:space="preserve"> (page 261) as an example to put it to use.</w:t>
      </w:r>
    </w:p>
    <w:p>
      <w:pPr>
        <w:pStyle w:val="Para 17"/>
      </w:pPr>
      <w:r>
        <w:t/>
      </w:r>
    </w:p>
    <w:p>
      <w:pPr>
        <w:pStyle w:val="Para 01"/>
      </w:pPr>
      <w:r>
        <w:t>Resources</w:t>
      </w:r>
    </w:p>
    <w:p>
      <w:pPr>
        <w:pStyle w:val="Para 17"/>
      </w:pPr>
      <w:r>
        <w:t/>
      </w:r>
    </w:p>
    <w:p>
      <w:pPr>
        <w:pStyle w:val="Para 13"/>
      </w:pPr>
      <w:r>
        <w:rPr>
          <w:rStyle w:val="Text7"/>
        </w:rPr>
        <w:t xml:space="preserve">• </w:t>
      </w:r>
      <w:hyperlink w:anchor="page_824">
        <w:r>
          <w:rPr>
            <w:rStyle w:val="Text10"/>
          </w:rPr>
          <w:t>846</w:t>
        </w:r>
      </w:hyperlink>
      <w:r>
        <w:rPr>
          <w:rStyle w:val="Text7"/>
        </w:rPr>
        <w:t xml:space="preserve"> </w:t>
      </w:r>
      <w:hyperlink r:id="rId1716">
        <w:r>
          <w:t>DPDK documentation</w:t>
        </w:r>
      </w:hyperlink>
    </w:p>
    <w:p>
      <w:pPr>
        <w:pStyle w:val="Para 13"/>
      </w:pPr>
      <w:r>
        <w:rPr>
          <w:rStyle w:val="Text7"/>
        </w:rPr>
        <w:t xml:space="preserve">• </w:t>
      </w:r>
      <w:hyperlink w:anchor="page_824">
        <w:r>
          <w:rPr>
            <w:rStyle w:val="Text10"/>
          </w:rPr>
          <w:t>847</w:t>
        </w:r>
      </w:hyperlink>
      <w:r>
        <w:rPr>
          <w:rStyle w:val="Text7"/>
        </w:rPr>
        <w:t xml:space="preserve"> </w:t>
      </w:r>
      <w:hyperlink r:id="rId1717">
        <w:r>
          <w:t>Release Notes matching the version packages in Ubuntu 16.04</w:t>
        </w:r>
      </w:hyperlink>
    </w:p>
    <w:p>
      <w:pPr>
        <w:pStyle w:val="Para 13"/>
      </w:pPr>
      <w:r>
        <w:rPr>
          <w:rStyle w:val="Text7"/>
        </w:rPr>
        <w:t xml:space="preserve">• </w:t>
      </w:r>
      <w:hyperlink w:anchor="page_824">
        <w:r>
          <w:rPr>
            <w:rStyle w:val="Text10"/>
          </w:rPr>
          <w:t>848</w:t>
        </w:r>
      </w:hyperlink>
      <w:r>
        <w:rPr>
          <w:rStyle w:val="Text7"/>
        </w:rPr>
        <w:t xml:space="preserve"> </w:t>
      </w:r>
      <w:hyperlink r:id="rId1718">
        <w:r>
          <w:t>Linux DPDK user getting started</w:t>
        </w:r>
      </w:hyperlink>
    </w:p>
    <w:p>
      <w:pPr>
        <w:pStyle w:val="Para 13"/>
      </w:pPr>
      <w:r>
        <w:rPr>
          <w:rStyle w:val="Text7"/>
        </w:rPr>
        <w:t xml:space="preserve">• </w:t>
      </w:r>
      <w:hyperlink r:id="rId1719">
        <w:r>
          <w:rPr>
            <w:rStyle w:val="Text10"/>
          </w:rPr>
          <w:t>849</w:t>
        </w:r>
      </w:hyperlink>
      <w:hyperlink r:id="rId1719">
        <w:r>
          <w:t xml:space="preserve"> EAL command-line options</w:t>
        </w:r>
      </w:hyperlink>
    </w:p>
    <w:p>
      <w:pPr>
        <w:pStyle w:val="Para 13"/>
      </w:pPr>
      <w:r>
        <w:rPr>
          <w:rStyle w:val="Text7"/>
        </w:rPr>
        <w:t xml:space="preserve">• </w:t>
      </w:r>
      <w:hyperlink w:anchor="page_824">
        <w:r>
          <w:rPr>
            <w:rStyle w:val="Text10"/>
          </w:rPr>
          <w:t>850</w:t>
        </w:r>
      </w:hyperlink>
      <w:r>
        <w:rPr>
          <w:rStyle w:val="Text7"/>
        </w:rPr>
        <w:t xml:space="preserve"> </w:t>
      </w:r>
      <w:hyperlink r:id="rId1720">
        <w:r>
          <w:t>DPDK API documentation</w:t>
        </w:r>
      </w:hyperlink>
    </w:p>
    <w:p>
      <w:pPr>
        <w:pStyle w:val="Para 13"/>
      </w:pPr>
      <w:r>
        <w:rPr>
          <w:rStyle w:val="Text7"/>
        </w:rPr>
        <w:t xml:space="preserve">• </w:t>
      </w:r>
      <w:hyperlink w:anchor="page_824">
        <w:r>
          <w:rPr>
            <w:rStyle w:val="Text10"/>
          </w:rPr>
          <w:t>851</w:t>
        </w:r>
      </w:hyperlink>
      <w:r>
        <w:rPr>
          <w:rStyle w:val="Text7"/>
        </w:rPr>
        <w:t xml:space="preserve"> </w:t>
      </w:r>
      <w:hyperlink r:id="rId1199">
        <w:r>
          <w:t>Open vSwitch DPDK installation</w:t>
        </w:r>
      </w:hyperlink>
    </w:p>
    <w:p>
      <w:pPr>
        <w:pStyle w:val="Para 13"/>
      </w:pPr>
      <w:r>
        <w:rPr>
          <w:rStyle w:val="Text7"/>
        </w:rPr>
        <w:t xml:space="preserve">• </w:t>
      </w:r>
      <w:hyperlink r:id="rId1200">
        <w:r>
          <w:rPr>
            <w:rStyle w:val="Text10"/>
          </w:rPr>
          <w:t>852</w:t>
        </w:r>
      </w:hyperlink>
      <w:hyperlink r:id="rId1200">
        <w:r>
          <w:t xml:space="preserve"> Wikipedia definition of DPDK</w:t>
        </w:r>
      </w:hyperlink>
    </w:p>
    <w:p>
      <w:pPr>
        <w:pStyle w:val="Para 17"/>
      </w:pPr>
      <w:r>
        <w:t/>
      </w:r>
    </w:p>
    <w:p>
      <w:pPr>
        <w:pStyle w:val="Para 01"/>
      </w:pPr>
      <w:r>
        <w:t>DHCP</w:t>
      </w:r>
    </w:p>
    <w:p>
      <w:pPr>
        <w:pStyle w:val="Para 17"/>
      </w:pPr>
      <w:r>
        <w:t/>
      </w:r>
    </w:p>
    <w:p>
      <w:pPr>
        <w:pStyle w:val="Normal"/>
      </w:pPr>
      <w:r>
        <w:t>The Dynamic Host Configuration Protocol (DHCP) handles automatic IP address assignment.</w:t>
      </w:r>
    </w:p>
    <w:p>
      <w:pPr>
        <w:pStyle w:val="Para 04"/>
      </w:pPr>
      <w:r>
        <w:t xml:space="preserve">• </w:t>
      </w:r>
      <w:hyperlink w:anchor="page_824">
        <w:r>
          <w:rPr>
            <w:rStyle w:val="Text2"/>
          </w:rPr>
          <w:t>About DHCP</w:t>
        </w:r>
      </w:hyperlink>
      <w:r>
        <w:t xml:space="preserve"> (page 823) gives details about DHCP and how it works</w:t>
      </w:r>
    </w:p>
    <w:p>
      <w:pPr>
        <w:pStyle w:val="Para 17"/>
      </w:pPr>
      <w:r>
        <w:t/>
      </w:r>
    </w:p>
    <w:p>
      <w:pPr>
        <w:pStyle w:val="Para 01"/>
      </w:pPr>
      <w:r>
        <w:t>About DHCP</w:t>
      </w:r>
    </w:p>
    <w:p>
      <w:pPr>
        <w:pStyle w:val="Para 17"/>
      </w:pPr>
      <w:r>
        <w:t/>
      </w:r>
    </w:p>
    <w:p>
      <w:pPr>
        <w:pStyle w:val="Normal"/>
      </w:pPr>
      <w:r>
        <w:t>The Dynamic Host Configuration Protocol (DHCP) is a network service that enables host com-puters to be automatically assigned settings from a server as opposed to manually configur-ing each network host. Computers configured to be DHCP clients have no control over the settings they receive from the DHCP server, and the configuration is transparent to the com-puter’s user.</w:t>
      </w:r>
    </w:p>
    <w:p>
      <w:pPr>
        <w:pStyle w:val="Normal"/>
      </w:pPr>
      <w:r>
        <w:t>The most common settings provided by a DHCP server to DHCP clients include:</w:t>
      </w:r>
    </w:p>
    <w:p>
      <w:pPr>
        <w:pStyle w:val="Para 04"/>
      </w:pPr>
      <w:r>
        <w:t>• IP address and netmask</w:t>
      </w:r>
    </w:p>
    <w:p>
      <w:pPr>
        <w:pStyle w:val="Para 04"/>
      </w:pPr>
      <w:r>
        <w:t>• IP address of the default-gateway to use</w:t>
      </w:r>
    </w:p>
    <w:p>
      <w:pPr>
        <w:pStyle w:val="Para 04"/>
      </w:pPr>
      <w:r>
        <w:t xml:space="preserve">• IP addresses of the </w:t>
      </w:r>
      <w:hyperlink w:anchor="page_679">
        <w:r>
          <w:rPr>
            <w:rStyle w:val="Text2"/>
          </w:rPr>
          <w:t>DNS</w:t>
        </w:r>
      </w:hyperlink>
      <w:r>
        <w:t xml:space="preserve"> servers to use</w:t>
      </w:r>
    </w:p>
    <w:p>
      <w:pPr>
        <w:pStyle w:val="Normal"/>
      </w:pPr>
      <w:r>
        <w:t>However, a DHCP server can also supply configuration properties such as:</w:t>
      </w:r>
    </w:p>
    <w:p>
      <w:pPr>
        <w:pStyle w:val="Para 14"/>
      </w:pPr>
      <w:r>
        <w:rPr>
          <w:rStyle w:val="Text4"/>
        </w:rPr>
        <w:t xml:space="preserve">• </w:t>
      </w:r>
      <w:hyperlink w:anchor="page_688">
        <w:r>
          <w:t>Hostname</w:t>
        </w:r>
      </w:hyperlink>
    </w:p>
    <w:p>
      <w:pPr>
        <w:pStyle w:val="Para 04"/>
      </w:pPr>
      <w:r>
        <w:t>• Domain name</w:t>
      </w:r>
    </w:p>
    <w:p>
      <w:pPr>
        <w:pStyle w:val="Para 05"/>
      </w:pPr>
      <w:r>
        <w:rPr>
          <w:rStyle w:val="Text5"/>
        </w:rPr>
        <w:t>846</w:t>
      </w:r>
      <w:r>
        <w:rPr>
          <w:rStyle w:val="Text8"/>
        </w:rPr>
        <w:t xml:space="preserve"> </w:t>
      </w:r>
      <w:r>
        <w:t>http://core.dpdk.org/doc/</w:t>
      </w:r>
    </w:p>
    <w:p>
      <w:pPr>
        <w:pStyle w:val="Para 05"/>
      </w:pPr>
      <w:r>
        <w:rPr>
          <w:rStyle w:val="Text5"/>
        </w:rPr>
        <w:t>847</w:t>
      </w:r>
      <w:r>
        <w:rPr>
          <w:rStyle w:val="Text8"/>
        </w:rPr>
        <w:t xml:space="preserve"> </w:t>
      </w:r>
      <w:r>
        <w:t>https://doc.dpdk.org/guides/rel_notes/release_2_2.html</w:t>
      </w:r>
    </w:p>
    <w:p>
      <w:pPr>
        <w:pStyle w:val="Para 05"/>
      </w:pPr>
      <w:r>
        <w:rPr>
          <w:rStyle w:val="Text5"/>
        </w:rPr>
        <w:t>848</w:t>
      </w:r>
      <w:r>
        <w:rPr>
          <w:rStyle w:val="Text8"/>
        </w:rPr>
        <w:t xml:space="preserve"> </w:t>
      </w:r>
      <w:r>
        <w:t>https://doc.dpdk.org/guides/linux_gsg/index.html</w:t>
      </w:r>
    </w:p>
    <w:p>
      <w:pPr>
        <w:pStyle w:val="Para 05"/>
      </w:pPr>
      <w:r>
        <w:rPr>
          <w:rStyle w:val="Text5"/>
        </w:rPr>
        <w:t>849</w:t>
      </w:r>
      <w:r>
        <w:rPr>
          <w:rStyle w:val="Text8"/>
        </w:rPr>
        <w:t xml:space="preserve"> </w:t>
      </w:r>
      <w:r>
        <w:t>https://doc.dpdk.org/guides/testpmd_app_ug/run_app.html</w:t>
      </w:r>
    </w:p>
    <w:p>
      <w:pPr>
        <w:pStyle w:val="Para 05"/>
      </w:pPr>
      <w:r>
        <w:rPr>
          <w:rStyle w:val="Text5"/>
        </w:rPr>
        <w:t>850</w:t>
      </w:r>
      <w:r>
        <w:rPr>
          <w:rStyle w:val="Text8"/>
        </w:rPr>
        <w:t xml:space="preserve"> </w:t>
      </w:r>
      <w:r>
        <w:t>https://doc.dpdk.org/api/</w:t>
      </w:r>
    </w:p>
    <w:p>
      <w:pPr>
        <w:pStyle w:val="Para 05"/>
      </w:pPr>
      <w:r>
        <w:rPr>
          <w:rStyle w:val="Text5"/>
        </w:rPr>
        <w:t>851</w:t>
      </w:r>
      <w:r>
        <w:rPr>
          <w:rStyle w:val="Text8"/>
        </w:rPr>
        <w:t xml:space="preserve"> </w:t>
      </w:r>
      <w:r>
        <w:t>https://github.com/openvswitch/ovs/blob/branch-2.5/INSTALL.DPDK.md</w:t>
      </w:r>
    </w:p>
    <w:p>
      <w:pPr>
        <w:pStyle w:val="Para 05"/>
      </w:pPr>
      <w:r>
        <w:rPr>
          <w:rStyle w:val="Text5"/>
        </w:rPr>
        <w:t>852</w:t>
      </w:r>
      <w:r>
        <w:rPr>
          <w:rStyle w:val="Text8"/>
        </w:rPr>
        <w:t xml:space="preserve"> </w:t>
      </w:r>
      <w:r>
        <w:t>https://en.wikipedia.org/wiki/Data_Plane_Development_Kit</w:t>
      </w:r>
      <w:r>
        <w:rPr>
          <w:rStyle w:val="Text8"/>
        </w:rPr>
        <w:t xml:space="preserve"> </w:t>
      </w:r>
      <w:r>
        <w:rPr>
          <w:rStyle w:val="Text11"/>
        </w:rPr>
        <w:t>Available servers</w:t>
      </w:r>
    </w:p>
    <w:p>
      <w:bookmarkStart w:id="1297" w:name="page_8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0" name="index-825_1.png" descr="index-825_1.png"/>
            <wp:cNvGraphicFramePr>
              <a:graphicFrameLocks noChangeAspect="1"/>
            </wp:cNvGraphicFramePr>
            <a:graphic>
              <a:graphicData uri="http://schemas.openxmlformats.org/drawingml/2006/picture">
                <pic:pic>
                  <pic:nvPicPr>
                    <pic:cNvPr id="0" name="index-825_1.png" descr="index-825_1.png"/>
                    <pic:cNvPicPr/>
                  </pic:nvPicPr>
                  <pic:blipFill>
                    <a:blip r:embed="rId864"/>
                    <a:stretch>
                      <a:fillRect/>
                    </a:stretch>
                  </pic:blipFill>
                  <pic:spPr>
                    <a:xfrm>
                      <a:off x="0" y="0"/>
                      <a:ext cx="914400" cy="266700"/>
                    </a:xfrm>
                    <a:prstGeom prst="rect">
                      <a:avLst/>
                    </a:prstGeom>
                  </pic:spPr>
                </pic:pic>
              </a:graphicData>
            </a:graphic>
          </wp:anchor>
        </w:drawing>
      </w:r>
      <w:bookmarkEnd w:id="1297"/>
    </w:p>
    <w:p>
      <w:pPr>
        <w:pStyle w:val="Para 04"/>
      </w:pPr>
      <w:r>
        <w:t>• Time server</w:t>
      </w:r>
    </w:p>
    <w:p>
      <w:pPr>
        <w:pStyle w:val="Para 04"/>
      </w:pPr>
      <w:r>
        <w:t>• Print server</w:t>
      </w:r>
    </w:p>
    <w:p>
      <w:pPr>
        <w:pStyle w:val="Normal"/>
      </w:pPr>
      <w:r>
        <w:t>The advantage of using DHCP is that any changes to the network, such as a change in the DNS server address, only need to be changed at the DHCP server, and all network hosts will be reconfigured the next time their DHCP clients poll the DHCP server. As an added advantage, it is also easier to integrate new computers into the network, as there is no need to check for the availability of an IP address. Conflicts in IP address allocation are also reduced.</w:t>
      </w:r>
    </w:p>
    <w:p>
      <w:pPr>
        <w:pStyle w:val="Para 17"/>
      </w:pPr>
      <w:r>
        <w:t/>
      </w:r>
    </w:p>
    <w:p>
      <w:pPr>
        <w:pStyle w:val="Para 01"/>
      </w:pPr>
      <w:r>
        <w:t>DHCP configuration</w:t>
      </w:r>
    </w:p>
    <w:p>
      <w:pPr>
        <w:pStyle w:val="Para 17"/>
      </w:pPr>
      <w:r>
        <w:t/>
      </w:r>
    </w:p>
    <w:p>
      <w:pPr>
        <w:pStyle w:val="Normal"/>
      </w:pPr>
      <w:r>
        <w:t>A DHCP server can provide configuration settings using the following methods:</w:t>
      </w:r>
    </w:p>
    <w:p>
      <w:pPr>
        <w:pStyle w:val="Para 17"/>
      </w:pPr>
      <w:r>
        <w:t/>
      </w:r>
    </w:p>
    <w:p>
      <w:pPr>
        <w:pStyle w:val="Para 01"/>
      </w:pPr>
      <w:r>
        <w:t>Manual allocation (MAC address)</w:t>
      </w:r>
    </w:p>
    <w:p>
      <w:pPr>
        <w:pStyle w:val="Para 17"/>
      </w:pPr>
      <w:r>
        <w:t/>
      </w:r>
    </w:p>
    <w:p>
      <w:pPr>
        <w:pStyle w:val="Normal"/>
      </w:pPr>
      <w:r>
        <w:t>This method uses DHCP to identify the unique hardware address of each network card con-nected to the network, and then supplies a static configuration each time the DHCP client makes a request to the DHCP server using that network device. This ensures that a particu-lar address is assigned automatically to that network card, based on its MAC address.</w:t>
      </w:r>
    </w:p>
    <w:p>
      <w:pPr>
        <w:pStyle w:val="Para 17"/>
      </w:pPr>
      <w:r>
        <w:t/>
      </w:r>
    </w:p>
    <w:p>
      <w:pPr>
        <w:pStyle w:val="Para 01"/>
      </w:pPr>
      <w:r>
        <w:t>Dynamic allocation (address pool)</w:t>
      </w:r>
    </w:p>
    <w:p>
      <w:pPr>
        <w:pStyle w:val="Para 17"/>
      </w:pPr>
      <w:r>
        <w:t/>
      </w:r>
    </w:p>
    <w:p>
      <w:pPr>
        <w:pStyle w:val="Normal"/>
      </w:pPr>
      <w:r>
        <w:t>In this method, the DHCP server assigns an IP address from a pool of addresses (sometimes also called a range or scope) for a period of time (known as a lease) configured on the server, or until the client informs the server that it doesn’t need the address anymore. This way, the clients receive their configuration properties dynamically and on a “first come, first served” basis. When a DHCP client is no longer on the network for a specified period, the configura-tion is expired and released back to the address pool for use by other DHCP clients. After the lease period expires, the client must renegotiate the lease with the server to maintain use of the same address.</w:t>
      </w:r>
    </w:p>
    <w:p>
      <w:pPr>
        <w:pStyle w:val="Para 17"/>
      </w:pPr>
      <w:r>
        <w:t/>
      </w:r>
    </w:p>
    <w:p>
      <w:pPr>
        <w:pStyle w:val="Para 01"/>
      </w:pPr>
      <w:r>
        <w:t>Automatic allocation</w:t>
      </w:r>
    </w:p>
    <w:p>
      <w:pPr>
        <w:pStyle w:val="Para 17"/>
      </w:pPr>
      <w:r>
        <w:t/>
      </w:r>
    </w:p>
    <w:p>
      <w:pPr>
        <w:pStyle w:val="Normal"/>
      </w:pPr>
      <w:r>
        <w:t>Using this method, the DHCP automatically assigns an IP address permanently to a device, selecting it from a pool of available addresses. Usually, DHCP is used to assign a temporary address to a client, but a DHCP server can allow an infinite lease time.</w:t>
      </w:r>
    </w:p>
    <w:p>
      <w:pPr>
        <w:pStyle w:val="Normal"/>
      </w:pPr>
      <w:r>
        <w:t>The last two methods can be considered “automatic” because in each case the DHCP server assigns an address with no extra intervention needed. The only difference between them is in how long the IP address is leased; in other words, whether a client’s address varies over time.</w:t>
      </w:r>
    </w:p>
    <w:p>
      <w:bookmarkStart w:id="1298" w:name="calibre_pb_236"/>
      <w:pPr>
        <w:pStyle w:val="0 Block"/>
      </w:pPr>
      <w:bookmarkEnd w:id="1298"/>
    </w:p>
    <w:p>
      <w:bookmarkStart w:id="1299" w:name="page_826"/>
      <w:bookmarkStart w:id="1300" w:name="Top_of_index_split_23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1" name="index-826_1.png" descr="index-826_1.png"/>
            <wp:cNvGraphicFramePr>
              <a:graphicFrameLocks noChangeAspect="1"/>
            </wp:cNvGraphicFramePr>
            <a:graphic>
              <a:graphicData uri="http://schemas.openxmlformats.org/drawingml/2006/picture">
                <pic:pic>
                  <pic:nvPicPr>
                    <pic:cNvPr id="0" name="index-826_1.png" descr="index-826_1.png"/>
                    <pic:cNvPicPr/>
                  </pic:nvPicPr>
                  <pic:blipFill>
                    <a:blip r:embed="rId865"/>
                    <a:stretch>
                      <a:fillRect/>
                    </a:stretch>
                  </pic:blipFill>
                  <pic:spPr>
                    <a:xfrm>
                      <a:off x="0" y="0"/>
                      <a:ext cx="914400" cy="266700"/>
                    </a:xfrm>
                    <a:prstGeom prst="rect">
                      <a:avLst/>
                    </a:prstGeom>
                  </pic:spPr>
                </pic:pic>
              </a:graphicData>
            </a:graphic>
          </wp:anchor>
        </w:drawing>
      </w:r>
      <w:bookmarkEnd w:id="1299"/>
      <w:bookmarkEnd w:id="1300"/>
    </w:p>
    <w:p>
      <w:pPr>
        <w:pStyle w:val="Para 17"/>
      </w:pPr>
      <w:r>
        <w:t/>
      </w:r>
    </w:p>
    <w:p>
      <w:pPr>
        <w:pStyle w:val="Normal"/>
      </w:pPr>
      <w:r>
        <w:t>Ubuntu provides several DHCP servers. The following are the most common:</w:t>
      </w:r>
    </w:p>
    <w:p>
      <w:pPr>
        <w:pStyle w:val="Para 04"/>
      </w:pPr>
      <w:r>
        <w:t xml:space="preserve">• </w:t>
      </w:r>
      <w:hyperlink r:id="rId1201">
        <w:r>
          <w:rPr>
            <w:rStyle w:val="Text9"/>
          </w:rPr>
          <w:t>853</w:t>
        </w:r>
      </w:hyperlink>
      <w:r>
        <w:t xml:space="preserve"> isc-kea : </w:t>
      </w:r>
      <w:hyperlink r:id="rId1201">
        <w:r>
          <w:rPr>
            <w:rStyle w:val="Text1"/>
          </w:rPr>
          <w:t>Kea</w:t>
        </w:r>
      </w:hyperlink>
      <w:r>
        <w:t xml:space="preserve"> is the recommended DHCP server for new deployments. It was cre-</w:t>
      </w:r>
    </w:p>
    <w:p>
      <w:pPr>
        <w:pStyle w:val="Para 02"/>
      </w:pPr>
      <w:r>
        <w:t>ated by ISC to replace isc-dhcp-server and is supported in Ubuntu releases from 23.04 onward.</w:t>
      </w:r>
    </w:p>
    <w:p>
      <w:pPr>
        <w:pStyle w:val="Para 31"/>
      </w:pPr>
      <w:r>
        <w:rPr>
          <w:rStyle w:val="Text4"/>
        </w:rPr>
        <w:t xml:space="preserve">Find out </w:t>
      </w:r>
      <w:hyperlink w:anchor="page_268">
        <w:r>
          <w:t>how to install and configure isc-kea</w:t>
        </w:r>
      </w:hyperlink>
      <w:r>
        <w:rPr>
          <w:rStyle w:val="Text4"/>
        </w:rPr>
        <w:t xml:space="preserve"> (page 267).</w:t>
      </w:r>
    </w:p>
    <w:p>
      <w:pPr>
        <w:pStyle w:val="Para 04"/>
      </w:pPr>
      <w:r>
        <w:t xml:space="preserve">• </w:t>
      </w:r>
      <w:hyperlink w:anchor="page_826">
        <w:r>
          <w:rPr>
            <w:rStyle w:val="Text9"/>
          </w:rPr>
          <w:t>854</w:t>
        </w:r>
      </w:hyperlink>
      <w:r>
        <w:t xml:space="preserve"> dnsmasq : </w:t>
      </w:r>
      <w:hyperlink r:id="rId1204">
        <w:r>
          <w:rPr>
            <w:rStyle w:val="Text1"/>
          </w:rPr>
          <w:t>dnsmasq</w:t>
        </w:r>
      </w:hyperlink>
      <w:r>
        <w:t xml:space="preserve"> provides combined DNS and DHCP functionality. It is lightweight</w:t>
      </w:r>
    </w:p>
    <w:p>
      <w:pPr>
        <w:pStyle w:val="Para 02"/>
      </w:pPr>
      <w:r>
        <w:t>and suitable for small networks and development environments.</w:t>
      </w:r>
    </w:p>
    <w:p>
      <w:pPr>
        <w:pStyle w:val="Para 08"/>
      </w:pPr>
      <w:r>
        <w:t>Note:</w:t>
      </w:r>
    </w:p>
    <w:p>
      <w:pPr>
        <w:pStyle w:val="Para 03"/>
      </w:pPr>
      <w:r>
        <w:t>The isc-dhcp-server package is deprecated and unsupported since Ubuntu 24.04 LTS.</w:t>
      </w:r>
    </w:p>
    <w:p>
      <w:pPr>
        <w:pStyle w:val="Para 03"/>
      </w:pPr>
      <w:r>
        <w:t>Please use isc-kea or dnsmasq instead.</w:t>
      </w:r>
    </w:p>
    <w:p>
      <w:pPr>
        <w:pStyle w:val="Para 17"/>
      </w:pPr>
      <w:r>
        <w:t/>
      </w:r>
    </w:p>
    <w:p>
      <w:pPr>
        <w:pStyle w:val="Normal"/>
      </w:pPr>
      <w:r>
        <w:t>Legacy documentation for isc-dhcp-server is still available for existing deployments. You</w:t>
      </w:r>
    </w:p>
    <w:p>
      <w:pPr>
        <w:pStyle w:val="Para 20"/>
      </w:pPr>
      <w:r>
        <w:rPr>
          <w:rStyle w:val="Text4"/>
        </w:rPr>
        <w:t xml:space="preserve">can find </w:t>
      </w:r>
      <w:hyperlink w:anchor="page_271">
        <w:r>
          <w:t>information on how to configure it</w:t>
        </w:r>
      </w:hyperlink>
      <w:r>
        <w:rPr>
          <w:rStyle w:val="Text4"/>
        </w:rPr>
        <w:t xml:space="preserve"> (page 270) if needed.</w:t>
      </w:r>
    </w:p>
    <w:p>
      <w:pPr>
        <w:pStyle w:val="Para 17"/>
      </w:pPr>
      <w:r>
        <w:t/>
      </w:r>
    </w:p>
    <w:p>
      <w:pPr>
        <w:pStyle w:val="Para 01"/>
      </w:pPr>
      <w:r>
        <w:t>References</w:t>
      </w:r>
    </w:p>
    <w:p>
      <w:pPr>
        <w:pStyle w:val="Para 17"/>
      </w:pPr>
      <w:r>
        <w:t/>
      </w:r>
    </w:p>
    <w:p>
      <w:pPr>
        <w:pStyle w:val="Para 04"/>
      </w:pPr>
      <w:r>
        <w:t xml:space="preserve">• The </w:t>
      </w:r>
      <w:hyperlink w:anchor="page_826">
        <w:r>
          <w:rPr>
            <w:rStyle w:val="Text9"/>
          </w:rPr>
          <w:t>855</w:t>
        </w:r>
      </w:hyperlink>
      <w:r>
        <w:t xml:space="preserve"> </w:t>
      </w:r>
      <w:hyperlink r:id="rId1721">
        <w:r>
          <w:rPr>
            <w:rStyle w:val="Text1"/>
          </w:rPr>
          <w:t>isc-dhcp-server</w:t>
        </w:r>
      </w:hyperlink>
      <w:r>
        <w:t xml:space="preserve"> </w:t>
      </w:r>
      <w:hyperlink r:id="rId1721">
        <w:r>
          <w:rPr>
            <w:rStyle w:val="Text1"/>
          </w:rPr>
          <w:t>Ubuntu Wiki</w:t>
        </w:r>
      </w:hyperlink>
      <w:r>
        <w:t xml:space="preserve"> page has more information.</w:t>
      </w:r>
    </w:p>
    <w:p>
      <w:pPr>
        <w:pStyle w:val="Para 04"/>
      </w:pPr>
      <w:r>
        <w:t xml:space="preserve">• For more </w:t>
      </w:r>
      <w:hyperlink w:anchor="page_826">
        <w:r>
          <w:rPr>
            <w:rStyle w:val="Text9"/>
          </w:rPr>
          <w:t>856</w:t>
        </w:r>
      </w:hyperlink>
      <w:r>
        <w:t xml:space="preserve"> /etc/dhcp/dhcpd.conf options see the </w:t>
      </w:r>
      <w:hyperlink r:id="rId1205">
        <w:r>
          <w:rPr>
            <w:rStyle w:val="Text2"/>
          </w:rPr>
          <w:t>dhcpd.conf(5)</w:t>
        </w:r>
      </w:hyperlink>
      <w:r>
        <w:t xml:space="preserve"> manual page</w:t>
      </w:r>
    </w:p>
    <w:p>
      <w:pPr>
        <w:pStyle w:val="Para 13"/>
      </w:pPr>
      <w:r>
        <w:rPr>
          <w:rStyle w:val="Text7"/>
        </w:rPr>
        <w:t xml:space="preserve">• </w:t>
      </w:r>
      <w:hyperlink r:id="rId1206">
        <w:r>
          <w:rPr>
            <w:rStyle w:val="Text10"/>
          </w:rPr>
          <w:t>857</w:t>
        </w:r>
      </w:hyperlink>
      <w:hyperlink r:id="rId1206">
        <w:r>
          <w:t xml:space="preserve"> ISC dhcp-server</w:t>
        </w:r>
      </w:hyperlink>
    </w:p>
    <w:p>
      <w:pPr>
        <w:pStyle w:val="Para 13"/>
      </w:pPr>
      <w:r>
        <w:rPr>
          <w:rStyle w:val="Text7"/>
        </w:rPr>
        <w:t xml:space="preserve">• </w:t>
      </w:r>
      <w:hyperlink w:anchor="page_826">
        <w:r>
          <w:rPr>
            <w:rStyle w:val="Text10"/>
          </w:rPr>
          <w:t>858</w:t>
        </w:r>
      </w:hyperlink>
      <w:r>
        <w:rPr>
          <w:rStyle w:val="Text7"/>
        </w:rPr>
        <w:t xml:space="preserve"> </w:t>
      </w:r>
      <w:hyperlink r:id="rId1203">
        <w:r>
          <w:t>ISC Kea Documentation</w:t>
        </w:r>
      </w:hyperlink>
    </w:p>
    <w:p>
      <w:pPr>
        <w:pStyle w:val="Para 17"/>
      </w:pPr>
      <w:r>
        <w:t/>
      </w:r>
    </w:p>
    <w:p>
      <w:pPr>
        <w:pStyle w:val="Para 01"/>
      </w:pPr>
      <w:r>
        <w:t>Time synchronisation</w:t>
      </w:r>
    </w:p>
    <w:p>
      <w:pPr>
        <w:pStyle w:val="Para 17"/>
      </w:pPr>
      <w:r>
        <w:t/>
      </w:r>
    </w:p>
    <w:p>
      <w:pPr>
        <w:pStyle w:val="Para 04"/>
      </w:pPr>
      <w:r>
        <w:t xml:space="preserve">• </w:t>
      </w:r>
      <w:hyperlink w:anchor="page_826">
        <w:r>
          <w:rPr>
            <w:rStyle w:val="Text2"/>
          </w:rPr>
          <w:t>About time synchronisation</w:t>
        </w:r>
      </w:hyperlink>
      <w:r>
        <w:t xml:space="preserve"> (page 825) discusses the Network Time Protocol (NTP) and</w:t>
      </w:r>
    </w:p>
    <w:p>
      <w:pPr>
        <w:pStyle w:val="Para 02"/>
      </w:pPr>
      <w:r>
        <w:t>how it works</w:t>
      </w:r>
    </w:p>
    <w:p>
      <w:pPr>
        <w:pStyle w:val="Para 17"/>
      </w:pPr>
      <w:r>
        <w:t/>
      </w:r>
    </w:p>
    <w:p>
      <w:pPr>
        <w:pStyle w:val="Para 01"/>
      </w:pPr>
      <w:r>
        <w:t>About time synchronisation</w:t>
      </w:r>
    </w:p>
    <w:p>
      <w:pPr>
        <w:pStyle w:val="Para 17"/>
      </w:pPr>
      <w:r>
        <w:t/>
      </w:r>
    </w:p>
    <w:p>
      <w:pPr>
        <w:pStyle w:val="Normal"/>
      </w:pPr>
      <w:r>
        <w:t>Network Time Protocol (NTP) is a networking protocol for synchronizing time over a network. Basically, a client requests the current time from a server, and uses it to set its own clock.</w:t>
      </w:r>
    </w:p>
    <w:p>
      <w:pPr>
        <w:pStyle w:val="Normal"/>
      </w:pPr>
      <w:r>
        <w:t>Behind this simple description, there is a lot of complexity. There are three tiers of NTP servers; tier one NTP servers are connected to atomic clocks, while tier two and tier three three servers spread the load of actually handling requests across the Internet.</w:t>
      </w:r>
    </w:p>
    <w:p>
      <w:pPr>
        <w:pStyle w:val="Para 05"/>
      </w:pPr>
      <w:r>
        <w:rPr>
          <w:rStyle w:val="Text5"/>
        </w:rPr>
        <w:t>853</w:t>
      </w:r>
      <w:r>
        <w:rPr>
          <w:rStyle w:val="Text8"/>
        </w:rPr>
        <w:t xml:space="preserve"> </w:t>
      </w:r>
      <w:r>
        <w:t>https://www.isc.org/kea/</w:t>
      </w:r>
    </w:p>
    <w:p>
      <w:pPr>
        <w:pStyle w:val="Para 05"/>
      </w:pPr>
      <w:r>
        <w:rPr>
          <w:rStyle w:val="Text5"/>
        </w:rPr>
        <w:t>854</w:t>
      </w:r>
      <w:r>
        <w:rPr>
          <w:rStyle w:val="Text8"/>
        </w:rPr>
        <w:t xml:space="preserve"> </w:t>
      </w:r>
      <w:r>
        <w:t>https://thekelleys.org.uk/dnsmasq/doc.html</w:t>
      </w:r>
    </w:p>
    <w:p>
      <w:pPr>
        <w:pStyle w:val="Para 05"/>
      </w:pPr>
      <w:r>
        <w:rPr>
          <w:rStyle w:val="Text5"/>
        </w:rPr>
        <w:t>855</w:t>
      </w:r>
      <w:r>
        <w:rPr>
          <w:rStyle w:val="Text8"/>
        </w:rPr>
        <w:t xml:space="preserve"> </w:t>
      </w:r>
      <w:r>
        <w:t>https://help.ubuntu.com/community/isc-dhcp-server</w:t>
      </w:r>
    </w:p>
    <w:p>
      <w:pPr>
        <w:pStyle w:val="Para 05"/>
      </w:pPr>
      <w:r>
        <w:rPr>
          <w:rStyle w:val="Text5"/>
        </w:rPr>
        <w:t>856</w:t>
      </w:r>
      <w:r>
        <w:rPr>
          <w:rStyle w:val="Text8"/>
        </w:rPr>
        <w:t xml:space="preserve"> </w:t>
      </w:r>
      <w:r>
        <w:t>https://manpages.ubuntu.com/manpages/resolute/man5/dhcpd.conf.5.html</w:t>
      </w:r>
    </w:p>
    <w:p>
      <w:pPr>
        <w:pStyle w:val="Para 05"/>
      </w:pPr>
      <w:r>
        <w:rPr>
          <w:rStyle w:val="Text5"/>
        </w:rPr>
        <w:t>857</w:t>
      </w:r>
      <w:r>
        <w:rPr>
          <w:rStyle w:val="Text8"/>
        </w:rPr>
        <w:t xml:space="preserve"> </w:t>
      </w:r>
      <w:r>
        <w:t>https://www.isc.org/dhcp/</w:t>
      </w:r>
    </w:p>
    <w:p>
      <w:pPr>
        <w:pStyle w:val="Para 03"/>
      </w:pPr>
      <w:r>
        <w:rPr>
          <w:rStyle w:val="Text5"/>
        </w:rPr>
        <w:t>858</w:t>
      </w:r>
      <w:r>
        <w:t xml:space="preserve"> </w:t>
      </w:r>
      <w:r>
        <w:rPr>
          <w:rStyle w:val="Text6"/>
        </w:rPr>
        <w:t>https://kb.isc.org/docs/kea-administrator-reference-manual</w:t>
      </w:r>
      <w:r>
        <w:t xml:space="preserve"> The client software is also a lot more complex than you might expect. It must factor in com-munication delays and adjust the time in a way that does not upset all the other processes that run on the server. Luckily, all that complexity is hidden from you!</w:t>
      </w:r>
    </w:p>
    <w:p>
      <w:bookmarkStart w:id="1301" w:name="page_8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2" name="index-827_1.png" descr="index-827_1.png"/>
            <wp:cNvGraphicFramePr>
              <a:graphicFrameLocks noChangeAspect="1"/>
            </wp:cNvGraphicFramePr>
            <a:graphic>
              <a:graphicData uri="http://schemas.openxmlformats.org/drawingml/2006/picture">
                <pic:pic>
                  <pic:nvPicPr>
                    <pic:cNvPr id="0" name="index-827_1.png" descr="index-827_1.png"/>
                    <pic:cNvPicPr/>
                  </pic:nvPicPr>
                  <pic:blipFill>
                    <a:blip r:embed="rId866"/>
                    <a:stretch>
                      <a:fillRect/>
                    </a:stretch>
                  </pic:blipFill>
                  <pic:spPr>
                    <a:xfrm>
                      <a:off x="0" y="0"/>
                      <a:ext cx="914400" cy="266700"/>
                    </a:xfrm>
                    <a:prstGeom prst="rect">
                      <a:avLst/>
                    </a:prstGeom>
                  </pic:spPr>
                </pic:pic>
              </a:graphicData>
            </a:graphic>
          </wp:anchor>
        </w:drawing>
      </w:r>
      <w:bookmarkEnd w:id="1301"/>
    </w:p>
    <w:p>
      <w:pPr>
        <w:pStyle w:val="Normal"/>
      </w:pPr>
      <w:r>
        <w:t>Since Ubuntu 25.10 chrony is used to synchronize time by default. See our guides, if you</w:t>
      </w:r>
    </w:p>
    <w:p>
      <w:pPr>
        <w:pStyle w:val="Normal"/>
      </w:pPr>
      <w:r>
        <w:t xml:space="preserve">would like to know how to </w:t>
      </w:r>
      <w:hyperlink w:anchor="page_272">
        <w:r>
          <w:rPr>
            <w:rStyle w:val="Text2"/>
          </w:rPr>
          <w:t>synchronize time with chrony</w:t>
        </w:r>
      </w:hyperlink>
      <w:r>
        <w:t xml:space="preserve"> (page 271) or </w:t>
      </w:r>
      <w:hyperlink w:anchor="page_278">
        <w:r>
          <w:rPr>
            <w:rStyle w:val="Text2"/>
          </w:rPr>
          <w:t>use chrony to serve NTP</w:t>
        </w:r>
      </w:hyperlink>
      <w:r>
        <w:t xml:space="preserve"> (page 277).</w:t>
      </w:r>
    </w:p>
    <w:p>
      <w:pPr>
        <w:pStyle w:val="Normal"/>
      </w:pPr>
      <w:r>
        <w:t xml:space="preserve">Users can optionally use </w:t>
      </w:r>
      <w:hyperlink w:anchor="page_276">
        <w:r>
          <w:rPr>
            <w:rStyle w:val="Text2"/>
          </w:rPr>
          <w:t>timedatectl and timesyncd</w:t>
        </w:r>
      </w:hyperlink>
      <w:r>
        <w:t xml:space="preserve"> (page 275).</w:t>
      </w:r>
    </w:p>
    <w:p>
      <w:pPr>
        <w:pStyle w:val="Para 08"/>
      </w:pPr>
      <w:r>
        <w:t>Note:</w:t>
      </w:r>
    </w:p>
    <w:p>
      <w:pPr>
        <w:pStyle w:val="Para 03"/>
      </w:pPr>
      <w:r>
        <w:t>Chrony is replacing systemd-timesyncd as the default in Ubuntu 25.10 and ntpdate/ntpd,</w:t>
      </w:r>
    </w:p>
    <w:p>
      <w:pPr>
        <w:pStyle w:val="Para 03"/>
      </w:pPr>
      <w:r>
        <w:t>which was the default before Ubuntu 18.04 LTS.</w:t>
      </w:r>
    </w:p>
    <w:p>
      <w:pPr>
        <w:pStyle w:val="Para 03"/>
      </w:pPr>
      <w:r>
        <w:t>On upgraded systems (from Ubuntu 25.04 or below) systemd-timesyncd might still be the</w:t>
      </w:r>
    </w:p>
    <w:p>
      <w:pPr>
        <w:pStyle w:val="Para 03"/>
      </w:pPr>
      <w:r>
        <w:t>active time-daemon and thus render the new chrony service disabled. Similarly, while the</w:t>
      </w:r>
    </w:p>
    <w:p>
      <w:pPr>
        <w:pStyle w:val="Para 03"/>
      </w:pPr>
      <w:r>
        <w:t>use of ntpd is no longer recommended, it might still be installed to retain any previous</w:t>
      </w:r>
    </w:p>
    <w:p>
      <w:pPr>
        <w:pStyle w:val="Para 03"/>
      </w:pPr>
      <w:r>
        <w:t>behavior/config on upgrades (up to Ubuntu 22.04 LTS).</w:t>
      </w:r>
    </w:p>
    <w:p>
      <w:pPr>
        <w:pStyle w:val="Para 17"/>
      </w:pPr>
      <w:r>
        <w:t/>
      </w:r>
    </w:p>
    <w:p>
      <w:pPr>
        <w:pStyle w:val="Para 01"/>
      </w:pPr>
      <w:r>
        <w:t>How time synchronization works</w:t>
      </w:r>
    </w:p>
    <w:p>
      <w:pPr>
        <w:pStyle w:val="Para 17"/>
      </w:pPr>
      <w:r>
        <w:t/>
      </w:r>
    </w:p>
    <w:p>
      <w:pPr>
        <w:pStyle w:val="Para 01"/>
      </w:pPr>
      <w:r>
        <w:t>About chrony</w:t>
      </w:r>
    </w:p>
    <w:p>
      <w:pPr>
        <w:pStyle w:val="Para 17"/>
      </w:pPr>
      <w:r>
        <w:t/>
      </w:r>
    </w:p>
    <w:p>
      <w:pPr>
        <w:pStyle w:val="Normal"/>
      </w:pPr>
      <w:r>
        <w:t>chrony replaces not only ntpdate, but also the Simple Network Time Protocol (SNTP) client of timesyncd, still allowing for basic usage of systemd’s timedatectl. So, on top of the one-shot action that ntpdate provided on boot and network activation, chrony now regularly checks and keeps your local time in sync. It also stores time updates locally, so that after reboots the time monotonically advances (if applicable).</w:t>
      </w:r>
    </w:p>
    <w:p>
      <w:pPr>
        <w:pStyle w:val="Para 17"/>
      </w:pPr>
      <w:r>
        <w:t/>
      </w:r>
    </w:p>
    <w:p>
      <w:pPr>
        <w:pStyle w:val="Para 01"/>
      </w:pPr>
      <w:r>
        <w:t>About timedatectl</w:t>
      </w:r>
    </w:p>
    <w:p>
      <w:pPr>
        <w:pStyle w:val="Para 17"/>
      </w:pPr>
      <w:r>
        <w:t/>
      </w:r>
    </w:p>
    <w:p>
      <w:pPr>
        <w:pStyle w:val="Normal"/>
      </w:pPr>
      <w:r>
        <w:t>If chrony is installed, timedatectl can still be used to configure basic settings, such as the timezone. But more complex configuration needs to be set up using the chronyc command. This ensures that no two time-syncing services can conflict with each other.</w:t>
      </w:r>
    </w:p>
    <w:p>
      <w:pPr>
        <w:pStyle w:val="Normal"/>
      </w:pPr>
      <w:r>
        <w:t>chrony will generally keep your time in sync and can be set up as a time server, timesyncd can help with simpler cases. But if you had one of a few known special ntpdate use cases, consider the following:</w:t>
      </w:r>
    </w:p>
    <w:p>
      <w:pPr>
        <w:pStyle w:val="Para 04"/>
      </w:pPr>
      <w:r>
        <w:t>• If you require a one-shot sync, use: chronyd -q</w:t>
      </w:r>
    </w:p>
    <w:p>
      <w:pPr>
        <w:pStyle w:val="Para 04"/>
      </w:pPr>
      <w:r>
        <w:t>• If you require a one-shot time check (without setting the time), use: chronyd -Q</w:t>
      </w:r>
    </w:p>
    <w:p>
      <w:bookmarkStart w:id="1302" w:name="calibre_pb_237"/>
      <w:pPr>
        <w:pStyle w:val="0 Block"/>
      </w:pPr>
      <w:bookmarkEnd w:id="1302"/>
    </w:p>
    <w:p>
      <w:bookmarkStart w:id="1303" w:name="page_828"/>
      <w:bookmarkStart w:id="1304" w:name="Top_of_index_split_23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3" name="index-828_1.png" descr="index-828_1.png"/>
            <wp:cNvGraphicFramePr>
              <a:graphicFrameLocks noChangeAspect="1"/>
            </wp:cNvGraphicFramePr>
            <a:graphic>
              <a:graphicData uri="http://schemas.openxmlformats.org/drawingml/2006/picture">
                <pic:pic>
                  <pic:nvPicPr>
                    <pic:cNvPr id="0" name="index-828_1.png" descr="index-828_1.png"/>
                    <pic:cNvPicPr/>
                  </pic:nvPicPr>
                  <pic:blipFill>
                    <a:blip r:embed="rId867"/>
                    <a:stretch>
                      <a:fillRect/>
                    </a:stretch>
                  </pic:blipFill>
                  <pic:spPr>
                    <a:xfrm>
                      <a:off x="0" y="0"/>
                      <a:ext cx="914400" cy="266700"/>
                    </a:xfrm>
                    <a:prstGeom prst="rect">
                      <a:avLst/>
                    </a:prstGeom>
                  </pic:spPr>
                </pic:pic>
              </a:graphicData>
            </a:graphic>
          </wp:anchor>
        </w:drawing>
      </w:r>
      <w:bookmarkEnd w:id="1303"/>
      <w:bookmarkEnd w:id="1304"/>
    </w:p>
    <w:p>
      <w:pPr>
        <w:pStyle w:val="Para 01"/>
      </w:pPr>
      <w:r>
        <w:t>Further reading</w:t>
      </w:r>
    </w:p>
    <w:p>
      <w:pPr>
        <w:pStyle w:val="Para 17"/>
      </w:pPr>
      <w:r>
        <w:t/>
      </w:r>
    </w:p>
    <w:p>
      <w:pPr>
        <w:pStyle w:val="Para 13"/>
      </w:pPr>
      <w:r>
        <w:rPr>
          <w:rStyle w:val="Text7"/>
        </w:rPr>
        <w:t xml:space="preserve">• </w:t>
      </w:r>
      <w:hyperlink r:id="rId1216">
        <w:r>
          <w:rPr>
            <w:rStyle w:val="Text10"/>
          </w:rPr>
          <w:t>859</w:t>
        </w:r>
      </w:hyperlink>
      <w:hyperlink r:id="rId1216">
        <w:r>
          <w:t xml:space="preserve"> ntp.org: home of the Network Time Protocol project</w:t>
        </w:r>
      </w:hyperlink>
    </w:p>
    <w:p>
      <w:pPr>
        <w:pStyle w:val="Para 13"/>
      </w:pPr>
      <w:r>
        <w:rPr>
          <w:rStyle w:val="Text7"/>
        </w:rPr>
        <w:t xml:space="preserve">• </w:t>
      </w:r>
      <w:hyperlink r:id="rId1217">
        <w:r>
          <w:rPr>
            <w:rStyle w:val="Text10"/>
          </w:rPr>
          <w:t>860</w:t>
        </w:r>
      </w:hyperlink>
      <w:hyperlink r:id="rId1217">
        <w:r>
          <w:t xml:space="preserve"> pool.ntp.org: project of virtual cluster of timeservers</w:t>
        </w:r>
      </w:hyperlink>
    </w:p>
    <w:p>
      <w:pPr>
        <w:pStyle w:val="Para 14"/>
      </w:pPr>
      <w:r>
        <w:rPr>
          <w:rStyle w:val="Text4"/>
        </w:rPr>
        <w:t xml:space="preserve">• </w:t>
      </w:r>
      <w:hyperlink w:anchor="page_828">
        <w:r>
          <w:rPr>
            <w:rStyle w:val="Text15"/>
          </w:rPr>
          <w:t>861</w:t>
        </w:r>
      </w:hyperlink>
      <w:r>
        <w:rPr>
          <w:rStyle w:val="Text4"/>
        </w:rPr>
        <w:t xml:space="preserve"> </w:t>
      </w:r>
      <w:hyperlink r:id="rId1210">
        <w:r>
          <w:t>timedatectl(1)</w:t>
        </w:r>
      </w:hyperlink>
    </w:p>
    <w:p>
      <w:pPr>
        <w:pStyle w:val="Para 14"/>
      </w:pPr>
      <w:r>
        <w:rPr>
          <w:rStyle w:val="Text4"/>
        </w:rPr>
        <w:t xml:space="preserve">• </w:t>
      </w:r>
      <w:hyperlink w:anchor="page_828">
        <w:r>
          <w:rPr>
            <w:rStyle w:val="Text15"/>
          </w:rPr>
          <w:t>862</w:t>
        </w:r>
      </w:hyperlink>
      <w:r>
        <w:rPr>
          <w:rStyle w:val="Text4"/>
        </w:rPr>
        <w:t xml:space="preserve"> </w:t>
      </w:r>
      <w:hyperlink r:id="rId1211">
        <w:r>
          <w:t>systemd-timesyncd.service(8)</w:t>
        </w:r>
      </w:hyperlink>
    </w:p>
    <w:p>
      <w:pPr>
        <w:pStyle w:val="Para 13"/>
      </w:pPr>
      <w:r>
        <w:rPr>
          <w:rStyle w:val="Text7"/>
        </w:rPr>
        <w:t xml:space="preserve">• </w:t>
      </w:r>
      <w:hyperlink w:anchor="page_828">
        <w:r>
          <w:rPr>
            <w:rStyle w:val="Text10"/>
          </w:rPr>
          <w:t>863</w:t>
        </w:r>
      </w:hyperlink>
      <w:r>
        <w:rPr>
          <w:rStyle w:val="Text7"/>
        </w:rPr>
        <w:t xml:space="preserve"> </w:t>
      </w:r>
      <w:hyperlink r:id="rId1215">
        <w:r>
          <w:t>chrony</w:t>
        </w:r>
      </w:hyperlink>
      <w:r>
        <w:rPr>
          <w:rStyle w:val="Text7"/>
        </w:rPr>
        <w:t xml:space="preserve"> </w:t>
      </w:r>
      <w:hyperlink r:id="rId1215">
        <w:r>
          <w:t>FAQ</w:t>
        </w:r>
      </w:hyperlink>
    </w:p>
    <w:p>
      <w:pPr>
        <w:pStyle w:val="Para 13"/>
      </w:pPr>
      <w:r>
        <w:rPr>
          <w:rStyle w:val="Text7"/>
        </w:rPr>
        <w:t xml:space="preserve">• </w:t>
      </w:r>
      <w:hyperlink r:id="rId1220">
        <w:r>
          <w:rPr>
            <w:rStyle w:val="Text10"/>
          </w:rPr>
          <w:t>864</w:t>
        </w:r>
      </w:hyperlink>
      <w:hyperlink r:id="rId1220">
        <w:r>
          <w:t xml:space="preserve"> Feeding chrony from GPSD</w:t>
        </w:r>
      </w:hyperlink>
    </w:p>
    <w:p>
      <w:pPr>
        <w:pStyle w:val="Para 04"/>
      </w:pPr>
      <w:r>
        <w:t xml:space="preserve">• Also see the </w:t>
      </w:r>
      <w:hyperlink w:anchor="page_828">
        <w:r>
          <w:rPr>
            <w:rStyle w:val="Text9"/>
          </w:rPr>
          <w:t>865</w:t>
        </w:r>
      </w:hyperlink>
      <w:r>
        <w:t xml:space="preserve"> </w:t>
      </w:r>
      <w:hyperlink r:id="rId1212">
        <w:r>
          <w:rPr>
            <w:rStyle w:val="Text1"/>
          </w:rPr>
          <w:t>Ubuntu Time wiki page</w:t>
        </w:r>
      </w:hyperlink>
      <w:r>
        <w:t xml:space="preserve"> for more information.</w:t>
      </w:r>
    </w:p>
    <w:p>
      <w:pPr>
        <w:pStyle w:val="Para 17"/>
      </w:pPr>
      <w:r>
        <w:t/>
      </w:r>
    </w:p>
    <w:p>
      <w:pPr>
        <w:pStyle w:val="Para 01"/>
      </w:pPr>
      <w:r>
        <w:t>Network shares</w:t>
      </w:r>
    </w:p>
    <w:p>
      <w:pPr>
        <w:pStyle w:val="Para 17"/>
      </w:pPr>
      <w:r>
        <w:t/>
      </w:r>
    </w:p>
    <w:p>
      <w:pPr>
        <w:pStyle w:val="Normal"/>
      </w:pPr>
      <w:r>
        <w:t>Samba and Active Directory are two tools you will need if you want to share resources and directories between Linux and Windows systems.</w:t>
      </w:r>
    </w:p>
    <w:p>
      <w:pPr>
        <w:pStyle w:val="Para 04"/>
      </w:pPr>
      <w:r>
        <w:t xml:space="preserve">• </w:t>
      </w:r>
      <w:hyperlink w:anchor="page_828">
        <w:r>
          <w:rPr>
            <w:rStyle w:val="Text2"/>
          </w:rPr>
          <w:t>Introduction to Samba</w:t>
        </w:r>
      </w:hyperlink>
      <w:r>
        <w:t xml:space="preserve"> (page 827) will talk you through the key concepts you will need</w:t>
      </w:r>
    </w:p>
    <w:p>
      <w:pPr>
        <w:pStyle w:val="Para 02"/>
      </w:pPr>
      <w:r>
        <w:t>to be able to follow our how-to guides on Samba</w:t>
      </w:r>
    </w:p>
    <w:p>
      <w:pPr>
        <w:pStyle w:val="Para 04"/>
      </w:pPr>
      <w:r>
        <w:t xml:space="preserve">• Our </w:t>
      </w:r>
      <w:hyperlink w:anchor="page_830">
        <w:r>
          <w:rPr>
            <w:rStyle w:val="Text2"/>
          </w:rPr>
          <w:t>Active Directory integration</w:t>
        </w:r>
      </w:hyperlink>
      <w:r>
        <w:t xml:space="preserve"> (page 829) section has both an introduction and in-</w:t>
      </w:r>
    </w:p>
    <w:p>
      <w:pPr>
        <w:pStyle w:val="Para 02"/>
      </w:pPr>
      <w:r>
        <w:t>depth discussion about Active Directory integration</w:t>
      </w:r>
    </w:p>
    <w:p>
      <w:pPr>
        <w:pStyle w:val="Para 17"/>
      </w:pPr>
      <w:r>
        <w:t/>
      </w:r>
    </w:p>
    <w:p>
      <w:pPr>
        <w:pStyle w:val="Para 01"/>
      </w:pPr>
      <w:r>
        <w:t>Introduction to Samba</w:t>
      </w:r>
    </w:p>
    <w:p>
      <w:pPr>
        <w:pStyle w:val="Para 17"/>
      </w:pPr>
      <w:r>
        <w:t/>
      </w:r>
    </w:p>
    <w:p>
      <w:pPr>
        <w:pStyle w:val="Normal"/>
      </w:pPr>
      <w:r>
        <w:t>Computer networks are often comprised of diverse systems. While operating a network made up entirely of Ubuntu desktop and server computers would definitely be fun, some net-work environments require both Ubuntu and Microsoft Windows systems working together in harmony.</w:t>
      </w:r>
    </w:p>
    <w:p>
      <w:pPr>
        <w:pStyle w:val="Normal"/>
      </w:pPr>
      <w:r>
        <w:t xml:space="preserve">This is where </w:t>
      </w:r>
      <w:hyperlink w:anchor="page_828">
        <w:r>
          <w:rPr>
            <w:rStyle w:val="Text9"/>
          </w:rPr>
          <w:t>866</w:t>
        </w:r>
      </w:hyperlink>
      <w:r>
        <w:t xml:space="preserve"> </w:t>
      </w:r>
      <w:hyperlink r:id="rId1722">
        <w:r>
          <w:rPr>
            <w:rStyle w:val="Text1"/>
          </w:rPr>
          <w:t>Samba</w:t>
        </w:r>
      </w:hyperlink>
      <w:r>
        <w:t xml:space="preserve"> comes in! Samba provides various tools for configuring your Ubuntu Server to share network resources with Windows clients. In this overview, we’ll look at some of the key principles, how to install and configure the tools available, and some common Samba use cases.</w:t>
      </w:r>
    </w:p>
    <w:p>
      <w:pPr>
        <w:pStyle w:val="Para 05"/>
      </w:pPr>
      <w:r>
        <w:rPr>
          <w:rStyle w:val="Text5"/>
        </w:rPr>
        <w:t>859</w:t>
      </w:r>
      <w:r>
        <w:rPr>
          <w:rStyle w:val="Text8"/>
        </w:rPr>
        <w:t xml:space="preserve"> </w:t>
      </w:r>
      <w:r>
        <w:t>http://www.ntp.org/</w:t>
      </w:r>
    </w:p>
    <w:p>
      <w:pPr>
        <w:pStyle w:val="Para 05"/>
      </w:pPr>
      <w:r>
        <w:rPr>
          <w:rStyle w:val="Text5"/>
        </w:rPr>
        <w:t>860</w:t>
      </w:r>
      <w:r>
        <w:rPr>
          <w:rStyle w:val="Text8"/>
        </w:rPr>
        <w:t xml:space="preserve"> </w:t>
      </w:r>
      <w:r>
        <w:t>https://www.ntppool.org/en/</w:t>
      </w:r>
    </w:p>
    <w:p>
      <w:pPr>
        <w:pStyle w:val="Para 05"/>
      </w:pPr>
      <w:r>
        <w:rPr>
          <w:rStyle w:val="Text5"/>
        </w:rPr>
        <w:t>861</w:t>
      </w:r>
      <w:r>
        <w:rPr>
          <w:rStyle w:val="Text8"/>
        </w:rPr>
        <w:t xml:space="preserve"> </w:t>
      </w:r>
      <w:r>
        <w:t>https://manpages.ubuntu.com/manpages/resolute/man1/timedatectl.1.html</w:t>
      </w:r>
    </w:p>
    <w:p>
      <w:pPr>
        <w:pStyle w:val="Para 05"/>
      </w:pPr>
      <w:r>
        <w:rPr>
          <w:rStyle w:val="Text5"/>
        </w:rPr>
        <w:t>862</w:t>
      </w:r>
      <w:r>
        <w:rPr>
          <w:rStyle w:val="Text8"/>
        </w:rPr>
        <w:t xml:space="preserve"> </w:t>
      </w:r>
      <w:r>
        <w:t>https://manpages.ubuntu.com/manpages/resolute/man8/systemd-timesyncd.service.8.html</w:t>
      </w:r>
    </w:p>
    <w:p>
      <w:pPr>
        <w:pStyle w:val="Para 05"/>
      </w:pPr>
      <w:r>
        <w:rPr>
          <w:rStyle w:val="Text5"/>
        </w:rPr>
        <w:t>863</w:t>
      </w:r>
      <w:r>
        <w:rPr>
          <w:rStyle w:val="Text8"/>
        </w:rPr>
        <w:t xml:space="preserve"> </w:t>
      </w:r>
      <w:r>
        <w:t>https://chrony-project.org/faq.html</w:t>
      </w:r>
    </w:p>
    <w:p>
      <w:pPr>
        <w:pStyle w:val="Para 05"/>
      </w:pPr>
      <w:r>
        <w:rPr>
          <w:rStyle w:val="Text5"/>
        </w:rPr>
        <w:t>864</w:t>
      </w:r>
      <w:r>
        <w:rPr>
          <w:rStyle w:val="Text8"/>
        </w:rPr>
        <w:t xml:space="preserve"> </w:t>
      </w:r>
      <w:r>
        <w:t>https://gpsd.gitlab.io/gpsd/gpsd-time-service-howto.html#_feeding_chrony_from_gpsd</w:t>
      </w:r>
    </w:p>
    <w:p>
      <w:pPr>
        <w:pStyle w:val="Para 05"/>
      </w:pPr>
      <w:r>
        <w:rPr>
          <w:rStyle w:val="Text5"/>
        </w:rPr>
        <w:t>865</w:t>
      </w:r>
      <w:r>
        <w:rPr>
          <w:rStyle w:val="Text8"/>
        </w:rPr>
        <w:t xml:space="preserve"> </w:t>
      </w:r>
      <w:r>
        <w:t>https://help.ubuntu.com/community/UbuntuTime</w:t>
      </w:r>
    </w:p>
    <w:p>
      <w:pPr>
        <w:pStyle w:val="Para 05"/>
      </w:pPr>
      <w:r>
        <w:rPr>
          <w:rStyle w:val="Text5"/>
        </w:rPr>
        <w:t>866</w:t>
      </w:r>
      <w:r>
        <w:rPr>
          <w:rStyle w:val="Text8"/>
        </w:rPr>
        <w:t xml:space="preserve"> </w:t>
      </w:r>
      <w:r>
        <w:t>https://www.samba.org/</w:t>
      </w:r>
    </w:p>
    <w:p>
      <w:bookmarkStart w:id="1305" w:name="calibre_pb_238"/>
      <w:pPr>
        <w:pStyle w:val="0 Block"/>
      </w:pPr>
      <w:bookmarkEnd w:id="1305"/>
    </w:p>
    <w:p>
      <w:bookmarkStart w:id="1306" w:name="page_829"/>
      <w:bookmarkStart w:id="1307" w:name="Top_of_index_split_23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4" name="index-829_1.png" descr="index-829_1.png"/>
            <wp:cNvGraphicFramePr>
              <a:graphicFrameLocks noChangeAspect="1"/>
            </wp:cNvGraphicFramePr>
            <a:graphic>
              <a:graphicData uri="http://schemas.openxmlformats.org/drawingml/2006/picture">
                <pic:pic>
                  <pic:nvPicPr>
                    <pic:cNvPr id="0" name="index-829_1.png" descr="index-829_1.png"/>
                    <pic:cNvPicPr/>
                  </pic:nvPicPr>
                  <pic:blipFill>
                    <a:blip r:embed="rId868"/>
                    <a:stretch>
                      <a:fillRect/>
                    </a:stretch>
                  </pic:blipFill>
                  <pic:spPr>
                    <a:xfrm>
                      <a:off x="0" y="0"/>
                      <a:ext cx="914400" cy="266700"/>
                    </a:xfrm>
                    <a:prstGeom prst="rect">
                      <a:avLst/>
                    </a:prstGeom>
                  </pic:spPr>
                </pic:pic>
              </a:graphicData>
            </a:graphic>
          </wp:anchor>
        </w:drawing>
      </w:r>
      <w:bookmarkEnd w:id="1306"/>
      <w:bookmarkEnd w:id="1307"/>
    </w:p>
    <w:p>
      <w:pPr>
        <w:pStyle w:val="Para 01"/>
      </w:pPr>
      <w:r>
        <w:t>Samba functionality</w:t>
      </w:r>
    </w:p>
    <w:p>
      <w:pPr>
        <w:pStyle w:val="Para 17"/>
      </w:pPr>
      <w:r>
        <w:t/>
      </w:r>
    </w:p>
    <w:p>
      <w:pPr>
        <w:pStyle w:val="Normal"/>
      </w:pPr>
      <w:r>
        <w:t>There are several services common to Windows environments that your Ubuntu system needs to integrate with in order to set up a successful network. These services share data and configuration details of the computers and users on the network between them, and can each be classified under one of three main categories of functionality.</w:t>
      </w:r>
    </w:p>
    <w:p>
      <w:pPr>
        <w:pStyle w:val="Para 17"/>
      </w:pPr>
      <w:r>
        <w:t/>
      </w:r>
    </w:p>
    <w:p>
      <w:pPr>
        <w:pStyle w:val="Para 01"/>
      </w:pPr>
      <w:r>
        <w:t>File and printer sharing services</w:t>
      </w:r>
    </w:p>
    <w:p>
      <w:pPr>
        <w:pStyle w:val="Para 17"/>
      </w:pPr>
      <w:r>
        <w:t/>
      </w:r>
    </w:p>
    <w:p>
      <w:pPr>
        <w:pStyle w:val="Normal"/>
      </w:pPr>
      <w:r>
        <w:t>These services use the Server Message Block (SMB) protocol to facilitate the sharing of files, folders, volumes, and the sharing of printers throughout the network.</w:t>
      </w:r>
    </w:p>
    <w:p>
      <w:pPr>
        <w:pStyle w:val="Para 04"/>
      </w:pPr>
      <w:r>
        <w:t xml:space="preserve">• </w:t>
      </w:r>
      <w:r>
        <w:rPr>
          <w:rStyle w:val="Text0"/>
        </w:rPr>
        <w:t>File server</w:t>
      </w:r>
      <w:r>
        <w:t xml:space="preserve"> Samba can be </w:t>
      </w:r>
      <w:hyperlink w:anchor="page_305">
        <w:r>
          <w:rPr>
            <w:rStyle w:val="Text2"/>
          </w:rPr>
          <w:t>configured as a file server</w:t>
        </w:r>
      </w:hyperlink>
      <w:r>
        <w:t xml:space="preserve"> (page 304) to share files with Win-</w:t>
      </w:r>
    </w:p>
    <w:p>
      <w:pPr>
        <w:pStyle w:val="Para 02"/>
      </w:pPr>
      <w:r>
        <w:t>dows clients - our guide will walk you through that process.</w:t>
      </w:r>
    </w:p>
    <w:p>
      <w:pPr>
        <w:pStyle w:val="Para 04"/>
      </w:pPr>
      <w:r>
        <w:t xml:space="preserve">• </w:t>
      </w:r>
      <w:r>
        <w:rPr>
          <w:rStyle w:val="Text0"/>
        </w:rPr>
        <w:t>Print server</w:t>
      </w:r>
      <w:r>
        <w:t xml:space="preserve"> Samba can also be </w:t>
      </w:r>
      <w:hyperlink w:anchor="page_308">
        <w:r>
          <w:rPr>
            <w:rStyle w:val="Text2"/>
          </w:rPr>
          <w:t>configured as a print server</w:t>
        </w:r>
      </w:hyperlink>
      <w:r>
        <w:t xml:space="preserve"> (page 307) to share printer</w:t>
      </w:r>
    </w:p>
    <w:p>
      <w:pPr>
        <w:pStyle w:val="Para 02"/>
      </w:pPr>
      <w:r>
        <w:t>access with Windows clients, as detailed in this guide.</w:t>
      </w:r>
    </w:p>
    <w:p>
      <w:pPr>
        <w:pStyle w:val="Para 17"/>
      </w:pPr>
      <w:r>
        <w:t/>
      </w:r>
    </w:p>
    <w:p>
      <w:pPr>
        <w:pStyle w:val="Para 01"/>
      </w:pPr>
      <w:r>
        <w:t>Directory services</w:t>
      </w:r>
    </w:p>
    <w:p>
      <w:pPr>
        <w:pStyle w:val="Para 17"/>
      </w:pPr>
      <w:r>
        <w:t/>
      </w:r>
    </w:p>
    <w:p>
      <w:pPr>
        <w:pStyle w:val="Normal"/>
      </w:pPr>
      <w:r>
        <w:t>These services share vital information about the computers and users of the network. They use technologies like the Lightweight Directory Access Protocol (LDAP) and Microsoft Active Directory.</w:t>
      </w:r>
    </w:p>
    <w:p>
      <w:pPr>
        <w:pStyle w:val="Para 04"/>
      </w:pPr>
      <w:r>
        <w:t xml:space="preserve">• </w:t>
      </w:r>
      <w:r>
        <w:rPr>
          <w:rStyle w:val="Text0"/>
        </w:rPr>
        <w:t>Microsoft Active Directory</w:t>
      </w:r>
      <w:r>
        <w:t xml:space="preserve"> An Active Directory domain is a collection of users, groups,</w:t>
      </w:r>
    </w:p>
    <w:p>
      <w:pPr>
        <w:pStyle w:val="Para 02"/>
      </w:pPr>
      <w:r>
        <w:t>or hardware components within a Microsoft Active Directory network. This guide</w:t>
      </w:r>
    </w:p>
    <w:p>
      <w:pPr>
        <w:pStyle w:val="Para 02"/>
      </w:pPr>
      <w:r>
        <w:t xml:space="preserve">will show you how to set up your server as a </w:t>
      </w:r>
      <w:hyperlink w:anchor="page_300">
        <w:r>
          <w:rPr>
            <w:rStyle w:val="Text2"/>
          </w:rPr>
          <w:t>member of an Active Directory domain</w:t>
        </w:r>
      </w:hyperlink>
      <w:r>
        <w:t xml:space="preserve"> (page 299).</w:t>
      </w:r>
    </w:p>
    <w:p>
      <w:pPr>
        <w:pStyle w:val="Para 04"/>
      </w:pPr>
      <w:r>
        <w:t xml:space="preserve">• NT4 Domain Controller </w:t>
      </w:r>
      <w:r>
        <w:rPr>
          <w:rStyle w:val="Text3"/>
        </w:rPr>
        <w:t>(deprecated)</w:t>
      </w:r>
      <w:r>
        <w:t xml:space="preserve"> This guide will show you how to configure your</w:t>
      </w:r>
    </w:p>
    <w:p>
      <w:pPr>
        <w:pStyle w:val="Para 55"/>
      </w:pPr>
      <w:r>
        <w:rPr>
          <w:rStyle w:val="Text4"/>
        </w:rPr>
        <w:t xml:space="preserve">Samba server to appear </w:t>
      </w:r>
      <w:hyperlink w:anchor="page_318">
        <w:r>
          <w:t>as a Windows NT4-style domain controller</w:t>
        </w:r>
      </w:hyperlink>
      <w:r>
        <w:rPr>
          <w:rStyle w:val="Text4"/>
        </w:rPr>
        <w:t xml:space="preserve"> (page 317).</w:t>
      </w:r>
    </w:p>
    <w:p>
      <w:pPr>
        <w:pStyle w:val="Para 04"/>
      </w:pPr>
      <w:r>
        <w:t xml:space="preserve">• OpenLDAP backend </w:t>
      </w:r>
      <w:r>
        <w:rPr>
          <w:rStyle w:val="Text3"/>
        </w:rPr>
        <w:t>(deprecated)</w:t>
      </w:r>
      <w:r>
        <w:t xml:space="preserve"> This guide will show you how to integrate Samba with</w:t>
      </w:r>
    </w:p>
    <w:p>
      <w:pPr>
        <w:pStyle w:val="Para 31"/>
      </w:pPr>
      <w:hyperlink w:anchor="page_322">
        <w:r>
          <w:t>LDAP in Windows NT4 mode</w:t>
        </w:r>
      </w:hyperlink>
      <w:r>
        <w:rPr>
          <w:rStyle w:val="Text4"/>
        </w:rPr>
        <w:t xml:space="preserve"> (page 321).</w:t>
      </w:r>
    </w:p>
    <w:p>
      <w:pPr>
        <w:pStyle w:val="Para 17"/>
      </w:pPr>
      <w:r>
        <w:t/>
      </w:r>
    </w:p>
    <w:p>
      <w:pPr>
        <w:pStyle w:val="Para 01"/>
      </w:pPr>
      <w:r>
        <w:t>Authentication and access</w:t>
      </w:r>
    </w:p>
    <w:p>
      <w:pPr>
        <w:pStyle w:val="Para 17"/>
      </w:pPr>
      <w:r>
        <w:t/>
      </w:r>
    </w:p>
    <w:p>
      <w:pPr>
        <w:pStyle w:val="Normal"/>
      </w:pPr>
      <w:r>
        <w:t>These services establish the identity of a computer or network user, and determine the level of access that should be granted to the computer or user. The services use such principles and technologies as file permissions, group policies, and the Kerberos authentication service.</w:t>
      </w:r>
    </w:p>
    <w:p>
      <w:pPr>
        <w:pStyle w:val="Para 04"/>
      </w:pPr>
      <w:r>
        <w:t xml:space="preserve">• </w:t>
      </w:r>
      <w:r>
        <w:rPr>
          <w:rStyle w:val="Text0"/>
        </w:rPr>
        <w:t>Share access controls</w:t>
      </w:r>
      <w:r>
        <w:t xml:space="preserve"> This article provides more details on </w:t>
      </w:r>
      <w:hyperlink w:anchor="page_309">
        <w:r>
          <w:rPr>
            <w:rStyle w:val="Text2"/>
          </w:rPr>
          <w:t>controlling access to shared</w:t>
        </w:r>
      </w:hyperlink>
    </w:p>
    <w:p>
      <w:pPr>
        <w:pStyle w:val="Para 02"/>
      </w:pPr>
      <w:hyperlink w:anchor="page_309">
        <w:r>
          <w:rPr>
            <w:rStyle w:val="Text2"/>
          </w:rPr>
          <w:t>directories</w:t>
        </w:r>
      </w:hyperlink>
      <w:r>
        <w:t xml:space="preserve"> (page 308).</w:t>
      </w:r>
    </w:p>
    <w:p>
      <w:pPr>
        <w:pStyle w:val="Para 04"/>
      </w:pPr>
      <w:r>
        <w:t xml:space="preserve">• </w:t>
      </w:r>
      <w:r>
        <w:rPr>
          <w:rStyle w:val="Text0"/>
        </w:rPr>
        <w:t>AppArmor profile for Samba</w:t>
      </w:r>
      <w:r>
        <w:t xml:space="preserve"> This guide will briefly cover how to </w:t>
      </w:r>
      <w:hyperlink w:anchor="page_312">
        <w:r>
          <w:rPr>
            <w:rStyle w:val="Text2"/>
          </w:rPr>
          <w:t>set up a profile for</w:t>
        </w:r>
      </w:hyperlink>
    </w:p>
    <w:p>
      <w:pPr>
        <w:pStyle w:val="Para 02"/>
      </w:pPr>
      <w:hyperlink w:anchor="page_312">
        <w:r>
          <w:rPr>
            <w:rStyle w:val="Text2"/>
          </w:rPr>
          <w:t>Samba</w:t>
        </w:r>
      </w:hyperlink>
      <w:r>
        <w:t xml:space="preserve"> (page 311) using the Ubuntu security module, AppArmor.</w:t>
      </w:r>
    </w:p>
    <w:p>
      <w:pPr>
        <w:pStyle w:val="Para 28"/>
      </w:pPr>
      <w:r>
        <w:rPr>
          <w:rStyle w:val="Text0"/>
        </w:rPr>
        <w:t xml:space="preserve">• </w:t>
      </w:r>
      <w:r>
        <w:t>Mounting CIFS shares permanently</w:t>
      </w:r>
      <w:r>
        <w:rPr>
          <w:rStyle w:val="Text0"/>
        </w:rPr>
        <w:t xml:space="preserve"> This guide will show you </w:t>
      </w:r>
      <w:hyperlink w:anchor="page_314">
        <w:r>
          <w:rPr>
            <w:rStyle w:val="Text16"/>
          </w:rPr>
          <w:t>how to set up Common</w:t>
        </w:r>
      </w:hyperlink>
    </w:p>
    <w:p>
      <w:pPr>
        <w:pStyle w:val="Para 02"/>
      </w:pPr>
      <w:hyperlink w:anchor="page_314">
        <w:r>
          <w:rPr>
            <w:rStyle w:val="Text2"/>
          </w:rPr>
          <w:t>Internet File System (CIFS) shares</w:t>
        </w:r>
      </w:hyperlink>
      <w:r>
        <w:t xml:space="preserve"> (page 313) to automatically provide access to network files and resources.</w:t>
      </w:r>
    </w:p>
    <w:p>
      <w:bookmarkStart w:id="1308" w:name="page_8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5" name="index-830_1.png" descr="index-830_1.png"/>
            <wp:cNvGraphicFramePr>
              <a:graphicFrameLocks noChangeAspect="1"/>
            </wp:cNvGraphicFramePr>
            <a:graphic>
              <a:graphicData uri="http://schemas.openxmlformats.org/drawingml/2006/picture">
                <pic:pic>
                  <pic:nvPicPr>
                    <pic:cNvPr id="0" name="index-830_1.png" descr="index-830_1.png"/>
                    <pic:cNvPicPr/>
                  </pic:nvPicPr>
                  <pic:blipFill>
                    <a:blip r:embed="rId869"/>
                    <a:stretch>
                      <a:fillRect/>
                    </a:stretch>
                  </pic:blipFill>
                  <pic:spPr>
                    <a:xfrm>
                      <a:off x="0" y="0"/>
                      <a:ext cx="914400" cy="266700"/>
                    </a:xfrm>
                    <a:prstGeom prst="rect">
                      <a:avLst/>
                    </a:prstGeom>
                  </pic:spPr>
                </pic:pic>
              </a:graphicData>
            </a:graphic>
          </wp:anchor>
        </w:drawing>
      </w:r>
      <w:bookmarkEnd w:id="1308"/>
    </w:p>
    <w:p>
      <w:pPr>
        <w:pStyle w:val="Para 01"/>
      </w:pPr>
      <w:r>
        <w:t>Active Directory integration</w:t>
      </w:r>
    </w:p>
    <w:p>
      <w:pPr>
        <w:pStyle w:val="Para 17"/>
      </w:pPr>
      <w:r>
        <w:t/>
      </w:r>
    </w:p>
    <w:p>
      <w:pPr>
        <w:pStyle w:val="Normal"/>
      </w:pPr>
      <w:r>
        <w:t>If you have a Microsoft Active Directory domain set up, you can join your Ubuntu Server to it.</w:t>
      </w:r>
    </w:p>
    <w:p>
      <w:pPr>
        <w:pStyle w:val="Para 17"/>
      </w:pPr>
      <w:r>
        <w:t/>
      </w:r>
    </w:p>
    <w:p>
      <w:pPr>
        <w:pStyle w:val="Para 01"/>
      </w:pPr>
      <w:r>
        <w:t>Introduction</w:t>
      </w:r>
    </w:p>
    <w:p>
      <w:pPr>
        <w:pStyle w:val="Para 17"/>
      </w:pPr>
      <w:r>
        <w:t/>
      </w:r>
    </w:p>
    <w:p>
      <w:pPr>
        <w:pStyle w:val="Para 01"/>
      </w:pPr>
      <w:r>
        <w:t>Introduction to Active Directory integration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638300"/>
            <wp:effectExtent l="0" r="0" t="0" b="0"/>
            <wp:wrapTopAndBottom/>
            <wp:docPr id="866" name="index-830_2.png" descr="index-830_2.png"/>
            <wp:cNvGraphicFramePr>
              <a:graphicFrameLocks noChangeAspect="1"/>
            </wp:cNvGraphicFramePr>
            <a:graphic>
              <a:graphicData uri="http://schemas.openxmlformats.org/drawingml/2006/picture">
                <pic:pic>
                  <pic:nvPicPr>
                    <pic:cNvPr id="0" name="index-830_2.png" descr="index-830_2.png"/>
                    <pic:cNvPicPr/>
                  </pic:nvPicPr>
                  <pic:blipFill>
                    <a:blip r:embed="rId870"/>
                    <a:stretch>
                      <a:fillRect/>
                    </a:stretch>
                  </pic:blipFill>
                  <pic:spPr>
                    <a:xfrm>
                      <a:off x="0" y="0"/>
                      <a:ext cx="3670300" cy="1638300"/>
                    </a:xfrm>
                    <a:prstGeom prst="rect">
                      <a:avLst/>
                    </a:prstGeom>
                  </pic:spPr>
                </pic:pic>
              </a:graphicData>
            </a:graphic>
          </wp:anchor>
        </w:drawing>
      </w:r>
    </w:p>
    <w:p>
      <w:pPr>
        <w:pStyle w:val="Para 17"/>
      </w:pPr>
      <w:r>
        <w:t/>
      </w:r>
    </w:p>
    <w:p>
      <w:pPr>
        <w:pStyle w:val="Normal"/>
      </w:pPr>
      <w:r>
        <w:t>Active Directory deployments can range from single-domain, one tree, with one or more servers, up to multiple domains and servers geographically dispersed spawning a structure that is referred to as a “forest”. Furthermore, such a forest is not necessarily static, allowing its multiple delegated administrators to add and remove domains from it. Depending on the desired level of integration and the complexity of the domain or forest, joining an Ubuntu system to Active Directory requires different tooling, configuration, and planning.</w:t>
      </w:r>
    </w:p>
    <w:p>
      <w:pPr>
        <w:pStyle w:val="Normal"/>
      </w:pPr>
      <w:r>
        <w:t>Joining an Ubuntu system to an Active Directory domain (or a forest) means that the Ubuntu system will get an account in that domain, and be able to identify and authenticate users from that domain. In other words, a joined Ubuntu system should be able to:</w:t>
      </w:r>
    </w:p>
    <w:p>
      <w:pPr>
        <w:pStyle w:val="Para 04"/>
      </w:pPr>
      <w:r>
        <w:t>• authenticate Active Directory users, including changing their passwords</w:t>
      </w:r>
    </w:p>
    <w:p>
      <w:pPr>
        <w:pStyle w:val="Para 04"/>
      </w:pPr>
      <w:r>
        <w:t>• recognize the Active Directory users as valid users on the Ubuntu system, with linux-</w:t>
      </w:r>
    </w:p>
    <w:p>
      <w:pPr>
        <w:pStyle w:val="Para 02"/>
      </w:pPr>
      <w:r>
        <w:t>compatible user and group identifiers (more on that later)</w:t>
      </w:r>
    </w:p>
    <w:p>
      <w:pPr>
        <w:pStyle w:val="Para 04"/>
      </w:pPr>
      <w:r>
        <w:t>• recognize group memberships</w:t>
      </w:r>
    </w:p>
    <w:p>
      <w:pPr>
        <w:pStyle w:val="Normal"/>
      </w:pPr>
      <w:r>
        <w:t>Depending on how the join was performed, and the software stack available on the Ubuntu system, the following is also possible:</w:t>
      </w:r>
    </w:p>
    <w:p>
      <w:pPr>
        <w:pStyle w:val="Para 04"/>
      </w:pPr>
      <w:r>
        <w:t>• authenticate and recognize users from different domains that make up the forest</w:t>
      </w:r>
    </w:p>
    <w:p>
      <w:pPr>
        <w:pStyle w:val="Para 04"/>
      </w:pPr>
      <w:r>
        <w:t xml:space="preserve">• apply certain </w:t>
      </w:r>
      <w:hyperlink w:anchor="page_686">
        <w:r>
          <w:rPr>
            <w:rStyle w:val="Text2"/>
          </w:rPr>
          <w:t>group policy objects</w:t>
        </w:r>
      </w:hyperlink>
      <w:r>
        <w:t xml:space="preserve"> (not covered here)</w:t>
      </w:r>
    </w:p>
    <w:p>
      <w:pPr>
        <w:pStyle w:val="Para 04"/>
      </w:pPr>
      <w:r>
        <w:t>• provide file and print services to users from the domain</w:t>
      </w:r>
    </w:p>
    <w:p>
      <w:pPr>
        <w:pStyle w:val="Normal"/>
      </w:pPr>
      <w:r>
        <w:t>To set up your Active Directory integrations, we suggest first familiarising yourself with the following key topics:</w:t>
      </w:r>
    </w:p>
    <w:p>
      <w:pPr>
        <w:pStyle w:val="Para 14"/>
      </w:pPr>
      <w:r>
        <w:rPr>
          <w:rStyle w:val="Text4"/>
        </w:rPr>
        <w:t xml:space="preserve">• </w:t>
      </w:r>
      <w:hyperlink w:anchor="page_832">
        <w:r>
          <w:t>Choosing an integration method</w:t>
        </w:r>
      </w:hyperlink>
      <w:r>
        <w:rPr>
          <w:rStyle w:val="Text4"/>
        </w:rPr>
        <w:t xml:space="preserve"> (page 831)</w:t>
      </w:r>
    </w:p>
    <w:p>
      <w:bookmarkStart w:id="1309" w:name="page_8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7" name="index-831_1.png" descr="index-831_1.png"/>
            <wp:cNvGraphicFramePr>
              <a:graphicFrameLocks noChangeAspect="1"/>
            </wp:cNvGraphicFramePr>
            <a:graphic>
              <a:graphicData uri="http://schemas.openxmlformats.org/drawingml/2006/picture">
                <pic:pic>
                  <pic:nvPicPr>
                    <pic:cNvPr id="0" name="index-831_1.png" descr="index-831_1.png"/>
                    <pic:cNvPicPr/>
                  </pic:nvPicPr>
                  <pic:blipFill>
                    <a:blip r:embed="rId871"/>
                    <a:stretch>
                      <a:fillRect/>
                    </a:stretch>
                  </pic:blipFill>
                  <pic:spPr>
                    <a:xfrm>
                      <a:off x="0" y="0"/>
                      <a:ext cx="914400" cy="266700"/>
                    </a:xfrm>
                    <a:prstGeom prst="rect">
                      <a:avLst/>
                    </a:prstGeom>
                  </pic:spPr>
                </pic:pic>
              </a:graphicData>
            </a:graphic>
          </wp:anchor>
        </w:drawing>
      </w:r>
      <w:bookmarkEnd w:id="1309"/>
    </w:p>
    <w:p>
      <w:pPr>
        <w:pStyle w:val="Para 14"/>
      </w:pPr>
      <w:r>
        <w:rPr>
          <w:rStyle w:val="Text4"/>
        </w:rPr>
        <w:t xml:space="preserve">• </w:t>
      </w:r>
      <w:hyperlink w:anchor="page_833">
        <w:r>
          <w:t>Security identifiers</w:t>
        </w:r>
      </w:hyperlink>
      <w:r>
        <w:rPr>
          <w:rStyle w:val="Text4"/>
        </w:rPr>
        <w:t xml:space="preserve"> (page 832)</w:t>
      </w:r>
    </w:p>
    <w:p>
      <w:pPr>
        <w:pStyle w:val="Para 14"/>
      </w:pPr>
      <w:r>
        <w:rPr>
          <w:rStyle w:val="Text4"/>
        </w:rPr>
        <w:t xml:space="preserve">• </w:t>
      </w:r>
      <w:hyperlink w:anchor="page_834">
        <w:r>
          <w:t>Identity mapping backends</w:t>
        </w:r>
      </w:hyperlink>
      <w:r>
        <w:rPr>
          <w:rStyle w:val="Text4"/>
        </w:rPr>
        <w:t xml:space="preserve"> (page 833)</w:t>
      </w:r>
    </w:p>
    <w:p>
      <w:pPr>
        <w:pStyle w:val="Para 14"/>
      </w:pPr>
      <w:r>
        <w:rPr>
          <w:rStyle w:val="Text4"/>
        </w:rPr>
        <w:t xml:space="preserve">• </w:t>
      </w:r>
      <w:hyperlink w:anchor="page_835">
        <w:r>
          <w:t>The rid idmap backend</w:t>
        </w:r>
      </w:hyperlink>
      <w:r>
        <w:rPr>
          <w:rStyle w:val="Text4"/>
        </w:rPr>
        <w:t xml:space="preserve"> (page 834)</w:t>
      </w:r>
    </w:p>
    <w:p>
      <w:pPr>
        <w:pStyle w:val="Para 14"/>
      </w:pPr>
      <w:r>
        <w:rPr>
          <w:rStyle w:val="Text4"/>
        </w:rPr>
        <w:t xml:space="preserve">• </w:t>
      </w:r>
      <w:hyperlink w:anchor="page_837">
        <w:r>
          <w:t>The autorid idmap backend</w:t>
        </w:r>
      </w:hyperlink>
      <w:r>
        <w:rPr>
          <w:rStyle w:val="Text4"/>
        </w:rPr>
        <w:t xml:space="preserve"> (page 836)</w:t>
      </w:r>
    </w:p>
    <w:p>
      <w:pPr>
        <w:pStyle w:val="Para 17"/>
      </w:pPr>
      <w:r>
        <w:t/>
      </w:r>
    </w:p>
    <w:p>
      <w:pPr>
        <w:pStyle w:val="Para 01"/>
      </w:pPr>
      <w:r>
        <w:t>References</w:t>
      </w:r>
    </w:p>
    <w:p>
      <w:pPr>
        <w:pStyle w:val="Para 17"/>
      </w:pPr>
      <w:r>
        <w:t/>
      </w:r>
    </w:p>
    <w:p>
      <w:pPr>
        <w:pStyle w:val="Para 04"/>
      </w:pPr>
      <w:r>
        <w:t>• About Active Directory:</w:t>
      </w:r>
    </w:p>
    <w:p>
      <w:pPr>
        <w:pStyle w:val="Para 27"/>
      </w:pPr>
      <w:r>
        <w:rPr>
          <w:rStyle w:val="Text18"/>
        </w:rPr>
        <w:t>–</w:t>
      </w:r>
      <w:r>
        <w:rPr>
          <w:rStyle w:val="Text7"/>
        </w:rPr>
        <w:t xml:space="preserve"> </w:t>
      </w:r>
      <w:hyperlink w:anchor="page_831">
        <w:r>
          <w:rPr>
            <w:rStyle w:val="Text10"/>
          </w:rPr>
          <w:t>867</w:t>
        </w:r>
      </w:hyperlink>
      <w:r>
        <w:rPr>
          <w:rStyle w:val="Text7"/>
        </w:rPr>
        <w:t xml:space="preserve"> </w:t>
      </w:r>
      <w:hyperlink r:id="rId1723">
        <w:r>
          <w:t>Security Identifiers (SIDs)</w:t>
        </w:r>
      </w:hyperlink>
    </w:p>
    <w:p>
      <w:pPr>
        <w:pStyle w:val="Para 27"/>
      </w:pPr>
      <w:r>
        <w:rPr>
          <w:rStyle w:val="Text18"/>
        </w:rPr>
        <w:t>–</w:t>
      </w:r>
      <w:r>
        <w:rPr>
          <w:rStyle w:val="Text7"/>
        </w:rPr>
        <w:t xml:space="preserve"> </w:t>
      </w:r>
      <w:hyperlink r:id="rId1230">
        <w:r>
          <w:rPr>
            <w:rStyle w:val="Text10"/>
          </w:rPr>
          <w:t>868</w:t>
        </w:r>
      </w:hyperlink>
      <w:r>
        <w:rPr>
          <w:rStyle w:val="Text7"/>
        </w:rPr>
        <w:t xml:space="preserve"> </w:t>
      </w:r>
      <w:hyperlink r:id="rId1230">
        <w:r>
          <w:t>Active Directory Domain Services Overview</w:t>
        </w:r>
      </w:hyperlink>
    </w:p>
    <w:p>
      <w:pPr>
        <w:pStyle w:val="Para 04"/>
      </w:pPr>
      <w:r>
        <w:t>• Samba Wiki pages:</w:t>
      </w:r>
    </w:p>
    <w:p>
      <w:pPr>
        <w:pStyle w:val="Para 27"/>
      </w:pPr>
      <w:r>
        <w:rPr>
          <w:rStyle w:val="Text18"/>
        </w:rPr>
        <w:t>–</w:t>
      </w:r>
      <w:r>
        <w:rPr>
          <w:rStyle w:val="Text7"/>
        </w:rPr>
        <w:t xml:space="preserve"> </w:t>
      </w:r>
      <w:hyperlink r:id="rId1238">
        <w:r>
          <w:rPr>
            <w:rStyle w:val="Text10"/>
          </w:rPr>
          <w:t>869</w:t>
        </w:r>
      </w:hyperlink>
      <w:r>
        <w:rPr>
          <w:rStyle w:val="Text7"/>
        </w:rPr>
        <w:t xml:space="preserve"> </w:t>
      </w:r>
      <w:hyperlink r:id="rId1238">
        <w:r>
          <w:t>Choosing an identity mapping backend</w:t>
        </w:r>
      </w:hyperlink>
    </w:p>
    <w:p>
      <w:pPr>
        <w:pStyle w:val="Para 27"/>
      </w:pPr>
      <w:r>
        <w:rPr>
          <w:rStyle w:val="Text18"/>
        </w:rPr>
        <w:t>–</w:t>
      </w:r>
      <w:r>
        <w:rPr>
          <w:rStyle w:val="Text7"/>
        </w:rPr>
        <w:t xml:space="preserve"> </w:t>
      </w:r>
      <w:hyperlink w:anchor="page_831">
        <w:r>
          <w:rPr>
            <w:rStyle w:val="Text10"/>
          </w:rPr>
          <w:t>870</w:t>
        </w:r>
      </w:hyperlink>
      <w:r>
        <w:rPr>
          <w:rStyle w:val="Text7"/>
        </w:rPr>
        <w:t xml:space="preserve"> </w:t>
      </w:r>
      <w:hyperlink r:id="rId1724">
        <w:r>
          <w:t>rid identity mapping backend</w:t>
        </w:r>
      </w:hyperlink>
    </w:p>
    <w:p>
      <w:pPr>
        <w:pStyle w:val="Para 27"/>
      </w:pPr>
      <w:r>
        <w:rPr>
          <w:rStyle w:val="Text18"/>
        </w:rPr>
        <w:t>–</w:t>
      </w:r>
      <w:r>
        <w:rPr>
          <w:rStyle w:val="Text7"/>
        </w:rPr>
        <w:t xml:space="preserve"> </w:t>
      </w:r>
      <w:hyperlink w:anchor="page_831">
        <w:r>
          <w:rPr>
            <w:rStyle w:val="Text10"/>
          </w:rPr>
          <w:t>871</w:t>
        </w:r>
      </w:hyperlink>
      <w:r>
        <w:rPr>
          <w:rStyle w:val="Text7"/>
        </w:rPr>
        <w:t xml:space="preserve"> </w:t>
      </w:r>
      <w:hyperlink r:id="rId1593">
        <w:r>
          <w:t>autorid identity mapping backend</w:t>
        </w:r>
      </w:hyperlink>
    </w:p>
    <w:p>
      <w:pPr>
        <w:pStyle w:val="Para 04"/>
      </w:pPr>
      <w:r>
        <w:t>• Manual pages:</w:t>
      </w:r>
    </w:p>
    <w:p>
      <w:pPr>
        <w:pStyle w:val="Para 26"/>
      </w:pPr>
      <w:r>
        <w:rPr>
          <w:rStyle w:val="Text12"/>
        </w:rPr>
        <w:t>–</w:t>
      </w:r>
      <w:r>
        <w:rPr>
          <w:rStyle w:val="Text4"/>
        </w:rPr>
        <w:t xml:space="preserve"> </w:t>
      </w:r>
      <w:hyperlink w:anchor="page_831">
        <w:r>
          <w:rPr>
            <w:rStyle w:val="Text15"/>
          </w:rPr>
          <w:t>872</w:t>
        </w:r>
      </w:hyperlink>
      <w:r>
        <w:rPr>
          <w:rStyle w:val="Text4"/>
        </w:rPr>
        <w:t xml:space="preserve"> </w:t>
      </w:r>
      <w:hyperlink r:id="rId1725">
        <w:r>
          <w:t>idmap_tdb(8)</w:t>
        </w:r>
      </w:hyperlink>
    </w:p>
    <w:p>
      <w:pPr>
        <w:pStyle w:val="Para 26"/>
      </w:pPr>
      <w:r>
        <w:rPr>
          <w:rStyle w:val="Text12"/>
        </w:rPr>
        <w:t>–</w:t>
      </w:r>
      <w:r>
        <w:rPr>
          <w:rStyle w:val="Text4"/>
        </w:rPr>
        <w:t xml:space="preserve"> </w:t>
      </w:r>
      <w:hyperlink w:anchor="page_831">
        <w:r>
          <w:rPr>
            <w:rStyle w:val="Text15"/>
          </w:rPr>
          <w:t>873</w:t>
        </w:r>
      </w:hyperlink>
      <w:r>
        <w:rPr>
          <w:rStyle w:val="Text4"/>
        </w:rPr>
        <w:t xml:space="preserve"> </w:t>
      </w:r>
      <w:hyperlink r:id="rId1237">
        <w:r>
          <w:t>idmap_rid(8)</w:t>
        </w:r>
      </w:hyperlink>
    </w:p>
    <w:p>
      <w:pPr>
        <w:pStyle w:val="Para 26"/>
      </w:pPr>
      <w:r>
        <w:rPr>
          <w:rStyle w:val="Text12"/>
        </w:rPr>
        <w:t>–</w:t>
      </w:r>
      <w:r>
        <w:rPr>
          <w:rStyle w:val="Text4"/>
        </w:rPr>
        <w:t xml:space="preserve"> </w:t>
      </w:r>
      <w:hyperlink r:id="rId1236">
        <w:r>
          <w:rPr>
            <w:rStyle w:val="Text15"/>
          </w:rPr>
          <w:t>874</w:t>
        </w:r>
      </w:hyperlink>
      <w:r>
        <w:rPr>
          <w:rStyle w:val="Text4"/>
        </w:rPr>
        <w:t xml:space="preserve"> </w:t>
      </w:r>
      <w:hyperlink r:id="rId1236">
        <w:r>
          <w:t>idmap_autorid(8)</w:t>
        </w:r>
      </w:hyperlink>
    </w:p>
    <w:p>
      <w:pPr>
        <w:pStyle w:val="Para 26"/>
      </w:pPr>
      <w:r>
        <w:rPr>
          <w:rStyle w:val="Text12"/>
        </w:rPr>
        <w:t>–</w:t>
      </w:r>
      <w:r>
        <w:rPr>
          <w:rStyle w:val="Text4"/>
        </w:rPr>
        <w:t xml:space="preserve"> </w:t>
      </w:r>
      <w:hyperlink r:id="rId1726">
        <w:r>
          <w:rPr>
            <w:rStyle w:val="Text15"/>
          </w:rPr>
          <w:t>875</w:t>
        </w:r>
      </w:hyperlink>
      <w:r>
        <w:rPr>
          <w:rStyle w:val="Text4"/>
        </w:rPr>
        <w:t xml:space="preserve"> </w:t>
      </w:r>
      <w:hyperlink r:id="rId1726">
        <w:r>
          <w:t>wbinfo(1)</w:t>
        </w:r>
      </w:hyperlink>
    </w:p>
    <w:p>
      <w:pPr>
        <w:pStyle w:val="Para 17"/>
      </w:pPr>
      <w:r>
        <w:t/>
      </w:r>
    </w:p>
    <w:p>
      <w:pPr>
        <w:pStyle w:val="Para 01"/>
      </w:pPr>
      <w:r>
        <w:t>Configuration</w:t>
      </w:r>
    </w:p>
    <w:p>
      <w:pPr>
        <w:pStyle w:val="Para 17"/>
      </w:pPr>
      <w:r>
        <w:t/>
      </w:r>
    </w:p>
    <w:p>
      <w:pPr>
        <w:pStyle w:val="Normal"/>
      </w:pPr>
      <w:r>
        <w:t>This section will talk you through the options available and help you make the appropriate choices for your setup.</w:t>
      </w:r>
    </w:p>
    <w:p>
      <w:pPr>
        <w:pStyle w:val="Para 05"/>
      </w:pPr>
      <w:r>
        <w:rPr>
          <w:rStyle w:val="Text5"/>
        </w:rPr>
        <w:t>867</w:t>
      </w:r>
      <w:r>
        <w:rPr>
          <w:rStyle w:val="Text8"/>
        </w:rPr>
        <w:t xml:space="preserve"> </w:t>
      </w:r>
      <w:r>
        <w:t>https://learn.microsoft.com/en-us/windows-server/identity/ad-ds/manage/understand-security-identifiers</w:t>
      </w:r>
    </w:p>
    <w:p>
      <w:pPr>
        <w:pStyle w:val="Para 05"/>
      </w:pPr>
      <w:r>
        <w:rPr>
          <w:rStyle w:val="Text5"/>
        </w:rPr>
        <w:t>868</w:t>
      </w:r>
      <w:r>
        <w:rPr>
          <w:rStyle w:val="Text8"/>
        </w:rPr>
        <w:t xml:space="preserve"> </w:t>
      </w:r>
      <w:r>
        <w:t>https://learn.microsoft.com/en-us/windows-server/identity/ad-ds/get-started/virtual-dc/</w:t>
      </w:r>
    </w:p>
    <w:p>
      <w:pPr>
        <w:pStyle w:val="Para 16"/>
      </w:pPr>
      <w:r>
        <w:t>active-directory-domain-services-overview</w:t>
      </w:r>
    </w:p>
    <w:p>
      <w:pPr>
        <w:pStyle w:val="Para 05"/>
      </w:pPr>
      <w:r>
        <w:rPr>
          <w:rStyle w:val="Text5"/>
        </w:rPr>
        <w:t>869</w:t>
      </w:r>
      <w:r>
        <w:rPr>
          <w:rStyle w:val="Text8"/>
        </w:rPr>
        <w:t xml:space="preserve"> </w:t>
      </w:r>
      <w:r>
        <w:t>https://wiki.samba.org/index.php/Setting_up_Samba_as_a_Domain_Member#Choosing_an_idmap_</w:t>
      </w:r>
    </w:p>
    <w:p>
      <w:pPr>
        <w:pStyle w:val="Para 16"/>
      </w:pPr>
      <w:r>
        <w:t>backend</w:t>
      </w:r>
    </w:p>
    <w:p>
      <w:pPr>
        <w:pStyle w:val="Para 05"/>
      </w:pPr>
      <w:r>
        <w:rPr>
          <w:rStyle w:val="Text5"/>
        </w:rPr>
        <w:t>870</w:t>
      </w:r>
      <w:r>
        <w:rPr>
          <w:rStyle w:val="Text8"/>
        </w:rPr>
        <w:t xml:space="preserve"> </w:t>
      </w:r>
      <w:r>
        <w:t>https://wiki.samba.org/index.php/Idmap_config_rid</w:t>
      </w:r>
    </w:p>
    <w:p>
      <w:pPr>
        <w:pStyle w:val="Para 05"/>
      </w:pPr>
      <w:r>
        <w:rPr>
          <w:rStyle w:val="Text5"/>
        </w:rPr>
        <w:t>871</w:t>
      </w:r>
      <w:r>
        <w:rPr>
          <w:rStyle w:val="Text8"/>
        </w:rPr>
        <w:t xml:space="preserve"> </w:t>
      </w:r>
      <w:r>
        <w:t>https://wiki.samba.org/index.php/Idmap_config_autorid</w:t>
      </w:r>
    </w:p>
    <w:p>
      <w:pPr>
        <w:pStyle w:val="Para 05"/>
      </w:pPr>
      <w:r>
        <w:rPr>
          <w:rStyle w:val="Text5"/>
        </w:rPr>
        <w:t>872</w:t>
      </w:r>
      <w:r>
        <w:rPr>
          <w:rStyle w:val="Text8"/>
        </w:rPr>
        <w:t xml:space="preserve"> </w:t>
      </w:r>
      <w:r>
        <w:t>https://manpages.ubuntu.com/manpages/resolute/man8/idmap_tdb.8.html</w:t>
      </w:r>
    </w:p>
    <w:p>
      <w:pPr>
        <w:pStyle w:val="Para 05"/>
      </w:pPr>
      <w:r>
        <w:rPr>
          <w:rStyle w:val="Text5"/>
        </w:rPr>
        <w:t>873</w:t>
      </w:r>
      <w:r>
        <w:rPr>
          <w:rStyle w:val="Text8"/>
        </w:rPr>
        <w:t xml:space="preserve"> </w:t>
      </w:r>
      <w:r>
        <w:t>https://manpages.ubuntu.com/manpages/resolute/man8/idmap_rid.8.html</w:t>
      </w:r>
    </w:p>
    <w:p>
      <w:pPr>
        <w:pStyle w:val="Para 05"/>
      </w:pPr>
      <w:r>
        <w:rPr>
          <w:rStyle w:val="Text5"/>
        </w:rPr>
        <w:t>874</w:t>
      </w:r>
      <w:r>
        <w:rPr>
          <w:rStyle w:val="Text8"/>
        </w:rPr>
        <w:t xml:space="preserve"> </w:t>
      </w:r>
      <w:r>
        <w:t>https://manpages.ubuntu.com/manpages/resolute/man8/idmap_autorid.8.html</w:t>
      </w:r>
    </w:p>
    <w:p>
      <w:pPr>
        <w:pStyle w:val="Para 05"/>
      </w:pPr>
      <w:r>
        <w:rPr>
          <w:rStyle w:val="Text5"/>
        </w:rPr>
        <w:t>875</w:t>
      </w:r>
      <w:r>
        <w:rPr>
          <w:rStyle w:val="Text8"/>
        </w:rPr>
        <w:t xml:space="preserve"> </w:t>
      </w:r>
      <w:r>
        <w:t>https://manpages.ubuntu.com/manpages/resolute/man1/wbinfo.1.html</w:t>
      </w:r>
    </w:p>
    <w:p>
      <w:bookmarkStart w:id="1310" w:name="calibre_pb_239"/>
      <w:pPr>
        <w:pStyle w:val="0 Block"/>
      </w:pPr>
      <w:bookmarkEnd w:id="1310"/>
    </w:p>
    <w:p>
      <w:bookmarkStart w:id="1311" w:name="Top_of_index_split_240_html"/>
      <w:bookmarkStart w:id="1312" w:name="page_83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8" name="index-832_1.png" descr="index-832_1.png"/>
            <wp:cNvGraphicFramePr>
              <a:graphicFrameLocks noChangeAspect="1"/>
            </wp:cNvGraphicFramePr>
            <a:graphic>
              <a:graphicData uri="http://schemas.openxmlformats.org/drawingml/2006/picture">
                <pic:pic>
                  <pic:nvPicPr>
                    <pic:cNvPr id="0" name="index-832_1.png" descr="index-832_1.png"/>
                    <pic:cNvPicPr/>
                  </pic:nvPicPr>
                  <pic:blipFill>
                    <a:blip r:embed="rId872"/>
                    <a:stretch>
                      <a:fillRect/>
                    </a:stretch>
                  </pic:blipFill>
                  <pic:spPr>
                    <a:xfrm>
                      <a:off x="0" y="0"/>
                      <a:ext cx="914400" cy="266700"/>
                    </a:xfrm>
                    <a:prstGeom prst="rect">
                      <a:avLst/>
                    </a:prstGeom>
                  </pic:spPr>
                </pic:pic>
              </a:graphicData>
            </a:graphic>
          </wp:anchor>
        </w:drawing>
      </w:r>
      <w:bookmarkEnd w:id="1311"/>
      <w:bookmarkEnd w:id="1312"/>
    </w:p>
    <w:p>
      <w:pPr>
        <w:pStyle w:val="Para 01"/>
      </w:pPr>
      <w:r>
        <w:t>Choosing an integration method</w:t>
      </w:r>
    </w:p>
    <w:p>
      <w:pPr>
        <w:pStyle w:val="Para 17"/>
      </w:pPr>
      <w:r>
        <w:t/>
      </w:r>
    </w:p>
    <w:p>
      <w:pPr>
        <w:pStyle w:val="Normal"/>
      </w:pPr>
      <w:r>
        <w:t>There are multiple mechanisms to join an Ubuntu system to an Active Directory tree (single domain) or a forest (multiple domains with trust relationships). It’s important to understand the features, pros, and cons, of each method, and cross reference those with what is the objective of the integration.</w:t>
      </w:r>
    </w:p>
    <w:p>
      <w:pPr>
        <w:pStyle w:val="Normal"/>
      </w:pPr>
      <w:r>
        <w:t>Three main criteria need to be evaluated:</w:t>
      </w:r>
    </w:p>
    <w:p>
      <w:pPr>
        <w:pStyle w:val="Para 04"/>
      </w:pPr>
      <w:r>
        <w:t>• forest or single domain: Is the Active Directory deployment being joined composed of</w:t>
      </w:r>
    </w:p>
    <w:p>
      <w:pPr>
        <w:pStyle w:val="Para 02"/>
      </w:pPr>
      <w:r>
        <w:t>a single domain, or multiple domains (forest)?</w:t>
      </w:r>
    </w:p>
    <w:p>
      <w:pPr>
        <w:pStyle w:val="Para 04"/>
      </w:pPr>
      <w:r>
        <w:t>• member server or workstation: Is the Ubuntu system that is being joined to Active Di-</w:t>
      </w:r>
    </w:p>
    <w:p>
      <w:pPr>
        <w:pStyle w:val="Para 02"/>
      </w:pPr>
      <w:r>
        <w:t>rectory going to be a member server (it provides authentication and shares), or just a workstation/desktop which will not share files via the SMB protocol? If a workstation is also going to share files via SMB, then consider it a member server.</w:t>
      </w:r>
    </w:p>
    <w:p>
      <w:pPr>
        <w:pStyle w:val="Para 04"/>
      </w:pPr>
      <w:r>
        <w:t>• Deterministic Linux ID: is it important that the same Active Directory user obtains the</w:t>
      </w:r>
    </w:p>
    <w:p>
      <w:pPr>
        <w:pStyle w:val="Para 02"/>
      </w:pPr>
      <w:r>
        <w:t>same Linux ID on all joined systems? For example, if NFS exports will be used between the joined systems.</w:t>
      </w:r>
    </w:p>
    <w:p>
      <w:pPr>
        <w:pStyle w:val="Para 17"/>
      </w:pPr>
      <w:r>
        <w:t/>
      </w:r>
    </w:p>
    <w:p>
      <w:pPr>
        <w:pStyle w:val="Para 15"/>
      </w:pPr>
      <w:r>
        <w:t>Requirement / Method SSSD idmap_rid idmap_autorid</w:t>
      </w:r>
    </w:p>
    <w:p>
      <w:pPr>
        <w:pStyle w:val="Para 15"/>
      </w:pPr>
      <w:r>
        <w:t>Deterministic ID � � �</w:t>
      </w:r>
    </w:p>
    <w:p>
      <w:pPr>
        <w:pStyle w:val="Para 15"/>
      </w:pPr>
      <w:r>
        <w:t>Undetermined ID � � �</w:t>
      </w:r>
    </w:p>
    <w:p>
      <w:pPr>
        <w:pStyle w:val="Para 15"/>
      </w:pPr>
      <w:r>
        <w:t>Member server � � �</w:t>
      </w:r>
    </w:p>
    <w:p>
      <w:pPr>
        <w:pStyle w:val="Para 15"/>
      </w:pPr>
      <w:r>
        <w:t>Not a member server � � �</w:t>
      </w:r>
    </w:p>
    <w:p>
      <w:pPr>
        <w:pStyle w:val="Para 15"/>
      </w:pPr>
      <w:r>
        <w:t>AD multi-domain (forest) � �(*) �</w:t>
      </w:r>
    </w:p>
    <w:p>
      <w:pPr>
        <w:pStyle w:val="Para 15"/>
      </w:pPr>
      <w:r>
        <w:t>AD single domain � � �</w:t>
      </w:r>
    </w:p>
    <w:p>
      <w:pPr>
        <w:pStyle w:val="Para 17"/>
      </w:pPr>
      <w:r>
        <w:t/>
      </w:r>
    </w:p>
    <w:p>
      <w:pPr>
        <w:pStyle w:val="Normal"/>
      </w:pPr>
      <w:r>
        <w:t xml:space="preserve">(*) The </w:t>
      </w:r>
      <w:r>
        <w:rPr>
          <w:rStyle w:val="Text3"/>
        </w:rPr>
        <w:t>idmap_rid</w:t>
      </w:r>
      <w:r>
        <w:t xml:space="preserve"> choice for multi-domain Active Directory is doable, but with important</w:t>
      </w:r>
    </w:p>
    <w:p>
      <w:pPr>
        <w:pStyle w:val="Normal"/>
      </w:pPr>
      <w:r>
        <w:t xml:space="preserve">caveats that are better explained in </w:t>
      </w:r>
      <w:hyperlink w:anchor="page_331">
        <w:r>
          <w:rPr>
            <w:rStyle w:val="Text2"/>
          </w:rPr>
          <w:t>Joining a forest with the rid backend</w:t>
        </w:r>
      </w:hyperlink>
      <w:r>
        <w:t xml:space="preserve"> (page 330).</w:t>
      </w:r>
    </w:p>
    <w:p>
      <w:pPr>
        <w:pStyle w:val="Normal"/>
      </w:pPr>
      <w:r>
        <w:t>Before going into the details of each integration method, it’s a good idea to familiarise your-self with the other basic concepts of Active Directory integration. These are shown next:</w:t>
      </w:r>
    </w:p>
    <w:p>
      <w:pPr>
        <w:pStyle w:val="Para 14"/>
      </w:pPr>
      <w:r>
        <w:rPr>
          <w:rStyle w:val="Text4"/>
        </w:rPr>
        <w:t xml:space="preserve">• </w:t>
      </w:r>
      <w:hyperlink w:anchor="page_833">
        <w:r>
          <w:t>Security identifiers</w:t>
        </w:r>
      </w:hyperlink>
      <w:r>
        <w:rPr>
          <w:rStyle w:val="Text4"/>
        </w:rPr>
        <w:t xml:space="preserve"> (page 832)</w:t>
      </w:r>
    </w:p>
    <w:p>
      <w:pPr>
        <w:pStyle w:val="Para 14"/>
      </w:pPr>
      <w:r>
        <w:rPr>
          <w:rStyle w:val="Text4"/>
        </w:rPr>
        <w:t xml:space="preserve">• </w:t>
      </w:r>
      <w:hyperlink w:anchor="page_834">
        <w:r>
          <w:t>Identity mapping backends</w:t>
        </w:r>
      </w:hyperlink>
      <w:r>
        <w:rPr>
          <w:rStyle w:val="Text4"/>
        </w:rPr>
        <w:t xml:space="preserve"> (page 833)</w:t>
      </w:r>
    </w:p>
    <w:p>
      <w:pPr>
        <w:pStyle w:val="Para 14"/>
      </w:pPr>
      <w:r>
        <w:rPr>
          <w:rStyle w:val="Text4"/>
        </w:rPr>
        <w:t xml:space="preserve">• </w:t>
      </w:r>
      <w:hyperlink w:anchor="page_835">
        <w:r>
          <w:t>The rid idmap backend</w:t>
        </w:r>
      </w:hyperlink>
      <w:r>
        <w:rPr>
          <w:rStyle w:val="Text4"/>
        </w:rPr>
        <w:t xml:space="preserve"> (page 834)</w:t>
      </w:r>
    </w:p>
    <w:p>
      <w:pPr>
        <w:pStyle w:val="Para 14"/>
      </w:pPr>
      <w:r>
        <w:rPr>
          <w:rStyle w:val="Text4"/>
        </w:rPr>
        <w:t xml:space="preserve">• </w:t>
      </w:r>
      <w:hyperlink w:anchor="page_837">
        <w:r>
          <w:t>The autorid idmap backend</w:t>
        </w:r>
      </w:hyperlink>
      <w:r>
        <w:rPr>
          <w:rStyle w:val="Text4"/>
        </w:rPr>
        <w:t xml:space="preserve"> (page 836)</w:t>
      </w:r>
    </w:p>
    <w:p>
      <w:bookmarkStart w:id="1313" w:name="calibre_pb_240"/>
      <w:pPr>
        <w:pStyle w:val="0 Block"/>
      </w:pPr>
      <w:bookmarkEnd w:id="1313"/>
    </w:p>
    <w:p>
      <w:bookmarkStart w:id="1314" w:name="Top_of_index_split_241_html"/>
      <w:bookmarkStart w:id="1315" w:name="page_83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69" name="index-833_1.png" descr="index-833_1.png"/>
            <wp:cNvGraphicFramePr>
              <a:graphicFrameLocks noChangeAspect="1"/>
            </wp:cNvGraphicFramePr>
            <a:graphic>
              <a:graphicData uri="http://schemas.openxmlformats.org/drawingml/2006/picture">
                <pic:pic>
                  <pic:nvPicPr>
                    <pic:cNvPr id="0" name="index-833_1.png" descr="index-833_1.png"/>
                    <pic:cNvPicPr/>
                  </pic:nvPicPr>
                  <pic:blipFill>
                    <a:blip r:embed="rId873"/>
                    <a:stretch>
                      <a:fillRect/>
                    </a:stretch>
                  </pic:blipFill>
                  <pic:spPr>
                    <a:xfrm>
                      <a:off x="0" y="0"/>
                      <a:ext cx="914400" cy="266700"/>
                    </a:xfrm>
                    <a:prstGeom prst="rect">
                      <a:avLst/>
                    </a:prstGeom>
                  </pic:spPr>
                </pic:pic>
              </a:graphicData>
            </a:graphic>
          </wp:anchor>
        </w:drawing>
      </w:r>
      <w:bookmarkEnd w:id="1314"/>
      <w:bookmarkEnd w:id="1315"/>
    </w:p>
    <w:p>
      <w:pPr>
        <w:pStyle w:val="Para 01"/>
      </w:pPr>
      <w:r>
        <w:t>Security identifiers (SIDs)</w:t>
      </w:r>
    </w:p>
    <w:p>
      <w:pPr>
        <w:pStyle w:val="Para 17"/>
      </w:pPr>
      <w:r>
        <w:t/>
      </w:r>
    </w:p>
    <w:p>
      <w:pPr>
        <w:pStyle w:val="Normal"/>
      </w:pPr>
      <w:r>
        <w:t xml:space="preserve">One of the more challenging aspects of integrating with Active Directory is called Identity Mapping. Windows entities (users, groups, computers, etc) have identifiers called SID, which stands for </w:t>
      </w:r>
      <w:r>
        <w:rPr>
          <w:rStyle w:val="Text3"/>
        </w:rPr>
        <w:t>Security IDentifier</w:t>
      </w:r>
      <w:r>
        <w:t>. This is not just a number: it has a structure and is composed of several values. Linux users and groups identifiers, on the other hand, are a single number..</w:t>
      </w:r>
    </w:p>
    <w:p>
      <w:pPr>
        <w:pStyle w:val="Para 08"/>
      </w:pPr>
      <w:r>
        <w:t>Note:</w:t>
      </w:r>
    </w:p>
    <w:p>
      <w:pPr>
        <w:pStyle w:val="Para 03"/>
      </w:pPr>
      <w:r>
        <w:t>For a full explanation of what an SID is, and how they are structured and allocated, please</w:t>
      </w:r>
    </w:p>
    <w:p>
      <w:pPr>
        <w:pStyle w:val="Para 22"/>
      </w:pPr>
      <w:r>
        <w:rPr>
          <w:rStyle w:val="Text7"/>
        </w:rPr>
        <w:t xml:space="preserve">refer to </w:t>
      </w:r>
      <w:hyperlink r:id="rId1723">
        <w:r>
          <w:rPr>
            <w:rStyle w:val="Text10"/>
          </w:rPr>
          <w:t>876</w:t>
        </w:r>
      </w:hyperlink>
      <w:hyperlink r:id="rId1723">
        <w:r>
          <w:t xml:space="preserve"> Understand Security Identifiers</w:t>
        </w:r>
      </w:hyperlink>
      <w:r>
        <w:rPr>
          <w:rStyle w:val="Text7"/>
        </w:rPr>
        <w:t>.</w:t>
      </w:r>
    </w:p>
    <w:p>
      <w:pPr>
        <w:pStyle w:val="Para 05"/>
      </w:pPr>
      <w:r>
        <w:rPr>
          <w:rStyle w:val="Text5"/>
        </w:rPr>
        <w:t>876</w:t>
      </w:r>
      <w:r>
        <w:rPr>
          <w:rStyle w:val="Text8"/>
        </w:rPr>
        <w:t xml:space="preserve"> </w:t>
      </w:r>
      <w:r>
        <w:t>https://learn.microsoft.com/en-us/windows-server/identity/ad-ds/manage/</w:t>
      </w:r>
    </w:p>
    <w:p>
      <w:pPr>
        <w:pStyle w:val="Para 05"/>
      </w:pPr>
      <w:r>
        <w:t>understand-security-identifiers</w:t>
      </w:r>
    </w:p>
    <w:p>
      <w:pPr>
        <w:pStyle w:val="Para 17"/>
      </w:pPr>
      <w:r>
        <w:t/>
      </w:r>
    </w:p>
    <w:p>
      <w:pPr>
        <w:pStyle w:val="Normal"/>
      </w:pPr>
      <w:r>
        <w:t xml:space="preserve">For the purposes of integration, the more important fields of a SID are the </w:t>
      </w:r>
      <w:r>
        <w:rPr>
          <w:rStyle w:val="Text3"/>
        </w:rPr>
        <w:t>Domain Identifier</w:t>
      </w:r>
      <w:r>
        <w:t xml:space="preserve"> and the </w:t>
      </w:r>
      <w:r>
        <w:rPr>
          <w:rStyle w:val="Text3"/>
        </w:rPr>
        <w:t>Relative Identifier</w:t>
      </w:r>
      <w:r>
        <w:t xml:space="preserve"> :</w:t>
      </w:r>
    </w:p>
    <w:p>
      <w:pPr>
        <w:pStyle w:val="Normal"/>
      </w:pPr>
      <w:r>
        <w:t>S-1-5-&lt;Domain-Identifier&gt;-&lt;Relative-Identifier&gt;</w:t>
      </w:r>
    </w:p>
    <w:p>
      <w:pPr>
        <w:pStyle w:val="Para 17"/>
      </w:pPr>
      <w:r>
        <w:t/>
      </w:r>
    </w:p>
    <w:p>
      <w:pPr>
        <w:pStyle w:val="Normal"/>
      </w:pPr>
      <w:r>
        <w:t>Here are some examples of what an SID looks like:</w:t>
      </w:r>
    </w:p>
    <w:p>
      <w:pPr>
        <w:pStyle w:val="Para 04"/>
      </w:pPr>
      <w:r>
        <w:t>• S-1-5-32-544: this is the so called well-known SID of the built-in (32) Administrators</w:t>
      </w:r>
    </w:p>
    <w:p>
      <w:pPr>
        <w:pStyle w:val="Para 02"/>
      </w:pPr>
      <w:r>
        <w:t>(544) group</w:t>
      </w:r>
    </w:p>
    <w:p>
      <w:pPr>
        <w:pStyle w:val="Para 04"/>
      </w:pPr>
      <w:r>
        <w:t>• S-1-5-21-1004336348-1177238915-682003330-512: a Domain Admins group (512) in a</w:t>
      </w:r>
    </w:p>
    <w:p>
      <w:pPr>
        <w:pStyle w:val="Para 02"/>
      </w:pPr>
      <w:r>
        <w:t>specific domain (21-1004336348-1177238915-682003330)</w:t>
      </w:r>
    </w:p>
    <w:p>
      <w:pPr>
        <w:pStyle w:val="Para 04"/>
      </w:pPr>
      <w:r>
        <w:t>• S-1-5-21-1132786674-3270659749-157314226-512: also a Domain Admins group (512),</w:t>
      </w:r>
    </w:p>
    <w:p>
      <w:pPr>
        <w:pStyle w:val="Para 02"/>
      </w:pPr>
      <w:r>
        <w:t>but in another domain (21-1132786674-3270659749-157314226)</w:t>
      </w:r>
    </w:p>
    <w:p>
      <w:pPr>
        <w:pStyle w:val="Para 04"/>
      </w:pPr>
      <w:r>
        <w:t xml:space="preserve">• S-1-5-21-1132786674-3270659749-157314226-1103: a user with </w:t>
      </w:r>
      <w:r>
        <w:rPr>
          <w:rStyle w:val="Text3"/>
        </w:rPr>
        <w:t>Relative Identifier</w:t>
      </w:r>
      <w:r>
        <w:t xml:space="preserve"> (RID)</w:t>
      </w:r>
    </w:p>
    <w:p>
      <w:pPr>
        <w:pStyle w:val="Para 02"/>
      </w:pPr>
      <w:r>
        <w:t>of 1103, in the domain 21-1132786674-3270659749-157314226</w:t>
      </w:r>
    </w:p>
    <w:p>
      <w:pPr>
        <w:pStyle w:val="Normal"/>
      </w:pPr>
      <w:r>
        <w:t xml:space="preserve">Within a domain, the </w:t>
      </w:r>
      <w:r>
        <w:rPr>
          <w:rStyle w:val="Text3"/>
        </w:rPr>
        <w:t>Domain Identifier</w:t>
      </w:r>
      <w:r>
        <w:t xml:space="preserve"> remains the same, and the </w:t>
      </w:r>
      <w:r>
        <w:rPr>
          <w:rStyle w:val="Text3"/>
        </w:rPr>
        <w:t>Relative Identifier</w:t>
      </w:r>
      <w:r>
        <w:t xml:space="preserve"> is what distinguishes the users and groups of that domain. In other words, the </w:t>
      </w:r>
      <w:r>
        <w:rPr>
          <w:rStyle w:val="Text3"/>
        </w:rPr>
        <w:t>Domain Admins</w:t>
      </w:r>
      <w:r>
        <w:t xml:space="preserve"> group will always have a </w:t>
      </w:r>
      <w:r>
        <w:rPr>
          <w:rStyle w:val="Text3"/>
        </w:rPr>
        <w:t>Relative Identifier</w:t>
      </w:r>
      <w:r>
        <w:t xml:space="preserve"> (RID) of 512 in all domains, but the </w:t>
      </w:r>
      <w:r>
        <w:rPr>
          <w:rStyle w:val="Text3"/>
        </w:rPr>
        <w:t>Domain Identifier</w:t>
      </w:r>
      <w:r>
        <w:t xml:space="preserve"> will be different. And thus we have a unique global </w:t>
      </w:r>
      <w:r>
        <w:rPr>
          <w:rStyle w:val="Text3"/>
        </w:rPr>
        <w:t>Secure Identifier</w:t>
      </w:r>
      <w:r>
        <w:t>.</w:t>
      </w:r>
    </w:p>
    <w:p>
      <w:pPr>
        <w:pStyle w:val="Normal"/>
      </w:pPr>
      <w:r>
        <w:t>In order to integrate an Ubuntu system with Active Directory, some sort of mapping is needed between the SIDs on the AD site, and the numeric identifiers on the Linux side. At first glance, the RID component of the SID looks like a very good candidate, and indeed it is used by most mapping mechanisms, but it’s not truly unique since it misses the Domain Identifier.</w:t>
      </w:r>
    </w:p>
    <w:p>
      <w:pPr>
        <w:pStyle w:val="Normal"/>
      </w:pPr>
      <w:r>
        <w:t xml:space="preserve">The </w:t>
      </w:r>
      <w:r>
        <w:rPr>
          <w:rStyle w:val="Text3"/>
        </w:rPr>
        <w:t>winbind</w:t>
      </w:r>
      <w:r>
        <w:t xml:space="preserve"> package, part of the Samba suite of applications, is capable of performing a mapping between SIDs and Linux IDs, and has several mechanisms to do so, each with some pros and cons. These mechanisms are called </w:t>
      </w:r>
      <w:r>
        <w:rPr>
          <w:rStyle w:val="Text3"/>
        </w:rPr>
        <w:t>Identity Mapping Backends</w:t>
      </w:r>
      <w:r>
        <w:t>, and how to choose one will depend on the type of domain being joined (single, forest, etc), and what level of integration we want on the Ubuntu System.</w:t>
      </w:r>
    </w:p>
    <w:p>
      <w:pPr>
        <w:pStyle w:val="Normal"/>
      </w:pPr>
      <w:r>
        <w:t>See next:</w:t>
      </w:r>
    </w:p>
    <w:p>
      <w:pPr>
        <w:pStyle w:val="Para 14"/>
      </w:pPr>
      <w:r>
        <w:rPr>
          <w:rStyle w:val="Text4"/>
        </w:rPr>
        <w:t xml:space="preserve">• </w:t>
      </w:r>
      <w:hyperlink w:anchor="page_834">
        <w:r>
          <w:t>Identity mapping backends</w:t>
        </w:r>
      </w:hyperlink>
      <w:r>
        <w:rPr>
          <w:rStyle w:val="Text4"/>
        </w:rPr>
        <w:t xml:space="preserve"> (page 833)</w:t>
      </w:r>
    </w:p>
    <w:p>
      <w:pPr>
        <w:pStyle w:val="Para 14"/>
      </w:pPr>
      <w:r>
        <w:rPr>
          <w:rStyle w:val="Text4"/>
        </w:rPr>
        <w:t xml:space="preserve">• </w:t>
      </w:r>
      <w:hyperlink w:anchor="page_835">
        <w:r>
          <w:t>The rid idmap backend</w:t>
        </w:r>
      </w:hyperlink>
      <w:r>
        <w:rPr>
          <w:rStyle w:val="Text4"/>
        </w:rPr>
        <w:t xml:space="preserve"> (page 834)</w:t>
      </w:r>
    </w:p>
    <w:p>
      <w:pPr>
        <w:pStyle w:val="Para 14"/>
      </w:pPr>
      <w:r>
        <w:rPr>
          <w:rStyle w:val="Text4"/>
        </w:rPr>
        <w:t xml:space="preserve">• </w:t>
      </w:r>
      <w:hyperlink w:anchor="page_837">
        <w:r>
          <w:t>The autorid idmap backend</w:t>
        </w:r>
      </w:hyperlink>
      <w:r>
        <w:rPr>
          <w:rStyle w:val="Text4"/>
        </w:rPr>
        <w:t xml:space="preserve"> (page 836)</w:t>
      </w:r>
    </w:p>
    <w:p>
      <w:bookmarkStart w:id="1316" w:name="page_8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0" name="index-834_1.png" descr="index-834_1.png"/>
            <wp:cNvGraphicFramePr>
              <a:graphicFrameLocks noChangeAspect="1"/>
            </wp:cNvGraphicFramePr>
            <a:graphic>
              <a:graphicData uri="http://schemas.openxmlformats.org/drawingml/2006/picture">
                <pic:pic>
                  <pic:nvPicPr>
                    <pic:cNvPr id="0" name="index-834_1.png" descr="index-834_1.png"/>
                    <pic:cNvPicPr/>
                  </pic:nvPicPr>
                  <pic:blipFill>
                    <a:blip r:embed="rId874"/>
                    <a:stretch>
                      <a:fillRect/>
                    </a:stretch>
                  </pic:blipFill>
                  <pic:spPr>
                    <a:xfrm>
                      <a:off x="0" y="0"/>
                      <a:ext cx="914400" cy="266700"/>
                    </a:xfrm>
                    <a:prstGeom prst="rect">
                      <a:avLst/>
                    </a:prstGeom>
                  </pic:spPr>
                </pic:pic>
              </a:graphicData>
            </a:graphic>
          </wp:anchor>
        </w:drawing>
      </w:r>
      <w:bookmarkEnd w:id="1316"/>
    </w:p>
    <w:p>
      <w:pPr>
        <w:pStyle w:val="Para 01"/>
      </w:pPr>
      <w:r>
        <w:t>Identity Mapping (idmap) backends</w:t>
      </w:r>
    </w:p>
    <w:p>
      <w:pPr>
        <w:pStyle w:val="Para 17"/>
      </w:pPr>
      <w:r>
        <w:t/>
      </w:r>
    </w:p>
    <w:p>
      <w:pPr>
        <w:pStyle w:val="Normal"/>
      </w:pPr>
      <w:r>
        <w:t>In order to have Domain users and groups from an Active Directory system appear in an Ubuntu system as valid, they need to have Linux specific attributes. Some of these attributes map directly to equivalent ones in Active Directory, some need to be translated to something else, and others do not exist at all. This is the problem that the Identity Mapping Backends (idmap) try to solve.</w:t>
      </w:r>
    </w:p>
    <w:p>
      <w:pPr>
        <w:pStyle w:val="Normal"/>
      </w:pPr>
      <w:r>
        <w:t>There are many different identity mapping backends to choose from, but these tend to be the most commonly used ones:</w:t>
      </w:r>
    </w:p>
    <w:p>
      <w:pPr>
        <w:pStyle w:val="Para 04"/>
      </w:pPr>
      <w:r>
        <w:t xml:space="preserve">• </w:t>
      </w:r>
      <w:hyperlink r:id="rId1235">
        <w:r>
          <w:rPr>
            <w:rStyle w:val="Text9"/>
          </w:rPr>
          <w:t>877</w:t>
        </w:r>
      </w:hyperlink>
      <w:hyperlink r:id="rId1235">
        <w:r>
          <w:rPr>
            <w:rStyle w:val="Text1"/>
          </w:rPr>
          <w:t xml:space="preserve"> </w:t>
        </w:r>
      </w:hyperlink>
      <w:hyperlink r:id="rId1235">
        <w:r>
          <w:rPr>
            <w:rStyle w:val="Text2"/>
          </w:rPr>
          <w:t>idmap_ad(8)</w:t>
        </w:r>
      </w:hyperlink>
      <w:r>
        <w:t>: requires that Active Directory be augmented with RFC-2307 attributes</w:t>
      </w:r>
    </w:p>
    <w:p>
      <w:pPr>
        <w:pStyle w:val="Para 04"/>
      </w:pPr>
      <w:r>
        <w:t xml:space="preserve">• </w:t>
      </w:r>
      <w:hyperlink w:anchor="page_834">
        <w:r>
          <w:rPr>
            <w:rStyle w:val="Text9"/>
          </w:rPr>
          <w:t>878</w:t>
        </w:r>
      </w:hyperlink>
      <w:r>
        <w:t xml:space="preserve"> </w:t>
      </w:r>
      <w:hyperlink r:id="rId1237">
        <w:r>
          <w:rPr>
            <w:rStyle w:val="Text2"/>
          </w:rPr>
          <w:t>idmap_rid(8)</w:t>
        </w:r>
      </w:hyperlink>
      <w:r>
        <w:t>: algorithmic user/group id generation, manual domain configuration</w:t>
      </w:r>
    </w:p>
    <w:p>
      <w:pPr>
        <w:pStyle w:val="Para 04"/>
      </w:pPr>
      <w:r>
        <w:t xml:space="preserve">• </w:t>
      </w:r>
      <w:hyperlink r:id="rId1236">
        <w:r>
          <w:rPr>
            <w:rStyle w:val="Text9"/>
          </w:rPr>
          <w:t>879</w:t>
        </w:r>
      </w:hyperlink>
      <w:hyperlink r:id="rId1236">
        <w:r>
          <w:rPr>
            <w:rStyle w:val="Text1"/>
          </w:rPr>
          <w:t xml:space="preserve"> </w:t>
        </w:r>
      </w:hyperlink>
      <w:hyperlink r:id="rId1236">
        <w:r>
          <w:rPr>
            <w:rStyle w:val="Text2"/>
          </w:rPr>
          <w:t>idmap_autorid(8)</w:t>
        </w:r>
      </w:hyperlink>
      <w:r>
        <w:t>: algorithmic user/group ID generation, automatic domain config-</w:t>
      </w:r>
    </w:p>
    <w:p>
      <w:pPr>
        <w:pStyle w:val="Para 02"/>
      </w:pPr>
      <w:r>
        <w:t>uration</w:t>
      </w:r>
    </w:p>
    <w:p>
      <w:pPr>
        <w:pStyle w:val="Normal"/>
      </w:pPr>
      <w:r>
        <w:t>Of these, the simplest ones to use are rid and autorid, because they require no changes to Active Directory. These are the ones we will examine next.</w:t>
      </w:r>
    </w:p>
    <w:p>
      <w:pPr>
        <w:pStyle w:val="Normal"/>
      </w:pPr>
      <w:r>
        <w:t>There is another idmap backend that we need to introduce, not related to Active Directory</w:t>
      </w:r>
    </w:p>
    <w:p>
      <w:pPr>
        <w:pStyle w:val="Normal"/>
      </w:pPr>
      <w:r>
        <w:t xml:space="preserve">integration, but necessary in some cases: the tdb (Trivial Data Base) backend. The </w:t>
      </w:r>
      <w:hyperlink r:id="rId1725">
        <w:r>
          <w:rPr>
            <w:rStyle w:val="Text2"/>
          </w:rPr>
          <w:t>idmap_</w:t>
        </w:r>
      </w:hyperlink>
    </w:p>
    <w:p>
      <w:pPr>
        <w:pStyle w:val="Normal"/>
      </w:pPr>
      <w:hyperlink r:id="rId1725">
        <w:r>
          <w:rPr>
            <w:rStyle w:val="Text2"/>
          </w:rPr>
          <w:t>tdb(8)</w:t>
        </w:r>
      </w:hyperlink>
      <w:hyperlink w:anchor="page_834">
        <w:r>
          <w:rPr>
            <w:rStyle w:val="Text9"/>
          </w:rPr>
          <w:t>880</w:t>
        </w:r>
      </w:hyperlink>
      <w:r>
        <w:t xml:space="preserve"> backend is an </w:t>
      </w:r>
      <w:r>
        <w:rPr>
          <w:rStyle w:val="Text3"/>
        </w:rPr>
        <w:t>allocating backend</w:t>
      </w:r>
      <w:r>
        <w:t xml:space="preserve"> that stores the mappings on a persistent database on disk. It is needed whenever the mapping is not deterministic, and is instead done on a first come, first serve, order. Configurations using the idmap_rid backend need to be supported by the idmap_tdb backend as well, as will be shown later.</w:t>
      </w:r>
    </w:p>
    <w:p>
      <w:pPr>
        <w:pStyle w:val="Normal"/>
      </w:pPr>
      <w:r>
        <w:t>To better understand how these mapping mechanisms work, it helps to have a quick refresher</w:t>
      </w:r>
    </w:p>
    <w:p>
      <w:pPr>
        <w:pStyle w:val="Para 18"/>
      </w:pPr>
      <w:r>
        <w:rPr>
          <w:rStyle w:val="Text7"/>
        </w:rPr>
        <w:t xml:space="preserve">on the typical </w:t>
      </w:r>
      <w:hyperlink w:anchor="page_834">
        <w:r>
          <w:rPr>
            <w:rStyle w:val="Text10"/>
          </w:rPr>
          <w:t>881</w:t>
        </w:r>
      </w:hyperlink>
      <w:r>
        <w:rPr>
          <w:rStyle w:val="Text7"/>
        </w:rPr>
        <w:t xml:space="preserve"> </w:t>
      </w:r>
      <w:hyperlink r:id="rId1727">
        <w:r>
          <w:t>user ID ranges on an Ubuntu/Debian system</w:t>
        </w:r>
      </w:hyperlink>
      <w:r>
        <w:rPr>
          <w:rStyle w:val="Text7"/>
        </w:rPr>
        <w:t>:</w:t>
      </w:r>
    </w:p>
    <w:p>
      <w:pPr>
        <w:pStyle w:val="Para 04"/>
      </w:pPr>
      <w:r>
        <w:t>• 0-99: builtin global allocations, shipped in the base-passwd package</w:t>
      </w:r>
    </w:p>
    <w:p>
      <w:pPr>
        <w:pStyle w:val="Para 04"/>
      </w:pPr>
      <w:r>
        <w:t>• 100-999: dynamically allocated system users and groups, typically created by packages</w:t>
      </w:r>
    </w:p>
    <w:p>
      <w:pPr>
        <w:pStyle w:val="Para 02"/>
      </w:pPr>
      <w:r>
        <w:t>for services as they are installed</w:t>
      </w:r>
    </w:p>
    <w:p>
      <w:pPr>
        <w:pStyle w:val="Para 04"/>
      </w:pPr>
      <w:r>
        <w:t>• 1000-59999: dynamically allocated normal user/group accounts (*)</w:t>
      </w:r>
    </w:p>
    <w:p>
      <w:pPr>
        <w:pStyle w:val="Para 04"/>
      </w:pPr>
      <w:r>
        <w:t>• 60000-64999: other global allocations</w:t>
      </w:r>
    </w:p>
    <w:p>
      <w:pPr>
        <w:pStyle w:val="Para 04"/>
      </w:pPr>
      <w:r>
        <w:t>• 65000-65533: reserved</w:t>
      </w:r>
    </w:p>
    <w:p>
      <w:pPr>
        <w:pStyle w:val="Para 04"/>
      </w:pPr>
      <w:r>
        <w:t>• 65534: the nobody user, and corresponding nogroup group (*)</w:t>
      </w:r>
    </w:p>
    <w:p>
      <w:pPr>
        <w:pStyle w:val="Para 04"/>
      </w:pPr>
      <w:r>
        <w:t>• 65536-4294967293: dynamically allocated user/group accounts</w:t>
      </w:r>
    </w:p>
    <w:p>
      <w:pPr>
        <w:pStyle w:val="Para 04"/>
      </w:pPr>
      <w:r>
        <w:t>• 4294967294 and 4294967295: do not use</w:t>
      </w:r>
    </w:p>
    <w:p>
      <w:pPr>
        <w:pStyle w:val="Normal"/>
      </w:pPr>
      <w:r>
        <w:t>Most of these ranges are configured in /etc/adduser.conf, and the above are the default values.</w:t>
      </w:r>
    </w:p>
    <w:p>
      <w:pPr>
        <w:pStyle w:val="Normal"/>
      </w:pPr>
      <w:r>
        <w:t>The Active Directory domain users and groups need to fit somewhere, and the largest block available is 65536-4294967293, so that is typically what is used.</w:t>
      </w:r>
    </w:p>
    <w:p>
      <w:pPr>
        <w:pStyle w:val="Normal"/>
      </w:pPr>
      <w:r>
        <w:t>See next:</w:t>
      </w:r>
    </w:p>
    <w:p>
      <w:pPr>
        <w:pStyle w:val="Para 05"/>
      </w:pPr>
      <w:r>
        <w:rPr>
          <w:rStyle w:val="Text5"/>
        </w:rPr>
        <w:t>877</w:t>
      </w:r>
      <w:r>
        <w:rPr>
          <w:rStyle w:val="Text8"/>
        </w:rPr>
        <w:t xml:space="preserve"> </w:t>
      </w:r>
      <w:r>
        <w:t>https://manpages.ubuntu.com/manpages/resolute/man8/idmap_ad.8.html</w:t>
      </w:r>
    </w:p>
    <w:p>
      <w:pPr>
        <w:pStyle w:val="Para 05"/>
      </w:pPr>
      <w:r>
        <w:rPr>
          <w:rStyle w:val="Text5"/>
        </w:rPr>
        <w:t>878</w:t>
      </w:r>
      <w:r>
        <w:rPr>
          <w:rStyle w:val="Text8"/>
        </w:rPr>
        <w:t xml:space="preserve"> </w:t>
      </w:r>
      <w:r>
        <w:t>https://manpages.ubuntu.com/manpages/resolute/man8/idmap_rid.8.html</w:t>
      </w:r>
    </w:p>
    <w:p>
      <w:pPr>
        <w:pStyle w:val="Para 05"/>
      </w:pPr>
      <w:r>
        <w:rPr>
          <w:rStyle w:val="Text5"/>
        </w:rPr>
        <w:t>879</w:t>
      </w:r>
      <w:r>
        <w:rPr>
          <w:rStyle w:val="Text8"/>
        </w:rPr>
        <w:t xml:space="preserve"> </w:t>
      </w:r>
      <w:r>
        <w:t>https://manpages.ubuntu.com/manpages/resolute/man8/idmap_autorid.8.html</w:t>
      </w:r>
    </w:p>
    <w:p>
      <w:pPr>
        <w:pStyle w:val="Para 05"/>
      </w:pPr>
      <w:r>
        <w:rPr>
          <w:rStyle w:val="Text5"/>
        </w:rPr>
        <w:t>880</w:t>
      </w:r>
      <w:r>
        <w:rPr>
          <w:rStyle w:val="Text8"/>
        </w:rPr>
        <w:t xml:space="preserve"> </w:t>
      </w:r>
      <w:r>
        <w:t>https://manpages.ubuntu.com/manpages/resolute/man8/idmap_tdb.8.html</w:t>
      </w:r>
    </w:p>
    <w:p>
      <w:pPr>
        <w:pStyle w:val="Para 05"/>
      </w:pPr>
      <w:r>
        <w:rPr>
          <w:rStyle w:val="Text5"/>
        </w:rPr>
        <w:t>881</w:t>
      </w:r>
      <w:r>
        <w:rPr>
          <w:rStyle w:val="Text8"/>
        </w:rPr>
        <w:t xml:space="preserve"> </w:t>
      </w:r>
      <w:r>
        <w:t>https://www.debian.org/doc/debian-policy/ch-opersys.html#uid-and-gid-classes</w:t>
      </w:r>
    </w:p>
    <w:p>
      <w:bookmarkStart w:id="1317" w:name="page_8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1" name="index-835_1.png" descr="index-835_1.png"/>
            <wp:cNvGraphicFramePr>
              <a:graphicFrameLocks noChangeAspect="1"/>
            </wp:cNvGraphicFramePr>
            <a:graphic>
              <a:graphicData uri="http://schemas.openxmlformats.org/drawingml/2006/picture">
                <pic:pic>
                  <pic:nvPicPr>
                    <pic:cNvPr id="0" name="index-835_1.png" descr="index-835_1.png"/>
                    <pic:cNvPicPr/>
                  </pic:nvPicPr>
                  <pic:blipFill>
                    <a:blip r:embed="rId875"/>
                    <a:stretch>
                      <a:fillRect/>
                    </a:stretch>
                  </pic:blipFill>
                  <pic:spPr>
                    <a:xfrm>
                      <a:off x="0" y="0"/>
                      <a:ext cx="914400" cy="266700"/>
                    </a:xfrm>
                    <a:prstGeom prst="rect">
                      <a:avLst/>
                    </a:prstGeom>
                  </pic:spPr>
                </pic:pic>
              </a:graphicData>
            </a:graphic>
          </wp:anchor>
        </w:drawing>
      </w:r>
      <w:bookmarkEnd w:id="1317"/>
    </w:p>
    <w:p>
      <w:pPr>
        <w:pStyle w:val="Para 14"/>
      </w:pPr>
      <w:r>
        <w:rPr>
          <w:rStyle w:val="Text4"/>
        </w:rPr>
        <w:t xml:space="preserve">• </w:t>
      </w:r>
      <w:hyperlink w:anchor="page_835">
        <w:r>
          <w:t>The rid idmap backend</w:t>
        </w:r>
      </w:hyperlink>
      <w:r>
        <w:rPr>
          <w:rStyle w:val="Text4"/>
        </w:rPr>
        <w:t xml:space="preserve"> (page 834)</w:t>
      </w:r>
    </w:p>
    <w:p>
      <w:pPr>
        <w:pStyle w:val="Para 14"/>
      </w:pPr>
      <w:r>
        <w:rPr>
          <w:rStyle w:val="Text4"/>
        </w:rPr>
        <w:t xml:space="preserve">• </w:t>
      </w:r>
      <w:hyperlink w:anchor="page_837">
        <w:r>
          <w:t>The autorid idmap backend</w:t>
        </w:r>
      </w:hyperlink>
      <w:r>
        <w:rPr>
          <w:rStyle w:val="Text4"/>
        </w:rPr>
        <w:t xml:space="preserve"> (page 836)</w:t>
      </w:r>
    </w:p>
    <w:p>
      <w:pPr>
        <w:pStyle w:val="Para 17"/>
      </w:pPr>
      <w:r>
        <w:t/>
      </w:r>
    </w:p>
    <w:p>
      <w:pPr>
        <w:pStyle w:val="Para 01"/>
      </w:pPr>
      <w:r>
        <w:t>The RID IDMap backend</w:t>
      </w:r>
    </w:p>
    <w:p>
      <w:pPr>
        <w:pStyle w:val="Para 17"/>
      </w:pPr>
      <w:r>
        <w:t/>
      </w:r>
    </w:p>
    <w:p>
      <w:pPr>
        <w:pStyle w:val="Normal"/>
      </w:pPr>
      <w:r>
        <w:t xml:space="preserve">The </w:t>
      </w:r>
      <w:hyperlink w:anchor="page_835">
        <w:r>
          <w:rPr>
            <w:rStyle w:val="Text9"/>
          </w:rPr>
          <w:t>882</w:t>
        </w:r>
      </w:hyperlink>
      <w:r>
        <w:t xml:space="preserve"> </w:t>
      </w:r>
      <w:hyperlink r:id="rId1237">
        <w:r>
          <w:rPr>
            <w:rStyle w:val="Text2"/>
          </w:rPr>
          <w:t>idmap_rid(8)</w:t>
        </w:r>
      </w:hyperlink>
      <w:r>
        <w:t xml:space="preserve"> IDMap backend provides an algorithmic mapping between Linux</w:t>
      </w:r>
    </w:p>
    <w:p>
      <w:pPr>
        <w:pStyle w:val="Normal"/>
      </w:pPr>
      <w:r>
        <w:t>UIDs/</w:t>
      </w:r>
      <w:hyperlink w:anchor="page_685">
        <w:r>
          <w:rPr>
            <w:rStyle w:val="Text2"/>
          </w:rPr>
          <w:t>GIDs</w:t>
        </w:r>
      </w:hyperlink>
      <w:r>
        <w:t xml:space="preserve"> and Active Directory SIDs. That means that a given SID will always map to the same UID/GID, and vice-versa, within the same domain.</w:t>
      </w:r>
    </w:p>
    <w:p>
      <w:pPr>
        <w:pStyle w:val="Normal"/>
      </w:pPr>
      <w:r>
        <w:t>To use this backend, we have to choose two or more ID ranges:</w:t>
      </w:r>
    </w:p>
    <w:p>
      <w:pPr>
        <w:pStyle w:val="Para 04"/>
      </w:pPr>
      <w:r>
        <w:t>• A range for the domain we are joining</w:t>
      </w:r>
    </w:p>
    <w:p>
      <w:pPr>
        <w:pStyle w:val="Para 04"/>
      </w:pPr>
      <w:r>
        <w:t>• Another range to serve as a “catch all”, which will store mappings for users and groups</w:t>
      </w:r>
    </w:p>
    <w:p>
      <w:pPr>
        <w:pStyle w:val="Para 02"/>
      </w:pPr>
      <w:r>
        <w:t>that might come from other domains, as well as the default built-in entries</w:t>
      </w:r>
    </w:p>
    <w:p>
      <w:pPr>
        <w:pStyle w:val="Normal"/>
      </w:pPr>
      <w:r>
        <w:t>Let’s analyze an example configuration:</w:t>
      </w:r>
    </w:p>
    <w:p>
      <w:pPr>
        <w:pStyle w:val="Normal"/>
      </w:pPr>
      <w:r>
        <w:t>[global]</w:t>
      </w:r>
    </w:p>
    <w:p>
      <w:pPr>
        <w:pStyle w:val="Para 02"/>
      </w:pPr>
      <w:r>
        <w:t>...</w:t>
      </w:r>
    </w:p>
    <w:p>
      <w:pPr>
        <w:pStyle w:val="Para 02"/>
      </w:pPr>
      <w:r>
        <w:t>security = ads</w:t>
      </w:r>
    </w:p>
    <w:p>
      <w:pPr>
        <w:pStyle w:val="Para 02"/>
      </w:pPr>
      <w:r>
        <w:t>realm = EXAMPLE.INTERNAL</w:t>
      </w:r>
    </w:p>
    <w:p>
      <w:pPr>
        <w:pStyle w:val="Para 02"/>
      </w:pPr>
      <w:r>
        <w:t>workgroup = EXAMPLE</w:t>
      </w:r>
    </w:p>
    <w:p>
      <w:pPr>
        <w:pStyle w:val="Para 02"/>
      </w:pPr>
      <w:r>
        <w:t>...</w:t>
      </w:r>
    </w:p>
    <w:p>
      <w:pPr>
        <w:pStyle w:val="Para 02"/>
      </w:pPr>
      <w:r>
        <w:t>idmap config * : backend</w:t>
        <w:t xml:space="preserve"> </w:t>
        <w:t>= tdb</w:t>
        <w:t xml:space="preserve"> </w:t>
        <w:t>idmap config * : range</w:t>
        <w:t xml:space="preserve"> </w:t>
        <w:t>= 100000 - 199999</w:t>
      </w:r>
    </w:p>
    <w:p>
      <w:pPr>
        <w:pStyle w:val="Para 02"/>
      </w:pPr>
      <w:r>
        <w:t>idmap config EXAMPLE : backend = rid</w:t>
      </w:r>
    </w:p>
    <w:p>
      <w:pPr>
        <w:pStyle w:val="Para 02"/>
      </w:pPr>
      <w:r>
        <w:t>idmap config EXAMPLE : range</w:t>
        <w:t xml:space="preserve"> </w:t>
        <w:t>= 1000000 - 1999999</w:t>
      </w:r>
    </w:p>
    <w:p>
      <w:pPr>
        <w:pStyle w:val="Para 17"/>
      </w:pPr>
      <w:r>
        <w:t/>
      </w:r>
    </w:p>
    <w:p>
      <w:pPr>
        <w:pStyle w:val="Para 08"/>
      </w:pPr>
      <w:r>
        <w:t>Note:</w:t>
      </w:r>
    </w:p>
    <w:p>
      <w:pPr>
        <w:pStyle w:val="Para 03"/>
      </w:pPr>
      <w:r>
        <w:t>This is not yet a complete configuration file, and is just illustrating the IDMap configura-</w:t>
      </w:r>
    </w:p>
    <w:p>
      <w:pPr>
        <w:pStyle w:val="Para 03"/>
      </w:pPr>
      <w:r>
        <w:t>tion. More is needed to join an Active Directory domain.</w:t>
      </w:r>
    </w:p>
    <w:p>
      <w:pPr>
        <w:pStyle w:val="Para 17"/>
      </w:pPr>
      <w:r>
        <w:t/>
      </w:r>
    </w:p>
    <w:p>
      <w:pPr>
        <w:pStyle w:val="Normal"/>
      </w:pPr>
      <w:r>
        <w:t>This configuration is using two IDMap backends, and carving out two ranges:</w:t>
      </w:r>
    </w:p>
    <w:p>
      <w:pPr>
        <w:pStyle w:val="Para 04"/>
      </w:pPr>
      <w:r>
        <w:t>• * domain, or “default domain”: any SID that is not mapped via another more specific</w:t>
      </w:r>
    </w:p>
    <w:p>
      <w:pPr>
        <w:pStyle w:val="Para 02"/>
      </w:pPr>
      <w:r>
        <w:t>IDMap configuration will use this backend. Since this mapping is not deterministic, a database is needed to keep a record, hence the tdb backend is used.</w:t>
      </w:r>
    </w:p>
    <w:p>
      <w:pPr>
        <w:pStyle w:val="Para 04"/>
      </w:pPr>
      <w:r>
        <w:t>• EXAMPLE domain: uses the RID IDMap backend, and users from the EXAMPLE domain will</w:t>
      </w:r>
    </w:p>
    <w:p>
      <w:pPr>
        <w:pStyle w:val="Para 02"/>
      </w:pPr>
      <w:r>
        <w:t>be allocated IDs in the range of 1,000,000 to 1,999,999, that is, there is space for 1 million IDs. Since the mapping is deterministic, there is no need for a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723900"/>
            <wp:effectExtent l="0" r="0" t="0" b="0"/>
            <wp:wrapTopAndBottom/>
            <wp:docPr id="872" name="index-835_2.png" descr="index-835_2.png"/>
            <wp:cNvGraphicFramePr>
              <a:graphicFrameLocks noChangeAspect="1"/>
            </wp:cNvGraphicFramePr>
            <a:graphic>
              <a:graphicData uri="http://schemas.openxmlformats.org/drawingml/2006/picture">
                <pic:pic>
                  <pic:nvPicPr>
                    <pic:cNvPr id="0" name="index-835_2.png" descr="index-835_2.png"/>
                    <pic:cNvPicPr/>
                  </pic:nvPicPr>
                  <pic:blipFill>
                    <a:blip r:embed="rId876"/>
                    <a:stretch>
                      <a:fillRect/>
                    </a:stretch>
                  </pic:blipFill>
                  <pic:spPr>
                    <a:xfrm>
                      <a:off x="0" y="0"/>
                      <a:ext cx="1841500" cy="723900"/>
                    </a:xfrm>
                    <a:prstGeom prst="rect">
                      <a:avLst/>
                    </a:prstGeom>
                  </pic:spPr>
                </pic:pic>
              </a:graphicData>
            </a:graphic>
          </wp:anchor>
        </w:drawing>
      </w:r>
    </w:p>
    <w:p>
      <w:pPr>
        <w:pStyle w:val="Para 17"/>
      </w:pPr>
      <w:r>
        <w:t/>
      </w:r>
    </w:p>
    <w:p>
      <w:pPr>
        <w:pStyle w:val="Para 05"/>
      </w:pPr>
      <w:r>
        <w:rPr>
          <w:rStyle w:val="Text5"/>
        </w:rPr>
        <w:t>882</w:t>
      </w:r>
      <w:r>
        <w:rPr>
          <w:rStyle w:val="Text8"/>
        </w:rPr>
        <w:t xml:space="preserve"> </w:t>
      </w:r>
      <w:r>
        <w:t>https://manpages.ubuntu.com/manpages/resolute/man8/idmap_rid.8.html</w:t>
      </w:r>
    </w:p>
    <w:p>
      <w:bookmarkStart w:id="1318" w:name="page_8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3" name="index-836_1.png" descr="index-836_1.png"/>
            <wp:cNvGraphicFramePr>
              <a:graphicFrameLocks noChangeAspect="1"/>
            </wp:cNvGraphicFramePr>
            <a:graphic>
              <a:graphicData uri="http://schemas.openxmlformats.org/drawingml/2006/picture">
                <pic:pic>
                  <pic:nvPicPr>
                    <pic:cNvPr id="0" name="index-836_1.png" descr="index-836_1.png"/>
                    <pic:cNvPicPr/>
                  </pic:nvPicPr>
                  <pic:blipFill>
                    <a:blip r:embed="rId877"/>
                    <a:stretch>
                      <a:fillRect/>
                    </a:stretch>
                  </pic:blipFill>
                  <pic:spPr>
                    <a:xfrm>
                      <a:off x="0" y="0"/>
                      <a:ext cx="914400" cy="266700"/>
                    </a:xfrm>
                    <a:prstGeom prst="rect">
                      <a:avLst/>
                    </a:prstGeom>
                  </pic:spPr>
                </pic:pic>
              </a:graphicData>
            </a:graphic>
          </wp:anchor>
        </w:drawing>
      </w:r>
      <w:bookmarkEnd w:id="1318"/>
    </w:p>
    <w:p>
      <w:pPr>
        <w:pStyle w:val="Para 08"/>
      </w:pPr>
      <w:r>
        <w:t>Important:</w:t>
      </w:r>
    </w:p>
    <w:p>
      <w:pPr>
        <w:pStyle w:val="Para 17"/>
      </w:pPr>
      <w:r>
        <w:t/>
      </w:r>
    </w:p>
    <w:p>
      <w:pPr>
        <w:pStyle w:val="Para 03"/>
      </w:pPr>
      <w:r>
        <w:t>Planning a range of IDs to be used for the mapping critically important. Such a range can</w:t>
      </w:r>
    </w:p>
    <w:p>
      <w:pPr>
        <w:pStyle w:val="Para 03"/>
      </w:pPr>
      <w:r>
        <w:t xml:space="preserve">never be reduced, just expanded (carefully!), and it must </w:t>
      </w:r>
      <w:r>
        <w:rPr>
          <w:rStyle w:val="Text0"/>
        </w:rPr>
        <w:t>NEVER</w:t>
      </w:r>
      <w:r>
        <w:t xml:space="preserve"> overlap with another</w:t>
      </w:r>
    </w:p>
    <w:p>
      <w:pPr>
        <w:pStyle w:val="Para 03"/>
      </w:pPr>
      <w:r>
        <w:t>allocated range.</w:t>
      </w:r>
    </w:p>
    <w:p>
      <w:pPr>
        <w:pStyle w:val="Para 17"/>
      </w:pPr>
      <w:r>
        <w:t/>
      </w:r>
    </w:p>
    <w:p>
      <w:pPr>
        <w:pStyle w:val="Normal"/>
      </w:pPr>
      <w:r>
        <w:t>Once this system is joined to the EXAMPLE.INTERNAL domain, users from that domain will be allocated corresponding Linux UIDs and GIDs from the specified range in a deterministic way, following a formula. As long as the above configuration is used in all Ubuntu systems joined to the domain, the same Active Directory user will always get the same Linux IDs in all those systems.</w:t>
      </w:r>
    </w:p>
    <w:p>
      <w:pPr>
        <w:pStyle w:val="Normal"/>
      </w:pPr>
      <w:r>
        <w:t xml:space="preserve">Things start to get more complicated if the EXAMPLE.INTERNAL domain establishes a trust re-lationship with another Active Directory domain. The correct way to handle this is to, </w:t>
      </w:r>
      <w:r>
        <w:rPr>
          <w:rStyle w:val="Text3"/>
        </w:rPr>
        <w:t>before</w:t>
      </w:r>
      <w:r>
        <w:t>, add a new IDMap configuration for that domain. For example:</w:t>
      </w:r>
    </w:p>
    <w:p>
      <w:pPr>
        <w:pStyle w:val="Normal"/>
      </w:pPr>
      <w:r>
        <w:t>[global]</w:t>
      </w:r>
    </w:p>
    <w:p>
      <w:pPr>
        <w:pStyle w:val="Para 02"/>
      </w:pPr>
      <w:r>
        <w:t>...</w:t>
      </w:r>
    </w:p>
    <w:p>
      <w:pPr>
        <w:pStyle w:val="Para 02"/>
      </w:pPr>
      <w:r>
        <w:t>security = ads</w:t>
      </w:r>
    </w:p>
    <w:p>
      <w:pPr>
        <w:pStyle w:val="Para 02"/>
      </w:pPr>
      <w:r>
        <w:t>realm = EXAMPLE.INTERNAL</w:t>
      </w:r>
    </w:p>
    <w:p>
      <w:pPr>
        <w:pStyle w:val="Para 02"/>
      </w:pPr>
      <w:r>
        <w:t>workgroup = EXAMPLE</w:t>
      </w:r>
    </w:p>
    <w:p>
      <w:pPr>
        <w:pStyle w:val="Para 02"/>
      </w:pPr>
      <w:r>
        <w:t>...</w:t>
      </w:r>
    </w:p>
    <w:p>
      <w:pPr>
        <w:pStyle w:val="Para 02"/>
      </w:pPr>
      <w:r>
        <w:t>idmap config * : backend</w:t>
        <w:t xml:space="preserve"> </w:t>
        <w:t>= tdb</w:t>
        <w:t xml:space="preserve"> </w:t>
        <w:t>idmap config * : range</w:t>
        <w:t xml:space="preserve"> </w:t>
        <w:t>= 100000 - 199999</w:t>
      </w:r>
    </w:p>
    <w:p>
      <w:pPr>
        <w:pStyle w:val="Para 02"/>
      </w:pPr>
      <w:r>
        <w:t>idmap config EXAMPLE : backend = rid</w:t>
      </w:r>
    </w:p>
    <w:p>
      <w:pPr>
        <w:pStyle w:val="Para 02"/>
      </w:pPr>
      <w:r>
        <w:t>idmap config EXAMPLE : range</w:t>
        <w:t xml:space="preserve"> </w:t>
        <w:t>= 1000000 - 1999999</w:t>
      </w:r>
    </w:p>
    <w:p>
      <w:pPr>
        <w:pStyle w:val="Para 02"/>
      </w:pPr>
      <w:r>
        <w:t>idmap config COMPANY : backend = rid</w:t>
      </w:r>
    </w:p>
    <w:p>
      <w:pPr>
        <w:pStyle w:val="Para 02"/>
      </w:pPr>
      <w:r>
        <w:t>idmap config COMPANY : range</w:t>
        <w:t xml:space="preserve"> </w:t>
        <w:t>= 2000000 - 2999999</w:t>
      </w:r>
    </w:p>
    <w:p>
      <w:pPr>
        <w:pStyle w:val="Para 17"/>
      </w:pPr>
      <w:r>
        <w:t/>
      </w:r>
    </w:p>
    <w:p>
      <w:pPr>
        <w:pStyle w:val="Normal"/>
      </w:pPr>
      <w:r>
        <w:t>This change is allocating a new range for the new COMPANY domain. Then, when the domain trust relationship is established between the Active Directory domains, the Ubuntu systems with this extra IDMap configuration will know that users from the COMPANY belong to the range 2000000 - 2999999.</w:t>
      </w:r>
    </w:p>
    <w:p>
      <w:pPr>
        <w:pStyle w:val="Normal"/>
      </w:pPr>
      <w:r>
        <w:t xml:space="preserve">If, however, the domain trust relationship is established between EXAMPLE and COMPANY before the new IDMap range is configured, then the users and groups from COMPANY will have their ID allocations taken from the default domain “*”, which is NOT deterministic and is done on a first come, first serve, basis. This means that the </w:t>
      </w:r>
      <w:r>
        <w:rPr>
          <w:rStyle w:val="Text0"/>
        </w:rPr>
        <w:t>same</w:t>
      </w:r>
      <w:r>
        <w:t xml:space="preserve"> Active Directory user from domain COMPANY connecting to different Ubuntu systems will likely get a </w:t>
      </w:r>
      <w:r>
        <w:rPr>
          <w:rStyle w:val="Text0"/>
        </w:rPr>
        <w:t>different</w:t>
      </w:r>
      <w:r>
        <w:t xml:space="preserve"> Linux ID.</w:t>
      </w:r>
    </w:p>
    <w:p>
      <w:pPr>
        <w:pStyle w:val="Para 17"/>
      </w:pPr>
      <w:r>
        <w:t/>
      </w:r>
    </w:p>
    <w:p>
      <w:pPr>
        <w:pStyle w:val="Para 01"/>
      </w:pPr>
      <w:r>
        <w:t>Pros and cons of the RID backend</w:t>
      </w:r>
    </w:p>
    <w:p>
      <w:pPr>
        <w:pStyle w:val="Para 17"/>
      </w:pPr>
      <w:r>
        <w:t/>
      </w:r>
    </w:p>
    <w:p>
      <w:pPr>
        <w:pStyle w:val="Normal"/>
      </w:pPr>
      <w:r>
        <w:t xml:space="preserve">We now have enough information to understand the pros and cons of the </w:t>
      </w:r>
      <w:r>
        <w:rPr>
          <w:rStyle w:val="Text3"/>
        </w:rPr>
        <w:t>idmap_rid</w:t>
      </w:r>
      <w:r>
        <w:t xml:space="preserve"> backend, and which scenarios are a better fit for it.</w:t>
      </w:r>
    </w:p>
    <w:p>
      <w:pPr>
        <w:pStyle w:val="Normal"/>
      </w:pPr>
      <w:r>
        <w:t>Pros:</w:t>
      </w:r>
    </w:p>
    <w:p>
      <w:pPr>
        <w:pStyle w:val="Para 04"/>
      </w:pPr>
      <w:r>
        <w:t>• Stable mapping of SIDs to IDs within a single domain: all Ubuntu systems sharing the</w:t>
      </w:r>
    </w:p>
    <w:p>
      <w:pPr>
        <w:pStyle w:val="Para 17"/>
      </w:pPr>
      <w:r>
        <w:t>same configuration will arrive at the same mapping for Active Directory users.</w:t>
      </w:r>
    </w:p>
    <w:p>
      <w:pPr>
        <w:pStyle w:val="Normal"/>
      </w:pPr>
      <w:r>
        <w:t>Cons:</w:t>
      </w:r>
    </w:p>
    <w:p>
      <w:bookmarkStart w:id="1319" w:name="page_8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4" name="index-837_1.png" descr="index-837_1.png"/>
            <wp:cNvGraphicFramePr>
              <a:graphicFrameLocks noChangeAspect="1"/>
            </wp:cNvGraphicFramePr>
            <a:graphic>
              <a:graphicData uri="http://schemas.openxmlformats.org/drawingml/2006/picture">
                <pic:pic>
                  <pic:nvPicPr>
                    <pic:cNvPr id="0" name="index-837_1.png" descr="index-837_1.png"/>
                    <pic:cNvPicPr/>
                  </pic:nvPicPr>
                  <pic:blipFill>
                    <a:blip r:embed="rId878"/>
                    <a:stretch>
                      <a:fillRect/>
                    </a:stretch>
                  </pic:blipFill>
                  <pic:spPr>
                    <a:xfrm>
                      <a:off x="0" y="0"/>
                      <a:ext cx="914400" cy="266700"/>
                    </a:xfrm>
                    <a:prstGeom prst="rect">
                      <a:avLst/>
                    </a:prstGeom>
                  </pic:spPr>
                </pic:pic>
              </a:graphicData>
            </a:graphic>
          </wp:anchor>
        </w:drawing>
      </w:r>
      <w:bookmarkEnd w:id="1319"/>
    </w:p>
    <w:p>
      <w:pPr>
        <w:pStyle w:val="Para 04"/>
      </w:pPr>
      <w:r>
        <w:t xml:space="preserve">• Extra config for trusted domains: you must add </w:t>
      </w:r>
      <w:r>
        <w:rPr>
          <w:rStyle w:val="Text3"/>
        </w:rPr>
        <w:t>IDMap config</w:t>
      </w:r>
      <w:r>
        <w:t xml:space="preserve"> entries for all trusted</w:t>
      </w:r>
    </w:p>
    <w:p>
      <w:pPr>
        <w:pStyle w:val="Para 02"/>
      </w:pPr>
      <w:r>
        <w:t>domains, and deploy these changes to all joined systems before the domains establish a new trust relationship, or else you risk having users of the new trusted domain be allocated IDs from the default backend (”*”) range.</w:t>
      </w:r>
    </w:p>
    <w:p>
      <w:pPr>
        <w:pStyle w:val="Normal"/>
      </w:pPr>
      <w:r>
        <w:t xml:space="preserve">With that in mind, </w:t>
      </w:r>
      <w:r>
        <w:rPr>
          <w:rStyle w:val="Text3"/>
        </w:rPr>
        <w:t>idmap_rid</w:t>
      </w:r>
      <w:r>
        <w:t xml:space="preserve"> is best used in the following scenarios:</w:t>
      </w:r>
    </w:p>
    <w:p>
      <w:pPr>
        <w:pStyle w:val="Para 04"/>
      </w:pPr>
      <w:r>
        <w:t>• Single domain with no trust relationships</w:t>
      </w:r>
    </w:p>
    <w:p>
      <w:pPr>
        <w:pStyle w:val="Para 04"/>
      </w:pPr>
      <w:r>
        <w:t>• If there are trust relationships, they are fairly static, and well planned in advance, and</w:t>
      </w:r>
    </w:p>
    <w:p>
      <w:pPr>
        <w:pStyle w:val="Para 02"/>
      </w:pPr>
      <w:r>
        <w:t>there is a configuration file management system in place to easily update the smb.conf config file with the new IDMap config lines across all joined systems.</w:t>
      </w:r>
    </w:p>
    <w:p>
      <w:pPr>
        <w:pStyle w:val="Para 04"/>
      </w:pPr>
      <w:r>
        <w:t>• Stability of Linux IDs across multiple joined systems is important. For example, NFSv3</w:t>
      </w:r>
    </w:p>
    <w:p>
      <w:pPr>
        <w:pStyle w:val="Para 02"/>
      </w:pPr>
      <w:r>
        <w:t>is being used.</w:t>
      </w:r>
    </w:p>
    <w:p>
      <w:pPr>
        <w:pStyle w:val="Normal"/>
      </w:pPr>
      <w:r>
        <w:t>Next:</w:t>
      </w:r>
    </w:p>
    <w:p>
      <w:pPr>
        <w:pStyle w:val="Para 14"/>
      </w:pPr>
      <w:r>
        <w:rPr>
          <w:rStyle w:val="Text4"/>
        </w:rPr>
        <w:t xml:space="preserve">• </w:t>
      </w:r>
      <w:hyperlink w:anchor="page_837">
        <w:r>
          <w:t>The autorid IDMap backend</w:t>
        </w:r>
      </w:hyperlink>
      <w:r>
        <w:rPr>
          <w:rStyle w:val="Text4"/>
        </w:rPr>
        <w:t xml:space="preserve"> (page 836)</w:t>
      </w:r>
    </w:p>
    <w:p>
      <w:pPr>
        <w:pStyle w:val="Para 17"/>
      </w:pPr>
      <w:r>
        <w:t/>
      </w:r>
    </w:p>
    <w:p>
      <w:pPr>
        <w:pStyle w:val="Para 01"/>
      </w:pPr>
      <w:r>
        <w:t>The AutoRID IDMap backend</w:t>
      </w:r>
    </w:p>
    <w:p>
      <w:pPr>
        <w:pStyle w:val="Para 17"/>
      </w:pPr>
      <w:r>
        <w:t/>
      </w:r>
    </w:p>
    <w:p>
      <w:pPr>
        <w:pStyle w:val="Normal"/>
      </w:pPr>
      <w:r>
        <w:t xml:space="preserve">The </w:t>
      </w:r>
      <w:hyperlink w:anchor="page_837">
        <w:r>
          <w:rPr>
            <w:rStyle w:val="Text9"/>
          </w:rPr>
          <w:t>883</w:t>
        </w:r>
      </w:hyperlink>
      <w:r>
        <w:t xml:space="preserve"> </w:t>
      </w:r>
      <w:hyperlink r:id="rId1236">
        <w:r>
          <w:rPr>
            <w:rStyle w:val="Text2"/>
          </w:rPr>
          <w:t>idmap_autorid(8)</w:t>
        </w:r>
      </w:hyperlink>
      <w:r>
        <w:t xml:space="preserve"> identity mapping backend, like the rid one, also provides an al-gorithmic mapping between SIDs and Linux IDs, with the advantage that it can also auto-matically cope with Active Directory deployed across multiple domains. There is no need to pre-allocate ranges for each specific existing or future domain. Some planning is required, though:</w:t>
      </w:r>
    </w:p>
    <w:p>
      <w:pPr>
        <w:pStyle w:val="Para 04"/>
      </w:pPr>
      <w:r>
        <w:t>• Range: the first and last ID that will be allocated on the Linux side by this backend. This</w:t>
      </w:r>
    </w:p>
    <w:p>
      <w:pPr>
        <w:pStyle w:val="Para 02"/>
      </w:pPr>
      <w:r>
        <w:t>includes all possible domains.</w:t>
      </w:r>
    </w:p>
    <w:p>
      <w:pPr>
        <w:pStyle w:val="Para 04"/>
      </w:pPr>
      <w:r>
        <w:t>• RangeSize: how many IDs to allocate to each domain.</w:t>
      </w:r>
    </w:p>
    <w:p>
      <w:pPr>
        <w:pStyle w:val="Normal"/>
      </w:pPr>
      <w:r>
        <w:t>Let’s see an example:</w:t>
      </w:r>
    </w:p>
    <w:p>
      <w:pPr>
        <w:pStyle w:val="Normal"/>
      </w:pPr>
      <w:r>
        <w:t>[global]</w:t>
      </w:r>
    </w:p>
    <w:p>
      <w:pPr>
        <w:pStyle w:val="Para 02"/>
      </w:pPr>
      <w:r>
        <w:t>...</w:t>
      </w:r>
    </w:p>
    <w:p>
      <w:pPr>
        <w:pStyle w:val="Para 02"/>
      </w:pPr>
      <w:r>
        <w:t>security = ads</w:t>
      </w:r>
    </w:p>
    <w:p>
      <w:pPr>
        <w:pStyle w:val="Para 02"/>
      </w:pPr>
      <w:r>
        <w:t>realm = EXAMPLE.INTERNAL</w:t>
      </w:r>
    </w:p>
    <w:p>
      <w:pPr>
        <w:pStyle w:val="Para 02"/>
      </w:pPr>
      <w:r>
        <w:t>workgroup = EXAMPLE</w:t>
      </w:r>
    </w:p>
    <w:p>
      <w:pPr>
        <w:pStyle w:val="Para 02"/>
      </w:pPr>
      <w:r>
        <w:t>...</w:t>
      </w:r>
    </w:p>
    <w:p>
      <w:pPr>
        <w:pStyle w:val="Para 02"/>
      </w:pPr>
      <w:r>
        <w:t>idmap config * : backend = autorid</w:t>
      </w:r>
    </w:p>
    <w:p>
      <w:pPr>
        <w:pStyle w:val="Para 02"/>
      </w:pPr>
      <w:r>
        <w:t># 1,000,000 - 19,999,999</w:t>
      </w:r>
    </w:p>
    <w:p>
      <w:pPr>
        <w:pStyle w:val="Para 02"/>
      </w:pPr>
      <w:r>
        <w:t>idmap config * : range</w:t>
        <w:t xml:space="preserve"> </w:t>
        <w:t>= 1000000 - 19999999</w:t>
        <w:t xml:space="preserve"> </w:t>
        <w:t># 1,000,000</w:t>
      </w:r>
    </w:p>
    <w:p>
      <w:pPr>
        <w:pStyle w:val="Para 02"/>
      </w:pPr>
      <w:r>
        <w:t>idmap config * : rangesize = 1000000</w:t>
      </w:r>
    </w:p>
    <w:p>
      <w:pPr>
        <w:pStyle w:val="Para 17"/>
      </w:pPr>
      <w:r>
        <w:t/>
      </w:r>
    </w:p>
    <w:p>
      <w:pPr>
        <w:pStyle w:val="Normal"/>
      </w:pPr>
      <w:r>
        <w:t>The configuration above gives us 19 domains (or slots) with the capacity of 1 million IDs in each:</w:t>
      </w:r>
    </w:p>
    <w:p>
      <w:pPr>
        <w:pStyle w:val="Para 04"/>
      </w:pPr>
      <w:r>
        <w:t>• first slot: IDs from 1000000 up to 1999999</w:t>
      </w:r>
    </w:p>
    <w:p>
      <w:pPr>
        <w:pStyle w:val="Para 04"/>
      </w:pPr>
      <w:r>
        <w:t>• second slot: IDs from 2000000 up to 2999999</w:t>
      </w:r>
    </w:p>
    <w:p>
      <w:pPr>
        <w:pStyle w:val="Para 04"/>
      </w:pPr>
      <w:r>
        <w:t>• …</w:t>
      </w:r>
    </w:p>
    <w:p>
      <w:pPr>
        <w:pStyle w:val="Para 04"/>
      </w:pPr>
      <w:r>
        <w:t>• 19th slot (last): IDs from 19000000 up to 19999999</w:t>
      </w:r>
    </w:p>
    <w:p>
      <w:pPr>
        <w:pStyle w:val="Para 05"/>
      </w:pPr>
      <w:r>
        <w:rPr>
          <w:rStyle w:val="Text5"/>
        </w:rPr>
        <w:t>883</w:t>
      </w:r>
      <w:r>
        <w:rPr>
          <w:rStyle w:val="Text8"/>
        </w:rPr>
        <w:t xml:space="preserve"> </w:t>
      </w:r>
      <w:r>
        <w:t>https://manpages.ubuntu.com/manpages/resolute/man8/idmap_autorid.8.html</w:t>
      </w:r>
    </w:p>
    <w:p>
      <w:bookmarkStart w:id="1320" w:name="page_8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5" name="index-838_1.png" descr="index-838_1.png"/>
            <wp:cNvGraphicFramePr>
              <a:graphicFrameLocks noChangeAspect="1"/>
            </wp:cNvGraphicFramePr>
            <a:graphic>
              <a:graphicData uri="http://schemas.openxmlformats.org/drawingml/2006/picture">
                <pic:pic>
                  <pic:nvPicPr>
                    <pic:cNvPr id="0" name="index-838_1.png" descr="index-838_1.png"/>
                    <pic:cNvPicPr/>
                  </pic:nvPicPr>
                  <pic:blipFill>
                    <a:blip r:embed="rId879"/>
                    <a:stretch>
                      <a:fillRect/>
                    </a:stretch>
                  </pic:blipFill>
                  <pic:spPr>
                    <a:xfrm>
                      <a:off x="0" y="0"/>
                      <a:ext cx="914400" cy="266700"/>
                    </a:xfrm>
                    <a:prstGeom prst="rect">
                      <a:avLst/>
                    </a:prstGeom>
                  </pic:spPr>
                </pic:pic>
              </a:graphicData>
            </a:graphic>
          </wp:anchor>
        </w:drawing>
      </w:r>
      <w:bookmarkEnd w:id="1320"/>
    </w:p>
    <w:p>
      <w:pPr>
        <w:pStyle w:val="Normal"/>
      </w:pPr>
      <w:r>
        <w:t xml:space="preserve">Which domain will get which slot? That is </w:t>
      </w:r>
      <w:r>
        <w:rPr>
          <w:rStyle w:val="Text0"/>
        </w:rPr>
        <w:t>not deterministic</w:t>
      </w:r>
      <w:r>
        <w:t>. It will basically be a first come, first serve. Furthermore, if a domain exhausts the available IDs from a slot, an extension slot will be used, in which case the domain will be using two (possibly non-consecutive even) slots.</w:t>
      </w:r>
    </w:p>
    <w:p>
      <w:pPr>
        <w:pStyle w:val="Para 17"/>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723900"/>
            <wp:effectExtent l="0" r="0" t="0" b="0"/>
            <wp:wrapTopAndBottom/>
            <wp:docPr id="876" name="index-838_2.png" descr="index-838_2.png"/>
            <wp:cNvGraphicFramePr>
              <a:graphicFrameLocks noChangeAspect="1"/>
            </wp:cNvGraphicFramePr>
            <a:graphic>
              <a:graphicData uri="http://schemas.openxmlformats.org/drawingml/2006/picture">
                <pic:pic>
                  <pic:nvPicPr>
                    <pic:cNvPr id="0" name="index-838_2.png" descr="index-838_2.png"/>
                    <pic:cNvPicPr/>
                  </pic:nvPicPr>
                  <pic:blipFill>
                    <a:blip r:embed="rId880"/>
                    <a:stretch>
                      <a:fillRect/>
                    </a:stretch>
                  </pic:blipFill>
                  <pic:spPr>
                    <a:xfrm>
                      <a:off x="0" y="0"/>
                      <a:ext cx="3086100" cy="723900"/>
                    </a:xfrm>
                    <a:prstGeom prst="rect">
                      <a:avLst/>
                    </a:prstGeom>
                  </pic:spPr>
                </pic:pic>
              </a:graphicData>
            </a:graphic>
          </wp:anchor>
        </w:drawing>
      </w:r>
    </w:p>
    <w:p>
      <w:pPr>
        <w:pStyle w:val="Normal"/>
      </w:pPr>
      <w:r>
        <w:t>This also means that a persistent database is required to record which domain goes into which slot. This is managed automatically by the autorid backend in the autorid.tdb file.</w:t>
      </w:r>
    </w:p>
    <w:p>
      <w:pPr>
        <w:pStyle w:val="Para 08"/>
      </w:pPr>
      <w:r>
        <w:t>Note:</w:t>
      </w:r>
    </w:p>
    <w:p>
      <w:pPr>
        <w:pStyle w:val="Para 03"/>
      </w:pPr>
      <w:r>
        <w:t>The autorid.tdb domain mapping database file is kept in /var/lib/samba/ and should be</w:t>
      </w:r>
    </w:p>
    <w:p>
      <w:pPr>
        <w:pStyle w:val="Para 03"/>
      </w:pPr>
      <w:r>
        <w:t>backed up regularly.</w:t>
      </w:r>
    </w:p>
    <w:p>
      <w:pPr>
        <w:pStyle w:val="Para 17"/>
      </w:pPr>
      <w:r>
        <w:t/>
      </w:r>
    </w:p>
    <w:p>
      <w:pPr>
        <w:pStyle w:val="Para 01"/>
      </w:pPr>
      <w:r>
        <w:t>Pros and cons of the AutoRID backend</w:t>
      </w:r>
    </w:p>
    <w:p>
      <w:pPr>
        <w:pStyle w:val="Para 17"/>
      </w:pPr>
      <w:r>
        <w:t/>
      </w:r>
    </w:p>
    <w:p>
      <w:pPr>
        <w:pStyle w:val="Normal"/>
      </w:pPr>
      <w:r>
        <w:t>Let’s examine the pros and cons of the idmap_autorid backend, and which scenarios are a better fit for it.</w:t>
      </w:r>
    </w:p>
    <w:p>
      <w:pPr>
        <w:pStyle w:val="Normal"/>
      </w:pPr>
      <w:r>
        <w:t>Pros:</w:t>
      </w:r>
    </w:p>
    <w:p>
      <w:pPr>
        <w:pStyle w:val="Para 04"/>
      </w:pPr>
      <w:r>
        <w:t>• Automatic handling of trusted domains</w:t>
      </w:r>
    </w:p>
    <w:p>
      <w:pPr>
        <w:pStyle w:val="Para 04"/>
      </w:pPr>
      <w:r>
        <w:t>• Simple initial planning, only done once</w:t>
      </w:r>
    </w:p>
    <w:p>
      <w:pPr>
        <w:pStyle w:val="Normal"/>
      </w:pPr>
      <w:r>
        <w:t>Cons:</w:t>
      </w:r>
    </w:p>
    <w:p>
      <w:pPr>
        <w:pStyle w:val="Para 04"/>
      </w:pPr>
      <w:r>
        <w:t>• Non-deterministic SID to ID mapping with multiple domains, even if the same IDMap</w:t>
      </w:r>
    </w:p>
    <w:p>
      <w:pPr>
        <w:pStyle w:val="Para 02"/>
      </w:pPr>
      <w:r>
        <w:t>config settings are used for all domain-joined systems</w:t>
      </w:r>
    </w:p>
    <w:p>
      <w:pPr>
        <w:pStyle w:val="Para 04"/>
      </w:pPr>
      <w:r>
        <w:t>• Extra concern to backup the domain mapping database file</w:t>
      </w:r>
    </w:p>
    <w:p>
      <w:pPr>
        <w:pStyle w:val="Normal"/>
      </w:pPr>
      <w:r>
        <w:t>So when to use the idmap_autorid backend?</w:t>
      </w:r>
    </w:p>
    <w:p>
      <w:pPr>
        <w:pStyle w:val="Para 04"/>
      </w:pPr>
      <w:r>
        <w:t>• Multiple domains are involved via trust relationships, and the stability of IDs is not re-</w:t>
      </w:r>
    </w:p>
    <w:p>
      <w:pPr>
        <w:pStyle w:val="Para 02"/>
      </w:pPr>
      <w:r>
        <w:t>quired on the joined systems.</w:t>
      </w:r>
    </w:p>
    <w:p>
      <w:pPr>
        <w:pStyle w:val="Para 04"/>
      </w:pPr>
      <w:r>
        <w:t>• Single domain systems can also benefit from the easier and simpler up-front configu-</w:t>
      </w:r>
    </w:p>
    <w:p>
      <w:pPr>
        <w:pStyle w:val="Para 02"/>
      </w:pPr>
      <w:r>
        <w:t>ration.</w:t>
      </w:r>
    </w:p>
    <w:p>
      <w:pPr>
        <w:pStyle w:val="Para 04"/>
      </w:pPr>
      <w:r>
        <w:t>• If you need to share files owned by domain users via NFS or another mechanism which</w:t>
      </w:r>
    </w:p>
    <w:p>
      <w:pPr>
        <w:pStyle w:val="Para 02"/>
      </w:pPr>
      <w:r>
        <w:t>relies on stability of IDs, then this backend must not be used.</w:t>
      </w:r>
    </w:p>
    <w:p>
      <w:bookmarkStart w:id="1321" w:name="calibre_pb_241"/>
      <w:pPr>
        <w:pStyle w:val="0 Block"/>
      </w:pPr>
      <w:bookmarkEnd w:id="1321"/>
    </w:p>
    <w:p>
      <w:bookmarkStart w:id="1322" w:name="Top_of_index_split_242_html"/>
      <w:bookmarkStart w:id="1323" w:name="page_83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7" name="index-839_1.png" descr="index-839_1.png"/>
            <wp:cNvGraphicFramePr>
              <a:graphicFrameLocks noChangeAspect="1"/>
            </wp:cNvGraphicFramePr>
            <a:graphic>
              <a:graphicData uri="http://schemas.openxmlformats.org/drawingml/2006/picture">
                <pic:pic>
                  <pic:nvPicPr>
                    <pic:cNvPr id="0" name="index-839_1.png" descr="index-839_1.png"/>
                    <pic:cNvPicPr/>
                  </pic:nvPicPr>
                  <pic:blipFill>
                    <a:blip r:embed="rId881"/>
                    <a:stretch>
                      <a:fillRect/>
                    </a:stretch>
                  </pic:blipFill>
                  <pic:spPr>
                    <a:xfrm>
                      <a:off x="0" y="0"/>
                      <a:ext cx="914400" cy="266700"/>
                    </a:xfrm>
                    <a:prstGeom prst="rect">
                      <a:avLst/>
                    </a:prstGeom>
                  </pic:spPr>
                </pic:pic>
              </a:graphicData>
            </a:graphic>
          </wp:anchor>
        </w:drawing>
      </w:r>
      <w:bookmarkEnd w:id="1322"/>
      <w:bookmarkEnd w:id="1323"/>
    </w:p>
    <w:p>
      <w:pPr>
        <w:pStyle w:val="Para 01"/>
      </w:pPr>
      <w:r>
        <w:t>See also</w:t>
      </w:r>
    </w:p>
    <w:p>
      <w:pPr>
        <w:pStyle w:val="Para 17"/>
      </w:pPr>
      <w:r>
        <w:t/>
      </w:r>
    </w:p>
    <w:p>
      <w:pPr>
        <w:pStyle w:val="Para 14"/>
      </w:pPr>
      <w:r>
        <w:rPr>
          <w:rStyle w:val="Text4"/>
        </w:rPr>
        <w:t xml:space="preserve">• How-to: </w:t>
      </w:r>
      <w:hyperlink w:anchor="page_327">
        <w:r>
          <w:t>Active Directory integration</w:t>
        </w:r>
      </w:hyperlink>
      <w:r>
        <w:rPr>
          <w:rStyle w:val="Text4"/>
        </w:rPr>
        <w:t xml:space="preserve"> (page 326)</w:t>
      </w:r>
    </w:p>
    <w:p>
      <w:pPr>
        <w:pStyle w:val="Para 17"/>
      </w:pPr>
      <w:r>
        <w:t/>
      </w:r>
    </w:p>
    <w:p>
      <w:pPr>
        <w:pStyle w:val="Para 01"/>
      </w:pPr>
      <w:r>
        <w:t>See also</w:t>
      </w:r>
    </w:p>
    <w:p>
      <w:pPr>
        <w:pStyle w:val="Para 17"/>
      </w:pPr>
      <w:r>
        <w:t/>
      </w:r>
    </w:p>
    <w:p>
      <w:pPr>
        <w:pStyle w:val="Para 04"/>
      </w:pPr>
      <w:r>
        <w:t xml:space="preserve">• How-to: </w:t>
      </w:r>
      <w:hyperlink w:anchor="page_236">
        <w:r>
          <w:rPr>
            <w:rStyle w:val="Text2"/>
          </w:rPr>
          <w:t>Networking section</w:t>
        </w:r>
      </w:hyperlink>
      <w:r>
        <w:t xml:space="preserve"> (page 235)</w:t>
      </w:r>
    </w:p>
    <w:p>
      <w:pPr>
        <w:pStyle w:val="Para 24"/>
      </w:pPr>
      <w:r>
        <w:t>3.4.3. Managing software</w:t>
      </w:r>
    </w:p>
    <w:p>
      <w:pPr>
        <w:pStyle w:val="Normal"/>
      </w:pPr>
      <w:hyperlink w:anchor="page_839">
        <w:r>
          <w:rPr>
            <w:rStyle w:val="Text2"/>
          </w:rPr>
          <w:t>Managing software</w:t>
        </w:r>
      </w:hyperlink>
      <w:r>
        <w:t xml:space="preserve"> (page 838) is an integral part of system maintenance. In this section we discuss the following topics in detail:</w:t>
      </w:r>
    </w:p>
    <w:p>
      <w:pPr>
        <w:pStyle w:val="Para 04"/>
      </w:pPr>
      <w:r>
        <w:t xml:space="preserve">• </w:t>
      </w:r>
      <w:r>
        <w:rPr>
          <w:rStyle w:val="Text0"/>
        </w:rPr>
        <w:t>Software updates</w:t>
      </w:r>
      <w:r>
        <w:t>, why updates are sometimes phased, and testing updates before</w:t>
      </w:r>
    </w:p>
    <w:p>
      <w:pPr>
        <w:pStyle w:val="Para 02"/>
      </w:pPr>
      <w:r>
        <w:t>they’re released in your production environment</w:t>
      </w:r>
    </w:p>
    <w:p>
      <w:pPr>
        <w:pStyle w:val="Para 28"/>
      </w:pPr>
      <w:r>
        <w:rPr>
          <w:rStyle w:val="Text0"/>
        </w:rPr>
        <w:t xml:space="preserve">• </w:t>
      </w:r>
      <w:r>
        <w:t>Third party repositories</w:t>
      </w:r>
    </w:p>
    <w:p>
      <w:pPr>
        <w:pStyle w:val="Para 28"/>
      </w:pPr>
      <w:r>
        <w:rPr>
          <w:rStyle w:val="Text0"/>
        </w:rPr>
        <w:t xml:space="preserve">• </w:t>
      </w:r>
      <w:r>
        <w:t>Changing package files</w:t>
      </w:r>
    </w:p>
    <w:p>
      <w:pPr>
        <w:pStyle w:val="Para 17"/>
      </w:pPr>
      <w:r>
        <w:t/>
      </w:r>
    </w:p>
    <w:p>
      <w:pPr>
        <w:pStyle w:val="Para 01"/>
      </w:pPr>
      <w:r>
        <w:t>Managing software</w:t>
      </w:r>
    </w:p>
    <w:p>
      <w:pPr>
        <w:pStyle w:val="Para 17"/>
      </w:pPr>
      <w:r>
        <w:t/>
      </w:r>
    </w:p>
    <w:p>
      <w:pPr>
        <w:pStyle w:val="Normal"/>
      </w:pPr>
      <w:r>
        <w:t>This section explains how software is managed on Ubuntu Server and outlines recommended best practices.</w:t>
      </w:r>
    </w:p>
    <w:p>
      <w:pPr>
        <w:pStyle w:val="Para 17"/>
      </w:pPr>
      <w:r>
        <w:t/>
      </w:r>
    </w:p>
    <w:p>
      <w:pPr>
        <w:pStyle w:val="Para 01"/>
      </w:pPr>
      <w:r>
        <w:t>Package sources</w:t>
      </w:r>
    </w:p>
    <w:p>
      <w:pPr>
        <w:pStyle w:val="Para 17"/>
      </w:pPr>
      <w:r>
        <w:t/>
      </w:r>
    </w:p>
    <w:p>
      <w:pPr>
        <w:pStyle w:val="Para 04"/>
      </w:pPr>
      <w:r>
        <w:t xml:space="preserve">• </w:t>
      </w:r>
      <w:hyperlink w:anchor="page_839">
        <w:r>
          <w:rPr>
            <w:rStyle w:val="Text2"/>
          </w:rPr>
          <w:t>Third party repository usage</w:t>
        </w:r>
      </w:hyperlink>
      <w:r>
        <w:t xml:space="preserve"> (page 838) gives some best practices and guidance if you</w:t>
      </w:r>
    </w:p>
    <w:p>
      <w:pPr>
        <w:pStyle w:val="Para 02"/>
      </w:pPr>
      <w:r>
        <w:t>need to use Third Party software</w:t>
      </w:r>
    </w:p>
    <w:p>
      <w:pPr>
        <w:pStyle w:val="Para 17"/>
      </w:pPr>
      <w:r>
        <w:t/>
      </w:r>
    </w:p>
    <w:p>
      <w:pPr>
        <w:pStyle w:val="Para 01"/>
      </w:pPr>
      <w:r>
        <w:t>Third party repository usage</w:t>
      </w:r>
    </w:p>
    <w:p>
      <w:pPr>
        <w:pStyle w:val="Para 17"/>
      </w:pPr>
      <w:r>
        <w:t/>
      </w:r>
    </w:p>
    <w:p>
      <w:pPr>
        <w:pStyle w:val="Normal"/>
      </w:pPr>
      <w:r>
        <w:t xml:space="preserve">Ubuntu is an operating system with thousands of packages and snaps available to its users, but it is humanly (and sometimes technically!) impossible to make all software out there available in the official repositories. There are situations where you may want to install a package that is not maintained by Ubuntu, but </w:t>
      </w:r>
      <w:r>
        <w:rPr>
          <w:rStyle w:val="Text3"/>
        </w:rPr>
        <w:t>is</w:t>
      </w:r>
      <w:r>
        <w:t xml:space="preserve"> maintained by a third party entity.</w:t>
      </w:r>
    </w:p>
    <w:p>
      <w:pPr>
        <w:pStyle w:val="Para 17"/>
      </w:pPr>
      <w:r>
        <w:t/>
      </w:r>
    </w:p>
    <w:p>
      <w:pPr>
        <w:pStyle w:val="Para 01"/>
      </w:pPr>
      <w:r>
        <w:t>Why not use third party software?</w:t>
      </w:r>
    </w:p>
    <w:p>
      <w:pPr>
        <w:pStyle w:val="Para 17"/>
      </w:pPr>
      <w:r>
        <w:t/>
      </w:r>
    </w:p>
    <w:p>
      <w:pPr>
        <w:pStyle w:val="Normal"/>
      </w:pPr>
      <w:r>
        <w:t>While having access to the software you want to use is great, it is crucial to understand the risks involved in using third party software - whether it’s an individual deb package, or an APT repository. Although this page will focus on third party APT repositories, the same risks are inherent in third party packages as well.</w:t>
      </w:r>
    </w:p>
    <w:p>
      <w:pPr>
        <w:pStyle w:val="Normal"/>
      </w:pPr>
      <w:r>
        <w:t>Although we don’t recommend using third party software, we know that users sometimes have no other option – so let’s take a look at some of the pitfalls, alternatives, and mitigation options.</w:t>
      </w:r>
    </w:p>
    <w:p>
      <w:bookmarkStart w:id="1324" w:name="page_8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8" name="index-840_1.png" descr="index-840_1.png"/>
            <wp:cNvGraphicFramePr>
              <a:graphicFrameLocks noChangeAspect="1"/>
            </wp:cNvGraphicFramePr>
            <a:graphic>
              <a:graphicData uri="http://schemas.openxmlformats.org/drawingml/2006/picture">
                <pic:pic>
                  <pic:nvPicPr>
                    <pic:cNvPr id="0" name="index-840_1.png" descr="index-840_1.png"/>
                    <pic:cNvPicPr/>
                  </pic:nvPicPr>
                  <pic:blipFill>
                    <a:blip r:embed="rId882"/>
                    <a:stretch>
                      <a:fillRect/>
                    </a:stretch>
                  </pic:blipFill>
                  <pic:spPr>
                    <a:xfrm>
                      <a:off x="0" y="0"/>
                      <a:ext cx="914400" cy="266700"/>
                    </a:xfrm>
                    <a:prstGeom prst="rect">
                      <a:avLst/>
                    </a:prstGeom>
                  </pic:spPr>
                </pic:pic>
              </a:graphicData>
            </a:graphic>
          </wp:anchor>
        </w:drawing>
      </w:r>
      <w:bookmarkEnd w:id="1324"/>
    </w:p>
    <w:p>
      <w:pPr>
        <w:pStyle w:val="Para 01"/>
      </w:pPr>
      <w:r>
        <w:t>Security risk</w:t>
      </w:r>
    </w:p>
    <w:p>
      <w:pPr>
        <w:pStyle w:val="Para 17"/>
      </w:pPr>
      <w:r>
        <w:t/>
      </w:r>
    </w:p>
    <w:p>
      <w:pPr>
        <w:pStyle w:val="Normal"/>
      </w:pPr>
      <w:r>
        <w:t>When using any software that you have not audited yourself, you must implicitly trust the publisher of that software with your data. However, with third party APT repositories, there are additional implications of this that are less obvious.</w:t>
      </w:r>
    </w:p>
    <w:p>
      <w:pPr>
        <w:pStyle w:val="Normal"/>
      </w:pPr>
      <w:r>
        <w:t>Unlike more modern packaging systems, APT repositories run code that is not sandboxed. When using software from more than one publisher, such as from your distribution as well as</w:t>
      </w:r>
    </w:p>
    <w:p>
      <w:pPr>
        <w:pStyle w:val="Normal"/>
      </w:pPr>
      <w:r>
        <w:t xml:space="preserve">a third party, APT and </w:t>
      </w:r>
      <w:hyperlink w:anchor="page_680">
        <w:r>
          <w:rPr>
            <w:rStyle w:val="Text2"/>
          </w:rPr>
          <w:t>dpkg</w:t>
        </w:r>
      </w:hyperlink>
      <w:r>
        <w:t xml:space="preserve"> provide no security boundary between them.</w:t>
      </w:r>
    </w:p>
    <w:p>
      <w:pPr>
        <w:pStyle w:val="Normal"/>
      </w:pPr>
      <w:r>
        <w:t>This is important because in addition to trusting the publisher’s intentions, you are also im-plicitly trusting the quality and competence of the publisher’s own information security, since an adversary can compromise your system indirectly by compromising the software pub-lisher’s infrastructure.</w:t>
      </w:r>
    </w:p>
    <w:p>
      <w:pPr>
        <w:pStyle w:val="Normal"/>
      </w:pPr>
      <w:r>
        <w:t>For example, consider users who use applications such as games where system security isn’t much of a concern, but also use their computers for something more security-sensitive such as online banking. A properly sandboxed packaging system would mitigate an adversary com-promising the game publisher in order to take over their users’ online banking sessions, since the games wouldn’t have access to those sessions. But with APT repositories, the game can access your online banking session as well. Your system’s security – as a whole – has been downgraded to the level of the app publisher that has the worst security; they may not con-sider their information security important because they aren’t a bank.</w:t>
      </w:r>
    </w:p>
    <w:p>
      <w:pPr>
        <w:pStyle w:val="Para 17"/>
      </w:pPr>
      <w:r>
        <w:t/>
      </w:r>
    </w:p>
    <w:p>
      <w:pPr>
        <w:pStyle w:val="Para 01"/>
      </w:pPr>
      <w:r>
        <w:t>System integrity</w:t>
      </w:r>
    </w:p>
    <w:p>
      <w:pPr>
        <w:pStyle w:val="Para 17"/>
      </w:pPr>
      <w:r>
        <w:t/>
      </w:r>
    </w:p>
    <w:p>
      <w:pPr>
        <w:pStyle w:val="Normal"/>
      </w:pPr>
      <w:r>
        <w:t>Even if you are certain that the third party APT repository can be trusted, you also need to take into account possible conflicts that having an external package may bring to your sys-tem. Some third party packagers – but not all – are careful to integrate their packages into Ubuntu in a way that they don’t conflict with official packages from the distribution, but it is technically impossible to predict future changes that might happen in future Ubuntu re-leases. This means that fundamentally there always is the possibility of conflict. The most common cause of system upgrade failure is the use of third party repositories that worked at the time but later conflicted with a subsequent upgrade.</w:t>
      </w:r>
    </w:p>
    <w:p>
      <w:pPr>
        <w:pStyle w:val="Normal"/>
      </w:pPr>
      <w:r>
        <w:t>One of the most common conflicts occurs when a third party package ships with a file that is also shipped by an official Ubuntu package. In this case, having both packages installed simultaneously is impossible because dpkg will prevent managed files from being overwrit-ten. Another possible (and more subtle) issue can happen when the third party software interacts in a problematic way with an official package from Ubuntu. This can be harder to diagnose and might cause more serious problems in the system, such as data loss and service unavailability.</w:t>
      </w:r>
    </w:p>
    <w:p>
      <w:pPr>
        <w:pStyle w:val="Normal"/>
      </w:pPr>
      <w:r>
        <w:t>As a general rule, if the third party package you are installing is interacting with or is a mod-ified version of an existing Ubuntu package, you need to be more careful and do some pre-liminary research before using it in your system.</w:t>
      </w:r>
    </w:p>
    <w:p>
      <w:bookmarkStart w:id="1325" w:name="calibre_pb_242"/>
      <w:pPr>
        <w:pStyle w:val="0 Block"/>
      </w:pPr>
      <w:bookmarkEnd w:id="1325"/>
    </w:p>
    <w:p>
      <w:bookmarkStart w:id="1326" w:name="Top_of_index_split_243_html"/>
      <w:bookmarkStart w:id="1327" w:name="page_84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79" name="index-841_1.png" descr="index-841_1.png"/>
            <wp:cNvGraphicFramePr>
              <a:graphicFrameLocks noChangeAspect="1"/>
            </wp:cNvGraphicFramePr>
            <a:graphic>
              <a:graphicData uri="http://schemas.openxmlformats.org/drawingml/2006/picture">
                <pic:pic>
                  <pic:nvPicPr>
                    <pic:cNvPr id="0" name="index-841_1.png" descr="index-841_1.png"/>
                    <pic:cNvPicPr/>
                  </pic:nvPicPr>
                  <pic:blipFill>
                    <a:blip r:embed="rId883"/>
                    <a:stretch>
                      <a:fillRect/>
                    </a:stretch>
                  </pic:blipFill>
                  <pic:spPr>
                    <a:xfrm>
                      <a:off x="0" y="0"/>
                      <a:ext cx="914400" cy="266700"/>
                    </a:xfrm>
                    <a:prstGeom prst="rect">
                      <a:avLst/>
                    </a:prstGeom>
                  </pic:spPr>
                </pic:pic>
              </a:graphicData>
            </a:graphic>
          </wp:anchor>
        </w:drawing>
      </w:r>
      <w:bookmarkEnd w:id="1326"/>
      <w:bookmarkEnd w:id="1327"/>
    </w:p>
    <w:p>
      <w:pPr>
        <w:pStyle w:val="Para 01"/>
      </w:pPr>
      <w:r>
        <w:t>Lack of official Ubuntu support</w:t>
      </w:r>
    </w:p>
    <w:p>
      <w:pPr>
        <w:pStyle w:val="Para 17"/>
      </w:pPr>
      <w:r>
        <w:t/>
      </w:r>
    </w:p>
    <w:p>
      <w:pPr>
        <w:pStyle w:val="Normal"/>
      </w:pPr>
      <w:r>
        <w:t>If you decide to install a third party package on your Ubuntu system, the Ubuntu community will struggle to offer support for whatever failures you may encounter as a consequence, since it is out of their control and they are unlikely to be familiar with it. In fact, if you expe-rience a bug in an official Ubuntu package but it is later determined that the bug was caused by a third party package, the Ubuntu community may not be able to help you.</w:t>
      </w:r>
    </w:p>
    <w:p>
      <w:pPr>
        <w:pStyle w:val="Normal"/>
      </w:pPr>
      <w:r>
        <w:t>In other words, if you use a third party software you will have to contact its packagers for help if you experience any problem with it.</w:t>
      </w:r>
    </w:p>
    <w:p>
      <w:pPr>
        <w:pStyle w:val="Para 17"/>
      </w:pPr>
      <w:r>
        <w:t/>
      </w:r>
    </w:p>
    <w:p>
      <w:pPr>
        <w:pStyle w:val="Para 01"/>
      </w:pPr>
      <w:r>
        <w:t>A better solution to third party APT repositories: snaps</w:t>
      </w:r>
    </w:p>
    <w:p>
      <w:pPr>
        <w:pStyle w:val="Para 17"/>
      </w:pPr>
      <w:r>
        <w:t/>
      </w:r>
    </w:p>
    <w:p>
      <w:pPr>
        <w:pStyle w:val="Normal"/>
      </w:pPr>
      <w:r>
        <w:t>As we have seen, third party APT repositories are not simple and should be handled carefully. But there is an alternative that is natively supported by Ubuntu and solves some of the issues</w:t>
      </w:r>
    </w:p>
    <w:p>
      <w:pPr>
        <w:pStyle w:val="Normal"/>
      </w:pPr>
      <w:r>
        <w:t xml:space="preserve">affecting third party APT repositories: </w:t>
      </w:r>
      <w:hyperlink w:anchor="page_841">
        <w:r>
          <w:rPr>
            <w:rStyle w:val="Text9"/>
          </w:rPr>
          <w:t>884</w:t>
        </w:r>
      </w:hyperlink>
      <w:r>
        <w:t xml:space="preserve"> </w:t>
      </w:r>
      <w:hyperlink r:id="rId1062">
        <w:r>
          <w:rPr>
            <w:rStyle w:val="Text1"/>
          </w:rPr>
          <w:t>snaps</w:t>
        </w:r>
      </w:hyperlink>
      <w:r>
        <w:t>.</w:t>
      </w:r>
    </w:p>
    <w:p>
      <w:pPr>
        <w:pStyle w:val="Normal"/>
      </w:pPr>
      <w:r>
        <w:t>Due to the way they are architected, snaps already carry all of their dependencies inside them. When they are installed, they are placed in an isolated directory in the system, which means that they cannot conflict with existing Ubuntu packages (or even with other snaps).</w:t>
      </w:r>
    </w:p>
    <w:p>
      <w:pPr>
        <w:pStyle w:val="Normal"/>
      </w:pPr>
      <w:r>
        <w:t>When executed, a snap application is sandboxed and has limited access to the system re-sources. While still vulnerable to some security threats, snaps offer a better isolation than third party APT repositories when it comes to the damage that can be done by an application.</w:t>
      </w:r>
    </w:p>
    <w:p>
      <w:pPr>
        <w:pStyle w:val="Normal"/>
      </w:pPr>
      <w:r>
        <w:t xml:space="preserve">Finally, if a snap is </w:t>
      </w:r>
      <w:hyperlink r:id="rId1728">
        <w:r>
          <w:rPr>
            <w:rStyle w:val="Text9"/>
          </w:rPr>
          <w:t>885</w:t>
        </w:r>
      </w:hyperlink>
      <w:hyperlink r:id="rId1728">
        <w:r>
          <w:rPr>
            <w:rStyle w:val="Text1"/>
          </w:rPr>
          <w:t xml:space="preserve"> published in the snap store</w:t>
        </w:r>
      </w:hyperlink>
      <w:r>
        <w:t>, you will not need to go through the hassle</w:t>
      </w:r>
    </w:p>
    <w:p>
      <w:pPr>
        <w:pStyle w:val="Normal"/>
      </w:pPr>
      <w:r>
        <w:t xml:space="preserve">of modifying sources.list or adding a new </w:t>
      </w:r>
      <w:hyperlink w:anchor="page_686">
        <w:r>
          <w:rPr>
            <w:rStyle w:val="Text2"/>
          </w:rPr>
          <w:t>GPG</w:t>
        </w:r>
      </w:hyperlink>
      <w:r>
        <w:t xml:space="preserve"> key to the keyring. Everything will work “out of the box” when you run snap install.</w:t>
      </w:r>
    </w:p>
    <w:p>
      <w:pPr>
        <w:pStyle w:val="Para 17"/>
      </w:pPr>
      <w:r>
        <w:t/>
      </w:r>
    </w:p>
    <w:p>
      <w:pPr>
        <w:pStyle w:val="Para 01"/>
      </w:pPr>
      <w:r>
        <w:t>Mitigating the risks</w:t>
      </w:r>
    </w:p>
    <w:p>
      <w:pPr>
        <w:pStyle w:val="Para 17"/>
      </w:pPr>
      <w:r>
        <w:t/>
      </w:r>
    </w:p>
    <w:p>
      <w:pPr>
        <w:pStyle w:val="Normal"/>
      </w:pPr>
      <w:r>
        <w:t>If the software you want is not available as a snap, you may still need to use a third party APT repository. In that case, there are some mitigating steps you can take to help protect your system.</w:t>
      </w:r>
    </w:p>
    <w:p>
      <w:pPr>
        <w:pStyle w:val="Para 17"/>
      </w:pPr>
      <w:r>
        <w:t/>
      </w:r>
    </w:p>
    <w:p>
      <w:pPr>
        <w:pStyle w:val="Para 01"/>
      </w:pPr>
      <w:r>
        <w:t>Security risk mitigation</w:t>
      </w:r>
    </w:p>
    <w:p>
      <w:pPr>
        <w:pStyle w:val="Para 17"/>
      </w:pPr>
      <w:r>
        <w:t/>
      </w:r>
    </w:p>
    <w:p>
      <w:pPr>
        <w:pStyle w:val="Para 04"/>
      </w:pPr>
      <w:r>
        <w:t>• If the package you want to install is Free Software/Open Source, then the risk can be</w:t>
      </w:r>
    </w:p>
    <w:p>
      <w:pPr>
        <w:pStyle w:val="Para 02"/>
      </w:pPr>
      <w:r>
        <w:t>reduced by carefully examining the source code of the entire software, including the packaging parts. The amount of work required to do this assessment will depend on the size and complexity of the software, and is something that needs to be performed by an expert whenever an update is available. Realistically, this kind of evaluation almost never happens due to the efforts and time required.</w:t>
      </w:r>
    </w:p>
    <w:p>
      <w:pPr>
        <w:pStyle w:val="Para 04"/>
      </w:pPr>
      <w:r>
        <w:t>• The availability and cadence of fixes to security vulnerabilities should also be taken into</w:t>
      </w:r>
    </w:p>
    <w:p>
      <w:pPr>
        <w:pStyle w:val="Para 02"/>
      </w:pPr>
      <w:r>
        <w:t>account when assessing the quality and reliability of the third party APT repository. It is important to determine whether these fixes are covered by the third party entity, and how soon they are released once they have been disclosed.</w:t>
      </w:r>
    </w:p>
    <w:p>
      <w:pPr>
        <w:pStyle w:val="Para 05"/>
      </w:pPr>
      <w:r>
        <w:rPr>
          <w:rStyle w:val="Text5"/>
        </w:rPr>
        <w:t>884</w:t>
      </w:r>
      <w:r>
        <w:rPr>
          <w:rStyle w:val="Text8"/>
        </w:rPr>
        <w:t xml:space="preserve"> </w:t>
      </w:r>
      <w:r>
        <w:t>https://snapcraft.io/docs/get-started</w:t>
      </w:r>
    </w:p>
    <w:p>
      <w:pPr>
        <w:pStyle w:val="Para 05"/>
      </w:pPr>
      <w:r>
        <w:rPr>
          <w:rStyle w:val="Text5"/>
        </w:rPr>
        <w:t>885</w:t>
      </w:r>
      <w:r>
        <w:rPr>
          <w:rStyle w:val="Text8"/>
        </w:rPr>
        <w:t xml:space="preserve"> </w:t>
      </w:r>
      <w:r>
        <w:t>https://snapcraft.io/store</w:t>
      </w:r>
    </w:p>
    <w:p>
      <w:bookmarkStart w:id="1328" w:name="page_8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0" name="index-842_1.png" descr="index-842_1.png"/>
            <wp:cNvGraphicFramePr>
              <a:graphicFrameLocks noChangeAspect="1"/>
            </wp:cNvGraphicFramePr>
            <a:graphic>
              <a:graphicData uri="http://schemas.openxmlformats.org/drawingml/2006/picture">
                <pic:pic>
                  <pic:nvPicPr>
                    <pic:cNvPr id="0" name="index-842_1.png" descr="index-842_1.png"/>
                    <pic:cNvPicPr/>
                  </pic:nvPicPr>
                  <pic:blipFill>
                    <a:blip r:embed="rId884"/>
                    <a:stretch>
                      <a:fillRect/>
                    </a:stretch>
                  </pic:blipFill>
                  <pic:spPr>
                    <a:xfrm>
                      <a:off x="0" y="0"/>
                      <a:ext cx="914400" cy="266700"/>
                    </a:xfrm>
                    <a:prstGeom prst="rect">
                      <a:avLst/>
                    </a:prstGeom>
                  </pic:spPr>
                </pic:pic>
              </a:graphicData>
            </a:graphic>
          </wp:anchor>
        </w:drawing>
      </w:r>
      <w:bookmarkEnd w:id="1328"/>
    </w:p>
    <w:p>
      <w:pPr>
        <w:pStyle w:val="Para 04"/>
      </w:pPr>
      <w:r>
        <w:t>• In addition, you must ensure that the packages are cryptographically signed with the</w:t>
      </w:r>
    </w:p>
    <w:p>
      <w:pPr>
        <w:pStyle w:val="Para 02"/>
      </w:pPr>
      <w:r>
        <w:t>repository’s GPG key. This requirement helps to confirm the integrity of the package you are about to install on your system.</w:t>
      </w:r>
    </w:p>
    <w:p>
      <w:pPr>
        <w:pStyle w:val="Para 17"/>
      </w:pPr>
      <w:r>
        <w:t/>
      </w:r>
    </w:p>
    <w:p>
      <w:pPr>
        <w:pStyle w:val="Para 01"/>
      </w:pPr>
      <w:r>
        <w:t>System integrity mitigation</w:t>
      </w:r>
    </w:p>
    <w:p>
      <w:pPr>
        <w:pStyle w:val="Para 17"/>
      </w:pPr>
      <w:r>
        <w:t/>
      </w:r>
    </w:p>
    <w:p>
      <w:pPr>
        <w:pStyle w:val="Para 04"/>
      </w:pPr>
      <w:r>
        <w:t>• Avoid release upgrades whenever possible, favoring redeployment onto a newer re-</w:t>
      </w:r>
    </w:p>
    <w:p>
      <w:pPr>
        <w:pStyle w:val="Para 02"/>
      </w:pPr>
      <w:r>
        <w:t>lease instead. Third party APT repositories will often break at release time, and the only way to avoid this is to wait until the maintainers of the repository have upgraded the software to be compatible with the release.</w:t>
      </w:r>
    </w:p>
    <w:p>
      <w:pPr>
        <w:pStyle w:val="Para 04"/>
      </w:pPr>
      <w:r>
        <w:t>• Configure pinning (we show how to do this below). Pinning is a way to assign a prefer-</w:t>
      </w:r>
    </w:p>
    <w:p>
      <w:pPr>
        <w:pStyle w:val="Para 02"/>
      </w:pPr>
      <w:r>
        <w:t>ence level to some (or all) packages from a certain source; in this particular case, the intention is to reduce the preference of packages provided by an external repository so that official Ubuntu packages are not overwritten by mistake.</w:t>
      </w:r>
    </w:p>
    <w:p>
      <w:pPr>
        <w:pStyle w:val="Para 17"/>
      </w:pPr>
      <w:r>
        <w:t/>
      </w:r>
    </w:p>
    <w:p>
      <w:pPr>
        <w:pStyle w:val="Para 01"/>
      </w:pPr>
      <w:r>
        <w:t>Dealing with third party APT repositories in Ubuntu</w:t>
      </w:r>
    </w:p>
    <w:p>
      <w:pPr>
        <w:pStyle w:val="Para 17"/>
      </w:pPr>
      <w:r>
        <w:t/>
      </w:r>
    </w:p>
    <w:p>
      <w:pPr>
        <w:pStyle w:val="Normal"/>
      </w:pPr>
      <w:r>
        <w:t>Now that we have discussed the risks and mitigation options of using third party APT reposi-tories, let’s take a look at how we can work with them in Ubuntu. Unless otherwise noted, all commands below are to be executed as the root user (or using sudo with your regular user).</w:t>
      </w:r>
    </w:p>
    <w:p>
      <w:pPr>
        <w:pStyle w:val="Para 17"/>
      </w:pPr>
      <w:r>
        <w:t/>
      </w:r>
    </w:p>
    <w:p>
      <w:pPr>
        <w:pStyle w:val="Para 01"/>
      </w:pPr>
      <w:r>
        <w:t>Add the repository</w:t>
      </w:r>
    </w:p>
    <w:p>
      <w:pPr>
        <w:pStyle w:val="Para 17"/>
      </w:pPr>
      <w:r>
        <w:t/>
      </w:r>
    </w:p>
    <w:p>
      <w:pPr>
        <w:pStyle w:val="Normal"/>
      </w:pPr>
      <w:r>
        <w:t>Several third party entities provide their own instructions on how to add their repositories to</w:t>
      </w:r>
    </w:p>
    <w:p>
      <w:pPr>
        <w:pStyle w:val="Normal"/>
      </w:pPr>
      <w:r>
        <w:t xml:space="preserve">a system, but more often than not they don’t </w:t>
      </w:r>
      <w:hyperlink w:anchor="page_842">
        <w:r>
          <w:rPr>
            <w:rStyle w:val="Text9"/>
          </w:rPr>
          <w:t>886</w:t>
        </w:r>
      </w:hyperlink>
      <w:r>
        <w:t xml:space="preserve"> </w:t>
      </w:r>
      <w:hyperlink r:id="rId1729">
        <w:r>
          <w:rPr>
            <w:rStyle w:val="Text1"/>
          </w:rPr>
          <w:t>follow best practices</w:t>
        </w:r>
      </w:hyperlink>
      <w:r>
        <w:t xml:space="preserve"> when doing so.</w:t>
      </w:r>
    </w:p>
    <w:p>
      <w:pPr>
        <w:pStyle w:val="Para 17"/>
      </w:pPr>
      <w:r>
        <w:t/>
      </w:r>
    </w:p>
    <w:p>
      <w:pPr>
        <w:pStyle w:val="Para 01"/>
      </w:pPr>
      <w:r>
        <w:t>Fetch the GPG key</w:t>
      </w:r>
    </w:p>
    <w:p>
      <w:pPr>
        <w:pStyle w:val="Para 17"/>
      </w:pPr>
      <w:r>
        <w:t/>
      </w:r>
    </w:p>
    <w:p>
      <w:pPr>
        <w:pStyle w:val="Normal"/>
      </w:pPr>
      <w:r>
        <w:t>The first step before adding a third party APT repository to your system is to fetch the GPG key for it. This key must be obtained from the third party entity; it should be available at the root of the repository’s URL, but you might need to contact them and ask for the key file.</w:t>
      </w:r>
    </w:p>
    <w:p>
      <w:pPr>
        <w:pStyle w:val="Normal"/>
      </w:pPr>
      <w:r>
        <w:t>Although several third party guides instruct the user to use apt-key in order to add the GPG key to apt’s keyring, this is no longer recommended. Instead, you should explicitly list the key in the sources.list entry by using the signed-by option (see below).</w:t>
      </w:r>
    </w:p>
    <w:p>
      <w:pPr>
        <w:pStyle w:val="Normal"/>
      </w:pPr>
      <w:r>
        <w:t>Third party APT repositories should also provide a special package called REPONAME-archive-keyring whose purpose is to provide updates to the GPG key used to sign the archive. Be-cause this package is signed using the GPG key that is not present in the system when we are initially configuring the repository, we need to manually download and put it in the right place the first time. Assuming that REPONAME is externalrepo, something like the following should work:</w:t>
      </w:r>
    </w:p>
    <w:p>
      <w:pPr>
        <w:pStyle w:val="Normal"/>
      </w:pPr>
      <w:r>
        <w:t>wget</w:t>
        <w:t>-</w:t>
        <w:t>O</w:t>
        <w:t xml:space="preserve"> </w:t>
        <w:t>/</w:t>
        <w:t>usr</w:t>
        <w:t>/</w:t>
        <w:t>share</w:t>
        <w:t>/</w:t>
        <w:t>keyrings</w:t>
        <w:t>/</w:t>
        <w:t>externalrepo</w:t>
        <w:t>-</w:t>
        <w:t>archive</w:t>
        <w:t>-</w:t>
        <w:t>keyring</w:t>
        <w:t>.</w:t>
        <w:t>pgp https:</w:t>
        <w:t>//</w:t>
        <w:t>thirdpartyrepo</w:t>
        <w:t>.</w:t>
        <w:t>com</w:t>
        <w:t>/</w:t>
        <w:t xml:space="preserve"> </w:t>
        <w:t>ubuntu</w:t>
        <w:t>/</w:t>
        <w:t>externalrepo</w:t>
        <w:t>-</w:t>
        <w:t>archive</w:t>
        <w:t>-</w:t>
        <w:t>keyring</w:t>
        <w:t>.</w:t>
        <w:t>pgp</w:t>
      </w:r>
    </w:p>
    <w:p>
      <w:pPr>
        <w:pStyle w:val="Para 05"/>
      </w:pPr>
      <w:r>
        <w:rPr>
          <w:rStyle w:val="Text5"/>
        </w:rPr>
        <w:t>886</w:t>
      </w:r>
      <w:r>
        <w:rPr>
          <w:rStyle w:val="Text8"/>
        </w:rPr>
        <w:t xml:space="preserve"> </w:t>
      </w:r>
      <w:r>
        <w:t>https://wiki.debian.org/DebianRepository/UseThirdParty</w:t>
      </w:r>
      <w:r>
        <w:rPr>
          <w:rStyle w:val="Text8"/>
        </w:rPr>
        <w:t xml:space="preserve"> </w:t>
      </w:r>
      <w:r>
        <w:rPr>
          <w:rStyle w:val="Text11"/>
        </w:rPr>
        <w:t>Sources.list entry</w:t>
      </w:r>
    </w:p>
    <w:p>
      <w:bookmarkStart w:id="1329" w:name="page_8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1" name="index-843_1.png" descr="index-843_1.png"/>
            <wp:cNvGraphicFramePr>
              <a:graphicFrameLocks noChangeAspect="1"/>
            </wp:cNvGraphicFramePr>
            <a:graphic>
              <a:graphicData uri="http://schemas.openxmlformats.org/drawingml/2006/picture">
                <pic:pic>
                  <pic:nvPicPr>
                    <pic:cNvPr id="0" name="index-843_1.png" descr="index-843_1.png"/>
                    <pic:cNvPicPr/>
                  </pic:nvPicPr>
                  <pic:blipFill>
                    <a:blip r:embed="rId885"/>
                    <a:stretch>
                      <a:fillRect/>
                    </a:stretch>
                  </pic:blipFill>
                  <pic:spPr>
                    <a:xfrm>
                      <a:off x="0" y="0"/>
                      <a:ext cx="914400" cy="266700"/>
                    </a:xfrm>
                    <a:prstGeom prst="rect">
                      <a:avLst/>
                    </a:prstGeom>
                  </pic:spPr>
                </pic:pic>
              </a:graphicData>
            </a:graphic>
          </wp:anchor>
        </w:drawing>
      </w:r>
      <w:bookmarkEnd w:id="1329"/>
    </w:p>
    <w:p>
      <w:pPr>
        <w:pStyle w:val="Para 17"/>
      </w:pPr>
      <w:r>
        <w:t/>
      </w:r>
    </w:p>
    <w:p>
      <w:pPr>
        <w:pStyle w:val="Normal"/>
      </w:pPr>
      <w:r>
        <w:t>To add a third party APT repository to your system, you will need to create a file under /etc/ apt/sources.list.d/ with information about the external archive. This file is usually named after the repository (in our example, externalrepo). There are two standards the file can follow:</w:t>
      </w:r>
    </w:p>
    <w:p>
      <w:pPr>
        <w:pStyle w:val="Para 04"/>
      </w:pPr>
      <w:r>
        <w:t>• The deb822 format, which is more descriptive, and is the current standard for Ubuntu.</w:t>
      </w:r>
    </w:p>
    <w:p>
      <w:pPr>
        <w:pStyle w:val="Para 02"/>
      </w:pPr>
      <w:r>
        <w:t>In this case, the extension of the file should be .sources.</w:t>
      </w:r>
    </w:p>
    <w:p>
      <w:pPr>
        <w:pStyle w:val="Para 04"/>
      </w:pPr>
      <w:r>
        <w:t>• A one-line entry, which was most common in past Ubuntu releases. In this case, the</w:t>
      </w:r>
    </w:p>
    <w:p>
      <w:pPr>
        <w:pStyle w:val="Para 02"/>
      </w:pPr>
      <w:r>
        <w:t>extension of the file should be .list.</w:t>
      </w:r>
    </w:p>
    <w:p>
      <w:pPr>
        <w:pStyle w:val="Normal"/>
      </w:pPr>
      <w:r>
        <w:t>An example of a deb822 file for the same case would be the following:</w:t>
      </w:r>
    </w:p>
    <w:p>
      <w:pPr>
        <w:pStyle w:val="Normal"/>
      </w:pPr>
      <w:r>
        <w:t>Types: deb</w:t>
      </w:r>
    </w:p>
    <w:p>
      <w:pPr>
        <w:pStyle w:val="Normal"/>
      </w:pPr>
      <w:r>
        <w:t>URIs: https:</w:t>
        <w:t>//</w:t>
        <w:t>thirdpartyrepo</w:t>
        <w:t>.</w:t>
        <w:t>com</w:t>
        <w:t>/</w:t>
        <w:t>ubuntu</w:t>
      </w:r>
    </w:p>
    <w:p>
      <w:pPr>
        <w:pStyle w:val="Normal"/>
      </w:pPr>
      <w:r>
        <w:t>Suites: resolute</w:t>
      </w:r>
    </w:p>
    <w:p>
      <w:pPr>
        <w:pStyle w:val="Normal"/>
      </w:pPr>
      <w:r>
        <w:t>Components: main</w:t>
      </w:r>
    </w:p>
    <w:p>
      <w:pPr>
        <w:pStyle w:val="Normal"/>
      </w:pPr>
      <w:r>
        <w:t>Signed</w:t>
        <w:t>-</w:t>
        <w:t>By:</w:t>
        <w:t xml:space="preserve"> </w:t>
        <w:t>/</w:t>
        <w:t>usr</w:t>
        <w:t>/</w:t>
        <w:t>share</w:t>
        <w:t>/</w:t>
        <w:t>keyrings</w:t>
        <w:t>/</w:t>
        <w:t>externalrepo</w:t>
        <w:t>-</w:t>
        <w:t>archive</w:t>
        <w:t>-</w:t>
        <w:t>keyring</w:t>
        <w:t>.</w:t>
        <w:t>pgp</w:t>
      </w:r>
    </w:p>
    <w:p>
      <w:pPr>
        <w:pStyle w:val="Para 17"/>
      </w:pPr>
      <w:r>
        <w:t/>
      </w:r>
    </w:p>
    <w:p>
      <w:pPr>
        <w:pStyle w:val="Normal"/>
      </w:pPr>
      <w:r>
        <w:t>An example of a one-line entry would be the following:</w:t>
      </w:r>
    </w:p>
    <w:p>
      <w:pPr>
        <w:pStyle w:val="Normal"/>
      </w:pPr>
      <w:r>
        <w:t>deb [signed</w:t>
        <w:t>-</w:t>
        <w:t>by</w:t>
        <w:t>=/</w:t>
        <w:t>usr</w:t>
        <w:t>/</w:t>
        <w:t>share</w:t>
        <w:t>/</w:t>
        <w:t>keyrings</w:t>
        <w:t>/</w:t>
        <w:t>externalrepo</w:t>
        <w:t>-</w:t>
        <w:t>archive</w:t>
        <w:t>-</w:t>
        <w:t>keyring</w:t>
        <w:t>.</w:t>
        <w:t>pgp] https:</w:t>
        <w:t>//</w:t>
        <w:t xml:space="preserve"> </w:t>
        <w:t>thirdpartyrepo</w:t>
        <w:t>.</w:t>
        <w:t>com</w:t>
        <w:t>/</w:t>
        <w:t>ubuntu</w:t>
        <w:t>/</w:t>
        <w:t xml:space="preserve"> </w:t>
        <w:t>resolute main</w:t>
      </w:r>
    </w:p>
    <w:p>
      <w:pPr>
        <w:pStyle w:val="Para 17"/>
      </w:pPr>
      <w:r>
        <w:t/>
      </w:r>
    </w:p>
    <w:p>
      <w:pPr>
        <w:pStyle w:val="Normal"/>
      </w:pPr>
      <w:r>
        <w:t>There are cases when the third party APT repository may be served using HTTPS, in which case you will also need to install the apt-transport-https package.</w:t>
      </w:r>
    </w:p>
    <w:p>
      <w:pPr>
        <w:pStyle w:val="Normal"/>
      </w:pPr>
      <w:r>
        <w:t>After adding the repository information, you need to run apt update in order to install the third party packages. Also, now that you have everything configured you should be able to install the externalrepo-archive-keyring package to automate the update of the GPG key.</w:t>
      </w:r>
    </w:p>
    <w:p>
      <w:pPr>
        <w:pStyle w:val="Para 17"/>
      </w:pPr>
      <w:r>
        <w:t/>
      </w:r>
    </w:p>
    <w:p>
      <w:pPr>
        <w:pStyle w:val="Para 01"/>
      </w:pPr>
      <w:r>
        <w:t>Configure pinning for the repository</w:t>
      </w:r>
    </w:p>
    <w:p>
      <w:pPr>
        <w:pStyle w:val="Para 17"/>
      </w:pPr>
      <w:r>
        <w:t/>
      </w:r>
    </w:p>
    <w:p>
      <w:pPr>
        <w:pStyle w:val="Normal"/>
      </w:pPr>
      <w:r>
        <w:t>In order to increase the security of your system and to prevent the conflict issues discussed in the “System integrity” section, we recommend that you configure pinning for the third party APT repository.</w:t>
      </w:r>
    </w:p>
    <w:p>
      <w:pPr>
        <w:pStyle w:val="Normal"/>
      </w:pPr>
      <w:r>
        <w:t>You can configure this preference level by creating a file under /etc/apt/preferences.d/ that is usually named after the repository name (externalrepo in this case).</w:t>
      </w:r>
    </w:p>
    <w:p>
      <w:pPr>
        <w:pStyle w:val="Normal"/>
      </w:pPr>
      <w:r>
        <w:t>In our example, a file named /etc/apt/preferences.d/externalrepo should be created with the following contents:</w:t>
      </w:r>
    </w:p>
    <w:p>
      <w:pPr>
        <w:pStyle w:val="Normal"/>
      </w:pPr>
      <w:r>
        <w:t>Package:</w:t>
        <w:t xml:space="preserve"> </w:t>
        <w:t>*</w:t>
      </w:r>
    </w:p>
    <w:p>
      <w:pPr>
        <w:pStyle w:val="Normal"/>
      </w:pPr>
      <w:r>
        <w:t>Pin: origin thirdpartyrepo</w:t>
        <w:t>.</w:t>
        <w:t>com</w:t>
      </w:r>
    </w:p>
    <w:p>
      <w:pPr>
        <w:pStyle w:val="Normal"/>
      </w:pPr>
      <w:r>
        <w:t>Pin</w:t>
        <w:t>-</w:t>
        <w:t>Priority:</w:t>
        <w:t xml:space="preserve"> </w:t>
        <w:t>100</w:t>
      </w:r>
    </w:p>
    <w:p>
      <w:pPr>
        <w:pStyle w:val="Para 17"/>
      </w:pPr>
      <w:r>
        <w:t/>
      </w:r>
    </w:p>
    <w:p>
      <w:pPr>
        <w:pStyle w:val="Normal"/>
      </w:pPr>
      <w:r>
        <w:t xml:space="preserve">There are several levels of pinning you can choose here; the </w:t>
      </w:r>
      <w:hyperlink r:id="rId1730">
        <w:r>
          <w:rPr>
            <w:rStyle w:val="Text9"/>
          </w:rPr>
          <w:t>887</w:t>
        </w:r>
      </w:hyperlink>
      <w:hyperlink r:id="rId1730">
        <w:r>
          <w:rPr>
            <w:rStyle w:val="Text1"/>
          </w:rPr>
          <w:t xml:space="preserve"> Debian Reference guide</w:t>
        </w:r>
      </w:hyperlink>
      <w:r>
        <w:t xml:space="preserve"> has good documentation about the topic. The level 100 used above means that users will be able to install packages from the repository and that automatic package upgrades are also enabled. If you want to be able to install packages but don’t want them to be considered for automatic upgrades, you should use the level 1.</w:t>
      </w:r>
    </w:p>
    <w:p>
      <w:pPr>
        <w:pStyle w:val="Para 05"/>
      </w:pPr>
      <w:r>
        <w:rPr>
          <w:rStyle w:val="Text5"/>
        </w:rPr>
        <w:t>887</w:t>
      </w:r>
      <w:r>
        <w:rPr>
          <w:rStyle w:val="Text8"/>
        </w:rPr>
        <w:t xml:space="preserve"> </w:t>
      </w:r>
      <w:r>
        <w:t>https://www.debian.org/doc/manuals/debian-reference/ch02.en.html#_tweaking_candidate_version</w:t>
      </w:r>
      <w:r>
        <w:rPr>
          <w:rStyle w:val="Text8"/>
        </w:rPr>
        <w:t xml:space="preserve"> </w:t>
      </w:r>
      <w:r>
        <w:rPr>
          <w:rStyle w:val="Text11"/>
        </w:rPr>
        <w:t>How to remove a repository</w:t>
      </w:r>
    </w:p>
    <w:p>
      <w:bookmarkStart w:id="1330" w:name="page_8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2" name="index-844_1.png" descr="index-844_1.png"/>
            <wp:cNvGraphicFramePr>
              <a:graphicFrameLocks noChangeAspect="1"/>
            </wp:cNvGraphicFramePr>
            <a:graphic>
              <a:graphicData uri="http://schemas.openxmlformats.org/drawingml/2006/picture">
                <pic:pic>
                  <pic:nvPicPr>
                    <pic:cNvPr id="0" name="index-844_1.png" descr="index-844_1.png"/>
                    <pic:cNvPicPr/>
                  </pic:nvPicPr>
                  <pic:blipFill>
                    <a:blip r:embed="rId886"/>
                    <a:stretch>
                      <a:fillRect/>
                    </a:stretch>
                  </pic:blipFill>
                  <pic:spPr>
                    <a:xfrm>
                      <a:off x="0" y="0"/>
                      <a:ext cx="914400" cy="266700"/>
                    </a:xfrm>
                    <a:prstGeom prst="rect">
                      <a:avLst/>
                    </a:prstGeom>
                  </pic:spPr>
                </pic:pic>
              </a:graphicData>
            </a:graphic>
          </wp:anchor>
        </w:drawing>
      </w:r>
      <w:bookmarkEnd w:id="1330"/>
    </w:p>
    <w:p>
      <w:pPr>
        <w:pStyle w:val="Para 17"/>
      </w:pPr>
      <w:r>
        <w:t/>
      </w:r>
    </w:p>
    <w:p>
      <w:pPr>
        <w:pStyle w:val="Normal"/>
      </w:pPr>
      <w:r>
        <w:t>If you have enabled a third party APT repository but found yourself in a situation where you would like to remove it from the system, there are a few steps you need to take to make sure that the third party packages are also uninstalled.</w:t>
      </w:r>
    </w:p>
    <w:p>
      <w:pPr>
        <w:pStyle w:val="Normal"/>
      </w:pPr>
      <w:r>
        <w:t>The first step is to remove the files created in the steps above. These are:</w:t>
      </w:r>
    </w:p>
    <w:p>
      <w:pPr>
        <w:pStyle w:val="Para 04"/>
      </w:pPr>
      <w:r>
        <w:t>• The .sources (or .list) file, under /etc/apt/sources.list.d/.</w:t>
      </w:r>
    </w:p>
    <w:p>
      <w:pPr>
        <w:pStyle w:val="Para 04"/>
      </w:pPr>
      <w:r>
        <w:t>• The package pinning preference, under /etc/apt/preferences.d/.</w:t>
      </w:r>
    </w:p>
    <w:p>
      <w:pPr>
        <w:pStyle w:val="Para 04"/>
      </w:pPr>
      <w:r>
        <w:t>• If the third party APT repository does not provide the GPG key in a package, then you</w:t>
      </w:r>
    </w:p>
    <w:p>
      <w:pPr>
        <w:pStyle w:val="Para 02"/>
      </w:pPr>
      <w:r>
        <w:t>can also remove it manually from /usr/share/keyrings/.</w:t>
      </w:r>
    </w:p>
    <w:p>
      <w:pPr>
        <w:pStyle w:val="Normal"/>
      </w:pPr>
      <w:r>
        <w:t>Before you run apt update, you might want to also remove the third party packages that were installed from the repository. The following one-liner will list all those packages:</w:t>
      </w:r>
    </w:p>
    <w:p>
      <w:pPr>
        <w:pStyle w:val="Normal"/>
      </w:pPr>
      <w:r>
        <w:t>apt remove --purge \</w:t>
      </w:r>
    </w:p>
    <w:p>
      <w:pPr>
        <w:pStyle w:val="Para 17"/>
      </w:pPr>
      <w:r>
        <w:t>$(grep "^Package: " /var/lib/apt/lists/#&lt;SELECT_THE_FILE_FOR_YOUR_REPOSITORY&gt;#_*_</w:t>
      </w:r>
    </w:p>
    <w:p>
      <w:pPr>
        <w:pStyle w:val="Normal"/>
      </w:pPr>
      <w:r>
        <w:t>Packages \</w:t>
      </w:r>
    </w:p>
    <w:p>
      <w:pPr>
        <w:pStyle w:val="Para 06"/>
      </w:pPr>
      <w:r>
        <w:t>| cut -d " " -f2 | sort -u | \</w:t>
      </w:r>
    </w:p>
    <w:p>
      <w:pPr>
        <w:pStyle w:val="Para 06"/>
      </w:pPr>
      <w:r>
        <w:t>xargs dpkg-query -W -f='${binary:Package}\t${db:Status-Abbrev}\n' 2&gt; /dev/null | \</w:t>
        <w:t xml:space="preserve"> </w:t>
        <w:t>awk '/\tii $/{print $1}')</w:t>
      </w:r>
    </w:p>
    <w:p>
      <w:pPr>
        <w:pStyle w:val="Para 17"/>
      </w:pPr>
      <w:r>
        <w:t/>
      </w:r>
    </w:p>
    <w:p>
      <w:pPr>
        <w:pStyle w:val="Normal"/>
      </w:pPr>
      <w:r>
        <w:t>Make sure to replace #&lt;SELECT_THE_FILE_FOR_YOUR_REPOSITORY&gt;# with the right file for the third party APT repository.</w:t>
      </w:r>
    </w:p>
    <w:p>
      <w:pPr>
        <w:pStyle w:val="Normal"/>
      </w:pPr>
      <w:r>
        <w:t>After that, you can safely run apt update.</w:t>
      </w:r>
    </w:p>
    <w:p>
      <w:pPr>
        <w:pStyle w:val="Para 17"/>
      </w:pPr>
      <w:r>
        <w:t/>
      </w:r>
    </w:p>
    <w:p>
      <w:pPr>
        <w:pStyle w:val="Para 01"/>
      </w:pPr>
      <w:r>
        <w:t>A special case: Ubuntu PPAs</w:t>
      </w:r>
    </w:p>
    <w:p>
      <w:pPr>
        <w:pStyle w:val="Para 17"/>
      </w:pPr>
      <w:r>
        <w:t/>
      </w:r>
    </w:p>
    <w:p>
      <w:pPr>
        <w:pStyle w:val="Normal"/>
      </w:pPr>
      <w:r>
        <w:t>Ubuntu PPAs can be considered as a special case of third party APT repositories. In fact, there are upstream projects that choose to ship their software through PPAs because of the existing tooling that allows users to easily add them to their Ubuntu systems.</w:t>
      </w:r>
    </w:p>
    <w:p>
      <w:pPr>
        <w:pStyle w:val="Normal"/>
      </w:pPr>
      <w:r>
        <w:t>It is important to mention that the same points raised above regarding security, system in-tegrity and lack of official Ubuntu support also apply to PPAs.</w:t>
      </w:r>
    </w:p>
    <w:p>
      <w:pPr>
        <w:pStyle w:val="Normal"/>
      </w:pPr>
      <w:r>
        <w:t>If you would like to install packages from a PPA, first you will need to add it to your system. For that, you can use the add-apt-repository command. Suppose you want to add a PPA from user thirdparty named externalrepo. You can run:</w:t>
      </w:r>
    </w:p>
    <w:p>
      <w:pPr>
        <w:pStyle w:val="Normal"/>
      </w:pPr>
      <w:r>
        <w:t>add</w:t>
        <w:t>-</w:t>
        <w:t>apt</w:t>
        <w:t>-</w:t>
        <w:t>repository ppa:thirdparty</w:t>
        <w:t>/</w:t>
        <w:t>externalrepo</w:t>
      </w:r>
    </w:p>
    <w:p>
      <w:pPr>
        <w:pStyle w:val="Para 17"/>
      </w:pPr>
      <w:r>
        <w:t/>
      </w:r>
    </w:p>
    <w:p>
      <w:pPr>
        <w:pStyle w:val="Normal"/>
      </w:pPr>
      <w:r>
        <w:t>This command will automatically set up the GPG key, as discussed above. After that, you can run apt update and install the third party packages provided by the PPA. Note that add-apt-repository will not adjust the repository pinning, so it is recommended that you go through that process manually.</w:t>
      </w:r>
    </w:p>
    <w:p>
      <w:pPr>
        <w:pStyle w:val="Normal"/>
      </w:pPr>
      <w:r>
        <w:t>If you decide you do not want to use the PPA anymore and would like to remove it (and its packages) from your system, the easiest way to do it is by installing the ppa-purge package. You can then execute it and provide the PPA reference as its argument. In our example, that would be:</w:t>
      </w:r>
    </w:p>
    <w:p>
      <w:bookmarkStart w:id="1331" w:name="page_8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3" name="index-845_1.png" descr="index-845_1.png"/>
            <wp:cNvGraphicFramePr>
              <a:graphicFrameLocks noChangeAspect="1"/>
            </wp:cNvGraphicFramePr>
            <a:graphic>
              <a:graphicData uri="http://schemas.openxmlformats.org/drawingml/2006/picture">
                <pic:pic>
                  <pic:nvPicPr>
                    <pic:cNvPr id="0" name="index-845_1.png" descr="index-845_1.png"/>
                    <pic:cNvPicPr/>
                  </pic:nvPicPr>
                  <pic:blipFill>
                    <a:blip r:embed="rId887"/>
                    <a:stretch>
                      <a:fillRect/>
                    </a:stretch>
                  </pic:blipFill>
                  <pic:spPr>
                    <a:xfrm>
                      <a:off x="0" y="0"/>
                      <a:ext cx="914400" cy="266700"/>
                    </a:xfrm>
                    <a:prstGeom prst="rect">
                      <a:avLst/>
                    </a:prstGeom>
                  </pic:spPr>
                </pic:pic>
              </a:graphicData>
            </a:graphic>
          </wp:anchor>
        </w:drawing>
      </w:r>
      <w:bookmarkEnd w:id="1331"/>
    </w:p>
    <w:p>
      <w:pPr>
        <w:pStyle w:val="Normal"/>
      </w:pPr>
      <w:r>
        <w:t>ppa</w:t>
        <w:t>-</w:t>
        <w:t>purge ppa:thirdparty</w:t>
        <w:t>/</w:t>
        <w:t>externalrepo</w:t>
      </w:r>
    </w:p>
    <w:p>
      <w:pPr>
        <w:pStyle w:val="Para 17"/>
      </w:pPr>
      <w:r>
        <w:t/>
      </w:r>
    </w:p>
    <w:p>
      <w:pPr>
        <w:pStyle w:val="Para 01"/>
      </w:pPr>
      <w:r>
        <w:t>Configuration</w:t>
      </w:r>
    </w:p>
    <w:p>
      <w:pPr>
        <w:pStyle w:val="Para 17"/>
      </w:pPr>
      <w:r>
        <w:t/>
      </w:r>
    </w:p>
    <w:p>
      <w:pPr>
        <w:pStyle w:val="Normal"/>
      </w:pPr>
      <w:r>
        <w:t>There are many different ways to configure the software on your machine.</w:t>
      </w:r>
    </w:p>
    <w:p>
      <w:pPr>
        <w:pStyle w:val="Para 14"/>
      </w:pPr>
      <w:r>
        <w:rPr>
          <w:rStyle w:val="Text4"/>
        </w:rPr>
        <w:t xml:space="preserve">• </w:t>
      </w:r>
      <w:hyperlink w:anchor="page_845">
        <w:r>
          <w:t>Changing package files</w:t>
        </w:r>
      </w:hyperlink>
      <w:r>
        <w:rPr>
          <w:rStyle w:val="Text4"/>
        </w:rPr>
        <w:t xml:space="preserve"> (page 844)</w:t>
      </w:r>
    </w:p>
    <w:p>
      <w:pPr>
        <w:pStyle w:val="Para 14"/>
      </w:pPr>
      <w:r>
        <w:rPr>
          <w:rStyle w:val="Text4"/>
        </w:rPr>
        <w:t xml:space="preserve">• </w:t>
      </w:r>
      <w:hyperlink w:anchor="page_850">
        <w:r>
          <w:t>Configuration managers</w:t>
        </w:r>
      </w:hyperlink>
      <w:r>
        <w:rPr>
          <w:rStyle w:val="Text4"/>
        </w:rPr>
        <w:t xml:space="preserve"> (page 849)</w:t>
      </w:r>
    </w:p>
    <w:p>
      <w:pPr>
        <w:pStyle w:val="Para 17"/>
      </w:pPr>
      <w:r>
        <w:t/>
      </w:r>
    </w:p>
    <w:p>
      <w:pPr>
        <w:pStyle w:val="Para 01"/>
      </w:pPr>
      <w:r>
        <w:t>Changing package files</w:t>
      </w:r>
    </w:p>
    <w:p>
      <w:pPr>
        <w:pStyle w:val="Para 17"/>
      </w:pPr>
      <w:r>
        <w:t/>
      </w:r>
    </w:p>
    <w:p>
      <w:pPr>
        <w:pStyle w:val="Normal"/>
      </w:pPr>
      <w:r>
        <w:t>Many packages in Ubuntu will create extra files when installed. These files can contain meta-data, configurations, rules for operating system interaction, and so on. In many cases, these files will be fully managed by updates to a package, leading to issues when they are modi-fied manually. This page goes over some methods for changing the behavior of a package without causing conflicts in maintained files.</w:t>
      </w:r>
    </w:p>
    <w:p>
      <w:pPr>
        <w:pStyle w:val="Para 17"/>
      </w:pPr>
      <w:r>
        <w:t/>
      </w:r>
    </w:p>
    <w:p>
      <w:pPr>
        <w:pStyle w:val="Para 01"/>
      </w:pPr>
      <w:r>
        <w:t>Configuration files</w:t>
      </w:r>
    </w:p>
    <w:p>
      <w:pPr>
        <w:pStyle w:val="Para 17"/>
      </w:pPr>
      <w:r>
        <w:t/>
      </w:r>
    </w:p>
    <w:p>
      <w:pPr>
        <w:pStyle w:val="Normal"/>
      </w:pPr>
      <w:r>
        <w:t>Configuration files are often provided by packages. They come in many forms, but the ma-jority can be found in the /etc/ directory with either a .conf or .cnf extension. Most of the time, these files are managed by the package and editing them could lead to a conflict when updating. To get around this, packages will check in additional &lt;config&gt;.d/ directories where you can place personal changes.</w:t>
      </w:r>
    </w:p>
    <w:p>
      <w:pPr>
        <w:pStyle w:val="Normal"/>
      </w:pPr>
      <w:r>
        <w:t>For example, if you would like mysql-server to run on port 3307 instead of 3306, you can open the file /etc/mysql/mysql.conf.d/mysqld.cnf, and edit the port option.</w:t>
      </w:r>
    </w:p>
    <w:p>
      <w:pPr>
        <w:pStyle w:val="Para 01"/>
      </w:pPr>
      <w:r>
        <w:t>[mysqld]</w:t>
      </w:r>
    </w:p>
    <w:p>
      <w:pPr>
        <w:pStyle w:val="Para 10"/>
      </w:pPr>
      <w:r>
        <w:t>#</w:t>
      </w:r>
    </w:p>
    <w:p>
      <w:pPr>
        <w:pStyle w:val="Para 10"/>
      </w:pPr>
      <w:r>
        <w:t># * Basic Settings</w:t>
      </w:r>
    </w:p>
    <w:p>
      <w:pPr>
        <w:pStyle w:val="Para 10"/>
      </w:pPr>
      <w:r>
        <w:t>#</w:t>
      </w:r>
    </w:p>
    <w:p>
      <w:pPr>
        <w:pStyle w:val="Normal"/>
      </w:pPr>
      <w:r>
        <w:t>user</w:t>
        <w:t xml:space="preserve"> </w:t>
        <w:t>=</w:t>
        <w:t xml:space="preserve"> </w:t>
        <w:t>mysql</w:t>
      </w:r>
    </w:p>
    <w:p>
      <w:pPr>
        <w:pStyle w:val="Para 10"/>
      </w:pPr>
      <w:r>
        <w:t># pid-file</w:t>
      </w:r>
      <w:r>
        <w:rPr>
          <w:rStyle w:val="Text3"/>
        </w:rPr>
        <w:t xml:space="preserve"> </w:t>
      </w:r>
      <w:r>
        <w:t>= /var/run/mysqld/mysqld.pid</w:t>
      </w:r>
      <w:r>
        <w:rPr>
          <w:rStyle w:val="Text3"/>
        </w:rPr>
        <w:t xml:space="preserve"> </w:t>
      </w:r>
      <w:r>
        <w:t># socket</w:t>
      </w:r>
      <w:r>
        <w:rPr>
          <w:rStyle w:val="Text3"/>
        </w:rPr>
        <w:t xml:space="preserve"> </w:t>
      </w:r>
      <w:r>
        <w:t>= /var/run/mysqld/mysqld.sock</w:t>
      </w:r>
      <w:r>
        <w:rPr>
          <w:rStyle w:val="Text3"/>
        </w:rPr>
        <w:t xml:space="preserve"> </w:t>
        <w:t>port</w:t>
        <w:t xml:space="preserve"> </w:t>
        <w:t>=</w:t>
        <w:t xml:space="preserve"> </w:t>
        <w:t>3307</w:t>
      </w:r>
    </w:p>
    <w:p>
      <w:pPr>
        <w:pStyle w:val="Para 17"/>
      </w:pPr>
      <w:r>
        <w:t/>
      </w:r>
    </w:p>
    <w:p>
      <w:pPr>
        <w:pStyle w:val="Para 08"/>
      </w:pPr>
      <w:r>
        <w:t>Note:</w:t>
      </w:r>
    </w:p>
    <w:p>
      <w:pPr>
        <w:pStyle w:val="Para 03"/>
      </w:pPr>
      <w:r>
        <w:t>Some packages do not automatically create files for you to edit in their .d directories. In</w:t>
      </w:r>
    </w:p>
    <w:p>
      <w:pPr>
        <w:pStyle w:val="Para 03"/>
      </w:pPr>
      <w:r>
        <w:t>these cases it is often acceptable to just create an additional config file by any name there.</w:t>
      </w:r>
    </w:p>
    <w:p>
      <w:pPr>
        <w:pStyle w:val="Para 03"/>
      </w:pPr>
      <w:r>
        <w:t>When in doubt, check the package’s documentation to confirm.</w:t>
      </w:r>
    </w:p>
    <w:p>
      <w:pPr>
        <w:pStyle w:val="Para 17"/>
      </w:pPr>
      <w:r>
        <w:t/>
      </w:r>
    </w:p>
    <w:p>
      <w:pPr>
        <w:pStyle w:val="Normal"/>
      </w:pPr>
      <w:r>
        <w:t>After saving the file, restart the service.</w:t>
      </w:r>
    </w:p>
    <w:p>
      <w:pPr>
        <w:pStyle w:val="Normal"/>
      </w:pPr>
      <w:r>
        <w:t>systemctl restart mysql</w:t>
      </w:r>
    </w:p>
    <w:p>
      <w:pPr>
        <w:pStyle w:val="Para 17"/>
      </w:pPr>
      <w:r>
        <w:t/>
      </w:r>
    </w:p>
    <w:p>
      <w:pPr>
        <w:pStyle w:val="Normal"/>
      </w:pPr>
      <w:r>
        <w:t xml:space="preserve">The netstat command shows that this was successful: </w:t>
        <w:t>netstat -tunpevaW | grep -i</w:t>
        <w:t xml:space="preserve"> </w:t>
        <w:t>3307</w:t>
      </w:r>
    </w:p>
    <w:p>
      <w:bookmarkStart w:id="1332" w:name="page_8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4" name="index-846_1.png" descr="index-846_1.png"/>
            <wp:cNvGraphicFramePr>
              <a:graphicFrameLocks noChangeAspect="1"/>
            </wp:cNvGraphicFramePr>
            <a:graphic>
              <a:graphicData uri="http://schemas.openxmlformats.org/drawingml/2006/picture">
                <pic:pic>
                  <pic:nvPicPr>
                    <pic:cNvPr id="0" name="index-846_1.png" descr="index-846_1.png"/>
                    <pic:cNvPicPr/>
                  </pic:nvPicPr>
                  <pic:blipFill>
                    <a:blip r:embed="rId888"/>
                    <a:stretch>
                      <a:fillRect/>
                    </a:stretch>
                  </pic:blipFill>
                  <pic:spPr>
                    <a:xfrm>
                      <a:off x="0" y="0"/>
                      <a:ext cx="914400" cy="266700"/>
                    </a:xfrm>
                    <a:prstGeom prst="rect">
                      <a:avLst/>
                    </a:prstGeom>
                  </pic:spPr>
                </pic:pic>
              </a:graphicData>
            </a:graphic>
          </wp:anchor>
        </w:drawing>
      </w:r>
      <w:bookmarkEnd w:id="1332"/>
    </w:p>
    <w:p>
      <w:pPr>
        <w:pStyle w:val="Normal"/>
      </w:pPr>
      <w:r>
        <w:t>tcp</w:t>
        <w:t xml:space="preserve"> </w:t>
        <w:t>0</w:t>
        <w:t xml:space="preserve"> </w:t>
        <w:t>0 127</w:t>
        <w:t>.0.0.1:3307</w:t>
        <w:t xml:space="preserve"> </w:t>
        <w:t>0</w:t>
        <w:t>.0.0.0:*</w:t>
        <w:t xml:space="preserve"> </w:t>
        <w:t>LISTEN</w:t>
        <w:t xml:space="preserve"> </w:t>
        <w:t>106</w:t>
        <w:t xml:space="preserve"> </w:t>
        <w:t>416022</w:t>
        <w:t xml:space="preserve"> </w:t>
        <w:t>1730</w:t>
        <w:t>/mysqld</w:t>
      </w:r>
    </w:p>
    <w:p>
      <w:pPr>
        <w:pStyle w:val="Para 17"/>
      </w:pPr>
      <w:r>
        <w:t/>
      </w:r>
    </w:p>
    <w:p>
      <w:pPr>
        <w:pStyle w:val="Para 01"/>
      </w:pPr>
      <w:r>
        <w:t>Systemd files</w:t>
      </w:r>
    </w:p>
    <w:p>
      <w:pPr>
        <w:pStyle w:val="Para 17"/>
      </w:pPr>
      <w:r>
        <w:t/>
      </w:r>
    </w:p>
    <w:p>
      <w:pPr>
        <w:pStyle w:val="Normal"/>
      </w:pPr>
      <w:r>
        <w:t xml:space="preserve">Many packages ship service unit files for interacting with </w:t>
      </w:r>
      <w:hyperlink r:id="rId1731">
        <w:r>
          <w:rPr>
            <w:rStyle w:val="Text9"/>
          </w:rPr>
          <w:t>888</w:t>
        </w:r>
      </w:hyperlink>
      <w:hyperlink r:id="rId1731">
        <w:r>
          <w:rPr>
            <w:rStyle w:val="Text1"/>
          </w:rPr>
          <w:t xml:space="preserve"> Systemd</w:t>
        </w:r>
      </w:hyperlink>
      <w:r>
        <w:t>. Unit files allow pack-ages to define background tasks, initialization behavior, and interactions with the operat-ing system. The files, or symlinks of them, will automatically be placed in the /lib/systemd/ system/ directory. Likewise, the files can also show up in /etc/systemd/system. If these are edited manually they can cause major issues when updating or even running in general.</w:t>
      </w:r>
    </w:p>
    <w:p>
      <w:pPr>
        <w:pStyle w:val="Normal"/>
      </w:pPr>
      <w:r>
        <w:t>Instead, if you would like to modify a unit file, do so through Systemd. It provides the com-mand systemctl edit &lt;service&gt; which creates an override file and brings up a text editor for you to edit it.</w:t>
      </w:r>
    </w:p>
    <w:p>
      <w:pPr>
        <w:pStyle w:val="Normal"/>
      </w:pPr>
      <w:r>
        <w:t>For example, if you want to edit Apache2 such that it restarts after a failure instead of just when it aborts, you can run the following:</w:t>
      </w:r>
    </w:p>
    <w:p>
      <w:pPr>
        <w:pStyle w:val="Normal"/>
      </w:pPr>
      <w:r>
        <w:t>sudo systemctl edit apache2</w:t>
      </w:r>
    </w:p>
    <w:p>
      <w:pPr>
        <w:pStyle w:val="Para 17"/>
      </w:pPr>
      <w:r>
        <w:t/>
      </w:r>
    </w:p>
    <w:p>
      <w:pPr>
        <w:pStyle w:val="Normal"/>
      </w:pPr>
      <w:r>
        <w:t>This will open a text editor containing:</w:t>
      </w:r>
    </w:p>
    <w:p>
      <w:pPr>
        <w:pStyle w:val="Para 10"/>
      </w:pPr>
      <w:r>
        <w:t>### Editing /etc/systemd/system/apache2.service.d/override.conf</w:t>
      </w:r>
      <w:r>
        <w:rPr>
          <w:rStyle w:val="Text3"/>
        </w:rPr>
        <w:t xml:space="preserve"> </w:t>
      </w:r>
      <w:r>
        <w:t>### Anything between here and the comment below will become the new contents of the file</w:t>
      </w:r>
    </w:p>
    <w:p>
      <w:pPr>
        <w:pStyle w:val="Para 17"/>
      </w:pPr>
      <w:r>
        <w:t/>
      </w:r>
    </w:p>
    <w:p>
      <w:pPr>
        <w:pStyle w:val="Para 10"/>
      </w:pPr>
      <w:r>
        <w:t>### Lines below this comment will be discarded</w:t>
      </w:r>
    </w:p>
    <w:p>
      <w:pPr>
        <w:pStyle w:val="Para 10"/>
      </w:pPr>
      <w:r>
        <w:t>### /lib/systemd/system/apache2.service</w:t>
      </w:r>
    </w:p>
    <w:p>
      <w:pPr>
        <w:pStyle w:val="Para 10"/>
      </w:pPr>
      <w:r>
        <w:t># [Unit]</w:t>
      </w:r>
    </w:p>
    <w:p>
      <w:pPr>
        <w:pStyle w:val="Para 10"/>
      </w:pPr>
      <w:r>
        <w:t># Description=The Apache HTTP Server</w:t>
      </w:r>
    </w:p>
    <w:p>
      <w:pPr>
        <w:pStyle w:val="Para 10"/>
      </w:pPr>
      <w:r>
        <w:t># After=network.target remote-fs.target nss-lookup.target</w:t>
      </w:r>
      <w:r>
        <w:rPr>
          <w:rStyle w:val="Text3"/>
        </w:rPr>
        <w:t xml:space="preserve"> </w:t>
      </w:r>
      <w:r>
        <w:t># Documentation=https://httpd.apache.org/docs/2.4/</w:t>
      </w:r>
    </w:p>
    <w:p>
      <w:pPr>
        <w:pStyle w:val="Para 10"/>
      </w:pPr>
      <w:r>
        <w:t>#</w:t>
      </w:r>
    </w:p>
    <w:p>
      <w:pPr>
        <w:pStyle w:val="Para 10"/>
      </w:pPr>
      <w:r>
        <w:t># [Service]</w:t>
      </w:r>
    </w:p>
    <w:p>
      <w:pPr>
        <w:pStyle w:val="Para 10"/>
      </w:pPr>
      <w:r>
        <w:t># Type=forking</w:t>
      </w:r>
    </w:p>
    <w:p>
      <w:pPr>
        <w:pStyle w:val="Para 10"/>
      </w:pPr>
      <w:r>
        <w:t># Environment=APACHE_STARTED_BY_SYSTEMD=true</w:t>
      </w:r>
    </w:p>
    <w:p>
      <w:pPr>
        <w:pStyle w:val="Para 10"/>
      </w:pPr>
      <w:r>
        <w:t># ExecStart=/usr/sbin/apachectl start</w:t>
      </w:r>
    </w:p>
    <w:p>
      <w:pPr>
        <w:pStyle w:val="Para 10"/>
      </w:pPr>
      <w:r>
        <w:t># ExecStop=/usr/sbin/apachectl graceful-stop</w:t>
      </w:r>
    </w:p>
    <w:p>
      <w:pPr>
        <w:pStyle w:val="Para 10"/>
      </w:pPr>
      <w:r>
        <w:t># ExecReload=/usr/sbin/apachectl graceful</w:t>
      </w:r>
    </w:p>
    <w:p>
      <w:pPr>
        <w:pStyle w:val="Para 10"/>
      </w:pPr>
      <w:r>
        <w:t># KillMode=mixed</w:t>
      </w:r>
    </w:p>
    <w:p>
      <w:pPr>
        <w:pStyle w:val="Para 10"/>
      </w:pPr>
      <w:r>
        <w:t># PrivateTmp=true</w:t>
      </w:r>
    </w:p>
    <w:p>
      <w:pPr>
        <w:pStyle w:val="Para 10"/>
      </w:pPr>
      <w:r>
        <w:t># Restart=on-abort</w:t>
      </w:r>
    </w:p>
    <w:p>
      <w:pPr>
        <w:pStyle w:val="Normal"/>
      </w:pPr>
      <w:r>
        <w:t>...</w:t>
      </w:r>
    </w:p>
    <w:p>
      <w:pPr>
        <w:pStyle w:val="Para 17"/>
      </w:pPr>
      <w:r>
        <w:t/>
      </w:r>
    </w:p>
    <w:p>
      <w:pPr>
        <w:pStyle w:val="Normal"/>
      </w:pPr>
      <w:r>
        <w:t>Override the on-abort option by adding a new line in the designated edit location.</w:t>
      </w:r>
    </w:p>
    <w:p>
      <w:pPr>
        <w:pStyle w:val="Para 10"/>
      </w:pPr>
      <w:r>
        <w:t>### Editing /etc/systemd/system/apache2.service.d/override.conf</w:t>
      </w:r>
      <w:r>
        <w:rPr>
          <w:rStyle w:val="Text3"/>
        </w:rPr>
        <w:t xml:space="preserve"> </w:t>
      </w:r>
      <w:r>
        <w:t>### Anything between here and the comment below will become the new contents of the file</w:t>
      </w:r>
    </w:p>
    <w:p>
      <w:pPr>
        <w:pStyle w:val="Para 09"/>
      </w:pPr>
      <w:r>
        <w:t>(continues on next page)</w:t>
      </w:r>
    </w:p>
    <w:p>
      <w:pPr>
        <w:pStyle w:val="Para 05"/>
      </w:pPr>
      <w:r>
        <w:rPr>
          <w:rStyle w:val="Text5"/>
        </w:rPr>
        <w:t>888</w:t>
      </w:r>
      <w:r>
        <w:rPr>
          <w:rStyle w:val="Text8"/>
        </w:rPr>
        <w:t xml:space="preserve"> </w:t>
      </w:r>
      <w:r>
        <w:t>https://systemd.io/</w:t>
      </w:r>
    </w:p>
    <w:p>
      <w:bookmarkStart w:id="1333" w:name="page_8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5" name="index-847_1.png" descr="index-847_1.png"/>
            <wp:cNvGraphicFramePr>
              <a:graphicFrameLocks noChangeAspect="1"/>
            </wp:cNvGraphicFramePr>
            <a:graphic>
              <a:graphicData uri="http://schemas.openxmlformats.org/drawingml/2006/picture">
                <pic:pic>
                  <pic:nvPicPr>
                    <pic:cNvPr id="0" name="index-847_1.png" descr="index-847_1.png"/>
                    <pic:cNvPicPr/>
                  </pic:nvPicPr>
                  <pic:blipFill>
                    <a:blip r:embed="rId889"/>
                    <a:stretch>
                      <a:fillRect/>
                    </a:stretch>
                  </pic:blipFill>
                  <pic:spPr>
                    <a:xfrm>
                      <a:off x="0" y="0"/>
                      <a:ext cx="914400" cy="266700"/>
                    </a:xfrm>
                    <a:prstGeom prst="rect">
                      <a:avLst/>
                    </a:prstGeom>
                  </pic:spPr>
                </pic:pic>
              </a:graphicData>
            </a:graphic>
          </wp:anchor>
        </w:drawing>
      </w:r>
      <w:bookmarkEnd w:id="1333"/>
    </w:p>
    <w:p>
      <w:pPr>
        <w:pStyle w:val="Para 09"/>
      </w:pPr>
      <w:r>
        <w:t>(continued from previous page)</w:t>
      </w:r>
    </w:p>
    <w:p>
      <w:pPr>
        <w:pStyle w:val="Para 01"/>
      </w:pPr>
      <w:r>
        <w:t>[Service]</w:t>
      </w:r>
    </w:p>
    <w:p>
      <w:pPr>
        <w:pStyle w:val="Normal"/>
      </w:pPr>
      <w:r>
        <w:t>Restart</w:t>
        <w:t>=</w:t>
        <w:t>on-failure</w:t>
      </w:r>
    </w:p>
    <w:p>
      <w:pPr>
        <w:pStyle w:val="Para 10"/>
      </w:pPr>
      <w:r>
        <w:t>### Lines below this comment will be discarded</w:t>
      </w:r>
    </w:p>
    <w:p>
      <w:pPr>
        <w:pStyle w:val="Normal"/>
      </w:pPr>
      <w:r>
        <w:t>...</w:t>
      </w:r>
    </w:p>
    <w:p>
      <w:pPr>
        <w:pStyle w:val="Para 17"/>
      </w:pPr>
      <w:r>
        <w:t/>
      </w:r>
    </w:p>
    <w:p>
      <w:pPr>
        <w:pStyle w:val="Para 08"/>
      </w:pPr>
      <w:r>
        <w:t>Note:</w:t>
      </w:r>
    </w:p>
    <w:p>
      <w:pPr>
        <w:pStyle w:val="Para 03"/>
      </w:pPr>
      <w:r>
        <w:t>Some options, such as ExecStart are additive. If you would like to fully override them add</w:t>
      </w:r>
    </w:p>
    <w:p>
      <w:pPr>
        <w:pStyle w:val="Para 03"/>
      </w:pPr>
      <w:r>
        <w:t xml:space="preserve">an extra line that clears it (e.g. ExecStart=) before providing new options. See </w:t>
      </w:r>
      <w:hyperlink r:id="rId1732">
        <w:r>
          <w:rPr>
            <w:rStyle w:val="Text1"/>
          </w:rPr>
          <w:t>Systemd’s</w:t>
        </w:r>
      </w:hyperlink>
    </w:p>
    <w:p>
      <w:pPr>
        <w:pStyle w:val="Para 03"/>
      </w:pPr>
      <w:hyperlink r:id="rId1732">
        <w:r>
          <w:rPr>
            <w:rStyle w:val="Text1"/>
          </w:rPr>
          <w:t>man page</w:t>
        </w:r>
      </w:hyperlink>
      <w:r>
        <w:t xml:space="preserve"> </w:t>
      </w:r>
      <w:hyperlink w:anchor="page_847">
        <w:r>
          <w:rPr>
            <w:rStyle w:val="Text9"/>
          </w:rPr>
          <w:t>889</w:t>
        </w:r>
      </w:hyperlink>
      <w:r>
        <w:t xml:space="preserve"> for more information.</w:t>
      </w:r>
    </w:p>
    <w:p>
      <w:pPr>
        <w:pStyle w:val="Para 05"/>
      </w:pPr>
      <w:r>
        <w:rPr>
          <w:rStyle w:val="Text5"/>
        </w:rPr>
        <w:t>889</w:t>
      </w:r>
      <w:r>
        <w:rPr>
          <w:rStyle w:val="Text8"/>
        </w:rPr>
        <w:t xml:space="preserve"> </w:t>
      </w:r>
      <w:r>
        <w:t>https://www.freedesktop.org/software/systemd/man/latest/systemd.service.html</w:t>
      </w:r>
    </w:p>
    <w:p>
      <w:pPr>
        <w:pStyle w:val="Para 17"/>
      </w:pPr>
      <w:r>
        <w:t/>
      </w:r>
    </w:p>
    <w:p>
      <w:pPr>
        <w:pStyle w:val="Normal"/>
      </w:pPr>
      <w:r>
        <w:t>Once the changes are saved, the override file will be created in /etc/systemd/system/ apache2.service.d/override.conf. To apply changes, run</w:t>
      </w:r>
    </w:p>
    <w:p>
      <w:pPr>
        <w:pStyle w:val="Normal"/>
      </w:pPr>
      <w:r>
        <w:t>sudo systemctl daemon-reload</w:t>
      </w:r>
    </w:p>
    <w:p>
      <w:pPr>
        <w:pStyle w:val="Para 17"/>
      </w:pPr>
      <w:r>
        <w:t/>
      </w:r>
    </w:p>
    <w:p>
      <w:pPr>
        <w:pStyle w:val="Normal"/>
      </w:pPr>
      <w:r>
        <w:t>To verify the change was successful, you can run the status command.</w:t>
      </w:r>
    </w:p>
    <w:p>
      <w:pPr>
        <w:pStyle w:val="Normal"/>
      </w:pPr>
      <w:r>
        <w:t>systemctl status apache2</w:t>
      </w:r>
    </w:p>
    <w:p>
      <w:pPr>
        <w:pStyle w:val="Normal"/>
      </w:pPr>
      <w:r>
        <w:t>� apache2.service - The Apache HTTP Server</w:t>
      </w:r>
    </w:p>
    <w:p>
      <w:pPr>
        <w:pStyle w:val="Para 17"/>
      </w:pPr>
      <w:r>
        <w:t>Loaded: loaded</w:t>
        <w:t xml:space="preserve"> </w:t>
        <w:t>(</w:t>
        <w:t>/lib/systemd/system/apache2.service; enabled; preset: enabled</w:t>
        <w:t>)</w:t>
      </w:r>
    </w:p>
    <w:p>
      <w:pPr>
        <w:pStyle w:val="Para 02"/>
      </w:pPr>
      <w:r>
        <w:t>Drop-In: /etc/systemd/system/apache2.service.d</w:t>
      </w:r>
    </w:p>
    <w:p>
      <w:pPr>
        <w:pStyle w:val="Para 12"/>
      </w:pPr>
      <w:r>
        <w:t>└─override.conf</w:t>
      </w:r>
    </w:p>
    <w:p>
      <w:pPr>
        <w:pStyle w:val="Para 12"/>
      </w:pPr>
      <w:r>
        <w:t>/run/systemd/system/service.d</w:t>
      </w:r>
    </w:p>
    <w:p>
      <w:pPr>
        <w:pStyle w:val="Para 12"/>
      </w:pPr>
      <w:r>
        <w:t>└─zzz-lxc-service.conf</w:t>
      </w:r>
    </w:p>
    <w:p>
      <w:pPr>
        <w:pStyle w:val="Para 02"/>
      </w:pPr>
      <w:r>
        <w:t>Active: active</w:t>
        <w:t xml:space="preserve"> </w:t>
        <w:t>(</w:t>
        <w:t>running</w:t>
        <w:t>)</w:t>
        <w:t xml:space="preserve"> </w:t>
        <w:t>since Fri</w:t>
        <w:t xml:space="preserve"> </w:t>
        <w:t>2023</w:t>
        <w:t>-02-17</w:t>
        <w:t xml:space="preserve"> </w:t>
        <w:t>16</w:t>
        <w:t>:39:22 UTC; 27min ago</w:t>
      </w:r>
    </w:p>
    <w:p>
      <w:pPr>
        <w:pStyle w:val="Para 06"/>
      </w:pPr>
      <w:r>
        <w:t>Docs: https://httpd.apache.org/docs/2.4/</w:t>
      </w:r>
    </w:p>
    <w:p>
      <w:pPr>
        <w:pStyle w:val="Para 02"/>
      </w:pPr>
      <w:r>
        <w:t>Main PID:</w:t>
        <w:t xml:space="preserve"> </w:t>
        <w:t>4735</w:t>
        <w:t xml:space="preserve"> </w:t>
        <w:t>(</w:t>
        <w:t>apache2</w:t>
        <w:t>)</w:t>
      </w:r>
    </w:p>
    <w:p>
      <w:pPr>
        <w:pStyle w:val="Para 06"/>
      </w:pPr>
      <w:r>
        <w:t>Tasks:</w:t>
        <w:t xml:space="preserve"> </w:t>
        <w:t>55</w:t>
        <w:t xml:space="preserve"> </w:t>
        <w:t>(</w:t>
        <w:t>limit:</w:t>
        <w:t xml:space="preserve"> </w:t>
        <w:t>76934</w:t>
        <w:t>)</w:t>
      </w:r>
    </w:p>
    <w:p>
      <w:pPr>
        <w:pStyle w:val="Para 02"/>
      </w:pPr>
      <w:r>
        <w:t>Memory:</w:t>
        <w:t xml:space="preserve"> </w:t>
        <w:t>6</w:t>
        <w:t>.5M</w:t>
      </w:r>
    </w:p>
    <w:p>
      <w:pPr>
        <w:pStyle w:val="Para 06"/>
      </w:pPr>
      <w:r>
        <w:t>CPU: 65ms</w:t>
      </w:r>
    </w:p>
    <w:p>
      <w:pPr>
        <w:pStyle w:val="Para 02"/>
      </w:pPr>
      <w:r>
        <w:t>CGroup: /system.slice/apache2.service</w:t>
      </w:r>
    </w:p>
    <w:p>
      <w:pPr>
        <w:pStyle w:val="Para 12"/>
      </w:pPr>
      <w:r>
        <w:t>├─4735 /usr/sbin/apache2 -k start</w:t>
      </w:r>
    </w:p>
    <w:p>
      <w:pPr>
        <w:pStyle w:val="Para 12"/>
      </w:pPr>
      <w:r>
        <w:t>├─4736 /usr/sbin/apache2 -k start</w:t>
      </w:r>
    </w:p>
    <w:p>
      <w:pPr>
        <w:pStyle w:val="Para 12"/>
      </w:pPr>
      <w:r>
        <w:t>└─4737 /usr/sbin/apache2 -k start</w:t>
      </w:r>
    </w:p>
    <w:p>
      <w:pPr>
        <w:pStyle w:val="Normal"/>
      </w:pPr>
      <w:r>
        <w:t>...</w:t>
      </w:r>
    </w:p>
    <w:p>
      <w:pPr>
        <w:pStyle w:val="Para 17"/>
      </w:pPr>
      <w:r>
        <w:t/>
      </w:r>
    </w:p>
    <w:p>
      <w:pPr>
        <w:pStyle w:val="Para 01"/>
      </w:pPr>
      <w:r>
        <w:t>AppArmor</w:t>
      </w:r>
    </w:p>
    <w:p>
      <w:pPr>
        <w:pStyle w:val="Para 17"/>
      </w:pPr>
      <w:r>
        <w:t/>
      </w:r>
    </w:p>
    <w:p>
      <w:pPr>
        <w:pStyle w:val="Normal"/>
      </w:pPr>
      <w:r>
        <w:t xml:space="preserve">Packages that use </w:t>
      </w:r>
      <w:hyperlink w:anchor="page_128">
        <w:r>
          <w:rPr>
            <w:rStyle w:val="Text2"/>
          </w:rPr>
          <w:t>AppArmor</w:t>
        </w:r>
      </w:hyperlink>
      <w:r>
        <w:t xml:space="preserve"> (page 127) will install AppArmor profiles in the /etc/apparmor. d/ directory. These files are often named after the process being protected, such as usr.bin. firefox and usr.sbin.libvirtd.</w:t>
      </w:r>
    </w:p>
    <w:p>
      <w:pPr>
        <w:pStyle w:val="Normal"/>
      </w:pPr>
      <w:r>
        <w:t>When these files are modified manually, it can lead to a conflict during updates. This will show up in apt with something like:</w:t>
      </w:r>
    </w:p>
    <w:p>
      <w:pPr>
        <w:pStyle w:val="Normal"/>
      </w:pPr>
      <w:r>
        <w:t>Configuration file '/etc/apparmor.d/usr.bin.swtpm'</w:t>
      </w:r>
    </w:p>
    <w:p>
      <w:pPr>
        <w:pStyle w:val="Normal"/>
      </w:pPr>
      <w:r>
        <w:t>==&gt; Modified (by you or by a script) since installation.</w:t>
        <w:t xml:space="preserve"> </w:t>
        <w:t>==&gt; Package distributor has shipped an updated version.</w:t>
      </w:r>
    </w:p>
    <w:p>
      <w:pPr>
        <w:pStyle w:val="Para 09"/>
      </w:pPr>
      <w:r>
        <w:t>(continues on next page)</w:t>
      </w:r>
    </w:p>
    <w:p>
      <w:bookmarkStart w:id="1334" w:name="page_8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6" name="index-848_1.png" descr="index-848_1.png"/>
            <wp:cNvGraphicFramePr>
              <a:graphicFrameLocks noChangeAspect="1"/>
            </wp:cNvGraphicFramePr>
            <a:graphic>
              <a:graphicData uri="http://schemas.openxmlformats.org/drawingml/2006/picture">
                <pic:pic>
                  <pic:nvPicPr>
                    <pic:cNvPr id="0" name="index-848_1.png" descr="index-848_1.png"/>
                    <pic:cNvPicPr/>
                  </pic:nvPicPr>
                  <pic:blipFill>
                    <a:blip r:embed="rId890"/>
                    <a:stretch>
                      <a:fillRect/>
                    </a:stretch>
                  </pic:blipFill>
                  <pic:spPr>
                    <a:xfrm>
                      <a:off x="0" y="0"/>
                      <a:ext cx="914400" cy="266700"/>
                    </a:xfrm>
                    <a:prstGeom prst="rect">
                      <a:avLst/>
                    </a:prstGeom>
                  </pic:spPr>
                </pic:pic>
              </a:graphicData>
            </a:graphic>
          </wp:anchor>
        </w:drawing>
      </w:r>
      <w:bookmarkEnd w:id="1334"/>
    </w:p>
    <w:p>
      <w:pPr>
        <w:pStyle w:val="Para 09"/>
      </w:pPr>
      <w:r>
        <w:t>(continued from previous page)</w:t>
      </w:r>
    </w:p>
    <w:p>
      <w:pPr>
        <w:pStyle w:val="Para 04"/>
      </w:pPr>
      <w:r>
        <w:t>What would you like to do about it ?</w:t>
        <w:t xml:space="preserve"> </w:t>
        <w:t>Your options are:</w:t>
      </w:r>
    </w:p>
    <w:p>
      <w:pPr>
        <w:pStyle w:val="Para 02"/>
      </w:pPr>
      <w:r>
        <w:t>Y or I</w:t>
        <w:t xml:space="preserve"> </w:t>
        <w:t>: install the package maintainer's version</w:t>
        <w:t xml:space="preserve"> </w:t>
        <w:t>N or O</w:t>
        <w:t xml:space="preserve"> </w:t>
        <w:t>: keep your currently-installed version</w:t>
      </w:r>
    </w:p>
    <w:p>
      <w:pPr>
        <w:pStyle w:val="Para 06"/>
      </w:pPr>
      <w:r>
        <w:t>D</w:t>
        <w:t xml:space="preserve"> </w:t>
        <w:t>: show the differences between the versions</w:t>
        <w:t xml:space="preserve"> </w:t>
        <w:t>Z</w:t>
        <w:t xml:space="preserve"> </w:t>
        <w:t>: start a shell to examine the situation</w:t>
      </w:r>
    </w:p>
    <w:p>
      <w:pPr>
        <w:pStyle w:val="Normal"/>
      </w:pPr>
      <w:r>
        <w:t>The default action is to keep your current version.</w:t>
      </w:r>
    </w:p>
    <w:p>
      <w:pPr>
        <w:pStyle w:val="Normal"/>
      </w:pPr>
      <w:r>
        <w:t>*** usr.bin.swtpm (Y/I/N/O/D/Z) [default=N] ?</w:t>
      </w:r>
    </w:p>
    <w:p>
      <w:pPr>
        <w:pStyle w:val="Para 17"/>
      </w:pPr>
      <w:r>
        <w:t/>
      </w:r>
    </w:p>
    <w:p>
      <w:pPr>
        <w:pStyle w:val="Normal"/>
      </w:pPr>
      <w:r>
        <w:t>Updating to the maintainer’s version will override your changes, which could cause problems with your setup. However, using your version could cause security issues.</w:t>
      </w:r>
    </w:p>
    <w:p>
      <w:pPr>
        <w:pStyle w:val="Normal"/>
      </w:pPr>
      <w:r>
        <w:t>If you would like to modify these rules to provide the application with additional permissions, you can instead update the local profile, most often found in /etc/apparmor.d/local/.</w:t>
      </w:r>
    </w:p>
    <w:p>
      <w:pPr>
        <w:pStyle w:val="Normal"/>
      </w:pPr>
      <w:r>
        <w:t>For example, if you would like swtpm to access a custom directory called /var/customtpm, you can append the following line to /etc/apparmor.d/local/usr.bin.swtpm :</w:t>
      </w:r>
    </w:p>
    <w:p>
      <w:pPr>
        <w:pStyle w:val="Normal"/>
      </w:pPr>
      <w:r>
        <w:t>/</w:t>
        <w:t>var</w:t>
        <w:t>/</w:t>
        <w:t>customtpm</w:t>
        <w:t>/**</w:t>
        <w:t xml:space="preserve"> </w:t>
        <w:t>rwk,</w:t>
      </w:r>
    </w:p>
    <w:p>
      <w:pPr>
        <w:pStyle w:val="Para 17"/>
      </w:pPr>
      <w:r>
        <w:t/>
      </w:r>
    </w:p>
    <w:p>
      <w:pPr>
        <w:pStyle w:val="Normal"/>
      </w:pPr>
      <w:r>
        <w:t xml:space="preserve">This method will work for all </w:t>
      </w:r>
      <w:hyperlink w:anchor="page_848">
        <w:r>
          <w:rPr>
            <w:rStyle w:val="Text9"/>
          </w:rPr>
          <w:t>890</w:t>
        </w:r>
      </w:hyperlink>
      <w:r>
        <w:t xml:space="preserve"> </w:t>
      </w:r>
      <w:hyperlink r:id="rId1733">
        <w:r>
          <w:rPr>
            <w:rStyle w:val="Text1"/>
          </w:rPr>
          <w:t>AppArmor syntax</w:t>
        </w:r>
      </w:hyperlink>
      <w:r>
        <w:t>.</w:t>
      </w:r>
    </w:p>
    <w:p>
      <w:pPr>
        <w:pStyle w:val="Para 17"/>
      </w:pPr>
      <w:r>
        <w:t/>
      </w:r>
    </w:p>
    <w:p>
      <w:pPr>
        <w:pStyle w:val="Para 08"/>
      </w:pPr>
      <w:r>
        <w:t>Note:</w:t>
      </w:r>
    </w:p>
    <w:p>
      <w:pPr>
        <w:pStyle w:val="Para 03"/>
      </w:pPr>
      <w:r>
        <w:t>Although most local profiles have the same name as the maintainer’s, you can often check</w:t>
      </w:r>
    </w:p>
    <w:p>
      <w:pPr>
        <w:pStyle w:val="Para 03"/>
      </w:pPr>
      <w:r>
        <w:t>what file is included based on the main profile’s contents. In swtpm’s case, /etc/apparmor.</w:t>
      </w:r>
    </w:p>
    <w:p>
      <w:pPr>
        <w:pStyle w:val="Para 03"/>
      </w:pPr>
      <w:r>
        <w:t>d/usr.bin.swtpm contains the lines:</w:t>
      </w:r>
    </w:p>
    <w:p>
      <w:pPr>
        <w:pStyle w:val="Para 17"/>
      </w:pPr>
      <w:r>
        <w:t/>
      </w:r>
    </w:p>
    <w:p>
      <w:pPr>
        <w:pStyle w:val="Para 35"/>
      </w:pPr>
      <w:r>
        <w:t># Site-specific additions and overrides. See local/README for details.</w:t>
      </w:r>
    </w:p>
    <w:p>
      <w:pPr>
        <w:pStyle w:val="Para 35"/>
      </w:pPr>
      <w:r>
        <w:t>#include &lt;local/usr.bin.swtpm&gt;</w:t>
      </w:r>
    </w:p>
    <w:p>
      <w:pPr>
        <w:pStyle w:val="Para 17"/>
      </w:pPr>
      <w:r>
        <w:t/>
      </w:r>
    </w:p>
    <w:p>
      <w:pPr>
        <w:pStyle w:val="Para 03"/>
      </w:pPr>
      <w:r>
        <w:t>showing that the local profile is located at /etc/apparmor.d/local/usr.bin.swtpm</w:t>
      </w:r>
    </w:p>
    <w:p>
      <w:pPr>
        <w:pStyle w:val="Para 17"/>
      </w:pPr>
      <w:r>
        <w:t/>
      </w:r>
    </w:p>
    <w:p>
      <w:pPr>
        <w:pStyle w:val="Para 01"/>
      </w:pPr>
      <w:r>
        <w:t>Restoring configuration files</w:t>
      </w:r>
    </w:p>
    <w:p>
      <w:pPr>
        <w:pStyle w:val="Para 17"/>
      </w:pPr>
      <w:r>
        <w:t/>
      </w:r>
    </w:p>
    <w:p>
      <w:pPr>
        <w:pStyle w:val="Normal"/>
      </w:pPr>
      <w:r>
        <w:t>Since config files are meant to be intentional changes by the user/admin, they are not over-written by updates or even re-installs of the package. However, it’s possible you might change it by accident or may just want to go back to step one of a trial-and-error phase that you are in. In those situations you can use apt to restore the original config files. Note that</w:t>
      </w:r>
    </w:p>
    <w:p>
      <w:pPr>
        <w:pStyle w:val="Normal"/>
      </w:pPr>
      <w:r>
        <w:t xml:space="preserve">while we call apt, it is </w:t>
      </w:r>
      <w:hyperlink w:anchor="page_680">
        <w:r>
          <w:rPr>
            <w:rStyle w:val="Text2"/>
          </w:rPr>
          <w:t>dpkg</w:t>
        </w:r>
      </w:hyperlink>
      <w:r>
        <w:t xml:space="preserve"> that actually handles the restoration.</w:t>
      </w:r>
    </w:p>
    <w:p>
      <w:pPr>
        <w:pStyle w:val="Normal"/>
      </w:pPr>
      <w:r>
        <w:t>If you have a particular config file, like in the example /etc/rsyslog.conf, you first want to find out which package owns that config file:</w:t>
      </w:r>
    </w:p>
    <w:p>
      <w:pPr>
        <w:pStyle w:val="Normal"/>
      </w:pPr>
      <w:r>
        <w:t>$ dpkg -S /etc/rsyslog.conf</w:t>
      </w:r>
    </w:p>
    <w:p>
      <w:pPr>
        <w:pStyle w:val="Normal"/>
      </w:pPr>
      <w:r>
        <w:t>rsyslog: /etc/rsyslog.conf</w:t>
      </w:r>
    </w:p>
    <w:p>
      <w:pPr>
        <w:pStyle w:val="Para 17"/>
      </w:pPr>
      <w:r>
        <w:t/>
      </w:r>
    </w:p>
    <w:p>
      <w:pPr>
        <w:pStyle w:val="Normal"/>
      </w:pPr>
      <w:r>
        <w:t>So we now know that the package rsyslog owns the config file /etc/rsyslog.conf. This com-mand just queries package metadata and works even if the file has been deleted.</w:t>
      </w:r>
    </w:p>
    <w:p>
      <w:pPr>
        <w:pStyle w:val="Para 05"/>
      </w:pPr>
      <w:r>
        <w:rPr>
          <w:rStyle w:val="Text5"/>
        </w:rPr>
        <w:t>890</w:t>
      </w:r>
      <w:r>
        <w:rPr>
          <w:rStyle w:val="Text8"/>
        </w:rPr>
        <w:t xml:space="preserve"> </w:t>
      </w:r>
      <w:r>
        <w:t>https://ubuntu.com/tutorials/beginning-apparmor-profile-development</w:t>
      </w:r>
      <w:r>
        <w:rPr>
          <w:rStyle w:val="Text8"/>
        </w:rPr>
        <w:t xml:space="preserve"> </w:t>
        <w:t>$ rm /etc/rsyslog.conf</w:t>
      </w:r>
    </w:p>
    <w:p>
      <w:bookmarkStart w:id="1335" w:name="page_8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7" name="index-849_1.png" descr="index-849_1.png"/>
            <wp:cNvGraphicFramePr>
              <a:graphicFrameLocks noChangeAspect="1"/>
            </wp:cNvGraphicFramePr>
            <a:graphic>
              <a:graphicData uri="http://schemas.openxmlformats.org/drawingml/2006/picture">
                <pic:pic>
                  <pic:nvPicPr>
                    <pic:cNvPr id="0" name="index-849_1.png" descr="index-849_1.png"/>
                    <pic:cNvPicPr/>
                  </pic:nvPicPr>
                  <pic:blipFill>
                    <a:blip r:embed="rId891"/>
                    <a:stretch>
                      <a:fillRect/>
                    </a:stretch>
                  </pic:blipFill>
                  <pic:spPr>
                    <a:xfrm>
                      <a:off x="0" y="0"/>
                      <a:ext cx="914400" cy="266700"/>
                    </a:xfrm>
                    <a:prstGeom prst="rect">
                      <a:avLst/>
                    </a:prstGeom>
                  </pic:spPr>
                </pic:pic>
              </a:graphicData>
            </a:graphic>
          </wp:anchor>
        </w:drawing>
      </w:r>
      <w:bookmarkEnd w:id="1335"/>
    </w:p>
    <w:p>
      <w:pPr>
        <w:pStyle w:val="Normal"/>
      </w:pPr>
      <w:r>
        <w:t>$ dpkg -S /etc/rsyslog.conf</w:t>
      </w:r>
    </w:p>
    <w:p>
      <w:pPr>
        <w:pStyle w:val="Normal"/>
      </w:pPr>
      <w:r>
        <w:t>rsyslog: /etc/rsyslog.con</w:t>
      </w:r>
    </w:p>
    <w:p>
      <w:pPr>
        <w:pStyle w:val="Para 17"/>
      </w:pPr>
      <w:r>
        <w:t/>
      </w:r>
    </w:p>
    <w:p>
      <w:pPr>
        <w:pStyle w:val="Normal"/>
      </w:pPr>
      <w:r>
        <w:t>To restore that file you can re-install the package, telling dpkg to bring any missing files back. To do so you pass dpkg options through apt using-o Dpkg::Options::=" and then set--force-... depending on what action you want. For example:</w:t>
      </w:r>
    </w:p>
    <w:p>
      <w:pPr>
        <w:pStyle w:val="Normal"/>
      </w:pPr>
      <w:r>
        <w:t>$ sudo apt install --reinstall -o Dpkg::Options::</w:t>
        <w:t>=</w:t>
        <w:t>"--force-confmiss"</w:t>
        <w:t xml:space="preserve"> </w:t>
        <w:t>rsyslog</w:t>
        <w:t xml:space="preserve"> </w:t>
        <w:t>...</w:t>
      </w:r>
    </w:p>
    <w:p>
      <w:pPr>
        <w:pStyle w:val="Normal"/>
      </w:pPr>
      <w:r>
        <w:t>Preparing to unpack .../rsyslog_8.2302.0-1ubuntu3_amd64.deb ...</w:t>
        <w:t xml:space="preserve"> </w:t>
        <w:t>Unpacking rsyslog</w:t>
        <w:t xml:space="preserve"> </w:t>
        <w:t>(</w:t>
        <w:t>8</w:t>
        <w:t>.2302.0-1ubuntu3</w:t>
        <w:t>)</w:t>
        <w:t xml:space="preserve"> </w:t>
        <w:t>over</w:t>
        <w:t xml:space="preserve"> </w:t>
        <w:t>(</w:t>
        <w:t>8</w:t>
        <w:t>.2302.0-1ubuntu3</w:t>
        <w:t>)</w:t>
        <w:t xml:space="preserve"> </w:t>
        <w:t>...</w:t>
        <w:t xml:space="preserve"> </w:t>
        <w:t>Setting up rsyslog</w:t>
        <w:t xml:space="preserve"> </w:t>
        <w:t>(</w:t>
        <w:t>8</w:t>
        <w:t>.2302.0-1ubuntu3</w:t>
        <w:t>)</w:t>
        <w:t xml:space="preserve"> </w:t>
        <w:t>...</w:t>
      </w:r>
    </w:p>
    <w:p>
      <w:pPr>
        <w:pStyle w:val="Normal"/>
      </w:pPr>
      <w:r>
        <w:t>Configuration file</w:t>
        <w:t xml:space="preserve"> </w:t>
        <w:t>'/etc/rsyslog.conf'</w:t>
        <w:t>, does not exist on system.</w:t>
        <w:t xml:space="preserve"> </w:t>
        <w:t>Installing new config file as you requested.</w:t>
      </w:r>
    </w:p>
    <w:p>
      <w:pPr>
        <w:pStyle w:val="Para 17"/>
      </w:pPr>
      <w:r>
        <w:t/>
      </w:r>
    </w:p>
    <w:p>
      <w:pPr>
        <w:pStyle w:val="Normal"/>
      </w:pPr>
      <w:r>
        <w:t xml:space="preserve">More details on these options can be found in the </w:t>
      </w:r>
      <w:hyperlink r:id="rId1056">
        <w:r>
          <w:rPr>
            <w:rStyle w:val="Text9"/>
          </w:rPr>
          <w:t>891</w:t>
        </w:r>
      </w:hyperlink>
      <w:hyperlink r:id="rId1056">
        <w:r>
          <w:rPr>
            <w:rStyle w:val="Text1"/>
          </w:rPr>
          <w:t xml:space="preserve"> </w:t>
        </w:r>
      </w:hyperlink>
      <w:hyperlink r:id="rId1056">
        <w:r>
          <w:rPr>
            <w:rStyle w:val="Text2"/>
          </w:rPr>
          <w:t>dpkg(1)</w:t>
        </w:r>
      </w:hyperlink>
      <w:r>
        <w:t xml:space="preserve"> manual page, but the most common and important ones are:</w:t>
      </w:r>
    </w:p>
    <w:p>
      <w:pPr>
        <w:pStyle w:val="Para 04"/>
      </w:pPr>
      <w:r>
        <w:t>• confmiss Always install the missing conffile without prompting.</w:t>
      </w:r>
    </w:p>
    <w:p>
      <w:pPr>
        <w:pStyle w:val="Para 04"/>
      </w:pPr>
      <w:r>
        <w:t>• confnew If a conffile has been modified and the version in the package changed, always</w:t>
      </w:r>
    </w:p>
    <w:p>
      <w:pPr>
        <w:pStyle w:val="Para 02"/>
      </w:pPr>
      <w:r>
        <w:t>install the new version without prompting.</w:t>
      </w:r>
    </w:p>
    <w:p>
      <w:pPr>
        <w:pStyle w:val="Para 04"/>
      </w:pPr>
      <w:r>
        <w:t>• confold If a conffile has been modified and the version in the package changed, always</w:t>
      </w:r>
    </w:p>
    <w:p>
      <w:pPr>
        <w:pStyle w:val="Para 02"/>
      </w:pPr>
      <w:r>
        <w:t>keep the old version without prompting.</w:t>
      </w:r>
    </w:p>
    <w:p>
      <w:pPr>
        <w:pStyle w:val="Para 04"/>
      </w:pPr>
      <w:r>
        <w:t>• confdef If a conffile has been modified and the version in the package changed, always</w:t>
      </w:r>
    </w:p>
    <w:p>
      <w:pPr>
        <w:pStyle w:val="Para 02"/>
      </w:pPr>
      <w:r>
        <w:t>choose the default action without prompting.</w:t>
      </w:r>
    </w:p>
    <w:p>
      <w:pPr>
        <w:pStyle w:val="Para 04"/>
      </w:pPr>
      <w:r>
        <w:t>• confask If a conffile has been modified, always offer to replace it with the version in the</w:t>
      </w:r>
    </w:p>
    <w:p>
      <w:pPr>
        <w:pStyle w:val="Para 02"/>
      </w:pPr>
      <w:r>
        <w:t>package, even if the version in the package did not change.</w:t>
      </w:r>
    </w:p>
    <w:p>
      <w:pPr>
        <w:pStyle w:val="Normal"/>
      </w:pPr>
      <w:r>
        <w:t>So in the case of an accidental bad config entry, if you want to go back to the package default you could use--force-confask to check the difference and consider restoring the content.</w:t>
      </w:r>
    </w:p>
    <w:p>
      <w:pPr>
        <w:pStyle w:val="Normal"/>
      </w:pPr>
      <w:r>
        <w:t>$</w:t>
        <w:t xml:space="preserve"> </w:t>
        <w:t>echo</w:t>
        <w:t xml:space="preserve"> </w:t>
        <w:t>badentry &gt;&gt; /etc/rsyslog.conf</w:t>
      </w:r>
    </w:p>
    <w:p>
      <w:pPr>
        <w:pStyle w:val="Normal"/>
      </w:pPr>
      <w:r>
        <w:t>$ sudo apt install --reinstall -o Dpkg::Options::</w:t>
        <w:t>=</w:t>
        <w:t>"--force-confask"</w:t>
        <w:t xml:space="preserve"> </w:t>
        <w:t>rsyslog</w:t>
        <w:t xml:space="preserve"> </w:t>
        <w:t>...</w:t>
      </w:r>
    </w:p>
    <w:p>
      <w:pPr>
        <w:pStyle w:val="Normal"/>
      </w:pPr>
      <w:r>
        <w:t>Preparing to unpack .../rsyslog_8.2302.0-1ubuntu3_amd64.deb ...</w:t>
        <w:t xml:space="preserve"> </w:t>
        <w:t>Unpacking rsyslog</w:t>
        <w:t xml:space="preserve"> </w:t>
        <w:t>(</w:t>
        <w:t>8</w:t>
        <w:t>.2302.0-1ubuntu3</w:t>
        <w:t>)</w:t>
        <w:t xml:space="preserve"> </w:t>
        <w:t>over</w:t>
        <w:t xml:space="preserve"> </w:t>
        <w:t>(</w:t>
        <w:t>8</w:t>
        <w:t>.2302.0-1ubuntu3</w:t>
        <w:t>)</w:t>
        <w:t xml:space="preserve"> </w:t>
        <w:t>...</w:t>
        <w:t xml:space="preserve"> </w:t>
        <w:t>Setting up rsyslog</w:t>
        <w:t xml:space="preserve"> </w:t>
        <w:t>(</w:t>
        <w:t>8</w:t>
        <w:t>.2302.0-1ubuntu3</w:t>
        <w:t>)</w:t>
        <w:t xml:space="preserve"> </w:t>
        <w:t>...</w:t>
      </w:r>
    </w:p>
    <w:p>
      <w:pPr>
        <w:pStyle w:val="Normal"/>
      </w:pPr>
      <w:r>
        <w:t>Configuration file</w:t>
        <w:t xml:space="preserve"> </w:t>
        <w:t>'/etc/rsyslog.conf'</w:t>
      </w:r>
    </w:p>
    <w:p>
      <w:pPr>
        <w:pStyle w:val="Normal"/>
      </w:pPr>
      <w:r>
        <w:t>==</w:t>
        <w:t>&gt; Modified</w:t>
        <w:t xml:space="preserve"> </w:t>
        <w:t>(</w:t>
        <w:t>by you or by a script</w:t>
        <w:t>)</w:t>
        <w:t xml:space="preserve"> </w:t>
        <w:t>since installation.</w:t>
      </w:r>
    </w:p>
    <w:p>
      <w:pPr>
        <w:pStyle w:val="Para 02"/>
      </w:pPr>
      <w:r>
        <w:t>Version</w:t>
        <w:t xml:space="preserve"> </w:t>
      </w:r>
      <w:r>
        <w:rPr>
          <w:rStyle w:val="Text0"/>
        </w:rPr>
        <w:t>in</w:t>
      </w:r>
      <w:r>
        <w:t xml:space="preserve"> </w:t>
        <w:t>package is the same as at last installation.</w:t>
      </w:r>
    </w:p>
    <w:p>
      <w:pPr>
        <w:pStyle w:val="Para 02"/>
      </w:pPr>
      <w:r>
        <w:t>What would you like to</w:t>
        <w:t xml:space="preserve"> </w:t>
      </w:r>
      <w:r>
        <w:rPr>
          <w:rStyle w:val="Text0"/>
        </w:rPr>
        <w:t>do</w:t>
      </w:r>
      <w:r>
        <w:t xml:space="preserve"> </w:t>
        <w:t>about it ?</w:t>
        <w:t xml:space="preserve"> </w:t>
        <w:t>Your options are:</w:t>
      </w:r>
    </w:p>
    <w:p>
      <w:pPr>
        <w:pStyle w:val="Para 02"/>
      </w:pPr>
      <w:r>
        <w:t>Y or I</w:t>
        <w:t xml:space="preserve"> </w:t>
        <w:t>: install the package maintainer</w:t>
        <w:t>'s version</w:t>
        <w:t xml:space="preserve"> </w:t>
        <w:t>N or O</w:t>
        <w:t xml:space="preserve"> </w:t>
        <w:t>: keep your currently-installed version</w:t>
      </w:r>
    </w:p>
    <w:p>
      <w:pPr>
        <w:pStyle w:val="Para 06"/>
      </w:pPr>
      <w:r>
        <w:t>D</w:t>
        <w:t xml:space="preserve"> </w:t>
        <w:t>: show the differences between the versions</w:t>
        <w:t xml:space="preserve"> </w:t>
        <w:t>Z</w:t>
        <w:t xml:space="preserve"> </w:t>
        <w:t>: start a shell to examine the situation</w:t>
      </w:r>
    </w:p>
    <w:p>
      <w:pPr>
        <w:pStyle w:val="Normal"/>
      </w:pPr>
      <w:r>
        <w:t>The default action is to keep your current version.</w:t>
      </w:r>
    </w:p>
    <w:p>
      <w:pPr>
        <w:pStyle w:val="Normal"/>
      </w:pPr>
      <w:r>
        <w:t>*** rsyslog.conf (Y/I/N/O/D/Z) [default=N] ? D</w:t>
      </w:r>
    </w:p>
    <w:p>
      <w:pPr>
        <w:pStyle w:val="Para 09"/>
      </w:pPr>
      <w:r>
        <w:t>(continues on next page)</w:t>
      </w:r>
    </w:p>
    <w:p>
      <w:pPr>
        <w:pStyle w:val="Para 05"/>
      </w:pPr>
      <w:r>
        <w:rPr>
          <w:rStyle w:val="Text5"/>
        </w:rPr>
        <w:t>891</w:t>
      </w:r>
      <w:r>
        <w:rPr>
          <w:rStyle w:val="Text8"/>
        </w:rPr>
        <w:t xml:space="preserve"> </w:t>
      </w:r>
      <w:r>
        <w:t>https://manpages.ubuntu.com/manpages/resolute/man1/dpkg.1.html</w:t>
      </w:r>
    </w:p>
    <w:p>
      <w:bookmarkStart w:id="1336" w:name="page_8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8" name="index-850_1.png" descr="index-850_1.png"/>
            <wp:cNvGraphicFramePr>
              <a:graphicFrameLocks noChangeAspect="1"/>
            </wp:cNvGraphicFramePr>
            <a:graphic>
              <a:graphicData uri="http://schemas.openxmlformats.org/drawingml/2006/picture">
                <pic:pic>
                  <pic:nvPicPr>
                    <pic:cNvPr id="0" name="index-850_1.png" descr="index-850_1.png"/>
                    <pic:cNvPicPr/>
                  </pic:nvPicPr>
                  <pic:blipFill>
                    <a:blip r:embed="rId892"/>
                    <a:stretch>
                      <a:fillRect/>
                    </a:stretch>
                  </pic:blipFill>
                  <pic:spPr>
                    <a:xfrm>
                      <a:off x="0" y="0"/>
                      <a:ext cx="914400" cy="266700"/>
                    </a:xfrm>
                    <a:prstGeom prst="rect">
                      <a:avLst/>
                    </a:prstGeom>
                  </pic:spPr>
                </pic:pic>
              </a:graphicData>
            </a:graphic>
          </wp:anchor>
        </w:drawing>
      </w:r>
      <w:bookmarkEnd w:id="1336"/>
    </w:p>
    <w:p>
      <w:pPr>
        <w:pStyle w:val="Para 09"/>
      </w:pPr>
      <w:r>
        <w:t>(continued from previous page)</w:t>
      </w:r>
    </w:p>
    <w:p>
      <w:pPr>
        <w:pStyle w:val="Normal"/>
      </w:pPr>
      <w:r>
        <w:t>--- /etc/rsyslog.conf</w:t>
        <w:t xml:space="preserve"> </w:t>
        <w:t>2023-04-18 07:11:50.427040350 +0000</w:t>
        <w:t xml:space="preserve"> </w:t>
        <w:t>+++ /etc/rsyslog.conf.dpkg-new</w:t>
        <w:t xml:space="preserve"> </w:t>
        <w:t>2023-02-23 16:58:03.000000000 +0000</w:t>
        <w:t xml:space="preserve"> </w:t>
        <w:t>@@ -51,4 +51,3 @@</w:t>
      </w:r>
    </w:p>
    <w:p>
      <w:pPr>
        <w:pStyle w:val="Normal"/>
      </w:pPr>
      <w:r>
        <w:t># Include all config files in /etc/rsyslog.d/</w:t>
      </w:r>
    </w:p>
    <w:p>
      <w:pPr>
        <w:pStyle w:val="Normal"/>
      </w:pPr>
      <w:r>
        <w:t>#</w:t>
      </w:r>
    </w:p>
    <w:p>
      <w:pPr>
        <w:pStyle w:val="Normal"/>
      </w:pPr>
      <w:r>
        <w:t>$IncludeConfig /etc/rsyslog.d/*.conf</w:t>
      </w:r>
    </w:p>
    <w:p>
      <w:pPr>
        <w:pStyle w:val="Normal"/>
      </w:pPr>
      <w:r>
        <w:t>-badentry</w:t>
      </w:r>
    </w:p>
    <w:p>
      <w:pPr>
        <w:pStyle w:val="Normal"/>
      </w:pPr>
      <w:r>
        <w:t>Configuration file '</w:t>
        <w:t>/etc/rsyslog.conf</w:t>
        <w:t>'</w:t>
      </w:r>
    </w:p>
    <w:p>
      <w:pPr>
        <w:pStyle w:val="Normal"/>
      </w:pPr>
      <w:r>
        <w:t>==&gt; Modified (by you or by a script) since installation.</w:t>
      </w:r>
    </w:p>
    <w:p>
      <w:pPr>
        <w:pStyle w:val="Para 02"/>
      </w:pPr>
      <w:r>
        <w:t>Version in package is the same as at last installation.</w:t>
      </w:r>
    </w:p>
    <w:p>
      <w:pPr>
        <w:pStyle w:val="Para 04"/>
      </w:pPr>
      <w:r>
        <w:t>What would you like to do about it ?</w:t>
        <w:t xml:space="preserve"> </w:t>
        <w:t>Your options are:</w:t>
      </w:r>
    </w:p>
    <w:p>
      <w:pPr>
        <w:pStyle w:val="Para 02"/>
      </w:pPr>
      <w:r>
        <w:t>Y or I</w:t>
        <w:t xml:space="preserve"> </w:t>
        <w:t>: install the package maintainer'</w:t>
        <w:t>s version</w:t>
        <w:t xml:space="preserve"> </w:t>
        <w:t>N or O</w:t>
        <w:t xml:space="preserve"> </w:t>
        <w:t>: keep your currently-installed version</w:t>
      </w:r>
    </w:p>
    <w:p>
      <w:pPr>
        <w:pStyle w:val="Para 06"/>
      </w:pPr>
      <w:r>
        <w:t>D</w:t>
        <w:t xml:space="preserve"> </w:t>
        <w:t>: show the differences between the versions</w:t>
        <w:t xml:space="preserve"> </w:t>
        <w:t>Z</w:t>
        <w:t xml:space="preserve"> </w:t>
        <w:t>: start a shell to examine the situation</w:t>
      </w:r>
    </w:p>
    <w:p>
      <w:pPr>
        <w:pStyle w:val="Normal"/>
      </w:pPr>
      <w:r>
        <w:t>The default action is to keep your current version.</w:t>
      </w:r>
    </w:p>
    <w:p>
      <w:pPr>
        <w:pStyle w:val="Normal"/>
      </w:pPr>
      <w:r>
        <w:t>*** rsyslog.conf</w:t>
        <w:t xml:space="preserve"> </w:t>
        <w:t>(</w:t>
        <w:t>Y/I/N/O/D/Z</w:t>
        <w:t>) [</w:t>
        <w:t>default</w:t>
        <w:t>=</w:t>
        <w:t>N</w:t>
        <w:t>]</w:t>
        <w:t xml:space="preserve"> </w:t>
        <w:t>? y</w:t>
        <w:t xml:space="preserve"> </w:t>
        <w:t>Installing new version of config file /etc/rsyslog.conf ...</w:t>
      </w:r>
    </w:p>
    <w:p>
      <w:pPr>
        <w:pStyle w:val="Para 17"/>
      </w:pPr>
      <w:r>
        <w:t/>
      </w:r>
    </w:p>
    <w:p>
      <w:pPr>
        <w:pStyle w:val="Normal"/>
      </w:pPr>
      <w:r>
        <w:t>The same can be used if you removed a whole directory by accident, to detect and re-install all related packages config files.</w:t>
      </w:r>
    </w:p>
    <w:p>
      <w:pPr>
        <w:pStyle w:val="Normal"/>
      </w:pPr>
      <w:r>
        <w:t>$ rm -rf /etc/vim</w:t>
      </w:r>
    </w:p>
    <w:p>
      <w:pPr>
        <w:pStyle w:val="Normal"/>
      </w:pPr>
      <w:r>
        <w:t>$ dpkg -S /etc/vim</w:t>
      </w:r>
    </w:p>
    <w:p>
      <w:pPr>
        <w:pStyle w:val="Normal"/>
      </w:pPr>
      <w:r>
        <w:t>vim-common, vim-tiny: /etc/vim</w:t>
      </w:r>
    </w:p>
    <w:p>
      <w:pPr>
        <w:pStyle w:val="Normal"/>
      </w:pPr>
      <w:r>
        <w:t>$ sudo apt install --reinstall -o Dpkg::Options::</w:t>
        <w:t>=</w:t>
        <w:t>"--force-confmiss"</w:t>
        <w:t xml:space="preserve"> </w:t>
        <w:t>vim-common vim-tiny</w:t>
        <w:t xml:space="preserve"> </w:t>
        <w:t>...</w:t>
      </w:r>
    </w:p>
    <w:p>
      <w:pPr>
        <w:pStyle w:val="Normal"/>
      </w:pPr>
      <w:r>
        <w:t>Configuration file</w:t>
        <w:t xml:space="preserve"> </w:t>
        <w:t>'/etc/vim/vimrc'</w:t>
        <w:t>, does not exist on system.</w:t>
        <w:t xml:space="preserve"> </w:t>
        <w:t>Installing new config file as you requested.</w:t>
      </w:r>
    </w:p>
    <w:p>
      <w:pPr>
        <w:pStyle w:val="Normal"/>
      </w:pPr>
      <w:r>
        <w:t>...</w:t>
      </w:r>
    </w:p>
    <w:p>
      <w:pPr>
        <w:pStyle w:val="Normal"/>
      </w:pPr>
      <w:r>
        <w:t>Configuration file</w:t>
        <w:t xml:space="preserve"> </w:t>
        <w:t>'/etc/vim/vimrc.tiny'</w:t>
        <w:t>, does not exist on system.</w:t>
        <w:t xml:space="preserve"> </w:t>
        <w:t>Installing new config file as you requested.</w:t>
      </w:r>
    </w:p>
    <w:p>
      <w:pPr>
        <w:pStyle w:val="Para 17"/>
      </w:pPr>
      <w:r>
        <w:t/>
      </w:r>
    </w:p>
    <w:p>
      <w:pPr>
        <w:pStyle w:val="Para 01"/>
      </w:pPr>
      <w:r>
        <w:t>Configuration managers</w:t>
      </w:r>
    </w:p>
    <w:p>
      <w:pPr>
        <w:pStyle w:val="Para 17"/>
      </w:pPr>
      <w:r>
        <w:t/>
      </w:r>
    </w:p>
    <w:p>
      <w:pPr>
        <w:pStyle w:val="Normal"/>
      </w:pPr>
      <w:r>
        <w:t>There are several configuration management tools that can help manage IT infrastructure, typically through automating configuration and deployment processes. Some popular op-tions are Ansible and Puppet.</w:t>
      </w:r>
    </w:p>
    <w:p>
      <w:pPr>
        <w:pStyle w:val="Normal"/>
      </w:pPr>
      <w:r>
        <w:t>Although they can be complex to set up initially, they have a clear advantage in environments where scalability and consistency are important. Both of these tools are available from the Universe repository. This page will give a short overview of each of them, along with their suggested use cases.</w:t>
      </w:r>
    </w:p>
    <w:p>
      <w:bookmarkStart w:id="1337" w:name="calibre_pb_243"/>
      <w:pPr>
        <w:pStyle w:val="0 Block"/>
      </w:pPr>
      <w:bookmarkEnd w:id="1337"/>
    </w:p>
    <w:p>
      <w:bookmarkStart w:id="1338" w:name="page_851"/>
      <w:bookmarkStart w:id="1339" w:name="Top_of_index_split_24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89" name="index-851_1.png" descr="index-851_1.png"/>
            <wp:cNvGraphicFramePr>
              <a:graphicFrameLocks noChangeAspect="1"/>
            </wp:cNvGraphicFramePr>
            <a:graphic>
              <a:graphicData uri="http://schemas.openxmlformats.org/drawingml/2006/picture">
                <pic:pic>
                  <pic:nvPicPr>
                    <pic:cNvPr id="0" name="index-851_1.png" descr="index-851_1.png"/>
                    <pic:cNvPicPr/>
                  </pic:nvPicPr>
                  <pic:blipFill>
                    <a:blip r:embed="rId893"/>
                    <a:stretch>
                      <a:fillRect/>
                    </a:stretch>
                  </pic:blipFill>
                  <pic:spPr>
                    <a:xfrm>
                      <a:off x="0" y="0"/>
                      <a:ext cx="914400" cy="266700"/>
                    </a:xfrm>
                    <a:prstGeom prst="rect">
                      <a:avLst/>
                    </a:prstGeom>
                  </pic:spPr>
                </pic:pic>
              </a:graphicData>
            </a:graphic>
          </wp:anchor>
        </w:drawing>
      </w:r>
      <w:bookmarkEnd w:id="1338"/>
      <w:bookmarkEnd w:id="1339"/>
    </w:p>
    <w:p>
      <w:pPr>
        <w:pStyle w:val="Para 01"/>
      </w:pPr>
      <w:r>
        <w:t>Ansible</w:t>
      </w:r>
    </w:p>
    <w:p>
      <w:pPr>
        <w:pStyle w:val="Para 17"/>
      </w:pPr>
      <w:r>
        <w:t/>
      </w:r>
    </w:p>
    <w:p>
      <w:pPr>
        <w:pStyle w:val="Normal"/>
      </w:pPr>
      <w:hyperlink w:anchor="page_670">
        <w:r>
          <w:rPr>
            <w:rStyle w:val="Text2"/>
          </w:rPr>
          <w:t>Ansible</w:t>
        </w:r>
      </w:hyperlink>
      <w:r>
        <w:t xml:space="preserve"> remains one of the most popular options due to its simplicity. It uses SSH to or-chestrate nodes rather than through an installed agent. It is therefore most often used in cases where an agentless architecture is desired, or in small to medium-sized environments where the use of easy-to-write YAML playbooks can reduce the steepness of the initial learn-ing curve, and requirements may be less complex.</w:t>
      </w:r>
    </w:p>
    <w:p>
      <w:pPr>
        <w:pStyle w:val="Para 04"/>
      </w:pPr>
      <w:r>
        <w:t xml:space="preserve">• </w:t>
      </w:r>
      <w:r>
        <w:rPr>
          <w:rStyle w:val="Text0"/>
        </w:rPr>
        <w:t>Language</w:t>
      </w:r>
      <w:r>
        <w:t>: YAML (for playbooks) and Python.</w:t>
      </w:r>
    </w:p>
    <w:p>
      <w:pPr>
        <w:pStyle w:val="Para 17"/>
      </w:pPr>
      <w:r>
        <w:t/>
      </w:r>
    </w:p>
    <w:p>
      <w:pPr>
        <w:pStyle w:val="Para 01"/>
      </w:pPr>
      <w:r>
        <w:t>Puppet</w:t>
      </w:r>
    </w:p>
    <w:p>
      <w:pPr>
        <w:pStyle w:val="Para 17"/>
      </w:pPr>
      <w:r>
        <w:t/>
      </w:r>
    </w:p>
    <w:p>
      <w:pPr>
        <w:pStyle w:val="Normal"/>
      </w:pPr>
      <w:hyperlink r:id="rId1734">
        <w:r>
          <w:rPr>
            <w:rStyle w:val="Text1"/>
          </w:rPr>
          <w:t>Puppet</w:t>
        </w:r>
      </w:hyperlink>
      <w:hyperlink w:anchor="page_851">
        <w:r>
          <w:rPr>
            <w:rStyle w:val="Text9"/>
          </w:rPr>
          <w:t>892</w:t>
        </w:r>
      </w:hyperlink>
      <w:r>
        <w:t xml:space="preserve"> uses a client-server architecture; the Puppet server (the “”) is installed one one or more servers, and the client (Puppet Agent) is installed on every machine Puppet is to man-age. It’s most often used to manage IT infrastructure lifecycles; although it can be compli-cated to set up, it is useful in particularly complex or large-scale environments where detailed reporting is desired.</w:t>
      </w:r>
    </w:p>
    <w:p>
      <w:pPr>
        <w:pStyle w:val="Para 04"/>
      </w:pPr>
      <w:r>
        <w:t xml:space="preserve">• </w:t>
      </w:r>
      <w:r>
        <w:rPr>
          <w:rStyle w:val="Text0"/>
        </w:rPr>
        <w:t>Language</w:t>
      </w:r>
      <w:r>
        <w:t>: Puppet domain-specific language (DSL), based on Ruby.</w:t>
      </w:r>
    </w:p>
    <w:p>
      <w:pPr>
        <w:pStyle w:val="Para 17"/>
      </w:pPr>
      <w:r>
        <w:t/>
      </w:r>
    </w:p>
    <w:p>
      <w:pPr>
        <w:pStyle w:val="Para 01"/>
      </w:pPr>
      <w:r>
        <w:t>Further reading</w:t>
      </w:r>
    </w:p>
    <w:p>
      <w:pPr>
        <w:pStyle w:val="Para 17"/>
      </w:pPr>
      <w:r>
        <w:t/>
      </w:r>
    </w:p>
    <w:p>
      <w:pPr>
        <w:pStyle w:val="Para 04"/>
      </w:pPr>
      <w:r>
        <w:t xml:space="preserve">• For a comparison of all open source configuration management software, refer to </w:t>
      </w:r>
      <w:hyperlink r:id="rId1735">
        <w:r>
          <w:rPr>
            <w:rStyle w:val="Text1"/>
          </w:rPr>
          <w:t>this</w:t>
        </w:r>
      </w:hyperlink>
    </w:p>
    <w:p>
      <w:pPr>
        <w:pStyle w:val="Para 32"/>
      </w:pPr>
      <w:hyperlink r:id="rId1735">
        <w:r>
          <w:t>Wikipedia table</w:t>
        </w:r>
      </w:hyperlink>
      <w:hyperlink w:anchor="page_851">
        <w:r>
          <w:rPr>
            <w:rStyle w:val="Text10"/>
          </w:rPr>
          <w:t>893</w:t>
        </w:r>
      </w:hyperlink>
      <w:r>
        <w:rPr>
          <w:rStyle w:val="Text7"/>
        </w:rPr>
        <w:t>.</w:t>
      </w:r>
    </w:p>
    <w:p>
      <w:pPr>
        <w:pStyle w:val="Para 17"/>
      </w:pPr>
      <w:r>
        <w:t/>
      </w:r>
    </w:p>
    <w:p>
      <w:pPr>
        <w:pStyle w:val="Para 01"/>
      </w:pPr>
      <w:r>
        <w:t>Updates</w:t>
      </w:r>
    </w:p>
    <w:p>
      <w:pPr>
        <w:pStyle w:val="Para 17"/>
      </w:pPr>
      <w:r>
        <w:t/>
      </w:r>
    </w:p>
    <w:p>
      <w:pPr>
        <w:pStyle w:val="Para 04"/>
      </w:pPr>
      <w:r>
        <w:t xml:space="preserve">• </w:t>
      </w:r>
      <w:hyperlink w:anchor="page_851">
        <w:r>
          <w:rPr>
            <w:rStyle w:val="Text2"/>
          </w:rPr>
          <w:t>About apt upgrade and phased updates</w:t>
        </w:r>
      </w:hyperlink>
      <w:r>
        <w:t xml:space="preserve"> (page 850) explains phased updates and why you</w:t>
      </w:r>
    </w:p>
    <w:p>
      <w:pPr>
        <w:pStyle w:val="Para 02"/>
      </w:pPr>
      <w:r>
        <w:t>may see related messages.</w:t>
      </w:r>
    </w:p>
    <w:p>
      <w:pPr>
        <w:pStyle w:val="Para 14"/>
      </w:pPr>
      <w:r>
        <w:rPr>
          <w:rStyle w:val="Text4"/>
        </w:rPr>
        <w:t xml:space="preserve">• </w:t>
      </w:r>
      <w:hyperlink w:anchor="page_854">
        <w:r>
          <w:t>Advance testing of updates in best practice server deployments</w:t>
        </w:r>
      </w:hyperlink>
      <w:r>
        <w:rPr>
          <w:rStyle w:val="Text4"/>
        </w:rPr>
        <w:t xml:space="preserve"> (page 853) helps you to</w:t>
      </w:r>
    </w:p>
    <w:p>
      <w:pPr>
        <w:pStyle w:val="Para 02"/>
      </w:pPr>
      <w:r>
        <w:t>avoid updates being rolled out on your production systems without them being tested first.</w:t>
      </w:r>
    </w:p>
    <w:p>
      <w:pPr>
        <w:pStyle w:val="Para 17"/>
      </w:pPr>
      <w:r>
        <w:t/>
      </w:r>
    </w:p>
    <w:p>
      <w:pPr>
        <w:pStyle w:val="Para 01"/>
      </w:pPr>
      <w:r>
        <w:t>About apt upgrade and phased updates</w:t>
      </w:r>
    </w:p>
    <w:p>
      <w:pPr>
        <w:pStyle w:val="Para 17"/>
      </w:pPr>
      <w:r>
        <w:t/>
      </w:r>
    </w:p>
    <w:p>
      <w:pPr>
        <w:pStyle w:val="Normal"/>
      </w:pPr>
      <w:r>
        <w:t>You may have noticed recently that updating your system with apt upgrade sometimes pro-duces a weird message about packages being kept back…like this one:</w:t>
      </w:r>
    </w:p>
    <w:p>
      <w:pPr>
        <w:pStyle w:val="Normal"/>
      </w:pPr>
      <w:r>
        <w:t>Reading package lists... Done</w:t>
      </w:r>
    </w:p>
    <w:p>
      <w:pPr>
        <w:pStyle w:val="Normal"/>
      </w:pPr>
      <w:r>
        <w:t>Building dependency tree... Done</w:t>
      </w:r>
    </w:p>
    <w:p>
      <w:pPr>
        <w:pStyle w:val="Normal"/>
      </w:pPr>
      <w:r>
        <w:t>Reading state information... Done</w:t>
      </w:r>
    </w:p>
    <w:p>
      <w:pPr>
        <w:pStyle w:val="Normal"/>
      </w:pPr>
      <w:r>
        <w:t>Calculating upgrade... Done</w:t>
      </w:r>
    </w:p>
    <w:p>
      <w:pPr>
        <w:pStyle w:val="Normal"/>
      </w:pPr>
      <w:r>
        <w:t>The following packages have been kept back:</w:t>
      </w:r>
    </w:p>
    <w:p>
      <w:pPr>
        <w:pStyle w:val="Para 03"/>
      </w:pPr>
      <w:r>
        <w:t>(</w:t>
        <w:t>Names of &lt;X&gt; held back packages listed here</w:t>
        <w:t>)</w:t>
      </w:r>
    </w:p>
    <w:p>
      <w:pPr>
        <w:pStyle w:val="Normal"/>
      </w:pPr>
      <w:r>
        <w:t>0</w:t>
        <w:t xml:space="preserve"> </w:t>
        <w:t>upgraded,</w:t>
        <w:t xml:space="preserve"> </w:t>
        <w:t>0</w:t>
        <w:t xml:space="preserve"> </w:t>
        <w:t>newly installed,</w:t>
        <w:t xml:space="preserve"> </w:t>
        <w:t>0</w:t>
        <w:t xml:space="preserve"> </w:t>
        <w:t>to remove and &lt;X&gt; not upgraded.</w:t>
      </w:r>
    </w:p>
    <w:p>
      <w:pPr>
        <w:pStyle w:val="Para 05"/>
      </w:pPr>
      <w:r>
        <w:rPr>
          <w:rStyle w:val="Text5"/>
        </w:rPr>
        <w:t>892</w:t>
      </w:r>
      <w:r>
        <w:rPr>
          <w:rStyle w:val="Text8"/>
        </w:rPr>
        <w:t xml:space="preserve"> </w:t>
      </w:r>
      <w:r>
        <w:t>https://www.puppet.com/</w:t>
      </w:r>
    </w:p>
    <w:p>
      <w:pPr>
        <w:pStyle w:val="Para 03"/>
      </w:pPr>
      <w:r>
        <w:rPr>
          <w:rStyle w:val="Text5"/>
        </w:rPr>
        <w:t>893</w:t>
      </w:r>
      <w:r>
        <w:t xml:space="preserve"> </w:t>
      </w:r>
      <w:r>
        <w:rPr>
          <w:rStyle w:val="Text6"/>
        </w:rPr>
        <w:t>https://en.wikipedia.org/wiki/Comparison_of_open-source_configuration_management_software</w:t>
      </w:r>
      <w:r>
        <w:t xml:space="preserve"> If you’ve ever used combinations of packages from different releases or third party reposi-tories, you may be familiar with this message already. However, it has become a much more common occurrence due to something called “phased updates”.</w:t>
      </w:r>
    </w:p>
    <w:p>
      <w:bookmarkStart w:id="1340" w:name="page_8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0" name="index-852_1.png" descr="index-852_1.png"/>
            <wp:cNvGraphicFramePr>
              <a:graphicFrameLocks noChangeAspect="1"/>
            </wp:cNvGraphicFramePr>
            <a:graphic>
              <a:graphicData uri="http://schemas.openxmlformats.org/drawingml/2006/picture">
                <pic:pic>
                  <pic:nvPicPr>
                    <pic:cNvPr id="0" name="index-852_1.png" descr="index-852_1.png"/>
                    <pic:cNvPicPr/>
                  </pic:nvPicPr>
                  <pic:blipFill>
                    <a:blip r:embed="rId894"/>
                    <a:stretch>
                      <a:fillRect/>
                    </a:stretch>
                  </pic:blipFill>
                  <pic:spPr>
                    <a:xfrm>
                      <a:off x="0" y="0"/>
                      <a:ext cx="914400" cy="266700"/>
                    </a:xfrm>
                    <a:prstGeom prst="rect">
                      <a:avLst/>
                    </a:prstGeom>
                  </pic:spPr>
                </pic:pic>
              </a:graphicData>
            </a:graphic>
          </wp:anchor>
        </w:drawing>
      </w:r>
      <w:bookmarkEnd w:id="1340"/>
    </w:p>
    <w:p>
      <w:pPr>
        <w:pStyle w:val="Para 17"/>
      </w:pPr>
      <w:r>
        <w:t/>
      </w:r>
    </w:p>
    <w:p>
      <w:pPr>
        <w:pStyle w:val="Para 01"/>
      </w:pPr>
      <w:r>
        <w:t>What are phased updates?</w:t>
      </w:r>
    </w:p>
    <w:p>
      <w:pPr>
        <w:pStyle w:val="Para 17"/>
      </w:pPr>
      <w:r>
        <w:t/>
      </w:r>
    </w:p>
    <w:p>
      <w:pPr>
        <w:pStyle w:val="Normal"/>
      </w:pPr>
      <w:r>
        <w:t>Phased updates are software updates that are rolled out in stages, rather than being pro-vided to everyone at the same time. Initially, the update is provided only to a small subset of Ubuntu machines. As the update proves to be stable, it is provided to an ever-increasing number of users until everyone has received it (i.e., when the update is “fully phased”).</w:t>
      </w:r>
    </w:p>
    <w:p>
      <w:pPr>
        <w:pStyle w:val="Normal"/>
      </w:pPr>
      <w:r>
        <w:t>The good news is, you don’t need to do anything about the “packages kept back” message – you can safely ignore it. Once the update has been deemed safe for release, you will receive the update automatically.</w:t>
      </w:r>
    </w:p>
    <w:p>
      <w:pPr>
        <w:pStyle w:val="Para 17"/>
      </w:pPr>
      <w:r>
        <w:t/>
      </w:r>
    </w:p>
    <w:p>
      <w:pPr>
        <w:pStyle w:val="Para 01"/>
      </w:pPr>
      <w:r>
        <w:t>Why is Ubuntu doing this?</w:t>
      </w:r>
    </w:p>
    <w:p>
      <w:pPr>
        <w:pStyle w:val="Para 17"/>
      </w:pPr>
      <w:r>
        <w:t/>
      </w:r>
    </w:p>
    <w:p>
      <w:pPr>
        <w:pStyle w:val="Normal"/>
      </w:pPr>
      <w:r>
        <w:t>Although updates are thoroughly tested before they get released at all, sometimes bugs can be hidden well enough to escape our attention and make it into a release – especially in highly specific use cases that we didn’t know we needed to test. This can obviously cause problems for our users, and used to be the norm before we phased updates through apt.</w:t>
      </w:r>
    </w:p>
    <w:p>
      <w:pPr>
        <w:pStyle w:val="Normal"/>
      </w:pPr>
      <w:r>
        <w:t>Update phasing makes it much easier for us to detect serious breakages early on – before they have a chance to cause problems for the majority of our users. It gives us the opportunity to hold back the update until the bugs are fixed.</w:t>
      </w:r>
    </w:p>
    <w:p>
      <w:pPr>
        <w:pStyle w:val="Normal"/>
      </w:pPr>
      <w:r>
        <w:t>In other words, it directly benefits our users by increasing the safety, stability and reliability of Ubuntu.</w:t>
      </w:r>
    </w:p>
    <w:p>
      <w:pPr>
        <w:pStyle w:val="Normal"/>
      </w:pPr>
      <w:r>
        <w:t>The phasing system makes it so that different sets of users are chosen to be the first to get the updates, so that there isn’t one group of unlucky people who always get potentially bro-ken updates soon after release.</w:t>
      </w:r>
    </w:p>
    <w:p>
      <w:pPr>
        <w:pStyle w:val="Para 08"/>
      </w:pPr>
      <w:r>
        <w:t>Note:</w:t>
      </w:r>
    </w:p>
    <w:p>
      <w:pPr>
        <w:pStyle w:val="Para 03"/>
      </w:pPr>
      <w:r>
        <w:t xml:space="preserve">It should be mentioned here that security updates are </w:t>
      </w:r>
      <w:r>
        <w:rPr>
          <w:rStyle w:val="Text3"/>
        </w:rPr>
        <w:t>never</w:t>
      </w:r>
      <w:r>
        <w:t xml:space="preserve"> phased.</w:t>
      </w:r>
    </w:p>
    <w:p>
      <w:pPr>
        <w:pStyle w:val="Para 17"/>
      </w:pPr>
      <w:r>
        <w:t/>
      </w:r>
    </w:p>
    <w:p>
      <w:pPr>
        <w:pStyle w:val="Para 01"/>
      </w:pPr>
      <w:r>
        <w:t>Can I turn off phased updates?</w:t>
      </w:r>
    </w:p>
    <w:p>
      <w:pPr>
        <w:pStyle w:val="Para 17"/>
      </w:pPr>
      <w:r>
        <w:t/>
      </w:r>
    </w:p>
    <w:p>
      <w:pPr>
        <w:pStyle w:val="Normal"/>
      </w:pPr>
      <w:r>
        <w:t xml:space="preserve">That depends on how stable you need your system to be. If you just want to avoid any no-tices about packages being held back during apt updates, and you’re willing to be one of the first people to get updates whenever they’re released, you can turn off phased updates. Be warned, though – if an update </w:t>
      </w:r>
      <w:r>
        <w:rPr>
          <w:rStyle w:val="Text3"/>
        </w:rPr>
        <w:t>is</w:t>
      </w:r>
      <w:r>
        <w:t xml:space="preserve"> broken, you will almost always be in the first set of peo-ple to get it (i.e., you’re basically volunteering yourself as a guinea pig for the early update releases!). It will get rid of the “held back packages” in apt message, though.</w:t>
      </w:r>
    </w:p>
    <w:p>
      <w:pPr>
        <w:pStyle w:val="Normal"/>
      </w:pPr>
      <w:r>
        <w:t>If that doesn’t sound like something you want, leave phased updates on (this is the default). You will still temporarily get the “held back packages” message, but your machine will be more protected from updates that might otherwise break it – and once the packages are ready to be safely installed on your system, they will no longer be held back.</w:t>
      </w:r>
    </w:p>
    <w:p>
      <w:bookmarkStart w:id="1341" w:name="page_8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1" name="index-853_1.png" descr="index-853_1.png"/>
            <wp:cNvGraphicFramePr>
              <a:graphicFrameLocks noChangeAspect="1"/>
            </wp:cNvGraphicFramePr>
            <a:graphic>
              <a:graphicData uri="http://schemas.openxmlformats.org/drawingml/2006/picture">
                <pic:pic>
                  <pic:nvPicPr>
                    <pic:cNvPr id="0" name="index-853_1.png" descr="index-853_1.png"/>
                    <pic:cNvPicPr/>
                  </pic:nvPicPr>
                  <pic:blipFill>
                    <a:blip r:embed="rId895"/>
                    <a:stretch>
                      <a:fillRect/>
                    </a:stretch>
                  </pic:blipFill>
                  <pic:spPr>
                    <a:xfrm>
                      <a:off x="0" y="0"/>
                      <a:ext cx="914400" cy="266700"/>
                    </a:xfrm>
                    <a:prstGeom prst="rect">
                      <a:avLst/>
                    </a:prstGeom>
                  </pic:spPr>
                </pic:pic>
              </a:graphicData>
            </a:graphic>
          </wp:anchor>
        </w:drawing>
      </w:r>
      <w:bookmarkEnd w:id="1341"/>
    </w:p>
    <w:p>
      <w:pPr>
        <w:pStyle w:val="Para 01"/>
      </w:pPr>
      <w:r>
        <w:t>Can I apt upgrade the individual packages? (and should I?)</w:t>
      </w:r>
    </w:p>
    <w:p>
      <w:pPr>
        <w:pStyle w:val="Para 17"/>
      </w:pPr>
      <w:r>
        <w:t/>
      </w:r>
    </w:p>
    <w:p>
      <w:pPr>
        <w:pStyle w:val="Normal"/>
      </w:pPr>
      <w:r>
        <w:t xml:space="preserve">While you can </w:t>
      </w:r>
      <w:r>
        <w:rPr>
          <w:rStyle w:val="Text3"/>
        </w:rPr>
        <w:t>technically</w:t>
      </w:r>
      <w:r>
        <w:t xml:space="preserve"> get around phased updates by running apt install on individual held back packages, it’s not recommended. You’re unlikely to break your machine by doing this – as long as the package is being held back due to update phasing.</w:t>
      </w:r>
    </w:p>
    <w:p>
      <w:pPr>
        <w:pStyle w:val="Normal"/>
      </w:pPr>
      <w:r>
        <w:t>If you want to apt upgrade a package, you should first carefully examine the proposed changes that apt would make before you proceed. If the package update was kept back for a reason unrelated to phasing, apt may be forced to remove packages in order to complete your request, which could then cause problems elsewhere.</w:t>
      </w:r>
    </w:p>
    <w:p>
      <w:pPr>
        <w:pStyle w:val="Para 17"/>
      </w:pPr>
      <w:r>
        <w:t/>
      </w:r>
    </w:p>
    <w:p>
      <w:pPr>
        <w:pStyle w:val="Para 01"/>
      </w:pPr>
      <w:r>
        <w:t>How do I turn off phased updates?</w:t>
      </w:r>
    </w:p>
    <w:p>
      <w:pPr>
        <w:pStyle w:val="Para 17"/>
      </w:pPr>
      <w:r>
        <w:t/>
      </w:r>
    </w:p>
    <w:p>
      <w:pPr>
        <w:pStyle w:val="Normal"/>
      </w:pPr>
      <w:r>
        <w:t>If you’re sure that you want to disable phased updates, reverting to the old behavior, you can change apt’s configuration by creating a file in /etc/apt/apt.conf.d called 99-Phased-Updates (if /etc/apt/apt.conf.d/99-Phased-Updates doesn’t already exist). In the file, simply add the following lines:</w:t>
      </w:r>
    </w:p>
    <w:p>
      <w:pPr>
        <w:pStyle w:val="Normal"/>
      </w:pPr>
      <w:r>
        <w:t>Update-Manager::Always-Include-Phased-Updates true;</w:t>
      </w:r>
    </w:p>
    <w:p>
      <w:pPr>
        <w:pStyle w:val="Normal"/>
      </w:pPr>
      <w:r>
        <w:t>APT::Get::Always-Include-Phased-Updates true;</w:t>
      </w:r>
    </w:p>
    <w:p>
      <w:pPr>
        <w:pStyle w:val="Para 17"/>
      </w:pPr>
      <w:r>
        <w:t/>
      </w:r>
    </w:p>
    <w:p>
      <w:pPr>
        <w:pStyle w:val="Normal"/>
      </w:pPr>
      <w:r>
        <w:t>Again, please only do this if you really know what you’re doing and are absolutely sure you need to do it (for instance, if you are intentionally installing all the latest packages to help test them – and don’t mind if your system breaks). We definitely don’t recommend turning off phased updates if you’re a newer user.</w:t>
      </w:r>
    </w:p>
    <w:p>
      <w:pPr>
        <w:pStyle w:val="Para 17"/>
      </w:pPr>
      <w:r>
        <w:t/>
      </w:r>
    </w:p>
    <w:p>
      <w:pPr>
        <w:pStyle w:val="Para 01"/>
      </w:pPr>
      <w:r>
        <w:t>Why is this suddenly happening now?</w:t>
      </w:r>
    </w:p>
    <w:p>
      <w:pPr>
        <w:pStyle w:val="Para 17"/>
      </w:pPr>
      <w:r>
        <w:t/>
      </w:r>
    </w:p>
    <w:p>
      <w:pPr>
        <w:pStyle w:val="Normal"/>
      </w:pPr>
      <w:r>
        <w:t>Phased updates have been part of the update-manager on Ubuntu Desktop for quite a while</w:t>
      </w:r>
    </w:p>
    <w:p>
      <w:pPr>
        <w:pStyle w:val="Normal"/>
      </w:pPr>
      <w:r>
        <w:t xml:space="preserve">(since 13.04, in fact!), but were </w:t>
      </w:r>
      <w:hyperlink r:id="rId1736">
        <w:r>
          <w:rPr>
            <w:rStyle w:val="Text9"/>
          </w:rPr>
          <w:t>894</w:t>
        </w:r>
      </w:hyperlink>
      <w:hyperlink r:id="rId1736">
        <w:r>
          <w:rPr>
            <w:rStyle w:val="Text1"/>
          </w:rPr>
          <w:t xml:space="preserve"> implemented in APT in 21.04</w:t>
        </w:r>
      </w:hyperlink>
      <w:r>
        <w:t>. It now works on all versions of Ubuntu (including Ubuntu Server, Raspberry Pi, and containers). Since this includes the 22.04 LTS, it’s now getting a lot more attention as a result!</w:t>
      </w:r>
    </w:p>
    <w:p>
      <w:pPr>
        <w:pStyle w:val="Para 17"/>
      </w:pPr>
      <w:r>
        <w:t/>
      </w:r>
    </w:p>
    <w:p>
      <w:pPr>
        <w:pStyle w:val="Para 01"/>
      </w:pPr>
      <w:r>
        <w:t>How does it actually work?</w:t>
      </w:r>
    </w:p>
    <w:p>
      <w:pPr>
        <w:pStyle w:val="Para 17"/>
      </w:pPr>
      <w:r>
        <w:t/>
      </w:r>
    </w:p>
    <w:p>
      <w:pPr>
        <w:pStyle w:val="Normal"/>
      </w:pPr>
      <w:r>
        <w:t>Phased updates depend on a value derived from your machine’s “Machine ID”, as well as the package name and package version. The neat thing about this is that phasing is determined completely at the client end; no identifiable information (or indeed any new information at all) is ever sent to the server to achieve update phasing.</w:t>
      </w:r>
    </w:p>
    <w:p>
      <w:pPr>
        <w:pStyle w:val="Normal"/>
      </w:pPr>
      <w:r>
        <w:t>When the software update is released, the initial subset of machines to receive the update first is chosen at random. Only if there are no problems detected by the first set of users will the update be made available to everyone.</w:t>
      </w:r>
    </w:p>
    <w:p>
      <w:pPr>
        <w:pStyle w:val="Normal"/>
      </w:pPr>
      <w:r>
        <w:t>For more detailed information, including about how changes to phasing are timed, you can</w:t>
      </w:r>
    </w:p>
    <w:p>
      <w:pPr>
        <w:pStyle w:val="Para 18"/>
      </w:pPr>
      <w:r>
        <w:rPr>
          <w:rStyle w:val="Text7"/>
        </w:rPr>
        <w:t xml:space="preserve">check the Ubuntu </w:t>
      </w:r>
      <w:hyperlink w:anchor="page_853">
        <w:r>
          <w:rPr>
            <w:rStyle w:val="Text10"/>
          </w:rPr>
          <w:t>895</w:t>
        </w:r>
      </w:hyperlink>
      <w:r>
        <w:rPr>
          <w:rStyle w:val="Text7"/>
        </w:rPr>
        <w:t xml:space="preserve"> </w:t>
      </w:r>
      <w:hyperlink r:id="rId1737">
        <w:r>
          <w:t>wiki page on phased updates</w:t>
        </w:r>
      </w:hyperlink>
      <w:r>
        <w:rPr>
          <w:rStyle w:val="Text7"/>
        </w:rPr>
        <w:t>.</w:t>
      </w:r>
    </w:p>
    <w:p>
      <w:pPr>
        <w:pStyle w:val="Para 05"/>
      </w:pPr>
      <w:r>
        <w:rPr>
          <w:rStyle w:val="Text5"/>
        </w:rPr>
        <w:t>894</w:t>
      </w:r>
      <w:r>
        <w:rPr>
          <w:rStyle w:val="Text8"/>
        </w:rPr>
        <w:t xml:space="preserve"> </w:t>
      </w:r>
      <w:r>
        <w:t>https://discourse.ubuntu.com/t/phased-updates-in-apt-in-21-04/20345</w:t>
      </w:r>
    </w:p>
    <w:p>
      <w:pPr>
        <w:pStyle w:val="Para 08"/>
      </w:pPr>
      <w:r>
        <w:rPr>
          <w:rStyle w:val="Text19"/>
        </w:rPr>
        <w:t>895</w:t>
      </w:r>
      <w:r>
        <w:rPr>
          <w:rStyle w:val="Text0"/>
        </w:rPr>
        <w:t xml:space="preserve"> </w:t>
      </w:r>
      <w:r>
        <w:rPr>
          <w:rStyle w:val="Text14"/>
        </w:rPr>
        <w:t>https://wiki.ubuntu.com/PhasedUpdates</w:t>
      </w:r>
      <w:r>
        <w:rPr>
          <w:rStyle w:val="Text0"/>
        </w:rPr>
        <w:t xml:space="preserve"> </w:t>
      </w:r>
      <w:r>
        <w:t>How can I find out more information about currently phased packages?</w:t>
      </w:r>
    </w:p>
    <w:p>
      <w:bookmarkStart w:id="1342" w:name="page_8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2" name="index-854_1.png" descr="index-854_1.png"/>
            <wp:cNvGraphicFramePr>
              <a:graphicFrameLocks noChangeAspect="1"/>
            </wp:cNvGraphicFramePr>
            <a:graphic>
              <a:graphicData uri="http://schemas.openxmlformats.org/drawingml/2006/picture">
                <pic:pic>
                  <pic:nvPicPr>
                    <pic:cNvPr id="0" name="index-854_1.png" descr="index-854_1.png"/>
                    <pic:cNvPicPr/>
                  </pic:nvPicPr>
                  <pic:blipFill>
                    <a:blip r:embed="rId896"/>
                    <a:stretch>
                      <a:fillRect/>
                    </a:stretch>
                  </pic:blipFill>
                  <pic:spPr>
                    <a:xfrm>
                      <a:off x="0" y="0"/>
                      <a:ext cx="914400" cy="266700"/>
                    </a:xfrm>
                    <a:prstGeom prst="rect">
                      <a:avLst/>
                    </a:prstGeom>
                  </pic:spPr>
                </pic:pic>
              </a:graphicData>
            </a:graphic>
          </wp:anchor>
        </w:drawing>
      </w:r>
      <w:bookmarkEnd w:id="1342"/>
    </w:p>
    <w:p>
      <w:pPr>
        <w:pStyle w:val="Para 17"/>
      </w:pPr>
      <w:r>
        <w:t/>
      </w:r>
    </w:p>
    <w:p>
      <w:pPr>
        <w:pStyle w:val="Normal"/>
      </w:pPr>
      <w:r>
        <w:t>You can find out the phasing details of a package by using the apt policy command:</w:t>
      </w:r>
    </w:p>
    <w:p>
      <w:pPr>
        <w:pStyle w:val="Normal"/>
      </w:pPr>
      <w:r>
        <w:t>apt policy &lt;package&gt;</w:t>
      </w:r>
    </w:p>
    <w:p>
      <w:pPr>
        <w:pStyle w:val="Para 17"/>
      </w:pPr>
      <w:r>
        <w:t/>
      </w:r>
    </w:p>
    <w:p>
      <w:pPr>
        <w:pStyle w:val="Normal"/>
      </w:pPr>
      <w:r>
        <w:t>For example, at the time of writing, the package libglapi-mesa has a phased update. Running apt policy libglapi-mesa then produces an output like this:</w:t>
      </w:r>
    </w:p>
    <w:p>
      <w:pPr>
        <w:pStyle w:val="Normal"/>
      </w:pPr>
      <w:r>
        <w:t>libglapi-mesa:</w:t>
      </w:r>
    </w:p>
    <w:p>
      <w:pPr>
        <w:pStyle w:val="Para 03"/>
      </w:pPr>
      <w:r>
        <w:t>Installed:</w:t>
        <w:t xml:space="preserve"> </w:t>
        <w:t>22</w:t>
        <w:t>.0.5-0ubuntu0.3</w:t>
      </w:r>
    </w:p>
    <w:p>
      <w:pPr>
        <w:pStyle w:val="Para 03"/>
      </w:pPr>
      <w:r>
        <w:t>Candidate:</w:t>
        <w:t xml:space="preserve"> </w:t>
        <w:t>22</w:t>
        <w:t>.2.5-0ubuntu0.1~22.04.1</w:t>
      </w:r>
    </w:p>
    <w:p>
      <w:pPr>
        <w:pStyle w:val="Para 03"/>
      </w:pPr>
      <w:r>
        <w:t>Version table:</w:t>
      </w:r>
    </w:p>
    <w:p>
      <w:pPr>
        <w:pStyle w:val="Para 11"/>
      </w:pPr>
      <w:r>
        <w:t>22</w:t>
        <w:t>.2.5-0ubuntu0.1~22.04.1</w:t>
        <w:t xml:space="preserve"> </w:t>
        <w:t>500</w:t>
        <w:t xml:space="preserve"> </w:t>
        <w:t>(</w:t>
        <w:t>phased</w:t>
        <w:t xml:space="preserve"> </w:t>
        <w:t>20</w:t>
        <w:t>%</w:t>
        <w:t>)</w:t>
      </w:r>
    </w:p>
    <w:p>
      <w:pPr>
        <w:pStyle w:val="Para 12"/>
      </w:pPr>
      <w:r>
        <w:t>500</w:t>
        <w:t xml:space="preserve"> </w:t>
        <w:t>http://archive.ubuntu.com/ubuntu jammy-updates/main amd64 Packages</w:t>
      </w:r>
    </w:p>
    <w:p>
      <w:pPr>
        <w:pStyle w:val="Normal"/>
      </w:pPr>
      <w:r>
        <w:t>***</w:t>
        <w:t xml:space="preserve"> </w:t>
        <w:t>22</w:t>
        <w:t>.0.5-0ubuntu0.3</w:t>
        <w:t xml:space="preserve"> </w:t>
        <w:t>100</w:t>
      </w:r>
    </w:p>
    <w:p>
      <w:pPr>
        <w:pStyle w:val="Para 12"/>
      </w:pPr>
      <w:r>
        <w:t>100</w:t>
        <w:t xml:space="preserve"> </w:t>
        <w:t>/var/lib/dpkg/status</w:t>
      </w:r>
    </w:p>
    <w:p>
      <w:pPr>
        <w:pStyle w:val="Para 11"/>
      </w:pPr>
      <w:r>
        <w:t>22</w:t>
        <w:t>.0.1-1ubuntu2</w:t>
        <w:t xml:space="preserve"> </w:t>
        <w:t>500</w:t>
      </w:r>
    </w:p>
    <w:p>
      <w:pPr>
        <w:pStyle w:val="Para 17"/>
      </w:pPr>
      <w:r>
        <w:t>500</w:t>
        <w:t xml:space="preserve"> </w:t>
        <w:t>http://archive.ubuntu.com/ubuntu jammy/main amd64 Packages</w:t>
      </w:r>
    </w:p>
    <w:p>
      <w:pPr>
        <w:pStyle w:val="Para 17"/>
      </w:pPr>
      <w:r>
        <w:t/>
      </w:r>
    </w:p>
    <w:p>
      <w:pPr>
        <w:pStyle w:val="Normal"/>
      </w:pPr>
      <w:r>
        <w:t>In this output you can see that this package is 20% phased.</w:t>
      </w:r>
    </w:p>
    <w:p>
      <w:pPr>
        <w:pStyle w:val="Normal"/>
      </w:pPr>
      <w:r>
        <w:t xml:space="preserve">You can see the status of all packages </w:t>
      </w:r>
      <w:hyperlink r:id="rId1738">
        <w:r>
          <w:rPr>
            <w:rStyle w:val="Text9"/>
          </w:rPr>
          <w:t>896</w:t>
        </w:r>
      </w:hyperlink>
      <w:hyperlink r:id="rId1738">
        <w:r>
          <w:rPr>
            <w:rStyle w:val="Text1"/>
          </w:rPr>
          <w:t xml:space="preserve"> currently being phased</w:t>
        </w:r>
      </w:hyperlink>
      <w:r>
        <w:t>.</w:t>
      </w:r>
    </w:p>
    <w:p>
      <w:pPr>
        <w:pStyle w:val="Para 17"/>
      </w:pPr>
      <w:r>
        <w:t/>
      </w:r>
    </w:p>
    <w:p>
      <w:pPr>
        <w:pStyle w:val="Para 01"/>
      </w:pPr>
      <w:r>
        <w:t>Further reading</w:t>
      </w:r>
    </w:p>
    <w:p>
      <w:pPr>
        <w:pStyle w:val="Para 17"/>
      </w:pPr>
      <w:r>
        <w:t/>
      </w:r>
    </w:p>
    <w:p>
      <w:pPr>
        <w:pStyle w:val="Para 04"/>
      </w:pPr>
      <w:r>
        <w:t xml:space="preserve">• The details in this page are based on this </w:t>
      </w:r>
      <w:hyperlink r:id="rId1739">
        <w:r>
          <w:rPr>
            <w:rStyle w:val="Text9"/>
          </w:rPr>
          <w:t>897</w:t>
        </w:r>
      </w:hyperlink>
      <w:hyperlink r:id="rId1739">
        <w:r>
          <w:rPr>
            <w:rStyle w:val="Text1"/>
          </w:rPr>
          <w:t xml:space="preserve"> excellent post on AskUbuntu</w:t>
        </w:r>
      </w:hyperlink>
      <w:r>
        <w:t xml:space="preserve"> by AskUbuntu</w:t>
      </w:r>
    </w:p>
    <w:p>
      <w:pPr>
        <w:pStyle w:val="Para 02"/>
      </w:pPr>
      <w:r>
        <w:t xml:space="preserve">user </w:t>
      </w:r>
      <w:r>
        <w:rPr>
          <w:rStyle w:val="Text3"/>
        </w:rPr>
        <w:t>ArrayBolt3</w:t>
      </w:r>
      <w:r>
        <w:t>. This page is therefore licensed under Creative Commons Attribution-</w:t>
      </w:r>
    </w:p>
    <w:p>
      <w:pPr>
        <w:pStyle w:val="Para 02"/>
      </w:pPr>
      <w:r>
        <w:t xml:space="preserve">ShareAlike license, distributed under the terms of </w:t>
      </w:r>
      <w:hyperlink w:anchor="page_854">
        <w:r>
          <w:rPr>
            <w:rStyle w:val="Text9"/>
          </w:rPr>
          <w:t>898</w:t>
        </w:r>
      </w:hyperlink>
      <w:r>
        <w:t xml:space="preserve"> </w:t>
      </w:r>
      <w:hyperlink r:id="rId1740">
        <w:r>
          <w:rPr>
            <w:rStyle w:val="Text1"/>
          </w:rPr>
          <w:t>CC BY-SA 4.0</w:t>
        </w:r>
      </w:hyperlink>
    </w:p>
    <w:p>
      <w:pPr>
        <w:pStyle w:val="Para 04"/>
      </w:pPr>
      <w:r>
        <w:t xml:space="preserve">• You can check on the progress of the current </w:t>
      </w:r>
      <w:hyperlink r:id="rId1738">
        <w:r>
          <w:rPr>
            <w:rStyle w:val="Text1"/>
          </w:rPr>
          <w:t>phasing Ubuntu Stable Release Up-</w:t>
        </w:r>
      </w:hyperlink>
    </w:p>
    <w:p>
      <w:pPr>
        <w:pStyle w:val="Para 32"/>
      </w:pPr>
      <w:hyperlink r:id="rId1738">
        <w:r>
          <w:t>dates</w:t>
        </w:r>
      </w:hyperlink>
      <w:hyperlink r:id="rId1738">
        <w:r>
          <w:rPr>
            <w:rStyle w:val="Text10"/>
          </w:rPr>
          <w:t>899</w:t>
        </w:r>
      </w:hyperlink>
      <w:r>
        <w:rPr>
          <w:rStyle w:val="Text7"/>
        </w:rPr>
        <w:t>.</w:t>
      </w:r>
    </w:p>
    <w:p>
      <w:pPr>
        <w:pStyle w:val="Para 04"/>
      </w:pPr>
      <w:r>
        <w:t xml:space="preserve">• There is also more detail on how phased updates work in the </w:t>
      </w:r>
      <w:hyperlink w:anchor="page_854">
        <w:r>
          <w:rPr>
            <w:rStyle w:val="Text9"/>
          </w:rPr>
          <w:t>900</w:t>
        </w:r>
      </w:hyperlink>
      <w:r>
        <w:t xml:space="preserve"> </w:t>
      </w:r>
      <w:hyperlink r:id="rId1737">
        <w:r>
          <w:rPr>
            <w:rStyle w:val="Text1"/>
          </w:rPr>
          <w:t>Ubuntu wiki</w:t>
        </w:r>
      </w:hyperlink>
      <w:r>
        <w:t xml:space="preserve">, the </w:t>
      </w:r>
      <w:hyperlink r:id="rId1741">
        <w:r>
          <w:rPr>
            <w:rStyle w:val="Text1"/>
          </w:rPr>
          <w:t>Error</w:t>
        </w:r>
      </w:hyperlink>
    </w:p>
    <w:p>
      <w:pPr>
        <w:pStyle w:val="Para 02"/>
      </w:pPr>
      <w:hyperlink r:id="rId1741">
        <w:r>
          <w:rPr>
            <w:rStyle w:val="Text1"/>
          </w:rPr>
          <w:t>Tracker</w:t>
        </w:r>
      </w:hyperlink>
      <w:hyperlink r:id="rId1741">
        <w:r>
          <w:rPr>
            <w:rStyle w:val="Text9"/>
          </w:rPr>
          <w:t>901</w:t>
        </w:r>
      </w:hyperlink>
      <w:r>
        <w:t xml:space="preserve"> </w:t>
      </w:r>
      <w:hyperlink w:anchor="page_854">
        <w:r>
          <w:rPr>
            <w:rStyle w:val="Text9"/>
          </w:rPr>
          <w:t>902</w:t>
        </w:r>
      </w:hyperlink>
      <w:r>
        <w:t xml:space="preserve"> , and the </w:t>
      </w:r>
      <w:hyperlink r:id="rId1742">
        <w:r>
          <w:rPr>
            <w:rStyle w:val="Text2"/>
          </w:rPr>
          <w:t>apt preferences</w:t>
        </w:r>
      </w:hyperlink>
      <w:r>
        <w:t xml:space="preserve"> manual page.</w:t>
      </w:r>
    </w:p>
    <w:p>
      <w:pPr>
        <w:pStyle w:val="Para 17"/>
      </w:pPr>
      <w:r>
        <w:t/>
      </w:r>
    </w:p>
    <w:p>
      <w:pPr>
        <w:pStyle w:val="Para 01"/>
      </w:pPr>
      <w:r>
        <w:t>Advance testing of updates in best-practice server deployments</w:t>
      </w:r>
    </w:p>
    <w:p>
      <w:pPr>
        <w:pStyle w:val="Para 17"/>
      </w:pPr>
      <w:r>
        <w:t/>
      </w:r>
    </w:p>
    <w:p>
      <w:pPr>
        <w:pStyle w:val="Normal"/>
      </w:pPr>
      <w:r>
        <w:t>If you manage production server deployments with demanding reliability needs, you prob-ably follow best practices with automated testing of Ubuntu updates in your environment before you deploy them. If an update causes a problem for you, you can hold it back from your production deployments while the problem is resolved.</w:t>
      </w:r>
    </w:p>
    <w:p>
      <w:pPr>
        <w:pStyle w:val="Normal"/>
      </w:pPr>
      <w:r>
        <w:t xml:space="preserve">However, if a problem is identified with a package update </w:t>
      </w:r>
      <w:r>
        <w:rPr>
          <w:rStyle w:val="Text3"/>
        </w:rPr>
        <w:t>after</w:t>
      </w:r>
      <w:r>
        <w:t xml:space="preserve"> release, holding it back in a deployment also holds back security updates for that package. Fixing the issue can also take longer because we also have to consider users who </w:t>
      </w:r>
      <w:r>
        <w:rPr>
          <w:rStyle w:val="Text3"/>
        </w:rPr>
        <w:t>have</w:t>
      </w:r>
      <w:r>
        <w:t xml:space="preserve"> upgraded. Ideally, we would like to</w:t>
      </w:r>
    </w:p>
    <w:p>
      <w:pPr>
        <w:pStyle w:val="Para 05"/>
      </w:pPr>
      <w:r>
        <w:rPr>
          <w:rStyle w:val="Text5"/>
        </w:rPr>
        <w:t>896</w:t>
      </w:r>
      <w:r>
        <w:rPr>
          <w:rStyle w:val="Text8"/>
        </w:rPr>
        <w:t xml:space="preserve"> </w:t>
      </w:r>
      <w:r>
        <w:t>https://ubuntu-archive-team.ubuntu.com/phased-updates.html</w:t>
      </w:r>
    </w:p>
    <w:p>
      <w:pPr>
        <w:pStyle w:val="Para 05"/>
      </w:pPr>
      <w:r>
        <w:rPr>
          <w:rStyle w:val="Text5"/>
        </w:rPr>
        <w:t>897</w:t>
      </w:r>
      <w:r>
        <w:rPr>
          <w:rStyle w:val="Text8"/>
        </w:rPr>
        <w:t xml:space="preserve"> </w:t>
      </w:r>
      <w:r>
        <w:t>https://askubuntu.com/questions/1431940/what-are-phased-updates-and-why-does-ubuntu-use-them</w:t>
      </w:r>
    </w:p>
    <w:p>
      <w:pPr>
        <w:pStyle w:val="Para 05"/>
      </w:pPr>
      <w:r>
        <w:rPr>
          <w:rStyle w:val="Text5"/>
        </w:rPr>
        <w:t>898</w:t>
      </w:r>
      <w:r>
        <w:rPr>
          <w:rStyle w:val="Text8"/>
        </w:rPr>
        <w:t xml:space="preserve"> </w:t>
      </w:r>
      <w:r>
        <w:t>https://creativecommons.org/licenses/by-sa/4.0/</w:t>
      </w:r>
    </w:p>
    <w:p>
      <w:pPr>
        <w:pStyle w:val="Para 05"/>
      </w:pPr>
      <w:r>
        <w:rPr>
          <w:rStyle w:val="Text5"/>
        </w:rPr>
        <w:t>899</w:t>
      </w:r>
      <w:r>
        <w:rPr>
          <w:rStyle w:val="Text8"/>
        </w:rPr>
        <w:t xml:space="preserve"> </w:t>
      </w:r>
      <w:r>
        <w:t>https://ubuntu-archive-team.ubuntu.com/phased-updates.html</w:t>
      </w:r>
    </w:p>
    <w:p>
      <w:pPr>
        <w:pStyle w:val="Para 05"/>
      </w:pPr>
      <w:r>
        <w:rPr>
          <w:rStyle w:val="Text5"/>
        </w:rPr>
        <w:t>900</w:t>
      </w:r>
      <w:r>
        <w:rPr>
          <w:rStyle w:val="Text8"/>
        </w:rPr>
        <w:t xml:space="preserve"> </w:t>
      </w:r>
      <w:r>
        <w:t>https://wiki.ubuntu.com/PhasedUpdates</w:t>
      </w:r>
    </w:p>
    <w:p>
      <w:pPr>
        <w:pStyle w:val="Para 05"/>
      </w:pPr>
      <w:r>
        <w:rPr>
          <w:rStyle w:val="Text5"/>
        </w:rPr>
        <w:t>901</w:t>
      </w:r>
      <w:r>
        <w:rPr>
          <w:rStyle w:val="Text8"/>
        </w:rPr>
        <w:t xml:space="preserve"> </w:t>
      </w:r>
      <w:r>
        <w:t>https://wiki.ubuntu.com/ErrorTracker/PhasedUpdates</w:t>
      </w:r>
    </w:p>
    <w:p>
      <w:pPr>
        <w:pStyle w:val="Para 03"/>
      </w:pPr>
      <w:r>
        <w:rPr>
          <w:rStyle w:val="Text5"/>
        </w:rPr>
        <w:t>902</w:t>
      </w:r>
      <w:r>
        <w:t xml:space="preserve"> </w:t>
      </w:r>
      <w:r>
        <w:rPr>
          <w:rStyle w:val="Text6"/>
        </w:rPr>
        <w:t>https://manpages.ubuntu.com/manpages/resolute/man5/apt_preferences.5.html</w:t>
      </w:r>
      <w:r>
        <w:t xml:space="preserve"> identify problems with an update before release, which would allow us to fix it more rapidly, keeping deployments more reliable and secure.</w:t>
      </w:r>
    </w:p>
    <w:p>
      <w:bookmarkStart w:id="1343" w:name="page_8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3" name="index-855_1.png" descr="index-855_1.png"/>
            <wp:cNvGraphicFramePr>
              <a:graphicFrameLocks noChangeAspect="1"/>
            </wp:cNvGraphicFramePr>
            <a:graphic>
              <a:graphicData uri="http://schemas.openxmlformats.org/drawingml/2006/picture">
                <pic:pic>
                  <pic:nvPicPr>
                    <pic:cNvPr id="0" name="index-855_1.png" descr="index-855_1.png"/>
                    <pic:cNvPicPr/>
                  </pic:nvPicPr>
                  <pic:blipFill>
                    <a:blip r:embed="rId897"/>
                    <a:stretch>
                      <a:fillRect/>
                    </a:stretch>
                  </pic:blipFill>
                  <pic:spPr>
                    <a:xfrm>
                      <a:off x="0" y="0"/>
                      <a:ext cx="914400" cy="266700"/>
                    </a:xfrm>
                    <a:prstGeom prst="rect">
                      <a:avLst/>
                    </a:prstGeom>
                  </pic:spPr>
                </pic:pic>
              </a:graphicData>
            </a:graphic>
          </wp:anchor>
        </w:drawing>
      </w:r>
      <w:bookmarkEnd w:id="1343"/>
    </w:p>
    <w:p>
      <w:pPr>
        <w:pStyle w:val="Normal"/>
      </w:pPr>
      <w:r>
        <w:t>We usually make the final builds of our proposed updates publicly available for at least a week before we publish them. We therefore encourage you to test these proposed updates before we release them so that if you discover an unanticipated problem we can delay the release until the issue is fixed.</w:t>
      </w:r>
    </w:p>
    <w:p>
      <w:pPr>
        <w:pStyle w:val="Normal"/>
      </w:pPr>
      <w:r>
        <w:t>So, if you already have automated tests for your deployment, please help us to help you by also running your testing against our proposed updates!</w:t>
      </w:r>
    </w:p>
    <w:p>
      <w:pPr>
        <w:pStyle w:val="Para 17"/>
      </w:pPr>
      <w:r>
        <w:t/>
      </w:r>
    </w:p>
    <w:p>
      <w:pPr>
        <w:pStyle w:val="Para 01"/>
      </w:pPr>
      <w:r>
        <w:t>Information about proposed updates</w:t>
      </w:r>
    </w:p>
    <w:p>
      <w:pPr>
        <w:pStyle w:val="Para 17"/>
      </w:pPr>
      <w:r>
        <w:t/>
      </w:r>
    </w:p>
    <w:p>
      <w:pPr>
        <w:pStyle w:val="Normal"/>
      </w:pPr>
      <w:r>
        <w:t xml:space="preserve">The status of our proposed update pipeline is available on the </w:t>
      </w:r>
      <w:hyperlink r:id="rId1743">
        <w:r>
          <w:rPr>
            <w:rStyle w:val="Text9"/>
          </w:rPr>
          <w:t>903</w:t>
        </w:r>
      </w:hyperlink>
      <w:hyperlink r:id="rId1743">
        <w:r>
          <w:rPr>
            <w:rStyle w:val="Text1"/>
          </w:rPr>
          <w:t xml:space="preserve"> Pending SRU page</w:t>
        </w:r>
      </w:hyperlink>
      <w:r>
        <w:t>. This displays the packages with prepared updates, and links to the bugs they are intended to fix.</w:t>
      </w:r>
    </w:p>
    <w:p>
      <w:pPr>
        <w:pStyle w:val="Para 17"/>
      </w:pPr>
      <w:r>
        <w:t/>
      </w:r>
    </w:p>
    <w:p>
      <w:pPr>
        <w:pStyle w:val="Para 01"/>
      </w:pPr>
      <w:r>
        <w:t>Testing a single proposed update</w:t>
      </w:r>
    </w:p>
    <w:p>
      <w:pPr>
        <w:pStyle w:val="Para 17"/>
      </w:pPr>
      <w:r>
        <w:t/>
      </w:r>
    </w:p>
    <w:p>
      <w:pPr>
        <w:pStyle w:val="Normal"/>
      </w:pPr>
      <w:r>
        <w:t>Calls for testing are made on individual bugs that are being fixed by a proposed update. You can enable proposed testing as follows.</w:t>
      </w:r>
    </w:p>
    <w:p>
      <w:pPr>
        <w:pStyle w:val="Normal"/>
      </w:pPr>
      <w:r>
        <w:t>On Ubuntu 24.04 and later, run sudo add-apt-repository -yp proposed. This makes proposed updates visible to APT, but will not install them by default.</w:t>
      </w:r>
    </w:p>
    <w:p>
      <w:pPr>
        <w:pStyle w:val="Normal"/>
      </w:pPr>
      <w:r>
        <w:t>On releases prior to Ubuntu 23.04, in addition to sudo add-apt-repository -yp proposed it is also necessary to apply a “pin” to APT so that it does not attempt to automatically upgrade</w:t>
      </w:r>
    </w:p>
    <w:p>
      <w:pPr>
        <w:pStyle w:val="Normal"/>
      </w:pPr>
      <w:r>
        <w:t xml:space="preserve">all packages to -proposed. See the </w:t>
      </w:r>
      <w:hyperlink w:anchor="page_855">
        <w:r>
          <w:rPr>
            <w:rStyle w:val="Text9"/>
          </w:rPr>
          <w:t>904</w:t>
        </w:r>
      </w:hyperlink>
      <w:r>
        <w:t xml:space="preserve"> </w:t>
      </w:r>
      <w:hyperlink r:id="rId1744">
        <w:r>
          <w:rPr>
            <w:rStyle w:val="Text1"/>
          </w:rPr>
          <w:t>Enable proposed wiki page</w:t>
        </w:r>
      </w:hyperlink>
      <w:r>
        <w:t xml:space="preserve"> for instructions.</w:t>
      </w:r>
    </w:p>
    <w:p>
      <w:pPr>
        <w:pStyle w:val="Normal"/>
      </w:pPr>
      <w:r>
        <w:t>Once enabled, you can upgrade just the package foo and its necessary dependencies to a proposed update using, for example, sudo apt-get install -t noble-proposed foo for 24.04 “Noble Numbat”.</w:t>
      </w:r>
    </w:p>
    <w:p>
      <w:pPr>
        <w:pStyle w:val="Normal"/>
      </w:pPr>
      <w:r>
        <w:t>After the appropriate packages are upgraded to their proposed versions, you can test your deployment as normal.</w:t>
      </w:r>
    </w:p>
    <w:p>
      <w:pPr>
        <w:pStyle w:val="Para 17"/>
      </w:pPr>
      <w:r>
        <w:t/>
      </w:r>
    </w:p>
    <w:p>
      <w:pPr>
        <w:pStyle w:val="Para 01"/>
      </w:pPr>
      <w:r>
        <w:t>Test all proposed updates together</w:t>
      </w:r>
    </w:p>
    <w:p>
      <w:pPr>
        <w:pStyle w:val="Para 17"/>
      </w:pPr>
      <w:r>
        <w:t/>
      </w:r>
    </w:p>
    <w:p>
      <w:pPr>
        <w:pStyle w:val="Normal"/>
      </w:pPr>
      <w:r>
        <w:rPr>
          <w:rStyle w:val="Text0"/>
        </w:rPr>
        <w:t>Warning:</w:t>
      </w:r>
      <w:r>
        <w:t xml:space="preserve"> in the general case, upgrading to “everything” in proposed is not considered safe. Dependencies may not be fully resolvable while an update is still being prepared, and this may lead to APT mistakenly removing packages to make everything resolved. For this reason, this method is not generally recommended.</w:t>
      </w:r>
    </w:p>
    <w:p>
      <w:pPr>
        <w:pStyle w:val="Normal"/>
      </w:pPr>
      <w:r>
        <w:t>Further, some packages in proposed may already have been reported to cause a regression and been left there pending a fix, in which case your time would be wasted on duplicate regression reports.</w:t>
      </w:r>
    </w:p>
    <w:p>
      <w:pPr>
        <w:pStyle w:val="Normal"/>
      </w:pPr>
      <w:r>
        <w:t>However, in the specific case of best practice automated testing of server deployments, we can assume that the testing is taking place in a sandboxed environment, so this caveat does not cause any damage. You may see intermittent CI failures, however, so we suggest only</w:t>
      </w:r>
    </w:p>
    <w:p>
      <w:pPr>
        <w:pStyle w:val="Para 05"/>
      </w:pPr>
      <w:r>
        <w:rPr>
          <w:rStyle w:val="Text5"/>
        </w:rPr>
        <w:t>903</w:t>
      </w:r>
      <w:r>
        <w:rPr>
          <w:rStyle w:val="Text8"/>
        </w:rPr>
        <w:t xml:space="preserve"> </w:t>
      </w:r>
      <w:r>
        <w:t>https://ubuntu-archive-team.ubuntu.com/pending-sru.html</w:t>
      </w:r>
    </w:p>
    <w:p>
      <w:pPr>
        <w:pStyle w:val="Para 03"/>
      </w:pPr>
      <w:r>
        <w:rPr>
          <w:rStyle w:val="Text5"/>
        </w:rPr>
        <w:t>904</w:t>
      </w:r>
      <w:r>
        <w:t xml:space="preserve"> </w:t>
      </w:r>
      <w:r>
        <w:rPr>
          <w:rStyle w:val="Text6"/>
        </w:rPr>
        <w:t>https://wiki.ubuntu.com/Testing/EnableProposed</w:t>
      </w:r>
      <w:r>
        <w:t xml:space="preserve"> taking heed of a failure if it persists for more than a day or so. This still leaves plenty of time to alert us to a problem!</w:t>
      </w:r>
    </w:p>
    <w:p>
      <w:bookmarkStart w:id="1344" w:name="page_8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4" name="index-856_1.png" descr="index-856_1.png"/>
            <wp:cNvGraphicFramePr>
              <a:graphicFrameLocks noChangeAspect="1"/>
            </wp:cNvGraphicFramePr>
            <a:graphic>
              <a:graphicData uri="http://schemas.openxmlformats.org/drawingml/2006/picture">
                <pic:pic>
                  <pic:nvPicPr>
                    <pic:cNvPr id="0" name="index-856_1.png" descr="index-856_1.png"/>
                    <pic:cNvPicPr/>
                  </pic:nvPicPr>
                  <pic:blipFill>
                    <a:blip r:embed="rId898"/>
                    <a:stretch>
                      <a:fillRect/>
                    </a:stretch>
                  </pic:blipFill>
                  <pic:spPr>
                    <a:xfrm>
                      <a:off x="0" y="0"/>
                      <a:ext cx="914400" cy="266700"/>
                    </a:xfrm>
                    <a:prstGeom prst="rect">
                      <a:avLst/>
                    </a:prstGeom>
                  </pic:spPr>
                </pic:pic>
              </a:graphicData>
            </a:graphic>
          </wp:anchor>
        </w:drawing>
      </w:r>
      <w:bookmarkEnd w:id="1344"/>
    </w:p>
    <w:p>
      <w:pPr>
        <w:pStyle w:val="Normal"/>
      </w:pPr>
      <w:r>
        <w:t>To upgrade to all of proposed, enable proposed as described above, then run (for example) apt-get upgrade -t noble-proposed for 24.04 “Noble Numbat”.</w:t>
      </w:r>
    </w:p>
    <w:p>
      <w:pPr>
        <w:pStyle w:val="Normal"/>
      </w:pPr>
      <w:r>
        <w:t>After the appropriate packages are upgraded to their proposed versions, you can test your deployment as normal.</w:t>
      </w:r>
    </w:p>
    <w:p>
      <w:pPr>
        <w:pStyle w:val="Normal"/>
      </w:pPr>
      <w:r>
        <w:t>After testing, the test environment should be considered “spent” and not be used again. Instead, re-create and re-upgrade to proposed for any subsequent test run. This prevents proposed updates that were not ultimately released from accidentally being included, and minimizes occurrences of the “inconsistent pocket” problem as described above.</w:t>
      </w:r>
    </w:p>
    <w:p>
      <w:pPr>
        <w:pStyle w:val="Para 17"/>
      </w:pPr>
      <w:r>
        <w:t/>
      </w:r>
    </w:p>
    <w:p>
      <w:pPr>
        <w:pStyle w:val="Para 01"/>
      </w:pPr>
      <w:r>
        <w:t>How to report a regression</w:t>
      </w:r>
    </w:p>
    <w:p>
      <w:pPr>
        <w:pStyle w:val="Para 17"/>
      </w:pPr>
      <w:r>
        <w:t/>
      </w:r>
    </w:p>
    <w:p>
      <w:pPr>
        <w:pStyle w:val="Para 04"/>
      </w:pPr>
      <w:r>
        <w:t>• File a bug against the package if a suitable bug report doesn’t already exist.</w:t>
      </w:r>
    </w:p>
    <w:p>
      <w:pPr>
        <w:pStyle w:val="Para 04"/>
      </w:pPr>
      <w:r>
        <w:t>• In your report, please specify the version that worked and the version that does not.</w:t>
      </w:r>
    </w:p>
    <w:p>
      <w:pPr>
        <w:pStyle w:val="Para 02"/>
      </w:pPr>
      <w:r>
        <w:t>The output of apt policy some-package is helpful to identify this.</w:t>
      </w:r>
    </w:p>
    <w:p>
      <w:pPr>
        <w:pStyle w:val="Para 04"/>
      </w:pPr>
      <w:r>
        <w:t>• If the regression is in an update that was already released, please tag the bug</w:t>
      </w:r>
    </w:p>
    <w:p>
      <w:pPr>
        <w:pStyle w:val="Para 02"/>
      </w:pPr>
      <w:r>
        <w:t>regression-update.</w:t>
      </w:r>
    </w:p>
    <w:p>
      <w:pPr>
        <w:pStyle w:val="Para 04"/>
      </w:pPr>
      <w:r>
        <w:t>• If the regression is caused by an update that was proposed to be released, but not yet</w:t>
      </w:r>
    </w:p>
    <w:p>
      <w:pPr>
        <w:pStyle w:val="Para 02"/>
      </w:pPr>
      <w:r>
        <w:t>released, please tag the bug regression-proposed. Please also identify one of the bugs</w:t>
      </w:r>
    </w:p>
    <w:p>
      <w:pPr>
        <w:pStyle w:val="Para 02"/>
      </w:pPr>
      <w:r>
        <w:t xml:space="preserve">being fixed by the update from the </w:t>
      </w:r>
      <w:hyperlink w:anchor="page_856">
        <w:r>
          <w:rPr>
            <w:rStyle w:val="Text9"/>
          </w:rPr>
          <w:t>905</w:t>
        </w:r>
      </w:hyperlink>
      <w:r>
        <w:t xml:space="preserve"> </w:t>
      </w:r>
      <w:hyperlink r:id="rId1743">
        <w:r>
          <w:rPr>
            <w:rStyle w:val="Text1"/>
          </w:rPr>
          <w:t>pending SRU report</w:t>
        </w:r>
      </w:hyperlink>
      <w:r>
        <w:t xml:space="preserve"> and note the regression there.</w:t>
      </w:r>
    </w:p>
    <w:p>
      <w:pPr>
        <w:pStyle w:val="Para 18"/>
      </w:pPr>
      <w:hyperlink r:id="rId1289">
        <w:r>
          <w:t>General information on reporting bugs</w:t>
        </w:r>
      </w:hyperlink>
      <w:hyperlink r:id="rId1289">
        <w:r>
          <w:rPr>
            <w:rStyle w:val="Text10"/>
          </w:rPr>
          <w:t>906</w:t>
        </w:r>
      </w:hyperlink>
      <w:r>
        <w:rPr>
          <w:rStyle w:val="Text7"/>
        </w:rPr>
        <w:t xml:space="preserve"> is also available.</w:t>
      </w:r>
    </w:p>
    <w:p>
      <w:pPr>
        <w:pStyle w:val="Para 17"/>
      </w:pPr>
      <w:r>
        <w:t/>
      </w:r>
    </w:p>
    <w:p>
      <w:pPr>
        <w:pStyle w:val="Para 01"/>
      </w:pPr>
      <w:r>
        <w:t>See also</w:t>
      </w:r>
    </w:p>
    <w:p>
      <w:pPr>
        <w:pStyle w:val="Para 17"/>
      </w:pPr>
      <w:r>
        <w:t/>
      </w:r>
    </w:p>
    <w:p>
      <w:pPr>
        <w:pStyle w:val="Para 04"/>
      </w:pPr>
      <w:r>
        <w:t xml:space="preserve">• How-to: </w:t>
      </w:r>
      <w:hyperlink w:anchor="page_341">
        <w:r>
          <w:rPr>
            <w:rStyle w:val="Text2"/>
          </w:rPr>
          <w:t>Managing software</w:t>
        </w:r>
      </w:hyperlink>
      <w:r>
        <w:t xml:space="preserve"> (page 340)</w:t>
      </w:r>
    </w:p>
    <w:p>
      <w:pPr>
        <w:pStyle w:val="Para 24"/>
      </w:pPr>
      <w:r>
        <w:t>3.4.4. Storage</w:t>
      </w:r>
    </w:p>
    <w:p>
      <w:pPr>
        <w:pStyle w:val="Normal"/>
      </w:pPr>
      <w:hyperlink w:anchor="page_857">
        <w:r>
          <w:rPr>
            <w:rStyle w:val="Text2"/>
          </w:rPr>
          <w:t>In data and storage</w:t>
        </w:r>
      </w:hyperlink>
      <w:r>
        <w:t xml:space="preserve"> (page 856) we discuss:</w:t>
      </w:r>
    </w:p>
    <w:p>
      <w:pPr>
        <w:pStyle w:val="Para 28"/>
      </w:pPr>
      <w:r>
        <w:rPr>
          <w:rStyle w:val="Text0"/>
        </w:rPr>
        <w:t xml:space="preserve">• </w:t>
      </w:r>
      <w:r>
        <w:t>Managing data</w:t>
      </w:r>
    </w:p>
    <w:p>
      <w:pPr>
        <w:pStyle w:val="Para 28"/>
      </w:pPr>
      <w:r>
        <w:rPr>
          <w:rStyle w:val="Text0"/>
        </w:rPr>
        <w:t xml:space="preserve">• </w:t>
      </w:r>
      <w:r>
        <w:t>Storage and backups</w:t>
      </w:r>
    </w:p>
    <w:p>
      <w:pPr>
        <w:pStyle w:val="Para 05"/>
      </w:pPr>
      <w:r>
        <w:rPr>
          <w:rStyle w:val="Text5"/>
        </w:rPr>
        <w:t>905</w:t>
      </w:r>
      <w:r>
        <w:rPr>
          <w:rStyle w:val="Text8"/>
        </w:rPr>
        <w:t xml:space="preserve"> </w:t>
      </w:r>
      <w:r>
        <w:t>https://ubuntu-archive-team.ubuntu.com/pending-sru.html</w:t>
      </w:r>
    </w:p>
    <w:p>
      <w:pPr>
        <w:pStyle w:val="Para 05"/>
      </w:pPr>
      <w:r>
        <w:rPr>
          <w:rStyle w:val="Text5"/>
        </w:rPr>
        <w:t>906</w:t>
      </w:r>
      <w:r>
        <w:rPr>
          <w:rStyle w:val="Text8"/>
        </w:rPr>
        <w:t xml:space="preserve"> </w:t>
      </w:r>
      <w:r>
        <w:t>https://help.ubuntu.com/community/ReportingBugs</w:t>
      </w:r>
    </w:p>
    <w:p>
      <w:bookmarkStart w:id="1345" w:name="calibre_pb_244"/>
      <w:pPr>
        <w:pStyle w:val="0 Block"/>
      </w:pPr>
      <w:bookmarkEnd w:id="1345"/>
    </w:p>
    <w:p>
      <w:bookmarkStart w:id="1346" w:name="Top_of_index_split_245_html"/>
      <w:bookmarkStart w:id="1347" w:name="page_85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5" name="index-857_1.png" descr="index-857_1.png"/>
            <wp:cNvGraphicFramePr>
              <a:graphicFrameLocks noChangeAspect="1"/>
            </wp:cNvGraphicFramePr>
            <a:graphic>
              <a:graphicData uri="http://schemas.openxmlformats.org/drawingml/2006/picture">
                <pic:pic>
                  <pic:nvPicPr>
                    <pic:cNvPr id="0" name="index-857_1.png" descr="index-857_1.png"/>
                    <pic:cNvPicPr/>
                  </pic:nvPicPr>
                  <pic:blipFill>
                    <a:blip r:embed="rId899"/>
                    <a:stretch>
                      <a:fillRect/>
                    </a:stretch>
                  </pic:blipFill>
                  <pic:spPr>
                    <a:xfrm>
                      <a:off x="0" y="0"/>
                      <a:ext cx="914400" cy="266700"/>
                    </a:xfrm>
                    <a:prstGeom prst="rect">
                      <a:avLst/>
                    </a:prstGeom>
                  </pic:spPr>
                </pic:pic>
              </a:graphicData>
            </a:graphic>
          </wp:anchor>
        </w:drawing>
      </w:r>
      <w:bookmarkEnd w:id="1346"/>
      <w:bookmarkEnd w:id="1347"/>
    </w:p>
    <w:p>
      <w:pPr>
        <w:pStyle w:val="Para 01"/>
      </w:pPr>
      <w:r>
        <w:t>Data and storage</w:t>
      </w:r>
    </w:p>
    <w:p>
      <w:pPr>
        <w:pStyle w:val="Para 17"/>
      </w:pPr>
      <w:r>
        <w:t/>
      </w:r>
    </w:p>
    <w:p>
      <w:pPr>
        <w:pStyle w:val="Normal"/>
      </w:pPr>
      <w:r>
        <w:t>The following sections provide details on various topics related to storing, managing and accessing data.</w:t>
      </w:r>
    </w:p>
    <w:p>
      <w:pPr>
        <w:pStyle w:val="Para 17"/>
      </w:pPr>
      <w:r>
        <w:t/>
      </w:r>
    </w:p>
    <w:p>
      <w:pPr>
        <w:pStyle w:val="Para 01"/>
      </w:pPr>
      <w:r>
        <w:t>Data management</w:t>
      </w:r>
    </w:p>
    <w:p>
      <w:pPr>
        <w:pStyle w:val="Para 17"/>
      </w:pPr>
      <w:r>
        <w:t/>
      </w:r>
    </w:p>
    <w:p>
      <w:pPr>
        <w:pStyle w:val="Normal"/>
      </w:pPr>
      <w:r>
        <w:t>OpenLDAP is a popular implementation of the Lightweight Directory Access Protocol (LDAP), used for managing hierarchical data. It offers a way to store, organize and manage an orga-nization’s data such as employee accounts and computers. It facilitates centralised authen-tication and authorisation management.</w:t>
      </w:r>
    </w:p>
    <w:p>
      <w:pPr>
        <w:pStyle w:val="Para 17"/>
      </w:pPr>
      <w:r>
        <w:t/>
      </w:r>
    </w:p>
    <w:p>
      <w:pPr>
        <w:pStyle w:val="Para 01"/>
      </w:pPr>
      <w:r>
        <w:t>Introduction to OpenLDAP</w:t>
      </w:r>
    </w:p>
    <w:p>
      <w:pPr>
        <w:pStyle w:val="Para 17"/>
      </w:pPr>
      <w:r>
        <w:t/>
      </w:r>
    </w:p>
    <w:p>
      <w:pPr>
        <w:pStyle w:val="Normal"/>
      </w:pPr>
      <w:hyperlink r:id="rId1291">
        <w:r>
          <w:rPr>
            <w:rStyle w:val="Text1"/>
          </w:rPr>
          <w:t>Lightweight Directory Access Protocol</w:t>
        </w:r>
      </w:hyperlink>
      <w:hyperlink w:anchor="page_857">
        <w:r>
          <w:rPr>
            <w:rStyle w:val="Text9"/>
          </w:rPr>
          <w:t>907</w:t>
        </w:r>
      </w:hyperlink>
      <w:r>
        <w:t xml:space="preserve"> (LDAP) is a protocol used for managing hierarchical data. OpenLDAP is the open-source implementation of LDAP used in Ubuntu.</w:t>
      </w:r>
    </w:p>
    <w:p>
      <w:pPr>
        <w:pStyle w:val="Normal"/>
      </w:pPr>
      <w:r>
        <w:t>It offers an LDAP server that provides directory services, a client for managing them, and client libraries used by hundreds of applications. OpenLDAP contains some terminology and concepts that new users may want to familiarise themselves with before attempting to set it up. Thanks to its high configurability and flexibility, OpenLDAP can be tailored to suit various needs and is a pertinent choice for those with specific requirements.</w:t>
      </w:r>
    </w:p>
    <w:p>
      <w:pPr>
        <w:pStyle w:val="Normal"/>
      </w:pPr>
      <w:r>
        <w:t>LDAP is a protocol for querying and modifying an X.500-based directory service running over</w:t>
      </w:r>
    </w:p>
    <w:p>
      <w:pPr>
        <w:pStyle w:val="Normal"/>
      </w:pPr>
      <w:r>
        <w:t xml:space="preserve">TCP/IP. The current LDAP version is LDAPv3, as defined in </w:t>
      </w:r>
      <w:hyperlink w:anchor="page_857">
        <w:r>
          <w:rPr>
            <w:rStyle w:val="Text9"/>
          </w:rPr>
          <w:t>908</w:t>
        </w:r>
      </w:hyperlink>
      <w:r>
        <w:t xml:space="preserve"> </w:t>
      </w:r>
      <w:hyperlink r:id="rId1745">
        <w:r>
          <w:rPr>
            <w:rStyle w:val="Text1"/>
          </w:rPr>
          <w:t>RFC 4510</w:t>
        </w:r>
      </w:hyperlink>
      <w:r>
        <w:t>.</w:t>
      </w:r>
    </w:p>
    <w:p>
      <w:pPr>
        <w:pStyle w:val="Normal"/>
      </w:pPr>
      <w:r>
        <w:t xml:space="preserve">The LDAP protocol </w:t>
      </w:r>
      <w:r>
        <w:rPr>
          <w:rStyle w:val="Text3"/>
        </w:rPr>
        <w:t>accesses</w:t>
      </w:r>
      <w:r>
        <w:t xml:space="preserve"> directories. It’s common to refer to a directory as an </w:t>
      </w:r>
      <w:r>
        <w:rPr>
          <w:rStyle w:val="Text3"/>
        </w:rPr>
        <w:t>LDAP direc-tory</w:t>
      </w:r>
      <w:r>
        <w:t xml:space="preserve"> or </w:t>
      </w:r>
      <w:r>
        <w:rPr>
          <w:rStyle w:val="Text3"/>
        </w:rPr>
        <w:t>LDAP database</w:t>
      </w:r>
      <w:r>
        <w:t xml:space="preserve"> as a shorthand – although technically incorrect, this shorthand is so widely used that it’s understood as such.</w:t>
      </w:r>
    </w:p>
    <w:p>
      <w:pPr>
        <w:pStyle w:val="Para 17"/>
      </w:pPr>
      <w:r>
        <w:t/>
      </w:r>
    </w:p>
    <w:p>
      <w:pPr>
        <w:pStyle w:val="Para 01"/>
      </w:pPr>
      <w:r>
        <w:t>Key concepts and terms</w:t>
      </w:r>
    </w:p>
    <w:p>
      <w:pPr>
        <w:pStyle w:val="Para 17"/>
      </w:pPr>
      <w:r>
        <w:t/>
      </w:r>
    </w:p>
    <w:p>
      <w:pPr>
        <w:pStyle w:val="Para 04"/>
      </w:pPr>
      <w:r>
        <w:t xml:space="preserve">• A </w:t>
      </w:r>
      <w:r>
        <w:rPr>
          <w:rStyle w:val="Text0"/>
        </w:rPr>
        <w:t>directory</w:t>
      </w:r>
      <w:r>
        <w:t xml:space="preserve"> is a tree of data </w:t>
      </w:r>
      <w:r>
        <w:rPr>
          <w:rStyle w:val="Text0"/>
        </w:rPr>
        <w:t>entries</w:t>
      </w:r>
      <w:r>
        <w:t xml:space="preserve"> that is hierarchical in nature; it is called the Direc-</w:t>
      </w:r>
    </w:p>
    <w:p>
      <w:pPr>
        <w:pStyle w:val="Para 02"/>
      </w:pPr>
      <w:r>
        <w:t xml:space="preserve">tory Information Tree </w:t>
      </w:r>
      <w:hyperlink w:anchor="page_678">
        <w:r>
          <w:rPr>
            <w:rStyle w:val="Text1"/>
          </w:rPr>
          <w:t>(</w:t>
        </w:r>
      </w:hyperlink>
      <w:hyperlink w:anchor="page_678">
        <w:r>
          <w:rPr>
            <w:rStyle w:val="Text2"/>
          </w:rPr>
          <w:t>DIT</w:t>
        </w:r>
      </w:hyperlink>
      <w:r>
        <w:t xml:space="preserve"> ).</w:t>
      </w:r>
    </w:p>
    <w:p>
      <w:pPr>
        <w:pStyle w:val="Para 04"/>
      </w:pPr>
      <w:r>
        <w:t xml:space="preserve">• An </w:t>
      </w:r>
      <w:r>
        <w:rPr>
          <w:rStyle w:val="Text0"/>
        </w:rPr>
        <w:t>entry</w:t>
      </w:r>
      <w:r>
        <w:t xml:space="preserve"> consists of a set of </w:t>
      </w:r>
      <w:r>
        <w:rPr>
          <w:rStyle w:val="Text0"/>
        </w:rPr>
        <w:t>attributes</w:t>
      </w:r>
      <w:r>
        <w:t>.</w:t>
      </w:r>
    </w:p>
    <w:p>
      <w:pPr>
        <w:pStyle w:val="Para 04"/>
      </w:pPr>
      <w:r>
        <w:t xml:space="preserve">• An </w:t>
      </w:r>
      <w:r>
        <w:rPr>
          <w:rStyle w:val="Text0"/>
        </w:rPr>
        <w:t>attribute</w:t>
      </w:r>
      <w:r>
        <w:t xml:space="preserve"> has a </w:t>
      </w:r>
      <w:r>
        <w:rPr>
          <w:rStyle w:val="Text0"/>
        </w:rPr>
        <w:t>key</w:t>
      </w:r>
      <w:r>
        <w:t xml:space="preserve"> (a name or description) and one or more </w:t>
      </w:r>
      <w:r>
        <w:rPr>
          <w:rStyle w:val="Text0"/>
        </w:rPr>
        <w:t>values</w:t>
      </w:r>
      <w:r>
        <w:t>. Every attribute</w:t>
      </w:r>
    </w:p>
    <w:p>
      <w:pPr>
        <w:pStyle w:val="Para 02"/>
      </w:pPr>
      <w:r>
        <w:t xml:space="preserve">must be defined in at least one </w:t>
      </w:r>
      <w:r>
        <w:rPr>
          <w:rStyle w:val="Text0"/>
        </w:rPr>
        <w:t>objectClass</w:t>
      </w:r>
      <w:r>
        <w:t>.</w:t>
      </w:r>
    </w:p>
    <w:p>
      <w:pPr>
        <w:pStyle w:val="Para 04"/>
      </w:pPr>
      <w:r>
        <w:t xml:space="preserve">• Attributes and objectClasses are defined in </w:t>
      </w:r>
      <w:r>
        <w:rPr>
          <w:rStyle w:val="Text0"/>
        </w:rPr>
        <w:t>schemas</w:t>
      </w:r>
      <w:r>
        <w:t xml:space="preserve"> (an objectClass is considered a</w:t>
      </w:r>
    </w:p>
    <w:p>
      <w:pPr>
        <w:pStyle w:val="Para 02"/>
      </w:pPr>
      <w:r>
        <w:t>special kind of attribute).</w:t>
      </w:r>
    </w:p>
    <w:p>
      <w:pPr>
        <w:pStyle w:val="Para 04"/>
      </w:pPr>
      <w:r>
        <w:t xml:space="preserve">• Each entry has a unique identifier: its </w:t>
      </w:r>
      <w:r>
        <w:rPr>
          <w:rStyle w:val="Text0"/>
        </w:rPr>
        <w:t>Distinguished Name</w:t>
      </w:r>
      <w:r>
        <w:t xml:space="preserve"> (</w:t>
      </w:r>
      <w:hyperlink w:anchor="page_679">
        <w:r>
          <w:rPr>
            <w:rStyle w:val="Text2"/>
          </w:rPr>
          <w:t>DN</w:t>
        </w:r>
      </w:hyperlink>
      <w:r>
        <w:t>). This, in turn, consists</w:t>
      </w:r>
    </w:p>
    <w:p>
      <w:pPr>
        <w:pStyle w:val="Para 02"/>
      </w:pPr>
      <w:r>
        <w:t xml:space="preserve">of a </w:t>
      </w:r>
      <w:r>
        <w:rPr>
          <w:rStyle w:val="Text0"/>
        </w:rPr>
        <w:t>Relative Distinguished Name</w:t>
      </w:r>
      <w:r>
        <w:t xml:space="preserve"> (RDN) followed by the parent entry’s DN.</w:t>
      </w:r>
    </w:p>
    <w:p>
      <w:pPr>
        <w:pStyle w:val="Para 04"/>
      </w:pPr>
      <w:r>
        <w:t>• The entry’s DN is not an attribute. It is not considered part of the entry itself.</w:t>
      </w:r>
    </w:p>
    <w:p>
      <w:pPr>
        <w:pStyle w:val="Para 05"/>
      </w:pPr>
      <w:r>
        <w:rPr>
          <w:rStyle w:val="Text5"/>
        </w:rPr>
        <w:t>907</w:t>
      </w:r>
      <w:r>
        <w:rPr>
          <w:rStyle w:val="Text8"/>
        </w:rPr>
        <w:t xml:space="preserve"> </w:t>
      </w:r>
      <w:r>
        <w:t>https://ldap.com/</w:t>
      </w:r>
    </w:p>
    <w:p>
      <w:pPr>
        <w:pStyle w:val="Para 05"/>
      </w:pPr>
      <w:r>
        <w:rPr>
          <w:rStyle w:val="Text5"/>
        </w:rPr>
        <w:t>908</w:t>
      </w:r>
      <w:r>
        <w:rPr>
          <w:rStyle w:val="Text8"/>
        </w:rPr>
        <w:t xml:space="preserve"> </w:t>
      </w:r>
      <w:r>
        <w:t>https://datatracker.ietf.org/doc/html/rfc4510</w:t>
      </w:r>
    </w:p>
    <w:p>
      <w:bookmarkStart w:id="1348" w:name="page_8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6" name="index-858_1.png" descr="index-858_1.png"/>
            <wp:cNvGraphicFramePr>
              <a:graphicFrameLocks noChangeAspect="1"/>
            </wp:cNvGraphicFramePr>
            <a:graphic>
              <a:graphicData uri="http://schemas.openxmlformats.org/drawingml/2006/picture">
                <pic:pic>
                  <pic:nvPicPr>
                    <pic:cNvPr id="0" name="index-858_1.png" descr="index-858_1.png"/>
                    <pic:cNvPicPr/>
                  </pic:nvPicPr>
                  <pic:blipFill>
                    <a:blip r:embed="rId900"/>
                    <a:stretch>
                      <a:fillRect/>
                    </a:stretch>
                  </pic:blipFill>
                  <pic:spPr>
                    <a:xfrm>
                      <a:off x="0" y="0"/>
                      <a:ext cx="914400" cy="266700"/>
                    </a:xfrm>
                    <a:prstGeom prst="rect">
                      <a:avLst/>
                    </a:prstGeom>
                  </pic:spPr>
                </pic:pic>
              </a:graphicData>
            </a:graphic>
          </wp:anchor>
        </w:drawing>
      </w:r>
      <w:bookmarkEnd w:id="1348"/>
    </w:p>
    <w:p>
      <w:pPr>
        <w:pStyle w:val="Para 08"/>
      </w:pPr>
      <w:r>
        <w:t>Note:</w:t>
      </w:r>
    </w:p>
    <w:p>
      <w:pPr>
        <w:pStyle w:val="Para 03"/>
      </w:pPr>
      <w:r>
        <w:t xml:space="preserve">The terms </w:t>
      </w:r>
      <w:r>
        <w:rPr>
          <w:rStyle w:val="Text0"/>
        </w:rPr>
        <w:t>object</w:t>
      </w:r>
      <w:r>
        <w:t xml:space="preserve">, </w:t>
      </w:r>
      <w:r>
        <w:rPr>
          <w:rStyle w:val="Text0"/>
        </w:rPr>
        <w:t>container</w:t>
      </w:r>
      <w:r>
        <w:t xml:space="preserve">, and </w:t>
      </w:r>
      <w:r>
        <w:rPr>
          <w:rStyle w:val="Text0"/>
        </w:rPr>
        <w:t>node</w:t>
      </w:r>
      <w:r>
        <w:t xml:space="preserve"> have certain connotations but they all essentially</w:t>
      </w:r>
    </w:p>
    <w:p>
      <w:pPr>
        <w:pStyle w:val="Para 03"/>
      </w:pPr>
      <w:r>
        <w:t xml:space="preserve">mean the same thing as </w:t>
      </w:r>
      <w:r>
        <w:rPr>
          <w:rStyle w:val="Text0"/>
        </w:rPr>
        <w:t>entry</w:t>
      </w:r>
      <w:r>
        <w:t xml:space="preserve"> (the technically correct term).</w:t>
      </w:r>
    </w:p>
    <w:p>
      <w:pPr>
        <w:pStyle w:val="Para 17"/>
      </w:pPr>
      <w:r>
        <w:t/>
      </w:r>
    </w:p>
    <w:p>
      <w:pPr>
        <w:pStyle w:val="Normal"/>
      </w:pPr>
      <w:r>
        <w:t>For example, below we have a single entry consisting of 11 attributes where the following is true:</w:t>
      </w:r>
    </w:p>
    <w:p>
      <w:pPr>
        <w:pStyle w:val="Para 04"/>
      </w:pPr>
      <w:r>
        <w:t>• DN is cn=John Doe,dc=example,dc=com</w:t>
      </w:r>
    </w:p>
    <w:p>
      <w:pPr>
        <w:pStyle w:val="Para 04"/>
      </w:pPr>
      <w:r>
        <w:t>• RDN is cn=John Doe</w:t>
      </w:r>
    </w:p>
    <w:p>
      <w:pPr>
        <w:pStyle w:val="Para 04"/>
      </w:pPr>
      <w:r>
        <w:t>• Parent DN is dc=example,dc=com</w:t>
      </w:r>
    </w:p>
    <w:p>
      <w:pPr>
        <w:pStyle w:val="Normal"/>
      </w:pPr>
      <w:r>
        <w:t>dn: cn=John Doe,dc=example,dc=com</w:t>
      </w:r>
    </w:p>
    <w:p>
      <w:pPr>
        <w:pStyle w:val="Normal"/>
      </w:pPr>
      <w:r>
        <w:t>cn: John Doe</w:t>
      </w:r>
    </w:p>
    <w:p>
      <w:pPr>
        <w:pStyle w:val="Normal"/>
      </w:pPr>
      <w:r>
        <w:t>givenName: John</w:t>
      </w:r>
    </w:p>
    <w:p>
      <w:pPr>
        <w:pStyle w:val="Normal"/>
      </w:pPr>
      <w:r>
        <w:t>sn: Doe</w:t>
      </w:r>
    </w:p>
    <w:p>
      <w:pPr>
        <w:pStyle w:val="Normal"/>
      </w:pPr>
      <w:r>
        <w:t>telephoneNumber: +1 888 555 6789</w:t>
      </w:r>
    </w:p>
    <w:p>
      <w:pPr>
        <w:pStyle w:val="Normal"/>
      </w:pPr>
      <w:r>
        <w:t>telephoneNumber: +1 888 555 1232</w:t>
      </w:r>
    </w:p>
    <w:p>
      <w:pPr>
        <w:pStyle w:val="Normal"/>
      </w:pPr>
      <w:r>
        <w:t>mail: john@example.com</w:t>
      </w:r>
    </w:p>
    <w:p>
      <w:pPr>
        <w:pStyle w:val="Normal"/>
      </w:pPr>
      <w:r>
        <w:t>manager: cn=Larry Smith,dc=example,dc=com</w:t>
      </w:r>
    </w:p>
    <w:p>
      <w:pPr>
        <w:pStyle w:val="Normal"/>
      </w:pPr>
      <w:r>
        <w:t>objectClass: inetOrgPerson</w:t>
      </w:r>
    </w:p>
    <w:p>
      <w:pPr>
        <w:pStyle w:val="Normal"/>
      </w:pPr>
      <w:r>
        <w:t>objectClass: organizationalPerson</w:t>
      </w:r>
    </w:p>
    <w:p>
      <w:pPr>
        <w:pStyle w:val="Normal"/>
      </w:pPr>
      <w:r>
        <w:t>objectClass: person</w:t>
      </w:r>
    </w:p>
    <w:p>
      <w:pPr>
        <w:pStyle w:val="Normal"/>
      </w:pPr>
      <w:r>
        <w:t>objectClass: top</w:t>
      </w:r>
    </w:p>
    <w:p>
      <w:pPr>
        <w:pStyle w:val="Para 17"/>
      </w:pPr>
      <w:r>
        <w:t/>
      </w:r>
    </w:p>
    <w:p>
      <w:pPr>
        <w:pStyle w:val="Normal"/>
      </w:pPr>
      <w:r>
        <w:t xml:space="preserve">The above entry is in </w:t>
      </w:r>
      <w:r>
        <w:rPr>
          <w:rStyle w:val="Text0"/>
        </w:rPr>
        <w:t>LDAP Data Interchange Format</w:t>
      </w:r>
      <w:r>
        <w:t xml:space="preserve"> format (LDIF). Any information that</w:t>
      </w:r>
    </w:p>
    <w:p>
      <w:pPr>
        <w:pStyle w:val="Normal"/>
      </w:pPr>
      <w:r>
        <w:t xml:space="preserve">you feed into your DIT must also be in such a format. It is defined in </w:t>
      </w:r>
      <w:hyperlink w:anchor="page_858">
        <w:r>
          <w:rPr>
            <w:rStyle w:val="Text9"/>
          </w:rPr>
          <w:t>909</w:t>
        </w:r>
      </w:hyperlink>
      <w:r>
        <w:t xml:space="preserve"> </w:t>
      </w:r>
      <w:hyperlink r:id="rId1746">
        <w:r>
          <w:rPr>
            <w:rStyle w:val="Text1"/>
          </w:rPr>
          <w:t>RFC 2849</w:t>
        </w:r>
      </w:hyperlink>
      <w:r>
        <w:t>.</w:t>
      </w:r>
    </w:p>
    <w:p>
      <w:pPr>
        <w:pStyle w:val="Normal"/>
      </w:pPr>
      <w:r>
        <w:t>A directory accessed via LDAP is good for anything that involves a large number of access requests to a mostly-read, attribute-based (name:value) backend, and that can benefit from a hierarchical structure. Examples include an address book, company directory, a list of email addresses, and a mail server’s configuration.</w:t>
      </w:r>
    </w:p>
    <w:p>
      <w:pPr>
        <w:pStyle w:val="Para 17"/>
      </w:pPr>
      <w:r>
        <w:t/>
      </w:r>
    </w:p>
    <w:p>
      <w:pPr>
        <w:pStyle w:val="Para 01"/>
      </w:pPr>
      <w:r>
        <w:t>Our OpenLDAP guide</w:t>
      </w:r>
    </w:p>
    <w:p>
      <w:pPr>
        <w:pStyle w:val="Para 17"/>
      </w:pPr>
      <w:r>
        <w:t/>
      </w:r>
    </w:p>
    <w:p>
      <w:pPr>
        <w:pStyle w:val="Normal"/>
      </w:pPr>
      <w:r>
        <w:t>For users who want to set up OpenLDAP, we recommend following our series of guides in this order:</w:t>
      </w:r>
    </w:p>
    <w:p>
      <w:pPr>
        <w:pStyle w:val="Para 14"/>
      </w:pPr>
      <w:r>
        <w:rPr>
          <w:rStyle w:val="Text4"/>
        </w:rPr>
        <w:t xml:space="preserve">• </w:t>
      </w:r>
      <w:hyperlink w:anchor="page_372">
        <w:r>
          <w:t>Install and configure LDAP</w:t>
        </w:r>
      </w:hyperlink>
      <w:r>
        <w:rPr>
          <w:rStyle w:val="Text4"/>
        </w:rPr>
        <w:t xml:space="preserve"> (page 371)</w:t>
      </w:r>
    </w:p>
    <w:p>
      <w:pPr>
        <w:pStyle w:val="Para 14"/>
      </w:pPr>
      <w:r>
        <w:rPr>
          <w:rStyle w:val="Text4"/>
        </w:rPr>
        <w:t xml:space="preserve">• </w:t>
      </w:r>
      <w:hyperlink w:anchor="page_383">
        <w:r>
          <w:t>LDAP Access Control</w:t>
        </w:r>
      </w:hyperlink>
      <w:r>
        <w:rPr>
          <w:rStyle w:val="Text4"/>
        </w:rPr>
        <w:t xml:space="preserve"> (page 382)</w:t>
      </w:r>
    </w:p>
    <w:p>
      <w:pPr>
        <w:pStyle w:val="Para 14"/>
      </w:pPr>
      <w:r>
        <w:rPr>
          <w:rStyle w:val="Text4"/>
        </w:rPr>
        <w:t xml:space="preserve">• </w:t>
      </w:r>
      <w:hyperlink w:anchor="page_393">
        <w:r>
          <w:t>LDAP users and groups</w:t>
        </w:r>
      </w:hyperlink>
      <w:r>
        <w:rPr>
          <w:rStyle w:val="Text4"/>
        </w:rPr>
        <w:t xml:space="preserve"> (page 392)</w:t>
      </w:r>
    </w:p>
    <w:p>
      <w:pPr>
        <w:pStyle w:val="Para 04"/>
      </w:pPr>
      <w:r>
        <w:t xml:space="preserve">• </w:t>
      </w:r>
      <w:hyperlink w:anchor="page_397">
        <w:r>
          <w:rPr>
            <w:rStyle w:val="Text2"/>
          </w:rPr>
          <w:t>SSL/TLS</w:t>
        </w:r>
      </w:hyperlink>
      <w:r>
        <w:t xml:space="preserve"> (page 396)</w:t>
      </w:r>
    </w:p>
    <w:p>
      <w:pPr>
        <w:pStyle w:val="Para 04"/>
      </w:pPr>
      <w:r>
        <w:t xml:space="preserve">• </w:t>
      </w:r>
      <w:hyperlink w:anchor="page_386">
        <w:r>
          <w:rPr>
            <w:rStyle w:val="Text2"/>
          </w:rPr>
          <w:t>Replication</w:t>
        </w:r>
      </w:hyperlink>
      <w:r>
        <w:t xml:space="preserve"> (page 385)</w:t>
      </w:r>
    </w:p>
    <w:p>
      <w:pPr>
        <w:pStyle w:val="Para 14"/>
      </w:pPr>
      <w:r>
        <w:rPr>
          <w:rStyle w:val="Text4"/>
        </w:rPr>
        <w:t xml:space="preserve">• </w:t>
      </w:r>
      <w:hyperlink w:anchor="page_401">
        <w:r>
          <w:t>Backup and restore</w:t>
        </w:r>
      </w:hyperlink>
      <w:r>
        <w:rPr>
          <w:rStyle w:val="Text4"/>
        </w:rPr>
        <w:t xml:space="preserve"> (page 400)</w:t>
      </w:r>
    </w:p>
    <w:p>
      <w:pPr>
        <w:pStyle w:val="Para 05"/>
      </w:pPr>
      <w:r>
        <w:rPr>
          <w:rStyle w:val="Text5"/>
        </w:rPr>
        <w:t>909</w:t>
      </w:r>
      <w:r>
        <w:rPr>
          <w:rStyle w:val="Text8"/>
        </w:rPr>
        <w:t xml:space="preserve"> </w:t>
      </w:r>
      <w:r>
        <w:t>https://datatracker.ietf.org/doc/html/rfc2849</w:t>
      </w:r>
    </w:p>
    <w:p>
      <w:bookmarkStart w:id="1349" w:name="page_8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7" name="index-859_1.png" descr="index-859_1.png"/>
            <wp:cNvGraphicFramePr>
              <a:graphicFrameLocks noChangeAspect="1"/>
            </wp:cNvGraphicFramePr>
            <a:graphic>
              <a:graphicData uri="http://schemas.openxmlformats.org/drawingml/2006/picture">
                <pic:pic>
                  <pic:nvPicPr>
                    <pic:cNvPr id="0" name="index-859_1.png" descr="index-859_1.png"/>
                    <pic:cNvPicPr/>
                  </pic:nvPicPr>
                  <pic:blipFill>
                    <a:blip r:embed="rId901"/>
                    <a:stretch>
                      <a:fillRect/>
                    </a:stretch>
                  </pic:blipFill>
                  <pic:spPr>
                    <a:xfrm>
                      <a:off x="0" y="0"/>
                      <a:ext cx="914400" cy="266700"/>
                    </a:xfrm>
                    <a:prstGeom prst="rect">
                      <a:avLst/>
                    </a:prstGeom>
                  </pic:spPr>
                </pic:pic>
              </a:graphicData>
            </a:graphic>
          </wp:anchor>
        </w:drawing>
      </w:r>
      <w:bookmarkEnd w:id="1349"/>
    </w:p>
    <w:p>
      <w:pPr>
        <w:pStyle w:val="Para 01"/>
      </w:pPr>
      <w:r>
        <w:t>References</w:t>
      </w:r>
    </w:p>
    <w:p>
      <w:pPr>
        <w:pStyle w:val="Para 17"/>
      </w:pPr>
      <w:r>
        <w:t/>
      </w:r>
    </w:p>
    <w:p>
      <w:pPr>
        <w:pStyle w:val="Para 13"/>
      </w:pPr>
      <w:r>
        <w:rPr>
          <w:rStyle w:val="Text7"/>
        </w:rPr>
        <w:t xml:space="preserve">• The </w:t>
      </w:r>
      <w:hyperlink r:id="rId1747">
        <w:r>
          <w:rPr>
            <w:rStyle w:val="Text10"/>
          </w:rPr>
          <w:t>910</w:t>
        </w:r>
      </w:hyperlink>
      <w:hyperlink r:id="rId1747">
        <w:r>
          <w:t xml:space="preserve"> OpenLDAP administrators guide</w:t>
        </w:r>
      </w:hyperlink>
    </w:p>
    <w:p>
      <w:pPr>
        <w:pStyle w:val="Para 13"/>
      </w:pPr>
      <w:r>
        <w:rPr>
          <w:rStyle w:val="Text7"/>
        </w:rPr>
        <w:t xml:space="preserve">• </w:t>
      </w:r>
      <w:hyperlink w:anchor="page_859">
        <w:r>
          <w:rPr>
            <w:rStyle w:val="Text10"/>
          </w:rPr>
          <w:t>911</w:t>
        </w:r>
      </w:hyperlink>
      <w:r>
        <w:rPr>
          <w:rStyle w:val="Text7"/>
        </w:rPr>
        <w:t xml:space="preserve"> </w:t>
      </w:r>
      <w:hyperlink r:id="rId1293">
        <w:r>
          <w:t>RFC 4515: LDAP string representation of search filters</w:t>
        </w:r>
      </w:hyperlink>
    </w:p>
    <w:p>
      <w:pPr>
        <w:pStyle w:val="Para 04"/>
      </w:pPr>
      <w:r>
        <w:t xml:space="preserve">• </w:t>
      </w:r>
      <w:hyperlink w:anchor="page_859">
        <w:r>
          <w:rPr>
            <w:rStyle w:val="Text9"/>
          </w:rPr>
          <w:t>912</w:t>
        </w:r>
      </w:hyperlink>
      <w:r>
        <w:t xml:space="preserve"> </w:t>
      </w:r>
      <w:hyperlink r:id="rId1748">
        <w:r>
          <w:rPr>
            <w:rStyle w:val="Text1"/>
          </w:rPr>
          <w:t>LDAP for Rocket Scientists</w:t>
        </w:r>
      </w:hyperlink>
      <w:r>
        <w:t>; a less pedantic but comprehensive treatment of LDAP</w:t>
      </w:r>
    </w:p>
    <w:p>
      <w:pPr>
        <w:pStyle w:val="Para 02"/>
      </w:pPr>
      <w:r>
        <w:t>Older references that might still be useful:</w:t>
      </w:r>
    </w:p>
    <w:p>
      <w:pPr>
        <w:pStyle w:val="Para 13"/>
      </w:pPr>
      <w:r>
        <w:rPr>
          <w:rStyle w:val="Text7"/>
        </w:rPr>
        <w:t xml:space="preserve">• </w:t>
      </w:r>
      <w:hyperlink w:anchor="page_859">
        <w:r>
          <w:rPr>
            <w:rStyle w:val="Text10"/>
          </w:rPr>
          <w:t>913</w:t>
        </w:r>
      </w:hyperlink>
      <w:r>
        <w:rPr>
          <w:rStyle w:val="Text7"/>
        </w:rPr>
        <w:t xml:space="preserve"> </w:t>
      </w:r>
      <w:hyperlink r:id="rId1749">
        <w:r>
          <w:t>LDAP System Administration</w:t>
        </w:r>
      </w:hyperlink>
      <w:r>
        <w:rPr>
          <w:rStyle w:val="Text7"/>
        </w:rPr>
        <w:t xml:space="preserve"> (textbook; 2003)</w:t>
      </w:r>
    </w:p>
    <w:p>
      <w:pPr>
        <w:pStyle w:val="Para 04"/>
      </w:pPr>
      <w:r>
        <w:t xml:space="preserve">• </w:t>
      </w:r>
      <w:hyperlink w:anchor="page_859">
        <w:r>
          <w:rPr>
            <w:rStyle w:val="Text9"/>
          </w:rPr>
          <w:t>914</w:t>
        </w:r>
      </w:hyperlink>
      <w:r>
        <w:t xml:space="preserve"> </w:t>
      </w:r>
      <w:hyperlink r:id="rId1750">
        <w:r>
          <w:rPr>
            <w:rStyle w:val="Text1"/>
          </w:rPr>
          <w:t>Mastering OpenLDAP</w:t>
        </w:r>
      </w:hyperlink>
      <w:r>
        <w:t xml:space="preserve"> (textbook; 2007)</w:t>
      </w:r>
    </w:p>
    <w:p>
      <w:pPr>
        <w:pStyle w:val="Normal"/>
      </w:pPr>
      <w:r>
        <w:t>Databases are also a common data management tool in any setup.</w:t>
      </w:r>
    </w:p>
    <w:p>
      <w:pPr>
        <w:pStyle w:val="Para 17"/>
      </w:pPr>
      <w:r>
        <w:t/>
      </w:r>
    </w:p>
    <w:p>
      <w:pPr>
        <w:pStyle w:val="Para 01"/>
      </w:pPr>
      <w:r>
        <w:t>Introduction to databases</w:t>
      </w:r>
    </w:p>
    <w:p>
      <w:pPr>
        <w:pStyle w:val="Para 17"/>
      </w:pPr>
      <w:r>
        <w:t/>
      </w:r>
    </w:p>
    <w:p>
      <w:pPr>
        <w:pStyle w:val="Normal"/>
      </w:pPr>
      <w:r>
        <w:t xml:space="preserve">Ubuntu provides two popular database servers. They are </w:t>
      </w:r>
      <w:hyperlink w:anchor="page_859">
        <w:r>
          <w:rPr>
            <w:rStyle w:val="Text9"/>
          </w:rPr>
          <w:t>915</w:t>
        </w:r>
      </w:hyperlink>
      <w:hyperlink w:anchor="page_859">
        <w:r>
          <w:rPr>
            <w:rStyle w:val="Text1"/>
          </w:rPr>
          <w:t xml:space="preserve"> </w:t>
        </w:r>
      </w:hyperlink>
      <w:hyperlink w:anchor="page_859">
        <w:r>
          <w:rPr>
            <w:rStyle w:val="Text9"/>
          </w:rPr>
          <w:t>916</w:t>
        </w:r>
      </w:hyperlink>
      <w:r>
        <w:t xml:space="preserve"> </w:t>
      </w:r>
      <w:hyperlink r:id="rId1313">
        <w:r>
          <w:rPr>
            <w:rStyle w:val="Text1"/>
          </w:rPr>
          <w:t>MySQL</w:t>
        </w:r>
      </w:hyperlink>
      <w:r>
        <w:t xml:space="preserve"> and </w:t>
      </w:r>
      <w:hyperlink r:id="rId1331">
        <w:r>
          <w:rPr>
            <w:rStyle w:val="Text1"/>
          </w:rPr>
          <w:t>PostgreSQL</w:t>
        </w:r>
      </w:hyperlink>
      <w:r>
        <w:t>.</w:t>
      </w:r>
    </w:p>
    <w:p>
      <w:pPr>
        <w:pStyle w:val="Normal"/>
      </w:pPr>
      <w:r>
        <w:t>Both are popular choices among developers, with similar feature sets and performance ca-pabilities. Historically, PostgreSQL tended to be a preferred choice for its attention to stan-dards conformance, features, and extensibility, whereas MySQL may be more preferred for higher performance requirements. However, over time each has made good strides catching up with the other. Specialised needs may make one a better option for a certain application, but in general both are good, strong options.</w:t>
      </w:r>
    </w:p>
    <w:p>
      <w:pPr>
        <w:pStyle w:val="Normal"/>
      </w:pPr>
      <w:r>
        <w:t xml:space="preserve">They are available in the Main repository and equally supported by Ubuntu. In our </w:t>
      </w:r>
      <w:hyperlink w:anchor="page_38">
        <w:r>
          <w:rPr>
            <w:rStyle w:val="Text2"/>
          </w:rPr>
          <w:t>how-to</w:t>
        </w:r>
      </w:hyperlink>
    </w:p>
    <w:p>
      <w:pPr>
        <w:pStyle w:val="Normal"/>
      </w:pPr>
      <w:hyperlink w:anchor="page_38">
        <w:r>
          <w:rPr>
            <w:rStyle w:val="Text2"/>
          </w:rPr>
          <w:t>section</w:t>
        </w:r>
      </w:hyperlink>
      <w:r>
        <w:t xml:space="preserve"> (page 37) we have guides that explain how to install and configure these database servers.</w:t>
      </w:r>
    </w:p>
    <w:p>
      <w:pPr>
        <w:pStyle w:val="Para 14"/>
      </w:pPr>
      <w:r>
        <w:rPr>
          <w:rStyle w:val="Text4"/>
        </w:rPr>
        <w:t xml:space="preserve">• </w:t>
      </w:r>
      <w:hyperlink w:anchor="page_412">
        <w:r>
          <w:t>How to install and configure MySQL</w:t>
        </w:r>
      </w:hyperlink>
      <w:r>
        <w:rPr>
          <w:rStyle w:val="Text4"/>
        </w:rPr>
        <w:t xml:space="preserve"> (page 411)</w:t>
      </w:r>
    </w:p>
    <w:p>
      <w:pPr>
        <w:pStyle w:val="Para 14"/>
      </w:pPr>
      <w:r>
        <w:rPr>
          <w:rStyle w:val="Text4"/>
        </w:rPr>
        <w:t xml:space="preserve">• </w:t>
      </w:r>
      <w:hyperlink w:anchor="page_420">
        <w:r>
          <w:t>How to install and configure PostgreSQL</w:t>
        </w:r>
      </w:hyperlink>
      <w:r>
        <w:rPr>
          <w:rStyle w:val="Text4"/>
        </w:rPr>
        <w:t xml:space="preserve"> (page 419)</w:t>
      </w:r>
    </w:p>
    <w:p>
      <w:pPr>
        <w:pStyle w:val="Para 17"/>
      </w:pPr>
      <w:r>
        <w:t/>
      </w:r>
    </w:p>
    <w:p>
      <w:pPr>
        <w:pStyle w:val="Para 01"/>
      </w:pPr>
      <w:r>
        <w:t>Storage</w:t>
      </w:r>
    </w:p>
    <w:p>
      <w:pPr>
        <w:pStyle w:val="Para 17"/>
      </w:pPr>
      <w:r>
        <w:t/>
      </w:r>
    </w:p>
    <w:p>
      <w:pPr>
        <w:pStyle w:val="Para 04"/>
      </w:pPr>
      <w:r>
        <w:t xml:space="preserve">• Our </w:t>
      </w:r>
      <w:hyperlink w:anchor="page_860">
        <w:r>
          <w:rPr>
            <w:rStyle w:val="Text2"/>
          </w:rPr>
          <w:t>Storage</w:t>
        </w:r>
      </w:hyperlink>
      <w:r>
        <w:t xml:space="preserve"> (page 859) section contains more detail about LVM and iSCSI</w:t>
      </w:r>
    </w:p>
    <w:p>
      <w:pPr>
        <w:pStyle w:val="Para 04"/>
      </w:pPr>
      <w:r>
        <w:t xml:space="preserve">• Our </w:t>
      </w:r>
      <w:hyperlink w:anchor="page_861">
        <w:r>
          <w:rPr>
            <w:rStyle w:val="Text2"/>
          </w:rPr>
          <w:t>Multipath</w:t>
        </w:r>
      </w:hyperlink>
      <w:r>
        <w:t xml:space="preserve"> (page 860) section explains the key concepts and common configuration</w:t>
      </w:r>
    </w:p>
    <w:p>
      <w:pPr>
        <w:pStyle w:val="Para 02"/>
      </w:pPr>
      <w:r>
        <w:t>setups for Device Mapper Multipathing</w:t>
      </w:r>
    </w:p>
    <w:p>
      <w:pPr>
        <w:pStyle w:val="Para 05"/>
      </w:pPr>
      <w:r>
        <w:rPr>
          <w:rStyle w:val="Text5"/>
        </w:rPr>
        <w:t>910</w:t>
      </w:r>
      <w:r>
        <w:rPr>
          <w:rStyle w:val="Text8"/>
        </w:rPr>
        <w:t xml:space="preserve"> </w:t>
      </w:r>
      <w:r>
        <w:t>https://openldap.org/doc/admin25/</w:t>
      </w:r>
    </w:p>
    <w:p>
      <w:pPr>
        <w:pStyle w:val="Para 05"/>
      </w:pPr>
      <w:r>
        <w:rPr>
          <w:rStyle w:val="Text5"/>
        </w:rPr>
        <w:t>911</w:t>
      </w:r>
      <w:r>
        <w:rPr>
          <w:rStyle w:val="Text8"/>
        </w:rPr>
        <w:t xml:space="preserve"> </w:t>
      </w:r>
      <w:r>
        <w:t>https://www.rfc-editor.org/rfc/rfc4515.txt</w:t>
      </w:r>
    </w:p>
    <w:p>
      <w:pPr>
        <w:pStyle w:val="Para 05"/>
      </w:pPr>
      <w:r>
        <w:rPr>
          <w:rStyle w:val="Text5"/>
        </w:rPr>
        <w:t>912</w:t>
      </w:r>
      <w:r>
        <w:rPr>
          <w:rStyle w:val="Text8"/>
        </w:rPr>
        <w:t xml:space="preserve"> </w:t>
      </w:r>
      <w:r>
        <w:t>https://www.zytrax.com/books/ldap/</w:t>
      </w:r>
    </w:p>
    <w:p>
      <w:pPr>
        <w:pStyle w:val="Para 05"/>
      </w:pPr>
      <w:r>
        <w:rPr>
          <w:rStyle w:val="Text5"/>
        </w:rPr>
        <w:t>913</w:t>
      </w:r>
      <w:r>
        <w:rPr>
          <w:rStyle w:val="Text8"/>
        </w:rPr>
        <w:t xml:space="preserve"> </w:t>
      </w:r>
      <w:r>
        <w:t>https://www.oreilly.com/library/view/ldap-system-administration/1565924916/</w:t>
      </w:r>
    </w:p>
    <w:p>
      <w:pPr>
        <w:pStyle w:val="Para 05"/>
      </w:pPr>
      <w:r>
        <w:rPr>
          <w:rStyle w:val="Text5"/>
        </w:rPr>
        <w:t>914</w:t>
      </w:r>
      <w:r>
        <w:rPr>
          <w:rStyle w:val="Text8"/>
        </w:rPr>
        <w:t xml:space="preserve"> </w:t>
      </w:r>
      <w:r>
        <w:t>https://www.packtpub.com/en-us/product/mastering-openldap-configuring-securing-and-integrating-directory-services-9781847191038</w:t>
      </w:r>
    </w:p>
    <w:p>
      <w:pPr>
        <w:pStyle w:val="Para 05"/>
      </w:pPr>
      <w:r>
        <w:rPr>
          <w:rStyle w:val="Text5"/>
        </w:rPr>
        <w:t>915</w:t>
      </w:r>
      <w:r>
        <w:rPr>
          <w:rStyle w:val="Text8"/>
        </w:rPr>
        <w:t xml:space="preserve"> </w:t>
      </w:r>
      <w:r>
        <w:t>https://www.mysql.com/</w:t>
      </w:r>
    </w:p>
    <w:p>
      <w:pPr>
        <w:pStyle w:val="Para 05"/>
      </w:pPr>
      <w:r>
        <w:rPr>
          <w:rStyle w:val="Text5"/>
        </w:rPr>
        <w:t>916</w:t>
      </w:r>
      <w:r>
        <w:rPr>
          <w:rStyle w:val="Text8"/>
        </w:rPr>
        <w:t xml:space="preserve"> </w:t>
      </w:r>
      <w:r>
        <w:t>https://www.postgresql.org/</w:t>
      </w:r>
    </w:p>
    <w:p>
      <w:bookmarkStart w:id="1350" w:name="calibre_pb_245"/>
      <w:pPr>
        <w:pStyle w:val="0 Block"/>
      </w:pPr>
      <w:bookmarkEnd w:id="1350"/>
    </w:p>
    <w:p>
      <w:bookmarkStart w:id="1351" w:name="page_860"/>
      <w:bookmarkStart w:id="1352" w:name="Top_of_index_split_24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8" name="index-860_1.png" descr="index-860_1.png"/>
            <wp:cNvGraphicFramePr>
              <a:graphicFrameLocks noChangeAspect="1"/>
            </wp:cNvGraphicFramePr>
            <a:graphic>
              <a:graphicData uri="http://schemas.openxmlformats.org/drawingml/2006/picture">
                <pic:pic>
                  <pic:nvPicPr>
                    <pic:cNvPr id="0" name="index-860_1.png" descr="index-860_1.png"/>
                    <pic:cNvPicPr/>
                  </pic:nvPicPr>
                  <pic:blipFill>
                    <a:blip r:embed="rId902"/>
                    <a:stretch>
                      <a:fillRect/>
                    </a:stretch>
                  </pic:blipFill>
                  <pic:spPr>
                    <a:xfrm>
                      <a:off x="0" y="0"/>
                      <a:ext cx="914400" cy="266700"/>
                    </a:xfrm>
                    <a:prstGeom prst="rect">
                      <a:avLst/>
                    </a:prstGeom>
                  </pic:spPr>
                </pic:pic>
              </a:graphicData>
            </a:graphic>
          </wp:anchor>
        </w:drawing>
      </w:r>
      <w:bookmarkEnd w:id="1351"/>
      <w:bookmarkEnd w:id="1352"/>
    </w:p>
    <w:p>
      <w:pPr>
        <w:pStyle w:val="Para 01"/>
      </w:pPr>
      <w:r>
        <w:t>Storage</w:t>
      </w:r>
    </w:p>
    <w:p>
      <w:pPr>
        <w:pStyle w:val="Para 17"/>
      </w:pPr>
      <w:r>
        <w:t/>
      </w:r>
    </w:p>
    <w:p>
      <w:pPr>
        <w:pStyle w:val="Para 04"/>
      </w:pPr>
      <w:r>
        <w:t xml:space="preserve">• </w:t>
      </w:r>
      <w:hyperlink w:anchor="page_860">
        <w:r>
          <w:rPr>
            <w:rStyle w:val="Text2"/>
          </w:rPr>
          <w:t>About LVM</w:t>
        </w:r>
      </w:hyperlink>
      <w:r>
        <w:t xml:space="preserve"> (page 859) provides more detail about Logical Volume Management</w:t>
      </w:r>
    </w:p>
    <w:p>
      <w:pPr>
        <w:pStyle w:val="Para 17"/>
      </w:pPr>
      <w:r>
        <w:t/>
      </w:r>
    </w:p>
    <w:p>
      <w:pPr>
        <w:pStyle w:val="Para 01"/>
      </w:pPr>
      <w:r>
        <w:t>About Logical Volume Management (LVM)</w:t>
      </w:r>
    </w:p>
    <w:p>
      <w:pPr>
        <w:pStyle w:val="Para 17"/>
      </w:pPr>
      <w:r>
        <w:t/>
      </w:r>
    </w:p>
    <w:p>
      <w:pPr>
        <w:pStyle w:val="Normal"/>
      </w:pPr>
      <w:hyperlink r:id="rId1751">
        <w:r>
          <w:rPr>
            <w:rStyle w:val="Text1"/>
          </w:rPr>
          <w:t>Logical Volume Management</w:t>
        </w:r>
      </w:hyperlink>
      <w:hyperlink r:id="rId1751">
        <w:r>
          <w:rPr>
            <w:rStyle w:val="Text9"/>
          </w:rPr>
          <w:t>917</w:t>
        </w:r>
      </w:hyperlink>
      <w:r>
        <w:t>, or LVM, provides a method of allocating and managing space on mass-storage devices that is more advanced and flexible than the traditional method of partitioning storage volumes.</w:t>
      </w:r>
    </w:p>
    <w:p>
      <w:pPr>
        <w:pStyle w:val="Normal"/>
      </w:pPr>
      <w:r>
        <w:t xml:space="preserve">To find out how to set up LVM in Ubuntu, </w:t>
      </w:r>
      <w:hyperlink w:anchor="page_424">
        <w:r>
          <w:rPr>
            <w:rStyle w:val="Text2"/>
          </w:rPr>
          <w:t>refer to this guide</w:t>
        </w:r>
      </w:hyperlink>
      <w:r>
        <w:t xml:space="preserve"> (page 423), which will also show you how to resize and move partitions, and how to create snapshots.</w:t>
      </w:r>
    </w:p>
    <w:p>
      <w:pPr>
        <w:pStyle w:val="Para 17"/>
      </w:pPr>
      <w:r>
        <w:t/>
      </w:r>
    </w:p>
    <w:p>
      <w:pPr>
        <w:pStyle w:val="Para 01"/>
      </w:pPr>
      <w:r>
        <w:t>Key concepts</w:t>
      </w:r>
    </w:p>
    <w:p>
      <w:pPr>
        <w:pStyle w:val="Para 17"/>
      </w:pPr>
      <w:r>
        <w:t/>
      </w:r>
    </w:p>
    <w:p>
      <w:pPr>
        <w:pStyle w:val="Normal"/>
      </w:pPr>
      <w:r>
        <w:t>There are 3 concepts that LVM manages:</w:t>
      </w:r>
    </w:p>
    <w:p>
      <w:pPr>
        <w:pStyle w:val="Para 04"/>
      </w:pPr>
      <w:r>
        <w:t xml:space="preserve">• </w:t>
      </w:r>
      <w:r>
        <w:rPr>
          <w:rStyle w:val="Text0"/>
        </w:rPr>
        <w:t>Physical volumes</w:t>
      </w:r>
      <w:r>
        <w:t>: correspond to disks. They represent the lowest abstraction level of</w:t>
      </w:r>
    </w:p>
    <w:p>
      <w:pPr>
        <w:pStyle w:val="Para 02"/>
      </w:pPr>
      <w:r>
        <w:t>LVM, and are used to create a volume group.</w:t>
      </w:r>
    </w:p>
    <w:p>
      <w:pPr>
        <w:pStyle w:val="Para 04"/>
      </w:pPr>
      <w:r>
        <w:t xml:space="preserve">• </w:t>
      </w:r>
      <w:r>
        <w:rPr>
          <w:rStyle w:val="Text0"/>
        </w:rPr>
        <w:t>Volume groups</w:t>
      </w:r>
      <w:r>
        <w:t>: are collections of physical volumes. They are pools of disk space that</w:t>
      </w:r>
    </w:p>
    <w:p>
      <w:pPr>
        <w:pStyle w:val="Para 02"/>
      </w:pPr>
      <w:r>
        <w:t>logical volumes can be allocated from.</w:t>
      </w:r>
    </w:p>
    <w:p>
      <w:pPr>
        <w:pStyle w:val="Para 04"/>
      </w:pPr>
      <w:r>
        <w:t xml:space="preserve">• </w:t>
      </w:r>
      <w:r>
        <w:rPr>
          <w:rStyle w:val="Text0"/>
        </w:rPr>
        <w:t>Logical volumes</w:t>
      </w:r>
      <w:r>
        <w:t xml:space="preserve">: correspond to partitions – they usually hold a </w:t>
      </w:r>
      <w:hyperlink w:anchor="page_682">
        <w:r>
          <w:rPr>
            <w:rStyle w:val="Text2"/>
          </w:rPr>
          <w:t>filesystem</w:t>
        </w:r>
      </w:hyperlink>
      <w:hyperlink w:anchor="page_682">
        <w:r>
          <w:rPr>
            <w:rStyle w:val="Text1"/>
          </w:rPr>
          <w:t xml:space="preserve">. </w:t>
        </w:r>
      </w:hyperlink>
      <w:r>
        <w:t>Unlike par-</w:t>
      </w:r>
    </w:p>
    <w:p>
      <w:pPr>
        <w:pStyle w:val="Para 02"/>
      </w:pPr>
      <w:r>
        <w:t>titions though, they can span multiple disks (because of the way volume groups are organized) and do not have to be physically contiguous.</w:t>
      </w:r>
    </w:p>
    <w:p>
      <w:pPr>
        <w:pStyle w:val="Para 17"/>
      </w:pPr>
      <w:r>
        <w:t/>
      </w:r>
    </w:p>
    <w:p>
      <w:pPr>
        <w:pStyle w:val="Para 01"/>
      </w:pPr>
      <w:r>
        <w:t>Resizing partitions</w:t>
      </w:r>
    </w:p>
    <w:p>
      <w:pPr>
        <w:pStyle w:val="Para 17"/>
      </w:pPr>
      <w:r>
        <w:t/>
      </w:r>
    </w:p>
    <w:p>
      <w:pPr>
        <w:pStyle w:val="Normal"/>
      </w:pPr>
      <w:r>
        <w:t>LVM can expand a partition while it is mounted, if the filesystem used on it also supports that. When expanding a partition, LVM can use free space anywhere in the volume group, even on another disk.</w:t>
      </w:r>
    </w:p>
    <w:p>
      <w:pPr>
        <w:pStyle w:val="Normal"/>
      </w:pPr>
      <w:r>
        <w:t>When resizing LVM partitions, and especially when shrinking them, it is important to take the same precautions you would as if you were dealing with regular partitions. Namely, always make a backup of your data before actually executing the commands. Although LVM will try hard to determine whether a partition can be expanded or shrunk before actually performing the operation, there is always the possibility of data loss.</w:t>
      </w:r>
    </w:p>
    <w:p>
      <w:pPr>
        <w:pStyle w:val="Para 17"/>
      </w:pPr>
      <w:r>
        <w:t/>
      </w:r>
    </w:p>
    <w:p>
      <w:pPr>
        <w:pStyle w:val="Para 01"/>
      </w:pPr>
      <w:r>
        <w:t>Moving Partitions</w:t>
      </w:r>
    </w:p>
    <w:p>
      <w:pPr>
        <w:pStyle w:val="Para 17"/>
      </w:pPr>
      <w:r>
        <w:t/>
      </w:r>
    </w:p>
    <w:p>
      <w:pPr>
        <w:pStyle w:val="Normal"/>
      </w:pPr>
      <w:r>
        <w:t>Moving regular partitions is usually only necessary because of the requirement that parti-tions be physically contiguous, so you probably will not need to do this with LVM. If you do, LVM can move a partition while it is in use, and will not corrupt your data if it is interrupted. In the event that your system crashes or loses power during the move, you can simply restart it after rebooting and it will finish normally. Another reason you might want to move an LVM partition is to replace an old disk with a new, larger one. You can migrate the system to the new disk while using it, and then remove the old one later.</w:t>
      </w:r>
    </w:p>
    <w:p>
      <w:pPr>
        <w:pStyle w:val="Para 05"/>
      </w:pPr>
      <w:r>
        <w:rPr>
          <w:rStyle w:val="Text5"/>
        </w:rPr>
        <w:t>917</w:t>
      </w:r>
      <w:r>
        <w:rPr>
          <w:rStyle w:val="Text8"/>
        </w:rPr>
        <w:t xml:space="preserve"> </w:t>
      </w:r>
      <w:r>
        <w:t>https://en.wikipedia.org/wiki/Logical_volume_management</w:t>
      </w:r>
      <w:r>
        <w:rPr>
          <w:rStyle w:val="Text8"/>
        </w:rPr>
        <w:t xml:space="preserve"> </w:t>
      </w:r>
      <w:r>
        <w:rPr>
          <w:rStyle w:val="Text11"/>
        </w:rPr>
        <w:t>Snapshots</w:t>
      </w:r>
    </w:p>
    <w:p>
      <w:bookmarkStart w:id="1353" w:name="page_8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899" name="index-861_1.png" descr="index-861_1.png"/>
            <wp:cNvGraphicFramePr>
              <a:graphicFrameLocks noChangeAspect="1"/>
            </wp:cNvGraphicFramePr>
            <a:graphic>
              <a:graphicData uri="http://schemas.openxmlformats.org/drawingml/2006/picture">
                <pic:pic>
                  <pic:nvPicPr>
                    <pic:cNvPr id="0" name="index-861_1.png" descr="index-861_1.png"/>
                    <pic:cNvPicPr/>
                  </pic:nvPicPr>
                  <pic:blipFill>
                    <a:blip r:embed="rId903"/>
                    <a:stretch>
                      <a:fillRect/>
                    </a:stretch>
                  </pic:blipFill>
                  <pic:spPr>
                    <a:xfrm>
                      <a:off x="0" y="0"/>
                      <a:ext cx="914400" cy="266700"/>
                    </a:xfrm>
                    <a:prstGeom prst="rect">
                      <a:avLst/>
                    </a:prstGeom>
                  </pic:spPr>
                </pic:pic>
              </a:graphicData>
            </a:graphic>
          </wp:anchor>
        </w:drawing>
      </w:r>
      <w:bookmarkEnd w:id="1353"/>
    </w:p>
    <w:p>
      <w:pPr>
        <w:pStyle w:val="Para 17"/>
      </w:pPr>
      <w:r>
        <w:t/>
      </w:r>
    </w:p>
    <w:p>
      <w:pPr>
        <w:pStyle w:val="Normal"/>
      </w:pPr>
      <w:r>
        <w:t>LVM allows you to freeze an existing logical volume in time, at any moment, even while the system is running. You can continue to use the original volume normally, but the snapshot volume appears to be an image of the original, frozen in time at the moment you created it. You can use this to get a consistent filesystem image to back up, without shutting down the system. You can also use it to save the state of the system, so that you can later return to that state if needed. You can also mount the snapshot volume and make changes to it, without affecting the original.</w:t>
      </w:r>
    </w:p>
    <w:p>
      <w:pPr>
        <w:pStyle w:val="Para 17"/>
      </w:pPr>
      <w:r>
        <w:t/>
      </w:r>
    </w:p>
    <w:p>
      <w:pPr>
        <w:pStyle w:val="Para 01"/>
      </w:pPr>
      <w:r>
        <w:t>See also</w:t>
      </w:r>
    </w:p>
    <w:p>
      <w:pPr>
        <w:pStyle w:val="Para 17"/>
      </w:pPr>
      <w:r>
        <w:t/>
      </w:r>
    </w:p>
    <w:p>
      <w:pPr>
        <w:pStyle w:val="Para 04"/>
      </w:pPr>
      <w:r>
        <w:t xml:space="preserve">• How-to: </w:t>
      </w:r>
      <w:hyperlink w:anchor="page_424">
        <w:r>
          <w:rPr>
            <w:rStyle w:val="Text2"/>
          </w:rPr>
          <w:t>Storage</w:t>
        </w:r>
      </w:hyperlink>
      <w:r>
        <w:t xml:space="preserve"> (page 423)</w:t>
      </w:r>
    </w:p>
    <w:p>
      <w:pPr>
        <w:pStyle w:val="Para 17"/>
      </w:pPr>
      <w:r>
        <w:t/>
      </w:r>
    </w:p>
    <w:p>
      <w:pPr>
        <w:pStyle w:val="Para 01"/>
      </w:pPr>
      <w:r>
        <w:t>Multipath</w:t>
      </w:r>
    </w:p>
    <w:p>
      <w:pPr>
        <w:pStyle w:val="Para 17"/>
      </w:pPr>
      <w:r>
        <w:t/>
      </w:r>
    </w:p>
    <w:p>
      <w:pPr>
        <w:pStyle w:val="Normal"/>
      </w:pPr>
      <w:r>
        <w:t>Device Mapper Multipathing (which we call “Multipath”) allows you to create a single virtual device to aggregate different input/output (I/O) paths between server nodes and storage arrays.</w:t>
      </w:r>
    </w:p>
    <w:p>
      <w:pPr>
        <w:pStyle w:val="Para 17"/>
      </w:pPr>
      <w:r>
        <w:t/>
      </w:r>
    </w:p>
    <w:p>
      <w:pPr>
        <w:pStyle w:val="Para 01"/>
      </w:pPr>
      <w:r>
        <w:t>Introduction</w:t>
      </w:r>
    </w:p>
    <w:p>
      <w:pPr>
        <w:pStyle w:val="Para 17"/>
      </w:pPr>
      <w:r>
        <w:t/>
      </w:r>
    </w:p>
    <w:p>
      <w:pPr>
        <w:pStyle w:val="Para 14"/>
      </w:pPr>
      <w:r>
        <w:rPr>
          <w:rStyle w:val="Text4"/>
        </w:rPr>
        <w:t xml:space="preserve">• </w:t>
      </w:r>
      <w:hyperlink w:anchor="page_861">
        <w:r>
          <w:t>Introduction to Device mapper multipathing</w:t>
        </w:r>
      </w:hyperlink>
      <w:r>
        <w:rPr>
          <w:rStyle w:val="Text4"/>
        </w:rPr>
        <w:t xml:space="preserve"> (page 860)</w:t>
      </w:r>
    </w:p>
    <w:p>
      <w:pPr>
        <w:pStyle w:val="Para 17"/>
      </w:pPr>
      <w:r>
        <w:t/>
      </w:r>
    </w:p>
    <w:p>
      <w:pPr>
        <w:pStyle w:val="Para 01"/>
      </w:pPr>
      <w:r>
        <w:t>Configuration</w:t>
      </w:r>
    </w:p>
    <w:p>
      <w:pPr>
        <w:pStyle w:val="Para 17"/>
      </w:pPr>
      <w:r>
        <w:t/>
      </w:r>
    </w:p>
    <w:p>
      <w:pPr>
        <w:pStyle w:val="Para 14"/>
      </w:pPr>
      <w:r>
        <w:rPr>
          <w:rStyle w:val="Text4"/>
        </w:rPr>
        <w:t xml:space="preserve">• </w:t>
      </w:r>
      <w:hyperlink w:anchor="page_866">
        <w:r>
          <w:t>Configuration options and overview</w:t>
        </w:r>
      </w:hyperlink>
      <w:r>
        <w:rPr>
          <w:rStyle w:val="Text4"/>
        </w:rPr>
        <w:t xml:space="preserve"> (page 865)</w:t>
      </w:r>
    </w:p>
    <w:p>
      <w:pPr>
        <w:pStyle w:val="Para 14"/>
      </w:pPr>
      <w:r>
        <w:rPr>
          <w:rStyle w:val="Text4"/>
        </w:rPr>
        <w:t xml:space="preserve">• </w:t>
      </w:r>
      <w:hyperlink w:anchor="page_874">
        <w:r>
          <w:t>Configuration examples</w:t>
        </w:r>
      </w:hyperlink>
      <w:r>
        <w:rPr>
          <w:rStyle w:val="Text4"/>
        </w:rPr>
        <w:t xml:space="preserve"> (page 873)</w:t>
      </w:r>
    </w:p>
    <w:p>
      <w:pPr>
        <w:pStyle w:val="Para 14"/>
      </w:pPr>
      <w:r>
        <w:rPr>
          <w:rStyle w:val="Text4"/>
        </w:rPr>
        <w:t xml:space="preserve">• </w:t>
      </w:r>
      <w:hyperlink w:anchor="page_883">
        <w:r>
          <w:t>Common tasks and procedures</w:t>
        </w:r>
      </w:hyperlink>
      <w:r>
        <w:rPr>
          <w:rStyle w:val="Text4"/>
        </w:rPr>
        <w:t xml:space="preserve"> (page 882)</w:t>
      </w:r>
    </w:p>
    <w:p>
      <w:pPr>
        <w:pStyle w:val="Para 17"/>
      </w:pPr>
      <w:r>
        <w:t/>
      </w:r>
    </w:p>
    <w:p>
      <w:pPr>
        <w:pStyle w:val="Para 01"/>
      </w:pPr>
      <w:r>
        <w:t>Introduction to device mapper multipathing (“multipath”)</w:t>
      </w:r>
    </w:p>
    <w:p>
      <w:pPr>
        <w:pStyle w:val="Para 17"/>
      </w:pPr>
      <w:r>
        <w:t/>
      </w:r>
    </w:p>
    <w:p>
      <w:pPr>
        <w:pStyle w:val="Normal"/>
      </w:pPr>
      <w:r>
        <w:t xml:space="preserve">Device mapper multipathing (which will be called </w:t>
      </w:r>
      <w:r>
        <w:rPr>
          <w:rStyle w:val="Text0"/>
        </w:rPr>
        <w:t>multipath</w:t>
      </w:r>
      <w:r>
        <w:t xml:space="preserve"> in this document) allows you to create a virtual device that aggregates multiple input/output (I/O) paths between server nodes and storage arrays. These I/O paths are physical storage area network (SAN) connec-tions that can include separate cables, switches, and controllers.</w:t>
      </w:r>
    </w:p>
    <w:p>
      <w:bookmarkStart w:id="1354" w:name="calibre_pb_246"/>
      <w:pPr>
        <w:pStyle w:val="0 Block"/>
      </w:pPr>
      <w:bookmarkEnd w:id="1354"/>
    </w:p>
    <w:p>
      <w:bookmarkStart w:id="1355" w:name="page_862"/>
      <w:bookmarkStart w:id="1356" w:name="Top_of_index_split_24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0" name="index-862_1.png" descr="index-862_1.png"/>
            <wp:cNvGraphicFramePr>
              <a:graphicFrameLocks noChangeAspect="1"/>
            </wp:cNvGraphicFramePr>
            <a:graphic>
              <a:graphicData uri="http://schemas.openxmlformats.org/drawingml/2006/picture">
                <pic:pic>
                  <pic:nvPicPr>
                    <pic:cNvPr id="0" name="index-862_1.png" descr="index-862_1.png"/>
                    <pic:cNvPicPr/>
                  </pic:nvPicPr>
                  <pic:blipFill>
                    <a:blip r:embed="rId904"/>
                    <a:stretch>
                      <a:fillRect/>
                    </a:stretch>
                  </pic:blipFill>
                  <pic:spPr>
                    <a:xfrm>
                      <a:off x="0" y="0"/>
                      <a:ext cx="914400" cy="266700"/>
                    </a:xfrm>
                    <a:prstGeom prst="rect">
                      <a:avLst/>
                    </a:prstGeom>
                  </pic:spPr>
                </pic:pic>
              </a:graphicData>
            </a:graphic>
          </wp:anchor>
        </w:drawing>
      </w:r>
      <w:bookmarkEnd w:id="1355"/>
      <w:bookmarkEnd w:id="1356"/>
    </w:p>
    <w:p>
      <w:pPr>
        <w:pStyle w:val="Para 01"/>
      </w:pPr>
      <w:r>
        <w:t>How a multipath device works in practice</w:t>
      </w:r>
    </w:p>
    <w:p>
      <w:pPr>
        <w:pStyle w:val="Para 17"/>
      </w:pPr>
      <w:r>
        <w:t/>
      </w:r>
    </w:p>
    <w:p>
      <w:pPr>
        <w:pStyle w:val="Normal"/>
      </w:pPr>
      <w:r>
        <w:t>If you are not using multipath, your system treats every path from a server node to a storage controller as a separate device, even when the I/O path connects the same server node to the same storage controller. Multipath allows you to organize the I/O paths logically, by creating a single device on top of the underlying paths.</w:t>
      </w:r>
    </w:p>
    <w:p>
      <w:pPr>
        <w:pStyle w:val="Para 17"/>
      </w:pPr>
      <w:r>
        <w:t/>
      </w:r>
    </w:p>
    <w:p>
      <w:pPr>
        <w:pStyle w:val="Para 01"/>
      </w:pPr>
      <w:r>
        <w:t>What identifier does a multipath device use?</w:t>
      </w:r>
    </w:p>
    <w:p>
      <w:pPr>
        <w:pStyle w:val="Para 17"/>
      </w:pPr>
      <w:r>
        <w:t/>
      </w:r>
    </w:p>
    <w:p>
      <w:pPr>
        <w:pStyle w:val="Normal"/>
      </w:pPr>
      <w:r>
        <w:t xml:space="preserve">Every multipath device has a World Wide Identifier (WWID), which is guaranteed to be glob-ally unique and unchanging. By default, the name of a multipath device is set to its WWID. However, you can force multipath to give each multipath device a name that is a </w:t>
      </w:r>
      <w:r>
        <w:rPr>
          <w:rStyle w:val="Text0"/>
        </w:rPr>
        <w:t>node-unique alias</w:t>
      </w:r>
      <w:r>
        <w:t xml:space="preserve"> of the form mpathn by setting the user_friendly_names option in multipath.conf.</w:t>
      </w:r>
    </w:p>
    <w:p>
      <w:pPr>
        <w:pStyle w:val="Para 17"/>
      </w:pPr>
      <w:r>
        <w:t/>
      </w:r>
    </w:p>
    <w:p>
      <w:pPr>
        <w:pStyle w:val="Para 01"/>
      </w:pPr>
      <w:r>
        <w:t>What does multipath provide?</w:t>
      </w:r>
    </w:p>
    <w:p>
      <w:pPr>
        <w:pStyle w:val="Para 17"/>
      </w:pPr>
      <w:r>
        <w:t/>
      </w:r>
    </w:p>
    <w:p>
      <w:pPr>
        <w:pStyle w:val="Normal"/>
      </w:pPr>
      <w:r>
        <w:t>When you use multipath, it can provide:</w:t>
      </w:r>
    </w:p>
    <w:p>
      <w:pPr>
        <w:pStyle w:val="Para 04"/>
      </w:pPr>
      <w:r>
        <w:t xml:space="preserve">• </w:t>
      </w:r>
      <w:r>
        <w:rPr>
          <w:rStyle w:val="Text0"/>
        </w:rPr>
        <w:t>Redundancy</w:t>
      </w:r>
      <w:r>
        <w:t xml:space="preserve"> Multipath provides </w:t>
      </w:r>
      <w:hyperlink w:anchor="page_682">
        <w:r>
          <w:rPr>
            <w:rStyle w:val="Text2"/>
          </w:rPr>
          <w:t>failover</w:t>
        </w:r>
      </w:hyperlink>
      <w:r>
        <w:t xml:space="preserve"> in an active/passive configuration. In an ac-</w:t>
      </w:r>
    </w:p>
    <w:p>
      <w:pPr>
        <w:pStyle w:val="Para 02"/>
      </w:pPr>
      <w:r>
        <w:t>tive/passive configuration, only half the paths are used at any time for I/O. If any el-ement of an I/O path (the cable, switch, or controller) fails, multipath switches to an alternate path.</w:t>
      </w:r>
    </w:p>
    <w:p>
      <w:pPr>
        <w:pStyle w:val="Para 04"/>
      </w:pPr>
      <w:r>
        <w:t xml:space="preserve">• </w:t>
      </w:r>
      <w:r>
        <w:rPr>
          <w:rStyle w:val="Text0"/>
        </w:rPr>
        <w:t>Improved performance</w:t>
      </w:r>
      <w:r>
        <w:t xml:space="preserve"> Multipath can be configured in active/active mode, where I/O</w:t>
      </w:r>
    </w:p>
    <w:p>
      <w:pPr>
        <w:pStyle w:val="Para 02"/>
      </w:pPr>
      <w:r>
        <w:t>is spread over the paths in a round-robin fashion. In some configurations, multipath can detect loading on the I/O paths and dynamically re-balance the load.</w:t>
      </w:r>
    </w:p>
    <w:p>
      <w:pPr>
        <w:pStyle w:val="Para 17"/>
      </w:pPr>
      <w:r>
        <w:t/>
      </w:r>
    </w:p>
    <w:p>
      <w:pPr>
        <w:pStyle w:val="Para 01"/>
      </w:pPr>
      <w:r>
        <w:t>Configuring multipath for a storage system</w:t>
      </w:r>
    </w:p>
    <w:p>
      <w:pPr>
        <w:pStyle w:val="Para 17"/>
      </w:pPr>
      <w:r>
        <w:t/>
      </w:r>
    </w:p>
    <w:p>
      <w:pPr>
        <w:pStyle w:val="Normal"/>
      </w:pPr>
      <w:r>
        <w:t>Before you decide to use multipath, check your storage vendor’s installation guide for the multipath configuration variables that are recommended for your storage model. The de-fault multipath configuration will probably work but will likely need adjustments based on your storage setup.</w:t>
      </w:r>
    </w:p>
    <w:p>
      <w:bookmarkStart w:id="1357" w:name="calibre_pb_247"/>
      <w:pPr>
        <w:pStyle w:val="0 Block"/>
      </w:pPr>
      <w:bookmarkEnd w:id="1357"/>
    </w:p>
    <w:p>
      <w:bookmarkStart w:id="1358" w:name="page_863"/>
      <w:bookmarkStart w:id="1359" w:name="Top_of_index_split_24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1" name="index-863_1.png" descr="index-863_1.png"/>
            <wp:cNvGraphicFramePr>
              <a:graphicFrameLocks noChangeAspect="1"/>
            </wp:cNvGraphicFramePr>
            <a:graphic>
              <a:graphicData uri="http://schemas.openxmlformats.org/drawingml/2006/picture">
                <pic:pic>
                  <pic:nvPicPr>
                    <pic:cNvPr id="0" name="index-863_1.png" descr="index-863_1.png"/>
                    <pic:cNvPicPr/>
                  </pic:nvPicPr>
                  <pic:blipFill>
                    <a:blip r:embed="rId905"/>
                    <a:stretch>
                      <a:fillRect/>
                    </a:stretch>
                  </pic:blipFill>
                  <pic:spPr>
                    <a:xfrm>
                      <a:off x="0" y="0"/>
                      <a:ext cx="914400" cy="266700"/>
                    </a:xfrm>
                    <a:prstGeom prst="rect">
                      <a:avLst/>
                    </a:prstGeom>
                  </pic:spPr>
                </pic:pic>
              </a:graphicData>
            </a:graphic>
          </wp:anchor>
        </w:drawing>
      </w:r>
      <w:bookmarkEnd w:id="1358"/>
      <w:bookmarkEnd w:id="1359"/>
    </w:p>
    <w:p>
      <w:pPr>
        <w:pStyle w:val="Para 01"/>
      </w:pPr>
      <w:r>
        <w:t>Multipath components</w:t>
      </w:r>
    </w:p>
    <w:p>
      <w:pPr>
        <w:pStyle w:val="Para 17"/>
      </w:pPr>
      <w:r>
        <w:t/>
      </w:r>
    </w:p>
    <w:p>
      <w:pPr>
        <w:pStyle w:val="Para 03"/>
      </w:pPr>
      <w:r>
        <w:t>Compo- Description</w:t>
      </w:r>
    </w:p>
    <w:p>
      <w:pPr>
        <w:pStyle w:val="Para 03"/>
      </w:pPr>
      <w:r>
        <w:t>nent</w:t>
      </w:r>
    </w:p>
    <w:p>
      <w:pPr>
        <w:pStyle w:val="Para 03"/>
      </w:pPr>
      <w:r>
        <w:t xml:space="preserve">dm_ Reroutes I/O and supports </w:t>
      </w:r>
      <w:r>
        <w:rPr>
          <w:rStyle w:val="Text0"/>
        </w:rPr>
        <w:t>failover</w:t>
      </w:r>
      <w:r>
        <w:t xml:space="preserve"> for paths and path groups.</w:t>
      </w:r>
    </w:p>
    <w:p>
      <w:pPr>
        <w:pStyle w:val="Para 03"/>
      </w:pPr>
      <w:r>
        <w:t>multipath</w:t>
      </w:r>
    </w:p>
    <w:p>
      <w:pPr>
        <w:pStyle w:val="Para 03"/>
      </w:pPr>
      <w:r>
        <w:t>kernel</w:t>
      </w:r>
    </w:p>
    <w:p>
      <w:pPr>
        <w:pStyle w:val="Normal"/>
      </w:pPr>
      <w:r>
        <w:t>module</w:t>
      </w:r>
    </w:p>
    <w:p>
      <w:pPr>
        <w:pStyle w:val="Para 03"/>
      </w:pPr>
      <w:r>
        <w:t>mul- Lists and configures multipath devices. While this command is normally</w:t>
      </w:r>
    </w:p>
    <w:p>
      <w:pPr>
        <w:pStyle w:val="Para 03"/>
      </w:pPr>
      <w:r>
        <w:t>tipath started up with /etc/rc.sysinit, it can also be started up by a udev program</w:t>
      </w:r>
    </w:p>
    <w:p>
      <w:pPr>
        <w:pStyle w:val="Para 03"/>
      </w:pPr>
      <w:r>
        <w:t>command whenever a block device is added, or it can be run by the initramfs file system.</w:t>
      </w:r>
    </w:p>
    <w:p>
      <w:pPr>
        <w:pStyle w:val="Para 03"/>
      </w:pPr>
      <w:r>
        <w:t xml:space="preserve">multi- </w:t>
        <w:t>Monitors paths; as paths fail and come back, it may initiate path group</w:t>
      </w:r>
    </w:p>
    <w:p>
      <w:pPr>
        <w:pStyle w:val="Para 03"/>
      </w:pPr>
      <w:r>
        <w:t xml:space="preserve">pathd </w:t>
        <w:t>switches. Provides for interactive changes to multipath devices. This daemon</w:t>
      </w:r>
    </w:p>
    <w:p>
      <w:pPr>
        <w:pStyle w:val="Para 03"/>
      </w:pPr>
      <w:r>
        <w:t>daemon must be restarted for any changes to the /etc/multipath.conf file to take ef-</w:t>
      </w:r>
    </w:p>
    <w:p>
      <w:pPr>
        <w:pStyle w:val="Para 12"/>
      </w:pPr>
      <w:r>
        <w:t>fect.</w:t>
      </w:r>
    </w:p>
    <w:p>
      <w:pPr>
        <w:pStyle w:val="Para 03"/>
      </w:pPr>
      <w:r>
        <w:t xml:space="preserve">kpartx </w:t>
        <w:t>Creates device-mapper devices for the partitions on a device. It is necessary</w:t>
      </w:r>
    </w:p>
    <w:p>
      <w:pPr>
        <w:pStyle w:val="Para 03"/>
      </w:pPr>
      <w:r>
        <w:t>com- to use this command for DOS-based partitions with multipath. The kpartx is</w:t>
      </w:r>
    </w:p>
    <w:p>
      <w:pPr>
        <w:pStyle w:val="Para 03"/>
      </w:pPr>
      <w:r>
        <w:t>mand provided in its own package, but the multipath-tools package depends on it.</w:t>
      </w:r>
    </w:p>
    <w:p>
      <w:pPr>
        <w:pStyle w:val="Para 17"/>
      </w:pPr>
      <w:r>
        <w:t/>
      </w:r>
    </w:p>
    <w:p>
      <w:pPr>
        <w:pStyle w:val="Para 01"/>
      </w:pPr>
      <w:r>
        <w:t>Multipath setup overview</w:t>
      </w:r>
    </w:p>
    <w:p>
      <w:pPr>
        <w:pStyle w:val="Para 17"/>
      </w:pPr>
      <w:r>
        <w:t/>
      </w:r>
    </w:p>
    <w:p>
      <w:pPr>
        <w:pStyle w:val="Normal"/>
      </w:pPr>
      <w:r>
        <w:t>The multipath setup process is usually simple because it has compiled-in default settings that are suitable for common multipath configurations. The basic procedure for configuring your system with multipath is:</w:t>
      </w:r>
    </w:p>
    <w:p>
      <w:pPr>
        <w:pStyle w:val="Para 03"/>
      </w:pPr>
      <w:r>
        <w:t>1. Install the multipath-tools and multipath-tools-boot packages.</w:t>
      </w:r>
    </w:p>
    <w:p>
      <w:pPr>
        <w:pStyle w:val="Para 03"/>
      </w:pPr>
      <w:r>
        <w:t>2. Create an empty config file called /etc/multipath.conf.</w:t>
      </w:r>
    </w:p>
    <w:p>
      <w:pPr>
        <w:pStyle w:val="Para 03"/>
      </w:pPr>
      <w:r>
        <w:t>3. Edit the multipath.conf file to modify default values and save the updated file.</w:t>
      </w:r>
    </w:p>
    <w:p>
      <w:pPr>
        <w:pStyle w:val="Para 03"/>
      </w:pPr>
      <w:r>
        <w:t>4. Start the multipath daemon.</w:t>
      </w:r>
    </w:p>
    <w:p>
      <w:pPr>
        <w:pStyle w:val="Para 03"/>
      </w:pPr>
      <w:r>
        <w:t>5. Update initial RAM disk.</w:t>
      </w:r>
    </w:p>
    <w:p>
      <w:pPr>
        <w:pStyle w:val="Normal"/>
      </w:pPr>
      <w:r>
        <w:t xml:space="preserve">For detailed setup instructions for multipath configuration see </w:t>
      </w:r>
      <w:hyperlink w:anchor="page_866">
        <w:r>
          <w:rPr>
            <w:rStyle w:val="Text2"/>
          </w:rPr>
          <w:t>DM-Multipath configuration</w:t>
        </w:r>
      </w:hyperlink>
    </w:p>
    <w:p>
      <w:pPr>
        <w:pStyle w:val="Normal"/>
      </w:pPr>
      <w:r>
        <w:t xml:space="preserve">(page 865) and </w:t>
      </w:r>
      <w:hyperlink w:anchor="page_874">
        <w:r>
          <w:rPr>
            <w:rStyle w:val="Text2"/>
          </w:rPr>
          <w:t>DM-Multipath setup</w:t>
        </w:r>
      </w:hyperlink>
      <w:r>
        <w:t xml:space="preserve"> (page 873).</w:t>
      </w:r>
    </w:p>
    <w:p>
      <w:pPr>
        <w:pStyle w:val="Para 17"/>
      </w:pPr>
      <w:r>
        <w:t/>
      </w:r>
    </w:p>
    <w:p>
      <w:pPr>
        <w:pStyle w:val="Para 01"/>
      </w:pPr>
      <w:r>
        <w:t>Example of a multipath device in use</w:t>
      </w:r>
    </w:p>
    <w:p>
      <w:pPr>
        <w:pStyle w:val="Para 17"/>
      </w:pPr>
      <w:r>
        <w:t/>
      </w:r>
    </w:p>
    <w:p>
      <w:pPr>
        <w:pStyle w:val="Normal"/>
      </w:pPr>
      <w:r>
        <w:t xml:space="preserve">For example, a node with two host bus adapters </w:t>
      </w:r>
      <w:hyperlink w:anchor="page_688">
        <w:r>
          <w:rPr>
            <w:rStyle w:val="Text1"/>
          </w:rPr>
          <w:t>(</w:t>
        </w:r>
      </w:hyperlink>
      <w:hyperlink w:anchor="page_688">
        <w:r>
          <w:rPr>
            <w:rStyle w:val="Text2"/>
          </w:rPr>
          <w:t>HBAs</w:t>
        </w:r>
      </w:hyperlink>
      <w:r>
        <w:t xml:space="preserve"> ) attached to a storage controller, with</w:t>
      </w:r>
    </w:p>
    <w:p>
      <w:pPr>
        <w:pStyle w:val="Normal"/>
      </w:pPr>
      <w:r>
        <w:t xml:space="preserve">two ports, via a single un-zoned </w:t>
      </w:r>
      <w:hyperlink w:anchor="page_682">
        <w:r>
          <w:rPr>
            <w:rStyle w:val="Text2"/>
          </w:rPr>
          <w:t>FC</w:t>
        </w:r>
      </w:hyperlink>
      <w:r>
        <w:t xml:space="preserve"> switch, sees four devices: /dev/sda, /dev/sdb, /dev/sdc, and /dev/sdd. Multipath creates a single device with a unique WWID that reroutes I/O to those four underlying devices according to the multipath configuration.</w:t>
      </w:r>
    </w:p>
    <w:p>
      <w:pPr>
        <w:pStyle w:val="Normal"/>
      </w:pPr>
      <w:r>
        <w:t>When the user_friendly_names configuration option is set to ‘yes’, the name of the multi-path device is set to mpathn. When new devices are brought under the control of multipath, the new devices may be seen in two different places under the /dev directory: /dev/mapper/ mpathn and /dev/dm-n.</w:t>
      </w:r>
    </w:p>
    <w:p>
      <w:bookmarkStart w:id="1360" w:name="page_8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2" name="index-864_1.png" descr="index-864_1.png"/>
            <wp:cNvGraphicFramePr>
              <a:graphicFrameLocks noChangeAspect="1"/>
            </wp:cNvGraphicFramePr>
            <a:graphic>
              <a:graphicData uri="http://schemas.openxmlformats.org/drawingml/2006/picture">
                <pic:pic>
                  <pic:nvPicPr>
                    <pic:cNvPr id="0" name="index-864_1.png" descr="index-864_1.png"/>
                    <pic:cNvPicPr/>
                  </pic:nvPicPr>
                  <pic:blipFill>
                    <a:blip r:embed="rId906"/>
                    <a:stretch>
                      <a:fillRect/>
                    </a:stretch>
                  </pic:blipFill>
                  <pic:spPr>
                    <a:xfrm>
                      <a:off x="0" y="0"/>
                      <a:ext cx="914400" cy="266700"/>
                    </a:xfrm>
                    <a:prstGeom prst="rect">
                      <a:avLst/>
                    </a:prstGeom>
                  </pic:spPr>
                </pic:pic>
              </a:graphicData>
            </a:graphic>
          </wp:anchor>
        </w:drawing>
      </w:r>
      <w:bookmarkEnd w:id="1360"/>
    </w:p>
    <w:p>
      <w:pPr>
        <w:pStyle w:val="Para 04"/>
      </w:pPr>
      <w:r>
        <w:t xml:space="preserve">• The devices in /dev/mapper are created early in the boot process. </w:t>
      </w:r>
      <w:r>
        <w:rPr>
          <w:rStyle w:val="Text0"/>
        </w:rPr>
        <w:t>Use these devices to</w:t>
      </w:r>
    </w:p>
    <w:p>
      <w:pPr>
        <w:pStyle w:val="Para 39"/>
      </w:pPr>
      <w:r>
        <w:t>access the multipathed devices.</w:t>
      </w:r>
    </w:p>
    <w:p>
      <w:pPr>
        <w:pStyle w:val="Para 04"/>
      </w:pPr>
      <w:r>
        <w:t xml:space="preserve">• Any devices of the form /dev/dm-n are for </w:t>
      </w:r>
      <w:r>
        <w:rPr>
          <w:rStyle w:val="Text0"/>
        </w:rPr>
        <w:t>internal use only</w:t>
      </w:r>
      <w:r>
        <w:t xml:space="preserve"> and should never be used</w:t>
      </w:r>
    </w:p>
    <w:p>
      <w:pPr>
        <w:pStyle w:val="Para 02"/>
      </w:pPr>
      <w:r>
        <w:t>directly.</w:t>
      </w:r>
    </w:p>
    <w:p>
      <w:pPr>
        <w:pStyle w:val="Normal"/>
      </w:pPr>
      <w:r>
        <w:t>You can also set the name of a multipath device to a name of your choosing by using the alias option in the multipaths section of the multipath configuration file.</w:t>
      </w:r>
    </w:p>
    <w:p>
      <w:pPr>
        <w:pStyle w:val="Para 17"/>
      </w:pPr>
      <w:r>
        <w:t/>
      </w:r>
    </w:p>
    <w:p>
      <w:pPr>
        <w:pStyle w:val="Para 08"/>
      </w:pPr>
      <w:r>
        <w:rPr>
          <w:rStyle w:val="Text0"/>
        </w:rPr>
        <w:t xml:space="preserve">µ </w:t>
      </w:r>
      <w:r>
        <w:t>See also</w:t>
      </w:r>
    </w:p>
    <w:p>
      <w:pPr>
        <w:pStyle w:val="Para 03"/>
      </w:pPr>
      <w:r>
        <w:t>For information on the multipath configuration defaults, including the user_friendly_</w:t>
      </w:r>
    </w:p>
    <w:p>
      <w:pPr>
        <w:pStyle w:val="Para 03"/>
      </w:pPr>
      <w:r>
        <w:t xml:space="preserve">names and alias configuration options, see </w:t>
      </w:r>
      <w:hyperlink w:anchor="page_866">
        <w:r>
          <w:rPr>
            <w:rStyle w:val="Text2"/>
          </w:rPr>
          <w:t>DM-Multipath configuration</w:t>
        </w:r>
      </w:hyperlink>
      <w:r>
        <w:t xml:space="preserve"> (page 865).</w:t>
      </w:r>
    </w:p>
    <w:p>
      <w:pPr>
        <w:pStyle w:val="Para 17"/>
      </w:pPr>
      <w:r>
        <w:t/>
      </w:r>
    </w:p>
    <w:p>
      <w:pPr>
        <w:pStyle w:val="Para 01"/>
      </w:pPr>
      <w:r>
        <w:t>Consistent multipath device names in a cluster</w:t>
      </w:r>
    </w:p>
    <w:p>
      <w:pPr>
        <w:pStyle w:val="Para 17"/>
      </w:pPr>
      <w:r>
        <w:t/>
      </w:r>
    </w:p>
    <w:p>
      <w:pPr>
        <w:pStyle w:val="Normal"/>
      </w:pPr>
      <w:r>
        <w:t>When the user_friendly_names configuration option is set to ‘yes’, the name of the multi-path device is unique to a node, but it is not guaranteed to be the same on all nodes using the multipath device. Similarly, if you set the alias option for a device in the multipaths sec-tion of /etc/multipath.conf, the name is not automatically consistent across all nodes in the cluster.</w:t>
      </w:r>
    </w:p>
    <w:p>
      <w:pPr>
        <w:pStyle w:val="Normal"/>
      </w:pPr>
      <w:r>
        <w:t xml:space="preserve">This should not cause any difficulties if you </w:t>
      </w:r>
      <w:hyperlink w:anchor="page_424">
        <w:r>
          <w:rPr>
            <w:rStyle w:val="Text2"/>
          </w:rPr>
          <w:t>use LVM</w:t>
        </w:r>
      </w:hyperlink>
      <w:r>
        <w:t xml:space="preserve"> (page 423) to create logical devices from the multipath device, but if you require that your multipath device names be consistent in every node it is recommended that you leave the user_friendly_names option set to ‘no’ and that you </w:t>
      </w:r>
      <w:r>
        <w:rPr>
          <w:rStyle w:val="Text0"/>
        </w:rPr>
        <w:t>do not</w:t>
      </w:r>
      <w:r>
        <w:t xml:space="preserve"> configure aliases for the devices.</w:t>
      </w:r>
    </w:p>
    <w:p>
      <w:pPr>
        <w:pStyle w:val="Normal"/>
      </w:pPr>
      <w:r>
        <w:t>If you configure an alias for a device that you would like to be consistent across the nodes in the cluster, you should ensure that the /etc/multipath.conf file is the same for each node in the cluster by following the same procedure:</w:t>
      </w:r>
    </w:p>
    <w:p>
      <w:pPr>
        <w:pStyle w:val="Para 03"/>
      </w:pPr>
      <w:r>
        <w:t>1. Configure the aliases for the multipath devices in the in the multipath.conf file on one</w:t>
      </w:r>
    </w:p>
    <w:p>
      <w:pPr>
        <w:pStyle w:val="Para 02"/>
      </w:pPr>
      <w:r>
        <w:t>machine.</w:t>
      </w:r>
    </w:p>
    <w:p>
      <w:pPr>
        <w:pStyle w:val="Para 03"/>
      </w:pPr>
      <w:r>
        <w:t>2. Disable all of your multipath devices on your other machines by running the following</w:t>
      </w:r>
    </w:p>
    <w:p>
      <w:pPr>
        <w:pStyle w:val="Para 02"/>
      </w:pPr>
      <w:r>
        <w:t>commands as root:</w:t>
      </w:r>
    </w:p>
    <w:p>
      <w:pPr>
        <w:pStyle w:val="Para 02"/>
      </w:pPr>
      <w:r>
        <w:t>systemctl stop multipath-tools.service</w:t>
      </w:r>
    </w:p>
    <w:p>
      <w:pPr>
        <w:pStyle w:val="Para 02"/>
      </w:pPr>
      <w:r>
        <w:t>multipath -F</w:t>
      </w:r>
    </w:p>
    <w:p>
      <w:pPr>
        <w:pStyle w:val="Para 17"/>
      </w:pPr>
      <w:r>
        <w:t/>
      </w:r>
    </w:p>
    <w:p>
      <w:pPr>
        <w:pStyle w:val="Para 03"/>
      </w:pPr>
      <w:r>
        <w:t>3. Copy the /etc/multipath.conf file from the first machine to all other machines in the</w:t>
      </w:r>
    </w:p>
    <w:p>
      <w:pPr>
        <w:pStyle w:val="Para 02"/>
      </w:pPr>
      <w:r>
        <w:t>cluster.</w:t>
      </w:r>
    </w:p>
    <w:p>
      <w:pPr>
        <w:pStyle w:val="Para 03"/>
      </w:pPr>
      <w:r>
        <w:t>4. Re-enable the multipathd daemon on all the other machines in the cluster by running</w:t>
      </w:r>
    </w:p>
    <w:p>
      <w:pPr>
        <w:pStyle w:val="Para 02"/>
      </w:pPr>
      <w:r>
        <w:t>the following command as root:</w:t>
      </w:r>
    </w:p>
    <w:p>
      <w:pPr>
        <w:pStyle w:val="Para 02"/>
      </w:pPr>
      <w:r>
        <w:t>systemctl start multipath-tools.service</w:t>
      </w:r>
    </w:p>
    <w:p>
      <w:pPr>
        <w:pStyle w:val="Para 17"/>
      </w:pPr>
      <w:r>
        <w:t/>
      </w:r>
    </w:p>
    <w:p>
      <w:pPr>
        <w:pStyle w:val="Normal"/>
      </w:pPr>
      <w:r>
        <w:t>Whenever you add a new device you will need to repeat this process.</w:t>
      </w:r>
    </w:p>
    <w:p>
      <w:bookmarkStart w:id="1361" w:name="page_8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3" name="index-865_1.png" descr="index-865_1.png"/>
            <wp:cNvGraphicFramePr>
              <a:graphicFrameLocks noChangeAspect="1"/>
            </wp:cNvGraphicFramePr>
            <a:graphic>
              <a:graphicData uri="http://schemas.openxmlformats.org/drawingml/2006/picture">
                <pic:pic>
                  <pic:nvPicPr>
                    <pic:cNvPr id="0" name="index-865_1.png" descr="index-865_1.png"/>
                    <pic:cNvPicPr/>
                  </pic:nvPicPr>
                  <pic:blipFill>
                    <a:blip r:embed="rId907"/>
                    <a:stretch>
                      <a:fillRect/>
                    </a:stretch>
                  </pic:blipFill>
                  <pic:spPr>
                    <a:xfrm>
                      <a:off x="0" y="0"/>
                      <a:ext cx="914400" cy="266700"/>
                    </a:xfrm>
                    <a:prstGeom prst="rect">
                      <a:avLst/>
                    </a:prstGeom>
                  </pic:spPr>
                </pic:pic>
              </a:graphicData>
            </a:graphic>
          </wp:anchor>
        </w:drawing>
      </w:r>
      <w:bookmarkEnd w:id="1361"/>
    </w:p>
    <w:p>
      <w:pPr>
        <w:pStyle w:val="Para 01"/>
      </w:pPr>
      <w:r>
        <w:t>Multipath device attributes</w:t>
      </w:r>
    </w:p>
    <w:p>
      <w:pPr>
        <w:pStyle w:val="Para 17"/>
      </w:pPr>
      <w:r>
        <w:t/>
      </w:r>
    </w:p>
    <w:p>
      <w:pPr>
        <w:pStyle w:val="Normal"/>
      </w:pPr>
      <w:r>
        <w:t>In addition to the user_friendly_names and alias options, a multipath device has numerous attributes. You can modify these attributes for a specific multipath device by creating an entry for that device in the multipaths section of /etc/multipath.conf.</w:t>
      </w:r>
    </w:p>
    <w:p>
      <w:pPr>
        <w:pStyle w:val="Normal"/>
      </w:pPr>
      <w:r>
        <w:t xml:space="preserve">For information on the multipaths section of the multipath configuration file, see </w:t>
      </w:r>
      <w:hyperlink w:anchor="page_866">
        <w:r>
          <w:rPr>
            <w:rStyle w:val="Text2"/>
          </w:rPr>
          <w:t>DM-</w:t>
        </w:r>
      </w:hyperlink>
    </w:p>
    <w:p>
      <w:pPr>
        <w:pStyle w:val="Para 20"/>
      </w:pPr>
      <w:hyperlink w:anchor="page_866">
        <w:r>
          <w:t>Multipath configuration</w:t>
        </w:r>
      </w:hyperlink>
      <w:r>
        <w:rPr>
          <w:rStyle w:val="Text4"/>
        </w:rPr>
        <w:t xml:space="preserve"> (page 865).</w:t>
      </w:r>
    </w:p>
    <w:p>
      <w:pPr>
        <w:pStyle w:val="Para 17"/>
      </w:pPr>
      <w:r>
        <w:t/>
      </w:r>
    </w:p>
    <w:p>
      <w:pPr>
        <w:pStyle w:val="Para 01"/>
      </w:pPr>
      <w:r>
        <w:t>Multipath devices in logical volumes</w:t>
      </w:r>
    </w:p>
    <w:p>
      <w:pPr>
        <w:pStyle w:val="Para 17"/>
      </w:pPr>
      <w:r>
        <w:t/>
      </w:r>
    </w:p>
    <w:p>
      <w:pPr>
        <w:pStyle w:val="Normal"/>
      </w:pPr>
      <w:r>
        <w:t>After creating multipath devices, you can use the multipath device names just as you would use a physical device name when you are creating an LVM physical volume.</w:t>
      </w:r>
    </w:p>
    <w:p>
      <w:pPr>
        <w:pStyle w:val="Normal"/>
      </w:pPr>
      <w:r>
        <w:t>For example, if /dev/mapper/mpatha is the name of a multipath device, the following com-mand (run as root) will mark /dev/mapper/mpatha as a physical volume:</w:t>
      </w:r>
    </w:p>
    <w:p>
      <w:pPr>
        <w:pStyle w:val="Normal"/>
      </w:pPr>
      <w:r>
        <w:t>pvcreate /dev/mapper/mpatha</w:t>
      </w:r>
    </w:p>
    <w:p>
      <w:pPr>
        <w:pStyle w:val="Para 17"/>
      </w:pPr>
      <w:r>
        <w:t/>
      </w:r>
    </w:p>
    <w:p>
      <w:pPr>
        <w:pStyle w:val="Normal"/>
      </w:pPr>
      <w:r>
        <w:t>You can use the resulting LVM physical device when you create an LVM volume group just as you would use any other LVM physical device.</w:t>
      </w:r>
    </w:p>
    <w:p>
      <w:pPr>
        <w:pStyle w:val="Para 08"/>
      </w:pPr>
      <w:r>
        <w:t>Note:</w:t>
      </w:r>
    </w:p>
    <w:p>
      <w:pPr>
        <w:pStyle w:val="Para 03"/>
      </w:pPr>
      <w:r>
        <w:t>If you try to create an LVM physical volume on a whole device on which you have configured</w:t>
      </w:r>
    </w:p>
    <w:p>
      <w:pPr>
        <w:pStyle w:val="Para 03"/>
      </w:pPr>
      <w:r>
        <w:t>partitions, the pvcreate command will fail.</w:t>
      </w:r>
    </w:p>
    <w:p>
      <w:pPr>
        <w:pStyle w:val="Para 17"/>
      </w:pPr>
      <w:r>
        <w:t/>
      </w:r>
    </w:p>
    <w:p>
      <w:pPr>
        <w:pStyle w:val="Normal"/>
      </w:pPr>
      <w:r>
        <w:t>Once you create an LVM logical volume that has active/passive multipath arrays as the un-derlying physical devices, you must add filters in the lvm.conf file to exclude the disks that underlie the multipath devices. This is because if the array automatically changes the active</w:t>
      </w:r>
    </w:p>
    <w:p>
      <w:pPr>
        <w:pStyle w:val="Normal"/>
      </w:pPr>
      <w:r>
        <w:t xml:space="preserve">path to the passive path when it receives I/O, multipath will failover and </w:t>
      </w:r>
      <w:hyperlink w:anchor="page_682">
        <w:r>
          <w:rPr>
            <w:rStyle w:val="Text2"/>
          </w:rPr>
          <w:t>fallbacks</w:t>
        </w:r>
      </w:hyperlink>
      <w:r>
        <w:t xml:space="preserve"> whenever LVM scans the passive path if these devices are not filtered.</w:t>
      </w:r>
    </w:p>
    <w:p>
      <w:pPr>
        <w:pStyle w:val="Normal"/>
      </w:pPr>
      <w:r>
        <w:t>If an active/passive array requires a command to activate the passive path, LVM will print a warning message. To filter all SCSI devices in the LVM configuration file (lvm.conf), include the following filter in the devices section of the file:</w:t>
      </w:r>
    </w:p>
    <w:p>
      <w:pPr>
        <w:pStyle w:val="Normal"/>
      </w:pPr>
      <w:r>
        <w:t>filter = [ "r/block/", "r/disk/", "r/sd.*/", "a/.*/" ]</w:t>
      </w:r>
    </w:p>
    <w:p>
      <w:pPr>
        <w:pStyle w:val="Para 17"/>
      </w:pPr>
      <w:r>
        <w:t/>
      </w:r>
    </w:p>
    <w:p>
      <w:pPr>
        <w:pStyle w:val="Normal"/>
      </w:pPr>
      <w:r>
        <w:t>After updating /etc/lvm.conf, it’s necessary to update the initrd so that this file will be copied there, where the filter matters the most – during boot. Perform:</w:t>
      </w:r>
    </w:p>
    <w:p>
      <w:pPr>
        <w:pStyle w:val="Normal"/>
      </w:pPr>
      <w:r>
        <w:t>update-initramfs -u -k all</w:t>
      </w:r>
    </w:p>
    <w:p>
      <w:pPr>
        <w:pStyle w:val="Para 17"/>
      </w:pPr>
      <w:r>
        <w:t/>
      </w:r>
    </w:p>
    <w:p>
      <w:pPr>
        <w:pStyle w:val="Para 08"/>
      </w:pPr>
      <w:r>
        <w:t>Note:</w:t>
      </w:r>
    </w:p>
    <w:p>
      <w:pPr>
        <w:pStyle w:val="Para 03"/>
      </w:pPr>
      <w:r>
        <w:t>Every time either /etc/lvm.conf or /etc/multipath.conf is updated, the initrd should be</w:t>
      </w:r>
    </w:p>
    <w:p>
      <w:pPr>
        <w:pStyle w:val="Para 03"/>
      </w:pPr>
      <w:r>
        <w:t xml:space="preserve">rebuilt to reflect these changes. This is imperative when </w:t>
      </w:r>
      <w:hyperlink w:anchor="page_678">
        <w:r>
          <w:rPr>
            <w:rStyle w:val="Text2"/>
          </w:rPr>
          <w:t>denylists</w:t>
        </w:r>
      </w:hyperlink>
      <w:r>
        <w:t xml:space="preserve"> and filters are necessary</w:t>
      </w:r>
    </w:p>
    <w:p>
      <w:pPr>
        <w:pStyle w:val="Para 03"/>
      </w:pPr>
      <w:r>
        <w:t>to maintain a stable storage configuration.</w:t>
      </w:r>
    </w:p>
    <w:p>
      <w:bookmarkStart w:id="1362" w:name="page_8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4" name="index-866_1.png" descr="index-866_1.png"/>
            <wp:cNvGraphicFramePr>
              <a:graphicFrameLocks noChangeAspect="1"/>
            </wp:cNvGraphicFramePr>
            <a:graphic>
              <a:graphicData uri="http://schemas.openxmlformats.org/drawingml/2006/picture">
                <pic:pic>
                  <pic:nvPicPr>
                    <pic:cNvPr id="0" name="index-866_1.png" descr="index-866_1.png"/>
                    <pic:cNvPicPr/>
                  </pic:nvPicPr>
                  <pic:blipFill>
                    <a:blip r:embed="rId908"/>
                    <a:stretch>
                      <a:fillRect/>
                    </a:stretch>
                  </pic:blipFill>
                  <pic:spPr>
                    <a:xfrm>
                      <a:off x="0" y="0"/>
                      <a:ext cx="914400" cy="266700"/>
                    </a:xfrm>
                    <a:prstGeom prst="rect">
                      <a:avLst/>
                    </a:prstGeom>
                  </pic:spPr>
                </pic:pic>
              </a:graphicData>
            </a:graphic>
          </wp:anchor>
        </w:drawing>
      </w:r>
      <w:bookmarkEnd w:id="1362"/>
    </w:p>
    <w:p>
      <w:pPr>
        <w:pStyle w:val="Para 01"/>
      </w:pPr>
      <w:r>
        <w:t>Multipath configuration options and overview</w:t>
      </w:r>
    </w:p>
    <w:p>
      <w:pPr>
        <w:pStyle w:val="Para 17"/>
      </w:pPr>
      <w:r>
        <w:t/>
      </w:r>
    </w:p>
    <w:p>
      <w:pPr>
        <w:pStyle w:val="Normal"/>
      </w:pPr>
      <w:r>
        <w:t xml:space="preserve">It is recommended that you first read the </w:t>
      </w:r>
      <w:hyperlink w:anchor="page_861">
        <w:r>
          <w:rPr>
            <w:rStyle w:val="Text2"/>
          </w:rPr>
          <w:t>device mapper multipathing introduction</w:t>
        </w:r>
      </w:hyperlink>
      <w:r>
        <w:t xml:space="preserve"> (page 860) if you are unfamiliar with the concepts and terms. For consistency, we refer to device mapper multipathing as </w:t>
      </w:r>
      <w:r>
        <w:rPr>
          <w:rStyle w:val="Text0"/>
        </w:rPr>
        <w:t>multipath</w:t>
      </w:r>
      <w:r>
        <w:t>.</w:t>
      </w:r>
    </w:p>
    <w:p>
      <w:pPr>
        <w:pStyle w:val="Normal"/>
      </w:pPr>
      <w:r>
        <w:t>Multipath usually works out-of-the-box with most common storage. This doesn’t mean the default configuration variables should be used in production: they don’t treat important pa-rameters your storage might need.</w:t>
      </w:r>
    </w:p>
    <w:p>
      <w:pPr>
        <w:pStyle w:val="Normal"/>
      </w:pPr>
      <w:r>
        <w:t>It’s a good idea to consult your storage manufacturer’s install guide for the Linux Multipath configuration options. Storage vendors often provide the most adequate options for Linux, including minimal versions required for kernel and multipath-tools.</w:t>
      </w:r>
    </w:p>
    <w:p>
      <w:pPr>
        <w:pStyle w:val="Normal"/>
      </w:pPr>
      <w:r>
        <w:t>Default multipath configuration values can be overridden by editing the /etc/multipath. conf file and restarting the multipathd service. This page provides information on parsing and modifying the multipath.conf file.</w:t>
      </w:r>
    </w:p>
    <w:p>
      <w:pPr>
        <w:pStyle w:val="Para 17"/>
      </w:pPr>
      <w:r>
        <w:t/>
      </w:r>
    </w:p>
    <w:p>
      <w:pPr>
        <w:pStyle w:val="Para 01"/>
      </w:pPr>
      <w:r>
        <w:t>Configuration file overview</w:t>
      </w:r>
    </w:p>
    <w:p>
      <w:pPr>
        <w:pStyle w:val="Para 17"/>
      </w:pPr>
      <w:r>
        <w:t/>
      </w:r>
    </w:p>
    <w:p>
      <w:pPr>
        <w:pStyle w:val="Normal"/>
      </w:pPr>
      <w:r>
        <w:t>The multipath.conf configuration file contains entries of the form:</w:t>
      </w:r>
    </w:p>
    <w:p>
      <w:pPr>
        <w:pStyle w:val="Normal"/>
      </w:pPr>
      <w:r>
        <w:t>&lt;</w:t>
        <w:t>section</w:t>
        <w:t>&gt;</w:t>
        <w:t xml:space="preserve"> </w:t>
        <w:t>{</w:t>
      </w:r>
    </w:p>
    <w:p>
      <w:pPr>
        <w:pStyle w:val="Para 06"/>
      </w:pPr>
      <w:r>
        <w:t>&lt;</w:t>
        <w:t>attribute</w:t>
        <w:t>&gt; &lt;</w:t>
        <w:t>value</w:t>
        <w:t>&gt;</w:t>
      </w:r>
    </w:p>
    <w:p>
      <w:pPr>
        <w:pStyle w:val="Para 06"/>
      </w:pPr>
      <w:r>
        <w:t>...</w:t>
      </w:r>
    </w:p>
    <w:p>
      <w:pPr>
        <w:pStyle w:val="Para 06"/>
      </w:pPr>
      <w:r>
        <w:t>&lt;</w:t>
        <w:t>subsection</w:t>
        <w:t>&gt;</w:t>
        <w:t xml:space="preserve"> </w:t>
        <w:t>{</w:t>
      </w:r>
    </w:p>
    <w:p>
      <w:pPr>
        <w:pStyle w:val="Para 12"/>
      </w:pPr>
      <w:r>
        <w:t>&lt;</w:t>
        <w:t>attribute</w:t>
        <w:t>&gt; &lt;</w:t>
        <w:t>value</w:t>
        <w:t>&gt;</w:t>
      </w:r>
    </w:p>
    <w:p>
      <w:pPr>
        <w:pStyle w:val="Para 12"/>
      </w:pPr>
      <w:r>
        <w:t>...</w:t>
      </w:r>
    </w:p>
    <w:p>
      <w:pPr>
        <w:pStyle w:val="Para 06"/>
      </w:pPr>
      <w:r>
        <w:t>}</w:t>
      </w:r>
    </w:p>
    <w:p>
      <w:pPr>
        <w:pStyle w:val="Normal"/>
      </w:pPr>
      <w:r>
        <w:t>}</w:t>
      </w:r>
    </w:p>
    <w:p>
      <w:pPr>
        <w:pStyle w:val="Para 17"/>
      </w:pPr>
      <w:r>
        <w:t/>
      </w:r>
    </w:p>
    <w:p>
      <w:pPr>
        <w:pStyle w:val="Normal"/>
      </w:pPr>
      <w:r>
        <w:t>The following keywords are recognized:</w:t>
      </w:r>
    </w:p>
    <w:p>
      <w:pPr>
        <w:pStyle w:val="Para 04"/>
      </w:pPr>
      <w:r>
        <w:t xml:space="preserve">• </w:t>
      </w:r>
      <w:r>
        <w:rPr>
          <w:rStyle w:val="Text0"/>
        </w:rPr>
        <w:t>defaults</w:t>
      </w:r>
      <w:r>
        <w:t>: Defines default values for attributes used whenever no values are given in</w:t>
      </w:r>
    </w:p>
    <w:p>
      <w:pPr>
        <w:pStyle w:val="Para 02"/>
      </w:pPr>
      <w:r>
        <w:t>the appropriate device or multipath sections.</w:t>
      </w:r>
    </w:p>
    <w:p>
      <w:pPr>
        <w:pStyle w:val="Para 04"/>
      </w:pPr>
      <w:r>
        <w:t xml:space="preserve">• </w:t>
      </w:r>
      <w:r>
        <w:rPr>
          <w:rStyle w:val="Text0"/>
        </w:rPr>
        <w:t>blacklist</w:t>
      </w:r>
      <w:r>
        <w:t>: Defines which devices should be excluded from the multipath topology dis-</w:t>
      </w:r>
    </w:p>
    <w:p>
      <w:pPr>
        <w:pStyle w:val="Para 02"/>
      </w:pPr>
      <w:r>
        <w:t>covery.</w:t>
      </w:r>
    </w:p>
    <w:p>
      <w:pPr>
        <w:pStyle w:val="Para 04"/>
      </w:pPr>
      <w:r>
        <w:t xml:space="preserve">• </w:t>
      </w:r>
      <w:r>
        <w:rPr>
          <w:rStyle w:val="Text0"/>
        </w:rPr>
        <w:t>blacklist_exceptions</w:t>
      </w:r>
      <w:r>
        <w:t>: Defines which devices should be included in the multipath</w:t>
      </w:r>
    </w:p>
    <w:p>
      <w:pPr>
        <w:pStyle w:val="Para 02"/>
      </w:pPr>
      <w:r>
        <w:t>topology discovery, despite being listed in the blocklist section.</w:t>
      </w:r>
    </w:p>
    <w:p>
      <w:pPr>
        <w:pStyle w:val="Para 04"/>
      </w:pPr>
      <w:r>
        <w:t xml:space="preserve">• </w:t>
      </w:r>
      <w:r>
        <w:rPr>
          <w:rStyle w:val="Text0"/>
        </w:rPr>
        <w:t>multipaths</w:t>
      </w:r>
      <w:r>
        <w:t>: Defines the multipath topologies. They are indexed by a World Wide Iden-</w:t>
      </w:r>
    </w:p>
    <w:p>
      <w:pPr>
        <w:pStyle w:val="Para 02"/>
      </w:pPr>
      <w:r>
        <w:t xml:space="preserve">tifier (WWID). Attributes set in this section take precedence </w:t>
      </w:r>
      <w:r>
        <w:rPr>
          <w:rStyle w:val="Text0"/>
        </w:rPr>
        <w:t>over all others</w:t>
      </w:r>
      <w:r>
        <w:t>.</w:t>
      </w:r>
    </w:p>
    <w:p>
      <w:pPr>
        <w:pStyle w:val="Para 04"/>
      </w:pPr>
      <w:r>
        <w:t xml:space="preserve">• </w:t>
      </w:r>
      <w:r>
        <w:rPr>
          <w:rStyle w:val="Text0"/>
        </w:rPr>
        <w:t>devices</w:t>
      </w:r>
      <w:r>
        <w:t>: Defines the device-specific settings. Devices are identified by vendor, product,</w:t>
      </w:r>
    </w:p>
    <w:p>
      <w:pPr>
        <w:pStyle w:val="Para 02"/>
      </w:pPr>
      <w:r>
        <w:t>and revision.</w:t>
      </w:r>
    </w:p>
    <w:p>
      <w:pPr>
        <w:pStyle w:val="Para 04"/>
      </w:pPr>
      <w:r>
        <w:t xml:space="preserve">• </w:t>
      </w:r>
      <w:r>
        <w:rPr>
          <w:rStyle w:val="Text0"/>
        </w:rPr>
        <w:t>overrides</w:t>
      </w:r>
      <w:r>
        <w:t>: This section defines values for attributes that should override the device-</w:t>
      </w:r>
    </w:p>
    <w:p>
      <w:pPr>
        <w:pStyle w:val="Para 02"/>
      </w:pPr>
      <w:r>
        <w:t>specific settings for all devices.</w:t>
      </w:r>
    </w:p>
    <w:p>
      <w:bookmarkStart w:id="1363" w:name="calibre_pb_248"/>
      <w:pPr>
        <w:pStyle w:val="0 Block"/>
      </w:pPr>
      <w:bookmarkEnd w:id="1363"/>
    </w:p>
    <w:p>
      <w:bookmarkStart w:id="1364" w:name="page_867"/>
      <w:bookmarkStart w:id="1365" w:name="Top_of_index_split_24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5" name="index-867_1.png" descr="index-867_1.png"/>
            <wp:cNvGraphicFramePr>
              <a:graphicFrameLocks noChangeAspect="1"/>
            </wp:cNvGraphicFramePr>
            <a:graphic>
              <a:graphicData uri="http://schemas.openxmlformats.org/drawingml/2006/picture">
                <pic:pic>
                  <pic:nvPicPr>
                    <pic:cNvPr id="0" name="index-867_1.png" descr="index-867_1.png"/>
                    <pic:cNvPicPr/>
                  </pic:nvPicPr>
                  <pic:blipFill>
                    <a:blip r:embed="rId909"/>
                    <a:stretch>
                      <a:fillRect/>
                    </a:stretch>
                  </pic:blipFill>
                  <pic:spPr>
                    <a:xfrm>
                      <a:off x="0" y="0"/>
                      <a:ext cx="914400" cy="266700"/>
                    </a:xfrm>
                    <a:prstGeom prst="rect">
                      <a:avLst/>
                    </a:prstGeom>
                  </pic:spPr>
                </pic:pic>
              </a:graphicData>
            </a:graphic>
          </wp:anchor>
        </w:drawing>
      </w:r>
      <w:bookmarkEnd w:id="1364"/>
      <w:bookmarkEnd w:id="1365"/>
    </w:p>
    <w:p>
      <w:pPr>
        <w:pStyle w:val="Para 01"/>
      </w:pPr>
      <w:r>
        <w:t>Configuration file defaults</w:t>
      </w:r>
    </w:p>
    <w:p>
      <w:pPr>
        <w:pStyle w:val="Para 17"/>
      </w:pPr>
      <w:r>
        <w:t/>
      </w:r>
    </w:p>
    <w:p>
      <w:pPr>
        <w:pStyle w:val="Normal"/>
      </w:pPr>
      <w:r>
        <w:t>Currently, the multipath configuration file ONLY includes a minor defaults section that sets the user_friendly_names parameter to ‘yes’:</w:t>
      </w:r>
    </w:p>
    <w:p>
      <w:pPr>
        <w:pStyle w:val="Normal"/>
      </w:pPr>
      <w:r>
        <w:t>defaults {</w:t>
      </w:r>
    </w:p>
    <w:p>
      <w:pPr>
        <w:pStyle w:val="Para 02"/>
      </w:pPr>
      <w:r>
        <w:t>user_friendly_names yes</w:t>
      </w:r>
    </w:p>
    <w:p>
      <w:pPr>
        <w:pStyle w:val="Normal"/>
      </w:pPr>
      <w:r>
        <w:t>}</w:t>
      </w:r>
    </w:p>
    <w:p>
      <w:pPr>
        <w:pStyle w:val="Para 17"/>
      </w:pPr>
      <w:r>
        <w:t/>
      </w:r>
    </w:p>
    <w:p>
      <w:pPr>
        <w:pStyle w:val="Normal"/>
      </w:pPr>
      <w:r>
        <w:t>This overwrites the default value of the user_friendly_names parameter.</w:t>
      </w:r>
    </w:p>
    <w:p>
      <w:pPr>
        <w:pStyle w:val="Normal"/>
      </w:pPr>
      <w:r>
        <w:t>All the multipath attributes that can be set in the defaults section of the multipath.conf file</w:t>
      </w:r>
    </w:p>
    <w:p>
      <w:pPr>
        <w:pStyle w:val="Normal"/>
      </w:pPr>
      <w:r>
        <w:t xml:space="preserve">can be found </w:t>
      </w:r>
      <w:hyperlink r:id="rId1752">
        <w:r>
          <w:rPr>
            <w:rStyle w:val="Text9"/>
          </w:rPr>
          <w:t>918</w:t>
        </w:r>
      </w:hyperlink>
      <w:hyperlink r:id="rId1752">
        <w:r>
          <w:rPr>
            <w:rStyle w:val="Text1"/>
          </w:rPr>
          <w:t xml:space="preserve"> </w:t>
        </w:r>
      </w:hyperlink>
      <w:hyperlink r:id="rId1752">
        <w:r>
          <w:rPr>
            <w:rStyle w:val="Text2"/>
          </w:rPr>
          <w:t>in the manual pages</w:t>
        </w:r>
      </w:hyperlink>
      <w:r>
        <w:t xml:space="preserve"> with an explanation of what they mean. The attributes are:</w:t>
      </w:r>
    </w:p>
    <w:p>
      <w:pPr>
        <w:pStyle w:val="Para 04"/>
      </w:pPr>
      <w:r>
        <w:t>• verbosity</w:t>
      </w:r>
    </w:p>
    <w:p>
      <w:pPr>
        <w:pStyle w:val="Para 04"/>
      </w:pPr>
      <w:r>
        <w:t>• polling_interval</w:t>
      </w:r>
    </w:p>
    <w:p>
      <w:pPr>
        <w:pStyle w:val="Para 04"/>
      </w:pPr>
      <w:r>
        <w:t>• max_polling_interval</w:t>
      </w:r>
    </w:p>
    <w:p>
      <w:pPr>
        <w:pStyle w:val="Para 04"/>
      </w:pPr>
      <w:r>
        <w:t>• reassign_maps</w:t>
      </w:r>
    </w:p>
    <w:p>
      <w:pPr>
        <w:pStyle w:val="Para 04"/>
      </w:pPr>
      <w:r>
        <w:t>• multipath_dir</w:t>
      </w:r>
    </w:p>
    <w:p>
      <w:pPr>
        <w:pStyle w:val="Para 04"/>
      </w:pPr>
      <w:r>
        <w:t>• path_selector</w:t>
      </w:r>
    </w:p>
    <w:p>
      <w:pPr>
        <w:pStyle w:val="Para 04"/>
      </w:pPr>
      <w:r>
        <w:t>• path_grouping_policy</w:t>
      </w:r>
    </w:p>
    <w:p>
      <w:pPr>
        <w:pStyle w:val="Para 04"/>
      </w:pPr>
      <w:r>
        <w:t>• uid_attrs</w:t>
      </w:r>
    </w:p>
    <w:p>
      <w:pPr>
        <w:pStyle w:val="Para 04"/>
      </w:pPr>
      <w:r>
        <w:t>• uid_attribute</w:t>
      </w:r>
    </w:p>
    <w:p>
      <w:pPr>
        <w:pStyle w:val="Para 04"/>
      </w:pPr>
      <w:r>
        <w:t>• getuid_callout</w:t>
      </w:r>
    </w:p>
    <w:p>
      <w:pPr>
        <w:pStyle w:val="Para 04"/>
      </w:pPr>
      <w:r>
        <w:t>• prio</w:t>
      </w:r>
    </w:p>
    <w:p>
      <w:pPr>
        <w:pStyle w:val="Para 04"/>
      </w:pPr>
      <w:r>
        <w:t>• prio_args</w:t>
      </w:r>
    </w:p>
    <w:p>
      <w:pPr>
        <w:pStyle w:val="Para 04"/>
      </w:pPr>
      <w:r>
        <w:t>• features</w:t>
      </w:r>
    </w:p>
    <w:p>
      <w:pPr>
        <w:pStyle w:val="Para 04"/>
      </w:pPr>
      <w:r>
        <w:t>• path_checker</w:t>
      </w:r>
    </w:p>
    <w:p>
      <w:pPr>
        <w:pStyle w:val="Para 04"/>
      </w:pPr>
      <w:r>
        <w:t>• alias_prefix</w:t>
      </w:r>
    </w:p>
    <w:p>
      <w:pPr>
        <w:pStyle w:val="Para 04"/>
      </w:pPr>
      <w:r>
        <w:t>• failback</w:t>
      </w:r>
    </w:p>
    <w:p>
      <w:pPr>
        <w:pStyle w:val="Para 04"/>
      </w:pPr>
      <w:r>
        <w:t>• rr_min_io</w:t>
      </w:r>
    </w:p>
    <w:p>
      <w:pPr>
        <w:pStyle w:val="Para 04"/>
      </w:pPr>
      <w:r>
        <w:t>• rr_min_io_rq</w:t>
      </w:r>
    </w:p>
    <w:p>
      <w:pPr>
        <w:pStyle w:val="Para 04"/>
      </w:pPr>
      <w:r>
        <w:t>• max_fds</w:t>
      </w:r>
    </w:p>
    <w:p>
      <w:pPr>
        <w:pStyle w:val="Para 04"/>
      </w:pPr>
      <w:r>
        <w:t>• rr_weight</w:t>
      </w:r>
    </w:p>
    <w:p>
      <w:pPr>
        <w:pStyle w:val="Para 04"/>
      </w:pPr>
      <w:r>
        <w:t>• no_path_retry</w:t>
      </w:r>
    </w:p>
    <w:p>
      <w:pPr>
        <w:pStyle w:val="Para 04"/>
      </w:pPr>
      <w:r>
        <w:t>• queue_without_daemon</w:t>
      </w:r>
    </w:p>
    <w:p>
      <w:pPr>
        <w:pStyle w:val="Para 04"/>
      </w:pPr>
      <w:r>
        <w:t>• checker_timeout</w:t>
      </w:r>
    </w:p>
    <w:p>
      <w:pPr>
        <w:pStyle w:val="Para 04"/>
      </w:pPr>
      <w:r>
        <w:t>• flush_on_last_del</w:t>
      </w:r>
    </w:p>
    <w:p>
      <w:pPr>
        <w:pStyle w:val="Para 05"/>
      </w:pPr>
      <w:r>
        <w:rPr>
          <w:rStyle w:val="Text5"/>
        </w:rPr>
        <w:t>918</w:t>
      </w:r>
      <w:r>
        <w:rPr>
          <w:rStyle w:val="Text8"/>
        </w:rPr>
        <w:t xml:space="preserve"> </w:t>
      </w:r>
      <w:r>
        <w:t>https://manpages.ubuntu.com/manpages/resolute/man5/multipath.conf.5.html</w:t>
      </w:r>
    </w:p>
    <w:p>
      <w:bookmarkStart w:id="1366" w:name="page_8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6" name="index-868_1.png" descr="index-868_1.png"/>
            <wp:cNvGraphicFramePr>
              <a:graphicFrameLocks noChangeAspect="1"/>
            </wp:cNvGraphicFramePr>
            <a:graphic>
              <a:graphicData uri="http://schemas.openxmlformats.org/drawingml/2006/picture">
                <pic:pic>
                  <pic:nvPicPr>
                    <pic:cNvPr id="0" name="index-868_1.png" descr="index-868_1.png"/>
                    <pic:cNvPicPr/>
                  </pic:nvPicPr>
                  <pic:blipFill>
                    <a:blip r:embed="rId910"/>
                    <a:stretch>
                      <a:fillRect/>
                    </a:stretch>
                  </pic:blipFill>
                  <pic:spPr>
                    <a:xfrm>
                      <a:off x="0" y="0"/>
                      <a:ext cx="914400" cy="266700"/>
                    </a:xfrm>
                    <a:prstGeom prst="rect">
                      <a:avLst/>
                    </a:prstGeom>
                  </pic:spPr>
                </pic:pic>
              </a:graphicData>
            </a:graphic>
          </wp:anchor>
        </w:drawing>
      </w:r>
      <w:bookmarkEnd w:id="1366"/>
    </w:p>
    <w:p>
      <w:pPr>
        <w:pStyle w:val="Para 04"/>
      </w:pPr>
      <w:r>
        <w:t>• user_friendly_names</w:t>
      </w:r>
    </w:p>
    <w:p>
      <w:pPr>
        <w:pStyle w:val="Para 04"/>
      </w:pPr>
      <w:r>
        <w:t>• fast_io_fail_tmo</w:t>
      </w:r>
    </w:p>
    <w:p>
      <w:pPr>
        <w:pStyle w:val="Para 04"/>
      </w:pPr>
      <w:r>
        <w:t>• dev_loss_tmo</w:t>
      </w:r>
    </w:p>
    <w:p>
      <w:pPr>
        <w:pStyle w:val="Para 04"/>
      </w:pPr>
      <w:r>
        <w:t>• bindings_file</w:t>
      </w:r>
    </w:p>
    <w:p>
      <w:pPr>
        <w:pStyle w:val="Para 04"/>
      </w:pPr>
      <w:r>
        <w:t>• wwids_file</w:t>
      </w:r>
    </w:p>
    <w:p>
      <w:pPr>
        <w:pStyle w:val="Para 04"/>
      </w:pPr>
      <w:r>
        <w:t>• prkeys_file</w:t>
      </w:r>
    </w:p>
    <w:p>
      <w:pPr>
        <w:pStyle w:val="Para 04"/>
      </w:pPr>
      <w:r>
        <w:t>• log_checker_err</w:t>
      </w:r>
    </w:p>
    <w:p>
      <w:pPr>
        <w:pStyle w:val="Para 04"/>
      </w:pPr>
      <w:r>
        <w:t>• reservation_key</w:t>
      </w:r>
    </w:p>
    <w:p>
      <w:pPr>
        <w:pStyle w:val="Para 04"/>
      </w:pPr>
      <w:r>
        <w:t>• all_tg_pt</w:t>
      </w:r>
    </w:p>
    <w:p>
      <w:pPr>
        <w:pStyle w:val="Para 04"/>
      </w:pPr>
      <w:r>
        <w:t>• retain_attached_hw_handler</w:t>
      </w:r>
    </w:p>
    <w:p>
      <w:pPr>
        <w:pStyle w:val="Para 04"/>
      </w:pPr>
      <w:r>
        <w:t>• detect_prio</w:t>
      </w:r>
    </w:p>
    <w:p>
      <w:pPr>
        <w:pStyle w:val="Para 04"/>
      </w:pPr>
      <w:r>
        <w:t>• detect_checker</w:t>
      </w:r>
    </w:p>
    <w:p>
      <w:pPr>
        <w:pStyle w:val="Para 04"/>
      </w:pPr>
      <w:r>
        <w:t>• force_sync</w:t>
      </w:r>
    </w:p>
    <w:p>
      <w:pPr>
        <w:pStyle w:val="Para 04"/>
      </w:pPr>
      <w:r>
        <w:t>• strict_timing</w:t>
      </w:r>
    </w:p>
    <w:p>
      <w:pPr>
        <w:pStyle w:val="Para 04"/>
      </w:pPr>
      <w:r>
        <w:t>• deferred_remove</w:t>
      </w:r>
    </w:p>
    <w:p>
      <w:pPr>
        <w:pStyle w:val="Para 04"/>
      </w:pPr>
      <w:r>
        <w:t>• partition_delimiter</w:t>
      </w:r>
    </w:p>
    <w:p>
      <w:pPr>
        <w:pStyle w:val="Para 04"/>
      </w:pPr>
      <w:r>
        <w:t>• config_dir</w:t>
      </w:r>
    </w:p>
    <w:p>
      <w:pPr>
        <w:pStyle w:val="Para 04"/>
      </w:pPr>
      <w:r>
        <w:t>• san_path_err_threshold</w:t>
      </w:r>
    </w:p>
    <w:p>
      <w:pPr>
        <w:pStyle w:val="Para 04"/>
      </w:pPr>
      <w:r>
        <w:t>• san_path_err_forget_rate</w:t>
      </w:r>
    </w:p>
    <w:p>
      <w:pPr>
        <w:pStyle w:val="Para 04"/>
      </w:pPr>
      <w:r>
        <w:t>• san_path_err_recovery_time</w:t>
      </w:r>
    </w:p>
    <w:p>
      <w:pPr>
        <w:pStyle w:val="Para 04"/>
      </w:pPr>
      <w:r>
        <w:t>• marginal_path_double_failed_time</w:t>
      </w:r>
    </w:p>
    <w:p>
      <w:pPr>
        <w:pStyle w:val="Para 04"/>
      </w:pPr>
      <w:r>
        <w:t>• marginal_path_err_sample_time</w:t>
      </w:r>
    </w:p>
    <w:p>
      <w:pPr>
        <w:pStyle w:val="Para 04"/>
      </w:pPr>
      <w:r>
        <w:t>• marginal_path_err_rate_threshold</w:t>
      </w:r>
    </w:p>
    <w:p>
      <w:pPr>
        <w:pStyle w:val="Para 04"/>
      </w:pPr>
      <w:r>
        <w:t>• marginal_path_err_recheck_gap_time</w:t>
      </w:r>
    </w:p>
    <w:p>
      <w:pPr>
        <w:pStyle w:val="Para 04"/>
      </w:pPr>
      <w:r>
        <w:t>• delay_watch_checks</w:t>
      </w:r>
    </w:p>
    <w:p>
      <w:pPr>
        <w:pStyle w:val="Para 04"/>
      </w:pPr>
      <w:r>
        <w:t>• delay_wait_checks</w:t>
      </w:r>
    </w:p>
    <w:p>
      <w:pPr>
        <w:pStyle w:val="Para 04"/>
      </w:pPr>
      <w:r>
        <w:t>• marginal_pathgroups</w:t>
      </w:r>
    </w:p>
    <w:p>
      <w:pPr>
        <w:pStyle w:val="Para 04"/>
      </w:pPr>
      <w:r>
        <w:t>• find_multipaths</w:t>
      </w:r>
    </w:p>
    <w:p>
      <w:pPr>
        <w:pStyle w:val="Para 04"/>
      </w:pPr>
      <w:r>
        <w:t>• find_multipaths_timeout</w:t>
      </w:r>
    </w:p>
    <w:p>
      <w:pPr>
        <w:pStyle w:val="Para 04"/>
      </w:pPr>
      <w:r>
        <w:t>• uxsock_timeout</w:t>
      </w:r>
    </w:p>
    <w:p>
      <w:pPr>
        <w:pStyle w:val="Para 04"/>
      </w:pPr>
      <w:r>
        <w:t>• retrigger_tries</w:t>
      </w:r>
    </w:p>
    <w:p>
      <w:pPr>
        <w:pStyle w:val="Para 04"/>
      </w:pPr>
      <w:r>
        <w:t>• retrigger_delay</w:t>
      </w:r>
    </w:p>
    <w:p>
      <w:pPr>
        <w:pStyle w:val="Para 04"/>
      </w:pPr>
      <w:r>
        <w:t>• missing_uev_wait_timeout</w:t>
      </w:r>
    </w:p>
    <w:p>
      <w:pPr>
        <w:pStyle w:val="Para 04"/>
      </w:pPr>
      <w:r>
        <w:t>• skip_kpartx</w:t>
      </w:r>
    </w:p>
    <w:p>
      <w:bookmarkStart w:id="1367" w:name="page_8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7" name="index-869_1.png" descr="index-869_1.png"/>
            <wp:cNvGraphicFramePr>
              <a:graphicFrameLocks noChangeAspect="1"/>
            </wp:cNvGraphicFramePr>
            <a:graphic>
              <a:graphicData uri="http://schemas.openxmlformats.org/drawingml/2006/picture">
                <pic:pic>
                  <pic:nvPicPr>
                    <pic:cNvPr id="0" name="index-869_1.png" descr="index-869_1.png"/>
                    <pic:cNvPicPr/>
                  </pic:nvPicPr>
                  <pic:blipFill>
                    <a:blip r:embed="rId911"/>
                    <a:stretch>
                      <a:fillRect/>
                    </a:stretch>
                  </pic:blipFill>
                  <pic:spPr>
                    <a:xfrm>
                      <a:off x="0" y="0"/>
                      <a:ext cx="914400" cy="266700"/>
                    </a:xfrm>
                    <a:prstGeom prst="rect">
                      <a:avLst/>
                    </a:prstGeom>
                  </pic:spPr>
                </pic:pic>
              </a:graphicData>
            </a:graphic>
          </wp:anchor>
        </w:drawing>
      </w:r>
      <w:bookmarkEnd w:id="1367"/>
    </w:p>
    <w:p>
      <w:pPr>
        <w:pStyle w:val="Para 04"/>
      </w:pPr>
      <w:r>
        <w:t>• disable_changed_wwids</w:t>
      </w:r>
    </w:p>
    <w:p>
      <w:pPr>
        <w:pStyle w:val="Para 04"/>
      </w:pPr>
      <w:r>
        <w:t>• remove_retries</w:t>
      </w:r>
    </w:p>
    <w:p>
      <w:pPr>
        <w:pStyle w:val="Para 04"/>
      </w:pPr>
      <w:r>
        <w:t>• max_sectors_kb</w:t>
      </w:r>
    </w:p>
    <w:p>
      <w:pPr>
        <w:pStyle w:val="Para 04"/>
      </w:pPr>
      <w:r>
        <w:t>• ghost_delay</w:t>
      </w:r>
    </w:p>
    <w:p>
      <w:pPr>
        <w:pStyle w:val="Para 04"/>
      </w:pPr>
      <w:r>
        <w:t>• enable_foreign</w:t>
      </w:r>
    </w:p>
    <w:p>
      <w:pPr>
        <w:pStyle w:val="Para 08"/>
      </w:pPr>
      <w:r>
        <w:t>Note:</w:t>
      </w:r>
    </w:p>
    <w:p>
      <w:pPr>
        <w:pStyle w:val="Para 03"/>
      </w:pPr>
      <w:r>
        <w:t>Previously, the multipath-tools project provided a complete configuration file with all</w:t>
      </w:r>
    </w:p>
    <w:p>
      <w:pPr>
        <w:pStyle w:val="Para 03"/>
      </w:pPr>
      <w:r>
        <w:t>the most commonly used options for each of the most-used storage devices. Currently,</w:t>
      </w:r>
    </w:p>
    <w:p>
      <w:pPr>
        <w:pStyle w:val="Para 03"/>
      </w:pPr>
      <w:r>
        <w:t>you can see all those default options by running sudo multipath -t. This will dump a used</w:t>
      </w:r>
    </w:p>
    <w:p>
      <w:pPr>
        <w:pStyle w:val="Para 03"/>
      </w:pPr>
      <w:r>
        <w:t>configuration file including all the embedded default options.</w:t>
      </w:r>
    </w:p>
    <w:p>
      <w:pPr>
        <w:pStyle w:val="Para 17"/>
      </w:pPr>
      <w:r>
        <w:t/>
      </w:r>
    </w:p>
    <w:p>
      <w:pPr>
        <w:pStyle w:val="Para 01"/>
      </w:pPr>
      <w:r>
        <w:t>Configuration file blocklist and exceptions</w:t>
      </w:r>
    </w:p>
    <w:p>
      <w:pPr>
        <w:pStyle w:val="Para 17"/>
      </w:pPr>
      <w:r>
        <w:t/>
      </w:r>
    </w:p>
    <w:p>
      <w:pPr>
        <w:pStyle w:val="Normal"/>
      </w:pPr>
      <w:r>
        <w:t>The blocklist section is used to exclude specific devices from the multipath topology. It is most commonly used to exclude local disks, non-multipathed devices, or non-disk devices.</w:t>
      </w:r>
    </w:p>
    <w:p>
      <w:pPr>
        <w:pStyle w:val="Para 17"/>
      </w:pPr>
      <w:r>
        <w:t/>
      </w:r>
    </w:p>
    <w:p>
      <w:pPr>
        <w:pStyle w:val="Para 01"/>
      </w:pPr>
      <w:r>
        <w:t>By devnode</w:t>
      </w:r>
    </w:p>
    <w:p>
      <w:pPr>
        <w:pStyle w:val="Para 17"/>
      </w:pPr>
      <w:r>
        <w:t/>
      </w:r>
    </w:p>
    <w:p>
      <w:pPr>
        <w:pStyle w:val="Normal"/>
      </w:pPr>
      <w:r>
        <w:t>The default blocklist consists of the regular expressions "^(ram|zram|raw|loop|fd|md|dm-|sr|scd|st|dcssblk)[0-9]" and "^(td|hd|vd)[a-z]". This causes virtual devices, non-disk devices, and some other device types to be excluded from multipath handling by default.</w:t>
      </w:r>
    </w:p>
    <w:p>
      <w:pPr>
        <w:pStyle w:val="Normal"/>
      </w:pPr>
      <w:r>
        <w:t>blacklist {</w:t>
      </w:r>
    </w:p>
    <w:p>
      <w:pPr>
        <w:pStyle w:val="Para 02"/>
      </w:pPr>
      <w:r>
        <w:t>devnode "^(ram|zram|raw|loop|fd|md|dm-|sr|scd|st|dcssblk)[0-9]"</w:t>
        <w:t xml:space="preserve"> </w:t>
        <w:t>devnode "^(td|hd|vd)[a-z]"</w:t>
      </w:r>
    </w:p>
    <w:p>
      <w:pPr>
        <w:pStyle w:val="Para 02"/>
      </w:pPr>
      <w:r>
        <w:t>devnode "^cciss!c[0-9]d[0-9]*"</w:t>
      </w:r>
    </w:p>
    <w:p>
      <w:pPr>
        <w:pStyle w:val="Normal"/>
      </w:pPr>
      <w:r>
        <w:t>}</w:t>
      </w:r>
    </w:p>
    <w:p>
      <w:pPr>
        <w:pStyle w:val="Para 17"/>
      </w:pPr>
      <w:r>
        <w:t/>
      </w:r>
    </w:p>
    <w:p>
      <w:pPr>
        <w:pStyle w:val="Para 01"/>
      </w:pPr>
      <w:r>
        <w:t>By wwid</w:t>
      </w:r>
    </w:p>
    <w:p>
      <w:pPr>
        <w:pStyle w:val="Para 17"/>
      </w:pPr>
      <w:r>
        <w:t/>
      </w:r>
    </w:p>
    <w:p>
      <w:pPr>
        <w:pStyle w:val="Normal"/>
      </w:pPr>
      <w:r>
        <w:t>Regular expression for the World Wide Identifier of a device to be excluded/included</w:t>
      </w:r>
    </w:p>
    <w:p>
      <w:pPr>
        <w:pStyle w:val="Para 17"/>
      </w:pPr>
      <w:r>
        <w:t/>
      </w:r>
    </w:p>
    <w:p>
      <w:pPr>
        <w:pStyle w:val="Para 01"/>
      </w:pPr>
      <w:r>
        <w:t>By device</w:t>
      </w:r>
    </w:p>
    <w:p>
      <w:pPr>
        <w:pStyle w:val="Para 17"/>
      </w:pPr>
      <w:r>
        <w:t/>
      </w:r>
    </w:p>
    <w:p>
      <w:pPr>
        <w:pStyle w:val="Normal"/>
      </w:pPr>
      <w:r>
        <w:t>Subsection for the device description. This subsection recognizes the vendor and product keywords. Both are regular expressions.</w:t>
      </w:r>
    </w:p>
    <w:p>
      <w:pPr>
        <w:pStyle w:val="Normal"/>
      </w:pPr>
      <w:r>
        <w:t>device {</w:t>
      </w:r>
    </w:p>
    <w:p>
      <w:pPr>
        <w:pStyle w:val="Para 02"/>
      </w:pPr>
      <w:r>
        <w:t>vendor "LENOVO"</w:t>
      </w:r>
    </w:p>
    <w:p>
      <w:pPr>
        <w:pStyle w:val="Para 02"/>
      </w:pPr>
      <w:r>
        <w:t>product "Universal Xport"</w:t>
      </w:r>
    </w:p>
    <w:p>
      <w:pPr>
        <w:pStyle w:val="Normal"/>
      </w:pPr>
      <w:r>
        <w:t>}</w:t>
      </w:r>
    </w:p>
    <w:p>
      <w:bookmarkStart w:id="1368" w:name="page_8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8" name="index-870_1.png" descr="index-870_1.png"/>
            <wp:cNvGraphicFramePr>
              <a:graphicFrameLocks noChangeAspect="1"/>
            </wp:cNvGraphicFramePr>
            <a:graphic>
              <a:graphicData uri="http://schemas.openxmlformats.org/drawingml/2006/picture">
                <pic:pic>
                  <pic:nvPicPr>
                    <pic:cNvPr id="0" name="index-870_1.png" descr="index-870_1.png"/>
                    <pic:cNvPicPr/>
                  </pic:nvPicPr>
                  <pic:blipFill>
                    <a:blip r:embed="rId912"/>
                    <a:stretch>
                      <a:fillRect/>
                    </a:stretch>
                  </pic:blipFill>
                  <pic:spPr>
                    <a:xfrm>
                      <a:off x="0" y="0"/>
                      <a:ext cx="914400" cy="266700"/>
                    </a:xfrm>
                    <a:prstGeom prst="rect">
                      <a:avLst/>
                    </a:prstGeom>
                  </pic:spPr>
                </pic:pic>
              </a:graphicData>
            </a:graphic>
          </wp:anchor>
        </w:drawing>
      </w:r>
      <w:bookmarkEnd w:id="1368"/>
    </w:p>
    <w:p>
      <w:pPr>
        <w:pStyle w:val="Para 01"/>
      </w:pPr>
      <w:r>
        <w:t>By property</w:t>
      </w:r>
    </w:p>
    <w:p>
      <w:pPr>
        <w:pStyle w:val="Para 17"/>
      </w:pPr>
      <w:r>
        <w:t/>
      </w:r>
    </w:p>
    <w:p>
      <w:pPr>
        <w:pStyle w:val="Normal"/>
      </w:pPr>
      <w:r>
        <w:t>Regular expression for a udev property. All devices that have matching udev properties will be excluded/included. The handling of the property keyword is special, because devices must have at least one allowlisted udev property; otherwise they’re treated as blocklisted, and the message “, udev property missing” is displayed in the logs.</w:t>
      </w:r>
    </w:p>
    <w:p>
      <w:pPr>
        <w:pStyle w:val="Para 17"/>
      </w:pPr>
      <w:r>
        <w:t/>
      </w:r>
    </w:p>
    <w:p>
      <w:pPr>
        <w:pStyle w:val="Para 01"/>
      </w:pPr>
      <w:r>
        <w:t>Blocklist by protocol</w:t>
      </w:r>
    </w:p>
    <w:p>
      <w:pPr>
        <w:pStyle w:val="Para 17"/>
      </w:pPr>
      <w:r>
        <w:t/>
      </w:r>
    </w:p>
    <w:p>
      <w:pPr>
        <w:pStyle w:val="Normal"/>
      </w:pPr>
      <w:r>
        <w:t>The protocol strings that multipath recognizes are scsi:fcp, scsi:spi, scsi:ssa, scsi:sbp, scsi:srp, scsi:iscsi, scsi:sas, scsi:adt, scsi:ata, scsi:unspec, ccw, cciss, nvme, and undef. The protocol that a path is using can be viewed by running:</w:t>
      </w:r>
    </w:p>
    <w:p>
      <w:pPr>
        <w:pStyle w:val="Normal"/>
      </w:pPr>
      <w:r>
        <w:t>multipathd show paths format</w:t>
        <w:t xml:space="preserve"> </w:t>
        <w:t>"%d %P"</w:t>
      </w:r>
    </w:p>
    <w:p>
      <w:pPr>
        <w:pStyle w:val="Para 17"/>
      </w:pPr>
      <w:r>
        <w:t/>
      </w:r>
    </w:p>
    <w:p>
      <w:pPr>
        <w:pStyle w:val="Para 01"/>
      </w:pPr>
      <w:r>
        <w:t>Blocklist exceptions</w:t>
      </w:r>
    </w:p>
    <w:p>
      <w:pPr>
        <w:pStyle w:val="Para 17"/>
      </w:pPr>
      <w:r>
        <w:t/>
      </w:r>
    </w:p>
    <w:p>
      <w:pPr>
        <w:pStyle w:val="Normal"/>
      </w:pPr>
      <w:r>
        <w:t>The blacklist_exceptions section is used to revert the actions of the blocklist section. This allows one to selectively include (””) devices which would normally be excluded via the block-list section.</w:t>
      </w:r>
    </w:p>
    <w:p>
      <w:pPr>
        <w:pStyle w:val="Normal"/>
      </w:pPr>
      <w:r>
        <w:t>blacklist_exceptions {</w:t>
      </w:r>
    </w:p>
    <w:p>
      <w:pPr>
        <w:pStyle w:val="Para 02"/>
      </w:pPr>
      <w:r>
        <w:t>property "(SCSI_IDENT_|ID_WWN)"</w:t>
      </w:r>
    </w:p>
    <w:p>
      <w:pPr>
        <w:pStyle w:val="Normal"/>
      </w:pPr>
      <w:r>
        <w:t>}</w:t>
      </w:r>
    </w:p>
    <w:p>
      <w:pPr>
        <w:pStyle w:val="Para 17"/>
      </w:pPr>
      <w:r>
        <w:t/>
      </w:r>
    </w:p>
    <w:p>
      <w:pPr>
        <w:pStyle w:val="Para 08"/>
      </w:pPr>
      <w:r>
        <w:t>Note:</w:t>
      </w:r>
    </w:p>
    <w:p>
      <w:pPr>
        <w:pStyle w:val="Para 03"/>
      </w:pPr>
      <w:r>
        <w:t>A common use is to blocklist “everything” using a catch-all regular expression, and cre-</w:t>
      </w:r>
    </w:p>
    <w:p>
      <w:pPr>
        <w:pStyle w:val="Para 03"/>
      </w:pPr>
      <w:r>
        <w:t>ate specific blacklist_exceptions entries for those devices that should be handled by</w:t>
      </w:r>
    </w:p>
    <w:p>
      <w:pPr>
        <w:pStyle w:val="Para 03"/>
      </w:pPr>
      <w:r>
        <w:t>multipath-tools .</w:t>
      </w:r>
    </w:p>
    <w:p>
      <w:pPr>
        <w:pStyle w:val="Para 17"/>
      </w:pPr>
      <w:r>
        <w:t/>
      </w:r>
    </w:p>
    <w:p>
      <w:pPr>
        <w:pStyle w:val="Para 01"/>
      </w:pPr>
      <w:r>
        <w:t>Configuration file multipath section</w:t>
      </w:r>
    </w:p>
    <w:p>
      <w:pPr>
        <w:pStyle w:val="Para 17"/>
      </w:pPr>
      <w:r>
        <w:t/>
      </w:r>
    </w:p>
    <w:p>
      <w:pPr>
        <w:pStyle w:val="Normal"/>
      </w:pPr>
      <w:r>
        <w:t xml:space="preserve">The multipaths section allows setting attributes of </w:t>
      </w:r>
      <w:r>
        <w:rPr>
          <w:rStyle w:val="Text0"/>
        </w:rPr>
        <w:t>multipath maps</w:t>
      </w:r>
      <w:r>
        <w:t>. The attributes set via the multipaths section (see list below) take precedence over all other configuration settings, including those from the overrides section.</w:t>
      </w:r>
    </w:p>
    <w:p>
      <w:pPr>
        <w:pStyle w:val="Normal"/>
      </w:pPr>
      <w:r>
        <w:t>The only recognized attribute for the multipaths section is the multipath subsection. If there is more than one multipath subsection matching a given WWID, the contents of these sec-tions are merged, and settings from later entries take precedence.</w:t>
      </w:r>
    </w:p>
    <w:p>
      <w:pPr>
        <w:pStyle w:val="Normal"/>
      </w:pPr>
      <w:r>
        <w:t>The multipath subsection recognizes the following attributes:</w:t>
      </w:r>
    </w:p>
    <w:p>
      <w:pPr>
        <w:pStyle w:val="Para 04"/>
      </w:pPr>
      <w:r>
        <w:t xml:space="preserve">• wwid: (Mandatory) World Wide Identifier. </w:t>
        <w:t>Detected multipath maps are matched</w:t>
      </w:r>
    </w:p>
    <w:p>
      <w:pPr>
        <w:pStyle w:val="Para 02"/>
      </w:pPr>
      <w:r>
        <w:t>against this attribute. Note that, unlike the wwid attribute in the blocklist section, this is not a regular expression or a sub-string; WWIDs must match exactly inside the multi-paths section.</w:t>
      </w:r>
    </w:p>
    <w:p>
      <w:pPr>
        <w:pStyle w:val="Para 04"/>
      </w:pPr>
      <w:r>
        <w:t>• alias: Symbolic name for the multipath map. This takes precedence over an entry for</w:t>
      </w:r>
    </w:p>
    <w:p>
      <w:pPr>
        <w:pStyle w:val="Para 02"/>
      </w:pPr>
      <w:r>
        <w:t>the same WWID in the bindings_file.</w:t>
      </w:r>
    </w:p>
    <w:p>
      <w:bookmarkStart w:id="1369" w:name="page_8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09" name="index-871_1.png" descr="index-871_1.png"/>
            <wp:cNvGraphicFramePr>
              <a:graphicFrameLocks noChangeAspect="1"/>
            </wp:cNvGraphicFramePr>
            <a:graphic>
              <a:graphicData uri="http://schemas.openxmlformats.org/drawingml/2006/picture">
                <pic:pic>
                  <pic:nvPicPr>
                    <pic:cNvPr id="0" name="index-871_1.png" descr="index-871_1.png"/>
                    <pic:cNvPicPr/>
                  </pic:nvPicPr>
                  <pic:blipFill>
                    <a:blip r:embed="rId913"/>
                    <a:stretch>
                      <a:fillRect/>
                    </a:stretch>
                  </pic:blipFill>
                  <pic:spPr>
                    <a:xfrm>
                      <a:off x="0" y="0"/>
                      <a:ext cx="914400" cy="266700"/>
                    </a:xfrm>
                    <a:prstGeom prst="rect">
                      <a:avLst/>
                    </a:prstGeom>
                  </pic:spPr>
                </pic:pic>
              </a:graphicData>
            </a:graphic>
          </wp:anchor>
        </w:drawing>
      </w:r>
      <w:bookmarkEnd w:id="1369"/>
    </w:p>
    <w:p>
      <w:pPr>
        <w:pStyle w:val="Para 01"/>
      </w:pPr>
      <w:r>
        <w:t>Optional attributes</w:t>
      </w:r>
    </w:p>
    <w:p>
      <w:pPr>
        <w:pStyle w:val="Para 17"/>
      </w:pPr>
      <w:r>
        <w:t/>
      </w:r>
    </w:p>
    <w:p>
      <w:pPr>
        <w:pStyle w:val="Normal"/>
      </w:pPr>
      <w:r>
        <w:t>The following attributes are optional; if not set, the default values are taken from the over-</w:t>
      </w:r>
    </w:p>
    <w:p>
      <w:pPr>
        <w:pStyle w:val="Normal"/>
      </w:pPr>
      <w:r>
        <w:t xml:space="preserve">rides, devices, or defaults section of the </w:t>
      </w:r>
      <w:hyperlink r:id="rId1752">
        <w:r>
          <w:rPr>
            <w:rStyle w:val="Text9"/>
          </w:rPr>
          <w:t>919</w:t>
        </w:r>
      </w:hyperlink>
      <w:hyperlink r:id="rId1752">
        <w:r>
          <w:rPr>
            <w:rStyle w:val="Text1"/>
          </w:rPr>
          <w:t xml:space="preserve"> </w:t>
        </w:r>
      </w:hyperlink>
      <w:hyperlink r:id="rId1752">
        <w:r>
          <w:rPr>
            <w:rStyle w:val="Text2"/>
          </w:rPr>
          <w:t>multipath.conf(5)</w:t>
        </w:r>
      </w:hyperlink>
      <w:r>
        <w:t xml:space="preserve"> manual page:</w:t>
      </w:r>
    </w:p>
    <w:p>
      <w:pPr>
        <w:pStyle w:val="Para 04"/>
      </w:pPr>
      <w:r>
        <w:t>• path_grouping_policy</w:t>
      </w:r>
    </w:p>
    <w:p>
      <w:pPr>
        <w:pStyle w:val="Para 04"/>
      </w:pPr>
      <w:r>
        <w:t>• path_selector</w:t>
      </w:r>
    </w:p>
    <w:p>
      <w:pPr>
        <w:pStyle w:val="Para 04"/>
      </w:pPr>
      <w:r>
        <w:t>• prio</w:t>
      </w:r>
    </w:p>
    <w:p>
      <w:pPr>
        <w:pStyle w:val="Para 04"/>
      </w:pPr>
      <w:r>
        <w:t>• prio_args</w:t>
      </w:r>
    </w:p>
    <w:p>
      <w:pPr>
        <w:pStyle w:val="Para 04"/>
      </w:pPr>
      <w:r>
        <w:t>• failback</w:t>
      </w:r>
    </w:p>
    <w:p>
      <w:pPr>
        <w:pStyle w:val="Para 04"/>
      </w:pPr>
      <w:r>
        <w:t>• rr_weight</w:t>
      </w:r>
    </w:p>
    <w:p>
      <w:pPr>
        <w:pStyle w:val="Para 04"/>
      </w:pPr>
      <w:r>
        <w:t>• no_path_retry</w:t>
      </w:r>
    </w:p>
    <w:p>
      <w:pPr>
        <w:pStyle w:val="Para 04"/>
      </w:pPr>
      <w:r>
        <w:t>• rr_min_io</w:t>
      </w:r>
    </w:p>
    <w:p>
      <w:pPr>
        <w:pStyle w:val="Para 04"/>
      </w:pPr>
      <w:r>
        <w:t>• rr_min_io_rq</w:t>
      </w:r>
    </w:p>
    <w:p>
      <w:pPr>
        <w:pStyle w:val="Para 04"/>
      </w:pPr>
      <w:r>
        <w:t>• flush_on_last_del</w:t>
      </w:r>
    </w:p>
    <w:p>
      <w:pPr>
        <w:pStyle w:val="Para 04"/>
      </w:pPr>
      <w:r>
        <w:t>• features</w:t>
      </w:r>
    </w:p>
    <w:p>
      <w:pPr>
        <w:pStyle w:val="Para 04"/>
      </w:pPr>
      <w:r>
        <w:t>• reservation_key</w:t>
      </w:r>
    </w:p>
    <w:p>
      <w:pPr>
        <w:pStyle w:val="Para 04"/>
      </w:pPr>
      <w:r>
        <w:t>• user_friendly_names</w:t>
      </w:r>
    </w:p>
    <w:p>
      <w:pPr>
        <w:pStyle w:val="Para 04"/>
      </w:pPr>
      <w:r>
        <w:t>• deferred_remove</w:t>
      </w:r>
    </w:p>
    <w:p>
      <w:pPr>
        <w:pStyle w:val="Para 04"/>
      </w:pPr>
      <w:r>
        <w:t>• san_path_err_threshold</w:t>
      </w:r>
    </w:p>
    <w:p>
      <w:pPr>
        <w:pStyle w:val="Para 04"/>
      </w:pPr>
      <w:r>
        <w:t>• san_path_err_forget_rate</w:t>
      </w:r>
    </w:p>
    <w:p>
      <w:pPr>
        <w:pStyle w:val="Para 04"/>
      </w:pPr>
      <w:r>
        <w:t>• san_path_err_recovery_time</w:t>
      </w:r>
    </w:p>
    <w:p>
      <w:pPr>
        <w:pStyle w:val="Para 04"/>
      </w:pPr>
      <w:r>
        <w:t>• marginal_path_err_sample_time</w:t>
      </w:r>
    </w:p>
    <w:p>
      <w:pPr>
        <w:pStyle w:val="Para 04"/>
      </w:pPr>
      <w:r>
        <w:t>• marginal_path_err_rate_threshold</w:t>
      </w:r>
    </w:p>
    <w:p>
      <w:pPr>
        <w:pStyle w:val="Para 04"/>
      </w:pPr>
      <w:r>
        <w:t>• marginal_path_err_recheck_gap_time</w:t>
      </w:r>
    </w:p>
    <w:p>
      <w:pPr>
        <w:pStyle w:val="Para 04"/>
      </w:pPr>
      <w:r>
        <w:t>• marginal_path_double_failed_time</w:t>
      </w:r>
    </w:p>
    <w:p>
      <w:pPr>
        <w:pStyle w:val="Para 04"/>
      </w:pPr>
      <w:r>
        <w:t>• delay_watch_checks</w:t>
      </w:r>
    </w:p>
    <w:p>
      <w:pPr>
        <w:pStyle w:val="Para 04"/>
      </w:pPr>
      <w:r>
        <w:t>• delay_wait_checks</w:t>
      </w:r>
    </w:p>
    <w:p>
      <w:pPr>
        <w:pStyle w:val="Para 04"/>
      </w:pPr>
      <w:r>
        <w:t>• skip_kpartx</w:t>
      </w:r>
    </w:p>
    <w:p>
      <w:pPr>
        <w:pStyle w:val="Para 04"/>
      </w:pPr>
      <w:r>
        <w:t>• max_sectors_kb</w:t>
      </w:r>
    </w:p>
    <w:p>
      <w:pPr>
        <w:pStyle w:val="Para 04"/>
      </w:pPr>
      <w:r>
        <w:t>• ghost_delay</w:t>
      </w:r>
    </w:p>
    <w:p>
      <w:pPr>
        <w:pStyle w:val="Para 05"/>
      </w:pPr>
      <w:r>
        <w:rPr>
          <w:rStyle w:val="Text5"/>
        </w:rPr>
        <w:t>919</w:t>
      </w:r>
      <w:r>
        <w:rPr>
          <w:rStyle w:val="Text8"/>
        </w:rPr>
        <w:t xml:space="preserve"> </w:t>
      </w:r>
      <w:r>
        <w:t>https://manpages.ubuntu.com/manpages/resolute/man5/multipath.conf.5.html</w:t>
      </w:r>
    </w:p>
    <w:p>
      <w:bookmarkStart w:id="1370" w:name="calibre_pb_249"/>
      <w:pPr>
        <w:pStyle w:val="0 Block"/>
      </w:pPr>
      <w:bookmarkEnd w:id="1370"/>
    </w:p>
    <w:p>
      <w:bookmarkStart w:id="1371" w:name="page_872"/>
      <w:bookmarkStart w:id="1372" w:name="Top_of_index_split_25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0" name="index-872_1.png" descr="index-872_1.png"/>
            <wp:cNvGraphicFramePr>
              <a:graphicFrameLocks noChangeAspect="1"/>
            </wp:cNvGraphicFramePr>
            <a:graphic>
              <a:graphicData uri="http://schemas.openxmlformats.org/drawingml/2006/picture">
                <pic:pic>
                  <pic:nvPicPr>
                    <pic:cNvPr id="0" name="index-872_1.png" descr="index-872_1.png"/>
                    <pic:cNvPicPr/>
                  </pic:nvPicPr>
                  <pic:blipFill>
                    <a:blip r:embed="rId914"/>
                    <a:stretch>
                      <a:fillRect/>
                    </a:stretch>
                  </pic:blipFill>
                  <pic:spPr>
                    <a:xfrm>
                      <a:off x="0" y="0"/>
                      <a:ext cx="914400" cy="266700"/>
                    </a:xfrm>
                    <a:prstGeom prst="rect">
                      <a:avLst/>
                    </a:prstGeom>
                  </pic:spPr>
                </pic:pic>
              </a:graphicData>
            </a:graphic>
          </wp:anchor>
        </w:drawing>
      </w:r>
      <w:bookmarkEnd w:id="1371"/>
      <w:bookmarkEnd w:id="1372"/>
    </w:p>
    <w:p>
      <w:pPr>
        <w:pStyle w:val="Para 01"/>
      </w:pPr>
      <w:r>
        <w:t>Example</w:t>
      </w:r>
    </w:p>
    <w:p>
      <w:pPr>
        <w:pStyle w:val="Para 17"/>
      </w:pPr>
      <w:r>
        <w:t/>
      </w:r>
    </w:p>
    <w:p>
      <w:pPr>
        <w:pStyle w:val="Normal"/>
      </w:pPr>
      <w:r>
        <w:t>multipaths {</w:t>
      </w:r>
    </w:p>
    <w:p>
      <w:pPr>
        <w:pStyle w:val="Para 02"/>
      </w:pPr>
      <w:r>
        <w:t>multipath {</w:t>
      </w:r>
    </w:p>
    <w:p>
      <w:pPr>
        <w:pStyle w:val="Para 06"/>
      </w:pPr>
      <w:r>
        <w:t>wwid</w:t>
        <w:t xml:space="preserve"> </w:t>
        <w:t>3600508b4000156d700012000000b0000</w:t>
        <w:t xml:space="preserve"> </w:t>
        <w:t>alias</w:t>
        <w:t xml:space="preserve"> </w:t>
        <w:t>yellow</w:t>
      </w:r>
    </w:p>
    <w:p>
      <w:pPr>
        <w:pStyle w:val="Para 06"/>
      </w:pPr>
      <w:r>
        <w:t>path_grouping_policy</w:t>
        <w:t xml:space="preserve"> </w:t>
        <w:t>multibus</w:t>
        <w:t xml:space="preserve"> </w:t>
        <w:t>path_selector</w:t>
        <w:t xml:space="preserve"> </w:t>
        <w:t>"round-robin 0"</w:t>
        <w:t xml:space="preserve"> </w:t>
        <w:t>failback</w:t>
        <w:t xml:space="preserve"> </w:t>
        <w:t>manual</w:t>
      </w:r>
    </w:p>
    <w:p>
      <w:pPr>
        <w:pStyle w:val="Para 06"/>
      </w:pPr>
      <w:r>
        <w:t>rr_weight</w:t>
        <w:t xml:space="preserve"> </w:t>
        <w:t>priorities</w:t>
        <w:t xml:space="preserve"> </w:t>
        <w:t>no_path_retry</w:t>
        <w:t xml:space="preserve"> </w:t>
        <w:t>5</w:t>
      </w:r>
    </w:p>
    <w:p>
      <w:pPr>
        <w:pStyle w:val="Para 02"/>
      </w:pPr>
      <w:r>
        <w:t>}</w:t>
      </w:r>
    </w:p>
    <w:p>
      <w:pPr>
        <w:pStyle w:val="Para 02"/>
      </w:pPr>
      <w:r>
        <w:t>multipath {</w:t>
      </w:r>
    </w:p>
    <w:p>
      <w:pPr>
        <w:pStyle w:val="Para 06"/>
      </w:pPr>
      <w:r>
        <w:t>wwid</w:t>
        <w:t xml:space="preserve"> </w:t>
        <w:t>1DEC_____321816758474</w:t>
        <w:t xml:space="preserve"> </w:t>
        <w:t>alias</w:t>
        <w:t xml:space="preserve"> </w:t>
        <w:t>red</w:t>
      </w:r>
    </w:p>
    <w:p>
      <w:pPr>
        <w:pStyle w:val="Para 02"/>
      </w:pPr>
      <w:r>
        <w:t>}</w:t>
      </w:r>
    </w:p>
    <w:p>
      <w:pPr>
        <w:pStyle w:val="Normal"/>
      </w:pPr>
      <w:r>
        <w:t>}</w:t>
      </w:r>
    </w:p>
    <w:p>
      <w:pPr>
        <w:pStyle w:val="Para 17"/>
      </w:pPr>
      <w:r>
        <w:t/>
      </w:r>
    </w:p>
    <w:p>
      <w:pPr>
        <w:pStyle w:val="Para 01"/>
      </w:pPr>
      <w:r>
        <w:t>Configuration file devices section</w:t>
      </w:r>
    </w:p>
    <w:p>
      <w:pPr>
        <w:pStyle w:val="Para 17"/>
      </w:pPr>
      <w:r>
        <w:t/>
      </w:r>
    </w:p>
    <w:p>
      <w:pPr>
        <w:pStyle w:val="Normal"/>
      </w:pPr>
      <w:r>
        <w:t xml:space="preserve">multipath-tools has a built-in </w:t>
      </w:r>
      <w:r>
        <w:rPr>
          <w:rStyle w:val="Text0"/>
        </w:rPr>
        <w:t>device table</w:t>
      </w:r>
      <w:r>
        <w:t xml:space="preserve"> with reasonable defaults for more than 100 known multipath-capable storage devices. The devices section can be used to override these settings. If there are multiple matches for a given device, the attributes of all matching en-tries are applied to it. If an attribute is specified in several matching device subsections, later entries take precedence.</w:t>
      </w:r>
    </w:p>
    <w:p>
      <w:pPr>
        <w:pStyle w:val="Normal"/>
      </w:pPr>
      <w:r>
        <w:t>The only recognized attribute for the devices section is the device subsection. Devices de-tected in the system are matched against the device entries using the vendor, product, and revision fields.</w:t>
      </w:r>
    </w:p>
    <w:p>
      <w:pPr>
        <w:pStyle w:val="Normal"/>
      </w:pPr>
      <w:r>
        <w:t>The vendor, product, and revision fields that multipath or multipathd detect for devices in a system depend on the device type. For SCSI devices, they correspond to the respective fields of the “SCSI INQUIRY” page. In general, the command multipathd show paths format "%d %s" command can be used to see the detected properties for all devices in the system.</w:t>
      </w:r>
    </w:p>
    <w:p>
      <w:pPr>
        <w:pStyle w:val="Normal"/>
      </w:pPr>
      <w:r>
        <w:t>The device subsection recognizes the following attributes:</w:t>
      </w:r>
    </w:p>
    <w:p>
      <w:pPr>
        <w:pStyle w:val="Para 03"/>
      </w:pPr>
      <w:r>
        <w:t xml:space="preserve">1. </w:t>
      </w:r>
      <w:r>
        <w:rPr>
          <w:rStyle w:val="Text0"/>
        </w:rPr>
        <w:t>vendor</w:t>
      </w:r>
      <w:r>
        <w:t>: (Mandatory) Regular expression to match the vendor name.</w:t>
      </w:r>
    </w:p>
    <w:p>
      <w:pPr>
        <w:pStyle w:val="Para 03"/>
      </w:pPr>
      <w:r>
        <w:t xml:space="preserve">2. </w:t>
      </w:r>
      <w:r>
        <w:rPr>
          <w:rStyle w:val="Text0"/>
        </w:rPr>
        <w:t>product</w:t>
      </w:r>
      <w:r>
        <w:t>: (Mandatory) Regular expression to match the product name.</w:t>
      </w:r>
    </w:p>
    <w:p>
      <w:pPr>
        <w:pStyle w:val="Para 03"/>
      </w:pPr>
      <w:r>
        <w:t xml:space="preserve">3. </w:t>
      </w:r>
      <w:r>
        <w:rPr>
          <w:rStyle w:val="Text0"/>
        </w:rPr>
        <w:t>revision</w:t>
      </w:r>
      <w:r>
        <w:t>: Regular expression to match the product revision.</w:t>
      </w:r>
    </w:p>
    <w:p>
      <w:pPr>
        <w:pStyle w:val="Para 03"/>
      </w:pPr>
      <w:r>
        <w:t xml:space="preserve">4. </w:t>
      </w:r>
      <w:r>
        <w:rPr>
          <w:rStyle w:val="Text0"/>
        </w:rPr>
        <w:t>product_blacklist</w:t>
      </w:r>
      <w:r>
        <w:t>: Products with the given vendor matching this string are blocklisted.</w:t>
      </w:r>
    </w:p>
    <w:p>
      <w:pPr>
        <w:pStyle w:val="Para 03"/>
      </w:pPr>
      <w:r>
        <w:t xml:space="preserve">5. </w:t>
      </w:r>
      <w:r>
        <w:rPr>
          <w:rStyle w:val="Text0"/>
        </w:rPr>
        <w:t>alias_prefix</w:t>
      </w:r>
      <w:r>
        <w:t>: The user_friendly_names prefix to use for this device type, instead of</w:t>
      </w:r>
    </w:p>
    <w:p>
      <w:pPr>
        <w:pStyle w:val="Para 02"/>
      </w:pPr>
      <w:r>
        <w:t>the default mpath.</w:t>
      </w:r>
    </w:p>
    <w:p>
      <w:pPr>
        <w:pStyle w:val="Para 03"/>
      </w:pPr>
      <w:r>
        <w:t xml:space="preserve">6. </w:t>
      </w:r>
      <w:r>
        <w:rPr>
          <w:rStyle w:val="Text0"/>
        </w:rPr>
        <w:t>hardware_handler</w:t>
      </w:r>
      <w:r>
        <w:t>: The hardware handler to use for this device type. The following</w:t>
      </w:r>
    </w:p>
    <w:p>
      <w:pPr>
        <w:pStyle w:val="Para 02"/>
      </w:pPr>
      <w:r>
        <w:t>hardware handlers are implemented (all of these are hardware-dependent):</w:t>
      </w:r>
    </w:p>
    <w:p>
      <w:pPr>
        <w:pStyle w:val="Para 06"/>
      </w:pPr>
      <w:r>
        <w:t xml:space="preserve">• </w:t>
      </w:r>
      <w:r>
        <w:rPr>
          <w:rStyle w:val="Text0"/>
        </w:rPr>
        <w:t>1 emc</w:t>
      </w:r>
      <w:r>
        <w:t xml:space="preserve">: Hardware handler for </w:t>
      </w:r>
      <w:hyperlink w:anchor="page_678">
        <w:r>
          <w:rPr>
            <w:rStyle w:val="Text2"/>
          </w:rPr>
          <w:t>DGC</w:t>
        </w:r>
      </w:hyperlink>
      <w:r>
        <w:t xml:space="preserve"> class arrays as CLARiiON CX/AX and EMC VNX</w:t>
      </w:r>
    </w:p>
    <w:p>
      <w:pPr>
        <w:pStyle w:val="Para 11"/>
      </w:pPr>
      <w:r>
        <w:t>and Unity families.</w:t>
      </w:r>
    </w:p>
    <w:p>
      <w:pPr>
        <w:pStyle w:val="Para 06"/>
      </w:pPr>
      <w:r>
        <w:t xml:space="preserve">• </w:t>
      </w:r>
      <w:r>
        <w:rPr>
          <w:rStyle w:val="Text0"/>
        </w:rPr>
        <w:t>1 rdac</w:t>
      </w:r>
      <w:r>
        <w:t xml:space="preserve">: Hardware handler for LSI / </w:t>
      </w:r>
      <w:hyperlink w:anchor="page_681">
        <w:r>
          <w:rPr>
            <w:rStyle w:val="Text2"/>
          </w:rPr>
          <w:t>Engenio</w:t>
        </w:r>
      </w:hyperlink>
      <w:r>
        <w:t xml:space="preserve"> / NetApp RDAC class as NetApp E/EF</w:t>
      </w:r>
    </w:p>
    <w:p>
      <w:pPr>
        <w:pStyle w:val="Para 11"/>
      </w:pPr>
      <w:r>
        <w:t>Series, and OEM arrays from IBM DELL SGI STK and SUN.</w:t>
      </w:r>
    </w:p>
    <w:p>
      <w:bookmarkStart w:id="1373" w:name="page_8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1" name="index-873_1.png" descr="index-873_1.png"/>
            <wp:cNvGraphicFramePr>
              <a:graphicFrameLocks noChangeAspect="1"/>
            </wp:cNvGraphicFramePr>
            <a:graphic>
              <a:graphicData uri="http://schemas.openxmlformats.org/drawingml/2006/picture">
                <pic:pic>
                  <pic:nvPicPr>
                    <pic:cNvPr id="0" name="index-873_1.png" descr="index-873_1.png"/>
                    <pic:cNvPicPr/>
                  </pic:nvPicPr>
                  <pic:blipFill>
                    <a:blip r:embed="rId915"/>
                    <a:stretch>
                      <a:fillRect/>
                    </a:stretch>
                  </pic:blipFill>
                  <pic:spPr>
                    <a:xfrm>
                      <a:off x="0" y="0"/>
                      <a:ext cx="914400" cy="266700"/>
                    </a:xfrm>
                    <a:prstGeom prst="rect">
                      <a:avLst/>
                    </a:prstGeom>
                  </pic:spPr>
                </pic:pic>
              </a:graphicData>
            </a:graphic>
          </wp:anchor>
        </w:drawing>
      </w:r>
      <w:bookmarkEnd w:id="1373"/>
    </w:p>
    <w:p>
      <w:pPr>
        <w:pStyle w:val="Para 06"/>
      </w:pPr>
      <w:r>
        <w:t xml:space="preserve">• </w:t>
      </w:r>
      <w:r>
        <w:rPr>
          <w:rStyle w:val="Text0"/>
        </w:rPr>
        <w:t>1 hp_sw</w:t>
      </w:r>
      <w:r>
        <w:t>: Hardware handler for HP/COMPAQ/DEC HSG80 and MSA/HSV arrays with</w:t>
      </w:r>
    </w:p>
    <w:p>
      <w:pPr>
        <w:pStyle w:val="Para 11"/>
      </w:pPr>
      <w:r>
        <w:t>Active/Standby mode exclusively.</w:t>
      </w:r>
    </w:p>
    <w:p>
      <w:pPr>
        <w:pStyle w:val="Para 06"/>
      </w:pPr>
      <w:r>
        <w:t xml:space="preserve">• </w:t>
      </w:r>
      <w:r>
        <w:rPr>
          <w:rStyle w:val="Text0"/>
        </w:rPr>
        <w:t>1 alua</w:t>
      </w:r>
      <w:r>
        <w:t>: Hardware handler for SCSI-3 ALUA-compatible arrays.</w:t>
      </w:r>
    </w:p>
    <w:p>
      <w:pPr>
        <w:pStyle w:val="Para 06"/>
      </w:pPr>
      <w:r>
        <w:t xml:space="preserve">• </w:t>
      </w:r>
      <w:r>
        <w:rPr>
          <w:rStyle w:val="Text0"/>
        </w:rPr>
        <w:t>1 ana</w:t>
      </w:r>
      <w:r>
        <w:t>: Hardware handler for NVMe ANA-compatible arrays.</w:t>
      </w:r>
    </w:p>
    <w:p>
      <w:pPr>
        <w:pStyle w:val="Para 17"/>
      </w:pPr>
      <w:r>
        <w:t/>
      </w:r>
    </w:p>
    <w:p>
      <w:pPr>
        <w:pStyle w:val="Para 01"/>
      </w:pPr>
      <w:r>
        <w:t>Optional attributes</w:t>
      </w:r>
    </w:p>
    <w:p>
      <w:pPr>
        <w:pStyle w:val="Para 17"/>
      </w:pPr>
      <w:r>
        <w:t/>
      </w:r>
    </w:p>
    <w:p>
      <w:pPr>
        <w:pStyle w:val="Normal"/>
      </w:pPr>
      <w:r>
        <w:t>The following attributes are optional – if not set, the default values are taken from the de-faults section:</w:t>
      </w:r>
    </w:p>
    <w:p>
      <w:pPr>
        <w:pStyle w:val="Para 04"/>
      </w:pPr>
      <w:r>
        <w:t>• path_grouping_policy</w:t>
      </w:r>
    </w:p>
    <w:p>
      <w:pPr>
        <w:pStyle w:val="Para 04"/>
      </w:pPr>
      <w:r>
        <w:t>• uid_attribute</w:t>
      </w:r>
    </w:p>
    <w:p>
      <w:pPr>
        <w:pStyle w:val="Para 04"/>
      </w:pPr>
      <w:r>
        <w:t>• getuid_callout</w:t>
      </w:r>
    </w:p>
    <w:p>
      <w:pPr>
        <w:pStyle w:val="Para 04"/>
      </w:pPr>
      <w:r>
        <w:t>• path_selector</w:t>
      </w:r>
    </w:p>
    <w:p>
      <w:pPr>
        <w:pStyle w:val="Para 04"/>
      </w:pPr>
      <w:r>
        <w:t>• path_checker</w:t>
      </w:r>
    </w:p>
    <w:p>
      <w:pPr>
        <w:pStyle w:val="Para 04"/>
      </w:pPr>
      <w:r>
        <w:t>• prio</w:t>
      </w:r>
    </w:p>
    <w:p>
      <w:pPr>
        <w:pStyle w:val="Para 04"/>
      </w:pPr>
      <w:r>
        <w:t>• prio_args</w:t>
      </w:r>
    </w:p>
    <w:p>
      <w:pPr>
        <w:pStyle w:val="Para 04"/>
      </w:pPr>
      <w:r>
        <w:t>• features</w:t>
      </w:r>
    </w:p>
    <w:p>
      <w:pPr>
        <w:pStyle w:val="Para 04"/>
      </w:pPr>
      <w:r>
        <w:t>• failback</w:t>
      </w:r>
    </w:p>
    <w:p>
      <w:pPr>
        <w:pStyle w:val="Para 04"/>
      </w:pPr>
      <w:r>
        <w:t>• rr_weight</w:t>
      </w:r>
    </w:p>
    <w:p>
      <w:pPr>
        <w:pStyle w:val="Para 04"/>
      </w:pPr>
      <w:r>
        <w:t>• no_path_retry</w:t>
      </w:r>
    </w:p>
    <w:p>
      <w:pPr>
        <w:pStyle w:val="Para 04"/>
      </w:pPr>
      <w:r>
        <w:t>• rr_min_io</w:t>
      </w:r>
    </w:p>
    <w:p>
      <w:pPr>
        <w:pStyle w:val="Para 04"/>
      </w:pPr>
      <w:r>
        <w:t>• rr_min_io_rq</w:t>
      </w:r>
    </w:p>
    <w:p>
      <w:pPr>
        <w:pStyle w:val="Para 04"/>
      </w:pPr>
      <w:r>
        <w:t>• fast_io_fail_tmo</w:t>
      </w:r>
    </w:p>
    <w:p>
      <w:pPr>
        <w:pStyle w:val="Para 04"/>
      </w:pPr>
      <w:r>
        <w:t>• dev_loss_tmo</w:t>
      </w:r>
    </w:p>
    <w:p>
      <w:pPr>
        <w:pStyle w:val="Para 04"/>
      </w:pPr>
      <w:r>
        <w:t>• flush_on_last_del</w:t>
      </w:r>
    </w:p>
    <w:p>
      <w:pPr>
        <w:pStyle w:val="Para 04"/>
      </w:pPr>
      <w:r>
        <w:t>• user_friendly_names</w:t>
      </w:r>
    </w:p>
    <w:p>
      <w:pPr>
        <w:pStyle w:val="Para 04"/>
      </w:pPr>
      <w:r>
        <w:t>• retain_attached_hw_handler</w:t>
      </w:r>
    </w:p>
    <w:p>
      <w:pPr>
        <w:pStyle w:val="Para 04"/>
      </w:pPr>
      <w:r>
        <w:t>• detect_prio</w:t>
      </w:r>
    </w:p>
    <w:p>
      <w:pPr>
        <w:pStyle w:val="Para 04"/>
      </w:pPr>
      <w:r>
        <w:t>• detect_checker</w:t>
      </w:r>
    </w:p>
    <w:p>
      <w:pPr>
        <w:pStyle w:val="Para 04"/>
      </w:pPr>
      <w:r>
        <w:t>• deferred_remove</w:t>
      </w:r>
    </w:p>
    <w:p>
      <w:pPr>
        <w:pStyle w:val="Para 04"/>
      </w:pPr>
      <w:r>
        <w:t>• san_path_err_threshold</w:t>
      </w:r>
    </w:p>
    <w:p>
      <w:pPr>
        <w:pStyle w:val="Para 04"/>
      </w:pPr>
      <w:r>
        <w:t>• san_path_err_forget_rate</w:t>
      </w:r>
    </w:p>
    <w:p>
      <w:pPr>
        <w:pStyle w:val="Para 04"/>
      </w:pPr>
      <w:r>
        <w:t>• san_path_err_recovery_time</w:t>
      </w:r>
    </w:p>
    <w:p>
      <w:pPr>
        <w:pStyle w:val="Para 04"/>
      </w:pPr>
      <w:r>
        <w:t>• marginal_path_err_sample_time</w:t>
      </w:r>
    </w:p>
    <w:p>
      <w:pPr>
        <w:pStyle w:val="Para 04"/>
      </w:pPr>
      <w:r>
        <w:t>• marginal_path_err_rate_threshold</w:t>
      </w:r>
    </w:p>
    <w:p>
      <w:pPr>
        <w:pStyle w:val="Para 04"/>
      </w:pPr>
      <w:r>
        <w:t>• marginal_path_err_recheck_gap_time</w:t>
      </w:r>
    </w:p>
    <w:p>
      <w:bookmarkStart w:id="1374" w:name="page_8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2" name="index-874_1.png" descr="index-874_1.png"/>
            <wp:cNvGraphicFramePr>
              <a:graphicFrameLocks noChangeAspect="1"/>
            </wp:cNvGraphicFramePr>
            <a:graphic>
              <a:graphicData uri="http://schemas.openxmlformats.org/drawingml/2006/picture">
                <pic:pic>
                  <pic:nvPicPr>
                    <pic:cNvPr id="0" name="index-874_1.png" descr="index-874_1.png"/>
                    <pic:cNvPicPr/>
                  </pic:nvPicPr>
                  <pic:blipFill>
                    <a:blip r:embed="rId916"/>
                    <a:stretch>
                      <a:fillRect/>
                    </a:stretch>
                  </pic:blipFill>
                  <pic:spPr>
                    <a:xfrm>
                      <a:off x="0" y="0"/>
                      <a:ext cx="914400" cy="266700"/>
                    </a:xfrm>
                    <a:prstGeom prst="rect">
                      <a:avLst/>
                    </a:prstGeom>
                  </pic:spPr>
                </pic:pic>
              </a:graphicData>
            </a:graphic>
          </wp:anchor>
        </w:drawing>
      </w:r>
      <w:bookmarkEnd w:id="1374"/>
    </w:p>
    <w:p>
      <w:pPr>
        <w:pStyle w:val="Para 04"/>
      </w:pPr>
      <w:r>
        <w:t>• marginal_path_double_failed_time</w:t>
      </w:r>
    </w:p>
    <w:p>
      <w:pPr>
        <w:pStyle w:val="Para 04"/>
      </w:pPr>
      <w:r>
        <w:t>• delay_watch_checks</w:t>
      </w:r>
    </w:p>
    <w:p>
      <w:pPr>
        <w:pStyle w:val="Para 04"/>
      </w:pPr>
      <w:r>
        <w:t>• delay_wait_checks</w:t>
      </w:r>
    </w:p>
    <w:p>
      <w:pPr>
        <w:pStyle w:val="Para 04"/>
      </w:pPr>
      <w:r>
        <w:t>• skip_kpartx</w:t>
      </w:r>
    </w:p>
    <w:p>
      <w:pPr>
        <w:pStyle w:val="Para 04"/>
      </w:pPr>
      <w:r>
        <w:t>• max_sectors_kb</w:t>
      </w:r>
    </w:p>
    <w:p>
      <w:pPr>
        <w:pStyle w:val="Para 04"/>
      </w:pPr>
      <w:r>
        <w:t>• ghost_delay</w:t>
      </w:r>
    </w:p>
    <w:p>
      <w:pPr>
        <w:pStyle w:val="Para 04"/>
      </w:pPr>
      <w:r>
        <w:t>• all_tg_pt</w:t>
      </w:r>
    </w:p>
    <w:p>
      <w:pPr>
        <w:pStyle w:val="Para 17"/>
      </w:pPr>
      <w:r>
        <w:t/>
      </w:r>
    </w:p>
    <w:p>
      <w:pPr>
        <w:pStyle w:val="Para 01"/>
      </w:pPr>
      <w:r>
        <w:t>Example</w:t>
      </w:r>
    </w:p>
    <w:p>
      <w:pPr>
        <w:pStyle w:val="Para 17"/>
      </w:pPr>
      <w:r>
        <w:t/>
      </w:r>
    </w:p>
    <w:p>
      <w:pPr>
        <w:pStyle w:val="Normal"/>
      </w:pPr>
      <w:r>
        <w:t>devices {</w:t>
      </w:r>
    </w:p>
    <w:p>
      <w:pPr>
        <w:pStyle w:val="Para 02"/>
      </w:pPr>
      <w:r>
        <w:t>device {</w:t>
      </w:r>
    </w:p>
    <w:p>
      <w:pPr>
        <w:pStyle w:val="Para 06"/>
      </w:pPr>
      <w:r>
        <w:t>vendor "3PARdata"</w:t>
      </w:r>
    </w:p>
    <w:p>
      <w:pPr>
        <w:pStyle w:val="Para 06"/>
      </w:pPr>
      <w:r>
        <w:t>product "VV"</w:t>
      </w:r>
    </w:p>
    <w:p>
      <w:pPr>
        <w:pStyle w:val="Para 06"/>
      </w:pPr>
      <w:r>
        <w:t>path_grouping_policy "group_by_prio"</w:t>
      </w:r>
    </w:p>
    <w:p>
      <w:pPr>
        <w:pStyle w:val="Para 06"/>
      </w:pPr>
      <w:r>
        <w:t>hardware_handler "1 alua"</w:t>
      </w:r>
    </w:p>
    <w:p>
      <w:pPr>
        <w:pStyle w:val="Para 06"/>
      </w:pPr>
      <w:r>
        <w:t>prio "alua"</w:t>
      </w:r>
    </w:p>
    <w:p>
      <w:pPr>
        <w:pStyle w:val="Para 06"/>
      </w:pPr>
      <w:r>
        <w:t>failback "immediate"</w:t>
      </w:r>
    </w:p>
    <w:p>
      <w:pPr>
        <w:pStyle w:val="Para 06"/>
      </w:pPr>
      <w:r>
        <w:t>no_path_retry 18</w:t>
      </w:r>
    </w:p>
    <w:p>
      <w:pPr>
        <w:pStyle w:val="Para 06"/>
      </w:pPr>
      <w:r>
        <w:t>fast_io_fail_tmo 10</w:t>
      </w:r>
    </w:p>
    <w:p>
      <w:pPr>
        <w:pStyle w:val="Para 06"/>
      </w:pPr>
      <w:r>
        <w:t>dev_loss_tmo "infinity"</w:t>
      </w:r>
    </w:p>
    <w:p>
      <w:pPr>
        <w:pStyle w:val="Para 02"/>
      </w:pPr>
      <w:r>
        <w:t>}</w:t>
      </w:r>
    </w:p>
    <w:p>
      <w:pPr>
        <w:pStyle w:val="Para 02"/>
      </w:pPr>
      <w:r>
        <w:t>device {</w:t>
      </w:r>
    </w:p>
    <w:p>
      <w:pPr>
        <w:pStyle w:val="Para 06"/>
      </w:pPr>
      <w:r>
        <w:t>vendor "DEC"</w:t>
      </w:r>
    </w:p>
    <w:p>
      <w:pPr>
        <w:pStyle w:val="Para 06"/>
      </w:pPr>
      <w:r>
        <w:t>product "HSG80"</w:t>
      </w:r>
    </w:p>
    <w:p>
      <w:pPr>
        <w:pStyle w:val="Para 06"/>
      </w:pPr>
      <w:r>
        <w:t>path_grouping_policy "group_by_prio"</w:t>
      </w:r>
    </w:p>
    <w:p>
      <w:pPr>
        <w:pStyle w:val="Para 06"/>
      </w:pPr>
      <w:r>
        <w:t>path_checker "hp_sw"</w:t>
      </w:r>
    </w:p>
    <w:p>
      <w:pPr>
        <w:pStyle w:val="Para 06"/>
      </w:pPr>
      <w:r>
        <w:t>hardware_handler "1 hp_sw"</w:t>
      </w:r>
    </w:p>
    <w:p>
      <w:pPr>
        <w:pStyle w:val="Para 06"/>
      </w:pPr>
      <w:r>
        <w:t>prio "hp_sw"</w:t>
      </w:r>
    </w:p>
    <w:p>
      <w:pPr>
        <w:pStyle w:val="Para 06"/>
      </w:pPr>
      <w:r>
        <w:t>no_path_retry "queue"</w:t>
      </w:r>
    </w:p>
    <w:p>
      <w:pPr>
        <w:pStyle w:val="Para 02"/>
      </w:pPr>
      <w:r>
        <w:t>}</w:t>
      </w:r>
    </w:p>
    <w:p>
      <w:pPr>
        <w:pStyle w:val="Normal"/>
      </w:pPr>
      <w:r>
        <w:t>}</w:t>
      </w:r>
    </w:p>
    <w:p>
      <w:pPr>
        <w:pStyle w:val="Para 17"/>
      </w:pPr>
      <w:r>
        <w:t/>
      </w:r>
    </w:p>
    <w:p>
      <w:pPr>
        <w:pStyle w:val="Para 01"/>
      </w:pPr>
      <w:r>
        <w:t>Multipath configuration examples</w:t>
      </w:r>
    </w:p>
    <w:p>
      <w:pPr>
        <w:pStyle w:val="Para 17"/>
      </w:pPr>
      <w:r>
        <w:t/>
      </w:r>
    </w:p>
    <w:p>
      <w:pPr>
        <w:pStyle w:val="Normal"/>
      </w:pPr>
      <w:r>
        <w:t>Before moving on with this section we suggesting reading or being familiar with the topics covered in:</w:t>
      </w:r>
    </w:p>
    <w:p>
      <w:pPr>
        <w:pStyle w:val="Para 43"/>
      </w:pPr>
      <w:r>
        <w:rPr>
          <w:rStyle w:val="Text4"/>
        </w:rPr>
        <w:t xml:space="preserve">1. </w:t>
      </w:r>
      <w:hyperlink w:anchor="page_861">
        <w:r>
          <w:t>Introduction to device mapper multipathing</w:t>
        </w:r>
      </w:hyperlink>
      <w:r>
        <w:rPr>
          <w:rStyle w:val="Text4"/>
        </w:rPr>
        <w:t xml:space="preserve"> (page 860)</w:t>
      </w:r>
    </w:p>
    <w:p>
      <w:pPr>
        <w:pStyle w:val="Para 43"/>
      </w:pPr>
      <w:r>
        <w:rPr>
          <w:rStyle w:val="Text4"/>
        </w:rPr>
        <w:t xml:space="preserve">2. </w:t>
      </w:r>
      <w:hyperlink w:anchor="page_866">
        <w:r>
          <w:t>Configuration options and overview</w:t>
        </w:r>
      </w:hyperlink>
      <w:r>
        <w:rPr>
          <w:rStyle w:val="Text4"/>
        </w:rPr>
        <w:t xml:space="preserve"> (page 865)</w:t>
      </w:r>
    </w:p>
    <w:p>
      <w:pPr>
        <w:pStyle w:val="Normal"/>
      </w:pPr>
      <w:r>
        <w:t xml:space="preserve">For consistency with those sections, we will refer here to device mapper multipathing as </w:t>
      </w:r>
      <w:r>
        <w:rPr>
          <w:rStyle w:val="Text0"/>
        </w:rPr>
        <w:t>mul-tipath</w:t>
      </w:r>
      <w:r>
        <w:t>.</w:t>
      </w:r>
    </w:p>
    <w:p>
      <w:bookmarkStart w:id="1375" w:name="calibre_pb_250"/>
      <w:pPr>
        <w:pStyle w:val="0 Block"/>
      </w:pPr>
      <w:bookmarkEnd w:id="1375"/>
    </w:p>
    <w:p>
      <w:bookmarkStart w:id="1376" w:name="page_875"/>
      <w:bookmarkStart w:id="1377" w:name="Top_of_index_split_251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3" name="index-875_1.png" descr="index-875_1.png"/>
            <wp:cNvGraphicFramePr>
              <a:graphicFrameLocks noChangeAspect="1"/>
            </wp:cNvGraphicFramePr>
            <a:graphic>
              <a:graphicData uri="http://schemas.openxmlformats.org/drawingml/2006/picture">
                <pic:pic>
                  <pic:nvPicPr>
                    <pic:cNvPr id="0" name="index-875_1.png" descr="index-875_1.png"/>
                    <pic:cNvPicPr/>
                  </pic:nvPicPr>
                  <pic:blipFill>
                    <a:blip r:embed="rId917"/>
                    <a:stretch>
                      <a:fillRect/>
                    </a:stretch>
                  </pic:blipFill>
                  <pic:spPr>
                    <a:xfrm>
                      <a:off x="0" y="0"/>
                      <a:ext cx="914400" cy="266700"/>
                    </a:xfrm>
                    <a:prstGeom prst="rect">
                      <a:avLst/>
                    </a:prstGeom>
                  </pic:spPr>
                </pic:pic>
              </a:graphicData>
            </a:graphic>
          </wp:anchor>
        </w:drawing>
      </w:r>
      <w:bookmarkEnd w:id="1376"/>
      <w:bookmarkEnd w:id="1377"/>
    </w:p>
    <w:p>
      <w:pPr>
        <w:pStyle w:val="Para 01"/>
      </w:pPr>
      <w:r>
        <w:t>Basic setup</w:t>
      </w:r>
    </w:p>
    <w:p>
      <w:pPr>
        <w:pStyle w:val="Para 17"/>
      </w:pPr>
      <w:r>
        <w:t/>
      </w:r>
    </w:p>
    <w:p>
      <w:pPr>
        <w:pStyle w:val="Normal"/>
      </w:pPr>
      <w:r>
        <w:t>Before setting up multipath on your system, ensure that your system has been updated and includes the multipath-tools package. If you want to boot from the storage area network (SAN), then the multipath-tools-boot package is also required.</w:t>
      </w:r>
    </w:p>
    <w:p>
      <w:pPr>
        <w:pStyle w:val="Normal"/>
      </w:pPr>
      <w:r>
        <w:t xml:space="preserve">A very simple /etc/multipath.conf file exists, as explained in </w:t>
      </w:r>
      <w:hyperlink w:anchor="page_866">
        <w:r>
          <w:rPr>
            <w:rStyle w:val="Text2"/>
          </w:rPr>
          <w:t>the configuration overview</w:t>
        </w:r>
      </w:hyperlink>
      <w:r>
        <w:t xml:space="preserve"> (page 865). All attributes not declared in multipath.conf are taken from the multipath-tools internal database and its internal blocklist.</w:t>
      </w:r>
    </w:p>
    <w:p>
      <w:pPr>
        <w:pStyle w:val="Normal"/>
      </w:pPr>
      <w:r>
        <w:t xml:space="preserve">The </w:t>
      </w:r>
      <w:r>
        <w:rPr>
          <w:rStyle w:val="Text0"/>
        </w:rPr>
        <w:t>internal attributes</w:t>
      </w:r>
      <w:r>
        <w:t xml:space="preserve"> database can be acquired by running the following on the command line:</w:t>
      </w:r>
    </w:p>
    <w:p>
      <w:pPr>
        <w:pStyle w:val="Normal"/>
      </w:pPr>
      <w:r>
        <w:t>sudo multipath -t</w:t>
      </w:r>
    </w:p>
    <w:p>
      <w:pPr>
        <w:pStyle w:val="Para 17"/>
      </w:pPr>
      <w:r>
        <w:t/>
      </w:r>
    </w:p>
    <w:p>
      <w:pPr>
        <w:pStyle w:val="Normal"/>
      </w:pPr>
      <w:r>
        <w:t xml:space="preserve">Multipath usually works out-of-the-box with most common storage. This </w:t>
      </w:r>
      <w:r>
        <w:rPr>
          <w:rStyle w:val="Text0"/>
        </w:rPr>
        <w:t>does not mean</w:t>
      </w:r>
      <w:r>
        <w:t xml:space="preserve"> the default configuration variables should be used in production: the default variables don’t treat important parameters your storage might need.</w:t>
      </w:r>
    </w:p>
    <w:p>
      <w:pPr>
        <w:pStyle w:val="Normal"/>
      </w:pPr>
      <w:r>
        <w:t>With the internal attributes (described above), and the example below, you will likely be able to create your /etc/multipath.conf file by squashing the code blocks below. Make sure to read the defaults section attribute comments and make any changes based on what your environment needs.</w:t>
      </w:r>
    </w:p>
    <w:p>
      <w:pPr>
        <w:pStyle w:val="Para 17"/>
      </w:pPr>
      <w:r>
        <w:t/>
      </w:r>
    </w:p>
    <w:p>
      <w:pPr>
        <w:pStyle w:val="Para 01"/>
      </w:pPr>
      <w:r>
        <w:t>Example of a defaults section</w:t>
      </w:r>
    </w:p>
    <w:p>
      <w:pPr>
        <w:pStyle w:val="Para 17"/>
      </w:pPr>
      <w:r>
        <w:t/>
      </w:r>
    </w:p>
    <w:p>
      <w:pPr>
        <w:pStyle w:val="Normal"/>
      </w:pPr>
      <w:r>
        <w:t>defaults {</w:t>
      </w:r>
    </w:p>
    <w:p>
      <w:pPr>
        <w:pStyle w:val="Para 07"/>
      </w:pPr>
      <w:r>
        <w:t>#</w:t>
      </w:r>
    </w:p>
    <w:p>
      <w:pPr>
        <w:pStyle w:val="Para 07"/>
      </w:pPr>
      <w:r>
        <w:t># name</w:t>
      </w:r>
      <w:r>
        <w:rPr>
          <w:rStyle w:val="Text3"/>
        </w:rPr>
        <w:t xml:space="preserve"> </w:t>
      </w:r>
      <w:r>
        <w:t>: polling_interval</w:t>
      </w:r>
    </w:p>
    <w:p>
      <w:pPr>
        <w:pStyle w:val="Para 07"/>
      </w:pPr>
      <w:r>
        <w:t># scope</w:t>
      </w:r>
      <w:r>
        <w:rPr>
          <w:rStyle w:val="Text3"/>
        </w:rPr>
        <w:t xml:space="preserve"> </w:t>
      </w:r>
      <w:r>
        <w:t>: multipathd</w:t>
      </w:r>
    </w:p>
    <w:p>
      <w:pPr>
        <w:pStyle w:val="Para 07"/>
      </w:pPr>
      <w:r>
        <w:t># desc</w:t>
      </w:r>
      <w:r>
        <w:rPr>
          <w:rStyle w:val="Text3"/>
        </w:rPr>
        <w:t xml:space="preserve"> </w:t>
      </w:r>
      <w:r>
        <w:t>: interval between two path checks in seconds. For</w:t>
      </w:r>
      <w:r>
        <w:rPr>
          <w:rStyle w:val="Text3"/>
        </w:rPr>
        <w:t xml:space="preserve"> </w:t>
      </w:r>
      <w:r>
        <w:t>#</w:t>
      </w:r>
      <w:r>
        <w:rPr>
          <w:rStyle w:val="Text3"/>
        </w:rPr>
        <w:t xml:space="preserve"> </w:t>
      </w:r>
      <w:r>
        <w:t>properly functioning paths, the interval between checks</w:t>
      </w:r>
      <w:r>
        <w:rPr>
          <w:rStyle w:val="Text3"/>
        </w:rPr>
        <w:t xml:space="preserve"> </w:t>
      </w:r>
      <w:r>
        <w:t>#</w:t>
      </w:r>
      <w:r>
        <w:rPr>
          <w:rStyle w:val="Text3"/>
        </w:rPr>
        <w:t xml:space="preserve"> </w:t>
      </w:r>
      <w:r>
        <w:t>will gradually increase to (4 * polling_interval).</w:t>
      </w:r>
      <w:r>
        <w:rPr>
          <w:rStyle w:val="Text3"/>
        </w:rPr>
        <w:t xml:space="preserve"> </w:t>
      </w:r>
      <w:r>
        <w:t># values</w:t>
      </w:r>
      <w:r>
        <w:rPr>
          <w:rStyle w:val="Text3"/>
        </w:rPr>
        <w:t xml:space="preserve"> </w:t>
      </w:r>
      <w:r>
        <w:t>: n &gt; 0</w:t>
      </w:r>
    </w:p>
    <w:p>
      <w:pPr>
        <w:pStyle w:val="Para 07"/>
      </w:pPr>
      <w:r>
        <w:t># default : 5</w:t>
      </w:r>
    </w:p>
    <w:p>
      <w:pPr>
        <w:pStyle w:val="Para 07"/>
      </w:pPr>
      <w:r>
        <w:t>#</w:t>
      </w:r>
    </w:p>
    <w:p>
      <w:pPr>
        <w:pStyle w:val="Para 02"/>
      </w:pPr>
      <w:r>
        <w:t>polling_interval</w:t>
        <w:t xml:space="preserve"> </w:t>
        <w:t>10</w:t>
      </w:r>
    </w:p>
    <w:p>
      <w:pPr>
        <w:pStyle w:val="Para 07"/>
      </w:pPr>
      <w:r>
        <w:t>#</w:t>
      </w:r>
    </w:p>
    <w:p>
      <w:pPr>
        <w:pStyle w:val="Para 07"/>
      </w:pPr>
      <w:r>
        <w:t># name</w:t>
      </w:r>
      <w:r>
        <w:rPr>
          <w:rStyle w:val="Text3"/>
        </w:rPr>
        <w:t xml:space="preserve"> </w:t>
      </w:r>
      <w:r>
        <w:t>: path_selector</w:t>
      </w:r>
    </w:p>
    <w:p>
      <w:pPr>
        <w:pStyle w:val="Para 07"/>
      </w:pPr>
      <w:r>
        <w:t># scope</w:t>
      </w:r>
      <w:r>
        <w:rPr>
          <w:rStyle w:val="Text3"/>
        </w:rPr>
        <w:t xml:space="preserve"> </w:t>
      </w:r>
      <w:r>
        <w:t>: multipath &amp; multipathd</w:t>
      </w:r>
    </w:p>
    <w:p>
      <w:pPr>
        <w:pStyle w:val="Para 07"/>
      </w:pPr>
      <w:r>
        <w:t># desc</w:t>
      </w:r>
      <w:r>
        <w:rPr>
          <w:rStyle w:val="Text3"/>
        </w:rPr>
        <w:t xml:space="preserve"> </w:t>
      </w:r>
      <w:r>
        <w:t>: the default path selector algorithm to use</w:t>
      </w:r>
      <w:r>
        <w:rPr>
          <w:rStyle w:val="Text3"/>
        </w:rPr>
        <w:t xml:space="preserve"> </w:t>
      </w:r>
      <w:r>
        <w:t>#</w:t>
      </w:r>
      <w:r>
        <w:rPr>
          <w:rStyle w:val="Text3"/>
        </w:rPr>
        <w:t xml:space="preserve"> </w:t>
      </w:r>
      <w:r>
        <w:t>these algorithms are offered by the kernel multipath target</w:t>
      </w:r>
      <w:r>
        <w:rPr>
          <w:rStyle w:val="Text3"/>
        </w:rPr>
        <w:t xml:space="preserve"> </w:t>
      </w:r>
      <w:r>
        <w:t># values</w:t>
      </w:r>
      <w:r>
        <w:rPr>
          <w:rStyle w:val="Text3"/>
        </w:rPr>
        <w:t xml:space="preserve"> </w:t>
      </w:r>
      <w:r>
        <w:t>: "round-robin 0"</w:t>
      </w:r>
      <w:r>
        <w:rPr>
          <w:rStyle w:val="Text3"/>
        </w:rPr>
        <w:t xml:space="preserve"> </w:t>
      </w:r>
      <w:r>
        <w:t>= Loop through every path in the path group,</w:t>
      </w:r>
      <w:r>
        <w:rPr>
          <w:rStyle w:val="Text3"/>
        </w:rPr>
        <w:t xml:space="preserve"> </w:t>
      </w:r>
      <w:r>
        <w:t>#</w:t>
      </w:r>
      <w:r>
        <w:rPr>
          <w:rStyle w:val="Text3"/>
        </w:rPr>
        <w:t xml:space="preserve"> </w:t>
      </w:r>
      <w:r>
        <w:t>sending the same amount of IO to each.</w:t>
      </w:r>
      <w:r>
        <w:rPr>
          <w:rStyle w:val="Text3"/>
        </w:rPr>
        <w:t xml:space="preserve"> </w:t>
      </w:r>
      <w:r>
        <w:t>#</w:t>
      </w:r>
      <w:r>
        <w:rPr>
          <w:rStyle w:val="Text3"/>
        </w:rPr>
        <w:t xml:space="preserve"> </w:t>
      </w:r>
      <w:r>
        <w:t>"queue-length 0" = Send the next bunch of IO down the path</w:t>
      </w:r>
      <w:r>
        <w:rPr>
          <w:rStyle w:val="Text3"/>
        </w:rPr>
        <w:t xml:space="preserve"> </w:t>
      </w:r>
      <w:r>
        <w:t>#</w:t>
      </w:r>
      <w:r>
        <w:rPr>
          <w:rStyle w:val="Text3"/>
        </w:rPr>
        <w:t xml:space="preserve"> </w:t>
      </w:r>
      <w:r>
        <w:t>with the least amount of outstanding IO.</w:t>
      </w:r>
      <w:r>
        <w:rPr>
          <w:rStyle w:val="Text3"/>
        </w:rPr>
        <w:t xml:space="preserve"> </w:t>
      </w:r>
      <w:r>
        <w:t>#</w:t>
      </w:r>
      <w:r>
        <w:rPr>
          <w:rStyle w:val="Text3"/>
        </w:rPr>
        <w:t xml:space="preserve"> </w:t>
      </w:r>
      <w:r>
        <w:t>"service-time 0" = Choose the path for the next bunch of IO</w:t>
      </w:r>
      <w:r>
        <w:rPr>
          <w:rStyle w:val="Text3"/>
        </w:rPr>
        <w:t xml:space="preserve"> </w:t>
      </w:r>
      <w:r>
        <w:t>#</w:t>
      </w:r>
      <w:r>
        <w:rPr>
          <w:rStyle w:val="Text3"/>
        </w:rPr>
        <w:t xml:space="preserve"> </w:t>
      </w:r>
      <w:r>
        <w:t>based on the amount of outstanding IO to</w:t>
      </w:r>
      <w:r>
        <w:rPr>
          <w:rStyle w:val="Text3"/>
        </w:rPr>
        <w:t xml:space="preserve"> </w:t>
      </w:r>
      <w:r>
        <w:t>#</w:t>
      </w:r>
      <w:r>
        <w:rPr>
          <w:rStyle w:val="Text3"/>
        </w:rPr>
        <w:t xml:space="preserve"> </w:t>
      </w:r>
      <w:r>
        <w:t>the path and its relative throughput.</w:t>
      </w:r>
      <w:r>
        <w:rPr>
          <w:rStyle w:val="Text3"/>
        </w:rPr>
        <w:t xml:space="preserve"> </w:t>
      </w:r>
      <w:r>
        <w:t># default : "service-time 0"</w:t>
      </w:r>
    </w:p>
    <w:p>
      <w:pPr>
        <w:pStyle w:val="Para 07"/>
      </w:pPr>
      <w:r>
        <w:t>#</w:t>
      </w:r>
    </w:p>
    <w:p>
      <w:pPr>
        <w:pStyle w:val="Para 02"/>
      </w:pPr>
      <w:r>
        <w:t>path_selector</w:t>
        <w:t xml:space="preserve"> </w:t>
        <w:t>"round-robin 0"</w:t>
      </w:r>
    </w:p>
    <w:p>
      <w:pPr>
        <w:pStyle w:val="Para 09"/>
      </w:pPr>
      <w:r>
        <w:t>(continues on next page)</w:t>
      </w:r>
    </w:p>
    <w:p>
      <w:bookmarkStart w:id="1378" w:name="page_8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4" name="index-876_1.png" descr="index-876_1.png"/>
            <wp:cNvGraphicFramePr>
              <a:graphicFrameLocks noChangeAspect="1"/>
            </wp:cNvGraphicFramePr>
            <a:graphic>
              <a:graphicData uri="http://schemas.openxmlformats.org/drawingml/2006/picture">
                <pic:pic>
                  <pic:nvPicPr>
                    <pic:cNvPr id="0" name="index-876_1.png" descr="index-876_1.png"/>
                    <pic:cNvPicPr/>
                  </pic:nvPicPr>
                  <pic:blipFill>
                    <a:blip r:embed="rId918"/>
                    <a:stretch>
                      <a:fillRect/>
                    </a:stretch>
                  </pic:blipFill>
                  <pic:spPr>
                    <a:xfrm>
                      <a:off x="0" y="0"/>
                      <a:ext cx="914400" cy="266700"/>
                    </a:xfrm>
                    <a:prstGeom prst="rect">
                      <a:avLst/>
                    </a:prstGeom>
                  </pic:spPr>
                </pic:pic>
              </a:graphicData>
            </a:graphic>
          </wp:anchor>
        </w:drawing>
      </w:r>
      <w:bookmarkEnd w:id="1378"/>
    </w:p>
    <w:p>
      <w:pPr>
        <w:pStyle w:val="Para 09"/>
      </w:pPr>
      <w:r>
        <w:t>(continued from previous page)</w:t>
      </w:r>
    </w:p>
    <w:p>
      <w:pPr>
        <w:pStyle w:val="Para 07"/>
      </w:pPr>
      <w:r>
        <w:t>#</w:t>
      </w:r>
    </w:p>
    <w:p>
      <w:pPr>
        <w:pStyle w:val="Para 07"/>
      </w:pPr>
      <w:r>
        <w:t># name</w:t>
      </w:r>
      <w:r>
        <w:rPr>
          <w:rStyle w:val="Text3"/>
        </w:rPr>
        <w:t xml:space="preserve"> </w:t>
      </w:r>
      <w:r>
        <w:t>: path_grouping_policy</w:t>
      </w:r>
    </w:p>
    <w:p>
      <w:pPr>
        <w:pStyle w:val="Para 07"/>
      </w:pPr>
      <w:r>
        <w:t># scope</w:t>
      </w:r>
      <w:r>
        <w:rPr>
          <w:rStyle w:val="Text3"/>
        </w:rPr>
        <w:t xml:space="preserve"> </w:t>
      </w:r>
      <w:r>
        <w:t>: multipath &amp; multipathd</w:t>
      </w:r>
    </w:p>
    <w:p>
      <w:pPr>
        <w:pStyle w:val="Para 07"/>
      </w:pPr>
      <w:r>
        <w:t># desc</w:t>
      </w:r>
      <w:r>
        <w:rPr>
          <w:rStyle w:val="Text3"/>
        </w:rPr>
        <w:t xml:space="preserve"> </w:t>
      </w:r>
      <w:r>
        <w:t>: the default path grouping policy to apply to unspecified</w:t>
      </w:r>
      <w:r>
        <w:rPr>
          <w:rStyle w:val="Text3"/>
        </w:rPr>
        <w:t xml:space="preserve"> </w:t>
      </w:r>
      <w:r>
        <w:t>#</w:t>
      </w:r>
      <w:r>
        <w:rPr>
          <w:rStyle w:val="Text3"/>
        </w:rPr>
        <w:t xml:space="preserve"> </w:t>
      </w:r>
      <w:r>
        <w:t>multipaths</w:t>
      </w:r>
    </w:p>
    <w:p>
      <w:pPr>
        <w:pStyle w:val="Para 07"/>
      </w:pPr>
      <w:r>
        <w:t># values</w:t>
      </w:r>
      <w:r>
        <w:rPr>
          <w:rStyle w:val="Text3"/>
        </w:rPr>
        <w:t xml:space="preserve"> </w:t>
      </w:r>
      <w:r>
        <w:t>: failover</w:t>
      </w:r>
      <w:r>
        <w:rPr>
          <w:rStyle w:val="Text3"/>
        </w:rPr>
        <w:t xml:space="preserve"> </w:t>
      </w:r>
      <w:r>
        <w:t>= 1 path per priority group</w:t>
      </w:r>
      <w:r>
        <w:rPr>
          <w:rStyle w:val="Text3"/>
        </w:rPr>
        <w:t xml:space="preserve"> </w:t>
      </w:r>
      <w:r>
        <w:t>#</w:t>
      </w:r>
      <w:r>
        <w:rPr>
          <w:rStyle w:val="Text3"/>
        </w:rPr>
        <w:t xml:space="preserve"> </w:t>
      </w:r>
      <w:r>
        <w:t>multibus</w:t>
      </w:r>
      <w:r>
        <w:rPr>
          <w:rStyle w:val="Text3"/>
        </w:rPr>
        <w:t xml:space="preserve"> </w:t>
      </w:r>
      <w:r>
        <w:t>= all valid paths in 1 priority group</w:t>
      </w:r>
      <w:r>
        <w:rPr>
          <w:rStyle w:val="Text3"/>
        </w:rPr>
        <w:t xml:space="preserve"> </w:t>
      </w:r>
      <w:r>
        <w:t>#</w:t>
      </w:r>
      <w:r>
        <w:rPr>
          <w:rStyle w:val="Text3"/>
        </w:rPr>
        <w:t xml:space="preserve"> </w:t>
      </w:r>
      <w:r>
        <w:t>group_by_serial</w:t>
      </w:r>
      <w:r>
        <w:rPr>
          <w:rStyle w:val="Text3"/>
        </w:rPr>
        <w:t xml:space="preserve"> </w:t>
      </w:r>
      <w:r>
        <w:t>= 1 priority group per detected serial</w:t>
      </w:r>
      <w:r>
        <w:rPr>
          <w:rStyle w:val="Text3"/>
        </w:rPr>
        <w:t xml:space="preserve"> </w:t>
      </w:r>
      <w:r>
        <w:t>#</w:t>
      </w:r>
      <w:r>
        <w:rPr>
          <w:rStyle w:val="Text3"/>
        </w:rPr>
        <w:t xml:space="preserve"> </w:t>
      </w:r>
      <w:r>
        <w:t>number</w:t>
      </w:r>
      <w:r>
        <w:rPr>
          <w:rStyle w:val="Text3"/>
        </w:rPr>
        <w:t xml:space="preserve"> </w:t>
      </w:r>
      <w:r>
        <w:t>#</w:t>
      </w:r>
      <w:r>
        <w:rPr>
          <w:rStyle w:val="Text3"/>
        </w:rPr>
        <w:t xml:space="preserve"> </w:t>
      </w:r>
      <w:r>
        <w:t>group_by_prio</w:t>
      </w:r>
      <w:r>
        <w:rPr>
          <w:rStyle w:val="Text3"/>
        </w:rPr>
        <w:t xml:space="preserve"> </w:t>
      </w:r>
      <w:r>
        <w:t>= 1 priority group per path priority</w:t>
      </w:r>
      <w:r>
        <w:rPr>
          <w:rStyle w:val="Text3"/>
        </w:rPr>
        <w:t xml:space="preserve"> </w:t>
      </w:r>
      <w:r>
        <w:t>#</w:t>
      </w:r>
      <w:r>
        <w:rPr>
          <w:rStyle w:val="Text3"/>
        </w:rPr>
        <w:t xml:space="preserve"> </w:t>
      </w:r>
      <w:r>
        <w:t>value</w:t>
      </w:r>
      <w:r>
        <w:rPr>
          <w:rStyle w:val="Text3"/>
        </w:rPr>
        <w:t xml:space="preserve"> </w:t>
      </w:r>
      <w:r>
        <w:t>#</w:t>
      </w:r>
      <w:r>
        <w:rPr>
          <w:rStyle w:val="Text3"/>
        </w:rPr>
        <w:t xml:space="preserve"> </w:t>
      </w:r>
      <w:r>
        <w:t>group_by_node_name = 1 priority group per target node name</w:t>
      </w:r>
      <w:r>
        <w:rPr>
          <w:rStyle w:val="Text3"/>
        </w:rPr>
        <w:t xml:space="preserve"> </w:t>
      </w:r>
      <w:r>
        <w:t># default : failover</w:t>
      </w:r>
    </w:p>
    <w:p>
      <w:pPr>
        <w:pStyle w:val="Para 07"/>
      </w:pPr>
      <w:r>
        <w:t>#</w:t>
      </w:r>
    </w:p>
    <w:p>
      <w:pPr>
        <w:pStyle w:val="Para 02"/>
      </w:pPr>
      <w:r>
        <w:t>path_grouping_policy multibus</w:t>
      </w:r>
    </w:p>
    <w:p>
      <w:pPr>
        <w:pStyle w:val="Para 07"/>
      </w:pPr>
      <w:r>
        <w:t>#</w:t>
      </w:r>
    </w:p>
    <w:p>
      <w:pPr>
        <w:pStyle w:val="Para 07"/>
      </w:pPr>
      <w:r>
        <w:t># name</w:t>
      </w:r>
      <w:r>
        <w:rPr>
          <w:rStyle w:val="Text3"/>
        </w:rPr>
        <w:t xml:space="preserve"> </w:t>
      </w:r>
      <w:r>
        <w:t>: uid_attribute</w:t>
      </w:r>
    </w:p>
    <w:p>
      <w:pPr>
        <w:pStyle w:val="Para 07"/>
      </w:pPr>
      <w:r>
        <w:t># scope</w:t>
      </w:r>
      <w:r>
        <w:rPr>
          <w:rStyle w:val="Text3"/>
        </w:rPr>
        <w:t xml:space="preserve"> </w:t>
      </w:r>
      <w:r>
        <w:t>: multipath &amp; multipathd</w:t>
      </w:r>
    </w:p>
    <w:p>
      <w:pPr>
        <w:pStyle w:val="Para 07"/>
      </w:pPr>
      <w:r>
        <w:t># desc</w:t>
      </w:r>
      <w:r>
        <w:rPr>
          <w:rStyle w:val="Text3"/>
        </w:rPr>
        <w:t xml:space="preserve"> </w:t>
      </w:r>
      <w:r>
        <w:t>: the default udev attribute from which the path</w:t>
      </w:r>
      <w:r>
        <w:rPr>
          <w:rStyle w:val="Text3"/>
        </w:rPr>
        <w:t xml:space="preserve"> </w:t>
      </w:r>
      <w:r>
        <w:t>#</w:t>
      </w:r>
      <w:r>
        <w:rPr>
          <w:rStyle w:val="Text3"/>
        </w:rPr>
        <w:t xml:space="preserve"> </w:t>
      </w:r>
      <w:r>
        <w:t>identifier should be generated.</w:t>
      </w:r>
      <w:r>
        <w:rPr>
          <w:rStyle w:val="Text3"/>
        </w:rPr>
        <w:t xml:space="preserve"> </w:t>
      </w:r>
      <w:r>
        <w:t># default : ID_SERIAL</w:t>
      </w:r>
    </w:p>
    <w:p>
      <w:pPr>
        <w:pStyle w:val="Para 07"/>
      </w:pPr>
      <w:r>
        <w:t>#</w:t>
      </w:r>
    </w:p>
    <w:p>
      <w:pPr>
        <w:pStyle w:val="Para 02"/>
      </w:pPr>
      <w:r>
        <w:t>uid_attribute</w:t>
        <w:t xml:space="preserve"> </w:t>
        <w:t>"ID_SERIAL"</w:t>
      </w:r>
    </w:p>
    <w:p>
      <w:pPr>
        <w:pStyle w:val="Para 07"/>
      </w:pPr>
      <w:r>
        <w:t>#</w:t>
      </w:r>
    </w:p>
    <w:p>
      <w:pPr>
        <w:pStyle w:val="Para 07"/>
      </w:pPr>
      <w:r>
        <w:t># name</w:t>
      </w:r>
      <w:r>
        <w:rPr>
          <w:rStyle w:val="Text3"/>
        </w:rPr>
        <w:t xml:space="preserve"> </w:t>
      </w:r>
      <w:r>
        <w:t>: getuid_callout</w:t>
      </w:r>
    </w:p>
    <w:p>
      <w:pPr>
        <w:pStyle w:val="Para 07"/>
      </w:pPr>
      <w:r>
        <w:t># scope</w:t>
      </w:r>
      <w:r>
        <w:rPr>
          <w:rStyle w:val="Text3"/>
        </w:rPr>
        <w:t xml:space="preserve"> </w:t>
      </w:r>
      <w:r>
        <w:t>: multipath &amp; multipathd</w:t>
      </w:r>
    </w:p>
    <w:p>
      <w:pPr>
        <w:pStyle w:val="Para 07"/>
      </w:pPr>
      <w:r>
        <w:t># desc</w:t>
      </w:r>
      <w:r>
        <w:rPr>
          <w:rStyle w:val="Text3"/>
        </w:rPr>
        <w:t xml:space="preserve"> </w:t>
      </w:r>
      <w:r>
        <w:t>: the default program and args to callout to obtain a unique</w:t>
      </w:r>
      <w:r>
        <w:rPr>
          <w:rStyle w:val="Text3"/>
        </w:rPr>
        <w:t xml:space="preserve"> </w:t>
      </w:r>
      <w:r>
        <w:t>#</w:t>
      </w:r>
      <w:r>
        <w:rPr>
          <w:rStyle w:val="Text3"/>
        </w:rPr>
        <w:t xml:space="preserve"> </w:t>
      </w:r>
      <w:r>
        <w:t>path identifier. This parameter is deprecated.</w:t>
      </w:r>
      <w:r>
        <w:rPr>
          <w:rStyle w:val="Text3"/>
        </w:rPr>
        <w:t xml:space="preserve"> </w:t>
      </w:r>
      <w:r>
        <w:t>#</w:t>
      </w:r>
      <w:r>
        <w:rPr>
          <w:rStyle w:val="Text3"/>
        </w:rPr>
        <w:t xml:space="preserve"> </w:t>
      </w:r>
      <w:r>
        <w:t>This parameter is deprecated, superseded by uid_attribute</w:t>
      </w:r>
      <w:r>
        <w:rPr>
          <w:rStyle w:val="Text3"/>
        </w:rPr>
        <w:t xml:space="preserve"> </w:t>
      </w:r>
      <w:r>
        <w:t># default : /lib/udev/scsi_id --whitelisted --device=/dev/%n</w:t>
      </w:r>
      <w:r>
        <w:rPr>
          <w:rStyle w:val="Text3"/>
        </w:rPr>
        <w:t xml:space="preserve"> </w:t>
      </w:r>
      <w:r>
        <w:t>#</w:t>
      </w:r>
    </w:p>
    <w:p>
      <w:pPr>
        <w:pStyle w:val="Para 02"/>
      </w:pPr>
      <w:r>
        <w:t>getuid_callout</w:t>
        <w:t xml:space="preserve"> </w:t>
        <w:t>"/lib/udev/scsi_id --whitelisted --device=/dev/%n"</w:t>
      </w:r>
    </w:p>
    <w:p>
      <w:pPr>
        <w:pStyle w:val="Para 07"/>
      </w:pPr>
      <w:r>
        <w:t>#</w:t>
      </w:r>
    </w:p>
    <w:p>
      <w:pPr>
        <w:pStyle w:val="Para 07"/>
      </w:pPr>
      <w:r>
        <w:t># name</w:t>
      </w:r>
      <w:r>
        <w:rPr>
          <w:rStyle w:val="Text3"/>
        </w:rPr>
        <w:t xml:space="preserve"> </w:t>
      </w:r>
      <w:r>
        <w:t>: prio</w:t>
      </w:r>
    </w:p>
    <w:p>
      <w:pPr>
        <w:pStyle w:val="Para 07"/>
      </w:pPr>
      <w:r>
        <w:t># scope</w:t>
      </w:r>
      <w:r>
        <w:rPr>
          <w:rStyle w:val="Text3"/>
        </w:rPr>
        <w:t xml:space="preserve"> </w:t>
      </w:r>
      <w:r>
        <w:t>: multipath &amp; multipathd</w:t>
      </w:r>
    </w:p>
    <w:p>
      <w:pPr>
        <w:pStyle w:val="Para 07"/>
      </w:pPr>
      <w:r>
        <w:t># desc</w:t>
      </w:r>
      <w:r>
        <w:rPr>
          <w:rStyle w:val="Text3"/>
        </w:rPr>
        <w:t xml:space="preserve"> </w:t>
      </w:r>
      <w:r>
        <w:t>: the default function to call to obtain a path</w:t>
      </w:r>
      <w:r>
        <w:rPr>
          <w:rStyle w:val="Text3"/>
        </w:rPr>
        <w:t xml:space="preserve"> </w:t>
      </w:r>
      <w:r>
        <w:t>#</w:t>
      </w:r>
      <w:r>
        <w:rPr>
          <w:rStyle w:val="Text3"/>
        </w:rPr>
        <w:t xml:space="preserve"> </w:t>
      </w:r>
      <w:r>
        <w:t>priority value. The ALUA bits in SPC-3 provide an</w:t>
      </w:r>
      <w:r>
        <w:rPr>
          <w:rStyle w:val="Text3"/>
        </w:rPr>
        <w:t xml:space="preserve"> </w:t>
      </w:r>
      <w:r>
        <w:t>#</w:t>
      </w:r>
      <w:r>
        <w:rPr>
          <w:rStyle w:val="Text3"/>
        </w:rPr>
        <w:t xml:space="preserve"> </w:t>
      </w:r>
      <w:r>
        <w:t>exploitable prio value for example.</w:t>
      </w:r>
      <w:r>
        <w:rPr>
          <w:rStyle w:val="Text3"/>
        </w:rPr>
        <w:t xml:space="preserve"> </w:t>
      </w:r>
      <w:r>
        <w:t># default : const</w:t>
      </w:r>
    </w:p>
    <w:p>
      <w:pPr>
        <w:pStyle w:val="Para 07"/>
      </w:pPr>
      <w:r>
        <w:t>#</w:t>
      </w:r>
    </w:p>
    <w:p>
      <w:pPr>
        <w:pStyle w:val="Para 07"/>
      </w:pPr>
      <w:r>
        <w:t># prio "alua"</w:t>
      </w:r>
    </w:p>
    <w:p>
      <w:pPr>
        <w:pStyle w:val="Para 07"/>
      </w:pPr>
      <w:r>
        <w:t>#</w:t>
      </w:r>
    </w:p>
    <w:p>
      <w:pPr>
        <w:pStyle w:val="Para 07"/>
      </w:pPr>
      <w:r>
        <w:t># name</w:t>
      </w:r>
      <w:r>
        <w:rPr>
          <w:rStyle w:val="Text3"/>
        </w:rPr>
        <w:t xml:space="preserve"> </w:t>
      </w:r>
      <w:r>
        <w:t>: prio_args</w:t>
      </w:r>
    </w:p>
    <w:p>
      <w:pPr>
        <w:pStyle w:val="Para 07"/>
      </w:pPr>
      <w:r>
        <w:t># scope</w:t>
      </w:r>
      <w:r>
        <w:rPr>
          <w:rStyle w:val="Text3"/>
        </w:rPr>
        <w:t xml:space="preserve"> </w:t>
      </w:r>
      <w:r>
        <w:t>: multipath &amp; multipathd</w:t>
      </w:r>
    </w:p>
    <w:p>
      <w:pPr>
        <w:pStyle w:val="Para 07"/>
      </w:pPr>
      <w:r>
        <w:t># desc</w:t>
      </w:r>
      <w:r>
        <w:rPr>
          <w:rStyle w:val="Text3"/>
        </w:rPr>
        <w:t xml:space="preserve"> </w:t>
      </w:r>
      <w:r>
        <w:t>: The arguments string passed to the prio function</w:t>
      </w:r>
      <w:r>
        <w:rPr>
          <w:rStyle w:val="Text3"/>
        </w:rPr>
        <w:t xml:space="preserve"> </w:t>
      </w:r>
      <w:r>
        <w:t>#</w:t>
      </w:r>
      <w:r>
        <w:rPr>
          <w:rStyle w:val="Text3"/>
        </w:rPr>
        <w:t xml:space="preserve"> </w:t>
      </w:r>
      <w:r>
        <w:t>Most prio functions do not need arguments. The</w:t>
      </w:r>
      <w:r>
        <w:rPr>
          <w:rStyle w:val="Text3"/>
        </w:rPr>
        <w:t xml:space="preserve"> </w:t>
      </w:r>
      <w:r>
        <w:t>#</w:t>
      </w:r>
      <w:r>
        <w:rPr>
          <w:rStyle w:val="Text3"/>
        </w:rPr>
        <w:t xml:space="preserve"> </w:t>
      </w:r>
      <w:r>
        <w:t>datacore prioritizer need one.</w:t>
      </w:r>
      <w:r>
        <w:rPr>
          <w:rStyle w:val="Text3"/>
        </w:rPr>
        <w:t xml:space="preserve"> </w:t>
      </w:r>
      <w:r>
        <w:t># default : (null)</w:t>
      </w:r>
    </w:p>
    <w:p>
      <w:pPr>
        <w:pStyle w:val="Para 07"/>
      </w:pPr>
      <w:r>
        <w:t>#</w:t>
      </w:r>
    </w:p>
    <w:p>
      <w:pPr>
        <w:pStyle w:val="Para 07"/>
      </w:pPr>
      <w:r>
        <w:t># prio_args "timeout=1000 preferredsds=foo"</w:t>
      </w:r>
    </w:p>
    <w:p>
      <w:pPr>
        <w:pStyle w:val="Para 07"/>
      </w:pPr>
      <w:r>
        <w:t>#</w:t>
      </w:r>
    </w:p>
    <w:p>
      <w:pPr>
        <w:pStyle w:val="Para 09"/>
      </w:pPr>
      <w:r>
        <w:t>(continues on next page)</w:t>
      </w:r>
    </w:p>
    <w:p>
      <w:bookmarkStart w:id="1379" w:name="page_8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5" name="index-877_1.png" descr="index-877_1.png"/>
            <wp:cNvGraphicFramePr>
              <a:graphicFrameLocks noChangeAspect="1"/>
            </wp:cNvGraphicFramePr>
            <a:graphic>
              <a:graphicData uri="http://schemas.openxmlformats.org/drawingml/2006/picture">
                <pic:pic>
                  <pic:nvPicPr>
                    <pic:cNvPr id="0" name="index-877_1.png" descr="index-877_1.png"/>
                    <pic:cNvPicPr/>
                  </pic:nvPicPr>
                  <pic:blipFill>
                    <a:blip r:embed="rId919"/>
                    <a:stretch>
                      <a:fillRect/>
                    </a:stretch>
                  </pic:blipFill>
                  <pic:spPr>
                    <a:xfrm>
                      <a:off x="0" y="0"/>
                      <a:ext cx="914400" cy="266700"/>
                    </a:xfrm>
                    <a:prstGeom prst="rect">
                      <a:avLst/>
                    </a:prstGeom>
                  </pic:spPr>
                </pic:pic>
              </a:graphicData>
            </a:graphic>
          </wp:anchor>
        </w:drawing>
      </w:r>
      <w:bookmarkEnd w:id="1379"/>
    </w:p>
    <w:p>
      <w:pPr>
        <w:pStyle w:val="Para 09"/>
      </w:pPr>
      <w:r>
        <w:t>(continued from previous page)</w:t>
      </w:r>
    </w:p>
    <w:p>
      <w:pPr>
        <w:pStyle w:val="Para 07"/>
      </w:pPr>
      <w:r>
        <w:t># name</w:t>
      </w:r>
      <w:r>
        <w:rPr>
          <w:rStyle w:val="Text3"/>
        </w:rPr>
        <w:t xml:space="preserve"> </w:t>
      </w:r>
      <w:r>
        <w:t>: features</w:t>
      </w:r>
    </w:p>
    <w:p>
      <w:pPr>
        <w:pStyle w:val="Para 07"/>
      </w:pPr>
      <w:r>
        <w:t># scope</w:t>
      </w:r>
      <w:r>
        <w:rPr>
          <w:rStyle w:val="Text3"/>
        </w:rPr>
        <w:t xml:space="preserve"> </w:t>
      </w:r>
      <w:r>
        <w:t>: multipath &amp; multipathd</w:t>
      </w:r>
    </w:p>
    <w:p>
      <w:pPr>
        <w:pStyle w:val="Para 07"/>
      </w:pPr>
      <w:r>
        <w:t># desc</w:t>
      </w:r>
      <w:r>
        <w:rPr>
          <w:rStyle w:val="Text3"/>
        </w:rPr>
        <w:t xml:space="preserve"> </w:t>
      </w:r>
      <w:r>
        <w:t>: The default extra features of multipath devices.</w:t>
      </w:r>
      <w:r>
        <w:rPr>
          <w:rStyle w:val="Text3"/>
        </w:rPr>
        <w:t xml:space="preserve"> </w:t>
      </w:r>
      <w:r>
        <w:t>#</w:t>
      </w:r>
      <w:r>
        <w:rPr>
          <w:rStyle w:val="Text3"/>
        </w:rPr>
        <w:t xml:space="preserve"> </w:t>
      </w:r>
      <w:r>
        <w:t>Syntax is "num[ feature_0 feature_1 ...]", where `num' is the</w:t>
      </w:r>
      <w:r>
        <w:rPr>
          <w:rStyle w:val="Text3"/>
        </w:rPr>
        <w:t xml:space="preserve"> </w:t>
      </w:r>
      <w:r>
        <w:t>#</w:t>
      </w:r>
      <w:r>
        <w:rPr>
          <w:rStyle w:val="Text3"/>
        </w:rPr>
        <w:t xml:space="preserve"> </w:t>
      </w:r>
      <w:r>
        <w:t>number of features in the following (possibly empty) list of</w:t>
      </w:r>
      <w:r>
        <w:rPr>
          <w:rStyle w:val="Text3"/>
        </w:rPr>
        <w:t xml:space="preserve"> </w:t>
      </w:r>
      <w:r>
        <w:t>#</w:t>
      </w:r>
      <w:r>
        <w:rPr>
          <w:rStyle w:val="Text3"/>
        </w:rPr>
        <w:t xml:space="preserve"> </w:t>
      </w:r>
      <w:r>
        <w:t>features.</w:t>
      </w:r>
    </w:p>
    <w:p>
      <w:pPr>
        <w:pStyle w:val="Para 07"/>
      </w:pPr>
      <w:r>
        <w:t># values</w:t>
      </w:r>
      <w:r>
        <w:rPr>
          <w:rStyle w:val="Text3"/>
        </w:rPr>
        <w:t xml:space="preserve"> </w:t>
      </w:r>
      <w:r>
        <w:t>: queue_if_no_path = Queue IO if no path is active; consider</w:t>
      </w:r>
      <w:r>
        <w:rPr>
          <w:rStyle w:val="Text3"/>
        </w:rPr>
        <w:t xml:space="preserve"> </w:t>
      </w:r>
      <w:r>
        <w:t>#</w:t>
      </w:r>
      <w:r>
        <w:rPr>
          <w:rStyle w:val="Text3"/>
        </w:rPr>
        <w:t xml:space="preserve"> </w:t>
      </w:r>
      <w:r>
        <w:t>using the `no_path_retry' keyword instead.</w:t>
      </w:r>
      <w:r>
        <w:rPr>
          <w:rStyle w:val="Text3"/>
        </w:rPr>
        <w:t xml:space="preserve"> </w:t>
      </w:r>
      <w:r>
        <w:t>#</w:t>
      </w:r>
      <w:r>
        <w:rPr>
          <w:rStyle w:val="Text3"/>
        </w:rPr>
        <w:t xml:space="preserve"> </w:t>
      </w:r>
      <w:r>
        <w:t>no_partitions</w:t>
      </w:r>
      <w:r>
        <w:rPr>
          <w:rStyle w:val="Text3"/>
        </w:rPr>
        <w:t xml:space="preserve"> </w:t>
      </w:r>
      <w:r>
        <w:t>= Disable automatic partitions generation via</w:t>
      </w:r>
      <w:r>
        <w:rPr>
          <w:rStyle w:val="Text3"/>
        </w:rPr>
        <w:t xml:space="preserve"> </w:t>
      </w:r>
      <w:r>
        <w:t>#</w:t>
      </w:r>
      <w:r>
        <w:rPr>
          <w:rStyle w:val="Text3"/>
        </w:rPr>
        <w:t xml:space="preserve"> </w:t>
      </w:r>
      <w:r>
        <w:t>kpartx.</w:t>
      </w:r>
      <w:r>
        <w:rPr>
          <w:rStyle w:val="Text3"/>
        </w:rPr>
        <w:t xml:space="preserve"> </w:t>
      </w:r>
      <w:r>
        <w:t># default : "0"</w:t>
      </w:r>
    </w:p>
    <w:p>
      <w:pPr>
        <w:pStyle w:val="Para 07"/>
      </w:pPr>
      <w:r>
        <w:t>#</w:t>
      </w:r>
    </w:p>
    <w:p>
      <w:pPr>
        <w:pStyle w:val="Para 02"/>
      </w:pPr>
      <w:r>
        <w:t>features</w:t>
        <w:t xml:space="preserve"> </w:t>
        <w:t>"0"</w:t>
      </w:r>
    </w:p>
    <w:p>
      <w:pPr>
        <w:pStyle w:val="Para 07"/>
      </w:pPr>
      <w:r>
        <w:t>#features</w:t>
      </w:r>
      <w:r>
        <w:rPr>
          <w:rStyle w:val="Text3"/>
        </w:rPr>
        <w:t xml:space="preserve"> </w:t>
      </w:r>
      <w:r>
        <w:t>"1 queue_if_no_path"</w:t>
      </w:r>
    </w:p>
    <w:p>
      <w:pPr>
        <w:pStyle w:val="Para 07"/>
      </w:pPr>
      <w:r>
        <w:t>#features</w:t>
      </w:r>
      <w:r>
        <w:rPr>
          <w:rStyle w:val="Text3"/>
        </w:rPr>
        <w:t xml:space="preserve"> </w:t>
      </w:r>
      <w:r>
        <w:t>"1 no_partitions"</w:t>
      </w:r>
    </w:p>
    <w:p>
      <w:pPr>
        <w:pStyle w:val="Para 07"/>
      </w:pPr>
      <w:r>
        <w:t>#features</w:t>
      </w:r>
      <w:r>
        <w:rPr>
          <w:rStyle w:val="Text3"/>
        </w:rPr>
        <w:t xml:space="preserve"> </w:t>
      </w:r>
      <w:r>
        <w:t>"2 queue_if_no_path no_partitions"</w:t>
      </w:r>
    </w:p>
    <w:p>
      <w:pPr>
        <w:pStyle w:val="Para 07"/>
      </w:pPr>
      <w:r>
        <w:t>#</w:t>
      </w:r>
    </w:p>
    <w:p>
      <w:pPr>
        <w:pStyle w:val="Para 07"/>
      </w:pPr>
      <w:r>
        <w:t># name</w:t>
      </w:r>
      <w:r>
        <w:rPr>
          <w:rStyle w:val="Text3"/>
        </w:rPr>
        <w:t xml:space="preserve"> </w:t>
      </w:r>
      <w:r>
        <w:t>: path_checker, checker</w:t>
      </w:r>
    </w:p>
    <w:p>
      <w:pPr>
        <w:pStyle w:val="Para 07"/>
      </w:pPr>
      <w:r>
        <w:t># scope</w:t>
      </w:r>
      <w:r>
        <w:rPr>
          <w:rStyle w:val="Text3"/>
        </w:rPr>
        <w:t xml:space="preserve"> </w:t>
      </w:r>
      <w:r>
        <w:t>: multipath &amp; multipathd</w:t>
      </w:r>
    </w:p>
    <w:p>
      <w:pPr>
        <w:pStyle w:val="Para 07"/>
      </w:pPr>
      <w:r>
        <w:t># desc</w:t>
      </w:r>
      <w:r>
        <w:rPr>
          <w:rStyle w:val="Text3"/>
        </w:rPr>
        <w:t xml:space="preserve"> </w:t>
      </w:r>
      <w:r>
        <w:t>: the default method used to determine the paths' state</w:t>
      </w:r>
      <w:r>
        <w:rPr>
          <w:rStyle w:val="Text3"/>
        </w:rPr>
        <w:t xml:space="preserve"> </w:t>
      </w:r>
      <w:r>
        <w:t># values</w:t>
      </w:r>
      <w:r>
        <w:rPr>
          <w:rStyle w:val="Text3"/>
        </w:rPr>
        <w:t xml:space="preserve"> </w:t>
      </w:r>
      <w:r>
        <w:t>: readsector0|tur|emc_clariion|hp_sw|directio|rdac|cciss_tur</w:t>
      </w:r>
      <w:r>
        <w:rPr>
          <w:rStyle w:val="Text3"/>
        </w:rPr>
        <w:t xml:space="preserve"> </w:t>
      </w:r>
      <w:r>
        <w:t># default : directio</w:t>
      </w:r>
    </w:p>
    <w:p>
      <w:pPr>
        <w:pStyle w:val="Para 07"/>
      </w:pPr>
      <w:r>
        <w:t>#</w:t>
      </w:r>
    </w:p>
    <w:p>
      <w:pPr>
        <w:pStyle w:val="Para 02"/>
      </w:pPr>
      <w:r>
        <w:t>path_checker directio</w:t>
      </w:r>
    </w:p>
    <w:p>
      <w:pPr>
        <w:pStyle w:val="Para 07"/>
      </w:pPr>
      <w:r>
        <w:t>#</w:t>
      </w:r>
    </w:p>
    <w:p>
      <w:pPr>
        <w:pStyle w:val="Para 07"/>
      </w:pPr>
      <w:r>
        <w:t># name</w:t>
      </w:r>
      <w:r>
        <w:rPr>
          <w:rStyle w:val="Text3"/>
        </w:rPr>
        <w:t xml:space="preserve"> </w:t>
      </w:r>
      <w:r>
        <w:t>: rr_min_io</w:t>
      </w:r>
    </w:p>
    <w:p>
      <w:pPr>
        <w:pStyle w:val="Para 07"/>
      </w:pPr>
      <w:r>
        <w:t># scope</w:t>
      </w:r>
      <w:r>
        <w:rPr>
          <w:rStyle w:val="Text3"/>
        </w:rPr>
        <w:t xml:space="preserve"> </w:t>
      </w:r>
      <w:r>
        <w:t>: multipath &amp; multipathd</w:t>
      </w:r>
    </w:p>
    <w:p>
      <w:pPr>
        <w:pStyle w:val="Para 07"/>
      </w:pPr>
      <w:r>
        <w:t># desc</w:t>
      </w:r>
      <w:r>
        <w:rPr>
          <w:rStyle w:val="Text3"/>
        </w:rPr>
        <w:t xml:space="preserve"> </w:t>
      </w:r>
      <w:r>
        <w:t>: the number of IO to route to a path before switching</w:t>
      </w:r>
      <w:r>
        <w:rPr>
          <w:rStyle w:val="Text3"/>
        </w:rPr>
        <w:t xml:space="preserve"> </w:t>
      </w:r>
      <w:r>
        <w:t>#</w:t>
      </w:r>
      <w:r>
        <w:rPr>
          <w:rStyle w:val="Text3"/>
        </w:rPr>
        <w:t xml:space="preserve"> </w:t>
      </w:r>
      <w:r>
        <w:t>to the next in the same path group for the bio-based</w:t>
      </w:r>
      <w:r>
        <w:rPr>
          <w:rStyle w:val="Text3"/>
        </w:rPr>
        <w:t xml:space="preserve"> </w:t>
      </w:r>
      <w:r>
        <w:t>#</w:t>
      </w:r>
      <w:r>
        <w:rPr>
          <w:rStyle w:val="Text3"/>
        </w:rPr>
        <w:t xml:space="preserve"> </w:t>
      </w:r>
      <w:r>
        <w:t>multipath implementation. This parameter is used for</w:t>
      </w:r>
      <w:r>
        <w:rPr>
          <w:rStyle w:val="Text3"/>
        </w:rPr>
        <w:t xml:space="preserve"> </w:t>
      </w:r>
      <w:r>
        <w:t>#</w:t>
      </w:r>
      <w:r>
        <w:rPr>
          <w:rStyle w:val="Text3"/>
        </w:rPr>
        <w:t xml:space="preserve"> </w:t>
      </w:r>
      <w:r>
        <w:t>kernels version up to 2.6.31; newer kernel version</w:t>
      </w:r>
      <w:r>
        <w:rPr>
          <w:rStyle w:val="Text3"/>
        </w:rPr>
        <w:t xml:space="preserve"> </w:t>
      </w:r>
      <w:r>
        <w:t>#</w:t>
      </w:r>
      <w:r>
        <w:rPr>
          <w:rStyle w:val="Text3"/>
        </w:rPr>
        <w:t xml:space="preserve"> </w:t>
      </w:r>
      <w:r>
        <w:t>use the parameter rr_min_io_rq</w:t>
      </w:r>
      <w:r>
        <w:rPr>
          <w:rStyle w:val="Text3"/>
        </w:rPr>
        <w:t xml:space="preserve"> </w:t>
      </w:r>
      <w:r>
        <w:t># default : 1000</w:t>
      </w:r>
    </w:p>
    <w:p>
      <w:pPr>
        <w:pStyle w:val="Para 07"/>
      </w:pPr>
      <w:r>
        <w:t>#</w:t>
      </w:r>
    </w:p>
    <w:p>
      <w:pPr>
        <w:pStyle w:val="Para 02"/>
      </w:pPr>
      <w:r>
        <w:t>rr_min_io</w:t>
        <w:t xml:space="preserve"> </w:t>
        <w:t>100</w:t>
      </w:r>
    </w:p>
    <w:p>
      <w:pPr>
        <w:pStyle w:val="Para 07"/>
      </w:pPr>
      <w:r>
        <w:t>#</w:t>
      </w:r>
    </w:p>
    <w:p>
      <w:pPr>
        <w:pStyle w:val="Para 07"/>
      </w:pPr>
      <w:r>
        <w:t># name</w:t>
      </w:r>
      <w:r>
        <w:rPr>
          <w:rStyle w:val="Text3"/>
        </w:rPr>
        <w:t xml:space="preserve"> </w:t>
      </w:r>
      <w:r>
        <w:t>: rr_min_io_rq</w:t>
      </w:r>
    </w:p>
    <w:p>
      <w:pPr>
        <w:pStyle w:val="Para 07"/>
      </w:pPr>
      <w:r>
        <w:t># scope</w:t>
      </w:r>
      <w:r>
        <w:rPr>
          <w:rStyle w:val="Text3"/>
        </w:rPr>
        <w:t xml:space="preserve"> </w:t>
      </w:r>
      <w:r>
        <w:t>: multipath &amp; multipathd</w:t>
      </w:r>
    </w:p>
    <w:p>
      <w:pPr>
        <w:pStyle w:val="Para 07"/>
      </w:pPr>
      <w:r>
        <w:t># desc</w:t>
      </w:r>
      <w:r>
        <w:rPr>
          <w:rStyle w:val="Text3"/>
        </w:rPr>
        <w:t xml:space="preserve"> </w:t>
      </w:r>
      <w:r>
        <w:t>: the number of IO to route to a path before switching</w:t>
      </w:r>
      <w:r>
        <w:rPr>
          <w:rStyle w:val="Text3"/>
        </w:rPr>
        <w:t xml:space="preserve"> </w:t>
      </w:r>
      <w:r>
        <w:t>#</w:t>
      </w:r>
      <w:r>
        <w:rPr>
          <w:rStyle w:val="Text3"/>
        </w:rPr>
        <w:t xml:space="preserve"> </w:t>
      </w:r>
      <w:r>
        <w:t>to the next in the same path group for the request-based</w:t>
      </w:r>
      <w:r>
        <w:rPr>
          <w:rStyle w:val="Text3"/>
        </w:rPr>
        <w:t xml:space="preserve"> </w:t>
      </w:r>
      <w:r>
        <w:t>#</w:t>
      </w:r>
      <w:r>
        <w:rPr>
          <w:rStyle w:val="Text3"/>
        </w:rPr>
        <w:t xml:space="preserve"> </w:t>
      </w:r>
      <w:r>
        <w:t>multipath implementation. This parameter is used for</w:t>
      </w:r>
      <w:r>
        <w:rPr>
          <w:rStyle w:val="Text3"/>
        </w:rPr>
        <w:t xml:space="preserve"> </w:t>
      </w:r>
      <w:r>
        <w:t>#</w:t>
      </w:r>
      <w:r>
        <w:rPr>
          <w:rStyle w:val="Text3"/>
        </w:rPr>
        <w:t xml:space="preserve"> </w:t>
      </w:r>
      <w:r>
        <w:t>kernels versions later than 2.6.31.</w:t>
      </w:r>
      <w:r>
        <w:rPr>
          <w:rStyle w:val="Text3"/>
        </w:rPr>
        <w:t xml:space="preserve"> </w:t>
      </w:r>
      <w:r>
        <w:t># default : 1</w:t>
      </w:r>
    </w:p>
    <w:p>
      <w:pPr>
        <w:pStyle w:val="Para 07"/>
      </w:pPr>
      <w:r>
        <w:t>#</w:t>
      </w:r>
    </w:p>
    <w:p>
      <w:pPr>
        <w:pStyle w:val="Para 02"/>
      </w:pPr>
      <w:r>
        <w:t>rr_min_io_rq</w:t>
        <w:t xml:space="preserve"> </w:t>
        <w:t>1</w:t>
      </w:r>
    </w:p>
    <w:p>
      <w:pPr>
        <w:pStyle w:val="Para 07"/>
      </w:pPr>
      <w:r>
        <w:t>#</w:t>
      </w:r>
    </w:p>
    <w:p>
      <w:pPr>
        <w:pStyle w:val="Para 07"/>
      </w:pPr>
      <w:r>
        <w:t># name</w:t>
      </w:r>
      <w:r>
        <w:rPr>
          <w:rStyle w:val="Text3"/>
        </w:rPr>
        <w:t xml:space="preserve"> </w:t>
      </w:r>
      <w:r>
        <w:t>: flush_on_last_del</w:t>
      </w:r>
    </w:p>
    <w:p>
      <w:pPr>
        <w:pStyle w:val="Para 07"/>
      </w:pPr>
      <w:r>
        <w:t># scope</w:t>
      </w:r>
      <w:r>
        <w:rPr>
          <w:rStyle w:val="Text3"/>
        </w:rPr>
        <w:t xml:space="preserve"> </w:t>
      </w:r>
      <w:r>
        <w:t>: multipathd</w:t>
      </w:r>
    </w:p>
    <w:p>
      <w:pPr>
        <w:pStyle w:val="Para 07"/>
      </w:pPr>
      <w:r>
        <w:t># desc</w:t>
      </w:r>
      <w:r>
        <w:rPr>
          <w:rStyle w:val="Text3"/>
        </w:rPr>
        <w:t xml:space="preserve"> </w:t>
      </w:r>
      <w:r>
        <w:t>: If set to "yes", multipathd will disable queueing when the</w:t>
      </w:r>
      <w:r>
        <w:rPr>
          <w:rStyle w:val="Text3"/>
        </w:rPr>
        <w:t xml:space="preserve"> </w:t>
      </w:r>
      <w:r>
        <w:t>#</w:t>
      </w:r>
      <w:r>
        <w:rPr>
          <w:rStyle w:val="Text3"/>
        </w:rPr>
        <w:t xml:space="preserve"> </w:t>
      </w:r>
      <w:r>
        <w:t>last path to a device has been deleted.</w:t>
      </w:r>
      <w:r>
        <w:rPr>
          <w:rStyle w:val="Text3"/>
        </w:rPr>
        <w:t xml:space="preserve"> </w:t>
      </w:r>
      <w:r>
        <w:t># values</w:t>
      </w:r>
      <w:r>
        <w:rPr>
          <w:rStyle w:val="Text3"/>
        </w:rPr>
        <w:t xml:space="preserve"> </w:t>
      </w:r>
      <w:r>
        <w:t>: yes|no</w:t>
      </w:r>
    </w:p>
    <w:p>
      <w:pPr>
        <w:pStyle w:val="Para 07"/>
      </w:pPr>
      <w:r>
        <w:t># default : no</w:t>
      </w:r>
    </w:p>
    <w:p>
      <w:pPr>
        <w:pStyle w:val="Para 09"/>
      </w:pPr>
      <w:r>
        <w:t>(continues on next page)</w:t>
      </w:r>
    </w:p>
    <w:p>
      <w:bookmarkStart w:id="1380" w:name="page_8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6" name="index-878_1.png" descr="index-878_1.png"/>
            <wp:cNvGraphicFramePr>
              <a:graphicFrameLocks noChangeAspect="1"/>
            </wp:cNvGraphicFramePr>
            <a:graphic>
              <a:graphicData uri="http://schemas.openxmlformats.org/drawingml/2006/picture">
                <pic:pic>
                  <pic:nvPicPr>
                    <pic:cNvPr id="0" name="index-878_1.png" descr="index-878_1.png"/>
                    <pic:cNvPicPr/>
                  </pic:nvPicPr>
                  <pic:blipFill>
                    <a:blip r:embed="rId920"/>
                    <a:stretch>
                      <a:fillRect/>
                    </a:stretch>
                  </pic:blipFill>
                  <pic:spPr>
                    <a:xfrm>
                      <a:off x="0" y="0"/>
                      <a:ext cx="914400" cy="266700"/>
                    </a:xfrm>
                    <a:prstGeom prst="rect">
                      <a:avLst/>
                    </a:prstGeom>
                  </pic:spPr>
                </pic:pic>
              </a:graphicData>
            </a:graphic>
          </wp:anchor>
        </w:drawing>
      </w:r>
      <w:bookmarkEnd w:id="1380"/>
    </w:p>
    <w:p>
      <w:pPr>
        <w:pStyle w:val="Para 09"/>
      </w:pPr>
      <w:r>
        <w:t>(continued from previous page)</w:t>
      </w:r>
    </w:p>
    <w:p>
      <w:pPr>
        <w:pStyle w:val="Para 07"/>
      </w:pPr>
      <w:r>
        <w:t>#</w:t>
      </w:r>
    </w:p>
    <w:p>
      <w:pPr>
        <w:pStyle w:val="Para 02"/>
      </w:pPr>
      <w:r>
        <w:t>flush_on_last_del yes</w:t>
      </w:r>
    </w:p>
    <w:p>
      <w:pPr>
        <w:pStyle w:val="Para 07"/>
      </w:pPr>
      <w:r>
        <w:t>#</w:t>
      </w:r>
    </w:p>
    <w:p>
      <w:pPr>
        <w:pStyle w:val="Para 07"/>
      </w:pPr>
      <w:r>
        <w:t># name</w:t>
      </w:r>
      <w:r>
        <w:rPr>
          <w:rStyle w:val="Text3"/>
        </w:rPr>
        <w:t xml:space="preserve"> </w:t>
      </w:r>
      <w:r>
        <w:t>: max_fds</w:t>
      </w:r>
    </w:p>
    <w:p>
      <w:pPr>
        <w:pStyle w:val="Para 07"/>
      </w:pPr>
      <w:r>
        <w:t># scope</w:t>
      </w:r>
      <w:r>
        <w:rPr>
          <w:rStyle w:val="Text3"/>
        </w:rPr>
        <w:t xml:space="preserve"> </w:t>
      </w:r>
      <w:r>
        <w:t>: multipathd</w:t>
      </w:r>
    </w:p>
    <w:p>
      <w:pPr>
        <w:pStyle w:val="Para 07"/>
      </w:pPr>
      <w:r>
        <w:t># desc</w:t>
      </w:r>
      <w:r>
        <w:rPr>
          <w:rStyle w:val="Text3"/>
        </w:rPr>
        <w:t xml:space="preserve"> </w:t>
      </w:r>
      <w:r>
        <w:t>: Sets the maximum number of open file descriptors for the</w:t>
      </w:r>
      <w:r>
        <w:rPr>
          <w:rStyle w:val="Text3"/>
        </w:rPr>
        <w:t xml:space="preserve"> </w:t>
      </w:r>
      <w:r>
        <w:t>#</w:t>
      </w:r>
      <w:r>
        <w:rPr>
          <w:rStyle w:val="Text3"/>
        </w:rPr>
        <w:t xml:space="preserve"> </w:t>
      </w:r>
      <w:r>
        <w:t>multipathd process.</w:t>
      </w:r>
    </w:p>
    <w:p>
      <w:pPr>
        <w:pStyle w:val="Para 07"/>
      </w:pPr>
      <w:r>
        <w:t># values</w:t>
      </w:r>
      <w:r>
        <w:rPr>
          <w:rStyle w:val="Text3"/>
        </w:rPr>
        <w:t xml:space="preserve"> </w:t>
      </w:r>
      <w:r>
        <w:t>: max|n &gt; 0</w:t>
      </w:r>
    </w:p>
    <w:p>
      <w:pPr>
        <w:pStyle w:val="Para 07"/>
      </w:pPr>
      <w:r>
        <w:t># default : None</w:t>
      </w:r>
    </w:p>
    <w:p>
      <w:pPr>
        <w:pStyle w:val="Para 07"/>
      </w:pPr>
      <w:r>
        <w:t>#</w:t>
      </w:r>
    </w:p>
    <w:p>
      <w:pPr>
        <w:pStyle w:val="Para 02"/>
      </w:pPr>
      <w:r>
        <w:t>max_fds</w:t>
        <w:t xml:space="preserve"> </w:t>
        <w:t>8192</w:t>
      </w:r>
    </w:p>
    <w:p>
      <w:pPr>
        <w:pStyle w:val="Para 07"/>
      </w:pPr>
      <w:r>
        <w:t>#</w:t>
      </w:r>
    </w:p>
    <w:p>
      <w:pPr>
        <w:pStyle w:val="Para 07"/>
      </w:pPr>
      <w:r>
        <w:t># name</w:t>
      </w:r>
      <w:r>
        <w:rPr>
          <w:rStyle w:val="Text3"/>
        </w:rPr>
        <w:t xml:space="preserve"> </w:t>
      </w:r>
      <w:r>
        <w:t>: rr_weight</w:t>
      </w:r>
    </w:p>
    <w:p>
      <w:pPr>
        <w:pStyle w:val="Para 07"/>
      </w:pPr>
      <w:r>
        <w:t># scope</w:t>
      </w:r>
      <w:r>
        <w:rPr>
          <w:rStyle w:val="Text3"/>
        </w:rPr>
        <w:t xml:space="preserve"> </w:t>
      </w:r>
      <w:r>
        <w:t>: multipath &amp; multipathd</w:t>
      </w:r>
    </w:p>
    <w:p>
      <w:pPr>
        <w:pStyle w:val="Para 07"/>
      </w:pPr>
      <w:r>
        <w:t># desc</w:t>
      </w:r>
      <w:r>
        <w:rPr>
          <w:rStyle w:val="Text3"/>
        </w:rPr>
        <w:t xml:space="preserve"> </w:t>
      </w:r>
      <w:r>
        <w:t>: if set to priorities the multipath configurator will assign</w:t>
      </w:r>
      <w:r>
        <w:rPr>
          <w:rStyle w:val="Text3"/>
        </w:rPr>
        <w:t xml:space="preserve"> </w:t>
      </w:r>
      <w:r>
        <w:t>#</w:t>
      </w:r>
      <w:r>
        <w:rPr>
          <w:rStyle w:val="Text3"/>
        </w:rPr>
        <w:t xml:space="preserve"> </w:t>
      </w:r>
      <w:r>
        <w:t>path weights as "path prio * rr_min_io"</w:t>
      </w:r>
      <w:r>
        <w:rPr>
          <w:rStyle w:val="Text3"/>
        </w:rPr>
        <w:t xml:space="preserve"> </w:t>
      </w:r>
      <w:r>
        <w:t># values</w:t>
      </w:r>
      <w:r>
        <w:rPr>
          <w:rStyle w:val="Text3"/>
        </w:rPr>
        <w:t xml:space="preserve"> </w:t>
      </w:r>
      <w:r>
        <w:t>: priorities|uniform</w:t>
      </w:r>
    </w:p>
    <w:p>
      <w:pPr>
        <w:pStyle w:val="Para 07"/>
      </w:pPr>
      <w:r>
        <w:t># default : uniform</w:t>
      </w:r>
    </w:p>
    <w:p>
      <w:pPr>
        <w:pStyle w:val="Para 07"/>
      </w:pPr>
      <w:r>
        <w:t>#</w:t>
      </w:r>
    </w:p>
    <w:p>
      <w:pPr>
        <w:pStyle w:val="Para 02"/>
      </w:pPr>
      <w:r>
        <w:t>rr_weight priorities</w:t>
      </w:r>
    </w:p>
    <w:p>
      <w:pPr>
        <w:pStyle w:val="Para 07"/>
      </w:pPr>
      <w:r>
        <w:t>#</w:t>
      </w:r>
    </w:p>
    <w:p>
      <w:pPr>
        <w:pStyle w:val="Para 07"/>
      </w:pPr>
      <w:r>
        <w:t># name</w:t>
      </w:r>
      <w:r>
        <w:rPr>
          <w:rStyle w:val="Text3"/>
        </w:rPr>
        <w:t xml:space="preserve"> </w:t>
      </w:r>
      <w:r>
        <w:t>: failback</w:t>
      </w:r>
    </w:p>
    <w:p>
      <w:pPr>
        <w:pStyle w:val="Para 07"/>
      </w:pPr>
      <w:r>
        <w:t># scope</w:t>
      </w:r>
      <w:r>
        <w:rPr>
          <w:rStyle w:val="Text3"/>
        </w:rPr>
        <w:t xml:space="preserve"> </w:t>
      </w:r>
      <w:r>
        <w:t>: multipathd</w:t>
      </w:r>
    </w:p>
    <w:p>
      <w:pPr>
        <w:pStyle w:val="Para 07"/>
      </w:pPr>
      <w:r>
        <w:t># desc</w:t>
      </w:r>
      <w:r>
        <w:rPr>
          <w:rStyle w:val="Text3"/>
        </w:rPr>
        <w:t xml:space="preserve"> </w:t>
      </w:r>
      <w:r>
        <w:t>: tell the daemon to manage path group failback, or not to.</w:t>
      </w:r>
      <w:r>
        <w:rPr>
          <w:rStyle w:val="Text3"/>
        </w:rPr>
        <w:t xml:space="preserve"> </w:t>
      </w:r>
      <w:r>
        <w:t>#</w:t>
      </w:r>
      <w:r>
        <w:rPr>
          <w:rStyle w:val="Text3"/>
        </w:rPr>
        <w:t xml:space="preserve"> </w:t>
      </w:r>
      <w:r>
        <w:t>0 means immediate failback, values &gt;0 means deffered</w:t>
      </w:r>
      <w:r>
        <w:rPr>
          <w:rStyle w:val="Text3"/>
        </w:rPr>
        <w:t xml:space="preserve"> </w:t>
      </w:r>
      <w:r>
        <w:t>#</w:t>
      </w:r>
      <w:r>
        <w:rPr>
          <w:rStyle w:val="Text3"/>
        </w:rPr>
        <w:t xml:space="preserve"> </w:t>
      </w:r>
      <w:r>
        <w:t>failback expressed in seconds.</w:t>
      </w:r>
      <w:r>
        <w:rPr>
          <w:rStyle w:val="Text3"/>
        </w:rPr>
        <w:t xml:space="preserve"> </w:t>
      </w:r>
      <w:r>
        <w:t># values</w:t>
      </w:r>
      <w:r>
        <w:rPr>
          <w:rStyle w:val="Text3"/>
        </w:rPr>
        <w:t xml:space="preserve"> </w:t>
      </w:r>
      <w:r>
        <w:t>: manual|immediate|n &gt; 0</w:t>
      </w:r>
    </w:p>
    <w:p>
      <w:pPr>
        <w:pStyle w:val="Para 07"/>
      </w:pPr>
      <w:r>
        <w:t># default : manual</w:t>
      </w:r>
    </w:p>
    <w:p>
      <w:pPr>
        <w:pStyle w:val="Para 07"/>
      </w:pPr>
      <w:r>
        <w:t>#</w:t>
      </w:r>
    </w:p>
    <w:p>
      <w:pPr>
        <w:pStyle w:val="Para 02"/>
      </w:pPr>
      <w:r>
        <w:t>failback immediate</w:t>
      </w:r>
    </w:p>
    <w:p>
      <w:pPr>
        <w:pStyle w:val="Para 07"/>
      </w:pPr>
      <w:r>
        <w:t>#</w:t>
      </w:r>
    </w:p>
    <w:p>
      <w:pPr>
        <w:pStyle w:val="Para 07"/>
      </w:pPr>
      <w:r>
        <w:t># name</w:t>
      </w:r>
      <w:r>
        <w:rPr>
          <w:rStyle w:val="Text3"/>
        </w:rPr>
        <w:t xml:space="preserve"> </w:t>
      </w:r>
      <w:r>
        <w:t>: no_path_retry</w:t>
      </w:r>
    </w:p>
    <w:p>
      <w:pPr>
        <w:pStyle w:val="Para 07"/>
      </w:pPr>
      <w:r>
        <w:t># scope</w:t>
      </w:r>
      <w:r>
        <w:rPr>
          <w:rStyle w:val="Text3"/>
        </w:rPr>
        <w:t xml:space="preserve"> </w:t>
      </w:r>
      <w:r>
        <w:t>: multipath &amp; multipathd</w:t>
      </w:r>
    </w:p>
    <w:p>
      <w:pPr>
        <w:pStyle w:val="Para 07"/>
      </w:pPr>
      <w:r>
        <w:t># desc</w:t>
      </w:r>
      <w:r>
        <w:rPr>
          <w:rStyle w:val="Text3"/>
        </w:rPr>
        <w:t xml:space="preserve"> </w:t>
      </w:r>
      <w:r>
        <w:t>: tell the number of retries until disable queueing, or</w:t>
      </w:r>
      <w:r>
        <w:rPr>
          <w:rStyle w:val="Text3"/>
        </w:rPr>
        <w:t xml:space="preserve"> </w:t>
      </w:r>
      <w:r>
        <w:t>#</w:t>
      </w:r>
      <w:r>
        <w:rPr>
          <w:rStyle w:val="Text3"/>
        </w:rPr>
        <w:t xml:space="preserve"> </w:t>
      </w:r>
      <w:r>
        <w:t>"fail" means immediate failure (no queueing),</w:t>
      </w:r>
      <w:r>
        <w:rPr>
          <w:rStyle w:val="Text3"/>
        </w:rPr>
        <w:t xml:space="preserve"> </w:t>
      </w:r>
      <w:r>
        <w:t>#</w:t>
      </w:r>
      <w:r>
        <w:rPr>
          <w:rStyle w:val="Text3"/>
        </w:rPr>
        <w:t xml:space="preserve"> </w:t>
      </w:r>
      <w:r>
        <w:t>"queue" means never stop queueing</w:t>
      </w:r>
      <w:r>
        <w:rPr>
          <w:rStyle w:val="Text3"/>
        </w:rPr>
        <w:t xml:space="preserve"> </w:t>
      </w:r>
      <w:r>
        <w:t># values</w:t>
      </w:r>
      <w:r>
        <w:rPr>
          <w:rStyle w:val="Text3"/>
        </w:rPr>
        <w:t xml:space="preserve"> </w:t>
      </w:r>
      <w:r>
        <w:t>: queue|fail|n (&gt;0)</w:t>
      </w:r>
    </w:p>
    <w:p>
      <w:pPr>
        <w:pStyle w:val="Para 07"/>
      </w:pPr>
      <w:r>
        <w:t># default : (null)</w:t>
      </w:r>
    </w:p>
    <w:p>
      <w:pPr>
        <w:pStyle w:val="Para 07"/>
      </w:pPr>
      <w:r>
        <w:t>#</w:t>
      </w:r>
    </w:p>
    <w:p>
      <w:pPr>
        <w:pStyle w:val="Para 02"/>
      </w:pPr>
      <w:r>
        <w:t>no_path_retry fail</w:t>
      </w:r>
    </w:p>
    <w:p>
      <w:pPr>
        <w:pStyle w:val="Para 07"/>
      </w:pPr>
      <w:r>
        <w:t>#</w:t>
      </w:r>
    </w:p>
    <w:p>
      <w:pPr>
        <w:pStyle w:val="Para 07"/>
      </w:pPr>
      <w:r>
        <w:t># name</w:t>
      </w:r>
      <w:r>
        <w:rPr>
          <w:rStyle w:val="Text3"/>
        </w:rPr>
        <w:t xml:space="preserve"> </w:t>
      </w:r>
      <w:r>
        <w:t>: queue_without_daemon</w:t>
      </w:r>
    </w:p>
    <w:p>
      <w:pPr>
        <w:pStyle w:val="Para 07"/>
      </w:pPr>
      <w:r>
        <w:t># scope</w:t>
      </w:r>
      <w:r>
        <w:rPr>
          <w:rStyle w:val="Text3"/>
        </w:rPr>
        <w:t xml:space="preserve"> </w:t>
      </w:r>
      <w:r>
        <w:t>: multipathd</w:t>
      </w:r>
    </w:p>
    <w:p>
      <w:pPr>
        <w:pStyle w:val="Para 07"/>
      </w:pPr>
      <w:r>
        <w:t># desc</w:t>
      </w:r>
      <w:r>
        <w:rPr>
          <w:rStyle w:val="Text3"/>
        </w:rPr>
        <w:t xml:space="preserve"> </w:t>
      </w:r>
      <w:r>
        <w:t>: If set to "no", multipathd will disable queueing for all</w:t>
      </w:r>
      <w:r>
        <w:rPr>
          <w:rStyle w:val="Text3"/>
        </w:rPr>
        <w:t xml:space="preserve"> </w:t>
      </w:r>
      <w:r>
        <w:t>#</w:t>
      </w:r>
      <w:r>
        <w:rPr>
          <w:rStyle w:val="Text3"/>
        </w:rPr>
        <w:t xml:space="preserve"> </w:t>
      </w:r>
      <w:r>
        <w:t>devices when it is shut down.</w:t>
      </w:r>
      <w:r>
        <w:rPr>
          <w:rStyle w:val="Text3"/>
        </w:rPr>
        <w:t xml:space="preserve"> </w:t>
      </w:r>
      <w:r>
        <w:t># values</w:t>
      </w:r>
      <w:r>
        <w:rPr>
          <w:rStyle w:val="Text3"/>
        </w:rPr>
        <w:t xml:space="preserve"> </w:t>
      </w:r>
      <w:r>
        <w:t>: yes|no</w:t>
      </w:r>
    </w:p>
    <w:p>
      <w:pPr>
        <w:pStyle w:val="Para 07"/>
      </w:pPr>
      <w:r>
        <w:t># default : yes</w:t>
      </w:r>
    </w:p>
    <w:p>
      <w:pPr>
        <w:pStyle w:val="Para 02"/>
      </w:pPr>
      <w:r>
        <w:t>queue_without_daemon no</w:t>
      </w:r>
    </w:p>
    <w:p>
      <w:pPr>
        <w:pStyle w:val="Para 07"/>
      </w:pPr>
      <w:r>
        <w:t>#</w:t>
      </w:r>
    </w:p>
    <w:p>
      <w:pPr>
        <w:pStyle w:val="Para 07"/>
      </w:pPr>
      <w:r>
        <w:t># name</w:t>
      </w:r>
      <w:r>
        <w:rPr>
          <w:rStyle w:val="Text3"/>
        </w:rPr>
        <w:t xml:space="preserve"> </w:t>
      </w:r>
      <w:r>
        <w:t>: user_friendly_names</w:t>
      </w:r>
    </w:p>
    <w:p>
      <w:pPr>
        <w:pStyle w:val="Para 09"/>
      </w:pPr>
      <w:r>
        <w:t>(continues on next page)</w:t>
      </w:r>
    </w:p>
    <w:p>
      <w:bookmarkStart w:id="1381" w:name="page_8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7" name="index-879_1.png" descr="index-879_1.png"/>
            <wp:cNvGraphicFramePr>
              <a:graphicFrameLocks noChangeAspect="1"/>
            </wp:cNvGraphicFramePr>
            <a:graphic>
              <a:graphicData uri="http://schemas.openxmlformats.org/drawingml/2006/picture">
                <pic:pic>
                  <pic:nvPicPr>
                    <pic:cNvPr id="0" name="index-879_1.png" descr="index-879_1.png"/>
                    <pic:cNvPicPr/>
                  </pic:nvPicPr>
                  <pic:blipFill>
                    <a:blip r:embed="rId921"/>
                    <a:stretch>
                      <a:fillRect/>
                    </a:stretch>
                  </pic:blipFill>
                  <pic:spPr>
                    <a:xfrm>
                      <a:off x="0" y="0"/>
                      <a:ext cx="914400" cy="266700"/>
                    </a:xfrm>
                    <a:prstGeom prst="rect">
                      <a:avLst/>
                    </a:prstGeom>
                  </pic:spPr>
                </pic:pic>
              </a:graphicData>
            </a:graphic>
          </wp:anchor>
        </w:drawing>
      </w:r>
      <w:bookmarkEnd w:id="1381"/>
    </w:p>
    <w:p>
      <w:pPr>
        <w:pStyle w:val="Para 09"/>
      </w:pPr>
      <w:r>
        <w:t>(continued from previous page)</w:t>
      </w:r>
    </w:p>
    <w:p>
      <w:pPr>
        <w:pStyle w:val="Para 07"/>
      </w:pPr>
      <w:r>
        <w:t># scope</w:t>
      </w:r>
      <w:r>
        <w:rPr>
          <w:rStyle w:val="Text3"/>
        </w:rPr>
        <w:t xml:space="preserve"> </w:t>
      </w:r>
      <w:r>
        <w:t>: multipath &amp; multipathd</w:t>
      </w:r>
    </w:p>
    <w:p>
      <w:pPr>
        <w:pStyle w:val="Para 07"/>
      </w:pPr>
      <w:r>
        <w:t># desc</w:t>
      </w:r>
      <w:r>
        <w:rPr>
          <w:rStyle w:val="Text3"/>
        </w:rPr>
        <w:t xml:space="preserve"> </w:t>
      </w:r>
      <w:r>
        <w:t>: If set to "yes", using the bindings file</w:t>
      </w:r>
      <w:r>
        <w:rPr>
          <w:rStyle w:val="Text3"/>
        </w:rPr>
        <w:t xml:space="preserve"> </w:t>
      </w:r>
      <w:r>
        <w:t>#</w:t>
      </w:r>
      <w:r>
        <w:rPr>
          <w:rStyle w:val="Text3"/>
        </w:rPr>
        <w:t xml:space="preserve"> </w:t>
      </w:r>
      <w:r>
        <w:t>/etc/multipath/bindings to assign a persistent and</w:t>
      </w:r>
      <w:r>
        <w:rPr>
          <w:rStyle w:val="Text3"/>
        </w:rPr>
        <w:t xml:space="preserve"> </w:t>
      </w:r>
      <w:r>
        <w:t>#</w:t>
      </w:r>
      <w:r>
        <w:rPr>
          <w:rStyle w:val="Text3"/>
        </w:rPr>
        <w:t xml:space="preserve"> </w:t>
      </w:r>
      <w:r>
        <w:t>unique alias to the multipath, in the form of mpath&lt;n&gt;.</w:t>
      </w:r>
      <w:r>
        <w:rPr>
          <w:rStyle w:val="Text3"/>
        </w:rPr>
        <w:t xml:space="preserve"> </w:t>
      </w:r>
      <w:r>
        <w:t>#</w:t>
      </w:r>
      <w:r>
        <w:rPr>
          <w:rStyle w:val="Text3"/>
        </w:rPr>
        <w:t xml:space="preserve"> </w:t>
      </w:r>
      <w:r>
        <w:t>If set to "no" use the WWID as the alias. In either case</w:t>
      </w:r>
      <w:r>
        <w:rPr>
          <w:rStyle w:val="Text3"/>
        </w:rPr>
        <w:t xml:space="preserve"> </w:t>
      </w:r>
      <w:r>
        <w:t>#</w:t>
      </w:r>
      <w:r>
        <w:rPr>
          <w:rStyle w:val="Text3"/>
        </w:rPr>
        <w:t xml:space="preserve"> </w:t>
      </w:r>
      <w:r>
        <w:t>this be will be overriden by any specific aliases in this</w:t>
      </w:r>
      <w:r>
        <w:rPr>
          <w:rStyle w:val="Text3"/>
        </w:rPr>
        <w:t xml:space="preserve"> </w:t>
      </w:r>
      <w:r>
        <w:t>#</w:t>
      </w:r>
      <w:r>
        <w:rPr>
          <w:rStyle w:val="Text3"/>
        </w:rPr>
        <w:t xml:space="preserve"> </w:t>
      </w:r>
      <w:r>
        <w:t>file.</w:t>
      </w:r>
    </w:p>
    <w:p>
      <w:pPr>
        <w:pStyle w:val="Para 07"/>
      </w:pPr>
      <w:r>
        <w:t># values</w:t>
      </w:r>
      <w:r>
        <w:rPr>
          <w:rStyle w:val="Text3"/>
        </w:rPr>
        <w:t xml:space="preserve"> </w:t>
      </w:r>
      <w:r>
        <w:t>: yes|no</w:t>
      </w:r>
    </w:p>
    <w:p>
      <w:pPr>
        <w:pStyle w:val="Para 07"/>
      </w:pPr>
      <w:r>
        <w:t># default : no</w:t>
      </w:r>
    </w:p>
    <w:p>
      <w:pPr>
        <w:pStyle w:val="Para 02"/>
      </w:pPr>
      <w:r>
        <w:t>user_friendly_names yes</w:t>
      </w:r>
    </w:p>
    <w:p>
      <w:pPr>
        <w:pStyle w:val="Para 07"/>
      </w:pPr>
      <w:r>
        <w:t>#</w:t>
      </w:r>
    </w:p>
    <w:p>
      <w:pPr>
        <w:pStyle w:val="Para 07"/>
      </w:pPr>
      <w:r>
        <w:t># name</w:t>
      </w:r>
      <w:r>
        <w:rPr>
          <w:rStyle w:val="Text3"/>
        </w:rPr>
        <w:t xml:space="preserve"> </w:t>
      </w:r>
      <w:r>
        <w:t>: mode</w:t>
      </w:r>
    </w:p>
    <w:p>
      <w:pPr>
        <w:pStyle w:val="Para 07"/>
      </w:pPr>
      <w:r>
        <w:t># scope</w:t>
      </w:r>
      <w:r>
        <w:rPr>
          <w:rStyle w:val="Text3"/>
        </w:rPr>
        <w:t xml:space="preserve"> </w:t>
      </w:r>
      <w:r>
        <w:t>: multipath &amp; multipathd</w:t>
      </w:r>
    </w:p>
    <w:p>
      <w:pPr>
        <w:pStyle w:val="Para 07"/>
      </w:pPr>
      <w:r>
        <w:t># desc</w:t>
      </w:r>
      <w:r>
        <w:rPr>
          <w:rStyle w:val="Text3"/>
        </w:rPr>
        <w:t xml:space="preserve"> </w:t>
      </w:r>
      <w:r>
        <w:t>: The mode to use for the multipath device nodes, in octal.</w:t>
      </w:r>
      <w:r>
        <w:rPr>
          <w:rStyle w:val="Text3"/>
        </w:rPr>
        <w:t xml:space="preserve"> </w:t>
      </w:r>
      <w:r>
        <w:t># values</w:t>
      </w:r>
      <w:r>
        <w:rPr>
          <w:rStyle w:val="Text3"/>
        </w:rPr>
        <w:t xml:space="preserve"> </w:t>
      </w:r>
      <w:r>
        <w:t>: 0000 - 0777</w:t>
      </w:r>
    </w:p>
    <w:p>
      <w:pPr>
        <w:pStyle w:val="Para 07"/>
      </w:pPr>
      <w:r>
        <w:t># default : determined by the process</w:t>
      </w:r>
    </w:p>
    <w:p>
      <w:pPr>
        <w:pStyle w:val="Para 02"/>
      </w:pPr>
      <w:r>
        <w:t>mode</w:t>
        <w:t xml:space="preserve"> </w:t>
        <w:t>0644</w:t>
      </w:r>
    </w:p>
    <w:p>
      <w:pPr>
        <w:pStyle w:val="Para 07"/>
      </w:pPr>
      <w:r>
        <w:t>#</w:t>
      </w:r>
    </w:p>
    <w:p>
      <w:pPr>
        <w:pStyle w:val="Para 07"/>
      </w:pPr>
      <w:r>
        <w:t># name</w:t>
      </w:r>
      <w:r>
        <w:rPr>
          <w:rStyle w:val="Text3"/>
        </w:rPr>
        <w:t xml:space="preserve"> </w:t>
      </w:r>
      <w:r>
        <w:t>: uid</w:t>
      </w:r>
    </w:p>
    <w:p>
      <w:pPr>
        <w:pStyle w:val="Para 07"/>
      </w:pPr>
      <w:r>
        <w:t># scope</w:t>
      </w:r>
      <w:r>
        <w:rPr>
          <w:rStyle w:val="Text3"/>
        </w:rPr>
        <w:t xml:space="preserve"> </w:t>
      </w:r>
      <w:r>
        <w:t>: multipath &amp; multipathd</w:t>
      </w:r>
    </w:p>
    <w:p>
      <w:pPr>
        <w:pStyle w:val="Para 07"/>
      </w:pPr>
      <w:r>
        <w:t># desc</w:t>
      </w:r>
      <w:r>
        <w:rPr>
          <w:rStyle w:val="Text3"/>
        </w:rPr>
        <w:t xml:space="preserve"> </w:t>
      </w:r>
      <w:r>
        <w:t>: The user id to use for the multipath device nodes. You</w:t>
      </w:r>
      <w:r>
        <w:rPr>
          <w:rStyle w:val="Text3"/>
        </w:rPr>
        <w:t xml:space="preserve"> </w:t>
      </w:r>
      <w:r>
        <w:t>#</w:t>
      </w:r>
      <w:r>
        <w:rPr>
          <w:rStyle w:val="Text3"/>
        </w:rPr>
        <w:t xml:space="preserve"> </w:t>
      </w:r>
      <w:r>
        <w:t>may use either the numeric or symbolic uid</w:t>
      </w:r>
      <w:r>
        <w:rPr>
          <w:rStyle w:val="Text3"/>
        </w:rPr>
        <w:t xml:space="preserve"> </w:t>
      </w:r>
      <w:r>
        <w:t># values</w:t>
      </w:r>
      <w:r>
        <w:rPr>
          <w:rStyle w:val="Text3"/>
        </w:rPr>
        <w:t xml:space="preserve"> </w:t>
      </w:r>
      <w:r>
        <w:t>: &lt;user_id&gt;</w:t>
      </w:r>
    </w:p>
    <w:p>
      <w:pPr>
        <w:pStyle w:val="Para 07"/>
      </w:pPr>
      <w:r>
        <w:t># default : determined by the process</w:t>
      </w:r>
    </w:p>
    <w:p>
      <w:pPr>
        <w:pStyle w:val="Para 02"/>
      </w:pPr>
      <w:r>
        <w:t>uid</w:t>
        <w:t xml:space="preserve"> </w:t>
        <w:t>0</w:t>
      </w:r>
    </w:p>
    <w:p>
      <w:pPr>
        <w:pStyle w:val="Para 07"/>
      </w:pPr>
      <w:r>
        <w:t>#</w:t>
      </w:r>
    </w:p>
    <w:p>
      <w:pPr>
        <w:pStyle w:val="Para 07"/>
      </w:pPr>
      <w:r>
        <w:t># name</w:t>
      </w:r>
      <w:r>
        <w:rPr>
          <w:rStyle w:val="Text3"/>
        </w:rPr>
        <w:t xml:space="preserve"> </w:t>
      </w:r>
      <w:r>
        <w:t>: gid</w:t>
      </w:r>
    </w:p>
    <w:p>
      <w:pPr>
        <w:pStyle w:val="Para 07"/>
      </w:pPr>
      <w:r>
        <w:t># scope</w:t>
      </w:r>
      <w:r>
        <w:rPr>
          <w:rStyle w:val="Text3"/>
        </w:rPr>
        <w:t xml:space="preserve"> </w:t>
      </w:r>
      <w:r>
        <w:t>: multipath &amp; multipathd</w:t>
      </w:r>
    </w:p>
    <w:p>
      <w:pPr>
        <w:pStyle w:val="Para 07"/>
      </w:pPr>
      <w:r>
        <w:t># desc</w:t>
      </w:r>
      <w:r>
        <w:rPr>
          <w:rStyle w:val="Text3"/>
        </w:rPr>
        <w:t xml:space="preserve"> </w:t>
      </w:r>
      <w:r>
        <w:t>: The group id to user for the multipath device nodes. You</w:t>
      </w:r>
      <w:r>
        <w:rPr>
          <w:rStyle w:val="Text3"/>
        </w:rPr>
        <w:t xml:space="preserve"> </w:t>
      </w:r>
      <w:r>
        <w:t>#</w:t>
      </w:r>
      <w:r>
        <w:rPr>
          <w:rStyle w:val="Text3"/>
        </w:rPr>
        <w:t xml:space="preserve"> </w:t>
      </w:r>
      <w:r>
        <w:t>may use either the numeric or symbolic gid</w:t>
      </w:r>
      <w:r>
        <w:rPr>
          <w:rStyle w:val="Text3"/>
        </w:rPr>
        <w:t xml:space="preserve"> </w:t>
      </w:r>
      <w:r>
        <w:t># values</w:t>
      </w:r>
      <w:r>
        <w:rPr>
          <w:rStyle w:val="Text3"/>
        </w:rPr>
        <w:t xml:space="preserve"> </w:t>
      </w:r>
      <w:r>
        <w:t>: &lt;group_id&gt;</w:t>
      </w:r>
    </w:p>
    <w:p>
      <w:pPr>
        <w:pStyle w:val="Para 07"/>
      </w:pPr>
      <w:r>
        <w:t># default : determined by the process</w:t>
      </w:r>
    </w:p>
    <w:p>
      <w:pPr>
        <w:pStyle w:val="Para 02"/>
      </w:pPr>
      <w:r>
        <w:t>gid disk</w:t>
      </w:r>
    </w:p>
    <w:p>
      <w:pPr>
        <w:pStyle w:val="Para 07"/>
      </w:pPr>
      <w:r>
        <w:t>#</w:t>
      </w:r>
    </w:p>
    <w:p>
      <w:pPr>
        <w:pStyle w:val="Para 07"/>
      </w:pPr>
      <w:r>
        <w:t># name</w:t>
      </w:r>
      <w:r>
        <w:rPr>
          <w:rStyle w:val="Text3"/>
        </w:rPr>
        <w:t xml:space="preserve"> </w:t>
      </w:r>
      <w:r>
        <w:t>: checker_timeout</w:t>
      </w:r>
    </w:p>
    <w:p>
      <w:pPr>
        <w:pStyle w:val="Para 07"/>
      </w:pPr>
      <w:r>
        <w:t># scope</w:t>
      </w:r>
      <w:r>
        <w:rPr>
          <w:rStyle w:val="Text3"/>
        </w:rPr>
        <w:t xml:space="preserve"> </w:t>
      </w:r>
      <w:r>
        <w:t>: multipath &amp; multipathd</w:t>
      </w:r>
    </w:p>
    <w:p>
      <w:pPr>
        <w:pStyle w:val="Para 07"/>
      </w:pPr>
      <w:r>
        <w:t># desc</w:t>
      </w:r>
      <w:r>
        <w:rPr>
          <w:rStyle w:val="Text3"/>
        </w:rPr>
        <w:t xml:space="preserve"> </w:t>
      </w:r>
      <w:r>
        <w:t>: The timeout to use for path checkers and prioritizers</w:t>
      </w:r>
      <w:r>
        <w:rPr>
          <w:rStyle w:val="Text3"/>
        </w:rPr>
        <w:t xml:space="preserve"> </w:t>
      </w:r>
      <w:r>
        <w:t>#</w:t>
      </w:r>
      <w:r>
        <w:rPr>
          <w:rStyle w:val="Text3"/>
        </w:rPr>
        <w:t xml:space="preserve"> </w:t>
      </w:r>
      <w:r>
        <w:t>that issue scsi commands with an explicit timeout, in</w:t>
      </w:r>
      <w:r>
        <w:rPr>
          <w:rStyle w:val="Text3"/>
        </w:rPr>
        <w:t xml:space="preserve"> </w:t>
      </w:r>
      <w:r>
        <w:t>#</w:t>
      </w:r>
      <w:r>
        <w:rPr>
          <w:rStyle w:val="Text3"/>
        </w:rPr>
        <w:t xml:space="preserve"> </w:t>
      </w:r>
      <w:r>
        <w:t>seconds.</w:t>
      </w:r>
    </w:p>
    <w:p>
      <w:pPr>
        <w:pStyle w:val="Para 07"/>
      </w:pPr>
      <w:r>
        <w:t># values</w:t>
      </w:r>
      <w:r>
        <w:rPr>
          <w:rStyle w:val="Text3"/>
        </w:rPr>
        <w:t xml:space="preserve"> </w:t>
      </w:r>
      <w:r>
        <w:t>: n &gt; 0</w:t>
      </w:r>
    </w:p>
    <w:p>
      <w:pPr>
        <w:pStyle w:val="Para 07"/>
      </w:pPr>
      <w:r>
        <w:t># default : taken from /sys/block/sd&lt;x&gt;/device/timeout</w:t>
      </w:r>
      <w:r>
        <w:rPr>
          <w:rStyle w:val="Text3"/>
        </w:rPr>
        <w:t xml:space="preserve"> </w:t>
        <w:t>checker_timeout</w:t>
        <w:t xml:space="preserve"> </w:t>
        <w:t>60</w:t>
      </w:r>
    </w:p>
    <w:p>
      <w:pPr>
        <w:pStyle w:val="Para 07"/>
      </w:pPr>
      <w:r>
        <w:t>#</w:t>
      </w:r>
    </w:p>
    <w:p>
      <w:pPr>
        <w:pStyle w:val="Para 07"/>
      </w:pPr>
      <w:r>
        <w:t># name</w:t>
      </w:r>
      <w:r>
        <w:rPr>
          <w:rStyle w:val="Text3"/>
        </w:rPr>
        <w:t xml:space="preserve"> </w:t>
      </w:r>
      <w:r>
        <w:t>: fast_io_fail_tmo</w:t>
      </w:r>
    </w:p>
    <w:p>
      <w:pPr>
        <w:pStyle w:val="Para 07"/>
      </w:pPr>
      <w:r>
        <w:t># scope</w:t>
      </w:r>
      <w:r>
        <w:rPr>
          <w:rStyle w:val="Text3"/>
        </w:rPr>
        <w:t xml:space="preserve"> </w:t>
      </w:r>
      <w:r>
        <w:t>: multipath &amp; multipathd</w:t>
      </w:r>
    </w:p>
    <w:p>
      <w:pPr>
        <w:pStyle w:val="Para 07"/>
      </w:pPr>
      <w:r>
        <w:t># desc</w:t>
      </w:r>
      <w:r>
        <w:rPr>
          <w:rStyle w:val="Text3"/>
        </w:rPr>
        <w:t xml:space="preserve"> </w:t>
      </w:r>
      <w:r>
        <w:t>: The number of seconds the scsi layer will wait after a</w:t>
      </w:r>
      <w:r>
        <w:rPr>
          <w:rStyle w:val="Text3"/>
        </w:rPr>
        <w:t xml:space="preserve"> </w:t>
      </w:r>
      <w:r>
        <w:t>#</w:t>
      </w:r>
      <w:r>
        <w:rPr>
          <w:rStyle w:val="Text3"/>
        </w:rPr>
        <w:t xml:space="preserve"> </w:t>
      </w:r>
      <w:r>
        <w:t>problem has been detected on a FC remote port before failing</w:t>
      </w:r>
      <w:r>
        <w:rPr>
          <w:rStyle w:val="Text3"/>
        </w:rPr>
        <w:t xml:space="preserve"> </w:t>
      </w:r>
      <w:r>
        <w:t>#</w:t>
      </w:r>
      <w:r>
        <w:rPr>
          <w:rStyle w:val="Text3"/>
        </w:rPr>
        <w:t xml:space="preserve"> </w:t>
      </w:r>
      <w:r>
        <w:t>IO to devices on that remote port.</w:t>
      </w:r>
      <w:r>
        <w:rPr>
          <w:rStyle w:val="Text3"/>
        </w:rPr>
        <w:t xml:space="preserve"> </w:t>
      </w:r>
      <w:r>
        <w:t># values</w:t>
      </w:r>
      <w:r>
        <w:rPr>
          <w:rStyle w:val="Text3"/>
        </w:rPr>
        <w:t xml:space="preserve"> </w:t>
      </w:r>
      <w:r>
        <w:t>: off | n &gt;= 0 (smaller than dev_loss_tmo)</w:t>
      </w:r>
      <w:r>
        <w:rPr>
          <w:rStyle w:val="Text3"/>
        </w:rPr>
        <w:t xml:space="preserve"> </w:t>
      </w:r>
      <w:r>
        <w:t># default : determined by the OS</w:t>
      </w:r>
    </w:p>
    <w:p>
      <w:pPr>
        <w:pStyle w:val="Para 02"/>
      </w:pPr>
      <w:r>
        <w:t>fast_io_fail_tmo</w:t>
        <w:t xml:space="preserve"> </w:t>
        <w:t>5</w:t>
      </w:r>
    </w:p>
    <w:p>
      <w:pPr>
        <w:pStyle w:val="Para 09"/>
      </w:pPr>
      <w:r>
        <w:t>(continues on next page)</w:t>
      </w:r>
    </w:p>
    <w:p>
      <w:bookmarkStart w:id="1382" w:name="page_8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8" name="index-880_1.png" descr="index-880_1.png"/>
            <wp:cNvGraphicFramePr>
              <a:graphicFrameLocks noChangeAspect="1"/>
            </wp:cNvGraphicFramePr>
            <a:graphic>
              <a:graphicData uri="http://schemas.openxmlformats.org/drawingml/2006/picture">
                <pic:pic>
                  <pic:nvPicPr>
                    <pic:cNvPr id="0" name="index-880_1.png" descr="index-880_1.png"/>
                    <pic:cNvPicPr/>
                  </pic:nvPicPr>
                  <pic:blipFill>
                    <a:blip r:embed="rId922"/>
                    <a:stretch>
                      <a:fillRect/>
                    </a:stretch>
                  </pic:blipFill>
                  <pic:spPr>
                    <a:xfrm>
                      <a:off x="0" y="0"/>
                      <a:ext cx="914400" cy="266700"/>
                    </a:xfrm>
                    <a:prstGeom prst="rect">
                      <a:avLst/>
                    </a:prstGeom>
                  </pic:spPr>
                </pic:pic>
              </a:graphicData>
            </a:graphic>
          </wp:anchor>
        </w:drawing>
      </w:r>
      <w:bookmarkEnd w:id="1382"/>
    </w:p>
    <w:p>
      <w:pPr>
        <w:pStyle w:val="Para 09"/>
      </w:pPr>
      <w:r>
        <w:t>(continued from previous page)</w:t>
      </w:r>
    </w:p>
    <w:p>
      <w:pPr>
        <w:pStyle w:val="Para 07"/>
      </w:pPr>
      <w:r>
        <w:t>#</w:t>
      </w:r>
    </w:p>
    <w:p>
      <w:pPr>
        <w:pStyle w:val="Para 07"/>
      </w:pPr>
      <w:r>
        <w:t># name</w:t>
      </w:r>
      <w:r>
        <w:rPr>
          <w:rStyle w:val="Text3"/>
        </w:rPr>
        <w:t xml:space="preserve"> </w:t>
      </w:r>
      <w:r>
        <w:t>: dev_loss_tmo</w:t>
      </w:r>
    </w:p>
    <w:p>
      <w:pPr>
        <w:pStyle w:val="Para 07"/>
      </w:pPr>
      <w:r>
        <w:t># scope</w:t>
      </w:r>
      <w:r>
        <w:rPr>
          <w:rStyle w:val="Text3"/>
        </w:rPr>
        <w:t xml:space="preserve"> </w:t>
      </w:r>
      <w:r>
        <w:t>: multipath &amp; multipathd</w:t>
      </w:r>
    </w:p>
    <w:p>
      <w:pPr>
        <w:pStyle w:val="Para 07"/>
      </w:pPr>
      <w:r>
        <w:t># desc</w:t>
      </w:r>
      <w:r>
        <w:rPr>
          <w:rStyle w:val="Text3"/>
        </w:rPr>
        <w:t xml:space="preserve"> </w:t>
      </w:r>
      <w:r>
        <w:t>: The number of seconds the scsi layer will wait after a</w:t>
      </w:r>
      <w:r>
        <w:rPr>
          <w:rStyle w:val="Text3"/>
        </w:rPr>
        <w:t xml:space="preserve"> </w:t>
      </w:r>
      <w:r>
        <w:t>#</w:t>
      </w:r>
      <w:r>
        <w:rPr>
          <w:rStyle w:val="Text3"/>
        </w:rPr>
        <w:t xml:space="preserve"> </w:t>
      </w:r>
      <w:r>
        <w:t>problem has been detected on a FC remote port before</w:t>
      </w:r>
      <w:r>
        <w:rPr>
          <w:rStyle w:val="Text3"/>
        </w:rPr>
        <w:t xml:space="preserve"> </w:t>
      </w:r>
      <w:r>
        <w:t>#</w:t>
      </w:r>
      <w:r>
        <w:rPr>
          <w:rStyle w:val="Text3"/>
        </w:rPr>
        <w:t xml:space="preserve"> </w:t>
      </w:r>
      <w:r>
        <w:t>removing it from the system.</w:t>
      </w:r>
      <w:r>
        <w:rPr>
          <w:rStyle w:val="Text3"/>
        </w:rPr>
        <w:t xml:space="preserve"> </w:t>
      </w:r>
      <w:r>
        <w:t># values</w:t>
      </w:r>
      <w:r>
        <w:rPr>
          <w:rStyle w:val="Text3"/>
        </w:rPr>
        <w:t xml:space="preserve"> </w:t>
      </w:r>
      <w:r>
        <w:t>: infinity | n &gt; 0</w:t>
      </w:r>
    </w:p>
    <w:p>
      <w:pPr>
        <w:pStyle w:val="Para 07"/>
      </w:pPr>
      <w:r>
        <w:t># default : determined by the OS</w:t>
      </w:r>
    </w:p>
    <w:p>
      <w:pPr>
        <w:pStyle w:val="Para 02"/>
      </w:pPr>
      <w:r>
        <w:t>dev_loss_tmo</w:t>
        <w:t xml:space="preserve"> </w:t>
        <w:t>120</w:t>
      </w:r>
    </w:p>
    <w:p>
      <w:pPr>
        <w:pStyle w:val="Para 07"/>
      </w:pPr>
      <w:r>
        <w:t>#</w:t>
      </w:r>
    </w:p>
    <w:p>
      <w:pPr>
        <w:pStyle w:val="Para 07"/>
      </w:pPr>
      <w:r>
        <w:t># name</w:t>
      </w:r>
      <w:r>
        <w:rPr>
          <w:rStyle w:val="Text3"/>
        </w:rPr>
        <w:t xml:space="preserve"> </w:t>
      </w:r>
      <w:r>
        <w:t>: bindings_file</w:t>
      </w:r>
    </w:p>
    <w:p>
      <w:pPr>
        <w:pStyle w:val="Para 07"/>
      </w:pPr>
      <w:r>
        <w:t># scope</w:t>
      </w:r>
      <w:r>
        <w:rPr>
          <w:rStyle w:val="Text3"/>
        </w:rPr>
        <w:t xml:space="preserve"> </w:t>
      </w:r>
      <w:r>
        <w:t>: multipath</w:t>
      </w:r>
    </w:p>
    <w:p>
      <w:pPr>
        <w:pStyle w:val="Para 07"/>
      </w:pPr>
      <w:r>
        <w:t># desc</w:t>
      </w:r>
      <w:r>
        <w:rPr>
          <w:rStyle w:val="Text3"/>
        </w:rPr>
        <w:t xml:space="preserve"> </w:t>
      </w:r>
      <w:r>
        <w:t>: The location of the bindings file that is used with</w:t>
      </w:r>
      <w:r>
        <w:rPr>
          <w:rStyle w:val="Text3"/>
        </w:rPr>
        <w:t xml:space="preserve"> </w:t>
      </w:r>
      <w:r>
        <w:t>#</w:t>
      </w:r>
      <w:r>
        <w:rPr>
          <w:rStyle w:val="Text3"/>
        </w:rPr>
        <w:t xml:space="preserve"> </w:t>
      </w:r>
      <w:r>
        <w:t>the user_friendly_names option.</w:t>
      </w:r>
      <w:r>
        <w:rPr>
          <w:rStyle w:val="Text3"/>
        </w:rPr>
        <w:t xml:space="preserve"> </w:t>
      </w:r>
      <w:r>
        <w:t># values</w:t>
      </w:r>
      <w:r>
        <w:rPr>
          <w:rStyle w:val="Text3"/>
        </w:rPr>
        <w:t xml:space="preserve"> </w:t>
      </w:r>
      <w:r>
        <w:t>: &lt;full_pathname&gt;</w:t>
      </w:r>
    </w:p>
    <w:p>
      <w:pPr>
        <w:pStyle w:val="Para 07"/>
      </w:pPr>
      <w:r>
        <w:t># default : "/var/lib/multipath/bindings"</w:t>
      </w:r>
    </w:p>
    <w:p>
      <w:pPr>
        <w:pStyle w:val="Para 07"/>
      </w:pPr>
      <w:r>
        <w:t># bindings_file "/etc/multipath/bindings"</w:t>
      </w:r>
    </w:p>
    <w:p>
      <w:pPr>
        <w:pStyle w:val="Para 07"/>
      </w:pPr>
      <w:r>
        <w:t>#</w:t>
      </w:r>
    </w:p>
    <w:p>
      <w:pPr>
        <w:pStyle w:val="Para 07"/>
      </w:pPr>
      <w:r>
        <w:t># name</w:t>
      </w:r>
      <w:r>
        <w:rPr>
          <w:rStyle w:val="Text3"/>
        </w:rPr>
        <w:t xml:space="preserve"> </w:t>
      </w:r>
      <w:r>
        <w:t>: wwids_file</w:t>
      </w:r>
    </w:p>
    <w:p>
      <w:pPr>
        <w:pStyle w:val="Para 07"/>
      </w:pPr>
      <w:r>
        <w:t># scope</w:t>
      </w:r>
      <w:r>
        <w:rPr>
          <w:rStyle w:val="Text3"/>
        </w:rPr>
        <w:t xml:space="preserve"> </w:t>
      </w:r>
      <w:r>
        <w:t>: multipath</w:t>
      </w:r>
    </w:p>
    <w:p>
      <w:pPr>
        <w:pStyle w:val="Para 07"/>
      </w:pPr>
      <w:r>
        <w:t># desc</w:t>
      </w:r>
      <w:r>
        <w:rPr>
          <w:rStyle w:val="Text3"/>
        </w:rPr>
        <w:t xml:space="preserve"> </w:t>
      </w:r>
      <w:r>
        <w:t>: The location of the wwids file multipath uses to</w:t>
      </w:r>
      <w:r>
        <w:rPr>
          <w:rStyle w:val="Text3"/>
        </w:rPr>
        <w:t xml:space="preserve"> </w:t>
      </w:r>
      <w:r>
        <w:t>#</w:t>
      </w:r>
      <w:r>
        <w:rPr>
          <w:rStyle w:val="Text3"/>
        </w:rPr>
        <w:t xml:space="preserve"> </w:t>
      </w:r>
      <w:r>
        <w:t>keep track of the created multipath devices.</w:t>
      </w:r>
      <w:r>
        <w:rPr>
          <w:rStyle w:val="Text3"/>
        </w:rPr>
        <w:t xml:space="preserve"> </w:t>
      </w:r>
      <w:r>
        <w:t># values</w:t>
      </w:r>
      <w:r>
        <w:rPr>
          <w:rStyle w:val="Text3"/>
        </w:rPr>
        <w:t xml:space="preserve"> </w:t>
      </w:r>
      <w:r>
        <w:t>: &lt;full_pathname&gt;</w:t>
      </w:r>
    </w:p>
    <w:p>
      <w:pPr>
        <w:pStyle w:val="Para 07"/>
      </w:pPr>
      <w:r>
        <w:t># default : "/var/lib/multipath/wwids"</w:t>
      </w:r>
    </w:p>
    <w:p>
      <w:pPr>
        <w:pStyle w:val="Para 07"/>
      </w:pPr>
      <w:r>
        <w:t># wwids_file "/etc/multipath/wwids"</w:t>
      </w:r>
    </w:p>
    <w:p>
      <w:pPr>
        <w:pStyle w:val="Para 07"/>
      </w:pPr>
      <w:r>
        <w:t>#</w:t>
      </w:r>
    </w:p>
    <w:p>
      <w:pPr>
        <w:pStyle w:val="Para 07"/>
      </w:pPr>
      <w:r>
        <w:t># name</w:t>
      </w:r>
      <w:r>
        <w:rPr>
          <w:rStyle w:val="Text3"/>
        </w:rPr>
        <w:t xml:space="preserve"> </w:t>
      </w:r>
      <w:r>
        <w:t>: reservation_key</w:t>
      </w:r>
    </w:p>
    <w:p>
      <w:pPr>
        <w:pStyle w:val="Para 07"/>
      </w:pPr>
      <w:r>
        <w:t># scope</w:t>
      </w:r>
      <w:r>
        <w:rPr>
          <w:rStyle w:val="Text3"/>
        </w:rPr>
        <w:t xml:space="preserve"> </w:t>
      </w:r>
      <w:r>
        <w:t>: multipath</w:t>
      </w:r>
    </w:p>
    <w:p>
      <w:pPr>
        <w:pStyle w:val="Para 07"/>
      </w:pPr>
      <w:r>
        <w:t># desc</w:t>
      </w:r>
      <w:r>
        <w:rPr>
          <w:rStyle w:val="Text3"/>
        </w:rPr>
        <w:t xml:space="preserve"> </w:t>
      </w:r>
      <w:r>
        <w:t>: Service action reservation key used by mpathpersist.</w:t>
      </w:r>
      <w:r>
        <w:rPr>
          <w:rStyle w:val="Text3"/>
        </w:rPr>
        <w:t xml:space="preserve"> </w:t>
      </w:r>
      <w:r>
        <w:t># values</w:t>
      </w:r>
      <w:r>
        <w:rPr>
          <w:rStyle w:val="Text3"/>
        </w:rPr>
        <w:t xml:space="preserve"> </w:t>
      </w:r>
      <w:r>
        <w:t>: &lt;key&gt;</w:t>
      </w:r>
    </w:p>
    <w:p>
      <w:pPr>
        <w:pStyle w:val="Para 07"/>
      </w:pPr>
      <w:r>
        <w:t># default : (null)</w:t>
      </w:r>
    </w:p>
    <w:p>
      <w:pPr>
        <w:pStyle w:val="Para 07"/>
      </w:pPr>
      <w:r>
        <w:t># reservation_key "mpathkey"</w:t>
      </w:r>
    </w:p>
    <w:p>
      <w:pPr>
        <w:pStyle w:val="Para 07"/>
      </w:pPr>
      <w:r>
        <w:t>#</w:t>
      </w:r>
    </w:p>
    <w:p>
      <w:pPr>
        <w:pStyle w:val="Para 07"/>
      </w:pPr>
      <w:r>
        <w:t># name</w:t>
      </w:r>
      <w:r>
        <w:rPr>
          <w:rStyle w:val="Text3"/>
        </w:rPr>
        <w:t xml:space="preserve"> </w:t>
      </w:r>
      <w:r>
        <w:t>: force_sync</w:t>
      </w:r>
    </w:p>
    <w:p>
      <w:pPr>
        <w:pStyle w:val="Para 07"/>
      </w:pPr>
      <w:r>
        <w:t># scope</w:t>
      </w:r>
      <w:r>
        <w:rPr>
          <w:rStyle w:val="Text3"/>
        </w:rPr>
        <w:t xml:space="preserve"> </w:t>
      </w:r>
      <w:r>
        <w:t>: multipathd</w:t>
      </w:r>
    </w:p>
    <w:p>
      <w:pPr>
        <w:pStyle w:val="Para 07"/>
      </w:pPr>
      <w:r>
        <w:t># desc</w:t>
      </w:r>
      <w:r>
        <w:rPr>
          <w:rStyle w:val="Text3"/>
        </w:rPr>
        <w:t xml:space="preserve"> </w:t>
      </w:r>
      <w:r>
        <w:t>: If set to yes, multipath will run all of the checkers in</w:t>
      </w:r>
      <w:r>
        <w:rPr>
          <w:rStyle w:val="Text3"/>
        </w:rPr>
        <w:t xml:space="preserve"> </w:t>
      </w:r>
      <w:r>
        <w:t>#</w:t>
      </w:r>
      <w:r>
        <w:rPr>
          <w:rStyle w:val="Text3"/>
        </w:rPr>
        <w:t xml:space="preserve"> </w:t>
      </w:r>
      <w:r>
        <w:t>sync mode, even if the checker has an async mode.</w:t>
      </w:r>
      <w:r>
        <w:rPr>
          <w:rStyle w:val="Text3"/>
        </w:rPr>
        <w:t xml:space="preserve"> </w:t>
      </w:r>
      <w:r>
        <w:t># values</w:t>
      </w:r>
      <w:r>
        <w:rPr>
          <w:rStyle w:val="Text3"/>
        </w:rPr>
        <w:t xml:space="preserve"> </w:t>
      </w:r>
      <w:r>
        <w:t>: yes|no</w:t>
      </w:r>
    </w:p>
    <w:p>
      <w:pPr>
        <w:pStyle w:val="Para 07"/>
      </w:pPr>
      <w:r>
        <w:t># default : no</w:t>
      </w:r>
    </w:p>
    <w:p>
      <w:pPr>
        <w:pStyle w:val="Para 02"/>
      </w:pPr>
      <w:r>
        <w:t>force_sync yes</w:t>
      </w:r>
    </w:p>
    <w:p>
      <w:pPr>
        <w:pStyle w:val="Para 07"/>
      </w:pPr>
      <w:r>
        <w:t>#</w:t>
      </w:r>
    </w:p>
    <w:p>
      <w:pPr>
        <w:pStyle w:val="Para 07"/>
      </w:pPr>
      <w:r>
        <w:t># name</w:t>
      </w:r>
      <w:r>
        <w:rPr>
          <w:rStyle w:val="Text3"/>
        </w:rPr>
        <w:t xml:space="preserve"> </w:t>
      </w:r>
      <w:r>
        <w:t>: config_dir</w:t>
      </w:r>
    </w:p>
    <w:p>
      <w:pPr>
        <w:pStyle w:val="Para 07"/>
      </w:pPr>
      <w:r>
        <w:t># scope</w:t>
      </w:r>
      <w:r>
        <w:rPr>
          <w:rStyle w:val="Text3"/>
        </w:rPr>
        <w:t xml:space="preserve"> </w:t>
      </w:r>
      <w:r>
        <w:t>: multipath &amp; multipathd</w:t>
      </w:r>
    </w:p>
    <w:p>
      <w:pPr>
        <w:pStyle w:val="Para 07"/>
      </w:pPr>
      <w:r>
        <w:t># desc</w:t>
      </w:r>
      <w:r>
        <w:rPr>
          <w:rStyle w:val="Text3"/>
        </w:rPr>
        <w:t xml:space="preserve"> </w:t>
      </w:r>
      <w:r>
        <w:t>: If not set to an empty string, multipath will search</w:t>
      </w:r>
      <w:r>
        <w:rPr>
          <w:rStyle w:val="Text3"/>
        </w:rPr>
        <w:t xml:space="preserve"> </w:t>
      </w:r>
      <w:r>
        <w:t>#</w:t>
      </w:r>
      <w:r>
        <w:rPr>
          <w:rStyle w:val="Text3"/>
        </w:rPr>
        <w:t xml:space="preserve"> </w:t>
      </w:r>
      <w:r>
        <w:t>this directory alphabetically for files ending in ".conf"</w:t>
      </w:r>
      <w:r>
        <w:rPr>
          <w:rStyle w:val="Text3"/>
        </w:rPr>
        <w:t xml:space="preserve"> </w:t>
      </w:r>
      <w:r>
        <w:t>#</w:t>
      </w:r>
      <w:r>
        <w:rPr>
          <w:rStyle w:val="Text3"/>
        </w:rPr>
        <w:t xml:space="preserve"> </w:t>
      </w:r>
      <w:r>
        <w:t>and it will read configuration information from these</w:t>
      </w:r>
      <w:r>
        <w:rPr>
          <w:rStyle w:val="Text3"/>
        </w:rPr>
        <w:t xml:space="preserve"> </w:t>
      </w:r>
      <w:r>
        <w:t>#</w:t>
      </w:r>
      <w:r>
        <w:rPr>
          <w:rStyle w:val="Text3"/>
        </w:rPr>
        <w:t xml:space="preserve"> </w:t>
      </w:r>
      <w:r>
        <w:t>files, just as if it was in /etc/multipath.conf</w:t>
      </w:r>
      <w:r>
        <w:rPr>
          <w:rStyle w:val="Text3"/>
        </w:rPr>
        <w:t xml:space="preserve"> </w:t>
      </w:r>
      <w:r>
        <w:t># values</w:t>
      </w:r>
      <w:r>
        <w:rPr>
          <w:rStyle w:val="Text3"/>
        </w:rPr>
        <w:t xml:space="preserve"> </w:t>
      </w:r>
      <w:r>
        <w:t>: "" or a fully qualified pathname</w:t>
      </w:r>
      <w:r>
        <w:rPr>
          <w:rStyle w:val="Text3"/>
        </w:rPr>
        <w:t xml:space="preserve"> </w:t>
      </w:r>
      <w:r>
        <w:t># default : "/etc/multipath/conf.d"</w:t>
      </w:r>
    </w:p>
    <w:p>
      <w:pPr>
        <w:pStyle w:val="Para 09"/>
      </w:pPr>
      <w:r>
        <w:t>(continues on next page)</w:t>
      </w:r>
    </w:p>
    <w:p>
      <w:bookmarkStart w:id="1383" w:name="page_8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19" name="index-881_1.png" descr="index-881_1.png"/>
            <wp:cNvGraphicFramePr>
              <a:graphicFrameLocks noChangeAspect="1"/>
            </wp:cNvGraphicFramePr>
            <a:graphic>
              <a:graphicData uri="http://schemas.openxmlformats.org/drawingml/2006/picture">
                <pic:pic>
                  <pic:nvPicPr>
                    <pic:cNvPr id="0" name="index-881_1.png" descr="index-881_1.png"/>
                    <pic:cNvPicPr/>
                  </pic:nvPicPr>
                  <pic:blipFill>
                    <a:blip r:embed="rId923"/>
                    <a:stretch>
                      <a:fillRect/>
                    </a:stretch>
                  </pic:blipFill>
                  <pic:spPr>
                    <a:xfrm>
                      <a:off x="0" y="0"/>
                      <a:ext cx="914400" cy="266700"/>
                    </a:xfrm>
                    <a:prstGeom prst="rect">
                      <a:avLst/>
                    </a:prstGeom>
                  </pic:spPr>
                </pic:pic>
              </a:graphicData>
            </a:graphic>
          </wp:anchor>
        </w:drawing>
      </w:r>
      <w:bookmarkEnd w:id="1383"/>
    </w:p>
    <w:p>
      <w:pPr>
        <w:pStyle w:val="Para 09"/>
      </w:pPr>
      <w:r>
        <w:t>(continued from previous page)</w:t>
      </w:r>
    </w:p>
    <w:p>
      <w:pPr>
        <w:pStyle w:val="Para 07"/>
      </w:pPr>
      <w:r>
        <w:t>#</w:t>
      </w:r>
    </w:p>
    <w:p>
      <w:pPr>
        <w:pStyle w:val="Para 07"/>
      </w:pPr>
      <w:r>
        <w:t># name</w:t>
      </w:r>
      <w:r>
        <w:rPr>
          <w:rStyle w:val="Text3"/>
        </w:rPr>
        <w:t xml:space="preserve"> </w:t>
      </w:r>
      <w:r>
        <w:t>: delay_watch_checks</w:t>
      </w:r>
    </w:p>
    <w:p>
      <w:pPr>
        <w:pStyle w:val="Para 07"/>
      </w:pPr>
      <w:r>
        <w:t># scope</w:t>
      </w:r>
      <w:r>
        <w:rPr>
          <w:rStyle w:val="Text3"/>
        </w:rPr>
        <w:t xml:space="preserve"> </w:t>
      </w:r>
      <w:r>
        <w:t>: multipathd</w:t>
      </w:r>
    </w:p>
    <w:p>
      <w:pPr>
        <w:pStyle w:val="Para 07"/>
      </w:pPr>
      <w:r>
        <w:t># desc</w:t>
      </w:r>
      <w:r>
        <w:rPr>
          <w:rStyle w:val="Text3"/>
        </w:rPr>
        <w:t xml:space="preserve"> </w:t>
      </w:r>
      <w:r>
        <w:t>: If set to a value greater than 0, multipathd will watch</w:t>
      </w:r>
      <w:r>
        <w:rPr>
          <w:rStyle w:val="Text3"/>
        </w:rPr>
        <w:t xml:space="preserve"> </w:t>
      </w:r>
      <w:r>
        <w:t>#</w:t>
      </w:r>
      <w:r>
        <w:rPr>
          <w:rStyle w:val="Text3"/>
        </w:rPr>
        <w:t xml:space="preserve"> </w:t>
      </w:r>
      <w:r>
        <w:t>paths that have recently become valid for this many</w:t>
      </w:r>
      <w:r>
        <w:rPr>
          <w:rStyle w:val="Text3"/>
        </w:rPr>
        <w:t xml:space="preserve"> </w:t>
      </w:r>
      <w:r>
        <w:t>#</w:t>
      </w:r>
      <w:r>
        <w:rPr>
          <w:rStyle w:val="Text3"/>
        </w:rPr>
        <w:t xml:space="preserve"> </w:t>
      </w:r>
      <w:r>
        <w:t>checks.</w:t>
      </w:r>
      <w:r>
        <w:rPr>
          <w:rStyle w:val="Text3"/>
        </w:rPr>
        <w:t xml:space="preserve"> </w:t>
      </w:r>
      <w:r>
        <w:t>If they fail again while they are being watched,</w:t>
      </w:r>
      <w:r>
        <w:rPr>
          <w:rStyle w:val="Text3"/>
        </w:rPr>
        <w:t xml:space="preserve"> </w:t>
      </w:r>
      <w:r>
        <w:t>#</w:t>
      </w:r>
      <w:r>
        <w:rPr>
          <w:rStyle w:val="Text3"/>
        </w:rPr>
        <w:t xml:space="preserve"> </w:t>
      </w:r>
      <w:r>
        <w:t>when they next become valid, they will not be used until</w:t>
      </w:r>
      <w:r>
        <w:rPr>
          <w:rStyle w:val="Text3"/>
        </w:rPr>
        <w:t xml:space="preserve"> </w:t>
      </w:r>
      <w:r>
        <w:t>#</w:t>
      </w:r>
      <w:r>
        <w:rPr>
          <w:rStyle w:val="Text3"/>
        </w:rPr>
        <w:t xml:space="preserve"> </w:t>
      </w:r>
      <w:r>
        <w:t>they have stayed up for delay_wait_checks checks.</w:t>
      </w:r>
      <w:r>
        <w:rPr>
          <w:rStyle w:val="Text3"/>
        </w:rPr>
        <w:t xml:space="preserve"> </w:t>
      </w:r>
      <w:r>
        <w:t># values</w:t>
      </w:r>
      <w:r>
        <w:rPr>
          <w:rStyle w:val="Text3"/>
        </w:rPr>
        <w:t xml:space="preserve"> </w:t>
      </w:r>
      <w:r>
        <w:t>: no|&lt;n&gt; &gt; 0</w:t>
      </w:r>
    </w:p>
    <w:p>
      <w:pPr>
        <w:pStyle w:val="Para 07"/>
      </w:pPr>
      <w:r>
        <w:t># default : no</w:t>
      </w:r>
    </w:p>
    <w:p>
      <w:pPr>
        <w:pStyle w:val="Para 02"/>
      </w:pPr>
      <w:r>
        <w:t>delay_watch_checks</w:t>
        <w:t xml:space="preserve"> </w:t>
        <w:t>12</w:t>
      </w:r>
    </w:p>
    <w:p>
      <w:pPr>
        <w:pStyle w:val="Para 07"/>
      </w:pPr>
      <w:r>
        <w:t>#</w:t>
      </w:r>
    </w:p>
    <w:p>
      <w:pPr>
        <w:pStyle w:val="Para 07"/>
      </w:pPr>
      <w:r>
        <w:t># name</w:t>
      </w:r>
      <w:r>
        <w:rPr>
          <w:rStyle w:val="Text3"/>
        </w:rPr>
        <w:t xml:space="preserve"> </w:t>
      </w:r>
      <w:r>
        <w:t>: delay_wait_checks</w:t>
      </w:r>
    </w:p>
    <w:p>
      <w:pPr>
        <w:pStyle w:val="Para 07"/>
      </w:pPr>
      <w:r>
        <w:t># scope</w:t>
      </w:r>
      <w:r>
        <w:rPr>
          <w:rStyle w:val="Text3"/>
        </w:rPr>
        <w:t xml:space="preserve"> </w:t>
      </w:r>
      <w:r>
        <w:t>: multipathd</w:t>
      </w:r>
    </w:p>
    <w:p>
      <w:pPr>
        <w:pStyle w:val="Para 07"/>
      </w:pPr>
      <w:r>
        <w:t># desc</w:t>
      </w:r>
      <w:r>
        <w:rPr>
          <w:rStyle w:val="Text3"/>
        </w:rPr>
        <w:t xml:space="preserve"> </w:t>
      </w:r>
      <w:r>
        <w:t>: If set to a value greater than 0, when a device that has</w:t>
      </w:r>
      <w:r>
        <w:rPr>
          <w:rStyle w:val="Text3"/>
        </w:rPr>
        <w:t xml:space="preserve"> </w:t>
      </w:r>
      <w:r>
        <w:t>#</w:t>
      </w:r>
      <w:r>
        <w:rPr>
          <w:rStyle w:val="Text3"/>
        </w:rPr>
        <w:t xml:space="preserve"> </w:t>
      </w:r>
      <w:r>
        <w:t>recently come back online fails again within</w:t>
      </w:r>
      <w:r>
        <w:rPr>
          <w:rStyle w:val="Text3"/>
        </w:rPr>
        <w:t xml:space="preserve"> </w:t>
      </w:r>
      <w:r>
        <w:t>#</w:t>
      </w:r>
      <w:r>
        <w:rPr>
          <w:rStyle w:val="Text3"/>
        </w:rPr>
        <w:t xml:space="preserve"> </w:t>
      </w:r>
      <w:r>
        <w:t>delay_watch_checks checks, the next time it comes back</w:t>
      </w:r>
      <w:r>
        <w:rPr>
          <w:rStyle w:val="Text3"/>
        </w:rPr>
        <w:t xml:space="preserve"> </w:t>
      </w:r>
      <w:r>
        <w:t>#</w:t>
      </w:r>
      <w:r>
        <w:rPr>
          <w:rStyle w:val="Text3"/>
        </w:rPr>
        <w:t xml:space="preserve"> </w:t>
      </w:r>
      <w:r>
        <w:t>online, it will marked and delayed, and not used until</w:t>
      </w:r>
      <w:r>
        <w:rPr>
          <w:rStyle w:val="Text3"/>
        </w:rPr>
        <w:t xml:space="preserve"> </w:t>
      </w:r>
      <w:r>
        <w:t>#</w:t>
      </w:r>
      <w:r>
        <w:rPr>
          <w:rStyle w:val="Text3"/>
        </w:rPr>
        <w:t xml:space="preserve"> </w:t>
      </w:r>
      <w:r>
        <w:t>it has passed delay_wait_checks checks.</w:t>
      </w:r>
      <w:r>
        <w:rPr>
          <w:rStyle w:val="Text3"/>
        </w:rPr>
        <w:t xml:space="preserve"> </w:t>
      </w:r>
      <w:r>
        <w:t># values</w:t>
      </w:r>
      <w:r>
        <w:rPr>
          <w:rStyle w:val="Text3"/>
        </w:rPr>
        <w:t xml:space="preserve"> </w:t>
      </w:r>
      <w:r>
        <w:t>: no|&lt;n&gt; &gt; 0</w:t>
      </w:r>
    </w:p>
    <w:p>
      <w:pPr>
        <w:pStyle w:val="Para 07"/>
      </w:pPr>
      <w:r>
        <w:t># default : no</w:t>
      </w:r>
    </w:p>
    <w:p>
      <w:pPr>
        <w:pStyle w:val="Para 02"/>
      </w:pPr>
      <w:r>
        <w:t>delay_wait_checks</w:t>
        <w:t xml:space="preserve"> </w:t>
        <w:t>12</w:t>
      </w:r>
    </w:p>
    <w:p>
      <w:pPr>
        <w:pStyle w:val="Para 02"/>
      </w:pPr>
      <w:r>
        <w:t>}</w:t>
      </w:r>
    </w:p>
    <w:p>
      <w:pPr>
        <w:pStyle w:val="Para 17"/>
      </w:pPr>
      <w:r>
        <w:t/>
      </w:r>
    </w:p>
    <w:p>
      <w:pPr>
        <w:pStyle w:val="Para 01"/>
      </w:pPr>
      <w:r>
        <w:t>Example of a multipaths section</w:t>
      </w:r>
    </w:p>
    <w:p>
      <w:pPr>
        <w:pStyle w:val="Para 17"/>
      </w:pPr>
      <w:r>
        <w:t/>
      </w:r>
    </w:p>
    <w:p>
      <w:pPr>
        <w:pStyle w:val="Para 08"/>
      </w:pPr>
      <w:r>
        <w:t>Note:</w:t>
      </w:r>
    </w:p>
    <w:p>
      <w:pPr>
        <w:pStyle w:val="Para 03"/>
      </w:pPr>
      <w:r>
        <w:t>You can obtain the WWIDs for your LUNs by running: multipath -ll after the service</w:t>
      </w:r>
    </w:p>
    <w:p>
      <w:pPr>
        <w:pStyle w:val="Para 03"/>
      </w:pPr>
      <w:r>
        <w:t>multipath-tools.service has been restarted.</w:t>
      </w:r>
    </w:p>
    <w:p>
      <w:pPr>
        <w:pStyle w:val="Para 17"/>
      </w:pPr>
      <w:r>
        <w:t/>
      </w:r>
    </w:p>
    <w:p>
      <w:pPr>
        <w:pStyle w:val="Normal"/>
      </w:pPr>
      <w:r>
        <w:t>multipaths {</w:t>
      </w:r>
    </w:p>
    <w:p>
      <w:pPr>
        <w:pStyle w:val="Para 02"/>
      </w:pPr>
      <w:r>
        <w:t>multipath {</w:t>
      </w:r>
    </w:p>
    <w:p>
      <w:pPr>
        <w:pStyle w:val="Para 06"/>
      </w:pPr>
      <w:r>
        <w:t>wwid</w:t>
        <w:t xml:space="preserve"> </w:t>
        <w:t>360000000000000000e00000000030001</w:t>
        <w:t xml:space="preserve"> </w:t>
        <w:t>alias yellow</w:t>
      </w:r>
    </w:p>
    <w:p>
      <w:pPr>
        <w:pStyle w:val="Para 02"/>
      </w:pPr>
      <w:r>
        <w:t>}</w:t>
      </w:r>
    </w:p>
    <w:p>
      <w:pPr>
        <w:pStyle w:val="Para 02"/>
      </w:pPr>
      <w:r>
        <w:t>multipath {</w:t>
      </w:r>
    </w:p>
    <w:p>
      <w:pPr>
        <w:pStyle w:val="Para 06"/>
      </w:pPr>
      <w:r>
        <w:t>wwid</w:t>
        <w:t xml:space="preserve"> </w:t>
        <w:t>360000000000000000e00000000020001</w:t>
        <w:t xml:space="preserve"> </w:t>
        <w:t>alias blue</w:t>
      </w:r>
    </w:p>
    <w:p>
      <w:pPr>
        <w:pStyle w:val="Para 02"/>
      </w:pPr>
      <w:r>
        <w:t>}</w:t>
      </w:r>
    </w:p>
    <w:p>
      <w:pPr>
        <w:pStyle w:val="Para 02"/>
      </w:pPr>
      <w:r>
        <w:t>multipath {</w:t>
      </w:r>
    </w:p>
    <w:p>
      <w:pPr>
        <w:pStyle w:val="Para 06"/>
      </w:pPr>
      <w:r>
        <w:t>wwid</w:t>
        <w:t xml:space="preserve"> </w:t>
        <w:t>360000000000000000e00000000010001</w:t>
        <w:t xml:space="preserve"> </w:t>
        <w:t>alias red</w:t>
      </w:r>
    </w:p>
    <w:p>
      <w:pPr>
        <w:pStyle w:val="Para 02"/>
      </w:pPr>
      <w:r>
        <w:t>}</w:t>
      </w:r>
    </w:p>
    <w:p>
      <w:pPr>
        <w:pStyle w:val="Para 02"/>
      </w:pPr>
      <w:r>
        <w:t>multipath {</w:t>
      </w:r>
    </w:p>
    <w:p>
      <w:pPr>
        <w:pStyle w:val="Para 06"/>
      </w:pPr>
      <w:r>
        <w:t>wwid</w:t>
        <w:t xml:space="preserve"> </w:t>
        <w:t>360000000000000000e00000000040001</w:t>
        <w:t xml:space="preserve"> </w:t>
        <w:t>alias green</w:t>
      </w:r>
    </w:p>
    <w:p>
      <w:pPr>
        <w:pStyle w:val="Para 02"/>
      </w:pPr>
      <w:r>
        <w:t>}</w:t>
      </w:r>
    </w:p>
    <w:p>
      <w:pPr>
        <w:pStyle w:val="Para 02"/>
      </w:pPr>
      <w:r>
        <w:t>multipath {</w:t>
      </w:r>
    </w:p>
    <w:p>
      <w:pPr>
        <w:pStyle w:val="Para 06"/>
      </w:pPr>
      <w:r>
        <w:t>wwid</w:t>
        <w:t xml:space="preserve"> </w:t>
        <w:t>360000000000000000e00000000050001</w:t>
        <w:t xml:space="preserve"> </w:t>
        <w:t>alias purple</w:t>
      </w:r>
    </w:p>
    <w:p>
      <w:pPr>
        <w:pStyle w:val="Para 09"/>
      </w:pPr>
      <w:r>
        <w:t>(continues on next page)</w:t>
      </w:r>
    </w:p>
    <w:p>
      <w:bookmarkStart w:id="1384" w:name="page_8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0" name="index-882_1.png" descr="index-882_1.png"/>
            <wp:cNvGraphicFramePr>
              <a:graphicFrameLocks noChangeAspect="1"/>
            </wp:cNvGraphicFramePr>
            <a:graphic>
              <a:graphicData uri="http://schemas.openxmlformats.org/drawingml/2006/picture">
                <pic:pic>
                  <pic:nvPicPr>
                    <pic:cNvPr id="0" name="index-882_1.png" descr="index-882_1.png"/>
                    <pic:cNvPicPr/>
                  </pic:nvPicPr>
                  <pic:blipFill>
                    <a:blip r:embed="rId924"/>
                    <a:stretch>
                      <a:fillRect/>
                    </a:stretch>
                  </pic:blipFill>
                  <pic:spPr>
                    <a:xfrm>
                      <a:off x="0" y="0"/>
                      <a:ext cx="914400" cy="266700"/>
                    </a:xfrm>
                    <a:prstGeom prst="rect">
                      <a:avLst/>
                    </a:prstGeom>
                  </pic:spPr>
                </pic:pic>
              </a:graphicData>
            </a:graphic>
          </wp:anchor>
        </w:drawing>
      </w:r>
      <w:bookmarkEnd w:id="1384"/>
    </w:p>
    <w:p>
      <w:pPr>
        <w:pStyle w:val="Para 09"/>
      </w:pPr>
      <w:r>
        <w:t>(continued from previous page)</w:t>
      </w:r>
    </w:p>
    <w:p>
      <w:pPr>
        <w:pStyle w:val="Para 02"/>
      </w:pPr>
      <w:r>
        <w:t>}</w:t>
      </w:r>
    </w:p>
    <w:p>
      <w:pPr>
        <w:pStyle w:val="Normal"/>
      </w:pPr>
      <w:r>
        <w:t>}</w:t>
      </w:r>
    </w:p>
    <w:p>
      <w:pPr>
        <w:pStyle w:val="Para 17"/>
      </w:pPr>
      <w:r>
        <w:t/>
      </w:r>
    </w:p>
    <w:p>
      <w:pPr>
        <w:pStyle w:val="Para 01"/>
      </w:pPr>
      <w:r>
        <w:t>Example of a devices section</w:t>
      </w:r>
    </w:p>
    <w:p>
      <w:pPr>
        <w:pStyle w:val="Para 17"/>
      </w:pPr>
      <w:r>
        <w:t/>
      </w:r>
    </w:p>
    <w:p>
      <w:pPr>
        <w:pStyle w:val="Para 10"/>
      </w:pPr>
      <w:r>
        <w:t># devices {</w:t>
      </w:r>
    </w:p>
    <w:p>
      <w:pPr>
        <w:pStyle w:val="Para 10"/>
      </w:pPr>
      <w:r>
        <w:t>#</w:t>
      </w:r>
      <w:r>
        <w:rPr>
          <w:rStyle w:val="Text3"/>
        </w:rPr>
        <w:t xml:space="preserve"> </w:t>
      </w:r>
      <w:r>
        <w:t>device {</w:t>
      </w:r>
    </w:p>
    <w:p>
      <w:pPr>
        <w:pStyle w:val="Para 10"/>
      </w:pPr>
      <w:r>
        <w:t>#</w:t>
      </w:r>
      <w:r>
        <w:rPr>
          <w:rStyle w:val="Text3"/>
        </w:rPr>
        <w:t xml:space="preserve"> </w:t>
      </w:r>
      <w:r>
        <w:t>vendor "IBM"</w:t>
      </w:r>
    </w:p>
    <w:p>
      <w:pPr>
        <w:pStyle w:val="Para 10"/>
      </w:pPr>
      <w:r>
        <w:t>#</w:t>
      </w:r>
      <w:r>
        <w:rPr>
          <w:rStyle w:val="Text3"/>
        </w:rPr>
        <w:t xml:space="preserve"> </w:t>
      </w:r>
      <w:r>
        <w:t>product "2107900"</w:t>
      </w:r>
    </w:p>
    <w:p>
      <w:pPr>
        <w:pStyle w:val="Para 10"/>
      </w:pPr>
      <w:r>
        <w:t>#</w:t>
      </w:r>
      <w:r>
        <w:rPr>
          <w:rStyle w:val="Text3"/>
        </w:rPr>
        <w:t xml:space="preserve"> </w:t>
      </w:r>
      <w:r>
        <w:t>path_grouping_policy group_by_serial</w:t>
      </w:r>
      <w:r>
        <w:rPr>
          <w:rStyle w:val="Text3"/>
        </w:rPr>
        <w:t xml:space="preserve"> </w:t>
      </w:r>
      <w:r>
        <w:t>#</w:t>
      </w:r>
      <w:r>
        <w:rPr>
          <w:rStyle w:val="Text3"/>
        </w:rPr>
        <w:t xml:space="preserve"> </w:t>
      </w:r>
      <w:r>
        <w:t>}</w:t>
      </w:r>
    </w:p>
    <w:p>
      <w:pPr>
        <w:pStyle w:val="Para 10"/>
      </w:pPr>
      <w:r>
        <w:t># }</w:t>
      </w:r>
    </w:p>
    <w:p>
      <w:pPr>
        <w:pStyle w:val="Para 10"/>
      </w:pPr>
      <w:r>
        <w:t>#</w:t>
      </w:r>
    </w:p>
    <w:p>
      <w:pPr>
        <w:pStyle w:val="Para 17"/>
      </w:pPr>
      <w:r>
        <w:t/>
      </w:r>
    </w:p>
    <w:p>
      <w:pPr>
        <w:pStyle w:val="Para 01"/>
      </w:pPr>
      <w:r>
        <w:t>Example of a blocklist section</w:t>
      </w:r>
    </w:p>
    <w:p>
      <w:pPr>
        <w:pStyle w:val="Para 17"/>
      </w:pPr>
      <w:r>
        <w:t/>
      </w:r>
    </w:p>
    <w:p>
      <w:pPr>
        <w:pStyle w:val="Para 10"/>
      </w:pPr>
      <w:r>
        <w:t># name</w:t>
      </w:r>
      <w:r>
        <w:rPr>
          <w:rStyle w:val="Text3"/>
        </w:rPr>
        <w:t xml:space="preserve"> </w:t>
      </w:r>
      <w:r>
        <w:t>: blacklist</w:t>
      </w:r>
    </w:p>
    <w:p>
      <w:pPr>
        <w:pStyle w:val="Para 10"/>
      </w:pPr>
      <w:r>
        <w:t># scope</w:t>
      </w:r>
      <w:r>
        <w:rPr>
          <w:rStyle w:val="Text3"/>
        </w:rPr>
        <w:t xml:space="preserve"> </w:t>
      </w:r>
      <w:r>
        <w:t>: multipath &amp; multipathd</w:t>
      </w:r>
    </w:p>
    <w:p>
      <w:pPr>
        <w:pStyle w:val="Para 10"/>
      </w:pPr>
      <w:r>
        <w:t># desc</w:t>
      </w:r>
      <w:r>
        <w:rPr>
          <w:rStyle w:val="Text3"/>
        </w:rPr>
        <w:t xml:space="preserve"> </w:t>
      </w:r>
      <w:r>
        <w:t>: list of device names to discard as not multipath candidates</w:t>
      </w:r>
      <w:r>
        <w:rPr>
          <w:rStyle w:val="Text3"/>
        </w:rPr>
        <w:t xml:space="preserve"> </w:t>
      </w:r>
      <w:r>
        <w:t>#</w:t>
      </w:r>
    </w:p>
    <w:p>
      <w:pPr>
        <w:pStyle w:val="Para 10"/>
      </w:pPr>
      <w:r>
        <w:t># Devices can be identified by their device node name "devnode",</w:t>
      </w:r>
      <w:r>
        <w:rPr>
          <w:rStyle w:val="Text3"/>
        </w:rPr>
        <w:t xml:space="preserve"> </w:t>
      </w:r>
      <w:r>
        <w:t># their WWID "wwid", or their vender and product strings "device"</w:t>
      </w:r>
      <w:r>
        <w:rPr>
          <w:rStyle w:val="Text3"/>
        </w:rPr>
        <w:t xml:space="preserve"> </w:t>
      </w:r>
      <w:r>
        <w:t># default : fd, hd, md, dm, sr, scd, st, ram, raw, loop, dcssblk</w:t>
      </w:r>
      <w:r>
        <w:rPr>
          <w:rStyle w:val="Text3"/>
        </w:rPr>
        <w:t xml:space="preserve"> </w:t>
      </w:r>
      <w:r>
        <w:t>#</w:t>
      </w:r>
    </w:p>
    <w:p>
      <w:pPr>
        <w:pStyle w:val="Para 10"/>
      </w:pPr>
      <w:r>
        <w:t># blacklist {</w:t>
      </w:r>
    </w:p>
    <w:p>
      <w:pPr>
        <w:pStyle w:val="Para 10"/>
      </w:pPr>
      <w:r>
        <w:t>#</w:t>
      </w:r>
      <w:r>
        <w:rPr>
          <w:rStyle w:val="Text3"/>
        </w:rPr>
        <w:t xml:space="preserve"> </w:t>
      </w:r>
      <w:r>
        <w:t>wwid 26353900f02796769</w:t>
      </w:r>
    </w:p>
    <w:p>
      <w:pPr>
        <w:pStyle w:val="Para 10"/>
      </w:pPr>
      <w:r>
        <w:t>#</w:t>
      </w:r>
      <w:r>
        <w:rPr>
          <w:rStyle w:val="Text3"/>
        </w:rPr>
        <w:t xml:space="preserve"> </w:t>
      </w:r>
      <w:r>
        <w:t>devnode "^(ram|raw|loop|fd|md|dm-|sr|scd|st)[0-9]\*"</w:t>
      </w:r>
      <w:r>
        <w:rPr>
          <w:rStyle w:val="Text3"/>
        </w:rPr>
        <w:t xml:space="preserve"> </w:t>
      </w:r>
      <w:r>
        <w:t>#</w:t>
      </w:r>
      <w:r>
        <w:rPr>
          <w:rStyle w:val="Text3"/>
        </w:rPr>
        <w:t xml:space="preserve"> </w:t>
      </w:r>
      <w:r>
        <w:t>devnode "^hd[a-z]"</w:t>
      </w:r>
    </w:p>
    <w:p>
      <w:pPr>
        <w:pStyle w:val="Para 10"/>
      </w:pPr>
      <w:r>
        <w:t>#</w:t>
      </w:r>
      <w:r>
        <w:rPr>
          <w:rStyle w:val="Text3"/>
        </w:rPr>
        <w:t xml:space="preserve"> </w:t>
      </w:r>
      <w:r>
        <w:t>devnode "^dcssblk[0-9]\*"</w:t>
      </w:r>
    </w:p>
    <w:p>
      <w:pPr>
        <w:pStyle w:val="Para 10"/>
      </w:pPr>
      <w:r>
        <w:t>#</w:t>
      </w:r>
      <w:r>
        <w:rPr>
          <w:rStyle w:val="Text3"/>
        </w:rPr>
        <w:t xml:space="preserve"> </w:t>
      </w:r>
      <w:r>
        <w:t>device {</w:t>
      </w:r>
    </w:p>
    <w:p>
      <w:pPr>
        <w:pStyle w:val="Para 10"/>
      </w:pPr>
      <w:r>
        <w:t>#</w:t>
      </w:r>
      <w:r>
        <w:rPr>
          <w:rStyle w:val="Text3"/>
        </w:rPr>
        <w:t xml:space="preserve"> </w:t>
      </w:r>
      <w:r>
        <w:t>vendor DEC.\*</w:t>
      </w:r>
    </w:p>
    <w:p>
      <w:pPr>
        <w:pStyle w:val="Para 10"/>
      </w:pPr>
      <w:r>
        <w:t>#</w:t>
      </w:r>
      <w:r>
        <w:rPr>
          <w:rStyle w:val="Text3"/>
        </w:rPr>
        <w:t xml:space="preserve"> </w:t>
      </w:r>
      <w:r>
        <w:t>product MSA[15]00</w:t>
      </w:r>
    </w:p>
    <w:p>
      <w:pPr>
        <w:pStyle w:val="Para 10"/>
      </w:pPr>
      <w:r>
        <w:t>#</w:t>
      </w:r>
      <w:r>
        <w:rPr>
          <w:rStyle w:val="Text3"/>
        </w:rPr>
        <w:t xml:space="preserve"> </w:t>
      </w:r>
      <w:r>
        <w:t>}</w:t>
      </w:r>
    </w:p>
    <w:p>
      <w:pPr>
        <w:pStyle w:val="Para 10"/>
      </w:pPr>
      <w:r>
        <w:t># }</w:t>
      </w:r>
    </w:p>
    <w:p>
      <w:pPr>
        <w:pStyle w:val="Para 17"/>
      </w:pPr>
      <w:r>
        <w:t/>
      </w:r>
    </w:p>
    <w:p>
      <w:pPr>
        <w:pStyle w:val="Para 01"/>
      </w:pPr>
      <w:r>
        <w:t>Example of a blocklist exception section</w:t>
      </w:r>
    </w:p>
    <w:p>
      <w:pPr>
        <w:pStyle w:val="Para 17"/>
      </w:pPr>
      <w:r>
        <w:t/>
      </w:r>
    </w:p>
    <w:p>
      <w:pPr>
        <w:pStyle w:val="Para 10"/>
      </w:pPr>
      <w:r>
        <w:t># name</w:t>
      </w:r>
      <w:r>
        <w:rPr>
          <w:rStyle w:val="Text3"/>
        </w:rPr>
        <w:t xml:space="preserve"> </w:t>
      </w:r>
      <w:r>
        <w:t>: blacklist_exceptions</w:t>
      </w:r>
    </w:p>
    <w:p>
      <w:pPr>
        <w:pStyle w:val="Para 10"/>
      </w:pPr>
      <w:r>
        <w:t># scope</w:t>
      </w:r>
      <w:r>
        <w:rPr>
          <w:rStyle w:val="Text3"/>
        </w:rPr>
        <w:t xml:space="preserve"> </w:t>
      </w:r>
      <w:r>
        <w:t>: multipath &amp; multipathd</w:t>
      </w:r>
    </w:p>
    <w:p>
      <w:pPr>
        <w:pStyle w:val="Para 10"/>
      </w:pPr>
      <w:r>
        <w:t># desc</w:t>
      </w:r>
      <w:r>
        <w:rPr>
          <w:rStyle w:val="Text3"/>
        </w:rPr>
        <w:t xml:space="preserve"> </w:t>
      </w:r>
      <w:r>
        <w:t>: list of device names to be treated as multipath candidates</w:t>
      </w:r>
      <w:r>
        <w:rPr>
          <w:rStyle w:val="Text3"/>
        </w:rPr>
        <w:t xml:space="preserve"> </w:t>
      </w:r>
      <w:r>
        <w:t>#</w:t>
      </w:r>
      <w:r>
        <w:rPr>
          <w:rStyle w:val="Text3"/>
        </w:rPr>
        <w:t xml:space="preserve"> </w:t>
      </w:r>
      <w:r>
        <w:t>even if they are on the blacklist.</w:t>
      </w:r>
      <w:r>
        <w:rPr>
          <w:rStyle w:val="Text3"/>
        </w:rPr>
        <w:t xml:space="preserve"> </w:t>
      </w:r>
      <w:r>
        <w:t>#</w:t>
      </w:r>
    </w:p>
    <w:p>
      <w:pPr>
        <w:pStyle w:val="Para 10"/>
      </w:pPr>
      <w:r>
        <w:t># Note: blacklist exceptions are only valid in the same class.</w:t>
      </w:r>
      <w:r>
        <w:rPr>
          <w:rStyle w:val="Text3"/>
        </w:rPr>
        <w:t xml:space="preserve"> </w:t>
      </w:r>
      <w:r>
        <w:t># It is not possible to blacklist devices using the devnode keyword</w:t>
      </w:r>
      <w:r>
        <w:rPr>
          <w:rStyle w:val="Text3"/>
        </w:rPr>
        <w:t xml:space="preserve"> </w:t>
      </w:r>
      <w:r>
        <w:t># and to exclude some devices of them using the wwid keyword.</w:t>
      </w:r>
      <w:r>
        <w:rPr>
          <w:rStyle w:val="Text3"/>
        </w:rPr>
        <w:t xml:space="preserve"> </w:t>
      </w:r>
      <w:r>
        <w:t># default : -</w:t>
      </w:r>
    </w:p>
    <w:p>
      <w:pPr>
        <w:pStyle w:val="Para 10"/>
      </w:pPr>
      <w:r>
        <w:t>#</w:t>
      </w:r>
    </w:p>
    <w:p>
      <w:pPr>
        <w:pStyle w:val="Para 10"/>
      </w:pPr>
      <w:r>
        <w:t># blacklist_exceptions {</w:t>
      </w:r>
    </w:p>
    <w:p>
      <w:pPr>
        <w:pStyle w:val="Para 10"/>
      </w:pPr>
      <w:r>
        <w:t>#</w:t>
      </w:r>
      <w:r>
        <w:rPr>
          <w:rStyle w:val="Text3"/>
        </w:rPr>
        <w:t xml:space="preserve"> </w:t>
      </w:r>
      <w:r>
        <w:t>devnode "^dasd[c-d]+[0-9]\*"</w:t>
      </w:r>
    </w:p>
    <w:p>
      <w:pPr>
        <w:pStyle w:val="Para 09"/>
      </w:pPr>
      <w:r>
        <w:t>(continues on next page)</w:t>
      </w:r>
    </w:p>
    <w:p>
      <w:bookmarkStart w:id="1385" w:name="page_88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1" name="index-883_1.png" descr="index-883_1.png"/>
            <wp:cNvGraphicFramePr>
              <a:graphicFrameLocks noChangeAspect="1"/>
            </wp:cNvGraphicFramePr>
            <a:graphic>
              <a:graphicData uri="http://schemas.openxmlformats.org/drawingml/2006/picture">
                <pic:pic>
                  <pic:nvPicPr>
                    <pic:cNvPr id="0" name="index-883_1.png" descr="index-883_1.png"/>
                    <pic:cNvPicPr/>
                  </pic:nvPicPr>
                  <pic:blipFill>
                    <a:blip r:embed="rId925"/>
                    <a:stretch>
                      <a:fillRect/>
                    </a:stretch>
                  </pic:blipFill>
                  <pic:spPr>
                    <a:xfrm>
                      <a:off x="0" y="0"/>
                      <a:ext cx="914400" cy="266700"/>
                    </a:xfrm>
                    <a:prstGeom prst="rect">
                      <a:avLst/>
                    </a:prstGeom>
                  </pic:spPr>
                </pic:pic>
              </a:graphicData>
            </a:graphic>
          </wp:anchor>
        </w:drawing>
      </w:r>
      <w:bookmarkEnd w:id="1385"/>
    </w:p>
    <w:p>
      <w:pPr>
        <w:pStyle w:val="Para 09"/>
      </w:pPr>
      <w:r>
        <w:t>(continued from previous page)</w:t>
      </w:r>
    </w:p>
    <w:p>
      <w:pPr>
        <w:pStyle w:val="Para 10"/>
      </w:pPr>
      <w:r>
        <w:t>#</w:t>
      </w:r>
      <w:r>
        <w:rPr>
          <w:rStyle w:val="Text3"/>
        </w:rPr>
        <w:t xml:space="preserve"> </w:t>
      </w:r>
      <w:r>
        <w:t>wwid</w:t>
      </w:r>
      <w:r>
        <w:rPr>
          <w:rStyle w:val="Text3"/>
        </w:rPr>
        <w:t xml:space="preserve"> </w:t>
      </w:r>
      <w:r>
        <w:t>"IBM.75000000092461.4d00.34"</w:t>
      </w:r>
      <w:r>
        <w:rPr>
          <w:rStyle w:val="Text3"/>
        </w:rPr>
        <w:t xml:space="preserve"> </w:t>
      </w:r>
      <w:r>
        <w:t>#</w:t>
      </w:r>
      <w:r>
        <w:rPr>
          <w:rStyle w:val="Text3"/>
        </w:rPr>
        <w:t xml:space="preserve"> </w:t>
      </w:r>
      <w:r>
        <w:t>wwid</w:t>
      </w:r>
      <w:r>
        <w:rPr>
          <w:rStyle w:val="Text3"/>
        </w:rPr>
        <w:t xml:space="preserve"> </w:t>
      </w:r>
      <w:r>
        <w:t>"IBM.75000000092461.4d00.35"</w:t>
      </w:r>
      <w:r>
        <w:rPr>
          <w:rStyle w:val="Text3"/>
        </w:rPr>
        <w:t xml:space="preserve"> </w:t>
      </w:r>
      <w:r>
        <w:t>#</w:t>
      </w:r>
      <w:r>
        <w:rPr>
          <w:rStyle w:val="Text3"/>
        </w:rPr>
        <w:t xml:space="preserve"> </w:t>
      </w:r>
      <w:r>
        <w:t>wwid</w:t>
      </w:r>
      <w:r>
        <w:rPr>
          <w:rStyle w:val="Text3"/>
        </w:rPr>
        <w:t xml:space="preserve"> </w:t>
      </w:r>
      <w:r>
        <w:t>"IBM.75000000092461.4d00.36"</w:t>
      </w:r>
      <w:r>
        <w:rPr>
          <w:rStyle w:val="Text3"/>
        </w:rPr>
        <w:t xml:space="preserve"> </w:t>
      </w:r>
      <w:r>
        <w:t># }</w:t>
      </w:r>
    </w:p>
    <w:p>
      <w:pPr>
        <w:pStyle w:val="Para 17"/>
      </w:pPr>
      <w:r>
        <w:t/>
      </w:r>
    </w:p>
    <w:p>
      <w:pPr>
        <w:pStyle w:val="Para 01"/>
      </w:pPr>
      <w:r>
        <w:t>Common tasks and procedures</w:t>
      </w:r>
    </w:p>
    <w:p>
      <w:pPr>
        <w:pStyle w:val="Para 17"/>
      </w:pPr>
      <w:r>
        <w:t/>
      </w:r>
    </w:p>
    <w:p>
      <w:pPr>
        <w:pStyle w:val="Normal"/>
      </w:pPr>
      <w:r>
        <w:t>This section shows examples of common configuration procedures and tasks. Before moving on with this section it’s a good idea to read or be familiar with the topics in these pages:</w:t>
      </w:r>
    </w:p>
    <w:p>
      <w:pPr>
        <w:pStyle w:val="Para 43"/>
      </w:pPr>
      <w:r>
        <w:rPr>
          <w:rStyle w:val="Text4"/>
        </w:rPr>
        <w:t xml:space="preserve">1. </w:t>
      </w:r>
      <w:hyperlink w:anchor="page_861">
        <w:r>
          <w:t>Introduction to device mapper multipathing</w:t>
        </w:r>
      </w:hyperlink>
      <w:r>
        <w:rPr>
          <w:rStyle w:val="Text4"/>
        </w:rPr>
        <w:t xml:space="preserve"> (page 860)</w:t>
      </w:r>
    </w:p>
    <w:p>
      <w:pPr>
        <w:pStyle w:val="Para 43"/>
      </w:pPr>
      <w:r>
        <w:rPr>
          <w:rStyle w:val="Text4"/>
        </w:rPr>
        <w:t xml:space="preserve">2. </w:t>
      </w:r>
      <w:hyperlink w:anchor="page_866">
        <w:r>
          <w:t>Configuration options and overview</w:t>
        </w:r>
      </w:hyperlink>
      <w:r>
        <w:rPr>
          <w:rStyle w:val="Text4"/>
        </w:rPr>
        <w:t xml:space="preserve"> (page 865)</w:t>
      </w:r>
    </w:p>
    <w:p>
      <w:pPr>
        <w:pStyle w:val="Para 43"/>
      </w:pPr>
      <w:r>
        <w:rPr>
          <w:rStyle w:val="Text4"/>
        </w:rPr>
        <w:t xml:space="preserve">3. </w:t>
      </w:r>
      <w:hyperlink w:anchor="page_874">
        <w:r>
          <w:t>Configuration examples</w:t>
        </w:r>
      </w:hyperlink>
      <w:r>
        <w:rPr>
          <w:rStyle w:val="Text4"/>
        </w:rPr>
        <w:t xml:space="preserve"> (page 873)</w:t>
      </w:r>
    </w:p>
    <w:p>
      <w:pPr>
        <w:pStyle w:val="Normal"/>
      </w:pPr>
      <w:r>
        <w:t xml:space="preserve">For consistency, we will refer to device mapper multipathing as </w:t>
      </w:r>
      <w:r>
        <w:rPr>
          <w:rStyle w:val="Text0"/>
        </w:rPr>
        <w:t>multipath</w:t>
      </w:r>
      <w:r>
        <w:t>.</w:t>
      </w:r>
    </w:p>
    <w:p>
      <w:pPr>
        <w:pStyle w:val="Para 17"/>
      </w:pPr>
      <w:r>
        <w:t/>
      </w:r>
    </w:p>
    <w:p>
      <w:pPr>
        <w:pStyle w:val="Para 01"/>
      </w:pPr>
      <w:r>
        <w:t>Resizing online multipath devices</w:t>
      </w:r>
    </w:p>
    <w:p>
      <w:pPr>
        <w:pStyle w:val="Para 17"/>
      </w:pPr>
      <w:r>
        <w:t/>
      </w:r>
    </w:p>
    <w:p>
      <w:pPr>
        <w:pStyle w:val="Normal"/>
      </w:pPr>
      <w:r>
        <w:t>To resize online multipath devices, first find all the paths to the logical unit number (LUN) that is to be resized by running the following command:</w:t>
      </w:r>
    </w:p>
    <w:p>
      <w:pPr>
        <w:pStyle w:val="Normal"/>
      </w:pPr>
      <w:r>
        <w:t>$ sudo multipath -ll</w:t>
      </w:r>
    </w:p>
    <w:p>
      <w:pPr>
        <w:pStyle w:val="Normal"/>
      </w:pPr>
      <w:r>
        <w:t>mpathb</w:t>
        <w:t xml:space="preserve"> </w:t>
        <w:t>(</w:t>
        <w:t>360014056eee8ec6e1164fcb959086482</w:t>
        <w:t>)</w:t>
        <w:t xml:space="preserve"> </w:t>
        <w:t>dm-0 LIO-ORG,lun01</w:t>
        <w:t xml:space="preserve"> </w:t>
        <w:t>size</w:t>
        <w:t>=</w:t>
        <w:t>1</w:t>
        <w:t>.0G</w:t>
        <w:t xml:space="preserve"> </w:t>
        <w:t>features</w:t>
        <w:t>=</w:t>
        <w:t>'0'</w:t>
        <w:t xml:space="preserve"> </w:t>
        <w:t>hwhandler</w:t>
        <w:t>=</w:t>
        <w:t>'1 alua'</w:t>
        <w:t xml:space="preserve"> </w:t>
        <w:t>wp</w:t>
        <w:t>=</w:t>
        <w:t>rw</w:t>
        <w:t xml:space="preserve"> </w:t>
        <w:t>|-+-</w:t>
        <w:t>policy</w:t>
        <w:t>=</w:t>
        <w:t>'service-time 0'</w:t>
        <w:t xml:space="preserve"> </w:t>
        <w:t>prio</w:t>
        <w:t>=</w:t>
        <w:t>50</w:t>
        <w:t xml:space="preserve"> </w:t>
        <w:t>status</w:t>
        <w:t>=</w:t>
        <w:t>active</w:t>
        <w:t xml:space="preserve"> </w:t>
        <w:t>|</w:t>
        <w:t xml:space="preserve"> </w:t>
        <w:t>`</w:t>
        <w:t>-</w:t>
        <w:t>7</w:t>
        <w:t>:0:0:1 sde</w:t>
        <w:t xml:space="preserve"> </w:t>
        <w:t>8</w:t>
        <w:t>:64 active ready running</w:t>
        <w:t xml:space="preserve"> </w:t>
        <w:t>`</w:t>
        <w:t>-+-</w:t>
        <w:t>policy</w:t>
        <w:t>=</w:t>
        <w:t>'service-time 0'</w:t>
        <w:t xml:space="preserve"> </w:t>
        <w:t>prio</w:t>
        <w:t>=</w:t>
        <w:t>50</w:t>
        <w:t xml:space="preserve"> </w:t>
        <w:t>status</w:t>
        <w:t>=</w:t>
        <w:t>enabled</w:t>
      </w:r>
    </w:p>
    <w:p>
      <w:pPr>
        <w:pStyle w:val="Para 03"/>
      </w:pPr>
      <w:r>
        <w:t>`</w:t>
        <w:t>-</w:t>
        <w:t>8</w:t>
        <w:t>:0:0:1 sdf</w:t>
        <w:t xml:space="preserve"> </w:t>
        <w:t>8</w:t>
        <w:t>:80 active ready running</w:t>
      </w:r>
    </w:p>
    <w:p>
      <w:pPr>
        <w:pStyle w:val="Normal"/>
      </w:pPr>
      <w:r>
        <w:t>mpatha</w:t>
        <w:t xml:space="preserve"> </w:t>
        <w:t>(</w:t>
        <w:t>36001405e3c2841430ee4bf3871b1998b</w:t>
        <w:t>)</w:t>
        <w:t xml:space="preserve"> </w:t>
        <w:t>dm-1 LIO-ORG,lun02</w:t>
        <w:t xml:space="preserve"> </w:t>
        <w:t>size</w:t>
        <w:t>=</w:t>
        <w:t>1</w:t>
        <w:t>.0G</w:t>
        <w:t xml:space="preserve"> </w:t>
        <w:t>features</w:t>
        <w:t>=</w:t>
        <w:t>'0'</w:t>
        <w:t xml:space="preserve"> </w:t>
        <w:t>hwhandler</w:t>
        <w:t>=</w:t>
        <w:t>'1 alua'</w:t>
        <w:t xml:space="preserve"> </w:t>
        <w:t>wp</w:t>
        <w:t>=</w:t>
        <w:t>rw</w:t>
        <w:t xml:space="preserve"> </w:t>
        <w:t>|-+-</w:t>
        <w:t>policy</w:t>
        <w:t>=</w:t>
        <w:t>'service-time 0'</w:t>
        <w:t xml:space="preserve"> </w:t>
        <w:t>prio</w:t>
        <w:t>=</w:t>
        <w:t>50</w:t>
        <w:t xml:space="preserve"> </w:t>
        <w:t>status</w:t>
        <w:t>=</w:t>
        <w:t>active</w:t>
        <w:t xml:space="preserve"> </w:t>
        <w:t>|</w:t>
        <w:t xml:space="preserve"> </w:t>
        <w:t>`</w:t>
        <w:t>-</w:t>
        <w:t>7</w:t>
        <w:t>:0:0:2 sdc</w:t>
        <w:t xml:space="preserve"> </w:t>
        <w:t>8</w:t>
        <w:t>:32 active ready running</w:t>
        <w:t xml:space="preserve"> </w:t>
        <w:t>`</w:t>
        <w:t>-+-</w:t>
        <w:t>policy</w:t>
        <w:t>=</w:t>
        <w:t>'service-time 0'</w:t>
        <w:t xml:space="preserve"> </w:t>
        <w:t>prio</w:t>
        <w:t>=</w:t>
        <w:t>50</w:t>
        <w:t xml:space="preserve"> </w:t>
        <w:t>status</w:t>
        <w:t>=</w:t>
        <w:t>enabled</w:t>
      </w:r>
    </w:p>
    <w:p>
      <w:pPr>
        <w:pStyle w:val="Para 03"/>
      </w:pPr>
      <w:r>
        <w:t>`</w:t>
        <w:t>-</w:t>
        <w:t>8</w:t>
        <w:t>:0:0:2 sdd</w:t>
        <w:t xml:space="preserve"> </w:t>
        <w:t>8</w:t>
        <w:t>:48 active ready running</w:t>
      </w:r>
    </w:p>
    <w:p>
      <w:pPr>
        <w:pStyle w:val="Para 17"/>
      </w:pPr>
      <w:r>
        <w:t/>
      </w:r>
    </w:p>
    <w:p>
      <w:pPr>
        <w:pStyle w:val="Normal"/>
      </w:pPr>
      <w:r>
        <w:t>Now, reconfigure mpathb (with wwid = 360014056eee8ec6e1164fcb959086482) to have 2 GB instead of just 1 GB and check if it has changed:</w:t>
      </w:r>
    </w:p>
    <w:p>
      <w:pPr>
        <w:pStyle w:val="Normal"/>
      </w:pPr>
      <w:r>
        <w:t>$</w:t>
        <w:t xml:space="preserve"> </w:t>
        <w:t>echo</w:t>
        <w:t xml:space="preserve"> </w:t>
        <w:t>1</w:t>
        <w:t xml:space="preserve"> </w:t>
        <w:t>| sudo tee /sys/block/sde/device/rescan</w:t>
      </w:r>
    </w:p>
    <w:p>
      <w:pPr>
        <w:pStyle w:val="Normal"/>
      </w:pPr>
      <w:r>
        <w:t>1</w:t>
      </w:r>
    </w:p>
    <w:p>
      <w:pPr>
        <w:pStyle w:val="Normal"/>
      </w:pPr>
      <w:r>
        <w:t>$</w:t>
        <w:t xml:space="preserve"> </w:t>
        <w:t>echo</w:t>
        <w:t xml:space="preserve"> </w:t>
        <w:t>1</w:t>
        <w:t xml:space="preserve"> </w:t>
        <w:t>| sudo tee /sys/block/sdf/device/rescan</w:t>
      </w:r>
    </w:p>
    <w:p>
      <w:pPr>
        <w:pStyle w:val="Normal"/>
      </w:pPr>
      <w:r>
        <w:t>1</w:t>
      </w:r>
    </w:p>
    <w:p>
      <w:pPr>
        <w:pStyle w:val="Normal"/>
      </w:pPr>
      <w:r>
        <w:t>$ sudo multipath -ll</w:t>
      </w:r>
    </w:p>
    <w:p>
      <w:pPr>
        <w:pStyle w:val="Normal"/>
      </w:pPr>
      <w:r>
        <w:t>mpathb</w:t>
        <w:t xml:space="preserve"> </w:t>
        <w:t>(</w:t>
        <w:t>360014056eee8ec6e1164fcb959086482</w:t>
        <w:t>)</w:t>
        <w:t xml:space="preserve"> </w:t>
        <w:t>dm-0 LIO-ORG,lun01</w:t>
        <w:t xml:space="preserve"> </w:t>
        <w:t>size</w:t>
        <w:t>=</w:t>
        <w:t>1</w:t>
        <w:t>.0G</w:t>
        <w:t xml:space="preserve"> </w:t>
        <w:t>features</w:t>
        <w:t>=</w:t>
        <w:t>'0'</w:t>
        <w:t xml:space="preserve"> </w:t>
        <w:t>hwhandler</w:t>
        <w:t>=</w:t>
        <w:t>'1 alua'</w:t>
        <w:t xml:space="preserve"> </w:t>
        <w:t>wp</w:t>
        <w:t>=</w:t>
        <w:t>rw</w:t>
      </w:r>
    </w:p>
    <w:p>
      <w:pPr>
        <w:pStyle w:val="Para 09"/>
      </w:pPr>
      <w:r>
        <w:t>(continues on next page)</w:t>
      </w:r>
    </w:p>
    <w:p>
      <w:bookmarkStart w:id="1386" w:name="page_8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2" name="index-884_1.png" descr="index-884_1.png"/>
            <wp:cNvGraphicFramePr>
              <a:graphicFrameLocks noChangeAspect="1"/>
            </wp:cNvGraphicFramePr>
            <a:graphic>
              <a:graphicData uri="http://schemas.openxmlformats.org/drawingml/2006/picture">
                <pic:pic>
                  <pic:nvPicPr>
                    <pic:cNvPr id="0" name="index-884_1.png" descr="index-884_1.png"/>
                    <pic:cNvPicPr/>
                  </pic:nvPicPr>
                  <pic:blipFill>
                    <a:blip r:embed="rId926"/>
                    <a:stretch>
                      <a:fillRect/>
                    </a:stretch>
                  </pic:blipFill>
                  <pic:spPr>
                    <a:xfrm>
                      <a:off x="0" y="0"/>
                      <a:ext cx="914400" cy="266700"/>
                    </a:xfrm>
                    <a:prstGeom prst="rect">
                      <a:avLst/>
                    </a:prstGeom>
                  </pic:spPr>
                </pic:pic>
              </a:graphicData>
            </a:graphic>
          </wp:anchor>
        </w:drawing>
      </w:r>
      <w:bookmarkEnd w:id="1386"/>
    </w:p>
    <w:p>
      <w:pPr>
        <w:pStyle w:val="Para 09"/>
      </w:pPr>
      <w:r>
        <w:t>(continued from previous page)</w:t>
      </w:r>
    </w:p>
    <w:p>
      <w:pPr>
        <w:pStyle w:val="Normal"/>
      </w:pPr>
      <w:r>
        <w:t>|-+-</w:t>
        <w:t>policy</w:t>
        <w:t>=</w:t>
        <w:t>'service-time 0'</w:t>
        <w:t xml:space="preserve"> </w:t>
        <w:t>prio</w:t>
        <w:t>=</w:t>
        <w:t>50</w:t>
        <w:t xml:space="preserve"> </w:t>
        <w:t>status</w:t>
        <w:t>=</w:t>
        <w:t>active</w:t>
        <w:t xml:space="preserve"> </w:t>
        <w:t>|</w:t>
        <w:t xml:space="preserve"> </w:t>
        <w:t>`</w:t>
        <w:t>-</w:t>
        <w:t>7</w:t>
        <w:t>:0:0:1 sde</w:t>
        <w:t xml:space="preserve"> </w:t>
        <w:t>8</w:t>
        <w:t>:64 active ready running</w:t>
        <w:t xml:space="preserve"> </w:t>
        <w:t>`</w:t>
        <w:t>-+-</w:t>
        <w:t>policy</w:t>
        <w:t>=</w:t>
        <w:t>'service-time 0'</w:t>
        <w:t xml:space="preserve"> </w:t>
        <w:t>prio</w:t>
        <w:t>=</w:t>
        <w:t>50</w:t>
        <w:t xml:space="preserve"> </w:t>
        <w:t>status</w:t>
        <w:t>=</w:t>
        <w:t>enabled</w:t>
      </w:r>
    </w:p>
    <w:p>
      <w:pPr>
        <w:pStyle w:val="Para 03"/>
      </w:pPr>
      <w:r>
        <w:t>`</w:t>
        <w:t>-</w:t>
        <w:t>8</w:t>
        <w:t>:0:0:1 sdf</w:t>
        <w:t xml:space="preserve"> </w:t>
        <w:t>8</w:t>
        <w:t>:80 active ready running</w:t>
      </w:r>
    </w:p>
    <w:p>
      <w:pPr>
        <w:pStyle w:val="Normal"/>
      </w:pPr>
      <w:r>
        <w:t>mpatha</w:t>
        <w:t xml:space="preserve"> </w:t>
        <w:t>(</w:t>
        <w:t>36001405e3c2841430ee4bf3871b1998b</w:t>
        <w:t>)</w:t>
        <w:t xml:space="preserve"> </w:t>
        <w:t>dm-1 LIO-ORG,lun02</w:t>
        <w:t xml:space="preserve"> </w:t>
        <w:t>size</w:t>
        <w:t>=</w:t>
        <w:t>1</w:t>
        <w:t>.0G</w:t>
        <w:t xml:space="preserve"> </w:t>
        <w:t>features</w:t>
        <w:t>=</w:t>
        <w:t>'0'</w:t>
        <w:t xml:space="preserve"> </w:t>
        <w:t>hwhandler</w:t>
        <w:t>=</w:t>
        <w:t>'1 alua'</w:t>
        <w:t xml:space="preserve"> </w:t>
        <w:t>wp</w:t>
        <w:t>=</w:t>
        <w:t>rw</w:t>
        <w:t xml:space="preserve"> </w:t>
        <w:t>|-+-</w:t>
        <w:t>policy</w:t>
        <w:t>=</w:t>
        <w:t>'service-time 0'</w:t>
        <w:t xml:space="preserve"> </w:t>
        <w:t>prio</w:t>
        <w:t>=</w:t>
        <w:t>50</w:t>
        <w:t xml:space="preserve"> </w:t>
        <w:t>status</w:t>
        <w:t>=</w:t>
        <w:t>active</w:t>
        <w:t xml:space="preserve"> </w:t>
        <w:t>|</w:t>
        <w:t xml:space="preserve"> </w:t>
        <w:t>`</w:t>
        <w:t>-</w:t>
        <w:t>7</w:t>
        <w:t>:0:0:2 sdc</w:t>
        <w:t xml:space="preserve"> </w:t>
        <w:t>8</w:t>
        <w:t>:32 active ready running</w:t>
        <w:t xml:space="preserve"> </w:t>
        <w:t>`</w:t>
        <w:t>-+-</w:t>
        <w:t>policy</w:t>
        <w:t>=</w:t>
        <w:t>'service-time 0'</w:t>
        <w:t xml:space="preserve"> </w:t>
        <w:t>prio</w:t>
        <w:t>=</w:t>
        <w:t>50</w:t>
        <w:t xml:space="preserve"> </w:t>
        <w:t>status</w:t>
        <w:t>=</w:t>
        <w:t>enabled</w:t>
      </w:r>
    </w:p>
    <w:p>
      <w:pPr>
        <w:pStyle w:val="Para 03"/>
      </w:pPr>
      <w:r>
        <w:t>`</w:t>
        <w:t>-</w:t>
        <w:t>8</w:t>
        <w:t>:0:0:2 sdd</w:t>
        <w:t xml:space="preserve"> </w:t>
        <w:t>8</w:t>
        <w:t>:48 active ready running</w:t>
      </w:r>
    </w:p>
    <w:p>
      <w:pPr>
        <w:pStyle w:val="Para 17"/>
      </w:pPr>
      <w:r>
        <w:t/>
      </w:r>
    </w:p>
    <w:p>
      <w:pPr>
        <w:pStyle w:val="Normal"/>
      </w:pPr>
      <w:r>
        <w:t>Not yet! We still need to re-scan the multipath map:</w:t>
      </w:r>
    </w:p>
    <w:p>
      <w:pPr>
        <w:pStyle w:val="Normal"/>
      </w:pPr>
      <w:r>
        <w:t>$ sudo multipathd resize map mpathb</w:t>
      </w:r>
    </w:p>
    <w:p>
      <w:pPr>
        <w:pStyle w:val="Normal"/>
      </w:pPr>
      <w:r>
        <w:t>ok</w:t>
      </w:r>
    </w:p>
    <w:p>
      <w:pPr>
        <w:pStyle w:val="Para 17"/>
      </w:pPr>
      <w:r>
        <w:t/>
      </w:r>
    </w:p>
    <w:p>
      <w:pPr>
        <w:pStyle w:val="Normal"/>
      </w:pPr>
      <w:r>
        <w:t>And then we are good:</w:t>
      </w:r>
    </w:p>
    <w:p>
      <w:pPr>
        <w:pStyle w:val="Normal"/>
      </w:pPr>
      <w:r>
        <w:t>$ sudo multipath -ll</w:t>
      </w:r>
    </w:p>
    <w:p>
      <w:pPr>
        <w:pStyle w:val="Normal"/>
      </w:pPr>
      <w:r>
        <w:t>mpathb</w:t>
        <w:t xml:space="preserve"> </w:t>
        <w:t>(</w:t>
        <w:t>360014056eee8ec6e1164fcb959086482</w:t>
        <w:t>)</w:t>
        <w:t xml:space="preserve"> </w:t>
        <w:t>dm-0 LIO-ORG,lun01</w:t>
        <w:t xml:space="preserve"> </w:t>
        <w:t>size</w:t>
        <w:t>=</w:t>
        <w:t>2</w:t>
        <w:t>.0G</w:t>
        <w:t xml:space="preserve"> </w:t>
        <w:t>features</w:t>
        <w:t>=</w:t>
        <w:t>'0'</w:t>
        <w:t xml:space="preserve"> </w:t>
        <w:t>hwhandler</w:t>
        <w:t>=</w:t>
        <w:t>'1 alua'</w:t>
        <w:t xml:space="preserve"> </w:t>
        <w:t>wp</w:t>
        <w:t>=</w:t>
        <w:t>rw</w:t>
        <w:t xml:space="preserve"> </w:t>
        <w:t>|-+-</w:t>
        <w:t>policy</w:t>
        <w:t>=</w:t>
        <w:t>'service-time 0'</w:t>
        <w:t xml:space="preserve"> </w:t>
        <w:t>prio</w:t>
        <w:t>=</w:t>
        <w:t>50</w:t>
        <w:t xml:space="preserve"> </w:t>
        <w:t>status</w:t>
        <w:t>=</w:t>
        <w:t>active</w:t>
        <w:t xml:space="preserve"> </w:t>
        <w:t>|</w:t>
        <w:t xml:space="preserve"> </w:t>
        <w:t>`</w:t>
        <w:t>-</w:t>
        <w:t>7</w:t>
        <w:t>:0:0:1 sde</w:t>
        <w:t xml:space="preserve"> </w:t>
        <w:t>8</w:t>
        <w:t>:64 active ready running</w:t>
        <w:t xml:space="preserve"> </w:t>
        <w:t>.</w:t>
        <w:t>`</w:t>
        <w:t>-+-</w:t>
        <w:t>policy</w:t>
        <w:t>=</w:t>
        <w:t>'service-time 0'</w:t>
        <w:t xml:space="preserve"> </w:t>
        <w:t>prio</w:t>
        <w:t>=</w:t>
        <w:t>50</w:t>
        <w:t xml:space="preserve"> </w:t>
        <w:t>status</w:t>
        <w:t>=</w:t>
        <w:t>enabled</w:t>
      </w:r>
    </w:p>
    <w:p>
      <w:pPr>
        <w:pStyle w:val="Para 03"/>
      </w:pPr>
      <w:r>
        <w:t>`</w:t>
        <w:t>-</w:t>
        <w:t>8</w:t>
        <w:t>:0:0:1 sdf</w:t>
        <w:t xml:space="preserve"> </w:t>
        <w:t>8</w:t>
        <w:t>:80 active ready running</w:t>
      </w:r>
    </w:p>
    <w:p>
      <w:pPr>
        <w:pStyle w:val="Normal"/>
      </w:pPr>
      <w:r>
        <w:t>mpatha</w:t>
        <w:t xml:space="preserve"> </w:t>
        <w:t>(</w:t>
        <w:t>36001405e3c2841430ee4bf3871b1998b</w:t>
        <w:t>)</w:t>
        <w:t xml:space="preserve"> </w:t>
        <w:t>dm-1 LIO-ORG,lun02</w:t>
        <w:t xml:space="preserve"> </w:t>
        <w:t>size</w:t>
        <w:t>=</w:t>
        <w:t>1</w:t>
        <w:t>.0G</w:t>
        <w:t xml:space="preserve"> </w:t>
        <w:t>features</w:t>
        <w:t>=</w:t>
        <w:t>'0'</w:t>
        <w:t xml:space="preserve"> </w:t>
        <w:t>hwhandler</w:t>
        <w:t>=</w:t>
        <w:t>'1 alua'</w:t>
        <w:t xml:space="preserve"> </w:t>
        <w:t>wp</w:t>
        <w:t>=</w:t>
        <w:t>rw</w:t>
        <w:t xml:space="preserve"> </w:t>
        <w:t>|-+-</w:t>
        <w:t>policy</w:t>
        <w:t>=</w:t>
        <w:t>'service-time 0'</w:t>
        <w:t xml:space="preserve"> </w:t>
        <w:t>prio</w:t>
        <w:t>=</w:t>
        <w:t>50</w:t>
        <w:t xml:space="preserve"> </w:t>
        <w:t>status</w:t>
        <w:t>=</w:t>
        <w:t>active</w:t>
        <w:t xml:space="preserve"> </w:t>
        <w:t>|</w:t>
        <w:t xml:space="preserve"> </w:t>
        <w:t>`</w:t>
        <w:t>-</w:t>
        <w:t>7</w:t>
        <w:t>:0:0:2 sdc</w:t>
        <w:t xml:space="preserve"> </w:t>
        <w:t>8</w:t>
        <w:t>:32 active ready running</w:t>
        <w:t xml:space="preserve"> </w:t>
        <w:t>`</w:t>
        <w:t>-+-</w:t>
        <w:t>policy</w:t>
        <w:t>=</w:t>
        <w:t>'service-time 0'</w:t>
        <w:t xml:space="preserve"> </w:t>
        <w:t>prio</w:t>
        <w:t>=</w:t>
        <w:t>50</w:t>
        <w:t xml:space="preserve"> </w:t>
        <w:t>status</w:t>
        <w:t>=</w:t>
        <w:t>enabled</w:t>
      </w:r>
    </w:p>
    <w:p>
      <w:pPr>
        <w:pStyle w:val="Para 03"/>
      </w:pPr>
      <w:r>
        <w:t>`</w:t>
        <w:t>-</w:t>
        <w:t>8</w:t>
        <w:t>:0:0:2 sdd</w:t>
        <w:t xml:space="preserve"> </w:t>
        <w:t>8</w:t>
        <w:t>:48 active ready running</w:t>
      </w:r>
    </w:p>
    <w:p>
      <w:pPr>
        <w:pStyle w:val="Para 17"/>
      </w:pPr>
      <w:r>
        <w:t/>
      </w:r>
    </w:p>
    <w:p>
      <w:pPr>
        <w:pStyle w:val="Normal"/>
      </w:pPr>
      <w:r>
        <w:t xml:space="preserve">Make sure to run resize2fs /dev/mapper/mpathb to resize the </w:t>
      </w:r>
      <w:hyperlink w:anchor="page_682">
        <w:r>
          <w:rPr>
            <w:rStyle w:val="Text2"/>
          </w:rPr>
          <w:t>filesystem</w:t>
        </w:r>
      </w:hyperlink>
      <w:hyperlink w:anchor="page_682">
        <w:r>
          <w:rPr>
            <w:rStyle w:val="Text1"/>
          </w:rPr>
          <w:t>.</w:t>
        </w:r>
      </w:hyperlink>
    </w:p>
    <w:p>
      <w:pPr>
        <w:pStyle w:val="Para 17"/>
      </w:pPr>
      <w:r>
        <w:t/>
      </w:r>
    </w:p>
    <w:p>
      <w:pPr>
        <w:pStyle w:val="Para 01"/>
      </w:pPr>
      <w:r>
        <w:t>Move root file system from a single path device to a multipath device</w:t>
      </w:r>
    </w:p>
    <w:p>
      <w:pPr>
        <w:pStyle w:val="Para 17"/>
      </w:pPr>
      <w:r>
        <w:t/>
      </w:r>
    </w:p>
    <w:p>
      <w:pPr>
        <w:pStyle w:val="Normal"/>
      </w:pPr>
      <w:r>
        <w:t>This is greatly simplified by the use of UUIDs to identify devices with an intrinsic label. To do this, install multipath-tools-boot and reboot your system. This will rebuild the initial RAM disk and afford multipath the opportunity to build its paths before the root filesystem is mounted by UUID.</w:t>
      </w:r>
    </w:p>
    <w:p>
      <w:pPr>
        <w:pStyle w:val="Para 08"/>
      </w:pPr>
      <w:r>
        <w:t>Note:</w:t>
      </w:r>
    </w:p>
    <w:p>
      <w:pPr>
        <w:pStyle w:val="Para 03"/>
      </w:pPr>
      <w:r>
        <w:t>Whenever multipath.conf is updated, initrd should be updated as well by running: update-</w:t>
      </w:r>
    </w:p>
    <w:p>
      <w:pPr>
        <w:pStyle w:val="Para 03"/>
      </w:pPr>
      <w:r>
        <w:t>initramfs -u -k all The reason for this is that multipath.conf is copied to the RAM disk,</w:t>
      </w:r>
    </w:p>
    <w:p>
      <w:pPr>
        <w:pStyle w:val="Para 03"/>
      </w:pPr>
      <w:r>
        <w:t>and is integral to determining the available devices to map via its denylistand devices</w:t>
      </w:r>
    </w:p>
    <w:p>
      <w:pPr>
        <w:pStyle w:val="Para 03"/>
      </w:pPr>
      <w:r>
        <w:t>sections.</w:t>
      </w:r>
    </w:p>
    <w:p>
      <w:bookmarkStart w:id="1387" w:name="page_8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3" name="index-885_1.png" descr="index-885_1.png"/>
            <wp:cNvGraphicFramePr>
              <a:graphicFrameLocks noChangeAspect="1"/>
            </wp:cNvGraphicFramePr>
            <a:graphic>
              <a:graphicData uri="http://schemas.openxmlformats.org/drawingml/2006/picture">
                <pic:pic>
                  <pic:nvPicPr>
                    <pic:cNvPr id="0" name="index-885_1.png" descr="index-885_1.png"/>
                    <pic:cNvPicPr/>
                  </pic:nvPicPr>
                  <pic:blipFill>
                    <a:blip r:embed="rId927"/>
                    <a:stretch>
                      <a:fillRect/>
                    </a:stretch>
                  </pic:blipFill>
                  <pic:spPr>
                    <a:xfrm>
                      <a:off x="0" y="0"/>
                      <a:ext cx="914400" cy="266700"/>
                    </a:xfrm>
                    <a:prstGeom prst="rect">
                      <a:avLst/>
                    </a:prstGeom>
                  </pic:spPr>
                </pic:pic>
              </a:graphicData>
            </a:graphic>
          </wp:anchor>
        </w:drawing>
      </w:r>
      <w:bookmarkEnd w:id="1387"/>
    </w:p>
    <w:p>
      <w:pPr>
        <w:pStyle w:val="Para 01"/>
      </w:pPr>
      <w:r>
        <w:t>The multipathd daemon</w:t>
      </w:r>
    </w:p>
    <w:p>
      <w:pPr>
        <w:pStyle w:val="Para 17"/>
      </w:pPr>
      <w:r>
        <w:t/>
      </w:r>
    </w:p>
    <w:p>
      <w:pPr>
        <w:pStyle w:val="Normal"/>
      </w:pPr>
      <w:r>
        <w:t>If you have trouble implementing a multipath configuration, you should ensure the multipath</w:t>
      </w:r>
    </w:p>
    <w:p>
      <w:pPr>
        <w:pStyle w:val="Normal"/>
      </w:pPr>
      <w:r>
        <w:t xml:space="preserve">daemon is running as described in </w:t>
      </w:r>
      <w:hyperlink w:anchor="page_874">
        <w:r>
          <w:rPr>
            <w:rStyle w:val="Text2"/>
          </w:rPr>
          <w:t>the example configuration page</w:t>
        </w:r>
      </w:hyperlink>
      <w:r>
        <w:t xml:space="preserve"> (page 873). The multipathd daemon must be running in order to use multipath devices.</w:t>
      </w:r>
    </w:p>
    <w:p>
      <w:pPr>
        <w:pStyle w:val="Para 17"/>
      </w:pPr>
      <w:r>
        <w:t/>
      </w:r>
    </w:p>
    <w:p>
      <w:pPr>
        <w:pStyle w:val="Para 01"/>
      </w:pPr>
      <w:r>
        <w:t>Multipath command output</w:t>
      </w:r>
    </w:p>
    <w:p>
      <w:pPr>
        <w:pStyle w:val="Para 17"/>
      </w:pPr>
      <w:r>
        <w:t/>
      </w:r>
    </w:p>
    <w:p>
      <w:pPr>
        <w:pStyle w:val="Normal"/>
      </w:pPr>
      <w:r>
        <w:t>When you create, modify, or list a multipath device, you get a printout of the current device setup. The format is as follows for each multipath device:</w:t>
      </w:r>
    </w:p>
    <w:p>
      <w:pPr>
        <w:pStyle w:val="Normal"/>
      </w:pPr>
      <w:r>
        <w:t>action_if_any: alias (wwid_if_different_from_alias) dm_device_name_if_known vendor,product</w:t>
      </w:r>
    </w:p>
    <w:p>
      <w:pPr>
        <w:pStyle w:val="Para 02"/>
      </w:pPr>
      <w:r>
        <w:t>size=size features='features' hwhandler='hardware_handler' wp=write_permission_if_known</w:t>
      </w:r>
    </w:p>
    <w:p>
      <w:pPr>
        <w:pStyle w:val="Para 17"/>
      </w:pPr>
      <w:r>
        <w:t/>
      </w:r>
    </w:p>
    <w:p>
      <w:pPr>
        <w:pStyle w:val="Normal"/>
      </w:pPr>
      <w:r>
        <w:t>For each path group:</w:t>
      </w:r>
    </w:p>
    <w:p>
      <w:pPr>
        <w:pStyle w:val="Para 03"/>
      </w:pPr>
      <w:r>
        <w:t>-+- policy='scheduling_policy' prio=prio_if_known</w:t>
      </w:r>
    </w:p>
    <w:p>
      <w:pPr>
        <w:pStyle w:val="Para 03"/>
      </w:pPr>
      <w:r>
        <w:t>status=path_group_status_if_known</w:t>
      </w:r>
    </w:p>
    <w:p>
      <w:pPr>
        <w:pStyle w:val="Para 17"/>
      </w:pPr>
      <w:r>
        <w:t/>
      </w:r>
    </w:p>
    <w:p>
      <w:pPr>
        <w:pStyle w:val="Normal"/>
      </w:pPr>
      <w:r>
        <w:t>For each path:</w:t>
      </w:r>
    </w:p>
    <w:p>
      <w:pPr>
        <w:pStyle w:val="Para 02"/>
      </w:pPr>
      <w:r>
        <w:t>`- host:channel:id:lun devnode major:minor dm_status_if_known path_status</w:t>
      </w:r>
    </w:p>
    <w:p>
      <w:pPr>
        <w:pStyle w:val="Para 03"/>
      </w:pPr>
      <w:r>
        <w:t>online_status</w:t>
      </w:r>
    </w:p>
    <w:p>
      <w:pPr>
        <w:pStyle w:val="Para 17"/>
      </w:pPr>
      <w:r>
        <w:t/>
      </w:r>
    </w:p>
    <w:p>
      <w:pPr>
        <w:pStyle w:val="Normal"/>
      </w:pPr>
      <w:r>
        <w:t>For example, the output of a multipath command might appear as follows:</w:t>
      </w:r>
    </w:p>
    <w:p>
      <w:pPr>
        <w:pStyle w:val="Normal"/>
      </w:pPr>
      <w:r>
        <w:t>mpathb (360014056eee8ec6e1164fcb959086482) dm-0 LIO-ORG,lun01</w:t>
        <w:t xml:space="preserve"> </w:t>
        <w:t>size=2.0G features='0' hwhandler='1 alua' wp=rw</w:t>
      </w:r>
    </w:p>
    <w:p>
      <w:pPr>
        <w:pStyle w:val="Normal"/>
      </w:pPr>
      <w:r>
        <w:t>|-+- policy='service-time 0' prio=50 status=active</w:t>
      </w:r>
    </w:p>
    <w:p>
      <w:pPr>
        <w:pStyle w:val="Normal"/>
      </w:pPr>
      <w:r>
        <w:t>| `- 7:0:0:1 sde 8:64 active ready running</w:t>
      </w:r>
    </w:p>
    <w:p>
      <w:pPr>
        <w:pStyle w:val="Normal"/>
      </w:pPr>
      <w:r>
        <w:t>`-+- policy='service-time 0' prio=50 status=enabled</w:t>
      </w:r>
    </w:p>
    <w:p>
      <w:pPr>
        <w:pStyle w:val="Para 03"/>
      </w:pPr>
      <w:r>
        <w:t>`- 8:0:0:1 sdf 8:80 active ready running</w:t>
      </w:r>
    </w:p>
    <w:p>
      <w:pPr>
        <w:pStyle w:val="Para 17"/>
      </w:pPr>
      <w:r>
        <w:t/>
      </w:r>
    </w:p>
    <w:p>
      <w:pPr>
        <w:pStyle w:val="Normal"/>
      </w:pPr>
      <w:r>
        <w:t xml:space="preserve">If the path is up and ready for I/O, the status of the path is ready or ghost. If the path is down, the status is faulty or shaky. The path status is updated periodically by the multipathd daemon based on the </w:t>
      </w:r>
      <w:r>
        <w:rPr>
          <w:rStyle w:val="Text0"/>
        </w:rPr>
        <w:t>polling interval</w:t>
      </w:r>
      <w:r>
        <w:t xml:space="preserve"> defined in the /etc/multipath.conf file.</w:t>
      </w:r>
    </w:p>
    <w:p>
      <w:pPr>
        <w:pStyle w:val="Normal"/>
      </w:pPr>
      <w:r>
        <w:t xml:space="preserve">The dm_status is similar to the path status, but from the kernel’s point of view. The dm_status has two states: </w:t>
      </w:r>
      <w:r>
        <w:rPr>
          <w:rStyle w:val="Text0"/>
        </w:rPr>
        <w:t>failed</w:t>
      </w:r>
      <w:r>
        <w:t xml:space="preserve">, which is analogous to faulty, and </w:t>
      </w:r>
      <w:r>
        <w:rPr>
          <w:rStyle w:val="Text0"/>
        </w:rPr>
        <w:t>active</w:t>
      </w:r>
      <w:r>
        <w:t>, which covers all other path states. Occasionally, the path state and the dm state of a device will temporary not agree.</w:t>
      </w:r>
    </w:p>
    <w:p>
      <w:pPr>
        <w:pStyle w:val="Normal"/>
      </w:pPr>
      <w:r>
        <w:t xml:space="preserve">The possible values for online_status are </w:t>
      </w:r>
      <w:r>
        <w:rPr>
          <w:rStyle w:val="Text0"/>
        </w:rPr>
        <w:t>running</w:t>
      </w:r>
      <w:r>
        <w:t xml:space="preserve"> and </w:t>
      </w:r>
      <w:r>
        <w:rPr>
          <w:rStyle w:val="Text0"/>
        </w:rPr>
        <w:t>offline</w:t>
      </w:r>
      <w:r>
        <w:t>. A status of offline means that the SCSI device has been disabled.</w:t>
      </w:r>
    </w:p>
    <w:p>
      <w:bookmarkStart w:id="1388" w:name="calibre_pb_251"/>
      <w:pPr>
        <w:pStyle w:val="0 Block"/>
      </w:pPr>
      <w:bookmarkEnd w:id="1388"/>
    </w:p>
    <w:p>
      <w:bookmarkStart w:id="1389" w:name="Top_of_index_split_252_html"/>
      <w:bookmarkStart w:id="1390" w:name="page_8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4" name="index-886_1.png" descr="index-886_1.png"/>
            <wp:cNvGraphicFramePr>
              <a:graphicFrameLocks noChangeAspect="1"/>
            </wp:cNvGraphicFramePr>
            <a:graphic>
              <a:graphicData uri="http://schemas.openxmlformats.org/drawingml/2006/picture">
                <pic:pic>
                  <pic:nvPicPr>
                    <pic:cNvPr id="0" name="index-886_1.png" descr="index-886_1.png"/>
                    <pic:cNvPicPr/>
                  </pic:nvPicPr>
                  <pic:blipFill>
                    <a:blip r:embed="rId928"/>
                    <a:stretch>
                      <a:fillRect/>
                    </a:stretch>
                  </pic:blipFill>
                  <pic:spPr>
                    <a:xfrm>
                      <a:off x="0" y="0"/>
                      <a:ext cx="914400" cy="266700"/>
                    </a:xfrm>
                    <a:prstGeom prst="rect">
                      <a:avLst/>
                    </a:prstGeom>
                  </pic:spPr>
                </pic:pic>
              </a:graphicData>
            </a:graphic>
          </wp:anchor>
        </w:drawing>
      </w:r>
      <w:bookmarkEnd w:id="1389"/>
      <w:bookmarkEnd w:id="1390"/>
    </w:p>
    <w:p>
      <w:pPr>
        <w:pStyle w:val="Para 01"/>
      </w:pPr>
      <w:r>
        <w:t>Multipath queries with the multipath command</w:t>
      </w:r>
    </w:p>
    <w:p>
      <w:pPr>
        <w:pStyle w:val="Para 17"/>
      </w:pPr>
      <w:r>
        <w:t/>
      </w:r>
    </w:p>
    <w:p>
      <w:pPr>
        <w:pStyle w:val="Normal"/>
      </w:pPr>
      <w:r>
        <w:t>You can use the-l and-ll options of the multipath command to display the current multi-path configuration.</w:t>
      </w:r>
    </w:p>
    <w:p>
      <w:pPr>
        <w:pStyle w:val="Para 04"/>
      </w:pPr>
      <w:r>
        <w:t>•</w:t>
      </w:r>
      <w:r>
        <w:rPr>
          <w:rStyle w:val="Text0"/>
        </w:rPr>
        <w:t>-l</w:t>
      </w:r>
      <w:r>
        <w:t xml:space="preserve"> : Displays multipath topology gathered from information in sysfs and the device</w:t>
      </w:r>
    </w:p>
    <w:p>
      <w:pPr>
        <w:pStyle w:val="Para 02"/>
      </w:pPr>
      <w:r>
        <w:t>mapper</w:t>
      </w:r>
    </w:p>
    <w:p>
      <w:pPr>
        <w:pStyle w:val="Para 04"/>
      </w:pPr>
      <w:r>
        <w:t>•</w:t>
      </w:r>
      <w:r>
        <w:rPr>
          <w:rStyle w:val="Text0"/>
        </w:rPr>
        <w:t>-ll</w:t>
      </w:r>
      <w:r>
        <w:t xml:space="preserve"> : Displays the information the-l displays in addition to all other available compo-</w:t>
      </w:r>
    </w:p>
    <w:p>
      <w:pPr>
        <w:pStyle w:val="Para 02"/>
      </w:pPr>
      <w:r>
        <w:t>nents of the system</w:t>
      </w:r>
    </w:p>
    <w:p>
      <w:pPr>
        <w:pStyle w:val="Normal"/>
      </w:pPr>
      <w:r>
        <w:t>When displaying the multipath configuration, there are three verbosity levels you can specify with the-v option of the multipath command:</w:t>
      </w:r>
    </w:p>
    <w:p>
      <w:pPr>
        <w:pStyle w:val="Para 04"/>
      </w:pPr>
      <w:r>
        <w:t>•</w:t>
      </w:r>
      <w:r>
        <w:rPr>
          <w:rStyle w:val="Text0"/>
        </w:rPr>
        <w:t>-v0</w:t>
      </w:r>
      <w:r>
        <w:t xml:space="preserve"> : Yields no output</w:t>
      </w:r>
    </w:p>
    <w:p>
      <w:pPr>
        <w:pStyle w:val="Para 04"/>
      </w:pPr>
      <w:r>
        <w:t>•</w:t>
      </w:r>
      <w:r>
        <w:rPr>
          <w:rStyle w:val="Text0"/>
        </w:rPr>
        <w:t>-v1</w:t>
      </w:r>
      <w:r>
        <w:t xml:space="preserve"> : Outputs only the created or updated multipath names, which you can then feed</w:t>
      </w:r>
    </w:p>
    <w:p>
      <w:pPr>
        <w:pStyle w:val="Para 02"/>
      </w:pPr>
      <w:r>
        <w:t>to other tools such as kpartx</w:t>
      </w:r>
    </w:p>
    <w:p>
      <w:pPr>
        <w:pStyle w:val="Para 04"/>
      </w:pPr>
      <w:r>
        <w:t>•</w:t>
      </w:r>
      <w:r>
        <w:rPr>
          <w:rStyle w:val="Text0"/>
        </w:rPr>
        <w:t>-v2</w:t>
      </w:r>
      <w:r>
        <w:t xml:space="preserve"> : Prints all detected paths, multipaths, and device maps</w:t>
      </w:r>
    </w:p>
    <w:p>
      <w:pPr>
        <w:pStyle w:val="Para 08"/>
      </w:pPr>
      <w:r>
        <w:t>Note:</w:t>
      </w:r>
    </w:p>
    <w:p>
      <w:pPr>
        <w:pStyle w:val="Para 03"/>
      </w:pPr>
      <w:r>
        <w:t>The default verbosity level of multipath is 2 and can be globally modified by defining the</w:t>
      </w:r>
    </w:p>
    <w:p>
      <w:pPr>
        <w:pStyle w:val="Para 03"/>
      </w:pPr>
      <w:r>
        <w:t>verbosity attribute in the defaults section of multipath.conf</w:t>
      </w:r>
    </w:p>
    <w:p>
      <w:pPr>
        <w:pStyle w:val="Para 17"/>
      </w:pPr>
      <w:r>
        <w:t/>
      </w:r>
    </w:p>
    <w:p>
      <w:pPr>
        <w:pStyle w:val="Normal"/>
      </w:pPr>
      <w:r>
        <w:t>The following example shows the output of a sudo multipath -l command:</w:t>
      </w:r>
    </w:p>
    <w:p>
      <w:pPr>
        <w:pStyle w:val="Normal"/>
      </w:pPr>
      <w:r>
        <w:t>mpathb (360014056eee8ec6e1164fcb959086482) dm-0 LIO-ORG,lun01</w:t>
        <w:t xml:space="preserve"> </w:t>
        <w:t>size=2.0G features='0' hwhandler='1 alua' wp=rw</w:t>
      </w:r>
    </w:p>
    <w:p>
      <w:pPr>
        <w:pStyle w:val="Normal"/>
      </w:pPr>
      <w:r>
        <w:t>|-+- policy='service-time 0' prio=0 status=active</w:t>
      </w:r>
    </w:p>
    <w:p>
      <w:pPr>
        <w:pStyle w:val="Normal"/>
      </w:pPr>
      <w:r>
        <w:t>| `- 7:0:0:1 sde 8:64 active undef running</w:t>
      </w:r>
    </w:p>
    <w:p>
      <w:pPr>
        <w:pStyle w:val="Normal"/>
      </w:pPr>
      <w:r>
        <w:t>`-+- policy='service-time 0' prio=0 status=enabled</w:t>
      </w:r>
    </w:p>
    <w:p>
      <w:pPr>
        <w:pStyle w:val="Para 03"/>
      </w:pPr>
      <w:r>
        <w:t>`- 8:0:0:1 sdf 8:80 active undef running</w:t>
      </w:r>
    </w:p>
    <w:p>
      <w:pPr>
        <w:pStyle w:val="Normal"/>
      </w:pPr>
      <w:r>
        <w:t>mpatha (36001405e3c2841430ee4bf3871b1998b) dm-1 LIO-ORG,lun02</w:t>
        <w:t xml:space="preserve"> </w:t>
        <w:t>size=1.0G features='0' hwhandler='1 alua' wp=rw</w:t>
      </w:r>
    </w:p>
    <w:p>
      <w:pPr>
        <w:pStyle w:val="Normal"/>
      </w:pPr>
      <w:r>
        <w:t>|-+- policy='service-time 0' prio=0 status=active</w:t>
      </w:r>
    </w:p>
    <w:p>
      <w:pPr>
        <w:pStyle w:val="Normal"/>
      </w:pPr>
      <w:r>
        <w:t>| `- 7:0:0:2 sdc 8:32 active undef running</w:t>
      </w:r>
    </w:p>
    <w:p>
      <w:pPr>
        <w:pStyle w:val="Normal"/>
      </w:pPr>
      <w:r>
        <w:t>`-+- policy='service-time 0' prio=0 status=enabled</w:t>
      </w:r>
    </w:p>
    <w:p>
      <w:pPr>
        <w:pStyle w:val="Para 03"/>
      </w:pPr>
      <w:r>
        <w:t>`- 8:0:0:2 sdd 8:48 active undef running</w:t>
      </w:r>
    </w:p>
    <w:p>
      <w:pPr>
        <w:pStyle w:val="Para 17"/>
      </w:pPr>
      <w:r>
        <w:t/>
      </w:r>
    </w:p>
    <w:p>
      <w:pPr>
        <w:pStyle w:val="Para 01"/>
      </w:pPr>
      <w:r>
        <w:t>Determining device mapper entries with dmsetup</w:t>
      </w:r>
    </w:p>
    <w:p>
      <w:pPr>
        <w:pStyle w:val="Para 17"/>
      </w:pPr>
      <w:r>
        <w:t/>
      </w:r>
    </w:p>
    <w:p>
      <w:pPr>
        <w:pStyle w:val="Normal"/>
      </w:pPr>
      <w:r>
        <w:t xml:space="preserve">You can use the dmsetup command to find out which device mapper entries match the mul-tipathed devices. The following command displays all the device mapper devices and their major and minor numbers. The minor numbers determine the name of the </w:t>
      </w:r>
      <w:r>
        <w:rPr>
          <w:rStyle w:val="Text0"/>
        </w:rPr>
        <w:t>dm</w:t>
      </w:r>
      <w:r>
        <w:t xml:space="preserve"> device. For example, a minor number of 1 corresponds to the multipathd device /dev/dm-1.</w:t>
      </w:r>
    </w:p>
    <w:p>
      <w:pPr>
        <w:pStyle w:val="Normal"/>
      </w:pPr>
      <w:r>
        <w:t>$ sudo dmsetup ls</w:t>
      </w:r>
    </w:p>
    <w:p>
      <w:pPr>
        <w:pStyle w:val="Normal"/>
      </w:pPr>
      <w:r>
        <w:t>mpathb</w:t>
        <w:t xml:space="preserve"> </w:t>
        <w:t>(</w:t>
        <w:t>253</w:t>
        <w:t>:0</w:t>
        <w:t>)</w:t>
      </w:r>
    </w:p>
    <w:p>
      <w:pPr>
        <w:pStyle w:val="Normal"/>
      </w:pPr>
      <w:r>
        <w:t>mpatha</w:t>
        <w:t xml:space="preserve"> </w:t>
        <w:t>(</w:t>
        <w:t>253</w:t>
        <w:t>:1</w:t>
        <w:t>)</w:t>
      </w:r>
    </w:p>
    <w:p>
      <w:pPr>
        <w:pStyle w:val="Normal"/>
      </w:pPr>
      <w:r>
        <w:t>$ ls -lahd /dev/dm*</w:t>
      </w:r>
    </w:p>
    <w:p>
      <w:pPr>
        <w:pStyle w:val="Normal"/>
      </w:pPr>
      <w:r>
        <w:t>brw-rw----</w:t>
        <w:t>1</w:t>
        <w:t xml:space="preserve"> </w:t>
        <w:t>root disk</w:t>
        <w:t xml:space="preserve"> </w:t>
        <w:t>253</w:t>
        <w:t>,</w:t>
        <w:t xml:space="preserve"> </w:t>
        <w:t>0</w:t>
        <w:t xml:space="preserve"> </w:t>
        <w:t>Apr</w:t>
        <w:t xml:space="preserve"> </w:t>
        <w:t>27 14</w:t>
        <w:t>:49 /dev/dm-0</w:t>
        <w:t xml:space="preserve"> </w:t>
        <w:t>brw-rw----</w:t>
        <w:t>1</w:t>
        <w:t xml:space="preserve"> </w:t>
        <w:t>root disk</w:t>
        <w:t xml:space="preserve"> </w:t>
        <w:t>253</w:t>
        <w:t>,</w:t>
        <w:t xml:space="preserve"> </w:t>
        <w:t>1</w:t>
        <w:t xml:space="preserve"> </w:t>
        <w:t>Apr</w:t>
        <w:t xml:space="preserve"> </w:t>
        <w:t>27 14</w:t>
        <w:t>:47 /dev/dm-1</w:t>
      </w:r>
    </w:p>
    <w:p>
      <w:bookmarkStart w:id="1391" w:name="page_8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5" name="index-887_1.png" descr="index-887_1.png"/>
            <wp:cNvGraphicFramePr>
              <a:graphicFrameLocks noChangeAspect="1"/>
            </wp:cNvGraphicFramePr>
            <a:graphic>
              <a:graphicData uri="http://schemas.openxmlformats.org/drawingml/2006/picture">
                <pic:pic>
                  <pic:nvPicPr>
                    <pic:cNvPr id="0" name="index-887_1.png" descr="index-887_1.png"/>
                    <pic:cNvPicPr/>
                  </pic:nvPicPr>
                  <pic:blipFill>
                    <a:blip r:embed="rId929"/>
                    <a:stretch>
                      <a:fillRect/>
                    </a:stretch>
                  </pic:blipFill>
                  <pic:spPr>
                    <a:xfrm>
                      <a:off x="0" y="0"/>
                      <a:ext cx="914400" cy="266700"/>
                    </a:xfrm>
                    <a:prstGeom prst="rect">
                      <a:avLst/>
                    </a:prstGeom>
                  </pic:spPr>
                </pic:pic>
              </a:graphicData>
            </a:graphic>
          </wp:anchor>
        </w:drawing>
      </w:r>
      <w:bookmarkEnd w:id="1391"/>
    </w:p>
    <w:p>
      <w:pPr>
        <w:pStyle w:val="Para 01"/>
      </w:pPr>
      <w:r>
        <w:t>Troubleshooting with the multipathd interactive console</w:t>
      </w:r>
    </w:p>
    <w:p>
      <w:pPr>
        <w:pStyle w:val="Para 17"/>
      </w:pPr>
      <w:r>
        <w:t/>
      </w:r>
    </w:p>
    <w:p>
      <w:pPr>
        <w:pStyle w:val="Normal"/>
      </w:pPr>
      <w:r>
        <w:t>The multipathd -k command is an interactive interface to the multipathd daemon. Running this command brings up an interactive multipath console where you can enter help to get a list of available commands, you can enter an interactive command, or you can enter Ctrl+D to quit.</w:t>
      </w:r>
    </w:p>
    <w:p>
      <w:pPr>
        <w:pStyle w:val="Normal"/>
      </w:pPr>
      <w:r>
        <w:t>The multipathd interactive console can be used to troubleshoot problems with your system. For example, the following command sequence displays the multipath configuration, includ-ing the defaults, before exiting the console.</w:t>
      </w:r>
    </w:p>
    <w:p>
      <w:pPr>
        <w:pStyle w:val="Normal"/>
      </w:pPr>
      <w:r>
        <w:t>$ sudo multipathd -k</w:t>
      </w:r>
    </w:p>
    <w:p>
      <w:pPr>
        <w:pStyle w:val="Para 03"/>
      </w:pPr>
      <w:r>
        <w:t>&gt; show config</w:t>
      </w:r>
    </w:p>
    <w:p>
      <w:pPr>
        <w:pStyle w:val="Para 03"/>
      </w:pPr>
      <w:r>
        <w:t>&gt; CTRL-D</w:t>
      </w:r>
    </w:p>
    <w:p>
      <w:pPr>
        <w:pStyle w:val="Para 17"/>
      </w:pPr>
      <w:r>
        <w:t/>
      </w:r>
    </w:p>
    <w:p>
      <w:pPr>
        <w:pStyle w:val="Normal"/>
      </w:pPr>
      <w:r>
        <w:t>The following command sequence ensures that multipath has picked up any changes to the multipath.conf:</w:t>
      </w:r>
    </w:p>
    <w:p>
      <w:pPr>
        <w:pStyle w:val="Normal"/>
      </w:pPr>
      <w:r>
        <w:t>$ sudo multipathd -k</w:t>
      </w:r>
    </w:p>
    <w:p>
      <w:pPr>
        <w:pStyle w:val="Normal"/>
      </w:pPr>
      <w:r>
        <w:t>&gt; reconfigure</w:t>
      </w:r>
    </w:p>
    <w:p>
      <w:pPr>
        <w:pStyle w:val="Normal"/>
      </w:pPr>
      <w:r>
        <w:t>&gt; CTRL-D</w:t>
      </w:r>
    </w:p>
    <w:p>
      <w:pPr>
        <w:pStyle w:val="Para 17"/>
      </w:pPr>
      <w:r>
        <w:t/>
      </w:r>
    </w:p>
    <w:p>
      <w:pPr>
        <w:pStyle w:val="Normal"/>
      </w:pPr>
      <w:r>
        <w:t>Use the following command sequence to ensure that the path checker is working properly:</w:t>
      </w:r>
    </w:p>
    <w:p>
      <w:pPr>
        <w:pStyle w:val="Normal"/>
      </w:pPr>
      <w:r>
        <w:t>$ sudo multipathd -k</w:t>
      </w:r>
    </w:p>
    <w:p>
      <w:pPr>
        <w:pStyle w:val="Normal"/>
      </w:pPr>
      <w:r>
        <w:t>&gt; show paths</w:t>
      </w:r>
    </w:p>
    <w:p>
      <w:pPr>
        <w:pStyle w:val="Normal"/>
      </w:pPr>
      <w:r>
        <w:t>&gt; CTRL-D</w:t>
      </w:r>
    </w:p>
    <w:p>
      <w:pPr>
        <w:pStyle w:val="Para 17"/>
      </w:pPr>
      <w:r>
        <w:t/>
      </w:r>
    </w:p>
    <w:p>
      <w:pPr>
        <w:pStyle w:val="Normal"/>
      </w:pPr>
      <w:r>
        <w:t>Commands can also be streamed into multipathd using STDIN like so:</w:t>
      </w:r>
    </w:p>
    <w:p>
      <w:pPr>
        <w:pStyle w:val="Normal"/>
      </w:pPr>
      <w:r>
        <w:t>$</w:t>
        <w:t xml:space="preserve"> </w:t>
        <w:t>echo</w:t>
        <w:t xml:space="preserve"> </w:t>
        <w:t>'show config'</w:t>
        <w:t xml:space="preserve"> </w:t>
        <w:t>| sudo multipathd -k</w:t>
      </w:r>
    </w:p>
    <w:p>
      <w:pPr>
        <w:pStyle w:val="Para 17"/>
      </w:pPr>
      <w:r>
        <w:t/>
      </w:r>
    </w:p>
    <w:p>
      <w:pPr>
        <w:pStyle w:val="Para 01"/>
      </w:pPr>
      <w:r>
        <w:t>See also</w:t>
      </w:r>
    </w:p>
    <w:p>
      <w:pPr>
        <w:pStyle w:val="Para 17"/>
      </w:pPr>
      <w:r>
        <w:t/>
      </w:r>
    </w:p>
    <w:p>
      <w:pPr>
        <w:pStyle w:val="Para 04"/>
      </w:pPr>
      <w:r>
        <w:t xml:space="preserve">• How-to: </w:t>
      </w:r>
      <w:hyperlink w:anchor="page_372">
        <w:r>
          <w:rPr>
            <w:rStyle w:val="Text2"/>
          </w:rPr>
          <w:t>Data and storage</w:t>
        </w:r>
      </w:hyperlink>
      <w:r>
        <w:t xml:space="preserve"> (page 371)</w:t>
      </w:r>
    </w:p>
    <w:p>
      <w:pPr>
        <w:pStyle w:val="Para 04"/>
      </w:pPr>
      <w:r>
        <w:t xml:space="preserve">• Our </w:t>
      </w:r>
      <w:hyperlink w:anchor="page_437">
        <w:r>
          <w:rPr>
            <w:rStyle w:val="Text2"/>
          </w:rPr>
          <w:t>Backup section</w:t>
        </w:r>
      </w:hyperlink>
      <w:r>
        <w:t xml:space="preserve"> (page 436) discusses various backup strategies to protect your data</w:t>
      </w:r>
    </w:p>
    <w:p>
      <w:pPr>
        <w:pStyle w:val="Para 24"/>
      </w:pPr>
      <w:r>
        <w:t>3.4.5. Web services</w:t>
      </w:r>
    </w:p>
    <w:p>
      <w:pPr>
        <w:pStyle w:val="Normal"/>
      </w:pPr>
      <w:r>
        <w:t xml:space="preserve">Our </w:t>
      </w:r>
      <w:hyperlink w:anchor="page_887">
        <w:r>
          <w:rPr>
            <w:rStyle w:val="Text2"/>
          </w:rPr>
          <w:t>Web services</w:t>
        </w:r>
      </w:hyperlink>
      <w:r>
        <w:t xml:space="preserve"> (page 886) section includes details about web servers and how they work, as well as related topics like Squid proxy servers.</w:t>
      </w:r>
    </w:p>
    <w:p>
      <w:pPr>
        <w:pStyle w:val="Para 17"/>
      </w:pPr>
      <w:r>
        <w:t/>
      </w:r>
    </w:p>
    <w:p>
      <w:pPr>
        <w:pStyle w:val="Para 01"/>
      </w:pPr>
      <w:r>
        <w:t>Web services</w:t>
      </w:r>
    </w:p>
    <w:p>
      <w:pPr>
        <w:pStyle w:val="Para 17"/>
      </w:pPr>
      <w:r>
        <w:t/>
      </w:r>
    </w:p>
    <w:p>
      <w:pPr>
        <w:pStyle w:val="Normal"/>
      </w:pPr>
      <w:r>
        <w:t>Web servers are used to serve web pages when requested by client computers.</w:t>
      </w:r>
    </w:p>
    <w:p>
      <w:bookmarkStart w:id="1392" w:name="calibre_pb_252"/>
      <w:pPr>
        <w:pStyle w:val="0 Block"/>
      </w:pPr>
      <w:bookmarkEnd w:id="1392"/>
    </w:p>
    <w:p>
      <w:bookmarkStart w:id="1393" w:name="Top_of_index_split_253_html"/>
      <w:bookmarkStart w:id="1394" w:name="page_88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6" name="index-888_1.png" descr="index-888_1.png"/>
            <wp:cNvGraphicFramePr>
              <a:graphicFrameLocks noChangeAspect="1"/>
            </wp:cNvGraphicFramePr>
            <a:graphic>
              <a:graphicData uri="http://schemas.openxmlformats.org/drawingml/2006/picture">
                <pic:pic>
                  <pic:nvPicPr>
                    <pic:cNvPr id="0" name="index-888_1.png" descr="index-888_1.png"/>
                    <pic:cNvPicPr/>
                  </pic:nvPicPr>
                  <pic:blipFill>
                    <a:blip r:embed="rId930"/>
                    <a:stretch>
                      <a:fillRect/>
                    </a:stretch>
                  </pic:blipFill>
                  <pic:spPr>
                    <a:xfrm>
                      <a:off x="0" y="0"/>
                      <a:ext cx="914400" cy="266700"/>
                    </a:xfrm>
                    <a:prstGeom prst="rect">
                      <a:avLst/>
                    </a:prstGeom>
                  </pic:spPr>
                </pic:pic>
              </a:graphicData>
            </a:graphic>
          </wp:anchor>
        </w:drawing>
      </w:r>
      <w:bookmarkEnd w:id="1393"/>
      <w:bookmarkEnd w:id="1394"/>
    </w:p>
    <w:p>
      <w:pPr>
        <w:pStyle w:val="Para 01"/>
      </w:pPr>
      <w:r>
        <w:t>Introduction</w:t>
      </w:r>
    </w:p>
    <w:p>
      <w:pPr>
        <w:pStyle w:val="Para 17"/>
      </w:pPr>
      <w:r>
        <w:t/>
      </w:r>
    </w:p>
    <w:p>
      <w:pPr>
        <w:pStyle w:val="Para 01"/>
      </w:pPr>
      <w:r>
        <w:t>Introduction to web services</w:t>
      </w:r>
    </w:p>
    <w:p>
      <w:pPr>
        <w:pStyle w:val="Para 17"/>
      </w:pPr>
      <w:r>
        <w:t/>
      </w:r>
    </w:p>
    <w:p>
      <w:pPr>
        <w:pStyle w:val="Normal"/>
      </w:pPr>
      <w:r>
        <w:t>Web servers are used to serve web pages requested by client computers. Clients typically re-quest and view web pages using web browser applications such as Firefox, Opera, Chromium, or Internet Explorer.</w:t>
      </w:r>
    </w:p>
    <w:p>
      <w:pPr>
        <w:pStyle w:val="Normal"/>
      </w:pPr>
      <w:r>
        <w:t xml:space="preserve">If you’re new to web servers, see this page for more information </w:t>
      </w:r>
      <w:hyperlink w:anchor="page_889">
        <w:r>
          <w:rPr>
            <w:rStyle w:val="Text2"/>
          </w:rPr>
          <w:t>on the key concepts</w:t>
        </w:r>
      </w:hyperlink>
      <w:r>
        <w:t xml:space="preserve"> (page 888).</w:t>
      </w:r>
    </w:p>
    <w:p>
      <w:pPr>
        <w:pStyle w:val="Para 17"/>
      </w:pPr>
      <w:r>
        <w:t/>
      </w:r>
    </w:p>
    <w:p>
      <w:pPr>
        <w:pStyle w:val="Para 01"/>
      </w:pPr>
      <w:r>
        <w:t>Squid proxy server</w:t>
      </w:r>
    </w:p>
    <w:p>
      <w:pPr>
        <w:pStyle w:val="Para 17"/>
      </w:pPr>
      <w:r>
        <w:t/>
      </w:r>
    </w:p>
    <w:p>
      <w:pPr>
        <w:pStyle w:val="Normal"/>
      </w:pPr>
      <w:r>
        <w:t>Squid is a popular, open-source, proxy caching server that can help optimize network effi-ciency and improve response times by saving local copies of frequently accessed content.</w:t>
      </w:r>
    </w:p>
    <w:p>
      <w:pPr>
        <w:pStyle w:val="Normal"/>
      </w:pPr>
      <w:r>
        <w:t xml:space="preserve">Read more </w:t>
      </w:r>
      <w:hyperlink w:anchor="page_890">
        <w:r>
          <w:rPr>
            <w:rStyle w:val="Text2"/>
          </w:rPr>
          <w:t>about Squid proxy servers</w:t>
        </w:r>
      </w:hyperlink>
      <w:r>
        <w:t xml:space="preserve"> (page 889) and what they can do, or find out </w:t>
      </w:r>
      <w:hyperlink w:anchor="page_494">
        <w:r>
          <w:rPr>
            <w:rStyle w:val="Text2"/>
          </w:rPr>
          <w:t>how to</w:t>
        </w:r>
      </w:hyperlink>
    </w:p>
    <w:p>
      <w:pPr>
        <w:pStyle w:val="Para 20"/>
      </w:pPr>
      <w:hyperlink w:anchor="page_494">
        <w:r>
          <w:t>install a Squid server</w:t>
        </w:r>
      </w:hyperlink>
      <w:r>
        <w:rPr>
          <w:rStyle w:val="Text4"/>
        </w:rPr>
        <w:t xml:space="preserve"> (page 493).</w:t>
      </w:r>
    </w:p>
    <w:p>
      <w:pPr>
        <w:pStyle w:val="Para 17"/>
      </w:pPr>
      <w:r>
        <w:t/>
      </w:r>
    </w:p>
    <w:p>
      <w:pPr>
        <w:pStyle w:val="Para 01"/>
      </w:pPr>
      <w:r>
        <w:t>Web servers</w:t>
      </w:r>
    </w:p>
    <w:p>
      <w:pPr>
        <w:pStyle w:val="Para 17"/>
      </w:pPr>
      <w:r>
        <w:t/>
      </w:r>
    </w:p>
    <w:p>
      <w:pPr>
        <w:pStyle w:val="Normal"/>
      </w:pPr>
      <w:r>
        <w:t>Apache is a widely used web server on Linux systems, and the current version is Apache2. It is robust, reliable, and highly configurable. This set of guides will show you:</w:t>
      </w:r>
    </w:p>
    <w:p>
      <w:pPr>
        <w:pStyle w:val="Para 14"/>
      </w:pPr>
      <w:r>
        <w:rPr>
          <w:rStyle w:val="Text4"/>
        </w:rPr>
        <w:t xml:space="preserve">• </w:t>
      </w:r>
      <w:hyperlink w:anchor="page_498">
        <w:r>
          <w:t>How to install and configure Apache2</w:t>
        </w:r>
      </w:hyperlink>
      <w:r>
        <w:rPr>
          <w:rStyle w:val="Text4"/>
        </w:rPr>
        <w:t xml:space="preserve"> (page 497)</w:t>
      </w:r>
    </w:p>
    <w:p>
      <w:pPr>
        <w:pStyle w:val="Para 14"/>
      </w:pPr>
      <w:r>
        <w:rPr>
          <w:rStyle w:val="Text4"/>
        </w:rPr>
        <w:t xml:space="preserve">• </w:t>
      </w:r>
      <w:hyperlink w:anchor="page_500">
        <w:r>
          <w:t>How to configure Apache2 for your needs</w:t>
        </w:r>
      </w:hyperlink>
      <w:r>
        <w:rPr>
          <w:rStyle w:val="Text4"/>
        </w:rPr>
        <w:t xml:space="preserve"> (page 499)</w:t>
      </w:r>
    </w:p>
    <w:p>
      <w:pPr>
        <w:pStyle w:val="Para 14"/>
      </w:pPr>
      <w:r>
        <w:rPr>
          <w:rStyle w:val="Text4"/>
        </w:rPr>
        <w:t xml:space="preserve">• </w:t>
      </w:r>
      <w:hyperlink w:anchor="page_506">
        <w:r>
          <w:t>How to extend Apache2’s functionality with modules</w:t>
        </w:r>
      </w:hyperlink>
      <w:r>
        <w:rPr>
          <w:rStyle w:val="Text4"/>
        </w:rPr>
        <w:t xml:space="preserve"> (page 505)</w:t>
      </w:r>
    </w:p>
    <w:p>
      <w:pPr>
        <w:pStyle w:val="Normal"/>
      </w:pPr>
      <w:r>
        <w:t>Nginx is a popular alternative web server also widely used on Linux, with a focus on static file serving performance, ease of configuration, and use as both a web server and reverse proxy server.</w:t>
      </w:r>
    </w:p>
    <w:p>
      <w:pPr>
        <w:pStyle w:val="Para 14"/>
      </w:pPr>
      <w:r>
        <w:rPr>
          <w:rStyle w:val="Text4"/>
        </w:rPr>
        <w:t xml:space="preserve">• </w:t>
      </w:r>
      <w:hyperlink w:anchor="page_508">
        <w:r>
          <w:t>How to install Nginx</w:t>
        </w:r>
      </w:hyperlink>
      <w:r>
        <w:rPr>
          <w:rStyle w:val="Text4"/>
        </w:rPr>
        <w:t xml:space="preserve"> (page 507)</w:t>
      </w:r>
    </w:p>
    <w:p>
      <w:pPr>
        <w:pStyle w:val="Para 14"/>
      </w:pPr>
      <w:r>
        <w:rPr>
          <w:rStyle w:val="Text4"/>
        </w:rPr>
        <w:t xml:space="preserve">• </w:t>
      </w:r>
      <w:hyperlink w:anchor="page_510">
        <w:r>
          <w:t>How to configure Nginx</w:t>
        </w:r>
      </w:hyperlink>
      <w:r>
        <w:rPr>
          <w:rStyle w:val="Text4"/>
        </w:rPr>
        <w:t xml:space="preserve"> (page 509)</w:t>
      </w:r>
    </w:p>
    <w:p>
      <w:pPr>
        <w:pStyle w:val="Para 14"/>
      </w:pPr>
      <w:r>
        <w:rPr>
          <w:rStyle w:val="Text4"/>
        </w:rPr>
        <w:t xml:space="preserve">• </w:t>
      </w:r>
      <w:hyperlink w:anchor="page_513">
        <w:r>
          <w:t>How to use Nginx modules</w:t>
        </w:r>
      </w:hyperlink>
      <w:r>
        <w:rPr>
          <w:rStyle w:val="Text4"/>
        </w:rPr>
        <w:t xml:space="preserve"> (page 512)</w:t>
      </w:r>
    </w:p>
    <w:p>
      <w:pPr>
        <w:pStyle w:val="Para 17"/>
      </w:pPr>
      <w:r>
        <w:t/>
      </w:r>
    </w:p>
    <w:p>
      <w:pPr>
        <w:pStyle w:val="Para 01"/>
      </w:pPr>
      <w:r>
        <w:t>Database server</w:t>
      </w:r>
    </w:p>
    <w:p>
      <w:pPr>
        <w:pStyle w:val="Para 17"/>
      </w:pPr>
      <w:r>
        <w:t/>
      </w:r>
    </w:p>
    <w:p>
      <w:pPr>
        <w:pStyle w:val="Normal"/>
      </w:pPr>
      <w:r>
        <w:t>The database server, when included in the LAMP stack (Linux + Apache + MySQL + PHP/Per-l/Python), allows data for web applications to be stored and managed. MySQL is one of the most popular open source Relational Database Management Systems (RDBMS) available, and</w:t>
      </w:r>
    </w:p>
    <w:p>
      <w:pPr>
        <w:pStyle w:val="Normal"/>
      </w:pPr>
      <w:r>
        <w:t xml:space="preserve">you can find out in this guide </w:t>
      </w:r>
      <w:hyperlink w:anchor="page_412">
        <w:r>
          <w:rPr>
            <w:rStyle w:val="Text2"/>
          </w:rPr>
          <w:t>how to install MySQL</w:t>
        </w:r>
      </w:hyperlink>
      <w:r>
        <w:t xml:space="preserve"> (page 411) – or </w:t>
      </w:r>
      <w:hyperlink w:anchor="page_420">
        <w:r>
          <w:rPr>
            <w:rStyle w:val="Text2"/>
          </w:rPr>
          <w:t>PostgreSQL</w:t>
        </w:r>
      </w:hyperlink>
      <w:r>
        <w:t xml:space="preserve"> (page 419), as another popular alternative.</w:t>
      </w:r>
    </w:p>
    <w:p>
      <w:bookmarkStart w:id="1395" w:name="calibre_pb_253"/>
      <w:pPr>
        <w:pStyle w:val="0 Block"/>
      </w:pPr>
      <w:bookmarkEnd w:id="1395"/>
    </w:p>
    <w:p>
      <w:bookmarkStart w:id="1396" w:name="page_889"/>
      <w:bookmarkStart w:id="1397" w:name="Top_of_index_split_25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7" name="index-889_1.png" descr="index-889_1.png"/>
            <wp:cNvGraphicFramePr>
              <a:graphicFrameLocks noChangeAspect="1"/>
            </wp:cNvGraphicFramePr>
            <a:graphic>
              <a:graphicData uri="http://schemas.openxmlformats.org/drawingml/2006/picture">
                <pic:pic>
                  <pic:nvPicPr>
                    <pic:cNvPr id="0" name="index-889_1.png" descr="index-889_1.png"/>
                    <pic:cNvPicPr/>
                  </pic:nvPicPr>
                  <pic:blipFill>
                    <a:blip r:embed="rId931"/>
                    <a:stretch>
                      <a:fillRect/>
                    </a:stretch>
                  </pic:blipFill>
                  <pic:spPr>
                    <a:xfrm>
                      <a:off x="0" y="0"/>
                      <a:ext cx="914400" cy="266700"/>
                    </a:xfrm>
                    <a:prstGeom prst="rect">
                      <a:avLst/>
                    </a:prstGeom>
                  </pic:spPr>
                </pic:pic>
              </a:graphicData>
            </a:graphic>
          </wp:anchor>
        </w:drawing>
      </w:r>
      <w:bookmarkEnd w:id="1396"/>
      <w:bookmarkEnd w:id="1397"/>
    </w:p>
    <w:p>
      <w:pPr>
        <w:pStyle w:val="Para 01"/>
      </w:pPr>
      <w:r>
        <w:t>Scripting languages</w:t>
      </w:r>
    </w:p>
    <w:p>
      <w:pPr>
        <w:pStyle w:val="Para 17"/>
      </w:pPr>
      <w:r>
        <w:t/>
      </w:r>
    </w:p>
    <w:p>
      <w:pPr>
        <w:pStyle w:val="Normal"/>
      </w:pPr>
      <w:r>
        <w:t>Server-side scripting languages allow for the creation of dynamic web content, processing of web forms, and interacting with databases (amongst other crucial tasks). PHP is often used,</w:t>
      </w:r>
    </w:p>
    <w:p>
      <w:pPr>
        <w:pStyle w:val="Normal"/>
      </w:pPr>
      <w:r>
        <w:t xml:space="preserve">and we can show you </w:t>
      </w:r>
      <w:hyperlink w:anchor="page_516">
        <w:r>
          <w:rPr>
            <w:rStyle w:val="Text2"/>
          </w:rPr>
          <w:t>how to install PHP</w:t>
        </w:r>
      </w:hyperlink>
      <w:r>
        <w:t xml:space="preserve"> (page 515), or if you prefer, we can show you </w:t>
      </w:r>
      <w:hyperlink w:anchor="page_517">
        <w:r>
          <w:rPr>
            <w:rStyle w:val="Text2"/>
          </w:rPr>
          <w:t>how to</w:t>
        </w:r>
      </w:hyperlink>
    </w:p>
    <w:p>
      <w:pPr>
        <w:pStyle w:val="Para 20"/>
      </w:pPr>
      <w:hyperlink w:anchor="page_517">
        <w:r>
          <w:t>install Ruby on Rails</w:t>
        </w:r>
      </w:hyperlink>
      <w:r>
        <w:rPr>
          <w:rStyle w:val="Text4"/>
        </w:rPr>
        <w:t xml:space="preserve"> (page 516).</w:t>
      </w:r>
    </w:p>
    <w:p>
      <w:pPr>
        <w:pStyle w:val="Normal"/>
      </w:pPr>
      <w:r>
        <w:t>Whichever scripting language you choose, you will need to have installed and configured your web and database servers beforehand.</w:t>
      </w:r>
    </w:p>
    <w:p>
      <w:pPr>
        <w:pStyle w:val="Para 17"/>
      </w:pPr>
      <w:r>
        <w:t/>
      </w:r>
    </w:p>
    <w:p>
      <w:pPr>
        <w:pStyle w:val="Para 01"/>
      </w:pPr>
      <w:r>
        <w:t>Key concepts</w:t>
      </w:r>
    </w:p>
    <w:p>
      <w:pPr>
        <w:pStyle w:val="Para 17"/>
      </w:pPr>
      <w:r>
        <w:t/>
      </w:r>
    </w:p>
    <w:p>
      <w:pPr>
        <w:pStyle w:val="Para 01"/>
      </w:pPr>
      <w:r>
        <w:t>About web servers</w:t>
      </w:r>
    </w:p>
    <w:p>
      <w:pPr>
        <w:pStyle w:val="Para 17"/>
      </w:pPr>
      <w:r>
        <w:t/>
      </w:r>
    </w:p>
    <w:p>
      <w:pPr>
        <w:pStyle w:val="Normal"/>
      </w:pPr>
      <w:r>
        <w:t xml:space="preserve">The primary function of a </w:t>
      </w:r>
      <w:r>
        <w:rPr>
          <w:rStyle w:val="Text0"/>
        </w:rPr>
        <w:t>web server</w:t>
      </w:r>
      <w:r>
        <w:t xml:space="preserve"> is to store, process and deliver </w:t>
      </w:r>
      <w:r>
        <w:rPr>
          <w:rStyle w:val="Text0"/>
        </w:rPr>
        <w:t>web pages</w:t>
      </w:r>
      <w:r>
        <w:t xml:space="preserve"> to clients. The clients communicate with the server by sending HTTP requests.</w:t>
      </w:r>
    </w:p>
    <w:p>
      <w:pPr>
        <w:pStyle w:val="Normal"/>
      </w:pPr>
      <w:r>
        <w:t xml:space="preserve">Clients, mostly via </w:t>
      </w:r>
      <w:r>
        <w:rPr>
          <w:rStyle w:val="Text0"/>
        </w:rPr>
        <w:t>web browsers</w:t>
      </w:r>
      <w:r>
        <w:t>, request specific resources and the server responds with the content of that resource (or an error message). The response is usually a web page in the form of HTML documents – which may include images, style sheets, scripts, and text.</w:t>
      </w:r>
    </w:p>
    <w:p>
      <w:pPr>
        <w:pStyle w:val="Para 17"/>
      </w:pPr>
      <w:r>
        <w:t/>
      </w:r>
    </w:p>
    <w:p>
      <w:pPr>
        <w:pStyle w:val="Para 01"/>
      </w:pPr>
      <w:r>
        <w:t>URLs</w:t>
      </w:r>
    </w:p>
    <w:p>
      <w:pPr>
        <w:pStyle w:val="Para 17"/>
      </w:pPr>
      <w:r>
        <w:t/>
      </w:r>
    </w:p>
    <w:p>
      <w:pPr>
        <w:pStyle w:val="Normal"/>
      </w:pPr>
      <w:r>
        <w:t xml:space="preserve">Users enter a Uniform Resource Locator (URL) to point to a web server by means of its </w:t>
      </w:r>
      <w:hyperlink w:anchor="page_683">
        <w:r>
          <w:rPr>
            <w:rStyle w:val="Text2"/>
          </w:rPr>
          <w:t>Fully</w:t>
        </w:r>
      </w:hyperlink>
    </w:p>
    <w:p>
      <w:pPr>
        <w:pStyle w:val="Normal"/>
      </w:pPr>
      <w:hyperlink w:anchor="page_683">
        <w:r>
          <w:rPr>
            <w:rStyle w:val="Text2"/>
          </w:rPr>
          <w:t>Qualified Domain Name (FQDN)</w:t>
        </w:r>
      </w:hyperlink>
      <w:r>
        <w:t xml:space="preserve"> and a path to the required resource. For example, to view the</w:t>
      </w:r>
    </w:p>
    <w:p>
      <w:pPr>
        <w:pStyle w:val="Normal"/>
      </w:pPr>
      <w:r>
        <w:t xml:space="preserve">home page of the </w:t>
      </w:r>
      <w:hyperlink w:anchor="page_889">
        <w:r>
          <w:rPr>
            <w:rStyle w:val="Text9"/>
          </w:rPr>
          <w:t>920</w:t>
        </w:r>
      </w:hyperlink>
      <w:r>
        <w:t xml:space="preserve"> </w:t>
      </w:r>
      <w:hyperlink r:id="rId1753">
        <w:r>
          <w:rPr>
            <w:rStyle w:val="Text1"/>
          </w:rPr>
          <w:t>Ubuntu Web site</w:t>
        </w:r>
      </w:hyperlink>
      <w:r>
        <w:t xml:space="preserve"> a user will enter only the FQDN:</w:t>
      </w:r>
    </w:p>
    <w:p>
      <w:pPr>
        <w:pStyle w:val="Normal"/>
      </w:pPr>
      <w:r>
        <w:t>www.ubuntu.com</w:t>
      </w:r>
    </w:p>
    <w:p>
      <w:pPr>
        <w:pStyle w:val="Para 17"/>
      </w:pPr>
      <w:r>
        <w:t/>
      </w:r>
    </w:p>
    <w:p>
      <w:pPr>
        <w:pStyle w:val="Normal"/>
      </w:pPr>
      <w:r>
        <w:t xml:space="preserve">To view the </w:t>
      </w:r>
      <w:hyperlink w:anchor="page_889">
        <w:r>
          <w:rPr>
            <w:rStyle w:val="Text9"/>
          </w:rPr>
          <w:t>921</w:t>
        </w:r>
      </w:hyperlink>
      <w:r>
        <w:t xml:space="preserve"> </w:t>
      </w:r>
      <w:hyperlink r:id="rId1754">
        <w:r>
          <w:rPr>
            <w:rStyle w:val="Text1"/>
          </w:rPr>
          <w:t>community</w:t>
        </w:r>
      </w:hyperlink>
      <w:r>
        <w:t xml:space="preserve"> sub-page, a user will enter the FQDN followed by a path:</w:t>
      </w:r>
    </w:p>
    <w:p>
      <w:pPr>
        <w:pStyle w:val="Normal"/>
      </w:pPr>
      <w:r>
        <w:t>www.ubuntu.com/community</w:t>
      </w:r>
    </w:p>
    <w:p>
      <w:pPr>
        <w:pStyle w:val="Para 17"/>
      </w:pPr>
      <w:r>
        <w:t/>
      </w:r>
    </w:p>
    <w:p>
      <w:pPr>
        <w:pStyle w:val="Para 01"/>
      </w:pPr>
      <w:r>
        <w:t>Transfer protocols</w:t>
      </w:r>
    </w:p>
    <w:p>
      <w:pPr>
        <w:pStyle w:val="Para 17"/>
      </w:pPr>
      <w:r>
        <w:t/>
      </w:r>
    </w:p>
    <w:p>
      <w:pPr>
        <w:pStyle w:val="Normal"/>
      </w:pPr>
      <w:r>
        <w:t>The most common protocol used to transfer web pages is the Hyper Text Transfer Protocol (HTTP). Protocols such as Hyper Text Transfer Protocol over Secure Sockets Layer (HTTPS), and File Transfer Protocol (FTP), a protocol for uploading and downloading files, are also supported.</w:t>
      </w:r>
    </w:p>
    <w:p>
      <w:pPr>
        <w:pStyle w:val="Para 05"/>
      </w:pPr>
      <w:r>
        <w:rPr>
          <w:rStyle w:val="Text5"/>
        </w:rPr>
        <w:t>920</w:t>
      </w:r>
      <w:r>
        <w:rPr>
          <w:rStyle w:val="Text8"/>
        </w:rPr>
        <w:t xml:space="preserve"> </w:t>
      </w:r>
      <w:r>
        <w:t>https://ubuntu.com/</w:t>
      </w:r>
    </w:p>
    <w:p>
      <w:pPr>
        <w:pStyle w:val="Para 05"/>
      </w:pPr>
      <w:r>
        <w:rPr>
          <w:rStyle w:val="Text5"/>
        </w:rPr>
        <w:t>921</w:t>
      </w:r>
      <w:r>
        <w:rPr>
          <w:rStyle w:val="Text8"/>
        </w:rPr>
        <w:t xml:space="preserve"> </w:t>
      </w:r>
      <w:r>
        <w:t>https://ubuntu.com/community</w:t>
      </w:r>
    </w:p>
    <w:p>
      <w:bookmarkStart w:id="1398" w:name="calibre_pb_254"/>
      <w:pPr>
        <w:pStyle w:val="0 Block"/>
      </w:pPr>
      <w:bookmarkEnd w:id="1398"/>
    </w:p>
    <w:p>
      <w:bookmarkStart w:id="1399" w:name="page_890"/>
      <w:bookmarkStart w:id="1400" w:name="Top_of_index_split_25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8" name="index-890_1.png" descr="index-890_1.png"/>
            <wp:cNvGraphicFramePr>
              <a:graphicFrameLocks noChangeAspect="1"/>
            </wp:cNvGraphicFramePr>
            <a:graphic>
              <a:graphicData uri="http://schemas.openxmlformats.org/drawingml/2006/picture">
                <pic:pic>
                  <pic:nvPicPr>
                    <pic:cNvPr id="0" name="index-890_1.png" descr="index-890_1.png"/>
                    <pic:cNvPicPr/>
                  </pic:nvPicPr>
                  <pic:blipFill>
                    <a:blip r:embed="rId932"/>
                    <a:stretch>
                      <a:fillRect/>
                    </a:stretch>
                  </pic:blipFill>
                  <pic:spPr>
                    <a:xfrm>
                      <a:off x="0" y="0"/>
                      <a:ext cx="914400" cy="266700"/>
                    </a:xfrm>
                    <a:prstGeom prst="rect">
                      <a:avLst/>
                    </a:prstGeom>
                  </pic:spPr>
                </pic:pic>
              </a:graphicData>
            </a:graphic>
          </wp:anchor>
        </w:drawing>
      </w:r>
      <w:bookmarkEnd w:id="1399"/>
      <w:bookmarkEnd w:id="1400"/>
    </w:p>
    <w:p>
      <w:pPr>
        <w:pStyle w:val="Para 01"/>
      </w:pPr>
      <w:r>
        <w:t>HTTP status codes</w:t>
      </w:r>
    </w:p>
    <w:p>
      <w:pPr>
        <w:pStyle w:val="Para 17"/>
      </w:pPr>
      <w:r>
        <w:t/>
      </w:r>
    </w:p>
    <w:p>
      <w:pPr>
        <w:pStyle w:val="Normal"/>
      </w:pPr>
      <w:r>
        <w:t>When accessing a web server, every HTTP request received is responded to with content and a HTTP status code. HTTP status codes are three-digit codes, which are grouped into five different classes. The class of a status code can be quickly identified by its first digit:</w:t>
      </w:r>
    </w:p>
    <w:p>
      <w:pPr>
        <w:pStyle w:val="Para 04"/>
      </w:pPr>
      <w:r>
        <w:t xml:space="preserve">• </w:t>
      </w:r>
      <w:r>
        <w:rPr>
          <w:rStyle w:val="Text0"/>
        </w:rPr>
        <w:t>1xx</w:t>
      </w:r>
      <w:r>
        <w:t xml:space="preserve"> : </w:t>
      </w:r>
      <w:r>
        <w:rPr>
          <w:rStyle w:val="Text3"/>
        </w:rPr>
        <w:t>Informational</w:t>
      </w:r>
      <w:r>
        <w:t>- Request received, continuing process</w:t>
      </w:r>
    </w:p>
    <w:p>
      <w:pPr>
        <w:pStyle w:val="Para 04"/>
      </w:pPr>
      <w:r>
        <w:t xml:space="preserve">• </w:t>
      </w:r>
      <w:r>
        <w:rPr>
          <w:rStyle w:val="Text0"/>
        </w:rPr>
        <w:t>2xx</w:t>
      </w:r>
      <w:r>
        <w:t xml:space="preserve"> : </w:t>
      </w:r>
      <w:r>
        <w:rPr>
          <w:rStyle w:val="Text3"/>
        </w:rPr>
        <w:t>Success</w:t>
      </w:r>
      <w:r>
        <w:t>- The action was successfully received, understood, and accepted</w:t>
      </w:r>
    </w:p>
    <w:p>
      <w:pPr>
        <w:pStyle w:val="Para 04"/>
      </w:pPr>
      <w:r>
        <w:t xml:space="preserve">• </w:t>
      </w:r>
      <w:r>
        <w:rPr>
          <w:rStyle w:val="Text0"/>
        </w:rPr>
        <w:t>3xx</w:t>
      </w:r>
      <w:r>
        <w:t xml:space="preserve"> : </w:t>
      </w:r>
      <w:r>
        <w:rPr>
          <w:rStyle w:val="Text3"/>
        </w:rPr>
        <w:t>Redirection</w:t>
      </w:r>
      <w:r>
        <w:t>- Further action must be taken in order to complete the request</w:t>
      </w:r>
    </w:p>
    <w:p>
      <w:pPr>
        <w:pStyle w:val="Para 04"/>
      </w:pPr>
      <w:r>
        <w:t xml:space="preserve">• </w:t>
      </w:r>
      <w:r>
        <w:rPr>
          <w:rStyle w:val="Text0"/>
        </w:rPr>
        <w:t>4xx</w:t>
      </w:r>
      <w:r>
        <w:t xml:space="preserve"> : </w:t>
      </w:r>
      <w:r>
        <w:rPr>
          <w:rStyle w:val="Text3"/>
        </w:rPr>
        <w:t>Client Error</w:t>
      </w:r>
      <w:r>
        <w:t>- The request contains bad syntax or cannot be fulfilled</w:t>
      </w:r>
    </w:p>
    <w:p>
      <w:pPr>
        <w:pStyle w:val="Para 04"/>
      </w:pPr>
      <w:r>
        <w:t xml:space="preserve">• </w:t>
      </w:r>
      <w:r>
        <w:rPr>
          <w:rStyle w:val="Text0"/>
        </w:rPr>
        <w:t>5xx</w:t>
      </w:r>
      <w:r>
        <w:t xml:space="preserve"> : </w:t>
      </w:r>
      <w:r>
        <w:rPr>
          <w:rStyle w:val="Text3"/>
        </w:rPr>
        <w:t>Server Error</w:t>
      </w:r>
      <w:r>
        <w:t>- The server failed to fulfill an apparently valid request</w:t>
      </w:r>
    </w:p>
    <w:p>
      <w:pPr>
        <w:pStyle w:val="Normal"/>
      </w:pPr>
      <w:r>
        <w:t xml:space="preserve">For more information about status codes, </w:t>
      </w:r>
      <w:hyperlink r:id="rId1755">
        <w:r>
          <w:rPr>
            <w:rStyle w:val="Text9"/>
          </w:rPr>
          <w:t>922</w:t>
        </w:r>
      </w:hyperlink>
      <w:hyperlink r:id="rId1755">
        <w:r>
          <w:rPr>
            <w:rStyle w:val="Text1"/>
          </w:rPr>
          <w:t xml:space="preserve"> check the RFC 2616</w:t>
        </w:r>
      </w:hyperlink>
      <w:r>
        <w:t>.</w:t>
      </w:r>
    </w:p>
    <w:p>
      <w:pPr>
        <w:pStyle w:val="Para 17"/>
      </w:pPr>
      <w:r>
        <w:t/>
      </w:r>
    </w:p>
    <w:p>
      <w:pPr>
        <w:pStyle w:val="Para 01"/>
      </w:pPr>
      <w:r>
        <w:t>Implementation</w:t>
      </w:r>
    </w:p>
    <w:p>
      <w:pPr>
        <w:pStyle w:val="Para 17"/>
      </w:pPr>
      <w:r>
        <w:t/>
      </w:r>
    </w:p>
    <w:p>
      <w:pPr>
        <w:pStyle w:val="Normal"/>
      </w:pPr>
      <w:r>
        <w:t>Web servers are heavily used in the deployment of websites, and there are two different implementations:</w:t>
      </w:r>
    </w:p>
    <w:p>
      <w:pPr>
        <w:pStyle w:val="Para 04"/>
      </w:pPr>
      <w:r>
        <w:t xml:space="preserve">• </w:t>
      </w:r>
      <w:r>
        <w:rPr>
          <w:rStyle w:val="Text0"/>
        </w:rPr>
        <w:t>Static web server</w:t>
      </w:r>
      <w:r>
        <w:t>: The content of the server’s response will be the hosted files “as-is”.</w:t>
      </w:r>
    </w:p>
    <w:p>
      <w:pPr>
        <w:pStyle w:val="Para 04"/>
      </w:pPr>
      <w:r>
        <w:t xml:space="preserve">• </w:t>
      </w:r>
      <w:r>
        <w:rPr>
          <w:rStyle w:val="Text0"/>
        </w:rPr>
        <w:t>Dynamic web server</w:t>
      </w:r>
      <w:r>
        <w:t xml:space="preserve">: Consists of a web server plus additional software (usually an </w:t>
      </w:r>
      <w:r>
        <w:rPr>
          <w:rStyle w:val="Text3"/>
        </w:rPr>
        <w:t>ap-</w:t>
      </w:r>
    </w:p>
    <w:p>
      <w:pPr>
        <w:pStyle w:val="Para 07"/>
      </w:pPr>
      <w:r>
        <w:t>plication server</w:t>
      </w:r>
      <w:r>
        <w:rPr>
          <w:rStyle w:val="Text3"/>
        </w:rPr>
        <w:t xml:space="preserve"> and a </w:t>
      </w:r>
      <w:r>
        <w:t>database</w:t>
      </w:r>
      <w:r>
        <w:rPr>
          <w:rStyle w:val="Text3"/>
        </w:rPr>
        <w:t>).</w:t>
      </w:r>
    </w:p>
    <w:p>
      <w:pPr>
        <w:pStyle w:val="Para 02"/>
      </w:pPr>
      <w:r>
        <w:t>For example, to produce the web pages you see in your web browser, the application server might fill an HTML template with contents from a database. We can therefore say that the content of the server’s response is generated dynamically.</w:t>
      </w:r>
    </w:p>
    <w:p>
      <w:pPr>
        <w:pStyle w:val="Para 17"/>
      </w:pPr>
      <w:r>
        <w:t/>
      </w:r>
    </w:p>
    <w:p>
      <w:pPr>
        <w:pStyle w:val="Para 01"/>
      </w:pPr>
      <w:r>
        <w:t>About Squid proxy servers</w:t>
      </w:r>
    </w:p>
    <w:p>
      <w:pPr>
        <w:pStyle w:val="Para 17"/>
      </w:pPr>
      <w:r>
        <w:t/>
      </w:r>
    </w:p>
    <w:p>
      <w:pPr>
        <w:pStyle w:val="Normal"/>
      </w:pPr>
      <w:hyperlink r:id="rId1415">
        <w:r>
          <w:rPr>
            <w:rStyle w:val="Text1"/>
          </w:rPr>
          <w:t>Squid</w:t>
        </w:r>
      </w:hyperlink>
      <w:hyperlink r:id="rId1415">
        <w:r>
          <w:rPr>
            <w:rStyle w:val="Text9"/>
          </w:rPr>
          <w:t>923</w:t>
        </w:r>
      </w:hyperlink>
      <w:r>
        <w:t xml:space="preserve"> is a proxy caching server. It provides proxy and cache services for Hyper Text Trans-port Protocol (HTTP), File Transfer Protocol (FTP), and other popular network protocols. It acts as an intermediary between web servers and clients, storing content from the web and then providing a local copy for fast access, which improves network performance. It can also filter web traffic, helping to improve security.</w:t>
      </w:r>
    </w:p>
    <w:p>
      <w:pPr>
        <w:pStyle w:val="Normal"/>
      </w:pPr>
      <w:r>
        <w:t>The Squid proxy cache server scales from the branch office to enterprise level networks. It provides extensive, granular access controls, and monitoring of critical parameters via the Simple Network Management Protocol (SNMP).</w:t>
      </w:r>
    </w:p>
    <w:p>
      <w:pPr>
        <w:pStyle w:val="Para 05"/>
      </w:pPr>
      <w:r>
        <w:rPr>
          <w:rStyle w:val="Text5"/>
        </w:rPr>
        <w:t>922</w:t>
      </w:r>
      <w:r>
        <w:rPr>
          <w:rStyle w:val="Text8"/>
        </w:rPr>
        <w:t xml:space="preserve"> </w:t>
      </w:r>
      <w:r>
        <w:t>https://www.w3.org/Protocols/rfc2616/rfc2616-sec6.html#sec6.1.1</w:t>
      </w:r>
    </w:p>
    <w:p>
      <w:pPr>
        <w:pStyle w:val="Para 05"/>
      </w:pPr>
      <w:r>
        <w:rPr>
          <w:rStyle w:val="Text5"/>
        </w:rPr>
        <w:t>923</w:t>
      </w:r>
      <w:r>
        <w:rPr>
          <w:rStyle w:val="Text8"/>
        </w:rPr>
        <w:t xml:space="preserve"> </w:t>
      </w:r>
      <w:r>
        <w:t>http://www.squid-cache.org/</w:t>
      </w:r>
    </w:p>
    <w:p>
      <w:bookmarkStart w:id="1401" w:name="calibre_pb_255"/>
      <w:pPr>
        <w:pStyle w:val="0 Block"/>
      </w:pPr>
      <w:bookmarkEnd w:id="1401"/>
    </w:p>
    <w:p>
      <w:bookmarkStart w:id="1402" w:name="Top_of_index_split_256_html"/>
      <w:bookmarkStart w:id="1403" w:name="page_89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29" name="index-891_1.png" descr="index-891_1.png"/>
            <wp:cNvGraphicFramePr>
              <a:graphicFrameLocks noChangeAspect="1"/>
            </wp:cNvGraphicFramePr>
            <a:graphic>
              <a:graphicData uri="http://schemas.openxmlformats.org/drawingml/2006/picture">
                <pic:pic>
                  <pic:nvPicPr>
                    <pic:cNvPr id="0" name="index-891_1.png" descr="index-891_1.png"/>
                    <pic:cNvPicPr/>
                  </pic:nvPicPr>
                  <pic:blipFill>
                    <a:blip r:embed="rId933"/>
                    <a:stretch>
                      <a:fillRect/>
                    </a:stretch>
                  </pic:blipFill>
                  <pic:spPr>
                    <a:xfrm>
                      <a:off x="0" y="0"/>
                      <a:ext cx="914400" cy="266700"/>
                    </a:xfrm>
                    <a:prstGeom prst="rect">
                      <a:avLst/>
                    </a:prstGeom>
                  </pic:spPr>
                </pic:pic>
              </a:graphicData>
            </a:graphic>
          </wp:anchor>
        </w:drawing>
      </w:r>
      <w:bookmarkEnd w:id="1402"/>
      <w:bookmarkEnd w:id="1403"/>
    </w:p>
    <w:p>
      <w:pPr>
        <w:pStyle w:val="Para 01"/>
      </w:pPr>
      <w:r>
        <w:t>Caching</w:t>
      </w:r>
    </w:p>
    <w:p>
      <w:pPr>
        <w:pStyle w:val="Para 17"/>
      </w:pPr>
      <w:r>
        <w:t/>
      </w:r>
    </w:p>
    <w:p>
      <w:pPr>
        <w:pStyle w:val="Normal"/>
      </w:pPr>
      <w:r>
        <w:t>Squid improves network performance by storing frequently accessed web content locally. When a client requests content, Squid retrieves it from the origin server and caches a copy. Subsequent requests for the same content are served from the cache, eliminating redundant network traffic and reducing latency.</w:t>
      </w:r>
    </w:p>
    <w:p>
      <w:pPr>
        <w:pStyle w:val="Normal"/>
      </w:pPr>
      <w:r>
        <w:t>Besides HTTP and FTP, Squid can implement caching and proxying of Secure Sockets Layer</w:t>
      </w:r>
    </w:p>
    <w:p>
      <w:pPr>
        <w:pStyle w:val="Normal"/>
      </w:pPr>
      <w:r>
        <w:t xml:space="preserve">(SSL) requests and caching of Domain Name Server </w:t>
      </w:r>
      <w:hyperlink w:anchor="page_679">
        <w:r>
          <w:rPr>
            <w:rStyle w:val="Text1"/>
          </w:rPr>
          <w:t>(</w:t>
        </w:r>
      </w:hyperlink>
      <w:hyperlink w:anchor="page_679">
        <w:r>
          <w:rPr>
            <w:rStyle w:val="Text2"/>
          </w:rPr>
          <w:t>DNS</w:t>
        </w:r>
      </w:hyperlink>
      <w:r>
        <w:t xml:space="preserve"> ) lookups, and perform transpar-ent caching. Squid also supports a wide variety of caching protocols, such as Internet Cache Protocol (ICP), the Hyper Text Caching Protocol (HTCP), the Cache Array Routing Protocol (CARP), and the Web Cache Coordination Protocol (WCCP).</w:t>
      </w:r>
    </w:p>
    <w:p>
      <w:pPr>
        <w:pStyle w:val="Normal"/>
      </w:pPr>
      <w:r>
        <w:t>Squid caching can be done in-RAM for fastest access, on disk for larger capacity, and may use a hierarchical directory structure for efficient file organization.</w:t>
      </w:r>
    </w:p>
    <w:p>
      <w:pPr>
        <w:pStyle w:val="Para 17"/>
      </w:pPr>
      <w:r>
        <w:t/>
      </w:r>
    </w:p>
    <w:p>
      <w:pPr>
        <w:pStyle w:val="Para 01"/>
      </w:pPr>
      <w:r>
        <w:t>Filtering</w:t>
      </w:r>
    </w:p>
    <w:p>
      <w:pPr>
        <w:pStyle w:val="Para 17"/>
      </w:pPr>
      <w:r>
        <w:t/>
      </w:r>
    </w:p>
    <w:p>
      <w:pPr>
        <w:pStyle w:val="Normal"/>
      </w:pPr>
      <w:r>
        <w:t>Squid provides access control and content filtering capabilities through Access Control Lists (ACLs). ACLs define rules that match specific traffic characteristics, which are then combined with allow/deny directives to control request handling. This enables administrators to im-plement security policies, restrict access to inappropriate content, and manage bandwidth consumption.</w:t>
      </w:r>
    </w:p>
    <w:p>
      <w:pPr>
        <w:pStyle w:val="Normal"/>
      </w:pPr>
      <w:r>
        <w:t>Filters can be applied based on source criteria (client IP addresses, network ranges, authen-ticated usernames), destination criteria (domain names, URL patterns, destination IPs, port numbers), content characteristics (MIME types, file extensions, HTTP methods), temporal re-strictions (time of day, day of week, date ranges), protocol attributes (HTTP headers, request methods, SSL certificate properties), and content keywords (regular expressions matching URLs or request content).</w:t>
      </w:r>
    </w:p>
    <w:p>
      <w:pPr>
        <w:pStyle w:val="Para 17"/>
      </w:pPr>
      <w:r>
        <w:t/>
      </w:r>
    </w:p>
    <w:p>
      <w:pPr>
        <w:pStyle w:val="Para 01"/>
      </w:pPr>
      <w:r>
        <w:t>Installing and configuring</w:t>
      </w:r>
    </w:p>
    <w:p>
      <w:pPr>
        <w:pStyle w:val="Para 17"/>
      </w:pPr>
      <w:r>
        <w:t/>
      </w:r>
    </w:p>
    <w:p>
      <w:pPr>
        <w:pStyle w:val="Normal"/>
      </w:pPr>
      <w:r>
        <w:t xml:space="preserve">If you would like to know how to install and configure your own Squid server, refer to </w:t>
      </w:r>
      <w:hyperlink w:anchor="page_494">
        <w:r>
          <w:rPr>
            <w:rStyle w:val="Text2"/>
          </w:rPr>
          <w:t>our</w:t>
        </w:r>
      </w:hyperlink>
    </w:p>
    <w:p>
      <w:pPr>
        <w:pStyle w:val="Para 20"/>
      </w:pPr>
      <w:hyperlink w:anchor="page_494">
        <w:r>
          <w:t>installation guide</w:t>
        </w:r>
      </w:hyperlink>
      <w:r>
        <w:rPr>
          <w:rStyle w:val="Text4"/>
        </w:rPr>
        <w:t xml:space="preserve"> (page 493).</w:t>
      </w:r>
    </w:p>
    <w:p>
      <w:pPr>
        <w:pStyle w:val="Para 17"/>
      </w:pPr>
      <w:r>
        <w:t/>
      </w:r>
    </w:p>
    <w:p>
      <w:pPr>
        <w:pStyle w:val="Para 01"/>
      </w:pPr>
      <w:r>
        <w:t>Further reading</w:t>
      </w:r>
    </w:p>
    <w:p>
      <w:pPr>
        <w:pStyle w:val="Para 17"/>
      </w:pPr>
      <w:r>
        <w:t/>
      </w:r>
    </w:p>
    <w:p>
      <w:pPr>
        <w:pStyle w:val="Para 13"/>
      </w:pPr>
      <w:r>
        <w:rPr>
          <w:rStyle w:val="Text7"/>
        </w:rPr>
        <w:t xml:space="preserve">• </w:t>
      </w:r>
      <w:hyperlink w:anchor="page_891">
        <w:r>
          <w:rPr>
            <w:rStyle w:val="Text10"/>
          </w:rPr>
          <w:t>924</w:t>
        </w:r>
      </w:hyperlink>
      <w:r>
        <w:rPr>
          <w:rStyle w:val="Text7"/>
        </w:rPr>
        <w:t xml:space="preserve"> </w:t>
      </w:r>
      <w:hyperlink r:id="rId1415">
        <w:r>
          <w:t>The Squid website</w:t>
        </w:r>
      </w:hyperlink>
    </w:p>
    <w:p>
      <w:pPr>
        <w:pStyle w:val="Para 13"/>
      </w:pPr>
      <w:r>
        <w:rPr>
          <w:rStyle w:val="Text7"/>
        </w:rPr>
        <w:t xml:space="preserve">• </w:t>
      </w:r>
      <w:hyperlink w:anchor="page_891">
        <w:r>
          <w:rPr>
            <w:rStyle w:val="Text10"/>
          </w:rPr>
          <w:t>925</w:t>
        </w:r>
      </w:hyperlink>
      <w:r>
        <w:rPr>
          <w:rStyle w:val="Text7"/>
        </w:rPr>
        <w:t xml:space="preserve"> </w:t>
      </w:r>
      <w:hyperlink r:id="rId1416">
        <w:r>
          <w:t>Ubuntu Wiki page on Squid</w:t>
        </w:r>
      </w:hyperlink>
      <w:r>
        <w:rPr>
          <w:rStyle w:val="Text7"/>
        </w:rPr>
        <w:t>.</w:t>
      </w:r>
    </w:p>
    <w:p>
      <w:pPr>
        <w:pStyle w:val="Para 05"/>
      </w:pPr>
      <w:r>
        <w:rPr>
          <w:rStyle w:val="Text5"/>
        </w:rPr>
        <w:t>924</w:t>
      </w:r>
      <w:r>
        <w:rPr>
          <w:rStyle w:val="Text8"/>
        </w:rPr>
        <w:t xml:space="preserve"> </w:t>
      </w:r>
      <w:r>
        <w:t>http://www.squid-cache.org/</w:t>
      </w:r>
    </w:p>
    <w:p>
      <w:pPr>
        <w:pStyle w:val="Para 05"/>
      </w:pPr>
      <w:r>
        <w:rPr>
          <w:rStyle w:val="Text5"/>
        </w:rPr>
        <w:t>925</w:t>
      </w:r>
      <w:r>
        <w:rPr>
          <w:rStyle w:val="Text8"/>
        </w:rPr>
        <w:t xml:space="preserve"> </w:t>
      </w:r>
      <w:r>
        <w:t>https://help.ubuntu.com/community/Squid</w:t>
      </w:r>
    </w:p>
    <w:p>
      <w:bookmarkStart w:id="1404" w:name="calibre_pb_256"/>
      <w:pPr>
        <w:pStyle w:val="0 Block"/>
      </w:pPr>
      <w:bookmarkEnd w:id="1404"/>
    </w:p>
    <w:p>
      <w:bookmarkStart w:id="1405" w:name="Top_of_index_split_257_html"/>
      <w:bookmarkStart w:id="1406" w:name="page_89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0" name="index-892_1.png" descr="index-892_1.png"/>
            <wp:cNvGraphicFramePr>
              <a:graphicFrameLocks noChangeAspect="1"/>
            </wp:cNvGraphicFramePr>
            <a:graphic>
              <a:graphicData uri="http://schemas.openxmlformats.org/drawingml/2006/picture">
                <pic:pic>
                  <pic:nvPicPr>
                    <pic:cNvPr id="0" name="index-892_1.png" descr="index-892_1.png"/>
                    <pic:cNvPicPr/>
                  </pic:nvPicPr>
                  <pic:blipFill>
                    <a:blip r:embed="rId934"/>
                    <a:stretch>
                      <a:fillRect/>
                    </a:stretch>
                  </pic:blipFill>
                  <pic:spPr>
                    <a:xfrm>
                      <a:off x="0" y="0"/>
                      <a:ext cx="914400" cy="266700"/>
                    </a:xfrm>
                    <a:prstGeom prst="rect">
                      <a:avLst/>
                    </a:prstGeom>
                  </pic:spPr>
                </pic:pic>
              </a:graphicData>
            </a:graphic>
          </wp:anchor>
        </w:drawing>
      </w:r>
      <w:bookmarkEnd w:id="1405"/>
      <w:bookmarkEnd w:id="1406"/>
    </w:p>
    <w:p>
      <w:pPr>
        <w:pStyle w:val="Para 01"/>
      </w:pPr>
      <w:r>
        <w:t>See also</w:t>
      </w:r>
    </w:p>
    <w:p>
      <w:pPr>
        <w:pStyle w:val="Para 17"/>
      </w:pPr>
      <w:r>
        <w:t/>
      </w:r>
    </w:p>
    <w:p>
      <w:pPr>
        <w:pStyle w:val="Para 04"/>
      </w:pPr>
      <w:r>
        <w:t xml:space="preserve">• How-to: </w:t>
      </w:r>
      <w:hyperlink w:anchor="page_493">
        <w:r>
          <w:rPr>
            <w:rStyle w:val="Text2"/>
          </w:rPr>
          <w:t>Web services</w:t>
        </w:r>
      </w:hyperlink>
      <w:r>
        <w:t xml:space="preserve"> (page 492)</w:t>
      </w:r>
    </w:p>
    <w:p>
      <w:pPr>
        <w:pStyle w:val="Para 24"/>
      </w:pPr>
      <w:r>
        <w:t>3.4.6. Virtualisation and containers</w:t>
      </w:r>
    </w:p>
    <w:p>
      <w:pPr>
        <w:pStyle w:val="Normal"/>
      </w:pPr>
      <w:r>
        <w:t xml:space="preserve">Our </w:t>
      </w:r>
      <w:hyperlink w:anchor="page_892">
        <w:r>
          <w:rPr>
            <w:rStyle w:val="Text2"/>
          </w:rPr>
          <w:t>Virtualisation and containers</w:t>
        </w:r>
      </w:hyperlink>
      <w:r>
        <w:t xml:space="preserve"> (page 891) section includes overviews of the available vir-tualisation and container tooling in the Ubuntu space, as well as more detail about topics like rock images, Docker, eBPF and more!</w:t>
      </w:r>
    </w:p>
    <w:p>
      <w:pPr>
        <w:pStyle w:val="Para 17"/>
      </w:pPr>
      <w:r>
        <w:t/>
      </w:r>
    </w:p>
    <w:p>
      <w:pPr>
        <w:pStyle w:val="Para 01"/>
      </w:pPr>
      <w:r>
        <w:t>Virtualisation and containers</w:t>
      </w:r>
    </w:p>
    <w:p>
      <w:pPr>
        <w:pStyle w:val="Para 17"/>
      </w:pPr>
      <w:r>
        <w:t/>
      </w:r>
    </w:p>
    <w:p>
      <w:pPr>
        <w:pStyle w:val="Para 04"/>
      </w:pPr>
      <w:r>
        <w:t xml:space="preserve">• </w:t>
      </w:r>
      <w:hyperlink w:anchor="page_892">
        <w:r>
          <w:rPr>
            <w:rStyle w:val="Text2"/>
          </w:rPr>
          <w:t>Introduction to virtualization</w:t>
        </w:r>
      </w:hyperlink>
      <w:r>
        <w:t xml:space="preserve"> (page 891) discusses and disambiguates between virtual-</w:t>
      </w:r>
    </w:p>
    <w:p>
      <w:pPr>
        <w:pStyle w:val="Para 02"/>
      </w:pPr>
      <w:r>
        <w:t>ization and containers</w:t>
      </w:r>
    </w:p>
    <w:p>
      <w:pPr>
        <w:pStyle w:val="Para 17"/>
      </w:pPr>
      <w:r>
        <w:t/>
      </w:r>
    </w:p>
    <w:p>
      <w:pPr>
        <w:pStyle w:val="Para 01"/>
      </w:pPr>
      <w:r>
        <w:t>Introduction to virtualization</w:t>
      </w:r>
    </w:p>
    <w:p>
      <w:pPr>
        <w:pStyle w:val="Para 17"/>
      </w:pPr>
      <w:r>
        <w:t/>
      </w:r>
    </w:p>
    <w:p>
      <w:pPr>
        <w:pStyle w:val="Normal"/>
      </w:pPr>
      <w:r>
        <w:t>Virtualization is a technology that allows you to create safe, isolated environments on your server. Developers can use virtualization to create self-contained sandboxes for develop-ment and testing that cannot negatively affect the host machine. System administrators can use virtualization to scale network resources to meet changing demand, giving greater con-trol and flexibility in managing infrastructure.</w:t>
      </w:r>
    </w:p>
    <w:p>
      <w:pPr>
        <w:pStyle w:val="Normal"/>
      </w:pPr>
      <w:r>
        <w:t xml:space="preserve">The virtualisation stack is made using layers of </w:t>
      </w:r>
      <w:r>
        <w:rPr>
          <w:rStyle w:val="Text0"/>
        </w:rPr>
        <w:t>abstraction</w:t>
      </w:r>
      <w:r>
        <w:t>. Each layer hides some of the complexity of the layer (or layers) beneath, presenting an increasingly high-level view of the technology. This makes the underlying technology progressively easier to understand and work with.</w:t>
      </w:r>
    </w:p>
    <w:p>
      <w:pPr>
        <w:pStyle w:val="Para 17"/>
      </w:pPr>
      <w:r>
        <w:t/>
      </w:r>
    </w:p>
    <w:p>
      <w:pPr>
        <w:pStyle w:val="Para 01"/>
      </w:pPr>
      <w:r>
        <w:t>Virtual machines</w:t>
      </w:r>
    </w:p>
    <w:p>
      <w:pPr>
        <w:pStyle w:val="Para 17"/>
      </w:pPr>
      <w:r>
        <w:t/>
      </w:r>
    </w:p>
    <w:p>
      <w:pPr>
        <w:pStyle w:val="Normal"/>
      </w:pPr>
      <w:r>
        <w:t>Virtual machines (VMs) are essentially computers-within-computers. Every VM includes its own operating system and simulated resources, making it completely independent of the host machine and any other VM. Although more resource-intensive than a container, a VM provides strong isolation and reduces the need for additional hardware to run different op-</w:t>
      </w:r>
    </w:p>
    <w:p>
      <w:pPr>
        <w:pStyle w:val="Normal"/>
      </w:pPr>
      <w:r>
        <w:t xml:space="preserve">erating system environments. To find out more, see this overview of </w:t>
      </w:r>
      <w:hyperlink w:anchor="page_893">
        <w:r>
          <w:rPr>
            <w:rStyle w:val="Text2"/>
          </w:rPr>
          <w:t>the different VM tools</w:t>
        </w:r>
      </w:hyperlink>
    </w:p>
    <w:p>
      <w:pPr>
        <w:pStyle w:val="Normal"/>
      </w:pPr>
      <w:hyperlink w:anchor="page_893">
        <w:r>
          <w:rPr>
            <w:rStyle w:val="Text2"/>
          </w:rPr>
          <w:t>and technologies</w:t>
        </w:r>
      </w:hyperlink>
      <w:r>
        <w:t xml:space="preserve"> (page 892) available for Ubuntu.</w:t>
      </w:r>
    </w:p>
    <w:p>
      <w:pPr>
        <w:pStyle w:val="Para 17"/>
      </w:pPr>
      <w:r>
        <w:t/>
      </w:r>
    </w:p>
    <w:p>
      <w:pPr>
        <w:pStyle w:val="Para 01"/>
      </w:pPr>
      <w:r>
        <w:t>Containers</w:t>
      </w:r>
    </w:p>
    <w:p>
      <w:pPr>
        <w:pStyle w:val="Para 17"/>
      </w:pPr>
      <w:r>
        <w:t/>
      </w:r>
    </w:p>
    <w:p>
      <w:pPr>
        <w:pStyle w:val="Normal"/>
      </w:pPr>
      <w:r>
        <w:t xml:space="preserve">Containers, on the other hand, are a more lightweight virtualization technology. They share the operating system of the host machine, so they are much quicker to provision when de-mand for resources is high. They are often used for packaging and running applications. They contain everything the application needs including any required dependencies and libraries. This ensures consistency across different environments. Containers come in two main fla-vors: </w:t>
      </w:r>
      <w:r>
        <w:rPr>
          <w:rStyle w:val="Text0"/>
        </w:rPr>
        <w:t>system</w:t>
      </w:r>
      <w:r>
        <w:t xml:space="preserve"> containers, and </w:t>
      </w:r>
      <w:r>
        <w:rPr>
          <w:rStyle w:val="Text0"/>
        </w:rPr>
        <w:t>application</w:t>
      </w:r>
      <w:r>
        <w:t xml:space="preserve"> containers.</w:t>
      </w:r>
    </w:p>
    <w:p>
      <w:bookmarkStart w:id="1407" w:name="page_8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1" name="index-893_1.png" descr="index-893_1.png"/>
            <wp:cNvGraphicFramePr>
              <a:graphicFrameLocks noChangeAspect="1"/>
            </wp:cNvGraphicFramePr>
            <a:graphic>
              <a:graphicData uri="http://schemas.openxmlformats.org/drawingml/2006/picture">
                <pic:pic>
                  <pic:nvPicPr>
                    <pic:cNvPr id="0" name="index-893_1.png" descr="index-893_1.png"/>
                    <pic:cNvPicPr/>
                  </pic:nvPicPr>
                  <pic:blipFill>
                    <a:blip r:embed="rId935"/>
                    <a:stretch>
                      <a:fillRect/>
                    </a:stretch>
                  </pic:blipFill>
                  <pic:spPr>
                    <a:xfrm>
                      <a:off x="0" y="0"/>
                      <a:ext cx="914400" cy="266700"/>
                    </a:xfrm>
                    <a:prstGeom prst="rect">
                      <a:avLst/>
                    </a:prstGeom>
                  </pic:spPr>
                </pic:pic>
              </a:graphicData>
            </a:graphic>
          </wp:anchor>
        </w:drawing>
      </w:r>
      <w:bookmarkEnd w:id="1407"/>
    </w:p>
    <w:p>
      <w:pPr>
        <w:pStyle w:val="Para 01"/>
      </w:pPr>
      <w:r>
        <w:t>System containers</w:t>
      </w:r>
    </w:p>
    <w:p>
      <w:pPr>
        <w:pStyle w:val="Para 17"/>
      </w:pPr>
      <w:r>
        <w:t/>
      </w:r>
    </w:p>
    <w:p>
      <w:pPr>
        <w:pStyle w:val="Normal"/>
      </w:pPr>
      <w:r>
        <w:t>System containers simulate a full machine in a similar way to a VM. However, since containers run on the host kernel they don’t need to install an operating system, making them quick to start and stop. They are often used for separating user spaces.</w:t>
      </w:r>
    </w:p>
    <w:p>
      <w:pPr>
        <w:pStyle w:val="Para 17"/>
      </w:pPr>
      <w:r>
        <w:t/>
      </w:r>
    </w:p>
    <w:p>
      <w:pPr>
        <w:pStyle w:val="Para 01"/>
      </w:pPr>
      <w:r>
        <w:t>Application containers</w:t>
      </w:r>
    </w:p>
    <w:p>
      <w:pPr>
        <w:pStyle w:val="Para 17"/>
      </w:pPr>
      <w:r>
        <w:t/>
      </w:r>
    </w:p>
    <w:p>
      <w:pPr>
        <w:pStyle w:val="Normal"/>
      </w:pPr>
      <w:r>
        <w:t>Application containers package all of the components needed for a specific application or process to run, including any required dependencies and libraries. This means the application can run consistently, even across different environments, without running into problems of missing dependencies. Application containers are particularly useful for running microser-vices.</w:t>
      </w:r>
    </w:p>
    <w:p>
      <w:pPr>
        <w:pStyle w:val="Normal"/>
      </w:pPr>
      <w:r>
        <w:t xml:space="preserve">For more details about container tools available in the Ubuntu space, </w:t>
      </w:r>
      <w:hyperlink w:anchor="page_904">
        <w:r>
          <w:rPr>
            <w:rStyle w:val="Text2"/>
          </w:rPr>
          <w:t>take a look at this</w:t>
        </w:r>
      </w:hyperlink>
    </w:p>
    <w:p>
      <w:pPr>
        <w:pStyle w:val="Normal"/>
      </w:pPr>
      <w:hyperlink w:anchor="page_904">
        <w:r>
          <w:rPr>
            <w:rStyle w:val="Text2"/>
          </w:rPr>
          <w:t>overview</w:t>
        </w:r>
      </w:hyperlink>
      <w:r>
        <w:t xml:space="preserve"> (page 903).</w:t>
      </w:r>
    </w:p>
    <w:p>
      <w:pPr>
        <w:pStyle w:val="Para 17"/>
      </w:pPr>
      <w:r>
        <w:t/>
      </w:r>
    </w:p>
    <w:p>
      <w:pPr>
        <w:pStyle w:val="Para 01"/>
      </w:pPr>
      <w:r>
        <w:t>Virtualization</w:t>
      </w:r>
    </w:p>
    <w:p>
      <w:pPr>
        <w:pStyle w:val="Para 17"/>
      </w:pPr>
      <w:r>
        <w:t/>
      </w:r>
    </w:p>
    <w:p>
      <w:pPr>
        <w:pStyle w:val="Para 04"/>
      </w:pPr>
      <w:r>
        <w:t xml:space="preserve">• </w:t>
      </w:r>
      <w:hyperlink w:anchor="page_893">
        <w:r>
          <w:rPr>
            <w:rStyle w:val="Text2"/>
          </w:rPr>
          <w:t>VM tools overview</w:t>
        </w:r>
      </w:hyperlink>
      <w:r>
        <w:t xml:space="preserve"> (page 892) gives more details about the virtual machines available in</w:t>
      </w:r>
    </w:p>
    <w:p>
      <w:pPr>
        <w:pStyle w:val="Para 02"/>
      </w:pPr>
      <w:r>
        <w:t>Ubuntu</w:t>
      </w:r>
    </w:p>
    <w:p>
      <w:pPr>
        <w:pStyle w:val="Normal"/>
      </w:pPr>
      <w:r>
        <w:t>We also give further details on some specific usage scenarios here:</w:t>
      </w:r>
    </w:p>
    <w:p>
      <w:pPr>
        <w:pStyle w:val="Para 04"/>
      </w:pPr>
      <w:r>
        <w:t xml:space="preserve">• </w:t>
      </w:r>
      <w:hyperlink w:anchor="page_895">
        <w:r>
          <w:rPr>
            <w:rStyle w:val="Text2"/>
          </w:rPr>
          <w:t>QEMU microvm</w:t>
        </w:r>
      </w:hyperlink>
      <w:r>
        <w:t xml:space="preserve"> (page 894)</w:t>
      </w:r>
    </w:p>
    <w:p>
      <w:pPr>
        <w:pStyle w:val="Para 14"/>
      </w:pPr>
      <w:r>
        <w:rPr>
          <w:rStyle w:val="Text4"/>
        </w:rPr>
        <w:t xml:space="preserve">• </w:t>
      </w:r>
      <w:hyperlink w:anchor="page_901">
        <w:r>
          <w:t>Upgrading the machine type of your VM</w:t>
        </w:r>
      </w:hyperlink>
      <w:r>
        <w:rPr>
          <w:rStyle w:val="Text4"/>
        </w:rPr>
        <w:t xml:space="preserve"> (page 900)</w:t>
      </w:r>
    </w:p>
    <w:p>
      <w:pPr>
        <w:pStyle w:val="Para 17"/>
      </w:pPr>
      <w:r>
        <w:t/>
      </w:r>
    </w:p>
    <w:p>
      <w:pPr>
        <w:pStyle w:val="Para 01"/>
      </w:pPr>
      <w:r>
        <w:t>VM tools in the Ubuntu space</w:t>
      </w:r>
    </w:p>
    <w:p>
      <w:pPr>
        <w:pStyle w:val="Para 17"/>
      </w:pPr>
      <w:r>
        <w:t/>
      </w:r>
    </w:p>
    <w:p>
      <w:pPr>
        <w:pStyle w:val="Normal"/>
      </w:pPr>
      <w:r>
        <w:t>Let’s take a look at some of the major tools and technologies available in the Ubuntu virtual-ization stack, in order of increasing abstraction.</w:t>
      </w:r>
    </w:p>
    <w:p>
      <w:pPr>
        <w:pStyle w:val="Para 17"/>
      </w:pPr>
      <w:r>
        <w:t/>
      </w:r>
    </w:p>
    <w:p>
      <w:pPr>
        <w:pStyle w:val="Para 01"/>
      </w:pPr>
      <w:r>
        <w:t>KVM</w:t>
      </w:r>
    </w:p>
    <w:p>
      <w:pPr>
        <w:pStyle w:val="Para 17"/>
      </w:pPr>
      <w:r>
        <w:t/>
      </w:r>
    </w:p>
    <w:p>
      <w:pPr>
        <w:pStyle w:val="Normal"/>
      </w:pPr>
      <w:r>
        <w:rPr>
          <w:rStyle w:val="Text0"/>
        </w:rPr>
        <w:t>Abstraction layer</w:t>
      </w:r>
      <w:r>
        <w:t>: Hardware virtualization</w:t>
      </w:r>
    </w:p>
    <w:p>
      <w:pPr>
        <w:pStyle w:val="Normal"/>
      </w:pPr>
      <w:hyperlink r:id="rId1478">
        <w:r>
          <w:rPr>
            <w:rStyle w:val="Text1"/>
          </w:rPr>
          <w:t>Kernel-Based Virtual Machine (KVM)</w:t>
        </w:r>
      </w:hyperlink>
      <w:hyperlink r:id="rId1478">
        <w:r>
          <w:rPr>
            <w:rStyle w:val="Text9"/>
          </w:rPr>
          <w:t>926</w:t>
        </w:r>
      </w:hyperlink>
      <w:r>
        <w:t xml:space="preserve"> is a Linux kernel module that enables hardware-assisted virtualization. It is the default virtualization technology supported by Ubuntu.</w:t>
      </w:r>
    </w:p>
    <w:p>
      <w:pPr>
        <w:pStyle w:val="Normal"/>
      </w:pPr>
      <w:r>
        <w:t xml:space="preserve">For Intel and </w:t>
      </w:r>
      <w:hyperlink w:anchor="page_669">
        <w:r>
          <w:rPr>
            <w:rStyle w:val="Text2"/>
          </w:rPr>
          <w:t>AMD</w:t>
        </w:r>
      </w:hyperlink>
      <w:r>
        <w:t xml:space="preserve"> hardware, KVM requires virtualization extensions in order to run. KVM is also available for IBM Z and LinuxONE, IBM POWER, and ARM64.</w:t>
      </w:r>
    </w:p>
    <w:p>
      <w:pPr>
        <w:pStyle w:val="Para 05"/>
      </w:pPr>
      <w:r>
        <w:rPr>
          <w:rStyle w:val="Text5"/>
        </w:rPr>
        <w:t>926</w:t>
      </w:r>
      <w:r>
        <w:rPr>
          <w:rStyle w:val="Text8"/>
        </w:rPr>
        <w:t xml:space="preserve"> </w:t>
      </w:r>
      <w:r>
        <w:t>https://www.linux-kvm.org/page/Main_Page</w:t>
      </w:r>
    </w:p>
    <w:p>
      <w:bookmarkStart w:id="1408" w:name="calibre_pb_257"/>
      <w:pPr>
        <w:pStyle w:val="0 Block"/>
      </w:pPr>
      <w:bookmarkEnd w:id="1408"/>
    </w:p>
    <w:p>
      <w:bookmarkStart w:id="1409" w:name="Top_of_index_split_258_html"/>
      <w:bookmarkStart w:id="1410" w:name="page_89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2" name="index-894_1.png" descr="index-894_1.png"/>
            <wp:cNvGraphicFramePr>
              <a:graphicFrameLocks noChangeAspect="1"/>
            </wp:cNvGraphicFramePr>
            <a:graphic>
              <a:graphicData uri="http://schemas.openxmlformats.org/drawingml/2006/picture">
                <pic:pic>
                  <pic:nvPicPr>
                    <pic:cNvPr id="0" name="index-894_1.png" descr="index-894_1.png"/>
                    <pic:cNvPicPr/>
                  </pic:nvPicPr>
                  <pic:blipFill>
                    <a:blip r:embed="rId936"/>
                    <a:stretch>
                      <a:fillRect/>
                    </a:stretch>
                  </pic:blipFill>
                  <pic:spPr>
                    <a:xfrm>
                      <a:off x="0" y="0"/>
                      <a:ext cx="914400" cy="266700"/>
                    </a:xfrm>
                    <a:prstGeom prst="rect">
                      <a:avLst/>
                    </a:prstGeom>
                  </pic:spPr>
                </pic:pic>
              </a:graphicData>
            </a:graphic>
          </wp:anchor>
        </w:drawing>
      </w:r>
      <w:bookmarkEnd w:id="1409"/>
      <w:bookmarkEnd w:id="1410"/>
    </w:p>
    <w:p>
      <w:bookmarkStart w:id="1411" w:name="QEMU_1"/>
      <w:bookmarkStart w:id="1412" w:name="Top_of_index_split_259_html"/>
      <w:pPr>
        <w:pStyle w:val="Heading 1"/>
        <w:pageBreakBefore w:val="on"/>
      </w:pPr>
      <w:r>
        <w:t>QEMU</w:t>
      </w:r>
      <w:bookmarkEnd w:id="1411"/>
      <w:bookmarkEnd w:id="1412"/>
    </w:p>
    <w:p>
      <w:pPr>
        <w:pStyle w:val="Para 17"/>
      </w:pPr>
      <w:r>
        <w:t/>
      </w:r>
    </w:p>
    <w:p>
      <w:pPr>
        <w:pStyle w:val="Para 01"/>
      </w:pPr>
      <w:r>
        <w:t>Abstraction layer</w:t>
      </w:r>
      <w:r>
        <w:rPr>
          <w:rStyle w:val="Text0"/>
        </w:rPr>
        <w:t>: Emulation</w:t>
      </w:r>
    </w:p>
    <w:p>
      <w:pPr>
        <w:pStyle w:val="Normal"/>
      </w:pPr>
      <w:hyperlink r:id="rId1756">
        <w:r>
          <w:rPr>
            <w:rStyle w:val="Text1"/>
          </w:rPr>
          <w:t>Quick Emulator (QEMU)</w:t>
        </w:r>
      </w:hyperlink>
      <w:hyperlink w:anchor="page_894">
        <w:r>
          <w:rPr>
            <w:rStyle w:val="Text9"/>
          </w:rPr>
          <w:t>927</w:t>
        </w:r>
      </w:hyperlink>
      <w:r>
        <w:t xml:space="preserve"> is a versatile and powerful open source machine emulator. It emu-lates complete virtual machines, which allows users to run machines with different operating systems than the underlying host system – without needing to purchase dedicated hardware.</w:t>
      </w:r>
    </w:p>
    <w:p>
      <w:pPr>
        <w:pStyle w:val="Normal"/>
      </w:pPr>
      <w:r>
        <w:t>QEMU primarily functions as the user-space backend for KVM. When used in collaboration with KVM kernel components, it harnesses the hardware virtualization capability that KVM provides in order to efficiently virtualize guests.</w:t>
      </w:r>
    </w:p>
    <w:p>
      <w:pPr>
        <w:pStyle w:val="Normal"/>
      </w:pPr>
      <w:r>
        <w:t xml:space="preserve">It also has a </w:t>
      </w:r>
      <w:hyperlink w:anchor="page_894">
        <w:r>
          <w:rPr>
            <w:rStyle w:val="Text9"/>
          </w:rPr>
          <w:t>928</w:t>
        </w:r>
      </w:hyperlink>
      <w:r>
        <w:t xml:space="preserve"> </w:t>
      </w:r>
      <w:hyperlink r:id="rId1480">
        <w:r>
          <w:rPr>
            <w:rStyle w:val="Text9"/>
          </w:rPr>
          <w:t>929</w:t>
        </w:r>
      </w:hyperlink>
      <w:r>
        <w:t xml:space="preserve"> </w:t>
      </w:r>
      <w:hyperlink r:id="rId1479">
        <w:r>
          <w:rPr>
            <w:rStyle w:val="Text1"/>
          </w:rPr>
          <w:t>command line interface</w:t>
        </w:r>
      </w:hyperlink>
      <w:r>
        <w:t xml:space="preserve"> and </w:t>
      </w:r>
      <w:hyperlink r:id="rId1480">
        <w:r>
          <w:rPr>
            <w:rStyle w:val="Text1"/>
          </w:rPr>
          <w:t>a monitor</w:t>
        </w:r>
      </w:hyperlink>
      <w:r>
        <w:t xml:space="preserve"> for interacting with running guests. However, these are typically only used for development purposes.</w:t>
      </w:r>
    </w:p>
    <w:p>
      <w:pPr>
        <w:pStyle w:val="Normal"/>
      </w:pPr>
      <w:r>
        <w:t xml:space="preserve">To find out how to get started with QEMU quickly, check out this guide on </w:t>
      </w:r>
      <w:hyperlink w:anchor="page_549">
        <w:r>
          <w:rPr>
            <w:rStyle w:val="Text2"/>
          </w:rPr>
          <w:t>how to set up QEMU</w:t>
        </w:r>
      </w:hyperlink>
      <w:r>
        <w:t xml:space="preserve"> (page 548).</w:t>
      </w:r>
    </w:p>
    <w:p>
      <w:pPr>
        <w:pStyle w:val="Para 17"/>
      </w:pPr>
      <w:r>
        <w:t/>
      </w:r>
    </w:p>
    <w:p>
      <w:pPr>
        <w:pStyle w:val="Para 01"/>
      </w:pPr>
      <w:r>
        <w:t>libvirt</w:t>
      </w:r>
    </w:p>
    <w:p>
      <w:pPr>
        <w:pStyle w:val="Para 17"/>
      </w:pPr>
      <w:r>
        <w:t/>
      </w:r>
    </w:p>
    <w:p>
      <w:pPr>
        <w:pStyle w:val="Para 01"/>
      </w:pPr>
      <w:r>
        <w:t>Abstraction layer</w:t>
      </w:r>
      <w:r>
        <w:rPr>
          <w:rStyle w:val="Text0"/>
        </w:rPr>
        <w:t>: API and toolkit</w:t>
      </w:r>
    </w:p>
    <w:p>
      <w:pPr>
        <w:pStyle w:val="Normal"/>
      </w:pPr>
      <w:hyperlink r:id="rId1481">
        <w:r>
          <w:rPr>
            <w:rStyle w:val="Text1"/>
          </w:rPr>
          <w:t>libvirt</w:t>
        </w:r>
      </w:hyperlink>
      <w:hyperlink w:anchor="page_894">
        <w:r>
          <w:rPr>
            <w:rStyle w:val="Text9"/>
          </w:rPr>
          <w:t>930</w:t>
        </w:r>
      </w:hyperlink>
      <w:r>
        <w:t xml:space="preserve"> provides an abstraction layer away from specific versions and hypervisors, giving users a command-line toolkit and API for managing virtualizations.</w:t>
      </w:r>
    </w:p>
    <w:p>
      <w:pPr>
        <w:pStyle w:val="Normal"/>
      </w:pPr>
      <w:r>
        <w:t>By providing an abstraction away from the underlying technologies (such as QEMU/KVM), libvirt makes it possible to manage all kinds of virtual resources – across different platforms and hypervisors – using one single, common interface. This can greatly simplify administra-tion and automation tasks.</w:t>
      </w:r>
    </w:p>
    <w:p>
      <w:pPr>
        <w:pStyle w:val="Normal"/>
      </w:pPr>
      <w:r>
        <w:t xml:space="preserve">For details of how to get libvirt set up and the basics of how to use it, see this guide on </w:t>
      </w:r>
      <w:hyperlink w:anchor="page_564">
        <w:r>
          <w:rPr>
            <w:rStyle w:val="Text2"/>
          </w:rPr>
          <w:t>how</w:t>
        </w:r>
      </w:hyperlink>
    </w:p>
    <w:p>
      <w:pPr>
        <w:pStyle w:val="Para 20"/>
      </w:pPr>
      <w:hyperlink w:anchor="page_564">
        <w:r>
          <w:t>to use libvirt</w:t>
        </w:r>
      </w:hyperlink>
      <w:r>
        <w:rPr>
          <w:rStyle w:val="Text4"/>
        </w:rPr>
        <w:t xml:space="preserve"> (page 563).</w:t>
      </w:r>
    </w:p>
    <w:p>
      <w:pPr>
        <w:pStyle w:val="Para 17"/>
      </w:pPr>
      <w:r>
        <w:t/>
      </w:r>
    </w:p>
    <w:p>
      <w:pPr>
        <w:pStyle w:val="Para 01"/>
      </w:pPr>
      <w:r>
        <w:t>Multipass and UVtool</w:t>
      </w:r>
    </w:p>
    <w:p>
      <w:pPr>
        <w:pStyle w:val="Para 17"/>
      </w:pPr>
      <w:r>
        <w:t/>
      </w:r>
    </w:p>
    <w:p>
      <w:pPr>
        <w:pStyle w:val="Normal"/>
      </w:pPr>
      <w:r>
        <w:rPr>
          <w:rStyle w:val="Text0"/>
        </w:rPr>
        <w:t>Abstraction layer</w:t>
      </w:r>
      <w:r>
        <w:t>: User-friendly, CLI-based VM management</w:t>
      </w:r>
    </w:p>
    <w:p>
      <w:pPr>
        <w:pStyle w:val="Normal"/>
      </w:pPr>
      <w:hyperlink r:id="rId1469">
        <w:r>
          <w:rPr>
            <w:rStyle w:val="Text1"/>
          </w:rPr>
          <w:t>Multipass</w:t>
        </w:r>
      </w:hyperlink>
      <w:hyperlink r:id="rId1469">
        <w:r>
          <w:rPr>
            <w:rStyle w:val="Text9"/>
          </w:rPr>
          <w:t>931</w:t>
        </w:r>
      </w:hyperlink>
      <w:r>
        <w:t xml:space="preserve"> </w:t>
      </w:r>
      <w:hyperlink w:anchor="page_894">
        <w:r>
          <w:rPr>
            <w:rStyle w:val="Text9"/>
          </w:rPr>
          <w:t>932</w:t>
        </w:r>
      </w:hyperlink>
      <w:r>
        <w:t xml:space="preserve"> and </w:t>
      </w:r>
      <w:hyperlink r:id="rId1757">
        <w:r>
          <w:rPr>
            <w:rStyle w:val="Text1"/>
          </w:rPr>
          <w:t>UVtool</w:t>
        </w:r>
      </w:hyperlink>
      <w:r>
        <w:t xml:space="preserve"> provide an abstraction layer away from libvirt, using command-line interfaces to simplify VM management. Both Multipass and UVtool are widely used in development and testing; they are lightweight and straightforward to use, and can greatly simplify the process of creating and managing VMs.</w:t>
      </w:r>
    </w:p>
    <w:p>
      <w:pPr>
        <w:pStyle w:val="Normal"/>
      </w:pPr>
      <w:r>
        <w:t>UVtool is essentially a wrapper around libvirt, providing an additional abstraction layer to simplify its use. Multipass is not based on libvirt, but can be integrated with it. This means that both tools can be used as part of a virtualization “stack” based around QEMU and libvirt.</w:t>
      </w:r>
    </w:p>
    <w:p>
      <w:pPr>
        <w:pStyle w:val="Normal"/>
      </w:pPr>
      <w:r>
        <w:t xml:space="preserve">If you want to get started with either of these tools, you can see our guides on </w:t>
      </w:r>
      <w:hyperlink w:anchor="page_541">
        <w:r>
          <w:rPr>
            <w:rStyle w:val="Text2"/>
          </w:rPr>
          <w:t>how to use</w:t>
        </w:r>
      </w:hyperlink>
    </w:p>
    <w:p>
      <w:pPr>
        <w:pStyle w:val="Normal"/>
      </w:pPr>
      <w:hyperlink w:anchor="page_541">
        <w:r>
          <w:rPr>
            <w:rStyle w:val="Text2"/>
          </w:rPr>
          <w:t>Multipass</w:t>
        </w:r>
      </w:hyperlink>
      <w:r>
        <w:t xml:space="preserve"> (page 540) or </w:t>
      </w:r>
      <w:hyperlink w:anchor="page_545">
        <w:r>
          <w:rPr>
            <w:rStyle w:val="Text2"/>
          </w:rPr>
          <w:t>how to use UVtool</w:t>
        </w:r>
      </w:hyperlink>
      <w:r>
        <w:t xml:space="preserve"> (page 544).</w:t>
      </w:r>
    </w:p>
    <w:p>
      <w:pPr>
        <w:pStyle w:val="Para 05"/>
      </w:pPr>
      <w:r>
        <w:rPr>
          <w:rStyle w:val="Text5"/>
        </w:rPr>
        <w:t>927</w:t>
      </w:r>
      <w:r>
        <w:rPr>
          <w:rStyle w:val="Text8"/>
        </w:rPr>
        <w:t xml:space="preserve"> </w:t>
      </w:r>
      <w:r>
        <w:t>https://www.qemu.org/</w:t>
      </w:r>
    </w:p>
    <w:p>
      <w:pPr>
        <w:pStyle w:val="Para 05"/>
      </w:pPr>
      <w:r>
        <w:rPr>
          <w:rStyle w:val="Text5"/>
        </w:rPr>
        <w:t>928</w:t>
      </w:r>
      <w:r>
        <w:rPr>
          <w:rStyle w:val="Text8"/>
        </w:rPr>
        <w:t xml:space="preserve"> </w:t>
      </w:r>
      <w:r>
        <w:t>https://qemu-project.gitlab.io/qemu/system/invocation.html</w:t>
      </w:r>
    </w:p>
    <w:p>
      <w:pPr>
        <w:pStyle w:val="Para 05"/>
      </w:pPr>
      <w:r>
        <w:rPr>
          <w:rStyle w:val="Text5"/>
        </w:rPr>
        <w:t>929</w:t>
      </w:r>
      <w:r>
        <w:rPr>
          <w:rStyle w:val="Text8"/>
        </w:rPr>
        <w:t xml:space="preserve"> </w:t>
      </w:r>
      <w:r>
        <w:t>https://qemu-project.gitlab.io/qemu/system/monitor.html</w:t>
      </w:r>
    </w:p>
    <w:p>
      <w:pPr>
        <w:pStyle w:val="Para 05"/>
      </w:pPr>
      <w:r>
        <w:rPr>
          <w:rStyle w:val="Text5"/>
        </w:rPr>
        <w:t>930</w:t>
      </w:r>
      <w:r>
        <w:rPr>
          <w:rStyle w:val="Text8"/>
        </w:rPr>
        <w:t xml:space="preserve"> </w:t>
      </w:r>
      <w:r>
        <w:t>https://libvirt.org/</w:t>
      </w:r>
    </w:p>
    <w:p>
      <w:pPr>
        <w:pStyle w:val="Para 05"/>
      </w:pPr>
      <w:r>
        <w:rPr>
          <w:rStyle w:val="Text5"/>
        </w:rPr>
        <w:t>931</w:t>
      </w:r>
      <w:r>
        <w:rPr>
          <w:rStyle w:val="Text8"/>
        </w:rPr>
        <w:t xml:space="preserve"> </w:t>
      </w:r>
      <w:r>
        <w:t>https://canonical.com/multipass</w:t>
      </w:r>
    </w:p>
    <w:p>
      <w:pPr>
        <w:pStyle w:val="Para 05"/>
      </w:pPr>
      <w:r>
        <w:rPr>
          <w:rStyle w:val="Text5"/>
        </w:rPr>
        <w:t>932</w:t>
      </w:r>
      <w:r>
        <w:rPr>
          <w:rStyle w:val="Text8"/>
        </w:rPr>
        <w:t xml:space="preserve"> </w:t>
      </w:r>
      <w:r>
        <w:t>https://launchpad.net/uvtool</w:t>
      </w:r>
    </w:p>
    <w:p>
      <w:bookmarkStart w:id="1413" w:name="page_8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3" name="index-895_1.png" descr="index-895_1.png"/>
            <wp:cNvGraphicFramePr>
              <a:graphicFrameLocks noChangeAspect="1"/>
            </wp:cNvGraphicFramePr>
            <a:graphic>
              <a:graphicData uri="http://schemas.openxmlformats.org/drawingml/2006/picture">
                <pic:pic>
                  <pic:nvPicPr>
                    <pic:cNvPr id="0" name="index-895_1.png" descr="index-895_1.png"/>
                    <pic:cNvPicPr/>
                  </pic:nvPicPr>
                  <pic:blipFill>
                    <a:blip r:embed="rId937"/>
                    <a:stretch>
                      <a:fillRect/>
                    </a:stretch>
                  </pic:blipFill>
                  <pic:spPr>
                    <a:xfrm>
                      <a:off x="0" y="0"/>
                      <a:ext cx="914400" cy="266700"/>
                    </a:xfrm>
                    <a:prstGeom prst="rect">
                      <a:avLst/>
                    </a:prstGeom>
                  </pic:spPr>
                </pic:pic>
              </a:graphicData>
            </a:graphic>
          </wp:anchor>
        </w:drawing>
      </w:r>
      <w:bookmarkEnd w:id="1413"/>
    </w:p>
    <w:p>
      <w:pPr>
        <w:pStyle w:val="Para 01"/>
      </w:pPr>
      <w:r>
        <w:t>virt-manager</w:t>
      </w:r>
    </w:p>
    <w:p>
      <w:pPr>
        <w:pStyle w:val="Para 17"/>
      </w:pPr>
      <w:r>
        <w:t/>
      </w:r>
    </w:p>
    <w:p>
      <w:pPr>
        <w:pStyle w:val="Normal"/>
      </w:pPr>
      <w:r>
        <w:rPr>
          <w:rStyle w:val="Text0"/>
        </w:rPr>
        <w:t>Abstraction layer</w:t>
      </w:r>
      <w:r>
        <w:t>: GUI-based VM management</w:t>
      </w:r>
    </w:p>
    <w:p>
      <w:pPr>
        <w:pStyle w:val="Normal"/>
      </w:pPr>
      <w:hyperlink r:id="rId1470">
        <w:r>
          <w:rPr>
            <w:rStyle w:val="Text1"/>
          </w:rPr>
          <w:t>Virt-manager</w:t>
        </w:r>
      </w:hyperlink>
      <w:hyperlink r:id="rId1470">
        <w:r>
          <w:rPr>
            <w:rStyle w:val="Text9"/>
          </w:rPr>
          <w:t>933</w:t>
        </w:r>
      </w:hyperlink>
      <w:r>
        <w:t>, the Virtual Machine Manager, provides another high-level way to manage VMs. Like UVtool, virt-manager uses libvirt on the backend. However, unlike UVtool, its ab-</w:t>
      </w:r>
    </w:p>
    <w:p>
      <w:pPr>
        <w:pStyle w:val="Normal"/>
      </w:pPr>
      <w:r>
        <w:t xml:space="preserve">straction is presented in the form of a </w:t>
      </w:r>
      <w:hyperlink w:anchor="page_687">
        <w:r>
          <w:rPr>
            <w:rStyle w:val="Text2"/>
          </w:rPr>
          <w:t>graphical user interface (GUI)</w:t>
        </w:r>
      </w:hyperlink>
      <w:r>
        <w:t>.</w:t>
      </w:r>
    </w:p>
    <w:p>
      <w:pPr>
        <w:pStyle w:val="Normal"/>
      </w:pPr>
      <w:r>
        <w:t>Although in many ways this makes virt-manager easier to use than Multipass and UVtool, it also introduces more complex tooling that supports more advanced users.</w:t>
      </w:r>
    </w:p>
    <w:p>
      <w:pPr>
        <w:pStyle w:val="Normal"/>
      </w:pPr>
      <w:r>
        <w:t xml:space="preserve">To get started with virt-manager, </w:t>
      </w:r>
      <w:hyperlink w:anchor="page_576">
        <w:r>
          <w:rPr>
            <w:rStyle w:val="Text2"/>
          </w:rPr>
          <w:t>this how-to guide</w:t>
        </w:r>
      </w:hyperlink>
      <w:r>
        <w:t xml:space="preserve"> (page 575) showcases all the basic func-tionality and tooling.</w:t>
      </w:r>
    </w:p>
    <w:p>
      <w:pPr>
        <w:pStyle w:val="Para 17"/>
      </w:pPr>
      <w:r>
        <w:t/>
      </w:r>
    </w:p>
    <w:p>
      <w:pPr>
        <w:pStyle w:val="Para 01"/>
      </w:pPr>
      <w:r>
        <w:t>QEMU microvm</w:t>
      </w:r>
    </w:p>
    <w:p>
      <w:pPr>
        <w:pStyle w:val="Para 17"/>
      </w:pPr>
      <w:r>
        <w:t/>
      </w:r>
    </w:p>
    <w:p>
      <w:pPr>
        <w:pStyle w:val="Normal"/>
      </w:pPr>
      <w:r>
        <w:t>QEMU microvm is a special case of virtual machine (VMs), designed to be optimized for ini-tialization speed and minimal resource use.</w:t>
      </w:r>
    </w:p>
    <w:p>
      <w:pPr>
        <w:pStyle w:val="Normal"/>
      </w:pPr>
      <w:r>
        <w:t>The underlying concept of a microvm is based on giving up some capabilities of standard QEMU in order to reduce complexity and gain speed. Maybe - for your use-case - you do not need e.g. the hypervisor to be able to pretend to have a network card from the 90s, nor to emulate a CPU of a foreign architecture, nor live migrate with external I/O going on. In such cases, a lot of what QEMU provides is not needed and a less complex approach like a microvm might be interesting to you.</w:t>
      </w:r>
    </w:p>
    <w:p>
      <w:pPr>
        <w:pStyle w:val="Normal"/>
      </w:pPr>
      <w:r>
        <w:t>All of that is a balance that needs to be decided by the needs of your use case. There will surely be arguments and examples going both ways - so be careful. Giving up on unnecessary features to gain speed is great, but it is not so great if - some time after deploying your project- you realise that you now need a feature only available in the more complete solution.</w:t>
      </w:r>
    </w:p>
    <w:p>
      <w:pPr>
        <w:pStyle w:val="Normal"/>
      </w:pPr>
      <w:r>
        <w:t>QEMU provides additional components that were added to support this special use case:</w:t>
      </w:r>
    </w:p>
    <w:p>
      <w:pPr>
        <w:pStyle w:val="Para 22"/>
      </w:pPr>
      <w:r>
        <w:rPr>
          <w:rStyle w:val="Text7"/>
        </w:rPr>
        <w:t xml:space="preserve">1. The </w:t>
      </w:r>
      <w:hyperlink w:anchor="page_895">
        <w:r>
          <w:rPr>
            <w:rStyle w:val="Text10"/>
          </w:rPr>
          <w:t>934</w:t>
        </w:r>
      </w:hyperlink>
      <w:r>
        <w:rPr>
          <w:rStyle w:val="Text7"/>
        </w:rPr>
        <w:t xml:space="preserve"> </w:t>
      </w:r>
      <w:hyperlink r:id="rId1758">
        <w:r>
          <w:t>microvm</w:t>
        </w:r>
      </w:hyperlink>
      <w:r>
        <w:rPr>
          <w:rStyle w:val="Text7"/>
        </w:rPr>
        <w:t xml:space="preserve"> </w:t>
      </w:r>
      <w:hyperlink r:id="rId1758">
        <w:r>
          <w:t>machine type</w:t>
        </w:r>
      </w:hyperlink>
    </w:p>
    <w:p>
      <w:pPr>
        <w:pStyle w:val="Para 03"/>
      </w:pPr>
      <w:r>
        <w:t xml:space="preserve">2. Alternative simple </w:t>
      </w:r>
      <w:hyperlink w:anchor="page_895">
        <w:r>
          <w:rPr>
            <w:rStyle w:val="Text9"/>
          </w:rPr>
          <w:t>935</w:t>
        </w:r>
      </w:hyperlink>
      <w:r>
        <w:t xml:space="preserve"> </w:t>
      </w:r>
      <w:hyperlink w:anchor="page_684">
        <w:r>
          <w:rPr>
            <w:rStyle w:val="Text2"/>
          </w:rPr>
          <w:t>firmware (FW)</w:t>
        </w:r>
      </w:hyperlink>
      <w:r>
        <w:t xml:space="preserve"> that can boot Linux </w:t>
      </w:r>
      <w:hyperlink r:id="rId1759">
        <w:r>
          <w:rPr>
            <w:rStyle w:val="Text1"/>
          </w:rPr>
          <w:t>called</w:t>
        </w:r>
      </w:hyperlink>
      <w:r>
        <w:t xml:space="preserve"> </w:t>
      </w:r>
      <w:hyperlink r:id="rId1759">
        <w:r>
          <w:rPr>
            <w:rStyle w:val="Text1"/>
          </w:rPr>
          <w:t>qboot</w:t>
        </w:r>
      </w:hyperlink>
    </w:p>
    <w:p>
      <w:pPr>
        <w:pStyle w:val="Para 03"/>
      </w:pPr>
      <w:r>
        <w:t>3. Ubuntu has a QEMU build with reduced features matching these use cases called qemu-</w:t>
      </w:r>
    </w:p>
    <w:p>
      <w:pPr>
        <w:pStyle w:val="Para 02"/>
      </w:pPr>
      <w:r>
        <w:t>system-x86-microvm</w:t>
      </w:r>
    </w:p>
    <w:p>
      <w:pPr>
        <w:pStyle w:val="Para 17"/>
      </w:pPr>
      <w:r>
        <w:t/>
      </w:r>
    </w:p>
    <w:p>
      <w:pPr>
        <w:pStyle w:val="Para 01"/>
      </w:pPr>
      <w:r>
        <w:t>Why a special workload?</w:t>
      </w:r>
    </w:p>
    <w:p>
      <w:pPr>
        <w:pStyle w:val="Para 17"/>
      </w:pPr>
      <w:r>
        <w:t/>
      </w:r>
    </w:p>
    <w:p>
      <w:pPr>
        <w:pStyle w:val="Normal"/>
      </w:pPr>
      <w:r>
        <w:t>One has to understand that minimising the QEMU initialisation time only yields a small gain, by shaving off parts of a task that usually do not take a long time. That is only worth it if the workload you run is not taking much longer anyway. For example, by booting a fully generic operating system, followed by more time to completely initialize your workload.</w:t>
      </w:r>
    </w:p>
    <w:p>
      <w:pPr>
        <w:pStyle w:val="Normal"/>
      </w:pPr>
      <w:r>
        <w:t>There are a few common ways to adapt a workload to match this:</w:t>
      </w:r>
    </w:p>
    <w:p>
      <w:pPr>
        <w:pStyle w:val="Para 04"/>
      </w:pPr>
      <w:r>
        <w:t>• Use faster bootloaders and virtual firmware (see qboot below) with a reduced feature</w:t>
      </w:r>
    </w:p>
    <w:p>
      <w:pPr>
        <w:pStyle w:val="Para 02"/>
      </w:pPr>
      <w:r>
        <w:t>set, not as generally capable but sufficient for a particular use case.</w:t>
      </w:r>
    </w:p>
    <w:p>
      <w:pPr>
        <w:pStyle w:val="Para 05"/>
      </w:pPr>
      <w:r>
        <w:rPr>
          <w:rStyle w:val="Text5"/>
        </w:rPr>
        <w:t>933</w:t>
      </w:r>
      <w:r>
        <w:rPr>
          <w:rStyle w:val="Text8"/>
        </w:rPr>
        <w:t xml:space="preserve"> </w:t>
      </w:r>
      <w:r>
        <w:t>https://virt-manager.org/</w:t>
      </w:r>
    </w:p>
    <w:p>
      <w:pPr>
        <w:pStyle w:val="Para 05"/>
      </w:pPr>
      <w:r>
        <w:rPr>
          <w:rStyle w:val="Text5"/>
        </w:rPr>
        <w:t>934</w:t>
      </w:r>
      <w:r>
        <w:rPr>
          <w:rStyle w:val="Text8"/>
        </w:rPr>
        <w:t xml:space="preserve"> </w:t>
      </w:r>
      <w:r>
        <w:t>https://www.qemu.org/docs/master/system/i386/microvm.html</w:t>
      </w:r>
    </w:p>
    <w:p>
      <w:pPr>
        <w:pStyle w:val="Para 05"/>
      </w:pPr>
      <w:r>
        <w:rPr>
          <w:rStyle w:val="Text5"/>
        </w:rPr>
        <w:t>935</w:t>
      </w:r>
      <w:r>
        <w:rPr>
          <w:rStyle w:val="Text8"/>
        </w:rPr>
        <w:t xml:space="preserve"> </w:t>
      </w:r>
      <w:r>
        <w:t>https://github.com/bonzini/qboot</w:t>
      </w:r>
    </w:p>
    <w:p>
      <w:bookmarkStart w:id="1414" w:name="page_8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4" name="index-896_1.png" descr="index-896_1.png"/>
            <wp:cNvGraphicFramePr>
              <a:graphicFrameLocks noChangeAspect="1"/>
            </wp:cNvGraphicFramePr>
            <a:graphic>
              <a:graphicData uri="http://schemas.openxmlformats.org/drawingml/2006/picture">
                <pic:pic>
                  <pic:nvPicPr>
                    <pic:cNvPr id="0" name="index-896_1.png" descr="index-896_1.png"/>
                    <pic:cNvPicPr/>
                  </pic:nvPicPr>
                  <pic:blipFill>
                    <a:blip r:embed="rId938"/>
                    <a:stretch>
                      <a:fillRect/>
                    </a:stretch>
                  </pic:blipFill>
                  <pic:spPr>
                    <a:xfrm>
                      <a:off x="0" y="0"/>
                      <a:ext cx="914400" cy="266700"/>
                    </a:xfrm>
                    <a:prstGeom prst="rect">
                      <a:avLst/>
                    </a:prstGeom>
                  </pic:spPr>
                </pic:pic>
              </a:graphicData>
            </a:graphic>
          </wp:anchor>
        </w:drawing>
      </w:r>
      <w:bookmarkEnd w:id="1414"/>
    </w:p>
    <w:p>
      <w:pPr>
        <w:pStyle w:val="Para 04"/>
      </w:pPr>
      <w:r>
        <w:t>• Even the fastest bootloader is slower than no bootloader, so often the kernel is directly</w:t>
      </w:r>
    </w:p>
    <w:p>
      <w:pPr>
        <w:pStyle w:val="Para 02"/>
      </w:pPr>
      <w:r>
        <w:t xml:space="preserve">passed from the host </w:t>
      </w:r>
      <w:hyperlink w:anchor="page_682">
        <w:r>
          <w:rPr>
            <w:rStyle w:val="Text2"/>
          </w:rPr>
          <w:t>filesystem</w:t>
        </w:r>
      </w:hyperlink>
      <w:r>
        <w:t>. A drawback of this solution is the fact that the guest system will not have control over the kernel anymore, thus restricting what can be done inside the guest system.</w:t>
      </w:r>
    </w:p>
    <w:p>
      <w:pPr>
        <w:pStyle w:val="Para 04"/>
      </w:pPr>
      <w:r>
        <w:t xml:space="preserve">• Sometimes a simpler user space like </w:t>
      </w:r>
      <w:hyperlink r:id="rId1760">
        <w:r>
          <w:rPr>
            <w:rStyle w:val="Text9"/>
          </w:rPr>
          <w:t>936</w:t>
        </w:r>
      </w:hyperlink>
      <w:hyperlink r:id="rId1760">
        <w:r>
          <w:rPr>
            <w:rStyle w:val="Text1"/>
          </w:rPr>
          <w:t xml:space="preserve"> BusyBox</w:t>
        </w:r>
      </w:hyperlink>
      <w:r>
        <w:t xml:space="preserve"> or a container-like environment is used.</w:t>
      </w:r>
    </w:p>
    <w:p>
      <w:pPr>
        <w:pStyle w:val="Para 04"/>
      </w:pPr>
      <w:r>
        <w:t>• In a similar fashion, you could use a customized kernel build with a reduced feature set</w:t>
      </w:r>
    </w:p>
    <w:p>
      <w:pPr>
        <w:pStyle w:val="Para 02"/>
      </w:pPr>
      <w:r>
        <w:t>with only what is needed for a given use case.</w:t>
      </w:r>
    </w:p>
    <w:p>
      <w:pPr>
        <w:pStyle w:val="Normal"/>
      </w:pPr>
      <w:r>
        <w:t>A common compromise of the above options is aligning virtualization with container paradigms. While behaving mostly like a container, those tools will use virtualization instead of namespaces for the isolation. Examples of that are:</w:t>
      </w:r>
    </w:p>
    <w:p>
      <w:pPr>
        <w:pStyle w:val="Para 04"/>
      </w:pPr>
      <w:r>
        <w:t xml:space="preserve">• Container-like, as in </w:t>
      </w:r>
      <w:hyperlink r:id="rId1761">
        <w:r>
          <w:rPr>
            <w:rStyle w:val="Text9"/>
          </w:rPr>
          <w:t>937</w:t>
        </w:r>
      </w:hyperlink>
      <w:hyperlink r:id="rId1761">
        <w:r>
          <w:rPr>
            <w:rStyle w:val="Text1"/>
          </w:rPr>
          <w:t xml:space="preserve"> kata containers</w:t>
        </w:r>
      </w:hyperlink>
      <w:r>
        <w:t>,</w:t>
      </w:r>
    </w:p>
    <w:p>
      <w:pPr>
        <w:pStyle w:val="Para 04"/>
      </w:pPr>
      <w:r>
        <w:t xml:space="preserve">• Function-based services as in </w:t>
      </w:r>
      <w:hyperlink r:id="rId1762">
        <w:r>
          <w:rPr>
            <w:rStyle w:val="Text9"/>
          </w:rPr>
          <w:t>938</w:t>
        </w:r>
      </w:hyperlink>
      <w:hyperlink r:id="rId1762">
        <w:r>
          <w:rPr>
            <w:rStyle w:val="Text1"/>
          </w:rPr>
          <w:t xml:space="preserve"> Firecracker</w:t>
        </w:r>
      </w:hyperlink>
      <w:r>
        <w:t>,</w:t>
      </w:r>
    </w:p>
    <w:p>
      <w:pPr>
        <w:pStyle w:val="Para 04"/>
      </w:pPr>
      <w:r>
        <w:t xml:space="preserve">• System containers as in </w:t>
      </w:r>
      <w:hyperlink w:anchor="page_533">
        <w:r>
          <w:rPr>
            <w:rStyle w:val="Text2"/>
          </w:rPr>
          <w:t>LXD</w:t>
        </w:r>
      </w:hyperlink>
      <w:r>
        <w:t xml:space="preserve"> (page 532).</w:t>
      </w:r>
    </w:p>
    <w:p>
      <w:pPr>
        <w:pStyle w:val="Normal"/>
      </w:pPr>
      <w:r>
        <w:t xml:space="preserve">In particular, </w:t>
      </w:r>
      <w:hyperlink w:anchor="page_533">
        <w:r>
          <w:rPr>
            <w:rStyle w:val="Text2"/>
          </w:rPr>
          <w:t>LXD</w:t>
        </w:r>
      </w:hyperlink>
      <w:r>
        <w:t xml:space="preserve"> (page 532) added VM mode to allow the very same UX with namespaces and virtualization.</w:t>
      </w:r>
    </w:p>
    <w:p>
      <w:pPr>
        <w:pStyle w:val="Normal"/>
      </w:pPr>
      <w:r>
        <w:t>Other related tools are more about creating VMs from containers like:</w:t>
      </w:r>
    </w:p>
    <w:p>
      <w:pPr>
        <w:pStyle w:val="Para 13"/>
      </w:pPr>
      <w:r>
        <w:rPr>
          <w:rStyle w:val="Text7"/>
        </w:rPr>
        <w:t xml:space="preserve">• </w:t>
      </w:r>
      <w:hyperlink w:anchor="page_896">
        <w:r>
          <w:rPr>
            <w:rStyle w:val="Text10"/>
          </w:rPr>
          <w:t>939</w:t>
        </w:r>
      </w:hyperlink>
      <w:r>
        <w:rPr>
          <w:rStyle w:val="Text7"/>
        </w:rPr>
        <w:t xml:space="preserve"> </w:t>
      </w:r>
      <w:hyperlink r:id="rId1763">
        <w:r>
          <w:t>slim</w:t>
        </w:r>
      </w:hyperlink>
      <w:r>
        <w:rPr>
          <w:rStyle w:val="Text7"/>
        </w:rPr>
        <w:t xml:space="preserve"> </w:t>
      </w:r>
      <w:hyperlink r:id="rId1763">
        <w:r>
          <w:t>from dockerfiles</w:t>
        </w:r>
      </w:hyperlink>
      <w:r>
        <w:rPr>
          <w:rStyle w:val="Text7"/>
        </w:rPr>
        <w:t xml:space="preserve"> or</w:t>
      </w:r>
    </w:p>
    <w:p>
      <w:pPr>
        <w:pStyle w:val="Para 13"/>
      </w:pPr>
      <w:r>
        <w:rPr>
          <w:rStyle w:val="Text7"/>
        </w:rPr>
        <w:t xml:space="preserve">• </w:t>
      </w:r>
      <w:hyperlink r:id="rId1764">
        <w:r>
          <w:rPr>
            <w:rStyle w:val="Text10"/>
          </w:rPr>
          <w:t>940</w:t>
        </w:r>
      </w:hyperlink>
      <w:hyperlink r:id="rId1764">
        <w:r>
          <w:t xml:space="preserve"> krunvm from OCI images</w:t>
        </w:r>
      </w:hyperlink>
      <w:r>
        <w:rPr>
          <w:rStyle w:val="Text7"/>
        </w:rPr>
        <w:t>.</w:t>
      </w:r>
    </w:p>
    <w:p>
      <w:pPr>
        <w:pStyle w:val="Normal"/>
      </w:pPr>
      <w:r>
        <w:t>There are more of these out there, but the point is that one can mix and match to suit their needs. At the end of the day, many of the above use the same underlying technology of namespaces or QEMU/KVM.</w:t>
      </w:r>
    </w:p>
    <w:p>
      <w:pPr>
        <w:pStyle w:val="Normal"/>
      </w:pPr>
      <w:r>
        <w:t>This page tries to stick to the basics and not pick either higher level system mentioned above. Instead, it sticks to just QEMU to show how it’s ideas of reduced firmware and microvms play into all of this.</w:t>
      </w:r>
    </w:p>
    <w:p>
      <w:pPr>
        <w:pStyle w:val="Para 17"/>
      </w:pPr>
      <w:r>
        <w:t/>
      </w:r>
    </w:p>
    <w:p>
      <w:pPr>
        <w:pStyle w:val="Para 01"/>
      </w:pPr>
      <w:r>
        <w:t>Create the example workload artifact</w:t>
      </w:r>
    </w:p>
    <w:p>
      <w:pPr>
        <w:pStyle w:val="Para 17"/>
      </w:pPr>
      <w:r>
        <w:t/>
      </w:r>
    </w:p>
    <w:p>
      <w:pPr>
        <w:pStyle w:val="Normal"/>
      </w:pPr>
      <w:r>
        <w:t>To create an example of such a small workload, we will follow the tutorial on how to build a</w:t>
      </w:r>
    </w:p>
    <w:p>
      <w:pPr>
        <w:pStyle w:val="Para 18"/>
      </w:pPr>
      <w:hyperlink r:id="rId1765">
        <w:r>
          <w:t>sliced rock</w:t>
        </w:r>
      </w:hyperlink>
      <w:hyperlink w:anchor="page_896">
        <w:r>
          <w:rPr>
            <w:rStyle w:val="Text10"/>
          </w:rPr>
          <w:t>941</w:t>
        </w:r>
      </w:hyperlink>
      <w:r>
        <w:rPr>
          <w:rStyle w:val="Text7"/>
        </w:rPr>
        <w:t>.</w:t>
      </w:r>
    </w:p>
    <w:p>
      <w:pPr>
        <w:pStyle w:val="Normal"/>
      </w:pPr>
      <w:r>
        <w:t xml:space="preserve">Out of these tutorials one gets an </w:t>
      </w:r>
      <w:hyperlink r:id="rId1766">
        <w:r>
          <w:rPr>
            <w:rStyle w:val="Text9"/>
          </w:rPr>
          <w:t>942</w:t>
        </w:r>
      </w:hyperlink>
      <w:hyperlink r:id="rId1766">
        <w:r>
          <w:rPr>
            <w:rStyle w:val="Text1"/>
          </w:rPr>
          <w:t xml:space="preserve"> OCI-compatible</w:t>
        </w:r>
      </w:hyperlink>
      <w:r>
        <w:t xml:space="preserve"> artifact. It will be called chiselled-hello_latest_amd64.rock. That is now converted to a disk image for use as virtual disk in our later example.</w:t>
      </w:r>
    </w:p>
    <w:p>
      <w:pPr>
        <w:pStyle w:val="Normal"/>
      </w:pPr>
      <w:r>
        <w:rPr>
          <w:rStyle w:val="Text3"/>
        </w:rPr>
        <w:t># Convert the artifact of the ROCK tutorial into OCI format</w:t>
      </w:r>
      <w:r>
        <w:t xml:space="preserve"> </w:t>
        <w:t>$ sudo rockcraft.skopeo --insecure-policy copy oci-archive:chiselled-hello_latest_amd64.</w:t>
        <w:t xml:space="preserve"> </w:t>
        <w:t>rock oci:chiselled-hello.oci:latest</w:t>
      </w:r>
    </w:p>
    <w:p>
      <w:pPr>
        <w:pStyle w:val="Para 10"/>
      </w:pPr>
      <w:r>
        <w:t># Unpack that to a local directory</w:t>
      </w:r>
    </w:p>
    <w:p>
      <w:pPr>
        <w:pStyle w:val="Para 09"/>
      </w:pPr>
      <w:r>
        <w:t>(continues on next page)</w:t>
      </w:r>
    </w:p>
    <w:p>
      <w:pPr>
        <w:pStyle w:val="Para 05"/>
      </w:pPr>
      <w:r>
        <w:rPr>
          <w:rStyle w:val="Text5"/>
        </w:rPr>
        <w:t>936</w:t>
      </w:r>
      <w:r>
        <w:rPr>
          <w:rStyle w:val="Text8"/>
        </w:rPr>
        <w:t xml:space="preserve"> </w:t>
      </w:r>
      <w:r>
        <w:t>https://github.com/SecureVirtualization/busybox</w:t>
      </w:r>
    </w:p>
    <w:p>
      <w:pPr>
        <w:pStyle w:val="Para 05"/>
      </w:pPr>
      <w:r>
        <w:rPr>
          <w:rStyle w:val="Text5"/>
        </w:rPr>
        <w:t>937</w:t>
      </w:r>
      <w:r>
        <w:rPr>
          <w:rStyle w:val="Text8"/>
        </w:rPr>
        <w:t xml:space="preserve"> </w:t>
      </w:r>
      <w:r>
        <w:t>https://katacontainers.io/</w:t>
      </w:r>
    </w:p>
    <w:p>
      <w:pPr>
        <w:pStyle w:val="Para 05"/>
      </w:pPr>
      <w:r>
        <w:rPr>
          <w:rStyle w:val="Text5"/>
        </w:rPr>
        <w:t>938</w:t>
      </w:r>
      <w:r>
        <w:rPr>
          <w:rStyle w:val="Text8"/>
        </w:rPr>
        <w:t xml:space="preserve"> </w:t>
      </w:r>
      <w:r>
        <w:t>https://firecracker-microvm.github.io/</w:t>
      </w:r>
    </w:p>
    <w:p>
      <w:pPr>
        <w:pStyle w:val="Para 05"/>
      </w:pPr>
      <w:r>
        <w:rPr>
          <w:rStyle w:val="Text5"/>
        </w:rPr>
        <w:t>939</w:t>
      </w:r>
      <w:r>
        <w:rPr>
          <w:rStyle w:val="Text8"/>
        </w:rPr>
        <w:t xml:space="preserve"> </w:t>
      </w:r>
      <w:r>
        <w:t>https://github.com/ottomatica/slim</w:t>
      </w:r>
    </w:p>
    <w:p>
      <w:pPr>
        <w:pStyle w:val="Para 05"/>
      </w:pPr>
      <w:r>
        <w:rPr>
          <w:rStyle w:val="Text5"/>
        </w:rPr>
        <w:t>940</w:t>
      </w:r>
      <w:r>
        <w:rPr>
          <w:rStyle w:val="Text8"/>
        </w:rPr>
        <w:t xml:space="preserve"> </w:t>
      </w:r>
      <w:r>
        <w:t>https://github.com/containers/krunvm</w:t>
      </w:r>
    </w:p>
    <w:p>
      <w:pPr>
        <w:pStyle w:val="Para 05"/>
      </w:pPr>
      <w:r>
        <w:rPr>
          <w:rStyle w:val="Text5"/>
        </w:rPr>
        <w:t>941</w:t>
      </w:r>
      <w:r>
        <w:rPr>
          <w:rStyle w:val="Text8"/>
        </w:rPr>
        <w:t xml:space="preserve"> </w:t>
      </w:r>
      <w:r>
        <w:t>https://documentation.ubuntu.com/rockcraft/stable/tutorial/chisel/</w:t>
      </w:r>
    </w:p>
    <w:p>
      <w:pPr>
        <w:pStyle w:val="Para 05"/>
      </w:pPr>
      <w:r>
        <w:rPr>
          <w:rStyle w:val="Text5"/>
        </w:rPr>
        <w:t>942</w:t>
      </w:r>
      <w:r>
        <w:rPr>
          <w:rStyle w:val="Text8"/>
        </w:rPr>
        <w:t xml:space="preserve"> </w:t>
      </w:r>
      <w:r>
        <w:t>https://github.com/opencontainers/image-spec/blob/main/spec.md</w:t>
      </w:r>
    </w:p>
    <w:p>
      <w:bookmarkStart w:id="1415" w:name="page_89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5" name="index-897_1.png" descr="index-897_1.png"/>
            <wp:cNvGraphicFramePr>
              <a:graphicFrameLocks noChangeAspect="1"/>
            </wp:cNvGraphicFramePr>
            <a:graphic>
              <a:graphicData uri="http://schemas.openxmlformats.org/drawingml/2006/picture">
                <pic:pic>
                  <pic:nvPicPr>
                    <pic:cNvPr id="0" name="index-897_1.png" descr="index-897_1.png"/>
                    <pic:cNvPicPr/>
                  </pic:nvPicPr>
                  <pic:blipFill>
                    <a:blip r:embed="rId939"/>
                    <a:stretch>
                      <a:fillRect/>
                    </a:stretch>
                  </pic:blipFill>
                  <pic:spPr>
                    <a:xfrm>
                      <a:off x="0" y="0"/>
                      <a:ext cx="914400" cy="266700"/>
                    </a:xfrm>
                    <a:prstGeom prst="rect">
                      <a:avLst/>
                    </a:prstGeom>
                  </pic:spPr>
                </pic:pic>
              </a:graphicData>
            </a:graphic>
          </wp:anchor>
        </w:drawing>
      </w:r>
      <w:bookmarkEnd w:id="1415"/>
    </w:p>
    <w:p>
      <w:pPr>
        <w:pStyle w:val="Para 09"/>
      </w:pPr>
      <w:r>
        <w:t>(continued from previous page)</w:t>
      </w:r>
    </w:p>
    <w:p>
      <w:pPr>
        <w:pStyle w:val="Normal"/>
      </w:pPr>
      <w:r>
        <w:t>$ sudo apt install oci-image-tool</w:t>
      </w:r>
    </w:p>
    <w:p>
      <w:pPr>
        <w:pStyle w:val="Normal"/>
      </w:pPr>
      <w:r>
        <w:t>$ oci-image-tool unpack --ref</w:t>
        <w:t xml:space="preserve"> </w:t>
        <w:t>name</w:t>
        <w:t>=</w:t>
        <w:t>latest chiselled-hello.oci /tmp/chiselled-hello</w:t>
        <w:t xml:space="preserve"> </w:t>
      </w:r>
      <w:r>
        <w:rPr>
          <w:rStyle w:val="Text3"/>
        </w:rPr>
        <w:t># Create some paths the kernel would be unhappy if they would be missing</w:t>
      </w:r>
      <w:r>
        <w:t xml:space="preserve"> </w:t>
        <w:t>$ mkdir /tmp/chiselled-hello/</w:t>
        <w:t>{</w:t>
        <w:t>dev,proc,sys,run,var</w:t>
        <w:t>}</w:t>
        <w:t xml:space="preserve"> </w:t>
      </w:r>
      <w:r>
        <w:rPr>
          <w:rStyle w:val="Text3"/>
        </w:rPr>
        <w:t># Convert the directory to a qcow2 image</w:t>
      </w:r>
    </w:p>
    <w:p>
      <w:pPr>
        <w:pStyle w:val="Normal"/>
      </w:pPr>
      <w:r>
        <w:t>$ sudo apt install guestfs-tools</w:t>
      </w:r>
    </w:p>
    <w:p>
      <w:pPr>
        <w:pStyle w:val="Normal"/>
      </w:pPr>
      <w:r>
        <w:t>$ sudo virt-make-fs --format</w:t>
        <w:t>=</w:t>
        <w:t>qcow2 --size</w:t>
        <w:t>=</w:t>
        <w:t>50M /tmp/chiselled-hello chiselled-hello.qcow2</w:t>
      </w:r>
    </w:p>
    <w:p>
      <w:pPr>
        <w:pStyle w:val="Para 17"/>
      </w:pPr>
      <w:r>
        <w:t/>
      </w:r>
    </w:p>
    <w:p>
      <w:pPr>
        <w:pStyle w:val="Para 01"/>
      </w:pPr>
      <w:r>
        <w:t>Run the stripped workload in QEMU</w:t>
      </w:r>
    </w:p>
    <w:p>
      <w:pPr>
        <w:pStyle w:val="Para 17"/>
      </w:pPr>
      <w:r>
        <w:t/>
      </w:r>
    </w:p>
    <w:p>
      <w:pPr>
        <w:pStyle w:val="Normal"/>
      </w:pPr>
      <w:r>
        <w:t>Now that we have a stripped-down workload as an example, we can run it in standard QEMU and see that this is much quicker than booting a full operating system.</w:t>
      </w:r>
    </w:p>
    <w:p>
      <w:pPr>
        <w:pStyle w:val="Normal"/>
      </w:pPr>
      <w:r>
        <w:t>$ sudo qemu-system-x86_64 -m 128M -machine</w:t>
        <w:t xml:space="preserve"> </w:t>
        <w:t>accel</w:t>
        <w:t>=</w:t>
        <w:t>kvm</w:t>
        <w:t xml:space="preserve"> </w:t>
      </w:r>
      <w:r>
        <w:rPr>
          <w:rStyle w:val="Text0"/>
        </w:rPr>
        <w:t>\</w:t>
      </w:r>
    </w:p>
    <w:p>
      <w:pPr>
        <w:pStyle w:val="Para 02"/>
      </w:pPr>
      <w:r>
        <w:t>-kernel /boot/vmlinuz-</w:t>
      </w:r>
      <w:r>
        <w:rPr>
          <w:rStyle w:val="Text0"/>
        </w:rPr>
        <w:t>$(</w:t>
      </w:r>
      <w:r>
        <w:t>uname -r</w:t>
      </w:r>
      <w:r>
        <w:rPr>
          <w:rStyle w:val="Text0"/>
        </w:rPr>
        <w:t>)</w:t>
      </w:r>
      <w:r>
        <w:t xml:space="preserve"> </w:t>
      </w:r>
      <w:r>
        <w:rPr>
          <w:rStyle w:val="Text0"/>
        </w:rPr>
        <w:t>\</w:t>
      </w:r>
    </w:p>
    <w:p>
      <w:pPr>
        <w:pStyle w:val="Para 02"/>
      </w:pPr>
      <w:r>
        <w:t>-append</w:t>
        <w:t xml:space="preserve"> </w:t>
        <w:t>'console=ttyS0 root=/dev/vda fsck.mode=skip init=/usr/bin/hello'</w:t>
        <w:t xml:space="preserve"> </w:t>
      </w:r>
      <w:r>
        <w:rPr>
          <w:rStyle w:val="Text0"/>
        </w:rPr>
        <w:t>\</w:t>
      </w:r>
      <w:r>
        <w:t>-nodefaults -no-user-config</w:t>
        <w:t xml:space="preserve"> </w:t>
      </w:r>
      <w:r>
        <w:rPr>
          <w:rStyle w:val="Text0"/>
        </w:rPr>
        <w:t>\</w:t>
      </w:r>
    </w:p>
    <w:p>
      <w:pPr>
        <w:pStyle w:val="Para 02"/>
      </w:pPr>
      <w:r>
        <w:t>-display none -serial mon:stdio</w:t>
        <w:t xml:space="preserve"> </w:t>
      </w:r>
      <w:r>
        <w:rPr>
          <w:rStyle w:val="Text0"/>
        </w:rPr>
        <w:t>\</w:t>
      </w:r>
    </w:p>
    <w:p>
      <w:pPr>
        <w:pStyle w:val="Para 02"/>
      </w:pPr>
      <w:r>
        <w:t>-drive</w:t>
        <w:t xml:space="preserve"> </w:t>
        <w:t>file</w:t>
        <w:t>=</w:t>
        <w:t>chiselled-hello.qcow2,index</w:t>
        <w:t>=</w:t>
        <w:t>0</w:t>
        <w:t>,format</w:t>
        <w:t>=</w:t>
        <w:t>qcow2,media</w:t>
        <w:t>=</w:t>
        <w:t>disk,if</w:t>
        <w:t>=</w:t>
        <w:t>none,id</w:t>
        <w:t>=</w:t>
        <w:t>virtio1</w:t>
        <w:t xml:space="preserve"> </w:t>
      </w:r>
      <w:r>
        <w:rPr>
          <w:rStyle w:val="Text0"/>
        </w:rPr>
        <w:t>\</w:t>
      </w:r>
      <w:r>
        <w:t>-device virtio-blk-pci,drive</w:t>
        <w:t>=</w:t>
        <w:t>virtio1</w:t>
      </w:r>
    </w:p>
    <w:p>
      <w:pPr>
        <w:pStyle w:val="Normal"/>
      </w:pPr>
      <w:r>
        <w:t>...</w:t>
      </w:r>
    </w:p>
    <w:p>
      <w:pPr>
        <w:pStyle w:val="Normal"/>
      </w:pPr>
      <w:r>
        <w:t>[</w:t>
        <w:t xml:space="preserve"> </w:t>
        <w:t>2</w:t>
        <w:t>.116207</w:t>
        <w:t>]</w:t>
        <w:t xml:space="preserve"> </w:t>
        <w:t>Run /usr/bin/hello as init process</w:t>
        <w:t xml:space="preserve"> </w:t>
        <w:t>Hello, world!</w:t>
      </w:r>
    </w:p>
    <w:p>
      <w:pPr>
        <w:pStyle w:val="Para 17"/>
      </w:pPr>
      <w:r>
        <w:t/>
      </w:r>
    </w:p>
    <w:p>
      <w:pPr>
        <w:pStyle w:val="Normal"/>
      </w:pPr>
      <w:r>
        <w:t>Breaking down the command-line elements and their purpose in this context:</w:t>
      </w:r>
    </w:p>
    <w:p>
      <w:bookmarkStart w:id="1416" w:name="calibre_pb_259"/>
      <w:pPr>
        <w:pStyle w:val="0 Block"/>
      </w:pPr>
      <w:bookmarkEnd w:id="1416"/>
    </w:p>
    <w:p>
      <w:bookmarkStart w:id="1417" w:name="Top_of_index_split_260_html"/>
      <w:bookmarkStart w:id="1418" w:name="page_89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6" name="index-898_1.png" descr="index-898_1.png"/>
            <wp:cNvGraphicFramePr>
              <a:graphicFrameLocks noChangeAspect="1"/>
            </wp:cNvGraphicFramePr>
            <a:graphic>
              <a:graphicData uri="http://schemas.openxmlformats.org/drawingml/2006/picture">
                <pic:pic>
                  <pic:nvPicPr>
                    <pic:cNvPr id="0" name="index-898_1.png" descr="index-898_1.png"/>
                    <pic:cNvPicPr/>
                  </pic:nvPicPr>
                  <pic:blipFill>
                    <a:blip r:embed="rId940"/>
                    <a:stretch>
                      <a:fillRect/>
                    </a:stretch>
                  </pic:blipFill>
                  <pic:spPr>
                    <a:xfrm>
                      <a:off x="0" y="0"/>
                      <a:ext cx="914400" cy="266700"/>
                    </a:xfrm>
                    <a:prstGeom prst="rect">
                      <a:avLst/>
                    </a:prstGeom>
                  </pic:spPr>
                </pic:pic>
              </a:graphicData>
            </a:graphic>
          </wp:anchor>
        </w:drawing>
      </w:r>
      <w:bookmarkEnd w:id="1417"/>
      <w:bookmarkEnd w:id="1418"/>
    </w:p>
    <w:p>
      <w:pPr>
        <w:pStyle w:val="Para 01"/>
      </w:pPr>
      <w:r>
        <w:t>command-</w:t>
      </w:r>
      <w:r>
        <w:rPr>
          <w:rStyle w:val="Text0"/>
        </w:rPr>
        <w:t xml:space="preserve"> </w:t>
      </w:r>
      <w:r>
        <w:t>Explanation</w:t>
      </w:r>
    </w:p>
    <w:p>
      <w:pPr>
        <w:pStyle w:val="Para 08"/>
      </w:pPr>
      <w:r>
        <w:t>line element</w:t>
      </w:r>
    </w:p>
    <w:p>
      <w:pPr>
        <w:pStyle w:val="Para 03"/>
      </w:pPr>
      <w:r>
        <w:t>sudo sudo is a simple way for this example to work, but not recommended. Sce-</w:t>
      </w:r>
    </w:p>
    <w:p>
      <w:pPr>
        <w:pStyle w:val="Para 21"/>
      </w:pPr>
      <w:r>
        <w:t>narios outside of an example should use separate kernel images and a user that is a member of the kvm group to access /dev/kvm.</w:t>
      </w:r>
    </w:p>
    <w:p>
      <w:pPr>
        <w:pStyle w:val="Para 03"/>
      </w:pPr>
      <w:r>
        <w:t>qemu-system- Call the usual binary of QEMU used for system virtualization.</w:t>
      </w:r>
    </w:p>
    <w:p>
      <w:pPr>
        <w:pStyle w:val="Para 03"/>
      </w:pPr>
      <w:r>
        <w:t>x86_64</w:t>
      </w:r>
    </w:p>
    <w:p>
      <w:pPr>
        <w:pStyle w:val="Para 03"/>
      </w:pPr>
      <w:r>
        <w:t>-m 128M Allocate 128 megabytes of RAM for the guest.</w:t>
      </w:r>
    </w:p>
    <w:p>
      <w:pPr>
        <w:pStyle w:val="Para 03"/>
      </w:pPr>
      <w:r>
        <w:t>-machine ac- Enable KVM.</w:t>
      </w:r>
    </w:p>
    <w:p>
      <w:pPr>
        <w:pStyle w:val="Para 03"/>
      </w:pPr>
      <w:r>
        <w:t>cel=kvm</w:t>
      </w:r>
    </w:p>
    <w:p>
      <w:pPr>
        <w:pStyle w:val="Para 03"/>
      </w:pPr>
      <w:r>
        <w:t>-kernel Load the currently running kernel for the guest.</w:t>
      </w:r>
    </w:p>
    <w:p>
      <w:pPr>
        <w:pStyle w:val="Para 03"/>
      </w:pPr>
      <w:r>
        <w:t>/boot/</w:t>
      </w:r>
    </w:p>
    <w:p>
      <w:pPr>
        <w:pStyle w:val="Para 03"/>
      </w:pPr>
      <w:r>
        <w:t>vmlinuz-</w:t>
      </w:r>
    </w:p>
    <w:p>
      <w:pPr>
        <w:pStyle w:val="Para 03"/>
      </w:pPr>
      <w:r>
        <w:t>$(uname -r)</w:t>
      </w:r>
    </w:p>
    <w:p>
      <w:pPr>
        <w:pStyle w:val="Para 03"/>
      </w:pPr>
      <w:r>
        <w:t xml:space="preserve">-append '... </w:t>
        <w:t>This passes four arguments to the kernel explained one by one in the fol-</w:t>
      </w:r>
    </w:p>
    <w:p>
      <w:pPr>
        <w:pStyle w:val="Para 03"/>
      </w:pPr>
      <w:r>
        <w:t>' lowing rows.</w:t>
      </w:r>
    </w:p>
    <w:p>
      <w:pPr>
        <w:pStyle w:val="Para 03"/>
      </w:pPr>
      <w:r>
        <w:t>con- Tells the kernel which serial console it should send its output to.</w:t>
      </w:r>
    </w:p>
    <w:p>
      <w:pPr>
        <w:pStyle w:val="Para 03"/>
      </w:pPr>
      <w:r>
        <w:t>sole=ttyS0</w:t>
      </w:r>
    </w:p>
    <w:p>
      <w:pPr>
        <w:pStyle w:val="Para 03"/>
      </w:pPr>
      <w:r>
        <w:t>root=/dev/ Informs it where to expect the root device matching the virtio-block de-</w:t>
      </w:r>
    </w:p>
    <w:p>
      <w:pPr>
        <w:pStyle w:val="Para 03"/>
      </w:pPr>
      <w:r>
        <w:t>vda vice we provide.</w:t>
      </w:r>
    </w:p>
    <w:p>
      <w:pPr>
        <w:pStyle w:val="Para 03"/>
      </w:pPr>
      <w:r>
        <w:t>fsck. Instructs the kernel to skip filesystem checks, which saves time.</w:t>
      </w:r>
    </w:p>
    <w:p>
      <w:pPr>
        <w:pStyle w:val="Para 03"/>
      </w:pPr>
      <w:r>
        <w:t>mode=skip</w:t>
      </w:r>
    </w:p>
    <w:p>
      <w:pPr>
        <w:pStyle w:val="Para 03"/>
      </w:pPr>
      <w:r>
        <w:t>init=/usr/ Tell the kernel to directly start our test workload.</w:t>
      </w:r>
    </w:p>
    <w:p>
      <w:pPr>
        <w:pStyle w:val="Para 03"/>
      </w:pPr>
      <w:r>
        <w:t>bin/hello</w:t>
      </w:r>
    </w:p>
    <w:p>
      <w:pPr>
        <w:pStyle w:val="Para 03"/>
      </w:pPr>
      <w:r>
        <w:t>-nodefaults Do not create the default set of devices.</w:t>
      </w:r>
    </w:p>
    <w:p>
      <w:pPr>
        <w:pStyle w:val="Para 03"/>
      </w:pPr>
      <w:r>
        <w:t>-no-user- Do not load any user provided config files.</w:t>
      </w:r>
    </w:p>
    <w:p>
      <w:pPr>
        <w:pStyle w:val="Para 03"/>
      </w:pPr>
      <w:r>
        <w:t>config</w:t>
      </w:r>
    </w:p>
    <w:p>
      <w:pPr>
        <w:pStyle w:val="Para 03"/>
      </w:pPr>
      <w:r>
        <w:t>-display Disable video output (due to-nodefaults and-display none we do not</w:t>
      </w:r>
    </w:p>
    <w:p>
      <w:pPr>
        <w:pStyle w:val="Para 03"/>
      </w:pPr>
      <w:r>
        <w:t>none also need-nographic).</w:t>
      </w:r>
    </w:p>
    <w:p>
      <w:pPr>
        <w:pStyle w:val="Para 03"/>
      </w:pPr>
      <w:r>
        <w:t>-serial Map the virtual serial port and the monitor (for debugging) to stdio</w:t>
      </w:r>
    </w:p>
    <w:p>
      <w:pPr>
        <w:pStyle w:val="Para 03"/>
      </w:pPr>
      <w:r>
        <w:t>mon:stdio</w:t>
      </w:r>
    </w:p>
    <w:p>
      <w:pPr>
        <w:pStyle w:val="Para 03"/>
      </w:pPr>
      <w:r>
        <w:t>-drive ... - Provide our test image as virtio-based block device.</w:t>
      </w:r>
    </w:p>
    <w:p>
      <w:pPr>
        <w:pStyle w:val="Para 03"/>
      </w:pPr>
      <w:r>
        <w:t>device ...</w:t>
      </w:r>
    </w:p>
    <w:p>
      <w:pPr>
        <w:pStyle w:val="Para 17"/>
      </w:pPr>
      <w:r>
        <w:t/>
      </w:r>
    </w:p>
    <w:p>
      <w:pPr>
        <w:pStyle w:val="Normal"/>
      </w:pPr>
      <w:r>
        <w:t>After running this example we notice that, by changing the workload to something small and streamlined, the execution time went down from about 1 minute (when booting a bootloader into a full OS into a workload) to about 2 seconds (from when the kernel started accounting time), as expected.</w:t>
      </w:r>
    </w:p>
    <w:p>
      <w:pPr>
        <w:pStyle w:val="Normal"/>
      </w:pPr>
      <w:r>
        <w:t xml:space="preserve">For the purpose of what this page wants to explain, it is not important to be perfectly accu-rate and stable. We are now in the right order of magnitude (seconds instead of a minute) in regard to the </w:t>
      </w:r>
      <w:r>
        <w:rPr>
          <w:rStyle w:val="Text3"/>
        </w:rPr>
        <w:t>overall time spent</w:t>
      </w:r>
      <w:r>
        <w:t xml:space="preserve"> to begin focusing on the time that the initialisation of firmware and QEMU consume.</w:t>
      </w:r>
    </w:p>
    <w:p>
      <w:bookmarkStart w:id="1419" w:name="page_8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7" name="index-899_1.png" descr="index-899_1.png"/>
            <wp:cNvGraphicFramePr>
              <a:graphicFrameLocks noChangeAspect="1"/>
            </wp:cNvGraphicFramePr>
            <a:graphic>
              <a:graphicData uri="http://schemas.openxmlformats.org/drawingml/2006/picture">
                <pic:pic>
                  <pic:nvPicPr>
                    <pic:cNvPr id="0" name="index-899_1.png" descr="index-899_1.png"/>
                    <pic:cNvPicPr/>
                  </pic:nvPicPr>
                  <pic:blipFill>
                    <a:blip r:embed="rId941"/>
                    <a:stretch>
                      <a:fillRect/>
                    </a:stretch>
                  </pic:blipFill>
                  <pic:spPr>
                    <a:xfrm>
                      <a:off x="0" y="0"/>
                      <a:ext cx="914400" cy="266700"/>
                    </a:xfrm>
                    <a:prstGeom prst="rect">
                      <a:avLst/>
                    </a:prstGeom>
                  </pic:spPr>
                </pic:pic>
              </a:graphicData>
            </a:graphic>
          </wp:anchor>
        </w:drawing>
      </w:r>
      <w:bookmarkEnd w:id="1419"/>
    </w:p>
    <w:p>
      <w:pPr>
        <w:pStyle w:val="Para 17"/>
      </w:pPr>
      <w:r>
        <w:t/>
      </w:r>
    </w:p>
    <w:p>
      <w:pPr>
        <w:pStyle w:val="Para 01"/>
      </w:pPr>
      <w:r>
        <w:t>Using qboot and microvm</w:t>
      </w:r>
    </w:p>
    <w:p>
      <w:pPr>
        <w:pStyle w:val="Para 17"/>
      </w:pPr>
      <w:r>
        <w:t/>
      </w:r>
    </w:p>
    <w:p>
      <w:pPr>
        <w:pStyle w:val="Normal"/>
      </w:pPr>
      <w:r>
        <w:t xml:space="preserve">In the same way as </w:t>
      </w:r>
      <w:hyperlink w:anchor="page_899">
        <w:r>
          <w:rPr>
            <w:rStyle w:val="Text9"/>
          </w:rPr>
          <w:t>943</w:t>
        </w:r>
      </w:hyperlink>
      <w:r>
        <w:t xml:space="preserve"> qemu-system-x86-microvm is a reduced QEMU, </w:t>
      </w:r>
      <w:hyperlink r:id="rId1759">
        <w:r>
          <w:rPr>
            <w:rStyle w:val="Text1"/>
          </w:rPr>
          <w:t>qboot</w:t>
        </w:r>
      </w:hyperlink>
      <w:r>
        <w:t xml:space="preserve"> is a simpler variant</w:t>
      </w:r>
    </w:p>
    <w:p>
      <w:pPr>
        <w:pStyle w:val="Normal"/>
      </w:pPr>
      <w:r>
        <w:t xml:space="preserve">to the extended feature set of </w:t>
      </w:r>
      <w:hyperlink r:id="rId1767">
        <w:r>
          <w:rPr>
            <w:rStyle w:val="Text9"/>
          </w:rPr>
          <w:t>944</w:t>
        </w:r>
      </w:hyperlink>
      <w:r>
        <w:t xml:space="preserve"> </w:t>
      </w:r>
      <w:hyperlink w:anchor="page_899">
        <w:r>
          <w:rPr>
            <w:rStyle w:val="Text9"/>
          </w:rPr>
          <w:t>945</w:t>
        </w:r>
      </w:hyperlink>
      <w:hyperlink w:anchor="page_899">
        <w:r>
          <w:rPr>
            <w:rStyle w:val="Text1"/>
          </w:rPr>
          <w:t xml:space="preserve"> SeaBIOS</w:t>
        </w:r>
      </w:hyperlink>
      <w:r>
        <w:t xml:space="preserve"> or </w:t>
      </w:r>
      <w:hyperlink r:id="rId1768">
        <w:r>
          <w:rPr>
            <w:rStyle w:val="Text1"/>
          </w:rPr>
          <w:t>UEFI</w:t>
        </w:r>
      </w:hyperlink>
      <w:r>
        <w:t xml:space="preserve"> that can do less, but therefore is faster at doing what it can.</w:t>
      </w:r>
    </w:p>
    <w:p>
      <w:pPr>
        <w:pStyle w:val="Normal"/>
      </w:pPr>
      <w:r>
        <w:t>If your system does not need the extended feature sets you can try qboot if this gives you an improvement for your use case. To do so add-bios /usr/share/qemu/qboot.rom to the QEMU command line.</w:t>
      </w:r>
    </w:p>
    <w:p>
      <w:pPr>
        <w:pStyle w:val="Normal"/>
      </w:pPr>
      <w:hyperlink r:id="rId1769">
        <w:r>
          <w:rPr>
            <w:rStyle w:val="Text1"/>
          </w:rPr>
          <w:t>QEMU microvm</w:t>
        </w:r>
      </w:hyperlink>
      <w:hyperlink w:anchor="page_899">
        <w:r>
          <w:rPr>
            <w:rStyle w:val="Text9"/>
          </w:rPr>
          <w:t>946</w:t>
        </w:r>
      </w:hyperlink>
      <w:hyperlink w:anchor="page_899">
        <w:r>
          <w:rPr>
            <w:rStyle w:val="Text1"/>
          </w:rPr>
          <w:t xml:space="preserve"> </w:t>
        </w:r>
      </w:hyperlink>
      <w:hyperlink w:anchor="page_899">
        <w:r>
          <w:rPr>
            <w:rStyle w:val="Text9"/>
          </w:rPr>
          <w:t>947</w:t>
        </w:r>
      </w:hyperlink>
      <w:r>
        <w:t xml:space="preserve"> is a machine type inspired by </w:t>
      </w:r>
      <w:hyperlink r:id="rId1762">
        <w:r>
          <w:rPr>
            <w:rStyle w:val="Text1"/>
          </w:rPr>
          <w:t>Firecracker</w:t>
        </w:r>
      </w:hyperlink>
      <w:r>
        <w:t xml:space="preserve"> and constructed after its ma-chine model.</w:t>
      </w:r>
    </w:p>
    <w:p>
      <w:pPr>
        <w:pStyle w:val="Normal"/>
      </w:pPr>
      <w:r>
        <w:t xml:space="preserve">In Ubuntu, we provide this on x86 as qemu-system-x86_64-microvm alongside the </w:t>
      </w:r>
      <w:r>
        <w:rPr>
          <w:rStyle w:val="Text3"/>
        </w:rPr>
        <w:t>standard</w:t>
      </w:r>
      <w:r>
        <w:t xml:space="preserve"> QEMU in the package qemu-system-x86.</w:t>
      </w:r>
    </w:p>
    <w:p>
      <w:pPr>
        <w:pStyle w:val="Normal"/>
      </w:pPr>
      <w:r>
        <w:t>Microvm aims for maximum compatibility by default; this means that you will probably want to switch off some more legacy devices that are not shown in this example. But for what is shown here, we want to keep it rather comparable to the non-microvm invocation. For more</w:t>
      </w:r>
    </w:p>
    <w:p>
      <w:pPr>
        <w:pStyle w:val="Normal"/>
      </w:pPr>
      <w:r>
        <w:t xml:space="preserve">details on what else could be disabled see </w:t>
      </w:r>
      <w:hyperlink r:id="rId1770">
        <w:r>
          <w:rPr>
            <w:rStyle w:val="Text9"/>
          </w:rPr>
          <w:t>948</w:t>
        </w:r>
      </w:hyperlink>
      <w:hyperlink r:id="rId1770">
        <w:r>
          <w:rPr>
            <w:rStyle w:val="Text1"/>
          </w:rPr>
          <w:t xml:space="preserve"> microvm</w:t>
        </w:r>
      </w:hyperlink>
      <w:r>
        <w:t>.</w:t>
      </w:r>
    </w:p>
    <w:p>
      <w:pPr>
        <w:pStyle w:val="Normal"/>
      </w:pPr>
      <w:r>
        <w:t>Run the guest in qemu-system-x86_64-microvm:</w:t>
      </w:r>
    </w:p>
    <w:p>
      <w:pPr>
        <w:pStyle w:val="Normal"/>
      </w:pPr>
      <w:r>
        <w:t>$ sudo qemu-system-x86_64-microvm -m 128M -machine</w:t>
        <w:t xml:space="preserve"> </w:t>
        <w:t>accel</w:t>
        <w:t>=</w:t>
        <w:t>kvm,rtc</w:t>
        <w:t>=</w:t>
        <w:t>on</w:t>
        <w:t xml:space="preserve"> </w:t>
      </w:r>
      <w:r>
        <w:rPr>
          <w:rStyle w:val="Text0"/>
        </w:rPr>
        <w:t>\</w:t>
      </w:r>
    </w:p>
    <w:p>
      <w:pPr>
        <w:pStyle w:val="Para 02"/>
      </w:pPr>
      <w:r>
        <w:t>-bios /usr/share/qemu/qboot.rom</w:t>
        <w:t xml:space="preserve"> </w:t>
      </w:r>
      <w:r>
        <w:rPr>
          <w:rStyle w:val="Text0"/>
        </w:rPr>
        <w:t>\</w:t>
      </w:r>
    </w:p>
    <w:p>
      <w:pPr>
        <w:pStyle w:val="Para 02"/>
      </w:pPr>
      <w:r>
        <w:t>-kernel /boot/vmlinuz-</w:t>
      </w:r>
      <w:r>
        <w:rPr>
          <w:rStyle w:val="Text0"/>
        </w:rPr>
        <w:t>$(</w:t>
      </w:r>
      <w:r>
        <w:t>uname -r</w:t>
      </w:r>
      <w:r>
        <w:rPr>
          <w:rStyle w:val="Text0"/>
        </w:rPr>
        <w:t>)</w:t>
      </w:r>
      <w:r>
        <w:t xml:space="preserve"> </w:t>
      </w:r>
      <w:r>
        <w:rPr>
          <w:rStyle w:val="Text0"/>
        </w:rPr>
        <w:t>\</w:t>
      </w:r>
    </w:p>
    <w:p>
      <w:pPr>
        <w:pStyle w:val="Para 02"/>
      </w:pPr>
      <w:r>
        <w:t>-append</w:t>
        <w:t xml:space="preserve"> </w:t>
        <w:t>'console=ttyS0 root=/dev/vda fsck.mode=skip init=/usr/bin/hello'</w:t>
        <w:t xml:space="preserve"> </w:t>
      </w:r>
      <w:r>
        <w:rPr>
          <w:rStyle w:val="Text0"/>
        </w:rPr>
        <w:t>\</w:t>
      </w:r>
      <w:r>
        <w:t>-nodefaults -no-user-config</w:t>
        <w:t xml:space="preserve"> </w:t>
      </w:r>
      <w:r>
        <w:rPr>
          <w:rStyle w:val="Text0"/>
        </w:rPr>
        <w:t>\</w:t>
      </w:r>
    </w:p>
    <w:p>
      <w:pPr>
        <w:pStyle w:val="Para 02"/>
      </w:pPr>
      <w:r>
        <w:t>-display none -serial mon:stdio</w:t>
        <w:t xml:space="preserve"> </w:t>
      </w:r>
      <w:r>
        <w:rPr>
          <w:rStyle w:val="Text0"/>
        </w:rPr>
        <w:t>\</w:t>
      </w:r>
    </w:p>
    <w:p>
      <w:pPr>
        <w:pStyle w:val="Para 02"/>
      </w:pPr>
      <w:r>
        <w:t>-drive</w:t>
        <w:t xml:space="preserve"> </w:t>
        <w:t>file</w:t>
        <w:t>=</w:t>
        <w:t>chiselled-hello.qcow2,index</w:t>
        <w:t>=</w:t>
        <w:t>0</w:t>
        <w:t>,format</w:t>
        <w:t>=</w:t>
        <w:t>qcow2,media</w:t>
        <w:t>=</w:t>
        <w:t>disk,if</w:t>
        <w:t>=</w:t>
        <w:t>none,id</w:t>
        <w:t>=</w:t>
        <w:t>virtio1 -</w:t>
      </w:r>
    </w:p>
    <w:p>
      <w:pPr>
        <w:pStyle w:val="Normal"/>
      </w:pPr>
      <w:r>
        <w:t>device virtio-blk-device,drive</w:t>
        <w:t>=</w:t>
        <w:t>virtio1</w:t>
      </w:r>
    </w:p>
    <w:p>
      <w:pPr>
        <w:pStyle w:val="Para 17"/>
      </w:pPr>
      <w:r>
        <w:t/>
      </w:r>
    </w:p>
    <w:p>
      <w:pPr>
        <w:pStyle w:val="Normal"/>
      </w:pPr>
      <w:r>
        <w:t>Breaking down the changes to the command-line elements and their purpose:</w:t>
      </w:r>
    </w:p>
    <w:p>
      <w:pPr>
        <w:pStyle w:val="Para 05"/>
      </w:pPr>
      <w:r>
        <w:rPr>
          <w:rStyle w:val="Text5"/>
        </w:rPr>
        <w:t>943</w:t>
      </w:r>
      <w:r>
        <w:rPr>
          <w:rStyle w:val="Text8"/>
        </w:rPr>
        <w:t xml:space="preserve"> </w:t>
      </w:r>
      <w:r>
        <w:t>https://github.com/bonzini/qboot</w:t>
      </w:r>
    </w:p>
    <w:p>
      <w:pPr>
        <w:pStyle w:val="Para 05"/>
      </w:pPr>
      <w:r>
        <w:rPr>
          <w:rStyle w:val="Text5"/>
        </w:rPr>
        <w:t>944</w:t>
      </w:r>
      <w:r>
        <w:rPr>
          <w:rStyle w:val="Text8"/>
        </w:rPr>
        <w:t xml:space="preserve"> </w:t>
      </w:r>
      <w:r>
        <w:t>https://www.seabios.org</w:t>
      </w:r>
    </w:p>
    <w:p>
      <w:pPr>
        <w:pStyle w:val="Para 05"/>
      </w:pPr>
      <w:r>
        <w:rPr>
          <w:rStyle w:val="Text5"/>
        </w:rPr>
        <w:t>945</w:t>
      </w:r>
      <w:r>
        <w:rPr>
          <w:rStyle w:val="Text8"/>
        </w:rPr>
        <w:t xml:space="preserve"> </w:t>
      </w:r>
      <w:r>
        <w:t>https://github.com/tianocore/edk2</w:t>
      </w:r>
    </w:p>
    <w:p>
      <w:pPr>
        <w:pStyle w:val="Para 05"/>
      </w:pPr>
      <w:r>
        <w:rPr>
          <w:rStyle w:val="Text5"/>
        </w:rPr>
        <w:t>946</w:t>
      </w:r>
      <w:r>
        <w:rPr>
          <w:rStyle w:val="Text8"/>
        </w:rPr>
        <w:t xml:space="preserve"> </w:t>
      </w:r>
      <w:r>
        <w:t>https://github.com/qemu/qemu/blob/master/docs/system/i386/microvm.rst</w:t>
      </w:r>
    </w:p>
    <w:p>
      <w:pPr>
        <w:pStyle w:val="Para 05"/>
      </w:pPr>
      <w:r>
        <w:rPr>
          <w:rStyle w:val="Text5"/>
        </w:rPr>
        <w:t>947</w:t>
      </w:r>
      <w:r>
        <w:rPr>
          <w:rStyle w:val="Text8"/>
        </w:rPr>
        <w:t xml:space="preserve"> </w:t>
      </w:r>
      <w:r>
        <w:t>https://firecracker-microvm.github.io/</w:t>
      </w:r>
    </w:p>
    <w:p>
      <w:pPr>
        <w:pStyle w:val="Para 05"/>
      </w:pPr>
      <w:r>
        <w:rPr>
          <w:rStyle w:val="Text5"/>
        </w:rPr>
        <w:t>948</w:t>
      </w:r>
      <w:r>
        <w:rPr>
          <w:rStyle w:val="Text8"/>
        </w:rPr>
        <w:t xml:space="preserve"> </w:t>
      </w:r>
      <w:r>
        <w:t>https://github.com/qemu/qemu/blob/master/docs/system/i386/microvm.rst#</w:t>
      </w:r>
    </w:p>
    <w:p>
      <w:pPr>
        <w:pStyle w:val="Para 16"/>
      </w:pPr>
      <w:r>
        <w:t>running-a-microvm-based-vm</w:t>
      </w:r>
    </w:p>
    <w:p>
      <w:bookmarkStart w:id="1420" w:name="calibre_pb_260"/>
      <w:pPr>
        <w:pStyle w:val="0 Block"/>
      </w:pPr>
      <w:bookmarkEnd w:id="1420"/>
    </w:p>
    <w:p>
      <w:bookmarkStart w:id="1421" w:name="Top_of_index_split_261_html"/>
      <w:bookmarkStart w:id="1422" w:name="page_90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8" name="index-900_1.png" descr="index-900_1.png"/>
            <wp:cNvGraphicFramePr>
              <a:graphicFrameLocks noChangeAspect="1"/>
            </wp:cNvGraphicFramePr>
            <a:graphic>
              <a:graphicData uri="http://schemas.openxmlformats.org/drawingml/2006/picture">
                <pic:pic>
                  <pic:nvPicPr>
                    <pic:cNvPr id="0" name="index-900_1.png" descr="index-900_1.png"/>
                    <pic:cNvPicPr/>
                  </pic:nvPicPr>
                  <pic:blipFill>
                    <a:blip r:embed="rId942"/>
                    <a:stretch>
                      <a:fillRect/>
                    </a:stretch>
                  </pic:blipFill>
                  <pic:spPr>
                    <a:xfrm>
                      <a:off x="0" y="0"/>
                      <a:ext cx="914400" cy="266700"/>
                    </a:xfrm>
                    <a:prstGeom prst="rect">
                      <a:avLst/>
                    </a:prstGeom>
                  </pic:spPr>
                </pic:pic>
              </a:graphicData>
            </a:graphic>
          </wp:anchor>
        </w:drawing>
      </w:r>
      <w:bookmarkEnd w:id="1421"/>
      <w:bookmarkEnd w:id="1422"/>
    </w:p>
    <w:p>
      <w:pPr>
        <w:pStyle w:val="Para 01"/>
      </w:pPr>
      <w:r>
        <w:t>command-Explanation</w:t>
      </w:r>
    </w:p>
    <w:p>
      <w:pPr>
        <w:pStyle w:val="Para 08"/>
      </w:pPr>
      <w:r>
        <w:t>line ele-</w:t>
      </w:r>
    </w:p>
    <w:p>
      <w:pPr>
        <w:pStyle w:val="Para 01"/>
      </w:pPr>
      <w:r>
        <w:t>ment</w:t>
      </w:r>
    </w:p>
    <w:p>
      <w:pPr>
        <w:pStyle w:val="Para 03"/>
      </w:pPr>
      <w:r>
        <w:t>qemu- Call the lighter, feature-reduced QEMU binary.</w:t>
      </w:r>
    </w:p>
    <w:p>
      <w:pPr>
        <w:pStyle w:val="Para 03"/>
      </w:pPr>
      <w:r>
        <w:t>system-</w:t>
      </w:r>
    </w:p>
    <w:p>
      <w:pPr>
        <w:pStyle w:val="Para 03"/>
      </w:pPr>
      <w:r>
        <w:t>x86_64-</w:t>
      </w:r>
    </w:p>
    <w:p>
      <w:pPr>
        <w:pStyle w:val="Para 03"/>
      </w:pPr>
      <w:r>
        <w:t>microvm</w:t>
      </w:r>
    </w:p>
    <w:p>
      <w:pPr>
        <w:pStyle w:val="Para 03"/>
      </w:pPr>
      <w:r>
        <w:t>-bios Running QEMU as qemu-system-x86_64-microvm will auto-select /usr/share/</w:t>
      </w:r>
    </w:p>
    <w:p>
      <w:pPr>
        <w:pStyle w:val="Para 03"/>
      </w:pPr>
      <w:r>
        <w:t>/usr/ seabios/bios-microvm.bin which is a simplified SeaBIOS for this purpose. But,</w:t>
      </w:r>
    </w:p>
    <w:p>
      <w:pPr>
        <w:pStyle w:val="Para 03"/>
      </w:pPr>
      <w:r>
        <w:t>share/ for the example shown here we want the even simpler qboot, so in addition we</w:t>
      </w:r>
    </w:p>
    <w:p>
      <w:pPr>
        <w:pStyle w:val="Para 03"/>
      </w:pPr>
      <w:r>
        <w:t>qemu/ set-bios /usr/share/qemu/qboot.rom.</w:t>
      </w:r>
    </w:p>
    <w:p>
      <w:pPr>
        <w:pStyle w:val="Para 03"/>
      </w:pPr>
      <w:r>
        <w:t>qboot.</w:t>
      </w:r>
    </w:p>
    <w:p>
      <w:pPr>
        <w:pStyle w:val="Para 03"/>
      </w:pPr>
      <w:r>
        <w:t>rom</w:t>
      </w:r>
    </w:p>
    <w:p>
      <w:pPr>
        <w:pStyle w:val="Para 03"/>
      </w:pPr>
      <w:r>
        <w:rPr>
          <w:rStyle w:val="Text3"/>
        </w:rPr>
        <w:t>info</w:t>
      </w:r>
      <w:r>
        <w:t xml:space="preserve"> QEMU will auto-select the microvm machine type, equivalent to-M microvm</w:t>
      </w:r>
    </w:p>
    <w:p>
      <w:pPr>
        <w:pStyle w:val="Para 12"/>
      </w:pPr>
      <w:r>
        <w:t>which therefore doesn’t need to be explicitly included here.</w:t>
      </w:r>
    </w:p>
    <w:p>
      <w:pPr>
        <w:pStyle w:val="Para 03"/>
      </w:pPr>
      <w:r>
        <w:t>... This feature-reduced QEMU only supports virtio-bus, so we need to switch</w:t>
      </w:r>
    </w:p>
    <w:p>
      <w:pPr>
        <w:pStyle w:val="Para 03"/>
      </w:pPr>
      <w:r>
        <w:t>virtio- the type virtio-blk-pci to virtio-blk-device.</w:t>
      </w:r>
    </w:p>
    <w:p>
      <w:pPr>
        <w:pStyle w:val="Para 03"/>
      </w:pPr>
      <w:r>
        <w:t>blk-</w:t>
      </w:r>
    </w:p>
    <w:p>
      <w:pPr>
        <w:pStyle w:val="Para 03"/>
      </w:pPr>
      <w:r>
        <w:t>device</w:t>
      </w:r>
    </w:p>
    <w:p>
      <w:pPr>
        <w:pStyle w:val="Para 03"/>
      </w:pPr>
      <w:r>
        <w:t>...</w:t>
      </w:r>
    </w:p>
    <w:p>
      <w:pPr>
        <w:pStyle w:val="Para 17"/>
      </w:pPr>
      <w:r>
        <w:t/>
      </w:r>
    </w:p>
    <w:p>
      <w:pPr>
        <w:pStyle w:val="Para 03"/>
      </w:pPr>
      <w:r>
        <w:t>Sadly, polluting this nice showcase there is currently an issue with the RTC initialisation</w:t>
      </w:r>
    </w:p>
    <w:p>
      <w:pPr>
        <w:pStyle w:val="Para 03"/>
      </w:pPr>
      <w:r>
        <w:t>not working in this mode - which makes the guest kernel wait ~1.3 + ~1.4 seconds. See</w:t>
      </w:r>
    </w:p>
    <w:p>
      <w:pPr>
        <w:pStyle w:val="Para 03"/>
      </w:pPr>
      <w:r>
        <w:t xml:space="preserve">this </w:t>
      </w:r>
      <w:hyperlink r:id="rId1771">
        <w:r>
          <w:rPr>
            <w:rStyle w:val="Text9"/>
          </w:rPr>
          <w:t>949</w:t>
        </w:r>
      </w:hyperlink>
      <w:hyperlink r:id="rId1771">
        <w:r>
          <w:rPr>
            <w:rStyle w:val="Text1"/>
          </w:rPr>
          <w:t xml:space="preserve"> QEMU bug</w:t>
        </w:r>
      </w:hyperlink>
      <w:r>
        <w:t xml:space="preserve"> if you are curious about that.</w:t>
      </w:r>
    </w:p>
    <w:p>
      <w:pPr>
        <w:pStyle w:val="Para 03"/>
      </w:pPr>
      <w:r>
        <w:t>But these changes were not about making the guest faster once it runs, instead it mostly</w:t>
      </w:r>
    </w:p>
    <w:p>
      <w:pPr>
        <w:pStyle w:val="Para 03"/>
      </w:pPr>
      <w:r>
        <w:t>is about the initialisation time (and kernel init by having less virtual hardware). And that</w:t>
      </w:r>
    </w:p>
    <w:p>
      <w:pPr>
        <w:pStyle w:val="Para 03"/>
      </w:pPr>
      <w:r>
        <w:t>we can check despite this issue.</w:t>
      </w:r>
    </w:p>
    <w:p>
      <w:pPr>
        <w:pStyle w:val="Para 05"/>
      </w:pPr>
      <w:r>
        <w:rPr>
          <w:rStyle w:val="Text5"/>
        </w:rPr>
        <w:t>949</w:t>
      </w:r>
      <w:r>
        <w:rPr>
          <w:rStyle w:val="Text8"/>
        </w:rPr>
        <w:t xml:space="preserve"> </w:t>
      </w:r>
      <w:r>
        <w:t>https://bugs.launchpad.net/bugs/2074073</w:t>
      </w:r>
    </w:p>
    <w:p>
      <w:pPr>
        <w:pStyle w:val="Para 17"/>
      </w:pPr>
      <w:r>
        <w:t/>
      </w:r>
    </w:p>
    <w:p>
      <w:pPr>
        <w:pStyle w:val="Normal"/>
      </w:pPr>
      <w:r>
        <w:t xml:space="preserve">On average, across a few runs (albeit not in a very performance-controlled environment) we can see the kernel start time to be 282ms faster comparing </w:t>
      </w:r>
      <w:r>
        <w:rPr>
          <w:rStyle w:val="Text3"/>
        </w:rPr>
        <w:t>normal QEMU</w:t>
      </w:r>
      <w:r>
        <w:t xml:space="preserve"> to microvm and another 526ms faster comparing microvm to microvm+qboot.</w:t>
      </w:r>
    </w:p>
    <w:p>
      <w:pPr>
        <w:pStyle w:val="Normal"/>
      </w:pPr>
      <w:r>
        <w:t>As mentioned, one could go further from here by disabling more legacy devices, using hvc-console, customising the guest CPU, switching off more subsystems like ACPI, or customising the kernel that is used. But this was meant to be an example on how microvm can be used in general, so we won’t make it more complex for now.</w:t>
      </w:r>
    </w:p>
    <w:p>
      <w:bookmarkStart w:id="1423" w:name="calibre_pb_261"/>
      <w:pPr>
        <w:pStyle w:val="0 Block"/>
      </w:pPr>
      <w:bookmarkEnd w:id="1423"/>
    </w:p>
    <w:p>
      <w:bookmarkStart w:id="1424" w:name="page_901"/>
      <w:bookmarkStart w:id="1425" w:name="Top_of_index_split_26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39" name="index-901_1.png" descr="index-901_1.png"/>
            <wp:cNvGraphicFramePr>
              <a:graphicFrameLocks noChangeAspect="1"/>
            </wp:cNvGraphicFramePr>
            <a:graphic>
              <a:graphicData uri="http://schemas.openxmlformats.org/drawingml/2006/picture">
                <pic:pic>
                  <pic:nvPicPr>
                    <pic:cNvPr id="0" name="index-901_1.png" descr="index-901_1.png"/>
                    <pic:cNvPicPr/>
                  </pic:nvPicPr>
                  <pic:blipFill>
                    <a:blip r:embed="rId943"/>
                    <a:stretch>
                      <a:fillRect/>
                    </a:stretch>
                  </pic:blipFill>
                  <pic:spPr>
                    <a:xfrm>
                      <a:off x="0" y="0"/>
                      <a:ext cx="914400" cy="266700"/>
                    </a:xfrm>
                    <a:prstGeom prst="rect">
                      <a:avLst/>
                    </a:prstGeom>
                  </pic:spPr>
                </pic:pic>
              </a:graphicData>
            </a:graphic>
          </wp:anchor>
        </w:drawing>
      </w:r>
      <w:bookmarkEnd w:id="1424"/>
      <w:bookmarkEnd w:id="1425"/>
    </w:p>
    <w:p>
      <w:pPr>
        <w:pStyle w:val="Para 01"/>
      </w:pPr>
      <w:r>
        <w:t>Alternative - using virtiofs</w:t>
      </w:r>
    </w:p>
    <w:p>
      <w:pPr>
        <w:pStyle w:val="Para 17"/>
      </w:pPr>
      <w:r>
        <w:t/>
      </w:r>
    </w:p>
    <w:p>
      <w:pPr>
        <w:pStyle w:val="Normal"/>
      </w:pPr>
      <w:r>
        <w:t>Another common path not fully explored in the example above is sharing the content with the guest via virtiofsd.</w:t>
      </w:r>
    </w:p>
    <w:p>
      <w:pPr>
        <w:pStyle w:val="Normal"/>
      </w:pPr>
      <w:r>
        <w:t>Doing so for our example could start with a conversion of the container artifact above to a shareable directory:</w:t>
      </w:r>
    </w:p>
    <w:p>
      <w:pPr>
        <w:pStyle w:val="Para 10"/>
      </w:pPr>
      <w:r>
        <w:t># Copy out the example the tutorial had in OCI format</w:t>
      </w:r>
    </w:p>
    <w:p>
      <w:pPr>
        <w:pStyle w:val="Normal"/>
      </w:pPr>
      <w:r>
        <w:t>$ sudo rockcraft.skopeo --insecure-policy copy oci-archive:chiselled-hello_latest_amd64.</w:t>
        <w:t xml:space="preserve"> </w:t>
        <w:t>rock oci:chiselled-hello.oci:latest</w:t>
      </w:r>
    </w:p>
    <w:p>
      <w:pPr>
        <w:pStyle w:val="Para 10"/>
      </w:pPr>
      <w:r>
        <w:t># Unpack that to a directory</w:t>
      </w:r>
    </w:p>
    <w:p>
      <w:pPr>
        <w:pStyle w:val="Normal"/>
      </w:pPr>
      <w:r>
        <w:t>$ sudo apt install oci-image-tool</w:t>
      </w:r>
    </w:p>
    <w:p>
      <w:pPr>
        <w:pStyle w:val="Normal"/>
      </w:pPr>
      <w:r>
        <w:t>$ oci-image-tool unpack --ref</w:t>
        <w:t xml:space="preserve"> </w:t>
        <w:t>name</w:t>
        <w:t>=</w:t>
        <w:t>latest chiselled-hello.oci /tmp/chiselled-hello</w:t>
      </w:r>
    </w:p>
    <w:p>
      <w:pPr>
        <w:pStyle w:val="Para 17"/>
      </w:pPr>
      <w:r>
        <w:t/>
      </w:r>
    </w:p>
    <w:p>
      <w:pPr>
        <w:pStyle w:val="Normal"/>
      </w:pPr>
      <w:r>
        <w:t>Exposing that directory to a guest via virtiofsd:</w:t>
      </w:r>
    </w:p>
    <w:p>
      <w:pPr>
        <w:pStyle w:val="Normal"/>
      </w:pPr>
      <w:r>
        <w:t>$ sudo apt install virtiofsd</w:t>
      </w:r>
    </w:p>
    <w:p>
      <w:pPr>
        <w:pStyle w:val="Normal"/>
      </w:pPr>
      <w:r>
        <w:t>$ /usr/libexec/virtiofsd --socket-path</w:t>
        <w:t>=</w:t>
        <w:t>/tmp/vfsd.sock --shared-dir /tmp/chiselled-hello</w:t>
        <w:t xml:space="preserve"> </w:t>
        <w:t>...</w:t>
      </w:r>
    </w:p>
    <w:p>
      <w:pPr>
        <w:pStyle w:val="Normal"/>
      </w:pPr>
      <w:r>
        <w:t>[</w:t>
        <w:t>INFO</w:t>
        <w:t xml:space="preserve"> </w:t>
        <w:t>virtiofsd</w:t>
        <w:t>]</w:t>
        <w:t xml:space="preserve"> </w:t>
        <w:t>Waiting</w:t>
        <w:t xml:space="preserve"> </w:t>
      </w:r>
      <w:r>
        <w:rPr>
          <w:rStyle w:val="Text0"/>
        </w:rPr>
        <w:t>for</w:t>
      </w:r>
      <w:r>
        <w:t xml:space="preserve"> </w:t>
        <w:t>vhost-user socket connection...</w:t>
      </w:r>
    </w:p>
    <w:p>
      <w:pPr>
        <w:pStyle w:val="Para 17"/>
      </w:pPr>
      <w:r>
        <w:t/>
      </w:r>
    </w:p>
    <w:p>
      <w:pPr>
        <w:pStyle w:val="Normal"/>
      </w:pPr>
      <w:r>
        <w:t>To the QEMU command-line one would then add the following options:</w:t>
      </w:r>
    </w:p>
    <w:p>
      <w:pPr>
        <w:pStyle w:val="Normal"/>
      </w:pPr>
      <w:r>
        <w:t>...</w:t>
      </w:r>
    </w:p>
    <w:p>
      <w:pPr>
        <w:pStyle w:val="Normal"/>
      </w:pPr>
      <w:r>
        <w:t>-object memory-backend-memfd,id</w:t>
        <w:t>=</w:t>
        <w:t>mem,share</w:t>
        <w:t>=</w:t>
        <w:t>on,size</w:t>
        <w:t>=</w:t>
        <w:t>128M</w:t>
        <w:t xml:space="preserve"> </w:t>
      </w:r>
      <w:r>
        <w:rPr>
          <w:rStyle w:val="Text0"/>
        </w:rPr>
        <w:t>\</w:t>
      </w:r>
      <w:r>
        <w:t>-numa node,memdev</w:t>
        <w:t>=</w:t>
        <w:t>mem -chardev socket,id</w:t>
        <w:t>=</w:t>
        <w:t>char0,path</w:t>
        <w:t>=</w:t>
        <w:t>/tmp/vfsd.sock</w:t>
        <w:t xml:space="preserve"> </w:t>
      </w:r>
      <w:r>
        <w:rPr>
          <w:rStyle w:val="Text0"/>
        </w:rPr>
        <w:t>\</w:t>
      </w:r>
      <w:r>
        <w:t>-device vhost-user-fs-pci,queue-size</w:t>
        <w:t>=</w:t>
        <w:t>1024</w:t>
        <w:t>,chardev</w:t>
        <w:t>=</w:t>
        <w:t>char0,tag</w:t>
        <w:t>=</w:t>
        <w:t>myfs</w:t>
        <w:t xml:space="preserve"> </w:t>
        <w:t>...</w:t>
      </w:r>
    </w:p>
    <w:p>
      <w:pPr>
        <w:pStyle w:val="Para 17"/>
      </w:pPr>
      <w:r>
        <w:t/>
      </w:r>
    </w:p>
    <w:p>
      <w:pPr>
        <w:pStyle w:val="Normal"/>
      </w:pPr>
      <w:r>
        <w:t>Which allows the user to mount it from inside the guest via $ mount -t virtiofs myfs /mnt or if you want to use it as root, you can pass it via kernel parameter rootfstype=virtiofs root=myfs rw.</w:t>
      </w:r>
    </w:p>
    <w:p>
      <w:pPr>
        <w:pStyle w:val="Para 17"/>
      </w:pPr>
      <w:r>
        <w:t/>
      </w:r>
    </w:p>
    <w:p>
      <w:pPr>
        <w:pStyle w:val="Para 01"/>
      </w:pPr>
      <w:r>
        <w:t>Upgrading the machine type of your VM</w:t>
      </w:r>
    </w:p>
    <w:p>
      <w:pPr>
        <w:pStyle w:val="Para 17"/>
      </w:pPr>
      <w:r>
        <w:t/>
      </w:r>
    </w:p>
    <w:p>
      <w:pPr>
        <w:pStyle w:val="Normal"/>
      </w:pPr>
      <w:r>
        <w:t>Upgrading the machine type of a virtual machine (VM) can be thought of in the same way as buying (virtual) hardware of the same spec but with a newer release date. Whereas to upgrade a physical machine you might buy an improved CPU, more RAM, or increased storage, with a virtual machine you can change the configuration to achieve the same results.</w:t>
      </w:r>
    </w:p>
    <w:p>
      <w:pPr>
        <w:pStyle w:val="Para 17"/>
      </w:pPr>
      <w:r>
        <w:t/>
      </w:r>
    </w:p>
    <w:p>
      <w:pPr>
        <w:pStyle w:val="Para 01"/>
      </w:pPr>
      <w:r>
        <w:t>Why should you do this for a VM?</w:t>
      </w:r>
    </w:p>
    <w:p>
      <w:pPr>
        <w:pStyle w:val="Para 17"/>
      </w:pPr>
      <w:r>
        <w:t/>
      </w:r>
    </w:p>
    <w:p>
      <w:pPr>
        <w:pStyle w:val="Normal"/>
      </w:pPr>
      <w:r>
        <w:t>There are several reasons why you might want to update the machine type of an existing VM. For example, to:</w:t>
      </w:r>
    </w:p>
    <w:p>
      <w:pPr>
        <w:pStyle w:val="Para 04"/>
      </w:pPr>
      <w:r>
        <w:t>• Improve performance with additional computing power</w:t>
      </w:r>
    </w:p>
    <w:p>
      <w:pPr>
        <w:pStyle w:val="Para 04"/>
      </w:pPr>
      <w:r>
        <w:t xml:space="preserve">• Add a virtual </w:t>
      </w:r>
      <w:hyperlink w:anchor="page_686">
        <w:r>
          <w:rPr>
            <w:rStyle w:val="Text2"/>
          </w:rPr>
          <w:t>GPU</w:t>
        </w:r>
      </w:hyperlink>
    </w:p>
    <w:p>
      <w:pPr>
        <w:pStyle w:val="Para 04"/>
      </w:pPr>
      <w:r>
        <w:t>• Scale up the allocated resources to cope with increased workloads</w:t>
      </w:r>
    </w:p>
    <w:p>
      <w:pPr>
        <w:pStyle w:val="Para 04"/>
      </w:pPr>
      <w:r>
        <w:t>• Obtain the latest security fixes and features</w:t>
      </w:r>
    </w:p>
    <w:p>
      <w:pPr>
        <w:pStyle w:val="Para 04"/>
      </w:pPr>
      <w:r>
        <w:t>• Continue using a guest created on a now-unsupported release</w:t>
      </w:r>
    </w:p>
    <w:p>
      <w:bookmarkStart w:id="1426" w:name="page_9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0" name="index-902_1.png" descr="index-902_1.png"/>
            <wp:cNvGraphicFramePr>
              <a:graphicFrameLocks noChangeAspect="1"/>
            </wp:cNvGraphicFramePr>
            <a:graphic>
              <a:graphicData uri="http://schemas.openxmlformats.org/drawingml/2006/picture">
                <pic:pic>
                  <pic:nvPicPr>
                    <pic:cNvPr id="0" name="index-902_1.png" descr="index-902_1.png"/>
                    <pic:cNvPicPr/>
                  </pic:nvPicPr>
                  <pic:blipFill>
                    <a:blip r:embed="rId944"/>
                    <a:stretch>
                      <a:fillRect/>
                    </a:stretch>
                  </pic:blipFill>
                  <pic:spPr>
                    <a:xfrm>
                      <a:off x="0" y="0"/>
                      <a:ext cx="914400" cy="266700"/>
                    </a:xfrm>
                    <a:prstGeom prst="rect">
                      <a:avLst/>
                    </a:prstGeom>
                  </pic:spPr>
                </pic:pic>
              </a:graphicData>
            </a:graphic>
          </wp:anchor>
        </w:drawing>
      </w:r>
      <w:bookmarkEnd w:id="1426"/>
    </w:p>
    <w:p>
      <w:pPr>
        <w:pStyle w:val="Para 04"/>
      </w:pPr>
      <w:r>
        <w:t>• Prepare for future expansion by upgrading in advance</w:t>
      </w:r>
    </w:p>
    <w:p>
      <w:pPr>
        <w:pStyle w:val="Para 17"/>
      </w:pPr>
      <w:r>
        <w:t/>
      </w:r>
    </w:p>
    <w:p>
      <w:pPr>
        <w:pStyle w:val="Para 01"/>
      </w:pPr>
      <w:r>
        <w:t>How does this work?</w:t>
      </w:r>
    </w:p>
    <w:p>
      <w:pPr>
        <w:pStyle w:val="Para 17"/>
      </w:pPr>
      <w:r>
        <w:t/>
      </w:r>
    </w:p>
    <w:p>
      <w:pPr>
        <w:pStyle w:val="Normal"/>
      </w:pPr>
      <w:r>
        <w:t>It is generally recommended to update machine types when upgrading QEMU/KVM to a new major version. However, this can likely never be an automated task as the change is “guest visible”; the guest devices might change in appearance, new features will be announced to the guest, and so on.</w:t>
      </w:r>
    </w:p>
    <w:p>
      <w:pPr>
        <w:pStyle w:val="Normal"/>
      </w:pPr>
      <w:r>
        <w:t>Linux is usually very good at tolerating such changes – but, it depends so heavily on the setup and workload of the guest that this has to be evaluated by the owner/admin of the system.</w:t>
      </w:r>
    </w:p>
    <w:p>
      <w:pPr>
        <w:pStyle w:val="Normal"/>
      </w:pPr>
      <w:r>
        <w:t xml:space="preserve">Other operating systems were known to often be severely impacted by changing the hard-ware. Consider a machine type change as similar to replacing all devices and firmware of a physical machine to the latest revision. </w:t>
      </w:r>
      <w:r>
        <w:rPr>
          <w:rStyle w:val="Text0"/>
        </w:rPr>
        <w:t>All</w:t>
      </w:r>
      <w:r>
        <w:t xml:space="preserve"> of the considerations that apply to firmware upgrades apply to evaluating a machine type upgrade as well.</w:t>
      </w:r>
    </w:p>
    <w:p>
      <w:pPr>
        <w:pStyle w:val="Para 17"/>
      </w:pPr>
      <w:r>
        <w:t/>
      </w:r>
    </w:p>
    <w:p>
      <w:pPr>
        <w:pStyle w:val="Para 01"/>
      </w:pPr>
      <w:r>
        <w:t>Backing up guest definitions</w:t>
      </w:r>
    </w:p>
    <w:p>
      <w:pPr>
        <w:pStyle w:val="Para 17"/>
      </w:pPr>
      <w:r>
        <w:t/>
      </w:r>
    </w:p>
    <w:p>
      <w:pPr>
        <w:pStyle w:val="Normal"/>
      </w:pPr>
      <w:r>
        <w:t>As usual, with major configuration changes it is wise to back up your guest definition and disk state to be able to do a rollback – just in case something goes wrong.</w:t>
      </w:r>
    </w:p>
    <w:p>
      <w:pPr>
        <w:pStyle w:val="Para 17"/>
      </w:pPr>
      <w:r>
        <w:t/>
      </w:r>
    </w:p>
    <w:p>
      <w:pPr>
        <w:pStyle w:val="Para 01"/>
      </w:pPr>
      <w:r>
        <w:t>Upgrade the machine type</w:t>
      </w:r>
    </w:p>
    <w:p>
      <w:pPr>
        <w:pStyle w:val="Para 17"/>
      </w:pPr>
      <w:r>
        <w:t/>
      </w:r>
    </w:p>
    <w:p>
      <w:pPr>
        <w:pStyle w:val="Normal"/>
      </w:pPr>
      <w:r>
        <w:t>There is no integrated single command to update the machine type via virsh or similar tools. It is a normal part of your machine definition, and therefore updated the same way as most others.</w:t>
      </w:r>
    </w:p>
    <w:p>
      <w:pPr>
        <w:pStyle w:val="Para 17"/>
      </w:pPr>
      <w:r>
        <w:t/>
      </w:r>
    </w:p>
    <w:p>
      <w:pPr>
        <w:pStyle w:val="Para 01"/>
      </w:pPr>
      <w:r>
        <w:t>Shut down the VM</w:t>
      </w:r>
    </w:p>
    <w:p>
      <w:pPr>
        <w:pStyle w:val="Para 17"/>
      </w:pPr>
      <w:r>
        <w:t/>
      </w:r>
    </w:p>
    <w:p>
      <w:pPr>
        <w:pStyle w:val="Normal"/>
      </w:pPr>
      <w:r>
        <w:t>First shutdown your machine and wait until it has reached that state:</w:t>
      </w:r>
    </w:p>
    <w:p>
      <w:pPr>
        <w:pStyle w:val="Normal"/>
      </w:pPr>
      <w:r>
        <w:t>virsh shutdown &lt;your_machine&gt;</w:t>
      </w:r>
    </w:p>
    <w:p>
      <w:pPr>
        <w:pStyle w:val="Para 17"/>
      </w:pPr>
      <w:r>
        <w:t/>
      </w:r>
    </w:p>
    <w:p>
      <w:pPr>
        <w:pStyle w:val="Normal"/>
      </w:pPr>
      <w:r>
        <w:t>You can check the status of the machine with the following command:</w:t>
      </w:r>
    </w:p>
    <w:p>
      <w:pPr>
        <w:pStyle w:val="Normal"/>
      </w:pPr>
      <w:r>
        <w:t>virsh list --inactive</w:t>
      </w:r>
    </w:p>
    <w:p>
      <w:pPr>
        <w:pStyle w:val="Para 17"/>
      </w:pPr>
      <w:r>
        <w:t/>
      </w:r>
    </w:p>
    <w:p>
      <w:pPr>
        <w:pStyle w:val="Para 01"/>
      </w:pPr>
      <w:r>
        <w:t>Edit the guest definition</w:t>
      </w:r>
    </w:p>
    <w:p>
      <w:pPr>
        <w:pStyle w:val="Para 17"/>
      </w:pPr>
      <w:r>
        <w:t/>
      </w:r>
    </w:p>
    <w:p>
      <w:pPr>
        <w:pStyle w:val="Normal"/>
      </w:pPr>
      <w:r>
        <w:t>Once the machine is listed as “shut off”, you can then edit the machine definition and find the type in the type tag given at the machine attribute.</w:t>
      </w:r>
    </w:p>
    <w:p>
      <w:pPr>
        <w:pStyle w:val="Normal"/>
      </w:pPr>
      <w:r>
        <w:t>virsh edit &lt;your_machine&gt;</w:t>
      </w:r>
    </w:p>
    <w:p>
      <w:pPr>
        <w:pStyle w:val="Normal"/>
      </w:pPr>
      <w:r>
        <w:t>&lt;</w:t>
        <w:t>type</w:t>
        <w:t xml:space="preserve"> </w:t>
        <w:t>arch</w:t>
        <w:t>=</w:t>
        <w:t>'x86_64'</w:t>
        <w:t xml:space="preserve"> </w:t>
        <w:t>machine</w:t>
        <w:t>=</w:t>
        <w:t>'pc-i440fx-bionic'</w:t>
        <w:t>&gt;hvm&lt;/type&gt;</w:t>
      </w:r>
    </w:p>
    <w:p>
      <w:bookmarkStart w:id="1427" w:name="page_9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1" name="index-903_1.png" descr="index-903_1.png"/>
            <wp:cNvGraphicFramePr>
              <a:graphicFrameLocks noChangeAspect="1"/>
            </wp:cNvGraphicFramePr>
            <a:graphic>
              <a:graphicData uri="http://schemas.openxmlformats.org/drawingml/2006/picture">
                <pic:pic>
                  <pic:nvPicPr>
                    <pic:cNvPr id="0" name="index-903_1.png" descr="index-903_1.png"/>
                    <pic:cNvPicPr/>
                  </pic:nvPicPr>
                  <pic:blipFill>
                    <a:blip r:embed="rId945"/>
                    <a:stretch>
                      <a:fillRect/>
                    </a:stretch>
                  </pic:blipFill>
                  <pic:spPr>
                    <a:xfrm>
                      <a:off x="0" y="0"/>
                      <a:ext cx="914400" cy="266700"/>
                    </a:xfrm>
                    <a:prstGeom prst="rect">
                      <a:avLst/>
                    </a:prstGeom>
                  </pic:spPr>
                </pic:pic>
              </a:graphicData>
            </a:graphic>
          </wp:anchor>
        </w:drawing>
      </w:r>
      <w:bookmarkEnd w:id="1427"/>
    </w:p>
    <w:p>
      <w:pPr>
        <w:pStyle w:val="Normal"/>
      </w:pPr>
      <w:r>
        <w:t>Change this to the value you want. If you need to check what machine types are available via the kvm -M ? command first, then note that while upstream types are provided for conve-nience, only Ubuntu types are supported. There you can also see what the current default would be, as in this example:</w:t>
      </w:r>
    </w:p>
    <w:p>
      <w:pPr>
        <w:pStyle w:val="Normal"/>
      </w:pPr>
      <w:r>
        <w:t>$ kvm -M ?</w:t>
      </w:r>
    </w:p>
    <w:p>
      <w:pPr>
        <w:pStyle w:val="Normal"/>
      </w:pPr>
      <w:r>
        <w:t>pc-i440fx-xenial</w:t>
        <w:t xml:space="preserve"> </w:t>
        <w:t>Ubuntu</w:t>
        <w:t xml:space="preserve"> </w:t>
        <w:t>16</w:t>
        <w:t>.04 PC</w:t>
        <w:t xml:space="preserve"> </w:t>
        <w:t>(</w:t>
        <w:t>i440FX + PIIX,</w:t>
        <w:t xml:space="preserve"> </w:t>
        <w:t>1996</w:t>
        <w:t>) (</w:t>
        <w:t>default</w:t>
        <w:t>)</w:t>
        <w:t xml:space="preserve"> </w:t>
        <w:t>...</w:t>
      </w:r>
    </w:p>
    <w:p>
      <w:pPr>
        <w:pStyle w:val="Normal"/>
      </w:pPr>
      <w:r>
        <w:t>pc-i440fx-bionic</w:t>
        <w:t xml:space="preserve"> </w:t>
        <w:t>Ubuntu</w:t>
        <w:t xml:space="preserve"> </w:t>
        <w:t>18</w:t>
        <w:t>.04 PC</w:t>
        <w:t xml:space="preserve"> </w:t>
        <w:t>(</w:t>
        <w:t>i440FX + PIIX,</w:t>
        <w:t xml:space="preserve"> </w:t>
        <w:t>1996</w:t>
        <w:t>) (</w:t>
        <w:t>default</w:t>
        <w:t>)</w:t>
        <w:t xml:space="preserve"> </w:t>
        <w:t>...</w:t>
      </w:r>
    </w:p>
    <w:p>
      <w:pPr>
        <w:pStyle w:val="Para 17"/>
      </w:pPr>
      <w:r>
        <w:t/>
      </w:r>
    </w:p>
    <w:p>
      <w:pPr>
        <w:pStyle w:val="Normal"/>
      </w:pPr>
      <w:r>
        <w:t>We strongly recommend that you change to newer types (if possible), not only to take ad-vantage of newer features, but also to benefit from bug fixes that only apply to the newer device virtualisation.</w:t>
      </w:r>
    </w:p>
    <w:p>
      <w:pPr>
        <w:pStyle w:val="Para 17"/>
      </w:pPr>
      <w:r>
        <w:t/>
      </w:r>
    </w:p>
    <w:p>
      <w:pPr>
        <w:pStyle w:val="Para 01"/>
      </w:pPr>
      <w:r>
        <w:t>Restart the guest</w:t>
      </w:r>
    </w:p>
    <w:p>
      <w:pPr>
        <w:pStyle w:val="Para 17"/>
      </w:pPr>
      <w:r>
        <w:t/>
      </w:r>
    </w:p>
    <w:p>
      <w:pPr>
        <w:pStyle w:val="Normal"/>
      </w:pPr>
      <w:r>
        <w:t>After this you can start your guest again. You can check the current machine type from guest and host depending on your needs.</w:t>
      </w:r>
    </w:p>
    <w:p>
      <w:pPr>
        <w:pStyle w:val="Normal"/>
      </w:pPr>
      <w:r>
        <w:t>virsh start &lt;your_machine&gt;</w:t>
      </w:r>
    </w:p>
    <w:p>
      <w:pPr>
        <w:pStyle w:val="Para 10"/>
      </w:pPr>
      <w:r>
        <w:t># check from host, via dumping the active xml definition</w:t>
      </w:r>
      <w:r>
        <w:rPr>
          <w:rStyle w:val="Text3"/>
        </w:rPr>
        <w:t xml:space="preserve"> </w:t>
        <w:t>virsh dumpxml &lt;your_machine&gt; | xmllint --xpath</w:t>
        <w:t xml:space="preserve"> </w:t>
        <w:t>"string(//domain/os/type/@machine)"</w:t>
        <w:t>-</w:t>
      </w:r>
      <w:r>
        <w:t># or from the guest via dmidecode (if supported)</w:t>
      </w:r>
    </w:p>
    <w:p>
      <w:pPr>
        <w:pStyle w:val="Normal"/>
      </w:pPr>
      <w:r>
        <w:t>sudo dmidecode | grep Product -A</w:t>
        <w:t xml:space="preserve"> </w:t>
        <w:t>1</w:t>
      </w:r>
    </w:p>
    <w:p>
      <w:pPr>
        <w:pStyle w:val="Para 06"/>
      </w:pPr>
      <w:r>
        <w:t>Product Name: Standard PC</w:t>
        <w:t xml:space="preserve"> </w:t>
        <w:t>(</w:t>
        <w:t>i440FX + PIIX,</w:t>
        <w:t xml:space="preserve"> </w:t>
        <w:t>1996</w:t>
        <w:t>)</w:t>
        <w:t xml:space="preserve"> </w:t>
        <w:t>Version: pc-i440fx-bionic</w:t>
      </w:r>
    </w:p>
    <w:p>
      <w:pPr>
        <w:pStyle w:val="Para 17"/>
      </w:pPr>
      <w:r>
        <w:t/>
      </w:r>
    </w:p>
    <w:p>
      <w:pPr>
        <w:pStyle w:val="Normal"/>
      </w:pPr>
      <w:r>
        <w:t>If you keep non-live definitions around – such as .xml files – remember to update those as well.</w:t>
      </w:r>
    </w:p>
    <w:p>
      <w:pPr>
        <w:pStyle w:val="Para 17"/>
      </w:pPr>
      <w:r>
        <w:t/>
      </w:r>
    </w:p>
    <w:p>
      <w:pPr>
        <w:pStyle w:val="Para 01"/>
      </w:pPr>
      <w:r>
        <w:t>Further reading</w:t>
      </w:r>
    </w:p>
    <w:p>
      <w:pPr>
        <w:pStyle w:val="Para 17"/>
      </w:pPr>
      <w:r>
        <w:t/>
      </w:r>
    </w:p>
    <w:p>
      <w:pPr>
        <w:pStyle w:val="Para 04"/>
      </w:pPr>
      <w:r>
        <w:t>• This process is also documented along with some more constraints and considerations</w:t>
      </w:r>
    </w:p>
    <w:p>
      <w:pPr>
        <w:pStyle w:val="Para 32"/>
      </w:pPr>
      <w:r>
        <w:rPr>
          <w:rStyle w:val="Text7"/>
        </w:rPr>
        <w:t xml:space="preserve">at the </w:t>
      </w:r>
      <w:hyperlink w:anchor="page_903">
        <w:r>
          <w:rPr>
            <w:rStyle w:val="Text10"/>
          </w:rPr>
          <w:t>950</w:t>
        </w:r>
      </w:hyperlink>
      <w:r>
        <w:rPr>
          <w:rStyle w:val="Text7"/>
        </w:rPr>
        <w:t xml:space="preserve"> </w:t>
      </w:r>
      <w:hyperlink r:id="rId1772">
        <w:r>
          <w:t>Ubuntu Wiki</w:t>
        </w:r>
      </w:hyperlink>
    </w:p>
    <w:p>
      <w:pPr>
        <w:pStyle w:val="Para 17"/>
      </w:pPr>
      <w:r>
        <w:t/>
      </w:r>
    </w:p>
    <w:p>
      <w:pPr>
        <w:pStyle w:val="Para 01"/>
      </w:pPr>
      <w:r>
        <w:t>Containers</w:t>
      </w:r>
    </w:p>
    <w:p>
      <w:pPr>
        <w:pStyle w:val="Para 17"/>
      </w:pPr>
      <w:r>
        <w:t/>
      </w:r>
    </w:p>
    <w:p>
      <w:pPr>
        <w:pStyle w:val="Para 04"/>
      </w:pPr>
      <w:r>
        <w:t xml:space="preserve">• </w:t>
      </w:r>
      <w:hyperlink w:anchor="page_904">
        <w:r>
          <w:rPr>
            <w:rStyle w:val="Text2"/>
          </w:rPr>
          <w:t>Container tools overview</w:t>
        </w:r>
      </w:hyperlink>
      <w:r>
        <w:t xml:space="preserve"> (page 903) gives more details about the popular container</w:t>
      </w:r>
    </w:p>
    <w:p>
      <w:pPr>
        <w:pStyle w:val="Para 02"/>
      </w:pPr>
      <w:r>
        <w:t>technologies available in Ubuntu</w:t>
      </w:r>
    </w:p>
    <w:p>
      <w:pPr>
        <w:pStyle w:val="Normal"/>
      </w:pPr>
      <w:r>
        <w:t>There are more detailed discussions on specific technologies here:</w:t>
      </w:r>
    </w:p>
    <w:p>
      <w:pPr>
        <w:pStyle w:val="Para 14"/>
      </w:pPr>
      <w:r>
        <w:rPr>
          <w:rStyle w:val="Text4"/>
        </w:rPr>
        <w:t xml:space="preserve">• </w:t>
      </w:r>
      <w:hyperlink w:anchor="page_905">
        <w:r>
          <w:t>About rock images</w:t>
        </w:r>
      </w:hyperlink>
      <w:r>
        <w:rPr>
          <w:rStyle w:val="Text4"/>
        </w:rPr>
        <w:t xml:space="preserve"> (page 904)</w:t>
      </w:r>
    </w:p>
    <w:p>
      <w:pPr>
        <w:pStyle w:val="Para 14"/>
      </w:pPr>
      <w:r>
        <w:rPr>
          <w:rStyle w:val="Text4"/>
        </w:rPr>
        <w:t xml:space="preserve">• </w:t>
      </w:r>
      <w:hyperlink w:anchor="page_905">
        <w:r>
          <w:t>Docker storage, networking, and logging</w:t>
        </w:r>
      </w:hyperlink>
      <w:r>
        <w:rPr>
          <w:rStyle w:val="Text4"/>
        </w:rPr>
        <w:t xml:space="preserve"> (page 904)</w:t>
      </w:r>
    </w:p>
    <w:p>
      <w:pPr>
        <w:pStyle w:val="Para 05"/>
      </w:pPr>
      <w:r>
        <w:rPr>
          <w:rStyle w:val="Text5"/>
        </w:rPr>
        <w:t>950</w:t>
      </w:r>
      <w:r>
        <w:rPr>
          <w:rStyle w:val="Text8"/>
        </w:rPr>
        <w:t xml:space="preserve"> </w:t>
      </w:r>
      <w:r>
        <w:t>https://wiki.ubuntu.com/QemuKVMMigration#Upgrade_machine_type</w:t>
      </w:r>
      <w:r>
        <w:rPr>
          <w:rStyle w:val="Text8"/>
        </w:rPr>
        <w:t xml:space="preserve"> </w:t>
      </w:r>
      <w:r>
        <w:rPr>
          <w:rStyle w:val="Text11"/>
        </w:rPr>
        <w:t>Container tools in the Ubuntu space</w:t>
      </w:r>
    </w:p>
    <w:p>
      <w:bookmarkStart w:id="1428" w:name="page_9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2" name="index-904_1.png" descr="index-904_1.png"/>
            <wp:cNvGraphicFramePr>
              <a:graphicFrameLocks noChangeAspect="1"/>
            </wp:cNvGraphicFramePr>
            <a:graphic>
              <a:graphicData uri="http://schemas.openxmlformats.org/drawingml/2006/picture">
                <pic:pic>
                  <pic:nvPicPr>
                    <pic:cNvPr id="0" name="index-904_1.png" descr="index-904_1.png"/>
                    <pic:cNvPicPr/>
                  </pic:nvPicPr>
                  <pic:blipFill>
                    <a:blip r:embed="rId946"/>
                    <a:stretch>
                      <a:fillRect/>
                    </a:stretch>
                  </pic:blipFill>
                  <pic:spPr>
                    <a:xfrm>
                      <a:off x="0" y="0"/>
                      <a:ext cx="914400" cy="266700"/>
                    </a:xfrm>
                    <a:prstGeom prst="rect">
                      <a:avLst/>
                    </a:prstGeom>
                  </pic:spPr>
                </pic:pic>
              </a:graphicData>
            </a:graphic>
          </wp:anchor>
        </w:drawing>
      </w:r>
      <w:bookmarkEnd w:id="1428"/>
    </w:p>
    <w:p>
      <w:pPr>
        <w:pStyle w:val="Para 17"/>
      </w:pPr>
      <w:r>
        <w:t/>
      </w:r>
    </w:p>
    <w:p>
      <w:pPr>
        <w:pStyle w:val="Normal"/>
      </w:pPr>
      <w:r>
        <w:t>Let’s take a look at some of the most commonly used tools and technologies available in the Ubuntu container space.</w:t>
      </w:r>
    </w:p>
    <w:p>
      <w:pPr>
        <w:pStyle w:val="Para 17"/>
      </w:pPr>
      <w:r>
        <w:t/>
      </w:r>
    </w:p>
    <w:p>
      <w:pPr>
        <w:pStyle w:val="Para 01"/>
      </w:pPr>
      <w:r>
        <w:t>LXC</w:t>
      </w:r>
    </w:p>
    <w:p>
      <w:pPr>
        <w:pStyle w:val="Para 17"/>
      </w:pPr>
      <w:r>
        <w:t/>
      </w:r>
    </w:p>
    <w:p>
      <w:pPr>
        <w:pStyle w:val="Normal"/>
      </w:pPr>
      <w:r>
        <w:rPr>
          <w:rStyle w:val="Text0"/>
        </w:rPr>
        <w:t>Container type</w:t>
      </w:r>
      <w:r>
        <w:t>: System containers</w:t>
      </w:r>
    </w:p>
    <w:p>
      <w:pPr>
        <w:pStyle w:val="Normal"/>
      </w:pPr>
      <w:hyperlink r:id="rId1773">
        <w:r>
          <w:rPr>
            <w:rStyle w:val="Text1"/>
          </w:rPr>
          <w:t>Linux Containers, or LXC</w:t>
        </w:r>
      </w:hyperlink>
      <w:hyperlink w:anchor="page_904">
        <w:r>
          <w:rPr>
            <w:rStyle w:val="Text9"/>
          </w:rPr>
          <w:t>951</w:t>
        </w:r>
      </w:hyperlink>
      <w:r>
        <w:t xml:space="preserve"> (pronounced “lex-see”), is a program that creates and adminis-ters containers on your local system. It is the foundation of several other system container technologies and provides both an API (to allow higher-level managers like LXD to adminis-ter containers), and an interface through which the user can interact with kernel containment features (often called the “userspace interface”). LXC interacts directly with the kernel to iso-late processes, resources, etc, and provides the necessary tools - and a container runtime -for creating and managing system containers.</w:t>
      </w:r>
    </w:p>
    <w:p>
      <w:pPr>
        <w:pStyle w:val="Normal"/>
      </w:pPr>
      <w:r>
        <w:t xml:space="preserve">To get started with LXC containers, check out the </w:t>
      </w:r>
      <w:hyperlink w:anchor="page_904">
        <w:r>
          <w:rPr>
            <w:rStyle w:val="Text9"/>
          </w:rPr>
          <w:t>952</w:t>
        </w:r>
      </w:hyperlink>
      <w:r>
        <w:t xml:space="preserve"> </w:t>
      </w:r>
      <w:hyperlink r:id="rId1774">
        <w:r>
          <w:rPr>
            <w:rStyle w:val="Text1"/>
          </w:rPr>
          <w:t>LXC Introduction</w:t>
        </w:r>
      </w:hyperlink>
      <w:r>
        <w:t xml:space="preserve"> and </w:t>
      </w:r>
      <w:hyperlink r:id="rId1775">
        <w:r>
          <w:rPr>
            <w:rStyle w:val="Text1"/>
          </w:rPr>
          <w:t>LXC Getting</w:t>
        </w:r>
      </w:hyperlink>
    </w:p>
    <w:p>
      <w:pPr>
        <w:pStyle w:val="Para 18"/>
      </w:pPr>
      <w:hyperlink r:id="rId1775">
        <w:r>
          <w:t>started</w:t>
        </w:r>
      </w:hyperlink>
      <w:hyperlink r:id="rId1775">
        <w:r>
          <w:rPr>
            <w:rStyle w:val="Text10"/>
          </w:rPr>
          <w:t>953</w:t>
        </w:r>
      </w:hyperlink>
      <w:r>
        <w:rPr>
          <w:rStyle w:val="Text7"/>
        </w:rPr>
        <w:t xml:space="preserve"> pages.</w:t>
      </w:r>
    </w:p>
    <w:p>
      <w:pPr>
        <w:pStyle w:val="Para 17"/>
      </w:pPr>
      <w:r>
        <w:t/>
      </w:r>
    </w:p>
    <w:p>
      <w:pPr>
        <w:pStyle w:val="Para 01"/>
      </w:pPr>
      <w:r>
        <w:t>LXD</w:t>
      </w:r>
    </w:p>
    <w:p>
      <w:pPr>
        <w:pStyle w:val="Para 17"/>
      </w:pPr>
      <w:r>
        <w:t/>
      </w:r>
    </w:p>
    <w:p>
      <w:pPr>
        <w:pStyle w:val="Normal"/>
      </w:pPr>
      <w:r>
        <w:rPr>
          <w:rStyle w:val="Text0"/>
        </w:rPr>
        <w:t>Container type</w:t>
      </w:r>
      <w:r>
        <w:t>: System containers</w:t>
      </w:r>
    </w:p>
    <w:p>
      <w:pPr>
        <w:pStyle w:val="Normal"/>
      </w:pPr>
      <w:r>
        <w:t xml:space="preserve">The </w:t>
      </w:r>
      <w:hyperlink r:id="rId1454">
        <w:r>
          <w:rPr>
            <w:rStyle w:val="Text9"/>
          </w:rPr>
          <w:t>954</w:t>
        </w:r>
      </w:hyperlink>
      <w:hyperlink r:id="rId1454">
        <w:r>
          <w:rPr>
            <w:rStyle w:val="Text1"/>
          </w:rPr>
          <w:t xml:space="preserve"> Linux Containers Daemon, or LXD</w:t>
        </w:r>
      </w:hyperlink>
      <w:r>
        <w:t xml:space="preserve"> (pronounced “lex-dee”) is the lightervisor, or lightweight container hypervisor. It is a system container management tool built on top of LXC. Since it is an abstraction layer away from LXC it offers a more user-friendly interface, including both a REST API and a command-line interface. The LXD API deals with “remotes”, which serve images and containers. In fact, it comes with a built-in image store, so that con-tainers can be created more quickly.</w:t>
      </w:r>
    </w:p>
    <w:p>
      <w:pPr>
        <w:pStyle w:val="Normal"/>
      </w:pPr>
      <w:r>
        <w:t>To get started with LXD from an Ubuntu Server administrator’s point of view, check out our</w:t>
      </w:r>
    </w:p>
    <w:p>
      <w:pPr>
        <w:pStyle w:val="Normal"/>
      </w:pPr>
      <w:hyperlink w:anchor="page_533">
        <w:r>
          <w:rPr>
            <w:rStyle w:val="Text2"/>
          </w:rPr>
          <w:t>how to get started with LXD</w:t>
        </w:r>
      </w:hyperlink>
      <w:r>
        <w:t xml:space="preserve"> (page 532) guide. For a more general beginner’s introduction to</w:t>
      </w:r>
    </w:p>
    <w:p>
      <w:pPr>
        <w:pStyle w:val="Normal"/>
      </w:pPr>
      <w:r>
        <w:t xml:space="preserve">LXD, we </w:t>
      </w:r>
      <w:hyperlink r:id="rId1776">
        <w:r>
          <w:rPr>
            <w:rStyle w:val="Text9"/>
          </w:rPr>
          <w:t>955</w:t>
        </w:r>
      </w:hyperlink>
      <w:hyperlink r:id="rId1776">
        <w:r>
          <w:rPr>
            <w:rStyle w:val="Text1"/>
          </w:rPr>
          <w:t xml:space="preserve"> recommend this tutorial</w:t>
        </w:r>
      </w:hyperlink>
      <w:r>
        <w:t xml:space="preserve"> from the LXD team.</w:t>
      </w:r>
    </w:p>
    <w:p>
      <w:pPr>
        <w:pStyle w:val="Normal"/>
      </w:pPr>
      <w:r>
        <w:t xml:space="preserve">In addition to creating and managing containers, LXD can also be </w:t>
      </w:r>
      <w:hyperlink r:id="rId1777">
        <w:r>
          <w:rPr>
            <w:rStyle w:val="Text1"/>
          </w:rPr>
          <w:t>used to create virtual ma-</w:t>
        </w:r>
      </w:hyperlink>
    </w:p>
    <w:p>
      <w:pPr>
        <w:pStyle w:val="Para 18"/>
      </w:pPr>
      <w:hyperlink r:id="rId1777">
        <w:r>
          <w:t>chines</w:t>
        </w:r>
      </w:hyperlink>
      <w:hyperlink r:id="rId1777">
        <w:r>
          <w:rPr>
            <w:rStyle w:val="Text10"/>
          </w:rPr>
          <w:t>956</w:t>
        </w:r>
      </w:hyperlink>
      <w:r>
        <w:rPr>
          <w:rStyle w:val="Text7"/>
        </w:rPr>
        <w:t>.</w:t>
      </w:r>
    </w:p>
    <w:p>
      <w:pPr>
        <w:pStyle w:val="Para 05"/>
      </w:pPr>
      <w:r>
        <w:rPr>
          <w:rStyle w:val="Text5"/>
        </w:rPr>
        <w:t>951</w:t>
      </w:r>
      <w:r>
        <w:rPr>
          <w:rStyle w:val="Text8"/>
        </w:rPr>
        <w:t xml:space="preserve"> </w:t>
      </w:r>
      <w:r>
        <w:t>https://linuxcontainers.org/</w:t>
      </w:r>
    </w:p>
    <w:p>
      <w:pPr>
        <w:pStyle w:val="Para 05"/>
      </w:pPr>
      <w:r>
        <w:rPr>
          <w:rStyle w:val="Text5"/>
        </w:rPr>
        <w:t>952</w:t>
      </w:r>
      <w:r>
        <w:rPr>
          <w:rStyle w:val="Text8"/>
        </w:rPr>
        <w:t xml:space="preserve"> </w:t>
      </w:r>
      <w:r>
        <w:t>https://linuxcontainers.org/lxc/introduction/</w:t>
      </w:r>
    </w:p>
    <w:p>
      <w:pPr>
        <w:pStyle w:val="Para 05"/>
      </w:pPr>
      <w:r>
        <w:rPr>
          <w:rStyle w:val="Text5"/>
        </w:rPr>
        <w:t>953</w:t>
      </w:r>
      <w:r>
        <w:rPr>
          <w:rStyle w:val="Text8"/>
        </w:rPr>
        <w:t xml:space="preserve"> </w:t>
      </w:r>
      <w:r>
        <w:t>https://linuxcontainers.org/lxc/getting-started/</w:t>
      </w:r>
    </w:p>
    <w:p>
      <w:pPr>
        <w:pStyle w:val="Para 05"/>
      </w:pPr>
      <w:r>
        <w:rPr>
          <w:rStyle w:val="Text5"/>
        </w:rPr>
        <w:t>954</w:t>
      </w:r>
      <w:r>
        <w:rPr>
          <w:rStyle w:val="Text8"/>
        </w:rPr>
        <w:t xml:space="preserve"> </w:t>
      </w:r>
      <w:r>
        <w:t>https://canonical.com/lxd</w:t>
      </w:r>
    </w:p>
    <w:p>
      <w:pPr>
        <w:pStyle w:val="Para 05"/>
      </w:pPr>
      <w:r>
        <w:rPr>
          <w:rStyle w:val="Text5"/>
        </w:rPr>
        <w:t>955</w:t>
      </w:r>
      <w:r>
        <w:rPr>
          <w:rStyle w:val="Text8"/>
        </w:rPr>
        <w:t xml:space="preserve"> </w:t>
      </w:r>
      <w:r>
        <w:t>https://documentation.ubuntu.com/lxd/latest/tutorial/</w:t>
      </w:r>
    </w:p>
    <w:p>
      <w:pPr>
        <w:pStyle w:val="Para 05"/>
      </w:pPr>
      <w:r>
        <w:rPr>
          <w:rStyle w:val="Text5"/>
        </w:rPr>
        <w:t>956</w:t>
      </w:r>
      <w:r>
        <w:rPr>
          <w:rStyle w:val="Text8"/>
        </w:rPr>
        <w:t xml:space="preserve"> </w:t>
      </w:r>
      <w:r>
        <w:t>https://documentation.ubuntu.com/lxd/latest/howto/instances_create/#create-a-virtual-machine</w:t>
      </w:r>
    </w:p>
    <w:p>
      <w:bookmarkStart w:id="1429" w:name="calibre_pb_262"/>
      <w:pPr>
        <w:pStyle w:val="0 Block"/>
      </w:pPr>
      <w:bookmarkEnd w:id="1429"/>
    </w:p>
    <w:p>
      <w:bookmarkStart w:id="1430" w:name="Top_of_index_split_263_html"/>
      <w:bookmarkStart w:id="1431" w:name="page_90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3" name="index-905_1.png" descr="index-905_1.png"/>
            <wp:cNvGraphicFramePr>
              <a:graphicFrameLocks noChangeAspect="1"/>
            </wp:cNvGraphicFramePr>
            <a:graphic>
              <a:graphicData uri="http://schemas.openxmlformats.org/drawingml/2006/picture">
                <pic:pic>
                  <pic:nvPicPr>
                    <pic:cNvPr id="0" name="index-905_1.png" descr="index-905_1.png"/>
                    <pic:cNvPicPr/>
                  </pic:nvPicPr>
                  <pic:blipFill>
                    <a:blip r:embed="rId947"/>
                    <a:stretch>
                      <a:fillRect/>
                    </a:stretch>
                  </pic:blipFill>
                  <pic:spPr>
                    <a:xfrm>
                      <a:off x="0" y="0"/>
                      <a:ext cx="914400" cy="266700"/>
                    </a:xfrm>
                    <a:prstGeom prst="rect">
                      <a:avLst/>
                    </a:prstGeom>
                  </pic:spPr>
                </pic:pic>
              </a:graphicData>
            </a:graphic>
          </wp:anchor>
        </w:drawing>
      </w:r>
      <w:bookmarkEnd w:id="1430"/>
      <w:bookmarkEnd w:id="1431"/>
    </w:p>
    <w:p>
      <w:pPr>
        <w:pStyle w:val="Para 01"/>
      </w:pPr>
      <w:r>
        <w:t>Docker</w:t>
      </w:r>
    </w:p>
    <w:p>
      <w:pPr>
        <w:pStyle w:val="Para 17"/>
      </w:pPr>
      <w:r>
        <w:t/>
      </w:r>
    </w:p>
    <w:p>
      <w:pPr>
        <w:pStyle w:val="Normal"/>
      </w:pPr>
      <w:r>
        <w:rPr>
          <w:rStyle w:val="Text0"/>
        </w:rPr>
        <w:t>Container type</w:t>
      </w:r>
      <w:r>
        <w:t>: Application containers</w:t>
      </w:r>
    </w:p>
    <w:p>
      <w:pPr>
        <w:pStyle w:val="Normal"/>
      </w:pPr>
      <w:r>
        <w:t>Docker is one of the most popular containerization platforms, which allows developers to package applications - together with their dependencies - into lightweight containers. This provides a consistently reproducible environment for deploying applications, which makes it easy to build, ship, and run them even in different environments. Docker includes a command-line interface and a daemon to create and manage containers.</w:t>
      </w:r>
    </w:p>
    <w:p>
      <w:pPr>
        <w:pStyle w:val="Normal"/>
      </w:pPr>
      <w:r>
        <w:t>Although Docker is widely used by developers, it can also be used by system administrators to manage resources and applications. For instance, by encapsulating applications (and their libraries and dependencies) in a single package, and providing version control, deployment of software and updates can be simplified. It also helps to optimize resource use - particularly through its alignment with microservices architecture.</w:t>
      </w:r>
    </w:p>
    <w:p>
      <w:pPr>
        <w:pStyle w:val="Normal"/>
      </w:pPr>
      <w:r>
        <w:t xml:space="preserve">To get started with Docker from a system administrator’s point of view, check out our </w:t>
      </w:r>
      <w:hyperlink w:anchor="page_589">
        <w:r>
          <w:rPr>
            <w:rStyle w:val="Text2"/>
          </w:rPr>
          <w:t>Docker</w:t>
        </w:r>
      </w:hyperlink>
    </w:p>
    <w:p>
      <w:pPr>
        <w:pStyle w:val="Para 20"/>
      </w:pPr>
      <w:hyperlink w:anchor="page_589">
        <w:r>
          <w:t>guide for sysadmins</w:t>
        </w:r>
      </w:hyperlink>
      <w:r>
        <w:rPr>
          <w:rStyle w:val="Text4"/>
        </w:rPr>
        <w:t xml:space="preserve"> (page 588).</w:t>
      </w:r>
    </w:p>
    <w:p>
      <w:pPr>
        <w:pStyle w:val="Para 17"/>
      </w:pPr>
      <w:r>
        <w:t/>
      </w:r>
    </w:p>
    <w:p>
      <w:pPr>
        <w:pStyle w:val="Para 01"/>
      </w:pPr>
      <w:r>
        <w:t>About rock images</w:t>
      </w:r>
    </w:p>
    <w:p>
      <w:pPr>
        <w:pStyle w:val="Para 17"/>
      </w:pPr>
      <w:r>
        <w:t/>
      </w:r>
    </w:p>
    <w:p>
      <w:pPr>
        <w:pStyle w:val="Para 18"/>
      </w:pPr>
      <w:r>
        <w:rPr>
          <w:rStyle w:val="Text7"/>
        </w:rPr>
        <w:t xml:space="preserve">A rock is an </w:t>
      </w:r>
      <w:hyperlink r:id="rId1543">
        <w:r>
          <w:rPr>
            <w:rStyle w:val="Text10"/>
          </w:rPr>
          <w:t>957</w:t>
        </w:r>
      </w:hyperlink>
      <w:r>
        <w:rPr>
          <w:rStyle w:val="Text7"/>
        </w:rPr>
        <w:t xml:space="preserve"> </w:t>
      </w:r>
      <w:hyperlink r:id="rId1778">
        <w:r>
          <w:rPr>
            <w:rStyle w:val="Text10"/>
          </w:rPr>
          <w:t>958</w:t>
        </w:r>
      </w:hyperlink>
      <w:hyperlink r:id="rId1778">
        <w:r>
          <w:t xml:space="preserve"> Ubuntu-based container image</w:t>
        </w:r>
      </w:hyperlink>
      <w:r>
        <w:rPr>
          <w:rStyle w:val="Text7"/>
        </w:rPr>
        <w:t xml:space="preserve"> . Rocks are </w:t>
      </w:r>
      <w:hyperlink r:id="rId1778">
        <w:r>
          <w:t>OCI-compliant</w:t>
        </w:r>
      </w:hyperlink>
      <w:r>
        <w:rPr>
          <w:rStyle w:val="Text7"/>
        </w:rPr>
        <w:t xml:space="preserve"> and thus com-</w:t>
      </w:r>
    </w:p>
    <w:p>
      <w:pPr>
        <w:pStyle w:val="Normal"/>
      </w:pPr>
      <w:r>
        <w:t xml:space="preserve">patible with all popular container management tools (such as </w:t>
      </w:r>
      <w:hyperlink w:anchor="page_679">
        <w:r>
          <w:rPr>
            <w:rStyle w:val="Text2"/>
          </w:rPr>
          <w:t>Docker</w:t>
        </w:r>
      </w:hyperlink>
      <w:r>
        <w:t xml:space="preserve"> and Kubernetes) and container registries (such as Docker Hub and Amazon ECR). They are built to be secure and stable by design.</w:t>
      </w:r>
    </w:p>
    <w:p>
      <w:pPr>
        <w:pStyle w:val="Normal"/>
      </w:pPr>
      <w:r>
        <w:t xml:space="preserve">Rocks are </w:t>
      </w:r>
      <w:hyperlink r:id="rId1779">
        <w:r>
          <w:rPr>
            <w:rStyle w:val="Text9"/>
          </w:rPr>
          <w:t>959</w:t>
        </w:r>
      </w:hyperlink>
      <w:r>
        <w:t xml:space="preserve"> </w:t>
      </w:r>
      <w:hyperlink w:anchor="page_905">
        <w:r>
          <w:rPr>
            <w:rStyle w:val="Text9"/>
          </w:rPr>
          <w:t>960</w:t>
        </w:r>
      </w:hyperlink>
      <w:hyperlink w:anchor="page_905">
        <w:r>
          <w:rPr>
            <w:rStyle w:val="Text1"/>
          </w:rPr>
          <w:t xml:space="preserve"> created using Rockcraft</w:t>
        </w:r>
      </w:hyperlink>
      <w:r>
        <w:t xml:space="preserve"> , which in turn </w:t>
      </w:r>
      <w:hyperlink r:id="rId1780">
        <w:r>
          <w:rPr>
            <w:rStyle w:val="Text1"/>
          </w:rPr>
          <w:t>uses Chisel</w:t>
        </w:r>
      </w:hyperlink>
      <w:r>
        <w:t xml:space="preserve"> to extract the relevant parts of Debian packages needed to form a minimal container image. By keeping rocks small and specific, their exposure to vulnerabilities is minimized.</w:t>
      </w:r>
    </w:p>
    <w:p>
      <w:pPr>
        <w:pStyle w:val="Normal"/>
      </w:pPr>
      <w:r>
        <w:t>Although rocks can be useful for anyone using containers, in the Ubuntu Server context they are particularly helpful for system administrators who want to use containers to manage</w:t>
      </w:r>
    </w:p>
    <w:p>
      <w:pPr>
        <w:pStyle w:val="Normal"/>
      </w:pPr>
      <w:r>
        <w:t xml:space="preserve">their infrastructure. To find out how to run rocks on your server, refer to </w:t>
      </w:r>
      <w:hyperlink w:anchor="page_600">
        <w:r>
          <w:rPr>
            <w:rStyle w:val="Text2"/>
          </w:rPr>
          <w:t>our how-to guide</w:t>
        </w:r>
      </w:hyperlink>
    </w:p>
    <w:p>
      <w:pPr>
        <w:pStyle w:val="Normal"/>
      </w:pPr>
      <w:r>
        <w:t xml:space="preserve">(page 599). Alternatively, to find out more about rocks and Rockcraft, refer to the </w:t>
      </w:r>
      <w:hyperlink r:id="rId1781">
        <w:r>
          <w:rPr>
            <w:rStyle w:val="Text1"/>
          </w:rPr>
          <w:t>official</w:t>
        </w:r>
      </w:hyperlink>
    </w:p>
    <w:p>
      <w:pPr>
        <w:pStyle w:val="Para 18"/>
      </w:pPr>
      <w:hyperlink r:id="rId1781">
        <w:r>
          <w:t>Rockcraft documentation</w:t>
        </w:r>
      </w:hyperlink>
      <w:hyperlink r:id="rId1781">
        <w:r>
          <w:rPr>
            <w:rStyle w:val="Text10"/>
          </w:rPr>
          <w:t>961</w:t>
        </w:r>
      </w:hyperlink>
      <w:r>
        <w:rPr>
          <w:rStyle w:val="Text7"/>
        </w:rPr>
        <w:t>.</w:t>
      </w:r>
    </w:p>
    <w:p>
      <w:pPr>
        <w:pStyle w:val="Para 17"/>
      </w:pPr>
      <w:r>
        <w:t/>
      </w:r>
    </w:p>
    <w:p>
      <w:pPr>
        <w:pStyle w:val="Para 01"/>
      </w:pPr>
      <w:r>
        <w:t>Docker storage, networking, and logging</w:t>
      </w:r>
    </w:p>
    <w:p>
      <w:pPr>
        <w:pStyle w:val="Para 17"/>
      </w:pPr>
      <w:r>
        <w:t/>
      </w:r>
    </w:p>
    <w:p>
      <w:pPr>
        <w:pStyle w:val="Normal"/>
      </w:pPr>
      <w:r>
        <w:t>Containers are widely used across multiple server workloads (databases and web servers, for instance), and understanding how to properly set up your server to run them is becoming more important for systems administrators. In this explanatory page, we are going to discuss some of the most important factors a system administrator needs to consider when setting up the environment to run Docker containers.</w:t>
      </w:r>
    </w:p>
    <w:p>
      <w:pPr>
        <w:pStyle w:val="Normal"/>
      </w:pPr>
      <w:r>
        <w:t>Understanding the options available to run Docker containers is key to optimising the use of computational resources in a given scenario/workload, which might have specific require-</w:t>
      </w:r>
    </w:p>
    <w:p>
      <w:pPr>
        <w:pStyle w:val="Para 05"/>
      </w:pPr>
      <w:r>
        <w:rPr>
          <w:rStyle w:val="Text5"/>
        </w:rPr>
        <w:t>957</w:t>
      </w:r>
      <w:r>
        <w:rPr>
          <w:rStyle w:val="Text8"/>
        </w:rPr>
        <w:t xml:space="preserve"> </w:t>
      </w:r>
      <w:r>
        <w:t>https://documentation.ubuntu.com/rockcraft/latest/explanation/rocks/</w:t>
      </w:r>
    </w:p>
    <w:p>
      <w:pPr>
        <w:pStyle w:val="Para 05"/>
      </w:pPr>
      <w:r>
        <w:rPr>
          <w:rStyle w:val="Text5"/>
        </w:rPr>
        <w:t>958</w:t>
      </w:r>
      <w:r>
        <w:rPr>
          <w:rStyle w:val="Text8"/>
        </w:rPr>
        <w:t xml:space="preserve"> </w:t>
      </w:r>
      <w:r>
        <w:t>https://opencontainers.org/</w:t>
      </w:r>
    </w:p>
    <w:p>
      <w:pPr>
        <w:pStyle w:val="Para 05"/>
      </w:pPr>
      <w:r>
        <w:rPr>
          <w:rStyle w:val="Text5"/>
        </w:rPr>
        <w:t>959</w:t>
      </w:r>
      <w:r>
        <w:rPr>
          <w:rStyle w:val="Text8"/>
        </w:rPr>
        <w:t xml:space="preserve"> </w:t>
      </w:r>
      <w:r>
        <w:t>https://documentation.ubuntu.com/rockcraft/latest/explanation/rockcraft/</w:t>
      </w:r>
    </w:p>
    <w:p>
      <w:pPr>
        <w:pStyle w:val="Para 05"/>
      </w:pPr>
      <w:r>
        <w:rPr>
          <w:rStyle w:val="Text5"/>
        </w:rPr>
        <w:t>960</w:t>
      </w:r>
      <w:r>
        <w:rPr>
          <w:rStyle w:val="Text8"/>
        </w:rPr>
        <w:t xml:space="preserve"> </w:t>
      </w:r>
      <w:r>
        <w:t>https://documentation.ubuntu.com/rockcraft/latest/explanation/chisel/</w:t>
      </w:r>
    </w:p>
    <w:p>
      <w:pPr>
        <w:pStyle w:val="Para 03"/>
      </w:pPr>
      <w:r>
        <w:rPr>
          <w:rStyle w:val="Text5"/>
        </w:rPr>
        <w:t>961</w:t>
      </w:r>
      <w:r>
        <w:t xml:space="preserve"> </w:t>
      </w:r>
      <w:r>
        <w:rPr>
          <w:rStyle w:val="Text6"/>
        </w:rPr>
        <w:t>https://documentation.ubuntu.com/rockcraft/latest/</w:t>
      </w:r>
      <w:r>
        <w:t xml:space="preserve"> ments. Some aspects that are important for system administrators are: </w:t>
      </w:r>
      <w:r>
        <w:rPr>
          <w:rStyle w:val="Text0"/>
        </w:rPr>
        <w:t>storage</w:t>
      </w:r>
      <w:r>
        <w:t xml:space="preserve">, </w:t>
      </w:r>
      <w:r>
        <w:rPr>
          <w:rStyle w:val="Text0"/>
        </w:rPr>
        <w:t>networking</w:t>
      </w:r>
      <w:r>
        <w:t xml:space="preserve"> and </w:t>
      </w:r>
      <w:r>
        <w:rPr>
          <w:rStyle w:val="Text0"/>
        </w:rPr>
        <w:t>logging</w:t>
      </w:r>
      <w:r>
        <w:t>.</w:t>
      </w:r>
    </w:p>
    <w:p>
      <w:bookmarkStart w:id="1432" w:name="page_90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4" name="index-906_1.png" descr="index-906_1.png"/>
            <wp:cNvGraphicFramePr>
              <a:graphicFrameLocks noChangeAspect="1"/>
            </wp:cNvGraphicFramePr>
            <a:graphic>
              <a:graphicData uri="http://schemas.openxmlformats.org/drawingml/2006/picture">
                <pic:pic>
                  <pic:nvPicPr>
                    <pic:cNvPr id="0" name="index-906_1.png" descr="index-906_1.png"/>
                    <pic:cNvPicPr/>
                  </pic:nvPicPr>
                  <pic:blipFill>
                    <a:blip r:embed="rId948"/>
                    <a:stretch>
                      <a:fillRect/>
                    </a:stretch>
                  </pic:blipFill>
                  <pic:spPr>
                    <a:xfrm>
                      <a:off x="0" y="0"/>
                      <a:ext cx="914400" cy="266700"/>
                    </a:xfrm>
                    <a:prstGeom prst="rect">
                      <a:avLst/>
                    </a:prstGeom>
                  </pic:spPr>
                </pic:pic>
              </a:graphicData>
            </a:graphic>
          </wp:anchor>
        </w:drawing>
      </w:r>
      <w:bookmarkEnd w:id="1432"/>
    </w:p>
    <w:p>
      <w:pPr>
        <w:pStyle w:val="Para 17"/>
      </w:pPr>
      <w:r>
        <w:t/>
      </w:r>
    </w:p>
    <w:p>
      <w:pPr>
        <w:pStyle w:val="Para 01"/>
      </w:pPr>
      <w:r>
        <w:t>Storage</w:t>
      </w:r>
    </w:p>
    <w:p>
      <w:pPr>
        <w:pStyle w:val="Para 17"/>
      </w:pPr>
      <w:r>
        <w:t/>
      </w:r>
    </w:p>
    <w:p>
      <w:pPr>
        <w:pStyle w:val="Normal"/>
      </w:pPr>
      <w:r>
        <w:t>The first thing we need to keep in mind is that containers are ephemeral, and unless config-ured otherwise, so are their data. Docker images are composed of one or more layers which are read-only, and once you run a container based on an image a new writable layer is cre-ated on top of the topmost image layer; the container can manage any type of data there. The content changes in the writable container layer are not persisted anywhere, and once the container is gone all the changes disappear. This behavior presents some challenges to us: How can the data be persisted? How can it be shared among containers? How can it be shared between the host and the containers?</w:t>
      </w:r>
    </w:p>
    <w:p>
      <w:pPr>
        <w:pStyle w:val="Normal"/>
      </w:pPr>
      <w:r>
        <w:t xml:space="preserve">There are some important concepts in the Docker world that are the answer for some of those problems: they are </w:t>
      </w:r>
      <w:r>
        <w:rPr>
          <w:rStyle w:val="Text0"/>
        </w:rPr>
        <w:t>volumes</w:t>
      </w:r>
      <w:r>
        <w:t xml:space="preserve">, </w:t>
      </w:r>
      <w:r>
        <w:rPr>
          <w:rStyle w:val="Text0"/>
        </w:rPr>
        <w:t>bind mounts</w:t>
      </w:r>
      <w:r>
        <w:t xml:space="preserve"> and </w:t>
      </w:r>
      <w:r>
        <w:rPr>
          <w:rStyle w:val="Text0"/>
        </w:rPr>
        <w:t>tmpfs</w:t>
      </w:r>
      <w:r>
        <w:t xml:space="preserve">. Another question is how all those layers that form Docker images and containers will be stored, and for that we are going to talk about </w:t>
      </w:r>
      <w:r>
        <w:rPr>
          <w:rStyle w:val="Text0"/>
        </w:rPr>
        <w:t>storage drivers</w:t>
      </w:r>
      <w:r>
        <w:t xml:space="preserve"> (more on that later).</w:t>
      </w:r>
    </w:p>
    <w:p>
      <w:pPr>
        <w:pStyle w:val="Normal"/>
      </w:pPr>
      <w:r>
        <w:t>When we want to persist data we have two options:</w:t>
      </w:r>
    </w:p>
    <w:p>
      <w:pPr>
        <w:pStyle w:val="Para 04"/>
      </w:pPr>
      <w:r>
        <w:t>• Volumes are the preferred way to persist data generated and used by Docker containers</w:t>
      </w:r>
    </w:p>
    <w:p>
      <w:pPr>
        <w:pStyle w:val="Para 02"/>
      </w:pPr>
      <w:r>
        <w:t>if your workload will generate a high volume of data, such as a database.</w:t>
      </w:r>
    </w:p>
    <w:p>
      <w:pPr>
        <w:pStyle w:val="Para 04"/>
      </w:pPr>
      <w:r>
        <w:t>• Bind mounts are another option if you need to access files from the host, for example</w:t>
      </w:r>
    </w:p>
    <w:p>
      <w:pPr>
        <w:pStyle w:val="Para 02"/>
      </w:pPr>
      <w:r>
        <w:t>system files.</w:t>
      </w:r>
    </w:p>
    <w:p>
      <w:pPr>
        <w:pStyle w:val="Normal"/>
      </w:pPr>
      <w:r>
        <w:t>If what you want is to store some sensitive data in memory, like credentials, and do not want to persist it in either the host or the container layer, we can use tmpfs mounts.</w:t>
      </w:r>
    </w:p>
    <w:p>
      <w:pPr>
        <w:pStyle w:val="Para 17"/>
      </w:pPr>
      <w:r>
        <w:t/>
      </w:r>
    </w:p>
    <w:p>
      <w:pPr>
        <w:pStyle w:val="Para 01"/>
      </w:pPr>
      <w:r>
        <w:t>Volumes</w:t>
      </w:r>
    </w:p>
    <w:p>
      <w:pPr>
        <w:pStyle w:val="Para 17"/>
      </w:pPr>
      <w:r>
        <w:t/>
      </w:r>
    </w:p>
    <w:p>
      <w:pPr>
        <w:pStyle w:val="Normal"/>
      </w:pPr>
      <w:r>
        <w:t>The recommended way to persist data to and from Docker containers is by using volumes. Docker itself manages them, they are not OS-dependent and they can provide some inter-esting features for system administrators:</w:t>
      </w:r>
    </w:p>
    <w:p>
      <w:pPr>
        <w:pStyle w:val="Para 04"/>
      </w:pPr>
      <w:r>
        <w:t>• Easier to back up and migrate when compared to bind mounts;</w:t>
      </w:r>
    </w:p>
    <w:p>
      <w:pPr>
        <w:pStyle w:val="Para 04"/>
      </w:pPr>
      <w:r>
        <w:t>• Managed by the Docker CLI or API;</w:t>
      </w:r>
    </w:p>
    <w:p>
      <w:pPr>
        <w:pStyle w:val="Para 04"/>
      </w:pPr>
      <w:r>
        <w:t>• Safely shared among containers;</w:t>
      </w:r>
    </w:p>
    <w:p>
      <w:pPr>
        <w:pStyle w:val="Para 04"/>
      </w:pPr>
      <w:r>
        <w:t>• Volume drivers allow one to store data in remote hosts or in public cloud providers (also</w:t>
      </w:r>
    </w:p>
    <w:p>
      <w:pPr>
        <w:pStyle w:val="Para 02"/>
      </w:pPr>
      <w:r>
        <w:t>encrypting the data).</w:t>
      </w:r>
    </w:p>
    <w:p>
      <w:pPr>
        <w:pStyle w:val="Normal"/>
      </w:pPr>
      <w:r>
        <w:t>Moreover, volumes are a better choice than persisting data in the container layer, because volumes do not increase the size of the container, which can affect the life-cycle management performance.</w:t>
      </w:r>
    </w:p>
    <w:p>
      <w:pPr>
        <w:pStyle w:val="Normal"/>
      </w:pPr>
      <w:r>
        <w:t>Volumes can be created before or at the container creation time. There are two CLI options you can use to mount a volume in the container during its creation (docker run or docker create):</w:t>
      </w:r>
    </w:p>
    <w:p>
      <w:pPr>
        <w:pStyle w:val="Para 04"/>
      </w:pPr>
      <w:r>
        <w:t>•--mount: it accepts multiple key-value pairs (&lt;key&gt;=&lt;value&gt;). This is the preferred op-</w:t>
      </w:r>
    </w:p>
    <w:p>
      <w:pPr>
        <w:pStyle w:val="Para 02"/>
      </w:pPr>
      <w:r>
        <w:t>tion to use.</w:t>
      </w:r>
    </w:p>
    <w:p>
      <w:bookmarkStart w:id="1433" w:name="page_9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5" name="index-907_1.png" descr="index-907_1.png"/>
            <wp:cNvGraphicFramePr>
              <a:graphicFrameLocks noChangeAspect="1"/>
            </wp:cNvGraphicFramePr>
            <a:graphic>
              <a:graphicData uri="http://schemas.openxmlformats.org/drawingml/2006/picture">
                <pic:pic>
                  <pic:nvPicPr>
                    <pic:cNvPr id="0" name="index-907_1.png" descr="index-907_1.png"/>
                    <pic:cNvPicPr/>
                  </pic:nvPicPr>
                  <pic:blipFill>
                    <a:blip r:embed="rId949"/>
                    <a:stretch>
                      <a:fillRect/>
                    </a:stretch>
                  </pic:blipFill>
                  <pic:spPr>
                    <a:xfrm>
                      <a:off x="0" y="0"/>
                      <a:ext cx="914400" cy="266700"/>
                    </a:xfrm>
                    <a:prstGeom prst="rect">
                      <a:avLst/>
                    </a:prstGeom>
                  </pic:spPr>
                </pic:pic>
              </a:graphicData>
            </a:graphic>
          </wp:anchor>
        </w:drawing>
      </w:r>
      <w:bookmarkEnd w:id="1433"/>
    </w:p>
    <w:p>
      <w:pPr>
        <w:pStyle w:val="Para 06"/>
      </w:pPr>
      <w:r>
        <w:rPr>
          <w:rStyle w:val="Text0"/>
        </w:rPr>
        <w:t>–</w:t>
      </w:r>
      <w:r>
        <w:t xml:space="preserve"> type: for volumes it will always be volume;</w:t>
      </w:r>
    </w:p>
    <w:p>
      <w:pPr>
        <w:pStyle w:val="Para 06"/>
      </w:pPr>
      <w:r>
        <w:rPr>
          <w:rStyle w:val="Text0"/>
        </w:rPr>
        <w:t>–</w:t>
      </w:r>
      <w:r>
        <w:t xml:space="preserve"> source or src: the name of the volume, if the volume is anonymous (no name) this</w:t>
      </w:r>
    </w:p>
    <w:p>
      <w:pPr>
        <w:pStyle w:val="Para 11"/>
      </w:pPr>
      <w:r>
        <w:t>can be omitted;</w:t>
      </w:r>
    </w:p>
    <w:p>
      <w:pPr>
        <w:pStyle w:val="Para 06"/>
      </w:pPr>
      <w:r>
        <w:rPr>
          <w:rStyle w:val="Text0"/>
        </w:rPr>
        <w:t>–</w:t>
      </w:r>
      <w:r>
        <w:t xml:space="preserve"> destination, dst or target: the path inside the container where the volume will be</w:t>
      </w:r>
    </w:p>
    <w:p>
      <w:pPr>
        <w:pStyle w:val="Para 11"/>
      </w:pPr>
      <w:r>
        <w:t>mounted;</w:t>
      </w:r>
    </w:p>
    <w:p>
      <w:pPr>
        <w:pStyle w:val="Para 06"/>
      </w:pPr>
      <w:r>
        <w:rPr>
          <w:rStyle w:val="Text0"/>
        </w:rPr>
        <w:t>–</w:t>
      </w:r>
      <w:r>
        <w:t xml:space="preserve"> readonly or ro (optional): whether the volume should be mounted as read-only</w:t>
      </w:r>
    </w:p>
    <w:p>
      <w:pPr>
        <w:pStyle w:val="Para 11"/>
      </w:pPr>
      <w:r>
        <w:t>inside the container;</w:t>
      </w:r>
    </w:p>
    <w:p>
      <w:pPr>
        <w:pStyle w:val="Para 06"/>
      </w:pPr>
      <w:r>
        <w:rPr>
          <w:rStyle w:val="Text0"/>
        </w:rPr>
        <w:t>–</w:t>
      </w:r>
      <w:r>
        <w:t xml:space="preserve"> volume-opt (optional): a comma separated list of options in the format you would</w:t>
      </w:r>
    </w:p>
    <w:p>
      <w:pPr>
        <w:pStyle w:val="Para 11"/>
      </w:pPr>
      <w:r>
        <w:t>pass to the mount command.</w:t>
      </w:r>
    </w:p>
    <w:p>
      <w:pPr>
        <w:pStyle w:val="Para 04"/>
      </w:pPr>
      <w:r>
        <w:t>•-v or--volume: it accepts 3 parameters separated by colon (:):</w:t>
      </w:r>
    </w:p>
    <w:p>
      <w:pPr>
        <w:pStyle w:val="Para 06"/>
      </w:pPr>
      <w:r>
        <w:rPr>
          <w:rStyle w:val="Text0"/>
        </w:rPr>
        <w:t>–</w:t>
      </w:r>
      <w:r>
        <w:t xml:space="preserve"> First, the name of the volume. For the default local driver, the name should use</w:t>
      </w:r>
    </w:p>
    <w:p>
      <w:pPr>
        <w:pStyle w:val="Para 11"/>
      </w:pPr>
      <w:r>
        <w:t>only: letters in upper and lower case, numbers, ., _ and-;</w:t>
      </w:r>
    </w:p>
    <w:p>
      <w:pPr>
        <w:pStyle w:val="Para 06"/>
      </w:pPr>
      <w:r>
        <w:rPr>
          <w:rStyle w:val="Text0"/>
        </w:rPr>
        <w:t>–</w:t>
      </w:r>
      <w:r>
        <w:t xml:space="preserve"> Second, the path inside the container where the volume will be mounted;</w:t>
      </w:r>
    </w:p>
    <w:p>
      <w:pPr>
        <w:pStyle w:val="Para 06"/>
      </w:pPr>
      <w:r>
        <w:rPr>
          <w:rStyle w:val="Text0"/>
        </w:rPr>
        <w:t>–</w:t>
      </w:r>
      <w:r>
        <w:t xml:space="preserve"> Third (optional), a comma-separated list of options in the format you would pass</w:t>
      </w:r>
    </w:p>
    <w:p>
      <w:pPr>
        <w:pStyle w:val="Para 11"/>
      </w:pPr>
      <w:r>
        <w:t>to the mount command, such as rw.</w:t>
      </w:r>
    </w:p>
    <w:p>
      <w:pPr>
        <w:pStyle w:val="Para 17"/>
      </w:pPr>
      <w:r>
        <w:t/>
      </w:r>
    </w:p>
    <w:p>
      <w:pPr>
        <w:pStyle w:val="Para 01"/>
      </w:pPr>
      <w:r>
        <w:t>Bind mounts</w:t>
      </w:r>
    </w:p>
    <w:p>
      <w:pPr>
        <w:pStyle w:val="Para 17"/>
      </w:pPr>
      <w:r>
        <w:t/>
      </w:r>
    </w:p>
    <w:p>
      <w:pPr>
        <w:pStyle w:val="Normal"/>
      </w:pPr>
      <w:r>
        <w:t>Bind mounts are another option for persisting data, however, they have some limitations compared to volumes. Bind mounts are tightly associated with the directory structure and with the OS, but performance-wise they are similar to volumes in Linux systems.</w:t>
      </w:r>
    </w:p>
    <w:p>
      <w:pPr>
        <w:pStyle w:val="Normal"/>
      </w:pPr>
      <w:r>
        <w:t>In a scenario where a container needs to have access to any host system’s file or directory, bind mounts are probably the best solution. Some monitoring tools make use of bind mounts when executed as Docker containers.</w:t>
      </w:r>
    </w:p>
    <w:p>
      <w:pPr>
        <w:pStyle w:val="Normal"/>
      </w:pPr>
      <w:r>
        <w:t>Bind mounts can be managed via the Docker CLI, and as with volumes there are two options you can use:</w:t>
      </w:r>
    </w:p>
    <w:p>
      <w:pPr>
        <w:pStyle w:val="Para 04"/>
      </w:pPr>
      <w:r>
        <w:t>•--mount: it accepts multiple key-value pairs (&lt;key&gt;=&lt;value&gt;). This is the preferred op-</w:t>
      </w:r>
    </w:p>
    <w:p>
      <w:pPr>
        <w:pStyle w:val="Para 02"/>
      </w:pPr>
      <w:r>
        <w:t>tion to use.</w:t>
      </w:r>
    </w:p>
    <w:p>
      <w:pPr>
        <w:pStyle w:val="Para 06"/>
      </w:pPr>
      <w:r>
        <w:rPr>
          <w:rStyle w:val="Text0"/>
        </w:rPr>
        <w:t>–</w:t>
      </w:r>
      <w:r>
        <w:t xml:space="preserve"> type: for bind mounts it will always be bind;</w:t>
      </w:r>
    </w:p>
    <w:p>
      <w:pPr>
        <w:pStyle w:val="Para 06"/>
      </w:pPr>
      <w:r>
        <w:rPr>
          <w:rStyle w:val="Text0"/>
        </w:rPr>
        <w:t>–</w:t>
      </w:r>
      <w:r>
        <w:t xml:space="preserve"> source or src: path of the file or directory on the host;</w:t>
      </w:r>
    </w:p>
    <w:p>
      <w:pPr>
        <w:pStyle w:val="Para 06"/>
      </w:pPr>
      <w:r>
        <w:rPr>
          <w:rStyle w:val="Text0"/>
        </w:rPr>
        <w:t>–</w:t>
      </w:r>
      <w:r>
        <w:t xml:space="preserve"> destination, dst or target: container’s directory to be mounted;</w:t>
      </w:r>
    </w:p>
    <w:p>
      <w:pPr>
        <w:pStyle w:val="Para 06"/>
      </w:pPr>
      <w:r>
        <w:rPr>
          <w:rStyle w:val="Text0"/>
        </w:rPr>
        <w:t>–</w:t>
      </w:r>
      <w:r>
        <w:t xml:space="preserve"> readonly or ro (optional): the bind mount is mounted in the container as read-only;</w:t>
      </w:r>
    </w:p>
    <w:p>
      <w:pPr>
        <w:pStyle w:val="Para 06"/>
      </w:pPr>
      <w:r>
        <w:rPr>
          <w:rStyle w:val="Text0"/>
        </w:rPr>
        <w:t>–</w:t>
      </w:r>
      <w:r>
        <w:t xml:space="preserve"> volume-opt (optional): it accepts any mount command option;</w:t>
      </w:r>
    </w:p>
    <w:p>
      <w:pPr>
        <w:pStyle w:val="Para 06"/>
      </w:pPr>
      <w:r>
        <w:rPr>
          <w:rStyle w:val="Text0"/>
        </w:rPr>
        <w:t>–</w:t>
      </w:r>
      <w:r>
        <w:t xml:space="preserve"> bind-propagation (optional): it changes the bind propagation. It can be rprivate,</w:t>
      </w:r>
    </w:p>
    <w:p>
      <w:pPr>
        <w:pStyle w:val="Para 11"/>
      </w:pPr>
      <w:r>
        <w:t>private, rshared, shared, rslave, slave.</w:t>
      </w:r>
    </w:p>
    <w:p>
      <w:pPr>
        <w:pStyle w:val="Para 04"/>
      </w:pPr>
      <w:r>
        <w:t>•-v or--volume: it accepts 3 parameters separated by colon (:):</w:t>
      </w:r>
    </w:p>
    <w:p>
      <w:pPr>
        <w:pStyle w:val="Para 06"/>
      </w:pPr>
      <w:r>
        <w:rPr>
          <w:rStyle w:val="Text0"/>
        </w:rPr>
        <w:t>–</w:t>
      </w:r>
      <w:r>
        <w:t xml:space="preserve"> First, path of the file or directory on the host;</w:t>
      </w:r>
    </w:p>
    <w:p>
      <w:pPr>
        <w:pStyle w:val="Para 06"/>
      </w:pPr>
      <w:r>
        <w:rPr>
          <w:rStyle w:val="Text0"/>
        </w:rPr>
        <w:t>–</w:t>
      </w:r>
      <w:r>
        <w:t xml:space="preserve"> Second, path of the container where the volume will be mounted;</w:t>
      </w:r>
    </w:p>
    <w:p>
      <w:pPr>
        <w:pStyle w:val="Para 06"/>
      </w:pPr>
      <w:r>
        <w:rPr>
          <w:rStyle w:val="Text0"/>
        </w:rPr>
        <w:t>–</w:t>
      </w:r>
      <w:r>
        <w:t xml:space="preserve"> Third (optional), a comma separated of option in the format you would pass to</w:t>
      </w:r>
    </w:p>
    <w:p>
      <w:pPr>
        <w:pStyle w:val="Para 11"/>
      </w:pPr>
      <w:r>
        <w:t>mount command, such as rw.</w:t>
      </w:r>
    </w:p>
    <w:p>
      <w:bookmarkStart w:id="1434" w:name="page_9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6" name="index-908_1.png" descr="index-908_1.png"/>
            <wp:cNvGraphicFramePr>
              <a:graphicFrameLocks noChangeAspect="1"/>
            </wp:cNvGraphicFramePr>
            <a:graphic>
              <a:graphicData uri="http://schemas.openxmlformats.org/drawingml/2006/picture">
                <pic:pic>
                  <pic:nvPicPr>
                    <pic:cNvPr id="0" name="index-908_1.png" descr="index-908_1.png"/>
                    <pic:cNvPicPr/>
                  </pic:nvPicPr>
                  <pic:blipFill>
                    <a:blip r:embed="rId950"/>
                    <a:stretch>
                      <a:fillRect/>
                    </a:stretch>
                  </pic:blipFill>
                  <pic:spPr>
                    <a:xfrm>
                      <a:off x="0" y="0"/>
                      <a:ext cx="914400" cy="266700"/>
                    </a:xfrm>
                    <a:prstGeom prst="rect">
                      <a:avLst/>
                    </a:prstGeom>
                  </pic:spPr>
                </pic:pic>
              </a:graphicData>
            </a:graphic>
          </wp:anchor>
        </w:drawing>
      </w:r>
      <w:bookmarkEnd w:id="1434"/>
    </w:p>
    <w:p>
      <w:pPr>
        <w:pStyle w:val="Para 01"/>
      </w:pPr>
      <w:r>
        <w:t>Tmpfs</w:t>
      </w:r>
    </w:p>
    <w:p>
      <w:pPr>
        <w:pStyle w:val="Para 17"/>
      </w:pPr>
      <w:r>
        <w:t/>
      </w:r>
    </w:p>
    <w:p>
      <w:pPr>
        <w:pStyle w:val="Normal"/>
      </w:pPr>
      <w:r>
        <w:t>Tmpfs mounts allow users to store data temporarily in RAM memory, not in the host’s stor-age (via bind mount or volume) or in the container’s writable layer (with the help of storage drivers). When the container stops, the tmpfs mount will be removed and the data will not be persisted in any storage.</w:t>
      </w:r>
    </w:p>
    <w:p>
      <w:pPr>
        <w:pStyle w:val="Normal"/>
      </w:pPr>
      <w:r>
        <w:t>This is ideal for accessing credentials or security-sensitive information. The downside is that a tmpfs mount cannot be shared with multiple containers.</w:t>
      </w:r>
    </w:p>
    <w:p>
      <w:pPr>
        <w:pStyle w:val="Normal"/>
      </w:pPr>
      <w:r>
        <w:t>Tmpfs mounts can be managed via the Docker CLI with the following two options:</w:t>
      </w:r>
    </w:p>
    <w:p>
      <w:pPr>
        <w:pStyle w:val="Para 04"/>
      </w:pPr>
      <w:r>
        <w:t>•--mount: it accepts multiple key-value pairs (&lt;key&gt;=&lt;value&gt;). This is the preferred op-</w:t>
      </w:r>
    </w:p>
    <w:p>
      <w:pPr>
        <w:pStyle w:val="Para 02"/>
      </w:pPr>
      <w:r>
        <w:t>tion to use.</w:t>
      </w:r>
    </w:p>
    <w:p>
      <w:pPr>
        <w:pStyle w:val="Para 06"/>
      </w:pPr>
      <w:r>
        <w:rPr>
          <w:rStyle w:val="Text0"/>
        </w:rPr>
        <w:t>–</w:t>
      </w:r>
      <w:r>
        <w:t xml:space="preserve"> type: for volumes it will always be tmpfs;</w:t>
      </w:r>
    </w:p>
    <w:p>
      <w:pPr>
        <w:pStyle w:val="Para 06"/>
      </w:pPr>
      <w:r>
        <w:rPr>
          <w:rStyle w:val="Text0"/>
        </w:rPr>
        <w:t>–</w:t>
      </w:r>
      <w:r>
        <w:t xml:space="preserve"> destination, dst or target: container’s directory to be mounted;</w:t>
      </w:r>
    </w:p>
    <w:p>
      <w:pPr>
        <w:pStyle w:val="Para 06"/>
      </w:pPr>
      <w:r>
        <w:rPr>
          <w:rStyle w:val="Text0"/>
        </w:rPr>
        <w:t>–</w:t>
      </w:r>
      <w:r>
        <w:t xml:space="preserve"> tmpfs-size and tmpfs-mode options (optional). For a full list see the </w:t>
      </w:r>
      <w:hyperlink r:id="rId1782">
        <w:r>
          <w:rPr>
            <w:rStyle w:val="Text1"/>
          </w:rPr>
          <w:t>Docker docu-</w:t>
        </w:r>
      </w:hyperlink>
    </w:p>
    <w:p>
      <w:pPr>
        <w:pStyle w:val="Para 49"/>
      </w:pPr>
      <w:hyperlink r:id="rId1782">
        <w:r>
          <w:t>mentation</w:t>
        </w:r>
      </w:hyperlink>
      <w:r>
        <w:rPr>
          <w:rStyle w:val="Text7"/>
        </w:rPr>
        <w:t xml:space="preserve"> </w:t>
      </w:r>
      <w:hyperlink w:anchor="page_908">
        <w:r>
          <w:rPr>
            <w:rStyle w:val="Text10"/>
          </w:rPr>
          <w:t>962</w:t>
        </w:r>
      </w:hyperlink>
      <w:r>
        <w:rPr>
          <w:rStyle w:val="Text7"/>
        </w:rPr>
        <w:t>.</w:t>
      </w:r>
    </w:p>
    <w:p>
      <w:pPr>
        <w:pStyle w:val="Para 04"/>
      </w:pPr>
      <w:r>
        <w:t>•--tmpfs: it accepts no configurable options, just mount the tmpfs for a standalone con-</w:t>
      </w:r>
    </w:p>
    <w:p>
      <w:pPr>
        <w:pStyle w:val="Para 02"/>
      </w:pPr>
      <w:r>
        <w:t>tainer.</w:t>
      </w:r>
    </w:p>
    <w:p>
      <w:pPr>
        <w:pStyle w:val="Para 17"/>
      </w:pPr>
      <w:r>
        <w:t/>
      </w:r>
    </w:p>
    <w:p>
      <w:pPr>
        <w:pStyle w:val="Para 01"/>
      </w:pPr>
      <w:r>
        <w:t>Storage drivers</w:t>
      </w:r>
    </w:p>
    <w:p>
      <w:pPr>
        <w:pStyle w:val="Para 17"/>
      </w:pPr>
      <w:r>
        <w:t/>
      </w:r>
    </w:p>
    <w:p>
      <w:pPr>
        <w:pStyle w:val="Normal"/>
      </w:pPr>
      <w:r>
        <w:t>Storage drivers are used to store image layers and to store data in the writable layer of a container. In general, storage drivers are implemented trying to optimize the use of space,</w:t>
      </w:r>
    </w:p>
    <w:p>
      <w:pPr>
        <w:pStyle w:val="Normal"/>
      </w:pPr>
      <w:r>
        <w:t xml:space="preserve">but write speed might be lower than native </w:t>
      </w:r>
      <w:hyperlink w:anchor="page_682">
        <w:r>
          <w:rPr>
            <w:rStyle w:val="Text2"/>
          </w:rPr>
          <w:t>filesystem</w:t>
        </w:r>
      </w:hyperlink>
      <w:r>
        <w:t xml:space="preserve"> performance depending on the driver in use. To better understand the options and make informed decisions, take a look at the</w:t>
      </w:r>
    </w:p>
    <w:p>
      <w:pPr>
        <w:pStyle w:val="Para 18"/>
      </w:pPr>
      <w:r>
        <w:rPr>
          <w:rStyle w:val="Text7"/>
        </w:rPr>
        <w:t xml:space="preserve">Docker documentation on </w:t>
      </w:r>
      <w:hyperlink r:id="rId1783">
        <w:r>
          <w:rPr>
            <w:rStyle w:val="Text10"/>
          </w:rPr>
          <w:t>963</w:t>
        </w:r>
      </w:hyperlink>
      <w:hyperlink r:id="rId1783">
        <w:r>
          <w:t xml:space="preserve"> how layers, images and containers work</w:t>
        </w:r>
      </w:hyperlink>
      <w:r>
        <w:rPr>
          <w:rStyle w:val="Text7"/>
        </w:rPr>
        <w:t>.</w:t>
      </w:r>
    </w:p>
    <w:p>
      <w:pPr>
        <w:pStyle w:val="Normal"/>
      </w:pPr>
      <w:r>
        <w:t>The default storage driver is the overlay2 which is backed by OverlayFS. This driver is rec-ommended by upstream for use in production systems. The following storage drivers are available and are supported in Ubuntu (as at the time of writing):</w:t>
      </w:r>
    </w:p>
    <w:p>
      <w:pPr>
        <w:pStyle w:val="Para 04"/>
      </w:pPr>
      <w:r>
        <w:t xml:space="preserve">• </w:t>
      </w:r>
      <w:r>
        <w:rPr>
          <w:rStyle w:val="Text0"/>
        </w:rPr>
        <w:t>OverlayFS</w:t>
      </w:r>
      <w:r>
        <w:t>: it is a modern union filesystem. The Linux kernel driver is called OverlayFS</w:t>
      </w:r>
    </w:p>
    <w:p>
      <w:pPr>
        <w:pStyle w:val="Para 17"/>
      </w:pPr>
      <w:r>
        <w:t xml:space="preserve">and the Docker storage driver is called overlay2. </w:t>
      </w:r>
      <w:r>
        <w:rPr>
          <w:rStyle w:val="Text0"/>
        </w:rPr>
        <w:t>This is the recommended driver</w:t>
      </w:r>
      <w:r>
        <w:t>.</w:t>
      </w:r>
    </w:p>
    <w:p>
      <w:pPr>
        <w:pStyle w:val="Para 04"/>
      </w:pPr>
      <w:r>
        <w:t xml:space="preserve">• </w:t>
      </w:r>
      <w:r>
        <w:rPr>
          <w:rStyle w:val="Text0"/>
        </w:rPr>
        <w:t>ZFS</w:t>
      </w:r>
      <w:r>
        <w:t>: it is a next generation filesystem that supports many advanced storage technolo-</w:t>
      </w:r>
    </w:p>
    <w:p>
      <w:pPr>
        <w:pStyle w:val="Para 02"/>
      </w:pPr>
      <w:r>
        <w:t xml:space="preserve">gies such as volume management, snapshots, checksumming, compression and </w:t>
      </w:r>
      <w:hyperlink w:anchor="page_678">
        <w:r>
          <w:rPr>
            <w:rStyle w:val="Text2"/>
          </w:rPr>
          <w:t>dedu-</w:t>
        </w:r>
      </w:hyperlink>
    </w:p>
    <w:p>
      <w:pPr>
        <w:pStyle w:val="Para 02"/>
      </w:pPr>
      <w:hyperlink w:anchor="page_678">
        <w:r>
          <w:rPr>
            <w:rStyle w:val="Text2"/>
          </w:rPr>
          <w:t>plication</w:t>
        </w:r>
      </w:hyperlink>
      <w:r>
        <w:t>, replication and more. The Docker storage driver is called zfs.</w:t>
      </w:r>
    </w:p>
    <w:p>
      <w:pPr>
        <w:pStyle w:val="Para 04"/>
      </w:pPr>
      <w:r>
        <w:t xml:space="preserve">• </w:t>
      </w:r>
      <w:r>
        <w:rPr>
          <w:rStyle w:val="Text0"/>
        </w:rPr>
        <w:t>Btrfs</w:t>
      </w:r>
      <w:r>
        <w:t>: it is a copy-on-write filesystem included in the Linux kernel mainline. The Docker</w:t>
      </w:r>
    </w:p>
    <w:p>
      <w:pPr>
        <w:pStyle w:val="Para 02"/>
      </w:pPr>
      <w:r>
        <w:t>storage driver is called btrfs.</w:t>
      </w:r>
    </w:p>
    <w:p>
      <w:pPr>
        <w:pStyle w:val="Para 04"/>
      </w:pPr>
      <w:r>
        <w:t xml:space="preserve">• </w:t>
      </w:r>
      <w:r>
        <w:rPr>
          <w:rStyle w:val="Text0"/>
        </w:rPr>
        <w:t>Device Mapper</w:t>
      </w:r>
      <w:r>
        <w:t>: it is a kernel-based framework that underpins many advanced volume</w:t>
      </w:r>
    </w:p>
    <w:p>
      <w:pPr>
        <w:pStyle w:val="Para 02"/>
      </w:pPr>
      <w:r>
        <w:t>management technologies on Linux. The Docker storage driver is called devicemapper.</w:t>
      </w:r>
    </w:p>
    <w:p>
      <w:pPr>
        <w:pStyle w:val="Para 04"/>
      </w:pPr>
      <w:r>
        <w:t xml:space="preserve">• </w:t>
      </w:r>
      <w:r>
        <w:rPr>
          <w:rStyle w:val="Text0"/>
        </w:rPr>
        <w:t>VFS</w:t>
      </w:r>
      <w:r>
        <w:t>: it is not a union filesystem, instead, each layer is a directory on disk, and there is</w:t>
      </w:r>
    </w:p>
    <w:p>
      <w:pPr>
        <w:pStyle w:val="Para 02"/>
      </w:pPr>
      <w:r>
        <w:t>no copy-on-write support. To create a new layer, a “deep copy” is done of the previous layer. This driver does not perform well compared to the others, however, it is robust, stable and works in any environment. The Docker storage driver is called vfs.</w:t>
      </w:r>
    </w:p>
    <w:p>
      <w:pPr>
        <w:pStyle w:val="Para 05"/>
      </w:pPr>
      <w:r>
        <w:rPr>
          <w:rStyle w:val="Text5"/>
        </w:rPr>
        <w:t>962</w:t>
      </w:r>
      <w:r>
        <w:rPr>
          <w:rStyle w:val="Text8"/>
        </w:rPr>
        <w:t xml:space="preserve"> </w:t>
      </w:r>
      <w:r>
        <w:t>https://docs.docker.com/engine/storage/tmpfs/#options-for---tmpfs</w:t>
      </w:r>
    </w:p>
    <w:p>
      <w:pPr>
        <w:pStyle w:val="Para 05"/>
      </w:pPr>
      <w:r>
        <w:rPr>
          <w:rStyle w:val="Text5"/>
        </w:rPr>
        <w:t>963</w:t>
      </w:r>
      <w:r>
        <w:rPr>
          <w:rStyle w:val="Text8"/>
        </w:rPr>
        <w:t xml:space="preserve"> </w:t>
      </w:r>
      <w:r>
        <w:t>https://docs.docker.com/engine/storage/drivers/#images-and-layers</w:t>
      </w:r>
    </w:p>
    <w:p>
      <w:bookmarkStart w:id="1435" w:name="page_9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7" name="index-909_1.png" descr="index-909_1.png"/>
            <wp:cNvGraphicFramePr>
              <a:graphicFrameLocks noChangeAspect="1"/>
            </wp:cNvGraphicFramePr>
            <a:graphic>
              <a:graphicData uri="http://schemas.openxmlformats.org/drawingml/2006/picture">
                <pic:pic>
                  <pic:nvPicPr>
                    <pic:cNvPr id="0" name="index-909_1.png" descr="index-909_1.png"/>
                    <pic:cNvPicPr/>
                  </pic:nvPicPr>
                  <pic:blipFill>
                    <a:blip r:embed="rId951"/>
                    <a:stretch>
                      <a:fillRect/>
                    </a:stretch>
                  </pic:blipFill>
                  <pic:spPr>
                    <a:xfrm>
                      <a:off x="0" y="0"/>
                      <a:ext cx="914400" cy="266700"/>
                    </a:xfrm>
                    <a:prstGeom prst="rect">
                      <a:avLst/>
                    </a:prstGeom>
                  </pic:spPr>
                </pic:pic>
              </a:graphicData>
            </a:graphic>
          </wp:anchor>
        </w:drawing>
      </w:r>
      <w:bookmarkEnd w:id="1435"/>
    </w:p>
    <w:p>
      <w:pPr>
        <w:pStyle w:val="Normal"/>
      </w:pPr>
      <w:r>
        <w:t xml:space="preserve">The storage drivers accept some options via storage-opts, check </w:t>
      </w:r>
      <w:hyperlink r:id="rId1784">
        <w:r>
          <w:rPr>
            <w:rStyle w:val="Text1"/>
          </w:rPr>
          <w:t>the storage driver docu-</w:t>
        </w:r>
      </w:hyperlink>
    </w:p>
    <w:p>
      <w:pPr>
        <w:pStyle w:val="Normal"/>
      </w:pPr>
      <w:hyperlink r:id="rId1784">
        <w:r>
          <w:rPr>
            <w:rStyle w:val="Text1"/>
          </w:rPr>
          <w:t>mentation</w:t>
        </w:r>
      </w:hyperlink>
      <w:hyperlink r:id="rId1784">
        <w:r>
          <w:rPr>
            <w:rStyle w:val="Text9"/>
          </w:rPr>
          <w:t>964</w:t>
        </w:r>
      </w:hyperlink>
      <w:r>
        <w:t xml:space="preserve"> for more information. Keep in mind that this is a </w:t>
      </w:r>
      <w:hyperlink w:anchor="page_692">
        <w:r>
          <w:rPr>
            <w:rStyle w:val="Text2"/>
          </w:rPr>
          <w:t>JSON</w:t>
        </w:r>
      </w:hyperlink>
      <w:r>
        <w:t xml:space="preserve"> file and all lines should end with a comma (,) except the last one.</w:t>
      </w:r>
    </w:p>
    <w:p>
      <w:pPr>
        <w:pStyle w:val="Para 17"/>
      </w:pPr>
      <w:r>
        <w:t/>
      </w:r>
    </w:p>
    <w:p>
      <w:pPr>
        <w:pStyle w:val="Para 01"/>
      </w:pPr>
      <w:r>
        <w:t>Networking</w:t>
      </w:r>
    </w:p>
    <w:p>
      <w:pPr>
        <w:pStyle w:val="Para 17"/>
      </w:pPr>
      <w:r>
        <w:t/>
      </w:r>
    </w:p>
    <w:p>
      <w:pPr>
        <w:pStyle w:val="Normal"/>
      </w:pPr>
      <w:r>
        <w:t>Networking in the context of containers refers to the ability of containers to communicate with each other and with non-Docker workloads. The Docker networking subsystem was im-plemented in a pluggable way, and we have different network drivers available to be used in different scenarios:</w:t>
      </w:r>
    </w:p>
    <w:p>
      <w:pPr>
        <w:pStyle w:val="Para 04"/>
      </w:pPr>
      <w:r>
        <w:t xml:space="preserve">• </w:t>
      </w:r>
      <w:r>
        <w:rPr>
          <w:rStyle w:val="Text0"/>
        </w:rPr>
        <w:t>Bridge</w:t>
      </w:r>
      <w:r>
        <w:t>: This is the default network driver. This is widely used when containers need to</w:t>
      </w:r>
    </w:p>
    <w:p>
      <w:pPr>
        <w:pStyle w:val="Para 02"/>
      </w:pPr>
      <w:r>
        <w:t>communicate among themselves in the same host.</w:t>
      </w:r>
    </w:p>
    <w:p>
      <w:pPr>
        <w:pStyle w:val="Para 04"/>
      </w:pPr>
      <w:r>
        <w:t xml:space="preserve">• </w:t>
      </w:r>
      <w:r>
        <w:rPr>
          <w:rStyle w:val="Text0"/>
        </w:rPr>
        <w:t>Overlay</w:t>
      </w:r>
      <w:r>
        <w:t>: It is used to make containers managed by different docker daemons (different</w:t>
      </w:r>
    </w:p>
    <w:p>
      <w:pPr>
        <w:pStyle w:val="Para 02"/>
      </w:pPr>
      <w:r>
        <w:t>hosts) communicate among themselves.</w:t>
      </w:r>
    </w:p>
    <w:p>
      <w:pPr>
        <w:pStyle w:val="Para 04"/>
      </w:pPr>
      <w:r>
        <w:t xml:space="preserve">• </w:t>
      </w:r>
      <w:r>
        <w:rPr>
          <w:rStyle w:val="Text0"/>
        </w:rPr>
        <w:t>Host</w:t>
      </w:r>
      <w:r>
        <w:t>: It is used when the networking isolation between the container and the host is</w:t>
      </w:r>
    </w:p>
    <w:p>
      <w:pPr>
        <w:pStyle w:val="Para 17"/>
      </w:pPr>
      <w:r>
        <w:t>not desired, the container will use the host’s networking capabilities directly.</w:t>
      </w:r>
    </w:p>
    <w:p>
      <w:pPr>
        <w:pStyle w:val="Para 04"/>
      </w:pPr>
      <w:r>
        <w:t xml:space="preserve">• </w:t>
      </w:r>
      <w:r>
        <w:rPr>
          <w:rStyle w:val="Text0"/>
        </w:rPr>
        <w:t>IPvlan</w:t>
      </w:r>
      <w:r>
        <w:t>: It is used to provide full control over the both IPv4 and IPv6 addressing.</w:t>
      </w:r>
    </w:p>
    <w:p>
      <w:pPr>
        <w:pStyle w:val="Para 04"/>
      </w:pPr>
      <w:r>
        <w:t xml:space="preserve">• </w:t>
      </w:r>
      <w:r>
        <w:rPr>
          <w:rStyle w:val="Text0"/>
        </w:rPr>
        <w:t>Macvlan</w:t>
      </w:r>
      <w:r>
        <w:t>: It is used to allow the assignment of Mac addresses to containers, making</w:t>
      </w:r>
    </w:p>
    <w:p>
      <w:pPr>
        <w:pStyle w:val="Para 02"/>
      </w:pPr>
      <w:r>
        <w:t>them appear as a physical device in the network.</w:t>
      </w:r>
    </w:p>
    <w:p>
      <w:pPr>
        <w:pStyle w:val="Para 04"/>
      </w:pPr>
      <w:r>
        <w:t xml:space="preserve">• </w:t>
      </w:r>
      <w:r>
        <w:rPr>
          <w:rStyle w:val="Text0"/>
        </w:rPr>
        <w:t>None</w:t>
      </w:r>
      <w:r>
        <w:t>: It is used to make the container completely isolated from the host.</w:t>
      </w:r>
    </w:p>
    <w:p>
      <w:pPr>
        <w:pStyle w:val="Para 17"/>
      </w:pPr>
      <w:r>
        <w:t/>
      </w:r>
    </w:p>
    <w:p>
      <w:pPr>
        <w:pStyle w:val="Para 01"/>
      </w:pPr>
      <w:r>
        <w:t>Logging</w:t>
      </w:r>
    </w:p>
    <w:p>
      <w:pPr>
        <w:pStyle w:val="Para 17"/>
      </w:pPr>
      <w:r>
        <w:t/>
      </w:r>
    </w:p>
    <w:p>
      <w:pPr>
        <w:pStyle w:val="Normal"/>
      </w:pPr>
      <w:r>
        <w:t>Monitoring what is happening in the system is a crucial part of systems administration, and with Docker containers it is no different. Docker provides the logging subsystem (which is pluggable) and there are many drivers that can forward container logs to a file, an external host, a database, or another logging back-end. The logs are basically everything written to STDOUT and STDERR. When building a Docker image, the relevant data should be forwarded to those I/O stream devices.</w:t>
      </w:r>
    </w:p>
    <w:p>
      <w:pPr>
        <w:pStyle w:val="Normal"/>
      </w:pPr>
      <w:r>
        <w:t>The following logging drivers are available (at the time of writing):</w:t>
      </w:r>
    </w:p>
    <w:p>
      <w:pPr>
        <w:pStyle w:val="Para 04"/>
      </w:pPr>
      <w:r>
        <w:t xml:space="preserve">• </w:t>
      </w:r>
      <w:r>
        <w:rPr>
          <w:rStyle w:val="Text0"/>
        </w:rPr>
        <w:t>json-file</w:t>
      </w:r>
      <w:r>
        <w:t>: it is the default logging driver. It writes logs in a file in JSON format.</w:t>
      </w:r>
    </w:p>
    <w:p>
      <w:pPr>
        <w:pStyle w:val="Para 04"/>
      </w:pPr>
      <w:r>
        <w:t xml:space="preserve">• </w:t>
      </w:r>
      <w:r>
        <w:rPr>
          <w:rStyle w:val="Text0"/>
        </w:rPr>
        <w:t>local</w:t>
      </w:r>
      <w:r>
        <w:t>: write logs to an internal storage that is optimized for performance and disk use.</w:t>
      </w:r>
    </w:p>
    <w:p>
      <w:pPr>
        <w:pStyle w:val="Para 04"/>
      </w:pPr>
      <w:r>
        <w:t xml:space="preserve">• </w:t>
      </w:r>
      <w:hyperlink w:anchor="page_691">
        <w:r>
          <w:rPr>
            <w:rStyle w:val="Text13"/>
          </w:rPr>
          <w:t>journald</w:t>
        </w:r>
      </w:hyperlink>
      <w:hyperlink w:anchor="page_691">
        <w:r>
          <w:rPr>
            <w:rStyle w:val="Text1"/>
          </w:rPr>
          <w:t xml:space="preserve">: </w:t>
        </w:r>
      </w:hyperlink>
      <w:r>
        <w:t>send logs to systemd journal.</w:t>
      </w:r>
    </w:p>
    <w:p>
      <w:pPr>
        <w:pStyle w:val="Para 04"/>
      </w:pPr>
      <w:r>
        <w:t xml:space="preserve">• </w:t>
      </w:r>
      <w:r>
        <w:rPr>
          <w:rStyle w:val="Text0"/>
        </w:rPr>
        <w:t>syslog</w:t>
      </w:r>
      <w:r>
        <w:t>: send logs to a syslog server.</w:t>
      </w:r>
    </w:p>
    <w:p>
      <w:pPr>
        <w:pStyle w:val="Para 04"/>
      </w:pPr>
      <w:r>
        <w:t xml:space="preserve">• </w:t>
      </w:r>
      <w:hyperlink w:anchor="page_909">
        <w:r>
          <w:rPr>
            <w:rStyle w:val="Text9"/>
          </w:rPr>
          <w:t>965</w:t>
        </w:r>
      </w:hyperlink>
      <w:r>
        <w:t xml:space="preserve"> </w:t>
      </w:r>
      <w:r>
        <w:rPr>
          <w:rStyle w:val="Text0"/>
        </w:rPr>
        <w:t>logentries</w:t>
      </w:r>
      <w:r>
        <w:t xml:space="preserve"> : send container logs to the </w:t>
      </w:r>
      <w:hyperlink r:id="rId1785">
        <w:r>
          <w:rPr>
            <w:rStyle w:val="Text1"/>
          </w:rPr>
          <w:t>Logentries</w:t>
        </w:r>
      </w:hyperlink>
      <w:r>
        <w:t xml:space="preserve"> server.</w:t>
      </w:r>
    </w:p>
    <w:p>
      <w:pPr>
        <w:pStyle w:val="Para 04"/>
      </w:pPr>
      <w:r>
        <w:t xml:space="preserve">• </w:t>
      </w:r>
      <w:hyperlink w:anchor="page_685">
        <w:r>
          <w:rPr>
            <w:rStyle w:val="Text13"/>
          </w:rPr>
          <w:t>gelf</w:t>
        </w:r>
      </w:hyperlink>
      <w:r>
        <w:t xml:space="preserve">: write logs in a </w:t>
      </w:r>
      <w:hyperlink w:anchor="page_686">
        <w:r>
          <w:rPr>
            <w:rStyle w:val="Text2"/>
          </w:rPr>
          <w:t>Graylog</w:t>
        </w:r>
      </w:hyperlink>
      <w:r>
        <w:t xml:space="preserve"> Extended Format which is understood by many tools, such</w:t>
      </w:r>
    </w:p>
    <w:p>
      <w:pPr>
        <w:pStyle w:val="Para 32"/>
      </w:pPr>
      <w:r>
        <w:rPr>
          <w:rStyle w:val="Text7"/>
        </w:rPr>
        <w:t xml:space="preserve">as </w:t>
      </w:r>
      <w:hyperlink r:id="rId1786">
        <w:r>
          <w:rPr>
            <w:rStyle w:val="Text10"/>
          </w:rPr>
          <w:t>966</w:t>
        </w:r>
      </w:hyperlink>
      <w:r>
        <w:rPr>
          <w:rStyle w:val="Text7"/>
        </w:rPr>
        <w:t xml:space="preserve"> </w:t>
      </w:r>
      <w:hyperlink w:anchor="page_909">
        <w:r>
          <w:rPr>
            <w:rStyle w:val="Text10"/>
          </w:rPr>
          <w:t>967</w:t>
        </w:r>
      </w:hyperlink>
      <w:r>
        <w:rPr>
          <w:rStyle w:val="Text7"/>
        </w:rPr>
        <w:t xml:space="preserve"> </w:t>
      </w:r>
      <w:hyperlink w:anchor="page_909">
        <w:r>
          <w:rPr>
            <w:rStyle w:val="Text10"/>
          </w:rPr>
          <w:t>968</w:t>
        </w:r>
      </w:hyperlink>
      <w:hyperlink w:anchor="page_909">
        <w:r>
          <w:t xml:space="preserve"> Graylog</w:t>
        </w:r>
      </w:hyperlink>
      <w:r>
        <w:rPr>
          <w:rStyle w:val="Text7"/>
        </w:rPr>
        <w:t xml:space="preserve"> , </w:t>
      </w:r>
      <w:hyperlink r:id="rId1787">
        <w:r>
          <w:t>Logstash</w:t>
        </w:r>
      </w:hyperlink>
      <w:r>
        <w:rPr>
          <w:rStyle w:val="Text7"/>
        </w:rPr>
        <w:t xml:space="preserve"> , and </w:t>
      </w:r>
      <w:hyperlink r:id="rId1788">
        <w:r>
          <w:t>Fluentd</w:t>
        </w:r>
      </w:hyperlink>
      <w:r>
        <w:rPr>
          <w:rStyle w:val="Text7"/>
        </w:rPr>
        <w:t>.</w:t>
      </w:r>
    </w:p>
    <w:p>
      <w:pPr>
        <w:pStyle w:val="Para 05"/>
      </w:pPr>
      <w:r>
        <w:rPr>
          <w:rStyle w:val="Text5"/>
        </w:rPr>
        <w:t>964</w:t>
      </w:r>
      <w:r>
        <w:rPr>
          <w:rStyle w:val="Text8"/>
        </w:rPr>
        <w:t xml:space="preserve"> </w:t>
      </w:r>
      <w:r>
        <w:t>https://docs.docker.com/engine/storage/drivers/</w:t>
      </w:r>
    </w:p>
    <w:p>
      <w:pPr>
        <w:pStyle w:val="Para 05"/>
      </w:pPr>
      <w:r>
        <w:rPr>
          <w:rStyle w:val="Text5"/>
        </w:rPr>
        <w:t>965</w:t>
      </w:r>
      <w:r>
        <w:rPr>
          <w:rStyle w:val="Text8"/>
        </w:rPr>
        <w:t xml:space="preserve"> </w:t>
      </w:r>
      <w:r>
        <w:t>https://www.rapid7.com/products/siem/</w:t>
      </w:r>
    </w:p>
    <w:p>
      <w:pPr>
        <w:pStyle w:val="Para 05"/>
      </w:pPr>
      <w:r>
        <w:rPr>
          <w:rStyle w:val="Text5"/>
        </w:rPr>
        <w:t>966</w:t>
      </w:r>
      <w:r>
        <w:rPr>
          <w:rStyle w:val="Text8"/>
        </w:rPr>
        <w:t xml:space="preserve"> </w:t>
      </w:r>
      <w:r>
        <w:t>https://graylog.org/</w:t>
      </w:r>
    </w:p>
    <w:p>
      <w:pPr>
        <w:pStyle w:val="Para 05"/>
      </w:pPr>
      <w:r>
        <w:rPr>
          <w:rStyle w:val="Text5"/>
        </w:rPr>
        <w:t>967</w:t>
      </w:r>
      <w:r>
        <w:rPr>
          <w:rStyle w:val="Text8"/>
        </w:rPr>
        <w:t xml:space="preserve"> </w:t>
      </w:r>
      <w:r>
        <w:t>https://www.elastic.co/logstash</w:t>
      </w:r>
    </w:p>
    <w:p>
      <w:pPr>
        <w:pStyle w:val="Para 05"/>
      </w:pPr>
      <w:r>
        <w:rPr>
          <w:rStyle w:val="Text5"/>
        </w:rPr>
        <w:t>968</w:t>
      </w:r>
      <w:r>
        <w:rPr>
          <w:rStyle w:val="Text8"/>
        </w:rPr>
        <w:t xml:space="preserve"> </w:t>
      </w:r>
      <w:r>
        <w:t>https://www.fluentd.org</w:t>
      </w:r>
    </w:p>
    <w:p>
      <w:bookmarkStart w:id="1436" w:name="page_9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8" name="index-910_1.png" descr="index-910_1.png"/>
            <wp:cNvGraphicFramePr>
              <a:graphicFrameLocks noChangeAspect="1"/>
            </wp:cNvGraphicFramePr>
            <a:graphic>
              <a:graphicData uri="http://schemas.openxmlformats.org/drawingml/2006/picture">
                <pic:pic>
                  <pic:nvPicPr>
                    <pic:cNvPr id="0" name="index-910_1.png" descr="index-910_1.png"/>
                    <pic:cNvPicPr/>
                  </pic:nvPicPr>
                  <pic:blipFill>
                    <a:blip r:embed="rId952"/>
                    <a:stretch>
                      <a:fillRect/>
                    </a:stretch>
                  </pic:blipFill>
                  <pic:spPr>
                    <a:xfrm>
                      <a:off x="0" y="0"/>
                      <a:ext cx="914400" cy="266700"/>
                    </a:xfrm>
                    <a:prstGeom prst="rect">
                      <a:avLst/>
                    </a:prstGeom>
                  </pic:spPr>
                </pic:pic>
              </a:graphicData>
            </a:graphic>
          </wp:anchor>
        </w:drawing>
      </w:r>
      <w:bookmarkEnd w:id="1436"/>
    </w:p>
    <w:p>
      <w:pPr>
        <w:pStyle w:val="Para 04"/>
      </w:pPr>
      <w:r>
        <w:t xml:space="preserve">• </w:t>
      </w:r>
      <w:hyperlink w:anchor="page_910">
        <w:r>
          <w:rPr>
            <w:rStyle w:val="Text9"/>
          </w:rPr>
          <w:t>969</w:t>
        </w:r>
      </w:hyperlink>
      <w:r>
        <w:t xml:space="preserve"> </w:t>
      </w:r>
      <w:r>
        <w:rPr>
          <w:rStyle w:val="Text0"/>
        </w:rPr>
        <w:t>awslogs</w:t>
      </w:r>
      <w:r>
        <w:t xml:space="preserve"> : send container logs to </w:t>
      </w:r>
      <w:hyperlink r:id="rId1789">
        <w:r>
          <w:rPr>
            <w:rStyle w:val="Text1"/>
          </w:rPr>
          <w:t>Amazon CloudWatch Logs</w:t>
        </w:r>
      </w:hyperlink>
      <w:r>
        <w:t>.</w:t>
      </w:r>
    </w:p>
    <w:p>
      <w:pPr>
        <w:pStyle w:val="Para 04"/>
      </w:pPr>
      <w:r>
        <w:t xml:space="preserve">• </w:t>
      </w:r>
      <w:r>
        <w:rPr>
          <w:rStyle w:val="Text0"/>
        </w:rPr>
        <w:t>etwlogs</w:t>
      </w:r>
      <w:r>
        <w:t>: forward container logs as ETW events. ETW stands for Event Tracing in Win-</w:t>
      </w:r>
    </w:p>
    <w:p>
      <w:pPr>
        <w:pStyle w:val="Para 02"/>
      </w:pPr>
      <w:r>
        <w:t>dows, and is the common framework for tracing applications in Windows. Not sup-ported in Ubuntu systems.</w:t>
      </w:r>
    </w:p>
    <w:p>
      <w:pPr>
        <w:pStyle w:val="Para 04"/>
      </w:pPr>
      <w:r>
        <w:t xml:space="preserve">• </w:t>
      </w:r>
      <w:hyperlink r:id="rId1788">
        <w:r>
          <w:rPr>
            <w:rStyle w:val="Text9"/>
          </w:rPr>
          <w:t>970</w:t>
        </w:r>
      </w:hyperlink>
      <w:r>
        <w:t xml:space="preserve"> </w:t>
      </w:r>
      <w:hyperlink w:anchor="page_683">
        <w:r>
          <w:rPr>
            <w:rStyle w:val="Text13"/>
          </w:rPr>
          <w:t>fluentd</w:t>
        </w:r>
      </w:hyperlink>
      <w:r>
        <w:t xml:space="preserve"> </w:t>
      </w:r>
      <w:hyperlink w:anchor="page_683">
        <w:r>
          <w:rPr>
            <w:rStyle w:val="Text1"/>
          </w:rPr>
          <w:t xml:space="preserve">: </w:t>
        </w:r>
      </w:hyperlink>
      <w:r>
        <w:t xml:space="preserve">send container logs to the </w:t>
      </w:r>
      <w:hyperlink r:id="rId1788">
        <w:r>
          <w:rPr>
            <w:rStyle w:val="Text1"/>
          </w:rPr>
          <w:t>Fluentd</w:t>
        </w:r>
      </w:hyperlink>
      <w:r>
        <w:t xml:space="preserve"> collector as structured log data.</w:t>
      </w:r>
    </w:p>
    <w:p>
      <w:pPr>
        <w:pStyle w:val="Para 04"/>
      </w:pPr>
      <w:r>
        <w:t xml:space="preserve">• </w:t>
      </w:r>
      <w:hyperlink r:id="rId1790">
        <w:r>
          <w:rPr>
            <w:rStyle w:val="Text9"/>
          </w:rPr>
          <w:t>971</w:t>
        </w:r>
      </w:hyperlink>
      <w:r>
        <w:t xml:space="preserve"> </w:t>
      </w:r>
      <w:hyperlink w:anchor="page_684">
        <w:r>
          <w:rPr>
            <w:rStyle w:val="Text13"/>
          </w:rPr>
          <w:t>gcplogs</w:t>
        </w:r>
      </w:hyperlink>
      <w:r>
        <w:t xml:space="preserve"> : send container logs to </w:t>
      </w:r>
      <w:hyperlink r:id="rId1790">
        <w:r>
          <w:rPr>
            <w:rStyle w:val="Text1"/>
          </w:rPr>
          <w:t>Google Cloud Logging</w:t>
        </w:r>
      </w:hyperlink>
      <w:r>
        <w:t xml:space="preserve"> Logging.</w:t>
      </w:r>
    </w:p>
    <w:p>
      <w:pPr>
        <w:pStyle w:val="Para 04"/>
      </w:pPr>
      <w:r>
        <w:t xml:space="preserve">• </w:t>
      </w:r>
      <w:hyperlink w:anchor="page_910">
        <w:r>
          <w:rPr>
            <w:rStyle w:val="Text9"/>
          </w:rPr>
          <w:t>972</w:t>
        </w:r>
      </w:hyperlink>
      <w:r>
        <w:t xml:space="preserve"> </w:t>
      </w:r>
      <w:r>
        <w:rPr>
          <w:rStyle w:val="Text0"/>
        </w:rPr>
        <w:t>splunk</w:t>
      </w:r>
      <w:r>
        <w:t xml:space="preserve"> : sends container logs to </w:t>
      </w:r>
      <w:hyperlink r:id="rId1791">
        <w:r>
          <w:rPr>
            <w:rStyle w:val="Text1"/>
          </w:rPr>
          <w:t>HTTP Event Collector</w:t>
        </w:r>
      </w:hyperlink>
      <w:r>
        <w:t xml:space="preserve"> in Splunk Enterprise and Splunk</w:t>
      </w:r>
    </w:p>
    <w:p>
      <w:pPr>
        <w:pStyle w:val="Para 02"/>
      </w:pPr>
      <w:r>
        <w:t>Cloud.</w:t>
      </w:r>
    </w:p>
    <w:p>
      <w:pPr>
        <w:pStyle w:val="Para 17"/>
      </w:pPr>
      <w:r>
        <w:t/>
      </w:r>
    </w:p>
    <w:p>
      <w:pPr>
        <w:pStyle w:val="Para 01"/>
      </w:pPr>
      <w:r>
        <w:t>Resources</w:t>
      </w:r>
    </w:p>
    <w:p>
      <w:pPr>
        <w:pStyle w:val="Para 17"/>
      </w:pPr>
      <w:r>
        <w:t/>
      </w:r>
    </w:p>
    <w:p>
      <w:pPr>
        <w:pStyle w:val="Normal"/>
      </w:pPr>
      <w:r>
        <w:t>To get a hands-on tutorial on using Docker for storage, networking, and logging, see:</w:t>
      </w:r>
    </w:p>
    <w:p>
      <w:pPr>
        <w:pStyle w:val="Para 14"/>
      </w:pPr>
      <w:r>
        <w:rPr>
          <w:rStyle w:val="Text4"/>
        </w:rPr>
        <w:t xml:space="preserve">• </w:t>
      </w:r>
      <w:hyperlink w:anchor="page_589">
        <w:r>
          <w:t>Docker for system admins</w:t>
        </w:r>
      </w:hyperlink>
      <w:r>
        <w:rPr>
          <w:rStyle w:val="Text4"/>
        </w:rPr>
        <w:t xml:space="preserve"> (page 588)</w:t>
      </w:r>
    </w:p>
    <w:p>
      <w:pPr>
        <w:pStyle w:val="Para 17"/>
      </w:pPr>
      <w:r>
        <w:t/>
      </w:r>
    </w:p>
    <w:p>
      <w:pPr>
        <w:pStyle w:val="Para 01"/>
      </w:pPr>
      <w:r>
        <w:t>Other virtualisation tools</w:t>
      </w:r>
    </w:p>
    <w:p>
      <w:pPr>
        <w:pStyle w:val="Para 17"/>
      </w:pPr>
      <w:r>
        <w:t/>
      </w:r>
    </w:p>
    <w:p>
      <w:pPr>
        <w:pStyle w:val="Para 04"/>
      </w:pPr>
      <w:r>
        <w:t xml:space="preserve">• </w:t>
      </w:r>
      <w:hyperlink w:anchor="page_910">
        <w:r>
          <w:rPr>
            <w:rStyle w:val="Text2"/>
          </w:rPr>
          <w:t>About OpenStack</w:t>
        </w:r>
      </w:hyperlink>
      <w:r>
        <w:t xml:space="preserve"> (page 909) provides an introduction to OpenStack</w:t>
      </w:r>
    </w:p>
    <w:p>
      <w:pPr>
        <w:pStyle w:val="Para 17"/>
      </w:pPr>
      <w:r>
        <w:t/>
      </w:r>
    </w:p>
    <w:p>
      <w:pPr>
        <w:pStyle w:val="Para 01"/>
      </w:pPr>
      <w:r>
        <w:t>About OpenStack</w:t>
      </w:r>
    </w:p>
    <w:p>
      <w:pPr>
        <w:pStyle w:val="Para 17"/>
      </w:pPr>
      <w:r>
        <w:t/>
      </w:r>
    </w:p>
    <w:p>
      <w:pPr>
        <w:pStyle w:val="Normal"/>
      </w:pPr>
      <w:r>
        <w:t>OpenStack is the most popular open source cloud computing platform that enables the man-agement of distributed compute, network and storage resources in the data center.</w:t>
      </w:r>
    </w:p>
    <w:p>
      <w:pPr>
        <w:pStyle w:val="Normal"/>
      </w:pPr>
      <w:r>
        <w:t xml:space="preserve">While the reference virtualisation stack (consisting of </w:t>
      </w:r>
      <w:hyperlink w:anchor="page_549">
        <w:r>
          <w:rPr>
            <w:rStyle w:val="Text2"/>
          </w:rPr>
          <w:t>QEMU/KVM</w:t>
        </w:r>
      </w:hyperlink>
      <w:r>
        <w:t xml:space="preserve"> (page 548) and </w:t>
      </w:r>
      <w:hyperlink w:anchor="page_564">
        <w:r>
          <w:rPr>
            <w:rStyle w:val="Text2"/>
          </w:rPr>
          <w:t>libvirt</w:t>
        </w:r>
      </w:hyperlink>
      <w:r>
        <w:t xml:space="preserve"> (page 563)) enables hardware virtualisation and the management of virtual machines (VMs) on a single host, in most cases the computing, network and storage resources are distributed across multiple hosts in the data center.</w:t>
      </w:r>
    </w:p>
    <w:p>
      <w:pPr>
        <w:pStyle w:val="Normal"/>
      </w:pPr>
      <w:r>
        <w:t>This creates an obvious challenge with centralised management of those resources, schedul-ing VMs, etc. OpenStack solves this problem by aggregating distributed pools of resources, allocating them to VMs on-demand and enabling automated VM provisioning through a self-service portal.</w:t>
      </w:r>
    </w:p>
    <w:p>
      <w:pPr>
        <w:pStyle w:val="Normal"/>
      </w:pPr>
      <w:r>
        <w:t>OpenStack consists of the following primary components:</w:t>
      </w:r>
    </w:p>
    <w:p>
      <w:pPr>
        <w:pStyle w:val="Para 04"/>
      </w:pPr>
      <w:r>
        <w:t xml:space="preserve">• </w:t>
      </w:r>
      <w:r>
        <w:rPr>
          <w:rStyle w:val="Text0"/>
        </w:rPr>
        <w:t>Keystone</w:t>
      </w:r>
      <w:r>
        <w:t>: Serves as an identity service, providing authentication and authorisation</w:t>
      </w:r>
    </w:p>
    <w:p>
      <w:pPr>
        <w:pStyle w:val="Para 02"/>
      </w:pPr>
      <w:r>
        <w:t>functions for the users and enabling multi-tenancy.</w:t>
      </w:r>
    </w:p>
    <w:p>
      <w:pPr>
        <w:pStyle w:val="Para 04"/>
      </w:pPr>
      <w:r>
        <w:t xml:space="preserve">• </w:t>
      </w:r>
      <w:r>
        <w:rPr>
          <w:rStyle w:val="Text0"/>
        </w:rPr>
        <w:t>Glance</w:t>
      </w:r>
      <w:r>
        <w:t>: Manages cloud images for VMs, handling uploading, retrieval and storage of</w:t>
      </w:r>
    </w:p>
    <w:p>
      <w:pPr>
        <w:pStyle w:val="Para 02"/>
      </w:pPr>
      <w:r>
        <w:t>images across OpenStack.</w:t>
      </w:r>
    </w:p>
    <w:p>
      <w:pPr>
        <w:pStyle w:val="Para 04"/>
      </w:pPr>
      <w:r>
        <w:t xml:space="preserve">• </w:t>
      </w:r>
      <w:r>
        <w:rPr>
          <w:rStyle w:val="Text0"/>
        </w:rPr>
        <w:t>Nova</w:t>
      </w:r>
      <w:r>
        <w:t>: Serves as the primary compute engine of OpenStack, responsible for VM</w:t>
      </w:r>
    </w:p>
    <w:p>
      <w:pPr>
        <w:pStyle w:val="Para 02"/>
      </w:pPr>
      <w:r>
        <w:t>scheduling, creation and termination.</w:t>
      </w:r>
    </w:p>
    <w:p>
      <w:pPr>
        <w:pStyle w:val="Para 05"/>
      </w:pPr>
      <w:r>
        <w:rPr>
          <w:rStyle w:val="Text5"/>
        </w:rPr>
        <w:t>969</w:t>
      </w:r>
      <w:r>
        <w:rPr>
          <w:rStyle w:val="Text8"/>
        </w:rPr>
        <w:t xml:space="preserve"> </w:t>
      </w:r>
      <w:r>
        <w:t>https://aws.amazon.com/cloudwatch/features/</w:t>
      </w:r>
    </w:p>
    <w:p>
      <w:pPr>
        <w:pStyle w:val="Para 05"/>
      </w:pPr>
      <w:r>
        <w:rPr>
          <w:rStyle w:val="Text5"/>
        </w:rPr>
        <w:t>970</w:t>
      </w:r>
      <w:r>
        <w:rPr>
          <w:rStyle w:val="Text8"/>
        </w:rPr>
        <w:t xml:space="preserve"> </w:t>
      </w:r>
      <w:r>
        <w:t>https://www.fluentd.org</w:t>
      </w:r>
    </w:p>
    <w:p>
      <w:pPr>
        <w:pStyle w:val="Para 05"/>
      </w:pPr>
      <w:r>
        <w:rPr>
          <w:rStyle w:val="Text5"/>
        </w:rPr>
        <w:t>971</w:t>
      </w:r>
      <w:r>
        <w:rPr>
          <w:rStyle w:val="Text8"/>
        </w:rPr>
        <w:t xml:space="preserve"> </w:t>
      </w:r>
      <w:r>
        <w:t>https://docs.cloud.google.com/logging/docs</w:t>
      </w:r>
    </w:p>
    <w:p>
      <w:pPr>
        <w:pStyle w:val="Para 05"/>
      </w:pPr>
      <w:r>
        <w:rPr>
          <w:rStyle w:val="Text5"/>
        </w:rPr>
        <w:t>972</w:t>
      </w:r>
      <w:r>
        <w:rPr>
          <w:rStyle w:val="Text8"/>
        </w:rPr>
        <w:t xml:space="preserve"> </w:t>
      </w:r>
      <w:r>
        <w:t>https://dev.splunk.com/enterprise/docs/devtools/httpeventcollector/</w:t>
      </w:r>
    </w:p>
    <w:p>
      <w:bookmarkStart w:id="1437" w:name="page_9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49" name="index-911_1.png" descr="index-911_1.png"/>
            <wp:cNvGraphicFramePr>
              <a:graphicFrameLocks noChangeAspect="1"/>
            </wp:cNvGraphicFramePr>
            <a:graphic>
              <a:graphicData uri="http://schemas.openxmlformats.org/drawingml/2006/picture">
                <pic:pic>
                  <pic:nvPicPr>
                    <pic:cNvPr id="0" name="index-911_1.png" descr="index-911_1.png"/>
                    <pic:cNvPicPr/>
                  </pic:nvPicPr>
                  <pic:blipFill>
                    <a:blip r:embed="rId953"/>
                    <a:stretch>
                      <a:fillRect/>
                    </a:stretch>
                  </pic:blipFill>
                  <pic:spPr>
                    <a:xfrm>
                      <a:off x="0" y="0"/>
                      <a:ext cx="914400" cy="266700"/>
                    </a:xfrm>
                    <a:prstGeom prst="rect">
                      <a:avLst/>
                    </a:prstGeom>
                  </pic:spPr>
                </pic:pic>
              </a:graphicData>
            </a:graphic>
          </wp:anchor>
        </w:drawing>
      </w:r>
      <w:bookmarkEnd w:id="1437"/>
    </w:p>
    <w:p>
      <w:pPr>
        <w:pStyle w:val="Para 04"/>
      </w:pPr>
      <w:r>
        <w:t xml:space="preserve">• </w:t>
      </w:r>
      <w:r>
        <w:rPr>
          <w:rStyle w:val="Text0"/>
        </w:rPr>
        <w:t>Neutron</w:t>
      </w:r>
      <w:r>
        <w:t>: Provides network connectivity between VMs, enabling multi-VM deploy-</w:t>
      </w:r>
    </w:p>
    <w:p>
      <w:pPr>
        <w:pStyle w:val="Para 02"/>
      </w:pPr>
      <w:r>
        <w:t>ments.</w:t>
      </w:r>
    </w:p>
    <w:p>
      <w:pPr>
        <w:pStyle w:val="Para 04"/>
      </w:pPr>
      <w:r>
        <w:t xml:space="preserve">• </w:t>
      </w:r>
      <w:r>
        <w:rPr>
          <w:rStyle w:val="Text0"/>
        </w:rPr>
        <w:t>Cinder</w:t>
      </w:r>
      <w:r>
        <w:t>: Manages provisioning, operation and termination of persistent block storage</w:t>
      </w:r>
    </w:p>
    <w:p>
      <w:pPr>
        <w:pStyle w:val="Para 02"/>
      </w:pPr>
      <w:r>
        <w:t>devices.</w:t>
      </w:r>
    </w:p>
    <w:p>
      <w:pPr>
        <w:pStyle w:val="Para 04"/>
      </w:pPr>
      <w:r>
        <w:t xml:space="preserve">• </w:t>
      </w:r>
      <w:r>
        <w:rPr>
          <w:rStyle w:val="Text0"/>
        </w:rPr>
        <w:t>Swift</w:t>
      </w:r>
      <w:r>
        <w:t>: Provides highly available and scalable object storage service.</w:t>
      </w:r>
    </w:p>
    <w:p>
      <w:pPr>
        <w:pStyle w:val="Normal"/>
      </w:pPr>
      <w:r>
        <w:t xml:space="preserve">There are also many other </w:t>
      </w:r>
      <w:hyperlink w:anchor="page_911">
        <w:r>
          <w:rPr>
            <w:rStyle w:val="Text9"/>
          </w:rPr>
          <w:t>973</w:t>
        </w:r>
      </w:hyperlink>
      <w:r>
        <w:t xml:space="preserve"> </w:t>
      </w:r>
      <w:hyperlink r:id="rId1792">
        <w:r>
          <w:rPr>
            <w:rStyle w:val="Text1"/>
          </w:rPr>
          <w:t>OpenStack components</w:t>
        </w:r>
      </w:hyperlink>
      <w:r>
        <w:t xml:space="preserve"> and supporting services available in the OpenStack ecosystem, enabling more advanced functions such as load balancing and secrets management.</w:t>
      </w:r>
    </w:p>
    <w:p>
      <w:pPr>
        <w:pStyle w:val="Para 17"/>
      </w:pPr>
      <w:r>
        <w:t/>
      </w:r>
    </w:p>
    <w:p>
      <w:pPr>
        <w:pStyle w:val="Para 01"/>
      </w:pPr>
      <w:r>
        <w:t>OpenStack installation</w:t>
      </w:r>
    </w:p>
    <w:p>
      <w:pPr>
        <w:pStyle w:val="Para 17"/>
      </w:pPr>
      <w:r>
        <w:t/>
      </w:r>
    </w:p>
    <w:p>
      <w:pPr>
        <w:pStyle w:val="Normal"/>
      </w:pPr>
      <w:r>
        <w:t xml:space="preserve">The most straightforward way to get started with OpenStack on Ubuntu is to use </w:t>
      </w:r>
      <w:hyperlink r:id="rId1793">
        <w:r>
          <w:rPr>
            <w:rStyle w:val="Text1"/>
          </w:rPr>
          <w:t>Canonical</w:t>
        </w:r>
      </w:hyperlink>
    </w:p>
    <w:p>
      <w:pPr>
        <w:pStyle w:val="Normal"/>
      </w:pPr>
      <w:hyperlink r:id="rId1793">
        <w:r>
          <w:rPr>
            <w:rStyle w:val="Text1"/>
          </w:rPr>
          <w:t>OpenStack</w:t>
        </w:r>
      </w:hyperlink>
      <w:hyperlink r:id="rId1793">
        <w:r>
          <w:rPr>
            <w:rStyle w:val="Text9"/>
          </w:rPr>
          <w:t>974</w:t>
        </w:r>
      </w:hyperlink>
      <w:r>
        <w:t xml:space="preserve"> since the entire installation process requires only a few commands and takes around 20 minutes.</w:t>
      </w:r>
    </w:p>
    <w:p>
      <w:pPr>
        <w:pStyle w:val="Normal"/>
      </w:pPr>
      <w:r>
        <w:t>Apart from Canonical OpenStack, multiple installation methods for OpenStack on Ubuntu are available. These include:</w:t>
      </w:r>
    </w:p>
    <w:p>
      <w:pPr>
        <w:pStyle w:val="Para 13"/>
      </w:pPr>
      <w:r>
        <w:rPr>
          <w:rStyle w:val="Text7"/>
        </w:rPr>
        <w:t xml:space="preserve">• </w:t>
      </w:r>
      <w:hyperlink w:anchor="page_911">
        <w:r>
          <w:rPr>
            <w:rStyle w:val="Text10"/>
          </w:rPr>
          <w:t>975</w:t>
        </w:r>
      </w:hyperlink>
      <w:r>
        <w:rPr>
          <w:rStyle w:val="Text7"/>
        </w:rPr>
        <w:t xml:space="preserve"> </w:t>
      </w:r>
      <w:hyperlink r:id="rId1794">
        <w:r>
          <w:t>OpenStack Charms</w:t>
        </w:r>
      </w:hyperlink>
    </w:p>
    <w:p>
      <w:pPr>
        <w:pStyle w:val="Para 13"/>
      </w:pPr>
      <w:r>
        <w:rPr>
          <w:rStyle w:val="Text7"/>
        </w:rPr>
        <w:t xml:space="preserve">• </w:t>
      </w:r>
      <w:hyperlink r:id="rId1795">
        <w:r>
          <w:rPr>
            <w:rStyle w:val="Text10"/>
          </w:rPr>
          <w:t>976</w:t>
        </w:r>
      </w:hyperlink>
      <w:hyperlink r:id="rId1795">
        <w:r>
          <w:t xml:space="preserve"> OpenStack Ansible</w:t>
        </w:r>
      </w:hyperlink>
    </w:p>
    <w:p>
      <w:pPr>
        <w:pStyle w:val="Para 13"/>
      </w:pPr>
      <w:r>
        <w:rPr>
          <w:rStyle w:val="Text7"/>
        </w:rPr>
        <w:t xml:space="preserve">• </w:t>
      </w:r>
      <w:hyperlink r:id="rId1796">
        <w:r>
          <w:rPr>
            <w:rStyle w:val="Text10"/>
          </w:rPr>
          <w:t>977</w:t>
        </w:r>
      </w:hyperlink>
      <w:hyperlink r:id="rId1796">
        <w:r>
          <w:t xml:space="preserve"> Manual Installation</w:t>
        </w:r>
      </w:hyperlink>
    </w:p>
    <w:p>
      <w:pPr>
        <w:pStyle w:val="Para 13"/>
      </w:pPr>
      <w:r>
        <w:rPr>
          <w:rStyle w:val="Text7"/>
        </w:rPr>
        <w:t xml:space="preserve">• </w:t>
      </w:r>
      <w:hyperlink r:id="rId1797">
        <w:r>
          <w:rPr>
            <w:rStyle w:val="Text10"/>
          </w:rPr>
          <w:t>978</w:t>
        </w:r>
      </w:hyperlink>
      <w:hyperlink r:id="rId1797">
        <w:r>
          <w:t xml:space="preserve"> DevStack</w:t>
        </w:r>
      </w:hyperlink>
    </w:p>
    <w:p>
      <w:pPr>
        <w:pStyle w:val="Para 17"/>
      </w:pPr>
      <w:r>
        <w:t/>
      </w:r>
    </w:p>
    <w:p>
      <w:pPr>
        <w:pStyle w:val="Para 01"/>
      </w:pPr>
      <w:r>
        <w:t>See also</w:t>
      </w:r>
    </w:p>
    <w:p>
      <w:pPr>
        <w:pStyle w:val="Para 17"/>
      </w:pPr>
      <w:r>
        <w:t/>
      </w:r>
    </w:p>
    <w:p>
      <w:pPr>
        <w:pStyle w:val="Para 04"/>
      </w:pPr>
      <w:r>
        <w:t xml:space="preserve">• How-to: </w:t>
      </w:r>
      <w:hyperlink w:anchor="page_533">
        <w:r>
          <w:rPr>
            <w:rStyle w:val="Text2"/>
          </w:rPr>
          <w:t>Virtualisation</w:t>
        </w:r>
      </w:hyperlink>
      <w:r>
        <w:t xml:space="preserve"> (page 532)</w:t>
      </w:r>
    </w:p>
    <w:p>
      <w:pPr>
        <w:pStyle w:val="Para 04"/>
      </w:pPr>
      <w:r>
        <w:t xml:space="preserve">• How-to: </w:t>
      </w:r>
      <w:hyperlink w:anchor="page_589">
        <w:r>
          <w:rPr>
            <w:rStyle w:val="Text2"/>
          </w:rPr>
          <w:t>Containers</w:t>
        </w:r>
      </w:hyperlink>
      <w:r>
        <w:t xml:space="preserve"> (page 588)</w:t>
      </w:r>
    </w:p>
    <w:p>
      <w:pPr>
        <w:pStyle w:val="Para 24"/>
      </w:pPr>
      <w:r>
        <w:t>3.4.7. Clouds</w:t>
      </w:r>
    </w:p>
    <w:p>
      <w:pPr>
        <w:pStyle w:val="Normal"/>
      </w:pPr>
      <w:r>
        <w:t xml:space="preserve">Our </w:t>
      </w:r>
      <w:hyperlink w:anchor="page_912">
        <w:r>
          <w:rPr>
            <w:rStyle w:val="Text2"/>
          </w:rPr>
          <w:t>clouds section</w:t>
        </w:r>
      </w:hyperlink>
      <w:r>
        <w:t xml:space="preserve"> (page 911) provides details on finding cloud images for various public clouds, and about the popular cloud initialization tool, cloud-init.</w:t>
      </w:r>
    </w:p>
    <w:p>
      <w:pPr>
        <w:pStyle w:val="Para 05"/>
      </w:pPr>
      <w:r>
        <w:rPr>
          <w:rStyle w:val="Text5"/>
        </w:rPr>
        <w:t>973</w:t>
      </w:r>
      <w:r>
        <w:rPr>
          <w:rStyle w:val="Text8"/>
        </w:rPr>
        <w:t xml:space="preserve"> </w:t>
      </w:r>
      <w:r>
        <w:t>https://www.openstack.org/software/project-navigator/openstack-components#openstack-services</w:t>
      </w:r>
    </w:p>
    <w:p>
      <w:pPr>
        <w:pStyle w:val="Para 05"/>
      </w:pPr>
      <w:r>
        <w:rPr>
          <w:rStyle w:val="Text5"/>
        </w:rPr>
        <w:t>974</w:t>
      </w:r>
      <w:r>
        <w:rPr>
          <w:rStyle w:val="Text8"/>
        </w:rPr>
        <w:t xml:space="preserve"> </w:t>
      </w:r>
      <w:r>
        <w:t>https://canonical-openstack.readthedocs-hosted.com/en/latest/tutorial/get-started-with-openstack/</w:t>
      </w:r>
    </w:p>
    <w:p>
      <w:pPr>
        <w:pStyle w:val="Para 05"/>
      </w:pPr>
      <w:r>
        <w:rPr>
          <w:rStyle w:val="Text5"/>
        </w:rPr>
        <w:t>975</w:t>
      </w:r>
      <w:r>
        <w:rPr>
          <w:rStyle w:val="Text8"/>
        </w:rPr>
        <w:t xml:space="preserve"> </w:t>
      </w:r>
      <w:r>
        <w:t>https://docs.openstack.org/project-deploy-guide/charm-deployment-guide/latest/</w:t>
      </w:r>
    </w:p>
    <w:p>
      <w:pPr>
        <w:pStyle w:val="Para 05"/>
      </w:pPr>
      <w:r>
        <w:rPr>
          <w:rStyle w:val="Text5"/>
        </w:rPr>
        <w:t>976</w:t>
      </w:r>
      <w:r>
        <w:rPr>
          <w:rStyle w:val="Text8"/>
        </w:rPr>
        <w:t xml:space="preserve"> </w:t>
      </w:r>
      <w:r>
        <w:t>https://docs.openstack.org/project-deploy-guide/openstack-ansible/latest/</w:t>
      </w:r>
    </w:p>
    <w:p>
      <w:pPr>
        <w:pStyle w:val="Para 05"/>
      </w:pPr>
      <w:r>
        <w:rPr>
          <w:rStyle w:val="Text5"/>
        </w:rPr>
        <w:t>977</w:t>
      </w:r>
      <w:r>
        <w:rPr>
          <w:rStyle w:val="Text8"/>
        </w:rPr>
        <w:t xml:space="preserve"> </w:t>
      </w:r>
      <w:r>
        <w:t>https://docs.openstack.org/install-guide/</w:t>
      </w:r>
    </w:p>
    <w:p>
      <w:pPr>
        <w:pStyle w:val="Para 05"/>
      </w:pPr>
      <w:r>
        <w:rPr>
          <w:rStyle w:val="Text5"/>
        </w:rPr>
        <w:t>978</w:t>
      </w:r>
      <w:r>
        <w:rPr>
          <w:rStyle w:val="Text8"/>
        </w:rPr>
        <w:t xml:space="preserve"> </w:t>
      </w:r>
      <w:r>
        <w:t>https://docs.openstack.org/devstack/latest/</w:t>
      </w:r>
    </w:p>
    <w:p>
      <w:bookmarkStart w:id="1438" w:name="calibre_pb_263"/>
      <w:pPr>
        <w:pStyle w:val="0 Block"/>
      </w:pPr>
      <w:bookmarkEnd w:id="1438"/>
    </w:p>
    <w:p>
      <w:bookmarkStart w:id="1439" w:name="page_912"/>
      <w:bookmarkStart w:id="1440" w:name="Top_of_index_split_26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0" name="index-912_1.png" descr="index-912_1.png"/>
            <wp:cNvGraphicFramePr>
              <a:graphicFrameLocks noChangeAspect="1"/>
            </wp:cNvGraphicFramePr>
            <a:graphic>
              <a:graphicData uri="http://schemas.openxmlformats.org/drawingml/2006/picture">
                <pic:pic>
                  <pic:nvPicPr>
                    <pic:cNvPr id="0" name="index-912_1.png" descr="index-912_1.png"/>
                    <pic:cNvPicPr/>
                  </pic:nvPicPr>
                  <pic:blipFill>
                    <a:blip r:embed="rId954"/>
                    <a:stretch>
                      <a:fillRect/>
                    </a:stretch>
                  </pic:blipFill>
                  <pic:spPr>
                    <a:xfrm>
                      <a:off x="0" y="0"/>
                      <a:ext cx="914400" cy="266700"/>
                    </a:xfrm>
                    <a:prstGeom prst="rect">
                      <a:avLst/>
                    </a:prstGeom>
                  </pic:spPr>
                </pic:pic>
              </a:graphicData>
            </a:graphic>
          </wp:anchor>
        </w:drawing>
      </w:r>
      <w:bookmarkEnd w:id="1439"/>
      <w:bookmarkEnd w:id="1440"/>
    </w:p>
    <w:p>
      <w:pPr>
        <w:pStyle w:val="Para 01"/>
      </w:pPr>
      <w:r>
        <w:t>Clouds</w:t>
      </w:r>
    </w:p>
    <w:p>
      <w:pPr>
        <w:pStyle w:val="Para 17"/>
      </w:pPr>
      <w:r>
        <w:t/>
      </w:r>
    </w:p>
    <w:p>
      <w:pPr>
        <w:pStyle w:val="Normal"/>
      </w:pPr>
      <w:r>
        <w:t>Clouds are networks of remote servers providing services via the internet. They have become a popular way to manage storage, software and processing without the need to host physical servers yourself.</w:t>
      </w:r>
    </w:p>
    <w:p>
      <w:pPr>
        <w:pStyle w:val="Para 17"/>
      </w:pPr>
      <w:r>
        <w:t/>
      </w:r>
    </w:p>
    <w:p>
      <w:pPr>
        <w:pStyle w:val="Para 01"/>
      </w:pPr>
      <w:r>
        <w:t>Cloud-init</w:t>
      </w:r>
    </w:p>
    <w:p>
      <w:pPr>
        <w:pStyle w:val="Para 17"/>
      </w:pPr>
      <w:r>
        <w:t/>
      </w:r>
    </w:p>
    <w:p>
      <w:pPr>
        <w:pStyle w:val="Normal"/>
      </w:pPr>
      <w:r>
        <w:t>Cloud-init is the industry standard tool for provisioning clouds and is supported by most cloud providers. Here we provide a high-level introduction to the tool.</w:t>
      </w:r>
    </w:p>
    <w:p>
      <w:pPr>
        <w:pStyle w:val="Para 17"/>
      </w:pPr>
      <w:r>
        <w:t/>
      </w:r>
    </w:p>
    <w:p>
      <w:pPr>
        <w:pStyle w:val="Para 01"/>
      </w:pPr>
      <w:r>
        <w:t>Introduction to cloud-init</w:t>
      </w:r>
    </w:p>
    <w:p>
      <w:pPr>
        <w:pStyle w:val="Para 17"/>
      </w:pPr>
      <w:r>
        <w:t/>
      </w:r>
    </w:p>
    <w:p>
      <w:pPr>
        <w:pStyle w:val="Normal"/>
      </w:pPr>
      <w:r>
        <w:t>Managing and configuring cloud instances and servers can be a complex and time-consuming</w:t>
      </w:r>
    </w:p>
    <w:p>
      <w:pPr>
        <w:pStyle w:val="Normal"/>
      </w:pPr>
      <w:r>
        <w:t xml:space="preserve">task. </w:t>
      </w:r>
      <w:hyperlink r:id="rId1798">
        <w:r>
          <w:rPr>
            <w:rStyle w:val="Text9"/>
          </w:rPr>
          <w:t>979</w:t>
        </w:r>
      </w:hyperlink>
      <w:hyperlink r:id="rId1798">
        <w:r>
          <w:rPr>
            <w:rStyle w:val="Text1"/>
          </w:rPr>
          <w:t xml:space="preserve"> Cloud-init</w:t>
        </w:r>
      </w:hyperlink>
      <w:r>
        <w:t xml:space="preserve"> is the industry-standard open source tool designed to automate getting systems up and running with pre-configured settings in a repeatable way across instances and platforms.</w:t>
      </w:r>
    </w:p>
    <w:p>
      <w:pPr>
        <w:pStyle w:val="Normal"/>
      </w:pPr>
      <w:r>
        <w:t>Although it’s commonly used to automatically configure public or private cloud instances, it can also be used to deploy virtual machines and physical machines on a network. By automat-ing all the routine setup tasks, systems can be initialized efficiently and reliably, whether you’re a developer spinning up virtual machines or containers, or a system administrator man-aging infrastructure.</w:t>
      </w:r>
    </w:p>
    <w:p>
      <w:pPr>
        <w:pStyle w:val="Para 17"/>
      </w:pPr>
      <w:r>
        <w:t/>
      </w:r>
    </w:p>
    <w:p>
      <w:pPr>
        <w:pStyle w:val="Para 01"/>
      </w:pPr>
      <w:r>
        <w:t>How does it work?</w:t>
      </w:r>
    </w:p>
    <w:p>
      <w:pPr>
        <w:pStyle w:val="Para 17"/>
      </w:pPr>
      <w:r>
        <w:t/>
      </w:r>
    </w:p>
    <w:p>
      <w:pPr>
        <w:pStyle w:val="Normal"/>
      </w:pPr>
      <w:r>
        <w:t>Cloud-init works by taking the initial configuration that you supply, and applying it at boot time so that when the instance is launched it’s already configured the way you want.</w:t>
      </w:r>
    </w:p>
    <w:p>
      <w:pPr>
        <w:pStyle w:val="Normal"/>
      </w:pPr>
      <w:r>
        <w:t>Your configuration can be used and re-used as often as you want to get the exact same VM environment every time, or to deploy an entire fleet of machines in exactly the same way. You get consistent results with a fraction of the time and effort it would take to do so manually.</w:t>
      </w:r>
    </w:p>
    <w:p>
      <w:pPr>
        <w:pStyle w:val="Normal"/>
      </w:pPr>
      <w:r>
        <w:t>It can handle a range of tasks that normally happen when a new instance is created, such</w:t>
      </w:r>
    </w:p>
    <w:p>
      <w:pPr>
        <w:pStyle w:val="Normal"/>
      </w:pPr>
      <w:r>
        <w:t xml:space="preserve">as setting the </w:t>
      </w:r>
      <w:hyperlink w:anchor="page_688">
        <w:r>
          <w:rPr>
            <w:rStyle w:val="Text2"/>
          </w:rPr>
          <w:t>hostname</w:t>
        </w:r>
      </w:hyperlink>
      <w:r>
        <w:t>, configuring network interfaces, creating user accounts, and even running custom scripts.</w:t>
      </w:r>
    </w:p>
    <w:p>
      <w:pPr>
        <w:pStyle w:val="Para 17"/>
      </w:pPr>
      <w:r>
        <w:t/>
      </w:r>
    </w:p>
    <w:p>
      <w:pPr>
        <w:pStyle w:val="Para 01"/>
      </w:pPr>
      <w:r>
        <w:t>Related products</w:t>
      </w:r>
    </w:p>
    <w:p>
      <w:pPr>
        <w:pStyle w:val="Para 17"/>
      </w:pPr>
      <w:r>
        <w:t/>
      </w:r>
    </w:p>
    <w:p>
      <w:pPr>
        <w:pStyle w:val="Normal"/>
      </w:pPr>
      <w:r>
        <w:t xml:space="preserve">Cloud-init can automatically detect the source platform it is being run on ( </w:t>
      </w:r>
      <w:hyperlink r:id="rId1799">
        <w:r>
          <w:rPr>
            <w:rStyle w:val="Text9"/>
          </w:rPr>
          <w:t>980</w:t>
        </w:r>
      </w:hyperlink>
      <w:hyperlink r:id="rId1799">
        <w:r>
          <w:rPr>
            <w:rStyle w:val="Text1"/>
          </w:rPr>
          <w:t xml:space="preserve"> the datasource</w:t>
        </w:r>
      </w:hyperlink>
      <w:r>
        <w:t>). It is widely-supported and works with:</w:t>
      </w:r>
    </w:p>
    <w:p>
      <w:pPr>
        <w:pStyle w:val="Para 04"/>
      </w:pPr>
      <w:r>
        <w:t>• Most public cloud offerings (including Amazon EC2, Azure, Google Compute Engine)</w:t>
      </w:r>
    </w:p>
    <w:p>
      <w:pPr>
        <w:pStyle w:val="Para 04"/>
      </w:pPr>
      <w:r>
        <w:t>• Private clouds</w:t>
      </w:r>
    </w:p>
    <w:p>
      <w:pPr>
        <w:pStyle w:val="Para 04"/>
      </w:pPr>
      <w:r>
        <w:t>• MAAS and OpenStack</w:t>
      </w:r>
    </w:p>
    <w:p>
      <w:pPr>
        <w:pStyle w:val="Para 05"/>
      </w:pPr>
      <w:r>
        <w:rPr>
          <w:rStyle w:val="Text5"/>
        </w:rPr>
        <w:t>979</w:t>
      </w:r>
      <w:r>
        <w:rPr>
          <w:rStyle w:val="Text8"/>
        </w:rPr>
        <w:t xml:space="preserve"> </w:t>
      </w:r>
      <w:r>
        <w:t>https://docs.cloud-init.io/en/latest/</w:t>
      </w:r>
    </w:p>
    <w:p>
      <w:pPr>
        <w:pStyle w:val="Para 05"/>
      </w:pPr>
      <w:r>
        <w:rPr>
          <w:rStyle w:val="Text5"/>
        </w:rPr>
        <w:t>980</w:t>
      </w:r>
      <w:r>
        <w:rPr>
          <w:rStyle w:val="Text8"/>
        </w:rPr>
        <w:t xml:space="preserve"> </w:t>
      </w:r>
      <w:r>
        <w:t>https://docs.cloud-init.io/en/latest/reference/datasources.html</w:t>
      </w:r>
    </w:p>
    <w:p>
      <w:bookmarkStart w:id="1441" w:name="page_9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1" name="index-913_1.png" descr="index-913_1.png"/>
            <wp:cNvGraphicFramePr>
              <a:graphicFrameLocks noChangeAspect="1"/>
            </wp:cNvGraphicFramePr>
            <a:graphic>
              <a:graphicData uri="http://schemas.openxmlformats.org/drawingml/2006/picture">
                <pic:pic>
                  <pic:nvPicPr>
                    <pic:cNvPr id="0" name="index-913_1.png" descr="index-913_1.png"/>
                    <pic:cNvPicPr/>
                  </pic:nvPicPr>
                  <pic:blipFill>
                    <a:blip r:embed="rId955"/>
                    <a:stretch>
                      <a:fillRect/>
                    </a:stretch>
                  </pic:blipFill>
                  <pic:spPr>
                    <a:xfrm>
                      <a:off x="0" y="0"/>
                      <a:ext cx="914400" cy="266700"/>
                    </a:xfrm>
                    <a:prstGeom prst="rect">
                      <a:avLst/>
                    </a:prstGeom>
                  </pic:spPr>
                </pic:pic>
              </a:graphicData>
            </a:graphic>
          </wp:anchor>
        </w:drawing>
      </w:r>
      <w:bookmarkEnd w:id="1441"/>
    </w:p>
    <w:p>
      <w:pPr>
        <w:pStyle w:val="Para 04"/>
      </w:pPr>
      <w:r>
        <w:t>• Common virtualization and VM software such as LXD, libvirt, and QEMU</w:t>
      </w:r>
    </w:p>
    <w:p>
      <w:pPr>
        <w:pStyle w:val="Normal"/>
      </w:pPr>
      <w:r>
        <w:t>You can also use it on other Linux distributions (such as RedHat, OpenSUSE, and Alpine), or in concert with popular configuration managers (like Ansible, Chef, and Puppet). It even sup-ports the Windows Subsystem for Linux (WSL)!</w:t>
      </w:r>
    </w:p>
    <w:p>
      <w:pPr>
        <w:pStyle w:val="Normal"/>
      </w:pPr>
      <w:r>
        <w:t xml:space="preserve">To learn more about cloud-init and try it out for yourself, </w:t>
      </w:r>
      <w:hyperlink w:anchor="page_913">
        <w:r>
          <w:rPr>
            <w:rStyle w:val="Text9"/>
          </w:rPr>
          <w:t>981</w:t>
        </w:r>
      </w:hyperlink>
      <w:r>
        <w:t xml:space="preserve"> </w:t>
      </w:r>
      <w:hyperlink r:id="rId1800">
        <w:r>
          <w:rPr>
            <w:rStyle w:val="Text1"/>
          </w:rPr>
          <w:t>check out their tutorials</w:t>
        </w:r>
      </w:hyperlink>
      <w:r>
        <w:t>.</w:t>
      </w:r>
    </w:p>
    <w:p>
      <w:pPr>
        <w:pStyle w:val="Para 17"/>
      </w:pPr>
      <w:r>
        <w:t/>
      </w:r>
    </w:p>
    <w:p>
      <w:pPr>
        <w:pStyle w:val="Para 01"/>
      </w:pPr>
      <w:r>
        <w:t>Cloud images</w:t>
      </w:r>
    </w:p>
    <w:p>
      <w:pPr>
        <w:pStyle w:val="Para 17"/>
      </w:pPr>
      <w:r>
        <w:t/>
      </w:r>
    </w:p>
    <w:p>
      <w:pPr>
        <w:pStyle w:val="Normal"/>
      </w:pPr>
      <w:r>
        <w:t xml:space="preserve">Whichever cloud you use, you will need to use images compatible with that cloud. We call these </w:t>
      </w:r>
      <w:r>
        <w:rPr>
          <w:rStyle w:val="Text0"/>
        </w:rPr>
        <w:t>cloud images</w:t>
      </w:r>
      <w:r>
        <w:t>.</w:t>
      </w:r>
    </w:p>
    <w:p>
      <w:pPr>
        <w:pStyle w:val="Para 04"/>
      </w:pPr>
      <w:r>
        <w:t xml:space="preserve">• </w:t>
      </w:r>
      <w:hyperlink w:anchor="page_913">
        <w:r>
          <w:rPr>
            <w:rStyle w:val="Text2"/>
          </w:rPr>
          <w:t>Cloud images overview</w:t>
        </w:r>
      </w:hyperlink>
      <w:r>
        <w:t xml:space="preserve"> (page 912) provides a high level introduction to the concept,</w:t>
      </w:r>
    </w:p>
    <w:p>
      <w:pPr>
        <w:pStyle w:val="Para 02"/>
      </w:pPr>
      <w:r>
        <w:t>along with links to the official sources of cloud images.</w:t>
      </w:r>
    </w:p>
    <w:p>
      <w:pPr>
        <w:pStyle w:val="Normal"/>
      </w:pPr>
      <w:r>
        <w:t>For information related to public clouds in Ubuntu, you may also want to refer to the official</w:t>
      </w:r>
    </w:p>
    <w:p>
      <w:pPr>
        <w:pStyle w:val="Para 18"/>
      </w:pPr>
      <w:hyperlink r:id="rId1801">
        <w:r>
          <w:t>Public Cloud documentation</w:t>
        </w:r>
      </w:hyperlink>
      <w:hyperlink r:id="rId1801">
        <w:r>
          <w:rPr>
            <w:rStyle w:val="Text10"/>
          </w:rPr>
          <w:t>982</w:t>
        </w:r>
      </w:hyperlink>
      <w:r>
        <w:rPr>
          <w:rStyle w:val="Text7"/>
        </w:rPr>
        <w:t>.</w:t>
      </w:r>
    </w:p>
    <w:p>
      <w:pPr>
        <w:pStyle w:val="Normal"/>
      </w:pPr>
      <w:r>
        <w:t>For ease of reference, these links in the Public Cloud documentation will take you to the cloud images for:</w:t>
      </w:r>
    </w:p>
    <w:p>
      <w:pPr>
        <w:pStyle w:val="Para 13"/>
      </w:pPr>
      <w:r>
        <w:rPr>
          <w:rStyle w:val="Text7"/>
        </w:rPr>
        <w:t xml:space="preserve">• </w:t>
      </w:r>
      <w:hyperlink r:id="rId1802">
        <w:r>
          <w:rPr>
            <w:rStyle w:val="Text10"/>
          </w:rPr>
          <w:t>983</w:t>
        </w:r>
      </w:hyperlink>
      <w:r>
        <w:rPr>
          <w:rStyle w:val="Text7"/>
        </w:rPr>
        <w:t xml:space="preserve"> </w:t>
      </w:r>
      <w:hyperlink w:anchor="page_913">
        <w:r>
          <w:rPr>
            <w:rStyle w:val="Text10"/>
          </w:rPr>
          <w:t>984</w:t>
        </w:r>
      </w:hyperlink>
      <w:r>
        <w:rPr>
          <w:rStyle w:val="Text7"/>
        </w:rPr>
        <w:t xml:space="preserve"> </w:t>
      </w:r>
      <w:hyperlink r:id="rId1803">
        <w:r>
          <w:rPr>
            <w:rStyle w:val="Text10"/>
          </w:rPr>
          <w:t>985</w:t>
        </w:r>
      </w:hyperlink>
      <w:hyperlink r:id="rId1803">
        <w:r>
          <w:t xml:space="preserve"> Amazon EC2</w:t>
        </w:r>
      </w:hyperlink>
      <w:r>
        <w:rPr>
          <w:rStyle w:val="Text7"/>
        </w:rPr>
        <w:t xml:space="preserve"> | </w:t>
      </w:r>
      <w:hyperlink r:id="rId1804">
        <w:r>
          <w:t>Google Compute Engine (GCE)</w:t>
        </w:r>
      </w:hyperlink>
      <w:r>
        <w:rPr>
          <w:rStyle w:val="Text7"/>
        </w:rPr>
        <w:t xml:space="preserve"> | </w:t>
      </w:r>
      <w:hyperlink r:id="rId1803">
        <w:r>
          <w:t>Microsoft Azure</w:t>
        </w:r>
      </w:hyperlink>
    </w:p>
    <w:p>
      <w:pPr>
        <w:pStyle w:val="Para 17"/>
      </w:pPr>
      <w:r>
        <w:t/>
      </w:r>
    </w:p>
    <w:p>
      <w:pPr>
        <w:pStyle w:val="Para 01"/>
      </w:pPr>
      <w:r>
        <w:t>Cloud images</w:t>
      </w:r>
    </w:p>
    <w:p>
      <w:pPr>
        <w:pStyle w:val="Para 17"/>
      </w:pPr>
      <w:r>
        <w:t/>
      </w:r>
    </w:p>
    <w:p>
      <w:pPr>
        <w:pStyle w:val="Normal"/>
      </w:pPr>
      <w:r>
        <w:t>Canonical produces a variety of cloud-specific images, which are available directly via the</w:t>
      </w:r>
    </w:p>
    <w:p>
      <w:pPr>
        <w:pStyle w:val="Normal"/>
      </w:pPr>
      <w:r>
        <w:t xml:space="preserve">clouds themselves, as well as on </w:t>
      </w:r>
      <w:hyperlink r:id="rId1805">
        <w:r>
          <w:rPr>
            <w:rStyle w:val="Text1"/>
          </w:rPr>
          <w:t>https://cloud-images.ubuntu.com</w:t>
        </w:r>
      </w:hyperlink>
      <w:r>
        <w:t>.</w:t>
      </w:r>
    </w:p>
    <w:p>
      <w:pPr>
        <w:pStyle w:val="Normal"/>
      </w:pPr>
      <w:r>
        <w:t xml:space="preserve">For expanded documentation, please see the separate </w:t>
      </w:r>
      <w:hyperlink r:id="rId1801">
        <w:r>
          <w:rPr>
            <w:rStyle w:val="Text9"/>
          </w:rPr>
          <w:t>986</w:t>
        </w:r>
      </w:hyperlink>
      <w:hyperlink r:id="rId1801">
        <w:r>
          <w:rPr>
            <w:rStyle w:val="Text1"/>
          </w:rPr>
          <w:t xml:space="preserve"> public-cloud documentation.</w:t>
        </w:r>
      </w:hyperlink>
    </w:p>
    <w:p>
      <w:pPr>
        <w:pStyle w:val="Para 17"/>
      </w:pPr>
      <w:r>
        <w:t/>
      </w:r>
    </w:p>
    <w:p>
      <w:pPr>
        <w:pStyle w:val="Para 01"/>
      </w:pPr>
      <w:r>
        <w:t>Public clouds</w:t>
      </w:r>
    </w:p>
    <w:p>
      <w:pPr>
        <w:pStyle w:val="Para 17"/>
      </w:pPr>
      <w:r>
        <w:t/>
      </w:r>
    </w:p>
    <w:p>
      <w:pPr>
        <w:pStyle w:val="Para 01"/>
      </w:pPr>
      <w:r>
        <w:t>Compute offerings</w:t>
      </w:r>
    </w:p>
    <w:p>
      <w:pPr>
        <w:pStyle w:val="Para 17"/>
      </w:pPr>
      <w:r>
        <w:t/>
      </w:r>
    </w:p>
    <w:p>
      <w:pPr>
        <w:pStyle w:val="Normal"/>
      </w:pPr>
      <w:r>
        <w:t>Users can find Ubuntu images for virtual machines and bare-metal offerings published di-rectly to the following clouds:</w:t>
      </w:r>
    </w:p>
    <w:p>
      <w:pPr>
        <w:pStyle w:val="Para 13"/>
      </w:pPr>
      <w:r>
        <w:rPr>
          <w:rStyle w:val="Text7"/>
        </w:rPr>
        <w:t xml:space="preserve">• </w:t>
      </w:r>
      <w:hyperlink w:anchor="page_913">
        <w:r>
          <w:rPr>
            <w:rStyle w:val="Text10"/>
          </w:rPr>
          <w:t>987</w:t>
        </w:r>
      </w:hyperlink>
      <w:r>
        <w:rPr>
          <w:rStyle w:val="Text7"/>
        </w:rPr>
        <w:t xml:space="preserve"> </w:t>
      </w:r>
      <w:hyperlink r:id="rId1802">
        <w:r>
          <w:t>Amazon Elastic Compute Cloud (EC2)</w:t>
        </w:r>
      </w:hyperlink>
    </w:p>
    <w:p>
      <w:pPr>
        <w:pStyle w:val="Para 13"/>
      </w:pPr>
      <w:r>
        <w:rPr>
          <w:rStyle w:val="Text7"/>
        </w:rPr>
        <w:t xml:space="preserve">• </w:t>
      </w:r>
      <w:hyperlink w:anchor="page_913">
        <w:r>
          <w:rPr>
            <w:rStyle w:val="Text10"/>
          </w:rPr>
          <w:t>988</w:t>
        </w:r>
      </w:hyperlink>
      <w:r>
        <w:rPr>
          <w:rStyle w:val="Text7"/>
        </w:rPr>
        <w:t xml:space="preserve"> </w:t>
      </w:r>
      <w:hyperlink r:id="rId1804">
        <w:r>
          <w:t>Google Compute Engine (GCE)</w:t>
        </w:r>
      </w:hyperlink>
    </w:p>
    <w:p>
      <w:pPr>
        <w:pStyle w:val="Para 13"/>
      </w:pPr>
      <w:r>
        <w:rPr>
          <w:rStyle w:val="Text7"/>
        </w:rPr>
        <w:t xml:space="preserve">• </w:t>
      </w:r>
      <w:hyperlink w:anchor="page_913">
        <w:r>
          <w:rPr>
            <w:rStyle w:val="Text10"/>
          </w:rPr>
          <w:t>989</w:t>
        </w:r>
      </w:hyperlink>
      <w:r>
        <w:rPr>
          <w:rStyle w:val="Text7"/>
        </w:rPr>
        <w:t xml:space="preserve"> </w:t>
      </w:r>
      <w:hyperlink r:id="rId1806">
        <w:r>
          <w:t>IBM Cloud</w:t>
        </w:r>
      </w:hyperlink>
    </w:p>
    <w:p>
      <w:pPr>
        <w:pStyle w:val="Para 13"/>
      </w:pPr>
      <w:r>
        <w:rPr>
          <w:rStyle w:val="Text7"/>
        </w:rPr>
        <w:t xml:space="preserve">• </w:t>
      </w:r>
      <w:hyperlink r:id="rId1803">
        <w:r>
          <w:rPr>
            <w:rStyle w:val="Text10"/>
          </w:rPr>
          <w:t>990</w:t>
        </w:r>
      </w:hyperlink>
      <w:hyperlink r:id="rId1803">
        <w:r>
          <w:t xml:space="preserve"> Microsoft Azure</w:t>
        </w:r>
      </w:hyperlink>
    </w:p>
    <w:p>
      <w:pPr>
        <w:pStyle w:val="Para 05"/>
      </w:pPr>
      <w:r>
        <w:rPr>
          <w:rStyle w:val="Text5"/>
        </w:rPr>
        <w:t>981</w:t>
      </w:r>
      <w:r>
        <w:rPr>
          <w:rStyle w:val="Text8"/>
        </w:rPr>
        <w:t xml:space="preserve"> </w:t>
      </w:r>
      <w:r>
        <w:t>https://docs.cloud-init.io/en/latest/tutorial/index.html</w:t>
      </w:r>
    </w:p>
    <w:p>
      <w:pPr>
        <w:pStyle w:val="Para 05"/>
      </w:pPr>
      <w:r>
        <w:rPr>
          <w:rStyle w:val="Text5"/>
        </w:rPr>
        <w:t>982</w:t>
      </w:r>
      <w:r>
        <w:rPr>
          <w:rStyle w:val="Text8"/>
        </w:rPr>
        <w:t xml:space="preserve"> </w:t>
      </w:r>
      <w:r>
        <w:t>https://documentation.ubuntu.com/public-cloud/</w:t>
      </w:r>
    </w:p>
    <w:p>
      <w:pPr>
        <w:pStyle w:val="Para 05"/>
      </w:pPr>
      <w:r>
        <w:rPr>
          <w:rStyle w:val="Text5"/>
        </w:rPr>
        <w:t>983</w:t>
      </w:r>
      <w:r>
        <w:rPr>
          <w:rStyle w:val="Text8"/>
        </w:rPr>
        <w:t xml:space="preserve"> </w:t>
      </w:r>
      <w:r>
        <w:t>https://documentation.ubuntu.com/aws/aws-how-to/instances/find-ubuntu-images/</w:t>
      </w:r>
    </w:p>
    <w:p>
      <w:pPr>
        <w:pStyle w:val="Para 05"/>
      </w:pPr>
      <w:r>
        <w:rPr>
          <w:rStyle w:val="Text5"/>
        </w:rPr>
        <w:t>984</w:t>
      </w:r>
      <w:r>
        <w:rPr>
          <w:rStyle w:val="Text8"/>
        </w:rPr>
        <w:t xml:space="preserve"> </w:t>
      </w:r>
      <w:r>
        <w:t>https://documentation.ubuntu.com/gcp/google-how-to/gce/find-ubuntu-images/</w:t>
      </w:r>
    </w:p>
    <w:p>
      <w:pPr>
        <w:pStyle w:val="Para 05"/>
      </w:pPr>
      <w:r>
        <w:rPr>
          <w:rStyle w:val="Text5"/>
        </w:rPr>
        <w:t>985</w:t>
      </w:r>
      <w:r>
        <w:rPr>
          <w:rStyle w:val="Text8"/>
        </w:rPr>
        <w:t xml:space="preserve"> </w:t>
      </w:r>
      <w:r>
        <w:t>https://documentation.ubuntu.com/azure/azure-how-to/instances/find-ubuntu-images/</w:t>
      </w:r>
    </w:p>
    <w:p>
      <w:pPr>
        <w:pStyle w:val="Para 05"/>
      </w:pPr>
      <w:r>
        <w:rPr>
          <w:rStyle w:val="Text5"/>
        </w:rPr>
        <w:t>986</w:t>
      </w:r>
      <w:r>
        <w:rPr>
          <w:rStyle w:val="Text8"/>
        </w:rPr>
        <w:t xml:space="preserve"> </w:t>
      </w:r>
      <w:r>
        <w:t>https://documentation.ubuntu.com/public-cloud/</w:t>
      </w:r>
    </w:p>
    <w:p>
      <w:pPr>
        <w:pStyle w:val="Para 05"/>
      </w:pPr>
      <w:r>
        <w:rPr>
          <w:rStyle w:val="Text5"/>
        </w:rPr>
        <w:t>987</w:t>
      </w:r>
      <w:r>
        <w:rPr>
          <w:rStyle w:val="Text8"/>
        </w:rPr>
        <w:t xml:space="preserve"> </w:t>
      </w:r>
      <w:r>
        <w:t>https://documentation.ubuntu.com/aws/aws-how-to/instances/find-ubuntu-images/</w:t>
      </w:r>
    </w:p>
    <w:p>
      <w:pPr>
        <w:pStyle w:val="Para 05"/>
      </w:pPr>
      <w:r>
        <w:rPr>
          <w:rStyle w:val="Text5"/>
        </w:rPr>
        <w:t>988</w:t>
      </w:r>
      <w:r>
        <w:rPr>
          <w:rStyle w:val="Text8"/>
        </w:rPr>
        <w:t xml:space="preserve"> </w:t>
      </w:r>
      <w:r>
        <w:t>https://documentation.ubuntu.com/gcp/google-how-to/gce/find-ubuntu-images/</w:t>
      </w:r>
    </w:p>
    <w:p>
      <w:pPr>
        <w:pStyle w:val="Para 05"/>
      </w:pPr>
      <w:r>
        <w:rPr>
          <w:rStyle w:val="Text5"/>
        </w:rPr>
        <w:t>989</w:t>
      </w:r>
      <w:r>
        <w:rPr>
          <w:rStyle w:val="Text8"/>
        </w:rPr>
        <w:t xml:space="preserve"> </w:t>
      </w:r>
      <w:r>
        <w:t>https://canonical-ibm.readthedocs-hosted.com/ibm-how-to/find-ubuntu-images/</w:t>
      </w:r>
    </w:p>
    <w:p>
      <w:pPr>
        <w:pStyle w:val="Para 05"/>
      </w:pPr>
      <w:r>
        <w:rPr>
          <w:rStyle w:val="Text5"/>
        </w:rPr>
        <w:t>990</w:t>
      </w:r>
      <w:r>
        <w:rPr>
          <w:rStyle w:val="Text8"/>
        </w:rPr>
        <w:t xml:space="preserve"> </w:t>
      </w:r>
      <w:r>
        <w:t>https://documentation.ubuntu.com/azure/azure-how-to/instances/find-ubuntu-images/</w:t>
      </w:r>
    </w:p>
    <w:p>
      <w:bookmarkStart w:id="1442" w:name="page_9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2" name="index-914_1.png" descr="index-914_1.png"/>
            <wp:cNvGraphicFramePr>
              <a:graphicFrameLocks noChangeAspect="1"/>
            </wp:cNvGraphicFramePr>
            <a:graphic>
              <a:graphicData uri="http://schemas.openxmlformats.org/drawingml/2006/picture">
                <pic:pic>
                  <pic:nvPicPr>
                    <pic:cNvPr id="0" name="index-914_1.png" descr="index-914_1.png"/>
                    <pic:cNvPicPr/>
                  </pic:nvPicPr>
                  <pic:blipFill>
                    <a:blip r:embed="rId956"/>
                    <a:stretch>
                      <a:fillRect/>
                    </a:stretch>
                  </pic:blipFill>
                  <pic:spPr>
                    <a:xfrm>
                      <a:off x="0" y="0"/>
                      <a:ext cx="914400" cy="266700"/>
                    </a:xfrm>
                    <a:prstGeom prst="rect">
                      <a:avLst/>
                    </a:prstGeom>
                  </pic:spPr>
                </pic:pic>
              </a:graphicData>
            </a:graphic>
          </wp:anchor>
        </w:drawing>
      </w:r>
      <w:bookmarkEnd w:id="1442"/>
    </w:p>
    <w:p>
      <w:pPr>
        <w:pStyle w:val="Para 13"/>
      </w:pPr>
      <w:r>
        <w:rPr>
          <w:rStyle w:val="Text7"/>
        </w:rPr>
        <w:t xml:space="preserve">• </w:t>
      </w:r>
      <w:hyperlink r:id="rId1807">
        <w:r>
          <w:rPr>
            <w:rStyle w:val="Text10"/>
          </w:rPr>
          <w:t>991</w:t>
        </w:r>
      </w:hyperlink>
      <w:hyperlink r:id="rId1807">
        <w:r>
          <w:t xml:space="preserve"> Oracle Cloud</w:t>
        </w:r>
      </w:hyperlink>
    </w:p>
    <w:p>
      <w:pPr>
        <w:pStyle w:val="Para 17"/>
      </w:pPr>
      <w:r>
        <w:t/>
      </w:r>
    </w:p>
    <w:p>
      <w:pPr>
        <w:pStyle w:val="Para 01"/>
      </w:pPr>
      <w:r>
        <w:t>Container offerings</w:t>
      </w:r>
    </w:p>
    <w:p>
      <w:pPr>
        <w:pStyle w:val="Para 17"/>
      </w:pPr>
      <w:r>
        <w:t/>
      </w:r>
    </w:p>
    <w:p>
      <w:pPr>
        <w:pStyle w:val="Normal"/>
      </w:pPr>
      <w:r>
        <w:t>Ubuntu images are also produced for a number of container offerings:</w:t>
      </w:r>
    </w:p>
    <w:p>
      <w:pPr>
        <w:pStyle w:val="Para 13"/>
      </w:pPr>
      <w:r>
        <w:rPr>
          <w:rStyle w:val="Text7"/>
        </w:rPr>
        <w:t xml:space="preserve">• </w:t>
      </w:r>
      <w:hyperlink w:anchor="page_914">
        <w:r>
          <w:rPr>
            <w:rStyle w:val="Text10"/>
          </w:rPr>
          <w:t>992</w:t>
        </w:r>
      </w:hyperlink>
      <w:r>
        <w:rPr>
          <w:rStyle w:val="Text7"/>
        </w:rPr>
        <w:t xml:space="preserve"> </w:t>
      </w:r>
      <w:hyperlink r:id="rId1808">
        <w:r>
          <w:t>Amazon Elastic Kubernetes Service (EKS)</w:t>
        </w:r>
      </w:hyperlink>
    </w:p>
    <w:p>
      <w:pPr>
        <w:pStyle w:val="Para 04"/>
      </w:pPr>
      <w:r>
        <w:t>• Google Kubernetes Engine (GKE) works differently as it has no portfolio of images to</w:t>
      </w:r>
    </w:p>
    <w:p>
      <w:pPr>
        <w:pStyle w:val="Para 02"/>
      </w:pPr>
      <w:r>
        <w:t xml:space="preserve">start. For each </w:t>
      </w:r>
      <w:hyperlink w:anchor="page_914">
        <w:r>
          <w:rPr>
            <w:rStyle w:val="Text9"/>
          </w:rPr>
          <w:t>993</w:t>
        </w:r>
      </w:hyperlink>
      <w:r>
        <w:t xml:space="preserve"> </w:t>
      </w:r>
      <w:hyperlink r:id="rId1809">
        <w:r>
          <w:rPr>
            <w:rStyle w:val="Text1"/>
          </w:rPr>
          <w:t>release of GKE</w:t>
        </w:r>
      </w:hyperlink>
      <w:r>
        <w:t xml:space="preserve"> it will select the appropriate image.</w:t>
      </w:r>
    </w:p>
    <w:p>
      <w:pPr>
        <w:pStyle w:val="Para 17"/>
      </w:pPr>
      <w:r>
        <w:t/>
      </w:r>
    </w:p>
    <w:p>
      <w:pPr>
        <w:pStyle w:val="Para 01"/>
      </w:pPr>
      <w:r>
        <w:t>Private clouds</w:t>
      </w:r>
    </w:p>
    <w:p>
      <w:pPr>
        <w:pStyle w:val="Para 17"/>
      </w:pPr>
      <w:r>
        <w:t/>
      </w:r>
    </w:p>
    <w:p>
      <w:pPr>
        <w:pStyle w:val="Normal"/>
      </w:pPr>
      <w:r>
        <w:t xml:space="preserve">On </w:t>
      </w:r>
      <w:hyperlink w:anchor="page_914">
        <w:r>
          <w:rPr>
            <w:rStyle w:val="Text9"/>
          </w:rPr>
          <w:t>994</w:t>
        </w:r>
      </w:hyperlink>
      <w:r>
        <w:t xml:space="preserve"> </w:t>
      </w:r>
      <w:hyperlink r:id="rId1805">
        <w:r>
          <w:rPr>
            <w:rStyle w:val="Text1"/>
          </w:rPr>
          <w:t>cloud-images.ubuntu.com</w:t>
        </w:r>
      </w:hyperlink>
      <w:r>
        <w:t>, users can find standard and minimal images for the follow-ing:</w:t>
      </w:r>
    </w:p>
    <w:p>
      <w:pPr>
        <w:pStyle w:val="Para 04"/>
      </w:pPr>
      <w:r>
        <w:t>• Hyper-V</w:t>
      </w:r>
    </w:p>
    <w:p>
      <w:pPr>
        <w:pStyle w:val="Para 04"/>
      </w:pPr>
      <w:r>
        <w:t>• KVM</w:t>
      </w:r>
    </w:p>
    <w:p>
      <w:pPr>
        <w:pStyle w:val="Para 04"/>
      </w:pPr>
      <w:r>
        <w:t>• OpenStack</w:t>
      </w:r>
    </w:p>
    <w:p>
      <w:pPr>
        <w:pStyle w:val="Para 04"/>
      </w:pPr>
      <w:r>
        <w:t>• Vagrant</w:t>
      </w:r>
    </w:p>
    <w:p>
      <w:pPr>
        <w:pStyle w:val="Para 04"/>
      </w:pPr>
      <w:r>
        <w:t>• VMware</w:t>
      </w:r>
    </w:p>
    <w:p>
      <w:pPr>
        <w:pStyle w:val="Para 17"/>
      </w:pPr>
      <w:r>
        <w:t/>
      </w:r>
    </w:p>
    <w:p>
      <w:pPr>
        <w:pStyle w:val="Para 01"/>
      </w:pPr>
      <w:r>
        <w:t>Release support</w:t>
      </w:r>
    </w:p>
    <w:p>
      <w:pPr>
        <w:pStyle w:val="Para 17"/>
      </w:pPr>
      <w:r>
        <w:t/>
      </w:r>
    </w:p>
    <w:p>
      <w:pPr>
        <w:pStyle w:val="Normal"/>
      </w:pPr>
      <w:r>
        <w:t xml:space="preserve">Cloud images are published and supported throughout the </w:t>
      </w:r>
      <w:hyperlink r:id="rId1063">
        <w:r>
          <w:rPr>
            <w:rStyle w:val="Text9"/>
          </w:rPr>
          <w:t>995</w:t>
        </w:r>
      </w:hyperlink>
      <w:hyperlink r:id="rId1063">
        <w:r>
          <w:rPr>
            <w:rStyle w:val="Text1"/>
          </w:rPr>
          <w:t xml:space="preserve"> lifecycle of an Ubuntu release</w:t>
        </w:r>
      </w:hyperlink>
      <w:r>
        <w:t>. During this time images can receive all published security updates and bug fixes.</w:t>
      </w:r>
    </w:p>
    <w:p>
      <w:pPr>
        <w:pStyle w:val="Normal"/>
      </w:pPr>
      <w:r>
        <w:t>For users wanting to upgrade from one release to the next, the recommended path is to launch a new image with the desired release and then migrate any workload or data to the new image.</w:t>
      </w:r>
    </w:p>
    <w:p>
      <w:pPr>
        <w:pStyle w:val="Normal"/>
      </w:pPr>
      <w:r>
        <w:t>Some cloud image customization must be applied during image creation, which would be missing if an in-place upgrade were performed. For that reason, in-place upgrades of cloud images are not recommended.</w:t>
      </w:r>
    </w:p>
    <w:p>
      <w:pPr>
        <w:pStyle w:val="Para 24"/>
      </w:pPr>
      <w:r>
        <w:t>3.4.8. High Availability</w:t>
      </w:r>
    </w:p>
    <w:p>
      <w:pPr>
        <w:pStyle w:val="Normal"/>
      </w:pPr>
      <w:hyperlink w:anchor="page_915">
        <w:r>
          <w:rPr>
            <w:rStyle w:val="Text2"/>
          </w:rPr>
          <w:t>High Availability</w:t>
        </w:r>
      </w:hyperlink>
      <w:r>
        <w:t xml:space="preserve"> (page 914) is a method for clustering resources to ensure minimal downtime if a particular component fails.</w:t>
      </w:r>
    </w:p>
    <w:p>
      <w:pPr>
        <w:pStyle w:val="Normal"/>
      </w:pPr>
      <w:r>
        <w:t>In this section we provide an introduction to High Availability and explain some of the key concepts.</w:t>
      </w:r>
    </w:p>
    <w:p>
      <w:pPr>
        <w:pStyle w:val="Para 05"/>
      </w:pPr>
      <w:r>
        <w:rPr>
          <w:rStyle w:val="Text5"/>
        </w:rPr>
        <w:t>991</w:t>
      </w:r>
      <w:r>
        <w:rPr>
          <w:rStyle w:val="Text8"/>
        </w:rPr>
        <w:t xml:space="preserve"> </w:t>
      </w:r>
      <w:r>
        <w:t>https://documentation.ubuntu.com/oracle/oracle-how-to/find-ubuntu-images/</w:t>
      </w:r>
    </w:p>
    <w:p>
      <w:pPr>
        <w:pStyle w:val="Para 05"/>
      </w:pPr>
      <w:r>
        <w:rPr>
          <w:rStyle w:val="Text5"/>
        </w:rPr>
        <w:t>992</w:t>
      </w:r>
      <w:r>
        <w:rPr>
          <w:rStyle w:val="Text8"/>
        </w:rPr>
        <w:t xml:space="preserve"> </w:t>
      </w:r>
      <w:r>
        <w:t>https://cloud-images.ubuntu.com/docs/aws/eks/</w:t>
      </w:r>
    </w:p>
    <w:p>
      <w:pPr>
        <w:pStyle w:val="Para 05"/>
      </w:pPr>
      <w:r>
        <w:rPr>
          <w:rStyle w:val="Text5"/>
        </w:rPr>
        <w:t>993</w:t>
      </w:r>
      <w:r>
        <w:rPr>
          <w:rStyle w:val="Text8"/>
        </w:rPr>
        <w:t xml:space="preserve"> </w:t>
      </w:r>
      <w:r>
        <w:t>https://docs.cloud.google.com/kubernetes-engine/docs/release-schedule#schedule-for-release-channels</w:t>
      </w:r>
    </w:p>
    <w:p>
      <w:pPr>
        <w:pStyle w:val="Para 05"/>
      </w:pPr>
      <w:r>
        <w:rPr>
          <w:rStyle w:val="Text5"/>
        </w:rPr>
        <w:t>994</w:t>
      </w:r>
      <w:r>
        <w:rPr>
          <w:rStyle w:val="Text8"/>
        </w:rPr>
        <w:t xml:space="preserve"> </w:t>
      </w:r>
      <w:r>
        <w:t>https://cloud-images.ubuntu.com</w:t>
      </w:r>
    </w:p>
    <w:p>
      <w:pPr>
        <w:pStyle w:val="Para 05"/>
      </w:pPr>
      <w:r>
        <w:rPr>
          <w:rStyle w:val="Text5"/>
        </w:rPr>
        <w:t>995</w:t>
      </w:r>
      <w:r>
        <w:rPr>
          <w:rStyle w:val="Text8"/>
        </w:rPr>
        <w:t xml:space="preserve"> </w:t>
      </w:r>
      <w:r>
        <w:t>https://ubuntu.com/about/release-cycle</w:t>
      </w:r>
    </w:p>
    <w:p>
      <w:bookmarkStart w:id="1443" w:name="page_9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3" name="index-915_1.png" descr="index-915_1.png"/>
            <wp:cNvGraphicFramePr>
              <a:graphicFrameLocks noChangeAspect="1"/>
            </wp:cNvGraphicFramePr>
            <a:graphic>
              <a:graphicData uri="http://schemas.openxmlformats.org/drawingml/2006/picture">
                <pic:pic>
                  <pic:nvPicPr>
                    <pic:cNvPr id="0" name="index-915_1.png" descr="index-915_1.png"/>
                    <pic:cNvPicPr/>
                  </pic:nvPicPr>
                  <pic:blipFill>
                    <a:blip r:embed="rId957"/>
                    <a:stretch>
                      <a:fillRect/>
                    </a:stretch>
                  </pic:blipFill>
                  <pic:spPr>
                    <a:xfrm>
                      <a:off x="0" y="0"/>
                      <a:ext cx="914400" cy="266700"/>
                    </a:xfrm>
                    <a:prstGeom prst="rect">
                      <a:avLst/>
                    </a:prstGeom>
                  </pic:spPr>
                </pic:pic>
              </a:graphicData>
            </a:graphic>
          </wp:anchor>
        </w:drawing>
      </w:r>
      <w:bookmarkEnd w:id="1443"/>
    </w:p>
    <w:p>
      <w:pPr>
        <w:pStyle w:val="Para 01"/>
      </w:pPr>
      <w:r>
        <w:t>High Availability</w:t>
      </w:r>
    </w:p>
    <w:p>
      <w:pPr>
        <w:pStyle w:val="Para 17"/>
      </w:pPr>
      <w:r>
        <w:t/>
      </w:r>
    </w:p>
    <w:p>
      <w:pPr>
        <w:pStyle w:val="Normal"/>
      </w:pPr>
      <w:r>
        <w:t>High Availability is a way to ensure minimal downtime if and when system failures occur by using redundancy, failover and load balancing to keep services running.</w:t>
      </w:r>
    </w:p>
    <w:p>
      <w:pPr>
        <w:pStyle w:val="Para 17"/>
      </w:pPr>
      <w:r>
        <w:t/>
      </w:r>
    </w:p>
    <w:p>
      <w:pPr>
        <w:pStyle w:val="Para 01"/>
      </w:pPr>
      <w:r>
        <w:t>Introduction</w:t>
      </w:r>
    </w:p>
    <w:p>
      <w:pPr>
        <w:pStyle w:val="Para 17"/>
      </w:pPr>
      <w:r>
        <w:t/>
      </w:r>
    </w:p>
    <w:p>
      <w:pPr>
        <w:pStyle w:val="Para 14"/>
      </w:pPr>
      <w:r>
        <w:rPr>
          <w:rStyle w:val="Text4"/>
        </w:rPr>
        <w:t xml:space="preserve">• </w:t>
      </w:r>
      <w:hyperlink w:anchor="page_915">
        <w:r>
          <w:t>Introduction to High Availability</w:t>
        </w:r>
      </w:hyperlink>
      <w:r>
        <w:rPr>
          <w:rStyle w:val="Text4"/>
        </w:rPr>
        <w:t xml:space="preserve"> (page 914)</w:t>
      </w:r>
    </w:p>
    <w:p>
      <w:pPr>
        <w:pStyle w:val="Para 17"/>
      </w:pPr>
      <w:r>
        <w:t/>
      </w:r>
    </w:p>
    <w:p>
      <w:pPr>
        <w:pStyle w:val="Para 01"/>
      </w:pPr>
      <w:r>
        <w:t>Key concepts</w:t>
      </w:r>
    </w:p>
    <w:p>
      <w:pPr>
        <w:pStyle w:val="Para 17"/>
      </w:pPr>
      <w:r>
        <w:t/>
      </w:r>
    </w:p>
    <w:p>
      <w:pPr>
        <w:pStyle w:val="Para 14"/>
      </w:pPr>
      <w:r>
        <w:rPr>
          <w:rStyle w:val="Text4"/>
        </w:rPr>
        <w:t xml:space="preserve">• </w:t>
      </w:r>
      <w:hyperlink w:anchor="page_924">
        <w:r>
          <w:t>Pacemaker resource agents</w:t>
        </w:r>
      </w:hyperlink>
      <w:r>
        <w:rPr>
          <w:rStyle w:val="Text4"/>
        </w:rPr>
        <w:t xml:space="preserve"> (page 923)</w:t>
      </w:r>
    </w:p>
    <w:p>
      <w:pPr>
        <w:pStyle w:val="Para 14"/>
      </w:pPr>
      <w:r>
        <w:rPr>
          <w:rStyle w:val="Text4"/>
        </w:rPr>
        <w:t xml:space="preserve">• </w:t>
      </w:r>
      <w:hyperlink w:anchor="page_929">
        <w:r>
          <w:t>Pacemaker fence agents</w:t>
        </w:r>
      </w:hyperlink>
      <w:r>
        <w:rPr>
          <w:rStyle w:val="Text4"/>
        </w:rPr>
        <w:t xml:space="preserve"> (page 928)</w:t>
      </w:r>
    </w:p>
    <w:p>
      <w:pPr>
        <w:pStyle w:val="Para 17"/>
      </w:pPr>
      <w:r>
        <w:t/>
      </w:r>
    </w:p>
    <w:p>
      <w:pPr>
        <w:pStyle w:val="Para 01"/>
      </w:pPr>
      <w:r>
        <w:t>Introduction to High Availability</w:t>
      </w:r>
    </w:p>
    <w:p>
      <w:pPr>
        <w:pStyle w:val="Para 17"/>
      </w:pPr>
      <w:r>
        <w:t/>
      </w:r>
    </w:p>
    <w:p>
      <w:pPr>
        <w:pStyle w:val="Normal"/>
      </w:pPr>
      <w:r>
        <w:t xml:space="preserve">A definition of high availability clusters </w:t>
      </w:r>
      <w:hyperlink r:id="rId1810">
        <w:r>
          <w:rPr>
            <w:rStyle w:val="Text9"/>
          </w:rPr>
          <w:t>996</w:t>
        </w:r>
      </w:hyperlink>
      <w:hyperlink r:id="rId1810">
        <w:r>
          <w:rPr>
            <w:rStyle w:val="Text1"/>
          </w:rPr>
          <w:t xml:space="preserve"> from Wikipedia:</w:t>
        </w:r>
      </w:hyperlink>
    </w:p>
    <w:p>
      <w:pPr>
        <w:pStyle w:val="Para 17"/>
      </w:pPr>
      <w:r>
        <w:t/>
      </w:r>
    </w:p>
    <w:p>
      <w:pPr>
        <w:pStyle w:val="Para 05"/>
      </w:pPr>
      <w:r>
        <w:rPr>
          <w:rStyle w:val="Text5"/>
        </w:rPr>
        <w:t>996</w:t>
      </w:r>
      <w:r>
        <w:rPr>
          <w:rStyle w:val="Text8"/>
        </w:rPr>
        <w:t xml:space="preserve"> </w:t>
      </w:r>
      <w:r>
        <w:t>https://en.wikipedia.org/wiki/High-availability_cluster</w:t>
      </w:r>
    </w:p>
    <w:p>
      <w:bookmarkStart w:id="1444" w:name="calibre_pb_264"/>
      <w:pPr>
        <w:pStyle w:val="0 Block"/>
      </w:pPr>
      <w:bookmarkEnd w:id="1444"/>
    </w:p>
    <w:p>
      <w:bookmarkStart w:id="1445" w:name="Top_of_index_split_265_html"/>
      <w:bookmarkStart w:id="1446" w:name="page_91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4" name="index-916_1.png" descr="index-916_1.png"/>
            <wp:cNvGraphicFramePr>
              <a:graphicFrameLocks noChangeAspect="1"/>
            </wp:cNvGraphicFramePr>
            <a:graphic>
              <a:graphicData uri="http://schemas.openxmlformats.org/drawingml/2006/picture">
                <pic:pic>
                  <pic:nvPicPr>
                    <pic:cNvPr id="0" name="index-916_1.png" descr="index-916_1.png"/>
                    <pic:cNvPicPr/>
                  </pic:nvPicPr>
                  <pic:blipFill>
                    <a:blip r:embed="rId958"/>
                    <a:stretch>
                      <a:fillRect/>
                    </a:stretch>
                  </pic:blipFill>
                  <pic:spPr>
                    <a:xfrm>
                      <a:off x="0" y="0"/>
                      <a:ext cx="914400" cy="266700"/>
                    </a:xfrm>
                    <a:prstGeom prst="rect">
                      <a:avLst/>
                    </a:prstGeom>
                  </pic:spPr>
                </pic:pic>
              </a:graphicData>
            </a:graphic>
          </wp:anchor>
        </w:drawing>
      </w:r>
      <w:bookmarkEnd w:id="1445"/>
      <w:bookmarkEnd w:id="1446"/>
    </w:p>
    <w:p>
      <w:pPr>
        <w:pStyle w:val="Para 01"/>
      </w:pPr>
      <w:r>
        <w:t>High Availability clusters</w:t>
      </w:r>
    </w:p>
    <w:p>
      <w:pPr>
        <w:pStyle w:val="Para 17"/>
      </w:pPr>
      <w:r>
        <w:t/>
      </w:r>
    </w:p>
    <w:p>
      <w:pPr>
        <w:pStyle w:val="Para 08"/>
      </w:pPr>
      <w:r>
        <w:t>High-availability clusters</w:t>
      </w:r>
      <w:r>
        <w:rPr>
          <w:rStyle w:val="Text0"/>
        </w:rPr>
        <w:t xml:space="preserve"> (also known as </w:t>
      </w:r>
      <w:hyperlink w:anchor="page_688">
        <w:r>
          <w:rPr>
            <w:rStyle w:val="Text1"/>
          </w:rPr>
          <w:t>HA</w:t>
        </w:r>
      </w:hyperlink>
      <w:r>
        <w:rPr>
          <w:rStyle w:val="Text0"/>
        </w:rPr>
        <w:t xml:space="preserve"> </w:t>
      </w:r>
      <w:r>
        <w:t>clusters</w:t>
      </w:r>
      <w:r>
        <w:rPr>
          <w:rStyle w:val="Text0"/>
        </w:rPr>
        <w:t xml:space="preserve"> , </w:t>
      </w:r>
      <w:hyperlink w:anchor="page_682">
        <w:r>
          <w:rPr>
            <w:rStyle w:val="Text1"/>
          </w:rPr>
          <w:t>failover</w:t>
        </w:r>
      </w:hyperlink>
      <w:r>
        <w:rPr>
          <w:rStyle w:val="Text0"/>
        </w:rPr>
        <w:t xml:space="preserve"> </w:t>
      </w:r>
      <w:r>
        <w:t>clusters</w:t>
      </w:r>
      <w:r>
        <w:rPr>
          <w:rStyle w:val="Text0"/>
        </w:rPr>
        <w:t xml:space="preserve"> or </w:t>
      </w:r>
      <w:r>
        <w:t>Metroclus-</w:t>
      </w:r>
    </w:p>
    <w:p>
      <w:pPr>
        <w:pStyle w:val="Para 03"/>
      </w:pPr>
      <w:r>
        <w:rPr>
          <w:rStyle w:val="Text0"/>
        </w:rPr>
        <w:t>ters Active/Active</w:t>
      </w:r>
      <w:r>
        <w:t xml:space="preserve"> </w:t>
      </w:r>
      <w:hyperlink w:anchor="page_916">
        <w:r>
          <w:rPr>
            <w:rStyle w:val="Text9"/>
          </w:rPr>
          <w:t>997</w:t>
        </w:r>
      </w:hyperlink>
      <w:hyperlink w:anchor="page_916">
        <w:r>
          <w:rPr>
            <w:rStyle w:val="Text1"/>
          </w:rPr>
          <w:t xml:space="preserve"> </w:t>
        </w:r>
      </w:hyperlink>
      <w:hyperlink w:anchor="page_916">
        <w:r>
          <w:rPr>
            <w:rStyle w:val="Text9"/>
          </w:rPr>
          <w:t>998</w:t>
        </w:r>
      </w:hyperlink>
      <w:hyperlink w:anchor="page_916">
        <w:r>
          <w:rPr>
            <w:rStyle w:val="Text1"/>
          </w:rPr>
          <w:t xml:space="preserve"> </w:t>
        </w:r>
      </w:hyperlink>
      <w:hyperlink w:anchor="page_916">
        <w:r>
          <w:rPr>
            <w:rStyle w:val="Text9"/>
          </w:rPr>
          <w:t>999</w:t>
        </w:r>
      </w:hyperlink>
      <w:r>
        <w:t xml:space="preserve"> ) are groups of </w:t>
      </w:r>
      <w:hyperlink r:id="rId1811">
        <w:r>
          <w:rPr>
            <w:rStyle w:val="Text1"/>
          </w:rPr>
          <w:t>computers</w:t>
        </w:r>
      </w:hyperlink>
      <w:r>
        <w:t xml:space="preserve"> that support </w:t>
      </w:r>
      <w:hyperlink r:id="rId1812">
        <w:r>
          <w:rPr>
            <w:rStyle w:val="Text1"/>
          </w:rPr>
          <w:t>server</w:t>
        </w:r>
      </w:hyperlink>
      <w:r>
        <w:t xml:space="preserve"> </w:t>
      </w:r>
      <w:hyperlink r:id="rId1813">
        <w:r>
          <w:rPr>
            <w:rStyle w:val="Text1"/>
          </w:rPr>
          <w:t>applications</w:t>
        </w:r>
      </w:hyperlink>
    </w:p>
    <w:p>
      <w:pPr>
        <w:pStyle w:val="Para 03"/>
      </w:pPr>
      <w:r>
        <w:t xml:space="preserve">that can be reliably utilised with </w:t>
      </w:r>
      <w:hyperlink r:id="rId1814">
        <w:r>
          <w:rPr>
            <w:rStyle w:val="Text9"/>
          </w:rPr>
          <w:t>1000</w:t>
        </w:r>
      </w:hyperlink>
      <w:hyperlink r:id="rId1814">
        <w:r>
          <w:rPr>
            <w:rStyle w:val="Text1"/>
          </w:rPr>
          <w:t xml:space="preserve"> a minimum amount of down-time</w:t>
        </w:r>
      </w:hyperlink>
      <w:r>
        <w:t>.They operate by</w:t>
      </w:r>
    </w:p>
    <w:p>
      <w:pPr>
        <w:pStyle w:val="Para 03"/>
      </w:pPr>
      <w:r>
        <w:t xml:space="preserve">using </w:t>
      </w:r>
      <w:hyperlink w:anchor="page_916">
        <w:r>
          <w:rPr>
            <w:rStyle w:val="Text9"/>
          </w:rPr>
          <w:t>1001</w:t>
        </w:r>
      </w:hyperlink>
      <w:r>
        <w:t xml:space="preserve"> </w:t>
      </w:r>
      <w:hyperlink r:id="rId1815">
        <w:r>
          <w:rPr>
            <w:rStyle w:val="Text9"/>
          </w:rPr>
          <w:t>1002</w:t>
        </w:r>
      </w:hyperlink>
      <w:r>
        <w:t xml:space="preserve"> </w:t>
      </w:r>
      <w:hyperlink r:id="rId1816">
        <w:r>
          <w:rPr>
            <w:rStyle w:val="Text1"/>
          </w:rPr>
          <w:t>high availability software</w:t>
        </w:r>
      </w:hyperlink>
      <w:r>
        <w:t xml:space="preserve"> to harness </w:t>
      </w:r>
      <w:hyperlink r:id="rId1815">
        <w:r>
          <w:rPr>
            <w:rStyle w:val="Text1"/>
          </w:rPr>
          <w:t>redundant</w:t>
        </w:r>
      </w:hyperlink>
      <w:r>
        <w:t xml:space="preserve"> computers in groups or </w:t>
      </w:r>
      <w:hyperlink r:id="rId1817">
        <w:r>
          <w:rPr>
            <w:rStyle w:val="Text1"/>
          </w:rPr>
          <w:t>clus-</w:t>
        </w:r>
      </w:hyperlink>
    </w:p>
    <w:p>
      <w:pPr>
        <w:pStyle w:val="Para 03"/>
      </w:pPr>
      <w:hyperlink r:id="rId1817">
        <w:r>
          <w:rPr>
            <w:rStyle w:val="Text1"/>
          </w:rPr>
          <w:t>ters</w:t>
        </w:r>
      </w:hyperlink>
      <w:hyperlink r:id="rId1817">
        <w:r>
          <w:rPr>
            <w:rStyle w:val="Text9"/>
          </w:rPr>
          <w:t>1003</w:t>
        </w:r>
      </w:hyperlink>
      <w:r>
        <w:t xml:space="preserve"> that provide continued service when system components fail. Without clustering,</w:t>
      </w:r>
    </w:p>
    <w:p>
      <w:pPr>
        <w:pStyle w:val="Para 03"/>
      </w:pPr>
      <w:r>
        <w:t>if a server running a particular application crashes, the application will be unavailable until</w:t>
      </w:r>
    </w:p>
    <w:p>
      <w:pPr>
        <w:pStyle w:val="Para 03"/>
      </w:pPr>
      <w:r>
        <w:t>the crashed server is fixed. HA clustering remedies this situation by detecting hardware/-</w:t>
      </w:r>
    </w:p>
    <w:p>
      <w:pPr>
        <w:pStyle w:val="Para 03"/>
      </w:pPr>
      <w:r>
        <w:t>software faults, and immediately restarting the application on another system without</w:t>
      </w:r>
    </w:p>
    <w:p>
      <w:pPr>
        <w:pStyle w:val="Para 03"/>
      </w:pPr>
      <w:r>
        <w:t xml:space="preserve">requiring administrative intervention, a process known as </w:t>
      </w:r>
      <w:hyperlink r:id="rId1818">
        <w:r>
          <w:rPr>
            <w:rStyle w:val="Text9"/>
          </w:rPr>
          <w:t>1004</w:t>
        </w:r>
      </w:hyperlink>
      <w:hyperlink r:id="rId1818">
        <w:r>
          <w:rPr>
            <w:rStyle w:val="Text1"/>
          </w:rPr>
          <w:t xml:space="preserve"> failover</w:t>
        </w:r>
      </w:hyperlink>
      <w:r>
        <w:t>. As part of this pro-</w:t>
      </w:r>
    </w:p>
    <w:p>
      <w:pPr>
        <w:pStyle w:val="Para 03"/>
      </w:pPr>
      <w:r>
        <w:t>cess, clustering software may configure the node before starting the application on it.</w:t>
      </w:r>
    </w:p>
    <w:p>
      <w:pPr>
        <w:pStyle w:val="Para 03"/>
      </w:pPr>
      <w:r>
        <w:t>For example, appropriate file systems may need to be imported and mounted, network</w:t>
      </w:r>
    </w:p>
    <w:p>
      <w:pPr>
        <w:pStyle w:val="Para 03"/>
      </w:pPr>
      <w:r>
        <w:t>hardware may have to be configured, and some supporting applications may need to be</w:t>
      </w:r>
    </w:p>
    <w:p>
      <w:pPr>
        <w:pStyle w:val="Para 03"/>
      </w:pPr>
      <w:r>
        <w:t>running as well.</w:t>
      </w:r>
    </w:p>
    <w:p>
      <w:pPr>
        <w:pStyle w:val="Para 03"/>
      </w:pPr>
      <w:r>
        <w:t xml:space="preserve">HA clusters are often used for critical </w:t>
      </w:r>
      <w:hyperlink r:id="rId1819">
        <w:r>
          <w:rPr>
            <w:rStyle w:val="Text9"/>
          </w:rPr>
          <w:t>1005</w:t>
        </w:r>
      </w:hyperlink>
      <w:hyperlink r:id="rId1819">
        <w:r>
          <w:rPr>
            <w:rStyle w:val="Text1"/>
          </w:rPr>
          <w:t xml:space="preserve"> databases</w:t>
        </w:r>
      </w:hyperlink>
      <w:r>
        <w:t>, file sharing on a network, business</w:t>
      </w:r>
    </w:p>
    <w:p>
      <w:pPr>
        <w:pStyle w:val="Para 03"/>
      </w:pPr>
      <w:r>
        <w:t xml:space="preserve">applications, and customer services such as </w:t>
      </w:r>
      <w:hyperlink r:id="rId1820">
        <w:r>
          <w:rPr>
            <w:rStyle w:val="Text9"/>
          </w:rPr>
          <w:t>1006</w:t>
        </w:r>
      </w:hyperlink>
      <w:r>
        <w:t xml:space="preserve"> </w:t>
      </w:r>
      <w:hyperlink r:id="rId1821">
        <w:r>
          <w:rPr>
            <w:rStyle w:val="Text9"/>
          </w:rPr>
          <w:t>1007</w:t>
        </w:r>
      </w:hyperlink>
      <w:hyperlink r:id="rId1821">
        <w:r>
          <w:rPr>
            <w:rStyle w:val="Text1"/>
          </w:rPr>
          <w:t xml:space="preserve"> electronic commerce</w:t>
        </w:r>
      </w:hyperlink>
      <w:r>
        <w:t xml:space="preserve"> </w:t>
      </w:r>
      <w:hyperlink r:id="rId1821">
        <w:r>
          <w:rPr>
            <w:rStyle w:val="Text1"/>
          </w:rPr>
          <w:t>websites</w:t>
        </w:r>
      </w:hyperlink>
      <w:r>
        <w:t>.</w:t>
      </w:r>
    </w:p>
    <w:p>
      <w:pPr>
        <w:pStyle w:val="Para 05"/>
      </w:pPr>
      <w:r>
        <w:rPr>
          <w:rStyle w:val="Text5"/>
        </w:rPr>
        <w:t>997</w:t>
      </w:r>
      <w:r>
        <w:rPr>
          <w:rStyle w:val="Text8"/>
        </w:rPr>
        <w:t xml:space="preserve"> </w:t>
      </w:r>
      <w:r>
        <w:t>https://en.wikipedia.org/wiki/Computer</w:t>
      </w:r>
    </w:p>
    <w:p>
      <w:pPr>
        <w:pStyle w:val="Para 05"/>
      </w:pPr>
      <w:r>
        <w:rPr>
          <w:rStyle w:val="Text5"/>
        </w:rPr>
        <w:t>998</w:t>
      </w:r>
      <w:r>
        <w:rPr>
          <w:rStyle w:val="Text8"/>
        </w:rPr>
        <w:t xml:space="preserve"> </w:t>
      </w:r>
      <w:r>
        <w:t>https://en.wikipedia.org/wiki/Server_(computing)</w:t>
      </w:r>
    </w:p>
    <w:p>
      <w:pPr>
        <w:pStyle w:val="Para 05"/>
      </w:pPr>
      <w:r>
        <w:rPr>
          <w:rStyle w:val="Text5"/>
        </w:rPr>
        <w:t>999</w:t>
      </w:r>
      <w:r>
        <w:rPr>
          <w:rStyle w:val="Text8"/>
        </w:rPr>
        <w:t xml:space="preserve"> </w:t>
      </w:r>
      <w:r>
        <w:t>https://en.wikipedia.org/wiki/Application_software</w:t>
      </w:r>
    </w:p>
    <w:p>
      <w:pPr>
        <w:pStyle w:val="Para 05"/>
      </w:pPr>
      <w:r>
        <w:rPr>
          <w:rStyle w:val="Text5"/>
        </w:rPr>
        <w:t>1000</w:t>
      </w:r>
      <w:r>
        <w:rPr>
          <w:rStyle w:val="Text8"/>
        </w:rPr>
        <w:t xml:space="preserve"> </w:t>
      </w:r>
      <w:r>
        <w:t>https://en.wikipedia.org/wiki/High_availability</w:t>
      </w:r>
    </w:p>
    <w:p>
      <w:pPr>
        <w:pStyle w:val="Para 05"/>
      </w:pPr>
      <w:r>
        <w:rPr>
          <w:rStyle w:val="Text5"/>
        </w:rPr>
        <w:t>1001</w:t>
      </w:r>
      <w:r>
        <w:rPr>
          <w:rStyle w:val="Text8"/>
        </w:rPr>
        <w:t xml:space="preserve"> </w:t>
      </w:r>
      <w:r>
        <w:t>https://en.wikipedia.org/wiki/High_availability_software</w:t>
      </w:r>
    </w:p>
    <w:p>
      <w:pPr>
        <w:pStyle w:val="Para 05"/>
      </w:pPr>
      <w:r>
        <w:rPr>
          <w:rStyle w:val="Text5"/>
        </w:rPr>
        <w:t>1002</w:t>
      </w:r>
      <w:r>
        <w:rPr>
          <w:rStyle w:val="Text8"/>
        </w:rPr>
        <w:t xml:space="preserve"> </w:t>
      </w:r>
      <w:r>
        <w:t>https://en.wikipedia.org/wiki/Redundancy_(engineering)</w:t>
      </w:r>
    </w:p>
    <w:p>
      <w:pPr>
        <w:pStyle w:val="Para 05"/>
      </w:pPr>
      <w:r>
        <w:rPr>
          <w:rStyle w:val="Text5"/>
        </w:rPr>
        <w:t>1003</w:t>
      </w:r>
      <w:r>
        <w:rPr>
          <w:rStyle w:val="Text8"/>
        </w:rPr>
        <w:t xml:space="preserve"> </w:t>
      </w:r>
      <w:r>
        <w:t>https://en.wikipedia.org/wiki/Computer_cluster</w:t>
      </w:r>
    </w:p>
    <w:p>
      <w:pPr>
        <w:pStyle w:val="Para 05"/>
      </w:pPr>
      <w:r>
        <w:rPr>
          <w:rStyle w:val="Text5"/>
        </w:rPr>
        <w:t>1004</w:t>
      </w:r>
      <w:r>
        <w:rPr>
          <w:rStyle w:val="Text8"/>
        </w:rPr>
        <w:t xml:space="preserve"> </w:t>
      </w:r>
      <w:r>
        <w:t>https://en.wikipedia.org/wiki/Failover</w:t>
      </w:r>
    </w:p>
    <w:p>
      <w:pPr>
        <w:pStyle w:val="Para 05"/>
      </w:pPr>
      <w:r>
        <w:rPr>
          <w:rStyle w:val="Text5"/>
        </w:rPr>
        <w:t>1005</w:t>
      </w:r>
      <w:r>
        <w:rPr>
          <w:rStyle w:val="Text8"/>
        </w:rPr>
        <w:t xml:space="preserve"> </w:t>
      </w:r>
      <w:r>
        <w:t>https://en.wikipedia.org/wiki/Database_management_system</w:t>
      </w:r>
    </w:p>
    <w:p>
      <w:pPr>
        <w:pStyle w:val="Para 05"/>
      </w:pPr>
      <w:r>
        <w:rPr>
          <w:rStyle w:val="Text5"/>
        </w:rPr>
        <w:t>1006</w:t>
      </w:r>
      <w:r>
        <w:rPr>
          <w:rStyle w:val="Text8"/>
        </w:rPr>
        <w:t xml:space="preserve"> </w:t>
      </w:r>
      <w:r>
        <w:t>https://en.wikipedia.org/wiki/Electronic_commerce</w:t>
      </w:r>
    </w:p>
    <w:p>
      <w:pPr>
        <w:pStyle w:val="Para 05"/>
      </w:pPr>
      <w:r>
        <w:rPr>
          <w:rStyle w:val="Text5"/>
        </w:rPr>
        <w:t>1007</w:t>
      </w:r>
      <w:r>
        <w:rPr>
          <w:rStyle w:val="Text8"/>
        </w:rPr>
        <w:t xml:space="preserve"> </w:t>
      </w:r>
      <w:r>
        <w:t>https://en.wikipedia.org/wiki/Websites</w:t>
      </w:r>
    </w:p>
    <w:p>
      <w:pPr>
        <w:pStyle w:val="Para 17"/>
      </w:pPr>
      <w:r>
        <w:t/>
      </w:r>
    </w:p>
    <w:p>
      <w:pPr>
        <w:pStyle w:val="Para 01"/>
      </w:pPr>
      <w:r>
        <w:t>High Availability cluster heartbeat</w:t>
      </w:r>
    </w:p>
    <w:p>
      <w:pPr>
        <w:pStyle w:val="Para 17"/>
      </w:pPr>
      <w:r>
        <w:t/>
      </w:r>
    </w:p>
    <w:p>
      <w:pPr>
        <w:pStyle w:val="Para 03"/>
      </w:pPr>
      <w:r>
        <w:t>HA cluster implementations attempt to build redundancy into a cluster to eliminate sin-</w:t>
      </w:r>
    </w:p>
    <w:p>
      <w:pPr>
        <w:pStyle w:val="Para 03"/>
      </w:pPr>
      <w:r>
        <w:t>gle points of failure, including multiple network connections and data storage which is</w:t>
      </w:r>
    </w:p>
    <w:p>
      <w:pPr>
        <w:pStyle w:val="Para 03"/>
      </w:pPr>
      <w:r>
        <w:t xml:space="preserve">redundantly connected via </w:t>
      </w:r>
      <w:hyperlink r:id="rId1350">
        <w:r>
          <w:rPr>
            <w:rStyle w:val="Text9"/>
          </w:rPr>
          <w:t>1008</w:t>
        </w:r>
      </w:hyperlink>
      <w:hyperlink r:id="rId1350">
        <w:r>
          <w:rPr>
            <w:rStyle w:val="Text1"/>
          </w:rPr>
          <w:t xml:space="preserve"> storage area networks</w:t>
        </w:r>
      </w:hyperlink>
      <w:r>
        <w:t>.</w:t>
      </w:r>
    </w:p>
    <w:p>
      <w:pPr>
        <w:pStyle w:val="Para 03"/>
      </w:pPr>
      <w:r>
        <w:t xml:space="preserve">HA clusters usually use a </w:t>
      </w:r>
      <w:hyperlink r:id="rId1822">
        <w:r>
          <w:rPr>
            <w:rStyle w:val="Text9"/>
          </w:rPr>
          <w:t>1009</w:t>
        </w:r>
      </w:hyperlink>
      <w:hyperlink r:id="rId1822">
        <w:r>
          <w:rPr>
            <w:rStyle w:val="Text1"/>
          </w:rPr>
          <w:t xml:space="preserve"> heartbeat</w:t>
        </w:r>
      </w:hyperlink>
      <w:r>
        <w:t xml:space="preserve"> private network connection which is used to mon-</w:t>
      </w:r>
    </w:p>
    <w:p>
      <w:pPr>
        <w:pStyle w:val="Para 03"/>
      </w:pPr>
      <w:r>
        <w:t>itor the health and status of each node in the cluster. One subtle but serious condition</w:t>
      </w:r>
    </w:p>
    <w:p>
      <w:pPr>
        <w:pStyle w:val="Para 03"/>
      </w:pPr>
      <w:r>
        <w:t xml:space="preserve">all clustering software must be able to handle is </w:t>
      </w:r>
      <w:hyperlink r:id="rId1823">
        <w:r>
          <w:rPr>
            <w:rStyle w:val="Text9"/>
          </w:rPr>
          <w:t>1010</w:t>
        </w:r>
      </w:hyperlink>
      <w:hyperlink r:id="rId1823">
        <w:r>
          <w:rPr>
            <w:rStyle w:val="Text1"/>
          </w:rPr>
          <w:t xml:space="preserve"> split-brain</w:t>
        </w:r>
      </w:hyperlink>
      <w:r>
        <w:t>, which occurs when all of</w:t>
      </w:r>
    </w:p>
    <w:p>
      <w:pPr>
        <w:pStyle w:val="Para 03"/>
      </w:pPr>
      <w:r>
        <w:t>the private links go down simultaneously, but the cluster nodes are still running. If that</w:t>
      </w:r>
    </w:p>
    <w:p>
      <w:pPr>
        <w:pStyle w:val="Para 03"/>
      </w:pPr>
      <w:r>
        <w:t>happens, each node in the cluster may mistakenly decide that every other node has gone</w:t>
      </w:r>
    </w:p>
    <w:p>
      <w:pPr>
        <w:pStyle w:val="Para 03"/>
      </w:pPr>
      <w:r>
        <w:t>down and attempt to start services that other nodes are still running. Having duplicate</w:t>
      </w:r>
    </w:p>
    <w:p>
      <w:pPr>
        <w:pStyle w:val="Para 03"/>
      </w:pPr>
      <w:r>
        <w:t>instances of services may cause data corruption on the shared storage.</w:t>
      </w:r>
    </w:p>
    <w:p>
      <w:pPr>
        <w:pStyle w:val="Para 05"/>
      </w:pPr>
      <w:r>
        <w:rPr>
          <w:rStyle w:val="Text5"/>
        </w:rPr>
        <w:t>1008</w:t>
      </w:r>
      <w:r>
        <w:rPr>
          <w:rStyle w:val="Text8"/>
        </w:rPr>
        <w:t xml:space="preserve"> </w:t>
      </w:r>
      <w:r>
        <w:t>https://en.wikipedia.org/wiki/Storage_area_network</w:t>
      </w:r>
    </w:p>
    <w:p>
      <w:pPr>
        <w:pStyle w:val="Para 05"/>
      </w:pPr>
      <w:r>
        <w:rPr>
          <w:rStyle w:val="Text5"/>
        </w:rPr>
        <w:t>1009</w:t>
      </w:r>
      <w:r>
        <w:rPr>
          <w:rStyle w:val="Text8"/>
        </w:rPr>
        <w:t xml:space="preserve"> </w:t>
      </w:r>
      <w:r>
        <w:t>https://en.wikipedia.org/wiki/Heartbeat_(computing)</w:t>
      </w:r>
    </w:p>
    <w:p>
      <w:pPr>
        <w:pStyle w:val="Para 05"/>
      </w:pPr>
      <w:r>
        <w:rPr>
          <w:rStyle w:val="Text5"/>
        </w:rPr>
        <w:t>1010</w:t>
      </w:r>
      <w:r>
        <w:rPr>
          <w:rStyle w:val="Text8"/>
        </w:rPr>
        <w:t xml:space="preserve"> </w:t>
      </w:r>
      <w:r>
        <w:t>https://en.wikipedia.org/wiki/Split-brain_(computing)</w:t>
      </w:r>
    </w:p>
    <w:p>
      <w:bookmarkStart w:id="1447" w:name="page_9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5" name="index-917_1.png" descr="index-917_1.png"/>
            <wp:cNvGraphicFramePr>
              <a:graphicFrameLocks noChangeAspect="1"/>
            </wp:cNvGraphicFramePr>
            <a:graphic>
              <a:graphicData uri="http://schemas.openxmlformats.org/drawingml/2006/picture">
                <pic:pic>
                  <pic:nvPicPr>
                    <pic:cNvPr id="0" name="index-917_1.png" descr="index-917_1.png"/>
                    <pic:cNvPicPr/>
                  </pic:nvPicPr>
                  <pic:blipFill>
                    <a:blip r:embed="rId959"/>
                    <a:stretch>
                      <a:fillRect/>
                    </a:stretch>
                  </pic:blipFill>
                  <pic:spPr>
                    <a:xfrm>
                      <a:off x="0" y="0"/>
                      <a:ext cx="914400" cy="266700"/>
                    </a:xfrm>
                    <a:prstGeom prst="rect">
                      <a:avLst/>
                    </a:prstGeom>
                  </pic:spPr>
                </pic:pic>
              </a:graphicData>
            </a:graphic>
          </wp:anchor>
        </w:drawing>
      </w:r>
      <w:bookmarkEnd w:id="1447"/>
    </w:p>
    <w:p>
      <w:pPr>
        <w:pStyle w:val="Para 01"/>
      </w:pPr>
      <w:r>
        <w:t>High Availability cluster quorum</w:t>
      </w:r>
    </w:p>
    <w:p>
      <w:pPr>
        <w:pStyle w:val="Para 17"/>
      </w:pPr>
      <w:r>
        <w:t/>
      </w:r>
    </w:p>
    <w:p>
      <w:pPr>
        <w:pStyle w:val="Para 03"/>
      </w:pPr>
      <w:r>
        <w:t xml:space="preserve">HA clusters often also use </w:t>
      </w:r>
      <w:hyperlink w:anchor="page_917">
        <w:r>
          <w:rPr>
            <w:rStyle w:val="Text9"/>
          </w:rPr>
          <w:t>1011</w:t>
        </w:r>
      </w:hyperlink>
      <w:r>
        <w:t xml:space="preserve"> </w:t>
      </w:r>
      <w:hyperlink r:id="rId1824">
        <w:r>
          <w:rPr>
            <w:rStyle w:val="Text1"/>
          </w:rPr>
          <w:t>quorum</w:t>
        </w:r>
      </w:hyperlink>
      <w:r>
        <w:t xml:space="preserve"> witness storage (local or cloud) to avoid this sce-</w:t>
      </w:r>
    </w:p>
    <w:p>
      <w:pPr>
        <w:pStyle w:val="Para 03"/>
      </w:pPr>
      <w:r>
        <w:t>nario. A witness device cannot be shared between two halves of a split cluster, so in the</w:t>
      </w:r>
    </w:p>
    <w:p>
      <w:pPr>
        <w:pStyle w:val="Para 03"/>
      </w:pPr>
      <w:r>
        <w:t>event that all cluster members cannot communicate with each other (e.g., failed heart-</w:t>
      </w:r>
    </w:p>
    <w:p>
      <w:pPr>
        <w:pStyle w:val="Para 03"/>
      </w:pPr>
      <w:r>
        <w:t>beat), if a member cannot access the witness, it cannot become active.</w:t>
      </w:r>
    </w:p>
    <w:p>
      <w:pPr>
        <w:pStyle w:val="Para 05"/>
      </w:pPr>
      <w:r>
        <w:rPr>
          <w:rStyle w:val="Text5"/>
        </w:rPr>
        <w:t>1011</w:t>
      </w:r>
      <w:r>
        <w:rPr>
          <w:rStyle w:val="Text8"/>
        </w:rPr>
        <w:t xml:space="preserve"> </w:t>
      </w:r>
      <w:r>
        <w:t>https://en.wikipedia.org/wiki/Quorum_(distributed_computing)</w:t>
      </w:r>
    </w:p>
    <w:p>
      <w:bookmarkStart w:id="1448" w:name="calibre_pb_265"/>
      <w:pPr>
        <w:pStyle w:val="0 Block"/>
      </w:pPr>
      <w:bookmarkEnd w:id="1448"/>
    </w:p>
    <w:p>
      <w:bookmarkStart w:id="1449" w:name="Top_of_index_split_266_html"/>
      <w:bookmarkStart w:id="1450" w:name="page_91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6" name="index-918_1.png" descr="index-918_1.png"/>
            <wp:cNvGraphicFramePr>
              <a:graphicFrameLocks noChangeAspect="1"/>
            </wp:cNvGraphicFramePr>
            <a:graphic>
              <a:graphicData uri="http://schemas.openxmlformats.org/drawingml/2006/picture">
                <pic:pic>
                  <pic:nvPicPr>
                    <pic:cNvPr id="0" name="index-918_1.png" descr="index-918_1.png"/>
                    <pic:cNvPicPr/>
                  </pic:nvPicPr>
                  <pic:blipFill>
                    <a:blip r:embed="rId960"/>
                    <a:stretch>
                      <a:fillRect/>
                    </a:stretch>
                  </pic:blipFill>
                  <pic:spPr>
                    <a:xfrm>
                      <a:off x="0" y="0"/>
                      <a:ext cx="914400" cy="266700"/>
                    </a:xfrm>
                    <a:prstGeom prst="rect">
                      <a:avLst/>
                    </a:prstGeom>
                  </pic:spPr>
                </pic:pic>
              </a:graphicData>
            </a:graphic>
          </wp:anchor>
        </w:drawing>
      </w:r>
      <w:bookmarkEnd w:id="1449"/>
      <w:bookmarkEnd w:id="1450"/>
    </w:p>
    <w:p>
      <w:pPr>
        <w:pStyle w:val="Para 01"/>
      </w:pPr>
      <w:r>
        <w:t>Example of HA cluster quorum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4279900"/>
            <wp:effectExtent l="0" r="0" t="0" b="0"/>
            <wp:wrapTopAndBottom/>
            <wp:docPr id="957" name="index-918_2.png" descr="index-918_2.png"/>
            <wp:cNvGraphicFramePr>
              <a:graphicFrameLocks noChangeAspect="1"/>
            </wp:cNvGraphicFramePr>
            <a:graphic>
              <a:graphicData uri="http://schemas.openxmlformats.org/drawingml/2006/picture">
                <pic:pic>
                  <pic:nvPicPr>
                    <pic:cNvPr id="0" name="index-918_2.png" descr="index-918_2.png"/>
                    <pic:cNvPicPr/>
                  </pic:nvPicPr>
                  <pic:blipFill>
                    <a:blip r:embed="rId961"/>
                    <a:stretch>
                      <a:fillRect/>
                    </a:stretch>
                  </pic:blipFill>
                  <pic:spPr>
                    <a:xfrm>
                      <a:off x="0" y="0"/>
                      <a:ext cx="3670300" cy="4279900"/>
                    </a:xfrm>
                    <a:prstGeom prst="rect">
                      <a:avLst/>
                    </a:prstGeom>
                  </pic:spPr>
                </pic:pic>
              </a:graphicData>
            </a:graphic>
          </wp:anchor>
        </w:drawing>
      </w:r>
    </w:p>
    <w:p>
      <w:bookmarkStart w:id="1451" w:name="calibre_pb_266"/>
      <w:pPr>
        <w:pStyle w:val="0 Block"/>
      </w:pPr>
      <w:bookmarkEnd w:id="1451"/>
    </w:p>
    <w:p>
      <w:bookmarkStart w:id="1452" w:name="page_919"/>
      <w:bookmarkStart w:id="1453" w:name="Top_of_index_split_267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8" name="index-919_1.png" descr="index-919_1.png"/>
            <wp:cNvGraphicFramePr>
              <a:graphicFrameLocks noChangeAspect="1"/>
            </wp:cNvGraphicFramePr>
            <a:graphic>
              <a:graphicData uri="http://schemas.openxmlformats.org/drawingml/2006/picture">
                <pic:pic>
                  <pic:nvPicPr>
                    <pic:cNvPr id="0" name="index-919_1.png" descr="index-919_1.png"/>
                    <pic:cNvPicPr/>
                  </pic:nvPicPr>
                  <pic:blipFill>
                    <a:blip r:embed="rId962"/>
                    <a:stretch>
                      <a:fillRect/>
                    </a:stretch>
                  </pic:blipFill>
                  <pic:spPr>
                    <a:xfrm>
                      <a:off x="0" y="0"/>
                      <a:ext cx="914400" cy="266700"/>
                    </a:xfrm>
                    <a:prstGeom prst="rect">
                      <a:avLst/>
                    </a:prstGeom>
                  </pic:spPr>
                </pic:pic>
              </a:graphicData>
            </a:graphic>
          </wp:anchor>
        </w:drawing>
      </w:r>
      <w:bookmarkEnd w:id="1452"/>
      <w:bookmarkEnd w:id="1453"/>
    </w:p>
    <w:p>
      <w:pPr>
        <w:pStyle w:val="Para 01"/>
      </w:pPr>
      <w:r>
        <w:t>Fencing</w:t>
      </w:r>
    </w:p>
    <w:p>
      <w:pPr>
        <w:pStyle w:val="Para 17"/>
      </w:pPr>
      <w:r>
        <w:t/>
      </w:r>
    </w:p>
    <w:p>
      <w:pPr>
        <w:pStyle w:val="Normal"/>
      </w:pPr>
      <w:r>
        <w:t>Fencing protects your data from being corrupted, and prevents your application from becom-ing unavailable, due to unintended concurrent access by rogue nodes. If a node is unrespon-sive, it doesn’t mean it has stopped accessing your data. The only way to be absolutely sure your data is safe is to use fencing, which ensures that the unresponsive node is truly offline before the data can be accessed by another node.</w:t>
      </w:r>
    </w:p>
    <w:p>
      <w:pPr>
        <w:pStyle w:val="Normal"/>
      </w:pPr>
      <w:r>
        <w:t>In cases where a clustered service cannot be stopped, a cluster can use fencing to force the whole node offline, making it safe to start the service elsewhere. The most popular example of fencing is cutting a host’s power. Key benefits:</w:t>
      </w:r>
    </w:p>
    <w:p>
      <w:pPr>
        <w:pStyle w:val="Para 04"/>
      </w:pPr>
      <w:r>
        <w:t>• An active counter-measure taken by a functioning host to isolate a misbehaving (usually</w:t>
      </w:r>
    </w:p>
    <w:p>
      <w:pPr>
        <w:pStyle w:val="Para 02"/>
      </w:pPr>
      <w:r>
        <w:t>dead) host from shared data.</w:t>
      </w:r>
    </w:p>
    <w:p>
      <w:pPr>
        <w:pStyle w:val="Para 04"/>
      </w:pPr>
      <w:r>
        <w:t xml:space="preserve">• Fencing is the </w:t>
      </w:r>
      <w:r>
        <w:rPr>
          <w:rStyle w:val="Text0"/>
        </w:rPr>
        <w:t>most critical</w:t>
      </w:r>
      <w:r>
        <w:t xml:space="preserve"> part of a cluster using Storage Area Network (SAN) or</w:t>
      </w:r>
    </w:p>
    <w:p>
      <w:pPr>
        <w:pStyle w:val="Para 07"/>
      </w:pPr>
      <w:r>
        <w:rPr>
          <w:rStyle w:val="Text3"/>
        </w:rPr>
        <w:t>other shared storage technology (</w:t>
      </w:r>
      <w:r>
        <w:t>Ubuntu HA Clusters can only be supported if the fencing mechanism is configured</w:t>
      </w:r>
      <w:r>
        <w:rPr>
          <w:rStyle w:val="Text3"/>
        </w:rPr>
        <w:t xml:space="preserve"> ).</w:t>
      </w:r>
    </w:p>
    <w:p>
      <w:pPr>
        <w:pStyle w:val="Para 04"/>
      </w:pPr>
      <w:r>
        <w:t xml:space="preserve">• Required by OCFS2, </w:t>
      </w:r>
      <w:hyperlink w:anchor="page_685">
        <w:r>
          <w:rPr>
            <w:rStyle w:val="Text2"/>
          </w:rPr>
          <w:t>GFS2</w:t>
        </w:r>
      </w:hyperlink>
      <w:r>
        <w:t>, clvmd (before Ubuntu 20.04), lvmlockd (from 20.04 and be-</w:t>
      </w:r>
    </w:p>
    <w:p>
      <w:pPr>
        <w:pStyle w:val="Para 02"/>
      </w:pPr>
      <w:r>
        <w:t>yond).</w:t>
      </w:r>
    </w:p>
    <w:p>
      <w:pPr>
        <w:pStyle w:val="Para 17"/>
      </w:pPr>
      <w:r>
        <w:t/>
      </w:r>
    </w:p>
    <w:p>
      <w:pPr>
        <w:pStyle w:val="Para 01"/>
      </w:pPr>
      <w:r>
        <w:t>Linux High Availability projects</w:t>
      </w:r>
    </w:p>
    <w:p>
      <w:pPr>
        <w:pStyle w:val="Para 17"/>
      </w:pPr>
      <w:r>
        <w:t/>
      </w:r>
    </w:p>
    <w:p>
      <w:pPr>
        <w:pStyle w:val="Normal"/>
      </w:pPr>
      <w:r>
        <w:t>There are many upstream high availability related projects that are included in Ubuntu Linux. This section will describe the most important ones. The following packages are present in the latest Ubuntu LTS release:</w:t>
      </w:r>
    </w:p>
    <w:p>
      <w:pPr>
        <w:pStyle w:val="Para 17"/>
      </w:pPr>
      <w:r>
        <w:t/>
      </w:r>
    </w:p>
    <w:p>
      <w:pPr>
        <w:pStyle w:val="Para 01"/>
      </w:pPr>
      <w:r>
        <w:t>Main Ubuntu HA packages</w:t>
      </w:r>
    </w:p>
    <w:p>
      <w:pPr>
        <w:pStyle w:val="Para 17"/>
      </w:pPr>
      <w:r>
        <w:t/>
      </w:r>
    </w:p>
    <w:p>
      <w:pPr>
        <w:pStyle w:val="Normal"/>
      </w:pPr>
      <w:r>
        <w:t xml:space="preserve">Packages in this list are supported just like any other package available in the </w:t>
      </w:r>
      <w:r>
        <w:rPr>
          <w:rStyle w:val="Text0"/>
        </w:rPr>
        <w:t>main repository</w:t>
      </w:r>
      <w:r>
        <w:t>:</w:t>
      </w:r>
    </w:p>
    <w:p>
      <w:bookmarkStart w:id="1454" w:name="calibre_pb_267"/>
      <w:pPr>
        <w:pStyle w:val="0 Block"/>
      </w:pPr>
      <w:bookmarkEnd w:id="1454"/>
    </w:p>
    <w:p>
      <w:bookmarkStart w:id="1455" w:name="page_920"/>
      <w:bookmarkStart w:id="1456" w:name="Top_of_index_split_26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59" name="index-920_1.png" descr="index-920_1.png"/>
            <wp:cNvGraphicFramePr>
              <a:graphicFrameLocks noChangeAspect="1"/>
            </wp:cNvGraphicFramePr>
            <a:graphic>
              <a:graphicData uri="http://schemas.openxmlformats.org/drawingml/2006/picture">
                <pic:pic>
                  <pic:nvPicPr>
                    <pic:cNvPr id="0" name="index-920_1.png" descr="index-920_1.png"/>
                    <pic:cNvPicPr/>
                  </pic:nvPicPr>
                  <pic:blipFill>
                    <a:blip r:embed="rId963"/>
                    <a:stretch>
                      <a:fillRect/>
                    </a:stretch>
                  </pic:blipFill>
                  <pic:spPr>
                    <a:xfrm>
                      <a:off x="0" y="0"/>
                      <a:ext cx="914400" cy="266700"/>
                    </a:xfrm>
                    <a:prstGeom prst="rect">
                      <a:avLst/>
                    </a:prstGeom>
                  </pic:spPr>
                </pic:pic>
              </a:graphicData>
            </a:graphic>
          </wp:anchor>
        </w:drawing>
      </w:r>
      <w:bookmarkEnd w:id="1455"/>
      <w:bookmarkEnd w:id="1456"/>
    </w:p>
    <w:p>
      <w:pPr>
        <w:pStyle w:val="Para 25"/>
      </w:pPr>
      <w:r>
        <w:t>Package URL</w:t>
      </w:r>
    </w:p>
    <w:p>
      <w:pPr>
        <w:pStyle w:val="Para 42"/>
      </w:pPr>
      <w:r>
        <w:rPr>
          <w:rStyle w:val="Text7"/>
        </w:rPr>
        <w:t xml:space="preserve">libqb </w:t>
      </w:r>
      <w:hyperlink r:id="rId1825">
        <w:r>
          <w:rPr>
            <w:rStyle w:val="Text10"/>
          </w:rPr>
          <w:t>1012</w:t>
        </w:r>
      </w:hyperlink>
      <w:r>
        <w:rPr>
          <w:rStyle w:val="Text7"/>
        </w:rPr>
        <w:t xml:space="preserve"> </w:t>
      </w:r>
      <w:hyperlink r:id="rId1826">
        <w:r>
          <w:rPr>
            <w:rStyle w:val="Text10"/>
          </w:rPr>
          <w:t>1013</w:t>
        </w:r>
      </w:hyperlink>
      <w:hyperlink r:id="rId1826">
        <w:r>
          <w:t xml:space="preserve"> libqb</w:t>
        </w:r>
      </w:hyperlink>
      <w:r>
        <w:rPr>
          <w:rStyle w:val="Text7"/>
        </w:rPr>
        <w:t xml:space="preserve"> | </w:t>
      </w:r>
      <w:hyperlink r:id="rId1826">
        <w:r>
          <w:t>Upstream</w:t>
        </w:r>
      </w:hyperlink>
    </w:p>
    <w:p>
      <w:pPr>
        <w:pStyle w:val="Para 42"/>
      </w:pPr>
      <w:r>
        <w:rPr>
          <w:rStyle w:val="Text7"/>
        </w:rPr>
        <w:t xml:space="preserve">kronosnet </w:t>
      </w:r>
      <w:hyperlink w:anchor="page_920">
        <w:r>
          <w:rPr>
            <w:rStyle w:val="Text10"/>
          </w:rPr>
          <w:t>1014</w:t>
        </w:r>
      </w:hyperlink>
      <w:hyperlink w:anchor="page_920">
        <w:r>
          <w:t xml:space="preserve"> </w:t>
        </w:r>
      </w:hyperlink>
      <w:hyperlink w:anchor="page_920">
        <w:r>
          <w:rPr>
            <w:rStyle w:val="Text10"/>
          </w:rPr>
          <w:t>1015</w:t>
        </w:r>
      </w:hyperlink>
      <w:r>
        <w:rPr>
          <w:rStyle w:val="Text7"/>
        </w:rPr>
        <w:t xml:space="preserve"> </w:t>
      </w:r>
      <w:hyperlink r:id="rId1827">
        <w:r>
          <w:t>kronosnet</w:t>
        </w:r>
      </w:hyperlink>
      <w:r>
        <w:rPr>
          <w:rStyle w:val="Text7"/>
        </w:rPr>
        <w:t xml:space="preserve"> | </w:t>
      </w:r>
      <w:hyperlink r:id="rId1828">
        <w:r>
          <w:t>Upstream</w:t>
        </w:r>
      </w:hyperlink>
    </w:p>
    <w:p>
      <w:pPr>
        <w:pStyle w:val="Para 42"/>
      </w:pPr>
      <w:r>
        <w:rPr>
          <w:rStyle w:val="Text7"/>
        </w:rPr>
        <w:t xml:space="preserve">corosync </w:t>
      </w:r>
      <w:hyperlink r:id="rId1829">
        <w:r>
          <w:rPr>
            <w:rStyle w:val="Text10"/>
          </w:rPr>
          <w:t>1016</w:t>
        </w:r>
      </w:hyperlink>
      <w:r>
        <w:rPr>
          <w:rStyle w:val="Text7"/>
        </w:rPr>
        <w:t xml:space="preserve"> </w:t>
      </w:r>
      <w:hyperlink r:id="rId1830">
        <w:r>
          <w:rPr>
            <w:rStyle w:val="Text10"/>
          </w:rPr>
          <w:t>1017</w:t>
        </w:r>
      </w:hyperlink>
      <w:hyperlink r:id="rId1830">
        <w:r>
          <w:t xml:space="preserve"> corosync</w:t>
        </w:r>
      </w:hyperlink>
      <w:r>
        <w:rPr>
          <w:rStyle w:val="Text7"/>
        </w:rPr>
        <w:t xml:space="preserve"> | </w:t>
      </w:r>
      <w:hyperlink r:id="rId1830">
        <w:r>
          <w:t>Upstream</w:t>
        </w:r>
      </w:hyperlink>
    </w:p>
    <w:p>
      <w:pPr>
        <w:pStyle w:val="Para 42"/>
      </w:pPr>
      <w:r>
        <w:rPr>
          <w:rStyle w:val="Text7"/>
        </w:rPr>
        <w:t xml:space="preserve">pacemaker </w:t>
      </w:r>
      <w:hyperlink r:id="rId1831">
        <w:r>
          <w:rPr>
            <w:rStyle w:val="Text10"/>
          </w:rPr>
          <w:t>1018</w:t>
        </w:r>
      </w:hyperlink>
      <w:r>
        <w:rPr>
          <w:rStyle w:val="Text7"/>
        </w:rPr>
        <w:t xml:space="preserve"> </w:t>
      </w:r>
      <w:hyperlink w:anchor="page_920">
        <w:r>
          <w:rPr>
            <w:rStyle w:val="Text10"/>
          </w:rPr>
          <w:t>1019</w:t>
        </w:r>
      </w:hyperlink>
      <w:hyperlink w:anchor="page_920">
        <w:r>
          <w:t xml:space="preserve"> pacemaker</w:t>
        </w:r>
      </w:hyperlink>
      <w:r>
        <w:rPr>
          <w:rStyle w:val="Text7"/>
        </w:rPr>
        <w:t xml:space="preserve"> | </w:t>
      </w:r>
      <w:hyperlink r:id="rId1832">
        <w:r>
          <w:t>Upstream</w:t>
        </w:r>
      </w:hyperlink>
    </w:p>
    <w:p>
      <w:pPr>
        <w:pStyle w:val="Para 42"/>
      </w:pPr>
      <w:r>
        <w:rPr>
          <w:rStyle w:val="Text7"/>
        </w:rPr>
        <w:t xml:space="preserve">resource-agents </w:t>
      </w:r>
      <w:hyperlink r:id="rId1833">
        <w:r>
          <w:rPr>
            <w:rStyle w:val="Text10"/>
          </w:rPr>
          <w:t>1020</w:t>
        </w:r>
      </w:hyperlink>
      <w:r>
        <w:rPr>
          <w:rStyle w:val="Text7"/>
        </w:rPr>
        <w:t xml:space="preserve"> </w:t>
      </w:r>
      <w:hyperlink w:anchor="page_920">
        <w:r>
          <w:rPr>
            <w:rStyle w:val="Text10"/>
          </w:rPr>
          <w:t>1021</w:t>
        </w:r>
      </w:hyperlink>
      <w:hyperlink w:anchor="page_920">
        <w:r>
          <w:t xml:space="preserve"> resource-agents</w:t>
        </w:r>
      </w:hyperlink>
      <w:r>
        <w:rPr>
          <w:rStyle w:val="Text7"/>
        </w:rPr>
        <w:t xml:space="preserve"> | </w:t>
      </w:r>
      <w:hyperlink r:id="rId1834">
        <w:r>
          <w:t>Upstream</w:t>
        </w:r>
      </w:hyperlink>
    </w:p>
    <w:p>
      <w:pPr>
        <w:pStyle w:val="Para 42"/>
      </w:pPr>
      <w:r>
        <w:rPr>
          <w:rStyle w:val="Text7"/>
        </w:rPr>
        <w:t xml:space="preserve">fence-agents </w:t>
      </w:r>
      <w:hyperlink w:anchor="page_920">
        <w:r>
          <w:rPr>
            <w:rStyle w:val="Text10"/>
          </w:rPr>
          <w:t>1022</w:t>
        </w:r>
      </w:hyperlink>
      <w:hyperlink w:anchor="page_920">
        <w:r>
          <w:t xml:space="preserve"> </w:t>
        </w:r>
      </w:hyperlink>
      <w:hyperlink w:anchor="page_920">
        <w:r>
          <w:rPr>
            <w:rStyle w:val="Text10"/>
          </w:rPr>
          <w:t>1023</w:t>
        </w:r>
      </w:hyperlink>
      <w:r>
        <w:rPr>
          <w:rStyle w:val="Text7"/>
        </w:rPr>
        <w:t xml:space="preserve"> </w:t>
      </w:r>
      <w:hyperlink r:id="rId1835">
        <w:r>
          <w:t>fence-agents</w:t>
        </w:r>
      </w:hyperlink>
      <w:r>
        <w:rPr>
          <w:rStyle w:val="Text7"/>
        </w:rPr>
        <w:t xml:space="preserve"> | </w:t>
      </w:r>
      <w:hyperlink r:id="rId1836">
        <w:r>
          <w:t>Upstream</w:t>
        </w:r>
      </w:hyperlink>
    </w:p>
    <w:p>
      <w:pPr>
        <w:pStyle w:val="Para 42"/>
      </w:pPr>
      <w:r>
        <w:rPr>
          <w:rStyle w:val="Text7"/>
        </w:rPr>
        <w:t xml:space="preserve">crmsh </w:t>
      </w:r>
      <w:hyperlink w:anchor="page_920">
        <w:r>
          <w:rPr>
            <w:rStyle w:val="Text10"/>
          </w:rPr>
          <w:t>1024</w:t>
        </w:r>
      </w:hyperlink>
      <w:r>
        <w:rPr>
          <w:rStyle w:val="Text7"/>
        </w:rPr>
        <w:t xml:space="preserve"> </w:t>
      </w:r>
      <w:hyperlink r:id="rId1837">
        <w:r>
          <w:rPr>
            <w:rStyle w:val="Text10"/>
          </w:rPr>
          <w:t>1025</w:t>
        </w:r>
      </w:hyperlink>
      <w:r>
        <w:rPr>
          <w:rStyle w:val="Text7"/>
        </w:rPr>
        <w:t xml:space="preserve"> </w:t>
      </w:r>
      <w:hyperlink r:id="rId1838">
        <w:r>
          <w:t>crmsh</w:t>
        </w:r>
      </w:hyperlink>
      <w:r>
        <w:rPr>
          <w:rStyle w:val="Text7"/>
        </w:rPr>
        <w:t xml:space="preserve"> | </w:t>
      </w:r>
      <w:hyperlink r:id="rId1837">
        <w:r>
          <w:t>Upstream</w:t>
        </w:r>
      </w:hyperlink>
    </w:p>
    <w:p>
      <w:pPr>
        <w:pStyle w:val="Para 42"/>
      </w:pPr>
      <w:r>
        <w:rPr>
          <w:rStyle w:val="Text7"/>
        </w:rPr>
        <w:t xml:space="preserve">pcs* </w:t>
      </w:r>
      <w:hyperlink w:anchor="page_920">
        <w:r>
          <w:rPr>
            <w:rStyle w:val="Text10"/>
          </w:rPr>
          <w:t>1026</w:t>
        </w:r>
      </w:hyperlink>
      <w:r>
        <w:rPr>
          <w:rStyle w:val="Text7"/>
        </w:rPr>
        <w:t xml:space="preserve"> </w:t>
      </w:r>
      <w:hyperlink r:id="rId1839">
        <w:r>
          <w:rPr>
            <w:rStyle w:val="Text10"/>
          </w:rPr>
          <w:t>1027</w:t>
        </w:r>
      </w:hyperlink>
      <w:r>
        <w:rPr>
          <w:rStyle w:val="Text7"/>
        </w:rPr>
        <w:t xml:space="preserve"> </w:t>
      </w:r>
      <w:hyperlink r:id="rId1840">
        <w:r>
          <w:t>pcs</w:t>
        </w:r>
      </w:hyperlink>
      <w:r>
        <w:rPr>
          <w:rStyle w:val="Text7"/>
        </w:rPr>
        <w:t xml:space="preserve"> | </w:t>
      </w:r>
      <w:hyperlink r:id="rId1839">
        <w:r>
          <w:t>Upstream</w:t>
        </w:r>
      </w:hyperlink>
    </w:p>
    <w:p>
      <w:pPr>
        <w:pStyle w:val="Para 42"/>
      </w:pPr>
      <w:r>
        <w:rPr>
          <w:rStyle w:val="Text7"/>
        </w:rPr>
        <w:t xml:space="preserve">cluster-glue </w:t>
      </w:r>
      <w:hyperlink r:id="rId1841">
        <w:r>
          <w:rPr>
            <w:rStyle w:val="Text10"/>
          </w:rPr>
          <w:t>1028</w:t>
        </w:r>
      </w:hyperlink>
      <w:r>
        <w:rPr>
          <w:rStyle w:val="Text7"/>
        </w:rPr>
        <w:t xml:space="preserve"> </w:t>
      </w:r>
      <w:hyperlink r:id="rId1842">
        <w:r>
          <w:rPr>
            <w:rStyle w:val="Text10"/>
          </w:rPr>
          <w:t>1029</w:t>
        </w:r>
      </w:hyperlink>
      <w:hyperlink r:id="rId1842">
        <w:r>
          <w:t xml:space="preserve"> cluster-glue</w:t>
        </w:r>
      </w:hyperlink>
      <w:r>
        <w:rPr>
          <w:rStyle w:val="Text7"/>
        </w:rPr>
        <w:t xml:space="preserve"> | </w:t>
      </w:r>
      <w:hyperlink r:id="rId1842">
        <w:r>
          <w:t>Upstream</w:t>
        </w:r>
      </w:hyperlink>
    </w:p>
    <w:p>
      <w:pPr>
        <w:pStyle w:val="Para 42"/>
      </w:pPr>
      <w:r>
        <w:rPr>
          <w:rStyle w:val="Text7"/>
        </w:rPr>
        <w:t xml:space="preserve">drbd-utils </w:t>
      </w:r>
      <w:hyperlink w:anchor="page_920">
        <w:r>
          <w:rPr>
            <w:rStyle w:val="Text10"/>
          </w:rPr>
          <w:t>1030</w:t>
        </w:r>
      </w:hyperlink>
      <w:hyperlink w:anchor="page_920">
        <w:r>
          <w:t xml:space="preserve"> </w:t>
        </w:r>
      </w:hyperlink>
      <w:hyperlink w:anchor="page_920">
        <w:r>
          <w:rPr>
            <w:rStyle w:val="Text10"/>
          </w:rPr>
          <w:t>1031</w:t>
        </w:r>
      </w:hyperlink>
      <w:r>
        <w:rPr>
          <w:rStyle w:val="Text7"/>
        </w:rPr>
        <w:t xml:space="preserve"> </w:t>
      </w:r>
      <w:hyperlink r:id="rId1843">
        <w:r>
          <w:t>drbd-utils</w:t>
        </w:r>
      </w:hyperlink>
      <w:r>
        <w:rPr>
          <w:rStyle w:val="Text7"/>
        </w:rPr>
        <w:t xml:space="preserve"> | </w:t>
      </w:r>
      <w:hyperlink r:id="rId1844">
        <w:r>
          <w:t>Upstream</w:t>
        </w:r>
      </w:hyperlink>
    </w:p>
    <w:p>
      <w:pPr>
        <w:pStyle w:val="Para 42"/>
      </w:pPr>
      <w:r>
        <w:rPr>
          <w:rStyle w:val="Text7"/>
        </w:rPr>
        <w:t xml:space="preserve">dlm </w:t>
      </w:r>
      <w:hyperlink r:id="rId1845">
        <w:r>
          <w:rPr>
            <w:rStyle w:val="Text10"/>
          </w:rPr>
          <w:t>1032</w:t>
        </w:r>
      </w:hyperlink>
      <w:r>
        <w:rPr>
          <w:rStyle w:val="Text7"/>
        </w:rPr>
        <w:t xml:space="preserve"> </w:t>
      </w:r>
      <w:hyperlink w:anchor="page_920">
        <w:r>
          <w:rPr>
            <w:rStyle w:val="Text10"/>
          </w:rPr>
          <w:t>1033</w:t>
        </w:r>
      </w:hyperlink>
      <w:hyperlink w:anchor="page_920">
        <w:r>
          <w:t xml:space="preserve"> dlm</w:t>
        </w:r>
      </w:hyperlink>
      <w:r>
        <w:rPr>
          <w:rStyle w:val="Text7"/>
        </w:rPr>
        <w:t xml:space="preserve"> | </w:t>
      </w:r>
      <w:hyperlink r:id="rId1846">
        <w:r>
          <w:t>Upstream</w:t>
        </w:r>
      </w:hyperlink>
    </w:p>
    <w:p>
      <w:pPr>
        <w:pStyle w:val="Para 42"/>
      </w:pPr>
      <w:r>
        <w:rPr>
          <w:rStyle w:val="Text7"/>
        </w:rPr>
        <w:t xml:space="preserve">gfs2-utils </w:t>
      </w:r>
      <w:hyperlink r:id="rId1847">
        <w:r>
          <w:rPr>
            <w:rStyle w:val="Text10"/>
          </w:rPr>
          <w:t>1034</w:t>
        </w:r>
      </w:hyperlink>
      <w:r>
        <w:rPr>
          <w:rStyle w:val="Text7"/>
        </w:rPr>
        <w:t xml:space="preserve"> </w:t>
      </w:r>
      <w:hyperlink w:anchor="page_920">
        <w:r>
          <w:rPr>
            <w:rStyle w:val="Text10"/>
          </w:rPr>
          <w:t>1035</w:t>
        </w:r>
      </w:hyperlink>
      <w:hyperlink w:anchor="page_920">
        <w:r>
          <w:t xml:space="preserve"> gfs2-utils</w:t>
        </w:r>
      </w:hyperlink>
      <w:r>
        <w:rPr>
          <w:rStyle w:val="Text7"/>
        </w:rPr>
        <w:t xml:space="preserve"> | </w:t>
      </w:r>
      <w:hyperlink r:id="rId1848">
        <w:r>
          <w:t>Upstream</w:t>
        </w:r>
      </w:hyperlink>
    </w:p>
    <w:p>
      <w:pPr>
        <w:pStyle w:val="Para 42"/>
      </w:pPr>
      <w:r>
        <w:rPr>
          <w:rStyle w:val="Text7"/>
        </w:rPr>
        <w:t xml:space="preserve">keepalived </w:t>
      </w:r>
      <w:hyperlink w:anchor="page_920">
        <w:r>
          <w:rPr>
            <w:rStyle w:val="Text10"/>
          </w:rPr>
          <w:t>1036</w:t>
        </w:r>
      </w:hyperlink>
      <w:hyperlink w:anchor="page_920">
        <w:r>
          <w:t xml:space="preserve"> </w:t>
        </w:r>
      </w:hyperlink>
      <w:hyperlink w:anchor="page_920">
        <w:r>
          <w:rPr>
            <w:rStyle w:val="Text10"/>
          </w:rPr>
          <w:t>1037</w:t>
        </w:r>
      </w:hyperlink>
      <w:r>
        <w:rPr>
          <w:rStyle w:val="Text7"/>
        </w:rPr>
        <w:t xml:space="preserve"> </w:t>
      </w:r>
      <w:hyperlink r:id="rId1849">
        <w:r>
          <w:t>keepalived</w:t>
        </w:r>
      </w:hyperlink>
      <w:r>
        <w:rPr>
          <w:rStyle w:val="Text7"/>
        </w:rPr>
        <w:t xml:space="preserve"> | </w:t>
      </w:r>
      <w:hyperlink r:id="rId1850">
        <w:r>
          <w:t>Upstream</w:t>
        </w:r>
      </w:hyperlink>
    </w:p>
    <w:p>
      <w:pPr>
        <w:pStyle w:val="Para 17"/>
      </w:pPr>
      <w:r>
        <w:t/>
      </w:r>
    </w:p>
    <w:p>
      <w:pPr>
        <w:pStyle w:val="Para 04"/>
      </w:pPr>
      <w:r>
        <w:t xml:space="preserve">• </w:t>
      </w:r>
      <w:r>
        <w:rPr>
          <w:rStyle w:val="Text0"/>
        </w:rPr>
        <w:t>libqb</w:t>
      </w:r>
      <w:r>
        <w:t>- Library which provides a set of high performance client-server reusable fea-</w:t>
      </w:r>
    </w:p>
    <w:p>
      <w:pPr>
        <w:pStyle w:val="Para 02"/>
      </w:pPr>
      <w:r>
        <w:t>tures. It offers high performance logging, tracing, IPC and poll. Its initial features were spun off the corosync cluster communication suite to make them accessible for other projects.</w:t>
      </w:r>
    </w:p>
    <w:p>
      <w:pPr>
        <w:pStyle w:val="Para 04"/>
      </w:pPr>
      <w:r>
        <w:t xml:space="preserve">• </w:t>
      </w:r>
      <w:r>
        <w:rPr>
          <w:rStyle w:val="Text0"/>
        </w:rPr>
        <w:t>Kronosnet</w:t>
      </w:r>
      <w:r>
        <w:t>-Kronosnet, often referred to as knet, is a network abstraction layer designed</w:t>
      </w:r>
    </w:p>
    <w:p>
      <w:pPr>
        <w:pStyle w:val="Para 16"/>
      </w:pPr>
      <w:r>
        <w:rPr>
          <w:rStyle w:val="Text5"/>
        </w:rPr>
        <w:t>1012</w:t>
      </w:r>
      <w:r>
        <w:rPr>
          <w:rStyle w:val="Text8"/>
        </w:rPr>
        <w:t xml:space="preserve"> </w:t>
      </w:r>
      <w:r>
        <w:t>https://launchpad.net/ubuntu/+source/libqb</w:t>
      </w:r>
      <w:r>
        <w:rPr>
          <w:rStyle w:val="Text8"/>
        </w:rPr>
        <w:t xml:space="preserve"> </w:t>
      </w:r>
      <w:r>
        <w:rPr>
          <w:rStyle w:val="Text5"/>
        </w:rPr>
        <w:t>1013</w:t>
      </w:r>
      <w:r>
        <w:rPr>
          <w:rStyle w:val="Text8"/>
        </w:rPr>
        <w:t xml:space="preserve"> </w:t>
      </w:r>
      <w:r>
        <w:t>http://clusterlabs.github.io/libqb/</w:t>
      </w:r>
    </w:p>
    <w:p>
      <w:pPr>
        <w:pStyle w:val="Para 16"/>
      </w:pPr>
      <w:r>
        <w:rPr>
          <w:rStyle w:val="Text5"/>
        </w:rPr>
        <w:t>1014</w:t>
      </w:r>
      <w:r>
        <w:rPr>
          <w:rStyle w:val="Text8"/>
        </w:rPr>
        <w:t xml:space="preserve"> </w:t>
      </w:r>
      <w:r>
        <w:t>https://launchpad.net/ubuntu/+source/kronosnet</w:t>
      </w:r>
      <w:r>
        <w:rPr>
          <w:rStyle w:val="Text8"/>
        </w:rPr>
        <w:t xml:space="preserve"> </w:t>
      </w:r>
      <w:r>
        <w:rPr>
          <w:rStyle w:val="Text5"/>
        </w:rPr>
        <w:t>1015</w:t>
      </w:r>
      <w:r>
        <w:rPr>
          <w:rStyle w:val="Text8"/>
        </w:rPr>
        <w:t xml:space="preserve"> </w:t>
      </w:r>
      <w:r>
        <w:t>https://kronosnet.org/</w:t>
      </w:r>
    </w:p>
    <w:p>
      <w:pPr>
        <w:pStyle w:val="Para 16"/>
      </w:pPr>
      <w:r>
        <w:rPr>
          <w:rStyle w:val="Text5"/>
        </w:rPr>
        <w:t>1016</w:t>
      </w:r>
      <w:r>
        <w:rPr>
          <w:rStyle w:val="Text8"/>
        </w:rPr>
        <w:t xml:space="preserve"> </w:t>
      </w:r>
      <w:r>
        <w:t>https://launchpad.net/ubuntu/+source/corosync</w:t>
      </w:r>
      <w:r>
        <w:rPr>
          <w:rStyle w:val="Text8"/>
        </w:rPr>
        <w:t xml:space="preserve"> </w:t>
      </w:r>
      <w:r>
        <w:rPr>
          <w:rStyle w:val="Text5"/>
        </w:rPr>
        <w:t>1017</w:t>
      </w:r>
      <w:r>
        <w:rPr>
          <w:rStyle w:val="Text8"/>
        </w:rPr>
        <w:t xml:space="preserve"> </w:t>
      </w:r>
      <w:r>
        <w:t>http://corosync.github.io/corosync/</w:t>
      </w:r>
    </w:p>
    <w:p>
      <w:pPr>
        <w:pStyle w:val="Para 16"/>
      </w:pPr>
      <w:r>
        <w:rPr>
          <w:rStyle w:val="Text5"/>
        </w:rPr>
        <w:t>1018</w:t>
      </w:r>
      <w:r>
        <w:rPr>
          <w:rStyle w:val="Text8"/>
        </w:rPr>
        <w:t xml:space="preserve"> </w:t>
      </w:r>
      <w:r>
        <w:t>https://launchpad.net/ubuntu/+source/pacemaker</w:t>
      </w:r>
      <w:r>
        <w:rPr>
          <w:rStyle w:val="Text8"/>
        </w:rPr>
        <w:t xml:space="preserve"> </w:t>
      </w:r>
      <w:r>
        <w:rPr>
          <w:rStyle w:val="Text5"/>
        </w:rPr>
        <w:t>1019</w:t>
      </w:r>
      <w:r>
        <w:rPr>
          <w:rStyle w:val="Text8"/>
        </w:rPr>
        <w:t xml:space="preserve"> </w:t>
      </w:r>
      <w:r>
        <w:t>https://clusterlabs.org/projects/pacemaker/</w:t>
      </w:r>
      <w:r>
        <w:rPr>
          <w:rStyle w:val="Text8"/>
        </w:rPr>
        <w:t xml:space="preserve"> </w:t>
      </w:r>
      <w:r>
        <w:rPr>
          <w:rStyle w:val="Text5"/>
        </w:rPr>
        <w:t>1020</w:t>
      </w:r>
      <w:r>
        <w:rPr>
          <w:rStyle w:val="Text8"/>
        </w:rPr>
        <w:t xml:space="preserve"> </w:t>
      </w:r>
      <w:r>
        <w:t>https://launchpad.net/ubuntu/+source/resource-agents</w:t>
      </w:r>
      <w:r>
        <w:rPr>
          <w:rStyle w:val="Text8"/>
        </w:rPr>
        <w:t xml:space="preserve"> </w:t>
      </w:r>
      <w:r>
        <w:rPr>
          <w:rStyle w:val="Text5"/>
        </w:rPr>
        <w:t>1021</w:t>
      </w:r>
      <w:r>
        <w:rPr>
          <w:rStyle w:val="Text8"/>
        </w:rPr>
        <w:t xml:space="preserve"> </w:t>
      </w:r>
      <w:r>
        <w:t>https://github.com/ClusterLabs/resource-agents</w:t>
      </w:r>
      <w:r>
        <w:rPr>
          <w:rStyle w:val="Text8"/>
        </w:rPr>
        <w:t xml:space="preserve"> </w:t>
      </w:r>
      <w:r>
        <w:rPr>
          <w:rStyle w:val="Text5"/>
        </w:rPr>
        <w:t>1022</w:t>
      </w:r>
      <w:r>
        <w:rPr>
          <w:rStyle w:val="Text8"/>
        </w:rPr>
        <w:t xml:space="preserve"> </w:t>
      </w:r>
      <w:r>
        <w:t>https://launchpad.net/ubuntu/+source/fence-agents</w:t>
      </w:r>
      <w:r>
        <w:rPr>
          <w:rStyle w:val="Text8"/>
        </w:rPr>
        <w:t xml:space="preserve"> </w:t>
      </w:r>
      <w:r>
        <w:rPr>
          <w:rStyle w:val="Text5"/>
        </w:rPr>
        <w:t>1023</w:t>
      </w:r>
      <w:r>
        <w:rPr>
          <w:rStyle w:val="Text8"/>
        </w:rPr>
        <w:t xml:space="preserve"> </w:t>
      </w:r>
      <w:r>
        <w:t>https://github.com/ClusterLabs/fence-agents</w:t>
      </w:r>
      <w:r>
        <w:rPr>
          <w:rStyle w:val="Text8"/>
        </w:rPr>
        <w:t xml:space="preserve"> </w:t>
      </w:r>
      <w:r>
        <w:rPr>
          <w:rStyle w:val="Text5"/>
        </w:rPr>
        <w:t>1024</w:t>
      </w:r>
      <w:r>
        <w:rPr>
          <w:rStyle w:val="Text8"/>
        </w:rPr>
        <w:t xml:space="preserve"> </w:t>
      </w:r>
      <w:r>
        <w:t>https://launchpad.net/ubuntu/+source/crmsh</w:t>
      </w:r>
      <w:r>
        <w:rPr>
          <w:rStyle w:val="Text8"/>
        </w:rPr>
        <w:t xml:space="preserve"> </w:t>
      </w:r>
      <w:r>
        <w:rPr>
          <w:rStyle w:val="Text5"/>
        </w:rPr>
        <w:t>1025</w:t>
      </w:r>
      <w:r>
        <w:rPr>
          <w:rStyle w:val="Text8"/>
        </w:rPr>
        <w:t xml:space="preserve"> </w:t>
      </w:r>
      <w:r>
        <w:t>https://github.com/ClusterLabs/crmsh</w:t>
      </w:r>
    </w:p>
    <w:p>
      <w:pPr>
        <w:pStyle w:val="Para 16"/>
      </w:pPr>
      <w:r>
        <w:rPr>
          <w:rStyle w:val="Text5"/>
        </w:rPr>
        <w:t>1026</w:t>
      </w:r>
      <w:r>
        <w:rPr>
          <w:rStyle w:val="Text8"/>
        </w:rPr>
        <w:t xml:space="preserve"> </w:t>
      </w:r>
      <w:r>
        <w:t>https://launchpad.net/ubuntu/+source/pcs</w:t>
      </w:r>
    </w:p>
    <w:p>
      <w:pPr>
        <w:pStyle w:val="Para 16"/>
      </w:pPr>
      <w:r>
        <w:rPr>
          <w:rStyle w:val="Text5"/>
        </w:rPr>
        <w:t>1027</w:t>
      </w:r>
      <w:r>
        <w:rPr>
          <w:rStyle w:val="Text8"/>
        </w:rPr>
        <w:t xml:space="preserve"> </w:t>
      </w:r>
      <w:r>
        <w:t>https://github.com/ClusterLabs/pcs/</w:t>
      </w:r>
    </w:p>
    <w:p>
      <w:pPr>
        <w:pStyle w:val="Para 16"/>
      </w:pPr>
      <w:r>
        <w:rPr>
          <w:rStyle w:val="Text5"/>
        </w:rPr>
        <w:t>1028</w:t>
      </w:r>
      <w:r>
        <w:rPr>
          <w:rStyle w:val="Text8"/>
        </w:rPr>
        <w:t xml:space="preserve"> </w:t>
      </w:r>
      <w:r>
        <w:t>https://launchpad.net/ubuntu/+source/cluster-glue</w:t>
      </w:r>
      <w:r>
        <w:rPr>
          <w:rStyle w:val="Text8"/>
        </w:rPr>
        <w:t xml:space="preserve"> </w:t>
      </w:r>
      <w:r>
        <w:rPr>
          <w:rStyle w:val="Text5"/>
        </w:rPr>
        <w:t>1029</w:t>
      </w:r>
      <w:r>
        <w:rPr>
          <w:rStyle w:val="Text8"/>
        </w:rPr>
        <w:t xml:space="preserve"> </w:t>
      </w:r>
      <w:r>
        <w:t>https://github.com/ClusterLabs/cluster-glue</w:t>
      </w:r>
      <w:r>
        <w:rPr>
          <w:rStyle w:val="Text8"/>
        </w:rPr>
        <w:t xml:space="preserve"> </w:t>
      </w:r>
      <w:r>
        <w:rPr>
          <w:rStyle w:val="Text5"/>
        </w:rPr>
        <w:t>1030</w:t>
      </w:r>
      <w:r>
        <w:rPr>
          <w:rStyle w:val="Text8"/>
        </w:rPr>
        <w:t xml:space="preserve"> </w:t>
      </w:r>
      <w:r>
        <w:t>https://launchpad.net/ubuntu/+source/drbd-utils</w:t>
      </w:r>
      <w:r>
        <w:rPr>
          <w:rStyle w:val="Text8"/>
        </w:rPr>
        <w:t xml:space="preserve"> </w:t>
      </w:r>
      <w:r>
        <w:rPr>
          <w:rStyle w:val="Text5"/>
        </w:rPr>
        <w:t>1031</w:t>
      </w:r>
      <w:r>
        <w:rPr>
          <w:rStyle w:val="Text8"/>
        </w:rPr>
        <w:t xml:space="preserve"> </w:t>
      </w:r>
      <w:r>
        <w:t>https://linbit.com/drbd/</w:t>
      </w:r>
    </w:p>
    <w:p>
      <w:pPr>
        <w:pStyle w:val="Para 16"/>
      </w:pPr>
      <w:r>
        <w:rPr>
          <w:rStyle w:val="Text5"/>
        </w:rPr>
        <w:t>1032</w:t>
      </w:r>
      <w:r>
        <w:rPr>
          <w:rStyle w:val="Text8"/>
        </w:rPr>
        <w:t xml:space="preserve"> </w:t>
      </w:r>
      <w:r>
        <w:t>https://launchpad.net/ubuntu/+source/dlm</w:t>
      </w:r>
    </w:p>
    <w:p>
      <w:pPr>
        <w:pStyle w:val="Para 16"/>
      </w:pPr>
      <w:r>
        <w:rPr>
          <w:rStyle w:val="Text5"/>
        </w:rPr>
        <w:t>1033</w:t>
      </w:r>
      <w:r>
        <w:rPr>
          <w:rStyle w:val="Text8"/>
        </w:rPr>
        <w:t xml:space="preserve"> </w:t>
      </w:r>
      <w:r>
        <w:t>https://pagure.io/dlm</w:t>
      </w:r>
    </w:p>
    <w:p>
      <w:pPr>
        <w:pStyle w:val="Para 16"/>
      </w:pPr>
      <w:r>
        <w:rPr>
          <w:rStyle w:val="Text5"/>
        </w:rPr>
        <w:t>1034</w:t>
      </w:r>
      <w:r>
        <w:rPr>
          <w:rStyle w:val="Text8"/>
        </w:rPr>
        <w:t xml:space="preserve"> </w:t>
      </w:r>
      <w:r>
        <w:t>https://launchpad.net/ubuntu/+source/gfs2-utils</w:t>
      </w:r>
      <w:r>
        <w:rPr>
          <w:rStyle w:val="Text8"/>
        </w:rPr>
        <w:t xml:space="preserve"> </w:t>
      </w:r>
      <w:r>
        <w:rPr>
          <w:rStyle w:val="Text5"/>
        </w:rPr>
        <w:t>1035</w:t>
      </w:r>
      <w:r>
        <w:rPr>
          <w:rStyle w:val="Text8"/>
        </w:rPr>
        <w:t xml:space="preserve"> </w:t>
      </w:r>
      <w:r>
        <w:t>https://pagure.io/gfs2-utils</w:t>
      </w:r>
    </w:p>
    <w:p>
      <w:pPr>
        <w:pStyle w:val="Para 16"/>
      </w:pPr>
      <w:r>
        <w:rPr>
          <w:rStyle w:val="Text5"/>
        </w:rPr>
        <w:t>1036</w:t>
      </w:r>
      <w:r>
        <w:rPr>
          <w:rStyle w:val="Text8"/>
        </w:rPr>
        <w:t xml:space="preserve"> </w:t>
      </w:r>
      <w:r>
        <w:t>https://launchpad.net/ubuntu/+source/keepalived</w:t>
      </w:r>
      <w:r>
        <w:rPr>
          <w:rStyle w:val="Text8"/>
        </w:rPr>
        <w:t xml:space="preserve"> </w:t>
      </w:r>
      <w:r>
        <w:rPr>
          <w:rStyle w:val="Text5"/>
        </w:rPr>
        <w:t>1037</w:t>
      </w:r>
      <w:r>
        <w:rPr>
          <w:rStyle w:val="Text8"/>
        </w:rPr>
        <w:t xml:space="preserve"> </w:t>
      </w:r>
      <w:r>
        <w:t>https://www.keepalived.org/</w:t>
      </w:r>
    </w:p>
    <w:p>
      <w:bookmarkStart w:id="1457" w:name="page_9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0" name="index-921_1.png" descr="index-921_1.png"/>
            <wp:cNvGraphicFramePr>
              <a:graphicFrameLocks noChangeAspect="1"/>
            </wp:cNvGraphicFramePr>
            <a:graphic>
              <a:graphicData uri="http://schemas.openxmlformats.org/drawingml/2006/picture">
                <pic:pic>
                  <pic:nvPicPr>
                    <pic:cNvPr id="0" name="index-921_1.png" descr="index-921_1.png"/>
                    <pic:cNvPicPr/>
                  </pic:nvPicPr>
                  <pic:blipFill>
                    <a:blip r:embed="rId964"/>
                    <a:stretch>
                      <a:fillRect/>
                    </a:stretch>
                  </pic:blipFill>
                  <pic:spPr>
                    <a:xfrm>
                      <a:off x="0" y="0"/>
                      <a:ext cx="914400" cy="266700"/>
                    </a:xfrm>
                    <a:prstGeom prst="rect">
                      <a:avLst/>
                    </a:prstGeom>
                  </pic:spPr>
                </pic:pic>
              </a:graphicData>
            </a:graphic>
          </wp:anchor>
        </w:drawing>
      </w:r>
      <w:bookmarkEnd w:id="1457"/>
    </w:p>
    <w:p>
      <w:pPr>
        <w:pStyle w:val="Para 02"/>
      </w:pPr>
      <w:r>
        <w:t>for High Availability. corosync uses Kronosnet to provide multiple networks for its inter-</w:t>
      </w:r>
    </w:p>
    <w:p>
      <w:pPr>
        <w:pStyle w:val="Para 02"/>
      </w:pPr>
      <w:r>
        <w:t xml:space="preserve">connect (replacing the old </w:t>
      </w:r>
      <w:hyperlink r:id="rId1851">
        <w:r>
          <w:rPr>
            <w:rStyle w:val="Text9"/>
          </w:rPr>
          <w:t>1038</w:t>
        </w:r>
      </w:hyperlink>
      <w:hyperlink r:id="rId1851">
        <w:r>
          <w:rPr>
            <w:rStyle w:val="Text1"/>
          </w:rPr>
          <w:t xml:space="preserve"> Totem Redundant Ring Protocol</w:t>
        </w:r>
      </w:hyperlink>
      <w:r>
        <w:t>) and adds support for some more features like interconnect network hot-plug.</w:t>
      </w:r>
    </w:p>
    <w:p>
      <w:pPr>
        <w:pStyle w:val="Para 04"/>
      </w:pPr>
      <w:r>
        <w:t xml:space="preserve">• </w:t>
      </w:r>
      <w:r>
        <w:rPr>
          <w:rStyle w:val="Text0"/>
        </w:rPr>
        <w:t>corosync</w:t>
      </w:r>
      <w:r>
        <w:t xml:space="preserve">- or </w:t>
      </w:r>
      <w:r>
        <w:rPr>
          <w:rStyle w:val="Text3"/>
        </w:rPr>
        <w:t>Cluster Membership Layer</w:t>
      </w:r>
      <w:r>
        <w:t>, provides reliable messaging, membership and</w:t>
      </w:r>
    </w:p>
    <w:p>
      <w:pPr>
        <w:pStyle w:val="Para 02"/>
      </w:pPr>
      <w:r>
        <w:t>quorum information about the cluster. Currently, Pacemaker supports corosync as this layer.</w:t>
      </w:r>
    </w:p>
    <w:p>
      <w:pPr>
        <w:pStyle w:val="Para 04"/>
      </w:pPr>
      <w:r>
        <w:t xml:space="preserve">• </w:t>
      </w:r>
      <w:r>
        <w:rPr>
          <w:rStyle w:val="Text0"/>
        </w:rPr>
        <w:t>Pacemaker</w:t>
      </w:r>
      <w:r>
        <w:t xml:space="preserve">- or </w:t>
      </w:r>
      <w:r>
        <w:rPr>
          <w:rStyle w:val="Text3"/>
        </w:rPr>
        <w:t>Cluster Resource Manager</w:t>
      </w:r>
      <w:r>
        <w:t>, provides the brain that processes and reacts</w:t>
      </w:r>
    </w:p>
    <w:p>
      <w:pPr>
        <w:pStyle w:val="Para 17"/>
      </w:pPr>
      <w:r>
        <w:t>to events that occur in the cluster. Events might be: nodes joining or leaving the cluster, resource events caused by failures, maintenance, or scheduled activities. To achieve the desired availability, Pacemaker may start and stop resources and fence nodes.</w:t>
      </w:r>
    </w:p>
    <w:p>
      <w:pPr>
        <w:pStyle w:val="Para 04"/>
      </w:pPr>
      <w:r>
        <w:t xml:space="preserve">• </w:t>
      </w:r>
      <w:r>
        <w:rPr>
          <w:rStyle w:val="Text0"/>
        </w:rPr>
        <w:t>Resource Agents</w:t>
      </w:r>
      <w:r>
        <w:t>- Scripts or operating system components that start, stop or moni-</w:t>
      </w:r>
    </w:p>
    <w:p>
      <w:pPr>
        <w:pStyle w:val="Para 02"/>
      </w:pPr>
      <w:r>
        <w:t>tor resources, given a set of resource parameters. These provide a uniform interface between pacemaker and the managed services.</w:t>
      </w:r>
    </w:p>
    <w:p>
      <w:pPr>
        <w:pStyle w:val="Para 04"/>
      </w:pPr>
      <w:r>
        <w:t xml:space="preserve">• </w:t>
      </w:r>
      <w:r>
        <w:rPr>
          <w:rStyle w:val="Text0"/>
        </w:rPr>
        <w:t>Fence Agents</w:t>
      </w:r>
      <w:r>
        <w:t>- Scripts that execute node fencing actions, given a target and fence</w:t>
      </w:r>
    </w:p>
    <w:p>
      <w:pPr>
        <w:pStyle w:val="Para 02"/>
      </w:pPr>
      <w:r>
        <w:t>device parameters.</w:t>
      </w:r>
    </w:p>
    <w:p>
      <w:pPr>
        <w:pStyle w:val="Para 04"/>
      </w:pPr>
      <w:r>
        <w:t xml:space="preserve">• </w:t>
      </w:r>
      <w:r>
        <w:rPr>
          <w:rStyle w:val="Text0"/>
        </w:rPr>
        <w:t>crmsh</w:t>
      </w:r>
      <w:r>
        <w:t>- Advanced command-line interface for High-Availability cluster management in</w:t>
      </w:r>
    </w:p>
    <w:p>
      <w:pPr>
        <w:pStyle w:val="Para 02"/>
      </w:pPr>
      <w:hyperlink w:anchor="page_685">
        <w:r>
          <w:rPr>
            <w:rStyle w:val="Text2"/>
          </w:rPr>
          <w:t>GNU</w:t>
        </w:r>
      </w:hyperlink>
      <w:r>
        <w:t>/Linux.</w:t>
      </w:r>
    </w:p>
    <w:p>
      <w:pPr>
        <w:pStyle w:val="Para 04"/>
      </w:pPr>
      <w:r>
        <w:t xml:space="preserve">• </w:t>
      </w:r>
      <w:r>
        <w:rPr>
          <w:rStyle w:val="Text0"/>
        </w:rPr>
        <w:t>pcs</w:t>
      </w:r>
      <w:r>
        <w:t>- Pacemaker command line interface and GUI. It permits users to easily view, modify</w:t>
      </w:r>
    </w:p>
    <w:p>
      <w:pPr>
        <w:pStyle w:val="Para 02"/>
      </w:pPr>
      <w:r>
        <w:t xml:space="preserve">and create pacemaker based clusters. pcs also provides pcsd, which operates as a GUI and remote server for pcs. Together pcs and pcsd form the recommended configuration tool for use with pacemaker. </w:t>
      </w:r>
      <w:r>
        <w:rPr>
          <w:rStyle w:val="Text3"/>
        </w:rPr>
        <w:t>NOTE: It was added to the main repository in Ubuntu Lunar Lobster (23.10)</w:t>
      </w:r>
      <w:r>
        <w:t>.</w:t>
      </w:r>
    </w:p>
    <w:p>
      <w:pPr>
        <w:pStyle w:val="Para 04"/>
      </w:pPr>
      <w:r>
        <w:t xml:space="preserve">• </w:t>
      </w:r>
      <w:r>
        <w:rPr>
          <w:rStyle w:val="Text0"/>
        </w:rPr>
        <w:t>cluster-glue</w:t>
      </w:r>
      <w:r>
        <w:t>- Reusable cluster components for Linux HA. This package contains node</w:t>
      </w:r>
    </w:p>
    <w:p>
      <w:pPr>
        <w:pStyle w:val="Para 02"/>
      </w:pPr>
      <w:r>
        <w:t>fencing plugins, an error reporting utility, and other reusable cluster components from the Linux HA project.</w:t>
      </w:r>
    </w:p>
    <w:p>
      <w:pPr>
        <w:pStyle w:val="Para 04"/>
      </w:pPr>
      <w:r>
        <w:t xml:space="preserve">• </w:t>
      </w:r>
      <w:r>
        <w:rPr>
          <w:rStyle w:val="Text0"/>
        </w:rPr>
        <w:t>DRBD</w:t>
      </w:r>
      <w:r>
        <w:t xml:space="preserve">- Distributed Replicated Block Device, </w:t>
      </w:r>
      <w:r>
        <w:rPr>
          <w:rStyle w:val="Text0"/>
        </w:rPr>
        <w:t>DRBD</w:t>
      </w:r>
      <w:r>
        <w:t xml:space="preserve"> is a </w:t>
      </w:r>
      <w:hyperlink r:id="rId1852">
        <w:r>
          <w:rPr>
            <w:rStyle w:val="Text1"/>
          </w:rPr>
          <w:t>distributed replicated stor-</w:t>
        </w:r>
      </w:hyperlink>
    </w:p>
    <w:p>
      <w:pPr>
        <w:pStyle w:val="Para 02"/>
      </w:pPr>
      <w:hyperlink r:id="rId1852">
        <w:r>
          <w:rPr>
            <w:rStyle w:val="Text1"/>
          </w:rPr>
          <w:t>age system</w:t>
        </w:r>
      </w:hyperlink>
      <w:hyperlink w:anchor="page_921">
        <w:r>
          <w:rPr>
            <w:rStyle w:val="Text9"/>
          </w:rPr>
          <w:t>1039</w:t>
        </w:r>
      </w:hyperlink>
      <w:r>
        <w:t xml:space="preserve"> for the Linux platform. It is implemented as a kernel driver, several userspace management applications, and some shell scripts. DRBD is traditionally used in high availability (HA) clusters.</w:t>
      </w:r>
    </w:p>
    <w:p>
      <w:pPr>
        <w:pStyle w:val="Para 04"/>
      </w:pPr>
      <w:r>
        <w:t xml:space="preserve">• </w:t>
      </w:r>
      <w:r>
        <w:rPr>
          <w:rStyle w:val="Text0"/>
        </w:rPr>
        <w:t>DLM</w:t>
      </w:r>
      <w:r>
        <w:t>- A distributed lock manager (DLM) runs in every machine in a cluster, with an</w:t>
      </w:r>
    </w:p>
    <w:p>
      <w:pPr>
        <w:pStyle w:val="Para 02"/>
      </w:pPr>
      <w:r>
        <w:t>identical copy of a cluster-wide lock database. In this way DLM provides software ap-plications which are distributed across a cluster on multiple machines with a means to synchronize their accesses to shared resources.</w:t>
      </w:r>
    </w:p>
    <w:p>
      <w:pPr>
        <w:pStyle w:val="Para 04"/>
      </w:pPr>
      <w:r>
        <w:t xml:space="preserve">• </w:t>
      </w:r>
      <w:r>
        <w:rPr>
          <w:rStyle w:val="Text0"/>
        </w:rPr>
        <w:t>gfs2-utils</w:t>
      </w:r>
      <w:r>
        <w:t>- Global File System 2 -</w:t>
      </w:r>
      <w:hyperlink w:anchor="page_682">
        <w:r>
          <w:rPr>
            <w:rStyle w:val="Text2"/>
          </w:rPr>
          <w:t>filesystem</w:t>
        </w:r>
      </w:hyperlink>
      <w:r>
        <w:t xml:space="preserve"> tools. The Global File System allows a</w:t>
      </w:r>
    </w:p>
    <w:p>
      <w:pPr>
        <w:pStyle w:val="Para 02"/>
      </w:pPr>
      <w:r>
        <w:t>cluster of machines to concurrently access shared storage hardware like SANs or iSCSI and network block devices.</w:t>
      </w:r>
    </w:p>
    <w:p>
      <w:pPr>
        <w:pStyle w:val="Para 04"/>
      </w:pPr>
      <w:r>
        <w:t xml:space="preserve">• </w:t>
      </w:r>
      <w:r>
        <w:rPr>
          <w:rStyle w:val="Text0"/>
        </w:rPr>
        <w:t>Keepalived</w:t>
      </w:r>
      <w:r>
        <w:t>- Provides simple and robust facilities for load balancing and high availabil-</w:t>
      </w:r>
    </w:p>
    <w:p>
      <w:pPr>
        <w:pStyle w:val="Para 02"/>
      </w:pPr>
      <w:r>
        <w:t>ity to Linux systems and Linux-based infrastructures. The load balancing framework</w:t>
      </w:r>
    </w:p>
    <w:p>
      <w:pPr>
        <w:pStyle w:val="Para 02"/>
      </w:pPr>
      <w:r>
        <w:t xml:space="preserve">relies on the well-known and widely used </w:t>
      </w:r>
      <w:hyperlink w:anchor="page_921">
        <w:r>
          <w:rPr>
            <w:rStyle w:val="Text9"/>
          </w:rPr>
          <w:t>1040</w:t>
        </w:r>
      </w:hyperlink>
      <w:r>
        <w:t xml:space="preserve"> </w:t>
      </w:r>
      <w:hyperlink r:id="rId1853">
        <w:r>
          <w:rPr>
            <w:rStyle w:val="Text1"/>
          </w:rPr>
          <w:t>Linux Virtual Server (IPVS)</w:t>
        </w:r>
      </w:hyperlink>
      <w:r>
        <w:t xml:space="preserve"> kernel mod-ule which provides Layer4 load balancing. It implements a set of checkers to dynam-ically and adaptively maintain and manage a load-balanced server pool according to</w:t>
      </w:r>
    </w:p>
    <w:p>
      <w:pPr>
        <w:pStyle w:val="Para 02"/>
      </w:pPr>
      <w:r>
        <w:t xml:space="preserve">their health, while high availability is achieved by the </w:t>
      </w:r>
      <w:hyperlink w:anchor="page_921">
        <w:r>
          <w:rPr>
            <w:rStyle w:val="Text9"/>
          </w:rPr>
          <w:t>1041</w:t>
        </w:r>
      </w:hyperlink>
      <w:r>
        <w:t xml:space="preserve"> </w:t>
      </w:r>
      <w:hyperlink r:id="rId1854">
        <w:r>
          <w:rPr>
            <w:rStyle w:val="Text1"/>
          </w:rPr>
          <w:t>VRRP</w:t>
        </w:r>
      </w:hyperlink>
      <w:r>
        <w:t xml:space="preserve"> protocol.</w:t>
      </w:r>
    </w:p>
    <w:p>
      <w:pPr>
        <w:pStyle w:val="Para 16"/>
      </w:pPr>
      <w:r>
        <w:rPr>
          <w:rStyle w:val="Text5"/>
        </w:rPr>
        <w:t>1038</w:t>
      </w:r>
      <w:r>
        <w:rPr>
          <w:rStyle w:val="Text8"/>
        </w:rPr>
        <w:t xml:space="preserve"> </w:t>
      </w:r>
      <w:r>
        <w:t>https://discourse.ubuntu.com/t/corosync-and-redundant-rings/11627</w:t>
      </w:r>
      <w:r>
        <w:rPr>
          <w:rStyle w:val="Text8"/>
        </w:rPr>
        <w:t xml:space="preserve"> </w:t>
      </w:r>
      <w:r>
        <w:rPr>
          <w:rStyle w:val="Text5"/>
        </w:rPr>
        <w:t>1039</w:t>
      </w:r>
      <w:r>
        <w:rPr>
          <w:rStyle w:val="Text8"/>
        </w:rPr>
        <w:t xml:space="preserve"> </w:t>
      </w:r>
      <w:r>
        <w:t>https://en.wikipedia.org/wiki/Distributed_Replicated_Block_Device</w:t>
      </w:r>
      <w:r>
        <w:rPr>
          <w:rStyle w:val="Text8"/>
        </w:rPr>
        <w:t xml:space="preserve"> </w:t>
      </w:r>
      <w:r>
        <w:rPr>
          <w:rStyle w:val="Text5"/>
        </w:rPr>
        <w:t>1040</w:t>
      </w:r>
      <w:r>
        <w:rPr>
          <w:rStyle w:val="Text8"/>
        </w:rPr>
        <w:t xml:space="preserve"> </w:t>
      </w:r>
      <w:r>
        <w:t>http://www.linux-vs.org/</w:t>
      </w:r>
    </w:p>
    <w:p>
      <w:pPr>
        <w:pStyle w:val="Para 16"/>
      </w:pPr>
      <w:r>
        <w:rPr>
          <w:rStyle w:val="Text5"/>
        </w:rPr>
        <w:t>1041</w:t>
      </w:r>
      <w:r>
        <w:rPr>
          <w:rStyle w:val="Text8"/>
        </w:rPr>
        <w:t xml:space="preserve"> </w:t>
      </w:r>
      <w:r>
        <w:t>https://datatracker.ietf.org/wg/vrrp/documents/</w:t>
      </w:r>
    </w:p>
    <w:p>
      <w:bookmarkStart w:id="1458" w:name="page_9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1" name="index-922_1.png" descr="index-922_1.png"/>
            <wp:cNvGraphicFramePr>
              <a:graphicFrameLocks noChangeAspect="1"/>
            </wp:cNvGraphicFramePr>
            <a:graphic>
              <a:graphicData uri="http://schemas.openxmlformats.org/drawingml/2006/picture">
                <pic:pic>
                  <pic:nvPicPr>
                    <pic:cNvPr id="0" name="index-922_1.png" descr="index-922_1.png"/>
                    <pic:cNvPicPr/>
                  </pic:nvPicPr>
                  <pic:blipFill>
                    <a:blip r:embed="rId965"/>
                    <a:stretch>
                      <a:fillRect/>
                    </a:stretch>
                  </pic:blipFill>
                  <pic:spPr>
                    <a:xfrm>
                      <a:off x="0" y="0"/>
                      <a:ext cx="914400" cy="266700"/>
                    </a:xfrm>
                    <a:prstGeom prst="rect">
                      <a:avLst/>
                    </a:prstGeom>
                  </pic:spPr>
                </pic:pic>
              </a:graphicData>
            </a:graphic>
          </wp:anchor>
        </w:drawing>
      </w:r>
      <w:bookmarkEnd w:id="1458"/>
    </w:p>
    <w:p>
      <w:pPr>
        <w:pStyle w:val="Para 01"/>
      </w:pPr>
      <w:r>
        <w:t>Ubuntu HA community packages</w:t>
      </w:r>
    </w:p>
    <w:p>
      <w:pPr>
        <w:pStyle w:val="Para 17"/>
      </w:pPr>
      <w:r>
        <w:t/>
      </w:r>
    </w:p>
    <w:p>
      <w:pPr>
        <w:pStyle w:val="Normal"/>
      </w:pPr>
      <w:r>
        <w:t xml:space="preserve">The HA packages in this list are supported just like any other package available in the </w:t>
      </w:r>
      <w:r>
        <w:rPr>
          <w:rStyle w:val="Text0"/>
        </w:rPr>
        <w:t>universe repository</w:t>
      </w:r>
      <w:r>
        <w:t>.</w:t>
      </w:r>
    </w:p>
    <w:p>
      <w:pPr>
        <w:pStyle w:val="Para 17"/>
      </w:pPr>
      <w:r>
        <w:t/>
      </w:r>
    </w:p>
    <w:p>
      <w:pPr>
        <w:pStyle w:val="Para 36"/>
      </w:pPr>
      <w:r>
        <w:t>Package URL</w:t>
      </w:r>
    </w:p>
    <w:p>
      <w:pPr>
        <w:pStyle w:val="Para 44"/>
      </w:pPr>
      <w:r>
        <w:rPr>
          <w:rStyle w:val="Text7"/>
        </w:rPr>
        <w:t xml:space="preserve">pcs </w:t>
      </w:r>
      <w:hyperlink w:anchor="page_922">
        <w:r>
          <w:rPr>
            <w:rStyle w:val="Text10"/>
          </w:rPr>
          <w:t>1042</w:t>
        </w:r>
      </w:hyperlink>
      <w:hyperlink w:anchor="page_922">
        <w:r>
          <w:t xml:space="preserve"> </w:t>
        </w:r>
      </w:hyperlink>
      <w:hyperlink w:anchor="page_922">
        <w:r>
          <w:rPr>
            <w:rStyle w:val="Text10"/>
          </w:rPr>
          <w:t>1043</w:t>
        </w:r>
      </w:hyperlink>
      <w:r>
        <w:rPr>
          <w:rStyle w:val="Text7"/>
        </w:rPr>
        <w:t xml:space="preserve"> * </w:t>
      </w:r>
      <w:hyperlink r:id="rId1825">
        <w:r>
          <w:t>Ubuntu</w:t>
        </w:r>
      </w:hyperlink>
      <w:r>
        <w:rPr>
          <w:rStyle w:val="Text7"/>
        </w:rPr>
        <w:t xml:space="preserve"> | </w:t>
      </w:r>
      <w:hyperlink r:id="rId1855">
        <w:r>
          <w:t>Upstream</w:t>
        </w:r>
      </w:hyperlink>
    </w:p>
    <w:p>
      <w:pPr>
        <w:pStyle w:val="Para 44"/>
      </w:pPr>
      <w:r>
        <w:rPr>
          <w:rStyle w:val="Text7"/>
        </w:rPr>
        <w:t xml:space="preserve">csync2 </w:t>
      </w:r>
      <w:hyperlink w:anchor="page_922">
        <w:r>
          <w:rPr>
            <w:rStyle w:val="Text10"/>
          </w:rPr>
          <w:t>1044</w:t>
        </w:r>
      </w:hyperlink>
      <w:hyperlink w:anchor="page_922">
        <w:r>
          <w:t xml:space="preserve"> </w:t>
        </w:r>
      </w:hyperlink>
      <w:hyperlink w:anchor="page_922">
        <w:r>
          <w:rPr>
            <w:rStyle w:val="Text10"/>
          </w:rPr>
          <w:t>1045</w:t>
        </w:r>
      </w:hyperlink>
      <w:r>
        <w:rPr>
          <w:rStyle w:val="Text7"/>
        </w:rPr>
        <w:t xml:space="preserve"> </w:t>
      </w:r>
      <w:hyperlink r:id="rId1856">
        <w:r>
          <w:t>Ubuntu</w:t>
        </w:r>
      </w:hyperlink>
      <w:r>
        <w:rPr>
          <w:rStyle w:val="Text7"/>
        </w:rPr>
        <w:t xml:space="preserve"> | </w:t>
      </w:r>
      <w:hyperlink r:id="rId1857">
        <w:r>
          <w:t>Upstream</w:t>
        </w:r>
      </w:hyperlink>
    </w:p>
    <w:p>
      <w:pPr>
        <w:pStyle w:val="Para 36"/>
      </w:pPr>
      <w:r>
        <w:t xml:space="preserve">corosync- </w:t>
      </w:r>
      <w:hyperlink w:anchor="page_922">
        <w:r>
          <w:rPr>
            <w:rStyle w:val="Text9"/>
          </w:rPr>
          <w:t>1046</w:t>
        </w:r>
      </w:hyperlink>
      <w:hyperlink w:anchor="page_922">
        <w:r>
          <w:rPr>
            <w:rStyle w:val="Text1"/>
          </w:rPr>
          <w:t xml:space="preserve"> </w:t>
        </w:r>
      </w:hyperlink>
      <w:hyperlink w:anchor="page_922">
        <w:r>
          <w:rPr>
            <w:rStyle w:val="Text9"/>
          </w:rPr>
          <w:t>1047</w:t>
        </w:r>
      </w:hyperlink>
      <w:r>
        <w:t xml:space="preserve"> </w:t>
      </w:r>
      <w:hyperlink r:id="rId1858">
        <w:r>
          <w:rPr>
            <w:rStyle w:val="Text1"/>
          </w:rPr>
          <w:t>Ubuntu</w:t>
        </w:r>
      </w:hyperlink>
      <w:r>
        <w:t xml:space="preserve"> | </w:t>
      </w:r>
      <w:hyperlink r:id="rId1859">
        <w:r>
          <w:rPr>
            <w:rStyle w:val="Text1"/>
          </w:rPr>
          <w:t>Upstream</w:t>
        </w:r>
      </w:hyperlink>
      <w:r>
        <w:t xml:space="preserve"> qdevice</w:t>
      </w:r>
    </w:p>
    <w:p>
      <w:pPr>
        <w:pStyle w:val="Para 36"/>
      </w:pPr>
      <w:r>
        <w:t xml:space="preserve">fence-virt </w:t>
      </w:r>
      <w:hyperlink w:anchor="page_922">
        <w:r>
          <w:rPr>
            <w:rStyle w:val="Text9"/>
          </w:rPr>
          <w:t>1048</w:t>
        </w:r>
      </w:hyperlink>
      <w:hyperlink w:anchor="page_922">
        <w:r>
          <w:rPr>
            <w:rStyle w:val="Text1"/>
          </w:rPr>
          <w:t xml:space="preserve"> </w:t>
        </w:r>
      </w:hyperlink>
      <w:hyperlink w:anchor="page_922">
        <w:r>
          <w:rPr>
            <w:rStyle w:val="Text9"/>
          </w:rPr>
          <w:t>1049</w:t>
        </w:r>
      </w:hyperlink>
      <w:r>
        <w:t xml:space="preserve"> </w:t>
      </w:r>
      <w:hyperlink r:id="rId1860">
        <w:r>
          <w:rPr>
            <w:rStyle w:val="Text1"/>
          </w:rPr>
          <w:t>Ubuntu</w:t>
        </w:r>
      </w:hyperlink>
      <w:r>
        <w:t xml:space="preserve"> | </w:t>
      </w:r>
      <w:hyperlink r:id="rId1861">
        <w:r>
          <w:rPr>
            <w:rStyle w:val="Text1"/>
          </w:rPr>
          <w:t>Upstream</w:t>
        </w:r>
      </w:hyperlink>
    </w:p>
    <w:p>
      <w:pPr>
        <w:pStyle w:val="Para 44"/>
      </w:pPr>
      <w:r>
        <w:rPr>
          <w:rStyle w:val="Text7"/>
        </w:rPr>
        <w:t xml:space="preserve">sbd </w:t>
      </w:r>
      <w:hyperlink w:anchor="page_922">
        <w:r>
          <w:rPr>
            <w:rStyle w:val="Text10"/>
          </w:rPr>
          <w:t>1050</w:t>
        </w:r>
      </w:hyperlink>
      <w:hyperlink w:anchor="page_922">
        <w:r>
          <w:t xml:space="preserve"> </w:t>
        </w:r>
      </w:hyperlink>
      <w:hyperlink w:anchor="page_922">
        <w:r>
          <w:rPr>
            <w:rStyle w:val="Text10"/>
          </w:rPr>
          <w:t>1051</w:t>
        </w:r>
      </w:hyperlink>
      <w:r>
        <w:rPr>
          <w:rStyle w:val="Text7"/>
        </w:rPr>
        <w:t xml:space="preserve"> </w:t>
      </w:r>
      <w:hyperlink r:id="rId1862">
        <w:r>
          <w:t>Ubuntu</w:t>
        </w:r>
      </w:hyperlink>
      <w:r>
        <w:rPr>
          <w:rStyle w:val="Text7"/>
        </w:rPr>
        <w:t xml:space="preserve"> | </w:t>
      </w:r>
      <w:hyperlink r:id="rId1863">
        <w:r>
          <w:t>Upstream</w:t>
        </w:r>
      </w:hyperlink>
    </w:p>
    <w:p>
      <w:pPr>
        <w:pStyle w:val="Para 44"/>
      </w:pPr>
      <w:r>
        <w:rPr>
          <w:rStyle w:val="Text7"/>
        </w:rPr>
        <w:t xml:space="preserve">booth </w:t>
      </w:r>
      <w:hyperlink w:anchor="page_922">
        <w:r>
          <w:rPr>
            <w:rStyle w:val="Text10"/>
          </w:rPr>
          <w:t>1052</w:t>
        </w:r>
      </w:hyperlink>
      <w:hyperlink w:anchor="page_922">
        <w:r>
          <w:t xml:space="preserve"> </w:t>
        </w:r>
      </w:hyperlink>
      <w:hyperlink w:anchor="page_922">
        <w:r>
          <w:rPr>
            <w:rStyle w:val="Text10"/>
          </w:rPr>
          <w:t>1053</w:t>
        </w:r>
      </w:hyperlink>
      <w:r>
        <w:rPr>
          <w:rStyle w:val="Text7"/>
        </w:rPr>
        <w:t xml:space="preserve"> </w:t>
      </w:r>
      <w:hyperlink r:id="rId1864">
        <w:r>
          <w:t>Ubuntu</w:t>
        </w:r>
      </w:hyperlink>
      <w:r>
        <w:rPr>
          <w:rStyle w:val="Text7"/>
        </w:rPr>
        <w:t xml:space="preserve"> | </w:t>
      </w:r>
      <w:hyperlink r:id="rId1865">
        <w:r>
          <w:t>Upstream</w:t>
        </w:r>
      </w:hyperlink>
    </w:p>
    <w:p>
      <w:pPr>
        <w:pStyle w:val="Para 17"/>
      </w:pPr>
      <w:r>
        <w:t/>
      </w:r>
    </w:p>
    <w:p>
      <w:pPr>
        <w:pStyle w:val="Para 04"/>
      </w:pPr>
      <w:r>
        <w:t xml:space="preserve">• </w:t>
      </w:r>
      <w:r>
        <w:rPr>
          <w:rStyle w:val="Text0"/>
        </w:rPr>
        <w:t>Corosync-Qdevice</w:t>
      </w:r>
      <w:r>
        <w:t>- Primarily used for even-node clusters and operates at the corosync</w:t>
      </w:r>
    </w:p>
    <w:p>
      <w:pPr>
        <w:pStyle w:val="Para 02"/>
      </w:pPr>
      <w:r>
        <w:t>(quorum) layer. Corosync-Qdevice is an independent arbiter for solving split-brain situ-ations. (qdevice-net supports multiple algorithms).</w:t>
      </w:r>
    </w:p>
    <w:p>
      <w:pPr>
        <w:pStyle w:val="Para 04"/>
      </w:pPr>
      <w:r>
        <w:t xml:space="preserve">• </w:t>
      </w:r>
      <w:r>
        <w:rPr>
          <w:rStyle w:val="Text0"/>
        </w:rPr>
        <w:t>SBD</w:t>
      </w:r>
      <w:r>
        <w:t>- It is a fencing block device that can be particularly useful in environments where</w:t>
      </w:r>
    </w:p>
    <w:p>
      <w:pPr>
        <w:pStyle w:val="Para 02"/>
      </w:pPr>
      <w:r>
        <w:t>traditional fencing mechanisms are not possible. SBD integrates with Pacemaker, which serves as a watchdog device and shared storage, to arrange for nodes to reliably self-terminate when fencing is required.</w:t>
      </w:r>
    </w:p>
    <w:p>
      <w:pPr>
        <w:pStyle w:val="Para 08"/>
      </w:pPr>
      <w:r>
        <w:t>Note:</w:t>
      </w:r>
    </w:p>
    <w:p>
      <w:pPr>
        <w:pStyle w:val="Para 03"/>
      </w:pPr>
      <w:r>
        <w:rPr>
          <w:rStyle w:val="Text0"/>
        </w:rPr>
        <w:t>pcs</w:t>
      </w:r>
      <w:r>
        <w:t xml:space="preserve"> was added to the main repository in Ubuntu Lunar Lobster (23.04).</w:t>
      </w:r>
    </w:p>
    <w:p>
      <w:pPr>
        <w:pStyle w:val="Para 17"/>
      </w:pPr>
      <w:r>
        <w:t/>
      </w:r>
    </w:p>
    <w:p>
      <w:pPr>
        <w:pStyle w:val="Para 16"/>
      </w:pPr>
      <w:r>
        <w:rPr>
          <w:rStyle w:val="Text5"/>
        </w:rPr>
        <w:t>1042</w:t>
      </w:r>
      <w:r>
        <w:rPr>
          <w:rStyle w:val="Text8"/>
        </w:rPr>
        <w:t xml:space="preserve"> </w:t>
      </w:r>
      <w:r>
        <w:t>https://launchpad.net/ubuntu/+source/libqb</w:t>
      </w:r>
      <w:r>
        <w:rPr>
          <w:rStyle w:val="Text8"/>
        </w:rPr>
        <w:t xml:space="preserve"> </w:t>
      </w:r>
      <w:r>
        <w:rPr>
          <w:rStyle w:val="Text5"/>
        </w:rPr>
        <w:t>1043</w:t>
      </w:r>
      <w:r>
        <w:rPr>
          <w:rStyle w:val="Text8"/>
        </w:rPr>
        <w:t xml:space="preserve"> </w:t>
      </w:r>
      <w:r>
        <w:t>https://github.com/ClusterLabs/pcs</w:t>
      </w:r>
    </w:p>
    <w:p>
      <w:pPr>
        <w:pStyle w:val="Para 16"/>
      </w:pPr>
      <w:r>
        <w:rPr>
          <w:rStyle w:val="Text5"/>
        </w:rPr>
        <w:t>1044</w:t>
      </w:r>
      <w:r>
        <w:rPr>
          <w:rStyle w:val="Text8"/>
        </w:rPr>
        <w:t xml:space="preserve"> </w:t>
      </w:r>
      <w:r>
        <w:t>https://launchpad.net/ubuntu/+source/csync2</w:t>
      </w:r>
      <w:r>
        <w:rPr>
          <w:rStyle w:val="Text8"/>
        </w:rPr>
        <w:t xml:space="preserve"> </w:t>
      </w:r>
      <w:r>
        <w:rPr>
          <w:rStyle w:val="Text5"/>
        </w:rPr>
        <w:t>1045</w:t>
      </w:r>
      <w:r>
        <w:rPr>
          <w:rStyle w:val="Text8"/>
        </w:rPr>
        <w:t xml:space="preserve"> </w:t>
      </w:r>
      <w:r>
        <w:t>https://github.com/LINBIT/csync2</w:t>
      </w:r>
    </w:p>
    <w:p>
      <w:pPr>
        <w:pStyle w:val="Para 16"/>
      </w:pPr>
      <w:r>
        <w:rPr>
          <w:rStyle w:val="Text5"/>
        </w:rPr>
        <w:t>1046</w:t>
      </w:r>
      <w:r>
        <w:rPr>
          <w:rStyle w:val="Text8"/>
        </w:rPr>
        <w:t xml:space="preserve"> </w:t>
      </w:r>
      <w:r>
        <w:t>https://launchpad.net/ubuntu/+source/corosync-qdevice</w:t>
      </w:r>
      <w:r>
        <w:rPr>
          <w:rStyle w:val="Text8"/>
        </w:rPr>
        <w:t xml:space="preserve"> </w:t>
      </w:r>
      <w:r>
        <w:rPr>
          <w:rStyle w:val="Text5"/>
        </w:rPr>
        <w:t>1047</w:t>
      </w:r>
      <w:r>
        <w:rPr>
          <w:rStyle w:val="Text8"/>
        </w:rPr>
        <w:t xml:space="preserve"> </w:t>
      </w:r>
      <w:r>
        <w:t>https://github.com/corosync/corosync-qdevice</w:t>
      </w:r>
      <w:r>
        <w:rPr>
          <w:rStyle w:val="Text8"/>
        </w:rPr>
        <w:t xml:space="preserve"> </w:t>
      </w:r>
      <w:r>
        <w:rPr>
          <w:rStyle w:val="Text5"/>
        </w:rPr>
        <w:t>1048</w:t>
      </w:r>
      <w:r>
        <w:rPr>
          <w:rStyle w:val="Text8"/>
        </w:rPr>
        <w:t xml:space="preserve"> </w:t>
      </w:r>
      <w:r>
        <w:t>https://launchpad.net/ubuntu/+source/fence-virt</w:t>
      </w:r>
      <w:r>
        <w:rPr>
          <w:rStyle w:val="Text8"/>
        </w:rPr>
        <w:t xml:space="preserve"> </w:t>
      </w:r>
      <w:r>
        <w:rPr>
          <w:rStyle w:val="Text5"/>
        </w:rPr>
        <w:t>1049</w:t>
      </w:r>
      <w:r>
        <w:rPr>
          <w:rStyle w:val="Text8"/>
        </w:rPr>
        <w:t xml:space="preserve"> </w:t>
      </w:r>
      <w:r>
        <w:t>https://github.com/ClusterLabs/fence-virt</w:t>
      </w:r>
    </w:p>
    <w:p>
      <w:pPr>
        <w:pStyle w:val="Para 16"/>
      </w:pPr>
      <w:r>
        <w:rPr>
          <w:rStyle w:val="Text5"/>
        </w:rPr>
        <w:t>1050</w:t>
      </w:r>
      <w:r>
        <w:rPr>
          <w:rStyle w:val="Text8"/>
        </w:rPr>
        <w:t xml:space="preserve"> </w:t>
      </w:r>
      <w:r>
        <w:t>https://launchpad.net/ubuntu/+source/sbd</w:t>
      </w:r>
    </w:p>
    <w:p>
      <w:pPr>
        <w:pStyle w:val="Para 16"/>
      </w:pPr>
      <w:r>
        <w:rPr>
          <w:rStyle w:val="Text5"/>
        </w:rPr>
        <w:t>1051</w:t>
      </w:r>
      <w:r>
        <w:rPr>
          <w:rStyle w:val="Text8"/>
        </w:rPr>
        <w:t xml:space="preserve"> </w:t>
      </w:r>
      <w:r>
        <w:t>https://github.com/ClusterLabs/sbd</w:t>
      </w:r>
    </w:p>
    <w:p>
      <w:pPr>
        <w:pStyle w:val="Para 16"/>
      </w:pPr>
      <w:r>
        <w:rPr>
          <w:rStyle w:val="Text5"/>
        </w:rPr>
        <w:t>1052</w:t>
      </w:r>
      <w:r>
        <w:rPr>
          <w:rStyle w:val="Text8"/>
        </w:rPr>
        <w:t xml:space="preserve"> </w:t>
      </w:r>
      <w:r>
        <w:t>https://launchpad.net/ubuntu/+source/booth</w:t>
      </w:r>
      <w:r>
        <w:rPr>
          <w:rStyle w:val="Text8"/>
        </w:rPr>
        <w:t xml:space="preserve"> </w:t>
      </w:r>
      <w:r>
        <w:rPr>
          <w:rStyle w:val="Text5"/>
        </w:rPr>
        <w:t>1053</w:t>
      </w:r>
      <w:r>
        <w:rPr>
          <w:rStyle w:val="Text8"/>
        </w:rPr>
        <w:t xml:space="preserve"> </w:t>
      </w:r>
      <w:r>
        <w:t>https://github.com/ClusterLabs/booth</w:t>
      </w:r>
    </w:p>
    <w:p>
      <w:bookmarkStart w:id="1459" w:name="calibre_pb_268"/>
      <w:pPr>
        <w:pStyle w:val="0 Block"/>
      </w:pPr>
      <w:bookmarkEnd w:id="1459"/>
    </w:p>
    <w:p>
      <w:bookmarkStart w:id="1460" w:name="page_923"/>
      <w:bookmarkStart w:id="1461" w:name="Top_of_index_split_26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2" name="index-923_1.png" descr="index-923_1.png"/>
            <wp:cNvGraphicFramePr>
              <a:graphicFrameLocks noChangeAspect="1"/>
            </wp:cNvGraphicFramePr>
            <a:graphic>
              <a:graphicData uri="http://schemas.openxmlformats.org/drawingml/2006/picture">
                <pic:pic>
                  <pic:nvPicPr>
                    <pic:cNvPr id="0" name="index-923_1.png" descr="index-923_1.png"/>
                    <pic:cNvPicPr/>
                  </pic:nvPicPr>
                  <pic:blipFill>
                    <a:blip r:embed="rId966"/>
                    <a:stretch>
                      <a:fillRect/>
                    </a:stretch>
                  </pic:blipFill>
                  <pic:spPr>
                    <a:xfrm>
                      <a:off x="0" y="0"/>
                      <a:ext cx="914400" cy="266700"/>
                    </a:xfrm>
                    <a:prstGeom prst="rect">
                      <a:avLst/>
                    </a:prstGeom>
                  </pic:spPr>
                </pic:pic>
              </a:graphicData>
            </a:graphic>
          </wp:anchor>
        </w:drawing>
      </w:r>
      <w:bookmarkEnd w:id="1460"/>
      <w:bookmarkEnd w:id="1461"/>
    </w:p>
    <w:p>
      <w:pPr>
        <w:pStyle w:val="Para 01"/>
      </w:pPr>
      <w:r>
        <w:t>Ubuntu HA deprecated packages</w:t>
      </w:r>
    </w:p>
    <w:p>
      <w:pPr>
        <w:pStyle w:val="Para 17"/>
      </w:pPr>
      <w:r>
        <w:t/>
      </w:r>
    </w:p>
    <w:p>
      <w:pPr>
        <w:pStyle w:val="Normal"/>
      </w:pPr>
      <w:r>
        <w:t xml:space="preserve">Packages in this list are </w:t>
      </w:r>
      <w:r>
        <w:rPr>
          <w:rStyle w:val="Text0"/>
        </w:rPr>
        <w:t>only supported by the upstream community</w:t>
      </w:r>
      <w:r>
        <w:t xml:space="preserve"> . All bugs opened against these agents will be forwarded to upstream </w:t>
      </w:r>
      <w:r>
        <w:rPr>
          <w:rStyle w:val="Text0"/>
        </w:rPr>
        <w:t>if</w:t>
      </w:r>
      <w:r>
        <w:t xml:space="preserve"> it makes sense (the affected version is closer to upstream).</w:t>
      </w:r>
    </w:p>
    <w:p>
      <w:pPr>
        <w:pStyle w:val="Para 17"/>
      </w:pPr>
      <w:r>
        <w:t/>
      </w:r>
    </w:p>
    <w:p>
      <w:pPr>
        <w:pStyle w:val="Para 33"/>
      </w:pPr>
      <w:r>
        <w:t>Package URL</w:t>
      </w:r>
    </w:p>
    <w:p>
      <w:pPr>
        <w:pStyle w:val="Para 33"/>
      </w:pPr>
      <w:r>
        <w:t xml:space="preserve">ocfs2-tools </w:t>
      </w:r>
      <w:hyperlink w:anchor="page_923">
        <w:r>
          <w:rPr>
            <w:rStyle w:val="Text9"/>
          </w:rPr>
          <w:t>1054</w:t>
        </w:r>
      </w:hyperlink>
      <w:r>
        <w:t xml:space="preserve"> </w:t>
      </w:r>
      <w:hyperlink r:id="rId1866">
        <w:r>
          <w:rPr>
            <w:rStyle w:val="Text9"/>
          </w:rPr>
          <w:t>1055</w:t>
        </w:r>
      </w:hyperlink>
      <w:r>
        <w:t xml:space="preserve"> </w:t>
      </w:r>
      <w:hyperlink r:id="rId1867">
        <w:r>
          <w:rPr>
            <w:rStyle w:val="Text1"/>
          </w:rPr>
          <w:t>Ubuntu</w:t>
        </w:r>
      </w:hyperlink>
      <w:r>
        <w:t xml:space="preserve"> | </w:t>
      </w:r>
      <w:hyperlink r:id="rId1866">
        <w:r>
          <w:rPr>
            <w:rStyle w:val="Text1"/>
          </w:rPr>
          <w:t>Upstream</w:t>
        </w:r>
      </w:hyperlink>
    </w:p>
    <w:p>
      <w:pPr>
        <w:pStyle w:val="Para 17"/>
      </w:pPr>
      <w:r>
        <w:t/>
      </w:r>
    </w:p>
    <w:p>
      <w:pPr>
        <w:pStyle w:val="Para 01"/>
      </w:pPr>
      <w:r>
        <w:t>Ubuntu HA related packages</w:t>
      </w:r>
    </w:p>
    <w:p>
      <w:pPr>
        <w:pStyle w:val="Para 17"/>
      </w:pPr>
      <w:r>
        <w:t/>
      </w:r>
    </w:p>
    <w:p>
      <w:pPr>
        <w:pStyle w:val="Normal"/>
      </w:pPr>
      <w:r>
        <w:t xml:space="preserve">Packages in this list aren’t necessarily </w:t>
      </w:r>
      <w:r>
        <w:rPr>
          <w:rStyle w:val="Text0"/>
        </w:rPr>
        <w:t>HA</w:t>
      </w:r>
      <w:r>
        <w:t xml:space="preserve"> related packages, but they play a very important role in High Availability Clusters and are supported like any other package provided by the </w:t>
      </w:r>
      <w:r>
        <w:rPr>
          <w:rStyle w:val="Text0"/>
        </w:rPr>
        <w:t>main</w:t>
      </w:r>
      <w:r>
        <w:t xml:space="preserve"> repository.</w:t>
      </w:r>
    </w:p>
    <w:p>
      <w:pPr>
        <w:pStyle w:val="Para 17"/>
      </w:pPr>
      <w:r>
        <w:t/>
      </w:r>
    </w:p>
    <w:p>
      <w:pPr>
        <w:pStyle w:val="Para 36"/>
      </w:pPr>
      <w:r>
        <w:t>Package URL</w:t>
      </w:r>
    </w:p>
    <w:p>
      <w:pPr>
        <w:pStyle w:val="Para 36"/>
      </w:pPr>
      <w:r>
        <w:t xml:space="preserve">multipath-tools </w:t>
      </w:r>
      <w:hyperlink r:id="rId1868">
        <w:r>
          <w:rPr>
            <w:rStyle w:val="Text9"/>
          </w:rPr>
          <w:t>1056</w:t>
        </w:r>
      </w:hyperlink>
      <w:r>
        <w:t xml:space="preserve"> </w:t>
      </w:r>
      <w:hyperlink w:anchor="page_923">
        <w:r>
          <w:rPr>
            <w:rStyle w:val="Text9"/>
          </w:rPr>
          <w:t>1057</w:t>
        </w:r>
      </w:hyperlink>
      <w:hyperlink w:anchor="page_923">
        <w:r>
          <w:rPr>
            <w:rStyle w:val="Text1"/>
          </w:rPr>
          <w:t xml:space="preserve"> Ubuntu</w:t>
        </w:r>
      </w:hyperlink>
      <w:r>
        <w:t xml:space="preserve"> | </w:t>
      </w:r>
      <w:hyperlink r:id="rId1869">
        <w:r>
          <w:rPr>
            <w:rStyle w:val="Text1"/>
          </w:rPr>
          <w:t>Upstream</w:t>
        </w:r>
      </w:hyperlink>
    </w:p>
    <w:p>
      <w:pPr>
        <w:pStyle w:val="Para 36"/>
      </w:pPr>
      <w:r>
        <w:t xml:space="preserve">open-iscsi </w:t>
      </w:r>
      <w:hyperlink r:id="rId1870">
        <w:r>
          <w:rPr>
            <w:rStyle w:val="Text9"/>
          </w:rPr>
          <w:t>1058</w:t>
        </w:r>
      </w:hyperlink>
      <w:r>
        <w:t xml:space="preserve"> </w:t>
      </w:r>
      <w:hyperlink w:anchor="page_923">
        <w:r>
          <w:rPr>
            <w:rStyle w:val="Text9"/>
          </w:rPr>
          <w:t>1059</w:t>
        </w:r>
      </w:hyperlink>
      <w:hyperlink w:anchor="page_923">
        <w:r>
          <w:rPr>
            <w:rStyle w:val="Text1"/>
          </w:rPr>
          <w:t xml:space="preserve"> Ubuntu</w:t>
        </w:r>
      </w:hyperlink>
      <w:r>
        <w:t xml:space="preserve"> | </w:t>
      </w:r>
      <w:hyperlink r:id="rId1871">
        <w:r>
          <w:rPr>
            <w:rStyle w:val="Text1"/>
          </w:rPr>
          <w:t>Upstream</w:t>
        </w:r>
      </w:hyperlink>
    </w:p>
    <w:p>
      <w:pPr>
        <w:pStyle w:val="Para 44"/>
      </w:pPr>
      <w:r>
        <w:rPr>
          <w:rStyle w:val="Text7"/>
        </w:rPr>
        <w:t xml:space="preserve">sg3-utils </w:t>
      </w:r>
      <w:hyperlink r:id="rId1872">
        <w:r>
          <w:rPr>
            <w:rStyle w:val="Text10"/>
          </w:rPr>
          <w:t>1060</w:t>
        </w:r>
      </w:hyperlink>
      <w:r>
        <w:rPr>
          <w:rStyle w:val="Text7"/>
        </w:rPr>
        <w:t xml:space="preserve"> </w:t>
      </w:r>
      <w:hyperlink w:anchor="page_923">
        <w:r>
          <w:rPr>
            <w:rStyle w:val="Text10"/>
          </w:rPr>
          <w:t>1061</w:t>
        </w:r>
      </w:hyperlink>
      <w:hyperlink w:anchor="page_923">
        <w:r>
          <w:t xml:space="preserve"> Ubuntu</w:t>
        </w:r>
      </w:hyperlink>
      <w:r>
        <w:rPr>
          <w:rStyle w:val="Text7"/>
        </w:rPr>
        <w:t xml:space="preserve"> | </w:t>
      </w:r>
      <w:hyperlink r:id="rId1873">
        <w:r>
          <w:t>Upstream</w:t>
        </w:r>
      </w:hyperlink>
    </w:p>
    <w:p>
      <w:pPr>
        <w:pStyle w:val="Para 36"/>
      </w:pPr>
      <w:r>
        <w:t xml:space="preserve">tgt </w:t>
      </w:r>
      <w:hyperlink r:id="rId1874">
        <w:r>
          <w:rPr>
            <w:rStyle w:val="Text9"/>
          </w:rPr>
          <w:t>1062</w:t>
        </w:r>
      </w:hyperlink>
      <w:r>
        <w:t xml:space="preserve"> </w:t>
      </w:r>
      <w:hyperlink w:anchor="page_923">
        <w:r>
          <w:rPr>
            <w:rStyle w:val="Text9"/>
          </w:rPr>
          <w:t>1063</w:t>
        </w:r>
      </w:hyperlink>
      <w:r>
        <w:t xml:space="preserve"> OR targetcli-fb * </w:t>
      </w:r>
      <w:hyperlink r:id="rId1874">
        <w:r>
          <w:rPr>
            <w:rStyle w:val="Text1"/>
          </w:rPr>
          <w:t>Ubuntu</w:t>
        </w:r>
      </w:hyperlink>
      <w:r>
        <w:t xml:space="preserve"> | </w:t>
      </w:r>
      <w:hyperlink r:id="rId1875">
        <w:r>
          <w:rPr>
            <w:rStyle w:val="Text1"/>
          </w:rPr>
          <w:t>Upstream</w:t>
        </w:r>
      </w:hyperlink>
    </w:p>
    <w:p>
      <w:pPr>
        <w:pStyle w:val="Para 44"/>
      </w:pPr>
      <w:r>
        <w:rPr>
          <w:rStyle w:val="Text7"/>
        </w:rPr>
        <w:t xml:space="preserve">lvm2 </w:t>
      </w:r>
      <w:hyperlink r:id="rId1876">
        <w:r>
          <w:rPr>
            <w:rStyle w:val="Text10"/>
          </w:rPr>
          <w:t>1064</w:t>
        </w:r>
      </w:hyperlink>
      <w:r>
        <w:rPr>
          <w:rStyle w:val="Text7"/>
        </w:rPr>
        <w:t xml:space="preserve"> </w:t>
      </w:r>
      <w:hyperlink w:anchor="page_923">
        <w:r>
          <w:rPr>
            <w:rStyle w:val="Text10"/>
          </w:rPr>
          <w:t>1065</w:t>
        </w:r>
      </w:hyperlink>
      <w:hyperlink w:anchor="page_923">
        <w:r>
          <w:t xml:space="preserve"> Ubuntu</w:t>
        </w:r>
      </w:hyperlink>
      <w:r>
        <w:rPr>
          <w:rStyle w:val="Text7"/>
        </w:rPr>
        <w:t xml:space="preserve"> | </w:t>
      </w:r>
      <w:hyperlink r:id="rId1877">
        <w:r>
          <w:t>Upstream</w:t>
        </w:r>
      </w:hyperlink>
    </w:p>
    <w:p>
      <w:pPr>
        <w:pStyle w:val="Para 17"/>
      </w:pPr>
      <w:r>
        <w:t/>
      </w:r>
    </w:p>
    <w:p>
      <w:pPr>
        <w:pStyle w:val="Para 04"/>
      </w:pPr>
      <w:r>
        <w:t xml:space="preserve">• </w:t>
      </w:r>
      <w:r>
        <w:rPr>
          <w:rStyle w:val="Text0"/>
        </w:rPr>
        <w:t>LVM2</w:t>
      </w:r>
      <w:r>
        <w:t xml:space="preserve"> in a Shared-Storage Cluster Scenario</w:t>
      </w:r>
    </w:p>
    <w:p>
      <w:pPr>
        <w:pStyle w:val="Para 02"/>
      </w:pPr>
      <w:r>
        <w:rPr>
          <w:rStyle w:val="Text0"/>
        </w:rPr>
        <w:t>CLVM</w:t>
      </w:r>
      <w:r>
        <w:t xml:space="preserve">- supported before </w:t>
      </w:r>
      <w:r>
        <w:rPr>
          <w:rStyle w:val="Text0"/>
        </w:rPr>
        <w:t>Ubuntu 20.04</w:t>
      </w:r>
    </w:p>
    <w:p>
      <w:pPr>
        <w:pStyle w:val="Para 02"/>
      </w:pPr>
      <w:r>
        <w:t xml:space="preserve">A distributed lock manager (DLM) is used to broker concurrent </w:t>
      </w:r>
      <w:hyperlink w:anchor="page_694">
        <w:r>
          <w:rPr>
            <w:rStyle w:val="Text2"/>
          </w:rPr>
          <w:t>LVM</w:t>
        </w:r>
      </w:hyperlink>
      <w:r>
        <w:t xml:space="preserve"> metadata accesses. Whenever a cluster node needs to modify the LVM metadata, it must secure permis-sion from its local clvmd , which is in constant contact with other clvmd daemons in the</w:t>
      </w:r>
    </w:p>
    <w:p>
      <w:pPr>
        <w:pStyle w:val="Para 02"/>
      </w:pPr>
      <w:r>
        <w:t xml:space="preserve">cluster and can communicate a need to lock a particular set of objects. </w:t>
      </w:r>
      <w:hyperlink w:anchor="page_923">
        <w:r>
          <w:rPr>
            <w:rStyle w:val="Text9"/>
          </w:rPr>
          <w:t>1066</w:t>
        </w:r>
      </w:hyperlink>
      <w:r>
        <w:t xml:space="preserve"> </w:t>
      </w:r>
      <w:hyperlink r:id="rId1878">
        <w:r>
          <w:rPr>
            <w:rStyle w:val="Text13"/>
          </w:rPr>
          <w:t>lvmlockd(8)</w:t>
        </w:r>
      </w:hyperlink>
    </w:p>
    <w:p>
      <w:pPr>
        <w:pStyle w:val="Para 02"/>
      </w:pPr>
      <w:r>
        <w:t xml:space="preserve">- supported after </w:t>
      </w:r>
      <w:r>
        <w:rPr>
          <w:rStyle w:val="Text0"/>
        </w:rPr>
        <w:t>Ubuntu 20.04</w:t>
      </w:r>
      <w:r>
        <w:t xml:space="preserve"> As of 2017, a stable LVM component that is designed to replace clvmd by making the locking of LVM objects transparent to the rest of LVM, without relying on a distributed lock manager. The lvmlockd benefits over clvm are:</w:t>
      </w:r>
    </w:p>
    <w:p>
      <w:pPr>
        <w:pStyle w:val="Para 16"/>
      </w:pPr>
      <w:r>
        <w:rPr>
          <w:rStyle w:val="Text5"/>
        </w:rPr>
        <w:t>1054</w:t>
      </w:r>
      <w:r>
        <w:rPr>
          <w:rStyle w:val="Text8"/>
        </w:rPr>
        <w:t xml:space="preserve"> </w:t>
      </w:r>
      <w:r>
        <w:t>https://launchpad.net/ubuntu/+source/ocfs2-tools</w:t>
      </w:r>
      <w:r>
        <w:rPr>
          <w:rStyle w:val="Text8"/>
        </w:rPr>
        <w:t xml:space="preserve"> </w:t>
      </w:r>
      <w:r>
        <w:rPr>
          <w:rStyle w:val="Text5"/>
        </w:rPr>
        <w:t>1055</w:t>
      </w:r>
      <w:r>
        <w:rPr>
          <w:rStyle w:val="Text8"/>
        </w:rPr>
        <w:t xml:space="preserve"> </w:t>
      </w:r>
      <w:r>
        <w:t>https://github.com/markfasheh/ocfs2-tools</w:t>
      </w:r>
    </w:p>
    <w:p>
      <w:pPr>
        <w:pStyle w:val="Para 16"/>
      </w:pPr>
      <w:r>
        <w:rPr>
          <w:rStyle w:val="Text5"/>
        </w:rPr>
        <w:t>1056</w:t>
      </w:r>
      <w:r>
        <w:rPr>
          <w:rStyle w:val="Text8"/>
        </w:rPr>
        <w:t xml:space="preserve"> </w:t>
      </w:r>
      <w:r>
        <w:t>https://launchpad.net/ubuntu/+source/multipath-tools</w:t>
      </w:r>
      <w:r>
        <w:rPr>
          <w:rStyle w:val="Text8"/>
        </w:rPr>
        <w:t xml:space="preserve"> </w:t>
      </w:r>
      <w:r>
        <w:rPr>
          <w:rStyle w:val="Text5"/>
        </w:rPr>
        <w:t>1057</w:t>
      </w:r>
      <w:r>
        <w:rPr>
          <w:rStyle w:val="Text8"/>
        </w:rPr>
        <w:t xml:space="preserve"> </w:t>
      </w:r>
      <w:r>
        <w:t>https://github.com/opensvc/multipath-tools</w:t>
      </w:r>
      <w:r>
        <w:rPr>
          <w:rStyle w:val="Text8"/>
        </w:rPr>
        <w:t xml:space="preserve"> </w:t>
      </w:r>
      <w:r>
        <w:rPr>
          <w:rStyle w:val="Text5"/>
        </w:rPr>
        <w:t>1058</w:t>
      </w:r>
      <w:r>
        <w:rPr>
          <w:rStyle w:val="Text8"/>
        </w:rPr>
        <w:t xml:space="preserve"> </w:t>
      </w:r>
      <w:r>
        <w:t>https://launchpad.net/ubuntu/+source/open-iscsi</w:t>
      </w:r>
      <w:r>
        <w:rPr>
          <w:rStyle w:val="Text8"/>
        </w:rPr>
        <w:t xml:space="preserve"> </w:t>
      </w:r>
      <w:r>
        <w:rPr>
          <w:rStyle w:val="Text5"/>
        </w:rPr>
        <w:t>1059</w:t>
      </w:r>
      <w:r>
        <w:rPr>
          <w:rStyle w:val="Text8"/>
        </w:rPr>
        <w:t xml:space="preserve"> </w:t>
      </w:r>
      <w:r>
        <w:t>https://github.com/open-iscsi/open-iscsi</w:t>
      </w:r>
    </w:p>
    <w:p>
      <w:pPr>
        <w:pStyle w:val="Para 16"/>
      </w:pPr>
      <w:r>
        <w:rPr>
          <w:rStyle w:val="Text5"/>
        </w:rPr>
        <w:t>1060</w:t>
      </w:r>
      <w:r>
        <w:rPr>
          <w:rStyle w:val="Text8"/>
        </w:rPr>
        <w:t xml:space="preserve"> </w:t>
      </w:r>
      <w:r>
        <w:t>https://launchpad.net/ubuntu/+source/sg3-utils</w:t>
      </w:r>
      <w:r>
        <w:rPr>
          <w:rStyle w:val="Text8"/>
        </w:rPr>
        <w:t xml:space="preserve"> </w:t>
      </w:r>
      <w:r>
        <w:rPr>
          <w:rStyle w:val="Text5"/>
        </w:rPr>
        <w:t>1061</w:t>
      </w:r>
      <w:r>
        <w:rPr>
          <w:rStyle w:val="Text8"/>
        </w:rPr>
        <w:t xml:space="preserve"> </w:t>
      </w:r>
      <w:r>
        <w:t>http://sg.danny.cz/sg/sg3_utils.html</w:t>
      </w:r>
    </w:p>
    <w:p>
      <w:pPr>
        <w:pStyle w:val="Para 16"/>
      </w:pPr>
      <w:r>
        <w:rPr>
          <w:rStyle w:val="Text5"/>
        </w:rPr>
        <w:t>1062</w:t>
      </w:r>
      <w:r>
        <w:rPr>
          <w:rStyle w:val="Text8"/>
        </w:rPr>
        <w:t xml:space="preserve"> </w:t>
      </w:r>
      <w:r>
        <w:t>https://launchpad.net/ubuntu/+source/tgt</w:t>
      </w:r>
    </w:p>
    <w:p>
      <w:pPr>
        <w:pStyle w:val="Para 16"/>
      </w:pPr>
      <w:r>
        <w:rPr>
          <w:rStyle w:val="Text5"/>
        </w:rPr>
        <w:t>1063</w:t>
      </w:r>
      <w:r>
        <w:rPr>
          <w:rStyle w:val="Text8"/>
        </w:rPr>
        <w:t xml:space="preserve"> </w:t>
      </w:r>
      <w:r>
        <w:t>https://github.com/fujita/tgt</w:t>
      </w:r>
    </w:p>
    <w:p>
      <w:pPr>
        <w:pStyle w:val="Para 16"/>
      </w:pPr>
      <w:r>
        <w:rPr>
          <w:rStyle w:val="Text5"/>
        </w:rPr>
        <w:t>1064</w:t>
      </w:r>
      <w:r>
        <w:rPr>
          <w:rStyle w:val="Text8"/>
        </w:rPr>
        <w:t xml:space="preserve"> </w:t>
      </w:r>
      <w:r>
        <w:t>https://launchpad.net/ubuntu/+source/lvm2</w:t>
      </w:r>
      <w:r>
        <w:rPr>
          <w:rStyle w:val="Text8"/>
        </w:rPr>
        <w:t xml:space="preserve"> </w:t>
      </w:r>
      <w:r>
        <w:rPr>
          <w:rStyle w:val="Text5"/>
        </w:rPr>
        <w:t>1065</w:t>
      </w:r>
      <w:r>
        <w:rPr>
          <w:rStyle w:val="Text8"/>
        </w:rPr>
        <w:t xml:space="preserve"> </w:t>
      </w:r>
      <w:r>
        <w:t>https://sourceware.org/lvm2/</w:t>
      </w:r>
    </w:p>
    <w:p>
      <w:pPr>
        <w:pStyle w:val="Para 16"/>
      </w:pPr>
      <w:r>
        <w:rPr>
          <w:rStyle w:val="Text5"/>
        </w:rPr>
        <w:t>1066</w:t>
      </w:r>
      <w:r>
        <w:rPr>
          <w:rStyle w:val="Text8"/>
        </w:rPr>
        <w:t xml:space="preserve"> </w:t>
      </w:r>
      <w:r>
        <w:t>https://manpages.ubuntu.com/manpages/resolute/man8/lvmlockd.8.html</w:t>
      </w:r>
    </w:p>
    <w:p>
      <w:bookmarkStart w:id="1462" w:name="page_9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3" name="index-924_1.png" descr="index-924_1.png"/>
            <wp:cNvGraphicFramePr>
              <a:graphicFrameLocks noChangeAspect="1"/>
            </wp:cNvGraphicFramePr>
            <a:graphic>
              <a:graphicData uri="http://schemas.openxmlformats.org/drawingml/2006/picture">
                <pic:pic>
                  <pic:nvPicPr>
                    <pic:cNvPr id="0" name="index-924_1.png" descr="index-924_1.png"/>
                    <pic:cNvPicPr/>
                  </pic:nvPicPr>
                  <pic:blipFill>
                    <a:blip r:embed="rId967"/>
                    <a:stretch>
                      <a:fillRect/>
                    </a:stretch>
                  </pic:blipFill>
                  <pic:spPr>
                    <a:xfrm>
                      <a:off x="0" y="0"/>
                      <a:ext cx="914400" cy="266700"/>
                    </a:xfrm>
                    <a:prstGeom prst="rect">
                      <a:avLst/>
                    </a:prstGeom>
                  </pic:spPr>
                </pic:pic>
              </a:graphicData>
            </a:graphic>
          </wp:anchor>
        </w:drawing>
      </w:r>
      <w:bookmarkEnd w:id="1462"/>
    </w:p>
    <w:p>
      <w:pPr>
        <w:pStyle w:val="Para 06"/>
      </w:pPr>
      <w:r>
        <w:rPr>
          <w:rStyle w:val="Text0"/>
        </w:rPr>
        <w:t>–</w:t>
      </w:r>
      <w:r>
        <w:t xml:space="preserve"> lvmlockd supports two cluster locking plugins: DLM and SANLOCK. SANLOCK plu-</w:t>
      </w:r>
    </w:p>
    <w:p>
      <w:pPr>
        <w:pStyle w:val="Para 11"/>
      </w:pPr>
      <w:r>
        <w:t>gin can supports up to ~2000 nodes that benefits LVM usage in big virtualization / storage cluster, while DLM plugin fits HA cluster.</w:t>
      </w:r>
    </w:p>
    <w:p>
      <w:pPr>
        <w:pStyle w:val="Para 06"/>
      </w:pPr>
      <w:r>
        <w:rPr>
          <w:rStyle w:val="Text0"/>
        </w:rPr>
        <w:t>–</w:t>
      </w:r>
      <w:r>
        <w:t xml:space="preserve"> lvmlockd has better design than clvmd. clvmd is a command-line level based locking</w:t>
      </w:r>
    </w:p>
    <w:p>
      <w:pPr>
        <w:pStyle w:val="Para 11"/>
      </w:pPr>
      <w:r>
        <w:t>system, which means the whole LVM software will freeze if any LVM command gets a dead-locking issue.</w:t>
      </w:r>
    </w:p>
    <w:p>
      <w:pPr>
        <w:pStyle w:val="Para 06"/>
      </w:pPr>
      <w:r>
        <w:rPr>
          <w:rStyle w:val="Text0"/>
        </w:rPr>
        <w:t>–</w:t>
      </w:r>
      <w:r>
        <w:t xml:space="preserve"> lvmlockd can work with lvmetad.</w:t>
      </w:r>
    </w:p>
    <w:p>
      <w:pPr>
        <w:pStyle w:val="Para 08"/>
      </w:pPr>
      <w:r>
        <w:t>Note:</w:t>
      </w:r>
    </w:p>
    <w:p>
      <w:pPr>
        <w:pStyle w:val="Para 03"/>
      </w:pPr>
      <w:r>
        <w:t>targetcli-fb (Linux LIO) will likely replace tgt in future Ubuntu versions.</w:t>
      </w:r>
    </w:p>
    <w:p>
      <w:pPr>
        <w:pStyle w:val="Para 17"/>
      </w:pPr>
      <w:r>
        <w:t/>
      </w:r>
    </w:p>
    <w:p>
      <w:pPr>
        <w:pStyle w:val="Para 01"/>
      </w:pPr>
      <w:r>
        <w:t>Upstream documentation</w:t>
      </w:r>
    </w:p>
    <w:p>
      <w:pPr>
        <w:pStyle w:val="Para 17"/>
      </w:pPr>
      <w:r>
        <w:t/>
      </w:r>
    </w:p>
    <w:p>
      <w:pPr>
        <w:pStyle w:val="Normal"/>
      </w:pPr>
      <w:r>
        <w:t>The Server documentation is not intended to document every option for all the HA related software described in this page. More complete documentation can be found upstream at:</w:t>
      </w:r>
    </w:p>
    <w:p>
      <w:pPr>
        <w:pStyle w:val="Para 04"/>
      </w:pPr>
      <w:r>
        <w:t>• ClusterLabs</w:t>
      </w:r>
    </w:p>
    <w:p>
      <w:pPr>
        <w:pStyle w:val="Para 27"/>
      </w:pPr>
      <w:r>
        <w:rPr>
          <w:rStyle w:val="Text18"/>
        </w:rPr>
        <w:t>–</w:t>
      </w:r>
      <w:r>
        <w:rPr>
          <w:rStyle w:val="Text7"/>
        </w:rPr>
        <w:t xml:space="preserve"> </w:t>
      </w:r>
      <w:hyperlink r:id="rId1879">
        <w:r>
          <w:rPr>
            <w:rStyle w:val="Text10"/>
          </w:rPr>
          <w:t>1067</w:t>
        </w:r>
      </w:hyperlink>
      <w:r>
        <w:rPr>
          <w:rStyle w:val="Text7"/>
        </w:rPr>
        <w:t xml:space="preserve"> </w:t>
      </w:r>
      <w:hyperlink r:id="rId1879">
        <w:r>
          <w:t>Clusters From Scratch</w:t>
        </w:r>
      </w:hyperlink>
    </w:p>
    <w:p>
      <w:pPr>
        <w:pStyle w:val="Para 27"/>
      </w:pPr>
      <w:r>
        <w:rPr>
          <w:rStyle w:val="Text18"/>
        </w:rPr>
        <w:t>–</w:t>
      </w:r>
      <w:r>
        <w:rPr>
          <w:rStyle w:val="Text7"/>
        </w:rPr>
        <w:t xml:space="preserve"> </w:t>
      </w:r>
      <w:hyperlink w:anchor="page_924">
        <w:r>
          <w:rPr>
            <w:rStyle w:val="Text10"/>
          </w:rPr>
          <w:t>1068</w:t>
        </w:r>
      </w:hyperlink>
      <w:r>
        <w:rPr>
          <w:rStyle w:val="Text7"/>
        </w:rPr>
        <w:t xml:space="preserve"> </w:t>
      </w:r>
      <w:hyperlink r:id="rId1880">
        <w:r>
          <w:t>Managing Pacemaker Clusters</w:t>
        </w:r>
      </w:hyperlink>
    </w:p>
    <w:p>
      <w:pPr>
        <w:pStyle w:val="Para 27"/>
      </w:pPr>
      <w:r>
        <w:rPr>
          <w:rStyle w:val="Text18"/>
        </w:rPr>
        <w:t>–</w:t>
      </w:r>
      <w:r>
        <w:rPr>
          <w:rStyle w:val="Text7"/>
        </w:rPr>
        <w:t xml:space="preserve"> </w:t>
      </w:r>
      <w:hyperlink w:anchor="page_924">
        <w:r>
          <w:rPr>
            <w:rStyle w:val="Text10"/>
          </w:rPr>
          <w:t>1069</w:t>
        </w:r>
      </w:hyperlink>
      <w:r>
        <w:rPr>
          <w:rStyle w:val="Text7"/>
        </w:rPr>
        <w:t xml:space="preserve"> </w:t>
      </w:r>
      <w:hyperlink r:id="rId1881">
        <w:r>
          <w:t>Pacemaker Configuration Explained</w:t>
        </w:r>
      </w:hyperlink>
    </w:p>
    <w:p>
      <w:pPr>
        <w:pStyle w:val="Para 04"/>
      </w:pPr>
      <w:r>
        <w:t>• Other</w:t>
      </w:r>
    </w:p>
    <w:p>
      <w:pPr>
        <w:pStyle w:val="Para 27"/>
      </w:pPr>
      <w:r>
        <w:rPr>
          <w:rStyle w:val="Text18"/>
        </w:rPr>
        <w:t>–</w:t>
      </w:r>
      <w:r>
        <w:rPr>
          <w:rStyle w:val="Text7"/>
        </w:rPr>
        <w:t xml:space="preserve"> </w:t>
      </w:r>
      <w:hyperlink w:anchor="page_924">
        <w:r>
          <w:rPr>
            <w:rStyle w:val="Text10"/>
          </w:rPr>
          <w:t>1070</w:t>
        </w:r>
      </w:hyperlink>
      <w:r>
        <w:rPr>
          <w:rStyle w:val="Text7"/>
        </w:rPr>
        <w:t xml:space="preserve"> </w:t>
      </w:r>
      <w:hyperlink r:id="rId1882">
        <w:r>
          <w:t>Ubuntu Bionic HA in Shared Disk Environments (Azure)</w:t>
        </w:r>
      </w:hyperlink>
    </w:p>
    <w:p>
      <w:pPr>
        <w:pStyle w:val="Para 17"/>
      </w:pPr>
      <w:r>
        <w:t/>
      </w:r>
    </w:p>
    <w:p>
      <w:pPr>
        <w:pStyle w:val="Para 03"/>
      </w:pPr>
      <w:r>
        <w:t xml:space="preserve">A very special thanks and all the credit to </w:t>
      </w:r>
      <w:hyperlink r:id="rId1883">
        <w:r>
          <w:rPr>
            <w:rStyle w:val="Text9"/>
          </w:rPr>
          <w:t>1071</w:t>
        </w:r>
      </w:hyperlink>
      <w:hyperlink r:id="rId1883">
        <w:r>
          <w:rPr>
            <w:rStyle w:val="Text1"/>
          </w:rPr>
          <w:t xml:space="preserve"> ClusterLabs Project</w:t>
        </w:r>
      </w:hyperlink>
      <w:r>
        <w:t xml:space="preserve"> for their detailed docu-</w:t>
      </w:r>
    </w:p>
    <w:p>
      <w:pPr>
        <w:pStyle w:val="Para 03"/>
      </w:pPr>
      <w:r>
        <w:t>mentation.</w:t>
      </w:r>
    </w:p>
    <w:p>
      <w:pPr>
        <w:pStyle w:val="Para 05"/>
      </w:pPr>
      <w:r>
        <w:rPr>
          <w:rStyle w:val="Text5"/>
        </w:rPr>
        <w:t>1071</w:t>
      </w:r>
      <w:r>
        <w:rPr>
          <w:rStyle w:val="Text8"/>
        </w:rPr>
        <w:t xml:space="preserve"> </w:t>
      </w:r>
      <w:r>
        <w:t>https://clusterlabs.org/</w:t>
      </w:r>
    </w:p>
    <w:p>
      <w:pPr>
        <w:pStyle w:val="Para 17"/>
      </w:pPr>
      <w:r>
        <w:t/>
      </w:r>
    </w:p>
    <w:p>
      <w:pPr>
        <w:pStyle w:val="Para 01"/>
      </w:pPr>
      <w:r>
        <w:t>Pacemaker resource agents</w:t>
      </w:r>
    </w:p>
    <w:p>
      <w:pPr>
        <w:pStyle w:val="Para 17"/>
      </w:pPr>
      <w:r>
        <w:t/>
      </w:r>
    </w:p>
    <w:p>
      <w:pPr>
        <w:pStyle w:val="Normal"/>
      </w:pPr>
      <w:r>
        <w:t>From the ClusterLabs definition:</w:t>
      </w:r>
    </w:p>
    <w:p>
      <w:pPr>
        <w:pStyle w:val="Para 17"/>
      </w:pPr>
      <w:r>
        <w:t/>
      </w:r>
    </w:p>
    <w:p>
      <w:pPr>
        <w:pStyle w:val="Para 03"/>
      </w:pPr>
      <w:r>
        <w:t>Resource agents are the abstraction that allows Pacemaker to manage services it knows</w:t>
      </w:r>
    </w:p>
    <w:p>
      <w:pPr>
        <w:pStyle w:val="Para 03"/>
      </w:pPr>
      <w:r>
        <w:t>nothing about. They contain the logic for what to do when the cluster wishes to start, stop</w:t>
      </w:r>
    </w:p>
    <w:p>
      <w:pPr>
        <w:pStyle w:val="Para 03"/>
      </w:pPr>
      <w:r>
        <w:t>or check the health of a service. This particular set of agents conform to the Open Cluster</w:t>
      </w:r>
    </w:p>
    <w:p>
      <w:pPr>
        <w:pStyle w:val="Para 03"/>
      </w:pPr>
      <w:r>
        <w:t>Framework (OCF) specification.</w:t>
      </w:r>
    </w:p>
    <w:p>
      <w:pPr>
        <w:pStyle w:val="Para 17"/>
      </w:pPr>
      <w:r>
        <w:t/>
      </w:r>
    </w:p>
    <w:p>
      <w:pPr>
        <w:pStyle w:val="Normal"/>
      </w:pPr>
      <w:r>
        <w:t>Currently, the resource-agents binary package has been split into two: resource-agents-base and resource-agents-extra. The resource-agents-base binary package contains a set</w:t>
      </w:r>
    </w:p>
    <w:p>
      <w:pPr>
        <w:pStyle w:val="Para 41"/>
      </w:pPr>
      <w:r>
        <w:rPr>
          <w:rStyle w:val="Text5"/>
        </w:rPr>
        <w:t>1067</w:t>
      </w:r>
      <w:r>
        <w:rPr>
          <w:rStyle w:val="Text8"/>
        </w:rPr>
        <w:t xml:space="preserve"> </w:t>
      </w:r>
      <w:r>
        <w:t>https://clusterlabs.org/projects/pacemaker/doc/3.0/Clusters_from_Scratch/html/</w:t>
      </w:r>
      <w:r>
        <w:rPr>
          <w:rStyle w:val="Text8"/>
        </w:rPr>
        <w:t xml:space="preserve"> </w:t>
      </w:r>
      <w:r>
        <w:rPr>
          <w:rStyle w:val="Text5"/>
        </w:rPr>
        <w:t>1068</w:t>
      </w:r>
      <w:r>
        <w:rPr>
          <w:rStyle w:val="Text8"/>
        </w:rPr>
        <w:t xml:space="preserve"> </w:t>
      </w:r>
      <w:r>
        <w:t>https://clusterlabs.org/projects/pacemaker/doc/3.0/Pacemaker_Administration/html/</w:t>
      </w:r>
      <w:r>
        <w:rPr>
          <w:rStyle w:val="Text8"/>
        </w:rPr>
        <w:t xml:space="preserve"> </w:t>
      </w:r>
      <w:r>
        <w:rPr>
          <w:rStyle w:val="Text5"/>
        </w:rPr>
        <w:t>1069</w:t>
      </w:r>
      <w:r>
        <w:rPr>
          <w:rStyle w:val="Text8"/>
        </w:rPr>
        <w:t xml:space="preserve"> </w:t>
      </w:r>
      <w:r>
        <w:t>https://clusterlabs.org/projects/pacemaker/doc/3.0/Pacemaker_Explained/html/</w:t>
      </w:r>
      <w:r>
        <w:rPr>
          <w:rStyle w:val="Text8"/>
        </w:rPr>
        <w:t xml:space="preserve"> </w:t>
      </w:r>
      <w:r>
        <w:rPr>
          <w:rStyle w:val="Text5"/>
        </w:rPr>
        <w:t>1070</w:t>
      </w:r>
      <w:r>
        <w:rPr>
          <w:rStyle w:val="Text8"/>
        </w:rPr>
        <w:t xml:space="preserve"> </w:t>
      </w:r>
      <w:r>
        <w:t>https://discourse.ubuntu.com/t/ubuntu-high-availability-corosync-pacemaker-shared-disk-environments/</w:t>
      </w:r>
    </w:p>
    <w:p>
      <w:pPr>
        <w:pStyle w:val="Para 16"/>
      </w:pPr>
      <w:r>
        <w:t>14874</w:t>
      </w:r>
    </w:p>
    <w:p>
      <w:bookmarkStart w:id="1463" w:name="page_9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4" name="index-925_1.png" descr="index-925_1.png"/>
            <wp:cNvGraphicFramePr>
              <a:graphicFrameLocks noChangeAspect="1"/>
            </wp:cNvGraphicFramePr>
            <a:graphic>
              <a:graphicData uri="http://schemas.openxmlformats.org/drawingml/2006/picture">
                <pic:pic>
                  <pic:nvPicPr>
                    <pic:cNvPr id="0" name="index-925_1.png" descr="index-925_1.png"/>
                    <pic:cNvPicPr/>
                  </pic:nvPicPr>
                  <pic:blipFill>
                    <a:blip r:embed="rId968"/>
                    <a:stretch>
                      <a:fillRect/>
                    </a:stretch>
                  </pic:blipFill>
                  <pic:spPr>
                    <a:xfrm>
                      <a:off x="0" y="0"/>
                      <a:ext cx="914400" cy="266700"/>
                    </a:xfrm>
                    <a:prstGeom prst="rect">
                      <a:avLst/>
                    </a:prstGeom>
                  </pic:spPr>
                </pic:pic>
              </a:graphicData>
            </a:graphic>
          </wp:anchor>
        </w:drawing>
      </w:r>
      <w:bookmarkEnd w:id="1463"/>
    </w:p>
    <w:p>
      <w:pPr>
        <w:pStyle w:val="Normal"/>
      </w:pPr>
      <w:r>
        <w:t>of curated agents which the Ubuntu Server team continuously runs tests on to make sure everything is working as expected. All the other agents previously in the resource-agents binary package are now found in the resource-agents-extra package.</w:t>
      </w:r>
    </w:p>
    <w:p>
      <w:pPr>
        <w:pStyle w:val="Normal"/>
      </w:pPr>
      <w:r>
        <w:t>The resource-agents-base binary package contains the following agents in the latest Ubuntu release:</w:t>
      </w:r>
    </w:p>
    <w:p>
      <w:pPr>
        <w:pStyle w:val="Para 04"/>
      </w:pPr>
      <w:r>
        <w:t>• IPaddr2</w:t>
      </w:r>
    </w:p>
    <w:p>
      <w:pPr>
        <w:pStyle w:val="Para 04"/>
      </w:pPr>
      <w:r>
        <w:t>• iscsi</w:t>
      </w:r>
    </w:p>
    <w:p>
      <w:pPr>
        <w:pStyle w:val="Para 04"/>
      </w:pPr>
      <w:r>
        <w:t>• iSCSILogicalUnit</w:t>
      </w:r>
    </w:p>
    <w:p>
      <w:pPr>
        <w:pStyle w:val="Para 04"/>
      </w:pPr>
      <w:r>
        <w:t>• iSCSITarget</w:t>
      </w:r>
    </w:p>
    <w:p>
      <w:pPr>
        <w:pStyle w:val="Para 04"/>
      </w:pPr>
      <w:r>
        <w:t>• LVM-activate</w:t>
      </w:r>
    </w:p>
    <w:p>
      <w:pPr>
        <w:pStyle w:val="Para 04"/>
      </w:pPr>
      <w:r>
        <w:t>• systemd</w:t>
      </w:r>
    </w:p>
    <w:p>
      <w:pPr>
        <w:pStyle w:val="Normal"/>
      </w:pPr>
      <w:r>
        <w:t>All of these agents are in main and are fully supported.</w:t>
      </w:r>
    </w:p>
    <w:p>
      <w:pPr>
        <w:pStyle w:val="Normal"/>
      </w:pPr>
      <w:r>
        <w:t>All other agents are in resource-agents-extra and while most of them are supported by up-stream, they are not curated by the Ubuntu Server team. The set of resource agents that are not maintained by upstream is listed in /usr/share/doc/resource-agents-extra/DEPRECATED_ AGENTS, the use of those agents is discouraged.</w:t>
      </w:r>
    </w:p>
    <w:p>
      <w:pPr>
        <w:pStyle w:val="Normal"/>
      </w:pPr>
      <w:r>
        <w:t>For the resource agents provided by resource-agents-base, we will briefly describe how to use them.</w:t>
      </w:r>
    </w:p>
    <w:p>
      <w:pPr>
        <w:pStyle w:val="Para 08"/>
      </w:pPr>
      <w:r>
        <w:t>Note:</w:t>
      </w:r>
    </w:p>
    <w:p>
      <w:pPr>
        <w:pStyle w:val="Para 03"/>
      </w:pPr>
      <w:r>
        <w:t>There are two well known tools used to manage fence agents, they are crmsh and pcs.</w:t>
      </w:r>
    </w:p>
    <w:p>
      <w:pPr>
        <w:pStyle w:val="Para 03"/>
      </w:pPr>
      <w:r>
        <w:t>Here we will present examples with both, since crmsh is the recommended and supported</w:t>
      </w:r>
    </w:p>
    <w:p>
      <w:pPr>
        <w:pStyle w:val="Para 03"/>
      </w:pPr>
      <w:r>
        <w:t>tool until Ubuntu 22.10 Kinetic Kudu, and pcs is the recommended and supported tool</w:t>
      </w:r>
    </w:p>
    <w:p>
      <w:pPr>
        <w:pStyle w:val="Para 03"/>
      </w:pPr>
      <w:r>
        <w:t>from Ubuntu 23.04 Lunar Lobster onwards. For more information on how to migrate from</w:t>
      </w:r>
    </w:p>
    <w:p>
      <w:pPr>
        <w:pStyle w:val="Para 43"/>
      </w:pPr>
      <w:r>
        <w:rPr>
          <w:rStyle w:val="Text4"/>
        </w:rPr>
        <w:t xml:space="preserve">crmsh to pcs </w:t>
      </w:r>
      <w:hyperlink w:anchor="page_720">
        <w:r>
          <w:t>refer to this migration guide</w:t>
        </w:r>
      </w:hyperlink>
      <w:r>
        <w:rPr>
          <w:rStyle w:val="Text4"/>
        </w:rPr>
        <w:t xml:space="preserve"> (page 719).</w:t>
      </w:r>
    </w:p>
    <w:p>
      <w:pPr>
        <w:pStyle w:val="Para 17"/>
      </w:pPr>
      <w:r>
        <w:t/>
      </w:r>
    </w:p>
    <w:p>
      <w:pPr>
        <w:pStyle w:val="Para 01"/>
      </w:pPr>
      <w:r>
        <w:t>IPaddr2</w:t>
      </w:r>
    </w:p>
    <w:p>
      <w:pPr>
        <w:pStyle w:val="Para 17"/>
      </w:pPr>
      <w:r>
        <w:t/>
      </w:r>
    </w:p>
    <w:p>
      <w:pPr>
        <w:pStyle w:val="Normal"/>
      </w:pPr>
      <w:r>
        <w:t>From its manual page:</w:t>
      </w:r>
    </w:p>
    <w:p>
      <w:pPr>
        <w:pStyle w:val="Para 17"/>
      </w:pPr>
      <w:r>
        <w:t/>
      </w:r>
    </w:p>
    <w:p>
      <w:pPr>
        <w:pStyle w:val="Para 03"/>
      </w:pPr>
      <w:r>
        <w:t>This Linux-specific resource manages IP alias IP addresses. It can add an IP alias, or re-</w:t>
      </w:r>
    </w:p>
    <w:p>
      <w:pPr>
        <w:pStyle w:val="Para 03"/>
      </w:pPr>
      <w:r>
        <w:t>move one. In addition, it can implement Cluster Alias IP functionality if invoked as a clone</w:t>
      </w:r>
    </w:p>
    <w:p>
      <w:pPr>
        <w:pStyle w:val="Para 03"/>
      </w:pPr>
      <w:r>
        <w:t>resource.</w:t>
      </w:r>
    </w:p>
    <w:p>
      <w:pPr>
        <w:pStyle w:val="Normal"/>
      </w:pPr>
      <w:r>
        <w:t>One could configure a IPaddr2 resource with the following command:</w:t>
      </w:r>
    </w:p>
    <w:p>
      <w:pPr>
        <w:pStyle w:val="Normal"/>
      </w:pPr>
      <w:r>
        <w:t>$ crm configure primitive $RESOURCE_NAME ocf:heartbeat:IPaddr2 \</w:t>
      </w:r>
    </w:p>
    <w:p>
      <w:pPr>
        <w:pStyle w:val="Para 12"/>
      </w:pPr>
      <w:r>
        <w:t>ip=$IP_ADDRESS \</w:t>
      </w:r>
    </w:p>
    <w:p>
      <w:pPr>
        <w:pStyle w:val="Para 12"/>
      </w:pPr>
      <w:r>
        <w:t>cidr_netmask=$NET_MASK \</w:t>
      </w:r>
    </w:p>
    <w:p>
      <w:pPr>
        <w:pStyle w:val="Para 12"/>
      </w:pPr>
      <w:r>
        <w:t>op monitor interval=30s</w:t>
      </w:r>
    </w:p>
    <w:p>
      <w:pPr>
        <w:pStyle w:val="Para 17"/>
      </w:pPr>
      <w:r>
        <w:t/>
      </w:r>
    </w:p>
    <w:p>
      <w:pPr>
        <w:pStyle w:val="Normal"/>
      </w:pPr>
      <w:r>
        <w:t>One can do the same using pcs via the following command:</w:t>
      </w:r>
    </w:p>
    <w:p>
      <w:bookmarkStart w:id="1464" w:name="page_9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5" name="index-926_1.png" descr="index-926_1.png"/>
            <wp:cNvGraphicFramePr>
              <a:graphicFrameLocks noChangeAspect="1"/>
            </wp:cNvGraphicFramePr>
            <a:graphic>
              <a:graphicData uri="http://schemas.openxmlformats.org/drawingml/2006/picture">
                <pic:pic>
                  <pic:nvPicPr>
                    <pic:cNvPr id="0" name="index-926_1.png" descr="index-926_1.png"/>
                    <pic:cNvPicPr/>
                  </pic:nvPicPr>
                  <pic:blipFill>
                    <a:blip r:embed="rId969"/>
                    <a:stretch>
                      <a:fillRect/>
                    </a:stretch>
                  </pic:blipFill>
                  <pic:spPr>
                    <a:xfrm>
                      <a:off x="0" y="0"/>
                      <a:ext cx="914400" cy="266700"/>
                    </a:xfrm>
                    <a:prstGeom prst="rect">
                      <a:avLst/>
                    </a:prstGeom>
                  </pic:spPr>
                </pic:pic>
              </a:graphicData>
            </a:graphic>
          </wp:anchor>
        </w:drawing>
      </w:r>
      <w:bookmarkEnd w:id="1464"/>
    </w:p>
    <w:p>
      <w:pPr>
        <w:pStyle w:val="Normal"/>
      </w:pPr>
      <w:r>
        <w:t>$ pcs resource create $RESOURCE_NAME ocf:heartbeat:IPaddr2 \</w:t>
      </w:r>
    </w:p>
    <w:p>
      <w:pPr>
        <w:pStyle w:val="Para 12"/>
      </w:pPr>
      <w:r>
        <w:t>ip=$IP_ADDRESS \</w:t>
      </w:r>
    </w:p>
    <w:p>
      <w:pPr>
        <w:pStyle w:val="Para 12"/>
      </w:pPr>
      <w:r>
        <w:t>cidr_netmask=$NET_MASK \</w:t>
      </w:r>
    </w:p>
    <w:p>
      <w:pPr>
        <w:pStyle w:val="Para 12"/>
      </w:pPr>
      <w:r>
        <w:t>op monitor interval=30s</w:t>
      </w:r>
    </w:p>
    <w:p>
      <w:pPr>
        <w:pStyle w:val="Para 17"/>
      </w:pPr>
      <w:r>
        <w:t/>
      </w:r>
    </w:p>
    <w:p>
      <w:pPr>
        <w:pStyle w:val="Normal"/>
      </w:pPr>
      <w:r>
        <w:t xml:space="preserve">This is one way to set up </w:t>
      </w:r>
      <w:hyperlink r:id="rId1884">
        <w:r>
          <w:rPr>
            <w:rStyle w:val="Text9"/>
          </w:rPr>
          <w:t>1072</w:t>
        </w:r>
      </w:hyperlink>
      <w:r>
        <w:t xml:space="preserve"> IPaddr2 , for more information refer </w:t>
      </w:r>
      <w:hyperlink r:id="rId1884">
        <w:r>
          <w:rPr>
            <w:rStyle w:val="Text2"/>
          </w:rPr>
          <w:t>to its manual page</w:t>
        </w:r>
      </w:hyperlink>
      <w:r>
        <w:t>.</w:t>
      </w:r>
    </w:p>
    <w:p>
      <w:pPr>
        <w:pStyle w:val="Para 17"/>
      </w:pPr>
      <w:r>
        <w:t/>
      </w:r>
    </w:p>
    <w:p>
      <w:pPr>
        <w:pStyle w:val="Para 01"/>
      </w:pPr>
      <w:r>
        <w:t>iscsi</w:t>
      </w:r>
    </w:p>
    <w:p>
      <w:pPr>
        <w:pStyle w:val="Para 17"/>
      </w:pPr>
      <w:r>
        <w:t/>
      </w:r>
    </w:p>
    <w:p>
      <w:pPr>
        <w:pStyle w:val="Normal"/>
      </w:pPr>
      <w:r>
        <w:t>From its manual page:</w:t>
      </w:r>
    </w:p>
    <w:p>
      <w:pPr>
        <w:pStyle w:val="Para 17"/>
      </w:pPr>
      <w:r>
        <w:t/>
      </w:r>
    </w:p>
    <w:p>
      <w:pPr>
        <w:pStyle w:val="Para 03"/>
      </w:pPr>
      <w:r>
        <w:t>Manages a local iSCSI initiator and its connections to iSCSI targets.</w:t>
      </w:r>
    </w:p>
    <w:p>
      <w:pPr>
        <w:pStyle w:val="Para 17"/>
      </w:pPr>
      <w:r>
        <w:t/>
      </w:r>
    </w:p>
    <w:p>
      <w:pPr>
        <w:pStyle w:val="Normal"/>
      </w:pPr>
      <w:r>
        <w:t>Once the iSCSI target is ready to accept connections from the initiator(s), with all the appro-priate permissions, the iscsi resource can be configured with the following command:</w:t>
      </w:r>
    </w:p>
    <w:p>
      <w:pPr>
        <w:pStyle w:val="Normal"/>
      </w:pPr>
      <w:r>
        <w:t>$ crm configure primitive $RESOURCE_NAME ocf:heartbeat:iscsi \</w:t>
      </w:r>
    </w:p>
    <w:p>
      <w:pPr>
        <w:pStyle w:val="Para 11"/>
      </w:pPr>
      <w:r>
        <w:t>target=$TARGET \</w:t>
      </w:r>
    </w:p>
    <w:p>
      <w:pPr>
        <w:pStyle w:val="Para 11"/>
      </w:pPr>
      <w:r>
        <w:t>portal=$PORTAL</w:t>
      </w:r>
    </w:p>
    <w:p>
      <w:pPr>
        <w:pStyle w:val="Para 17"/>
      </w:pPr>
      <w:r>
        <w:t/>
      </w:r>
    </w:p>
    <w:p>
      <w:pPr>
        <w:pStyle w:val="Normal"/>
      </w:pPr>
      <w:r>
        <w:t>One can do the same using pcs via the following command:</w:t>
      </w:r>
    </w:p>
    <w:p>
      <w:pPr>
        <w:pStyle w:val="Normal"/>
      </w:pPr>
      <w:r>
        <w:t>$ pcs resource create $RESOURCE_NAME ocf:heartbeat:iscsi \</w:t>
      </w:r>
    </w:p>
    <w:p>
      <w:pPr>
        <w:pStyle w:val="Para 11"/>
      </w:pPr>
      <w:r>
        <w:t>target=$TARGET \</w:t>
      </w:r>
    </w:p>
    <w:p>
      <w:pPr>
        <w:pStyle w:val="Para 11"/>
      </w:pPr>
      <w:r>
        <w:t>portal=$PORTAL</w:t>
      </w:r>
    </w:p>
    <w:p>
      <w:pPr>
        <w:pStyle w:val="Para 17"/>
      </w:pPr>
      <w:r>
        <w:t/>
      </w:r>
    </w:p>
    <w:p>
      <w:pPr>
        <w:pStyle w:val="Normal"/>
      </w:pPr>
      <w:r>
        <w:t>Where $TARGET is the iSCSI Qualified Name (IQN) of the iSCSI target and $PORTAL its address, which can be, for instance, formed by the IP address and port number used by the target daemon.</w:t>
      </w:r>
    </w:p>
    <w:p>
      <w:pPr>
        <w:pStyle w:val="Normal"/>
      </w:pPr>
      <w:r>
        <w:t xml:space="preserve">This is one way to set up </w:t>
      </w:r>
      <w:hyperlink w:anchor="page_926">
        <w:r>
          <w:rPr>
            <w:rStyle w:val="Text9"/>
          </w:rPr>
          <w:t>1073</w:t>
        </w:r>
      </w:hyperlink>
      <w:r>
        <w:t xml:space="preserve"> iscsi , for more information refer </w:t>
      </w:r>
      <w:hyperlink r:id="rId1885">
        <w:r>
          <w:rPr>
            <w:rStyle w:val="Text2"/>
          </w:rPr>
          <w:t>to its manual page</w:t>
        </w:r>
      </w:hyperlink>
      <w:r>
        <w:t>.</w:t>
      </w:r>
    </w:p>
    <w:p>
      <w:pPr>
        <w:pStyle w:val="Para 17"/>
      </w:pPr>
      <w:r>
        <w:t/>
      </w:r>
    </w:p>
    <w:p>
      <w:pPr>
        <w:pStyle w:val="Para 01"/>
      </w:pPr>
      <w:r>
        <w:t>iSCSILogicalUnit</w:t>
      </w:r>
    </w:p>
    <w:p>
      <w:pPr>
        <w:pStyle w:val="Para 17"/>
      </w:pPr>
      <w:r>
        <w:t/>
      </w:r>
    </w:p>
    <w:p>
      <w:pPr>
        <w:pStyle w:val="Normal"/>
      </w:pPr>
      <w:r>
        <w:t>From its manual page:</w:t>
      </w:r>
    </w:p>
    <w:p>
      <w:pPr>
        <w:pStyle w:val="Para 17"/>
      </w:pPr>
      <w:r>
        <w:t/>
      </w:r>
    </w:p>
    <w:p>
      <w:pPr>
        <w:pStyle w:val="Para 03"/>
      </w:pPr>
      <w:r>
        <w:t>Manages iSCSI Logical Unit. An iSCSI Logical unit is a subdivision of an SCSI Target, ex-</w:t>
      </w:r>
    </w:p>
    <w:p>
      <w:pPr>
        <w:pStyle w:val="Para 03"/>
      </w:pPr>
      <w:r>
        <w:t>ported via a daemon that speaks the iSCSI protocol.</w:t>
      </w:r>
    </w:p>
    <w:p>
      <w:pPr>
        <w:pStyle w:val="Para 17"/>
      </w:pPr>
      <w:r>
        <w:t/>
      </w:r>
    </w:p>
    <w:p>
      <w:pPr>
        <w:pStyle w:val="Normal"/>
      </w:pPr>
      <w:r>
        <w:t>This agent is usually used alongside with iSCSITarget to manage the target itself and its Log-ical Units. The supported implementation of iSCSI targets is using targetcli-fb, due to that, make sure to use lio-t as the implementation type. Considering one has an iSCSI target in place, the iSCSILogicalUnit resource could be configured with the following command:</w:t>
      </w:r>
    </w:p>
    <w:p>
      <w:pPr>
        <w:pStyle w:val="Normal"/>
      </w:pPr>
      <w:r>
        <w:t>$ crm configure primitive $RESOURCE_NAME ocf:heartbeat:iSCSILogicalUnit \</w:t>
      </w:r>
    </w:p>
    <w:p>
      <w:pPr>
        <w:pStyle w:val="Para 11"/>
      </w:pPr>
      <w:r>
        <w:t>implementation=lio-t \</w:t>
      </w:r>
    </w:p>
    <w:p>
      <w:pPr>
        <w:pStyle w:val="Para 11"/>
      </w:pPr>
      <w:r>
        <w:t>target_iqn=$IQN_TARGET \</w:t>
      </w:r>
    </w:p>
    <w:p>
      <w:pPr>
        <w:pStyle w:val="Para 11"/>
      </w:pPr>
      <w:r>
        <w:t>path=$DEVICE \</w:t>
      </w:r>
    </w:p>
    <w:p>
      <w:pPr>
        <w:pStyle w:val="Para 11"/>
      </w:pPr>
      <w:r>
        <w:t>lun=$LUN</w:t>
      </w:r>
    </w:p>
    <w:p>
      <w:pPr>
        <w:pStyle w:val="Para 16"/>
      </w:pPr>
      <w:r>
        <w:rPr>
          <w:rStyle w:val="Text5"/>
        </w:rPr>
        <w:t>1072</w:t>
      </w:r>
      <w:r>
        <w:rPr>
          <w:rStyle w:val="Text8"/>
        </w:rPr>
        <w:t xml:space="preserve"> </w:t>
      </w:r>
      <w:r>
        <w:t>https://manpages.ubuntu.com/manpages/resolute/man7/ocf_heartbeat_IPaddr2.7.html</w:t>
      </w:r>
      <w:r>
        <w:rPr>
          <w:rStyle w:val="Text8"/>
        </w:rPr>
        <w:t xml:space="preserve"> </w:t>
      </w:r>
      <w:r>
        <w:rPr>
          <w:rStyle w:val="Text5"/>
        </w:rPr>
        <w:t>1073</w:t>
      </w:r>
      <w:r>
        <w:rPr>
          <w:rStyle w:val="Text8"/>
        </w:rPr>
        <w:t xml:space="preserve"> </w:t>
      </w:r>
      <w:r>
        <w:t>https://manpages.ubuntu.com/manpages/resolute/man7/ocf_heartbeat_iscsi.7.html</w:t>
      </w:r>
      <w:r>
        <w:rPr>
          <w:rStyle w:val="Text8"/>
        </w:rPr>
        <w:t xml:space="preserve"> One can do the same using pcs via the following command:</w:t>
      </w:r>
    </w:p>
    <w:p>
      <w:bookmarkStart w:id="1465" w:name="page_9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6" name="index-927_1.png" descr="index-927_1.png"/>
            <wp:cNvGraphicFramePr>
              <a:graphicFrameLocks noChangeAspect="1"/>
            </wp:cNvGraphicFramePr>
            <a:graphic>
              <a:graphicData uri="http://schemas.openxmlformats.org/drawingml/2006/picture">
                <pic:pic>
                  <pic:nvPicPr>
                    <pic:cNvPr id="0" name="index-927_1.png" descr="index-927_1.png"/>
                    <pic:cNvPicPr/>
                  </pic:nvPicPr>
                  <pic:blipFill>
                    <a:blip r:embed="rId970"/>
                    <a:stretch>
                      <a:fillRect/>
                    </a:stretch>
                  </pic:blipFill>
                  <pic:spPr>
                    <a:xfrm>
                      <a:off x="0" y="0"/>
                      <a:ext cx="914400" cy="266700"/>
                    </a:xfrm>
                    <a:prstGeom prst="rect">
                      <a:avLst/>
                    </a:prstGeom>
                  </pic:spPr>
                </pic:pic>
              </a:graphicData>
            </a:graphic>
          </wp:anchor>
        </w:drawing>
      </w:r>
      <w:bookmarkEnd w:id="1465"/>
    </w:p>
    <w:p>
      <w:pPr>
        <w:pStyle w:val="Normal"/>
      </w:pPr>
      <w:r>
        <w:t>$ pcs resource create $RESOURCE_NAME ocf:heartbeat:iSCSILogicalUnit \</w:t>
      </w:r>
    </w:p>
    <w:p>
      <w:pPr>
        <w:pStyle w:val="Para 11"/>
      </w:pPr>
      <w:r>
        <w:t>implementation=lio-t \</w:t>
      </w:r>
    </w:p>
    <w:p>
      <w:pPr>
        <w:pStyle w:val="Para 11"/>
      </w:pPr>
      <w:r>
        <w:t>target_iqn=$IQN_TARGET \</w:t>
      </w:r>
    </w:p>
    <w:p>
      <w:pPr>
        <w:pStyle w:val="Para 11"/>
      </w:pPr>
      <w:r>
        <w:t>path=$DEVICE \</w:t>
      </w:r>
    </w:p>
    <w:p>
      <w:pPr>
        <w:pStyle w:val="Para 11"/>
      </w:pPr>
      <w:r>
        <w:t>lun=$LUN</w:t>
      </w:r>
    </w:p>
    <w:p>
      <w:pPr>
        <w:pStyle w:val="Para 17"/>
      </w:pPr>
      <w:r>
        <w:t/>
      </w:r>
    </w:p>
    <w:p>
      <w:pPr>
        <w:pStyle w:val="Normal"/>
      </w:pPr>
      <w:r>
        <w:t>Where implementation is set to lio-t as mentioned before, $IQN_TARGET is the iSCSI Qualified Name (IQN) that this Logical Unit belongs to, $DEVICE is the path to the exposed block device, and $LUN is the number representing the Logical Unit which will be exposed to initiators.</w:t>
      </w:r>
    </w:p>
    <w:p>
      <w:pPr>
        <w:pStyle w:val="Normal"/>
      </w:pPr>
      <w:r>
        <w:t xml:space="preserve">This is one way to set up iSCSILogicalUnit, for more information refer </w:t>
      </w:r>
      <w:hyperlink r:id="rId1886">
        <w:r>
          <w:rPr>
            <w:rStyle w:val="Text2"/>
          </w:rPr>
          <w:t>to its manual</w:t>
        </w:r>
      </w:hyperlink>
    </w:p>
    <w:p>
      <w:pPr>
        <w:pStyle w:val="Para 20"/>
      </w:pPr>
      <w:hyperlink r:id="rId1886">
        <w:r>
          <w:t>page</w:t>
        </w:r>
      </w:hyperlink>
      <w:hyperlink r:id="rId1886">
        <w:r>
          <w:rPr>
            <w:rStyle w:val="Text15"/>
          </w:rPr>
          <w:t>1074</w:t>
        </w:r>
      </w:hyperlink>
      <w:r>
        <w:rPr>
          <w:rStyle w:val="Text4"/>
        </w:rPr>
        <w:t>.</w:t>
      </w:r>
    </w:p>
    <w:p>
      <w:pPr>
        <w:pStyle w:val="Para 17"/>
      </w:pPr>
      <w:r>
        <w:t/>
      </w:r>
    </w:p>
    <w:p>
      <w:pPr>
        <w:pStyle w:val="Para 01"/>
      </w:pPr>
      <w:r>
        <w:t>iSCSITarget</w:t>
      </w:r>
    </w:p>
    <w:p>
      <w:pPr>
        <w:pStyle w:val="Para 17"/>
      </w:pPr>
      <w:r>
        <w:t/>
      </w:r>
    </w:p>
    <w:p>
      <w:pPr>
        <w:pStyle w:val="Normal"/>
      </w:pPr>
      <w:r>
        <w:t>From its manual page:</w:t>
      </w:r>
    </w:p>
    <w:p>
      <w:pPr>
        <w:pStyle w:val="Para 17"/>
      </w:pPr>
      <w:r>
        <w:t/>
      </w:r>
    </w:p>
    <w:p>
      <w:pPr>
        <w:pStyle w:val="Para 03"/>
      </w:pPr>
      <w:r>
        <w:t>Manages iSCSI targets. An iSCSI target is a collection of SCSI Logical Units (LUs) exported</w:t>
      </w:r>
    </w:p>
    <w:p>
      <w:pPr>
        <w:pStyle w:val="Para 03"/>
      </w:pPr>
      <w:r>
        <w:t>via a daemon that speaks the iSCSI protocol.</w:t>
      </w:r>
    </w:p>
    <w:p>
      <w:pPr>
        <w:pStyle w:val="Para 17"/>
      </w:pPr>
      <w:r>
        <w:t/>
      </w:r>
    </w:p>
    <w:p>
      <w:pPr>
        <w:pStyle w:val="Normal"/>
      </w:pPr>
      <w:r>
        <w:t>This agent is usually used alongside with iSCSILogicalUnit to manage the target itself and its Logical Units. The supported implementation of iSCSI targets is using targetcli-fb, due to that, make sure to use lio-t as the implementation type. With targetcli-fb installed on the system, the iSCSITarget resource can be configured with the following command:</w:t>
      </w:r>
    </w:p>
    <w:p>
      <w:pPr>
        <w:pStyle w:val="Normal"/>
      </w:pPr>
      <w:r>
        <w:t>$ crm configure primitive $RESOURCE_NAME ocf:heartbeat:iSCSITarget \</w:t>
      </w:r>
    </w:p>
    <w:p>
      <w:pPr>
        <w:pStyle w:val="Para 11"/>
      </w:pPr>
      <w:r>
        <w:t>implementation=lio-t \</w:t>
      </w:r>
    </w:p>
    <w:p>
      <w:pPr>
        <w:pStyle w:val="Para 11"/>
      </w:pPr>
      <w:r>
        <w:t>iqn=$IQN_TARGET</w:t>
      </w:r>
    </w:p>
    <w:p>
      <w:pPr>
        <w:pStyle w:val="Para 17"/>
      </w:pPr>
      <w:r>
        <w:t/>
      </w:r>
    </w:p>
    <w:p>
      <w:pPr>
        <w:pStyle w:val="Normal"/>
      </w:pPr>
      <w:r>
        <w:t>One can do the same using pcs via the following command:</w:t>
      </w:r>
    </w:p>
    <w:p>
      <w:pPr>
        <w:pStyle w:val="Normal"/>
      </w:pPr>
      <w:r>
        <w:t>$ pcs resource create $RESOURCE_NAME ocf:heartbeat:iSCSITarget \</w:t>
      </w:r>
    </w:p>
    <w:p>
      <w:pPr>
        <w:pStyle w:val="Para 11"/>
      </w:pPr>
      <w:r>
        <w:t>implementation=lio-t \</w:t>
      </w:r>
    </w:p>
    <w:p>
      <w:pPr>
        <w:pStyle w:val="Para 11"/>
      </w:pPr>
      <w:r>
        <w:t>iqn=$IQN_TARGET</w:t>
      </w:r>
    </w:p>
    <w:p>
      <w:pPr>
        <w:pStyle w:val="Para 17"/>
      </w:pPr>
      <w:r>
        <w:t/>
      </w:r>
    </w:p>
    <w:p>
      <w:pPr>
        <w:pStyle w:val="Normal"/>
      </w:pPr>
      <w:r>
        <w:t>Where implementation is set to lio-t as mentioned before and $IQN_TARGET is the IQN of the target.</w:t>
      </w:r>
    </w:p>
    <w:p>
      <w:pPr>
        <w:pStyle w:val="Normal"/>
      </w:pPr>
      <w:r>
        <w:t xml:space="preserve">This is one way to set up </w:t>
      </w:r>
      <w:hyperlink w:anchor="page_927">
        <w:r>
          <w:rPr>
            <w:rStyle w:val="Text9"/>
          </w:rPr>
          <w:t>1075</w:t>
        </w:r>
      </w:hyperlink>
      <w:r>
        <w:t xml:space="preserve"> iSCSITarget , for more information refer </w:t>
      </w:r>
      <w:hyperlink r:id="rId1887">
        <w:r>
          <w:rPr>
            <w:rStyle w:val="Text2"/>
          </w:rPr>
          <w:t>to its manual page</w:t>
        </w:r>
      </w:hyperlink>
      <w:r>
        <w:t>.</w:t>
      </w:r>
    </w:p>
    <w:p>
      <w:pPr>
        <w:pStyle w:val="Para 16"/>
      </w:pPr>
      <w:r>
        <w:rPr>
          <w:rStyle w:val="Text5"/>
        </w:rPr>
        <w:t>1074</w:t>
      </w:r>
      <w:r>
        <w:rPr>
          <w:rStyle w:val="Text8"/>
        </w:rPr>
        <w:t xml:space="preserve"> </w:t>
      </w:r>
      <w:r>
        <w:t>https://manpages.ubuntu.com/manpages/resolute/man7/ocf_heartbeat_iSCSILogicalUnit.7.html</w:t>
      </w:r>
      <w:r>
        <w:rPr>
          <w:rStyle w:val="Text8"/>
        </w:rPr>
        <w:t xml:space="preserve"> </w:t>
      </w:r>
      <w:r>
        <w:rPr>
          <w:rStyle w:val="Text5"/>
        </w:rPr>
        <w:t>1075</w:t>
      </w:r>
      <w:r>
        <w:rPr>
          <w:rStyle w:val="Text8"/>
        </w:rPr>
        <w:t xml:space="preserve"> </w:t>
      </w:r>
      <w:r>
        <w:t>https://manpages.ubuntu.com/manpages/resolute/man7/ocf_heartbeat_iSCSITarget.7.html</w:t>
      </w:r>
    </w:p>
    <w:p>
      <w:bookmarkStart w:id="1466" w:name="calibre_pb_269"/>
      <w:pPr>
        <w:pStyle w:val="0 Block"/>
      </w:pPr>
      <w:bookmarkEnd w:id="1466"/>
    </w:p>
    <w:p>
      <w:bookmarkStart w:id="1467" w:name="Top_of_index_split_270_html"/>
      <w:bookmarkStart w:id="1468" w:name="page_9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7" name="index-928_1.png" descr="index-928_1.png"/>
            <wp:cNvGraphicFramePr>
              <a:graphicFrameLocks noChangeAspect="1"/>
            </wp:cNvGraphicFramePr>
            <a:graphic>
              <a:graphicData uri="http://schemas.openxmlformats.org/drawingml/2006/picture">
                <pic:pic>
                  <pic:nvPicPr>
                    <pic:cNvPr id="0" name="index-928_1.png" descr="index-928_1.png"/>
                    <pic:cNvPicPr/>
                  </pic:nvPicPr>
                  <pic:blipFill>
                    <a:blip r:embed="rId971"/>
                    <a:stretch>
                      <a:fillRect/>
                    </a:stretch>
                  </pic:blipFill>
                  <pic:spPr>
                    <a:xfrm>
                      <a:off x="0" y="0"/>
                      <a:ext cx="914400" cy="266700"/>
                    </a:xfrm>
                    <a:prstGeom prst="rect">
                      <a:avLst/>
                    </a:prstGeom>
                  </pic:spPr>
                </pic:pic>
              </a:graphicData>
            </a:graphic>
          </wp:anchor>
        </w:drawing>
      </w:r>
      <w:bookmarkEnd w:id="1467"/>
      <w:bookmarkEnd w:id="1468"/>
    </w:p>
    <w:p>
      <w:pPr>
        <w:pStyle w:val="Para 01"/>
      </w:pPr>
      <w:r>
        <w:t>LVM-activate</w:t>
      </w:r>
    </w:p>
    <w:p>
      <w:pPr>
        <w:pStyle w:val="Para 17"/>
      </w:pPr>
      <w:r>
        <w:t/>
      </w:r>
    </w:p>
    <w:p>
      <w:pPr>
        <w:pStyle w:val="Normal"/>
      </w:pPr>
      <w:r>
        <w:t>From its manual page:</w:t>
      </w:r>
    </w:p>
    <w:p>
      <w:pPr>
        <w:pStyle w:val="Para 17"/>
      </w:pPr>
      <w:r>
        <w:t/>
      </w:r>
    </w:p>
    <w:p>
      <w:pPr>
        <w:pStyle w:val="Para 03"/>
      </w:pPr>
      <w:r>
        <w:t>This agent manages LVM activation/deactivation work for a given volume group.</w:t>
      </w:r>
    </w:p>
    <w:p>
      <w:pPr>
        <w:pStyle w:val="Para 17"/>
      </w:pPr>
      <w:r>
        <w:t/>
      </w:r>
    </w:p>
    <w:p>
      <w:pPr>
        <w:pStyle w:val="Normal"/>
      </w:pPr>
      <w:r>
        <w:t>If the LVM setup is ready to be activated and deactivated by this resource agent (make sure the system_id_resource is set to uname in /etc/lvm/lvm.conf), the LVM-activate resource can be configured with the following command:</w:t>
      </w:r>
    </w:p>
    <w:p>
      <w:pPr>
        <w:pStyle w:val="Normal"/>
      </w:pPr>
      <w:r>
        <w:t>$ crm configure primitive</w:t>
        <w:t xml:space="preserve"> </w:t>
        <w:t>$RESOURCE_NAME</w:t>
        <w:t xml:space="preserve"> </w:t>
        <w:t>ocf:heartbeat:LVM-activate</w:t>
        <w:t xml:space="preserve"> </w:t>
      </w:r>
      <w:r>
        <w:rPr>
          <w:rStyle w:val="Text0"/>
        </w:rPr>
        <w:t>\</w:t>
      </w:r>
    </w:p>
    <w:p>
      <w:pPr>
        <w:pStyle w:val="Para 12"/>
      </w:pPr>
      <w:r>
        <w:t>vgname</w:t>
        <w:t>=</w:t>
        <w:t>$VOLUME_GROUP</w:t>
        <w:t xml:space="preserve"> </w:t>
      </w:r>
      <w:r>
        <w:rPr>
          <w:rStyle w:val="Text0"/>
        </w:rPr>
        <w:t>\</w:t>
      </w:r>
    </w:p>
    <w:p>
      <w:pPr>
        <w:pStyle w:val="Para 12"/>
      </w:pPr>
      <w:r>
        <w:t>vg_access_mode</w:t>
        <w:t>=</w:t>
        <w:t>system_id</w:t>
      </w:r>
    </w:p>
    <w:p>
      <w:pPr>
        <w:pStyle w:val="Para 17"/>
      </w:pPr>
      <w:r>
        <w:t/>
      </w:r>
    </w:p>
    <w:p>
      <w:pPr>
        <w:pStyle w:val="Normal"/>
      </w:pPr>
      <w:r>
        <w:t>One can do the same using pcs via the following command:</w:t>
      </w:r>
    </w:p>
    <w:p>
      <w:pPr>
        <w:pStyle w:val="Normal"/>
      </w:pPr>
      <w:r>
        <w:t>$ pcs resource create $RESOURCE_NAME ocf:heartbeat:LVM-activate \</w:t>
      </w:r>
    </w:p>
    <w:p>
      <w:pPr>
        <w:pStyle w:val="Para 12"/>
      </w:pPr>
      <w:r>
        <w:t>vgname=$VOLUME_GROUP \</w:t>
      </w:r>
    </w:p>
    <w:p>
      <w:pPr>
        <w:pStyle w:val="Para 12"/>
      </w:pPr>
      <w:r>
        <w:t>vg_access_mode=system_id</w:t>
      </w:r>
    </w:p>
    <w:p>
      <w:pPr>
        <w:pStyle w:val="Para 17"/>
      </w:pPr>
      <w:r>
        <w:t/>
      </w:r>
    </w:p>
    <w:p>
      <w:pPr>
        <w:pStyle w:val="Normal"/>
      </w:pPr>
      <w:r>
        <w:t xml:space="preserve">This is one way to set up </w:t>
      </w:r>
      <w:hyperlink r:id="rId1888">
        <w:r>
          <w:rPr>
            <w:rStyle w:val="Text9"/>
          </w:rPr>
          <w:t>1076</w:t>
        </w:r>
      </w:hyperlink>
      <w:r>
        <w:t xml:space="preserve"> LVM-activate , for more information refer </w:t>
      </w:r>
      <w:hyperlink r:id="rId1888">
        <w:r>
          <w:rPr>
            <w:rStyle w:val="Text2"/>
          </w:rPr>
          <w:t>to its manual page</w:t>
        </w:r>
      </w:hyperlink>
      <w:r>
        <w:t>.</w:t>
      </w:r>
    </w:p>
    <w:p>
      <w:pPr>
        <w:pStyle w:val="Para 17"/>
      </w:pPr>
      <w:r>
        <w:t/>
      </w:r>
    </w:p>
    <w:p>
      <w:pPr>
        <w:pStyle w:val="Para 01"/>
      </w:pPr>
      <w:r>
        <w:t>Systemd</w:t>
      </w:r>
    </w:p>
    <w:p>
      <w:pPr>
        <w:pStyle w:val="Para 17"/>
      </w:pPr>
      <w:r>
        <w:t/>
      </w:r>
    </w:p>
    <w:p>
      <w:pPr>
        <w:pStyle w:val="Normal"/>
      </w:pPr>
      <w:r>
        <w:t>There is also a way to manage systemd unit files via a resource agent. One need to have the systemd unit file in place (already loaded by systemd) and configure a resource using the following command:</w:t>
      </w:r>
    </w:p>
    <w:p>
      <w:pPr>
        <w:pStyle w:val="Normal"/>
      </w:pPr>
      <w:r>
        <w:t>$ crm configure primitive $RESOURCE_NAME systemd:$SERVICE_NAME</w:t>
      </w:r>
    </w:p>
    <w:p>
      <w:pPr>
        <w:pStyle w:val="Para 17"/>
      </w:pPr>
      <w:r>
        <w:t/>
      </w:r>
    </w:p>
    <w:p>
      <w:pPr>
        <w:pStyle w:val="Normal"/>
      </w:pPr>
      <w:r>
        <w:t>One can do the same using pcs via the following command:</w:t>
      </w:r>
    </w:p>
    <w:p>
      <w:pPr>
        <w:pStyle w:val="Normal"/>
      </w:pPr>
      <w:r>
        <w:t>$ pcs resource create $RESOURCE_NAME systemd:$SERVICE_NAME</w:t>
      </w:r>
    </w:p>
    <w:p>
      <w:pPr>
        <w:pStyle w:val="Para 17"/>
      </w:pPr>
      <w:r>
        <w:t/>
      </w:r>
    </w:p>
    <w:p>
      <w:pPr>
        <w:pStyle w:val="Normal"/>
      </w:pPr>
      <w:r>
        <w:t>The $SERVICE_NAME can be any service managed by a systemd unit file, and it needs to be available for the cluster nodes.</w:t>
      </w:r>
    </w:p>
    <w:p>
      <w:pPr>
        <w:pStyle w:val="Para 17"/>
      </w:pPr>
      <w:r>
        <w:t/>
      </w:r>
    </w:p>
    <w:p>
      <w:pPr>
        <w:pStyle w:val="Para 01"/>
      </w:pPr>
      <w:r>
        <w:t>Further reading</w:t>
      </w:r>
    </w:p>
    <w:p>
      <w:pPr>
        <w:pStyle w:val="Para 17"/>
      </w:pPr>
      <w:r>
        <w:t/>
      </w:r>
    </w:p>
    <w:p>
      <w:pPr>
        <w:pStyle w:val="Para 13"/>
      </w:pPr>
      <w:r>
        <w:rPr>
          <w:rStyle w:val="Text7"/>
        </w:rPr>
        <w:t xml:space="preserve">• </w:t>
      </w:r>
      <w:hyperlink w:anchor="page_928">
        <w:r>
          <w:rPr>
            <w:rStyle w:val="Text10"/>
          </w:rPr>
          <w:t>1077</w:t>
        </w:r>
      </w:hyperlink>
      <w:r>
        <w:rPr>
          <w:rStyle w:val="Text7"/>
        </w:rPr>
        <w:t xml:space="preserve"> </w:t>
      </w:r>
      <w:hyperlink r:id="rId1883">
        <w:r>
          <w:t>ClusterLabs website</w:t>
        </w:r>
      </w:hyperlink>
    </w:p>
    <w:p>
      <w:pPr>
        <w:pStyle w:val="Para 13"/>
      </w:pPr>
      <w:r>
        <w:rPr>
          <w:rStyle w:val="Text7"/>
        </w:rPr>
        <w:t xml:space="preserve">• </w:t>
      </w:r>
      <w:hyperlink r:id="rId1889">
        <w:r>
          <w:rPr>
            <w:rStyle w:val="Text10"/>
          </w:rPr>
          <w:t>1078</w:t>
        </w:r>
      </w:hyperlink>
      <w:hyperlink r:id="rId1889">
        <w:r>
          <w:t xml:space="preserve"> The OCF resource-agent developer’s guide</w:t>
        </w:r>
      </w:hyperlink>
    </w:p>
    <w:p>
      <w:pPr>
        <w:pStyle w:val="Para 16"/>
      </w:pPr>
      <w:r>
        <w:rPr>
          <w:rStyle w:val="Text5"/>
        </w:rPr>
        <w:t>1076</w:t>
      </w:r>
      <w:r>
        <w:rPr>
          <w:rStyle w:val="Text8"/>
        </w:rPr>
        <w:t xml:space="preserve"> </w:t>
      </w:r>
      <w:r>
        <w:t>https://manpages.ubuntu.com/manpages/resolute/man7/ocf_heartbeat_LVM-activate.7.html</w:t>
      </w:r>
      <w:r>
        <w:rPr>
          <w:rStyle w:val="Text8"/>
        </w:rPr>
        <w:t xml:space="preserve"> </w:t>
      </w:r>
      <w:r>
        <w:rPr>
          <w:rStyle w:val="Text5"/>
        </w:rPr>
        <w:t>1077</w:t>
      </w:r>
      <w:r>
        <w:rPr>
          <w:rStyle w:val="Text8"/>
        </w:rPr>
        <w:t xml:space="preserve"> </w:t>
      </w:r>
      <w:r>
        <w:t>https://clusterlabs.org/</w:t>
      </w:r>
    </w:p>
    <w:p>
      <w:pPr>
        <w:pStyle w:val="Para 16"/>
      </w:pPr>
      <w:r>
        <w:rPr>
          <w:rStyle w:val="Text5"/>
        </w:rPr>
        <w:t>1078</w:t>
      </w:r>
      <w:r>
        <w:rPr>
          <w:rStyle w:val="Text8"/>
        </w:rPr>
        <w:t xml:space="preserve"> </w:t>
      </w:r>
      <w:r>
        <w:t>https://github.com/ClusterLabs/resource-agents/blob/master/doc/dev-guides/ra-dev-guide.asc</w:t>
      </w:r>
    </w:p>
    <w:p>
      <w:bookmarkStart w:id="1469" w:name="calibre_pb_270"/>
      <w:pPr>
        <w:pStyle w:val="0 Block"/>
      </w:pPr>
      <w:bookmarkEnd w:id="1469"/>
    </w:p>
    <w:p>
      <w:bookmarkStart w:id="1470" w:name="Top_of_index_split_271_html"/>
      <w:bookmarkStart w:id="1471" w:name="page_92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8" name="index-929_1.png" descr="index-929_1.png"/>
            <wp:cNvGraphicFramePr>
              <a:graphicFrameLocks noChangeAspect="1"/>
            </wp:cNvGraphicFramePr>
            <a:graphic>
              <a:graphicData uri="http://schemas.openxmlformats.org/drawingml/2006/picture">
                <pic:pic>
                  <pic:nvPicPr>
                    <pic:cNvPr id="0" name="index-929_1.png" descr="index-929_1.png"/>
                    <pic:cNvPicPr/>
                  </pic:nvPicPr>
                  <pic:blipFill>
                    <a:blip r:embed="rId972"/>
                    <a:stretch>
                      <a:fillRect/>
                    </a:stretch>
                  </pic:blipFill>
                  <pic:spPr>
                    <a:xfrm>
                      <a:off x="0" y="0"/>
                      <a:ext cx="914400" cy="266700"/>
                    </a:xfrm>
                    <a:prstGeom prst="rect">
                      <a:avLst/>
                    </a:prstGeom>
                  </pic:spPr>
                </pic:pic>
              </a:graphicData>
            </a:graphic>
          </wp:anchor>
        </w:drawing>
      </w:r>
      <w:bookmarkEnd w:id="1470"/>
      <w:bookmarkEnd w:id="1471"/>
    </w:p>
    <w:p>
      <w:pPr>
        <w:pStyle w:val="Para 01"/>
      </w:pPr>
      <w:r>
        <w:t>Pacemaker fence agents</w:t>
      </w:r>
    </w:p>
    <w:p>
      <w:pPr>
        <w:pStyle w:val="Para 17"/>
      </w:pPr>
      <w:r>
        <w:t/>
      </w:r>
    </w:p>
    <w:p>
      <w:pPr>
        <w:pStyle w:val="Normal"/>
      </w:pPr>
      <w:r>
        <w:t>From the ClusterLabs definition:</w:t>
      </w:r>
    </w:p>
    <w:p>
      <w:pPr>
        <w:pStyle w:val="Para 17"/>
      </w:pPr>
      <w:r>
        <w:t/>
      </w:r>
    </w:p>
    <w:p>
      <w:pPr>
        <w:pStyle w:val="Para 03"/>
      </w:pPr>
      <w:r>
        <w:t xml:space="preserve">A </w:t>
      </w:r>
      <w:r>
        <w:rPr>
          <w:rStyle w:val="Text0"/>
        </w:rPr>
        <w:t>fence agent</w:t>
      </w:r>
      <w:r>
        <w:t xml:space="preserve"> (or </w:t>
      </w:r>
      <w:r>
        <w:rPr>
          <w:rStyle w:val="Text0"/>
        </w:rPr>
        <w:t>fencing agent</w:t>
      </w:r>
      <w:r>
        <w:t xml:space="preserve">) is a </w:t>
      </w:r>
      <w:r>
        <w:rPr>
          <w:rStyle w:val="Text0"/>
        </w:rPr>
        <w:t>stonith</w:t>
      </w:r>
      <w:r>
        <w:t>-class resource agent.</w:t>
      </w:r>
    </w:p>
    <w:p>
      <w:pPr>
        <w:pStyle w:val="Para 03"/>
      </w:pPr>
      <w:r>
        <w:t>The fence agent standard provides commands (such as off and reboot) that the cluster can</w:t>
      </w:r>
    </w:p>
    <w:p>
      <w:pPr>
        <w:pStyle w:val="Para 03"/>
      </w:pPr>
      <w:r>
        <w:t>use to fence nodes. As with other resource agent classes, this allows a layer of abstraction</w:t>
      </w:r>
    </w:p>
    <w:p>
      <w:pPr>
        <w:pStyle w:val="Para 03"/>
      </w:pPr>
      <w:r>
        <w:t>so that Pacemaker doesn’t need any knowledge about specific fencing technologies —</w:t>
      </w:r>
    </w:p>
    <w:p>
      <w:pPr>
        <w:pStyle w:val="Para 03"/>
      </w:pPr>
      <w:r>
        <w:t>that knowledge is isolated in the agent.</w:t>
      </w:r>
    </w:p>
    <w:p>
      <w:pPr>
        <w:pStyle w:val="Para 17"/>
      </w:pPr>
      <w:r>
        <w:t/>
      </w:r>
    </w:p>
    <w:p>
      <w:pPr>
        <w:pStyle w:val="Normal"/>
      </w:pPr>
      <w:r>
        <w:t>Currently, the fence-agents binary package has been split into two: fence-agents-base and fence-agents-extra. The fence-agents-base binary package contains a set of curated agents which the Ubuntu Server team continuously runs tests on to make sure everything is working as expected. All the other agents previously in the fence-agents binary package are now moved to the fence-agents-extra.</w:t>
      </w:r>
    </w:p>
    <w:p>
      <w:pPr>
        <w:pStyle w:val="Normal"/>
      </w:pPr>
      <w:r>
        <w:t>The fence-agents-base binary package contains the following agents in the latest Ubuntu release:</w:t>
      </w:r>
    </w:p>
    <w:p>
      <w:pPr>
        <w:pStyle w:val="Para 04"/>
      </w:pPr>
      <w:r>
        <w:t>• fence_ipmilan</w:t>
      </w:r>
    </w:p>
    <w:p>
      <w:pPr>
        <w:pStyle w:val="Para 06"/>
      </w:pPr>
      <w:r>
        <w:rPr>
          <w:rStyle w:val="Text0"/>
        </w:rPr>
        <w:t>–</w:t>
      </w:r>
      <w:r>
        <w:t xml:space="preserve"> fence_idrac</w:t>
      </w:r>
    </w:p>
    <w:p>
      <w:pPr>
        <w:pStyle w:val="Para 06"/>
      </w:pPr>
      <w:r>
        <w:rPr>
          <w:rStyle w:val="Text0"/>
        </w:rPr>
        <w:t>–</w:t>
      </w:r>
      <w:r>
        <w:t xml:space="preserve"> fence_ilo3</w:t>
      </w:r>
    </w:p>
    <w:p>
      <w:pPr>
        <w:pStyle w:val="Para 06"/>
      </w:pPr>
      <w:r>
        <w:rPr>
          <w:rStyle w:val="Text0"/>
        </w:rPr>
        <w:t>–</w:t>
      </w:r>
      <w:r>
        <w:t xml:space="preserve"> fence_ilo4</w:t>
      </w:r>
    </w:p>
    <w:p>
      <w:pPr>
        <w:pStyle w:val="Para 06"/>
      </w:pPr>
      <w:r>
        <w:rPr>
          <w:rStyle w:val="Text0"/>
        </w:rPr>
        <w:t>–</w:t>
      </w:r>
      <w:r>
        <w:t xml:space="preserve"> fence_ilo5</w:t>
      </w:r>
    </w:p>
    <w:p>
      <w:pPr>
        <w:pStyle w:val="Para 06"/>
      </w:pPr>
      <w:r>
        <w:rPr>
          <w:rStyle w:val="Text0"/>
        </w:rPr>
        <w:t>–</w:t>
      </w:r>
      <w:r>
        <w:t xml:space="preserve"> fence_imm</w:t>
      </w:r>
    </w:p>
    <w:p>
      <w:pPr>
        <w:pStyle w:val="Para 06"/>
      </w:pPr>
      <w:r>
        <w:rPr>
          <w:rStyle w:val="Text0"/>
        </w:rPr>
        <w:t>–</w:t>
      </w:r>
      <w:r>
        <w:t xml:space="preserve"> fence_ipmilanplus</w:t>
      </w:r>
    </w:p>
    <w:p>
      <w:pPr>
        <w:pStyle w:val="Para 04"/>
      </w:pPr>
      <w:r>
        <w:t>• fence_mpath</w:t>
      </w:r>
    </w:p>
    <w:p>
      <w:pPr>
        <w:pStyle w:val="Para 04"/>
      </w:pPr>
      <w:r>
        <w:t>• fence_sbd</w:t>
      </w:r>
    </w:p>
    <w:p>
      <w:pPr>
        <w:pStyle w:val="Para 04"/>
      </w:pPr>
      <w:r>
        <w:t>• fence_scsi</w:t>
      </w:r>
    </w:p>
    <w:p>
      <w:pPr>
        <w:pStyle w:val="Para 04"/>
      </w:pPr>
      <w:r>
        <w:t>• fence_virsh</w:t>
      </w:r>
    </w:p>
    <w:p>
      <w:pPr>
        <w:pStyle w:val="Normal"/>
      </w:pPr>
      <w:r>
        <w:t>All of these agents are in main and are fully supported. All other agents, in fence-agents-extra, are supported by upstream but are not curated by the Ubuntu Server team.</w:t>
      </w:r>
    </w:p>
    <w:p>
      <w:pPr>
        <w:pStyle w:val="Normal"/>
      </w:pPr>
      <w:r>
        <w:t>For the fence agents provided by fence-agents-base, we will briefly describe how to use them.</w:t>
      </w:r>
    </w:p>
    <w:p>
      <w:pPr>
        <w:pStyle w:val="Para 17"/>
      </w:pPr>
      <w:r>
        <w:t/>
      </w:r>
    </w:p>
    <w:p>
      <w:pPr>
        <w:pStyle w:val="Para 08"/>
      </w:pPr>
      <w:r>
        <w:t>Note:</w:t>
      </w:r>
    </w:p>
    <w:p>
      <w:pPr>
        <w:pStyle w:val="Para 03"/>
      </w:pPr>
      <w:r>
        <w:t>There are two well known tools used to manage fence agents, they are crmsh and pcs. Here</w:t>
      </w:r>
    </w:p>
    <w:p>
      <w:pPr>
        <w:pStyle w:val="Para 03"/>
      </w:pPr>
      <w:r>
        <w:t>we present examples with both, since crmsh is the recommended and supported tool until</w:t>
      </w:r>
    </w:p>
    <w:p>
      <w:pPr>
        <w:pStyle w:val="Para 03"/>
      </w:pPr>
      <w:r>
        <w:t>Ubuntu 22.10 Kinetic Kudu, and pcs is the recommended and supported tool from Ubuntu</w:t>
      </w:r>
    </w:p>
    <w:p>
      <w:pPr>
        <w:pStyle w:val="Para 03"/>
      </w:pPr>
      <w:r>
        <w:t>23.04 Lunar Lobster onwards. For more information on how to migrate from crmsh to pcs</w:t>
      </w:r>
    </w:p>
    <w:p>
      <w:pPr>
        <w:pStyle w:val="Para 43"/>
      </w:pPr>
      <w:hyperlink w:anchor="page_720">
        <w:r>
          <w:t>refer to our migration guide</w:t>
        </w:r>
      </w:hyperlink>
      <w:r>
        <w:rPr>
          <w:rStyle w:val="Text4"/>
        </w:rPr>
        <w:t xml:space="preserve"> (page 719).</w:t>
      </w:r>
    </w:p>
    <w:p>
      <w:bookmarkStart w:id="1472" w:name="page_9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69" name="index-930_1.png" descr="index-930_1.png"/>
            <wp:cNvGraphicFramePr>
              <a:graphicFrameLocks noChangeAspect="1"/>
            </wp:cNvGraphicFramePr>
            <a:graphic>
              <a:graphicData uri="http://schemas.openxmlformats.org/drawingml/2006/picture">
                <pic:pic>
                  <pic:nvPicPr>
                    <pic:cNvPr id="0" name="index-930_1.png" descr="index-930_1.png"/>
                    <pic:cNvPicPr/>
                  </pic:nvPicPr>
                  <pic:blipFill>
                    <a:blip r:embed="rId973"/>
                    <a:stretch>
                      <a:fillRect/>
                    </a:stretch>
                  </pic:blipFill>
                  <pic:spPr>
                    <a:xfrm>
                      <a:off x="0" y="0"/>
                      <a:ext cx="914400" cy="266700"/>
                    </a:xfrm>
                    <a:prstGeom prst="rect">
                      <a:avLst/>
                    </a:prstGeom>
                  </pic:spPr>
                </pic:pic>
              </a:graphicData>
            </a:graphic>
          </wp:anchor>
        </w:drawing>
      </w:r>
      <w:bookmarkEnd w:id="1472"/>
    </w:p>
    <w:p>
      <w:pPr>
        <w:pStyle w:val="Para 01"/>
      </w:pPr>
      <w:r>
        <w:t>fence_ipmilan</w:t>
      </w:r>
    </w:p>
    <w:p>
      <w:pPr>
        <w:pStyle w:val="Para 17"/>
      </w:pPr>
      <w:r>
        <w:t/>
      </w:r>
    </w:p>
    <w:p>
      <w:pPr>
        <w:pStyle w:val="Normal"/>
      </w:pPr>
      <w:r>
        <w:t>The content of this section is also applicable to the following fence agents: fence_idrac, fence_ilo3, fence_ilo4, fence_ilo5, fence_imm, and fence_ipmilanplus. All of them are sym-links to fence_ipmilan.</w:t>
      </w:r>
    </w:p>
    <w:p>
      <w:pPr>
        <w:pStyle w:val="Normal"/>
      </w:pPr>
      <w:r>
        <w:t>From its manual page:</w:t>
      </w:r>
    </w:p>
    <w:p>
      <w:pPr>
        <w:pStyle w:val="Para 17"/>
      </w:pPr>
      <w:r>
        <w:t/>
      </w:r>
    </w:p>
    <w:p>
      <w:pPr>
        <w:pStyle w:val="Para 03"/>
      </w:pPr>
      <w:r>
        <w:t>fence_ipmilan is an I/O Fencing agent which can be used with machines controlled by IPMI.</w:t>
      </w:r>
    </w:p>
    <w:p>
      <w:pPr>
        <w:pStyle w:val="Para 03"/>
      </w:pPr>
      <w:r>
        <w:t>This agent calls support software ipmitool. WARNING! This fence agent might report suc-</w:t>
      </w:r>
    </w:p>
    <w:p>
      <w:pPr>
        <w:pStyle w:val="Para 03"/>
      </w:pPr>
      <w:r>
        <w:t>cess before the node is powered off. You should use-m/method onoff if your fence device</w:t>
      </w:r>
    </w:p>
    <w:p>
      <w:pPr>
        <w:pStyle w:val="Para 03"/>
      </w:pPr>
      <w:r>
        <w:t>works correctly with that option.</w:t>
      </w:r>
    </w:p>
    <w:p>
      <w:pPr>
        <w:pStyle w:val="Para 17"/>
      </w:pPr>
      <w:r>
        <w:t/>
      </w:r>
    </w:p>
    <w:p>
      <w:pPr>
        <w:pStyle w:val="Normal"/>
      </w:pPr>
      <w:r>
        <w:t>In a system which supports IPMI and with ipmitool installed, a fence_ipmilan resource can be configured with the following command:</w:t>
      </w:r>
    </w:p>
    <w:p>
      <w:pPr>
        <w:pStyle w:val="Normal"/>
      </w:pPr>
      <w:r>
        <w:t>$ crm configure primitive $RESOURCE_NAME stonith:fence_ipmilan \</w:t>
      </w:r>
    </w:p>
    <w:p>
      <w:pPr>
        <w:pStyle w:val="Para 12"/>
      </w:pPr>
      <w:r>
        <w:t>ip=$IP \</w:t>
      </w:r>
    </w:p>
    <w:p>
      <w:pPr>
        <w:pStyle w:val="Para 12"/>
      </w:pPr>
      <w:r>
        <w:t>ipport=$PORT \</w:t>
      </w:r>
    </w:p>
    <w:p>
      <w:pPr>
        <w:pStyle w:val="Para 12"/>
      </w:pPr>
      <w:r>
        <w:t>username=$USER \</w:t>
      </w:r>
    </w:p>
    <w:p>
      <w:pPr>
        <w:pStyle w:val="Para 12"/>
      </w:pPr>
      <w:r>
        <w:t>password=$PASSWD \</w:t>
      </w:r>
    </w:p>
    <w:p>
      <w:pPr>
        <w:pStyle w:val="Para 12"/>
      </w:pPr>
      <w:r>
        <w:t>lanplus=1 \</w:t>
      </w:r>
    </w:p>
    <w:p>
      <w:pPr>
        <w:pStyle w:val="Para 12"/>
      </w:pPr>
      <w:r>
        <w:t>action=$ACTION</w:t>
      </w:r>
    </w:p>
    <w:p>
      <w:pPr>
        <w:pStyle w:val="Para 17"/>
      </w:pPr>
      <w:r>
        <w:t/>
      </w:r>
    </w:p>
    <w:p>
      <w:pPr>
        <w:pStyle w:val="Normal"/>
      </w:pPr>
      <w:r>
        <w:t>One can do the same using pcs via the following command:</w:t>
      </w:r>
    </w:p>
    <w:p>
      <w:pPr>
        <w:pStyle w:val="Normal"/>
      </w:pPr>
      <w:r>
        <w:t>$ pcs stonith create $RESOURCE_NAME fence_ipmilan \</w:t>
      </w:r>
    </w:p>
    <w:p>
      <w:pPr>
        <w:pStyle w:val="Para 12"/>
      </w:pPr>
      <w:r>
        <w:t>ip=$IP \</w:t>
      </w:r>
    </w:p>
    <w:p>
      <w:pPr>
        <w:pStyle w:val="Para 12"/>
      </w:pPr>
      <w:r>
        <w:t>ipport=$PORT \</w:t>
      </w:r>
    </w:p>
    <w:p>
      <w:pPr>
        <w:pStyle w:val="Para 12"/>
      </w:pPr>
      <w:r>
        <w:t>username=$USER \</w:t>
      </w:r>
    </w:p>
    <w:p>
      <w:pPr>
        <w:pStyle w:val="Para 12"/>
      </w:pPr>
      <w:r>
        <w:t>password=$PASSWD \</w:t>
      </w:r>
    </w:p>
    <w:p>
      <w:pPr>
        <w:pStyle w:val="Para 12"/>
      </w:pPr>
      <w:r>
        <w:t>lanplus=1 \</w:t>
      </w:r>
    </w:p>
    <w:p>
      <w:pPr>
        <w:pStyle w:val="Para 12"/>
      </w:pPr>
      <w:r>
        <w:t>action=$ACTION</w:t>
      </w:r>
    </w:p>
    <w:p>
      <w:pPr>
        <w:pStyle w:val="Para 17"/>
      </w:pPr>
      <w:r>
        <w:t/>
      </w:r>
    </w:p>
    <w:p>
      <w:pPr>
        <w:pStyle w:val="Normal"/>
      </w:pPr>
      <w:r>
        <w:t xml:space="preserve">Where $IP is the IP address or </w:t>
      </w:r>
      <w:hyperlink w:anchor="page_688">
        <w:r>
          <w:rPr>
            <w:rStyle w:val="Text2"/>
          </w:rPr>
          <w:t>hostname</w:t>
        </w:r>
      </w:hyperlink>
      <w:r>
        <w:t xml:space="preserve"> of fencing device, $PORT is the TCP/UDP port to use for connection, $USER is the login name and $PASSWD its password, and $ACTION is the fencing actions which by default is reboot.</w:t>
      </w:r>
    </w:p>
    <w:p>
      <w:pPr>
        <w:pStyle w:val="Normal"/>
      </w:pPr>
      <w:r>
        <w:t xml:space="preserve">This is one way to set up </w:t>
      </w:r>
      <w:hyperlink w:anchor="page_930">
        <w:r>
          <w:rPr>
            <w:rStyle w:val="Text9"/>
          </w:rPr>
          <w:t>1079</w:t>
        </w:r>
      </w:hyperlink>
      <w:r>
        <w:t xml:space="preserve"> fence_ipmilan , for more information refer </w:t>
      </w:r>
      <w:hyperlink r:id="rId1890">
        <w:r>
          <w:rPr>
            <w:rStyle w:val="Text2"/>
          </w:rPr>
          <w:t>to its manual page</w:t>
        </w:r>
      </w:hyperlink>
      <w:r>
        <w:t>.</w:t>
      </w:r>
    </w:p>
    <w:p>
      <w:pPr>
        <w:pStyle w:val="Para 17"/>
      </w:pPr>
      <w:r>
        <w:t/>
      </w:r>
    </w:p>
    <w:p>
      <w:pPr>
        <w:pStyle w:val="Para 01"/>
      </w:pPr>
      <w:r>
        <w:t>fence_mpath</w:t>
      </w:r>
    </w:p>
    <w:p>
      <w:pPr>
        <w:pStyle w:val="Para 17"/>
      </w:pPr>
      <w:r>
        <w:t/>
      </w:r>
    </w:p>
    <w:p>
      <w:pPr>
        <w:pStyle w:val="Normal"/>
      </w:pPr>
      <w:r>
        <w:t>From its manual page:</w:t>
      </w:r>
    </w:p>
    <w:p>
      <w:pPr>
        <w:pStyle w:val="Para 16"/>
      </w:pPr>
      <w:r>
        <w:rPr>
          <w:rStyle w:val="Text5"/>
        </w:rPr>
        <w:t>1079</w:t>
      </w:r>
      <w:r>
        <w:rPr>
          <w:rStyle w:val="Text8"/>
        </w:rPr>
        <w:t xml:space="preserve"> </w:t>
      </w:r>
      <w:r>
        <w:t>https://manpages.ubuntu.com/manpages/resolute/man8/fence_ipmilan.8.html</w:t>
      </w:r>
    </w:p>
    <w:p>
      <w:bookmarkStart w:id="1473" w:name="calibre_pb_271"/>
      <w:pPr>
        <w:pStyle w:val="0 Block"/>
      </w:pPr>
      <w:bookmarkEnd w:id="1473"/>
    </w:p>
    <w:p>
      <w:bookmarkStart w:id="1474" w:name="page_931"/>
      <w:bookmarkStart w:id="1475" w:name="Top_of_index_split_27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0" name="index-931_1.png" descr="index-931_1.png"/>
            <wp:cNvGraphicFramePr>
              <a:graphicFrameLocks noChangeAspect="1"/>
            </wp:cNvGraphicFramePr>
            <a:graphic>
              <a:graphicData uri="http://schemas.openxmlformats.org/drawingml/2006/picture">
                <pic:pic>
                  <pic:nvPicPr>
                    <pic:cNvPr id="0" name="index-931_1.png" descr="index-931_1.png"/>
                    <pic:cNvPicPr/>
                  </pic:nvPicPr>
                  <pic:blipFill>
                    <a:blip r:embed="rId974"/>
                    <a:stretch>
                      <a:fillRect/>
                    </a:stretch>
                  </pic:blipFill>
                  <pic:spPr>
                    <a:xfrm>
                      <a:off x="0" y="0"/>
                      <a:ext cx="914400" cy="266700"/>
                    </a:xfrm>
                    <a:prstGeom prst="rect">
                      <a:avLst/>
                    </a:prstGeom>
                  </pic:spPr>
                </pic:pic>
              </a:graphicData>
            </a:graphic>
          </wp:anchor>
        </w:drawing>
      </w:r>
      <w:bookmarkEnd w:id="1474"/>
      <w:bookmarkEnd w:id="1475"/>
    </w:p>
    <w:p>
      <w:pPr>
        <w:pStyle w:val="Para 03"/>
      </w:pPr>
      <w:r>
        <w:t>fence_mpath is an I/O fencing agent that uses SCSI-3 persistent reservations to control ac-</w:t>
      </w:r>
    </w:p>
    <w:p>
      <w:pPr>
        <w:pStyle w:val="Para 03"/>
      </w:pPr>
      <w:r>
        <w:t>cess multipath devices. Underlying devices must support SCSI-3 persistent reservations</w:t>
      </w:r>
    </w:p>
    <w:p>
      <w:pPr>
        <w:pStyle w:val="Para 03"/>
      </w:pPr>
      <w:r>
        <w:t>(SPC-3 or greater) as well as the “preempt-and-abort” subcommand. The fence_mpath</w:t>
      </w:r>
    </w:p>
    <w:p>
      <w:pPr>
        <w:pStyle w:val="Para 03"/>
      </w:pPr>
      <w:r>
        <w:t>agent works by having a unique key for each node that has to be set in /etc/multipath.</w:t>
      </w:r>
    </w:p>
    <w:p>
      <w:pPr>
        <w:pStyle w:val="Para 03"/>
      </w:pPr>
      <w:r>
        <w:t>conf . Once registered, a single node will become the reservation holder by creating a</w:t>
      </w:r>
    </w:p>
    <w:p>
      <w:pPr>
        <w:pStyle w:val="Para 03"/>
      </w:pPr>
      <w:r>
        <w:t>“write exclusive, registrants only” reservation on the device(s). The result is that only reg-</w:t>
      </w:r>
    </w:p>
    <w:p>
      <w:pPr>
        <w:pStyle w:val="Para 03"/>
      </w:pPr>
      <w:r>
        <w:t>istered nodes may write to the device(s). When a node failure occurs, the fence_mpath</w:t>
      </w:r>
    </w:p>
    <w:p>
      <w:pPr>
        <w:pStyle w:val="Para 03"/>
      </w:pPr>
      <w:r>
        <w:t>agent will remove the key belonging to the failed node from the device(s). The failed</w:t>
      </w:r>
    </w:p>
    <w:p>
      <w:pPr>
        <w:pStyle w:val="Para 03"/>
      </w:pPr>
      <w:r>
        <w:t>node will no longer be able to write to the device(s). A manual reboot is required.</w:t>
      </w:r>
    </w:p>
    <w:p>
      <w:pPr>
        <w:pStyle w:val="Para 17"/>
      </w:pPr>
      <w:r>
        <w:t/>
      </w:r>
    </w:p>
    <w:p>
      <w:pPr>
        <w:pStyle w:val="Normal"/>
      </w:pPr>
      <w:r>
        <w:t>One can configure a fence_mpath resource with the following command:</w:t>
      </w:r>
    </w:p>
    <w:p>
      <w:pPr>
        <w:pStyle w:val="Normal"/>
      </w:pPr>
      <w:r>
        <w:t>$ crm configure primitive $RESOURCE_NAME stonith:fence_mpath \</w:t>
      </w:r>
    </w:p>
    <w:p>
      <w:pPr>
        <w:pStyle w:val="Para 12"/>
      </w:pPr>
      <w:r>
        <w:t>pcmk_host_map="$NODE1:$NODE1_RES_KEY;$NODE2:$NODE2_RES_KEY;$NODE3:$NODE3_RES_</w:t>
      </w:r>
    </w:p>
    <w:p>
      <w:pPr>
        <w:pStyle w:val="Normal"/>
      </w:pPr>
      <w:r>
        <w:t>KEY" \</w:t>
      </w:r>
    </w:p>
    <w:p>
      <w:pPr>
        <w:pStyle w:val="Para 12"/>
      </w:pPr>
      <w:r>
        <w:t>pcmk_host_argument=key \</w:t>
      </w:r>
    </w:p>
    <w:p>
      <w:pPr>
        <w:pStyle w:val="Para 12"/>
      </w:pPr>
      <w:r>
        <w:t>pcmk_monitor_action=metadata \</w:t>
      </w:r>
    </w:p>
    <w:p>
      <w:pPr>
        <w:pStyle w:val="Para 12"/>
      </w:pPr>
      <w:r>
        <w:t>pcmk_reboot_action=off \</w:t>
      </w:r>
    </w:p>
    <w:p>
      <w:pPr>
        <w:pStyle w:val="Para 12"/>
      </w:pPr>
      <w:r>
        <w:t>devices=$MPATH_DEVICE \</w:t>
      </w:r>
    </w:p>
    <w:p>
      <w:pPr>
        <w:pStyle w:val="Para 12"/>
      </w:pPr>
      <w:r>
        <w:t>meta provides=unfencing</w:t>
      </w:r>
    </w:p>
    <w:p>
      <w:pPr>
        <w:pStyle w:val="Para 17"/>
      </w:pPr>
      <w:r>
        <w:t/>
      </w:r>
    </w:p>
    <w:p>
      <w:pPr>
        <w:pStyle w:val="Normal"/>
      </w:pPr>
      <w:r>
        <w:t>One can do the same using pcs via the following command:</w:t>
      </w:r>
    </w:p>
    <w:p>
      <w:pPr>
        <w:pStyle w:val="Normal"/>
      </w:pPr>
      <w:r>
        <w:t>$ pcs stonith create $RESOURCE_NAME fence_mpath \</w:t>
      </w:r>
    </w:p>
    <w:p>
      <w:pPr>
        <w:pStyle w:val="Para 12"/>
      </w:pPr>
      <w:r>
        <w:t>pcmk_host_map="$NODE1:$NODE1_RES_KEY;$NODE2:$NODE2_RES_KEY;$NODE3:$NODE3_RES_</w:t>
      </w:r>
    </w:p>
    <w:p>
      <w:pPr>
        <w:pStyle w:val="Normal"/>
      </w:pPr>
      <w:r>
        <w:t>KEY" \</w:t>
      </w:r>
    </w:p>
    <w:p>
      <w:pPr>
        <w:pStyle w:val="Para 12"/>
      </w:pPr>
      <w:r>
        <w:t>pcmk_host_argument=key \</w:t>
      </w:r>
    </w:p>
    <w:p>
      <w:pPr>
        <w:pStyle w:val="Para 12"/>
      </w:pPr>
      <w:r>
        <w:t>pcmk_monitor_action=metadata \</w:t>
      </w:r>
    </w:p>
    <w:p>
      <w:pPr>
        <w:pStyle w:val="Para 12"/>
      </w:pPr>
      <w:r>
        <w:t>pcmk_reboot_action=off \</w:t>
      </w:r>
    </w:p>
    <w:p>
      <w:pPr>
        <w:pStyle w:val="Para 12"/>
      </w:pPr>
      <w:r>
        <w:t>devices=$MPATH_DEVICE \</w:t>
      </w:r>
    </w:p>
    <w:p>
      <w:pPr>
        <w:pStyle w:val="Para 12"/>
      </w:pPr>
      <w:r>
        <w:t>meta provides=unfencing</w:t>
      </w:r>
    </w:p>
    <w:p>
      <w:pPr>
        <w:pStyle w:val="Para 17"/>
      </w:pPr>
      <w:r>
        <w:t/>
      </w:r>
    </w:p>
    <w:p>
      <w:pPr>
        <w:pStyle w:val="Normal"/>
      </w:pPr>
      <w:r>
        <w:t>The $NODE1_RES_KEY is the reservation key used by this node 1 (same for the others node with access to the multipath device), please make sure you have reservation_key &lt;key&gt; in the default section inside /etc/multipath.conf and the multipathed service was reloaded after it.</w:t>
      </w:r>
    </w:p>
    <w:p>
      <w:pPr>
        <w:pStyle w:val="Normal"/>
      </w:pPr>
      <w:r>
        <w:t xml:space="preserve">This is one way to set up </w:t>
      </w:r>
      <w:hyperlink w:anchor="page_931">
        <w:r>
          <w:rPr>
            <w:rStyle w:val="Text9"/>
          </w:rPr>
          <w:t>1080</w:t>
        </w:r>
      </w:hyperlink>
      <w:r>
        <w:t xml:space="preserve"> fence_mpath , for more information please check </w:t>
      </w:r>
      <w:hyperlink r:id="rId1891">
        <w:r>
          <w:rPr>
            <w:rStyle w:val="Text2"/>
          </w:rPr>
          <w:t>its manual page</w:t>
        </w:r>
      </w:hyperlink>
      <w:r>
        <w:t>.</w:t>
      </w:r>
    </w:p>
    <w:p>
      <w:pPr>
        <w:pStyle w:val="Para 17"/>
      </w:pPr>
      <w:r>
        <w:t/>
      </w:r>
    </w:p>
    <w:p>
      <w:pPr>
        <w:pStyle w:val="Para 01"/>
      </w:pPr>
      <w:r>
        <w:t>fence_sbd</w:t>
      </w:r>
    </w:p>
    <w:p>
      <w:pPr>
        <w:pStyle w:val="Para 17"/>
      </w:pPr>
      <w:r>
        <w:t/>
      </w:r>
    </w:p>
    <w:p>
      <w:pPr>
        <w:pStyle w:val="Normal"/>
      </w:pPr>
      <w:r>
        <w:t>From its manual page:</w:t>
      </w:r>
    </w:p>
    <w:p>
      <w:pPr>
        <w:pStyle w:val="Para 17"/>
      </w:pPr>
      <w:r>
        <w:t/>
      </w:r>
    </w:p>
    <w:p>
      <w:pPr>
        <w:pStyle w:val="Para 03"/>
      </w:pPr>
      <w:r>
        <w:t>fence_sbd is I/O Fencing agent which can be used in environments where SBD can be used</w:t>
      </w:r>
    </w:p>
    <w:p>
      <w:pPr>
        <w:pStyle w:val="Para 03"/>
      </w:pPr>
      <w:r>
        <w:t>(shared storage).</w:t>
      </w:r>
    </w:p>
    <w:p>
      <w:pPr>
        <w:pStyle w:val="Para 17"/>
      </w:pPr>
      <w:r>
        <w:t/>
      </w:r>
    </w:p>
    <w:p>
      <w:pPr>
        <w:pStyle w:val="Normal"/>
      </w:pPr>
      <w:r>
        <w:t>With STONITH Block Device (SBD) configured on a system, the fence_sbd resource can be configured with the following command:</w:t>
      </w:r>
    </w:p>
    <w:p>
      <w:pPr>
        <w:pStyle w:val="Normal"/>
      </w:pPr>
      <w:r>
        <w:t>$ crm configure primitive $RESOURCE_NAME stonith:fence_sbd devices=$DEVICE</w:t>
      </w:r>
    </w:p>
    <w:p>
      <w:pPr>
        <w:pStyle w:val="Para 16"/>
      </w:pPr>
      <w:r>
        <w:rPr>
          <w:rStyle w:val="Text5"/>
        </w:rPr>
        <w:t>1080</w:t>
      </w:r>
      <w:r>
        <w:rPr>
          <w:rStyle w:val="Text8"/>
        </w:rPr>
        <w:t xml:space="preserve"> </w:t>
      </w:r>
      <w:r>
        <w:t>https://manpages.ubuntu.com/manpages/resolute/man8/fence_mpath.8.html</w:t>
      </w:r>
      <w:r>
        <w:rPr>
          <w:rStyle w:val="Text8"/>
        </w:rPr>
        <w:t xml:space="preserve"> One can do the same using pcs via the following command:</w:t>
      </w:r>
    </w:p>
    <w:p>
      <w:bookmarkStart w:id="1476" w:name="page_9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1" name="index-932_1.png" descr="index-932_1.png"/>
            <wp:cNvGraphicFramePr>
              <a:graphicFrameLocks noChangeAspect="1"/>
            </wp:cNvGraphicFramePr>
            <a:graphic>
              <a:graphicData uri="http://schemas.openxmlformats.org/drawingml/2006/picture">
                <pic:pic>
                  <pic:nvPicPr>
                    <pic:cNvPr id="0" name="index-932_1.png" descr="index-932_1.png"/>
                    <pic:cNvPicPr/>
                  </pic:nvPicPr>
                  <pic:blipFill>
                    <a:blip r:embed="rId975"/>
                    <a:stretch>
                      <a:fillRect/>
                    </a:stretch>
                  </pic:blipFill>
                  <pic:spPr>
                    <a:xfrm>
                      <a:off x="0" y="0"/>
                      <a:ext cx="914400" cy="266700"/>
                    </a:xfrm>
                    <a:prstGeom prst="rect">
                      <a:avLst/>
                    </a:prstGeom>
                  </pic:spPr>
                </pic:pic>
              </a:graphicData>
            </a:graphic>
          </wp:anchor>
        </w:drawing>
      </w:r>
      <w:bookmarkEnd w:id="1476"/>
    </w:p>
    <w:p>
      <w:pPr>
        <w:pStyle w:val="Normal"/>
      </w:pPr>
      <w:r>
        <w:t>$ pcs stonith create $RESOURCE_NAME fence_sbd devices=$DEVICE</w:t>
      </w:r>
    </w:p>
    <w:p>
      <w:pPr>
        <w:pStyle w:val="Para 17"/>
      </w:pPr>
      <w:r>
        <w:t/>
      </w:r>
    </w:p>
    <w:p>
      <w:pPr>
        <w:pStyle w:val="Normal"/>
      </w:pPr>
      <w:r>
        <w:t xml:space="preserve">This is one way to set up </w:t>
      </w:r>
      <w:hyperlink w:anchor="page_932">
        <w:r>
          <w:rPr>
            <w:rStyle w:val="Text9"/>
          </w:rPr>
          <w:t>1081</w:t>
        </w:r>
      </w:hyperlink>
      <w:r>
        <w:t xml:space="preserve"> fence_sbd , for more information refer </w:t>
      </w:r>
      <w:hyperlink r:id="rId1892">
        <w:r>
          <w:rPr>
            <w:rStyle w:val="Text2"/>
          </w:rPr>
          <w:t>to its manual page</w:t>
        </w:r>
      </w:hyperlink>
      <w:r>
        <w:t>.</w:t>
      </w:r>
    </w:p>
    <w:p>
      <w:pPr>
        <w:pStyle w:val="Para 17"/>
      </w:pPr>
      <w:r>
        <w:t/>
      </w:r>
    </w:p>
    <w:p>
      <w:pPr>
        <w:pStyle w:val="Para 01"/>
      </w:pPr>
      <w:r>
        <w:t>fence_scsi</w:t>
      </w:r>
    </w:p>
    <w:p>
      <w:pPr>
        <w:pStyle w:val="Para 17"/>
      </w:pPr>
      <w:r>
        <w:t/>
      </w:r>
    </w:p>
    <w:p>
      <w:pPr>
        <w:pStyle w:val="Normal"/>
      </w:pPr>
      <w:r>
        <w:t>From its manual page:</w:t>
      </w:r>
    </w:p>
    <w:p>
      <w:pPr>
        <w:pStyle w:val="Para 17"/>
      </w:pPr>
      <w:r>
        <w:t/>
      </w:r>
    </w:p>
    <w:p>
      <w:pPr>
        <w:pStyle w:val="Para 03"/>
      </w:pPr>
      <w:r>
        <w:t>fence_scsi is an I/O fencing agent that uses SCSI-3 persistent reservations to control ac-</w:t>
      </w:r>
    </w:p>
    <w:p>
      <w:pPr>
        <w:pStyle w:val="Para 03"/>
      </w:pPr>
      <w:r>
        <w:t>cess to shared storage devices. These devices must support SCSI-3 persistent reservations</w:t>
      </w:r>
    </w:p>
    <w:p>
      <w:pPr>
        <w:pStyle w:val="Para 03"/>
      </w:pPr>
      <w:r>
        <w:t>(SPC-3 or greater) as well as the “preempt-and-abort” subcommand. The fence_scsi agent</w:t>
      </w:r>
    </w:p>
    <w:p>
      <w:pPr>
        <w:pStyle w:val="Para 03"/>
      </w:pPr>
      <w:r>
        <w:t>works by having each node in the cluster register a unique key with the SCSI device(s).</w:t>
      </w:r>
    </w:p>
    <w:p>
      <w:pPr>
        <w:pStyle w:val="Para 03"/>
      </w:pPr>
      <w:r>
        <w:t>Reservation key is generated from “node id” (default) or from “node name hash” (REC-</w:t>
      </w:r>
    </w:p>
    <w:p>
      <w:pPr>
        <w:pStyle w:val="Para 03"/>
      </w:pPr>
      <w:r>
        <w:t>OMMENDED) by adjusting “key_value” option. Using hash is recommended to prevent</w:t>
      </w:r>
    </w:p>
    <w:p>
      <w:pPr>
        <w:pStyle w:val="Para 03"/>
      </w:pPr>
      <w:r>
        <w:t>issues when removing nodes from cluster without full cluster restart. Once registered, a</w:t>
      </w:r>
    </w:p>
    <w:p>
      <w:pPr>
        <w:pStyle w:val="Para 03"/>
      </w:pPr>
      <w:r>
        <w:t>single node will become the reservation holder by creating a “write exclusive, registrants</w:t>
      </w:r>
    </w:p>
    <w:p>
      <w:pPr>
        <w:pStyle w:val="Para 03"/>
      </w:pPr>
      <w:r>
        <w:t>only” reservation on the device(s). The result is that only registered nodes may write to</w:t>
      </w:r>
    </w:p>
    <w:p>
      <w:pPr>
        <w:pStyle w:val="Para 03"/>
      </w:pPr>
      <w:r>
        <w:t>the device(s). When a node failure occurs, the fence_scsi agent will remove the key be-</w:t>
      </w:r>
    </w:p>
    <w:p>
      <w:pPr>
        <w:pStyle w:val="Para 03"/>
      </w:pPr>
      <w:r>
        <w:t>longing to the failed node from the device(s). The failed node will no longer be able to</w:t>
      </w:r>
    </w:p>
    <w:p>
      <w:pPr>
        <w:pStyle w:val="Para 03"/>
      </w:pPr>
      <w:r>
        <w:t>write to the device(s). A manual reboot is required.</w:t>
      </w:r>
    </w:p>
    <w:p>
      <w:pPr>
        <w:pStyle w:val="Para 17"/>
      </w:pPr>
      <w:r>
        <w:t/>
      </w:r>
    </w:p>
    <w:p>
      <w:pPr>
        <w:pStyle w:val="Normal"/>
      </w:pPr>
      <w:r>
        <w:t>A fence_scsi resource can be configured with the following command:</w:t>
      </w:r>
    </w:p>
    <w:p>
      <w:pPr>
        <w:pStyle w:val="Normal"/>
      </w:pPr>
      <w:r>
        <w:t>$ crm configure primitive $RESOURCE_NAME stonith:fence_scsi \</w:t>
      </w:r>
    </w:p>
    <w:p>
      <w:pPr>
        <w:pStyle w:val="Para 12"/>
      </w:pPr>
      <w:r>
        <w:t>pcmk_host_list="$NODE1 $NODE2 $NODE3" \</w:t>
      </w:r>
    </w:p>
    <w:p>
      <w:pPr>
        <w:pStyle w:val="Para 12"/>
      </w:pPr>
      <w:r>
        <w:t>devices=$SCSI_DEVICE \</w:t>
      </w:r>
    </w:p>
    <w:p>
      <w:pPr>
        <w:pStyle w:val="Para 12"/>
      </w:pPr>
      <w:r>
        <w:t>meta provides=unfencing</w:t>
      </w:r>
    </w:p>
    <w:p>
      <w:pPr>
        <w:pStyle w:val="Para 17"/>
      </w:pPr>
      <w:r>
        <w:t/>
      </w:r>
    </w:p>
    <w:p>
      <w:pPr>
        <w:pStyle w:val="Normal"/>
      </w:pPr>
      <w:r>
        <w:t>One can do the same using pcs via the following command:</w:t>
      </w:r>
    </w:p>
    <w:p>
      <w:pPr>
        <w:pStyle w:val="Normal"/>
      </w:pPr>
      <w:r>
        <w:t>$ pcs stonith create $RESOURCE_NAME fence_scsi \</w:t>
      </w:r>
    </w:p>
    <w:p>
      <w:pPr>
        <w:pStyle w:val="Para 12"/>
      </w:pPr>
      <w:r>
        <w:t>pcmk_host_list="$NODE1 $NODE2 $NODE3" \</w:t>
      </w:r>
    </w:p>
    <w:p>
      <w:pPr>
        <w:pStyle w:val="Para 12"/>
      </w:pPr>
      <w:r>
        <w:t>devices=$SCSI_DEVICE \</w:t>
      </w:r>
    </w:p>
    <w:p>
      <w:pPr>
        <w:pStyle w:val="Para 12"/>
      </w:pPr>
      <w:r>
        <w:t>meta provides=unfencing</w:t>
      </w:r>
    </w:p>
    <w:p>
      <w:pPr>
        <w:pStyle w:val="Para 17"/>
      </w:pPr>
      <w:r>
        <w:t/>
      </w:r>
    </w:p>
    <w:p>
      <w:pPr>
        <w:pStyle w:val="Normal"/>
      </w:pPr>
      <w:r>
        <w:t>The pcmk_host_list parameter contains a list of cluster nodes that can access the managed SCSI device.</w:t>
      </w:r>
    </w:p>
    <w:p>
      <w:pPr>
        <w:pStyle w:val="Normal"/>
      </w:pPr>
      <w:r>
        <w:t xml:space="preserve">This is one way to set up </w:t>
      </w:r>
      <w:hyperlink w:anchor="page_932">
        <w:r>
          <w:rPr>
            <w:rStyle w:val="Text9"/>
          </w:rPr>
          <w:t>1082</w:t>
        </w:r>
      </w:hyperlink>
      <w:r>
        <w:t xml:space="preserve"> fence_scsi , for more information refer </w:t>
      </w:r>
      <w:hyperlink r:id="rId1893">
        <w:r>
          <w:rPr>
            <w:rStyle w:val="Text2"/>
          </w:rPr>
          <w:t>to its manual page</w:t>
        </w:r>
      </w:hyperlink>
      <w:r>
        <w:t>.</w:t>
      </w:r>
    </w:p>
    <w:p>
      <w:pPr>
        <w:pStyle w:val="Para 16"/>
      </w:pPr>
      <w:r>
        <w:rPr>
          <w:rStyle w:val="Text5"/>
        </w:rPr>
        <w:t>1081</w:t>
      </w:r>
      <w:r>
        <w:rPr>
          <w:rStyle w:val="Text8"/>
        </w:rPr>
        <w:t xml:space="preserve"> </w:t>
      </w:r>
      <w:r>
        <w:t>https://manpages.ubuntu.com/manpages/resolute/man8/fence_sbd.8.html</w:t>
      </w:r>
      <w:r>
        <w:rPr>
          <w:rStyle w:val="Text8"/>
        </w:rPr>
        <w:t xml:space="preserve"> </w:t>
      </w:r>
      <w:r>
        <w:rPr>
          <w:rStyle w:val="Text5"/>
        </w:rPr>
        <w:t>1082</w:t>
      </w:r>
      <w:r>
        <w:rPr>
          <w:rStyle w:val="Text8"/>
        </w:rPr>
        <w:t xml:space="preserve"> </w:t>
      </w:r>
      <w:r>
        <w:t>https://manpages.ubuntu.com/manpages/resolute/man8/fence_scsi.8.html</w:t>
      </w:r>
    </w:p>
    <w:p>
      <w:bookmarkStart w:id="1477" w:name="calibre_pb_272"/>
      <w:pPr>
        <w:pStyle w:val="0 Block"/>
      </w:pPr>
      <w:bookmarkEnd w:id="1477"/>
    </w:p>
    <w:p>
      <w:bookmarkStart w:id="1478" w:name="Top_of_index_split_273_html"/>
      <w:bookmarkStart w:id="1479" w:name="page_93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2" name="index-933_1.png" descr="index-933_1.png"/>
            <wp:cNvGraphicFramePr>
              <a:graphicFrameLocks noChangeAspect="1"/>
            </wp:cNvGraphicFramePr>
            <a:graphic>
              <a:graphicData uri="http://schemas.openxmlformats.org/drawingml/2006/picture">
                <pic:pic>
                  <pic:nvPicPr>
                    <pic:cNvPr id="0" name="index-933_1.png" descr="index-933_1.png"/>
                    <pic:cNvPicPr/>
                  </pic:nvPicPr>
                  <pic:blipFill>
                    <a:blip r:embed="rId976"/>
                    <a:stretch>
                      <a:fillRect/>
                    </a:stretch>
                  </pic:blipFill>
                  <pic:spPr>
                    <a:xfrm>
                      <a:off x="0" y="0"/>
                      <a:ext cx="914400" cy="266700"/>
                    </a:xfrm>
                    <a:prstGeom prst="rect">
                      <a:avLst/>
                    </a:prstGeom>
                  </pic:spPr>
                </pic:pic>
              </a:graphicData>
            </a:graphic>
          </wp:anchor>
        </w:drawing>
      </w:r>
      <w:bookmarkEnd w:id="1478"/>
      <w:bookmarkEnd w:id="1479"/>
    </w:p>
    <w:p>
      <w:pPr>
        <w:pStyle w:val="Para 01"/>
      </w:pPr>
      <w:r>
        <w:t>fence_virsh</w:t>
      </w:r>
    </w:p>
    <w:p>
      <w:pPr>
        <w:pStyle w:val="Para 17"/>
      </w:pPr>
      <w:r>
        <w:t/>
      </w:r>
    </w:p>
    <w:p>
      <w:pPr>
        <w:pStyle w:val="Normal"/>
      </w:pPr>
      <w:r>
        <w:t>From its manual page:</w:t>
      </w:r>
    </w:p>
    <w:p>
      <w:pPr>
        <w:pStyle w:val="Para 17"/>
      </w:pPr>
      <w:r>
        <w:t/>
      </w:r>
    </w:p>
    <w:p>
      <w:pPr>
        <w:pStyle w:val="Para 03"/>
      </w:pPr>
      <w:r>
        <w:t>fence_virsh is an I/O Fencing agent which can be used with the virtual machines managed</w:t>
      </w:r>
    </w:p>
    <w:p>
      <w:pPr>
        <w:pStyle w:val="Para 03"/>
      </w:pPr>
      <w:r>
        <w:t>by libvirt. It logs via SSH to a dom0 and there run virsh command, which does all work.</w:t>
      </w:r>
    </w:p>
    <w:p>
      <w:pPr>
        <w:pStyle w:val="Para 03"/>
      </w:pPr>
      <w:r>
        <w:t>By default, virsh needs root account to do properly work. So you must allow SSH login in</w:t>
      </w:r>
    </w:p>
    <w:p>
      <w:pPr>
        <w:pStyle w:val="Para 03"/>
      </w:pPr>
      <w:r>
        <w:t>your sshd_config.</w:t>
      </w:r>
    </w:p>
    <w:p>
      <w:pPr>
        <w:pStyle w:val="Para 17"/>
      </w:pPr>
      <w:r>
        <w:t/>
      </w:r>
    </w:p>
    <w:p>
      <w:pPr>
        <w:pStyle w:val="Normal"/>
      </w:pPr>
      <w:r>
        <w:t>A fence_virsh resource can be configured with the following command:</w:t>
      </w:r>
    </w:p>
    <w:p>
      <w:pPr>
        <w:pStyle w:val="Normal"/>
      </w:pPr>
      <w:r>
        <w:t>$ crm configure primitive $RESOURCE_NAME stonith:fence_virsh \</w:t>
      </w:r>
    </w:p>
    <w:p>
      <w:pPr>
        <w:pStyle w:val="Para 12"/>
      </w:pPr>
      <w:r>
        <w:t>ip=$HOST_IP_ADDRESS \</w:t>
      </w:r>
    </w:p>
    <w:p>
      <w:pPr>
        <w:pStyle w:val="Para 12"/>
      </w:pPr>
      <w:r>
        <w:t>login=$HOST_USER \</w:t>
      </w:r>
    </w:p>
    <w:p>
      <w:pPr>
        <w:pStyle w:val="Para 12"/>
      </w:pPr>
      <w:r>
        <w:t>identity_file=$SSH_KEY \</w:t>
      </w:r>
    </w:p>
    <w:p>
      <w:pPr>
        <w:pStyle w:val="Para 12"/>
      </w:pPr>
      <w:r>
        <w:t>plug=$NODE \</w:t>
      </w:r>
    </w:p>
    <w:p>
      <w:pPr>
        <w:pStyle w:val="Para 12"/>
      </w:pPr>
      <w:r>
        <w:t>ssh=true \</w:t>
      </w:r>
    </w:p>
    <w:p>
      <w:pPr>
        <w:pStyle w:val="Para 12"/>
      </w:pPr>
      <w:r>
        <w:t>use_sudo=true</w:t>
      </w:r>
    </w:p>
    <w:p>
      <w:pPr>
        <w:pStyle w:val="Para 17"/>
      </w:pPr>
      <w:r>
        <w:t/>
      </w:r>
    </w:p>
    <w:p>
      <w:pPr>
        <w:pStyle w:val="Normal"/>
      </w:pPr>
      <w:r>
        <w:t>One can do the same using pcs via the following command:</w:t>
      </w:r>
    </w:p>
    <w:p>
      <w:pPr>
        <w:pStyle w:val="Normal"/>
      </w:pPr>
      <w:r>
        <w:t>$ pcs stonith create $RESOURCE_NAME fence_virsh \</w:t>
      </w:r>
    </w:p>
    <w:p>
      <w:pPr>
        <w:pStyle w:val="Para 12"/>
      </w:pPr>
      <w:r>
        <w:t>ip=$HOST_IP_ADDRESS \</w:t>
      </w:r>
    </w:p>
    <w:p>
      <w:pPr>
        <w:pStyle w:val="Para 12"/>
      </w:pPr>
      <w:r>
        <w:t>login=$HOST_USER \</w:t>
      </w:r>
    </w:p>
    <w:p>
      <w:pPr>
        <w:pStyle w:val="Para 12"/>
      </w:pPr>
      <w:r>
        <w:t>identity_file=$SSH_KEY \</w:t>
      </w:r>
    </w:p>
    <w:p>
      <w:pPr>
        <w:pStyle w:val="Para 12"/>
      </w:pPr>
      <w:r>
        <w:t>plug=$NODE \</w:t>
      </w:r>
    </w:p>
    <w:p>
      <w:pPr>
        <w:pStyle w:val="Para 12"/>
      </w:pPr>
      <w:r>
        <w:t>ssh=true \</w:t>
      </w:r>
    </w:p>
    <w:p>
      <w:pPr>
        <w:pStyle w:val="Para 12"/>
      </w:pPr>
      <w:r>
        <w:t>use_sudo=true</w:t>
      </w:r>
    </w:p>
    <w:p>
      <w:pPr>
        <w:pStyle w:val="Para 17"/>
      </w:pPr>
      <w:r>
        <w:t/>
      </w:r>
    </w:p>
    <w:p>
      <w:pPr>
        <w:pStyle w:val="Normal"/>
      </w:pPr>
      <w:r>
        <w:t xml:space="preserve">This is one way to set up </w:t>
      </w:r>
      <w:hyperlink w:anchor="page_933">
        <w:r>
          <w:rPr>
            <w:rStyle w:val="Text9"/>
          </w:rPr>
          <w:t>1083</w:t>
        </w:r>
      </w:hyperlink>
      <w:r>
        <w:t xml:space="preserve"> fence_virsh , for more information refer </w:t>
      </w:r>
      <w:hyperlink r:id="rId1894">
        <w:r>
          <w:rPr>
            <w:rStyle w:val="Text2"/>
          </w:rPr>
          <w:t>to its manual page</w:t>
        </w:r>
      </w:hyperlink>
      <w:r>
        <w:t>.</w:t>
      </w:r>
    </w:p>
    <w:p>
      <w:pPr>
        <w:pStyle w:val="Normal"/>
      </w:pPr>
      <w:r>
        <w:t>In order to avoid running the resource in the same node that should be fenced, we need to add a location restriction:</w:t>
      </w:r>
    </w:p>
    <w:p>
      <w:pPr>
        <w:pStyle w:val="Normal"/>
      </w:pPr>
      <w:r>
        <w:t>$ crm configure location fence-$NODE-location $RESOURCE_NAME -inf: $NODE</w:t>
      </w:r>
    </w:p>
    <w:p>
      <w:pPr>
        <w:pStyle w:val="Para 17"/>
      </w:pPr>
      <w:r>
        <w:t/>
      </w:r>
    </w:p>
    <w:p>
      <w:pPr>
        <w:pStyle w:val="Normal"/>
      </w:pPr>
      <w:r>
        <w:t>Using pcs:</w:t>
      </w:r>
    </w:p>
    <w:p>
      <w:pPr>
        <w:pStyle w:val="Normal"/>
      </w:pPr>
      <w:r>
        <w:t>$ pcs constraint location $RESOURCE_NAME avoids $NODE</w:t>
      </w:r>
    </w:p>
    <w:p>
      <w:pPr>
        <w:pStyle w:val="Para 17"/>
      </w:pPr>
      <w:r>
        <w:t/>
      </w:r>
    </w:p>
    <w:p>
      <w:pPr>
        <w:pStyle w:val="Para 01"/>
      </w:pPr>
      <w:r>
        <w:t>Further reading</w:t>
      </w:r>
    </w:p>
    <w:p>
      <w:pPr>
        <w:pStyle w:val="Para 17"/>
      </w:pPr>
      <w:r>
        <w:t/>
      </w:r>
    </w:p>
    <w:p>
      <w:pPr>
        <w:pStyle w:val="Para 13"/>
      </w:pPr>
      <w:r>
        <w:rPr>
          <w:rStyle w:val="Text7"/>
        </w:rPr>
        <w:t xml:space="preserve">• </w:t>
      </w:r>
      <w:hyperlink w:anchor="page_933">
        <w:r>
          <w:rPr>
            <w:rStyle w:val="Text10"/>
          </w:rPr>
          <w:t>1084</w:t>
        </w:r>
      </w:hyperlink>
      <w:r>
        <w:rPr>
          <w:rStyle w:val="Text7"/>
        </w:rPr>
        <w:t xml:space="preserve"> </w:t>
      </w:r>
      <w:hyperlink r:id="rId1883">
        <w:r>
          <w:t>ClusterLabs website</w:t>
        </w:r>
      </w:hyperlink>
    </w:p>
    <w:p>
      <w:pPr>
        <w:pStyle w:val="Para 13"/>
      </w:pPr>
      <w:r>
        <w:rPr>
          <w:rStyle w:val="Text7"/>
        </w:rPr>
        <w:t xml:space="preserve">• </w:t>
      </w:r>
      <w:hyperlink r:id="rId1895">
        <w:r>
          <w:rPr>
            <w:rStyle w:val="Text10"/>
          </w:rPr>
          <w:t>1085</w:t>
        </w:r>
      </w:hyperlink>
      <w:hyperlink r:id="rId1895">
        <w:r>
          <w:t xml:space="preserve"> Fence agents API documentation</w:t>
        </w:r>
      </w:hyperlink>
    </w:p>
    <w:p>
      <w:pPr>
        <w:pStyle w:val="Para 16"/>
      </w:pPr>
      <w:r>
        <w:rPr>
          <w:rStyle w:val="Text5"/>
        </w:rPr>
        <w:t>1083</w:t>
      </w:r>
      <w:r>
        <w:rPr>
          <w:rStyle w:val="Text8"/>
        </w:rPr>
        <w:t xml:space="preserve"> </w:t>
      </w:r>
      <w:r>
        <w:t>https://manpages.ubuntu.com/manpages/resolute/man8/fence_virsh.8.html</w:t>
      </w:r>
      <w:r>
        <w:rPr>
          <w:rStyle w:val="Text8"/>
        </w:rPr>
        <w:t xml:space="preserve"> </w:t>
      </w:r>
      <w:r>
        <w:rPr>
          <w:rStyle w:val="Text5"/>
        </w:rPr>
        <w:t>1084</w:t>
      </w:r>
      <w:r>
        <w:rPr>
          <w:rStyle w:val="Text8"/>
        </w:rPr>
        <w:t xml:space="preserve"> </w:t>
      </w:r>
      <w:r>
        <w:t>https://clusterlabs.org/</w:t>
      </w:r>
    </w:p>
    <w:p>
      <w:pPr>
        <w:pStyle w:val="Para 16"/>
      </w:pPr>
      <w:r>
        <w:rPr>
          <w:rStyle w:val="Text5"/>
        </w:rPr>
        <w:t>1085</w:t>
      </w:r>
      <w:r>
        <w:rPr>
          <w:rStyle w:val="Text8"/>
        </w:rPr>
        <w:t xml:space="preserve"> </w:t>
      </w:r>
      <w:r>
        <w:t>https://github.com/ClusterLabs/fence-agents/blob/master/doc/FenceAgentAPI.md</w:t>
      </w:r>
    </w:p>
    <w:p>
      <w:bookmarkStart w:id="1480" w:name="calibre_pb_273"/>
      <w:pPr>
        <w:pStyle w:val="0 Block"/>
      </w:pPr>
      <w:bookmarkEnd w:id="1480"/>
    </w:p>
    <w:p>
      <w:bookmarkStart w:id="1481" w:name="Top_of_index_split_274_html"/>
      <w:bookmarkStart w:id="1482" w:name="page_93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3" name="index-934_1.png" descr="index-934_1.png"/>
            <wp:cNvGraphicFramePr>
              <a:graphicFrameLocks noChangeAspect="1"/>
            </wp:cNvGraphicFramePr>
            <a:graphic>
              <a:graphicData uri="http://schemas.openxmlformats.org/drawingml/2006/picture">
                <pic:pic>
                  <pic:nvPicPr>
                    <pic:cNvPr id="0" name="index-934_1.png" descr="index-934_1.png"/>
                    <pic:cNvPicPr/>
                  </pic:nvPicPr>
                  <pic:blipFill>
                    <a:blip r:embed="rId977"/>
                    <a:stretch>
                      <a:fillRect/>
                    </a:stretch>
                  </pic:blipFill>
                  <pic:spPr>
                    <a:xfrm>
                      <a:off x="0" y="0"/>
                      <a:ext cx="914400" cy="266700"/>
                    </a:xfrm>
                    <a:prstGeom prst="rect">
                      <a:avLst/>
                    </a:prstGeom>
                  </pic:spPr>
                </pic:pic>
              </a:graphicData>
            </a:graphic>
          </wp:anchor>
        </w:drawing>
      </w:r>
      <w:bookmarkEnd w:id="1481"/>
      <w:bookmarkEnd w:id="1482"/>
    </w:p>
    <w:p>
      <w:pPr>
        <w:pStyle w:val="Para 01"/>
      </w:pPr>
      <w:r>
        <w:t>See also</w:t>
      </w:r>
    </w:p>
    <w:p>
      <w:pPr>
        <w:pStyle w:val="Para 17"/>
      </w:pPr>
      <w:r>
        <w:t/>
      </w:r>
    </w:p>
    <w:p>
      <w:pPr>
        <w:pStyle w:val="Para 14"/>
      </w:pPr>
      <w:r>
        <w:rPr>
          <w:rStyle w:val="Text4"/>
        </w:rPr>
        <w:t xml:space="preserve">• How-to: </w:t>
      </w:r>
      <w:hyperlink w:anchor="page_608">
        <w:r>
          <w:t>Set up a Distributed Replicated Block Device (DRBD)</w:t>
        </w:r>
      </w:hyperlink>
      <w:r>
        <w:rPr>
          <w:rStyle w:val="Text4"/>
        </w:rPr>
        <w:t xml:space="preserve"> (page 607)</w:t>
      </w:r>
    </w:p>
    <w:p>
      <w:pPr>
        <w:pStyle w:val="Para 04"/>
      </w:pPr>
      <w:r>
        <w:t xml:space="preserve">• Reference: </w:t>
      </w:r>
      <w:hyperlink w:anchor="page_720">
        <w:r>
          <w:rPr>
            <w:rStyle w:val="Text2"/>
          </w:rPr>
          <w:t>High availability</w:t>
        </w:r>
      </w:hyperlink>
      <w:r>
        <w:t xml:space="preserve"> (page 719)</w:t>
      </w:r>
    </w:p>
    <w:p>
      <w:pPr>
        <w:pStyle w:val="Para 24"/>
      </w:pPr>
      <w:r>
        <w:t>3.4.9. System tuning</w:t>
      </w:r>
    </w:p>
    <w:p>
      <w:pPr>
        <w:pStyle w:val="Normal"/>
      </w:pPr>
      <w:hyperlink w:anchor="page_934">
        <w:r>
          <w:rPr>
            <w:rStyle w:val="Text2"/>
          </w:rPr>
          <w:t>Our system tuning</w:t>
        </w:r>
      </w:hyperlink>
      <w:r>
        <w:t xml:space="preserve"> (page 933) section provides details on system performance and optimiza-tion, covering concepts like Profile-Guided Optimization (PGO) and some common tooling.</w:t>
      </w:r>
    </w:p>
    <w:p>
      <w:pPr>
        <w:pStyle w:val="Para 17"/>
      </w:pPr>
      <w:r>
        <w:t/>
      </w:r>
    </w:p>
    <w:p>
      <w:pPr>
        <w:pStyle w:val="Para 01"/>
      </w:pPr>
      <w:r>
        <w:t>Performance</w:t>
      </w:r>
    </w:p>
    <w:p>
      <w:pPr>
        <w:pStyle w:val="Para 17"/>
      </w:pPr>
      <w:r>
        <w:t/>
      </w:r>
    </w:p>
    <w:p>
      <w:pPr>
        <w:pStyle w:val="Normal"/>
      </w:pPr>
      <w:r>
        <w:t>This area of the documentation is about system tuning and will list various tools that can either help to determine the state of the system or to tune it for a given workload.</w:t>
      </w:r>
    </w:p>
    <w:p>
      <w:pPr>
        <w:pStyle w:val="Para 17"/>
      </w:pPr>
      <w:r>
        <w:t/>
      </w:r>
    </w:p>
    <w:p>
      <w:pPr>
        <w:pStyle w:val="Para 08"/>
      </w:pPr>
      <w:r>
        <w:t>Note:</w:t>
      </w:r>
    </w:p>
    <w:p>
      <w:pPr>
        <w:pStyle w:val="Para 03"/>
      </w:pPr>
      <w:r>
        <w:t>Disclaimer - To tune you need to know your system and workload</w:t>
      </w:r>
    </w:p>
    <w:p>
      <w:pPr>
        <w:pStyle w:val="Para 03"/>
      </w:pPr>
      <w:r>
        <w:t>Almost all tunable parameters can be good for one and bad for another type of workload</w:t>
      </w:r>
    </w:p>
    <w:p>
      <w:pPr>
        <w:pStyle w:val="Para 03"/>
      </w:pPr>
      <w:r>
        <w:t>or environment. If the system could do it for you, it probably would be the default setting</w:t>
      </w:r>
    </w:p>
    <w:p>
      <w:pPr>
        <w:pStyle w:val="Para 03"/>
      </w:pPr>
      <w:r>
        <w:t>already.</w:t>
      </w:r>
    </w:p>
    <w:p>
      <w:pPr>
        <w:pStyle w:val="Para 03"/>
      </w:pPr>
      <w:r>
        <w:t>Not even the goal of tuning is the same for everyone; do you want to improve latency,</w:t>
      </w:r>
    </w:p>
    <w:p>
      <w:pPr>
        <w:pStyle w:val="Para 03"/>
      </w:pPr>
      <w:r>
        <w:t>throughput, thermal or work-unit-per-power? But those default settings generally have</w:t>
      </w:r>
    </w:p>
    <w:p>
      <w:pPr>
        <w:pStyle w:val="Para 03"/>
      </w:pPr>
      <w:r>
        <w:t>to aim for a good compromise on all of these aspects, no matter what you will do with</w:t>
      </w:r>
    </w:p>
    <w:p>
      <w:pPr>
        <w:pStyle w:val="Para 03"/>
      </w:pPr>
      <w:r>
        <w:t>your system.</w:t>
      </w:r>
    </w:p>
    <w:p>
      <w:pPr>
        <w:pStyle w:val="Para 03"/>
      </w:pPr>
      <w:r>
        <w:t>Therefore you have to know your workload, your system and the important metrics of</w:t>
      </w:r>
    </w:p>
    <w:p>
      <w:pPr>
        <w:pStyle w:val="Para 03"/>
      </w:pPr>
      <w:r>
        <w:t>what you want to achieve. The more you know, the more you’ll be able to improve your</w:t>
      </w:r>
    </w:p>
    <w:p>
      <w:pPr>
        <w:pStyle w:val="Para 03"/>
      </w:pPr>
      <w:r>
        <w:t>system it to suit your needs by:</w:t>
      </w:r>
    </w:p>
    <w:p>
      <w:pPr>
        <w:pStyle w:val="Para 02"/>
      </w:pPr>
      <w:r>
        <w:t>• Identifying bottlenecks as unblocking them usually has the biggest impact for your</w:t>
      </w:r>
    </w:p>
    <w:p>
      <w:pPr>
        <w:pStyle w:val="Para 06"/>
      </w:pPr>
      <w:r>
        <w:t>workload</w:t>
      </w:r>
    </w:p>
    <w:p>
      <w:pPr>
        <w:pStyle w:val="Para 02"/>
      </w:pPr>
      <w:r>
        <w:t>• Identifying where your needs are different from the generic assumptions to change</w:t>
      </w:r>
    </w:p>
    <w:p>
      <w:pPr>
        <w:pStyle w:val="Para 06"/>
      </w:pPr>
      <w:r>
        <w:t>related tunables</w:t>
      </w:r>
    </w:p>
    <w:p>
      <w:pPr>
        <w:pStyle w:val="Para 02"/>
      </w:pPr>
      <w:r>
        <w:t>• Identifying architectural mismatches between the solution and your needs to allow</w:t>
      </w:r>
    </w:p>
    <w:p>
      <w:pPr>
        <w:pStyle w:val="Para 06"/>
      </w:pPr>
      <w:r>
        <w:t>adapting</w:t>
      </w:r>
    </w:p>
    <w:p>
      <w:pPr>
        <w:pStyle w:val="Para 17"/>
      </w:pPr>
      <w:r>
        <w:t/>
      </w:r>
    </w:p>
    <w:p>
      <w:pPr>
        <w:pStyle w:val="Normal"/>
      </w:pPr>
      <w:r>
        <w:t>To identify those aspects and to then apply static or dynamic tuning Ubuntu carries various tools, a few of them are outlined in more detail in the following sections.</w:t>
      </w:r>
    </w:p>
    <w:p>
      <w:pPr>
        <w:pStyle w:val="Para 04"/>
      </w:pPr>
      <w:r>
        <w:t xml:space="preserve">• Profile-Guided Optimization </w:t>
      </w:r>
      <w:hyperlink w:anchor="page_935">
        <w:r>
          <w:rPr>
            <w:rStyle w:val="Text2"/>
          </w:rPr>
          <w:t>PGO</w:t>
        </w:r>
      </w:hyperlink>
      <w:r>
        <w:t xml:space="preserve"> (page 934)</w:t>
      </w:r>
    </w:p>
    <w:p>
      <w:pPr>
        <w:pStyle w:val="Para 04"/>
      </w:pPr>
      <w:r>
        <w:t xml:space="preserve">• Obtain the hierarchical map of key computing elements using </w:t>
      </w:r>
      <w:hyperlink w:anchor="page_941">
        <w:r>
          <w:rPr>
            <w:rStyle w:val="Text2"/>
          </w:rPr>
          <w:t>hwloc and lstopo</w:t>
        </w:r>
      </w:hyperlink>
    </w:p>
    <w:p>
      <w:pPr>
        <w:pStyle w:val="Para 02"/>
      </w:pPr>
      <w:r>
        <w:t>(page 940)</w:t>
      </w:r>
    </w:p>
    <w:p>
      <w:pPr>
        <w:pStyle w:val="Para 04"/>
      </w:pPr>
      <w:r>
        <w:t xml:space="preserve">• Understand and directly influence </w:t>
      </w:r>
      <w:hyperlink w:anchor="page_945">
        <w:r>
          <w:rPr>
            <w:rStyle w:val="Text2"/>
          </w:rPr>
          <w:t>CPU Power states</w:t>
        </w:r>
      </w:hyperlink>
      <w:r>
        <w:t xml:space="preserve"> (page 944)</w:t>
      </w:r>
    </w:p>
    <w:p>
      <w:pPr>
        <w:pStyle w:val="Para 04"/>
      </w:pPr>
      <w:r>
        <w:t xml:space="preserve">• Monitor, analyze and control CPU governors, power and frequency with </w:t>
      </w:r>
      <w:hyperlink w:anchor="page_949">
        <w:r>
          <w:rPr>
            <w:rStyle w:val="Text2"/>
          </w:rPr>
          <w:t>cpupower</w:t>
        </w:r>
      </w:hyperlink>
    </w:p>
    <w:p>
      <w:pPr>
        <w:pStyle w:val="Para 02"/>
      </w:pPr>
      <w:r>
        <w:t>(page 948)</w:t>
      </w:r>
    </w:p>
    <w:p>
      <w:pPr>
        <w:pStyle w:val="Para 04"/>
      </w:pPr>
      <w:r>
        <w:t xml:space="preserve">• Dynamic, adaptive system tuning </w:t>
      </w:r>
      <w:hyperlink w:anchor="page_954">
        <w:r>
          <w:rPr>
            <w:rStyle w:val="Text2"/>
          </w:rPr>
          <w:t>with TuneD</w:t>
        </w:r>
      </w:hyperlink>
      <w:r>
        <w:t xml:space="preserve"> (page 953)</w:t>
      </w:r>
    </w:p>
    <w:p>
      <w:bookmarkStart w:id="1483" w:name="page_9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4" name="index-935_1.png" descr="index-935_1.png"/>
            <wp:cNvGraphicFramePr>
              <a:graphicFrameLocks noChangeAspect="1"/>
            </wp:cNvGraphicFramePr>
            <a:graphic>
              <a:graphicData uri="http://schemas.openxmlformats.org/drawingml/2006/picture">
                <pic:pic>
                  <pic:nvPicPr>
                    <pic:cNvPr id="0" name="index-935_1.png" descr="index-935_1.png"/>
                    <pic:cNvPicPr/>
                  </pic:nvPicPr>
                  <pic:blipFill>
                    <a:blip r:embed="rId978"/>
                    <a:stretch>
                      <a:fillRect/>
                    </a:stretch>
                  </pic:blipFill>
                  <pic:spPr>
                    <a:xfrm>
                      <a:off x="0" y="0"/>
                      <a:ext cx="914400" cy="266700"/>
                    </a:xfrm>
                    <a:prstGeom prst="rect">
                      <a:avLst/>
                    </a:prstGeom>
                  </pic:spPr>
                </pic:pic>
              </a:graphicData>
            </a:graphic>
          </wp:anchor>
        </w:drawing>
      </w:r>
      <w:bookmarkEnd w:id="1483"/>
    </w:p>
    <w:p>
      <w:pPr>
        <w:pStyle w:val="Para 01"/>
      </w:pPr>
      <w:r>
        <w:t>Profile-Guided Optimization</w:t>
      </w:r>
    </w:p>
    <w:p>
      <w:pPr>
        <w:pStyle w:val="Para 17"/>
      </w:pPr>
      <w:r>
        <w:t/>
      </w:r>
    </w:p>
    <w:p>
      <w:pPr>
        <w:pStyle w:val="Normal"/>
      </w:pPr>
      <w:hyperlink r:id="rId1896">
        <w:r>
          <w:rPr>
            <w:rStyle w:val="Text1"/>
          </w:rPr>
          <w:t>Profile-guided optimization</w:t>
        </w:r>
      </w:hyperlink>
      <w:hyperlink r:id="rId1896">
        <w:r>
          <w:rPr>
            <w:rStyle w:val="Text9"/>
          </w:rPr>
          <w:t>1086</w:t>
        </w:r>
      </w:hyperlink>
      <w:r>
        <w:t xml:space="preserve"> (PGO) or feedback-driven optimization (FDO) are synonyms for the same concept. The idea is that a binary is compiled with built-in instrumentation which, when executed, will generate a profile. This profile can be used as input for the com-piler in a subsequent build of the same binary, and it will serve as a guide for further opti-mizations.</w:t>
      </w:r>
    </w:p>
    <w:p>
      <w:pPr>
        <w:pStyle w:val="Normal"/>
      </w:pPr>
      <w:r>
        <w:t>It can be hard to do profiling of real world applications. Ideally, the profile should be gener-ated by a representative workload of the program, but it’s not always possible to simulate a representative workload. Moreover, the built-in instrumentation impacts the overall perfor-mance of the binary which introduces a performance penalty.</w:t>
      </w:r>
    </w:p>
    <w:p>
      <w:pPr>
        <w:pStyle w:val="Normal"/>
      </w:pPr>
      <w:r>
        <w:t>In order to address these problems, we can use tools like perf to “observe” what the binary is doing externally (sampling it, by monitoring events using Linux kernel’s Performance Mon-itoring Unit – PMU), which makes the process more suitable to be used in production envi-ronments. This technique works better than the regular built-in instrumentation, but it still has a few drawbacks that we will expand later.</w:t>
      </w:r>
    </w:p>
    <w:p>
      <w:pPr>
        <w:pStyle w:val="Para 17"/>
      </w:pPr>
      <w:r>
        <w:t/>
      </w:r>
    </w:p>
    <w:p>
      <w:pPr>
        <w:pStyle w:val="Para 01"/>
      </w:pPr>
      <w:r>
        <w:t>Caveats</w:t>
      </w:r>
    </w:p>
    <w:p>
      <w:pPr>
        <w:pStyle w:val="Para 17"/>
      </w:pPr>
      <w:r>
        <w:t/>
      </w:r>
    </w:p>
    <w:p>
      <w:pPr>
        <w:pStyle w:val="Para 04"/>
      </w:pPr>
      <w:r>
        <w:t>• The purpose of this guide is to provide some basic information about what PGO is and</w:t>
      </w:r>
    </w:p>
    <w:p>
      <w:pPr>
        <w:pStyle w:val="Para 02"/>
      </w:pPr>
      <w:r>
        <w:t>how it works. In order to do that, we will look at a simple example using OpenSSL (more specifically, the openssl speed command) and learn how to do basic profiling. We will not go into a deep dive on how to build the project, and it is assumed that the reader is comfortable with compilation, compiler flags and using the command line.</w:t>
      </w:r>
    </w:p>
    <w:p>
      <w:pPr>
        <w:pStyle w:val="Para 04"/>
      </w:pPr>
      <w:r>
        <w:t>• Despite being a relatively popular technique, PGO is not always the best approach to op-</w:t>
      </w:r>
    </w:p>
    <w:p>
      <w:pPr>
        <w:pStyle w:val="Para 02"/>
      </w:pPr>
      <w:r>
        <w:t xml:space="preserve">timize a program. The profiling data generated by the workload will be extremely tied to it, which means that the optimized program might actually have worse performance when other types of workloads are executed. There is not a one-size-fits-all solution for this problem, and sometimes the best approach might be to </w:t>
      </w:r>
      <w:r>
        <w:rPr>
          <w:rStyle w:val="Text0"/>
        </w:rPr>
        <w:t>not</w:t>
      </w:r>
      <w:r>
        <w:t xml:space="preserve"> use PGO after all.</w:t>
      </w:r>
    </w:p>
    <w:p>
      <w:pPr>
        <w:pStyle w:val="Para 04"/>
      </w:pPr>
      <w:r>
        <w:t>• If you plan to follow along, we recommend setting up a test environment for this ex-</w:t>
      </w:r>
    </w:p>
    <w:p>
      <w:pPr>
        <w:pStyle w:val="Para 02"/>
      </w:pPr>
      <w:r>
        <w:t>periment. The ideal setup involves using a bare metal machine because it’s the more direct way to collect the performance metrics. If you would like to use a virtual machine (created using QEMU/libvirt, LXD, Multipass, etc.), it will likely only work on Intel-based processors due to how Virtual Performance Monitoring Unit (vPMU) works.</w:t>
      </w:r>
    </w:p>
    <w:p>
      <w:pPr>
        <w:pStyle w:val="Para 17"/>
      </w:pPr>
      <w:r>
        <w:t/>
      </w:r>
    </w:p>
    <w:p>
      <w:pPr>
        <w:pStyle w:val="Para 01"/>
      </w:pPr>
      <w:r>
        <w:t>perf and AutoFDO</w:t>
      </w:r>
    </w:p>
    <w:p>
      <w:pPr>
        <w:pStyle w:val="Para 17"/>
      </w:pPr>
      <w:r>
        <w:t/>
      </w:r>
    </w:p>
    <w:p>
      <w:pPr>
        <w:pStyle w:val="Normal"/>
      </w:pPr>
      <w:r>
        <w:t>Using perf to monitor a process and obtain data about its runtime workload produces data</w:t>
      </w:r>
    </w:p>
    <w:p>
      <w:pPr>
        <w:pStyle w:val="Normal"/>
      </w:pPr>
      <w:r>
        <w:t xml:space="preserve">files in a specific binary format that we will call </w:t>
      </w:r>
      <w:hyperlink r:id="rId1897">
        <w:r>
          <w:rPr>
            <w:rStyle w:val="Text9"/>
          </w:rPr>
          <w:t>1087</w:t>
        </w:r>
      </w:hyperlink>
      <w:r>
        <w:t xml:space="preserve"> perfdata . Unfortunately, </w:t>
      </w:r>
      <w:hyperlink r:id="rId1897">
        <w:r>
          <w:rPr>
            <w:rStyle w:val="Text1"/>
          </w:rPr>
          <w:t>GCC</w:t>
        </w:r>
      </w:hyperlink>
      <w:r>
        <w:t xml:space="preserve"> doesn’t understand this file format; instead, it expects a profile file in a format called gcov. To convert</w:t>
      </w:r>
    </w:p>
    <w:p>
      <w:pPr>
        <w:pStyle w:val="Normal"/>
      </w:pPr>
      <w:r>
        <w:t xml:space="preserve">a </w:t>
      </w:r>
      <w:hyperlink r:id="rId1898">
        <w:r>
          <w:rPr>
            <w:rStyle w:val="Text9"/>
          </w:rPr>
          <w:t>1088</w:t>
        </w:r>
      </w:hyperlink>
      <w:r>
        <w:t xml:space="preserve"> perfdata file into a gcov one, we need to use a software called </w:t>
      </w:r>
      <w:hyperlink r:id="rId1898">
        <w:r>
          <w:rPr>
            <w:rStyle w:val="Text1"/>
          </w:rPr>
          <w:t>autofdo</w:t>
        </w:r>
      </w:hyperlink>
      <w:r>
        <w:t>. This software expects the binary being profiled to obey certain constraints:</w:t>
      </w:r>
    </w:p>
    <w:p>
      <w:pPr>
        <w:pStyle w:val="Para 16"/>
      </w:pPr>
      <w:r>
        <w:rPr>
          <w:rStyle w:val="Text5"/>
        </w:rPr>
        <w:t>1086</w:t>
      </w:r>
      <w:r>
        <w:rPr>
          <w:rStyle w:val="Text8"/>
        </w:rPr>
        <w:t xml:space="preserve"> </w:t>
      </w:r>
      <w:r>
        <w:t>https://en.wikipedia.org/wiki/Profile-guided_optimization</w:t>
      </w:r>
      <w:r>
        <w:rPr>
          <w:rStyle w:val="Text8"/>
        </w:rPr>
        <w:t xml:space="preserve"> </w:t>
      </w:r>
      <w:r>
        <w:rPr>
          <w:rStyle w:val="Text5"/>
        </w:rPr>
        <w:t>1087</w:t>
      </w:r>
      <w:r>
        <w:rPr>
          <w:rStyle w:val="Text8"/>
        </w:rPr>
        <w:t xml:space="preserve"> </w:t>
      </w:r>
      <w:r>
        <w:t>https://gcc.gnu.org</w:t>
      </w:r>
    </w:p>
    <w:p>
      <w:pPr>
        <w:pStyle w:val="Para 16"/>
      </w:pPr>
      <w:r>
        <w:rPr>
          <w:rStyle w:val="Text5"/>
        </w:rPr>
        <w:t>1088</w:t>
      </w:r>
      <w:r>
        <w:rPr>
          <w:rStyle w:val="Text8"/>
        </w:rPr>
        <w:t xml:space="preserve"> </w:t>
      </w:r>
      <w:r>
        <w:t>https://github.com/google/autofdo</w:t>
      </w:r>
    </w:p>
    <w:p>
      <w:bookmarkStart w:id="1484" w:name="page_9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5" name="index-936_1.png" descr="index-936_1.png"/>
            <wp:cNvGraphicFramePr>
              <a:graphicFrameLocks noChangeAspect="1"/>
            </wp:cNvGraphicFramePr>
            <a:graphic>
              <a:graphicData uri="http://schemas.openxmlformats.org/drawingml/2006/picture">
                <pic:pic>
                  <pic:nvPicPr>
                    <pic:cNvPr id="0" name="index-936_1.png" descr="index-936_1.png"/>
                    <pic:cNvPicPr/>
                  </pic:nvPicPr>
                  <pic:blipFill>
                    <a:blip r:embed="rId979"/>
                    <a:stretch>
                      <a:fillRect/>
                    </a:stretch>
                  </pic:blipFill>
                  <pic:spPr>
                    <a:xfrm>
                      <a:off x="0" y="0"/>
                      <a:ext cx="914400" cy="266700"/>
                    </a:xfrm>
                    <a:prstGeom prst="rect">
                      <a:avLst/>
                    </a:prstGeom>
                  </pic:spPr>
                </pic:pic>
              </a:graphicData>
            </a:graphic>
          </wp:anchor>
        </w:drawing>
      </w:r>
      <w:bookmarkEnd w:id="1484"/>
    </w:p>
    <w:p>
      <w:pPr>
        <w:pStyle w:val="Para 04"/>
      </w:pPr>
      <w:r>
        <w:t xml:space="preserve">• The binary </w:t>
      </w:r>
      <w:r>
        <w:rPr>
          <w:rStyle w:val="Text0"/>
        </w:rPr>
        <w:t>cannot</w:t>
      </w:r>
      <w:r>
        <w:t xml:space="preserve"> be stripped of its debug symbols. autofdo does not support separate</w:t>
      </w:r>
    </w:p>
    <w:p>
      <w:pPr>
        <w:pStyle w:val="Para 02"/>
      </w:pPr>
      <w:r>
        <w:t>debug information files (i.e., it can’t work with Ubuntu’s .ddeb packages), and virtually all Ubuntu packages run strip during their build in order to generate the .ddeb pack-ages.</w:t>
      </w:r>
    </w:p>
    <w:p>
      <w:pPr>
        <w:pStyle w:val="Para 04"/>
      </w:pPr>
      <w:r>
        <w:t xml:space="preserve">• The debug information file(s) </w:t>
      </w:r>
      <w:r>
        <w:rPr>
          <w:rStyle w:val="Text0"/>
        </w:rPr>
        <w:t>cannot</w:t>
      </w:r>
      <w:r>
        <w:t xml:space="preserve"> be processed by dwz. This tool’s purpose is to</w:t>
      </w:r>
    </w:p>
    <w:p>
      <w:pPr>
        <w:pStyle w:val="Para 02"/>
      </w:pPr>
      <w:r>
        <w:t>compress the debug information generated when building a binary, and again, virtually all Ubuntu packages use it. For this reason, it is currently not possible to profile most Ubuntu packages without first rebuilding them to disable dwz from running.</w:t>
      </w:r>
    </w:p>
    <w:p>
      <w:pPr>
        <w:pStyle w:val="Para 04"/>
      </w:pPr>
      <w:r>
        <w:t>• We must be mindful of the options we pass to perf, particularly when it comes to record-</w:t>
      </w:r>
    </w:p>
    <w:p>
      <w:pPr>
        <w:pStyle w:val="Para 02"/>
      </w:pPr>
      <w:r>
        <w:t>ing branch prediction events. The options will likely vary depending on whether you are</w:t>
      </w:r>
    </w:p>
    <w:p>
      <w:pPr>
        <w:pStyle w:val="Para 02"/>
      </w:pPr>
      <w:r>
        <w:t xml:space="preserve">using an Intel or </w:t>
      </w:r>
      <w:hyperlink w:anchor="page_669">
        <w:r>
          <w:rPr>
            <w:rStyle w:val="Text2"/>
          </w:rPr>
          <w:t>AMD</w:t>
        </w:r>
      </w:hyperlink>
      <w:r>
        <w:t xml:space="preserve"> processor, for example.</w:t>
      </w:r>
    </w:p>
    <w:p>
      <w:pPr>
        <w:pStyle w:val="Normal"/>
      </w:pPr>
      <w:r>
        <w:t>On top of that, the current autofdo version in Ubuntu (Based on 0.19, at the time of this writing) is not recent enough to process the perfdata files we will generate. There is a PPA</w:t>
      </w:r>
    </w:p>
    <w:p>
      <w:pPr>
        <w:pStyle w:val="Normal"/>
      </w:pPr>
      <w:r>
        <w:t xml:space="preserve">with a newer version of </w:t>
      </w:r>
      <w:hyperlink r:id="rId1899">
        <w:r>
          <w:rPr>
            <w:rStyle w:val="Text9"/>
          </w:rPr>
          <w:t>1089</w:t>
        </w:r>
      </w:hyperlink>
      <w:r>
        <w:t xml:space="preserve"> autofdo package </w:t>
      </w:r>
      <w:hyperlink r:id="rId1899">
        <w:r>
          <w:rPr>
            <w:rStyle w:val="Text1"/>
          </w:rPr>
          <w:t>for Ubuntu Noble</w:t>
        </w:r>
      </w:hyperlink>
      <w:r>
        <w:t>. If you are running another version of Ubuntu and want to install a newer version of autofdo, you will need to build the</w:t>
      </w:r>
    </w:p>
    <w:p>
      <w:pPr>
        <w:pStyle w:val="Normal"/>
      </w:pPr>
      <w:r>
        <w:t xml:space="preserve">software manually (please refer to the </w:t>
      </w:r>
      <w:hyperlink r:id="rId1898">
        <w:r>
          <w:rPr>
            <w:rStyle w:val="Text9"/>
          </w:rPr>
          <w:t>1090</w:t>
        </w:r>
      </w:hyperlink>
      <w:hyperlink r:id="rId1898">
        <w:r>
          <w:rPr>
            <w:rStyle w:val="Text1"/>
          </w:rPr>
          <w:t xml:space="preserve"> upstream repository</w:t>
        </w:r>
      </w:hyperlink>
      <w:r>
        <w:t xml:space="preserve"> for further instructions).</w:t>
      </w:r>
    </w:p>
    <w:p>
      <w:pPr>
        <w:pStyle w:val="Para 17"/>
      </w:pPr>
      <w:r>
        <w:t/>
      </w:r>
    </w:p>
    <w:p>
      <w:pPr>
        <w:pStyle w:val="Para 01"/>
      </w:pPr>
      <w:r>
        <w:t>A simple PGO scenario: openssl speed</w:t>
      </w:r>
    </w:p>
    <w:p>
      <w:pPr>
        <w:pStyle w:val="Para 17"/>
      </w:pPr>
      <w:r>
        <w:t/>
      </w:r>
    </w:p>
    <w:p>
      <w:pPr>
        <w:pStyle w:val="Normal"/>
      </w:pPr>
      <w:r>
        <w:t>PGO makes more sense when your software is CPU-bound, i.e., when it performs CPU inten-sive work and is not mostly waiting on I/O, for example. Even if your software spends time waiting on I/O, using PGO might still be helpful; its effects would be less noticeable, though.</w:t>
      </w:r>
    </w:p>
    <w:p>
      <w:pPr>
        <w:pStyle w:val="Normal"/>
      </w:pPr>
      <w:r>
        <w:t>OpenSSL has a built-in benchmark command called openssl speed, which tests the perfor-mance of its cryptographic algorithms. At first sight this seems excellent for PGO because there is practically no I/O involved, and we are only constrained by how fast the CPU can run. It is possible, however, to encounter cases where the built-in benchmark has already been highly optimized and could cause issues; we will discuss more about this problem later. In the end, the real benefit will come after you get comfortable with our example and apply similar methods against your own software stack.</w:t>
      </w:r>
    </w:p>
    <w:p>
      <w:pPr>
        <w:pStyle w:val="Para 17"/>
      </w:pPr>
      <w:r>
        <w:t/>
      </w:r>
    </w:p>
    <w:p>
      <w:pPr>
        <w:pStyle w:val="Para 01"/>
      </w:pPr>
      <w:r>
        <w:t>Running OpenSSL tests</w:t>
      </w:r>
    </w:p>
    <w:p>
      <w:pPr>
        <w:pStyle w:val="Para 17"/>
      </w:pPr>
      <w:r>
        <w:t/>
      </w:r>
    </w:p>
    <w:p>
      <w:pPr>
        <w:pStyle w:val="Normal"/>
      </w:pPr>
      <w:r>
        <w:t>In order to measure the performance impact of PGO, it is important to perform several tests using an OpenSSL binary without PGO and then with it. The reason for the high number of repeated tests is because we want to eliminate outliers in the final results. It’s also important to make sure to disable as much background load as possible in the machine where the tests are being performed, since we don’t want it to influence the results.</w:t>
      </w:r>
    </w:p>
    <w:p>
      <w:pPr>
        <w:pStyle w:val="Normal"/>
      </w:pPr>
      <w:r>
        <w:t xml:space="preserve">The first thing we have to do is to do several runs of openssl speed </w:t>
      </w:r>
      <w:r>
        <w:rPr>
          <w:rStyle w:val="Text3"/>
        </w:rPr>
        <w:t>before</w:t>
      </w:r>
      <w:r>
        <w:t xml:space="preserve"> enabling PGO, so that we have a baseline to compare with. As explained in the sections above, autofdo does not handle stripped binaries nor dwz-processed debug information, so we need to make sure the resulting binary obeys these restrictions. See the section below for more details on that.</w:t>
      </w:r>
    </w:p>
    <w:p>
      <w:pPr>
        <w:pStyle w:val="Normal"/>
      </w:pPr>
      <w:r>
        <w:t>After confirming that everything looks OK, we are ready to start the benchmark. Let’s run the command:</w:t>
      </w:r>
    </w:p>
    <w:p>
      <w:pPr>
        <w:pStyle w:val="Para 16"/>
      </w:pPr>
      <w:r>
        <w:rPr>
          <w:rStyle w:val="Text5"/>
        </w:rPr>
        <w:t>1089</w:t>
      </w:r>
      <w:r>
        <w:rPr>
          <w:rStyle w:val="Text8"/>
        </w:rPr>
        <w:t xml:space="preserve"> </w:t>
      </w:r>
      <w:r>
        <w:t>https://launchpad.net/~sergiodj/+archive/ubuntu/autofdo</w:t>
      </w:r>
      <w:r>
        <w:rPr>
          <w:rStyle w:val="Text8"/>
        </w:rPr>
        <w:t xml:space="preserve"> </w:t>
      </w:r>
      <w:r>
        <w:rPr>
          <w:rStyle w:val="Text5"/>
        </w:rPr>
        <w:t>1090</w:t>
      </w:r>
      <w:r>
        <w:rPr>
          <w:rStyle w:val="Text8"/>
        </w:rPr>
        <w:t xml:space="preserve"> </w:t>
      </w:r>
      <w:r>
        <w:t>https://github.com/google/autofdo</w:t>
      </w:r>
      <w:r>
        <w:rPr>
          <w:rStyle w:val="Text8"/>
        </w:rPr>
        <w:t xml:space="preserve"> </w:t>
        <w:t>$ openssl speed -seconds</w:t>
        <w:t xml:space="preserve"> </w:t>
        <w:t>60</w:t>
        <w:t>-evp md5 sha512 rsa2048 aes-256-cbc</w:t>
      </w:r>
    </w:p>
    <w:p>
      <w:bookmarkStart w:id="1485" w:name="page_9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6" name="index-937_1.png" descr="index-937_1.png"/>
            <wp:cNvGraphicFramePr>
              <a:graphicFrameLocks noChangeAspect="1"/>
            </wp:cNvGraphicFramePr>
            <a:graphic>
              <a:graphicData uri="http://schemas.openxmlformats.org/drawingml/2006/picture">
                <pic:pic>
                  <pic:nvPicPr>
                    <pic:cNvPr id="0" name="index-937_1.png" descr="index-937_1.png"/>
                    <pic:cNvPicPr/>
                  </pic:nvPicPr>
                  <pic:blipFill>
                    <a:blip r:embed="rId980"/>
                    <a:stretch>
                      <a:fillRect/>
                    </a:stretch>
                  </pic:blipFill>
                  <pic:spPr>
                    <a:xfrm>
                      <a:off x="0" y="0"/>
                      <a:ext cx="914400" cy="266700"/>
                    </a:xfrm>
                    <a:prstGeom prst="rect">
                      <a:avLst/>
                    </a:prstGeom>
                  </pic:spPr>
                </pic:pic>
              </a:graphicData>
            </a:graphic>
          </wp:anchor>
        </w:drawing>
      </w:r>
      <w:bookmarkEnd w:id="1485"/>
    </w:p>
    <w:p>
      <w:pPr>
        <w:pStyle w:val="Para 17"/>
      </w:pPr>
      <w:r>
        <w:t/>
      </w:r>
    </w:p>
    <w:p>
      <w:pPr>
        <w:pStyle w:val="Normal"/>
      </w:pPr>
      <w:r>
        <w:t>This will run benchmark tests for md5, sha512, rsa2048 and aes-256-cbc. Each test will last 60 seconds, and they will involve calculating as many cryptographic hashes from N-byte chunks of data (with N varying from 16 to 16384) with each algorithm (with the exception of rsa2048, whose performance is measured in signatures/verifications per second). By the end, you should see a report like the following:</w:t>
      </w:r>
    </w:p>
    <w:p>
      <w:pPr>
        <w:pStyle w:val="Normal"/>
      </w:pPr>
      <w:r>
        <w:t>The 'numbers' are in 1000s of bytes per second processed.</w:t>
        <w:t xml:space="preserve"> </w:t>
        <w:t>type</w:t>
        <w:t xml:space="preserve"> </w:t>
        <w:t>16 bytes</w:t>
        <w:t xml:space="preserve"> </w:t>
        <w:t>64 bytes</w:t>
        <w:t xml:space="preserve"> </w:t>
        <w:t>256 bytes</w:t>
        <w:t xml:space="preserve"> </w:t>
        <w:t>1024 bytes</w:t>
        <w:t xml:space="preserve"> </w:t>
        <w:t>8192 bytes</w:t>
        <w:t xml:space="preserve"> </w:t>
        <w:t>16384 bytes</w:t>
        <w:t xml:space="preserve"> </w:t>
        <w:t>sha512</w:t>
        <w:t xml:space="preserve"> </w:t>
        <w:t>91713.74k</w:t>
        <w:t xml:space="preserve"> </w:t>
        <w:t>366632.96k</w:t>
        <w:t xml:space="preserve"> </w:t>
        <w:t>684349.30k</w:t>
        <w:t xml:space="preserve"> </w:t>
        <w:t>1060512.22k</w:t>
        <w:t xml:space="preserve"> </w:t>
        <w:t>1260359.00k</w:t>
        <w:t xml:space="preserve"> </w:t>
        <w:t>1273277.</w:t>
        <w:t xml:space="preserve"> </w:t>
        <w:t>92k</w:t>
      </w:r>
    </w:p>
    <w:p>
      <w:pPr>
        <w:pStyle w:val="Normal"/>
      </w:pPr>
      <w:r>
        <w:t>aes-256-cbc</w:t>
        <w:t xml:space="preserve"> </w:t>
        <w:t>1266018.36k</w:t>
        <w:t xml:space="preserve"> </w:t>
        <w:t>1437870.33k</w:t>
        <w:t xml:space="preserve"> </w:t>
        <w:t>1442743.14k</w:t>
        <w:t xml:space="preserve"> </w:t>
        <w:t>1449933.84k</w:t>
        <w:t xml:space="preserve"> </w:t>
        <w:t>1453336.84k</w:t>
        <w:t xml:space="preserve"> </w:t>
        <w:t>1453484.</w:t>
        <w:t xml:space="preserve"> </w:t>
        <w:t>99k</w:t>
      </w:r>
    </w:p>
    <w:p>
      <w:pPr>
        <w:pStyle w:val="Normal"/>
      </w:pPr>
      <w:r>
        <w:t>md5</w:t>
        <w:t xml:space="preserve"> </w:t>
        <w:t>140978.58k</w:t>
        <w:t xml:space="preserve"> </w:t>
        <w:t>367562.53k</w:t>
        <w:t xml:space="preserve"> </w:t>
        <w:t>714094.14k</w:t>
        <w:t xml:space="preserve"> </w:t>
        <w:t>955267.21k</w:t>
        <w:t xml:space="preserve"> </w:t>
        <w:t>1060969.81k</w:t>
        <w:t xml:space="preserve"> </w:t>
        <w:t>1068296.</w:t>
        <w:t xml:space="preserve"> </w:t>
        <w:t>87k</w:t>
      </w:r>
    </w:p>
    <w:p>
      <w:pPr>
        <w:pStyle w:val="Para 25"/>
      </w:pPr>
      <w:r>
        <w:t>sign</w:t>
        <w:t xml:space="preserve"> </w:t>
        <w:t>verify</w:t>
        <w:t xml:space="preserve"> </w:t>
        <w:t>sign/s verify/s</w:t>
      </w:r>
    </w:p>
    <w:p>
      <w:pPr>
        <w:pStyle w:val="Normal"/>
      </w:pPr>
      <w:r>
        <w:t>rsa 2048 bits 0.000173s 0.000012s</w:t>
        <w:t xml:space="preserve"> </w:t>
        <w:t>5776.8</w:t>
        <w:t xml:space="preserve"> </w:t>
        <w:t>86791.9</w:t>
      </w:r>
    </w:p>
    <w:p>
      <w:pPr>
        <w:pStyle w:val="Para 17"/>
      </w:pPr>
      <w:r>
        <w:t/>
      </w:r>
    </w:p>
    <w:p>
      <w:pPr>
        <w:pStyle w:val="Para 01"/>
      </w:pPr>
      <w:r>
        <w:t>Building OpenSSL for profiling</w:t>
      </w:r>
    </w:p>
    <w:p>
      <w:pPr>
        <w:pStyle w:val="Para 17"/>
      </w:pPr>
      <w:r>
        <w:t/>
      </w:r>
    </w:p>
    <w:p>
      <w:pPr>
        <w:pStyle w:val="Normal"/>
      </w:pPr>
      <w:r>
        <w:t>Before we are able to profile OpenSSL, we need sure that we compile the software in a way that the generated program meets the requirements. In our case, you can use the file com-mand after building the binary to make sure that it has not been stripped:</w:t>
      </w:r>
    </w:p>
    <w:p>
      <w:pPr>
        <w:pStyle w:val="Normal"/>
      </w:pPr>
      <w:r>
        <w:t>$ file /usr/bin/openssl</w:t>
      </w:r>
    </w:p>
    <w:p>
      <w:pPr>
        <w:pStyle w:val="Normal"/>
      </w:pPr>
      <w:r>
        <w:t>/usr/bin/openssl: ELF 64-bit LSB pie executable, x86-64, version 1 (SYSV), dynamically</w:t>
        <w:t xml:space="preserve"> </w:t>
        <w:t>linked, interpreter /lib64/ld-linux-x86-64.so.2,</w:t>
      </w:r>
    </w:p>
    <w:p>
      <w:pPr>
        <w:pStyle w:val="Normal"/>
      </w:pPr>
      <w:r>
        <w:t>BuildID[sha1]=42a5ac797b6981bd45a9ece3f67646edded56bdb, for GNU/Linux 3.2.0, with debug_</w:t>
        <w:t xml:space="preserve"> </w:t>
        <w:t>info, not stripped</w:t>
      </w:r>
    </w:p>
    <w:p>
      <w:pPr>
        <w:pStyle w:val="Para 17"/>
      </w:pPr>
      <w:r>
        <w:t/>
      </w:r>
    </w:p>
    <w:p>
      <w:pPr>
        <w:pStyle w:val="Normal"/>
      </w:pPr>
      <w:r>
        <w:t>Note how file reports the binary as being with debug_info, not stripped. This is the output you need to look for when inspecting your own binaries.</w:t>
      </w:r>
    </w:p>
    <w:p>
      <w:pPr>
        <w:pStyle w:val="Normal"/>
      </w:pPr>
      <w:r>
        <w:t>You can use the eu-readelf command (from the elfutils package) to determine whether any compression was performed with dwz:</w:t>
      </w:r>
    </w:p>
    <w:p>
      <w:pPr>
        <w:pStyle w:val="Normal"/>
      </w:pPr>
      <w:r>
        <w:t>$ eu-readelf -S /usr/bin/openssl</w:t>
      </w:r>
    </w:p>
    <w:p>
      <w:pPr>
        <w:pStyle w:val="Normal"/>
      </w:pPr>
      <w:r>
        <w:t>[...]</w:t>
      </w:r>
    </w:p>
    <w:p>
      <w:pPr>
        <w:pStyle w:val="Normal"/>
      </w:pPr>
      <w:r>
        <w:t>Section Headers:</w:t>
      </w:r>
    </w:p>
    <w:p>
      <w:pPr>
        <w:pStyle w:val="Normal"/>
      </w:pPr>
      <w:r>
        <w:t>[Nr] Name</w:t>
        <w:t xml:space="preserve"> </w:t>
        <w:t>Type</w:t>
        <w:t xml:space="preserve"> </w:t>
        <w:t>Addr</w:t>
        <w:t xml:space="preserve"> </w:t>
        <w:t>Off</w:t>
        <w:t xml:space="preserve"> </w:t>
        <w:t>Size</w:t>
        <w:t xml:space="preserve"> </w:t>
        <w:t>ES Flags Lk Inf</w:t>
        <w:t xml:space="preserve"> </w:t>
        <w:t>Al</w:t>
      </w:r>
    </w:p>
    <w:p>
      <w:pPr>
        <w:pStyle w:val="Normal"/>
      </w:pPr>
      <w:r>
        <w:t>[...]</w:t>
      </w:r>
    </w:p>
    <w:p>
      <w:pPr>
        <w:pStyle w:val="Normal"/>
      </w:pPr>
      <w:r>
        <w:t>[31] .debug_abbrev</w:t>
        <w:t xml:space="preserve"> </w:t>
        <w:t>PROGBITS</w:t>
        <w:t xml:space="preserve"> </w:t>
        <w:t>0000000000000000 001bcbf3 000110c4</w:t>
        <w:t xml:space="preserve"> </w:t>
        <w:t>0</w:t>
        <w:t xml:space="preserve"> </w:t>
        <w:t>0</w:t>
        <w:t xml:space="preserve"> </w:t>
        <w:t>0</w:t>
        <w:t xml:space="preserve"> </w:t>
        <w:t>1</w:t>
      </w:r>
    </w:p>
    <w:p>
      <w:pPr>
        <w:pStyle w:val="Normal"/>
      </w:pPr>
      <w:r>
        <w:t>[...]</w:t>
      </w:r>
    </w:p>
    <w:p>
      <w:pPr>
        <w:pStyle w:val="Para 17"/>
      </w:pPr>
      <w:r>
        <w:t/>
      </w:r>
    </w:p>
    <w:p>
      <w:pPr>
        <w:pStyle w:val="Normal"/>
      </w:pPr>
      <w:r>
        <w:t>If the Flags field has C (as in compressed) in it, this means that dwz was used. You will then need to figure out how to disable its execution during the build; for this particular build, this was done by overriding the dh_dwz rule on debian/rules, setting it to an empty value, and executing the build again. The particularities of how to skip build steps depend on the build system being used, and as such this guide will not go into further details.</w:t>
      </w:r>
    </w:p>
    <w:p>
      <w:bookmarkStart w:id="1486" w:name="page_9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7" name="index-938_1.png" descr="index-938_1.png"/>
            <wp:cNvGraphicFramePr>
              <a:graphicFrameLocks noChangeAspect="1"/>
            </wp:cNvGraphicFramePr>
            <a:graphic>
              <a:graphicData uri="http://schemas.openxmlformats.org/drawingml/2006/picture">
                <pic:pic>
                  <pic:nvPicPr>
                    <pic:cNvPr id="0" name="index-938_1.png" descr="index-938_1.png"/>
                    <pic:cNvPicPr/>
                  </pic:nvPicPr>
                  <pic:blipFill>
                    <a:blip r:embed="rId981"/>
                    <a:stretch>
                      <a:fillRect/>
                    </a:stretch>
                  </pic:blipFill>
                  <pic:spPr>
                    <a:xfrm>
                      <a:off x="0" y="0"/>
                      <a:ext cx="914400" cy="266700"/>
                    </a:xfrm>
                    <a:prstGeom prst="rect">
                      <a:avLst/>
                    </a:prstGeom>
                  </pic:spPr>
                </pic:pic>
              </a:graphicData>
            </a:graphic>
          </wp:anchor>
        </w:drawing>
      </w:r>
      <w:bookmarkEnd w:id="1486"/>
    </w:p>
    <w:p>
      <w:pPr>
        <w:pStyle w:val="Para 01"/>
      </w:pPr>
      <w:r>
        <w:t>Using perf to obtain profile data</w:t>
      </w:r>
    </w:p>
    <w:p>
      <w:pPr>
        <w:pStyle w:val="Para 17"/>
      </w:pPr>
      <w:r>
        <w:t/>
      </w:r>
    </w:p>
    <w:p>
      <w:pPr>
        <w:pStyle w:val="Normal"/>
      </w:pPr>
      <w:r>
        <w:t>With OpenSSL prepared and ready to be profiled, it’s now time to use perf to obtain profiling data from our workload. First, let’s make sure we can actually access profiling data in the system. As root, run:</w:t>
      </w:r>
    </w:p>
    <w:p>
      <w:pPr>
        <w:pStyle w:val="Normal"/>
      </w:pPr>
      <w:r>
        <w:t># echo -1 &gt; /proc/sys/kernel/perf_event_paranoid</w:t>
      </w:r>
    </w:p>
    <w:p>
      <w:pPr>
        <w:pStyle w:val="Para 17"/>
      </w:pPr>
      <w:r>
        <w:t/>
      </w:r>
    </w:p>
    <w:p>
      <w:pPr>
        <w:pStyle w:val="Normal"/>
      </w:pPr>
      <w:r>
        <w:t>This should allow all users to monitor events in the system.</w:t>
      </w:r>
    </w:p>
    <w:p>
      <w:pPr>
        <w:pStyle w:val="Normal"/>
      </w:pPr>
      <w:r>
        <w:t>Then, if you are on an Intel system, you can invoke perf using:</w:t>
      </w:r>
    </w:p>
    <w:p>
      <w:pPr>
        <w:pStyle w:val="Normal"/>
      </w:pPr>
      <w:r>
        <w:t>$ sudo perf record</w:t>
        <w:t xml:space="preserve"> </w:t>
      </w:r>
      <w:r>
        <w:rPr>
          <w:rStyle w:val="Text0"/>
        </w:rPr>
        <w:t>\</w:t>
      </w:r>
    </w:p>
    <w:p>
      <w:pPr>
        <w:pStyle w:val="Para 06"/>
      </w:pPr>
      <w:r>
        <w:t>-e br_inst_retired.near_taken</w:t>
        <w:t xml:space="preserve"> </w:t>
      </w:r>
      <w:r>
        <w:rPr>
          <w:rStyle w:val="Text0"/>
        </w:rPr>
        <w:t>\</w:t>
      </w:r>
    </w:p>
    <w:p>
      <w:pPr>
        <w:pStyle w:val="Para 06"/>
      </w:pPr>
      <w:r>
        <w:t>--branch-any</w:t>
        <w:t xml:space="preserve"> </w:t>
      </w:r>
      <w:r>
        <w:rPr>
          <w:rStyle w:val="Text0"/>
        </w:rPr>
        <w:t>\</w:t>
      </w:r>
    </w:p>
    <w:p>
      <w:pPr>
        <w:pStyle w:val="Para 06"/>
      </w:pPr>
      <w:r>
        <w:t>--all-cpus</w:t>
        <w:t xml:space="preserve"> </w:t>
      </w:r>
      <w:r>
        <w:rPr>
          <w:rStyle w:val="Text0"/>
        </w:rPr>
        <w:t>\</w:t>
      </w:r>
    </w:p>
    <w:p>
      <w:pPr>
        <w:pStyle w:val="Para 06"/>
      </w:pPr>
      <w:r>
        <w:t>--output openssl-nonpgo.perfdata</w:t>
        <w:t xml:space="preserve"> </w:t>
      </w:r>
      <w:r>
        <w:rPr>
          <w:rStyle w:val="Text0"/>
        </w:rPr>
        <w:t>\</w:t>
      </w:r>
      <w:r>
        <w:t>-- openssl speed -mr -seconds</w:t>
        <w:t xml:space="preserve"> </w:t>
        <w:t>60</w:t>
        <w:t>-evp md5 sha512 rsa2048 aes-256-cbc</w:t>
      </w:r>
    </w:p>
    <w:p>
      <w:pPr>
        <w:pStyle w:val="Para 17"/>
      </w:pPr>
      <w:r>
        <w:t/>
      </w:r>
    </w:p>
    <w:p>
      <w:pPr>
        <w:pStyle w:val="Normal"/>
      </w:pPr>
      <w:r>
        <w:t>On an AMD system, use the following invocation:</w:t>
      </w:r>
    </w:p>
    <w:p>
      <w:pPr>
        <w:pStyle w:val="Normal"/>
      </w:pPr>
      <w:r>
        <w:t>$ sudo perf record</w:t>
        <w:t xml:space="preserve"> </w:t>
      </w:r>
      <w:r>
        <w:rPr>
          <w:rStyle w:val="Text0"/>
        </w:rPr>
        <w:t>\</w:t>
      </w:r>
    </w:p>
    <w:p>
      <w:pPr>
        <w:pStyle w:val="Para 06"/>
      </w:pPr>
      <w:r>
        <w:t>-e</w:t>
        <w:t xml:space="preserve"> </w:t>
        <w:t>'cpu/event=0xc4,umask=0x0,name=ex_ret_brn_tkn/'</w:t>
        <w:t xml:space="preserve"> </w:t>
      </w:r>
      <w:r>
        <w:rPr>
          <w:rStyle w:val="Text0"/>
        </w:rPr>
        <w:t>\</w:t>
      </w:r>
      <w:r>
        <w:t>--branch-any</w:t>
        <w:t xml:space="preserve"> </w:t>
      </w:r>
      <w:r>
        <w:rPr>
          <w:rStyle w:val="Text0"/>
        </w:rPr>
        <w:t>\</w:t>
      </w:r>
    </w:p>
    <w:p>
      <w:pPr>
        <w:pStyle w:val="Para 06"/>
      </w:pPr>
      <w:r>
        <w:t>--all-cpus</w:t>
        <w:t xml:space="preserve"> </w:t>
      </w:r>
      <w:r>
        <w:rPr>
          <w:rStyle w:val="Text0"/>
        </w:rPr>
        <w:t>\</w:t>
      </w:r>
    </w:p>
    <w:p>
      <w:pPr>
        <w:pStyle w:val="Para 06"/>
      </w:pPr>
      <w:r>
        <w:t>--output openssl-nonpgo.perfdata</w:t>
        <w:t xml:space="preserve"> </w:t>
      </w:r>
      <w:r>
        <w:rPr>
          <w:rStyle w:val="Text0"/>
        </w:rPr>
        <w:t>\</w:t>
      </w:r>
      <w:r>
        <w:t>-- openssl speed -mr -seconds</w:t>
        <w:t xml:space="preserve"> </w:t>
        <w:t>60</w:t>
        <w:t>-evp md5 sha512 rsa2048 aes-256-cbc</w:t>
      </w:r>
    </w:p>
    <w:p>
      <w:pPr>
        <w:pStyle w:val="Para 17"/>
      </w:pPr>
      <w:r>
        <w:t/>
      </w:r>
    </w:p>
    <w:p>
      <w:pPr>
        <w:pStyle w:val="Normal"/>
      </w:pPr>
      <w:r>
        <w:t>After the command has finished running, you should see a file named openssl-nonpgo. perfdata in your current directory.</w:t>
      </w:r>
    </w:p>
    <w:p>
      <w:pPr>
        <w:pStyle w:val="Normal"/>
      </w:pPr>
      <w:r>
        <w:t>Note that the only thing that differs between the Intel and AMD variants is the PMU event to be monitored. Also, note how we are using sudo to invoke perf record. This is necessary in order to obtain full access to Linux kernel symbols and relocation information. It also means that the openssl-nonpgo.perfdata file ownership will need to be adjusted:</w:t>
      </w:r>
    </w:p>
    <w:p>
      <w:pPr>
        <w:pStyle w:val="Normal"/>
      </w:pPr>
      <w:r>
        <w:t>$ sudo chown ubuntu:ubuntu openssl-nonpgo.perfdata</w:t>
      </w:r>
    </w:p>
    <w:p>
      <w:pPr>
        <w:pStyle w:val="Para 17"/>
      </w:pPr>
      <w:r>
        <w:t/>
      </w:r>
    </w:p>
    <w:p>
      <w:pPr>
        <w:pStyle w:val="Normal"/>
      </w:pPr>
      <w:r>
        <w:t>Now, we need to convert the file to gcov.</w:t>
      </w:r>
    </w:p>
    <w:p>
      <w:pPr>
        <w:pStyle w:val="Para 17"/>
      </w:pPr>
      <w:r>
        <w:t/>
      </w:r>
    </w:p>
    <w:p>
      <w:pPr>
        <w:pStyle w:val="Para 01"/>
      </w:pPr>
      <w:r>
        <w:t>Converting perfdata to gcov with autofdo</w:t>
      </w:r>
    </w:p>
    <w:p>
      <w:pPr>
        <w:pStyle w:val="Para 17"/>
      </w:pPr>
      <w:r>
        <w:t/>
      </w:r>
    </w:p>
    <w:p>
      <w:pPr>
        <w:pStyle w:val="Normal"/>
      </w:pPr>
      <w:r>
        <w:t>With autofdo installed, you can convert the perfdata generated in the last step to gcov by doing:</w:t>
      </w:r>
    </w:p>
    <w:p>
      <w:pPr>
        <w:pStyle w:val="Normal"/>
      </w:pPr>
      <w:r>
        <w:t>$ create_gcov</w:t>
        <w:t xml:space="preserve"> </w:t>
      </w:r>
      <w:r>
        <w:rPr>
          <w:rStyle w:val="Text0"/>
        </w:rPr>
        <w:t>\</w:t>
      </w:r>
    </w:p>
    <w:p>
      <w:pPr>
        <w:pStyle w:val="Para 06"/>
      </w:pPr>
      <w:r>
        <w:t>--binary /usr/bin/openssl</w:t>
        <w:t xml:space="preserve"> </w:t>
      </w:r>
      <w:r>
        <w:rPr>
          <w:rStyle w:val="Text0"/>
        </w:rPr>
        <w:t>\</w:t>
      </w:r>
    </w:p>
    <w:p>
      <w:pPr>
        <w:pStyle w:val="Para 06"/>
      </w:pPr>
      <w:r>
        <w:t>--gcov openssl-nonpgo.gcov</w:t>
        <w:t xml:space="preserve"> </w:t>
      </w:r>
      <w:r>
        <w:rPr>
          <w:rStyle w:val="Text0"/>
        </w:rPr>
        <w:t>\</w:t>
      </w:r>
    </w:p>
    <w:p>
      <w:pPr>
        <w:pStyle w:val="Para 06"/>
      </w:pPr>
      <w:r>
        <w:t>--profile openssl-nonpgo.perfdata</w:t>
        <w:t xml:space="preserve"> </w:t>
      </w:r>
      <w:r>
        <w:rPr>
          <w:rStyle w:val="Text0"/>
        </w:rPr>
        <w:t>\</w:t>
      </w:r>
      <w:r>
        <w:t>--gcov_version</w:t>
        <w:t xml:space="preserve"> </w:t>
        <w:t>2</w:t>
        <w:t xml:space="preserve"> </w:t>
      </w:r>
      <w:r>
        <w:rPr>
          <w:rStyle w:val="Text0"/>
        </w:rPr>
        <w:t>\</w:t>
      </w:r>
    </w:p>
    <w:p>
      <w:pPr>
        <w:pStyle w:val="Para 06"/>
      </w:pPr>
      <w:r>
        <w:t>-use_lbr</w:t>
        <w:t xml:space="preserve"> </w:t>
        <w:t>false</w:t>
      </w:r>
    </w:p>
    <w:p>
      <w:pPr>
        <w:pStyle w:val="Para 17"/>
      </w:pPr>
      <w:r>
        <w:t/>
      </w:r>
    </w:p>
    <w:p>
      <w:pPr>
        <w:pStyle w:val="Normal"/>
      </w:pPr>
      <w:r>
        <w:t xml:space="preserve">create_gcov is verbose and will display several messages that may look like something is wrong. For example, the following output is actually from a successful run of the command: </w:t>
        <w:t>[WARNING:[...]/perf_reader.cc:1322] Skipping 200 bytes of metadata: HEADER_CPU_TOPOLOGY</w:t>
        <w:t xml:space="preserve"> </w:t>
        <w:t>[WARNING:[...]/perf_reader.cc:1069] Skipping unsupported event PERF_RECORD_ID_INDEX</w:t>
        <w:t xml:space="preserve"> </w:t>
        <w:t>[WARNING:[...]/perf_reader.cc:1069] Skipping unsupported event PERF_RECORD_EVENT_UPDATE</w:t>
        <w:t xml:space="preserve"> </w:t>
        <w:t>[WARNING:[...]/perf_reader.cc:1069] Skipping unsupported event PERF_RECORD_CPU_MAP</w:t>
        <w:t xml:space="preserve"> </w:t>
        <w:t>[WARNING:[...]/perf_reader.cc:1069] Skipping unsupported event UNKNOWN_EVENT_17</w:t>
        <w:t xml:space="preserve"> </w:t>
        <w:t>[WARNING:[...]/perf_reader.cc:1069] Skipping unsupported event UNKNOWN_EVENT_18</w:t>
        <w:t xml:space="preserve"> </w:t>
        <w:t>[...] many more lines [...]</w:t>
      </w:r>
    </w:p>
    <w:p>
      <w:bookmarkStart w:id="1487" w:name="page_9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8" name="index-939_1.png" descr="index-939_1.png"/>
            <wp:cNvGraphicFramePr>
              <a:graphicFrameLocks noChangeAspect="1"/>
            </wp:cNvGraphicFramePr>
            <a:graphic>
              <a:graphicData uri="http://schemas.openxmlformats.org/drawingml/2006/picture">
                <pic:pic>
                  <pic:nvPicPr>
                    <pic:cNvPr id="0" name="index-939_1.png" descr="index-939_1.png"/>
                    <pic:cNvPicPr/>
                  </pic:nvPicPr>
                  <pic:blipFill>
                    <a:blip r:embed="rId982"/>
                    <a:stretch>
                      <a:fillRect/>
                    </a:stretch>
                  </pic:blipFill>
                  <pic:spPr>
                    <a:xfrm>
                      <a:off x="0" y="0"/>
                      <a:ext cx="914400" cy="266700"/>
                    </a:xfrm>
                    <a:prstGeom prst="rect">
                      <a:avLst/>
                    </a:prstGeom>
                  </pic:spPr>
                </pic:pic>
              </a:graphicData>
            </a:graphic>
          </wp:anchor>
        </w:drawing>
      </w:r>
      <w:bookmarkEnd w:id="1487"/>
    </w:p>
    <w:p>
      <w:pPr>
        <w:pStyle w:val="Para 17"/>
      </w:pPr>
      <w:r>
        <w:t/>
      </w:r>
    </w:p>
    <w:p>
      <w:pPr>
        <w:pStyle w:val="Normal"/>
      </w:pPr>
      <w:r>
        <w:t>Nevertheless, you should inspect its output and also make sure to check the $? shell variable to make sure that it has finished successfully. However, even if create_gcov finishes with exit 0 the generated file openssl-nonpgo.gcov might not be valid. It is also a good idea to use the dump_gcov tool on it and make sure that it actually contains valid information. For example:</w:t>
      </w:r>
    </w:p>
    <w:p>
      <w:pPr>
        <w:pStyle w:val="Normal"/>
      </w:pPr>
      <w:r>
        <w:t>$ dump_gcov openssl-nonpgo.gcov</w:t>
      </w:r>
    </w:p>
    <w:p>
      <w:pPr>
        <w:pStyle w:val="Normal"/>
      </w:pPr>
      <w:r>
        <w:t>cpu_get_tb_cpu_state total:320843603 head:8557544</w:t>
      </w:r>
    </w:p>
    <w:p>
      <w:pPr>
        <w:pStyle w:val="Para 03"/>
      </w:pPr>
      <w:r>
        <w:t>2: 8442523</w:t>
      </w:r>
    </w:p>
    <w:p>
      <w:pPr>
        <w:pStyle w:val="Para 03"/>
      </w:pPr>
      <w:r>
        <w:t>7: 8442518</w:t>
      </w:r>
    </w:p>
    <w:p>
      <w:pPr>
        <w:pStyle w:val="Para 03"/>
      </w:pPr>
      <w:r>
        <w:t>7.1: 8442518</w:t>
      </w:r>
    </w:p>
    <w:p>
      <w:pPr>
        <w:pStyle w:val="Para 03"/>
      </w:pPr>
      <w:r>
        <w:t>7.4: 9357851</w:t>
      </w:r>
    </w:p>
    <w:p>
      <w:pPr>
        <w:pStyle w:val="Para 03"/>
      </w:pPr>
      <w:r>
        <w:t>8: 9357851</w:t>
      </w:r>
    </w:p>
    <w:p>
      <w:pPr>
        <w:pStyle w:val="Para 03"/>
      </w:pPr>
      <w:r>
        <w:t>10: 9357854</w:t>
      </w:r>
    </w:p>
    <w:p>
      <w:pPr>
        <w:pStyle w:val="Para 03"/>
      </w:pPr>
      <w:r>
        <w:t>19: 0</w:t>
      </w:r>
    </w:p>
    <w:p>
      <w:pPr>
        <w:pStyle w:val="Para 03"/>
      </w:pPr>
      <w:r>
        <w:t>21: 0</w:t>
      </w:r>
    </w:p>
    <w:p>
      <w:pPr>
        <w:pStyle w:val="Normal"/>
      </w:pPr>
      <w:r>
        <w:t>[...] many more lines [...]</w:t>
      </w:r>
    </w:p>
    <w:p>
      <w:pPr>
        <w:pStyle w:val="Para 17"/>
      </w:pPr>
      <w:r>
        <w:t/>
      </w:r>
    </w:p>
    <w:p>
      <w:pPr>
        <w:pStyle w:val="Normal"/>
      </w:pPr>
      <w:r>
        <w:t>If the command does not print anything, there is a problem with your gcov file.</w:t>
      </w:r>
    </w:p>
    <w:p>
      <w:pPr>
        <w:pStyle w:val="Normal"/>
      </w:pPr>
      <w:r>
        <w:t>If everything went well, we can now use the gcov file and feed it back to GCC when recompil-ing OpenSSL.</w:t>
      </w:r>
    </w:p>
    <w:p>
      <w:pPr>
        <w:pStyle w:val="Para 17"/>
      </w:pPr>
      <w:r>
        <w:t/>
      </w:r>
    </w:p>
    <w:p>
      <w:pPr>
        <w:pStyle w:val="Para 01"/>
      </w:pPr>
      <w:r>
        <w:t>Rebuilding OpenSSL with PGO</w:t>
      </w:r>
    </w:p>
    <w:p>
      <w:pPr>
        <w:pStyle w:val="Para 17"/>
      </w:pPr>
      <w:r>
        <w:t/>
      </w:r>
    </w:p>
    <w:p>
      <w:pPr>
        <w:pStyle w:val="Normal"/>
      </w:pPr>
      <w:r>
        <w:t>We have everything we need to rebuild OpenSSL and make use of our profile data. The most important thing now is to set the CFLAGS environment variable properly so that GCC can find and use the profile we generated in the previous step.</w:t>
      </w:r>
    </w:p>
    <w:p>
      <w:pPr>
        <w:pStyle w:val="Normal"/>
      </w:pPr>
      <w:r>
        <w:t>How you perform this CFLAGS adjustment depends on how you built the software in the first place, so we won’t cover this part here. The resulting CFLAGS variable should have the follow-ing GCC option, though:</w:t>
      </w:r>
    </w:p>
    <w:p>
      <w:pPr>
        <w:pStyle w:val="Normal"/>
      </w:pPr>
      <w:r>
        <w:t>-</w:t>
        <w:t>fauto</w:t>
        <w:t>-</w:t>
        <w:t>profile</w:t>
        <w:t>=/</w:t>
        <w:t>path</w:t>
        <w:t>/</w:t>
        <w:t>to</w:t>
        <w:t>/</w:t>
        <w:t>openssl</w:t>
        <w:t>-</w:t>
        <w:t>nonpgo</w:t>
        <w:t>.</w:t>
        <w:t>gcov</w:t>
      </w:r>
    </w:p>
    <w:p>
      <w:pPr>
        <w:pStyle w:val="Para 17"/>
      </w:pPr>
      <w:r>
        <w:t/>
      </w:r>
    </w:p>
    <w:p>
      <w:pPr>
        <w:pStyle w:val="Normal"/>
      </w:pPr>
      <w:r>
        <w:t>Make sure to adjust the path to the openssl-nonpgo.gcov file.</w:t>
      </w:r>
    </w:p>
    <w:p>
      <w:pPr>
        <w:pStyle w:val="Normal"/>
      </w:pPr>
      <w:r>
        <w:t>Also note that enabling PGO will make GCC automatically enable several optimization passes that are usually disabled, even when using-O2. This can lead to new warnings/errors in the code, which might require either the code to be adjusted or the use of extra compilation flags to suppress these warnings.</w:t>
      </w:r>
    </w:p>
    <w:p>
      <w:pPr>
        <w:pStyle w:val="Normal"/>
      </w:pPr>
      <w:r>
        <w:t>After the software is built, you can install this new version and run the benchmark tests again to compare results.</w:t>
      </w:r>
    </w:p>
    <w:p>
      <w:bookmarkStart w:id="1488" w:name="page_9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79" name="index-940_1.png" descr="index-940_1.png"/>
            <wp:cNvGraphicFramePr>
              <a:graphicFrameLocks noChangeAspect="1"/>
            </wp:cNvGraphicFramePr>
            <a:graphic>
              <a:graphicData uri="http://schemas.openxmlformats.org/drawingml/2006/picture">
                <pic:pic>
                  <pic:nvPicPr>
                    <pic:cNvPr id="0" name="index-940_1.png" descr="index-940_1.png"/>
                    <pic:cNvPicPr/>
                  </pic:nvPicPr>
                  <pic:blipFill>
                    <a:blip r:embed="rId983"/>
                    <a:stretch>
                      <a:fillRect/>
                    </a:stretch>
                  </pic:blipFill>
                  <pic:spPr>
                    <a:xfrm>
                      <a:off x="0" y="0"/>
                      <a:ext cx="914400" cy="266700"/>
                    </a:xfrm>
                    <a:prstGeom prst="rect">
                      <a:avLst/>
                    </a:prstGeom>
                  </pic:spPr>
                </pic:pic>
              </a:graphicData>
            </a:graphic>
          </wp:anchor>
        </w:drawing>
      </w:r>
      <w:bookmarkEnd w:id="1488"/>
    </w:p>
    <w:p>
      <w:pPr>
        <w:pStyle w:val="Para 01"/>
      </w:pPr>
      <w:r>
        <w:t>Our results</w:t>
      </w:r>
    </w:p>
    <w:p>
      <w:pPr>
        <w:pStyle w:val="Para 17"/>
      </w:pPr>
      <w:r>
        <w:t/>
      </w:r>
    </w:p>
    <w:p>
      <w:pPr>
        <w:pStyle w:val="Normal"/>
      </w:pPr>
      <w:r>
        <w:t>At first sight it might appear that our results don’t have much to show for themselves, but they are actually very interesting and allow us to discuss some more things about PGO.</w:t>
      </w:r>
    </w:p>
    <w:p>
      <w:pPr>
        <w:pStyle w:val="Normal"/>
      </w:pPr>
      <w:r>
        <w:t>First, it will not work for every scenario, and there might be cases when it is not justified to use it. For example, if you are dealing with a very generic program that doesn’t have a single representative workload. PGO is great when applied to specialized cases, but may negatively impact the performance of programs that can be used in a variety of ways.</w:t>
      </w:r>
    </w:p>
    <w:p>
      <w:pPr>
        <w:pStyle w:val="Normal"/>
      </w:pPr>
      <w:r>
        <w:t>It is crucial to be rigorous when profiling the program you want to optimize. Here are a few tips that might help you to obtain more reliable results:</w:t>
      </w:r>
    </w:p>
    <w:p>
      <w:pPr>
        <w:pStyle w:val="Para 04"/>
      </w:pPr>
      <w:r>
        <w:t>• Perform multiple runs of the same workload. This helps to eliminate possible outliers</w:t>
      </w:r>
    </w:p>
    <w:p>
      <w:pPr>
        <w:pStyle w:val="Para 02"/>
      </w:pPr>
      <w:r>
        <w:t>and decrease the contribution of external factors (like memory and cache times). In our example, we performed 5 consecutive runs without PGO and 5 consecutive runs with PGO. Performing multiple runs is useful for benchmarking the software as well as for profiling it.</w:t>
      </w:r>
    </w:p>
    <w:p>
      <w:pPr>
        <w:pStyle w:val="Para 04"/>
      </w:pPr>
      <w:r>
        <w:t>• Try to profile your software in a regular, production-like setup. For example, don’t try</w:t>
      </w:r>
    </w:p>
    <w:p>
      <w:pPr>
        <w:pStyle w:val="Para 02"/>
      </w:pPr>
      <w:r>
        <w:t>to artificially minimize your system’s background load because that will produce results that will likely not reflect workloads found in the real world. On the other hand, be careful about non-representative background load that might interfere with the mea-surements.</w:t>
      </w:r>
    </w:p>
    <w:p>
      <w:pPr>
        <w:pStyle w:val="Para 04"/>
      </w:pPr>
      <w:r>
        <w:t>• Consider whether you are dealing with code that has already been highly optimized. In</w:t>
      </w:r>
    </w:p>
    <w:p>
      <w:pPr>
        <w:pStyle w:val="Para 02"/>
      </w:pPr>
      <w:r>
        <w:t xml:space="preserve">fact, this is exactly the case with our example: OpenSSL is an ubiquitous cryptographic library that has received </w:t>
      </w:r>
      <w:r>
        <w:rPr>
          <w:rStyle w:val="Text3"/>
        </w:rPr>
        <w:t>a lot</w:t>
      </w:r>
      <w:r>
        <w:t xml:space="preserve"> of attention from several developers, and it is expected that cryptographic libraries are extremely optimized. This is the major factor that ex-plains why we have seen minimal performance gains in our experiment: the library is already pretty performant as it is.</w:t>
      </w:r>
    </w:p>
    <w:p>
      <w:pPr>
        <w:pStyle w:val="Para 04"/>
      </w:pPr>
      <w:r>
        <w:t xml:space="preserve">• We also have written a </w:t>
      </w:r>
      <w:hyperlink r:id="rId1900">
        <w:r>
          <w:rPr>
            <w:rStyle w:val="Text9"/>
          </w:rPr>
          <w:t>1091</w:t>
        </w:r>
      </w:hyperlink>
      <w:hyperlink r:id="rId1900">
        <w:r>
          <w:rPr>
            <w:rStyle w:val="Text1"/>
          </w:rPr>
          <w:t xml:space="preserve"> blog post</w:t>
        </w:r>
      </w:hyperlink>
      <w:r>
        <w:t xml:space="preserve"> detailing a PGO case study which rendered perfor-</w:t>
      </w:r>
    </w:p>
    <w:p>
      <w:pPr>
        <w:pStyle w:val="Para 02"/>
      </w:pPr>
      <w:r>
        <w:t>mance improvements in the order of 5% to 10%. It is a great example of how powerful this optimization technique can be when dealing with specialized workloads.</w:t>
      </w:r>
    </w:p>
    <w:p>
      <w:pPr>
        <w:pStyle w:val="Para 17"/>
      </w:pPr>
      <w:r>
        <w:t/>
      </w:r>
    </w:p>
    <w:p>
      <w:pPr>
        <w:pStyle w:val="Para 01"/>
      </w:pPr>
      <w:r>
        <w:t>Alternative scenario: profiling the program using other approaches</w:t>
      </w:r>
    </w:p>
    <w:p>
      <w:pPr>
        <w:pStyle w:val="Para 17"/>
      </w:pPr>
      <w:r>
        <w:t/>
      </w:r>
    </w:p>
    <w:p>
      <w:pPr>
        <w:pStyle w:val="Normal"/>
      </w:pPr>
      <w:r>
        <w:t>We do not always have well behaved programs that can be profiled like openssl speed. Some-times, the program might take a long time to finish running the workload, which ends up generating huge perfdata files that can prove very challenging for autofdo to process. For</w:t>
      </w:r>
    </w:p>
    <w:p>
      <w:pPr>
        <w:pStyle w:val="Normal"/>
      </w:pPr>
      <w:r>
        <w:t xml:space="preserve">example, we </w:t>
      </w:r>
      <w:hyperlink w:anchor="page_940">
        <w:r>
          <w:rPr>
            <w:rStyle w:val="Text9"/>
          </w:rPr>
          <w:t>1092</w:t>
        </w:r>
      </w:hyperlink>
      <w:r>
        <w:t xml:space="preserve"> </w:t>
      </w:r>
      <w:hyperlink r:id="rId1900">
        <w:r>
          <w:rPr>
            <w:rStyle w:val="Text1"/>
          </w:rPr>
          <w:t>profiled QEMU internally</w:t>
        </w:r>
      </w:hyperlink>
      <w:r>
        <w:t xml:space="preserve"> and, when executing a workload that took around 3 hours to complete, the perfdata generated had a size of several gigabytes.</w:t>
      </w:r>
    </w:p>
    <w:p>
      <w:pPr>
        <w:pStyle w:val="Normal"/>
      </w:pPr>
      <w:r>
        <w:t>In order to reduce the size of the perfdata that is collected, you might want to play with perf record’s-F option, which specifies the frequency at which the profiling will be done. Using-F 99 (i.e., profile at 99 hertz) is indicated by some perf experts because it avoids accidentally sampling the program in lockstep with some other periodic activity.</w:t>
      </w:r>
    </w:p>
    <w:p>
      <w:pPr>
        <w:pStyle w:val="Normal"/>
      </w:pPr>
      <w:r>
        <w:t>Another useful trick is to profile in batches instead of running perf record for the entire duration of your program’s workload. To do that, you should use the-p option to specify a PID to perf record while also specifying sleep as the program to be executed during the</w:t>
      </w:r>
    </w:p>
    <w:p>
      <w:pPr>
        <w:pStyle w:val="Normal"/>
      </w:pPr>
      <w:r>
        <w:rPr>
          <w:rStyle w:val="Text5"/>
        </w:rPr>
        <w:t>1091</w:t>
      </w:r>
      <w:r>
        <w:t xml:space="preserve"> </w:t>
      </w:r>
      <w:r>
        <w:rPr>
          <w:rStyle w:val="Text6"/>
        </w:rPr>
        <w:t>https://ubuntu.com/blog/profile-guided-optimization-a-case-study</w:t>
      </w:r>
      <w:r>
        <w:t xml:space="preserve"> </w:t>
      </w:r>
      <w:r>
        <w:rPr>
          <w:rStyle w:val="Text5"/>
        </w:rPr>
        <w:t>1092</w:t>
      </w:r>
      <w:r>
        <w:t xml:space="preserve"> </w:t>
      </w:r>
      <w:r>
        <w:rPr>
          <w:rStyle w:val="Text6"/>
        </w:rPr>
        <w:t>https://ubuntu.com/blog/profile-guided-optimization-a-case-study</w:t>
      </w:r>
      <w:r>
        <w:t xml:space="preserve"> profiling. For example, this would be the command like we would use if we were to profile a program whose PID is 1234 for 2 minutes:</w:t>
      </w:r>
    </w:p>
    <w:p>
      <w:bookmarkStart w:id="1489" w:name="page_9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0" name="index-941_1.png" descr="index-941_1.png"/>
            <wp:cNvGraphicFramePr>
              <a:graphicFrameLocks noChangeAspect="1"/>
            </wp:cNvGraphicFramePr>
            <a:graphic>
              <a:graphicData uri="http://schemas.openxmlformats.org/drawingml/2006/picture">
                <pic:pic>
                  <pic:nvPicPr>
                    <pic:cNvPr id="0" name="index-941_1.png" descr="index-941_1.png"/>
                    <pic:cNvPicPr/>
                  </pic:nvPicPr>
                  <pic:blipFill>
                    <a:blip r:embed="rId984"/>
                    <a:stretch>
                      <a:fillRect/>
                    </a:stretch>
                  </pic:blipFill>
                  <pic:spPr>
                    <a:xfrm>
                      <a:off x="0" y="0"/>
                      <a:ext cx="914400" cy="266700"/>
                    </a:xfrm>
                    <a:prstGeom prst="rect">
                      <a:avLst/>
                    </a:prstGeom>
                  </pic:spPr>
                </pic:pic>
              </a:graphicData>
            </a:graphic>
          </wp:anchor>
        </w:drawing>
      </w:r>
      <w:bookmarkEnd w:id="1489"/>
    </w:p>
    <w:p>
      <w:pPr>
        <w:pStyle w:val="Normal"/>
      </w:pPr>
      <w:r>
        <w:t>$ sudo perf record</w:t>
        <w:t xml:space="preserve"> </w:t>
      </w:r>
      <w:r>
        <w:rPr>
          <w:rStyle w:val="Text0"/>
        </w:rPr>
        <w:t>\</w:t>
      </w:r>
    </w:p>
    <w:p>
      <w:pPr>
        <w:pStyle w:val="Para 06"/>
      </w:pPr>
      <w:r>
        <w:t>-e br_inst_retired.near_taken</w:t>
        <w:t xml:space="preserve"> </w:t>
      </w:r>
      <w:r>
        <w:rPr>
          <w:rStyle w:val="Text0"/>
        </w:rPr>
        <w:t>\</w:t>
      </w:r>
    </w:p>
    <w:p>
      <w:pPr>
        <w:pStyle w:val="Para 06"/>
      </w:pPr>
      <w:r>
        <w:t>--branch-any</w:t>
        <w:t xml:space="preserve"> </w:t>
      </w:r>
      <w:r>
        <w:rPr>
          <w:rStyle w:val="Text0"/>
        </w:rPr>
        <w:t>\</w:t>
      </w:r>
    </w:p>
    <w:p>
      <w:pPr>
        <w:pStyle w:val="Para 06"/>
      </w:pPr>
      <w:r>
        <w:t>--all-cpus</w:t>
        <w:t xml:space="preserve"> </w:t>
      </w:r>
      <w:r>
        <w:rPr>
          <w:rStyle w:val="Text0"/>
        </w:rPr>
        <w:t>\</w:t>
      </w:r>
    </w:p>
    <w:p>
      <w:pPr>
        <w:pStyle w:val="Para 06"/>
      </w:pPr>
      <w:r>
        <w:t>-p</w:t>
        <w:t xml:space="preserve"> </w:t>
        <w:t>1234</w:t>
        <w:t xml:space="preserve"> </w:t>
      </w:r>
      <w:r>
        <w:rPr>
          <w:rStyle w:val="Text0"/>
        </w:rPr>
        <w:t>\</w:t>
      </w:r>
    </w:p>
    <w:p>
      <w:pPr>
        <w:pStyle w:val="Para 06"/>
      </w:pPr>
      <w:r>
        <w:t>--output myprogram.perfdata</w:t>
      </w:r>
    </w:p>
    <w:p>
      <w:pPr>
        <w:pStyle w:val="Para 06"/>
      </w:pPr>
      <w:r>
        <w:t>-- sleep 2m</w:t>
      </w:r>
    </w:p>
    <w:p>
      <w:pPr>
        <w:pStyle w:val="Para 17"/>
      </w:pPr>
      <w:r>
        <w:t/>
      </w:r>
    </w:p>
    <w:p>
      <w:pPr>
        <w:pStyle w:val="Normal"/>
      </w:pPr>
      <w:r>
        <w:t>The idea is that you would run the command above several times while the program being profiled is still running (ideally with an interval between the invocations, and taking care not to overwrite the perfdata). After obtaining all the perfdata files, you would then convert them to gcov and use profile_merger to merge all gcov files into one.</w:t>
      </w:r>
    </w:p>
    <w:p>
      <w:pPr>
        <w:pStyle w:val="Para 17"/>
      </w:pPr>
      <w:r>
        <w:t/>
      </w:r>
    </w:p>
    <w:p>
      <w:pPr>
        <w:pStyle w:val="Para 01"/>
      </w:pPr>
      <w:r>
        <w:t>Conclusion</w:t>
      </w:r>
    </w:p>
    <w:p>
      <w:pPr>
        <w:pStyle w:val="Para 17"/>
      </w:pPr>
      <w:r>
        <w:t/>
      </w:r>
    </w:p>
    <w:p>
      <w:pPr>
        <w:pStyle w:val="Normal"/>
      </w:pPr>
      <w:r>
        <w:t>PGO is an interesting and complex topic that certainly catches the attention of experienced software developers looking to extract every bit of performance gain. It can certainly help optimize programs, especially those that perform specialized work. It is not a one-size-fits-all solution, though, and as with every complex technology, its use needs to be studied and justified, and its impact on the final application should be monitored and analyzed.</w:t>
      </w:r>
    </w:p>
    <w:p>
      <w:pPr>
        <w:pStyle w:val="Para 17"/>
      </w:pPr>
      <w:r>
        <w:t/>
      </w:r>
    </w:p>
    <w:p>
      <w:pPr>
        <w:pStyle w:val="Para 01"/>
      </w:pPr>
      <w:r>
        <w:t>hwloc</w:t>
      </w:r>
    </w:p>
    <w:p>
      <w:pPr>
        <w:pStyle w:val="Para 17"/>
      </w:pPr>
      <w:r>
        <w:t/>
      </w:r>
    </w:p>
    <w:p>
      <w:pPr>
        <w:pStyle w:val="Para 08"/>
      </w:pPr>
      <w:r>
        <w:t>Note:</w:t>
      </w:r>
    </w:p>
    <w:p>
      <w:pPr>
        <w:pStyle w:val="Para 03"/>
      </w:pPr>
      <w:r>
        <w:t>System tuning tools are either about better understanding the system’s performance,</w:t>
      </w:r>
    </w:p>
    <w:p>
      <w:pPr>
        <w:pStyle w:val="Para 03"/>
      </w:pPr>
      <w:r>
        <w:t xml:space="preserve">or applying such knowledge to improve it. See our common </w:t>
      </w:r>
      <w:hyperlink w:anchor="page_934">
        <w:r>
          <w:rPr>
            <w:rStyle w:val="Text2"/>
          </w:rPr>
          <w:t>system tuning thoughts</w:t>
        </w:r>
      </w:hyperlink>
    </w:p>
    <w:p>
      <w:pPr>
        <w:pStyle w:val="Para 03"/>
      </w:pPr>
      <w:r>
        <w:t>(page 933) for some generally applicable considerations about that.</w:t>
      </w:r>
    </w:p>
    <w:p>
      <w:pPr>
        <w:pStyle w:val="Para 17"/>
      </w:pPr>
      <w:r>
        <w:t/>
      </w:r>
    </w:p>
    <w:p>
      <w:pPr>
        <w:pStyle w:val="Normal"/>
      </w:pPr>
      <w:r>
        <w:t>The package hwloc-nox provides various tools to discover the hardware topology, including the chip’s internal structures and any associated devices like PCI cards, NVMe devices, and memory.</w:t>
      </w:r>
    </w:p>
    <w:p>
      <w:pPr>
        <w:pStyle w:val="Normal"/>
      </w:pPr>
      <w:r>
        <w:t>By default the tools provide command line interfaces, but it can also render those complex</w:t>
      </w:r>
    </w:p>
    <w:p>
      <w:pPr>
        <w:pStyle w:val="Normal"/>
      </w:pPr>
      <w:r>
        <w:t xml:space="preserve">relations in a </w:t>
      </w:r>
      <w:hyperlink w:anchor="page_687">
        <w:r>
          <w:rPr>
            <w:rStyle w:val="Text2"/>
          </w:rPr>
          <w:t>GUI</w:t>
        </w:r>
      </w:hyperlink>
      <w:r>
        <w:t xml:space="preserve"> environment. Depending on which one you want to use you can install them with apt install hwloc-nox or apt install hwloc respectively.</w:t>
      </w:r>
    </w:p>
    <w:p>
      <w:pPr>
        <w:pStyle w:val="Normal"/>
      </w:pPr>
      <w:r>
        <w:t>It can be important with a sensitive workload to align the CPU cores it runs on, to be close to the nodes where the related devices are attached to the system. That will help to avoid crossing topology boundaries that add additional latencies. But for that, one needs tools to inspect the CPU and device topology on the system.</w:t>
      </w:r>
    </w:p>
    <w:p>
      <w:bookmarkStart w:id="1490" w:name="calibre_pb_274"/>
      <w:pPr>
        <w:pStyle w:val="0 Block"/>
      </w:pPr>
      <w:bookmarkEnd w:id="1490"/>
    </w:p>
    <w:p>
      <w:bookmarkStart w:id="1491" w:name="Top_of_index_split_275_html"/>
      <w:bookmarkStart w:id="1492" w:name="page_94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1" name="index-942_1.png" descr="index-942_1.png"/>
            <wp:cNvGraphicFramePr>
              <a:graphicFrameLocks noChangeAspect="1"/>
            </wp:cNvGraphicFramePr>
            <a:graphic>
              <a:graphicData uri="http://schemas.openxmlformats.org/drawingml/2006/picture">
                <pic:pic>
                  <pic:nvPicPr>
                    <pic:cNvPr id="0" name="index-942_1.png" descr="index-942_1.png"/>
                    <pic:cNvPicPr/>
                  </pic:nvPicPr>
                  <pic:blipFill>
                    <a:blip r:embed="rId985"/>
                    <a:stretch>
                      <a:fillRect/>
                    </a:stretch>
                  </pic:blipFill>
                  <pic:spPr>
                    <a:xfrm>
                      <a:off x="0" y="0"/>
                      <a:ext cx="914400" cy="266700"/>
                    </a:xfrm>
                    <a:prstGeom prst="rect">
                      <a:avLst/>
                    </a:prstGeom>
                  </pic:spPr>
                </pic:pic>
              </a:graphicData>
            </a:graphic>
          </wp:anchor>
        </w:drawing>
      </w:r>
      <w:bookmarkEnd w:id="1491"/>
      <w:bookmarkEnd w:id="1492"/>
    </w:p>
    <w:p>
      <w:pPr>
        <w:pStyle w:val="Para 01"/>
      </w:pPr>
      <w:r>
        <w:t>hwloc-info - hierarchy and details</w:t>
      </w:r>
    </w:p>
    <w:p>
      <w:pPr>
        <w:pStyle w:val="Para 17"/>
      </w:pPr>
      <w:r>
        <w:t/>
      </w:r>
    </w:p>
    <w:p>
      <w:pPr>
        <w:pStyle w:val="Normal"/>
      </w:pPr>
      <w:r>
        <w:t>By default, hwloc-info provides a summary of the topology levels that are present on this system.</w:t>
      </w:r>
    </w:p>
    <w:p>
      <w:pPr>
        <w:pStyle w:val="Normal"/>
      </w:pPr>
      <w:r>
        <w:t>Command:</w:t>
      </w:r>
    </w:p>
    <w:p>
      <w:pPr>
        <w:pStyle w:val="Normal"/>
      </w:pPr>
      <w:r>
        <w:t>hwloc-info</w:t>
      </w:r>
    </w:p>
    <w:p>
      <w:pPr>
        <w:pStyle w:val="Para 17"/>
      </w:pPr>
      <w:r>
        <w:t/>
      </w:r>
    </w:p>
    <w:p>
      <w:pPr>
        <w:pStyle w:val="Normal"/>
      </w:pPr>
      <w:r>
        <w:t>Output (example on a laptop):</w:t>
      </w:r>
    </w:p>
    <w:p>
      <w:pPr>
        <w:pStyle w:val="Normal"/>
      </w:pPr>
      <w:r>
        <w:t>depth</w:t>
        <w:t xml:space="preserve"> </w:t>
        <w:t>0</w:t>
        <w:t>:</w:t>
        <w:t xml:space="preserve"> </w:t>
        <w:t>1</w:t>
        <w:t xml:space="preserve"> </w:t>
        <w:t>Machine</w:t>
        <w:t xml:space="preserve"> </w:t>
        <w:t>(</w:t>
        <w:t>type</w:t>
        <w:t xml:space="preserve"> </w:t>
      </w:r>
      <w:r>
        <w:rPr>
          <w:rStyle w:val="Text3"/>
        </w:rPr>
        <w:t>#0)</w:t>
      </w:r>
    </w:p>
    <w:p>
      <w:pPr>
        <w:pStyle w:val="Normal"/>
      </w:pPr>
      <w:r>
        <w:t>depth</w:t>
        <w:t xml:space="preserve"> </w:t>
        <w:t>1</w:t>
        <w:t>:</w:t>
        <w:t xml:space="preserve"> </w:t>
        <w:t>1</w:t>
        <w:t xml:space="preserve"> </w:t>
        <w:t>Package</w:t>
        <w:t xml:space="preserve"> </w:t>
        <w:t>(</w:t>
        <w:t>type</w:t>
        <w:t xml:space="preserve"> </w:t>
      </w:r>
      <w:r>
        <w:rPr>
          <w:rStyle w:val="Text3"/>
        </w:rPr>
        <w:t>#1)</w:t>
      </w:r>
    </w:p>
    <w:p>
      <w:pPr>
        <w:pStyle w:val="Para 03"/>
      </w:pPr>
      <w:r>
        <w:t>depth</w:t>
        <w:t xml:space="preserve"> </w:t>
        <w:t>2</w:t>
        <w:t>:</w:t>
        <w:t xml:space="preserve"> </w:t>
        <w:t>1</w:t>
        <w:t xml:space="preserve"> </w:t>
        <w:t>L3Cache</w:t>
        <w:t xml:space="preserve"> </w:t>
        <w:t>(</w:t>
        <w:t>type</w:t>
        <w:t xml:space="preserve"> </w:t>
      </w:r>
      <w:r>
        <w:rPr>
          <w:rStyle w:val="Text3"/>
        </w:rPr>
        <w:t>#6)</w:t>
      </w:r>
    </w:p>
    <w:p>
      <w:pPr>
        <w:pStyle w:val="Para 04"/>
      </w:pPr>
      <w:r>
        <w:t>depth</w:t>
        <w:t xml:space="preserve"> </w:t>
        <w:t>3</w:t>
        <w:t>:</w:t>
        <w:t xml:space="preserve"> </w:t>
        <w:t>4</w:t>
        <w:t xml:space="preserve"> </w:t>
        <w:t>L2Cache</w:t>
        <w:t xml:space="preserve"> </w:t>
        <w:t>(</w:t>
        <w:t>type</w:t>
        <w:t xml:space="preserve"> </w:t>
      </w:r>
      <w:r>
        <w:rPr>
          <w:rStyle w:val="Text3"/>
        </w:rPr>
        <w:t>#5)</w:t>
      </w:r>
    </w:p>
    <w:p>
      <w:pPr>
        <w:pStyle w:val="Para 02"/>
      </w:pPr>
      <w:r>
        <w:t>depth</w:t>
        <w:t xml:space="preserve"> </w:t>
        <w:t>4</w:t>
        <w:t>:</w:t>
        <w:t xml:space="preserve"> </w:t>
        <w:t>4</w:t>
        <w:t xml:space="preserve"> </w:t>
        <w:t>L1dCache</w:t>
        <w:t xml:space="preserve"> </w:t>
        <w:t>(</w:t>
        <w:t>type</w:t>
        <w:t xml:space="preserve"> </w:t>
      </w:r>
      <w:r>
        <w:rPr>
          <w:rStyle w:val="Text3"/>
        </w:rPr>
        <w:t>#4)</w:t>
      </w:r>
    </w:p>
    <w:p>
      <w:pPr>
        <w:pStyle w:val="Para 02"/>
      </w:pPr>
      <w:r>
        <w:t>depth</w:t>
        <w:t xml:space="preserve"> </w:t>
        <w:t>5</w:t>
        <w:t>:</w:t>
        <w:t xml:space="preserve"> </w:t>
        <w:t>4</w:t>
        <w:t xml:space="preserve"> </w:t>
        <w:t>L1iCache</w:t>
        <w:t xml:space="preserve"> </w:t>
        <w:t>(</w:t>
        <w:t>type</w:t>
        <w:t xml:space="preserve"> </w:t>
      </w:r>
      <w:r>
        <w:rPr>
          <w:rStyle w:val="Text3"/>
        </w:rPr>
        <w:t>#9)</w:t>
      </w:r>
    </w:p>
    <w:p>
      <w:pPr>
        <w:pStyle w:val="Para 06"/>
      </w:pPr>
      <w:r>
        <w:t>depth</w:t>
        <w:t xml:space="preserve"> </w:t>
        <w:t>6</w:t>
        <w:t>:</w:t>
        <w:t xml:space="preserve"> </w:t>
        <w:t>4</w:t>
        <w:t xml:space="preserve"> </w:t>
        <w:t>Core</w:t>
        <w:t xml:space="preserve"> </w:t>
        <w:t>(</w:t>
        <w:t>type</w:t>
        <w:t xml:space="preserve"> </w:t>
      </w:r>
      <w:r>
        <w:rPr>
          <w:rStyle w:val="Text3"/>
        </w:rPr>
        <w:t>#2)</w:t>
      </w:r>
    </w:p>
    <w:p>
      <w:pPr>
        <w:pStyle w:val="Para 06"/>
      </w:pPr>
      <w:r>
        <w:t>depth</w:t>
        <w:t xml:space="preserve"> </w:t>
        <w:t>7</w:t>
        <w:t>:</w:t>
        <w:t xml:space="preserve"> </w:t>
        <w:t>4</w:t>
        <w:t xml:space="preserve"> </w:t>
        <w:t>PU</w:t>
        <w:t xml:space="preserve"> </w:t>
        <w:t>(</w:t>
        <w:t>type</w:t>
        <w:t xml:space="preserve"> </w:t>
      </w:r>
      <w:r>
        <w:rPr>
          <w:rStyle w:val="Text3"/>
        </w:rPr>
        <w:t>#3)</w:t>
      </w:r>
    </w:p>
    <w:p>
      <w:pPr>
        <w:pStyle w:val="Normal"/>
      </w:pPr>
      <w:r>
        <w:t>Special depth -3:</w:t>
        <w:t xml:space="preserve"> </w:t>
        <w:t>1</w:t>
        <w:t xml:space="preserve"> </w:t>
        <w:t>NUMANode</w:t>
        <w:t xml:space="preserve"> </w:t>
        <w:t>(</w:t>
        <w:t>type</w:t>
        <w:t xml:space="preserve"> </w:t>
      </w:r>
      <w:r>
        <w:rPr>
          <w:rStyle w:val="Text3"/>
        </w:rPr>
        <w:t>#13)</w:t>
      </w:r>
      <w:r>
        <w:t xml:space="preserve"> </w:t>
        <w:t>Special depth -4:</w:t>
        <w:t xml:space="preserve"> </w:t>
        <w:t>3</w:t>
        <w:t xml:space="preserve"> </w:t>
        <w:t>Bridge</w:t>
        <w:t xml:space="preserve"> </w:t>
        <w:t>(</w:t>
        <w:t>type</w:t>
        <w:t xml:space="preserve"> </w:t>
      </w:r>
      <w:r>
        <w:rPr>
          <w:rStyle w:val="Text3"/>
        </w:rPr>
        <w:t>#14)</w:t>
      </w:r>
    </w:p>
    <w:p>
      <w:pPr>
        <w:pStyle w:val="Normal"/>
      </w:pPr>
      <w:r>
        <w:t>Special depth -5:</w:t>
        <w:t xml:space="preserve"> </w:t>
        <w:t>4</w:t>
        <w:t xml:space="preserve"> </w:t>
        <w:t>PCIDev</w:t>
        <w:t xml:space="preserve"> </w:t>
        <w:t>(</w:t>
        <w:t>type</w:t>
        <w:t xml:space="preserve"> </w:t>
      </w:r>
      <w:r>
        <w:rPr>
          <w:rStyle w:val="Text3"/>
        </w:rPr>
        <w:t>#15)</w:t>
      </w:r>
    </w:p>
    <w:p>
      <w:pPr>
        <w:pStyle w:val="Normal"/>
      </w:pPr>
      <w:r>
        <w:t>Special depth -6:</w:t>
        <w:t xml:space="preserve"> </w:t>
        <w:t>3</w:t>
        <w:t xml:space="preserve"> </w:t>
        <w:t>OSDev</w:t>
        <w:t xml:space="preserve"> </w:t>
        <w:t>(</w:t>
        <w:t>type</w:t>
        <w:t xml:space="preserve"> </w:t>
      </w:r>
      <w:r>
        <w:rPr>
          <w:rStyle w:val="Text3"/>
        </w:rPr>
        <w:t>#16)</w:t>
      </w:r>
    </w:p>
    <w:p>
      <w:pPr>
        <w:pStyle w:val="Para 17"/>
      </w:pPr>
      <w:r>
        <w:t/>
      </w:r>
    </w:p>
    <w:p>
      <w:pPr>
        <w:pStyle w:val="Normal"/>
      </w:pPr>
      <w:r>
        <w:t>But the tool also allows us to get detailed information on any of these elements. Here is an example to get details on the first core.</w:t>
      </w:r>
    </w:p>
    <w:p>
      <w:pPr>
        <w:pStyle w:val="Normal"/>
      </w:pPr>
      <w:r>
        <w:t>Command:</w:t>
      </w:r>
    </w:p>
    <w:p>
      <w:pPr>
        <w:pStyle w:val="Normal"/>
      </w:pPr>
      <w:r>
        <w:t>hwloc-info -p core:0</w:t>
      </w:r>
    </w:p>
    <w:p>
      <w:pPr>
        <w:pStyle w:val="Para 17"/>
      </w:pPr>
      <w:r>
        <w:t/>
      </w:r>
    </w:p>
    <w:p>
      <w:pPr>
        <w:pStyle w:val="Normal"/>
      </w:pPr>
      <w:r>
        <w:t>Output:</w:t>
      </w:r>
    </w:p>
    <w:p>
      <w:pPr>
        <w:pStyle w:val="Normal"/>
      </w:pPr>
      <w:r>
        <w:t>Core L#0</w:t>
      </w:r>
    </w:p>
    <w:p>
      <w:pPr>
        <w:pStyle w:val="Normal"/>
      </w:pPr>
      <w:r>
        <w:t>type</w:t>
        <w:t xml:space="preserve"> </w:t>
        <w:t>=</w:t>
        <w:t xml:space="preserve"> </w:t>
        <w:t>Core</w:t>
      </w:r>
    </w:p>
    <w:p>
      <w:pPr>
        <w:pStyle w:val="Normal"/>
      </w:pPr>
      <w:r>
        <w:t>full</w:t>
        <w:t xml:space="preserve"> </w:t>
        <w:t>type</w:t>
        <w:t xml:space="preserve"> </w:t>
        <w:t>=</w:t>
        <w:t xml:space="preserve"> </w:t>
        <w:t>Core</w:t>
      </w:r>
    </w:p>
    <w:p>
      <w:pPr>
        <w:pStyle w:val="Normal"/>
      </w:pPr>
      <w:r>
        <w:t>logical</w:t>
        <w:t xml:space="preserve"> </w:t>
        <w:t>index</w:t>
        <w:t xml:space="preserve"> </w:t>
        <w:t>=</w:t>
        <w:t xml:space="preserve"> </w:t>
        <w:t>0</w:t>
      </w:r>
    </w:p>
    <w:p>
      <w:pPr>
        <w:pStyle w:val="Normal"/>
      </w:pPr>
      <w:r>
        <w:t>os</w:t>
        <w:t xml:space="preserve"> </w:t>
        <w:t>index</w:t>
        <w:t xml:space="preserve"> </w:t>
        <w:t>=</w:t>
        <w:t xml:space="preserve"> </w:t>
        <w:t>0</w:t>
      </w:r>
    </w:p>
    <w:p>
      <w:pPr>
        <w:pStyle w:val="Normal"/>
      </w:pPr>
      <w:r>
        <w:t>gp</w:t>
        <w:t xml:space="preserve"> </w:t>
        <w:t>index</w:t>
        <w:t xml:space="preserve"> </w:t>
        <w:t>=</w:t>
        <w:t xml:space="preserve"> </w:t>
        <w:t>2</w:t>
      </w:r>
    </w:p>
    <w:p>
      <w:pPr>
        <w:pStyle w:val="Normal"/>
      </w:pPr>
      <w:r>
        <w:t>depth</w:t>
        <w:t xml:space="preserve"> </w:t>
        <w:t>=</w:t>
        <w:t xml:space="preserve"> </w:t>
        <w:t>6</w:t>
      </w:r>
    </w:p>
    <w:p>
      <w:pPr>
        <w:pStyle w:val="Normal"/>
      </w:pPr>
      <w:r>
        <w:t>sibling</w:t>
        <w:t xml:space="preserve"> </w:t>
        <w:t>rank</w:t>
        <w:t xml:space="preserve"> </w:t>
        <w:t>=</w:t>
        <w:t xml:space="preserve"> </w:t>
        <w:t>0</w:t>
      </w:r>
    </w:p>
    <w:p>
      <w:pPr>
        <w:pStyle w:val="Normal"/>
      </w:pPr>
      <w:r>
        <w:t>children</w:t>
        <w:t xml:space="preserve"> </w:t>
        <w:t>=</w:t>
        <w:t xml:space="preserve"> </w:t>
        <w:t>1</w:t>
      </w:r>
    </w:p>
    <w:p>
      <w:pPr>
        <w:pStyle w:val="Normal"/>
      </w:pPr>
      <w:r>
        <w:t>memory</w:t>
        <w:t xml:space="preserve"> </w:t>
        <w:t>children</w:t>
        <w:t xml:space="preserve"> </w:t>
        <w:t>=</w:t>
        <w:t xml:space="preserve"> </w:t>
        <w:t>0</w:t>
      </w:r>
    </w:p>
    <w:p>
      <w:pPr>
        <w:pStyle w:val="Normal"/>
      </w:pPr>
      <w:r>
        <w:t>i/o</w:t>
        <w:t xml:space="preserve"> </w:t>
        <w:t>children</w:t>
        <w:t xml:space="preserve"> </w:t>
        <w:t>=</w:t>
        <w:t xml:space="preserve"> </w:t>
        <w:t>0</w:t>
      </w:r>
    </w:p>
    <w:p>
      <w:pPr>
        <w:pStyle w:val="Normal"/>
      </w:pPr>
      <w:r>
        <w:t>misc</w:t>
        <w:t xml:space="preserve"> </w:t>
        <w:t>children</w:t>
        <w:t xml:space="preserve"> </w:t>
        <w:t>=</w:t>
        <w:t xml:space="preserve"> </w:t>
        <w:t>0</w:t>
      </w:r>
    </w:p>
    <w:p>
      <w:pPr>
        <w:pStyle w:val="Normal"/>
      </w:pPr>
      <w:r>
        <w:t>cpuset</w:t>
        <w:t xml:space="preserve"> </w:t>
        <w:t>=</w:t>
        <w:t xml:space="preserve"> </w:t>
        <w:t>0x00000001</w:t>
      </w:r>
    </w:p>
    <w:p>
      <w:pPr>
        <w:pStyle w:val="Normal"/>
      </w:pPr>
      <w:r>
        <w:t>complete</w:t>
        <w:t xml:space="preserve"> </w:t>
        <w:t>cpuset</w:t>
        <w:t xml:space="preserve"> </w:t>
        <w:t>=</w:t>
        <w:t xml:space="preserve"> </w:t>
        <w:t>0x00000001</w:t>
      </w:r>
    </w:p>
    <w:p>
      <w:pPr>
        <w:pStyle w:val="Normal"/>
      </w:pPr>
      <w:r>
        <w:t>allowed</w:t>
        <w:t xml:space="preserve"> </w:t>
        <w:t>cpuset</w:t>
        <w:t xml:space="preserve"> </w:t>
        <w:t>=</w:t>
        <w:t xml:space="preserve"> </w:t>
        <w:t>0x00000001</w:t>
      </w:r>
    </w:p>
    <w:p>
      <w:pPr>
        <w:pStyle w:val="Normal"/>
      </w:pPr>
      <w:r>
        <w:t>nodeset</w:t>
        <w:t xml:space="preserve"> </w:t>
        <w:t>=</w:t>
        <w:t xml:space="preserve"> </w:t>
        <w:t>0x00000001</w:t>
      </w:r>
    </w:p>
    <w:p>
      <w:pPr>
        <w:pStyle w:val="Normal"/>
      </w:pPr>
      <w:r>
        <w:t>complete</w:t>
        <w:t xml:space="preserve"> </w:t>
        <w:t>nodeset</w:t>
        <w:t xml:space="preserve"> </w:t>
        <w:t>=</w:t>
        <w:t xml:space="preserve"> </w:t>
        <w:t>0x00000001</w:t>
      </w:r>
    </w:p>
    <w:p>
      <w:pPr>
        <w:pStyle w:val="Normal"/>
      </w:pPr>
      <w:r>
        <w:t>allowed</w:t>
        <w:t xml:space="preserve"> </w:t>
        <w:t>nodeset</w:t>
        <w:t xml:space="preserve"> </w:t>
        <w:t>=</w:t>
        <w:t xml:space="preserve"> </w:t>
        <w:t>0x00000001</w:t>
      </w:r>
    </w:p>
    <w:p>
      <w:pPr>
        <w:pStyle w:val="Normal"/>
      </w:pPr>
      <w:r>
        <w:t>symmetric</w:t>
        <w:t xml:space="preserve"> </w:t>
        <w:t>subtree</w:t>
        <w:t xml:space="preserve"> </w:t>
        <w:t>=</w:t>
        <w:t xml:space="preserve"> </w:t>
        <w:t>1</w:t>
      </w:r>
    </w:p>
    <w:p>
      <w:pPr>
        <w:pStyle w:val="Normal"/>
      </w:pPr>
      <w:r>
        <w:t>cpukind</w:t>
        <w:t xml:space="preserve"> </w:t>
        <w:t>=</w:t>
        <w:t xml:space="preserve"> </w:t>
        <w:t>0</w:t>
      </w:r>
    </w:p>
    <w:p>
      <w:pPr>
        <w:pStyle w:val="Normal"/>
      </w:pPr>
      <w:r>
        <w:t>cpukind</w:t>
        <w:t xml:space="preserve"> </w:t>
        <w:t>efficiency</w:t>
        <w:t xml:space="preserve"> </w:t>
        <w:t>=</w:t>
        <w:t xml:space="preserve"> </w:t>
        <w:t>0</w:t>
      </w:r>
    </w:p>
    <w:p>
      <w:pPr>
        <w:pStyle w:val="Normal"/>
      </w:pPr>
      <w:r>
        <w:t>cpukind info</w:t>
        <w:t xml:space="preserve"> </w:t>
        <w:t>FrequencyMaxMHz</w:t>
        <w:t xml:space="preserve"> </w:t>
        <w:t>=</w:t>
        <w:t xml:space="preserve"> </w:t>
        <w:t>4000</w:t>
      </w:r>
    </w:p>
    <w:p>
      <w:pPr>
        <w:pStyle w:val="Normal"/>
      </w:pPr>
      <w:r>
        <w:t>cpukind info</w:t>
        <w:t xml:space="preserve"> </w:t>
        <w:t>FrequencyBaseMHz</w:t>
        <w:t xml:space="preserve"> </w:t>
        <w:t>=</w:t>
        <w:t xml:space="preserve"> </w:t>
        <w:t>1800</w:t>
      </w:r>
    </w:p>
    <w:p>
      <w:bookmarkStart w:id="1493" w:name="page_9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2" name="index-943_1.png" descr="index-943_1.png"/>
            <wp:cNvGraphicFramePr>
              <a:graphicFrameLocks noChangeAspect="1"/>
            </wp:cNvGraphicFramePr>
            <a:graphic>
              <a:graphicData uri="http://schemas.openxmlformats.org/drawingml/2006/picture">
                <pic:pic>
                  <pic:nvPicPr>
                    <pic:cNvPr id="0" name="index-943_1.png" descr="index-943_1.png"/>
                    <pic:cNvPicPr/>
                  </pic:nvPicPr>
                  <pic:blipFill>
                    <a:blip r:embed="rId986"/>
                    <a:stretch>
                      <a:fillRect/>
                    </a:stretch>
                  </pic:blipFill>
                  <pic:spPr>
                    <a:xfrm>
                      <a:off x="0" y="0"/>
                      <a:ext cx="914400" cy="266700"/>
                    </a:xfrm>
                    <a:prstGeom prst="rect">
                      <a:avLst/>
                    </a:prstGeom>
                  </pic:spPr>
                </pic:pic>
              </a:graphicData>
            </a:graphic>
          </wp:anchor>
        </w:drawing>
      </w:r>
      <w:bookmarkEnd w:id="1493"/>
    </w:p>
    <w:p>
      <w:pPr>
        <w:pStyle w:val="Normal"/>
      </w:pPr>
      <w:r>
        <w:t xml:space="preserve">See the </w:t>
      </w:r>
      <w:hyperlink w:anchor="page_943">
        <w:r>
          <w:rPr>
            <w:rStyle w:val="Text9"/>
          </w:rPr>
          <w:t>1093</w:t>
        </w:r>
      </w:hyperlink>
      <w:r>
        <w:t xml:space="preserve"> </w:t>
      </w:r>
      <w:hyperlink r:id="rId1901">
        <w:r>
          <w:rPr>
            <w:rStyle w:val="Text2"/>
          </w:rPr>
          <w:t>hwloc-info(1)</w:t>
        </w:r>
      </w:hyperlink>
      <w:r>
        <w:t xml:space="preserve"> manual page for a list of all the potential objects that can be queried.</w:t>
      </w:r>
    </w:p>
    <w:p>
      <w:pPr>
        <w:pStyle w:val="Para 17"/>
      </w:pPr>
      <w:r>
        <w:t/>
      </w:r>
    </w:p>
    <w:p>
      <w:pPr>
        <w:pStyle w:val="Para 01"/>
      </w:pPr>
      <w:r>
        <w:t>hwloc-ls - system topology in CLI</w:t>
      </w:r>
    </w:p>
    <w:p>
      <w:pPr>
        <w:pStyle w:val="Para 17"/>
      </w:pPr>
      <w:r>
        <w:t/>
      </w:r>
    </w:p>
    <w:p>
      <w:pPr>
        <w:pStyle w:val="Normal"/>
      </w:pPr>
      <w:r>
        <w:t>If executed without graphical capabilities hwloc-ls will provide a text representation of the CPU, its caches and how they relate to each other between cores, sockets and hardware in the system.</w:t>
      </w:r>
    </w:p>
    <w:p>
      <w:pPr>
        <w:pStyle w:val="Normal"/>
      </w:pPr>
      <w:r>
        <w:t>Command:</w:t>
      </w:r>
    </w:p>
    <w:p>
      <w:pPr>
        <w:pStyle w:val="Normal"/>
      </w:pPr>
      <w:r>
        <w:t>hwloc-ls</w:t>
      </w:r>
    </w:p>
    <w:p>
      <w:pPr>
        <w:pStyle w:val="Para 17"/>
      </w:pPr>
      <w:r>
        <w:t/>
      </w:r>
    </w:p>
    <w:p>
      <w:pPr>
        <w:pStyle w:val="Normal"/>
      </w:pPr>
      <w:r>
        <w:t>Output (example on a laptop):</w:t>
      </w:r>
    </w:p>
    <w:p>
      <w:pPr>
        <w:pStyle w:val="Normal"/>
      </w:pPr>
      <w:r>
        <w:t>Machine</w:t>
        <w:t xml:space="preserve"> </w:t>
        <w:t>(</w:t>
        <w:t>31GB total</w:t>
        <w:t>)</w:t>
      </w:r>
    </w:p>
    <w:p>
      <w:pPr>
        <w:pStyle w:val="Para 03"/>
      </w:pPr>
      <w:r>
        <w:t>Package L#0</w:t>
      </w:r>
    </w:p>
    <w:p>
      <w:pPr>
        <w:pStyle w:val="Para 02"/>
      </w:pPr>
      <w:r>
        <w:t>NUMANode L#0</w:t>
        <w:t xml:space="preserve"> </w:t>
        <w:t>(</w:t>
        <w:t>P#0 31GB</w:t>
        <w:t>)</w:t>
      </w:r>
    </w:p>
    <w:p>
      <w:pPr>
        <w:pStyle w:val="Para 02"/>
      </w:pPr>
      <w:r>
        <w:t>L3 L#0</w:t>
        <w:t xml:space="preserve"> </w:t>
        <w:t>(</w:t>
        <w:t>8192KB</w:t>
        <w:t>)</w:t>
      </w:r>
    </w:p>
    <w:p>
      <w:pPr>
        <w:pStyle w:val="Para 06"/>
      </w:pPr>
      <w:r>
        <w:t>L2 L#0</w:t>
        <w:t xml:space="preserve"> </w:t>
        <w:t>(</w:t>
        <w:t>256KB</w:t>
        <w:t>)</w:t>
        <w:t xml:space="preserve"> </w:t>
        <w:t>+ L1d L#0</w:t>
        <w:t xml:space="preserve"> </w:t>
        <w:t>(</w:t>
        <w:t>32KB</w:t>
        <w:t>)</w:t>
        <w:t xml:space="preserve"> </w:t>
        <w:t>+ L1i L#0</w:t>
        <w:t xml:space="preserve"> </w:t>
        <w:t>(</w:t>
        <w:t>32KB</w:t>
        <w:t>)</w:t>
        <w:t xml:space="preserve"> </w:t>
        <w:t>+ Core L#0 + PU L#0</w:t>
        <w:t xml:space="preserve"> </w:t>
        <w:t>(</w:t>
        <w:t>P#0</w:t>
        <w:t>)</w:t>
        <w:t xml:space="preserve"> </w:t>
        <w:t>L2 L#1</w:t>
        <w:t xml:space="preserve"> </w:t>
        <w:t>(</w:t>
        <w:t>256KB</w:t>
        <w:t>)</w:t>
        <w:t xml:space="preserve"> </w:t>
        <w:t>+ L1d L#1</w:t>
        <w:t xml:space="preserve"> </w:t>
        <w:t>(</w:t>
        <w:t>32KB</w:t>
        <w:t>)</w:t>
        <w:t xml:space="preserve"> </w:t>
        <w:t>+ L1i L#1</w:t>
        <w:t xml:space="preserve"> </w:t>
        <w:t>(</w:t>
        <w:t>32KB</w:t>
        <w:t>)</w:t>
        <w:t xml:space="preserve"> </w:t>
        <w:t>+ Core L#1 + PU L#1</w:t>
        <w:t xml:space="preserve"> </w:t>
        <w:t>(</w:t>
        <w:t>P#1</w:t>
        <w:t>)</w:t>
        <w:t xml:space="preserve"> </w:t>
        <w:t>L2 L#2</w:t>
        <w:t xml:space="preserve"> </w:t>
        <w:t>(</w:t>
        <w:t>256KB</w:t>
        <w:t>)</w:t>
        <w:t xml:space="preserve"> </w:t>
        <w:t>+ L1d L#2</w:t>
        <w:t xml:space="preserve"> </w:t>
        <w:t>(</w:t>
        <w:t>32KB</w:t>
        <w:t>)</w:t>
        <w:t xml:space="preserve"> </w:t>
        <w:t>+ L1i L#2</w:t>
        <w:t xml:space="preserve"> </w:t>
        <w:t>(</w:t>
        <w:t>32KB</w:t>
        <w:t>)</w:t>
        <w:t xml:space="preserve"> </w:t>
        <w:t>+ Core L#2 + PU L#2</w:t>
        <w:t xml:space="preserve"> </w:t>
        <w:t>(</w:t>
        <w:t>P#2</w:t>
        <w:t>)</w:t>
        <w:t xml:space="preserve"> </w:t>
        <w:t>L2 L#3</w:t>
        <w:t xml:space="preserve"> </w:t>
        <w:t>(</w:t>
        <w:t>256KB</w:t>
        <w:t>)</w:t>
        <w:t xml:space="preserve"> </w:t>
        <w:t>+ L1d L#3</w:t>
        <w:t xml:space="preserve"> </w:t>
        <w:t>(</w:t>
        <w:t>32KB</w:t>
        <w:t>)</w:t>
        <w:t xml:space="preserve"> </w:t>
        <w:t>+ L1i L#3</w:t>
        <w:t xml:space="preserve"> </w:t>
        <w:t>(</w:t>
        <w:t>32KB</w:t>
        <w:t>)</w:t>
        <w:t xml:space="preserve"> </w:t>
        <w:t>+ Core L#3 + PU L#3</w:t>
        <w:t xml:space="preserve"> </w:t>
        <w:t>(</w:t>
        <w:t>P#3</w:t>
        <w:t>)</w:t>
      </w:r>
    </w:p>
    <w:p>
      <w:pPr>
        <w:pStyle w:val="Para 03"/>
      </w:pPr>
      <w:r>
        <w:t>HostBridge</w:t>
      </w:r>
    </w:p>
    <w:p>
      <w:pPr>
        <w:pStyle w:val="Para 02"/>
      </w:pPr>
      <w:r>
        <w:t>PCI</w:t>
        <w:t xml:space="preserve"> </w:t>
        <w:t>00</w:t>
        <w:t>:02.0</w:t>
        <w:t xml:space="preserve"> </w:t>
        <w:t>(</w:t>
        <w:t>VGA</w:t>
        <w:t>)</w:t>
      </w:r>
    </w:p>
    <w:p>
      <w:pPr>
        <w:pStyle w:val="Para 02"/>
      </w:pPr>
      <w:r>
        <w:t>PCIBridge</w:t>
      </w:r>
    </w:p>
    <w:p>
      <w:pPr>
        <w:pStyle w:val="Para 06"/>
      </w:pPr>
      <w:r>
        <w:t>PCI</w:t>
        <w:t xml:space="preserve"> </w:t>
        <w:t>04</w:t>
        <w:t>:00.0</w:t>
        <w:t xml:space="preserve"> </w:t>
        <w:t>(</w:t>
        <w:t>Network</w:t>
        <w:t>)</w:t>
      </w:r>
    </w:p>
    <w:p>
      <w:pPr>
        <w:pStyle w:val="Para 06"/>
      </w:pPr>
      <w:r>
        <w:t>Net</w:t>
        <w:t xml:space="preserve"> </w:t>
        <w:t>"wlp4s0"</w:t>
      </w:r>
    </w:p>
    <w:p>
      <w:pPr>
        <w:pStyle w:val="Para 02"/>
      </w:pPr>
      <w:r>
        <w:t>PCIBridge</w:t>
      </w:r>
    </w:p>
    <w:p>
      <w:pPr>
        <w:pStyle w:val="Para 06"/>
      </w:pPr>
      <w:r>
        <w:t>PCI</w:t>
        <w:t xml:space="preserve"> </w:t>
        <w:t>40</w:t>
        <w:t>:00.0</w:t>
        <w:t xml:space="preserve"> </w:t>
        <w:t>(</w:t>
        <w:t>NVMExp</w:t>
        <w:t>)</w:t>
      </w:r>
    </w:p>
    <w:p>
      <w:pPr>
        <w:pStyle w:val="Para 06"/>
      </w:pPr>
      <w:r>
        <w:t>Block</w:t>
        <w:t>(</w:t>
        <w:t>Disk</w:t>
        <w:t>)</w:t>
        <w:t xml:space="preserve"> </w:t>
        <w:t>"nvme0n1"</w:t>
      </w:r>
    </w:p>
    <w:p>
      <w:pPr>
        <w:pStyle w:val="Para 02"/>
      </w:pPr>
      <w:r>
        <w:t>PCI</w:t>
        <w:t xml:space="preserve"> </w:t>
        <w:t>00</w:t>
        <w:t>:1f.6</w:t>
        <w:t xml:space="preserve"> </w:t>
        <w:t>(</w:t>
        <w:t>Ethernet</w:t>
        <w:t>)</w:t>
      </w:r>
    </w:p>
    <w:p>
      <w:pPr>
        <w:pStyle w:val="Para 06"/>
      </w:pPr>
      <w:r>
        <w:t>Net</w:t>
        <w:t xml:space="preserve"> </w:t>
        <w:t>"enp0s31f6"</w:t>
      </w:r>
    </w:p>
    <w:p>
      <w:pPr>
        <w:pStyle w:val="Para 17"/>
      </w:pPr>
      <w:r>
        <w:t/>
      </w:r>
    </w:p>
    <w:p>
      <w:pPr>
        <w:pStyle w:val="Normal"/>
      </w:pPr>
      <w:r>
        <w:t>Output (example on a server – shortened for readability):</w:t>
      </w:r>
    </w:p>
    <w:p>
      <w:pPr>
        <w:pStyle w:val="Normal"/>
      </w:pPr>
      <w:r>
        <w:t>Package L#0</w:t>
      </w:r>
    </w:p>
    <w:p>
      <w:pPr>
        <w:pStyle w:val="Para 02"/>
      </w:pPr>
      <w:r>
        <w:t>NUMANode L#0</w:t>
        <w:t xml:space="preserve"> </w:t>
        <w:t>(</w:t>
        <w:t>P#0 378GB</w:t>
        <w:t>)</w:t>
      </w:r>
    </w:p>
    <w:p>
      <w:pPr>
        <w:pStyle w:val="Para 02"/>
      </w:pPr>
      <w:r>
        <w:t>L3 L#0</w:t>
        <w:t xml:space="preserve"> </w:t>
        <w:t>(</w:t>
        <w:t>32MB</w:t>
        <w:t>)</w:t>
      </w:r>
    </w:p>
    <w:p>
      <w:pPr>
        <w:pStyle w:val="Para 06"/>
      </w:pPr>
      <w:r>
        <w:t>L2 L#0</w:t>
        <w:t xml:space="preserve"> </w:t>
        <w:t>(</w:t>
        <w:t>1024KB</w:t>
        <w:t>)</w:t>
        <w:t xml:space="preserve"> </w:t>
        <w:t>+ L1d L#0</w:t>
        <w:t xml:space="preserve"> </w:t>
        <w:t>(</w:t>
        <w:t>48KB</w:t>
        <w:t>)</w:t>
        <w:t xml:space="preserve"> </w:t>
        <w:t>+ L1i L#0</w:t>
        <w:t xml:space="preserve"> </w:t>
        <w:t>(</w:t>
        <w:t>32KB</w:t>
        <w:t>)</w:t>
        <w:t xml:space="preserve"> </w:t>
        <w:t>+ Core L#0</w:t>
      </w:r>
    </w:p>
    <w:p>
      <w:pPr>
        <w:pStyle w:val="Para 06"/>
      </w:pPr>
      <w:r>
        <w:t>PU L#0</w:t>
        <w:t xml:space="preserve"> </w:t>
        <w:t>(</w:t>
        <w:t>P#0</w:t>
        <w:t>)</w:t>
      </w:r>
    </w:p>
    <w:p>
      <w:pPr>
        <w:pStyle w:val="Para 06"/>
      </w:pPr>
      <w:r>
        <w:t>PU L#1</w:t>
        <w:t xml:space="preserve"> </w:t>
        <w:t>(</w:t>
        <w:t>P#128</w:t>
        <w:t>)</w:t>
      </w:r>
    </w:p>
    <w:p>
      <w:pPr>
        <w:pStyle w:val="Normal"/>
      </w:pPr>
      <w:r>
        <w:t>...</w:t>
      </w:r>
    </w:p>
    <w:p>
      <w:pPr>
        <w:pStyle w:val="Para 06"/>
      </w:pPr>
      <w:r>
        <w:t>L2 L#63</w:t>
        <w:t xml:space="preserve"> </w:t>
        <w:t>(</w:t>
        <w:t>1024KB</w:t>
        <w:t>)</w:t>
        <w:t xml:space="preserve"> </w:t>
        <w:t>+ L1d L#63</w:t>
        <w:t xml:space="preserve"> </w:t>
        <w:t>(</w:t>
        <w:t>48KB</w:t>
        <w:t>)</w:t>
        <w:t xml:space="preserve"> </w:t>
        <w:t>+ L1i L#63</w:t>
        <w:t xml:space="preserve"> </w:t>
        <w:t>(</w:t>
        <w:t>32KB</w:t>
        <w:t>)</w:t>
        <w:t xml:space="preserve"> </w:t>
        <w:t>+ Core L#63</w:t>
      </w:r>
    </w:p>
    <w:p>
      <w:pPr>
        <w:pStyle w:val="Para 06"/>
      </w:pPr>
      <w:r>
        <w:t>PU L#126</w:t>
        <w:t xml:space="preserve"> </w:t>
        <w:t>(</w:t>
        <w:t>P#63</w:t>
        <w:t>)</w:t>
      </w:r>
    </w:p>
    <w:p>
      <w:pPr>
        <w:pStyle w:val="Para 06"/>
      </w:pPr>
      <w:r>
        <w:t>PU L#127</w:t>
        <w:t xml:space="preserve"> </w:t>
        <w:t>(</w:t>
        <w:t>P#191</w:t>
        <w:t>)</w:t>
      </w:r>
    </w:p>
    <w:p>
      <w:pPr>
        <w:pStyle w:val="Para 02"/>
      </w:pPr>
      <w:r>
        <w:t>HostBridge</w:t>
      </w:r>
    </w:p>
    <w:p>
      <w:pPr>
        <w:pStyle w:val="Para 06"/>
      </w:pPr>
      <w:r>
        <w:t>PCIBridge</w:t>
      </w:r>
    </w:p>
    <w:p>
      <w:pPr>
        <w:pStyle w:val="Para 06"/>
      </w:pPr>
      <w:r>
        <w:t>PCI</w:t>
        <w:t xml:space="preserve"> </w:t>
        <w:t>12</w:t>
        <w:t>:00.0</w:t>
        <w:t xml:space="preserve"> </w:t>
        <w:t>(</w:t>
        <w:t>NVMExp</w:t>
        <w:t>)</w:t>
      </w:r>
    </w:p>
    <w:p>
      <w:pPr>
        <w:pStyle w:val="Para 11"/>
      </w:pPr>
      <w:r>
        <w:t>Block</w:t>
        <w:t>(</w:t>
        <w:t>Disk</w:t>
        <w:t>)</w:t>
        <w:t xml:space="preserve"> </w:t>
        <w:t>"nvme1n1"</w:t>
      </w:r>
    </w:p>
    <w:p>
      <w:pPr>
        <w:pStyle w:val="Para 02"/>
      </w:pPr>
      <w:r>
        <w:t>HostBridge</w:t>
      </w:r>
    </w:p>
    <w:p>
      <w:pPr>
        <w:pStyle w:val="Para 06"/>
      </w:pPr>
      <w:r>
        <w:t>PCIBridge</w:t>
      </w:r>
    </w:p>
    <w:p>
      <w:pPr>
        <w:pStyle w:val="Para 06"/>
      </w:pPr>
      <w:r>
        <w:t>PCI</w:t>
        <w:t xml:space="preserve"> </w:t>
        <w:t>51</w:t>
        <w:t>:00.0</w:t>
        <w:t xml:space="preserve"> </w:t>
        <w:t>(</w:t>
        <w:t>NVMExp</w:t>
        <w:t>)</w:t>
      </w:r>
    </w:p>
    <w:p>
      <w:pPr>
        <w:pStyle w:val="Para 11"/>
      </w:pPr>
      <w:r>
        <w:t>Block</w:t>
        <w:t>(</w:t>
        <w:t>Disk</w:t>
        <w:t>)</w:t>
        <w:t xml:space="preserve"> </w:t>
        <w:t>"nvme0n1"</w:t>
      </w:r>
    </w:p>
    <w:p>
      <w:pPr>
        <w:pStyle w:val="Para 09"/>
      </w:pPr>
      <w:r>
        <w:t>(continues on next page)</w:t>
      </w:r>
    </w:p>
    <w:p>
      <w:pPr>
        <w:pStyle w:val="Para 16"/>
      </w:pPr>
      <w:r>
        <w:rPr>
          <w:rStyle w:val="Text5"/>
        </w:rPr>
        <w:t>1093</w:t>
      </w:r>
      <w:r>
        <w:rPr>
          <w:rStyle w:val="Text8"/>
        </w:rPr>
        <w:t xml:space="preserve"> </w:t>
      </w:r>
      <w:r>
        <w:t>https://manpages.ubuntu.com/manpages/resolute/man1/hwloc-info.1.html</w:t>
      </w:r>
    </w:p>
    <w:p>
      <w:bookmarkStart w:id="1494" w:name="page_94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3" name="index-944_1.png" descr="index-944_1.png"/>
            <wp:cNvGraphicFramePr>
              <a:graphicFrameLocks noChangeAspect="1"/>
            </wp:cNvGraphicFramePr>
            <a:graphic>
              <a:graphicData uri="http://schemas.openxmlformats.org/drawingml/2006/picture">
                <pic:pic>
                  <pic:nvPicPr>
                    <pic:cNvPr id="0" name="index-944_1.png" descr="index-944_1.png"/>
                    <pic:cNvPicPr/>
                  </pic:nvPicPr>
                  <pic:blipFill>
                    <a:blip r:embed="rId987"/>
                    <a:stretch>
                      <a:fillRect/>
                    </a:stretch>
                  </pic:blipFill>
                  <pic:spPr>
                    <a:xfrm>
                      <a:off x="0" y="0"/>
                      <a:ext cx="914400" cy="266700"/>
                    </a:xfrm>
                    <a:prstGeom prst="rect">
                      <a:avLst/>
                    </a:prstGeom>
                  </pic:spPr>
                </pic:pic>
              </a:graphicData>
            </a:graphic>
          </wp:anchor>
        </w:drawing>
      </w:r>
      <w:bookmarkEnd w:id="1494"/>
    </w:p>
    <w:p>
      <w:pPr>
        <w:pStyle w:val="Para 09"/>
      </w:pPr>
      <w:r>
        <w:t>(continued from previous page)</w:t>
      </w:r>
    </w:p>
    <w:p>
      <w:pPr>
        <w:pStyle w:val="Para 06"/>
      </w:pPr>
      <w:r>
        <w:t>PCIBridge</w:t>
      </w:r>
    </w:p>
    <w:p>
      <w:pPr>
        <w:pStyle w:val="Para 06"/>
      </w:pPr>
      <w:r>
        <w:t>PCI</w:t>
        <w:t xml:space="preserve"> </w:t>
        <w:t>52</w:t>
        <w:t>:00.0</w:t>
        <w:t xml:space="preserve"> </w:t>
        <w:t>(</w:t>
        <w:t>Ethernet</w:t>
        <w:t>)</w:t>
      </w:r>
    </w:p>
    <w:p>
      <w:pPr>
        <w:pStyle w:val="Para 11"/>
      </w:pPr>
      <w:r>
        <w:t>Net</w:t>
        <w:t xml:space="preserve"> </w:t>
        <w:t>"enp82s0"</w:t>
      </w:r>
    </w:p>
    <w:p>
      <w:pPr>
        <w:pStyle w:val="Para 06"/>
      </w:pPr>
      <w:r>
        <w:t>PCIBridge</w:t>
      </w:r>
    </w:p>
    <w:p>
      <w:pPr>
        <w:pStyle w:val="Para 06"/>
      </w:pPr>
      <w:r>
        <w:t>PCIBridge</w:t>
      </w:r>
    </w:p>
    <w:p>
      <w:pPr>
        <w:pStyle w:val="Para 11"/>
      </w:pPr>
      <w:r>
        <w:t>PCI</w:t>
        <w:t xml:space="preserve"> </w:t>
        <w:t>54</w:t>
        <w:t>:00.0</w:t>
        <w:t xml:space="preserve"> </w:t>
        <w:t>(</w:t>
        <w:t>VGA</w:t>
        <w:t>)</w:t>
      </w:r>
    </w:p>
    <w:p>
      <w:pPr>
        <w:pStyle w:val="Para 03"/>
      </w:pPr>
      <w:r>
        <w:t>Package L#1</w:t>
      </w:r>
    </w:p>
    <w:p>
      <w:pPr>
        <w:pStyle w:val="Para 02"/>
      </w:pPr>
      <w:r>
        <w:t>NUMANode L#1</w:t>
        <w:t xml:space="preserve"> </w:t>
        <w:t>(</w:t>
        <w:t>P#1 378GB</w:t>
        <w:t>)</w:t>
      </w:r>
    </w:p>
    <w:p>
      <w:pPr>
        <w:pStyle w:val="Para 02"/>
      </w:pPr>
      <w:r>
        <w:t>L3 L#8</w:t>
        <w:t xml:space="preserve"> </w:t>
        <w:t>(</w:t>
        <w:t>32MB</w:t>
        <w:t>)</w:t>
      </w:r>
    </w:p>
    <w:p>
      <w:pPr>
        <w:pStyle w:val="Para 06"/>
      </w:pPr>
      <w:r>
        <w:t>L2 L#64</w:t>
        <w:t xml:space="preserve"> </w:t>
        <w:t>(</w:t>
        <w:t>1024KB</w:t>
        <w:t>)</w:t>
        <w:t xml:space="preserve"> </w:t>
        <w:t>+ L1d L#64</w:t>
        <w:t xml:space="preserve"> </w:t>
        <w:t>(</w:t>
        <w:t>48KB</w:t>
        <w:t>)</w:t>
        <w:t xml:space="preserve"> </w:t>
        <w:t>+ L1i L#64</w:t>
        <w:t xml:space="preserve"> </w:t>
        <w:t>(</w:t>
        <w:t>32KB</w:t>
        <w:t>)</w:t>
        <w:t xml:space="preserve"> </w:t>
        <w:t>+ Core L#64</w:t>
      </w:r>
    </w:p>
    <w:p>
      <w:pPr>
        <w:pStyle w:val="Para 06"/>
      </w:pPr>
      <w:r>
        <w:t>PU L#128</w:t>
        <w:t xml:space="preserve"> </w:t>
        <w:t>(</w:t>
        <w:t>P#64</w:t>
        <w:t>)</w:t>
      </w:r>
    </w:p>
    <w:p>
      <w:pPr>
        <w:pStyle w:val="Para 06"/>
      </w:pPr>
      <w:r>
        <w:t>PU L#129</w:t>
        <w:t xml:space="preserve"> </w:t>
        <w:t>(</w:t>
        <w:t>P#192</w:t>
        <w:t>)</w:t>
      </w:r>
    </w:p>
    <w:p>
      <w:pPr>
        <w:pStyle w:val="Normal"/>
      </w:pPr>
      <w:r>
        <w:t>...</w:t>
      </w:r>
    </w:p>
    <w:p>
      <w:pPr>
        <w:pStyle w:val="Para 06"/>
      </w:pPr>
      <w:r>
        <w:t>L2 L#127</w:t>
        <w:t xml:space="preserve"> </w:t>
        <w:t>(</w:t>
        <w:t>1024KB</w:t>
        <w:t>)</w:t>
        <w:t xml:space="preserve"> </w:t>
        <w:t>+ L1d L#127</w:t>
        <w:t xml:space="preserve"> </w:t>
        <w:t>(</w:t>
        <w:t>48KB</w:t>
        <w:t>)</w:t>
        <w:t xml:space="preserve"> </w:t>
        <w:t>+ L1i L#127</w:t>
        <w:t xml:space="preserve"> </w:t>
        <w:t>(</w:t>
        <w:t>32KB</w:t>
        <w:t>)</w:t>
        <w:t xml:space="preserve"> </w:t>
        <w:t>+ Core L#127</w:t>
      </w:r>
    </w:p>
    <w:p>
      <w:pPr>
        <w:pStyle w:val="Para 06"/>
      </w:pPr>
      <w:r>
        <w:t>PU L#254</w:t>
        <w:t xml:space="preserve"> </w:t>
        <w:t>(</w:t>
        <w:t>P#127</w:t>
        <w:t>)</w:t>
      </w:r>
    </w:p>
    <w:p>
      <w:pPr>
        <w:pStyle w:val="Para 06"/>
      </w:pPr>
      <w:r>
        <w:t>PU L#255</w:t>
        <w:t xml:space="preserve"> </w:t>
        <w:t>(</w:t>
        <w:t>P#255</w:t>
        <w:t>)</w:t>
      </w:r>
    </w:p>
    <w:p>
      <w:pPr>
        <w:pStyle w:val="Para 02"/>
      </w:pPr>
      <w:r>
        <w:t>HostBridge</w:t>
      </w:r>
    </w:p>
    <w:p>
      <w:pPr>
        <w:pStyle w:val="Para 06"/>
      </w:pPr>
      <w:r>
        <w:t>PCIBridge</w:t>
      </w:r>
    </w:p>
    <w:p>
      <w:pPr>
        <w:pStyle w:val="Para 06"/>
      </w:pPr>
      <w:r>
        <w:t>2</w:t>
        <w:t xml:space="preserve"> </w:t>
        <w:t>x</w:t>
        <w:t xml:space="preserve"> </w:t>
        <w:t>{</w:t>
        <w:t xml:space="preserve"> </w:t>
        <w:t>PCI f2:00.0-1</w:t>
        <w:t xml:space="preserve"> </w:t>
        <w:t>(</w:t>
        <w:t>SATA</w:t>
        <w:t>) }</w:t>
      </w:r>
    </w:p>
    <w:p>
      <w:pPr>
        <w:pStyle w:val="Para 03"/>
      </w:pPr>
      <w:r>
        <w:t>Misc</w:t>
        <w:t>(</w:t>
        <w:t>MemoryModule</w:t>
        <w:t>)</w:t>
      </w:r>
    </w:p>
    <w:p>
      <w:pPr>
        <w:pStyle w:val="Para 17"/>
      </w:pPr>
      <w:r>
        <w:t/>
      </w:r>
    </w:p>
    <w:p>
      <w:pPr>
        <w:pStyle w:val="Para 01"/>
      </w:pPr>
      <w:r>
        <w:t>hwloc-ls - system topology in GUI</w:t>
      </w:r>
    </w:p>
    <w:p>
      <w:pPr>
        <w:pStyle w:val="Para 17"/>
      </w:pPr>
      <w:r>
        <w:t/>
      </w:r>
    </w:p>
    <w:p>
      <w:pPr>
        <w:pStyle w:val="Normal"/>
      </w:pPr>
      <w:r>
        <w:t>Instead of hwloc-nox there also is hwloc with graphical capabilities which would render the same in a graphical representation.</w:t>
      </w:r>
    </w:p>
    <w:p>
      <w:pPr>
        <w:pStyle w:val="Normal"/>
      </w:pPr>
      <w:r>
        <w:t>Command:</w:t>
      </w:r>
    </w:p>
    <w:p>
      <w:pPr>
        <w:pStyle w:val="Normal"/>
      </w:pPr>
      <w:r>
        <w:t>hwloc-ls</w:t>
      </w:r>
    </w:p>
    <w:p>
      <w:pPr>
        <w:pStyle w:val="Para 17"/>
      </w:pPr>
      <w:r>
        <w:t/>
      </w:r>
    </w:p>
    <w:p>
      <w:pPr>
        <w:pStyle w:val="Normal"/>
      </w:pPr>
      <w:r>
        <w:t>Output (CLI shows navigation info, the real content is in the GUI):</w:t>
      </w:r>
    </w:p>
    <w:p>
      <w:pPr>
        <w:pStyle w:val="Normal"/>
      </w:pPr>
      <w:r>
        <w:t>Keyboard shortcuts:</w:t>
      </w:r>
    </w:p>
    <w:p>
      <w:pPr>
        <w:pStyle w:val="Normal"/>
      </w:pPr>
      <w:r>
        <w:t>Zooming, scrolling and closing:</w:t>
      </w:r>
    </w:p>
    <w:p>
      <w:pPr>
        <w:pStyle w:val="Para 03"/>
      </w:pPr>
      <w:r>
        <w:t>Zoom-in or out ...................... + -</w:t>
      </w:r>
    </w:p>
    <w:p>
      <w:pPr>
        <w:pStyle w:val="Para 03"/>
      </w:pPr>
      <w:r>
        <w:t>Reset scale to default ..............</w:t>
        <w:t xml:space="preserve"> </w:t>
        <w:t>1</w:t>
      </w:r>
    </w:p>
    <w:p>
      <w:pPr>
        <w:pStyle w:val="Para 03"/>
      </w:pPr>
      <w:r>
        <w:t>Try to fit scale to window .......... F</w:t>
      </w:r>
    </w:p>
    <w:p>
      <w:pPr>
        <w:pStyle w:val="Para 03"/>
      </w:pPr>
      <w:r>
        <w:t>Resize window to the drawing ........ r</w:t>
      </w:r>
    </w:p>
    <w:p>
      <w:pPr>
        <w:pStyle w:val="Para 03"/>
      </w:pPr>
      <w:r>
        <w:t>Toggle auto-resizing of the window .. R</w:t>
      </w:r>
    </w:p>
    <w:p>
      <w:pPr>
        <w:pStyle w:val="Para 03"/>
      </w:pPr>
      <w:r>
        <w:t>Scroll vertically ................... Up Down PageUp PageDown</w:t>
      </w:r>
    </w:p>
    <w:p>
      <w:pPr>
        <w:pStyle w:val="Para 03"/>
      </w:pPr>
      <w:r>
        <w:t>Scroll horizontally ................. Left Right Ctrl+PageUp/Down</w:t>
      </w:r>
    </w:p>
    <w:p>
      <w:pPr>
        <w:pStyle w:val="Para 03"/>
      </w:pPr>
      <w:r>
        <w:t>Scroll to the top-left corner ....... Home</w:t>
      </w:r>
    </w:p>
    <w:p>
      <w:pPr>
        <w:pStyle w:val="Para 03"/>
      </w:pPr>
      <w:r>
        <w:t>Scroll to the bottom-right corner ... End</w:t>
      </w:r>
    </w:p>
    <w:p>
      <w:pPr>
        <w:pStyle w:val="Para 03"/>
      </w:pPr>
      <w:r>
        <w:t>Refresh the topology ................ F5</w:t>
      </w:r>
    </w:p>
    <w:p>
      <w:pPr>
        <w:pStyle w:val="Para 03"/>
      </w:pPr>
      <w:r>
        <w:t>Show this</w:t>
        <w:t xml:space="preserve"> </w:t>
        <w:t>help</w:t>
        <w:t xml:space="preserve"> </w:t>
        <w:t>...................... h H ?</w:t>
      </w:r>
    </w:p>
    <w:p>
      <w:pPr>
        <w:pStyle w:val="Para 03"/>
      </w:pPr>
      <w:r>
        <w:t>Exit ................................ q Q Esc</w:t>
      </w:r>
    </w:p>
    <w:p>
      <w:pPr>
        <w:pStyle w:val="Normal"/>
      </w:pPr>
      <w:r>
        <w:t>Configuration tweaks:</w:t>
      </w:r>
    </w:p>
    <w:p>
      <w:pPr>
        <w:pStyle w:val="Para 03"/>
      </w:pPr>
      <w:r>
        <w:t>Toggle factorizing or collapsing .... f</w:t>
      </w:r>
    </w:p>
    <w:p>
      <w:pPr>
        <w:pStyle w:val="Para 03"/>
      </w:pPr>
      <w:r>
        <w:t>Switch display mode</w:t>
        <w:t xml:space="preserve"> </w:t>
      </w:r>
      <w:r>
        <w:rPr>
          <w:rStyle w:val="Text0"/>
        </w:rPr>
        <w:t>for</w:t>
      </w:r>
      <w:r>
        <w:t xml:space="preserve"> </w:t>
        <w:t>indexes ..... i</w:t>
      </w:r>
    </w:p>
    <w:p>
      <w:pPr>
        <w:pStyle w:val="Para 03"/>
      </w:pPr>
      <w:r>
        <w:t>Toggle displaying of object text .... t</w:t>
      </w:r>
    </w:p>
    <w:p>
      <w:pPr>
        <w:pStyle w:val="Para 03"/>
      </w:pPr>
      <w:r>
        <w:t>Toggle displaying of obj attributes . a</w:t>
      </w:r>
    </w:p>
    <w:p>
      <w:pPr>
        <w:pStyle w:val="Para 03"/>
      </w:pPr>
      <w:r>
        <w:t>Toggle displaying of CPU kinds ...... k</w:t>
      </w:r>
    </w:p>
    <w:p>
      <w:pPr>
        <w:pStyle w:val="Para 03"/>
      </w:pPr>
      <w:r>
        <w:t>Toggle color</w:t>
        <w:t xml:space="preserve"> </w:t>
      </w:r>
      <w:r>
        <w:rPr>
          <w:rStyle w:val="Text0"/>
        </w:rPr>
        <w:t>for</w:t>
      </w:r>
      <w:r>
        <w:t xml:space="preserve"> </w:t>
        <w:t>disallowed objects . d</w:t>
      </w:r>
    </w:p>
    <w:p>
      <w:pPr>
        <w:pStyle w:val="Para 03"/>
      </w:pPr>
      <w:r>
        <w:t>Toggle color</w:t>
        <w:t xml:space="preserve"> </w:t>
      </w:r>
      <w:r>
        <w:rPr>
          <w:rStyle w:val="Text0"/>
        </w:rPr>
        <w:t>for</w:t>
      </w:r>
      <w:r>
        <w:t xml:space="preserve"> </w:t>
        <w:t>binding objects .... b</w:t>
      </w:r>
    </w:p>
    <w:p>
      <w:pPr>
        <w:pStyle w:val="Para 09"/>
      </w:pPr>
      <w:r>
        <w:t>(continues on next page)</w:t>
      </w:r>
    </w:p>
    <w:p>
      <w:bookmarkStart w:id="1495" w:name="page_9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4" name="index-945_1.png" descr="index-945_1.png"/>
            <wp:cNvGraphicFramePr>
              <a:graphicFrameLocks noChangeAspect="1"/>
            </wp:cNvGraphicFramePr>
            <a:graphic>
              <a:graphicData uri="http://schemas.openxmlformats.org/drawingml/2006/picture">
                <pic:pic>
                  <pic:nvPicPr>
                    <pic:cNvPr id="0" name="index-945_1.png" descr="index-945_1.png"/>
                    <pic:cNvPicPr/>
                  </pic:nvPicPr>
                  <pic:blipFill>
                    <a:blip r:embed="rId988"/>
                    <a:stretch>
                      <a:fillRect/>
                    </a:stretch>
                  </pic:blipFill>
                  <pic:spPr>
                    <a:xfrm>
                      <a:off x="0" y="0"/>
                      <a:ext cx="914400" cy="266700"/>
                    </a:xfrm>
                    <a:prstGeom prst="rect">
                      <a:avLst/>
                    </a:prstGeom>
                  </pic:spPr>
                </pic:pic>
              </a:graphicData>
            </a:graphic>
          </wp:anchor>
        </w:drawing>
      </w:r>
      <w:bookmarkEnd w:id="1495"/>
    </w:p>
    <w:p>
      <w:pPr>
        <w:pStyle w:val="Para 09"/>
      </w:pPr>
      <w:r>
        <w:t>(continued from previous page)</w:t>
      </w:r>
    </w:p>
    <w:p>
      <w:pPr>
        <w:pStyle w:val="Para 03"/>
      </w:pPr>
      <w:r>
        <w:t>Toggle displaying of legend lines ... l</w:t>
      </w:r>
    </w:p>
    <w:p>
      <w:pPr>
        <w:pStyle w:val="Para 03"/>
      </w:pPr>
      <w:r>
        <w:t>Export to file with current config .. E</w:t>
      </w:r>
    </w:p>
    <w:p>
      <w:pPr>
        <w:pStyle w:val="Para 17"/>
      </w:pPr>
      <w:r>
        <w:t/>
      </w:r>
    </w:p>
    <w:p>
      <w:pPr>
        <w:pStyle w:val="Normal"/>
      </w:pPr>
      <w:r>
        <w:t>Output (GUI):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2095500"/>
            <wp:effectExtent l="0" r="0" t="0" b="0"/>
            <wp:wrapTopAndBottom/>
            <wp:docPr id="985" name="index-945_2.png" descr="index-945_2.png"/>
            <wp:cNvGraphicFramePr>
              <a:graphicFrameLocks noChangeAspect="1"/>
            </wp:cNvGraphicFramePr>
            <a:graphic>
              <a:graphicData uri="http://schemas.openxmlformats.org/drawingml/2006/picture">
                <pic:pic>
                  <pic:nvPicPr>
                    <pic:cNvPr id="0" name="index-945_2.png" descr="index-945_2.png"/>
                    <pic:cNvPicPr/>
                  </pic:nvPicPr>
                  <pic:blipFill>
                    <a:blip r:embed="rId989"/>
                    <a:stretch>
                      <a:fillRect/>
                    </a:stretch>
                  </pic:blipFill>
                  <pic:spPr>
                    <a:xfrm>
                      <a:off x="0" y="0"/>
                      <a:ext cx="3670300" cy="2095500"/>
                    </a:xfrm>
                    <a:prstGeom prst="rect">
                      <a:avLst/>
                    </a:prstGeom>
                  </pic:spPr>
                </pic:pic>
              </a:graphicData>
            </a:graphic>
          </wp:anchor>
        </w:drawing>
      </w:r>
    </w:p>
    <w:p>
      <w:pPr>
        <w:pStyle w:val="Para 17"/>
      </w:pPr>
      <w:r>
        <w:t/>
      </w:r>
    </w:p>
    <w:p>
      <w:pPr>
        <w:pStyle w:val="Para 01"/>
      </w:pPr>
      <w:r>
        <w:t>Further reading</w:t>
      </w:r>
    </w:p>
    <w:p>
      <w:pPr>
        <w:pStyle w:val="Para 17"/>
      </w:pPr>
      <w:r>
        <w:t/>
      </w:r>
    </w:p>
    <w:p>
      <w:pPr>
        <w:pStyle w:val="Para 04"/>
      </w:pPr>
      <w:r>
        <w:t xml:space="preserve">• </w:t>
      </w:r>
      <w:hyperlink r:id="rId1902">
        <w:r>
          <w:rPr>
            <w:rStyle w:val="Text9"/>
          </w:rPr>
          <w:t>1094</w:t>
        </w:r>
      </w:hyperlink>
      <w:hyperlink r:id="rId1902">
        <w:r>
          <w:rPr>
            <w:rStyle w:val="Text1"/>
          </w:rPr>
          <w:t xml:space="preserve"> </w:t>
        </w:r>
      </w:hyperlink>
      <w:hyperlink r:id="rId1902">
        <w:r>
          <w:rPr>
            <w:rStyle w:val="Text2"/>
          </w:rPr>
          <w:t>lstopo(1)</w:t>
        </w:r>
      </w:hyperlink>
      <w:r>
        <w:t xml:space="preserve"> manual page</w:t>
      </w:r>
    </w:p>
    <w:p>
      <w:pPr>
        <w:pStyle w:val="Para 04"/>
      </w:pPr>
      <w:r>
        <w:t xml:space="preserve">• </w:t>
      </w:r>
      <w:hyperlink w:anchor="page_945">
        <w:r>
          <w:rPr>
            <w:rStyle w:val="Text9"/>
          </w:rPr>
          <w:t>1095</w:t>
        </w:r>
      </w:hyperlink>
      <w:r>
        <w:t xml:space="preserve"> </w:t>
      </w:r>
      <w:hyperlink r:id="rId1903">
        <w:r>
          <w:rPr>
            <w:rStyle w:val="Text2"/>
          </w:rPr>
          <w:t>hwloc(7)</w:t>
        </w:r>
      </w:hyperlink>
      <w:r>
        <w:t xml:space="preserve"> manual page</w:t>
      </w:r>
    </w:p>
    <w:p>
      <w:pPr>
        <w:pStyle w:val="Para 04"/>
      </w:pPr>
      <w:r>
        <w:t xml:space="preserve">• </w:t>
      </w:r>
      <w:hyperlink w:anchor="page_945">
        <w:r>
          <w:rPr>
            <w:rStyle w:val="Text9"/>
          </w:rPr>
          <w:t>1096</w:t>
        </w:r>
      </w:hyperlink>
      <w:r>
        <w:t xml:space="preserve"> </w:t>
      </w:r>
      <w:hyperlink r:id="rId1904">
        <w:r>
          <w:rPr>
            <w:rStyle w:val="Text2"/>
          </w:rPr>
          <w:t>hwloc-diff(1)</w:t>
        </w:r>
      </w:hyperlink>
      <w:r>
        <w:t xml:space="preserve"> manual page</w:t>
      </w:r>
    </w:p>
    <w:p>
      <w:pPr>
        <w:pStyle w:val="Para 17"/>
      </w:pPr>
      <w:r>
        <w:t/>
      </w:r>
    </w:p>
    <w:p>
      <w:pPr>
        <w:pStyle w:val="Para 01"/>
      </w:pPr>
      <w:r>
        <w:t>CPU Power states</w:t>
      </w:r>
    </w:p>
    <w:p>
      <w:pPr>
        <w:pStyle w:val="Para 17"/>
      </w:pPr>
      <w:r>
        <w:t/>
      </w:r>
    </w:p>
    <w:p>
      <w:pPr>
        <w:pStyle w:val="Para 08"/>
      </w:pPr>
      <w:r>
        <w:t>Note:</w:t>
      </w:r>
    </w:p>
    <w:p>
      <w:pPr>
        <w:pStyle w:val="Para 03"/>
      </w:pPr>
      <w:r>
        <w:t>System tuning tools are either about better understanding the system’s performance,</w:t>
      </w:r>
    </w:p>
    <w:p>
      <w:pPr>
        <w:pStyle w:val="Para 03"/>
      </w:pPr>
      <w:r>
        <w:t xml:space="preserve">or applying such knowledge to improve it. See our common </w:t>
      </w:r>
      <w:hyperlink w:anchor="page_934">
        <w:r>
          <w:rPr>
            <w:rStyle w:val="Text2"/>
          </w:rPr>
          <w:t>system tuning thoughts</w:t>
        </w:r>
      </w:hyperlink>
    </w:p>
    <w:p>
      <w:pPr>
        <w:pStyle w:val="Para 03"/>
      </w:pPr>
      <w:r>
        <w:t>(page 933) for some generally applicable considerations about that.</w:t>
      </w:r>
    </w:p>
    <w:p>
      <w:pPr>
        <w:pStyle w:val="Para 17"/>
      </w:pPr>
      <w:r>
        <w:t/>
      </w:r>
    </w:p>
    <w:p>
      <w:pPr>
        <w:pStyle w:val="Normal"/>
      </w:pPr>
      <w:r>
        <w:t>A modern CPU usually can be in one of many P-states (mostly controlling voltage and fre-quency) when working as well as C-states (mostly defining how much of the chip elements are turned off) when idle. Controlling these has direct influence to performance, but also</w:t>
      </w:r>
    </w:p>
    <w:p>
      <w:pPr>
        <w:pStyle w:val="Normal"/>
      </w:pPr>
      <w:r>
        <w:t xml:space="preserve">power consumption and is therefore considered to be part of </w:t>
      </w:r>
      <w:hyperlink r:id="rId1905">
        <w:r>
          <w:rPr>
            <w:rStyle w:val="Text9"/>
          </w:rPr>
          <w:t>1097</w:t>
        </w:r>
      </w:hyperlink>
      <w:hyperlink r:id="rId1905">
        <w:r>
          <w:rPr>
            <w:rStyle w:val="Text1"/>
          </w:rPr>
          <w:t xml:space="preserve"> Power Management</w:t>
        </w:r>
      </w:hyperlink>
    </w:p>
    <w:p>
      <w:pPr>
        <w:pStyle w:val="Para 16"/>
      </w:pPr>
      <w:r>
        <w:rPr>
          <w:rStyle w:val="Text5"/>
        </w:rPr>
        <w:t>1094</w:t>
      </w:r>
      <w:r>
        <w:rPr>
          <w:rStyle w:val="Text8"/>
        </w:rPr>
        <w:t xml:space="preserve"> </w:t>
      </w:r>
      <w:r>
        <w:t>https://manpages.ubuntu.com/manpages/resolute/man1/lstopo.1.html</w:t>
      </w:r>
      <w:r>
        <w:rPr>
          <w:rStyle w:val="Text8"/>
        </w:rPr>
        <w:t xml:space="preserve"> </w:t>
      </w:r>
      <w:r>
        <w:rPr>
          <w:rStyle w:val="Text5"/>
        </w:rPr>
        <w:t>1095</w:t>
      </w:r>
      <w:r>
        <w:rPr>
          <w:rStyle w:val="Text8"/>
        </w:rPr>
        <w:t xml:space="preserve"> </w:t>
      </w:r>
      <w:r>
        <w:t>https://manpages.ubuntu.com/manpages/resolute/man7/hwloc.7.html</w:t>
      </w:r>
      <w:r>
        <w:rPr>
          <w:rStyle w:val="Text8"/>
        </w:rPr>
        <w:t xml:space="preserve"> </w:t>
      </w:r>
      <w:r>
        <w:rPr>
          <w:rStyle w:val="Text5"/>
        </w:rPr>
        <w:t>1096</w:t>
      </w:r>
      <w:r>
        <w:rPr>
          <w:rStyle w:val="Text8"/>
        </w:rPr>
        <w:t xml:space="preserve"> </w:t>
      </w:r>
      <w:r>
        <w:t>https://manpages.ubuntu.com/manpages/resolute/man1/hwloc-diff.1.html</w:t>
      </w:r>
      <w:r>
        <w:rPr>
          <w:rStyle w:val="Text8"/>
        </w:rPr>
        <w:t xml:space="preserve"> </w:t>
      </w:r>
      <w:r>
        <w:rPr>
          <w:rStyle w:val="Text5"/>
        </w:rPr>
        <w:t>1097</w:t>
      </w:r>
      <w:r>
        <w:rPr>
          <w:rStyle w:val="Text8"/>
        </w:rPr>
        <w:t xml:space="preserve"> </w:t>
      </w:r>
      <w:r>
        <w:t>https://docs.kernel.org/admin-guide/pm/working-state.html</w:t>
      </w:r>
      <w:r>
        <w:rPr>
          <w:rStyle w:val="Text8"/>
        </w:rPr>
        <w:t xml:space="preserve"> Depending on manufacturer and chip generation different systems might be active - here we outline some common ones, but actually most others still share a lot of the same aspects.</w:t>
      </w:r>
    </w:p>
    <w:p>
      <w:bookmarkStart w:id="1496" w:name="page_94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6" name="index-946_1.png" descr="index-946_1.png"/>
            <wp:cNvGraphicFramePr>
              <a:graphicFrameLocks noChangeAspect="1"/>
            </wp:cNvGraphicFramePr>
            <a:graphic>
              <a:graphicData uri="http://schemas.openxmlformats.org/drawingml/2006/picture">
                <pic:pic>
                  <pic:nvPicPr>
                    <pic:cNvPr id="0" name="index-946_1.png" descr="index-946_1.png"/>
                    <pic:cNvPicPr/>
                  </pic:nvPicPr>
                  <pic:blipFill>
                    <a:blip r:embed="rId990"/>
                    <a:stretch>
                      <a:fillRect/>
                    </a:stretch>
                  </pic:blipFill>
                  <pic:spPr>
                    <a:xfrm>
                      <a:off x="0" y="0"/>
                      <a:ext cx="914400" cy="266700"/>
                    </a:xfrm>
                    <a:prstGeom prst="rect">
                      <a:avLst/>
                    </a:prstGeom>
                  </pic:spPr>
                </pic:pic>
              </a:graphicData>
            </a:graphic>
          </wp:anchor>
        </w:drawing>
      </w:r>
      <w:bookmarkEnd w:id="1496"/>
    </w:p>
    <w:p>
      <w:pPr>
        <w:pStyle w:val="Normal"/>
      </w:pPr>
      <w:r>
        <w:t>Below we will outline the direct access via sysfs, but there are tools that can inspect and</w:t>
      </w:r>
    </w:p>
    <w:p>
      <w:pPr>
        <w:pStyle w:val="Normal"/>
      </w:pPr>
      <w:r>
        <w:t xml:space="preserve">manipulate such settings like EPP or scaling governors on Ubuntu. Please have a look at </w:t>
      </w:r>
      <w:hyperlink w:anchor="page_949">
        <w:r>
          <w:rPr>
            <w:rStyle w:val="Text2"/>
          </w:rPr>
          <w:t>The</w:t>
        </w:r>
      </w:hyperlink>
    </w:p>
    <w:p>
      <w:pPr>
        <w:pStyle w:val="Normal"/>
      </w:pPr>
      <w:hyperlink w:anchor="page_949">
        <w:r>
          <w:rPr>
            <w:rStyle w:val="Text2"/>
          </w:rPr>
          <w:t>cpupower tool</w:t>
        </w:r>
      </w:hyperlink>
      <w:r>
        <w:t xml:space="preserve"> (page 948) as well.</w:t>
      </w:r>
    </w:p>
    <w:p>
      <w:pPr>
        <w:pStyle w:val="Para 17"/>
      </w:pPr>
      <w:r>
        <w:t/>
      </w:r>
    </w:p>
    <w:p>
      <w:pPr>
        <w:pStyle w:val="Para 01"/>
      </w:pPr>
      <w:r>
        <w:t>CPU governors</w:t>
      </w:r>
    </w:p>
    <w:p>
      <w:pPr>
        <w:pStyle w:val="Para 17"/>
      </w:pPr>
      <w:r>
        <w:t/>
      </w:r>
    </w:p>
    <w:p>
      <w:pPr>
        <w:pStyle w:val="Normal"/>
      </w:pPr>
      <w:r>
        <w:t>The kernel provides several CPU governors which can be configured, per core, to optimize for different needs.</w:t>
      </w:r>
    </w:p>
    <w:p>
      <w:pPr>
        <w:pStyle w:val="Para 17"/>
      </w:pPr>
      <w:r>
        <w:t/>
      </w:r>
    </w:p>
    <w:p>
      <w:pPr>
        <w:pStyle w:val="Para 03"/>
      </w:pPr>
      <w:r>
        <w:rPr>
          <w:rStyle w:val="Text0"/>
        </w:rPr>
        <w:t>Gov-</w:t>
      </w:r>
      <w:r>
        <w:t xml:space="preserve"> Design philosophy</w:t>
      </w:r>
    </w:p>
    <w:p>
      <w:pPr>
        <w:pStyle w:val="Para 08"/>
      </w:pPr>
      <w:r>
        <w:t>er-</w:t>
      </w:r>
    </w:p>
    <w:p>
      <w:pPr>
        <w:pStyle w:val="Para 08"/>
      </w:pPr>
      <w:r>
        <w:t>nor</w:t>
      </w:r>
    </w:p>
    <w:p>
      <w:pPr>
        <w:pStyle w:val="Para 03"/>
      </w:pPr>
      <w:r>
        <w:t xml:space="preserve">on- </w:t>
        <w:t>This sets the CPU frequency depending on the current system load. This behavior</w:t>
      </w:r>
    </w:p>
    <w:p>
      <w:pPr>
        <w:pStyle w:val="Para 03"/>
      </w:pPr>
      <w:r>
        <w:t>de- is usually a good balance between the more extreme options.</w:t>
      </w:r>
    </w:p>
    <w:p>
      <w:pPr>
        <w:pStyle w:val="Para 03"/>
      </w:pPr>
      <w:r>
        <w:t>mand</w:t>
      </w:r>
    </w:p>
    <w:p>
      <w:pPr>
        <w:pStyle w:val="Para 03"/>
      </w:pPr>
      <w:r>
        <w:t>con- Similar to ondemand, but adapting CPU speed more gracefully rather than jumping</w:t>
      </w:r>
    </w:p>
    <w:p>
      <w:pPr>
        <w:pStyle w:val="Para 03"/>
      </w:pPr>
      <w:r>
        <w:t xml:space="preserve">ser- </w:t>
        <w:t>to max speed the moment there is any load on the CPU. This behavior is more suit-</w:t>
      </w:r>
    </w:p>
    <w:p>
      <w:pPr>
        <w:pStyle w:val="Para 03"/>
      </w:pPr>
      <w:r>
        <w:t>va- able in a battery-powered environment.</w:t>
      </w:r>
    </w:p>
    <w:p>
      <w:pPr>
        <w:pStyle w:val="Para 03"/>
      </w:pPr>
      <w:r>
        <w:t>tive</w:t>
      </w:r>
    </w:p>
    <w:p>
      <w:pPr>
        <w:pStyle w:val="Para 03"/>
      </w:pPr>
      <w:r>
        <w:t xml:space="preserve">per- </w:t>
        <w:t>This sets the CPU statically to the highest frequency. This behavior is best to opti-</w:t>
      </w:r>
    </w:p>
    <w:p>
      <w:pPr>
        <w:pStyle w:val="Para 03"/>
      </w:pPr>
      <w:r>
        <w:t>for- mize for speed and latency, but might waste power if being under-used.</w:t>
      </w:r>
    </w:p>
    <w:p>
      <w:pPr>
        <w:pStyle w:val="Para 03"/>
      </w:pPr>
      <w:r>
        <w:t>mance</w:t>
      </w:r>
    </w:p>
    <w:p>
      <w:pPr>
        <w:pStyle w:val="Para 03"/>
      </w:pPr>
      <w:r>
        <w:t xml:space="preserve">pow- </w:t>
        <w:t>Sets the CPU statically to the lowest frequency, essentially locking it to P2. This</w:t>
      </w:r>
    </w:p>
    <w:p>
      <w:pPr>
        <w:pStyle w:val="Para 03"/>
      </w:pPr>
      <w:r>
        <w:t>er- behavior is suitable to save power without compromises.</w:t>
      </w:r>
    </w:p>
    <w:p>
      <w:pPr>
        <w:pStyle w:val="Para 03"/>
      </w:pPr>
      <w:r>
        <w:t>save</w:t>
      </w:r>
    </w:p>
    <w:p>
      <w:pPr>
        <w:pStyle w:val="Para 03"/>
      </w:pPr>
      <w:r>
        <w:t>userspace Allows a user-space program to control the CPU frequency.</w:t>
      </w:r>
    </w:p>
    <w:p>
      <w:pPr>
        <w:pStyle w:val="Para 17"/>
      </w:pPr>
      <w:r>
        <w:t/>
      </w:r>
    </w:p>
    <w:p>
      <w:pPr>
        <w:pStyle w:val="Normal"/>
      </w:pPr>
      <w:r>
        <w:t xml:space="preserve">See the </w:t>
      </w:r>
      <w:hyperlink w:anchor="page_946">
        <w:r>
          <w:rPr>
            <w:rStyle w:val="Text9"/>
          </w:rPr>
          <w:t>1098</w:t>
        </w:r>
      </w:hyperlink>
      <w:r>
        <w:t xml:space="preserve"> </w:t>
      </w:r>
      <w:hyperlink r:id="rId1906">
        <w:r>
          <w:rPr>
            <w:rStyle w:val="Text1"/>
          </w:rPr>
          <w:t>Linux Governors Documentation</w:t>
        </w:r>
      </w:hyperlink>
      <w:r>
        <w:t xml:space="preserve"> for a more extensive discussion and explanation of the available Linux CPU governors.</w:t>
      </w:r>
    </w:p>
    <w:p>
      <w:pPr>
        <w:pStyle w:val="Normal"/>
      </w:pPr>
      <w:r>
        <w:t>While these governors can be checked and changed directly in sysfs at /sys/devices/system/ cpu/cpu*/cpufreq/scaling_governor, the command cpupower which comes with the package linux-tools-common makes this easier by providing a command line interface and providing access to several related values.</w:t>
      </w:r>
    </w:p>
    <w:p>
      <w:pPr>
        <w:pStyle w:val="Para 16"/>
      </w:pPr>
      <w:r>
        <w:rPr>
          <w:rStyle w:val="Text5"/>
        </w:rPr>
        <w:t>1098</w:t>
      </w:r>
      <w:r>
        <w:rPr>
          <w:rStyle w:val="Text8"/>
        </w:rPr>
        <w:t xml:space="preserve"> </w:t>
      </w:r>
      <w:r>
        <w:t>https://www.kernel.org/doc/Documentation/cpu-freq/governors.txt</w:t>
      </w:r>
    </w:p>
    <w:p>
      <w:bookmarkStart w:id="1497" w:name="calibre_pb_275"/>
      <w:pPr>
        <w:pStyle w:val="0 Block"/>
      </w:pPr>
      <w:bookmarkEnd w:id="1497"/>
    </w:p>
    <w:p>
      <w:bookmarkStart w:id="1498" w:name="page_947"/>
      <w:bookmarkStart w:id="1499" w:name="Top_of_index_split_27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7" name="index-947_1.png" descr="index-947_1.png"/>
            <wp:cNvGraphicFramePr>
              <a:graphicFrameLocks noChangeAspect="1"/>
            </wp:cNvGraphicFramePr>
            <a:graphic>
              <a:graphicData uri="http://schemas.openxmlformats.org/drawingml/2006/picture">
                <pic:pic>
                  <pic:nvPicPr>
                    <pic:cNvPr id="0" name="index-947_1.png" descr="index-947_1.png"/>
                    <pic:cNvPicPr/>
                  </pic:nvPicPr>
                  <pic:blipFill>
                    <a:blip r:embed="rId991"/>
                    <a:stretch>
                      <a:fillRect/>
                    </a:stretch>
                  </pic:blipFill>
                  <pic:spPr>
                    <a:xfrm>
                      <a:off x="0" y="0"/>
                      <a:ext cx="914400" cy="266700"/>
                    </a:xfrm>
                    <a:prstGeom prst="rect">
                      <a:avLst/>
                    </a:prstGeom>
                  </pic:spPr>
                </pic:pic>
              </a:graphicData>
            </a:graphic>
          </wp:anchor>
        </w:drawing>
      </w:r>
      <w:bookmarkEnd w:id="1498"/>
      <w:bookmarkEnd w:id="1499"/>
    </w:p>
    <w:p>
      <w:pPr>
        <w:pStyle w:val="Para 01"/>
      </w:pPr>
      <w:r>
        <w:t>Setting CPU Governors</w:t>
      </w:r>
    </w:p>
    <w:p>
      <w:pPr>
        <w:pStyle w:val="Para 17"/>
      </w:pPr>
      <w:r>
        <w:t/>
      </w:r>
    </w:p>
    <w:p>
      <w:pPr>
        <w:pStyle w:val="Normal"/>
      </w:pPr>
      <w:r>
        <w:t>cat /sys/devices/system/cpu/cpu0/cpufreq/scaling_governor</w:t>
      </w:r>
    </w:p>
    <w:p>
      <w:pPr>
        <w:pStyle w:val="Para 17"/>
      </w:pPr>
      <w:r>
        <w:t/>
      </w:r>
    </w:p>
    <w:p>
      <w:pPr>
        <w:pStyle w:val="Normal"/>
      </w:pPr>
      <w:r>
        <w:t>This file will normally contain one of the following named profiles:</w:t>
      </w:r>
    </w:p>
    <w:p>
      <w:pPr>
        <w:pStyle w:val="Para 04"/>
      </w:pPr>
      <w:r>
        <w:t>• performance- Prioritize responsiveness and raw performance.</w:t>
      </w:r>
    </w:p>
    <w:p>
      <w:pPr>
        <w:pStyle w:val="Para 04"/>
      </w:pPr>
      <w:r>
        <w:t>• powersave- Prioritize a reduction in power consumption.</w:t>
      </w:r>
    </w:p>
    <w:p>
      <w:pPr>
        <w:pStyle w:val="Normal"/>
      </w:pPr>
      <w:r>
        <w:t>The full list of options is provided in:</w:t>
      </w:r>
    </w:p>
    <w:p>
      <w:pPr>
        <w:pStyle w:val="Normal"/>
      </w:pPr>
      <w:r>
        <w:t>cat /sys/devices/system/cpu/cpu0/cpufreq/scaling_available_governors</w:t>
      </w:r>
    </w:p>
    <w:p>
      <w:pPr>
        <w:pStyle w:val="Para 17"/>
      </w:pPr>
      <w:r>
        <w:t/>
      </w:r>
    </w:p>
    <w:p>
      <w:pPr>
        <w:pStyle w:val="Normal"/>
      </w:pPr>
      <w:r>
        <w:t>The value can be set via sysfs as well:</w:t>
      </w:r>
    </w:p>
    <w:p>
      <w:pPr>
        <w:pStyle w:val="Normal"/>
      </w:pPr>
      <w:r>
        <w:t>echo</w:t>
        <w:t xml:space="preserve"> </w:t>
        <w:t>performance | sudo tee /sys/devices/system/cpu/cpu0/cpufreq/scaling_governor</w:t>
      </w:r>
    </w:p>
    <w:p>
      <w:pPr>
        <w:pStyle w:val="Para 17"/>
      </w:pPr>
      <w:r>
        <w:t/>
      </w:r>
    </w:p>
    <w:p>
      <w:pPr>
        <w:pStyle w:val="Para 01"/>
      </w:pPr>
      <w:r>
        <w:t>Energy Performance Preference</w:t>
      </w:r>
    </w:p>
    <w:p>
      <w:pPr>
        <w:pStyle w:val="Para 17"/>
      </w:pPr>
      <w:r>
        <w:t/>
      </w:r>
    </w:p>
    <w:p>
      <w:pPr>
        <w:pStyle w:val="Normal"/>
      </w:pPr>
      <w:r>
        <w:t>Energy Performance Preference (EPP) is a CPU power-management feature available on many modern processors (particularly Intel and AMD). It allows the operating system or user to influence the CPU’s balance between performance and power consumption. Instead of forcing a strict maximum performance or minimum power mode, EPP provides a hint to the processor’s hardware power control logic about the desired balance. Consider it to be quite similar to scaling_governors, but partially handled in a hardware/firmware assisted way.</w:t>
      </w:r>
    </w:p>
    <w:p>
      <w:pPr>
        <w:pStyle w:val="Normal"/>
      </w:pPr>
      <w:r>
        <w:t>The actual effect depends on the CPU model and firmware, but in general, lower EPP val-ues tell a processor to favor performance while higher values tell it to favor lower power consumption.</w:t>
      </w:r>
    </w:p>
    <w:p>
      <w:pPr>
        <w:pStyle w:val="Para 17"/>
      </w:pPr>
      <w:r>
        <w:t/>
      </w:r>
    </w:p>
    <w:p>
      <w:pPr>
        <w:pStyle w:val="Para 01"/>
      </w:pPr>
      <w:r>
        <w:t>Caveats</w:t>
      </w:r>
    </w:p>
    <w:p>
      <w:pPr>
        <w:pStyle w:val="Para 17"/>
      </w:pPr>
      <w:r>
        <w:t/>
      </w:r>
    </w:p>
    <w:p>
      <w:pPr>
        <w:pStyle w:val="Para 04"/>
      </w:pPr>
      <w:r>
        <w:t xml:space="preserve">• EPP is only a </w:t>
      </w:r>
      <w:r>
        <w:rPr>
          <w:rStyle w:val="Text3"/>
        </w:rPr>
        <w:t>preference</w:t>
      </w:r>
      <w:r>
        <w:t xml:space="preserve"> or hint to the hardware. It does not guarantee that the CPU will</w:t>
      </w:r>
    </w:p>
    <w:p>
      <w:pPr>
        <w:pStyle w:val="Para 02"/>
      </w:pPr>
      <w:r>
        <w:t>behave in a precise or deterministic way.</w:t>
      </w:r>
    </w:p>
    <w:p>
      <w:pPr>
        <w:pStyle w:val="Para 04"/>
      </w:pPr>
      <w:r>
        <w:t>• EPP value interpretations will often vary between different CPUs.</w:t>
      </w:r>
    </w:p>
    <w:p>
      <w:pPr>
        <w:pStyle w:val="Para 04"/>
      </w:pPr>
      <w:r>
        <w:t>• Hardware support is required. On some processors, EPP may have no effect even if it</w:t>
      </w:r>
    </w:p>
    <w:p>
      <w:pPr>
        <w:pStyle w:val="Para 02"/>
      </w:pPr>
      <w:r>
        <w:t>appears to be configurable in the OS.</w:t>
      </w:r>
    </w:p>
    <w:p>
      <w:pPr>
        <w:pStyle w:val="Para 04"/>
      </w:pPr>
      <w:r>
        <w:t>• Some systems may require an update to BIOS settings to allow OS control of power</w:t>
      </w:r>
    </w:p>
    <w:p>
      <w:pPr>
        <w:pStyle w:val="Para 02"/>
      </w:pPr>
      <w:r>
        <w:t>regulation.</w:t>
      </w:r>
    </w:p>
    <w:p>
      <w:bookmarkStart w:id="1500" w:name="calibre_pb_276"/>
      <w:pPr>
        <w:pStyle w:val="0 Block"/>
      </w:pPr>
      <w:bookmarkEnd w:id="1500"/>
    </w:p>
    <w:p>
      <w:bookmarkStart w:id="1501" w:name="Top_of_index_split_277_html"/>
      <w:bookmarkStart w:id="1502" w:name="page_94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88" name="index-948_1.png" descr="index-948_1.png"/>
            <wp:cNvGraphicFramePr>
              <a:graphicFrameLocks noChangeAspect="1"/>
            </wp:cNvGraphicFramePr>
            <a:graphic>
              <a:graphicData uri="http://schemas.openxmlformats.org/drawingml/2006/picture">
                <pic:pic>
                  <pic:nvPicPr>
                    <pic:cNvPr id="0" name="index-948_1.png" descr="index-948_1.png"/>
                    <pic:cNvPicPr/>
                  </pic:nvPicPr>
                  <pic:blipFill>
                    <a:blip r:embed="rId992"/>
                    <a:stretch>
                      <a:fillRect/>
                    </a:stretch>
                  </pic:blipFill>
                  <pic:spPr>
                    <a:xfrm>
                      <a:off x="0" y="0"/>
                      <a:ext cx="914400" cy="266700"/>
                    </a:xfrm>
                    <a:prstGeom prst="rect">
                      <a:avLst/>
                    </a:prstGeom>
                  </pic:spPr>
                </pic:pic>
              </a:graphicData>
            </a:graphic>
          </wp:anchor>
        </w:drawing>
      </w:r>
      <w:bookmarkEnd w:id="1501"/>
      <w:bookmarkEnd w:id="1502"/>
    </w:p>
    <w:p>
      <w:pPr>
        <w:pStyle w:val="Para 01"/>
      </w:pPr>
      <w:r>
        <w:t>EPP values on Ubuntu</w:t>
      </w:r>
    </w:p>
    <w:p>
      <w:pPr>
        <w:pStyle w:val="Para 17"/>
      </w:pPr>
      <w:r>
        <w:t/>
      </w:r>
    </w:p>
    <w:p>
      <w:pPr>
        <w:pStyle w:val="Normal"/>
      </w:pPr>
      <w:r>
        <w:t>On Ubuntu, the EPP for each core on a CPU is stored in /sys/devices/system/cpu/cpu#/ cpufreq/energy_performance_preference. To check the current status on cpu0, for example, you can run:</w:t>
      </w:r>
    </w:p>
    <w:p>
      <w:pPr>
        <w:pStyle w:val="Normal"/>
      </w:pPr>
      <w:r>
        <w:t>cat /sys/devices/system/cpu/cpu0/cpufreq/energy_performance_preference</w:t>
      </w:r>
    </w:p>
    <w:p>
      <w:pPr>
        <w:pStyle w:val="Para 17"/>
      </w:pPr>
      <w:r>
        <w:t/>
      </w:r>
    </w:p>
    <w:p>
      <w:pPr>
        <w:pStyle w:val="Normal"/>
      </w:pPr>
      <w:r>
        <w:t>This file will normally contain one of the following named profiles:</w:t>
      </w:r>
    </w:p>
    <w:p>
      <w:pPr>
        <w:pStyle w:val="Para 04"/>
      </w:pPr>
      <w:r>
        <w:t>• performance- Prioritize responsiveness and raw performance.</w:t>
      </w:r>
    </w:p>
    <w:p>
      <w:pPr>
        <w:pStyle w:val="Para 04"/>
      </w:pPr>
      <w:r>
        <w:t>• balance_performance- Lean toward performance, with lower power consumption.</w:t>
      </w:r>
    </w:p>
    <w:p>
      <w:pPr>
        <w:pStyle w:val="Para 04"/>
      </w:pPr>
      <w:r>
        <w:t>• balance_power- Lean toward reduced power, with some additional performance.</w:t>
      </w:r>
    </w:p>
    <w:p>
      <w:pPr>
        <w:pStyle w:val="Para 04"/>
      </w:pPr>
      <w:r>
        <w:t>• power- Prioritize a reduction in power consumption.</w:t>
      </w:r>
    </w:p>
    <w:p>
      <w:pPr>
        <w:pStyle w:val="Para 04"/>
      </w:pPr>
      <w:r>
        <w:t>• default- Use the default mix of power and performance as recommended by Ubuntu.</w:t>
      </w:r>
    </w:p>
    <w:p>
      <w:pPr>
        <w:pStyle w:val="Normal"/>
      </w:pPr>
      <w:r>
        <w:t>The full list of options is provided in /sys/devices/system/cpu/cpu#/cpufreq/energy_ performance_available_preferences. To see them, run:</w:t>
      </w:r>
    </w:p>
    <w:p>
      <w:pPr>
        <w:pStyle w:val="Normal"/>
      </w:pPr>
      <w:r>
        <w:t>cat /sys/devices/system/cpu/cpu0/cpufreq/energy_performance_available_preferences</w:t>
      </w:r>
    </w:p>
    <w:p>
      <w:pPr>
        <w:pStyle w:val="Para 17"/>
      </w:pPr>
      <w:r>
        <w:t/>
      </w:r>
    </w:p>
    <w:p>
      <w:pPr>
        <w:pStyle w:val="Normal"/>
      </w:pPr>
      <w:r>
        <w:t>which will display something like:</w:t>
      </w:r>
    </w:p>
    <w:p>
      <w:pPr>
        <w:pStyle w:val="Normal"/>
      </w:pPr>
      <w:r>
        <w:t>default performance balance_performance balance_power power</w:t>
      </w:r>
    </w:p>
    <w:p>
      <w:pPr>
        <w:pStyle w:val="Para 17"/>
      </w:pPr>
      <w:r>
        <w:t/>
      </w:r>
    </w:p>
    <w:p>
      <w:pPr>
        <w:pStyle w:val="Normal"/>
      </w:pPr>
      <w:r>
        <w:t xml:space="preserve">For more specificity, a raw numeric value from </w:t>
      </w:r>
      <w:r>
        <w:rPr>
          <w:rStyle w:val="Text0"/>
        </w:rPr>
        <w:t>0-255</w:t>
      </w:r>
      <w:r>
        <w:t xml:space="preserve"> can also be provided in the energy_ performance_preference file. In general, a value closer to 0 will prioritize performance and a value closer to 255 will prioritize efficiency.</w:t>
      </w:r>
    </w:p>
    <w:p>
      <w:pPr>
        <w:pStyle w:val="Para 17"/>
      </w:pPr>
      <w:r>
        <w:t/>
      </w:r>
    </w:p>
    <w:p>
      <w:pPr>
        <w:pStyle w:val="Para 01"/>
      </w:pPr>
      <w:r>
        <w:t>Setting EPP values</w:t>
      </w:r>
    </w:p>
    <w:p>
      <w:pPr>
        <w:pStyle w:val="Para 17"/>
      </w:pPr>
      <w:r>
        <w:t/>
      </w:r>
    </w:p>
    <w:p>
      <w:pPr>
        <w:pStyle w:val="Normal"/>
      </w:pPr>
      <w:r>
        <w:t>EPP values are managed through each core’s energy_performance_preference file, so the EPP values can be updated manually by overriding the contents of that file. For example, to set cpu0 to the performance profile, run the following:</w:t>
      </w:r>
    </w:p>
    <w:p>
      <w:pPr>
        <w:pStyle w:val="Normal"/>
      </w:pPr>
      <w:r>
        <w:t>echo</w:t>
        <w:t xml:space="preserve"> </w:t>
        <w:t>performance | sudo tee /sys/devices/system/cpu/cpu0/cpufreq/energy_performance_</w:t>
        <w:t xml:space="preserve"> </w:t>
        <w:t>preference</w:t>
      </w:r>
    </w:p>
    <w:p>
      <w:pPr>
        <w:pStyle w:val="Para 17"/>
      </w:pPr>
      <w:r>
        <w:t/>
      </w:r>
    </w:p>
    <w:p>
      <w:pPr>
        <w:pStyle w:val="Normal"/>
      </w:pPr>
      <w:r>
        <w:t>On Ubuntu Desktop, GNOME provides a power management menu in settings with options that may modify EPP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041400"/>
            <wp:effectExtent l="0" r="0" t="0" b="0"/>
            <wp:wrapTopAndBottom/>
            <wp:docPr id="989" name="index-948_2.png" descr="index-948_2.png"/>
            <wp:cNvGraphicFramePr>
              <a:graphicFrameLocks noChangeAspect="1"/>
            </wp:cNvGraphicFramePr>
            <a:graphic>
              <a:graphicData uri="http://schemas.openxmlformats.org/drawingml/2006/picture">
                <pic:pic>
                  <pic:nvPicPr>
                    <pic:cNvPr id="0" name="index-948_2.png" descr="index-948_2.png"/>
                    <pic:cNvPicPr/>
                  </pic:nvPicPr>
                  <pic:blipFill>
                    <a:blip r:embed="rId993"/>
                    <a:stretch>
                      <a:fillRect/>
                    </a:stretch>
                  </pic:blipFill>
                  <pic:spPr>
                    <a:xfrm>
                      <a:off x="0" y="0"/>
                      <a:ext cx="3670300" cy="1041400"/>
                    </a:xfrm>
                    <a:prstGeom prst="rect">
                      <a:avLst/>
                    </a:prstGeom>
                  </pic:spPr>
                </pic:pic>
              </a:graphicData>
            </a:graphic>
          </wp:anchor>
        </w:drawing>
      </w:r>
    </w:p>
    <w:p>
      <w:bookmarkStart w:id="1503" w:name="page_9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0" name="index-949_1.png" descr="index-949_1.png"/>
            <wp:cNvGraphicFramePr>
              <a:graphicFrameLocks noChangeAspect="1"/>
            </wp:cNvGraphicFramePr>
            <a:graphic>
              <a:graphicData uri="http://schemas.openxmlformats.org/drawingml/2006/picture">
                <pic:pic>
                  <pic:nvPicPr>
                    <pic:cNvPr id="0" name="index-949_1.png" descr="index-949_1.png"/>
                    <pic:cNvPicPr/>
                  </pic:nvPicPr>
                  <pic:blipFill>
                    <a:blip r:embed="rId994"/>
                    <a:stretch>
                      <a:fillRect/>
                    </a:stretch>
                  </pic:blipFill>
                  <pic:spPr>
                    <a:xfrm>
                      <a:off x="0" y="0"/>
                      <a:ext cx="914400" cy="266700"/>
                    </a:xfrm>
                    <a:prstGeom prst="rect">
                      <a:avLst/>
                    </a:prstGeom>
                  </pic:spPr>
                </pic:pic>
              </a:graphicData>
            </a:graphic>
          </wp:anchor>
        </w:drawing>
      </w:r>
      <w:bookmarkEnd w:id="1503"/>
    </w:p>
    <w:p>
      <w:pPr>
        <w:pStyle w:val="Normal"/>
      </w:pPr>
      <w:r>
        <w:t>These settings will normally map to the following EPP profiles:</w:t>
      </w:r>
    </w:p>
    <w:p>
      <w:pPr>
        <w:pStyle w:val="Para 17"/>
      </w:pPr>
      <w:r>
        <w:t/>
      </w:r>
    </w:p>
    <w:p>
      <w:pPr>
        <w:pStyle w:val="Para 33"/>
      </w:pPr>
      <w:r>
        <w:t>Power Mode setting EPP profile</w:t>
      </w:r>
    </w:p>
    <w:p>
      <w:pPr>
        <w:pStyle w:val="Para 33"/>
      </w:pPr>
      <w:r>
        <w:t>Performance performance</w:t>
      </w:r>
    </w:p>
    <w:p>
      <w:pPr>
        <w:pStyle w:val="Para 33"/>
      </w:pPr>
      <w:r>
        <w:t>Balanced balance_performance</w:t>
      </w:r>
    </w:p>
    <w:p>
      <w:pPr>
        <w:pStyle w:val="Para 33"/>
      </w:pPr>
      <w:r>
        <w:t>Power Saver power</w:t>
      </w:r>
    </w:p>
    <w:p>
      <w:pPr>
        <w:pStyle w:val="Para 17"/>
      </w:pPr>
      <w:r>
        <w:t/>
      </w:r>
    </w:p>
    <w:p>
      <w:pPr>
        <w:pStyle w:val="Para 01"/>
      </w:pPr>
      <w:r>
        <w:t>The cpupower tool</w:t>
      </w:r>
    </w:p>
    <w:p>
      <w:pPr>
        <w:pStyle w:val="Para 17"/>
      </w:pPr>
      <w:r>
        <w:t/>
      </w:r>
    </w:p>
    <w:p>
      <w:pPr>
        <w:pStyle w:val="Para 08"/>
      </w:pPr>
      <w:r>
        <w:t>Note:</w:t>
      </w:r>
    </w:p>
    <w:p>
      <w:pPr>
        <w:pStyle w:val="Para 03"/>
      </w:pPr>
      <w:r>
        <w:t>System tuning tools are either about better understanding the system’s performance,</w:t>
      </w:r>
    </w:p>
    <w:p>
      <w:pPr>
        <w:pStyle w:val="Para 03"/>
      </w:pPr>
      <w:r>
        <w:t xml:space="preserve">or applying such knowledge to improve it. See our common </w:t>
      </w:r>
      <w:hyperlink w:anchor="page_934">
        <w:r>
          <w:rPr>
            <w:rStyle w:val="Text2"/>
          </w:rPr>
          <w:t>system tuning thoughts</w:t>
        </w:r>
      </w:hyperlink>
    </w:p>
    <w:p>
      <w:pPr>
        <w:pStyle w:val="Para 03"/>
      </w:pPr>
      <w:r>
        <w:t>(page 933) for some generally applicable considerations about that.</w:t>
      </w:r>
    </w:p>
    <w:p>
      <w:pPr>
        <w:pStyle w:val="Para 17"/>
      </w:pPr>
      <w:r>
        <w:t/>
      </w:r>
    </w:p>
    <w:p>
      <w:pPr>
        <w:pStyle w:val="Normal"/>
      </w:pPr>
      <w:r>
        <w:t>This page is about the cpupower tool, which can be handy to inspect and manage the CPU</w:t>
      </w:r>
    </w:p>
    <w:p>
      <w:pPr>
        <w:pStyle w:val="Normal"/>
      </w:pPr>
      <w:r>
        <w:t xml:space="preserve">power settings. This is mostly controlled via </w:t>
      </w:r>
      <w:hyperlink w:anchor="page_945">
        <w:r>
          <w:rPr>
            <w:rStyle w:val="Text2"/>
          </w:rPr>
          <w:t>CPU Power states</w:t>
        </w:r>
      </w:hyperlink>
      <w:r>
        <w:t xml:space="preserve"> (page 944) which are important to be understood before taking action.</w:t>
      </w:r>
    </w:p>
    <w:p>
      <w:pPr>
        <w:pStyle w:val="Para 17"/>
      </w:pPr>
      <w:r>
        <w:t/>
      </w:r>
    </w:p>
    <w:p>
      <w:pPr>
        <w:pStyle w:val="Para 01"/>
      </w:pPr>
      <w:r>
        <w:t>Monitor CPU frequency</w:t>
      </w:r>
    </w:p>
    <w:p>
      <w:pPr>
        <w:pStyle w:val="Para 17"/>
      </w:pPr>
      <w:r>
        <w:t/>
      </w:r>
    </w:p>
    <w:p>
      <w:pPr>
        <w:pStyle w:val="Normal"/>
      </w:pPr>
      <w:r>
        <w:t>Before changing anything, look at the current frequencies via cpupower monitor. Many sys-tems have various potential monitors, and by default one sees all of them which can be quite confusing. Therefore start with looking at the available power monitors.</w:t>
      </w:r>
    </w:p>
    <w:p>
      <w:pPr>
        <w:pStyle w:val="Normal"/>
      </w:pPr>
      <w:r>
        <w:t>Command (list all available cpupower monitors available on the system):</w:t>
      </w:r>
    </w:p>
    <w:p>
      <w:pPr>
        <w:pStyle w:val="Normal"/>
      </w:pPr>
      <w:r>
        <w:t>sudo cpupower monitor -l</w:t>
      </w:r>
    </w:p>
    <w:p>
      <w:pPr>
        <w:pStyle w:val="Para 17"/>
      </w:pPr>
      <w:r>
        <w:t/>
      </w:r>
    </w:p>
    <w:p>
      <w:pPr>
        <w:pStyle w:val="Normal"/>
      </w:pPr>
      <w:r>
        <w:t>Output (An example from a common consumer laptop):</w:t>
      </w:r>
    </w:p>
    <w:p>
      <w:pPr>
        <w:pStyle w:val="Normal"/>
      </w:pPr>
      <w:r>
        <w:t>Monitor</w:t>
        <w:t xml:space="preserve"> </w:t>
        <w:t>"Nehalem"</w:t>
        <w:t xml:space="preserve"> </w:t>
        <w:t>(</w:t>
        <w:t>4</w:t>
        <w:t xml:space="preserve"> </w:t>
        <w:t>states</w:t>
        <w:t>)</w:t>
        <w:t>- Might overflow after</w:t>
        <w:t xml:space="preserve"> </w:t>
        <w:t>922000000</w:t>
        <w:t xml:space="preserve"> </w:t>
        <w:t>s</w:t>
      </w:r>
    </w:p>
    <w:p>
      <w:pPr>
        <w:pStyle w:val="Para 03"/>
      </w:pPr>
      <w:r>
        <w:t>C3</w:t>
        <w:t xml:space="preserve"> </w:t>
        <w:t>[</w:t>
        <w:t>C</w:t>
        <w:t>]</w:t>
        <w:t>-&gt; Processor Core C3</w:t>
      </w:r>
    </w:p>
    <w:p>
      <w:pPr>
        <w:pStyle w:val="Para 03"/>
      </w:pPr>
      <w:r>
        <w:t>C6</w:t>
        <w:t xml:space="preserve"> </w:t>
        <w:t>[</w:t>
        <w:t>C</w:t>
        <w:t>]</w:t>
        <w:t>-&gt; Processor Core C6</w:t>
      </w:r>
    </w:p>
    <w:p>
      <w:pPr>
        <w:pStyle w:val="Para 03"/>
      </w:pPr>
      <w:r>
        <w:t>PC3</w:t>
        <w:t xml:space="preserve"> </w:t>
        <w:t>[</w:t>
        <w:t>P</w:t>
        <w:t>]</w:t>
        <w:t>-&gt; Processor Package C3</w:t>
      </w:r>
    </w:p>
    <w:p>
      <w:pPr>
        <w:pStyle w:val="Para 03"/>
      </w:pPr>
      <w:r>
        <w:t>PC6</w:t>
        <w:t xml:space="preserve"> </w:t>
        <w:t>[</w:t>
        <w:t>P</w:t>
        <w:t>]</w:t>
        <w:t>-&gt; Processor Package C6</w:t>
      </w:r>
    </w:p>
    <w:p>
      <w:pPr>
        <w:pStyle w:val="Normal"/>
      </w:pPr>
      <w:r>
        <w:t>Monitor</w:t>
        <w:t xml:space="preserve"> </w:t>
        <w:t>"Mperf"</w:t>
        <w:t xml:space="preserve"> </w:t>
        <w:t>(</w:t>
        <w:t>3</w:t>
        <w:t xml:space="preserve"> </w:t>
        <w:t>states</w:t>
        <w:t>)</w:t>
        <w:t>- Might overflow after</w:t>
        <w:t xml:space="preserve"> </w:t>
        <w:t>922000000</w:t>
        <w:t xml:space="preserve"> </w:t>
        <w:t>s</w:t>
      </w:r>
    </w:p>
    <w:p>
      <w:pPr>
        <w:pStyle w:val="Para 03"/>
      </w:pPr>
      <w:r>
        <w:t>C0</w:t>
        <w:t xml:space="preserve"> </w:t>
        <w:t>[</w:t>
        <w:t>T</w:t>
        <w:t>]</w:t>
        <w:t>-&gt; Processor Core not idle</w:t>
      </w:r>
    </w:p>
    <w:p>
      <w:pPr>
        <w:pStyle w:val="Para 03"/>
      </w:pPr>
      <w:r>
        <w:t>Cx</w:t>
        <w:t xml:space="preserve"> </w:t>
        <w:t>[</w:t>
        <w:t>T</w:t>
        <w:t>]</w:t>
        <w:t>-&gt; Processor Core</w:t>
        <w:t xml:space="preserve"> </w:t>
      </w:r>
      <w:r>
        <w:rPr>
          <w:rStyle w:val="Text0"/>
        </w:rPr>
        <w:t>in</w:t>
      </w:r>
      <w:r>
        <w:t xml:space="preserve"> </w:t>
        <w:t>an idle state</w:t>
      </w:r>
    </w:p>
    <w:p>
      <w:pPr>
        <w:pStyle w:val="Para 03"/>
      </w:pPr>
      <w:r>
        <w:t>Freq</w:t>
        <w:t xml:space="preserve"> </w:t>
        <w:t>[</w:t>
        <w:t>T</w:t>
        <w:t>]</w:t>
        <w:t>-&gt; Average Frequency</w:t>
        <w:t xml:space="preserve"> </w:t>
        <w:t>(</w:t>
        <w:t>including boost</w:t>
        <w:t>)</w:t>
        <w:t xml:space="preserve"> </w:t>
      </w:r>
      <w:r>
        <w:rPr>
          <w:rStyle w:val="Text0"/>
        </w:rPr>
        <w:t>in</w:t>
      </w:r>
      <w:r>
        <w:t xml:space="preserve"> </w:t>
        <w:t>MHz</w:t>
      </w:r>
    </w:p>
    <w:p>
      <w:pPr>
        <w:pStyle w:val="Normal"/>
      </w:pPr>
      <w:r>
        <w:t>Monitor</w:t>
        <w:t xml:space="preserve"> </w:t>
        <w:t>"RAPL"</w:t>
        <w:t xml:space="preserve"> </w:t>
        <w:t>(</w:t>
        <w:t>4</w:t>
        <w:t xml:space="preserve"> </w:t>
        <w:t>states</w:t>
        <w:t>)</w:t>
        <w:t>- Might overflow after</w:t>
        <w:t xml:space="preserve"> </w:t>
        <w:t>8640000</w:t>
        <w:t xml:space="preserve"> </w:t>
        <w:t>s</w:t>
      </w:r>
    </w:p>
    <w:p>
      <w:pPr>
        <w:pStyle w:val="Para 03"/>
      </w:pPr>
      <w:r>
        <w:t>pack</w:t>
        <w:t xml:space="preserve"> </w:t>
        <w:t>[</w:t>
        <w:t>M</w:t>
        <w:t>]</w:t>
        <w:t>-&gt;</w:t>
      </w:r>
    </w:p>
    <w:p>
      <w:pPr>
        <w:pStyle w:val="Para 03"/>
      </w:pPr>
      <w:r>
        <w:t>dram</w:t>
        <w:t xml:space="preserve"> </w:t>
        <w:t>[</w:t>
        <w:t>M</w:t>
        <w:t>]</w:t>
        <w:t>-&gt;</w:t>
      </w:r>
    </w:p>
    <w:p>
      <w:pPr>
        <w:pStyle w:val="Para 03"/>
      </w:pPr>
      <w:r>
        <w:t>core</w:t>
        <w:t xml:space="preserve"> </w:t>
        <w:t>[</w:t>
        <w:t>M</w:t>
        <w:t>]</w:t>
        <w:t>-&gt;</w:t>
      </w:r>
    </w:p>
    <w:p>
      <w:pPr>
        <w:pStyle w:val="Para 03"/>
      </w:pPr>
      <w:r>
        <w:t>unco</w:t>
        <w:t xml:space="preserve"> </w:t>
        <w:t>[</w:t>
        <w:t>M</w:t>
        <w:t>]</w:t>
        <w:t>-&gt;</w:t>
      </w:r>
    </w:p>
    <w:p>
      <w:pPr>
        <w:pStyle w:val="Normal"/>
      </w:pPr>
      <w:r>
        <w:t>Monitor</w:t>
        <w:t xml:space="preserve"> </w:t>
        <w:t>"Idle_Stats"</w:t>
        <w:t xml:space="preserve"> </w:t>
        <w:t>(</w:t>
        <w:t>9</w:t>
        <w:t xml:space="preserve"> </w:t>
        <w:t>states</w:t>
        <w:t>)</w:t>
        <w:t>- Might overflow after</w:t>
        <w:t xml:space="preserve"> </w:t>
        <w:t>4294967295</w:t>
        <w:t xml:space="preserve"> </w:t>
        <w:t>s</w:t>
      </w:r>
    </w:p>
    <w:p>
      <w:pPr>
        <w:pStyle w:val="Para 03"/>
      </w:pPr>
      <w:r>
        <w:t>POLL</w:t>
        <w:t xml:space="preserve"> </w:t>
        <w:t>[</w:t>
        <w:t>T</w:t>
        <w:t>]</w:t>
        <w:t>-&gt; CPUIDLE CORE POLL IDLE</w:t>
      </w:r>
    </w:p>
    <w:p>
      <w:pPr>
        <w:pStyle w:val="Para 03"/>
      </w:pPr>
      <w:r>
        <w:t>C1</w:t>
        <w:t xml:space="preserve"> </w:t>
        <w:t>[</w:t>
        <w:t>T</w:t>
        <w:t>]</w:t>
        <w:t>-&gt; MWAIT 0x00</w:t>
      </w:r>
    </w:p>
    <w:p>
      <w:pPr>
        <w:pStyle w:val="Para 09"/>
      </w:pPr>
      <w:r>
        <w:t>(continues on next page)</w:t>
      </w:r>
    </w:p>
    <w:p>
      <w:bookmarkStart w:id="1504" w:name="page_95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1" name="index-950_1.png" descr="index-950_1.png"/>
            <wp:cNvGraphicFramePr>
              <a:graphicFrameLocks noChangeAspect="1"/>
            </wp:cNvGraphicFramePr>
            <a:graphic>
              <a:graphicData uri="http://schemas.openxmlformats.org/drawingml/2006/picture">
                <pic:pic>
                  <pic:nvPicPr>
                    <pic:cNvPr id="0" name="index-950_1.png" descr="index-950_1.png"/>
                    <pic:cNvPicPr/>
                  </pic:nvPicPr>
                  <pic:blipFill>
                    <a:blip r:embed="rId995"/>
                    <a:stretch>
                      <a:fillRect/>
                    </a:stretch>
                  </pic:blipFill>
                  <pic:spPr>
                    <a:xfrm>
                      <a:off x="0" y="0"/>
                      <a:ext cx="914400" cy="266700"/>
                    </a:xfrm>
                    <a:prstGeom prst="rect">
                      <a:avLst/>
                    </a:prstGeom>
                  </pic:spPr>
                </pic:pic>
              </a:graphicData>
            </a:graphic>
          </wp:anchor>
        </w:drawing>
      </w:r>
      <w:bookmarkEnd w:id="1504"/>
    </w:p>
    <w:p>
      <w:pPr>
        <w:pStyle w:val="Para 09"/>
      </w:pPr>
      <w:r>
        <w:t>(continued from previous page)</w:t>
      </w:r>
    </w:p>
    <w:p>
      <w:pPr>
        <w:pStyle w:val="Para 03"/>
      </w:pPr>
      <w:r>
        <w:t>C1E</w:t>
        <w:t xml:space="preserve"> </w:t>
        <w:t>[</w:t>
        <w:t>T</w:t>
        <w:t>]</w:t>
        <w:t>-&gt; MWAIT 0x01</w:t>
      </w:r>
    </w:p>
    <w:p>
      <w:pPr>
        <w:pStyle w:val="Para 03"/>
      </w:pPr>
      <w:r>
        <w:t>C3</w:t>
        <w:t xml:space="preserve"> </w:t>
        <w:t>[</w:t>
        <w:t>T</w:t>
        <w:t>]</w:t>
        <w:t>-&gt; MWAIT 0x10</w:t>
      </w:r>
    </w:p>
    <w:p>
      <w:pPr>
        <w:pStyle w:val="Para 03"/>
      </w:pPr>
      <w:r>
        <w:t>C6</w:t>
        <w:t xml:space="preserve"> </w:t>
        <w:t>[</w:t>
        <w:t>T</w:t>
        <w:t>]</w:t>
        <w:t>-&gt; MWAIT 0x20</w:t>
      </w:r>
    </w:p>
    <w:p>
      <w:pPr>
        <w:pStyle w:val="Para 03"/>
      </w:pPr>
      <w:r>
        <w:t>C7s</w:t>
        <w:t xml:space="preserve"> </w:t>
        <w:t>[</w:t>
        <w:t>T</w:t>
        <w:t>]</w:t>
        <w:t>-&gt; MWAIT 0x33</w:t>
      </w:r>
    </w:p>
    <w:p>
      <w:pPr>
        <w:pStyle w:val="Para 03"/>
      </w:pPr>
      <w:r>
        <w:t>C8</w:t>
        <w:t xml:space="preserve"> </w:t>
        <w:t>[</w:t>
        <w:t>T</w:t>
        <w:t>]</w:t>
        <w:t>-&gt; MWAIT 0x40</w:t>
      </w:r>
    </w:p>
    <w:p>
      <w:pPr>
        <w:pStyle w:val="Para 03"/>
      </w:pPr>
      <w:r>
        <w:t>C9</w:t>
        <w:t xml:space="preserve"> </w:t>
        <w:t>[</w:t>
        <w:t>T</w:t>
        <w:t>]</w:t>
        <w:t>-&gt; MWAIT 0x50</w:t>
      </w:r>
    </w:p>
    <w:p>
      <w:pPr>
        <w:pStyle w:val="Para 03"/>
      </w:pPr>
      <w:r>
        <w:t>C10</w:t>
        <w:t xml:space="preserve"> </w:t>
        <w:t>[</w:t>
        <w:t>T</w:t>
        <w:t>]</w:t>
        <w:t>-&gt; MWAIT 0x60</w:t>
      </w:r>
    </w:p>
    <w:p>
      <w:pPr>
        <w:pStyle w:val="Para 17"/>
      </w:pPr>
      <w:r>
        <w:t/>
      </w:r>
    </w:p>
    <w:p>
      <w:pPr>
        <w:pStyle w:val="Normal"/>
      </w:pPr>
      <w:r>
        <w:t>Here we can see that the machine has four available monitors shown in ".</w:t>
      </w:r>
    </w:p>
    <w:p>
      <w:pPr>
        <w:pStyle w:val="Para 04"/>
      </w:pPr>
      <w:r>
        <w:t>• Nehalem- Hardware specific C states.</w:t>
      </w:r>
    </w:p>
    <w:p>
      <w:pPr>
        <w:pStyle w:val="Para 04"/>
      </w:pPr>
      <w:r>
        <w:t>• Mperf- Average of frequencies and time in active (C0) or sleep (Cx) states.</w:t>
      </w:r>
    </w:p>
    <w:p>
      <w:pPr>
        <w:pStyle w:val="Para 04"/>
      </w:pPr>
      <w:r>
        <w:t>• RAPL- Running Average Power Limit covering different system elements.</w:t>
      </w:r>
    </w:p>
    <w:p>
      <w:pPr>
        <w:pStyle w:val="Para 04"/>
      </w:pPr>
      <w:r>
        <w:t>• Idle_Stats- Statistics of the cpuidle kernel subsystem (software based).</w:t>
      </w:r>
    </w:p>
    <w:p>
      <w:pPr>
        <w:pStyle w:val="Normal"/>
      </w:pPr>
      <w:r>
        <w:t>Those counters can represent different system units:</w:t>
      </w:r>
    </w:p>
    <w:p>
      <w:pPr>
        <w:pStyle w:val="Para 04"/>
      </w:pPr>
      <w:r>
        <w:t>• [T] -&gt; Thread</w:t>
      </w:r>
    </w:p>
    <w:p>
      <w:pPr>
        <w:pStyle w:val="Para 04"/>
      </w:pPr>
      <w:r>
        <w:t>• [C] -&gt; Core</w:t>
      </w:r>
    </w:p>
    <w:p>
      <w:pPr>
        <w:pStyle w:val="Para 04"/>
      </w:pPr>
      <w:r>
        <w:t>• [P] -&gt; Processor Package (Socket)</w:t>
      </w:r>
    </w:p>
    <w:p>
      <w:pPr>
        <w:pStyle w:val="Para 04"/>
      </w:pPr>
      <w:r>
        <w:t>• [M] -&gt; Machine/Platform wide counter</w:t>
      </w:r>
    </w:p>
    <w:p>
      <w:pPr>
        <w:pStyle w:val="Normal"/>
      </w:pPr>
      <w:r>
        <w:t>So if we want to know what frequency the CPU threads were in (Mperf) and what was con-sumed at the different system levels of package, dram, core and (RAPL) averages over a minute (-i &lt;seconds&gt;) we would run:</w:t>
      </w:r>
    </w:p>
    <w:p>
      <w:pPr>
        <w:pStyle w:val="Normal"/>
      </w:pPr>
      <w:r>
        <w:t>Command:</w:t>
      </w:r>
    </w:p>
    <w:p>
      <w:pPr>
        <w:pStyle w:val="Normal"/>
      </w:pPr>
      <w:r>
        <w:t>sudo cpupower monitor -i</w:t>
        <w:t xml:space="preserve"> </w:t>
        <w:t>60</w:t>
        <w:t>-m Mperf,RAPL</w:t>
      </w:r>
    </w:p>
    <w:p>
      <w:pPr>
        <w:pStyle w:val="Para 17"/>
      </w:pPr>
      <w:r>
        <w:t/>
      </w:r>
    </w:p>
    <w:p>
      <w:pPr>
        <w:pStyle w:val="Normal"/>
      </w:pPr>
      <w:r>
        <w:t>Output:</w:t>
      </w:r>
    </w:p>
    <w:p>
      <w:pPr>
        <w:pStyle w:val="Para 02"/>
      </w:pPr>
      <w:r>
        <w:t>| Mperf</w:t>
        <w:t xml:space="preserve"> </w:t>
        <w:t>||</w:t>
        <w:t xml:space="preserve"> </w:t>
        <w:t>RAPL</w:t>
      </w:r>
    </w:p>
    <w:p>
      <w:pPr>
        <w:pStyle w:val="Normal"/>
      </w:pPr>
      <w:r>
        <w:t>CPU| C0</w:t>
        <w:t xml:space="preserve"> </w:t>
        <w:t>| Cx</w:t>
        <w:t xml:space="preserve"> </w:t>
        <w:t>| Freq</w:t>
        <w:t xml:space="preserve"> </w:t>
        <w:t>||</w:t>
        <w:t xml:space="preserve"> </w:t>
        <w:t>pack</w:t>
        <w:t xml:space="preserve"> </w:t>
        <w:t>| dram</w:t>
        <w:t xml:space="preserve"> </w:t>
        <w:t>| core</w:t>
        <w:t xml:space="preserve"> </w:t>
        <w:t>| unco</w:t>
      </w:r>
    </w:p>
    <w:p>
      <w:pPr>
        <w:pStyle w:val="Para 04"/>
      </w:pPr>
      <w:r>
        <w:t>0</w:t>
        <w:t>|</w:t>
        <w:t xml:space="preserve"> </w:t>
        <w:t>61</w:t>
        <w:t>,83|</w:t>
        <w:t xml:space="preserve"> </w:t>
        <w:t>38</w:t>
        <w:t>,17|</w:t>
        <w:t xml:space="preserve"> </w:t>
        <w:t>1850</w:t>
        <w:t>||</w:t>
        <w:t>616950936</w:t>
        <w:t>|</w:t>
        <w:t>145911797</w:t>
        <w:t>|</w:t>
        <w:t>375373063</w:t>
        <w:t>|</w:t>
        <w:t>71556823</w:t>
      </w:r>
    </w:p>
    <w:p>
      <w:pPr>
        <w:pStyle w:val="Para 04"/>
      </w:pPr>
      <w:r>
        <w:t>1</w:t>
        <w:t>|</w:t>
        <w:t xml:space="preserve"> </w:t>
        <w:t>62</w:t>
        <w:t>,03|</w:t>
        <w:t xml:space="preserve"> </w:t>
        <w:t>37</w:t>
        <w:t>,97|</w:t>
        <w:t xml:space="preserve"> </w:t>
        <w:t>1848</w:t>
        <w:t>||</w:t>
        <w:t>616950936</w:t>
        <w:t>|</w:t>
        <w:t>145911797</w:t>
        <w:t>|</w:t>
        <w:t>375373063</w:t>
        <w:t>|</w:t>
        <w:t>71556823</w:t>
      </w:r>
    </w:p>
    <w:p>
      <w:pPr>
        <w:pStyle w:val="Para 04"/>
      </w:pPr>
      <w:r>
        <w:t>2</w:t>
        <w:t>|</w:t>
        <w:t xml:space="preserve"> </w:t>
        <w:t>65</w:t>
        <w:t>,51|</w:t>
        <w:t xml:space="preserve"> </w:t>
        <w:t>34</w:t>
        <w:t>,49|</w:t>
        <w:t xml:space="preserve"> </w:t>
        <w:t>1852</w:t>
        <w:t>||</w:t>
        <w:t>616950936</w:t>
        <w:t>|</w:t>
        <w:t>145911797</w:t>
        <w:t>|</w:t>
        <w:t>375373063</w:t>
        <w:t>|</w:t>
        <w:t>71556823</w:t>
      </w:r>
    </w:p>
    <w:p>
      <w:pPr>
        <w:pStyle w:val="Para 04"/>
      </w:pPr>
      <w:r>
        <w:t>3</w:t>
        <w:t>|</w:t>
        <w:t xml:space="preserve"> </w:t>
        <w:t>62</w:t>
        <w:t>,04|</w:t>
        <w:t xml:space="preserve"> </w:t>
        <w:t>37</w:t>
        <w:t>,96|</w:t>
        <w:t xml:space="preserve"> </w:t>
        <w:t>1852</w:t>
        <w:t>||</w:t>
        <w:t>616950936</w:t>
        <w:t>|</w:t>
        <w:t>145911797</w:t>
        <w:t>|</w:t>
        <w:t>375373063</w:t>
        <w:t>|</w:t>
        <w:t>71556823</w:t>
      </w:r>
    </w:p>
    <w:p>
      <w:pPr>
        <w:pStyle w:val="Para 17"/>
      </w:pPr>
      <w:r>
        <w:t/>
      </w:r>
    </w:p>
    <w:p>
      <w:pPr>
        <w:pStyle w:val="Para 01"/>
      </w:pPr>
      <w:r>
        <w:t>Get details about the boundaries for the CPU frequency</w:t>
      </w:r>
    </w:p>
    <w:p>
      <w:pPr>
        <w:pStyle w:val="Para 17"/>
      </w:pPr>
      <w:r>
        <w:t/>
      </w:r>
    </w:p>
    <w:p>
      <w:pPr>
        <w:pStyle w:val="Normal"/>
      </w:pPr>
      <w:r>
        <w:t>There are more details influencing the CPU frequency, such as the driver used to control the hardware, the min and max frequencies, and potential boost states. These can be collected with cpupower frequency-info</w:t>
      </w:r>
    </w:p>
    <w:p>
      <w:pPr>
        <w:pStyle w:val="Normal"/>
      </w:pPr>
      <w:r>
        <w:t>Command:</w:t>
      </w:r>
    </w:p>
    <w:p>
      <w:pPr>
        <w:pStyle w:val="Normal"/>
      </w:pPr>
      <w:r>
        <w:t>cpupower frequency-info</w:t>
      </w:r>
    </w:p>
    <w:p>
      <w:pPr>
        <w:pStyle w:val="Para 17"/>
      </w:pPr>
      <w:r>
        <w:t/>
      </w:r>
    </w:p>
    <w:p>
      <w:pPr>
        <w:pStyle w:val="Normal"/>
      </w:pPr>
      <w:r>
        <w:t>Output:</w:t>
      </w:r>
    </w:p>
    <w:p>
      <w:bookmarkStart w:id="1505" w:name="page_95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2" name="index-951_1.png" descr="index-951_1.png"/>
            <wp:cNvGraphicFramePr>
              <a:graphicFrameLocks noChangeAspect="1"/>
            </wp:cNvGraphicFramePr>
            <a:graphic>
              <a:graphicData uri="http://schemas.openxmlformats.org/drawingml/2006/picture">
                <pic:pic>
                  <pic:nvPicPr>
                    <pic:cNvPr id="0" name="index-951_1.png" descr="index-951_1.png"/>
                    <pic:cNvPicPr/>
                  </pic:nvPicPr>
                  <pic:blipFill>
                    <a:blip r:embed="rId996"/>
                    <a:stretch>
                      <a:fillRect/>
                    </a:stretch>
                  </pic:blipFill>
                  <pic:spPr>
                    <a:xfrm>
                      <a:off x="0" y="0"/>
                      <a:ext cx="914400" cy="266700"/>
                    </a:xfrm>
                    <a:prstGeom prst="rect">
                      <a:avLst/>
                    </a:prstGeom>
                  </pic:spPr>
                </pic:pic>
              </a:graphicData>
            </a:graphic>
          </wp:anchor>
        </w:drawing>
      </w:r>
      <w:bookmarkEnd w:id="1505"/>
    </w:p>
    <w:p>
      <w:pPr>
        <w:pStyle w:val="Normal"/>
      </w:pPr>
      <w:r>
        <w:t>analyzing CPU</w:t>
        <w:t xml:space="preserve"> </w:t>
        <w:t>8</w:t>
        <w:t>:</w:t>
      </w:r>
    </w:p>
    <w:p>
      <w:pPr>
        <w:pStyle w:val="Para 03"/>
      </w:pPr>
      <w:r>
        <w:t>driver: amd-pstate-epp</w:t>
      </w:r>
    </w:p>
    <w:p>
      <w:pPr>
        <w:pStyle w:val="Para 03"/>
      </w:pPr>
      <w:r>
        <w:t>CPUs which run at the same hardware frequency:</w:t>
        <w:t xml:space="preserve"> </w:t>
        <w:t>8</w:t>
      </w:r>
    </w:p>
    <w:p>
      <w:pPr>
        <w:pStyle w:val="Para 03"/>
      </w:pPr>
      <w:r>
        <w:t>CPUs which need to have their frequency coordinated by software:</w:t>
        <w:t xml:space="preserve"> </w:t>
        <w:t>8</w:t>
      </w:r>
    </w:p>
    <w:p>
      <w:pPr>
        <w:pStyle w:val="Para 03"/>
      </w:pPr>
      <w:r>
        <w:t>energy performance preference: balance_performance</w:t>
      </w:r>
    </w:p>
    <w:p>
      <w:pPr>
        <w:pStyle w:val="Para 03"/>
      </w:pPr>
      <w:r>
        <w:t>hardware limits:</w:t>
        <w:t xml:space="preserve"> </w:t>
        <w:t>400</w:t>
        <w:t xml:space="preserve"> </w:t>
        <w:t>MHz -</w:t>
        <w:t>5</w:t>
        <w:t>.14 GHz</w:t>
      </w:r>
    </w:p>
    <w:p>
      <w:pPr>
        <w:pStyle w:val="Para 03"/>
      </w:pPr>
      <w:r>
        <w:t>available cpufreq governors: performance powersave</w:t>
      </w:r>
    </w:p>
    <w:p>
      <w:pPr>
        <w:pStyle w:val="Para 03"/>
      </w:pPr>
      <w:r>
        <w:t>current policy: frequency should be within</w:t>
        <w:t xml:space="preserve"> </w:t>
        <w:t>1</w:t>
        <w:t>.10 GHz and</w:t>
        <w:t xml:space="preserve"> </w:t>
        <w:t>5</w:t>
        <w:t>.14 GHz.</w:t>
      </w:r>
    </w:p>
    <w:p>
      <w:pPr>
        <w:pStyle w:val="Para 17"/>
      </w:pPr>
      <w:r>
        <w:t>The governor</w:t>
        <w:t xml:space="preserve"> </w:t>
        <w:t>"powersave"</w:t>
        <w:t xml:space="preserve"> </w:t>
        <w:t>may decide which speed to use</w:t>
        <w:t xml:space="preserve"> </w:t>
        <w:t>within this range.</w:t>
      </w:r>
    </w:p>
    <w:p>
      <w:pPr>
        <w:pStyle w:val="Para 03"/>
      </w:pPr>
      <w:r>
        <w:t>current CPU frequency:</w:t>
        <w:t xml:space="preserve"> </w:t>
        <w:t>2</w:t>
        <w:t>.63 GHz</w:t>
        <w:t xml:space="preserve"> </w:t>
        <w:t>(</w:t>
        <w:t>asserted by call to kernel</w:t>
        <w:t>)</w:t>
      </w:r>
    </w:p>
    <w:p>
      <w:pPr>
        <w:pStyle w:val="Para 03"/>
      </w:pPr>
      <w:r>
        <w:t>boost state support:</w:t>
      </w:r>
    </w:p>
    <w:p>
      <w:pPr>
        <w:pStyle w:val="Para 02"/>
      </w:pPr>
      <w:r>
        <w:t>Supported: yes</w:t>
      </w:r>
    </w:p>
    <w:p>
      <w:pPr>
        <w:pStyle w:val="Para 02"/>
      </w:pPr>
      <w:r>
        <w:t>Active: yes</w:t>
      </w:r>
    </w:p>
    <w:p>
      <w:pPr>
        <w:pStyle w:val="Para 03"/>
      </w:pPr>
      <w:r>
        <w:t>amd-pstate limits:</w:t>
      </w:r>
    </w:p>
    <w:p>
      <w:pPr>
        <w:pStyle w:val="Para 02"/>
      </w:pPr>
      <w:r>
        <w:t>Highest Performance:</w:t>
        <w:t xml:space="preserve"> </w:t>
        <w:t>196</w:t>
        <w:t>. Maximum Frequency:</w:t>
        <w:t xml:space="preserve"> </w:t>
        <w:t>5</w:t>
        <w:t>.14 GHz.</w:t>
        <w:t xml:space="preserve"> </w:t>
        <w:t>Nominal Performance:</w:t>
        <w:t xml:space="preserve"> </w:t>
        <w:t>145</w:t>
        <w:t>. Nominal Frequency:</w:t>
        <w:t xml:space="preserve"> </w:t>
        <w:t>3</w:t>
        <w:t>.80 GHz.</w:t>
        <w:t xml:space="preserve"> </w:t>
        <w:t>Lowest Non-linear Performance:</w:t>
        <w:t xml:space="preserve"> </w:t>
        <w:t>42</w:t>
        <w:t>. Lowest Non-linear Frequency:</w:t>
        <w:t xml:space="preserve"> </w:t>
        <w:t>1</w:t>
        <w:t>.10 GHz.</w:t>
        <w:t xml:space="preserve"> </w:t>
        <w:t>Lowest Performance:</w:t>
        <w:t xml:space="preserve"> </w:t>
        <w:t>16</w:t>
        <w:t>. Lowest Frequency:</w:t>
        <w:t xml:space="preserve"> </w:t>
        <w:t>400</w:t>
        <w:t xml:space="preserve"> </w:t>
        <w:t>MHz.</w:t>
        <w:t xml:space="preserve"> </w:t>
        <w:t>Preferred Core Support:</w:t>
        <w:t xml:space="preserve"> </w:t>
        <w:t>1</w:t>
        <w:t>. Preferred Core Ranking:</w:t>
        <w:t xml:space="preserve"> </w:t>
        <w:t>220</w:t>
        <w:t>.</w:t>
      </w:r>
    </w:p>
    <w:p>
      <w:pPr>
        <w:pStyle w:val="Para 17"/>
      </w:pPr>
      <w:r>
        <w:t/>
      </w:r>
    </w:p>
    <w:p>
      <w:pPr>
        <w:pStyle w:val="Normal"/>
      </w:pPr>
      <w:r>
        <w:t>By default this checks the CPU it is executed on. The argument-c can be set to either a number representing a core or all to get the info for all available CPUs.</w:t>
      </w:r>
    </w:p>
    <w:p>
      <w:pPr>
        <w:pStyle w:val="Para 17"/>
      </w:pPr>
      <w:r>
        <w:t/>
      </w:r>
    </w:p>
    <w:p>
      <w:pPr>
        <w:pStyle w:val="Para 01"/>
      </w:pPr>
      <w:r>
        <w:t>Get details about the idle states</w:t>
      </w:r>
    </w:p>
    <w:p>
      <w:pPr>
        <w:pStyle w:val="Para 17"/>
      </w:pPr>
      <w:r>
        <w:t/>
      </w:r>
    </w:p>
    <w:p>
      <w:pPr>
        <w:pStyle w:val="Normal"/>
      </w:pPr>
      <w:hyperlink r:id="rId1907">
        <w:r>
          <w:rPr>
            <w:rStyle w:val="Text1"/>
          </w:rPr>
          <w:t>Idle states</w:t>
        </w:r>
      </w:hyperlink>
      <w:hyperlink w:anchor="page_951">
        <w:r>
          <w:rPr>
            <w:rStyle w:val="Text9"/>
          </w:rPr>
          <w:t>1099</w:t>
        </w:r>
      </w:hyperlink>
      <w:r>
        <w:t xml:space="preserve"> represent situations when a CPU enters a state of suspension to save power. The tool cpupower idle-info reports about the available idle states, their description and attributes. These can be useful when debugging CPU performance if one is curious about the details of a given state after running cpupower monitor above.</w:t>
      </w:r>
    </w:p>
    <w:p>
      <w:pPr>
        <w:pStyle w:val="Normal"/>
      </w:pPr>
      <w:r>
        <w:t>Command:</w:t>
      </w:r>
    </w:p>
    <w:p>
      <w:pPr>
        <w:pStyle w:val="Normal"/>
      </w:pPr>
      <w:r>
        <w:t>cpupower idle-info</w:t>
      </w:r>
    </w:p>
    <w:p>
      <w:pPr>
        <w:pStyle w:val="Para 17"/>
      </w:pPr>
      <w:r>
        <w:t/>
      </w:r>
    </w:p>
    <w:p>
      <w:pPr>
        <w:pStyle w:val="Normal"/>
      </w:pPr>
      <w:r>
        <w:t>Output:</w:t>
      </w:r>
    </w:p>
    <w:p>
      <w:pPr>
        <w:pStyle w:val="Normal"/>
      </w:pPr>
      <w:r>
        <w:t>CPUidle driver: intel_idle</w:t>
      </w:r>
    </w:p>
    <w:p>
      <w:pPr>
        <w:pStyle w:val="Normal"/>
      </w:pPr>
      <w:r>
        <w:t>CPUidle governor: menu</w:t>
      </w:r>
    </w:p>
    <w:p>
      <w:pPr>
        <w:pStyle w:val="Normal"/>
      </w:pPr>
      <w:r>
        <w:t>analyzing CPU</w:t>
        <w:t xml:space="preserve"> </w:t>
        <w:t>0</w:t>
        <w:t>:</w:t>
      </w:r>
    </w:p>
    <w:p>
      <w:pPr>
        <w:pStyle w:val="Normal"/>
      </w:pPr>
      <w:r>
        <w:t>Number of idle states:</w:t>
        <w:t xml:space="preserve"> </w:t>
        <w:t>9</w:t>
      </w:r>
    </w:p>
    <w:p>
      <w:pPr>
        <w:pStyle w:val="Normal"/>
      </w:pPr>
      <w:r>
        <w:t>Available idle states: POLL C1 C1E C3 C6 C7s C8 C9 C10</w:t>
        <w:t xml:space="preserve"> </w:t>
        <w:t>POLL:</w:t>
      </w:r>
    </w:p>
    <w:p>
      <w:pPr>
        <w:pStyle w:val="Normal"/>
      </w:pPr>
      <w:r>
        <w:t>Flags/Description: CPUIDLE CORE POLL IDLE</w:t>
      </w:r>
    </w:p>
    <w:p>
      <w:pPr>
        <w:pStyle w:val="Normal"/>
      </w:pPr>
      <w:r>
        <w:t>Latency:</w:t>
        <w:t xml:space="preserve"> </w:t>
        <w:t>0</w:t>
      </w:r>
    </w:p>
    <w:p>
      <w:pPr>
        <w:pStyle w:val="Normal"/>
      </w:pPr>
      <w:r>
        <w:t>Usage:</w:t>
        <w:t xml:space="preserve"> </w:t>
        <w:t>26053898</w:t>
      </w:r>
    </w:p>
    <w:p>
      <w:pPr>
        <w:pStyle w:val="Normal"/>
      </w:pPr>
      <w:r>
        <w:t>Duration:</w:t>
        <w:t xml:space="preserve"> </w:t>
        <w:t>695768311</w:t>
      </w:r>
    </w:p>
    <w:p>
      <w:pPr>
        <w:pStyle w:val="Normal"/>
      </w:pPr>
      <w:r>
        <w:t>C1:</w:t>
      </w:r>
    </w:p>
    <w:p>
      <w:pPr>
        <w:pStyle w:val="Normal"/>
      </w:pPr>
      <w:r>
        <w:t>Flags/Description: MWAIT 0x00</w:t>
      </w:r>
    </w:p>
    <w:p>
      <w:pPr>
        <w:pStyle w:val="Normal"/>
      </w:pPr>
      <w:r>
        <w:t>Latency:</w:t>
        <w:t xml:space="preserve"> </w:t>
        <w:t>2</w:t>
      </w:r>
    </w:p>
    <w:p>
      <w:pPr>
        <w:pStyle w:val="Normal"/>
      </w:pPr>
      <w:r>
        <w:t>Usage:</w:t>
        <w:t xml:space="preserve"> </w:t>
        <w:t>263751626</w:t>
      </w:r>
    </w:p>
    <w:p>
      <w:pPr>
        <w:pStyle w:val="Normal"/>
      </w:pPr>
      <w:r>
        <w:t>Duration:</w:t>
        <w:t xml:space="preserve"> </w:t>
        <w:t>21296361635</w:t>
      </w:r>
    </w:p>
    <w:p>
      <w:pPr>
        <w:pStyle w:val="Para 09"/>
      </w:pPr>
      <w:r>
        <w:t>(continues on next page)</w:t>
      </w:r>
    </w:p>
    <w:p>
      <w:pPr>
        <w:pStyle w:val="Para 16"/>
      </w:pPr>
      <w:r>
        <w:rPr>
          <w:rStyle w:val="Text5"/>
        </w:rPr>
        <w:t>1099</w:t>
      </w:r>
      <w:r>
        <w:rPr>
          <w:rStyle w:val="Text8"/>
        </w:rPr>
        <w:t xml:space="preserve"> </w:t>
      </w:r>
      <w:r>
        <w:t>https://docs.kernel.org/admin-guide/pm/cpuidle.html</w:t>
      </w:r>
    </w:p>
    <w:p>
      <w:bookmarkStart w:id="1506" w:name="page_9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3" name="index-952_1.png" descr="index-952_1.png"/>
            <wp:cNvGraphicFramePr>
              <a:graphicFrameLocks noChangeAspect="1"/>
            </wp:cNvGraphicFramePr>
            <a:graphic>
              <a:graphicData uri="http://schemas.openxmlformats.org/drawingml/2006/picture">
                <pic:pic>
                  <pic:nvPicPr>
                    <pic:cNvPr id="0" name="index-952_1.png" descr="index-952_1.png"/>
                    <pic:cNvPicPr/>
                  </pic:nvPicPr>
                  <pic:blipFill>
                    <a:blip r:embed="rId997"/>
                    <a:stretch>
                      <a:fillRect/>
                    </a:stretch>
                  </pic:blipFill>
                  <pic:spPr>
                    <a:xfrm>
                      <a:off x="0" y="0"/>
                      <a:ext cx="914400" cy="266700"/>
                    </a:xfrm>
                    <a:prstGeom prst="rect">
                      <a:avLst/>
                    </a:prstGeom>
                  </pic:spPr>
                </pic:pic>
              </a:graphicData>
            </a:graphic>
          </wp:anchor>
        </w:drawing>
      </w:r>
      <w:bookmarkEnd w:id="1506"/>
    </w:p>
    <w:p>
      <w:pPr>
        <w:pStyle w:val="Para 09"/>
      </w:pPr>
      <w:r>
        <w:t>(continued from previous page)</w:t>
      </w:r>
    </w:p>
    <w:p>
      <w:pPr>
        <w:pStyle w:val="Normal"/>
      </w:pPr>
      <w:r>
        <w:t>C1E:</w:t>
      </w:r>
    </w:p>
    <w:p>
      <w:pPr>
        <w:pStyle w:val="Normal"/>
      </w:pPr>
      <w:r>
        <w:t>Flags/Description: MWAIT 0x01</w:t>
      </w:r>
    </w:p>
    <w:p>
      <w:pPr>
        <w:pStyle w:val="Normal"/>
      </w:pPr>
      <w:r>
        <w:t>Latency:</w:t>
        <w:t xml:space="preserve"> </w:t>
        <w:t>10</w:t>
      </w:r>
    </w:p>
    <w:p>
      <w:pPr>
        <w:pStyle w:val="Normal"/>
      </w:pPr>
      <w:r>
        <w:t>Usage:</w:t>
        <w:t xml:space="preserve"> </w:t>
        <w:t>1071864698</w:t>
      </w:r>
    </w:p>
    <w:p>
      <w:pPr>
        <w:pStyle w:val="Normal"/>
      </w:pPr>
      <w:r>
        <w:t>Duration:</w:t>
        <w:t xml:space="preserve"> </w:t>
        <w:t>122465703132</w:t>
      </w:r>
    </w:p>
    <w:p>
      <w:pPr>
        <w:pStyle w:val="Normal"/>
      </w:pPr>
      <w:r>
        <w:t>C3:</w:t>
      </w:r>
    </w:p>
    <w:p>
      <w:pPr>
        <w:pStyle w:val="Normal"/>
      </w:pPr>
      <w:r>
        <w:t>Flags/Description: MWAIT 0x10</w:t>
      </w:r>
    </w:p>
    <w:p>
      <w:pPr>
        <w:pStyle w:val="Normal"/>
      </w:pPr>
      <w:r>
        <w:t>Latency:</w:t>
        <w:t xml:space="preserve"> </w:t>
        <w:t>70</w:t>
      </w:r>
    </w:p>
    <w:p>
      <w:pPr>
        <w:pStyle w:val="Normal"/>
      </w:pPr>
      <w:r>
        <w:t>Usage:</w:t>
        <w:t xml:space="preserve"> </w:t>
        <w:t>941753727</w:t>
      </w:r>
    </w:p>
    <w:p>
      <w:pPr>
        <w:pStyle w:val="Normal"/>
      </w:pPr>
      <w:r>
        <w:t>Duration:</w:t>
        <w:t xml:space="preserve"> </w:t>
        <w:t>117177626397</w:t>
      </w:r>
    </w:p>
    <w:p>
      <w:pPr>
        <w:pStyle w:val="Normal"/>
      </w:pPr>
      <w:r>
        <w:t>C6:</w:t>
      </w:r>
    </w:p>
    <w:p>
      <w:pPr>
        <w:pStyle w:val="Normal"/>
      </w:pPr>
      <w:r>
        <w:t>Flags/Description: MWAIT 0x20</w:t>
      </w:r>
    </w:p>
    <w:p>
      <w:pPr>
        <w:pStyle w:val="Normal"/>
      </w:pPr>
      <w:r>
        <w:t>Latency:</w:t>
        <w:t xml:space="preserve"> </w:t>
        <w:t>85</w:t>
      </w:r>
    </w:p>
    <w:p>
      <w:pPr>
        <w:pStyle w:val="Normal"/>
      </w:pPr>
      <w:r>
        <w:t>Usage:</w:t>
        <w:t xml:space="preserve"> </w:t>
        <w:t>2580936435</w:t>
      </w:r>
    </w:p>
    <w:p>
      <w:pPr>
        <w:pStyle w:val="Normal"/>
      </w:pPr>
      <w:r>
        <w:t>Duration:</w:t>
        <w:t xml:space="preserve"> </w:t>
        <w:t>1258804567087</w:t>
      </w:r>
    </w:p>
    <w:p>
      <w:pPr>
        <w:pStyle w:val="Normal"/>
      </w:pPr>
      <w:r>
        <w:t>C7s:</w:t>
      </w:r>
    </w:p>
    <w:p>
      <w:pPr>
        <w:pStyle w:val="Normal"/>
      </w:pPr>
      <w:r>
        <w:t>Flags/Description: MWAIT 0x33</w:t>
      </w:r>
    </w:p>
    <w:p>
      <w:pPr>
        <w:pStyle w:val="Normal"/>
      </w:pPr>
      <w:r>
        <w:t>Latency:</w:t>
        <w:t xml:space="preserve"> </w:t>
        <w:t>124</w:t>
      </w:r>
    </w:p>
    <w:p>
      <w:pPr>
        <w:pStyle w:val="Normal"/>
      </w:pPr>
      <w:r>
        <w:t>Usage:</w:t>
        <w:t xml:space="preserve"> </w:t>
        <w:t>2946723</w:t>
      </w:r>
    </w:p>
    <w:p>
      <w:pPr>
        <w:pStyle w:val="Normal"/>
      </w:pPr>
      <w:r>
        <w:t>Duration:</w:t>
        <w:t xml:space="preserve"> </w:t>
        <w:t>1783856599</w:t>
      </w:r>
    </w:p>
    <w:p>
      <w:pPr>
        <w:pStyle w:val="Normal"/>
      </w:pPr>
      <w:r>
        <w:t>C8:</w:t>
      </w:r>
    </w:p>
    <w:p>
      <w:pPr>
        <w:pStyle w:val="Normal"/>
      </w:pPr>
      <w:r>
        <w:t>Flags/Description: MWAIT 0x40</w:t>
      </w:r>
    </w:p>
    <w:p>
      <w:pPr>
        <w:pStyle w:val="Normal"/>
      </w:pPr>
      <w:r>
        <w:t>Latency:</w:t>
        <w:t xml:space="preserve"> </w:t>
        <w:t>200</w:t>
      </w:r>
    </w:p>
    <w:p>
      <w:pPr>
        <w:pStyle w:val="Normal"/>
      </w:pPr>
      <w:r>
        <w:t>Usage:</w:t>
        <w:t xml:space="preserve"> </w:t>
        <w:t>1580297534</w:t>
      </w:r>
    </w:p>
    <w:p>
      <w:pPr>
        <w:pStyle w:val="Normal"/>
      </w:pPr>
      <w:r>
        <w:t>Duration:</w:t>
        <w:t xml:space="preserve"> </w:t>
        <w:t>1234136981613</w:t>
      </w:r>
    </w:p>
    <w:p>
      <w:pPr>
        <w:pStyle w:val="Normal"/>
      </w:pPr>
      <w:r>
        <w:t>C9:</w:t>
      </w:r>
    </w:p>
    <w:p>
      <w:pPr>
        <w:pStyle w:val="Normal"/>
      </w:pPr>
      <w:r>
        <w:t>Flags/Description: MWAIT 0x50</w:t>
      </w:r>
    </w:p>
    <w:p>
      <w:pPr>
        <w:pStyle w:val="Normal"/>
      </w:pPr>
      <w:r>
        <w:t>Latency:</w:t>
        <w:t xml:space="preserve"> </w:t>
        <w:t>480</w:t>
      </w:r>
    </w:p>
    <w:p>
      <w:pPr>
        <w:pStyle w:val="Normal"/>
      </w:pPr>
      <w:r>
        <w:t>Usage:</w:t>
        <w:t xml:space="preserve"> </w:t>
        <w:t>2015405</w:t>
      </w:r>
    </w:p>
    <w:p>
      <w:pPr>
        <w:pStyle w:val="Normal"/>
      </w:pPr>
      <w:r>
        <w:t>Duration:</w:t>
        <w:t xml:space="preserve"> </w:t>
        <w:t>3198208930</w:t>
      </w:r>
    </w:p>
    <w:p>
      <w:pPr>
        <w:pStyle w:val="Normal"/>
      </w:pPr>
      <w:r>
        <w:t>C10:</w:t>
      </w:r>
    </w:p>
    <w:p>
      <w:pPr>
        <w:pStyle w:val="Normal"/>
      </w:pPr>
      <w:r>
        <w:t>Flags/Description: MWAIT 0x60</w:t>
      </w:r>
    </w:p>
    <w:p>
      <w:pPr>
        <w:pStyle w:val="Normal"/>
      </w:pPr>
      <w:r>
        <w:t>Latency:</w:t>
        <w:t xml:space="preserve"> </w:t>
        <w:t>890</w:t>
      </w:r>
    </w:p>
    <w:p>
      <w:pPr>
        <w:pStyle w:val="Normal"/>
      </w:pPr>
      <w:r>
        <w:t>Usage:</w:t>
        <w:t xml:space="preserve"> </w:t>
        <w:t>511786893</w:t>
      </w:r>
    </w:p>
    <w:p>
      <w:pPr>
        <w:pStyle w:val="Normal"/>
      </w:pPr>
      <w:r>
        <w:t>Duration:</w:t>
        <w:t xml:space="preserve"> </w:t>
        <w:t>1546264384800</w:t>
      </w:r>
    </w:p>
    <w:p>
      <w:pPr>
        <w:pStyle w:val="Para 17"/>
      </w:pPr>
      <w:r>
        <w:t/>
      </w:r>
    </w:p>
    <w:p>
      <w:pPr>
        <w:pStyle w:val="Normal"/>
      </w:pPr>
      <w:r>
        <w:t xml:space="preserve">After reading a bit (much more in the </w:t>
      </w:r>
      <w:r>
        <w:rPr>
          <w:rStyle w:val="Text3"/>
        </w:rPr>
        <w:t>Further reading</w:t>
      </w:r>
      <w:r>
        <w:t xml:space="preserve"> section) into C-states, P-states and Idle states we can also re-run cpupower monitor without filtering as now the further columns can be related to the above output.</w:t>
      </w:r>
    </w:p>
    <w:p>
      <w:pPr>
        <w:pStyle w:val="Normal"/>
      </w:pPr>
      <w:r>
        <w:t>Command:</w:t>
      </w:r>
    </w:p>
    <w:p>
      <w:pPr>
        <w:pStyle w:val="Normal"/>
      </w:pPr>
      <w:r>
        <w:t>sudo cpupower monitor</w:t>
      </w:r>
    </w:p>
    <w:p>
      <w:pPr>
        <w:pStyle w:val="Para 17"/>
      </w:pPr>
      <w:r>
        <w:t/>
      </w:r>
    </w:p>
    <w:p>
      <w:pPr>
        <w:pStyle w:val="Normal"/>
      </w:pPr>
      <w:r>
        <w:t>Output:</w:t>
      </w:r>
    </w:p>
    <w:p>
      <w:pPr>
        <w:pStyle w:val="Para 02"/>
      </w:pPr>
      <w:r>
        <w:t>| Nehalem</w:t>
        <w:t xml:space="preserve"> </w:t>
        <w:t>||</w:t>
        <w:t xml:space="preserve"> </w:t>
        <w:t>Mperf</w:t>
        <w:t xml:space="preserve"> </w:t>
        <w:t>||</w:t>
        <w:t xml:space="preserve"> </w:t>
        <w:t>RAPL</w:t>
        <w:t xml:space="preserve"> </w:t>
        <w:t>||</w:t>
      </w:r>
    </w:p>
    <w:p>
      <w:pPr>
        <w:pStyle w:val="Normal"/>
      </w:pPr>
      <w:r>
        <w:t>Idle_Stats</w:t>
      </w:r>
    </w:p>
    <w:p>
      <w:pPr>
        <w:pStyle w:val="Para 17"/>
      </w:pPr>
      <w:r>
        <w:t>CPU| C3</w:t>
        <w:t xml:space="preserve"> </w:t>
        <w:t>| C6</w:t>
        <w:t xml:space="preserve"> </w:t>
        <w:t>| PC3</w:t>
        <w:t xml:space="preserve"> </w:t>
        <w:t>| PC6</w:t>
        <w:t xml:space="preserve"> </w:t>
        <w:t>||</w:t>
        <w:t xml:space="preserve"> </w:t>
        <w:t>C0</w:t>
        <w:t xml:space="preserve"> </w:t>
        <w:t>| Cx</w:t>
        <w:t xml:space="preserve"> </w:t>
        <w:t>| Freq</w:t>
        <w:t xml:space="preserve"> </w:t>
        <w:t>||</w:t>
        <w:t xml:space="preserve"> </w:t>
        <w:t>pack | dram | core | unco</w:t>
        <w:t xml:space="preserve"> </w:t>
        <w:t>||</w:t>
      </w:r>
    </w:p>
    <w:p>
      <w:pPr>
        <w:pStyle w:val="Normal"/>
      </w:pPr>
      <w:r>
        <w:t>POLL | C1</w:t>
        <w:t xml:space="preserve"> </w:t>
        <w:t>| C1E</w:t>
        <w:t xml:space="preserve"> </w:t>
        <w:t>| C3</w:t>
        <w:t xml:space="preserve"> </w:t>
        <w:t>| C6</w:t>
        <w:t xml:space="preserve"> </w:t>
        <w:t>| C7s</w:t>
        <w:t xml:space="preserve"> </w:t>
        <w:t>| C8</w:t>
        <w:t xml:space="preserve"> </w:t>
        <w:t>| C9</w:t>
        <w:t xml:space="preserve"> </w:t>
        <w:t>| C10</w:t>
      </w:r>
    </w:p>
    <w:p>
      <w:pPr>
        <w:pStyle w:val="Para 04"/>
      </w:pPr>
      <w:r>
        <w:t>0</w:t>
        <w:t>|</w:t>
        <w:t xml:space="preserve"> </w:t>
        <w:t>2</w:t>
        <w:t>,99|</w:t>
        <w:t xml:space="preserve"> </w:t>
        <w:t>11</w:t>
        <w:t>,92|</w:t>
        <w:t xml:space="preserve"> </w:t>
        <w:t>0</w:t>
        <w:t>,00|</w:t>
        <w:t xml:space="preserve"> </w:t>
        <w:t>0</w:t>
        <w:t>,00</w:t>
        <w:t>||</w:t>
        <w:t xml:space="preserve"> </w:t>
        <w:t>70</w:t>
        <w:t>,98|</w:t>
        <w:t xml:space="preserve"> </w:t>
        <w:t>29</w:t>
        <w:t>,02|</w:t>
        <w:t xml:space="preserve"> </w:t>
        <w:t>1991</w:t>
        <w:t>||</w:t>
        <w:t>13733058</w:t>
        <w:t>|</w:t>
        <w:t>2706597</w:t>
        <w:t>|</w:t>
        <w:t>7438396</w:t>
        <w:t>|</w:t>
        <w:t>3080986</w:t>
        <w:t>||</w:t>
        <w:t xml:space="preserve"> </w:t>
        <w:t>0</w:t>
        <w:t>,05|</w:t>
        <w:t xml:space="preserve"> </w:t>
        <w:t>1</w:t>
        <w:t>,84|</w:t>
        <w:t xml:space="preserve"> </w:t>
        <w:t>5</w:t>
        <w:t>,01|</w:t>
        <w:t xml:space="preserve"> </w:t>
        <w:t>3</w:t>
        <w:t>,87|</w:t>
        <w:t xml:space="preserve"> </w:t>
        <w:t>14</w:t>
        <w:t>,05|</w:t>
        <w:t xml:space="preserve"> </w:t>
        <w:t>0</w:t>
        <w:t>,06|</w:t>
        <w:t xml:space="preserve"> </w:t>
        <w:t>3</w:t>
        <w:t>,81|</w:t>
        <w:t xml:space="preserve"> </w:t>
        <w:t>0</w:t>
        <w:t>,00|</w:t>
        <w:t xml:space="preserve"> </w:t>
        <w:t>0</w:t>
        <w:t>,04</w:t>
      </w:r>
    </w:p>
    <w:p>
      <w:pPr>
        <w:pStyle w:val="Para 04"/>
      </w:pPr>
      <w:r>
        <w:t>1</w:t>
        <w:t>|</w:t>
        <w:t xml:space="preserve"> </w:t>
        <w:t>3</w:t>
        <w:t>,58|</w:t>
        <w:t xml:space="preserve"> </w:t>
        <w:t>14</w:t>
        <w:t>,84|</w:t>
        <w:t xml:space="preserve"> </w:t>
        <w:t>0</w:t>
        <w:t>,00|</w:t>
        <w:t xml:space="preserve"> </w:t>
        <w:t>0</w:t>
        <w:t>,00</w:t>
        <w:t>||</w:t>
        <w:t xml:space="preserve"> </w:t>
        <w:t>67</w:t>
        <w:t>,65|</w:t>
        <w:t xml:space="preserve"> </w:t>
        <w:t>32</w:t>
        <w:t>,35|</w:t>
        <w:t xml:space="preserve"> </w:t>
        <w:t>1991</w:t>
        <w:t>||</w:t>
        <w:t>13733058</w:t>
        <w:t>|</w:t>
        <w:t>2706597</w:t>
        <w:t>|</w:t>
        <w:t>7438396</w:t>
        <w:t>|</w:t>
        <w:t>3080986</w:t>
        <w:t>||</w:t>
        <w:t xml:space="preserve"> </w:t>
        <w:t>0</w:t>
        <w:t>,07|</w:t>
        <w:t xml:space="preserve"> </w:t>
        <w:t>1</w:t>
        <w:t>,87|</w:t>
        <w:t xml:space="preserve"> </w:t>
        <w:t>5</w:t>
        <w:t>,42|</w:t>
        <w:t xml:space="preserve"> </w:t>
        <w:t>4</w:t>
        <w:t>,46|</w:t>
        <w:t xml:space="preserve"> </w:t>
        <w:t>17</w:t>
        <w:t>,21|</w:t>
        <w:t xml:space="preserve"> </w:t>
        <w:t>0</w:t>
        <w:t>,36|</w:t>
        <w:t xml:space="preserve"> </w:t>
        <w:t>2</w:t>
        <w:t>,73|</w:t>
        <w:t xml:space="preserve"> </w:t>
        <w:t>0</w:t>
        <w:t>,00|</w:t>
        <w:t xml:space="preserve"> </w:t>
        <w:t>0</w:t>
        <w:t>,00</w:t>
      </w:r>
    </w:p>
    <w:p>
      <w:pPr>
        <w:pStyle w:val="Para 04"/>
      </w:pPr>
      <w:r>
        <w:t>2</w:t>
        <w:t>|</w:t>
        <w:t xml:space="preserve"> </w:t>
        <w:t>3</w:t>
        <w:t>,99|</w:t>
        <w:t xml:space="preserve"> </w:t>
        <w:t>7</w:t>
        <w:t>,15|</w:t>
        <w:t xml:space="preserve"> </w:t>
        <w:t>0</w:t>
        <w:t>,00|</w:t>
        <w:t xml:space="preserve"> </w:t>
        <w:t>0</w:t>
        <w:t>,00</w:t>
        <w:t>||</w:t>
        <w:t xml:space="preserve"> </w:t>
        <w:t>73</w:t>
        <w:t>,25|</w:t>
        <w:t xml:space="preserve"> </w:t>
        <w:t>26</w:t>
        <w:t>,75|</w:t>
        <w:t xml:space="preserve"> </w:t>
        <w:t>1990</w:t>
        <w:t>||</w:t>
        <w:t>13733058</w:t>
        <w:t>|</w:t>
        <w:t>2706597</w:t>
        <w:t>|</w:t>
        <w:t>7438396</w:t>
        <w:t>|</w:t>
        <w:t>3080986</w:t>
        <w:t>||</w:t>
        <w:t xml:space="preserve"> </w:t>
        <w:t>0</w:t>
        <w:t>,09|</w:t>
        <w:t xml:space="preserve"> </w:t>
        <w:t>1</w:t>
        <w:t>,95|</w:t>
        <w:t xml:space="preserve"> </w:t>
        <w:t>8</w:t>
        <w:t>,76|</w:t>
        <w:t xml:space="preserve"> </w:t>
        <w:t>5</w:t>
        <w:t>,20|</w:t>
        <w:t xml:space="preserve"> </w:t>
        <w:t>9</w:t>
        <w:t>,44|</w:t>
        <w:t xml:space="preserve"> </w:t>
        <w:t>0</w:t>
        <w:t>,01|</w:t>
        <w:t xml:space="preserve"> </w:t>
        <w:t>1</w:t>
        <w:t>,12|</w:t>
        <w:t xml:space="preserve"> </w:t>
        <w:t>0</w:t>
        <w:t>,04|</w:t>
        <w:t xml:space="preserve"> </w:t>
        <w:t>0</w:t>
        <w:t>,00</w:t>
      </w:r>
    </w:p>
    <w:p>
      <w:pPr>
        <w:pStyle w:val="Para 09"/>
      </w:pPr>
      <w:r>
        <w:t>(continues on next page)</w:t>
      </w:r>
    </w:p>
    <w:p>
      <w:bookmarkStart w:id="1507" w:name="page_9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4" name="index-953_1.png" descr="index-953_1.png"/>
            <wp:cNvGraphicFramePr>
              <a:graphicFrameLocks noChangeAspect="1"/>
            </wp:cNvGraphicFramePr>
            <a:graphic>
              <a:graphicData uri="http://schemas.openxmlformats.org/drawingml/2006/picture">
                <pic:pic>
                  <pic:nvPicPr>
                    <pic:cNvPr id="0" name="index-953_1.png" descr="index-953_1.png"/>
                    <pic:cNvPicPr/>
                  </pic:nvPicPr>
                  <pic:blipFill>
                    <a:blip r:embed="rId998"/>
                    <a:stretch>
                      <a:fillRect/>
                    </a:stretch>
                  </pic:blipFill>
                  <pic:spPr>
                    <a:xfrm>
                      <a:off x="0" y="0"/>
                      <a:ext cx="914400" cy="266700"/>
                    </a:xfrm>
                    <a:prstGeom prst="rect">
                      <a:avLst/>
                    </a:prstGeom>
                  </pic:spPr>
                </pic:pic>
              </a:graphicData>
            </a:graphic>
          </wp:anchor>
        </w:drawing>
      </w:r>
      <w:bookmarkEnd w:id="1507"/>
    </w:p>
    <w:p>
      <w:pPr>
        <w:pStyle w:val="Para 09"/>
      </w:pPr>
      <w:r>
        <w:t>(continued from previous page)</w:t>
      </w:r>
    </w:p>
    <w:p>
      <w:pPr>
        <w:pStyle w:val="Para 02"/>
      </w:pPr>
      <w:r>
        <w:t>3</w:t>
        <w:t>|</w:t>
        <w:t xml:space="preserve"> </w:t>
        <w:t>3</w:t>
        <w:t>,86|</w:t>
        <w:t xml:space="preserve"> </w:t>
        <w:t>13</w:t>
        <w:t>,68|</w:t>
        <w:t xml:space="preserve"> </w:t>
        <w:t>0</w:t>
        <w:t>,00|</w:t>
        <w:t xml:space="preserve"> </w:t>
        <w:t>0</w:t>
        <w:t>,00</w:t>
        <w:t>||</w:t>
        <w:t xml:space="preserve"> </w:t>
        <w:t>68</w:t>
        <w:t>,40|</w:t>
        <w:t xml:space="preserve"> </w:t>
        <w:t>31</w:t>
        <w:t>,60|</w:t>
        <w:t xml:space="preserve"> </w:t>
        <w:t>1990</w:t>
        <w:t>||</w:t>
        <w:t>13733058</w:t>
        <w:t>|</w:t>
        <w:t>2706597</w:t>
        <w:t>|</w:t>
        <w:t>7438396</w:t>
        <w:t>|</w:t>
        <w:t>3080986</w:t>
        <w:t>||</w:t>
      </w:r>
    </w:p>
    <w:p>
      <w:pPr>
        <w:pStyle w:val="Normal"/>
      </w:pPr>
      <w:r>
        <w:t>0</w:t>
        <w:t>,03|</w:t>
        <w:t xml:space="preserve"> </w:t>
        <w:t>2</w:t>
        <w:t>,52|</w:t>
        <w:t xml:space="preserve"> </w:t>
        <w:t>6</w:t>
        <w:t>,35|</w:t>
        <w:t xml:space="preserve"> </w:t>
        <w:t>4</w:t>
        <w:t>,92|</w:t>
        <w:t xml:space="preserve"> </w:t>
        <w:t>15</w:t>
        <w:t>,97|</w:t>
        <w:t xml:space="preserve"> </w:t>
        <w:t>0</w:t>
        <w:t>,00|</w:t>
        <w:t xml:space="preserve"> </w:t>
        <w:t>1</w:t>
        <w:t>,52|</w:t>
        <w:t xml:space="preserve"> </w:t>
        <w:t>0</w:t>
        <w:t>,00|</w:t>
        <w:t xml:space="preserve"> </w:t>
        <w:t>0</w:t>
        <w:t>,00</w:t>
      </w:r>
    </w:p>
    <w:p>
      <w:pPr>
        <w:pStyle w:val="Para 17"/>
      </w:pPr>
      <w:r>
        <w:t/>
      </w:r>
    </w:p>
    <w:p>
      <w:pPr>
        <w:pStyle w:val="Para 01"/>
      </w:pPr>
      <w:r>
        <w:t>What should I do with all of this?</w:t>
      </w:r>
    </w:p>
    <w:p>
      <w:pPr>
        <w:pStyle w:val="Para 17"/>
      </w:pPr>
      <w:r>
        <w:t/>
      </w:r>
    </w:p>
    <w:p>
      <w:pPr>
        <w:pStyle w:val="Normal"/>
      </w:pPr>
      <w:r>
        <w:t xml:space="preserve">All this information is usually only </w:t>
      </w:r>
      <w:r>
        <w:rPr>
          <w:rStyle w:val="Text3"/>
        </w:rPr>
        <w:t>data</w:t>
      </w:r>
      <w:r>
        <w:t xml:space="preserve"> without any insight until you either:</w:t>
      </w:r>
    </w:p>
    <w:p>
      <w:pPr>
        <w:pStyle w:val="Para 04"/>
      </w:pPr>
      <w:r>
        <w:t>• compare them with historical data (it is generally recommended to gather performance</w:t>
      </w:r>
    </w:p>
    <w:p>
      <w:pPr>
        <w:pStyle w:val="Para 02"/>
      </w:pPr>
      <w:r>
        <w:t>and power metrics regularly to be able to compare them to the healthy state in case of any debugging scenario), or</w:t>
      </w:r>
    </w:p>
    <w:p>
      <w:pPr>
        <w:pStyle w:val="Para 04"/>
      </w:pPr>
      <w:r>
        <w:t>• compare them with your expectations and act on any mismatch</w:t>
      </w:r>
    </w:p>
    <w:p>
      <w:pPr>
        <w:pStyle w:val="Para 17"/>
      </w:pPr>
      <w:r>
        <w:t/>
      </w:r>
    </w:p>
    <w:p>
      <w:pPr>
        <w:pStyle w:val="Para 01"/>
      </w:pPr>
      <w:r>
        <w:t>Does it match what you expect?</w:t>
      </w:r>
    </w:p>
    <w:p>
      <w:pPr>
        <w:pStyle w:val="Para 17"/>
      </w:pPr>
      <w:r>
        <w:t/>
      </w:r>
    </w:p>
    <w:p>
      <w:pPr>
        <w:pStyle w:val="Normal"/>
      </w:pPr>
      <w:r>
        <w:t>One might have expectations about the behavior of a system. Examples are:</w:t>
      </w:r>
    </w:p>
    <w:p>
      <w:pPr>
        <w:pStyle w:val="Para 04"/>
      </w:pPr>
      <w:r>
        <w:t>• I’m not doing much – it should be idling most of the time</w:t>
      </w:r>
    </w:p>
    <w:p>
      <w:pPr>
        <w:pStyle w:val="Para 04"/>
      </w:pPr>
      <w:r>
        <w:t>• I have a very busy workload, I expect it to run at highest frequency</w:t>
      </w:r>
    </w:p>
    <w:p>
      <w:pPr>
        <w:pStyle w:val="Para 04"/>
      </w:pPr>
      <w:r>
        <w:t>• I do not expect my workload to allow the system to go into low power states</w:t>
      </w:r>
    </w:p>
    <w:p>
      <w:pPr>
        <w:pStyle w:val="Normal"/>
      </w:pPr>
      <w:r>
        <w:t>You can hold any of these assumptions against the output of cpupower monitor and verify that they are true. If they are not, use cpupower frequency-info to check if the current constraints match what you think. And use cpupower frequency-set (below) to set a different governor if needed.</w:t>
      </w:r>
    </w:p>
    <w:p>
      <w:pPr>
        <w:pStyle w:val="Para 17"/>
      </w:pPr>
      <w:r>
        <w:t/>
      </w:r>
    </w:p>
    <w:p>
      <w:pPr>
        <w:pStyle w:val="Para 01"/>
      </w:pPr>
      <w:r>
        <w:t>Control the CPU governors and CPU frequency</w:t>
      </w:r>
    </w:p>
    <w:p>
      <w:pPr>
        <w:pStyle w:val="Para 17"/>
      </w:pPr>
      <w:r>
        <w:t/>
      </w:r>
    </w:p>
    <w:p>
      <w:pPr>
        <w:pStyle w:val="Normal"/>
      </w:pPr>
      <w:r>
        <w:t>An administrator can execute the cpupower command to set the CPU governor.</w:t>
      </w:r>
    </w:p>
    <w:p>
      <w:pPr>
        <w:pStyle w:val="Normal"/>
      </w:pPr>
      <w:r>
        <w:t>Command (set the CPU governor to performance mode on all CPUs):</w:t>
      </w:r>
    </w:p>
    <w:p>
      <w:pPr>
        <w:pStyle w:val="Normal"/>
      </w:pPr>
      <w:r>
        <w:t>cpupower frequency-set -g performance</w:t>
      </w:r>
    </w:p>
    <w:p>
      <w:pPr>
        <w:pStyle w:val="Para 17"/>
      </w:pPr>
      <w:r>
        <w:t/>
      </w:r>
    </w:p>
    <w:p>
      <w:pPr>
        <w:pStyle w:val="Normal"/>
      </w:pPr>
      <w:r>
        <w:t>Since all commands of cpupower can be for a sub-set of CPUs, one can use-c here as well if that matches what is needed for more complex scenarios.</w:t>
      </w:r>
    </w:p>
    <w:p>
      <w:pPr>
        <w:pStyle w:val="Normal"/>
      </w:pPr>
      <w:r>
        <w:t>Command (Set conservative on the first 8 cores in a system):</w:t>
      </w:r>
    </w:p>
    <w:p>
      <w:pPr>
        <w:pStyle w:val="Normal"/>
      </w:pPr>
      <w:r>
        <w:t>cpupower -c</w:t>
        <w:t xml:space="preserve"> </w:t>
        <w:t>0</w:t>
        <w:t>-7 frequency-set -g conservative</w:t>
      </w:r>
    </w:p>
    <w:p>
      <w:bookmarkStart w:id="1508" w:name="calibre_pb_277"/>
      <w:pPr>
        <w:pStyle w:val="0 Block"/>
      </w:pPr>
      <w:bookmarkEnd w:id="1508"/>
    </w:p>
    <w:p>
      <w:bookmarkStart w:id="1509" w:name="page_954"/>
      <w:bookmarkStart w:id="1510" w:name="Top_of_index_split_27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5" name="index-954_1.png" descr="index-954_1.png"/>
            <wp:cNvGraphicFramePr>
              <a:graphicFrameLocks noChangeAspect="1"/>
            </wp:cNvGraphicFramePr>
            <a:graphic>
              <a:graphicData uri="http://schemas.openxmlformats.org/drawingml/2006/picture">
                <pic:pic>
                  <pic:nvPicPr>
                    <pic:cNvPr id="0" name="index-954_1.png" descr="index-954_1.png"/>
                    <pic:cNvPicPr/>
                  </pic:nvPicPr>
                  <pic:blipFill>
                    <a:blip r:embed="rId999"/>
                    <a:stretch>
                      <a:fillRect/>
                    </a:stretch>
                  </pic:blipFill>
                  <pic:spPr>
                    <a:xfrm>
                      <a:off x="0" y="0"/>
                      <a:ext cx="914400" cy="266700"/>
                    </a:xfrm>
                    <a:prstGeom prst="rect">
                      <a:avLst/>
                    </a:prstGeom>
                  </pic:spPr>
                </pic:pic>
              </a:graphicData>
            </a:graphic>
          </wp:anchor>
        </w:drawing>
      </w:r>
      <w:bookmarkEnd w:id="1509"/>
      <w:bookmarkEnd w:id="1510"/>
    </w:p>
    <w:p>
      <w:pPr>
        <w:pStyle w:val="Para 01"/>
      </w:pPr>
      <w:r>
        <w:t>Powertop</w:t>
      </w:r>
    </w:p>
    <w:p>
      <w:pPr>
        <w:pStyle w:val="Para 17"/>
      </w:pPr>
      <w:r>
        <w:t/>
      </w:r>
    </w:p>
    <w:p>
      <w:pPr>
        <w:pStyle w:val="Normal"/>
      </w:pPr>
      <w:r>
        <w:t>powertop supports the user in identifying reasons for unexpected high power consumption by listing reasons to wake up from low power states. The look and feel aligns with the well known top. powertop is not installed by default, before trying run sudo apt install powertop. This command needs elevated permissions, so run it with sudo.</w:t>
      </w:r>
    </w:p>
    <w:p>
      <w:pPr>
        <w:pStyle w:val="Normal"/>
      </w:pPr>
      <w:r>
        <w:t>sudo powertop</w:t>
      </w:r>
    </w:p>
    <w:p>
      <w:pPr>
        <w:pStyle w:val="Para 17"/>
      </w:pPr>
      <w:r>
        <w:t/>
      </w:r>
    </w:p>
    <w:p>
      <w:pPr>
        <w:pStyle w:val="Normal"/>
      </w:pPr>
      <w:r>
        <w:t>It has six tabs for the various areas of interest:</w:t>
      </w:r>
    </w:p>
    <w:p>
      <w:pPr>
        <w:pStyle w:val="Para 04"/>
      </w:pPr>
      <w:r>
        <w:t>• Overview - frequency and reason for activity</w:t>
      </w:r>
    </w:p>
    <w:p>
      <w:pPr>
        <w:pStyle w:val="Para 04"/>
      </w:pPr>
      <w:r>
        <w:t>• Idle stats - time spent in the different idle states</w:t>
      </w:r>
    </w:p>
    <w:p>
      <w:pPr>
        <w:pStyle w:val="Para 04"/>
      </w:pPr>
      <w:r>
        <w:t>• Frequency stats - current frequency per core</w:t>
      </w:r>
    </w:p>
    <w:p>
      <w:pPr>
        <w:pStyle w:val="Para 04"/>
      </w:pPr>
      <w:r>
        <w:t>• Device stats - activity of devices</w:t>
      </w:r>
    </w:p>
    <w:p>
      <w:pPr>
        <w:pStyle w:val="Para 04"/>
      </w:pPr>
      <w:r>
        <w:t>• Tunables - a list of system tunables related to power (ratings are to save power, you</w:t>
      </w:r>
    </w:p>
    <w:p>
      <w:pPr>
        <w:pStyle w:val="Para 02"/>
      </w:pPr>
      <w:r>
        <w:t>might have some Bad for that being considered better for performance)</w:t>
      </w:r>
    </w:p>
    <w:p>
      <w:pPr>
        <w:pStyle w:val="Para 04"/>
      </w:pPr>
      <w:r>
        <w:t>• WakeUp - device wake-up status</w:t>
      </w:r>
    </w:p>
    <w:p>
      <w:pPr>
        <w:pStyle w:val="Para 17"/>
      </w:pPr>
      <w:r>
        <w:t/>
      </w:r>
    </w:p>
    <w:p>
      <w:pPr>
        <w:pStyle w:val="Para 01"/>
      </w:pPr>
      <w:r>
        <w:t>Further reading</w:t>
      </w:r>
    </w:p>
    <w:p>
      <w:pPr>
        <w:pStyle w:val="Para 17"/>
      </w:pPr>
      <w:r>
        <w:t/>
      </w:r>
    </w:p>
    <w:p>
      <w:pPr>
        <w:pStyle w:val="Para 13"/>
      </w:pPr>
      <w:r>
        <w:rPr>
          <w:rStyle w:val="Text7"/>
        </w:rPr>
        <w:t xml:space="preserve">• </w:t>
      </w:r>
      <w:hyperlink w:anchor="page_954">
        <w:r>
          <w:rPr>
            <w:rStyle w:val="Text10"/>
          </w:rPr>
          <w:t>1100</w:t>
        </w:r>
      </w:hyperlink>
      <w:r>
        <w:rPr>
          <w:rStyle w:val="Text7"/>
        </w:rPr>
        <w:t xml:space="preserve"> </w:t>
      </w:r>
      <w:hyperlink r:id="rId1908">
        <w:r>
          <w:t>Intel Frequency scaling</w:t>
        </w:r>
      </w:hyperlink>
    </w:p>
    <w:p>
      <w:pPr>
        <w:pStyle w:val="Para 13"/>
      </w:pPr>
      <w:r>
        <w:rPr>
          <w:rStyle w:val="Text7"/>
        </w:rPr>
        <w:t xml:space="preserve">• </w:t>
      </w:r>
      <w:hyperlink r:id="rId1907">
        <w:r>
          <w:rPr>
            <w:rStyle w:val="Text10"/>
          </w:rPr>
          <w:t>1101</w:t>
        </w:r>
      </w:hyperlink>
      <w:hyperlink r:id="rId1907">
        <w:r>
          <w:t xml:space="preserve"> Idle states</w:t>
        </w:r>
      </w:hyperlink>
    </w:p>
    <w:p>
      <w:pPr>
        <w:pStyle w:val="Para 13"/>
      </w:pPr>
      <w:r>
        <w:rPr>
          <w:rStyle w:val="Text7"/>
        </w:rPr>
        <w:t xml:space="preserve">• </w:t>
      </w:r>
      <w:hyperlink r:id="rId1909">
        <w:r>
          <w:rPr>
            <w:rStyle w:val="Text10"/>
          </w:rPr>
          <w:t>1102</w:t>
        </w:r>
      </w:hyperlink>
      <w:hyperlink r:id="rId1909">
        <w:r>
          <w:t xml:space="preserve"> C-states</w:t>
        </w:r>
      </w:hyperlink>
    </w:p>
    <w:p>
      <w:pPr>
        <w:pStyle w:val="Para 17"/>
      </w:pPr>
      <w:r>
        <w:t/>
      </w:r>
    </w:p>
    <w:p>
      <w:pPr>
        <w:pStyle w:val="Para 01"/>
      </w:pPr>
      <w:r>
        <w:t>TuneD</w:t>
      </w:r>
    </w:p>
    <w:p>
      <w:pPr>
        <w:pStyle w:val="Para 17"/>
      </w:pPr>
      <w:r>
        <w:t/>
      </w:r>
    </w:p>
    <w:p>
      <w:pPr>
        <w:pStyle w:val="Para 08"/>
      </w:pPr>
      <w:r>
        <w:t>Note:</w:t>
      </w:r>
    </w:p>
    <w:p>
      <w:pPr>
        <w:pStyle w:val="Para 03"/>
      </w:pPr>
      <w:r>
        <w:t>System tuning tools are either about better understanding the system’s performance,</w:t>
      </w:r>
    </w:p>
    <w:p>
      <w:pPr>
        <w:pStyle w:val="Para 03"/>
      </w:pPr>
      <w:r>
        <w:t xml:space="preserve">or applying such knowledge to improve it. See our common </w:t>
      </w:r>
      <w:hyperlink w:anchor="page_934">
        <w:r>
          <w:rPr>
            <w:rStyle w:val="Text2"/>
          </w:rPr>
          <w:t>system tuning thoughts</w:t>
        </w:r>
      </w:hyperlink>
    </w:p>
    <w:p>
      <w:pPr>
        <w:pStyle w:val="Para 03"/>
      </w:pPr>
      <w:r>
        <w:t>(page 933) for some generally applicable considerations about that.</w:t>
      </w:r>
    </w:p>
    <w:p>
      <w:pPr>
        <w:pStyle w:val="Para 17"/>
      </w:pPr>
      <w:r>
        <w:t/>
      </w:r>
    </w:p>
    <w:p>
      <w:pPr>
        <w:pStyle w:val="Normal"/>
      </w:pPr>
      <w:r>
        <w:t>The same is true for the TuneD profiles - they are only suggestions and starting points for a few named workload categories that allow you to react dynamically.</w:t>
      </w:r>
    </w:p>
    <w:p>
      <w:pPr>
        <w:pStyle w:val="Normal"/>
      </w:pPr>
      <w:hyperlink r:id="rId1910">
        <w:r>
          <w:rPr>
            <w:rStyle w:val="Text1"/>
          </w:rPr>
          <w:t>TuneD</w:t>
        </w:r>
      </w:hyperlink>
      <w:hyperlink w:anchor="page_954">
        <w:r>
          <w:rPr>
            <w:rStyle w:val="Text9"/>
          </w:rPr>
          <w:t>1103</w:t>
        </w:r>
      </w:hyperlink>
      <w:r>
        <w:t xml:space="preserve">*1 is a service used to tune your system and optimize the performance under cer-tain workloads. At the core of TuneD are </w:t>
      </w:r>
      <w:r>
        <w:rPr>
          <w:rStyle w:val="Text0"/>
        </w:rPr>
        <w:t>profiles</w:t>
      </w:r>
      <w:r>
        <w:t>, which tune your system for different use cases. TuneD is distributed with a number of predefined profiles for use cases such as:</w:t>
      </w:r>
    </w:p>
    <w:p>
      <w:pPr>
        <w:pStyle w:val="Para 04"/>
      </w:pPr>
      <w:r>
        <w:t>• High throughput</w:t>
      </w:r>
    </w:p>
    <w:p>
      <w:pPr>
        <w:pStyle w:val="Para 04"/>
      </w:pPr>
      <w:r>
        <w:t>• Low latency</w:t>
      </w:r>
    </w:p>
    <w:p>
      <w:pPr>
        <w:pStyle w:val="Para 16"/>
      </w:pPr>
      <w:r>
        <w:rPr>
          <w:rStyle w:val="Text5"/>
        </w:rPr>
        <w:t>1100</w:t>
      </w:r>
      <w:r>
        <w:rPr>
          <w:rStyle w:val="Text8"/>
        </w:rPr>
        <w:t xml:space="preserve"> </w:t>
      </w:r>
      <w:r>
        <w:t>https://docs.kernel.org/admin-guide/pm/intel_uncore_frequency_scaling.html</w:t>
      </w:r>
      <w:r>
        <w:rPr>
          <w:rStyle w:val="Text8"/>
        </w:rPr>
        <w:t xml:space="preserve"> </w:t>
      </w:r>
      <w:r>
        <w:rPr>
          <w:rStyle w:val="Text5"/>
        </w:rPr>
        <w:t>1101</w:t>
      </w:r>
      <w:r>
        <w:rPr>
          <w:rStyle w:val="Text8"/>
        </w:rPr>
        <w:t xml:space="preserve"> </w:t>
      </w:r>
      <w:r>
        <w:t>https://docs.kernel.org/admin-guide/pm/cpuidle.html</w:t>
      </w:r>
      <w:r>
        <w:rPr>
          <w:rStyle w:val="Text8"/>
        </w:rPr>
        <w:t xml:space="preserve"> </w:t>
      </w:r>
      <w:r>
        <w:rPr>
          <w:rStyle w:val="Text5"/>
        </w:rPr>
        <w:t>1102</w:t>
      </w:r>
      <w:r>
        <w:rPr>
          <w:rStyle w:val="Text8"/>
        </w:rPr>
        <w:t xml:space="preserve"> </w:t>
      </w:r>
      <w:r>
        <w:t>https://docs.kernel.org/admin-guide/pm/intel_idle.html</w:t>
      </w:r>
      <w:r>
        <w:rPr>
          <w:rStyle w:val="Text8"/>
        </w:rPr>
        <w:t xml:space="preserve"> </w:t>
      </w:r>
      <w:r>
        <w:rPr>
          <w:rStyle w:val="Text5"/>
        </w:rPr>
        <w:t>1103</w:t>
      </w:r>
      <w:r>
        <w:rPr>
          <w:rStyle w:val="Text8"/>
        </w:rPr>
        <w:t xml:space="preserve"> </w:t>
      </w:r>
      <w:r>
        <w:t>https://tuned-project.org/</w:t>
      </w:r>
    </w:p>
    <w:p>
      <w:bookmarkStart w:id="1511" w:name="page_9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6" name="index-955_1.png" descr="index-955_1.png"/>
            <wp:cNvGraphicFramePr>
              <a:graphicFrameLocks noChangeAspect="1"/>
            </wp:cNvGraphicFramePr>
            <a:graphic>
              <a:graphicData uri="http://schemas.openxmlformats.org/drawingml/2006/picture">
                <pic:pic>
                  <pic:nvPicPr>
                    <pic:cNvPr id="0" name="index-955_1.png" descr="index-955_1.png"/>
                    <pic:cNvPicPr/>
                  </pic:nvPicPr>
                  <pic:blipFill>
                    <a:blip r:embed="rId1000"/>
                    <a:stretch>
                      <a:fillRect/>
                    </a:stretch>
                  </pic:blipFill>
                  <pic:spPr>
                    <a:xfrm>
                      <a:off x="0" y="0"/>
                      <a:ext cx="914400" cy="266700"/>
                    </a:xfrm>
                    <a:prstGeom prst="rect">
                      <a:avLst/>
                    </a:prstGeom>
                  </pic:spPr>
                </pic:pic>
              </a:graphicData>
            </a:graphic>
          </wp:anchor>
        </w:drawing>
      </w:r>
      <w:bookmarkEnd w:id="1511"/>
    </w:p>
    <w:p>
      <w:pPr>
        <w:pStyle w:val="Para 04"/>
      </w:pPr>
      <w:r>
        <w:t>• Saving power</w:t>
      </w:r>
    </w:p>
    <w:p>
      <w:pPr>
        <w:pStyle w:val="Normal"/>
      </w:pPr>
      <w:r>
        <w:t>It is possible to modify the rules defined for each profile and customize how to tune a par-ticular device. When you switch to another profile or deactivate TuneD, all changes made to the system settings by the previous profile revert back to their original state.</w:t>
      </w:r>
    </w:p>
    <w:p>
      <w:pPr>
        <w:pStyle w:val="Normal"/>
      </w:pPr>
      <w:r>
        <w:t>You can also configure TuneD to dynamically react to changes in device usage and adjust settings to improve the performance of active devices and reduce the power consumption of inactive devices.</w:t>
      </w:r>
    </w:p>
    <w:p>
      <w:pPr>
        <w:pStyle w:val="Para 17"/>
      </w:pPr>
      <w:r>
        <w:t/>
      </w:r>
    </w:p>
    <w:p>
      <w:pPr>
        <w:pStyle w:val="Para 01"/>
      </w:pPr>
      <w:r>
        <w:t>Static vs. dynamic tuning</w:t>
      </w:r>
    </w:p>
    <w:p>
      <w:pPr>
        <w:pStyle w:val="Para 17"/>
      </w:pPr>
      <w:r>
        <w:t/>
      </w:r>
    </w:p>
    <w:p>
      <w:pPr>
        <w:pStyle w:val="Normal"/>
      </w:pPr>
      <w:r>
        <w:t xml:space="preserve">TuneD can perform two types of tuning: </w:t>
      </w:r>
      <w:r>
        <w:rPr>
          <w:rStyle w:val="Text0"/>
        </w:rPr>
        <w:t>static</w:t>
      </w:r>
      <w:r>
        <w:t xml:space="preserve"> and </w:t>
      </w:r>
      <w:r>
        <w:rPr>
          <w:rStyle w:val="Text0"/>
        </w:rPr>
        <w:t>dynamic</w:t>
      </w:r>
      <w:r>
        <w:t>.</w:t>
      </w:r>
    </w:p>
    <w:p>
      <w:pPr>
        <w:pStyle w:val="Para 04"/>
      </w:pPr>
      <w:r>
        <w:t>• Static tuning mainly consists of applying predefined sysctl and sysfs settings and the</w:t>
      </w:r>
    </w:p>
    <w:p>
      <w:pPr>
        <w:pStyle w:val="Para 02"/>
      </w:pPr>
      <w:r>
        <w:t>one-shot activation of several configuration tools such as ethtool.</w:t>
      </w:r>
    </w:p>
    <w:p>
      <w:pPr>
        <w:pStyle w:val="Para 04"/>
      </w:pPr>
      <w:r>
        <w:t>• In dynamic tuning, it watches how various system components are used throughout the</w:t>
      </w:r>
    </w:p>
    <w:p>
      <w:pPr>
        <w:pStyle w:val="Para 02"/>
      </w:pPr>
      <w:r>
        <w:t>uptime of your system. TuneD then adjusts the system settings dynamically based on that monitoring information. For example, the hard drive is used heavily during startup and login, but is barely used later when the user is mainly working with applications (e.g. web browsers or email clients). Similarly, the CPU and network devices are used differently at different times. TuneD monitors the activity of these components and reacts to the changes in their use.</w:t>
      </w:r>
    </w:p>
    <w:p>
      <w:pPr>
        <w:pStyle w:val="Normal"/>
      </w:pPr>
      <w:r>
        <w:t>By default, dynamic tuning is disabled. To enable it, edit the /etc/tuned/tuned-main.conf file and change the dynamic_tuning option to 1. TuneD then periodically analyzes system statistics and uses them to update your system tuning settings. To configure the time interval in seconds between these updates, use the update_interval option. After any change in this configuration file, the systemd service needs to be restarted.</w:t>
      </w:r>
    </w:p>
    <w:p>
      <w:pPr>
        <w:pStyle w:val="Para 17"/>
      </w:pPr>
      <w:r>
        <w:t/>
      </w:r>
    </w:p>
    <w:p>
      <w:pPr>
        <w:pStyle w:val="Para 01"/>
      </w:pPr>
      <w:r>
        <w:t>Profiles</w:t>
      </w:r>
    </w:p>
    <w:p>
      <w:pPr>
        <w:pStyle w:val="Para 17"/>
      </w:pPr>
      <w:r>
        <w:t/>
      </w:r>
    </w:p>
    <w:p>
      <w:pPr>
        <w:pStyle w:val="Normal"/>
      </w:pPr>
      <w:r>
        <w:t>TuneD works with profiles, which are configuration files grouping tuning plugins and their op-tions. Upon installation of the tuned package, a profile will be applied by default depending on the detected environment. These are the default profiles for each type of environment:</w:t>
      </w:r>
    </w:p>
    <w:p>
      <w:pPr>
        <w:pStyle w:val="Para 17"/>
      </w:pPr>
      <w:r>
        <w:t/>
      </w:r>
    </w:p>
    <w:p>
      <w:pPr>
        <w:pStyle w:val="Para 33"/>
      </w:pPr>
      <w:r>
        <w:t>Environment Default profile</w:t>
      </w:r>
    </w:p>
    <w:p>
      <w:pPr>
        <w:pStyle w:val="Para 33"/>
      </w:pPr>
      <w:r>
        <w:t>Compute nodes throughput-</w:t>
      </w:r>
    </w:p>
    <w:p>
      <w:pPr>
        <w:pStyle w:val="Para 17"/>
      </w:pPr>
      <w:r>
        <w:t>performance</w:t>
      </w:r>
    </w:p>
    <w:p>
      <w:pPr>
        <w:pStyle w:val="Para 33"/>
      </w:pPr>
      <w:r>
        <w:t>Virtual Machines virtual-guest</w:t>
      </w:r>
    </w:p>
    <w:p>
      <w:pPr>
        <w:pStyle w:val="Para 33"/>
      </w:pPr>
      <w:r>
        <w:t>Containers default</w:t>
      </w:r>
    </w:p>
    <w:p>
      <w:pPr>
        <w:pStyle w:val="Para 33"/>
      </w:pPr>
      <w:r>
        <w:t>Other cases balanced</w:t>
      </w:r>
    </w:p>
    <w:p>
      <w:bookmarkStart w:id="1512" w:name="calibre_pb_278"/>
      <w:pPr>
        <w:pStyle w:val="0 Block"/>
      </w:pPr>
      <w:bookmarkEnd w:id="1512"/>
    </w:p>
    <w:p>
      <w:bookmarkStart w:id="1513" w:name="page_956"/>
      <w:bookmarkStart w:id="1514" w:name="Top_of_index_split_279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7" name="index-956_1.png" descr="index-956_1.png"/>
            <wp:cNvGraphicFramePr>
              <a:graphicFrameLocks noChangeAspect="1"/>
            </wp:cNvGraphicFramePr>
            <a:graphic>
              <a:graphicData uri="http://schemas.openxmlformats.org/drawingml/2006/picture">
                <pic:pic>
                  <pic:nvPicPr>
                    <pic:cNvPr id="0" name="index-956_1.png" descr="index-956_1.png"/>
                    <pic:cNvPicPr/>
                  </pic:nvPicPr>
                  <pic:blipFill>
                    <a:blip r:embed="rId1001"/>
                    <a:stretch>
                      <a:fillRect/>
                    </a:stretch>
                  </pic:blipFill>
                  <pic:spPr>
                    <a:xfrm>
                      <a:off x="0" y="0"/>
                      <a:ext cx="914400" cy="266700"/>
                    </a:xfrm>
                    <a:prstGeom prst="rect">
                      <a:avLst/>
                    </a:prstGeom>
                  </pic:spPr>
                </pic:pic>
              </a:graphicData>
            </a:graphic>
          </wp:anchor>
        </w:drawing>
      </w:r>
      <w:bookmarkEnd w:id="1513"/>
      <w:bookmarkEnd w:id="1514"/>
    </w:p>
    <w:p>
      <w:pPr>
        <w:pStyle w:val="Para 01"/>
      </w:pPr>
      <w:r>
        <w:t>Anatomy of a profile</w:t>
      </w:r>
    </w:p>
    <w:p>
      <w:pPr>
        <w:pStyle w:val="Para 17"/>
      </w:pPr>
      <w:r>
        <w:t/>
      </w:r>
    </w:p>
    <w:p>
      <w:pPr>
        <w:pStyle w:val="Normal"/>
      </w:pPr>
      <w:r>
        <w:t>Predefined tuned profiles provided by the package are located in the directory /usr/lib/ tuned/profiles/&lt;profile-name&gt;, those added by the administrator should be placed in /etc/ tuned/profiles/&lt;profile-name&gt;.</w:t>
      </w:r>
    </w:p>
    <w:p>
      <w:pPr>
        <w:pStyle w:val="Para 17"/>
      </w:pPr>
      <w:r>
        <w:t/>
      </w:r>
    </w:p>
    <w:p>
      <w:pPr>
        <w:pStyle w:val="Para 03"/>
      </w:pPr>
      <w:r>
        <w:t>In TuneD version 2.23 and thereby Ubuntu 24.04 Noble (and earlier), the location of the</w:t>
      </w:r>
    </w:p>
    <w:p>
      <w:pPr>
        <w:pStyle w:val="Para 03"/>
      </w:pPr>
      <w:r>
        <w:t>profiles was different. An upgrade would have migrated any custom profiles, however for</w:t>
      </w:r>
    </w:p>
    <w:p>
      <w:pPr>
        <w:pStyle w:val="Para 03"/>
      </w:pPr>
      <w:r>
        <w:t>reference the paths changes were: Predefined profiles: /usr/lib/tuned/&lt;profile-name&gt;-</w:t>
      </w:r>
    </w:p>
    <w:p>
      <w:pPr>
        <w:pStyle w:val="Para 03"/>
      </w:pPr>
      <w:r>
        <w:t>&gt; /usr/lib/tuned/profiles/&lt;profile-name&gt; User defined profiles: /etc/tuned/&lt;profile-</w:t>
      </w:r>
    </w:p>
    <w:p>
      <w:pPr>
        <w:pStyle w:val="Para 03"/>
      </w:pPr>
      <w:r>
        <w:t>name&gt;-&gt; /etc/tuned/profiles/&lt;profile-name&gt;</w:t>
      </w:r>
    </w:p>
    <w:p>
      <w:pPr>
        <w:pStyle w:val="Para 17"/>
      </w:pPr>
      <w:r>
        <w:t/>
      </w:r>
    </w:p>
    <w:p>
      <w:pPr>
        <w:pStyle w:val="Normal"/>
      </w:pPr>
      <w:r>
        <w:t>In each of these &lt;profile-name&gt; directories a file tuned.conf defines that profile. That file has an INI structure which looks like this:</w:t>
      </w:r>
    </w:p>
    <w:p>
      <w:pPr>
        <w:pStyle w:val="Para 01"/>
      </w:pPr>
      <w:r>
        <w:t>[main]</w:t>
      </w:r>
    </w:p>
    <w:p>
      <w:pPr>
        <w:pStyle w:val="Normal"/>
      </w:pPr>
      <w:r>
        <w:t>include</w:t>
        <w:t>=</w:t>
        <w:t>PROFILE</w:t>
        <w:t xml:space="preserve"> </w:t>
      </w:r>
      <w:r>
        <w:rPr>
          <w:rStyle w:val="Text3"/>
        </w:rPr>
        <w:t># if inheriting from another profile</w:t>
      </w:r>
      <w:r>
        <w:t xml:space="preserve"> </w:t>
        <w:t>summary</w:t>
        <w:t>=</w:t>
        <w:t>A short summary</w:t>
      </w:r>
    </w:p>
    <w:p>
      <w:pPr>
        <w:pStyle w:val="Normal"/>
      </w:pPr>
      <w:r>
        <w:t>description</w:t>
        <w:t>=</w:t>
        <w:t>A short description</w:t>
      </w:r>
    </w:p>
    <w:p>
      <w:pPr>
        <w:pStyle w:val="Para 01"/>
      </w:pPr>
      <w:r>
        <w:t>[plugin instance]</w:t>
      </w:r>
    </w:p>
    <w:p>
      <w:pPr>
        <w:pStyle w:val="Normal"/>
      </w:pPr>
      <w:r>
        <w:t>type</w:t>
        <w:t>=</w:t>
        <w:t>&lt;TYPE like cpu, scheduler, ...&gt;</w:t>
      </w:r>
    </w:p>
    <w:p>
      <w:pPr>
        <w:pStyle w:val="Normal"/>
      </w:pPr>
      <w:r>
        <w:t>replace</w:t>
        <w:t>=</w:t>
        <w:t>&lt;REPLACE = true | false&gt;</w:t>
      </w:r>
    </w:p>
    <w:p>
      <w:pPr>
        <w:pStyle w:val="Normal"/>
      </w:pPr>
      <w:r>
        <w:t>enabled</w:t>
        <w:t>=</w:t>
        <w:t>&lt;ENABLED = true | false&gt;</w:t>
      </w:r>
    </w:p>
    <w:p>
      <w:pPr>
        <w:pStyle w:val="Normal"/>
      </w:pPr>
      <w:r>
        <w:t>devices</w:t>
        <w:t>=</w:t>
        <w:t>&lt;DEVICES like /dev/sda, /dev/sdb&gt;</w:t>
      </w:r>
    </w:p>
    <w:p>
      <w:pPr>
        <w:pStyle w:val="Para 01"/>
      </w:pPr>
      <w:r>
        <w:t>[another plugin instance]</w:t>
      </w:r>
    </w:p>
    <w:p>
      <w:pPr>
        <w:pStyle w:val="Normal"/>
      </w:pPr>
      <w:r>
        <w:t>type</w:t>
        <w:t>=</w:t>
        <w:t>&lt;TYPE like cpu, scheduler, ...&gt;</w:t>
      </w:r>
    </w:p>
    <w:p>
      <w:pPr>
        <w:pStyle w:val="Normal"/>
      </w:pPr>
      <w:r>
        <w:t>replace</w:t>
        <w:t>=</w:t>
        <w:t>&lt;REPLACE = true | false&gt;</w:t>
      </w:r>
    </w:p>
    <w:p>
      <w:pPr>
        <w:pStyle w:val="Normal"/>
      </w:pPr>
      <w:r>
        <w:t>enabled</w:t>
        <w:t>=</w:t>
        <w:t>&lt;ENABLED = true | false&gt;</w:t>
      </w:r>
    </w:p>
    <w:p>
      <w:pPr>
        <w:pStyle w:val="Normal"/>
      </w:pPr>
      <w:r>
        <w:t>devices</w:t>
        <w:t>=</w:t>
        <w:t>&lt;DEVICES like /dev/sda, /dev/sdb&gt;</w:t>
        <w:t xml:space="preserve"> </w:t>
        <w:t>... other plugin-specific options ...</w:t>
      </w:r>
    </w:p>
    <w:p>
      <w:pPr>
        <w:pStyle w:val="Normal"/>
      </w:pPr>
      <w:r>
        <w:t>...</w:t>
      </w:r>
    </w:p>
    <w:p>
      <w:pPr>
        <w:pStyle w:val="Para 17"/>
      </w:pPr>
      <w:r>
        <w:t/>
      </w:r>
    </w:p>
    <w:p>
      <w:pPr>
        <w:pStyle w:val="Normal"/>
      </w:pPr>
      <w:r>
        <w:t>Here is a brief explanation of these configuration parameters:</w:t>
      </w:r>
    </w:p>
    <w:p>
      <w:pPr>
        <w:pStyle w:val="Para 04"/>
      </w:pPr>
      <w:r>
        <w:t>• type: This is the plugin type. A list of all types can be obtained with the command tuned-</w:t>
      </w:r>
    </w:p>
    <w:p>
      <w:pPr>
        <w:pStyle w:val="Para 02"/>
      </w:pPr>
      <w:r>
        <w:t>adm list plugins.</w:t>
      </w:r>
    </w:p>
    <w:p>
      <w:pPr>
        <w:pStyle w:val="Para 04"/>
      </w:pPr>
      <w:r>
        <w:t>• replace: This can take the values true or false, and is used to control what happens</w:t>
      </w:r>
    </w:p>
    <w:p>
      <w:pPr>
        <w:pStyle w:val="Para 02"/>
      </w:pPr>
      <w:r>
        <w:t>when two plugins of the same type are trying to configure the same devices. If true, then the plugin defined last replaces all options.</w:t>
      </w:r>
    </w:p>
    <w:p>
      <w:pPr>
        <w:pStyle w:val="Para 04"/>
      </w:pPr>
      <w:r>
        <w:t>• enabled: This also accepts the values true or false, and is used to control if a plugin</w:t>
      </w:r>
    </w:p>
    <w:p>
      <w:pPr>
        <w:pStyle w:val="Para 02"/>
      </w:pPr>
      <w:r>
        <w:t>should remain enabled or disabled when inheriting from another profile.</w:t>
      </w:r>
    </w:p>
    <w:p>
      <w:pPr>
        <w:pStyle w:val="Para 04"/>
      </w:pPr>
      <w:r>
        <w:t>• devices: A comma separated list of device names (without the /dev/ prefix) which rep-</w:t>
      </w:r>
    </w:p>
    <w:p>
      <w:pPr>
        <w:pStyle w:val="Para 02"/>
      </w:pPr>
      <w:r>
        <w:t>resents the devices this plugin should act on. If not specified, all compatible devices found, now or in the future, will be used. This parameter also accepts simple globbing and negation rules, so that you can specify nvme* for all /dev/nvme* devices, or !sda to not include /dev/sda.</w:t>
      </w:r>
    </w:p>
    <w:p>
      <w:pPr>
        <w:pStyle w:val="Para 04"/>
      </w:pPr>
      <w:r>
        <w:t>• plugin-specific options: These can be seen in the output of the tuned-adm list plugins</w:t>
      </w:r>
    </w:p>
    <w:p>
      <w:pPr>
        <w:pStyle w:val="Para 02"/>
      </w:pPr>
      <w:r>
        <w:t>-v command, for each listed plugin.</w:t>
      </w:r>
    </w:p>
    <w:p>
      <w:bookmarkStart w:id="1515" w:name="page_9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8" name="index-957_1.png" descr="index-957_1.png"/>
            <wp:cNvGraphicFramePr>
              <a:graphicFrameLocks noChangeAspect="1"/>
            </wp:cNvGraphicFramePr>
            <a:graphic>
              <a:graphicData uri="http://schemas.openxmlformats.org/drawingml/2006/picture">
                <pic:pic>
                  <pic:nvPicPr>
                    <pic:cNvPr id="0" name="index-957_1.png" descr="index-957_1.png"/>
                    <pic:cNvPicPr/>
                  </pic:nvPicPr>
                  <pic:blipFill>
                    <a:blip r:embed="rId1002"/>
                    <a:stretch>
                      <a:fillRect/>
                    </a:stretch>
                  </pic:blipFill>
                  <pic:spPr>
                    <a:xfrm>
                      <a:off x="0" y="0"/>
                      <a:ext cx="914400" cy="266700"/>
                    </a:xfrm>
                    <a:prstGeom prst="rect">
                      <a:avLst/>
                    </a:prstGeom>
                  </pic:spPr>
                </pic:pic>
              </a:graphicData>
            </a:graphic>
          </wp:anchor>
        </w:drawing>
      </w:r>
      <w:bookmarkEnd w:id="1515"/>
    </w:p>
    <w:p>
      <w:pPr>
        <w:pStyle w:val="Normal"/>
      </w:pPr>
      <w:r>
        <w:t xml:space="preserve">See the </w:t>
      </w:r>
      <w:hyperlink r:id="rId1911">
        <w:r>
          <w:rPr>
            <w:rStyle w:val="Text9"/>
          </w:rPr>
          <w:t>1104</w:t>
        </w:r>
      </w:hyperlink>
      <w:hyperlink r:id="rId1911">
        <w:r>
          <w:rPr>
            <w:rStyle w:val="Text1"/>
          </w:rPr>
          <w:t xml:space="preserve"> </w:t>
        </w:r>
      </w:hyperlink>
      <w:hyperlink r:id="rId1911">
        <w:r>
          <w:rPr>
            <w:rStyle w:val="Text2"/>
          </w:rPr>
          <w:t>tuned.conf(5)</w:t>
        </w:r>
      </w:hyperlink>
      <w:r>
        <w:t xml:space="preserve"> manual page for details on the syntax of this configuration file.</w:t>
      </w:r>
    </w:p>
    <w:p>
      <w:pPr>
        <w:pStyle w:val="Normal"/>
      </w:pPr>
      <w:r>
        <w:t>The plugin instance concept can be useful if you want to apply different tuning parameters to different devices. For example, you could have one plugin instance to take care of NVMe storage, and another one for spinning disks:</w:t>
      </w:r>
    </w:p>
    <w:p>
      <w:pPr>
        <w:pStyle w:val="Para 01"/>
      </w:pPr>
      <w:r>
        <w:t>[fast_storage]</w:t>
      </w:r>
    </w:p>
    <w:p>
      <w:pPr>
        <w:pStyle w:val="Normal"/>
      </w:pPr>
      <w:r>
        <w:t>type</w:t>
        <w:t>=</w:t>
        <w:t>disk</w:t>
      </w:r>
    </w:p>
    <w:p>
      <w:pPr>
        <w:pStyle w:val="Normal"/>
      </w:pPr>
      <w:r>
        <w:t>devices</w:t>
        <w:t>=</w:t>
        <w:t>nvme0n*</w:t>
      </w:r>
    </w:p>
    <w:p>
      <w:pPr>
        <w:pStyle w:val="Normal"/>
      </w:pPr>
      <w:r>
        <w:t>... options for these devices</w:t>
      </w:r>
    </w:p>
    <w:p>
      <w:pPr>
        <w:pStyle w:val="Para 01"/>
      </w:pPr>
      <w:r>
        <w:t>[slow_storage]</w:t>
      </w:r>
    </w:p>
    <w:p>
      <w:pPr>
        <w:pStyle w:val="Normal"/>
      </w:pPr>
      <w:r>
        <w:t>type</w:t>
        <w:t>=</w:t>
        <w:t>disk</w:t>
      </w:r>
    </w:p>
    <w:p>
      <w:pPr>
        <w:pStyle w:val="Normal"/>
      </w:pPr>
      <w:r>
        <w:t>devices</w:t>
        <w:t>=</w:t>
        <w:t>sda, sdb</w:t>
      </w:r>
    </w:p>
    <w:p>
      <w:pPr>
        <w:pStyle w:val="Normal"/>
      </w:pPr>
      <w:r>
        <w:t>... options for these devices</w:t>
      </w:r>
    </w:p>
    <w:p>
      <w:pPr>
        <w:pStyle w:val="Para 17"/>
      </w:pPr>
      <w:r>
        <w:t/>
      </w:r>
    </w:p>
    <w:p>
      <w:pPr>
        <w:pStyle w:val="Para 01"/>
      </w:pPr>
      <w:r>
        <w:t>Available profiles and plugins</w:t>
      </w:r>
    </w:p>
    <w:p>
      <w:pPr>
        <w:pStyle w:val="Para 17"/>
      </w:pPr>
      <w:r>
        <w:t/>
      </w:r>
    </w:p>
    <w:p>
      <w:pPr>
        <w:pStyle w:val="Normal"/>
      </w:pPr>
      <w:r>
        <w:t>The list of available profiles can be found using the following command:</w:t>
      </w:r>
    </w:p>
    <w:p>
      <w:pPr>
        <w:pStyle w:val="Normal"/>
      </w:pPr>
      <w:r>
        <w:t>tuned-adm list profiles</w:t>
      </w:r>
    </w:p>
    <w:p>
      <w:pPr>
        <w:pStyle w:val="Para 17"/>
      </w:pPr>
      <w:r>
        <w:t/>
      </w:r>
    </w:p>
    <w:p>
      <w:pPr>
        <w:pStyle w:val="Normal"/>
      </w:pPr>
      <w:r>
        <w:t>Which will result in a long list (output truncated for brevity):</w:t>
      </w:r>
    </w:p>
    <w:p>
      <w:pPr>
        <w:pStyle w:val="Normal"/>
      </w:pPr>
      <w:r>
        <w:t>Available profiles:</w:t>
      </w:r>
    </w:p>
    <w:p>
      <w:pPr>
        <w:pStyle w:val="Normal"/>
      </w:pPr>
      <w:r>
        <w:t>- accelerator-performance</w:t>
        <w:t xml:space="preserve"> </w:t>
        <w:t>- Throughput performance based tuning with disabled higher</w:t>
      </w:r>
    </w:p>
    <w:p>
      <w:pPr>
        <w:pStyle w:val="Normal"/>
      </w:pPr>
      <w:r>
        <w:t>latency STOP states</w:t>
      </w:r>
    </w:p>
    <w:p>
      <w:pPr>
        <w:pStyle w:val="Normal"/>
      </w:pPr>
      <w:r>
        <w:t>- atomic-guest</w:t>
        <w:t xml:space="preserve"> </w:t>
        <w:t>- Optimize virtual guests based on the Atomic variant</w:t>
        <w:t>- atomic-host</w:t>
        <w:t xml:space="preserve"> </w:t>
        <w:t>- Optimize bare metal systems running the Atomic variant</w:t>
      </w:r>
    </w:p>
    <w:p>
      <w:pPr>
        <w:pStyle w:val="Normal"/>
      </w:pPr>
      <w:r>
        <w:t>(...)</w:t>
      </w:r>
    </w:p>
    <w:p>
      <w:pPr>
        <w:pStyle w:val="Para 17"/>
      </w:pPr>
      <w:r>
        <w:t/>
      </w:r>
    </w:p>
    <w:p>
      <w:pPr>
        <w:pStyle w:val="Normal"/>
      </w:pPr>
      <w:r>
        <w:t>Here are some useful commands regarding profiles:</w:t>
      </w:r>
    </w:p>
    <w:p>
      <w:pPr>
        <w:pStyle w:val="Para 04"/>
      </w:pPr>
      <w:r>
        <w:t>• tuned-adm active: Shows which profile is currently enabled.</w:t>
      </w:r>
    </w:p>
    <w:p>
      <w:pPr>
        <w:pStyle w:val="Para 04"/>
      </w:pPr>
      <w:r>
        <w:t>• tuned-adm recommend: Shows the recommended profile for this system.</w:t>
      </w:r>
    </w:p>
    <w:p>
      <w:pPr>
        <w:pStyle w:val="Para 04"/>
      </w:pPr>
      <w:r>
        <w:t>• tuned-adm profile &lt;name&gt;: Switch to the named profile, applying its settings.</w:t>
      </w:r>
    </w:p>
    <w:p>
      <w:pPr>
        <w:pStyle w:val="Normal"/>
      </w:pPr>
      <w:r>
        <w:t>The list of plugin types can be obtained with the tuned-adm list plugins, and to see plugin-specific options, run tuned-adm list plugins -v. Unfortunately at the moment the docu-mentation of those options is only present in the source code of each plugin.</w:t>
      </w:r>
    </w:p>
    <w:p>
      <w:pPr>
        <w:pStyle w:val="Normal"/>
      </w:pPr>
      <w:r>
        <w:t>For example, the cpu plugin options are:</w:t>
      </w:r>
    </w:p>
    <w:p>
      <w:pPr>
        <w:pStyle w:val="Normal"/>
      </w:pPr>
      <w:r>
        <w:t>cpu</w:t>
      </w:r>
    </w:p>
    <w:p>
      <w:pPr>
        <w:pStyle w:val="Para 06"/>
      </w:pPr>
      <w:r>
        <w:t>load_threshold</w:t>
      </w:r>
    </w:p>
    <w:p>
      <w:pPr>
        <w:pStyle w:val="Para 06"/>
      </w:pPr>
      <w:r>
        <w:t>latency_low</w:t>
      </w:r>
    </w:p>
    <w:p>
      <w:pPr>
        <w:pStyle w:val="Para 06"/>
      </w:pPr>
      <w:r>
        <w:t>latency_high</w:t>
      </w:r>
    </w:p>
    <w:p>
      <w:pPr>
        <w:pStyle w:val="Para 06"/>
      </w:pPr>
      <w:r>
        <w:t>force_latency</w:t>
      </w:r>
    </w:p>
    <w:p>
      <w:pPr>
        <w:pStyle w:val="Para 06"/>
      </w:pPr>
      <w:r>
        <w:t>governor</w:t>
      </w:r>
    </w:p>
    <w:p>
      <w:pPr>
        <w:pStyle w:val="Para 06"/>
      </w:pPr>
      <w:r>
        <w:t>sampling_down_factor</w:t>
      </w:r>
    </w:p>
    <w:p>
      <w:pPr>
        <w:pStyle w:val="Para 06"/>
      </w:pPr>
      <w:r>
        <w:t>energy_perf_bias</w:t>
      </w:r>
    </w:p>
    <w:p>
      <w:pPr>
        <w:pStyle w:val="Para 06"/>
      </w:pPr>
      <w:r>
        <w:t>min_perf_pct</w:t>
      </w:r>
    </w:p>
    <w:p>
      <w:pPr>
        <w:pStyle w:val="Para 06"/>
      </w:pPr>
      <w:r>
        <w:t>max_perf_pct</w:t>
      </w:r>
    </w:p>
    <w:p>
      <w:pPr>
        <w:pStyle w:val="Para 09"/>
      </w:pPr>
      <w:r>
        <w:t>(continues on next page)</w:t>
      </w:r>
    </w:p>
    <w:p>
      <w:pPr>
        <w:pStyle w:val="Para 16"/>
      </w:pPr>
      <w:r>
        <w:rPr>
          <w:rStyle w:val="Text5"/>
        </w:rPr>
        <w:t>1104</w:t>
      </w:r>
      <w:r>
        <w:rPr>
          <w:rStyle w:val="Text8"/>
        </w:rPr>
        <w:t xml:space="preserve"> </w:t>
      </w:r>
      <w:r>
        <w:t>https://manpages.ubuntu.com/manpages/resolute/man5/tuned.conf.5.html</w:t>
      </w:r>
    </w:p>
    <w:p>
      <w:bookmarkStart w:id="1516" w:name="page_9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999" name="index-958_1.png" descr="index-958_1.png"/>
            <wp:cNvGraphicFramePr>
              <a:graphicFrameLocks noChangeAspect="1"/>
            </wp:cNvGraphicFramePr>
            <a:graphic>
              <a:graphicData uri="http://schemas.openxmlformats.org/drawingml/2006/picture">
                <pic:pic>
                  <pic:nvPicPr>
                    <pic:cNvPr id="0" name="index-958_1.png" descr="index-958_1.png"/>
                    <pic:cNvPicPr/>
                  </pic:nvPicPr>
                  <pic:blipFill>
                    <a:blip r:embed="rId1003"/>
                    <a:stretch>
                      <a:fillRect/>
                    </a:stretch>
                  </pic:blipFill>
                  <pic:spPr>
                    <a:xfrm>
                      <a:off x="0" y="0"/>
                      <a:ext cx="914400" cy="266700"/>
                    </a:xfrm>
                    <a:prstGeom prst="rect">
                      <a:avLst/>
                    </a:prstGeom>
                  </pic:spPr>
                </pic:pic>
              </a:graphicData>
            </a:graphic>
          </wp:anchor>
        </w:drawing>
      </w:r>
      <w:bookmarkEnd w:id="1516"/>
    </w:p>
    <w:p>
      <w:pPr>
        <w:pStyle w:val="Para 09"/>
      </w:pPr>
      <w:r>
        <w:t>(continued from previous page)</w:t>
      </w:r>
    </w:p>
    <w:p>
      <w:pPr>
        <w:pStyle w:val="Para 06"/>
      </w:pPr>
      <w:r>
        <w:t>no_turbo</w:t>
      </w:r>
    </w:p>
    <w:p>
      <w:pPr>
        <w:pStyle w:val="Para 06"/>
      </w:pPr>
      <w:r>
        <w:t>pm_qos_resume_latency_us</w:t>
      </w:r>
    </w:p>
    <w:p>
      <w:pPr>
        <w:pStyle w:val="Para 06"/>
      </w:pPr>
      <w:r>
        <w:t>energy_performance_preference</w:t>
      </w:r>
    </w:p>
    <w:p>
      <w:pPr>
        <w:pStyle w:val="Para 06"/>
      </w:pPr>
      <w:r>
        <w:t>boost</w:t>
      </w:r>
    </w:p>
    <w:p>
      <w:pPr>
        <w:pStyle w:val="Para 17"/>
      </w:pPr>
      <w:r>
        <w:t/>
      </w:r>
    </w:p>
    <w:p>
      <w:pPr>
        <w:pStyle w:val="Normal"/>
      </w:pPr>
      <w:r>
        <w:t>And their description can be found in /usr/lib/python3/dist-packages/tuned/plugins/ plugin_&lt;plugin-name&gt;.py.</w:t>
      </w:r>
    </w:p>
    <w:p>
      <w:pPr>
        <w:pStyle w:val="Para 17"/>
      </w:pPr>
      <w:r>
        <w:t/>
      </w:r>
    </w:p>
    <w:p>
      <w:pPr>
        <w:pStyle w:val="Para 01"/>
      </w:pPr>
      <w:r>
        <w:t>Customizing a profile</w:t>
      </w:r>
    </w:p>
    <w:p>
      <w:pPr>
        <w:pStyle w:val="Para 17"/>
      </w:pPr>
      <w:r>
        <w:t/>
      </w:r>
    </w:p>
    <w:p>
      <w:pPr>
        <w:pStyle w:val="Normal"/>
      </w:pPr>
      <w:r>
        <w:t>For some specific workloads, the predefined profiles might not be enough and you may want to customize your own profile. You may customize an existing profile, just overriding a few settings, or create an entirely new one.</w:t>
      </w:r>
    </w:p>
    <w:p>
      <w:pPr>
        <w:pStyle w:val="Normal"/>
      </w:pPr>
      <w:r>
        <w:t>Custom profiles live in /etc/tuned/profiles/&lt;profile-name&gt;/tuned.conf. There are 3 ways they can be created:</w:t>
      </w:r>
    </w:p>
    <w:p>
      <w:pPr>
        <w:pStyle w:val="Para 04"/>
      </w:pPr>
      <w:r>
        <w:t>• Copy an existing profile from /usr/lib/tuned/profiles/&lt;profile-name&gt; to /etc/tuned/</w:t>
      </w:r>
    </w:p>
    <w:p>
      <w:pPr>
        <w:pStyle w:val="Para 02"/>
      </w:pPr>
      <w:r>
        <w:t>profiles/&lt;profile-name&gt;, and make changes to it in that location. A profile defined in /etc/tuned takes precedence over one from /usr/lib/tuned with the same name.</w:t>
      </w:r>
    </w:p>
    <w:p>
      <w:pPr>
        <w:pStyle w:val="Para 04"/>
      </w:pPr>
      <w:r>
        <w:t>• Create an entirely new profile in /etc/tuned/profiles/&lt;new-profile-name&gt; from</w:t>
      </w:r>
    </w:p>
    <w:p>
      <w:pPr>
        <w:pStyle w:val="Para 02"/>
      </w:pPr>
      <w:r>
        <w:t>scratch.</w:t>
      </w:r>
    </w:p>
    <w:p>
      <w:pPr>
        <w:pStyle w:val="Para 04"/>
      </w:pPr>
      <w:r>
        <w:t>• Create a new profile in /etc/tuned/profiles/&lt;new-profile-name&gt;, with a name that</w:t>
      </w:r>
    </w:p>
    <w:p>
      <w:pPr>
        <w:pStyle w:val="Para 02"/>
      </w:pPr>
      <w:r>
        <w:t>doesn’t match an existing profile, and inherit from another profile. In this way you only have to specify the changes you want, and inherit the rest from the existing profile in /usr/lib/tuned/profiles/&lt;profile-name&gt;.</w:t>
      </w:r>
    </w:p>
    <w:p>
      <w:pPr>
        <w:pStyle w:val="Normal"/>
      </w:pPr>
      <w:r>
        <w:t>After that, the new profile will be visible by TuneD via the tuned-adm list command.</w:t>
      </w:r>
    </w:p>
    <w:p>
      <w:pPr>
        <w:pStyle w:val="Normal"/>
      </w:pPr>
      <w:r>
        <w:t>Here is a simple example of a customized profile named mypostgresql that is inheriting from the existing /usr/lib/tuned/profiles/postgresql profile. The child profile is defined in / etc/tuned/profiles/mypostgresql/tuned.conf:</w:t>
      </w:r>
    </w:p>
    <w:p>
      <w:pPr>
        <w:pStyle w:val="Normal"/>
      </w:pPr>
      <w:r>
        <w:t>[main]</w:t>
      </w:r>
    </w:p>
    <w:p>
      <w:pPr>
        <w:pStyle w:val="Normal"/>
      </w:pPr>
      <w:r>
        <w:t>include=postgresql</w:t>
      </w:r>
    </w:p>
    <w:p>
      <w:pPr>
        <w:pStyle w:val="Normal"/>
      </w:pPr>
      <w:r>
        <w:t>[cpu]</w:t>
      </w:r>
    </w:p>
    <w:p>
      <w:pPr>
        <w:pStyle w:val="Normal"/>
      </w:pPr>
      <w:r>
        <w:t>load_threshold=0.5</w:t>
      </w:r>
    </w:p>
    <w:p>
      <w:pPr>
        <w:pStyle w:val="Normal"/>
      </w:pPr>
      <w:r>
        <w:t>latency_low=10</w:t>
      </w:r>
    </w:p>
    <w:p>
      <w:pPr>
        <w:pStyle w:val="Normal"/>
      </w:pPr>
      <w:r>
        <w:t>latency_high=10000</w:t>
      </w:r>
    </w:p>
    <w:p>
      <w:pPr>
        <w:pStyle w:val="Para 17"/>
      </w:pPr>
      <w:r>
        <w:t/>
      </w:r>
    </w:p>
    <w:p>
      <w:pPr>
        <w:pStyle w:val="Normal"/>
      </w:pPr>
      <w:r>
        <w:t>The inheritance is specified via the include option in the [main] section.</w:t>
      </w:r>
    </w:p>
    <w:p>
      <w:pPr>
        <w:pStyle w:val="Normal"/>
      </w:pPr>
      <w:r>
        <w:t>After the [main] section come the plugins that we want to override, and their new settings. Settings not specified here will take the value defined in the parent profile, postgresql in this case. If you want to completely ignore whatever the cpu plugin defined in the parent profile, use the replace=true setting.</w:t>
      </w:r>
    </w:p>
    <w:p>
      <w:bookmarkStart w:id="1517" w:name="calibre_pb_279"/>
      <w:pPr>
        <w:pStyle w:val="0 Block"/>
      </w:pPr>
      <w:bookmarkEnd w:id="1517"/>
    </w:p>
    <w:p>
      <w:bookmarkStart w:id="1518" w:name="page_959"/>
      <w:bookmarkStart w:id="1519" w:name="Top_of_index_split_280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0" name="index-959_1.png" descr="index-959_1.png"/>
            <wp:cNvGraphicFramePr>
              <a:graphicFrameLocks noChangeAspect="1"/>
            </wp:cNvGraphicFramePr>
            <a:graphic>
              <a:graphicData uri="http://schemas.openxmlformats.org/drawingml/2006/picture">
                <pic:pic>
                  <pic:nvPicPr>
                    <pic:cNvPr id="0" name="index-959_1.png" descr="index-959_1.png"/>
                    <pic:cNvPicPr/>
                  </pic:nvPicPr>
                  <pic:blipFill>
                    <a:blip r:embed="rId1004"/>
                    <a:stretch>
                      <a:fillRect/>
                    </a:stretch>
                  </pic:blipFill>
                  <pic:spPr>
                    <a:xfrm>
                      <a:off x="0" y="0"/>
                      <a:ext cx="914400" cy="266700"/>
                    </a:xfrm>
                    <a:prstGeom prst="rect">
                      <a:avLst/>
                    </a:prstGeom>
                  </pic:spPr>
                </pic:pic>
              </a:graphicData>
            </a:graphic>
          </wp:anchor>
        </w:drawing>
      </w:r>
      <w:bookmarkEnd w:id="1518"/>
      <w:bookmarkEnd w:id="1519"/>
    </w:p>
    <w:p>
      <w:pPr>
        <w:pStyle w:val="Para 01"/>
      </w:pPr>
      <w:r>
        <w:t>Merging profiles</w:t>
      </w:r>
    </w:p>
    <w:p>
      <w:pPr>
        <w:pStyle w:val="Para 17"/>
      </w:pPr>
      <w:r>
        <w:t/>
      </w:r>
    </w:p>
    <w:p>
      <w:pPr>
        <w:pStyle w:val="Normal"/>
      </w:pPr>
      <w:r>
        <w:t>There are some profiles that are neither a parent profile, nor a child profile. They only spec-ify a few plugins and settings, and no inheritance relationship. By themselves, they are not useful, but they can be merged with an existing profile on-the-fly.</w:t>
      </w:r>
    </w:p>
    <w:p>
      <w:pPr>
        <w:pStyle w:val="Normal"/>
      </w:pPr>
      <w:r>
        <w:t>Here is an example which applies the base profile cpu-partitioning and then overlays intel-sst on top:</w:t>
      </w:r>
    </w:p>
    <w:p>
      <w:pPr>
        <w:pStyle w:val="Normal"/>
      </w:pPr>
      <w:r>
        <w:t>sudo tuned-adm profile cpu-partitioning intel-sst</w:t>
      </w:r>
    </w:p>
    <w:p>
      <w:pPr>
        <w:pStyle w:val="Para 17"/>
      </w:pPr>
      <w:r>
        <w:t/>
      </w:r>
    </w:p>
    <w:p>
      <w:pPr>
        <w:pStyle w:val="Normal"/>
      </w:pPr>
      <w:r>
        <w:t>In a sense, it’s like a dynamic inheritance: instead of having the intel-sst profile include cpu-partitioning in a hard-coded include statement, it can be used in this way and merge its settings to any other base profile on-the-fly, at runtime.</w:t>
      </w:r>
    </w:p>
    <w:p>
      <w:pPr>
        <w:pStyle w:val="Normal"/>
      </w:pPr>
      <w:r>
        <w:t>Another example of merging profiles is the combining of the powersave profile with another one:</w:t>
      </w:r>
    </w:p>
    <w:p>
      <w:pPr>
        <w:pStyle w:val="Normal"/>
      </w:pPr>
      <w:r>
        <w:t>sudo tuned-adm profile virtual-guest powersave</w:t>
      </w:r>
    </w:p>
    <w:p>
      <w:pPr>
        <w:pStyle w:val="Para 17"/>
      </w:pPr>
      <w:r>
        <w:t/>
      </w:r>
    </w:p>
    <w:p>
      <w:pPr>
        <w:pStyle w:val="Normal"/>
      </w:pPr>
      <w:r>
        <w:t>This would optimise the system for a virtual guest, and then apply power saving parameters on top.</w:t>
      </w:r>
    </w:p>
    <w:p>
      <w:pPr>
        <w:pStyle w:val="Para 17"/>
      </w:pPr>
      <w:r>
        <w:t/>
      </w:r>
    </w:p>
    <w:p>
      <w:pPr>
        <w:pStyle w:val="Para 08"/>
      </w:pPr>
      <w:r>
        <w:t>Warning:</w:t>
      </w:r>
    </w:p>
    <w:p>
      <w:pPr>
        <w:pStyle w:val="Para 17"/>
      </w:pPr>
      <w:r>
        <w:t/>
      </w:r>
    </w:p>
    <w:p>
      <w:pPr>
        <w:pStyle w:val="Para 03"/>
      </w:pPr>
      <w:r>
        <w:t>Just because tuned-adm accepted to merge two profiles doesn’t mean it makes sense.</w:t>
      </w:r>
    </w:p>
    <w:p>
      <w:pPr>
        <w:pStyle w:val="Para 03"/>
      </w:pPr>
      <w:r>
        <w:t>There is no checking done on the resulting merged parameters, and the second profile</w:t>
      </w:r>
    </w:p>
    <w:p>
      <w:pPr>
        <w:pStyle w:val="Para 03"/>
      </w:pPr>
      <w:r>
        <w:t>could completely revert what the first profile adjusted.</w:t>
      </w:r>
    </w:p>
    <w:p>
      <w:pPr>
        <w:pStyle w:val="Para 17"/>
      </w:pPr>
      <w:r>
        <w:t/>
      </w:r>
    </w:p>
    <w:p>
      <w:pPr>
        <w:pStyle w:val="Para 01"/>
      </w:pPr>
      <w:r>
        <w:t>An example profile: hpc-compute</w:t>
      </w:r>
    </w:p>
    <w:p>
      <w:pPr>
        <w:pStyle w:val="Para 17"/>
      </w:pPr>
      <w:r>
        <w:t/>
      </w:r>
    </w:p>
    <w:p>
      <w:pPr>
        <w:pStyle w:val="Normal"/>
      </w:pPr>
      <w:r>
        <w:t>Let’s take look at the predefined hpc-compute profile in more detail as an example. You can find the configuration of this profile in /usr/lib/tuned/profiles/hpc-compute/tuned.conf:</w:t>
      </w:r>
    </w:p>
    <w:p>
      <w:pPr>
        <w:pStyle w:val="Para 10"/>
      </w:pPr>
      <w:r>
        <w:t>#</w:t>
      </w:r>
    </w:p>
    <w:p>
      <w:pPr>
        <w:pStyle w:val="Para 10"/>
      </w:pPr>
      <w:r>
        <w:t># tuned configuration</w:t>
      </w:r>
    </w:p>
    <w:p>
      <w:pPr>
        <w:pStyle w:val="Para 10"/>
      </w:pPr>
      <w:r>
        <w:t>#</w:t>
      </w:r>
    </w:p>
    <w:p>
      <w:pPr>
        <w:pStyle w:val="Para 01"/>
      </w:pPr>
      <w:r>
        <w:t>[main]</w:t>
      </w:r>
    </w:p>
    <w:p>
      <w:pPr>
        <w:pStyle w:val="Normal"/>
      </w:pPr>
      <w:r>
        <w:t>summary</w:t>
        <w:t>=</w:t>
        <w:t>Optimize for HPC compute workloads</w:t>
        <w:t xml:space="preserve"> </w:t>
        <w:t>description</w:t>
        <w:t>=</w:t>
        <w:t>Configures virtual memory, CPU governors, and network settings for HPC compute</w:t>
        <w:t xml:space="preserve"> </w:t>
        <w:t>workloads.</w:t>
      </w:r>
    </w:p>
    <w:p>
      <w:pPr>
        <w:pStyle w:val="Normal"/>
      </w:pPr>
      <w:r>
        <w:t>include</w:t>
        <w:t>=</w:t>
        <w:t>latency-performance</w:t>
      </w:r>
    </w:p>
    <w:p>
      <w:pPr>
        <w:pStyle w:val="Para 01"/>
      </w:pPr>
      <w:r>
        <w:t>[vm]</w:t>
      </w:r>
    </w:p>
    <w:p>
      <w:pPr>
        <w:pStyle w:val="Para 10"/>
      </w:pPr>
      <w:r>
        <w:t># Most HPC application can take advantage of hugepages. Force them to on.</w:t>
      </w:r>
      <w:r>
        <w:rPr>
          <w:rStyle w:val="Text3"/>
        </w:rPr>
        <w:t xml:space="preserve"> </w:t>
        <w:t>transparent_hugepages</w:t>
        <w:t>=</w:t>
        <w:t>always</w:t>
      </w:r>
    </w:p>
    <w:p>
      <w:pPr>
        <w:pStyle w:val="Para 01"/>
      </w:pPr>
      <w:r>
        <w:t>[disk]</w:t>
      </w:r>
    </w:p>
    <w:p>
      <w:pPr>
        <w:pStyle w:val="Para 10"/>
      </w:pPr>
      <w:r>
        <w:t># Increase the readahead value to support large, contiguous, files.</w:t>
      </w:r>
      <w:r>
        <w:rPr>
          <w:rStyle w:val="Text3"/>
        </w:rPr>
        <w:t xml:space="preserve"> </w:t>
        <w:t>readahead</w:t>
        <w:t>=</w:t>
        <w:t>&gt;4096</w:t>
      </w:r>
    </w:p>
    <w:p>
      <w:pPr>
        <w:pStyle w:val="Para 01"/>
      </w:pPr>
      <w:r>
        <w:t>[sysctl]</w:t>
      </w:r>
    </w:p>
    <w:p>
      <w:pPr>
        <w:pStyle w:val="Para 09"/>
      </w:pPr>
      <w:r>
        <w:t>(continues on next page)</w:t>
      </w:r>
    </w:p>
    <w:p>
      <w:bookmarkStart w:id="1520" w:name="page_96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1" name="index-960_1.png" descr="index-960_1.png"/>
            <wp:cNvGraphicFramePr>
              <a:graphicFrameLocks noChangeAspect="1"/>
            </wp:cNvGraphicFramePr>
            <a:graphic>
              <a:graphicData uri="http://schemas.openxmlformats.org/drawingml/2006/picture">
                <pic:pic>
                  <pic:nvPicPr>
                    <pic:cNvPr id="0" name="index-960_1.png" descr="index-960_1.png"/>
                    <pic:cNvPicPr/>
                  </pic:nvPicPr>
                  <pic:blipFill>
                    <a:blip r:embed="rId1005"/>
                    <a:stretch>
                      <a:fillRect/>
                    </a:stretch>
                  </pic:blipFill>
                  <pic:spPr>
                    <a:xfrm>
                      <a:off x="0" y="0"/>
                      <a:ext cx="914400" cy="266700"/>
                    </a:xfrm>
                    <a:prstGeom prst="rect">
                      <a:avLst/>
                    </a:prstGeom>
                  </pic:spPr>
                </pic:pic>
              </a:graphicData>
            </a:graphic>
          </wp:anchor>
        </w:drawing>
      </w:r>
      <w:bookmarkEnd w:id="1520"/>
    </w:p>
    <w:p>
      <w:pPr>
        <w:pStyle w:val="Para 09"/>
      </w:pPr>
      <w:r>
        <w:t>(continued from previous page)</w:t>
      </w:r>
    </w:p>
    <w:p>
      <w:pPr>
        <w:pStyle w:val="Para 10"/>
      </w:pPr>
      <w:r>
        <w:t># Keep a reasonable amount of memory free to support large mem requests</w:t>
      </w:r>
      <w:r>
        <w:rPr>
          <w:rStyle w:val="Text3"/>
        </w:rPr>
        <w:t xml:space="preserve"> </w:t>
        <w:t>vm.min_free_kbytes</w:t>
        <w:t>=</w:t>
        <w:t>135168</w:t>
      </w:r>
    </w:p>
    <w:p>
      <w:pPr>
        <w:pStyle w:val="Para 10"/>
      </w:pPr>
      <w:r>
        <w:t># Most HPC applications are NUMA aware. Enabling zone reclaim ensures</w:t>
      </w:r>
      <w:r>
        <w:rPr>
          <w:rStyle w:val="Text3"/>
        </w:rPr>
        <w:t xml:space="preserve"> </w:t>
      </w:r>
      <w:r>
        <w:t># memory is reclaimed and reallocated from local pages. Disabling</w:t>
      </w:r>
      <w:r>
        <w:rPr>
          <w:rStyle w:val="Text3"/>
        </w:rPr>
        <w:t xml:space="preserve"> </w:t>
      </w:r>
      <w:r>
        <w:t># automatic NUMA balancing prevents unwanted memory unmapping.</w:t>
      </w:r>
      <w:r>
        <w:rPr>
          <w:rStyle w:val="Text3"/>
        </w:rPr>
        <w:t xml:space="preserve"> </w:t>
        <w:t>vm.zone_reclaim_mode</w:t>
        <w:t>=</w:t>
        <w:t>1</w:t>
      </w:r>
    </w:p>
    <w:p>
      <w:pPr>
        <w:pStyle w:val="Normal"/>
      </w:pPr>
      <w:r>
        <w:t>kernel.numa_balancing</w:t>
        <w:t>=</w:t>
        <w:t>0</w:t>
      </w:r>
    </w:p>
    <w:p>
      <w:pPr>
        <w:pStyle w:val="Para 10"/>
      </w:pPr>
      <w:r>
        <w:t># Busy polling helps reduce latency in the network receive path</w:t>
      </w:r>
      <w:r>
        <w:rPr>
          <w:rStyle w:val="Text3"/>
        </w:rPr>
        <w:t xml:space="preserve"> </w:t>
      </w:r>
      <w:r>
        <w:t># by allowing socket layer code to poll the receive queue of a</w:t>
      </w:r>
      <w:r>
        <w:rPr>
          <w:rStyle w:val="Text3"/>
        </w:rPr>
        <w:t xml:space="preserve"> </w:t>
      </w:r>
      <w:r>
        <w:t># network device, and disabling network interrupts.</w:t>
      </w:r>
    </w:p>
    <w:p>
      <w:pPr>
        <w:pStyle w:val="Para 10"/>
      </w:pPr>
      <w:r>
        <w:t># busy_read value greater than 0 enables busy polling. Recommended</w:t>
      </w:r>
      <w:r>
        <w:rPr>
          <w:rStyle w:val="Text3"/>
        </w:rPr>
        <w:t xml:space="preserve"> </w:t>
      </w:r>
      <w:r>
        <w:t># net.core.busy_read value is 50.</w:t>
      </w:r>
    </w:p>
    <w:p>
      <w:pPr>
        <w:pStyle w:val="Para 10"/>
      </w:pPr>
      <w:r>
        <w:t># busy_poll value greater than 0 enables polling globally.</w:t>
      </w:r>
      <w:r>
        <w:rPr>
          <w:rStyle w:val="Text3"/>
        </w:rPr>
        <w:t xml:space="preserve"> </w:t>
      </w:r>
      <w:r>
        <w:t># Recommended net.core.busy_poll value is 50</w:t>
      </w:r>
    </w:p>
    <w:p>
      <w:pPr>
        <w:pStyle w:val="Normal"/>
      </w:pPr>
      <w:r>
        <w:t>net.core.busy_read</w:t>
        <w:t>=</w:t>
        <w:t>50</w:t>
      </w:r>
    </w:p>
    <w:p>
      <w:pPr>
        <w:pStyle w:val="Normal"/>
      </w:pPr>
      <w:r>
        <w:t>net.core.busy_poll</w:t>
        <w:t>=</w:t>
        <w:t>50</w:t>
      </w:r>
    </w:p>
    <w:p>
      <w:pPr>
        <w:pStyle w:val="Para 10"/>
      </w:pPr>
      <w:r>
        <w:t># TCP fast open reduces network latency by enabling data exchange</w:t>
      </w:r>
      <w:r>
        <w:rPr>
          <w:rStyle w:val="Text3"/>
        </w:rPr>
        <w:t xml:space="preserve"> </w:t>
      </w:r>
      <w:r>
        <w:t># during the sender's initial TCP SYN. The value 3 enables fast open</w:t>
      </w:r>
      <w:r>
        <w:rPr>
          <w:rStyle w:val="Text3"/>
        </w:rPr>
        <w:t xml:space="preserve"> </w:t>
      </w:r>
      <w:r>
        <w:t># on client and server connections.</w:t>
      </w:r>
    </w:p>
    <w:p>
      <w:pPr>
        <w:pStyle w:val="Normal"/>
      </w:pPr>
      <w:r>
        <w:t>net.ipv4.tcp_fastopen</w:t>
        <w:t>=</w:t>
        <w:t>3</w:t>
      </w:r>
    </w:p>
    <w:p>
      <w:pPr>
        <w:pStyle w:val="Para 17"/>
      </w:pPr>
      <w:r>
        <w:t/>
      </w:r>
    </w:p>
    <w:p>
      <w:pPr>
        <w:pStyle w:val="Normal"/>
      </w:pPr>
      <w:r>
        <w:t xml:space="preserve">The [main] section contains some metadata about this profile, a summary and description, and whether it includes other profiles. In this case, another profile </w:t>
      </w:r>
      <w:r>
        <w:rPr>
          <w:rStyle w:val="Text3"/>
        </w:rPr>
        <w:t>is</w:t>
      </w:r>
      <w:r>
        <w:t xml:space="preserve"> included; the latency-performance profile.</w:t>
      </w:r>
    </w:p>
    <w:p>
      <w:pPr>
        <w:pStyle w:val="Normal"/>
      </w:pPr>
      <w:r>
        <w:t>The sections that follow [main] represent the configuration of tuning plugins.</w:t>
      </w:r>
    </w:p>
    <w:p>
      <w:pPr>
        <w:pStyle w:val="Para 04"/>
      </w:pPr>
      <w:r>
        <w:t>• The first one is the vm plugin, which is used to always make use of huge pages (useful in</w:t>
      </w:r>
    </w:p>
    <w:p>
      <w:pPr>
        <w:pStyle w:val="Para 02"/>
      </w:pPr>
      <w:r>
        <w:t xml:space="preserve">this </w:t>
      </w:r>
      <w:hyperlink w:anchor="page_689">
        <w:r>
          <w:rPr>
            <w:rStyle w:val="Text2"/>
          </w:rPr>
          <w:t>HPC</w:t>
        </w:r>
      </w:hyperlink>
      <w:r>
        <w:t xml:space="preserve"> scenario).</w:t>
      </w:r>
    </w:p>
    <w:p>
      <w:pPr>
        <w:pStyle w:val="Para 04"/>
      </w:pPr>
      <w:r>
        <w:t>• The second plugin used is disk, which is used to set the readahead value to at least 4096.</w:t>
      </w:r>
    </w:p>
    <w:p>
      <w:pPr>
        <w:pStyle w:val="Para 04"/>
      </w:pPr>
      <w:r>
        <w:t>• Finally, the sysctl plugin is configured to set several variables in sysfs (the comments</w:t>
      </w:r>
    </w:p>
    <w:p>
      <w:pPr>
        <w:pStyle w:val="Para 02"/>
      </w:pPr>
      <w:r>
        <w:t>in the example explain the rationale behind each change).</w:t>
      </w:r>
    </w:p>
    <w:p>
      <w:pPr>
        <w:pStyle w:val="Para 17"/>
      </w:pPr>
      <w:r>
        <w:t/>
      </w:r>
    </w:p>
    <w:p>
      <w:pPr>
        <w:pStyle w:val="Para 03"/>
      </w:pPr>
      <w:r>
        <w:t xml:space="preserve">*1: This is a universe package Ubuntu ships this software as part of its </w:t>
      </w:r>
      <w:hyperlink r:id="rId1912">
        <w:r>
          <w:rPr>
            <w:rStyle w:val="Text1"/>
          </w:rPr>
          <w:t>universe reposi-</w:t>
        </w:r>
      </w:hyperlink>
    </w:p>
    <w:p>
      <w:pPr>
        <w:pStyle w:val="Para 03"/>
      </w:pPr>
      <w:hyperlink r:id="rId1912">
        <w:r>
          <w:rPr>
            <w:rStyle w:val="Text1"/>
          </w:rPr>
          <w:t>tory</w:t>
        </w:r>
      </w:hyperlink>
      <w:r>
        <w:t xml:space="preserve"> </w:t>
      </w:r>
      <w:hyperlink w:anchor="page_960">
        <w:r>
          <w:rPr>
            <w:rStyle w:val="Text9"/>
          </w:rPr>
          <w:t>1105</w:t>
        </w:r>
      </w:hyperlink>
      <w:r>
        <w:t>, which is maintained by volunteers from the Ubuntu community. Canonical also</w:t>
      </w:r>
    </w:p>
    <w:p>
      <w:pPr>
        <w:pStyle w:val="Para 03"/>
      </w:pPr>
      <w:r>
        <w:t xml:space="preserve">offers </w:t>
      </w:r>
      <w:hyperlink r:id="rId1058">
        <w:r>
          <w:rPr>
            <w:rStyle w:val="Text9"/>
          </w:rPr>
          <w:t>1106</w:t>
        </w:r>
      </w:hyperlink>
      <w:hyperlink r:id="rId1058">
        <w:r>
          <w:rPr>
            <w:rStyle w:val="Text1"/>
          </w:rPr>
          <w:t xml:space="preserve"> Ubuntu Pro</w:t>
        </w:r>
      </w:hyperlink>
      <w:r>
        <w:t xml:space="preserve"> – a free-for-personal-use subscription that provides a 10 year </w:t>
      </w:r>
      <w:hyperlink r:id="rId1266">
        <w:r>
          <w:rPr>
            <w:rStyle w:val="Text1"/>
          </w:rPr>
          <w:t>secu-</w:t>
        </w:r>
      </w:hyperlink>
    </w:p>
    <w:p>
      <w:pPr>
        <w:pStyle w:val="Para 22"/>
      </w:pPr>
      <w:hyperlink r:id="rId1266">
        <w:r>
          <w:t>rity maintenance commitment</w:t>
        </w:r>
      </w:hyperlink>
      <w:r>
        <w:rPr>
          <w:rStyle w:val="Text7"/>
        </w:rPr>
        <w:t xml:space="preserve"> </w:t>
      </w:r>
      <w:hyperlink w:anchor="page_960">
        <w:r>
          <w:rPr>
            <w:rStyle w:val="Text10"/>
          </w:rPr>
          <w:t>1107</w:t>
        </w:r>
      </w:hyperlink>
      <w:r>
        <w:rPr>
          <w:rStyle w:val="Text7"/>
        </w:rPr>
        <w:t>.</w:t>
      </w:r>
    </w:p>
    <w:p>
      <w:pPr>
        <w:pStyle w:val="Para 05"/>
      </w:pPr>
      <w:r>
        <w:rPr>
          <w:rStyle w:val="Text5"/>
        </w:rPr>
        <w:t>1105</w:t>
      </w:r>
      <w:r>
        <w:rPr>
          <w:rStyle w:val="Text8"/>
        </w:rPr>
        <w:t xml:space="preserve"> </w:t>
      </w:r>
      <w:r>
        <w:t>https://documentation.ubuntu.com/pro-client/en/latest/explanations/about_esm/</w:t>
      </w:r>
    </w:p>
    <w:p>
      <w:pPr>
        <w:pStyle w:val="Para 05"/>
      </w:pPr>
      <w:r>
        <w:t>#what-are-main-and-universe</w:t>
      </w:r>
    </w:p>
    <w:p>
      <w:pPr>
        <w:pStyle w:val="Para 05"/>
      </w:pPr>
      <w:r>
        <w:rPr>
          <w:rStyle w:val="Text5"/>
        </w:rPr>
        <w:t>1106</w:t>
      </w:r>
      <w:r>
        <w:rPr>
          <w:rStyle w:val="Text8"/>
        </w:rPr>
        <w:t xml:space="preserve"> </w:t>
      </w:r>
      <w:r>
        <w:t>https://ubuntu.com/pro</w:t>
      </w:r>
    </w:p>
    <w:p>
      <w:pPr>
        <w:pStyle w:val="Para 05"/>
      </w:pPr>
      <w:r>
        <w:rPr>
          <w:rStyle w:val="Text5"/>
        </w:rPr>
        <w:t>1107</w:t>
      </w:r>
      <w:r>
        <w:rPr>
          <w:rStyle w:val="Text8"/>
        </w:rPr>
        <w:t xml:space="preserve"> </w:t>
      </w:r>
      <w:r>
        <w:t>https://ubuntu.com/security/esm</w:t>
      </w:r>
    </w:p>
    <w:p>
      <w:bookmarkStart w:id="1521" w:name="calibre_pb_280"/>
      <w:pPr>
        <w:pStyle w:val="0 Block"/>
      </w:pPr>
      <w:bookmarkEnd w:id="1521"/>
    </w:p>
    <w:p>
      <w:bookmarkStart w:id="1522" w:name="Top_of_index_split_281_html"/>
      <w:bookmarkStart w:id="1523" w:name="page_96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2" name="index-961_1.png" descr="index-961_1.png"/>
            <wp:cNvGraphicFramePr>
              <a:graphicFrameLocks noChangeAspect="1"/>
            </wp:cNvGraphicFramePr>
            <a:graphic>
              <a:graphicData uri="http://schemas.openxmlformats.org/drawingml/2006/picture">
                <pic:pic>
                  <pic:nvPicPr>
                    <pic:cNvPr id="0" name="index-961_1.png" descr="index-961_1.png"/>
                    <pic:cNvPicPr/>
                  </pic:nvPicPr>
                  <pic:blipFill>
                    <a:blip r:embed="rId1006"/>
                    <a:stretch>
                      <a:fillRect/>
                    </a:stretch>
                  </pic:blipFill>
                  <pic:spPr>
                    <a:xfrm>
                      <a:off x="0" y="0"/>
                      <a:ext cx="914400" cy="266700"/>
                    </a:xfrm>
                    <a:prstGeom prst="rect">
                      <a:avLst/>
                    </a:prstGeom>
                  </pic:spPr>
                </pic:pic>
              </a:graphicData>
            </a:graphic>
          </wp:anchor>
        </w:drawing>
      </w:r>
      <w:bookmarkEnd w:id="1522"/>
      <w:bookmarkEnd w:id="1523"/>
    </w:p>
    <w:p>
      <w:pPr>
        <w:pStyle w:val="Para 01"/>
      </w:pPr>
      <w:r>
        <w:t>Further reading</w:t>
      </w:r>
    </w:p>
    <w:p>
      <w:pPr>
        <w:pStyle w:val="Para 17"/>
      </w:pPr>
      <w:r>
        <w:t/>
      </w:r>
    </w:p>
    <w:p>
      <w:pPr>
        <w:pStyle w:val="Para 13"/>
      </w:pPr>
      <w:r>
        <w:rPr>
          <w:rStyle w:val="Text7"/>
        </w:rPr>
        <w:t xml:space="preserve">• </w:t>
      </w:r>
      <w:hyperlink w:anchor="page_961">
        <w:r>
          <w:rPr>
            <w:rStyle w:val="Text10"/>
          </w:rPr>
          <w:t>1108</w:t>
        </w:r>
      </w:hyperlink>
      <w:r>
        <w:rPr>
          <w:rStyle w:val="Text7"/>
        </w:rPr>
        <w:t xml:space="preserve"> </w:t>
      </w:r>
      <w:hyperlink r:id="rId1910">
        <w:r>
          <w:t>TuneD website</w:t>
        </w:r>
      </w:hyperlink>
    </w:p>
    <w:p>
      <w:pPr>
        <w:pStyle w:val="Para 04"/>
      </w:pPr>
      <w:r>
        <w:t xml:space="preserve">• </w:t>
      </w:r>
      <w:hyperlink w:anchor="page_961">
        <w:r>
          <w:rPr>
            <w:rStyle w:val="Text9"/>
          </w:rPr>
          <w:t>1109</w:t>
        </w:r>
      </w:hyperlink>
      <w:r>
        <w:t xml:space="preserve"> </w:t>
      </w:r>
      <w:hyperlink r:id="rId1913">
        <w:r>
          <w:rPr>
            <w:rStyle w:val="Text2"/>
          </w:rPr>
          <w:t>tuned-adm(8)</w:t>
        </w:r>
      </w:hyperlink>
      <w:r>
        <w:t xml:space="preserve"> manual page</w:t>
      </w:r>
    </w:p>
    <w:p>
      <w:pPr>
        <w:pStyle w:val="Para 04"/>
      </w:pPr>
      <w:r>
        <w:t xml:space="preserve">• </w:t>
      </w:r>
      <w:hyperlink w:anchor="page_961">
        <w:r>
          <w:rPr>
            <w:rStyle w:val="Text9"/>
          </w:rPr>
          <w:t>1110</w:t>
        </w:r>
      </w:hyperlink>
      <w:r>
        <w:t xml:space="preserve"> </w:t>
      </w:r>
      <w:hyperlink r:id="rId1914">
        <w:r>
          <w:rPr>
            <w:rStyle w:val="Text2"/>
          </w:rPr>
          <w:t>TuneD profiles</w:t>
        </w:r>
      </w:hyperlink>
      <w:r>
        <w:t xml:space="preserve"> manual page</w:t>
      </w:r>
    </w:p>
    <w:p>
      <w:pPr>
        <w:pStyle w:val="Para 04"/>
      </w:pPr>
      <w:r>
        <w:t xml:space="preserve">• </w:t>
      </w:r>
      <w:hyperlink w:anchor="page_961">
        <w:r>
          <w:rPr>
            <w:rStyle w:val="Text9"/>
          </w:rPr>
          <w:t>1111</w:t>
        </w:r>
      </w:hyperlink>
      <w:r>
        <w:t xml:space="preserve"> </w:t>
      </w:r>
      <w:hyperlink r:id="rId1915">
        <w:r>
          <w:rPr>
            <w:rStyle w:val="Text2"/>
          </w:rPr>
          <w:t>TuneD daemon</w:t>
        </w:r>
      </w:hyperlink>
      <w:r>
        <w:t xml:space="preserve"> manual page</w:t>
      </w:r>
    </w:p>
    <w:p>
      <w:pPr>
        <w:pStyle w:val="Para 14"/>
      </w:pPr>
      <w:r>
        <w:rPr>
          <w:rStyle w:val="Text4"/>
        </w:rPr>
        <w:t xml:space="preserve">• </w:t>
      </w:r>
      <w:hyperlink w:anchor="page_961">
        <w:r>
          <w:rPr>
            <w:rStyle w:val="Text15"/>
          </w:rPr>
          <w:t>1112</w:t>
        </w:r>
      </w:hyperlink>
      <w:r>
        <w:rPr>
          <w:rStyle w:val="Text4"/>
        </w:rPr>
        <w:t xml:space="preserve"> </w:t>
      </w:r>
      <w:hyperlink r:id="rId1911">
        <w:r>
          <w:t>TuneD configuration</w:t>
        </w:r>
      </w:hyperlink>
      <w:r>
        <w:rPr>
          <w:rStyle w:val="Text4"/>
        </w:rPr>
        <w:t xml:space="preserve"> manual page</w:t>
      </w:r>
    </w:p>
    <w:p>
      <w:pPr>
        <w:pStyle w:val="Para 17"/>
      </w:pPr>
      <w:r>
        <w:t/>
      </w:r>
    </w:p>
    <w:p>
      <w:pPr>
        <w:pStyle w:val="Para 37"/>
      </w:pPr>
      <w:r>
        <w:t>3.5. Contribute to this documentation</w:t>
      </w:r>
    </w:p>
    <w:p>
      <w:pPr>
        <w:pStyle w:val="Normal"/>
      </w:pPr>
      <w:r>
        <w:t>Contributing to documentation can be a fantastic way to get started as a contributor to open source projects, no matter your level of experience!</w:t>
      </w:r>
    </w:p>
    <w:p>
      <w:pPr>
        <w:pStyle w:val="Normal"/>
      </w:pPr>
      <w:r>
        <w:t xml:space="preserve">The Ubuntu Server documentation is </w:t>
      </w:r>
      <w:hyperlink r:id="rId1916">
        <w:r>
          <w:rPr>
            <w:rStyle w:val="Text9"/>
          </w:rPr>
          <w:t>1113</w:t>
        </w:r>
      </w:hyperlink>
      <w:hyperlink r:id="rId1916">
        <w:r>
          <w:rPr>
            <w:rStyle w:val="Text1"/>
          </w:rPr>
          <w:t xml:space="preserve"> hosted in GitHub</w:t>
        </w:r>
      </w:hyperlink>
      <w:r>
        <w:t xml:space="preserve"> and </w:t>
      </w:r>
      <w:hyperlink r:id="rId1917">
        <w:r>
          <w:rPr>
            <w:rStyle w:val="Text1"/>
          </w:rPr>
          <w:t>rendered on Read the</w:t>
        </w:r>
      </w:hyperlink>
    </w:p>
    <w:p>
      <w:pPr>
        <w:pStyle w:val="Normal"/>
      </w:pPr>
      <w:hyperlink r:id="rId1917">
        <w:r>
          <w:rPr>
            <w:rStyle w:val="Text1"/>
          </w:rPr>
          <w:t>Docs</w:t>
        </w:r>
      </w:hyperlink>
      <w:hyperlink w:anchor="page_961">
        <w:r>
          <w:rPr>
            <w:rStyle w:val="Text9"/>
          </w:rPr>
          <w:t>1114</w:t>
        </w:r>
      </w:hyperlink>
      <w:r>
        <w:t>. It is a collaborative effort between Canonical and the Ubuntu community. There</w:t>
      </w:r>
    </w:p>
    <w:p>
      <w:pPr>
        <w:pStyle w:val="Normal"/>
      </w:pPr>
      <w:r>
        <w:t xml:space="preserve">are many ways to contribute to the Ubuntu Server documentation, including many </w:t>
      </w:r>
      <w:hyperlink w:anchor="page_963">
        <w:r>
          <w:rPr>
            <w:rStyle w:val="Text2"/>
          </w:rPr>
          <w:t>options</w:t>
        </w:r>
      </w:hyperlink>
    </w:p>
    <w:p>
      <w:pPr>
        <w:pStyle w:val="Para 20"/>
      </w:pPr>
      <w:hyperlink w:anchor="page_963">
        <w:r>
          <w:t>that don’t require any coding</w:t>
        </w:r>
      </w:hyperlink>
      <w:r>
        <w:rPr>
          <w:rStyle w:val="Text4"/>
        </w:rPr>
        <w:t xml:space="preserve"> (page 962).</w:t>
      </w:r>
    </w:p>
    <w:p>
      <w:pPr>
        <w:pStyle w:val="Normal"/>
      </w:pPr>
      <w:r>
        <w:t>We hope to make it as easy as possible to contribute. If you need help at all with the contri-</w:t>
      </w:r>
    </w:p>
    <w:p>
      <w:pPr>
        <w:pStyle w:val="Normal"/>
      </w:pPr>
      <w:r>
        <w:t xml:space="preserve">bution process, </w:t>
      </w:r>
      <w:hyperlink w:anchor="page_976">
        <w:r>
          <w:rPr>
            <w:rStyle w:val="Text2"/>
          </w:rPr>
          <w:t>please let us know</w:t>
        </w:r>
      </w:hyperlink>
      <w:r>
        <w:t xml:space="preserve"> (page 975)!</w:t>
      </w:r>
    </w:p>
    <w:p>
      <w:pPr>
        <w:pStyle w:val="Para 24"/>
      </w:pPr>
      <w:r>
        <w:t>3.5.1. The Open Documentation Academy</w:t>
      </w:r>
    </w:p>
    <w:p>
      <w:pPr>
        <w:pStyle w:val="Normal"/>
      </w:pPr>
      <w:r>
        <w:t xml:space="preserve">Ubuntu Server is a proud member of the </w:t>
      </w:r>
      <w:hyperlink w:anchor="page_961">
        <w:r>
          <w:rPr>
            <w:rStyle w:val="Text9"/>
          </w:rPr>
          <w:t>1115</w:t>
        </w:r>
      </w:hyperlink>
      <w:r>
        <w:t xml:space="preserve"> </w:t>
      </w:r>
      <w:hyperlink r:id="rId1918">
        <w:r>
          <w:rPr>
            <w:rStyle w:val="Text1"/>
          </w:rPr>
          <w:t>Canonical Open Documentation Academy</w:t>
        </w:r>
      </w:hyperlink>
    </w:p>
    <w:p>
      <w:pPr>
        <w:pStyle w:val="Normal"/>
      </w:pPr>
      <w:r>
        <w:t>(CODA). If you are new to making open source contributions, or new to technical writing and want to boost your skills – or both! – we will be glad to help.</w:t>
      </w:r>
    </w:p>
    <w:p>
      <w:pPr>
        <w:pStyle w:val="Para 24"/>
      </w:pPr>
      <w:r>
        <w:t>3.5.2. Contributions we accept</w:t>
      </w:r>
    </w:p>
    <w:p>
      <w:pPr>
        <w:pStyle w:val="Normal"/>
      </w:pPr>
      <w:r>
        <w:t>We especially value contributions that improve the documentation’s clarity, accuracy, and usefulness. If you spot a problem, you can report it to us using the “Give feedback” button at the top of every documentation page. Please give us as much information as you can to help us address the problem.</w:t>
      </w:r>
    </w:p>
    <w:p>
      <w:pPr>
        <w:pStyle w:val="Normal"/>
      </w:pPr>
      <w:r>
        <w:t>If the issue is one of the following very small issues, and you want to fix it yourself, you can</w:t>
      </w:r>
    </w:p>
    <w:p>
      <w:pPr>
        <w:pStyle w:val="Normal"/>
      </w:pPr>
      <w:r>
        <w:t xml:space="preserve">submit a pull request (PR) with your changes </w:t>
      </w:r>
      <w:hyperlink w:anchor="page_967">
        <w:r>
          <w:rPr>
            <w:rStyle w:val="Text2"/>
          </w:rPr>
          <w:t>directly in the GitHub web interface</w:t>
        </w:r>
      </w:hyperlink>
      <w:r>
        <w:t xml:space="preserve"> (page 966):</w:t>
      </w:r>
    </w:p>
    <w:p>
      <w:pPr>
        <w:pStyle w:val="Para 04"/>
      </w:pPr>
      <w:r>
        <w:t>• Typo corrections</w:t>
      </w:r>
    </w:p>
    <w:p>
      <w:pPr>
        <w:pStyle w:val="Para 04"/>
      </w:pPr>
      <w:r>
        <w:t>• Minor technical corrections</w:t>
      </w:r>
    </w:p>
    <w:p>
      <w:pPr>
        <w:pStyle w:val="Para 04"/>
      </w:pPr>
      <w:r>
        <w:t>• Broken link fixes</w:t>
      </w:r>
    </w:p>
    <w:p>
      <w:pPr>
        <w:pStyle w:val="Para 04"/>
      </w:pPr>
      <w:r>
        <w:t>• Small clarifications</w:t>
      </w:r>
    </w:p>
    <w:p>
      <w:pPr>
        <w:pStyle w:val="Normal"/>
      </w:pPr>
      <w:r>
        <w:t>For changes larger than those, we require contributor PRs to be tied to an issue. Examples of changes that require an issue are things like:</w:t>
      </w:r>
    </w:p>
    <w:p>
      <w:pPr>
        <w:pStyle w:val="Para 16"/>
      </w:pPr>
      <w:r>
        <w:rPr>
          <w:rStyle w:val="Text5"/>
        </w:rPr>
        <w:t>1108</w:t>
      </w:r>
      <w:r>
        <w:rPr>
          <w:rStyle w:val="Text8"/>
        </w:rPr>
        <w:t xml:space="preserve"> </w:t>
      </w:r>
      <w:r>
        <w:t>https://tuned-project.org/</w:t>
      </w:r>
    </w:p>
    <w:p>
      <w:pPr>
        <w:pStyle w:val="Para 16"/>
      </w:pPr>
      <w:r>
        <w:rPr>
          <w:rStyle w:val="Text5"/>
        </w:rPr>
        <w:t>1109</w:t>
      </w:r>
      <w:r>
        <w:rPr>
          <w:rStyle w:val="Text8"/>
        </w:rPr>
        <w:t xml:space="preserve"> </w:t>
      </w:r>
      <w:r>
        <w:t>https://manpages.ubuntu.com/manpages/resolute/man8/tuned-adm.8.html</w:t>
      </w:r>
      <w:r>
        <w:rPr>
          <w:rStyle w:val="Text8"/>
        </w:rPr>
        <w:t xml:space="preserve"> </w:t>
      </w:r>
      <w:r>
        <w:rPr>
          <w:rStyle w:val="Text5"/>
        </w:rPr>
        <w:t>1110</w:t>
      </w:r>
      <w:r>
        <w:rPr>
          <w:rStyle w:val="Text8"/>
        </w:rPr>
        <w:t xml:space="preserve"> </w:t>
      </w:r>
      <w:r>
        <w:t>https://manpages.ubuntu.com/manpages/resolute/man7/tuned-profiles.7.html</w:t>
      </w:r>
      <w:r>
        <w:rPr>
          <w:rStyle w:val="Text8"/>
        </w:rPr>
        <w:t xml:space="preserve"> </w:t>
      </w:r>
      <w:r>
        <w:rPr>
          <w:rStyle w:val="Text5"/>
        </w:rPr>
        <w:t>1111</w:t>
      </w:r>
      <w:r>
        <w:rPr>
          <w:rStyle w:val="Text8"/>
        </w:rPr>
        <w:t xml:space="preserve"> </w:t>
      </w:r>
      <w:r>
        <w:t>https://manpages.ubuntu.com/manpages/resolute/man8/tuned.8.html</w:t>
      </w:r>
      <w:r>
        <w:rPr>
          <w:rStyle w:val="Text8"/>
        </w:rPr>
        <w:t xml:space="preserve"> </w:t>
      </w:r>
      <w:r>
        <w:rPr>
          <w:rStyle w:val="Text5"/>
        </w:rPr>
        <w:t>1112</w:t>
      </w:r>
      <w:r>
        <w:rPr>
          <w:rStyle w:val="Text8"/>
        </w:rPr>
        <w:t xml:space="preserve"> </w:t>
      </w:r>
      <w:r>
        <w:t>https://manpages.ubuntu.com/manpages/resolute/man5/tuned.conf.5.html</w:t>
      </w:r>
      <w:r>
        <w:rPr>
          <w:rStyle w:val="Text8"/>
        </w:rPr>
        <w:t xml:space="preserve"> </w:t>
      </w:r>
      <w:r>
        <w:rPr>
          <w:rStyle w:val="Text5"/>
        </w:rPr>
        <w:t>1113</w:t>
      </w:r>
      <w:r>
        <w:rPr>
          <w:rStyle w:val="Text8"/>
        </w:rPr>
        <w:t xml:space="preserve"> </w:t>
      </w:r>
      <w:r>
        <w:t>https://github.com/canonical/ubuntu-server-documentation</w:t>
      </w:r>
      <w:r>
        <w:rPr>
          <w:rStyle w:val="Text8"/>
        </w:rPr>
        <w:t xml:space="preserve"> </w:t>
      </w:r>
      <w:r>
        <w:rPr>
          <w:rStyle w:val="Text5"/>
        </w:rPr>
        <w:t>1114</w:t>
      </w:r>
      <w:r>
        <w:rPr>
          <w:rStyle w:val="Text8"/>
        </w:rPr>
        <w:t xml:space="preserve"> </w:t>
      </w:r>
      <w:r>
        <w:t>https://ubuntu.com/server/docs/</w:t>
      </w:r>
    </w:p>
    <w:p>
      <w:pPr>
        <w:pStyle w:val="Para 16"/>
      </w:pPr>
      <w:r>
        <w:rPr>
          <w:rStyle w:val="Text5"/>
        </w:rPr>
        <w:t>1115</w:t>
      </w:r>
      <w:r>
        <w:rPr>
          <w:rStyle w:val="Text8"/>
        </w:rPr>
        <w:t xml:space="preserve"> </w:t>
      </w:r>
      <w:r>
        <w:t>https://github.com/canonical/open-documentation-academy</w:t>
      </w:r>
    </w:p>
    <w:p>
      <w:bookmarkStart w:id="1524" w:name="page_9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3" name="index-962_1.png" descr="index-962_1.png"/>
            <wp:cNvGraphicFramePr>
              <a:graphicFrameLocks noChangeAspect="1"/>
            </wp:cNvGraphicFramePr>
            <a:graphic>
              <a:graphicData uri="http://schemas.openxmlformats.org/drawingml/2006/picture">
                <pic:pic>
                  <pic:nvPicPr>
                    <pic:cNvPr id="0" name="index-962_1.png" descr="index-962_1.png"/>
                    <pic:cNvPicPr/>
                  </pic:nvPicPr>
                  <pic:blipFill>
                    <a:blip r:embed="rId1007"/>
                    <a:stretch>
                      <a:fillRect/>
                    </a:stretch>
                  </pic:blipFill>
                  <pic:spPr>
                    <a:xfrm>
                      <a:off x="0" y="0"/>
                      <a:ext cx="914400" cy="266700"/>
                    </a:xfrm>
                    <a:prstGeom prst="rect">
                      <a:avLst/>
                    </a:prstGeom>
                  </pic:spPr>
                </pic:pic>
              </a:graphicData>
            </a:graphic>
          </wp:anchor>
        </w:drawing>
      </w:r>
      <w:bookmarkEnd w:id="1524"/>
    </w:p>
    <w:p>
      <w:pPr>
        <w:pStyle w:val="Para 04"/>
      </w:pPr>
      <w:r>
        <w:t>• Adding new sections or pages</w:t>
      </w:r>
    </w:p>
    <w:p>
      <w:pPr>
        <w:pStyle w:val="Para 04"/>
      </w:pPr>
      <w:r>
        <w:t>• Restructuring existing pages</w:t>
      </w:r>
    </w:p>
    <w:p>
      <w:pPr>
        <w:pStyle w:val="Para 04"/>
      </w:pPr>
      <w:r>
        <w:t>• Extensive rewording</w:t>
      </w:r>
    </w:p>
    <w:p>
      <w:pPr>
        <w:pStyle w:val="Para 04"/>
      </w:pPr>
      <w:r>
        <w:t>• Significant technical corrections or updates</w:t>
      </w:r>
    </w:p>
    <w:p>
      <w:pPr>
        <w:pStyle w:val="Para 04"/>
      </w:pPr>
      <w:r>
        <w:t>• Feature additions or enhancements</w:t>
      </w:r>
    </w:p>
    <w:p>
      <w:pPr>
        <w:pStyle w:val="Normal"/>
      </w:pPr>
      <w:r>
        <w:t xml:space="preserve">For the full description of the contribution workflow, see </w:t>
      </w:r>
      <w:hyperlink w:anchor="page_965">
        <w:r>
          <w:rPr>
            <w:rStyle w:val="Text2"/>
          </w:rPr>
          <w:t>Local development</w:t>
        </w:r>
      </w:hyperlink>
      <w:r>
        <w:t xml:space="preserve"> (page 964).</w:t>
      </w:r>
    </w:p>
    <w:p>
      <w:pPr>
        <w:pStyle w:val="Para 24"/>
      </w:pPr>
      <w:r>
        <w:t>3.5.3. Contributions we don’t accept</w:t>
      </w:r>
    </w:p>
    <w:p>
      <w:pPr>
        <w:pStyle w:val="Normal"/>
      </w:pPr>
      <w:r>
        <w:t>We reserve the right to reject any contribution at our own discretion where:</w:t>
      </w:r>
    </w:p>
    <w:p>
      <w:pPr>
        <w:pStyle w:val="Para 01"/>
      </w:pPr>
      <w:r>
        <w:t>The outline of proposed work has not already been agreed by a maintainer.</w:t>
      </w:r>
    </w:p>
    <w:p>
      <w:pPr>
        <w:pStyle w:val="Para 02"/>
      </w:pPr>
      <w:r>
        <w:t xml:space="preserve">To protect maintainers’ limited time, we do not accept unsolicited contributions. A PR must be tied to a valid and agreed issue unless it only makes a small change. Submitting an issue after a PR doesn’t </w:t>
      </w:r>
      <w:r>
        <w:rPr>
          <w:rStyle w:val="Text3"/>
        </w:rPr>
        <w:t>guarantee</w:t>
      </w:r>
      <w:r>
        <w:t xml:space="preserve"> that we will then accept the PR. To save yourself</w:t>
      </w:r>
    </w:p>
    <w:p>
      <w:pPr>
        <w:pStyle w:val="Para 02"/>
      </w:pPr>
      <w:r>
        <w:t xml:space="preserve">time, effort, and frustration, please </w:t>
      </w:r>
      <w:hyperlink w:anchor="page_965">
        <w:r>
          <w:rPr>
            <w:rStyle w:val="Text2"/>
          </w:rPr>
          <w:t>follow the outlined procedures</w:t>
        </w:r>
      </w:hyperlink>
      <w:r>
        <w:t xml:space="preserve"> (page 964).</w:t>
      </w:r>
    </w:p>
    <w:p>
      <w:pPr>
        <w:pStyle w:val="Para 01"/>
      </w:pPr>
      <w:r>
        <w:t>The pull request far exceeds the scope of what was agreed.</w:t>
      </w:r>
    </w:p>
    <w:p>
      <w:pPr>
        <w:pStyle w:val="Para 02"/>
      </w:pPr>
      <w:r>
        <w:t>“Scope creep” makes it much harder to review and accept changes. If a pull request becomes too large, we may ask you to break it into multiple smaller PRs. Stick to the scope of the original issue as much as you can – if you discover more changes need to be made, discuss them in the PR or the original issue. A new PR can be submitted with the extra fixes.</w:t>
      </w:r>
    </w:p>
    <w:p>
      <w:pPr>
        <w:pStyle w:val="Para 01"/>
      </w:pPr>
      <w:r>
        <w:t>The contribution makes changes without value.</w:t>
      </w:r>
    </w:p>
    <w:p>
      <w:pPr>
        <w:pStyle w:val="Para 02"/>
      </w:pPr>
      <w:r>
        <w:t xml:space="preserve">To have value, changes must be a </w:t>
      </w:r>
      <w:r>
        <w:rPr>
          <w:rStyle w:val="Text3"/>
        </w:rPr>
        <w:t>specific and concrete improvement</w:t>
      </w:r>
      <w:r>
        <w:t xml:space="preserve"> over what already exists. We don’t accept generic “polishing” (e.g. substituting synonyms, rewording without adding clarity). If your contribution contains </w:t>
      </w:r>
      <w:r>
        <w:rPr>
          <w:rStyle w:val="Text3"/>
        </w:rPr>
        <w:t>some</w:t>
      </w:r>
      <w:r>
        <w:t xml:space="preserve"> of these, we will ask you to undo them – but will gladly accept the remaining parts of your pull request that are real improvements. If your contribution </w:t>
      </w:r>
      <w:r>
        <w:rPr>
          <w:rStyle w:val="Text3"/>
        </w:rPr>
        <w:t>only</w:t>
      </w:r>
      <w:r>
        <w:t xml:space="preserve"> contains low-value changes, it will be rejected.</w:t>
      </w:r>
    </w:p>
    <w:p>
      <w:pPr>
        <w:pStyle w:val="Para 01"/>
      </w:pPr>
      <w:r>
        <w:t>We deem the contribution to be AI generated.</w:t>
      </w:r>
    </w:p>
    <w:p>
      <w:pPr>
        <w:pStyle w:val="Para 02"/>
      </w:pPr>
      <w:r>
        <w:t>We don’t want any part of the Server documentation to look or feel like it was produced by AI. Therefore, if what you submitted cannot be easily distinguished from AI output, it</w:t>
      </w:r>
    </w:p>
    <w:p>
      <w:pPr>
        <w:pStyle w:val="Para 02"/>
      </w:pPr>
      <w:r>
        <w:t xml:space="preserve">does not meet our contribution requirements. See our </w:t>
      </w:r>
      <w:hyperlink w:anchor="page_963">
        <w:r>
          <w:rPr>
            <w:rStyle w:val="Text2"/>
          </w:rPr>
          <w:t>Acceptable use of AI</w:t>
        </w:r>
      </w:hyperlink>
      <w:r>
        <w:t xml:space="preserve"> (page 962) policy.</w:t>
      </w:r>
    </w:p>
    <w:p>
      <w:pPr>
        <w:pStyle w:val="Para 01"/>
      </w:pPr>
      <w:r>
        <w:t>The issue the pull request is addressing was assigned to someone else.</w:t>
      </w:r>
    </w:p>
    <w:p>
      <w:pPr>
        <w:pStyle w:val="Para 02"/>
      </w:pPr>
      <w:r>
        <w:t>We want to make this a safe place for contributors to work on issues in their own time and without pressure. Please treat others as you’d want to be treated. If you like an issue someone else is working on, let us know and we’ll create a similar one for you.</w:t>
      </w:r>
    </w:p>
    <w:p>
      <w:pPr>
        <w:pStyle w:val="Para 24"/>
      </w:pPr>
      <w:r>
        <w:t>3.5.4. AI policy</w:t>
      </w:r>
    </w:p>
    <w:p>
      <w:pPr>
        <w:pStyle w:val="Normal"/>
      </w:pPr>
      <w:r>
        <w:t>The Ubuntu Server documentation has been created by humans, for humans. The occasional “jagged edges” you might find (typos, slightly unconventional wording, humour) represent the very human voices of the people who collaborated to create it. We don’t want to average those away by passing the documentation through LLMs.</w:t>
      </w:r>
    </w:p>
    <w:p>
      <w:pPr>
        <w:pStyle w:val="Normal"/>
      </w:pPr>
      <w:r>
        <w:t>This policy exists to protect our readers, our community of contributors, and the project main-tainers. As AI continues to evolve, we will update these guidelines accordingly.</w:t>
      </w:r>
    </w:p>
    <w:p>
      <w:bookmarkStart w:id="1525" w:name="page_96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4" name="index-963_1.png" descr="index-963_1.png"/>
            <wp:cNvGraphicFramePr>
              <a:graphicFrameLocks noChangeAspect="1"/>
            </wp:cNvGraphicFramePr>
            <a:graphic>
              <a:graphicData uri="http://schemas.openxmlformats.org/drawingml/2006/picture">
                <pic:pic>
                  <pic:nvPicPr>
                    <pic:cNvPr id="0" name="index-963_1.png" descr="index-963_1.png"/>
                    <pic:cNvPicPr/>
                  </pic:nvPicPr>
                  <pic:blipFill>
                    <a:blip r:embed="rId1008"/>
                    <a:stretch>
                      <a:fillRect/>
                    </a:stretch>
                  </pic:blipFill>
                  <pic:spPr>
                    <a:xfrm>
                      <a:off x="0" y="0"/>
                      <a:ext cx="914400" cy="266700"/>
                    </a:xfrm>
                    <a:prstGeom prst="rect">
                      <a:avLst/>
                    </a:prstGeom>
                  </pic:spPr>
                </pic:pic>
              </a:graphicData>
            </a:graphic>
          </wp:anchor>
        </w:drawing>
      </w:r>
      <w:bookmarkEnd w:id="1525"/>
    </w:p>
    <w:p>
      <w:pPr>
        <w:pStyle w:val="Para 01"/>
      </w:pPr>
      <w:r>
        <w:t>Acceptable use of AI</w:t>
      </w:r>
    </w:p>
    <w:p>
      <w:pPr>
        <w:pStyle w:val="Para 17"/>
      </w:pPr>
      <w:r>
        <w:t/>
      </w:r>
    </w:p>
    <w:p>
      <w:pPr>
        <w:pStyle w:val="Normal"/>
      </w:pPr>
      <w:r>
        <w:t>We don’t ban our contributors from using AI. However, we do expect anyone contributing to this project to use it responsibly, as a helper, and not as something that replaces them. Some examples of acceptable usage include:</w:t>
      </w:r>
    </w:p>
    <w:p>
      <w:pPr>
        <w:pStyle w:val="Para 04"/>
      </w:pPr>
      <w:r>
        <w:t>• Using AI as a spellchecker or grammar helper</w:t>
      </w:r>
    </w:p>
    <w:p>
      <w:pPr>
        <w:pStyle w:val="Para 04"/>
      </w:pPr>
      <w:r>
        <w:t>• Using it to help with translation into English</w:t>
      </w:r>
    </w:p>
    <w:p>
      <w:pPr>
        <w:pStyle w:val="Para 04"/>
      </w:pPr>
      <w:r>
        <w:t>• Using it to help outline and organize a draft</w:t>
      </w:r>
    </w:p>
    <w:p>
      <w:pPr>
        <w:pStyle w:val="Para 04"/>
      </w:pPr>
      <w:r>
        <w:t>• Using it adversarially, to point out missing sections</w:t>
      </w:r>
    </w:p>
    <w:p>
      <w:pPr>
        <w:pStyle w:val="Para 04"/>
      </w:pPr>
      <w:r>
        <w:t>• Ensuring formatting adheres to our style guide</w:t>
      </w:r>
    </w:p>
    <w:p>
      <w:pPr>
        <w:pStyle w:val="Normal"/>
      </w:pPr>
      <w:r>
        <w:t>We want to be open and transparent with our users about the way in which AI is or is not used in the Server documentation. We (the maintainers) have been experimenting with the ways in which AI can be used to improve the experience for our readers, and we don’t object to contributors doing the same – with the following caveats:</w:t>
      </w:r>
    </w:p>
    <w:p>
      <w:pPr>
        <w:pStyle w:val="Para 03"/>
      </w:pPr>
      <w:r>
        <w:t xml:space="preserve">1. </w:t>
      </w:r>
      <w:r>
        <w:rPr>
          <w:rStyle w:val="Text0"/>
        </w:rPr>
        <w:t>Agreement</w:t>
      </w:r>
      <w:r>
        <w:t xml:space="preserve">: Any such work you do </w:t>
      </w:r>
      <w:r>
        <w:rPr>
          <w:rStyle w:val="Text3"/>
        </w:rPr>
        <w:t>must</w:t>
      </w:r>
      <w:r>
        <w:t xml:space="preserve"> be tied to an issue, and be agreed as valid and</w:t>
      </w:r>
    </w:p>
    <w:p>
      <w:pPr>
        <w:pStyle w:val="Para 02"/>
      </w:pPr>
      <w:r>
        <w:t xml:space="preserve">necessary with the maintainers </w:t>
      </w:r>
      <w:r>
        <w:rPr>
          <w:rStyle w:val="Text3"/>
        </w:rPr>
        <w:t>before</w:t>
      </w:r>
      <w:r>
        <w:t xml:space="preserve"> you start. Only maintainers are exempt from this rule, since they are most familiar with the project and its scope.</w:t>
      </w:r>
    </w:p>
    <w:p>
      <w:pPr>
        <w:pStyle w:val="Para 03"/>
      </w:pPr>
      <w:r>
        <w:t xml:space="preserve">2. </w:t>
      </w:r>
      <w:r>
        <w:rPr>
          <w:rStyle w:val="Text0"/>
        </w:rPr>
        <w:t>Honesty</w:t>
      </w:r>
      <w:r>
        <w:t xml:space="preserve">: If you use an “AI assist” when making a contribution, you </w:t>
      </w:r>
      <w:r>
        <w:rPr>
          <w:rStyle w:val="Text3"/>
        </w:rPr>
        <w:t>must</w:t>
      </w:r>
      <w:r>
        <w:t xml:space="preserve"> disclose that</w:t>
      </w:r>
    </w:p>
    <w:p>
      <w:pPr>
        <w:pStyle w:val="Para 02"/>
      </w:pPr>
      <w:r>
        <w:t>you used it, and how you used it in the pull request description.</w:t>
      </w:r>
    </w:p>
    <w:p>
      <w:pPr>
        <w:pStyle w:val="Para 03"/>
      </w:pPr>
      <w:r>
        <w:t xml:space="preserve">3. </w:t>
      </w:r>
      <w:r>
        <w:rPr>
          <w:rStyle w:val="Text0"/>
        </w:rPr>
        <w:t>Accessibility</w:t>
      </w:r>
      <w:r>
        <w:t xml:space="preserve">: </w:t>
        <w:t>Issues marked as “good first issues” and “Open Documentation</w:t>
      </w:r>
    </w:p>
    <w:p>
      <w:pPr>
        <w:pStyle w:val="Para 02"/>
      </w:pPr>
      <w:r>
        <w:t xml:space="preserve">Academy” are </w:t>
      </w:r>
      <w:r>
        <w:rPr>
          <w:rStyle w:val="Text3"/>
        </w:rPr>
        <w:t>specifically</w:t>
      </w:r>
      <w:r>
        <w:t xml:space="preserve"> created and intended for people new to Open Source to get started in a safe place. These issues are easy to complete, well-described, and self-contained for new contributors to learn from. These issues are not for AI.</w:t>
      </w:r>
    </w:p>
    <w:p>
      <w:pPr>
        <w:pStyle w:val="Para 03"/>
      </w:pPr>
      <w:r>
        <w:t xml:space="preserve">4. </w:t>
      </w:r>
      <w:r>
        <w:rPr>
          <w:rStyle w:val="Text0"/>
        </w:rPr>
        <w:t>Responsibility</w:t>
      </w:r>
      <w:r>
        <w:t>: Make sure that even if you use AI, you are still adding value based on</w:t>
      </w:r>
    </w:p>
    <w:p>
      <w:pPr>
        <w:pStyle w:val="Para 02"/>
      </w:pPr>
      <w:r>
        <w:t>your own personal skills and competency. You must understand what you’re submit-ting, even if you used an LLM to help you.</w:t>
      </w:r>
    </w:p>
    <w:p>
      <w:pPr>
        <w:pStyle w:val="Para 24"/>
      </w:pPr>
      <w:r>
        <w:t>3.5.5. Thank you!</w:t>
      </w:r>
    </w:p>
    <w:p>
      <w:pPr>
        <w:pStyle w:val="Normal"/>
      </w:pPr>
      <w:r>
        <w:t>Lastly, we would like to thank you for spending your time to help make the Ubuntu Server documentation better. Every step in the right direction is a step worth taking, no matter how large or small.</w:t>
      </w:r>
    </w:p>
    <w:p>
      <w:pPr>
        <w:pStyle w:val="Normal"/>
      </w:pPr>
      <w:r>
        <w:t xml:space="preserve">Check out what </w:t>
      </w:r>
      <w:hyperlink w:anchor="page_977">
        <w:r>
          <w:rPr>
            <w:rStyle w:val="Text2"/>
          </w:rPr>
          <w:t>our contributors</w:t>
        </w:r>
      </w:hyperlink>
      <w:r>
        <w:t xml:space="preserve"> (page 976) have been working on!</w:t>
      </w:r>
    </w:p>
    <w:p>
      <w:pPr>
        <w:pStyle w:val="Para 17"/>
      </w:pPr>
      <w:r>
        <w:t/>
      </w:r>
    </w:p>
    <w:p>
      <w:pPr>
        <w:pStyle w:val="Para 01"/>
      </w:pPr>
      <w:r>
        <w:t>Types of contributions</w:t>
      </w:r>
    </w:p>
    <w:p>
      <w:pPr>
        <w:pStyle w:val="Para 17"/>
      </w:pPr>
      <w:r>
        <w:t/>
      </w:r>
    </w:p>
    <w:p>
      <w:pPr>
        <w:pStyle w:val="Normal"/>
      </w:pPr>
      <w:r>
        <w:t>There are many different ways to contribute, no matter your level of prior knowledge. Our is-</w:t>
      </w:r>
    </w:p>
    <w:p>
      <w:pPr>
        <w:pStyle w:val="Normal"/>
      </w:pPr>
      <w:r>
        <w:t xml:space="preserve">sue labels include the following options that you can use to filter the </w:t>
      </w:r>
      <w:hyperlink r:id="rId1919">
        <w:r>
          <w:rPr>
            <w:rStyle w:val="Text9"/>
          </w:rPr>
          <w:t>1116</w:t>
        </w:r>
      </w:hyperlink>
      <w:hyperlink r:id="rId1919">
        <w:r>
          <w:rPr>
            <w:rStyle w:val="Text1"/>
          </w:rPr>
          <w:t xml:space="preserve"> issues list</w:t>
        </w:r>
      </w:hyperlink>
      <w:r>
        <w:t xml:space="preserve"> according to the type of contribution you want to make.</w:t>
      </w:r>
    </w:p>
    <w:p>
      <w:pPr>
        <w:pStyle w:val="Para 16"/>
      </w:pPr>
      <w:r>
        <w:rPr>
          <w:rStyle w:val="Text5"/>
        </w:rPr>
        <w:t>1116</w:t>
      </w:r>
      <w:r>
        <w:rPr>
          <w:rStyle w:val="Text8"/>
        </w:rPr>
        <w:t xml:space="preserve"> </w:t>
      </w:r>
      <w:r>
        <w:t>https://github.com/canonical/ubuntu-server-documentation/issues</w:t>
      </w:r>
    </w:p>
    <w:p>
      <w:bookmarkStart w:id="1526" w:name="calibre_pb_281"/>
      <w:pPr>
        <w:pStyle w:val="0 Block"/>
      </w:pPr>
      <w:bookmarkEnd w:id="1526"/>
    </w:p>
    <w:p>
      <w:bookmarkStart w:id="1527" w:name="page_964"/>
      <w:bookmarkStart w:id="1528" w:name="Top_of_index_split_282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5" name="index-964_1.png" descr="index-964_1.png"/>
            <wp:cNvGraphicFramePr>
              <a:graphicFrameLocks noChangeAspect="1"/>
            </wp:cNvGraphicFramePr>
            <a:graphic>
              <a:graphicData uri="http://schemas.openxmlformats.org/drawingml/2006/picture">
                <pic:pic>
                  <pic:nvPicPr>
                    <pic:cNvPr id="0" name="index-964_1.png" descr="index-964_1.png"/>
                    <pic:cNvPicPr/>
                  </pic:nvPicPr>
                  <pic:blipFill>
                    <a:blip r:embed="rId1009"/>
                    <a:stretch>
                      <a:fillRect/>
                    </a:stretch>
                  </pic:blipFill>
                  <pic:spPr>
                    <a:xfrm>
                      <a:off x="0" y="0"/>
                      <a:ext cx="914400" cy="266700"/>
                    </a:xfrm>
                    <a:prstGeom prst="rect">
                      <a:avLst/>
                    </a:prstGeom>
                  </pic:spPr>
                </pic:pic>
              </a:graphicData>
            </a:graphic>
          </wp:anchor>
        </w:drawing>
      </w:r>
      <w:bookmarkEnd w:id="1527"/>
      <w:bookmarkEnd w:id="1528"/>
    </w:p>
    <w:p>
      <w:pPr>
        <w:pStyle w:val="Para 01"/>
      </w:pPr>
      <w:r>
        <w:t>Technical</w:t>
      </w:r>
    </w:p>
    <w:p>
      <w:pPr>
        <w:pStyle w:val="Para 17"/>
      </w:pPr>
      <w:r>
        <w:t/>
      </w:r>
    </w:p>
    <w:p>
      <w:pPr>
        <w:pStyle w:val="Normal"/>
      </w:pPr>
      <w:r>
        <w:t>These types of tasks might require you to have a good amount of prior experience with servers, networking, hardware, or related topics. This might include:</w:t>
      </w:r>
    </w:p>
    <w:p>
      <w:pPr>
        <w:pStyle w:val="Para 04"/>
      </w:pPr>
      <w:r>
        <w:t>• Technical reviews</w:t>
      </w:r>
    </w:p>
    <w:p>
      <w:pPr>
        <w:pStyle w:val="Para 04"/>
      </w:pPr>
      <w:r>
        <w:t>• Technical updates</w:t>
      </w:r>
    </w:p>
    <w:p>
      <w:pPr>
        <w:pStyle w:val="Normal"/>
      </w:pPr>
      <w:r>
        <w:t>It could also include creating content, if you want to submit a guide on how to accomplish a specific task, or an explanation of a topic.</w:t>
      </w:r>
    </w:p>
    <w:p>
      <w:pPr>
        <w:pStyle w:val="Para 18"/>
      </w:pPr>
      <w:hyperlink r:id="rId1920">
        <w:r>
          <w:t>Find technical issues to work on</w:t>
        </w:r>
      </w:hyperlink>
      <w:hyperlink w:anchor="page_964">
        <w:r>
          <w:rPr>
            <w:rStyle w:val="Text10"/>
          </w:rPr>
          <w:t>1117</w:t>
        </w:r>
      </w:hyperlink>
      <w:r>
        <w:rPr>
          <w:rStyle w:val="Text7"/>
        </w:rPr>
        <w:t>.</w:t>
      </w:r>
    </w:p>
    <w:p>
      <w:pPr>
        <w:pStyle w:val="Para 17"/>
      </w:pPr>
      <w:r>
        <w:t/>
      </w:r>
    </w:p>
    <w:p>
      <w:pPr>
        <w:pStyle w:val="Para 01"/>
      </w:pPr>
      <w:r>
        <w:t>Coding options</w:t>
      </w:r>
    </w:p>
    <w:p>
      <w:pPr>
        <w:pStyle w:val="Para 17"/>
      </w:pPr>
      <w:r>
        <w:t/>
      </w:r>
    </w:p>
    <w:p>
      <w:pPr>
        <w:pStyle w:val="Normal"/>
      </w:pPr>
      <w:r>
        <w:t>Some issues require specific knowledge or technical expertise, such as:</w:t>
      </w:r>
    </w:p>
    <w:p>
      <w:pPr>
        <w:pStyle w:val="Para 04"/>
      </w:pPr>
      <w:r>
        <w:t>• Creating vale rules</w:t>
      </w:r>
    </w:p>
    <w:p>
      <w:pPr>
        <w:pStyle w:val="Para 04"/>
      </w:pPr>
      <w:r>
        <w:t>• Improving GitHub actions and workflows</w:t>
      </w:r>
    </w:p>
    <w:p>
      <w:pPr>
        <w:pStyle w:val="Para 04"/>
      </w:pPr>
      <w:r>
        <w:t xml:space="preserve">• Creating graphics from code </w:t>
      </w:r>
      <w:hyperlink r:id="rId1921">
        <w:r>
          <w:rPr>
            <w:rStyle w:val="Text9"/>
          </w:rPr>
          <w:t>1118</w:t>
        </w:r>
      </w:hyperlink>
      <w:hyperlink r:id="rId1921">
        <w:r>
          <w:rPr>
            <w:rStyle w:val="Text1"/>
          </w:rPr>
          <w:t xml:space="preserve"> using Mermaid</w:t>
        </w:r>
      </w:hyperlink>
    </w:p>
    <w:p>
      <w:pPr>
        <w:pStyle w:val="Para 04"/>
      </w:pPr>
      <w:r>
        <w:t>• Fixing incorrect code snippets in the documentation</w:t>
      </w:r>
    </w:p>
    <w:p>
      <w:pPr>
        <w:pStyle w:val="Para 18"/>
      </w:pPr>
      <w:hyperlink r:id="rId1922">
        <w:r>
          <w:t>Find coding issues to work on</w:t>
        </w:r>
      </w:hyperlink>
      <w:hyperlink w:anchor="page_964">
        <w:r>
          <w:rPr>
            <w:rStyle w:val="Text10"/>
          </w:rPr>
          <w:t>1119</w:t>
        </w:r>
      </w:hyperlink>
      <w:r>
        <w:rPr>
          <w:rStyle w:val="Text7"/>
        </w:rPr>
        <w:t>.</w:t>
      </w:r>
    </w:p>
    <w:p>
      <w:pPr>
        <w:pStyle w:val="Para 17"/>
      </w:pPr>
      <w:r>
        <w:t/>
      </w:r>
    </w:p>
    <w:p>
      <w:pPr>
        <w:pStyle w:val="Para 01"/>
      </w:pPr>
      <w:r>
        <w:t>Low-code options</w:t>
      </w:r>
    </w:p>
    <w:p>
      <w:pPr>
        <w:pStyle w:val="Para 17"/>
      </w:pPr>
      <w:r>
        <w:t/>
      </w:r>
    </w:p>
    <w:p>
      <w:pPr>
        <w:pStyle w:val="Normal"/>
      </w:pPr>
      <w:r>
        <w:t>If you are happy to work with Markdown (or MyST) formatting, you can edit our documenta-tion directly to fix:</w:t>
      </w:r>
    </w:p>
    <w:p>
      <w:pPr>
        <w:pStyle w:val="Para 04"/>
      </w:pPr>
      <w:r>
        <w:t>• Spelling and grammatical errors.</w:t>
      </w:r>
    </w:p>
    <w:p>
      <w:pPr>
        <w:pStyle w:val="Para 04"/>
      </w:pPr>
      <w:r>
        <w:t>• Updating broken links.</w:t>
      </w:r>
    </w:p>
    <w:p>
      <w:pPr>
        <w:pStyle w:val="Para 04"/>
      </w:pPr>
      <w:r>
        <w:t>• Unclear explanations or imprecise language.</w:t>
      </w:r>
    </w:p>
    <w:p>
      <w:pPr>
        <w:pStyle w:val="Para 04"/>
      </w:pPr>
      <w:r>
        <w:t>• Testing tutorials and how-to guide steps.</w:t>
      </w:r>
    </w:p>
    <w:p>
      <w:pPr>
        <w:pStyle w:val="Para 04"/>
      </w:pPr>
      <w:r>
        <w:t>• Fixing or creating graphics from code using Mermaid. If you are not familiar with the</w:t>
      </w:r>
    </w:p>
    <w:p>
      <w:pPr>
        <w:pStyle w:val="Para 02"/>
      </w:pPr>
      <w:r>
        <w:t xml:space="preserve">syntax, they have a live </w:t>
      </w:r>
      <w:hyperlink r:id="rId1923">
        <w:r>
          <w:rPr>
            <w:rStyle w:val="Text9"/>
          </w:rPr>
          <w:t>1120</w:t>
        </w:r>
      </w:hyperlink>
      <w:hyperlink r:id="rId1923">
        <w:r>
          <w:rPr>
            <w:rStyle w:val="Text1"/>
          </w:rPr>
          <w:t xml:space="preserve"> online generator</w:t>
        </w:r>
      </w:hyperlink>
      <w:r>
        <w:t xml:space="preserve"> tool that will create the code for a diagram you design.</w:t>
      </w:r>
    </w:p>
    <w:p>
      <w:pPr>
        <w:pStyle w:val="Para 18"/>
      </w:pPr>
      <w:hyperlink r:id="rId1924">
        <w:r>
          <w:t>Find low-code issues to work on</w:t>
        </w:r>
      </w:hyperlink>
      <w:hyperlink r:id="rId1924">
        <w:r>
          <w:rPr>
            <w:rStyle w:val="Text10"/>
          </w:rPr>
          <w:t>1121</w:t>
        </w:r>
      </w:hyperlink>
      <w:r>
        <w:rPr>
          <w:rStyle w:val="Text7"/>
        </w:rPr>
        <w:t>.</w:t>
      </w:r>
    </w:p>
    <w:p>
      <w:pPr>
        <w:pStyle w:val="Para 16"/>
      </w:pPr>
      <w:r>
        <w:rPr>
          <w:rStyle w:val="Text5"/>
        </w:rPr>
        <w:t>1117</w:t>
      </w:r>
      <w:r>
        <w:rPr>
          <w:rStyle w:val="Text8"/>
        </w:rPr>
        <w:t xml:space="preserve"> </w:t>
      </w:r>
      <w:r>
        <w:t>https://github.com/canonical/ubuntu-server-documentation/issues?q=is%3Aissue+is%3Aopen+label%</w:t>
      </w:r>
    </w:p>
    <w:p>
      <w:pPr>
        <w:pStyle w:val="Para 16"/>
      </w:pPr>
      <w:r>
        <w:t>3A%22code%3A+technical%22+no%3Aassignee</w:t>
      </w:r>
    </w:p>
    <w:p>
      <w:pPr>
        <w:pStyle w:val="Para 16"/>
      </w:pPr>
      <w:r>
        <w:rPr>
          <w:rStyle w:val="Text5"/>
        </w:rPr>
        <w:t>1118</w:t>
      </w:r>
      <w:r>
        <w:rPr>
          <w:rStyle w:val="Text8"/>
        </w:rPr>
        <w:t xml:space="preserve"> </w:t>
      </w:r>
      <w:r>
        <w:t>https://mermaid.live/</w:t>
      </w:r>
    </w:p>
    <w:p>
      <w:pPr>
        <w:pStyle w:val="Para 16"/>
      </w:pPr>
      <w:r>
        <w:rPr>
          <w:rStyle w:val="Text5"/>
        </w:rPr>
        <w:t>1119</w:t>
      </w:r>
      <w:r>
        <w:rPr>
          <w:rStyle w:val="Text8"/>
        </w:rPr>
        <w:t xml:space="preserve"> </w:t>
      </w:r>
      <w:r>
        <w:t>https://github.com/canonical/ubuntu-server-documentation/issues?q=is%3Aissue+is%3Aopen+label%</w:t>
      </w:r>
    </w:p>
    <w:p>
      <w:pPr>
        <w:pStyle w:val="Para 16"/>
      </w:pPr>
      <w:r>
        <w:t>3A%22code%3A+coding%22+no%3Aassignee</w:t>
      </w:r>
    </w:p>
    <w:p>
      <w:pPr>
        <w:pStyle w:val="Para 16"/>
      </w:pPr>
      <w:r>
        <w:rPr>
          <w:rStyle w:val="Text5"/>
        </w:rPr>
        <w:t>1120</w:t>
      </w:r>
      <w:r>
        <w:rPr>
          <w:rStyle w:val="Text8"/>
        </w:rPr>
        <w:t xml:space="preserve"> </w:t>
      </w:r>
      <w:r>
        <w:t>https://www.mermaidchart.com/app/dashboard</w:t>
      </w:r>
      <w:r>
        <w:rPr>
          <w:rStyle w:val="Text8"/>
        </w:rPr>
        <w:t xml:space="preserve"> </w:t>
      </w:r>
      <w:r>
        <w:rPr>
          <w:rStyle w:val="Text5"/>
        </w:rPr>
        <w:t>1121</w:t>
      </w:r>
      <w:r>
        <w:rPr>
          <w:rStyle w:val="Text8"/>
        </w:rPr>
        <w:t xml:space="preserve"> </w:t>
      </w:r>
      <w:r>
        <w:t>https://github.com/canonical/ubuntu-server-documentation/issues?q=is%3Aissue+is%3Aopen+label%</w:t>
      </w:r>
    </w:p>
    <w:p>
      <w:pPr>
        <w:pStyle w:val="Para 16"/>
      </w:pPr>
      <w:r>
        <w:t>3A%22code%3A+low-code%22+no%3Aassignee</w:t>
      </w:r>
    </w:p>
    <w:p>
      <w:bookmarkStart w:id="1529" w:name="page_9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6" name="index-965_1.png" descr="index-965_1.png"/>
            <wp:cNvGraphicFramePr>
              <a:graphicFrameLocks noChangeAspect="1"/>
            </wp:cNvGraphicFramePr>
            <a:graphic>
              <a:graphicData uri="http://schemas.openxmlformats.org/drawingml/2006/picture">
                <pic:pic>
                  <pic:nvPicPr>
                    <pic:cNvPr id="0" name="index-965_1.png" descr="index-965_1.png"/>
                    <pic:cNvPicPr/>
                  </pic:nvPicPr>
                  <pic:blipFill>
                    <a:blip r:embed="rId1010"/>
                    <a:stretch>
                      <a:fillRect/>
                    </a:stretch>
                  </pic:blipFill>
                  <pic:spPr>
                    <a:xfrm>
                      <a:off x="0" y="0"/>
                      <a:ext cx="914400" cy="266700"/>
                    </a:xfrm>
                    <a:prstGeom prst="rect">
                      <a:avLst/>
                    </a:prstGeom>
                  </pic:spPr>
                </pic:pic>
              </a:graphicData>
            </a:graphic>
          </wp:anchor>
        </w:drawing>
      </w:r>
      <w:bookmarkEnd w:id="1529"/>
    </w:p>
    <w:p>
      <w:pPr>
        <w:pStyle w:val="Para 01"/>
      </w:pPr>
      <w:r>
        <w:t>No-code options</w:t>
      </w:r>
    </w:p>
    <w:p>
      <w:pPr>
        <w:pStyle w:val="Para 17"/>
      </w:pPr>
      <w:r>
        <w:t/>
      </w:r>
    </w:p>
    <w:p>
      <w:pPr>
        <w:pStyle w:val="Normal"/>
      </w:pPr>
      <w:r>
        <w:t>If you spot something in the documentation that could be improved (or needs to be cor-rected), the best way to contribute is to report it!</w:t>
      </w:r>
    </w:p>
    <w:p>
      <w:pPr>
        <w:pStyle w:val="Para 17"/>
      </w:pPr>
      <w:r>
        <w:t/>
      </w:r>
    </w:p>
    <w:p>
      <w:pPr>
        <w:pStyle w:val="Para 01"/>
      </w:pPr>
      <w:r>
        <w:t>Creating issues</w:t>
      </w:r>
    </w:p>
    <w:p>
      <w:pPr>
        <w:pStyle w:val="Para 17"/>
      </w:pPr>
      <w:r>
        <w:t/>
      </w:r>
    </w:p>
    <w:p>
      <w:pPr>
        <w:pStyle w:val="Normal"/>
      </w:pPr>
      <w:r>
        <w:t>Since we use GitHub issues to track problems with the documentation, creating issues is a great way to contribute. You can use the “Give feedback” button at the top of any page in the documentation to report the issue you have found.</w:t>
      </w:r>
    </w:p>
    <w:p>
      <w:pPr>
        <w:pStyle w:val="Normal"/>
      </w:pPr>
      <w:r>
        <w:t>Take care to describe any issue in detail so that the reviewer can understand the problem clearly. A detailed issue might include a link to the affected part of the documentation, a description of the problem and – optionally – a suggested solution.</w:t>
      </w:r>
    </w:p>
    <w:p>
      <w:pPr>
        <w:pStyle w:val="Normal"/>
      </w:pPr>
      <w:r>
        <w:t>This can also be a method for suggesting improvements or giving any other feedback you might want to share!</w:t>
      </w:r>
    </w:p>
    <w:p>
      <w:pPr>
        <w:pStyle w:val="Para 17"/>
      </w:pPr>
      <w:r>
        <w:t/>
      </w:r>
    </w:p>
    <w:p>
      <w:pPr>
        <w:pStyle w:val="Para 01"/>
      </w:pPr>
      <w:r>
        <w:t>User-experience testing</w:t>
      </w:r>
    </w:p>
    <w:p>
      <w:pPr>
        <w:pStyle w:val="Para 17"/>
      </w:pPr>
      <w:r>
        <w:t/>
      </w:r>
    </w:p>
    <w:p>
      <w:pPr>
        <w:pStyle w:val="Normal"/>
      </w:pPr>
      <w:r>
        <w:t>We want the Ubuntu Server documentation to be as accessible as possible. If you have feed-back about any aspect of your experience of using our documentation, this is incredibly valu-able to us! If you have identified any areas we can improve upon please let us know by open-ing an issue.</w:t>
      </w:r>
    </w:p>
    <w:p>
      <w:pPr>
        <w:pStyle w:val="Normal"/>
      </w:pPr>
      <w:r>
        <w:t>Please check the issues list first to see if someone has already reported the same (or a similar) issue – if they have, then leave your thoughts as a reply on that issue. By keeping discussions together in one place, it makes it easier for us to understand the impact and gather opinions from affected readers.</w:t>
      </w:r>
    </w:p>
    <w:p>
      <w:pPr>
        <w:pStyle w:val="Para 18"/>
      </w:pPr>
      <w:hyperlink r:id="rId1925">
        <w:r>
          <w:t>Find no-code issues to work on</w:t>
        </w:r>
      </w:hyperlink>
      <w:hyperlink w:anchor="page_965">
        <w:r>
          <w:rPr>
            <w:rStyle w:val="Text10"/>
          </w:rPr>
          <w:t>1122</w:t>
        </w:r>
      </w:hyperlink>
      <w:r>
        <w:rPr>
          <w:rStyle w:val="Text7"/>
        </w:rPr>
        <w:t>.</w:t>
      </w:r>
    </w:p>
    <w:p>
      <w:pPr>
        <w:pStyle w:val="Para 17"/>
      </w:pPr>
      <w:r>
        <w:t/>
      </w:r>
    </w:p>
    <w:p>
      <w:pPr>
        <w:pStyle w:val="Para 01"/>
      </w:pPr>
      <w:r>
        <w:t>Local development</w:t>
      </w:r>
    </w:p>
    <w:p>
      <w:pPr>
        <w:pStyle w:val="Para 17"/>
      </w:pPr>
      <w:r>
        <w:t/>
      </w:r>
    </w:p>
    <w:p>
      <w:pPr>
        <w:pStyle w:val="Normal"/>
      </w:pPr>
      <w:r>
        <w:t>This page outlines the different ways in which you can contribute to the Server documenta-tion. Please take the time to become familiar with the contents of this page before you begin contributing.</w:t>
      </w:r>
    </w:p>
    <w:p>
      <w:pPr>
        <w:pStyle w:val="Para 17"/>
      </w:pPr>
      <w:r>
        <w:t/>
      </w:r>
    </w:p>
    <w:p>
      <w:pPr>
        <w:pStyle w:val="Para 01"/>
      </w:pPr>
      <w:r>
        <w:t>Prerequisites</w:t>
      </w:r>
    </w:p>
    <w:p>
      <w:pPr>
        <w:pStyle w:val="Para 17"/>
      </w:pPr>
      <w:r>
        <w:t/>
      </w:r>
    </w:p>
    <w:p>
      <w:pPr>
        <w:pStyle w:val="Para 01"/>
      </w:pPr>
      <w:r>
        <w:t>Code of Conduct</w:t>
      </w:r>
    </w:p>
    <w:p>
      <w:pPr>
        <w:pStyle w:val="Para 02"/>
      </w:pPr>
      <w:r>
        <w:t xml:space="preserve">You will need to read and agree to the Ubuntu </w:t>
      </w:r>
      <w:hyperlink r:id="rId1031">
        <w:r>
          <w:rPr>
            <w:rStyle w:val="Text9"/>
          </w:rPr>
          <w:t>1123</w:t>
        </w:r>
      </w:hyperlink>
      <w:hyperlink r:id="rId1031">
        <w:r>
          <w:rPr>
            <w:rStyle w:val="Text1"/>
          </w:rPr>
          <w:t xml:space="preserve"> Code of Conduct</w:t>
        </w:r>
      </w:hyperlink>
      <w:r>
        <w:t>. By participating, you implicitly agree to abide by the Code of Conduct.</w:t>
      </w:r>
    </w:p>
    <w:p>
      <w:pPr>
        <w:pStyle w:val="Para 16"/>
      </w:pPr>
      <w:r>
        <w:rPr>
          <w:rStyle w:val="Text5"/>
        </w:rPr>
        <w:t>1122</w:t>
      </w:r>
      <w:r>
        <w:rPr>
          <w:rStyle w:val="Text8"/>
        </w:rPr>
        <w:t xml:space="preserve"> </w:t>
      </w:r>
      <w:r>
        <w:t>https://github.com/canonical/ubuntu-server-documentation/issues?q=is%3Aissue+is%3Aopen+label%</w:t>
      </w:r>
    </w:p>
    <w:p>
      <w:pPr>
        <w:pStyle w:val="Para 16"/>
      </w:pPr>
      <w:r>
        <w:t>3A%22code%3A+non-code%22+no%3Aassignee</w:t>
      </w:r>
    </w:p>
    <w:p>
      <w:pPr>
        <w:pStyle w:val="Para 16"/>
      </w:pPr>
      <w:r>
        <w:rPr>
          <w:rStyle w:val="Text5"/>
        </w:rPr>
        <w:t>1123</w:t>
      </w:r>
      <w:r>
        <w:rPr>
          <w:rStyle w:val="Text8"/>
        </w:rPr>
        <w:t xml:space="preserve"> </w:t>
      </w:r>
      <w:r>
        <w:t>https://ubuntu.com/community/docs/ethos/code-of-conduct</w:t>
      </w:r>
      <w:r>
        <w:rPr>
          <w:rStyle w:val="Text8"/>
        </w:rPr>
        <w:t xml:space="preserve"> </w:t>
      </w:r>
      <w:r>
        <w:rPr>
          <w:rStyle w:val="Text11"/>
        </w:rPr>
        <w:t>GitHub account</w:t>
      </w:r>
    </w:p>
    <w:p>
      <w:bookmarkStart w:id="1530" w:name="page_9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7" name="index-966_1.png" descr="index-966_1.png"/>
            <wp:cNvGraphicFramePr>
              <a:graphicFrameLocks noChangeAspect="1"/>
            </wp:cNvGraphicFramePr>
            <a:graphic>
              <a:graphicData uri="http://schemas.openxmlformats.org/drawingml/2006/picture">
                <pic:pic>
                  <pic:nvPicPr>
                    <pic:cNvPr id="0" name="index-966_1.png" descr="index-966_1.png"/>
                    <pic:cNvPicPr/>
                  </pic:nvPicPr>
                  <pic:blipFill>
                    <a:blip r:embed="rId1011"/>
                    <a:stretch>
                      <a:fillRect/>
                    </a:stretch>
                  </pic:blipFill>
                  <pic:spPr>
                    <a:xfrm>
                      <a:off x="0" y="0"/>
                      <a:ext cx="914400" cy="266700"/>
                    </a:xfrm>
                    <a:prstGeom prst="rect">
                      <a:avLst/>
                    </a:prstGeom>
                  </pic:spPr>
                </pic:pic>
              </a:graphicData>
            </a:graphic>
          </wp:anchor>
        </w:drawing>
      </w:r>
      <w:bookmarkEnd w:id="1530"/>
    </w:p>
    <w:p>
      <w:pPr>
        <w:pStyle w:val="Para 02"/>
      </w:pPr>
      <w:r>
        <w:t xml:space="preserve">You need a free </w:t>
      </w:r>
      <w:hyperlink w:anchor="page_966">
        <w:r>
          <w:rPr>
            <w:rStyle w:val="Text9"/>
          </w:rPr>
          <w:t>1124</w:t>
        </w:r>
      </w:hyperlink>
      <w:r>
        <w:t xml:space="preserve"> </w:t>
      </w:r>
      <w:hyperlink r:id="rId1926">
        <w:r>
          <w:rPr>
            <w:rStyle w:val="Text1"/>
          </w:rPr>
          <w:t>GitHub account</w:t>
        </w:r>
      </w:hyperlink>
      <w:r>
        <w:t xml:space="preserve"> to create issues, comment, reply, or submit contri-butions.</w:t>
      </w:r>
    </w:p>
    <w:p>
      <w:pPr>
        <w:pStyle w:val="Para 02"/>
      </w:pPr>
      <w:r>
        <w:t>You don’t need to know git before you start. For many small contributions, especially where only one page is being changed, you can edit pages directly through GitHub’s web interface.</w:t>
      </w:r>
    </w:p>
    <w:p>
      <w:pPr>
        <w:pStyle w:val="Para 17"/>
      </w:pPr>
      <w:r>
        <w:t/>
      </w:r>
    </w:p>
    <w:p>
      <w:pPr>
        <w:pStyle w:val="Para 01"/>
      </w:pPr>
      <w:r>
        <w:t>Workflow overview</w:t>
      </w:r>
    </w:p>
    <w:p>
      <w:pPr>
        <w:pStyle w:val="Para 17"/>
      </w:pPr>
      <w:r>
        <w:t/>
      </w:r>
    </w:p>
    <w:p>
      <w:pPr>
        <w:pStyle w:val="Para 14"/>
      </w:pPr>
      <w:r>
        <w:rPr>
          <w:rStyle w:val="Text4"/>
        </w:rPr>
        <w:t xml:space="preserve">• </w:t>
      </w:r>
      <w:hyperlink w:anchor="page_966">
        <w:r>
          <w:t>Find an issue to work on</w:t>
        </w:r>
      </w:hyperlink>
      <w:r>
        <w:rPr>
          <w:rStyle w:val="Text4"/>
        </w:rPr>
        <w:t xml:space="preserve"> (page 965)</w:t>
      </w:r>
    </w:p>
    <w:p>
      <w:pPr>
        <w:pStyle w:val="Para 14"/>
      </w:pPr>
      <w:r>
        <w:rPr>
          <w:rStyle w:val="Text4"/>
        </w:rPr>
        <w:t xml:space="preserve">• </w:t>
      </w:r>
      <w:hyperlink w:anchor="page_967">
        <w:r>
          <w:t>Pick your workflow</w:t>
        </w:r>
      </w:hyperlink>
      <w:r>
        <w:rPr>
          <w:rStyle w:val="Text4"/>
        </w:rPr>
        <w:t xml:space="preserve"> (page 966)</w:t>
      </w:r>
    </w:p>
    <w:p>
      <w:pPr>
        <w:pStyle w:val="Para 04"/>
      </w:pPr>
      <w:r>
        <w:t xml:space="preserve">• Work on the issue </w:t>
      </w:r>
      <w:hyperlink w:anchor="page_976">
        <w:r>
          <w:rPr>
            <w:rStyle w:val="Text1"/>
          </w:rPr>
          <w:t>(</w:t>
        </w:r>
      </w:hyperlink>
      <w:hyperlink w:anchor="page_976">
        <w:r>
          <w:rPr>
            <w:rStyle w:val="Text2"/>
          </w:rPr>
          <w:t>get help</w:t>
        </w:r>
      </w:hyperlink>
      <w:r>
        <w:t xml:space="preserve"> (page 975) if you need it!)</w:t>
      </w:r>
    </w:p>
    <w:p>
      <w:pPr>
        <w:pStyle w:val="Para 14"/>
      </w:pPr>
      <w:r>
        <w:rPr>
          <w:rStyle w:val="Text4"/>
        </w:rPr>
        <w:t xml:space="preserve">• </w:t>
      </w:r>
      <w:hyperlink w:anchor="page_969">
        <w:r>
          <w:t>Test your contribution</w:t>
        </w:r>
      </w:hyperlink>
      <w:r>
        <w:rPr>
          <w:rStyle w:val="Text4"/>
        </w:rPr>
        <w:t xml:space="preserve"> (page 968)</w:t>
      </w:r>
    </w:p>
    <w:p>
      <w:pPr>
        <w:pStyle w:val="Para 14"/>
      </w:pPr>
      <w:r>
        <w:rPr>
          <w:rStyle w:val="Text4"/>
        </w:rPr>
        <w:t xml:space="preserve">• </w:t>
      </w:r>
      <w:hyperlink w:anchor="page_971">
        <w:r>
          <w:t>Submit it for review</w:t>
        </w:r>
      </w:hyperlink>
      <w:r>
        <w:rPr>
          <w:rStyle w:val="Text4"/>
        </w:rPr>
        <w:t xml:space="preserve"> (page 970)</w:t>
      </w:r>
    </w:p>
    <w:p>
      <w:pPr>
        <w:pStyle w:val="Para 17"/>
      </w:pPr>
      <w:r>
        <w:t/>
      </w:r>
    </w:p>
    <w:p>
      <w:pPr>
        <w:pStyle w:val="Para 01"/>
      </w:pPr>
      <w:r>
        <w:t>Find issues to work on</w:t>
      </w:r>
    </w:p>
    <w:p>
      <w:pPr>
        <w:pStyle w:val="Para 17"/>
      </w:pPr>
      <w:r>
        <w:t/>
      </w:r>
    </w:p>
    <w:p>
      <w:pPr>
        <w:pStyle w:val="Normal"/>
      </w:pPr>
      <w:r>
        <w:t xml:space="preserve">We use GitHub issues to track documentation tasks. Start by </w:t>
      </w:r>
      <w:hyperlink r:id="rId1919">
        <w:r>
          <w:rPr>
            <w:rStyle w:val="Text9"/>
          </w:rPr>
          <w:t>1125</w:t>
        </w:r>
      </w:hyperlink>
      <w:hyperlink r:id="rId1919">
        <w:r>
          <w:rPr>
            <w:rStyle w:val="Text1"/>
          </w:rPr>
          <w:t xml:space="preserve"> checking our issues list</w:t>
        </w:r>
      </w:hyperlink>
      <w:r>
        <w:t xml:space="preserve"> to see if there are any tasks you’d like to work on.</w:t>
      </w:r>
    </w:p>
    <w:p>
      <w:pPr>
        <w:pStyle w:val="Normal"/>
      </w:pPr>
      <w:r>
        <w:t>You can see which issues are unassigned by selecting “Assigned to nobody” from the “As-</w:t>
      </w:r>
    </w:p>
    <w:p>
      <w:pPr>
        <w:pStyle w:val="Normal"/>
      </w:pPr>
      <w:r>
        <w:t xml:space="preserve">signee” drop-down menu (or </w:t>
      </w:r>
      <w:hyperlink w:anchor="page_966">
        <w:r>
          <w:rPr>
            <w:rStyle w:val="Text9"/>
          </w:rPr>
          <w:t>1126</w:t>
        </w:r>
      </w:hyperlink>
      <w:r>
        <w:t xml:space="preserve"> </w:t>
      </w:r>
      <w:hyperlink r:id="rId1927">
        <w:r>
          <w:rPr>
            <w:rStyle w:val="Text1"/>
          </w:rPr>
          <w:t>use this link</w:t>
        </w:r>
      </w:hyperlink>
      <w:r>
        <w:t xml:space="preserve"> as a shortcut).</w:t>
      </w:r>
    </w:p>
    <w:p>
      <w:pPr>
        <w:pStyle w:val="Para 17"/>
      </w:pPr>
      <w:r>
        <w:t/>
      </w:r>
    </w:p>
    <w:p>
      <w:pPr>
        <w:pStyle w:val="Para 01"/>
      </w:pPr>
      <w:r>
        <w:t>Claim an issue</w:t>
      </w:r>
    </w:p>
    <w:p>
      <w:pPr>
        <w:pStyle w:val="Para 17"/>
      </w:pPr>
      <w:r>
        <w:t/>
      </w:r>
    </w:p>
    <w:p>
      <w:pPr>
        <w:pStyle w:val="Normal"/>
      </w:pPr>
      <w:r>
        <w:t>If you find a task you want to work on, leave a comment on the issue to let us know. A main-tainer will respond and assign that issue to you.</w:t>
      </w:r>
    </w:p>
    <w:p>
      <w:pPr>
        <w:pStyle w:val="Normal"/>
      </w:pPr>
      <w:r>
        <w:t>You can claim one open issue at a time.</w:t>
      </w:r>
    </w:p>
    <w:p>
      <w:pPr>
        <w:pStyle w:val="Para 17"/>
      </w:pPr>
      <w:r>
        <w:t/>
      </w:r>
    </w:p>
    <w:p>
      <w:pPr>
        <w:pStyle w:val="Para 01"/>
      </w:pPr>
      <w:r>
        <w:t>Create a new issue</w:t>
      </w:r>
    </w:p>
    <w:p>
      <w:pPr>
        <w:pStyle w:val="Para 17"/>
      </w:pPr>
      <w:r>
        <w:t/>
      </w:r>
    </w:p>
    <w:p>
      <w:pPr>
        <w:pStyle w:val="Normal"/>
      </w:pPr>
      <w:r>
        <w:t>If you have an idea that isn’t covered by an existing open issue, create one with an outline of what you want to do. A maintainer will review your idea and either:</w:t>
      </w:r>
    </w:p>
    <w:p>
      <w:pPr>
        <w:pStyle w:val="Para 04"/>
      </w:pPr>
      <w:r>
        <w:t>• Agree the change is within the project’s scope and assign it to you so you can begin</w:t>
      </w:r>
    </w:p>
    <w:p>
      <w:pPr>
        <w:pStyle w:val="Para 02"/>
      </w:pPr>
      <w:r>
        <w:t>working on it</w:t>
      </w:r>
    </w:p>
    <w:p>
      <w:pPr>
        <w:pStyle w:val="Para 04"/>
      </w:pPr>
      <w:r>
        <w:t>• Discuss and offer suggestions to improve your outline</w:t>
      </w:r>
    </w:p>
    <w:p>
      <w:pPr>
        <w:pStyle w:val="Para 04"/>
      </w:pPr>
      <w:r>
        <w:t>• Close the issue if it is out of scope of the project or does not meet our contribution</w:t>
      </w:r>
    </w:p>
    <w:p>
      <w:pPr>
        <w:pStyle w:val="Para 02"/>
      </w:pPr>
      <w:r>
        <w:t>guidelines</w:t>
      </w:r>
    </w:p>
    <w:p>
      <w:pPr>
        <w:pStyle w:val="Para 16"/>
      </w:pPr>
      <w:r>
        <w:rPr>
          <w:rStyle w:val="Text5"/>
        </w:rPr>
        <w:t>1124</w:t>
      </w:r>
      <w:r>
        <w:rPr>
          <w:rStyle w:val="Text8"/>
        </w:rPr>
        <w:t xml:space="preserve"> </w:t>
      </w:r>
      <w:r>
        <w:t>https://github.com/</w:t>
      </w:r>
    </w:p>
    <w:p>
      <w:pPr>
        <w:pStyle w:val="Para 16"/>
      </w:pPr>
      <w:r>
        <w:rPr>
          <w:rStyle w:val="Text5"/>
        </w:rPr>
        <w:t>1125</w:t>
      </w:r>
      <w:r>
        <w:rPr>
          <w:rStyle w:val="Text8"/>
        </w:rPr>
        <w:t xml:space="preserve"> </w:t>
      </w:r>
      <w:r>
        <w:t>https://github.com/canonical/ubuntu-server-documentation/issues</w:t>
      </w:r>
      <w:r>
        <w:rPr>
          <w:rStyle w:val="Text8"/>
        </w:rPr>
        <w:t xml:space="preserve"> </w:t>
      </w:r>
      <w:r>
        <w:rPr>
          <w:rStyle w:val="Text5"/>
        </w:rPr>
        <w:t>1126</w:t>
      </w:r>
      <w:r>
        <w:rPr>
          <w:rStyle w:val="Text8"/>
        </w:rPr>
        <w:t xml:space="preserve"> </w:t>
      </w:r>
      <w:r>
        <w:t>https://github.com/canonical/ubuntu-server-documentation/issues?q=is%3Aissue+is%3Aopen+no%</w:t>
      </w:r>
    </w:p>
    <w:p>
      <w:pPr>
        <w:pStyle w:val="Para 16"/>
      </w:pPr>
      <w:r>
        <w:t>3Aassignee</w:t>
      </w:r>
    </w:p>
    <w:p>
      <w:bookmarkStart w:id="1531" w:name="page_9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8" name="index-967_1.png" descr="index-967_1.png"/>
            <wp:cNvGraphicFramePr>
              <a:graphicFrameLocks noChangeAspect="1"/>
            </wp:cNvGraphicFramePr>
            <a:graphic>
              <a:graphicData uri="http://schemas.openxmlformats.org/drawingml/2006/picture">
                <pic:pic>
                  <pic:nvPicPr>
                    <pic:cNvPr id="0" name="index-967_1.png" descr="index-967_1.png"/>
                    <pic:cNvPicPr/>
                  </pic:nvPicPr>
                  <pic:blipFill>
                    <a:blip r:embed="rId1012"/>
                    <a:stretch>
                      <a:fillRect/>
                    </a:stretch>
                  </pic:blipFill>
                  <pic:spPr>
                    <a:xfrm>
                      <a:off x="0" y="0"/>
                      <a:ext cx="914400" cy="266700"/>
                    </a:xfrm>
                    <a:prstGeom prst="rect">
                      <a:avLst/>
                    </a:prstGeom>
                  </pic:spPr>
                </pic:pic>
              </a:graphicData>
            </a:graphic>
          </wp:anchor>
        </w:drawing>
      </w:r>
      <w:bookmarkEnd w:id="1531"/>
    </w:p>
    <w:p>
      <w:pPr>
        <w:pStyle w:val="Para 01"/>
      </w:pPr>
      <w:r>
        <w:t>Choose your workflow</w:t>
      </w:r>
    </w:p>
    <w:p>
      <w:pPr>
        <w:pStyle w:val="Para 17"/>
      </w:pPr>
      <w:r>
        <w:t/>
      </w:r>
    </w:p>
    <w:p>
      <w:pPr>
        <w:pStyle w:val="Normal"/>
      </w:pPr>
      <w:r>
        <w:t>After you have found an issue you want to work on, and have been assigned the issue, you have two options:</w:t>
      </w:r>
    </w:p>
    <w:p>
      <w:pPr>
        <w:pStyle w:val="Para 04"/>
      </w:pPr>
      <w:r>
        <w:t xml:space="preserve">• </w:t>
      </w:r>
      <w:r>
        <w:rPr>
          <w:rStyle w:val="Text0"/>
        </w:rPr>
        <w:t>Direct edits via GitHub web interface</w:t>
      </w:r>
      <w:r>
        <w:t>: For simple changes like typos or minor correc-</w:t>
      </w:r>
    </w:p>
    <w:p>
      <w:pPr>
        <w:pStyle w:val="Para 02"/>
      </w:pPr>
      <w:r>
        <w:t xml:space="preserve">tions using the GitHub web interface, see </w:t>
      </w:r>
      <w:hyperlink w:anchor="page_967">
        <w:r>
          <w:rPr>
            <w:rStyle w:val="Text2"/>
          </w:rPr>
          <w:t>quickstart guide</w:t>
        </w:r>
      </w:hyperlink>
      <w:r>
        <w:t xml:space="preserve"> (page 966).</w:t>
      </w:r>
    </w:p>
    <w:p>
      <w:pPr>
        <w:pStyle w:val="Para 04"/>
      </w:pPr>
      <w:r>
        <w:t xml:space="preserve">• </w:t>
      </w:r>
      <w:r>
        <w:rPr>
          <w:rStyle w:val="Text0"/>
        </w:rPr>
        <w:t>Local development</w:t>
      </w:r>
      <w:r>
        <w:t>: For more substantial or complex changes, for example to multiple</w:t>
      </w:r>
    </w:p>
    <w:p>
      <w:pPr>
        <w:pStyle w:val="Para 02"/>
      </w:pPr>
      <w:r>
        <w:t xml:space="preserve">pages, continue with </w:t>
      </w:r>
      <w:hyperlink w:anchor="page_967">
        <w:r>
          <w:rPr>
            <w:rStyle w:val="Text2"/>
          </w:rPr>
          <w:t>Local setup</w:t>
        </w:r>
      </w:hyperlink>
      <w:r>
        <w:t xml:space="preserve"> (page 966).</w:t>
      </w:r>
    </w:p>
    <w:p>
      <w:pPr>
        <w:pStyle w:val="Para 17"/>
      </w:pPr>
      <w:r>
        <w:t/>
      </w:r>
    </w:p>
    <w:p>
      <w:pPr>
        <w:pStyle w:val="Para 01"/>
      </w:pPr>
      <w:r>
        <w:t>Small changes directly in GitHub</w:t>
      </w:r>
    </w:p>
    <w:p>
      <w:pPr>
        <w:pStyle w:val="Para 17"/>
      </w:pPr>
      <w:r>
        <w:t/>
      </w:r>
    </w:p>
    <w:p>
      <w:pPr>
        <w:pStyle w:val="Normal"/>
      </w:pPr>
      <w:r>
        <w:t>For small and straightforward contributions that don’t need local testing, such as typos or</w:t>
      </w:r>
    </w:p>
    <w:p>
      <w:pPr>
        <w:pStyle w:val="Normal"/>
      </w:pPr>
      <w:r>
        <w:t xml:space="preserve">minor corrections, it can be easier to edit pages directly through </w:t>
      </w:r>
      <w:hyperlink w:anchor="page_967">
        <w:r>
          <w:rPr>
            <w:rStyle w:val="Text9"/>
          </w:rPr>
          <w:t>1127</w:t>
        </w:r>
      </w:hyperlink>
      <w:r>
        <w:t xml:space="preserve"> </w:t>
      </w:r>
      <w:hyperlink r:id="rId1928">
        <w:r>
          <w:rPr>
            <w:rStyle w:val="Text1"/>
          </w:rPr>
          <w:t>GitHub’s web interface</w:t>
        </w:r>
      </w:hyperlink>
      <w:r>
        <w:t>.</w:t>
      </w:r>
    </w:p>
    <w:p>
      <w:pPr>
        <w:pStyle w:val="Normal"/>
      </w:pPr>
      <w:r>
        <w:t>This approach is valid whether you are fixing a single typo, or making multiple changes to a single file.</w:t>
      </w:r>
    </w:p>
    <w:p>
      <w:pPr>
        <w:pStyle w:val="Para 03"/>
      </w:pPr>
      <w:r>
        <w:t xml:space="preserve">1. Navigate to the page you want to edit </w:t>
      </w:r>
      <w:hyperlink w:anchor="page_967">
        <w:r>
          <w:rPr>
            <w:rStyle w:val="Text9"/>
          </w:rPr>
          <w:t>1128</w:t>
        </w:r>
      </w:hyperlink>
      <w:r>
        <w:t xml:space="preserve"> </w:t>
      </w:r>
      <w:hyperlink r:id="rId1929">
        <w:r>
          <w:rPr>
            <w:rStyle w:val="Text1"/>
          </w:rPr>
          <w:t>in the documentation</w:t>
        </w:r>
      </w:hyperlink>
    </w:p>
    <w:p>
      <w:pPr>
        <w:pStyle w:val="Para 03"/>
      </w:pPr>
      <w:r>
        <w:t>2. Click the “Edit on GitHub” button (pencil icon) at the top of the page (you will be</w:t>
      </w:r>
    </w:p>
    <w:p>
      <w:pPr>
        <w:pStyle w:val="Para 02"/>
      </w:pPr>
      <w:r>
        <w:t>prompted to create a GitHub account if you don’t already have one)</w:t>
      </w:r>
    </w:p>
    <w:p>
      <w:pPr>
        <w:pStyle w:val="Para 03"/>
      </w:pPr>
      <w:r>
        <w:t>3. Make your changes in the GitHub web editor and save them</w:t>
      </w:r>
    </w:p>
    <w:p>
      <w:pPr>
        <w:pStyle w:val="Para 03"/>
      </w:pPr>
      <w:r>
        <w:t>4. Select “Create a new branch for this commit and start a pull request”</w:t>
      </w:r>
    </w:p>
    <w:p>
      <w:pPr>
        <w:pStyle w:val="Para 03"/>
      </w:pPr>
      <w:r>
        <w:t>5. Fill in the pull request template, including a description of why the change is needed</w:t>
      </w:r>
    </w:p>
    <w:p>
      <w:pPr>
        <w:pStyle w:val="Para 03"/>
      </w:pPr>
      <w:r>
        <w:t>6. Submit the pull request, and you’re done!</w:t>
      </w:r>
    </w:p>
    <w:p>
      <w:pPr>
        <w:pStyle w:val="Para 17"/>
      </w:pPr>
      <w:r>
        <w:t/>
      </w:r>
    </w:p>
    <w:p>
      <w:pPr>
        <w:pStyle w:val="Para 01"/>
      </w:pPr>
      <w:r>
        <w:t>Local setup</w:t>
      </w:r>
    </w:p>
    <w:p>
      <w:pPr>
        <w:pStyle w:val="Para 17"/>
      </w:pPr>
      <w:r>
        <w:t/>
      </w:r>
    </w:p>
    <w:p>
      <w:pPr>
        <w:pStyle w:val="Normal"/>
      </w:pPr>
      <w:r>
        <w:t>For more substantial changes, e.g. where you’re changing multiple pages, you may prefer to work locally so you can build and test your changes while you work.</w:t>
      </w:r>
    </w:p>
    <w:p>
      <w:pPr>
        <w:pStyle w:val="Para 17"/>
      </w:pPr>
      <w:r>
        <w:t/>
      </w:r>
    </w:p>
    <w:p>
      <w:pPr>
        <w:pStyle w:val="Para 01"/>
      </w:pPr>
      <w:r>
        <w:t>Create a fork</w:t>
      </w:r>
    </w:p>
    <w:p>
      <w:pPr>
        <w:pStyle w:val="Para 17"/>
      </w:pPr>
      <w:r>
        <w:t/>
      </w:r>
    </w:p>
    <w:p>
      <w:pPr>
        <w:pStyle w:val="Para 18"/>
      </w:pPr>
      <w:r>
        <w:rPr>
          <w:rStyle w:val="Text7"/>
        </w:rPr>
        <w:t xml:space="preserve">Create your own fork of the </w:t>
      </w:r>
      <w:hyperlink r:id="rId1916">
        <w:r>
          <w:rPr>
            <w:rStyle w:val="Text10"/>
          </w:rPr>
          <w:t>1129</w:t>
        </w:r>
      </w:hyperlink>
      <w:hyperlink r:id="rId1916">
        <w:r>
          <w:t xml:space="preserve"> Ubuntu Server GitHub repository</w:t>
        </w:r>
      </w:hyperlink>
      <w:r>
        <w:rPr>
          <w:rStyle w:val="Text7"/>
        </w:rPr>
        <w:t>.</w:t>
      </w:r>
    </w:p>
    <w:p>
      <w:pPr>
        <w:pStyle w:val="Normal"/>
      </w:pPr>
      <w:r>
        <w:t xml:space="preserve">If you’re not sure what this means or need some help getting started, check out the </w:t>
      </w:r>
      <w:hyperlink r:id="rId1930">
        <w:r>
          <w:rPr>
            <w:rStyle w:val="Text1"/>
          </w:rPr>
          <w:t>working</w:t>
        </w:r>
      </w:hyperlink>
    </w:p>
    <w:p>
      <w:pPr>
        <w:pStyle w:val="Normal"/>
      </w:pPr>
      <w:hyperlink r:id="rId1930">
        <w:r>
          <w:rPr>
            <w:rStyle w:val="Text1"/>
          </w:rPr>
          <w:t>with git</w:t>
        </w:r>
      </w:hyperlink>
      <w:hyperlink w:anchor="page_967">
        <w:r>
          <w:rPr>
            <w:rStyle w:val="Text9"/>
          </w:rPr>
          <w:t>1130</w:t>
        </w:r>
      </w:hyperlink>
      <w:r>
        <w:t xml:space="preserve"> guide from the Open Documentation Academy which walks through the process and explains all this terminology.</w:t>
      </w:r>
    </w:p>
    <w:p>
      <w:pPr>
        <w:pStyle w:val="Normal"/>
      </w:pPr>
      <w:r>
        <w:t>Just remember to change all instances of open-documentation-academy in the commands to ubuntu-server-documentation!</w:t>
      </w:r>
    </w:p>
    <w:p>
      <w:pPr>
        <w:pStyle w:val="Para 16"/>
      </w:pPr>
      <w:r>
        <w:rPr>
          <w:rStyle w:val="Text5"/>
        </w:rPr>
        <w:t>1127</w:t>
      </w:r>
      <w:r>
        <w:rPr>
          <w:rStyle w:val="Text8"/>
        </w:rPr>
        <w:t xml:space="preserve"> </w:t>
      </w:r>
      <w:r>
        <w:t>https://docs.github.com/en/repositories/working-with-files/managing-files/editing-files</w:t>
      </w:r>
      <w:r>
        <w:rPr>
          <w:rStyle w:val="Text8"/>
        </w:rPr>
        <w:t xml:space="preserve"> </w:t>
      </w:r>
      <w:r>
        <w:rPr>
          <w:rStyle w:val="Text5"/>
        </w:rPr>
        <w:t>1128</w:t>
      </w:r>
      <w:r>
        <w:rPr>
          <w:rStyle w:val="Text8"/>
        </w:rPr>
        <w:t xml:space="preserve"> </w:t>
      </w:r>
      <w:r>
        <w:t>https://ubuntu.com/server/docs</w:t>
      </w:r>
    </w:p>
    <w:p>
      <w:pPr>
        <w:pStyle w:val="Para 16"/>
      </w:pPr>
      <w:r>
        <w:rPr>
          <w:rStyle w:val="Text5"/>
        </w:rPr>
        <w:t>1129</w:t>
      </w:r>
      <w:r>
        <w:rPr>
          <w:rStyle w:val="Text8"/>
        </w:rPr>
        <w:t xml:space="preserve"> </w:t>
      </w:r>
      <w:r>
        <w:t>https://github.com/canonical/ubuntu-server-documentation</w:t>
      </w:r>
      <w:r>
        <w:rPr>
          <w:rStyle w:val="Text8"/>
        </w:rPr>
        <w:t xml:space="preserve"> </w:t>
      </w:r>
      <w:r>
        <w:rPr>
          <w:rStyle w:val="Text5"/>
        </w:rPr>
        <w:t>1130</w:t>
      </w:r>
      <w:r>
        <w:rPr>
          <w:rStyle w:val="Text8"/>
        </w:rPr>
        <w:t xml:space="preserve"> </w:t>
      </w:r>
      <w:r>
        <w:t>https://documentation.academy/docs/howto/get-started/using_git/</w:t>
      </w:r>
    </w:p>
    <w:p>
      <w:bookmarkStart w:id="1532" w:name="page_9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09" name="index-968_1.png" descr="index-968_1.png"/>
            <wp:cNvGraphicFramePr>
              <a:graphicFrameLocks noChangeAspect="1"/>
            </wp:cNvGraphicFramePr>
            <a:graphic>
              <a:graphicData uri="http://schemas.openxmlformats.org/drawingml/2006/picture">
                <pic:pic>
                  <pic:nvPicPr>
                    <pic:cNvPr id="0" name="index-968_1.png" descr="index-968_1.png"/>
                    <pic:cNvPicPr/>
                  </pic:nvPicPr>
                  <pic:blipFill>
                    <a:blip r:embed="rId1013"/>
                    <a:stretch>
                      <a:fillRect/>
                    </a:stretch>
                  </pic:blipFill>
                  <pic:spPr>
                    <a:xfrm>
                      <a:off x="0" y="0"/>
                      <a:ext cx="914400" cy="266700"/>
                    </a:xfrm>
                    <a:prstGeom prst="rect">
                      <a:avLst/>
                    </a:prstGeom>
                  </pic:spPr>
                </pic:pic>
              </a:graphicData>
            </a:graphic>
          </wp:anchor>
        </w:drawing>
      </w:r>
      <w:bookmarkEnd w:id="1532"/>
    </w:p>
    <w:p>
      <w:pPr>
        <w:pStyle w:val="Para 01"/>
      </w:pPr>
      <w:r>
        <w:t>Get the documentation</w:t>
      </w:r>
    </w:p>
    <w:p>
      <w:pPr>
        <w:pStyle w:val="Para 17"/>
      </w:pPr>
      <w:r>
        <w:t/>
      </w:r>
    </w:p>
    <w:p>
      <w:pPr>
        <w:pStyle w:val="Normal"/>
      </w:pPr>
      <w:r>
        <w:t>In your terminal, clone the Ubuntu Server documentation repository by running:</w:t>
      </w:r>
    </w:p>
    <w:p>
      <w:pPr>
        <w:pStyle w:val="Normal"/>
      </w:pPr>
      <w:r>
        <w:t>git clone git@github.com:canonical/ubuntu-server-documentation.git</w:t>
      </w:r>
    </w:p>
    <w:p>
      <w:pPr>
        <w:pStyle w:val="Para 17"/>
      </w:pPr>
      <w:r>
        <w:t/>
      </w:r>
    </w:p>
    <w:p>
      <w:pPr>
        <w:pStyle w:val="Normal"/>
      </w:pPr>
      <w:r>
        <w:t>This creates a new folder on your machine called ubuntu-server-documentation containing the contents of this repository.</w:t>
      </w:r>
    </w:p>
    <w:p>
      <w:pPr>
        <w:pStyle w:val="Normal"/>
      </w:pPr>
      <w:r>
        <w:t>Navigate to this folder:</w:t>
      </w:r>
    </w:p>
    <w:p>
      <w:pPr>
        <w:pStyle w:val="Normal"/>
      </w:pPr>
      <w:r>
        <w:t>cd</w:t>
        <w:t xml:space="preserve"> </w:t>
        <w:t>ubuntu-server-documentation</w:t>
      </w:r>
    </w:p>
    <w:p>
      <w:pPr>
        <w:pStyle w:val="Para 17"/>
      </w:pPr>
      <w:r>
        <w:t/>
      </w:r>
    </w:p>
    <w:p>
      <w:pPr>
        <w:pStyle w:val="Para 01"/>
      </w:pPr>
      <w:r>
        <w:t>Create a new branch</w:t>
      </w:r>
    </w:p>
    <w:p>
      <w:pPr>
        <w:pStyle w:val="Para 17"/>
      </w:pPr>
      <w:r>
        <w:t/>
      </w:r>
    </w:p>
    <w:p>
      <w:pPr>
        <w:pStyle w:val="Normal"/>
      </w:pPr>
      <w:r>
        <w:t>Before making any changes, ensure the main branch on your machine is up-to-date with any recent changes made to the remote repository:</w:t>
      </w:r>
    </w:p>
    <w:p>
      <w:pPr>
        <w:pStyle w:val="Normal"/>
      </w:pPr>
      <w:r>
        <w:t>git pull</w:t>
      </w:r>
    </w:p>
    <w:p>
      <w:pPr>
        <w:pStyle w:val="Para 17"/>
      </w:pPr>
      <w:r>
        <w:t/>
      </w:r>
    </w:p>
    <w:p>
      <w:pPr>
        <w:pStyle w:val="Para 08"/>
      </w:pPr>
      <w:r>
        <w:t>Note:</w:t>
      </w:r>
    </w:p>
    <w:p>
      <w:pPr>
        <w:pStyle w:val="Para 03"/>
      </w:pPr>
      <w:r>
        <w:t>This won’t have any effect if you have only just cloned the repository (since you’re already</w:t>
      </w:r>
    </w:p>
    <w:p>
      <w:pPr>
        <w:pStyle w:val="Para 03"/>
      </w:pPr>
      <w:r>
        <w:t>up-to-date).</w:t>
      </w:r>
    </w:p>
    <w:p>
      <w:pPr>
        <w:pStyle w:val="Para 17"/>
      </w:pPr>
      <w:r>
        <w:t/>
      </w:r>
    </w:p>
    <w:p>
      <w:pPr>
        <w:pStyle w:val="Normal"/>
      </w:pPr>
      <w:r>
        <w:t>Now, create a branch and switch to it:</w:t>
      </w:r>
    </w:p>
    <w:p>
      <w:pPr>
        <w:pStyle w:val="Normal"/>
      </w:pPr>
      <w:r>
        <w:t>git checkout -b my-new-branch</w:t>
      </w:r>
    </w:p>
    <w:p>
      <w:pPr>
        <w:pStyle w:val="Para 17"/>
      </w:pPr>
      <w:r>
        <w:t/>
      </w:r>
    </w:p>
    <w:p>
      <w:pPr>
        <w:pStyle w:val="Normal"/>
      </w:pPr>
      <w:r>
        <w:t>It’s a good idea to give your branch a descriptive name (something more useful than my-new-branch). Then, even if you are working on multiple branches, you will know at a glance what each of them is for.</w:t>
      </w:r>
    </w:p>
    <w:p>
      <w:pPr>
        <w:pStyle w:val="Para 17"/>
      </w:pPr>
      <w:r>
        <w:t/>
      </w:r>
    </w:p>
    <w:p>
      <w:pPr>
        <w:pStyle w:val="Para 01"/>
      </w:pPr>
      <w:r>
        <w:t>Build and preview</w:t>
      </w:r>
    </w:p>
    <w:p>
      <w:pPr>
        <w:pStyle w:val="Para 17"/>
      </w:pPr>
      <w:r>
        <w:t/>
      </w:r>
    </w:p>
    <w:p>
      <w:pPr>
        <w:pStyle w:val="Normal"/>
      </w:pPr>
      <w:r>
        <w:t>You’re now ready to start working on the docs! Run the following command to build a live preview:</w:t>
      </w:r>
    </w:p>
    <w:p>
      <w:pPr>
        <w:pStyle w:val="Normal"/>
      </w:pPr>
      <w:r>
        <w:t>make run</w:t>
      </w:r>
    </w:p>
    <w:p>
      <w:pPr>
        <w:pStyle w:val="Para 17"/>
      </w:pPr>
      <w:r>
        <w:t/>
      </w:r>
    </w:p>
    <w:p>
      <w:pPr>
        <w:pStyle w:val="Normal"/>
      </w:pPr>
      <w:r>
        <w:t xml:space="preserve">This builds </w:t>
      </w:r>
      <w:r>
        <w:rPr>
          <w:rStyle w:val="Text0"/>
        </w:rPr>
        <w:t>and serves</w:t>
      </w:r>
      <w:r>
        <w:t xml:space="preserve"> the documentation at </w:t>
      </w:r>
      <w:hyperlink r:id="rId1931">
        <w:r>
          <w:rPr>
            <w:rStyle w:val="Text1"/>
          </w:rPr>
          <w:t>http://127.0.0.1:8000/</w:t>
        </w:r>
      </w:hyperlink>
      <w:r>
        <w:t>. It watches the folder so that whenever you save changes to a file, the page gets rebuilt. In this way, you can see the effect of your changes (or be warned if something got broken!).</w:t>
      </w:r>
    </w:p>
    <w:p>
      <w:pPr>
        <w:pStyle w:val="Normal"/>
      </w:pPr>
      <w:r>
        <w:t>If you are building locally on an Ubuntu Cloud VM or a container, you may experience issues accessing the page from your host’s browser. To resolve this, add the export variable to your shell by running the following command:</w:t>
      </w:r>
    </w:p>
    <w:p>
      <w:pPr>
        <w:pStyle w:val="Normal"/>
      </w:pPr>
      <w:r>
        <w:t>export</w:t>
        <w:t xml:space="preserve"> </w:t>
        <w:t>SPHINX_HOST</w:t>
        <w:t>=</w:t>
        <w:t>0</w:t>
        <w:t>.0.0.0</w:t>
      </w:r>
    </w:p>
    <w:p>
      <w:bookmarkStart w:id="1533" w:name="page_9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0" name="index-969_1.png" descr="index-969_1.png"/>
            <wp:cNvGraphicFramePr>
              <a:graphicFrameLocks noChangeAspect="1"/>
            </wp:cNvGraphicFramePr>
            <a:graphic>
              <a:graphicData uri="http://schemas.openxmlformats.org/drawingml/2006/picture">
                <pic:pic>
                  <pic:nvPicPr>
                    <pic:cNvPr id="0" name="index-969_1.png" descr="index-969_1.png"/>
                    <pic:cNvPicPr/>
                  </pic:nvPicPr>
                  <pic:blipFill>
                    <a:blip r:embed="rId1014"/>
                    <a:stretch>
                      <a:fillRect/>
                    </a:stretch>
                  </pic:blipFill>
                  <pic:spPr>
                    <a:xfrm>
                      <a:off x="0" y="0"/>
                      <a:ext cx="914400" cy="266700"/>
                    </a:xfrm>
                    <a:prstGeom prst="rect">
                      <a:avLst/>
                    </a:prstGeom>
                  </pic:spPr>
                </pic:pic>
              </a:graphicData>
            </a:graphic>
          </wp:anchor>
        </w:drawing>
      </w:r>
      <w:bookmarkEnd w:id="1533"/>
    </w:p>
    <w:p>
      <w:pPr>
        <w:pStyle w:val="Normal"/>
      </w:pPr>
      <w:r>
        <w:t>The make run command should then work as expected.</w:t>
      </w:r>
    </w:p>
    <w:p>
      <w:pPr>
        <w:pStyle w:val="Para 08"/>
      </w:pPr>
      <w:r>
        <w:t>Note:</w:t>
      </w:r>
    </w:p>
    <w:p>
      <w:pPr>
        <w:pStyle w:val="Para 03"/>
      </w:pPr>
      <w:r>
        <w:t>If you have problems getting the documentation to run on your machine, reach out to the</w:t>
      </w:r>
    </w:p>
    <w:p>
      <w:pPr>
        <w:pStyle w:val="Para 03"/>
      </w:pPr>
      <w:r>
        <w:t>team or leave a comment on your issue to get additional support.</w:t>
      </w:r>
    </w:p>
    <w:p>
      <w:pPr>
        <w:pStyle w:val="Para 17"/>
      </w:pPr>
      <w:r>
        <w:t/>
      </w:r>
    </w:p>
    <w:p>
      <w:pPr>
        <w:pStyle w:val="Para 01"/>
      </w:pPr>
      <w:r>
        <w:t>Other build commands</w:t>
      </w:r>
    </w:p>
    <w:p>
      <w:pPr>
        <w:pStyle w:val="Para 17"/>
      </w:pPr>
      <w:r>
        <w:t/>
      </w:r>
    </w:p>
    <w:p>
      <w:pPr>
        <w:pStyle w:val="Normal"/>
      </w:pPr>
      <w:r>
        <w:t>You can also use these commands for different purposes:</w:t>
      </w:r>
    </w:p>
    <w:p>
      <w:pPr>
        <w:pStyle w:val="Para 04"/>
      </w:pPr>
      <w:r>
        <w:t>• make html – Build the documentation only (without serving)</w:t>
      </w:r>
    </w:p>
    <w:p>
      <w:pPr>
        <w:pStyle w:val="Para 04"/>
      </w:pPr>
      <w:r>
        <w:t>• make serve – Serve previously built documentation without rebuilding</w:t>
      </w:r>
    </w:p>
    <w:p>
      <w:pPr>
        <w:pStyle w:val="Para 04"/>
      </w:pPr>
      <w:r>
        <w:t>• make clean-doc – Clean all built files to start fresh</w:t>
      </w:r>
    </w:p>
    <w:p>
      <w:pPr>
        <w:pStyle w:val="Normal"/>
      </w:pPr>
      <w:r>
        <w:t>Run make by itself to see a list of all available commands.</w:t>
      </w:r>
    </w:p>
    <w:p>
      <w:pPr>
        <w:pStyle w:val="Para 17"/>
      </w:pPr>
      <w:r>
        <w:t/>
      </w:r>
    </w:p>
    <w:p>
      <w:pPr>
        <w:pStyle w:val="Para 01"/>
      </w:pPr>
      <w:r>
        <w:t>Writing guidance</w:t>
      </w:r>
    </w:p>
    <w:p>
      <w:pPr>
        <w:pStyle w:val="Para 17"/>
      </w:pPr>
      <w:r>
        <w:t/>
      </w:r>
    </w:p>
    <w:p>
      <w:pPr>
        <w:pStyle w:val="Normal"/>
      </w:pPr>
      <w:r>
        <w:t>Once your environment is set up and you have got your local copy running without any build</w:t>
      </w:r>
    </w:p>
    <w:p>
      <w:pPr>
        <w:pStyle w:val="Normal"/>
      </w:pPr>
      <w:r>
        <w:t xml:space="preserve">errors, check out our </w:t>
      </w:r>
      <w:hyperlink w:anchor="page_972">
        <w:r>
          <w:rPr>
            <w:rStyle w:val="Text2"/>
          </w:rPr>
          <w:t>guidance for writing</w:t>
        </w:r>
      </w:hyperlink>
      <w:r>
        <w:t xml:space="preserve"> (page 971) section to find out about our style guide and other important information.</w:t>
      </w:r>
    </w:p>
    <w:p>
      <w:pPr>
        <w:pStyle w:val="Para 17"/>
      </w:pPr>
      <w:r>
        <w:t/>
      </w:r>
    </w:p>
    <w:p>
      <w:pPr>
        <w:pStyle w:val="Para 01"/>
      </w:pPr>
      <w:r>
        <w:t>Test your changes</w:t>
      </w:r>
    </w:p>
    <w:p>
      <w:pPr>
        <w:pStyle w:val="Para 17"/>
      </w:pPr>
      <w:r>
        <w:t/>
      </w:r>
    </w:p>
    <w:p>
      <w:pPr>
        <w:pStyle w:val="Normal"/>
      </w:pPr>
      <w:r>
        <w:t>Once you think you are ready to submit your changes, test the documentation to catch any spelling errors, broken links, or similar issues. This allows reviewers to focus on the main changes you are proposing and makes the review process more efficient.</w:t>
      </w:r>
    </w:p>
    <w:p>
      <w:pPr>
        <w:pStyle w:val="Para 17"/>
      </w:pPr>
      <w:r>
        <w:t/>
      </w:r>
    </w:p>
    <w:p>
      <w:pPr>
        <w:pStyle w:val="Para 01"/>
      </w:pPr>
      <w:r>
        <w:t>Automatic testing</w:t>
      </w:r>
    </w:p>
    <w:p>
      <w:pPr>
        <w:pStyle w:val="Para 17"/>
      </w:pPr>
      <w:r>
        <w:t/>
      </w:r>
    </w:p>
    <w:p>
      <w:pPr>
        <w:pStyle w:val="Normal"/>
      </w:pPr>
      <w:r>
        <w:t>Always run these commands before submitting a pull request:</w:t>
      </w:r>
    </w:p>
    <w:p>
      <w:pPr>
        <w:pStyle w:val="Normal"/>
      </w:pPr>
      <w:r>
        <w:t>make spelling</w:t>
      </w:r>
    </w:p>
    <w:p>
      <w:pPr>
        <w:pStyle w:val="Normal"/>
      </w:pPr>
      <w:r>
        <w:t>make linkcheck</w:t>
      </w:r>
    </w:p>
    <w:p>
      <w:pPr>
        <w:pStyle w:val="Para 17"/>
      </w:pPr>
      <w:r>
        <w:t/>
      </w:r>
    </w:p>
    <w:p>
      <w:pPr>
        <w:pStyle w:val="Normal"/>
      </w:pPr>
      <w:r>
        <w:t>The spelling command checks for spelling errors. If it flags a technical term that is correctly spelled, add the term to .custom_wordlist.txt in the root of the repository (in alphabetical order please!).</w:t>
      </w:r>
    </w:p>
    <w:p>
      <w:pPr>
        <w:pStyle w:val="Normal"/>
      </w:pPr>
      <w:r>
        <w:t>The linkcheck command verifies all links in the documentation are working.</w:t>
      </w:r>
    </w:p>
    <w:p>
      <w:pPr>
        <w:pStyle w:val="Normal"/>
      </w:pPr>
      <w:r>
        <w:t>These checks are run on pull requests when they are submitted, but if the checks flag prob-lems it will delay the review process.</w:t>
      </w:r>
    </w:p>
    <w:p>
      <w:bookmarkStart w:id="1534" w:name="page_97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1" name="index-970_1.png" descr="index-970_1.png"/>
            <wp:cNvGraphicFramePr>
              <a:graphicFrameLocks noChangeAspect="1"/>
            </wp:cNvGraphicFramePr>
            <a:graphic>
              <a:graphicData uri="http://schemas.openxmlformats.org/drawingml/2006/picture">
                <pic:pic>
                  <pic:nvPicPr>
                    <pic:cNvPr id="0" name="index-970_1.png" descr="index-970_1.png"/>
                    <pic:cNvPicPr/>
                  </pic:nvPicPr>
                  <pic:blipFill>
                    <a:blip r:embed="rId1015"/>
                    <a:stretch>
                      <a:fillRect/>
                    </a:stretch>
                  </pic:blipFill>
                  <pic:spPr>
                    <a:xfrm>
                      <a:off x="0" y="0"/>
                      <a:ext cx="914400" cy="266700"/>
                    </a:xfrm>
                    <a:prstGeom prst="rect">
                      <a:avLst/>
                    </a:prstGeom>
                  </pic:spPr>
                </pic:pic>
              </a:graphicData>
            </a:graphic>
          </wp:anchor>
        </w:drawing>
      </w:r>
      <w:bookmarkEnd w:id="1534"/>
    </w:p>
    <w:p>
      <w:pPr>
        <w:pStyle w:val="Para 01"/>
      </w:pPr>
      <w:r>
        <w:t>Manual testing</w:t>
      </w:r>
    </w:p>
    <w:p>
      <w:pPr>
        <w:pStyle w:val="Para 17"/>
      </w:pPr>
      <w:r>
        <w:t/>
      </w:r>
    </w:p>
    <w:p>
      <w:pPr>
        <w:pStyle w:val="Normal"/>
      </w:pPr>
      <w:r>
        <w:t>If your contribution contains any code or process steps, do a final run-through of your guide from start to finish in a clean environment. This ensures everything works as expected.</w:t>
      </w:r>
    </w:p>
    <w:p>
      <w:pPr>
        <w:pStyle w:val="Normal"/>
      </w:pPr>
      <w:r>
        <w:t>Particularly check code snippets – does the output in your terminal match what you’ve pre-sented in the guide?</w:t>
      </w:r>
    </w:p>
    <w:p>
      <w:pPr>
        <w:pStyle w:val="Para 17"/>
      </w:pPr>
      <w:r>
        <w:t/>
      </w:r>
    </w:p>
    <w:p>
      <w:pPr>
        <w:pStyle w:val="Para 01"/>
      </w:pPr>
      <w:r>
        <w:t>Creating redirects</w:t>
      </w:r>
    </w:p>
    <w:p>
      <w:pPr>
        <w:pStyle w:val="Para 17"/>
      </w:pPr>
      <w:r>
        <w:t/>
      </w:r>
    </w:p>
    <w:p>
      <w:pPr>
        <w:pStyle w:val="Normal"/>
      </w:pPr>
      <w:r>
        <w:t xml:space="preserve">If you rename, move or delete an existing file, you </w:t>
      </w:r>
      <w:r>
        <w:rPr>
          <w:rStyle w:val="Text3"/>
        </w:rPr>
        <w:t>must</w:t>
      </w:r>
      <w:r>
        <w:t xml:space="preserve"> create a redirect for that page to ensure users don’t run into 404 errors when clicking links in the published documentation.</w:t>
      </w:r>
    </w:p>
    <w:p>
      <w:pPr>
        <w:pStyle w:val="Para 17"/>
      </w:pPr>
      <w:r>
        <w:t/>
      </w:r>
    </w:p>
    <w:p>
      <w:pPr>
        <w:pStyle w:val="Para 01"/>
      </w:pPr>
      <w:r>
        <w:t>Internal redirects</w:t>
      </w:r>
    </w:p>
    <w:p>
      <w:pPr>
        <w:pStyle w:val="Para 17"/>
      </w:pPr>
      <w:r>
        <w:t/>
      </w:r>
    </w:p>
    <w:p>
      <w:pPr>
        <w:pStyle w:val="Normal"/>
      </w:pPr>
      <w:r>
        <w:t>To set up a redirect from one file path to another, add a line to the end of redirects.txt file in the docs/ directory, in the following format:</w:t>
      </w:r>
    </w:p>
    <w:p>
      <w:pPr>
        <w:pStyle w:val="Normal"/>
      </w:pPr>
      <w:r>
        <w:t>redirect/path/from/ redirect/path/to/</w:t>
      </w:r>
    </w:p>
    <w:p>
      <w:pPr>
        <w:pStyle w:val="Para 17"/>
      </w:pPr>
      <w:r>
        <w:t/>
      </w:r>
    </w:p>
    <w:p>
      <w:pPr>
        <w:pStyle w:val="Normal"/>
      </w:pPr>
      <w:r>
        <w:t>Note that since we use dirhtml to build, the built documentation is in the format path/to/ file/index.html where file corresponds to the file name you are redirecting. This means that you only need a trailing slash at the end of the file name, without the file extension. See</w:t>
      </w:r>
    </w:p>
    <w:p>
      <w:pPr>
        <w:pStyle w:val="Normal"/>
      </w:pPr>
      <w:r>
        <w:t xml:space="preserve">the </w:t>
      </w:r>
      <w:hyperlink w:anchor="page_970">
        <w:r>
          <w:rPr>
            <w:rStyle w:val="Text9"/>
          </w:rPr>
          <w:t>1131</w:t>
        </w:r>
      </w:hyperlink>
      <w:r>
        <w:t xml:space="preserve"> </w:t>
      </w:r>
      <w:hyperlink r:id="rId1932">
        <w:r>
          <w:rPr>
            <w:rStyle w:val="Text1"/>
          </w:rPr>
          <w:t>Sphinx Rediraffe docs</w:t>
        </w:r>
      </w:hyperlink>
      <w:r>
        <w:t xml:space="preserve"> for more guidance, or reach out to us for help.</w:t>
      </w:r>
    </w:p>
    <w:p>
      <w:pPr>
        <w:pStyle w:val="Para 17"/>
      </w:pPr>
      <w:r>
        <w:t/>
      </w:r>
    </w:p>
    <w:p>
      <w:pPr>
        <w:pStyle w:val="Para 01"/>
      </w:pPr>
      <w:r>
        <w:t>External redirects</w:t>
      </w:r>
    </w:p>
    <w:p>
      <w:pPr>
        <w:pStyle w:val="Para 17"/>
      </w:pPr>
      <w:r>
        <w:t/>
      </w:r>
    </w:p>
    <w:p>
      <w:pPr>
        <w:pStyle w:val="Normal"/>
      </w:pPr>
      <w:r>
        <w:t>Rediraffe doesn’t currently handle redirects from a page to an external website. To redirect outside of the Server documentation, you will need to set up a redirect in the conf.py file in the root directory.</w:t>
      </w:r>
    </w:p>
    <w:p>
      <w:pPr>
        <w:pStyle w:val="Normal"/>
      </w:pPr>
      <w:r>
        <w:t>Under the Redirects section, add the source page and the target page as follows:</w:t>
      </w:r>
    </w:p>
    <w:p>
      <w:pPr>
        <w:pStyle w:val="Normal"/>
      </w:pPr>
      <w:r>
        <w:t>redirects</w:t>
        <w:t xml:space="preserve"> </w:t>
        <w:t>=</w:t>
        <w:t xml:space="preserve"> </w:t>
        <w:t>{</w:t>
      </w:r>
    </w:p>
    <w:p>
      <w:pPr>
        <w:pStyle w:val="Para 02"/>
      </w:pPr>
      <w:r>
        <w:t>"example/source"</w:t>
        <w:t>:</w:t>
        <w:t xml:space="preserve"> </w:t>
        <w:t>"https://exampletarget.org"</w:t>
        <w:t>,</w:t>
        <w:t xml:space="preserve"> </w:t>
        <w:t>"how-to/containers/lxc-containers"</w:t>
        <w:t>:</w:t>
        <w:t xml:space="preserve"> </w:t>
        <w:t>"https://linuxcontainers.org/lxc/documentation/"</w:t>
        <w:t>,</w:t>
      </w:r>
    </w:p>
    <w:p>
      <w:pPr>
        <w:pStyle w:val="Normal"/>
      </w:pPr>
      <w:r>
        <w:t>}</w:t>
      </w:r>
    </w:p>
    <w:p>
      <w:pPr>
        <w:pStyle w:val="Para 17"/>
      </w:pPr>
      <w:r>
        <w:t/>
      </w:r>
    </w:p>
    <w:p>
      <w:pPr>
        <w:pStyle w:val="Normal"/>
      </w:pPr>
      <w:r>
        <w:t>When you set up a redirect in this way, the path of the source file you’re redirecting from</w:t>
      </w:r>
    </w:p>
    <w:p>
      <w:pPr>
        <w:pStyle w:val="Normal"/>
      </w:pPr>
      <w:r>
        <w:t xml:space="preserve">should include everything </w:t>
      </w:r>
      <w:r>
        <w:rPr>
          <w:rStyle w:val="Text3"/>
        </w:rPr>
        <w:t>after</w:t>
      </w:r>
      <w:r>
        <w:t xml:space="preserve"> the base URL (</w:t>
      </w:r>
      <w:hyperlink r:id="rId1929">
        <w:r>
          <w:rPr>
            <w:rStyle w:val="Text1"/>
          </w:rPr>
          <w:t>https://ubuntu.com/server/docs</w:t>
          <w:t>).</w:t>
        </w:r>
      </w:hyperlink>
    </w:p>
    <w:p>
      <w:pPr>
        <w:pStyle w:val="Para 16"/>
      </w:pPr>
      <w:r>
        <w:rPr>
          <w:rStyle w:val="Text5"/>
        </w:rPr>
        <w:t>1131</w:t>
      </w:r>
      <w:r>
        <w:rPr>
          <w:rStyle w:val="Text8"/>
        </w:rPr>
        <w:t xml:space="preserve"> </w:t>
      </w:r>
      <w:r>
        <w:t>https://sphinxext-rediraffe.readthedocs.io/en/latest/</w:t>
      </w:r>
    </w:p>
    <w:p>
      <w:bookmarkStart w:id="1535" w:name="calibre_pb_282"/>
      <w:pPr>
        <w:pStyle w:val="0 Block"/>
      </w:pPr>
      <w:bookmarkEnd w:id="1535"/>
    </w:p>
    <w:p>
      <w:bookmarkStart w:id="1536" w:name="page_971"/>
      <w:bookmarkStart w:id="1537" w:name="Top_of_index_split_283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2" name="index-971_1.png" descr="index-971_1.png"/>
            <wp:cNvGraphicFramePr>
              <a:graphicFrameLocks noChangeAspect="1"/>
            </wp:cNvGraphicFramePr>
            <a:graphic>
              <a:graphicData uri="http://schemas.openxmlformats.org/drawingml/2006/picture">
                <pic:pic>
                  <pic:nvPicPr>
                    <pic:cNvPr id="0" name="index-971_1.png" descr="index-971_1.png"/>
                    <pic:cNvPicPr/>
                  </pic:nvPicPr>
                  <pic:blipFill>
                    <a:blip r:embed="rId1016"/>
                    <a:stretch>
                      <a:fillRect/>
                    </a:stretch>
                  </pic:blipFill>
                  <pic:spPr>
                    <a:xfrm>
                      <a:off x="0" y="0"/>
                      <a:ext cx="914400" cy="266700"/>
                    </a:xfrm>
                    <a:prstGeom prst="rect">
                      <a:avLst/>
                    </a:prstGeom>
                  </pic:spPr>
                </pic:pic>
              </a:graphicData>
            </a:graphic>
          </wp:anchor>
        </w:drawing>
      </w:r>
      <w:bookmarkEnd w:id="1536"/>
      <w:bookmarkEnd w:id="1537"/>
    </w:p>
    <w:p>
      <w:pPr>
        <w:pStyle w:val="Para 01"/>
      </w:pPr>
      <w:r>
        <w:t>Submitting your pull request</w:t>
      </w:r>
    </w:p>
    <w:p>
      <w:pPr>
        <w:pStyle w:val="Para 17"/>
      </w:pPr>
      <w:r>
        <w:t/>
      </w:r>
    </w:p>
    <w:p>
      <w:pPr>
        <w:pStyle w:val="Normal"/>
      </w:pPr>
      <w:r>
        <w:t>Once you’ve completed and tested your changes, you’re ready to submit them for review.</w:t>
      </w:r>
    </w:p>
    <w:p>
      <w:pPr>
        <w:pStyle w:val="Para 17"/>
      </w:pPr>
      <w:r>
        <w:t/>
      </w:r>
    </w:p>
    <w:p>
      <w:pPr>
        <w:pStyle w:val="Para 01"/>
      </w:pPr>
      <w:r>
        <w:t>Commit your changes</w:t>
      </w:r>
    </w:p>
    <w:p>
      <w:pPr>
        <w:pStyle w:val="Para 17"/>
      </w:pPr>
      <w:r>
        <w:t/>
      </w:r>
    </w:p>
    <w:p>
      <w:pPr>
        <w:pStyle w:val="Normal"/>
      </w:pPr>
      <w:r>
        <w:t>Make sure all your proposed changes are committed:</w:t>
      </w:r>
    </w:p>
    <w:p>
      <w:pPr>
        <w:pStyle w:val="Para 04"/>
      </w:pPr>
      <w:r>
        <w:t>• git status will show your not-yet committed changes</w:t>
      </w:r>
    </w:p>
    <w:p>
      <w:pPr>
        <w:pStyle w:val="Para 04"/>
      </w:pPr>
      <w:r>
        <w:t>• Select the ones you want to add to each commit using git add &lt;filename&gt;</w:t>
      </w:r>
    </w:p>
    <w:p>
      <w:pPr>
        <w:pStyle w:val="Para 04"/>
      </w:pPr>
      <w:r>
        <w:t>• Commit your selected changes using git commit</w:t>
      </w:r>
    </w:p>
    <w:p>
      <w:pPr>
        <w:pStyle w:val="Para 17"/>
      </w:pPr>
      <w:r>
        <w:t/>
      </w:r>
    </w:p>
    <w:p>
      <w:pPr>
        <w:pStyle w:val="Para 08"/>
      </w:pPr>
      <w:r>
        <w:t>Note:</w:t>
      </w:r>
    </w:p>
    <w:p>
      <w:pPr>
        <w:pStyle w:val="Para 03"/>
      </w:pPr>
      <w:r>
        <w:t>Try to group your changes logically. For example, if you have one set of changes that modi-</w:t>
      </w:r>
    </w:p>
    <w:p>
      <w:pPr>
        <w:pStyle w:val="Para 03"/>
      </w:pPr>
      <w:r>
        <w:t>fies spelling in 10 files, and another set of changes that modifies formatting in 10 different</w:t>
      </w:r>
    </w:p>
    <w:p>
      <w:pPr>
        <w:pStyle w:val="Para 03"/>
      </w:pPr>
      <w:r>
        <w:t>files, you can group them into two commits (one for spelling, and one for formatting). You</w:t>
      </w:r>
    </w:p>
    <w:p>
      <w:pPr>
        <w:pStyle w:val="Para 03"/>
      </w:pPr>
      <w:r>
        <w:t>don’t need a separate commit for every file.</w:t>
      </w:r>
    </w:p>
    <w:p>
      <w:pPr>
        <w:pStyle w:val="Para 17"/>
      </w:pPr>
      <w:r>
        <w:t/>
      </w:r>
    </w:p>
    <w:p>
      <w:pPr>
        <w:pStyle w:val="Para 01"/>
      </w:pPr>
      <w:r>
        <w:t>Push and create a pull request</w:t>
      </w:r>
    </w:p>
    <w:p>
      <w:pPr>
        <w:pStyle w:val="Para 17"/>
      </w:pPr>
      <w:r>
        <w:t/>
      </w:r>
    </w:p>
    <w:p>
      <w:pPr>
        <w:pStyle w:val="Normal"/>
      </w:pPr>
      <w:r>
        <w:t>Push the changes to your fork:</w:t>
      </w:r>
    </w:p>
    <w:p>
      <w:pPr>
        <w:pStyle w:val="Normal"/>
      </w:pPr>
      <w:r>
        <w:t>git push &lt;your username&gt; &lt;branch name&gt;</w:t>
      </w:r>
    </w:p>
    <w:p>
      <w:pPr>
        <w:pStyle w:val="Para 17"/>
      </w:pPr>
      <w:r>
        <w:t/>
      </w:r>
    </w:p>
    <w:p>
      <w:pPr>
        <w:pStyle w:val="Normal"/>
      </w:pPr>
      <w:r>
        <w:t xml:space="preserve">Then </w:t>
      </w:r>
      <w:hyperlink w:anchor="page_971">
        <w:r>
          <w:rPr>
            <w:rStyle w:val="Text9"/>
          </w:rPr>
          <w:t>1132</w:t>
        </w:r>
      </w:hyperlink>
      <w:r>
        <w:t xml:space="preserve"> </w:t>
      </w:r>
      <w:hyperlink r:id="rId1933">
        <w:r>
          <w:rPr>
            <w:rStyle w:val="Text1"/>
          </w:rPr>
          <w:t>create a pull request</w:t>
        </w:r>
      </w:hyperlink>
      <w:r>
        <w:t xml:space="preserve"> against the Ubuntu Server documentation repository and fill in the pull request template.</w:t>
      </w:r>
    </w:p>
    <w:p>
      <w:pPr>
        <w:pStyle w:val="Normal"/>
      </w:pPr>
      <w:r>
        <w:t>Click submit when you’re ready!</w:t>
      </w:r>
    </w:p>
    <w:p>
      <w:pPr>
        <w:pStyle w:val="Para 17"/>
      </w:pPr>
      <w:r>
        <w:t/>
      </w:r>
    </w:p>
    <w:p>
      <w:pPr>
        <w:pStyle w:val="Para 01"/>
      </w:pPr>
      <w:r>
        <w:t>Read the Docs preview</w:t>
      </w:r>
    </w:p>
    <w:p>
      <w:pPr>
        <w:pStyle w:val="Para 17"/>
      </w:pPr>
      <w:r>
        <w:t/>
      </w:r>
    </w:p>
    <w:p>
      <w:pPr>
        <w:pStyle w:val="Normal"/>
      </w:pPr>
      <w:r>
        <w:t>You will be able to see a live preview of your documentation as it will appear on Read the Docs at the bottom of your pull request’s page. Where the checks appear, click on “Show all checks” and next to the “docs/readthedocs” line, click on “Details”.</w:t>
      </w:r>
    </w:p>
    <w:p>
      <w:pPr>
        <w:pStyle w:val="Para 16"/>
      </w:pPr>
      <w:r>
        <w:rPr>
          <w:rStyle w:val="Text5"/>
        </w:rPr>
        <w:t>1132</w:t>
      </w:r>
      <w:r>
        <w:rPr>
          <w:rStyle w:val="Text8"/>
        </w:rPr>
        <w:t xml:space="preserve"> </w:t>
      </w:r>
      <w:r>
        <w:t>https://docs.github.com/en/pull-requests/collaborating-with-pull-requests/proposing-changes-to-your-work-with-pull-requests/</w:t>
      </w:r>
    </w:p>
    <w:p>
      <w:pPr>
        <w:pStyle w:val="Para 16"/>
      </w:pPr>
      <w:r>
        <w:t>creating-a-pull-request</w:t>
      </w:r>
    </w:p>
    <w:p>
      <w:bookmarkStart w:id="1538" w:name="calibre_pb_283"/>
      <w:pPr>
        <w:pStyle w:val="0 Block"/>
      </w:pPr>
      <w:bookmarkEnd w:id="1538"/>
    </w:p>
    <w:p>
      <w:bookmarkStart w:id="1539" w:name="page_972"/>
      <w:bookmarkStart w:id="1540" w:name="Top_of_index_split_284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3" name="index-972_1.png" descr="index-972_1.png"/>
            <wp:cNvGraphicFramePr>
              <a:graphicFrameLocks noChangeAspect="1"/>
            </wp:cNvGraphicFramePr>
            <a:graphic>
              <a:graphicData uri="http://schemas.openxmlformats.org/drawingml/2006/picture">
                <pic:pic>
                  <pic:nvPicPr>
                    <pic:cNvPr id="0" name="index-972_1.png" descr="index-972_1.png"/>
                    <pic:cNvPicPr/>
                  </pic:nvPicPr>
                  <pic:blipFill>
                    <a:blip r:embed="rId1017"/>
                    <a:stretch>
                      <a:fillRect/>
                    </a:stretch>
                  </pic:blipFill>
                  <pic:spPr>
                    <a:xfrm>
                      <a:off x="0" y="0"/>
                      <a:ext cx="914400" cy="266700"/>
                    </a:xfrm>
                    <a:prstGeom prst="rect">
                      <a:avLst/>
                    </a:prstGeom>
                  </pic:spPr>
                </pic:pic>
              </a:graphicData>
            </a:graphic>
          </wp:anchor>
        </w:drawing>
      </w:r>
      <w:bookmarkEnd w:id="1539"/>
      <w:bookmarkEnd w:id="1540"/>
    </w:p>
    <w:p>
      <w:pPr>
        <w:pStyle w:val="Para 01"/>
      </w:pPr>
      <w:r>
        <w:t>Reviews</w:t>
      </w:r>
    </w:p>
    <w:p>
      <w:pPr>
        <w:pStyle w:val="Para 17"/>
      </w:pPr>
      <w:r>
        <w:t/>
      </w:r>
    </w:p>
    <w:p>
      <w:pPr>
        <w:pStyle w:val="Normal"/>
      </w:pPr>
      <w:r>
        <w:t>After you have submitted your PR, one of the Ubuntu Server docs maintainers will review it. Depending on time zones and where we are in the development cycle, there may be a delay before your PR is reviewed. Please be patient!</w:t>
      </w:r>
    </w:p>
    <w:p>
      <w:pPr>
        <w:pStyle w:val="Normal"/>
      </w:pPr>
      <w:r>
        <w:t>One or more of the Ubuntu Server team maintainers will review the changes you have pro-posed, and they will either “Approve” the changes, or leave some feedback and suggested changes (with reasons). If you agree with the feedback, you can make the suggested changes, and the reviewer will approve the PR.</w:t>
      </w:r>
    </w:p>
    <w:p>
      <w:pPr>
        <w:pStyle w:val="Para 08"/>
      </w:pPr>
      <w:r>
        <w:t>Note:</w:t>
      </w:r>
    </w:p>
    <w:p>
      <w:pPr>
        <w:pStyle w:val="Para 03"/>
      </w:pPr>
      <w:r>
        <w:t xml:space="preserve">The team has adopted the </w:t>
      </w:r>
      <w:hyperlink w:anchor="page_972">
        <w:r>
          <w:rPr>
            <w:rStyle w:val="Text9"/>
          </w:rPr>
          <w:t>1133</w:t>
        </w:r>
      </w:hyperlink>
      <w:r>
        <w:t xml:space="preserve"> </w:t>
      </w:r>
      <w:hyperlink r:id="rId1934">
        <w:r>
          <w:rPr>
            <w:rStyle w:val="Text1"/>
          </w:rPr>
          <w:t>Conventional Comments</w:t>
        </w:r>
      </w:hyperlink>
      <w:r>
        <w:t xml:space="preserve"> approach with the intention of</w:t>
      </w:r>
    </w:p>
    <w:p>
      <w:pPr>
        <w:pStyle w:val="Para 03"/>
      </w:pPr>
      <w:r>
        <w:t>making feedback easier to parse.</w:t>
      </w:r>
    </w:p>
    <w:p>
      <w:pPr>
        <w:pStyle w:val="Para 05"/>
      </w:pPr>
      <w:r>
        <w:rPr>
          <w:rStyle w:val="Text5"/>
        </w:rPr>
        <w:t>1133</w:t>
      </w:r>
      <w:r>
        <w:rPr>
          <w:rStyle w:val="Text8"/>
        </w:rPr>
        <w:t xml:space="preserve"> </w:t>
      </w:r>
      <w:r>
        <w:t>https://conventionalcomments.org/</w:t>
      </w:r>
    </w:p>
    <w:p>
      <w:pPr>
        <w:pStyle w:val="Para 17"/>
      </w:pPr>
      <w:r>
        <w:t/>
      </w:r>
    </w:p>
    <w:p>
      <w:pPr>
        <w:pStyle w:val="Normal"/>
      </w:pPr>
      <w:r>
        <w:t>If you disagree with any parts of the review, it’s OK to discuss this with the reviewer – feed-back is made in good faith, and is intended to help strengthen your contribution. This is a collaboration, after all! It’s quite normal to have some back-and-forth on a PR, but it should be a respectful dialogue on all sides.</w:t>
      </w:r>
    </w:p>
    <w:p>
      <w:pPr>
        <w:pStyle w:val="Normal"/>
      </w:pPr>
      <w:r>
        <w:t>Once the discussion has concluded, and you have made any agreed changes, the PR will be approved and then merged. Congratulations (and thank you)! You are now an open source contributor!</w:t>
      </w:r>
    </w:p>
    <w:p>
      <w:pPr>
        <w:pStyle w:val="Para 17"/>
      </w:pPr>
      <w:r>
        <w:t/>
      </w:r>
    </w:p>
    <w:p>
      <w:pPr>
        <w:pStyle w:val="Para 01"/>
      </w:pPr>
      <w:r>
        <w:t>Guidance for writing</w:t>
      </w:r>
    </w:p>
    <w:p>
      <w:pPr>
        <w:pStyle w:val="Para 17"/>
      </w:pPr>
      <w:r>
        <w:t/>
      </w:r>
    </w:p>
    <w:p>
      <w:pPr>
        <w:pStyle w:val="Normal"/>
      </w:pPr>
      <w:r>
        <w:t>If you get stuck at all – please don’t hesitate to reach out for help!</w:t>
      </w:r>
    </w:p>
    <w:p>
      <w:pPr>
        <w:pStyle w:val="Para 17"/>
      </w:pPr>
      <w:r>
        <w:t/>
      </w:r>
    </w:p>
    <w:p>
      <w:pPr>
        <w:pStyle w:val="Para 01"/>
      </w:pPr>
      <w:r>
        <w:t>Files and structure</w:t>
      </w:r>
    </w:p>
    <w:p>
      <w:pPr>
        <w:pStyle w:val="Para 17"/>
      </w:pPr>
      <w:r>
        <w:t/>
      </w:r>
    </w:p>
    <w:p>
      <w:pPr>
        <w:pStyle w:val="Normal"/>
      </w:pPr>
      <w:r>
        <w:t xml:space="preserve">The documentation pages are all written in standard Markdown (.md file types) with </w:t>
      </w:r>
      <w:hyperlink r:id="rId1935">
        <w:r>
          <w:rPr>
            <w:rStyle w:val="Text1"/>
          </w:rPr>
          <w:t>MyST</w:t>
        </w:r>
      </w:hyperlink>
    </w:p>
    <w:p>
      <w:pPr>
        <w:pStyle w:val="Normal"/>
      </w:pPr>
      <w:hyperlink r:id="rId1935">
        <w:r>
          <w:rPr>
            <w:rStyle w:val="Text1"/>
          </w:rPr>
          <w:t>support</w:t>
        </w:r>
      </w:hyperlink>
      <w:hyperlink r:id="rId1935">
        <w:r>
          <w:rPr>
            <w:rStyle w:val="Text9"/>
          </w:rPr>
          <w:t>1134</w:t>
        </w:r>
      </w:hyperlink>
      <w:r>
        <w:t xml:space="preserve"> for more advanced elements if you want them. All the documentation pages are</w:t>
      </w:r>
    </w:p>
    <w:p>
      <w:pPr>
        <w:pStyle w:val="Normal"/>
      </w:pPr>
      <w:r>
        <w:t xml:space="preserve">in the </w:t>
      </w:r>
      <w:hyperlink r:id="rId1030">
        <w:r>
          <w:rPr>
            <w:rStyle w:val="Text9"/>
          </w:rPr>
          <w:t>1135</w:t>
        </w:r>
      </w:hyperlink>
      <w:r>
        <w:t xml:space="preserve"> docs/ folder, then split into a sub-folder for the </w:t>
      </w:r>
      <w:hyperlink r:id="rId1030">
        <w:r>
          <w:rPr>
            <w:rStyle w:val="Text1"/>
          </w:rPr>
          <w:t>Diátaxis</w:t>
        </w:r>
      </w:hyperlink>
      <w:r>
        <w:t xml:space="preserve"> section it belongs in.</w:t>
      </w:r>
    </w:p>
    <w:p>
      <w:pPr>
        <w:pStyle w:val="Normal"/>
      </w:pPr>
      <w:r>
        <w:t>The structural elements, such as landing pages, are also written in Markdown. Each docu-mentation page is only called once, by the landing page (or index) for that section.</w:t>
      </w:r>
    </w:p>
    <w:p>
      <w:pPr>
        <w:pStyle w:val="Para 17"/>
      </w:pPr>
      <w:r>
        <w:t/>
      </w:r>
    </w:p>
    <w:p>
      <w:pPr>
        <w:pStyle w:val="Para 08"/>
      </w:pPr>
      <w:r>
        <w:t>Tip:</w:t>
      </w:r>
    </w:p>
    <w:p>
      <w:pPr>
        <w:pStyle w:val="Para 17"/>
      </w:pPr>
      <w:r>
        <w:t/>
      </w:r>
    </w:p>
    <w:p>
      <w:pPr>
        <w:pStyle w:val="Para 03"/>
      </w:pPr>
      <w:r>
        <w:t>For example, if a page appears in the How-to section about Virtualisation, the landing page</w:t>
      </w:r>
    </w:p>
    <w:p>
      <w:pPr>
        <w:pStyle w:val="Para 03"/>
      </w:pPr>
      <w:r>
        <w:t>you need will be how-to/virtualisation.md.</w:t>
      </w:r>
    </w:p>
    <w:p>
      <w:pPr>
        <w:pStyle w:val="Para 17"/>
      </w:pPr>
      <w:r>
        <w:t/>
      </w:r>
    </w:p>
    <w:p>
      <w:pPr>
        <w:pStyle w:val="Para 16"/>
      </w:pPr>
      <w:r>
        <w:rPr>
          <w:rStyle w:val="Text5"/>
        </w:rPr>
        <w:t>1134</w:t>
      </w:r>
      <w:r>
        <w:rPr>
          <w:rStyle w:val="Text8"/>
        </w:rPr>
        <w:t xml:space="preserve"> </w:t>
      </w:r>
      <w:r>
        <w:t>https://myst-parser.readthedocs.io/en/latest/intro.html</w:t>
      </w:r>
      <w:r>
        <w:rPr>
          <w:rStyle w:val="Text8"/>
        </w:rPr>
        <w:t xml:space="preserve"> </w:t>
      </w:r>
      <w:r>
        <w:rPr>
          <w:rStyle w:val="Text5"/>
        </w:rPr>
        <w:t>1135</w:t>
      </w:r>
      <w:r>
        <w:rPr>
          <w:rStyle w:val="Text8"/>
        </w:rPr>
        <w:t xml:space="preserve"> </w:t>
      </w:r>
      <w:r>
        <w:t>https://diataxis.fr/</w:t>
      </w:r>
    </w:p>
    <w:p>
      <w:bookmarkStart w:id="1541" w:name="page_9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4" name="index-973_1.png" descr="index-973_1.png"/>
            <wp:cNvGraphicFramePr>
              <a:graphicFrameLocks noChangeAspect="1"/>
            </wp:cNvGraphicFramePr>
            <a:graphic>
              <a:graphicData uri="http://schemas.openxmlformats.org/drawingml/2006/picture">
                <pic:pic>
                  <pic:nvPicPr>
                    <pic:cNvPr id="0" name="index-973_1.png" descr="index-973_1.png"/>
                    <pic:cNvPicPr/>
                  </pic:nvPicPr>
                  <pic:blipFill>
                    <a:blip r:embed="rId1018"/>
                    <a:stretch>
                      <a:fillRect/>
                    </a:stretch>
                  </pic:blipFill>
                  <pic:spPr>
                    <a:xfrm>
                      <a:off x="0" y="0"/>
                      <a:ext cx="914400" cy="266700"/>
                    </a:xfrm>
                    <a:prstGeom prst="rect">
                      <a:avLst/>
                    </a:prstGeom>
                  </pic:spPr>
                </pic:pic>
              </a:graphicData>
            </a:graphic>
          </wp:anchor>
        </w:drawing>
      </w:r>
      <w:bookmarkEnd w:id="1541"/>
    </w:p>
    <w:p>
      <w:pPr>
        <w:pStyle w:val="Para 01"/>
      </w:pPr>
      <w:r>
        <w:t>Versioning policy</w:t>
      </w:r>
    </w:p>
    <w:p>
      <w:pPr>
        <w:pStyle w:val="Para 17"/>
      </w:pPr>
      <w:r>
        <w:t/>
      </w:r>
    </w:p>
    <w:p>
      <w:pPr>
        <w:pStyle w:val="Normal"/>
      </w:pPr>
      <w:r>
        <w:t>Ubuntu Server is relatively stable from one LTS to the next, which means the documentation is not substantially re-written between releases. Due to this, we opt not to have separate branches for each Ubuntu release. Instead, we call out any changes or behavior particular to a specific release.</w:t>
      </w:r>
    </w:p>
    <w:p>
      <w:pPr>
        <w:pStyle w:val="Para 17"/>
      </w:pPr>
      <w:r>
        <w:t/>
      </w:r>
    </w:p>
    <w:p>
      <w:pPr>
        <w:pStyle w:val="Para 01"/>
      </w:pPr>
      <w:r>
        <w:t>Versioning by admonition</w:t>
      </w:r>
    </w:p>
    <w:p>
      <w:pPr>
        <w:pStyle w:val="Para 17"/>
      </w:pPr>
      <w:r>
        <w:t/>
      </w:r>
    </w:p>
    <w:p>
      <w:pPr>
        <w:pStyle w:val="Normal"/>
      </w:pPr>
      <w:r>
        <w:t>Small, specific changes can be expressed in a “note” admonition block:</w:t>
      </w:r>
    </w:p>
    <w:p>
      <w:pPr>
        <w:pStyle w:val="Normal"/>
      </w:pPr>
      <w:r>
        <w:t>:::{note}</w:t>
      </w:r>
    </w:p>
    <w:p>
      <w:pPr>
        <w:pStyle w:val="Normal"/>
      </w:pPr>
      <w:r>
        <w:t>For Ubuntu</w:t>
        <w:t xml:space="preserve"> </w:t>
        <w:t>24.04</w:t>
        <w:t xml:space="preserve"> </w:t>
        <w:t>LTS (Noble) onwards, the recommended method</w:t>
        <w:t xml:space="preserve"> </w:t>
      </w:r>
      <w:r>
        <w:rPr>
          <w:rStyle w:val="Text0"/>
        </w:rPr>
        <w:t>for</w:t>
      </w:r>
      <w:r>
        <w:t xml:space="preserve"> </w:t>
        <w:t>...</w:t>
        <w:t xml:space="preserve"> </w:t>
        <w:t>:::</w:t>
      </w:r>
    </w:p>
    <w:p>
      <w:pPr>
        <w:pStyle w:val="Para 17"/>
      </w:pPr>
      <w:r>
        <w:t/>
      </w:r>
    </w:p>
    <w:p>
      <w:pPr>
        <w:pStyle w:val="Normal"/>
      </w:pPr>
      <w:r>
        <w:t>Any content not called out as belong to a specific release (or set of releases) is assumed to be valid for all supported releases.</w:t>
      </w:r>
    </w:p>
    <w:p>
      <w:pPr>
        <w:pStyle w:val="Para 17"/>
      </w:pPr>
      <w:r>
        <w:t/>
      </w:r>
    </w:p>
    <w:p>
      <w:pPr>
        <w:pStyle w:val="Para 01"/>
      </w:pPr>
      <w:r>
        <w:t>Versioning by tabs</w:t>
      </w:r>
    </w:p>
    <w:p>
      <w:pPr>
        <w:pStyle w:val="Para 17"/>
      </w:pPr>
      <w:r>
        <w:t/>
      </w:r>
    </w:p>
    <w:p>
      <w:pPr>
        <w:pStyle w:val="Normal"/>
      </w:pPr>
      <w:r>
        <w:t>For large changes, where whole sets of commands may be different between releases, we can split the instructions using tabs.</w:t>
      </w:r>
    </w:p>
    <w:p>
      <w:pPr>
        <w:pStyle w:val="Normal"/>
      </w:pPr>
      <w:r>
        <w:t xml:space="preserve">The MyST documentation has a </w:t>
      </w:r>
      <w:hyperlink w:anchor="page_973">
        <w:r>
          <w:rPr>
            <w:rStyle w:val="Text9"/>
          </w:rPr>
          <w:t>1136</w:t>
        </w:r>
      </w:hyperlink>
      <w:r>
        <w:t xml:space="preserve"> </w:t>
      </w:r>
      <w:hyperlink r:id="rId1936">
        <w:r>
          <w:rPr>
            <w:rStyle w:val="Text1"/>
          </w:rPr>
          <w:t>helpful demonstration</w:t>
        </w:r>
      </w:hyperlink>
      <w:r>
        <w:t xml:space="preserve"> of the syntax and how tabs work.</w:t>
      </w:r>
    </w:p>
    <w:p>
      <w:pPr>
        <w:pStyle w:val="Normal"/>
      </w:pPr>
      <w:r>
        <w:t>It’s good to include a “sync” keyword, so that if users are on a particular release, they only need to choose their release one time. Default to the release number, e.g. 24.04 or 21.10.</w:t>
      </w:r>
    </w:p>
    <w:p>
      <w:pPr>
        <w:pStyle w:val="Normal"/>
      </w:pPr>
      <w:r>
        <w:t>In all cases, order the tabs and content from “most recent” to “oldest” release – this ensures that the most recent release is always shown in the left-most tab and provides a more con-sistent experience.</w:t>
      </w:r>
    </w:p>
    <w:p>
      <w:pPr>
        <w:pStyle w:val="Normal"/>
      </w:pPr>
      <w:r>
        <w:t xml:space="preserve">If you would like to see an example of this in the live documentation, </w:t>
      </w:r>
      <w:hyperlink w:anchor="page_549">
        <w:r>
          <w:rPr>
            <w:rStyle w:val="Text2"/>
          </w:rPr>
          <w:t>the QEMU page</w:t>
        </w:r>
      </w:hyperlink>
      <w:r>
        <w:t xml:space="preserve"> (page 548) uses three tabs in the section about using 1024 vCPUs.</w:t>
      </w:r>
    </w:p>
    <w:p>
      <w:pPr>
        <w:pStyle w:val="Para 17"/>
      </w:pPr>
      <w:r>
        <w:t/>
      </w:r>
    </w:p>
    <w:p>
      <w:pPr>
        <w:pStyle w:val="Para 01"/>
      </w:pPr>
      <w:r>
        <w:t>Style guide</w:t>
      </w:r>
    </w:p>
    <w:p>
      <w:pPr>
        <w:pStyle w:val="Para 17"/>
      </w:pPr>
      <w:r>
        <w:t/>
      </w:r>
    </w:p>
    <w:p>
      <w:pPr>
        <w:pStyle w:val="Normal"/>
      </w:pPr>
      <w:r>
        <w:t>Consistency of writing style in documentation is vital for a good user experience. In the</w:t>
      </w:r>
    </w:p>
    <w:p>
      <w:pPr>
        <w:pStyle w:val="Para 18"/>
      </w:pPr>
      <w:r>
        <w:rPr>
          <w:rStyle w:val="Text7"/>
        </w:rPr>
        <w:t xml:space="preserve">Server Guide, we use the </w:t>
      </w:r>
      <w:hyperlink w:anchor="page_973">
        <w:r>
          <w:rPr>
            <w:rStyle w:val="Text10"/>
          </w:rPr>
          <w:t>1137</w:t>
        </w:r>
      </w:hyperlink>
      <w:r>
        <w:rPr>
          <w:rStyle w:val="Text7"/>
        </w:rPr>
        <w:t xml:space="preserve"> </w:t>
      </w:r>
      <w:hyperlink r:id="rId1937">
        <w:r>
          <w:t>Canonical documentation style guide</w:t>
        </w:r>
      </w:hyperlink>
      <w:r>
        <w:rPr>
          <w:rStyle w:val="Text7"/>
        </w:rPr>
        <w:t>.</w:t>
      </w:r>
    </w:p>
    <w:p>
      <w:pPr>
        <w:pStyle w:val="Para 16"/>
      </w:pPr>
      <w:r>
        <w:rPr>
          <w:rStyle w:val="Text5"/>
        </w:rPr>
        <w:t>1136</w:t>
      </w:r>
      <w:r>
        <w:rPr>
          <w:rStyle w:val="Text8"/>
        </w:rPr>
        <w:t xml:space="preserve"> </w:t>
      </w:r>
      <w:r>
        <w:t>https://mystmd.org/guide/dropdowns-cards-and-tabs#tabs</w:t>
      </w:r>
      <w:r>
        <w:rPr>
          <w:rStyle w:val="Text8"/>
        </w:rPr>
        <w:t xml:space="preserve"> </w:t>
      </w:r>
      <w:r>
        <w:rPr>
          <w:rStyle w:val="Text5"/>
        </w:rPr>
        <w:t>1137</w:t>
      </w:r>
      <w:r>
        <w:rPr>
          <w:rStyle w:val="Text8"/>
        </w:rPr>
        <w:t xml:space="preserve"> </w:t>
      </w:r>
      <w:r>
        <w:t>https://docs.ubuntu.com/styleguide/en</w:t>
      </w:r>
    </w:p>
    <w:p>
      <w:bookmarkStart w:id="1542" w:name="calibre_pb_284"/>
      <w:pPr>
        <w:pStyle w:val="0 Block"/>
      </w:pPr>
      <w:bookmarkEnd w:id="1542"/>
    </w:p>
    <w:p>
      <w:bookmarkStart w:id="1543" w:name="page_974"/>
      <w:bookmarkStart w:id="1544" w:name="Top_of_index_split_285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5" name="index-974_1.png" descr="index-974_1.png"/>
            <wp:cNvGraphicFramePr>
              <a:graphicFrameLocks noChangeAspect="1"/>
            </wp:cNvGraphicFramePr>
            <a:graphic>
              <a:graphicData uri="http://schemas.openxmlformats.org/drawingml/2006/picture">
                <pic:pic>
                  <pic:nvPicPr>
                    <pic:cNvPr id="0" name="index-974_1.png" descr="index-974_1.png"/>
                    <pic:cNvPicPr/>
                  </pic:nvPicPr>
                  <pic:blipFill>
                    <a:blip r:embed="rId1019"/>
                    <a:stretch>
                      <a:fillRect/>
                    </a:stretch>
                  </pic:blipFill>
                  <pic:spPr>
                    <a:xfrm>
                      <a:off x="0" y="0"/>
                      <a:ext cx="914400" cy="266700"/>
                    </a:xfrm>
                    <a:prstGeom prst="rect">
                      <a:avLst/>
                    </a:prstGeom>
                  </pic:spPr>
                </pic:pic>
              </a:graphicData>
            </a:graphic>
          </wp:anchor>
        </w:drawing>
      </w:r>
      <w:bookmarkEnd w:id="1543"/>
      <w:bookmarkEnd w:id="1544"/>
    </w:p>
    <w:p>
      <w:pPr>
        <w:pStyle w:val="Para 01"/>
      </w:pPr>
      <w:r>
        <w:t>Language</w:t>
      </w:r>
    </w:p>
    <w:p>
      <w:pPr>
        <w:pStyle w:val="Para 17"/>
      </w:pPr>
      <w:r>
        <w:t/>
      </w:r>
    </w:p>
    <w:p>
      <w:pPr>
        <w:pStyle w:val="Normal"/>
      </w:pPr>
      <w:r>
        <w:t>We use US English. It’s a good idea to set your spellchecker to en-US. We use an automated spelling checker that sometimes throws errors about terms we would like it to ignore:</w:t>
      </w:r>
    </w:p>
    <w:p>
      <w:pPr>
        <w:pStyle w:val="Para 04"/>
      </w:pPr>
      <w:r>
        <w:t>• If it complains about a file name or a command, enclose the word in backticks (`) to</w:t>
      </w:r>
    </w:p>
    <w:p>
      <w:pPr>
        <w:pStyle w:val="Para 02"/>
      </w:pPr>
      <w:r>
        <w:t>render it as inline code.</w:t>
      </w:r>
    </w:p>
    <w:p>
      <w:pPr>
        <w:pStyle w:val="Para 04"/>
      </w:pPr>
      <w:r>
        <w:t>• If the word is a valid acronym or a well-known technical term (that should not be ren-</w:t>
      </w:r>
    </w:p>
    <w:p>
      <w:pPr>
        <w:pStyle w:val="Para 02"/>
      </w:pPr>
      <w:r>
        <w:t>dered as code), add it to the spelling exception list, .custom_wordlist.txt (terms should be added in alphabetical order).</w:t>
      </w:r>
    </w:p>
    <w:p>
      <w:pPr>
        <w:pStyle w:val="Normal"/>
      </w:pPr>
      <w:r>
        <w:t>Both methods are valid, depending on whether you want the term to be rendered as normal font, or as inline code (monospace font).</w:t>
      </w:r>
    </w:p>
    <w:p>
      <w:pPr>
        <w:pStyle w:val="Para 17"/>
      </w:pPr>
      <w:r>
        <w:t/>
      </w:r>
    </w:p>
    <w:p>
      <w:pPr>
        <w:pStyle w:val="Para 01"/>
      </w:pPr>
      <w:r>
        <w:t>Acronyms</w:t>
      </w:r>
    </w:p>
    <w:p>
      <w:pPr>
        <w:pStyle w:val="Para 17"/>
      </w:pPr>
      <w:r>
        <w:t/>
      </w:r>
    </w:p>
    <w:p>
      <w:pPr>
        <w:pStyle w:val="Normal"/>
      </w:pPr>
      <w:r>
        <w:t>Acronyms should always be capitalised.</w:t>
      </w:r>
    </w:p>
    <w:p>
      <w:pPr>
        <w:pStyle w:val="Normal"/>
      </w:pPr>
      <w:r>
        <w:t>They should always be expanded the first time they appear on a page, and then can be used as acronyms after that. E.g. YAML should be shown as Yet Another Markup Language (YAML), and then can be referred to as YAML for the rest of the page.</w:t>
      </w:r>
    </w:p>
    <w:p>
      <w:pPr>
        <w:pStyle w:val="Normal"/>
      </w:pPr>
      <w:r>
        <w:t>All acronyms should also be in our glossary – you can add the term to the glossary if it is not present.</w:t>
      </w:r>
    </w:p>
    <w:p>
      <w:pPr>
        <w:pStyle w:val="Para 17"/>
      </w:pPr>
      <w:r>
        <w:t/>
      </w:r>
    </w:p>
    <w:p>
      <w:pPr>
        <w:pStyle w:val="Para 01"/>
      </w:pPr>
      <w:r>
        <w:t>Links</w:t>
      </w:r>
    </w:p>
    <w:p>
      <w:pPr>
        <w:pStyle w:val="Para 17"/>
      </w:pPr>
      <w:r>
        <w:t/>
      </w:r>
    </w:p>
    <w:p>
      <w:pPr>
        <w:pStyle w:val="Normal"/>
      </w:pPr>
      <w:r>
        <w:t>The first time you refer to a package or other product, you should make it a link to either that product’s website, or its documentation, or its manual page.</w:t>
      </w:r>
    </w:p>
    <w:p>
      <w:pPr>
        <w:pStyle w:val="Normal"/>
      </w:pPr>
      <w:r>
        <w:t>Links should be from reputable sources (such as official upstream docs). Try not to include blog posts as references if possible.</w:t>
      </w:r>
    </w:p>
    <w:p>
      <w:pPr>
        <w:pStyle w:val="Normal"/>
      </w:pPr>
      <w:r>
        <w:t>Try to use links sparingly in the page. If you have a lot of useful references you think the reader might be interested in, feel free to include a “Further reading” section at the end of the page.</w:t>
      </w:r>
    </w:p>
    <w:p>
      <w:pPr>
        <w:pStyle w:val="Para 17"/>
      </w:pPr>
      <w:r>
        <w:t/>
      </w:r>
    </w:p>
    <w:p>
      <w:pPr>
        <w:pStyle w:val="Para 01"/>
      </w:pPr>
      <w:r>
        <w:t>Writing style</w:t>
      </w:r>
    </w:p>
    <w:p>
      <w:pPr>
        <w:pStyle w:val="Para 17"/>
      </w:pPr>
      <w:r>
        <w:t/>
      </w:r>
    </w:p>
    <w:p>
      <w:pPr>
        <w:pStyle w:val="Normal"/>
      </w:pPr>
      <w:r>
        <w:t>Try to be concise and to-the-point in your writing.</w:t>
      </w:r>
    </w:p>
    <w:p>
      <w:pPr>
        <w:pStyle w:val="Normal"/>
      </w:pPr>
      <w:r>
        <w:t>It’s OK to be a bit light-hearted and playful in your writing, but please keep it respectful, and don’t use emoji (they don’t render well in documentation).</w:t>
      </w:r>
    </w:p>
    <w:p>
      <w:pPr>
        <w:pStyle w:val="Normal"/>
      </w:pPr>
      <w:r>
        <w:t xml:space="preserve">It’s also good practice not to assume that your reader will have the same knowledge as you. If you’re covering a new topic (or something complicated) then try to briefly explain, or link to supporting explanations of, the things the typical reader may not know, but needs to. </w:t>
      </w:r>
      <w:r>
        <w:rPr>
          <w:rStyle w:val="Text0"/>
        </w:rPr>
        <w:t>Markdown elements</w:t>
      </w:r>
    </w:p>
    <w:p>
      <w:bookmarkStart w:id="1545" w:name="page_9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6" name="index-975_1.png" descr="index-975_1.png"/>
            <wp:cNvGraphicFramePr>
              <a:graphicFrameLocks noChangeAspect="1"/>
            </wp:cNvGraphicFramePr>
            <a:graphic>
              <a:graphicData uri="http://schemas.openxmlformats.org/drawingml/2006/picture">
                <pic:pic>
                  <pic:nvPicPr>
                    <pic:cNvPr id="0" name="index-975_1.png" descr="index-975_1.png"/>
                    <pic:cNvPicPr/>
                  </pic:nvPicPr>
                  <pic:blipFill>
                    <a:blip r:embed="rId1020"/>
                    <a:stretch>
                      <a:fillRect/>
                    </a:stretch>
                  </pic:blipFill>
                  <pic:spPr>
                    <a:xfrm>
                      <a:off x="0" y="0"/>
                      <a:ext cx="914400" cy="266700"/>
                    </a:xfrm>
                    <a:prstGeom prst="rect">
                      <a:avLst/>
                    </a:prstGeom>
                  </pic:spPr>
                </pic:pic>
              </a:graphicData>
            </a:graphic>
          </wp:anchor>
        </w:drawing>
      </w:r>
      <w:bookmarkEnd w:id="1545"/>
    </w:p>
    <w:p>
      <w:pPr>
        <w:pStyle w:val="Para 17"/>
      </w:pPr>
      <w:r>
        <w:t/>
      </w:r>
    </w:p>
    <w:p>
      <w:pPr>
        <w:pStyle w:val="Para 01"/>
      </w:pPr>
      <w:r>
        <w:t>Sections and headings</w:t>
      </w:r>
    </w:p>
    <w:p>
      <w:pPr>
        <w:pStyle w:val="Para 17"/>
      </w:pPr>
      <w:r>
        <w:t/>
      </w:r>
    </w:p>
    <w:p>
      <w:pPr>
        <w:pStyle w:val="Normal"/>
      </w:pPr>
      <w:r>
        <w:t>Avoid skipping header levels in your document structure, i.e., a level 2 header (##) should be followed by a level 3 sub-header (###) not level 4.</w:t>
      </w:r>
    </w:p>
    <w:p>
      <w:pPr>
        <w:pStyle w:val="Normal"/>
      </w:pPr>
      <w:r>
        <w:t># Heading level 1</w:t>
      </w:r>
    </w:p>
    <w:p>
      <w:pPr>
        <w:pStyle w:val="Normal"/>
      </w:pPr>
      <w:r>
        <w:t>## Heading level 2</w:t>
      </w:r>
    </w:p>
    <w:p>
      <w:pPr>
        <w:pStyle w:val="Normal"/>
      </w:pPr>
      <w:r>
        <w:t>### Heading level 3</w:t>
      </w:r>
    </w:p>
    <w:p>
      <w:pPr>
        <w:pStyle w:val="Normal"/>
      </w:pPr>
      <w:r>
        <w:t>#### Heading level 4</w:t>
      </w:r>
    </w:p>
    <w:p>
      <w:pPr>
        <w:pStyle w:val="Para 17"/>
      </w:pPr>
      <w:r>
        <w:t/>
      </w:r>
    </w:p>
    <w:p>
      <w:pPr>
        <w:pStyle w:val="Normal"/>
      </w:pPr>
      <w:r>
        <w:t>Always include some text between headers if you can. You can see this demonstrated be-tween this section’s heading and the one above it (Markdown elements). It looks quite odd without text to break the headers apart!</w:t>
      </w:r>
    </w:p>
    <w:p>
      <w:pPr>
        <w:pStyle w:val="Para 17"/>
      </w:pPr>
      <w:r>
        <w:t/>
      </w:r>
    </w:p>
    <w:p>
      <w:pPr>
        <w:pStyle w:val="Para 01"/>
      </w:pPr>
      <w:r>
        <w:t>Semantic markup</w:t>
      </w:r>
    </w:p>
    <w:p>
      <w:pPr>
        <w:pStyle w:val="Para 17"/>
      </w:pPr>
      <w:r>
        <w:t/>
      </w:r>
    </w:p>
    <w:p>
      <w:pPr>
        <w:pStyle w:val="Normal"/>
      </w:pPr>
      <w:r>
        <w:t xml:space="preserve">We encourage (but do not mandate) the use of semantic mark-up where possible. See </w:t>
      </w:r>
      <w:hyperlink r:id="rId1938">
        <w:r>
          <w:rPr>
            <w:rStyle w:val="Text1"/>
          </w:rPr>
          <w:t>MyST</w:t>
        </w:r>
      </w:hyperlink>
    </w:p>
    <w:p>
      <w:pPr>
        <w:pStyle w:val="Normal"/>
      </w:pPr>
      <w:hyperlink r:id="rId1938">
        <w:r>
          <w:rPr>
            <w:rStyle w:val="Text1"/>
          </w:rPr>
          <w:t>Roles</w:t>
        </w:r>
      </w:hyperlink>
      <w:hyperlink r:id="rId1938">
        <w:r>
          <w:rPr>
            <w:rStyle w:val="Text9"/>
          </w:rPr>
          <w:t>1138</w:t>
        </w:r>
      </w:hyperlink>
      <w:r>
        <w:t xml:space="preserve"> in the MyST documentation for an overview of inline semantic roles available by default. The most helpful ones for this project are:</w:t>
      </w:r>
    </w:p>
    <w:p>
      <w:pPr>
        <w:pStyle w:val="Normal"/>
      </w:pPr>
      <w:r>
        <w:t>Keyboard keys: {kbd}`Ctrl`, {kbd}`C`</w:t>
      </w:r>
    </w:p>
    <w:p>
      <w:pPr>
        <w:pStyle w:val="Para 17"/>
      </w:pPr>
      <w:r>
        <w:t/>
      </w:r>
    </w:p>
    <w:p>
      <w:pPr>
        <w:pStyle w:val="Normal"/>
      </w:pPr>
      <w:r>
        <w:t>Rendered as Ctrl, C</w:t>
      </w:r>
    </w:p>
    <w:p>
      <w:pPr>
        <w:pStyle w:val="Normal"/>
      </w:pPr>
      <w:r>
        <w:t>Manpages: {manpage}`package-name(section)` (e.g. {manpage}`dpkg(1)`)</w:t>
      </w:r>
    </w:p>
    <w:p>
      <w:pPr>
        <w:pStyle w:val="Para 17"/>
      </w:pPr>
      <w:r>
        <w:t/>
      </w:r>
    </w:p>
    <w:p>
      <w:pPr>
        <w:pStyle w:val="Normal"/>
      </w:pPr>
      <w:r>
        <w:t xml:space="preserve">Rendered as </w:t>
      </w:r>
      <w:hyperlink w:anchor="page_975">
        <w:r>
          <w:rPr>
            <w:rStyle w:val="Text9"/>
          </w:rPr>
          <w:t>1139</w:t>
        </w:r>
      </w:hyperlink>
      <w:r>
        <w:t xml:space="preserve"> </w:t>
      </w:r>
      <w:hyperlink r:id="rId1056">
        <w:r>
          <w:rPr>
            <w:rStyle w:val="Text2"/>
          </w:rPr>
          <w:t>dpkg(1)</w:t>
        </w:r>
      </w:hyperlink>
    </w:p>
    <w:p>
      <w:pPr>
        <w:pStyle w:val="Normal"/>
      </w:pPr>
      <w:r>
        <w:t>Matrix: {matrix}`channel-name` (e.g. {matrix}`server`)</w:t>
      </w:r>
    </w:p>
    <w:p>
      <w:pPr>
        <w:pStyle w:val="Para 17"/>
      </w:pPr>
      <w:r>
        <w:t/>
      </w:r>
    </w:p>
    <w:p>
      <w:pPr>
        <w:pStyle w:val="Para 18"/>
      </w:pPr>
      <w:r>
        <w:rPr>
          <w:rStyle w:val="Text7"/>
        </w:rPr>
        <w:t xml:space="preserve">Rendered as </w:t>
      </w:r>
      <w:hyperlink r:id="rId1034">
        <w:r>
          <w:rPr>
            <w:rStyle w:val="Text10"/>
          </w:rPr>
          <w:t>1140</w:t>
        </w:r>
      </w:hyperlink>
      <w:hyperlink r:id="rId1034">
        <w:r>
          <w:t xml:space="preserve"> #server:ubuntu.com</w:t>
        </w:r>
      </w:hyperlink>
    </w:p>
    <w:p>
      <w:pPr>
        <w:pStyle w:val="Normal"/>
      </w:pPr>
      <w:r>
        <w:t>Launchpad source: {lpsrc}`package-name` (e.g. {lpsrc}`bash`)</w:t>
      </w:r>
    </w:p>
    <w:p>
      <w:pPr>
        <w:pStyle w:val="Para 17"/>
      </w:pPr>
      <w:r>
        <w:t/>
      </w:r>
    </w:p>
    <w:p>
      <w:pPr>
        <w:pStyle w:val="Normal"/>
      </w:pPr>
      <w:r>
        <w:t xml:space="preserve">Rendered as </w:t>
      </w:r>
      <w:hyperlink r:id="rId1939">
        <w:r>
          <w:rPr>
            <w:rStyle w:val="Text9"/>
          </w:rPr>
          <w:t>1141</w:t>
        </w:r>
      </w:hyperlink>
      <w:hyperlink r:id="rId1939">
        <w:r>
          <w:rPr>
            <w:rStyle w:val="Text1"/>
          </w:rPr>
          <w:t xml:space="preserve"> bash</w:t>
        </w:r>
      </w:hyperlink>
    </w:p>
    <w:p>
      <w:pPr>
        <w:pStyle w:val="Normal"/>
      </w:pPr>
      <w:r>
        <w:t>Launchpad bug: {lpbug}`bug-number` (e.g. {lpbug}`1852389`</w:t>
      </w:r>
    </w:p>
    <w:p>
      <w:pPr>
        <w:pStyle w:val="Para 17"/>
      </w:pPr>
      <w:r>
        <w:t/>
      </w:r>
    </w:p>
    <w:p>
      <w:pPr>
        <w:pStyle w:val="Para 18"/>
      </w:pPr>
      <w:r>
        <w:rPr>
          <w:rStyle w:val="Text7"/>
        </w:rPr>
        <w:t xml:space="preserve">Rendered as </w:t>
      </w:r>
      <w:hyperlink r:id="rId1940">
        <w:r>
          <w:rPr>
            <w:rStyle w:val="Text10"/>
          </w:rPr>
          <w:t>1142</w:t>
        </w:r>
      </w:hyperlink>
      <w:hyperlink r:id="rId1940">
        <w:r>
          <w:t xml:space="preserve"> LP: #1852389</w:t>
        </w:r>
      </w:hyperlink>
    </w:p>
    <w:p>
      <w:pPr>
        <w:pStyle w:val="Normal"/>
      </w:pPr>
      <w:r>
        <w:t>With these roles, it is not necessary to provide the hard-coded URL to a - they are generated when Sphinx rebuilds the documentation so that they are always up to date.</w:t>
      </w:r>
    </w:p>
    <w:p>
      <w:pPr>
        <w:pStyle w:val="Para 16"/>
      </w:pPr>
      <w:r>
        <w:rPr>
          <w:rStyle w:val="Text5"/>
        </w:rPr>
        <w:t>1138</w:t>
      </w:r>
      <w:r>
        <w:rPr>
          <w:rStyle w:val="Text8"/>
        </w:rPr>
        <w:t xml:space="preserve"> </w:t>
      </w:r>
      <w:r>
        <w:t>https://myst-parser.readthedocs.io/en/latest/syntax/roles-and-directives.html</w:t>
      </w:r>
      <w:r>
        <w:rPr>
          <w:rStyle w:val="Text8"/>
        </w:rPr>
        <w:t xml:space="preserve"> </w:t>
      </w:r>
      <w:r>
        <w:rPr>
          <w:rStyle w:val="Text5"/>
        </w:rPr>
        <w:t>1139</w:t>
      </w:r>
      <w:r>
        <w:rPr>
          <w:rStyle w:val="Text8"/>
        </w:rPr>
        <w:t xml:space="preserve"> </w:t>
      </w:r>
      <w:r>
        <w:t>https://manpages.ubuntu.com/manpages/resolute/man1/dpkg.1.html</w:t>
      </w:r>
      <w:r>
        <w:rPr>
          <w:rStyle w:val="Text8"/>
        </w:rPr>
        <w:t xml:space="preserve"> </w:t>
      </w:r>
      <w:r>
        <w:rPr>
          <w:rStyle w:val="Text5"/>
        </w:rPr>
        <w:t>1140</w:t>
      </w:r>
      <w:r>
        <w:rPr>
          <w:rStyle w:val="Text8"/>
        </w:rPr>
        <w:t xml:space="preserve"> </w:t>
      </w:r>
      <w:r>
        <w:t>https://matrix.to/#/#server:ubuntu.com</w:t>
      </w:r>
    </w:p>
    <w:p>
      <w:pPr>
        <w:pStyle w:val="Para 16"/>
      </w:pPr>
      <w:r>
        <w:rPr>
          <w:rStyle w:val="Text5"/>
        </w:rPr>
        <w:t>1141</w:t>
      </w:r>
      <w:r>
        <w:rPr>
          <w:rStyle w:val="Text8"/>
        </w:rPr>
        <w:t xml:space="preserve"> </w:t>
      </w:r>
      <w:r>
        <w:t>https://launchpad.net/ubuntu/+source/bash</w:t>
      </w:r>
      <w:r>
        <w:rPr>
          <w:rStyle w:val="Text8"/>
        </w:rPr>
        <w:t xml:space="preserve"> </w:t>
      </w:r>
      <w:r>
        <w:rPr>
          <w:rStyle w:val="Text5"/>
        </w:rPr>
        <w:t>1142</w:t>
      </w:r>
      <w:r>
        <w:rPr>
          <w:rStyle w:val="Text8"/>
        </w:rPr>
        <w:t xml:space="preserve"> </w:t>
      </w:r>
      <w:r>
        <w:t>https://bugs.launchpad.net/bugs/1852389</w:t>
      </w:r>
    </w:p>
    <w:p>
      <w:bookmarkStart w:id="1546" w:name="page_9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7" name="index-976_1.png" descr="index-976_1.png"/>
            <wp:cNvGraphicFramePr>
              <a:graphicFrameLocks noChangeAspect="1"/>
            </wp:cNvGraphicFramePr>
            <a:graphic>
              <a:graphicData uri="http://schemas.openxmlformats.org/drawingml/2006/picture">
                <pic:pic>
                  <pic:nvPicPr>
                    <pic:cNvPr id="0" name="index-976_1.png" descr="index-976_1.png"/>
                    <pic:cNvPicPr/>
                  </pic:nvPicPr>
                  <pic:blipFill>
                    <a:blip r:embed="rId1021"/>
                    <a:stretch>
                      <a:fillRect/>
                    </a:stretch>
                  </pic:blipFill>
                  <pic:spPr>
                    <a:xfrm>
                      <a:off x="0" y="0"/>
                      <a:ext cx="914400" cy="266700"/>
                    </a:xfrm>
                    <a:prstGeom prst="rect">
                      <a:avLst/>
                    </a:prstGeom>
                  </pic:spPr>
                </pic:pic>
              </a:graphicData>
            </a:graphic>
          </wp:anchor>
        </w:drawing>
      </w:r>
      <w:bookmarkEnd w:id="1546"/>
    </w:p>
    <w:p>
      <w:pPr>
        <w:pStyle w:val="Para 01"/>
      </w:pPr>
      <w:r>
        <w:t>Lists</w:t>
      </w:r>
    </w:p>
    <w:p>
      <w:pPr>
        <w:pStyle w:val="Para 17"/>
      </w:pPr>
      <w:r>
        <w:t/>
      </w:r>
    </w:p>
    <w:p>
      <w:pPr>
        <w:pStyle w:val="Normal"/>
      </w:pPr>
      <w:r>
        <w:t>For a numbered list, use 1. in front of each item. The numbering will be automatically ren-dered, so it makes it easier for you to insert new items in the list without having to re-number them all:</w:t>
      </w:r>
    </w:p>
    <w:p>
      <w:pPr>
        <w:pStyle w:val="Normal"/>
      </w:pPr>
      <w:r>
        <w:t>1. This is the first item</w:t>
      </w:r>
    </w:p>
    <w:p>
      <w:pPr>
        <w:pStyle w:val="Normal"/>
      </w:pPr>
      <w:r>
        <w:t>1. This is the second</w:t>
      </w:r>
    </w:p>
    <w:p>
      <w:pPr>
        <w:pStyle w:val="Normal"/>
      </w:pPr>
      <w:r>
        <w:t>1. This is the third</w:t>
      </w:r>
    </w:p>
    <w:p>
      <w:pPr>
        <w:pStyle w:val="Para 17"/>
      </w:pPr>
      <w:r>
        <w:t/>
      </w:r>
    </w:p>
    <w:p>
      <w:pPr>
        <w:pStyle w:val="Normal"/>
      </w:pPr>
      <w:r>
        <w:t>Unless a list item includes punctuation, don’t end it with a full stop. If one item in a list needs a full stop, add one to all the items in that list.</w:t>
      </w:r>
    </w:p>
    <w:p>
      <w:pPr>
        <w:pStyle w:val="Para 17"/>
      </w:pPr>
      <w:r>
        <w:t/>
      </w:r>
    </w:p>
    <w:p>
      <w:pPr>
        <w:pStyle w:val="Para 01"/>
      </w:pPr>
      <w:r>
        <w:t>Code blocks</w:t>
      </w:r>
    </w:p>
    <w:p>
      <w:pPr>
        <w:pStyle w:val="Para 17"/>
      </w:pPr>
      <w:r>
        <w:t/>
      </w:r>
    </w:p>
    <w:p>
      <w:pPr>
        <w:pStyle w:val="Normal"/>
      </w:pPr>
      <w:r>
        <w:t>Enclose a code block with three backticks:</w:t>
      </w:r>
    </w:p>
    <w:p>
      <w:pPr>
        <w:pStyle w:val="Normal"/>
      </w:pPr>
      <w:r>
        <w:t>```yaml</w:t>
      </w:r>
    </w:p>
    <w:p>
      <w:pPr>
        <w:pStyle w:val="Normal"/>
      </w:pPr>
      <w:r>
        <w:t>Some code block here</w:t>
      </w:r>
    </w:p>
    <w:p>
      <w:pPr>
        <w:pStyle w:val="Normal"/>
      </w:pPr>
      <w:r>
        <w:t>```</w:t>
      </w:r>
    </w:p>
    <w:p>
      <w:pPr>
        <w:pStyle w:val="Para 17"/>
      </w:pPr>
      <w:r>
        <w:t/>
      </w:r>
    </w:p>
    <w:p>
      <w:pPr>
        <w:pStyle w:val="Normal"/>
      </w:pPr>
      <w:r>
        <w:t>Use separate command input blocks from command output blocks. We do this because we have a “copy code” feature in the documentation, and it’s more convenient for the reader to copy the code if it only contains the input.</w:t>
      </w:r>
    </w:p>
    <w:p>
      <w:pPr>
        <w:pStyle w:val="Normal"/>
      </w:pPr>
      <w:r>
        <w:t>Avoid using a command line prompt (e.g. $ or #) in an input block if possible, and precede the output block with some kind of text that explains what’s happening. For example:</w:t>
      </w:r>
    </w:p>
    <w:p>
      <w:pPr>
        <w:pStyle w:val="Normal"/>
      </w:pPr>
      <w:r>
        <w:t>uname -r</w:t>
      </w:r>
    </w:p>
    <w:p>
      <w:pPr>
        <w:pStyle w:val="Para 17"/>
      </w:pPr>
      <w:r>
        <w:t/>
      </w:r>
    </w:p>
    <w:p>
      <w:pPr>
        <w:pStyle w:val="Normal"/>
      </w:pPr>
      <w:r>
        <w:t>Produces the following output:</w:t>
      </w:r>
    </w:p>
    <w:p>
      <w:pPr>
        <w:pStyle w:val="Normal"/>
      </w:pPr>
      <w:r>
        <w:t>4.14.151</w:t>
      </w:r>
    </w:p>
    <w:p>
      <w:pPr>
        <w:pStyle w:val="Para 17"/>
      </w:pPr>
      <w:r>
        <w:t/>
      </w:r>
    </w:p>
    <w:p>
      <w:pPr>
        <w:pStyle w:val="Normal"/>
      </w:pPr>
      <w:r>
        <w:t xml:space="preserve">It can also be helpful to orient the reader with what they </w:t>
      </w:r>
      <w:r>
        <w:rPr>
          <w:rStyle w:val="Text3"/>
        </w:rPr>
        <w:t>should</w:t>
      </w:r>
      <w:r>
        <w:t xml:space="preserve"> be seeing if you can include examples (although this is optional).</w:t>
      </w:r>
    </w:p>
    <w:p>
      <w:pPr>
        <w:pStyle w:val="Normal"/>
      </w:pPr>
      <w:r>
        <w:t>Use a single backtick to mark inline commands and other string literals, like paths/to/files.</w:t>
      </w:r>
    </w:p>
    <w:p>
      <w:pPr>
        <w:pStyle w:val="Para 17"/>
      </w:pPr>
      <w:r>
        <w:t/>
      </w:r>
    </w:p>
    <w:p>
      <w:pPr>
        <w:pStyle w:val="Para 01"/>
      </w:pPr>
      <w:r>
        <w:t>Getting help</w:t>
      </w:r>
    </w:p>
    <w:p>
      <w:pPr>
        <w:pStyle w:val="Para 17"/>
      </w:pPr>
      <w:r>
        <w:t/>
      </w:r>
    </w:p>
    <w:p>
      <w:pPr>
        <w:pStyle w:val="Normal"/>
      </w:pPr>
      <w:r>
        <w:t>You might occasionally run into problems – this is normal and expected! We will do our best to help.</w:t>
      </w:r>
    </w:p>
    <w:p>
      <w:bookmarkStart w:id="1547" w:name="calibre_pb_285"/>
      <w:pPr>
        <w:pStyle w:val="0 Block"/>
      </w:pPr>
      <w:bookmarkEnd w:id="1547"/>
    </w:p>
    <w:p>
      <w:bookmarkStart w:id="1548" w:name="page_977"/>
      <w:bookmarkStart w:id="1549" w:name="Top_of_index_split_286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8" name="index-977_1.png" descr="index-977_1.png"/>
            <wp:cNvGraphicFramePr>
              <a:graphicFrameLocks noChangeAspect="1"/>
            </wp:cNvGraphicFramePr>
            <a:graphic>
              <a:graphicData uri="http://schemas.openxmlformats.org/drawingml/2006/picture">
                <pic:pic>
                  <pic:nvPicPr>
                    <pic:cNvPr id="0" name="index-977_1.png" descr="index-977_1.png"/>
                    <pic:cNvPicPr/>
                  </pic:nvPicPr>
                  <pic:blipFill>
                    <a:blip r:embed="rId1022"/>
                    <a:stretch>
                      <a:fillRect/>
                    </a:stretch>
                  </pic:blipFill>
                  <pic:spPr>
                    <a:xfrm>
                      <a:off x="0" y="0"/>
                      <a:ext cx="914400" cy="266700"/>
                    </a:xfrm>
                    <a:prstGeom prst="rect">
                      <a:avLst/>
                    </a:prstGeom>
                  </pic:spPr>
                </pic:pic>
              </a:graphicData>
            </a:graphic>
          </wp:anchor>
        </w:drawing>
      </w:r>
      <w:bookmarkEnd w:id="1548"/>
      <w:bookmarkEnd w:id="1549"/>
    </w:p>
    <w:p>
      <w:pPr>
        <w:pStyle w:val="Para 01"/>
      </w:pPr>
      <w:r>
        <w:t>Directly on GitHub issues</w:t>
      </w:r>
    </w:p>
    <w:p>
      <w:pPr>
        <w:pStyle w:val="Para 17"/>
      </w:pPr>
      <w:r>
        <w:t/>
      </w:r>
    </w:p>
    <w:p>
      <w:pPr>
        <w:pStyle w:val="Normal"/>
      </w:pPr>
      <w:r>
        <w:t>Each issue should contain a description of the task to be completed, and some suggestions for how you might want to tackle it if there are several options. You can always leave a question on an issue to ask for more information if you need more details or for something to be clarified.</w:t>
      </w:r>
    </w:p>
    <w:p>
      <w:pPr>
        <w:pStyle w:val="Normal"/>
      </w:pPr>
      <w:r>
        <w:t>If you have not been able to work on the issue for a while, please leave a comment on it. This helps us know if you intend to complete the task, and to reassign the task to someone else if you know you will not be able to finish it.</w:t>
      </w:r>
    </w:p>
    <w:p>
      <w:pPr>
        <w:pStyle w:val="Normal"/>
      </w:pPr>
      <w:r>
        <w:t>If you want help from another contributor, that’s also fine! Leave a comment describing the problem you’re facing and what help you need to resolve it.</w:t>
      </w:r>
    </w:p>
    <w:p>
      <w:pPr>
        <w:pStyle w:val="Para 17"/>
      </w:pPr>
      <w:r>
        <w:t/>
      </w:r>
    </w:p>
    <w:p>
      <w:pPr>
        <w:pStyle w:val="Para 01"/>
      </w:pPr>
      <w:r>
        <w:t>Help with your submission</w:t>
      </w:r>
    </w:p>
    <w:p>
      <w:pPr>
        <w:pStyle w:val="Para 17"/>
      </w:pPr>
      <w:r>
        <w:t/>
      </w:r>
    </w:p>
    <w:p>
      <w:pPr>
        <w:pStyle w:val="Normal"/>
      </w:pPr>
      <w:r>
        <w:t>Your pull request will be assigned a reviewer from among the repository maintainers. You can contact them by leaving a comment on your own PR – you can also “ping” them in that comment to send them a notification by using @&lt;their username&gt;.</w:t>
      </w:r>
    </w:p>
    <w:p>
      <w:pPr>
        <w:pStyle w:val="Para 17"/>
      </w:pPr>
      <w:r>
        <w:t/>
      </w:r>
    </w:p>
    <w:p>
      <w:pPr>
        <w:pStyle w:val="Para 01"/>
      </w:pPr>
      <w:r>
        <w:t>Community forums</w:t>
      </w:r>
    </w:p>
    <w:p>
      <w:pPr>
        <w:pStyle w:val="Para 17"/>
      </w:pPr>
      <w:r>
        <w:t/>
      </w:r>
    </w:p>
    <w:p>
      <w:pPr>
        <w:pStyle w:val="Normal"/>
      </w:pPr>
      <w:r>
        <w:t xml:space="preserve">For more general questions about Ubuntu Server, you’re welcome to </w:t>
      </w:r>
      <w:hyperlink r:id="rId1033">
        <w:r>
          <w:rPr>
            <w:rStyle w:val="Text9"/>
          </w:rPr>
          <w:t>1143</w:t>
        </w:r>
      </w:hyperlink>
      <w:hyperlink r:id="rId1033">
        <w:r>
          <w:rPr>
            <w:rStyle w:val="Text1"/>
          </w:rPr>
          <w:t xml:space="preserve"> create a post</w:t>
        </w:r>
      </w:hyperlink>
      <w:r>
        <w:t xml:space="preserve"> on the Ubuntu Server forum.</w:t>
      </w:r>
    </w:p>
    <w:p>
      <w:pPr>
        <w:pStyle w:val="Normal"/>
      </w:pPr>
      <w:r>
        <w:t xml:space="preserve">The Canonical Open Documentation Academy (CODA) </w:t>
      </w:r>
      <w:hyperlink w:anchor="page_977">
        <w:r>
          <w:rPr>
            <w:rStyle w:val="Text9"/>
          </w:rPr>
          <w:t>1144</w:t>
        </w:r>
      </w:hyperlink>
      <w:r>
        <w:t xml:space="preserve"> </w:t>
      </w:r>
      <w:hyperlink r:id="rId1941">
        <w:r>
          <w:rPr>
            <w:rStyle w:val="Text1"/>
          </w:rPr>
          <w:t>also has a forum</w:t>
        </w:r>
      </w:hyperlink>
      <w:r>
        <w:t>, which is the hub for questions specifically about documentation.</w:t>
      </w:r>
    </w:p>
    <w:p>
      <w:pPr>
        <w:pStyle w:val="Para 17"/>
      </w:pPr>
      <w:r>
        <w:t/>
      </w:r>
    </w:p>
    <w:p>
      <w:pPr>
        <w:pStyle w:val="Para 01"/>
      </w:pPr>
      <w:r>
        <w:t>Chat to us</w:t>
      </w:r>
    </w:p>
    <w:p>
      <w:pPr>
        <w:pStyle w:val="Para 17"/>
      </w:pPr>
      <w:r>
        <w:t/>
      </w:r>
    </w:p>
    <w:p>
      <w:pPr>
        <w:pStyle w:val="Normal"/>
      </w:pPr>
      <w:r>
        <w:t>For more interactive chat, you can use Matrix:</w:t>
      </w:r>
    </w:p>
    <w:p>
      <w:pPr>
        <w:pStyle w:val="Para 13"/>
      </w:pPr>
      <w:r>
        <w:rPr>
          <w:rStyle w:val="Text7"/>
        </w:rPr>
        <w:t xml:space="preserve">• </w:t>
      </w:r>
      <w:hyperlink w:anchor="page_977">
        <w:r>
          <w:rPr>
            <w:rStyle w:val="Text10"/>
          </w:rPr>
          <w:t>1145</w:t>
        </w:r>
      </w:hyperlink>
      <w:r>
        <w:rPr>
          <w:rStyle w:val="Text7"/>
        </w:rPr>
        <w:t xml:space="preserve"> </w:t>
      </w:r>
      <w:hyperlink r:id="rId1034">
        <w:r>
          <w:t>To chat to the Server team</w:t>
        </w:r>
      </w:hyperlink>
    </w:p>
    <w:p>
      <w:pPr>
        <w:pStyle w:val="Para 13"/>
      </w:pPr>
      <w:r>
        <w:rPr>
          <w:rStyle w:val="Text7"/>
        </w:rPr>
        <w:t xml:space="preserve">• </w:t>
      </w:r>
      <w:hyperlink w:anchor="page_977">
        <w:r>
          <w:rPr>
            <w:rStyle w:val="Text10"/>
          </w:rPr>
          <w:t>1146</w:t>
        </w:r>
      </w:hyperlink>
      <w:r>
        <w:rPr>
          <w:rStyle w:val="Text7"/>
        </w:rPr>
        <w:t xml:space="preserve"> </w:t>
      </w:r>
      <w:hyperlink r:id="rId1034">
        <w:r>
          <w:t>To talk to technical authors about documentation</w:t>
        </w:r>
      </w:hyperlink>
    </w:p>
    <w:p>
      <w:pPr>
        <w:pStyle w:val="Para 17"/>
      </w:pPr>
      <w:r>
        <w:t/>
      </w:r>
    </w:p>
    <w:p>
      <w:pPr>
        <w:pStyle w:val="Para 01"/>
      </w:pPr>
      <w:r>
        <w:t>Our contributors</w:t>
      </w:r>
    </w:p>
    <w:p>
      <w:pPr>
        <w:pStyle w:val="Para 17"/>
      </w:pPr>
      <w:r>
        <w:t/>
      </w:r>
    </w:p>
    <w:p>
      <w:pPr>
        <w:pStyle w:val="Normal"/>
      </w:pPr>
      <w:r>
        <w:t>Curious about what our contributors have been doing? As you can see from the sections be-low (organized alphabetically), there is a huge variety of fixes, content updates and improve-ments being made across the Ubuntu Server documentation. The most recently submitted PRs are at the top of each table.</w:t>
      </w:r>
    </w:p>
    <w:p>
      <w:pPr>
        <w:pStyle w:val="Normal"/>
      </w:pPr>
      <w:r>
        <w:t>This documentation is a testament to the valued efforts of our community members who have invested their time in its creation, maintenance and improvement.</w:t>
      </w:r>
    </w:p>
    <w:p>
      <w:pPr>
        <w:pStyle w:val="Para 16"/>
      </w:pPr>
      <w:r>
        <w:rPr>
          <w:rStyle w:val="Text5"/>
        </w:rPr>
        <w:t>1143</w:t>
      </w:r>
      <w:r>
        <w:rPr>
          <w:rStyle w:val="Text8"/>
        </w:rPr>
        <w:t xml:space="preserve"> </w:t>
      </w:r>
      <w:r>
        <w:t>https://discourse.ubuntu.com/c/project/server/17</w:t>
      </w:r>
      <w:r>
        <w:rPr>
          <w:rStyle w:val="Text8"/>
        </w:rPr>
        <w:t xml:space="preserve"> </w:t>
      </w:r>
      <w:r>
        <w:rPr>
          <w:rStyle w:val="Text5"/>
        </w:rPr>
        <w:t>1144</w:t>
      </w:r>
      <w:r>
        <w:rPr>
          <w:rStyle w:val="Text8"/>
        </w:rPr>
        <w:t xml:space="preserve"> </w:t>
      </w:r>
      <w:r>
        <w:t>https://discourse.ubuntu.com/c/community/open-documentation-academy/166</w:t>
      </w:r>
      <w:r>
        <w:rPr>
          <w:rStyle w:val="Text8"/>
        </w:rPr>
        <w:t xml:space="preserve"> </w:t>
      </w:r>
      <w:r>
        <w:rPr>
          <w:rStyle w:val="Text5"/>
        </w:rPr>
        <w:t>1145</w:t>
      </w:r>
      <w:r>
        <w:rPr>
          <w:rStyle w:val="Text8"/>
        </w:rPr>
        <w:t xml:space="preserve"> </w:t>
      </w:r>
      <w:r>
        <w:t>https://matrix.to/#/#server:ubuntu.com</w:t>
      </w:r>
    </w:p>
    <w:p>
      <w:pPr>
        <w:pStyle w:val="Para 16"/>
      </w:pPr>
      <w:r>
        <w:rPr>
          <w:rStyle w:val="Text5"/>
        </w:rPr>
        <w:t>1146</w:t>
      </w:r>
      <w:r>
        <w:rPr>
          <w:rStyle w:val="Text8"/>
        </w:rPr>
        <w:t xml:space="preserve"> </w:t>
      </w:r>
      <w:r>
        <w:t>https://matrix.to/#/#documentation:ubuntu.com</w:t>
      </w:r>
    </w:p>
    <w:p>
      <w:bookmarkStart w:id="1550" w:name="page_9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19" name="index-978_1.png" descr="index-978_1.png"/>
            <wp:cNvGraphicFramePr>
              <a:graphicFrameLocks noChangeAspect="1"/>
            </wp:cNvGraphicFramePr>
            <a:graphic>
              <a:graphicData uri="http://schemas.openxmlformats.org/drawingml/2006/picture">
                <pic:pic>
                  <pic:nvPicPr>
                    <pic:cNvPr id="0" name="index-978_1.png" descr="index-978_1.png"/>
                    <pic:cNvPicPr/>
                  </pic:nvPicPr>
                  <pic:blipFill>
                    <a:blip r:embed="rId1023"/>
                    <a:stretch>
                      <a:fillRect/>
                    </a:stretch>
                  </pic:blipFill>
                  <pic:spPr>
                    <a:xfrm>
                      <a:off x="0" y="0"/>
                      <a:ext cx="914400" cy="266700"/>
                    </a:xfrm>
                    <a:prstGeom prst="rect">
                      <a:avLst/>
                    </a:prstGeom>
                  </pic:spPr>
                </pic:pic>
              </a:graphicData>
            </a:graphic>
          </wp:anchor>
        </w:drawing>
      </w:r>
      <w:bookmarkEnd w:id="1550"/>
    </w:p>
    <w:p>
      <w:pPr>
        <w:pStyle w:val="Para 01"/>
      </w:pPr>
      <w:r>
        <w:t>Content updates</w:t>
      </w:r>
    </w:p>
    <w:p>
      <w:pPr>
        <w:pStyle w:val="Para 17"/>
      </w:pPr>
      <w:r>
        <w:t/>
      </w:r>
    </w:p>
    <w:p>
      <w:pPr>
        <w:pStyle w:val="Para 03"/>
      </w:pPr>
      <w:r>
        <w:t>PR num-Contributed by Contribution made</w:t>
      </w:r>
    </w:p>
    <w:p>
      <w:pPr>
        <w:pStyle w:val="Para 03"/>
      </w:pPr>
      <w:r>
        <w:t>ber</w:t>
      </w:r>
    </w:p>
    <w:p>
      <w:pPr>
        <w:pStyle w:val="Para 03"/>
      </w:pPr>
      <w:hyperlink r:id="rId1942">
        <w:r>
          <w:rPr>
            <w:rStyle w:val="Text1"/>
          </w:rPr>
          <w:t>PR</w:t>
        </w:r>
      </w:hyperlink>
      <w:r>
        <w:t xml:space="preserve"> network- Updated instructions for building docs locally</w:t>
      </w:r>
    </w:p>
    <w:p>
      <w:pPr>
        <w:pStyle w:val="Para 03"/>
      </w:pPr>
      <w:hyperlink r:id="rId1942">
        <w:r>
          <w:rPr>
            <w:rStyle w:val="Text1"/>
          </w:rPr>
          <w:t>#202</w:t>
        </w:r>
      </w:hyperlink>
      <w:hyperlink r:id="rId1942">
        <w:r>
          <w:rPr>
            <w:rStyle w:val="Text9"/>
          </w:rPr>
          <w:t>1147</w:t>
        </w:r>
      </w:hyperlink>
      <w:r>
        <w:t xml:space="preserve"> charles</w:t>
      </w:r>
    </w:p>
    <w:p>
      <w:pPr>
        <w:pStyle w:val="Para 03"/>
      </w:pPr>
      <w:hyperlink r:id="rId1943">
        <w:r>
          <w:rPr>
            <w:rStyle w:val="Text1"/>
          </w:rPr>
          <w:t>PR</w:t>
        </w:r>
      </w:hyperlink>
      <w:r>
        <w:t xml:space="preserve"> Zetway- Clarified instructions in install-isc-dhcp-server.md</w:t>
      </w:r>
    </w:p>
    <w:p>
      <w:pPr>
        <w:pStyle w:val="Para 03"/>
      </w:pPr>
      <w:hyperlink r:id="rId1943">
        <w:r>
          <w:rPr>
            <w:rStyle w:val="Text1"/>
          </w:rPr>
          <w:t>#200</w:t>
        </w:r>
      </w:hyperlink>
      <w:hyperlink r:id="rId1943">
        <w:r>
          <w:rPr>
            <w:rStyle w:val="Text9"/>
          </w:rPr>
          <w:t>1148</w:t>
        </w:r>
      </w:hyperlink>
      <w:r>
        <w:t xml:space="preserve"> Technologies</w:t>
      </w:r>
    </w:p>
    <w:p>
      <w:pPr>
        <w:pStyle w:val="Para 03"/>
      </w:pPr>
      <w:hyperlink r:id="rId1944">
        <w:r>
          <w:rPr>
            <w:rStyle w:val="Text1"/>
          </w:rPr>
          <w:t>PR</w:t>
        </w:r>
      </w:hyperlink>
      <w:r>
        <w:t xml:space="preserve"> minaelee Updated CODA links in our contributing guide</w:t>
      </w:r>
    </w:p>
    <w:p>
      <w:pPr>
        <w:pStyle w:val="Para 22"/>
      </w:pPr>
      <w:hyperlink r:id="rId1944">
        <w:r>
          <w:t>#192</w:t>
        </w:r>
      </w:hyperlink>
      <w:hyperlink r:id="rId1944">
        <w:r>
          <w:rPr>
            <w:rStyle w:val="Text10"/>
          </w:rPr>
          <w:t>1149</w:t>
        </w:r>
      </w:hyperlink>
    </w:p>
    <w:p>
      <w:pPr>
        <w:pStyle w:val="Para 03"/>
      </w:pPr>
      <w:hyperlink r:id="rId1945">
        <w:r>
          <w:rPr>
            <w:rStyle w:val="Text1"/>
          </w:rPr>
          <w:t>PR</w:t>
        </w:r>
      </w:hyperlink>
      <w:r>
        <w:t xml:space="preserve"> kenyon Removed no-longer-needed reference to a recently closed</w:t>
      </w:r>
    </w:p>
    <w:p>
      <w:pPr>
        <w:pStyle w:val="Para 22"/>
      </w:pPr>
      <w:hyperlink r:id="rId1945">
        <w:r>
          <w:t>#190</w:t>
        </w:r>
      </w:hyperlink>
      <w:hyperlink r:id="rId1945">
        <w:r>
          <w:rPr>
            <w:rStyle w:val="Text10"/>
          </w:rPr>
          <w:t>1150</w:t>
        </w:r>
      </w:hyperlink>
      <w:r>
        <w:rPr>
          <w:rStyle w:val="Text7"/>
        </w:rPr>
        <w:t xml:space="preserve"> bug</w:t>
      </w:r>
    </w:p>
    <w:p>
      <w:pPr>
        <w:pStyle w:val="Para 03"/>
      </w:pPr>
      <w:hyperlink r:id="rId1946">
        <w:r>
          <w:rPr>
            <w:rStyle w:val="Text1"/>
          </w:rPr>
          <w:t>PR</w:t>
        </w:r>
      </w:hyperlink>
      <w:r>
        <w:t xml:space="preserve"> davidekete Deprecated the backup-with-shell-scripts.md page</w:t>
      </w:r>
    </w:p>
    <w:p>
      <w:pPr>
        <w:pStyle w:val="Para 22"/>
      </w:pPr>
      <w:hyperlink r:id="rId1946">
        <w:r>
          <w:t>#181</w:t>
        </w:r>
      </w:hyperlink>
      <w:hyperlink r:id="rId1946">
        <w:r>
          <w:rPr>
            <w:rStyle w:val="Text10"/>
          </w:rPr>
          <w:t>1151</w:t>
        </w:r>
      </w:hyperlink>
    </w:p>
    <w:p>
      <w:pPr>
        <w:pStyle w:val="Para 03"/>
      </w:pPr>
      <w:hyperlink r:id="rId1947">
        <w:r>
          <w:rPr>
            <w:rStyle w:val="Text1"/>
          </w:rPr>
          <w:t>PR</w:t>
        </w:r>
      </w:hyperlink>
      <w:r>
        <w:t xml:space="preserve"> Sophie-Pages Deprecated the lxc-containers.md page</w:t>
      </w:r>
    </w:p>
    <w:p>
      <w:pPr>
        <w:pStyle w:val="Para 22"/>
      </w:pPr>
      <w:hyperlink r:id="rId1947">
        <w:r>
          <w:t>#130</w:t>
        </w:r>
      </w:hyperlink>
      <w:hyperlink r:id="rId1947">
        <w:r>
          <w:rPr>
            <w:rStyle w:val="Text10"/>
          </w:rPr>
          <w:t>1152</w:t>
        </w:r>
      </w:hyperlink>
    </w:p>
    <w:p>
      <w:pPr>
        <w:pStyle w:val="Para 03"/>
      </w:pPr>
      <w:hyperlink r:id="rId1948">
        <w:r>
          <w:rPr>
            <w:rStyle w:val="Text1"/>
          </w:rPr>
          <w:t>PR</w:t>
        </w:r>
      </w:hyperlink>
      <w:r>
        <w:t xml:space="preserve"> Sophie-Pages Added introduction to install-openldap.md page</w:t>
      </w:r>
    </w:p>
    <w:p>
      <w:pPr>
        <w:pStyle w:val="Para 22"/>
      </w:pPr>
      <w:hyperlink r:id="rId1948">
        <w:r>
          <w:t>#119</w:t>
        </w:r>
      </w:hyperlink>
      <w:hyperlink r:id="rId1948">
        <w:r>
          <w:rPr>
            <w:rStyle w:val="Text10"/>
          </w:rPr>
          <w:t>1153</w:t>
        </w:r>
      </w:hyperlink>
    </w:p>
    <w:p>
      <w:pPr>
        <w:pStyle w:val="Para 03"/>
      </w:pPr>
      <w:hyperlink r:id="rId1949">
        <w:r>
          <w:rPr>
            <w:rStyle w:val="Text1"/>
          </w:rPr>
          <w:t>PR</w:t>
        </w:r>
      </w:hyperlink>
      <w:r>
        <w:t xml:space="preserve"> minaelee Updated and refreshed content on lxd-containers.md</w:t>
      </w:r>
    </w:p>
    <w:p>
      <w:pPr>
        <w:pStyle w:val="Para 03"/>
      </w:pPr>
      <w:hyperlink r:id="rId1949">
        <w:r>
          <w:rPr>
            <w:rStyle w:val="Text1"/>
          </w:rPr>
          <w:t>#115</w:t>
        </w:r>
      </w:hyperlink>
      <w:hyperlink r:id="rId1949">
        <w:r>
          <w:rPr>
            <w:rStyle w:val="Text9"/>
          </w:rPr>
          <w:t>1154</w:t>
        </w:r>
      </w:hyperlink>
      <w:r>
        <w:t xml:space="preserve"> page</w:t>
      </w:r>
    </w:p>
    <w:p>
      <w:pPr>
        <w:pStyle w:val="Para 03"/>
      </w:pPr>
      <w:hyperlink r:id="rId1947">
        <w:r>
          <w:rPr>
            <w:rStyle w:val="Text1"/>
          </w:rPr>
          <w:t>PR</w:t>
        </w:r>
      </w:hyperlink>
      <w:r>
        <w:t xml:space="preserve"> teward Updated apparmor.md to explain how to totally enable/dis-</w:t>
      </w:r>
    </w:p>
    <w:p>
      <w:pPr>
        <w:pStyle w:val="Para 03"/>
      </w:pPr>
      <w:hyperlink r:id="rId1947">
        <w:r>
          <w:rPr>
            <w:rStyle w:val="Text1"/>
          </w:rPr>
          <w:t>#113</w:t>
        </w:r>
      </w:hyperlink>
      <w:hyperlink r:id="rId1947">
        <w:r>
          <w:rPr>
            <w:rStyle w:val="Text9"/>
          </w:rPr>
          <w:t>1155</w:t>
        </w:r>
      </w:hyperlink>
      <w:r>
        <w:t xml:space="preserve"> able AppArmor</w:t>
      </w:r>
    </w:p>
    <w:p>
      <w:pPr>
        <w:pStyle w:val="Normal"/>
      </w:pPr>
      <w:hyperlink r:id="rId1950">
        <w:r>
          <w:rPr>
            <w:rStyle w:val="Text1"/>
          </w:rPr>
          <w:t>PR</w:t>
        </w:r>
      </w:hyperlink>
      <w:r>
        <w:t xml:space="preserve"> khbecker Added details about kdump enablement in 24.10 to</w:t>
      </w:r>
    </w:p>
    <w:p>
      <w:pPr>
        <w:pStyle w:val="Para 03"/>
      </w:pPr>
      <w:hyperlink r:id="rId1950">
        <w:r>
          <w:rPr>
            <w:rStyle w:val="Text1"/>
          </w:rPr>
          <w:t>#54</w:t>
        </w:r>
      </w:hyperlink>
      <w:hyperlink w:anchor="page_978">
        <w:r>
          <w:rPr>
            <w:rStyle w:val="Text9"/>
          </w:rPr>
          <w:t>1156</w:t>
        </w:r>
      </w:hyperlink>
      <w:r>
        <w:t xml:space="preserve"> kernel-crash-dump.md</w:t>
      </w:r>
    </w:p>
    <w:p>
      <w:pPr>
        <w:pStyle w:val="Para 17"/>
      </w:pPr>
      <w:r>
        <w:t/>
      </w:r>
    </w:p>
    <w:p>
      <w:pPr>
        <w:pStyle w:val="Para 16"/>
      </w:pPr>
      <w:r>
        <w:rPr>
          <w:rStyle w:val="Text5"/>
        </w:rPr>
        <w:t>1147</w:t>
      </w:r>
      <w:r>
        <w:rPr>
          <w:rStyle w:val="Text8"/>
        </w:rPr>
        <w:t xml:space="preserve"> </w:t>
      </w:r>
      <w:r>
        <w:t>https://github.com/canonical/ubuntu-server-documentation/pull/202</w:t>
      </w:r>
      <w:r>
        <w:rPr>
          <w:rStyle w:val="Text8"/>
        </w:rPr>
        <w:t xml:space="preserve"> </w:t>
      </w:r>
      <w:r>
        <w:rPr>
          <w:rStyle w:val="Text5"/>
        </w:rPr>
        <w:t>1148</w:t>
      </w:r>
      <w:r>
        <w:rPr>
          <w:rStyle w:val="Text8"/>
        </w:rPr>
        <w:t xml:space="preserve"> </w:t>
      </w:r>
      <w:r>
        <w:t>https://github.com/canonical/ubuntu-server-documentation/pull/200</w:t>
      </w:r>
      <w:r>
        <w:rPr>
          <w:rStyle w:val="Text8"/>
        </w:rPr>
        <w:t xml:space="preserve"> </w:t>
      </w:r>
      <w:r>
        <w:rPr>
          <w:rStyle w:val="Text5"/>
        </w:rPr>
        <w:t>1149</w:t>
      </w:r>
      <w:r>
        <w:rPr>
          <w:rStyle w:val="Text8"/>
        </w:rPr>
        <w:t xml:space="preserve"> </w:t>
      </w:r>
      <w:r>
        <w:t>https://github.com/canonical/ubuntu-server-documentation/pull/192</w:t>
      </w:r>
      <w:r>
        <w:rPr>
          <w:rStyle w:val="Text8"/>
        </w:rPr>
        <w:t xml:space="preserve"> </w:t>
      </w:r>
      <w:r>
        <w:rPr>
          <w:rStyle w:val="Text5"/>
        </w:rPr>
        <w:t>1150</w:t>
      </w:r>
      <w:r>
        <w:rPr>
          <w:rStyle w:val="Text8"/>
        </w:rPr>
        <w:t xml:space="preserve"> </w:t>
      </w:r>
      <w:r>
        <w:t>https://github.com/canonical/ubuntu-server-documentation/pull/190</w:t>
      </w:r>
      <w:r>
        <w:rPr>
          <w:rStyle w:val="Text8"/>
        </w:rPr>
        <w:t xml:space="preserve"> </w:t>
      </w:r>
      <w:r>
        <w:rPr>
          <w:rStyle w:val="Text5"/>
        </w:rPr>
        <w:t>1151</w:t>
      </w:r>
      <w:r>
        <w:rPr>
          <w:rStyle w:val="Text8"/>
        </w:rPr>
        <w:t xml:space="preserve"> </w:t>
      </w:r>
      <w:r>
        <w:t>https://github.com/canonical/ubuntu-server-documentation/pull/181</w:t>
      </w:r>
      <w:r>
        <w:rPr>
          <w:rStyle w:val="Text8"/>
        </w:rPr>
        <w:t xml:space="preserve"> </w:t>
      </w:r>
      <w:r>
        <w:rPr>
          <w:rStyle w:val="Text5"/>
        </w:rPr>
        <w:t>1152</w:t>
      </w:r>
      <w:r>
        <w:rPr>
          <w:rStyle w:val="Text8"/>
        </w:rPr>
        <w:t xml:space="preserve"> </w:t>
      </w:r>
      <w:r>
        <w:t>https://github.com/canonical/ubuntu-server-documentation/pull/130</w:t>
      </w:r>
      <w:r>
        <w:rPr>
          <w:rStyle w:val="Text8"/>
        </w:rPr>
        <w:t xml:space="preserve"> </w:t>
      </w:r>
      <w:r>
        <w:rPr>
          <w:rStyle w:val="Text5"/>
        </w:rPr>
        <w:t>1153</w:t>
      </w:r>
      <w:r>
        <w:rPr>
          <w:rStyle w:val="Text8"/>
        </w:rPr>
        <w:t xml:space="preserve"> </w:t>
      </w:r>
      <w:r>
        <w:t>https://github.com/canonical/ubuntu-server-documentation/pull/119</w:t>
      </w:r>
      <w:r>
        <w:rPr>
          <w:rStyle w:val="Text8"/>
        </w:rPr>
        <w:t xml:space="preserve"> </w:t>
      </w:r>
      <w:r>
        <w:rPr>
          <w:rStyle w:val="Text5"/>
        </w:rPr>
        <w:t>1154</w:t>
      </w:r>
      <w:r>
        <w:rPr>
          <w:rStyle w:val="Text8"/>
        </w:rPr>
        <w:t xml:space="preserve"> </w:t>
      </w:r>
      <w:r>
        <w:t>https://github.com/canonical/ubuntu-server-documentation/pull/115</w:t>
      </w:r>
      <w:r>
        <w:rPr>
          <w:rStyle w:val="Text8"/>
        </w:rPr>
        <w:t xml:space="preserve"> </w:t>
      </w:r>
      <w:r>
        <w:rPr>
          <w:rStyle w:val="Text5"/>
        </w:rPr>
        <w:t>1155</w:t>
      </w:r>
      <w:r>
        <w:rPr>
          <w:rStyle w:val="Text8"/>
        </w:rPr>
        <w:t xml:space="preserve"> </w:t>
      </w:r>
      <w:r>
        <w:t>https://github.com/canonical/ubuntu-server-documentation/pull/130</w:t>
      </w:r>
      <w:r>
        <w:rPr>
          <w:rStyle w:val="Text8"/>
        </w:rPr>
        <w:t xml:space="preserve"> </w:t>
      </w:r>
      <w:r>
        <w:rPr>
          <w:rStyle w:val="Text5"/>
        </w:rPr>
        <w:t>1156</w:t>
      </w:r>
      <w:r>
        <w:rPr>
          <w:rStyle w:val="Text8"/>
        </w:rPr>
        <w:t xml:space="preserve"> </w:t>
      </w:r>
      <w:r>
        <w:t>https://github.com/canonical/ubuntu-server-documentation/pull/54</w:t>
      </w:r>
    </w:p>
    <w:p>
      <w:bookmarkStart w:id="1551" w:name="calibre_pb_286"/>
      <w:pPr>
        <w:pStyle w:val="0 Block"/>
      </w:pPr>
      <w:bookmarkEnd w:id="1551"/>
    </w:p>
    <w:p>
      <w:bookmarkStart w:id="1552" w:name="Top_of_index_split_287_html"/>
      <w:bookmarkStart w:id="1553" w:name="page_97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20" name="index-979_1.png" descr="index-979_1.png"/>
            <wp:cNvGraphicFramePr>
              <a:graphicFrameLocks noChangeAspect="1"/>
            </wp:cNvGraphicFramePr>
            <a:graphic>
              <a:graphicData uri="http://schemas.openxmlformats.org/drawingml/2006/picture">
                <pic:pic>
                  <pic:nvPicPr>
                    <pic:cNvPr id="0" name="index-979_1.png" descr="index-979_1.png"/>
                    <pic:cNvPicPr/>
                  </pic:nvPicPr>
                  <pic:blipFill>
                    <a:blip r:embed="rId1024"/>
                    <a:stretch>
                      <a:fillRect/>
                    </a:stretch>
                  </pic:blipFill>
                  <pic:spPr>
                    <a:xfrm>
                      <a:off x="0" y="0"/>
                      <a:ext cx="914400" cy="266700"/>
                    </a:xfrm>
                    <a:prstGeom prst="rect">
                      <a:avLst/>
                    </a:prstGeom>
                  </pic:spPr>
                </pic:pic>
              </a:graphicData>
            </a:graphic>
          </wp:anchor>
        </w:drawing>
      </w:r>
      <w:bookmarkEnd w:id="1552"/>
      <w:bookmarkEnd w:id="1553"/>
    </w:p>
    <w:p>
      <w:pPr>
        <w:pStyle w:val="Para 01"/>
      </w:pPr>
      <w:r>
        <w:t>Copyediting and proofreading</w:t>
      </w:r>
    </w:p>
    <w:p>
      <w:pPr>
        <w:pStyle w:val="Para 17"/>
      </w:pPr>
      <w:r>
        <w:t/>
      </w:r>
    </w:p>
    <w:p>
      <w:pPr>
        <w:pStyle w:val="Para 03"/>
      </w:pPr>
      <w:r>
        <w:t>PR Con- Contribution made</w:t>
      </w:r>
    </w:p>
    <w:p>
      <w:pPr>
        <w:pStyle w:val="Para 03"/>
      </w:pPr>
      <w:r>
        <w:t>num- tributed</w:t>
      </w:r>
    </w:p>
    <w:p>
      <w:pPr>
        <w:pStyle w:val="Para 03"/>
      </w:pPr>
      <w:r>
        <w:t>ber by</w:t>
      </w:r>
    </w:p>
    <w:p>
      <w:pPr>
        <w:pStyle w:val="Para 03"/>
      </w:pPr>
      <w:hyperlink r:id="rId1951">
        <w:r>
          <w:rPr>
            <w:rStyle w:val="Text1"/>
          </w:rPr>
          <w:t>PR</w:t>
        </w:r>
      </w:hyperlink>
      <w:r>
        <w:t xml:space="preserve"> thorn- Improved the sssd.md page</w:t>
      </w:r>
    </w:p>
    <w:p>
      <w:pPr>
        <w:pStyle w:val="Para 03"/>
      </w:pPr>
      <w:hyperlink r:id="rId1951">
        <w:r>
          <w:rPr>
            <w:rStyle w:val="Text1"/>
          </w:rPr>
          <w:t>#184</w:t>
        </w:r>
      </w:hyperlink>
      <w:hyperlink r:id="rId1951">
        <w:r>
          <w:rPr>
            <w:rStyle w:val="Text9"/>
          </w:rPr>
          <w:t>1157</w:t>
        </w:r>
      </w:hyperlink>
      <w:r>
        <w:t>shadow99</w:t>
      </w:r>
    </w:p>
    <w:p>
      <w:pPr>
        <w:pStyle w:val="Para 03"/>
      </w:pPr>
      <w:hyperlink r:id="rId1952">
        <w:r>
          <w:rPr>
            <w:rStyle w:val="Text1"/>
          </w:rPr>
          <w:t>PR</w:t>
        </w:r>
      </w:hyperlink>
      <w:r>
        <w:t xml:space="preserve"> thorn- Improved the security.md page</w:t>
      </w:r>
    </w:p>
    <w:p>
      <w:pPr>
        <w:pStyle w:val="Para 03"/>
      </w:pPr>
      <w:hyperlink r:id="rId1952">
        <w:r>
          <w:rPr>
            <w:rStyle w:val="Text1"/>
          </w:rPr>
          <w:t>#183</w:t>
        </w:r>
      </w:hyperlink>
      <w:hyperlink r:id="rId1952">
        <w:r>
          <w:rPr>
            <w:rStyle w:val="Text9"/>
          </w:rPr>
          <w:t>1158</w:t>
        </w:r>
      </w:hyperlink>
      <w:r>
        <w:t>shadow99</w:t>
      </w:r>
    </w:p>
    <w:p>
      <w:pPr>
        <w:pStyle w:val="Para 03"/>
      </w:pPr>
      <w:hyperlink r:id="rId1953">
        <w:r>
          <w:rPr>
            <w:rStyle w:val="Text1"/>
          </w:rPr>
          <w:t>PR</w:t>
        </w:r>
      </w:hyperlink>
      <w:r>
        <w:t xml:space="preserve"> POS- Improved the libvirt.md page</w:t>
      </w:r>
    </w:p>
    <w:p>
      <w:pPr>
        <w:pStyle w:val="Para 03"/>
      </w:pPr>
      <w:hyperlink r:id="rId1953">
        <w:r>
          <w:rPr>
            <w:rStyle w:val="Text1"/>
          </w:rPr>
          <w:t>#167</w:t>
        </w:r>
      </w:hyperlink>
      <w:hyperlink r:id="rId1953">
        <w:r>
          <w:rPr>
            <w:rStyle w:val="Text9"/>
          </w:rPr>
          <w:t>1159</w:t>
        </w:r>
      </w:hyperlink>
      <w:r>
        <w:t>ToakDEV</w:t>
      </w:r>
    </w:p>
    <w:p>
      <w:pPr>
        <w:pStyle w:val="Para 03"/>
      </w:pPr>
      <w:hyperlink r:id="rId1954">
        <w:r>
          <w:rPr>
            <w:rStyle w:val="Text1"/>
          </w:rPr>
          <w:t>PR</w:t>
        </w:r>
      </w:hyperlink>
      <w:r>
        <w:t xml:space="preserve"> thorn- Improved the multipath.md page</w:t>
      </w:r>
    </w:p>
    <w:p>
      <w:pPr>
        <w:pStyle w:val="Para 03"/>
      </w:pPr>
      <w:hyperlink r:id="rId1954">
        <w:r>
          <w:rPr>
            <w:rStyle w:val="Text1"/>
          </w:rPr>
          <w:t>#155</w:t>
        </w:r>
      </w:hyperlink>
      <w:hyperlink r:id="rId1954">
        <w:r>
          <w:rPr>
            <w:rStyle w:val="Text9"/>
          </w:rPr>
          <w:t>1160</w:t>
        </w:r>
      </w:hyperlink>
      <w:r>
        <w:t>shadow99</w:t>
      </w:r>
    </w:p>
    <w:p>
      <w:pPr>
        <w:pStyle w:val="Para 03"/>
      </w:pPr>
      <w:hyperlink r:id="rId1955">
        <w:r>
          <w:rPr>
            <w:rStyle w:val="Text1"/>
          </w:rPr>
          <w:t>PR</w:t>
        </w:r>
      </w:hyperlink>
      <w:r>
        <w:t xml:space="preserve"> thorn- Improved the high-availability.md page</w:t>
      </w:r>
    </w:p>
    <w:p>
      <w:pPr>
        <w:pStyle w:val="Para 03"/>
      </w:pPr>
      <w:hyperlink r:id="rId1955">
        <w:r>
          <w:rPr>
            <w:rStyle w:val="Text1"/>
          </w:rPr>
          <w:t>#149</w:t>
        </w:r>
      </w:hyperlink>
      <w:hyperlink r:id="rId1955">
        <w:r>
          <w:rPr>
            <w:rStyle w:val="Text9"/>
          </w:rPr>
          <w:t>1161</w:t>
        </w:r>
      </w:hyperlink>
      <w:r>
        <w:t>shadow99</w:t>
      </w:r>
    </w:p>
    <w:p>
      <w:pPr>
        <w:pStyle w:val="Para 03"/>
      </w:pPr>
      <w:hyperlink r:id="rId1956">
        <w:r>
          <w:rPr>
            <w:rStyle w:val="Text1"/>
          </w:rPr>
          <w:t>PR</w:t>
        </w:r>
      </w:hyperlink>
      <w:r>
        <w:t xml:space="preserve"> thorn- Improved the ebpf.md page</w:t>
      </w:r>
    </w:p>
    <w:p>
      <w:pPr>
        <w:pStyle w:val="Para 03"/>
      </w:pPr>
      <w:hyperlink r:id="rId1956">
        <w:r>
          <w:rPr>
            <w:rStyle w:val="Text1"/>
          </w:rPr>
          <w:t>#148</w:t>
        </w:r>
      </w:hyperlink>
      <w:hyperlink r:id="rId1956">
        <w:r>
          <w:rPr>
            <w:rStyle w:val="Text9"/>
          </w:rPr>
          <w:t>1162</w:t>
        </w:r>
      </w:hyperlink>
      <w:r>
        <w:t>shadow99</w:t>
      </w:r>
    </w:p>
    <w:p>
      <w:pPr>
        <w:pStyle w:val="Para 03"/>
      </w:pPr>
      <w:hyperlink r:id="rId1957">
        <w:r>
          <w:rPr>
            <w:rStyle w:val="Text1"/>
          </w:rPr>
          <w:t>PR</w:t>
        </w:r>
      </w:hyperlink>
      <w:r>
        <w:t xml:space="preserve"> bird- Improved the introduction-to-backups.md, introduction-to-mail-</w:t>
      </w:r>
    </w:p>
    <w:p>
      <w:pPr>
        <w:pStyle w:val="Para 03"/>
      </w:pPr>
      <w:hyperlink r:id="rId1957">
        <w:r>
          <w:rPr>
            <w:rStyle w:val="Text1"/>
          </w:rPr>
          <w:t>#147</w:t>
        </w:r>
      </w:hyperlink>
      <w:hyperlink r:id="rId1957">
        <w:r>
          <w:rPr>
            <w:rStyle w:val="Text9"/>
          </w:rPr>
          <w:t>1163</w:t>
        </w:r>
      </w:hyperlink>
      <w:r>
        <w:t>stare services.md and introduction-to-virtualisation.md pages</w:t>
      </w:r>
    </w:p>
    <w:p>
      <w:pPr>
        <w:pStyle w:val="Para 03"/>
      </w:pPr>
      <w:hyperlink r:id="rId1958">
        <w:r>
          <w:rPr>
            <w:rStyle w:val="Text1"/>
          </w:rPr>
          <w:t>PR</w:t>
        </w:r>
      </w:hyperlink>
      <w:r>
        <w:t xml:space="preserve"> thorn- Improved the crypto-libraries.md page</w:t>
      </w:r>
    </w:p>
    <w:p>
      <w:pPr>
        <w:pStyle w:val="Para 03"/>
      </w:pPr>
      <w:hyperlink r:id="rId1958">
        <w:r>
          <w:rPr>
            <w:rStyle w:val="Text1"/>
          </w:rPr>
          <w:t>#146</w:t>
        </w:r>
      </w:hyperlink>
      <w:hyperlink r:id="rId1958">
        <w:r>
          <w:rPr>
            <w:rStyle w:val="Text9"/>
          </w:rPr>
          <w:t>1164</w:t>
        </w:r>
      </w:hyperlink>
      <w:r>
        <w:t>shadow99</w:t>
      </w:r>
    </w:p>
    <w:p>
      <w:pPr>
        <w:pStyle w:val="Para 03"/>
      </w:pPr>
      <w:hyperlink r:id="rId1959">
        <w:r>
          <w:rPr>
            <w:rStyle w:val="Text1"/>
          </w:rPr>
          <w:t>PR</w:t>
        </w:r>
      </w:hyperlink>
      <w:r>
        <w:t xml:space="preserve"> gregbell Improved the qemu-microvm.md page</w:t>
      </w:r>
    </w:p>
    <w:p>
      <w:pPr>
        <w:pStyle w:val="Para 22"/>
      </w:pPr>
      <w:hyperlink r:id="rId1959">
        <w:r>
          <w:t>#141</w:t>
        </w:r>
      </w:hyperlink>
      <w:hyperlink r:id="rId1959">
        <w:r>
          <w:rPr>
            <w:rStyle w:val="Text10"/>
          </w:rPr>
          <w:t>1165</w:t>
        </w:r>
      </w:hyperlink>
    </w:p>
    <w:p>
      <w:pPr>
        <w:pStyle w:val="Para 03"/>
      </w:pPr>
      <w:hyperlink r:id="rId1960">
        <w:r>
          <w:rPr>
            <w:rStyle w:val="Text1"/>
          </w:rPr>
          <w:t>PR</w:t>
        </w:r>
      </w:hyperlink>
      <w:r>
        <w:t xml:space="preserve"> bird- Substantial copyediting on the networking.md page</w:t>
      </w:r>
    </w:p>
    <w:p>
      <w:pPr>
        <w:pStyle w:val="Para 03"/>
      </w:pPr>
      <w:hyperlink r:id="rId1960">
        <w:r>
          <w:rPr>
            <w:rStyle w:val="Text1"/>
          </w:rPr>
          <w:t>#132</w:t>
        </w:r>
      </w:hyperlink>
      <w:hyperlink r:id="rId1960">
        <w:r>
          <w:rPr>
            <w:rStyle w:val="Text9"/>
          </w:rPr>
          <w:t>1166</w:t>
        </w:r>
      </w:hyperlink>
      <w:r>
        <w:t>stare</w:t>
      </w:r>
    </w:p>
    <w:p>
      <w:pPr>
        <w:pStyle w:val="Para 03"/>
      </w:pPr>
      <w:hyperlink r:id="rId1961">
        <w:r>
          <w:rPr>
            <w:rStyle w:val="Text1"/>
          </w:rPr>
          <w:t>PR</w:t>
        </w:r>
      </w:hyperlink>
      <w:r>
        <w:t xml:space="preserve"> network- Improved the ebpf.md page</w:t>
      </w:r>
    </w:p>
    <w:p>
      <w:pPr>
        <w:pStyle w:val="Para 03"/>
      </w:pPr>
      <w:hyperlink r:id="rId1961">
        <w:r>
          <w:rPr>
            <w:rStyle w:val="Text1"/>
          </w:rPr>
          <w:t>#131</w:t>
        </w:r>
      </w:hyperlink>
      <w:hyperlink r:id="rId1961">
        <w:r>
          <w:rPr>
            <w:rStyle w:val="Text9"/>
          </w:rPr>
          <w:t>1167</w:t>
        </w:r>
      </w:hyperlink>
      <w:r>
        <w:t>charles</w:t>
      </w:r>
    </w:p>
    <w:p>
      <w:pPr>
        <w:pStyle w:val="Para 03"/>
      </w:pPr>
      <w:hyperlink r:id="rId1962">
        <w:r>
          <w:rPr>
            <w:rStyle w:val="Text1"/>
          </w:rPr>
          <w:t>PR</w:t>
        </w:r>
      </w:hyperlink>
      <w:r>
        <w:t xml:space="preserve"> davidekete Converted “note” blocks into MyST admonitions (explanation section)</w:t>
      </w:r>
    </w:p>
    <w:p>
      <w:pPr>
        <w:pStyle w:val="Para 22"/>
      </w:pPr>
      <w:hyperlink r:id="rId1962">
        <w:r>
          <w:t>#123</w:t>
        </w:r>
      </w:hyperlink>
      <w:hyperlink r:id="rId1962">
        <w:r>
          <w:rPr>
            <w:rStyle w:val="Text10"/>
          </w:rPr>
          <w:t>1168</w:t>
        </w:r>
      </w:hyperlink>
    </w:p>
    <w:p>
      <w:pPr>
        <w:pStyle w:val="Para 03"/>
      </w:pPr>
      <w:hyperlink r:id="rId1963">
        <w:r>
          <w:rPr>
            <w:rStyle w:val="Text1"/>
          </w:rPr>
          <w:t>PR</w:t>
        </w:r>
      </w:hyperlink>
      <w:r>
        <w:t xml:space="preserve"> YanisaHS Improved the install-dns.md page</w:t>
      </w:r>
    </w:p>
    <w:p>
      <w:pPr>
        <w:pStyle w:val="Para 22"/>
      </w:pPr>
      <w:hyperlink r:id="rId1963">
        <w:r>
          <w:t>#122</w:t>
        </w:r>
      </w:hyperlink>
      <w:hyperlink r:id="rId1963">
        <w:r>
          <w:rPr>
            <w:rStyle w:val="Text10"/>
          </w:rPr>
          <w:t>1169</w:t>
        </w:r>
      </w:hyperlink>
    </w:p>
    <w:p>
      <w:pPr>
        <w:pStyle w:val="Para 03"/>
      </w:pPr>
      <w:hyperlink r:id="rId1964">
        <w:r>
          <w:rPr>
            <w:rStyle w:val="Text1"/>
          </w:rPr>
          <w:t>PR</w:t>
        </w:r>
      </w:hyperlink>
      <w:r>
        <w:t xml:space="preserve"> davidekete Converted “note” blocks into MyST admonitions (reference section)</w:t>
      </w:r>
    </w:p>
    <w:p>
      <w:pPr>
        <w:pStyle w:val="Para 22"/>
      </w:pPr>
      <w:hyperlink r:id="rId1964">
        <w:r>
          <w:t>#120</w:t>
        </w:r>
      </w:hyperlink>
      <w:hyperlink r:id="rId1964">
        <w:r>
          <w:rPr>
            <w:rStyle w:val="Text10"/>
          </w:rPr>
          <w:t>1170</w:t>
        </w:r>
      </w:hyperlink>
    </w:p>
    <w:p>
      <w:pPr>
        <w:pStyle w:val="Para 03"/>
      </w:pPr>
      <w:hyperlink r:id="rId1965">
        <w:r>
          <w:rPr>
            <w:rStyle w:val="Text1"/>
          </w:rPr>
          <w:t>PR</w:t>
        </w:r>
      </w:hyperlink>
      <w:r>
        <w:t xml:space="preserve"> daveedoo Improved the serve-ntp-with-chrony.md page</w:t>
      </w:r>
    </w:p>
    <w:p>
      <w:pPr>
        <w:pStyle w:val="Para 45"/>
      </w:pPr>
      <w:hyperlink r:id="rId1965">
        <w:r>
          <w:rPr>
            <w:rStyle w:val="Text8"/>
          </w:rPr>
          <w:t>#83</w:t>
        </w:r>
      </w:hyperlink>
      <w:hyperlink w:anchor="page_980">
        <w:r>
          <w:t>1171</w:t>
        </w:r>
      </w:hyperlink>
    </w:p>
    <w:p>
      <w:pPr>
        <w:pStyle w:val="Para 03"/>
      </w:pPr>
      <w:hyperlink r:id="rId1966">
        <w:r>
          <w:rPr>
            <w:rStyle w:val="Text1"/>
          </w:rPr>
          <w:t>PR</w:t>
        </w:r>
      </w:hyperlink>
      <w:r>
        <w:t xml:space="preserve"> peat- Improved the report-a-bug.md page</w:t>
      </w:r>
    </w:p>
    <w:p>
      <w:pPr>
        <w:pStyle w:val="Para 03"/>
      </w:pPr>
      <w:hyperlink r:id="rId1966">
        <w:r>
          <w:rPr>
            <w:rStyle w:val="Text1"/>
          </w:rPr>
          <w:t>#81</w:t>
        </w:r>
      </w:hyperlink>
      <w:hyperlink w:anchor="page_980">
        <w:r>
          <w:rPr>
            <w:rStyle w:val="Text9"/>
          </w:rPr>
          <w:t>1172</w:t>
        </w:r>
      </w:hyperlink>
      <w:r>
        <w:t xml:space="preserve"> psuwit</w:t>
      </w:r>
    </w:p>
    <w:p>
      <w:pPr>
        <w:pStyle w:val="Para 03"/>
      </w:pPr>
      <w:hyperlink r:id="rId1967">
        <w:r>
          <w:rPr>
            <w:rStyle w:val="Text1"/>
          </w:rPr>
          <w:t>PR</w:t>
        </w:r>
      </w:hyperlink>
      <w:r>
        <w:t xml:space="preserve"> pnhuy Improved the configur-nginx.md page</w:t>
      </w:r>
    </w:p>
    <w:p>
      <w:pPr>
        <w:pStyle w:val="Para 45"/>
      </w:pPr>
      <w:hyperlink r:id="rId1967">
        <w:r>
          <w:rPr>
            <w:rStyle w:val="Text8"/>
          </w:rPr>
          <w:t>#67</w:t>
        </w:r>
      </w:hyperlink>
      <w:hyperlink w:anchor="page_980">
        <w:r>
          <w:t>1173</w:t>
        </w:r>
      </w:hyperlink>
    </w:p>
    <w:p>
      <w:bookmarkStart w:id="1554" w:name="page_9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21" name="index-980_1.png" descr="index-980_1.png"/>
            <wp:cNvGraphicFramePr>
              <a:graphicFrameLocks noChangeAspect="1"/>
            </wp:cNvGraphicFramePr>
            <a:graphic>
              <a:graphicData uri="http://schemas.openxmlformats.org/drawingml/2006/picture">
                <pic:pic>
                  <pic:nvPicPr>
                    <pic:cNvPr id="0" name="index-980_1.png" descr="index-980_1.png"/>
                    <pic:cNvPicPr/>
                  </pic:nvPicPr>
                  <pic:blipFill>
                    <a:blip r:embed="rId1025"/>
                    <a:stretch>
                      <a:fillRect/>
                    </a:stretch>
                  </pic:blipFill>
                  <pic:spPr>
                    <a:xfrm>
                      <a:off x="0" y="0"/>
                      <a:ext cx="914400" cy="266700"/>
                    </a:xfrm>
                    <a:prstGeom prst="rect">
                      <a:avLst/>
                    </a:prstGeom>
                  </pic:spPr>
                </pic:pic>
              </a:graphicData>
            </a:graphic>
          </wp:anchor>
        </w:drawing>
      </w:r>
      <w:bookmarkEnd w:id="1554"/>
    </w:p>
    <w:p>
      <w:pPr>
        <w:pStyle w:val="Para 01"/>
      </w:pPr>
      <w:r>
        <w:t>Error fixes</w:t>
      </w:r>
    </w:p>
    <w:p>
      <w:pPr>
        <w:pStyle w:val="Para 17"/>
      </w:pPr>
      <w:r>
        <w:t/>
      </w:r>
    </w:p>
    <w:p>
      <w:pPr>
        <w:pStyle w:val="Para 03"/>
      </w:pPr>
      <w:r>
        <w:t>PR num-Contributed Contribution made</w:t>
      </w:r>
    </w:p>
    <w:p>
      <w:pPr>
        <w:pStyle w:val="Para 03"/>
      </w:pPr>
      <w:r>
        <w:t>ber by</w:t>
      </w:r>
    </w:p>
    <w:p>
      <w:pPr>
        <w:pStyle w:val="Para 03"/>
      </w:pPr>
      <w:hyperlink r:id="rId1968">
        <w:r>
          <w:rPr>
            <w:rStyle w:val="Text1"/>
          </w:rPr>
          <w:t>PR</w:t>
        </w:r>
      </w:hyperlink>
      <w:r>
        <w:t xml:space="preserve"> yukihane Corrected an error in install-openvpn.md</w:t>
      </w:r>
    </w:p>
    <w:p>
      <w:pPr>
        <w:pStyle w:val="Para 45"/>
      </w:pPr>
      <w:hyperlink r:id="rId1968">
        <w:r>
          <w:rPr>
            <w:rStyle w:val="Text8"/>
          </w:rPr>
          <w:t>#97</w:t>
        </w:r>
      </w:hyperlink>
      <w:hyperlink w:anchor="page_980">
        <w:r>
          <w:t>1174</w:t>
        </w:r>
      </w:hyperlink>
    </w:p>
    <w:p>
      <w:pPr>
        <w:pStyle w:val="Para 03"/>
      </w:pPr>
      <w:hyperlink r:id="rId1969">
        <w:r>
          <w:rPr>
            <w:rStyle w:val="Text1"/>
          </w:rPr>
          <w:t>PR</w:t>
        </w:r>
      </w:hyperlink>
      <w:r>
        <w:t xml:space="preserve"> Pexers Removed duplicate text block in peer-to-site-on-router.md</w:t>
      </w:r>
    </w:p>
    <w:p>
      <w:pPr>
        <w:pStyle w:val="Para 45"/>
      </w:pPr>
      <w:hyperlink r:id="rId1969">
        <w:r>
          <w:rPr>
            <w:rStyle w:val="Text8"/>
          </w:rPr>
          <w:t>#66</w:t>
        </w:r>
      </w:hyperlink>
      <w:hyperlink w:anchor="page_980">
        <w:r>
          <w:t>1175</w:t>
        </w:r>
      </w:hyperlink>
    </w:p>
    <w:p>
      <w:pPr>
        <w:pStyle w:val="Para 03"/>
      </w:pPr>
      <w:hyperlink r:id="rId1970">
        <w:r>
          <w:rPr>
            <w:rStyle w:val="Text1"/>
          </w:rPr>
          <w:t>PR</w:t>
        </w:r>
      </w:hyperlink>
      <w:r>
        <w:t xml:space="preserve"> sbworth Corrected an error in WireGuard VPN on-an-internal-</w:t>
      </w:r>
    </w:p>
    <w:p>
      <w:pPr>
        <w:pStyle w:val="Para 03"/>
      </w:pPr>
      <w:hyperlink r:id="rId1970">
        <w:r>
          <w:rPr>
            <w:rStyle w:val="Text1"/>
          </w:rPr>
          <w:t>#52</w:t>
        </w:r>
      </w:hyperlink>
      <w:hyperlink w:anchor="page_980">
        <w:r>
          <w:rPr>
            <w:rStyle w:val="Text9"/>
          </w:rPr>
          <w:t>1176</w:t>
        </w:r>
      </w:hyperlink>
      <w:r>
        <w:t xml:space="preserve"> system.md</w:t>
      </w:r>
    </w:p>
    <w:p>
      <w:pPr>
        <w:pStyle w:val="Para 03"/>
      </w:pPr>
      <w:hyperlink r:id="rId1971">
        <w:r>
          <w:rPr>
            <w:rStyle w:val="Text1"/>
          </w:rPr>
          <w:t>PR</w:t>
        </w:r>
      </w:hyperlink>
      <w:r>
        <w:t xml:space="preserve"> nikolas Corrected an error in install-postfix.md</w:t>
      </w:r>
    </w:p>
    <w:p>
      <w:pPr>
        <w:pStyle w:val="Para 45"/>
      </w:pPr>
      <w:hyperlink r:id="rId1971">
        <w:r>
          <w:rPr>
            <w:rStyle w:val="Text8"/>
          </w:rPr>
          <w:t>#48</w:t>
        </w:r>
      </w:hyperlink>
      <w:hyperlink w:anchor="page_980">
        <w:r>
          <w:t>1177</w:t>
        </w:r>
      </w:hyperlink>
    </w:p>
    <w:p>
      <w:pPr>
        <w:pStyle w:val="Para 17"/>
      </w:pPr>
      <w:r>
        <w:t/>
      </w:r>
    </w:p>
    <w:p>
      <w:pPr>
        <w:pStyle w:val="Para 01"/>
      </w:pPr>
      <w:r>
        <w:t>Functionality and enhancements</w:t>
      </w:r>
    </w:p>
    <w:p>
      <w:pPr>
        <w:pStyle w:val="Para 17"/>
      </w:pPr>
      <w:r>
        <w:t/>
      </w:r>
    </w:p>
    <w:p>
      <w:pPr>
        <w:pStyle w:val="Para 03"/>
      </w:pPr>
      <w:r>
        <w:t>PR number Contributed by Contribution made</w:t>
      </w:r>
    </w:p>
    <w:p>
      <w:pPr>
        <w:pStyle w:val="Para 03"/>
      </w:pPr>
      <w:hyperlink r:id="rId1972">
        <w:r>
          <w:rPr>
            <w:rStyle w:val="Text1"/>
          </w:rPr>
          <w:t>PR</w:t>
        </w:r>
      </w:hyperlink>
      <w:r>
        <w:t xml:space="preserve"> network- Added hover-over referencing functionality</w:t>
      </w:r>
    </w:p>
    <w:p>
      <w:pPr>
        <w:pStyle w:val="Para 03"/>
      </w:pPr>
      <w:hyperlink r:id="rId1972">
        <w:r>
          <w:rPr>
            <w:rStyle w:val="Text1"/>
          </w:rPr>
          <w:t>#193</w:t>
        </w:r>
      </w:hyperlink>
      <w:hyperlink r:id="rId1972">
        <w:r>
          <w:rPr>
            <w:rStyle w:val="Text9"/>
          </w:rPr>
          <w:t>1178</w:t>
        </w:r>
      </w:hyperlink>
      <w:r>
        <w:t xml:space="preserve"> charles</w:t>
      </w:r>
    </w:p>
    <w:p>
      <w:pPr>
        <w:pStyle w:val="Para 03"/>
      </w:pPr>
      <w:hyperlink r:id="rId1973">
        <w:r>
          <w:rPr>
            <w:rStyle w:val="Text1"/>
          </w:rPr>
          <w:t>PR</w:t>
        </w:r>
      </w:hyperlink>
      <w:r>
        <w:t xml:space="preserve"> activus-d Created an issue template to help readers provide better</w:t>
      </w:r>
    </w:p>
    <w:p>
      <w:pPr>
        <w:pStyle w:val="Para 03"/>
      </w:pPr>
      <w:hyperlink r:id="rId1973">
        <w:r>
          <w:rPr>
            <w:rStyle w:val="Text1"/>
          </w:rPr>
          <w:t>#116</w:t>
        </w:r>
      </w:hyperlink>
      <w:hyperlink r:id="rId1973">
        <w:r>
          <w:rPr>
            <w:rStyle w:val="Text9"/>
          </w:rPr>
          <w:t>1179</w:t>
        </w:r>
      </w:hyperlink>
      <w:r>
        <w:t xml:space="preserve"> feedback</w:t>
      </w:r>
    </w:p>
    <w:p>
      <w:pPr>
        <w:pStyle w:val="Para 03"/>
      </w:pPr>
      <w:hyperlink r:id="rId1974">
        <w:r>
          <w:rPr>
            <w:rStyle w:val="Text1"/>
          </w:rPr>
          <w:t>PR</w:t>
        </w:r>
      </w:hyperlink>
      <w:r>
        <w:t xml:space="preserve"> goodylili Created a pull request template</w:t>
      </w:r>
    </w:p>
    <w:p>
      <w:pPr>
        <w:pStyle w:val="Para 22"/>
      </w:pPr>
      <w:hyperlink r:id="rId1974">
        <w:r>
          <w:t>#112</w:t>
        </w:r>
      </w:hyperlink>
      <w:hyperlink r:id="rId1974">
        <w:r>
          <w:rPr>
            <w:rStyle w:val="Text10"/>
          </w:rPr>
          <w:t>1180</w:t>
        </w:r>
      </w:hyperlink>
    </w:p>
    <w:p>
      <w:pPr>
        <w:pStyle w:val="Para 16"/>
      </w:pPr>
      <w:r>
        <w:rPr>
          <w:rStyle w:val="Text5"/>
        </w:rPr>
        <w:t>1157</w:t>
      </w:r>
      <w:r>
        <w:rPr>
          <w:rStyle w:val="Text8"/>
        </w:rPr>
        <w:t xml:space="preserve"> </w:t>
      </w:r>
      <w:r>
        <w:t>https://github.com/canonical/ubuntu-server-documentation/pull/184</w:t>
      </w:r>
      <w:r>
        <w:rPr>
          <w:rStyle w:val="Text8"/>
        </w:rPr>
        <w:t xml:space="preserve"> </w:t>
      </w:r>
      <w:r>
        <w:rPr>
          <w:rStyle w:val="Text5"/>
        </w:rPr>
        <w:t>1158</w:t>
      </w:r>
      <w:r>
        <w:rPr>
          <w:rStyle w:val="Text8"/>
        </w:rPr>
        <w:t xml:space="preserve"> </w:t>
      </w:r>
      <w:r>
        <w:t>https://github.com/canonical/ubuntu-server-documentation/pull/183</w:t>
      </w:r>
      <w:r>
        <w:rPr>
          <w:rStyle w:val="Text8"/>
        </w:rPr>
        <w:t xml:space="preserve"> </w:t>
      </w:r>
      <w:r>
        <w:rPr>
          <w:rStyle w:val="Text5"/>
        </w:rPr>
        <w:t>1159</w:t>
      </w:r>
      <w:r>
        <w:rPr>
          <w:rStyle w:val="Text8"/>
        </w:rPr>
        <w:t xml:space="preserve"> </w:t>
      </w:r>
      <w:r>
        <w:t>https://github.com/canonical/ubuntu-server-documentation/pull/167</w:t>
      </w:r>
      <w:r>
        <w:rPr>
          <w:rStyle w:val="Text8"/>
        </w:rPr>
        <w:t xml:space="preserve"> </w:t>
      </w:r>
      <w:r>
        <w:rPr>
          <w:rStyle w:val="Text5"/>
        </w:rPr>
        <w:t>1160</w:t>
      </w:r>
      <w:r>
        <w:rPr>
          <w:rStyle w:val="Text8"/>
        </w:rPr>
        <w:t xml:space="preserve"> </w:t>
      </w:r>
      <w:r>
        <w:t>https://github.com/canonical/ubuntu-server-documentation/pull/155</w:t>
      </w:r>
      <w:r>
        <w:rPr>
          <w:rStyle w:val="Text8"/>
        </w:rPr>
        <w:t xml:space="preserve"> </w:t>
      </w:r>
      <w:r>
        <w:rPr>
          <w:rStyle w:val="Text5"/>
        </w:rPr>
        <w:t>1161</w:t>
      </w:r>
      <w:r>
        <w:rPr>
          <w:rStyle w:val="Text8"/>
        </w:rPr>
        <w:t xml:space="preserve"> </w:t>
      </w:r>
      <w:r>
        <w:t>https://github.com/canonical/ubuntu-server-documentation/pull/149</w:t>
      </w:r>
      <w:r>
        <w:rPr>
          <w:rStyle w:val="Text8"/>
        </w:rPr>
        <w:t xml:space="preserve"> </w:t>
      </w:r>
      <w:r>
        <w:rPr>
          <w:rStyle w:val="Text5"/>
        </w:rPr>
        <w:t>1162</w:t>
      </w:r>
      <w:r>
        <w:rPr>
          <w:rStyle w:val="Text8"/>
        </w:rPr>
        <w:t xml:space="preserve"> </w:t>
      </w:r>
      <w:r>
        <w:t>https://github.com/canonical/ubuntu-server-documentation/pull/148</w:t>
      </w:r>
      <w:r>
        <w:rPr>
          <w:rStyle w:val="Text8"/>
        </w:rPr>
        <w:t xml:space="preserve"> </w:t>
      </w:r>
      <w:r>
        <w:rPr>
          <w:rStyle w:val="Text5"/>
        </w:rPr>
        <w:t>1163</w:t>
      </w:r>
      <w:r>
        <w:rPr>
          <w:rStyle w:val="Text8"/>
        </w:rPr>
        <w:t xml:space="preserve"> </w:t>
      </w:r>
      <w:r>
        <w:t>https://github.com/canonical/ubuntu-server-documentation/pull/147</w:t>
      </w:r>
      <w:r>
        <w:rPr>
          <w:rStyle w:val="Text8"/>
        </w:rPr>
        <w:t xml:space="preserve"> </w:t>
      </w:r>
      <w:r>
        <w:rPr>
          <w:rStyle w:val="Text5"/>
        </w:rPr>
        <w:t>1164</w:t>
      </w:r>
      <w:r>
        <w:rPr>
          <w:rStyle w:val="Text8"/>
        </w:rPr>
        <w:t xml:space="preserve"> </w:t>
      </w:r>
      <w:r>
        <w:t>https://github.com/canonical/ubuntu-server-documentation/pull/146</w:t>
      </w:r>
      <w:r>
        <w:rPr>
          <w:rStyle w:val="Text8"/>
        </w:rPr>
        <w:t xml:space="preserve"> </w:t>
      </w:r>
      <w:r>
        <w:rPr>
          <w:rStyle w:val="Text5"/>
        </w:rPr>
        <w:t>1165</w:t>
      </w:r>
      <w:r>
        <w:rPr>
          <w:rStyle w:val="Text8"/>
        </w:rPr>
        <w:t xml:space="preserve"> </w:t>
      </w:r>
      <w:r>
        <w:t>https://github.com/canonical/ubuntu-server-documentation/pull/141</w:t>
      </w:r>
      <w:r>
        <w:rPr>
          <w:rStyle w:val="Text8"/>
        </w:rPr>
        <w:t xml:space="preserve"> </w:t>
      </w:r>
      <w:r>
        <w:rPr>
          <w:rStyle w:val="Text5"/>
        </w:rPr>
        <w:t>1166</w:t>
      </w:r>
      <w:r>
        <w:rPr>
          <w:rStyle w:val="Text8"/>
        </w:rPr>
        <w:t xml:space="preserve"> </w:t>
      </w:r>
      <w:r>
        <w:t>https://github.com/canonical/ubuntu-server-documentation/pull/132</w:t>
      </w:r>
      <w:r>
        <w:rPr>
          <w:rStyle w:val="Text8"/>
        </w:rPr>
        <w:t xml:space="preserve"> </w:t>
      </w:r>
      <w:r>
        <w:rPr>
          <w:rStyle w:val="Text5"/>
        </w:rPr>
        <w:t>1167</w:t>
      </w:r>
      <w:r>
        <w:rPr>
          <w:rStyle w:val="Text8"/>
        </w:rPr>
        <w:t xml:space="preserve"> </w:t>
      </w:r>
      <w:r>
        <w:t>https://github.com/canonical/ubuntu-server-documentation/pull/131</w:t>
      </w:r>
      <w:r>
        <w:rPr>
          <w:rStyle w:val="Text8"/>
        </w:rPr>
        <w:t xml:space="preserve"> </w:t>
      </w:r>
      <w:r>
        <w:rPr>
          <w:rStyle w:val="Text5"/>
        </w:rPr>
        <w:t>1168</w:t>
      </w:r>
      <w:r>
        <w:rPr>
          <w:rStyle w:val="Text8"/>
        </w:rPr>
        <w:t xml:space="preserve"> </w:t>
      </w:r>
      <w:r>
        <w:t>https://github.com/canonical/ubuntu-server-documentation/pull/123</w:t>
      </w:r>
      <w:r>
        <w:rPr>
          <w:rStyle w:val="Text8"/>
        </w:rPr>
        <w:t xml:space="preserve"> </w:t>
      </w:r>
      <w:r>
        <w:rPr>
          <w:rStyle w:val="Text5"/>
        </w:rPr>
        <w:t>1169</w:t>
      </w:r>
      <w:r>
        <w:rPr>
          <w:rStyle w:val="Text8"/>
        </w:rPr>
        <w:t xml:space="preserve"> </w:t>
      </w:r>
      <w:r>
        <w:t>https://github.com/canonical/ubuntu-server-documentation/pull/122</w:t>
      </w:r>
      <w:r>
        <w:rPr>
          <w:rStyle w:val="Text8"/>
        </w:rPr>
        <w:t xml:space="preserve"> </w:t>
      </w:r>
      <w:r>
        <w:rPr>
          <w:rStyle w:val="Text5"/>
        </w:rPr>
        <w:t>1170</w:t>
      </w:r>
      <w:r>
        <w:rPr>
          <w:rStyle w:val="Text8"/>
        </w:rPr>
        <w:t xml:space="preserve"> </w:t>
      </w:r>
      <w:r>
        <w:t>https://github.com/canonical/ubuntu-server-documentation/pull/120</w:t>
      </w:r>
      <w:r>
        <w:rPr>
          <w:rStyle w:val="Text8"/>
        </w:rPr>
        <w:t xml:space="preserve"> </w:t>
      </w:r>
      <w:r>
        <w:rPr>
          <w:rStyle w:val="Text5"/>
        </w:rPr>
        <w:t>1171</w:t>
      </w:r>
      <w:r>
        <w:rPr>
          <w:rStyle w:val="Text8"/>
        </w:rPr>
        <w:t xml:space="preserve"> </w:t>
      </w:r>
      <w:r>
        <w:t>https://github.com/canonical/ubuntu-server-documentation/pull/83</w:t>
      </w:r>
      <w:r>
        <w:rPr>
          <w:rStyle w:val="Text8"/>
        </w:rPr>
        <w:t xml:space="preserve"> </w:t>
      </w:r>
      <w:r>
        <w:rPr>
          <w:rStyle w:val="Text5"/>
        </w:rPr>
        <w:t>1172</w:t>
      </w:r>
      <w:r>
        <w:rPr>
          <w:rStyle w:val="Text8"/>
        </w:rPr>
        <w:t xml:space="preserve"> </w:t>
      </w:r>
      <w:r>
        <w:t>https://github.com/canonical/ubuntu-server-documentation/pull/81</w:t>
      </w:r>
      <w:r>
        <w:rPr>
          <w:rStyle w:val="Text8"/>
        </w:rPr>
        <w:t xml:space="preserve"> </w:t>
      </w:r>
      <w:r>
        <w:rPr>
          <w:rStyle w:val="Text5"/>
        </w:rPr>
        <w:t>1173</w:t>
      </w:r>
      <w:r>
        <w:rPr>
          <w:rStyle w:val="Text8"/>
        </w:rPr>
        <w:t xml:space="preserve"> </w:t>
      </w:r>
      <w:r>
        <w:t>https://github.com/canonical/ubuntu-server-documentation/pull/67</w:t>
      </w:r>
      <w:r>
        <w:rPr>
          <w:rStyle w:val="Text8"/>
        </w:rPr>
        <w:t xml:space="preserve"> </w:t>
      </w:r>
      <w:r>
        <w:rPr>
          <w:rStyle w:val="Text5"/>
        </w:rPr>
        <w:t>1174</w:t>
      </w:r>
      <w:r>
        <w:rPr>
          <w:rStyle w:val="Text8"/>
        </w:rPr>
        <w:t xml:space="preserve"> </w:t>
      </w:r>
      <w:r>
        <w:t>https://github.com/canonical/ubuntu-server-documentation/pull/97</w:t>
      </w:r>
      <w:r>
        <w:rPr>
          <w:rStyle w:val="Text8"/>
        </w:rPr>
        <w:t xml:space="preserve"> </w:t>
      </w:r>
      <w:r>
        <w:rPr>
          <w:rStyle w:val="Text5"/>
        </w:rPr>
        <w:t>1175</w:t>
      </w:r>
      <w:r>
        <w:rPr>
          <w:rStyle w:val="Text8"/>
        </w:rPr>
        <w:t xml:space="preserve"> </w:t>
      </w:r>
      <w:r>
        <w:t>https://github.com/canonical/ubuntu-server-documentation/pull/66</w:t>
      </w:r>
      <w:r>
        <w:rPr>
          <w:rStyle w:val="Text8"/>
        </w:rPr>
        <w:t xml:space="preserve"> </w:t>
      </w:r>
      <w:r>
        <w:rPr>
          <w:rStyle w:val="Text5"/>
        </w:rPr>
        <w:t>1176</w:t>
      </w:r>
      <w:r>
        <w:rPr>
          <w:rStyle w:val="Text8"/>
        </w:rPr>
        <w:t xml:space="preserve"> </w:t>
      </w:r>
      <w:r>
        <w:t>https://github.com/canonical/ubuntu-server-documentation/pull/52</w:t>
      </w:r>
      <w:r>
        <w:rPr>
          <w:rStyle w:val="Text8"/>
        </w:rPr>
        <w:t xml:space="preserve"> </w:t>
      </w:r>
      <w:r>
        <w:rPr>
          <w:rStyle w:val="Text5"/>
        </w:rPr>
        <w:t>1177</w:t>
      </w:r>
      <w:r>
        <w:rPr>
          <w:rStyle w:val="Text8"/>
        </w:rPr>
        <w:t xml:space="preserve"> </w:t>
      </w:r>
      <w:r>
        <w:t>https://github.com/canonical/ubuntu-server-documentation/pull/48</w:t>
      </w:r>
    </w:p>
    <w:p>
      <w:bookmarkStart w:id="1555" w:name="page_9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22" name="index-981_1.png" descr="index-981_1.png"/>
            <wp:cNvGraphicFramePr>
              <a:graphicFrameLocks noChangeAspect="1"/>
            </wp:cNvGraphicFramePr>
            <a:graphic>
              <a:graphicData uri="http://schemas.openxmlformats.org/drawingml/2006/picture">
                <pic:pic>
                  <pic:nvPicPr>
                    <pic:cNvPr id="0" name="index-981_1.png" descr="index-981_1.png"/>
                    <pic:cNvPicPr/>
                  </pic:nvPicPr>
                  <pic:blipFill>
                    <a:blip r:embed="rId1026"/>
                    <a:stretch>
                      <a:fillRect/>
                    </a:stretch>
                  </pic:blipFill>
                  <pic:spPr>
                    <a:xfrm>
                      <a:off x="0" y="0"/>
                      <a:ext cx="914400" cy="266700"/>
                    </a:xfrm>
                    <a:prstGeom prst="rect">
                      <a:avLst/>
                    </a:prstGeom>
                  </pic:spPr>
                </pic:pic>
              </a:graphicData>
            </a:graphic>
          </wp:anchor>
        </w:drawing>
      </w:r>
      <w:bookmarkEnd w:id="1555"/>
    </w:p>
    <w:p>
      <w:pPr>
        <w:pStyle w:val="Para 01"/>
      </w:pPr>
      <w:r>
        <w:t>Glossary</w:t>
      </w:r>
    </w:p>
    <w:p>
      <w:pPr>
        <w:pStyle w:val="Para 17"/>
      </w:pPr>
      <w:r>
        <w:t/>
      </w:r>
    </w:p>
    <w:p>
      <w:pPr>
        <w:pStyle w:val="Para 06"/>
      </w:pPr>
      <w:r>
        <w:t>PR number Contributed by Contribution made</w:t>
      </w:r>
    </w:p>
    <w:p>
      <w:pPr>
        <w:pStyle w:val="Para 06"/>
      </w:pPr>
      <w:hyperlink r:id="rId1975">
        <w:r>
          <w:rPr>
            <w:rStyle w:val="Text1"/>
          </w:rPr>
          <w:t>PR #194</w:t>
        </w:r>
      </w:hyperlink>
      <w:r>
        <w:t xml:space="preserve"> </w:t>
      </w:r>
      <w:hyperlink w:anchor="page_982">
        <w:r>
          <w:rPr>
            <w:rStyle w:val="Text9"/>
          </w:rPr>
          <w:t>1181</w:t>
        </w:r>
      </w:hyperlink>
      <w:r>
        <w:t xml:space="preserve"> network- Contributed terms to the glossary</w:t>
      </w:r>
    </w:p>
    <w:p>
      <w:pPr>
        <w:pStyle w:val="Para 36"/>
      </w:pPr>
      <w:r>
        <w:t>charles</w:t>
      </w:r>
    </w:p>
    <w:p>
      <w:pPr>
        <w:pStyle w:val="Para 06"/>
      </w:pPr>
      <w:hyperlink r:id="rId1976">
        <w:r>
          <w:rPr>
            <w:rStyle w:val="Text1"/>
          </w:rPr>
          <w:t>PR #187</w:t>
        </w:r>
      </w:hyperlink>
      <w:r>
        <w:t xml:space="preserve"> </w:t>
      </w:r>
      <w:hyperlink w:anchor="page_982">
        <w:r>
          <w:rPr>
            <w:rStyle w:val="Text9"/>
          </w:rPr>
          <w:t>1182</w:t>
        </w:r>
      </w:hyperlink>
      <w:r>
        <w:t xml:space="preserve"> network- Contributed terms to the glossary</w:t>
      </w:r>
    </w:p>
    <w:p>
      <w:pPr>
        <w:pStyle w:val="Para 36"/>
      </w:pPr>
      <w:r>
        <w:t>charles</w:t>
      </w:r>
    </w:p>
    <w:p>
      <w:pPr>
        <w:pStyle w:val="Para 06"/>
      </w:pPr>
      <w:hyperlink r:id="rId1977">
        <w:r>
          <w:rPr>
            <w:rStyle w:val="Text1"/>
          </w:rPr>
          <w:t>PR #186</w:t>
        </w:r>
      </w:hyperlink>
      <w:r>
        <w:t xml:space="preserve"> </w:t>
      </w:r>
      <w:hyperlink w:anchor="page_982">
        <w:r>
          <w:rPr>
            <w:rStyle w:val="Text9"/>
          </w:rPr>
          <w:t>1183</w:t>
        </w:r>
      </w:hyperlink>
      <w:r>
        <w:t xml:space="preserve"> network- Contributed terms to the glossary</w:t>
      </w:r>
    </w:p>
    <w:p>
      <w:pPr>
        <w:pStyle w:val="Para 36"/>
      </w:pPr>
      <w:r>
        <w:t>charles</w:t>
      </w:r>
    </w:p>
    <w:p>
      <w:pPr>
        <w:pStyle w:val="Para 06"/>
      </w:pPr>
      <w:hyperlink r:id="rId1978">
        <w:r>
          <w:rPr>
            <w:rStyle w:val="Text1"/>
          </w:rPr>
          <w:t>PR #185</w:t>
        </w:r>
      </w:hyperlink>
      <w:r>
        <w:t xml:space="preserve"> </w:t>
      </w:r>
      <w:hyperlink w:anchor="page_982">
        <w:r>
          <w:rPr>
            <w:rStyle w:val="Text9"/>
          </w:rPr>
          <w:t>1184</w:t>
        </w:r>
      </w:hyperlink>
      <w:r>
        <w:t xml:space="preserve"> network- Contributed terms to the glossary</w:t>
      </w:r>
    </w:p>
    <w:p>
      <w:pPr>
        <w:pStyle w:val="Para 36"/>
      </w:pPr>
      <w:r>
        <w:t>charles</w:t>
      </w:r>
    </w:p>
    <w:p>
      <w:pPr>
        <w:pStyle w:val="Para 06"/>
      </w:pPr>
      <w:hyperlink r:id="rId1979">
        <w:r>
          <w:rPr>
            <w:rStyle w:val="Text1"/>
          </w:rPr>
          <w:t>PR #182</w:t>
        </w:r>
      </w:hyperlink>
      <w:r>
        <w:t xml:space="preserve"> </w:t>
      </w:r>
      <w:hyperlink w:anchor="page_982">
        <w:r>
          <w:rPr>
            <w:rStyle w:val="Text9"/>
          </w:rPr>
          <w:t>1185</w:t>
        </w:r>
      </w:hyperlink>
      <w:r>
        <w:t xml:space="preserve"> network- Contributed terms to the glossary</w:t>
      </w:r>
    </w:p>
    <w:p>
      <w:pPr>
        <w:pStyle w:val="Para 36"/>
      </w:pPr>
      <w:r>
        <w:t>charles</w:t>
      </w:r>
    </w:p>
    <w:p>
      <w:pPr>
        <w:pStyle w:val="Para 06"/>
      </w:pPr>
      <w:hyperlink r:id="rId1980">
        <w:r>
          <w:rPr>
            <w:rStyle w:val="Text1"/>
          </w:rPr>
          <w:t>PR #174</w:t>
        </w:r>
      </w:hyperlink>
      <w:r>
        <w:t xml:space="preserve"> </w:t>
      </w:r>
      <w:hyperlink w:anchor="page_982">
        <w:r>
          <w:rPr>
            <w:rStyle w:val="Text9"/>
          </w:rPr>
          <w:t>1186</w:t>
        </w:r>
      </w:hyperlink>
      <w:r>
        <w:t xml:space="preserve"> network- Contributed terms to the glossary</w:t>
      </w:r>
    </w:p>
    <w:p>
      <w:pPr>
        <w:pStyle w:val="Para 36"/>
      </w:pPr>
      <w:r>
        <w:t>charles</w:t>
      </w:r>
    </w:p>
    <w:p>
      <w:pPr>
        <w:pStyle w:val="Para 06"/>
      </w:pPr>
      <w:hyperlink r:id="rId1981">
        <w:r>
          <w:rPr>
            <w:rStyle w:val="Text1"/>
          </w:rPr>
          <w:t>PR #162</w:t>
        </w:r>
      </w:hyperlink>
      <w:r>
        <w:t xml:space="preserve"> </w:t>
      </w:r>
      <w:hyperlink w:anchor="page_982">
        <w:r>
          <w:rPr>
            <w:rStyle w:val="Text9"/>
          </w:rPr>
          <w:t>1187</w:t>
        </w:r>
      </w:hyperlink>
      <w:r>
        <w:t xml:space="preserve"> network- Contributed terms to the glossary</w:t>
      </w:r>
    </w:p>
    <w:p>
      <w:pPr>
        <w:pStyle w:val="Para 36"/>
      </w:pPr>
      <w:r>
        <w:t>charles</w:t>
      </w:r>
    </w:p>
    <w:p>
      <w:pPr>
        <w:pStyle w:val="Para 06"/>
      </w:pPr>
      <w:hyperlink r:id="rId1982">
        <w:r>
          <w:rPr>
            <w:rStyle w:val="Text1"/>
          </w:rPr>
          <w:t>PR #161</w:t>
        </w:r>
      </w:hyperlink>
      <w:r>
        <w:t xml:space="preserve"> </w:t>
      </w:r>
      <w:hyperlink w:anchor="page_982">
        <w:r>
          <w:rPr>
            <w:rStyle w:val="Text9"/>
          </w:rPr>
          <w:t>1188</w:t>
        </w:r>
      </w:hyperlink>
      <w:r>
        <w:t xml:space="preserve"> kaushikjayant Contributed terms to the glossary</w:t>
      </w:r>
    </w:p>
    <w:p>
      <w:pPr>
        <w:pStyle w:val="Para 06"/>
      </w:pPr>
      <w:hyperlink r:id="rId1983">
        <w:r>
          <w:rPr>
            <w:rStyle w:val="Text1"/>
          </w:rPr>
          <w:t>PR #160</w:t>
        </w:r>
      </w:hyperlink>
      <w:r>
        <w:t xml:space="preserve"> </w:t>
      </w:r>
      <w:hyperlink w:anchor="page_982">
        <w:r>
          <w:rPr>
            <w:rStyle w:val="Text9"/>
          </w:rPr>
          <w:t>1189</w:t>
        </w:r>
      </w:hyperlink>
      <w:r>
        <w:t xml:space="preserve"> network- Contributed terms to the glossary</w:t>
      </w:r>
    </w:p>
    <w:p>
      <w:pPr>
        <w:pStyle w:val="Para 36"/>
      </w:pPr>
      <w:r>
        <w:t>charles</w:t>
      </w:r>
    </w:p>
    <w:p>
      <w:pPr>
        <w:pStyle w:val="Para 06"/>
      </w:pPr>
      <w:hyperlink r:id="rId1984">
        <w:r>
          <w:rPr>
            <w:rStyle w:val="Text1"/>
          </w:rPr>
          <w:t>PR #159</w:t>
        </w:r>
      </w:hyperlink>
      <w:r>
        <w:t xml:space="preserve"> </w:t>
      </w:r>
      <w:hyperlink w:anchor="page_982">
        <w:r>
          <w:rPr>
            <w:rStyle w:val="Text9"/>
          </w:rPr>
          <w:t>1190</w:t>
        </w:r>
      </w:hyperlink>
      <w:r>
        <w:t xml:space="preserve"> network- Contributed terms to the glossary</w:t>
      </w:r>
    </w:p>
    <w:p>
      <w:pPr>
        <w:pStyle w:val="Para 36"/>
      </w:pPr>
      <w:r>
        <w:t>charles</w:t>
      </w:r>
    </w:p>
    <w:p>
      <w:pPr>
        <w:pStyle w:val="Para 06"/>
      </w:pPr>
      <w:hyperlink r:id="rId1985">
        <w:r>
          <w:rPr>
            <w:rStyle w:val="Text1"/>
          </w:rPr>
          <w:t>PR #158</w:t>
        </w:r>
      </w:hyperlink>
      <w:r>
        <w:t xml:space="preserve"> </w:t>
      </w:r>
      <w:hyperlink w:anchor="page_982">
        <w:r>
          <w:rPr>
            <w:rStyle w:val="Text9"/>
          </w:rPr>
          <w:t>1191</w:t>
        </w:r>
      </w:hyperlink>
      <w:r>
        <w:t xml:space="preserve"> network- Contributed terms to the glossary</w:t>
      </w:r>
    </w:p>
    <w:p>
      <w:pPr>
        <w:pStyle w:val="Para 36"/>
      </w:pPr>
      <w:r>
        <w:t>charles</w:t>
      </w:r>
    </w:p>
    <w:p>
      <w:pPr>
        <w:pStyle w:val="Para 06"/>
      </w:pPr>
      <w:hyperlink r:id="rId1986">
        <w:r>
          <w:rPr>
            <w:rStyle w:val="Text1"/>
          </w:rPr>
          <w:t>PR #156</w:t>
        </w:r>
      </w:hyperlink>
      <w:r>
        <w:t xml:space="preserve"> </w:t>
      </w:r>
      <w:hyperlink w:anchor="page_982">
        <w:r>
          <w:rPr>
            <w:rStyle w:val="Text9"/>
          </w:rPr>
          <w:t>1192</w:t>
        </w:r>
      </w:hyperlink>
      <w:r>
        <w:t xml:space="preserve"> network- Contributed terms to the glossary</w:t>
      </w:r>
    </w:p>
    <w:p>
      <w:pPr>
        <w:pStyle w:val="Para 36"/>
      </w:pPr>
      <w:r>
        <w:t>charles</w:t>
      </w:r>
    </w:p>
    <w:p>
      <w:pPr>
        <w:pStyle w:val="Para 06"/>
      </w:pPr>
      <w:hyperlink r:id="rId1987">
        <w:r>
          <w:rPr>
            <w:rStyle w:val="Text1"/>
          </w:rPr>
          <w:t>PR #152</w:t>
        </w:r>
      </w:hyperlink>
      <w:r>
        <w:t xml:space="preserve"> </w:t>
      </w:r>
      <w:hyperlink w:anchor="page_982">
        <w:r>
          <w:rPr>
            <w:rStyle w:val="Text9"/>
          </w:rPr>
          <w:t>1193</w:t>
        </w:r>
      </w:hyperlink>
      <w:r>
        <w:t xml:space="preserve"> Ibom99 Contributed “J” terms to the glossary</w:t>
      </w:r>
    </w:p>
    <w:p>
      <w:pPr>
        <w:pStyle w:val="Para 06"/>
      </w:pPr>
      <w:hyperlink r:id="rId1988">
        <w:r>
          <w:rPr>
            <w:rStyle w:val="Text1"/>
          </w:rPr>
          <w:t>PR #134</w:t>
        </w:r>
      </w:hyperlink>
      <w:r>
        <w:t xml:space="preserve"> </w:t>
      </w:r>
      <w:hyperlink w:anchor="page_982">
        <w:r>
          <w:rPr>
            <w:rStyle w:val="Text9"/>
          </w:rPr>
          <w:t>1194</w:t>
        </w:r>
      </w:hyperlink>
      <w:r>
        <w:t xml:space="preserve"> RomainDusi Contributed terms to the glossary</w:t>
      </w:r>
    </w:p>
    <w:p>
      <w:pPr>
        <w:pStyle w:val="Para 06"/>
      </w:pPr>
      <w:hyperlink r:id="rId1989">
        <w:r>
          <w:rPr>
            <w:rStyle w:val="Text1"/>
          </w:rPr>
          <w:t>PR #124</w:t>
        </w:r>
      </w:hyperlink>
      <w:r>
        <w:t xml:space="preserve"> </w:t>
      </w:r>
      <w:hyperlink w:anchor="page_982">
        <w:r>
          <w:rPr>
            <w:rStyle w:val="Text9"/>
          </w:rPr>
          <w:t>1195</w:t>
        </w:r>
      </w:hyperlink>
      <w:r>
        <w:t xml:space="preserve"> activus-d Added the glossary page and functionality</w:t>
      </w:r>
    </w:p>
    <w:p>
      <w:pPr>
        <w:pStyle w:val="Para 16"/>
      </w:pPr>
      <w:r>
        <w:rPr>
          <w:rStyle w:val="Text5"/>
        </w:rPr>
        <w:t>1178</w:t>
      </w:r>
      <w:r>
        <w:rPr>
          <w:rStyle w:val="Text8"/>
        </w:rPr>
        <w:t xml:space="preserve"> </w:t>
      </w:r>
      <w:r>
        <w:t>https://github.com/canonical/ubuntu-server-documentation/pull/193</w:t>
      </w:r>
      <w:r>
        <w:rPr>
          <w:rStyle w:val="Text8"/>
        </w:rPr>
        <w:t xml:space="preserve"> </w:t>
      </w:r>
      <w:r>
        <w:rPr>
          <w:rStyle w:val="Text5"/>
        </w:rPr>
        <w:t>1179</w:t>
      </w:r>
      <w:r>
        <w:rPr>
          <w:rStyle w:val="Text8"/>
        </w:rPr>
        <w:t xml:space="preserve"> </w:t>
      </w:r>
      <w:r>
        <w:t>https://github.com/canonical/ubuntu-server-documentation/pull/116</w:t>
      </w:r>
      <w:r>
        <w:rPr>
          <w:rStyle w:val="Text8"/>
        </w:rPr>
        <w:t xml:space="preserve"> </w:t>
      </w:r>
      <w:r>
        <w:rPr>
          <w:rStyle w:val="Text5"/>
        </w:rPr>
        <w:t>1180</w:t>
      </w:r>
      <w:r>
        <w:rPr>
          <w:rStyle w:val="Text8"/>
        </w:rPr>
        <w:t xml:space="preserve"> </w:t>
      </w:r>
      <w:r>
        <w:t>https://github.com/canonical/ubuntu-server-documentation/pull/112</w:t>
      </w:r>
    </w:p>
    <w:p>
      <w:bookmarkStart w:id="1556" w:name="calibre_pb_287"/>
      <w:pPr>
        <w:pStyle w:val="0 Block"/>
      </w:pPr>
      <w:bookmarkEnd w:id="1556"/>
    </w:p>
    <w:p>
      <w:bookmarkStart w:id="1557" w:name="page_982"/>
      <w:bookmarkStart w:id="1558" w:name="Top_of_index_split_288_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266700"/>
            <wp:effectExtent l="0" r="0" t="0" b="0"/>
            <wp:wrapTopAndBottom/>
            <wp:docPr id="1023" name="index-982_1.png" descr="index-982_1.png"/>
            <wp:cNvGraphicFramePr>
              <a:graphicFrameLocks noChangeAspect="1"/>
            </wp:cNvGraphicFramePr>
            <a:graphic>
              <a:graphicData uri="http://schemas.openxmlformats.org/drawingml/2006/picture">
                <pic:pic>
                  <pic:nvPicPr>
                    <pic:cNvPr id="0" name="index-982_1.png" descr="index-982_1.png"/>
                    <pic:cNvPicPr/>
                  </pic:nvPicPr>
                  <pic:blipFill>
                    <a:blip r:embed="rId1027"/>
                    <a:stretch>
                      <a:fillRect/>
                    </a:stretch>
                  </pic:blipFill>
                  <pic:spPr>
                    <a:xfrm>
                      <a:off x="0" y="0"/>
                      <a:ext cx="914400" cy="266700"/>
                    </a:xfrm>
                    <a:prstGeom prst="rect">
                      <a:avLst/>
                    </a:prstGeom>
                  </pic:spPr>
                </pic:pic>
              </a:graphicData>
            </a:graphic>
          </wp:anchor>
        </w:drawing>
      </w:r>
      <w:bookmarkEnd w:id="1557"/>
      <w:bookmarkEnd w:id="1558"/>
    </w:p>
    <w:p>
      <w:pPr>
        <w:pStyle w:val="Para 01"/>
      </w:pPr>
      <w:r>
        <w:t>PDF improvements</w:t>
      </w:r>
    </w:p>
    <w:p>
      <w:pPr>
        <w:pStyle w:val="Para 17"/>
      </w:pPr>
      <w:r>
        <w:t/>
      </w:r>
    </w:p>
    <w:p>
      <w:pPr>
        <w:pStyle w:val="Para 11"/>
      </w:pPr>
      <w:r>
        <w:t>PR number Contributed by Contribution made</w:t>
      </w:r>
    </w:p>
    <w:p>
      <w:pPr>
        <w:pStyle w:val="Para 11"/>
      </w:pPr>
      <w:hyperlink r:id="rId1990">
        <w:r>
          <w:rPr>
            <w:rStyle w:val="Text1"/>
          </w:rPr>
          <w:t xml:space="preserve">PR #10 </w:t>
        </w:r>
      </w:hyperlink>
      <w:hyperlink r:id="rId1990">
        <w:r>
          <w:rPr>
            <w:rStyle w:val="Text9"/>
          </w:rPr>
          <w:t>1196</w:t>
        </w:r>
      </w:hyperlink>
      <w:r>
        <w:t xml:space="preserve"> SecondSkoll Added the ability to build the PDF locally</w:t>
      </w:r>
    </w:p>
    <w:p>
      <w:pPr>
        <w:pStyle w:val="Para 11"/>
      </w:pPr>
      <w:hyperlink r:id="rId1991">
        <w:r>
          <w:rPr>
            <w:rStyle w:val="Text1"/>
          </w:rPr>
          <w:t>PR #9</w:t>
        </w:r>
      </w:hyperlink>
      <w:hyperlink w:anchor="page_982">
        <w:r>
          <w:rPr>
            <w:rStyle w:val="Text9"/>
          </w:rPr>
          <w:t>1197</w:t>
        </w:r>
      </w:hyperlink>
      <w:r>
        <w:t xml:space="preserve"> SecondSkoll Fixed our PDF build issues</w:t>
      </w:r>
    </w:p>
    <w:p>
      <w:pPr>
        <w:pStyle w:val="Para 17"/>
      </w:pPr>
      <w:r>
        <w:t/>
      </w:r>
    </w:p>
    <w:p>
      <w:pPr>
        <w:pStyle w:val="Para 16"/>
      </w:pPr>
      <w:r>
        <w:rPr>
          <w:rStyle w:val="Text5"/>
        </w:rPr>
        <w:t>1181</w:t>
      </w:r>
      <w:r>
        <w:rPr>
          <w:rStyle w:val="Text8"/>
        </w:rPr>
        <w:t xml:space="preserve"> </w:t>
      </w:r>
      <w:r>
        <w:t>https://github.com/canonical/ubuntu-server-documentation/pull/194</w:t>
      </w:r>
      <w:r>
        <w:rPr>
          <w:rStyle w:val="Text8"/>
        </w:rPr>
        <w:t xml:space="preserve"> </w:t>
      </w:r>
      <w:r>
        <w:rPr>
          <w:rStyle w:val="Text5"/>
        </w:rPr>
        <w:t>1182</w:t>
      </w:r>
      <w:r>
        <w:rPr>
          <w:rStyle w:val="Text8"/>
        </w:rPr>
        <w:t xml:space="preserve"> </w:t>
      </w:r>
      <w:r>
        <w:t>https://github.com/canonical/ubuntu-server-documentation/pull/187</w:t>
      </w:r>
      <w:r>
        <w:rPr>
          <w:rStyle w:val="Text8"/>
        </w:rPr>
        <w:t xml:space="preserve"> </w:t>
      </w:r>
      <w:r>
        <w:rPr>
          <w:rStyle w:val="Text5"/>
        </w:rPr>
        <w:t>1183</w:t>
      </w:r>
      <w:r>
        <w:rPr>
          <w:rStyle w:val="Text8"/>
        </w:rPr>
        <w:t xml:space="preserve"> </w:t>
      </w:r>
      <w:r>
        <w:t>https://github.com/canonical/ubuntu-server-documentation/pull/186</w:t>
      </w:r>
      <w:r>
        <w:rPr>
          <w:rStyle w:val="Text8"/>
        </w:rPr>
        <w:t xml:space="preserve"> </w:t>
      </w:r>
      <w:r>
        <w:rPr>
          <w:rStyle w:val="Text5"/>
        </w:rPr>
        <w:t>1184</w:t>
      </w:r>
      <w:r>
        <w:rPr>
          <w:rStyle w:val="Text8"/>
        </w:rPr>
        <w:t xml:space="preserve"> </w:t>
      </w:r>
      <w:r>
        <w:t>https://github.com/canonical/ubuntu-server-documentation/pull/185</w:t>
      </w:r>
      <w:r>
        <w:rPr>
          <w:rStyle w:val="Text8"/>
        </w:rPr>
        <w:t xml:space="preserve"> </w:t>
      </w:r>
      <w:r>
        <w:rPr>
          <w:rStyle w:val="Text5"/>
        </w:rPr>
        <w:t>1185</w:t>
      </w:r>
      <w:r>
        <w:rPr>
          <w:rStyle w:val="Text8"/>
        </w:rPr>
        <w:t xml:space="preserve"> </w:t>
      </w:r>
      <w:r>
        <w:t>https://github.com/canonical/ubuntu-server-documentation/pull/182</w:t>
      </w:r>
      <w:r>
        <w:rPr>
          <w:rStyle w:val="Text8"/>
        </w:rPr>
        <w:t xml:space="preserve"> </w:t>
      </w:r>
      <w:r>
        <w:rPr>
          <w:rStyle w:val="Text5"/>
        </w:rPr>
        <w:t>1186</w:t>
      </w:r>
      <w:r>
        <w:rPr>
          <w:rStyle w:val="Text8"/>
        </w:rPr>
        <w:t xml:space="preserve"> </w:t>
      </w:r>
      <w:r>
        <w:t>https://github.com/canonical/ubuntu-server-documentation/pull/174</w:t>
      </w:r>
      <w:r>
        <w:rPr>
          <w:rStyle w:val="Text8"/>
        </w:rPr>
        <w:t xml:space="preserve"> </w:t>
      </w:r>
      <w:r>
        <w:rPr>
          <w:rStyle w:val="Text5"/>
        </w:rPr>
        <w:t>1187</w:t>
      </w:r>
      <w:r>
        <w:rPr>
          <w:rStyle w:val="Text8"/>
        </w:rPr>
        <w:t xml:space="preserve"> </w:t>
      </w:r>
      <w:r>
        <w:t>https://github.com/canonical/ubuntu-server-documentation/pull/162</w:t>
      </w:r>
      <w:r>
        <w:rPr>
          <w:rStyle w:val="Text8"/>
        </w:rPr>
        <w:t xml:space="preserve"> </w:t>
      </w:r>
      <w:r>
        <w:rPr>
          <w:rStyle w:val="Text5"/>
        </w:rPr>
        <w:t>1188</w:t>
      </w:r>
      <w:r>
        <w:rPr>
          <w:rStyle w:val="Text8"/>
        </w:rPr>
        <w:t xml:space="preserve"> </w:t>
      </w:r>
      <w:r>
        <w:t>https://github.com/canonical/ubuntu-server-documentation/pull/161</w:t>
      </w:r>
      <w:r>
        <w:rPr>
          <w:rStyle w:val="Text8"/>
        </w:rPr>
        <w:t xml:space="preserve"> </w:t>
      </w:r>
      <w:r>
        <w:rPr>
          <w:rStyle w:val="Text5"/>
        </w:rPr>
        <w:t>1189</w:t>
      </w:r>
      <w:r>
        <w:rPr>
          <w:rStyle w:val="Text8"/>
        </w:rPr>
        <w:t xml:space="preserve"> </w:t>
      </w:r>
      <w:r>
        <w:t>https://github.com/canonical/ubuntu-server-documentation/pull/160</w:t>
      </w:r>
      <w:r>
        <w:rPr>
          <w:rStyle w:val="Text8"/>
        </w:rPr>
        <w:t xml:space="preserve"> </w:t>
      </w:r>
      <w:r>
        <w:rPr>
          <w:rStyle w:val="Text5"/>
        </w:rPr>
        <w:t>1190</w:t>
      </w:r>
      <w:r>
        <w:rPr>
          <w:rStyle w:val="Text8"/>
        </w:rPr>
        <w:t xml:space="preserve"> </w:t>
      </w:r>
      <w:r>
        <w:t>https://github.com/canonical/ubuntu-server-documentation/pull/159</w:t>
      </w:r>
      <w:r>
        <w:rPr>
          <w:rStyle w:val="Text8"/>
        </w:rPr>
        <w:t xml:space="preserve"> </w:t>
      </w:r>
      <w:r>
        <w:rPr>
          <w:rStyle w:val="Text5"/>
        </w:rPr>
        <w:t>1191</w:t>
      </w:r>
      <w:r>
        <w:rPr>
          <w:rStyle w:val="Text8"/>
        </w:rPr>
        <w:t xml:space="preserve"> </w:t>
      </w:r>
      <w:r>
        <w:t>https://github.com/canonical/ubuntu-server-documentation/pull/158</w:t>
      </w:r>
      <w:r>
        <w:rPr>
          <w:rStyle w:val="Text8"/>
        </w:rPr>
        <w:t xml:space="preserve"> </w:t>
      </w:r>
      <w:r>
        <w:rPr>
          <w:rStyle w:val="Text5"/>
        </w:rPr>
        <w:t>1192</w:t>
      </w:r>
      <w:r>
        <w:rPr>
          <w:rStyle w:val="Text8"/>
        </w:rPr>
        <w:t xml:space="preserve"> </w:t>
      </w:r>
      <w:r>
        <w:t>https://github.com/canonical/ubuntu-server-documentation/pull/156</w:t>
      </w:r>
      <w:r>
        <w:rPr>
          <w:rStyle w:val="Text8"/>
        </w:rPr>
        <w:t xml:space="preserve"> </w:t>
      </w:r>
      <w:r>
        <w:rPr>
          <w:rStyle w:val="Text5"/>
        </w:rPr>
        <w:t>1193</w:t>
      </w:r>
      <w:r>
        <w:rPr>
          <w:rStyle w:val="Text8"/>
        </w:rPr>
        <w:t xml:space="preserve"> </w:t>
      </w:r>
      <w:r>
        <w:t>https://github.com/canonical/ubuntu-server-documentation/pull/152</w:t>
      </w:r>
      <w:r>
        <w:rPr>
          <w:rStyle w:val="Text8"/>
        </w:rPr>
        <w:t xml:space="preserve"> </w:t>
      </w:r>
      <w:r>
        <w:rPr>
          <w:rStyle w:val="Text5"/>
        </w:rPr>
        <w:t>1194</w:t>
      </w:r>
      <w:r>
        <w:rPr>
          <w:rStyle w:val="Text8"/>
        </w:rPr>
        <w:t xml:space="preserve"> </w:t>
      </w:r>
      <w:r>
        <w:t>https://github.com/canonical/ubuntu-server-documentation/pull/134</w:t>
      </w:r>
      <w:r>
        <w:rPr>
          <w:rStyle w:val="Text8"/>
        </w:rPr>
        <w:t xml:space="preserve"> </w:t>
      </w:r>
      <w:r>
        <w:rPr>
          <w:rStyle w:val="Text5"/>
        </w:rPr>
        <w:t>1195</w:t>
      </w:r>
      <w:r>
        <w:rPr>
          <w:rStyle w:val="Text8"/>
        </w:rPr>
        <w:t xml:space="preserve"> </w:t>
      </w:r>
      <w:r>
        <w:t>https://github.com/canonical/ubuntu-server-documentation/pull/124</w:t>
      </w:r>
      <w:r>
        <w:rPr>
          <w:rStyle w:val="Text8"/>
        </w:rPr>
        <w:t xml:space="preserve"> </w:t>
      </w:r>
      <w:r>
        <w:rPr>
          <w:rStyle w:val="Text5"/>
        </w:rPr>
        <w:t>1196</w:t>
      </w:r>
      <w:r>
        <w:rPr>
          <w:rStyle w:val="Text8"/>
        </w:rPr>
        <w:t xml:space="preserve"> </w:t>
      </w:r>
      <w:r>
        <w:t>https://github.com/canonical/ubuntu-server-documentation/pull/10</w:t>
      </w:r>
      <w:r>
        <w:rPr>
          <w:rStyle w:val="Text8"/>
        </w:rPr>
        <w:t xml:space="preserve"> </w:t>
      </w:r>
      <w:r>
        <w:rPr>
          <w:rStyle w:val="Text5"/>
        </w:rPr>
        <w:t>1197</w:t>
      </w:r>
      <w:r>
        <w:rPr>
          <w:rStyle w:val="Text8"/>
        </w:rPr>
        <w:t xml:space="preserve"> </w:t>
      </w:r>
      <w:r>
        <w:t>https://github.com/canonical/ubuntu-server-documentation/pull/9</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spacing w:beforeLines="100" w:afterLines="100" w:line="288" w:lineRule="atLeast"/>
      <w:jc w:val="left"/>
    </w:pPr>
    <w:rPr>
      <w:b w:val="on"/>
      <w:bCs w:val="on"/>
    </w:rPr>
  </w:style>
  <w:style w:styleId="Para 02" w:type="paragraph">
    <w:name w:val="Para 02"/>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 w:type="paragraph">
    <w:name w:val="Para 04"/>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 w:type="paragraph">
    <w:name w:val="Para 05"/>
    <w:qFormat/>
    <w:basedOn w:val="Normal"/>
    <w:pPr>
      <w:ind w:leftChars="100"/>
    </w:pPr>
    <w:rPr>
      <w:sz w:val="19"/>
      <w:szCs w:val="19"/>
    </w:rPr>
  </w:style>
  <w:style w:styleId="Para 06" w:type="paragraph">
    <w:name w:val="Para 06"/>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ind w:leftChars="200"/>
    </w:pPr>
    <w:rPr>
      <w:i w:val="on"/>
      <w:iCs w:val="on"/>
    </w:rPr>
  </w:style>
  <w:style w:styleId="Para 08" w:type="paragraph">
    <w:name w:val="Para 08"/>
    <w:qFormat/>
    <w:basedOn w:val="Normal"/>
    <w:pPr>
      <w:ind w:leftChars="100"/>
    </w:pPr>
    <w:rPr>
      <w:b w:val="on"/>
      <w:bCs w:val="on"/>
    </w:rPr>
  </w:style>
  <w:style w:styleId="Para 09" w:type="paragraph">
    <w:name w:val="Para 09"/>
    <w:qFormat/>
    <w:basedOn w:val="Normal"/>
    <w:pPr>
      <w:jc w:val="right"/>
    </w:pPr>
    <w:rPr>
      <w:sz w:val="19"/>
      <w:szCs w:val="19"/>
    </w:rPr>
  </w:style>
  <w:style w:styleId="Para 10" w:type="paragraph">
    <w:name w:val="Para 10"/>
    <w:qFormat/>
    <w:basedOn w:val="Normal"/>
    <w:pPr>
      <w:spacing w:beforeLines="100" w:afterLines="100" w:line="288" w:lineRule="atLeast"/>
      <w:jc w:val="left"/>
    </w:pPr>
    <w:rPr>
      <w:i w:val="on"/>
      <w:iCs w:val="on"/>
    </w:rPr>
  </w:style>
  <w:style w:styleId="Para 11" w:type="paragraph">
    <w:name w:val="Para 11"/>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 w:type="paragraph">
    <w:name w:val="Para 12"/>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 w:type="paragraph">
    <w:name w:val="Para 13"/>
    <w:qFormat/>
    <w:basedOn w:val="Normal"/>
    <w:pPr>
      <w:ind w:firstLineChars="100"/>
    </w:pPr>
    <w:rPr>
      <w:color w:val="0000FF"/>
      <w:u w:val="solid"/>
    </w:rPr>
  </w:style>
  <w:style w:styleId="Para 14" w:type="paragraph">
    <w:name w:val="Para 14"/>
    <w:qFormat/>
    <w:basedOn w:val="Normal"/>
    <w:pPr>
      <w:ind w:firstLineChars="100"/>
    </w:pPr>
    <w:rPr>
      <w:i w:val="on"/>
      <w:iCs w:val="on"/>
      <w:color w:val="0000FF"/>
      <w:u w:val="solid"/>
    </w:rPr>
  </w:style>
  <w:style w:styleId="Para 15" w:type="paragraph">
    <w:name w:val="Para 15"/>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6" w:type="paragraph">
    <w:name w:val="Para 16"/>
    <w:qFormat/>
    <w:basedOn w:val="Normal"/>
    <w:pPr>
      <w:spacing w:beforeLines="100" w:afterLines="100" w:line="288" w:lineRule="atLeast"/>
      <w:jc w:val="left"/>
    </w:pPr>
    <w:rPr>
      <w:sz w:val="19"/>
      <w:szCs w:val="19"/>
    </w:rPr>
  </w:style>
  <w:style w:styleId="Para 17" w:type="paragraph">
    <w:name w:val="Para 17"/>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8" w:type="paragraph">
    <w:name w:val="Para 18"/>
    <w:qFormat/>
    <w:basedOn w:val="Normal"/>
    <w:pPr>
      <w:spacing w:beforeLines="100" w:afterLines="100" w:line="288" w:lineRule="atLeast"/>
      <w:jc w:val="left"/>
    </w:pPr>
    <w:rPr>
      <w:color w:val="0000FF"/>
      <w:u w:val="solid"/>
    </w:rPr>
  </w:style>
  <w:style w:styleId="Para 19" w:type="paragraph">
    <w:name w:val="Para 19"/>
    <w:qFormat/>
    <w:basedOn w:val="Normal"/>
    <w:pPr>
      <w:ind w:leftChars="1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0" w:type="paragraph">
    <w:name w:val="Para 20"/>
    <w:qFormat/>
    <w:basedOn w:val="Normal"/>
    <w:pPr>
      <w:spacing w:beforeLines="100" w:afterLines="100" w:line="288" w:lineRule="atLeast"/>
      <w:jc w:val="left"/>
    </w:pPr>
    <w:rPr>
      <w:i w:val="on"/>
      <w:iCs w:val="on"/>
      <w:color w:val="0000FF"/>
      <w:u w:val="solid"/>
    </w:rPr>
  </w:style>
  <w:style w:styleId="Para 21" w:type="paragraph">
    <w:name w:val="Para 21"/>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2" w:type="paragraph">
    <w:name w:val="Para 22"/>
    <w:qFormat/>
    <w:basedOn w:val="Normal"/>
    <w:pPr>
      <w:ind w:leftChars="100"/>
    </w:pPr>
    <w:rPr>
      <w:color w:val="0000FF"/>
      <w:u w:val="solid"/>
    </w:rPr>
  </w:style>
  <w:style w:styleId="Para 23" w:type="paragraph">
    <w:name w:val="Para 23"/>
    <w:qFormat/>
    <w:basedOn w:val="Normal"/>
    <w:pPr>
      <w:ind w:leftChars="300"/>
    </w:pPr>
    <w:rPr>
      <w:b w:val="on"/>
      <w:bCs w:val="on"/>
    </w:rPr>
  </w:style>
  <w:style w:styleId="Para 24" w:type="paragraph">
    <w:name w:val="Para 24"/>
    <w:qFormat/>
    <w:basedOn w:val="Normal"/>
    <w:pPr>
      <w:spacing w:beforeLines="100" w:afterLines="100" w:line="288" w:lineRule="atLeast"/>
      <w:jc w:val="left"/>
    </w:pPr>
    <w:rPr>
      <w:sz w:val="31"/>
      <w:szCs w:val="31"/>
      <w:b w:val="on"/>
      <w:bCs w:val="on"/>
    </w:rPr>
  </w:style>
  <w:style w:styleId="Para 25" w:type="paragraph">
    <w:name w:val="Para 25"/>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6" w:type="paragraph">
    <w:name w:val="Para 26"/>
    <w:qFormat/>
    <w:basedOn w:val="Normal"/>
    <w:pPr>
      <w:ind w:leftChars="300"/>
    </w:pPr>
    <w:rPr>
      <w:i w:val="on"/>
      <w:iCs w:val="on"/>
      <w:color w:val="0000FF"/>
      <w:u w:val="solid"/>
    </w:rPr>
  </w:style>
  <w:style w:styleId="Para 27" w:type="paragraph">
    <w:name w:val="Para 27"/>
    <w:qFormat/>
    <w:basedOn w:val="Normal"/>
    <w:pPr>
      <w:ind w:leftChars="300"/>
    </w:pPr>
    <w:rPr>
      <w:color w:val="0000FF"/>
      <w:u w:val="solid"/>
    </w:rPr>
  </w:style>
  <w:style w:styleId="Para 28" w:type="paragraph">
    <w:name w:val="Para 28"/>
    <w:qFormat/>
    <w:basedOn w:val="Normal"/>
    <w:pPr>
      <w:ind w:firstLineChars="100"/>
    </w:pPr>
    <w:rPr>
      <w:b w:val="on"/>
      <w:bCs w:val="on"/>
    </w:rPr>
  </w:style>
  <w:style w:styleId="Para 29" w:type="paragraph">
    <w:name w:val="Para 29"/>
    <w:qFormat/>
    <w:basedOn w:val="Normal"/>
    <w:pPr>
      <w:ind w:leftChars="500"/>
    </w:pPr>
    <w:rPr>
      <w:b w:val="on"/>
      <w:bCs w:val="on"/>
    </w:rPr>
  </w:style>
  <w:style w:styleId="Para 30" w:type="paragraph">
    <w:name w:val="Para 30"/>
    <w:qFormat/>
    <w:basedOn w:val="Normal"/>
    <w:pPr>
      <w:ind w:leftChars="400"/>
    </w:pPr>
    <w:rPr>
      <w:b w:val="on"/>
      <w:bCs w:val="on"/>
    </w:rPr>
  </w:style>
  <w:style w:styleId="Para 31" w:type="paragraph">
    <w:name w:val="Para 31"/>
    <w:qFormat/>
    <w:basedOn w:val="Normal"/>
    <w:pPr>
      <w:ind w:leftChars="200"/>
    </w:pPr>
    <w:rPr>
      <w:i w:val="on"/>
      <w:iCs w:val="on"/>
      <w:color w:val="0000FF"/>
      <w:u w:val="solid"/>
    </w:rPr>
  </w:style>
  <w:style w:styleId="Para 32" w:type="paragraph">
    <w:name w:val="Para 32"/>
    <w:qFormat/>
    <w:basedOn w:val="Normal"/>
    <w:pPr>
      <w:ind w:leftChars="200"/>
    </w:pPr>
    <w:rPr>
      <w:color w:val="0000FF"/>
      <w:u w:val="solid"/>
    </w:rPr>
  </w:style>
  <w:style w:styleId="Para 33" w:type="paragraph">
    <w:name w:val="Para 33"/>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80" w:lineRule="atLeast"/>
      <w:outlineLvl w:val="1"/>
    </w:pPr>
    <w:rPr>
      <w:sz w:val="40"/>
      <w:szCs w:val="40"/>
      <w:b w:val="on"/>
      <w:bCs w:val="on"/>
    </w:rPr>
  </w:style>
  <w:style w:styleId="Para 35" w:type="paragraph">
    <w:name w:val="Para 35"/>
    <w:qFormat/>
    <w:basedOn w:val="Normal"/>
    <w:pPr>
      <w:ind w:leftChars="100"/>
    </w:pPr>
    <w:rPr>
      <w:i w:val="on"/>
      <w:iCs w:val="on"/>
    </w:rPr>
  </w:style>
  <w:style w:styleId="Para 36" w:type="paragraph">
    <w:name w:val="Para 36"/>
    <w:qFormat/>
    <w:basedOn w:val="Normal"/>
    <w:pPr>
      <w:ind w:leftChars="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7" w:type="paragraph">
    <w:name w:val="Para 37"/>
    <w:qFormat/>
    <w:basedOn w:val="Normal"/>
    <w:pPr>
      <w:spacing w:beforeLines="100" w:afterLines="100" w:line="288" w:lineRule="atLeast"/>
      <w:jc w:val="left"/>
    </w:pPr>
    <w:rPr>
      <w:sz w:val="48"/>
      <w:szCs w:val="48"/>
      <w:b w:val="on"/>
      <w:bCs w:val="on"/>
    </w:rPr>
  </w:style>
  <w:style w:styleId="Para 38" w:type="paragraph">
    <w:name w:val="Para 38"/>
    <w:qFormat/>
    <w:basedOn w:val="Normal"/>
    <w:pPr>
      <w:ind w:leftChars="1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9" w:type="paragraph">
    <w:name w:val="Para 39"/>
    <w:qFormat/>
    <w:basedOn w:val="Normal"/>
    <w:pPr>
      <w:ind w:leftChars="200"/>
    </w:pPr>
    <w:rPr>
      <w:b w:val="on"/>
      <w:bCs w:val="on"/>
    </w:rPr>
  </w:style>
  <w:style w:styleId="Para 40" w:type="paragraph">
    <w:name w:val="Para 40"/>
    <w:qFormat/>
    <w:basedOn w:val="Normal"/>
    <w:pPr>
      <w:ind w:leftChars="600"/>
    </w:pPr>
    <w:rPr>
      <w:b w:val="on"/>
      <w:bCs w:val="on"/>
    </w:rPr>
  </w:style>
  <w:style w:styleId="Para 41" w:type="paragraph">
    <w:name w:val="Para 41"/>
    <w:qFormat/>
    <w:basedOn w:val="Normal"/>
    <w:pPr>
      <w:jc w:val="center"/>
    </w:pPr>
    <w:rPr>
      <w:sz w:val="19"/>
      <w:szCs w:val="19"/>
    </w:rPr>
  </w:style>
  <w:style w:styleId="Para 42" w:type="paragraph">
    <w:name w:val="Para 42"/>
    <w:qFormat/>
    <w:basedOn w:val="Normal"/>
    <w:pPr>
      <w:ind w:leftChars="700"/>
    </w:pPr>
    <w:rPr>
      <w:color w:val="0000FF"/>
      <w:u w:val="solid"/>
    </w:rPr>
  </w:style>
  <w:style w:styleId="Para 43" w:type="paragraph">
    <w:name w:val="Para 43"/>
    <w:qFormat/>
    <w:basedOn w:val="Normal"/>
    <w:pPr>
      <w:ind w:leftChars="100"/>
    </w:pPr>
    <w:rPr>
      <w:i w:val="on"/>
      <w:iCs w:val="on"/>
      <w:color w:val="0000FF"/>
      <w:u w:val="solid"/>
    </w:rPr>
  </w:style>
  <w:style w:styleId="Para 44" w:type="paragraph">
    <w:name w:val="Para 44"/>
    <w:qFormat/>
    <w:basedOn w:val="Normal"/>
    <w:pPr>
      <w:ind w:leftChars="800"/>
    </w:pPr>
    <w:rPr>
      <w:color w:val="0000FF"/>
      <w:u w:val="solid"/>
    </w:rPr>
  </w:style>
  <w:style w:styleId="Para 45" w:type="paragraph">
    <w:name w:val="Para 45"/>
    <w:qFormat/>
    <w:basedOn w:val="Normal"/>
    <w:pPr>
      <w:ind w:leftChars="100"/>
    </w:pPr>
    <w:rPr>
      <w:sz w:val="18"/>
      <w:szCs w:val="18"/>
      <w:color w:val="0000FF"/>
      <w:u w:val="solid"/>
    </w:rPr>
  </w:style>
  <w:style w:styleId="Para 46" w:type="paragraph">
    <w:name w:val="Para 46"/>
    <w:qFormat/>
    <w:basedOn w:val="Normal"/>
    <w:pPr>
      <w:ind w:leftChars="10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7" w:type="paragraph">
    <w:name w:val="Para 47"/>
    <w:qFormat/>
    <w:basedOn w:val="Normal"/>
    <w:pPr>
      <w:ind w:leftChars="1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8" w:type="paragraph">
    <w:name w:val="Para 48"/>
    <w:qFormat/>
    <w:basedOn w:val="Normal"/>
    <w:pPr>
      <w:spacing w:beforeLines="100" w:afterLines="100" w:line="288" w:lineRule="atLeast"/>
      <w:jc w:val="left"/>
    </w:pPr>
    <w:rPr>
      <w:b w:val="on"/>
      <w:bCs w:val="on"/>
      <w:color w:val="0000FF"/>
      <w:u w:val="solid"/>
    </w:rPr>
  </w:style>
  <w:style w:styleId="Para 49" w:type="paragraph">
    <w:name w:val="Para 49"/>
    <w:qFormat/>
    <w:basedOn w:val="Normal"/>
    <w:pPr>
      <w:ind w:leftChars="400"/>
    </w:pPr>
    <w:rPr>
      <w:color w:val="0000FF"/>
      <w:u w:val="solid"/>
    </w:rPr>
  </w:style>
  <w:style w:styleId="Para 50" w:type="paragraph">
    <w:name w:val="Para 50"/>
    <w:qFormat/>
    <w:basedOn w:val="Normal"/>
    <w:pPr>
      <w:ind w:firstLineChars="100"/>
    </w:pPr>
    <w:rPr>
      <w:sz w:val="19"/>
      <w:szCs w:val="19"/>
    </w:rPr>
  </w:style>
  <w:style w:styleId="Heading 2" w:type="paragraph">
    <w:name w:val="Heading 2"/>
    <w:qFormat/>
    <w:basedOn w:val="Normal"/>
    <w:pPr>
      <w:spacing w:line="372" w:lineRule="atLeast"/>
      <w:outlineLvl w:val="2"/>
    </w:pPr>
    <w:rPr>
      <w:sz w:val="31"/>
      <w:szCs w:val="31"/>
      <w:b w:val="on"/>
      <w:bCs w:val="on"/>
    </w:rPr>
  </w:style>
  <w:style w:styleId="Para 52" w:type="paragraph">
    <w:name w:val="Para 52"/>
    <w:qFormat/>
    <w:basedOn w:val="Normal"/>
    <w:pPr>
      <w:spacing w:line="372" w:lineRule="atLeast"/>
      <w:jc w:val="right"/>
    </w:pPr>
    <w:rPr>
      <w:sz w:val="31"/>
      <w:szCs w:val="31"/>
      <w:b w:val="on"/>
      <w:bCs w:val="on"/>
    </w:rPr>
  </w:style>
  <w:style w:styleId="Para 53" w:type="paragraph">
    <w:name w:val="Para 53"/>
    <w:qFormat/>
    <w:basedOn w:val="Normal"/>
    <w:pPr>
      <w:ind w:leftChars="200"/>
    </w:pPr>
    <w:rPr>
      <w:sz w:val="19"/>
      <w:szCs w:val="19"/>
    </w:rPr>
  </w:style>
  <w:style w:styleId="Para 54" w:type="paragraph">
    <w:name w:val="Para 54"/>
    <w:qFormat/>
    <w:basedOn w:val="Normal"/>
    <w:pPr>
      <w:ind w:leftChars="300"/>
    </w:pPr>
    <w:rPr>
      <w:i w:val="on"/>
      <w:iCs w:val="on"/>
    </w:rPr>
  </w:style>
  <w:style w:styleId="Para 55" w:type="paragraph">
    <w:name w:val="Para 55"/>
    <w:qFormat/>
    <w:basedOn w:val="Normal"/>
    <w:pPr>
      <w:jc w:val="center"/>
    </w:pPr>
    <w:rPr>
      <w:i w:val="on"/>
      <w:iCs w:val="on"/>
      <w:color w:val="0000FF"/>
      <w:u w:val="solid"/>
    </w:rPr>
  </w:style>
  <w:style w:styleId="Para 56" w:type="paragraph">
    <w:name w:val="Para 56"/>
    <w:qFormat/>
    <w:basedOn w:val="Normal"/>
    <w:pPr>
      <w:ind w:leftChars="2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57" w:type="paragraph">
    <w:name w:val="Para 57"/>
    <w:qFormat/>
    <w:basedOn w:val="Normal"/>
    <w:pPr>
      <w:ind w:leftChars="400"/>
    </w:pPr>
    <w:rPr>
      <w:i w:val="on"/>
      <w:iCs w:val="on"/>
      <w:color w:val="0000FF"/>
      <w:u w:val="solid"/>
    </w:rPr>
  </w:style>
  <w:style w:styleId="Para 58" w:type="paragraph">
    <w:name w:val="Para 58"/>
    <w:qFormat/>
    <w:basedOn w:val="Normal"/>
    <w:pPr>
      <w:jc w:val="right"/>
    </w:pPr>
    <w:rPr>
      <w:sz w:val="48"/>
      <w:szCs w:val="48"/>
    </w:rPr>
  </w:style>
  <w:style w:styleId="Para 59" w:type="paragraph">
    <w:name w:val="Para 59"/>
    <w:qFormat/>
    <w:basedOn w:val="Normal"/>
    <w:pPr>
      <w:spacing w:beforeLines="83" w:afterLines="83" w:line="480" w:lineRule="atLeast"/>
    </w:pPr>
    <w:rPr>
      <w:sz w:val="48"/>
      <w:szCs w:val="48"/>
      <w:b w:val="on"/>
      <w:bCs w:val="on"/>
    </w:rPr>
  </w:style>
  <w:style w:styleId="Para 60" w:type="paragraph">
    <w:name w:val="Para 60"/>
    <w:qFormat/>
    <w:basedOn w:val="Normal"/>
    <w:pPr>
      <w:ind w:leftChars="1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61" w:type="paragraph">
    <w:name w:val="Para 61"/>
    <w:qFormat/>
    <w:basedOn w:val="Normal"/>
    <w:pPr>
      <w:ind w:leftChars="700"/>
    </w:pPr>
    <w:rPr>
      <w:b w:val="on"/>
      <w:bCs w:val="on"/>
    </w:rPr>
  </w:style>
  <w:style w:styleId="Para 62" w:type="paragraph">
    <w:name w:val="Para 62"/>
    <w:qFormat/>
    <w:basedOn w:val="Normal"/>
    <w:pPr>
      <w:ind w:leftChars="300"/>
    </w:pPr>
    <w:rPr>
      <w:sz w:val="19"/>
      <w:szCs w:val="19"/>
    </w:rPr>
  </w:style>
  <w:style w:styleId="Para 63" w:type="paragraph">
    <w:name w:val="Para 63"/>
    <w:qFormat/>
    <w:basedOn w:val="Normal"/>
    <w:pPr>
      <w:ind w:firstLineChars="100"/>
    </w:pPr>
    <w:rPr>
      <w:i w:val="on"/>
      <w:iCs w:val="on"/>
    </w:rPr>
  </w:style>
  <w:style w:styleId="Para 64" w:type="paragraph">
    <w:name w:val="Para 64"/>
    <w:qFormat/>
    <w:basedOn w:val="Normal"/>
    <w:pPr>
      <w:jc w:val="center"/>
    </w:pPr>
    <w:rPr>
      <w:i w:val="on"/>
      <w:iCs w:val="on"/>
    </w:rPr>
  </w:style>
  <w:style w:styleId="Text0" w:type="character">
    <w:name w:val="00 Text"/>
    <w:rPr>
      <w:b w:val="on"/>
      <w:bCs w:val="on"/>
    </w:rPr>
  </w:style>
  <w:style w:styleId="Text1" w:type="character">
    <w:name w:val="01 Text"/>
    <w:rPr>
      <w:color w:val="0000FF"/>
      <w:u w:val="solid" w:color="auto"/>
    </w:rPr>
  </w:style>
  <w:style w:styleId="Text2" w:type="character">
    <w:name w:val="02 Text"/>
    <w:rPr>
      <w:i w:val="on"/>
      <w:iCs w:val="on"/>
      <w:color w:val="0000FF"/>
      <w:u w:val="solid" w:color="auto"/>
    </w:rPr>
  </w:style>
  <w:style w:styleId="Text3" w:type="character">
    <w:name w:val="03 Text"/>
    <w:rPr>
      <w:i w:val="on"/>
      <w:iCs w:val="on"/>
    </w:rPr>
  </w:style>
  <w:style w:styleId="Text4" w:type="character">
    <w:name w:val="04 Text"/>
    <w:rPr>
      <w:i w:val="on"/>
      <w:iCs w:val="on"/>
      <w:color w:val="000000"/>
      <w:u w:val="none"/>
    </w:rPr>
  </w:style>
  <w:style w:styleId="Text5" w:type="character">
    <w:name w:val="05 Text"/>
    <w:rPr>
      <w:sz w:val="15"/>
      <w:szCs w:val="15"/>
    </w:rPr>
  </w:style>
  <w:style w:styleId="Text6" w:type="character">
    <w:name w:val="06 Text"/>
    <w:rPr>
      <w:sz w:val="19"/>
      <w:szCs w:val="19"/>
    </w:rPr>
  </w:style>
  <w:style w:styleId="Text7" w:type="character">
    <w:name w:val="07 Text"/>
    <w:rPr>
      <w:color w:val="000000"/>
      <w:u w:val="none"/>
    </w:rPr>
  </w:style>
  <w:style w:styleId="Text8" w:type="character">
    <w:name w:val="08 Text"/>
    <w:rPr>
      <w:sz w:val="24"/>
      <w:szCs w:val="24"/>
    </w:rPr>
  </w:style>
  <w:style w:styleId="Text9" w:type="character">
    <w:name w:val="09 Text"/>
    <w:rPr>
      <w:sz w:val="18"/>
      <w:szCs w:val="18"/>
      <w:color w:val="0000FF"/>
      <w:u w:val="solid" w:color="auto"/>
    </w:rPr>
  </w:style>
  <w:style w:styleId="Text10" w:type="character">
    <w:name w:val="10 Text"/>
    <w:rPr>
      <w:sz w:val="18"/>
      <w:szCs w:val="18"/>
    </w:rPr>
  </w:style>
  <w:style w:styleId="Text11" w:type="character">
    <w:name w:val="11 Text"/>
    <w:rPr>
      <w:sz w:val="24"/>
      <w:szCs w:val="24"/>
      <w:b w:val="on"/>
      <w:bCs w:val="on"/>
    </w:rPr>
  </w:style>
  <w:style w:styleId="Text12" w:type="character">
    <w:name w:val="12 Text"/>
    <w:rPr>
      <w:b w:val="on"/>
      <w:bCs w:val="on"/>
      <w:i w:val="on"/>
      <w:iCs w:val="on"/>
      <w:color w:val="000000"/>
      <w:u w:val="none"/>
    </w:rPr>
  </w:style>
  <w:style w:styleId="Text13" w:type="character">
    <w:name w:val="13 Text"/>
    <w:rPr>
      <w:b w:val="on"/>
      <w:bCs w:val="on"/>
      <w:color w:val="0000FF"/>
      <w:u w:val="solid" w:color="auto"/>
    </w:rPr>
  </w:style>
  <w:style w:styleId="Text14" w:type="character">
    <w:name w:val="14 Text"/>
    <w:rPr>
      <w:sz w:val="19"/>
      <w:szCs w:val="19"/>
      <w:b w:val="on"/>
      <w:bCs w:val="on"/>
    </w:rPr>
  </w:style>
  <w:style w:styleId="Text15" w:type="character">
    <w:name w:val="15 Text"/>
    <w:rPr>
      <w:sz w:val="18"/>
      <w:szCs w:val="18"/>
      <w:i w:val="on"/>
      <w:iCs w:val="on"/>
    </w:rPr>
  </w:style>
  <w:style w:styleId="Text16" w:type="character">
    <w:name w:val="16 Text"/>
    <w:rPr>
      <w:b w:val="on"/>
      <w:bCs w:val="on"/>
      <w:i w:val="on"/>
      <w:iCs w:val="on"/>
      <w:color w:val="0000FF"/>
      <w:u w:val="solid" w:color="auto"/>
    </w:rPr>
  </w:style>
  <w:style w:styleId="Text17" w:type="character">
    <w:name w:val="17 Text"/>
    <w:rPr>
      <w:b w:val="on"/>
      <w:bCs w:val="on"/>
      <w:i w:val="on"/>
      <w:iCs w:val="on"/>
    </w:rPr>
  </w:style>
  <w:style w:styleId="Text18" w:type="character">
    <w:name w:val="18 Text"/>
    <w:rPr>
      <w:b w:val="on"/>
      <w:bCs w:val="on"/>
      <w:color w:val="000000"/>
      <w:u w:val="none"/>
    </w:rPr>
  </w:style>
  <w:style w:styleId="Text19" w:type="character">
    <w:name w:val="19 Text"/>
    <w:rPr>
      <w:sz w:val="15"/>
      <w:szCs w:val="15"/>
      <w:b w:val="on"/>
      <w:b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2_1.png"/><Relationship Id="rId6" Type="http://schemas.openxmlformats.org/officeDocument/2006/relationships/image" Target="media/index-3_1.png"/><Relationship Id="rId7" Type="http://schemas.openxmlformats.org/officeDocument/2006/relationships/image" Target="media/index-4_1.png"/><Relationship Id="rId8" Type="http://schemas.openxmlformats.org/officeDocument/2006/relationships/image" Target="media/index-5_1.png"/><Relationship Id="rId9" Type="http://schemas.openxmlformats.org/officeDocument/2006/relationships/image" Target="media/index-6_1.png"/><Relationship Id="rId10" Type="http://schemas.openxmlformats.org/officeDocument/2006/relationships/image" Target="media/index-7_1.png"/><Relationship Id="rId11" Type="http://schemas.openxmlformats.org/officeDocument/2006/relationships/image" Target="media/index-8_1.png"/><Relationship Id="rId12" Type="http://schemas.openxmlformats.org/officeDocument/2006/relationships/image" Target="media/index-9_1.png"/><Relationship Id="rId13" Type="http://schemas.openxmlformats.org/officeDocument/2006/relationships/image" Target="media/index-10_1.png"/><Relationship Id="rId14" Type="http://schemas.openxmlformats.org/officeDocument/2006/relationships/image" Target="media/index-11_1.png"/><Relationship Id="rId15" Type="http://schemas.openxmlformats.org/officeDocument/2006/relationships/image" Target="media/index-12_1.png"/><Relationship Id="rId16" Type="http://schemas.openxmlformats.org/officeDocument/2006/relationships/image" Target="media/index-12_2.png"/><Relationship Id="rId17" Type="http://schemas.openxmlformats.org/officeDocument/2006/relationships/image" Target="media/index-13_1.png"/><Relationship Id="rId18" Type="http://schemas.openxmlformats.org/officeDocument/2006/relationships/image" Target="media/index-14_1.png"/><Relationship Id="rId19" Type="http://schemas.openxmlformats.org/officeDocument/2006/relationships/image" Target="media/index-15_1.png"/><Relationship Id="rId20" Type="http://schemas.openxmlformats.org/officeDocument/2006/relationships/image" Target="media/index-16_1.png"/><Relationship Id="rId21" Type="http://schemas.openxmlformats.org/officeDocument/2006/relationships/image" Target="media/index-17_1.png"/><Relationship Id="rId22" Type="http://schemas.openxmlformats.org/officeDocument/2006/relationships/image" Target="media/index-18_1.png"/><Relationship Id="rId23" Type="http://schemas.openxmlformats.org/officeDocument/2006/relationships/image" Target="media/index-19_1.png"/><Relationship Id="rId24" Type="http://schemas.openxmlformats.org/officeDocument/2006/relationships/image" Target="media/index-20_1.png"/><Relationship Id="rId25" Type="http://schemas.openxmlformats.org/officeDocument/2006/relationships/image" Target="media/index-21_1.png"/><Relationship Id="rId26" Type="http://schemas.openxmlformats.org/officeDocument/2006/relationships/image" Target="media/index-22_1.png"/><Relationship Id="rId27" Type="http://schemas.openxmlformats.org/officeDocument/2006/relationships/image" Target="media/index-23_1.png"/><Relationship Id="rId28" Type="http://schemas.openxmlformats.org/officeDocument/2006/relationships/image" Target="media/index-24_1.png"/><Relationship Id="rId29" Type="http://schemas.openxmlformats.org/officeDocument/2006/relationships/image" Target="media/index-25_1.png"/><Relationship Id="rId30" Type="http://schemas.openxmlformats.org/officeDocument/2006/relationships/image" Target="media/index-26_1.png"/><Relationship Id="rId31" Type="http://schemas.openxmlformats.org/officeDocument/2006/relationships/image" Target="media/index-27_1.png"/><Relationship Id="rId32" Type="http://schemas.openxmlformats.org/officeDocument/2006/relationships/image" Target="media/index-28_1.png"/><Relationship Id="rId33" Type="http://schemas.openxmlformats.org/officeDocument/2006/relationships/image" Target="media/index-29_1.png"/><Relationship Id="rId34" Type="http://schemas.openxmlformats.org/officeDocument/2006/relationships/image" Target="media/index-30_1.png"/><Relationship Id="rId35" Type="http://schemas.openxmlformats.org/officeDocument/2006/relationships/image" Target="media/index-31_1.png"/><Relationship Id="rId36" Type="http://schemas.openxmlformats.org/officeDocument/2006/relationships/image" Target="media/index-32_1.png"/><Relationship Id="rId37" Type="http://schemas.openxmlformats.org/officeDocument/2006/relationships/image" Target="media/index-33_1.png"/><Relationship Id="rId38" Type="http://schemas.openxmlformats.org/officeDocument/2006/relationships/image" Target="media/index-34_1.png"/><Relationship Id="rId39" Type="http://schemas.openxmlformats.org/officeDocument/2006/relationships/image" Target="media/index-35_1.png"/><Relationship Id="rId40" Type="http://schemas.openxmlformats.org/officeDocument/2006/relationships/image" Target="media/index-36_1.png"/><Relationship Id="rId41" Type="http://schemas.openxmlformats.org/officeDocument/2006/relationships/image" Target="media/index-37_1.png"/><Relationship Id="rId42" Type="http://schemas.openxmlformats.org/officeDocument/2006/relationships/image" Target="media/index-38_1.png"/><Relationship Id="rId43" Type="http://schemas.openxmlformats.org/officeDocument/2006/relationships/image" Target="media/index-39_1.png"/><Relationship Id="rId44" Type="http://schemas.openxmlformats.org/officeDocument/2006/relationships/image" Target="media/index-40_1.png"/><Relationship Id="rId45" Type="http://schemas.openxmlformats.org/officeDocument/2006/relationships/image" Target="media/index-41_1.png"/><Relationship Id="rId46" Type="http://schemas.openxmlformats.org/officeDocument/2006/relationships/image" Target="media/index-42_1.png"/><Relationship Id="rId47" Type="http://schemas.openxmlformats.org/officeDocument/2006/relationships/image" Target="media/index-43_1.png"/><Relationship Id="rId48" Type="http://schemas.openxmlformats.org/officeDocument/2006/relationships/image" Target="media/index-44_1.png"/><Relationship Id="rId49" Type="http://schemas.openxmlformats.org/officeDocument/2006/relationships/image" Target="media/index-45_1.png"/><Relationship Id="rId50" Type="http://schemas.openxmlformats.org/officeDocument/2006/relationships/image" Target="media/index-46_1.png"/><Relationship Id="rId51" Type="http://schemas.openxmlformats.org/officeDocument/2006/relationships/image" Target="media/index-46_2.png"/><Relationship Id="rId52" Type="http://schemas.openxmlformats.org/officeDocument/2006/relationships/image" Target="media/index-47_1.png"/><Relationship Id="rId53" Type="http://schemas.openxmlformats.org/officeDocument/2006/relationships/image" Target="media/index-47_2.png"/><Relationship Id="rId54" Type="http://schemas.openxmlformats.org/officeDocument/2006/relationships/image" Target="media/index-48_1.png"/><Relationship Id="rId55" Type="http://schemas.openxmlformats.org/officeDocument/2006/relationships/image" Target="media/index-49_1.png"/><Relationship Id="rId56" Type="http://schemas.openxmlformats.org/officeDocument/2006/relationships/image" Target="media/index-50_1.png"/><Relationship Id="rId57" Type="http://schemas.openxmlformats.org/officeDocument/2006/relationships/image" Target="media/index-51_1.png"/><Relationship Id="rId58" Type="http://schemas.openxmlformats.org/officeDocument/2006/relationships/image" Target="media/index-52_1.png"/><Relationship Id="rId59" Type="http://schemas.openxmlformats.org/officeDocument/2006/relationships/image" Target="media/index-53_1.png"/><Relationship Id="rId60" Type="http://schemas.openxmlformats.org/officeDocument/2006/relationships/image" Target="media/index-54_1.png"/><Relationship Id="rId61" Type="http://schemas.openxmlformats.org/officeDocument/2006/relationships/image" Target="media/index-55_1.png"/><Relationship Id="rId62" Type="http://schemas.openxmlformats.org/officeDocument/2006/relationships/image" Target="media/index-56_1.png"/><Relationship Id="rId63" Type="http://schemas.openxmlformats.org/officeDocument/2006/relationships/image" Target="media/index-57_1.png"/><Relationship Id="rId64" Type="http://schemas.openxmlformats.org/officeDocument/2006/relationships/image" Target="media/index-58_1.png"/><Relationship Id="rId65" Type="http://schemas.openxmlformats.org/officeDocument/2006/relationships/image" Target="media/index-59_1.png"/><Relationship Id="rId66" Type="http://schemas.openxmlformats.org/officeDocument/2006/relationships/image" Target="media/index-60_1.png"/><Relationship Id="rId67" Type="http://schemas.openxmlformats.org/officeDocument/2006/relationships/image" Target="media/index-61_1.png"/><Relationship Id="rId68" Type="http://schemas.openxmlformats.org/officeDocument/2006/relationships/image" Target="media/index-62_1.png"/><Relationship Id="rId69" Type="http://schemas.openxmlformats.org/officeDocument/2006/relationships/image" Target="media/index-63_1.png"/><Relationship Id="rId70" Type="http://schemas.openxmlformats.org/officeDocument/2006/relationships/image" Target="media/index-64_1.png"/><Relationship Id="rId71" Type="http://schemas.openxmlformats.org/officeDocument/2006/relationships/image" Target="media/index-65_1.png"/><Relationship Id="rId72" Type="http://schemas.openxmlformats.org/officeDocument/2006/relationships/image" Target="media/index-66_1.png"/><Relationship Id="rId73" Type="http://schemas.openxmlformats.org/officeDocument/2006/relationships/image" Target="media/index-67_1.png"/><Relationship Id="rId74" Type="http://schemas.openxmlformats.org/officeDocument/2006/relationships/image" Target="media/index-68_1.png"/><Relationship Id="rId75" Type="http://schemas.openxmlformats.org/officeDocument/2006/relationships/image" Target="media/index-69_1.png"/><Relationship Id="rId76" Type="http://schemas.openxmlformats.org/officeDocument/2006/relationships/image" Target="media/index-70_1.png"/><Relationship Id="rId77" Type="http://schemas.openxmlformats.org/officeDocument/2006/relationships/image" Target="media/index-71_1.png"/><Relationship Id="rId78" Type="http://schemas.openxmlformats.org/officeDocument/2006/relationships/image" Target="media/index-72_1.png"/><Relationship Id="rId79" Type="http://schemas.openxmlformats.org/officeDocument/2006/relationships/image" Target="media/index-73_1.png"/><Relationship Id="rId80" Type="http://schemas.openxmlformats.org/officeDocument/2006/relationships/image" Target="media/index-74_1.png"/><Relationship Id="rId81" Type="http://schemas.openxmlformats.org/officeDocument/2006/relationships/image" Target="media/index-75_1.png"/><Relationship Id="rId82" Type="http://schemas.openxmlformats.org/officeDocument/2006/relationships/image" Target="media/index-76_1.png"/><Relationship Id="rId83" Type="http://schemas.openxmlformats.org/officeDocument/2006/relationships/image" Target="media/index-77_1.png"/><Relationship Id="rId84" Type="http://schemas.openxmlformats.org/officeDocument/2006/relationships/image" Target="media/index-78_1.png"/><Relationship Id="rId85" Type="http://schemas.openxmlformats.org/officeDocument/2006/relationships/image" Target="media/index-79_1.png"/><Relationship Id="rId86" Type="http://schemas.openxmlformats.org/officeDocument/2006/relationships/image" Target="media/index-80_1.png"/><Relationship Id="rId87" Type="http://schemas.openxmlformats.org/officeDocument/2006/relationships/image" Target="media/index-81_1.png"/><Relationship Id="rId88" Type="http://schemas.openxmlformats.org/officeDocument/2006/relationships/image" Target="media/index-82_1.png"/><Relationship Id="rId89" Type="http://schemas.openxmlformats.org/officeDocument/2006/relationships/image" Target="media/index-83_1.png"/><Relationship Id="rId90" Type="http://schemas.openxmlformats.org/officeDocument/2006/relationships/image" Target="media/index-84_1.png"/><Relationship Id="rId91" Type="http://schemas.openxmlformats.org/officeDocument/2006/relationships/image" Target="media/index-85_1.png"/><Relationship Id="rId92" Type="http://schemas.openxmlformats.org/officeDocument/2006/relationships/image" Target="media/index-86_1.png"/><Relationship Id="rId93" Type="http://schemas.openxmlformats.org/officeDocument/2006/relationships/image" Target="media/index-87_1.png"/><Relationship Id="rId94" Type="http://schemas.openxmlformats.org/officeDocument/2006/relationships/image" Target="media/index-88_1.png"/><Relationship Id="rId95" Type="http://schemas.openxmlformats.org/officeDocument/2006/relationships/image" Target="media/index-89_1.png"/><Relationship Id="rId96" Type="http://schemas.openxmlformats.org/officeDocument/2006/relationships/image" Target="media/index-90_1.png"/><Relationship Id="rId97" Type="http://schemas.openxmlformats.org/officeDocument/2006/relationships/image" Target="media/index-91_1.png"/><Relationship Id="rId98" Type="http://schemas.openxmlformats.org/officeDocument/2006/relationships/image" Target="media/index-92_1.png"/><Relationship Id="rId99" Type="http://schemas.openxmlformats.org/officeDocument/2006/relationships/image" Target="media/index-93_1.png"/><Relationship Id="rId100" Type="http://schemas.openxmlformats.org/officeDocument/2006/relationships/image" Target="media/index-94_1.png"/><Relationship Id="rId101" Type="http://schemas.openxmlformats.org/officeDocument/2006/relationships/image" Target="media/index-95_1.png"/><Relationship Id="rId102" Type="http://schemas.openxmlformats.org/officeDocument/2006/relationships/image" Target="media/index-96_1.png"/><Relationship Id="rId103" Type="http://schemas.openxmlformats.org/officeDocument/2006/relationships/image" Target="media/index-97_1.png"/><Relationship Id="rId104" Type="http://schemas.openxmlformats.org/officeDocument/2006/relationships/image" Target="media/index-98_1.png"/><Relationship Id="rId105" Type="http://schemas.openxmlformats.org/officeDocument/2006/relationships/image" Target="media/index-99_1.png"/><Relationship Id="rId106" Type="http://schemas.openxmlformats.org/officeDocument/2006/relationships/image" Target="media/index-100_1.png"/><Relationship Id="rId107" Type="http://schemas.openxmlformats.org/officeDocument/2006/relationships/image" Target="media/index-101_1.png"/><Relationship Id="rId108" Type="http://schemas.openxmlformats.org/officeDocument/2006/relationships/image" Target="media/index-102_1.png"/><Relationship Id="rId109" Type="http://schemas.openxmlformats.org/officeDocument/2006/relationships/image" Target="media/index-103_1.png"/><Relationship Id="rId110" Type="http://schemas.openxmlformats.org/officeDocument/2006/relationships/image" Target="media/index-104_1.png"/><Relationship Id="rId111" Type="http://schemas.openxmlformats.org/officeDocument/2006/relationships/image" Target="media/index-105_1.png"/><Relationship Id="rId112" Type="http://schemas.openxmlformats.org/officeDocument/2006/relationships/image" Target="media/index-106_1.png"/><Relationship Id="rId113" Type="http://schemas.openxmlformats.org/officeDocument/2006/relationships/image" Target="media/index-107_1.png"/><Relationship Id="rId114" Type="http://schemas.openxmlformats.org/officeDocument/2006/relationships/image" Target="media/index-108_1.png"/><Relationship Id="rId115" Type="http://schemas.openxmlformats.org/officeDocument/2006/relationships/image" Target="media/index-109_1.png"/><Relationship Id="rId116" Type="http://schemas.openxmlformats.org/officeDocument/2006/relationships/image" Target="media/index-110_1.png"/><Relationship Id="rId117" Type="http://schemas.openxmlformats.org/officeDocument/2006/relationships/image" Target="media/index-111_1.png"/><Relationship Id="rId118" Type="http://schemas.openxmlformats.org/officeDocument/2006/relationships/image" Target="media/index-112_1.png"/><Relationship Id="rId119" Type="http://schemas.openxmlformats.org/officeDocument/2006/relationships/image" Target="media/index-113_1.png"/><Relationship Id="rId120" Type="http://schemas.openxmlformats.org/officeDocument/2006/relationships/image" Target="media/index-114_1.png"/><Relationship Id="rId121" Type="http://schemas.openxmlformats.org/officeDocument/2006/relationships/image" Target="media/index-115_1.png"/><Relationship Id="rId122" Type="http://schemas.openxmlformats.org/officeDocument/2006/relationships/image" Target="media/index-116_1.png"/><Relationship Id="rId123" Type="http://schemas.openxmlformats.org/officeDocument/2006/relationships/image" Target="media/index-117_1.png"/><Relationship Id="rId124" Type="http://schemas.openxmlformats.org/officeDocument/2006/relationships/image" Target="media/index-118_1.png"/><Relationship Id="rId125" Type="http://schemas.openxmlformats.org/officeDocument/2006/relationships/image" Target="media/index-119_1.png"/><Relationship Id="rId126" Type="http://schemas.openxmlformats.org/officeDocument/2006/relationships/image" Target="media/index-120_1.png"/><Relationship Id="rId127" Type="http://schemas.openxmlformats.org/officeDocument/2006/relationships/image" Target="media/index-121_1.png"/><Relationship Id="rId128" Type="http://schemas.openxmlformats.org/officeDocument/2006/relationships/image" Target="media/index-122_1.png"/><Relationship Id="rId129" Type="http://schemas.openxmlformats.org/officeDocument/2006/relationships/image" Target="media/index-123_1.png"/><Relationship Id="rId130" Type="http://schemas.openxmlformats.org/officeDocument/2006/relationships/image" Target="media/index-124_1.png"/><Relationship Id="rId131" Type="http://schemas.openxmlformats.org/officeDocument/2006/relationships/image" Target="media/index-125_1.png"/><Relationship Id="rId132" Type="http://schemas.openxmlformats.org/officeDocument/2006/relationships/image" Target="media/index-126_1.png"/><Relationship Id="rId133" Type="http://schemas.openxmlformats.org/officeDocument/2006/relationships/image" Target="media/index-127_1.png"/><Relationship Id="rId134" Type="http://schemas.openxmlformats.org/officeDocument/2006/relationships/image" Target="media/index-128_1.png"/><Relationship Id="rId135" Type="http://schemas.openxmlformats.org/officeDocument/2006/relationships/image" Target="media/index-129_1.png"/><Relationship Id="rId136" Type="http://schemas.openxmlformats.org/officeDocument/2006/relationships/image" Target="media/index-130_1.png"/><Relationship Id="rId137" Type="http://schemas.openxmlformats.org/officeDocument/2006/relationships/image" Target="media/index-131_1.png"/><Relationship Id="rId138" Type="http://schemas.openxmlformats.org/officeDocument/2006/relationships/image" Target="media/index-132_1.png"/><Relationship Id="rId139" Type="http://schemas.openxmlformats.org/officeDocument/2006/relationships/image" Target="media/index-133_1.png"/><Relationship Id="rId140" Type="http://schemas.openxmlformats.org/officeDocument/2006/relationships/image" Target="media/index-134_1.png"/><Relationship Id="rId141" Type="http://schemas.openxmlformats.org/officeDocument/2006/relationships/image" Target="media/index-135_1.png"/><Relationship Id="rId142" Type="http://schemas.openxmlformats.org/officeDocument/2006/relationships/image" Target="media/index-136_1.png"/><Relationship Id="rId143" Type="http://schemas.openxmlformats.org/officeDocument/2006/relationships/image" Target="media/index-137_1.png"/><Relationship Id="rId144" Type="http://schemas.openxmlformats.org/officeDocument/2006/relationships/image" Target="media/index-138_1.png"/><Relationship Id="rId145" Type="http://schemas.openxmlformats.org/officeDocument/2006/relationships/image" Target="media/index-139_1.png"/><Relationship Id="rId146" Type="http://schemas.openxmlformats.org/officeDocument/2006/relationships/image" Target="media/index-140_1.png"/><Relationship Id="rId147" Type="http://schemas.openxmlformats.org/officeDocument/2006/relationships/image" Target="media/index-141_1.png"/><Relationship Id="rId148" Type="http://schemas.openxmlformats.org/officeDocument/2006/relationships/image" Target="media/index-142_1.png"/><Relationship Id="rId149" Type="http://schemas.openxmlformats.org/officeDocument/2006/relationships/image" Target="media/index-143_1.png"/><Relationship Id="rId150" Type="http://schemas.openxmlformats.org/officeDocument/2006/relationships/image" Target="media/index-144_1.png"/><Relationship Id="rId151" Type="http://schemas.openxmlformats.org/officeDocument/2006/relationships/image" Target="media/index-145_1.png"/><Relationship Id="rId152" Type="http://schemas.openxmlformats.org/officeDocument/2006/relationships/image" Target="media/index-146_1.png"/><Relationship Id="rId153" Type="http://schemas.openxmlformats.org/officeDocument/2006/relationships/image" Target="media/index-147_1.png"/><Relationship Id="rId154" Type="http://schemas.openxmlformats.org/officeDocument/2006/relationships/image" Target="media/index-148_1.png"/><Relationship Id="rId155" Type="http://schemas.openxmlformats.org/officeDocument/2006/relationships/image" Target="media/index-149_1.png"/><Relationship Id="rId156" Type="http://schemas.openxmlformats.org/officeDocument/2006/relationships/image" Target="media/index-150_1.png"/><Relationship Id="rId157" Type="http://schemas.openxmlformats.org/officeDocument/2006/relationships/image" Target="media/index-151_1.png"/><Relationship Id="rId158" Type="http://schemas.openxmlformats.org/officeDocument/2006/relationships/image" Target="media/index-152_1.png"/><Relationship Id="rId159" Type="http://schemas.openxmlformats.org/officeDocument/2006/relationships/image" Target="media/index-153_1.png"/><Relationship Id="rId160" Type="http://schemas.openxmlformats.org/officeDocument/2006/relationships/image" Target="media/index-154_1.png"/><Relationship Id="rId161" Type="http://schemas.openxmlformats.org/officeDocument/2006/relationships/image" Target="media/index-155_1.png"/><Relationship Id="rId162" Type="http://schemas.openxmlformats.org/officeDocument/2006/relationships/image" Target="media/index-156_1.png"/><Relationship Id="rId163" Type="http://schemas.openxmlformats.org/officeDocument/2006/relationships/image" Target="media/index-157_1.png"/><Relationship Id="rId164" Type="http://schemas.openxmlformats.org/officeDocument/2006/relationships/image" Target="media/index-158_1.png"/><Relationship Id="rId165" Type="http://schemas.openxmlformats.org/officeDocument/2006/relationships/image" Target="media/index-159_1.png"/><Relationship Id="rId166" Type="http://schemas.openxmlformats.org/officeDocument/2006/relationships/image" Target="media/index-160_1.png"/><Relationship Id="rId167" Type="http://schemas.openxmlformats.org/officeDocument/2006/relationships/image" Target="media/index-161_1.png"/><Relationship Id="rId168" Type="http://schemas.openxmlformats.org/officeDocument/2006/relationships/image" Target="media/index-162_1.png"/><Relationship Id="rId169" Type="http://schemas.openxmlformats.org/officeDocument/2006/relationships/image" Target="media/index-163_1.png"/><Relationship Id="rId170" Type="http://schemas.openxmlformats.org/officeDocument/2006/relationships/image" Target="media/index-164_1.png"/><Relationship Id="rId171" Type="http://schemas.openxmlformats.org/officeDocument/2006/relationships/image" Target="media/index-164_2.png"/><Relationship Id="rId172" Type="http://schemas.openxmlformats.org/officeDocument/2006/relationships/image" Target="media/index-165_1.png"/><Relationship Id="rId173" Type="http://schemas.openxmlformats.org/officeDocument/2006/relationships/image" Target="media/index-165_2.png"/><Relationship Id="rId174" Type="http://schemas.openxmlformats.org/officeDocument/2006/relationships/image" Target="media/index-166_1.png"/><Relationship Id="rId175" Type="http://schemas.openxmlformats.org/officeDocument/2006/relationships/image" Target="media/index-166_2.png"/><Relationship Id="rId176" Type="http://schemas.openxmlformats.org/officeDocument/2006/relationships/image" Target="media/index-167_1.png"/><Relationship Id="rId177" Type="http://schemas.openxmlformats.org/officeDocument/2006/relationships/image" Target="media/index-168_1.png"/><Relationship Id="rId178" Type="http://schemas.openxmlformats.org/officeDocument/2006/relationships/image" Target="media/index-169_1.png"/><Relationship Id="rId179" Type="http://schemas.openxmlformats.org/officeDocument/2006/relationships/image" Target="media/index-170_1.png"/><Relationship Id="rId180" Type="http://schemas.openxmlformats.org/officeDocument/2006/relationships/image" Target="media/index-171_1.png"/><Relationship Id="rId181" Type="http://schemas.openxmlformats.org/officeDocument/2006/relationships/image" Target="media/index-172_1.png"/><Relationship Id="rId182" Type="http://schemas.openxmlformats.org/officeDocument/2006/relationships/image" Target="media/index-173_1.png"/><Relationship Id="rId183" Type="http://schemas.openxmlformats.org/officeDocument/2006/relationships/image" Target="media/index-174_1.png"/><Relationship Id="rId184" Type="http://schemas.openxmlformats.org/officeDocument/2006/relationships/image" Target="media/index-175_1.png"/><Relationship Id="rId185" Type="http://schemas.openxmlformats.org/officeDocument/2006/relationships/image" Target="media/index-176_1.png"/><Relationship Id="rId186" Type="http://schemas.openxmlformats.org/officeDocument/2006/relationships/image" Target="media/index-177_1.png"/><Relationship Id="rId187" Type="http://schemas.openxmlformats.org/officeDocument/2006/relationships/image" Target="media/index-178_1.png"/><Relationship Id="rId188" Type="http://schemas.openxmlformats.org/officeDocument/2006/relationships/image" Target="media/index-179_1.png"/><Relationship Id="rId189" Type="http://schemas.openxmlformats.org/officeDocument/2006/relationships/image" Target="media/index-180_1.png"/><Relationship Id="rId190" Type="http://schemas.openxmlformats.org/officeDocument/2006/relationships/image" Target="media/index-181_1.png"/><Relationship Id="rId191" Type="http://schemas.openxmlformats.org/officeDocument/2006/relationships/image" Target="media/index-182_1.png"/><Relationship Id="rId192" Type="http://schemas.openxmlformats.org/officeDocument/2006/relationships/image" Target="media/index-183_1.png"/><Relationship Id="rId193" Type="http://schemas.openxmlformats.org/officeDocument/2006/relationships/image" Target="media/index-184_1.png"/><Relationship Id="rId194" Type="http://schemas.openxmlformats.org/officeDocument/2006/relationships/image" Target="media/index-185_1.png"/><Relationship Id="rId195" Type="http://schemas.openxmlformats.org/officeDocument/2006/relationships/image" Target="media/index-186_1.png"/><Relationship Id="rId196" Type="http://schemas.openxmlformats.org/officeDocument/2006/relationships/image" Target="media/index-187_1.png"/><Relationship Id="rId197" Type="http://schemas.openxmlformats.org/officeDocument/2006/relationships/image" Target="media/index-188_1.png"/><Relationship Id="rId198" Type="http://schemas.openxmlformats.org/officeDocument/2006/relationships/image" Target="media/index-189_1.png"/><Relationship Id="rId199" Type="http://schemas.openxmlformats.org/officeDocument/2006/relationships/image" Target="media/index-190_1.png"/><Relationship Id="rId200" Type="http://schemas.openxmlformats.org/officeDocument/2006/relationships/image" Target="media/index-191_1.png"/><Relationship Id="rId201" Type="http://schemas.openxmlformats.org/officeDocument/2006/relationships/image" Target="media/index-192_1.png"/><Relationship Id="rId202" Type="http://schemas.openxmlformats.org/officeDocument/2006/relationships/image" Target="media/index-193_1.png"/><Relationship Id="rId203" Type="http://schemas.openxmlformats.org/officeDocument/2006/relationships/image" Target="media/index-194_1.png"/><Relationship Id="rId204" Type="http://schemas.openxmlformats.org/officeDocument/2006/relationships/image" Target="media/index-195_1.png"/><Relationship Id="rId205" Type="http://schemas.openxmlformats.org/officeDocument/2006/relationships/image" Target="media/index-196_1.png"/><Relationship Id="rId206" Type="http://schemas.openxmlformats.org/officeDocument/2006/relationships/image" Target="media/index-197_1.png"/><Relationship Id="rId207" Type="http://schemas.openxmlformats.org/officeDocument/2006/relationships/image" Target="media/index-198_1.png"/><Relationship Id="rId208" Type="http://schemas.openxmlformats.org/officeDocument/2006/relationships/image" Target="media/index-199_1.png"/><Relationship Id="rId209" Type="http://schemas.openxmlformats.org/officeDocument/2006/relationships/image" Target="media/index-200_1.png"/><Relationship Id="rId210" Type="http://schemas.openxmlformats.org/officeDocument/2006/relationships/image" Target="media/index-201_1.png"/><Relationship Id="rId211" Type="http://schemas.openxmlformats.org/officeDocument/2006/relationships/image" Target="media/index-202_1.png"/><Relationship Id="rId212" Type="http://schemas.openxmlformats.org/officeDocument/2006/relationships/image" Target="media/index-203_1.png"/><Relationship Id="rId213" Type="http://schemas.openxmlformats.org/officeDocument/2006/relationships/image" Target="media/index-204_1.png"/><Relationship Id="rId214" Type="http://schemas.openxmlformats.org/officeDocument/2006/relationships/image" Target="media/index-205_1.png"/><Relationship Id="rId215" Type="http://schemas.openxmlformats.org/officeDocument/2006/relationships/image" Target="media/index-206_1.png"/><Relationship Id="rId216" Type="http://schemas.openxmlformats.org/officeDocument/2006/relationships/image" Target="media/index-207_1.png"/><Relationship Id="rId217" Type="http://schemas.openxmlformats.org/officeDocument/2006/relationships/image" Target="media/index-208_1.png"/><Relationship Id="rId218" Type="http://schemas.openxmlformats.org/officeDocument/2006/relationships/image" Target="media/index-209_1.png"/><Relationship Id="rId219" Type="http://schemas.openxmlformats.org/officeDocument/2006/relationships/image" Target="media/index-210_1.png"/><Relationship Id="rId220" Type="http://schemas.openxmlformats.org/officeDocument/2006/relationships/image" Target="media/index-211_1.png"/><Relationship Id="rId221" Type="http://schemas.openxmlformats.org/officeDocument/2006/relationships/image" Target="media/index-212_1.png"/><Relationship Id="rId222" Type="http://schemas.openxmlformats.org/officeDocument/2006/relationships/image" Target="media/index-213_1.png"/><Relationship Id="rId223" Type="http://schemas.openxmlformats.org/officeDocument/2006/relationships/image" Target="media/index-214_1.png"/><Relationship Id="rId224" Type="http://schemas.openxmlformats.org/officeDocument/2006/relationships/image" Target="media/index-215_1.png"/><Relationship Id="rId225" Type="http://schemas.openxmlformats.org/officeDocument/2006/relationships/image" Target="media/index-216_1.png"/><Relationship Id="rId226" Type="http://schemas.openxmlformats.org/officeDocument/2006/relationships/image" Target="media/index-217_1.png"/><Relationship Id="rId227" Type="http://schemas.openxmlformats.org/officeDocument/2006/relationships/image" Target="media/index-218_1.png"/><Relationship Id="rId228" Type="http://schemas.openxmlformats.org/officeDocument/2006/relationships/image" Target="media/index-219_1.png"/><Relationship Id="rId229" Type="http://schemas.openxmlformats.org/officeDocument/2006/relationships/image" Target="media/index-220_1.png"/><Relationship Id="rId230" Type="http://schemas.openxmlformats.org/officeDocument/2006/relationships/image" Target="media/index-221_1.png"/><Relationship Id="rId231" Type="http://schemas.openxmlformats.org/officeDocument/2006/relationships/image" Target="media/index-222_1.png"/><Relationship Id="rId232" Type="http://schemas.openxmlformats.org/officeDocument/2006/relationships/image" Target="media/index-223_1.png"/><Relationship Id="rId233" Type="http://schemas.openxmlformats.org/officeDocument/2006/relationships/image" Target="media/index-224_1.png"/><Relationship Id="rId234" Type="http://schemas.openxmlformats.org/officeDocument/2006/relationships/image" Target="media/index-225_1.png"/><Relationship Id="rId235" Type="http://schemas.openxmlformats.org/officeDocument/2006/relationships/image" Target="media/index-226_1.png"/><Relationship Id="rId236" Type="http://schemas.openxmlformats.org/officeDocument/2006/relationships/image" Target="media/index-227_1.png"/><Relationship Id="rId237" Type="http://schemas.openxmlformats.org/officeDocument/2006/relationships/image" Target="media/index-228_1.png"/><Relationship Id="rId238" Type="http://schemas.openxmlformats.org/officeDocument/2006/relationships/image" Target="media/index-229_1.png"/><Relationship Id="rId239" Type="http://schemas.openxmlformats.org/officeDocument/2006/relationships/image" Target="media/index-230_1.png"/><Relationship Id="rId240" Type="http://schemas.openxmlformats.org/officeDocument/2006/relationships/image" Target="media/index-231_1.png"/><Relationship Id="rId241" Type="http://schemas.openxmlformats.org/officeDocument/2006/relationships/image" Target="media/index-232_1.png"/><Relationship Id="rId242" Type="http://schemas.openxmlformats.org/officeDocument/2006/relationships/image" Target="media/index-233_1.png"/><Relationship Id="rId243" Type="http://schemas.openxmlformats.org/officeDocument/2006/relationships/image" Target="media/index-234_1.png"/><Relationship Id="rId244" Type="http://schemas.openxmlformats.org/officeDocument/2006/relationships/image" Target="media/index-235_1.png"/><Relationship Id="rId245" Type="http://schemas.openxmlformats.org/officeDocument/2006/relationships/image" Target="media/index-236_1.png"/><Relationship Id="rId246" Type="http://schemas.openxmlformats.org/officeDocument/2006/relationships/image" Target="media/index-237_1.png"/><Relationship Id="rId247" Type="http://schemas.openxmlformats.org/officeDocument/2006/relationships/image" Target="media/index-238_1.png"/><Relationship Id="rId248" Type="http://schemas.openxmlformats.org/officeDocument/2006/relationships/image" Target="media/index-239_1.png"/><Relationship Id="rId249" Type="http://schemas.openxmlformats.org/officeDocument/2006/relationships/image" Target="media/index-240_1.png"/><Relationship Id="rId250" Type="http://schemas.openxmlformats.org/officeDocument/2006/relationships/image" Target="media/index-241_1.png"/><Relationship Id="rId251" Type="http://schemas.openxmlformats.org/officeDocument/2006/relationships/image" Target="media/index-242_1.png"/><Relationship Id="rId252" Type="http://schemas.openxmlformats.org/officeDocument/2006/relationships/image" Target="media/index-243_1.png"/><Relationship Id="rId253" Type="http://schemas.openxmlformats.org/officeDocument/2006/relationships/image" Target="media/index-244_1.png"/><Relationship Id="rId254" Type="http://schemas.openxmlformats.org/officeDocument/2006/relationships/image" Target="media/index-245_1.png"/><Relationship Id="rId255" Type="http://schemas.openxmlformats.org/officeDocument/2006/relationships/image" Target="media/index-246_1.png"/><Relationship Id="rId256" Type="http://schemas.openxmlformats.org/officeDocument/2006/relationships/image" Target="media/index-247_1.png"/><Relationship Id="rId257" Type="http://schemas.openxmlformats.org/officeDocument/2006/relationships/image" Target="media/index-248_1.png"/><Relationship Id="rId258" Type="http://schemas.openxmlformats.org/officeDocument/2006/relationships/image" Target="media/index-249_1.png"/><Relationship Id="rId259" Type="http://schemas.openxmlformats.org/officeDocument/2006/relationships/image" Target="media/index-250_1.png"/><Relationship Id="rId260" Type="http://schemas.openxmlformats.org/officeDocument/2006/relationships/image" Target="media/index-251_1.png"/><Relationship Id="rId261" Type="http://schemas.openxmlformats.org/officeDocument/2006/relationships/image" Target="media/index-252_1.png"/><Relationship Id="rId262" Type="http://schemas.openxmlformats.org/officeDocument/2006/relationships/image" Target="media/index-253_1.png"/><Relationship Id="rId263" Type="http://schemas.openxmlformats.org/officeDocument/2006/relationships/image" Target="media/index-254_1.png"/><Relationship Id="rId264" Type="http://schemas.openxmlformats.org/officeDocument/2006/relationships/image" Target="media/index-255_1.png"/><Relationship Id="rId265" Type="http://schemas.openxmlformats.org/officeDocument/2006/relationships/image" Target="media/index-256_1.png"/><Relationship Id="rId266" Type="http://schemas.openxmlformats.org/officeDocument/2006/relationships/image" Target="media/index-257_1.png"/><Relationship Id="rId267" Type="http://schemas.openxmlformats.org/officeDocument/2006/relationships/image" Target="media/index-258_1.png"/><Relationship Id="rId268" Type="http://schemas.openxmlformats.org/officeDocument/2006/relationships/image" Target="media/index-259_1.png"/><Relationship Id="rId269" Type="http://schemas.openxmlformats.org/officeDocument/2006/relationships/image" Target="media/index-260_1.png"/><Relationship Id="rId270" Type="http://schemas.openxmlformats.org/officeDocument/2006/relationships/image" Target="media/index-261_1.png"/><Relationship Id="rId271" Type="http://schemas.openxmlformats.org/officeDocument/2006/relationships/image" Target="media/index-262_1.png"/><Relationship Id="rId272" Type="http://schemas.openxmlformats.org/officeDocument/2006/relationships/image" Target="media/index-263_1.png"/><Relationship Id="rId273" Type="http://schemas.openxmlformats.org/officeDocument/2006/relationships/image" Target="media/index-264_1.png"/><Relationship Id="rId274" Type="http://schemas.openxmlformats.org/officeDocument/2006/relationships/image" Target="media/index-265_1.png"/><Relationship Id="rId275" Type="http://schemas.openxmlformats.org/officeDocument/2006/relationships/image" Target="media/index-266_1.png"/><Relationship Id="rId276" Type="http://schemas.openxmlformats.org/officeDocument/2006/relationships/image" Target="media/index-267_1.png"/><Relationship Id="rId277" Type="http://schemas.openxmlformats.org/officeDocument/2006/relationships/image" Target="media/index-268_1.png"/><Relationship Id="rId278" Type="http://schemas.openxmlformats.org/officeDocument/2006/relationships/image" Target="media/index-269_1.png"/><Relationship Id="rId279" Type="http://schemas.openxmlformats.org/officeDocument/2006/relationships/image" Target="media/index-270_1.png"/><Relationship Id="rId280" Type="http://schemas.openxmlformats.org/officeDocument/2006/relationships/image" Target="media/index-271_1.png"/><Relationship Id="rId281" Type="http://schemas.openxmlformats.org/officeDocument/2006/relationships/image" Target="media/index-272_1.png"/><Relationship Id="rId282" Type="http://schemas.openxmlformats.org/officeDocument/2006/relationships/image" Target="media/index-273_1.png"/><Relationship Id="rId283" Type="http://schemas.openxmlformats.org/officeDocument/2006/relationships/image" Target="media/index-274_1.png"/><Relationship Id="rId284" Type="http://schemas.openxmlformats.org/officeDocument/2006/relationships/image" Target="media/index-275_1.png"/><Relationship Id="rId285" Type="http://schemas.openxmlformats.org/officeDocument/2006/relationships/image" Target="media/index-276_1.png"/><Relationship Id="rId286" Type="http://schemas.openxmlformats.org/officeDocument/2006/relationships/image" Target="media/index-277_1.png"/><Relationship Id="rId287" Type="http://schemas.openxmlformats.org/officeDocument/2006/relationships/image" Target="media/index-278_1.png"/><Relationship Id="rId288" Type="http://schemas.openxmlformats.org/officeDocument/2006/relationships/image" Target="media/index-279_1.png"/><Relationship Id="rId289" Type="http://schemas.openxmlformats.org/officeDocument/2006/relationships/image" Target="media/index-280_1.png"/><Relationship Id="rId290" Type="http://schemas.openxmlformats.org/officeDocument/2006/relationships/image" Target="media/index-281_1.png"/><Relationship Id="rId291" Type="http://schemas.openxmlformats.org/officeDocument/2006/relationships/image" Target="media/index-282_1.png"/><Relationship Id="rId292" Type="http://schemas.openxmlformats.org/officeDocument/2006/relationships/image" Target="media/index-283_1.png"/><Relationship Id="rId293" Type="http://schemas.openxmlformats.org/officeDocument/2006/relationships/image" Target="media/index-284_1.png"/><Relationship Id="rId294" Type="http://schemas.openxmlformats.org/officeDocument/2006/relationships/image" Target="media/index-285_1.png"/><Relationship Id="rId295" Type="http://schemas.openxmlformats.org/officeDocument/2006/relationships/image" Target="media/index-286_1.png"/><Relationship Id="rId296" Type="http://schemas.openxmlformats.org/officeDocument/2006/relationships/image" Target="media/index-287_1.png"/><Relationship Id="rId297" Type="http://schemas.openxmlformats.org/officeDocument/2006/relationships/image" Target="media/index-288_1.png"/><Relationship Id="rId298" Type="http://schemas.openxmlformats.org/officeDocument/2006/relationships/image" Target="media/index-289_1.png"/><Relationship Id="rId299" Type="http://schemas.openxmlformats.org/officeDocument/2006/relationships/image" Target="media/index-290_1.png"/><Relationship Id="rId300" Type="http://schemas.openxmlformats.org/officeDocument/2006/relationships/image" Target="media/index-291_1.png"/><Relationship Id="rId301" Type="http://schemas.openxmlformats.org/officeDocument/2006/relationships/image" Target="media/index-292_1.png"/><Relationship Id="rId302" Type="http://schemas.openxmlformats.org/officeDocument/2006/relationships/image" Target="media/index-293_1.png"/><Relationship Id="rId303" Type="http://schemas.openxmlformats.org/officeDocument/2006/relationships/image" Target="media/index-294_1.png"/><Relationship Id="rId304" Type="http://schemas.openxmlformats.org/officeDocument/2006/relationships/image" Target="media/index-295_1.png"/><Relationship Id="rId305" Type="http://schemas.openxmlformats.org/officeDocument/2006/relationships/image" Target="media/index-296_1.png"/><Relationship Id="rId306" Type="http://schemas.openxmlformats.org/officeDocument/2006/relationships/image" Target="media/index-297_1.png"/><Relationship Id="rId307" Type="http://schemas.openxmlformats.org/officeDocument/2006/relationships/image" Target="media/index-298_1.png"/><Relationship Id="rId308" Type="http://schemas.openxmlformats.org/officeDocument/2006/relationships/image" Target="media/index-299_1.png"/><Relationship Id="rId309" Type="http://schemas.openxmlformats.org/officeDocument/2006/relationships/image" Target="media/index-300_1.png"/><Relationship Id="rId310" Type="http://schemas.openxmlformats.org/officeDocument/2006/relationships/image" Target="media/index-301_1.png"/><Relationship Id="rId311" Type="http://schemas.openxmlformats.org/officeDocument/2006/relationships/image" Target="media/index-302_1.png"/><Relationship Id="rId312" Type="http://schemas.openxmlformats.org/officeDocument/2006/relationships/image" Target="media/index-303_1.png"/><Relationship Id="rId313" Type="http://schemas.openxmlformats.org/officeDocument/2006/relationships/image" Target="media/index-304_1.png"/><Relationship Id="rId314" Type="http://schemas.openxmlformats.org/officeDocument/2006/relationships/image" Target="media/index-305_1.png"/><Relationship Id="rId315" Type="http://schemas.openxmlformats.org/officeDocument/2006/relationships/image" Target="media/index-306_1.png"/><Relationship Id="rId316" Type="http://schemas.openxmlformats.org/officeDocument/2006/relationships/image" Target="media/index-307_1.png"/><Relationship Id="rId317" Type="http://schemas.openxmlformats.org/officeDocument/2006/relationships/image" Target="media/index-308_1.png"/><Relationship Id="rId318" Type="http://schemas.openxmlformats.org/officeDocument/2006/relationships/image" Target="media/index-309_1.png"/><Relationship Id="rId319" Type="http://schemas.openxmlformats.org/officeDocument/2006/relationships/image" Target="media/index-310_1.png"/><Relationship Id="rId320" Type="http://schemas.openxmlformats.org/officeDocument/2006/relationships/image" Target="media/index-311_1.png"/><Relationship Id="rId321" Type="http://schemas.openxmlformats.org/officeDocument/2006/relationships/image" Target="media/index-312_1.png"/><Relationship Id="rId322" Type="http://schemas.openxmlformats.org/officeDocument/2006/relationships/image" Target="media/index-313_1.png"/><Relationship Id="rId323" Type="http://schemas.openxmlformats.org/officeDocument/2006/relationships/image" Target="media/index-314_1.png"/><Relationship Id="rId324" Type="http://schemas.openxmlformats.org/officeDocument/2006/relationships/image" Target="media/index-315_1.png"/><Relationship Id="rId325" Type="http://schemas.openxmlformats.org/officeDocument/2006/relationships/image" Target="media/index-316_1.png"/><Relationship Id="rId326" Type="http://schemas.openxmlformats.org/officeDocument/2006/relationships/image" Target="media/index-317_1.png"/><Relationship Id="rId327" Type="http://schemas.openxmlformats.org/officeDocument/2006/relationships/image" Target="media/index-318_1.png"/><Relationship Id="rId328" Type="http://schemas.openxmlformats.org/officeDocument/2006/relationships/image" Target="media/index-319_1.png"/><Relationship Id="rId329" Type="http://schemas.openxmlformats.org/officeDocument/2006/relationships/image" Target="media/index-320_1.png"/><Relationship Id="rId330" Type="http://schemas.openxmlformats.org/officeDocument/2006/relationships/image" Target="media/index-321_1.png"/><Relationship Id="rId331" Type="http://schemas.openxmlformats.org/officeDocument/2006/relationships/image" Target="media/index-322_1.png"/><Relationship Id="rId332" Type="http://schemas.openxmlformats.org/officeDocument/2006/relationships/image" Target="media/index-323_1.png"/><Relationship Id="rId333" Type="http://schemas.openxmlformats.org/officeDocument/2006/relationships/image" Target="media/index-324_1.png"/><Relationship Id="rId334" Type="http://schemas.openxmlformats.org/officeDocument/2006/relationships/image" Target="media/index-325_1.png"/><Relationship Id="rId335" Type="http://schemas.openxmlformats.org/officeDocument/2006/relationships/image" Target="media/index-326_1.png"/><Relationship Id="rId336" Type="http://schemas.openxmlformats.org/officeDocument/2006/relationships/image" Target="media/index-327_1.png"/><Relationship Id="rId337" Type="http://schemas.openxmlformats.org/officeDocument/2006/relationships/image" Target="media/index-328_1.png"/><Relationship Id="rId338" Type="http://schemas.openxmlformats.org/officeDocument/2006/relationships/image" Target="media/index-329_1.png"/><Relationship Id="rId339" Type="http://schemas.openxmlformats.org/officeDocument/2006/relationships/image" Target="media/index-330_1.png"/><Relationship Id="rId340" Type="http://schemas.openxmlformats.org/officeDocument/2006/relationships/image" Target="media/index-331_1.png"/><Relationship Id="rId341" Type="http://schemas.openxmlformats.org/officeDocument/2006/relationships/image" Target="media/index-331_2.png"/><Relationship Id="rId342" Type="http://schemas.openxmlformats.org/officeDocument/2006/relationships/image" Target="media/index-332_1.png"/><Relationship Id="rId343" Type="http://schemas.openxmlformats.org/officeDocument/2006/relationships/image" Target="media/index-333_1.png"/><Relationship Id="rId344" Type="http://schemas.openxmlformats.org/officeDocument/2006/relationships/image" Target="media/index-333_2.png"/><Relationship Id="rId345" Type="http://schemas.openxmlformats.org/officeDocument/2006/relationships/image" Target="media/index-334_1.png"/><Relationship Id="rId346" Type="http://schemas.openxmlformats.org/officeDocument/2006/relationships/image" Target="media/index-335_1.png"/><Relationship Id="rId347" Type="http://schemas.openxmlformats.org/officeDocument/2006/relationships/image" Target="media/index-336_1.png"/><Relationship Id="rId348" Type="http://schemas.openxmlformats.org/officeDocument/2006/relationships/image" Target="media/index-337_1.png"/><Relationship Id="rId349" Type="http://schemas.openxmlformats.org/officeDocument/2006/relationships/image" Target="media/index-338_1.png"/><Relationship Id="rId350" Type="http://schemas.openxmlformats.org/officeDocument/2006/relationships/image" Target="media/index-339_1.png"/><Relationship Id="rId351" Type="http://schemas.openxmlformats.org/officeDocument/2006/relationships/image" Target="media/index-340_1.png"/><Relationship Id="rId352" Type="http://schemas.openxmlformats.org/officeDocument/2006/relationships/image" Target="media/index-341_1.png"/><Relationship Id="rId353" Type="http://schemas.openxmlformats.org/officeDocument/2006/relationships/image" Target="media/index-342_1.png"/><Relationship Id="rId354" Type="http://schemas.openxmlformats.org/officeDocument/2006/relationships/image" Target="media/index-343_1.png"/><Relationship Id="rId355" Type="http://schemas.openxmlformats.org/officeDocument/2006/relationships/image" Target="media/index-344_1.png"/><Relationship Id="rId356" Type="http://schemas.openxmlformats.org/officeDocument/2006/relationships/image" Target="media/index-345_1.png"/><Relationship Id="rId357" Type="http://schemas.openxmlformats.org/officeDocument/2006/relationships/image" Target="media/index-346_1.png"/><Relationship Id="rId358" Type="http://schemas.openxmlformats.org/officeDocument/2006/relationships/image" Target="media/index-347_1.png"/><Relationship Id="rId359" Type="http://schemas.openxmlformats.org/officeDocument/2006/relationships/image" Target="media/index-348_1.png"/><Relationship Id="rId360" Type="http://schemas.openxmlformats.org/officeDocument/2006/relationships/image" Target="media/index-349_1.png"/><Relationship Id="rId361" Type="http://schemas.openxmlformats.org/officeDocument/2006/relationships/image" Target="media/index-350_1.png"/><Relationship Id="rId362" Type="http://schemas.openxmlformats.org/officeDocument/2006/relationships/image" Target="media/index-351_1.png"/><Relationship Id="rId363" Type="http://schemas.openxmlformats.org/officeDocument/2006/relationships/image" Target="media/index-352_1.png"/><Relationship Id="rId364" Type="http://schemas.openxmlformats.org/officeDocument/2006/relationships/image" Target="media/index-353_1.png"/><Relationship Id="rId365" Type="http://schemas.openxmlformats.org/officeDocument/2006/relationships/image" Target="media/index-354_1.png"/><Relationship Id="rId366" Type="http://schemas.openxmlformats.org/officeDocument/2006/relationships/image" Target="media/index-355_1.png"/><Relationship Id="rId367" Type="http://schemas.openxmlformats.org/officeDocument/2006/relationships/image" Target="media/index-356_1.png"/><Relationship Id="rId368" Type="http://schemas.openxmlformats.org/officeDocument/2006/relationships/image" Target="media/index-357_1.png"/><Relationship Id="rId369" Type="http://schemas.openxmlformats.org/officeDocument/2006/relationships/image" Target="media/index-358_1.png"/><Relationship Id="rId370" Type="http://schemas.openxmlformats.org/officeDocument/2006/relationships/image" Target="media/index-359_1.png"/><Relationship Id="rId371" Type="http://schemas.openxmlformats.org/officeDocument/2006/relationships/image" Target="media/index-360_1.png"/><Relationship Id="rId372" Type="http://schemas.openxmlformats.org/officeDocument/2006/relationships/image" Target="media/index-361_1.png"/><Relationship Id="rId373" Type="http://schemas.openxmlformats.org/officeDocument/2006/relationships/image" Target="media/index-362_1.png"/><Relationship Id="rId374" Type="http://schemas.openxmlformats.org/officeDocument/2006/relationships/image" Target="media/index-363_1.png"/><Relationship Id="rId375" Type="http://schemas.openxmlformats.org/officeDocument/2006/relationships/image" Target="media/index-364_1.png"/><Relationship Id="rId376" Type="http://schemas.openxmlformats.org/officeDocument/2006/relationships/image" Target="media/index-365_1.png"/><Relationship Id="rId377" Type="http://schemas.openxmlformats.org/officeDocument/2006/relationships/image" Target="media/index-366_1.png"/><Relationship Id="rId378" Type="http://schemas.openxmlformats.org/officeDocument/2006/relationships/image" Target="media/index-367_1.png"/><Relationship Id="rId379" Type="http://schemas.openxmlformats.org/officeDocument/2006/relationships/image" Target="media/index-368_1.png"/><Relationship Id="rId380" Type="http://schemas.openxmlformats.org/officeDocument/2006/relationships/image" Target="media/index-369_1.png"/><Relationship Id="rId381" Type="http://schemas.openxmlformats.org/officeDocument/2006/relationships/image" Target="media/index-370_1.png"/><Relationship Id="rId382" Type="http://schemas.openxmlformats.org/officeDocument/2006/relationships/image" Target="media/index-371_1.png"/><Relationship Id="rId383" Type="http://schemas.openxmlformats.org/officeDocument/2006/relationships/image" Target="media/index-372_1.png"/><Relationship Id="rId384" Type="http://schemas.openxmlformats.org/officeDocument/2006/relationships/image" Target="media/index-373_1.png"/><Relationship Id="rId385" Type="http://schemas.openxmlformats.org/officeDocument/2006/relationships/image" Target="media/index-374_1.png"/><Relationship Id="rId386" Type="http://schemas.openxmlformats.org/officeDocument/2006/relationships/image" Target="media/index-375_1.png"/><Relationship Id="rId387" Type="http://schemas.openxmlformats.org/officeDocument/2006/relationships/image" Target="media/index-376_1.png"/><Relationship Id="rId388" Type="http://schemas.openxmlformats.org/officeDocument/2006/relationships/image" Target="media/index-377_1.png"/><Relationship Id="rId389" Type="http://schemas.openxmlformats.org/officeDocument/2006/relationships/image" Target="media/index-378_1.png"/><Relationship Id="rId390" Type="http://schemas.openxmlformats.org/officeDocument/2006/relationships/image" Target="media/index-379_1.png"/><Relationship Id="rId391" Type="http://schemas.openxmlformats.org/officeDocument/2006/relationships/image" Target="media/index-380_1.png"/><Relationship Id="rId392" Type="http://schemas.openxmlformats.org/officeDocument/2006/relationships/image" Target="media/index-381_1.png"/><Relationship Id="rId393" Type="http://schemas.openxmlformats.org/officeDocument/2006/relationships/image" Target="media/index-382_1.png"/><Relationship Id="rId394" Type="http://schemas.openxmlformats.org/officeDocument/2006/relationships/image" Target="media/index-383_1.png"/><Relationship Id="rId395" Type="http://schemas.openxmlformats.org/officeDocument/2006/relationships/image" Target="media/index-384_1.png"/><Relationship Id="rId396" Type="http://schemas.openxmlformats.org/officeDocument/2006/relationships/image" Target="media/index-385_1.png"/><Relationship Id="rId397" Type="http://schemas.openxmlformats.org/officeDocument/2006/relationships/image" Target="media/index-386_1.png"/><Relationship Id="rId398" Type="http://schemas.openxmlformats.org/officeDocument/2006/relationships/image" Target="media/index-387_1.png"/><Relationship Id="rId399" Type="http://schemas.openxmlformats.org/officeDocument/2006/relationships/image" Target="media/index-388_1.png"/><Relationship Id="rId400" Type="http://schemas.openxmlformats.org/officeDocument/2006/relationships/image" Target="media/index-389_1.png"/><Relationship Id="rId401" Type="http://schemas.openxmlformats.org/officeDocument/2006/relationships/image" Target="media/index-390_1.png"/><Relationship Id="rId402" Type="http://schemas.openxmlformats.org/officeDocument/2006/relationships/image" Target="media/index-391_1.png"/><Relationship Id="rId403" Type="http://schemas.openxmlformats.org/officeDocument/2006/relationships/image" Target="media/index-392_1.png"/><Relationship Id="rId404" Type="http://schemas.openxmlformats.org/officeDocument/2006/relationships/image" Target="media/index-393_1.png"/><Relationship Id="rId405" Type="http://schemas.openxmlformats.org/officeDocument/2006/relationships/image" Target="media/index-394_1.png"/><Relationship Id="rId406" Type="http://schemas.openxmlformats.org/officeDocument/2006/relationships/image" Target="media/index-395_1.png"/><Relationship Id="rId407" Type="http://schemas.openxmlformats.org/officeDocument/2006/relationships/image" Target="media/index-396_1.png"/><Relationship Id="rId408" Type="http://schemas.openxmlformats.org/officeDocument/2006/relationships/image" Target="media/index-397_1.png"/><Relationship Id="rId409" Type="http://schemas.openxmlformats.org/officeDocument/2006/relationships/image" Target="media/index-398_1.png"/><Relationship Id="rId410" Type="http://schemas.openxmlformats.org/officeDocument/2006/relationships/image" Target="media/index-399_1.png"/><Relationship Id="rId411" Type="http://schemas.openxmlformats.org/officeDocument/2006/relationships/image" Target="media/index-400_1.png"/><Relationship Id="rId412" Type="http://schemas.openxmlformats.org/officeDocument/2006/relationships/image" Target="media/index-401_1.png"/><Relationship Id="rId413" Type="http://schemas.openxmlformats.org/officeDocument/2006/relationships/image" Target="media/index-402_1.png"/><Relationship Id="rId414" Type="http://schemas.openxmlformats.org/officeDocument/2006/relationships/image" Target="media/index-403_1.png"/><Relationship Id="rId415" Type="http://schemas.openxmlformats.org/officeDocument/2006/relationships/image" Target="media/index-403_2.png"/><Relationship Id="rId416" Type="http://schemas.openxmlformats.org/officeDocument/2006/relationships/image" Target="media/index-404_1.png"/><Relationship Id="rId417" Type="http://schemas.openxmlformats.org/officeDocument/2006/relationships/image" Target="media/index-405_1.png"/><Relationship Id="rId418" Type="http://schemas.openxmlformats.org/officeDocument/2006/relationships/image" Target="media/index-405_2.png"/><Relationship Id="rId419" Type="http://schemas.openxmlformats.org/officeDocument/2006/relationships/image" Target="media/index-406_1.png"/><Relationship Id="rId420" Type="http://schemas.openxmlformats.org/officeDocument/2006/relationships/image" Target="media/index-407_1.png"/><Relationship Id="rId421" Type="http://schemas.openxmlformats.org/officeDocument/2006/relationships/image" Target="media/index-408_1.png"/><Relationship Id="rId422" Type="http://schemas.openxmlformats.org/officeDocument/2006/relationships/image" Target="media/index-409_1.png"/><Relationship Id="rId423" Type="http://schemas.openxmlformats.org/officeDocument/2006/relationships/image" Target="media/index-410_1.png"/><Relationship Id="rId424" Type="http://schemas.openxmlformats.org/officeDocument/2006/relationships/image" Target="media/index-411_1.png"/><Relationship Id="rId425" Type="http://schemas.openxmlformats.org/officeDocument/2006/relationships/image" Target="media/index-412_1.png"/><Relationship Id="rId426" Type="http://schemas.openxmlformats.org/officeDocument/2006/relationships/image" Target="media/index-413_1.png"/><Relationship Id="rId427" Type="http://schemas.openxmlformats.org/officeDocument/2006/relationships/image" Target="media/index-414_1.png"/><Relationship Id="rId428" Type="http://schemas.openxmlformats.org/officeDocument/2006/relationships/image" Target="media/index-415_1.png"/><Relationship Id="rId429" Type="http://schemas.openxmlformats.org/officeDocument/2006/relationships/image" Target="media/index-416_1.png"/><Relationship Id="rId430" Type="http://schemas.openxmlformats.org/officeDocument/2006/relationships/image" Target="media/index-417_1.png"/><Relationship Id="rId431" Type="http://schemas.openxmlformats.org/officeDocument/2006/relationships/image" Target="media/index-418_1.png"/><Relationship Id="rId432" Type="http://schemas.openxmlformats.org/officeDocument/2006/relationships/image" Target="media/index-419_1.png"/><Relationship Id="rId433" Type="http://schemas.openxmlformats.org/officeDocument/2006/relationships/image" Target="media/index-420_1.png"/><Relationship Id="rId434" Type="http://schemas.openxmlformats.org/officeDocument/2006/relationships/image" Target="media/index-421_1.png"/><Relationship Id="rId435" Type="http://schemas.openxmlformats.org/officeDocument/2006/relationships/image" Target="media/index-422_1.png"/><Relationship Id="rId436" Type="http://schemas.openxmlformats.org/officeDocument/2006/relationships/image" Target="media/index-423_1.png"/><Relationship Id="rId437" Type="http://schemas.openxmlformats.org/officeDocument/2006/relationships/image" Target="media/index-424_1.png"/><Relationship Id="rId438" Type="http://schemas.openxmlformats.org/officeDocument/2006/relationships/image" Target="media/index-425_1.png"/><Relationship Id="rId439" Type="http://schemas.openxmlformats.org/officeDocument/2006/relationships/image" Target="media/index-426_1.png"/><Relationship Id="rId440" Type="http://schemas.openxmlformats.org/officeDocument/2006/relationships/image" Target="media/index-427_1.png"/><Relationship Id="rId441" Type="http://schemas.openxmlformats.org/officeDocument/2006/relationships/image" Target="media/index-428_1.png"/><Relationship Id="rId442" Type="http://schemas.openxmlformats.org/officeDocument/2006/relationships/image" Target="media/index-429_1.png"/><Relationship Id="rId443" Type="http://schemas.openxmlformats.org/officeDocument/2006/relationships/image" Target="media/index-430_1.png"/><Relationship Id="rId444" Type="http://schemas.openxmlformats.org/officeDocument/2006/relationships/image" Target="media/index-431_1.png"/><Relationship Id="rId445" Type="http://schemas.openxmlformats.org/officeDocument/2006/relationships/image" Target="media/index-432_1.png"/><Relationship Id="rId446" Type="http://schemas.openxmlformats.org/officeDocument/2006/relationships/image" Target="media/index-433_1.png"/><Relationship Id="rId447" Type="http://schemas.openxmlformats.org/officeDocument/2006/relationships/image" Target="media/index-434_1.png"/><Relationship Id="rId448" Type="http://schemas.openxmlformats.org/officeDocument/2006/relationships/image" Target="media/index-435_1.png"/><Relationship Id="rId449" Type="http://schemas.openxmlformats.org/officeDocument/2006/relationships/image" Target="media/index-436_1.png"/><Relationship Id="rId450" Type="http://schemas.openxmlformats.org/officeDocument/2006/relationships/image" Target="media/index-437_1.png"/><Relationship Id="rId451" Type="http://schemas.openxmlformats.org/officeDocument/2006/relationships/image" Target="media/index-438_1.png"/><Relationship Id="rId452" Type="http://schemas.openxmlformats.org/officeDocument/2006/relationships/image" Target="media/index-439_1.png"/><Relationship Id="rId453" Type="http://schemas.openxmlformats.org/officeDocument/2006/relationships/image" Target="media/index-440_1.png"/><Relationship Id="rId454" Type="http://schemas.openxmlformats.org/officeDocument/2006/relationships/image" Target="media/index-441_1.png"/><Relationship Id="rId455" Type="http://schemas.openxmlformats.org/officeDocument/2006/relationships/image" Target="media/index-442_1.png"/><Relationship Id="rId456" Type="http://schemas.openxmlformats.org/officeDocument/2006/relationships/image" Target="media/index-443_1.png"/><Relationship Id="rId457" Type="http://schemas.openxmlformats.org/officeDocument/2006/relationships/image" Target="media/index-444_1.png"/><Relationship Id="rId458" Type="http://schemas.openxmlformats.org/officeDocument/2006/relationships/image" Target="media/index-445_1.png"/><Relationship Id="rId459" Type="http://schemas.openxmlformats.org/officeDocument/2006/relationships/image" Target="media/index-446_1.png"/><Relationship Id="rId460" Type="http://schemas.openxmlformats.org/officeDocument/2006/relationships/image" Target="media/index-447_1.png"/><Relationship Id="rId461" Type="http://schemas.openxmlformats.org/officeDocument/2006/relationships/image" Target="media/index-448_1.png"/><Relationship Id="rId462" Type="http://schemas.openxmlformats.org/officeDocument/2006/relationships/image" Target="media/index-449_1.png"/><Relationship Id="rId463" Type="http://schemas.openxmlformats.org/officeDocument/2006/relationships/image" Target="media/index-450_1.png"/><Relationship Id="rId464" Type="http://schemas.openxmlformats.org/officeDocument/2006/relationships/image" Target="media/index-451_1.png"/><Relationship Id="rId465" Type="http://schemas.openxmlformats.org/officeDocument/2006/relationships/image" Target="media/index-452_1.png"/><Relationship Id="rId466" Type="http://schemas.openxmlformats.org/officeDocument/2006/relationships/image" Target="media/index-453_1.png"/><Relationship Id="rId467" Type="http://schemas.openxmlformats.org/officeDocument/2006/relationships/image" Target="media/index-454_1.png"/><Relationship Id="rId468" Type="http://schemas.openxmlformats.org/officeDocument/2006/relationships/image" Target="media/index-455_1.png"/><Relationship Id="rId469" Type="http://schemas.openxmlformats.org/officeDocument/2006/relationships/image" Target="media/index-456_1.png"/><Relationship Id="rId470" Type="http://schemas.openxmlformats.org/officeDocument/2006/relationships/image" Target="media/index-457_1.png"/><Relationship Id="rId471" Type="http://schemas.openxmlformats.org/officeDocument/2006/relationships/image" Target="media/index-458_1.png"/><Relationship Id="rId472" Type="http://schemas.openxmlformats.org/officeDocument/2006/relationships/image" Target="media/index-459_1.png"/><Relationship Id="rId473" Type="http://schemas.openxmlformats.org/officeDocument/2006/relationships/image" Target="media/index-460_1.png"/><Relationship Id="rId474" Type="http://schemas.openxmlformats.org/officeDocument/2006/relationships/image" Target="media/index-461_1.png"/><Relationship Id="rId475" Type="http://schemas.openxmlformats.org/officeDocument/2006/relationships/image" Target="media/index-462_1.png"/><Relationship Id="rId476" Type="http://schemas.openxmlformats.org/officeDocument/2006/relationships/image" Target="media/index-463_1.png"/><Relationship Id="rId477" Type="http://schemas.openxmlformats.org/officeDocument/2006/relationships/image" Target="media/index-464_1.png"/><Relationship Id="rId478" Type="http://schemas.openxmlformats.org/officeDocument/2006/relationships/image" Target="media/index-465_1.png"/><Relationship Id="rId479" Type="http://schemas.openxmlformats.org/officeDocument/2006/relationships/image" Target="media/index-466_1.png"/><Relationship Id="rId480" Type="http://schemas.openxmlformats.org/officeDocument/2006/relationships/image" Target="media/index-467_1.png"/><Relationship Id="rId481" Type="http://schemas.openxmlformats.org/officeDocument/2006/relationships/image" Target="media/index-468_1.png"/><Relationship Id="rId482" Type="http://schemas.openxmlformats.org/officeDocument/2006/relationships/image" Target="media/index-469_1.png"/><Relationship Id="rId483" Type="http://schemas.openxmlformats.org/officeDocument/2006/relationships/image" Target="media/index-470_1.png"/><Relationship Id="rId484" Type="http://schemas.openxmlformats.org/officeDocument/2006/relationships/image" Target="media/index-471_1.png"/><Relationship Id="rId485" Type="http://schemas.openxmlformats.org/officeDocument/2006/relationships/image" Target="media/index-472_1.png"/><Relationship Id="rId486" Type="http://schemas.openxmlformats.org/officeDocument/2006/relationships/image" Target="media/index-473_1.png"/><Relationship Id="rId487" Type="http://schemas.openxmlformats.org/officeDocument/2006/relationships/image" Target="media/index-474_1.png"/><Relationship Id="rId488" Type="http://schemas.openxmlformats.org/officeDocument/2006/relationships/image" Target="media/index-475_1.png"/><Relationship Id="rId489" Type="http://schemas.openxmlformats.org/officeDocument/2006/relationships/image" Target="media/index-476_1.png"/><Relationship Id="rId490" Type="http://schemas.openxmlformats.org/officeDocument/2006/relationships/image" Target="media/index-477_1.png"/><Relationship Id="rId491" Type="http://schemas.openxmlformats.org/officeDocument/2006/relationships/image" Target="media/index-478_1.png"/><Relationship Id="rId492" Type="http://schemas.openxmlformats.org/officeDocument/2006/relationships/image" Target="media/index-479_1.png"/><Relationship Id="rId493" Type="http://schemas.openxmlformats.org/officeDocument/2006/relationships/image" Target="media/index-480_1.png"/><Relationship Id="rId494" Type="http://schemas.openxmlformats.org/officeDocument/2006/relationships/image" Target="media/index-481_1.png"/><Relationship Id="rId495" Type="http://schemas.openxmlformats.org/officeDocument/2006/relationships/image" Target="media/index-482_1.png"/><Relationship Id="rId496" Type="http://schemas.openxmlformats.org/officeDocument/2006/relationships/image" Target="media/index-483_1.png"/><Relationship Id="rId497" Type="http://schemas.openxmlformats.org/officeDocument/2006/relationships/image" Target="media/index-484_1.png"/><Relationship Id="rId498" Type="http://schemas.openxmlformats.org/officeDocument/2006/relationships/image" Target="media/index-485_1.png"/><Relationship Id="rId499" Type="http://schemas.openxmlformats.org/officeDocument/2006/relationships/image" Target="media/index-486_1.png"/><Relationship Id="rId500" Type="http://schemas.openxmlformats.org/officeDocument/2006/relationships/image" Target="media/index-487_1.png"/><Relationship Id="rId501" Type="http://schemas.openxmlformats.org/officeDocument/2006/relationships/image" Target="media/index-488_1.png"/><Relationship Id="rId502" Type="http://schemas.openxmlformats.org/officeDocument/2006/relationships/image" Target="media/index-489_1.png"/><Relationship Id="rId503" Type="http://schemas.openxmlformats.org/officeDocument/2006/relationships/image" Target="media/index-490_1.png"/><Relationship Id="rId504" Type="http://schemas.openxmlformats.org/officeDocument/2006/relationships/image" Target="media/index-491_1.png"/><Relationship Id="rId505" Type="http://schemas.openxmlformats.org/officeDocument/2006/relationships/image" Target="media/index-492_1.png"/><Relationship Id="rId506" Type="http://schemas.openxmlformats.org/officeDocument/2006/relationships/image" Target="media/index-493_1.png"/><Relationship Id="rId507" Type="http://schemas.openxmlformats.org/officeDocument/2006/relationships/image" Target="media/index-494_1.png"/><Relationship Id="rId508" Type="http://schemas.openxmlformats.org/officeDocument/2006/relationships/image" Target="media/index-495_1.png"/><Relationship Id="rId509" Type="http://schemas.openxmlformats.org/officeDocument/2006/relationships/image" Target="media/index-496_1.png"/><Relationship Id="rId510" Type="http://schemas.openxmlformats.org/officeDocument/2006/relationships/image" Target="media/index-497_1.png"/><Relationship Id="rId511" Type="http://schemas.openxmlformats.org/officeDocument/2006/relationships/image" Target="media/index-498_1.png"/><Relationship Id="rId512" Type="http://schemas.openxmlformats.org/officeDocument/2006/relationships/image" Target="media/index-499_1.png"/><Relationship Id="rId513" Type="http://schemas.openxmlformats.org/officeDocument/2006/relationships/image" Target="media/index-500_1.png"/><Relationship Id="rId514" Type="http://schemas.openxmlformats.org/officeDocument/2006/relationships/image" Target="media/index-501_1.png"/><Relationship Id="rId515" Type="http://schemas.openxmlformats.org/officeDocument/2006/relationships/image" Target="media/index-502_1.png"/><Relationship Id="rId516" Type="http://schemas.openxmlformats.org/officeDocument/2006/relationships/image" Target="media/index-503_1.png"/><Relationship Id="rId517" Type="http://schemas.openxmlformats.org/officeDocument/2006/relationships/image" Target="media/index-504_1.png"/><Relationship Id="rId518" Type="http://schemas.openxmlformats.org/officeDocument/2006/relationships/image" Target="media/index-505_1.png"/><Relationship Id="rId519" Type="http://schemas.openxmlformats.org/officeDocument/2006/relationships/image" Target="media/index-506_1.png"/><Relationship Id="rId520" Type="http://schemas.openxmlformats.org/officeDocument/2006/relationships/image" Target="media/index-507_1.png"/><Relationship Id="rId521" Type="http://schemas.openxmlformats.org/officeDocument/2006/relationships/image" Target="media/index-508_1.png"/><Relationship Id="rId522" Type="http://schemas.openxmlformats.org/officeDocument/2006/relationships/image" Target="media/index-509_1.png"/><Relationship Id="rId523" Type="http://schemas.openxmlformats.org/officeDocument/2006/relationships/image" Target="media/index-510_1.png"/><Relationship Id="rId524" Type="http://schemas.openxmlformats.org/officeDocument/2006/relationships/image" Target="media/index-511_1.png"/><Relationship Id="rId525" Type="http://schemas.openxmlformats.org/officeDocument/2006/relationships/image" Target="media/index-512_1.png"/><Relationship Id="rId526" Type="http://schemas.openxmlformats.org/officeDocument/2006/relationships/image" Target="media/index-513_1.png"/><Relationship Id="rId527" Type="http://schemas.openxmlformats.org/officeDocument/2006/relationships/image" Target="media/index-514_1.png"/><Relationship Id="rId528" Type="http://schemas.openxmlformats.org/officeDocument/2006/relationships/image" Target="media/index-515_1.png"/><Relationship Id="rId529" Type="http://schemas.openxmlformats.org/officeDocument/2006/relationships/image" Target="media/index-516_1.png"/><Relationship Id="rId530" Type="http://schemas.openxmlformats.org/officeDocument/2006/relationships/image" Target="media/index-517_1.png"/><Relationship Id="rId531" Type="http://schemas.openxmlformats.org/officeDocument/2006/relationships/image" Target="media/index-518_1.png"/><Relationship Id="rId532" Type="http://schemas.openxmlformats.org/officeDocument/2006/relationships/image" Target="media/index-519_1.png"/><Relationship Id="rId533" Type="http://schemas.openxmlformats.org/officeDocument/2006/relationships/image" Target="media/index-520_1.png"/><Relationship Id="rId534" Type="http://schemas.openxmlformats.org/officeDocument/2006/relationships/image" Target="media/index-521_1.png"/><Relationship Id="rId535" Type="http://schemas.openxmlformats.org/officeDocument/2006/relationships/image" Target="media/index-522_1.png"/><Relationship Id="rId536" Type="http://schemas.openxmlformats.org/officeDocument/2006/relationships/image" Target="media/index-523_1.png"/><Relationship Id="rId537" Type="http://schemas.openxmlformats.org/officeDocument/2006/relationships/image" Target="media/index-524_1.png"/><Relationship Id="rId538" Type="http://schemas.openxmlformats.org/officeDocument/2006/relationships/image" Target="media/index-525_1.png"/><Relationship Id="rId539" Type="http://schemas.openxmlformats.org/officeDocument/2006/relationships/image" Target="media/index-526_1.png"/><Relationship Id="rId540" Type="http://schemas.openxmlformats.org/officeDocument/2006/relationships/image" Target="media/index-527_1.png"/><Relationship Id="rId541" Type="http://schemas.openxmlformats.org/officeDocument/2006/relationships/image" Target="media/index-528_1.png"/><Relationship Id="rId542" Type="http://schemas.openxmlformats.org/officeDocument/2006/relationships/image" Target="media/index-529_1.png"/><Relationship Id="rId543" Type="http://schemas.openxmlformats.org/officeDocument/2006/relationships/image" Target="media/index-530_1.png"/><Relationship Id="rId544" Type="http://schemas.openxmlformats.org/officeDocument/2006/relationships/image" Target="media/index-531_1.png"/><Relationship Id="rId545" Type="http://schemas.openxmlformats.org/officeDocument/2006/relationships/image" Target="media/index-532_1.png"/><Relationship Id="rId546" Type="http://schemas.openxmlformats.org/officeDocument/2006/relationships/image" Target="media/index-533_1.png"/><Relationship Id="rId547" Type="http://schemas.openxmlformats.org/officeDocument/2006/relationships/image" Target="media/index-534_1.png"/><Relationship Id="rId548" Type="http://schemas.openxmlformats.org/officeDocument/2006/relationships/image" Target="media/index-535_1.png"/><Relationship Id="rId549" Type="http://schemas.openxmlformats.org/officeDocument/2006/relationships/image" Target="media/index-536_1.png"/><Relationship Id="rId550" Type="http://schemas.openxmlformats.org/officeDocument/2006/relationships/image" Target="media/index-537_1.png"/><Relationship Id="rId551" Type="http://schemas.openxmlformats.org/officeDocument/2006/relationships/image" Target="media/index-538_1.png"/><Relationship Id="rId552" Type="http://schemas.openxmlformats.org/officeDocument/2006/relationships/image" Target="media/index-539_1.png"/><Relationship Id="rId553" Type="http://schemas.openxmlformats.org/officeDocument/2006/relationships/image" Target="media/index-540_1.png"/><Relationship Id="rId554" Type="http://schemas.openxmlformats.org/officeDocument/2006/relationships/image" Target="media/index-541_1.png"/><Relationship Id="rId555" Type="http://schemas.openxmlformats.org/officeDocument/2006/relationships/image" Target="media/index-542_1.png"/><Relationship Id="rId556" Type="http://schemas.openxmlformats.org/officeDocument/2006/relationships/image" Target="media/index-543_1.png"/><Relationship Id="rId557" Type="http://schemas.openxmlformats.org/officeDocument/2006/relationships/image" Target="media/index-544_1.png"/><Relationship Id="rId558" Type="http://schemas.openxmlformats.org/officeDocument/2006/relationships/image" Target="media/index-545_1.png"/><Relationship Id="rId559" Type="http://schemas.openxmlformats.org/officeDocument/2006/relationships/image" Target="media/index-546_1.png"/><Relationship Id="rId560" Type="http://schemas.openxmlformats.org/officeDocument/2006/relationships/image" Target="media/index-547_1.png"/><Relationship Id="rId561" Type="http://schemas.openxmlformats.org/officeDocument/2006/relationships/image" Target="media/index-548_1.png"/><Relationship Id="rId562" Type="http://schemas.openxmlformats.org/officeDocument/2006/relationships/image" Target="media/index-549_1.png"/><Relationship Id="rId563" Type="http://schemas.openxmlformats.org/officeDocument/2006/relationships/image" Target="media/index-550_1.png"/><Relationship Id="rId564" Type="http://schemas.openxmlformats.org/officeDocument/2006/relationships/image" Target="media/index-551_1.png"/><Relationship Id="rId565" Type="http://schemas.openxmlformats.org/officeDocument/2006/relationships/image" Target="media/index-552_1.png"/><Relationship Id="rId566" Type="http://schemas.openxmlformats.org/officeDocument/2006/relationships/image" Target="media/index-553_1.png"/><Relationship Id="rId567" Type="http://schemas.openxmlformats.org/officeDocument/2006/relationships/image" Target="media/index-554_1.png"/><Relationship Id="rId568" Type="http://schemas.openxmlformats.org/officeDocument/2006/relationships/image" Target="media/index-555_1.png"/><Relationship Id="rId569" Type="http://schemas.openxmlformats.org/officeDocument/2006/relationships/image" Target="media/index-556_1.png"/><Relationship Id="rId570" Type="http://schemas.openxmlformats.org/officeDocument/2006/relationships/image" Target="media/index-557_1.png"/><Relationship Id="rId571" Type="http://schemas.openxmlformats.org/officeDocument/2006/relationships/image" Target="media/index-558_1.png"/><Relationship Id="rId572" Type="http://schemas.openxmlformats.org/officeDocument/2006/relationships/image" Target="media/index-559_1.png"/><Relationship Id="rId573" Type="http://schemas.openxmlformats.org/officeDocument/2006/relationships/image" Target="media/index-560_1.png"/><Relationship Id="rId574" Type="http://schemas.openxmlformats.org/officeDocument/2006/relationships/image" Target="media/index-561_1.png"/><Relationship Id="rId575" Type="http://schemas.openxmlformats.org/officeDocument/2006/relationships/image" Target="media/index-562_1.png"/><Relationship Id="rId576" Type="http://schemas.openxmlformats.org/officeDocument/2006/relationships/image" Target="media/index-563_1.png"/><Relationship Id="rId577" Type="http://schemas.openxmlformats.org/officeDocument/2006/relationships/image" Target="media/index-564_1.png"/><Relationship Id="rId578" Type="http://schemas.openxmlformats.org/officeDocument/2006/relationships/image" Target="media/index-565_1.png"/><Relationship Id="rId579" Type="http://schemas.openxmlformats.org/officeDocument/2006/relationships/image" Target="media/index-566_1.png"/><Relationship Id="rId580" Type="http://schemas.openxmlformats.org/officeDocument/2006/relationships/image" Target="media/index-567_1.png"/><Relationship Id="rId581" Type="http://schemas.openxmlformats.org/officeDocument/2006/relationships/image" Target="media/index-568_1.png"/><Relationship Id="rId582" Type="http://schemas.openxmlformats.org/officeDocument/2006/relationships/image" Target="media/index-569_1.png"/><Relationship Id="rId583" Type="http://schemas.openxmlformats.org/officeDocument/2006/relationships/image" Target="media/index-570_1.png"/><Relationship Id="rId584" Type="http://schemas.openxmlformats.org/officeDocument/2006/relationships/image" Target="media/index-571_1.png"/><Relationship Id="rId585" Type="http://schemas.openxmlformats.org/officeDocument/2006/relationships/image" Target="media/index-572_1.png"/><Relationship Id="rId586" Type="http://schemas.openxmlformats.org/officeDocument/2006/relationships/image" Target="media/index-573_1.png"/><Relationship Id="rId587" Type="http://schemas.openxmlformats.org/officeDocument/2006/relationships/image" Target="media/index-574_1.png"/><Relationship Id="rId588" Type="http://schemas.openxmlformats.org/officeDocument/2006/relationships/image" Target="media/index-575_1.png"/><Relationship Id="rId589" Type="http://schemas.openxmlformats.org/officeDocument/2006/relationships/image" Target="media/index-576_1.png"/><Relationship Id="rId590" Type="http://schemas.openxmlformats.org/officeDocument/2006/relationships/image" Target="media/index-577_1.png"/><Relationship Id="rId591" Type="http://schemas.openxmlformats.org/officeDocument/2006/relationships/image" Target="media/index-578_1.png"/><Relationship Id="rId592" Type="http://schemas.openxmlformats.org/officeDocument/2006/relationships/image" Target="media/index-578_2.png"/><Relationship Id="rId593" Type="http://schemas.openxmlformats.org/officeDocument/2006/relationships/image" Target="media/index-579_1.png"/><Relationship Id="rId594" Type="http://schemas.openxmlformats.org/officeDocument/2006/relationships/image" Target="media/index-579_2.png"/><Relationship Id="rId595" Type="http://schemas.openxmlformats.org/officeDocument/2006/relationships/image" Target="media/index-579_3.png"/><Relationship Id="rId596" Type="http://schemas.openxmlformats.org/officeDocument/2006/relationships/image" Target="media/index-580_1.png"/><Relationship Id="rId597" Type="http://schemas.openxmlformats.org/officeDocument/2006/relationships/image" Target="media/index-580_2.png"/><Relationship Id="rId598" Type="http://schemas.openxmlformats.org/officeDocument/2006/relationships/image" Target="media/index-581_1.png"/><Relationship Id="rId599" Type="http://schemas.openxmlformats.org/officeDocument/2006/relationships/image" Target="media/index-581_2.png"/><Relationship Id="rId600" Type="http://schemas.openxmlformats.org/officeDocument/2006/relationships/image" Target="media/index-582_1.png"/><Relationship Id="rId601" Type="http://schemas.openxmlformats.org/officeDocument/2006/relationships/image" Target="media/index-583_1.png"/><Relationship Id="rId602" Type="http://schemas.openxmlformats.org/officeDocument/2006/relationships/image" Target="media/index-584_1.png"/><Relationship Id="rId603" Type="http://schemas.openxmlformats.org/officeDocument/2006/relationships/image" Target="media/index-585_1.png"/><Relationship Id="rId604" Type="http://schemas.openxmlformats.org/officeDocument/2006/relationships/image" Target="media/index-586_1.png"/><Relationship Id="rId605" Type="http://schemas.openxmlformats.org/officeDocument/2006/relationships/image" Target="media/index-587_1.png"/><Relationship Id="rId606" Type="http://schemas.openxmlformats.org/officeDocument/2006/relationships/image" Target="media/index-588_1.png"/><Relationship Id="rId607" Type="http://schemas.openxmlformats.org/officeDocument/2006/relationships/image" Target="media/index-589_1.png"/><Relationship Id="rId608" Type="http://schemas.openxmlformats.org/officeDocument/2006/relationships/image" Target="media/index-590_1.png"/><Relationship Id="rId609" Type="http://schemas.openxmlformats.org/officeDocument/2006/relationships/image" Target="media/index-591_1.png"/><Relationship Id="rId610" Type="http://schemas.openxmlformats.org/officeDocument/2006/relationships/image" Target="media/index-592_1.png"/><Relationship Id="rId611" Type="http://schemas.openxmlformats.org/officeDocument/2006/relationships/image" Target="media/index-593_1.png"/><Relationship Id="rId612" Type="http://schemas.openxmlformats.org/officeDocument/2006/relationships/image" Target="media/index-594_1.png"/><Relationship Id="rId613" Type="http://schemas.openxmlformats.org/officeDocument/2006/relationships/image" Target="media/index-595_1.png"/><Relationship Id="rId614" Type="http://schemas.openxmlformats.org/officeDocument/2006/relationships/image" Target="media/index-596_1.png"/><Relationship Id="rId615" Type="http://schemas.openxmlformats.org/officeDocument/2006/relationships/image" Target="media/index-597_1.png"/><Relationship Id="rId616" Type="http://schemas.openxmlformats.org/officeDocument/2006/relationships/image" Target="media/index-598_1.png"/><Relationship Id="rId617" Type="http://schemas.openxmlformats.org/officeDocument/2006/relationships/image" Target="media/index-599_1.png"/><Relationship Id="rId618" Type="http://schemas.openxmlformats.org/officeDocument/2006/relationships/image" Target="media/index-600_1.png"/><Relationship Id="rId619" Type="http://schemas.openxmlformats.org/officeDocument/2006/relationships/image" Target="media/index-601_1.png"/><Relationship Id="rId620" Type="http://schemas.openxmlformats.org/officeDocument/2006/relationships/image" Target="media/index-601_2.png"/><Relationship Id="rId621" Type="http://schemas.openxmlformats.org/officeDocument/2006/relationships/image" Target="media/index-602_1.png"/><Relationship Id="rId622" Type="http://schemas.openxmlformats.org/officeDocument/2006/relationships/image" Target="media/index-603_1.png"/><Relationship Id="rId623" Type="http://schemas.openxmlformats.org/officeDocument/2006/relationships/image" Target="media/index-604_1.png"/><Relationship Id="rId624" Type="http://schemas.openxmlformats.org/officeDocument/2006/relationships/image" Target="media/index-604_2.png"/><Relationship Id="rId625" Type="http://schemas.openxmlformats.org/officeDocument/2006/relationships/image" Target="media/index-605_1.png"/><Relationship Id="rId626" Type="http://schemas.openxmlformats.org/officeDocument/2006/relationships/image" Target="media/index-605_2.png"/><Relationship Id="rId627" Type="http://schemas.openxmlformats.org/officeDocument/2006/relationships/image" Target="media/index-606_1.png"/><Relationship Id="rId628" Type="http://schemas.openxmlformats.org/officeDocument/2006/relationships/image" Target="media/index-606_2.png"/><Relationship Id="rId629" Type="http://schemas.openxmlformats.org/officeDocument/2006/relationships/image" Target="media/index-607_1.png"/><Relationship Id="rId630" Type="http://schemas.openxmlformats.org/officeDocument/2006/relationships/image" Target="media/index-607_2.png"/><Relationship Id="rId631" Type="http://schemas.openxmlformats.org/officeDocument/2006/relationships/image" Target="media/index-608_1.png"/><Relationship Id="rId632" Type="http://schemas.openxmlformats.org/officeDocument/2006/relationships/image" Target="media/index-609_1.png"/><Relationship Id="rId633" Type="http://schemas.openxmlformats.org/officeDocument/2006/relationships/image" Target="media/index-610_1.png"/><Relationship Id="rId634" Type="http://schemas.openxmlformats.org/officeDocument/2006/relationships/image" Target="media/index-611_1.png"/><Relationship Id="rId635" Type="http://schemas.openxmlformats.org/officeDocument/2006/relationships/image" Target="media/index-612_1.png"/><Relationship Id="rId636" Type="http://schemas.openxmlformats.org/officeDocument/2006/relationships/image" Target="media/index-613_1.png"/><Relationship Id="rId637" Type="http://schemas.openxmlformats.org/officeDocument/2006/relationships/image" Target="media/index-614_1.png"/><Relationship Id="rId638" Type="http://schemas.openxmlformats.org/officeDocument/2006/relationships/image" Target="media/index-615_1.png"/><Relationship Id="rId639" Type="http://schemas.openxmlformats.org/officeDocument/2006/relationships/image" Target="media/index-616_1.png"/><Relationship Id="rId640" Type="http://schemas.openxmlformats.org/officeDocument/2006/relationships/image" Target="media/index-616_2.png"/><Relationship Id="rId641" Type="http://schemas.openxmlformats.org/officeDocument/2006/relationships/image" Target="media/index-617_1.png"/><Relationship Id="rId642" Type="http://schemas.openxmlformats.org/officeDocument/2006/relationships/image" Target="media/index-617_2.png"/><Relationship Id="rId643" Type="http://schemas.openxmlformats.org/officeDocument/2006/relationships/image" Target="media/index-618_1.png"/><Relationship Id="rId644" Type="http://schemas.openxmlformats.org/officeDocument/2006/relationships/image" Target="media/index-618_2.png"/><Relationship Id="rId645" Type="http://schemas.openxmlformats.org/officeDocument/2006/relationships/image" Target="media/index-619_1.png"/><Relationship Id="rId646" Type="http://schemas.openxmlformats.org/officeDocument/2006/relationships/image" Target="media/index-620_1.png"/><Relationship Id="rId647" Type="http://schemas.openxmlformats.org/officeDocument/2006/relationships/image" Target="media/index-621_1.png"/><Relationship Id="rId648" Type="http://schemas.openxmlformats.org/officeDocument/2006/relationships/image" Target="media/index-621_2.png"/><Relationship Id="rId649" Type="http://schemas.openxmlformats.org/officeDocument/2006/relationships/image" Target="media/index-622_1.png"/><Relationship Id="rId650" Type="http://schemas.openxmlformats.org/officeDocument/2006/relationships/image" Target="media/index-622_2.png"/><Relationship Id="rId651" Type="http://schemas.openxmlformats.org/officeDocument/2006/relationships/image" Target="media/index-623_1.png"/><Relationship Id="rId652" Type="http://schemas.openxmlformats.org/officeDocument/2006/relationships/image" Target="media/index-623_2.png"/><Relationship Id="rId653" Type="http://schemas.openxmlformats.org/officeDocument/2006/relationships/image" Target="media/index-624_1.png"/><Relationship Id="rId654" Type="http://schemas.openxmlformats.org/officeDocument/2006/relationships/image" Target="media/index-624_2.png"/><Relationship Id="rId655" Type="http://schemas.openxmlformats.org/officeDocument/2006/relationships/image" Target="media/index-625_1.png"/><Relationship Id="rId656" Type="http://schemas.openxmlformats.org/officeDocument/2006/relationships/image" Target="media/index-625_2.png"/><Relationship Id="rId657" Type="http://schemas.openxmlformats.org/officeDocument/2006/relationships/image" Target="media/index-626_1.png"/><Relationship Id="rId658" Type="http://schemas.openxmlformats.org/officeDocument/2006/relationships/image" Target="media/index-626_2.png"/><Relationship Id="rId659" Type="http://schemas.openxmlformats.org/officeDocument/2006/relationships/image" Target="media/index-627_1.png"/><Relationship Id="rId660" Type="http://schemas.openxmlformats.org/officeDocument/2006/relationships/image" Target="media/index-627_2.png"/><Relationship Id="rId661" Type="http://schemas.openxmlformats.org/officeDocument/2006/relationships/image" Target="media/index-628_1.png"/><Relationship Id="rId662" Type="http://schemas.openxmlformats.org/officeDocument/2006/relationships/image" Target="media/index-628_2.png"/><Relationship Id="rId663" Type="http://schemas.openxmlformats.org/officeDocument/2006/relationships/image" Target="media/index-629_1.png"/><Relationship Id="rId664" Type="http://schemas.openxmlformats.org/officeDocument/2006/relationships/image" Target="media/index-629_2.png"/><Relationship Id="rId665" Type="http://schemas.openxmlformats.org/officeDocument/2006/relationships/image" Target="media/index-630_1.png"/><Relationship Id="rId666" Type="http://schemas.openxmlformats.org/officeDocument/2006/relationships/image" Target="media/index-630_2.png"/><Relationship Id="rId667" Type="http://schemas.openxmlformats.org/officeDocument/2006/relationships/image" Target="media/index-631_1.png"/><Relationship Id="rId668" Type="http://schemas.openxmlformats.org/officeDocument/2006/relationships/image" Target="media/index-632_1.png"/><Relationship Id="rId669" Type="http://schemas.openxmlformats.org/officeDocument/2006/relationships/image" Target="media/index-633_1.png"/><Relationship Id="rId670" Type="http://schemas.openxmlformats.org/officeDocument/2006/relationships/image" Target="media/index-634_1.png"/><Relationship Id="rId671" Type="http://schemas.openxmlformats.org/officeDocument/2006/relationships/image" Target="media/index-635_1.png"/><Relationship Id="rId672" Type="http://schemas.openxmlformats.org/officeDocument/2006/relationships/image" Target="media/index-636_1.png"/><Relationship Id="rId673" Type="http://schemas.openxmlformats.org/officeDocument/2006/relationships/image" Target="media/index-637_1.png"/><Relationship Id="rId674" Type="http://schemas.openxmlformats.org/officeDocument/2006/relationships/image" Target="media/index-638_1.png"/><Relationship Id="rId675" Type="http://schemas.openxmlformats.org/officeDocument/2006/relationships/image" Target="media/index-639_1.png"/><Relationship Id="rId676" Type="http://schemas.openxmlformats.org/officeDocument/2006/relationships/image" Target="media/index-640_1.png"/><Relationship Id="rId677" Type="http://schemas.openxmlformats.org/officeDocument/2006/relationships/image" Target="media/index-641_1.png"/><Relationship Id="rId678" Type="http://schemas.openxmlformats.org/officeDocument/2006/relationships/image" Target="media/index-642_1.png"/><Relationship Id="rId679" Type="http://schemas.openxmlformats.org/officeDocument/2006/relationships/image" Target="media/index-643_1.png"/><Relationship Id="rId680" Type="http://schemas.openxmlformats.org/officeDocument/2006/relationships/image" Target="media/index-644_1.png"/><Relationship Id="rId681" Type="http://schemas.openxmlformats.org/officeDocument/2006/relationships/image" Target="media/index-645_1.png"/><Relationship Id="rId682" Type="http://schemas.openxmlformats.org/officeDocument/2006/relationships/image" Target="media/index-646_1.png"/><Relationship Id="rId683" Type="http://schemas.openxmlformats.org/officeDocument/2006/relationships/image" Target="media/index-647_1.png"/><Relationship Id="rId684" Type="http://schemas.openxmlformats.org/officeDocument/2006/relationships/image" Target="media/index-648_1.png"/><Relationship Id="rId685" Type="http://schemas.openxmlformats.org/officeDocument/2006/relationships/image" Target="media/index-649_1.png"/><Relationship Id="rId686" Type="http://schemas.openxmlformats.org/officeDocument/2006/relationships/image" Target="media/index-650_1.png"/><Relationship Id="rId687" Type="http://schemas.openxmlformats.org/officeDocument/2006/relationships/image" Target="media/index-651_1.png"/><Relationship Id="rId688" Type="http://schemas.openxmlformats.org/officeDocument/2006/relationships/image" Target="media/index-652_1.png"/><Relationship Id="rId689" Type="http://schemas.openxmlformats.org/officeDocument/2006/relationships/image" Target="media/index-653_1.png"/><Relationship Id="rId690" Type="http://schemas.openxmlformats.org/officeDocument/2006/relationships/image" Target="media/index-654_1.png"/><Relationship Id="rId691" Type="http://schemas.openxmlformats.org/officeDocument/2006/relationships/image" Target="media/index-655_1.png"/><Relationship Id="rId692" Type="http://schemas.openxmlformats.org/officeDocument/2006/relationships/image" Target="media/index-656_1.png"/><Relationship Id="rId693" Type="http://schemas.openxmlformats.org/officeDocument/2006/relationships/image" Target="media/index-657_1.png"/><Relationship Id="rId694" Type="http://schemas.openxmlformats.org/officeDocument/2006/relationships/image" Target="media/index-658_1.png"/><Relationship Id="rId695" Type="http://schemas.openxmlformats.org/officeDocument/2006/relationships/image" Target="media/index-659_1.png"/><Relationship Id="rId696" Type="http://schemas.openxmlformats.org/officeDocument/2006/relationships/image" Target="media/index-660_1.png"/><Relationship Id="rId697" Type="http://schemas.openxmlformats.org/officeDocument/2006/relationships/image" Target="media/index-661_1.png"/><Relationship Id="rId698" Type="http://schemas.openxmlformats.org/officeDocument/2006/relationships/image" Target="media/index-662_1.png"/><Relationship Id="rId699" Type="http://schemas.openxmlformats.org/officeDocument/2006/relationships/image" Target="media/index-663_1.png"/><Relationship Id="rId700" Type="http://schemas.openxmlformats.org/officeDocument/2006/relationships/image" Target="media/index-664_1.png"/><Relationship Id="rId701" Type="http://schemas.openxmlformats.org/officeDocument/2006/relationships/image" Target="media/index-665_1.png"/><Relationship Id="rId702" Type="http://schemas.openxmlformats.org/officeDocument/2006/relationships/image" Target="media/index-666_1.png"/><Relationship Id="rId703" Type="http://schemas.openxmlformats.org/officeDocument/2006/relationships/image" Target="media/index-667_1.png"/><Relationship Id="rId704" Type="http://schemas.openxmlformats.org/officeDocument/2006/relationships/image" Target="media/index-668_1.png"/><Relationship Id="rId705" Type="http://schemas.openxmlformats.org/officeDocument/2006/relationships/image" Target="media/index-669_1.png"/><Relationship Id="rId706" Type="http://schemas.openxmlformats.org/officeDocument/2006/relationships/image" Target="media/index-670_1.png"/><Relationship Id="rId707" Type="http://schemas.openxmlformats.org/officeDocument/2006/relationships/image" Target="media/index-671_1.png"/><Relationship Id="rId708" Type="http://schemas.openxmlformats.org/officeDocument/2006/relationships/image" Target="media/index-672_1.png"/><Relationship Id="rId709" Type="http://schemas.openxmlformats.org/officeDocument/2006/relationships/image" Target="media/index-673_1.png"/><Relationship Id="rId710" Type="http://schemas.openxmlformats.org/officeDocument/2006/relationships/image" Target="media/index-674_1.png"/><Relationship Id="rId711" Type="http://schemas.openxmlformats.org/officeDocument/2006/relationships/image" Target="media/index-675_1.png"/><Relationship Id="rId712" Type="http://schemas.openxmlformats.org/officeDocument/2006/relationships/image" Target="media/index-676_1.png"/><Relationship Id="rId713" Type="http://schemas.openxmlformats.org/officeDocument/2006/relationships/image" Target="media/index-677_1.png"/><Relationship Id="rId714" Type="http://schemas.openxmlformats.org/officeDocument/2006/relationships/image" Target="media/index-678_1.png"/><Relationship Id="rId715" Type="http://schemas.openxmlformats.org/officeDocument/2006/relationships/image" Target="media/index-679_1.png"/><Relationship Id="rId716" Type="http://schemas.openxmlformats.org/officeDocument/2006/relationships/image" Target="media/index-680_1.png"/><Relationship Id="rId717" Type="http://schemas.openxmlformats.org/officeDocument/2006/relationships/image" Target="media/index-681_1.png"/><Relationship Id="rId718" Type="http://schemas.openxmlformats.org/officeDocument/2006/relationships/image" Target="media/index-682_1.png"/><Relationship Id="rId719" Type="http://schemas.openxmlformats.org/officeDocument/2006/relationships/image" Target="media/index-683_1.png"/><Relationship Id="rId720" Type="http://schemas.openxmlformats.org/officeDocument/2006/relationships/image" Target="media/index-684_1.png"/><Relationship Id="rId721" Type="http://schemas.openxmlformats.org/officeDocument/2006/relationships/image" Target="media/index-685_1.png"/><Relationship Id="rId722" Type="http://schemas.openxmlformats.org/officeDocument/2006/relationships/image" Target="media/index-686_1.png"/><Relationship Id="rId723" Type="http://schemas.openxmlformats.org/officeDocument/2006/relationships/image" Target="media/index-687_1.png"/><Relationship Id="rId724" Type="http://schemas.openxmlformats.org/officeDocument/2006/relationships/image" Target="media/index-688_1.png"/><Relationship Id="rId725" Type="http://schemas.openxmlformats.org/officeDocument/2006/relationships/image" Target="media/index-689_1.png"/><Relationship Id="rId726" Type="http://schemas.openxmlformats.org/officeDocument/2006/relationships/image" Target="media/index-690_1.png"/><Relationship Id="rId727" Type="http://schemas.openxmlformats.org/officeDocument/2006/relationships/image" Target="media/index-691_1.png"/><Relationship Id="rId728" Type="http://schemas.openxmlformats.org/officeDocument/2006/relationships/image" Target="media/index-692_1.png"/><Relationship Id="rId729" Type="http://schemas.openxmlformats.org/officeDocument/2006/relationships/image" Target="media/index-693_1.png"/><Relationship Id="rId730" Type="http://schemas.openxmlformats.org/officeDocument/2006/relationships/image" Target="media/index-694_1.png"/><Relationship Id="rId731" Type="http://schemas.openxmlformats.org/officeDocument/2006/relationships/image" Target="media/index-695_1.png"/><Relationship Id="rId732" Type="http://schemas.openxmlformats.org/officeDocument/2006/relationships/image" Target="media/index-696_1.png"/><Relationship Id="rId733" Type="http://schemas.openxmlformats.org/officeDocument/2006/relationships/image" Target="media/index-697_1.png"/><Relationship Id="rId734" Type="http://schemas.openxmlformats.org/officeDocument/2006/relationships/image" Target="media/index-698_1.png"/><Relationship Id="rId735" Type="http://schemas.openxmlformats.org/officeDocument/2006/relationships/image" Target="media/index-699_1.png"/><Relationship Id="rId736" Type="http://schemas.openxmlformats.org/officeDocument/2006/relationships/image" Target="media/index-700_1.png"/><Relationship Id="rId737" Type="http://schemas.openxmlformats.org/officeDocument/2006/relationships/image" Target="media/index-701_1.png"/><Relationship Id="rId738" Type="http://schemas.openxmlformats.org/officeDocument/2006/relationships/image" Target="media/index-702_1.png"/><Relationship Id="rId739" Type="http://schemas.openxmlformats.org/officeDocument/2006/relationships/image" Target="media/index-703_1.png"/><Relationship Id="rId740" Type="http://schemas.openxmlformats.org/officeDocument/2006/relationships/image" Target="media/index-704_1.png"/><Relationship Id="rId741" Type="http://schemas.openxmlformats.org/officeDocument/2006/relationships/image" Target="media/index-705_1.png"/><Relationship Id="rId742" Type="http://schemas.openxmlformats.org/officeDocument/2006/relationships/image" Target="media/index-706_1.png"/><Relationship Id="rId743" Type="http://schemas.openxmlformats.org/officeDocument/2006/relationships/image" Target="media/index-707_1.png"/><Relationship Id="rId744" Type="http://schemas.openxmlformats.org/officeDocument/2006/relationships/image" Target="media/index-708_1.png"/><Relationship Id="rId745" Type="http://schemas.openxmlformats.org/officeDocument/2006/relationships/image" Target="media/index-709_1.png"/><Relationship Id="rId746" Type="http://schemas.openxmlformats.org/officeDocument/2006/relationships/image" Target="media/index-710_1.png"/><Relationship Id="rId747" Type="http://schemas.openxmlformats.org/officeDocument/2006/relationships/image" Target="media/index-711_1.png"/><Relationship Id="rId748" Type="http://schemas.openxmlformats.org/officeDocument/2006/relationships/image" Target="media/index-712_1.png"/><Relationship Id="rId749" Type="http://schemas.openxmlformats.org/officeDocument/2006/relationships/image" Target="media/index-713_1.png"/><Relationship Id="rId750" Type="http://schemas.openxmlformats.org/officeDocument/2006/relationships/image" Target="media/index-714_1.png"/><Relationship Id="rId751" Type="http://schemas.openxmlformats.org/officeDocument/2006/relationships/image" Target="media/index-715_1.png"/><Relationship Id="rId752" Type="http://schemas.openxmlformats.org/officeDocument/2006/relationships/image" Target="media/index-716_1.png"/><Relationship Id="rId753" Type="http://schemas.openxmlformats.org/officeDocument/2006/relationships/image" Target="media/index-717_1.png"/><Relationship Id="rId754" Type="http://schemas.openxmlformats.org/officeDocument/2006/relationships/image" Target="media/index-718_1.png"/><Relationship Id="rId755" Type="http://schemas.openxmlformats.org/officeDocument/2006/relationships/image" Target="media/index-719_1.png"/><Relationship Id="rId756" Type="http://schemas.openxmlformats.org/officeDocument/2006/relationships/image" Target="media/index-720_1.png"/><Relationship Id="rId757" Type="http://schemas.openxmlformats.org/officeDocument/2006/relationships/image" Target="media/index-721_1.png"/><Relationship Id="rId758" Type="http://schemas.openxmlformats.org/officeDocument/2006/relationships/image" Target="media/index-722_1.png"/><Relationship Id="rId759" Type="http://schemas.openxmlformats.org/officeDocument/2006/relationships/image" Target="media/index-723_1.png"/><Relationship Id="rId760" Type="http://schemas.openxmlformats.org/officeDocument/2006/relationships/image" Target="media/index-724_1.png"/><Relationship Id="rId761" Type="http://schemas.openxmlformats.org/officeDocument/2006/relationships/image" Target="media/index-725_1.png"/><Relationship Id="rId762" Type="http://schemas.openxmlformats.org/officeDocument/2006/relationships/image" Target="media/index-726_1.png"/><Relationship Id="rId763" Type="http://schemas.openxmlformats.org/officeDocument/2006/relationships/image" Target="media/index-727_1.png"/><Relationship Id="rId764" Type="http://schemas.openxmlformats.org/officeDocument/2006/relationships/image" Target="media/index-728_1.png"/><Relationship Id="rId765" Type="http://schemas.openxmlformats.org/officeDocument/2006/relationships/image" Target="media/index-729_1.png"/><Relationship Id="rId766" Type="http://schemas.openxmlformats.org/officeDocument/2006/relationships/image" Target="media/index-730_1.png"/><Relationship Id="rId767" Type="http://schemas.openxmlformats.org/officeDocument/2006/relationships/image" Target="media/index-731_1.png"/><Relationship Id="rId768" Type="http://schemas.openxmlformats.org/officeDocument/2006/relationships/image" Target="media/index-732_1.png"/><Relationship Id="rId769" Type="http://schemas.openxmlformats.org/officeDocument/2006/relationships/image" Target="media/index-733_1.png"/><Relationship Id="rId770" Type="http://schemas.openxmlformats.org/officeDocument/2006/relationships/image" Target="media/index-734_1.png"/><Relationship Id="rId771" Type="http://schemas.openxmlformats.org/officeDocument/2006/relationships/image" Target="media/index-735_1.png"/><Relationship Id="rId772" Type="http://schemas.openxmlformats.org/officeDocument/2006/relationships/image" Target="media/index-736_1.png"/><Relationship Id="rId773" Type="http://schemas.openxmlformats.org/officeDocument/2006/relationships/image" Target="media/index-737_1.png"/><Relationship Id="rId774" Type="http://schemas.openxmlformats.org/officeDocument/2006/relationships/image" Target="media/index-738_1.png"/><Relationship Id="rId775" Type="http://schemas.openxmlformats.org/officeDocument/2006/relationships/image" Target="media/index-739_1.png"/><Relationship Id="rId776" Type="http://schemas.openxmlformats.org/officeDocument/2006/relationships/image" Target="media/index-740_1.png"/><Relationship Id="rId777" Type="http://schemas.openxmlformats.org/officeDocument/2006/relationships/image" Target="media/index-741_1.png"/><Relationship Id="rId778" Type="http://schemas.openxmlformats.org/officeDocument/2006/relationships/image" Target="media/index-742_1.png"/><Relationship Id="rId779" Type="http://schemas.openxmlformats.org/officeDocument/2006/relationships/image" Target="media/index-743_1.png"/><Relationship Id="rId780" Type="http://schemas.openxmlformats.org/officeDocument/2006/relationships/image" Target="media/index-744_1.png"/><Relationship Id="rId781" Type="http://schemas.openxmlformats.org/officeDocument/2006/relationships/image" Target="media/index-745_1.png"/><Relationship Id="rId782" Type="http://schemas.openxmlformats.org/officeDocument/2006/relationships/image" Target="media/index-745_2.png"/><Relationship Id="rId783" Type="http://schemas.openxmlformats.org/officeDocument/2006/relationships/image" Target="media/index-746_1.png"/><Relationship Id="rId784" Type="http://schemas.openxmlformats.org/officeDocument/2006/relationships/image" Target="media/index-746_2.png"/><Relationship Id="rId785" Type="http://schemas.openxmlformats.org/officeDocument/2006/relationships/image" Target="media/index-747_1.png"/><Relationship Id="rId786" Type="http://schemas.openxmlformats.org/officeDocument/2006/relationships/image" Target="media/index-747_2.png"/><Relationship Id="rId787" Type="http://schemas.openxmlformats.org/officeDocument/2006/relationships/image" Target="media/index-748_1.png"/><Relationship Id="rId788" Type="http://schemas.openxmlformats.org/officeDocument/2006/relationships/image" Target="media/index-749_1.png"/><Relationship Id="rId789" Type="http://schemas.openxmlformats.org/officeDocument/2006/relationships/image" Target="media/index-750_1.png"/><Relationship Id="rId790" Type="http://schemas.openxmlformats.org/officeDocument/2006/relationships/image" Target="media/index-751_1.png"/><Relationship Id="rId791" Type="http://schemas.openxmlformats.org/officeDocument/2006/relationships/image" Target="media/index-752_1.png"/><Relationship Id="rId792" Type="http://schemas.openxmlformats.org/officeDocument/2006/relationships/image" Target="media/index-753_1.png"/><Relationship Id="rId793" Type="http://schemas.openxmlformats.org/officeDocument/2006/relationships/image" Target="media/index-754_1.png"/><Relationship Id="rId794" Type="http://schemas.openxmlformats.org/officeDocument/2006/relationships/image" Target="media/index-755_1.png"/><Relationship Id="rId795" Type="http://schemas.openxmlformats.org/officeDocument/2006/relationships/image" Target="media/index-756_1.png"/><Relationship Id="rId796" Type="http://schemas.openxmlformats.org/officeDocument/2006/relationships/image" Target="media/index-757_1.png"/><Relationship Id="rId797" Type="http://schemas.openxmlformats.org/officeDocument/2006/relationships/image" Target="media/index-758_1.png"/><Relationship Id="rId798" Type="http://schemas.openxmlformats.org/officeDocument/2006/relationships/image" Target="media/index-759_1.png"/><Relationship Id="rId799" Type="http://schemas.openxmlformats.org/officeDocument/2006/relationships/image" Target="media/index-760_1.png"/><Relationship Id="rId800" Type="http://schemas.openxmlformats.org/officeDocument/2006/relationships/image" Target="media/index-761_1.png"/><Relationship Id="rId801" Type="http://schemas.openxmlformats.org/officeDocument/2006/relationships/image" Target="media/index-762_1.png"/><Relationship Id="rId802" Type="http://schemas.openxmlformats.org/officeDocument/2006/relationships/image" Target="media/index-763_1.png"/><Relationship Id="rId803" Type="http://schemas.openxmlformats.org/officeDocument/2006/relationships/image" Target="media/index-764_1.png"/><Relationship Id="rId804" Type="http://schemas.openxmlformats.org/officeDocument/2006/relationships/image" Target="media/index-765_1.png"/><Relationship Id="rId805" Type="http://schemas.openxmlformats.org/officeDocument/2006/relationships/image" Target="media/index-766_1.png"/><Relationship Id="rId806" Type="http://schemas.openxmlformats.org/officeDocument/2006/relationships/image" Target="media/index-767_1.png"/><Relationship Id="rId807" Type="http://schemas.openxmlformats.org/officeDocument/2006/relationships/image" Target="media/index-768_1.png"/><Relationship Id="rId808" Type="http://schemas.openxmlformats.org/officeDocument/2006/relationships/image" Target="media/index-769_1.png"/><Relationship Id="rId809" Type="http://schemas.openxmlformats.org/officeDocument/2006/relationships/image" Target="media/index-770_1.png"/><Relationship Id="rId810" Type="http://schemas.openxmlformats.org/officeDocument/2006/relationships/image" Target="media/index-771_1.png"/><Relationship Id="rId811" Type="http://schemas.openxmlformats.org/officeDocument/2006/relationships/image" Target="media/index-772_1.png"/><Relationship Id="rId812" Type="http://schemas.openxmlformats.org/officeDocument/2006/relationships/image" Target="media/index-773_1.png"/><Relationship Id="rId813" Type="http://schemas.openxmlformats.org/officeDocument/2006/relationships/image" Target="media/index-774_1.png"/><Relationship Id="rId814" Type="http://schemas.openxmlformats.org/officeDocument/2006/relationships/image" Target="media/index-775_1.png"/><Relationship Id="rId815" Type="http://schemas.openxmlformats.org/officeDocument/2006/relationships/image" Target="media/index-776_1.png"/><Relationship Id="rId816" Type="http://schemas.openxmlformats.org/officeDocument/2006/relationships/image" Target="media/index-777_1.png"/><Relationship Id="rId817" Type="http://schemas.openxmlformats.org/officeDocument/2006/relationships/image" Target="media/index-778_1.png"/><Relationship Id="rId818" Type="http://schemas.openxmlformats.org/officeDocument/2006/relationships/image" Target="media/index-779_1.png"/><Relationship Id="rId819" Type="http://schemas.openxmlformats.org/officeDocument/2006/relationships/image" Target="media/index-780_1.png"/><Relationship Id="rId820" Type="http://schemas.openxmlformats.org/officeDocument/2006/relationships/image" Target="media/index-781_1.png"/><Relationship Id="rId821" Type="http://schemas.openxmlformats.org/officeDocument/2006/relationships/image" Target="media/index-782_1.png"/><Relationship Id="rId822" Type="http://schemas.openxmlformats.org/officeDocument/2006/relationships/image" Target="media/index-783_1.png"/><Relationship Id="rId823" Type="http://schemas.openxmlformats.org/officeDocument/2006/relationships/image" Target="media/index-784_1.png"/><Relationship Id="rId824" Type="http://schemas.openxmlformats.org/officeDocument/2006/relationships/image" Target="media/index-785_1.png"/><Relationship Id="rId825" Type="http://schemas.openxmlformats.org/officeDocument/2006/relationships/image" Target="media/index-786_1.png"/><Relationship Id="rId826" Type="http://schemas.openxmlformats.org/officeDocument/2006/relationships/image" Target="media/index-787_1.png"/><Relationship Id="rId827" Type="http://schemas.openxmlformats.org/officeDocument/2006/relationships/image" Target="media/index-788_1.png"/><Relationship Id="rId828" Type="http://schemas.openxmlformats.org/officeDocument/2006/relationships/image" Target="media/index-789_1.png"/><Relationship Id="rId829" Type="http://schemas.openxmlformats.org/officeDocument/2006/relationships/image" Target="media/index-790_1.png"/><Relationship Id="rId830" Type="http://schemas.openxmlformats.org/officeDocument/2006/relationships/image" Target="media/index-791_1.png"/><Relationship Id="rId831" Type="http://schemas.openxmlformats.org/officeDocument/2006/relationships/image" Target="media/index-792_1.png"/><Relationship Id="rId832" Type="http://schemas.openxmlformats.org/officeDocument/2006/relationships/image" Target="media/index-793_1.png"/><Relationship Id="rId833" Type="http://schemas.openxmlformats.org/officeDocument/2006/relationships/image" Target="media/index-794_1.png"/><Relationship Id="rId834" Type="http://schemas.openxmlformats.org/officeDocument/2006/relationships/image" Target="media/index-795_1.png"/><Relationship Id="rId835" Type="http://schemas.openxmlformats.org/officeDocument/2006/relationships/image" Target="media/index-796_1.png"/><Relationship Id="rId836" Type="http://schemas.openxmlformats.org/officeDocument/2006/relationships/image" Target="media/index-797_1.png"/><Relationship Id="rId837" Type="http://schemas.openxmlformats.org/officeDocument/2006/relationships/image" Target="media/index-798_1.png"/><Relationship Id="rId838" Type="http://schemas.openxmlformats.org/officeDocument/2006/relationships/image" Target="media/index-799_1.png"/><Relationship Id="rId839" Type="http://schemas.openxmlformats.org/officeDocument/2006/relationships/image" Target="media/index-800_1.png"/><Relationship Id="rId840" Type="http://schemas.openxmlformats.org/officeDocument/2006/relationships/image" Target="media/index-801_1.png"/><Relationship Id="rId841" Type="http://schemas.openxmlformats.org/officeDocument/2006/relationships/image" Target="media/index-802_1.png"/><Relationship Id="rId842" Type="http://schemas.openxmlformats.org/officeDocument/2006/relationships/image" Target="media/index-803_1.png"/><Relationship Id="rId843" Type="http://schemas.openxmlformats.org/officeDocument/2006/relationships/image" Target="media/index-804_1.png"/><Relationship Id="rId844" Type="http://schemas.openxmlformats.org/officeDocument/2006/relationships/image" Target="media/index-805_1.png"/><Relationship Id="rId845" Type="http://schemas.openxmlformats.org/officeDocument/2006/relationships/image" Target="media/index-806_1.png"/><Relationship Id="rId846" Type="http://schemas.openxmlformats.org/officeDocument/2006/relationships/image" Target="media/index-807_1.png"/><Relationship Id="rId847" Type="http://schemas.openxmlformats.org/officeDocument/2006/relationships/image" Target="media/index-808_1.png"/><Relationship Id="rId848" Type="http://schemas.openxmlformats.org/officeDocument/2006/relationships/image" Target="media/index-809_1.png"/><Relationship Id="rId849" Type="http://schemas.openxmlformats.org/officeDocument/2006/relationships/image" Target="media/index-810_1.png"/><Relationship Id="rId850" Type="http://schemas.openxmlformats.org/officeDocument/2006/relationships/image" Target="media/index-811_1.png"/><Relationship Id="rId851" Type="http://schemas.openxmlformats.org/officeDocument/2006/relationships/image" Target="media/index-812_1.png"/><Relationship Id="rId852" Type="http://schemas.openxmlformats.org/officeDocument/2006/relationships/image" Target="media/index-813_1.png"/><Relationship Id="rId853" Type="http://schemas.openxmlformats.org/officeDocument/2006/relationships/image" Target="media/index-814_1.png"/><Relationship Id="rId854" Type="http://schemas.openxmlformats.org/officeDocument/2006/relationships/image" Target="media/index-815_1.png"/><Relationship Id="rId855" Type="http://schemas.openxmlformats.org/officeDocument/2006/relationships/image" Target="media/index-816_1.png"/><Relationship Id="rId856" Type="http://schemas.openxmlformats.org/officeDocument/2006/relationships/image" Target="media/index-817_1.png"/><Relationship Id="rId857" Type="http://schemas.openxmlformats.org/officeDocument/2006/relationships/image" Target="media/index-818_1.png"/><Relationship Id="rId858" Type="http://schemas.openxmlformats.org/officeDocument/2006/relationships/image" Target="media/index-819_1.png"/><Relationship Id="rId859" Type="http://schemas.openxmlformats.org/officeDocument/2006/relationships/image" Target="media/index-820_1.png"/><Relationship Id="rId860" Type="http://schemas.openxmlformats.org/officeDocument/2006/relationships/image" Target="media/index-821_1.png"/><Relationship Id="rId861" Type="http://schemas.openxmlformats.org/officeDocument/2006/relationships/image" Target="media/index-822_1.png"/><Relationship Id="rId862" Type="http://schemas.openxmlformats.org/officeDocument/2006/relationships/image" Target="media/index-823_1.png"/><Relationship Id="rId863" Type="http://schemas.openxmlformats.org/officeDocument/2006/relationships/image" Target="media/index-824_1.png"/><Relationship Id="rId864" Type="http://schemas.openxmlformats.org/officeDocument/2006/relationships/image" Target="media/index-825_1.png"/><Relationship Id="rId865" Type="http://schemas.openxmlformats.org/officeDocument/2006/relationships/image" Target="media/index-826_1.png"/><Relationship Id="rId866" Type="http://schemas.openxmlformats.org/officeDocument/2006/relationships/image" Target="media/index-827_1.png"/><Relationship Id="rId867" Type="http://schemas.openxmlformats.org/officeDocument/2006/relationships/image" Target="media/index-828_1.png"/><Relationship Id="rId868" Type="http://schemas.openxmlformats.org/officeDocument/2006/relationships/image" Target="media/index-829_1.png"/><Relationship Id="rId869" Type="http://schemas.openxmlformats.org/officeDocument/2006/relationships/image" Target="media/index-830_1.png"/><Relationship Id="rId870" Type="http://schemas.openxmlformats.org/officeDocument/2006/relationships/image" Target="media/index-830_2.png"/><Relationship Id="rId871" Type="http://schemas.openxmlformats.org/officeDocument/2006/relationships/image" Target="media/index-831_1.png"/><Relationship Id="rId872" Type="http://schemas.openxmlformats.org/officeDocument/2006/relationships/image" Target="media/index-832_1.png"/><Relationship Id="rId873" Type="http://schemas.openxmlformats.org/officeDocument/2006/relationships/image" Target="media/index-833_1.png"/><Relationship Id="rId874" Type="http://schemas.openxmlformats.org/officeDocument/2006/relationships/image" Target="media/index-834_1.png"/><Relationship Id="rId875" Type="http://schemas.openxmlformats.org/officeDocument/2006/relationships/image" Target="media/index-835_1.png"/><Relationship Id="rId876" Type="http://schemas.openxmlformats.org/officeDocument/2006/relationships/image" Target="media/index-835_2.png"/><Relationship Id="rId877" Type="http://schemas.openxmlformats.org/officeDocument/2006/relationships/image" Target="media/index-836_1.png"/><Relationship Id="rId878" Type="http://schemas.openxmlformats.org/officeDocument/2006/relationships/image" Target="media/index-837_1.png"/><Relationship Id="rId879" Type="http://schemas.openxmlformats.org/officeDocument/2006/relationships/image" Target="media/index-838_1.png"/><Relationship Id="rId880" Type="http://schemas.openxmlformats.org/officeDocument/2006/relationships/image" Target="media/index-838_2.png"/><Relationship Id="rId881" Type="http://schemas.openxmlformats.org/officeDocument/2006/relationships/image" Target="media/index-839_1.png"/><Relationship Id="rId882" Type="http://schemas.openxmlformats.org/officeDocument/2006/relationships/image" Target="media/index-840_1.png"/><Relationship Id="rId883" Type="http://schemas.openxmlformats.org/officeDocument/2006/relationships/image" Target="media/index-841_1.png"/><Relationship Id="rId884" Type="http://schemas.openxmlformats.org/officeDocument/2006/relationships/image" Target="media/index-842_1.png"/><Relationship Id="rId885" Type="http://schemas.openxmlformats.org/officeDocument/2006/relationships/image" Target="media/index-843_1.png"/><Relationship Id="rId886" Type="http://schemas.openxmlformats.org/officeDocument/2006/relationships/image" Target="media/index-844_1.png"/><Relationship Id="rId887" Type="http://schemas.openxmlformats.org/officeDocument/2006/relationships/image" Target="media/index-845_1.png"/><Relationship Id="rId888" Type="http://schemas.openxmlformats.org/officeDocument/2006/relationships/image" Target="media/index-846_1.png"/><Relationship Id="rId889" Type="http://schemas.openxmlformats.org/officeDocument/2006/relationships/image" Target="media/index-847_1.png"/><Relationship Id="rId890" Type="http://schemas.openxmlformats.org/officeDocument/2006/relationships/image" Target="media/index-848_1.png"/><Relationship Id="rId891" Type="http://schemas.openxmlformats.org/officeDocument/2006/relationships/image" Target="media/index-849_1.png"/><Relationship Id="rId892" Type="http://schemas.openxmlformats.org/officeDocument/2006/relationships/image" Target="media/index-850_1.png"/><Relationship Id="rId893" Type="http://schemas.openxmlformats.org/officeDocument/2006/relationships/image" Target="media/index-851_1.png"/><Relationship Id="rId894" Type="http://schemas.openxmlformats.org/officeDocument/2006/relationships/image" Target="media/index-852_1.png"/><Relationship Id="rId895" Type="http://schemas.openxmlformats.org/officeDocument/2006/relationships/image" Target="media/index-853_1.png"/><Relationship Id="rId896" Type="http://schemas.openxmlformats.org/officeDocument/2006/relationships/image" Target="media/index-854_1.png"/><Relationship Id="rId897" Type="http://schemas.openxmlformats.org/officeDocument/2006/relationships/image" Target="media/index-855_1.png"/><Relationship Id="rId898" Type="http://schemas.openxmlformats.org/officeDocument/2006/relationships/image" Target="media/index-856_1.png"/><Relationship Id="rId899" Type="http://schemas.openxmlformats.org/officeDocument/2006/relationships/image" Target="media/index-857_1.png"/><Relationship Id="rId900" Type="http://schemas.openxmlformats.org/officeDocument/2006/relationships/image" Target="media/index-858_1.png"/><Relationship Id="rId901" Type="http://schemas.openxmlformats.org/officeDocument/2006/relationships/image" Target="media/index-859_1.png"/><Relationship Id="rId902" Type="http://schemas.openxmlformats.org/officeDocument/2006/relationships/image" Target="media/index-860_1.png"/><Relationship Id="rId903" Type="http://schemas.openxmlformats.org/officeDocument/2006/relationships/image" Target="media/index-861_1.png"/><Relationship Id="rId904" Type="http://schemas.openxmlformats.org/officeDocument/2006/relationships/image" Target="media/index-862_1.png"/><Relationship Id="rId905" Type="http://schemas.openxmlformats.org/officeDocument/2006/relationships/image" Target="media/index-863_1.png"/><Relationship Id="rId906" Type="http://schemas.openxmlformats.org/officeDocument/2006/relationships/image" Target="media/index-864_1.png"/><Relationship Id="rId907" Type="http://schemas.openxmlformats.org/officeDocument/2006/relationships/image" Target="media/index-865_1.png"/><Relationship Id="rId908" Type="http://schemas.openxmlformats.org/officeDocument/2006/relationships/image" Target="media/index-866_1.png"/><Relationship Id="rId909" Type="http://schemas.openxmlformats.org/officeDocument/2006/relationships/image" Target="media/index-867_1.png"/><Relationship Id="rId910" Type="http://schemas.openxmlformats.org/officeDocument/2006/relationships/image" Target="media/index-868_1.png"/><Relationship Id="rId911" Type="http://schemas.openxmlformats.org/officeDocument/2006/relationships/image" Target="media/index-869_1.png"/><Relationship Id="rId912" Type="http://schemas.openxmlformats.org/officeDocument/2006/relationships/image" Target="media/index-870_1.png"/><Relationship Id="rId913" Type="http://schemas.openxmlformats.org/officeDocument/2006/relationships/image" Target="media/index-871_1.png"/><Relationship Id="rId914" Type="http://schemas.openxmlformats.org/officeDocument/2006/relationships/image" Target="media/index-872_1.png"/><Relationship Id="rId915" Type="http://schemas.openxmlformats.org/officeDocument/2006/relationships/image" Target="media/index-873_1.png"/><Relationship Id="rId916" Type="http://schemas.openxmlformats.org/officeDocument/2006/relationships/image" Target="media/index-874_1.png"/><Relationship Id="rId917" Type="http://schemas.openxmlformats.org/officeDocument/2006/relationships/image" Target="media/index-875_1.png"/><Relationship Id="rId918" Type="http://schemas.openxmlformats.org/officeDocument/2006/relationships/image" Target="media/index-876_1.png"/><Relationship Id="rId919" Type="http://schemas.openxmlformats.org/officeDocument/2006/relationships/image" Target="media/index-877_1.png"/><Relationship Id="rId920" Type="http://schemas.openxmlformats.org/officeDocument/2006/relationships/image" Target="media/index-878_1.png"/><Relationship Id="rId921" Type="http://schemas.openxmlformats.org/officeDocument/2006/relationships/image" Target="media/index-879_1.png"/><Relationship Id="rId922" Type="http://schemas.openxmlformats.org/officeDocument/2006/relationships/image" Target="media/index-880_1.png"/><Relationship Id="rId923" Type="http://schemas.openxmlformats.org/officeDocument/2006/relationships/image" Target="media/index-881_1.png"/><Relationship Id="rId924" Type="http://schemas.openxmlformats.org/officeDocument/2006/relationships/image" Target="media/index-882_1.png"/><Relationship Id="rId925" Type="http://schemas.openxmlformats.org/officeDocument/2006/relationships/image" Target="media/index-883_1.png"/><Relationship Id="rId926" Type="http://schemas.openxmlformats.org/officeDocument/2006/relationships/image" Target="media/index-884_1.png"/><Relationship Id="rId927" Type="http://schemas.openxmlformats.org/officeDocument/2006/relationships/image" Target="media/index-885_1.png"/><Relationship Id="rId928" Type="http://schemas.openxmlformats.org/officeDocument/2006/relationships/image" Target="media/index-886_1.png"/><Relationship Id="rId929" Type="http://schemas.openxmlformats.org/officeDocument/2006/relationships/image" Target="media/index-887_1.png"/><Relationship Id="rId930" Type="http://schemas.openxmlformats.org/officeDocument/2006/relationships/image" Target="media/index-888_1.png"/><Relationship Id="rId931" Type="http://schemas.openxmlformats.org/officeDocument/2006/relationships/image" Target="media/index-889_1.png"/><Relationship Id="rId932" Type="http://schemas.openxmlformats.org/officeDocument/2006/relationships/image" Target="media/index-890_1.png"/><Relationship Id="rId933" Type="http://schemas.openxmlformats.org/officeDocument/2006/relationships/image" Target="media/index-891_1.png"/><Relationship Id="rId934" Type="http://schemas.openxmlformats.org/officeDocument/2006/relationships/image" Target="media/index-892_1.png"/><Relationship Id="rId935" Type="http://schemas.openxmlformats.org/officeDocument/2006/relationships/image" Target="media/index-893_1.png"/><Relationship Id="rId936" Type="http://schemas.openxmlformats.org/officeDocument/2006/relationships/image" Target="media/index-894_1.png"/><Relationship Id="rId937" Type="http://schemas.openxmlformats.org/officeDocument/2006/relationships/image" Target="media/index-895_1.png"/><Relationship Id="rId938" Type="http://schemas.openxmlformats.org/officeDocument/2006/relationships/image" Target="media/index-896_1.png"/><Relationship Id="rId939" Type="http://schemas.openxmlformats.org/officeDocument/2006/relationships/image" Target="media/index-897_1.png"/><Relationship Id="rId940" Type="http://schemas.openxmlformats.org/officeDocument/2006/relationships/image" Target="media/index-898_1.png"/><Relationship Id="rId941" Type="http://schemas.openxmlformats.org/officeDocument/2006/relationships/image" Target="media/index-899_1.png"/><Relationship Id="rId942" Type="http://schemas.openxmlformats.org/officeDocument/2006/relationships/image" Target="media/index-900_1.png"/><Relationship Id="rId943" Type="http://schemas.openxmlformats.org/officeDocument/2006/relationships/image" Target="media/index-901_1.png"/><Relationship Id="rId944" Type="http://schemas.openxmlformats.org/officeDocument/2006/relationships/image" Target="media/index-902_1.png"/><Relationship Id="rId945" Type="http://schemas.openxmlformats.org/officeDocument/2006/relationships/image" Target="media/index-903_1.png"/><Relationship Id="rId946" Type="http://schemas.openxmlformats.org/officeDocument/2006/relationships/image" Target="media/index-904_1.png"/><Relationship Id="rId947" Type="http://schemas.openxmlformats.org/officeDocument/2006/relationships/image" Target="media/index-905_1.png"/><Relationship Id="rId948" Type="http://schemas.openxmlformats.org/officeDocument/2006/relationships/image" Target="media/index-906_1.png"/><Relationship Id="rId949" Type="http://schemas.openxmlformats.org/officeDocument/2006/relationships/image" Target="media/index-907_1.png"/><Relationship Id="rId950" Type="http://schemas.openxmlformats.org/officeDocument/2006/relationships/image" Target="media/index-908_1.png"/><Relationship Id="rId951" Type="http://schemas.openxmlformats.org/officeDocument/2006/relationships/image" Target="media/index-909_1.png"/><Relationship Id="rId952" Type="http://schemas.openxmlformats.org/officeDocument/2006/relationships/image" Target="media/index-910_1.png"/><Relationship Id="rId953" Type="http://schemas.openxmlformats.org/officeDocument/2006/relationships/image" Target="media/index-911_1.png"/><Relationship Id="rId954" Type="http://schemas.openxmlformats.org/officeDocument/2006/relationships/image" Target="media/index-912_1.png"/><Relationship Id="rId955" Type="http://schemas.openxmlformats.org/officeDocument/2006/relationships/image" Target="media/index-913_1.png"/><Relationship Id="rId956" Type="http://schemas.openxmlformats.org/officeDocument/2006/relationships/image" Target="media/index-914_1.png"/><Relationship Id="rId957" Type="http://schemas.openxmlformats.org/officeDocument/2006/relationships/image" Target="media/index-915_1.png"/><Relationship Id="rId958" Type="http://schemas.openxmlformats.org/officeDocument/2006/relationships/image" Target="media/index-916_1.png"/><Relationship Id="rId959" Type="http://schemas.openxmlformats.org/officeDocument/2006/relationships/image" Target="media/index-917_1.png"/><Relationship Id="rId960" Type="http://schemas.openxmlformats.org/officeDocument/2006/relationships/image" Target="media/index-918_1.png"/><Relationship Id="rId961" Type="http://schemas.openxmlformats.org/officeDocument/2006/relationships/image" Target="media/index-918_2.png"/><Relationship Id="rId962" Type="http://schemas.openxmlformats.org/officeDocument/2006/relationships/image" Target="media/index-919_1.png"/><Relationship Id="rId963" Type="http://schemas.openxmlformats.org/officeDocument/2006/relationships/image" Target="media/index-920_1.png"/><Relationship Id="rId964" Type="http://schemas.openxmlformats.org/officeDocument/2006/relationships/image" Target="media/index-921_1.png"/><Relationship Id="rId965" Type="http://schemas.openxmlformats.org/officeDocument/2006/relationships/image" Target="media/index-922_1.png"/><Relationship Id="rId966" Type="http://schemas.openxmlformats.org/officeDocument/2006/relationships/image" Target="media/index-923_1.png"/><Relationship Id="rId967" Type="http://schemas.openxmlformats.org/officeDocument/2006/relationships/image" Target="media/index-924_1.png"/><Relationship Id="rId968" Type="http://schemas.openxmlformats.org/officeDocument/2006/relationships/image" Target="media/index-925_1.png"/><Relationship Id="rId969" Type="http://schemas.openxmlformats.org/officeDocument/2006/relationships/image" Target="media/index-926_1.png"/><Relationship Id="rId970" Type="http://schemas.openxmlformats.org/officeDocument/2006/relationships/image" Target="media/index-927_1.png"/><Relationship Id="rId971" Type="http://schemas.openxmlformats.org/officeDocument/2006/relationships/image" Target="media/index-928_1.png"/><Relationship Id="rId972" Type="http://schemas.openxmlformats.org/officeDocument/2006/relationships/image" Target="media/index-929_1.png"/><Relationship Id="rId973" Type="http://schemas.openxmlformats.org/officeDocument/2006/relationships/image" Target="media/index-930_1.png"/><Relationship Id="rId974" Type="http://schemas.openxmlformats.org/officeDocument/2006/relationships/image" Target="media/index-931_1.png"/><Relationship Id="rId975" Type="http://schemas.openxmlformats.org/officeDocument/2006/relationships/image" Target="media/index-932_1.png"/><Relationship Id="rId976" Type="http://schemas.openxmlformats.org/officeDocument/2006/relationships/image" Target="media/index-933_1.png"/><Relationship Id="rId977" Type="http://schemas.openxmlformats.org/officeDocument/2006/relationships/image" Target="media/index-934_1.png"/><Relationship Id="rId978" Type="http://schemas.openxmlformats.org/officeDocument/2006/relationships/image" Target="media/index-935_1.png"/><Relationship Id="rId979" Type="http://schemas.openxmlformats.org/officeDocument/2006/relationships/image" Target="media/index-936_1.png"/><Relationship Id="rId980" Type="http://schemas.openxmlformats.org/officeDocument/2006/relationships/image" Target="media/index-937_1.png"/><Relationship Id="rId981" Type="http://schemas.openxmlformats.org/officeDocument/2006/relationships/image" Target="media/index-938_1.png"/><Relationship Id="rId982" Type="http://schemas.openxmlformats.org/officeDocument/2006/relationships/image" Target="media/index-939_1.png"/><Relationship Id="rId983" Type="http://schemas.openxmlformats.org/officeDocument/2006/relationships/image" Target="media/index-940_1.png"/><Relationship Id="rId984" Type="http://schemas.openxmlformats.org/officeDocument/2006/relationships/image" Target="media/index-941_1.png"/><Relationship Id="rId985" Type="http://schemas.openxmlformats.org/officeDocument/2006/relationships/image" Target="media/index-942_1.png"/><Relationship Id="rId986" Type="http://schemas.openxmlformats.org/officeDocument/2006/relationships/image" Target="media/index-943_1.png"/><Relationship Id="rId987" Type="http://schemas.openxmlformats.org/officeDocument/2006/relationships/image" Target="media/index-944_1.png"/><Relationship Id="rId988" Type="http://schemas.openxmlformats.org/officeDocument/2006/relationships/image" Target="media/index-945_1.png"/><Relationship Id="rId989" Type="http://schemas.openxmlformats.org/officeDocument/2006/relationships/image" Target="media/index-945_2.png"/><Relationship Id="rId990" Type="http://schemas.openxmlformats.org/officeDocument/2006/relationships/image" Target="media/index-946_1.png"/><Relationship Id="rId991" Type="http://schemas.openxmlformats.org/officeDocument/2006/relationships/image" Target="media/index-947_1.png"/><Relationship Id="rId992" Type="http://schemas.openxmlformats.org/officeDocument/2006/relationships/image" Target="media/index-948_1.png"/><Relationship Id="rId993" Type="http://schemas.openxmlformats.org/officeDocument/2006/relationships/image" Target="media/index-948_2.png"/><Relationship Id="rId994" Type="http://schemas.openxmlformats.org/officeDocument/2006/relationships/image" Target="media/index-949_1.png"/><Relationship Id="rId995" Type="http://schemas.openxmlformats.org/officeDocument/2006/relationships/image" Target="media/index-950_1.png"/><Relationship Id="rId996" Type="http://schemas.openxmlformats.org/officeDocument/2006/relationships/image" Target="media/index-951_1.png"/><Relationship Id="rId997" Type="http://schemas.openxmlformats.org/officeDocument/2006/relationships/image" Target="media/index-952_1.png"/><Relationship Id="rId998" Type="http://schemas.openxmlformats.org/officeDocument/2006/relationships/image" Target="media/index-953_1.png"/><Relationship Id="rId999" Type="http://schemas.openxmlformats.org/officeDocument/2006/relationships/image" Target="media/index-954_1.png"/><Relationship Id="rId1000" Type="http://schemas.openxmlformats.org/officeDocument/2006/relationships/image" Target="media/index-955_1.png"/><Relationship Id="rId1001" Type="http://schemas.openxmlformats.org/officeDocument/2006/relationships/image" Target="media/index-956_1.png"/><Relationship Id="rId1002" Type="http://schemas.openxmlformats.org/officeDocument/2006/relationships/image" Target="media/index-957_1.png"/><Relationship Id="rId1003" Type="http://schemas.openxmlformats.org/officeDocument/2006/relationships/image" Target="media/index-958_1.png"/><Relationship Id="rId1004" Type="http://schemas.openxmlformats.org/officeDocument/2006/relationships/image" Target="media/index-959_1.png"/><Relationship Id="rId1005" Type="http://schemas.openxmlformats.org/officeDocument/2006/relationships/image" Target="media/index-960_1.png"/><Relationship Id="rId1006" Type="http://schemas.openxmlformats.org/officeDocument/2006/relationships/image" Target="media/index-961_1.png"/><Relationship Id="rId1007" Type="http://schemas.openxmlformats.org/officeDocument/2006/relationships/image" Target="media/index-962_1.png"/><Relationship Id="rId1008" Type="http://schemas.openxmlformats.org/officeDocument/2006/relationships/image" Target="media/index-963_1.png"/><Relationship Id="rId1009" Type="http://schemas.openxmlformats.org/officeDocument/2006/relationships/image" Target="media/index-964_1.png"/><Relationship Id="rId1010" Type="http://schemas.openxmlformats.org/officeDocument/2006/relationships/image" Target="media/index-965_1.png"/><Relationship Id="rId1011" Type="http://schemas.openxmlformats.org/officeDocument/2006/relationships/image" Target="media/index-966_1.png"/><Relationship Id="rId1012" Type="http://schemas.openxmlformats.org/officeDocument/2006/relationships/image" Target="media/index-967_1.png"/><Relationship Id="rId1013" Type="http://schemas.openxmlformats.org/officeDocument/2006/relationships/image" Target="media/index-968_1.png"/><Relationship Id="rId1014" Type="http://schemas.openxmlformats.org/officeDocument/2006/relationships/image" Target="media/index-969_1.png"/><Relationship Id="rId1015" Type="http://schemas.openxmlformats.org/officeDocument/2006/relationships/image" Target="media/index-970_1.png"/><Relationship Id="rId1016" Type="http://schemas.openxmlformats.org/officeDocument/2006/relationships/image" Target="media/index-971_1.png"/><Relationship Id="rId1017" Type="http://schemas.openxmlformats.org/officeDocument/2006/relationships/image" Target="media/index-972_1.png"/><Relationship Id="rId1018" Type="http://schemas.openxmlformats.org/officeDocument/2006/relationships/image" Target="media/index-973_1.png"/><Relationship Id="rId1019" Type="http://schemas.openxmlformats.org/officeDocument/2006/relationships/image" Target="media/index-974_1.png"/><Relationship Id="rId1020" Type="http://schemas.openxmlformats.org/officeDocument/2006/relationships/image" Target="media/index-975_1.png"/><Relationship Id="rId1021" Type="http://schemas.openxmlformats.org/officeDocument/2006/relationships/image" Target="media/index-976_1.png"/><Relationship Id="rId1022" Type="http://schemas.openxmlformats.org/officeDocument/2006/relationships/image" Target="media/index-977_1.png"/><Relationship Id="rId1023" Type="http://schemas.openxmlformats.org/officeDocument/2006/relationships/image" Target="media/index-978_1.png"/><Relationship Id="rId1024" Type="http://schemas.openxmlformats.org/officeDocument/2006/relationships/image" Target="media/index-979_1.png"/><Relationship Id="rId1025" Type="http://schemas.openxmlformats.org/officeDocument/2006/relationships/image" Target="media/index-980_1.png"/><Relationship Id="rId1026" Type="http://schemas.openxmlformats.org/officeDocument/2006/relationships/image" Target="media/index-981_1.png"/><Relationship Id="rId1027" Type="http://schemas.openxmlformats.org/officeDocument/2006/relationships/image" Target="media/index-982_1.png"/><Relationship Id="rId1028" Type="http://schemas.openxmlformats.org/officeDocument/2006/relationships/image" Target="media/cover1.jpeg"/><Relationship Id="rId1029" Type="http://schemas.openxmlformats.org/officeDocument/2006/relationships/hyperlink" Target="https://documentation.ubuntu.com/security/" TargetMode="External"/><Relationship Id="rId1030" Type="http://schemas.openxmlformats.org/officeDocument/2006/relationships/hyperlink" Target="https://diataxis.fr/" TargetMode="External"/><Relationship Id="rId1031" Type="http://schemas.openxmlformats.org/officeDocument/2006/relationships/hyperlink" Target="https://ubuntu.com/community/docs/ethos/code-of-conduct" TargetMode="External"/><Relationship Id="rId1032" Type="http://schemas.openxmlformats.org/officeDocument/2006/relationships/hyperlink" Target="https://ubuntu.com/support/community-support" TargetMode="External"/><Relationship Id="rId1033" Type="http://schemas.openxmlformats.org/officeDocument/2006/relationships/hyperlink" Target="https://discourse.ubuntu.com/c/project/server/17" TargetMode="External"/><Relationship Id="rId1034" Type="http://schemas.openxmlformats.org/officeDocument/2006/relationships/hyperlink" Target="https://matrix.to/#/" TargetMode="External"/><Relationship Id="rId1035" Type="http://schemas.openxmlformats.org/officeDocument/2006/relationships/hyperlink" Target="https://ubuntu.com/download/server" TargetMode="External"/><Relationship Id="rId1036" Type="http://schemas.openxmlformats.org/officeDocument/2006/relationships/hyperlink" Target="https://documentation.ubuntu.com/release-notes/" TargetMode="External"/><Relationship Id="rId1037" Type="http://schemas.openxmlformats.org/officeDocument/2006/relationships/hyperlink" Target="https://ubuntu.com/server/docs/_/downloads/en/latest/pdf/" TargetMode="External"/><Relationship Id="rId1038" Type="http://schemas.openxmlformats.org/officeDocument/2006/relationships/hyperlink" Target="https://assets.ubuntu.com/v1/8f8ea0cf-18-04-serverguide.pdf" TargetMode="External"/><Relationship Id="rId1039" Type="http://schemas.openxmlformats.org/officeDocument/2006/relationships/hyperlink" Target="https://ubuntu.com/server/contact-us?product=server" TargetMode="External"/><Relationship Id="rId1040" Type="http://schemas.openxmlformats.org/officeDocument/2006/relationships/hyperlink" Target="https://canonical-subiquity.readthedocs-hosted.com/en/latest/tutorial/operate-server-installer.html" TargetMode="External"/><Relationship Id="rId1041" Type="http://schemas.openxmlformats.org/officeDocument/2006/relationships/hyperlink" Target="https://canonical-subiquity.readthedocs-hosted.com/en/latest/tutorial/screen-by-screen.html" TargetMode="External"/><Relationship Id="rId1042" Type="http://schemas.openxmlformats.org/officeDocument/2006/relationships/hyperlink" Target="https://canonical-subiquity.readthedocs-hosted.com/en/latest/howto/configure-storage.html" TargetMode="External"/><Relationship Id="rId1043" Type="http://schemas.openxmlformats.org/officeDocument/2006/relationships/hyperlink" Target="https://canonical-subiquity.readthedocs-hosted.com/en/latest/howto/report-bugs.html" TargetMode="External"/><Relationship Id="rId1044" Type="http://schemas.openxmlformats.org/officeDocument/2006/relationships/hyperlink" Target="https://releases.ubuntu.com/" TargetMode="External"/><Relationship Id="rId1045" Type="http://schemas.openxmlformats.org/officeDocument/2006/relationships/hyperlink" Target="https://documentation.ubuntu.com/desktop/en/latest/how-to/create-a-bootable-usb-stick/" TargetMode="External"/><Relationship Id="rId1046" Type="http://schemas.openxmlformats.org/officeDocument/2006/relationships/hyperlink" Target="https://ubuntu.com/search?q=%22create+a+bootable+USB+stick%22" TargetMode="External"/><Relationship Id="rId1047" Type="http://schemas.openxmlformats.org/officeDocument/2006/relationships/hyperlink" Target="https://help.ubuntu.com/community/BootFromCD" TargetMode="External"/><Relationship Id="rId1048" Type="http://schemas.openxmlformats.org/officeDocument/2006/relationships/hyperlink" Target="https://canonical-subiquity.readthedocs-hosted.com/en/latest/index.html" TargetMode="External"/><Relationship Id="rId1049" Type="http://schemas.openxmlformats.org/officeDocument/2006/relationships/hyperlink" Target="https://snapcraft.io/multipass" TargetMode="External"/><Relationship Id="rId1050" Type="http://schemas.openxmlformats.org/officeDocument/2006/relationships/hyperlink" Target="https://documentation.ubuntu.com/multipass/stable/how-to-guides/install-multipass/" TargetMode="External"/><Relationship Id="rId1051" Type="http://schemas.openxmlformats.org/officeDocument/2006/relationships/hyperlink" Target="https://wiki.debian.org/AptCLI" TargetMode="External"/><Relationship Id="rId1052" Type="http://schemas.openxmlformats.org/officeDocument/2006/relationships/hyperlink" Target="https://manpages.ubuntu.com/" TargetMode="External"/><Relationship Id="rId1053" Type="http://schemas.openxmlformats.org/officeDocument/2006/relationships/hyperlink" Target="https://manpages.ubuntu.com" TargetMode="External"/><Relationship Id="rId1054" Type="http://schemas.openxmlformats.org/officeDocument/2006/relationships/hyperlink" Target="https://httpd.apache.org/" TargetMode="External"/><Relationship Id="rId1055" Type="http://schemas.openxmlformats.org/officeDocument/2006/relationships/hyperlink" Target="https://www.debian.org/doc/debian-policy/ch-relationships.html#binary-dependencies-depends-recommends-suggests-enhances-pre-depends" TargetMode="External"/><Relationship Id="rId1056" Type="http://schemas.openxmlformats.org/officeDocument/2006/relationships/hyperlink" Target="https://manpages.ubuntu.com/manpages/resolute/man1/dpkg.1.html" TargetMode="External"/><Relationship Id="rId1057" Type="http://schemas.openxmlformats.org/officeDocument/2006/relationships/hyperlink" Target="https://www.debian.org/doc/debian-policy/ap-pkg-conffiles.html#automatic-handling-of-configuration-files-by-dpkg" TargetMode="External"/><Relationship Id="rId1058" Type="http://schemas.openxmlformats.org/officeDocument/2006/relationships/hyperlink" Target="https://ubuntu.com/pro" TargetMode="External"/><Relationship Id="rId1059" Type="http://schemas.openxmlformats.org/officeDocument/2006/relationships/hyperlink" Target="https://documentation.ubuntu.com/project/" TargetMode="External"/><Relationship Id="rId1060" Type="http://schemas.openxmlformats.org/officeDocument/2006/relationships/hyperlink" Target="https://snapcraft.io/docs/channels" TargetMode="External"/><Relationship Id="rId1061" Type="http://schemas.openxmlformats.org/officeDocument/2006/relationships/hyperlink" Target="https://snapcraft.io/docs/managing-updates" TargetMode="External"/><Relationship Id="rId1062" Type="http://schemas.openxmlformats.org/officeDocument/2006/relationships/hyperlink" Target="https://snapcraft.io/docs/get-started" TargetMode="External"/><Relationship Id="rId1063" Type="http://schemas.openxmlformats.org/officeDocument/2006/relationships/hyperlink" Target="https://ubuntu.com/about/release-cycle" TargetMode="External"/><Relationship Id="rId1064" Type="http://schemas.openxmlformats.org/officeDocument/2006/relationships/hyperlink" Target="https://ubuntu.com/security/livepatch" TargetMode="External"/><Relationship Id="rId1065" Type="http://schemas.openxmlformats.org/officeDocument/2006/relationships/hyperlink" Target="https://documentation.ubuntu.com/security/compliance/fips/" TargetMode="External"/><Relationship Id="rId1066" Type="http://schemas.openxmlformats.org/officeDocument/2006/relationships/hyperlink" Target="https://ubuntu.com/security/security-standards" TargetMode="External"/><Relationship Id="rId1067" Type="http://schemas.openxmlformats.org/officeDocument/2006/relationships/hyperlink" Target="https://ubuntu.com/cloud/public-cloud" TargetMode="External"/><Relationship Id="rId1068" Type="http://schemas.openxmlformats.org/officeDocument/2006/relationships/hyperlink" Target="https://ubuntu.com/aws/pro" TargetMode="External"/><Relationship Id="rId1069" Type="http://schemas.openxmlformats.org/officeDocument/2006/relationships/hyperlink" Target="https://ubuntu.com/azure/pro" TargetMode="External"/><Relationship Id="rId1070" Type="http://schemas.openxmlformats.org/officeDocument/2006/relationships/hyperlink" Target="https://ubuntu.com/gcp/pro" TargetMode="External"/><Relationship Id="rId1071" Type="http://schemas.openxmlformats.org/officeDocument/2006/relationships/hyperlink" Target="https://wiki.ubuntu.com/Membership" TargetMode="External"/><Relationship Id="rId1072" Type="http://schemas.openxmlformats.org/officeDocument/2006/relationships/hyperlink" Target="https://documentation.ubuntu.com/pro-client/en/latest/howtoguides/how_to_attach_with_config_file/" TargetMode="External"/><Relationship Id="rId1073" Type="http://schemas.openxmlformats.org/officeDocument/2006/relationships/hyperlink" Target="https://documentation.ubuntu.com/pro-client/en/latest/" TargetMode="External"/><Relationship Id="rId1074" Type="http://schemas.openxmlformats.org/officeDocument/2006/relationships/hyperlink" Target="https://documentation.ubuntu.com/pro-client/en/latest/tutorials/basic_commands/" TargetMode="External"/><Relationship Id="rId1075" Type="http://schemas.openxmlformats.org/officeDocument/2006/relationships/hyperlink" Target="https://canonical-subiquity.readthedocs-hosted.com/en/latest/intro-to-autoinstall.html" TargetMode="External"/><Relationship Id="rId1076" Type="http://schemas.openxmlformats.org/officeDocument/2006/relationships/hyperlink" Target="https://canonical-subiquity.readthedocs-hosted.com/en/latest/howto/autoinstall-quickstart.html" TargetMode="External"/><Relationship Id="rId1077" Type="http://schemas.openxmlformats.org/officeDocument/2006/relationships/hyperlink" Target="https://canonical-subiquity.readthedocs-hosted.com/en/latest/howto/autoinstall-quickstart-s390x.html" TargetMode="External"/><Relationship Id="rId1078" Type="http://schemas.openxmlformats.org/officeDocument/2006/relationships/hyperlink" Target="https://wiki.syslinux.org/wiki/index.php?title=PXELINUX" TargetMode="External"/><Relationship Id="rId1079" Type="http://schemas.openxmlformats.org/officeDocument/2006/relationships/hyperlink" Target="https://discourse.ubuntu.com/t/netbooting-the-live-server-installer/14510" TargetMode="External"/><Relationship Id="rId1080" Type="http://schemas.openxmlformats.org/officeDocument/2006/relationships/hyperlink" Target="https://github.com/dannf/ubuntu-server-netboot" TargetMode="External"/><Relationship Id="rId1081" Type="http://schemas.openxmlformats.org/officeDocument/2006/relationships/hyperlink" Target="https://cdimage.ubuntu.com/ubuntu/releases/20.04.5/release/ubuntu-20.04.5-live-server-arm64.iso" TargetMode="External"/><Relationship Id="rId1082" Type="http://schemas.openxmlformats.org/officeDocument/2006/relationships/hyperlink" Target="https://ports.ubuntu.com/ubuntu-ports/dists/focal/main/uefi/grub2-arm64/current/grubnetaa64.efi.signed" TargetMode="External"/><Relationship Id="rId1083" Type="http://schemas.openxmlformats.org/officeDocument/2006/relationships/hyperlink" Target="https://old-releases.ubuntu.com/releases/20.04.5/ubuntu-20.04.5-live-server-amd64.iso" TargetMode="External"/><Relationship Id="rId1084" Type="http://schemas.openxmlformats.org/officeDocument/2006/relationships/hyperlink" Target="http://archive.ubuntu.com/ubuntu/dists/focal/main/uefi/grub2-amd64/current/grubnetx64.efi.signed" TargetMode="External"/><Relationship Id="rId1085" Type="http://schemas.openxmlformats.org/officeDocument/2006/relationships/hyperlink" Target="http://cdimage.ubuntu.com/ubuntu/releases/20.04.5/release/ubuntu-20.04.5-live-server-arm64.iso" TargetMode="External"/><Relationship Id="rId1086" Type="http://schemas.openxmlformats.org/officeDocument/2006/relationships/hyperlink" Target="https://cdimage.ubuntu.com/releases/22.04/release/ubuntu-22.04.5-live-server-arm64.iso" TargetMode="External"/><Relationship Id="rId1087" Type="http://schemas.openxmlformats.org/officeDocument/2006/relationships/hyperlink" Target="https://cdimage.ubuntu.com/releases/22.04/release/ubuntu-22.04.5-live-server-arm64+largemem.iso" TargetMode="External"/><Relationship Id="rId1088" Type="http://schemas.openxmlformats.org/officeDocument/2006/relationships/hyperlink" Target="http://cdimage.ubuntu.com/ubuntu/releases/20.04.5/release/ubuntu-20.04.5-live-server-s390x.iso" TargetMode="External"/><Relationship Id="rId1089" Type="http://schemas.openxmlformats.org/officeDocument/2006/relationships/hyperlink" Target="https://canonical-subiquity.readthedocs-hosted.com/en/latest/reference/autoinstall-reference.html" TargetMode="External"/><Relationship Id="rId1090" Type="http://schemas.openxmlformats.org/officeDocument/2006/relationships/hyperlink" Target="https://canonical-subiquity.readthedocs-hosted.com/en/latest/reference/autoinstall-schema.html" TargetMode="External"/><Relationship Id="rId1091" Type="http://schemas.openxmlformats.org/officeDocument/2006/relationships/hyperlink" Target="https://discourse.ubuntu.com/t/adopting-sudo-rs-by-default-in-ubuntu-25-10/60583" TargetMode="External"/><Relationship Id="rId1092" Type="http://schemas.openxmlformats.org/officeDocument/2006/relationships/hyperlink" Target="https://manpages.ubuntu.com/manpages/resolute/man8/sudo.8.html" TargetMode="External"/><Relationship Id="rId1093" Type="http://schemas.openxmlformats.org/officeDocument/2006/relationships/hyperlink" Target="https://manpages.ubuntu.com/manpages/resolute/man5/passwd.5.html" TargetMode="External"/><Relationship Id="rId1094" Type="http://schemas.openxmlformats.org/officeDocument/2006/relationships/hyperlink" Target="https://manpages.ubuntu.com/manpages/resolute/man5/adduser.conf.5.html" TargetMode="External"/><Relationship Id="rId1095" Type="http://schemas.openxmlformats.org/officeDocument/2006/relationships/hyperlink" Target="https://manpages.ubuntu.com/manpages/resolute/man5/nss.5.html" TargetMode="External"/><Relationship Id="rId1096" Type="http://schemas.openxmlformats.org/officeDocument/2006/relationships/hyperlink" Target="https://manpages.ubuntu.com/manpages/resolute/man5/nsswitch.conf.5.html" TargetMode="External"/><Relationship Id="rId1097" Type="http://schemas.openxmlformats.org/officeDocument/2006/relationships/hyperlink" Target="https://netfilter.org/" TargetMode="External"/><Relationship Id="rId1098" Type="http://schemas.openxmlformats.org/officeDocument/2006/relationships/hyperlink" Target="https://manpages.ubuntu.com/manpages/resolute/man8/ufw.8.html" TargetMode="External"/><Relationship Id="rId1099" Type="http://schemas.openxmlformats.org/officeDocument/2006/relationships/hyperlink" Target="https://manpages.ubuntu.com/manpages/resolute/man8/conntrack.8.html" TargetMode="External"/><Relationship Id="rId1100" Type="http://schemas.openxmlformats.org/officeDocument/2006/relationships/hyperlink" Target="https://shorewall.org/" TargetMode="External"/><Relationship Id="rId1101" Type="http://schemas.openxmlformats.org/officeDocument/2006/relationships/hyperlink" Target="https://wiki.ubuntu.com/UncomplicatedFirewall" TargetMode="External"/><Relationship Id="rId1102" Type="http://schemas.openxmlformats.org/officeDocument/2006/relationships/hyperlink" Target="https://www.netfilter.org/documentation/HOWTO/packet-filtering-HOWTO.html" TargetMode="External"/><Relationship Id="rId1103" Type="http://schemas.openxmlformats.org/officeDocument/2006/relationships/hyperlink" Target="https://www.netfilter.org/documentation/HOWTO/NAT-HOWTO.html" TargetMode="External"/><Relationship Id="rId1104" Type="http://schemas.openxmlformats.org/officeDocument/2006/relationships/hyperlink" Target="https://help.ubuntu.com/community/IptablesHowTo" TargetMode="External"/><Relationship Id="rId1105" Type="http://schemas.openxmlformats.org/officeDocument/2006/relationships/hyperlink" Target="https://apparmor.net/" TargetMode="External"/><Relationship Id="rId1106" Type="http://schemas.openxmlformats.org/officeDocument/2006/relationships/hyperlink" Target="https://bugs.launchpad.net/ubuntu/+source/apparmor/+filebug" TargetMode="External"/><Relationship Id="rId1107" Type="http://schemas.openxmlformats.org/officeDocument/2006/relationships/hyperlink" Target="http://www.novell.com/documentation/apparmor/apparmor201_sp10_admin/?page=/documentation/apparmor/apparmor201_sp10_admin/data/book_apparmor_admin.html" TargetMode="External"/><Relationship Id="rId1108" Type="http://schemas.openxmlformats.org/officeDocument/2006/relationships/hyperlink" Target="https://help.ubuntu.com/community/AppArmor" TargetMode="External"/><Relationship Id="rId1109" Type="http://schemas.openxmlformats.org/officeDocument/2006/relationships/hyperlink" Target="https://en.opensuse.org/SDB:AppArmor_geeks" TargetMode="External"/><Relationship Id="rId1110" Type="http://schemas.openxmlformats.org/officeDocument/2006/relationships/hyperlink" Target="https://wiki.debian.org/AppArmor" TargetMode="External"/><Relationship Id="rId1111" Type="http://schemas.openxmlformats.org/officeDocument/2006/relationships/hyperlink" Target="https://github.com/latchset/clevis" TargetMode="External"/><Relationship Id="rId1112" Type="http://schemas.openxmlformats.org/officeDocument/2006/relationships/hyperlink" Target="https://manpages.ubuntu.com/manpages/resolute/man8/dracut.8.html" TargetMode="External"/><Relationship Id="rId1113" Type="http://schemas.openxmlformats.org/officeDocument/2006/relationships/hyperlink" Target="https://manpages.ubuntu.com/manpages/resolute/man1/lsinitrd.1.html" TargetMode="External"/><Relationship Id="rId1114" Type="http://schemas.openxmlformats.org/officeDocument/2006/relationships/hyperlink" Target="https://manpages.ubuntu.com/manpages/resolute/man8/cryptsetup.8.html" TargetMode="External"/><Relationship Id="rId1115" Type="http://schemas.openxmlformats.org/officeDocument/2006/relationships/hyperlink" Target="https://manpages.ubuntu.com/manpages/resolute/man1/systemd.1.html" TargetMode="External"/><Relationship Id="rId1116" Type="http://schemas.openxmlformats.org/officeDocument/2006/relationships/hyperlink" Target="https://manpages.ubuntu.com/manpages/resolute/man5/crypttab.5.html" TargetMode="External"/><Relationship Id="rId1117" Type="http://schemas.openxmlformats.org/officeDocument/2006/relationships/hyperlink" Target="https://manpages.ubuntu.com/manpages/resolute/man5/fstab.5.html" TargetMode="External"/><Relationship Id="rId1118" Type="http://schemas.openxmlformats.org/officeDocument/2006/relationships/hyperlink" Target="https://manpages.ubuntu.com/manpages/resolute/man5/kadm5.acl.5.html" TargetMode="External"/><Relationship Id="rId1119" Type="http://schemas.openxmlformats.org/officeDocument/2006/relationships/hyperlink" Target="https://web.mit.edu/kerberos/krb5-latest/doc/admin/conf_files/kdc_conf.html#encryption-types" TargetMode="External"/><Relationship Id="rId1120" Type="http://schemas.openxmlformats.org/officeDocument/2006/relationships/hyperlink" Target="https://web.mit.edu/kerberos/krb5-latest/doc/admin/conf_files/kdc_conf.html#keysalt-lists" TargetMode="External"/><Relationship Id="rId1121" Type="http://schemas.openxmlformats.org/officeDocument/2006/relationships/hyperlink" Target="https://web.mit.edu/kerberos/krb5-latest/doc/admin/database.html" TargetMode="External"/><Relationship Id="rId1122" Type="http://schemas.openxmlformats.org/officeDocument/2006/relationships/hyperlink" Target="https://web.mit.edu/kerberos/krb5-latest/doc/admin/conf_files/krb5_conf.html#libdefaults" TargetMode="External"/><Relationship Id="rId1123" Type="http://schemas.openxmlformats.org/officeDocument/2006/relationships/hyperlink" Target="https://web.mit.edu/kerberos/krb5-latest/doc/admin/enctypes.html#migrating-away-from-older-encryption-types" TargetMode="External"/><Relationship Id="rId1124" Type="http://schemas.openxmlformats.org/officeDocument/2006/relationships/hyperlink" Target="https://web.mit.edu/kerberos/krb5-latest/doc/admin/enctypes.html" TargetMode="External"/><Relationship Id="rId1125" Type="http://schemas.openxmlformats.org/officeDocument/2006/relationships/hyperlink" Target="https://web.mit.edu/kerberos/krb5-latest/doc/admin/enctypes.html#configuration-variables" TargetMode="External"/><Relationship Id="rId1126" Type="http://schemas.openxmlformats.org/officeDocument/2006/relationships/hyperlink" Target="https://manpages.ubuntu.com/manpages/resolute/man5/kdc.conf.5.html" TargetMode="External"/><Relationship Id="rId1127" Type="http://schemas.openxmlformats.org/officeDocument/2006/relationships/hyperlink" Target="https://manpages.ubuntu.com/manpages/resolute/man5/krb5.conf.5.html" TargetMode="External"/><Relationship Id="rId1128" Type="http://schemas.openxmlformats.org/officeDocument/2006/relationships/hyperlink" Target="https://web.mit.edu/kerberos/krb5-latest/doc/basic/index.html" TargetMode="External"/><Relationship Id="rId1129" Type="http://schemas.openxmlformats.org/officeDocument/2006/relationships/hyperlink" Target="https://web.mit.edu/kerberos/krb5-latest/doc/admin/dbtypes.html" TargetMode="External"/><Relationship Id="rId1130" Type="http://schemas.openxmlformats.org/officeDocument/2006/relationships/hyperlink" Target="https://web.mit.edu/kerberos/krb5-latest/doc/admin/dbtypes.html#ldap-module-kldap" TargetMode="External"/><Relationship Id="rId1131" Type="http://schemas.openxmlformats.org/officeDocument/2006/relationships/hyperlink" Target="https://krbdev.mit.edu/rt/Ticket/Display.html?id=7754" TargetMode="External"/><Relationship Id="rId1132" Type="http://schemas.openxmlformats.org/officeDocument/2006/relationships/hyperlink" Target="https://web.mit.edu/kerberos/krb5-latest/doc/admin/conf_ldap.html#conf-ldap" TargetMode="External"/><Relationship Id="rId1133" Type="http://schemas.openxmlformats.org/officeDocument/2006/relationships/hyperlink" Target="https://documentation.ubuntu.com/adsys/stable/" TargetMode="External"/><Relationship Id="rId1134" Type="http://schemas.openxmlformats.org/officeDocument/2006/relationships/hyperlink" Target="https://bugs.launchpad.net/bugs/1934997" TargetMode="External"/><Relationship Id="rId1135" Type="http://schemas.openxmlformats.org/officeDocument/2006/relationships/hyperlink" Target="https://github.com/SSSD/sssd" TargetMode="External"/><Relationship Id="rId1136" Type="http://schemas.openxmlformats.org/officeDocument/2006/relationships/hyperlink" Target="https://learn.microsoft.com/en-us/previous-versions/windows/it-pro/windows-server-2003/cc759550(v=ws.10)?redirectedfrom=MSDN" TargetMode="External"/><Relationship Id="rId1137" Type="http://schemas.openxmlformats.org/officeDocument/2006/relationships/hyperlink" Target="https://ubuntu.com/tutorials/how-to-use-smart-card-authentication-in-ubuntu-desktop#2-overview" TargetMode="External"/><Relationship Id="rId1138" Type="http://schemas.openxmlformats.org/officeDocument/2006/relationships/hyperlink" Target="https://p11-glue.github.io/p11-glue/p11-kit.html" TargetMode="External"/><Relationship Id="rId1139" Type="http://schemas.openxmlformats.org/officeDocument/2006/relationships/hyperlink" Target="https://p11-glue.github.io/p11-glue/p11-kit/manual/config.html" TargetMode="External"/><Relationship Id="rId1140" Type="http://schemas.openxmlformats.org/officeDocument/2006/relationships/hyperlink" Target="https://sssd.io/docs/introduction.html" TargetMode="External"/><Relationship Id="rId1141" Type="http://schemas.openxmlformats.org/officeDocument/2006/relationships/hyperlink" Target="https://manpages.ubuntu.com/manpages/resolute/man5/sssd.conf.5.html" TargetMode="External"/><Relationship Id="rId1142" Type="http://schemas.openxmlformats.org/officeDocument/2006/relationships/hyperlink" Target="https://sssd.io/design-pages/matching_and_mapping_certificates.html" TargetMode="External"/><Relationship Id="rId1143" Type="http://schemas.openxmlformats.org/officeDocument/2006/relationships/hyperlink" Target="https://sssd.io/design-pages/certmaps_for_LDAP_AD_file.html" TargetMode="External"/><Relationship Id="rId1144" Type="http://schemas.openxmlformats.org/officeDocument/2006/relationships/hyperlink" Target="https://manpages.ubuntu.com/manpages/resolute/man5/sss-certmap.5.html" TargetMode="External"/><Relationship Id="rId1145" Type="http://schemas.openxmlformats.org/officeDocument/2006/relationships/hyperlink" Target="https://manpages.ubuntu.com/manpages/resolute/man5/pam.conf.5.html" TargetMode="External"/><Relationship Id="rId1146" Type="http://schemas.openxmlformats.org/officeDocument/2006/relationships/hyperlink" Target="https://manpages.ubuntu.com/manpages/resolute/man8/pam_sss.8.html" TargetMode="External"/><Relationship Id="rId1147" Type="http://schemas.openxmlformats.org/officeDocument/2006/relationships/hyperlink" Target="https://manpages.ubuntu.com/manpages/resolute/man5/sshd_config.5.html" TargetMode="External"/><Relationship Id="rId1148" Type="http://schemas.openxmlformats.org/officeDocument/2006/relationships/hyperlink" Target="https://ed25519.cr.yp.to/" TargetMode="External"/><Relationship Id="rId1149" Type="http://schemas.openxmlformats.org/officeDocument/2006/relationships/hyperlink" Target="https://manpages.ubuntu.com/manpages/resolute/man1/ssh-agent.1.html" TargetMode="External"/><Relationship Id="rId1150" Type="http://schemas.openxmlformats.org/officeDocument/2006/relationships/hyperlink" Target="https://manpages.ubuntu.com/manpages/resolute/man5/ssh_config.5.html" TargetMode="External"/><Relationship Id="rId1151" Type="http://schemas.openxmlformats.org/officeDocument/2006/relationships/hyperlink" Target="https://help.ubuntu.com/community/SSH" TargetMode="External"/><Relationship Id="rId1152" Type="http://schemas.openxmlformats.org/officeDocument/2006/relationships/hyperlink" Target="http://www.openssh.org/" TargetMode="External"/><Relationship Id="rId1153" Type="http://schemas.openxmlformats.org/officeDocument/2006/relationships/hyperlink" Target="https://wiki.ubuntu.com/AdvancedOpenSSH" TargetMode="External"/><Relationship Id="rId1154" Type="http://schemas.openxmlformats.org/officeDocument/2006/relationships/hyperlink" Target="https://en.wikipedia.org/wiki/HMAC-based_one-time_password" TargetMode="External"/><Relationship Id="rId1155" Type="http://schemas.openxmlformats.org/officeDocument/2006/relationships/hyperlink" Target="https://en.wikipedia.org/wiki/Time-based_one-time_password" TargetMode="External"/><Relationship Id="rId1156" Type="http://schemas.openxmlformats.org/officeDocument/2006/relationships/hyperlink" Target="https://www.openssh.org/txt/release-8.2" TargetMode="External"/><Relationship Id="rId1157" Type="http://schemas.openxmlformats.org/officeDocument/2006/relationships/hyperlink" Target="https://developers.yubico.com/SSH/Securing_SSH_with_FIDO2.html" TargetMode="External"/><Relationship Id="rId1158" Type="http://schemas.openxmlformats.org/officeDocument/2006/relationships/hyperlink" Target="https://git.launchpad.net/ubuntu/+source/openvpn/tree/sample/sample-config-files/client.conf" TargetMode="External"/><Relationship Id="rId1159" Type="http://schemas.openxmlformats.org/officeDocument/2006/relationships/hyperlink" Target="https://git.launchpad.net/ubuntu/+source/openvpn/tree/sample/sample-config-files/server.conf" TargetMode="External"/><Relationship Id="rId1160" Type="http://schemas.openxmlformats.org/officeDocument/2006/relationships/hyperlink" Target="https://www.freedesktop.org/software/systemd/man/latest/systemd.unit.html" TargetMode="External"/><Relationship Id="rId1161" Type="http://schemas.openxmlformats.org/officeDocument/2006/relationships/hyperlink" Target="https://openvpn.net/community-docs/security.html" TargetMode="External"/><Relationship Id="rId1162" Type="http://schemas.openxmlformats.org/officeDocument/2006/relationships/hyperlink" Target="https://github.com/OpenVPN/easy-rsa/blob/master/README.quickstart.md" TargetMode="External"/><Relationship Id="rId1163" Type="http://schemas.openxmlformats.org/officeDocument/2006/relationships/hyperlink" Target="https://openvpn.net/as-docs/getting-started.html" TargetMode="External"/><Relationship Id="rId1164" Type="http://schemas.openxmlformats.org/officeDocument/2006/relationships/hyperlink" Target="https://snapcraft.io/easy-openvpn-server" TargetMode="External"/><Relationship Id="rId1165" Type="http://schemas.openxmlformats.org/officeDocument/2006/relationships/hyperlink" Target="https://wiki.debian.org/OpenVPN" TargetMode="External"/><Relationship Id="rId1166" Type="http://schemas.openxmlformats.org/officeDocument/2006/relationships/hyperlink" Target="https://www.ietf.org/rfc/rfc3021.txt" TargetMode="External"/><Relationship Id="rId1167" Type="http://schemas.openxmlformats.org/officeDocument/2006/relationships/hyperlink" Target="https://dnsleaktest.com" TargetMode="External"/><Relationship Id="rId1168" Type="http://schemas.openxmlformats.org/officeDocument/2006/relationships/hyperlink" Target="https://manpages.ubuntu.com/manpages/resolute/man8/wg-quick.8.html" TargetMode="External"/><Relationship Id="rId1169" Type="http://schemas.openxmlformats.org/officeDocument/2006/relationships/hyperlink" Target="https://www.wireguard.com/install/" TargetMode="External"/><Relationship Id="rId1170" Type="http://schemas.openxmlformats.org/officeDocument/2006/relationships/hyperlink" Target="https://manpages.ubuntu.com/manpages/resolute/man7/kernel_lockdown.7.html" TargetMode="External"/><Relationship Id="rId1171" Type="http://schemas.openxmlformats.org/officeDocument/2006/relationships/hyperlink" Target="https://documentation.ubuntu.com/security/security-features/kernel-protections/#kernel-lockdown" TargetMode="External"/><Relationship Id="rId1172" Type="http://schemas.openxmlformats.org/officeDocument/2006/relationships/hyperlink" Target="https://netplan.readthedocs.io/en/stable/" TargetMode="External"/><Relationship Id="rId1173" Type="http://schemas.openxmlformats.org/officeDocument/2006/relationships/hyperlink" Target="http://vsftpd.beasts.org/vsftpd_conf.html" TargetMode="External"/><Relationship Id="rId1174" Type="http://schemas.openxmlformats.org/officeDocument/2006/relationships/hyperlink" Target="https://bind9.readthedocs.io/en/latest/" TargetMode="External"/><Relationship Id="rId1175" Type="http://schemas.openxmlformats.org/officeDocument/2006/relationships/hyperlink" Target="https://www.oreilly.com/library/view/dns-and-bind/0596100574/" TargetMode="External"/><Relationship Id="rId1176" Type="http://schemas.openxmlformats.org/officeDocument/2006/relationships/hyperlink" Target="https://www.oreilly.com/library/view/dns-and-bind/9781449308025/" TargetMode="External"/><Relationship Id="rId1177" Type="http://schemas.openxmlformats.org/officeDocument/2006/relationships/hyperlink" Target="https://bind9.readthedocs.io/en/stable/dnssec-guide.html" TargetMode="External"/><Relationship Id="rId1178" Type="http://schemas.openxmlformats.org/officeDocument/2006/relationships/hyperlink" Target="https://bind9.readthedocs.io/en/stable/dnssec-guide.html#signing" TargetMode="External"/><Relationship Id="rId1179" Type="http://schemas.openxmlformats.org/officeDocument/2006/relationships/hyperlink" Target="https://bind9.readthedocs.io/en/stable/dnssec-guide.html#signing-custom-policy" TargetMode="External"/><Relationship Id="rId1180" Type="http://schemas.openxmlformats.org/officeDocument/2006/relationships/hyperlink" Target="https://bind9.readthedocs.io/en/stable/chapter5.html" TargetMode="External"/><Relationship Id="rId1181" Type="http://schemas.openxmlformats.org/officeDocument/2006/relationships/hyperlink" Target="https://manpages.ubuntu.com/manpages/resolute/man1/delv.1.html" TargetMode="External"/><Relationship Id="rId1182" Type="http://schemas.openxmlformats.org/officeDocument/2006/relationships/hyperlink" Target="https://bind9.readthedocs.io/en/latest/dnssec-guide.html#working-with-the-parent-zone" TargetMode="External"/><Relationship Id="rId1183" Type="http://schemas.openxmlformats.org/officeDocument/2006/relationships/hyperlink" Target="http://dnssec-failed.org" TargetMode="External"/><Relationship Id="rId1184" Type="http://schemas.openxmlformats.org/officeDocument/2006/relationships/hyperlink" Target="http://isc.org" TargetMode="External"/><Relationship Id="rId1185" Type="http://schemas.openxmlformats.org/officeDocument/2006/relationships/hyperlink" Target="https://dnsviz.net" TargetMode="External"/><Relationship Id="rId1186" Type="http://schemas.openxmlformats.org/officeDocument/2006/relationships/hyperlink" Target="https://dnssec-debugger.verisignlabs.com" TargetMode="External"/><Relationship Id="rId1187" Type="http://schemas.openxmlformats.org/officeDocument/2006/relationships/hyperlink" Target="https://bind9.readthedocs.io/en/latest/dnssec-guide.html#basic-dnssec-troubleshooting" TargetMode="External"/><Relationship Id="rId1188" Type="http://schemas.openxmlformats.org/officeDocument/2006/relationships/hyperlink" Target="https://www.cyberciti.biz/faq/unix-linux-test-and-validate-dnssec-using-dig-command-line/" TargetMode="External"/><Relationship Id="rId1189" Type="http://schemas.openxmlformats.org/officeDocument/2006/relationships/hyperlink" Target="https://manpages.ubuntu.com/manpages/resolute/man1/dig.1.html" TargetMode="External"/><Relationship Id="rId1190" Type="http://schemas.openxmlformats.org/officeDocument/2006/relationships/hyperlink" Target="https://docs.openvswitch.org/en/latest/intro/install/dpdk/#setup-ovs" TargetMode="External"/><Relationship Id="rId1191" Type="http://schemas.openxmlformats.org/officeDocument/2006/relationships/hyperlink" Target="https://www.dpdk.org/contribute/" TargetMode="External"/><Relationship Id="rId1192" Type="http://schemas.openxmlformats.org/officeDocument/2006/relationships/hyperlink" Target="http://www.openvswitch.org/mlists/" TargetMode="External"/><Relationship Id="rId1193" Type="http://schemas.openxmlformats.org/officeDocument/2006/relationships/hyperlink" Target="https://launchpad.net/ubuntu/+source/dpdk" TargetMode="External"/><Relationship Id="rId1194" Type="http://schemas.openxmlformats.org/officeDocument/2006/relationships/hyperlink" Target="http://dpdk.org/doc" TargetMode="External"/><Relationship Id="rId1195" Type="http://schemas.openxmlformats.org/officeDocument/2006/relationships/hyperlink" Target="http://dpdk.org/doc/guides/rel_notes/release_2_2.html" TargetMode="External"/><Relationship Id="rId1196" Type="http://schemas.openxmlformats.org/officeDocument/2006/relationships/hyperlink" Target="http://dpdk.org/doc/guides/linux_gsg/index.html" TargetMode="External"/><Relationship Id="rId1197" Type="http://schemas.openxmlformats.org/officeDocument/2006/relationships/hyperlink" Target="http://dpdk.org/doc/guides/testpmd_app_ug/run_app.html" TargetMode="External"/><Relationship Id="rId1198" Type="http://schemas.openxmlformats.org/officeDocument/2006/relationships/hyperlink" Target="http://dpdk.org/doc/api/" TargetMode="External"/><Relationship Id="rId1199" Type="http://schemas.openxmlformats.org/officeDocument/2006/relationships/hyperlink" Target="https://github.com/openvswitch/ovs/blob/branch-2.5/INSTALL.DPDK.md" TargetMode="External"/><Relationship Id="rId1200" Type="http://schemas.openxmlformats.org/officeDocument/2006/relationships/hyperlink" Target="https://en.wikipedia.org/wiki/Data_Plane_Development_Kit" TargetMode="External"/><Relationship Id="rId1201" Type="http://schemas.openxmlformats.org/officeDocument/2006/relationships/hyperlink" Target="https://www.isc.org/kea/" TargetMode="External"/><Relationship Id="rId1202" Type="http://schemas.openxmlformats.org/officeDocument/2006/relationships/hyperlink" Target="https://bugs.launchpad.net/bugs/2007312" TargetMode="External"/><Relationship Id="rId1203" Type="http://schemas.openxmlformats.org/officeDocument/2006/relationships/hyperlink" Target="https://kb.isc.org/docs/kea-administrator-reference-manual" TargetMode="External"/><Relationship Id="rId1204" Type="http://schemas.openxmlformats.org/officeDocument/2006/relationships/hyperlink" Target="https://thekelleys.org.uk/dnsmasq/doc.html" TargetMode="External"/><Relationship Id="rId1205" Type="http://schemas.openxmlformats.org/officeDocument/2006/relationships/hyperlink" Target="https://manpages.ubuntu.com/manpages/resolute/man5/dhcpd.conf.5.html" TargetMode="External"/><Relationship Id="rId1206" Type="http://schemas.openxmlformats.org/officeDocument/2006/relationships/hyperlink" Target="https://www.isc.org/dhcp/" TargetMode="External"/><Relationship Id="rId1207" Type="http://schemas.openxmlformats.org/officeDocument/2006/relationships/hyperlink" Target="https://manpages.ubuntu.com/manpages/resolute/man5/chrony.conf.5.html" TargetMode="External"/><Relationship Id="rId1208" Type="http://schemas.openxmlformats.org/officeDocument/2006/relationships/hyperlink" Target="https://manpages.ubuntu.com/manpages/resolute/man1/chronyc.1.html" TargetMode="External"/><Relationship Id="rId1209" Type="http://schemas.openxmlformats.org/officeDocument/2006/relationships/hyperlink" Target="https://manpages.ubuntu.com/manpages/resolute/man8/chronyd.8.html" TargetMode="External"/><Relationship Id="rId1210" Type="http://schemas.openxmlformats.org/officeDocument/2006/relationships/hyperlink" Target="https://manpages.ubuntu.com/manpages/resolute/man1/timedatectl.1.html" TargetMode="External"/><Relationship Id="rId1211" Type="http://schemas.openxmlformats.org/officeDocument/2006/relationships/hyperlink" Target="https://manpages.ubuntu.com/manpages/resolute/man8/systemd-timesyncd.service.8.html" TargetMode="External"/><Relationship Id="rId1212" Type="http://schemas.openxmlformats.org/officeDocument/2006/relationships/hyperlink" Target="https://help.ubuntu.com/community/UbuntuTime" TargetMode="External"/><Relationship Id="rId1213" Type="http://schemas.openxmlformats.org/officeDocument/2006/relationships/hyperlink" Target="https://gpsd.gitlab.io/gpsd/hardware.html" TargetMode="External"/><Relationship Id="rId1214" Type="http://schemas.openxmlformats.org/officeDocument/2006/relationships/hyperlink" Target="https://web.archive.org/web/20241130024605/http://networktimesecurity.org/" TargetMode="External"/><Relationship Id="rId1215" Type="http://schemas.openxmlformats.org/officeDocument/2006/relationships/hyperlink" Target="https://chrony-project.org/faq.html" TargetMode="External"/><Relationship Id="rId1216" Type="http://schemas.openxmlformats.org/officeDocument/2006/relationships/hyperlink" Target="http://www.ntp.org/" TargetMode="External"/><Relationship Id="rId1217" Type="http://schemas.openxmlformats.org/officeDocument/2006/relationships/hyperlink" Target="https://www.ntppool.org/en/" TargetMode="External"/><Relationship Id="rId1218" Type="http://schemas.openxmlformats.org/officeDocument/2006/relationships/hyperlink" Target="https://www.freedesktop.org/software/systemd/man/latest/timedatectl.html" TargetMode="External"/><Relationship Id="rId1219" Type="http://schemas.openxmlformats.org/officeDocument/2006/relationships/hyperlink" Target="https://www.freedesktop.org/software/systemd/man/latest/systemd-timesyncd.service.html" TargetMode="External"/><Relationship Id="rId1220" Type="http://schemas.openxmlformats.org/officeDocument/2006/relationships/hyperlink" Target="https://gpsd.gitlab.io/gpsd/gpsd-time-service-howto.html#_feeding_chrony_from_gpsd" TargetMode="External"/><Relationship Id="rId1221" Type="http://schemas.openxmlformats.org/officeDocument/2006/relationships/hyperlink" Target="https://documentation.ubuntu.com/authd/stable-docs/howto/use-with-nfs/" TargetMode="External"/><Relationship Id="rId1222" Type="http://schemas.openxmlformats.org/officeDocument/2006/relationships/hyperlink" Target="https://manpages.ubuntu.com/manpages/resolute/man5/exports.5.html" TargetMode="External"/><Relationship Id="rId1223" Type="http://schemas.openxmlformats.org/officeDocument/2006/relationships/hyperlink" Target="https://manpages.ubuntu.com/manpages/resolute/man5/nfs.5.html" TargetMode="External"/><Relationship Id="rId1224" Type="http://schemas.openxmlformats.org/officeDocument/2006/relationships/hyperlink" Target="https://manpages.ubuntu.com/manpages/resolute/man5/nfs.conf.5.html" TargetMode="External"/><Relationship Id="rId1225" Type="http://schemas.openxmlformats.org/officeDocument/2006/relationships/hyperlink" Target="https://manpages.ubuntu.com/manpages/resolute/man8/nfsconf.8.html" TargetMode="External"/><Relationship Id="rId1226" Type="http://schemas.openxmlformats.org/officeDocument/2006/relationships/hyperlink" Target="https://manpages.ubuntu.com/manpages/resolute/man7/nfs.systemd.7.html" TargetMode="External"/><Relationship Id="rId1227" Type="http://schemas.openxmlformats.org/officeDocument/2006/relationships/hyperlink" Target="https://manpages.ubuntu.com/manpages/resolute/man8/rpc.gssd.8.html" TargetMode="External"/><Relationship Id="rId1228" Type="http://schemas.openxmlformats.org/officeDocument/2006/relationships/hyperlink" Target="https://bugs.launchpad.net/ubuntu/+source/nfs-utils/+filebug" TargetMode="External"/><Relationship Id="rId1229" Type="http://schemas.openxmlformats.org/officeDocument/2006/relationships/hyperlink" Target="https://wiki.samba.org/index.php/Setting_up_Samba_as_an_Active_Directory_Domain_Controller#Using_the_Domain_Controller_as_a_File_Server_(Optional)" TargetMode="External"/><Relationship Id="rId1230" Type="http://schemas.openxmlformats.org/officeDocument/2006/relationships/hyperlink" Target="https://learn.microsoft.com/en-us/windows-server/identity/ad-ds/get-started/virtual-dc/active-directory-domain-services-overview" TargetMode="External"/><Relationship Id="rId1231" Type="http://schemas.openxmlformats.org/officeDocument/2006/relationships/hyperlink" Target="https://manpages.ubuntu.com/manpages/resolute/man8/samba-tool.8.html" TargetMode="External"/><Relationship Id="rId1232" Type="http://schemas.openxmlformats.org/officeDocument/2006/relationships/hyperlink" Target="https://wiki.samba.org/index.php/Setting_up_Samba_as_a_Domain_Member" TargetMode="External"/><Relationship Id="rId1233" Type="http://schemas.openxmlformats.org/officeDocument/2006/relationships/hyperlink" Target="https://bugs.launchpad.net/bugs/1980246" TargetMode="External"/><Relationship Id="rId1234" Type="http://schemas.openxmlformats.org/officeDocument/2006/relationships/hyperlink" Target="https://manpages.ubuntu.com/manpages/resolute/man5/smb.conf.5.html" TargetMode="External"/><Relationship Id="rId1235" Type="http://schemas.openxmlformats.org/officeDocument/2006/relationships/hyperlink" Target="https://manpages.ubuntu.com/manpages/resolute/man8/idmap_ad.8.html" TargetMode="External"/><Relationship Id="rId1236" Type="http://schemas.openxmlformats.org/officeDocument/2006/relationships/hyperlink" Target="https://manpages.ubuntu.com/manpages/resolute/man8/idmap_autorid.8.html" TargetMode="External"/><Relationship Id="rId1237" Type="http://schemas.openxmlformats.org/officeDocument/2006/relationships/hyperlink" Target="https://manpages.ubuntu.com/manpages/resolute/man8/idmap_rid.8.html" TargetMode="External"/><Relationship Id="rId1238" Type="http://schemas.openxmlformats.org/officeDocument/2006/relationships/hyperlink" Target="https://wiki.samba.org/index.php/Setting_up_Samba_as_a_Domain_Member#Choosing_an_idmap_backend" TargetMode="External"/><Relationship Id="rId1239" Type="http://schemas.openxmlformats.org/officeDocument/2006/relationships/hyperlink" Target="https://wiki.samba.org" TargetMode="External"/><Relationship Id="rId1240" Type="http://schemas.openxmlformats.org/officeDocument/2006/relationships/hyperlink" Target="https://documentation.ubuntu.com/authd/edge-docs/howto/use-with-samba/#steps-for-the-server" TargetMode="External"/><Relationship Id="rId1241" Type="http://schemas.openxmlformats.org/officeDocument/2006/relationships/hyperlink" Target="https://www.samba.org/samba/docs/current/man-html/smb.conf.5.html" TargetMode="External"/><Relationship Id="rId1242" Type="http://schemas.openxmlformats.org/officeDocument/2006/relationships/hyperlink" Target="https://www.samba.org/samba/docs/old/Samba3-HOWTO/" TargetMode="External"/><Relationship Id="rId1243" Type="http://schemas.openxmlformats.org/officeDocument/2006/relationships/hyperlink" Target="https://www.pathname.com/fhs/pub/fhs-2.3.html#SRVDATAFORSERVICESPROVIDEDBYSYSTEM" TargetMode="External"/><Relationship Id="rId1244" Type="http://schemas.openxmlformats.org/officeDocument/2006/relationships/hyperlink" Target="https://www.amazon.com/exec/obidos/tg/detail/-/0131882228" TargetMode="External"/><Relationship Id="rId1245" Type="http://schemas.openxmlformats.org/officeDocument/2006/relationships/hyperlink" Target="https://www.oreilly.com/library/view/using-samba-3rd/0596007698/" TargetMode="External"/><Relationship Id="rId1246" Type="http://schemas.openxmlformats.org/officeDocument/2006/relationships/hyperlink" Target="https://help.ubuntu.com/community/Samba" TargetMode="External"/><Relationship Id="rId1247" Type="http://schemas.openxmlformats.org/officeDocument/2006/relationships/hyperlink" Target="http://www.amazon.com/exec/obidos/tg/detail/-/0131882228" TargetMode="External"/><Relationship Id="rId1248" Type="http://schemas.openxmlformats.org/officeDocument/2006/relationships/hyperlink" Target="http://www.oreilly.com/catalog/9780596007690/" TargetMode="External"/><Relationship Id="rId1249" Type="http://schemas.openxmlformats.org/officeDocument/2006/relationships/hyperlink" Target="http://www.cups.org/" TargetMode="External"/><Relationship Id="rId1250" Type="http://schemas.openxmlformats.org/officeDocument/2006/relationships/hyperlink" Target="https://manpages.ubuntu.com/manpages/resolute/man5/acl.5.html" TargetMode="External"/><Relationship Id="rId1251" Type="http://schemas.openxmlformats.org/officeDocument/2006/relationships/hyperlink" Target="https://manpages.ubuntu.com/manpages/resolute/man1/setfacl.1.html" TargetMode="External"/><Relationship Id="rId1252" Type="http://schemas.openxmlformats.org/officeDocument/2006/relationships/hyperlink" Target="https://www.samba.org/samba/docs/old/Samba3-HOWTO/securing-samba.html" TargetMode="External"/><Relationship Id="rId1253" Type="http://schemas.openxmlformats.org/officeDocument/2006/relationships/hyperlink" Target="https://www.samba.org/samba/docs/old/Samba3-HOWTO/AccessControls.html" TargetMode="External"/><Relationship Id="rId1254" Type="http://schemas.openxmlformats.org/officeDocument/2006/relationships/hyperlink" Target="https://ubuntu.com/server/docs/security-apparmor" TargetMode="External"/><Relationship Id="rId1255" Type="http://schemas.openxmlformats.org/officeDocument/2006/relationships/hyperlink" Target="https://wiki.debian.org/AppArmor/HowToUse" TargetMode="External"/><Relationship Id="rId1256" Type="http://schemas.openxmlformats.org/officeDocument/2006/relationships/hyperlink" Target="https://documentation.ubuntu.com/authd/edge-docs/howto/use-with-samba/#steps-for-the-client" TargetMode="External"/><Relationship Id="rId1257" Type="http://schemas.openxmlformats.org/officeDocument/2006/relationships/hyperlink" Target="https://manpages.ubuntu.com/manpages/resolute/man8/mount.cifs.8.html" TargetMode="External"/><Relationship Id="rId1258" Type="http://schemas.openxmlformats.org/officeDocument/2006/relationships/hyperlink" Target="https://www.samba.org/samba/docs/old/Samba3-HOWTO/samba-pdc.html" TargetMode="External"/><Relationship Id="rId1259" Type="http://schemas.openxmlformats.org/officeDocument/2006/relationships/hyperlink" Target="https://www.samba.org/samba/docs/old/Samba3-HOWTO/samba-bdc.html" TargetMode="External"/><Relationship Id="rId1260" Type="http://schemas.openxmlformats.org/officeDocument/2006/relationships/hyperlink" Target="https://www.samba.org/samba/docs/" TargetMode="External"/><Relationship Id="rId1261" Type="http://schemas.openxmlformats.org/officeDocument/2006/relationships/hyperlink" Target="https://wiki.samba.org/index.php/Main_Page" TargetMode="External"/><Relationship Id="rId1262" Type="http://schemas.openxmlformats.org/officeDocument/2006/relationships/hyperlink" Target="https://openprinting.github.io/cups/doc/overview.html" TargetMode="External"/><Relationship Id="rId1263" Type="http://schemas.openxmlformats.org/officeDocument/2006/relationships/hyperlink" Target="https://wiki.debian.org/Printing" TargetMode="External"/><Relationship Id="rId1264" Type="http://schemas.openxmlformats.org/officeDocument/2006/relationships/hyperlink" Target="https://www.debian.org/doc/user-manuals#apt-guide" TargetMode="External"/><Relationship Id="rId1265" Type="http://schemas.openxmlformats.org/officeDocument/2006/relationships/hyperlink" Target="https://manpages.ubuntu.com/manpages/resolute/man8/aptitude-curses.8.html" TargetMode="External"/><Relationship Id="rId1266" Type="http://schemas.openxmlformats.org/officeDocument/2006/relationships/hyperlink" Target="https://ubuntu.com/security/esm" TargetMode="External"/><Relationship Id="rId1267" Type="http://schemas.openxmlformats.org/officeDocument/2006/relationships/hyperlink" Target="https://help.ubuntu.com/community/InstallingSoftware" TargetMode="External"/><Relationship Id="rId1268" Type="http://schemas.openxmlformats.org/officeDocument/2006/relationships/hyperlink" Target="https://manpages.ubuntu.com/manpages/resolute/man5/systemd.timer.5.html" TargetMode="External"/><Relationship Id="rId1269" Type="http://schemas.openxmlformats.org/officeDocument/2006/relationships/hyperlink" Target="https://www.debian.org/doc/user-manuals#aptitude" TargetMode="External"/><Relationship Id="rId1270" Type="http://schemas.openxmlformats.org/officeDocument/2006/relationships/hyperlink" Target="https://help.ubuntu.com/community/Repositories/Ubuntu" TargetMode="External"/><Relationship Id="rId1271" Type="http://schemas.openxmlformats.org/officeDocument/2006/relationships/hyperlink" Target="https://documentation.ubuntu.com/project/how-ubuntu-is-made/concepts/package-archive/#pockets" TargetMode="External"/><Relationship Id="rId1272" Type="http://schemas.openxmlformats.org/officeDocument/2006/relationships/hyperlink" Target="https://documentation.ubuntu.com/launchpad/user/Packaging/PPA/" TargetMode="External"/><Relationship Id="rId1273" Type="http://schemas.openxmlformats.org/officeDocument/2006/relationships/hyperlink" Target="https://launchpad.net/~canonical-server/+archive/ubuntu/server-backports" TargetMode="External"/><Relationship Id="rId1274" Type="http://schemas.openxmlformats.org/officeDocument/2006/relationships/hyperlink" Target="https://docs.python.org/3/howto/regex.html" TargetMode="External"/><Relationship Id="rId1275" Type="http://schemas.openxmlformats.org/officeDocument/2006/relationships/hyperlink" Target="https://manpages.ubuntu.com/manpages/resolute/man8/ssmtp.8.html" TargetMode="External"/><Relationship Id="rId1276" Type="http://schemas.openxmlformats.org/officeDocument/2006/relationships/hyperlink" Target="https://manpages.ubuntu.com/manpages/resolute/man8/shutdown.8.html" TargetMode="External"/><Relationship Id="rId1277" Type="http://schemas.openxmlformats.org/officeDocument/2006/relationships/hyperlink" Target="https://ubuntu.com/landscape" TargetMode="External"/><Relationship Id="rId1278" Type="http://schemas.openxmlformats.org/officeDocument/2006/relationships/hyperlink" Target="https://www.freedesktop.org/software/polkit/docs/latest/polkit.8.html" TargetMode="External"/><Relationship Id="rId1279" Type="http://schemas.openxmlformats.org/officeDocument/2006/relationships/hyperlink" Target="https://manpages.ubuntu.com/manpages/resolute/man8/unattended-upgrade.8.html" TargetMode="External"/><Relationship Id="rId1280" Type="http://schemas.openxmlformats.org/officeDocument/2006/relationships/hyperlink" Target="https://wiki.ubuntu.com/Releases" TargetMode="External"/><Relationship Id="rId1281" Type="http://schemas.openxmlformats.org/officeDocument/2006/relationships/hyperlink" Target="https://documentation.ubuntu.com/project/release-team/list-of-releases/" TargetMode="External"/><Relationship Id="rId1282" Type="http://schemas.openxmlformats.org/officeDocument/2006/relationships/hyperlink" Target="https://launchpad.net/ubuntu/+source/docker.io-app/+publishinghistory" TargetMode="External"/><Relationship Id="rId1283" Type="http://schemas.openxmlformats.org/officeDocument/2006/relationships/hyperlink" Target="http://docker.io" TargetMode="External"/><Relationship Id="rId1284" Type="http://schemas.openxmlformats.org/officeDocument/2006/relationships/hyperlink" Target="https://snapshot.ubuntu.com/" TargetMode="External"/><Relationship Id="rId1285" Type="http://schemas.openxmlformats.org/officeDocument/2006/relationships/hyperlink" Target="https://ubuntu.com/blog/securing-multiple-ubuntu-instances-while-maximising-uptime" TargetMode="External"/><Relationship Id="rId1286" Type="http://schemas.openxmlformats.org/officeDocument/2006/relationships/hyperlink" Target="https://ubuntu.com/blog/integrating-the-ubuntu-snapshot-service-into-systems-management-and-update-tools" TargetMode="External"/><Relationship Id="rId1287" Type="http://schemas.openxmlformats.org/officeDocument/2006/relationships/hyperlink" Target="https://launchpad.net/" TargetMode="External"/><Relationship Id="rId1288" Type="http://schemas.openxmlformats.org/officeDocument/2006/relationships/hyperlink" Target="https://manpages.ubuntu.com/manpages/resolute/man1/update-alternatives.1.html" TargetMode="External"/><Relationship Id="rId1289" Type="http://schemas.openxmlformats.org/officeDocument/2006/relationships/hyperlink" Target="https://help.ubuntu.com/community/ReportingBugs" TargetMode="External"/><Relationship Id="rId1290" Type="http://schemas.openxmlformats.org/officeDocument/2006/relationships/hyperlink" Target="https://wiki.ubuntu.com/Apport" TargetMode="External"/><Relationship Id="rId1291" Type="http://schemas.openxmlformats.org/officeDocument/2006/relationships/hyperlink" Target="https://ldap.com/" TargetMode="External"/><Relationship Id="rId1292" Type="http://schemas.openxmlformats.org/officeDocument/2006/relationships/hyperlink" Target="https://www.openldap.org/software/man.cgi?query=slapd" TargetMode="External"/><Relationship Id="rId1293" Type="http://schemas.openxmlformats.org/officeDocument/2006/relationships/hyperlink" Target="https://www.rfc-editor.org/rfc/rfc4515.txt" TargetMode="External"/><Relationship Id="rId1294" Type="http://schemas.openxmlformats.org/officeDocument/2006/relationships/hyperlink" Target="https://www.openldap.org/doc/admin26/tuning.html#Indexes" TargetMode="External"/><Relationship Id="rId1295" Type="http://schemas.openxmlformats.org/officeDocument/2006/relationships/hyperlink" Target="https://manpages.ubuntu.com/manpages/resolute/man5/slapd-config.5.html" TargetMode="External"/><Relationship Id="rId1296" Type="http://schemas.openxmlformats.org/officeDocument/2006/relationships/hyperlink" Target="https://manpages.ubuntu.com/manpages/resolute/man5/slapd.access.5.html" TargetMode="External"/><Relationship Id="rId1297" Type="http://schemas.openxmlformats.org/officeDocument/2006/relationships/hyperlink" Target="https://openldap.org/doc/admin25/guide.html#Access%20Control" TargetMode="External"/><Relationship Id="rId1298" Type="http://schemas.openxmlformats.org/officeDocument/2006/relationships/hyperlink" Target="https://openldap.org/doc/admin24/guide.html#LDAP%20Sync%20Replication" TargetMode="External"/><Relationship Id="rId1299" Type="http://schemas.openxmlformats.org/officeDocument/2006/relationships/hyperlink" Target="https://www.rfc-editor.org/rfc/rfc4533.txt" TargetMode="External"/><Relationship Id="rId1300" Type="http://schemas.openxmlformats.org/officeDocument/2006/relationships/hyperlink" Target="https://manpages.ubuntu.com/manpages/resolute/man5/slapo-syncprov.5.html" TargetMode="External"/><Relationship Id="rId1301" Type="http://schemas.openxmlformats.org/officeDocument/2006/relationships/hyperlink" Target="https://bugs.openldap.org/show_bug.cgi?id=8125" TargetMode="External"/><Relationship Id="rId1302" Type="http://schemas.openxmlformats.org/officeDocument/2006/relationships/hyperlink" Target="https://manpages.ubuntu.com/manpages/resolute/man5/slapo-accesslog.5.html" TargetMode="External"/><Relationship Id="rId1303" Type="http://schemas.openxmlformats.org/officeDocument/2006/relationships/hyperlink" Target="https://openldap.org/doc/admin24/guide.html#Configuring%20the%20different%20replication%20types" TargetMode="External"/><Relationship Id="rId1304" Type="http://schemas.openxmlformats.org/officeDocument/2006/relationships/hyperlink" Target="https://www.openldap.org/doc/admin26/sasl.html#GSSAPI" TargetMode="External"/><Relationship Id="rId1305" Type="http://schemas.openxmlformats.org/officeDocument/2006/relationships/hyperlink" Target="https://www.openldap.org/doc/admin26/sasl.html" TargetMode="External"/><Relationship Id="rId1306" Type="http://schemas.openxmlformats.org/officeDocument/2006/relationships/hyperlink" Target="https://www.openldap.org/doc/admin26/security.html#%22simple%22%20method" TargetMode="External"/><Relationship Id="rId1307" Type="http://schemas.openxmlformats.org/officeDocument/2006/relationships/hyperlink" Target="https://datatracker.ietf.org/wg/tls/documents/" TargetMode="External"/><Relationship Id="rId1308" Type="http://schemas.openxmlformats.org/officeDocument/2006/relationships/hyperlink" Target="https://en.wikipedia.org/wiki/Fully_qualified_domain_name" TargetMode="External"/><Relationship Id="rId1309" Type="http://schemas.openxmlformats.org/officeDocument/2006/relationships/hyperlink" Target="https://www.openldap.org/doc/admin26/security.html#Pass-Through%20authentication" TargetMode="External"/><Relationship Id="rId1310" Type="http://schemas.openxmlformats.org/officeDocument/2006/relationships/hyperlink" Target="https://www.cyrusimap.org/sasl/sasl/components.html#password-verification-services" TargetMode="External"/><Relationship Id="rId1311" Type="http://schemas.openxmlformats.org/officeDocument/2006/relationships/hyperlink" Target="https://www.cyrusimap.org/sasl/sasl/faqs/openldap-sasl-gssapi.html" TargetMode="External"/><Relationship Id="rId1312" Type="http://schemas.openxmlformats.org/officeDocument/2006/relationships/hyperlink" Target="https://web.mit.edu/kerberos/krb5-1.12/doc/admin/princ_dns.html" TargetMode="External"/><Relationship Id="rId1313" Type="http://schemas.openxmlformats.org/officeDocument/2006/relationships/hyperlink" Target="https://www.mysql.com/" TargetMode="External"/><Relationship Id="rId1314" Type="http://schemas.openxmlformats.org/officeDocument/2006/relationships/hyperlink" Target="https://dev.mysql.com/doc/mysql-secure-deployment-guide/8.0/en/secure-deployment-configure-authentication.html" TargetMode="External"/><Relationship Id="rId1315" Type="http://schemas.openxmlformats.org/officeDocument/2006/relationships/hyperlink" Target="https://dev.mysql.com/doc/mysql-secure-deployment-guide/8.0/en/secure-deployment-user-accounts.html" TargetMode="External"/><Relationship Id="rId1316" Type="http://schemas.openxmlformats.org/officeDocument/2006/relationships/hyperlink" Target="https://dev.mysql.com/doc/refman/8.0/en/innodb-storage-engine.html" TargetMode="External"/><Relationship Id="rId1317" Type="http://schemas.openxmlformats.org/officeDocument/2006/relationships/hyperlink" Target="https://dev.mysql.com/doc/refman/8.0/en/myisam-storage-engine.html" TargetMode="External"/><Relationship Id="rId1318" Type="http://schemas.openxmlformats.org/officeDocument/2006/relationships/hyperlink" Target="https://en.wikipedia.org/wiki/ACID" TargetMode="External"/><Relationship Id="rId1319" Type="http://schemas.openxmlformats.org/officeDocument/2006/relationships/hyperlink" Target="https://www.percona.com/blog/using-myisam-in-production/" TargetMode="External"/><Relationship Id="rId1320" Type="http://schemas.openxmlformats.org/officeDocument/2006/relationships/hyperlink" Target="https://dev.mysql.com/doc/refman/8.4/en/glossary.html#glos_logical_backup" TargetMode="External"/><Relationship Id="rId1321" Type="http://schemas.openxmlformats.org/officeDocument/2006/relationships/hyperlink" Target="https://dev.mysql.com/doc/refman/8.4/en/mysqldump.html" TargetMode="External"/><Relationship Id="rId1322" Type="http://schemas.openxmlformats.org/officeDocument/2006/relationships/hyperlink" Target="https://dev.mysql.com/doc/mysql-shell/8.0/en/mysql-shell-utilities-load-dump.html" TargetMode="External"/><Relationship Id="rId1323" Type="http://schemas.openxmlformats.org/officeDocument/2006/relationships/hyperlink" Target="https://dev.mysql.com/doc/mysql-shell/8.4/en/mysql-shell-utilities-dump-instance-schema.html" TargetMode="External"/><Relationship Id="rId1324" Type="http://schemas.openxmlformats.org/officeDocument/2006/relationships/hyperlink" Target="https://dev.mysql.com/doc/refman/8.4/en/glossary.html#glos_physical_backup" TargetMode="External"/><Relationship Id="rId1325" Type="http://schemas.openxmlformats.org/officeDocument/2006/relationships/hyperlink" Target="https://www.mysql.com/products/enterprise/backup.html" TargetMode="External"/><Relationship Id="rId1326" Type="http://schemas.openxmlformats.org/officeDocument/2006/relationships/hyperlink" Target="https://docs.percona.com/percona-xtrabackup/8.0/" TargetMode="External"/><Relationship Id="rId1327" Type="http://schemas.openxmlformats.org/officeDocument/2006/relationships/hyperlink" Target="https://github.com/major/MySQLTuner-perl" TargetMode="External"/><Relationship Id="rId1328" Type="http://schemas.openxmlformats.org/officeDocument/2006/relationships/hyperlink" Target="https://dev.mysql.com/doc/" TargetMode="External"/><Relationship Id="rId1329" Type="http://schemas.openxmlformats.org/officeDocument/2006/relationships/hyperlink" Target="https://www.oreilly.com/library/view/getting-started-with/9781491938607/" TargetMode="External"/><Relationship Id="rId1330" Type="http://schemas.openxmlformats.org/officeDocument/2006/relationships/hyperlink" Target="https://www.oreilly.com/library/view/sql-in-a/9780596155322/" TargetMode="External"/><Relationship Id="rId1331" Type="http://schemas.openxmlformats.org/officeDocument/2006/relationships/hyperlink" Target="https://www.postgresql.org/" TargetMode="External"/><Relationship Id="rId1332" Type="http://schemas.openxmlformats.org/officeDocument/2006/relationships/hyperlink" Target="https://www.postgresql.org/docs/current/admin.html" TargetMode="External"/><Relationship Id="rId1333" Type="http://schemas.openxmlformats.org/officeDocument/2006/relationships/hyperlink" Target="https://www.postgresql.org/docs/" TargetMode="External"/><Relationship Id="rId1334" Type="http://schemas.openxmlformats.org/officeDocument/2006/relationships/hyperlink" Target="https://www.postgresql.org/docs/current/wal.html" TargetMode="External"/><Relationship Id="rId1335" Type="http://schemas.openxmlformats.org/officeDocument/2006/relationships/hyperlink" Target="https://www.postgresql.org/docs/current/runtime-config-replication.html" TargetMode="External"/><Relationship Id="rId1336" Type="http://schemas.openxmlformats.org/officeDocument/2006/relationships/hyperlink" Target="https://www.postgresql.org/docs/current/high-availability.html" TargetMode="External"/><Relationship Id="rId1337" Type="http://schemas.openxmlformats.org/officeDocument/2006/relationships/hyperlink" Target="https://www.postgresql.org/docs/current/backup.html" TargetMode="External"/><Relationship Id="rId1338" Type="http://schemas.openxmlformats.org/officeDocument/2006/relationships/hyperlink" Target="https://en.wikipedia.org/wiki/ISCSI" TargetMode="External"/><Relationship Id="rId1339" Type="http://schemas.openxmlformats.org/officeDocument/2006/relationships/hyperlink" Target="https://en.wikipedia.org/wiki/Internet_Protocol" TargetMode="External"/><Relationship Id="rId1340" Type="http://schemas.openxmlformats.org/officeDocument/2006/relationships/hyperlink" Target="https://en.wikipedia.org/wiki/Computer_data_storage" TargetMode="External"/><Relationship Id="rId1341" Type="http://schemas.openxmlformats.org/officeDocument/2006/relationships/hyperlink" Target="https://en.wikipedia.org/wiki/Block-level_storage" TargetMode="External"/><Relationship Id="rId1342" Type="http://schemas.openxmlformats.org/officeDocument/2006/relationships/hyperlink" Target="https://en.wikipedia.org/wiki/SCSI" TargetMode="External"/><Relationship Id="rId1343" Type="http://schemas.openxmlformats.org/officeDocument/2006/relationships/hyperlink" Target="https://en.wikipedia.org/wiki/TCP/IP" TargetMode="External"/><Relationship Id="rId1344" Type="http://schemas.openxmlformats.org/officeDocument/2006/relationships/hyperlink" Target="https://en.wikipedia.org/wiki/Intranet" TargetMode="External"/><Relationship Id="rId1345" Type="http://schemas.openxmlformats.org/officeDocument/2006/relationships/hyperlink" Target="https://en.wikipedia.org/wiki/Local_area_network" TargetMode="External"/><Relationship Id="rId1346" Type="http://schemas.openxmlformats.org/officeDocument/2006/relationships/hyperlink" Target="https://en.wikipedia.org/wiki/Wide_area_network" TargetMode="External"/><Relationship Id="rId1347" Type="http://schemas.openxmlformats.org/officeDocument/2006/relationships/hyperlink" Target="https://en.wikipedia.org/wiki/Internet" TargetMode="External"/><Relationship Id="rId1348" Type="http://schemas.openxmlformats.org/officeDocument/2006/relationships/hyperlink" Target="https://en.wikipedia.org/wiki/Protocol_(computing)" TargetMode="External"/><Relationship Id="rId1349" Type="http://schemas.openxmlformats.org/officeDocument/2006/relationships/hyperlink" Target="https://en.wikipedia.org/wiki/SCSI_CDB" TargetMode="External"/><Relationship Id="rId1350" Type="http://schemas.openxmlformats.org/officeDocument/2006/relationships/hyperlink" Target="https://en.wikipedia.org/wiki/Storage_area_network" TargetMode="External"/><Relationship Id="rId1351" Type="http://schemas.openxmlformats.org/officeDocument/2006/relationships/hyperlink" Target="https://en.wikipedia.org/wiki/Storage_array" TargetMode="External"/><Relationship Id="rId1352" Type="http://schemas.openxmlformats.org/officeDocument/2006/relationships/hyperlink" Target="https://en.wikipedia.org/wiki/Fibre_Channel" TargetMode="External"/><Relationship Id="rId1353" Type="http://schemas.openxmlformats.org/officeDocument/2006/relationships/hyperlink" Target="https://netplan.readthedocs.io/en/latest/examples/" TargetMode="External"/><Relationship Id="rId1354" Type="http://schemas.openxmlformats.org/officeDocument/2006/relationships/hyperlink" Target="https://linux.die.net/man/8/iscsid" TargetMode="External"/><Relationship Id="rId1355" Type="http://schemas.openxmlformats.org/officeDocument/2006/relationships/hyperlink" Target="https://linux.die.net/man/5/iscsi.conf" TargetMode="External"/><Relationship Id="rId1356" Type="http://schemas.openxmlformats.org/officeDocument/2006/relationships/hyperlink" Target="https://github.com/open-iscsi/open-iscsi/blob/master/etc/iscsid.conf" TargetMode="External"/><Relationship Id="rId1357" Type="http://schemas.openxmlformats.org/officeDocument/2006/relationships/hyperlink" Target="https://github.com/open-iscsi/open-iscsi/blob/master/etc/systemd/iscsi.service.template" TargetMode="External"/><Relationship Id="rId1358" Type="http://schemas.openxmlformats.org/officeDocument/2006/relationships/hyperlink" Target="https://github.com/open-iscsi/open-iscsi/blob/master/etc/systemd/iscsid.service.template" TargetMode="External"/><Relationship Id="rId1359" Type="http://schemas.openxmlformats.org/officeDocument/2006/relationships/hyperlink" Target="http://www.open-iscsi.com/" TargetMode="External"/><Relationship Id="rId1360" Type="http://schemas.openxmlformats.org/officeDocument/2006/relationships/hyperlink" Target="https://wiki.debian.org/SAN/iSCSI/open-iscsi" TargetMode="External"/><Relationship Id="rId1361" Type="http://schemas.openxmlformats.org/officeDocument/2006/relationships/hyperlink" Target="https://www.bacula.org/" TargetMode="External"/><Relationship Id="rId1362" Type="http://schemas.openxmlformats.org/officeDocument/2006/relationships/hyperlink" Target="https://rsnapshot.org/" TargetMode="External"/><Relationship Id="rId1363" Type="http://schemas.openxmlformats.org/officeDocument/2006/relationships/hyperlink" Target="https://www.bacula.org/15.0.x-manuals/en/main/Configuring_Director.html#SECTION0023200000000000000000" TargetMode="External"/><Relationship Id="rId1364" Type="http://schemas.openxmlformats.org/officeDocument/2006/relationships/hyperlink" Target="https://www.bacula.org/15.0.x-manuals/en/main/Configuring_Director.html#SECTION0023700000000000000000" TargetMode="External"/><Relationship Id="rId1365" Type="http://schemas.openxmlformats.org/officeDocument/2006/relationships/hyperlink" Target="https://www.bacula.org/15.0.x-manuals/en/main/Configuring_Director.html#SECTION00231300000000000000000" TargetMode="External"/><Relationship Id="rId1366" Type="http://schemas.openxmlformats.org/officeDocument/2006/relationships/hyperlink" Target="https://www.bacula.org/15.0.x-manuals/en/main/Configuring_Director.html#SECTION00231600000000000000000" TargetMode="External"/><Relationship Id="rId1367" Type="http://schemas.openxmlformats.org/officeDocument/2006/relationships/hyperlink" Target="https://www.bacula.org/15.0.x-manuals/en/main/Configuring_Director.html#blb:StorageResource" TargetMode="External"/><Relationship Id="rId1368" Type="http://schemas.openxmlformats.org/officeDocument/2006/relationships/hyperlink" Target="https://docs.baculasystems.com/BEPlanningAndPreparation/BackupPolicy/NamingResources/index.html" TargetMode="External"/><Relationship Id="rId1369" Type="http://schemas.openxmlformats.org/officeDocument/2006/relationships/hyperlink" Target="https://www.bacula.org/15.0.x-manuals/en/main/Configuring_Director.html#blb:JobResource" TargetMode="External"/><Relationship Id="rId1370" Type="http://schemas.openxmlformats.org/officeDocument/2006/relationships/hyperlink" Target="https://www.bacula.org/15.0.x-manuals/en/main/Storage_Daemon_Configuratio.html" TargetMode="External"/><Relationship Id="rId1371" Type="http://schemas.openxmlformats.org/officeDocument/2006/relationships/hyperlink" Target="https://www.bacula.org/15.0.x-manuals/en/main/Client_File_daemon_Configur.html" TargetMode="External"/><Relationship Id="rId1372" Type="http://schemas.openxmlformats.org/officeDocument/2006/relationships/hyperlink" Target="https://www.bacula.org/15.0.x-manuals/en/main/Console_Configuration.html" TargetMode="External"/><Relationship Id="rId1373" Type="http://schemas.openxmlformats.org/officeDocument/2006/relationships/hyperlink" Target="https://www.bacula.org/15.0.x-manuals/en/main/Job_status_Error_codes.html#blb:director:job:status" TargetMode="External"/><Relationship Id="rId1374" Type="http://schemas.openxmlformats.org/officeDocument/2006/relationships/hyperlink" Target="https://www.bacula.org/documentation/documentation/" TargetMode="External"/><Relationship Id="rId1375" Type="http://schemas.openxmlformats.org/officeDocument/2006/relationships/hyperlink" Target="https://manpages.ubuntu.com/manpages/resolute/man1/rsnapshot.1.html" TargetMode="External"/><Relationship Id="rId1376" Type="http://schemas.openxmlformats.org/officeDocument/2006/relationships/hyperlink" Target="https://manpages.ubuntu.com/manpages/resolute/man1/rsync.1.html" TargetMode="External"/><Relationship Id="rId1377" Type="http://schemas.openxmlformats.org/officeDocument/2006/relationships/hyperlink" Target="https://tldp.org/LDP/abs/html/" TargetMode="External"/><Relationship Id="rId1378" Type="http://schemas.openxmlformats.org/officeDocument/2006/relationships/hyperlink" Target="https://help.ubuntu.com/community/CronHowto" TargetMode="External"/><Relationship Id="rId1379" Type="http://schemas.openxmlformats.org/officeDocument/2006/relationships/hyperlink" Target="http://www.gnu.org/software/tar/manual/index.html" TargetMode="External"/><Relationship Id="rId1380" Type="http://schemas.openxmlformats.org/officeDocument/2006/relationships/hyperlink" Target="http://en.wikipedia.org/wiki/Backup_rotation_scheme" TargetMode="External"/><Relationship Id="rId1381" Type="http://schemas.openxmlformats.org/officeDocument/2006/relationships/hyperlink" Target="http://www.gnu.org/software/cpio/" TargetMode="External"/><Relationship Id="rId1382" Type="http://schemas.openxmlformats.org/officeDocument/2006/relationships/hyperlink" Target="http://www.gnu.org/software/coreutils/" TargetMode="External"/><Relationship Id="rId1383" Type="http://schemas.openxmlformats.org/officeDocument/2006/relationships/hyperlink" Target="https://etckeeper.branchable.com/" TargetMode="External"/><Relationship Id="rId1384" Type="http://schemas.openxmlformats.org/officeDocument/2006/relationships/hyperlink" Target="https://git-scm.com/" TargetMode="External"/><Relationship Id="rId1385" Type="http://schemas.openxmlformats.org/officeDocument/2006/relationships/hyperlink" Target="https://git-scm.com/docs/gitglossary#Documentation/gitglossary.txt-aiddefbarerepositoryabarerepository" TargetMode="External"/><Relationship Id="rId1386" Type="http://schemas.openxmlformats.org/officeDocument/2006/relationships/hyperlink" Target="https://gitolite.com/gitolite/conf.html" TargetMode="External"/><Relationship Id="rId1387" Type="http://schemas.openxmlformats.org/officeDocument/2006/relationships/hyperlink" Target="https://gitolite.com/gitolite/conf-2.html" TargetMode="External"/><Relationship Id="rId1388" Type="http://schemas.openxmlformats.org/officeDocument/2006/relationships/hyperlink" Target="https://github.com/sitaramc/gitolite" TargetMode="External"/><Relationship Id="rId1389" Type="http://schemas.openxmlformats.org/officeDocument/2006/relationships/hyperlink" Target="https://gitolite.com/gitolite/" TargetMode="External"/><Relationship Id="rId1390" Type="http://schemas.openxmlformats.org/officeDocument/2006/relationships/hyperlink" Target="https://www.packtpub.com/en-us/product/gitolite-essentials-9781783282388" TargetMode="External"/><Relationship Id="rId1391" Type="http://schemas.openxmlformats.org/officeDocument/2006/relationships/hyperlink" Target="https://www.thunderbird.net/" TargetMode="External"/><Relationship Id="rId1392" Type="http://schemas.openxmlformats.org/officeDocument/2006/relationships/hyperlink" Target="https://snapcraft.io/install/thunderbird/ubuntu" TargetMode="External"/><Relationship Id="rId1393" Type="http://schemas.openxmlformats.org/officeDocument/2006/relationships/hyperlink" Target="https://www.authsmtp.com/sendmail/index.html" TargetMode="External"/><Relationship Id="rId1394" Type="http://schemas.openxmlformats.org/officeDocument/2006/relationships/hyperlink" Target="https://www.postfix.org/" TargetMode="External"/><Relationship Id="rId1395" Type="http://schemas.openxmlformats.org/officeDocument/2006/relationships/hyperlink" Target="https://www.exim.org/" TargetMode="External"/><Relationship Id="rId1396" Type="http://schemas.openxmlformats.org/officeDocument/2006/relationships/hyperlink" Target="https://www.ietf.org/rfc/rfc2554.txt" TargetMode="External"/><Relationship Id="rId1397" Type="http://schemas.openxmlformats.org/officeDocument/2006/relationships/hyperlink" Target="https://www.ietf.org/rfc/rfc2222.txt" TargetMode="External"/><Relationship Id="rId1398" Type="http://schemas.openxmlformats.org/officeDocument/2006/relationships/hyperlink" Target="http://www.postfix.org/documentation.html" TargetMode="External"/><Relationship Id="rId1399" Type="http://schemas.openxmlformats.org/officeDocument/2006/relationships/hyperlink" Target="https://www.oreilly.com/library/view/postfix-the-definitive/0596002122/" TargetMode="External"/><Relationship Id="rId1400" Type="http://schemas.openxmlformats.org/officeDocument/2006/relationships/hyperlink" Target="https://help.ubuntu.com/community/Postfix" TargetMode="External"/><Relationship Id="rId1401" Type="http://schemas.openxmlformats.org/officeDocument/2006/relationships/hyperlink" Target="https://wiki.debian.org/Postfix" TargetMode="External"/><Relationship Id="rId1402" Type="http://schemas.openxmlformats.org/officeDocument/2006/relationships/hyperlink" Target="https://wiki.debian.org/Postfix/Tutorials" TargetMode="External"/><Relationship Id="rId1403" Type="http://schemas.openxmlformats.org/officeDocument/2006/relationships/hyperlink" Target="https://docs.mailman3.org/projects/mailman/en/latest/src/mailman/docs/mta.html" TargetMode="External"/><Relationship Id="rId1404" Type="http://schemas.openxmlformats.org/officeDocument/2006/relationships/hyperlink" Target="https://manpages.ubuntu.com/manpages/resolute/man1/cyrus-smtptest.1.html" TargetMode="External"/><Relationship Id="rId1405" Type="http://schemas.openxmlformats.org/officeDocument/2006/relationships/hyperlink" Target="https://help.ubuntu.com/community/Exim4" TargetMode="External"/><Relationship Id="rId1406" Type="http://schemas.openxmlformats.org/officeDocument/2006/relationships/hyperlink" Target="https://docs.mailman3.org/projects/mailman/en/latest/src/mailman/docs/mta.html#exim" TargetMode="External"/><Relationship Id="rId1407" Type="http://schemas.openxmlformats.org/officeDocument/2006/relationships/hyperlink" Target="https://dovecot.org/" TargetMode="External"/><Relationship Id="rId1408" Type="http://schemas.openxmlformats.org/officeDocument/2006/relationships/hyperlink" Target="https://en.wikipedia.org/wiki/Mbox" TargetMode="External"/><Relationship Id="rId1409" Type="http://schemas.openxmlformats.org/officeDocument/2006/relationships/hyperlink" Target="https://en.wikipedia.org/wiki/Maildir" TargetMode="External"/><Relationship Id="rId1410" Type="http://schemas.openxmlformats.org/officeDocument/2006/relationships/hyperlink" Target="https://doc.dovecot.org/main/" TargetMode="External"/><Relationship Id="rId1411" Type="http://schemas.openxmlformats.org/officeDocument/2006/relationships/hyperlink" Target="https://doc.dovecot.org/latest/" TargetMode="External"/><Relationship Id="rId1412" Type="http://schemas.openxmlformats.org/officeDocument/2006/relationships/hyperlink" Target="https://help.ubuntu.com/community/Dovecot" TargetMode="External"/><Relationship Id="rId1413" Type="http://schemas.openxmlformats.org/officeDocument/2006/relationships/hyperlink" Target="https://wiki.squid-cache.org/Features/HTTPS" TargetMode="External"/><Relationship Id="rId1414" Type="http://schemas.openxmlformats.org/officeDocument/2006/relationships/hyperlink" Target="https://www.squid-cache.org/Doc/config/" TargetMode="External"/><Relationship Id="rId1415" Type="http://schemas.openxmlformats.org/officeDocument/2006/relationships/hyperlink" Target="http://www.squid-cache.org/" TargetMode="External"/><Relationship Id="rId1416" Type="http://schemas.openxmlformats.org/officeDocument/2006/relationships/hyperlink" Target="https://help.ubuntu.com/community/Squid" TargetMode="External"/><Relationship Id="rId1417" Type="http://schemas.openxmlformats.org/officeDocument/2006/relationships/hyperlink" Target="https://httpd.apache.org/docs/2.4/" TargetMode="External"/><Relationship Id="rId1418" Type="http://schemas.openxmlformats.org/officeDocument/2006/relationships/hyperlink" Target="https://www.oreilly.com/library/view/apache-cookbook-2nd/9780596529949/" TargetMode="External"/><Relationship Id="rId1419" Type="http://schemas.openxmlformats.org/officeDocument/2006/relationships/hyperlink" Target="https://help.ubuntu.com/community/ServerSideIncludes" TargetMode="External"/><Relationship Id="rId1420" Type="http://schemas.openxmlformats.org/officeDocument/2006/relationships/hyperlink" Target="https://httpd.apache.org/docs/2.4/mod/mod_negotiation.html#multiviews" TargetMode="External"/><Relationship Id="rId1421" Type="http://schemas.openxmlformats.org/officeDocument/2006/relationships/hyperlink" Target="http://shop.oreilly.com/product/9780596529949.do" TargetMode="External"/><Relationship Id="rId1422" Type="http://schemas.openxmlformats.org/officeDocument/2006/relationships/hyperlink" Target="https://nginx.org/en/docs/" TargetMode="External"/><Relationship Id="rId1423" Type="http://schemas.openxmlformats.org/officeDocument/2006/relationships/hyperlink" Target="https://nginx.org/en/docs/beginners_guide.html" TargetMode="External"/><Relationship Id="rId1424" Type="http://schemas.openxmlformats.org/officeDocument/2006/relationships/hyperlink" Target="https://nginx.org/en/docs/http/configuring_https_servers.html" TargetMode="External"/><Relationship Id="rId1425" Type="http://schemas.openxmlformats.org/officeDocument/2006/relationships/hyperlink" Target="https://www.php.net/" TargetMode="External"/><Relationship Id="rId1426" Type="http://schemas.openxmlformats.org/officeDocument/2006/relationships/hyperlink" Target="https://www.php.net/docs.php" TargetMode="External"/><Relationship Id="rId1427" Type="http://schemas.openxmlformats.org/officeDocument/2006/relationships/hyperlink" Target="https://help.ubuntu.com/community/ApacheMySQLPHP" TargetMode="External"/><Relationship Id="rId1428" Type="http://schemas.openxmlformats.org/officeDocument/2006/relationships/hyperlink" Target="https://rubyonrails.org/" TargetMode="External"/><Relationship Id="rId1429" Type="http://schemas.openxmlformats.org/officeDocument/2006/relationships/hyperlink" Target="https://pragprog.com/titles/rails7/agile-web-development-with-rails-7/" TargetMode="External"/><Relationship Id="rId1430" Type="http://schemas.openxmlformats.org/officeDocument/2006/relationships/hyperlink" Target="https://www.nvidia.com/en-us/drivers/unix/" TargetMode="External"/><Relationship Id="rId1431" Type="http://schemas.openxmlformats.org/officeDocument/2006/relationships/hyperlink" Target="https://docs.nvidia.com/datacenter/tesla/index.html" TargetMode="External"/><Relationship Id="rId1432" Type="http://schemas.openxmlformats.org/officeDocument/2006/relationships/hyperlink" Target="https://docs.nvidia.com/datacenter/tesla/drivers/index.html" TargetMode="External"/><Relationship Id="rId1433" Type="http://schemas.openxmlformats.org/officeDocument/2006/relationships/hyperlink" Target="https://developer.nvidia.com/system-management-interface" TargetMode="External"/><Relationship Id="rId1434" Type="http://schemas.openxmlformats.org/officeDocument/2006/relationships/hyperlink" Target="https://nouveau.freedesktop.org/" TargetMode="External"/><Relationship Id="rId1435" Type="http://schemas.openxmlformats.org/officeDocument/2006/relationships/hyperlink" Target="https://cpaelzer.github.io/blogs/006-mediated-device-to-pass-parts-of-your-gpu-to-a-guest/" TargetMode="External"/><Relationship Id="rId1436" Type="http://schemas.openxmlformats.org/officeDocument/2006/relationships/hyperlink" Target="https://virgil3d.github.io/" TargetMode="External"/><Relationship Id="rId1437" Type="http://schemas.openxmlformats.org/officeDocument/2006/relationships/hyperlink" Target="https://www.kraxel.org/blog/2016/09/using-virtio-gpu-with-libvirt-and-spice/" TargetMode="External"/><Relationship Id="rId1438" Type="http://schemas.openxmlformats.org/officeDocument/2006/relationships/hyperlink" Target="https://www.kernel.org/doc/Documentation/vfio-mediated-device.txt" TargetMode="External"/><Relationship Id="rId1439" Type="http://schemas.openxmlformats.org/officeDocument/2006/relationships/hyperlink" Target="https://www.kraxel.org/blog/2018/04/vgpu-display-support-finally-merged-upstream/" TargetMode="External"/><Relationship Id="rId1440" Type="http://schemas.openxmlformats.org/officeDocument/2006/relationships/hyperlink" Target="https://github.com/intel/gvt-linux/wiki/GVTg_Setup_Guide" TargetMode="External"/><Relationship Id="rId1441" Type="http://schemas.openxmlformats.org/officeDocument/2006/relationships/hyperlink" Target="https://docs.nvidia.com/vgpu/latest/grid-vgpu-user-guide/index.html" TargetMode="External"/><Relationship Id="rId1442" Type="http://schemas.openxmlformats.org/officeDocument/2006/relationships/hyperlink" Target="https://www.kernel.org/doc/html/latest/admin-guide/kernel-parameters.html?highlight=iommu" TargetMode="External"/><Relationship Id="rId1443" Type="http://schemas.openxmlformats.org/officeDocument/2006/relationships/hyperlink" Target="https://www.kernel.org/doc/html/latest/arch/x86/iommu.html" TargetMode="External"/><Relationship Id="rId1444" Type="http://schemas.openxmlformats.org/officeDocument/2006/relationships/hyperlink" Target="https://docs.nvidia.com/vgpu/latest/product-support-matrix/ubuntu.html" TargetMode="External"/><Relationship Id="rId1445" Type="http://schemas.openxmlformats.org/officeDocument/2006/relationships/hyperlink" Target="https://docs.nvidia.com/vgpu/latest/grid-vgpu-user-guide/index.html#ubuntu-install-configure-vgpu" TargetMode="External"/><Relationship Id="rId1446" Type="http://schemas.openxmlformats.org/officeDocument/2006/relationships/hyperlink" Target="https://docs.nvidia.com/vgpu/latest/grid-vgpu-user-guide/index.html#install-vgpu-package-ubuntu" TargetMode="External"/><Relationship Id="rId1447" Type="http://schemas.openxmlformats.org/officeDocument/2006/relationships/hyperlink" Target="https://docs.nvidia.com/vgpu/ls/latest/grid-license-server-user-guide/index.html" TargetMode="External"/><Relationship Id="rId1448" Type="http://schemas.openxmlformats.org/officeDocument/2006/relationships/hyperlink" Target="https://docs.nvidia.com/vgpu/news/vgpu-software-license-server-eol-notice/index.html" TargetMode="External"/><Relationship Id="rId1449" Type="http://schemas.openxmlformats.org/officeDocument/2006/relationships/hyperlink" Target="https://docs.nvidia.com/license-system/latest/nvidia-license-system-quick-start-guide/index.html" TargetMode="External"/><Relationship Id="rId1450" Type="http://schemas.openxmlformats.org/officeDocument/2006/relationships/hyperlink" Target="https://www.kernel.org/doc/html/latest/driver-api/vfio-mediated-device.html" TargetMode="External"/><Relationship Id="rId1451" Type="http://schemas.openxmlformats.org/officeDocument/2006/relationships/hyperlink" Target="https://libvirt.org/formatdomain.html#usb-pci-scsi-devices" TargetMode="External"/><Relationship Id="rId1452" Type="http://schemas.openxmlformats.org/officeDocument/2006/relationships/hyperlink" Target="https://wiki.ubuntu.com/OpenStack/CloudArchive" TargetMode="External"/><Relationship Id="rId1453" Type="http://schemas.openxmlformats.org/officeDocument/2006/relationships/hyperlink" Target="https://docs.kernel.org/arch/s390/vfio-ccw.html" TargetMode="External"/><Relationship Id="rId1454" Type="http://schemas.openxmlformats.org/officeDocument/2006/relationships/hyperlink" Target="https://canonical.com/lxd" TargetMode="External"/><Relationship Id="rId1455" Type="http://schemas.openxmlformats.org/officeDocument/2006/relationships/hyperlink" Target="https://documentation.ubuntu.com/lxd/latest/howto/access_ui/" TargetMode="External"/><Relationship Id="rId1456" Type="http://schemas.openxmlformats.org/officeDocument/2006/relationships/hyperlink" Target="https://documentation.ubuntu.com/lxd/latest/restapi_landing/" TargetMode="External"/><Relationship Id="rId1457" Type="http://schemas.openxmlformats.org/officeDocument/2006/relationships/hyperlink" Target="https://documentation.ubuntu.com/lxd/latest/explanation/clusters/" TargetMode="External"/><Relationship Id="rId1458" Type="http://schemas.openxmlformats.org/officeDocument/2006/relationships/hyperlink" Target="https://canonical.com/microcloud" TargetMode="External"/><Relationship Id="rId1459" Type="http://schemas.openxmlformats.org/officeDocument/2006/relationships/hyperlink" Target="https://documentation.ubuntu.com/lxd/" TargetMode="External"/><Relationship Id="rId1460" Type="http://schemas.openxmlformats.org/officeDocument/2006/relationships/hyperlink" Target="https://discourse.ubuntu.com/c/lxd/126" TargetMode="External"/><Relationship Id="rId1461" Type="http://schemas.openxmlformats.org/officeDocument/2006/relationships/hyperlink" Target="https://www.youtube.com/c/LXDvideos" TargetMode="External"/><Relationship Id="rId1462" Type="http://schemas.openxmlformats.org/officeDocument/2006/relationships/hyperlink" Target="https://btrfs.readthedocs.io/" TargetMode="External"/><Relationship Id="rId1463" Type="http://schemas.openxmlformats.org/officeDocument/2006/relationships/hyperlink" Target="https://openzfs.org/wiki/Main_Page" TargetMode="External"/><Relationship Id="rId1464" Type="http://schemas.openxmlformats.org/officeDocument/2006/relationships/hyperlink" Target="https://documentation.ubuntu.com/lxd/latest/howto/initialize/" TargetMode="External"/><Relationship Id="rId1465" Type="http://schemas.openxmlformats.org/officeDocument/2006/relationships/hyperlink" Target="https://documentation.ubuntu.com/lxd/latest/explanation/storage/" TargetMode="External"/><Relationship Id="rId1466" Type="http://schemas.openxmlformats.org/officeDocument/2006/relationships/hyperlink" Target="https://documentation.ubuntu.com/lxd/latest/reference/instance_options/" TargetMode="External"/><Relationship Id="rId1467" Type="http://schemas.openxmlformats.org/officeDocument/2006/relationships/hyperlink" Target="https://manpages.ubuntu.com/manpages/resolute/man5/subuid.5.html" TargetMode="External"/><Relationship Id="rId1468" Type="http://schemas.openxmlformats.org/officeDocument/2006/relationships/hyperlink" Target="https://manpages.ubuntu.com/manpages/resolute/man5/lxc.container.conf.5.html" TargetMode="External"/><Relationship Id="rId1469" Type="http://schemas.openxmlformats.org/officeDocument/2006/relationships/hyperlink" Target="https://canonical.com/multipass" TargetMode="External"/><Relationship Id="rId1470" Type="http://schemas.openxmlformats.org/officeDocument/2006/relationships/hyperlink" Target="https://virt-manager.org/" TargetMode="External"/><Relationship Id="rId1471" Type="http://schemas.openxmlformats.org/officeDocument/2006/relationships/hyperlink" Target="https://documentation.ubuntu.com/multipass/latest/how-to-guides/customise-multipass/set-up-a-graphical-interface/" TargetMode="External"/><Relationship Id="rId1472" Type="http://schemas.openxmlformats.org/officeDocument/2006/relationships/hyperlink" Target="https://libvirt.org/daemons.html" TargetMode="External"/><Relationship Id="rId1473" Type="http://schemas.openxmlformats.org/officeDocument/2006/relationships/hyperlink" Target="https://documentation.ubuntu.com/multipass/latest/how-to-guides/customise-multipass/set-up-the-driver/" TargetMode="External"/><Relationship Id="rId1474" Type="http://schemas.openxmlformats.org/officeDocument/2006/relationships/hyperlink" Target="https://documentation.ubuntu.com/multipass/latest/" TargetMode="External"/><Relationship Id="rId1475" Type="http://schemas.openxmlformats.org/officeDocument/2006/relationships/hyperlink" Target="https://manpages.ubuntu.com/manpages/resolute/man1/uvt-kvm.1.html" TargetMode="External"/><Relationship Id="rId1476" Type="http://schemas.openxmlformats.org/officeDocument/2006/relationships/hyperlink" Target="https://lists.ubuntu.com/mailman/listinfo/ubuntu-server" TargetMode="External"/><Relationship Id="rId1477" Type="http://schemas.openxmlformats.org/officeDocument/2006/relationships/hyperlink" Target="https://wiki.qemu.org/Main_Page" TargetMode="External"/><Relationship Id="rId1478" Type="http://schemas.openxmlformats.org/officeDocument/2006/relationships/hyperlink" Target="https://www.linux-kvm.org/page/Main_Page" TargetMode="External"/><Relationship Id="rId1479" Type="http://schemas.openxmlformats.org/officeDocument/2006/relationships/hyperlink" Target="https://qemu-project.gitlab.io/qemu/system/invocation.html" TargetMode="External"/><Relationship Id="rId1480" Type="http://schemas.openxmlformats.org/officeDocument/2006/relationships/hyperlink" Target="https://qemu-project.gitlab.io/qemu/system/monitor.html" TargetMode="External"/><Relationship Id="rId1481" Type="http://schemas.openxmlformats.org/officeDocument/2006/relationships/hyperlink" Target="https://libvirt.org/" TargetMode="External"/><Relationship Id="rId1482" Type="http://schemas.openxmlformats.org/officeDocument/2006/relationships/hyperlink" Target="https://manpages.ubuntu.com/manpages/resolute/man1/qemu-system.1.html" TargetMode="External"/><Relationship Id="rId1483" Type="http://schemas.openxmlformats.org/officeDocument/2006/relationships/hyperlink" Target="https://manpages.ubuntu.com/manpages/resolute/man1/qemu-img.1.html" TargetMode="External"/><Relationship Id="rId1484" Type="http://schemas.openxmlformats.org/officeDocument/2006/relationships/hyperlink" Target="https://www.qemu.org/documentation/" TargetMode="External"/><Relationship Id="rId1485" Type="http://schemas.openxmlformats.org/officeDocument/2006/relationships/hyperlink" Target="https://cloud-images.ubuntu.com/" TargetMode="External"/><Relationship Id="rId1486" Type="http://schemas.openxmlformats.org/officeDocument/2006/relationships/hyperlink" Target="https://docs.amd.com/v/u/en-US/58207-using-sev-with-amd-epyc-processors" TargetMode="External"/><Relationship Id="rId1487" Type="http://schemas.openxmlformats.org/officeDocument/2006/relationships/hyperlink" Target="https://en.wikipedia.org/wiki/TianoCore_EDK_II" TargetMode="External"/><Relationship Id="rId1488" Type="http://schemas.openxmlformats.org/officeDocument/2006/relationships/hyperlink" Target="https://www.qemu.org/docs/master/system/i386/amd-memory-encryption.html" TargetMode="External"/><Relationship Id="rId1489" Type="http://schemas.openxmlformats.org/officeDocument/2006/relationships/hyperlink" Target="https://www.qemu.org/docs/master/system/invocation.html" TargetMode="External"/><Relationship Id="rId1490" Type="http://schemas.openxmlformats.org/officeDocument/2006/relationships/hyperlink" Target="https://www.qemu.org/docs/master/system/i386/amd-memory-encryption.html#sevapi" TargetMode="External"/><Relationship Id="rId1491" Type="http://schemas.openxmlformats.org/officeDocument/2006/relationships/hyperlink" Target="https://cloud-images.ubuntu.com/releases/noble/release/ubuntu-24.04-server-cloudimg-amd64.img" TargetMode="External"/><Relationship Id="rId1492" Type="http://schemas.openxmlformats.org/officeDocument/2006/relationships/hyperlink" Target="https://cloud-images.ubuntu.com/releases/noble/release/unpacked/" TargetMode="External"/><Relationship Id="rId1493" Type="http://schemas.openxmlformats.org/officeDocument/2006/relationships/hyperlink" Target="https://github.com/virtee/snpguest" TargetMode="External"/><Relationship Id="rId1494" Type="http://schemas.openxmlformats.org/officeDocument/2006/relationships/hyperlink" Target="https://www.intel.com/content/www/us/en/developer/tools/trust-domain-extensions/overview.html" TargetMode="External"/><Relationship Id="rId1495" Type="http://schemas.openxmlformats.org/officeDocument/2006/relationships/hyperlink" Target="https://www.qemu.org/docs/master/system/i386/tdx.html" TargetMode="External"/><Relationship Id="rId1496" Type="http://schemas.openxmlformats.org/officeDocument/2006/relationships/hyperlink" Target="https://cc-enabling.trustedservices.intel.com/intel-tdx-enabling-guide/04/hardware_setup/#deploy-specific-intel-tdx-module-version" TargetMode="External"/><Relationship Id="rId1497" Type="http://schemas.openxmlformats.org/officeDocument/2006/relationships/hyperlink" Target="https://en.wikipedia.org/wiki/Slirp" TargetMode="External"/><Relationship Id="rId1498" Type="http://schemas.openxmlformats.org/officeDocument/2006/relationships/hyperlink" Target="https://netplan.readthedocs.io/en/latest/netplan-yaml/#properties-for-device-type-bridges" TargetMode="External"/><Relationship Id="rId1499" Type="http://schemas.openxmlformats.org/officeDocument/2006/relationships/hyperlink" Target="https://netplan.readthedocs.io/en/latest/" TargetMode="External"/><Relationship Id="rId1500" Type="http://schemas.openxmlformats.org/officeDocument/2006/relationships/hyperlink" Target="https://ubuntu.com/openstack" TargetMode="External"/><Relationship Id="rId1501" Type="http://schemas.openxmlformats.org/officeDocument/2006/relationships/hyperlink" Target="https://libvirt.org/formatdomain.html" TargetMode="External"/><Relationship Id="rId1502" Type="http://schemas.openxmlformats.org/officeDocument/2006/relationships/hyperlink" Target="https://libvirt.org/uri.html" TargetMode="External"/><Relationship Id="rId1503" Type="http://schemas.openxmlformats.org/officeDocument/2006/relationships/hyperlink" Target="https://wiki.libvirt.org/FAQ.html#what-is-the-difference-between-qemu-system-and-qemu-session-which-one-should-i-use" TargetMode="External"/><Relationship Id="rId1504" Type="http://schemas.openxmlformats.org/officeDocument/2006/relationships/hyperlink" Target="https://blog.wikichoon.com/2016/01/qemusystem-vs-qemusession.html" TargetMode="External"/><Relationship Id="rId1505" Type="http://schemas.openxmlformats.org/officeDocument/2006/relationships/hyperlink" Target="https://libvirt.org/migration.html#offline-migration" TargetMode="External"/><Relationship Id="rId1506" Type="http://schemas.openxmlformats.org/officeDocument/2006/relationships/hyperlink" Target="https://libvirt.org/migration.html" TargetMode="External"/><Relationship Id="rId1507" Type="http://schemas.openxmlformats.org/officeDocument/2006/relationships/hyperlink" Target="https://wiki.qemu.org/Features/PostCopyLiveMigration" TargetMode="External"/><Relationship Id="rId1508" Type="http://schemas.openxmlformats.org/officeDocument/2006/relationships/hyperlink" Target="https://wiki.ubuntu.com/QemuKVMMigration" TargetMode="External"/><Relationship Id="rId1509" Type="http://schemas.openxmlformats.org/officeDocument/2006/relationships/hyperlink" Target="https://libvirt.org/formatcaps.html#host-cpu-model-and-features" TargetMode="External"/><Relationship Id="rId1510" Type="http://schemas.openxmlformats.org/officeDocument/2006/relationships/hyperlink" Target="https://www.kernel.org/doc/Documentation/vfio.txt" TargetMode="External"/><Relationship Id="rId1511" Type="http://schemas.openxmlformats.org/officeDocument/2006/relationships/hyperlink" Target="https://wiki.debian.org/ppc64el" TargetMode="External"/><Relationship Id="rId1512" Type="http://schemas.openxmlformats.org/officeDocument/2006/relationships/hyperlink" Target="https://en.wikibooks.org/wiki/QEMU/Monitor" TargetMode="External"/><Relationship Id="rId1513" Type="http://schemas.openxmlformats.org/officeDocument/2006/relationships/hyperlink" Target="https://en.wikipedia.org/wiki/X86-64" TargetMode="External"/><Relationship Id="rId1514" Type="http://schemas.openxmlformats.org/officeDocument/2006/relationships/hyperlink" Target="https://en.wikipedia.org/wiki/64-bit_computing" TargetMode="External"/><Relationship Id="rId1515" Type="http://schemas.openxmlformats.org/officeDocument/2006/relationships/hyperlink" Target="https://en.wikipedia.org/wiki/32-bit_computing" TargetMode="External"/><Relationship Id="rId1516" Type="http://schemas.openxmlformats.org/officeDocument/2006/relationships/hyperlink" Target="https://en.wikipedia.org/wiki/Memory_address" TargetMode="External"/><Relationship Id="rId1517" Type="http://schemas.openxmlformats.org/officeDocument/2006/relationships/hyperlink" Target="https://en.wikipedia.org/wiki/Memory_management_unit" TargetMode="External"/><Relationship Id="rId1518" Type="http://schemas.openxmlformats.org/officeDocument/2006/relationships/hyperlink" Target="https://www.kernel.org/doc/html/next/admin-guide/mm/transhuge.html" TargetMode="External"/><Relationship Id="rId1519" Type="http://schemas.openxmlformats.org/officeDocument/2006/relationships/hyperlink" Target="https://www.kernel.org/doc/html/v5.4/admin-guide/kernel-parameters.html" TargetMode="External"/><Relationship Id="rId1520" Type="http://schemas.openxmlformats.org/officeDocument/2006/relationships/hyperlink" Target="https://www.kernel.org/doc/html/v5.4/vm/numa.html" TargetMode="External"/><Relationship Id="rId1521" Type="http://schemas.openxmlformats.org/officeDocument/2006/relationships/hyperlink" Target="https://www.kernel.org/doc/Documentation/vm/hugetlbpage.txt" TargetMode="External"/><Relationship Id="rId1522" Type="http://schemas.openxmlformats.org/officeDocument/2006/relationships/hyperlink" Target="https://linux.die.net/man/8/hugeadm" TargetMode="External"/><Relationship Id="rId1523" Type="http://schemas.openxmlformats.org/officeDocument/2006/relationships/hyperlink" Target="https://libvirt.org/formatdomain.html#memory-backing" TargetMode="External"/><Relationship Id="rId1524" Type="http://schemas.openxmlformats.org/officeDocument/2006/relationships/hyperlink" Target="https://bugs.launchpad.net/bugs/1776189" TargetMode="External"/><Relationship Id="rId1525" Type="http://schemas.openxmlformats.org/officeDocument/2006/relationships/hyperlink" Target="https://libvirt.org/formatdomain.html#cpu-model-and-topology" TargetMode="External"/><Relationship Id="rId1526" Type="http://schemas.openxmlformats.org/officeDocument/2006/relationships/hyperlink" Target="https://gitlab.com/apparmor/apparmor/-/wikis/Libvirt#implementation-overview" TargetMode="External"/><Relationship Id="rId1527" Type="http://schemas.openxmlformats.org/officeDocument/2006/relationships/hyperlink" Target="https://gitlab.com/apparmor/apparmor/-/wikis/FAQ#what-is-default-deny-allow-listing" TargetMode="External"/><Relationship Id="rId1528" Type="http://schemas.openxmlformats.org/officeDocument/2006/relationships/hyperlink" Target="https://libvirt.org/formatdomain.html#filesystems" TargetMode="External"/><Relationship Id="rId1529" Type="http://schemas.openxmlformats.org/officeDocument/2006/relationships/hyperlink" Target="https://libvirt.org/kbase/virtiofs.html" TargetMode="External"/><Relationship Id="rId1530" Type="http://schemas.openxmlformats.org/officeDocument/2006/relationships/hyperlink" Target="https://linux-kvm.org/page/Main_Page" TargetMode="External"/><Relationship Id="rId1531" Type="http://schemas.openxmlformats.org/officeDocument/2006/relationships/hyperlink" Target="https://libvirt.org/formatstorage.html" TargetMode="External"/><Relationship Id="rId1532" Type="http://schemas.openxmlformats.org/officeDocument/2006/relationships/hyperlink" Target="https://help.ubuntu.com/community/KVM" TargetMode="External"/><Relationship Id="rId1533" Type="http://schemas.openxmlformats.org/officeDocument/2006/relationships/hyperlink" Target="https://www.linux-kvm.org/page/How_to_assign_devices_with_VT-d_in_KVM#Assigning_the_device" TargetMode="External"/><Relationship Id="rId1534" Type="http://schemas.openxmlformats.org/officeDocument/2006/relationships/hyperlink" Target="https://www.youtube.com/watch?v=7aONIVSXiJ8" TargetMode="External"/><Relationship Id="rId1535" Type="http://schemas.openxmlformats.org/officeDocument/2006/relationships/hyperlink" Target="https://manpages.ubuntu.com/manpages/resolute/man1/virt-install.1.html" TargetMode="External"/><Relationship Id="rId1536" Type="http://schemas.openxmlformats.org/officeDocument/2006/relationships/hyperlink" Target="https://wiki.openstack.org/wiki/LibvirtXMLCPUModel" TargetMode="External"/><Relationship Id="rId1537" Type="http://schemas.openxmlformats.org/officeDocument/2006/relationships/hyperlink" Target="https://en.wikipedia.org/wiki/Hypervisor#Classification" TargetMode="External"/><Relationship Id="rId1538" Type="http://schemas.openxmlformats.org/officeDocument/2006/relationships/hyperlink" Target="https://learn.microsoft.com/windows/wsl/about" TargetMode="External"/><Relationship Id="rId1539" Type="http://schemas.openxmlformats.org/officeDocument/2006/relationships/hyperlink" Target="https://learn.microsoft.com/en-us/windows-server/virtualization/hyper-v/system-requirements-for-hyper-v-on-windows" TargetMode="External"/><Relationship Id="rId1540" Type="http://schemas.openxmlformats.org/officeDocument/2006/relationships/hyperlink" Target="https://support.microsoft.com/en-us/windows/upgrade-windows-home-to-windows-pro-ef34d520-e73f-3198-c525-d1a218cc2818" TargetMode="External"/><Relationship Id="rId1541" Type="http://schemas.openxmlformats.org/officeDocument/2006/relationships/hyperlink" Target="https://snapcraft.io/docker" TargetMode="External"/><Relationship Id="rId1542" Type="http://schemas.openxmlformats.org/officeDocument/2006/relationships/hyperlink" Target="https://docs.docker.com/engine/logging/configure/" TargetMode="External"/><Relationship Id="rId1543" Type="http://schemas.openxmlformats.org/officeDocument/2006/relationships/hyperlink" Target="https://documentation.ubuntu.com/rockcraft/latest/explanation/rocks/" TargetMode="External"/><Relationship Id="rId1544" Type="http://schemas.openxmlformats.org/officeDocument/2006/relationships/hyperlink" Target="https://docs.docker.com/reference/cli/docker/container/run/" TargetMode="External"/><Relationship Id="rId1545" Type="http://schemas.openxmlformats.org/officeDocument/2006/relationships/hyperlink" Target="https://hub.docker.com/r/ubuntu/grafana" TargetMode="External"/><Relationship Id="rId1546" Type="http://schemas.openxmlformats.org/officeDocument/2006/relationships/hyperlink" Target="https://hub.docker.com/r/ubuntu/prometheus" TargetMode="External"/><Relationship Id="rId1547" Type="http://schemas.openxmlformats.org/officeDocument/2006/relationships/hyperlink" Target="http://localhost:3000" TargetMode="External"/><Relationship Id="rId1548" Type="http://schemas.openxmlformats.org/officeDocument/2006/relationships/hyperlink" Target="http://prometheus:9090" TargetMode="External"/><Relationship Id="rId1549" Type="http://schemas.openxmlformats.org/officeDocument/2006/relationships/hyperlink" Target="https://canonical.com/microk8s/docs" TargetMode="External"/><Relationship Id="rId1550" Type="http://schemas.openxmlformats.org/officeDocument/2006/relationships/hyperlink" Target="https://linbit.com/linbit-software-download-page-for-linstor-and-drbd-linux-driver/" TargetMode="External"/><Relationship Id="rId1551" Type="http://schemas.openxmlformats.org/officeDocument/2006/relationships/hyperlink" Target="https://manpages.ubuntu.com/manpages/resolute/man5/drbd.conf.5.html" TargetMode="External"/><Relationship Id="rId1552" Type="http://schemas.openxmlformats.org/officeDocument/2006/relationships/hyperlink" Target="https://manpages.ubuntu.com/manpages/resolute/man8/drbdadm.8.html" TargetMode="External"/><Relationship Id="rId1553" Type="http://schemas.openxmlformats.org/officeDocument/2006/relationships/hyperlink" Target="https://charmhub.io/topics/canonical-observability-stack" TargetMode="External"/><Relationship Id="rId1554" Type="http://schemas.openxmlformats.org/officeDocument/2006/relationships/hyperlink" Target="https://documentation.ubuntu.com/observability/track-2/" TargetMode="External"/><Relationship Id="rId1555" Type="http://schemas.openxmlformats.org/officeDocument/2006/relationships/hyperlink" Target="https://documentation.ubuntu.com/observability/track-2/how-to/migrate-lma-to-cos-lite/" TargetMode="External"/><Relationship Id="rId1556" Type="http://schemas.openxmlformats.org/officeDocument/2006/relationships/hyperlink" Target="https://documentation.ubuntu.com/observability/track-2/how-to/integrating-cos-lite-with-uncharmed-applications/" TargetMode="External"/><Relationship Id="rId1557" Type="http://schemas.openxmlformats.org/officeDocument/2006/relationships/hyperlink" Target="https://snapcraft.io/opentelemetry-collector" TargetMode="External"/><Relationship Id="rId1558" Type="http://schemas.openxmlformats.org/officeDocument/2006/relationships/hyperlink" Target="https://charmhub.io/topics/canonical-observability-stack/" TargetMode="External"/><Relationship Id="rId1559" Type="http://schemas.openxmlformats.org/officeDocument/2006/relationships/hyperlink" Target="https://charmhub.io/topics/canonical-observability-stack/editions/lite" TargetMode="External"/><Relationship Id="rId1560" Type="http://schemas.openxmlformats.org/officeDocument/2006/relationships/hyperlink" Target="https://docs.influxdata.com/telegraf/v1/" TargetMode="External"/><Relationship Id="rId1561" Type="http://schemas.openxmlformats.org/officeDocument/2006/relationships/hyperlink" Target="https://prometheus.io/docs/introduction/overview/" TargetMode="External"/><Relationship Id="rId1562" Type="http://schemas.openxmlformats.org/officeDocument/2006/relationships/hyperlink" Target="https://grafana.com/docs/" TargetMode="External"/><Relationship Id="rId1563" Type="http://schemas.openxmlformats.org/officeDocument/2006/relationships/hyperlink" Target="https://prometheus.io/docs/alerting/latest/alertmanager/" TargetMode="External"/><Relationship Id="rId1564" Type="http://schemas.openxmlformats.org/officeDocument/2006/relationships/hyperlink" Target="https://sourceforge.net/projects/logwatch/" TargetMode="External"/><Relationship Id="rId1565" Type="http://schemas.openxmlformats.org/officeDocument/2006/relationships/hyperlink" Target="https://manpages.ubuntu.com/manpages/resolute/man8/logwatch.8.html" TargetMode="External"/><Relationship Id="rId1566" Type="http://schemas.openxmlformats.org/officeDocument/2006/relationships/hyperlink" Target="https://munin-monitoring.org/" TargetMode="External"/><Relationship Id="rId1567" Type="http://schemas.openxmlformats.org/officeDocument/2006/relationships/hyperlink" Target="https://munin.readthedocs.io/en/latest/" TargetMode="External"/><Relationship Id="rId1568" Type="http://schemas.openxmlformats.org/officeDocument/2006/relationships/hyperlink" Target="https://www.nagios.org/" TargetMode="External"/><Relationship Id="rId1569" Type="http://schemas.openxmlformats.org/officeDocument/2006/relationships/hyperlink" Target="https://assets.nagios.com/downloads/nagioscore/docs/nagioscore/3/en/toc.html" TargetMode="External"/><Relationship Id="rId1570" Type="http://schemas.openxmlformats.org/officeDocument/2006/relationships/hyperlink" Target="https://library.nagios.com/products/nagios-core/documentation/" TargetMode="External"/><Relationship Id="rId1571" Type="http://schemas.openxmlformats.org/officeDocument/2006/relationships/hyperlink" Target="https://www.nagios.org/about/propaganda/books-2/" TargetMode="External"/><Relationship Id="rId1572" Type="http://schemas.openxmlformats.org/officeDocument/2006/relationships/hyperlink" Target="https://help.ubuntu.com/community/Nagios3" TargetMode="External"/><Relationship Id="rId1573" Type="http://schemas.openxmlformats.org/officeDocument/2006/relationships/hyperlink" Target="https://www.nagios.org/documentation/" TargetMode="External"/><Relationship Id="rId1574" Type="http://schemas.openxmlformats.org/officeDocument/2006/relationships/hyperlink" Target="https://sourceware.org/elfutils/Debuginfod.html" TargetMode="External"/><Relationship Id="rId1575" Type="http://schemas.openxmlformats.org/officeDocument/2006/relationships/hyperlink" Target="https://www.sourceware.org/gdb/" TargetMode="External"/><Relationship Id="rId1576" Type="http://schemas.openxmlformats.org/officeDocument/2006/relationships/hyperlink" Target="https://wiki.ubuntu.com/Backtrace" TargetMode="External"/><Relationship Id="rId1577" Type="http://schemas.openxmlformats.org/officeDocument/2006/relationships/hyperlink" Target="https://wiki.ubuntu.com/Valgrind" TargetMode="External"/><Relationship Id="rId1578" Type="http://schemas.openxmlformats.org/officeDocument/2006/relationships/hyperlink" Target="https://help.ubuntu.com/community/Repositories/Ubuntu#Authentication_Tab" TargetMode="External"/><Relationship Id="rId1579" Type="http://schemas.openxmlformats.org/officeDocument/2006/relationships/hyperlink" Target="https://help.ubuntu.com/community/Repositories/Ubuntu#Adding_Other_Repositories" TargetMode="External"/><Relationship Id="rId1580" Type="http://schemas.openxmlformats.org/officeDocument/2006/relationships/hyperlink" Target="http://ddebs.ubuntu.com" TargetMode="External"/><Relationship Id="rId1581" Type="http://schemas.openxmlformats.org/officeDocument/2006/relationships/hyperlink" Target="https://www.kernel.org/doc/Documentation/kdump/kdump.txt" TargetMode="External"/><Relationship Id="rId1582" Type="http://schemas.openxmlformats.org/officeDocument/2006/relationships/hyperlink" Target="https://www.dedoimedo.com/computers/crash-analyze.html" TargetMode="External"/><Relationship Id="rId1583" Type="http://schemas.openxmlformats.org/officeDocument/2006/relationships/hyperlink" Target="https://ebpf.io/" TargetMode="External"/><Relationship Id="rId1584" Type="http://schemas.openxmlformats.org/officeDocument/2006/relationships/hyperlink" Target="https://discourse.ubuntu.com/t/spec-include-performance-tooling-in-ubuntu/43134" TargetMode="External"/><Relationship Id="rId1585" Type="http://schemas.openxmlformats.org/officeDocument/2006/relationships/hyperlink" Target="https://github.com/iovisor/bcc/issues/1033" TargetMode="External"/><Relationship Id="rId1586" Type="http://schemas.openxmlformats.org/officeDocument/2006/relationships/hyperlink" Target="https://www.youtube.com/live/byPpJW5l6pg?t=30314s" TargetMode="External"/><Relationship Id="rId1587" Type="http://schemas.openxmlformats.org/officeDocument/2006/relationships/hyperlink" Target="https://ebpf.io/what-is-ebpf/" TargetMode="External"/><Relationship Id="rId1588" Type="http://schemas.openxmlformats.org/officeDocument/2006/relationships/hyperlink" Target="https://docs.kernel.org/bpf/" TargetMode="External"/><Relationship Id="rId1589" Type="http://schemas.openxmlformats.org/officeDocument/2006/relationships/hyperlink" Target="https://ebpf.io/applications/" TargetMode="External"/><Relationship Id="rId1590" Type="http://schemas.openxmlformats.org/officeDocument/2006/relationships/hyperlink" Target="https://documentation.ubuntu.com/project/contributors/debugging/" TargetMode="External"/><Relationship Id="rId1591" Type="http://schemas.openxmlformats.org/officeDocument/2006/relationships/hyperlink" Target="https://docs.ansible.com/" TargetMode="External"/><Relationship Id="rId1592" Type="http://schemas.openxmlformats.org/officeDocument/2006/relationships/hyperlink" Target="https://docs.python.org/3/library/sqlite3.html#transaction-control" TargetMode="External"/><Relationship Id="rId1593" Type="http://schemas.openxmlformats.org/officeDocument/2006/relationships/hyperlink" Target="https://wiki.samba.org/index.php/Idmap_config_autorid" TargetMode="External"/><Relationship Id="rId1594" Type="http://schemas.openxmlformats.org/officeDocument/2006/relationships/hyperlink" Target="https://docs.aws.amazon.com/" TargetMode="External"/><Relationship Id="rId1595" Type="http://schemas.openxmlformats.org/officeDocument/2006/relationships/hyperlink" Target="https://datatracker.ietf.org/doc/html/rfc822" TargetMode="External"/><Relationship Id="rId1596" Type="http://schemas.openxmlformats.org/officeDocument/2006/relationships/hyperlink" Target="https://manpages.ubuntu.com/manpages/resolute/man5/deb822.5.html" TargetMode="External"/><Relationship Id="rId1597" Type="http://schemas.openxmlformats.org/officeDocument/2006/relationships/hyperlink" Target="https://datatracker.ietf.org/doc/html/rfc7858" TargetMode="External"/><Relationship Id="rId1598" Type="http://schemas.openxmlformats.org/officeDocument/2006/relationships/hyperlink" Target="https://datatracker.ietf.org/doc/html/rfc8484" TargetMode="External"/><Relationship Id="rId1599" Type="http://schemas.openxmlformats.org/officeDocument/2006/relationships/hyperlink" Target="https://en.wikipedia.org/wiki/National_Institute_of_Standards_and_Technology" TargetMode="External"/><Relationship Id="rId1600" Type="http://schemas.openxmlformats.org/officeDocument/2006/relationships/hyperlink" Target="https://dev.mysql.com/doc/refman/8.4/en/fulltext-search.html" TargetMode="External"/><Relationship Id="rId1601" Type="http://schemas.openxmlformats.org/officeDocument/2006/relationships/hyperlink" Target="https://manpages.ubuntu.com/manpages/resolute/man5/journald.conf.5.html" TargetMode="External"/><Relationship Id="rId1602" Type="http://schemas.openxmlformats.org/officeDocument/2006/relationships/hyperlink" Target="https://docs.docker.com/engine/logging/drivers/journald/" TargetMode="External"/><Relationship Id="rId1603" Type="http://schemas.openxmlformats.org/officeDocument/2006/relationships/hyperlink" Target="https://www.json.org/json-en.html" TargetMode="External"/><Relationship Id="rId1604" Type="http://schemas.openxmlformats.org/officeDocument/2006/relationships/hyperlink" Target="https://ubuntu.com/certified/servers" TargetMode="External"/><Relationship Id="rId1605" Type="http://schemas.openxmlformats.org/officeDocument/2006/relationships/hyperlink" Target="https://manpages.ubuntu.com/manpages/resolute/man1/tmux.1.html" TargetMode="External"/><Relationship Id="rId1606" Type="http://schemas.openxmlformats.org/officeDocument/2006/relationships/hyperlink" Target="https://documentation.ubuntu.com/pro-client/en/latest/explanations/motd_messages/" TargetMode="External"/><Relationship Id="rId1607" Type="http://schemas.openxmlformats.org/officeDocument/2006/relationships/hyperlink" Target="https://manpages.ubuntu.com/manpages/resolute/man5/update-motd.5.html" TargetMode="External"/><Relationship Id="rId1608" Type="http://schemas.openxmlformats.org/officeDocument/2006/relationships/hyperlink" Target="https://debaday.debian.net/2007/10/04/weather-check-weather-conditions-and-forecasts-on-the-command-line/" TargetMode="External"/><Relationship Id="rId1609" Type="http://schemas.openxmlformats.org/officeDocument/2006/relationships/hyperlink" Target="https://github.com/trifectatechfoundation/sudo-rs#differences-from-original-sudo" TargetMode="External"/><Relationship Id="rId1610" Type="http://schemas.openxmlformats.org/officeDocument/2006/relationships/hyperlink" Target="https://github.com/trifectatechfoundation/sudo-rs?tab=readme-ov-file#aim-of-the-project" TargetMode="External"/><Relationship Id="rId1611" Type="http://schemas.openxmlformats.org/officeDocument/2006/relationships/hyperlink" Target="https://github.com/trifectatechfoundation/sudo-rs/issues/1242" TargetMode="External"/><Relationship Id="rId1612" Type="http://schemas.openxmlformats.org/officeDocument/2006/relationships/hyperlink" Target="https://github.com/trifectatechfoundation/sudo-rs/issues/445" TargetMode="External"/><Relationship Id="rId1613" Type="http://schemas.openxmlformats.org/officeDocument/2006/relationships/hyperlink" Target="https://github.com/trifectatechfoundation/sudo-rs/issues/129" TargetMode="External"/><Relationship Id="rId1614" Type="http://schemas.openxmlformats.org/officeDocument/2006/relationships/hyperlink" Target="https://documentation.ubuntu.com/project/how-ubuntu-is-made/concepts/package-archive/#components" TargetMode="External"/><Relationship Id="rId1615" Type="http://schemas.openxmlformats.org/officeDocument/2006/relationships/hyperlink" Target="https://ubuntu.com/security/cves/about" TargetMode="External"/><Relationship Id="rId1616" Type="http://schemas.openxmlformats.org/officeDocument/2006/relationships/hyperlink" Target="https://documentation.ubuntu.com/security/security-updates/esm/" TargetMode="External"/><Relationship Id="rId1617" Type="http://schemas.openxmlformats.org/officeDocument/2006/relationships/hyperlink" Target="https://ubuntu.com/security/livepatch/docs" TargetMode="External"/><Relationship Id="rId1618" Type="http://schemas.openxmlformats.org/officeDocument/2006/relationships/hyperlink" Target="https://documentation.ubuntu.com/security/compliance/usg/" TargetMode="External"/><Relationship Id="rId1619" Type="http://schemas.openxmlformats.org/officeDocument/2006/relationships/hyperlink" Target="https://ubuntu.com/security/disclosure-policy" TargetMode="External"/><Relationship Id="rId1620" Type="http://schemas.openxmlformats.org/officeDocument/2006/relationships/hyperlink" Target="https://manpages.ubuntu.com/manpages/resolute/man8/unattended-upgrades.8.html" TargetMode="External"/><Relationship Id="rId1621" Type="http://schemas.openxmlformats.org/officeDocument/2006/relationships/hyperlink" Target="https://en.wikipedia.org/wiki/Principle_of_least_privilege" TargetMode="External"/><Relationship Id="rId1622" Type="http://schemas.openxmlformats.org/officeDocument/2006/relationships/hyperlink" Target="https://documentation.ubuntu.com/adsys/latest/" TargetMode="External"/><Relationship Id="rId1623" Type="http://schemas.openxmlformats.org/officeDocument/2006/relationships/hyperlink" Target="https://documentation.ubuntu.com/security/compliance/" TargetMode="External"/><Relationship Id="rId1624" Type="http://schemas.openxmlformats.org/officeDocument/2006/relationships/hyperlink" Target="http://web.mit.edu/Kerberos/" TargetMode="External"/><Relationship Id="rId1625" Type="http://schemas.openxmlformats.org/officeDocument/2006/relationships/hyperlink" Target="https://libera.chat/" TargetMode="External"/><Relationship Id="rId1626" Type="http://schemas.openxmlformats.org/officeDocument/2006/relationships/hyperlink" Target="http://techpubs.spinlocksolutions.com/dklar/kerberos.html" TargetMode="External"/><Relationship Id="rId1627" Type="http://schemas.openxmlformats.org/officeDocument/2006/relationships/hyperlink" Target="https://sssd.io/" TargetMode="External"/><Relationship Id="rId1628" Type="http://schemas.openxmlformats.org/officeDocument/2006/relationships/hyperlink" Target="https://bind9.readthedocs.io/en/latest/dnssec-guide.html#the-12-step-dnssec-validation-process-simplified" TargetMode="External"/><Relationship Id="rId1629" Type="http://schemas.openxmlformats.org/officeDocument/2006/relationships/hyperlink" Target="https://datatracker.ietf.org/doc/html/rfc3225" TargetMode="External"/><Relationship Id="rId1630" Type="http://schemas.openxmlformats.org/officeDocument/2006/relationships/hyperlink" Target="https://bugs.launchpad.net/bugs/2119652" TargetMode="External"/><Relationship Id="rId1631" Type="http://schemas.openxmlformats.org/officeDocument/2006/relationships/hyperlink" Target="https://lists.fedoraproject.org/archives/list/devel@lists.fedoraproject.org/message/AFHNUEHKC5KJVGBGSJBH2BMESUAGDF4H/" TargetMode="External"/><Relationship Id="rId1632" Type="http://schemas.openxmlformats.org/officeDocument/2006/relationships/hyperlink" Target="https://bugs.launchpad.net/bugs/2121483" TargetMode="External"/><Relationship Id="rId1633" Type="http://schemas.openxmlformats.org/officeDocument/2006/relationships/hyperlink" Target="https://lists.fedoraproject.org/archives/list/devel@lists.fedoraproject.org/message/P63RI3VBQ7NGL3AKMTR7PCVHVSCPYCLF/" TargetMode="External"/><Relationship Id="rId1634" Type="http://schemas.openxmlformats.org/officeDocument/2006/relationships/hyperlink" Target="https://internet.nl/test-connection/" TargetMode="External"/><Relationship Id="rId1635" Type="http://schemas.openxmlformats.org/officeDocument/2006/relationships/hyperlink" Target="https://wander.science/projects/dns/dnssec-resolver-test/" TargetMode="External"/><Relationship Id="rId1636" Type="http://schemas.openxmlformats.org/officeDocument/2006/relationships/hyperlink" Target="https://manpages.ubuntu.com/manpages/resolute/man5/resolv.conf.5.html" TargetMode="External"/><Relationship Id="rId1637" Type="http://schemas.openxmlformats.org/officeDocument/2006/relationships/hyperlink" Target="https://www.icann.org/resources/pages/dnssec-what-is-it-why-important-2019-03-05-en" TargetMode="External"/><Relationship Id="rId1638" Type="http://schemas.openxmlformats.org/officeDocument/2006/relationships/hyperlink" Target="https://dnsviz.net/" TargetMode="External"/><Relationship Id="rId1639" Type="http://schemas.openxmlformats.org/officeDocument/2006/relationships/hyperlink" Target="https://en.wikipedia.org/wiki/DNS-based_Authentication_of_Named_Entities" TargetMode="External"/><Relationship Id="rId1640" Type="http://schemas.openxmlformats.org/officeDocument/2006/relationships/hyperlink" Target="https://datatracker.ietf.org/doc/html/rfc4255" TargetMode="External"/><Relationship Id="rId1641" Type="http://schemas.openxmlformats.org/officeDocument/2006/relationships/hyperlink" Target="https://git.launchpad.net/ubuntu/+source/rclone/tree/debian/control?h=ubuntu/jammy-devel#n7" TargetMode="External"/><Relationship Id="rId1642" Type="http://schemas.openxmlformats.org/officeDocument/2006/relationships/hyperlink" Target="https://manpages.ubuntu.com/manpages/resolute/man5ssl/config.5ssl.html" TargetMode="External"/><Relationship Id="rId1643" Type="http://schemas.openxmlformats.org/officeDocument/2006/relationships/hyperlink" Target="https://manpages.ubuntu.com/manpages/resolute/man3/SSL_CTX_set_security_level.3.html" TargetMode="External"/><Relationship Id="rId1644" Type="http://schemas.openxmlformats.org/officeDocument/2006/relationships/hyperlink" Target="https://git.launchpad.net/ubuntu/+source/openssl/tree/debian/patches/tls1.2-min-seclevel2.patch?h=ubuntu/jammy-devel" TargetMode="External"/><Relationship Id="rId1645" Type="http://schemas.openxmlformats.org/officeDocument/2006/relationships/hyperlink" Target="https://git.launchpad.net/ubuntu/+source/openssl/tree/debian/rules?h=ubuntu/jammy-devel#n15" TargetMode="External"/><Relationship Id="rId1646" Type="http://schemas.openxmlformats.org/officeDocument/2006/relationships/hyperlink" Target="https://docs.openssl.org/3.0/man1/openssl-ciphers/" TargetMode="External"/><Relationship Id="rId1647" Type="http://schemas.openxmlformats.org/officeDocument/2006/relationships/hyperlink" Target="https://manpages.ubuntu.com/manpages/resolute/man3/SSL_CONF_cmd.3.html" TargetMode="External"/><Relationship Id="rId1648" Type="http://schemas.openxmlformats.org/officeDocument/2006/relationships/hyperlink" Target="https://www.openssl.org" TargetMode="External"/><Relationship Id="rId1649" Type="http://schemas.openxmlformats.org/officeDocument/2006/relationships/hyperlink" Target="https://docs.openssl.org/3.0/man3/SSL_CTX_set_security_level/" TargetMode="External"/><Relationship Id="rId1650" Type="http://schemas.openxmlformats.org/officeDocument/2006/relationships/hyperlink" Target="https://www.feistyduck.com/library/openssl-cookbook/online/openssl-command-line/understanding-security-levels.html" TargetMode="External"/><Relationship Id="rId1651" Type="http://schemas.openxmlformats.org/officeDocument/2006/relationships/hyperlink" Target="https://www.gnutls.org/manual/html_node/Disabling-algorithms-and-protocols.html" TargetMode="External"/><Relationship Id="rId1652" Type="http://schemas.openxmlformats.org/officeDocument/2006/relationships/hyperlink" Target="https://git.launchpad.net/ubuntu/+source/gnutls28/tree/debian/rules?h=ubuntu/jammy-devel#n38" TargetMode="External"/><Relationship Id="rId1653" Type="http://schemas.openxmlformats.org/officeDocument/2006/relationships/hyperlink" Target="https://gnutls.org/manual/html_node/Priority-Strings.html#tab_003aprio_002dkeywords" TargetMode="External"/><Relationship Id="rId1654" Type="http://schemas.openxmlformats.org/officeDocument/2006/relationships/hyperlink" Target="https://gnutls.org/manual/html_node/Selecting-cryptographic-key-sizes.html#tab_003akey_002dsizes" TargetMode="External"/><Relationship Id="rId1655" Type="http://schemas.openxmlformats.org/officeDocument/2006/relationships/hyperlink" Target="https://www.gnutls.org/manual/html_node/System_002dwide-configuration-of-the-library.html" TargetMode="External"/><Relationship Id="rId1656" Type="http://schemas.openxmlformats.org/officeDocument/2006/relationships/hyperlink" Target="https://gnutls.org/manual/html_node/Priority-Strings.html" TargetMode="External"/><Relationship Id="rId1657" Type="http://schemas.openxmlformats.org/officeDocument/2006/relationships/hyperlink" Target="https://gnutls.org/manual/html_node/gnutls_002dcli-Invocation.html" TargetMode="External"/><Relationship Id="rId1658" Type="http://schemas.openxmlformats.org/officeDocument/2006/relationships/hyperlink" Target="https://bugs.launchpad.net/bugs/2016303" TargetMode="External"/><Relationship Id="rId1659" Type="http://schemas.openxmlformats.org/officeDocument/2006/relationships/hyperlink" Target="https://manpages.ubuntu.com/manpages/resolute/man1/certutil.1.html" TargetMode="External"/><Relationship Id="rId1660" Type="http://schemas.openxmlformats.org/officeDocument/2006/relationships/hyperlink" Target="https://git.launchpad.net/ubuntu/+source/nss/tree/nss/lib/pk11wrap/pk11pars.c#n144" TargetMode="External"/><Relationship Id="rId1661" Type="http://schemas.openxmlformats.org/officeDocument/2006/relationships/hyperlink" Target="https://git.launchpad.net/ubuntu/+source/nss/tree/nss/tests/policy" TargetMode="External"/><Relationship Id="rId1662" Type="http://schemas.openxmlformats.org/officeDocument/2006/relationships/hyperlink" Target="https://git.launchpad.net/ubuntu/+source/nss/tree/nss/tests/ssl/sslpolicy.txt" TargetMode="External"/><Relationship Id="rId1663" Type="http://schemas.openxmlformats.org/officeDocument/2006/relationships/hyperlink" Target="https://git.launchpad.net/ubuntu/+source/openjdk-lts/tree/src/java.base/share/conf/security/java.security/#n520" TargetMode="External"/><Relationship Id="rId1664" Type="http://schemas.openxmlformats.org/officeDocument/2006/relationships/hyperlink" Target="https://docs.oracle.com/en/java/javase/11/docs/specs/security/standard-names.html" TargetMode="External"/><Relationship Id="rId1665" Type="http://schemas.openxmlformats.org/officeDocument/2006/relationships/hyperlink" Target="https://www.java.com/en/configure_crypto.html" TargetMode="External"/><Relationship Id="rId1666" Type="http://schemas.openxmlformats.org/officeDocument/2006/relationships/hyperlink" Target="https://docs.oracle.com/en/java/javase/12/docs/specs/security/standard-names.html" TargetMode="External"/><Relationship Id="rId1667" Type="http://schemas.openxmlformats.org/officeDocument/2006/relationships/hyperlink" Target="https://docs.oracle.com/en/java/javase/11/tools/keytool.html" TargetMode="External"/><Relationship Id="rId1668" Type="http://schemas.openxmlformats.org/officeDocument/2006/relationships/hyperlink" Target="https://git.launchpad.net/ubuntu/+source/openjdk-lts/tree/src/java.base/share/conf/security/java.security?h=applied/ubuntu/jammy-devel#n520" TargetMode="External"/><Relationship Id="rId1669" Type="http://schemas.openxmlformats.org/officeDocument/2006/relationships/hyperlink" Target="https://www.iana.org/assignments/dns-sec-alg-numbers/dns-sec-alg-numbers.xhtml" TargetMode="External"/><Relationship Id="rId1670" Type="http://schemas.openxmlformats.org/officeDocument/2006/relationships/hyperlink" Target="https://bind9.readthedocs.io/en/v9.18.14/dnssec-guide.html" TargetMode="External"/><Relationship Id="rId1671" Type="http://schemas.openxmlformats.org/officeDocument/2006/relationships/hyperlink" Target="https://bind9.readthedocs.io/en/v9.18.14/dnssec-guide.html#basic-dnssec-troubleshooting" TargetMode="External"/><Relationship Id="rId1672" Type="http://schemas.openxmlformats.org/officeDocument/2006/relationships/hyperlink" Target="https://git.launchpad.net/ubuntu/+source/openssh/tree/debian/patches/gssapi.patch" TargetMode="External"/><Relationship Id="rId1673" Type="http://schemas.openxmlformats.org/officeDocument/2006/relationships/hyperlink" Target="https://www.openssh.org/manual.html" TargetMode="External"/><Relationship Id="rId1674" Type="http://schemas.openxmlformats.org/officeDocument/2006/relationships/hyperlink" Target="https://manpages.ubuntu.com/manpages/resolute/man1/sslscan.1.html" TargetMode="External"/><Relationship Id="rId1675" Type="http://schemas.openxmlformats.org/officeDocument/2006/relationships/hyperlink" Target="https://manpages.ubuntu.com/manpages/resolute/man1/openssl-s_server.1.html" TargetMode="External"/><Relationship Id="rId1676" Type="http://schemas.openxmlformats.org/officeDocument/2006/relationships/hyperlink" Target="https://manpages.ubuntu.com/manpages/resolute/man1/openssl-s_client.1.html" TargetMode="External"/><Relationship Id="rId1677" Type="http://schemas.openxmlformats.org/officeDocument/2006/relationships/hyperlink" Target="https://badssl.com/" TargetMode="External"/><Relationship Id="rId1678" Type="http://schemas.openxmlformats.org/officeDocument/2006/relationships/hyperlink" Target="https://en.wikipedia.org/wiki/HTTPS" TargetMode="External"/><Relationship Id="rId1679" Type="http://schemas.openxmlformats.org/officeDocument/2006/relationships/hyperlink" Target="https://www.openssl.org/" TargetMode="External"/><Relationship Id="rId1680" Type="http://schemas.openxmlformats.org/officeDocument/2006/relationships/hyperlink" Target="https://manpages.ubuntu.com/manpages/resolute/man8/ip-route.8.html" TargetMode="External"/><Relationship Id="rId1681" Type="http://schemas.openxmlformats.org/officeDocument/2006/relationships/hyperlink" Target="https://manpages.ubuntu.com/manpages/resolute/man8/ip-address.8.html" TargetMode="External"/><Relationship Id="rId1682" Type="http://schemas.openxmlformats.org/officeDocument/2006/relationships/hyperlink" Target="https://manpages.ubuntu.com/manpages/resolute/man8/wg.8.html" TargetMode="External"/><Relationship Id="rId1683" Type="http://schemas.openxmlformats.org/officeDocument/2006/relationships/hyperlink" Target="https://www.wireguard.com/protocol/" TargetMode="External"/><Relationship Id="rId1684" Type="http://schemas.openxmlformats.org/officeDocument/2006/relationships/hyperlink" Target="https://www.wireguard.com" TargetMode="External"/><Relationship Id="rId1685" Type="http://schemas.openxmlformats.org/officeDocument/2006/relationships/hyperlink" Target="https://www.wireguard.com/quickstart/" TargetMode="External"/><Relationship Id="rId1686" Type="http://schemas.openxmlformats.org/officeDocument/2006/relationships/hyperlink" Target="https://tunnelblick.net" TargetMode="External"/><Relationship Id="rId1687" Type="http://schemas.openxmlformats.org/officeDocument/2006/relationships/hyperlink" Target="https://openvpn.net/as-docs/tutorials/tutorial--connect-with-macos.html" TargetMode="External"/><Relationship Id="rId1688" Type="http://schemas.openxmlformats.org/officeDocument/2006/relationships/hyperlink" Target="https://openvpn.net/vpn-server-resources/connecting-to-access-server-with-macos/" TargetMode="External"/><Relationship Id="rId1689" Type="http://schemas.openxmlformats.org/officeDocument/2006/relationships/hyperlink" Target="https://openvpn.net/community/" TargetMode="External"/><Relationship Id="rId1690" Type="http://schemas.openxmlformats.org/officeDocument/2006/relationships/hyperlink" Target="https://community.openvpn.net/openvpn/wiki/Easy_Windows_Guide" TargetMode="External"/><Relationship Id="rId1691" Type="http://schemas.openxmlformats.org/officeDocument/2006/relationships/hyperlink" Target="https://openvpn.net/" TargetMode="External"/><Relationship Id="rId1692" Type="http://schemas.openxmlformats.org/officeDocument/2006/relationships/hyperlink" Target="https://openvpn.net/community-docs/hardening-openvpn-security-178571.html" TargetMode="External"/><Relationship Id="rId1693" Type="http://schemas.openxmlformats.org/officeDocument/2006/relationships/hyperlink" Target="https://www.packtpub.com/en-us/product/openvpn-building-and-integrating-virtual-private-networks-9781847190680" TargetMode="External"/><Relationship Id="rId1694" Type="http://schemas.openxmlformats.org/officeDocument/2006/relationships/hyperlink" Target="https://netplan.io/" TargetMode="External"/><Relationship Id="rId1695" Type="http://schemas.openxmlformats.org/officeDocument/2006/relationships/hyperlink" Target="https://netplan.readthedocs.io/en/stable/netplan-yaml/" TargetMode="External"/><Relationship Id="rId1696" Type="http://schemas.openxmlformats.org/officeDocument/2006/relationships/hyperlink" Target="https://www.dpdk.org/" TargetMode="External"/><Relationship Id="rId1697" Type="http://schemas.openxmlformats.org/officeDocument/2006/relationships/hyperlink" Target="https://www.rfc-editor.org/rfc/rfc792" TargetMode="External"/><Relationship Id="rId1698" Type="http://schemas.openxmlformats.org/officeDocument/2006/relationships/hyperlink" Target="https://manpages.ubuntu.com/manpages/resolute/man7/ip.7.html" TargetMode="External"/><Relationship Id="rId1699" Type="http://schemas.openxmlformats.org/officeDocument/2006/relationships/hyperlink" Target="https://manpages.ubuntu.com/manpages/resolute/man7/tcp.7.html" TargetMode="External"/><Relationship Id="rId1700" Type="http://schemas.openxmlformats.org/officeDocument/2006/relationships/hyperlink" Target="https://www.redbooks.ibm.com/abstracts/gg243376.html" TargetMode="External"/><Relationship Id="rId1701" Type="http://schemas.openxmlformats.org/officeDocument/2006/relationships/hyperlink" Target="https://manpages.ubuntu.com/manpages/resolute/man5/netplan.5.html" TargetMode="External"/><Relationship Id="rId1702" Type="http://schemas.openxmlformats.org/officeDocument/2006/relationships/hyperlink" Target="https://netplan.readthedocs.io/en/stable/structure-id/" TargetMode="External"/><Relationship Id="rId1703" Type="http://schemas.openxmlformats.org/officeDocument/2006/relationships/hyperlink" Target="https://netplan.readthedocs.io/en/stable/howto/" TargetMode="External"/><Relationship Id="rId1704" Type="http://schemas.openxmlformats.org/officeDocument/2006/relationships/hyperlink" Target="https://manpages.ubuntu.com/manpages/resolute/man8/networkd-dispatcher.8.html" TargetMode="External"/><Relationship Id="rId1705" Type="http://schemas.openxmlformats.org/officeDocument/2006/relationships/hyperlink" Target="https://networkmanager.dev/docs/api/latest/" TargetMode="External"/><Relationship Id="rId1706" Type="http://schemas.openxmlformats.org/officeDocument/2006/relationships/hyperlink" Target="https://netplan.io/faq/" TargetMode="External"/><Relationship Id="rId1707" Type="http://schemas.openxmlformats.org/officeDocument/2006/relationships/hyperlink" Target="https://help.ubuntu.com/community/Network" TargetMode="External"/><Relationship Id="rId1708" Type="http://schemas.openxmlformats.org/officeDocument/2006/relationships/hyperlink" Target="https://netplan.io" TargetMode="External"/><Relationship Id="rId1709" Type="http://schemas.openxmlformats.org/officeDocument/2006/relationships/hyperlink" Target="https://netplan.readthedocs.io/en/stable/examples/" TargetMode="External"/><Relationship Id="rId1710" Type="http://schemas.openxmlformats.org/officeDocument/2006/relationships/hyperlink" Target="https://manpages.ubuntu.com/manpages/resolute/man8/systemd-resolved.8.html" TargetMode="External"/><Relationship Id="rId1711" Type="http://schemas.openxmlformats.org/officeDocument/2006/relationships/hyperlink" Target="https://netplan.readthedocs.io/en/stable/netplan-yaml/#properties-for-device-type-bridges" TargetMode="External"/><Relationship Id="rId1712" Type="http://schemas.openxmlformats.org/officeDocument/2006/relationships/hyperlink" Target="https://git.dpdk.org/dpdk/commit/?id=f27769f796a0639368117ce22fb124b6030dbf73" TargetMode="External"/><Relationship Id="rId1713" Type="http://schemas.openxmlformats.org/officeDocument/2006/relationships/hyperlink" Target="http://core.dpdk.org/supported/" TargetMode="External"/><Relationship Id="rId1714" Type="http://schemas.openxmlformats.org/officeDocument/2006/relationships/hyperlink" Target="https://people.freedesktop.org/~dbn/pkg-config-guide.html" TargetMode="External"/><Relationship Id="rId1715" Type="http://schemas.openxmlformats.org/officeDocument/2006/relationships/hyperlink" Target="https://github.com/openvswitch/ovs/blob/master/acinclude.m4#L283" TargetMode="External"/><Relationship Id="rId1716" Type="http://schemas.openxmlformats.org/officeDocument/2006/relationships/hyperlink" Target="http://core.dpdk.org/doc/" TargetMode="External"/><Relationship Id="rId1717" Type="http://schemas.openxmlformats.org/officeDocument/2006/relationships/hyperlink" Target="https://doc.dpdk.org/guides/rel_notes/release_2_2.html" TargetMode="External"/><Relationship Id="rId1718" Type="http://schemas.openxmlformats.org/officeDocument/2006/relationships/hyperlink" Target="https://doc.dpdk.org/guides/linux_gsg/index.html" TargetMode="External"/><Relationship Id="rId1719" Type="http://schemas.openxmlformats.org/officeDocument/2006/relationships/hyperlink" Target="https://doc.dpdk.org/guides/testpmd_app_ug/run_app.html" TargetMode="External"/><Relationship Id="rId1720" Type="http://schemas.openxmlformats.org/officeDocument/2006/relationships/hyperlink" Target="https://doc.dpdk.org/api/" TargetMode="External"/><Relationship Id="rId1721" Type="http://schemas.openxmlformats.org/officeDocument/2006/relationships/hyperlink" Target="https://help.ubuntu.com/community/isc-dhcp-server" TargetMode="External"/><Relationship Id="rId1722" Type="http://schemas.openxmlformats.org/officeDocument/2006/relationships/hyperlink" Target="https://www.samba.org/" TargetMode="External"/><Relationship Id="rId1723" Type="http://schemas.openxmlformats.org/officeDocument/2006/relationships/hyperlink" Target="https://learn.microsoft.com/en-us/windows-server/identity/ad-ds/manage/understand-security-identifiers" TargetMode="External"/><Relationship Id="rId1724" Type="http://schemas.openxmlformats.org/officeDocument/2006/relationships/hyperlink" Target="https://wiki.samba.org/index.php/Idmap_config_rid" TargetMode="External"/><Relationship Id="rId1725" Type="http://schemas.openxmlformats.org/officeDocument/2006/relationships/hyperlink" Target="https://manpages.ubuntu.com/manpages/resolute/man8/idmap_tdb.8.html" TargetMode="External"/><Relationship Id="rId1726" Type="http://schemas.openxmlformats.org/officeDocument/2006/relationships/hyperlink" Target="https://manpages.ubuntu.com/manpages/resolute/man1/wbinfo.1.html" TargetMode="External"/><Relationship Id="rId1727" Type="http://schemas.openxmlformats.org/officeDocument/2006/relationships/hyperlink" Target="https://www.debian.org/doc/debian-policy/ch-opersys.html#uid-and-gid-classes" TargetMode="External"/><Relationship Id="rId1728" Type="http://schemas.openxmlformats.org/officeDocument/2006/relationships/hyperlink" Target="https://snapcraft.io/store" TargetMode="External"/><Relationship Id="rId1729" Type="http://schemas.openxmlformats.org/officeDocument/2006/relationships/hyperlink" Target="https://wiki.debian.org/DebianRepository/UseThirdParty" TargetMode="External"/><Relationship Id="rId1730" Type="http://schemas.openxmlformats.org/officeDocument/2006/relationships/hyperlink" Target="https://www.debian.org/doc/manuals/debian-reference/ch02.en.html#_tweaking_candidate_version" TargetMode="External"/><Relationship Id="rId1731" Type="http://schemas.openxmlformats.org/officeDocument/2006/relationships/hyperlink" Target="https://systemd.io/" TargetMode="External"/><Relationship Id="rId1732" Type="http://schemas.openxmlformats.org/officeDocument/2006/relationships/hyperlink" Target="https://www.freedesktop.org/software/systemd/man/latest/systemd.service.html" TargetMode="External"/><Relationship Id="rId1733" Type="http://schemas.openxmlformats.org/officeDocument/2006/relationships/hyperlink" Target="https://ubuntu.com/tutorials/beginning-apparmor-profile-development" TargetMode="External"/><Relationship Id="rId1734" Type="http://schemas.openxmlformats.org/officeDocument/2006/relationships/hyperlink" Target="https://www.puppet.com/" TargetMode="External"/><Relationship Id="rId1735" Type="http://schemas.openxmlformats.org/officeDocument/2006/relationships/hyperlink" Target="https://en.wikipedia.org/wiki/Comparison_of_open-source_configuration_management_software" TargetMode="External"/><Relationship Id="rId1736" Type="http://schemas.openxmlformats.org/officeDocument/2006/relationships/hyperlink" Target="https://discourse.ubuntu.com/t/phased-updates-in-apt-in-21-04/20345" TargetMode="External"/><Relationship Id="rId1737" Type="http://schemas.openxmlformats.org/officeDocument/2006/relationships/hyperlink" Target="https://wiki.ubuntu.com/PhasedUpdates" TargetMode="External"/><Relationship Id="rId1738" Type="http://schemas.openxmlformats.org/officeDocument/2006/relationships/hyperlink" Target="https://ubuntu-archive-team.ubuntu.com/phased-updates.html" TargetMode="External"/><Relationship Id="rId1739" Type="http://schemas.openxmlformats.org/officeDocument/2006/relationships/hyperlink" Target="https://askubuntu.com/questions/1431940/what-are-phased-updates-and-why-does-ubuntu-use-them" TargetMode="External"/><Relationship Id="rId1740" Type="http://schemas.openxmlformats.org/officeDocument/2006/relationships/hyperlink" Target="https://creativecommons.org/licenses/by-sa/4.0/" TargetMode="External"/><Relationship Id="rId1741" Type="http://schemas.openxmlformats.org/officeDocument/2006/relationships/hyperlink" Target="https://wiki.ubuntu.com/ErrorTracker/PhasedUpdates" TargetMode="External"/><Relationship Id="rId1742" Type="http://schemas.openxmlformats.org/officeDocument/2006/relationships/hyperlink" Target="https://manpages.ubuntu.com/manpages/resolute/man5/apt_preferences.5.html" TargetMode="External"/><Relationship Id="rId1743" Type="http://schemas.openxmlformats.org/officeDocument/2006/relationships/hyperlink" Target="https://ubuntu-archive-team.ubuntu.com/pending-sru.html" TargetMode="External"/><Relationship Id="rId1744" Type="http://schemas.openxmlformats.org/officeDocument/2006/relationships/hyperlink" Target="https://wiki.ubuntu.com/Testing/EnableProposed" TargetMode="External"/><Relationship Id="rId1745" Type="http://schemas.openxmlformats.org/officeDocument/2006/relationships/hyperlink" Target="https://datatracker.ietf.org/doc/html/rfc4510" TargetMode="External"/><Relationship Id="rId1746" Type="http://schemas.openxmlformats.org/officeDocument/2006/relationships/hyperlink" Target="https://datatracker.ietf.org/doc/html/rfc2849" TargetMode="External"/><Relationship Id="rId1747" Type="http://schemas.openxmlformats.org/officeDocument/2006/relationships/hyperlink" Target="https://openldap.org/doc/admin25/" TargetMode="External"/><Relationship Id="rId1748" Type="http://schemas.openxmlformats.org/officeDocument/2006/relationships/hyperlink" Target="https://www.zytrax.com/books/ldap/" TargetMode="External"/><Relationship Id="rId1749" Type="http://schemas.openxmlformats.org/officeDocument/2006/relationships/hyperlink" Target="https://www.oreilly.com/library/view/ldap-system-administration/1565924916/" TargetMode="External"/><Relationship Id="rId1750" Type="http://schemas.openxmlformats.org/officeDocument/2006/relationships/hyperlink" Target="https://www.packtpub.com/en-us/product/mastering-openldap-configuring-securing-and-integrating-directory-services-9781847191038" TargetMode="External"/><Relationship Id="rId1751" Type="http://schemas.openxmlformats.org/officeDocument/2006/relationships/hyperlink" Target="https://en.wikipedia.org/wiki/Logical_volume_management" TargetMode="External"/><Relationship Id="rId1752" Type="http://schemas.openxmlformats.org/officeDocument/2006/relationships/hyperlink" Target="https://manpages.ubuntu.com/manpages/resolute/man5/multipath.conf.5.html" TargetMode="External"/><Relationship Id="rId1753" Type="http://schemas.openxmlformats.org/officeDocument/2006/relationships/hyperlink" Target="https://ubuntu.com/" TargetMode="External"/><Relationship Id="rId1754" Type="http://schemas.openxmlformats.org/officeDocument/2006/relationships/hyperlink" Target="https://ubuntu.com/community" TargetMode="External"/><Relationship Id="rId1755" Type="http://schemas.openxmlformats.org/officeDocument/2006/relationships/hyperlink" Target="https://www.w3.org/Protocols/rfc2616/rfc2616-sec6.html#sec6.1.1" TargetMode="External"/><Relationship Id="rId1756" Type="http://schemas.openxmlformats.org/officeDocument/2006/relationships/hyperlink" Target="https://www.qemu.org/" TargetMode="External"/><Relationship Id="rId1757" Type="http://schemas.openxmlformats.org/officeDocument/2006/relationships/hyperlink" Target="https://launchpad.net/uvtool" TargetMode="External"/><Relationship Id="rId1758" Type="http://schemas.openxmlformats.org/officeDocument/2006/relationships/hyperlink" Target="https://www.qemu.org/docs/master/system/i386/microvm.html" TargetMode="External"/><Relationship Id="rId1759" Type="http://schemas.openxmlformats.org/officeDocument/2006/relationships/hyperlink" Target="https://github.com/bonzini/qboot" TargetMode="External"/><Relationship Id="rId1760" Type="http://schemas.openxmlformats.org/officeDocument/2006/relationships/hyperlink" Target="https://github.com/SecureVirtualization/busybox" TargetMode="External"/><Relationship Id="rId1761" Type="http://schemas.openxmlformats.org/officeDocument/2006/relationships/hyperlink" Target="https://katacontainers.io/" TargetMode="External"/><Relationship Id="rId1762" Type="http://schemas.openxmlformats.org/officeDocument/2006/relationships/hyperlink" Target="https://firecracker-microvm.github.io/" TargetMode="External"/><Relationship Id="rId1763" Type="http://schemas.openxmlformats.org/officeDocument/2006/relationships/hyperlink" Target="https://github.com/ottomatica/slim" TargetMode="External"/><Relationship Id="rId1764" Type="http://schemas.openxmlformats.org/officeDocument/2006/relationships/hyperlink" Target="https://github.com/containers/krunvm" TargetMode="External"/><Relationship Id="rId1765" Type="http://schemas.openxmlformats.org/officeDocument/2006/relationships/hyperlink" Target="https://documentation.ubuntu.com/rockcraft/stable/tutorial/chisel/" TargetMode="External"/><Relationship Id="rId1766" Type="http://schemas.openxmlformats.org/officeDocument/2006/relationships/hyperlink" Target="https://github.com/opencontainers/image-spec/blob/main/spec.md" TargetMode="External"/><Relationship Id="rId1767" Type="http://schemas.openxmlformats.org/officeDocument/2006/relationships/hyperlink" Target="https://www.seabios.org" TargetMode="External"/><Relationship Id="rId1768" Type="http://schemas.openxmlformats.org/officeDocument/2006/relationships/hyperlink" Target="https://github.com/tianocore/edk2" TargetMode="External"/><Relationship Id="rId1769" Type="http://schemas.openxmlformats.org/officeDocument/2006/relationships/hyperlink" Target="https://github.com/qemu/qemu/blob/master/docs/system/i386/microvm.rst" TargetMode="External"/><Relationship Id="rId1770" Type="http://schemas.openxmlformats.org/officeDocument/2006/relationships/hyperlink" Target="https://github.com/qemu/qemu/blob/master/docs/system/i386/microvm.rst#running-a-microvm-based-vm" TargetMode="External"/><Relationship Id="rId1771" Type="http://schemas.openxmlformats.org/officeDocument/2006/relationships/hyperlink" Target="https://bugs.launchpad.net/bugs/2074073" TargetMode="External"/><Relationship Id="rId1772" Type="http://schemas.openxmlformats.org/officeDocument/2006/relationships/hyperlink" Target="https://wiki.ubuntu.com/QemuKVMMigration#Upgrade_machine_type" TargetMode="External"/><Relationship Id="rId1773" Type="http://schemas.openxmlformats.org/officeDocument/2006/relationships/hyperlink" Target="https://linuxcontainers.org/" TargetMode="External"/><Relationship Id="rId1774" Type="http://schemas.openxmlformats.org/officeDocument/2006/relationships/hyperlink" Target="https://linuxcontainers.org/lxc/introduction/" TargetMode="External"/><Relationship Id="rId1775" Type="http://schemas.openxmlformats.org/officeDocument/2006/relationships/hyperlink" Target="https://linuxcontainers.org/lxc/getting-started/" TargetMode="External"/><Relationship Id="rId1776" Type="http://schemas.openxmlformats.org/officeDocument/2006/relationships/hyperlink" Target="https://documentation.ubuntu.com/lxd/latest/tutorial/" TargetMode="External"/><Relationship Id="rId1777" Type="http://schemas.openxmlformats.org/officeDocument/2006/relationships/hyperlink" Target="https://documentation.ubuntu.com/lxd/latest/howto/instances_create/#create-a-virtual-machine" TargetMode="External"/><Relationship Id="rId1778" Type="http://schemas.openxmlformats.org/officeDocument/2006/relationships/hyperlink" Target="https://opencontainers.org/" TargetMode="External"/><Relationship Id="rId1779" Type="http://schemas.openxmlformats.org/officeDocument/2006/relationships/hyperlink" Target="https://documentation.ubuntu.com/rockcraft/latest/explanation/rockcraft/" TargetMode="External"/><Relationship Id="rId1780" Type="http://schemas.openxmlformats.org/officeDocument/2006/relationships/hyperlink" Target="https://documentation.ubuntu.com/rockcraft/latest/explanation/chisel/" TargetMode="External"/><Relationship Id="rId1781" Type="http://schemas.openxmlformats.org/officeDocument/2006/relationships/hyperlink" Target="https://documentation.ubuntu.com/rockcraft/latest/" TargetMode="External"/><Relationship Id="rId1782" Type="http://schemas.openxmlformats.org/officeDocument/2006/relationships/hyperlink" Target="https://docs.docker.com/engine/storage/tmpfs/#options-for---tmpfs" TargetMode="External"/><Relationship Id="rId1783" Type="http://schemas.openxmlformats.org/officeDocument/2006/relationships/hyperlink" Target="https://docs.docker.com/engine/storage/drivers/#images-and-layers" TargetMode="External"/><Relationship Id="rId1784" Type="http://schemas.openxmlformats.org/officeDocument/2006/relationships/hyperlink" Target="https://docs.docker.com/engine/storage/drivers/" TargetMode="External"/><Relationship Id="rId1785" Type="http://schemas.openxmlformats.org/officeDocument/2006/relationships/hyperlink" Target="https://www.rapid7.com/products/siem/" TargetMode="External"/><Relationship Id="rId1786" Type="http://schemas.openxmlformats.org/officeDocument/2006/relationships/hyperlink" Target="https://graylog.org/" TargetMode="External"/><Relationship Id="rId1787" Type="http://schemas.openxmlformats.org/officeDocument/2006/relationships/hyperlink" Target="https://www.elastic.co/logstash" TargetMode="External"/><Relationship Id="rId1788" Type="http://schemas.openxmlformats.org/officeDocument/2006/relationships/hyperlink" Target="https://www.fluentd.org" TargetMode="External"/><Relationship Id="rId1789" Type="http://schemas.openxmlformats.org/officeDocument/2006/relationships/hyperlink" Target="https://aws.amazon.com/cloudwatch/features/" TargetMode="External"/><Relationship Id="rId1790" Type="http://schemas.openxmlformats.org/officeDocument/2006/relationships/hyperlink" Target="https://docs.cloud.google.com/logging/docs" TargetMode="External"/><Relationship Id="rId1791" Type="http://schemas.openxmlformats.org/officeDocument/2006/relationships/hyperlink" Target="https://dev.splunk.com/enterprise/docs/devtools/httpeventcollector/" TargetMode="External"/><Relationship Id="rId1792" Type="http://schemas.openxmlformats.org/officeDocument/2006/relationships/hyperlink" Target="https://www.openstack.org/software/project-navigator/openstack-components#openstack-services" TargetMode="External"/><Relationship Id="rId1793" Type="http://schemas.openxmlformats.org/officeDocument/2006/relationships/hyperlink" Target="https://canonical-openstack.readthedocs-hosted.com/en/latest/tutorial/get-started-with-openstack/" TargetMode="External"/><Relationship Id="rId1794" Type="http://schemas.openxmlformats.org/officeDocument/2006/relationships/hyperlink" Target="https://docs.openstack.org/project-deploy-guide/charm-deployment-guide/latest/" TargetMode="External"/><Relationship Id="rId1795" Type="http://schemas.openxmlformats.org/officeDocument/2006/relationships/hyperlink" Target="https://docs.openstack.org/project-deploy-guide/openstack-ansible/latest/" TargetMode="External"/><Relationship Id="rId1796" Type="http://schemas.openxmlformats.org/officeDocument/2006/relationships/hyperlink" Target="https://docs.openstack.org/install-guide/" TargetMode="External"/><Relationship Id="rId1797" Type="http://schemas.openxmlformats.org/officeDocument/2006/relationships/hyperlink" Target="https://docs.openstack.org/devstack/latest/" TargetMode="External"/><Relationship Id="rId1798" Type="http://schemas.openxmlformats.org/officeDocument/2006/relationships/hyperlink" Target="https://docs.cloud-init.io/en/latest/" TargetMode="External"/><Relationship Id="rId1799" Type="http://schemas.openxmlformats.org/officeDocument/2006/relationships/hyperlink" Target="https://docs.cloud-init.io/en/latest/reference/datasources.html" TargetMode="External"/><Relationship Id="rId1800" Type="http://schemas.openxmlformats.org/officeDocument/2006/relationships/hyperlink" Target="https://docs.cloud-init.io/en/latest/tutorial/index.html" TargetMode="External"/><Relationship Id="rId1801" Type="http://schemas.openxmlformats.org/officeDocument/2006/relationships/hyperlink" Target="https://documentation.ubuntu.com/public-cloud/" TargetMode="External"/><Relationship Id="rId1802" Type="http://schemas.openxmlformats.org/officeDocument/2006/relationships/hyperlink" Target="https://documentation.ubuntu.com/aws/aws-how-to/instances/find-ubuntu-images/" TargetMode="External"/><Relationship Id="rId1803" Type="http://schemas.openxmlformats.org/officeDocument/2006/relationships/hyperlink" Target="https://documentation.ubuntu.com/azure/azure-how-to/instances/find-ubuntu-images/" TargetMode="External"/><Relationship Id="rId1804" Type="http://schemas.openxmlformats.org/officeDocument/2006/relationships/hyperlink" Target="https://documentation.ubuntu.com/gcp/google-how-to/gce/find-ubuntu-images/" TargetMode="External"/><Relationship Id="rId1805" Type="http://schemas.openxmlformats.org/officeDocument/2006/relationships/hyperlink" Target="https://cloud-images.ubuntu.com" TargetMode="External"/><Relationship Id="rId1806" Type="http://schemas.openxmlformats.org/officeDocument/2006/relationships/hyperlink" Target="https://canonical-ibm.readthedocs-hosted.com/ibm-how-to/find-ubuntu-images/" TargetMode="External"/><Relationship Id="rId1807" Type="http://schemas.openxmlformats.org/officeDocument/2006/relationships/hyperlink" Target="https://documentation.ubuntu.com/oracle/oracle-how-to/find-ubuntu-images/" TargetMode="External"/><Relationship Id="rId1808" Type="http://schemas.openxmlformats.org/officeDocument/2006/relationships/hyperlink" Target="https://cloud-images.ubuntu.com/docs/aws/eks/" TargetMode="External"/><Relationship Id="rId1809" Type="http://schemas.openxmlformats.org/officeDocument/2006/relationships/hyperlink" Target="https://docs.cloud.google.com/kubernetes-engine/docs/release-schedule#schedule-for-release-channels" TargetMode="External"/><Relationship Id="rId1810" Type="http://schemas.openxmlformats.org/officeDocument/2006/relationships/hyperlink" Target="https://en.wikipedia.org/wiki/High-availability_cluster" TargetMode="External"/><Relationship Id="rId1811" Type="http://schemas.openxmlformats.org/officeDocument/2006/relationships/hyperlink" Target="https://en.wikipedia.org/wiki/Computer" TargetMode="External"/><Relationship Id="rId1812" Type="http://schemas.openxmlformats.org/officeDocument/2006/relationships/hyperlink" Target="https://en.wikipedia.org/wiki/Server_(computing)" TargetMode="External"/><Relationship Id="rId1813" Type="http://schemas.openxmlformats.org/officeDocument/2006/relationships/hyperlink" Target="https://en.wikipedia.org/wiki/Application_software" TargetMode="External"/><Relationship Id="rId1814" Type="http://schemas.openxmlformats.org/officeDocument/2006/relationships/hyperlink" Target="https://en.wikipedia.org/wiki/High_availability" TargetMode="External"/><Relationship Id="rId1815" Type="http://schemas.openxmlformats.org/officeDocument/2006/relationships/hyperlink" Target="https://en.wikipedia.org/wiki/Redundancy_(engineering)" TargetMode="External"/><Relationship Id="rId1816" Type="http://schemas.openxmlformats.org/officeDocument/2006/relationships/hyperlink" Target="https://en.wikipedia.org/wiki/High_availability_software" TargetMode="External"/><Relationship Id="rId1817" Type="http://schemas.openxmlformats.org/officeDocument/2006/relationships/hyperlink" Target="https://en.wikipedia.org/wiki/Computer_cluster" TargetMode="External"/><Relationship Id="rId1818" Type="http://schemas.openxmlformats.org/officeDocument/2006/relationships/hyperlink" Target="https://en.wikipedia.org/wiki/Failover" TargetMode="External"/><Relationship Id="rId1819" Type="http://schemas.openxmlformats.org/officeDocument/2006/relationships/hyperlink" Target="https://en.wikipedia.org/wiki/Database_management_system" TargetMode="External"/><Relationship Id="rId1820" Type="http://schemas.openxmlformats.org/officeDocument/2006/relationships/hyperlink" Target="https://en.wikipedia.org/wiki/Electronic_commerce" TargetMode="External"/><Relationship Id="rId1821" Type="http://schemas.openxmlformats.org/officeDocument/2006/relationships/hyperlink" Target="https://en.wikipedia.org/wiki/Websites" TargetMode="External"/><Relationship Id="rId1822" Type="http://schemas.openxmlformats.org/officeDocument/2006/relationships/hyperlink" Target="https://en.wikipedia.org/wiki/Heartbeat_(computing)" TargetMode="External"/><Relationship Id="rId1823" Type="http://schemas.openxmlformats.org/officeDocument/2006/relationships/hyperlink" Target="https://en.wikipedia.org/wiki/Split-brain_(computing)" TargetMode="External"/><Relationship Id="rId1824" Type="http://schemas.openxmlformats.org/officeDocument/2006/relationships/hyperlink" Target="https://en.wikipedia.org/wiki/Quorum_(distributed_computing)" TargetMode="External"/><Relationship Id="rId1825" Type="http://schemas.openxmlformats.org/officeDocument/2006/relationships/hyperlink" Target="https://launchpad.net/ubuntu/+source/libqb" TargetMode="External"/><Relationship Id="rId1826" Type="http://schemas.openxmlformats.org/officeDocument/2006/relationships/hyperlink" Target="http://clusterlabs.github.io/libqb/" TargetMode="External"/><Relationship Id="rId1827" Type="http://schemas.openxmlformats.org/officeDocument/2006/relationships/hyperlink" Target="https://launchpad.net/ubuntu/+source/kronosnet" TargetMode="External"/><Relationship Id="rId1828" Type="http://schemas.openxmlformats.org/officeDocument/2006/relationships/hyperlink" Target="https://kronosnet.org/" TargetMode="External"/><Relationship Id="rId1829" Type="http://schemas.openxmlformats.org/officeDocument/2006/relationships/hyperlink" Target="https://launchpad.net/ubuntu/+source/corosync" TargetMode="External"/><Relationship Id="rId1830" Type="http://schemas.openxmlformats.org/officeDocument/2006/relationships/hyperlink" Target="http://corosync.github.io/corosync/" TargetMode="External"/><Relationship Id="rId1831" Type="http://schemas.openxmlformats.org/officeDocument/2006/relationships/hyperlink" Target="https://launchpad.net/ubuntu/+source/pacemaker" TargetMode="External"/><Relationship Id="rId1832" Type="http://schemas.openxmlformats.org/officeDocument/2006/relationships/hyperlink" Target="https://clusterlabs.org/projects/pacemaker/" TargetMode="External"/><Relationship Id="rId1833" Type="http://schemas.openxmlformats.org/officeDocument/2006/relationships/hyperlink" Target="https://launchpad.net/ubuntu/+source/resource-agents" TargetMode="External"/><Relationship Id="rId1834" Type="http://schemas.openxmlformats.org/officeDocument/2006/relationships/hyperlink" Target="https://github.com/ClusterLabs/resource-agents" TargetMode="External"/><Relationship Id="rId1835" Type="http://schemas.openxmlformats.org/officeDocument/2006/relationships/hyperlink" Target="https://launchpad.net/ubuntu/+source/fence-agents" TargetMode="External"/><Relationship Id="rId1836" Type="http://schemas.openxmlformats.org/officeDocument/2006/relationships/hyperlink" Target="https://github.com/ClusterLabs/fence-agents" TargetMode="External"/><Relationship Id="rId1837" Type="http://schemas.openxmlformats.org/officeDocument/2006/relationships/hyperlink" Target="https://github.com/ClusterLabs/crmsh" TargetMode="External"/><Relationship Id="rId1838" Type="http://schemas.openxmlformats.org/officeDocument/2006/relationships/hyperlink" Target="https://launchpad.net/ubuntu/+source/crmsh" TargetMode="External"/><Relationship Id="rId1839" Type="http://schemas.openxmlformats.org/officeDocument/2006/relationships/hyperlink" Target="https://github.com/ClusterLabs/pcs/" TargetMode="External"/><Relationship Id="rId1840" Type="http://schemas.openxmlformats.org/officeDocument/2006/relationships/hyperlink" Target="https://launchpad.net/ubuntu/+source/pcs" TargetMode="External"/><Relationship Id="rId1841" Type="http://schemas.openxmlformats.org/officeDocument/2006/relationships/hyperlink" Target="https://launchpad.net/ubuntu/+source/cluster-glue" TargetMode="External"/><Relationship Id="rId1842" Type="http://schemas.openxmlformats.org/officeDocument/2006/relationships/hyperlink" Target="https://github.com/ClusterLabs/cluster-glue" TargetMode="External"/><Relationship Id="rId1843" Type="http://schemas.openxmlformats.org/officeDocument/2006/relationships/hyperlink" Target="https://launchpad.net/ubuntu/+source/drbd-utils" TargetMode="External"/><Relationship Id="rId1844" Type="http://schemas.openxmlformats.org/officeDocument/2006/relationships/hyperlink" Target="https://linbit.com/drbd/" TargetMode="External"/><Relationship Id="rId1845" Type="http://schemas.openxmlformats.org/officeDocument/2006/relationships/hyperlink" Target="https://launchpad.net/ubuntu/+source/dlm" TargetMode="External"/><Relationship Id="rId1846" Type="http://schemas.openxmlformats.org/officeDocument/2006/relationships/hyperlink" Target="https://pagure.io/dlm" TargetMode="External"/><Relationship Id="rId1847" Type="http://schemas.openxmlformats.org/officeDocument/2006/relationships/hyperlink" Target="https://launchpad.net/ubuntu/+source/gfs2-utils" TargetMode="External"/><Relationship Id="rId1848" Type="http://schemas.openxmlformats.org/officeDocument/2006/relationships/hyperlink" Target="https://pagure.io/gfs2-utils" TargetMode="External"/><Relationship Id="rId1849" Type="http://schemas.openxmlformats.org/officeDocument/2006/relationships/hyperlink" Target="https://launchpad.net/ubuntu/+source/keepalived" TargetMode="External"/><Relationship Id="rId1850" Type="http://schemas.openxmlformats.org/officeDocument/2006/relationships/hyperlink" Target="https://www.keepalived.org/" TargetMode="External"/><Relationship Id="rId1851" Type="http://schemas.openxmlformats.org/officeDocument/2006/relationships/hyperlink" Target="https://discourse.ubuntu.com/t/corosync-and-redundant-rings/11627" TargetMode="External"/><Relationship Id="rId1852" Type="http://schemas.openxmlformats.org/officeDocument/2006/relationships/hyperlink" Target="https://en.wikipedia.org/wiki/Distributed_Replicated_Block_Device" TargetMode="External"/><Relationship Id="rId1853" Type="http://schemas.openxmlformats.org/officeDocument/2006/relationships/hyperlink" Target="http://www.linux-vs.org/" TargetMode="External"/><Relationship Id="rId1854" Type="http://schemas.openxmlformats.org/officeDocument/2006/relationships/hyperlink" Target="https://datatracker.ietf.org/wg/vrrp/documents/" TargetMode="External"/><Relationship Id="rId1855" Type="http://schemas.openxmlformats.org/officeDocument/2006/relationships/hyperlink" Target="https://github.com/ClusterLabs/pcs" TargetMode="External"/><Relationship Id="rId1856" Type="http://schemas.openxmlformats.org/officeDocument/2006/relationships/hyperlink" Target="https://launchpad.net/ubuntu/+source/csync2" TargetMode="External"/><Relationship Id="rId1857" Type="http://schemas.openxmlformats.org/officeDocument/2006/relationships/hyperlink" Target="https://github.com/LINBIT/csync2" TargetMode="External"/><Relationship Id="rId1858" Type="http://schemas.openxmlformats.org/officeDocument/2006/relationships/hyperlink" Target="https://launchpad.net/ubuntu/+source/corosync-qdevice" TargetMode="External"/><Relationship Id="rId1859" Type="http://schemas.openxmlformats.org/officeDocument/2006/relationships/hyperlink" Target="https://github.com/corosync/corosync-qdevice" TargetMode="External"/><Relationship Id="rId1860" Type="http://schemas.openxmlformats.org/officeDocument/2006/relationships/hyperlink" Target="https://launchpad.net/ubuntu/+source/fence-virt" TargetMode="External"/><Relationship Id="rId1861" Type="http://schemas.openxmlformats.org/officeDocument/2006/relationships/hyperlink" Target="https://github.com/ClusterLabs/fence-virt" TargetMode="External"/><Relationship Id="rId1862" Type="http://schemas.openxmlformats.org/officeDocument/2006/relationships/hyperlink" Target="https://launchpad.net/ubuntu/+source/sbd" TargetMode="External"/><Relationship Id="rId1863" Type="http://schemas.openxmlformats.org/officeDocument/2006/relationships/hyperlink" Target="https://github.com/ClusterLabs/sbd" TargetMode="External"/><Relationship Id="rId1864" Type="http://schemas.openxmlformats.org/officeDocument/2006/relationships/hyperlink" Target="https://launchpad.net/ubuntu/+source/booth" TargetMode="External"/><Relationship Id="rId1865" Type="http://schemas.openxmlformats.org/officeDocument/2006/relationships/hyperlink" Target="https://github.com/ClusterLabs/booth" TargetMode="External"/><Relationship Id="rId1866" Type="http://schemas.openxmlformats.org/officeDocument/2006/relationships/hyperlink" Target="https://github.com/markfasheh/ocfs2-tools" TargetMode="External"/><Relationship Id="rId1867" Type="http://schemas.openxmlformats.org/officeDocument/2006/relationships/hyperlink" Target="https://launchpad.net/ubuntu/+source/ocfs2-tools" TargetMode="External"/><Relationship Id="rId1868" Type="http://schemas.openxmlformats.org/officeDocument/2006/relationships/hyperlink" Target="https://launchpad.net/ubuntu/+source/multipath-tools" TargetMode="External"/><Relationship Id="rId1869" Type="http://schemas.openxmlformats.org/officeDocument/2006/relationships/hyperlink" Target="https://github.com/opensvc/multipath-tools" TargetMode="External"/><Relationship Id="rId1870" Type="http://schemas.openxmlformats.org/officeDocument/2006/relationships/hyperlink" Target="https://launchpad.net/ubuntu/+source/open-iscsi" TargetMode="External"/><Relationship Id="rId1871" Type="http://schemas.openxmlformats.org/officeDocument/2006/relationships/hyperlink" Target="https://github.com/open-iscsi/open-iscsi" TargetMode="External"/><Relationship Id="rId1872" Type="http://schemas.openxmlformats.org/officeDocument/2006/relationships/hyperlink" Target="https://launchpad.net/ubuntu/+source/sg3-utils" TargetMode="External"/><Relationship Id="rId1873" Type="http://schemas.openxmlformats.org/officeDocument/2006/relationships/hyperlink" Target="http://sg.danny.cz/sg/sg3_utils.html" TargetMode="External"/><Relationship Id="rId1874" Type="http://schemas.openxmlformats.org/officeDocument/2006/relationships/hyperlink" Target="https://launchpad.net/ubuntu/+source/tgt" TargetMode="External"/><Relationship Id="rId1875" Type="http://schemas.openxmlformats.org/officeDocument/2006/relationships/hyperlink" Target="https://github.com/fujita/tgt" TargetMode="External"/><Relationship Id="rId1876" Type="http://schemas.openxmlformats.org/officeDocument/2006/relationships/hyperlink" Target="https://launchpad.net/ubuntu/+source/lvm2" TargetMode="External"/><Relationship Id="rId1877" Type="http://schemas.openxmlformats.org/officeDocument/2006/relationships/hyperlink" Target="https://sourceware.org/lvm2/" TargetMode="External"/><Relationship Id="rId1878" Type="http://schemas.openxmlformats.org/officeDocument/2006/relationships/hyperlink" Target="https://manpages.ubuntu.com/manpages/resolute/man8/lvmlockd.8.html" TargetMode="External"/><Relationship Id="rId1879" Type="http://schemas.openxmlformats.org/officeDocument/2006/relationships/hyperlink" Target="https://clusterlabs.org/projects/pacemaker/doc/3.0/Clusters_from_Scratch/html/" TargetMode="External"/><Relationship Id="rId1880" Type="http://schemas.openxmlformats.org/officeDocument/2006/relationships/hyperlink" Target="https://clusterlabs.org/projects/pacemaker/doc/3.0/Pacemaker_Administration/html/" TargetMode="External"/><Relationship Id="rId1881" Type="http://schemas.openxmlformats.org/officeDocument/2006/relationships/hyperlink" Target="https://clusterlabs.org/projects/pacemaker/doc/3.0/Pacemaker_Explained/html/" TargetMode="External"/><Relationship Id="rId1882" Type="http://schemas.openxmlformats.org/officeDocument/2006/relationships/hyperlink" Target="https://discourse.ubuntu.com/t/ubuntu-high-availability-corosync-pacemaker-shared-disk-environments/14874" TargetMode="External"/><Relationship Id="rId1883" Type="http://schemas.openxmlformats.org/officeDocument/2006/relationships/hyperlink" Target="https://clusterlabs.org/" TargetMode="External"/><Relationship Id="rId1884" Type="http://schemas.openxmlformats.org/officeDocument/2006/relationships/hyperlink" Target="https://manpages.ubuntu.com/manpages/resolute/man7/ocf_heartbeat_IPaddr2.7.html" TargetMode="External"/><Relationship Id="rId1885" Type="http://schemas.openxmlformats.org/officeDocument/2006/relationships/hyperlink" Target="https://manpages.ubuntu.com/manpages/resolute/man7/ocf_heartbeat_iscsi.7.html" TargetMode="External"/><Relationship Id="rId1886" Type="http://schemas.openxmlformats.org/officeDocument/2006/relationships/hyperlink" Target="https://manpages.ubuntu.com/manpages/resolute/man7/ocf_heartbeat_iSCSILogicalUnit.7.html" TargetMode="External"/><Relationship Id="rId1887" Type="http://schemas.openxmlformats.org/officeDocument/2006/relationships/hyperlink" Target="https://manpages.ubuntu.com/manpages/resolute/man7/ocf_heartbeat_iSCSITarget.7.html" TargetMode="External"/><Relationship Id="rId1888" Type="http://schemas.openxmlformats.org/officeDocument/2006/relationships/hyperlink" Target="https://manpages.ubuntu.com/manpages/resolute/man7/ocf_heartbeat_LVM-activate.7.html" TargetMode="External"/><Relationship Id="rId1889" Type="http://schemas.openxmlformats.org/officeDocument/2006/relationships/hyperlink" Target="https://github.com/ClusterLabs/resource-agents/blob/master/doc/dev-guides/ra-dev-guide.asc" TargetMode="External"/><Relationship Id="rId1890" Type="http://schemas.openxmlformats.org/officeDocument/2006/relationships/hyperlink" Target="https://manpages.ubuntu.com/manpages/resolute/man8/fence_ipmilan.8.html" TargetMode="External"/><Relationship Id="rId1891" Type="http://schemas.openxmlformats.org/officeDocument/2006/relationships/hyperlink" Target="https://manpages.ubuntu.com/manpages/resolute/man8/fence_mpath.8.html" TargetMode="External"/><Relationship Id="rId1892" Type="http://schemas.openxmlformats.org/officeDocument/2006/relationships/hyperlink" Target="https://manpages.ubuntu.com/manpages/resolute/man8/fence_sbd.8.html" TargetMode="External"/><Relationship Id="rId1893" Type="http://schemas.openxmlformats.org/officeDocument/2006/relationships/hyperlink" Target="https://manpages.ubuntu.com/manpages/resolute/man8/fence_scsi.8.html" TargetMode="External"/><Relationship Id="rId1894" Type="http://schemas.openxmlformats.org/officeDocument/2006/relationships/hyperlink" Target="https://manpages.ubuntu.com/manpages/resolute/man8/fence_virsh.8.html" TargetMode="External"/><Relationship Id="rId1895" Type="http://schemas.openxmlformats.org/officeDocument/2006/relationships/hyperlink" Target="https://github.com/ClusterLabs/fence-agents/blob/master/doc/FenceAgentAPI.md" TargetMode="External"/><Relationship Id="rId1896" Type="http://schemas.openxmlformats.org/officeDocument/2006/relationships/hyperlink" Target="https://en.wikipedia.org/wiki/Profile-guided_optimization" TargetMode="External"/><Relationship Id="rId1897" Type="http://schemas.openxmlformats.org/officeDocument/2006/relationships/hyperlink" Target="https://gcc.gnu.org" TargetMode="External"/><Relationship Id="rId1898" Type="http://schemas.openxmlformats.org/officeDocument/2006/relationships/hyperlink" Target="https://github.com/google/autofdo" TargetMode="External"/><Relationship Id="rId1899" Type="http://schemas.openxmlformats.org/officeDocument/2006/relationships/hyperlink" Target="https://launchpad.net/~sergiodj/+archive/ubuntu/autofdo" TargetMode="External"/><Relationship Id="rId1900" Type="http://schemas.openxmlformats.org/officeDocument/2006/relationships/hyperlink" Target="https://ubuntu.com/blog/profile-guided-optimization-a-case-study" TargetMode="External"/><Relationship Id="rId1901" Type="http://schemas.openxmlformats.org/officeDocument/2006/relationships/hyperlink" Target="https://manpages.ubuntu.com/manpages/resolute/man1/hwloc-info.1.html" TargetMode="External"/><Relationship Id="rId1902" Type="http://schemas.openxmlformats.org/officeDocument/2006/relationships/hyperlink" Target="https://manpages.ubuntu.com/manpages/resolute/man1/lstopo.1.html" TargetMode="External"/><Relationship Id="rId1903" Type="http://schemas.openxmlformats.org/officeDocument/2006/relationships/hyperlink" Target="https://manpages.ubuntu.com/manpages/resolute/man7/hwloc.7.html" TargetMode="External"/><Relationship Id="rId1904" Type="http://schemas.openxmlformats.org/officeDocument/2006/relationships/hyperlink" Target="https://manpages.ubuntu.com/manpages/resolute/man1/hwloc-diff.1.html" TargetMode="External"/><Relationship Id="rId1905" Type="http://schemas.openxmlformats.org/officeDocument/2006/relationships/hyperlink" Target="https://docs.kernel.org/admin-guide/pm/working-state.html" TargetMode="External"/><Relationship Id="rId1906" Type="http://schemas.openxmlformats.org/officeDocument/2006/relationships/hyperlink" Target="https://www.kernel.org/doc/Documentation/cpu-freq/governors.txt" TargetMode="External"/><Relationship Id="rId1907" Type="http://schemas.openxmlformats.org/officeDocument/2006/relationships/hyperlink" Target="https://docs.kernel.org/admin-guide/pm/cpuidle.html" TargetMode="External"/><Relationship Id="rId1908" Type="http://schemas.openxmlformats.org/officeDocument/2006/relationships/hyperlink" Target="https://docs.kernel.org/admin-guide/pm/intel_uncore_frequency_scaling.html" TargetMode="External"/><Relationship Id="rId1909" Type="http://schemas.openxmlformats.org/officeDocument/2006/relationships/hyperlink" Target="https://docs.kernel.org/admin-guide/pm/intel_idle.html" TargetMode="External"/><Relationship Id="rId1910" Type="http://schemas.openxmlformats.org/officeDocument/2006/relationships/hyperlink" Target="https://tuned-project.org/" TargetMode="External"/><Relationship Id="rId1911" Type="http://schemas.openxmlformats.org/officeDocument/2006/relationships/hyperlink" Target="https://manpages.ubuntu.com/manpages/resolute/man5/tuned.conf.5.html" TargetMode="External"/><Relationship Id="rId1912" Type="http://schemas.openxmlformats.org/officeDocument/2006/relationships/hyperlink" Target="https://documentation.ubuntu.com/pro-client/en/latest/explanations/about_esm/#what-are-main-and-universe" TargetMode="External"/><Relationship Id="rId1913" Type="http://schemas.openxmlformats.org/officeDocument/2006/relationships/hyperlink" Target="https://manpages.ubuntu.com/manpages/resolute/man8/tuned-adm.8.html" TargetMode="External"/><Relationship Id="rId1914" Type="http://schemas.openxmlformats.org/officeDocument/2006/relationships/hyperlink" Target="https://manpages.ubuntu.com/manpages/resolute/man7/tuned-profiles.7.html" TargetMode="External"/><Relationship Id="rId1915" Type="http://schemas.openxmlformats.org/officeDocument/2006/relationships/hyperlink" Target="https://manpages.ubuntu.com/manpages/resolute/man8/tuned.8.html" TargetMode="External"/><Relationship Id="rId1916" Type="http://schemas.openxmlformats.org/officeDocument/2006/relationships/hyperlink" Target="https://github.com/canonical/ubuntu-server-documentation" TargetMode="External"/><Relationship Id="rId1917" Type="http://schemas.openxmlformats.org/officeDocument/2006/relationships/hyperlink" Target="https://ubuntu.com/server/docs/" TargetMode="External"/><Relationship Id="rId1918" Type="http://schemas.openxmlformats.org/officeDocument/2006/relationships/hyperlink" Target="https://github.com/canonical/open-documentation-academy" TargetMode="External"/><Relationship Id="rId1919" Type="http://schemas.openxmlformats.org/officeDocument/2006/relationships/hyperlink" Target="https://github.com/canonical/ubuntu-server-documentation/issues" TargetMode="External"/><Relationship Id="rId1920" Type="http://schemas.openxmlformats.org/officeDocument/2006/relationships/hyperlink" Target="https://github.com/canonical/ubuntu-server-documentation/issues?q=is%3Aissue+is%3Aopen+label%3A%22code%3A+technical%22+no%3Aassignee" TargetMode="External"/><Relationship Id="rId1921" Type="http://schemas.openxmlformats.org/officeDocument/2006/relationships/hyperlink" Target="https://mermaid.live/" TargetMode="External"/><Relationship Id="rId1922" Type="http://schemas.openxmlformats.org/officeDocument/2006/relationships/hyperlink" Target="https://github.com/canonical/ubuntu-server-documentation/issues?q=is%3Aissue+is%3Aopen+label%3A%22code%3A+coding%22+no%3Aassignee" TargetMode="External"/><Relationship Id="rId1923" Type="http://schemas.openxmlformats.org/officeDocument/2006/relationships/hyperlink" Target="https://www.mermaidchart.com/app/dashboard" TargetMode="External"/><Relationship Id="rId1924" Type="http://schemas.openxmlformats.org/officeDocument/2006/relationships/hyperlink" Target="https://github.com/canonical/ubuntu-server-documentation/issues?q=is%3Aissue+is%3Aopen+label%3A%22code%3A+low-code%22+no%3Aassignee" TargetMode="External"/><Relationship Id="rId1925" Type="http://schemas.openxmlformats.org/officeDocument/2006/relationships/hyperlink" Target="https://github.com/canonical/ubuntu-server-documentation/issues?q=is%3Aissue+is%3Aopen+label%3A%22code%3A+non-code%22+no%3Aassignee" TargetMode="External"/><Relationship Id="rId1926" Type="http://schemas.openxmlformats.org/officeDocument/2006/relationships/hyperlink" Target="https://github.com/" TargetMode="External"/><Relationship Id="rId1927" Type="http://schemas.openxmlformats.org/officeDocument/2006/relationships/hyperlink" Target="https://github.com/canonical/ubuntu-server-documentation/issues?q=is%3Aissue+is%3Aopen+no%3Aassignee" TargetMode="External"/><Relationship Id="rId1928" Type="http://schemas.openxmlformats.org/officeDocument/2006/relationships/hyperlink" Target="https://docs.github.com/en/repositories/working-with-files/managing-files/editing-files" TargetMode="External"/><Relationship Id="rId1929" Type="http://schemas.openxmlformats.org/officeDocument/2006/relationships/hyperlink" Target="https://ubuntu.com/server/docs" TargetMode="External"/><Relationship Id="rId1930" Type="http://schemas.openxmlformats.org/officeDocument/2006/relationships/hyperlink" Target="https://documentation.academy/docs/howto/get-started/using_git/" TargetMode="External"/><Relationship Id="rId1931" Type="http://schemas.openxmlformats.org/officeDocument/2006/relationships/hyperlink" Target="http://127.0.0.1:8000/" TargetMode="External"/><Relationship Id="rId1932" Type="http://schemas.openxmlformats.org/officeDocument/2006/relationships/hyperlink" Target="https://sphinxext-rediraffe.readthedocs.io/en/latest/" TargetMode="External"/><Relationship Id="rId1933" Type="http://schemas.openxmlformats.org/officeDocument/2006/relationships/hyperlink" Target="https://docs.github.com/en/pull-requests/collaborating-with-pull-requests/proposing-changes-to-your-work-with-pull-requests/creating-a-pull-request" TargetMode="External"/><Relationship Id="rId1934" Type="http://schemas.openxmlformats.org/officeDocument/2006/relationships/hyperlink" Target="https://conventionalcomments.org/" TargetMode="External"/><Relationship Id="rId1935" Type="http://schemas.openxmlformats.org/officeDocument/2006/relationships/hyperlink" Target="https://myst-parser.readthedocs.io/en/latest/intro.html" TargetMode="External"/><Relationship Id="rId1936" Type="http://schemas.openxmlformats.org/officeDocument/2006/relationships/hyperlink" Target="https://mystmd.org/guide/dropdowns-cards-and-tabs#tabs" TargetMode="External"/><Relationship Id="rId1937" Type="http://schemas.openxmlformats.org/officeDocument/2006/relationships/hyperlink" Target="https://docs.ubuntu.com/styleguide/en" TargetMode="External"/><Relationship Id="rId1938" Type="http://schemas.openxmlformats.org/officeDocument/2006/relationships/hyperlink" Target="https://myst-parser.readthedocs.io/en/latest/syntax/roles-and-directives.html" TargetMode="External"/><Relationship Id="rId1939" Type="http://schemas.openxmlformats.org/officeDocument/2006/relationships/hyperlink" Target="https://launchpad.net/ubuntu/+source/bash" TargetMode="External"/><Relationship Id="rId1940" Type="http://schemas.openxmlformats.org/officeDocument/2006/relationships/hyperlink" Target="https://bugs.launchpad.net/bugs/1852389" TargetMode="External"/><Relationship Id="rId1941" Type="http://schemas.openxmlformats.org/officeDocument/2006/relationships/hyperlink" Target="https://discourse.ubuntu.com/c/community/open-documentation-academy/166" TargetMode="External"/><Relationship Id="rId1942" Type="http://schemas.openxmlformats.org/officeDocument/2006/relationships/hyperlink" Target="https://github.com/canonical/ubuntu-server-documentation/pull/202" TargetMode="External"/><Relationship Id="rId1943" Type="http://schemas.openxmlformats.org/officeDocument/2006/relationships/hyperlink" Target="https://github.com/canonical/ubuntu-server-documentation/pull/200" TargetMode="External"/><Relationship Id="rId1944" Type="http://schemas.openxmlformats.org/officeDocument/2006/relationships/hyperlink" Target="https://github.com/canonical/ubuntu-server-documentation/pull/192" TargetMode="External"/><Relationship Id="rId1945" Type="http://schemas.openxmlformats.org/officeDocument/2006/relationships/hyperlink" Target="https://github.com/canonical/ubuntu-server-documentation/pull/190" TargetMode="External"/><Relationship Id="rId1946" Type="http://schemas.openxmlformats.org/officeDocument/2006/relationships/hyperlink" Target="https://github.com/canonical/ubuntu-server-documentation/pull/181" TargetMode="External"/><Relationship Id="rId1947" Type="http://schemas.openxmlformats.org/officeDocument/2006/relationships/hyperlink" Target="https://github.com/canonical/ubuntu-server-documentation/pull/130" TargetMode="External"/><Relationship Id="rId1948" Type="http://schemas.openxmlformats.org/officeDocument/2006/relationships/hyperlink" Target="https://github.com/canonical/ubuntu-server-documentation/pull/119" TargetMode="External"/><Relationship Id="rId1949" Type="http://schemas.openxmlformats.org/officeDocument/2006/relationships/hyperlink" Target="https://github.com/canonical/ubuntu-server-documentation/pull/115" TargetMode="External"/><Relationship Id="rId1950" Type="http://schemas.openxmlformats.org/officeDocument/2006/relationships/hyperlink" Target="https://github.com/canonical/ubuntu-server-documentation/pull/54" TargetMode="External"/><Relationship Id="rId1951" Type="http://schemas.openxmlformats.org/officeDocument/2006/relationships/hyperlink" Target="https://github.com/canonical/ubuntu-server-documentation/pull/184" TargetMode="External"/><Relationship Id="rId1952" Type="http://schemas.openxmlformats.org/officeDocument/2006/relationships/hyperlink" Target="https://github.com/canonical/ubuntu-server-documentation/pull/183" TargetMode="External"/><Relationship Id="rId1953" Type="http://schemas.openxmlformats.org/officeDocument/2006/relationships/hyperlink" Target="https://github.com/canonical/ubuntu-server-documentation/pull/167" TargetMode="External"/><Relationship Id="rId1954" Type="http://schemas.openxmlformats.org/officeDocument/2006/relationships/hyperlink" Target="https://github.com/canonical/ubuntu-server-documentation/pull/155" TargetMode="External"/><Relationship Id="rId1955" Type="http://schemas.openxmlformats.org/officeDocument/2006/relationships/hyperlink" Target="https://github.com/canonical/ubuntu-server-documentation/pull/149" TargetMode="External"/><Relationship Id="rId1956" Type="http://schemas.openxmlformats.org/officeDocument/2006/relationships/hyperlink" Target="https://github.com/canonical/ubuntu-server-documentation/pull/148" TargetMode="External"/><Relationship Id="rId1957" Type="http://schemas.openxmlformats.org/officeDocument/2006/relationships/hyperlink" Target="https://github.com/canonical/ubuntu-server-documentation/pull/147" TargetMode="External"/><Relationship Id="rId1958" Type="http://schemas.openxmlformats.org/officeDocument/2006/relationships/hyperlink" Target="https://github.com/canonical/ubuntu-server-documentation/pull/146" TargetMode="External"/><Relationship Id="rId1959" Type="http://schemas.openxmlformats.org/officeDocument/2006/relationships/hyperlink" Target="https://github.com/canonical/ubuntu-server-documentation/pull/141" TargetMode="External"/><Relationship Id="rId1960" Type="http://schemas.openxmlformats.org/officeDocument/2006/relationships/hyperlink" Target="https://github.com/canonical/ubuntu-server-documentation/pull/132" TargetMode="External"/><Relationship Id="rId1961" Type="http://schemas.openxmlformats.org/officeDocument/2006/relationships/hyperlink" Target="https://github.com/canonical/ubuntu-server-documentation/pull/131" TargetMode="External"/><Relationship Id="rId1962" Type="http://schemas.openxmlformats.org/officeDocument/2006/relationships/hyperlink" Target="https://github.com/canonical/ubuntu-server-documentation/pull/123" TargetMode="External"/><Relationship Id="rId1963" Type="http://schemas.openxmlformats.org/officeDocument/2006/relationships/hyperlink" Target="https://github.com/canonical/ubuntu-server-documentation/pull/122" TargetMode="External"/><Relationship Id="rId1964" Type="http://schemas.openxmlformats.org/officeDocument/2006/relationships/hyperlink" Target="https://github.com/canonical/ubuntu-server-documentation/pull/120" TargetMode="External"/><Relationship Id="rId1965" Type="http://schemas.openxmlformats.org/officeDocument/2006/relationships/hyperlink" Target="https://github.com/canonical/ubuntu-server-documentation/pull/83" TargetMode="External"/><Relationship Id="rId1966" Type="http://schemas.openxmlformats.org/officeDocument/2006/relationships/hyperlink" Target="https://github.com/canonical/ubuntu-server-documentation/pull/81" TargetMode="External"/><Relationship Id="rId1967" Type="http://schemas.openxmlformats.org/officeDocument/2006/relationships/hyperlink" Target="https://github.com/canonical/ubuntu-server-documentation/pull/67" TargetMode="External"/><Relationship Id="rId1968" Type="http://schemas.openxmlformats.org/officeDocument/2006/relationships/hyperlink" Target="https://github.com/canonical/ubuntu-server-documentation/pull/97" TargetMode="External"/><Relationship Id="rId1969" Type="http://schemas.openxmlformats.org/officeDocument/2006/relationships/hyperlink" Target="https://github.com/canonical/ubuntu-server-documentation/pull/66" TargetMode="External"/><Relationship Id="rId1970" Type="http://schemas.openxmlformats.org/officeDocument/2006/relationships/hyperlink" Target="https://github.com/canonical/ubuntu-server-documentation/pull/52" TargetMode="External"/><Relationship Id="rId1971" Type="http://schemas.openxmlformats.org/officeDocument/2006/relationships/hyperlink" Target="https://github.com/canonical/ubuntu-server-documentation/pull/48" TargetMode="External"/><Relationship Id="rId1972" Type="http://schemas.openxmlformats.org/officeDocument/2006/relationships/hyperlink" Target="https://github.com/canonical/ubuntu-server-documentation/pull/193" TargetMode="External"/><Relationship Id="rId1973" Type="http://schemas.openxmlformats.org/officeDocument/2006/relationships/hyperlink" Target="https://github.com/canonical/ubuntu-server-documentation/pull/116" TargetMode="External"/><Relationship Id="rId1974" Type="http://schemas.openxmlformats.org/officeDocument/2006/relationships/hyperlink" Target="https://github.com/canonical/ubuntu-server-documentation/pull/112" TargetMode="External"/><Relationship Id="rId1975" Type="http://schemas.openxmlformats.org/officeDocument/2006/relationships/hyperlink" Target="https://github.com/canonical/ubuntu-server-documentation/pull/194" TargetMode="External"/><Relationship Id="rId1976" Type="http://schemas.openxmlformats.org/officeDocument/2006/relationships/hyperlink" Target="https://github.com/canonical/ubuntu-server-documentation/pull/187" TargetMode="External"/><Relationship Id="rId1977" Type="http://schemas.openxmlformats.org/officeDocument/2006/relationships/hyperlink" Target="https://github.com/canonical/ubuntu-server-documentation/pull/186" TargetMode="External"/><Relationship Id="rId1978" Type="http://schemas.openxmlformats.org/officeDocument/2006/relationships/hyperlink" Target="https://github.com/canonical/ubuntu-server-documentation/pull/185" TargetMode="External"/><Relationship Id="rId1979" Type="http://schemas.openxmlformats.org/officeDocument/2006/relationships/hyperlink" Target="https://github.com/canonical/ubuntu-server-documentation/pull/182" TargetMode="External"/><Relationship Id="rId1980" Type="http://schemas.openxmlformats.org/officeDocument/2006/relationships/hyperlink" Target="https://github.com/canonical/ubuntu-server-documentation/pull/174" TargetMode="External"/><Relationship Id="rId1981" Type="http://schemas.openxmlformats.org/officeDocument/2006/relationships/hyperlink" Target="https://github.com/canonical/ubuntu-server-documentation/pull/162" TargetMode="External"/><Relationship Id="rId1982" Type="http://schemas.openxmlformats.org/officeDocument/2006/relationships/hyperlink" Target="https://github.com/canonical/ubuntu-server-documentation/pull/161" TargetMode="External"/><Relationship Id="rId1983" Type="http://schemas.openxmlformats.org/officeDocument/2006/relationships/hyperlink" Target="https://github.com/canonical/ubuntu-server-documentation/pull/160" TargetMode="External"/><Relationship Id="rId1984" Type="http://schemas.openxmlformats.org/officeDocument/2006/relationships/hyperlink" Target="https://github.com/canonical/ubuntu-server-documentation/pull/159" TargetMode="External"/><Relationship Id="rId1985" Type="http://schemas.openxmlformats.org/officeDocument/2006/relationships/hyperlink" Target="https://github.com/canonical/ubuntu-server-documentation/pull/158" TargetMode="External"/><Relationship Id="rId1986" Type="http://schemas.openxmlformats.org/officeDocument/2006/relationships/hyperlink" Target="https://github.com/canonical/ubuntu-server-documentation/pull/156" TargetMode="External"/><Relationship Id="rId1987" Type="http://schemas.openxmlformats.org/officeDocument/2006/relationships/hyperlink" Target="https://github.com/canonical/ubuntu-server-documentation/pull/152" TargetMode="External"/><Relationship Id="rId1988" Type="http://schemas.openxmlformats.org/officeDocument/2006/relationships/hyperlink" Target="https://github.com/canonical/ubuntu-server-documentation/pull/134" TargetMode="External"/><Relationship Id="rId1989" Type="http://schemas.openxmlformats.org/officeDocument/2006/relationships/hyperlink" Target="https://github.com/canonical/ubuntu-server-documentation/pull/124" TargetMode="External"/><Relationship Id="rId1990" Type="http://schemas.openxmlformats.org/officeDocument/2006/relationships/hyperlink" Target="https://github.com/canonical/ubuntu-server-documentation/pull/10" TargetMode="External"/><Relationship Id="rId1991" Type="http://schemas.openxmlformats.org/officeDocument/2006/relationships/hyperlink" Target="https://github.com/canonical/ubuntu-server-documentation/pull/9"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09.0008</AppVersion>
  <DocSecurity>0</DocSecurity>
  <HyperlinksChanged>false</HyperlinksChanged>
  <LinksUpToDate>true</LinksUpToDate>
  <ScaleCrop>false</ScaleCrop>
  <SharedDoc>false</SharedDoc>
  <Company>UbuntuFree.com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2026-05-10T15:08:57Z</dcterms:created>
  <dcterms:modified xsi:type="dcterms:W3CDTF">2026-05-10T15:08:57Z</dcterms:modified>
  <dc:title>Ubuntu-Server-26-04-LTS-Manual</dc:title>
  <dc:creator>Ubuntu Free</dc:creator>
  <cp:keywords>Ubuntu commands, Linux Commands, Ubuntu Server</cp:keywords>
  <dc:description>&lt;div&gt;
&lt;h1&gt;&lt;strong style="font-size: xx-large"&gt;Get more free resources, games, software, tutorials and AI apps at &lt;/strong&gt;&lt;a href="https://www.ubuntufree.com"&gt;&lt;strong style="font-size: xx-large; color: #6cb4ee"&gt;UbuntuFree.com&lt;/strong&gt;&lt;/a&gt;&lt;/h1&gt;&lt;/div&gt;</dc:description>
  <dc:language>en</dc:language>
</cp:coreProperties>
</file>